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61C7" w:rsidRPr="0043547B" w:rsidRDefault="00783E24" w:rsidP="00783E24">
      <w:pPr>
        <w:jc w:val="right"/>
      </w:pPr>
      <w:bookmarkStart w:id="0" w:name="_GoBack"/>
      <w:bookmarkEnd w:id="0"/>
      <w:r w:rsidRPr="0043547B">
        <w:rPr>
          <w:rFonts w:ascii="Maiandra GD" w:hAnsi="Maiandra GD" w:cstheme="minorHAnsi"/>
          <w:noProof/>
          <w:sz w:val="12"/>
          <w:szCs w:val="12"/>
          <w:lang w:eastAsia="fr-FR"/>
        </w:rPr>
        <w:drawing>
          <wp:inline distT="0" distB="0" distL="0" distR="0" wp14:anchorId="3C25F74F" wp14:editId="178D714F">
            <wp:extent cx="3263900" cy="1231900"/>
            <wp:effectExtent l="0" t="0" r="0" b="6350"/>
            <wp:docPr id="49" name="Image 1" descr="C:\Users\ycherrat\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cherrat\Desktop\Logo.png"/>
                    <pic:cNvPicPr>
                      <a:picLocks noChangeAspect="1" noChangeArrowheads="1"/>
                    </pic:cNvPicPr>
                  </pic:nvPicPr>
                  <pic:blipFill>
                    <a:blip r:embed="rId8"/>
                    <a:srcRect/>
                    <a:stretch>
                      <a:fillRect/>
                    </a:stretch>
                  </pic:blipFill>
                  <pic:spPr bwMode="auto">
                    <a:xfrm>
                      <a:off x="0" y="0"/>
                      <a:ext cx="3263900" cy="1231900"/>
                    </a:xfrm>
                    <a:prstGeom prst="rect">
                      <a:avLst/>
                    </a:prstGeom>
                    <a:noFill/>
                    <a:ln w="9525">
                      <a:noFill/>
                      <a:miter lim="800000"/>
                      <a:headEnd/>
                      <a:tailEnd/>
                    </a:ln>
                  </pic:spPr>
                </pic:pic>
              </a:graphicData>
            </a:graphic>
          </wp:inline>
        </w:drawing>
      </w:r>
      <w:r w:rsidRPr="0043547B">
        <w:rPr>
          <w:rFonts w:ascii="Maiandra GD" w:hAnsi="Maiandra GD"/>
          <w:b/>
          <w:noProof/>
          <w:szCs w:val="48"/>
          <w:lang w:eastAsia="fr-FR"/>
          <w14:shadow w14:blurRad="50800" w14:dist="38100" w14:dir="2700000" w14:sx="100000" w14:sy="100000" w14:kx="0" w14:ky="0" w14:algn="tl">
            <w14:srgbClr w14:val="000000">
              <w14:alpha w14:val="60000"/>
            </w14:srgbClr>
          </w14:shadow>
        </w:rPr>
        <w:drawing>
          <wp:anchor distT="0" distB="0" distL="114300" distR="114300" simplePos="0" relativeHeight="251629568" behindDoc="1" locked="0" layoutInCell="1" allowOverlap="1" wp14:anchorId="2840B4D9" wp14:editId="5566B7CE">
            <wp:simplePos x="0" y="0"/>
            <wp:positionH relativeFrom="margin">
              <wp:posOffset>643255</wp:posOffset>
            </wp:positionH>
            <wp:positionV relativeFrom="paragraph">
              <wp:posOffset>1231265</wp:posOffset>
            </wp:positionV>
            <wp:extent cx="1200150" cy="1433195"/>
            <wp:effectExtent l="0" t="0" r="0" b="0"/>
            <wp:wrapSquare wrapText="bothSides"/>
            <wp:docPr id="11" name="Image 16" descr="http://referentiel.nouvelobs.com/file/6607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referentiel.nouvelobs.com/file/6607786.jpg"/>
                    <pic:cNvPicPr>
                      <a:picLocks noChangeAspect="1" noChangeArrowheads="1"/>
                    </pic:cNvPicPr>
                  </pic:nvPicPr>
                  <pic:blipFill>
                    <a:blip r:embed="rId9" cstate="print"/>
                    <a:srcRect/>
                    <a:stretch>
                      <a:fillRect/>
                    </a:stretch>
                  </pic:blipFill>
                  <pic:spPr bwMode="auto">
                    <a:xfrm>
                      <a:off x="0" y="0"/>
                      <a:ext cx="1200150" cy="14331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3547B">
        <w:rPr>
          <w:rFonts w:ascii="Maiandra GD" w:hAnsi="Maiandra GD"/>
          <w:b/>
          <w:noProof/>
          <w:sz w:val="48"/>
          <w:szCs w:val="48"/>
          <w:lang w:eastAsia="fr-FR"/>
        </w:rPr>
        <mc:AlternateContent>
          <mc:Choice Requires="wps">
            <w:drawing>
              <wp:anchor distT="0" distB="0" distL="114300" distR="114300" simplePos="0" relativeHeight="251706368" behindDoc="0" locked="0" layoutInCell="1" allowOverlap="1" wp14:anchorId="60A644E8" wp14:editId="65AE67C6">
                <wp:simplePos x="0" y="0"/>
                <wp:positionH relativeFrom="column">
                  <wp:posOffset>-648335</wp:posOffset>
                </wp:positionH>
                <wp:positionV relativeFrom="paragraph">
                  <wp:posOffset>-243205</wp:posOffset>
                </wp:positionV>
                <wp:extent cx="1478280" cy="1722120"/>
                <wp:effectExtent l="0" t="0" r="0" b="0"/>
                <wp:wrapNone/>
                <wp:docPr id="42" name="Zone de texte 42"/>
                <wp:cNvGraphicFramePr/>
                <a:graphic xmlns:a="http://schemas.openxmlformats.org/drawingml/2006/main">
                  <a:graphicData uri="http://schemas.microsoft.com/office/word/2010/wordprocessingShape">
                    <wps:wsp>
                      <wps:cNvSpPr txBox="1"/>
                      <wps:spPr>
                        <a:xfrm>
                          <a:off x="0" y="0"/>
                          <a:ext cx="1478280" cy="17221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5D0C" w:rsidRDefault="00725D0C">
                            <w:r>
                              <w:rPr>
                                <w:noProof/>
                                <w:lang w:eastAsia="fr-FR"/>
                              </w:rPr>
                              <w:drawing>
                                <wp:inline distT="0" distB="0" distL="0" distR="0" wp14:anchorId="0E0EC1B5" wp14:editId="672A05CA">
                                  <wp:extent cx="1215390" cy="1432560"/>
                                  <wp:effectExtent l="0" t="0" r="3810" b="0"/>
                                  <wp:docPr id="18" name="Image 1" descr="http://www.ciffreobona.fr/userfiles/image/carrelage/CB_univers_carrelage_ConseilPose_15.jpg"/>
                                  <wp:cNvGraphicFramePr/>
                                  <a:graphic xmlns:a="http://schemas.openxmlformats.org/drawingml/2006/main">
                                    <a:graphicData uri="http://schemas.openxmlformats.org/drawingml/2006/picture">
                                      <pic:pic xmlns:pic="http://schemas.openxmlformats.org/drawingml/2006/picture">
                                        <pic:nvPicPr>
                                          <pic:cNvPr id="3" name="Image 1" descr="http://www.ciffreobona.fr/userfiles/image/carrelage/CB_univers_carrelage_ConseilPose_15.jpg"/>
                                          <pic:cNvPicPr/>
                                        </pic:nvPicPr>
                                        <pic:blipFill>
                                          <a:blip r:embed="rId10" cstate="print"/>
                                          <a:srcRect l="2797" t="4730" r="3326" b="4730"/>
                                          <a:stretch>
                                            <a:fillRect/>
                                          </a:stretch>
                                        </pic:blipFill>
                                        <pic:spPr bwMode="auto">
                                          <a:xfrm>
                                            <a:off x="0" y="0"/>
                                            <a:ext cx="1215390" cy="143256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0A644E8" id="_x0000_t202" coordsize="21600,21600" o:spt="202" path="m,l,21600r21600,l21600,xe">
                <v:stroke joinstyle="miter"/>
                <v:path gradientshapeok="t" o:connecttype="rect"/>
              </v:shapetype>
              <v:shape id="Zone de texte 42" o:spid="_x0000_s1026" type="#_x0000_t202" style="position:absolute;left:0;text-align:left;margin-left:-51.05pt;margin-top:-19.15pt;width:116.4pt;height:135.6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" filled="f" stroked="f" strokeweight=".5pt">
                <v:textbox>
                  <w:txbxContent>
                    <w:p w:rsidR="00725D0C" w:rsidRDefault="00725D0C">
                      <w:r>
                        <w:rPr>
                          <w:noProof/>
                          <w:lang w:eastAsia="fr-FR"/>
                        </w:rPr>
                        <w:drawing>
                          <wp:inline distT="0" distB="0" distL="0" distR="0" wp14:anchorId="0E0EC1B5" wp14:editId="672A05CA">
                            <wp:extent cx="1215390" cy="1432560"/>
                            <wp:effectExtent l="0" t="0" r="3810" b="0"/>
                            <wp:docPr id="18" name="Image 1" descr="http://www.ciffreobona.fr/userfiles/image/carrelage/CB_univers_carrelage_ConseilPose_15.jpg"/>
                            <wp:cNvGraphicFramePr/>
                            <a:graphic xmlns:a="http://schemas.openxmlformats.org/drawingml/2006/main">
                              <a:graphicData uri="http://schemas.openxmlformats.org/drawingml/2006/picture">
                                <pic:pic xmlns:pic="http://schemas.openxmlformats.org/drawingml/2006/picture">
                                  <pic:nvPicPr>
                                    <pic:cNvPr id="3" name="Image 1" descr="http://www.ciffreobona.fr/userfiles/image/carrelage/CB_univers_carrelage_ConseilPose_15.jpg"/>
                                    <pic:cNvPicPr/>
                                  </pic:nvPicPr>
                                  <pic:blipFill>
                                    <a:blip r:embed="rId11" cstate="print"/>
                                    <a:srcRect l="2797" t="4730" r="3326" b="4730"/>
                                    <a:stretch>
                                      <a:fillRect/>
                                    </a:stretch>
                                  </pic:blipFill>
                                  <pic:spPr bwMode="auto">
                                    <a:xfrm>
                                      <a:off x="0" y="0"/>
                                      <a:ext cx="1215390" cy="1432560"/>
                                    </a:xfrm>
                                    <a:prstGeom prst="rect">
                                      <a:avLst/>
                                    </a:prstGeom>
                                    <a:noFill/>
                                    <a:ln w="9525">
                                      <a:noFill/>
                                      <a:miter lim="800000"/>
                                      <a:headEnd/>
                                      <a:tailEnd/>
                                    </a:ln>
                                  </pic:spPr>
                                </pic:pic>
                              </a:graphicData>
                            </a:graphic>
                          </wp:inline>
                        </w:drawing>
                      </w:r>
                    </w:p>
                  </w:txbxContent>
                </v:textbox>
              </v:shape>
            </w:pict>
          </mc:Fallback>
        </mc:AlternateContent>
      </w:r>
    </w:p>
    <w:p w:rsidR="00D54105" w:rsidRPr="0043547B" w:rsidRDefault="00D54105" w:rsidP="006141C3">
      <w:pPr>
        <w:jc w:val="center"/>
      </w:pPr>
    </w:p>
    <w:p w:rsidR="00A3434E" w:rsidRPr="0043547B" w:rsidRDefault="00A3434E" w:rsidP="001D5BC8">
      <w:pPr>
        <w:jc w:val="both"/>
        <w:rPr>
          <w:rFonts w:ascii="Maiandra GD" w:hAnsi="Maiandra GD"/>
          <w:b/>
          <w:sz w:val="48"/>
          <w:szCs w:val="48"/>
          <w14:shadow w14:blurRad="50800" w14:dist="38100" w14:dir="2700000" w14:sx="100000" w14:sy="100000" w14:kx="0" w14:ky="0" w14:algn="tl">
            <w14:srgbClr w14:val="000000">
              <w14:alpha w14:val="60000"/>
            </w14:srgbClr>
          </w14:shadow>
        </w:rPr>
      </w:pPr>
    </w:p>
    <w:p w:rsidR="00A3434E" w:rsidRPr="0043547B" w:rsidRDefault="00783E24" w:rsidP="001D5BC8">
      <w:pPr>
        <w:jc w:val="both"/>
        <w:rPr>
          <w:rFonts w:ascii="Maiandra GD" w:hAnsi="Maiandra GD"/>
          <w:b/>
          <w:sz w:val="48"/>
          <w:szCs w:val="48"/>
          <w14:shadow w14:blurRad="50800" w14:dist="38100" w14:dir="2700000" w14:sx="100000" w14:sy="100000" w14:kx="0" w14:ky="0" w14:algn="tl">
            <w14:srgbClr w14:val="000000">
              <w14:alpha w14:val="60000"/>
            </w14:srgbClr>
          </w14:shadow>
        </w:rPr>
      </w:pPr>
      <w:bookmarkStart w:id="1" w:name="_Toc458516379"/>
      <w:bookmarkStart w:id="2" w:name="_Toc458516534"/>
      <w:bookmarkStart w:id="3" w:name="_Toc458606061"/>
      <w:r w:rsidRPr="0043547B">
        <w:rPr>
          <w:noProof/>
          <w:lang w:eastAsia="fr-FR"/>
        </w:rPr>
        <w:drawing>
          <wp:anchor distT="0" distB="0" distL="114300" distR="114300" simplePos="0" relativeHeight="251703296" behindDoc="0" locked="0" layoutInCell="1" allowOverlap="1" wp14:anchorId="6ECFFB8E" wp14:editId="3BF2749E">
            <wp:simplePos x="0" y="0"/>
            <wp:positionH relativeFrom="margin">
              <wp:posOffset>-558800</wp:posOffset>
            </wp:positionH>
            <wp:positionV relativeFrom="paragraph">
              <wp:posOffset>316865</wp:posOffset>
            </wp:positionV>
            <wp:extent cx="1209675" cy="1442720"/>
            <wp:effectExtent l="0" t="0" r="9525" b="5080"/>
            <wp:wrapSquare wrapText="bothSides"/>
            <wp:docPr id="5" name="Image 5" descr="http://static.ladepeche.fr/content/media/image/zoom/2008/11/26/200811261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ladepeche.fr/content/media/image/zoom/2008/11/26/20081126155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09675" cy="144272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bookmarkEnd w:id="2"/>
      <w:bookmarkEnd w:id="3"/>
    </w:p>
    <w:p w:rsidR="00A3434E" w:rsidRPr="0043547B" w:rsidRDefault="00783E24" w:rsidP="001D5BC8">
      <w:pPr>
        <w:jc w:val="both"/>
        <w:rPr>
          <w:rFonts w:ascii="Maiandra GD" w:hAnsi="Maiandra GD"/>
          <w:b/>
          <w:sz w:val="48"/>
          <w:szCs w:val="48"/>
          <w14:shadow w14:blurRad="50800" w14:dist="38100" w14:dir="2700000" w14:sx="100000" w14:sy="100000" w14:kx="0" w14:ky="0" w14:algn="tl">
            <w14:srgbClr w14:val="000000">
              <w14:alpha w14:val="60000"/>
            </w14:srgbClr>
          </w14:shadow>
        </w:rPr>
      </w:pPr>
      <w:r w:rsidRPr="0043547B">
        <w:rPr>
          <w:rFonts w:ascii="Maiandra GD" w:hAnsi="Maiandra GD"/>
          <w:b/>
          <w:noProof/>
          <w:sz w:val="48"/>
          <w:szCs w:val="48"/>
          <w:lang w:eastAsia="fr-FR"/>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58240" behindDoc="0" locked="0" layoutInCell="1" allowOverlap="1" wp14:anchorId="5F7098F4" wp14:editId="7DA8B462">
                <wp:simplePos x="0" y="0"/>
                <wp:positionH relativeFrom="margin">
                  <wp:posOffset>2100580</wp:posOffset>
                </wp:positionH>
                <wp:positionV relativeFrom="paragraph">
                  <wp:posOffset>231775</wp:posOffset>
                </wp:positionV>
                <wp:extent cx="3867150" cy="3530600"/>
                <wp:effectExtent l="0" t="0" r="19050" b="1270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3530600"/>
                        </a:xfrm>
                        <a:prstGeom prst="rect">
                          <a:avLst/>
                        </a:prstGeom>
                        <a:solidFill>
                          <a:srgbClr val="FFFFFF"/>
                        </a:solidFill>
                        <a:ln w="9525">
                          <a:solidFill>
                            <a:schemeClr val="bg1">
                              <a:lumMod val="100000"/>
                              <a:lumOff val="0"/>
                            </a:schemeClr>
                          </a:solidFill>
                          <a:miter lim="800000"/>
                          <a:headEnd/>
                          <a:tailEnd/>
                        </a:ln>
                      </wps:spPr>
                      <wps:txbx>
                        <w:txbxContent>
                          <w:p w:rsidR="00725D0C" w:rsidRPr="00783E24" w:rsidRDefault="00725D0C" w:rsidP="00783E24">
                            <w:pPr>
                              <w:spacing w:after="0" w:line="240" w:lineRule="auto"/>
                              <w:jc w:val="center"/>
                              <w:rPr>
                                <w:rFonts w:ascii="Arabic Typesetting" w:hAnsi="Arabic Typesetting" w:cs="Arabic Typesetting"/>
                                <w:b/>
                                <w:sz w:val="96"/>
                                <w:szCs w:val="96"/>
                              </w:rPr>
                            </w:pPr>
                            <w:r w:rsidRPr="00783E24">
                              <w:rPr>
                                <w:rFonts w:ascii="Arabic Typesetting" w:hAnsi="Arabic Typesetting" w:cs="Arabic Typesetting"/>
                                <w:b/>
                                <w:sz w:val="96"/>
                                <w:szCs w:val="96"/>
                              </w:rPr>
                              <w:t>Guide de Conformité aux Normes dans les Achats Publics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098F4" id="Text Box 2" o:spid="_x0000_s1027" type="#_x0000_t202" style="position:absolute;left:0;text-align:left;margin-left:165.4pt;margin-top:18.25pt;width:304.5pt;height:27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" strokecolor="white [3212]">
                <v:textbox>
                  <w:txbxContent>
                    <w:p w:rsidR="00725D0C" w:rsidRPr="00783E24" w:rsidRDefault="00725D0C" w:rsidP="00783E24">
                      <w:pPr>
                        <w:spacing w:after="0" w:line="240" w:lineRule="auto"/>
                        <w:jc w:val="center"/>
                        <w:rPr>
                          <w:rFonts w:ascii="Arabic Typesetting" w:hAnsi="Arabic Typesetting" w:cs="Arabic Typesetting"/>
                          <w:b/>
                          <w:sz w:val="96"/>
                          <w:szCs w:val="96"/>
                        </w:rPr>
                      </w:pPr>
                      <w:r w:rsidRPr="00783E24">
                        <w:rPr>
                          <w:rFonts w:ascii="Arabic Typesetting" w:hAnsi="Arabic Typesetting" w:cs="Arabic Typesetting"/>
                          <w:b/>
                          <w:sz w:val="96"/>
                          <w:szCs w:val="96"/>
                        </w:rPr>
                        <w:t>Guide de Conformité aux Normes dans les Achats Publics</w:t>
                      </w:r>
                    </w:p>
                  </w:txbxContent>
                </v:textbox>
                <w10:wrap anchorx="margin"/>
              </v:shape>
            </w:pict>
          </mc:Fallback>
        </mc:AlternateContent>
      </w:r>
    </w:p>
    <w:p w:rsidR="00A3434E" w:rsidRPr="0043547B" w:rsidRDefault="00783E24" w:rsidP="001D5BC8">
      <w:pPr>
        <w:jc w:val="both"/>
        <w:rPr>
          <w:rFonts w:ascii="Maiandra GD" w:hAnsi="Maiandra GD"/>
          <w:b/>
          <w:sz w:val="48"/>
          <w:szCs w:val="48"/>
          <w14:shadow w14:blurRad="50800" w14:dist="38100" w14:dir="2700000" w14:sx="100000" w14:sy="100000" w14:kx="0" w14:ky="0" w14:algn="tl">
            <w14:srgbClr w14:val="000000">
              <w14:alpha w14:val="60000"/>
            </w14:srgbClr>
          </w14:shadow>
        </w:rPr>
      </w:pPr>
      <w:r w:rsidRPr="0043547B">
        <w:rPr>
          <w:rFonts w:ascii="Maiandra GD" w:hAnsi="Maiandra GD"/>
          <w:b/>
          <w:noProof/>
          <w:szCs w:val="48"/>
          <w:lang w:eastAsia="fr-FR"/>
          <w14:shadow w14:blurRad="50800" w14:dist="38100" w14:dir="2700000" w14:sx="100000" w14:sy="100000" w14:kx="0" w14:ky="0" w14:algn="tl">
            <w14:srgbClr w14:val="000000">
              <w14:alpha w14:val="60000"/>
            </w14:srgbClr>
          </w14:shadow>
        </w:rPr>
        <w:drawing>
          <wp:anchor distT="0" distB="0" distL="114300" distR="114300" simplePos="0" relativeHeight="251663360" behindDoc="0" locked="0" layoutInCell="1" allowOverlap="1" wp14:anchorId="4C1D1B72" wp14:editId="13B2CA65">
            <wp:simplePos x="0" y="0"/>
            <wp:positionH relativeFrom="margin">
              <wp:posOffset>652780</wp:posOffset>
            </wp:positionH>
            <wp:positionV relativeFrom="paragraph">
              <wp:posOffset>542925</wp:posOffset>
            </wp:positionV>
            <wp:extent cx="1219200" cy="1347470"/>
            <wp:effectExtent l="0" t="0" r="0" b="5080"/>
            <wp:wrapSquare wrapText="bothSides"/>
            <wp:docPr id="4" name="Image 4" descr="http://kcsconstructionllc.com/wp-content/uploads/2015/03/construction-project-manageme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csconstructionllc.com/wp-content/uploads/2015/03/construction-project-management1.jpg"/>
                    <pic:cNvPicPr>
                      <a:picLocks noChangeAspect="1" noChangeArrowheads="1"/>
                    </pic:cNvPicPr>
                  </pic:nvPicPr>
                  <pic:blipFill>
                    <a:blip r:embed="rId13" cstate="print"/>
                    <a:srcRect/>
                    <a:stretch>
                      <a:fillRect/>
                    </a:stretch>
                  </pic:blipFill>
                  <pic:spPr bwMode="auto">
                    <a:xfrm>
                      <a:off x="0" y="0"/>
                      <a:ext cx="1219200" cy="13474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3434E" w:rsidRPr="0043547B" w:rsidRDefault="00A3434E" w:rsidP="001D5BC8">
      <w:pPr>
        <w:jc w:val="both"/>
        <w:rPr>
          <w:rFonts w:ascii="Maiandra GD" w:hAnsi="Maiandra GD"/>
          <w:b/>
          <w:sz w:val="52"/>
          <w:szCs w:val="52"/>
          <w14:shadow w14:blurRad="50800" w14:dist="38100" w14:dir="2700000" w14:sx="100000" w14:sy="100000" w14:kx="0" w14:ky="0" w14:algn="tl">
            <w14:srgbClr w14:val="000000">
              <w14:alpha w14:val="60000"/>
            </w14:srgbClr>
          </w14:shadow>
        </w:rPr>
      </w:pPr>
    </w:p>
    <w:p w:rsidR="005A6F23" w:rsidRPr="0043547B" w:rsidRDefault="00783E24" w:rsidP="001D5BC8">
      <w:pPr>
        <w:jc w:val="both"/>
        <w:rPr>
          <w:rFonts w:ascii="Maiandra GD" w:hAnsi="Maiandra GD"/>
          <w:b/>
          <w:sz w:val="48"/>
          <w:szCs w:val="48"/>
          <w14:shadow w14:blurRad="50800" w14:dist="38100" w14:dir="2700000" w14:sx="100000" w14:sy="100000" w14:kx="0" w14:ky="0" w14:algn="tl">
            <w14:srgbClr w14:val="000000">
              <w14:alpha w14:val="60000"/>
            </w14:srgbClr>
          </w14:shadow>
        </w:rPr>
      </w:pPr>
      <w:bookmarkStart w:id="4" w:name="_Toc429726715"/>
      <w:r w:rsidRPr="0043547B">
        <w:rPr>
          <w:rFonts w:ascii="Maiandra GD" w:hAnsi="Maiandra GD"/>
          <w:b/>
          <w:noProof/>
          <w:szCs w:val="48"/>
          <w:lang w:eastAsia="fr-FR"/>
          <w14:shadow w14:blurRad="50800" w14:dist="38100" w14:dir="2700000" w14:sx="100000" w14:sy="100000" w14:kx="0" w14:ky="0" w14:algn="tl">
            <w14:srgbClr w14:val="000000">
              <w14:alpha w14:val="60000"/>
            </w14:srgbClr>
          </w14:shadow>
        </w:rPr>
        <w:drawing>
          <wp:anchor distT="0" distB="0" distL="114300" distR="114300" simplePos="0" relativeHeight="251638784" behindDoc="0" locked="0" layoutInCell="1" allowOverlap="1" wp14:anchorId="4D0B4055" wp14:editId="43AFED32">
            <wp:simplePos x="0" y="0"/>
            <wp:positionH relativeFrom="margin">
              <wp:posOffset>-556895</wp:posOffset>
            </wp:positionH>
            <wp:positionV relativeFrom="paragraph">
              <wp:posOffset>652780</wp:posOffset>
            </wp:positionV>
            <wp:extent cx="1228725" cy="1394460"/>
            <wp:effectExtent l="0" t="0" r="9525" b="0"/>
            <wp:wrapSquare wrapText="bothSides"/>
            <wp:docPr id="6" name="Image 1" descr="http://www.steel-sa.com/bzzz/wp-content/uploads/2012/05/Street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eel-sa.com/bzzz/wp-content/uploads/2012/05/Streetlight.jpg"/>
                    <pic:cNvPicPr>
                      <a:picLocks noChangeAspect="1" noChangeArrowheads="1"/>
                    </pic:cNvPicPr>
                  </pic:nvPicPr>
                  <pic:blipFill>
                    <a:blip r:embed="rId14" cstate="print"/>
                    <a:srcRect/>
                    <a:stretch>
                      <a:fillRect/>
                    </a:stretch>
                  </pic:blipFill>
                  <pic:spPr bwMode="auto">
                    <a:xfrm>
                      <a:off x="0" y="0"/>
                      <a:ext cx="1228725" cy="13944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bookmarkEnd w:id="4"/>
    <w:p w:rsidR="001710A0" w:rsidRPr="0043547B" w:rsidRDefault="009A0EA4" w:rsidP="001D5BC8">
      <w:pPr>
        <w:jc w:val="both"/>
        <w:rPr>
          <w:rFonts w:ascii="Maiandra GD" w:hAnsi="Maiandra GD"/>
          <w:b/>
          <w:sz w:val="48"/>
          <w:szCs w:val="48"/>
          <w14:shadow w14:blurRad="50800" w14:dist="38100" w14:dir="2700000" w14:sx="100000" w14:sy="100000" w14:kx="0" w14:ky="0" w14:algn="tl">
            <w14:srgbClr w14:val="000000">
              <w14:alpha w14:val="60000"/>
            </w14:srgbClr>
          </w14:shadow>
        </w:rPr>
      </w:pPr>
      <w:r w:rsidRPr="0043547B">
        <w:rPr>
          <w:rFonts w:ascii="Maiandra GD" w:hAnsi="Maiandra GD"/>
          <w:b/>
          <w:noProof/>
          <w:sz w:val="48"/>
          <w:szCs w:val="48"/>
          <w:lang w:eastAsia="fr-FR"/>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59264" behindDoc="0" locked="0" layoutInCell="1" allowOverlap="1" wp14:anchorId="4F2B7BB8" wp14:editId="5236128A">
                <wp:simplePos x="0" y="0"/>
                <wp:positionH relativeFrom="column">
                  <wp:posOffset>2667000</wp:posOffset>
                </wp:positionH>
                <wp:positionV relativeFrom="paragraph">
                  <wp:posOffset>4404360</wp:posOffset>
                </wp:positionV>
                <wp:extent cx="650875" cy="378460"/>
                <wp:effectExtent l="13970" t="8255" r="11430" b="1333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378460"/>
                        </a:xfrm>
                        <a:prstGeom prst="rect">
                          <a:avLst/>
                        </a:prstGeom>
                        <a:solidFill>
                          <a:srgbClr val="FFFFFF"/>
                        </a:solidFill>
                        <a:ln w="9525">
                          <a:solidFill>
                            <a:schemeClr val="bg1">
                              <a:lumMod val="100000"/>
                              <a:lumOff val="0"/>
                            </a:schemeClr>
                          </a:solidFill>
                          <a:miter lim="800000"/>
                          <a:headEnd/>
                          <a:tailEnd/>
                        </a:ln>
                      </wps:spPr>
                      <wps:txbx>
                        <w:txbxContent>
                          <w:p w:rsidR="00725D0C" w:rsidRDefault="00725D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B7BB8" id="Text Box 4" o:spid="_x0000_s1028" type="#_x0000_t202" style="position:absolute;left:0;text-align:left;margin-left:210pt;margin-top:346.8pt;width:51.25pt;height:2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" strokecolor="white [3212]">
                <v:textbox>
                  <w:txbxContent>
                    <w:p w:rsidR="00725D0C" w:rsidRDefault="00725D0C"/>
                  </w:txbxContent>
                </v:textbox>
              </v:shape>
            </w:pict>
          </mc:Fallback>
        </mc:AlternateContent>
      </w:r>
    </w:p>
    <w:p w:rsidR="005A6F23" w:rsidRPr="0043547B" w:rsidRDefault="005A6F23" w:rsidP="00C9170A">
      <w:pPr>
        <w:pStyle w:val="Titre1"/>
        <w:rPr>
          <w:color w:val="auto"/>
          <w:szCs w:val="48"/>
        </w:rPr>
      </w:pPr>
    </w:p>
    <w:p w:rsidR="008A12A3" w:rsidRPr="0043547B" w:rsidRDefault="00783E24" w:rsidP="005A6F23">
      <w:r w:rsidRPr="0043547B">
        <w:rPr>
          <w:rFonts w:ascii="Maiandra GD" w:hAnsi="Maiandra GD"/>
          <w:b/>
          <w:noProof/>
          <w:szCs w:val="48"/>
          <w:lang w:eastAsia="fr-FR"/>
          <w14:shadow w14:blurRad="50800" w14:dist="38100" w14:dir="2700000" w14:sx="100000" w14:sy="100000" w14:kx="0" w14:ky="0" w14:algn="tl">
            <w14:srgbClr w14:val="000000">
              <w14:alpha w14:val="60000"/>
            </w14:srgbClr>
          </w14:shadow>
        </w:rPr>
        <w:drawing>
          <wp:anchor distT="0" distB="0" distL="114300" distR="114300" simplePos="0" relativeHeight="251632640" behindDoc="0" locked="0" layoutInCell="1" allowOverlap="1" wp14:anchorId="7F722A05" wp14:editId="59C3059D">
            <wp:simplePos x="0" y="0"/>
            <wp:positionH relativeFrom="column">
              <wp:posOffset>669925</wp:posOffset>
            </wp:positionH>
            <wp:positionV relativeFrom="paragraph">
              <wp:posOffset>286385</wp:posOffset>
            </wp:positionV>
            <wp:extent cx="1228725" cy="1470660"/>
            <wp:effectExtent l="0" t="0" r="9525" b="0"/>
            <wp:wrapSquare wrapText="bothSides"/>
            <wp:docPr id="12" name="Image 4" descr="http://www.karcher-tp.fr/image_karcher/chantier/chantier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archer-tp.fr/image_karcher/chantier/chantier_5.jpg"/>
                    <pic:cNvPicPr>
                      <a:picLocks noChangeAspect="1" noChangeArrowheads="1"/>
                    </pic:cNvPicPr>
                  </pic:nvPicPr>
                  <pic:blipFill>
                    <a:blip r:embed="rId15" cstate="print"/>
                    <a:srcRect/>
                    <a:stretch>
                      <a:fillRect/>
                    </a:stretch>
                  </pic:blipFill>
                  <pic:spPr bwMode="auto">
                    <a:xfrm>
                      <a:off x="0" y="0"/>
                      <a:ext cx="1228725" cy="14706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A12A3" w:rsidRPr="0043547B" w:rsidRDefault="008A12A3" w:rsidP="005A6F23"/>
    <w:p w:rsidR="005A6F23" w:rsidRPr="0043547B" w:rsidRDefault="005A6F23" w:rsidP="005A6F23"/>
    <w:p w:rsidR="00C513FD" w:rsidRPr="0043547B" w:rsidRDefault="00C513FD" w:rsidP="005A6F23"/>
    <w:p w:rsidR="00C513FD" w:rsidRPr="0043547B" w:rsidRDefault="00783E24" w:rsidP="005A6F23">
      <w:r w:rsidRPr="0043547B">
        <w:rPr>
          <w:rFonts w:ascii="Maiandra GD" w:hAnsi="Maiandra GD"/>
          <w:b/>
          <w:noProof/>
          <w:sz w:val="48"/>
          <w:szCs w:val="48"/>
          <w:lang w:eastAsia="fr-FR"/>
        </w:rPr>
        <mc:AlternateContent>
          <mc:Choice Requires="wps">
            <w:drawing>
              <wp:anchor distT="0" distB="0" distL="114300" distR="114300" simplePos="0" relativeHeight="251708416" behindDoc="0" locked="0" layoutInCell="1" allowOverlap="1" wp14:anchorId="29BB455B" wp14:editId="10608E6D">
                <wp:simplePos x="0" y="0"/>
                <wp:positionH relativeFrom="column">
                  <wp:posOffset>-663575</wp:posOffset>
                </wp:positionH>
                <wp:positionV relativeFrom="paragraph">
                  <wp:posOffset>421640</wp:posOffset>
                </wp:positionV>
                <wp:extent cx="1478280" cy="1828800"/>
                <wp:effectExtent l="0" t="0" r="0" b="0"/>
                <wp:wrapNone/>
                <wp:docPr id="47" name="Zone de texte 47"/>
                <wp:cNvGraphicFramePr/>
                <a:graphic xmlns:a="http://schemas.openxmlformats.org/drawingml/2006/main">
                  <a:graphicData uri="http://schemas.microsoft.com/office/word/2010/wordprocessingShape">
                    <wps:wsp>
                      <wps:cNvSpPr txBox="1"/>
                      <wps:spPr>
                        <a:xfrm>
                          <a:off x="0" y="0"/>
                          <a:ext cx="147828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5D0C" w:rsidRDefault="00725D0C" w:rsidP="00783E24">
                            <w:r>
                              <w:rPr>
                                <w:noProof/>
                                <w:lang w:eastAsia="fr-FR"/>
                              </w:rPr>
                              <w:drawing>
                                <wp:inline distT="0" distB="0" distL="0" distR="0" wp14:anchorId="522CFBE4" wp14:editId="22C84042">
                                  <wp:extent cx="1272540" cy="1485900"/>
                                  <wp:effectExtent l="0" t="0" r="3810" b="0"/>
                                  <wp:docPr id="40" name="Image 40" descr="Résultat de recherche d'images pour &quot;TRAVAUX&quot;"/>
                                  <wp:cNvGraphicFramePr/>
                                  <a:graphic xmlns:a="http://schemas.openxmlformats.org/drawingml/2006/main">
                                    <a:graphicData uri="http://schemas.openxmlformats.org/drawingml/2006/picture">
                                      <pic:pic xmlns:pic="http://schemas.openxmlformats.org/drawingml/2006/picture">
                                        <pic:nvPicPr>
                                          <pic:cNvPr id="29" name="Image 29" descr="Résultat de recherche d'images pour &quot;TRAVAUX&quot;"/>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72540" cy="14859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BB455B" id="Zone de texte 47" o:spid="_x0000_s1029" type="#_x0000_t202" style="position:absolute;margin-left:-52.25pt;margin-top:33.2pt;width:116.4pt;height:2in;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" filled="f" stroked="f" strokeweight=".5pt">
                <v:textbox>
                  <w:txbxContent>
                    <w:p w:rsidR="00725D0C" w:rsidRDefault="00725D0C" w:rsidP="00783E24">
                      <w:r>
                        <w:rPr>
                          <w:noProof/>
                          <w:lang w:eastAsia="fr-FR"/>
                        </w:rPr>
                        <w:drawing>
                          <wp:inline distT="0" distB="0" distL="0" distR="0" wp14:anchorId="522CFBE4" wp14:editId="22C84042">
                            <wp:extent cx="1272540" cy="1485900"/>
                            <wp:effectExtent l="0" t="0" r="3810" b="0"/>
                            <wp:docPr id="40" name="Image 40" descr="Résultat de recherche d'images pour &quot;TRAVAUX&quot;"/>
                            <wp:cNvGraphicFramePr/>
                            <a:graphic xmlns:a="http://schemas.openxmlformats.org/drawingml/2006/main">
                              <a:graphicData uri="http://schemas.openxmlformats.org/drawingml/2006/picture">
                                <pic:pic xmlns:pic="http://schemas.openxmlformats.org/drawingml/2006/picture">
                                  <pic:nvPicPr>
                                    <pic:cNvPr id="29" name="Image 29" descr="Résultat de recherche d'images pour &quot;TRAVAUX&quot;"/>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2540" cy="1485900"/>
                                    </a:xfrm>
                                    <a:prstGeom prst="rect">
                                      <a:avLst/>
                                    </a:prstGeom>
                                    <a:noFill/>
                                    <a:ln>
                                      <a:noFill/>
                                    </a:ln>
                                  </pic:spPr>
                                </pic:pic>
                              </a:graphicData>
                            </a:graphic>
                          </wp:inline>
                        </w:drawing>
                      </w:r>
                    </w:p>
                  </w:txbxContent>
                </v:textbox>
              </v:shape>
            </w:pict>
          </mc:Fallback>
        </mc:AlternateContent>
      </w:r>
    </w:p>
    <w:p w:rsidR="00C513FD" w:rsidRPr="0043547B" w:rsidRDefault="005D713F" w:rsidP="005A6F23">
      <w:r>
        <w:rPr>
          <w:noProof/>
          <w:lang w:eastAsia="fr-FR"/>
        </w:rPr>
        <mc:AlternateContent>
          <mc:Choice Requires="wps">
            <w:drawing>
              <wp:anchor distT="0" distB="0" distL="114300" distR="114300" simplePos="0" relativeHeight="251709440" behindDoc="0" locked="0" layoutInCell="1" allowOverlap="1">
                <wp:simplePos x="0" y="0"/>
                <wp:positionH relativeFrom="column">
                  <wp:posOffset>2712085</wp:posOffset>
                </wp:positionH>
                <wp:positionV relativeFrom="paragraph">
                  <wp:posOffset>1219835</wp:posOffset>
                </wp:positionV>
                <wp:extent cx="281940" cy="205740"/>
                <wp:effectExtent l="0" t="0" r="22860" b="22860"/>
                <wp:wrapNone/>
                <wp:docPr id="3" name="Rectangle 3"/>
                <wp:cNvGraphicFramePr/>
                <a:graphic xmlns:a="http://schemas.openxmlformats.org/drawingml/2006/main">
                  <a:graphicData uri="http://schemas.microsoft.com/office/word/2010/wordprocessingShape">
                    <wps:wsp>
                      <wps:cNvSpPr/>
                      <wps:spPr>
                        <a:xfrm>
                          <a:off x="0" y="0"/>
                          <a:ext cx="281940" cy="2057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7ECBF4" id="Rectangle 3" o:spid="_x0000_s1026" style="position:absolute;margin-left:213.55pt;margin-top:96.05pt;width:22.2pt;height:16.2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" fillcolor="white [3212]" strokecolor="white [3212]" strokeweight="2pt"/>
            </w:pict>
          </mc:Fallback>
        </mc:AlternateContent>
      </w:r>
      <w:r w:rsidR="00C513FD" w:rsidRPr="0043547B">
        <w:rPr>
          <w:noProof/>
          <w:lang w:eastAsia="fr-FR"/>
        </w:rPr>
        <mc:AlternateContent>
          <mc:Choice Requires="wps">
            <w:drawing>
              <wp:anchor distT="0" distB="0" distL="114300" distR="114300" simplePos="0" relativeHeight="251704320" behindDoc="0" locked="0" layoutInCell="1" allowOverlap="1" wp14:anchorId="6344A152" wp14:editId="5AEDA9B1">
                <wp:simplePos x="0" y="0"/>
                <wp:positionH relativeFrom="column">
                  <wp:posOffset>4851400</wp:posOffset>
                </wp:positionH>
                <wp:positionV relativeFrom="paragraph">
                  <wp:posOffset>1354455</wp:posOffset>
                </wp:positionV>
                <wp:extent cx="1485900" cy="254442"/>
                <wp:effectExtent l="0" t="0" r="19050" b="12700"/>
                <wp:wrapNone/>
                <wp:docPr id="15" name="Zone de texte 15"/>
                <wp:cNvGraphicFramePr/>
                <a:graphic xmlns:a="http://schemas.openxmlformats.org/drawingml/2006/main">
                  <a:graphicData uri="http://schemas.microsoft.com/office/word/2010/wordprocessingShape">
                    <wps:wsp>
                      <wps:cNvSpPr txBox="1"/>
                      <wps:spPr>
                        <a:xfrm>
                          <a:off x="0" y="0"/>
                          <a:ext cx="1485900" cy="25444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25D0C" w:rsidRPr="00C513FD" w:rsidRDefault="00725D0C" w:rsidP="00076B97">
                            <w:pPr>
                              <w:jc w:val="center"/>
                              <w:rPr>
                                <w:b/>
                                <w:bCs/>
                              </w:rPr>
                            </w:pPr>
                            <w:r>
                              <w:rPr>
                                <w:b/>
                                <w:bCs/>
                              </w:rPr>
                              <w:t>Edition 2021 – V10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44A152" id="Zone de texte 15" o:spid="_x0000_s1030" type="#_x0000_t202" style="position:absolute;margin-left:382pt;margin-top:106.65pt;width:117pt;height:20.0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" fillcolor="white [3201]" strokecolor="white [3212]" strokeweight=".5pt">
                <v:textbox>
                  <w:txbxContent>
                    <w:p w:rsidR="00725D0C" w:rsidRPr="00C513FD" w:rsidRDefault="00725D0C" w:rsidP="00076B97">
                      <w:pPr>
                        <w:jc w:val="center"/>
                        <w:rPr>
                          <w:b/>
                          <w:bCs/>
                        </w:rPr>
                      </w:pPr>
                      <w:r>
                        <w:rPr>
                          <w:b/>
                          <w:bCs/>
                        </w:rPr>
                        <w:t>Edition 2021 – V10</w:t>
                      </w:r>
                    </w:p>
                  </w:txbxContent>
                </v:textbox>
              </v:shape>
            </w:pict>
          </mc:Fallback>
        </mc:AlternateContent>
      </w:r>
    </w:p>
    <w:p w:rsidR="00214A85" w:rsidRPr="0043547B" w:rsidRDefault="00B13F66" w:rsidP="00C9170A">
      <w:pPr>
        <w:pStyle w:val="Titre1"/>
        <w:rPr>
          <w:color w:val="auto"/>
          <w:szCs w:val="48"/>
        </w:rPr>
      </w:pPr>
      <w:bookmarkStart w:id="5" w:name="_Toc458606062"/>
      <w:r w:rsidRPr="0043547B">
        <w:rPr>
          <w:color w:val="auto"/>
          <w:szCs w:val="48"/>
        </w:rPr>
        <w:lastRenderedPageBreak/>
        <w:t>Préface</w:t>
      </w:r>
      <w:bookmarkEnd w:id="5"/>
    </w:p>
    <w:p w:rsidR="00214A85" w:rsidRPr="0043547B" w:rsidRDefault="00214A85" w:rsidP="001D5BC8">
      <w:pPr>
        <w:jc w:val="both"/>
        <w:rPr>
          <w:rFonts w:ascii="Maiandra GD" w:hAnsi="Maiandra GD"/>
          <w:sz w:val="24"/>
          <w:szCs w:val="24"/>
        </w:rPr>
      </w:pPr>
      <w:r w:rsidRPr="0043547B">
        <w:rPr>
          <w:rFonts w:ascii="Maiandra GD" w:hAnsi="Maiandra GD"/>
          <w:sz w:val="24"/>
          <w:szCs w:val="24"/>
        </w:rPr>
        <w:t xml:space="preserve">La complexité des problèmes liés à l’ouverture des marchés et à la croissance </w:t>
      </w:r>
      <w:r w:rsidR="00684C22" w:rsidRPr="0043547B">
        <w:rPr>
          <w:rFonts w:ascii="Maiandra GD" w:hAnsi="Maiandra GD"/>
          <w:sz w:val="24"/>
          <w:szCs w:val="24"/>
        </w:rPr>
        <w:t>rapide</w:t>
      </w:r>
      <w:r w:rsidRPr="0043547B">
        <w:rPr>
          <w:rFonts w:ascii="Maiandra GD" w:hAnsi="Maiandra GD"/>
          <w:sz w:val="24"/>
          <w:szCs w:val="24"/>
        </w:rPr>
        <w:t xml:space="preserve"> des moyens de communication et d’échange ont placé la norme au cœur de toute stratégie de promotion des options technologiques et de dé</w:t>
      </w:r>
      <w:r w:rsidR="003C1575" w:rsidRPr="0043547B">
        <w:rPr>
          <w:rFonts w:ascii="Maiandra GD" w:hAnsi="Maiandra GD"/>
          <w:sz w:val="24"/>
          <w:szCs w:val="24"/>
        </w:rPr>
        <w:t>fense des intérêts commerciaux. L</w:t>
      </w:r>
      <w:r w:rsidRPr="0043547B">
        <w:rPr>
          <w:rFonts w:ascii="Maiandra GD" w:hAnsi="Maiandra GD"/>
          <w:sz w:val="24"/>
          <w:szCs w:val="24"/>
        </w:rPr>
        <w:t xml:space="preserve">e recours à la normalisation est devenu aujourd’hui un réel moteur pour le développement des échanges commerciaux et l’intégration de l’économie mondiale.  </w:t>
      </w:r>
      <w:r w:rsidR="00D179EC" w:rsidRPr="0043547B">
        <w:rPr>
          <w:rFonts w:ascii="Maiandra GD" w:hAnsi="Maiandra GD"/>
          <w:sz w:val="24"/>
          <w:szCs w:val="24"/>
        </w:rPr>
        <w:t xml:space="preserve">La conscience de plus en plus </w:t>
      </w:r>
      <w:r w:rsidR="003C1575" w:rsidRPr="0043547B">
        <w:rPr>
          <w:rFonts w:ascii="Maiandra GD" w:hAnsi="Maiandra GD"/>
          <w:sz w:val="24"/>
          <w:szCs w:val="24"/>
        </w:rPr>
        <w:t>accrue de la nécessite de se référer à des spécificati</w:t>
      </w:r>
      <w:r w:rsidR="003217ED" w:rsidRPr="0043547B">
        <w:rPr>
          <w:rFonts w:ascii="Maiandra GD" w:hAnsi="Maiandra GD"/>
          <w:sz w:val="24"/>
          <w:szCs w:val="24"/>
        </w:rPr>
        <w:t xml:space="preserve">ons reconnues à grande échelle </w:t>
      </w:r>
      <w:r w:rsidR="003C1575" w:rsidRPr="0043547B">
        <w:rPr>
          <w:rFonts w:ascii="Maiandra GD" w:hAnsi="Maiandra GD"/>
          <w:sz w:val="24"/>
          <w:szCs w:val="24"/>
        </w:rPr>
        <w:t xml:space="preserve">dans tout </w:t>
      </w:r>
      <w:r w:rsidR="004D66CD" w:rsidRPr="0043547B">
        <w:rPr>
          <w:rFonts w:ascii="Maiandra GD" w:hAnsi="Maiandra GD"/>
          <w:sz w:val="24"/>
          <w:szCs w:val="24"/>
        </w:rPr>
        <w:t xml:space="preserve">achat </w:t>
      </w:r>
      <w:r w:rsidR="003217ED" w:rsidRPr="0043547B">
        <w:rPr>
          <w:rFonts w:ascii="Maiandra GD" w:hAnsi="Maiandra GD"/>
          <w:sz w:val="24"/>
          <w:szCs w:val="24"/>
        </w:rPr>
        <w:t xml:space="preserve">de produit ou service, </w:t>
      </w:r>
      <w:r w:rsidR="00BE431D" w:rsidRPr="0043547B">
        <w:rPr>
          <w:rFonts w:ascii="Maiandra GD" w:hAnsi="Maiandra GD"/>
          <w:sz w:val="24"/>
          <w:szCs w:val="24"/>
        </w:rPr>
        <w:t xml:space="preserve">toute </w:t>
      </w:r>
      <w:r w:rsidR="003217ED" w:rsidRPr="0043547B">
        <w:rPr>
          <w:rFonts w:ascii="Maiandra GD" w:hAnsi="Maiandra GD"/>
          <w:sz w:val="24"/>
          <w:szCs w:val="24"/>
        </w:rPr>
        <w:t>évaluation de conformité de livraison des produits et des prestations…</w:t>
      </w:r>
      <w:r w:rsidR="003C1575" w:rsidRPr="0043547B">
        <w:rPr>
          <w:rFonts w:ascii="Maiandra GD" w:hAnsi="Maiandra GD"/>
          <w:sz w:val="24"/>
          <w:szCs w:val="24"/>
        </w:rPr>
        <w:t xml:space="preserve"> accroit le recours aux normes.</w:t>
      </w:r>
    </w:p>
    <w:p w:rsidR="004D66CD" w:rsidRPr="0043547B" w:rsidRDefault="00214A85" w:rsidP="00B109A8">
      <w:pPr>
        <w:jc w:val="both"/>
        <w:rPr>
          <w:rFonts w:ascii="Maiandra GD" w:hAnsi="Maiandra GD"/>
          <w:sz w:val="24"/>
          <w:szCs w:val="24"/>
        </w:rPr>
      </w:pPr>
      <w:r w:rsidRPr="0043547B">
        <w:rPr>
          <w:rFonts w:ascii="Maiandra GD" w:hAnsi="Maiandra GD"/>
          <w:sz w:val="24"/>
          <w:szCs w:val="24"/>
        </w:rPr>
        <w:t xml:space="preserve">En effet, </w:t>
      </w:r>
      <w:r w:rsidR="004D66CD" w:rsidRPr="0043547B">
        <w:rPr>
          <w:rFonts w:ascii="Maiandra GD" w:hAnsi="Maiandra GD"/>
          <w:sz w:val="24"/>
          <w:szCs w:val="24"/>
        </w:rPr>
        <w:t xml:space="preserve">dans les marchés publics, les normes peuvent être un outil pour l’acheteur public afin de définir et communiquer ses besoins, de rédiger ses cahiers des charges ou encore d’établir des critères de sélection. L’acheteur public pourrait ainsi utiliser des normes avant que l’achat ait lieu, pendant l’exécution du marché lui-même, ou même après livraison. Les normes </w:t>
      </w:r>
      <w:r w:rsidR="00BE431D" w:rsidRPr="0043547B">
        <w:rPr>
          <w:rFonts w:ascii="Maiandra GD" w:hAnsi="Maiandra GD"/>
          <w:sz w:val="24"/>
          <w:szCs w:val="24"/>
        </w:rPr>
        <w:t>apportent des solutions aux</w:t>
      </w:r>
      <w:r w:rsidR="004D66CD" w:rsidRPr="0043547B">
        <w:rPr>
          <w:rFonts w:ascii="Maiandra GD" w:hAnsi="Maiandra GD"/>
          <w:sz w:val="24"/>
          <w:szCs w:val="24"/>
        </w:rPr>
        <w:t xml:space="preserve"> différents problèmes et challenges auxquels un acheteur public pourrait être confronté.</w:t>
      </w:r>
    </w:p>
    <w:p w:rsidR="002D0AE1" w:rsidRPr="0043547B" w:rsidRDefault="00C44446" w:rsidP="001D5BC8">
      <w:pPr>
        <w:pStyle w:val="Sous-titre"/>
        <w:spacing w:before="240" w:line="276" w:lineRule="auto"/>
        <w:jc w:val="both"/>
        <w:rPr>
          <w:rFonts w:ascii="Maiandra GD" w:hAnsi="Maiandra GD" w:cstheme="majorBidi"/>
        </w:rPr>
      </w:pPr>
      <w:r w:rsidRPr="0043547B">
        <w:rPr>
          <w:rFonts w:ascii="Maiandra GD" w:hAnsi="Maiandra GD"/>
        </w:rPr>
        <w:t xml:space="preserve">De même, </w:t>
      </w:r>
      <w:r w:rsidR="003D69FF" w:rsidRPr="0043547B">
        <w:rPr>
          <w:rFonts w:ascii="Maiandra GD" w:hAnsi="Maiandra GD" w:cstheme="majorBidi"/>
        </w:rPr>
        <w:t xml:space="preserve">le respect </w:t>
      </w:r>
      <w:r w:rsidRPr="0043547B">
        <w:rPr>
          <w:rFonts w:ascii="Maiandra GD" w:hAnsi="Maiandra GD" w:cstheme="majorBidi"/>
        </w:rPr>
        <w:t xml:space="preserve">de l’application </w:t>
      </w:r>
      <w:r w:rsidR="003D69FF" w:rsidRPr="0043547B">
        <w:rPr>
          <w:rFonts w:ascii="Maiandra GD" w:hAnsi="Maiandra GD" w:cstheme="majorBidi"/>
        </w:rPr>
        <w:t xml:space="preserve">des normes </w:t>
      </w:r>
      <w:r w:rsidRPr="0043547B">
        <w:rPr>
          <w:rFonts w:ascii="Maiandra GD" w:hAnsi="Maiandra GD" w:cstheme="majorBidi"/>
        </w:rPr>
        <w:t xml:space="preserve">qui </w:t>
      </w:r>
      <w:r w:rsidR="003D69FF" w:rsidRPr="0043547B">
        <w:rPr>
          <w:rFonts w:ascii="Maiandra GD" w:hAnsi="Maiandra GD" w:cstheme="majorBidi"/>
        </w:rPr>
        <w:t xml:space="preserve">permet </w:t>
      </w:r>
      <w:r w:rsidRPr="0043547B">
        <w:rPr>
          <w:rFonts w:ascii="Maiandra GD" w:hAnsi="Maiandra GD" w:cstheme="majorBidi"/>
        </w:rPr>
        <w:t xml:space="preserve">de satisfaire les attentes des acheteurs </w:t>
      </w:r>
      <w:r w:rsidR="004D66CD" w:rsidRPr="0043547B">
        <w:rPr>
          <w:rFonts w:ascii="Maiandra GD" w:hAnsi="Maiandra GD" w:cstheme="majorBidi"/>
        </w:rPr>
        <w:t xml:space="preserve">publics </w:t>
      </w:r>
      <w:r w:rsidRPr="0043547B">
        <w:rPr>
          <w:rFonts w:ascii="Maiandra GD" w:hAnsi="Maiandra GD" w:cstheme="majorBidi"/>
        </w:rPr>
        <w:t xml:space="preserve">aux différents niveaux et </w:t>
      </w:r>
      <w:r w:rsidR="003D69FF" w:rsidRPr="0043547B">
        <w:rPr>
          <w:rFonts w:ascii="Maiandra GD" w:hAnsi="Maiandra GD" w:cstheme="majorBidi"/>
        </w:rPr>
        <w:t>d’a</w:t>
      </w:r>
      <w:r w:rsidRPr="0043547B">
        <w:rPr>
          <w:rFonts w:ascii="Maiandra GD" w:hAnsi="Maiandra GD" w:cstheme="majorBidi"/>
        </w:rPr>
        <w:t xml:space="preserve">ssurer la qualité des achats et la sécurité </w:t>
      </w:r>
      <w:r w:rsidR="003D69FF" w:rsidRPr="0043547B">
        <w:rPr>
          <w:rFonts w:ascii="Maiandra GD" w:hAnsi="Maiandra GD" w:cstheme="majorBidi"/>
        </w:rPr>
        <w:t>des réalisations</w:t>
      </w:r>
      <w:r w:rsidRPr="0043547B">
        <w:rPr>
          <w:rFonts w:ascii="Maiandra GD" w:hAnsi="Maiandra GD" w:cstheme="majorBidi"/>
        </w:rPr>
        <w:t>,</w:t>
      </w:r>
      <w:r w:rsidR="003D69FF" w:rsidRPr="0043547B">
        <w:rPr>
          <w:rFonts w:ascii="Maiandra GD" w:hAnsi="Maiandra GD" w:cstheme="majorBidi"/>
        </w:rPr>
        <w:t xml:space="preserve"> contribue à </w:t>
      </w:r>
      <w:r w:rsidRPr="0043547B">
        <w:rPr>
          <w:rFonts w:ascii="Maiandra GD" w:hAnsi="Maiandra GD" w:cstheme="majorBidi"/>
        </w:rPr>
        <w:t>l’amélioration de la compétitivité des produits et favorise la</w:t>
      </w:r>
      <w:r w:rsidR="003D69FF" w:rsidRPr="0043547B">
        <w:rPr>
          <w:rFonts w:ascii="Maiandra GD" w:hAnsi="Maiandra GD" w:cstheme="majorBidi"/>
        </w:rPr>
        <w:t xml:space="preserve"> transparence dans les marchés publics.</w:t>
      </w:r>
    </w:p>
    <w:p w:rsidR="002D0AE1" w:rsidRPr="0043547B" w:rsidRDefault="003A3158" w:rsidP="00F346FB">
      <w:pPr>
        <w:pStyle w:val="Sous-titre"/>
        <w:spacing w:before="240" w:line="276" w:lineRule="auto"/>
        <w:jc w:val="both"/>
        <w:rPr>
          <w:rFonts w:ascii="Maiandra GD" w:hAnsi="Maiandra GD"/>
        </w:rPr>
      </w:pPr>
      <w:r w:rsidRPr="0043547B">
        <w:rPr>
          <w:rFonts w:ascii="Maiandra GD" w:hAnsi="Maiandra GD"/>
        </w:rPr>
        <w:t>Le cadre légal régissant le système normatif marocain constitué d</w:t>
      </w:r>
      <w:r w:rsidR="002D0AE1" w:rsidRPr="0043547B">
        <w:rPr>
          <w:rFonts w:ascii="Maiandra GD" w:hAnsi="Maiandra GD"/>
        </w:rPr>
        <w:t>e</w:t>
      </w:r>
      <w:r w:rsidRPr="0043547B">
        <w:rPr>
          <w:rFonts w:ascii="Maiandra GD" w:hAnsi="Maiandra GD"/>
        </w:rPr>
        <w:t xml:space="preserve"> la loi 12-06 relative à la normalisation, à la certification et à l’accréditation et de ses textes d’application, </w:t>
      </w:r>
      <w:r w:rsidR="002D0AE1" w:rsidRPr="0043547B">
        <w:rPr>
          <w:rFonts w:ascii="Maiandra GD" w:hAnsi="Maiandra GD"/>
        </w:rPr>
        <w:t>s’appuyant sur les acquis internation</w:t>
      </w:r>
      <w:r w:rsidR="00935948" w:rsidRPr="0043547B">
        <w:rPr>
          <w:rFonts w:ascii="Maiandra GD" w:hAnsi="Maiandra GD"/>
        </w:rPr>
        <w:t>aux en matière de normalisation</w:t>
      </w:r>
      <w:r w:rsidR="002D0AE1" w:rsidRPr="0043547B">
        <w:rPr>
          <w:rFonts w:ascii="Maiandra GD" w:hAnsi="Maiandra GD"/>
        </w:rPr>
        <w:t xml:space="preserve">, </w:t>
      </w:r>
      <w:r w:rsidRPr="0043547B">
        <w:rPr>
          <w:rFonts w:ascii="Maiandra GD" w:hAnsi="Maiandra GD"/>
        </w:rPr>
        <w:t xml:space="preserve">permet de disposer de normes </w:t>
      </w:r>
      <w:r w:rsidR="002D0AE1" w:rsidRPr="0043547B">
        <w:rPr>
          <w:rFonts w:ascii="Maiandra GD" w:hAnsi="Maiandra GD"/>
        </w:rPr>
        <w:t>nationales adaptées aux spécificités de l’indust</w:t>
      </w:r>
      <w:r w:rsidR="00935948" w:rsidRPr="0043547B">
        <w:rPr>
          <w:rFonts w:ascii="Maiandra GD" w:hAnsi="Maiandra GD"/>
        </w:rPr>
        <w:t xml:space="preserve">rie locale et tenant compte des </w:t>
      </w:r>
      <w:r w:rsidR="002D0AE1" w:rsidRPr="0043547B">
        <w:rPr>
          <w:rFonts w:ascii="Maiandra GD" w:hAnsi="Maiandra GD"/>
        </w:rPr>
        <w:t>évolutions technologiques mondiales et des bonnes pratiques dans la production, la manipulation et la mise en œuvre des produits.</w:t>
      </w:r>
    </w:p>
    <w:p w:rsidR="009B7906" w:rsidRPr="0043547B" w:rsidRDefault="009B7906" w:rsidP="001D5BC8">
      <w:pPr>
        <w:pStyle w:val="Sous-titre"/>
        <w:spacing w:before="240" w:line="276" w:lineRule="auto"/>
        <w:jc w:val="both"/>
        <w:rPr>
          <w:rFonts w:ascii="Maiandra GD" w:hAnsi="Maiandra GD"/>
        </w:rPr>
      </w:pPr>
      <w:r w:rsidRPr="0043547B">
        <w:rPr>
          <w:rFonts w:ascii="Maiandra GD" w:hAnsi="Maiandra GD"/>
        </w:rPr>
        <w:t xml:space="preserve">En effet le processus d’examen et </w:t>
      </w:r>
      <w:r w:rsidR="005129B9" w:rsidRPr="0043547B">
        <w:rPr>
          <w:rFonts w:ascii="Maiandra GD" w:hAnsi="Maiandra GD"/>
        </w:rPr>
        <w:t>d’</w:t>
      </w:r>
      <w:r w:rsidRPr="0043547B">
        <w:rPr>
          <w:rFonts w:ascii="Maiandra GD" w:hAnsi="Maiandra GD"/>
        </w:rPr>
        <w:t xml:space="preserve">adoption des normes se fait en présence des principaux opérateurs de chaque domaine, dont notamment les producteurs, les importateurs, les administrations, les laboratoires, les sociétés de réassurance et les bureaux de contrôle. Ces normes qui sont </w:t>
      </w:r>
      <w:r w:rsidRPr="0043547B">
        <w:rPr>
          <w:rFonts w:ascii="Maiandra GD" w:hAnsi="Maiandra GD" w:cstheme="majorBidi"/>
        </w:rPr>
        <w:t>en parfai</w:t>
      </w:r>
      <w:r w:rsidR="00D93B0A" w:rsidRPr="0043547B">
        <w:rPr>
          <w:rFonts w:ascii="Maiandra GD" w:hAnsi="Maiandra GD" w:cstheme="majorBidi"/>
        </w:rPr>
        <w:t>te concordance avec les normes internationales</w:t>
      </w:r>
      <w:r w:rsidRPr="0043547B">
        <w:rPr>
          <w:rFonts w:ascii="Maiandra GD" w:hAnsi="Maiandra GD" w:cstheme="majorBidi"/>
        </w:rPr>
        <w:t xml:space="preserve"> et</w:t>
      </w:r>
      <w:r w:rsidR="00E6060D" w:rsidRPr="0043547B">
        <w:rPr>
          <w:rFonts w:ascii="Maiandra GD" w:hAnsi="Maiandra GD" w:cstheme="majorBidi"/>
        </w:rPr>
        <w:t xml:space="preserve"> européennes</w:t>
      </w:r>
      <w:r w:rsidRPr="0043547B">
        <w:rPr>
          <w:rFonts w:ascii="Maiandra GD" w:hAnsi="Maiandra GD" w:cstheme="majorBidi"/>
        </w:rPr>
        <w:t xml:space="preserve"> </w:t>
      </w:r>
      <w:r w:rsidR="005129B9" w:rsidRPr="0043547B">
        <w:rPr>
          <w:rFonts w:ascii="Maiandra GD" w:hAnsi="Maiandra GD" w:cstheme="majorBidi"/>
        </w:rPr>
        <w:t>s</w:t>
      </w:r>
      <w:r w:rsidRPr="0043547B">
        <w:rPr>
          <w:rFonts w:ascii="Maiandra GD" w:hAnsi="Maiandra GD" w:cstheme="majorBidi"/>
        </w:rPr>
        <w:t>ont soumises régulièrement par l’Institut Marocain de Normalisation (IMANOR) au mécanisme d’actualisation leur permettant de refléter  en permanence l’état de l’art et d’être adaptées à l’usage auquel elles sont destinées.</w:t>
      </w:r>
    </w:p>
    <w:p w:rsidR="00E8459B" w:rsidRPr="0043547B" w:rsidRDefault="00E8459B" w:rsidP="001D5BC8">
      <w:pPr>
        <w:pStyle w:val="Sous-titre"/>
        <w:spacing w:before="240" w:line="276" w:lineRule="auto"/>
        <w:jc w:val="both"/>
        <w:rPr>
          <w:rFonts w:ascii="Maiandra GD" w:hAnsi="Maiandra GD" w:cstheme="majorBidi"/>
        </w:rPr>
      </w:pPr>
      <w:r w:rsidRPr="0043547B">
        <w:rPr>
          <w:rFonts w:ascii="Maiandra GD" w:hAnsi="Maiandra GD" w:cstheme="majorBidi"/>
        </w:rPr>
        <w:t>Aussi et conformément aux dispositions en vigueur, les normes marocaines doivent obligatoirement être mentionnées dans les cahiers des charges des marchés passés par</w:t>
      </w:r>
      <w:r w:rsidR="009B7906" w:rsidRPr="0043547B">
        <w:rPr>
          <w:rFonts w:ascii="Maiandra GD" w:hAnsi="Maiandra GD" w:cstheme="majorBidi"/>
        </w:rPr>
        <w:t xml:space="preserve"> </w:t>
      </w:r>
      <w:r w:rsidRPr="0043547B">
        <w:rPr>
          <w:rFonts w:ascii="Maiandra GD" w:hAnsi="Maiandra GD" w:cstheme="majorBidi"/>
        </w:rPr>
        <w:t xml:space="preserve">les organismes publics. Ces derniers doivent également s’assurer que les produits fournis sont conformes aux normes les concernant.   </w:t>
      </w:r>
    </w:p>
    <w:p w:rsidR="00E2255F" w:rsidRPr="0043547B" w:rsidRDefault="00E2255F" w:rsidP="001D5BC8">
      <w:pPr>
        <w:pStyle w:val="Corpsdetexte3"/>
        <w:spacing w:line="276" w:lineRule="auto"/>
        <w:rPr>
          <w:rFonts w:ascii="Maiandra GD" w:hAnsi="Maiandra GD" w:cstheme="majorBidi"/>
          <w:sz w:val="24"/>
          <w:szCs w:val="20"/>
          <w:lang w:eastAsia="zh-CN"/>
        </w:rPr>
      </w:pPr>
    </w:p>
    <w:p w:rsidR="00E8459B" w:rsidRPr="0043547B" w:rsidRDefault="00935948" w:rsidP="001D5BC8">
      <w:pPr>
        <w:pStyle w:val="Corpsdetexte3"/>
        <w:spacing w:line="276" w:lineRule="auto"/>
        <w:rPr>
          <w:rFonts w:cstheme="minorHAnsi"/>
          <w:sz w:val="24"/>
          <w:szCs w:val="24"/>
        </w:rPr>
      </w:pPr>
      <w:r w:rsidRPr="0043547B">
        <w:rPr>
          <w:rFonts w:ascii="Maiandra GD" w:hAnsi="Maiandra GD" w:cstheme="majorBidi"/>
          <w:sz w:val="24"/>
          <w:szCs w:val="20"/>
          <w:lang w:eastAsia="zh-CN"/>
        </w:rPr>
        <w:t xml:space="preserve">C’est dans ce cadre qu’il a été procédé </w:t>
      </w:r>
      <w:r w:rsidR="005129B9" w:rsidRPr="0043547B">
        <w:rPr>
          <w:rFonts w:ascii="Maiandra GD" w:hAnsi="Maiandra GD" w:cstheme="majorBidi"/>
          <w:sz w:val="24"/>
          <w:szCs w:val="20"/>
          <w:lang w:eastAsia="zh-CN"/>
        </w:rPr>
        <w:t xml:space="preserve">à une large consultation auprès de la majorité de donneurs d’ordres nationaux qui a abouti </w:t>
      </w:r>
      <w:r w:rsidRPr="0043547B">
        <w:rPr>
          <w:rFonts w:ascii="Maiandra GD" w:hAnsi="Maiandra GD" w:cstheme="majorBidi"/>
          <w:sz w:val="24"/>
          <w:szCs w:val="20"/>
          <w:lang w:eastAsia="zh-CN"/>
        </w:rPr>
        <w:t xml:space="preserve">à la mise en place </w:t>
      </w:r>
      <w:r w:rsidR="00E8459B" w:rsidRPr="0043547B">
        <w:rPr>
          <w:rFonts w:ascii="Maiandra GD" w:hAnsi="Maiandra GD" w:cstheme="majorBidi"/>
          <w:sz w:val="24"/>
          <w:szCs w:val="20"/>
          <w:lang w:eastAsia="zh-CN"/>
        </w:rPr>
        <w:t xml:space="preserve">d’un guide d’achat public regroupant l’ensemble des normes marocaines applicables aux matériaux et produits </w:t>
      </w:r>
      <w:r w:rsidR="00E8459B" w:rsidRPr="0043547B">
        <w:rPr>
          <w:rFonts w:ascii="Maiandra GD" w:hAnsi="Maiandra GD" w:cstheme="majorBidi"/>
          <w:sz w:val="24"/>
          <w:szCs w:val="20"/>
          <w:lang w:eastAsia="zh-CN"/>
        </w:rPr>
        <w:lastRenderedPageBreak/>
        <w:t>fournis dans le cadre des marchés publics. Ce guide est destiné aux donneurs d’ordre public</w:t>
      </w:r>
      <w:r w:rsidR="004D7573" w:rsidRPr="0043547B">
        <w:rPr>
          <w:rFonts w:ascii="Maiandra GD" w:hAnsi="Maiandra GD" w:cstheme="majorBidi"/>
          <w:sz w:val="24"/>
          <w:szCs w:val="20"/>
          <w:lang w:eastAsia="zh-CN"/>
        </w:rPr>
        <w:t>s</w:t>
      </w:r>
      <w:r w:rsidR="00E8459B" w:rsidRPr="0043547B">
        <w:rPr>
          <w:rFonts w:ascii="Maiandra GD" w:hAnsi="Maiandra GD" w:cstheme="majorBidi"/>
          <w:sz w:val="24"/>
          <w:szCs w:val="20"/>
          <w:lang w:eastAsia="zh-CN"/>
        </w:rPr>
        <w:t xml:space="preserve"> et aux différentes instances chargées de veiller à la conformité des achats publics par rapport aux dispositions applicables et sera mis à jour régulièrement et diffusé auprès de toutes les parties concernées</w:t>
      </w:r>
      <w:r w:rsidR="00E8459B" w:rsidRPr="0043547B">
        <w:rPr>
          <w:rFonts w:cstheme="minorHAnsi"/>
          <w:sz w:val="24"/>
          <w:szCs w:val="24"/>
        </w:rPr>
        <w:t xml:space="preserve">. </w:t>
      </w:r>
    </w:p>
    <w:p w:rsidR="000F4214" w:rsidRPr="0043547B" w:rsidRDefault="008B3A99" w:rsidP="001D5BC8">
      <w:pPr>
        <w:pStyle w:val="Sous-titre"/>
        <w:spacing w:before="240" w:line="276" w:lineRule="auto"/>
        <w:jc w:val="both"/>
        <w:rPr>
          <w:rFonts w:ascii="Maiandra GD" w:hAnsi="Maiandra GD" w:cstheme="majorBidi"/>
        </w:rPr>
      </w:pPr>
      <w:r w:rsidRPr="0043547B">
        <w:rPr>
          <w:rFonts w:ascii="Maiandra GD" w:hAnsi="Maiandra GD" w:cstheme="majorBidi"/>
        </w:rPr>
        <w:t xml:space="preserve">Par ailleurs, </w:t>
      </w:r>
      <w:r w:rsidR="0002071E" w:rsidRPr="0043547B">
        <w:rPr>
          <w:rFonts w:ascii="Maiandra GD" w:hAnsi="Maiandra GD" w:cstheme="majorBidi"/>
        </w:rPr>
        <w:t xml:space="preserve">et à la demande de plusieurs parties intéressées, l’IMANOR a mis en place </w:t>
      </w:r>
      <w:r w:rsidR="00444A80" w:rsidRPr="0043547B">
        <w:rPr>
          <w:rFonts w:ascii="Maiandra GD" w:hAnsi="Maiandra GD" w:cstheme="majorBidi"/>
        </w:rPr>
        <w:t xml:space="preserve">dans le cadre de la loi 12-06 précitée, </w:t>
      </w:r>
      <w:r w:rsidR="003D027E" w:rsidRPr="0043547B">
        <w:rPr>
          <w:rFonts w:ascii="Maiandra GD" w:hAnsi="Maiandra GD" w:cstheme="majorBidi"/>
        </w:rPr>
        <w:t xml:space="preserve">un système de certification de </w:t>
      </w:r>
      <w:r w:rsidR="0002071E" w:rsidRPr="0043547B">
        <w:rPr>
          <w:rFonts w:ascii="Maiandra GD" w:hAnsi="Maiandra GD" w:cstheme="majorBidi"/>
        </w:rPr>
        <w:t xml:space="preserve">produits </w:t>
      </w:r>
      <w:r w:rsidR="00444A80" w:rsidRPr="0043547B">
        <w:rPr>
          <w:rFonts w:ascii="Maiandra GD" w:hAnsi="Maiandra GD" w:cstheme="majorBidi"/>
        </w:rPr>
        <w:t>visant</w:t>
      </w:r>
      <w:r w:rsidR="000F4214" w:rsidRPr="0043547B">
        <w:rPr>
          <w:rFonts w:ascii="Maiandra GD" w:hAnsi="Maiandra GD" w:cstheme="majorBidi"/>
        </w:rPr>
        <w:t xml:space="preserve"> à évaluer </w:t>
      </w:r>
      <w:r w:rsidR="00444A80" w:rsidRPr="0043547B">
        <w:rPr>
          <w:rFonts w:ascii="Maiandra GD" w:hAnsi="Maiandra GD" w:cstheme="majorBidi"/>
        </w:rPr>
        <w:t xml:space="preserve">et attester la </w:t>
      </w:r>
      <w:r w:rsidR="000F4214" w:rsidRPr="0043547B">
        <w:rPr>
          <w:rFonts w:ascii="Maiandra GD" w:hAnsi="Maiandra GD" w:cstheme="majorBidi"/>
        </w:rPr>
        <w:t xml:space="preserve">conformité </w:t>
      </w:r>
      <w:r w:rsidR="00444A80" w:rsidRPr="0043547B">
        <w:rPr>
          <w:rFonts w:ascii="Maiandra GD" w:hAnsi="Maiandra GD" w:cstheme="majorBidi"/>
        </w:rPr>
        <w:t xml:space="preserve">de ces produits aux </w:t>
      </w:r>
      <w:r w:rsidR="000F4214" w:rsidRPr="0043547B">
        <w:rPr>
          <w:rFonts w:ascii="Maiandra GD" w:hAnsi="Maiandra GD" w:cstheme="majorBidi"/>
        </w:rPr>
        <w:t xml:space="preserve">exigences </w:t>
      </w:r>
      <w:r w:rsidR="00444A80" w:rsidRPr="0043547B">
        <w:rPr>
          <w:rFonts w:ascii="Maiandra GD" w:hAnsi="Maiandra GD" w:cstheme="majorBidi"/>
        </w:rPr>
        <w:t>normatives, afin d’</w:t>
      </w:r>
      <w:r w:rsidR="000F4214" w:rsidRPr="0043547B">
        <w:rPr>
          <w:rFonts w:ascii="Maiandra GD" w:hAnsi="Maiandra GD" w:cstheme="majorBidi"/>
        </w:rPr>
        <w:t>oriente</w:t>
      </w:r>
      <w:r w:rsidR="00444A80" w:rsidRPr="0043547B">
        <w:rPr>
          <w:rFonts w:ascii="Maiandra GD" w:hAnsi="Maiandra GD" w:cstheme="majorBidi"/>
        </w:rPr>
        <w:t>r</w:t>
      </w:r>
      <w:r w:rsidR="000F4214" w:rsidRPr="0043547B">
        <w:rPr>
          <w:rFonts w:ascii="Maiandra GD" w:hAnsi="Maiandra GD" w:cstheme="majorBidi"/>
        </w:rPr>
        <w:t xml:space="preserve"> le choix de l’utilisateur vers des produits reconnus sûrs à l’usage, et </w:t>
      </w:r>
      <w:r w:rsidR="00444A80" w:rsidRPr="0043547B">
        <w:rPr>
          <w:rFonts w:ascii="Maiandra GD" w:hAnsi="Maiandra GD" w:cstheme="majorBidi"/>
        </w:rPr>
        <w:t>d’offrir</w:t>
      </w:r>
      <w:r w:rsidR="000F4214" w:rsidRPr="0043547B">
        <w:rPr>
          <w:rFonts w:ascii="Maiandra GD" w:hAnsi="Maiandra GD" w:cstheme="majorBidi"/>
        </w:rPr>
        <w:t xml:space="preserve"> </w:t>
      </w:r>
      <w:r w:rsidR="00444A80" w:rsidRPr="0043547B">
        <w:rPr>
          <w:rFonts w:ascii="Maiandra GD" w:hAnsi="Maiandra GD" w:cstheme="majorBidi"/>
        </w:rPr>
        <w:t xml:space="preserve">aux producteurs </w:t>
      </w:r>
      <w:r w:rsidR="000F4214" w:rsidRPr="0043547B">
        <w:rPr>
          <w:rFonts w:ascii="Maiandra GD" w:hAnsi="Maiandra GD" w:cstheme="majorBidi"/>
        </w:rPr>
        <w:t xml:space="preserve">un atout commercial </w:t>
      </w:r>
      <w:r w:rsidR="00444A80" w:rsidRPr="0043547B">
        <w:rPr>
          <w:rFonts w:ascii="Maiandra GD" w:hAnsi="Maiandra GD" w:cstheme="majorBidi"/>
        </w:rPr>
        <w:t>permettant de</w:t>
      </w:r>
      <w:r w:rsidR="000F4214" w:rsidRPr="0043547B">
        <w:rPr>
          <w:rFonts w:ascii="Maiandra GD" w:hAnsi="Maiandra GD" w:cstheme="majorBidi"/>
        </w:rPr>
        <w:t xml:space="preserve"> différencier </w:t>
      </w:r>
      <w:r w:rsidR="00444A80" w:rsidRPr="0043547B">
        <w:rPr>
          <w:rFonts w:ascii="Maiandra GD" w:hAnsi="Maiandra GD" w:cstheme="majorBidi"/>
        </w:rPr>
        <w:t xml:space="preserve">leurs produits </w:t>
      </w:r>
      <w:r w:rsidR="000F4214" w:rsidRPr="0043547B">
        <w:rPr>
          <w:rFonts w:ascii="Maiandra GD" w:hAnsi="Maiandra GD" w:cstheme="majorBidi"/>
        </w:rPr>
        <w:t xml:space="preserve">certifiés dans un marché de plus en plus compétitif. </w:t>
      </w:r>
    </w:p>
    <w:p w:rsidR="000F4214" w:rsidRPr="0043547B" w:rsidRDefault="00444A80" w:rsidP="001D5BC8">
      <w:pPr>
        <w:pStyle w:val="Sous-titre"/>
        <w:spacing w:before="240" w:line="276" w:lineRule="auto"/>
        <w:jc w:val="both"/>
        <w:rPr>
          <w:rFonts w:ascii="Maiandra GD" w:hAnsi="Maiandra GD" w:cstheme="majorBidi"/>
        </w:rPr>
      </w:pPr>
      <w:r w:rsidRPr="0043547B">
        <w:rPr>
          <w:rFonts w:ascii="Maiandra GD" w:hAnsi="Maiandra GD" w:cstheme="majorBidi"/>
        </w:rPr>
        <w:t>En effet, la certification nationale</w:t>
      </w:r>
      <w:r w:rsidR="00B109A8" w:rsidRPr="0043547B">
        <w:rPr>
          <w:rFonts w:ascii="Maiandra GD" w:hAnsi="Maiandra GD" w:cstheme="majorBidi"/>
        </w:rPr>
        <w:t xml:space="preserve"> est un outil qui permet aux acheteurs publics de s’assurer que les producteurs certifiés utilisant la marque nationale de conformité </w:t>
      </w:r>
      <w:r w:rsidR="00B109A8" w:rsidRPr="0043547B">
        <w:rPr>
          <w:rFonts w:ascii="Maiandra GD" w:hAnsi="Maiandra GD" w:cstheme="majorBidi"/>
          <w:noProof/>
          <w:lang w:eastAsia="fr-FR"/>
        </w:rPr>
        <w:drawing>
          <wp:inline distT="0" distB="0" distL="0" distR="0" wp14:anchorId="6A93E282" wp14:editId="4665950E">
            <wp:extent cx="260512" cy="232259"/>
            <wp:effectExtent l="19050" t="0" r="6188" b="0"/>
            <wp:docPr id="2" name="Image 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8" cstate="print"/>
                    <a:srcRect/>
                    <a:stretch>
                      <a:fillRect/>
                    </a:stretch>
                  </pic:blipFill>
                  <pic:spPr bwMode="auto">
                    <a:xfrm>
                      <a:off x="0" y="0"/>
                      <a:ext cx="260296" cy="232067"/>
                    </a:xfrm>
                    <a:prstGeom prst="rect">
                      <a:avLst/>
                    </a:prstGeom>
                    <a:noFill/>
                    <a:ln w="9525">
                      <a:noFill/>
                      <a:miter lim="800000"/>
                      <a:headEnd/>
                      <a:tailEnd/>
                    </a:ln>
                  </pic:spPr>
                </pic:pic>
              </a:graphicData>
            </a:graphic>
          </wp:inline>
        </w:drawing>
      </w:r>
      <w:r w:rsidRPr="0043547B">
        <w:rPr>
          <w:rFonts w:ascii="Maiandra GD" w:hAnsi="Maiandra GD" w:cstheme="majorBidi"/>
        </w:rPr>
        <w:t xml:space="preserve"> </w:t>
      </w:r>
      <w:r w:rsidR="004D7573" w:rsidRPr="0043547B">
        <w:rPr>
          <w:rFonts w:ascii="Maiandra GD" w:hAnsi="Maiandra GD" w:cstheme="majorBidi"/>
        </w:rPr>
        <w:t>sont conformes</w:t>
      </w:r>
      <w:r w:rsidR="000F4214" w:rsidRPr="0043547B">
        <w:rPr>
          <w:rFonts w:ascii="Maiandra GD" w:hAnsi="Maiandra GD" w:cstheme="majorBidi"/>
        </w:rPr>
        <w:t xml:space="preserve"> aux normes marocaines de spécification</w:t>
      </w:r>
      <w:r w:rsidRPr="0043547B">
        <w:rPr>
          <w:rFonts w:ascii="Maiandra GD" w:hAnsi="Maiandra GD" w:cstheme="majorBidi"/>
        </w:rPr>
        <w:t>s</w:t>
      </w:r>
      <w:r w:rsidR="000F4214" w:rsidRPr="0043547B">
        <w:rPr>
          <w:rFonts w:ascii="Maiandra GD" w:hAnsi="Maiandra GD" w:cstheme="majorBidi"/>
        </w:rPr>
        <w:t xml:space="preserve"> correspondantes.  </w:t>
      </w:r>
    </w:p>
    <w:p w:rsidR="000F4214" w:rsidRPr="0043547B" w:rsidRDefault="000F4214" w:rsidP="001D5BC8">
      <w:pPr>
        <w:pStyle w:val="Corpsdetexte3"/>
        <w:rPr>
          <w:rFonts w:ascii="Maiandra GD" w:hAnsi="Maiandra GD"/>
          <w:sz w:val="24"/>
          <w:szCs w:val="24"/>
        </w:rPr>
      </w:pPr>
    </w:p>
    <w:p w:rsidR="00D426D4" w:rsidRPr="0043547B" w:rsidRDefault="000F4214" w:rsidP="001D5BC8">
      <w:pPr>
        <w:jc w:val="both"/>
        <w:rPr>
          <w:rFonts w:ascii="Maiandra GD" w:hAnsi="Maiandra GD" w:cs="Verdana"/>
          <w:sz w:val="24"/>
          <w:szCs w:val="24"/>
        </w:rPr>
      </w:pPr>
      <w:r w:rsidRPr="0043547B">
        <w:rPr>
          <w:rFonts w:ascii="Maiandra GD" w:hAnsi="Maiandra GD"/>
          <w:sz w:val="24"/>
          <w:szCs w:val="24"/>
        </w:rPr>
        <w:t>L</w:t>
      </w:r>
      <w:r w:rsidR="00444A80" w:rsidRPr="0043547B">
        <w:rPr>
          <w:rFonts w:ascii="Maiandra GD" w:hAnsi="Maiandra GD"/>
          <w:sz w:val="24"/>
          <w:szCs w:val="24"/>
        </w:rPr>
        <w:t xml:space="preserve">a </w:t>
      </w:r>
      <w:r w:rsidR="003D027E" w:rsidRPr="0043547B">
        <w:rPr>
          <w:rFonts w:ascii="Maiandra GD" w:hAnsi="Maiandra GD"/>
          <w:sz w:val="24"/>
          <w:szCs w:val="24"/>
        </w:rPr>
        <w:t>certification NM des produits</w:t>
      </w:r>
      <w:r w:rsidRPr="0043547B">
        <w:rPr>
          <w:rFonts w:ascii="Maiandra GD" w:hAnsi="Maiandra GD"/>
          <w:sz w:val="24"/>
          <w:szCs w:val="24"/>
        </w:rPr>
        <w:t xml:space="preserve"> amène des conditions supplémentaires rigoureuses</w:t>
      </w:r>
      <w:r w:rsidR="00D426D4" w:rsidRPr="0043547B">
        <w:rPr>
          <w:rFonts w:ascii="Maiandra GD" w:hAnsi="Maiandra GD"/>
          <w:sz w:val="24"/>
          <w:szCs w:val="24"/>
        </w:rPr>
        <w:t xml:space="preserve"> </w:t>
      </w:r>
      <w:r w:rsidRPr="0043547B">
        <w:rPr>
          <w:rFonts w:ascii="Maiandra GD" w:hAnsi="Maiandra GD"/>
          <w:sz w:val="24"/>
          <w:szCs w:val="24"/>
        </w:rPr>
        <w:t xml:space="preserve">aussi </w:t>
      </w:r>
      <w:r w:rsidR="00D426D4" w:rsidRPr="0043547B">
        <w:rPr>
          <w:rFonts w:ascii="Maiandra GD" w:hAnsi="Maiandra GD"/>
          <w:sz w:val="24"/>
          <w:szCs w:val="24"/>
        </w:rPr>
        <w:t>bien en ce qui concerne</w:t>
      </w:r>
      <w:r w:rsidR="00ED616C" w:rsidRPr="0043547B">
        <w:rPr>
          <w:rFonts w:ascii="Maiandra GD" w:hAnsi="Maiandra GD"/>
          <w:sz w:val="24"/>
          <w:szCs w:val="24"/>
        </w:rPr>
        <w:t xml:space="preserve"> l</w:t>
      </w:r>
      <w:r w:rsidRPr="0043547B">
        <w:rPr>
          <w:rFonts w:ascii="Maiandra GD" w:hAnsi="Maiandra GD"/>
          <w:sz w:val="24"/>
          <w:szCs w:val="24"/>
        </w:rPr>
        <w:t>’autocontrôle</w:t>
      </w:r>
      <w:r w:rsidR="00D426D4" w:rsidRPr="0043547B">
        <w:rPr>
          <w:rFonts w:ascii="Maiandra GD" w:hAnsi="Maiandra GD"/>
          <w:sz w:val="24"/>
          <w:szCs w:val="24"/>
        </w:rPr>
        <w:t xml:space="preserve"> </w:t>
      </w:r>
      <w:r w:rsidRPr="0043547B">
        <w:rPr>
          <w:rFonts w:ascii="Maiandra GD" w:hAnsi="Maiandra GD"/>
          <w:sz w:val="24"/>
          <w:szCs w:val="24"/>
        </w:rPr>
        <w:t xml:space="preserve">et </w:t>
      </w:r>
      <w:r w:rsidR="00D426D4" w:rsidRPr="0043547B">
        <w:rPr>
          <w:rFonts w:ascii="Maiandra GD" w:hAnsi="Maiandra GD"/>
          <w:sz w:val="24"/>
          <w:szCs w:val="24"/>
        </w:rPr>
        <w:t>le</w:t>
      </w:r>
      <w:r w:rsidRPr="0043547B">
        <w:rPr>
          <w:rFonts w:ascii="Maiandra GD" w:hAnsi="Maiandra GD"/>
          <w:sz w:val="24"/>
          <w:szCs w:val="24"/>
        </w:rPr>
        <w:t xml:space="preserve"> système qualité</w:t>
      </w:r>
      <w:r w:rsidR="00D426D4" w:rsidRPr="0043547B">
        <w:rPr>
          <w:rFonts w:ascii="Maiandra GD" w:hAnsi="Maiandra GD"/>
          <w:sz w:val="24"/>
          <w:szCs w:val="24"/>
        </w:rPr>
        <w:t xml:space="preserve"> qu’en matière de mise en œuvre de ces produits</w:t>
      </w:r>
      <w:r w:rsidRPr="0043547B">
        <w:rPr>
          <w:rFonts w:ascii="Maiandra GD" w:hAnsi="Maiandra GD"/>
          <w:sz w:val="24"/>
          <w:szCs w:val="24"/>
        </w:rPr>
        <w:t xml:space="preserve">. </w:t>
      </w:r>
      <w:r w:rsidR="00ED616C" w:rsidRPr="0043547B">
        <w:rPr>
          <w:rFonts w:ascii="Maiandra GD" w:hAnsi="Maiandra GD"/>
          <w:sz w:val="24"/>
          <w:szCs w:val="24"/>
        </w:rPr>
        <w:t xml:space="preserve">Le processus d’attribution de cette certification, </w:t>
      </w:r>
      <w:r w:rsidRPr="0043547B">
        <w:rPr>
          <w:rFonts w:ascii="Maiandra GD" w:hAnsi="Maiandra GD"/>
          <w:sz w:val="24"/>
          <w:szCs w:val="24"/>
        </w:rPr>
        <w:t>f</w:t>
      </w:r>
      <w:r w:rsidR="00ED616C" w:rsidRPr="0043547B">
        <w:rPr>
          <w:rFonts w:ascii="Maiandra GD" w:hAnsi="Maiandra GD"/>
          <w:sz w:val="24"/>
          <w:szCs w:val="24"/>
        </w:rPr>
        <w:t>ai</w:t>
      </w:r>
      <w:r w:rsidRPr="0043547B">
        <w:rPr>
          <w:rFonts w:ascii="Maiandra GD" w:hAnsi="Maiandra GD"/>
          <w:sz w:val="24"/>
          <w:szCs w:val="24"/>
        </w:rPr>
        <w:t>t intervenir des compétences confirmées en termes d’auditeurs, d’experts et de laboratoires d’essais, l’objectif étant  de rassurer l’ensemble des parties prenantes dans la fabrication, l’importation,</w:t>
      </w:r>
      <w:r w:rsidR="00ED616C" w:rsidRPr="0043547B">
        <w:rPr>
          <w:rFonts w:ascii="Maiandra GD" w:hAnsi="Maiandra GD"/>
          <w:sz w:val="24"/>
          <w:szCs w:val="24"/>
        </w:rPr>
        <w:t xml:space="preserve"> l’évaluation et l’utilisation</w:t>
      </w:r>
      <w:r w:rsidRPr="0043547B">
        <w:rPr>
          <w:rFonts w:ascii="Maiandra GD" w:hAnsi="Maiandra GD"/>
          <w:sz w:val="24"/>
          <w:szCs w:val="24"/>
        </w:rPr>
        <w:t xml:space="preserve">, sur la </w:t>
      </w:r>
      <w:r w:rsidRPr="0043547B">
        <w:rPr>
          <w:rFonts w:ascii="Maiandra GD" w:hAnsi="Maiandra GD" w:cs="Arial"/>
          <w:sz w:val="24"/>
          <w:szCs w:val="24"/>
        </w:rPr>
        <w:t xml:space="preserve">fiabilité et la qualité à long terme </w:t>
      </w:r>
      <w:r w:rsidRPr="0043547B">
        <w:rPr>
          <w:rFonts w:ascii="Maiandra GD" w:hAnsi="Maiandra GD" w:cs="Verdana"/>
          <w:sz w:val="24"/>
          <w:szCs w:val="24"/>
        </w:rPr>
        <w:t>des produits certifiés.</w:t>
      </w:r>
    </w:p>
    <w:p w:rsidR="00FE4B3C" w:rsidRPr="0043547B" w:rsidRDefault="00FE4B3C" w:rsidP="001D5BC8">
      <w:pPr>
        <w:jc w:val="both"/>
        <w:rPr>
          <w:rFonts w:ascii="Maiandra GD" w:hAnsi="Maiandra GD" w:cs="Verdana"/>
          <w:sz w:val="24"/>
          <w:szCs w:val="24"/>
        </w:rPr>
      </w:pPr>
    </w:p>
    <w:p w:rsidR="00FE4B3C" w:rsidRPr="0043547B" w:rsidRDefault="00FE4B3C" w:rsidP="001D5BC8">
      <w:pPr>
        <w:jc w:val="both"/>
        <w:rPr>
          <w:rFonts w:ascii="Maiandra GD" w:hAnsi="Maiandra GD" w:cs="Verdana"/>
          <w:sz w:val="24"/>
          <w:szCs w:val="24"/>
        </w:rPr>
      </w:pPr>
    </w:p>
    <w:p w:rsidR="00FE4B3C" w:rsidRPr="0043547B" w:rsidRDefault="00FE4B3C" w:rsidP="001D5BC8">
      <w:pPr>
        <w:jc w:val="both"/>
        <w:rPr>
          <w:rFonts w:ascii="Maiandra GD" w:hAnsi="Maiandra GD" w:cs="Verdana"/>
          <w:sz w:val="24"/>
          <w:szCs w:val="24"/>
        </w:rPr>
      </w:pPr>
    </w:p>
    <w:p w:rsidR="00FE4B3C" w:rsidRPr="0043547B" w:rsidRDefault="00FE4B3C" w:rsidP="001D5BC8">
      <w:pPr>
        <w:jc w:val="both"/>
        <w:rPr>
          <w:rFonts w:ascii="Maiandra GD" w:hAnsi="Maiandra GD" w:cs="Verdana"/>
          <w:sz w:val="24"/>
          <w:szCs w:val="24"/>
        </w:rPr>
      </w:pPr>
    </w:p>
    <w:p w:rsidR="00FE4B3C" w:rsidRPr="0043547B" w:rsidRDefault="00FE4B3C" w:rsidP="001D5BC8">
      <w:pPr>
        <w:jc w:val="both"/>
        <w:rPr>
          <w:rFonts w:ascii="Maiandra GD" w:hAnsi="Maiandra GD" w:cs="Verdana"/>
          <w:sz w:val="24"/>
          <w:szCs w:val="24"/>
        </w:rPr>
      </w:pPr>
    </w:p>
    <w:p w:rsidR="001710A0" w:rsidRPr="0043547B" w:rsidRDefault="001710A0" w:rsidP="001D5BC8">
      <w:pPr>
        <w:jc w:val="both"/>
        <w:rPr>
          <w:rFonts w:ascii="Maiandra GD" w:hAnsi="Maiandra GD" w:cs="Verdana"/>
          <w:sz w:val="24"/>
          <w:szCs w:val="24"/>
        </w:rPr>
      </w:pPr>
    </w:p>
    <w:p w:rsidR="00FE4B3C" w:rsidRPr="0043547B" w:rsidRDefault="00FE4B3C" w:rsidP="001D5BC8">
      <w:pPr>
        <w:jc w:val="both"/>
        <w:rPr>
          <w:rFonts w:ascii="Maiandra GD" w:hAnsi="Maiandra GD" w:cs="Verdana"/>
          <w:sz w:val="24"/>
          <w:szCs w:val="24"/>
        </w:rPr>
      </w:pPr>
    </w:p>
    <w:p w:rsidR="00FE4B3C" w:rsidRPr="0043547B" w:rsidRDefault="00FE4B3C" w:rsidP="001D5BC8">
      <w:pPr>
        <w:jc w:val="both"/>
        <w:rPr>
          <w:rFonts w:ascii="Maiandra GD" w:hAnsi="Maiandra GD" w:cs="Verdana"/>
          <w:sz w:val="24"/>
          <w:szCs w:val="24"/>
        </w:rPr>
      </w:pPr>
    </w:p>
    <w:p w:rsidR="00904E52" w:rsidRPr="0043547B" w:rsidRDefault="00904E52">
      <w:pPr>
        <w:rPr>
          <w:rFonts w:ascii="Maiandra GD" w:hAnsi="Maiandra GD" w:cs="Verdana"/>
          <w:sz w:val="24"/>
          <w:szCs w:val="24"/>
        </w:rPr>
      </w:pPr>
      <w:r w:rsidRPr="0043547B">
        <w:rPr>
          <w:rFonts w:ascii="Maiandra GD" w:hAnsi="Maiandra GD" w:cs="Verdana"/>
          <w:sz w:val="24"/>
          <w:szCs w:val="24"/>
        </w:rPr>
        <w:br w:type="page"/>
      </w:r>
    </w:p>
    <w:sdt>
      <w:sdtPr>
        <w:rPr>
          <w:rFonts w:asciiTheme="minorHAnsi" w:eastAsiaTheme="minorHAnsi" w:hAnsiTheme="minorHAnsi" w:cstheme="minorBidi"/>
          <w:b w:val="0"/>
          <w:bCs w:val="0"/>
          <w:color w:val="auto"/>
          <w:sz w:val="24"/>
          <w:szCs w:val="22"/>
        </w:rPr>
        <w:id w:val="8498391"/>
        <w:docPartObj>
          <w:docPartGallery w:val="Table of Contents"/>
          <w:docPartUnique/>
        </w:docPartObj>
      </w:sdtPr>
      <w:sdtEndPr>
        <w:rPr>
          <w:sz w:val="22"/>
        </w:rPr>
      </w:sdtEndPr>
      <w:sdtContent>
        <w:p w:rsidR="00F544DC" w:rsidRPr="00076B97" w:rsidRDefault="00127535" w:rsidP="00127535">
          <w:pPr>
            <w:pStyle w:val="En-ttedetabledesmatires"/>
            <w:spacing w:line="360" w:lineRule="auto"/>
            <w:rPr>
              <w:noProof/>
              <w:color w:val="auto"/>
              <w:szCs w:val="48"/>
            </w:rPr>
          </w:pPr>
          <w:r w:rsidRPr="0043547B">
            <w:rPr>
              <w:color w:val="auto"/>
              <w:szCs w:val="48"/>
            </w:rPr>
            <w:t>Sommaire</w:t>
          </w:r>
          <w:r w:rsidR="00C54A8B" w:rsidRPr="00076B97">
            <w:rPr>
              <w:color w:val="auto"/>
              <w:sz w:val="32"/>
              <w:szCs w:val="24"/>
            </w:rPr>
            <w:fldChar w:fldCharType="begin"/>
          </w:r>
          <w:r w:rsidR="00C54A8B" w:rsidRPr="00076B97">
            <w:rPr>
              <w:color w:val="auto"/>
              <w:sz w:val="32"/>
              <w:szCs w:val="24"/>
            </w:rPr>
            <w:instrText xml:space="preserve"> TOC \o "1-8" \h \z \u </w:instrText>
          </w:r>
          <w:r w:rsidR="00C54A8B" w:rsidRPr="00076B97">
            <w:rPr>
              <w:color w:val="auto"/>
              <w:sz w:val="32"/>
              <w:szCs w:val="24"/>
            </w:rPr>
            <w:fldChar w:fldCharType="separate"/>
          </w:r>
        </w:p>
        <w:p w:rsidR="00F544DC" w:rsidRPr="00076B97" w:rsidRDefault="001B60A2">
          <w:pPr>
            <w:pStyle w:val="TM1"/>
            <w:tabs>
              <w:tab w:val="right" w:leader="dot" w:pos="9062"/>
            </w:tabs>
            <w:rPr>
              <w:rFonts w:eastAsiaTheme="minorEastAsia"/>
              <w:noProof/>
              <w:lang w:eastAsia="fr-FR"/>
            </w:rPr>
          </w:pPr>
          <w:hyperlink w:anchor="_Toc458606062" w:history="1">
            <w:r w:rsidR="00F544DC" w:rsidRPr="00076B97">
              <w:rPr>
                <w:rStyle w:val="Lienhypertexte"/>
                <w:noProof/>
                <w:color w:val="auto"/>
                <w:u w:val="none"/>
              </w:rPr>
              <w:t>Préface</w:t>
            </w:r>
            <w:r w:rsidR="00F544DC" w:rsidRPr="00076B97">
              <w:rPr>
                <w:noProof/>
                <w:webHidden/>
              </w:rPr>
              <w:tab/>
            </w:r>
            <w:r w:rsidR="00F544DC" w:rsidRPr="00076B97">
              <w:rPr>
                <w:noProof/>
                <w:webHidden/>
              </w:rPr>
              <w:fldChar w:fldCharType="begin"/>
            </w:r>
            <w:r w:rsidR="00F544DC" w:rsidRPr="00076B97">
              <w:rPr>
                <w:noProof/>
                <w:webHidden/>
              </w:rPr>
              <w:instrText xml:space="preserve"> PAGEREF _Toc458606062 \h </w:instrText>
            </w:r>
            <w:r w:rsidR="00F544DC" w:rsidRPr="00076B97">
              <w:rPr>
                <w:noProof/>
                <w:webHidden/>
              </w:rPr>
            </w:r>
            <w:r w:rsidR="00F544DC" w:rsidRPr="00076B97">
              <w:rPr>
                <w:noProof/>
                <w:webHidden/>
              </w:rPr>
              <w:fldChar w:fldCharType="separate"/>
            </w:r>
            <w:r w:rsidR="00CF75F4">
              <w:rPr>
                <w:noProof/>
                <w:webHidden/>
              </w:rPr>
              <w:t>1</w:t>
            </w:r>
            <w:r w:rsidR="00F544DC" w:rsidRPr="00076B97">
              <w:rPr>
                <w:noProof/>
                <w:webHidden/>
              </w:rPr>
              <w:fldChar w:fldCharType="end"/>
            </w:r>
          </w:hyperlink>
        </w:p>
        <w:p w:rsidR="00F544DC" w:rsidRPr="00076B97" w:rsidRDefault="001B60A2">
          <w:pPr>
            <w:pStyle w:val="TM2"/>
            <w:tabs>
              <w:tab w:val="left" w:pos="660"/>
              <w:tab w:val="right" w:leader="dot" w:pos="9062"/>
            </w:tabs>
            <w:rPr>
              <w:rFonts w:eastAsiaTheme="minorEastAsia"/>
              <w:noProof/>
              <w:lang w:eastAsia="fr-FR"/>
            </w:rPr>
          </w:pPr>
          <w:hyperlink w:anchor="_Toc458606063" w:history="1">
            <w:r w:rsidR="00F544DC" w:rsidRPr="00076B97">
              <w:rPr>
                <w:rStyle w:val="Lienhypertexte"/>
                <w:rFonts w:eastAsia="Times New Roman" w:cs="Times New Roman"/>
                <w:noProof/>
                <w:color w:val="auto"/>
                <w:u w:val="none"/>
                <w:lang w:eastAsia="fr-FR"/>
              </w:rPr>
              <w:t>1.</w:t>
            </w:r>
            <w:r w:rsidR="00F544DC" w:rsidRPr="00076B97">
              <w:rPr>
                <w:rFonts w:eastAsiaTheme="minorEastAsia"/>
                <w:noProof/>
                <w:lang w:eastAsia="fr-FR"/>
              </w:rPr>
              <w:tab/>
            </w:r>
            <w:r w:rsidR="00F544DC" w:rsidRPr="00076B97">
              <w:rPr>
                <w:rStyle w:val="Lienhypertexte"/>
                <w:rFonts w:eastAsia="Times New Roman" w:cs="Times New Roman"/>
                <w:noProof/>
                <w:color w:val="auto"/>
                <w:u w:val="none"/>
                <w:lang w:eastAsia="fr-FR"/>
              </w:rPr>
              <w:t>Aperçu sur les processus de normalisation, certification, formation et acquisition des normes</w:t>
            </w:r>
            <w:r w:rsidR="00F544DC" w:rsidRPr="00076B97">
              <w:rPr>
                <w:noProof/>
                <w:webHidden/>
              </w:rPr>
              <w:tab/>
            </w:r>
            <w:r w:rsidR="00F544DC" w:rsidRPr="00076B97">
              <w:rPr>
                <w:noProof/>
                <w:webHidden/>
              </w:rPr>
              <w:fldChar w:fldCharType="begin"/>
            </w:r>
            <w:r w:rsidR="00F544DC" w:rsidRPr="00076B97">
              <w:rPr>
                <w:noProof/>
                <w:webHidden/>
              </w:rPr>
              <w:instrText xml:space="preserve"> PAGEREF _Toc458606063 \h </w:instrText>
            </w:r>
            <w:r w:rsidR="00F544DC" w:rsidRPr="00076B97">
              <w:rPr>
                <w:noProof/>
                <w:webHidden/>
              </w:rPr>
            </w:r>
            <w:r w:rsidR="00F544DC" w:rsidRPr="00076B97">
              <w:rPr>
                <w:noProof/>
                <w:webHidden/>
              </w:rPr>
              <w:fldChar w:fldCharType="separate"/>
            </w:r>
            <w:r w:rsidR="00CF75F4">
              <w:rPr>
                <w:noProof/>
                <w:webHidden/>
              </w:rPr>
              <w:t>5</w:t>
            </w:r>
            <w:r w:rsidR="00F544DC" w:rsidRPr="00076B97">
              <w:rPr>
                <w:noProof/>
                <w:webHidden/>
              </w:rPr>
              <w:fldChar w:fldCharType="end"/>
            </w:r>
          </w:hyperlink>
        </w:p>
        <w:p w:rsidR="00F544DC" w:rsidRPr="00076B97" w:rsidRDefault="001B60A2">
          <w:pPr>
            <w:pStyle w:val="TM3"/>
            <w:tabs>
              <w:tab w:val="left" w:pos="1100"/>
              <w:tab w:val="right" w:leader="dot" w:pos="9062"/>
            </w:tabs>
            <w:rPr>
              <w:rFonts w:eastAsiaTheme="minorEastAsia"/>
              <w:noProof/>
              <w:lang w:eastAsia="fr-FR"/>
            </w:rPr>
          </w:pPr>
          <w:hyperlink w:anchor="_Toc458606064" w:history="1">
            <w:r w:rsidR="00F544DC" w:rsidRPr="00076B97">
              <w:rPr>
                <w:rStyle w:val="Lienhypertexte"/>
                <w:noProof/>
                <w:color w:val="auto"/>
                <w:u w:val="none"/>
              </w:rPr>
              <w:t>1.1</w:t>
            </w:r>
            <w:r w:rsidR="00F544DC" w:rsidRPr="00076B97">
              <w:rPr>
                <w:rFonts w:eastAsiaTheme="minorEastAsia"/>
                <w:noProof/>
                <w:lang w:eastAsia="fr-FR"/>
              </w:rPr>
              <w:tab/>
            </w:r>
            <w:r w:rsidR="00F544DC" w:rsidRPr="00076B97">
              <w:rPr>
                <w:rStyle w:val="Lienhypertexte"/>
                <w:noProof/>
                <w:color w:val="auto"/>
                <w:u w:val="none"/>
              </w:rPr>
              <w:t>Processus de normalisation</w:t>
            </w:r>
            <w:r w:rsidR="00F544DC" w:rsidRPr="00076B97">
              <w:rPr>
                <w:noProof/>
                <w:webHidden/>
              </w:rPr>
              <w:tab/>
            </w:r>
            <w:r w:rsidR="00F544DC" w:rsidRPr="00076B97">
              <w:rPr>
                <w:noProof/>
                <w:webHidden/>
              </w:rPr>
              <w:fldChar w:fldCharType="begin"/>
            </w:r>
            <w:r w:rsidR="00F544DC" w:rsidRPr="00076B97">
              <w:rPr>
                <w:noProof/>
                <w:webHidden/>
              </w:rPr>
              <w:instrText xml:space="preserve"> PAGEREF _Toc458606064 \h </w:instrText>
            </w:r>
            <w:r w:rsidR="00F544DC" w:rsidRPr="00076B97">
              <w:rPr>
                <w:noProof/>
                <w:webHidden/>
              </w:rPr>
            </w:r>
            <w:r w:rsidR="00F544DC" w:rsidRPr="00076B97">
              <w:rPr>
                <w:noProof/>
                <w:webHidden/>
              </w:rPr>
              <w:fldChar w:fldCharType="separate"/>
            </w:r>
            <w:r w:rsidR="00CF75F4">
              <w:rPr>
                <w:noProof/>
                <w:webHidden/>
              </w:rPr>
              <w:t>5</w:t>
            </w:r>
            <w:r w:rsidR="00F544DC" w:rsidRPr="00076B97">
              <w:rPr>
                <w:noProof/>
                <w:webHidden/>
              </w:rPr>
              <w:fldChar w:fldCharType="end"/>
            </w:r>
          </w:hyperlink>
        </w:p>
        <w:p w:rsidR="00F544DC" w:rsidRPr="00076B97" w:rsidRDefault="001B60A2">
          <w:pPr>
            <w:pStyle w:val="TM3"/>
            <w:tabs>
              <w:tab w:val="left" w:pos="1100"/>
              <w:tab w:val="right" w:leader="dot" w:pos="9062"/>
            </w:tabs>
            <w:rPr>
              <w:rFonts w:eastAsiaTheme="minorEastAsia"/>
              <w:noProof/>
              <w:lang w:eastAsia="fr-FR"/>
            </w:rPr>
          </w:pPr>
          <w:hyperlink w:anchor="_Toc458606065" w:history="1">
            <w:r w:rsidR="00F544DC" w:rsidRPr="00076B97">
              <w:rPr>
                <w:rStyle w:val="Lienhypertexte"/>
                <w:noProof/>
                <w:color w:val="auto"/>
                <w:u w:val="none"/>
              </w:rPr>
              <w:t>1.2</w:t>
            </w:r>
            <w:r w:rsidR="00F544DC" w:rsidRPr="00076B97">
              <w:rPr>
                <w:rFonts w:eastAsiaTheme="minorEastAsia"/>
                <w:noProof/>
                <w:lang w:eastAsia="fr-FR"/>
              </w:rPr>
              <w:tab/>
            </w:r>
            <w:r w:rsidR="00F544DC" w:rsidRPr="00076B97">
              <w:rPr>
                <w:rStyle w:val="Lienhypertexte"/>
                <w:noProof/>
                <w:color w:val="auto"/>
                <w:u w:val="none"/>
              </w:rPr>
              <w:t>Processus de certification</w:t>
            </w:r>
            <w:r w:rsidR="00F544DC" w:rsidRPr="00076B97">
              <w:rPr>
                <w:noProof/>
                <w:webHidden/>
              </w:rPr>
              <w:tab/>
            </w:r>
            <w:r w:rsidR="00F544DC" w:rsidRPr="00076B97">
              <w:rPr>
                <w:noProof/>
                <w:webHidden/>
              </w:rPr>
              <w:fldChar w:fldCharType="begin"/>
            </w:r>
            <w:r w:rsidR="00F544DC" w:rsidRPr="00076B97">
              <w:rPr>
                <w:noProof/>
                <w:webHidden/>
              </w:rPr>
              <w:instrText xml:space="preserve"> PAGEREF _Toc458606065 \h </w:instrText>
            </w:r>
            <w:r w:rsidR="00F544DC" w:rsidRPr="00076B97">
              <w:rPr>
                <w:noProof/>
                <w:webHidden/>
              </w:rPr>
            </w:r>
            <w:r w:rsidR="00F544DC" w:rsidRPr="00076B97">
              <w:rPr>
                <w:noProof/>
                <w:webHidden/>
              </w:rPr>
              <w:fldChar w:fldCharType="separate"/>
            </w:r>
            <w:r w:rsidR="00CF75F4">
              <w:rPr>
                <w:noProof/>
                <w:webHidden/>
              </w:rPr>
              <w:t>6</w:t>
            </w:r>
            <w:r w:rsidR="00F544DC" w:rsidRPr="00076B97">
              <w:rPr>
                <w:noProof/>
                <w:webHidden/>
              </w:rPr>
              <w:fldChar w:fldCharType="end"/>
            </w:r>
          </w:hyperlink>
        </w:p>
        <w:p w:rsidR="00F544DC" w:rsidRPr="00076B97" w:rsidRDefault="001B60A2">
          <w:pPr>
            <w:pStyle w:val="TM3"/>
            <w:tabs>
              <w:tab w:val="left" w:pos="1100"/>
              <w:tab w:val="right" w:leader="dot" w:pos="9062"/>
            </w:tabs>
            <w:rPr>
              <w:rFonts w:eastAsiaTheme="minorEastAsia"/>
              <w:noProof/>
              <w:lang w:eastAsia="fr-FR"/>
            </w:rPr>
          </w:pPr>
          <w:hyperlink w:anchor="_Toc458606066" w:history="1">
            <w:r w:rsidR="00F544DC" w:rsidRPr="00076B97">
              <w:rPr>
                <w:rStyle w:val="Lienhypertexte"/>
                <w:noProof/>
                <w:color w:val="auto"/>
                <w:u w:val="none"/>
              </w:rPr>
              <w:t>1.3</w:t>
            </w:r>
            <w:r w:rsidR="00F544DC" w:rsidRPr="00076B97">
              <w:rPr>
                <w:rFonts w:eastAsiaTheme="minorEastAsia"/>
                <w:noProof/>
                <w:lang w:eastAsia="fr-FR"/>
              </w:rPr>
              <w:tab/>
            </w:r>
            <w:r w:rsidR="00F544DC" w:rsidRPr="00076B97">
              <w:rPr>
                <w:rStyle w:val="Lienhypertexte"/>
                <w:noProof/>
                <w:color w:val="auto"/>
                <w:u w:val="none"/>
              </w:rPr>
              <w:t>Processus de formation</w:t>
            </w:r>
            <w:r w:rsidR="00F544DC" w:rsidRPr="00076B97">
              <w:rPr>
                <w:noProof/>
                <w:webHidden/>
              </w:rPr>
              <w:tab/>
            </w:r>
            <w:r w:rsidR="00F544DC" w:rsidRPr="00076B97">
              <w:rPr>
                <w:noProof/>
                <w:webHidden/>
              </w:rPr>
              <w:fldChar w:fldCharType="begin"/>
            </w:r>
            <w:r w:rsidR="00F544DC" w:rsidRPr="00076B97">
              <w:rPr>
                <w:noProof/>
                <w:webHidden/>
              </w:rPr>
              <w:instrText xml:space="preserve"> PAGEREF _Toc458606066 \h </w:instrText>
            </w:r>
            <w:r w:rsidR="00F544DC" w:rsidRPr="00076B97">
              <w:rPr>
                <w:noProof/>
                <w:webHidden/>
              </w:rPr>
            </w:r>
            <w:r w:rsidR="00F544DC" w:rsidRPr="00076B97">
              <w:rPr>
                <w:noProof/>
                <w:webHidden/>
              </w:rPr>
              <w:fldChar w:fldCharType="separate"/>
            </w:r>
            <w:r w:rsidR="00CF75F4">
              <w:rPr>
                <w:noProof/>
                <w:webHidden/>
              </w:rPr>
              <w:t>8</w:t>
            </w:r>
            <w:r w:rsidR="00F544DC" w:rsidRPr="00076B97">
              <w:rPr>
                <w:noProof/>
                <w:webHidden/>
              </w:rPr>
              <w:fldChar w:fldCharType="end"/>
            </w:r>
          </w:hyperlink>
        </w:p>
        <w:p w:rsidR="00F544DC" w:rsidRPr="00076B97" w:rsidRDefault="001B60A2">
          <w:pPr>
            <w:pStyle w:val="TM3"/>
            <w:tabs>
              <w:tab w:val="left" w:pos="1100"/>
              <w:tab w:val="right" w:leader="dot" w:pos="9062"/>
            </w:tabs>
            <w:rPr>
              <w:rFonts w:eastAsiaTheme="minorEastAsia"/>
              <w:noProof/>
              <w:lang w:eastAsia="fr-FR"/>
            </w:rPr>
          </w:pPr>
          <w:hyperlink w:anchor="_Toc458606067" w:history="1">
            <w:r w:rsidR="00F544DC" w:rsidRPr="00076B97">
              <w:rPr>
                <w:rStyle w:val="Lienhypertexte"/>
                <w:noProof/>
                <w:color w:val="auto"/>
                <w:u w:val="none"/>
              </w:rPr>
              <w:t>1.4</w:t>
            </w:r>
            <w:r w:rsidR="00F544DC" w:rsidRPr="00076B97">
              <w:rPr>
                <w:rFonts w:eastAsiaTheme="minorEastAsia"/>
                <w:noProof/>
                <w:lang w:eastAsia="fr-FR"/>
              </w:rPr>
              <w:tab/>
            </w:r>
            <w:r w:rsidR="00F544DC" w:rsidRPr="00076B97">
              <w:rPr>
                <w:rStyle w:val="Lienhypertexte"/>
                <w:noProof/>
                <w:color w:val="auto"/>
                <w:u w:val="none"/>
              </w:rPr>
              <w:t>Processus d’acquisition des normes</w:t>
            </w:r>
            <w:r w:rsidR="00F544DC" w:rsidRPr="00076B97">
              <w:rPr>
                <w:noProof/>
                <w:webHidden/>
              </w:rPr>
              <w:tab/>
            </w:r>
            <w:r w:rsidR="00F544DC" w:rsidRPr="00076B97">
              <w:rPr>
                <w:noProof/>
                <w:webHidden/>
              </w:rPr>
              <w:fldChar w:fldCharType="begin"/>
            </w:r>
            <w:r w:rsidR="00F544DC" w:rsidRPr="00076B97">
              <w:rPr>
                <w:noProof/>
                <w:webHidden/>
              </w:rPr>
              <w:instrText xml:space="preserve"> PAGEREF _Toc458606067 \h </w:instrText>
            </w:r>
            <w:r w:rsidR="00F544DC" w:rsidRPr="00076B97">
              <w:rPr>
                <w:noProof/>
                <w:webHidden/>
              </w:rPr>
            </w:r>
            <w:r w:rsidR="00F544DC" w:rsidRPr="00076B97">
              <w:rPr>
                <w:noProof/>
                <w:webHidden/>
              </w:rPr>
              <w:fldChar w:fldCharType="separate"/>
            </w:r>
            <w:r w:rsidR="00CF75F4">
              <w:rPr>
                <w:noProof/>
                <w:webHidden/>
              </w:rPr>
              <w:t>8</w:t>
            </w:r>
            <w:r w:rsidR="00F544DC" w:rsidRPr="00076B97">
              <w:rPr>
                <w:noProof/>
                <w:webHidden/>
              </w:rPr>
              <w:fldChar w:fldCharType="end"/>
            </w:r>
          </w:hyperlink>
        </w:p>
        <w:p w:rsidR="00F544DC" w:rsidRPr="00076B97" w:rsidRDefault="001B60A2">
          <w:pPr>
            <w:pStyle w:val="TM2"/>
            <w:tabs>
              <w:tab w:val="left" w:pos="660"/>
              <w:tab w:val="right" w:leader="dot" w:pos="9062"/>
            </w:tabs>
            <w:rPr>
              <w:rFonts w:eastAsiaTheme="minorEastAsia"/>
              <w:noProof/>
              <w:lang w:eastAsia="fr-FR"/>
            </w:rPr>
          </w:pPr>
          <w:hyperlink w:anchor="_Toc458606068" w:history="1">
            <w:r w:rsidR="00F544DC" w:rsidRPr="00076B97">
              <w:rPr>
                <w:rStyle w:val="Lienhypertexte"/>
                <w:rFonts w:eastAsia="Times New Roman"/>
                <w:noProof/>
                <w:color w:val="auto"/>
                <w:u w:val="none"/>
                <w:lang w:eastAsia="fr-FR"/>
              </w:rPr>
              <w:t>2.</w:t>
            </w:r>
            <w:r w:rsidR="00F544DC" w:rsidRPr="00076B97">
              <w:rPr>
                <w:rFonts w:eastAsiaTheme="minorEastAsia"/>
                <w:noProof/>
                <w:lang w:eastAsia="fr-FR"/>
              </w:rPr>
              <w:tab/>
            </w:r>
            <w:r w:rsidR="00F544DC" w:rsidRPr="00076B97">
              <w:rPr>
                <w:rStyle w:val="Lienhypertexte"/>
                <w:rFonts w:eastAsia="Times New Roman"/>
                <w:noProof/>
                <w:color w:val="auto"/>
                <w:u w:val="none"/>
                <w:lang w:eastAsia="fr-FR"/>
              </w:rPr>
              <w:t>Objet et portée du guide</w:t>
            </w:r>
            <w:r w:rsidR="00F544DC" w:rsidRPr="00076B97">
              <w:rPr>
                <w:noProof/>
                <w:webHidden/>
              </w:rPr>
              <w:tab/>
            </w:r>
            <w:r w:rsidR="00F544DC" w:rsidRPr="00076B97">
              <w:rPr>
                <w:noProof/>
                <w:webHidden/>
              </w:rPr>
              <w:fldChar w:fldCharType="begin"/>
            </w:r>
            <w:r w:rsidR="00F544DC" w:rsidRPr="00076B97">
              <w:rPr>
                <w:noProof/>
                <w:webHidden/>
              </w:rPr>
              <w:instrText xml:space="preserve"> PAGEREF _Toc458606068 \h </w:instrText>
            </w:r>
            <w:r w:rsidR="00F544DC" w:rsidRPr="00076B97">
              <w:rPr>
                <w:noProof/>
                <w:webHidden/>
              </w:rPr>
            </w:r>
            <w:r w:rsidR="00F544DC" w:rsidRPr="00076B97">
              <w:rPr>
                <w:noProof/>
                <w:webHidden/>
              </w:rPr>
              <w:fldChar w:fldCharType="separate"/>
            </w:r>
            <w:r w:rsidR="00CF75F4">
              <w:rPr>
                <w:noProof/>
                <w:webHidden/>
              </w:rPr>
              <w:t>9</w:t>
            </w:r>
            <w:r w:rsidR="00F544DC" w:rsidRPr="00076B97">
              <w:rPr>
                <w:noProof/>
                <w:webHidden/>
              </w:rPr>
              <w:fldChar w:fldCharType="end"/>
            </w:r>
          </w:hyperlink>
        </w:p>
        <w:p w:rsidR="00F544DC" w:rsidRPr="00076B97" w:rsidRDefault="001B60A2">
          <w:pPr>
            <w:pStyle w:val="TM2"/>
            <w:tabs>
              <w:tab w:val="left" w:pos="660"/>
              <w:tab w:val="right" w:leader="dot" w:pos="9062"/>
            </w:tabs>
            <w:rPr>
              <w:rFonts w:eastAsiaTheme="minorEastAsia"/>
              <w:noProof/>
              <w:lang w:eastAsia="fr-FR"/>
            </w:rPr>
          </w:pPr>
          <w:hyperlink w:anchor="_Toc458606069" w:history="1">
            <w:r w:rsidR="00F544DC" w:rsidRPr="00076B97">
              <w:rPr>
                <w:rStyle w:val="Lienhypertexte"/>
                <w:rFonts w:eastAsia="Times New Roman"/>
                <w:noProof/>
                <w:color w:val="auto"/>
                <w:u w:val="none"/>
                <w:lang w:eastAsia="fr-FR"/>
              </w:rPr>
              <w:t>3.</w:t>
            </w:r>
            <w:r w:rsidR="00F544DC" w:rsidRPr="00076B97">
              <w:rPr>
                <w:rFonts w:eastAsiaTheme="minorEastAsia"/>
                <w:noProof/>
                <w:lang w:eastAsia="fr-FR"/>
              </w:rPr>
              <w:tab/>
            </w:r>
            <w:r w:rsidR="00F544DC" w:rsidRPr="00076B97">
              <w:rPr>
                <w:rStyle w:val="Lienhypertexte"/>
                <w:rFonts w:eastAsia="Times New Roman"/>
                <w:noProof/>
                <w:color w:val="auto"/>
                <w:u w:val="none"/>
                <w:lang w:eastAsia="fr-FR"/>
              </w:rPr>
              <w:t>Cadre juridique de l’application des normes dans les marchés publics</w:t>
            </w:r>
            <w:r w:rsidR="00F544DC" w:rsidRPr="00076B97">
              <w:rPr>
                <w:noProof/>
                <w:webHidden/>
              </w:rPr>
              <w:tab/>
            </w:r>
            <w:r w:rsidR="00F544DC" w:rsidRPr="00076B97">
              <w:rPr>
                <w:noProof/>
                <w:webHidden/>
              </w:rPr>
              <w:fldChar w:fldCharType="begin"/>
            </w:r>
            <w:r w:rsidR="00F544DC" w:rsidRPr="00076B97">
              <w:rPr>
                <w:noProof/>
                <w:webHidden/>
              </w:rPr>
              <w:instrText xml:space="preserve"> PAGEREF _Toc458606069 \h </w:instrText>
            </w:r>
            <w:r w:rsidR="00F544DC" w:rsidRPr="00076B97">
              <w:rPr>
                <w:noProof/>
                <w:webHidden/>
              </w:rPr>
            </w:r>
            <w:r w:rsidR="00F544DC" w:rsidRPr="00076B97">
              <w:rPr>
                <w:noProof/>
                <w:webHidden/>
              </w:rPr>
              <w:fldChar w:fldCharType="separate"/>
            </w:r>
            <w:r w:rsidR="00CF75F4">
              <w:rPr>
                <w:noProof/>
                <w:webHidden/>
              </w:rPr>
              <w:t>9</w:t>
            </w:r>
            <w:r w:rsidR="00F544DC" w:rsidRPr="00076B97">
              <w:rPr>
                <w:noProof/>
                <w:webHidden/>
              </w:rPr>
              <w:fldChar w:fldCharType="end"/>
            </w:r>
          </w:hyperlink>
        </w:p>
        <w:p w:rsidR="00F544DC" w:rsidRPr="00076B97" w:rsidRDefault="001B60A2">
          <w:pPr>
            <w:pStyle w:val="TM2"/>
            <w:tabs>
              <w:tab w:val="left" w:pos="660"/>
              <w:tab w:val="right" w:leader="dot" w:pos="9062"/>
            </w:tabs>
            <w:rPr>
              <w:rFonts w:eastAsiaTheme="minorEastAsia"/>
              <w:noProof/>
              <w:lang w:eastAsia="fr-FR"/>
            </w:rPr>
          </w:pPr>
          <w:hyperlink w:anchor="_Toc458606070" w:history="1">
            <w:r w:rsidR="00F544DC" w:rsidRPr="00076B97">
              <w:rPr>
                <w:rStyle w:val="Lienhypertexte"/>
                <w:rFonts w:eastAsia="Times New Roman"/>
                <w:noProof/>
                <w:color w:val="auto"/>
                <w:u w:val="none"/>
                <w:lang w:eastAsia="fr-FR"/>
              </w:rPr>
              <w:t>4.</w:t>
            </w:r>
            <w:r w:rsidR="00F544DC" w:rsidRPr="00076B97">
              <w:rPr>
                <w:rFonts w:eastAsiaTheme="minorEastAsia"/>
                <w:noProof/>
                <w:lang w:eastAsia="fr-FR"/>
              </w:rPr>
              <w:tab/>
            </w:r>
            <w:r w:rsidR="00F544DC" w:rsidRPr="00076B97">
              <w:rPr>
                <w:rStyle w:val="Lienhypertexte"/>
                <w:rFonts w:eastAsia="Times New Roman"/>
                <w:noProof/>
                <w:color w:val="auto"/>
                <w:u w:val="none"/>
                <w:lang w:eastAsia="fr-FR"/>
              </w:rPr>
              <w:t>Listes et domaines d’applications des normes par produits et matériaux</w:t>
            </w:r>
            <w:r w:rsidR="00F544DC" w:rsidRPr="00076B97">
              <w:rPr>
                <w:noProof/>
                <w:webHidden/>
              </w:rPr>
              <w:tab/>
            </w:r>
            <w:r w:rsidR="00F544DC" w:rsidRPr="00076B97">
              <w:rPr>
                <w:noProof/>
                <w:webHidden/>
              </w:rPr>
              <w:fldChar w:fldCharType="begin"/>
            </w:r>
            <w:r w:rsidR="00F544DC" w:rsidRPr="00076B97">
              <w:rPr>
                <w:noProof/>
                <w:webHidden/>
              </w:rPr>
              <w:instrText xml:space="preserve"> PAGEREF _Toc458606070 \h </w:instrText>
            </w:r>
            <w:r w:rsidR="00F544DC" w:rsidRPr="00076B97">
              <w:rPr>
                <w:noProof/>
                <w:webHidden/>
              </w:rPr>
            </w:r>
            <w:r w:rsidR="00F544DC" w:rsidRPr="00076B97">
              <w:rPr>
                <w:noProof/>
                <w:webHidden/>
              </w:rPr>
              <w:fldChar w:fldCharType="separate"/>
            </w:r>
            <w:r w:rsidR="00CF75F4">
              <w:rPr>
                <w:noProof/>
                <w:webHidden/>
              </w:rPr>
              <w:t>11</w:t>
            </w:r>
            <w:r w:rsidR="00F544DC" w:rsidRPr="00076B97">
              <w:rPr>
                <w:noProof/>
                <w:webHidden/>
              </w:rPr>
              <w:fldChar w:fldCharType="end"/>
            </w:r>
          </w:hyperlink>
        </w:p>
        <w:p w:rsidR="00F544DC" w:rsidRPr="00076B97" w:rsidRDefault="001B60A2">
          <w:pPr>
            <w:pStyle w:val="TM3"/>
            <w:tabs>
              <w:tab w:val="left" w:pos="1100"/>
              <w:tab w:val="right" w:leader="dot" w:pos="9062"/>
            </w:tabs>
            <w:rPr>
              <w:rFonts w:eastAsiaTheme="minorEastAsia"/>
              <w:noProof/>
              <w:lang w:eastAsia="fr-FR"/>
            </w:rPr>
          </w:pPr>
          <w:hyperlink w:anchor="_Toc458606071" w:history="1">
            <w:r w:rsidR="00F544DC" w:rsidRPr="00076B97">
              <w:rPr>
                <w:rStyle w:val="Lienhypertexte"/>
                <w:noProof/>
                <w:color w:val="auto"/>
                <w:u w:val="none"/>
              </w:rPr>
              <w:t>4.1</w:t>
            </w:r>
            <w:r w:rsidR="00F544DC" w:rsidRPr="00076B97">
              <w:rPr>
                <w:rFonts w:eastAsiaTheme="minorEastAsia"/>
                <w:noProof/>
                <w:lang w:eastAsia="fr-FR"/>
              </w:rPr>
              <w:tab/>
            </w:r>
            <w:r w:rsidR="00F544DC" w:rsidRPr="00076B97">
              <w:rPr>
                <w:rStyle w:val="Lienhypertexte"/>
                <w:noProof/>
                <w:color w:val="auto"/>
                <w:u w:val="none"/>
              </w:rPr>
              <w:t>Lot N° 1 : Matériels et installations électriques</w:t>
            </w:r>
            <w:r w:rsidR="00F544DC" w:rsidRPr="00076B97">
              <w:rPr>
                <w:noProof/>
                <w:webHidden/>
              </w:rPr>
              <w:tab/>
            </w:r>
            <w:r w:rsidR="00F544DC" w:rsidRPr="00076B97">
              <w:rPr>
                <w:noProof/>
                <w:webHidden/>
              </w:rPr>
              <w:fldChar w:fldCharType="begin"/>
            </w:r>
            <w:r w:rsidR="00F544DC" w:rsidRPr="00076B97">
              <w:rPr>
                <w:noProof/>
                <w:webHidden/>
              </w:rPr>
              <w:instrText xml:space="preserve"> PAGEREF _Toc458606071 \h </w:instrText>
            </w:r>
            <w:r w:rsidR="00F544DC" w:rsidRPr="00076B97">
              <w:rPr>
                <w:noProof/>
                <w:webHidden/>
              </w:rPr>
            </w:r>
            <w:r w:rsidR="00F544DC" w:rsidRPr="00076B97">
              <w:rPr>
                <w:noProof/>
                <w:webHidden/>
              </w:rPr>
              <w:fldChar w:fldCharType="separate"/>
            </w:r>
            <w:r w:rsidR="00CF75F4">
              <w:rPr>
                <w:noProof/>
                <w:webHidden/>
              </w:rPr>
              <w:t>11</w:t>
            </w:r>
            <w:r w:rsidR="00F544DC" w:rsidRPr="00076B97">
              <w:rPr>
                <w:noProof/>
                <w:webHidden/>
              </w:rPr>
              <w:fldChar w:fldCharType="end"/>
            </w:r>
          </w:hyperlink>
        </w:p>
        <w:p w:rsidR="00F544DC" w:rsidRPr="00076B97" w:rsidRDefault="001B60A2">
          <w:pPr>
            <w:pStyle w:val="TM4"/>
            <w:tabs>
              <w:tab w:val="left" w:pos="1540"/>
              <w:tab w:val="right" w:leader="dot" w:pos="9062"/>
            </w:tabs>
            <w:rPr>
              <w:rFonts w:eastAsiaTheme="minorEastAsia"/>
              <w:noProof/>
              <w:lang w:eastAsia="fr-FR"/>
            </w:rPr>
          </w:pPr>
          <w:hyperlink w:anchor="_Toc458606072" w:history="1">
            <w:r w:rsidR="00F544DC" w:rsidRPr="00076B97">
              <w:rPr>
                <w:rStyle w:val="Lienhypertexte"/>
                <w:noProof/>
                <w:color w:val="auto"/>
                <w:u w:val="none"/>
              </w:rPr>
              <w:t>4.1.1</w:t>
            </w:r>
            <w:r w:rsidR="00F544DC" w:rsidRPr="00076B97">
              <w:rPr>
                <w:rFonts w:eastAsiaTheme="minorEastAsia"/>
                <w:noProof/>
                <w:lang w:eastAsia="fr-FR"/>
              </w:rPr>
              <w:tab/>
            </w:r>
            <w:r w:rsidR="00F544DC" w:rsidRPr="00076B97">
              <w:rPr>
                <w:rStyle w:val="Lienhypertexte"/>
                <w:noProof/>
                <w:color w:val="auto"/>
                <w:u w:val="none"/>
              </w:rPr>
              <w:t>Produits électriques</w:t>
            </w:r>
            <w:r w:rsidR="00F544DC" w:rsidRPr="00076B97">
              <w:rPr>
                <w:noProof/>
                <w:webHidden/>
              </w:rPr>
              <w:tab/>
            </w:r>
            <w:r w:rsidR="00F544DC" w:rsidRPr="00076B97">
              <w:rPr>
                <w:noProof/>
                <w:webHidden/>
              </w:rPr>
              <w:fldChar w:fldCharType="begin"/>
            </w:r>
            <w:r w:rsidR="00F544DC" w:rsidRPr="00076B97">
              <w:rPr>
                <w:noProof/>
                <w:webHidden/>
              </w:rPr>
              <w:instrText xml:space="preserve"> PAGEREF _Toc458606072 \h </w:instrText>
            </w:r>
            <w:r w:rsidR="00F544DC" w:rsidRPr="00076B97">
              <w:rPr>
                <w:noProof/>
                <w:webHidden/>
              </w:rPr>
            </w:r>
            <w:r w:rsidR="00F544DC" w:rsidRPr="00076B97">
              <w:rPr>
                <w:noProof/>
                <w:webHidden/>
              </w:rPr>
              <w:fldChar w:fldCharType="separate"/>
            </w:r>
            <w:r w:rsidR="00CF75F4">
              <w:rPr>
                <w:noProof/>
                <w:webHidden/>
              </w:rPr>
              <w:t>11</w:t>
            </w:r>
            <w:r w:rsidR="00F544DC" w:rsidRPr="00076B97">
              <w:rPr>
                <w:noProof/>
                <w:webHidden/>
              </w:rPr>
              <w:fldChar w:fldCharType="end"/>
            </w:r>
          </w:hyperlink>
        </w:p>
        <w:p w:rsidR="00F544DC" w:rsidRPr="00076B97" w:rsidRDefault="001B60A2">
          <w:pPr>
            <w:pStyle w:val="TM4"/>
            <w:tabs>
              <w:tab w:val="left" w:pos="1540"/>
              <w:tab w:val="right" w:leader="dot" w:pos="9062"/>
            </w:tabs>
            <w:rPr>
              <w:rFonts w:eastAsiaTheme="minorEastAsia"/>
              <w:noProof/>
              <w:lang w:eastAsia="fr-FR"/>
            </w:rPr>
          </w:pPr>
          <w:hyperlink w:anchor="_Toc458606073" w:history="1">
            <w:r w:rsidR="00F544DC" w:rsidRPr="00076B97">
              <w:rPr>
                <w:rStyle w:val="Lienhypertexte"/>
                <w:noProof/>
                <w:color w:val="auto"/>
                <w:u w:val="none"/>
              </w:rPr>
              <w:t>4.1.2</w:t>
            </w:r>
            <w:r w:rsidR="00F544DC" w:rsidRPr="00076B97">
              <w:rPr>
                <w:rFonts w:eastAsiaTheme="minorEastAsia"/>
                <w:noProof/>
                <w:lang w:eastAsia="fr-FR"/>
              </w:rPr>
              <w:tab/>
            </w:r>
            <w:r w:rsidR="00F544DC" w:rsidRPr="00076B97">
              <w:rPr>
                <w:rStyle w:val="Lienhypertexte"/>
                <w:noProof/>
                <w:color w:val="auto"/>
                <w:u w:val="none"/>
              </w:rPr>
              <w:t>Fils, câbles et accessoires</w:t>
            </w:r>
            <w:r w:rsidR="00F544DC" w:rsidRPr="00076B97">
              <w:rPr>
                <w:noProof/>
                <w:webHidden/>
              </w:rPr>
              <w:tab/>
            </w:r>
            <w:r w:rsidR="00F544DC" w:rsidRPr="00076B97">
              <w:rPr>
                <w:noProof/>
                <w:webHidden/>
              </w:rPr>
              <w:fldChar w:fldCharType="begin"/>
            </w:r>
            <w:r w:rsidR="00F544DC" w:rsidRPr="00076B97">
              <w:rPr>
                <w:noProof/>
                <w:webHidden/>
              </w:rPr>
              <w:instrText xml:space="preserve"> PAGEREF _Toc458606073 \h </w:instrText>
            </w:r>
            <w:r w:rsidR="00F544DC" w:rsidRPr="00076B97">
              <w:rPr>
                <w:noProof/>
                <w:webHidden/>
              </w:rPr>
            </w:r>
            <w:r w:rsidR="00F544DC" w:rsidRPr="00076B97">
              <w:rPr>
                <w:noProof/>
                <w:webHidden/>
              </w:rPr>
              <w:fldChar w:fldCharType="separate"/>
            </w:r>
            <w:r w:rsidR="00CF75F4">
              <w:rPr>
                <w:noProof/>
                <w:webHidden/>
              </w:rPr>
              <w:t>58</w:t>
            </w:r>
            <w:r w:rsidR="00F544DC" w:rsidRPr="00076B97">
              <w:rPr>
                <w:noProof/>
                <w:webHidden/>
              </w:rPr>
              <w:fldChar w:fldCharType="end"/>
            </w:r>
          </w:hyperlink>
        </w:p>
        <w:p w:rsidR="00F544DC" w:rsidRPr="00076B97" w:rsidRDefault="001B60A2">
          <w:pPr>
            <w:pStyle w:val="TM4"/>
            <w:tabs>
              <w:tab w:val="left" w:pos="1540"/>
              <w:tab w:val="right" w:leader="dot" w:pos="9062"/>
            </w:tabs>
            <w:rPr>
              <w:rFonts w:eastAsiaTheme="minorEastAsia"/>
              <w:noProof/>
              <w:lang w:eastAsia="fr-FR"/>
            </w:rPr>
          </w:pPr>
          <w:hyperlink w:anchor="_Toc458606074" w:history="1">
            <w:r w:rsidR="00F544DC" w:rsidRPr="00076B97">
              <w:rPr>
                <w:rStyle w:val="Lienhypertexte"/>
                <w:noProof/>
                <w:color w:val="auto"/>
                <w:u w:val="none"/>
              </w:rPr>
              <w:t>4.1.3</w:t>
            </w:r>
            <w:r w:rsidR="00F544DC" w:rsidRPr="00076B97">
              <w:rPr>
                <w:rFonts w:eastAsiaTheme="minorEastAsia"/>
                <w:noProof/>
                <w:lang w:eastAsia="fr-FR"/>
              </w:rPr>
              <w:tab/>
            </w:r>
            <w:r w:rsidR="00F544DC" w:rsidRPr="00076B97">
              <w:rPr>
                <w:rStyle w:val="Lienhypertexte"/>
                <w:noProof/>
                <w:color w:val="auto"/>
                <w:u w:val="none"/>
              </w:rPr>
              <w:t>Installations électriques</w:t>
            </w:r>
            <w:r w:rsidR="00F544DC" w:rsidRPr="00076B97">
              <w:rPr>
                <w:noProof/>
                <w:webHidden/>
              </w:rPr>
              <w:tab/>
            </w:r>
            <w:r w:rsidR="00F544DC" w:rsidRPr="00076B97">
              <w:rPr>
                <w:noProof/>
                <w:webHidden/>
              </w:rPr>
              <w:fldChar w:fldCharType="begin"/>
            </w:r>
            <w:r w:rsidR="00F544DC" w:rsidRPr="00076B97">
              <w:rPr>
                <w:noProof/>
                <w:webHidden/>
              </w:rPr>
              <w:instrText xml:space="preserve"> PAGEREF _Toc458606074 \h </w:instrText>
            </w:r>
            <w:r w:rsidR="00F544DC" w:rsidRPr="00076B97">
              <w:rPr>
                <w:noProof/>
                <w:webHidden/>
              </w:rPr>
            </w:r>
            <w:r w:rsidR="00F544DC" w:rsidRPr="00076B97">
              <w:rPr>
                <w:noProof/>
                <w:webHidden/>
              </w:rPr>
              <w:fldChar w:fldCharType="separate"/>
            </w:r>
            <w:r w:rsidR="00CF75F4">
              <w:rPr>
                <w:noProof/>
                <w:webHidden/>
              </w:rPr>
              <w:t>73</w:t>
            </w:r>
            <w:r w:rsidR="00F544DC" w:rsidRPr="00076B97">
              <w:rPr>
                <w:noProof/>
                <w:webHidden/>
              </w:rPr>
              <w:fldChar w:fldCharType="end"/>
            </w:r>
          </w:hyperlink>
        </w:p>
        <w:p w:rsidR="00F544DC" w:rsidRPr="00076B97" w:rsidRDefault="001B60A2">
          <w:pPr>
            <w:pStyle w:val="TM3"/>
            <w:tabs>
              <w:tab w:val="left" w:pos="1100"/>
              <w:tab w:val="right" w:leader="dot" w:pos="9062"/>
            </w:tabs>
            <w:rPr>
              <w:rFonts w:eastAsiaTheme="minorEastAsia"/>
              <w:noProof/>
              <w:lang w:eastAsia="fr-FR"/>
            </w:rPr>
          </w:pPr>
          <w:hyperlink w:anchor="_Toc458606075" w:history="1">
            <w:r w:rsidR="00F544DC" w:rsidRPr="00076B97">
              <w:rPr>
                <w:rStyle w:val="Lienhypertexte"/>
                <w:noProof/>
                <w:color w:val="auto"/>
                <w:u w:val="none"/>
              </w:rPr>
              <w:t>4.2</w:t>
            </w:r>
            <w:r w:rsidR="00F544DC" w:rsidRPr="00076B97">
              <w:rPr>
                <w:rFonts w:eastAsiaTheme="minorEastAsia"/>
                <w:noProof/>
                <w:lang w:eastAsia="fr-FR"/>
              </w:rPr>
              <w:tab/>
            </w:r>
            <w:r w:rsidR="00F544DC" w:rsidRPr="00076B97">
              <w:rPr>
                <w:rStyle w:val="Lienhypertexte"/>
                <w:noProof/>
                <w:color w:val="auto"/>
                <w:u w:val="none"/>
              </w:rPr>
              <w:t>Lot N° 2 : Réseaux d’assainissement et adduction d’eau potable</w:t>
            </w:r>
            <w:r w:rsidR="00F544DC" w:rsidRPr="00076B97">
              <w:rPr>
                <w:noProof/>
                <w:webHidden/>
              </w:rPr>
              <w:tab/>
            </w:r>
            <w:r w:rsidR="00F544DC" w:rsidRPr="00076B97">
              <w:rPr>
                <w:noProof/>
                <w:webHidden/>
              </w:rPr>
              <w:fldChar w:fldCharType="begin"/>
            </w:r>
            <w:r w:rsidR="00F544DC" w:rsidRPr="00076B97">
              <w:rPr>
                <w:noProof/>
                <w:webHidden/>
              </w:rPr>
              <w:instrText xml:space="preserve"> PAGEREF _Toc458606075 \h </w:instrText>
            </w:r>
            <w:r w:rsidR="00F544DC" w:rsidRPr="00076B97">
              <w:rPr>
                <w:noProof/>
                <w:webHidden/>
              </w:rPr>
            </w:r>
            <w:r w:rsidR="00F544DC" w:rsidRPr="00076B97">
              <w:rPr>
                <w:noProof/>
                <w:webHidden/>
              </w:rPr>
              <w:fldChar w:fldCharType="separate"/>
            </w:r>
            <w:r w:rsidR="00CF75F4">
              <w:rPr>
                <w:noProof/>
                <w:webHidden/>
              </w:rPr>
              <w:t>84</w:t>
            </w:r>
            <w:r w:rsidR="00F544DC" w:rsidRPr="00076B97">
              <w:rPr>
                <w:noProof/>
                <w:webHidden/>
              </w:rPr>
              <w:fldChar w:fldCharType="end"/>
            </w:r>
          </w:hyperlink>
        </w:p>
        <w:p w:rsidR="00F544DC" w:rsidRPr="00076B97" w:rsidRDefault="001B60A2">
          <w:pPr>
            <w:pStyle w:val="TM3"/>
            <w:tabs>
              <w:tab w:val="left" w:pos="1100"/>
              <w:tab w:val="right" w:leader="dot" w:pos="9062"/>
            </w:tabs>
            <w:rPr>
              <w:rFonts w:eastAsiaTheme="minorEastAsia"/>
              <w:noProof/>
              <w:lang w:eastAsia="fr-FR"/>
            </w:rPr>
          </w:pPr>
          <w:hyperlink w:anchor="_Toc458606076" w:history="1">
            <w:r w:rsidR="00F544DC" w:rsidRPr="00076B97">
              <w:rPr>
                <w:rStyle w:val="Lienhypertexte"/>
                <w:noProof/>
                <w:color w:val="auto"/>
                <w:u w:val="none"/>
              </w:rPr>
              <w:t>4.3</w:t>
            </w:r>
            <w:r w:rsidR="00F544DC" w:rsidRPr="00076B97">
              <w:rPr>
                <w:rFonts w:eastAsiaTheme="minorEastAsia"/>
                <w:noProof/>
                <w:lang w:eastAsia="fr-FR"/>
              </w:rPr>
              <w:tab/>
            </w:r>
            <w:r w:rsidR="00F544DC" w:rsidRPr="00076B97">
              <w:rPr>
                <w:rStyle w:val="Lienhypertexte"/>
                <w:noProof/>
                <w:color w:val="auto"/>
                <w:u w:val="none"/>
              </w:rPr>
              <w:t>Lot N° 3 : Matériaux de construction</w:t>
            </w:r>
            <w:r w:rsidR="00F544DC" w:rsidRPr="00076B97">
              <w:rPr>
                <w:noProof/>
                <w:webHidden/>
              </w:rPr>
              <w:tab/>
            </w:r>
            <w:r w:rsidR="00F544DC" w:rsidRPr="00076B97">
              <w:rPr>
                <w:noProof/>
                <w:webHidden/>
              </w:rPr>
              <w:fldChar w:fldCharType="begin"/>
            </w:r>
            <w:r w:rsidR="00F544DC" w:rsidRPr="00076B97">
              <w:rPr>
                <w:noProof/>
                <w:webHidden/>
              </w:rPr>
              <w:instrText xml:space="preserve"> PAGEREF _Toc458606076 \h </w:instrText>
            </w:r>
            <w:r w:rsidR="00F544DC" w:rsidRPr="00076B97">
              <w:rPr>
                <w:noProof/>
                <w:webHidden/>
              </w:rPr>
            </w:r>
            <w:r w:rsidR="00F544DC" w:rsidRPr="00076B97">
              <w:rPr>
                <w:noProof/>
                <w:webHidden/>
              </w:rPr>
              <w:fldChar w:fldCharType="separate"/>
            </w:r>
            <w:r w:rsidR="00CF75F4">
              <w:rPr>
                <w:noProof/>
                <w:webHidden/>
              </w:rPr>
              <w:t>131</w:t>
            </w:r>
            <w:r w:rsidR="00F544DC" w:rsidRPr="00076B97">
              <w:rPr>
                <w:noProof/>
                <w:webHidden/>
              </w:rPr>
              <w:fldChar w:fldCharType="end"/>
            </w:r>
          </w:hyperlink>
        </w:p>
        <w:p w:rsidR="00F544DC" w:rsidRPr="00076B97" w:rsidRDefault="001B60A2">
          <w:pPr>
            <w:pStyle w:val="TM4"/>
            <w:tabs>
              <w:tab w:val="left" w:pos="1540"/>
              <w:tab w:val="right" w:leader="dot" w:pos="9062"/>
            </w:tabs>
            <w:rPr>
              <w:rFonts w:eastAsiaTheme="minorEastAsia"/>
              <w:noProof/>
              <w:lang w:eastAsia="fr-FR"/>
            </w:rPr>
          </w:pPr>
          <w:hyperlink w:anchor="_Toc458606077" w:history="1">
            <w:r w:rsidR="00F544DC" w:rsidRPr="00076B97">
              <w:rPr>
                <w:rStyle w:val="Lienhypertexte"/>
                <w:noProof/>
                <w:color w:val="auto"/>
                <w:u w:val="none"/>
              </w:rPr>
              <w:t>4.3.1</w:t>
            </w:r>
            <w:r w:rsidR="00F544DC" w:rsidRPr="00076B97">
              <w:rPr>
                <w:rFonts w:eastAsiaTheme="minorEastAsia"/>
                <w:noProof/>
                <w:lang w:eastAsia="fr-FR"/>
              </w:rPr>
              <w:tab/>
            </w:r>
            <w:r w:rsidR="00F544DC" w:rsidRPr="00076B97">
              <w:rPr>
                <w:rStyle w:val="Lienhypertexte"/>
                <w:noProof/>
                <w:color w:val="auto"/>
                <w:u w:val="none"/>
              </w:rPr>
              <w:t>Produits de fonderie</w:t>
            </w:r>
            <w:r w:rsidR="00F544DC" w:rsidRPr="00076B97">
              <w:rPr>
                <w:noProof/>
                <w:webHidden/>
              </w:rPr>
              <w:tab/>
            </w:r>
            <w:r w:rsidR="00F544DC" w:rsidRPr="00076B97">
              <w:rPr>
                <w:noProof/>
                <w:webHidden/>
              </w:rPr>
              <w:fldChar w:fldCharType="begin"/>
            </w:r>
            <w:r w:rsidR="00F544DC" w:rsidRPr="00076B97">
              <w:rPr>
                <w:noProof/>
                <w:webHidden/>
              </w:rPr>
              <w:instrText xml:space="preserve"> PAGEREF _Toc458606077 \h </w:instrText>
            </w:r>
            <w:r w:rsidR="00F544DC" w:rsidRPr="00076B97">
              <w:rPr>
                <w:noProof/>
                <w:webHidden/>
              </w:rPr>
            </w:r>
            <w:r w:rsidR="00F544DC" w:rsidRPr="00076B97">
              <w:rPr>
                <w:noProof/>
                <w:webHidden/>
              </w:rPr>
              <w:fldChar w:fldCharType="separate"/>
            </w:r>
            <w:r w:rsidR="00CF75F4">
              <w:rPr>
                <w:noProof/>
                <w:webHidden/>
              </w:rPr>
              <w:t>131</w:t>
            </w:r>
            <w:r w:rsidR="00F544DC" w:rsidRPr="00076B97">
              <w:rPr>
                <w:noProof/>
                <w:webHidden/>
              </w:rPr>
              <w:fldChar w:fldCharType="end"/>
            </w:r>
          </w:hyperlink>
        </w:p>
        <w:p w:rsidR="00F544DC" w:rsidRPr="00076B97" w:rsidRDefault="001B60A2">
          <w:pPr>
            <w:pStyle w:val="TM4"/>
            <w:tabs>
              <w:tab w:val="left" w:pos="1540"/>
              <w:tab w:val="right" w:leader="dot" w:pos="9062"/>
            </w:tabs>
            <w:rPr>
              <w:rFonts w:eastAsiaTheme="minorEastAsia"/>
              <w:noProof/>
              <w:lang w:eastAsia="fr-FR"/>
            </w:rPr>
          </w:pPr>
          <w:hyperlink w:anchor="_Toc458606078" w:history="1">
            <w:r w:rsidR="00F544DC" w:rsidRPr="00076B97">
              <w:rPr>
                <w:rStyle w:val="Lienhypertexte"/>
                <w:noProof/>
                <w:color w:val="auto"/>
                <w:u w:val="none"/>
              </w:rPr>
              <w:t>4.3.2</w:t>
            </w:r>
            <w:r w:rsidR="00F544DC" w:rsidRPr="00076B97">
              <w:rPr>
                <w:rFonts w:eastAsiaTheme="minorEastAsia"/>
                <w:noProof/>
                <w:lang w:eastAsia="fr-FR"/>
              </w:rPr>
              <w:tab/>
            </w:r>
            <w:r w:rsidR="00F544DC" w:rsidRPr="00076B97">
              <w:rPr>
                <w:rStyle w:val="Lienhypertexte"/>
                <w:noProof/>
                <w:color w:val="auto"/>
                <w:u w:val="none"/>
              </w:rPr>
              <w:t>Fer à béton et câbles de précontrainte</w:t>
            </w:r>
            <w:r w:rsidR="00F544DC" w:rsidRPr="00076B97">
              <w:rPr>
                <w:noProof/>
                <w:webHidden/>
              </w:rPr>
              <w:tab/>
            </w:r>
            <w:r w:rsidR="00F544DC" w:rsidRPr="00076B97">
              <w:rPr>
                <w:noProof/>
                <w:webHidden/>
              </w:rPr>
              <w:fldChar w:fldCharType="begin"/>
            </w:r>
            <w:r w:rsidR="00F544DC" w:rsidRPr="00076B97">
              <w:rPr>
                <w:noProof/>
                <w:webHidden/>
              </w:rPr>
              <w:instrText xml:space="preserve"> PAGEREF _Toc458606078 \h </w:instrText>
            </w:r>
            <w:r w:rsidR="00F544DC" w:rsidRPr="00076B97">
              <w:rPr>
                <w:noProof/>
                <w:webHidden/>
              </w:rPr>
            </w:r>
            <w:r w:rsidR="00F544DC" w:rsidRPr="00076B97">
              <w:rPr>
                <w:noProof/>
                <w:webHidden/>
              </w:rPr>
              <w:fldChar w:fldCharType="separate"/>
            </w:r>
            <w:r w:rsidR="00CF75F4">
              <w:rPr>
                <w:noProof/>
                <w:webHidden/>
              </w:rPr>
              <w:t>138</w:t>
            </w:r>
            <w:r w:rsidR="00F544DC" w:rsidRPr="00076B97">
              <w:rPr>
                <w:noProof/>
                <w:webHidden/>
              </w:rPr>
              <w:fldChar w:fldCharType="end"/>
            </w:r>
          </w:hyperlink>
        </w:p>
        <w:p w:rsidR="00F544DC" w:rsidRPr="00076B97" w:rsidRDefault="001B60A2">
          <w:pPr>
            <w:pStyle w:val="TM4"/>
            <w:tabs>
              <w:tab w:val="left" w:pos="1540"/>
              <w:tab w:val="right" w:leader="dot" w:pos="9062"/>
            </w:tabs>
            <w:rPr>
              <w:rFonts w:eastAsiaTheme="minorEastAsia"/>
              <w:noProof/>
              <w:lang w:eastAsia="fr-FR"/>
            </w:rPr>
          </w:pPr>
          <w:hyperlink w:anchor="_Toc458606079" w:history="1">
            <w:r w:rsidR="00F544DC" w:rsidRPr="00076B97">
              <w:rPr>
                <w:rStyle w:val="Lienhypertexte"/>
                <w:noProof/>
                <w:color w:val="auto"/>
                <w:u w:val="none"/>
              </w:rPr>
              <w:t>4.3.3</w:t>
            </w:r>
            <w:r w:rsidR="00F544DC" w:rsidRPr="00076B97">
              <w:rPr>
                <w:rFonts w:eastAsiaTheme="minorEastAsia"/>
                <w:noProof/>
                <w:lang w:eastAsia="fr-FR"/>
              </w:rPr>
              <w:tab/>
            </w:r>
            <w:r w:rsidR="00F544DC" w:rsidRPr="00076B97">
              <w:rPr>
                <w:rStyle w:val="Lienhypertexte"/>
                <w:noProof/>
                <w:color w:val="auto"/>
                <w:u w:val="none"/>
              </w:rPr>
              <w:t>Liants hydrauliques</w:t>
            </w:r>
            <w:r w:rsidR="00F544DC" w:rsidRPr="00076B97">
              <w:rPr>
                <w:noProof/>
                <w:webHidden/>
              </w:rPr>
              <w:tab/>
            </w:r>
            <w:r w:rsidR="00F544DC" w:rsidRPr="00076B97">
              <w:rPr>
                <w:noProof/>
                <w:webHidden/>
              </w:rPr>
              <w:fldChar w:fldCharType="begin"/>
            </w:r>
            <w:r w:rsidR="00F544DC" w:rsidRPr="00076B97">
              <w:rPr>
                <w:noProof/>
                <w:webHidden/>
              </w:rPr>
              <w:instrText xml:space="preserve"> PAGEREF _Toc458606079 \h </w:instrText>
            </w:r>
            <w:r w:rsidR="00F544DC" w:rsidRPr="00076B97">
              <w:rPr>
                <w:noProof/>
                <w:webHidden/>
              </w:rPr>
            </w:r>
            <w:r w:rsidR="00F544DC" w:rsidRPr="00076B97">
              <w:rPr>
                <w:noProof/>
                <w:webHidden/>
              </w:rPr>
              <w:fldChar w:fldCharType="separate"/>
            </w:r>
            <w:r w:rsidR="00CF75F4">
              <w:rPr>
                <w:noProof/>
                <w:webHidden/>
              </w:rPr>
              <w:t>142</w:t>
            </w:r>
            <w:r w:rsidR="00F544DC" w:rsidRPr="00076B97">
              <w:rPr>
                <w:noProof/>
                <w:webHidden/>
              </w:rPr>
              <w:fldChar w:fldCharType="end"/>
            </w:r>
          </w:hyperlink>
        </w:p>
        <w:p w:rsidR="00F544DC" w:rsidRPr="00076B97" w:rsidRDefault="001B60A2">
          <w:pPr>
            <w:pStyle w:val="TM4"/>
            <w:tabs>
              <w:tab w:val="left" w:pos="1540"/>
              <w:tab w:val="right" w:leader="dot" w:pos="9062"/>
            </w:tabs>
            <w:rPr>
              <w:rFonts w:eastAsiaTheme="minorEastAsia"/>
              <w:noProof/>
              <w:lang w:eastAsia="fr-FR"/>
            </w:rPr>
          </w:pPr>
          <w:hyperlink w:anchor="_Toc458606080" w:history="1">
            <w:r w:rsidR="00F544DC" w:rsidRPr="00076B97">
              <w:rPr>
                <w:rStyle w:val="Lienhypertexte"/>
                <w:noProof/>
                <w:color w:val="auto"/>
                <w:u w:val="none"/>
              </w:rPr>
              <w:t>4.3.4</w:t>
            </w:r>
            <w:r w:rsidR="00F544DC" w:rsidRPr="00076B97">
              <w:rPr>
                <w:rFonts w:eastAsiaTheme="minorEastAsia"/>
                <w:noProof/>
                <w:lang w:eastAsia="fr-FR"/>
              </w:rPr>
              <w:tab/>
            </w:r>
            <w:r w:rsidR="00F544DC" w:rsidRPr="00076B97">
              <w:rPr>
                <w:rStyle w:val="Lienhypertexte"/>
                <w:noProof/>
                <w:color w:val="auto"/>
                <w:u w:val="none"/>
              </w:rPr>
              <w:t>Produits en terre cuite</w:t>
            </w:r>
            <w:r w:rsidR="00F544DC" w:rsidRPr="00076B97">
              <w:rPr>
                <w:noProof/>
                <w:webHidden/>
              </w:rPr>
              <w:tab/>
            </w:r>
            <w:r w:rsidR="00F544DC" w:rsidRPr="00076B97">
              <w:rPr>
                <w:noProof/>
                <w:webHidden/>
              </w:rPr>
              <w:fldChar w:fldCharType="begin"/>
            </w:r>
            <w:r w:rsidR="00F544DC" w:rsidRPr="00076B97">
              <w:rPr>
                <w:noProof/>
                <w:webHidden/>
              </w:rPr>
              <w:instrText xml:space="preserve"> PAGEREF _Toc458606080 \h </w:instrText>
            </w:r>
            <w:r w:rsidR="00F544DC" w:rsidRPr="00076B97">
              <w:rPr>
                <w:noProof/>
                <w:webHidden/>
              </w:rPr>
            </w:r>
            <w:r w:rsidR="00F544DC" w:rsidRPr="00076B97">
              <w:rPr>
                <w:noProof/>
                <w:webHidden/>
              </w:rPr>
              <w:fldChar w:fldCharType="separate"/>
            </w:r>
            <w:r w:rsidR="00CF75F4">
              <w:rPr>
                <w:noProof/>
                <w:webHidden/>
              </w:rPr>
              <w:t>145</w:t>
            </w:r>
            <w:r w:rsidR="00F544DC" w:rsidRPr="00076B97">
              <w:rPr>
                <w:noProof/>
                <w:webHidden/>
              </w:rPr>
              <w:fldChar w:fldCharType="end"/>
            </w:r>
          </w:hyperlink>
        </w:p>
        <w:p w:rsidR="00F544DC" w:rsidRPr="00076B97" w:rsidRDefault="001B60A2">
          <w:pPr>
            <w:pStyle w:val="TM4"/>
            <w:tabs>
              <w:tab w:val="left" w:pos="1540"/>
              <w:tab w:val="right" w:leader="dot" w:pos="9062"/>
            </w:tabs>
            <w:rPr>
              <w:rFonts w:eastAsiaTheme="minorEastAsia"/>
              <w:noProof/>
              <w:lang w:eastAsia="fr-FR"/>
            </w:rPr>
          </w:pPr>
          <w:hyperlink w:anchor="_Toc458606081" w:history="1">
            <w:r w:rsidR="00F544DC" w:rsidRPr="00076B97">
              <w:rPr>
                <w:rStyle w:val="Lienhypertexte"/>
                <w:noProof/>
                <w:color w:val="auto"/>
                <w:u w:val="none"/>
              </w:rPr>
              <w:t>4.3.5</w:t>
            </w:r>
            <w:r w:rsidR="00F544DC" w:rsidRPr="00076B97">
              <w:rPr>
                <w:rFonts w:eastAsiaTheme="minorEastAsia"/>
                <w:noProof/>
                <w:lang w:eastAsia="fr-FR"/>
              </w:rPr>
              <w:tab/>
            </w:r>
            <w:r w:rsidR="00F544DC" w:rsidRPr="00076B97">
              <w:rPr>
                <w:rStyle w:val="Lienhypertexte"/>
                <w:noProof/>
                <w:color w:val="auto"/>
                <w:u w:val="none"/>
              </w:rPr>
              <w:t>Produits de carrière</w:t>
            </w:r>
            <w:r w:rsidR="00F544DC" w:rsidRPr="00076B97">
              <w:rPr>
                <w:noProof/>
                <w:webHidden/>
              </w:rPr>
              <w:tab/>
            </w:r>
            <w:r w:rsidR="00F544DC" w:rsidRPr="00076B97">
              <w:rPr>
                <w:noProof/>
                <w:webHidden/>
              </w:rPr>
              <w:fldChar w:fldCharType="begin"/>
            </w:r>
            <w:r w:rsidR="00F544DC" w:rsidRPr="00076B97">
              <w:rPr>
                <w:noProof/>
                <w:webHidden/>
              </w:rPr>
              <w:instrText xml:space="preserve"> PAGEREF _Toc458606081 \h </w:instrText>
            </w:r>
            <w:r w:rsidR="00F544DC" w:rsidRPr="00076B97">
              <w:rPr>
                <w:noProof/>
                <w:webHidden/>
              </w:rPr>
            </w:r>
            <w:r w:rsidR="00F544DC" w:rsidRPr="00076B97">
              <w:rPr>
                <w:noProof/>
                <w:webHidden/>
              </w:rPr>
              <w:fldChar w:fldCharType="separate"/>
            </w:r>
            <w:r w:rsidR="00CF75F4">
              <w:rPr>
                <w:noProof/>
                <w:webHidden/>
              </w:rPr>
              <w:t>151</w:t>
            </w:r>
            <w:r w:rsidR="00F544DC" w:rsidRPr="00076B97">
              <w:rPr>
                <w:noProof/>
                <w:webHidden/>
              </w:rPr>
              <w:fldChar w:fldCharType="end"/>
            </w:r>
          </w:hyperlink>
        </w:p>
        <w:p w:rsidR="00F544DC" w:rsidRPr="00076B97" w:rsidRDefault="001B60A2">
          <w:pPr>
            <w:pStyle w:val="TM3"/>
            <w:tabs>
              <w:tab w:val="left" w:pos="1100"/>
              <w:tab w:val="right" w:leader="dot" w:pos="9062"/>
            </w:tabs>
            <w:rPr>
              <w:rFonts w:eastAsiaTheme="minorEastAsia"/>
              <w:noProof/>
              <w:lang w:eastAsia="fr-FR"/>
            </w:rPr>
          </w:pPr>
          <w:hyperlink w:anchor="_Toc458606082" w:history="1">
            <w:r w:rsidR="00F544DC" w:rsidRPr="00076B97">
              <w:rPr>
                <w:rStyle w:val="Lienhypertexte"/>
                <w:noProof/>
                <w:color w:val="auto"/>
                <w:u w:val="none"/>
              </w:rPr>
              <w:t>4.4</w:t>
            </w:r>
            <w:r w:rsidR="00F544DC" w:rsidRPr="00076B97">
              <w:rPr>
                <w:rFonts w:eastAsiaTheme="minorEastAsia"/>
                <w:noProof/>
                <w:lang w:eastAsia="fr-FR"/>
              </w:rPr>
              <w:tab/>
            </w:r>
            <w:r w:rsidR="00F544DC" w:rsidRPr="00076B97">
              <w:rPr>
                <w:rStyle w:val="Lienhypertexte"/>
                <w:noProof/>
                <w:color w:val="auto"/>
                <w:u w:val="none"/>
              </w:rPr>
              <w:t>Lot N° 4 : Gros œuvres</w:t>
            </w:r>
            <w:r w:rsidR="00F544DC" w:rsidRPr="00076B97">
              <w:rPr>
                <w:noProof/>
                <w:webHidden/>
              </w:rPr>
              <w:tab/>
            </w:r>
            <w:r w:rsidR="00F544DC" w:rsidRPr="00076B97">
              <w:rPr>
                <w:noProof/>
                <w:webHidden/>
              </w:rPr>
              <w:fldChar w:fldCharType="begin"/>
            </w:r>
            <w:r w:rsidR="00F544DC" w:rsidRPr="00076B97">
              <w:rPr>
                <w:noProof/>
                <w:webHidden/>
              </w:rPr>
              <w:instrText xml:space="preserve"> PAGEREF _Toc458606082 \h </w:instrText>
            </w:r>
            <w:r w:rsidR="00F544DC" w:rsidRPr="00076B97">
              <w:rPr>
                <w:noProof/>
                <w:webHidden/>
              </w:rPr>
            </w:r>
            <w:r w:rsidR="00F544DC" w:rsidRPr="00076B97">
              <w:rPr>
                <w:noProof/>
                <w:webHidden/>
              </w:rPr>
              <w:fldChar w:fldCharType="separate"/>
            </w:r>
            <w:r w:rsidR="00CF75F4">
              <w:rPr>
                <w:noProof/>
                <w:webHidden/>
              </w:rPr>
              <w:t>162</w:t>
            </w:r>
            <w:r w:rsidR="00F544DC" w:rsidRPr="00076B97">
              <w:rPr>
                <w:noProof/>
                <w:webHidden/>
              </w:rPr>
              <w:fldChar w:fldCharType="end"/>
            </w:r>
          </w:hyperlink>
        </w:p>
        <w:p w:rsidR="00F544DC" w:rsidRPr="00076B97" w:rsidRDefault="001B60A2">
          <w:pPr>
            <w:pStyle w:val="TM4"/>
            <w:tabs>
              <w:tab w:val="left" w:pos="1540"/>
              <w:tab w:val="right" w:leader="dot" w:pos="9062"/>
            </w:tabs>
            <w:rPr>
              <w:rFonts w:eastAsiaTheme="minorEastAsia"/>
              <w:noProof/>
              <w:lang w:eastAsia="fr-FR"/>
            </w:rPr>
          </w:pPr>
          <w:hyperlink w:anchor="_Toc458606083" w:history="1">
            <w:r w:rsidR="00F544DC" w:rsidRPr="00076B97">
              <w:rPr>
                <w:rStyle w:val="Lienhypertexte"/>
                <w:noProof/>
                <w:color w:val="auto"/>
                <w:u w:val="none"/>
              </w:rPr>
              <w:t>4.4.1</w:t>
            </w:r>
            <w:r w:rsidR="00F544DC" w:rsidRPr="00076B97">
              <w:rPr>
                <w:rFonts w:eastAsiaTheme="minorEastAsia"/>
                <w:noProof/>
                <w:lang w:eastAsia="fr-FR"/>
              </w:rPr>
              <w:tab/>
            </w:r>
            <w:r w:rsidR="00F544DC" w:rsidRPr="00076B97">
              <w:rPr>
                <w:rStyle w:val="Lienhypertexte"/>
                <w:noProof/>
                <w:color w:val="auto"/>
                <w:u w:val="none"/>
              </w:rPr>
              <w:t>Bétons, mortiers et produits dérivés</w:t>
            </w:r>
            <w:r w:rsidR="00F544DC" w:rsidRPr="00076B97">
              <w:rPr>
                <w:noProof/>
                <w:webHidden/>
              </w:rPr>
              <w:tab/>
            </w:r>
            <w:r w:rsidR="00F544DC" w:rsidRPr="00076B97">
              <w:rPr>
                <w:noProof/>
                <w:webHidden/>
              </w:rPr>
              <w:fldChar w:fldCharType="begin"/>
            </w:r>
            <w:r w:rsidR="00F544DC" w:rsidRPr="00076B97">
              <w:rPr>
                <w:noProof/>
                <w:webHidden/>
              </w:rPr>
              <w:instrText xml:space="preserve"> PAGEREF _Toc458606083 \h </w:instrText>
            </w:r>
            <w:r w:rsidR="00F544DC" w:rsidRPr="00076B97">
              <w:rPr>
                <w:noProof/>
                <w:webHidden/>
              </w:rPr>
            </w:r>
            <w:r w:rsidR="00F544DC" w:rsidRPr="00076B97">
              <w:rPr>
                <w:noProof/>
                <w:webHidden/>
              </w:rPr>
              <w:fldChar w:fldCharType="separate"/>
            </w:r>
            <w:r w:rsidR="00CF75F4">
              <w:rPr>
                <w:noProof/>
                <w:webHidden/>
              </w:rPr>
              <w:t>162</w:t>
            </w:r>
            <w:r w:rsidR="00F544DC" w:rsidRPr="00076B97">
              <w:rPr>
                <w:noProof/>
                <w:webHidden/>
              </w:rPr>
              <w:fldChar w:fldCharType="end"/>
            </w:r>
          </w:hyperlink>
        </w:p>
        <w:p w:rsidR="00F544DC" w:rsidRPr="00076B97" w:rsidRDefault="001B60A2">
          <w:pPr>
            <w:pStyle w:val="TM4"/>
            <w:tabs>
              <w:tab w:val="left" w:pos="1540"/>
              <w:tab w:val="right" w:leader="dot" w:pos="9062"/>
            </w:tabs>
            <w:rPr>
              <w:rFonts w:eastAsiaTheme="minorEastAsia"/>
              <w:noProof/>
              <w:lang w:eastAsia="fr-FR"/>
            </w:rPr>
          </w:pPr>
          <w:hyperlink w:anchor="_Toc458606084" w:history="1">
            <w:r w:rsidR="00F544DC" w:rsidRPr="00076B97">
              <w:rPr>
                <w:rStyle w:val="Lienhypertexte"/>
                <w:noProof/>
                <w:color w:val="auto"/>
                <w:u w:val="none"/>
              </w:rPr>
              <w:t>4.4.2</w:t>
            </w:r>
            <w:r w:rsidR="00F544DC" w:rsidRPr="00076B97">
              <w:rPr>
                <w:rFonts w:eastAsiaTheme="minorEastAsia"/>
                <w:noProof/>
                <w:lang w:eastAsia="fr-FR"/>
              </w:rPr>
              <w:tab/>
            </w:r>
            <w:r w:rsidR="00F544DC" w:rsidRPr="00076B97">
              <w:rPr>
                <w:rStyle w:val="Lienhypertexte"/>
                <w:noProof/>
                <w:color w:val="auto"/>
                <w:u w:val="none"/>
              </w:rPr>
              <w:t>Travaux de couverture et d’étanchéité</w:t>
            </w:r>
            <w:r w:rsidR="00F544DC" w:rsidRPr="00076B97">
              <w:rPr>
                <w:noProof/>
                <w:webHidden/>
              </w:rPr>
              <w:tab/>
            </w:r>
            <w:r w:rsidR="00F544DC" w:rsidRPr="00076B97">
              <w:rPr>
                <w:noProof/>
                <w:webHidden/>
              </w:rPr>
              <w:fldChar w:fldCharType="begin"/>
            </w:r>
            <w:r w:rsidR="00F544DC" w:rsidRPr="00076B97">
              <w:rPr>
                <w:noProof/>
                <w:webHidden/>
              </w:rPr>
              <w:instrText xml:space="preserve"> PAGEREF _Toc458606084 \h </w:instrText>
            </w:r>
            <w:r w:rsidR="00F544DC" w:rsidRPr="00076B97">
              <w:rPr>
                <w:noProof/>
                <w:webHidden/>
              </w:rPr>
            </w:r>
            <w:r w:rsidR="00F544DC" w:rsidRPr="00076B97">
              <w:rPr>
                <w:noProof/>
                <w:webHidden/>
              </w:rPr>
              <w:fldChar w:fldCharType="separate"/>
            </w:r>
            <w:r w:rsidR="00CF75F4">
              <w:rPr>
                <w:noProof/>
                <w:webHidden/>
              </w:rPr>
              <w:t>176</w:t>
            </w:r>
            <w:r w:rsidR="00F544DC" w:rsidRPr="00076B97">
              <w:rPr>
                <w:noProof/>
                <w:webHidden/>
              </w:rPr>
              <w:fldChar w:fldCharType="end"/>
            </w:r>
          </w:hyperlink>
        </w:p>
        <w:p w:rsidR="00F544DC" w:rsidRPr="00076B97" w:rsidRDefault="001B60A2">
          <w:pPr>
            <w:pStyle w:val="TM4"/>
            <w:tabs>
              <w:tab w:val="left" w:pos="1540"/>
              <w:tab w:val="right" w:leader="dot" w:pos="9062"/>
            </w:tabs>
            <w:rPr>
              <w:rFonts w:eastAsiaTheme="minorEastAsia"/>
              <w:noProof/>
              <w:lang w:eastAsia="fr-FR"/>
            </w:rPr>
          </w:pPr>
          <w:hyperlink w:anchor="_Toc458606085" w:history="1">
            <w:r w:rsidR="00F544DC" w:rsidRPr="00076B97">
              <w:rPr>
                <w:rStyle w:val="Lienhypertexte"/>
                <w:noProof/>
                <w:color w:val="auto"/>
                <w:u w:val="none"/>
              </w:rPr>
              <w:t>4.4.3</w:t>
            </w:r>
            <w:r w:rsidR="00F544DC" w:rsidRPr="00076B97">
              <w:rPr>
                <w:rFonts w:eastAsiaTheme="minorEastAsia"/>
                <w:noProof/>
                <w:lang w:eastAsia="fr-FR"/>
              </w:rPr>
              <w:tab/>
            </w:r>
            <w:r w:rsidR="00F544DC" w:rsidRPr="00076B97">
              <w:rPr>
                <w:rStyle w:val="Lienhypertexte"/>
                <w:noProof/>
                <w:color w:val="auto"/>
                <w:u w:val="none"/>
              </w:rPr>
              <w:t>Chaudronnerie et menuiserie métalliques</w:t>
            </w:r>
            <w:r w:rsidR="00F544DC" w:rsidRPr="00076B97">
              <w:rPr>
                <w:noProof/>
                <w:webHidden/>
              </w:rPr>
              <w:tab/>
            </w:r>
            <w:r w:rsidR="00F544DC" w:rsidRPr="00076B97">
              <w:rPr>
                <w:noProof/>
                <w:webHidden/>
              </w:rPr>
              <w:fldChar w:fldCharType="begin"/>
            </w:r>
            <w:r w:rsidR="00F544DC" w:rsidRPr="00076B97">
              <w:rPr>
                <w:noProof/>
                <w:webHidden/>
              </w:rPr>
              <w:instrText xml:space="preserve"> PAGEREF _Toc458606085 \h </w:instrText>
            </w:r>
            <w:r w:rsidR="00F544DC" w:rsidRPr="00076B97">
              <w:rPr>
                <w:noProof/>
                <w:webHidden/>
              </w:rPr>
            </w:r>
            <w:r w:rsidR="00F544DC" w:rsidRPr="00076B97">
              <w:rPr>
                <w:noProof/>
                <w:webHidden/>
              </w:rPr>
              <w:fldChar w:fldCharType="separate"/>
            </w:r>
            <w:r w:rsidR="00CF75F4">
              <w:rPr>
                <w:noProof/>
                <w:webHidden/>
              </w:rPr>
              <w:t>195</w:t>
            </w:r>
            <w:r w:rsidR="00F544DC" w:rsidRPr="00076B97">
              <w:rPr>
                <w:noProof/>
                <w:webHidden/>
              </w:rPr>
              <w:fldChar w:fldCharType="end"/>
            </w:r>
          </w:hyperlink>
        </w:p>
        <w:p w:rsidR="00F544DC" w:rsidRPr="00076B97" w:rsidRDefault="001B60A2">
          <w:pPr>
            <w:pStyle w:val="TM3"/>
            <w:tabs>
              <w:tab w:val="left" w:pos="1100"/>
              <w:tab w:val="right" w:leader="dot" w:pos="9062"/>
            </w:tabs>
            <w:rPr>
              <w:rFonts w:eastAsiaTheme="minorEastAsia"/>
              <w:noProof/>
              <w:lang w:eastAsia="fr-FR"/>
            </w:rPr>
          </w:pPr>
          <w:hyperlink w:anchor="_Toc458606086" w:history="1">
            <w:r w:rsidR="00F544DC" w:rsidRPr="00076B97">
              <w:rPr>
                <w:rStyle w:val="Lienhypertexte"/>
                <w:noProof/>
                <w:color w:val="auto"/>
                <w:u w:val="none"/>
              </w:rPr>
              <w:t>4.5</w:t>
            </w:r>
            <w:r w:rsidR="00F544DC" w:rsidRPr="00076B97">
              <w:rPr>
                <w:rFonts w:eastAsiaTheme="minorEastAsia"/>
                <w:noProof/>
                <w:lang w:eastAsia="fr-FR"/>
              </w:rPr>
              <w:tab/>
            </w:r>
            <w:r w:rsidR="00F544DC" w:rsidRPr="00076B97">
              <w:rPr>
                <w:rStyle w:val="Lienhypertexte"/>
                <w:noProof/>
                <w:color w:val="auto"/>
                <w:u w:val="none"/>
              </w:rPr>
              <w:t>Lot N° 5 : Seconds œuvres</w:t>
            </w:r>
            <w:r w:rsidR="00F544DC" w:rsidRPr="00076B97">
              <w:rPr>
                <w:noProof/>
                <w:webHidden/>
              </w:rPr>
              <w:tab/>
            </w:r>
            <w:r w:rsidR="00F544DC" w:rsidRPr="00076B97">
              <w:rPr>
                <w:noProof/>
                <w:webHidden/>
              </w:rPr>
              <w:fldChar w:fldCharType="begin"/>
            </w:r>
            <w:r w:rsidR="00F544DC" w:rsidRPr="00076B97">
              <w:rPr>
                <w:noProof/>
                <w:webHidden/>
              </w:rPr>
              <w:instrText xml:space="preserve"> PAGEREF _Toc458606086 \h </w:instrText>
            </w:r>
            <w:r w:rsidR="00F544DC" w:rsidRPr="00076B97">
              <w:rPr>
                <w:noProof/>
                <w:webHidden/>
              </w:rPr>
            </w:r>
            <w:r w:rsidR="00F544DC" w:rsidRPr="00076B97">
              <w:rPr>
                <w:noProof/>
                <w:webHidden/>
              </w:rPr>
              <w:fldChar w:fldCharType="separate"/>
            </w:r>
            <w:r w:rsidR="00CF75F4">
              <w:rPr>
                <w:noProof/>
                <w:webHidden/>
              </w:rPr>
              <w:t>210</w:t>
            </w:r>
            <w:r w:rsidR="00F544DC" w:rsidRPr="00076B97">
              <w:rPr>
                <w:noProof/>
                <w:webHidden/>
              </w:rPr>
              <w:fldChar w:fldCharType="end"/>
            </w:r>
          </w:hyperlink>
        </w:p>
        <w:p w:rsidR="00F544DC" w:rsidRPr="00076B97" w:rsidRDefault="001B60A2">
          <w:pPr>
            <w:pStyle w:val="TM4"/>
            <w:tabs>
              <w:tab w:val="left" w:pos="1540"/>
              <w:tab w:val="right" w:leader="dot" w:pos="9062"/>
            </w:tabs>
            <w:rPr>
              <w:rFonts w:eastAsiaTheme="minorEastAsia"/>
              <w:noProof/>
              <w:lang w:eastAsia="fr-FR"/>
            </w:rPr>
          </w:pPr>
          <w:hyperlink w:anchor="_Toc458606087" w:history="1">
            <w:r w:rsidR="00F544DC" w:rsidRPr="00076B97">
              <w:rPr>
                <w:rStyle w:val="Lienhypertexte"/>
                <w:noProof/>
                <w:color w:val="auto"/>
                <w:u w:val="none"/>
              </w:rPr>
              <w:t>4.5.1</w:t>
            </w:r>
            <w:r w:rsidR="00F544DC" w:rsidRPr="00076B97">
              <w:rPr>
                <w:rFonts w:eastAsiaTheme="minorEastAsia"/>
                <w:noProof/>
                <w:lang w:eastAsia="fr-FR"/>
              </w:rPr>
              <w:tab/>
            </w:r>
            <w:r w:rsidR="00F544DC" w:rsidRPr="00076B97">
              <w:rPr>
                <w:rStyle w:val="Lienhypertexte"/>
                <w:noProof/>
                <w:color w:val="auto"/>
                <w:u w:val="none"/>
              </w:rPr>
              <w:t>Plomberie</w:t>
            </w:r>
            <w:r w:rsidR="00F544DC" w:rsidRPr="00076B97">
              <w:rPr>
                <w:noProof/>
                <w:webHidden/>
              </w:rPr>
              <w:tab/>
            </w:r>
            <w:r w:rsidR="00F544DC" w:rsidRPr="00076B97">
              <w:rPr>
                <w:noProof/>
                <w:webHidden/>
              </w:rPr>
              <w:fldChar w:fldCharType="begin"/>
            </w:r>
            <w:r w:rsidR="00F544DC" w:rsidRPr="00076B97">
              <w:rPr>
                <w:noProof/>
                <w:webHidden/>
              </w:rPr>
              <w:instrText xml:space="preserve"> PAGEREF _Toc458606087 \h </w:instrText>
            </w:r>
            <w:r w:rsidR="00F544DC" w:rsidRPr="00076B97">
              <w:rPr>
                <w:noProof/>
                <w:webHidden/>
              </w:rPr>
            </w:r>
            <w:r w:rsidR="00F544DC" w:rsidRPr="00076B97">
              <w:rPr>
                <w:noProof/>
                <w:webHidden/>
              </w:rPr>
              <w:fldChar w:fldCharType="separate"/>
            </w:r>
            <w:r w:rsidR="00CF75F4">
              <w:rPr>
                <w:noProof/>
                <w:webHidden/>
              </w:rPr>
              <w:t>210</w:t>
            </w:r>
            <w:r w:rsidR="00F544DC" w:rsidRPr="00076B97">
              <w:rPr>
                <w:noProof/>
                <w:webHidden/>
              </w:rPr>
              <w:fldChar w:fldCharType="end"/>
            </w:r>
          </w:hyperlink>
        </w:p>
        <w:p w:rsidR="00F544DC" w:rsidRPr="00076B97" w:rsidRDefault="001B60A2">
          <w:pPr>
            <w:pStyle w:val="TM4"/>
            <w:tabs>
              <w:tab w:val="left" w:pos="1540"/>
              <w:tab w:val="right" w:leader="dot" w:pos="9062"/>
            </w:tabs>
            <w:rPr>
              <w:rFonts w:eastAsiaTheme="minorEastAsia"/>
              <w:noProof/>
              <w:lang w:eastAsia="fr-FR"/>
            </w:rPr>
          </w:pPr>
          <w:hyperlink w:anchor="_Toc458606088" w:history="1">
            <w:r w:rsidR="00F544DC" w:rsidRPr="00076B97">
              <w:rPr>
                <w:rStyle w:val="Lienhypertexte"/>
                <w:noProof/>
                <w:color w:val="auto"/>
                <w:u w:val="none"/>
              </w:rPr>
              <w:t>4.5.2</w:t>
            </w:r>
            <w:r w:rsidR="00F544DC" w:rsidRPr="00076B97">
              <w:rPr>
                <w:rFonts w:eastAsiaTheme="minorEastAsia"/>
                <w:noProof/>
                <w:lang w:eastAsia="fr-FR"/>
              </w:rPr>
              <w:tab/>
            </w:r>
            <w:r w:rsidR="00F544DC" w:rsidRPr="00076B97">
              <w:rPr>
                <w:rStyle w:val="Lienhypertexte"/>
                <w:noProof/>
                <w:color w:val="auto"/>
                <w:u w:val="none"/>
              </w:rPr>
              <w:t>Isolation thermique</w:t>
            </w:r>
            <w:r w:rsidR="00F544DC" w:rsidRPr="00076B97">
              <w:rPr>
                <w:noProof/>
                <w:webHidden/>
              </w:rPr>
              <w:tab/>
            </w:r>
            <w:r w:rsidR="00F544DC" w:rsidRPr="00076B97">
              <w:rPr>
                <w:noProof/>
                <w:webHidden/>
              </w:rPr>
              <w:fldChar w:fldCharType="begin"/>
            </w:r>
            <w:r w:rsidR="00F544DC" w:rsidRPr="00076B97">
              <w:rPr>
                <w:noProof/>
                <w:webHidden/>
              </w:rPr>
              <w:instrText xml:space="preserve"> PAGEREF _Toc458606088 \h </w:instrText>
            </w:r>
            <w:r w:rsidR="00F544DC" w:rsidRPr="00076B97">
              <w:rPr>
                <w:noProof/>
                <w:webHidden/>
              </w:rPr>
            </w:r>
            <w:r w:rsidR="00F544DC" w:rsidRPr="00076B97">
              <w:rPr>
                <w:noProof/>
                <w:webHidden/>
              </w:rPr>
              <w:fldChar w:fldCharType="separate"/>
            </w:r>
            <w:r w:rsidR="00CF75F4">
              <w:rPr>
                <w:noProof/>
                <w:webHidden/>
              </w:rPr>
              <w:t>223</w:t>
            </w:r>
            <w:r w:rsidR="00F544DC" w:rsidRPr="00076B97">
              <w:rPr>
                <w:noProof/>
                <w:webHidden/>
              </w:rPr>
              <w:fldChar w:fldCharType="end"/>
            </w:r>
          </w:hyperlink>
        </w:p>
        <w:p w:rsidR="00F544DC" w:rsidRPr="00076B97" w:rsidRDefault="001B60A2">
          <w:pPr>
            <w:pStyle w:val="TM4"/>
            <w:tabs>
              <w:tab w:val="left" w:pos="1540"/>
              <w:tab w:val="right" w:leader="dot" w:pos="9062"/>
            </w:tabs>
            <w:rPr>
              <w:rFonts w:eastAsiaTheme="minorEastAsia"/>
              <w:noProof/>
              <w:lang w:eastAsia="fr-FR"/>
            </w:rPr>
          </w:pPr>
          <w:hyperlink w:anchor="_Toc458606089" w:history="1">
            <w:r w:rsidR="00F544DC" w:rsidRPr="00076B97">
              <w:rPr>
                <w:rStyle w:val="Lienhypertexte"/>
                <w:noProof/>
                <w:color w:val="auto"/>
                <w:u w:val="none"/>
              </w:rPr>
              <w:t>4.5.3</w:t>
            </w:r>
            <w:r w:rsidR="00F544DC" w:rsidRPr="00076B97">
              <w:rPr>
                <w:rFonts w:eastAsiaTheme="minorEastAsia"/>
                <w:noProof/>
                <w:lang w:eastAsia="fr-FR"/>
              </w:rPr>
              <w:tab/>
            </w:r>
            <w:r w:rsidR="00F544DC" w:rsidRPr="00076B97">
              <w:rPr>
                <w:rStyle w:val="Lienhypertexte"/>
                <w:noProof/>
                <w:color w:val="auto"/>
                <w:u w:val="none"/>
              </w:rPr>
              <w:t>Bois liège et produits dérivés</w:t>
            </w:r>
            <w:r w:rsidR="00F544DC" w:rsidRPr="00076B97">
              <w:rPr>
                <w:noProof/>
                <w:webHidden/>
              </w:rPr>
              <w:tab/>
            </w:r>
            <w:r w:rsidR="00F544DC" w:rsidRPr="00076B97">
              <w:rPr>
                <w:noProof/>
                <w:webHidden/>
              </w:rPr>
              <w:fldChar w:fldCharType="begin"/>
            </w:r>
            <w:r w:rsidR="00F544DC" w:rsidRPr="00076B97">
              <w:rPr>
                <w:noProof/>
                <w:webHidden/>
              </w:rPr>
              <w:instrText xml:space="preserve"> PAGEREF _Toc458606089 \h </w:instrText>
            </w:r>
            <w:r w:rsidR="00F544DC" w:rsidRPr="00076B97">
              <w:rPr>
                <w:noProof/>
                <w:webHidden/>
              </w:rPr>
            </w:r>
            <w:r w:rsidR="00F544DC" w:rsidRPr="00076B97">
              <w:rPr>
                <w:noProof/>
                <w:webHidden/>
              </w:rPr>
              <w:fldChar w:fldCharType="separate"/>
            </w:r>
            <w:r w:rsidR="00CF75F4">
              <w:rPr>
                <w:noProof/>
                <w:webHidden/>
              </w:rPr>
              <w:t>252</w:t>
            </w:r>
            <w:r w:rsidR="00F544DC" w:rsidRPr="00076B97">
              <w:rPr>
                <w:noProof/>
                <w:webHidden/>
              </w:rPr>
              <w:fldChar w:fldCharType="end"/>
            </w:r>
          </w:hyperlink>
        </w:p>
        <w:p w:rsidR="00F544DC" w:rsidRPr="00076B97" w:rsidRDefault="001B60A2">
          <w:pPr>
            <w:pStyle w:val="TM4"/>
            <w:tabs>
              <w:tab w:val="left" w:pos="1540"/>
              <w:tab w:val="right" w:leader="dot" w:pos="9062"/>
            </w:tabs>
            <w:rPr>
              <w:rFonts w:eastAsiaTheme="minorEastAsia"/>
              <w:noProof/>
              <w:lang w:eastAsia="fr-FR"/>
            </w:rPr>
          </w:pPr>
          <w:hyperlink w:anchor="_Toc458606090" w:history="1">
            <w:r w:rsidR="00F544DC" w:rsidRPr="00076B97">
              <w:rPr>
                <w:rStyle w:val="Lienhypertexte"/>
                <w:noProof/>
                <w:color w:val="auto"/>
                <w:u w:val="none"/>
              </w:rPr>
              <w:t>4.5.4</w:t>
            </w:r>
            <w:r w:rsidR="00F544DC" w:rsidRPr="00076B97">
              <w:rPr>
                <w:rFonts w:eastAsiaTheme="minorEastAsia"/>
                <w:noProof/>
                <w:lang w:eastAsia="fr-FR"/>
              </w:rPr>
              <w:tab/>
            </w:r>
            <w:r w:rsidR="00F544DC" w:rsidRPr="00076B97">
              <w:rPr>
                <w:rStyle w:val="Lienhypertexte"/>
                <w:noProof/>
                <w:color w:val="auto"/>
                <w:u w:val="none"/>
              </w:rPr>
              <w:t>Menuiserie des portes et fenêtres</w:t>
            </w:r>
            <w:r w:rsidR="00F544DC" w:rsidRPr="00076B97">
              <w:rPr>
                <w:noProof/>
                <w:webHidden/>
              </w:rPr>
              <w:tab/>
            </w:r>
            <w:r w:rsidR="00F544DC" w:rsidRPr="00076B97">
              <w:rPr>
                <w:noProof/>
                <w:webHidden/>
              </w:rPr>
              <w:fldChar w:fldCharType="begin"/>
            </w:r>
            <w:r w:rsidR="00F544DC" w:rsidRPr="00076B97">
              <w:rPr>
                <w:noProof/>
                <w:webHidden/>
              </w:rPr>
              <w:instrText xml:space="preserve"> PAGEREF _Toc458606090 \h </w:instrText>
            </w:r>
            <w:r w:rsidR="00F544DC" w:rsidRPr="00076B97">
              <w:rPr>
                <w:noProof/>
                <w:webHidden/>
              </w:rPr>
            </w:r>
            <w:r w:rsidR="00F544DC" w:rsidRPr="00076B97">
              <w:rPr>
                <w:noProof/>
                <w:webHidden/>
              </w:rPr>
              <w:fldChar w:fldCharType="separate"/>
            </w:r>
            <w:r w:rsidR="00CF75F4">
              <w:rPr>
                <w:noProof/>
                <w:webHidden/>
              </w:rPr>
              <w:t>263</w:t>
            </w:r>
            <w:r w:rsidR="00F544DC" w:rsidRPr="00076B97">
              <w:rPr>
                <w:noProof/>
                <w:webHidden/>
              </w:rPr>
              <w:fldChar w:fldCharType="end"/>
            </w:r>
          </w:hyperlink>
        </w:p>
        <w:p w:rsidR="00F544DC" w:rsidRPr="00076B97" w:rsidRDefault="001B60A2">
          <w:pPr>
            <w:pStyle w:val="TM4"/>
            <w:tabs>
              <w:tab w:val="left" w:pos="1540"/>
              <w:tab w:val="right" w:leader="dot" w:pos="9062"/>
            </w:tabs>
            <w:rPr>
              <w:rFonts w:eastAsiaTheme="minorEastAsia"/>
              <w:noProof/>
              <w:lang w:eastAsia="fr-FR"/>
            </w:rPr>
          </w:pPr>
          <w:hyperlink w:anchor="_Toc458606091" w:history="1">
            <w:r w:rsidR="00F544DC" w:rsidRPr="00076B97">
              <w:rPr>
                <w:rStyle w:val="Lienhypertexte"/>
                <w:noProof/>
                <w:color w:val="auto"/>
                <w:u w:val="none"/>
              </w:rPr>
              <w:t>4.5.5</w:t>
            </w:r>
            <w:r w:rsidR="00F544DC" w:rsidRPr="00076B97">
              <w:rPr>
                <w:rFonts w:eastAsiaTheme="minorEastAsia"/>
                <w:noProof/>
                <w:lang w:eastAsia="fr-FR"/>
              </w:rPr>
              <w:tab/>
            </w:r>
            <w:r w:rsidR="00F544DC" w:rsidRPr="00076B97">
              <w:rPr>
                <w:rStyle w:val="Lienhypertexte"/>
                <w:noProof/>
                <w:color w:val="auto"/>
                <w:u w:val="none"/>
              </w:rPr>
              <w:t>Robinetterie et produits sanitaires</w:t>
            </w:r>
            <w:r w:rsidR="00F544DC" w:rsidRPr="00076B97">
              <w:rPr>
                <w:noProof/>
                <w:webHidden/>
              </w:rPr>
              <w:tab/>
            </w:r>
            <w:r w:rsidR="00F544DC" w:rsidRPr="00076B97">
              <w:rPr>
                <w:noProof/>
                <w:webHidden/>
              </w:rPr>
              <w:fldChar w:fldCharType="begin"/>
            </w:r>
            <w:r w:rsidR="00F544DC" w:rsidRPr="00076B97">
              <w:rPr>
                <w:noProof/>
                <w:webHidden/>
              </w:rPr>
              <w:instrText xml:space="preserve"> PAGEREF _Toc458606091 \h </w:instrText>
            </w:r>
            <w:r w:rsidR="00F544DC" w:rsidRPr="00076B97">
              <w:rPr>
                <w:noProof/>
                <w:webHidden/>
              </w:rPr>
            </w:r>
            <w:r w:rsidR="00F544DC" w:rsidRPr="00076B97">
              <w:rPr>
                <w:noProof/>
                <w:webHidden/>
              </w:rPr>
              <w:fldChar w:fldCharType="separate"/>
            </w:r>
            <w:r w:rsidR="00CF75F4">
              <w:rPr>
                <w:noProof/>
                <w:webHidden/>
              </w:rPr>
              <w:t>282</w:t>
            </w:r>
            <w:r w:rsidR="00F544DC" w:rsidRPr="00076B97">
              <w:rPr>
                <w:noProof/>
                <w:webHidden/>
              </w:rPr>
              <w:fldChar w:fldCharType="end"/>
            </w:r>
          </w:hyperlink>
        </w:p>
        <w:p w:rsidR="00F544DC" w:rsidRPr="00076B97" w:rsidRDefault="001B60A2">
          <w:pPr>
            <w:pStyle w:val="TM4"/>
            <w:tabs>
              <w:tab w:val="left" w:pos="1540"/>
              <w:tab w:val="right" w:leader="dot" w:pos="9062"/>
            </w:tabs>
            <w:rPr>
              <w:rFonts w:eastAsiaTheme="minorEastAsia"/>
              <w:noProof/>
              <w:lang w:eastAsia="fr-FR"/>
            </w:rPr>
          </w:pPr>
          <w:hyperlink w:anchor="_Toc458606092" w:history="1">
            <w:r w:rsidR="00F544DC" w:rsidRPr="00076B97">
              <w:rPr>
                <w:rStyle w:val="Lienhypertexte"/>
                <w:noProof/>
                <w:color w:val="auto"/>
                <w:u w:val="none"/>
              </w:rPr>
              <w:t>4.5.6</w:t>
            </w:r>
            <w:r w:rsidR="00F544DC" w:rsidRPr="00076B97">
              <w:rPr>
                <w:rFonts w:eastAsiaTheme="minorEastAsia"/>
                <w:noProof/>
                <w:lang w:eastAsia="fr-FR"/>
              </w:rPr>
              <w:tab/>
            </w:r>
            <w:r w:rsidR="00F544DC" w:rsidRPr="00076B97">
              <w:rPr>
                <w:rStyle w:val="Lienhypertexte"/>
                <w:noProof/>
                <w:color w:val="auto"/>
                <w:u w:val="none"/>
              </w:rPr>
              <w:t>Vitrage et miroiterie</w:t>
            </w:r>
            <w:r w:rsidR="00F544DC" w:rsidRPr="00076B97">
              <w:rPr>
                <w:noProof/>
                <w:webHidden/>
              </w:rPr>
              <w:tab/>
            </w:r>
            <w:r w:rsidR="00F544DC" w:rsidRPr="00076B97">
              <w:rPr>
                <w:noProof/>
                <w:webHidden/>
              </w:rPr>
              <w:fldChar w:fldCharType="begin"/>
            </w:r>
            <w:r w:rsidR="00F544DC" w:rsidRPr="00076B97">
              <w:rPr>
                <w:noProof/>
                <w:webHidden/>
              </w:rPr>
              <w:instrText xml:space="preserve"> PAGEREF _Toc458606092 \h </w:instrText>
            </w:r>
            <w:r w:rsidR="00F544DC" w:rsidRPr="00076B97">
              <w:rPr>
                <w:noProof/>
                <w:webHidden/>
              </w:rPr>
            </w:r>
            <w:r w:rsidR="00F544DC" w:rsidRPr="00076B97">
              <w:rPr>
                <w:noProof/>
                <w:webHidden/>
              </w:rPr>
              <w:fldChar w:fldCharType="separate"/>
            </w:r>
            <w:r w:rsidR="00CF75F4">
              <w:rPr>
                <w:noProof/>
                <w:webHidden/>
              </w:rPr>
              <w:t>312</w:t>
            </w:r>
            <w:r w:rsidR="00F544DC" w:rsidRPr="00076B97">
              <w:rPr>
                <w:noProof/>
                <w:webHidden/>
              </w:rPr>
              <w:fldChar w:fldCharType="end"/>
            </w:r>
          </w:hyperlink>
        </w:p>
        <w:p w:rsidR="00F544DC" w:rsidRPr="00076B97" w:rsidRDefault="001B60A2">
          <w:pPr>
            <w:pStyle w:val="TM4"/>
            <w:tabs>
              <w:tab w:val="left" w:pos="1540"/>
              <w:tab w:val="right" w:leader="dot" w:pos="9062"/>
            </w:tabs>
            <w:rPr>
              <w:rFonts w:eastAsiaTheme="minorEastAsia"/>
              <w:noProof/>
              <w:lang w:eastAsia="fr-FR"/>
            </w:rPr>
          </w:pPr>
          <w:hyperlink w:anchor="_Toc458606093" w:history="1">
            <w:r w:rsidR="00F544DC" w:rsidRPr="00076B97">
              <w:rPr>
                <w:rStyle w:val="Lienhypertexte"/>
                <w:noProof/>
                <w:color w:val="auto"/>
                <w:u w:val="none"/>
              </w:rPr>
              <w:t>4.5.7</w:t>
            </w:r>
            <w:r w:rsidR="00F544DC" w:rsidRPr="00076B97">
              <w:rPr>
                <w:rFonts w:eastAsiaTheme="minorEastAsia"/>
                <w:noProof/>
                <w:lang w:eastAsia="fr-FR"/>
              </w:rPr>
              <w:tab/>
            </w:r>
            <w:r w:rsidR="00F544DC" w:rsidRPr="00076B97">
              <w:rPr>
                <w:rStyle w:val="Lienhypertexte"/>
                <w:noProof/>
                <w:color w:val="auto"/>
                <w:u w:val="none"/>
              </w:rPr>
              <w:t>Quincaillerie</w:t>
            </w:r>
            <w:r w:rsidR="00F544DC" w:rsidRPr="00076B97">
              <w:rPr>
                <w:noProof/>
                <w:webHidden/>
              </w:rPr>
              <w:tab/>
            </w:r>
            <w:r w:rsidR="00F544DC" w:rsidRPr="00076B97">
              <w:rPr>
                <w:noProof/>
                <w:webHidden/>
              </w:rPr>
              <w:fldChar w:fldCharType="begin"/>
            </w:r>
            <w:r w:rsidR="00F544DC" w:rsidRPr="00076B97">
              <w:rPr>
                <w:noProof/>
                <w:webHidden/>
              </w:rPr>
              <w:instrText xml:space="preserve"> PAGEREF _Toc458606093 \h </w:instrText>
            </w:r>
            <w:r w:rsidR="00F544DC" w:rsidRPr="00076B97">
              <w:rPr>
                <w:noProof/>
                <w:webHidden/>
              </w:rPr>
            </w:r>
            <w:r w:rsidR="00F544DC" w:rsidRPr="00076B97">
              <w:rPr>
                <w:noProof/>
                <w:webHidden/>
              </w:rPr>
              <w:fldChar w:fldCharType="separate"/>
            </w:r>
            <w:r w:rsidR="00CF75F4">
              <w:rPr>
                <w:noProof/>
                <w:webHidden/>
              </w:rPr>
              <w:t>321</w:t>
            </w:r>
            <w:r w:rsidR="00F544DC" w:rsidRPr="00076B97">
              <w:rPr>
                <w:noProof/>
                <w:webHidden/>
              </w:rPr>
              <w:fldChar w:fldCharType="end"/>
            </w:r>
          </w:hyperlink>
        </w:p>
        <w:p w:rsidR="00F544DC" w:rsidRPr="00076B97" w:rsidRDefault="001B60A2">
          <w:pPr>
            <w:pStyle w:val="TM4"/>
            <w:tabs>
              <w:tab w:val="left" w:pos="1540"/>
              <w:tab w:val="right" w:leader="dot" w:pos="9062"/>
            </w:tabs>
            <w:rPr>
              <w:rFonts w:eastAsiaTheme="minorEastAsia"/>
              <w:noProof/>
              <w:lang w:eastAsia="fr-FR"/>
            </w:rPr>
          </w:pPr>
          <w:hyperlink w:anchor="_Toc458606094" w:history="1">
            <w:r w:rsidR="00F544DC" w:rsidRPr="00076B97">
              <w:rPr>
                <w:rStyle w:val="Lienhypertexte"/>
                <w:noProof/>
                <w:color w:val="auto"/>
                <w:u w:val="none"/>
              </w:rPr>
              <w:t>4.5.8</w:t>
            </w:r>
            <w:r w:rsidR="00F544DC" w:rsidRPr="00076B97">
              <w:rPr>
                <w:rFonts w:eastAsiaTheme="minorEastAsia"/>
                <w:noProof/>
                <w:lang w:eastAsia="fr-FR"/>
              </w:rPr>
              <w:tab/>
            </w:r>
            <w:r w:rsidR="00F544DC" w:rsidRPr="00076B97">
              <w:rPr>
                <w:rStyle w:val="Lienhypertexte"/>
                <w:noProof/>
                <w:color w:val="auto"/>
                <w:u w:val="none"/>
              </w:rPr>
              <w:t>Carreaux de revêtement</w:t>
            </w:r>
            <w:r w:rsidR="00F544DC" w:rsidRPr="00076B97">
              <w:rPr>
                <w:noProof/>
                <w:webHidden/>
              </w:rPr>
              <w:tab/>
            </w:r>
            <w:r w:rsidR="00F544DC" w:rsidRPr="00076B97">
              <w:rPr>
                <w:noProof/>
                <w:webHidden/>
              </w:rPr>
              <w:fldChar w:fldCharType="begin"/>
            </w:r>
            <w:r w:rsidR="00F544DC" w:rsidRPr="00076B97">
              <w:rPr>
                <w:noProof/>
                <w:webHidden/>
              </w:rPr>
              <w:instrText xml:space="preserve"> PAGEREF _Toc458606094 \h </w:instrText>
            </w:r>
            <w:r w:rsidR="00F544DC" w:rsidRPr="00076B97">
              <w:rPr>
                <w:noProof/>
                <w:webHidden/>
              </w:rPr>
            </w:r>
            <w:r w:rsidR="00F544DC" w:rsidRPr="00076B97">
              <w:rPr>
                <w:noProof/>
                <w:webHidden/>
              </w:rPr>
              <w:fldChar w:fldCharType="separate"/>
            </w:r>
            <w:r w:rsidR="00CF75F4">
              <w:rPr>
                <w:noProof/>
                <w:webHidden/>
              </w:rPr>
              <w:t>345</w:t>
            </w:r>
            <w:r w:rsidR="00F544DC" w:rsidRPr="00076B97">
              <w:rPr>
                <w:noProof/>
                <w:webHidden/>
              </w:rPr>
              <w:fldChar w:fldCharType="end"/>
            </w:r>
          </w:hyperlink>
        </w:p>
        <w:p w:rsidR="00F544DC" w:rsidRPr="00076B97" w:rsidRDefault="001B60A2">
          <w:pPr>
            <w:pStyle w:val="TM4"/>
            <w:tabs>
              <w:tab w:val="left" w:pos="1540"/>
              <w:tab w:val="right" w:leader="dot" w:pos="9062"/>
            </w:tabs>
            <w:rPr>
              <w:rFonts w:eastAsiaTheme="minorEastAsia"/>
              <w:noProof/>
              <w:lang w:eastAsia="fr-FR"/>
            </w:rPr>
          </w:pPr>
          <w:hyperlink w:anchor="_Toc458606095" w:history="1">
            <w:r w:rsidR="00F544DC" w:rsidRPr="00076B97">
              <w:rPr>
                <w:rStyle w:val="Lienhypertexte"/>
                <w:noProof/>
                <w:color w:val="auto"/>
                <w:u w:val="none"/>
              </w:rPr>
              <w:t>4.5.9</w:t>
            </w:r>
            <w:r w:rsidR="00F544DC" w:rsidRPr="00076B97">
              <w:rPr>
                <w:rFonts w:eastAsiaTheme="minorEastAsia"/>
                <w:noProof/>
                <w:lang w:eastAsia="fr-FR"/>
              </w:rPr>
              <w:tab/>
            </w:r>
            <w:r w:rsidR="00F544DC" w:rsidRPr="00076B97">
              <w:rPr>
                <w:rStyle w:val="Lienhypertexte"/>
                <w:noProof/>
                <w:color w:val="auto"/>
                <w:u w:val="none"/>
              </w:rPr>
              <w:t>Peintures et vernis</w:t>
            </w:r>
            <w:r w:rsidR="00F544DC" w:rsidRPr="00076B97">
              <w:rPr>
                <w:noProof/>
                <w:webHidden/>
              </w:rPr>
              <w:tab/>
            </w:r>
            <w:r w:rsidR="00F544DC" w:rsidRPr="00076B97">
              <w:rPr>
                <w:noProof/>
                <w:webHidden/>
              </w:rPr>
              <w:fldChar w:fldCharType="begin"/>
            </w:r>
            <w:r w:rsidR="00F544DC" w:rsidRPr="00076B97">
              <w:rPr>
                <w:noProof/>
                <w:webHidden/>
              </w:rPr>
              <w:instrText xml:space="preserve"> PAGEREF _Toc458606095 \h </w:instrText>
            </w:r>
            <w:r w:rsidR="00F544DC" w:rsidRPr="00076B97">
              <w:rPr>
                <w:noProof/>
                <w:webHidden/>
              </w:rPr>
            </w:r>
            <w:r w:rsidR="00F544DC" w:rsidRPr="00076B97">
              <w:rPr>
                <w:noProof/>
                <w:webHidden/>
              </w:rPr>
              <w:fldChar w:fldCharType="separate"/>
            </w:r>
            <w:r w:rsidR="00CF75F4">
              <w:rPr>
                <w:noProof/>
                <w:webHidden/>
              </w:rPr>
              <w:t>359</w:t>
            </w:r>
            <w:r w:rsidR="00F544DC" w:rsidRPr="00076B97">
              <w:rPr>
                <w:noProof/>
                <w:webHidden/>
              </w:rPr>
              <w:fldChar w:fldCharType="end"/>
            </w:r>
          </w:hyperlink>
        </w:p>
        <w:p w:rsidR="00F544DC" w:rsidRPr="00076B97" w:rsidRDefault="001B60A2">
          <w:pPr>
            <w:pStyle w:val="TM4"/>
            <w:tabs>
              <w:tab w:val="left" w:pos="1540"/>
              <w:tab w:val="right" w:leader="dot" w:pos="9062"/>
            </w:tabs>
            <w:rPr>
              <w:rFonts w:eastAsiaTheme="minorEastAsia"/>
              <w:noProof/>
              <w:lang w:eastAsia="fr-FR"/>
            </w:rPr>
          </w:pPr>
          <w:hyperlink w:anchor="_Toc458606096" w:history="1">
            <w:r w:rsidR="00F544DC" w:rsidRPr="00076B97">
              <w:rPr>
                <w:rStyle w:val="Lienhypertexte"/>
                <w:noProof/>
                <w:color w:val="auto"/>
                <w:u w:val="none"/>
              </w:rPr>
              <w:t>4.5.10</w:t>
            </w:r>
            <w:r w:rsidR="00F544DC" w:rsidRPr="00076B97">
              <w:rPr>
                <w:rFonts w:eastAsiaTheme="minorEastAsia"/>
                <w:noProof/>
                <w:lang w:eastAsia="fr-FR"/>
              </w:rPr>
              <w:tab/>
            </w:r>
            <w:r w:rsidR="00F544DC" w:rsidRPr="00076B97">
              <w:rPr>
                <w:rStyle w:val="Lienhypertexte"/>
                <w:noProof/>
                <w:color w:val="auto"/>
                <w:u w:val="none"/>
              </w:rPr>
              <w:t>Acoustique</w:t>
            </w:r>
            <w:r w:rsidR="00F544DC" w:rsidRPr="00076B97">
              <w:rPr>
                <w:noProof/>
                <w:webHidden/>
              </w:rPr>
              <w:tab/>
            </w:r>
            <w:r w:rsidR="00F544DC" w:rsidRPr="00076B97">
              <w:rPr>
                <w:noProof/>
                <w:webHidden/>
              </w:rPr>
              <w:fldChar w:fldCharType="begin"/>
            </w:r>
            <w:r w:rsidR="00F544DC" w:rsidRPr="00076B97">
              <w:rPr>
                <w:noProof/>
                <w:webHidden/>
              </w:rPr>
              <w:instrText xml:space="preserve"> PAGEREF _Toc458606096 \h </w:instrText>
            </w:r>
            <w:r w:rsidR="00F544DC" w:rsidRPr="00076B97">
              <w:rPr>
                <w:noProof/>
                <w:webHidden/>
              </w:rPr>
            </w:r>
            <w:r w:rsidR="00F544DC" w:rsidRPr="00076B97">
              <w:rPr>
                <w:noProof/>
                <w:webHidden/>
              </w:rPr>
              <w:fldChar w:fldCharType="separate"/>
            </w:r>
            <w:r w:rsidR="00CF75F4">
              <w:rPr>
                <w:noProof/>
                <w:webHidden/>
              </w:rPr>
              <w:t>372</w:t>
            </w:r>
            <w:r w:rsidR="00F544DC" w:rsidRPr="00076B97">
              <w:rPr>
                <w:noProof/>
                <w:webHidden/>
              </w:rPr>
              <w:fldChar w:fldCharType="end"/>
            </w:r>
          </w:hyperlink>
        </w:p>
        <w:p w:rsidR="00F544DC" w:rsidRPr="00076B97" w:rsidRDefault="001B60A2">
          <w:pPr>
            <w:pStyle w:val="TM3"/>
            <w:tabs>
              <w:tab w:val="left" w:pos="1100"/>
              <w:tab w:val="right" w:leader="dot" w:pos="9062"/>
            </w:tabs>
            <w:rPr>
              <w:rFonts w:eastAsiaTheme="minorEastAsia"/>
              <w:noProof/>
              <w:lang w:eastAsia="fr-FR"/>
            </w:rPr>
          </w:pPr>
          <w:hyperlink w:anchor="_Toc458606097" w:history="1">
            <w:r w:rsidR="00F544DC" w:rsidRPr="00076B97">
              <w:rPr>
                <w:rStyle w:val="Lienhypertexte"/>
                <w:noProof/>
                <w:color w:val="auto"/>
                <w:u w:val="none"/>
              </w:rPr>
              <w:t>4.6</w:t>
            </w:r>
            <w:r w:rsidR="00F544DC" w:rsidRPr="00076B97">
              <w:rPr>
                <w:rFonts w:eastAsiaTheme="minorEastAsia"/>
                <w:noProof/>
                <w:lang w:eastAsia="fr-FR"/>
              </w:rPr>
              <w:tab/>
            </w:r>
            <w:r w:rsidR="00F544DC" w:rsidRPr="00076B97">
              <w:rPr>
                <w:rStyle w:val="Lienhypertexte"/>
                <w:noProof/>
                <w:color w:val="auto"/>
                <w:u w:val="none"/>
              </w:rPr>
              <w:t>Lot N° 6 : Développement durable &amp; performance des bâtiments</w:t>
            </w:r>
            <w:r w:rsidR="00F544DC" w:rsidRPr="00076B97">
              <w:rPr>
                <w:noProof/>
                <w:webHidden/>
              </w:rPr>
              <w:tab/>
            </w:r>
            <w:r w:rsidR="00F544DC" w:rsidRPr="00076B97">
              <w:rPr>
                <w:noProof/>
                <w:webHidden/>
              </w:rPr>
              <w:fldChar w:fldCharType="begin"/>
            </w:r>
            <w:r w:rsidR="00F544DC" w:rsidRPr="00076B97">
              <w:rPr>
                <w:noProof/>
                <w:webHidden/>
              </w:rPr>
              <w:instrText xml:space="preserve"> PAGEREF _Toc458606097 \h </w:instrText>
            </w:r>
            <w:r w:rsidR="00F544DC" w:rsidRPr="00076B97">
              <w:rPr>
                <w:noProof/>
                <w:webHidden/>
              </w:rPr>
            </w:r>
            <w:r w:rsidR="00F544DC" w:rsidRPr="00076B97">
              <w:rPr>
                <w:noProof/>
                <w:webHidden/>
              </w:rPr>
              <w:fldChar w:fldCharType="separate"/>
            </w:r>
            <w:r w:rsidR="00CF75F4">
              <w:rPr>
                <w:noProof/>
                <w:webHidden/>
              </w:rPr>
              <w:t>388</w:t>
            </w:r>
            <w:r w:rsidR="00F544DC" w:rsidRPr="00076B97">
              <w:rPr>
                <w:noProof/>
                <w:webHidden/>
              </w:rPr>
              <w:fldChar w:fldCharType="end"/>
            </w:r>
          </w:hyperlink>
        </w:p>
        <w:p w:rsidR="00F544DC" w:rsidRPr="00076B97" w:rsidRDefault="001B60A2">
          <w:pPr>
            <w:pStyle w:val="TM3"/>
            <w:tabs>
              <w:tab w:val="left" w:pos="1100"/>
              <w:tab w:val="right" w:leader="dot" w:pos="9062"/>
            </w:tabs>
            <w:rPr>
              <w:rFonts w:eastAsiaTheme="minorEastAsia"/>
              <w:noProof/>
              <w:lang w:eastAsia="fr-FR"/>
            </w:rPr>
          </w:pPr>
          <w:hyperlink w:anchor="_Toc458606098" w:history="1">
            <w:r w:rsidR="00F544DC" w:rsidRPr="00076B97">
              <w:rPr>
                <w:rStyle w:val="Lienhypertexte"/>
                <w:noProof/>
                <w:color w:val="auto"/>
                <w:u w:val="none"/>
              </w:rPr>
              <w:t>4.7</w:t>
            </w:r>
            <w:r w:rsidR="00F544DC" w:rsidRPr="00076B97">
              <w:rPr>
                <w:rFonts w:eastAsiaTheme="minorEastAsia"/>
                <w:noProof/>
                <w:lang w:eastAsia="fr-FR"/>
              </w:rPr>
              <w:tab/>
            </w:r>
            <w:r w:rsidR="00F544DC" w:rsidRPr="00076B97">
              <w:rPr>
                <w:rStyle w:val="Lienhypertexte"/>
                <w:noProof/>
                <w:color w:val="auto"/>
                <w:u w:val="none"/>
              </w:rPr>
              <w:t>Lot N°7 : Travaux routiers</w:t>
            </w:r>
            <w:r w:rsidR="00F544DC" w:rsidRPr="00076B97">
              <w:rPr>
                <w:noProof/>
                <w:webHidden/>
              </w:rPr>
              <w:tab/>
            </w:r>
            <w:r w:rsidR="00F544DC" w:rsidRPr="00076B97">
              <w:rPr>
                <w:noProof/>
                <w:webHidden/>
              </w:rPr>
              <w:fldChar w:fldCharType="begin"/>
            </w:r>
            <w:r w:rsidR="00F544DC" w:rsidRPr="00076B97">
              <w:rPr>
                <w:noProof/>
                <w:webHidden/>
              </w:rPr>
              <w:instrText xml:space="preserve"> PAGEREF _Toc458606098 \h </w:instrText>
            </w:r>
            <w:r w:rsidR="00F544DC" w:rsidRPr="00076B97">
              <w:rPr>
                <w:noProof/>
                <w:webHidden/>
              </w:rPr>
            </w:r>
            <w:r w:rsidR="00F544DC" w:rsidRPr="00076B97">
              <w:rPr>
                <w:noProof/>
                <w:webHidden/>
              </w:rPr>
              <w:fldChar w:fldCharType="separate"/>
            </w:r>
            <w:r w:rsidR="00CF75F4">
              <w:rPr>
                <w:noProof/>
                <w:webHidden/>
              </w:rPr>
              <w:t>403</w:t>
            </w:r>
            <w:r w:rsidR="00F544DC" w:rsidRPr="00076B97">
              <w:rPr>
                <w:noProof/>
                <w:webHidden/>
              </w:rPr>
              <w:fldChar w:fldCharType="end"/>
            </w:r>
          </w:hyperlink>
        </w:p>
        <w:p w:rsidR="00F544DC" w:rsidRPr="00076B97" w:rsidRDefault="001B60A2">
          <w:pPr>
            <w:pStyle w:val="TM4"/>
            <w:tabs>
              <w:tab w:val="left" w:pos="1540"/>
              <w:tab w:val="right" w:leader="dot" w:pos="9062"/>
            </w:tabs>
            <w:rPr>
              <w:rFonts w:eastAsiaTheme="minorEastAsia"/>
              <w:noProof/>
              <w:lang w:eastAsia="fr-FR"/>
            </w:rPr>
          </w:pPr>
          <w:hyperlink w:anchor="_Toc458606099" w:history="1">
            <w:r w:rsidR="00F544DC" w:rsidRPr="00076B97">
              <w:rPr>
                <w:rStyle w:val="Lienhypertexte"/>
                <w:noProof/>
                <w:color w:val="auto"/>
                <w:u w:val="none"/>
              </w:rPr>
              <w:t>4.7.1</w:t>
            </w:r>
            <w:r w:rsidR="00F544DC" w:rsidRPr="00076B97">
              <w:rPr>
                <w:rFonts w:eastAsiaTheme="minorEastAsia"/>
                <w:noProof/>
                <w:lang w:eastAsia="fr-FR"/>
              </w:rPr>
              <w:tab/>
            </w:r>
            <w:r w:rsidR="00F544DC" w:rsidRPr="00076B97">
              <w:rPr>
                <w:rStyle w:val="Lienhypertexte"/>
                <w:noProof/>
                <w:color w:val="auto"/>
                <w:u w:val="none"/>
              </w:rPr>
              <w:t>Chaussées et liants hydrocarbonés</w:t>
            </w:r>
            <w:r w:rsidR="00F544DC" w:rsidRPr="00076B97">
              <w:rPr>
                <w:noProof/>
                <w:webHidden/>
              </w:rPr>
              <w:tab/>
            </w:r>
            <w:r w:rsidR="00F544DC" w:rsidRPr="00076B97">
              <w:rPr>
                <w:noProof/>
                <w:webHidden/>
              </w:rPr>
              <w:fldChar w:fldCharType="begin"/>
            </w:r>
            <w:r w:rsidR="00F544DC" w:rsidRPr="00076B97">
              <w:rPr>
                <w:noProof/>
                <w:webHidden/>
              </w:rPr>
              <w:instrText xml:space="preserve"> PAGEREF _Toc458606099 \h </w:instrText>
            </w:r>
            <w:r w:rsidR="00F544DC" w:rsidRPr="00076B97">
              <w:rPr>
                <w:noProof/>
                <w:webHidden/>
              </w:rPr>
            </w:r>
            <w:r w:rsidR="00F544DC" w:rsidRPr="00076B97">
              <w:rPr>
                <w:noProof/>
                <w:webHidden/>
              </w:rPr>
              <w:fldChar w:fldCharType="separate"/>
            </w:r>
            <w:r w:rsidR="00CF75F4">
              <w:rPr>
                <w:noProof/>
                <w:webHidden/>
              </w:rPr>
              <w:t>403</w:t>
            </w:r>
            <w:r w:rsidR="00F544DC" w:rsidRPr="00076B97">
              <w:rPr>
                <w:noProof/>
                <w:webHidden/>
              </w:rPr>
              <w:fldChar w:fldCharType="end"/>
            </w:r>
          </w:hyperlink>
        </w:p>
        <w:p w:rsidR="00F544DC" w:rsidRPr="00076B97" w:rsidRDefault="001B60A2">
          <w:pPr>
            <w:pStyle w:val="TM4"/>
            <w:tabs>
              <w:tab w:val="left" w:pos="1540"/>
              <w:tab w:val="right" w:leader="dot" w:pos="9062"/>
            </w:tabs>
            <w:rPr>
              <w:rFonts w:eastAsiaTheme="minorEastAsia"/>
              <w:noProof/>
              <w:lang w:eastAsia="fr-FR"/>
            </w:rPr>
          </w:pPr>
          <w:hyperlink w:anchor="_Toc458606100" w:history="1">
            <w:r w:rsidR="00F544DC" w:rsidRPr="00076B97">
              <w:rPr>
                <w:rStyle w:val="Lienhypertexte"/>
                <w:noProof/>
                <w:color w:val="auto"/>
                <w:u w:val="none"/>
              </w:rPr>
              <w:t>4.7.2</w:t>
            </w:r>
            <w:r w:rsidR="00F544DC" w:rsidRPr="00076B97">
              <w:rPr>
                <w:rFonts w:eastAsiaTheme="minorEastAsia"/>
                <w:noProof/>
                <w:lang w:eastAsia="fr-FR"/>
              </w:rPr>
              <w:tab/>
            </w:r>
            <w:r w:rsidR="00F544DC" w:rsidRPr="00076B97">
              <w:rPr>
                <w:rStyle w:val="Lienhypertexte"/>
                <w:noProof/>
                <w:color w:val="auto"/>
                <w:u w:val="none"/>
              </w:rPr>
              <w:t>Signalisation routière</w:t>
            </w:r>
            <w:r w:rsidR="00F544DC" w:rsidRPr="00076B97">
              <w:rPr>
                <w:noProof/>
                <w:webHidden/>
              </w:rPr>
              <w:tab/>
            </w:r>
            <w:r w:rsidR="00F544DC" w:rsidRPr="00076B97">
              <w:rPr>
                <w:noProof/>
                <w:webHidden/>
              </w:rPr>
              <w:fldChar w:fldCharType="begin"/>
            </w:r>
            <w:r w:rsidR="00F544DC" w:rsidRPr="00076B97">
              <w:rPr>
                <w:noProof/>
                <w:webHidden/>
              </w:rPr>
              <w:instrText xml:space="preserve"> PAGEREF _Toc458606100 \h </w:instrText>
            </w:r>
            <w:r w:rsidR="00F544DC" w:rsidRPr="00076B97">
              <w:rPr>
                <w:noProof/>
                <w:webHidden/>
              </w:rPr>
            </w:r>
            <w:r w:rsidR="00F544DC" w:rsidRPr="00076B97">
              <w:rPr>
                <w:noProof/>
                <w:webHidden/>
              </w:rPr>
              <w:fldChar w:fldCharType="separate"/>
            </w:r>
            <w:r w:rsidR="00CF75F4">
              <w:rPr>
                <w:noProof/>
                <w:webHidden/>
              </w:rPr>
              <w:t>419</w:t>
            </w:r>
            <w:r w:rsidR="00F544DC" w:rsidRPr="00076B97">
              <w:rPr>
                <w:noProof/>
                <w:webHidden/>
              </w:rPr>
              <w:fldChar w:fldCharType="end"/>
            </w:r>
          </w:hyperlink>
        </w:p>
        <w:p w:rsidR="00F544DC" w:rsidRPr="00076B97" w:rsidRDefault="001B60A2">
          <w:pPr>
            <w:pStyle w:val="TM3"/>
            <w:tabs>
              <w:tab w:val="left" w:pos="1100"/>
              <w:tab w:val="right" w:leader="dot" w:pos="9062"/>
            </w:tabs>
            <w:rPr>
              <w:rFonts w:eastAsiaTheme="minorEastAsia"/>
              <w:noProof/>
              <w:lang w:eastAsia="fr-FR"/>
            </w:rPr>
          </w:pPr>
          <w:hyperlink w:anchor="_Toc458606101" w:history="1">
            <w:r w:rsidR="00F544DC" w:rsidRPr="00076B97">
              <w:rPr>
                <w:rStyle w:val="Lienhypertexte"/>
                <w:noProof/>
                <w:color w:val="auto"/>
                <w:u w:val="none"/>
              </w:rPr>
              <w:t>4.8</w:t>
            </w:r>
            <w:r w:rsidR="00F544DC" w:rsidRPr="00076B97">
              <w:rPr>
                <w:rFonts w:eastAsiaTheme="minorEastAsia"/>
                <w:noProof/>
                <w:lang w:eastAsia="fr-FR"/>
              </w:rPr>
              <w:tab/>
            </w:r>
            <w:r w:rsidR="00F544DC" w:rsidRPr="00076B97">
              <w:rPr>
                <w:rStyle w:val="Lienhypertexte"/>
                <w:noProof/>
                <w:color w:val="auto"/>
                <w:u w:val="none"/>
              </w:rPr>
              <w:t>Lot N°8 : Terrassement</w:t>
            </w:r>
            <w:r w:rsidR="00F544DC" w:rsidRPr="00076B97">
              <w:rPr>
                <w:noProof/>
                <w:webHidden/>
              </w:rPr>
              <w:tab/>
            </w:r>
            <w:r w:rsidR="00F544DC" w:rsidRPr="00076B97">
              <w:rPr>
                <w:noProof/>
                <w:webHidden/>
              </w:rPr>
              <w:fldChar w:fldCharType="begin"/>
            </w:r>
            <w:r w:rsidR="00F544DC" w:rsidRPr="00076B97">
              <w:rPr>
                <w:noProof/>
                <w:webHidden/>
              </w:rPr>
              <w:instrText xml:space="preserve"> PAGEREF _Toc458606101 \h </w:instrText>
            </w:r>
            <w:r w:rsidR="00F544DC" w:rsidRPr="00076B97">
              <w:rPr>
                <w:noProof/>
                <w:webHidden/>
              </w:rPr>
            </w:r>
            <w:r w:rsidR="00F544DC" w:rsidRPr="00076B97">
              <w:rPr>
                <w:noProof/>
                <w:webHidden/>
              </w:rPr>
              <w:fldChar w:fldCharType="separate"/>
            </w:r>
            <w:r w:rsidR="00CF75F4">
              <w:rPr>
                <w:noProof/>
                <w:webHidden/>
              </w:rPr>
              <w:t>427</w:t>
            </w:r>
            <w:r w:rsidR="00F544DC" w:rsidRPr="00076B97">
              <w:rPr>
                <w:noProof/>
                <w:webHidden/>
              </w:rPr>
              <w:fldChar w:fldCharType="end"/>
            </w:r>
          </w:hyperlink>
        </w:p>
        <w:p w:rsidR="00F544DC" w:rsidRPr="00076B97" w:rsidRDefault="001B60A2">
          <w:pPr>
            <w:pStyle w:val="TM4"/>
            <w:tabs>
              <w:tab w:val="left" w:pos="1540"/>
              <w:tab w:val="right" w:leader="dot" w:pos="9062"/>
            </w:tabs>
            <w:rPr>
              <w:rFonts w:eastAsiaTheme="minorEastAsia"/>
              <w:noProof/>
              <w:lang w:eastAsia="fr-FR"/>
            </w:rPr>
          </w:pPr>
          <w:hyperlink w:anchor="_Toc458606102" w:history="1">
            <w:r w:rsidR="00F544DC" w:rsidRPr="00076B97">
              <w:rPr>
                <w:rStyle w:val="Lienhypertexte"/>
                <w:noProof/>
                <w:color w:val="auto"/>
                <w:u w:val="none"/>
              </w:rPr>
              <w:t>4.8.1</w:t>
            </w:r>
            <w:r w:rsidR="00F544DC" w:rsidRPr="00076B97">
              <w:rPr>
                <w:rFonts w:eastAsiaTheme="minorEastAsia"/>
                <w:noProof/>
                <w:lang w:eastAsia="fr-FR"/>
              </w:rPr>
              <w:tab/>
            </w:r>
            <w:r w:rsidR="00F544DC" w:rsidRPr="00076B97">
              <w:rPr>
                <w:rStyle w:val="Lienhypertexte"/>
                <w:noProof/>
                <w:color w:val="auto"/>
                <w:u w:val="none"/>
              </w:rPr>
              <w:t>Produits géotechniques</w:t>
            </w:r>
            <w:r w:rsidR="00F544DC" w:rsidRPr="00076B97">
              <w:rPr>
                <w:noProof/>
                <w:webHidden/>
              </w:rPr>
              <w:tab/>
            </w:r>
            <w:r w:rsidR="00F544DC" w:rsidRPr="00076B97">
              <w:rPr>
                <w:noProof/>
                <w:webHidden/>
              </w:rPr>
              <w:fldChar w:fldCharType="begin"/>
            </w:r>
            <w:r w:rsidR="00F544DC" w:rsidRPr="00076B97">
              <w:rPr>
                <w:noProof/>
                <w:webHidden/>
              </w:rPr>
              <w:instrText xml:space="preserve"> PAGEREF _Toc458606102 \h </w:instrText>
            </w:r>
            <w:r w:rsidR="00F544DC" w:rsidRPr="00076B97">
              <w:rPr>
                <w:noProof/>
                <w:webHidden/>
              </w:rPr>
            </w:r>
            <w:r w:rsidR="00F544DC" w:rsidRPr="00076B97">
              <w:rPr>
                <w:noProof/>
                <w:webHidden/>
              </w:rPr>
              <w:fldChar w:fldCharType="separate"/>
            </w:r>
            <w:r w:rsidR="00CF75F4">
              <w:rPr>
                <w:noProof/>
                <w:webHidden/>
              </w:rPr>
              <w:t>433</w:t>
            </w:r>
            <w:r w:rsidR="00F544DC" w:rsidRPr="00076B97">
              <w:rPr>
                <w:noProof/>
                <w:webHidden/>
              </w:rPr>
              <w:fldChar w:fldCharType="end"/>
            </w:r>
          </w:hyperlink>
        </w:p>
        <w:p w:rsidR="00F544DC" w:rsidRPr="00076B97" w:rsidRDefault="001B60A2">
          <w:pPr>
            <w:pStyle w:val="TM4"/>
            <w:tabs>
              <w:tab w:val="left" w:pos="1540"/>
              <w:tab w:val="right" w:leader="dot" w:pos="9062"/>
            </w:tabs>
            <w:rPr>
              <w:rFonts w:eastAsiaTheme="minorEastAsia"/>
              <w:noProof/>
              <w:lang w:eastAsia="fr-FR"/>
            </w:rPr>
          </w:pPr>
          <w:hyperlink w:anchor="_Toc458606103" w:history="1">
            <w:r w:rsidR="00F544DC" w:rsidRPr="00076B97">
              <w:rPr>
                <w:rStyle w:val="Lienhypertexte"/>
                <w:noProof/>
                <w:color w:val="auto"/>
                <w:u w:val="none"/>
              </w:rPr>
              <w:t>4.8.2</w:t>
            </w:r>
            <w:r w:rsidR="00F544DC" w:rsidRPr="00076B97">
              <w:rPr>
                <w:rFonts w:eastAsiaTheme="minorEastAsia"/>
                <w:noProof/>
                <w:lang w:eastAsia="fr-FR"/>
              </w:rPr>
              <w:tab/>
            </w:r>
            <w:r w:rsidR="00F544DC" w:rsidRPr="00076B97">
              <w:rPr>
                <w:rStyle w:val="Lienhypertexte"/>
                <w:noProof/>
                <w:color w:val="auto"/>
                <w:u w:val="none"/>
              </w:rPr>
              <w:t>Travaux géotechniques</w:t>
            </w:r>
            <w:r w:rsidR="00F544DC" w:rsidRPr="00076B97">
              <w:rPr>
                <w:noProof/>
                <w:webHidden/>
              </w:rPr>
              <w:tab/>
            </w:r>
            <w:r w:rsidR="00F544DC" w:rsidRPr="00076B97">
              <w:rPr>
                <w:noProof/>
                <w:webHidden/>
              </w:rPr>
              <w:fldChar w:fldCharType="begin"/>
            </w:r>
            <w:r w:rsidR="00F544DC" w:rsidRPr="00076B97">
              <w:rPr>
                <w:noProof/>
                <w:webHidden/>
              </w:rPr>
              <w:instrText xml:space="preserve"> PAGEREF _Toc458606103 \h </w:instrText>
            </w:r>
            <w:r w:rsidR="00F544DC" w:rsidRPr="00076B97">
              <w:rPr>
                <w:noProof/>
                <w:webHidden/>
              </w:rPr>
            </w:r>
            <w:r w:rsidR="00F544DC" w:rsidRPr="00076B97">
              <w:rPr>
                <w:noProof/>
                <w:webHidden/>
              </w:rPr>
              <w:fldChar w:fldCharType="separate"/>
            </w:r>
            <w:r w:rsidR="00CF75F4">
              <w:rPr>
                <w:noProof/>
                <w:webHidden/>
              </w:rPr>
              <w:t>442</w:t>
            </w:r>
            <w:r w:rsidR="00F544DC" w:rsidRPr="00076B97">
              <w:rPr>
                <w:noProof/>
                <w:webHidden/>
              </w:rPr>
              <w:fldChar w:fldCharType="end"/>
            </w:r>
          </w:hyperlink>
        </w:p>
        <w:p w:rsidR="00F544DC" w:rsidRPr="00076B97" w:rsidRDefault="001B60A2">
          <w:pPr>
            <w:pStyle w:val="TM3"/>
            <w:tabs>
              <w:tab w:val="left" w:pos="1100"/>
              <w:tab w:val="right" w:leader="dot" w:pos="9062"/>
            </w:tabs>
            <w:rPr>
              <w:rFonts w:eastAsiaTheme="minorEastAsia"/>
              <w:noProof/>
              <w:lang w:eastAsia="fr-FR"/>
            </w:rPr>
          </w:pPr>
          <w:hyperlink w:anchor="_Toc458606104" w:history="1">
            <w:r w:rsidR="00F544DC" w:rsidRPr="00076B97">
              <w:rPr>
                <w:rStyle w:val="Lienhypertexte"/>
                <w:noProof/>
                <w:color w:val="auto"/>
                <w:u w:val="none"/>
              </w:rPr>
              <w:t>4.9</w:t>
            </w:r>
            <w:r w:rsidR="00F544DC" w:rsidRPr="00076B97">
              <w:rPr>
                <w:rFonts w:eastAsiaTheme="minorEastAsia"/>
                <w:noProof/>
                <w:lang w:eastAsia="fr-FR"/>
              </w:rPr>
              <w:tab/>
            </w:r>
            <w:r w:rsidR="00F544DC" w:rsidRPr="00076B97">
              <w:rPr>
                <w:rStyle w:val="Lienhypertexte"/>
                <w:noProof/>
                <w:color w:val="auto"/>
                <w:u w:val="none"/>
              </w:rPr>
              <w:t>Lots N°9 : Energies renouvelables</w:t>
            </w:r>
            <w:r w:rsidR="00F544DC" w:rsidRPr="00076B97">
              <w:rPr>
                <w:noProof/>
                <w:webHidden/>
              </w:rPr>
              <w:tab/>
            </w:r>
            <w:r w:rsidR="00F544DC" w:rsidRPr="00076B97">
              <w:rPr>
                <w:noProof/>
                <w:webHidden/>
              </w:rPr>
              <w:fldChar w:fldCharType="begin"/>
            </w:r>
            <w:r w:rsidR="00F544DC" w:rsidRPr="00076B97">
              <w:rPr>
                <w:noProof/>
                <w:webHidden/>
              </w:rPr>
              <w:instrText xml:space="preserve"> PAGEREF _Toc458606104 \h </w:instrText>
            </w:r>
            <w:r w:rsidR="00F544DC" w:rsidRPr="00076B97">
              <w:rPr>
                <w:noProof/>
                <w:webHidden/>
              </w:rPr>
            </w:r>
            <w:r w:rsidR="00F544DC" w:rsidRPr="00076B97">
              <w:rPr>
                <w:noProof/>
                <w:webHidden/>
              </w:rPr>
              <w:fldChar w:fldCharType="separate"/>
            </w:r>
            <w:r w:rsidR="00CF75F4">
              <w:rPr>
                <w:noProof/>
                <w:webHidden/>
              </w:rPr>
              <w:t>449</w:t>
            </w:r>
            <w:r w:rsidR="00F544DC" w:rsidRPr="00076B97">
              <w:rPr>
                <w:noProof/>
                <w:webHidden/>
              </w:rPr>
              <w:fldChar w:fldCharType="end"/>
            </w:r>
          </w:hyperlink>
        </w:p>
        <w:p w:rsidR="00F544DC" w:rsidRPr="00076B97" w:rsidRDefault="001B60A2" w:rsidP="00076B97">
          <w:pPr>
            <w:pStyle w:val="TM3"/>
            <w:numPr>
              <w:ilvl w:val="1"/>
              <w:numId w:val="56"/>
            </w:numPr>
            <w:tabs>
              <w:tab w:val="left" w:pos="1100"/>
              <w:tab w:val="right" w:leader="dot" w:pos="9062"/>
            </w:tabs>
            <w:rPr>
              <w:rFonts w:eastAsiaTheme="minorEastAsia"/>
              <w:noProof/>
              <w:lang w:eastAsia="fr-FR"/>
            </w:rPr>
          </w:pPr>
          <w:hyperlink w:anchor="_Toc458606105" w:history="1">
            <w:r w:rsidR="00F544DC" w:rsidRPr="00076B97">
              <w:rPr>
                <w:rStyle w:val="Lienhypertexte"/>
                <w:noProof/>
                <w:color w:val="auto"/>
                <w:u w:val="none"/>
              </w:rPr>
              <w:t>Lot N° 10 : Sécurité incendie</w:t>
            </w:r>
            <w:r w:rsidR="00F544DC" w:rsidRPr="00076B97">
              <w:rPr>
                <w:noProof/>
                <w:webHidden/>
              </w:rPr>
              <w:tab/>
            </w:r>
            <w:r w:rsidR="00F544DC" w:rsidRPr="00076B97">
              <w:rPr>
                <w:noProof/>
                <w:webHidden/>
              </w:rPr>
              <w:fldChar w:fldCharType="begin"/>
            </w:r>
            <w:r w:rsidR="00F544DC" w:rsidRPr="00076B97">
              <w:rPr>
                <w:noProof/>
                <w:webHidden/>
              </w:rPr>
              <w:instrText xml:space="preserve"> PAGEREF _Toc458606105 \h </w:instrText>
            </w:r>
            <w:r w:rsidR="00F544DC" w:rsidRPr="00076B97">
              <w:rPr>
                <w:noProof/>
                <w:webHidden/>
              </w:rPr>
            </w:r>
            <w:r w:rsidR="00F544DC" w:rsidRPr="00076B97">
              <w:rPr>
                <w:noProof/>
                <w:webHidden/>
              </w:rPr>
              <w:fldChar w:fldCharType="separate"/>
            </w:r>
            <w:r w:rsidR="00CF75F4">
              <w:rPr>
                <w:noProof/>
                <w:webHidden/>
              </w:rPr>
              <w:t>455</w:t>
            </w:r>
            <w:r w:rsidR="00F544DC" w:rsidRPr="00076B97">
              <w:rPr>
                <w:noProof/>
                <w:webHidden/>
              </w:rPr>
              <w:fldChar w:fldCharType="end"/>
            </w:r>
          </w:hyperlink>
        </w:p>
        <w:p w:rsidR="00076B97" w:rsidRPr="00076B97" w:rsidRDefault="00C54A8B" w:rsidP="00076B97">
          <w:pPr>
            <w:pStyle w:val="Titre3"/>
            <w:numPr>
              <w:ilvl w:val="0"/>
              <w:numId w:val="0"/>
            </w:numPr>
            <w:tabs>
              <w:tab w:val="left" w:pos="851"/>
            </w:tabs>
            <w:ind w:left="426"/>
            <w:rPr>
              <w:rStyle w:val="Lienhypertexte"/>
              <w:rFonts w:asciiTheme="minorHAnsi" w:eastAsiaTheme="minorHAnsi" w:hAnsiTheme="minorHAnsi" w:cstheme="minorBidi"/>
              <w:b w:val="0"/>
              <w:bCs w:val="0"/>
              <w:noProof/>
              <w:color w:val="auto"/>
              <w:u w:val="none"/>
            </w:rPr>
          </w:pPr>
          <w:r w:rsidRPr="00076B97">
            <w:rPr>
              <w:sz w:val="32"/>
              <w:szCs w:val="24"/>
            </w:rPr>
            <w:fldChar w:fldCharType="end"/>
          </w:r>
          <w:r w:rsidR="00076B97" w:rsidRPr="00076B97">
            <w:rPr>
              <w:rStyle w:val="Lienhypertexte"/>
              <w:rFonts w:asciiTheme="minorHAnsi" w:eastAsiaTheme="minorHAnsi" w:hAnsiTheme="minorHAnsi" w:cstheme="minorBidi"/>
              <w:b w:val="0"/>
              <w:bCs w:val="0"/>
              <w:noProof/>
              <w:color w:val="auto"/>
              <w:u w:val="none"/>
            </w:rPr>
            <w:t xml:space="preserve">4.11  </w:t>
          </w:r>
          <w:r w:rsidR="00076B97">
            <w:rPr>
              <w:rStyle w:val="Lienhypertexte"/>
              <w:rFonts w:asciiTheme="minorHAnsi" w:eastAsiaTheme="minorHAnsi" w:hAnsiTheme="minorHAnsi" w:cstheme="minorBidi"/>
              <w:b w:val="0"/>
              <w:bCs w:val="0"/>
              <w:noProof/>
              <w:color w:val="auto"/>
              <w:u w:val="none"/>
            </w:rPr>
            <w:t xml:space="preserve">    </w:t>
          </w:r>
          <w:r w:rsidR="00076B97" w:rsidRPr="00076B97">
            <w:rPr>
              <w:rStyle w:val="Lienhypertexte"/>
              <w:rFonts w:asciiTheme="minorHAnsi" w:eastAsiaTheme="minorHAnsi" w:hAnsiTheme="minorHAnsi" w:cstheme="minorBidi"/>
              <w:b w:val="0"/>
              <w:bCs w:val="0"/>
              <w:noProof/>
              <w:color w:val="auto"/>
              <w:u w:val="none"/>
            </w:rPr>
            <w:t>Lot N° 11 : Produits chimiques utilisés pour le traitement de l'eau destinée à la consommation humaine</w:t>
          </w:r>
          <w:r w:rsidR="00076B97">
            <w:rPr>
              <w:rStyle w:val="Lienhypertexte"/>
              <w:rFonts w:asciiTheme="minorHAnsi" w:eastAsiaTheme="minorHAnsi" w:hAnsiTheme="minorHAnsi" w:cstheme="minorBidi"/>
              <w:b w:val="0"/>
              <w:bCs w:val="0"/>
              <w:noProof/>
              <w:color w:val="auto"/>
              <w:u w:val="none"/>
            </w:rPr>
            <w:t>…………………………………………………………………………………………………………421</w:t>
          </w:r>
        </w:p>
        <w:p w:rsidR="0052414E" w:rsidRPr="0043547B" w:rsidRDefault="001B60A2" w:rsidP="00DA7E7C">
          <w:pPr>
            <w:spacing w:line="360" w:lineRule="auto"/>
          </w:pPr>
        </w:p>
      </w:sdtContent>
    </w:sdt>
    <w:p w:rsidR="0052414E" w:rsidRPr="0043547B" w:rsidRDefault="0052414E" w:rsidP="001D5BC8">
      <w:pPr>
        <w:jc w:val="both"/>
        <w:rPr>
          <w:rFonts w:ascii="Maiandra GD" w:hAnsi="Maiandra GD" w:cs="Verdana"/>
          <w:sz w:val="24"/>
          <w:szCs w:val="24"/>
        </w:rPr>
      </w:pPr>
    </w:p>
    <w:p w:rsidR="0052414E" w:rsidRPr="0043547B" w:rsidRDefault="0052414E" w:rsidP="001D5BC8">
      <w:pPr>
        <w:jc w:val="both"/>
        <w:rPr>
          <w:rFonts w:ascii="Maiandra GD" w:hAnsi="Maiandra GD" w:cs="Verdana"/>
          <w:sz w:val="24"/>
          <w:szCs w:val="24"/>
        </w:rPr>
      </w:pPr>
    </w:p>
    <w:p w:rsidR="0052414E" w:rsidRPr="0043547B" w:rsidRDefault="0052414E" w:rsidP="001D5BC8">
      <w:pPr>
        <w:jc w:val="both"/>
        <w:rPr>
          <w:rFonts w:ascii="Maiandra GD" w:hAnsi="Maiandra GD" w:cs="Verdana"/>
          <w:sz w:val="24"/>
          <w:szCs w:val="24"/>
        </w:rPr>
      </w:pPr>
    </w:p>
    <w:p w:rsidR="0052414E" w:rsidRPr="0043547B" w:rsidRDefault="0052414E" w:rsidP="001D5BC8">
      <w:pPr>
        <w:jc w:val="both"/>
        <w:rPr>
          <w:rFonts w:ascii="Maiandra GD" w:hAnsi="Maiandra GD" w:cs="Verdana"/>
          <w:sz w:val="24"/>
          <w:szCs w:val="24"/>
        </w:rPr>
      </w:pPr>
    </w:p>
    <w:p w:rsidR="0052414E" w:rsidRPr="0043547B" w:rsidRDefault="0052414E" w:rsidP="001D5BC8">
      <w:pPr>
        <w:jc w:val="both"/>
        <w:rPr>
          <w:rFonts w:ascii="Maiandra GD" w:hAnsi="Maiandra GD" w:cs="Verdana"/>
          <w:sz w:val="24"/>
          <w:szCs w:val="24"/>
        </w:rPr>
      </w:pPr>
    </w:p>
    <w:p w:rsidR="0052414E" w:rsidRPr="0043547B" w:rsidRDefault="0052414E" w:rsidP="001D5BC8">
      <w:pPr>
        <w:jc w:val="both"/>
        <w:rPr>
          <w:rFonts w:ascii="Maiandra GD" w:hAnsi="Maiandra GD" w:cs="Verdana"/>
          <w:sz w:val="24"/>
          <w:szCs w:val="24"/>
        </w:rPr>
      </w:pPr>
    </w:p>
    <w:p w:rsidR="0052414E" w:rsidRPr="0043547B" w:rsidRDefault="0052414E" w:rsidP="001D5BC8">
      <w:pPr>
        <w:jc w:val="both"/>
        <w:rPr>
          <w:rFonts w:ascii="Maiandra GD" w:hAnsi="Maiandra GD" w:cs="Verdana"/>
          <w:sz w:val="24"/>
          <w:szCs w:val="24"/>
        </w:rPr>
      </w:pPr>
    </w:p>
    <w:p w:rsidR="00B109A8" w:rsidRPr="0043547B" w:rsidRDefault="00B109A8" w:rsidP="001D5BC8">
      <w:pPr>
        <w:jc w:val="both"/>
        <w:rPr>
          <w:rFonts w:ascii="Maiandra GD" w:hAnsi="Maiandra GD" w:cs="Verdana"/>
          <w:sz w:val="24"/>
          <w:szCs w:val="24"/>
        </w:rPr>
      </w:pPr>
    </w:p>
    <w:p w:rsidR="00B109A8" w:rsidRPr="0043547B" w:rsidRDefault="00B109A8" w:rsidP="001D5BC8">
      <w:pPr>
        <w:jc w:val="both"/>
        <w:rPr>
          <w:rFonts w:ascii="Maiandra GD" w:hAnsi="Maiandra GD" w:cs="Verdana"/>
          <w:sz w:val="24"/>
          <w:szCs w:val="24"/>
        </w:rPr>
      </w:pPr>
    </w:p>
    <w:p w:rsidR="00B109A8" w:rsidRPr="0043547B" w:rsidRDefault="00B109A8" w:rsidP="001D5BC8">
      <w:pPr>
        <w:jc w:val="both"/>
        <w:rPr>
          <w:rFonts w:ascii="Maiandra GD" w:hAnsi="Maiandra GD" w:cs="Verdana"/>
          <w:sz w:val="24"/>
          <w:szCs w:val="24"/>
        </w:rPr>
      </w:pPr>
    </w:p>
    <w:p w:rsidR="00B109A8" w:rsidRPr="0043547B" w:rsidRDefault="00B109A8" w:rsidP="001D5BC8">
      <w:pPr>
        <w:jc w:val="both"/>
        <w:rPr>
          <w:rFonts w:ascii="Maiandra GD" w:hAnsi="Maiandra GD" w:cs="Verdana"/>
          <w:sz w:val="24"/>
          <w:szCs w:val="24"/>
        </w:rPr>
      </w:pPr>
    </w:p>
    <w:p w:rsidR="0052414E" w:rsidRPr="0043547B" w:rsidRDefault="0052414E" w:rsidP="001D5BC8">
      <w:pPr>
        <w:jc w:val="both"/>
        <w:rPr>
          <w:rFonts w:ascii="Maiandra GD" w:hAnsi="Maiandra GD" w:cs="Verdana"/>
          <w:sz w:val="24"/>
          <w:szCs w:val="24"/>
        </w:rPr>
      </w:pPr>
    </w:p>
    <w:p w:rsidR="00C54A8B" w:rsidRPr="0043547B" w:rsidRDefault="00C54A8B" w:rsidP="001D5BC8">
      <w:pPr>
        <w:jc w:val="both"/>
        <w:rPr>
          <w:rFonts w:ascii="Maiandra GD" w:hAnsi="Maiandra GD" w:cs="Verdana"/>
          <w:sz w:val="24"/>
          <w:szCs w:val="24"/>
        </w:rPr>
      </w:pPr>
    </w:p>
    <w:p w:rsidR="00C54A8B" w:rsidRPr="0043547B" w:rsidRDefault="00C54A8B" w:rsidP="001D5BC8">
      <w:pPr>
        <w:jc w:val="both"/>
        <w:rPr>
          <w:rFonts w:ascii="Maiandra GD" w:hAnsi="Maiandra GD" w:cs="Verdana"/>
          <w:sz w:val="24"/>
          <w:szCs w:val="24"/>
        </w:rPr>
      </w:pPr>
    </w:p>
    <w:p w:rsidR="00937F56" w:rsidRPr="0043547B" w:rsidRDefault="00937F56" w:rsidP="001D5BC8">
      <w:pPr>
        <w:jc w:val="both"/>
        <w:rPr>
          <w:rFonts w:ascii="Maiandra GD" w:hAnsi="Maiandra GD" w:cs="Verdana"/>
          <w:sz w:val="24"/>
          <w:szCs w:val="24"/>
        </w:rPr>
      </w:pPr>
    </w:p>
    <w:p w:rsidR="00937F56" w:rsidRPr="0043547B" w:rsidRDefault="00937F56" w:rsidP="001D5BC8">
      <w:pPr>
        <w:jc w:val="both"/>
        <w:rPr>
          <w:rFonts w:ascii="Maiandra GD" w:hAnsi="Maiandra GD" w:cs="Verdana"/>
          <w:sz w:val="24"/>
          <w:szCs w:val="24"/>
        </w:rPr>
      </w:pPr>
    </w:p>
    <w:p w:rsidR="00B109A8" w:rsidRPr="0043547B" w:rsidRDefault="00B109A8" w:rsidP="00B109A8">
      <w:pPr>
        <w:pStyle w:val="Titre2"/>
        <w:spacing w:line="360" w:lineRule="auto"/>
        <w:rPr>
          <w:rFonts w:asciiTheme="minorHAnsi" w:eastAsia="Times New Roman" w:hAnsiTheme="minorHAnsi" w:cs="Times New Roman"/>
          <w:sz w:val="28"/>
          <w:szCs w:val="28"/>
          <w:lang w:eastAsia="fr-FR"/>
        </w:rPr>
      </w:pPr>
      <w:bookmarkStart w:id="6" w:name="_Toc458606063"/>
      <w:r w:rsidRPr="0043547B">
        <w:rPr>
          <w:rFonts w:asciiTheme="minorHAnsi" w:eastAsia="Times New Roman" w:hAnsiTheme="minorHAnsi" w:cs="Times New Roman"/>
          <w:sz w:val="28"/>
          <w:szCs w:val="28"/>
          <w:lang w:eastAsia="fr-FR"/>
        </w:rPr>
        <w:lastRenderedPageBreak/>
        <w:t>Aperçu sur les processus de normalisation, certification, formation et acquisition des normes</w:t>
      </w:r>
      <w:bookmarkEnd w:id="6"/>
    </w:p>
    <w:p w:rsidR="00B109A8" w:rsidRPr="0043547B" w:rsidRDefault="00B109A8" w:rsidP="00B905D3">
      <w:pPr>
        <w:pStyle w:val="Titre3"/>
        <w:numPr>
          <w:ilvl w:val="1"/>
          <w:numId w:val="2"/>
        </w:numPr>
        <w:rPr>
          <w:rFonts w:asciiTheme="minorHAnsi" w:hAnsiTheme="minorHAnsi"/>
          <w:sz w:val="24"/>
          <w:szCs w:val="24"/>
          <w:u w:val="single"/>
        </w:rPr>
      </w:pPr>
      <w:bookmarkStart w:id="7" w:name="_Toc458606064"/>
      <w:r w:rsidRPr="0043547B">
        <w:rPr>
          <w:rFonts w:asciiTheme="minorHAnsi" w:hAnsiTheme="minorHAnsi"/>
          <w:sz w:val="24"/>
          <w:szCs w:val="24"/>
          <w:u w:val="single"/>
        </w:rPr>
        <w:t>Processus de normalisation</w:t>
      </w:r>
      <w:bookmarkEnd w:id="7"/>
    </w:p>
    <w:p w:rsidR="00B109A8" w:rsidRPr="0043547B" w:rsidRDefault="00B109A8" w:rsidP="00B109A8">
      <w:pPr>
        <w:pStyle w:val="NormalWeb"/>
        <w:shd w:val="clear" w:color="auto" w:fill="FFFFFF"/>
        <w:spacing w:before="0" w:beforeAutospacing="0" w:after="77" w:afterAutospacing="0" w:line="360" w:lineRule="auto"/>
        <w:jc w:val="both"/>
        <w:rPr>
          <w:rFonts w:asciiTheme="minorHAnsi" w:hAnsiTheme="minorHAnsi"/>
        </w:rPr>
      </w:pPr>
      <w:r w:rsidRPr="0043547B">
        <w:rPr>
          <w:rFonts w:asciiTheme="minorHAnsi" w:hAnsiTheme="minorHAnsi"/>
        </w:rPr>
        <w:t>La normalisation permet aux organismes publics et privés de disposer du meilleur des pratiques pour optimiser leurs moyens humains, matériels et financiers et être plus performants. Elle couvre de plus en plus de nouveau champs, tels que les services, risques, management et impliquant toujours plus d’acteurs. Les normes sont des outils performants qui permettent l’harmonisation des règles et des pratiques, la valorisation des produits et services et la réduction des entraves aux échanges. Le processus d’élaboration d’une norme passe par les étapes suivantes :</w:t>
      </w:r>
    </w:p>
    <w:p w:rsidR="00B109A8" w:rsidRPr="0043547B" w:rsidRDefault="00B109A8" w:rsidP="00B905D3">
      <w:pPr>
        <w:pStyle w:val="NormalWeb"/>
        <w:numPr>
          <w:ilvl w:val="0"/>
          <w:numId w:val="1"/>
        </w:numPr>
        <w:shd w:val="clear" w:color="auto" w:fill="FFFFFF"/>
        <w:spacing w:before="0" w:beforeAutospacing="0" w:after="77" w:afterAutospacing="0" w:line="276" w:lineRule="auto"/>
        <w:jc w:val="both"/>
        <w:rPr>
          <w:rFonts w:asciiTheme="minorHAnsi" w:hAnsiTheme="minorHAnsi"/>
        </w:rPr>
      </w:pPr>
      <w:r w:rsidRPr="0043547B">
        <w:rPr>
          <w:rFonts w:asciiTheme="minorHAnsi" w:hAnsiTheme="minorHAnsi"/>
        </w:rPr>
        <w:t>Proposition d’une nouvelle norme ;</w:t>
      </w:r>
    </w:p>
    <w:p w:rsidR="00B109A8" w:rsidRPr="0043547B" w:rsidRDefault="00B109A8" w:rsidP="00B905D3">
      <w:pPr>
        <w:pStyle w:val="NormalWeb"/>
        <w:numPr>
          <w:ilvl w:val="0"/>
          <w:numId w:val="1"/>
        </w:numPr>
        <w:shd w:val="clear" w:color="auto" w:fill="FFFFFF"/>
        <w:spacing w:before="0" w:beforeAutospacing="0" w:after="77" w:afterAutospacing="0" w:line="276" w:lineRule="auto"/>
        <w:jc w:val="both"/>
        <w:rPr>
          <w:rFonts w:asciiTheme="minorHAnsi" w:hAnsiTheme="minorHAnsi"/>
        </w:rPr>
      </w:pPr>
      <w:r w:rsidRPr="0043547B">
        <w:rPr>
          <w:rFonts w:asciiTheme="minorHAnsi" w:hAnsiTheme="minorHAnsi"/>
        </w:rPr>
        <w:t>Rédaction du projet de norme ;</w:t>
      </w:r>
    </w:p>
    <w:p w:rsidR="00B109A8" w:rsidRPr="0043547B" w:rsidRDefault="00B109A8" w:rsidP="00B905D3">
      <w:pPr>
        <w:pStyle w:val="NormalWeb"/>
        <w:numPr>
          <w:ilvl w:val="0"/>
          <w:numId w:val="1"/>
        </w:numPr>
        <w:shd w:val="clear" w:color="auto" w:fill="FFFFFF"/>
        <w:spacing w:before="0" w:beforeAutospacing="0" w:after="77" w:afterAutospacing="0" w:line="276" w:lineRule="auto"/>
        <w:jc w:val="both"/>
        <w:rPr>
          <w:rFonts w:asciiTheme="minorHAnsi" w:hAnsiTheme="minorHAnsi"/>
        </w:rPr>
      </w:pPr>
      <w:r w:rsidRPr="0043547B">
        <w:rPr>
          <w:rFonts w:asciiTheme="minorHAnsi" w:hAnsiTheme="minorHAnsi"/>
        </w:rPr>
        <w:t>Recherche de consensus entre parties concernées ;</w:t>
      </w:r>
    </w:p>
    <w:p w:rsidR="00B109A8" w:rsidRPr="0043547B" w:rsidRDefault="00B109A8" w:rsidP="00B905D3">
      <w:pPr>
        <w:pStyle w:val="NormalWeb"/>
        <w:numPr>
          <w:ilvl w:val="0"/>
          <w:numId w:val="1"/>
        </w:numPr>
        <w:shd w:val="clear" w:color="auto" w:fill="FFFFFF"/>
        <w:spacing w:before="0" w:beforeAutospacing="0" w:after="77" w:afterAutospacing="0" w:line="276" w:lineRule="auto"/>
        <w:jc w:val="both"/>
        <w:rPr>
          <w:rFonts w:asciiTheme="minorHAnsi" w:hAnsiTheme="minorHAnsi"/>
        </w:rPr>
      </w:pPr>
      <w:r w:rsidRPr="0043547B">
        <w:rPr>
          <w:rFonts w:asciiTheme="minorHAnsi" w:hAnsiTheme="minorHAnsi"/>
        </w:rPr>
        <w:t>Enquête publique et validation ;</w:t>
      </w:r>
    </w:p>
    <w:p w:rsidR="00B109A8" w:rsidRPr="0043547B" w:rsidRDefault="00B109A8" w:rsidP="00B905D3">
      <w:pPr>
        <w:pStyle w:val="NormalWeb"/>
        <w:numPr>
          <w:ilvl w:val="0"/>
          <w:numId w:val="1"/>
        </w:numPr>
        <w:shd w:val="clear" w:color="auto" w:fill="FFFFFF"/>
        <w:spacing w:before="0" w:beforeAutospacing="0" w:after="77" w:afterAutospacing="0" w:line="276" w:lineRule="auto"/>
        <w:jc w:val="both"/>
        <w:rPr>
          <w:rFonts w:asciiTheme="minorHAnsi" w:hAnsiTheme="minorHAnsi"/>
        </w:rPr>
      </w:pPr>
      <w:r w:rsidRPr="0043547B">
        <w:rPr>
          <w:rFonts w:asciiTheme="minorHAnsi" w:hAnsiTheme="minorHAnsi"/>
        </w:rPr>
        <w:t>Finalisation du projet de norme et homologation ;</w:t>
      </w:r>
    </w:p>
    <w:p w:rsidR="00B109A8" w:rsidRPr="0043547B" w:rsidRDefault="00B109A8" w:rsidP="00B905D3">
      <w:pPr>
        <w:pStyle w:val="NormalWeb"/>
        <w:numPr>
          <w:ilvl w:val="0"/>
          <w:numId w:val="1"/>
        </w:numPr>
        <w:shd w:val="clear" w:color="auto" w:fill="FFFFFF"/>
        <w:spacing w:before="0" w:beforeAutospacing="0" w:after="77" w:afterAutospacing="0" w:line="276" w:lineRule="auto"/>
        <w:jc w:val="both"/>
        <w:rPr>
          <w:rFonts w:asciiTheme="minorHAnsi" w:hAnsiTheme="minorHAnsi"/>
        </w:rPr>
      </w:pPr>
      <w:r w:rsidRPr="0043547B">
        <w:rPr>
          <w:rFonts w:asciiTheme="minorHAnsi" w:hAnsiTheme="minorHAnsi"/>
        </w:rPr>
        <w:t>Publication et diffusion ;</w:t>
      </w:r>
    </w:p>
    <w:p w:rsidR="00B109A8" w:rsidRPr="0043547B" w:rsidRDefault="00B109A8" w:rsidP="00B905D3">
      <w:pPr>
        <w:pStyle w:val="NormalWeb"/>
        <w:numPr>
          <w:ilvl w:val="0"/>
          <w:numId w:val="1"/>
        </w:numPr>
        <w:shd w:val="clear" w:color="auto" w:fill="FFFFFF"/>
        <w:spacing w:before="0" w:beforeAutospacing="0" w:after="77" w:afterAutospacing="0" w:line="276" w:lineRule="auto"/>
        <w:jc w:val="both"/>
        <w:rPr>
          <w:rFonts w:asciiTheme="minorHAnsi" w:hAnsiTheme="minorHAnsi"/>
        </w:rPr>
      </w:pPr>
      <w:r w:rsidRPr="0043547B">
        <w:rPr>
          <w:rFonts w:asciiTheme="minorHAnsi" w:hAnsiTheme="minorHAnsi"/>
        </w:rPr>
        <w:t>Révision ou annulation en cas de besoin.</w:t>
      </w:r>
    </w:p>
    <w:p w:rsidR="00B109A8" w:rsidRPr="0043547B" w:rsidRDefault="00B109A8" w:rsidP="00D203C8">
      <w:pPr>
        <w:pStyle w:val="NormalWeb"/>
        <w:shd w:val="clear" w:color="auto" w:fill="FFFFFF"/>
        <w:spacing w:after="77" w:line="360" w:lineRule="auto"/>
        <w:jc w:val="both"/>
        <w:rPr>
          <w:rFonts w:asciiTheme="minorHAnsi" w:hAnsiTheme="minorHAnsi"/>
        </w:rPr>
      </w:pPr>
      <w:r w:rsidRPr="0043547B">
        <w:rPr>
          <w:rFonts w:asciiTheme="minorHAnsi" w:hAnsiTheme="minorHAnsi"/>
        </w:rPr>
        <w:t>Outre l’homologation des normes et l’examen périodique des normes marocaines</w:t>
      </w:r>
      <w:r w:rsidR="004D7573" w:rsidRPr="0043547B">
        <w:rPr>
          <w:rFonts w:asciiTheme="minorHAnsi" w:hAnsiTheme="minorHAnsi"/>
        </w:rPr>
        <w:t>,</w:t>
      </w:r>
      <w:r w:rsidRPr="0043547B">
        <w:rPr>
          <w:rFonts w:asciiTheme="minorHAnsi" w:hAnsiTheme="minorHAnsi"/>
        </w:rPr>
        <w:t xml:space="preserve"> l’IMANOR procède aussi à l’examen des projets de normes émanant d’organismes étrangers ou d’organismes internationaux ou régionaux  de normalisation dont le Maroc est membre, et de proposer des </w:t>
      </w:r>
      <w:r w:rsidR="00D203C8" w:rsidRPr="0043547B">
        <w:rPr>
          <w:rFonts w:asciiTheme="minorHAnsi" w:hAnsiTheme="minorHAnsi"/>
        </w:rPr>
        <w:t>experts marocains</w:t>
      </w:r>
      <w:r w:rsidRPr="0043547B">
        <w:rPr>
          <w:rFonts w:asciiTheme="minorHAnsi" w:hAnsiTheme="minorHAnsi"/>
        </w:rPr>
        <w:t xml:space="preserve"> pour assister aux comités internationaux ou régionaux de normalisation. </w:t>
      </w:r>
    </w:p>
    <w:p w:rsidR="00B109A8" w:rsidRPr="0043547B" w:rsidRDefault="00B109A8" w:rsidP="003D7C89">
      <w:pPr>
        <w:pStyle w:val="NormalWeb"/>
        <w:shd w:val="clear" w:color="auto" w:fill="FFFFFF"/>
        <w:spacing w:after="77" w:line="360" w:lineRule="auto"/>
        <w:jc w:val="both"/>
        <w:rPr>
          <w:rFonts w:asciiTheme="minorHAnsi" w:hAnsiTheme="minorHAnsi"/>
        </w:rPr>
      </w:pPr>
      <w:r w:rsidRPr="0043547B">
        <w:rPr>
          <w:rFonts w:asciiTheme="minorHAnsi" w:hAnsiTheme="minorHAnsi"/>
        </w:rPr>
        <w:t xml:space="preserve">Le processus de normalisation se fait en concertation avec toutes les parties concernées pour chaque domaine et couvre la majorité des secteurs économiques. Le nombre </w:t>
      </w:r>
      <w:r w:rsidR="004D7573" w:rsidRPr="0043547B">
        <w:rPr>
          <w:rFonts w:asciiTheme="minorHAnsi" w:hAnsiTheme="minorHAnsi"/>
        </w:rPr>
        <w:t xml:space="preserve">actuel </w:t>
      </w:r>
      <w:r w:rsidRPr="0043547B">
        <w:rPr>
          <w:rFonts w:asciiTheme="minorHAnsi" w:hAnsiTheme="minorHAnsi"/>
        </w:rPr>
        <w:t>des commissions de norm</w:t>
      </w:r>
      <w:r w:rsidR="004E0280" w:rsidRPr="0043547B">
        <w:rPr>
          <w:rFonts w:asciiTheme="minorHAnsi" w:hAnsiTheme="minorHAnsi"/>
        </w:rPr>
        <w:t xml:space="preserve">alisation (CN) active </w:t>
      </w:r>
      <w:r w:rsidR="00D203C8" w:rsidRPr="0043547B">
        <w:rPr>
          <w:rFonts w:asciiTheme="minorHAnsi" w:hAnsiTheme="minorHAnsi"/>
        </w:rPr>
        <w:t xml:space="preserve">au niveau national </w:t>
      </w:r>
      <w:r w:rsidR="003D7C89">
        <w:rPr>
          <w:rFonts w:asciiTheme="minorHAnsi" w:hAnsiTheme="minorHAnsi"/>
        </w:rPr>
        <w:t>est de 12</w:t>
      </w:r>
      <w:r w:rsidR="004E0280" w:rsidRPr="0043547B">
        <w:rPr>
          <w:rFonts w:asciiTheme="minorHAnsi" w:hAnsiTheme="minorHAnsi"/>
        </w:rPr>
        <w:t>2</w:t>
      </w:r>
      <w:r w:rsidRPr="0043547B">
        <w:rPr>
          <w:rFonts w:asciiTheme="minorHAnsi" w:hAnsiTheme="minorHAnsi"/>
        </w:rPr>
        <w:t xml:space="preserve"> CN et le bilan de normalisation est </w:t>
      </w:r>
      <w:r w:rsidR="004D7573" w:rsidRPr="0043547B">
        <w:rPr>
          <w:rFonts w:asciiTheme="minorHAnsi" w:hAnsiTheme="minorHAnsi"/>
        </w:rPr>
        <w:t xml:space="preserve">d’environ </w:t>
      </w:r>
      <w:r w:rsidR="00EC3B43">
        <w:rPr>
          <w:rFonts w:asciiTheme="minorHAnsi" w:hAnsiTheme="minorHAnsi"/>
        </w:rPr>
        <w:t>1</w:t>
      </w:r>
      <w:r w:rsidR="003D7C89">
        <w:rPr>
          <w:rFonts w:asciiTheme="minorHAnsi" w:hAnsiTheme="minorHAnsi"/>
        </w:rPr>
        <w:t>5500</w:t>
      </w:r>
      <w:r w:rsidRPr="0043547B">
        <w:rPr>
          <w:rFonts w:asciiTheme="minorHAnsi" w:hAnsiTheme="minorHAnsi"/>
        </w:rPr>
        <w:t xml:space="preserve"> normes marocaines. </w:t>
      </w:r>
      <w:r w:rsidR="00D203C8" w:rsidRPr="0043547B">
        <w:rPr>
          <w:rFonts w:asciiTheme="minorHAnsi" w:hAnsiTheme="minorHAnsi"/>
        </w:rPr>
        <w:t>L</w:t>
      </w:r>
      <w:r w:rsidRPr="0043547B">
        <w:rPr>
          <w:rFonts w:asciiTheme="minorHAnsi" w:hAnsiTheme="minorHAnsi"/>
        </w:rPr>
        <w:t xml:space="preserve">e catalogue </w:t>
      </w:r>
      <w:r w:rsidR="00D203C8" w:rsidRPr="0043547B">
        <w:rPr>
          <w:rFonts w:asciiTheme="minorHAnsi" w:hAnsiTheme="minorHAnsi"/>
        </w:rPr>
        <w:t xml:space="preserve">des normes </w:t>
      </w:r>
      <w:r w:rsidRPr="0043547B">
        <w:rPr>
          <w:rFonts w:asciiTheme="minorHAnsi" w:hAnsiTheme="minorHAnsi"/>
        </w:rPr>
        <w:t>marocain</w:t>
      </w:r>
      <w:r w:rsidR="00D203C8" w:rsidRPr="0043547B">
        <w:rPr>
          <w:rFonts w:asciiTheme="minorHAnsi" w:hAnsiTheme="minorHAnsi"/>
        </w:rPr>
        <w:t>es est accessible sur</w:t>
      </w:r>
      <w:r w:rsidRPr="0043547B">
        <w:rPr>
          <w:rFonts w:asciiTheme="minorHAnsi" w:hAnsiTheme="minorHAnsi"/>
        </w:rPr>
        <w:t xml:space="preserve"> le site d’IMANOR : </w:t>
      </w:r>
      <w:hyperlink r:id="rId19" w:history="1">
        <w:r w:rsidR="00124DE3" w:rsidRPr="0043547B">
          <w:rPr>
            <w:rStyle w:val="Lienhypertexte"/>
            <w:rFonts w:asciiTheme="minorHAnsi" w:hAnsiTheme="minorHAnsi"/>
            <w:color w:val="auto"/>
          </w:rPr>
          <w:t>http://www.imanor.gov.ma/</w:t>
        </w:r>
      </w:hyperlink>
      <w:r w:rsidR="00124DE3" w:rsidRPr="0043547B">
        <w:rPr>
          <w:rFonts w:asciiTheme="minorHAnsi" w:hAnsiTheme="minorHAnsi"/>
        </w:rPr>
        <w:t>.</w:t>
      </w:r>
    </w:p>
    <w:p w:rsidR="00124DE3" w:rsidRPr="0043547B" w:rsidRDefault="00124DE3" w:rsidP="00B109A8">
      <w:pPr>
        <w:pStyle w:val="NormalWeb"/>
        <w:shd w:val="clear" w:color="auto" w:fill="FFFFFF"/>
        <w:spacing w:after="77" w:line="360" w:lineRule="auto"/>
        <w:jc w:val="both"/>
        <w:rPr>
          <w:rFonts w:asciiTheme="minorHAnsi" w:hAnsiTheme="minorHAnsi"/>
        </w:rPr>
      </w:pPr>
    </w:p>
    <w:p w:rsidR="00B109A8" w:rsidRPr="0043547B" w:rsidRDefault="00B109A8" w:rsidP="00B905D3">
      <w:pPr>
        <w:pStyle w:val="Titre3"/>
        <w:numPr>
          <w:ilvl w:val="1"/>
          <w:numId w:val="2"/>
        </w:numPr>
        <w:rPr>
          <w:rFonts w:asciiTheme="minorHAnsi" w:hAnsiTheme="minorHAnsi"/>
          <w:sz w:val="24"/>
          <w:szCs w:val="24"/>
          <w:u w:val="single"/>
        </w:rPr>
      </w:pPr>
      <w:bookmarkStart w:id="8" w:name="_Toc458606065"/>
      <w:r w:rsidRPr="0043547B">
        <w:rPr>
          <w:rFonts w:asciiTheme="minorHAnsi" w:hAnsiTheme="minorHAnsi"/>
          <w:sz w:val="24"/>
          <w:szCs w:val="24"/>
          <w:u w:val="single"/>
        </w:rPr>
        <w:lastRenderedPageBreak/>
        <w:t>Processus de certification</w:t>
      </w:r>
      <w:bookmarkEnd w:id="8"/>
    </w:p>
    <w:p w:rsidR="00B109A8" w:rsidRPr="0043547B" w:rsidRDefault="00B109A8" w:rsidP="00D203C8">
      <w:pPr>
        <w:pStyle w:val="NormalWeb"/>
        <w:shd w:val="clear" w:color="auto" w:fill="FFFFFF"/>
        <w:spacing w:before="240" w:beforeAutospacing="0" w:after="77" w:afterAutospacing="0" w:line="360" w:lineRule="auto"/>
        <w:jc w:val="both"/>
        <w:rPr>
          <w:rFonts w:asciiTheme="minorHAnsi" w:hAnsiTheme="minorHAnsi"/>
        </w:rPr>
      </w:pPr>
      <w:r w:rsidRPr="0043547B">
        <w:rPr>
          <w:rFonts w:asciiTheme="minorHAnsi" w:hAnsiTheme="minorHAnsi"/>
        </w:rPr>
        <w:t xml:space="preserve">L’IMANOR offre aux entreprises des prestations variées de certification couvrant les produits, les services, les systèmes et les compétences en se basant sur des normes et référentiels reconnus et des procédures de fonctionnement largement compatibles avec les pratiques. Ses principales missions </w:t>
      </w:r>
      <w:r w:rsidR="004D7573" w:rsidRPr="0043547B">
        <w:rPr>
          <w:rFonts w:asciiTheme="minorHAnsi" w:hAnsiTheme="minorHAnsi"/>
        </w:rPr>
        <w:t xml:space="preserve">en la matière </w:t>
      </w:r>
      <w:r w:rsidRPr="0043547B">
        <w:rPr>
          <w:rFonts w:asciiTheme="minorHAnsi" w:hAnsiTheme="minorHAnsi"/>
        </w:rPr>
        <w:t>s’articulent autour de</w:t>
      </w:r>
      <w:r w:rsidR="00904E52" w:rsidRPr="0043547B">
        <w:rPr>
          <w:rFonts w:asciiTheme="minorHAnsi" w:hAnsiTheme="minorHAnsi"/>
        </w:rPr>
        <w:t xml:space="preserve"> </w:t>
      </w:r>
      <w:r w:rsidRPr="0043547B">
        <w:rPr>
          <w:rFonts w:asciiTheme="minorHAnsi" w:hAnsiTheme="minorHAnsi"/>
        </w:rPr>
        <w:t>:</w:t>
      </w:r>
    </w:p>
    <w:p w:rsidR="00B109A8" w:rsidRPr="0043547B" w:rsidRDefault="00B109A8" w:rsidP="00B37818">
      <w:pPr>
        <w:pStyle w:val="NormalWeb"/>
        <w:shd w:val="clear" w:color="auto" w:fill="FFFFFF"/>
        <w:spacing w:before="240" w:beforeAutospacing="0" w:after="77" w:afterAutospacing="0" w:line="360" w:lineRule="auto"/>
        <w:jc w:val="both"/>
        <w:rPr>
          <w:rFonts w:asciiTheme="minorHAnsi" w:hAnsiTheme="minorHAnsi"/>
        </w:rPr>
      </w:pPr>
      <w:r w:rsidRPr="0043547B">
        <w:rPr>
          <w:rFonts w:asciiTheme="minorHAnsi" w:hAnsiTheme="minorHAnsi" w:cs="Arial"/>
          <w:sz w:val="20"/>
          <w:szCs w:val="20"/>
        </w:rPr>
        <w:t xml:space="preserve">- </w:t>
      </w:r>
      <w:r w:rsidR="00D203C8" w:rsidRPr="0043547B">
        <w:rPr>
          <w:rFonts w:asciiTheme="minorHAnsi" w:hAnsiTheme="minorHAnsi"/>
        </w:rPr>
        <w:t>Certification</w:t>
      </w:r>
      <w:r w:rsidRPr="0043547B">
        <w:rPr>
          <w:rFonts w:asciiTheme="minorHAnsi" w:hAnsiTheme="minorHAnsi"/>
        </w:rPr>
        <w:t xml:space="preserve"> de la conformité des produits et des systèmes de management aux normes marocaines correspondantes. Les applications actuellement opérationnelles sont</w:t>
      </w:r>
      <w:r w:rsidR="00D203C8" w:rsidRPr="0043547B">
        <w:rPr>
          <w:rFonts w:asciiTheme="minorHAnsi" w:hAnsiTheme="minorHAnsi"/>
        </w:rPr>
        <w:t> : certification</w:t>
      </w:r>
      <w:r w:rsidRPr="0043547B">
        <w:rPr>
          <w:rFonts w:asciiTheme="minorHAnsi" w:hAnsiTheme="minorHAnsi"/>
        </w:rPr>
        <w:t xml:space="preserve"> de conformité aux norm</w:t>
      </w:r>
      <w:r w:rsidR="00B37818" w:rsidRPr="0043547B">
        <w:rPr>
          <w:rFonts w:asciiTheme="minorHAnsi" w:hAnsiTheme="minorHAnsi"/>
        </w:rPr>
        <w:t xml:space="preserve">es marocaines sur les produits, </w:t>
      </w:r>
      <w:r w:rsidRPr="0043547B">
        <w:rPr>
          <w:rFonts w:asciiTheme="minorHAnsi" w:hAnsiTheme="minorHAnsi"/>
        </w:rPr>
        <w:t>certification NM ISO 9001 des systèmes qualité, certification NM ISO 14001 des système</w:t>
      </w:r>
      <w:r w:rsidR="00B37818" w:rsidRPr="0043547B">
        <w:rPr>
          <w:rFonts w:asciiTheme="minorHAnsi" w:hAnsiTheme="minorHAnsi"/>
        </w:rPr>
        <w:t>s de management environnemental,</w:t>
      </w:r>
      <w:r w:rsidRPr="0043547B">
        <w:rPr>
          <w:rFonts w:asciiTheme="minorHAnsi" w:hAnsiTheme="minorHAnsi"/>
        </w:rPr>
        <w:t xml:space="preserve"> certification NM </w:t>
      </w:r>
      <w:r w:rsidR="00B37818" w:rsidRPr="0043547B">
        <w:rPr>
          <w:rFonts w:asciiTheme="minorHAnsi" w:hAnsiTheme="minorHAnsi"/>
        </w:rPr>
        <w:t>ISO 45001</w:t>
      </w:r>
      <w:r w:rsidRPr="0043547B">
        <w:rPr>
          <w:rFonts w:asciiTheme="minorHAnsi" w:hAnsiTheme="minorHAnsi"/>
        </w:rPr>
        <w:t xml:space="preserve"> des systèmes de management de la sant</w:t>
      </w:r>
      <w:r w:rsidR="00B37818" w:rsidRPr="0043547B">
        <w:rPr>
          <w:rFonts w:asciiTheme="minorHAnsi" w:hAnsiTheme="minorHAnsi"/>
        </w:rPr>
        <w:t>é et de la sécurité au travail et certification NM ISO 50001 des systèmes de management de l’énergie ;</w:t>
      </w:r>
    </w:p>
    <w:p w:rsidR="00B109A8" w:rsidRPr="0043547B" w:rsidRDefault="00B109A8" w:rsidP="00B37818">
      <w:pPr>
        <w:pStyle w:val="NormalWeb"/>
        <w:shd w:val="clear" w:color="auto" w:fill="FFFFFF"/>
        <w:spacing w:before="240" w:beforeAutospacing="0" w:after="77" w:afterAutospacing="0" w:line="360" w:lineRule="auto"/>
        <w:jc w:val="both"/>
        <w:rPr>
          <w:rFonts w:asciiTheme="minorHAnsi" w:hAnsiTheme="minorHAnsi"/>
        </w:rPr>
      </w:pPr>
      <w:r w:rsidRPr="0043547B">
        <w:rPr>
          <w:rFonts w:asciiTheme="minorHAnsi" w:hAnsiTheme="minorHAnsi"/>
        </w:rPr>
        <w:t xml:space="preserve">- Octroi du droit d’usage de labels Qualité attestant la conformité aux normes marocaines de spécification ainsi qu’à des exigences </w:t>
      </w:r>
      <w:r w:rsidR="00B37818" w:rsidRPr="0043547B">
        <w:rPr>
          <w:rFonts w:asciiTheme="minorHAnsi" w:hAnsiTheme="minorHAnsi"/>
        </w:rPr>
        <w:t>particulières</w:t>
      </w:r>
      <w:r w:rsidRPr="0043547B">
        <w:rPr>
          <w:rFonts w:asciiTheme="minorHAnsi" w:hAnsiTheme="minorHAnsi"/>
        </w:rPr>
        <w:t xml:space="preserve"> de nature à valoriser davantage le produit et à promouvoir sa commercialisation. </w:t>
      </w:r>
    </w:p>
    <w:p w:rsidR="00B109A8" w:rsidRPr="0043547B" w:rsidRDefault="00B109A8" w:rsidP="00B37818">
      <w:pPr>
        <w:pStyle w:val="NormalWeb"/>
        <w:shd w:val="clear" w:color="auto" w:fill="FFFFFF"/>
        <w:spacing w:before="240" w:beforeAutospacing="0" w:after="77" w:afterAutospacing="0" w:line="360" w:lineRule="auto"/>
        <w:jc w:val="both"/>
        <w:rPr>
          <w:rFonts w:asciiTheme="minorHAnsi" w:hAnsiTheme="minorHAnsi"/>
        </w:rPr>
      </w:pPr>
      <w:r w:rsidRPr="0043547B">
        <w:rPr>
          <w:rFonts w:asciiTheme="minorHAnsi" w:hAnsiTheme="minorHAnsi"/>
        </w:rPr>
        <w:t xml:space="preserve">- Qualification des auditeurs </w:t>
      </w:r>
      <w:r w:rsidR="00B37818" w:rsidRPr="0043547B">
        <w:rPr>
          <w:rFonts w:asciiTheme="minorHAnsi" w:hAnsiTheme="minorHAnsi"/>
        </w:rPr>
        <w:t>des systèmes de management (qualité, sécurité, environnement, énergie…)</w:t>
      </w:r>
      <w:r w:rsidRPr="0043547B">
        <w:rPr>
          <w:rFonts w:asciiTheme="minorHAnsi" w:hAnsiTheme="minorHAnsi"/>
        </w:rPr>
        <w:t xml:space="preserve"> notamment pour les besoins de la certification, à l’issue d’un processus dont les étapes sont spécifiées dans des normes </w:t>
      </w:r>
      <w:r w:rsidR="00D93B0A" w:rsidRPr="0043547B">
        <w:rPr>
          <w:rFonts w:asciiTheme="minorHAnsi" w:hAnsiTheme="minorHAnsi"/>
        </w:rPr>
        <w:t>internationale</w:t>
      </w:r>
      <w:r w:rsidRPr="0043547B">
        <w:rPr>
          <w:rFonts w:asciiTheme="minorHAnsi" w:hAnsiTheme="minorHAnsi"/>
        </w:rPr>
        <w:t>s ;</w:t>
      </w:r>
    </w:p>
    <w:p w:rsidR="00B109A8" w:rsidRPr="0043547B" w:rsidRDefault="00B109A8" w:rsidP="00B37818">
      <w:pPr>
        <w:pStyle w:val="NormalWeb"/>
        <w:shd w:val="clear" w:color="auto" w:fill="FFFFFF"/>
        <w:spacing w:before="240" w:beforeAutospacing="0" w:after="77" w:afterAutospacing="0" w:line="360" w:lineRule="auto"/>
        <w:jc w:val="both"/>
        <w:rPr>
          <w:rFonts w:asciiTheme="minorHAnsi" w:hAnsiTheme="minorHAnsi"/>
        </w:rPr>
      </w:pPr>
      <w:r w:rsidRPr="0043547B">
        <w:rPr>
          <w:rFonts w:asciiTheme="minorHAnsi" w:hAnsiTheme="minorHAnsi"/>
        </w:rPr>
        <w:t xml:space="preserve">- Promotion du système national </w:t>
      </w:r>
      <w:r w:rsidR="00B37818" w:rsidRPr="0043547B">
        <w:rPr>
          <w:rFonts w:asciiTheme="minorHAnsi" w:hAnsiTheme="minorHAnsi"/>
        </w:rPr>
        <w:t xml:space="preserve">de normalisation et </w:t>
      </w:r>
      <w:r w:rsidRPr="0043547B">
        <w:rPr>
          <w:rFonts w:asciiTheme="minorHAnsi" w:hAnsiTheme="minorHAnsi"/>
        </w:rPr>
        <w:t xml:space="preserve">de certification </w:t>
      </w:r>
      <w:r w:rsidR="00B37818" w:rsidRPr="0043547B">
        <w:rPr>
          <w:rFonts w:asciiTheme="minorHAnsi" w:hAnsiTheme="minorHAnsi"/>
        </w:rPr>
        <w:t>par l’organisation et l’animation de</w:t>
      </w:r>
      <w:r w:rsidRPr="0043547B">
        <w:rPr>
          <w:rFonts w:asciiTheme="minorHAnsi" w:hAnsiTheme="minorHAnsi"/>
        </w:rPr>
        <w:t xml:space="preserve"> séminaires et forums, et la sensibilisation des opérateurs économiques (Donneurs d’ordres, groupement professionnels, Département</w:t>
      </w:r>
      <w:r w:rsidR="004D7573" w:rsidRPr="0043547B">
        <w:rPr>
          <w:rFonts w:asciiTheme="minorHAnsi" w:hAnsiTheme="minorHAnsi"/>
        </w:rPr>
        <w:t>s</w:t>
      </w:r>
      <w:r w:rsidRPr="0043547B">
        <w:rPr>
          <w:rFonts w:asciiTheme="minorHAnsi" w:hAnsiTheme="minorHAnsi"/>
        </w:rPr>
        <w:t xml:space="preserve"> Ministériel</w:t>
      </w:r>
      <w:r w:rsidR="004D7573" w:rsidRPr="0043547B">
        <w:rPr>
          <w:rFonts w:asciiTheme="minorHAnsi" w:hAnsiTheme="minorHAnsi"/>
        </w:rPr>
        <w:t xml:space="preserve">s </w:t>
      </w:r>
      <w:r w:rsidRPr="0043547B">
        <w:rPr>
          <w:rFonts w:asciiTheme="minorHAnsi" w:hAnsiTheme="minorHAnsi"/>
        </w:rPr>
        <w:t xml:space="preserve">...) en vue de les amener à croire dans le système national d’évaluation de la conformité au point d’en faire un substitut à leurs procédures </w:t>
      </w:r>
      <w:r w:rsidR="004D7573" w:rsidRPr="0043547B">
        <w:rPr>
          <w:rFonts w:asciiTheme="minorHAnsi" w:hAnsiTheme="minorHAnsi"/>
        </w:rPr>
        <w:t>d’agrément et de reconnaissance</w:t>
      </w:r>
      <w:r w:rsidRPr="0043547B">
        <w:rPr>
          <w:rFonts w:asciiTheme="minorHAnsi" w:hAnsiTheme="minorHAnsi"/>
        </w:rPr>
        <w:t> ;</w:t>
      </w:r>
    </w:p>
    <w:p w:rsidR="00B109A8" w:rsidRPr="0043547B" w:rsidRDefault="00B109A8" w:rsidP="00B37818">
      <w:pPr>
        <w:pStyle w:val="NormalWeb"/>
        <w:shd w:val="clear" w:color="auto" w:fill="FFFFFF"/>
        <w:spacing w:before="240" w:beforeAutospacing="0" w:after="77" w:afterAutospacing="0" w:line="360" w:lineRule="auto"/>
        <w:jc w:val="both"/>
        <w:rPr>
          <w:rFonts w:asciiTheme="minorHAnsi" w:hAnsiTheme="minorHAnsi"/>
        </w:rPr>
      </w:pPr>
      <w:r w:rsidRPr="0043547B">
        <w:rPr>
          <w:rFonts w:asciiTheme="minorHAnsi" w:hAnsiTheme="minorHAnsi"/>
        </w:rPr>
        <w:t xml:space="preserve">- Représentation du Maroc </w:t>
      </w:r>
      <w:r w:rsidR="00B37818" w:rsidRPr="0043547B">
        <w:rPr>
          <w:rFonts w:asciiTheme="minorHAnsi" w:hAnsiTheme="minorHAnsi"/>
        </w:rPr>
        <w:t>auprès d</w:t>
      </w:r>
      <w:r w:rsidRPr="0043547B">
        <w:rPr>
          <w:rFonts w:asciiTheme="minorHAnsi" w:hAnsiTheme="minorHAnsi"/>
        </w:rPr>
        <w:t xml:space="preserve">es organisations et manifestations </w:t>
      </w:r>
      <w:r w:rsidR="00B37818" w:rsidRPr="0043547B">
        <w:rPr>
          <w:rFonts w:asciiTheme="minorHAnsi" w:hAnsiTheme="minorHAnsi"/>
        </w:rPr>
        <w:t>internationale</w:t>
      </w:r>
      <w:r w:rsidRPr="0043547B">
        <w:rPr>
          <w:rFonts w:asciiTheme="minorHAnsi" w:hAnsiTheme="minorHAnsi"/>
        </w:rPr>
        <w:t xml:space="preserve">s </w:t>
      </w:r>
      <w:r w:rsidR="004D7573" w:rsidRPr="0043547B">
        <w:rPr>
          <w:rFonts w:asciiTheme="minorHAnsi" w:hAnsiTheme="minorHAnsi"/>
        </w:rPr>
        <w:t xml:space="preserve">et régionales </w:t>
      </w:r>
      <w:r w:rsidRPr="0043547B">
        <w:rPr>
          <w:rFonts w:asciiTheme="minorHAnsi" w:hAnsiTheme="minorHAnsi"/>
        </w:rPr>
        <w:t>en matière de certification.</w:t>
      </w:r>
    </w:p>
    <w:p w:rsidR="009C7A5D" w:rsidRPr="0043547B" w:rsidRDefault="009C7A5D" w:rsidP="009C7A5D">
      <w:pPr>
        <w:pStyle w:val="NormalWeb"/>
        <w:shd w:val="clear" w:color="auto" w:fill="FFFFFF"/>
        <w:spacing w:before="240" w:beforeAutospacing="0" w:after="77" w:afterAutospacing="0" w:line="360" w:lineRule="auto"/>
        <w:jc w:val="both"/>
        <w:rPr>
          <w:rFonts w:asciiTheme="minorHAnsi" w:hAnsiTheme="minorHAnsi"/>
        </w:rPr>
      </w:pPr>
    </w:p>
    <w:p w:rsidR="009C7A5D" w:rsidRPr="0043547B" w:rsidRDefault="009C7A5D" w:rsidP="009C7A5D">
      <w:pPr>
        <w:pStyle w:val="NormalWeb"/>
        <w:shd w:val="clear" w:color="auto" w:fill="FFFFFF"/>
        <w:spacing w:before="240" w:beforeAutospacing="0" w:after="77" w:afterAutospacing="0" w:line="360" w:lineRule="auto"/>
        <w:jc w:val="both"/>
        <w:rPr>
          <w:rFonts w:asciiTheme="minorHAnsi" w:hAnsiTheme="minorHAnsi"/>
        </w:rPr>
      </w:pPr>
    </w:p>
    <w:p w:rsidR="00904E52" w:rsidRPr="0043547B" w:rsidRDefault="00904E52">
      <w:pPr>
        <w:rPr>
          <w:rFonts w:eastAsia="Times New Roman" w:cs="Times New Roman"/>
          <w:sz w:val="24"/>
          <w:szCs w:val="24"/>
          <w:lang w:eastAsia="fr-FR"/>
        </w:rPr>
      </w:pPr>
      <w:r w:rsidRPr="0043547B">
        <w:br w:type="page"/>
      </w:r>
    </w:p>
    <w:p w:rsidR="00B109A8" w:rsidRPr="0043547B" w:rsidRDefault="00B109A8" w:rsidP="00B109A8">
      <w:pPr>
        <w:pStyle w:val="NormalWeb"/>
        <w:shd w:val="clear" w:color="auto" w:fill="FFFFFF"/>
        <w:spacing w:before="0" w:beforeAutospacing="0" w:after="77" w:afterAutospacing="0" w:line="360" w:lineRule="auto"/>
        <w:jc w:val="both"/>
        <w:rPr>
          <w:rFonts w:asciiTheme="minorHAnsi" w:hAnsiTheme="minorHAnsi"/>
        </w:rPr>
      </w:pPr>
      <w:r w:rsidRPr="0043547B">
        <w:rPr>
          <w:rFonts w:asciiTheme="minorHAnsi" w:hAnsiTheme="minorHAnsi"/>
        </w:rPr>
        <w:lastRenderedPageBreak/>
        <w:t xml:space="preserve">Le tableau </w:t>
      </w:r>
      <w:r w:rsidR="00904E52" w:rsidRPr="0043547B">
        <w:rPr>
          <w:rFonts w:asciiTheme="minorHAnsi" w:hAnsiTheme="minorHAnsi"/>
        </w:rPr>
        <w:t>ci-après</w:t>
      </w:r>
      <w:r w:rsidRPr="0043547B">
        <w:rPr>
          <w:rFonts w:asciiTheme="minorHAnsi" w:hAnsiTheme="minorHAnsi"/>
        </w:rPr>
        <w:t xml:space="preserve"> regroupe les schémas de certification produits existants </w:t>
      </w:r>
      <w:r w:rsidR="004D7573" w:rsidRPr="0043547B">
        <w:rPr>
          <w:rFonts w:asciiTheme="minorHAnsi" w:hAnsiTheme="minorHAnsi"/>
        </w:rPr>
        <w:t xml:space="preserve">actuellement </w:t>
      </w:r>
      <w:r w:rsidRPr="0043547B">
        <w:rPr>
          <w:rFonts w:asciiTheme="minorHAnsi" w:hAnsiTheme="minorHAnsi"/>
        </w:rPr>
        <w:t>à l’IMANOR :</w:t>
      </w:r>
    </w:p>
    <w:p w:rsidR="00475E87" w:rsidRPr="0043547B" w:rsidRDefault="00475E87" w:rsidP="00B109A8">
      <w:pPr>
        <w:pStyle w:val="NormalWeb"/>
        <w:shd w:val="clear" w:color="auto" w:fill="FFFFFF"/>
        <w:spacing w:before="0" w:beforeAutospacing="0" w:after="77" w:afterAutospacing="0" w:line="360" w:lineRule="auto"/>
        <w:jc w:val="both"/>
        <w:rPr>
          <w:rFonts w:asciiTheme="minorHAnsi" w:hAnsiTheme="minorHAnsi"/>
        </w:rPr>
      </w:pPr>
    </w:p>
    <w:tbl>
      <w:tblPr>
        <w:tblStyle w:val="TableauGrille4-Accentuation6"/>
        <w:tblW w:w="9180" w:type="dxa"/>
        <w:tblLook w:val="04A0" w:firstRow="1" w:lastRow="0" w:firstColumn="1" w:lastColumn="0" w:noHBand="0" w:noVBand="1"/>
      </w:tblPr>
      <w:tblGrid>
        <w:gridCol w:w="4644"/>
        <w:gridCol w:w="4536"/>
      </w:tblGrid>
      <w:tr w:rsidR="0043547B" w:rsidRPr="0043547B" w:rsidTr="00E2255F">
        <w:trPr>
          <w:cnfStyle w:val="100000000000" w:firstRow="1" w:lastRow="0"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4644" w:type="dxa"/>
            <w:hideMark/>
          </w:tcPr>
          <w:p w:rsidR="00475E87" w:rsidRPr="0043547B" w:rsidRDefault="00475E87" w:rsidP="00475E87">
            <w:pPr>
              <w:spacing w:after="240"/>
              <w:jc w:val="center"/>
              <w:rPr>
                <w:rFonts w:eastAsia="Times New Roman" w:cs="Arial"/>
                <w:color w:val="auto"/>
                <w:sz w:val="24"/>
                <w:szCs w:val="24"/>
                <w:lang w:eastAsia="fr-FR"/>
              </w:rPr>
            </w:pPr>
            <w:r w:rsidRPr="0043547B">
              <w:rPr>
                <w:rFonts w:eastAsia="Times New Roman" w:cs="Arial"/>
                <w:color w:val="auto"/>
                <w:sz w:val="24"/>
                <w:szCs w:val="24"/>
                <w:lang w:eastAsia="fr-FR"/>
              </w:rPr>
              <w:t>Produits</w:t>
            </w:r>
          </w:p>
        </w:tc>
        <w:tc>
          <w:tcPr>
            <w:tcW w:w="4536" w:type="dxa"/>
            <w:hideMark/>
          </w:tcPr>
          <w:p w:rsidR="00475E87" w:rsidRPr="0043547B" w:rsidRDefault="00475E87" w:rsidP="00475E87">
            <w:pPr>
              <w:spacing w:after="24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4"/>
                <w:szCs w:val="24"/>
                <w:lang w:eastAsia="fr-FR"/>
              </w:rPr>
            </w:pPr>
            <w:r w:rsidRPr="0043547B">
              <w:rPr>
                <w:rFonts w:eastAsia="Times New Roman" w:cs="Arial"/>
                <w:color w:val="auto"/>
                <w:sz w:val="24"/>
                <w:szCs w:val="24"/>
                <w:lang w:eastAsia="fr-FR"/>
              </w:rPr>
              <w:t xml:space="preserve">Code Norme de Référence </w:t>
            </w:r>
          </w:p>
        </w:tc>
      </w:tr>
      <w:tr w:rsidR="0043547B" w:rsidRPr="0043547B" w:rsidTr="00E225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44" w:type="dxa"/>
            <w:hideMark/>
          </w:tcPr>
          <w:p w:rsidR="00475E87" w:rsidRPr="0043547B" w:rsidRDefault="00475E87" w:rsidP="00475E87">
            <w:pPr>
              <w:spacing w:after="240"/>
              <w:rPr>
                <w:rFonts w:eastAsia="Times New Roman" w:cs="Arial"/>
                <w:bCs w:val="0"/>
                <w:sz w:val="24"/>
                <w:szCs w:val="24"/>
                <w:lang w:eastAsia="fr-FR"/>
              </w:rPr>
            </w:pPr>
            <w:r w:rsidRPr="0043547B">
              <w:rPr>
                <w:rFonts w:eastAsia="Times New Roman" w:cs="Arial"/>
                <w:bCs w:val="0"/>
                <w:sz w:val="24"/>
                <w:szCs w:val="24"/>
                <w:lang w:eastAsia="fr-FR"/>
              </w:rPr>
              <w:t>Carreaux céramiques</w:t>
            </w:r>
          </w:p>
        </w:tc>
        <w:tc>
          <w:tcPr>
            <w:tcW w:w="4536" w:type="dxa"/>
            <w:hideMark/>
          </w:tcPr>
          <w:p w:rsidR="00475E87" w:rsidRPr="0043547B" w:rsidRDefault="00475E87" w:rsidP="00475E87">
            <w:pPr>
              <w:spacing w:after="240"/>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24"/>
                <w:szCs w:val="24"/>
                <w:lang w:eastAsia="fr-FR"/>
              </w:rPr>
            </w:pPr>
            <w:r w:rsidRPr="0043547B">
              <w:rPr>
                <w:rFonts w:eastAsia="Times New Roman" w:cs="Arial"/>
                <w:bCs/>
                <w:sz w:val="24"/>
                <w:szCs w:val="24"/>
                <w:lang w:eastAsia="fr-FR"/>
              </w:rPr>
              <w:t>NM ISO 13006</w:t>
            </w:r>
          </w:p>
        </w:tc>
      </w:tr>
      <w:tr w:rsidR="0043547B" w:rsidRPr="0043547B" w:rsidTr="00E2255F">
        <w:trPr>
          <w:trHeight w:val="300"/>
        </w:trPr>
        <w:tc>
          <w:tcPr>
            <w:cnfStyle w:val="001000000000" w:firstRow="0" w:lastRow="0" w:firstColumn="1" w:lastColumn="0" w:oddVBand="0" w:evenVBand="0" w:oddHBand="0" w:evenHBand="0" w:firstRowFirstColumn="0" w:firstRowLastColumn="0" w:lastRowFirstColumn="0" w:lastRowLastColumn="0"/>
            <w:tcW w:w="4644" w:type="dxa"/>
            <w:hideMark/>
          </w:tcPr>
          <w:p w:rsidR="00475E87" w:rsidRPr="0043547B" w:rsidRDefault="00475E87" w:rsidP="00475E87">
            <w:pPr>
              <w:spacing w:after="240"/>
              <w:rPr>
                <w:rFonts w:eastAsia="Times New Roman" w:cs="Arial"/>
                <w:bCs w:val="0"/>
                <w:sz w:val="24"/>
                <w:szCs w:val="24"/>
                <w:lang w:eastAsia="fr-FR"/>
              </w:rPr>
            </w:pPr>
            <w:r w:rsidRPr="0043547B">
              <w:rPr>
                <w:rFonts w:eastAsia="Times New Roman" w:cs="Arial"/>
                <w:bCs w:val="0"/>
                <w:sz w:val="24"/>
                <w:szCs w:val="24"/>
                <w:lang w:eastAsia="fr-FR"/>
              </w:rPr>
              <w:t>Treillis soudés et éléments constitutifs</w:t>
            </w:r>
          </w:p>
        </w:tc>
        <w:tc>
          <w:tcPr>
            <w:tcW w:w="4536" w:type="dxa"/>
            <w:hideMark/>
          </w:tcPr>
          <w:p w:rsidR="00475E87" w:rsidRPr="0043547B" w:rsidRDefault="00475E87" w:rsidP="00475E87">
            <w:pPr>
              <w:spacing w:after="240"/>
              <w:jc w:val="center"/>
              <w:cnfStyle w:val="000000000000" w:firstRow="0" w:lastRow="0" w:firstColumn="0" w:lastColumn="0" w:oddVBand="0" w:evenVBand="0" w:oddHBand="0" w:evenHBand="0" w:firstRowFirstColumn="0" w:firstRowLastColumn="0" w:lastRowFirstColumn="0" w:lastRowLastColumn="0"/>
              <w:rPr>
                <w:rFonts w:eastAsia="Times New Roman" w:cs="Arial"/>
                <w:bCs/>
                <w:sz w:val="24"/>
                <w:szCs w:val="24"/>
                <w:lang w:eastAsia="fr-FR"/>
              </w:rPr>
            </w:pPr>
            <w:r w:rsidRPr="0043547B">
              <w:rPr>
                <w:rFonts w:eastAsia="Times New Roman" w:cs="Arial"/>
                <w:bCs/>
                <w:sz w:val="24"/>
                <w:szCs w:val="24"/>
                <w:lang w:eastAsia="fr-FR"/>
              </w:rPr>
              <w:t>NM 01.4.220</w:t>
            </w:r>
          </w:p>
        </w:tc>
      </w:tr>
      <w:tr w:rsidR="0043547B" w:rsidRPr="0043547B" w:rsidTr="00E225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44" w:type="dxa"/>
            <w:hideMark/>
          </w:tcPr>
          <w:p w:rsidR="00475E87" w:rsidRPr="0043547B" w:rsidRDefault="00475E87" w:rsidP="00475E87">
            <w:pPr>
              <w:spacing w:after="240"/>
              <w:rPr>
                <w:rFonts w:eastAsia="Times New Roman" w:cs="Arial"/>
                <w:bCs w:val="0"/>
                <w:sz w:val="24"/>
                <w:szCs w:val="24"/>
                <w:lang w:eastAsia="fr-FR"/>
              </w:rPr>
            </w:pPr>
            <w:r w:rsidRPr="0043547B">
              <w:rPr>
                <w:rFonts w:eastAsia="Times New Roman" w:cs="Arial"/>
                <w:bCs w:val="0"/>
                <w:sz w:val="24"/>
                <w:szCs w:val="24"/>
                <w:lang w:eastAsia="fr-FR"/>
              </w:rPr>
              <w:t>Barres et couronnes à haute adhérence</w:t>
            </w:r>
          </w:p>
        </w:tc>
        <w:tc>
          <w:tcPr>
            <w:tcW w:w="4536" w:type="dxa"/>
            <w:hideMark/>
          </w:tcPr>
          <w:p w:rsidR="00475E87" w:rsidRPr="0043547B" w:rsidRDefault="00475E87" w:rsidP="00475E87">
            <w:pPr>
              <w:spacing w:after="240"/>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24"/>
                <w:szCs w:val="24"/>
                <w:lang w:eastAsia="fr-FR"/>
              </w:rPr>
            </w:pPr>
            <w:r w:rsidRPr="0043547B">
              <w:rPr>
                <w:rFonts w:eastAsia="Times New Roman" w:cs="Arial"/>
                <w:bCs/>
                <w:sz w:val="24"/>
                <w:szCs w:val="24"/>
                <w:lang w:eastAsia="fr-FR"/>
              </w:rPr>
              <w:t>NM 01.4.097, NM 01.4.096</w:t>
            </w:r>
          </w:p>
        </w:tc>
      </w:tr>
      <w:tr w:rsidR="0043547B" w:rsidRPr="0043547B" w:rsidTr="00E2255F">
        <w:trPr>
          <w:trHeight w:val="300"/>
        </w:trPr>
        <w:tc>
          <w:tcPr>
            <w:cnfStyle w:val="001000000000" w:firstRow="0" w:lastRow="0" w:firstColumn="1" w:lastColumn="0" w:oddVBand="0" w:evenVBand="0" w:oddHBand="0" w:evenHBand="0" w:firstRowFirstColumn="0" w:firstRowLastColumn="0" w:lastRowFirstColumn="0" w:lastRowLastColumn="0"/>
            <w:tcW w:w="4644" w:type="dxa"/>
            <w:hideMark/>
          </w:tcPr>
          <w:p w:rsidR="00475E87" w:rsidRPr="0043547B" w:rsidRDefault="00475E87" w:rsidP="00475E87">
            <w:pPr>
              <w:spacing w:after="240"/>
              <w:rPr>
                <w:rFonts w:eastAsia="Times New Roman" w:cs="Arial"/>
                <w:bCs w:val="0"/>
                <w:sz w:val="24"/>
                <w:szCs w:val="24"/>
                <w:lang w:eastAsia="fr-FR"/>
              </w:rPr>
            </w:pPr>
            <w:r w:rsidRPr="0043547B">
              <w:rPr>
                <w:rFonts w:eastAsia="Times New Roman" w:cs="Arial"/>
                <w:bCs w:val="0"/>
                <w:sz w:val="24"/>
                <w:szCs w:val="24"/>
                <w:lang w:eastAsia="fr-FR"/>
              </w:rPr>
              <w:t>Interrupteurs</w:t>
            </w:r>
          </w:p>
        </w:tc>
        <w:tc>
          <w:tcPr>
            <w:tcW w:w="4536" w:type="dxa"/>
            <w:hideMark/>
          </w:tcPr>
          <w:p w:rsidR="00475E87" w:rsidRPr="0043547B" w:rsidRDefault="00475E87" w:rsidP="00475E87">
            <w:pPr>
              <w:spacing w:after="240"/>
              <w:jc w:val="center"/>
              <w:cnfStyle w:val="000000000000" w:firstRow="0" w:lastRow="0" w:firstColumn="0" w:lastColumn="0" w:oddVBand="0" w:evenVBand="0" w:oddHBand="0" w:evenHBand="0" w:firstRowFirstColumn="0" w:firstRowLastColumn="0" w:lastRowFirstColumn="0" w:lastRowLastColumn="0"/>
              <w:rPr>
                <w:rFonts w:eastAsia="Times New Roman" w:cs="Arial"/>
                <w:bCs/>
                <w:sz w:val="24"/>
                <w:szCs w:val="24"/>
                <w:lang w:eastAsia="fr-FR"/>
              </w:rPr>
            </w:pPr>
            <w:r w:rsidRPr="0043547B">
              <w:rPr>
                <w:rFonts w:eastAsia="Times New Roman" w:cs="Arial"/>
                <w:bCs/>
                <w:sz w:val="24"/>
                <w:szCs w:val="24"/>
                <w:lang w:eastAsia="fr-FR"/>
              </w:rPr>
              <w:t>NM 06.6.001</w:t>
            </w:r>
          </w:p>
        </w:tc>
      </w:tr>
      <w:tr w:rsidR="0043547B" w:rsidRPr="0043547B" w:rsidTr="00E225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44" w:type="dxa"/>
            <w:hideMark/>
          </w:tcPr>
          <w:p w:rsidR="00475E87" w:rsidRPr="0043547B" w:rsidRDefault="00475E87" w:rsidP="00475E87">
            <w:pPr>
              <w:spacing w:after="240"/>
              <w:rPr>
                <w:rFonts w:eastAsia="Times New Roman" w:cs="Arial"/>
                <w:bCs w:val="0"/>
                <w:sz w:val="24"/>
                <w:szCs w:val="24"/>
                <w:lang w:eastAsia="fr-FR"/>
              </w:rPr>
            </w:pPr>
            <w:r w:rsidRPr="0043547B">
              <w:rPr>
                <w:rFonts w:eastAsia="Times New Roman" w:cs="Arial"/>
                <w:bCs w:val="0"/>
                <w:sz w:val="24"/>
                <w:szCs w:val="24"/>
                <w:lang w:eastAsia="fr-FR"/>
              </w:rPr>
              <w:t>Douilles</w:t>
            </w:r>
          </w:p>
        </w:tc>
        <w:tc>
          <w:tcPr>
            <w:tcW w:w="4536" w:type="dxa"/>
            <w:hideMark/>
          </w:tcPr>
          <w:p w:rsidR="00475E87" w:rsidRPr="0043547B" w:rsidRDefault="00475E87" w:rsidP="00475E87">
            <w:pPr>
              <w:spacing w:after="240"/>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24"/>
                <w:szCs w:val="24"/>
                <w:lang w:eastAsia="fr-FR"/>
              </w:rPr>
            </w:pPr>
            <w:r w:rsidRPr="0043547B">
              <w:rPr>
                <w:rFonts w:eastAsia="Times New Roman" w:cs="Arial"/>
                <w:bCs/>
                <w:sz w:val="24"/>
                <w:szCs w:val="24"/>
                <w:lang w:eastAsia="fr-FR"/>
              </w:rPr>
              <w:t>NM 06.6.030, NM 06.6.032</w:t>
            </w:r>
          </w:p>
        </w:tc>
      </w:tr>
      <w:tr w:rsidR="0043547B" w:rsidRPr="0043547B" w:rsidTr="00E2255F">
        <w:trPr>
          <w:trHeight w:val="300"/>
        </w:trPr>
        <w:tc>
          <w:tcPr>
            <w:cnfStyle w:val="001000000000" w:firstRow="0" w:lastRow="0" w:firstColumn="1" w:lastColumn="0" w:oddVBand="0" w:evenVBand="0" w:oddHBand="0" w:evenHBand="0" w:firstRowFirstColumn="0" w:firstRowLastColumn="0" w:lastRowFirstColumn="0" w:lastRowLastColumn="0"/>
            <w:tcW w:w="4644" w:type="dxa"/>
            <w:hideMark/>
          </w:tcPr>
          <w:p w:rsidR="00475E87" w:rsidRPr="0043547B" w:rsidRDefault="00475E87" w:rsidP="00475E87">
            <w:pPr>
              <w:spacing w:after="240"/>
              <w:rPr>
                <w:rFonts w:eastAsia="Times New Roman" w:cs="Arial"/>
                <w:bCs w:val="0"/>
                <w:sz w:val="24"/>
                <w:szCs w:val="24"/>
                <w:lang w:eastAsia="fr-FR"/>
              </w:rPr>
            </w:pPr>
            <w:r w:rsidRPr="0043547B">
              <w:rPr>
                <w:rFonts w:eastAsia="Times New Roman" w:cs="Arial"/>
                <w:bCs w:val="0"/>
                <w:sz w:val="24"/>
                <w:szCs w:val="24"/>
                <w:lang w:eastAsia="fr-FR"/>
              </w:rPr>
              <w:t>Prises de Courant</w:t>
            </w:r>
          </w:p>
        </w:tc>
        <w:tc>
          <w:tcPr>
            <w:tcW w:w="4536" w:type="dxa"/>
            <w:hideMark/>
          </w:tcPr>
          <w:p w:rsidR="00475E87" w:rsidRPr="0043547B" w:rsidRDefault="00475E87" w:rsidP="00475E87">
            <w:pPr>
              <w:spacing w:after="240"/>
              <w:jc w:val="center"/>
              <w:cnfStyle w:val="000000000000" w:firstRow="0" w:lastRow="0" w:firstColumn="0" w:lastColumn="0" w:oddVBand="0" w:evenVBand="0" w:oddHBand="0" w:evenHBand="0" w:firstRowFirstColumn="0" w:firstRowLastColumn="0" w:lastRowFirstColumn="0" w:lastRowLastColumn="0"/>
              <w:rPr>
                <w:rFonts w:eastAsia="Times New Roman" w:cs="Arial"/>
                <w:bCs/>
                <w:sz w:val="24"/>
                <w:szCs w:val="24"/>
                <w:lang w:eastAsia="fr-FR"/>
              </w:rPr>
            </w:pPr>
            <w:r w:rsidRPr="0043547B">
              <w:rPr>
                <w:rFonts w:eastAsia="Times New Roman" w:cs="Arial"/>
                <w:bCs/>
                <w:sz w:val="24"/>
                <w:szCs w:val="24"/>
                <w:lang w:eastAsia="fr-FR"/>
              </w:rPr>
              <w:t>NM 06.6.090</w:t>
            </w:r>
          </w:p>
        </w:tc>
      </w:tr>
      <w:tr w:rsidR="0043547B" w:rsidRPr="0043547B" w:rsidTr="00E225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44" w:type="dxa"/>
            <w:hideMark/>
          </w:tcPr>
          <w:p w:rsidR="00475E87" w:rsidRPr="0043547B" w:rsidRDefault="00475E87" w:rsidP="00475E87">
            <w:pPr>
              <w:spacing w:after="240"/>
              <w:rPr>
                <w:rFonts w:eastAsia="Times New Roman" w:cs="Arial"/>
                <w:bCs w:val="0"/>
                <w:sz w:val="24"/>
                <w:szCs w:val="24"/>
                <w:lang w:eastAsia="fr-FR"/>
              </w:rPr>
            </w:pPr>
            <w:r w:rsidRPr="0043547B">
              <w:rPr>
                <w:rFonts w:eastAsia="Times New Roman" w:cs="Arial"/>
                <w:bCs w:val="0"/>
                <w:sz w:val="24"/>
                <w:szCs w:val="24"/>
                <w:lang w:eastAsia="fr-FR"/>
              </w:rPr>
              <w:t>Disjoncteurs</w:t>
            </w:r>
          </w:p>
        </w:tc>
        <w:tc>
          <w:tcPr>
            <w:tcW w:w="4536" w:type="dxa"/>
            <w:hideMark/>
          </w:tcPr>
          <w:p w:rsidR="00475E87" w:rsidRPr="0043547B" w:rsidRDefault="00475E87" w:rsidP="00475E87">
            <w:pPr>
              <w:spacing w:after="240"/>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24"/>
                <w:szCs w:val="24"/>
                <w:lang w:eastAsia="fr-FR"/>
              </w:rPr>
            </w:pPr>
            <w:r w:rsidRPr="0043547B">
              <w:rPr>
                <w:rFonts w:eastAsia="Times New Roman" w:cs="Arial"/>
                <w:bCs/>
                <w:sz w:val="24"/>
                <w:szCs w:val="24"/>
                <w:lang w:eastAsia="fr-FR"/>
              </w:rPr>
              <w:t>NM 06.6.022</w:t>
            </w:r>
          </w:p>
        </w:tc>
      </w:tr>
      <w:tr w:rsidR="0043547B" w:rsidRPr="0043547B" w:rsidTr="00E2255F">
        <w:trPr>
          <w:trHeight w:val="300"/>
        </w:trPr>
        <w:tc>
          <w:tcPr>
            <w:cnfStyle w:val="001000000000" w:firstRow="0" w:lastRow="0" w:firstColumn="1" w:lastColumn="0" w:oddVBand="0" w:evenVBand="0" w:oddHBand="0" w:evenHBand="0" w:firstRowFirstColumn="0" w:firstRowLastColumn="0" w:lastRowFirstColumn="0" w:lastRowLastColumn="0"/>
            <w:tcW w:w="4644" w:type="dxa"/>
            <w:hideMark/>
          </w:tcPr>
          <w:p w:rsidR="00475E87" w:rsidRPr="0043547B" w:rsidRDefault="00475E87" w:rsidP="00475E87">
            <w:pPr>
              <w:spacing w:after="240"/>
              <w:rPr>
                <w:rFonts w:eastAsia="Times New Roman" w:cs="Arial"/>
                <w:bCs w:val="0"/>
                <w:sz w:val="24"/>
                <w:szCs w:val="24"/>
                <w:lang w:eastAsia="fr-FR"/>
              </w:rPr>
            </w:pPr>
            <w:r w:rsidRPr="0043547B">
              <w:rPr>
                <w:rFonts w:eastAsia="Times New Roman" w:cs="Arial"/>
                <w:bCs w:val="0"/>
                <w:sz w:val="24"/>
                <w:szCs w:val="24"/>
                <w:lang w:eastAsia="fr-FR"/>
              </w:rPr>
              <w:t>Piles Electriques</w:t>
            </w:r>
          </w:p>
        </w:tc>
        <w:tc>
          <w:tcPr>
            <w:tcW w:w="4536" w:type="dxa"/>
            <w:hideMark/>
          </w:tcPr>
          <w:p w:rsidR="00475E87" w:rsidRPr="0043547B" w:rsidRDefault="00475E87" w:rsidP="00475E87">
            <w:pPr>
              <w:spacing w:after="240"/>
              <w:jc w:val="center"/>
              <w:cnfStyle w:val="000000000000" w:firstRow="0" w:lastRow="0" w:firstColumn="0" w:lastColumn="0" w:oddVBand="0" w:evenVBand="0" w:oddHBand="0" w:evenHBand="0" w:firstRowFirstColumn="0" w:firstRowLastColumn="0" w:lastRowFirstColumn="0" w:lastRowLastColumn="0"/>
              <w:rPr>
                <w:rFonts w:eastAsia="Times New Roman" w:cs="Arial"/>
                <w:bCs/>
                <w:sz w:val="24"/>
                <w:szCs w:val="24"/>
                <w:lang w:eastAsia="fr-FR"/>
              </w:rPr>
            </w:pPr>
            <w:r w:rsidRPr="0043547B">
              <w:rPr>
                <w:rFonts w:eastAsia="Times New Roman" w:cs="Arial"/>
                <w:bCs/>
                <w:sz w:val="24"/>
                <w:szCs w:val="24"/>
                <w:lang w:eastAsia="fr-FR"/>
              </w:rPr>
              <w:t>NM 06.7.021, NM 06.7.020</w:t>
            </w:r>
          </w:p>
        </w:tc>
      </w:tr>
      <w:tr w:rsidR="0043547B" w:rsidRPr="0043547B" w:rsidTr="00E225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44" w:type="dxa"/>
            <w:hideMark/>
          </w:tcPr>
          <w:p w:rsidR="00475E87" w:rsidRPr="0043547B" w:rsidRDefault="00475E87" w:rsidP="00475E87">
            <w:pPr>
              <w:spacing w:after="240"/>
              <w:rPr>
                <w:rFonts w:eastAsia="Times New Roman" w:cs="Arial"/>
                <w:bCs w:val="0"/>
                <w:sz w:val="24"/>
                <w:szCs w:val="24"/>
                <w:lang w:eastAsia="fr-FR"/>
              </w:rPr>
            </w:pPr>
            <w:r w:rsidRPr="0043547B">
              <w:rPr>
                <w:rFonts w:eastAsia="Times New Roman" w:cs="Arial"/>
                <w:bCs w:val="0"/>
                <w:sz w:val="24"/>
                <w:szCs w:val="24"/>
                <w:lang w:eastAsia="fr-FR"/>
              </w:rPr>
              <w:t xml:space="preserve">Extincteurs portatifs </w:t>
            </w:r>
          </w:p>
        </w:tc>
        <w:tc>
          <w:tcPr>
            <w:tcW w:w="4536" w:type="dxa"/>
            <w:hideMark/>
          </w:tcPr>
          <w:p w:rsidR="00475E87" w:rsidRPr="0043547B" w:rsidRDefault="00475E87" w:rsidP="00475E87">
            <w:pPr>
              <w:spacing w:after="240"/>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24"/>
                <w:szCs w:val="24"/>
                <w:lang w:eastAsia="fr-FR"/>
              </w:rPr>
            </w:pPr>
            <w:r w:rsidRPr="0043547B">
              <w:rPr>
                <w:rFonts w:eastAsia="Times New Roman" w:cs="Arial"/>
                <w:bCs/>
                <w:sz w:val="24"/>
                <w:szCs w:val="24"/>
                <w:lang w:eastAsia="fr-FR"/>
              </w:rPr>
              <w:t>NM 21.9.015</w:t>
            </w:r>
          </w:p>
        </w:tc>
      </w:tr>
      <w:tr w:rsidR="0043547B" w:rsidRPr="0043547B" w:rsidTr="00E2255F">
        <w:trPr>
          <w:trHeight w:val="300"/>
        </w:trPr>
        <w:tc>
          <w:tcPr>
            <w:cnfStyle w:val="001000000000" w:firstRow="0" w:lastRow="0" w:firstColumn="1" w:lastColumn="0" w:oddVBand="0" w:evenVBand="0" w:oddHBand="0" w:evenHBand="0" w:firstRowFirstColumn="0" w:firstRowLastColumn="0" w:lastRowFirstColumn="0" w:lastRowLastColumn="0"/>
            <w:tcW w:w="4644" w:type="dxa"/>
            <w:hideMark/>
          </w:tcPr>
          <w:p w:rsidR="00475E87" w:rsidRPr="0043547B" w:rsidRDefault="00475E87" w:rsidP="00475E87">
            <w:pPr>
              <w:spacing w:after="240"/>
              <w:rPr>
                <w:rFonts w:eastAsia="Times New Roman" w:cs="Arial"/>
                <w:bCs w:val="0"/>
                <w:sz w:val="24"/>
                <w:szCs w:val="24"/>
                <w:lang w:eastAsia="fr-FR"/>
              </w:rPr>
            </w:pPr>
            <w:r w:rsidRPr="0043547B">
              <w:rPr>
                <w:rFonts w:eastAsia="Times New Roman" w:cs="Arial"/>
                <w:bCs w:val="0"/>
                <w:sz w:val="24"/>
                <w:szCs w:val="24"/>
                <w:lang w:eastAsia="fr-FR"/>
              </w:rPr>
              <w:t>Tubes en polypropylène</w:t>
            </w:r>
          </w:p>
        </w:tc>
        <w:tc>
          <w:tcPr>
            <w:tcW w:w="4536" w:type="dxa"/>
            <w:hideMark/>
          </w:tcPr>
          <w:p w:rsidR="00475E87" w:rsidRPr="0043547B" w:rsidRDefault="00475E87" w:rsidP="00475E87">
            <w:pPr>
              <w:spacing w:after="240"/>
              <w:jc w:val="center"/>
              <w:cnfStyle w:val="000000000000" w:firstRow="0" w:lastRow="0" w:firstColumn="0" w:lastColumn="0" w:oddVBand="0" w:evenVBand="0" w:oddHBand="0" w:evenHBand="0" w:firstRowFirstColumn="0" w:firstRowLastColumn="0" w:lastRowFirstColumn="0" w:lastRowLastColumn="0"/>
              <w:rPr>
                <w:rFonts w:eastAsia="Times New Roman" w:cs="Arial"/>
                <w:bCs/>
                <w:sz w:val="24"/>
                <w:szCs w:val="24"/>
                <w:lang w:eastAsia="fr-FR"/>
              </w:rPr>
            </w:pPr>
            <w:r w:rsidRPr="0043547B">
              <w:rPr>
                <w:rFonts w:eastAsia="Times New Roman" w:cs="Arial"/>
                <w:bCs/>
                <w:sz w:val="24"/>
                <w:szCs w:val="24"/>
                <w:lang w:eastAsia="fr-FR"/>
              </w:rPr>
              <w:t>NM ISO 15874-2</w:t>
            </w:r>
          </w:p>
        </w:tc>
      </w:tr>
      <w:tr w:rsidR="0043547B" w:rsidRPr="0043547B" w:rsidTr="00E2255F">
        <w:trPr>
          <w:cnfStyle w:val="000000100000" w:firstRow="0" w:lastRow="0" w:firstColumn="0" w:lastColumn="0" w:oddVBand="0" w:evenVBand="0" w:oddHBand="1" w:evenHBand="0"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4644" w:type="dxa"/>
            <w:hideMark/>
          </w:tcPr>
          <w:p w:rsidR="00475E87" w:rsidRPr="0043547B" w:rsidRDefault="00475E87" w:rsidP="00475E87">
            <w:pPr>
              <w:spacing w:after="240"/>
              <w:rPr>
                <w:rFonts w:eastAsia="Times New Roman" w:cs="Arial"/>
                <w:bCs w:val="0"/>
                <w:sz w:val="24"/>
                <w:szCs w:val="24"/>
                <w:lang w:eastAsia="fr-FR"/>
              </w:rPr>
            </w:pPr>
            <w:r w:rsidRPr="0043547B">
              <w:rPr>
                <w:rFonts w:eastAsia="Times New Roman" w:cs="Arial"/>
                <w:bCs w:val="0"/>
                <w:sz w:val="24"/>
                <w:szCs w:val="24"/>
                <w:lang w:eastAsia="fr-FR"/>
              </w:rPr>
              <w:t>Produits d’étanchéité</w:t>
            </w:r>
          </w:p>
        </w:tc>
        <w:tc>
          <w:tcPr>
            <w:tcW w:w="4536" w:type="dxa"/>
            <w:hideMark/>
          </w:tcPr>
          <w:p w:rsidR="00475E87" w:rsidRPr="0043547B" w:rsidRDefault="00475E87" w:rsidP="00475E87">
            <w:pPr>
              <w:spacing w:after="240"/>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24"/>
                <w:szCs w:val="24"/>
                <w:lang w:eastAsia="fr-FR"/>
              </w:rPr>
            </w:pPr>
            <w:r w:rsidRPr="0043547B">
              <w:rPr>
                <w:rFonts w:eastAsia="Times New Roman" w:cs="Arial"/>
                <w:bCs/>
                <w:sz w:val="24"/>
                <w:szCs w:val="24"/>
                <w:lang w:eastAsia="fr-FR"/>
              </w:rPr>
              <w:t>NM 10.8.913</w:t>
            </w:r>
          </w:p>
        </w:tc>
      </w:tr>
      <w:tr w:rsidR="0043547B" w:rsidRPr="0043547B" w:rsidTr="00E2255F">
        <w:trPr>
          <w:trHeight w:val="300"/>
        </w:trPr>
        <w:tc>
          <w:tcPr>
            <w:cnfStyle w:val="001000000000" w:firstRow="0" w:lastRow="0" w:firstColumn="1" w:lastColumn="0" w:oddVBand="0" w:evenVBand="0" w:oddHBand="0" w:evenHBand="0" w:firstRowFirstColumn="0" w:firstRowLastColumn="0" w:lastRowFirstColumn="0" w:lastRowLastColumn="0"/>
            <w:tcW w:w="4644" w:type="dxa"/>
            <w:hideMark/>
          </w:tcPr>
          <w:p w:rsidR="00475E87" w:rsidRPr="0043547B" w:rsidRDefault="00475E87" w:rsidP="00475E87">
            <w:pPr>
              <w:spacing w:after="240"/>
              <w:jc w:val="both"/>
              <w:rPr>
                <w:rFonts w:eastAsia="Times New Roman" w:cs="Arial"/>
                <w:sz w:val="24"/>
                <w:szCs w:val="24"/>
                <w:lang w:eastAsia="fr-FR"/>
              </w:rPr>
            </w:pPr>
            <w:r w:rsidRPr="0043547B">
              <w:rPr>
                <w:rFonts w:eastAsia="Times New Roman" w:cs="Arial"/>
                <w:sz w:val="24"/>
                <w:szCs w:val="24"/>
                <w:lang w:eastAsia="fr-FR"/>
              </w:rPr>
              <w:t>Blocs en béton</w:t>
            </w:r>
          </w:p>
        </w:tc>
        <w:tc>
          <w:tcPr>
            <w:tcW w:w="4536" w:type="dxa"/>
            <w:hideMark/>
          </w:tcPr>
          <w:p w:rsidR="00475E87" w:rsidRPr="0043547B" w:rsidRDefault="00475E87" w:rsidP="00475E87">
            <w:pPr>
              <w:spacing w:after="240"/>
              <w:jc w:val="center"/>
              <w:cnfStyle w:val="000000000000" w:firstRow="0" w:lastRow="0" w:firstColumn="0" w:lastColumn="0" w:oddVBand="0" w:evenVBand="0" w:oddHBand="0" w:evenHBand="0" w:firstRowFirstColumn="0" w:firstRowLastColumn="0" w:lastRowFirstColumn="0" w:lastRowLastColumn="0"/>
              <w:rPr>
                <w:sz w:val="24"/>
                <w:szCs w:val="24"/>
              </w:rPr>
            </w:pPr>
            <w:r w:rsidRPr="0043547B">
              <w:rPr>
                <w:rFonts w:eastAsia="Times New Roman" w:cs="Arial"/>
                <w:bCs/>
                <w:sz w:val="24"/>
                <w:szCs w:val="24"/>
                <w:lang w:eastAsia="fr-FR"/>
              </w:rPr>
              <w:t>NM 10.1.009</w:t>
            </w:r>
          </w:p>
        </w:tc>
      </w:tr>
      <w:tr w:rsidR="0043547B" w:rsidRPr="0043547B" w:rsidTr="00E225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44" w:type="dxa"/>
            <w:hideMark/>
          </w:tcPr>
          <w:p w:rsidR="00475E87" w:rsidRPr="0043547B" w:rsidRDefault="00475E87" w:rsidP="00475E87">
            <w:pPr>
              <w:spacing w:after="240"/>
              <w:jc w:val="both"/>
              <w:rPr>
                <w:rFonts w:eastAsia="Times New Roman" w:cs="Arial"/>
                <w:sz w:val="24"/>
                <w:szCs w:val="24"/>
                <w:lang w:eastAsia="fr-FR"/>
              </w:rPr>
            </w:pPr>
            <w:r w:rsidRPr="0043547B">
              <w:rPr>
                <w:rFonts w:eastAsia="Times New Roman" w:cs="Arial"/>
                <w:sz w:val="24"/>
                <w:szCs w:val="24"/>
                <w:lang w:eastAsia="fr-FR"/>
              </w:rPr>
              <w:t>Corps creux en béton</w:t>
            </w:r>
          </w:p>
        </w:tc>
        <w:tc>
          <w:tcPr>
            <w:tcW w:w="4536" w:type="dxa"/>
            <w:hideMark/>
          </w:tcPr>
          <w:p w:rsidR="00475E87" w:rsidRPr="0043547B" w:rsidRDefault="00475E87" w:rsidP="00475E87">
            <w:pPr>
              <w:spacing w:after="240"/>
              <w:jc w:val="center"/>
              <w:cnfStyle w:val="000000100000" w:firstRow="0" w:lastRow="0" w:firstColumn="0" w:lastColumn="0" w:oddVBand="0" w:evenVBand="0" w:oddHBand="1" w:evenHBand="0" w:firstRowFirstColumn="0" w:firstRowLastColumn="0" w:lastRowFirstColumn="0" w:lastRowLastColumn="0"/>
              <w:rPr>
                <w:sz w:val="24"/>
                <w:szCs w:val="24"/>
              </w:rPr>
            </w:pPr>
            <w:r w:rsidRPr="0043547B">
              <w:rPr>
                <w:rFonts w:eastAsia="Times New Roman" w:cs="Arial"/>
                <w:bCs/>
                <w:sz w:val="24"/>
                <w:szCs w:val="24"/>
                <w:lang w:eastAsia="fr-FR"/>
              </w:rPr>
              <w:t>NM 10.1.010</w:t>
            </w:r>
          </w:p>
        </w:tc>
      </w:tr>
      <w:tr w:rsidR="0043547B" w:rsidRPr="0043547B" w:rsidTr="00E2255F">
        <w:trPr>
          <w:trHeight w:val="300"/>
        </w:trPr>
        <w:tc>
          <w:tcPr>
            <w:cnfStyle w:val="001000000000" w:firstRow="0" w:lastRow="0" w:firstColumn="1" w:lastColumn="0" w:oddVBand="0" w:evenVBand="0" w:oddHBand="0" w:evenHBand="0" w:firstRowFirstColumn="0" w:firstRowLastColumn="0" w:lastRowFirstColumn="0" w:lastRowLastColumn="0"/>
            <w:tcW w:w="4644" w:type="dxa"/>
            <w:hideMark/>
          </w:tcPr>
          <w:p w:rsidR="00475E87" w:rsidRPr="0043547B" w:rsidRDefault="00475E87" w:rsidP="00475E87">
            <w:pPr>
              <w:spacing w:after="240"/>
              <w:jc w:val="both"/>
              <w:rPr>
                <w:rFonts w:eastAsia="Times New Roman" w:cs="Arial"/>
                <w:sz w:val="24"/>
                <w:szCs w:val="24"/>
                <w:lang w:eastAsia="fr-FR"/>
              </w:rPr>
            </w:pPr>
            <w:r w:rsidRPr="0043547B">
              <w:rPr>
                <w:rFonts w:eastAsia="Times New Roman" w:cs="Arial"/>
                <w:sz w:val="24"/>
                <w:szCs w:val="24"/>
                <w:lang w:eastAsia="fr-FR"/>
              </w:rPr>
              <w:t>Ciment</w:t>
            </w:r>
          </w:p>
        </w:tc>
        <w:tc>
          <w:tcPr>
            <w:tcW w:w="4536" w:type="dxa"/>
            <w:hideMark/>
          </w:tcPr>
          <w:p w:rsidR="00475E87" w:rsidRPr="0043547B" w:rsidRDefault="00475E87" w:rsidP="00475E87">
            <w:pPr>
              <w:spacing w:after="240"/>
              <w:jc w:val="center"/>
              <w:cnfStyle w:val="000000000000" w:firstRow="0" w:lastRow="0" w:firstColumn="0" w:lastColumn="0" w:oddVBand="0" w:evenVBand="0" w:oddHBand="0" w:evenHBand="0" w:firstRowFirstColumn="0" w:firstRowLastColumn="0" w:lastRowFirstColumn="0" w:lastRowLastColumn="0"/>
              <w:rPr>
                <w:sz w:val="24"/>
                <w:szCs w:val="24"/>
              </w:rPr>
            </w:pPr>
            <w:r w:rsidRPr="0043547B">
              <w:rPr>
                <w:rFonts w:eastAsia="Times New Roman" w:cs="Arial"/>
                <w:bCs/>
                <w:sz w:val="24"/>
                <w:szCs w:val="24"/>
                <w:lang w:eastAsia="fr-FR"/>
              </w:rPr>
              <w:t>NM 10.1.004, NM 10.1.157</w:t>
            </w:r>
          </w:p>
        </w:tc>
      </w:tr>
      <w:tr w:rsidR="0043547B" w:rsidRPr="0043547B" w:rsidTr="00E2255F">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4644" w:type="dxa"/>
            <w:hideMark/>
          </w:tcPr>
          <w:p w:rsidR="00475E87" w:rsidRPr="0043547B" w:rsidRDefault="00475E87" w:rsidP="00475E87">
            <w:pPr>
              <w:spacing w:after="240"/>
              <w:rPr>
                <w:rFonts w:eastAsia="Times New Roman" w:cs="Arial"/>
                <w:bCs w:val="0"/>
                <w:sz w:val="24"/>
                <w:szCs w:val="24"/>
                <w:lang w:eastAsia="fr-FR"/>
              </w:rPr>
            </w:pPr>
            <w:r w:rsidRPr="0043547B">
              <w:rPr>
                <w:rFonts w:eastAsia="Times New Roman" w:cs="Arial"/>
                <w:bCs w:val="0"/>
                <w:sz w:val="24"/>
                <w:szCs w:val="24"/>
                <w:lang w:eastAsia="fr-FR"/>
              </w:rPr>
              <w:t>Béton prêt à l’emploi</w:t>
            </w:r>
          </w:p>
        </w:tc>
        <w:tc>
          <w:tcPr>
            <w:tcW w:w="4536" w:type="dxa"/>
            <w:hideMark/>
          </w:tcPr>
          <w:p w:rsidR="00475E87" w:rsidRPr="0043547B" w:rsidRDefault="00475E87" w:rsidP="00475E87">
            <w:pPr>
              <w:spacing w:after="240"/>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24"/>
                <w:szCs w:val="24"/>
                <w:lang w:eastAsia="fr-FR"/>
              </w:rPr>
            </w:pPr>
            <w:r w:rsidRPr="0043547B">
              <w:rPr>
                <w:rFonts w:eastAsia="Times New Roman" w:cs="Arial"/>
                <w:bCs/>
                <w:sz w:val="24"/>
                <w:szCs w:val="24"/>
                <w:lang w:eastAsia="fr-FR"/>
              </w:rPr>
              <w:t>NM 10.1.008</w:t>
            </w:r>
          </w:p>
        </w:tc>
      </w:tr>
      <w:tr w:rsidR="0043547B" w:rsidRPr="0043547B" w:rsidTr="00E2255F">
        <w:trPr>
          <w:trHeight w:val="450"/>
        </w:trPr>
        <w:tc>
          <w:tcPr>
            <w:cnfStyle w:val="001000000000" w:firstRow="0" w:lastRow="0" w:firstColumn="1" w:lastColumn="0" w:oddVBand="0" w:evenVBand="0" w:oddHBand="0" w:evenHBand="0" w:firstRowFirstColumn="0" w:firstRowLastColumn="0" w:lastRowFirstColumn="0" w:lastRowLastColumn="0"/>
            <w:tcW w:w="4644" w:type="dxa"/>
          </w:tcPr>
          <w:p w:rsidR="00475E87" w:rsidRPr="0043547B" w:rsidRDefault="00475E87" w:rsidP="00475E87">
            <w:pPr>
              <w:spacing w:after="240"/>
              <w:rPr>
                <w:rFonts w:eastAsia="Times New Roman" w:cs="Arial"/>
                <w:bCs w:val="0"/>
                <w:sz w:val="24"/>
                <w:szCs w:val="24"/>
                <w:lang w:eastAsia="fr-FR"/>
              </w:rPr>
            </w:pPr>
            <w:r w:rsidRPr="0043547B">
              <w:rPr>
                <w:rFonts w:eastAsia="Times New Roman" w:cs="Arial"/>
                <w:bCs w:val="0"/>
                <w:sz w:val="24"/>
                <w:szCs w:val="24"/>
                <w:lang w:eastAsia="fr-FR"/>
              </w:rPr>
              <w:t>Portes en bois</w:t>
            </w:r>
          </w:p>
        </w:tc>
        <w:tc>
          <w:tcPr>
            <w:tcW w:w="4536" w:type="dxa"/>
          </w:tcPr>
          <w:p w:rsidR="00475E87" w:rsidRPr="0043547B" w:rsidRDefault="00475E87" w:rsidP="00475E87">
            <w:pPr>
              <w:spacing w:after="240"/>
              <w:jc w:val="center"/>
              <w:cnfStyle w:val="000000000000" w:firstRow="0" w:lastRow="0" w:firstColumn="0" w:lastColumn="0" w:oddVBand="0" w:evenVBand="0" w:oddHBand="0" w:evenHBand="0" w:firstRowFirstColumn="0" w:firstRowLastColumn="0" w:lastRowFirstColumn="0" w:lastRowLastColumn="0"/>
              <w:rPr>
                <w:rFonts w:eastAsia="Times New Roman" w:cs="Arial"/>
                <w:bCs/>
                <w:sz w:val="24"/>
                <w:szCs w:val="24"/>
                <w:lang w:eastAsia="fr-FR"/>
              </w:rPr>
            </w:pPr>
            <w:r w:rsidRPr="0043547B">
              <w:rPr>
                <w:rFonts w:eastAsia="Times New Roman" w:cs="Arial"/>
                <w:bCs/>
                <w:sz w:val="24"/>
                <w:szCs w:val="24"/>
                <w:lang w:eastAsia="fr-FR"/>
              </w:rPr>
              <w:t>NM 01.8.353</w:t>
            </w:r>
          </w:p>
        </w:tc>
      </w:tr>
    </w:tbl>
    <w:p w:rsidR="00475E87" w:rsidRPr="0043547B" w:rsidRDefault="00475E87" w:rsidP="00B37818">
      <w:pPr>
        <w:pStyle w:val="NormalWeb"/>
        <w:shd w:val="clear" w:color="auto" w:fill="FFFFFF"/>
        <w:spacing w:before="0" w:beforeAutospacing="0" w:after="77" w:afterAutospacing="0" w:line="360" w:lineRule="auto"/>
        <w:jc w:val="both"/>
        <w:rPr>
          <w:rFonts w:asciiTheme="minorHAnsi" w:hAnsiTheme="minorHAnsi"/>
        </w:rPr>
      </w:pPr>
    </w:p>
    <w:p w:rsidR="00B109A8" w:rsidRPr="0043547B" w:rsidRDefault="004D7573" w:rsidP="00B37818">
      <w:pPr>
        <w:pStyle w:val="NormalWeb"/>
        <w:shd w:val="clear" w:color="auto" w:fill="FFFFFF"/>
        <w:spacing w:before="0" w:beforeAutospacing="0" w:after="77" w:afterAutospacing="0" w:line="360" w:lineRule="auto"/>
        <w:jc w:val="both"/>
        <w:rPr>
          <w:rFonts w:asciiTheme="minorHAnsi" w:hAnsiTheme="minorHAnsi"/>
        </w:rPr>
      </w:pPr>
      <w:r w:rsidRPr="0043547B">
        <w:rPr>
          <w:rFonts w:asciiTheme="minorHAnsi" w:hAnsiTheme="minorHAnsi"/>
        </w:rPr>
        <w:t>La</w:t>
      </w:r>
      <w:r w:rsidR="00B109A8" w:rsidRPr="0043547B">
        <w:rPr>
          <w:rFonts w:asciiTheme="minorHAnsi" w:hAnsiTheme="minorHAnsi"/>
        </w:rPr>
        <w:t xml:space="preserve"> marque de conformité aux normes marocaines constitue</w:t>
      </w:r>
      <w:r w:rsidRPr="0043547B">
        <w:rPr>
          <w:rFonts w:asciiTheme="minorHAnsi" w:hAnsiTheme="minorHAnsi"/>
        </w:rPr>
        <w:t>, conformément aux dispositions légales applicables,</w:t>
      </w:r>
      <w:r w:rsidR="00B109A8" w:rsidRPr="0043547B">
        <w:rPr>
          <w:rFonts w:asciiTheme="minorHAnsi" w:hAnsiTheme="minorHAnsi"/>
        </w:rPr>
        <w:t xml:space="preserve"> une preuve de conformité aux normes marocaines </w:t>
      </w:r>
      <w:r w:rsidR="00B37818" w:rsidRPr="0043547B">
        <w:rPr>
          <w:rFonts w:asciiTheme="minorHAnsi" w:hAnsiTheme="minorHAnsi"/>
        </w:rPr>
        <w:t xml:space="preserve">dans le cadre des marchés publics ou des normes </w:t>
      </w:r>
      <w:r w:rsidR="00B109A8" w:rsidRPr="0043547B">
        <w:rPr>
          <w:rFonts w:asciiTheme="minorHAnsi" w:hAnsiTheme="minorHAnsi"/>
        </w:rPr>
        <w:t>rendues d’application obligatoire par l’autorité gouvernementale compétente.</w:t>
      </w:r>
    </w:p>
    <w:p w:rsidR="004D7573" w:rsidRPr="0043547B" w:rsidRDefault="004D7573" w:rsidP="00B109A8">
      <w:pPr>
        <w:pStyle w:val="NormalWeb"/>
        <w:shd w:val="clear" w:color="auto" w:fill="FFFFFF"/>
        <w:spacing w:before="0" w:beforeAutospacing="0" w:after="77" w:afterAutospacing="0" w:line="360" w:lineRule="auto"/>
        <w:jc w:val="both"/>
        <w:rPr>
          <w:rFonts w:asciiTheme="minorHAnsi" w:hAnsiTheme="minorHAnsi"/>
        </w:rPr>
      </w:pPr>
    </w:p>
    <w:p w:rsidR="004D7573" w:rsidRPr="0043547B" w:rsidRDefault="004D7573" w:rsidP="00B109A8">
      <w:pPr>
        <w:pStyle w:val="NormalWeb"/>
        <w:shd w:val="clear" w:color="auto" w:fill="FFFFFF"/>
        <w:spacing w:before="0" w:beforeAutospacing="0" w:after="77" w:afterAutospacing="0" w:line="360" w:lineRule="auto"/>
        <w:jc w:val="both"/>
        <w:rPr>
          <w:rFonts w:asciiTheme="minorHAnsi" w:hAnsiTheme="minorHAnsi"/>
        </w:rPr>
      </w:pPr>
    </w:p>
    <w:p w:rsidR="004D7573" w:rsidRPr="0043547B" w:rsidRDefault="004D7573" w:rsidP="00B109A8">
      <w:pPr>
        <w:pStyle w:val="NormalWeb"/>
        <w:shd w:val="clear" w:color="auto" w:fill="FFFFFF"/>
        <w:spacing w:before="0" w:beforeAutospacing="0" w:after="77" w:afterAutospacing="0" w:line="360" w:lineRule="auto"/>
        <w:jc w:val="both"/>
        <w:rPr>
          <w:rFonts w:asciiTheme="minorHAnsi" w:hAnsiTheme="minorHAnsi"/>
        </w:rPr>
      </w:pPr>
    </w:p>
    <w:p w:rsidR="00B109A8" w:rsidRPr="0043547B" w:rsidRDefault="00B109A8" w:rsidP="00B905D3">
      <w:pPr>
        <w:pStyle w:val="Titre3"/>
        <w:numPr>
          <w:ilvl w:val="1"/>
          <w:numId w:val="2"/>
        </w:numPr>
        <w:rPr>
          <w:rFonts w:asciiTheme="minorHAnsi" w:hAnsiTheme="minorHAnsi"/>
          <w:sz w:val="24"/>
          <w:szCs w:val="24"/>
          <w:u w:val="single"/>
        </w:rPr>
      </w:pPr>
      <w:bookmarkStart w:id="9" w:name="_Toc458606066"/>
      <w:r w:rsidRPr="0043547B">
        <w:rPr>
          <w:rFonts w:asciiTheme="minorHAnsi" w:hAnsiTheme="minorHAnsi"/>
          <w:sz w:val="24"/>
          <w:szCs w:val="24"/>
          <w:u w:val="single"/>
        </w:rPr>
        <w:lastRenderedPageBreak/>
        <w:t>Processus de formation</w:t>
      </w:r>
      <w:bookmarkEnd w:id="9"/>
    </w:p>
    <w:p w:rsidR="00B109A8" w:rsidRPr="0043547B" w:rsidRDefault="00B109A8" w:rsidP="00B109A8">
      <w:pPr>
        <w:pStyle w:val="NormalWeb"/>
        <w:shd w:val="clear" w:color="auto" w:fill="FFFFFF"/>
        <w:spacing w:before="0" w:beforeAutospacing="0" w:after="77" w:afterAutospacing="0" w:line="360" w:lineRule="auto"/>
        <w:jc w:val="both"/>
        <w:rPr>
          <w:rFonts w:asciiTheme="minorHAnsi" w:hAnsiTheme="minorHAnsi"/>
        </w:rPr>
      </w:pPr>
      <w:r w:rsidRPr="0043547B">
        <w:rPr>
          <w:rFonts w:asciiTheme="minorHAnsi" w:hAnsiTheme="minorHAnsi"/>
        </w:rPr>
        <w:t>L’IMANOR est disposé à offrir aux entreprises et organismes marocains des formations adaptées à leurs besoins afin de les aider à comprendre et à s’approprier les normes et les référentiels nécessaires pour renforcer leur compétitivité et améliorer leur performance. L’IMANOR offre à ses partenaires des formations variées et modulables animées par des experts de haut niveau et selon les formes suivantes :</w:t>
      </w:r>
    </w:p>
    <w:p w:rsidR="00B109A8" w:rsidRPr="0043547B" w:rsidRDefault="00B109A8" w:rsidP="00B905D3">
      <w:pPr>
        <w:pStyle w:val="NormalWeb"/>
        <w:numPr>
          <w:ilvl w:val="0"/>
          <w:numId w:val="4"/>
        </w:numPr>
        <w:shd w:val="clear" w:color="auto" w:fill="FFFFFF"/>
        <w:spacing w:before="0" w:beforeAutospacing="0" w:after="77" w:afterAutospacing="0" w:line="360" w:lineRule="auto"/>
        <w:jc w:val="both"/>
        <w:rPr>
          <w:rFonts w:asciiTheme="minorHAnsi" w:hAnsiTheme="minorHAnsi"/>
        </w:rPr>
      </w:pPr>
      <w:r w:rsidRPr="0043547B">
        <w:rPr>
          <w:rFonts w:asciiTheme="minorHAnsi" w:hAnsiTheme="minorHAnsi"/>
        </w:rPr>
        <w:t xml:space="preserve">Formation </w:t>
      </w:r>
      <w:r w:rsidR="00F95802" w:rsidRPr="0043547B">
        <w:rPr>
          <w:rFonts w:asciiTheme="minorHAnsi" w:hAnsiTheme="minorHAnsi"/>
        </w:rPr>
        <w:t>inter-entreprises</w:t>
      </w:r>
      <w:r w:rsidRPr="0043547B">
        <w:rPr>
          <w:rFonts w:asciiTheme="minorHAnsi" w:hAnsiTheme="minorHAnsi"/>
        </w:rPr>
        <w:t> : le temps alloué à cette formation peut durer de un à cinq jours. Elle se déroule au siège de l’IMANOR et les participants sont issus de plusieurs entreprises ou organismes.</w:t>
      </w:r>
    </w:p>
    <w:p w:rsidR="00B109A8" w:rsidRPr="0043547B" w:rsidRDefault="00B109A8" w:rsidP="00B905D3">
      <w:pPr>
        <w:pStyle w:val="NormalWeb"/>
        <w:numPr>
          <w:ilvl w:val="0"/>
          <w:numId w:val="4"/>
        </w:numPr>
        <w:shd w:val="clear" w:color="auto" w:fill="FFFFFF"/>
        <w:spacing w:before="0" w:beforeAutospacing="0" w:after="77" w:afterAutospacing="0" w:line="360" w:lineRule="auto"/>
        <w:jc w:val="both"/>
        <w:rPr>
          <w:rFonts w:asciiTheme="minorHAnsi" w:hAnsiTheme="minorHAnsi"/>
        </w:rPr>
      </w:pPr>
      <w:r w:rsidRPr="0043547B">
        <w:rPr>
          <w:rFonts w:asciiTheme="minorHAnsi" w:hAnsiTheme="minorHAnsi"/>
        </w:rPr>
        <w:t>Formation intra entreprise : est une formation dédiée à un seul client. La session de formation lui appartient. Ce module de formation se déroule la plupart du temps dans les locaux du client.</w:t>
      </w:r>
    </w:p>
    <w:p w:rsidR="00B109A8" w:rsidRPr="0043547B" w:rsidRDefault="00B109A8" w:rsidP="00B905D3">
      <w:pPr>
        <w:pStyle w:val="NormalWeb"/>
        <w:numPr>
          <w:ilvl w:val="0"/>
          <w:numId w:val="4"/>
        </w:numPr>
        <w:shd w:val="clear" w:color="auto" w:fill="FFFFFF"/>
        <w:spacing w:before="0" w:beforeAutospacing="0" w:after="77" w:afterAutospacing="0" w:line="360" w:lineRule="auto"/>
        <w:jc w:val="both"/>
        <w:rPr>
          <w:rFonts w:asciiTheme="minorHAnsi" w:hAnsiTheme="minorHAnsi"/>
        </w:rPr>
      </w:pPr>
      <w:r w:rsidRPr="0043547B">
        <w:rPr>
          <w:rFonts w:asciiTheme="minorHAnsi" w:hAnsiTheme="minorHAnsi"/>
        </w:rPr>
        <w:t xml:space="preserve">Séminaires : permet de créer de véritables instants de partage et d’échange d’expériences et de </w:t>
      </w:r>
      <w:r w:rsidR="00075238" w:rsidRPr="0043547B">
        <w:rPr>
          <w:rFonts w:asciiTheme="minorHAnsi" w:hAnsiTheme="minorHAnsi"/>
        </w:rPr>
        <w:t>savoir-faire</w:t>
      </w:r>
      <w:r w:rsidRPr="0043547B">
        <w:rPr>
          <w:rFonts w:asciiTheme="minorHAnsi" w:hAnsiTheme="minorHAnsi"/>
        </w:rPr>
        <w:t xml:space="preserve"> autour de normes, de référentiels techniques, de réglementations, de certification ou tout autre thème associé pouvant intéresser nos partenaires. </w:t>
      </w:r>
    </w:p>
    <w:p w:rsidR="00B109A8" w:rsidRPr="0043547B" w:rsidRDefault="00B109A8" w:rsidP="00B905D3">
      <w:pPr>
        <w:pStyle w:val="Titre3"/>
        <w:numPr>
          <w:ilvl w:val="1"/>
          <w:numId w:val="2"/>
        </w:numPr>
        <w:rPr>
          <w:rFonts w:asciiTheme="minorHAnsi" w:hAnsiTheme="minorHAnsi"/>
          <w:sz w:val="24"/>
          <w:szCs w:val="24"/>
          <w:u w:val="single"/>
        </w:rPr>
      </w:pPr>
      <w:bookmarkStart w:id="10" w:name="_Toc458606067"/>
      <w:r w:rsidRPr="0043547B">
        <w:rPr>
          <w:rFonts w:asciiTheme="minorHAnsi" w:hAnsiTheme="minorHAnsi"/>
          <w:sz w:val="24"/>
          <w:szCs w:val="24"/>
          <w:u w:val="single"/>
        </w:rPr>
        <w:t>Processus d’acquisition des normes</w:t>
      </w:r>
      <w:bookmarkEnd w:id="10"/>
    </w:p>
    <w:p w:rsidR="00B109A8" w:rsidRPr="0043547B" w:rsidRDefault="00B109A8" w:rsidP="00B109A8">
      <w:pPr>
        <w:pStyle w:val="Paragraphedeliste"/>
        <w:spacing w:line="360" w:lineRule="auto"/>
        <w:ind w:left="0"/>
        <w:jc w:val="both"/>
        <w:rPr>
          <w:rFonts w:eastAsia="Times New Roman" w:cs="Times New Roman"/>
          <w:sz w:val="24"/>
          <w:szCs w:val="24"/>
          <w:lang w:eastAsia="fr-FR"/>
        </w:rPr>
      </w:pPr>
      <w:r w:rsidRPr="0043547B">
        <w:rPr>
          <w:rFonts w:eastAsia="Times New Roman" w:cs="Times New Roman"/>
          <w:sz w:val="24"/>
          <w:szCs w:val="24"/>
          <w:lang w:eastAsia="fr-FR"/>
        </w:rPr>
        <w:t xml:space="preserve">L’institut marocain de normalisation (IMANOR) met à la disposition de ses partenaires des collections variées des normes nationales, régionales et </w:t>
      </w:r>
      <w:r w:rsidR="00F95802" w:rsidRPr="0043547B">
        <w:rPr>
          <w:rFonts w:eastAsia="Times New Roman" w:cs="Times New Roman"/>
          <w:sz w:val="24"/>
          <w:szCs w:val="24"/>
          <w:lang w:eastAsia="fr-FR"/>
        </w:rPr>
        <w:t>internationale</w:t>
      </w:r>
      <w:r w:rsidRPr="0043547B">
        <w:rPr>
          <w:rFonts w:eastAsia="Times New Roman" w:cs="Times New Roman"/>
          <w:sz w:val="24"/>
          <w:szCs w:val="24"/>
          <w:lang w:eastAsia="fr-FR"/>
        </w:rPr>
        <w:t>s. L’IMANOR donne aussi aux opérateurs l’accès à l’information normative et leur propose des systèmes de veille normative et réglementaire, adaptés à leurs besoins et répondant aux attentes de leurs clients.</w:t>
      </w:r>
    </w:p>
    <w:p w:rsidR="00B109A8" w:rsidRPr="0043547B" w:rsidRDefault="00B109A8" w:rsidP="00D52489">
      <w:pPr>
        <w:pStyle w:val="NormalWeb"/>
        <w:numPr>
          <w:ilvl w:val="2"/>
          <w:numId w:val="2"/>
        </w:numPr>
        <w:shd w:val="clear" w:color="auto" w:fill="FFFFFF"/>
        <w:spacing w:before="0" w:beforeAutospacing="0" w:after="77" w:afterAutospacing="0" w:line="360" w:lineRule="auto"/>
        <w:ind w:left="1418" w:hanging="579"/>
        <w:jc w:val="both"/>
        <w:rPr>
          <w:rFonts w:asciiTheme="minorHAnsi" w:hAnsiTheme="minorHAnsi"/>
          <w:b/>
          <w:bCs/>
          <w:sz w:val="22"/>
          <w:szCs w:val="22"/>
          <w:u w:val="single"/>
        </w:rPr>
      </w:pPr>
      <w:r w:rsidRPr="0043547B">
        <w:rPr>
          <w:rFonts w:asciiTheme="minorHAnsi" w:hAnsiTheme="minorHAnsi"/>
          <w:b/>
          <w:bCs/>
          <w:sz w:val="22"/>
          <w:szCs w:val="22"/>
          <w:u w:val="single"/>
        </w:rPr>
        <w:t>Acquisition des normes et documents normatifs marocains</w:t>
      </w:r>
    </w:p>
    <w:p w:rsidR="004D7573" w:rsidRPr="0043547B" w:rsidRDefault="00B109A8" w:rsidP="00B109A8">
      <w:pPr>
        <w:pStyle w:val="NormalWeb"/>
        <w:shd w:val="clear" w:color="auto" w:fill="FFFFFF"/>
        <w:spacing w:before="0" w:beforeAutospacing="0" w:after="77" w:afterAutospacing="0" w:line="360" w:lineRule="auto"/>
        <w:jc w:val="both"/>
        <w:rPr>
          <w:rFonts w:asciiTheme="minorHAnsi" w:hAnsiTheme="minorHAnsi"/>
        </w:rPr>
      </w:pPr>
      <w:r w:rsidRPr="0043547B">
        <w:rPr>
          <w:rFonts w:asciiTheme="minorHAnsi" w:hAnsiTheme="minorHAnsi"/>
        </w:rPr>
        <w:t xml:space="preserve">L’acquisition des normes et/ou documents normatifs marocains peut être effectuée par la </w:t>
      </w:r>
      <w:r w:rsidR="00C1648F" w:rsidRPr="0043547B">
        <w:rPr>
          <w:rFonts w:asciiTheme="minorHAnsi" w:hAnsiTheme="minorHAnsi"/>
        </w:rPr>
        <w:t>transmission d’un</w:t>
      </w:r>
      <w:r w:rsidRPr="0043547B">
        <w:rPr>
          <w:rFonts w:asciiTheme="minorHAnsi" w:hAnsiTheme="minorHAnsi"/>
        </w:rPr>
        <w:t xml:space="preserve"> bon de commande à l’IMANOR en précisant les références exactes des normes demandées, par courrier normal (poste, fax) ou par courrier électronique. Les normes et/ou documents normatifs marocains peuvent être également acquis sur place au niveau du point de vente de l’IMANOR.    </w:t>
      </w:r>
    </w:p>
    <w:p w:rsidR="00E47784" w:rsidRPr="0043547B" w:rsidRDefault="00B109A8" w:rsidP="00496A3D">
      <w:pPr>
        <w:pStyle w:val="NormalWeb"/>
        <w:shd w:val="clear" w:color="auto" w:fill="FFFFFF"/>
        <w:spacing w:before="0" w:beforeAutospacing="0" w:after="77" w:afterAutospacing="0" w:line="360" w:lineRule="auto"/>
        <w:jc w:val="both"/>
        <w:rPr>
          <w:rFonts w:asciiTheme="minorHAnsi" w:hAnsiTheme="minorHAnsi"/>
        </w:rPr>
      </w:pPr>
      <w:r w:rsidRPr="0043547B">
        <w:rPr>
          <w:rFonts w:asciiTheme="minorHAnsi" w:hAnsiTheme="minorHAnsi"/>
        </w:rPr>
        <w:t xml:space="preserve">                          </w:t>
      </w:r>
    </w:p>
    <w:p w:rsidR="00904E52" w:rsidRPr="0043547B" w:rsidRDefault="00904E52" w:rsidP="00B109A8">
      <w:pPr>
        <w:pStyle w:val="NormalWeb"/>
        <w:shd w:val="clear" w:color="auto" w:fill="FFFFFF"/>
        <w:spacing w:before="0" w:beforeAutospacing="0" w:after="77" w:afterAutospacing="0" w:line="360" w:lineRule="auto"/>
        <w:jc w:val="both"/>
        <w:rPr>
          <w:rFonts w:asciiTheme="minorHAnsi" w:hAnsiTheme="minorHAnsi"/>
        </w:rPr>
      </w:pPr>
    </w:p>
    <w:p w:rsidR="00904E52" w:rsidRPr="0043547B" w:rsidRDefault="00904E52" w:rsidP="00B109A8">
      <w:pPr>
        <w:pStyle w:val="NormalWeb"/>
        <w:shd w:val="clear" w:color="auto" w:fill="FFFFFF"/>
        <w:spacing w:before="0" w:beforeAutospacing="0" w:after="77" w:afterAutospacing="0" w:line="360" w:lineRule="auto"/>
        <w:jc w:val="both"/>
        <w:rPr>
          <w:rFonts w:asciiTheme="minorHAnsi" w:hAnsiTheme="minorHAnsi"/>
        </w:rPr>
      </w:pPr>
    </w:p>
    <w:p w:rsidR="00B109A8" w:rsidRPr="0043547B" w:rsidRDefault="00B109A8" w:rsidP="00B109A8">
      <w:pPr>
        <w:pStyle w:val="NormalWeb"/>
        <w:shd w:val="clear" w:color="auto" w:fill="FFFFFF"/>
        <w:spacing w:before="0" w:beforeAutospacing="0" w:after="77" w:afterAutospacing="0" w:line="360" w:lineRule="auto"/>
        <w:jc w:val="both"/>
        <w:rPr>
          <w:rFonts w:asciiTheme="minorHAnsi" w:hAnsiTheme="minorHAnsi"/>
          <w:sz w:val="14"/>
        </w:rPr>
      </w:pPr>
    </w:p>
    <w:p w:rsidR="00B109A8" w:rsidRPr="0043547B" w:rsidRDefault="00B109A8" w:rsidP="00D52489">
      <w:pPr>
        <w:pStyle w:val="NormalWeb"/>
        <w:numPr>
          <w:ilvl w:val="2"/>
          <w:numId w:val="2"/>
        </w:numPr>
        <w:shd w:val="clear" w:color="auto" w:fill="FFFFFF"/>
        <w:spacing w:before="0" w:beforeAutospacing="0" w:after="77" w:afterAutospacing="0" w:line="360" w:lineRule="auto"/>
        <w:ind w:left="1418" w:hanging="579"/>
        <w:jc w:val="both"/>
        <w:rPr>
          <w:rFonts w:asciiTheme="minorHAnsi" w:hAnsiTheme="minorHAnsi"/>
          <w:b/>
          <w:bCs/>
          <w:sz w:val="22"/>
          <w:szCs w:val="22"/>
          <w:u w:val="single"/>
        </w:rPr>
      </w:pPr>
      <w:r w:rsidRPr="0043547B">
        <w:rPr>
          <w:rFonts w:asciiTheme="minorHAnsi" w:hAnsiTheme="minorHAnsi"/>
          <w:b/>
          <w:bCs/>
          <w:sz w:val="22"/>
          <w:szCs w:val="22"/>
          <w:u w:val="single"/>
        </w:rPr>
        <w:lastRenderedPageBreak/>
        <w:t>Acquisition des normes et documents normatifs étrangers</w:t>
      </w:r>
    </w:p>
    <w:p w:rsidR="00B109A8" w:rsidRPr="0043547B" w:rsidRDefault="00B109A8" w:rsidP="000E7AA1">
      <w:pPr>
        <w:pStyle w:val="NormalWeb"/>
        <w:shd w:val="clear" w:color="auto" w:fill="FFFFFF"/>
        <w:spacing w:before="0" w:beforeAutospacing="0" w:after="77" w:afterAutospacing="0" w:line="360" w:lineRule="auto"/>
        <w:jc w:val="both"/>
        <w:rPr>
          <w:rFonts w:asciiTheme="minorHAnsi" w:hAnsiTheme="minorHAnsi"/>
        </w:rPr>
      </w:pPr>
      <w:r w:rsidRPr="0043547B">
        <w:rPr>
          <w:rFonts w:asciiTheme="minorHAnsi" w:hAnsiTheme="minorHAnsi"/>
        </w:rPr>
        <w:t xml:space="preserve">L’acquisition des référentiels </w:t>
      </w:r>
      <w:r w:rsidR="00B37818" w:rsidRPr="0043547B">
        <w:rPr>
          <w:rFonts w:asciiTheme="minorHAnsi" w:hAnsiTheme="minorHAnsi"/>
        </w:rPr>
        <w:t xml:space="preserve">internationaux, régionaux ou </w:t>
      </w:r>
      <w:r w:rsidRPr="0043547B">
        <w:rPr>
          <w:rFonts w:asciiTheme="minorHAnsi" w:hAnsiTheme="minorHAnsi"/>
        </w:rPr>
        <w:t>étrangers (</w:t>
      </w:r>
      <w:r w:rsidR="000E7AA1" w:rsidRPr="0043547B">
        <w:rPr>
          <w:rFonts w:asciiTheme="minorHAnsi" w:hAnsiTheme="minorHAnsi"/>
        </w:rPr>
        <w:t>ISO, CEI, ASTM, EN, NF, DIN</w:t>
      </w:r>
      <w:r w:rsidRPr="0043547B">
        <w:rPr>
          <w:rFonts w:asciiTheme="minorHAnsi" w:hAnsiTheme="minorHAnsi"/>
        </w:rPr>
        <w:t>,…) peut être effectuée auprès de l’IMANOR qui assure l’interface pour passer la commande auprès des organismes de normalisation concernés.</w:t>
      </w:r>
    </w:p>
    <w:p w:rsidR="00B109A8" w:rsidRPr="0043547B" w:rsidRDefault="004D7573" w:rsidP="00B109A8">
      <w:pPr>
        <w:pStyle w:val="Titre2"/>
        <w:spacing w:line="360" w:lineRule="auto"/>
        <w:rPr>
          <w:rFonts w:asciiTheme="minorHAnsi" w:eastAsia="Times New Roman" w:hAnsiTheme="minorHAnsi"/>
          <w:sz w:val="28"/>
          <w:szCs w:val="28"/>
          <w:lang w:eastAsia="fr-FR"/>
        </w:rPr>
      </w:pPr>
      <w:bookmarkStart w:id="11" w:name="_Toc458606068"/>
      <w:r w:rsidRPr="0043547B">
        <w:rPr>
          <w:rFonts w:asciiTheme="minorHAnsi" w:eastAsia="Times New Roman" w:hAnsiTheme="minorHAnsi"/>
          <w:sz w:val="28"/>
          <w:szCs w:val="28"/>
          <w:lang w:eastAsia="fr-FR"/>
        </w:rPr>
        <w:t>Objet</w:t>
      </w:r>
      <w:r w:rsidR="00B109A8" w:rsidRPr="0043547B">
        <w:rPr>
          <w:rFonts w:asciiTheme="minorHAnsi" w:eastAsia="Times New Roman" w:hAnsiTheme="minorHAnsi"/>
          <w:sz w:val="28"/>
          <w:szCs w:val="28"/>
          <w:lang w:eastAsia="fr-FR"/>
        </w:rPr>
        <w:t xml:space="preserve"> et portée du guide</w:t>
      </w:r>
      <w:bookmarkEnd w:id="11"/>
      <w:r w:rsidR="00B109A8" w:rsidRPr="0043547B">
        <w:rPr>
          <w:rFonts w:asciiTheme="minorHAnsi" w:eastAsia="Times New Roman" w:hAnsiTheme="minorHAnsi"/>
          <w:sz w:val="28"/>
          <w:szCs w:val="28"/>
          <w:lang w:eastAsia="fr-FR"/>
        </w:rPr>
        <w:t xml:space="preserve"> </w:t>
      </w:r>
    </w:p>
    <w:p w:rsidR="00B109A8" w:rsidRPr="0043547B" w:rsidRDefault="00B109A8" w:rsidP="00B109A8">
      <w:pPr>
        <w:autoSpaceDE w:val="0"/>
        <w:autoSpaceDN w:val="0"/>
        <w:adjustRightInd w:val="0"/>
        <w:spacing w:after="0" w:line="360" w:lineRule="auto"/>
        <w:jc w:val="both"/>
        <w:rPr>
          <w:rFonts w:eastAsia="Times New Roman" w:cs="Times New Roman"/>
          <w:sz w:val="24"/>
          <w:szCs w:val="24"/>
          <w:lang w:eastAsia="fr-FR"/>
        </w:rPr>
      </w:pPr>
      <w:r w:rsidRPr="0043547B">
        <w:rPr>
          <w:rFonts w:eastAsia="Times New Roman" w:cs="Times New Roman"/>
          <w:sz w:val="24"/>
          <w:szCs w:val="24"/>
          <w:lang w:eastAsia="fr-FR"/>
        </w:rPr>
        <w:t xml:space="preserve">Ce guide pratique regroupe l’ensemble de normes marocaines applicables aux principaux matériaux et produits fournis dans le cadre des marchés publics. Il est destiné à faciliter l’identification des normes nécessaires pour </w:t>
      </w:r>
      <w:r w:rsidR="00DA7E7C" w:rsidRPr="0043547B">
        <w:rPr>
          <w:rFonts w:eastAsia="Times New Roman" w:cs="Times New Roman"/>
          <w:sz w:val="24"/>
          <w:szCs w:val="24"/>
          <w:lang w:eastAsia="fr-FR"/>
        </w:rPr>
        <w:t>accomplir un achat public dans d</w:t>
      </w:r>
      <w:r w:rsidRPr="0043547B">
        <w:rPr>
          <w:rFonts w:eastAsia="Times New Roman" w:cs="Times New Roman"/>
          <w:sz w:val="24"/>
          <w:szCs w:val="24"/>
          <w:lang w:eastAsia="fr-FR"/>
        </w:rPr>
        <w:t xml:space="preserve">es conditions optimales du coût et de qualité. Il présente pour chaque norme concernée le domaine d’application afin de cerner et maitriser les normes applicables lors d’élaboration des cahiers de prescriptions techniques relatifs aux achats publics. </w:t>
      </w:r>
    </w:p>
    <w:p w:rsidR="00DA7E7C" w:rsidRPr="0043547B" w:rsidRDefault="00B109A8" w:rsidP="00DA7E7C">
      <w:pPr>
        <w:spacing w:before="240" w:line="360" w:lineRule="auto"/>
        <w:jc w:val="both"/>
        <w:rPr>
          <w:rFonts w:eastAsia="Times New Roman" w:cs="Times New Roman"/>
          <w:sz w:val="24"/>
          <w:szCs w:val="24"/>
          <w:lang w:eastAsia="fr-FR"/>
        </w:rPr>
      </w:pPr>
      <w:r w:rsidRPr="0043547B">
        <w:rPr>
          <w:rFonts w:eastAsia="Times New Roman" w:cs="Times New Roman"/>
          <w:sz w:val="24"/>
          <w:szCs w:val="24"/>
          <w:lang w:eastAsia="fr-FR"/>
        </w:rPr>
        <w:t>Le présent guide fera l’objet de mises à jour régulières pour intégrer toute évolution règlementaire ou normative des références sur lesquels il s’appuie. Toutefois, l’IMANOR demeure à votre disposition pour vous fournir le soutien néces</w:t>
      </w:r>
      <w:r w:rsidR="00BE431D" w:rsidRPr="0043547B">
        <w:rPr>
          <w:rFonts w:eastAsia="Times New Roman" w:cs="Times New Roman"/>
          <w:sz w:val="24"/>
          <w:szCs w:val="24"/>
          <w:lang w:eastAsia="fr-FR"/>
        </w:rPr>
        <w:t>saire pour l’application de ce g</w:t>
      </w:r>
      <w:r w:rsidRPr="0043547B">
        <w:rPr>
          <w:rFonts w:eastAsia="Times New Roman" w:cs="Times New Roman"/>
          <w:sz w:val="24"/>
          <w:szCs w:val="24"/>
          <w:lang w:eastAsia="fr-FR"/>
        </w:rPr>
        <w:t>uide dans de meilleure</w:t>
      </w:r>
      <w:r w:rsidR="00BE431D" w:rsidRPr="0043547B">
        <w:rPr>
          <w:rFonts w:eastAsia="Times New Roman" w:cs="Times New Roman"/>
          <w:sz w:val="24"/>
          <w:szCs w:val="24"/>
          <w:lang w:eastAsia="fr-FR"/>
        </w:rPr>
        <w:t>s</w:t>
      </w:r>
      <w:r w:rsidRPr="0043547B">
        <w:rPr>
          <w:rFonts w:eastAsia="Times New Roman" w:cs="Times New Roman"/>
          <w:sz w:val="24"/>
          <w:szCs w:val="24"/>
          <w:lang w:eastAsia="fr-FR"/>
        </w:rPr>
        <w:t xml:space="preserve"> condition</w:t>
      </w:r>
      <w:r w:rsidR="00BE431D" w:rsidRPr="0043547B">
        <w:rPr>
          <w:rFonts w:eastAsia="Times New Roman" w:cs="Times New Roman"/>
          <w:sz w:val="24"/>
          <w:szCs w:val="24"/>
          <w:lang w:eastAsia="fr-FR"/>
        </w:rPr>
        <w:t>s</w:t>
      </w:r>
      <w:r w:rsidRPr="0043547B">
        <w:rPr>
          <w:rFonts w:eastAsia="Times New Roman" w:cs="Times New Roman"/>
          <w:sz w:val="24"/>
          <w:szCs w:val="24"/>
          <w:lang w:eastAsia="fr-FR"/>
        </w:rPr>
        <w:t>.</w:t>
      </w:r>
      <w:r w:rsidR="00DA7E7C" w:rsidRPr="0043547B">
        <w:rPr>
          <w:rFonts w:eastAsia="Times New Roman" w:cs="Times New Roman"/>
          <w:sz w:val="24"/>
          <w:szCs w:val="24"/>
          <w:lang w:eastAsia="fr-FR"/>
        </w:rPr>
        <w:t xml:space="preserve"> </w:t>
      </w:r>
    </w:p>
    <w:p w:rsidR="00DA7E7C" w:rsidRPr="0043547B" w:rsidRDefault="00DA7E7C" w:rsidP="00127535">
      <w:pPr>
        <w:spacing w:line="360" w:lineRule="auto"/>
        <w:jc w:val="both"/>
        <w:rPr>
          <w:rFonts w:eastAsia="Times New Roman" w:cs="Times New Roman"/>
          <w:sz w:val="24"/>
          <w:szCs w:val="24"/>
          <w:lang w:eastAsia="fr-FR"/>
        </w:rPr>
      </w:pPr>
      <w:r w:rsidRPr="0043547B">
        <w:rPr>
          <w:rFonts w:eastAsia="Times New Roman" w:cs="Times New Roman"/>
          <w:sz w:val="24"/>
          <w:szCs w:val="24"/>
          <w:lang w:eastAsia="fr-FR"/>
        </w:rPr>
        <w:t>Le texte intégral des normes contenu</w:t>
      </w:r>
      <w:r w:rsidR="004D7573" w:rsidRPr="0043547B">
        <w:rPr>
          <w:rFonts w:eastAsia="Times New Roman" w:cs="Times New Roman"/>
          <w:sz w:val="24"/>
          <w:szCs w:val="24"/>
          <w:lang w:eastAsia="fr-FR"/>
        </w:rPr>
        <w:t>es</w:t>
      </w:r>
      <w:r w:rsidRPr="0043547B">
        <w:rPr>
          <w:rFonts w:eastAsia="Times New Roman" w:cs="Times New Roman"/>
          <w:sz w:val="24"/>
          <w:szCs w:val="24"/>
          <w:lang w:eastAsia="fr-FR"/>
        </w:rPr>
        <w:t xml:space="preserve"> dans le présent guide peut être obtenu auprès de l’IMANOR selon les procédures applicables pour la vente et la diffusion des normes marocaines (voir paragraphe 1.4).</w:t>
      </w:r>
    </w:p>
    <w:p w:rsidR="006339AD" w:rsidRPr="0043547B" w:rsidRDefault="006339AD" w:rsidP="0052414E">
      <w:pPr>
        <w:pStyle w:val="Titre2"/>
        <w:rPr>
          <w:rFonts w:asciiTheme="minorHAnsi" w:eastAsia="Times New Roman" w:hAnsiTheme="minorHAnsi"/>
          <w:sz w:val="28"/>
          <w:szCs w:val="28"/>
          <w:lang w:eastAsia="fr-FR"/>
        </w:rPr>
      </w:pPr>
      <w:bookmarkStart w:id="12" w:name="_Toc458606069"/>
      <w:r w:rsidRPr="0043547B">
        <w:rPr>
          <w:rFonts w:asciiTheme="minorHAnsi" w:eastAsia="Times New Roman" w:hAnsiTheme="minorHAnsi"/>
          <w:sz w:val="28"/>
          <w:szCs w:val="28"/>
          <w:lang w:eastAsia="fr-FR"/>
        </w:rPr>
        <w:t xml:space="preserve">Cadre juridique </w:t>
      </w:r>
      <w:r w:rsidR="00E92DC4" w:rsidRPr="0043547B">
        <w:rPr>
          <w:rFonts w:asciiTheme="minorHAnsi" w:eastAsia="Times New Roman" w:hAnsiTheme="minorHAnsi"/>
          <w:sz w:val="28"/>
          <w:szCs w:val="28"/>
          <w:lang w:eastAsia="fr-FR"/>
        </w:rPr>
        <w:t>de l’application des normes dans l</w:t>
      </w:r>
      <w:r w:rsidRPr="0043547B">
        <w:rPr>
          <w:rFonts w:asciiTheme="minorHAnsi" w:eastAsia="Times New Roman" w:hAnsiTheme="minorHAnsi"/>
          <w:sz w:val="28"/>
          <w:szCs w:val="28"/>
          <w:lang w:eastAsia="fr-FR"/>
        </w:rPr>
        <w:t>es marchés publics</w:t>
      </w:r>
      <w:bookmarkEnd w:id="12"/>
    </w:p>
    <w:p w:rsidR="006339AD" w:rsidRPr="0043547B" w:rsidRDefault="006339AD" w:rsidP="004D7573">
      <w:pPr>
        <w:spacing w:before="240" w:after="0" w:line="360" w:lineRule="auto"/>
        <w:jc w:val="both"/>
        <w:rPr>
          <w:rFonts w:eastAsia="Times New Roman" w:cs="Times New Roman"/>
          <w:sz w:val="24"/>
          <w:szCs w:val="24"/>
          <w:lang w:eastAsia="fr-FR"/>
        </w:rPr>
      </w:pPr>
      <w:r w:rsidRPr="0043547B">
        <w:rPr>
          <w:rFonts w:eastAsia="Times New Roman" w:cs="Times New Roman"/>
          <w:sz w:val="24"/>
          <w:szCs w:val="24"/>
          <w:lang w:eastAsia="fr-FR"/>
        </w:rPr>
        <w:t>-</w:t>
      </w:r>
      <w:r w:rsidRPr="0043547B">
        <w:rPr>
          <w:rFonts w:eastAsia="Times New Roman" w:cs="Times New Roman"/>
          <w:sz w:val="24"/>
          <w:szCs w:val="24"/>
          <w:lang w:eastAsia="fr-FR"/>
        </w:rPr>
        <w:tab/>
      </w:r>
      <w:r w:rsidRPr="0043547B">
        <w:rPr>
          <w:rFonts w:eastAsia="Times New Roman" w:cs="Times New Roman"/>
          <w:b/>
          <w:sz w:val="24"/>
          <w:szCs w:val="24"/>
          <w:lang w:eastAsia="fr-FR"/>
        </w:rPr>
        <w:t>Loi n° 12-06 du 11 Février 2010 relative à la normalisation, à la certification et à l’accréditation :</w:t>
      </w:r>
    </w:p>
    <w:p w:rsidR="006339AD" w:rsidRPr="0043547B" w:rsidRDefault="006339AD" w:rsidP="004D7573">
      <w:pPr>
        <w:spacing w:after="0" w:line="360" w:lineRule="auto"/>
        <w:jc w:val="both"/>
        <w:rPr>
          <w:rFonts w:eastAsia="Times New Roman" w:cs="Times New Roman"/>
          <w:sz w:val="24"/>
          <w:szCs w:val="24"/>
          <w:lang w:eastAsia="fr-FR"/>
        </w:rPr>
      </w:pPr>
      <w:r w:rsidRPr="0043547B">
        <w:rPr>
          <w:rFonts w:eastAsia="Times New Roman" w:cs="Times New Roman"/>
          <w:sz w:val="24"/>
          <w:szCs w:val="24"/>
          <w:lang w:eastAsia="fr-FR"/>
        </w:rPr>
        <w:t xml:space="preserve">« </w:t>
      </w:r>
      <w:r w:rsidRPr="0043547B">
        <w:rPr>
          <w:rFonts w:eastAsia="Times New Roman" w:cs="Times New Roman"/>
          <w:b/>
          <w:sz w:val="24"/>
          <w:szCs w:val="24"/>
          <w:lang w:eastAsia="fr-FR"/>
        </w:rPr>
        <w:t>Article 35</w:t>
      </w:r>
      <w:r w:rsidRPr="0043547B">
        <w:rPr>
          <w:rFonts w:eastAsia="Times New Roman" w:cs="Times New Roman"/>
          <w:sz w:val="24"/>
          <w:szCs w:val="24"/>
          <w:lang w:eastAsia="fr-FR"/>
        </w:rPr>
        <w:t xml:space="preserve"> : ...l’introduction ou la mention explicite de l’application des normes marocaines ou autres normes applicables au Maroc en vertu d’accords internationaux, est obligatoire dans les clauses, spécifications et cahiers des charges des marchés passés par l’Etat, les collectivités locales, les établissements publics, les entreprises publiques ainsi que les entreprises délégataires de gestion d’un service public ou subventionnées par l’Etat. »</w:t>
      </w:r>
    </w:p>
    <w:p w:rsidR="006339AD" w:rsidRPr="0043547B" w:rsidRDefault="006339AD" w:rsidP="004D7573">
      <w:pPr>
        <w:spacing w:after="0" w:line="360" w:lineRule="auto"/>
        <w:jc w:val="both"/>
        <w:rPr>
          <w:rFonts w:eastAsia="Times New Roman" w:cs="Times New Roman"/>
          <w:sz w:val="24"/>
          <w:szCs w:val="24"/>
          <w:lang w:eastAsia="fr-FR"/>
        </w:rPr>
      </w:pPr>
      <w:r w:rsidRPr="0043547B">
        <w:rPr>
          <w:rFonts w:eastAsia="Times New Roman" w:cs="Times New Roman"/>
          <w:sz w:val="24"/>
          <w:szCs w:val="24"/>
          <w:lang w:eastAsia="fr-FR"/>
        </w:rPr>
        <w:t xml:space="preserve">« </w:t>
      </w:r>
      <w:r w:rsidRPr="0043547B">
        <w:rPr>
          <w:rFonts w:eastAsia="Times New Roman" w:cs="Times New Roman"/>
          <w:b/>
          <w:sz w:val="24"/>
          <w:szCs w:val="24"/>
          <w:lang w:eastAsia="fr-FR"/>
        </w:rPr>
        <w:t>Article 36</w:t>
      </w:r>
      <w:r w:rsidRPr="0043547B">
        <w:rPr>
          <w:rFonts w:eastAsia="Times New Roman" w:cs="Times New Roman"/>
          <w:sz w:val="24"/>
          <w:szCs w:val="24"/>
          <w:lang w:eastAsia="fr-FR"/>
        </w:rPr>
        <w:t xml:space="preserve"> : Chaque département ministériel concerné veille à appliquer les dispositions de l’article 35 ci-dessus et à le faire appliquer par les organismes sous sa </w:t>
      </w:r>
      <w:r w:rsidR="00584E09" w:rsidRPr="0043547B">
        <w:rPr>
          <w:rFonts w:eastAsia="Times New Roman" w:cs="Times New Roman"/>
          <w:sz w:val="24"/>
          <w:szCs w:val="24"/>
          <w:lang w:eastAsia="fr-FR"/>
        </w:rPr>
        <w:t>tutelle visés</w:t>
      </w:r>
      <w:r w:rsidRPr="0043547B">
        <w:rPr>
          <w:rFonts w:eastAsia="Times New Roman" w:cs="Times New Roman"/>
          <w:sz w:val="24"/>
          <w:szCs w:val="24"/>
          <w:lang w:eastAsia="fr-FR"/>
        </w:rPr>
        <w:t xml:space="preserve"> dans le même article. Il peut également mandater à cet effet tout autre organisme habilité à assurer le contrôle de la qualité. »</w:t>
      </w:r>
    </w:p>
    <w:p w:rsidR="00F97932" w:rsidRPr="0043547B" w:rsidRDefault="00F97932" w:rsidP="004D7573">
      <w:pPr>
        <w:spacing w:after="0" w:line="360" w:lineRule="auto"/>
        <w:jc w:val="both"/>
        <w:rPr>
          <w:rFonts w:eastAsia="Times New Roman" w:cs="Times New Roman"/>
          <w:sz w:val="24"/>
          <w:szCs w:val="24"/>
          <w:lang w:eastAsia="fr-FR"/>
        </w:rPr>
      </w:pPr>
    </w:p>
    <w:p w:rsidR="006339AD" w:rsidRPr="0043547B" w:rsidRDefault="006339AD" w:rsidP="004D7573">
      <w:pPr>
        <w:spacing w:before="240" w:after="0" w:line="360" w:lineRule="auto"/>
        <w:jc w:val="both"/>
        <w:rPr>
          <w:rFonts w:eastAsia="Times New Roman" w:cs="Times New Roman"/>
          <w:sz w:val="24"/>
          <w:szCs w:val="24"/>
          <w:lang w:eastAsia="fr-FR"/>
        </w:rPr>
      </w:pPr>
      <w:r w:rsidRPr="0043547B">
        <w:rPr>
          <w:rFonts w:eastAsia="Times New Roman" w:cs="Times New Roman"/>
          <w:sz w:val="24"/>
          <w:szCs w:val="24"/>
          <w:lang w:eastAsia="fr-FR"/>
        </w:rPr>
        <w:lastRenderedPageBreak/>
        <w:t>-</w:t>
      </w:r>
      <w:r w:rsidRPr="0043547B">
        <w:rPr>
          <w:rFonts w:eastAsia="Times New Roman" w:cs="Times New Roman"/>
          <w:sz w:val="24"/>
          <w:szCs w:val="24"/>
          <w:lang w:eastAsia="fr-FR"/>
        </w:rPr>
        <w:tab/>
      </w:r>
      <w:r w:rsidRPr="0043547B">
        <w:rPr>
          <w:rFonts w:eastAsia="Times New Roman" w:cs="Times New Roman"/>
          <w:b/>
          <w:sz w:val="24"/>
          <w:szCs w:val="24"/>
          <w:lang w:eastAsia="fr-FR"/>
        </w:rPr>
        <w:t>Décret n° 2-12-349 du 20 Mars 2013 relatif aux marchés publics :</w:t>
      </w:r>
    </w:p>
    <w:p w:rsidR="006339AD" w:rsidRPr="0043547B" w:rsidRDefault="006339AD" w:rsidP="004D7573">
      <w:pPr>
        <w:spacing w:after="0" w:line="360" w:lineRule="auto"/>
        <w:jc w:val="both"/>
        <w:rPr>
          <w:rFonts w:eastAsia="Times New Roman" w:cs="Times New Roman"/>
          <w:sz w:val="24"/>
          <w:szCs w:val="24"/>
          <w:lang w:eastAsia="fr-FR"/>
        </w:rPr>
      </w:pPr>
      <w:r w:rsidRPr="0043547B">
        <w:rPr>
          <w:rFonts w:eastAsia="Times New Roman" w:cs="Times New Roman"/>
          <w:sz w:val="24"/>
          <w:szCs w:val="24"/>
          <w:lang w:eastAsia="fr-FR"/>
        </w:rPr>
        <w:t xml:space="preserve">« </w:t>
      </w:r>
      <w:r w:rsidRPr="0043547B">
        <w:rPr>
          <w:rFonts w:eastAsia="Times New Roman" w:cs="Times New Roman"/>
          <w:b/>
          <w:sz w:val="24"/>
          <w:szCs w:val="24"/>
          <w:lang w:eastAsia="fr-FR"/>
        </w:rPr>
        <w:t>Article 5</w:t>
      </w:r>
      <w:r w:rsidRPr="0043547B">
        <w:rPr>
          <w:rFonts w:eastAsia="Times New Roman" w:cs="Times New Roman"/>
          <w:sz w:val="24"/>
          <w:szCs w:val="24"/>
          <w:lang w:eastAsia="fr-FR"/>
        </w:rPr>
        <w:t xml:space="preserve"> : Le maitre </w:t>
      </w:r>
      <w:r w:rsidR="00584E09" w:rsidRPr="0043547B">
        <w:rPr>
          <w:rFonts w:eastAsia="Times New Roman" w:cs="Times New Roman"/>
          <w:sz w:val="24"/>
          <w:szCs w:val="24"/>
          <w:lang w:eastAsia="fr-FR"/>
        </w:rPr>
        <w:t>d’ouvrage est</w:t>
      </w:r>
      <w:r w:rsidRPr="0043547B">
        <w:rPr>
          <w:rFonts w:eastAsia="Times New Roman" w:cs="Times New Roman"/>
          <w:sz w:val="24"/>
          <w:szCs w:val="24"/>
          <w:lang w:eastAsia="fr-FR"/>
        </w:rPr>
        <w:t xml:space="preserve"> tenu, avant </w:t>
      </w:r>
      <w:r w:rsidR="00584E09" w:rsidRPr="0043547B">
        <w:rPr>
          <w:rFonts w:eastAsia="Times New Roman" w:cs="Times New Roman"/>
          <w:sz w:val="24"/>
          <w:szCs w:val="24"/>
          <w:lang w:eastAsia="fr-FR"/>
        </w:rPr>
        <w:t>tout appel</w:t>
      </w:r>
      <w:r w:rsidRPr="0043547B">
        <w:rPr>
          <w:rFonts w:eastAsia="Times New Roman" w:cs="Times New Roman"/>
          <w:sz w:val="24"/>
          <w:szCs w:val="24"/>
          <w:lang w:eastAsia="fr-FR"/>
        </w:rPr>
        <w:t xml:space="preserve"> à la concurrence ou toute négociation, de déterminer aussi exactement que possible les besoins à satisfaire, les spécifications techniques et la consistance des prestations.</w:t>
      </w:r>
    </w:p>
    <w:p w:rsidR="006339AD" w:rsidRPr="0043547B" w:rsidRDefault="006339AD" w:rsidP="004D7573">
      <w:pPr>
        <w:spacing w:after="0" w:line="360" w:lineRule="auto"/>
        <w:jc w:val="both"/>
        <w:rPr>
          <w:rFonts w:eastAsia="Times New Roman" w:cs="Times New Roman"/>
          <w:sz w:val="24"/>
          <w:szCs w:val="24"/>
          <w:lang w:eastAsia="fr-FR"/>
        </w:rPr>
      </w:pPr>
      <w:r w:rsidRPr="0043547B">
        <w:rPr>
          <w:rFonts w:eastAsia="Times New Roman" w:cs="Times New Roman"/>
          <w:sz w:val="24"/>
          <w:szCs w:val="24"/>
          <w:lang w:eastAsia="fr-FR"/>
        </w:rPr>
        <w:t xml:space="preserve">La détermination des besoins doit être définie par référence à des normes marocaines homologuées ou, à défaut, à des normes </w:t>
      </w:r>
      <w:r w:rsidR="00D93B0A" w:rsidRPr="0043547B">
        <w:rPr>
          <w:rFonts w:eastAsia="Times New Roman" w:cs="Times New Roman"/>
          <w:sz w:val="24"/>
          <w:szCs w:val="24"/>
          <w:lang w:eastAsia="fr-FR"/>
        </w:rPr>
        <w:t>internationale</w:t>
      </w:r>
      <w:r w:rsidRPr="0043547B">
        <w:rPr>
          <w:rFonts w:eastAsia="Times New Roman" w:cs="Times New Roman"/>
          <w:sz w:val="24"/>
          <w:szCs w:val="24"/>
          <w:lang w:eastAsia="fr-FR"/>
        </w:rPr>
        <w:t>s. »</w:t>
      </w:r>
    </w:p>
    <w:p w:rsidR="006339AD" w:rsidRPr="0043547B" w:rsidRDefault="006339AD" w:rsidP="000619A5">
      <w:pPr>
        <w:spacing w:before="240" w:after="0" w:line="360" w:lineRule="auto"/>
        <w:jc w:val="both"/>
        <w:rPr>
          <w:rFonts w:eastAsia="Times New Roman" w:cs="Times New Roman"/>
          <w:b/>
          <w:sz w:val="24"/>
          <w:szCs w:val="24"/>
          <w:lang w:eastAsia="fr-FR"/>
        </w:rPr>
      </w:pPr>
      <w:r w:rsidRPr="0043547B">
        <w:rPr>
          <w:rFonts w:eastAsia="Times New Roman" w:cs="Times New Roman"/>
          <w:sz w:val="24"/>
          <w:szCs w:val="24"/>
          <w:lang w:eastAsia="fr-FR"/>
        </w:rPr>
        <w:t>-</w:t>
      </w:r>
      <w:r w:rsidRPr="0043547B">
        <w:rPr>
          <w:rFonts w:eastAsia="Times New Roman" w:cs="Times New Roman"/>
          <w:sz w:val="24"/>
          <w:szCs w:val="24"/>
          <w:lang w:eastAsia="fr-FR"/>
        </w:rPr>
        <w:tab/>
      </w:r>
      <w:r w:rsidR="000619A5" w:rsidRPr="0043547B">
        <w:rPr>
          <w:rFonts w:eastAsia="Times New Roman" w:cs="Times New Roman"/>
          <w:b/>
          <w:sz w:val="24"/>
          <w:szCs w:val="24"/>
          <w:lang w:eastAsia="fr-FR"/>
        </w:rPr>
        <w:t>Décret n° 2-16-34 du 13 Mai 2016 approuvant le cahier des clauses administratives générales applicables aux marchés de travaux exécutés pour le compte de l’Etat publics</w:t>
      </w:r>
      <w:r w:rsidRPr="0043547B">
        <w:rPr>
          <w:rFonts w:eastAsia="Times New Roman" w:cs="Times New Roman"/>
          <w:b/>
          <w:sz w:val="24"/>
          <w:szCs w:val="24"/>
          <w:lang w:eastAsia="fr-FR"/>
        </w:rPr>
        <w:t xml:space="preserve"> :</w:t>
      </w:r>
    </w:p>
    <w:p w:rsidR="00904E52" w:rsidRPr="0043547B" w:rsidRDefault="000619A5" w:rsidP="0043547B">
      <w:pPr>
        <w:spacing w:line="360" w:lineRule="auto"/>
        <w:jc w:val="both"/>
        <w:rPr>
          <w:rFonts w:eastAsia="Times New Roman" w:cs="Times New Roman"/>
          <w:sz w:val="24"/>
          <w:szCs w:val="24"/>
          <w:lang w:eastAsia="fr-FR"/>
        </w:rPr>
      </w:pPr>
      <w:r w:rsidRPr="0043547B">
        <w:rPr>
          <w:rFonts w:eastAsia="Times New Roman" w:cs="Times New Roman"/>
          <w:sz w:val="24"/>
          <w:szCs w:val="24"/>
          <w:lang w:eastAsia="fr-FR"/>
        </w:rPr>
        <w:t>« Article 42 : Les matériaux et produits fournis doivent être conformes à des spécifications techniques ou à des normes marocaines homologuées, ou à défaut, aux normes internationales. »</w:t>
      </w:r>
      <w:r w:rsidR="00904E52" w:rsidRPr="0043547B">
        <w:rPr>
          <w:rFonts w:eastAsia="Times New Roman" w:cs="Times New Roman"/>
          <w:sz w:val="24"/>
          <w:szCs w:val="24"/>
          <w:lang w:eastAsia="fr-FR"/>
        </w:rPr>
        <w:br w:type="page"/>
      </w:r>
    </w:p>
    <w:p w:rsidR="00904E52" w:rsidRPr="0043547B" w:rsidRDefault="00904E52" w:rsidP="00904E52">
      <w:pPr>
        <w:pStyle w:val="Titre2"/>
        <w:tabs>
          <w:tab w:val="left" w:pos="284"/>
        </w:tabs>
        <w:spacing w:line="360" w:lineRule="auto"/>
        <w:ind w:left="0" w:hanging="11"/>
        <w:rPr>
          <w:rFonts w:asciiTheme="minorHAnsi" w:eastAsia="Times New Roman" w:hAnsiTheme="minorHAnsi" w:cstheme="minorHAnsi"/>
          <w:sz w:val="24"/>
          <w:szCs w:val="24"/>
          <w:lang w:eastAsia="fr-FR"/>
        </w:rPr>
      </w:pPr>
      <w:bookmarkStart w:id="13" w:name="_Toc458606070"/>
      <w:r w:rsidRPr="0043547B">
        <w:rPr>
          <w:rFonts w:asciiTheme="minorHAnsi" w:eastAsia="Times New Roman" w:hAnsiTheme="minorHAnsi" w:cstheme="minorHAnsi"/>
          <w:sz w:val="24"/>
          <w:szCs w:val="24"/>
          <w:lang w:eastAsia="fr-FR"/>
        </w:rPr>
        <w:lastRenderedPageBreak/>
        <w:t>Listes et domaines d’applications des normes par produits et matériaux</w:t>
      </w:r>
      <w:bookmarkEnd w:id="13"/>
    </w:p>
    <w:p w:rsidR="00904E52" w:rsidRPr="0043547B" w:rsidRDefault="00904E52" w:rsidP="00B905D3">
      <w:pPr>
        <w:pStyle w:val="Titre3"/>
        <w:numPr>
          <w:ilvl w:val="1"/>
          <w:numId w:val="2"/>
        </w:numPr>
        <w:tabs>
          <w:tab w:val="left" w:pos="851"/>
        </w:tabs>
        <w:ind w:left="284" w:hanging="11"/>
        <w:rPr>
          <w:rFonts w:asciiTheme="minorHAnsi" w:hAnsiTheme="minorHAnsi" w:cstheme="minorHAnsi"/>
          <w:sz w:val="24"/>
          <w:szCs w:val="24"/>
          <w:u w:val="single"/>
        </w:rPr>
      </w:pPr>
      <w:bookmarkStart w:id="14" w:name="_Toc458606071"/>
      <w:r w:rsidRPr="0043547B">
        <w:rPr>
          <w:rFonts w:asciiTheme="minorHAnsi" w:hAnsiTheme="minorHAnsi" w:cstheme="minorHAnsi"/>
          <w:sz w:val="24"/>
          <w:szCs w:val="24"/>
          <w:u w:val="single"/>
        </w:rPr>
        <w:t>Lot N° 1 : Matériels et installations électriques</w:t>
      </w:r>
      <w:bookmarkEnd w:id="14"/>
    </w:p>
    <w:p w:rsidR="00904E52" w:rsidRPr="0043547B" w:rsidRDefault="00904E52" w:rsidP="00AF178F">
      <w:pPr>
        <w:pStyle w:val="Titre4"/>
        <w:numPr>
          <w:ilvl w:val="2"/>
          <w:numId w:val="2"/>
        </w:numPr>
        <w:ind w:left="1418" w:hanging="579"/>
        <w:rPr>
          <w:rFonts w:cstheme="minorHAnsi"/>
          <w:b/>
          <w:bCs w:val="0"/>
          <w:color w:val="auto"/>
          <w:szCs w:val="24"/>
          <w:u w:val="single"/>
        </w:rPr>
      </w:pPr>
      <w:bookmarkStart w:id="15" w:name="_Toc458606072"/>
      <w:r w:rsidRPr="0043547B">
        <w:rPr>
          <w:rFonts w:cstheme="minorHAnsi"/>
          <w:b/>
          <w:bCs w:val="0"/>
          <w:color w:val="auto"/>
          <w:szCs w:val="24"/>
          <w:u w:val="single"/>
        </w:rPr>
        <w:t>Produits électriques</w:t>
      </w:r>
      <w:bookmarkEnd w:id="15"/>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3"/>
        <w:gridCol w:w="8080"/>
      </w:tblGrid>
      <w:tr w:rsidR="0043547B" w:rsidRPr="0043547B" w:rsidTr="00CB5DC0">
        <w:trPr>
          <w:trHeight w:val="330"/>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4E52" w:rsidRPr="0043547B" w:rsidRDefault="00904E52" w:rsidP="00904E52">
            <w:pPr>
              <w:spacing w:after="0"/>
              <w:contextualSpacing/>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vAlign w:val="center"/>
          </w:tcPr>
          <w:p w:rsidR="00904E52" w:rsidRPr="0043547B" w:rsidRDefault="00904E52" w:rsidP="00904E52">
            <w:pPr>
              <w:spacing w:after="0" w:line="240" w:lineRule="auto"/>
              <w:contextualSpacing/>
              <w:jc w:val="center"/>
              <w:rPr>
                <w:rFonts w:eastAsia="Times New Roman" w:cstheme="minorHAnsi"/>
                <w:b/>
                <w:bCs/>
                <w:sz w:val="24"/>
                <w:szCs w:val="24"/>
                <w:lang w:eastAsia="fr-FR"/>
              </w:rPr>
            </w:pPr>
            <w:r w:rsidRPr="0043547B">
              <w:rPr>
                <w:rFonts w:eastAsia="Times New Roman" w:cstheme="minorHAnsi"/>
                <w:b/>
                <w:bCs/>
                <w:sz w:val="24"/>
                <w:szCs w:val="24"/>
                <w:lang w:eastAsia="fr-FR"/>
              </w:rPr>
              <w:t>NM 06.6.036</w:t>
            </w:r>
          </w:p>
        </w:tc>
      </w:tr>
      <w:tr w:rsidR="0043547B" w:rsidRPr="0043547B" w:rsidTr="00CB5DC0">
        <w:trPr>
          <w:trHeight w:val="177"/>
          <w:jc w:val="center"/>
        </w:trPr>
        <w:tc>
          <w:tcPr>
            <w:tcW w:w="1843" w:type="dxa"/>
            <w:tcBorders>
              <w:top w:val="single" w:sz="4"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contextualSpacing/>
              <w:jc w:val="center"/>
              <w:rPr>
                <w:rFonts w:cstheme="minorHAnsi"/>
                <w:b/>
                <w:bCs/>
                <w:sz w:val="24"/>
                <w:szCs w:val="24"/>
              </w:rPr>
            </w:pPr>
            <w:r w:rsidRPr="0043547B">
              <w:rPr>
                <w:rFonts w:cstheme="minorHAnsi"/>
                <w:b/>
                <w:bCs/>
                <w:sz w:val="24"/>
                <w:szCs w:val="24"/>
              </w:rPr>
              <w:t>Intitulé :</w:t>
            </w:r>
          </w:p>
        </w:tc>
        <w:tc>
          <w:tcPr>
            <w:tcW w:w="8080" w:type="dxa"/>
            <w:tcBorders>
              <w:left w:val="single" w:sz="4" w:space="0" w:color="auto"/>
              <w:right w:val="single" w:sz="18" w:space="0" w:color="auto"/>
            </w:tcBorders>
          </w:tcPr>
          <w:p w:rsidR="00904E52" w:rsidRPr="0043547B" w:rsidRDefault="00904E52" w:rsidP="00904E52">
            <w:pPr>
              <w:spacing w:after="0" w:line="240" w:lineRule="auto"/>
              <w:contextualSpacing/>
              <w:jc w:val="both"/>
              <w:rPr>
                <w:rFonts w:eastAsia="Times New Roman" w:cstheme="minorHAnsi"/>
                <w:sz w:val="24"/>
                <w:szCs w:val="24"/>
                <w:lang w:eastAsia="fr-FR"/>
              </w:rPr>
            </w:pPr>
            <w:r w:rsidRPr="0043547B">
              <w:rPr>
                <w:rFonts w:eastAsia="Times New Roman" w:cstheme="minorHAnsi"/>
                <w:sz w:val="24"/>
                <w:szCs w:val="24"/>
                <w:lang w:eastAsia="fr-FR"/>
              </w:rPr>
              <w:t xml:space="preserve">Supports pour lignes aériennes - Poteaux en béton armé Spécifications </w:t>
            </w:r>
          </w:p>
        </w:tc>
      </w:tr>
      <w:tr w:rsidR="0043547B" w:rsidRPr="0043547B" w:rsidTr="00CB5DC0">
        <w:trPr>
          <w:trHeight w:val="511"/>
          <w:jc w:val="center"/>
        </w:trPr>
        <w:tc>
          <w:tcPr>
            <w:tcW w:w="1843" w:type="dxa"/>
            <w:tcBorders>
              <w:top w:val="single" w:sz="4" w:space="0" w:color="auto"/>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contextualSpacing/>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tcPr>
          <w:p w:rsidR="00904E52" w:rsidRPr="0043547B" w:rsidRDefault="00904E52" w:rsidP="00904E52">
            <w:pPr>
              <w:spacing w:after="0" w:line="240" w:lineRule="auto"/>
              <w:contextualSpacing/>
              <w:jc w:val="both"/>
              <w:rPr>
                <w:rFonts w:eastAsia="Times New Roman" w:cstheme="minorHAnsi"/>
                <w:sz w:val="24"/>
                <w:szCs w:val="24"/>
                <w:lang w:eastAsia="fr-FR"/>
              </w:rPr>
            </w:pPr>
            <w:r w:rsidRPr="0043547B">
              <w:rPr>
                <w:rFonts w:eastAsia="Times New Roman" w:cstheme="minorHAnsi"/>
                <w:sz w:val="24"/>
                <w:szCs w:val="24"/>
                <w:lang w:eastAsia="fr-FR"/>
              </w:rPr>
              <w:t xml:space="preserve">La norme est applicable à la fourniture des poteaux en béton armé destinés aux lignes électriques aériennes. Elles ne s’appliquent pas aux poteaux en béton précontraint qui font l'objet d’une autre norme.        </w:t>
            </w:r>
          </w:p>
        </w:tc>
      </w:tr>
      <w:tr w:rsidR="0043547B" w:rsidRPr="0043547B" w:rsidTr="00CB5DC0">
        <w:trPr>
          <w:trHeight w:val="330"/>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4E52" w:rsidRPr="0043547B" w:rsidRDefault="00904E52" w:rsidP="00904E52">
            <w:pPr>
              <w:spacing w:after="0"/>
              <w:contextualSpacing/>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vAlign w:val="center"/>
          </w:tcPr>
          <w:p w:rsidR="00904E52" w:rsidRPr="0043547B" w:rsidRDefault="00904E52" w:rsidP="00904E52">
            <w:pPr>
              <w:spacing w:after="0" w:line="240" w:lineRule="auto"/>
              <w:contextualSpacing/>
              <w:jc w:val="center"/>
              <w:rPr>
                <w:rFonts w:eastAsia="Times New Roman" w:cstheme="minorHAnsi"/>
                <w:b/>
                <w:bCs/>
                <w:sz w:val="24"/>
                <w:szCs w:val="24"/>
                <w:lang w:eastAsia="fr-FR"/>
              </w:rPr>
            </w:pPr>
            <w:r w:rsidRPr="0043547B">
              <w:rPr>
                <w:rFonts w:eastAsia="Times New Roman" w:cstheme="minorHAnsi"/>
                <w:b/>
                <w:bCs/>
                <w:sz w:val="24"/>
                <w:szCs w:val="24"/>
                <w:lang w:eastAsia="fr-FR"/>
              </w:rPr>
              <w:t>NM 06.3.001</w:t>
            </w:r>
          </w:p>
        </w:tc>
      </w:tr>
      <w:tr w:rsidR="0043547B" w:rsidRPr="0043547B" w:rsidTr="00CB5DC0">
        <w:trPr>
          <w:trHeight w:val="315"/>
          <w:jc w:val="center"/>
        </w:trPr>
        <w:tc>
          <w:tcPr>
            <w:tcW w:w="1843" w:type="dxa"/>
            <w:tcBorders>
              <w:top w:val="single" w:sz="4"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top w:val="single" w:sz="4" w:space="0" w:color="auto"/>
              <w:left w:val="single" w:sz="4"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Conducteurs et câbles isolés pour installations - Ames des câbles isolés. </w:t>
            </w:r>
          </w:p>
        </w:tc>
      </w:tr>
      <w:tr w:rsidR="0043547B" w:rsidRPr="0043547B" w:rsidTr="00CB5DC0">
        <w:trPr>
          <w:trHeight w:val="2100"/>
          <w:jc w:val="center"/>
        </w:trPr>
        <w:tc>
          <w:tcPr>
            <w:tcW w:w="1843" w:type="dxa"/>
            <w:tcBorders>
              <w:top w:val="single" w:sz="4" w:space="0" w:color="auto"/>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top w:val="single" w:sz="4" w:space="0" w:color="auto"/>
              <w:left w:val="single" w:sz="4" w:space="0" w:color="auto"/>
              <w:bottom w:val="single" w:sz="18"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la section nominale normalisée, de 0,5 mm</w:t>
            </w:r>
            <w:r w:rsidRPr="0043547B">
              <w:rPr>
                <w:rFonts w:eastAsia="Times New Roman" w:cstheme="minorHAnsi"/>
                <w:sz w:val="24"/>
                <w:szCs w:val="24"/>
                <w:vertAlign w:val="superscript"/>
                <w:lang w:eastAsia="fr-FR"/>
              </w:rPr>
              <w:t>2</w:t>
            </w:r>
            <w:r w:rsidRPr="0043547B">
              <w:rPr>
                <w:rFonts w:eastAsia="Times New Roman" w:cstheme="minorHAnsi"/>
                <w:sz w:val="24"/>
                <w:szCs w:val="24"/>
                <w:lang w:eastAsia="fr-FR"/>
              </w:rPr>
              <w:t xml:space="preserve"> à 2 000 mm</w:t>
            </w:r>
            <w:r w:rsidRPr="0043547B">
              <w:rPr>
                <w:rFonts w:eastAsia="Times New Roman" w:cstheme="minorHAnsi"/>
                <w:sz w:val="24"/>
                <w:szCs w:val="24"/>
                <w:vertAlign w:val="superscript"/>
                <w:lang w:eastAsia="fr-FR"/>
              </w:rPr>
              <w:t>2</w:t>
            </w:r>
            <w:r w:rsidRPr="0043547B">
              <w:rPr>
                <w:rFonts w:eastAsia="Times New Roman" w:cstheme="minorHAnsi"/>
                <w:sz w:val="24"/>
                <w:szCs w:val="24"/>
                <w:lang w:eastAsia="fr-FR"/>
              </w:rPr>
              <w:t>, ainsi que le nombre et le diamètre des brins et les valeurs de résistance des âmes des conducteurs et câbles électriques isolés.</w:t>
            </w:r>
          </w:p>
          <w:p w:rsidR="00904E52" w:rsidRPr="0043547B" w:rsidRDefault="00904E52" w:rsidP="005B070B">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ne s'applique pas aux conducteurs de télécommunication et ne s'applique aux âmes</w:t>
            </w:r>
            <w:r w:rsidR="005B070B">
              <w:rPr>
                <w:rFonts w:eastAsia="Times New Roman" w:cstheme="minorHAnsi"/>
                <w:sz w:val="24"/>
                <w:szCs w:val="24"/>
                <w:lang w:eastAsia="fr-FR"/>
              </w:rPr>
              <w:t xml:space="preserve"> </w:t>
            </w:r>
            <w:r w:rsidRPr="0043547B">
              <w:rPr>
                <w:rFonts w:eastAsia="Times New Roman" w:cstheme="minorHAnsi"/>
                <w:sz w:val="24"/>
                <w:szCs w:val="24"/>
                <w:lang w:eastAsia="fr-FR"/>
              </w:rPr>
              <w:t>spéciales que lorsque cela est indiqué dans la spécification particulière. Les âmes spéciales sont par exemple les âmes des câbles à pression, les âmes de câble de soudage extra-souples, ou celles de certains types de câbles dont les conducteurs sont assemblés avec des pas exceptionnellement courts.</w:t>
            </w:r>
          </w:p>
        </w:tc>
      </w:tr>
      <w:tr w:rsidR="0043547B" w:rsidRPr="0043547B" w:rsidTr="00CB5DC0">
        <w:trPr>
          <w:trHeight w:val="182"/>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vAlign w:val="center"/>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06.4.001</w:t>
            </w:r>
          </w:p>
        </w:tc>
      </w:tr>
      <w:tr w:rsidR="0043547B" w:rsidRPr="0043547B" w:rsidTr="00CB5DC0">
        <w:trPr>
          <w:trHeight w:val="315"/>
          <w:jc w:val="center"/>
        </w:trPr>
        <w:tc>
          <w:tcPr>
            <w:tcW w:w="1843" w:type="dxa"/>
            <w:tcBorders>
              <w:top w:val="single" w:sz="4"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top w:val="single" w:sz="4" w:space="0" w:color="auto"/>
              <w:left w:val="single" w:sz="4"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Compteurs d’énergie active à courant alternatif des classes 0,5, 1 et 2. </w:t>
            </w:r>
          </w:p>
        </w:tc>
      </w:tr>
      <w:tr w:rsidR="0043547B" w:rsidRPr="0043547B" w:rsidTr="00CB5DC0">
        <w:trPr>
          <w:trHeight w:val="3237"/>
          <w:jc w:val="center"/>
        </w:trPr>
        <w:tc>
          <w:tcPr>
            <w:tcW w:w="1843" w:type="dxa"/>
            <w:tcBorders>
              <w:top w:val="single" w:sz="4" w:space="0" w:color="auto"/>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top w:val="single" w:sz="4" w:space="0" w:color="auto"/>
              <w:left w:val="single" w:sz="4" w:space="0" w:color="auto"/>
              <w:bottom w:val="single" w:sz="18"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La norme s'applique uniquement aux compteurs à induction neufs, des classes de précision 0,5, 1 et 2 destinés à la mesure de l'énergie électrique active en courant alternatif, à une fréquence comprise entre 45 Hz et 65 Hz, et s'applique seulement à leurs essais de types.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n'est pas applicable aux compteurs étalons ni aux compteurs spéciaux (ex. : compteurs de dépassement), à l'exception des compteurs à tarifs multiples.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n'est pas applicable aux compteurs dont la tension entre les bornes de connexion dépasse 450 V (entre phases dans le cas des compteurs triphasés).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est applicable à l'ensemble compteur et accessoires y compris les transformateurs de courant, lorsqu'ils sont incorporés dans le boîtier. Elle n'est pas applicable aux indicateurs de maximum (voir NM 06.4.002 Indicateurs de maximum, classe 1,0).</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n'est applicable à aucun type de dispositif de mesure tel que ceux utilisés pour la télémesure de l'énergie électrique.</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06.6.002</w:t>
            </w:r>
          </w:p>
        </w:tc>
      </w:tr>
      <w:tr w:rsidR="0043547B" w:rsidRPr="0043547B" w:rsidTr="00CB5DC0">
        <w:trPr>
          <w:trHeight w:val="900"/>
          <w:jc w:val="center"/>
        </w:trPr>
        <w:tc>
          <w:tcPr>
            <w:tcW w:w="1843" w:type="dxa"/>
            <w:tcBorders>
              <w:top w:val="single" w:sz="4"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top w:val="single" w:sz="4" w:space="0" w:color="auto"/>
              <w:left w:val="single" w:sz="4"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Matériel pour installations domestiques et analogues Interrupteurs et commutateurs de courant nominal supérieur à 10 A - Interrupteurs et commutateurs à plus de deux pôles - Interrupteurs et commutateurs pour tableaux  </w:t>
            </w:r>
          </w:p>
        </w:tc>
      </w:tr>
      <w:tr w:rsidR="0043547B" w:rsidRPr="0043547B" w:rsidTr="00CB5DC0">
        <w:trPr>
          <w:trHeight w:val="127"/>
          <w:jc w:val="center"/>
        </w:trPr>
        <w:tc>
          <w:tcPr>
            <w:tcW w:w="1843" w:type="dxa"/>
            <w:tcBorders>
              <w:top w:val="single" w:sz="4" w:space="0" w:color="auto"/>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top w:val="single" w:sz="4" w:space="0" w:color="auto"/>
              <w:left w:val="single" w:sz="4" w:space="0" w:color="auto"/>
              <w:bottom w:val="single" w:sz="18" w:space="0" w:color="auto"/>
              <w:right w:val="single" w:sz="18" w:space="0" w:color="auto"/>
            </w:tcBorders>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Les règles sont applicables, sauf exceptions prévues en 1.1.2 ci-après, aux appareils à commande directe doués de pouvoir de coupure, généralement appelés  interrupteurs ou commutateurs de tableaux, de tension nominale au plus égale à 380 V en courant alternatif et 500 V en courant continu, et de courant nominal au plus égal à 125 A, destinés à établir et interrompre, ou à commuter, un ou plusieurs circuits dans les installations de première catégorie où l'énergie </w:t>
            </w:r>
            <w:r w:rsidRPr="0043547B">
              <w:rPr>
                <w:rFonts w:eastAsia="Times New Roman" w:cstheme="minorHAnsi"/>
                <w:sz w:val="24"/>
                <w:szCs w:val="24"/>
                <w:lang w:eastAsia="fr-FR"/>
              </w:rPr>
              <w:lastRenderedPageBreak/>
              <w:t>électrique est utilisée pour l'éclairage, les usages thermiques et les applications domestiques, rurales ou artisanales.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Elles ne s'appliquent pas aux appareils suivants, qui doivent satisfaire aux règles les concernant :</w:t>
            </w:r>
          </w:p>
          <w:p w:rsidR="00904E52" w:rsidRPr="0043547B" w:rsidRDefault="00904E52" w:rsidP="00B905D3">
            <w:pPr>
              <w:pStyle w:val="Paragraphedeliste"/>
              <w:numPr>
                <w:ilvl w:val="0"/>
                <w:numId w:val="5"/>
              </w:numPr>
              <w:spacing w:after="0" w:line="240" w:lineRule="auto"/>
              <w:ind w:left="213" w:hanging="223"/>
              <w:jc w:val="both"/>
              <w:rPr>
                <w:rFonts w:eastAsia="Times New Roman" w:cstheme="minorHAnsi"/>
                <w:sz w:val="24"/>
                <w:szCs w:val="24"/>
                <w:lang w:eastAsia="fr-FR"/>
              </w:rPr>
            </w:pPr>
            <w:r w:rsidRPr="0043547B">
              <w:rPr>
                <w:rFonts w:eastAsia="Times New Roman" w:cstheme="minorHAnsi"/>
                <w:sz w:val="24"/>
                <w:szCs w:val="24"/>
                <w:lang w:eastAsia="fr-FR"/>
              </w:rPr>
              <w:t>interrupteurs, commutateurs, boutons de minuterie ou de sonnerie, d'usage courant et de courant nominal au plus égal à 10 A,</w:t>
            </w:r>
          </w:p>
          <w:p w:rsidR="00904E52" w:rsidRPr="0043547B" w:rsidRDefault="00904E52" w:rsidP="00B905D3">
            <w:pPr>
              <w:pStyle w:val="Paragraphedeliste"/>
              <w:numPr>
                <w:ilvl w:val="0"/>
                <w:numId w:val="5"/>
              </w:numPr>
              <w:spacing w:after="0" w:line="240" w:lineRule="auto"/>
              <w:ind w:left="213" w:hanging="223"/>
              <w:jc w:val="both"/>
              <w:rPr>
                <w:rFonts w:eastAsia="Times New Roman" w:cstheme="minorHAnsi"/>
                <w:sz w:val="24"/>
                <w:szCs w:val="24"/>
                <w:lang w:eastAsia="fr-FR"/>
              </w:rPr>
            </w:pPr>
            <w:r w:rsidRPr="0043547B">
              <w:rPr>
                <w:rFonts w:eastAsia="Times New Roman" w:cstheme="minorHAnsi"/>
                <w:sz w:val="24"/>
                <w:szCs w:val="24"/>
                <w:lang w:eastAsia="fr-FR"/>
              </w:rPr>
              <w:t>interrupteurs et commutateurs à coupe-circuit à fusibles incorporé dits « combinés »,</w:t>
            </w:r>
          </w:p>
          <w:p w:rsidR="00904E52" w:rsidRPr="0043547B" w:rsidRDefault="00904E52" w:rsidP="00B905D3">
            <w:pPr>
              <w:pStyle w:val="Paragraphedeliste"/>
              <w:numPr>
                <w:ilvl w:val="0"/>
                <w:numId w:val="5"/>
              </w:numPr>
              <w:spacing w:after="0" w:line="240" w:lineRule="auto"/>
              <w:ind w:left="213" w:hanging="223"/>
              <w:jc w:val="both"/>
              <w:rPr>
                <w:rFonts w:eastAsia="Times New Roman" w:cstheme="minorHAnsi"/>
                <w:sz w:val="24"/>
                <w:szCs w:val="24"/>
                <w:lang w:eastAsia="fr-FR"/>
              </w:rPr>
            </w:pPr>
            <w:r w:rsidRPr="0043547B">
              <w:rPr>
                <w:rFonts w:eastAsia="Times New Roman" w:cstheme="minorHAnsi"/>
                <w:sz w:val="24"/>
                <w:szCs w:val="24"/>
                <w:lang w:eastAsia="fr-FR"/>
              </w:rPr>
              <w:t>interrupteurs et commutateurs à mercure,</w:t>
            </w:r>
          </w:p>
          <w:p w:rsidR="00904E52" w:rsidRPr="0043547B" w:rsidRDefault="00904E52" w:rsidP="00B905D3">
            <w:pPr>
              <w:pStyle w:val="Paragraphedeliste"/>
              <w:numPr>
                <w:ilvl w:val="0"/>
                <w:numId w:val="5"/>
              </w:numPr>
              <w:spacing w:after="0" w:line="240" w:lineRule="auto"/>
              <w:ind w:left="213" w:hanging="223"/>
              <w:jc w:val="both"/>
              <w:rPr>
                <w:rFonts w:eastAsia="Times New Roman" w:cstheme="minorHAnsi"/>
                <w:sz w:val="24"/>
                <w:szCs w:val="24"/>
                <w:lang w:eastAsia="fr-FR"/>
              </w:rPr>
            </w:pPr>
            <w:r w:rsidRPr="0043547B">
              <w:rPr>
                <w:rFonts w:eastAsia="Times New Roman" w:cstheme="minorHAnsi"/>
                <w:sz w:val="24"/>
                <w:szCs w:val="24"/>
                <w:lang w:eastAsia="fr-FR"/>
              </w:rPr>
              <w:t>interrupteurs et commutateurs pour appareils, interrupteurs et commutateurs à usage industriel alimentés sous une tension inférieure à 1000 V en courant alternatif et 1600 V en courant continu,</w:t>
            </w:r>
          </w:p>
          <w:p w:rsidR="00904E52" w:rsidRPr="0043547B" w:rsidRDefault="00904E52" w:rsidP="00B905D3">
            <w:pPr>
              <w:pStyle w:val="Paragraphedeliste"/>
              <w:numPr>
                <w:ilvl w:val="0"/>
                <w:numId w:val="5"/>
              </w:numPr>
              <w:spacing w:after="0" w:line="240" w:lineRule="auto"/>
              <w:ind w:left="213" w:hanging="223"/>
              <w:jc w:val="both"/>
              <w:rPr>
                <w:rFonts w:eastAsia="Times New Roman" w:cstheme="minorHAnsi"/>
                <w:sz w:val="24"/>
                <w:szCs w:val="24"/>
                <w:lang w:eastAsia="fr-FR"/>
              </w:rPr>
            </w:pPr>
            <w:r w:rsidRPr="0043547B">
              <w:rPr>
                <w:rFonts w:eastAsia="Times New Roman" w:cstheme="minorHAnsi"/>
                <w:sz w:val="24"/>
                <w:szCs w:val="24"/>
                <w:lang w:eastAsia="fr-FR"/>
              </w:rPr>
              <w:t>interrupteurs et commutateurs destinés à fonctionner dans les locaux présentant des conditions particulières (vapeurs corrosives, gaz inflammables, atmosphères explosives, industrie du pétrole, atmosphères poussiéreuses, températures élevées.</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06.7.005</w:t>
            </w:r>
          </w:p>
        </w:tc>
      </w:tr>
      <w:tr w:rsidR="0043547B" w:rsidRPr="0043547B" w:rsidTr="00CB5DC0">
        <w:trPr>
          <w:trHeight w:val="315"/>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left w:val="single" w:sz="4"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Sources d’éclairage électrique - Lampes à filament du tungstène pour l’éclairage général  </w:t>
            </w:r>
          </w:p>
        </w:tc>
      </w:tr>
      <w:tr w:rsidR="0043547B" w:rsidRPr="0043547B" w:rsidTr="00CB5DC0">
        <w:trPr>
          <w:trHeight w:val="1624"/>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aux lampes à incandescence normales pour l'éclairage général, ayant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une durée nominale de 1000 heures,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une puissance nominale compris entre 25 et 1500 watts, inclus,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une tension nominale compris entre 100 et 250 volts, inclus,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une ampoule claire ou dépolie intérieurement,</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un culot normal à vis ou baïonnette.</w:t>
            </w:r>
          </w:p>
        </w:tc>
      </w:tr>
      <w:tr w:rsidR="0043547B" w:rsidRPr="0043547B" w:rsidTr="00CB5DC0">
        <w:trPr>
          <w:trHeight w:val="138"/>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tcPr>
          <w:p w:rsidR="00FC52B6" w:rsidRPr="0043547B" w:rsidRDefault="00FC52B6" w:rsidP="007E44E7">
            <w:pPr>
              <w:spacing w:after="0"/>
              <w:jc w:val="center"/>
              <w:rPr>
                <w:rFonts w:cstheme="minorHAnsi"/>
                <w:b/>
                <w:bCs/>
                <w:sz w:val="24"/>
                <w:szCs w:val="24"/>
              </w:rPr>
            </w:pPr>
            <w:r w:rsidRPr="0043547B">
              <w:rPr>
                <w:rFonts w:cstheme="minorHAnsi"/>
                <w:b/>
                <w:bCs/>
                <w:sz w:val="24"/>
                <w:szCs w:val="24"/>
              </w:rPr>
              <w:t>Code</w:t>
            </w:r>
            <w:r w:rsidR="007E44E7" w:rsidRPr="0043547B">
              <w:rPr>
                <w:rFonts w:cstheme="minorHAnsi"/>
                <w:b/>
                <w:bCs/>
                <w:sz w:val="24"/>
                <w:szCs w:val="24"/>
              </w:rPr>
              <w:t> :</w:t>
            </w:r>
          </w:p>
        </w:tc>
        <w:tc>
          <w:tcPr>
            <w:tcW w:w="8080" w:type="dxa"/>
            <w:tcBorders>
              <w:top w:val="single" w:sz="18" w:space="0" w:color="auto"/>
              <w:left w:val="single" w:sz="4" w:space="0" w:color="auto"/>
              <w:bottom w:val="single" w:sz="18" w:space="0" w:color="auto"/>
              <w:right w:val="single" w:sz="18" w:space="0" w:color="auto"/>
            </w:tcBorders>
            <w:shd w:val="clear" w:color="auto" w:fill="BAD18B"/>
          </w:tcPr>
          <w:p w:rsidR="00FC52B6" w:rsidRPr="0043547B" w:rsidRDefault="00FC52B6" w:rsidP="007E44E7">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CEI 60076-1</w:t>
            </w:r>
          </w:p>
        </w:tc>
      </w:tr>
      <w:tr w:rsidR="0043547B" w:rsidRPr="0043547B" w:rsidTr="00CB5DC0">
        <w:trPr>
          <w:trHeight w:val="160"/>
          <w:jc w:val="center"/>
        </w:trPr>
        <w:tc>
          <w:tcPr>
            <w:tcW w:w="1843" w:type="dxa"/>
            <w:tcBorders>
              <w:top w:val="single" w:sz="18" w:space="0" w:color="auto"/>
              <w:left w:val="single" w:sz="18" w:space="0" w:color="auto"/>
              <w:bottom w:val="single" w:sz="6" w:space="0" w:color="auto"/>
              <w:right w:val="single" w:sz="4" w:space="0" w:color="auto"/>
            </w:tcBorders>
            <w:shd w:val="clear" w:color="auto" w:fill="FFFF99"/>
            <w:vAlign w:val="center"/>
          </w:tcPr>
          <w:p w:rsidR="00FC52B6" w:rsidRPr="0043547B" w:rsidRDefault="00FC52B6" w:rsidP="007E44E7">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bottom w:val="single" w:sz="6" w:space="0" w:color="auto"/>
              <w:right w:val="single" w:sz="18" w:space="0" w:color="auto"/>
            </w:tcBorders>
            <w:shd w:val="clear" w:color="auto" w:fill="FFFF99"/>
          </w:tcPr>
          <w:p w:rsidR="00FC52B6" w:rsidRPr="0043547B" w:rsidRDefault="00FC52B6" w:rsidP="007E44E7">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CEI 60076-1</w:t>
            </w:r>
          </w:p>
        </w:tc>
      </w:tr>
      <w:tr w:rsidR="0043547B" w:rsidRPr="0043547B" w:rsidTr="00CB5DC0">
        <w:trPr>
          <w:trHeight w:val="315"/>
          <w:jc w:val="center"/>
        </w:trPr>
        <w:tc>
          <w:tcPr>
            <w:tcW w:w="1843" w:type="dxa"/>
            <w:tcBorders>
              <w:top w:val="single" w:sz="6" w:space="0" w:color="auto"/>
              <w:left w:val="single" w:sz="18" w:space="0" w:color="auto"/>
              <w:bottom w:val="single" w:sz="6" w:space="0" w:color="auto"/>
              <w:right w:val="single" w:sz="4" w:space="0" w:color="auto"/>
            </w:tcBorders>
            <w:shd w:val="clear" w:color="auto" w:fill="8DB3E2" w:themeFill="text2" w:themeFillTint="66"/>
            <w:vAlign w:val="center"/>
          </w:tcPr>
          <w:p w:rsidR="00FC52B6" w:rsidRPr="0043547B" w:rsidRDefault="00FC52B6" w:rsidP="007E44E7">
            <w:pPr>
              <w:spacing w:after="0"/>
              <w:jc w:val="center"/>
              <w:rPr>
                <w:rFonts w:cstheme="minorHAnsi"/>
                <w:b/>
                <w:bCs/>
                <w:sz w:val="24"/>
                <w:szCs w:val="24"/>
              </w:rPr>
            </w:pPr>
            <w:r w:rsidRPr="0043547B">
              <w:rPr>
                <w:rFonts w:cstheme="minorHAnsi"/>
                <w:b/>
                <w:bCs/>
                <w:sz w:val="24"/>
                <w:szCs w:val="24"/>
              </w:rPr>
              <w:t>Intitulé :</w:t>
            </w:r>
          </w:p>
        </w:tc>
        <w:tc>
          <w:tcPr>
            <w:tcW w:w="8080" w:type="dxa"/>
            <w:tcBorders>
              <w:top w:val="single" w:sz="6" w:space="0" w:color="auto"/>
              <w:left w:val="single" w:sz="4" w:space="0" w:color="auto"/>
              <w:bottom w:val="single" w:sz="6" w:space="0" w:color="auto"/>
              <w:right w:val="single" w:sz="18" w:space="0" w:color="auto"/>
            </w:tcBorders>
            <w:shd w:val="clear" w:color="auto" w:fill="auto"/>
          </w:tcPr>
          <w:p w:rsidR="00FC52B6" w:rsidRPr="0043547B" w:rsidRDefault="00FC52B6" w:rsidP="009B2690">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Transformateurs de puissance - Partie 1 : Généralités ; </w:t>
            </w:r>
          </w:p>
        </w:tc>
      </w:tr>
      <w:tr w:rsidR="0043547B" w:rsidRPr="0043547B" w:rsidTr="00CB5DC0">
        <w:trPr>
          <w:trHeight w:val="315"/>
          <w:jc w:val="center"/>
        </w:trPr>
        <w:tc>
          <w:tcPr>
            <w:tcW w:w="1843" w:type="dxa"/>
            <w:tcBorders>
              <w:top w:val="single" w:sz="6" w:space="0" w:color="auto"/>
              <w:left w:val="single" w:sz="18" w:space="0" w:color="auto"/>
              <w:bottom w:val="single" w:sz="18" w:space="0" w:color="auto"/>
              <w:right w:val="single" w:sz="4" w:space="0" w:color="auto"/>
            </w:tcBorders>
            <w:shd w:val="clear" w:color="auto" w:fill="D9D9D9" w:themeFill="background1" w:themeFillShade="D9"/>
            <w:vAlign w:val="center"/>
          </w:tcPr>
          <w:p w:rsidR="00FC52B6" w:rsidRPr="0043547B" w:rsidRDefault="00FC52B6" w:rsidP="007E44E7">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top w:val="single" w:sz="6" w:space="0" w:color="auto"/>
              <w:left w:val="single" w:sz="4" w:space="0" w:color="auto"/>
              <w:bottom w:val="single" w:sz="18" w:space="0" w:color="auto"/>
              <w:right w:val="single" w:sz="18" w:space="0" w:color="auto"/>
            </w:tcBorders>
            <w:shd w:val="clear" w:color="auto" w:fill="auto"/>
          </w:tcPr>
          <w:p w:rsidR="007E44E7" w:rsidRPr="0043547B" w:rsidRDefault="00FC52B6" w:rsidP="007E44E7">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La présente partie de la CEI 60076 s'applique aux transformateurs triphasés et monophasés (y compris les autotransformateurs), à l'exception de certaines catégories de petits transformateurs et de transformateurs spéciaux, tels </w:t>
            </w:r>
            <w:r w:rsidR="007E44E7" w:rsidRPr="0043547B">
              <w:rPr>
                <w:rFonts w:eastAsia="Times New Roman" w:cstheme="minorHAnsi"/>
                <w:sz w:val="24"/>
                <w:szCs w:val="24"/>
                <w:lang w:eastAsia="fr-FR"/>
              </w:rPr>
              <w:t>que :</w:t>
            </w:r>
          </w:p>
          <w:p w:rsidR="007E44E7" w:rsidRPr="0043547B" w:rsidRDefault="00FC52B6" w:rsidP="007E44E7">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 les transformateurs de puissance assignée inférieure à 1 kVA en monophasé, et 5 kVA en </w:t>
            </w:r>
            <w:r w:rsidR="007E44E7" w:rsidRPr="0043547B">
              <w:rPr>
                <w:rFonts w:eastAsia="Times New Roman" w:cstheme="minorHAnsi"/>
                <w:sz w:val="24"/>
                <w:szCs w:val="24"/>
                <w:lang w:eastAsia="fr-FR"/>
              </w:rPr>
              <w:t>triphasé ;</w:t>
            </w:r>
          </w:p>
          <w:p w:rsidR="007E44E7" w:rsidRPr="0043547B" w:rsidRDefault="00FC52B6" w:rsidP="007E44E7">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les transformateurs sans enroulements de tension assignée supérieure à 1 000 V;</w:t>
            </w:r>
          </w:p>
          <w:p w:rsidR="007E44E7" w:rsidRPr="0043547B" w:rsidRDefault="00FC52B6" w:rsidP="007E44E7">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 les transformateurs de </w:t>
            </w:r>
            <w:r w:rsidR="007E44E7" w:rsidRPr="0043547B">
              <w:rPr>
                <w:rFonts w:eastAsia="Times New Roman" w:cstheme="minorHAnsi"/>
                <w:sz w:val="24"/>
                <w:szCs w:val="24"/>
                <w:lang w:eastAsia="fr-FR"/>
              </w:rPr>
              <w:t>mesure ;</w:t>
            </w:r>
          </w:p>
          <w:p w:rsidR="007E44E7" w:rsidRPr="0043547B" w:rsidRDefault="00FC52B6" w:rsidP="007E44E7">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 les transformateurs de traction, montés sur du matériel </w:t>
            </w:r>
            <w:r w:rsidR="007E44E7" w:rsidRPr="0043547B">
              <w:rPr>
                <w:rFonts w:eastAsia="Times New Roman" w:cstheme="minorHAnsi"/>
                <w:sz w:val="24"/>
                <w:szCs w:val="24"/>
                <w:lang w:eastAsia="fr-FR"/>
              </w:rPr>
              <w:t>roulant ;</w:t>
            </w:r>
          </w:p>
          <w:p w:rsidR="007E44E7" w:rsidRPr="0043547B" w:rsidRDefault="00FC52B6" w:rsidP="007E44E7">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 les transformateurs de </w:t>
            </w:r>
            <w:r w:rsidR="007E44E7" w:rsidRPr="0043547B">
              <w:rPr>
                <w:rFonts w:eastAsia="Times New Roman" w:cstheme="minorHAnsi"/>
                <w:sz w:val="24"/>
                <w:szCs w:val="24"/>
                <w:lang w:eastAsia="fr-FR"/>
              </w:rPr>
              <w:t>démarrage ;</w:t>
            </w:r>
          </w:p>
          <w:p w:rsidR="007E44E7" w:rsidRPr="0043547B" w:rsidRDefault="00FC52B6" w:rsidP="007E44E7">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 les transformateurs </w:t>
            </w:r>
            <w:r w:rsidR="007E44E7" w:rsidRPr="0043547B">
              <w:rPr>
                <w:rFonts w:eastAsia="Times New Roman" w:cstheme="minorHAnsi"/>
                <w:sz w:val="24"/>
                <w:szCs w:val="24"/>
                <w:lang w:eastAsia="fr-FR"/>
              </w:rPr>
              <w:t>d’essai ;</w:t>
            </w:r>
          </w:p>
          <w:p w:rsidR="007E44E7" w:rsidRPr="0043547B" w:rsidRDefault="00FC52B6" w:rsidP="007E44E7">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 les transformateurs de </w:t>
            </w:r>
            <w:r w:rsidR="007E44E7" w:rsidRPr="0043547B">
              <w:rPr>
                <w:rFonts w:eastAsia="Times New Roman" w:cstheme="minorHAnsi"/>
                <w:sz w:val="24"/>
                <w:szCs w:val="24"/>
                <w:lang w:eastAsia="fr-FR"/>
              </w:rPr>
              <w:t>soudure ;</w:t>
            </w:r>
          </w:p>
          <w:p w:rsidR="007E44E7" w:rsidRPr="0043547B" w:rsidRDefault="00FC52B6" w:rsidP="007E44E7">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 les transformateurs antidéflagrants et de </w:t>
            </w:r>
            <w:r w:rsidR="007E44E7" w:rsidRPr="0043547B">
              <w:rPr>
                <w:rFonts w:eastAsia="Times New Roman" w:cstheme="minorHAnsi"/>
                <w:sz w:val="24"/>
                <w:szCs w:val="24"/>
                <w:lang w:eastAsia="fr-FR"/>
              </w:rPr>
              <w:t>mines ;</w:t>
            </w:r>
          </w:p>
          <w:p w:rsidR="007E44E7" w:rsidRPr="0043547B" w:rsidRDefault="00FC52B6" w:rsidP="007E44E7">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les transformateurs pour applications en subaquatique (submergés).</w:t>
            </w:r>
          </w:p>
          <w:p w:rsidR="00086E55" w:rsidRDefault="00FC52B6" w:rsidP="007E44E7">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Lorsqu'il n'existe pas de normes de la CEI pour des catégories de transformateurs telles que celles-ci (en particulier les transformateurs dont aucun enroulement ne dépasse 1 000 V), la présente partie de la CEI 60076 peut néanmoins être appliquée en tout ou partie.</w:t>
            </w:r>
          </w:p>
          <w:p w:rsidR="007E44E7" w:rsidRPr="0043547B" w:rsidRDefault="00FC52B6" w:rsidP="007E44E7">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lastRenderedPageBreak/>
              <w:t>La présente norme n’aborde pas les exigences qui rendraient un transformateur adapté à une installation dans un lieu accessible au public.</w:t>
            </w:r>
          </w:p>
          <w:p w:rsidR="007E44E7" w:rsidRPr="0043547B" w:rsidRDefault="00FC52B6" w:rsidP="007E44E7">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Pour les catégories de transformateurs de puissance et de bobines d'inductance qui disposent de leur propre norme CEI, la présente partie est applicable uniquement dans la mesure où il y est fait explicitement référence dans l'autre norme. De telles normes existent pour :</w:t>
            </w:r>
          </w:p>
          <w:p w:rsidR="00FC52B6" w:rsidRPr="0043547B" w:rsidRDefault="00FC52B6" w:rsidP="007E44E7">
            <w:pPr>
              <w:spacing w:after="0" w:line="240" w:lineRule="auto"/>
              <w:rPr>
                <w:rFonts w:eastAsia="Times New Roman" w:cstheme="minorHAnsi"/>
                <w:sz w:val="24"/>
                <w:szCs w:val="24"/>
                <w:lang w:eastAsia="fr-FR"/>
              </w:rPr>
            </w:pPr>
            <w:r w:rsidRPr="0043547B">
              <w:rPr>
                <w:rFonts w:eastAsia="Times New Roman" w:cstheme="minorHAnsi"/>
                <w:sz w:val="24"/>
                <w:szCs w:val="24"/>
                <w:lang w:eastAsia="fr-FR"/>
              </w:rPr>
              <w:t>– les bobines d'inductance en général (CEI 60076-6);</w:t>
            </w:r>
            <w:r w:rsidRPr="0043547B">
              <w:rPr>
                <w:rFonts w:eastAsia="Times New Roman" w:cstheme="minorHAnsi"/>
                <w:sz w:val="24"/>
                <w:szCs w:val="24"/>
                <w:lang w:eastAsia="fr-FR"/>
              </w:rPr>
              <w:br/>
              <w:t>– les transformateurs de type sec (CEI 60076-11);</w:t>
            </w:r>
            <w:r w:rsidRPr="0043547B">
              <w:rPr>
                <w:rFonts w:eastAsia="Times New Roman" w:cstheme="minorHAnsi"/>
                <w:sz w:val="24"/>
                <w:szCs w:val="24"/>
                <w:lang w:eastAsia="fr-FR"/>
              </w:rPr>
              <w:br/>
              <w:t>– les transformateurs auto-protégés (CEI 60076-13);</w:t>
            </w:r>
            <w:r w:rsidRPr="0043547B">
              <w:rPr>
                <w:rFonts w:eastAsia="Times New Roman" w:cstheme="minorHAnsi"/>
                <w:sz w:val="24"/>
                <w:szCs w:val="24"/>
                <w:lang w:eastAsia="fr-FR"/>
              </w:rPr>
              <w:br/>
              <w:t>– les transformateurs de puissance à isolation gazeuse (CEI 60076-15);</w:t>
            </w:r>
            <w:r w:rsidRPr="0043547B">
              <w:rPr>
                <w:rFonts w:eastAsia="Times New Roman" w:cstheme="minorHAnsi"/>
                <w:sz w:val="24"/>
                <w:szCs w:val="24"/>
                <w:lang w:eastAsia="fr-FR"/>
              </w:rPr>
              <w:br/>
              <w:t>– les transformateurs pour applications éoliennes (CEI 60076-16);</w:t>
            </w:r>
            <w:r w:rsidRPr="0043547B">
              <w:rPr>
                <w:rFonts w:eastAsia="Times New Roman" w:cstheme="minorHAnsi"/>
                <w:sz w:val="24"/>
                <w:szCs w:val="24"/>
                <w:lang w:eastAsia="fr-FR"/>
              </w:rPr>
              <w:br/>
              <w:t>– les transformateurs et les bobines d’inductance de traction (CEI 60310);</w:t>
            </w:r>
            <w:r w:rsidRPr="0043547B">
              <w:rPr>
                <w:rFonts w:eastAsia="Times New Roman" w:cstheme="minorHAnsi"/>
                <w:sz w:val="24"/>
                <w:szCs w:val="24"/>
                <w:lang w:eastAsia="fr-FR"/>
              </w:rPr>
              <w:br/>
              <w:t>– les transformateurs de conversion pour applications industrielles (CEI 61378-1);</w:t>
            </w:r>
            <w:r w:rsidRPr="0043547B">
              <w:rPr>
                <w:rFonts w:eastAsia="Times New Roman" w:cstheme="minorHAnsi"/>
                <w:sz w:val="24"/>
                <w:szCs w:val="24"/>
                <w:lang w:eastAsia="fr-FR"/>
              </w:rPr>
              <w:br/>
              <w:t>– les transformateurs de conversion pour applications CCHT (HVDC en anglais) (CEI 61378-2).</w:t>
            </w:r>
            <w:r w:rsidRPr="0043547B">
              <w:rPr>
                <w:rFonts w:eastAsia="Times New Roman" w:cstheme="minorHAnsi"/>
                <w:sz w:val="24"/>
                <w:szCs w:val="24"/>
                <w:lang w:eastAsia="fr-FR"/>
              </w:rPr>
              <w:br/>
              <w:t>A plusieurs endroits dans la présente partie, il est indiqué ou recommandé qu'un « accord » doit être obtenu sur des solutions techniques alternatives ou des procédures complémentaires. Il convient qu’un tel accord soit établi entre le constructeur et l'acheteur. Il convient de préférence de soulever ces questions assez tôt et d’inclure les accords dans la spécification contractuelle.</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tcPr>
          <w:p w:rsidR="00FC52B6" w:rsidRPr="0043547B" w:rsidRDefault="00FC52B6" w:rsidP="00DE416D">
            <w:pPr>
              <w:spacing w:after="0"/>
              <w:jc w:val="center"/>
              <w:rPr>
                <w:rFonts w:cstheme="minorHAnsi"/>
                <w:b/>
                <w:bCs/>
                <w:sz w:val="24"/>
                <w:szCs w:val="24"/>
              </w:rPr>
            </w:pPr>
            <w:r w:rsidRPr="0043547B">
              <w:rPr>
                <w:rFonts w:cstheme="minorHAnsi"/>
                <w:b/>
                <w:bCs/>
                <w:sz w:val="24"/>
                <w:szCs w:val="24"/>
              </w:rPr>
              <w:lastRenderedPageBreak/>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tcPr>
          <w:p w:rsidR="00FC52B6" w:rsidRPr="0043547B" w:rsidRDefault="00FC52B6" w:rsidP="00DE416D">
            <w:pPr>
              <w:spacing w:after="0"/>
              <w:jc w:val="center"/>
              <w:rPr>
                <w:rFonts w:cstheme="minorHAnsi"/>
                <w:b/>
                <w:bCs/>
                <w:sz w:val="24"/>
                <w:szCs w:val="24"/>
              </w:rPr>
            </w:pPr>
            <w:r w:rsidRPr="0043547B">
              <w:rPr>
                <w:rFonts w:cstheme="minorHAnsi"/>
                <w:b/>
                <w:bCs/>
                <w:sz w:val="24"/>
                <w:szCs w:val="24"/>
              </w:rPr>
              <w:t>NM CEI 60076-11</w:t>
            </w:r>
          </w:p>
        </w:tc>
      </w:tr>
      <w:tr w:rsidR="0043547B" w:rsidRPr="0043547B" w:rsidTr="00CB5DC0">
        <w:trPr>
          <w:trHeight w:val="315"/>
          <w:jc w:val="center"/>
        </w:trPr>
        <w:tc>
          <w:tcPr>
            <w:tcW w:w="1843" w:type="dxa"/>
            <w:tcBorders>
              <w:top w:val="single" w:sz="18" w:space="0" w:color="auto"/>
              <w:left w:val="single" w:sz="18" w:space="0" w:color="auto"/>
              <w:bottom w:val="single" w:sz="6" w:space="0" w:color="auto"/>
              <w:right w:val="single" w:sz="4" w:space="0" w:color="auto"/>
            </w:tcBorders>
            <w:shd w:val="clear" w:color="auto" w:fill="FFFF99"/>
            <w:vAlign w:val="center"/>
          </w:tcPr>
          <w:p w:rsidR="00FC52B6" w:rsidRPr="0043547B" w:rsidRDefault="00FC52B6" w:rsidP="00DE416D">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bottom w:val="single" w:sz="6" w:space="0" w:color="auto"/>
              <w:right w:val="single" w:sz="18" w:space="0" w:color="auto"/>
            </w:tcBorders>
            <w:shd w:val="clear" w:color="auto" w:fill="FFFF99"/>
          </w:tcPr>
          <w:p w:rsidR="00FC52B6" w:rsidRPr="0043547B" w:rsidRDefault="00FC52B6" w:rsidP="00DE416D">
            <w:pPr>
              <w:spacing w:after="0"/>
              <w:jc w:val="center"/>
              <w:rPr>
                <w:rFonts w:cstheme="minorHAnsi"/>
                <w:b/>
                <w:bCs/>
                <w:sz w:val="24"/>
                <w:szCs w:val="24"/>
              </w:rPr>
            </w:pPr>
            <w:r w:rsidRPr="0043547B">
              <w:rPr>
                <w:rFonts w:cstheme="minorHAnsi"/>
                <w:b/>
                <w:bCs/>
                <w:sz w:val="24"/>
                <w:szCs w:val="24"/>
              </w:rPr>
              <w:t>CEI 60076-11</w:t>
            </w:r>
          </w:p>
        </w:tc>
      </w:tr>
      <w:tr w:rsidR="0043547B" w:rsidRPr="0043547B" w:rsidTr="00CB5DC0">
        <w:trPr>
          <w:trHeight w:val="315"/>
          <w:jc w:val="center"/>
        </w:trPr>
        <w:tc>
          <w:tcPr>
            <w:tcW w:w="1843" w:type="dxa"/>
            <w:tcBorders>
              <w:top w:val="single" w:sz="6" w:space="0" w:color="auto"/>
              <w:left w:val="single" w:sz="18" w:space="0" w:color="auto"/>
              <w:bottom w:val="single" w:sz="6" w:space="0" w:color="auto"/>
              <w:right w:val="single" w:sz="4" w:space="0" w:color="auto"/>
            </w:tcBorders>
            <w:shd w:val="clear" w:color="auto" w:fill="8DB3E2" w:themeFill="text2" w:themeFillTint="66"/>
            <w:vAlign w:val="center"/>
          </w:tcPr>
          <w:p w:rsidR="00FC52B6" w:rsidRPr="0043547B" w:rsidRDefault="00FC52B6" w:rsidP="00DE416D">
            <w:pPr>
              <w:spacing w:after="0"/>
              <w:jc w:val="center"/>
              <w:rPr>
                <w:rFonts w:cstheme="minorHAnsi"/>
                <w:b/>
                <w:bCs/>
                <w:sz w:val="24"/>
                <w:szCs w:val="24"/>
              </w:rPr>
            </w:pPr>
            <w:r w:rsidRPr="0043547B">
              <w:rPr>
                <w:rFonts w:cstheme="minorHAnsi"/>
                <w:b/>
                <w:bCs/>
                <w:sz w:val="24"/>
                <w:szCs w:val="24"/>
              </w:rPr>
              <w:t>Intitulé :</w:t>
            </w:r>
          </w:p>
        </w:tc>
        <w:tc>
          <w:tcPr>
            <w:tcW w:w="8080" w:type="dxa"/>
            <w:tcBorders>
              <w:top w:val="single" w:sz="6" w:space="0" w:color="auto"/>
              <w:left w:val="single" w:sz="4" w:space="0" w:color="auto"/>
              <w:bottom w:val="single" w:sz="6" w:space="0" w:color="auto"/>
              <w:right w:val="single" w:sz="18" w:space="0" w:color="auto"/>
            </w:tcBorders>
            <w:shd w:val="clear" w:color="auto" w:fill="auto"/>
          </w:tcPr>
          <w:p w:rsidR="00FC52B6" w:rsidRPr="0043547B" w:rsidRDefault="00FC52B6" w:rsidP="0043547B">
            <w:pPr>
              <w:spacing w:after="0"/>
              <w:rPr>
                <w:rFonts w:cstheme="minorHAnsi"/>
                <w:b/>
                <w:bCs/>
                <w:sz w:val="24"/>
                <w:szCs w:val="24"/>
              </w:rPr>
            </w:pPr>
            <w:r w:rsidRPr="0043547B">
              <w:rPr>
                <w:rFonts w:cstheme="minorHAnsi"/>
                <w:b/>
                <w:bCs/>
                <w:sz w:val="24"/>
                <w:szCs w:val="24"/>
              </w:rPr>
              <w:t>Transformateurs de puissance - Partie 11 : Transformateurs de type sec; (IC 06.5.172)</w:t>
            </w:r>
          </w:p>
        </w:tc>
      </w:tr>
      <w:tr w:rsidR="0043547B" w:rsidRPr="0043547B" w:rsidTr="00CB5DC0">
        <w:trPr>
          <w:trHeight w:val="5347"/>
          <w:jc w:val="center"/>
        </w:trPr>
        <w:tc>
          <w:tcPr>
            <w:tcW w:w="1843" w:type="dxa"/>
            <w:tcBorders>
              <w:top w:val="single" w:sz="6" w:space="0" w:color="auto"/>
              <w:left w:val="single" w:sz="18" w:space="0" w:color="auto"/>
              <w:bottom w:val="single" w:sz="18" w:space="0" w:color="auto"/>
              <w:right w:val="single" w:sz="4" w:space="0" w:color="auto"/>
            </w:tcBorders>
            <w:shd w:val="clear" w:color="auto" w:fill="D9D9D9" w:themeFill="background1" w:themeFillShade="D9"/>
            <w:vAlign w:val="center"/>
          </w:tcPr>
          <w:p w:rsidR="00FC52B6" w:rsidRPr="0043547B" w:rsidRDefault="00FC52B6" w:rsidP="00DE416D">
            <w:pPr>
              <w:jc w:val="center"/>
              <w:rPr>
                <w:rFonts w:cstheme="minorHAnsi"/>
                <w:b/>
                <w:bCs/>
                <w:sz w:val="24"/>
                <w:szCs w:val="24"/>
              </w:rPr>
            </w:pPr>
            <w:r w:rsidRPr="0043547B">
              <w:rPr>
                <w:rFonts w:cstheme="minorHAnsi"/>
                <w:b/>
                <w:bCs/>
                <w:sz w:val="24"/>
                <w:szCs w:val="24"/>
              </w:rPr>
              <w:t>Domaine d’application :</w:t>
            </w:r>
          </w:p>
        </w:tc>
        <w:tc>
          <w:tcPr>
            <w:tcW w:w="8080" w:type="dxa"/>
            <w:tcBorders>
              <w:top w:val="single" w:sz="6" w:space="0" w:color="auto"/>
              <w:left w:val="single" w:sz="4" w:space="0" w:color="auto"/>
              <w:bottom w:val="single" w:sz="18" w:space="0" w:color="auto"/>
              <w:right w:val="single" w:sz="18" w:space="0" w:color="auto"/>
            </w:tcBorders>
            <w:shd w:val="clear" w:color="auto" w:fill="auto"/>
          </w:tcPr>
          <w:p w:rsidR="00DB0C61" w:rsidRPr="0043547B" w:rsidRDefault="00FC52B6" w:rsidP="00DB0C6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partie de la CEI 60076 s’applique aux transformateurs de type sec (y compris les autotransformateurs) ayant des valeurs de tension la plus élevée pour le matériel inférieures ou égales à 36 kV avec au moins un enroulement fonctionnant à plus de 1,1 kV. Cette norme s’applique à toutes les technologies de construction.</w:t>
            </w:r>
          </w:p>
          <w:p w:rsidR="00DE416D" w:rsidRPr="0043547B" w:rsidRDefault="00FC52B6" w:rsidP="00DB0C6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ne s’applique pas aux :</w:t>
            </w:r>
          </w:p>
          <w:p w:rsidR="00DE416D" w:rsidRPr="0043547B" w:rsidRDefault="00FC52B6" w:rsidP="00DB0C61">
            <w:pPr>
              <w:spacing w:after="0" w:line="240" w:lineRule="auto"/>
              <w:rPr>
                <w:rFonts w:eastAsia="Times New Roman" w:cstheme="minorHAnsi"/>
                <w:sz w:val="24"/>
                <w:szCs w:val="24"/>
                <w:lang w:eastAsia="fr-FR"/>
              </w:rPr>
            </w:pPr>
            <w:r w:rsidRPr="0043547B">
              <w:rPr>
                <w:rFonts w:eastAsia="Times New Roman" w:cstheme="minorHAnsi"/>
                <w:sz w:val="24"/>
                <w:szCs w:val="24"/>
                <w:lang w:eastAsia="fr-FR"/>
              </w:rPr>
              <w:t>– transformateurs de type sec avec un diélectrique gazeux autre que l’air;</w:t>
            </w:r>
            <w:r w:rsidRPr="0043547B">
              <w:rPr>
                <w:rFonts w:eastAsia="Times New Roman" w:cstheme="minorHAnsi"/>
                <w:sz w:val="24"/>
                <w:szCs w:val="24"/>
                <w:lang w:eastAsia="fr-FR"/>
              </w:rPr>
              <w:br/>
              <w:t>– transformateurs monophasés de moins de 5 kVA;</w:t>
            </w:r>
            <w:r w:rsidRPr="0043547B">
              <w:rPr>
                <w:rFonts w:eastAsia="Times New Roman" w:cstheme="minorHAnsi"/>
                <w:sz w:val="24"/>
                <w:szCs w:val="24"/>
                <w:lang w:eastAsia="fr-FR"/>
              </w:rPr>
              <w:br/>
              <w:t>– transformateurs polyphasés de moins de 15 kVA;</w:t>
            </w:r>
            <w:r w:rsidRPr="0043547B">
              <w:rPr>
                <w:rFonts w:eastAsia="Times New Roman" w:cstheme="minorHAnsi"/>
                <w:sz w:val="24"/>
                <w:szCs w:val="24"/>
                <w:lang w:eastAsia="fr-FR"/>
              </w:rPr>
              <w:br/>
              <w:t>– transformateurs de mesure (voir la CEI 60044 et la CEI 60186);</w:t>
            </w:r>
            <w:r w:rsidRPr="0043547B">
              <w:rPr>
                <w:rFonts w:eastAsia="Times New Roman" w:cstheme="minorHAnsi"/>
                <w:sz w:val="24"/>
                <w:szCs w:val="24"/>
                <w:lang w:eastAsia="fr-FR"/>
              </w:rPr>
              <w:br/>
              <w:t>– transformateurs de démarrage;</w:t>
            </w:r>
            <w:r w:rsidRPr="0043547B">
              <w:rPr>
                <w:rFonts w:eastAsia="Times New Roman" w:cstheme="minorHAnsi"/>
                <w:sz w:val="24"/>
                <w:szCs w:val="24"/>
                <w:lang w:eastAsia="fr-FR"/>
              </w:rPr>
              <w:br/>
              <w:t>– transformateurs d’essai;</w:t>
            </w:r>
            <w:r w:rsidRPr="0043547B">
              <w:rPr>
                <w:rFonts w:eastAsia="Times New Roman" w:cstheme="minorHAnsi"/>
                <w:sz w:val="24"/>
                <w:szCs w:val="24"/>
                <w:lang w:eastAsia="fr-FR"/>
              </w:rPr>
              <w:br/>
              <w:t>– transformateurs de traction montés sur équipement roulant;</w:t>
            </w:r>
            <w:r w:rsidRPr="0043547B">
              <w:rPr>
                <w:rFonts w:eastAsia="Times New Roman" w:cstheme="minorHAnsi"/>
                <w:sz w:val="24"/>
                <w:szCs w:val="24"/>
                <w:lang w:eastAsia="fr-FR"/>
              </w:rPr>
              <w:br/>
              <w:t>– transformateurs antidéflagrant et de mines;</w:t>
            </w:r>
            <w:r w:rsidRPr="0043547B">
              <w:rPr>
                <w:rFonts w:eastAsia="Times New Roman" w:cstheme="minorHAnsi"/>
                <w:sz w:val="24"/>
                <w:szCs w:val="24"/>
                <w:lang w:eastAsia="fr-FR"/>
              </w:rPr>
              <w:br/>
              <w:t>– transformateurs de soudure;</w:t>
            </w:r>
            <w:r w:rsidRPr="0043547B">
              <w:rPr>
                <w:rFonts w:eastAsia="Times New Roman" w:cstheme="minorHAnsi"/>
                <w:sz w:val="24"/>
                <w:szCs w:val="24"/>
                <w:lang w:eastAsia="fr-FR"/>
              </w:rPr>
              <w:br/>
              <w:t>– transformateurs de réglage de tension;</w:t>
            </w:r>
            <w:r w:rsidRPr="0043547B">
              <w:rPr>
                <w:rFonts w:eastAsia="Times New Roman" w:cstheme="minorHAnsi"/>
                <w:sz w:val="24"/>
                <w:szCs w:val="24"/>
                <w:lang w:eastAsia="fr-FR"/>
              </w:rPr>
              <w:br/>
              <w:t>– petits transformateurs de puissance pour lesquels la sécurité est spécialement à prendre en compte.</w:t>
            </w:r>
          </w:p>
          <w:p w:rsidR="00FC52B6" w:rsidRPr="0043547B" w:rsidRDefault="00FC52B6" w:rsidP="00DB0C61">
            <w:pPr>
              <w:spacing w:after="0" w:line="240" w:lineRule="auto"/>
              <w:jc w:val="both"/>
              <w:rPr>
                <w:rFonts w:cstheme="minorHAnsi"/>
                <w:sz w:val="24"/>
                <w:szCs w:val="24"/>
              </w:rPr>
            </w:pPr>
            <w:r w:rsidRPr="0043547B">
              <w:rPr>
                <w:rFonts w:eastAsia="Times New Roman" w:cstheme="minorHAnsi"/>
                <w:sz w:val="24"/>
                <w:szCs w:val="24"/>
                <w:lang w:eastAsia="fr-FR"/>
              </w:rPr>
              <w:t>Lorsqu’il n’existe pas de norme CEI pour les transformateurs mentionnés ci -dessus ou pour d’autres transformateurs spéciaux, la présente norme peut être appliquée en tout ou en partie</w:t>
            </w:r>
            <w:r w:rsidRPr="0043547B">
              <w:rPr>
                <w:rFonts w:cstheme="minorHAnsi"/>
                <w:sz w:val="24"/>
                <w:szCs w:val="24"/>
              </w:rPr>
              <w:t>.</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tcPr>
          <w:p w:rsidR="00FC52B6" w:rsidRPr="0043547B" w:rsidRDefault="00FC52B6" w:rsidP="00DE416D">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tcPr>
          <w:p w:rsidR="00FC52B6" w:rsidRPr="0043547B" w:rsidRDefault="00FC52B6" w:rsidP="00DE416D">
            <w:pPr>
              <w:spacing w:after="0"/>
              <w:jc w:val="center"/>
              <w:rPr>
                <w:rFonts w:cstheme="minorHAnsi"/>
                <w:b/>
                <w:bCs/>
                <w:sz w:val="24"/>
                <w:szCs w:val="24"/>
              </w:rPr>
            </w:pPr>
            <w:r w:rsidRPr="0043547B">
              <w:rPr>
                <w:rFonts w:cstheme="minorHAnsi"/>
                <w:b/>
                <w:bCs/>
                <w:sz w:val="24"/>
                <w:szCs w:val="24"/>
              </w:rPr>
              <w:t>NM CEI 60076-13</w:t>
            </w:r>
          </w:p>
        </w:tc>
      </w:tr>
      <w:tr w:rsidR="0043547B" w:rsidRPr="0043547B" w:rsidTr="00CB5DC0">
        <w:trPr>
          <w:trHeight w:val="315"/>
          <w:jc w:val="center"/>
        </w:trPr>
        <w:tc>
          <w:tcPr>
            <w:tcW w:w="1843" w:type="dxa"/>
            <w:tcBorders>
              <w:top w:val="single" w:sz="18" w:space="0" w:color="auto"/>
              <w:left w:val="single" w:sz="18" w:space="0" w:color="auto"/>
              <w:bottom w:val="single" w:sz="6" w:space="0" w:color="auto"/>
              <w:right w:val="single" w:sz="4" w:space="0" w:color="auto"/>
            </w:tcBorders>
            <w:shd w:val="clear" w:color="auto" w:fill="FFFF99"/>
            <w:vAlign w:val="center"/>
          </w:tcPr>
          <w:p w:rsidR="00FC52B6" w:rsidRPr="0043547B" w:rsidRDefault="00FC52B6" w:rsidP="00DE416D">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bottom w:val="single" w:sz="6" w:space="0" w:color="auto"/>
              <w:right w:val="single" w:sz="18" w:space="0" w:color="auto"/>
            </w:tcBorders>
            <w:shd w:val="clear" w:color="auto" w:fill="FFFF99"/>
          </w:tcPr>
          <w:p w:rsidR="00FC52B6" w:rsidRPr="0043547B" w:rsidRDefault="00FC52B6" w:rsidP="00DE416D">
            <w:pPr>
              <w:spacing w:after="0"/>
              <w:jc w:val="center"/>
              <w:rPr>
                <w:rFonts w:cstheme="minorHAnsi"/>
                <w:b/>
                <w:bCs/>
                <w:sz w:val="24"/>
                <w:szCs w:val="24"/>
              </w:rPr>
            </w:pPr>
            <w:r w:rsidRPr="0043547B">
              <w:rPr>
                <w:rFonts w:cstheme="minorHAnsi"/>
                <w:b/>
                <w:bCs/>
                <w:sz w:val="24"/>
                <w:szCs w:val="24"/>
              </w:rPr>
              <w:t>CEI 60076-13</w:t>
            </w:r>
          </w:p>
        </w:tc>
      </w:tr>
      <w:tr w:rsidR="0043547B" w:rsidRPr="0043547B" w:rsidTr="00CB5DC0">
        <w:trPr>
          <w:trHeight w:val="315"/>
          <w:jc w:val="center"/>
        </w:trPr>
        <w:tc>
          <w:tcPr>
            <w:tcW w:w="1843" w:type="dxa"/>
            <w:tcBorders>
              <w:top w:val="single" w:sz="6" w:space="0" w:color="auto"/>
              <w:left w:val="single" w:sz="18" w:space="0" w:color="auto"/>
              <w:bottom w:val="single" w:sz="6" w:space="0" w:color="auto"/>
              <w:right w:val="single" w:sz="4" w:space="0" w:color="auto"/>
            </w:tcBorders>
            <w:shd w:val="clear" w:color="auto" w:fill="8DB3E2" w:themeFill="text2" w:themeFillTint="66"/>
            <w:vAlign w:val="center"/>
          </w:tcPr>
          <w:p w:rsidR="00FC52B6" w:rsidRPr="0043547B" w:rsidRDefault="00FC52B6" w:rsidP="00DE416D">
            <w:pPr>
              <w:spacing w:after="0"/>
              <w:jc w:val="center"/>
              <w:rPr>
                <w:rFonts w:cstheme="minorHAnsi"/>
                <w:b/>
                <w:bCs/>
                <w:sz w:val="24"/>
                <w:szCs w:val="24"/>
              </w:rPr>
            </w:pPr>
            <w:r w:rsidRPr="0043547B">
              <w:rPr>
                <w:rFonts w:cstheme="minorHAnsi"/>
                <w:b/>
                <w:bCs/>
                <w:sz w:val="24"/>
                <w:szCs w:val="24"/>
              </w:rPr>
              <w:lastRenderedPageBreak/>
              <w:t>Intitulé :</w:t>
            </w:r>
          </w:p>
        </w:tc>
        <w:tc>
          <w:tcPr>
            <w:tcW w:w="8080" w:type="dxa"/>
            <w:tcBorders>
              <w:top w:val="single" w:sz="6" w:space="0" w:color="auto"/>
              <w:left w:val="single" w:sz="4" w:space="0" w:color="auto"/>
              <w:bottom w:val="single" w:sz="6" w:space="0" w:color="auto"/>
              <w:right w:val="single" w:sz="18" w:space="0" w:color="auto"/>
            </w:tcBorders>
            <w:shd w:val="clear" w:color="auto" w:fill="auto"/>
          </w:tcPr>
          <w:p w:rsidR="00FC52B6" w:rsidRPr="00E7624B" w:rsidRDefault="00FC52B6" w:rsidP="009B2690">
            <w:pPr>
              <w:spacing w:after="0"/>
              <w:rPr>
                <w:rFonts w:cstheme="minorHAnsi"/>
                <w:sz w:val="24"/>
                <w:szCs w:val="24"/>
              </w:rPr>
            </w:pPr>
            <w:r w:rsidRPr="00E7624B">
              <w:rPr>
                <w:rFonts w:cstheme="minorHAnsi"/>
                <w:sz w:val="24"/>
                <w:szCs w:val="24"/>
                <w:shd w:val="clear" w:color="auto" w:fill="FFFFFF" w:themeFill="background1"/>
              </w:rPr>
              <w:t>Transformateurs de puissance - Partie 13 : Transformateurs auto- protégés immergés dans un liquide diélectrique</w:t>
            </w:r>
            <w:r w:rsidRPr="00E7624B">
              <w:rPr>
                <w:rFonts w:cstheme="minorHAnsi"/>
                <w:sz w:val="24"/>
                <w:szCs w:val="24"/>
              </w:rPr>
              <w:t xml:space="preserve"> ; </w:t>
            </w:r>
          </w:p>
        </w:tc>
      </w:tr>
      <w:tr w:rsidR="0043547B" w:rsidRPr="0043547B" w:rsidTr="00CB5DC0">
        <w:trPr>
          <w:trHeight w:val="315"/>
          <w:jc w:val="center"/>
        </w:trPr>
        <w:tc>
          <w:tcPr>
            <w:tcW w:w="1843" w:type="dxa"/>
            <w:tcBorders>
              <w:top w:val="single" w:sz="6" w:space="0" w:color="auto"/>
              <w:left w:val="single" w:sz="18" w:space="0" w:color="auto"/>
              <w:bottom w:val="single" w:sz="18" w:space="0" w:color="auto"/>
              <w:right w:val="single" w:sz="4" w:space="0" w:color="auto"/>
            </w:tcBorders>
            <w:shd w:val="clear" w:color="auto" w:fill="D9D9D9" w:themeFill="background1" w:themeFillShade="D9"/>
            <w:vAlign w:val="center"/>
          </w:tcPr>
          <w:p w:rsidR="00FC52B6" w:rsidRPr="0043547B" w:rsidRDefault="00FC52B6" w:rsidP="00DE416D">
            <w:pPr>
              <w:jc w:val="center"/>
              <w:rPr>
                <w:rFonts w:cstheme="minorHAnsi"/>
                <w:b/>
                <w:bCs/>
                <w:sz w:val="24"/>
                <w:szCs w:val="24"/>
              </w:rPr>
            </w:pPr>
            <w:r w:rsidRPr="0043547B">
              <w:rPr>
                <w:rFonts w:cstheme="minorHAnsi"/>
                <w:b/>
                <w:bCs/>
                <w:sz w:val="24"/>
                <w:szCs w:val="24"/>
              </w:rPr>
              <w:t>Domaine d’application :</w:t>
            </w:r>
          </w:p>
        </w:tc>
        <w:tc>
          <w:tcPr>
            <w:tcW w:w="8080" w:type="dxa"/>
            <w:tcBorders>
              <w:top w:val="single" w:sz="6" w:space="0" w:color="auto"/>
              <w:left w:val="single" w:sz="4" w:space="0" w:color="auto"/>
              <w:bottom w:val="single" w:sz="18" w:space="0" w:color="auto"/>
              <w:right w:val="single" w:sz="18" w:space="0" w:color="auto"/>
            </w:tcBorders>
            <w:shd w:val="clear" w:color="auto" w:fill="auto"/>
          </w:tcPr>
          <w:p w:rsidR="00DE416D" w:rsidRPr="0043547B" w:rsidRDefault="00FC52B6" w:rsidP="00DE416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partie de la CEI 60076 s'applique aux transformateurs haute tension/basse tension auto-protégés, immergés dans un liquide diélectrique et à refroidissement naturel, d’une puissance assignée de 50 kVA à 1 000 kVA, destinés à une installation intérieure ou extérieure, ayant:</w:t>
            </w:r>
          </w:p>
          <w:p w:rsidR="00DB0C61" w:rsidRPr="0043547B" w:rsidRDefault="00FC52B6" w:rsidP="00DE416D">
            <w:pPr>
              <w:spacing w:after="0" w:line="240" w:lineRule="auto"/>
              <w:rPr>
                <w:rFonts w:eastAsia="Times New Roman" w:cstheme="minorHAnsi"/>
                <w:sz w:val="24"/>
                <w:szCs w:val="24"/>
                <w:lang w:eastAsia="fr-FR"/>
              </w:rPr>
            </w:pPr>
            <w:r w:rsidRPr="0043547B">
              <w:rPr>
                <w:rFonts w:eastAsia="Times New Roman" w:cstheme="minorHAnsi"/>
                <w:sz w:val="24"/>
                <w:szCs w:val="24"/>
                <w:lang w:eastAsia="fr-FR"/>
              </w:rPr>
              <w:t>– un enroulement primaire (haute tension) dont la tension la plus élevée pour le matériel ne dépasse pas 24 kV;</w:t>
            </w:r>
            <w:r w:rsidRPr="0043547B">
              <w:rPr>
                <w:rFonts w:eastAsia="Times New Roman" w:cstheme="minorHAnsi"/>
                <w:sz w:val="24"/>
                <w:szCs w:val="24"/>
                <w:lang w:eastAsia="fr-FR"/>
              </w:rPr>
              <w:br/>
              <w:t>– un enroulement secondaire (basse tension) dont la tension la plus élevée pour le matériel ne dépasse pas 1,1 kV.</w:t>
            </w:r>
          </w:p>
          <w:p w:rsidR="005B070B" w:rsidRDefault="00FC52B6" w:rsidP="00DB0C6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Ces transformateurs sont équipés d'un dispositif de protection et de déconnexion permettant de protéger l'environnement, les biens et les personnes et évitant toute perturbation du réseau haute tension consécutive à une défaillance interne du transformateur.</w:t>
            </w:r>
          </w:p>
          <w:p w:rsidR="00DE416D" w:rsidRPr="0043547B" w:rsidRDefault="00FC52B6" w:rsidP="00DB0C6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transformateurs couverts par la présente norme sont conformes aux exigences applicables données dans les normes CEI 60076.</w:t>
            </w:r>
          </w:p>
          <w:p w:rsidR="00DE416D" w:rsidRPr="0043547B" w:rsidRDefault="00FC52B6" w:rsidP="00DE416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 transformateur auto-protégé peut être utilisé conjointement avec d'autres dispositifs pour assurer la coordination et la sélectivité du système de protection. Le système de protection n'est pas conçu pour être opérationnel lorsque l'alimentation est réalisée à partir du côté basse tension. Le transformateur auto-protégé n'est pas prévu pour fonctionner en parallèle avec un autre transformateur.</w:t>
            </w:r>
          </w:p>
          <w:p w:rsidR="00FC52B6" w:rsidRPr="0043547B" w:rsidRDefault="00FC52B6" w:rsidP="00DE416D">
            <w:pPr>
              <w:spacing w:after="0" w:line="240" w:lineRule="auto"/>
              <w:jc w:val="both"/>
              <w:rPr>
                <w:rFonts w:cstheme="minorHAnsi"/>
                <w:i/>
                <w:iCs/>
                <w:sz w:val="24"/>
                <w:szCs w:val="24"/>
              </w:rPr>
            </w:pPr>
            <w:r w:rsidRPr="00E7624B">
              <w:rPr>
                <w:rFonts w:eastAsia="Times New Roman" w:cstheme="minorHAnsi"/>
                <w:b/>
                <w:bCs/>
                <w:i/>
                <w:iCs/>
                <w:lang w:eastAsia="fr-FR"/>
              </w:rPr>
              <w:t>NOTE</w:t>
            </w:r>
            <w:r w:rsidR="00DB0C61" w:rsidRPr="00E7624B">
              <w:rPr>
                <w:rFonts w:eastAsia="Times New Roman" w:cstheme="minorHAnsi"/>
                <w:b/>
                <w:bCs/>
                <w:i/>
                <w:iCs/>
                <w:lang w:eastAsia="fr-FR"/>
              </w:rPr>
              <w:t> </w:t>
            </w:r>
            <w:r w:rsidR="00DB0C61" w:rsidRPr="00E7624B">
              <w:rPr>
                <w:rFonts w:eastAsia="Times New Roman" w:cstheme="minorHAnsi"/>
                <w:i/>
                <w:iCs/>
                <w:lang w:eastAsia="fr-FR"/>
              </w:rPr>
              <w:t>:</w:t>
            </w:r>
            <w:r w:rsidRPr="00E7624B">
              <w:rPr>
                <w:rFonts w:eastAsia="Times New Roman" w:cstheme="minorHAnsi"/>
                <w:i/>
                <w:iCs/>
                <w:lang w:eastAsia="fr-FR"/>
              </w:rPr>
              <w:t xml:space="preserve"> Cette norme peut être appliquée à un transformateur avec une tension supérieure à 24 kV ou toute autre puissance assignée, par accord entre le fabricant et l'acheteur. Il convient alors d'effectuer les essais de validation au niveau approprié.</w:t>
            </w:r>
          </w:p>
        </w:tc>
      </w:tr>
      <w:tr w:rsidR="0043547B" w:rsidRPr="0043547B" w:rsidTr="00CB5DC0">
        <w:trPr>
          <w:trHeight w:val="315"/>
          <w:jc w:val="center"/>
        </w:trPr>
        <w:tc>
          <w:tcPr>
            <w:tcW w:w="1843" w:type="dxa"/>
            <w:tcBorders>
              <w:top w:val="single" w:sz="6" w:space="0" w:color="auto"/>
              <w:left w:val="single" w:sz="18" w:space="0" w:color="auto"/>
              <w:bottom w:val="single" w:sz="18" w:space="0" w:color="auto"/>
              <w:right w:val="single" w:sz="4" w:space="0" w:color="auto"/>
            </w:tcBorders>
            <w:shd w:val="clear" w:color="auto" w:fill="C2D69B" w:themeFill="accent3" w:themeFillTint="99"/>
            <w:vAlign w:val="center"/>
          </w:tcPr>
          <w:p w:rsidR="00901FF9" w:rsidRPr="0043547B" w:rsidRDefault="00901FF9" w:rsidP="00F03379">
            <w:pPr>
              <w:spacing w:after="0"/>
              <w:jc w:val="center"/>
              <w:rPr>
                <w:rFonts w:cstheme="minorHAnsi"/>
                <w:b/>
                <w:bCs/>
                <w:sz w:val="24"/>
                <w:szCs w:val="24"/>
              </w:rPr>
            </w:pPr>
            <w:r w:rsidRPr="0043547B">
              <w:rPr>
                <w:rFonts w:cstheme="minorHAnsi"/>
                <w:b/>
                <w:bCs/>
                <w:sz w:val="24"/>
                <w:szCs w:val="24"/>
              </w:rPr>
              <w:t>Code marocain :</w:t>
            </w:r>
          </w:p>
        </w:tc>
        <w:tc>
          <w:tcPr>
            <w:tcW w:w="8080" w:type="dxa"/>
            <w:tcBorders>
              <w:top w:val="single" w:sz="6" w:space="0" w:color="auto"/>
              <w:left w:val="single" w:sz="4" w:space="0" w:color="auto"/>
              <w:bottom w:val="single" w:sz="18" w:space="0" w:color="auto"/>
              <w:right w:val="single" w:sz="18" w:space="0" w:color="auto"/>
            </w:tcBorders>
            <w:shd w:val="clear" w:color="auto" w:fill="C2D69B" w:themeFill="accent3" w:themeFillTint="99"/>
          </w:tcPr>
          <w:p w:rsidR="00901FF9" w:rsidRPr="0043547B" w:rsidRDefault="00901FF9" w:rsidP="00F03379">
            <w:pPr>
              <w:spacing w:after="0"/>
              <w:jc w:val="center"/>
              <w:rPr>
                <w:rFonts w:cstheme="minorHAnsi"/>
                <w:b/>
                <w:bCs/>
                <w:sz w:val="24"/>
                <w:szCs w:val="24"/>
              </w:rPr>
            </w:pPr>
            <w:r w:rsidRPr="0043547B">
              <w:rPr>
                <w:rFonts w:cstheme="minorHAnsi"/>
                <w:b/>
                <w:bCs/>
                <w:sz w:val="24"/>
                <w:szCs w:val="24"/>
              </w:rPr>
              <w:t>NM ISO 8995-1</w:t>
            </w:r>
          </w:p>
        </w:tc>
      </w:tr>
      <w:tr w:rsidR="0043547B" w:rsidRPr="0043547B" w:rsidTr="00CB5DC0">
        <w:trPr>
          <w:trHeight w:val="315"/>
          <w:jc w:val="center"/>
        </w:trPr>
        <w:tc>
          <w:tcPr>
            <w:tcW w:w="1843" w:type="dxa"/>
            <w:tcBorders>
              <w:top w:val="single" w:sz="6" w:space="0" w:color="auto"/>
              <w:left w:val="single" w:sz="18" w:space="0" w:color="auto"/>
              <w:bottom w:val="single" w:sz="18" w:space="0" w:color="auto"/>
              <w:right w:val="single" w:sz="4" w:space="0" w:color="auto"/>
            </w:tcBorders>
            <w:shd w:val="clear" w:color="auto" w:fill="FFFF89"/>
            <w:vAlign w:val="center"/>
          </w:tcPr>
          <w:p w:rsidR="00901FF9" w:rsidRPr="0043547B" w:rsidRDefault="00901FF9" w:rsidP="00F03379">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6" w:space="0" w:color="auto"/>
              <w:left w:val="single" w:sz="4" w:space="0" w:color="auto"/>
              <w:bottom w:val="single" w:sz="18" w:space="0" w:color="auto"/>
              <w:right w:val="single" w:sz="18" w:space="0" w:color="auto"/>
            </w:tcBorders>
            <w:shd w:val="clear" w:color="auto" w:fill="FFFF89"/>
            <w:vAlign w:val="center"/>
          </w:tcPr>
          <w:p w:rsidR="00901FF9" w:rsidRPr="0043547B" w:rsidRDefault="00901FF9" w:rsidP="00F03379">
            <w:pPr>
              <w:spacing w:after="0"/>
              <w:jc w:val="center"/>
              <w:rPr>
                <w:rFonts w:cstheme="minorHAnsi"/>
                <w:b/>
                <w:bCs/>
                <w:sz w:val="24"/>
                <w:szCs w:val="24"/>
              </w:rPr>
            </w:pPr>
            <w:r w:rsidRPr="0043547B">
              <w:rPr>
                <w:rFonts w:cstheme="minorHAnsi"/>
                <w:b/>
                <w:bCs/>
                <w:sz w:val="24"/>
                <w:szCs w:val="24"/>
              </w:rPr>
              <w:t xml:space="preserve"> ISO 8995-1</w:t>
            </w:r>
          </w:p>
        </w:tc>
      </w:tr>
      <w:tr w:rsidR="0043547B" w:rsidRPr="0043547B" w:rsidTr="00CB5DC0">
        <w:trPr>
          <w:trHeight w:val="315"/>
          <w:jc w:val="center"/>
        </w:trPr>
        <w:tc>
          <w:tcPr>
            <w:tcW w:w="1843" w:type="dxa"/>
            <w:tcBorders>
              <w:top w:val="single" w:sz="6" w:space="0" w:color="auto"/>
              <w:left w:val="single" w:sz="18" w:space="0" w:color="auto"/>
              <w:bottom w:val="single" w:sz="18" w:space="0" w:color="auto"/>
              <w:right w:val="single" w:sz="4" w:space="0" w:color="auto"/>
            </w:tcBorders>
            <w:shd w:val="clear" w:color="auto" w:fill="8DB3E2" w:themeFill="text2" w:themeFillTint="66"/>
            <w:vAlign w:val="center"/>
          </w:tcPr>
          <w:p w:rsidR="00901FF9" w:rsidRPr="0043547B" w:rsidRDefault="00901FF9" w:rsidP="00F03379">
            <w:pPr>
              <w:spacing w:after="0"/>
              <w:jc w:val="center"/>
              <w:rPr>
                <w:rFonts w:cstheme="minorHAnsi"/>
                <w:b/>
                <w:bCs/>
                <w:sz w:val="24"/>
                <w:szCs w:val="24"/>
              </w:rPr>
            </w:pPr>
            <w:r w:rsidRPr="0043547B">
              <w:rPr>
                <w:rFonts w:cstheme="minorHAnsi"/>
                <w:b/>
                <w:bCs/>
                <w:sz w:val="24"/>
                <w:szCs w:val="24"/>
              </w:rPr>
              <w:t>Intitulé :</w:t>
            </w:r>
          </w:p>
        </w:tc>
        <w:tc>
          <w:tcPr>
            <w:tcW w:w="8080" w:type="dxa"/>
            <w:tcBorders>
              <w:top w:val="single" w:sz="6" w:space="0" w:color="auto"/>
              <w:left w:val="single" w:sz="4" w:space="0" w:color="auto"/>
              <w:bottom w:val="single" w:sz="18" w:space="0" w:color="auto"/>
              <w:right w:val="single" w:sz="18" w:space="0" w:color="auto"/>
            </w:tcBorders>
            <w:shd w:val="clear" w:color="auto" w:fill="auto"/>
          </w:tcPr>
          <w:p w:rsidR="00901FF9" w:rsidRPr="0043547B" w:rsidRDefault="00901FF9" w:rsidP="00F03379">
            <w:pPr>
              <w:spacing w:after="0"/>
              <w:rPr>
                <w:rFonts w:cstheme="minorHAnsi"/>
                <w:sz w:val="24"/>
                <w:szCs w:val="24"/>
              </w:rPr>
            </w:pPr>
            <w:r w:rsidRPr="0043547B">
              <w:rPr>
                <w:rFonts w:cstheme="minorHAnsi"/>
                <w:sz w:val="24"/>
                <w:szCs w:val="24"/>
              </w:rPr>
              <w:t xml:space="preserve">Éclairage des lieux de travail - Partie 1 : Intérieur </w:t>
            </w:r>
          </w:p>
        </w:tc>
      </w:tr>
      <w:tr w:rsidR="0043547B" w:rsidRPr="00335D7D" w:rsidTr="00CB5DC0">
        <w:trPr>
          <w:trHeight w:val="1669"/>
          <w:jc w:val="center"/>
        </w:trPr>
        <w:tc>
          <w:tcPr>
            <w:tcW w:w="1843" w:type="dxa"/>
            <w:tcBorders>
              <w:top w:val="single" w:sz="6" w:space="0" w:color="auto"/>
              <w:left w:val="single" w:sz="18" w:space="0" w:color="auto"/>
              <w:bottom w:val="single" w:sz="18" w:space="0" w:color="auto"/>
              <w:right w:val="single" w:sz="4" w:space="0" w:color="auto"/>
            </w:tcBorders>
            <w:shd w:val="clear" w:color="auto" w:fill="D9D9D9" w:themeFill="background1" w:themeFillShade="D9"/>
            <w:vAlign w:val="center"/>
          </w:tcPr>
          <w:p w:rsidR="00901FF9" w:rsidRPr="0043547B" w:rsidRDefault="00901FF9" w:rsidP="00F03379">
            <w:pPr>
              <w:jc w:val="center"/>
              <w:rPr>
                <w:rFonts w:cstheme="minorHAnsi"/>
                <w:b/>
                <w:bCs/>
                <w:sz w:val="24"/>
                <w:szCs w:val="24"/>
              </w:rPr>
            </w:pPr>
            <w:r w:rsidRPr="0043547B">
              <w:rPr>
                <w:rFonts w:cstheme="minorHAnsi"/>
                <w:b/>
                <w:bCs/>
                <w:sz w:val="24"/>
                <w:szCs w:val="24"/>
              </w:rPr>
              <w:t>Domaine d’application :</w:t>
            </w:r>
          </w:p>
        </w:tc>
        <w:tc>
          <w:tcPr>
            <w:tcW w:w="8080" w:type="dxa"/>
            <w:tcBorders>
              <w:top w:val="single" w:sz="6" w:space="0" w:color="auto"/>
              <w:left w:val="single" w:sz="4" w:space="0" w:color="auto"/>
              <w:bottom w:val="single" w:sz="18" w:space="0" w:color="auto"/>
              <w:right w:val="single" w:sz="18" w:space="0" w:color="auto"/>
            </w:tcBorders>
            <w:shd w:val="clear" w:color="auto" w:fill="auto"/>
            <w:vAlign w:val="bottom"/>
          </w:tcPr>
          <w:p w:rsidR="00901FF9" w:rsidRPr="0043547B" w:rsidRDefault="00901FF9" w:rsidP="00901FF9">
            <w:pPr>
              <w:rPr>
                <w:rFonts w:cstheme="minorHAnsi"/>
                <w:sz w:val="24"/>
                <w:szCs w:val="24"/>
                <w:lang w:val="en-US"/>
              </w:rPr>
            </w:pPr>
            <w:r w:rsidRPr="0043547B">
              <w:rPr>
                <w:rFonts w:cstheme="minorHAnsi"/>
                <w:sz w:val="24"/>
                <w:szCs w:val="24"/>
                <w:lang w:val="en-US"/>
              </w:rPr>
              <w:t>This standard specifies lighting requirements for indoor work places and for people to perform the visual tasks efficiently, in comfort and safety throughout the whole work period.</w:t>
            </w:r>
            <w:r w:rsidRPr="0043547B">
              <w:rPr>
                <w:rFonts w:cstheme="minorHAnsi"/>
                <w:sz w:val="24"/>
                <w:szCs w:val="24"/>
                <w:lang w:val="en-US"/>
              </w:rPr>
              <w:br/>
              <w:t>This standard does not explain how lighting systems or techniques should be designed to optimise solutions for specific work places. These may be found in the relevant CIE guides and reports.</w:t>
            </w:r>
          </w:p>
        </w:tc>
      </w:tr>
      <w:tr w:rsidR="0043547B" w:rsidRPr="0043547B" w:rsidTr="00CB5DC0">
        <w:trPr>
          <w:trHeight w:val="315"/>
          <w:jc w:val="center"/>
        </w:trPr>
        <w:tc>
          <w:tcPr>
            <w:tcW w:w="1843" w:type="dxa"/>
            <w:tcBorders>
              <w:top w:val="single" w:sz="6" w:space="0" w:color="auto"/>
              <w:left w:val="single" w:sz="18" w:space="0" w:color="auto"/>
              <w:bottom w:val="single" w:sz="18" w:space="0" w:color="auto"/>
              <w:right w:val="single" w:sz="4" w:space="0" w:color="auto"/>
            </w:tcBorders>
            <w:shd w:val="clear" w:color="auto" w:fill="C2D69B" w:themeFill="accent3" w:themeFillTint="99"/>
            <w:vAlign w:val="center"/>
          </w:tcPr>
          <w:p w:rsidR="00901FF9" w:rsidRPr="0043547B" w:rsidRDefault="00901FF9" w:rsidP="00F03379">
            <w:pPr>
              <w:spacing w:after="0"/>
              <w:jc w:val="center"/>
              <w:rPr>
                <w:rFonts w:cstheme="minorHAnsi"/>
                <w:b/>
                <w:bCs/>
                <w:sz w:val="24"/>
                <w:szCs w:val="24"/>
              </w:rPr>
            </w:pPr>
            <w:r w:rsidRPr="0043547B">
              <w:rPr>
                <w:rFonts w:cstheme="minorHAnsi"/>
                <w:b/>
                <w:bCs/>
                <w:sz w:val="24"/>
                <w:szCs w:val="24"/>
              </w:rPr>
              <w:t>Code marocain :</w:t>
            </w:r>
          </w:p>
        </w:tc>
        <w:tc>
          <w:tcPr>
            <w:tcW w:w="8080" w:type="dxa"/>
            <w:tcBorders>
              <w:top w:val="single" w:sz="6" w:space="0" w:color="auto"/>
              <w:left w:val="single" w:sz="4" w:space="0" w:color="auto"/>
              <w:bottom w:val="single" w:sz="18" w:space="0" w:color="auto"/>
              <w:right w:val="single" w:sz="18" w:space="0" w:color="auto"/>
            </w:tcBorders>
            <w:shd w:val="clear" w:color="auto" w:fill="C2D69B" w:themeFill="accent3" w:themeFillTint="99"/>
          </w:tcPr>
          <w:p w:rsidR="00901FF9" w:rsidRPr="0043547B" w:rsidRDefault="00901FF9" w:rsidP="00F03379">
            <w:pPr>
              <w:spacing w:after="0"/>
              <w:jc w:val="center"/>
              <w:rPr>
                <w:rFonts w:cstheme="minorHAnsi"/>
                <w:b/>
                <w:bCs/>
                <w:sz w:val="24"/>
                <w:szCs w:val="24"/>
              </w:rPr>
            </w:pPr>
            <w:r w:rsidRPr="0043547B">
              <w:rPr>
                <w:rFonts w:cstheme="minorHAnsi"/>
                <w:b/>
                <w:bCs/>
                <w:sz w:val="24"/>
                <w:szCs w:val="24"/>
              </w:rPr>
              <w:t>NM ISO 8995-3</w:t>
            </w:r>
          </w:p>
        </w:tc>
      </w:tr>
      <w:tr w:rsidR="0043547B" w:rsidRPr="0043547B" w:rsidTr="00CB5DC0">
        <w:trPr>
          <w:trHeight w:val="315"/>
          <w:jc w:val="center"/>
        </w:trPr>
        <w:tc>
          <w:tcPr>
            <w:tcW w:w="1843" w:type="dxa"/>
            <w:tcBorders>
              <w:top w:val="single" w:sz="6" w:space="0" w:color="auto"/>
              <w:left w:val="single" w:sz="18" w:space="0" w:color="auto"/>
              <w:bottom w:val="single" w:sz="18" w:space="0" w:color="auto"/>
              <w:right w:val="single" w:sz="4" w:space="0" w:color="auto"/>
            </w:tcBorders>
            <w:shd w:val="clear" w:color="auto" w:fill="FFFF89"/>
            <w:vAlign w:val="center"/>
          </w:tcPr>
          <w:p w:rsidR="00901FF9" w:rsidRPr="0043547B" w:rsidRDefault="00901FF9" w:rsidP="00F03379">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6" w:space="0" w:color="auto"/>
              <w:left w:val="single" w:sz="4" w:space="0" w:color="auto"/>
              <w:bottom w:val="single" w:sz="18" w:space="0" w:color="auto"/>
              <w:right w:val="single" w:sz="18" w:space="0" w:color="auto"/>
            </w:tcBorders>
            <w:shd w:val="clear" w:color="auto" w:fill="FFFF89"/>
            <w:vAlign w:val="center"/>
          </w:tcPr>
          <w:p w:rsidR="00901FF9" w:rsidRPr="0043547B" w:rsidRDefault="00901FF9" w:rsidP="00F03379">
            <w:pPr>
              <w:spacing w:after="0"/>
              <w:jc w:val="center"/>
              <w:rPr>
                <w:rFonts w:cstheme="minorHAnsi"/>
                <w:b/>
                <w:bCs/>
                <w:sz w:val="24"/>
                <w:szCs w:val="24"/>
              </w:rPr>
            </w:pPr>
            <w:r w:rsidRPr="0043547B">
              <w:rPr>
                <w:rFonts w:cstheme="minorHAnsi"/>
                <w:b/>
                <w:bCs/>
                <w:sz w:val="24"/>
                <w:szCs w:val="24"/>
              </w:rPr>
              <w:t xml:space="preserve"> ISO 8995-3</w:t>
            </w:r>
          </w:p>
        </w:tc>
      </w:tr>
      <w:tr w:rsidR="0043547B" w:rsidRPr="0043547B" w:rsidTr="00CB5DC0">
        <w:trPr>
          <w:trHeight w:val="315"/>
          <w:jc w:val="center"/>
        </w:trPr>
        <w:tc>
          <w:tcPr>
            <w:tcW w:w="1843" w:type="dxa"/>
            <w:tcBorders>
              <w:top w:val="single" w:sz="6" w:space="0" w:color="auto"/>
              <w:left w:val="single" w:sz="18" w:space="0" w:color="auto"/>
              <w:bottom w:val="single" w:sz="18" w:space="0" w:color="auto"/>
              <w:right w:val="single" w:sz="4" w:space="0" w:color="auto"/>
            </w:tcBorders>
            <w:shd w:val="clear" w:color="auto" w:fill="8DB3E2" w:themeFill="text2" w:themeFillTint="66"/>
            <w:vAlign w:val="center"/>
          </w:tcPr>
          <w:p w:rsidR="00901FF9" w:rsidRPr="0043547B" w:rsidRDefault="00901FF9" w:rsidP="00F03379">
            <w:pPr>
              <w:spacing w:after="0"/>
              <w:jc w:val="center"/>
              <w:rPr>
                <w:rFonts w:cstheme="minorHAnsi"/>
                <w:b/>
                <w:bCs/>
                <w:sz w:val="24"/>
                <w:szCs w:val="24"/>
              </w:rPr>
            </w:pPr>
            <w:r w:rsidRPr="0043547B">
              <w:rPr>
                <w:rFonts w:cstheme="minorHAnsi"/>
                <w:b/>
                <w:bCs/>
                <w:sz w:val="24"/>
                <w:szCs w:val="24"/>
              </w:rPr>
              <w:t>Intitulé :</w:t>
            </w:r>
          </w:p>
        </w:tc>
        <w:tc>
          <w:tcPr>
            <w:tcW w:w="8080" w:type="dxa"/>
            <w:tcBorders>
              <w:top w:val="single" w:sz="6" w:space="0" w:color="auto"/>
              <w:left w:val="single" w:sz="4" w:space="0" w:color="auto"/>
              <w:bottom w:val="single" w:sz="18" w:space="0" w:color="auto"/>
              <w:right w:val="single" w:sz="18" w:space="0" w:color="auto"/>
            </w:tcBorders>
            <w:shd w:val="clear" w:color="auto" w:fill="auto"/>
          </w:tcPr>
          <w:p w:rsidR="00901FF9" w:rsidRPr="0043547B" w:rsidRDefault="00901FF9" w:rsidP="00F03379">
            <w:pPr>
              <w:spacing w:after="0"/>
              <w:rPr>
                <w:rFonts w:cstheme="minorHAnsi"/>
                <w:sz w:val="24"/>
                <w:szCs w:val="24"/>
              </w:rPr>
            </w:pPr>
            <w:r w:rsidRPr="0043547B">
              <w:rPr>
                <w:rFonts w:cstheme="minorHAnsi"/>
                <w:sz w:val="24"/>
                <w:szCs w:val="24"/>
              </w:rPr>
              <w:t>Éclairage des lieux de travail - Partie 3 : Exigences requises de l'éclairage des lieux de travail extérieurs en matière de sûreté et de sécurité</w:t>
            </w:r>
          </w:p>
        </w:tc>
      </w:tr>
      <w:tr w:rsidR="0043547B" w:rsidRPr="00335D7D" w:rsidTr="00CB5DC0">
        <w:trPr>
          <w:trHeight w:val="315"/>
          <w:jc w:val="center"/>
        </w:trPr>
        <w:tc>
          <w:tcPr>
            <w:tcW w:w="1843" w:type="dxa"/>
            <w:tcBorders>
              <w:top w:val="single" w:sz="6" w:space="0" w:color="auto"/>
              <w:left w:val="single" w:sz="18" w:space="0" w:color="auto"/>
              <w:bottom w:val="single" w:sz="18" w:space="0" w:color="auto"/>
              <w:right w:val="single" w:sz="4" w:space="0" w:color="auto"/>
            </w:tcBorders>
            <w:shd w:val="clear" w:color="auto" w:fill="D9D9D9" w:themeFill="background1" w:themeFillShade="D9"/>
            <w:vAlign w:val="center"/>
          </w:tcPr>
          <w:p w:rsidR="00901FF9" w:rsidRPr="0043547B" w:rsidRDefault="00901FF9" w:rsidP="00F03379">
            <w:pPr>
              <w:jc w:val="center"/>
              <w:rPr>
                <w:rFonts w:cstheme="minorHAnsi"/>
                <w:b/>
                <w:bCs/>
                <w:sz w:val="24"/>
                <w:szCs w:val="24"/>
              </w:rPr>
            </w:pPr>
            <w:r w:rsidRPr="0043547B">
              <w:rPr>
                <w:rFonts w:cstheme="minorHAnsi"/>
                <w:b/>
                <w:bCs/>
                <w:sz w:val="24"/>
                <w:szCs w:val="24"/>
              </w:rPr>
              <w:t>Domaine d’application :</w:t>
            </w:r>
          </w:p>
        </w:tc>
        <w:tc>
          <w:tcPr>
            <w:tcW w:w="8080" w:type="dxa"/>
            <w:tcBorders>
              <w:top w:val="single" w:sz="6" w:space="0" w:color="auto"/>
              <w:left w:val="single" w:sz="4" w:space="0" w:color="auto"/>
              <w:bottom w:val="single" w:sz="18" w:space="0" w:color="auto"/>
              <w:right w:val="single" w:sz="18" w:space="0" w:color="auto"/>
            </w:tcBorders>
            <w:shd w:val="clear" w:color="auto" w:fill="auto"/>
            <w:vAlign w:val="bottom"/>
          </w:tcPr>
          <w:p w:rsidR="00901FF9" w:rsidRPr="0043547B" w:rsidRDefault="00901FF9" w:rsidP="00901FF9">
            <w:pPr>
              <w:rPr>
                <w:rFonts w:cstheme="minorHAnsi"/>
                <w:sz w:val="24"/>
                <w:szCs w:val="24"/>
                <w:lang w:val="en-US"/>
              </w:rPr>
            </w:pPr>
            <w:r w:rsidRPr="0043547B">
              <w:rPr>
                <w:rFonts w:cstheme="minorHAnsi"/>
                <w:sz w:val="24"/>
                <w:szCs w:val="24"/>
                <w:lang w:val="en-US"/>
              </w:rPr>
              <w:t>This standard specifies the lighting requirements which will contribute to the visual needs for safety and security within outdoor work places.</w:t>
            </w:r>
          </w:p>
        </w:tc>
      </w:tr>
      <w:tr w:rsidR="0043547B" w:rsidRPr="0043547B" w:rsidTr="00CB5DC0">
        <w:trPr>
          <w:trHeight w:val="315"/>
          <w:jc w:val="center"/>
        </w:trPr>
        <w:tc>
          <w:tcPr>
            <w:tcW w:w="1843" w:type="dxa"/>
            <w:tcBorders>
              <w:top w:val="single" w:sz="6" w:space="0" w:color="auto"/>
              <w:left w:val="single" w:sz="18" w:space="0" w:color="auto"/>
              <w:bottom w:val="single" w:sz="18" w:space="0" w:color="auto"/>
              <w:right w:val="single" w:sz="4" w:space="0" w:color="auto"/>
            </w:tcBorders>
            <w:shd w:val="clear" w:color="auto" w:fill="C2D69B" w:themeFill="accent3" w:themeFillTint="99"/>
            <w:vAlign w:val="center"/>
          </w:tcPr>
          <w:p w:rsidR="00901FF9" w:rsidRPr="0043547B" w:rsidRDefault="00901FF9" w:rsidP="00F03379">
            <w:pPr>
              <w:spacing w:after="0"/>
              <w:jc w:val="center"/>
              <w:rPr>
                <w:rFonts w:cstheme="minorHAnsi"/>
                <w:b/>
                <w:bCs/>
                <w:sz w:val="24"/>
                <w:szCs w:val="24"/>
              </w:rPr>
            </w:pPr>
            <w:r w:rsidRPr="0043547B">
              <w:rPr>
                <w:rFonts w:cstheme="minorHAnsi"/>
                <w:b/>
                <w:bCs/>
                <w:sz w:val="24"/>
                <w:szCs w:val="24"/>
              </w:rPr>
              <w:t>Code marocain :</w:t>
            </w:r>
          </w:p>
        </w:tc>
        <w:tc>
          <w:tcPr>
            <w:tcW w:w="8080" w:type="dxa"/>
            <w:tcBorders>
              <w:top w:val="single" w:sz="6" w:space="0" w:color="auto"/>
              <w:left w:val="single" w:sz="4" w:space="0" w:color="auto"/>
              <w:bottom w:val="single" w:sz="18" w:space="0" w:color="auto"/>
              <w:right w:val="single" w:sz="18" w:space="0" w:color="auto"/>
            </w:tcBorders>
            <w:shd w:val="clear" w:color="auto" w:fill="C2D69B" w:themeFill="accent3" w:themeFillTint="99"/>
          </w:tcPr>
          <w:p w:rsidR="00901FF9" w:rsidRPr="0043547B" w:rsidRDefault="00901FF9" w:rsidP="00F03379">
            <w:pPr>
              <w:spacing w:after="0"/>
              <w:jc w:val="center"/>
              <w:rPr>
                <w:rFonts w:cstheme="minorHAnsi"/>
                <w:b/>
                <w:bCs/>
                <w:sz w:val="24"/>
                <w:szCs w:val="24"/>
              </w:rPr>
            </w:pPr>
            <w:r w:rsidRPr="0043547B">
              <w:rPr>
                <w:rFonts w:cstheme="minorHAnsi"/>
                <w:b/>
                <w:bCs/>
                <w:sz w:val="24"/>
                <w:szCs w:val="24"/>
              </w:rPr>
              <w:t>NM ISO 30061</w:t>
            </w:r>
          </w:p>
        </w:tc>
      </w:tr>
      <w:tr w:rsidR="0043547B" w:rsidRPr="0043547B" w:rsidTr="00CB5DC0">
        <w:trPr>
          <w:trHeight w:val="315"/>
          <w:jc w:val="center"/>
        </w:trPr>
        <w:tc>
          <w:tcPr>
            <w:tcW w:w="1843" w:type="dxa"/>
            <w:tcBorders>
              <w:top w:val="single" w:sz="6" w:space="0" w:color="auto"/>
              <w:left w:val="single" w:sz="18" w:space="0" w:color="auto"/>
              <w:bottom w:val="single" w:sz="18" w:space="0" w:color="auto"/>
              <w:right w:val="single" w:sz="4" w:space="0" w:color="auto"/>
            </w:tcBorders>
            <w:shd w:val="clear" w:color="auto" w:fill="FFFF89"/>
            <w:vAlign w:val="center"/>
          </w:tcPr>
          <w:p w:rsidR="00901FF9" w:rsidRPr="0043547B" w:rsidRDefault="00901FF9" w:rsidP="00F03379">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6" w:space="0" w:color="auto"/>
              <w:left w:val="single" w:sz="4" w:space="0" w:color="auto"/>
              <w:bottom w:val="single" w:sz="18" w:space="0" w:color="auto"/>
              <w:right w:val="single" w:sz="18" w:space="0" w:color="auto"/>
            </w:tcBorders>
            <w:shd w:val="clear" w:color="auto" w:fill="FFFF89"/>
            <w:vAlign w:val="center"/>
          </w:tcPr>
          <w:p w:rsidR="00901FF9" w:rsidRPr="0043547B" w:rsidRDefault="00901FF9" w:rsidP="00F03379">
            <w:pPr>
              <w:spacing w:after="0"/>
              <w:jc w:val="center"/>
              <w:rPr>
                <w:rFonts w:cstheme="minorHAnsi"/>
                <w:b/>
                <w:bCs/>
                <w:sz w:val="24"/>
                <w:szCs w:val="24"/>
              </w:rPr>
            </w:pPr>
            <w:r w:rsidRPr="0043547B">
              <w:rPr>
                <w:rFonts w:cstheme="minorHAnsi"/>
                <w:b/>
                <w:bCs/>
                <w:sz w:val="24"/>
                <w:szCs w:val="24"/>
              </w:rPr>
              <w:t xml:space="preserve"> ISO 30061</w:t>
            </w:r>
          </w:p>
        </w:tc>
      </w:tr>
      <w:tr w:rsidR="0043547B" w:rsidRPr="0043547B" w:rsidTr="00CB5DC0">
        <w:trPr>
          <w:trHeight w:val="315"/>
          <w:jc w:val="center"/>
        </w:trPr>
        <w:tc>
          <w:tcPr>
            <w:tcW w:w="1843" w:type="dxa"/>
            <w:tcBorders>
              <w:top w:val="single" w:sz="6" w:space="0" w:color="auto"/>
              <w:left w:val="single" w:sz="18" w:space="0" w:color="auto"/>
              <w:bottom w:val="single" w:sz="18" w:space="0" w:color="auto"/>
              <w:right w:val="single" w:sz="4" w:space="0" w:color="auto"/>
            </w:tcBorders>
            <w:shd w:val="clear" w:color="auto" w:fill="8DB3E2" w:themeFill="text2" w:themeFillTint="66"/>
            <w:vAlign w:val="center"/>
          </w:tcPr>
          <w:p w:rsidR="00901FF9" w:rsidRPr="0043547B" w:rsidRDefault="00901FF9" w:rsidP="00F03379">
            <w:pPr>
              <w:spacing w:after="0"/>
              <w:jc w:val="center"/>
              <w:rPr>
                <w:rFonts w:cstheme="minorHAnsi"/>
                <w:b/>
                <w:bCs/>
                <w:sz w:val="24"/>
                <w:szCs w:val="24"/>
              </w:rPr>
            </w:pPr>
            <w:r w:rsidRPr="0043547B">
              <w:rPr>
                <w:rFonts w:cstheme="minorHAnsi"/>
                <w:b/>
                <w:bCs/>
                <w:sz w:val="24"/>
                <w:szCs w:val="24"/>
              </w:rPr>
              <w:t>Intitulé :</w:t>
            </w:r>
          </w:p>
        </w:tc>
        <w:tc>
          <w:tcPr>
            <w:tcW w:w="8080" w:type="dxa"/>
            <w:tcBorders>
              <w:top w:val="single" w:sz="6" w:space="0" w:color="auto"/>
              <w:left w:val="single" w:sz="4" w:space="0" w:color="auto"/>
              <w:bottom w:val="single" w:sz="18" w:space="0" w:color="auto"/>
              <w:right w:val="single" w:sz="18" w:space="0" w:color="auto"/>
            </w:tcBorders>
            <w:shd w:val="clear" w:color="auto" w:fill="auto"/>
          </w:tcPr>
          <w:p w:rsidR="00901FF9" w:rsidRPr="0043547B" w:rsidRDefault="00901FF9" w:rsidP="00F03379">
            <w:pPr>
              <w:spacing w:after="0"/>
              <w:rPr>
                <w:rFonts w:cstheme="minorHAnsi"/>
                <w:sz w:val="24"/>
                <w:szCs w:val="24"/>
              </w:rPr>
            </w:pPr>
            <w:r w:rsidRPr="0043547B">
              <w:rPr>
                <w:rFonts w:cstheme="minorHAnsi"/>
                <w:sz w:val="24"/>
                <w:szCs w:val="24"/>
              </w:rPr>
              <w:t xml:space="preserve">Éclairage de secours </w:t>
            </w:r>
          </w:p>
        </w:tc>
      </w:tr>
      <w:tr w:rsidR="0043547B" w:rsidRPr="00D76221" w:rsidTr="00CB5DC0">
        <w:trPr>
          <w:trHeight w:val="925"/>
          <w:jc w:val="center"/>
        </w:trPr>
        <w:tc>
          <w:tcPr>
            <w:tcW w:w="1843" w:type="dxa"/>
            <w:tcBorders>
              <w:top w:val="single" w:sz="6" w:space="0" w:color="auto"/>
              <w:left w:val="single" w:sz="18" w:space="0" w:color="auto"/>
              <w:bottom w:val="single" w:sz="18" w:space="0" w:color="auto"/>
              <w:right w:val="single" w:sz="4" w:space="0" w:color="auto"/>
            </w:tcBorders>
            <w:shd w:val="clear" w:color="auto" w:fill="D9D9D9" w:themeFill="background1" w:themeFillShade="D9"/>
            <w:vAlign w:val="center"/>
          </w:tcPr>
          <w:p w:rsidR="00901FF9" w:rsidRPr="0043547B" w:rsidRDefault="00901FF9" w:rsidP="00F03379">
            <w:pPr>
              <w:jc w:val="center"/>
              <w:rPr>
                <w:rFonts w:cstheme="minorHAnsi"/>
                <w:b/>
                <w:bCs/>
                <w:sz w:val="24"/>
                <w:szCs w:val="24"/>
              </w:rPr>
            </w:pPr>
            <w:r w:rsidRPr="0043547B">
              <w:rPr>
                <w:rFonts w:cstheme="minorHAnsi"/>
                <w:b/>
                <w:bCs/>
                <w:sz w:val="24"/>
                <w:szCs w:val="24"/>
              </w:rPr>
              <w:lastRenderedPageBreak/>
              <w:t>Domaine d’application :</w:t>
            </w:r>
          </w:p>
        </w:tc>
        <w:tc>
          <w:tcPr>
            <w:tcW w:w="8080" w:type="dxa"/>
            <w:tcBorders>
              <w:top w:val="single" w:sz="6" w:space="0" w:color="auto"/>
              <w:left w:val="single" w:sz="4" w:space="0" w:color="auto"/>
              <w:bottom w:val="single" w:sz="18" w:space="0" w:color="auto"/>
              <w:right w:val="single" w:sz="18" w:space="0" w:color="auto"/>
            </w:tcBorders>
            <w:shd w:val="clear" w:color="auto" w:fill="auto"/>
            <w:vAlign w:val="bottom"/>
          </w:tcPr>
          <w:p w:rsidR="00901FF9" w:rsidRPr="0043547B" w:rsidRDefault="00901FF9" w:rsidP="00901FF9">
            <w:pPr>
              <w:rPr>
                <w:rFonts w:cstheme="minorHAnsi"/>
                <w:sz w:val="24"/>
                <w:szCs w:val="24"/>
                <w:lang w:val="en-US"/>
              </w:rPr>
            </w:pPr>
            <w:r w:rsidRPr="0043547B">
              <w:rPr>
                <w:rFonts w:cstheme="minorHAnsi"/>
                <w:sz w:val="24"/>
                <w:szCs w:val="24"/>
                <w:lang w:val="en-US"/>
              </w:rPr>
              <w:t>This standard specifies the luminous requirements for emergency lighting systems installed in premises or locations where such systems are required. It is principally applicable to locations where the public or workers have access.</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tcPr>
          <w:p w:rsidR="00FC52B6" w:rsidRPr="0043547B" w:rsidRDefault="00FC52B6" w:rsidP="00DE416D">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tcPr>
          <w:p w:rsidR="00FC52B6" w:rsidRPr="0043547B" w:rsidRDefault="00FC52B6" w:rsidP="00DE416D">
            <w:pPr>
              <w:spacing w:after="0"/>
              <w:jc w:val="center"/>
              <w:rPr>
                <w:rFonts w:cstheme="minorHAnsi"/>
                <w:b/>
                <w:bCs/>
                <w:sz w:val="24"/>
                <w:szCs w:val="24"/>
              </w:rPr>
            </w:pPr>
            <w:r w:rsidRPr="0043547B">
              <w:rPr>
                <w:rFonts w:cstheme="minorHAnsi"/>
                <w:b/>
                <w:bCs/>
                <w:sz w:val="24"/>
                <w:szCs w:val="24"/>
              </w:rPr>
              <w:t>NM CEI 60076-14</w:t>
            </w:r>
          </w:p>
        </w:tc>
      </w:tr>
      <w:tr w:rsidR="0043547B" w:rsidRPr="0043547B" w:rsidTr="00CB5DC0">
        <w:trPr>
          <w:trHeight w:val="315"/>
          <w:jc w:val="center"/>
        </w:trPr>
        <w:tc>
          <w:tcPr>
            <w:tcW w:w="1843" w:type="dxa"/>
            <w:tcBorders>
              <w:top w:val="single" w:sz="18" w:space="0" w:color="auto"/>
              <w:left w:val="single" w:sz="18" w:space="0" w:color="auto"/>
              <w:bottom w:val="single" w:sz="6" w:space="0" w:color="auto"/>
              <w:right w:val="single" w:sz="4" w:space="0" w:color="auto"/>
            </w:tcBorders>
            <w:shd w:val="clear" w:color="auto" w:fill="FFFF99"/>
            <w:vAlign w:val="center"/>
          </w:tcPr>
          <w:p w:rsidR="00FC52B6" w:rsidRPr="0043547B" w:rsidRDefault="00FC52B6" w:rsidP="00DE416D">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bottom w:val="single" w:sz="6" w:space="0" w:color="auto"/>
              <w:right w:val="single" w:sz="18" w:space="0" w:color="auto"/>
            </w:tcBorders>
            <w:shd w:val="clear" w:color="auto" w:fill="FFFF99"/>
          </w:tcPr>
          <w:p w:rsidR="00FC52B6" w:rsidRPr="0043547B" w:rsidRDefault="00FC52B6" w:rsidP="00DE416D">
            <w:pPr>
              <w:spacing w:after="0"/>
              <w:jc w:val="center"/>
              <w:rPr>
                <w:rFonts w:cstheme="minorHAnsi"/>
                <w:b/>
                <w:bCs/>
                <w:sz w:val="24"/>
                <w:szCs w:val="24"/>
              </w:rPr>
            </w:pPr>
            <w:r w:rsidRPr="0043547B">
              <w:rPr>
                <w:rFonts w:cstheme="minorHAnsi"/>
                <w:b/>
                <w:bCs/>
                <w:sz w:val="24"/>
                <w:szCs w:val="24"/>
              </w:rPr>
              <w:t>CEI 60076-14</w:t>
            </w:r>
          </w:p>
        </w:tc>
      </w:tr>
      <w:tr w:rsidR="0043547B" w:rsidRPr="0043547B" w:rsidTr="00CB5DC0">
        <w:trPr>
          <w:trHeight w:val="315"/>
          <w:jc w:val="center"/>
        </w:trPr>
        <w:tc>
          <w:tcPr>
            <w:tcW w:w="1843" w:type="dxa"/>
            <w:tcBorders>
              <w:top w:val="single" w:sz="6" w:space="0" w:color="auto"/>
              <w:left w:val="single" w:sz="18" w:space="0" w:color="auto"/>
              <w:bottom w:val="single" w:sz="6" w:space="0" w:color="auto"/>
              <w:right w:val="single" w:sz="4" w:space="0" w:color="auto"/>
            </w:tcBorders>
            <w:shd w:val="clear" w:color="auto" w:fill="8DB3E2" w:themeFill="text2" w:themeFillTint="66"/>
            <w:vAlign w:val="center"/>
          </w:tcPr>
          <w:p w:rsidR="00FC52B6" w:rsidRPr="0043547B" w:rsidRDefault="00FC52B6" w:rsidP="00DE416D">
            <w:pPr>
              <w:spacing w:after="0"/>
              <w:jc w:val="center"/>
              <w:rPr>
                <w:rFonts w:cstheme="minorHAnsi"/>
                <w:b/>
                <w:bCs/>
                <w:sz w:val="24"/>
                <w:szCs w:val="24"/>
              </w:rPr>
            </w:pPr>
            <w:r w:rsidRPr="0043547B">
              <w:rPr>
                <w:rFonts w:cstheme="minorHAnsi"/>
                <w:b/>
                <w:bCs/>
                <w:sz w:val="24"/>
                <w:szCs w:val="24"/>
              </w:rPr>
              <w:t>Intitulé :</w:t>
            </w:r>
          </w:p>
        </w:tc>
        <w:tc>
          <w:tcPr>
            <w:tcW w:w="8080" w:type="dxa"/>
            <w:tcBorders>
              <w:top w:val="single" w:sz="6" w:space="0" w:color="auto"/>
              <w:left w:val="single" w:sz="4" w:space="0" w:color="auto"/>
              <w:bottom w:val="single" w:sz="6" w:space="0" w:color="auto"/>
              <w:right w:val="single" w:sz="18" w:space="0" w:color="auto"/>
            </w:tcBorders>
            <w:shd w:val="clear" w:color="auto" w:fill="FFFFFF" w:themeFill="background1"/>
          </w:tcPr>
          <w:p w:rsidR="00FC52B6" w:rsidRPr="0043547B" w:rsidRDefault="00FC52B6" w:rsidP="009B2690">
            <w:pPr>
              <w:spacing w:after="0"/>
              <w:rPr>
                <w:rFonts w:cstheme="minorHAnsi"/>
                <w:b/>
                <w:bCs/>
                <w:sz w:val="24"/>
                <w:szCs w:val="24"/>
              </w:rPr>
            </w:pPr>
            <w:r w:rsidRPr="0043547B">
              <w:rPr>
                <w:rFonts w:cstheme="minorHAnsi"/>
                <w:b/>
                <w:bCs/>
                <w:sz w:val="24"/>
                <w:szCs w:val="24"/>
              </w:rPr>
              <w:t xml:space="preserve">Transformateurs de puissance - Partie 14 : Transformateurs de puissance immergés dans du liquide utilisant des matériaux isolants haute température ; </w:t>
            </w:r>
          </w:p>
        </w:tc>
      </w:tr>
      <w:tr w:rsidR="0043547B" w:rsidRPr="0043547B" w:rsidTr="00CB5DC0">
        <w:trPr>
          <w:trHeight w:val="315"/>
          <w:jc w:val="center"/>
        </w:trPr>
        <w:tc>
          <w:tcPr>
            <w:tcW w:w="1843" w:type="dxa"/>
            <w:tcBorders>
              <w:top w:val="single" w:sz="6" w:space="0" w:color="auto"/>
              <w:left w:val="single" w:sz="18" w:space="0" w:color="auto"/>
              <w:bottom w:val="single" w:sz="18" w:space="0" w:color="auto"/>
              <w:right w:val="single" w:sz="4" w:space="0" w:color="auto"/>
            </w:tcBorders>
            <w:shd w:val="clear" w:color="auto" w:fill="D9D9D9" w:themeFill="background1" w:themeFillShade="D9"/>
            <w:vAlign w:val="center"/>
          </w:tcPr>
          <w:p w:rsidR="00FC52B6" w:rsidRPr="0043547B" w:rsidRDefault="00FC52B6" w:rsidP="00DB0C61">
            <w:pPr>
              <w:jc w:val="center"/>
              <w:rPr>
                <w:rFonts w:cstheme="minorHAnsi"/>
                <w:b/>
                <w:bCs/>
                <w:sz w:val="24"/>
                <w:szCs w:val="24"/>
              </w:rPr>
            </w:pPr>
            <w:r w:rsidRPr="0043547B">
              <w:rPr>
                <w:rFonts w:cstheme="minorHAnsi"/>
                <w:b/>
                <w:bCs/>
                <w:sz w:val="24"/>
                <w:szCs w:val="24"/>
              </w:rPr>
              <w:t>Domaine d’application :</w:t>
            </w:r>
          </w:p>
        </w:tc>
        <w:tc>
          <w:tcPr>
            <w:tcW w:w="8080" w:type="dxa"/>
            <w:tcBorders>
              <w:top w:val="single" w:sz="6" w:space="0" w:color="auto"/>
              <w:left w:val="single" w:sz="4" w:space="0" w:color="auto"/>
              <w:bottom w:val="single" w:sz="18" w:space="0" w:color="auto"/>
              <w:right w:val="single" w:sz="18" w:space="0" w:color="auto"/>
            </w:tcBorders>
            <w:shd w:val="clear" w:color="auto" w:fill="FFFFFF" w:themeFill="background1"/>
          </w:tcPr>
          <w:p w:rsidR="00DB0C61" w:rsidRPr="0043547B" w:rsidRDefault="00FC52B6" w:rsidP="00DB0C6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partie de la CEI 60076 s'applique aux transformateurs immergés dans un liquide qui utilisent soit des isolants haute température soit des combinaisons d'isolants conventionnels et haute température, fonctionnant à des températures au-dessus des limites conventionnelles.</w:t>
            </w:r>
          </w:p>
          <w:p w:rsidR="00DB0C61" w:rsidRPr="0043547B" w:rsidRDefault="00FC52B6" w:rsidP="00DB0C61">
            <w:pPr>
              <w:spacing w:after="0" w:line="240" w:lineRule="auto"/>
              <w:rPr>
                <w:rFonts w:eastAsia="Times New Roman" w:cstheme="minorHAnsi"/>
                <w:sz w:val="24"/>
                <w:szCs w:val="24"/>
                <w:lang w:eastAsia="fr-FR"/>
              </w:rPr>
            </w:pPr>
            <w:r w:rsidRPr="0043547B">
              <w:rPr>
                <w:rFonts w:eastAsia="Times New Roman" w:cstheme="minorHAnsi"/>
                <w:sz w:val="24"/>
                <w:szCs w:val="24"/>
                <w:lang w:eastAsia="fr-FR"/>
              </w:rPr>
              <w:t>Elle s'applique aux :</w:t>
            </w:r>
            <w:r w:rsidRPr="0043547B">
              <w:rPr>
                <w:rFonts w:eastAsia="Times New Roman" w:cstheme="minorHAnsi"/>
                <w:sz w:val="24"/>
                <w:szCs w:val="24"/>
                <w:lang w:eastAsia="fr-FR"/>
              </w:rPr>
              <w:br/>
              <w:t>– transformateurs de puissance conformes à la norme CEI 60076-1;</w:t>
            </w:r>
            <w:r w:rsidRPr="0043547B">
              <w:rPr>
                <w:rFonts w:eastAsia="Times New Roman" w:cstheme="minorHAnsi"/>
                <w:sz w:val="24"/>
                <w:szCs w:val="24"/>
                <w:lang w:eastAsia="fr-FR"/>
              </w:rPr>
              <w:br/>
              <w:t>– transformateurs de convertisseur conformes à la série CEI 61378;</w:t>
            </w:r>
            <w:r w:rsidRPr="0043547B">
              <w:rPr>
                <w:rFonts w:eastAsia="Times New Roman" w:cstheme="minorHAnsi"/>
                <w:sz w:val="24"/>
                <w:szCs w:val="24"/>
                <w:lang w:eastAsia="fr-FR"/>
              </w:rPr>
              <w:br/>
              <w:t>– transformateurs pour applications éoliennes conformes à la norme CEI 60076-16;</w:t>
            </w:r>
            <w:r w:rsidRPr="0043547B">
              <w:rPr>
                <w:rFonts w:eastAsia="Times New Roman" w:cstheme="minorHAnsi"/>
                <w:sz w:val="24"/>
                <w:szCs w:val="24"/>
                <w:lang w:eastAsia="fr-FR"/>
              </w:rPr>
              <w:br/>
              <w:t>– transformateurs de four à arc;</w:t>
            </w:r>
            <w:r w:rsidRPr="0043547B">
              <w:rPr>
                <w:rFonts w:eastAsia="Times New Roman" w:cstheme="minorHAnsi"/>
                <w:sz w:val="24"/>
                <w:szCs w:val="24"/>
                <w:lang w:eastAsia="fr-FR"/>
              </w:rPr>
              <w:br/>
              <w:t>– bobines d'inductance conformes à la norme CEI 60076-6.</w:t>
            </w:r>
          </w:p>
          <w:p w:rsidR="00FC52B6" w:rsidRPr="0043547B" w:rsidRDefault="00FC52B6" w:rsidP="00DB0C61">
            <w:pPr>
              <w:spacing w:after="0" w:line="240" w:lineRule="auto"/>
              <w:jc w:val="both"/>
              <w:rPr>
                <w:rFonts w:cstheme="minorHAnsi"/>
                <w:sz w:val="24"/>
                <w:szCs w:val="24"/>
              </w:rPr>
            </w:pPr>
            <w:r w:rsidRPr="0043547B">
              <w:rPr>
                <w:rFonts w:eastAsia="Times New Roman" w:cstheme="minorHAnsi"/>
                <w:sz w:val="24"/>
                <w:szCs w:val="24"/>
                <w:lang w:eastAsia="fr-FR"/>
              </w:rPr>
              <w:t>La présente partie de la norme CEI 60076 peut s'appliquer comme référence pour l'utilisation de matériaux isolants haute température dans d'autres types de transformateurs et bobines d'inductance.</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tcPr>
          <w:p w:rsidR="00FC52B6" w:rsidRPr="0043547B" w:rsidRDefault="00FC52B6" w:rsidP="00DE416D">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tcPr>
          <w:p w:rsidR="00FC52B6" w:rsidRPr="0043547B" w:rsidRDefault="00FC52B6" w:rsidP="00DE416D">
            <w:pPr>
              <w:spacing w:after="0"/>
              <w:jc w:val="center"/>
              <w:rPr>
                <w:rFonts w:cstheme="minorHAnsi"/>
                <w:b/>
                <w:bCs/>
                <w:sz w:val="24"/>
                <w:szCs w:val="24"/>
              </w:rPr>
            </w:pPr>
            <w:r w:rsidRPr="0043547B">
              <w:rPr>
                <w:rFonts w:cstheme="minorHAnsi"/>
                <w:b/>
                <w:bCs/>
                <w:sz w:val="24"/>
                <w:szCs w:val="24"/>
              </w:rPr>
              <w:t>NM CEI 60076-15</w:t>
            </w:r>
          </w:p>
        </w:tc>
      </w:tr>
      <w:tr w:rsidR="0043547B" w:rsidRPr="0043547B" w:rsidTr="00CB5DC0">
        <w:trPr>
          <w:trHeight w:val="315"/>
          <w:jc w:val="center"/>
        </w:trPr>
        <w:tc>
          <w:tcPr>
            <w:tcW w:w="1843" w:type="dxa"/>
            <w:tcBorders>
              <w:top w:val="single" w:sz="18" w:space="0" w:color="auto"/>
              <w:left w:val="single" w:sz="18" w:space="0" w:color="auto"/>
              <w:bottom w:val="single" w:sz="6" w:space="0" w:color="auto"/>
              <w:right w:val="single" w:sz="4" w:space="0" w:color="auto"/>
            </w:tcBorders>
            <w:shd w:val="clear" w:color="auto" w:fill="FFFF99"/>
            <w:vAlign w:val="center"/>
          </w:tcPr>
          <w:p w:rsidR="00FC52B6" w:rsidRPr="0043547B" w:rsidRDefault="00FC52B6" w:rsidP="00DE416D">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bottom w:val="single" w:sz="6" w:space="0" w:color="auto"/>
              <w:right w:val="single" w:sz="18" w:space="0" w:color="auto"/>
            </w:tcBorders>
            <w:shd w:val="clear" w:color="auto" w:fill="FFFF99"/>
          </w:tcPr>
          <w:p w:rsidR="00FC52B6" w:rsidRPr="0043547B" w:rsidRDefault="00FC52B6" w:rsidP="00DE416D">
            <w:pPr>
              <w:spacing w:after="0"/>
              <w:jc w:val="center"/>
              <w:rPr>
                <w:rFonts w:cstheme="minorHAnsi"/>
                <w:b/>
                <w:bCs/>
                <w:sz w:val="24"/>
                <w:szCs w:val="24"/>
              </w:rPr>
            </w:pPr>
            <w:r w:rsidRPr="0043547B">
              <w:rPr>
                <w:rFonts w:cstheme="minorHAnsi"/>
                <w:b/>
                <w:bCs/>
                <w:sz w:val="24"/>
                <w:szCs w:val="24"/>
              </w:rPr>
              <w:t>CEI 60076-15</w:t>
            </w:r>
          </w:p>
        </w:tc>
      </w:tr>
      <w:tr w:rsidR="0043547B" w:rsidRPr="0043547B" w:rsidTr="00CB5DC0">
        <w:trPr>
          <w:trHeight w:val="315"/>
          <w:jc w:val="center"/>
        </w:trPr>
        <w:tc>
          <w:tcPr>
            <w:tcW w:w="1843" w:type="dxa"/>
            <w:tcBorders>
              <w:top w:val="single" w:sz="6" w:space="0" w:color="auto"/>
              <w:left w:val="single" w:sz="18" w:space="0" w:color="auto"/>
              <w:bottom w:val="single" w:sz="6" w:space="0" w:color="auto"/>
              <w:right w:val="single" w:sz="4" w:space="0" w:color="auto"/>
            </w:tcBorders>
            <w:shd w:val="clear" w:color="auto" w:fill="8DB3E2" w:themeFill="text2" w:themeFillTint="66"/>
            <w:vAlign w:val="center"/>
          </w:tcPr>
          <w:p w:rsidR="00FC52B6" w:rsidRPr="0043547B" w:rsidRDefault="00FC52B6" w:rsidP="00DE416D">
            <w:pPr>
              <w:spacing w:after="0"/>
              <w:jc w:val="center"/>
              <w:rPr>
                <w:rFonts w:cstheme="minorHAnsi"/>
                <w:b/>
                <w:bCs/>
                <w:sz w:val="24"/>
                <w:szCs w:val="24"/>
              </w:rPr>
            </w:pPr>
            <w:r w:rsidRPr="0043547B">
              <w:rPr>
                <w:rFonts w:cstheme="minorHAnsi"/>
                <w:b/>
                <w:bCs/>
                <w:sz w:val="24"/>
                <w:szCs w:val="24"/>
              </w:rPr>
              <w:t>Intitulé :</w:t>
            </w:r>
          </w:p>
        </w:tc>
        <w:tc>
          <w:tcPr>
            <w:tcW w:w="8080" w:type="dxa"/>
            <w:tcBorders>
              <w:top w:val="single" w:sz="6" w:space="0" w:color="auto"/>
              <w:left w:val="single" w:sz="4" w:space="0" w:color="auto"/>
              <w:bottom w:val="single" w:sz="6" w:space="0" w:color="auto"/>
              <w:right w:val="single" w:sz="18" w:space="0" w:color="auto"/>
            </w:tcBorders>
            <w:shd w:val="clear" w:color="auto" w:fill="FFFFFF" w:themeFill="background1"/>
          </w:tcPr>
          <w:p w:rsidR="00FC52B6" w:rsidRPr="0043547B" w:rsidRDefault="00FC52B6" w:rsidP="009B2690">
            <w:pPr>
              <w:spacing w:after="0"/>
              <w:rPr>
                <w:rFonts w:cstheme="minorHAnsi"/>
                <w:b/>
                <w:bCs/>
                <w:sz w:val="24"/>
                <w:szCs w:val="24"/>
              </w:rPr>
            </w:pPr>
            <w:r w:rsidRPr="0043547B">
              <w:rPr>
                <w:rFonts w:cstheme="minorHAnsi"/>
                <w:b/>
                <w:bCs/>
                <w:sz w:val="24"/>
                <w:szCs w:val="24"/>
              </w:rPr>
              <w:t xml:space="preserve">Transformateurs de puissance - Partie 15 : Transformateurs de puissance à isolation gazeuse ; </w:t>
            </w:r>
          </w:p>
        </w:tc>
      </w:tr>
      <w:tr w:rsidR="0043547B" w:rsidRPr="0043547B" w:rsidTr="00CB5DC0">
        <w:trPr>
          <w:trHeight w:val="315"/>
          <w:jc w:val="center"/>
        </w:trPr>
        <w:tc>
          <w:tcPr>
            <w:tcW w:w="1843" w:type="dxa"/>
            <w:tcBorders>
              <w:top w:val="single" w:sz="6" w:space="0" w:color="auto"/>
              <w:left w:val="single" w:sz="18" w:space="0" w:color="auto"/>
              <w:bottom w:val="single" w:sz="18" w:space="0" w:color="auto"/>
              <w:right w:val="single" w:sz="4" w:space="0" w:color="auto"/>
            </w:tcBorders>
            <w:shd w:val="clear" w:color="auto" w:fill="D9D9D9" w:themeFill="background1" w:themeFillShade="D9"/>
            <w:vAlign w:val="center"/>
          </w:tcPr>
          <w:p w:rsidR="00FC52B6" w:rsidRPr="0043547B" w:rsidRDefault="00FC52B6" w:rsidP="00DE416D">
            <w:pPr>
              <w:jc w:val="center"/>
              <w:rPr>
                <w:rFonts w:cstheme="minorHAnsi"/>
                <w:b/>
                <w:bCs/>
                <w:sz w:val="24"/>
                <w:szCs w:val="24"/>
              </w:rPr>
            </w:pPr>
            <w:r w:rsidRPr="0043547B">
              <w:rPr>
                <w:rFonts w:cstheme="minorHAnsi"/>
                <w:b/>
                <w:bCs/>
                <w:sz w:val="24"/>
                <w:szCs w:val="24"/>
              </w:rPr>
              <w:t>Domaine d’application :</w:t>
            </w:r>
          </w:p>
        </w:tc>
        <w:tc>
          <w:tcPr>
            <w:tcW w:w="8080" w:type="dxa"/>
            <w:tcBorders>
              <w:top w:val="single" w:sz="6" w:space="0" w:color="auto"/>
              <w:left w:val="single" w:sz="4" w:space="0" w:color="auto"/>
              <w:bottom w:val="single" w:sz="18" w:space="0" w:color="auto"/>
              <w:right w:val="single" w:sz="18" w:space="0" w:color="auto"/>
            </w:tcBorders>
            <w:shd w:val="clear" w:color="auto" w:fill="FFFFFF" w:themeFill="background1"/>
          </w:tcPr>
          <w:p w:rsidR="00DB0C61" w:rsidRPr="0043547B" w:rsidRDefault="00FC52B6" w:rsidP="00DB0C6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s’applique aux transformateurs à isolation gazeuse (y compris les autotransformateurs). Cette norme s’applique à toutes les technologies de construction.</w:t>
            </w:r>
            <w:r w:rsidRPr="0043547B">
              <w:rPr>
                <w:rFonts w:eastAsia="Times New Roman" w:cstheme="minorHAnsi"/>
                <w:sz w:val="24"/>
                <w:szCs w:val="24"/>
                <w:lang w:eastAsia="fr-FR"/>
              </w:rPr>
              <w:br/>
              <w:t>La présente norme ne s’applique pas :</w:t>
            </w:r>
          </w:p>
          <w:p w:rsidR="00DB0C61" w:rsidRPr="0043547B" w:rsidRDefault="00FC52B6" w:rsidP="00DB0C61">
            <w:pPr>
              <w:spacing w:after="0" w:line="240" w:lineRule="auto"/>
              <w:rPr>
                <w:rFonts w:eastAsia="Times New Roman" w:cstheme="minorHAnsi"/>
                <w:sz w:val="24"/>
                <w:szCs w:val="24"/>
                <w:lang w:eastAsia="fr-FR"/>
              </w:rPr>
            </w:pPr>
            <w:r w:rsidRPr="0043547B">
              <w:rPr>
                <w:rFonts w:eastAsia="Times New Roman" w:cstheme="minorHAnsi"/>
                <w:sz w:val="24"/>
                <w:szCs w:val="24"/>
                <w:lang w:eastAsia="fr-FR"/>
              </w:rPr>
              <w:t>– aux transformateurs monophasés de puissance assignée inférieure à 1 kVA et aux transformateurs triphasés de puissance assignée inférieure à 5 kVA;</w:t>
            </w:r>
            <w:r w:rsidRPr="0043547B">
              <w:rPr>
                <w:rFonts w:eastAsia="Times New Roman" w:cstheme="minorHAnsi"/>
                <w:sz w:val="24"/>
                <w:szCs w:val="24"/>
                <w:lang w:eastAsia="fr-FR"/>
              </w:rPr>
              <w:br/>
              <w:t>– aux transformateurs de type sec (voir CEI 60076-11);</w:t>
            </w:r>
            <w:r w:rsidRPr="0043547B">
              <w:rPr>
                <w:rFonts w:eastAsia="Times New Roman" w:cstheme="minorHAnsi"/>
                <w:sz w:val="24"/>
                <w:szCs w:val="24"/>
                <w:lang w:eastAsia="fr-FR"/>
              </w:rPr>
              <w:br/>
              <w:t>– aux transformateurs de mesure (voir CEI 60044);</w:t>
            </w:r>
            <w:r w:rsidRPr="0043547B">
              <w:rPr>
                <w:rFonts w:eastAsia="Times New Roman" w:cstheme="minorHAnsi"/>
                <w:sz w:val="24"/>
                <w:szCs w:val="24"/>
                <w:lang w:eastAsia="fr-FR"/>
              </w:rPr>
              <w:br/>
              <w:t>– aux transformateurs de démarrage;</w:t>
            </w:r>
            <w:r w:rsidRPr="0043547B">
              <w:rPr>
                <w:rFonts w:eastAsia="Times New Roman" w:cstheme="minorHAnsi"/>
                <w:sz w:val="24"/>
                <w:szCs w:val="24"/>
                <w:lang w:eastAsia="fr-FR"/>
              </w:rPr>
              <w:br/>
              <w:t>– aux transformateurs d’essais;</w:t>
            </w:r>
            <w:r w:rsidRPr="0043547B">
              <w:rPr>
                <w:rFonts w:eastAsia="Times New Roman" w:cstheme="minorHAnsi"/>
                <w:sz w:val="24"/>
                <w:szCs w:val="24"/>
                <w:lang w:eastAsia="fr-FR"/>
              </w:rPr>
              <w:br/>
              <w:t>– aux transformateurs de traction montés sur équipement roulant;</w:t>
            </w:r>
            <w:r w:rsidRPr="0043547B">
              <w:rPr>
                <w:rFonts w:eastAsia="Times New Roman" w:cstheme="minorHAnsi"/>
                <w:sz w:val="24"/>
                <w:szCs w:val="24"/>
                <w:lang w:eastAsia="fr-FR"/>
              </w:rPr>
              <w:br/>
              <w:t>– aux transformateurs de soudure.</w:t>
            </w:r>
          </w:p>
          <w:p w:rsidR="00DB0C61" w:rsidRPr="0043547B" w:rsidRDefault="00FC52B6" w:rsidP="00DB0C6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Lorsqu’il n’existe pas de norme C</w:t>
            </w:r>
            <w:r w:rsidR="00DB0C61" w:rsidRPr="0043547B">
              <w:rPr>
                <w:rFonts w:eastAsia="Times New Roman" w:cstheme="minorHAnsi"/>
                <w:sz w:val="24"/>
                <w:szCs w:val="24"/>
                <w:lang w:eastAsia="fr-FR"/>
              </w:rPr>
              <w:t>EI pour les transformateurs men</w:t>
            </w:r>
            <w:r w:rsidRPr="0043547B">
              <w:rPr>
                <w:rFonts w:eastAsia="Times New Roman" w:cstheme="minorHAnsi"/>
                <w:sz w:val="24"/>
                <w:szCs w:val="24"/>
                <w:lang w:eastAsia="fr-FR"/>
              </w:rPr>
              <w:t>tionnés ci-dessus ou pour d’autres transformateurs spéciaux, la présente norme peut être appliquée en totalité ou en partie.</w:t>
            </w:r>
          </w:p>
          <w:p w:rsidR="00FC52B6" w:rsidRPr="0043547B" w:rsidRDefault="00FC52B6" w:rsidP="00DB0C61">
            <w:pPr>
              <w:spacing w:after="0" w:line="240" w:lineRule="auto"/>
              <w:jc w:val="both"/>
              <w:rPr>
                <w:rFonts w:cstheme="minorHAnsi"/>
                <w:i/>
                <w:iCs/>
                <w:sz w:val="24"/>
                <w:szCs w:val="24"/>
              </w:rPr>
            </w:pPr>
            <w:r w:rsidRPr="0043547B">
              <w:rPr>
                <w:rFonts w:eastAsia="Times New Roman" w:cstheme="minorHAnsi"/>
                <w:b/>
                <w:bCs/>
                <w:i/>
                <w:iCs/>
                <w:sz w:val="24"/>
                <w:szCs w:val="24"/>
                <w:lang w:eastAsia="fr-FR"/>
              </w:rPr>
              <w:t>NOTE</w:t>
            </w:r>
            <w:r w:rsidRPr="0043547B">
              <w:rPr>
                <w:rFonts w:eastAsia="Times New Roman" w:cstheme="minorHAnsi"/>
                <w:i/>
                <w:iCs/>
                <w:sz w:val="24"/>
                <w:szCs w:val="24"/>
                <w:lang w:eastAsia="fr-FR"/>
              </w:rPr>
              <w:t xml:space="preserve"> : La présente norme peut être appliquée aux parties contenant du gaz d’un transformateur dans lequel un isolant gazeux est utilisé avec un liquide isolant.</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tcPr>
          <w:p w:rsidR="00FC52B6" w:rsidRPr="0043547B" w:rsidRDefault="00FC52B6" w:rsidP="00DE416D">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tcPr>
          <w:p w:rsidR="00FC52B6" w:rsidRPr="0043547B" w:rsidRDefault="00FC52B6" w:rsidP="00DE416D">
            <w:pPr>
              <w:spacing w:after="0"/>
              <w:jc w:val="center"/>
              <w:rPr>
                <w:rFonts w:cstheme="minorHAnsi"/>
                <w:b/>
                <w:bCs/>
                <w:sz w:val="24"/>
                <w:szCs w:val="24"/>
              </w:rPr>
            </w:pPr>
            <w:r w:rsidRPr="0043547B">
              <w:rPr>
                <w:rFonts w:cstheme="minorHAnsi"/>
                <w:b/>
                <w:bCs/>
                <w:sz w:val="24"/>
                <w:szCs w:val="24"/>
              </w:rPr>
              <w:t>NM CEI 60076-16</w:t>
            </w:r>
          </w:p>
        </w:tc>
      </w:tr>
      <w:tr w:rsidR="0043547B" w:rsidRPr="0043547B" w:rsidTr="00CB5DC0">
        <w:trPr>
          <w:trHeight w:val="315"/>
          <w:jc w:val="center"/>
        </w:trPr>
        <w:tc>
          <w:tcPr>
            <w:tcW w:w="1843" w:type="dxa"/>
            <w:tcBorders>
              <w:top w:val="single" w:sz="18" w:space="0" w:color="auto"/>
              <w:left w:val="single" w:sz="18" w:space="0" w:color="auto"/>
              <w:bottom w:val="single" w:sz="6" w:space="0" w:color="auto"/>
              <w:right w:val="single" w:sz="4" w:space="0" w:color="auto"/>
            </w:tcBorders>
            <w:shd w:val="clear" w:color="auto" w:fill="FFFF99"/>
            <w:vAlign w:val="center"/>
          </w:tcPr>
          <w:p w:rsidR="00FC52B6" w:rsidRPr="0043547B" w:rsidRDefault="00FC52B6" w:rsidP="00DE416D">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bottom w:val="single" w:sz="6" w:space="0" w:color="auto"/>
              <w:right w:val="single" w:sz="18" w:space="0" w:color="auto"/>
            </w:tcBorders>
            <w:shd w:val="clear" w:color="auto" w:fill="FFFF99"/>
          </w:tcPr>
          <w:p w:rsidR="00FC52B6" w:rsidRPr="0043547B" w:rsidRDefault="00FC52B6" w:rsidP="00DE416D">
            <w:pPr>
              <w:spacing w:after="0"/>
              <w:jc w:val="center"/>
              <w:rPr>
                <w:rFonts w:cstheme="minorHAnsi"/>
                <w:b/>
                <w:bCs/>
                <w:sz w:val="24"/>
                <w:szCs w:val="24"/>
              </w:rPr>
            </w:pPr>
            <w:r w:rsidRPr="0043547B">
              <w:rPr>
                <w:rFonts w:cstheme="minorHAnsi"/>
                <w:b/>
                <w:bCs/>
                <w:sz w:val="24"/>
                <w:szCs w:val="24"/>
              </w:rPr>
              <w:t>CEI 60076-16</w:t>
            </w:r>
          </w:p>
        </w:tc>
      </w:tr>
      <w:tr w:rsidR="0043547B" w:rsidRPr="0043547B" w:rsidTr="00CB5DC0">
        <w:trPr>
          <w:trHeight w:val="315"/>
          <w:jc w:val="center"/>
        </w:trPr>
        <w:tc>
          <w:tcPr>
            <w:tcW w:w="1843" w:type="dxa"/>
            <w:tcBorders>
              <w:top w:val="single" w:sz="6" w:space="0" w:color="auto"/>
              <w:left w:val="single" w:sz="18" w:space="0" w:color="auto"/>
              <w:bottom w:val="single" w:sz="6" w:space="0" w:color="auto"/>
              <w:right w:val="single" w:sz="4" w:space="0" w:color="auto"/>
            </w:tcBorders>
            <w:shd w:val="clear" w:color="auto" w:fill="8DB3E2" w:themeFill="text2" w:themeFillTint="66"/>
            <w:vAlign w:val="center"/>
          </w:tcPr>
          <w:p w:rsidR="00FC52B6" w:rsidRPr="0043547B" w:rsidRDefault="00FC52B6" w:rsidP="00DE416D">
            <w:pPr>
              <w:spacing w:after="0"/>
              <w:jc w:val="center"/>
              <w:rPr>
                <w:rFonts w:cstheme="minorHAnsi"/>
                <w:b/>
                <w:bCs/>
                <w:sz w:val="24"/>
                <w:szCs w:val="24"/>
              </w:rPr>
            </w:pPr>
            <w:r w:rsidRPr="0043547B">
              <w:rPr>
                <w:rFonts w:cstheme="minorHAnsi"/>
                <w:b/>
                <w:bCs/>
                <w:sz w:val="24"/>
                <w:szCs w:val="24"/>
              </w:rPr>
              <w:t>Intitulé :</w:t>
            </w:r>
          </w:p>
        </w:tc>
        <w:tc>
          <w:tcPr>
            <w:tcW w:w="8080" w:type="dxa"/>
            <w:tcBorders>
              <w:top w:val="single" w:sz="6" w:space="0" w:color="auto"/>
              <w:left w:val="single" w:sz="4" w:space="0" w:color="auto"/>
              <w:bottom w:val="single" w:sz="6" w:space="0" w:color="auto"/>
              <w:right w:val="single" w:sz="18" w:space="0" w:color="auto"/>
            </w:tcBorders>
            <w:shd w:val="clear" w:color="auto" w:fill="FFFFFF" w:themeFill="background1"/>
          </w:tcPr>
          <w:p w:rsidR="00FC52B6" w:rsidRPr="00E7624B" w:rsidRDefault="00FC52B6" w:rsidP="009B2690">
            <w:pPr>
              <w:spacing w:after="0"/>
              <w:rPr>
                <w:rFonts w:cstheme="minorHAnsi"/>
                <w:sz w:val="24"/>
                <w:szCs w:val="24"/>
              </w:rPr>
            </w:pPr>
            <w:r w:rsidRPr="00E7624B">
              <w:rPr>
                <w:rFonts w:cstheme="minorHAnsi"/>
                <w:sz w:val="24"/>
                <w:szCs w:val="24"/>
              </w:rPr>
              <w:t xml:space="preserve">Transformateurs de puissance - Partie 16 : Transformateurs pour applications éoliennes ; </w:t>
            </w:r>
          </w:p>
        </w:tc>
      </w:tr>
      <w:tr w:rsidR="0043547B" w:rsidRPr="0043547B" w:rsidTr="00CB5DC0">
        <w:trPr>
          <w:trHeight w:val="315"/>
          <w:jc w:val="center"/>
        </w:trPr>
        <w:tc>
          <w:tcPr>
            <w:tcW w:w="1843" w:type="dxa"/>
            <w:tcBorders>
              <w:top w:val="single" w:sz="6" w:space="0" w:color="auto"/>
              <w:left w:val="single" w:sz="18" w:space="0" w:color="auto"/>
              <w:bottom w:val="single" w:sz="18" w:space="0" w:color="auto"/>
              <w:right w:val="single" w:sz="4" w:space="0" w:color="auto"/>
            </w:tcBorders>
            <w:shd w:val="clear" w:color="auto" w:fill="D9D9D9" w:themeFill="background1" w:themeFillShade="D9"/>
            <w:vAlign w:val="center"/>
          </w:tcPr>
          <w:p w:rsidR="00FC52B6" w:rsidRPr="0043547B" w:rsidRDefault="00FC52B6" w:rsidP="00DE416D">
            <w:pPr>
              <w:jc w:val="center"/>
              <w:rPr>
                <w:rFonts w:cstheme="minorHAnsi"/>
                <w:b/>
                <w:bCs/>
                <w:sz w:val="24"/>
                <w:szCs w:val="24"/>
              </w:rPr>
            </w:pPr>
            <w:r w:rsidRPr="0043547B">
              <w:rPr>
                <w:rFonts w:cstheme="minorHAnsi"/>
                <w:b/>
                <w:bCs/>
                <w:sz w:val="24"/>
                <w:szCs w:val="24"/>
              </w:rPr>
              <w:lastRenderedPageBreak/>
              <w:t>Domaine d’application :</w:t>
            </w:r>
          </w:p>
        </w:tc>
        <w:tc>
          <w:tcPr>
            <w:tcW w:w="8080" w:type="dxa"/>
            <w:tcBorders>
              <w:top w:val="single" w:sz="6" w:space="0" w:color="auto"/>
              <w:left w:val="single" w:sz="4" w:space="0" w:color="auto"/>
              <w:bottom w:val="single" w:sz="18" w:space="0" w:color="auto"/>
              <w:right w:val="single" w:sz="18" w:space="0" w:color="auto"/>
            </w:tcBorders>
            <w:shd w:val="clear" w:color="auto" w:fill="FFFFFF" w:themeFill="background1"/>
          </w:tcPr>
          <w:p w:rsidR="00DB0C61" w:rsidRPr="0043547B" w:rsidRDefault="00FC52B6" w:rsidP="00DE416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partie de la CEI 60076 s'applique aux transformateurs de type sec et immergés dans un liquide, pour une puissance assignée comprise entre 100 kVA et 10 000 kVA, destinés à des applications éoliennes, ayant un enroulement avec une tension la plus élevée pour le matériel inférieure ou égale à 36 kV et au moins un enroulement fonctionnant à une tension supérieure à 1,1 kV.</w:t>
            </w:r>
          </w:p>
          <w:p w:rsidR="00FC52B6" w:rsidRPr="0043547B" w:rsidRDefault="00FC52B6" w:rsidP="00DE416D">
            <w:pPr>
              <w:spacing w:after="0" w:line="240" w:lineRule="auto"/>
              <w:jc w:val="both"/>
              <w:rPr>
                <w:rFonts w:cstheme="minorHAnsi"/>
                <w:sz w:val="24"/>
                <w:szCs w:val="24"/>
              </w:rPr>
            </w:pPr>
            <w:r w:rsidRPr="0043547B">
              <w:rPr>
                <w:rFonts w:eastAsia="Times New Roman" w:cstheme="minorHAnsi"/>
                <w:sz w:val="24"/>
                <w:szCs w:val="24"/>
                <w:lang w:eastAsia="fr-FR"/>
              </w:rPr>
              <w:t>Les transformateurs couverts par la présente norme sont conformes aux exigences applicables spécifiées dans la série CEI 60076.</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06.7.009</w:t>
            </w:r>
          </w:p>
        </w:tc>
      </w:tr>
      <w:tr w:rsidR="0043547B" w:rsidRPr="0043547B" w:rsidTr="00CB5DC0">
        <w:trPr>
          <w:trHeight w:val="315"/>
          <w:jc w:val="center"/>
        </w:trPr>
        <w:tc>
          <w:tcPr>
            <w:tcW w:w="1843" w:type="dxa"/>
            <w:tcBorders>
              <w:top w:val="single" w:sz="18" w:space="0" w:color="auto"/>
              <w:left w:val="single" w:sz="18" w:space="0" w:color="auto"/>
              <w:bottom w:val="single" w:sz="2"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bottom w:val="single" w:sz="2" w:space="0" w:color="auto"/>
              <w:right w:val="single" w:sz="18" w:space="0" w:color="auto"/>
            </w:tcBorders>
            <w:shd w:val="clear" w:color="auto" w:fill="FFFF99"/>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60081</w:t>
            </w:r>
          </w:p>
        </w:tc>
      </w:tr>
      <w:tr w:rsidR="0043547B" w:rsidRPr="0043547B" w:rsidTr="00CB5DC0">
        <w:trPr>
          <w:trHeight w:val="315"/>
          <w:jc w:val="center"/>
        </w:trPr>
        <w:tc>
          <w:tcPr>
            <w:tcW w:w="1843" w:type="dxa"/>
            <w:tcBorders>
              <w:top w:val="single" w:sz="2"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top w:val="single" w:sz="2" w:space="0" w:color="auto"/>
              <w:left w:val="single" w:sz="4"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Source d’éclairage électrique - Lampes tubulaires à fluorescence pour l’éclairage général </w:t>
            </w:r>
          </w:p>
        </w:tc>
      </w:tr>
      <w:tr w:rsidR="0043547B" w:rsidRPr="0043547B" w:rsidTr="00CB5DC0">
        <w:trPr>
          <w:trHeight w:val="1334"/>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à une classe de lampes tubulaires à fluorescence pour l'éclairage général qui sont alimentées en courant alternatif. Les lampes des types suivants sont incluses :</w:t>
            </w:r>
          </w:p>
          <w:p w:rsidR="00904E52" w:rsidRPr="0043547B" w:rsidRDefault="00904E52" w:rsidP="00B905D3">
            <w:pPr>
              <w:pStyle w:val="Paragraphedeliste"/>
              <w:numPr>
                <w:ilvl w:val="0"/>
                <w:numId w:val="6"/>
              </w:num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lampes à cathode préchauffée fonctionnant avec l'aide d'un starter ;</w:t>
            </w:r>
          </w:p>
          <w:p w:rsidR="00904E52" w:rsidRPr="0043547B" w:rsidRDefault="00904E52" w:rsidP="00B905D3">
            <w:pPr>
              <w:pStyle w:val="Paragraphedeliste"/>
              <w:numPr>
                <w:ilvl w:val="0"/>
                <w:numId w:val="6"/>
              </w:num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lampes à cathode préchauffée fonctionnant sans l'aide d'un starter ;</w:t>
            </w:r>
          </w:p>
          <w:p w:rsidR="00904E52" w:rsidRPr="0043547B" w:rsidRDefault="00904E52" w:rsidP="00B905D3">
            <w:pPr>
              <w:pStyle w:val="Paragraphedeliste"/>
              <w:numPr>
                <w:ilvl w:val="0"/>
                <w:numId w:val="6"/>
              </w:num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lampes à cathode non préchauffée fonctionnant sans l'aide d'un starter.</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06.6.026</w:t>
            </w:r>
          </w:p>
        </w:tc>
      </w:tr>
      <w:tr w:rsidR="0043547B" w:rsidRPr="0043547B" w:rsidTr="00CB5DC0">
        <w:trPr>
          <w:trHeight w:val="630"/>
          <w:jc w:val="center"/>
        </w:trPr>
        <w:tc>
          <w:tcPr>
            <w:tcW w:w="1843"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top w:val="single" w:sz="18" w:space="0" w:color="auto"/>
              <w:left w:val="single" w:sz="4"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Matériels pour installations domestiques et analogues – Culots de lampes et douilles ainsi que calibres pour le contrôle de l'interchangeabilité et de la sécurité - Culots de lampes d'usage courant pour l’éclairage général </w:t>
            </w:r>
          </w:p>
        </w:tc>
      </w:tr>
      <w:tr w:rsidR="0043547B" w:rsidRPr="0043547B" w:rsidTr="00CB5DC0">
        <w:trPr>
          <w:trHeight w:val="375"/>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aux culots de lampes d'usage courant pour l'éclairage général. Elle a pour objet de définir leurs caractéristiques dimensionnelles.</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06.3.035</w:t>
            </w:r>
          </w:p>
        </w:tc>
      </w:tr>
      <w:tr w:rsidR="0043547B" w:rsidRPr="0043547B" w:rsidTr="00CB5DC0">
        <w:trPr>
          <w:trHeight w:val="360"/>
          <w:jc w:val="center"/>
        </w:trPr>
        <w:tc>
          <w:tcPr>
            <w:tcW w:w="1843"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top w:val="single" w:sz="18" w:space="0" w:color="auto"/>
              <w:left w:val="single" w:sz="4" w:space="0" w:color="auto"/>
              <w:right w:val="single" w:sz="18" w:space="0" w:color="auto"/>
            </w:tcBorders>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Conducteurs et câbles pour installations - Conducteurs et Câbles comportant un revêtement métallique – Règles </w:t>
            </w:r>
          </w:p>
        </w:tc>
      </w:tr>
      <w:tr w:rsidR="0043547B" w:rsidRPr="0043547B" w:rsidTr="00CB5DC0">
        <w:trPr>
          <w:trHeight w:val="753"/>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concerne les conducteurs et câbles comportant un revêtement métallique.</w:t>
            </w:r>
            <w:r w:rsidRPr="0043547B">
              <w:rPr>
                <w:rFonts w:eastAsia="Times New Roman" w:cstheme="minorHAnsi"/>
                <w:sz w:val="24"/>
                <w:szCs w:val="24"/>
                <w:lang w:eastAsia="fr-FR"/>
              </w:rPr>
              <w:br/>
              <w:t>Elle s’applique à leurs revêtements métalliques ainsi qu’aux éléments de protection extérieure ou intérieure nécessités par le revêtement métallique.</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06.3.032</w:t>
            </w:r>
          </w:p>
        </w:tc>
      </w:tr>
      <w:tr w:rsidR="0043547B" w:rsidRPr="0043547B" w:rsidTr="00CB5DC0">
        <w:trPr>
          <w:trHeight w:val="315"/>
          <w:jc w:val="center"/>
        </w:trPr>
        <w:tc>
          <w:tcPr>
            <w:tcW w:w="1843" w:type="dxa"/>
            <w:tcBorders>
              <w:top w:val="single" w:sz="18" w:space="0" w:color="auto"/>
              <w:left w:val="single" w:sz="18" w:space="0" w:color="auto"/>
              <w:bottom w:val="single" w:sz="2"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top w:val="single" w:sz="18" w:space="0" w:color="auto"/>
              <w:left w:val="single" w:sz="4" w:space="0" w:color="auto"/>
              <w:bottom w:val="single" w:sz="2"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Conducteurs et câbles pour installations - Conducteurs pour câblage interne isolés au polychlorure de vinyle</w:t>
            </w:r>
          </w:p>
        </w:tc>
      </w:tr>
      <w:tr w:rsidR="0043547B" w:rsidRPr="0043547B" w:rsidTr="00CB5DC0">
        <w:trPr>
          <w:trHeight w:val="2203"/>
          <w:jc w:val="center"/>
        </w:trPr>
        <w:tc>
          <w:tcPr>
            <w:tcW w:w="1843" w:type="dxa"/>
            <w:tcBorders>
              <w:top w:val="single" w:sz="2" w:space="0" w:color="auto"/>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top w:val="single" w:sz="2" w:space="0" w:color="auto"/>
              <w:left w:val="single" w:sz="4" w:space="0" w:color="auto"/>
              <w:bottom w:val="single" w:sz="18" w:space="0" w:color="auto"/>
              <w:right w:val="single" w:sz="18" w:space="0" w:color="auto"/>
            </w:tcBorders>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règles de La norme s’appliquent aux conducteurs rigides et souples, isolés au polychlorure de vinyle, de tension nominale 250 V et 500 V selon les séries, spécialement destinés aux utilisations ci-après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câblage interne des matériels électroniques «Grand Public» tels que les récepteurs de radiodiffusion, de télévision et des appareils utilisant des techniques similaires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filerie interne des équipements de télécommunication à basse fréquence tels que ceux rencontrés en téléphonie, en télégraphie et des matériels de traitement de l’information.</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conducteurs visés dans La norme sont ceux des séries suivantes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 séries légères de tension nominale 250 V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FCLV avec âme massive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FCLSV avec âme souple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séries normales de tension nominale 500 V</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lastRenderedPageBreak/>
              <w:t>FCV avec âme massive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FCSV avec âme souple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température maximale à la surface de l’âme est...................................... + 70</w:t>
            </w:r>
            <w:r w:rsidR="00F12ECB" w:rsidRPr="0043547B">
              <w:rPr>
                <w:rFonts w:eastAsia="Times New Roman" w:cstheme="minorHAnsi"/>
                <w:sz w:val="24"/>
                <w:szCs w:val="24"/>
                <w:lang w:eastAsia="fr-FR"/>
              </w:rPr>
              <w:t xml:space="preserve"> </w:t>
            </w:r>
            <w:r w:rsidRPr="0043547B">
              <w:rPr>
                <w:rFonts w:eastAsia="Times New Roman" w:cstheme="minorHAnsi"/>
                <w:sz w:val="24"/>
                <w:szCs w:val="24"/>
                <w:lang w:eastAsia="fr-FR"/>
              </w:rPr>
              <w:t>°C</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La température minimale d’utilisation est.................................................... </w:t>
            </w:r>
            <w:r w:rsidR="00F12ECB" w:rsidRPr="0043547B">
              <w:rPr>
                <w:rFonts w:eastAsia="Times New Roman" w:cstheme="minorHAnsi"/>
                <w:sz w:val="24"/>
                <w:szCs w:val="24"/>
                <w:lang w:eastAsia="fr-FR"/>
              </w:rPr>
              <w:t>–</w:t>
            </w:r>
            <w:r w:rsidRPr="0043547B">
              <w:rPr>
                <w:rFonts w:eastAsia="Times New Roman" w:cstheme="minorHAnsi"/>
                <w:sz w:val="24"/>
                <w:szCs w:val="24"/>
                <w:lang w:eastAsia="fr-FR"/>
              </w:rPr>
              <w:t xml:space="preserve"> 10</w:t>
            </w:r>
            <w:r w:rsidR="00F12ECB" w:rsidRPr="0043547B">
              <w:rPr>
                <w:rFonts w:eastAsia="Times New Roman" w:cstheme="minorHAnsi"/>
                <w:sz w:val="24"/>
                <w:szCs w:val="24"/>
                <w:lang w:eastAsia="fr-FR"/>
              </w:rPr>
              <w:t xml:space="preserve"> </w:t>
            </w:r>
            <w:r w:rsidRPr="0043547B">
              <w:rPr>
                <w:rFonts w:eastAsia="Times New Roman" w:cstheme="minorHAnsi"/>
                <w:sz w:val="24"/>
                <w:szCs w:val="24"/>
                <w:lang w:eastAsia="fr-FR"/>
              </w:rPr>
              <w:t>°C</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Du point de vue du comportement au feu, ces conducteurs sont de la catégorie C2.</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conducteurs visés par La norme ne conviennent ni pour les petits appareils électrodomestiques, ni pour les ensembles électromécaniques, pour le câblage desquels on utilise les conducteurs harmonisés des séries H05VU et H05VK, conformes à la norme en vigueur.</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Sa série légère est recommandée pour des matériels ne générant pas de tension supérieure à 100 V.</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06.3.040</w:t>
            </w:r>
          </w:p>
        </w:tc>
      </w:tr>
      <w:tr w:rsidR="0043547B" w:rsidRPr="0043547B" w:rsidTr="00CB5DC0">
        <w:trPr>
          <w:trHeight w:val="600"/>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left w:val="single" w:sz="4"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Conducteurs et fils entrant dans la construction électrique - Fils cuivre émaillés, de section circulaire, à haute propriétés mécaniques </w:t>
            </w:r>
          </w:p>
        </w:tc>
      </w:tr>
      <w:tr w:rsidR="0043547B" w:rsidRPr="0043547B" w:rsidTr="00CB5DC0">
        <w:trPr>
          <w:trHeight w:val="1500"/>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tcPr>
          <w:p w:rsidR="005B070B" w:rsidRDefault="00904E52" w:rsidP="005B070B">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concerne les fils de cuivre émaillés, de section circulaire, à hautes propriétés mécaniques (fils de cuivre émaillés par exemple avec un émail de base acétal de polyvinyle).</w:t>
            </w:r>
          </w:p>
          <w:p w:rsidR="00904E52" w:rsidRPr="0043547B" w:rsidRDefault="00904E52" w:rsidP="005B070B">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gamme des dimensions de fils couverte par La norme est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Grade 1 et grade 2 : 0,020 mm jusqu'à' et y compris 5,000 mm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Grade 3 : 0,080 mm jusqu'à et y compris 5,000 mm.</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06.3.013</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top w:val="single" w:sz="18" w:space="0" w:color="auto"/>
              <w:left w:val="single" w:sz="4"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Câbles méplats sous gaines en polychlorure de vinyle, pour ascenseurs</w:t>
            </w:r>
          </w:p>
        </w:tc>
      </w:tr>
      <w:tr w:rsidR="0043547B" w:rsidRPr="0043547B" w:rsidTr="00CB5DC0">
        <w:trPr>
          <w:trHeight w:val="1058"/>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aux câbles souples méplats isolés et sous gaines en PVC, de tension nominale U</w:t>
            </w:r>
            <w:r w:rsidRPr="0043547B">
              <w:rPr>
                <w:rFonts w:eastAsia="Times New Roman" w:cstheme="minorHAnsi"/>
                <w:sz w:val="24"/>
                <w:szCs w:val="24"/>
                <w:vertAlign w:val="subscript"/>
                <w:lang w:eastAsia="fr-FR"/>
              </w:rPr>
              <w:t>0</w:t>
            </w:r>
            <w:r w:rsidRPr="0043547B">
              <w:rPr>
                <w:rFonts w:eastAsia="Times New Roman" w:cstheme="minorHAnsi"/>
                <w:sz w:val="24"/>
                <w:szCs w:val="24"/>
                <w:lang w:eastAsia="fr-FR"/>
              </w:rPr>
              <w:t>/U au plus égale à 450/750 V, pour ascenseurs et applications analogues.</w:t>
            </w:r>
            <w:r w:rsidRPr="0043547B">
              <w:rPr>
                <w:rFonts w:eastAsia="Times New Roman" w:cstheme="minorHAnsi"/>
                <w:sz w:val="24"/>
                <w:szCs w:val="24"/>
                <w:lang w:eastAsia="fr-FR"/>
              </w:rPr>
              <w:br/>
              <w:t>Elles ne s’appliquent pas aux câbles composites (les câbles comprenant des conducteurs de sections différentes par exemple).</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06.3.038</w:t>
            </w:r>
          </w:p>
        </w:tc>
      </w:tr>
      <w:tr w:rsidR="0043547B" w:rsidRPr="0043547B" w:rsidTr="00CB5DC0">
        <w:trPr>
          <w:trHeight w:val="450"/>
          <w:jc w:val="center"/>
        </w:trPr>
        <w:tc>
          <w:tcPr>
            <w:tcW w:w="1843"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top w:val="single" w:sz="18" w:space="0" w:color="auto"/>
              <w:left w:val="single" w:sz="4" w:space="0" w:color="auto"/>
              <w:right w:val="single" w:sz="18" w:space="0" w:color="auto"/>
            </w:tcBorders>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Conducteurs et câbles isolés pour installations - Câbles rigides isolés au polyéthylène réticulé –Série U-1000 RGPFV </w:t>
            </w:r>
          </w:p>
        </w:tc>
      </w:tr>
      <w:tr w:rsidR="0043547B" w:rsidRPr="0043547B" w:rsidTr="00CB5DC0">
        <w:trPr>
          <w:trHeight w:val="1500"/>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aux câbles rigides isolés au polyéthylène réticulé, comportant un bourrage ou une gaine de bourrage en matière élastique ou plastique, un tube de plomb, une armure et un revêtement sur l'armure constitué par une gaine en polychlorure de vinyle, de tension assignée 0,6/1 kV.</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câbles visés par La norme sont ceux de la série U-1000 RGPFV.</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Du point de vue du comportement au feu, ils sont de la catégorie C2 au sens de la norme en vigueur.</w:t>
            </w:r>
          </w:p>
        </w:tc>
      </w:tr>
      <w:tr w:rsidR="0043547B" w:rsidRPr="0043547B" w:rsidTr="00CB5DC0">
        <w:trPr>
          <w:trHeight w:val="378"/>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F075B3" w:rsidRPr="0043547B" w:rsidRDefault="00F075B3" w:rsidP="0051032F">
            <w:pPr>
              <w:spacing w:after="0" w:line="240" w:lineRule="auto"/>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vAlign w:val="center"/>
          </w:tcPr>
          <w:p w:rsidR="00F075B3" w:rsidRPr="0043547B" w:rsidRDefault="00F075B3" w:rsidP="0051032F">
            <w:pPr>
              <w:spacing w:after="0" w:line="240" w:lineRule="auto"/>
              <w:jc w:val="center"/>
              <w:rPr>
                <w:rFonts w:cstheme="minorHAnsi"/>
                <w:b/>
                <w:bCs/>
                <w:sz w:val="24"/>
                <w:szCs w:val="24"/>
              </w:rPr>
            </w:pPr>
            <w:r w:rsidRPr="0043547B">
              <w:rPr>
                <w:rFonts w:cstheme="minorHAnsi"/>
                <w:b/>
                <w:bCs/>
                <w:sz w:val="24"/>
                <w:szCs w:val="24"/>
              </w:rPr>
              <w:t>NM EN 50182</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F075B3" w:rsidRPr="0043547B" w:rsidRDefault="00F075B3" w:rsidP="0051032F">
            <w:pPr>
              <w:spacing w:after="0" w:line="240" w:lineRule="auto"/>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right w:val="single" w:sz="18" w:space="0" w:color="auto"/>
            </w:tcBorders>
            <w:shd w:val="clear" w:color="auto" w:fill="FFFF99"/>
            <w:vAlign w:val="center"/>
          </w:tcPr>
          <w:p w:rsidR="00F075B3" w:rsidRPr="0043547B" w:rsidRDefault="00F075B3" w:rsidP="0051032F">
            <w:pPr>
              <w:spacing w:after="0" w:line="240" w:lineRule="auto"/>
              <w:jc w:val="center"/>
              <w:rPr>
                <w:rFonts w:cstheme="minorHAnsi"/>
                <w:b/>
                <w:bCs/>
                <w:sz w:val="24"/>
                <w:szCs w:val="24"/>
              </w:rPr>
            </w:pPr>
            <w:r w:rsidRPr="0043547B">
              <w:rPr>
                <w:rFonts w:cstheme="minorHAnsi"/>
                <w:b/>
                <w:bCs/>
                <w:sz w:val="24"/>
                <w:szCs w:val="24"/>
              </w:rPr>
              <w:t>EN 50182</w:t>
            </w:r>
          </w:p>
        </w:tc>
      </w:tr>
      <w:tr w:rsidR="0043547B" w:rsidRPr="0043547B" w:rsidTr="00CB5DC0">
        <w:trPr>
          <w:trHeight w:val="315"/>
          <w:jc w:val="center"/>
        </w:trPr>
        <w:tc>
          <w:tcPr>
            <w:tcW w:w="1843" w:type="dxa"/>
            <w:tcBorders>
              <w:top w:val="single" w:sz="4" w:space="0" w:color="auto"/>
              <w:left w:val="single" w:sz="18" w:space="0" w:color="auto"/>
              <w:bottom w:val="single" w:sz="4" w:space="0" w:color="auto"/>
              <w:right w:val="single" w:sz="4" w:space="0" w:color="auto"/>
            </w:tcBorders>
            <w:shd w:val="clear" w:color="000000" w:fill="8DB4E2"/>
            <w:vAlign w:val="center"/>
          </w:tcPr>
          <w:p w:rsidR="00F075B3" w:rsidRPr="0043547B" w:rsidRDefault="00F075B3" w:rsidP="0051032F">
            <w:pPr>
              <w:spacing w:after="0" w:line="240" w:lineRule="auto"/>
              <w:jc w:val="center"/>
              <w:rPr>
                <w:rFonts w:cstheme="minorHAnsi"/>
                <w:b/>
                <w:bCs/>
                <w:sz w:val="24"/>
                <w:szCs w:val="24"/>
              </w:rPr>
            </w:pPr>
            <w:r w:rsidRPr="0043547B">
              <w:rPr>
                <w:rFonts w:cstheme="minorHAnsi"/>
                <w:b/>
                <w:bCs/>
                <w:sz w:val="24"/>
                <w:szCs w:val="24"/>
              </w:rPr>
              <w:t>Intitulé :</w:t>
            </w:r>
          </w:p>
        </w:tc>
        <w:tc>
          <w:tcPr>
            <w:tcW w:w="8080" w:type="dxa"/>
            <w:tcBorders>
              <w:top w:val="single" w:sz="4" w:space="0" w:color="auto"/>
              <w:left w:val="single" w:sz="4" w:space="0" w:color="auto"/>
              <w:right w:val="single" w:sz="18" w:space="0" w:color="auto"/>
            </w:tcBorders>
          </w:tcPr>
          <w:p w:rsidR="00F075B3" w:rsidRPr="0043547B" w:rsidRDefault="00F075B3" w:rsidP="0051032F">
            <w:pPr>
              <w:spacing w:after="0" w:line="240" w:lineRule="auto"/>
              <w:jc w:val="both"/>
              <w:rPr>
                <w:rFonts w:cstheme="minorHAnsi"/>
                <w:sz w:val="24"/>
                <w:szCs w:val="24"/>
              </w:rPr>
            </w:pPr>
            <w:r w:rsidRPr="0043547B">
              <w:rPr>
                <w:rFonts w:cstheme="minorHAnsi"/>
                <w:sz w:val="24"/>
                <w:szCs w:val="24"/>
              </w:rPr>
              <w:t xml:space="preserve">Conducteurs pour lignes aériennes - Conducteurs à brins circulaires, câblés en couches concentriques </w:t>
            </w:r>
          </w:p>
        </w:tc>
      </w:tr>
      <w:tr w:rsidR="0043547B" w:rsidRPr="0043547B" w:rsidTr="00CB5DC0">
        <w:trPr>
          <w:trHeight w:val="814"/>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F075B3" w:rsidRPr="0043547B" w:rsidRDefault="00F075B3" w:rsidP="0051032F">
            <w:pPr>
              <w:spacing w:after="0" w:line="240" w:lineRule="auto"/>
              <w:jc w:val="both"/>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vAlign w:val="bottom"/>
          </w:tcPr>
          <w:p w:rsidR="00F075B3" w:rsidRPr="0043547B" w:rsidRDefault="00F075B3" w:rsidP="0051032F">
            <w:pPr>
              <w:spacing w:after="0" w:line="240" w:lineRule="auto"/>
              <w:jc w:val="both"/>
              <w:rPr>
                <w:rFonts w:cstheme="minorHAnsi"/>
                <w:sz w:val="24"/>
                <w:szCs w:val="24"/>
              </w:rPr>
            </w:pPr>
            <w:r w:rsidRPr="0043547B">
              <w:rPr>
                <w:rFonts w:cstheme="minorHAnsi"/>
                <w:sz w:val="24"/>
                <w:szCs w:val="24"/>
              </w:rPr>
              <w:t xml:space="preserve">La présente norme spécifie les caractéristiques électriques et mécaniques des conducteurs nus à brins circulaires, câblés en couches concentriques et de sens alternés, pour lignes électriques aériennes, enduits ou non d'un produit de protection selon la EN 50326, et fabriqués à partir de la combinaison d'un ou des éléments suivants : a) Aluminium écroui dur conforme à la EN 60889, désigné AL1 </w:t>
            </w:r>
            <w:r w:rsidRPr="0043547B">
              <w:rPr>
                <w:rFonts w:cstheme="minorHAnsi"/>
                <w:sz w:val="24"/>
                <w:szCs w:val="24"/>
              </w:rPr>
              <w:lastRenderedPageBreak/>
              <w:t>b) Alliage d'aluminium conforme à la EN 50183, désigné de AL2 à AL7 c) Fil d'acier revêtu de zinc conforme à la EN 50189, dont le grade et la classe de revêtement sont désignés ST1A, ST2B, ST3D, ST4A, ST5E et ST6C d) Fil d'acier revêtu d'aluminium conforme à la EN 61232, désigné 20SA (grades A et B), 27SA, 30SA et 40SA. Les conducteurs composés uniquement de fils d'acier zingué ne sont pas inclus.</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06.3.066</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top w:val="single" w:sz="18" w:space="0" w:color="auto"/>
              <w:left w:val="single" w:sz="4"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Conducteurs nus en alliage d’aluminium et en acier pour lignes aériennes </w:t>
            </w:r>
          </w:p>
        </w:tc>
      </w:tr>
      <w:tr w:rsidR="0043547B" w:rsidRPr="0043547B" w:rsidTr="00CB5DC0">
        <w:trPr>
          <w:trHeight w:val="1141"/>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Cette norme est applicable aux conducteurs nus pour lignes aériennes câblés en couches concentriques soit avec des fils en alliage d’aluminium conformes à la norme CEI 104 soit avec des fils en alliage d’aluminium et des fils d’acier zingué conformes à la norme CEI 888. Toutefois, La norme impose à ces deux normes des exigences complémentaires.</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F075B3" w:rsidRPr="0043547B" w:rsidRDefault="00F075B3" w:rsidP="0051032F">
            <w:pPr>
              <w:spacing w:after="0" w:line="240" w:lineRule="auto"/>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tcPr>
          <w:p w:rsidR="00F075B3" w:rsidRPr="0043547B" w:rsidRDefault="00F075B3" w:rsidP="0051032F">
            <w:pPr>
              <w:spacing w:after="0" w:line="240" w:lineRule="auto"/>
              <w:jc w:val="center"/>
              <w:rPr>
                <w:rFonts w:cstheme="minorHAnsi"/>
                <w:b/>
                <w:bCs/>
                <w:sz w:val="24"/>
                <w:szCs w:val="24"/>
              </w:rPr>
            </w:pPr>
            <w:r w:rsidRPr="0043547B">
              <w:rPr>
                <w:rFonts w:cstheme="minorHAnsi"/>
                <w:b/>
                <w:bCs/>
                <w:sz w:val="24"/>
                <w:szCs w:val="24"/>
              </w:rPr>
              <w:t>NM 06.3.068</w:t>
            </w:r>
          </w:p>
        </w:tc>
      </w:tr>
      <w:tr w:rsidR="0043547B" w:rsidRPr="0043547B" w:rsidTr="00CB5DC0">
        <w:trPr>
          <w:trHeight w:val="600"/>
          <w:jc w:val="center"/>
        </w:trPr>
        <w:tc>
          <w:tcPr>
            <w:tcW w:w="1843" w:type="dxa"/>
            <w:tcBorders>
              <w:top w:val="single" w:sz="18" w:space="0" w:color="auto"/>
              <w:left w:val="single" w:sz="18" w:space="0" w:color="auto"/>
              <w:bottom w:val="single" w:sz="2" w:space="0" w:color="auto"/>
              <w:right w:val="single" w:sz="4" w:space="0" w:color="auto"/>
            </w:tcBorders>
            <w:shd w:val="clear" w:color="000000" w:fill="8DB4E2"/>
            <w:vAlign w:val="center"/>
          </w:tcPr>
          <w:p w:rsidR="00F075B3" w:rsidRPr="0043547B" w:rsidRDefault="00F075B3" w:rsidP="0051032F">
            <w:pPr>
              <w:spacing w:after="0" w:line="240" w:lineRule="auto"/>
              <w:jc w:val="center"/>
              <w:rPr>
                <w:rFonts w:cstheme="minorHAnsi"/>
                <w:b/>
                <w:bCs/>
                <w:sz w:val="24"/>
                <w:szCs w:val="24"/>
              </w:rPr>
            </w:pPr>
            <w:r w:rsidRPr="0043547B">
              <w:rPr>
                <w:rFonts w:cstheme="minorHAnsi"/>
                <w:b/>
                <w:bCs/>
                <w:sz w:val="24"/>
                <w:szCs w:val="24"/>
              </w:rPr>
              <w:t>Intitulé :</w:t>
            </w:r>
          </w:p>
        </w:tc>
        <w:tc>
          <w:tcPr>
            <w:tcW w:w="8080" w:type="dxa"/>
            <w:tcBorders>
              <w:top w:val="single" w:sz="18" w:space="0" w:color="auto"/>
              <w:left w:val="single" w:sz="4" w:space="0" w:color="auto"/>
              <w:right w:val="single" w:sz="18" w:space="0" w:color="auto"/>
            </w:tcBorders>
          </w:tcPr>
          <w:p w:rsidR="00F075B3" w:rsidRPr="0043547B" w:rsidRDefault="00F075B3" w:rsidP="0051032F">
            <w:pPr>
              <w:spacing w:after="0" w:line="240" w:lineRule="auto"/>
              <w:jc w:val="both"/>
              <w:rPr>
                <w:rFonts w:cstheme="minorHAnsi"/>
                <w:sz w:val="24"/>
                <w:szCs w:val="24"/>
              </w:rPr>
            </w:pPr>
            <w:r w:rsidRPr="0043547B">
              <w:rPr>
                <w:rFonts w:cstheme="minorHAnsi"/>
                <w:sz w:val="24"/>
                <w:szCs w:val="24"/>
              </w:rPr>
              <w:t xml:space="preserve">Câbles isolés ou protégés pour réseaux d'énergie - Câbles isolés assemblés en faisceau pour réseaux aériens, de tension assignée 0,6/1 kV </w:t>
            </w:r>
          </w:p>
        </w:tc>
      </w:tr>
      <w:tr w:rsidR="0043547B" w:rsidRPr="0043547B" w:rsidTr="00CB5DC0">
        <w:trPr>
          <w:trHeight w:val="699"/>
          <w:jc w:val="center"/>
        </w:trPr>
        <w:tc>
          <w:tcPr>
            <w:tcW w:w="1843" w:type="dxa"/>
            <w:tcBorders>
              <w:top w:val="single" w:sz="2" w:space="0" w:color="auto"/>
              <w:left w:val="single" w:sz="18" w:space="0" w:color="auto"/>
              <w:bottom w:val="single" w:sz="18" w:space="0" w:color="auto"/>
              <w:right w:val="single" w:sz="4" w:space="0" w:color="auto"/>
            </w:tcBorders>
            <w:shd w:val="clear" w:color="000000" w:fill="D9D9D9"/>
            <w:vAlign w:val="center"/>
            <w:hideMark/>
          </w:tcPr>
          <w:p w:rsidR="00F075B3" w:rsidRPr="0043547B" w:rsidRDefault="00F075B3" w:rsidP="0051032F">
            <w:pPr>
              <w:spacing w:after="0" w:line="240" w:lineRule="auto"/>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vAlign w:val="bottom"/>
          </w:tcPr>
          <w:p w:rsidR="00F075B3" w:rsidRPr="0043547B" w:rsidRDefault="00F075B3" w:rsidP="0051032F">
            <w:pPr>
              <w:spacing w:after="0" w:line="240" w:lineRule="auto"/>
              <w:jc w:val="both"/>
              <w:rPr>
                <w:rFonts w:cstheme="minorHAnsi"/>
                <w:sz w:val="24"/>
                <w:szCs w:val="24"/>
              </w:rPr>
            </w:pPr>
            <w:r w:rsidRPr="0043547B">
              <w:rPr>
                <w:rFonts w:cstheme="minorHAnsi"/>
                <w:sz w:val="24"/>
                <w:szCs w:val="24"/>
              </w:rPr>
              <w:t>Câbles isolés ou protégés pour réseaux d'énergie - Câbles isolés assemblés en faisceau pour réseaux aériens, de tension assignée 0,6/1 kV</w:t>
            </w:r>
            <w:r w:rsidRPr="0043547B">
              <w:rPr>
                <w:rFonts w:cstheme="minorHAnsi"/>
                <w:sz w:val="24"/>
                <w:szCs w:val="24"/>
              </w:rPr>
              <w:br/>
              <w:t>La présente norme s'applique aux conducteurs isolés assemblés en faisceau, de tension assignée Uo/U égale à 0,6/l kV pourvus d'une gaine isolante en polyéthylène réticulé et destinés à la réalisation de réseaux aériens à basse tension. Les faisceaux peuvent comporter des conducteurs d'éclairage public et des conducteurs pilotes. Cette norme fixe les caractéristiques de ces câbles isolés assemblés en faisceau et définit les essais auxquels ils doivent satisfaire.</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06.0.001</w:t>
            </w:r>
          </w:p>
        </w:tc>
      </w:tr>
      <w:tr w:rsidR="0043547B" w:rsidRPr="0043547B" w:rsidTr="00CB5DC0">
        <w:trPr>
          <w:trHeight w:val="315"/>
          <w:jc w:val="center"/>
        </w:trPr>
        <w:tc>
          <w:tcPr>
            <w:tcW w:w="1843" w:type="dxa"/>
            <w:tcBorders>
              <w:top w:val="single" w:sz="18" w:space="0" w:color="auto"/>
              <w:left w:val="single" w:sz="18" w:space="0" w:color="auto"/>
              <w:bottom w:val="single" w:sz="2"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bottom w:val="single" w:sz="2" w:space="0" w:color="auto"/>
              <w:right w:val="single" w:sz="18" w:space="0" w:color="auto"/>
            </w:tcBorders>
            <w:shd w:val="clear" w:color="auto" w:fill="FFFF99"/>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CEI 60694</w:t>
            </w:r>
          </w:p>
        </w:tc>
      </w:tr>
      <w:tr w:rsidR="0043547B" w:rsidRPr="0043547B" w:rsidTr="00CB5DC0">
        <w:trPr>
          <w:trHeight w:val="315"/>
          <w:jc w:val="center"/>
        </w:trPr>
        <w:tc>
          <w:tcPr>
            <w:tcW w:w="1843" w:type="dxa"/>
            <w:tcBorders>
              <w:top w:val="single" w:sz="2"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top w:val="single" w:sz="2" w:space="0" w:color="auto"/>
              <w:left w:val="single" w:sz="4"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Spécifications communes aux normes de l’appareillage à haute tension </w:t>
            </w:r>
          </w:p>
        </w:tc>
      </w:tr>
      <w:tr w:rsidR="0043547B" w:rsidRPr="0043547B" w:rsidTr="00CB5DC0">
        <w:trPr>
          <w:trHeight w:val="1192"/>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à l'appareillage à courant alternatif prévu pour être installé à l’intérieur ou à l'extérieur et pour fonctionner à des fréquences de service inférieures ou égales à 60 Hz sur des réseaux de tension supérieure à 1000 V.</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Cette norme s'applique à tout l'appareillage à haute tension, sauf spécification contraire dans les nonnes particulières pour le type d'appareillage considéré.</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06.1.005</w:t>
            </w:r>
          </w:p>
        </w:tc>
      </w:tr>
      <w:tr w:rsidR="0043547B" w:rsidRPr="0043547B" w:rsidTr="00CB5DC0">
        <w:trPr>
          <w:trHeight w:val="315"/>
          <w:jc w:val="center"/>
        </w:trPr>
        <w:tc>
          <w:tcPr>
            <w:tcW w:w="1843" w:type="dxa"/>
            <w:tcBorders>
              <w:top w:val="single" w:sz="18" w:space="0" w:color="auto"/>
              <w:left w:val="single" w:sz="18" w:space="0" w:color="auto"/>
              <w:bottom w:val="single" w:sz="2"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bottom w:val="single" w:sz="2" w:space="0" w:color="auto"/>
              <w:right w:val="single" w:sz="18" w:space="0" w:color="auto"/>
            </w:tcBorders>
            <w:shd w:val="clear" w:color="auto" w:fill="FFFF99"/>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CEI 60364-7-714</w:t>
            </w:r>
          </w:p>
        </w:tc>
      </w:tr>
      <w:tr w:rsidR="0043547B" w:rsidRPr="0043547B" w:rsidTr="00CB5DC0">
        <w:trPr>
          <w:trHeight w:val="506"/>
          <w:jc w:val="center"/>
        </w:trPr>
        <w:tc>
          <w:tcPr>
            <w:tcW w:w="1843" w:type="dxa"/>
            <w:tcBorders>
              <w:top w:val="single" w:sz="2"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top w:val="single" w:sz="2" w:space="0" w:color="auto"/>
              <w:left w:val="single" w:sz="4"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Installations électriques des bâtiments – Règles pour les installations et emplacements spéciaux - Installations d’éclairage extérieur </w:t>
            </w:r>
          </w:p>
        </w:tc>
      </w:tr>
      <w:tr w:rsidR="0043547B" w:rsidRPr="0043547B" w:rsidTr="00E7624B">
        <w:trPr>
          <w:trHeight w:val="734"/>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vAlign w:val="bottom"/>
          </w:tcPr>
          <w:p w:rsidR="00E7624B" w:rsidRPr="0043547B" w:rsidRDefault="00904E52" w:rsidP="00E7624B">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marocaine, traite des installations d'éclairage extérieures fixes y compris les luminaires, les canalisations et l'appareillage placés à l'extérieur des bâtiments.</w:t>
            </w:r>
            <w:r w:rsidRPr="0043547B">
              <w:rPr>
                <w:rFonts w:eastAsia="Times New Roman" w:cstheme="minorHAnsi"/>
                <w:sz w:val="24"/>
                <w:szCs w:val="24"/>
                <w:lang w:eastAsia="fr-FR"/>
              </w:rPr>
              <w:br/>
            </w:r>
            <w:r w:rsidR="00E7624B" w:rsidRPr="0043547B">
              <w:rPr>
                <w:rFonts w:eastAsia="Times New Roman" w:cstheme="minorHAnsi"/>
                <w:sz w:val="24"/>
                <w:szCs w:val="24"/>
                <w:lang w:eastAsia="fr-FR"/>
              </w:rPr>
              <w:t>Les prescriptions s'appliquent notamment :</w:t>
            </w:r>
          </w:p>
          <w:p w:rsidR="00E7624B" w:rsidRPr="0043547B" w:rsidRDefault="00E7624B" w:rsidP="00E7624B">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 aux installations d'éclairage, par exemple des rues, parcs, jardins, lieux publics, terrains de sports et à l'illumination des monuments ; </w:t>
            </w:r>
          </w:p>
          <w:p w:rsidR="00E7624B" w:rsidRPr="0043547B" w:rsidRDefault="00E7624B" w:rsidP="00E7624B">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aux autres matériels comportant de l'éclairage tels que cabines téléphoniques, abris d'autobus, panneaux publicitaires, plans de ville, signaux de rues ;</w:t>
            </w:r>
          </w:p>
          <w:p w:rsidR="00E7624B" w:rsidRPr="0043547B" w:rsidRDefault="00E7624B" w:rsidP="00E7624B">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Elles ne s'appliquent pas :</w:t>
            </w:r>
          </w:p>
          <w:p w:rsidR="00E7624B" w:rsidRPr="0043547B" w:rsidRDefault="00E7624B" w:rsidP="00E7624B">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 aux installations d'éclairage public qui font partie du réseau de distribution publique et sont exploitées par un service public qui est responsable des mesures de sécurité et prend toutes les dispositions nécessaires ; </w:t>
            </w:r>
          </w:p>
          <w:p w:rsidR="00E7624B" w:rsidRPr="0043547B" w:rsidRDefault="00E7624B" w:rsidP="00E7624B">
            <w:pPr>
              <w:spacing w:after="0" w:line="240" w:lineRule="auto"/>
              <w:rPr>
                <w:rFonts w:eastAsia="Times New Roman" w:cstheme="minorHAnsi"/>
                <w:sz w:val="24"/>
                <w:szCs w:val="24"/>
                <w:lang w:eastAsia="fr-FR"/>
              </w:rPr>
            </w:pPr>
            <w:r w:rsidRPr="0043547B">
              <w:rPr>
                <w:rFonts w:eastAsia="Times New Roman" w:cstheme="minorHAnsi"/>
                <w:sz w:val="24"/>
                <w:szCs w:val="24"/>
                <w:lang w:eastAsia="fr-FR"/>
              </w:rPr>
              <w:lastRenderedPageBreak/>
              <w:t>- aux guirlandes lumineuses temporaires ;</w:t>
            </w:r>
          </w:p>
          <w:p w:rsidR="00E7624B" w:rsidRPr="0043547B" w:rsidRDefault="00E7624B" w:rsidP="00E7624B">
            <w:pPr>
              <w:spacing w:after="0" w:line="240" w:lineRule="auto"/>
              <w:rPr>
                <w:rFonts w:eastAsia="Times New Roman" w:cstheme="minorHAnsi"/>
                <w:sz w:val="24"/>
                <w:szCs w:val="24"/>
                <w:lang w:eastAsia="fr-FR"/>
              </w:rPr>
            </w:pPr>
            <w:r w:rsidRPr="0043547B">
              <w:rPr>
                <w:rFonts w:eastAsia="Times New Roman" w:cstheme="minorHAnsi"/>
                <w:sz w:val="24"/>
                <w:szCs w:val="24"/>
                <w:lang w:eastAsia="fr-FR"/>
              </w:rPr>
              <w:t>- aux systèmes de signalisation routière ;</w:t>
            </w:r>
          </w:p>
          <w:p w:rsidR="00904E52" w:rsidRPr="0043547B" w:rsidRDefault="00E7624B" w:rsidP="00E7624B">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 </w:t>
            </w:r>
            <w:r w:rsidRPr="0043547B">
              <w:rPr>
                <w:rFonts w:eastAsia="Times New Roman" w:cstheme="minorHAnsi"/>
                <w:w w:val="90"/>
                <w:sz w:val="24"/>
                <w:szCs w:val="24"/>
                <w:lang w:eastAsia="fr-FR"/>
              </w:rPr>
              <w:t>aux luminaires fixés à l'extérieur des bâtiments et alimentés de l'intérieur de ces bâtiments.</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06.3.098</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top w:val="single" w:sz="18" w:space="0" w:color="auto"/>
              <w:left w:val="single" w:sz="4"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Fils d’aluminium écroui dur pour conducteurs de lignes aériennes </w:t>
            </w:r>
          </w:p>
        </w:tc>
      </w:tr>
      <w:tr w:rsidR="0043547B" w:rsidRPr="0043547B" w:rsidTr="00CB5DC0">
        <w:trPr>
          <w:trHeight w:val="900"/>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est applicable aux fils en aluminium écroui dur pour la fabrication de conducteurs câblés pour lignes aériennes de transport d’énergie électrique. Elle spécifie les propriétés mécaniques et électriques des fils dans la gamme de diamètres de 1,25 mm à 5,00 mm.</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06.3.099</w:t>
            </w:r>
          </w:p>
        </w:tc>
      </w:tr>
      <w:tr w:rsidR="0043547B" w:rsidRPr="0043547B" w:rsidTr="00CB5DC0">
        <w:trPr>
          <w:trHeight w:val="276"/>
          <w:jc w:val="center"/>
        </w:trPr>
        <w:tc>
          <w:tcPr>
            <w:tcW w:w="1843"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top w:val="single" w:sz="18" w:space="0" w:color="auto"/>
              <w:left w:val="single" w:sz="4" w:space="0" w:color="auto"/>
              <w:right w:val="single" w:sz="18" w:space="0" w:color="auto"/>
            </w:tcBorders>
            <w:vAlign w:val="center"/>
          </w:tcPr>
          <w:p w:rsidR="00904E52" w:rsidRPr="0043547B" w:rsidRDefault="00904E52" w:rsidP="008C5C4C">
            <w:pPr>
              <w:spacing w:after="0" w:line="240" w:lineRule="auto"/>
              <w:rPr>
                <w:rFonts w:eastAsia="Times New Roman" w:cstheme="minorHAnsi"/>
                <w:sz w:val="24"/>
                <w:szCs w:val="24"/>
                <w:lang w:eastAsia="fr-FR"/>
              </w:rPr>
            </w:pPr>
            <w:r w:rsidRPr="0043547B">
              <w:rPr>
                <w:rFonts w:eastAsia="Times New Roman" w:cstheme="minorHAnsi"/>
                <w:sz w:val="24"/>
                <w:szCs w:val="24"/>
                <w:lang w:eastAsia="fr-FR"/>
              </w:rPr>
              <w:t xml:space="preserve">Fils en alliage d’aluminium - Magnésium - Silicium pour conducteurs de lignes aériennes </w:t>
            </w:r>
          </w:p>
        </w:tc>
      </w:tr>
      <w:tr w:rsidR="0043547B" w:rsidRPr="0043547B" w:rsidTr="00CB5DC0">
        <w:trPr>
          <w:trHeight w:val="1118"/>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vAlign w:val="center"/>
          </w:tcPr>
          <w:p w:rsidR="008C5C4C" w:rsidRPr="0043547B" w:rsidRDefault="00904E52" w:rsidP="00DB0C6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est applicable aux fils en alliage d’aluminium-magnésium-silicium ayant des propriétés mécaniques et électriques spécifiques pour la fabrication de conducteurs pour lignes aériennes de transport d’énergie électrique. Elle spécifie les propriétés mécaniques et électriques des fils dans la gamme de diamètre 1,50 mm à 4,50 mm.</w:t>
            </w:r>
            <w:r w:rsidR="008C5C4C" w:rsidRPr="0043547B">
              <w:rPr>
                <w:rFonts w:eastAsia="Times New Roman" w:cstheme="minorHAnsi"/>
                <w:sz w:val="24"/>
                <w:szCs w:val="24"/>
                <w:lang w:eastAsia="fr-FR"/>
              </w:rPr>
              <w:t xml:space="preserve"> </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06.5.006</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top w:val="single" w:sz="18" w:space="0" w:color="auto"/>
              <w:left w:val="single" w:sz="4"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Transformateurs HT/BT pour éclairage public </w:t>
            </w:r>
          </w:p>
        </w:tc>
      </w:tr>
      <w:tr w:rsidR="0043547B" w:rsidRPr="0043547B" w:rsidTr="00CB5DC0">
        <w:trPr>
          <w:trHeight w:val="1077"/>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aux transformateurs HT/BT spécialement destinés à alimenter une traction d'une installation d'éclairage public au sens des règles en vigueur à partir d'un poste général d'alimentation haute tension. Elle s'applique également aux accessoires de raccorde</w:t>
            </w:r>
            <w:r w:rsidRPr="0043547B">
              <w:rPr>
                <w:rFonts w:eastAsia="Times New Roman" w:cstheme="minorHAnsi"/>
                <w:sz w:val="24"/>
                <w:szCs w:val="24"/>
                <w:lang w:eastAsia="fr-FR"/>
              </w:rPr>
              <w:softHyphen/>
              <w:t xml:space="preserve"> ment directement liés au transformateur.</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vAlign w:val="bottom"/>
          </w:tcPr>
          <w:p w:rsidR="00904E52" w:rsidRPr="0043547B" w:rsidRDefault="00904E52" w:rsidP="009F373C">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 xml:space="preserve">NM </w:t>
            </w:r>
            <w:r w:rsidR="009F373C" w:rsidRPr="0043547B">
              <w:rPr>
                <w:rFonts w:eastAsia="Times New Roman" w:cstheme="minorHAnsi"/>
                <w:b/>
                <w:bCs/>
                <w:sz w:val="24"/>
                <w:szCs w:val="24"/>
                <w:lang w:eastAsia="fr-FR"/>
              </w:rPr>
              <w:t>EN 60669-1</w:t>
            </w:r>
          </w:p>
        </w:tc>
      </w:tr>
      <w:tr w:rsidR="0043547B" w:rsidRPr="0043547B" w:rsidTr="00CB5DC0">
        <w:trPr>
          <w:trHeight w:val="315"/>
          <w:jc w:val="center"/>
        </w:trPr>
        <w:tc>
          <w:tcPr>
            <w:tcW w:w="1843" w:type="dxa"/>
            <w:tcBorders>
              <w:top w:val="single" w:sz="18" w:space="0" w:color="auto"/>
              <w:left w:val="single" w:sz="18" w:space="0" w:color="auto"/>
              <w:bottom w:val="single" w:sz="2"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bottom w:val="single" w:sz="2" w:space="0" w:color="auto"/>
              <w:right w:val="single" w:sz="18" w:space="0" w:color="auto"/>
            </w:tcBorders>
            <w:shd w:val="clear" w:color="auto" w:fill="FFFF99"/>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60669-1</w:t>
            </w:r>
          </w:p>
        </w:tc>
      </w:tr>
      <w:tr w:rsidR="0043547B" w:rsidRPr="0043547B" w:rsidTr="00CB5DC0">
        <w:trPr>
          <w:trHeight w:val="315"/>
          <w:jc w:val="center"/>
        </w:trPr>
        <w:tc>
          <w:tcPr>
            <w:tcW w:w="1843" w:type="dxa"/>
            <w:tcBorders>
              <w:top w:val="single" w:sz="2"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top w:val="single" w:sz="2" w:space="0" w:color="auto"/>
              <w:left w:val="single" w:sz="4"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Interrupteurs pour installation électriques fixes domestiques et analogues - Prescriptions générales  </w:t>
            </w:r>
            <w:r w:rsidR="00EE5C70" w:rsidRPr="0043547B">
              <w:rPr>
                <w:rFonts w:cstheme="minorHAnsi"/>
                <w:noProof/>
                <w:sz w:val="24"/>
                <w:szCs w:val="24"/>
                <w:lang w:eastAsia="fr-FR"/>
              </w:rPr>
              <w:drawing>
                <wp:inline distT="0" distB="0" distL="0" distR="0" wp14:anchorId="42140F48" wp14:editId="169B04CA">
                  <wp:extent cx="183515" cy="158750"/>
                  <wp:effectExtent l="0" t="0" r="6985" b="0"/>
                  <wp:docPr id="24" name="Image 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8" cstate="print"/>
                          <a:srcRect/>
                          <a:stretch>
                            <a:fillRect/>
                          </a:stretch>
                        </pic:blipFill>
                        <pic:spPr bwMode="auto">
                          <a:xfrm>
                            <a:off x="0" y="0"/>
                            <a:ext cx="185776" cy="160706"/>
                          </a:xfrm>
                          <a:prstGeom prst="rect">
                            <a:avLst/>
                          </a:prstGeom>
                          <a:noFill/>
                          <a:ln w="9525">
                            <a:noFill/>
                            <a:miter lim="800000"/>
                            <a:headEnd/>
                            <a:tailEnd/>
                          </a:ln>
                        </pic:spPr>
                      </pic:pic>
                    </a:graphicData>
                  </a:graphic>
                </wp:inline>
              </w:drawing>
            </w:r>
          </w:p>
        </w:tc>
      </w:tr>
      <w:tr w:rsidR="0043547B" w:rsidRPr="0043547B" w:rsidTr="00CB5DC0">
        <w:trPr>
          <w:trHeight w:val="1323"/>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tcPr>
          <w:p w:rsidR="00904E52" w:rsidRPr="0043547B" w:rsidRDefault="00904E52" w:rsidP="006B0280">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aux interrupteurs pour courant alternatif et continu à commande manuelle pour usages courants, de tension assignée ne dépassant pas 440 V et de courant assigné ne dépassant pas 63 A, destinés aux installations électriques fixes domestiques et analogues, soit intérieures, soit extérieures. Le courant assigné est limité à 16 A pour les interrupteurs fournis avec des bornes sans vis.</w:t>
            </w:r>
          </w:p>
          <w:p w:rsidR="00B27CC8" w:rsidRPr="0043547B" w:rsidRDefault="00B27CC8" w:rsidP="00B27CC8">
            <w:pPr>
              <w:spacing w:after="0" w:line="240" w:lineRule="auto"/>
              <w:jc w:val="both"/>
              <w:rPr>
                <w:rFonts w:eastAsia="Times New Roman" w:cstheme="minorHAnsi"/>
                <w:i/>
                <w:iCs/>
                <w:sz w:val="24"/>
                <w:szCs w:val="24"/>
                <w:lang w:eastAsia="fr-FR"/>
              </w:rPr>
            </w:pPr>
            <w:r w:rsidRPr="0043547B">
              <w:rPr>
                <w:rFonts w:eastAsia="Times New Roman" w:cstheme="minorHAnsi"/>
                <w:b/>
                <w:bCs/>
                <w:i/>
                <w:iCs/>
                <w:sz w:val="24"/>
                <w:szCs w:val="24"/>
                <w:lang w:eastAsia="fr-FR"/>
              </w:rPr>
              <w:t>Notes :</w:t>
            </w:r>
            <w:r w:rsidRPr="0043547B">
              <w:rPr>
                <w:rFonts w:eastAsia="Times New Roman" w:cstheme="minorHAnsi"/>
                <w:i/>
                <w:iCs/>
                <w:sz w:val="24"/>
                <w:szCs w:val="24"/>
                <w:lang w:eastAsia="fr-FR"/>
              </w:rPr>
              <w:t xml:space="preserve"> Une extension du domaine d’application aux interrupteurs de tensions assignées supérieures à 440 V est à l’étude Sauf spécification contraire dans les parties subséquentes, La norme s’applique aux interrupteurs prévus pour utilisation sous 50 Hz.</w:t>
            </w:r>
          </w:p>
          <w:p w:rsidR="00B27CC8" w:rsidRPr="0043547B" w:rsidRDefault="00B27CC8" w:rsidP="00B27CC8">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s’applique également aux boîtes de montage des interrupteurs, à l’exception des boîtes d’encastrement pour interrupteurs encastrés.</w:t>
            </w:r>
          </w:p>
          <w:p w:rsidR="00B27CC8" w:rsidRPr="0043547B" w:rsidRDefault="00B27CC8" w:rsidP="00B27CC8">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aussi aux interrupteurs tels que :</w:t>
            </w:r>
          </w:p>
          <w:p w:rsidR="00B27CC8" w:rsidRPr="0043547B" w:rsidRDefault="00B27CC8" w:rsidP="00B27CC8">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interrupteurs comprenant des lampes indicatrices au néon ;</w:t>
            </w:r>
          </w:p>
          <w:p w:rsidR="00B27CC8" w:rsidRPr="0043547B" w:rsidRDefault="00B27CC8" w:rsidP="00B27CC8">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interrupteurs à commande électromagnétique à distance ;</w:t>
            </w:r>
          </w:p>
          <w:p w:rsidR="00B27CC8" w:rsidRPr="0043547B" w:rsidRDefault="00B27CC8" w:rsidP="00B27CC8">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interrupteurs comprenant un dispositif à action différée ;</w:t>
            </w:r>
          </w:p>
          <w:p w:rsidR="00B27CC8" w:rsidRPr="0043547B" w:rsidRDefault="00B27CC8" w:rsidP="00B27CC8">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combinaisons d’interrupteurs et d’autres fonctions (à l’exception des interrupteurs combinés avec des fusibles) ;</w:t>
            </w:r>
          </w:p>
          <w:p w:rsidR="00B27CC8" w:rsidRPr="0043547B" w:rsidRDefault="00B27CC8" w:rsidP="00B27CC8">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interrupteurs électroniques ;</w:t>
            </w:r>
          </w:p>
          <w:p w:rsidR="00B27CC8" w:rsidRPr="0043547B" w:rsidRDefault="00B27CC8" w:rsidP="00B27CC8">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lastRenderedPageBreak/>
              <w:t>- interrupteurs avec sortie pour câble souple (voir annexe B).</w:t>
            </w:r>
          </w:p>
          <w:p w:rsidR="005B070B" w:rsidRDefault="00B27CC8" w:rsidP="005B070B">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interrupteurs conformes à La norme sont utilisables à des températures ambiantes ne dépassant pas habituellement 25 °C, mais pouvant atteindre occasionnellement 35 °C.</w:t>
            </w:r>
          </w:p>
          <w:p w:rsidR="00B27CC8" w:rsidRPr="0043547B" w:rsidRDefault="00B27CC8" w:rsidP="005B070B">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interrupteurs conformes à cette norme sont seulement prévus pour être incorporés dans un équipement de manière telle et à un emplacement tel qu'il soit improbable que l’environnement atteigne une température dépassant 35 °C.</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06.3.097</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top w:val="single" w:sz="18" w:space="0" w:color="auto"/>
              <w:left w:val="single" w:sz="4"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Fils en alliage de cuivre pour conducteurs de lignes aériennes </w:t>
            </w:r>
          </w:p>
        </w:tc>
      </w:tr>
      <w:tr w:rsidR="0043547B" w:rsidRPr="0043547B" w:rsidTr="00CB5DC0">
        <w:trPr>
          <w:trHeight w:val="70"/>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aux fils nus, en alliage de cuivre ou en cuivre allié, destinés principalement à la construction des lignes aériennes de traction électrique.</w:t>
            </w:r>
            <w:r w:rsidRPr="0043547B">
              <w:rPr>
                <w:rFonts w:eastAsia="Times New Roman" w:cstheme="minorHAnsi"/>
                <w:sz w:val="24"/>
                <w:szCs w:val="24"/>
                <w:lang w:eastAsia="fr-FR"/>
              </w:rPr>
              <w:br/>
              <w:t>Cette norme fixe les caractéristiques des produits, les méthodes d’essais et les procédures de vérification de la conformité des produits.</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06.3.111</w:t>
            </w:r>
          </w:p>
        </w:tc>
      </w:tr>
      <w:tr w:rsidR="0043547B" w:rsidRPr="0043547B" w:rsidTr="00CB5DC0">
        <w:trPr>
          <w:trHeight w:val="390"/>
          <w:jc w:val="center"/>
        </w:trPr>
        <w:tc>
          <w:tcPr>
            <w:tcW w:w="1843"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top w:val="single" w:sz="18" w:space="0" w:color="auto"/>
              <w:left w:val="single" w:sz="4" w:space="0" w:color="auto"/>
              <w:right w:val="single" w:sz="18" w:space="0" w:color="auto"/>
            </w:tcBorders>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Conducteurs et câbles isolés au caoutchouc, de tension assignée au plus égale à 450/750 V - Prescriptions générales </w:t>
            </w:r>
          </w:p>
        </w:tc>
      </w:tr>
      <w:tr w:rsidR="0043547B" w:rsidRPr="0043547B" w:rsidTr="00CB5DC0">
        <w:trPr>
          <w:trHeight w:val="2700"/>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vAlign w:val="bottom"/>
          </w:tcPr>
          <w:p w:rsidR="00904E52" w:rsidRPr="0043547B" w:rsidRDefault="00904E52" w:rsidP="00F12ECB">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aux conducteurs et câbles souples et rigides ayant une enveloppe isolante, et éventuellement une gaine, à base de caoutchouc vulcanisé, de tension assignée U</w:t>
            </w:r>
            <w:r w:rsidR="00F12ECB" w:rsidRPr="0043547B">
              <w:rPr>
                <w:rFonts w:eastAsia="Times New Roman" w:cstheme="minorHAnsi"/>
                <w:sz w:val="24"/>
                <w:szCs w:val="24"/>
                <w:vertAlign w:val="subscript"/>
                <w:lang w:eastAsia="fr-FR"/>
              </w:rPr>
              <w:t>0</w:t>
            </w:r>
            <w:r w:rsidRPr="0043547B">
              <w:rPr>
                <w:rFonts w:eastAsia="Times New Roman" w:cstheme="minorHAnsi"/>
                <w:sz w:val="24"/>
                <w:szCs w:val="24"/>
                <w:lang w:eastAsia="fr-FR"/>
              </w:rPr>
              <w:t>/U au plus égale à 450/750 V, utilisés dans les installations d’énergie d’une tension nominale ne dépassant pas 450/750 V en courant alternatif.</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mentionne les prescriptions générales applicables à ces câbles.</w:t>
            </w:r>
          </w:p>
          <w:p w:rsidR="005B070B" w:rsidRDefault="00904E52" w:rsidP="005B070B">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méthodes d’essais spécifiées sont données dans la NM 06.3.080 et dans la série CEI 60811.</w:t>
            </w:r>
          </w:p>
          <w:p w:rsidR="00904E52" w:rsidRPr="0043547B" w:rsidRDefault="00904E52" w:rsidP="005B070B">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types particuliers de câbles sont spécifiés à partir de la NM 06.3.113, et sont désignés ci-après comme les "spécifications particulières".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désignations de ces types de câbles sont conformes à la NM 06.3.169.</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F075B3" w:rsidRPr="0043547B" w:rsidRDefault="00F075B3" w:rsidP="0051032F">
            <w:pPr>
              <w:spacing w:after="0" w:line="240" w:lineRule="auto"/>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tcPr>
          <w:p w:rsidR="00F075B3" w:rsidRPr="0043547B" w:rsidRDefault="00F075B3" w:rsidP="0051032F">
            <w:pPr>
              <w:spacing w:after="0" w:line="240" w:lineRule="auto"/>
              <w:jc w:val="center"/>
              <w:rPr>
                <w:rFonts w:cstheme="minorHAnsi"/>
                <w:b/>
                <w:bCs/>
                <w:sz w:val="24"/>
                <w:szCs w:val="24"/>
              </w:rPr>
            </w:pPr>
            <w:r w:rsidRPr="0043547B">
              <w:rPr>
                <w:rFonts w:cstheme="minorHAnsi"/>
                <w:b/>
                <w:bCs/>
                <w:sz w:val="24"/>
                <w:szCs w:val="24"/>
              </w:rPr>
              <w:t>NM EN 61009-1</w:t>
            </w:r>
          </w:p>
        </w:tc>
      </w:tr>
      <w:tr w:rsidR="0043547B" w:rsidRPr="0043547B" w:rsidTr="00CB5DC0">
        <w:trPr>
          <w:trHeight w:val="315"/>
          <w:jc w:val="center"/>
        </w:trPr>
        <w:tc>
          <w:tcPr>
            <w:tcW w:w="1843" w:type="dxa"/>
            <w:tcBorders>
              <w:top w:val="single" w:sz="18" w:space="0" w:color="auto"/>
              <w:left w:val="single" w:sz="18" w:space="0" w:color="auto"/>
              <w:bottom w:val="single" w:sz="2" w:space="0" w:color="auto"/>
              <w:right w:val="single" w:sz="4" w:space="0" w:color="auto"/>
            </w:tcBorders>
            <w:shd w:val="clear" w:color="auto" w:fill="FFFF99"/>
            <w:vAlign w:val="center"/>
            <w:hideMark/>
          </w:tcPr>
          <w:p w:rsidR="00F075B3" w:rsidRPr="0043547B" w:rsidRDefault="00F075B3" w:rsidP="0051032F">
            <w:pPr>
              <w:spacing w:after="0" w:line="240" w:lineRule="auto"/>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bottom w:val="single" w:sz="2" w:space="0" w:color="auto"/>
              <w:right w:val="single" w:sz="18" w:space="0" w:color="auto"/>
            </w:tcBorders>
            <w:shd w:val="clear" w:color="auto" w:fill="FFFF99"/>
            <w:vAlign w:val="center"/>
          </w:tcPr>
          <w:p w:rsidR="00F075B3" w:rsidRPr="0043547B" w:rsidRDefault="00F075B3" w:rsidP="0051032F">
            <w:pPr>
              <w:spacing w:after="0" w:line="240" w:lineRule="auto"/>
              <w:jc w:val="center"/>
              <w:rPr>
                <w:rFonts w:cstheme="minorHAnsi"/>
                <w:b/>
                <w:bCs/>
                <w:sz w:val="24"/>
                <w:szCs w:val="24"/>
              </w:rPr>
            </w:pPr>
            <w:r w:rsidRPr="0043547B">
              <w:rPr>
                <w:rFonts w:cstheme="minorHAnsi"/>
                <w:b/>
                <w:bCs/>
                <w:sz w:val="24"/>
                <w:szCs w:val="24"/>
              </w:rPr>
              <w:t>EN 61009-1</w:t>
            </w:r>
          </w:p>
        </w:tc>
      </w:tr>
      <w:tr w:rsidR="0043547B" w:rsidRPr="0043547B" w:rsidTr="00CB5DC0">
        <w:trPr>
          <w:trHeight w:val="600"/>
          <w:jc w:val="center"/>
        </w:trPr>
        <w:tc>
          <w:tcPr>
            <w:tcW w:w="1843" w:type="dxa"/>
            <w:tcBorders>
              <w:top w:val="single" w:sz="2" w:space="0" w:color="auto"/>
              <w:left w:val="single" w:sz="18" w:space="0" w:color="auto"/>
              <w:bottom w:val="single" w:sz="4" w:space="0" w:color="auto"/>
              <w:right w:val="single" w:sz="4" w:space="0" w:color="auto"/>
            </w:tcBorders>
            <w:shd w:val="clear" w:color="000000" w:fill="8DB4E2"/>
            <w:vAlign w:val="center"/>
            <w:hideMark/>
          </w:tcPr>
          <w:p w:rsidR="00F075B3" w:rsidRPr="0043547B" w:rsidRDefault="00F075B3" w:rsidP="0051032F">
            <w:pPr>
              <w:spacing w:after="0" w:line="240" w:lineRule="auto"/>
              <w:jc w:val="center"/>
              <w:rPr>
                <w:rFonts w:cstheme="minorHAnsi"/>
                <w:b/>
                <w:bCs/>
                <w:sz w:val="24"/>
                <w:szCs w:val="24"/>
              </w:rPr>
            </w:pPr>
            <w:r w:rsidRPr="0043547B">
              <w:rPr>
                <w:rFonts w:cstheme="minorHAnsi"/>
                <w:b/>
                <w:bCs/>
                <w:sz w:val="24"/>
                <w:szCs w:val="24"/>
              </w:rPr>
              <w:t>Intitulé :</w:t>
            </w:r>
          </w:p>
        </w:tc>
        <w:tc>
          <w:tcPr>
            <w:tcW w:w="8080" w:type="dxa"/>
            <w:tcBorders>
              <w:top w:val="single" w:sz="2" w:space="0" w:color="auto"/>
              <w:left w:val="single" w:sz="4" w:space="0" w:color="auto"/>
              <w:right w:val="single" w:sz="18" w:space="0" w:color="auto"/>
            </w:tcBorders>
          </w:tcPr>
          <w:p w:rsidR="00F075B3" w:rsidRPr="0043547B" w:rsidRDefault="00F075B3" w:rsidP="0051032F">
            <w:pPr>
              <w:spacing w:after="0" w:line="240" w:lineRule="auto"/>
              <w:jc w:val="both"/>
              <w:rPr>
                <w:rFonts w:cstheme="minorHAnsi"/>
                <w:sz w:val="24"/>
                <w:szCs w:val="24"/>
              </w:rPr>
            </w:pPr>
            <w:r w:rsidRPr="0043547B">
              <w:rPr>
                <w:rFonts w:cstheme="minorHAnsi"/>
                <w:sz w:val="24"/>
                <w:szCs w:val="24"/>
              </w:rPr>
              <w:t>Interrupteurs automatiques à courant différentiel résiduel avec protection contre les surintensités incorporée pour installations domestiques et analogues (DD) - Partie 1 : règles générales</w:t>
            </w:r>
          </w:p>
        </w:tc>
      </w:tr>
      <w:tr w:rsidR="0043547B" w:rsidRPr="0043547B" w:rsidTr="00CB5DC0">
        <w:trPr>
          <w:trHeight w:val="1126"/>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F075B3" w:rsidRPr="0043547B" w:rsidRDefault="00F075B3" w:rsidP="0051032F">
            <w:pPr>
              <w:spacing w:after="0" w:line="240" w:lineRule="auto"/>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vAlign w:val="bottom"/>
          </w:tcPr>
          <w:p w:rsidR="00F075B3" w:rsidRPr="0043547B" w:rsidRDefault="00F075B3" w:rsidP="0051032F">
            <w:pPr>
              <w:spacing w:after="0" w:line="240" w:lineRule="auto"/>
              <w:jc w:val="both"/>
              <w:rPr>
                <w:rFonts w:cstheme="minorHAnsi"/>
                <w:sz w:val="24"/>
                <w:szCs w:val="24"/>
              </w:rPr>
            </w:pPr>
            <w:r w:rsidRPr="0043547B">
              <w:rPr>
                <w:rFonts w:cstheme="minorHAnsi"/>
                <w:sz w:val="24"/>
                <w:szCs w:val="24"/>
              </w:rPr>
              <w:t xml:space="preserve">Cette Norme internationale s'applique aux interrupteurs automatiques avec protection contre les surintensités incorporée, à courant différentiel résiduel, fonctionnellement indépendants ou fonctionnellement dépendants de la tension d'alimentation, pour installations domestiques et analogues (en abrégé "DD" dans la suite du texte), ayant une tension assignée ne dépassant pas 440 V alternatifs, d'un courant assigné ne dépassant pas 125 A pour installations fixes et un pouvoir de coupure ne dépassant pas 25 000 A pour fonctionnement à 50 Hz ou 60 Hz. Ces appareils sont destinés à la protection des personnes contre les contacts indirects, les masses de l'installation étant reliées à une prise de terre de valeur appropriée et à la protection des canalisations contre les surintensités dans les bâtiments et réalisations similaires. Ils peuvent être utilisés pour assurer la protection contre les dangers d'incendie résultant d'un courant de défaut persistant à la terre sans que le dispositif de protection contre les surcharges du circuit n'intervienne. Les DD de courant différentiel assigné inférieur ou égal à 30 mA sont aussi utilisés comme moyen de protection complémentaire en cas de défaillance des autres moyens de protection contre les chocs électriques. La présente norme s'applique </w:t>
            </w:r>
            <w:r w:rsidRPr="0043547B">
              <w:rPr>
                <w:rFonts w:cstheme="minorHAnsi"/>
                <w:sz w:val="24"/>
                <w:szCs w:val="24"/>
              </w:rPr>
              <w:lastRenderedPageBreak/>
              <w:t>aux appareils remplissant à la fois les fonctions de détection du courant résiduel, de comparaison de la valeur de ce courant à une valeur de fonctionnement différentiel et d'ouverture du circuit protégé quand le courant différentiel résiduel dépasse cette valeur et réalisant également les fonctions d'établissement, de maintien et de coupure de surintensités dans des conditions spécifiées. Ces appareils sont destinés à être utilisés dans un environnement avec degré de pollution 2.</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06.4.024</w:t>
            </w:r>
          </w:p>
        </w:tc>
      </w:tr>
      <w:tr w:rsidR="0043547B" w:rsidRPr="0043547B" w:rsidTr="00CB5DC0">
        <w:trPr>
          <w:trHeight w:val="315"/>
          <w:jc w:val="center"/>
        </w:trPr>
        <w:tc>
          <w:tcPr>
            <w:tcW w:w="1843" w:type="dxa"/>
            <w:tcBorders>
              <w:top w:val="single" w:sz="18" w:space="0" w:color="auto"/>
              <w:left w:val="single" w:sz="18" w:space="0" w:color="auto"/>
              <w:bottom w:val="single" w:sz="2"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bottom w:val="single" w:sz="2" w:space="0" w:color="auto"/>
              <w:right w:val="single" w:sz="18" w:space="0" w:color="auto"/>
            </w:tcBorders>
            <w:shd w:val="clear" w:color="auto" w:fill="FFFF99"/>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61358</w:t>
            </w:r>
          </w:p>
        </w:tc>
      </w:tr>
      <w:tr w:rsidR="0043547B" w:rsidRPr="0043547B" w:rsidTr="00CB5DC0">
        <w:trPr>
          <w:trHeight w:val="600"/>
          <w:jc w:val="center"/>
        </w:trPr>
        <w:tc>
          <w:tcPr>
            <w:tcW w:w="1843" w:type="dxa"/>
            <w:tcBorders>
              <w:top w:val="single" w:sz="2"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top w:val="single" w:sz="2" w:space="0" w:color="auto"/>
              <w:left w:val="single" w:sz="4"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Contrôle de réception des compteurs statiques d’énergie active pour courant alternatif et à branchement direct (classes 1 et 2) </w:t>
            </w:r>
          </w:p>
        </w:tc>
      </w:tr>
      <w:tr w:rsidR="0043547B" w:rsidRPr="0043547B" w:rsidTr="00CB5DC0">
        <w:trPr>
          <w:trHeight w:val="1299"/>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vAlign w:val="bottom"/>
          </w:tcPr>
          <w:p w:rsidR="005B070B" w:rsidRDefault="00904E52" w:rsidP="005B070B">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méthodes et procédures indiquées dans cette norme sont applicables aux compteurs statiques d’énergie active pour courant alternatif, neufs, des classes 1 et 2, à branchement direct spécifiés dans la NM 06.4.020, fabriqués et livrés par lots de 50 unités et plus.</w:t>
            </w:r>
          </w:p>
          <w:p w:rsidR="00904E52" w:rsidRPr="0043547B" w:rsidRDefault="00904E52" w:rsidP="005B070B">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Elles définissent des règles d’acceptation par l’acheteur, soit par un contrôle à 100 %, soit par un contrôle par échantillonnage.</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06.4.029</w:t>
            </w:r>
          </w:p>
        </w:tc>
      </w:tr>
      <w:tr w:rsidR="0043547B" w:rsidRPr="0043547B" w:rsidTr="00CB5DC0">
        <w:trPr>
          <w:trHeight w:val="600"/>
          <w:jc w:val="center"/>
        </w:trPr>
        <w:tc>
          <w:tcPr>
            <w:tcW w:w="1843"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top w:val="single" w:sz="18" w:space="0" w:color="auto"/>
              <w:left w:val="single" w:sz="4"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Auxiliaires de commande - (Appareils de connexion à basse tension pour circuits de commande et circuits auxiliaires, y compris les contacteurs auxiliaires) - Prescriptions générales  </w:t>
            </w:r>
          </w:p>
        </w:tc>
      </w:tr>
      <w:tr w:rsidR="0043547B" w:rsidRPr="0043547B" w:rsidTr="00CB5DC0">
        <w:trPr>
          <w:trHeight w:val="1200"/>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Cette norme est applicable aux appareils mécaniques de connexion destinés à être installés dans les circuits de commande ou les circuits auxiliaires d'appareillage dans un but de commande, de signalisation, de verrouillage, etc. Ces appareils ne sont prévus que pour effectuer des manœuvres électriques ; ils comprennent les appareils à micro-distance d'ouverture.</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06.4.030</w:t>
            </w:r>
          </w:p>
        </w:tc>
      </w:tr>
      <w:tr w:rsidR="0043547B" w:rsidRPr="0043547B" w:rsidTr="00CB5DC0">
        <w:trPr>
          <w:trHeight w:val="900"/>
          <w:jc w:val="center"/>
        </w:trPr>
        <w:tc>
          <w:tcPr>
            <w:tcW w:w="1843"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top w:val="single" w:sz="18" w:space="0" w:color="auto"/>
              <w:left w:val="single" w:sz="4"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Auxiliaires de commande - (Appareils de connexion à basse tension pour circuits de commande et circuits auxiliaires, y compris les contacteurs auxiliaires) - Prescriptions supplémentaires pour les auxiliaires de commande à manœuvre positive d'ouverture avec ou sans propriétés de sectionnement   </w:t>
            </w:r>
          </w:p>
        </w:tc>
      </w:tr>
      <w:tr w:rsidR="0043547B" w:rsidRPr="0043547B" w:rsidTr="00CB5DC0">
        <w:trPr>
          <w:trHeight w:val="50"/>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est applicable aux auxiliaires de commande prévus pour des usages exigeant l'obtention certaine de l'ouverture de l'appareil.</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est applicable également aux auxiliaires de commande prévus pour des usages exigeant l'obtention, dans un circuit de commande, d'une distance de sectionnement satisfaisant à des prescriptions spécifiées.</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06.4.031</w:t>
            </w:r>
          </w:p>
        </w:tc>
      </w:tr>
      <w:tr w:rsidR="0043547B" w:rsidRPr="0043547B" w:rsidTr="00CB5DC0">
        <w:trPr>
          <w:trHeight w:val="872"/>
          <w:jc w:val="center"/>
        </w:trPr>
        <w:tc>
          <w:tcPr>
            <w:tcW w:w="1843"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top w:val="single" w:sz="18" w:space="0" w:color="auto"/>
              <w:left w:val="single" w:sz="4"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Auxiliaires de commande - (Appareils de connexion à basse tension pour circuits de commande et circuits auxiliaires, y compris les contacteurs auxiliaires) - Prescriptions supplémentaires pour les interrupteurs de position à manœuvre positive d'ouverture </w:t>
            </w:r>
          </w:p>
        </w:tc>
      </w:tr>
      <w:tr w:rsidR="0043547B" w:rsidRPr="0043547B" w:rsidTr="00CB5DC0">
        <w:trPr>
          <w:trHeight w:val="1104"/>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est applicable aux interrupteurs de position à manœuvre positive d'ouverture.</w:t>
            </w:r>
            <w:r w:rsidRPr="0043547B">
              <w:rPr>
                <w:rFonts w:eastAsia="Times New Roman" w:cstheme="minorHAnsi"/>
                <w:sz w:val="24"/>
                <w:szCs w:val="24"/>
                <w:lang w:eastAsia="fr-FR"/>
              </w:rPr>
              <w:br/>
              <w:t>Sauf indication contraire dans le texte qui suit, les auxiliaires de commande visés par La norme doivent répondre à l'ensemble des règles énoncées dans la norme NM 06.4.029 et, le cas échéant, dans la norme NM 06.4.030.</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06.4.032</w:t>
            </w:r>
          </w:p>
        </w:tc>
      </w:tr>
      <w:tr w:rsidR="0043547B" w:rsidRPr="0043547B" w:rsidTr="00CB5DC0">
        <w:trPr>
          <w:trHeight w:val="747"/>
          <w:jc w:val="center"/>
        </w:trPr>
        <w:tc>
          <w:tcPr>
            <w:tcW w:w="1843"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Intitulé :</w:t>
            </w:r>
          </w:p>
        </w:tc>
        <w:tc>
          <w:tcPr>
            <w:tcW w:w="8080" w:type="dxa"/>
            <w:tcBorders>
              <w:top w:val="single" w:sz="18" w:space="0" w:color="auto"/>
              <w:left w:val="single" w:sz="4" w:space="0" w:color="auto"/>
              <w:right w:val="single" w:sz="18" w:space="0" w:color="auto"/>
            </w:tcBorders>
          </w:tcPr>
          <w:p w:rsidR="00904E52" w:rsidRPr="0043547B" w:rsidRDefault="00904E52" w:rsidP="00904E52">
            <w:pPr>
              <w:spacing w:after="0" w:line="240" w:lineRule="auto"/>
              <w:jc w:val="both"/>
              <w:rPr>
                <w:rFonts w:eastAsia="Times New Roman" w:cstheme="minorHAnsi"/>
                <w:w w:val="95"/>
                <w:sz w:val="24"/>
                <w:szCs w:val="24"/>
                <w:lang w:eastAsia="fr-FR"/>
              </w:rPr>
            </w:pPr>
            <w:r w:rsidRPr="0043547B">
              <w:rPr>
                <w:rFonts w:eastAsia="Times New Roman" w:cstheme="minorHAnsi"/>
                <w:w w:val="95"/>
                <w:sz w:val="24"/>
                <w:szCs w:val="24"/>
                <w:lang w:eastAsia="fr-FR"/>
              </w:rPr>
              <w:t xml:space="preserve">Auxiliaires de commande - (Appareils de connexion à basse tension pour circuits de commande et circuits auxiliaires, y compris les contacteurs auxiliaires) – Prescriptions supplémentaires pour les auxiliaires manuels de commande à manœuvre positive d'ouverture  </w:t>
            </w:r>
          </w:p>
        </w:tc>
      </w:tr>
      <w:tr w:rsidR="0043547B" w:rsidRPr="0043547B" w:rsidTr="00CB5DC0">
        <w:trPr>
          <w:trHeight w:val="269"/>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est applicable aux auxiliaires manuels de commande à manœuvre positive d'ouverture. Sauf indication contraire dans le texte qui suit, les auxiliaires manuels de commande visés par La norme doivent répondre à l'ensemble des règles énoncées dans la norme NM 06.4.029 et, le cas échéant, dans la norme NM 06.4.030.</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auxiliaires manuels de commande visés par La norme sont destinés principalement à être utilisés comme éléments de dispositifs d'arrêt d'urgence.</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tcPr>
          <w:p w:rsidR="004C6593" w:rsidRPr="0043547B" w:rsidRDefault="004C6593" w:rsidP="004C6593">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vAlign w:val="bottom"/>
          </w:tcPr>
          <w:p w:rsidR="004C6593" w:rsidRPr="0043547B" w:rsidRDefault="004C6593" w:rsidP="004C659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60598-1</w:t>
            </w:r>
          </w:p>
        </w:tc>
      </w:tr>
      <w:tr w:rsidR="0043547B" w:rsidRPr="0043547B" w:rsidTr="00CB5DC0">
        <w:trPr>
          <w:trHeight w:val="315"/>
          <w:jc w:val="center"/>
        </w:trPr>
        <w:tc>
          <w:tcPr>
            <w:tcW w:w="1843" w:type="dxa"/>
            <w:tcBorders>
              <w:top w:val="single" w:sz="18" w:space="0" w:color="auto"/>
              <w:left w:val="single" w:sz="18" w:space="0" w:color="auto"/>
              <w:bottom w:val="single" w:sz="2" w:space="0" w:color="auto"/>
              <w:right w:val="single" w:sz="4" w:space="0" w:color="auto"/>
            </w:tcBorders>
            <w:shd w:val="clear" w:color="auto" w:fill="FFFF99"/>
            <w:vAlign w:val="center"/>
          </w:tcPr>
          <w:p w:rsidR="004C6593" w:rsidRPr="0043547B" w:rsidRDefault="004C6593" w:rsidP="004C6593">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bottom w:val="single" w:sz="2" w:space="0" w:color="auto"/>
              <w:right w:val="single" w:sz="18" w:space="0" w:color="auto"/>
            </w:tcBorders>
            <w:shd w:val="clear" w:color="auto" w:fill="FFFF99"/>
            <w:vAlign w:val="bottom"/>
          </w:tcPr>
          <w:p w:rsidR="004C6593" w:rsidRPr="0043547B" w:rsidRDefault="004C6593" w:rsidP="004C659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60598-1</w:t>
            </w:r>
          </w:p>
        </w:tc>
      </w:tr>
      <w:tr w:rsidR="0043547B" w:rsidRPr="0043547B" w:rsidTr="00CB5DC0">
        <w:trPr>
          <w:trHeight w:val="315"/>
          <w:jc w:val="center"/>
        </w:trPr>
        <w:tc>
          <w:tcPr>
            <w:tcW w:w="1843" w:type="dxa"/>
            <w:tcBorders>
              <w:top w:val="single" w:sz="2" w:space="0" w:color="auto"/>
              <w:left w:val="single" w:sz="18" w:space="0" w:color="auto"/>
              <w:bottom w:val="single" w:sz="4" w:space="0" w:color="auto"/>
              <w:right w:val="single" w:sz="4" w:space="0" w:color="auto"/>
            </w:tcBorders>
            <w:shd w:val="clear" w:color="000000" w:fill="8DB4E2"/>
            <w:vAlign w:val="center"/>
          </w:tcPr>
          <w:p w:rsidR="004C6593" w:rsidRPr="0043547B" w:rsidRDefault="004C6593" w:rsidP="004C6593">
            <w:pPr>
              <w:spacing w:after="0"/>
              <w:jc w:val="center"/>
              <w:rPr>
                <w:rFonts w:cstheme="minorHAnsi"/>
                <w:b/>
                <w:bCs/>
                <w:sz w:val="24"/>
                <w:szCs w:val="24"/>
              </w:rPr>
            </w:pPr>
            <w:r w:rsidRPr="0043547B">
              <w:rPr>
                <w:rFonts w:cstheme="minorHAnsi"/>
                <w:b/>
                <w:bCs/>
                <w:sz w:val="24"/>
                <w:szCs w:val="24"/>
              </w:rPr>
              <w:t>Intitulé :</w:t>
            </w:r>
          </w:p>
        </w:tc>
        <w:tc>
          <w:tcPr>
            <w:tcW w:w="8080" w:type="dxa"/>
            <w:tcBorders>
              <w:top w:val="single" w:sz="2" w:space="0" w:color="auto"/>
              <w:left w:val="single" w:sz="4" w:space="0" w:color="auto"/>
              <w:right w:val="single" w:sz="18" w:space="0" w:color="auto"/>
            </w:tcBorders>
            <w:vAlign w:val="bottom"/>
          </w:tcPr>
          <w:p w:rsidR="004C6593" w:rsidRPr="0043547B" w:rsidRDefault="004C6593" w:rsidP="004C659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Luminaires - Partie 1 : exigences générales et essais </w:t>
            </w:r>
            <w:r w:rsidRPr="0043547B">
              <w:rPr>
                <w:rFonts w:cstheme="minorHAnsi"/>
                <w:noProof/>
                <w:sz w:val="24"/>
                <w:szCs w:val="24"/>
                <w:lang w:eastAsia="fr-FR"/>
              </w:rPr>
              <w:drawing>
                <wp:inline distT="0" distB="0" distL="0" distR="0" wp14:anchorId="541385BC" wp14:editId="0BFE5AA9">
                  <wp:extent cx="183515" cy="158750"/>
                  <wp:effectExtent l="0" t="0" r="6985" b="0"/>
                  <wp:docPr id="43" name="Image 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8" cstate="print"/>
                          <a:srcRect/>
                          <a:stretch>
                            <a:fillRect/>
                          </a:stretch>
                        </pic:blipFill>
                        <pic:spPr bwMode="auto">
                          <a:xfrm>
                            <a:off x="0" y="0"/>
                            <a:ext cx="185776" cy="160706"/>
                          </a:xfrm>
                          <a:prstGeom prst="rect">
                            <a:avLst/>
                          </a:prstGeom>
                          <a:noFill/>
                          <a:ln w="9525">
                            <a:noFill/>
                            <a:miter lim="800000"/>
                            <a:headEnd/>
                            <a:tailEnd/>
                          </a:ln>
                        </pic:spPr>
                      </pic:pic>
                    </a:graphicData>
                  </a:graphic>
                </wp:inline>
              </w:drawing>
            </w:r>
          </w:p>
        </w:tc>
      </w:tr>
      <w:tr w:rsidR="0043547B" w:rsidRPr="0043547B" w:rsidTr="00CB5DC0">
        <w:trPr>
          <w:trHeight w:val="315"/>
          <w:jc w:val="center"/>
        </w:trPr>
        <w:tc>
          <w:tcPr>
            <w:tcW w:w="1843" w:type="dxa"/>
            <w:tcBorders>
              <w:top w:val="nil"/>
              <w:left w:val="single" w:sz="18" w:space="0" w:color="auto"/>
              <w:bottom w:val="single" w:sz="18" w:space="0" w:color="auto"/>
              <w:right w:val="single" w:sz="4" w:space="0" w:color="auto"/>
            </w:tcBorders>
            <w:shd w:val="clear" w:color="000000" w:fill="D9D9D9"/>
            <w:vAlign w:val="center"/>
          </w:tcPr>
          <w:p w:rsidR="004C6593" w:rsidRPr="0043547B" w:rsidRDefault="004C6593" w:rsidP="004C6593">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vAlign w:val="center"/>
          </w:tcPr>
          <w:p w:rsidR="00F03379" w:rsidRPr="0043547B" w:rsidRDefault="00142412" w:rsidP="00F03379">
            <w:pPr>
              <w:spacing w:after="0" w:line="240" w:lineRule="auto"/>
              <w:jc w:val="both"/>
              <w:rPr>
                <w:rFonts w:cstheme="minorHAnsi"/>
                <w:sz w:val="24"/>
                <w:szCs w:val="24"/>
              </w:rPr>
            </w:pPr>
            <w:r w:rsidRPr="0043547B">
              <w:rPr>
                <w:rFonts w:cstheme="minorHAnsi"/>
                <w:sz w:val="24"/>
                <w:szCs w:val="24"/>
              </w:rPr>
              <w:t xml:space="preserve">La présente Partie 1 de la Norme internationale CEI 60598 spécifie pour les luminaires incorporant des sources lumineuses électriques, les exigences générales pour le fonctionnement à des tensions d'alimentation jusqu'à 1 000 V. Les exigences et les essais correspondants de cette norme </w:t>
            </w:r>
            <w:r w:rsidR="0051032F" w:rsidRPr="0043547B">
              <w:rPr>
                <w:rFonts w:cstheme="minorHAnsi"/>
                <w:sz w:val="24"/>
                <w:szCs w:val="24"/>
              </w:rPr>
              <w:t>concernent :</w:t>
            </w:r>
            <w:r w:rsidRPr="0043547B">
              <w:rPr>
                <w:rFonts w:cstheme="minorHAnsi"/>
                <w:sz w:val="24"/>
                <w:szCs w:val="24"/>
              </w:rPr>
              <w:t xml:space="preserve"> la classification, le marquage, la construction mécanique et électrique.</w:t>
            </w:r>
          </w:p>
          <w:p w:rsidR="00F03379" w:rsidRPr="0043547B" w:rsidRDefault="00142412" w:rsidP="00F03379">
            <w:pPr>
              <w:spacing w:after="0" w:line="240" w:lineRule="auto"/>
              <w:jc w:val="both"/>
              <w:rPr>
                <w:rFonts w:cstheme="minorHAnsi"/>
                <w:sz w:val="24"/>
                <w:szCs w:val="24"/>
              </w:rPr>
            </w:pPr>
            <w:r w:rsidRPr="0043547B">
              <w:rPr>
                <w:rFonts w:cstheme="minorHAnsi"/>
                <w:sz w:val="24"/>
                <w:szCs w:val="24"/>
              </w:rPr>
              <w:t>Il est recommandé que chacune des sections de la présente Partie 1 soit lue conjointement avec la présente Section 0 et avec les autres sections correspondantes auxquelles il est fait référence.</w:t>
            </w:r>
          </w:p>
          <w:p w:rsidR="0051032F" w:rsidRDefault="00142412" w:rsidP="005B070B">
            <w:pPr>
              <w:spacing w:after="0" w:line="240" w:lineRule="auto"/>
              <w:jc w:val="both"/>
              <w:rPr>
                <w:rFonts w:cstheme="minorHAnsi"/>
                <w:sz w:val="24"/>
                <w:szCs w:val="24"/>
              </w:rPr>
            </w:pPr>
            <w:r w:rsidRPr="0043547B">
              <w:rPr>
                <w:rFonts w:cstheme="minorHAnsi"/>
                <w:sz w:val="24"/>
                <w:szCs w:val="24"/>
              </w:rPr>
              <w:t>Chaque partie de la CEI 60598-2 détaille les exigences applicables à un type particulier de luminaire ou groupe de luminaires alimentés sous des tensions ne dépassant pas 1 000 V.</w:t>
            </w:r>
          </w:p>
          <w:p w:rsidR="005B070B" w:rsidRDefault="00142412" w:rsidP="005B070B">
            <w:pPr>
              <w:spacing w:after="0" w:line="240" w:lineRule="auto"/>
              <w:jc w:val="both"/>
              <w:rPr>
                <w:rFonts w:cstheme="minorHAnsi"/>
                <w:sz w:val="24"/>
                <w:szCs w:val="24"/>
              </w:rPr>
            </w:pPr>
            <w:r w:rsidRPr="0043547B">
              <w:rPr>
                <w:rFonts w:cstheme="minorHAnsi"/>
                <w:sz w:val="24"/>
                <w:szCs w:val="24"/>
              </w:rPr>
              <w:t>Ces parties sont publiées séparément pour faciliter leur révision et permettre l'addition de nouvelles sections, au fur et à mesure de la nécessité de la parution de ces dernières.</w:t>
            </w:r>
          </w:p>
          <w:p w:rsidR="00F03379" w:rsidRPr="0043547B" w:rsidRDefault="00142412" w:rsidP="005B070B">
            <w:pPr>
              <w:spacing w:after="0" w:line="240" w:lineRule="auto"/>
              <w:jc w:val="both"/>
              <w:rPr>
                <w:rFonts w:cstheme="minorHAnsi"/>
                <w:sz w:val="24"/>
                <w:szCs w:val="24"/>
              </w:rPr>
            </w:pPr>
            <w:r w:rsidRPr="0043547B">
              <w:rPr>
                <w:rFonts w:cstheme="minorHAnsi"/>
                <w:sz w:val="24"/>
                <w:szCs w:val="24"/>
              </w:rPr>
              <w:t>L'attention est attirée sur le fait que cette Partie 1 s'applique à tous les aspects de la sécurité (électriques, thermiques et mécaniques).</w:t>
            </w:r>
          </w:p>
          <w:p w:rsidR="00F03379" w:rsidRPr="0043547B" w:rsidRDefault="00142412" w:rsidP="00F03379">
            <w:pPr>
              <w:spacing w:after="0" w:line="240" w:lineRule="auto"/>
              <w:jc w:val="both"/>
              <w:rPr>
                <w:rFonts w:cstheme="minorHAnsi"/>
                <w:sz w:val="24"/>
                <w:szCs w:val="24"/>
              </w:rPr>
            </w:pPr>
            <w:r w:rsidRPr="0043547B">
              <w:rPr>
                <w:rFonts w:cstheme="minorHAnsi"/>
                <w:sz w:val="24"/>
                <w:szCs w:val="24"/>
              </w:rPr>
              <w:t>La présentation des données photométriques relatives aux luminaires est en cours d'étude à la Commission Internationale de l'Eclairage (CIE); ces données ne sont, par conséquent, pas incluses dans la présente Partie 1.</w:t>
            </w:r>
          </w:p>
          <w:p w:rsidR="005B070B" w:rsidRDefault="00142412" w:rsidP="005B070B">
            <w:pPr>
              <w:spacing w:after="0" w:line="240" w:lineRule="auto"/>
              <w:jc w:val="both"/>
              <w:rPr>
                <w:rFonts w:cstheme="minorHAnsi"/>
                <w:sz w:val="24"/>
                <w:szCs w:val="24"/>
              </w:rPr>
            </w:pPr>
            <w:r w:rsidRPr="0043547B">
              <w:rPr>
                <w:rFonts w:cstheme="minorHAnsi"/>
                <w:sz w:val="24"/>
                <w:szCs w:val="24"/>
              </w:rPr>
              <w:t>Les règles pour les luminaires contenant des amorceurs avec une impulsion de tension d'une valeur de crête nominale ne dépassant pas celles du Tableau 11.2 sont incluses dans cette Partie 1. Ces règles sont applicables aux luminaires avec amorceurs incorporés dans les ballasts, ainsi qu'aux luminaires dont les amorceurs sont séparés des ballasts. Les règles sont à l'étude pour les luminaires dont les amorceurs sont incorporés dans les lampes.</w:t>
            </w:r>
          </w:p>
          <w:p w:rsidR="005B070B" w:rsidRDefault="00142412" w:rsidP="005B070B">
            <w:pPr>
              <w:spacing w:after="0" w:line="240" w:lineRule="auto"/>
              <w:jc w:val="both"/>
              <w:rPr>
                <w:rFonts w:cstheme="minorHAnsi"/>
                <w:sz w:val="24"/>
                <w:szCs w:val="24"/>
              </w:rPr>
            </w:pPr>
            <w:r w:rsidRPr="0043547B">
              <w:rPr>
                <w:rFonts w:cstheme="minorHAnsi"/>
                <w:sz w:val="24"/>
                <w:szCs w:val="24"/>
              </w:rPr>
              <w:t>Les exigences relatives aux semi-luminaires sont incluses dans cette Partie 1.</w:t>
            </w:r>
            <w:r w:rsidRPr="0043547B">
              <w:rPr>
                <w:rFonts w:cstheme="minorHAnsi"/>
                <w:sz w:val="24"/>
                <w:szCs w:val="24"/>
              </w:rPr>
              <w:br/>
              <w:t>De manière générale, la présente Partie 1 traite de règles de sécurité applicables aux luminaires. L'objet de cette Partie 1 est de fournir un ensemble de règles et d'essais généralement considérés comme applicables à la plupart des types de luminaires et susceptibles d'être prescrits dans les spécifications particulières de la CEI 60598-2. Cette Partie 1 n’est donc pas considérée comme une spécification en soi pour un type quelconque de luminaire, mais ses dispositions ne s'appliquent qu'à des types particuliers de luminaires, dans la limite définie par une partie appropriée de la CEI 60598-2.</w:t>
            </w:r>
          </w:p>
          <w:p w:rsidR="005B070B" w:rsidRDefault="00142412" w:rsidP="005B070B">
            <w:pPr>
              <w:spacing w:after="0" w:line="240" w:lineRule="auto"/>
              <w:jc w:val="both"/>
              <w:rPr>
                <w:rFonts w:cstheme="minorHAnsi"/>
                <w:sz w:val="24"/>
                <w:szCs w:val="24"/>
              </w:rPr>
            </w:pPr>
            <w:r w:rsidRPr="0043547B">
              <w:rPr>
                <w:rFonts w:cstheme="minorHAnsi"/>
                <w:sz w:val="24"/>
                <w:szCs w:val="24"/>
              </w:rPr>
              <w:lastRenderedPageBreak/>
              <w:t>Les parties de la CEI 60598-2, en se référant à l'une quelconque des sections de la Partie 1, définissent la limite dans laquelle cette section est applicable et l'ordre dans lequel les essais doivent être exécutés; elles comportent également des exigences complémentaires si besoin est L'ordre dans lequel les sections de la Partie 1 sont numérotées n'a aucune signification particulière, parce que l'ordre dans lequel leurs dispositions s'appliquent est déterminé, pour chaque type de luminaire ou groupe de luminaires, par la partie appropriée de la CEI 60598-2. Toutes les parties de la CEI 60598-2 sont indépendantes et, par conséquent, ne comportent aucune référence aux autres parties de la CEI 60598-2.</w:t>
            </w:r>
            <w:r w:rsidRPr="0043547B">
              <w:rPr>
                <w:rFonts w:cstheme="minorHAnsi"/>
                <w:sz w:val="24"/>
                <w:szCs w:val="24"/>
              </w:rPr>
              <w:br/>
              <w:t>Lorsque les dispositions d'une des sections de la Partie 1 sont évoquées dans les parties de la CEI 60598-2 au moyen de la phrase «Les dispositions de la section... de la CEI 60598-1 sont applicables», cela signifie que toutes les dispositions de cette section de la Partie 1 sont applicables, à l'exception de celles qui sont clairement inapplicables au type particulier de luminaire visé par cette partie de la CEI 60598-2.</w:t>
            </w:r>
          </w:p>
          <w:p w:rsidR="00F03379" w:rsidRPr="0043547B" w:rsidRDefault="00142412" w:rsidP="005B070B">
            <w:pPr>
              <w:spacing w:after="0" w:line="240" w:lineRule="auto"/>
              <w:jc w:val="both"/>
              <w:rPr>
                <w:rFonts w:cstheme="minorHAnsi"/>
                <w:sz w:val="24"/>
                <w:szCs w:val="24"/>
              </w:rPr>
            </w:pPr>
            <w:r w:rsidRPr="0043547B">
              <w:rPr>
                <w:rFonts w:cstheme="minorHAnsi"/>
                <w:sz w:val="24"/>
                <w:szCs w:val="24"/>
              </w:rPr>
              <w:t>Dans le cas des luminaires pour atmosphère explosive, spécifiée dans les normes CEI de la série 60079, les exigences de la CEI 60598 (en sélectionnant les parties 2 appropriées) s’appliquent avec les exigences de la CEI 60079. En cas d’incompatibilité entre la CEI 60598 et la CEI 60079, les exigences de la CEI 60079 ont la préséance.</w:t>
            </w:r>
          </w:p>
          <w:p w:rsidR="00F03379" w:rsidRPr="0043547B" w:rsidRDefault="00142412" w:rsidP="00F03379">
            <w:pPr>
              <w:spacing w:after="0" w:line="240" w:lineRule="auto"/>
              <w:jc w:val="both"/>
              <w:rPr>
                <w:rFonts w:cstheme="minorHAnsi"/>
                <w:sz w:val="24"/>
                <w:szCs w:val="24"/>
              </w:rPr>
            </w:pPr>
            <w:r w:rsidRPr="0043547B">
              <w:rPr>
                <w:rFonts w:cstheme="minorHAnsi"/>
                <w:sz w:val="24"/>
                <w:szCs w:val="24"/>
              </w:rPr>
              <w:t>L'attention est attirée sur les normes de performance des lampes qui contiennent des «indications pour la conception des luminaires» ; il convient de les suivre pour le bon fonctionnement des lampes; cependant, la présente norme ne nécessite pas le contrôle de la performance des lampes comme faisant partie de l'acceptation de l'essai de type pour les luminaires.</w:t>
            </w:r>
          </w:p>
          <w:p w:rsidR="004C6593" w:rsidRPr="0043547B" w:rsidRDefault="00142412" w:rsidP="00F03379">
            <w:pPr>
              <w:spacing w:after="0" w:line="240" w:lineRule="auto"/>
              <w:jc w:val="both"/>
              <w:rPr>
                <w:rFonts w:eastAsia="Times New Roman" w:cstheme="minorHAnsi"/>
                <w:sz w:val="24"/>
                <w:szCs w:val="24"/>
                <w:lang w:eastAsia="fr-FR"/>
              </w:rPr>
            </w:pPr>
            <w:r w:rsidRPr="0043547B">
              <w:rPr>
                <w:rFonts w:cstheme="minorHAnsi"/>
                <w:sz w:val="24"/>
                <w:szCs w:val="24"/>
              </w:rPr>
              <w:t>Les améliorations de la sécurité prenant en compte l’état de l’art de la technologie sont incorporées dans les normes, sur une base continue, au moyen de révisions et d’amendements. Il est admis que les organismes de normalisation régionaux incorporent des énoncés dans leurs normes dérivées, afin de couvrir les produits qui ont satisfait au document précédent, comme indiqué par le fabricant ou l’organisme de normalisation. Il est admis que les énoncés établissent que, pour de tels produits, la norme précédente puisse continuer à s’appliquer, en ce qui concerne la production, jusqu’à une date définie, après laquelle la nouvelle norme doit s’appliquer.</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06.7.081</w:t>
            </w:r>
          </w:p>
        </w:tc>
      </w:tr>
      <w:tr w:rsidR="0043547B" w:rsidRPr="0043547B" w:rsidTr="00CB5DC0">
        <w:trPr>
          <w:trHeight w:val="315"/>
          <w:jc w:val="center"/>
        </w:trPr>
        <w:tc>
          <w:tcPr>
            <w:tcW w:w="1843" w:type="dxa"/>
            <w:tcBorders>
              <w:top w:val="single" w:sz="18" w:space="0" w:color="auto"/>
              <w:left w:val="single" w:sz="18" w:space="0" w:color="auto"/>
              <w:bottom w:val="single" w:sz="2"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bottom w:val="single" w:sz="2" w:space="0" w:color="auto"/>
              <w:right w:val="single" w:sz="18" w:space="0" w:color="auto"/>
            </w:tcBorders>
            <w:shd w:val="clear" w:color="auto" w:fill="FFFF99"/>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60598-2-1</w:t>
            </w:r>
          </w:p>
        </w:tc>
      </w:tr>
      <w:tr w:rsidR="0043547B" w:rsidRPr="0043547B" w:rsidTr="00CB5DC0">
        <w:trPr>
          <w:trHeight w:val="315"/>
          <w:jc w:val="center"/>
        </w:trPr>
        <w:tc>
          <w:tcPr>
            <w:tcW w:w="1843" w:type="dxa"/>
            <w:tcBorders>
              <w:top w:val="single" w:sz="2"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top w:val="single" w:sz="2" w:space="0" w:color="auto"/>
              <w:left w:val="single" w:sz="4" w:space="0" w:color="auto"/>
              <w:right w:val="single" w:sz="18" w:space="0" w:color="auto"/>
            </w:tcBorders>
            <w:vAlign w:val="bottom"/>
          </w:tcPr>
          <w:p w:rsidR="00904E52" w:rsidRPr="0043547B" w:rsidRDefault="00FC52B6" w:rsidP="00904E52">
            <w:pPr>
              <w:spacing w:after="0" w:line="240" w:lineRule="auto"/>
              <w:jc w:val="both"/>
              <w:rPr>
                <w:rFonts w:cstheme="minorHAnsi"/>
                <w:sz w:val="24"/>
                <w:szCs w:val="24"/>
              </w:rPr>
            </w:pPr>
            <w:r w:rsidRPr="0043547B">
              <w:rPr>
                <w:rFonts w:cstheme="minorHAnsi"/>
                <w:sz w:val="24"/>
                <w:szCs w:val="24"/>
              </w:rPr>
              <w:t xml:space="preserve">Luminaires - Deuxième partie : Règles particulières - Section un - Luminaires fixes à usage général </w:t>
            </w:r>
            <w:r w:rsidR="000D6E79" w:rsidRPr="0043547B">
              <w:rPr>
                <w:rFonts w:cstheme="minorHAnsi"/>
                <w:noProof/>
                <w:sz w:val="24"/>
                <w:szCs w:val="24"/>
                <w:lang w:eastAsia="fr-FR"/>
              </w:rPr>
              <w:drawing>
                <wp:inline distT="0" distB="0" distL="0" distR="0" wp14:anchorId="37E8C54F" wp14:editId="77E63F36">
                  <wp:extent cx="183515" cy="158750"/>
                  <wp:effectExtent l="0" t="0" r="6985" b="0"/>
                  <wp:docPr id="31" name="Image 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8" cstate="print"/>
                          <a:srcRect/>
                          <a:stretch>
                            <a:fillRect/>
                          </a:stretch>
                        </pic:blipFill>
                        <pic:spPr bwMode="auto">
                          <a:xfrm>
                            <a:off x="0" y="0"/>
                            <a:ext cx="185776" cy="160706"/>
                          </a:xfrm>
                          <a:prstGeom prst="rect">
                            <a:avLst/>
                          </a:prstGeom>
                          <a:noFill/>
                          <a:ln w="9525">
                            <a:noFill/>
                            <a:miter lim="800000"/>
                            <a:headEnd/>
                            <a:tailEnd/>
                          </a:ln>
                        </pic:spPr>
                      </pic:pic>
                    </a:graphicData>
                  </a:graphic>
                </wp:inline>
              </w:drawing>
            </w:r>
          </w:p>
        </w:tc>
      </w:tr>
      <w:tr w:rsidR="0043547B" w:rsidRPr="0043547B" w:rsidTr="00CB5DC0">
        <w:trPr>
          <w:trHeight w:val="999"/>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vAlign w:val="bottom"/>
          </w:tcPr>
          <w:p w:rsidR="00904E52" w:rsidRPr="0043547B" w:rsidRDefault="00FC52B6" w:rsidP="00904E52">
            <w:pPr>
              <w:spacing w:after="0" w:line="240" w:lineRule="auto"/>
              <w:jc w:val="both"/>
              <w:rPr>
                <w:rFonts w:cstheme="minorHAnsi"/>
                <w:sz w:val="24"/>
                <w:szCs w:val="24"/>
              </w:rPr>
            </w:pPr>
            <w:r w:rsidRPr="0043547B">
              <w:rPr>
                <w:rFonts w:cstheme="minorHAnsi"/>
                <w:sz w:val="24"/>
                <w:szCs w:val="24"/>
              </w:rPr>
              <w:t>Cette section de la deuxième partie de la Publication 598 de la CEI détaille les prescriptions applicables aux luminaires fixes à usage général, à utiliser avec des lampes à filament de tungstène, des lampes tubulaires fluorescentes, et autres lampes à décharge, pour tension d'alimentation ne dépassant pas 1000 V. Elle doit être lue conjointement avec les sections de la première partie auxquelles il est fait référence</w:t>
            </w:r>
            <w:r w:rsidR="00904E52" w:rsidRPr="0043547B">
              <w:rPr>
                <w:rFonts w:cstheme="minorHAnsi"/>
                <w:sz w:val="24"/>
                <w:szCs w:val="24"/>
              </w:rPr>
              <w:t>.</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06.7.082</w:t>
            </w:r>
          </w:p>
        </w:tc>
      </w:tr>
      <w:tr w:rsidR="0043547B" w:rsidRPr="0043547B" w:rsidTr="00CB5DC0">
        <w:trPr>
          <w:trHeight w:val="315"/>
          <w:jc w:val="center"/>
        </w:trPr>
        <w:tc>
          <w:tcPr>
            <w:tcW w:w="1843" w:type="dxa"/>
            <w:tcBorders>
              <w:top w:val="single" w:sz="18" w:space="0" w:color="auto"/>
              <w:left w:val="single" w:sz="18" w:space="0" w:color="auto"/>
              <w:bottom w:val="single" w:sz="2"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bottom w:val="single" w:sz="2" w:space="0" w:color="auto"/>
              <w:right w:val="single" w:sz="18" w:space="0" w:color="auto"/>
            </w:tcBorders>
            <w:shd w:val="clear" w:color="auto" w:fill="FFFF99"/>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60598-2-2</w:t>
            </w:r>
          </w:p>
        </w:tc>
      </w:tr>
      <w:tr w:rsidR="0043547B" w:rsidRPr="0043547B" w:rsidTr="00CB5DC0">
        <w:trPr>
          <w:trHeight w:val="315"/>
          <w:jc w:val="center"/>
        </w:trPr>
        <w:tc>
          <w:tcPr>
            <w:tcW w:w="1843" w:type="dxa"/>
            <w:tcBorders>
              <w:top w:val="single" w:sz="2" w:space="0" w:color="auto"/>
              <w:left w:val="single" w:sz="18" w:space="0" w:color="auto"/>
              <w:bottom w:val="single" w:sz="4" w:space="0" w:color="auto"/>
              <w:right w:val="single" w:sz="4" w:space="0" w:color="auto"/>
            </w:tcBorders>
            <w:shd w:val="clear" w:color="000000" w:fill="8DB4E2"/>
            <w:vAlign w:val="center"/>
            <w:hideMark/>
          </w:tcPr>
          <w:p w:rsidR="00CC6433" w:rsidRPr="0043547B" w:rsidRDefault="00CC6433" w:rsidP="00CC6433">
            <w:pPr>
              <w:spacing w:after="0"/>
              <w:jc w:val="center"/>
              <w:rPr>
                <w:rFonts w:cstheme="minorHAnsi"/>
                <w:b/>
                <w:bCs/>
                <w:sz w:val="24"/>
                <w:szCs w:val="24"/>
              </w:rPr>
            </w:pPr>
            <w:r w:rsidRPr="0043547B">
              <w:rPr>
                <w:rFonts w:cstheme="minorHAnsi"/>
                <w:b/>
                <w:bCs/>
                <w:sz w:val="24"/>
                <w:szCs w:val="24"/>
              </w:rPr>
              <w:t>Intitulé :</w:t>
            </w:r>
          </w:p>
        </w:tc>
        <w:tc>
          <w:tcPr>
            <w:tcW w:w="8080" w:type="dxa"/>
            <w:tcBorders>
              <w:top w:val="single" w:sz="2" w:space="0" w:color="auto"/>
              <w:left w:val="single" w:sz="4" w:space="0" w:color="auto"/>
              <w:right w:val="single" w:sz="18" w:space="0" w:color="auto"/>
            </w:tcBorders>
            <w:vAlign w:val="center"/>
          </w:tcPr>
          <w:p w:rsidR="00CC6433" w:rsidRPr="0043547B" w:rsidRDefault="00CC6433" w:rsidP="00B27CC8">
            <w:pPr>
              <w:spacing w:after="0" w:line="240" w:lineRule="auto"/>
              <w:jc w:val="both"/>
              <w:rPr>
                <w:rFonts w:cstheme="minorHAnsi"/>
                <w:sz w:val="24"/>
                <w:szCs w:val="24"/>
              </w:rPr>
            </w:pPr>
            <w:r w:rsidRPr="0043547B">
              <w:rPr>
                <w:rFonts w:cstheme="minorHAnsi"/>
                <w:sz w:val="24"/>
                <w:szCs w:val="24"/>
              </w:rPr>
              <w:t>Luminaires - Partie 2-2 : Règles particulières - Luminaires encastrés</w:t>
            </w:r>
          </w:p>
        </w:tc>
      </w:tr>
      <w:tr w:rsidR="0043547B" w:rsidRPr="0043547B" w:rsidTr="00CB5DC0">
        <w:trPr>
          <w:trHeight w:val="1215"/>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CC6433" w:rsidRPr="0043547B" w:rsidRDefault="00CC6433" w:rsidP="00CC6433">
            <w:pPr>
              <w:spacing w:after="0"/>
              <w:jc w:val="center"/>
              <w:rPr>
                <w:rFonts w:cstheme="minorHAnsi"/>
                <w:b/>
                <w:bCs/>
                <w:sz w:val="24"/>
                <w:szCs w:val="24"/>
              </w:rPr>
            </w:pPr>
            <w:r w:rsidRPr="0043547B">
              <w:rPr>
                <w:rFonts w:cstheme="minorHAnsi"/>
                <w:b/>
                <w:bCs/>
                <w:sz w:val="24"/>
                <w:szCs w:val="24"/>
              </w:rPr>
              <w:lastRenderedPageBreak/>
              <w:t>Domaine d’application :</w:t>
            </w:r>
          </w:p>
        </w:tc>
        <w:tc>
          <w:tcPr>
            <w:tcW w:w="8080" w:type="dxa"/>
            <w:tcBorders>
              <w:left w:val="single" w:sz="4" w:space="0" w:color="auto"/>
              <w:bottom w:val="single" w:sz="18" w:space="0" w:color="auto"/>
              <w:right w:val="single" w:sz="18" w:space="0" w:color="auto"/>
            </w:tcBorders>
            <w:vAlign w:val="center"/>
          </w:tcPr>
          <w:p w:rsidR="00CC6433" w:rsidRPr="0043547B" w:rsidRDefault="00CC6433" w:rsidP="00B27CC8">
            <w:pPr>
              <w:spacing w:after="0" w:line="240" w:lineRule="auto"/>
              <w:jc w:val="both"/>
              <w:rPr>
                <w:rFonts w:cstheme="minorHAnsi"/>
                <w:sz w:val="24"/>
                <w:szCs w:val="24"/>
              </w:rPr>
            </w:pPr>
            <w:r w:rsidRPr="0043547B">
              <w:rPr>
                <w:rFonts w:cstheme="minorHAnsi"/>
                <w:sz w:val="24"/>
                <w:szCs w:val="24"/>
              </w:rPr>
              <w:t>La présente partie de la CEI 60598 spécifie des exigences pour les luminaires encastrés incorporant des sources lumineuses électriques, pour un fonctionnement à des tensions d'alimentation jusqu'à 1 000 V. La présente section ne s’applique pas aux luminaires à circulation d'air ou à circuit de refroidissement liquide.</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F075B3" w:rsidRPr="0043547B" w:rsidRDefault="00F075B3" w:rsidP="0051032F">
            <w:pPr>
              <w:spacing w:after="0" w:line="240" w:lineRule="auto"/>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tcPr>
          <w:p w:rsidR="00F075B3" w:rsidRPr="0043547B" w:rsidRDefault="00F075B3" w:rsidP="0051032F">
            <w:pPr>
              <w:spacing w:after="0" w:line="240" w:lineRule="auto"/>
              <w:jc w:val="center"/>
              <w:rPr>
                <w:rFonts w:cstheme="minorHAnsi"/>
                <w:b/>
                <w:bCs/>
                <w:sz w:val="24"/>
                <w:szCs w:val="24"/>
              </w:rPr>
            </w:pPr>
            <w:r w:rsidRPr="0043547B">
              <w:rPr>
                <w:rFonts w:cstheme="minorHAnsi"/>
                <w:b/>
                <w:bCs/>
                <w:sz w:val="24"/>
                <w:szCs w:val="24"/>
              </w:rPr>
              <w:t>NM EN 60598-2-4</w:t>
            </w:r>
          </w:p>
        </w:tc>
      </w:tr>
      <w:tr w:rsidR="0043547B" w:rsidRPr="0043547B" w:rsidTr="00CB5DC0">
        <w:trPr>
          <w:trHeight w:val="315"/>
          <w:jc w:val="center"/>
        </w:trPr>
        <w:tc>
          <w:tcPr>
            <w:tcW w:w="1843" w:type="dxa"/>
            <w:tcBorders>
              <w:top w:val="single" w:sz="18" w:space="0" w:color="auto"/>
              <w:left w:val="single" w:sz="18" w:space="0" w:color="auto"/>
              <w:bottom w:val="single" w:sz="2" w:space="0" w:color="auto"/>
              <w:right w:val="single" w:sz="4" w:space="0" w:color="auto"/>
            </w:tcBorders>
            <w:shd w:val="clear" w:color="auto" w:fill="FFFF99"/>
            <w:vAlign w:val="center"/>
            <w:hideMark/>
          </w:tcPr>
          <w:p w:rsidR="00F075B3" w:rsidRPr="0043547B" w:rsidRDefault="00F075B3" w:rsidP="0051032F">
            <w:pPr>
              <w:spacing w:after="0" w:line="240" w:lineRule="auto"/>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bottom w:val="single" w:sz="2" w:space="0" w:color="auto"/>
              <w:right w:val="single" w:sz="18" w:space="0" w:color="auto"/>
            </w:tcBorders>
            <w:shd w:val="clear" w:color="auto" w:fill="FFFF99"/>
            <w:vAlign w:val="center"/>
          </w:tcPr>
          <w:p w:rsidR="00F075B3" w:rsidRPr="0043547B" w:rsidRDefault="00F075B3" w:rsidP="0051032F">
            <w:pPr>
              <w:spacing w:after="0" w:line="240" w:lineRule="auto"/>
              <w:jc w:val="center"/>
              <w:rPr>
                <w:rFonts w:cstheme="minorHAnsi"/>
                <w:b/>
                <w:bCs/>
                <w:sz w:val="24"/>
                <w:szCs w:val="24"/>
              </w:rPr>
            </w:pPr>
            <w:r w:rsidRPr="0043547B">
              <w:rPr>
                <w:rFonts w:cstheme="minorHAnsi"/>
                <w:b/>
                <w:bCs/>
                <w:sz w:val="24"/>
                <w:szCs w:val="24"/>
              </w:rPr>
              <w:t>EN 60598-2-4</w:t>
            </w:r>
          </w:p>
        </w:tc>
      </w:tr>
      <w:tr w:rsidR="0043547B" w:rsidRPr="0043547B" w:rsidTr="00CB5DC0">
        <w:trPr>
          <w:trHeight w:val="315"/>
          <w:jc w:val="center"/>
        </w:trPr>
        <w:tc>
          <w:tcPr>
            <w:tcW w:w="1843" w:type="dxa"/>
            <w:tcBorders>
              <w:top w:val="single" w:sz="2" w:space="0" w:color="auto"/>
              <w:left w:val="single" w:sz="18" w:space="0" w:color="auto"/>
              <w:bottom w:val="single" w:sz="4" w:space="0" w:color="auto"/>
              <w:right w:val="single" w:sz="4" w:space="0" w:color="auto"/>
            </w:tcBorders>
            <w:shd w:val="clear" w:color="000000" w:fill="8DB4E2"/>
            <w:vAlign w:val="center"/>
            <w:hideMark/>
          </w:tcPr>
          <w:p w:rsidR="00F075B3" w:rsidRPr="0043547B" w:rsidRDefault="00F075B3" w:rsidP="0051032F">
            <w:pPr>
              <w:spacing w:after="0" w:line="240" w:lineRule="auto"/>
              <w:jc w:val="center"/>
              <w:rPr>
                <w:rFonts w:cstheme="minorHAnsi"/>
                <w:b/>
                <w:bCs/>
                <w:sz w:val="24"/>
                <w:szCs w:val="24"/>
              </w:rPr>
            </w:pPr>
            <w:r w:rsidRPr="0043547B">
              <w:rPr>
                <w:rFonts w:cstheme="minorHAnsi"/>
                <w:b/>
                <w:bCs/>
                <w:sz w:val="24"/>
                <w:szCs w:val="24"/>
              </w:rPr>
              <w:t>Intitulé :</w:t>
            </w:r>
          </w:p>
        </w:tc>
        <w:tc>
          <w:tcPr>
            <w:tcW w:w="8080" w:type="dxa"/>
            <w:tcBorders>
              <w:top w:val="single" w:sz="2" w:space="0" w:color="auto"/>
              <w:left w:val="single" w:sz="4" w:space="0" w:color="auto"/>
              <w:right w:val="single" w:sz="18" w:space="0" w:color="auto"/>
            </w:tcBorders>
          </w:tcPr>
          <w:p w:rsidR="00F075B3" w:rsidRPr="0043547B" w:rsidRDefault="00F075B3" w:rsidP="0051032F">
            <w:pPr>
              <w:spacing w:after="0" w:line="240" w:lineRule="auto"/>
              <w:jc w:val="both"/>
              <w:rPr>
                <w:rFonts w:cstheme="minorHAnsi"/>
                <w:sz w:val="24"/>
                <w:szCs w:val="24"/>
              </w:rPr>
            </w:pPr>
            <w:r w:rsidRPr="0043547B">
              <w:rPr>
                <w:rFonts w:cstheme="minorHAnsi"/>
                <w:sz w:val="24"/>
                <w:szCs w:val="24"/>
              </w:rPr>
              <w:t xml:space="preserve">Luminaires - Partie 2 : Règles particulières - Section 4 : Luminaires portatifs à usage général </w:t>
            </w:r>
          </w:p>
        </w:tc>
      </w:tr>
      <w:tr w:rsidR="0043547B" w:rsidRPr="0043547B" w:rsidTr="00CB5DC0">
        <w:trPr>
          <w:trHeight w:val="1415"/>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F075B3" w:rsidRPr="0043547B" w:rsidRDefault="00F075B3" w:rsidP="0051032F">
            <w:pPr>
              <w:spacing w:after="0" w:line="240" w:lineRule="auto"/>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vAlign w:val="bottom"/>
          </w:tcPr>
          <w:p w:rsidR="00F075B3" w:rsidRPr="0043547B" w:rsidRDefault="00F075B3" w:rsidP="0051032F">
            <w:pPr>
              <w:spacing w:after="0" w:line="240" w:lineRule="auto"/>
              <w:jc w:val="both"/>
              <w:rPr>
                <w:rFonts w:cstheme="minorHAnsi"/>
                <w:sz w:val="24"/>
                <w:szCs w:val="24"/>
              </w:rPr>
            </w:pPr>
            <w:r w:rsidRPr="0043547B">
              <w:rPr>
                <w:rFonts w:cstheme="minorHAnsi"/>
                <w:sz w:val="24"/>
                <w:szCs w:val="24"/>
              </w:rPr>
              <w:t>La présente partie de l'IEC 60598-2 spécifie les exigences applicables aux luminaires portatifs à usage général pour une utilisation à l'intérieur et/ou à l'extérieur (par e</w:t>
            </w:r>
            <w:r w:rsidR="0051032F">
              <w:rPr>
                <w:rFonts w:cstheme="minorHAnsi"/>
                <w:sz w:val="24"/>
                <w:szCs w:val="24"/>
              </w:rPr>
              <w:t>xemple emploi dans les jardins)</w:t>
            </w:r>
            <w:r w:rsidRPr="0043547B">
              <w:rPr>
                <w:rFonts w:cstheme="minorHAnsi"/>
                <w:sz w:val="24"/>
                <w:szCs w:val="24"/>
              </w:rPr>
              <w:t>, autres que les baladeuses, conçus pour être utilisés avec des sources électriques lumineuses ou intégrant des sources électriques lumineuses pour tensions d'alimentation ne dépassant pas 250 V.</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06.7.085</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right w:val="single" w:sz="18" w:space="0" w:color="auto"/>
            </w:tcBorders>
            <w:shd w:val="clear" w:color="auto" w:fill="FFFF99"/>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60598-2-5</w:t>
            </w:r>
          </w:p>
        </w:tc>
      </w:tr>
      <w:tr w:rsidR="0043547B" w:rsidRPr="0043547B" w:rsidTr="00CB5DC0">
        <w:trPr>
          <w:trHeight w:val="315"/>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FC52B6" w:rsidRPr="0043547B" w:rsidRDefault="00FC52B6" w:rsidP="00FC52B6">
            <w:pPr>
              <w:spacing w:after="0"/>
              <w:jc w:val="center"/>
              <w:rPr>
                <w:rFonts w:cstheme="minorHAnsi"/>
                <w:b/>
                <w:bCs/>
                <w:sz w:val="24"/>
                <w:szCs w:val="24"/>
              </w:rPr>
            </w:pPr>
            <w:r w:rsidRPr="0043547B">
              <w:rPr>
                <w:rFonts w:cstheme="minorHAnsi"/>
                <w:b/>
                <w:bCs/>
                <w:sz w:val="24"/>
                <w:szCs w:val="24"/>
              </w:rPr>
              <w:t>Intitulé :</w:t>
            </w:r>
          </w:p>
        </w:tc>
        <w:tc>
          <w:tcPr>
            <w:tcW w:w="8080" w:type="dxa"/>
            <w:tcBorders>
              <w:left w:val="single" w:sz="4" w:space="0" w:color="auto"/>
              <w:right w:val="single" w:sz="18" w:space="0" w:color="auto"/>
            </w:tcBorders>
            <w:vAlign w:val="center"/>
          </w:tcPr>
          <w:p w:rsidR="00FC52B6" w:rsidRPr="0043547B" w:rsidRDefault="00FC52B6" w:rsidP="00B27CC8">
            <w:pPr>
              <w:spacing w:after="0" w:line="240" w:lineRule="auto"/>
              <w:jc w:val="both"/>
              <w:rPr>
                <w:rFonts w:cstheme="minorHAnsi"/>
                <w:sz w:val="24"/>
                <w:szCs w:val="24"/>
              </w:rPr>
            </w:pPr>
            <w:r w:rsidRPr="0043547B">
              <w:rPr>
                <w:rFonts w:cstheme="minorHAnsi"/>
                <w:sz w:val="24"/>
                <w:szCs w:val="24"/>
              </w:rPr>
              <w:t xml:space="preserve">Luminaires - Partie 2-5 : Exigences particulières - Projecteurs </w:t>
            </w:r>
          </w:p>
        </w:tc>
      </w:tr>
      <w:tr w:rsidR="0043547B" w:rsidRPr="0043547B" w:rsidTr="00CB5DC0">
        <w:trPr>
          <w:trHeight w:val="559"/>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FC52B6" w:rsidRPr="0043547B" w:rsidRDefault="00FC52B6" w:rsidP="00FC52B6">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vAlign w:val="center"/>
          </w:tcPr>
          <w:p w:rsidR="00FC52B6" w:rsidRPr="0043547B" w:rsidRDefault="00FC52B6" w:rsidP="00B27CC8">
            <w:pPr>
              <w:spacing w:after="0" w:line="240" w:lineRule="auto"/>
              <w:jc w:val="both"/>
              <w:rPr>
                <w:rFonts w:cstheme="minorHAnsi"/>
                <w:sz w:val="24"/>
                <w:szCs w:val="24"/>
              </w:rPr>
            </w:pPr>
            <w:r w:rsidRPr="0043547B">
              <w:rPr>
                <w:rFonts w:cstheme="minorHAnsi"/>
                <w:sz w:val="24"/>
                <w:szCs w:val="24"/>
              </w:rPr>
              <w:t>La présente partie de l'IEC 60598 spécifie les exigences relatives aux projecteurs destinés à être utilisés avec des sources lumineuses électriques dont la tension d’alimentation ne dépasse pas 1 000 V.</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06.7.086</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right w:val="single" w:sz="18" w:space="0" w:color="auto"/>
            </w:tcBorders>
            <w:shd w:val="clear" w:color="auto" w:fill="FFFF99"/>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60598-2-6</w:t>
            </w:r>
          </w:p>
        </w:tc>
      </w:tr>
      <w:tr w:rsidR="0043547B" w:rsidRPr="0043547B" w:rsidTr="00CB5DC0">
        <w:trPr>
          <w:trHeight w:val="315"/>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left w:val="single" w:sz="4"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Luminaires - Règles particulières - Luminaires à transformateur intégré pour lampes à filament de tungstène </w:t>
            </w:r>
          </w:p>
        </w:tc>
      </w:tr>
      <w:tr w:rsidR="0043547B" w:rsidRPr="0043547B" w:rsidTr="00CB5DC0">
        <w:trPr>
          <w:trHeight w:val="1268"/>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prescriptions applicables aux luminaires avec transformateurs intégrés pour lampes à filament de tungstène, pour des tensions d'alimentation et des tensions secondaires ne dépassant pas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1 000 V pour les luminaires de la classe I et de classe II.</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250 V pour les luminaires de classe 0.</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doit être lue conjointement avec les sections de la norme NM EN 60598-1 auxquelles il est fait référence. La norme n'est pas applicable aux luminaires de classe III.</w:t>
            </w:r>
          </w:p>
          <w:p w:rsidR="0051032F" w:rsidRPr="0043547B" w:rsidRDefault="00904E52" w:rsidP="0051032F">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Il n'est pas nécessaire d'utiliser des transformateurs «</w:t>
            </w:r>
            <w:r w:rsidR="00F97932" w:rsidRPr="0043547B">
              <w:rPr>
                <w:rFonts w:eastAsia="Times New Roman" w:cstheme="minorHAnsi"/>
                <w:sz w:val="24"/>
                <w:szCs w:val="24"/>
                <w:lang w:eastAsia="fr-FR"/>
              </w:rPr>
              <w:t xml:space="preserve"> Très basse tension de sécurité</w:t>
            </w:r>
            <w:r w:rsidRPr="0043547B">
              <w:rPr>
                <w:rFonts w:eastAsia="Times New Roman" w:cstheme="minorHAnsi"/>
                <w:sz w:val="24"/>
                <w:szCs w:val="24"/>
                <w:lang w:eastAsia="fr-FR"/>
              </w:rPr>
              <w:t>» (TBTS) pour satisfaire aux prescriptions de cette norme. Cependant, de tels transformateurs peuvent satisfaire aux règles fonctionnelles de cette norme.</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tcPr>
          <w:p w:rsidR="00FC52B6" w:rsidRPr="0043547B" w:rsidRDefault="00FC52B6" w:rsidP="00962AD7">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vAlign w:val="center"/>
          </w:tcPr>
          <w:p w:rsidR="00FC52B6" w:rsidRPr="0043547B" w:rsidRDefault="00FC52B6" w:rsidP="00B27CC8">
            <w:pPr>
              <w:spacing w:after="0"/>
              <w:jc w:val="center"/>
              <w:rPr>
                <w:rFonts w:cstheme="minorHAnsi"/>
                <w:b/>
                <w:bCs/>
                <w:sz w:val="24"/>
                <w:szCs w:val="24"/>
              </w:rPr>
            </w:pPr>
            <w:r w:rsidRPr="0043547B">
              <w:rPr>
                <w:rFonts w:cstheme="minorHAnsi"/>
                <w:b/>
                <w:bCs/>
                <w:sz w:val="24"/>
                <w:szCs w:val="24"/>
              </w:rPr>
              <w:t>NM EN 60598-2-7</w:t>
            </w:r>
          </w:p>
        </w:tc>
      </w:tr>
      <w:tr w:rsidR="0043547B" w:rsidRPr="0043547B" w:rsidTr="00CB5DC0">
        <w:trPr>
          <w:trHeight w:val="315"/>
          <w:jc w:val="center"/>
        </w:trPr>
        <w:tc>
          <w:tcPr>
            <w:tcW w:w="1843" w:type="dxa"/>
            <w:tcBorders>
              <w:top w:val="single" w:sz="18" w:space="0" w:color="auto"/>
              <w:left w:val="single" w:sz="18" w:space="0" w:color="auto"/>
              <w:bottom w:val="single" w:sz="6" w:space="0" w:color="auto"/>
              <w:right w:val="single" w:sz="4" w:space="0" w:color="auto"/>
            </w:tcBorders>
            <w:shd w:val="clear" w:color="auto" w:fill="FFFF99"/>
            <w:vAlign w:val="center"/>
          </w:tcPr>
          <w:p w:rsidR="00FC52B6" w:rsidRPr="0043547B" w:rsidRDefault="00FC52B6" w:rsidP="00DB0C61">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bottom w:val="single" w:sz="6" w:space="0" w:color="auto"/>
              <w:right w:val="single" w:sz="18" w:space="0" w:color="auto"/>
            </w:tcBorders>
            <w:shd w:val="clear" w:color="auto" w:fill="FFFF99"/>
          </w:tcPr>
          <w:p w:rsidR="00FC52B6" w:rsidRPr="0043547B" w:rsidRDefault="00FC52B6" w:rsidP="00B27CC8">
            <w:pPr>
              <w:spacing w:after="0"/>
              <w:jc w:val="center"/>
              <w:rPr>
                <w:rFonts w:cstheme="minorHAnsi"/>
                <w:b/>
                <w:bCs/>
                <w:sz w:val="24"/>
                <w:szCs w:val="24"/>
              </w:rPr>
            </w:pPr>
            <w:r w:rsidRPr="0043547B">
              <w:rPr>
                <w:rFonts w:cstheme="minorHAnsi"/>
                <w:b/>
                <w:bCs/>
                <w:sz w:val="24"/>
                <w:szCs w:val="24"/>
              </w:rPr>
              <w:t>EN 60598-2-7</w:t>
            </w:r>
          </w:p>
        </w:tc>
      </w:tr>
      <w:tr w:rsidR="0043547B" w:rsidRPr="0043547B" w:rsidTr="00CB5DC0">
        <w:trPr>
          <w:trHeight w:val="315"/>
          <w:jc w:val="center"/>
        </w:trPr>
        <w:tc>
          <w:tcPr>
            <w:tcW w:w="1843" w:type="dxa"/>
            <w:tcBorders>
              <w:top w:val="single" w:sz="6" w:space="0" w:color="auto"/>
              <w:left w:val="single" w:sz="18" w:space="0" w:color="auto"/>
              <w:bottom w:val="single" w:sz="6" w:space="0" w:color="auto"/>
              <w:right w:val="single" w:sz="4" w:space="0" w:color="auto"/>
            </w:tcBorders>
            <w:shd w:val="clear" w:color="auto" w:fill="8DB3E2" w:themeFill="text2" w:themeFillTint="66"/>
            <w:vAlign w:val="center"/>
          </w:tcPr>
          <w:p w:rsidR="00FC52B6" w:rsidRPr="0043547B" w:rsidRDefault="00FC52B6" w:rsidP="00DB0C61">
            <w:pPr>
              <w:spacing w:after="0"/>
              <w:jc w:val="center"/>
              <w:rPr>
                <w:rFonts w:cstheme="minorHAnsi"/>
                <w:b/>
                <w:bCs/>
                <w:sz w:val="24"/>
                <w:szCs w:val="24"/>
              </w:rPr>
            </w:pPr>
            <w:r w:rsidRPr="0043547B">
              <w:rPr>
                <w:rFonts w:cstheme="minorHAnsi"/>
                <w:b/>
                <w:bCs/>
                <w:sz w:val="24"/>
                <w:szCs w:val="24"/>
              </w:rPr>
              <w:t>Intitulé :</w:t>
            </w:r>
          </w:p>
        </w:tc>
        <w:tc>
          <w:tcPr>
            <w:tcW w:w="8080" w:type="dxa"/>
            <w:tcBorders>
              <w:top w:val="single" w:sz="6" w:space="0" w:color="auto"/>
              <w:left w:val="single" w:sz="4" w:space="0" w:color="auto"/>
              <w:bottom w:val="single" w:sz="6" w:space="0" w:color="auto"/>
              <w:right w:val="single" w:sz="18" w:space="0" w:color="auto"/>
            </w:tcBorders>
            <w:shd w:val="clear" w:color="auto" w:fill="FFFFFF" w:themeFill="background1"/>
            <w:vAlign w:val="center"/>
          </w:tcPr>
          <w:p w:rsidR="00FC52B6" w:rsidRPr="0043547B" w:rsidRDefault="00FC52B6" w:rsidP="009B2690">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Luminaires - Deuxième partie : Règles particulières - Section sept - Luminaires portatifs pour emploi dans les jardins ; </w:t>
            </w:r>
          </w:p>
        </w:tc>
      </w:tr>
      <w:tr w:rsidR="0043547B" w:rsidRPr="0043547B" w:rsidTr="00E7624B">
        <w:trPr>
          <w:trHeight w:val="696"/>
          <w:jc w:val="center"/>
        </w:trPr>
        <w:tc>
          <w:tcPr>
            <w:tcW w:w="1843" w:type="dxa"/>
            <w:tcBorders>
              <w:top w:val="single" w:sz="6" w:space="0" w:color="auto"/>
              <w:left w:val="single" w:sz="18" w:space="0" w:color="auto"/>
              <w:bottom w:val="single" w:sz="18" w:space="0" w:color="auto"/>
              <w:right w:val="single" w:sz="4" w:space="0" w:color="auto"/>
            </w:tcBorders>
            <w:shd w:val="clear" w:color="auto" w:fill="D9D9D9" w:themeFill="background1" w:themeFillShade="D9"/>
            <w:vAlign w:val="center"/>
          </w:tcPr>
          <w:p w:rsidR="00FC52B6" w:rsidRPr="0043547B" w:rsidRDefault="00FC52B6" w:rsidP="00DB0C61">
            <w:pPr>
              <w:jc w:val="center"/>
              <w:rPr>
                <w:rFonts w:cstheme="minorHAnsi"/>
                <w:b/>
                <w:bCs/>
                <w:sz w:val="24"/>
                <w:szCs w:val="24"/>
              </w:rPr>
            </w:pPr>
            <w:r w:rsidRPr="0043547B">
              <w:rPr>
                <w:rFonts w:cstheme="minorHAnsi"/>
                <w:b/>
                <w:bCs/>
                <w:sz w:val="24"/>
                <w:szCs w:val="24"/>
              </w:rPr>
              <w:t>Domaine d’application :</w:t>
            </w:r>
          </w:p>
        </w:tc>
        <w:tc>
          <w:tcPr>
            <w:tcW w:w="8080" w:type="dxa"/>
            <w:tcBorders>
              <w:top w:val="single" w:sz="6" w:space="0" w:color="auto"/>
              <w:left w:val="single" w:sz="4" w:space="0" w:color="auto"/>
              <w:bottom w:val="single" w:sz="18" w:space="0" w:color="auto"/>
              <w:right w:val="single" w:sz="18" w:space="0" w:color="auto"/>
            </w:tcBorders>
            <w:shd w:val="clear" w:color="auto" w:fill="FFFFFF" w:themeFill="background1"/>
            <w:vAlign w:val="center"/>
          </w:tcPr>
          <w:p w:rsidR="00FC52B6" w:rsidRPr="0043547B" w:rsidRDefault="00FC52B6" w:rsidP="00B27CC8">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Cette section de la </w:t>
            </w:r>
            <w:r w:rsidR="00962AD7" w:rsidRPr="0043547B">
              <w:rPr>
                <w:rFonts w:eastAsia="Times New Roman" w:cstheme="minorHAnsi"/>
                <w:sz w:val="24"/>
                <w:szCs w:val="24"/>
                <w:lang w:eastAsia="fr-FR"/>
              </w:rPr>
              <w:t>deuxième</w:t>
            </w:r>
            <w:r w:rsidRPr="0043547B">
              <w:rPr>
                <w:rFonts w:eastAsia="Times New Roman" w:cstheme="minorHAnsi"/>
                <w:sz w:val="24"/>
                <w:szCs w:val="24"/>
                <w:lang w:eastAsia="fr-FR"/>
              </w:rPr>
              <w:t xml:space="preserve"> partie de la Publication 598 de la CEI détaille les prescriptions applicables aux luminaires portatifs à pied pour emploi dans les jardins et emplois analogues et aux luminaires portatifs pour emploi dans les massifs de fleurs et emplois analogues, à utiliser avec des lampes à filament de tungstène, des lampes tubulaires fluorescentes, et autres lampes à décharge pour des tensions d'alimentation ne dépassant pas 250 V. Elle doit être lue </w:t>
            </w:r>
            <w:r w:rsidRPr="0043547B">
              <w:rPr>
                <w:rFonts w:eastAsia="Times New Roman" w:cstheme="minorHAnsi"/>
                <w:sz w:val="24"/>
                <w:szCs w:val="24"/>
                <w:lang w:eastAsia="fr-FR"/>
              </w:rPr>
              <w:lastRenderedPageBreak/>
              <w:t xml:space="preserve">conjointement avec les sections de la première partie auxquelles </w:t>
            </w:r>
            <w:r w:rsidR="00962AD7" w:rsidRPr="0043547B">
              <w:rPr>
                <w:rFonts w:eastAsia="Times New Roman" w:cstheme="minorHAnsi"/>
                <w:sz w:val="24"/>
                <w:szCs w:val="24"/>
                <w:lang w:eastAsia="fr-FR"/>
              </w:rPr>
              <w:t>il est fait référence</w:t>
            </w:r>
            <w:r w:rsidR="00B27CC8" w:rsidRPr="0043547B">
              <w:rPr>
                <w:rFonts w:eastAsia="Times New Roman" w:cstheme="minorHAnsi"/>
                <w:sz w:val="24"/>
                <w:szCs w:val="24"/>
                <w:lang w:eastAsia="fr-FR"/>
              </w:rPr>
              <w:t>.</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vAlign w:val="bottom"/>
          </w:tcPr>
          <w:p w:rsidR="00904E52" w:rsidRPr="0043547B" w:rsidRDefault="00904E52" w:rsidP="00B27CC8">
            <w:pPr>
              <w:spacing w:after="0"/>
              <w:jc w:val="center"/>
              <w:rPr>
                <w:rFonts w:cstheme="minorHAnsi"/>
                <w:b/>
                <w:bCs/>
                <w:sz w:val="24"/>
                <w:szCs w:val="24"/>
              </w:rPr>
            </w:pPr>
            <w:r w:rsidRPr="0043547B">
              <w:rPr>
                <w:rFonts w:cstheme="minorHAnsi"/>
                <w:b/>
                <w:bCs/>
                <w:sz w:val="24"/>
                <w:szCs w:val="24"/>
              </w:rPr>
              <w:t>NM 06.7.088</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right w:val="single" w:sz="18" w:space="0" w:color="auto"/>
            </w:tcBorders>
            <w:shd w:val="clear" w:color="auto" w:fill="FFFF99"/>
            <w:vAlign w:val="bottom"/>
          </w:tcPr>
          <w:p w:rsidR="00904E52" w:rsidRPr="0043547B" w:rsidRDefault="00904E52" w:rsidP="00B27CC8">
            <w:pPr>
              <w:spacing w:after="0"/>
              <w:jc w:val="center"/>
              <w:rPr>
                <w:rFonts w:cstheme="minorHAnsi"/>
                <w:b/>
                <w:bCs/>
                <w:sz w:val="24"/>
                <w:szCs w:val="24"/>
              </w:rPr>
            </w:pPr>
            <w:r w:rsidRPr="0043547B">
              <w:rPr>
                <w:rFonts w:cstheme="minorHAnsi"/>
                <w:b/>
                <w:bCs/>
                <w:sz w:val="24"/>
                <w:szCs w:val="24"/>
              </w:rPr>
              <w:t>EN 60598-2-8</w:t>
            </w:r>
          </w:p>
        </w:tc>
      </w:tr>
      <w:tr w:rsidR="0043547B" w:rsidRPr="0043547B" w:rsidTr="00CB5DC0">
        <w:trPr>
          <w:trHeight w:val="345"/>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CC6433" w:rsidRPr="0043547B" w:rsidRDefault="00CC6433" w:rsidP="00CC6433">
            <w:pPr>
              <w:spacing w:after="0"/>
              <w:jc w:val="center"/>
              <w:rPr>
                <w:rFonts w:cstheme="minorHAnsi"/>
                <w:b/>
                <w:bCs/>
                <w:sz w:val="24"/>
                <w:szCs w:val="24"/>
              </w:rPr>
            </w:pPr>
            <w:r w:rsidRPr="0043547B">
              <w:rPr>
                <w:rFonts w:cstheme="minorHAnsi"/>
                <w:b/>
                <w:bCs/>
                <w:sz w:val="24"/>
                <w:szCs w:val="24"/>
              </w:rPr>
              <w:t>Intitulé :</w:t>
            </w:r>
          </w:p>
        </w:tc>
        <w:tc>
          <w:tcPr>
            <w:tcW w:w="8080" w:type="dxa"/>
            <w:tcBorders>
              <w:left w:val="single" w:sz="4" w:space="0" w:color="auto"/>
              <w:right w:val="single" w:sz="18" w:space="0" w:color="auto"/>
            </w:tcBorders>
            <w:vAlign w:val="center"/>
          </w:tcPr>
          <w:p w:rsidR="00CC6433" w:rsidRPr="0043547B" w:rsidRDefault="00CC6433" w:rsidP="00B27CC8">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Luminaires - Partie 2-8 : Exigences particulières - Baladeuses</w:t>
            </w:r>
          </w:p>
        </w:tc>
      </w:tr>
      <w:tr w:rsidR="0043547B" w:rsidRPr="0043547B" w:rsidTr="00CB5DC0">
        <w:trPr>
          <w:trHeight w:val="2100"/>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CC6433" w:rsidRPr="0043547B" w:rsidRDefault="00CC6433" w:rsidP="00CC6433">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vAlign w:val="center"/>
          </w:tcPr>
          <w:p w:rsidR="00B27CC8" w:rsidRPr="0043547B" w:rsidRDefault="00CC6433" w:rsidP="00B27CC8">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partie de la série CEI 60598 spécifie les exigences applicables aux baladeuses et aux luminaires portatifs analogues qui sont tenus à la main, suspendus, ou posés sur une surface, à utiliser avec des sources lumineuses électriques pour des tensions d’alimentation ne dépassant pas 250 V. Elle doit être lue conjointement avec les sections de la Partie 1 auxquelles il est fait référence.</w:t>
            </w:r>
          </w:p>
          <w:p w:rsidR="00962AD7" w:rsidRPr="0043547B" w:rsidRDefault="00CC6433" w:rsidP="00B27CC8">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baladeuses qui peuvent être fixées à un support par une vis à ailettes, une pince, un aimant, et les luminaires destinés à l’inspection des tonneaux, entrent dans le domaine d’application de présente partie de la CEI 60598.</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tcPr>
          <w:p w:rsidR="00FC52B6" w:rsidRPr="0043547B" w:rsidRDefault="00FC52B6" w:rsidP="0051032F">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vAlign w:val="center"/>
          </w:tcPr>
          <w:p w:rsidR="00FC52B6" w:rsidRPr="0043547B" w:rsidRDefault="00FC52B6" w:rsidP="00B27CC8">
            <w:pPr>
              <w:spacing w:after="0"/>
              <w:jc w:val="center"/>
              <w:rPr>
                <w:rFonts w:cstheme="minorHAnsi"/>
                <w:b/>
                <w:bCs/>
                <w:sz w:val="24"/>
                <w:szCs w:val="24"/>
              </w:rPr>
            </w:pPr>
            <w:r w:rsidRPr="0043547B">
              <w:rPr>
                <w:rFonts w:cstheme="minorHAnsi"/>
                <w:b/>
                <w:bCs/>
                <w:sz w:val="24"/>
                <w:szCs w:val="24"/>
              </w:rPr>
              <w:t>NM EN 60598-2-9</w:t>
            </w:r>
          </w:p>
        </w:tc>
      </w:tr>
      <w:tr w:rsidR="0043547B" w:rsidRPr="0043547B" w:rsidTr="00CB5DC0">
        <w:trPr>
          <w:trHeight w:val="315"/>
          <w:jc w:val="center"/>
        </w:trPr>
        <w:tc>
          <w:tcPr>
            <w:tcW w:w="1843" w:type="dxa"/>
            <w:tcBorders>
              <w:top w:val="single" w:sz="18" w:space="0" w:color="auto"/>
              <w:left w:val="single" w:sz="18" w:space="0" w:color="auto"/>
              <w:bottom w:val="single" w:sz="6" w:space="0" w:color="auto"/>
              <w:right w:val="single" w:sz="4" w:space="0" w:color="auto"/>
            </w:tcBorders>
            <w:shd w:val="clear" w:color="auto" w:fill="FFFF99"/>
            <w:vAlign w:val="center"/>
          </w:tcPr>
          <w:p w:rsidR="00FC52B6" w:rsidRPr="0043547B" w:rsidRDefault="00FC52B6" w:rsidP="00962AD7">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bottom w:val="single" w:sz="6" w:space="0" w:color="auto"/>
              <w:right w:val="single" w:sz="18" w:space="0" w:color="auto"/>
            </w:tcBorders>
            <w:shd w:val="clear" w:color="auto" w:fill="FFFF99"/>
          </w:tcPr>
          <w:p w:rsidR="00FC52B6" w:rsidRPr="0043547B" w:rsidRDefault="00FC52B6" w:rsidP="00B27CC8">
            <w:pPr>
              <w:spacing w:after="0"/>
              <w:jc w:val="center"/>
              <w:rPr>
                <w:rFonts w:cstheme="minorHAnsi"/>
                <w:b/>
                <w:bCs/>
                <w:sz w:val="24"/>
                <w:szCs w:val="24"/>
              </w:rPr>
            </w:pPr>
            <w:r w:rsidRPr="0043547B">
              <w:rPr>
                <w:rFonts w:cstheme="minorHAnsi"/>
                <w:b/>
                <w:bCs/>
                <w:sz w:val="24"/>
                <w:szCs w:val="24"/>
              </w:rPr>
              <w:t>EN 60598-2-9</w:t>
            </w:r>
          </w:p>
        </w:tc>
      </w:tr>
      <w:tr w:rsidR="0043547B" w:rsidRPr="0043547B" w:rsidTr="00CB5DC0">
        <w:trPr>
          <w:trHeight w:val="315"/>
          <w:jc w:val="center"/>
        </w:trPr>
        <w:tc>
          <w:tcPr>
            <w:tcW w:w="1843" w:type="dxa"/>
            <w:tcBorders>
              <w:top w:val="single" w:sz="6" w:space="0" w:color="auto"/>
              <w:left w:val="single" w:sz="18" w:space="0" w:color="auto"/>
              <w:bottom w:val="single" w:sz="6" w:space="0" w:color="auto"/>
              <w:right w:val="single" w:sz="4" w:space="0" w:color="auto"/>
            </w:tcBorders>
            <w:shd w:val="clear" w:color="auto" w:fill="8DB3E2" w:themeFill="text2" w:themeFillTint="66"/>
            <w:vAlign w:val="center"/>
          </w:tcPr>
          <w:p w:rsidR="00FC52B6" w:rsidRPr="0043547B" w:rsidRDefault="00FC52B6" w:rsidP="00962AD7">
            <w:pPr>
              <w:spacing w:after="0"/>
              <w:jc w:val="center"/>
              <w:rPr>
                <w:rFonts w:cstheme="minorHAnsi"/>
                <w:b/>
                <w:bCs/>
                <w:sz w:val="24"/>
                <w:szCs w:val="24"/>
              </w:rPr>
            </w:pPr>
            <w:r w:rsidRPr="0043547B">
              <w:rPr>
                <w:rFonts w:cstheme="minorHAnsi"/>
                <w:b/>
                <w:bCs/>
                <w:sz w:val="24"/>
                <w:szCs w:val="24"/>
              </w:rPr>
              <w:t>Intitulé :</w:t>
            </w:r>
          </w:p>
        </w:tc>
        <w:tc>
          <w:tcPr>
            <w:tcW w:w="8080" w:type="dxa"/>
            <w:tcBorders>
              <w:top w:val="single" w:sz="6" w:space="0" w:color="auto"/>
              <w:left w:val="single" w:sz="4" w:space="0" w:color="auto"/>
              <w:bottom w:val="single" w:sz="6" w:space="0" w:color="auto"/>
              <w:right w:val="single" w:sz="18" w:space="0" w:color="auto"/>
            </w:tcBorders>
            <w:shd w:val="clear" w:color="auto" w:fill="FFFFFF" w:themeFill="background1"/>
            <w:vAlign w:val="center"/>
          </w:tcPr>
          <w:p w:rsidR="00FC52B6" w:rsidRPr="0043547B" w:rsidRDefault="00FC52B6" w:rsidP="00B27CC8">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Luminaires - Deuxième partie : Règles particulières - Section neuf : Luminaires pour prises de vues photographiques et cinématographiques (non-professionnels) ; (IC 06.7.089)  (DBT)</w:t>
            </w:r>
          </w:p>
        </w:tc>
      </w:tr>
      <w:tr w:rsidR="0043547B" w:rsidRPr="0043547B" w:rsidTr="00CB5DC0">
        <w:trPr>
          <w:trHeight w:val="315"/>
          <w:jc w:val="center"/>
        </w:trPr>
        <w:tc>
          <w:tcPr>
            <w:tcW w:w="1843" w:type="dxa"/>
            <w:tcBorders>
              <w:top w:val="single" w:sz="6" w:space="0" w:color="auto"/>
              <w:left w:val="single" w:sz="18" w:space="0" w:color="auto"/>
              <w:bottom w:val="single" w:sz="18" w:space="0" w:color="auto"/>
              <w:right w:val="single" w:sz="4" w:space="0" w:color="auto"/>
            </w:tcBorders>
            <w:shd w:val="clear" w:color="auto" w:fill="D9D9D9" w:themeFill="background1" w:themeFillShade="D9"/>
            <w:vAlign w:val="center"/>
          </w:tcPr>
          <w:p w:rsidR="00FC52B6" w:rsidRPr="0043547B" w:rsidRDefault="00FC52B6" w:rsidP="00962AD7">
            <w:pPr>
              <w:jc w:val="center"/>
              <w:rPr>
                <w:rFonts w:cstheme="minorHAnsi"/>
                <w:b/>
                <w:bCs/>
                <w:sz w:val="24"/>
                <w:szCs w:val="24"/>
              </w:rPr>
            </w:pPr>
            <w:r w:rsidRPr="0043547B">
              <w:rPr>
                <w:rFonts w:cstheme="minorHAnsi"/>
                <w:b/>
                <w:bCs/>
                <w:sz w:val="24"/>
                <w:szCs w:val="24"/>
              </w:rPr>
              <w:t>Domaine d’application :</w:t>
            </w:r>
          </w:p>
        </w:tc>
        <w:tc>
          <w:tcPr>
            <w:tcW w:w="8080" w:type="dxa"/>
            <w:tcBorders>
              <w:top w:val="single" w:sz="6" w:space="0" w:color="auto"/>
              <w:left w:val="single" w:sz="4" w:space="0" w:color="auto"/>
              <w:bottom w:val="single" w:sz="18" w:space="0" w:color="auto"/>
              <w:right w:val="single" w:sz="18" w:space="0" w:color="auto"/>
            </w:tcBorders>
            <w:shd w:val="clear" w:color="auto" w:fill="FFFFFF" w:themeFill="background1"/>
            <w:vAlign w:val="center"/>
          </w:tcPr>
          <w:p w:rsidR="00FC52B6" w:rsidRPr="0043547B" w:rsidRDefault="00FC52B6" w:rsidP="00B27CC8">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Cette section de la </w:t>
            </w:r>
            <w:r w:rsidR="00962AD7" w:rsidRPr="0043547B">
              <w:rPr>
                <w:rFonts w:eastAsia="Times New Roman" w:cstheme="minorHAnsi"/>
                <w:sz w:val="24"/>
                <w:szCs w:val="24"/>
                <w:lang w:eastAsia="fr-FR"/>
              </w:rPr>
              <w:t>deuxième</w:t>
            </w:r>
            <w:r w:rsidRPr="0043547B">
              <w:rPr>
                <w:rFonts w:eastAsia="Times New Roman" w:cstheme="minorHAnsi"/>
                <w:sz w:val="24"/>
                <w:szCs w:val="24"/>
                <w:lang w:eastAsia="fr-FR"/>
              </w:rPr>
              <w:t xml:space="preserve"> partie de la Publication 598 de la CEI détaille les prescriptions applicables aux luminaires destinés aux prises de vues </w:t>
            </w:r>
            <w:r w:rsidR="00962AD7" w:rsidRPr="0043547B">
              <w:rPr>
                <w:rFonts w:eastAsia="Times New Roman" w:cstheme="minorHAnsi"/>
                <w:sz w:val="24"/>
                <w:szCs w:val="24"/>
                <w:lang w:eastAsia="fr-FR"/>
              </w:rPr>
              <w:t>photographiques</w:t>
            </w:r>
            <w:r w:rsidRPr="0043547B">
              <w:rPr>
                <w:rFonts w:eastAsia="Times New Roman" w:cstheme="minorHAnsi"/>
                <w:sz w:val="24"/>
                <w:szCs w:val="24"/>
                <w:lang w:eastAsia="fr-FR"/>
              </w:rPr>
              <w:t xml:space="preserve"> et </w:t>
            </w:r>
            <w:r w:rsidR="00962AD7" w:rsidRPr="0043547B">
              <w:rPr>
                <w:rFonts w:eastAsia="Times New Roman" w:cstheme="minorHAnsi"/>
                <w:sz w:val="24"/>
                <w:szCs w:val="24"/>
                <w:lang w:eastAsia="fr-FR"/>
              </w:rPr>
              <w:t>cinématographiques</w:t>
            </w:r>
            <w:r w:rsidRPr="0043547B">
              <w:rPr>
                <w:rFonts w:eastAsia="Times New Roman" w:cstheme="minorHAnsi"/>
                <w:sz w:val="24"/>
                <w:szCs w:val="24"/>
                <w:lang w:eastAsia="fr-FR"/>
              </w:rPr>
              <w:t xml:space="preserve"> (non professionnels), à utiliser avec des lampes à filament de tungstène, à des tensions d'alimentation ne dépassant pas 250 V, y compris les lampes tungstène-halogène à basse pression spécifiées dans la Publication 357 de la CEI avec la référence 357-IEC-3155. Elle doit être lue conjointement avec les sections de la première partie auxquelles il est fait référence</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4E52" w:rsidRPr="0043547B" w:rsidRDefault="00904E52" w:rsidP="00B27CC8">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vAlign w:val="center"/>
          </w:tcPr>
          <w:p w:rsidR="00904E52" w:rsidRPr="0043547B" w:rsidRDefault="00904E52" w:rsidP="00B27CC8">
            <w:pPr>
              <w:spacing w:after="0"/>
              <w:jc w:val="center"/>
              <w:rPr>
                <w:rFonts w:cstheme="minorHAnsi"/>
                <w:b/>
                <w:bCs/>
                <w:sz w:val="24"/>
                <w:szCs w:val="24"/>
              </w:rPr>
            </w:pPr>
            <w:r w:rsidRPr="0043547B">
              <w:rPr>
                <w:rFonts w:cstheme="minorHAnsi"/>
                <w:b/>
                <w:bCs/>
                <w:sz w:val="24"/>
                <w:szCs w:val="24"/>
              </w:rPr>
              <w:t>NM 06.7.090</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B27CC8">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right w:val="single" w:sz="18" w:space="0" w:color="auto"/>
            </w:tcBorders>
            <w:shd w:val="clear" w:color="auto" w:fill="FFFF99"/>
            <w:vAlign w:val="center"/>
          </w:tcPr>
          <w:p w:rsidR="00904E52" w:rsidRPr="0043547B" w:rsidRDefault="00904E52" w:rsidP="00B27CC8">
            <w:pPr>
              <w:spacing w:after="0"/>
              <w:jc w:val="center"/>
              <w:rPr>
                <w:rFonts w:cstheme="minorHAnsi"/>
                <w:b/>
                <w:bCs/>
                <w:sz w:val="24"/>
                <w:szCs w:val="24"/>
              </w:rPr>
            </w:pPr>
            <w:r w:rsidRPr="0043547B">
              <w:rPr>
                <w:rFonts w:cstheme="minorHAnsi"/>
                <w:b/>
                <w:bCs/>
                <w:sz w:val="24"/>
                <w:szCs w:val="24"/>
              </w:rPr>
              <w:t>EN 60598-2-18</w:t>
            </w:r>
          </w:p>
        </w:tc>
      </w:tr>
      <w:tr w:rsidR="0043547B" w:rsidRPr="0043547B" w:rsidTr="00CB5DC0">
        <w:trPr>
          <w:trHeight w:val="315"/>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1E26B3" w:rsidRPr="0043547B" w:rsidRDefault="001E26B3" w:rsidP="001E26B3">
            <w:pPr>
              <w:spacing w:after="0"/>
              <w:jc w:val="center"/>
              <w:rPr>
                <w:rFonts w:cstheme="minorHAnsi"/>
                <w:b/>
                <w:bCs/>
                <w:sz w:val="24"/>
                <w:szCs w:val="24"/>
              </w:rPr>
            </w:pPr>
            <w:r w:rsidRPr="0043547B">
              <w:rPr>
                <w:rFonts w:cstheme="minorHAnsi"/>
                <w:b/>
                <w:bCs/>
                <w:sz w:val="24"/>
                <w:szCs w:val="24"/>
              </w:rPr>
              <w:t>Intitulé :</w:t>
            </w:r>
          </w:p>
        </w:tc>
        <w:tc>
          <w:tcPr>
            <w:tcW w:w="8080" w:type="dxa"/>
            <w:tcBorders>
              <w:left w:val="single" w:sz="4" w:space="0" w:color="auto"/>
              <w:right w:val="single" w:sz="18" w:space="0" w:color="auto"/>
            </w:tcBorders>
            <w:vAlign w:val="center"/>
          </w:tcPr>
          <w:p w:rsidR="001E26B3" w:rsidRPr="0043547B" w:rsidRDefault="001E26B3" w:rsidP="00B27CC8">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Luminaires - Partie 2  : Règles particulières - Section 18 : Luminaires pour piscines et usages analogues</w:t>
            </w:r>
          </w:p>
        </w:tc>
      </w:tr>
      <w:tr w:rsidR="0043547B" w:rsidRPr="0043547B" w:rsidTr="00CB5DC0">
        <w:trPr>
          <w:trHeight w:val="1126"/>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1E26B3" w:rsidRPr="0043547B" w:rsidRDefault="001E26B3" w:rsidP="001E26B3">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vAlign w:val="center"/>
          </w:tcPr>
          <w:p w:rsidR="001E26B3" w:rsidRPr="0043547B" w:rsidRDefault="001E26B3" w:rsidP="00B27CC8">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Cette section de la </w:t>
            </w:r>
            <w:r w:rsidR="00B27CC8" w:rsidRPr="0043547B">
              <w:rPr>
                <w:rFonts w:eastAsia="Times New Roman" w:cstheme="minorHAnsi"/>
                <w:sz w:val="24"/>
                <w:szCs w:val="24"/>
                <w:lang w:eastAsia="fr-FR"/>
              </w:rPr>
              <w:t>deuxième</w:t>
            </w:r>
            <w:r w:rsidRPr="0043547B">
              <w:rPr>
                <w:rFonts w:eastAsia="Times New Roman" w:cstheme="minorHAnsi"/>
                <w:sz w:val="24"/>
                <w:szCs w:val="24"/>
                <w:lang w:eastAsia="fr-FR"/>
              </w:rPr>
              <w:t xml:space="preserve"> partie de la Publication 598 de la CEI détaille les prescriptions applicables aux luminaires destinés à </w:t>
            </w:r>
            <w:r w:rsidR="00B27CC8" w:rsidRPr="0043547B">
              <w:rPr>
                <w:rFonts w:eastAsia="Times New Roman" w:cstheme="minorHAnsi"/>
                <w:sz w:val="24"/>
                <w:szCs w:val="24"/>
                <w:lang w:eastAsia="fr-FR"/>
              </w:rPr>
              <w:t>être</w:t>
            </w:r>
            <w:r w:rsidRPr="0043547B">
              <w:rPr>
                <w:rFonts w:eastAsia="Times New Roman" w:cstheme="minorHAnsi"/>
                <w:sz w:val="24"/>
                <w:szCs w:val="24"/>
                <w:lang w:eastAsia="fr-FR"/>
              </w:rPr>
              <w:t xml:space="preserve"> utilisés dans l'eau ou en contact avec l'eau, par exemple dans les bassins de piscines, les fontaines, les pataugeoires et les pièces d'eau et pourvus de lampes à filament de tungstène.</w:t>
            </w:r>
          </w:p>
          <w:p w:rsidR="00B27CC8" w:rsidRPr="0043547B" w:rsidRDefault="00B27CC8" w:rsidP="00B27CC8">
            <w:pPr>
              <w:spacing w:after="0" w:line="240" w:lineRule="auto"/>
              <w:jc w:val="both"/>
              <w:rPr>
                <w:rFonts w:eastAsia="Times New Roman" w:cstheme="minorHAnsi"/>
                <w:i/>
                <w:iCs/>
                <w:sz w:val="24"/>
                <w:szCs w:val="24"/>
                <w:lang w:eastAsia="fr-FR"/>
              </w:rPr>
            </w:pPr>
            <w:r w:rsidRPr="0043547B">
              <w:rPr>
                <w:rFonts w:eastAsia="Times New Roman" w:cstheme="minorHAnsi"/>
                <w:b/>
                <w:bCs/>
                <w:i/>
                <w:iCs/>
                <w:sz w:val="24"/>
                <w:szCs w:val="24"/>
                <w:lang w:eastAsia="fr-FR"/>
              </w:rPr>
              <w:t>Note</w:t>
            </w:r>
            <w:r w:rsidRPr="0043547B">
              <w:rPr>
                <w:rFonts w:eastAsia="Times New Roman" w:cstheme="minorHAnsi"/>
                <w:i/>
                <w:iCs/>
                <w:sz w:val="24"/>
                <w:szCs w:val="24"/>
                <w:lang w:eastAsia="fr-FR"/>
              </w:rPr>
              <w:t xml:space="preserve"> : Les règles d'installation électriques des piscines sont données dans la CEI 364-7-702 : Installations électriques des bâtiments, Septième partie : Règles pour les installations et emplacements spéciaux, Section 702 : Piscines</w:t>
            </w:r>
          </w:p>
          <w:p w:rsidR="00B27CC8" w:rsidRPr="0043547B" w:rsidRDefault="00B27CC8" w:rsidP="00B27CC8">
            <w:pPr>
              <w:spacing w:after="0"/>
              <w:jc w:val="both"/>
              <w:rPr>
                <w:rFonts w:cstheme="minorHAnsi"/>
                <w:sz w:val="24"/>
                <w:szCs w:val="24"/>
              </w:rPr>
            </w:pPr>
            <w:r w:rsidRPr="0043547B">
              <w:rPr>
                <w:rFonts w:eastAsia="Times New Roman" w:cstheme="minorHAnsi"/>
                <w:sz w:val="24"/>
                <w:szCs w:val="24"/>
                <w:lang w:eastAsia="fr-FR"/>
              </w:rPr>
              <w:t>Cette section ne traite pas des luminaires qui ne sont pas en contact avec l'eau (par exemple ceux qui sont installés derrière un panneau de verre séparé du luminaire), ni des baladeuses ou des luminaires portatifs. Elle doit être lue conjointement avec les sections de la première partie auxquelles il est fait référence.</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A1C064"/>
            <w:vAlign w:val="center"/>
          </w:tcPr>
          <w:p w:rsidR="00FC52B6" w:rsidRPr="0043547B" w:rsidRDefault="00FC52B6" w:rsidP="00962AD7">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A1C064"/>
            <w:vAlign w:val="center"/>
          </w:tcPr>
          <w:p w:rsidR="00FC52B6" w:rsidRPr="0043547B" w:rsidRDefault="00FC52B6" w:rsidP="00962AD7">
            <w:pPr>
              <w:spacing w:after="0"/>
              <w:jc w:val="center"/>
              <w:rPr>
                <w:rFonts w:cstheme="minorHAnsi"/>
                <w:b/>
                <w:bCs/>
                <w:sz w:val="24"/>
                <w:szCs w:val="24"/>
              </w:rPr>
            </w:pPr>
            <w:r w:rsidRPr="0043547B">
              <w:rPr>
                <w:rFonts w:cstheme="minorHAnsi"/>
                <w:b/>
                <w:bCs/>
                <w:sz w:val="24"/>
                <w:szCs w:val="24"/>
              </w:rPr>
              <w:t>NM EN 60598-2-20</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tcPr>
          <w:p w:rsidR="00FC52B6" w:rsidRPr="0043547B" w:rsidRDefault="00FC52B6" w:rsidP="00962AD7">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bottom w:val="single" w:sz="4" w:space="0" w:color="auto"/>
              <w:right w:val="single" w:sz="18" w:space="0" w:color="auto"/>
            </w:tcBorders>
            <w:shd w:val="clear" w:color="auto" w:fill="FFFF99"/>
          </w:tcPr>
          <w:p w:rsidR="00FC52B6" w:rsidRPr="0043547B" w:rsidRDefault="00FC52B6" w:rsidP="00962AD7">
            <w:pPr>
              <w:spacing w:after="0"/>
              <w:jc w:val="center"/>
              <w:rPr>
                <w:rFonts w:cstheme="minorHAnsi"/>
                <w:b/>
                <w:bCs/>
                <w:sz w:val="24"/>
                <w:szCs w:val="24"/>
              </w:rPr>
            </w:pPr>
            <w:r w:rsidRPr="0043547B">
              <w:rPr>
                <w:rFonts w:cstheme="minorHAnsi"/>
                <w:b/>
                <w:bCs/>
                <w:sz w:val="24"/>
                <w:szCs w:val="24"/>
              </w:rPr>
              <w:t>EN 60598-2-20</w:t>
            </w:r>
          </w:p>
        </w:tc>
      </w:tr>
      <w:tr w:rsidR="0043547B" w:rsidRPr="0043547B" w:rsidTr="00CB5DC0">
        <w:trPr>
          <w:trHeight w:val="315"/>
          <w:jc w:val="center"/>
        </w:trPr>
        <w:tc>
          <w:tcPr>
            <w:tcW w:w="1843" w:type="dxa"/>
            <w:tcBorders>
              <w:top w:val="single" w:sz="4" w:space="0" w:color="auto"/>
              <w:left w:val="single" w:sz="18" w:space="0" w:color="auto"/>
              <w:bottom w:val="single" w:sz="4" w:space="0" w:color="auto"/>
              <w:right w:val="single" w:sz="4" w:space="0" w:color="auto"/>
            </w:tcBorders>
            <w:shd w:val="clear" w:color="auto" w:fill="8DB3E2" w:themeFill="text2" w:themeFillTint="66"/>
            <w:vAlign w:val="center"/>
          </w:tcPr>
          <w:p w:rsidR="00FC52B6" w:rsidRPr="0043547B" w:rsidRDefault="00FC52B6" w:rsidP="00962AD7">
            <w:pPr>
              <w:spacing w:after="0"/>
              <w:jc w:val="center"/>
              <w:rPr>
                <w:rFonts w:cstheme="minorHAnsi"/>
                <w:b/>
                <w:bCs/>
                <w:sz w:val="24"/>
                <w:szCs w:val="24"/>
              </w:rPr>
            </w:pPr>
            <w:r w:rsidRPr="0043547B">
              <w:rPr>
                <w:rFonts w:cstheme="minorHAnsi"/>
                <w:b/>
                <w:bCs/>
                <w:sz w:val="24"/>
                <w:szCs w:val="24"/>
              </w:rPr>
              <w:t>Intitulé :</w:t>
            </w:r>
          </w:p>
        </w:tc>
        <w:tc>
          <w:tcPr>
            <w:tcW w:w="8080"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FC52B6" w:rsidRPr="0043547B" w:rsidRDefault="00FC52B6" w:rsidP="009B2690">
            <w:pPr>
              <w:spacing w:after="0"/>
              <w:rPr>
                <w:rFonts w:cstheme="minorHAnsi"/>
                <w:sz w:val="24"/>
                <w:szCs w:val="24"/>
              </w:rPr>
            </w:pPr>
            <w:r w:rsidRPr="0043547B">
              <w:rPr>
                <w:rFonts w:cstheme="minorHAnsi"/>
                <w:sz w:val="24"/>
                <w:szCs w:val="24"/>
              </w:rPr>
              <w:t xml:space="preserve">Luminaires - Partie 2-20 : Exigences particulières - Guirlandes lumineuses ; </w:t>
            </w:r>
          </w:p>
        </w:tc>
      </w:tr>
      <w:tr w:rsidR="0043547B" w:rsidRPr="0043547B" w:rsidTr="00CB5DC0">
        <w:trPr>
          <w:trHeight w:val="315"/>
          <w:jc w:val="center"/>
        </w:trPr>
        <w:tc>
          <w:tcPr>
            <w:tcW w:w="1843" w:type="dxa"/>
            <w:tcBorders>
              <w:top w:val="single" w:sz="4" w:space="0" w:color="auto"/>
              <w:left w:val="single" w:sz="18" w:space="0" w:color="auto"/>
              <w:bottom w:val="single" w:sz="18" w:space="0" w:color="auto"/>
              <w:right w:val="single" w:sz="4" w:space="0" w:color="auto"/>
            </w:tcBorders>
            <w:shd w:val="clear" w:color="auto" w:fill="D9D9D9" w:themeFill="background1" w:themeFillShade="D9"/>
            <w:vAlign w:val="center"/>
          </w:tcPr>
          <w:p w:rsidR="00FC52B6" w:rsidRPr="0043547B" w:rsidRDefault="00FC52B6" w:rsidP="00962AD7">
            <w:pPr>
              <w:jc w:val="center"/>
              <w:rPr>
                <w:rFonts w:cstheme="minorHAnsi"/>
                <w:b/>
                <w:bCs/>
                <w:sz w:val="24"/>
                <w:szCs w:val="24"/>
              </w:rPr>
            </w:pPr>
            <w:r w:rsidRPr="0043547B">
              <w:rPr>
                <w:rFonts w:cstheme="minorHAnsi"/>
                <w:b/>
                <w:bCs/>
                <w:sz w:val="24"/>
                <w:szCs w:val="24"/>
              </w:rPr>
              <w:lastRenderedPageBreak/>
              <w:t>Domaine d’application :</w:t>
            </w:r>
          </w:p>
        </w:tc>
        <w:tc>
          <w:tcPr>
            <w:tcW w:w="8080" w:type="dxa"/>
            <w:tcBorders>
              <w:top w:val="single" w:sz="4" w:space="0" w:color="auto"/>
              <w:left w:val="single" w:sz="4" w:space="0" w:color="auto"/>
              <w:bottom w:val="single" w:sz="18" w:space="0" w:color="auto"/>
              <w:right w:val="single" w:sz="18" w:space="0" w:color="auto"/>
            </w:tcBorders>
            <w:shd w:val="clear" w:color="auto" w:fill="FFFFFF" w:themeFill="background1"/>
            <w:vAlign w:val="center"/>
          </w:tcPr>
          <w:p w:rsidR="00962AD7" w:rsidRPr="0043547B" w:rsidRDefault="00FC52B6" w:rsidP="006E50EC">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partie de l'IEC 60598 spécifie les exigences applicables aux guirlandes lumineuses munies de sources lumineuses montées en série, en parallèle ou en combinaison série/parallèle pour emploi à l’intérieur ou à l’extérieur, pour des tensions d’alimentation ne dépassant pas 250 V.</w:t>
            </w:r>
          </w:p>
          <w:p w:rsidR="00962AD7" w:rsidRPr="0043547B" w:rsidRDefault="00FC52B6" w:rsidP="006E50EC">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Pour les combinaisons contenant des cordons lumineux (également appelés guirlandes lumineuses scellées), voir l’IEC 60598-2-21.</w:t>
            </w:r>
          </w:p>
          <w:p w:rsidR="0051032F" w:rsidRDefault="00FC52B6" w:rsidP="006E50EC">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gu</w:t>
            </w:r>
            <w:r w:rsidR="00962AD7" w:rsidRPr="0043547B">
              <w:rPr>
                <w:rFonts w:eastAsia="Times New Roman" w:cstheme="minorHAnsi"/>
                <w:sz w:val="24"/>
                <w:szCs w:val="24"/>
                <w:lang w:eastAsia="fr-FR"/>
              </w:rPr>
              <w:t>irlandes lumineuses dotées de f</w:t>
            </w:r>
            <w:r w:rsidRPr="0043547B">
              <w:rPr>
                <w:rFonts w:eastAsia="Times New Roman" w:cstheme="minorHAnsi"/>
                <w:sz w:val="24"/>
                <w:szCs w:val="24"/>
                <w:lang w:eastAsia="fr-FR"/>
              </w:rPr>
              <w:t>ixations permanentes ou amovibles, par exemple ornementales ou décoratives, sont considérées comme couvertes par la présente norme.</w:t>
            </w:r>
          </w:p>
          <w:p w:rsidR="00962AD7" w:rsidRPr="0043547B" w:rsidRDefault="00FC52B6" w:rsidP="006E50EC">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exigences appropriées de cette norme sont applicables aux guirlandes lumineuses équipées de douilles du type à enfoncement.</w:t>
            </w:r>
          </w:p>
          <w:p w:rsidR="00962AD7" w:rsidRPr="0051032F" w:rsidRDefault="00FC52B6" w:rsidP="00962AD7">
            <w:pPr>
              <w:spacing w:after="0" w:line="240" w:lineRule="auto"/>
              <w:jc w:val="both"/>
              <w:rPr>
                <w:rFonts w:eastAsia="Times New Roman" w:cstheme="minorHAnsi"/>
                <w:i/>
                <w:iCs/>
                <w:lang w:eastAsia="fr-FR"/>
              </w:rPr>
            </w:pPr>
            <w:r w:rsidRPr="0051032F">
              <w:rPr>
                <w:rFonts w:eastAsia="Times New Roman" w:cstheme="minorHAnsi"/>
                <w:b/>
                <w:bCs/>
                <w:i/>
                <w:iCs/>
                <w:lang w:eastAsia="fr-FR"/>
              </w:rPr>
              <w:t>NOTE 1</w:t>
            </w:r>
            <w:r w:rsidR="00962AD7" w:rsidRPr="0051032F">
              <w:rPr>
                <w:rFonts w:eastAsia="Times New Roman" w:cstheme="minorHAnsi"/>
                <w:i/>
                <w:iCs/>
                <w:lang w:eastAsia="fr-FR"/>
              </w:rPr>
              <w:t xml:space="preserve"> : </w:t>
            </w:r>
            <w:r w:rsidRPr="0051032F">
              <w:rPr>
                <w:rFonts w:eastAsia="Times New Roman" w:cstheme="minorHAnsi"/>
                <w:i/>
                <w:iCs/>
                <w:lang w:eastAsia="fr-FR"/>
              </w:rPr>
              <w:t>Les guirlandes lumineuses pour arbres de Noël sont des exemples de guirlandes munies de lampes montées en série ou en combinaison série/parallèle. Les guirlandes pour illumination des pistes de ski ou des allées de promenade sont des exemples de guirlandes avec lampes montées en parallèle.</w:t>
            </w:r>
          </w:p>
          <w:p w:rsidR="00962AD7" w:rsidRPr="0051032F" w:rsidRDefault="00FC52B6" w:rsidP="00962AD7">
            <w:pPr>
              <w:spacing w:after="0" w:line="240" w:lineRule="auto"/>
              <w:jc w:val="both"/>
              <w:rPr>
                <w:rFonts w:eastAsia="Times New Roman" w:cstheme="minorHAnsi"/>
                <w:i/>
                <w:iCs/>
                <w:lang w:eastAsia="fr-FR"/>
              </w:rPr>
            </w:pPr>
            <w:r w:rsidRPr="0051032F">
              <w:rPr>
                <w:rFonts w:eastAsia="Times New Roman" w:cstheme="minorHAnsi"/>
                <w:i/>
                <w:iCs/>
                <w:lang w:eastAsia="fr-FR"/>
              </w:rPr>
              <w:t>Dans le cas des guirlandes lumineuses munies de lampes non normalisées (des lampes à introduction par pression par exemple), les lampes sont considérées comme étant une partie de la guirlande lumineuse et par conséquent incluses dans les essais.</w:t>
            </w:r>
          </w:p>
          <w:p w:rsidR="00962AD7" w:rsidRPr="0051032F" w:rsidRDefault="00FC52B6" w:rsidP="00962AD7">
            <w:pPr>
              <w:spacing w:after="0" w:line="240" w:lineRule="auto"/>
              <w:jc w:val="both"/>
              <w:rPr>
                <w:rFonts w:eastAsia="Times New Roman" w:cstheme="minorHAnsi"/>
                <w:i/>
                <w:iCs/>
                <w:lang w:eastAsia="fr-FR"/>
              </w:rPr>
            </w:pPr>
            <w:r w:rsidRPr="0051032F">
              <w:rPr>
                <w:rFonts w:eastAsia="Times New Roman" w:cstheme="minorHAnsi"/>
                <w:b/>
                <w:bCs/>
                <w:i/>
                <w:iCs/>
                <w:lang w:eastAsia="fr-FR"/>
              </w:rPr>
              <w:t>NOTE 2</w:t>
            </w:r>
            <w:r w:rsidR="00962AD7" w:rsidRPr="0051032F">
              <w:rPr>
                <w:rFonts w:eastAsia="Times New Roman" w:cstheme="minorHAnsi"/>
                <w:i/>
                <w:iCs/>
                <w:lang w:eastAsia="fr-FR"/>
              </w:rPr>
              <w:t xml:space="preserve"> : </w:t>
            </w:r>
            <w:r w:rsidRPr="0051032F">
              <w:rPr>
                <w:rFonts w:eastAsia="Times New Roman" w:cstheme="minorHAnsi"/>
                <w:i/>
                <w:iCs/>
                <w:lang w:eastAsia="fr-FR"/>
              </w:rPr>
              <w:t>Pour les produits dans lesquels la guirlande lumineuse est fixée de manière permanente à un bâti ou à un arbre de Noël pré-éclairé, les articles concernés de l’IEC 60598-2-4 et/ou de l’IEC 60598-2-7 peuvent également s’appliquer.</w:t>
            </w:r>
          </w:p>
          <w:p w:rsidR="00962AD7" w:rsidRPr="0051032F" w:rsidRDefault="00FC52B6" w:rsidP="00962AD7">
            <w:pPr>
              <w:spacing w:after="0" w:line="240" w:lineRule="auto"/>
              <w:jc w:val="both"/>
              <w:rPr>
                <w:rFonts w:eastAsia="Times New Roman" w:cstheme="minorHAnsi"/>
                <w:i/>
                <w:iCs/>
                <w:lang w:eastAsia="fr-FR"/>
              </w:rPr>
            </w:pPr>
            <w:r w:rsidRPr="0051032F">
              <w:rPr>
                <w:rFonts w:eastAsia="Times New Roman" w:cstheme="minorHAnsi"/>
                <w:b/>
                <w:bCs/>
                <w:i/>
                <w:iCs/>
                <w:lang w:eastAsia="fr-FR"/>
              </w:rPr>
              <w:t>NOTE 3</w:t>
            </w:r>
            <w:r w:rsidR="00962AD7" w:rsidRPr="0051032F">
              <w:rPr>
                <w:rFonts w:eastAsia="Times New Roman" w:cstheme="minorHAnsi"/>
                <w:i/>
                <w:iCs/>
                <w:lang w:eastAsia="fr-FR"/>
              </w:rPr>
              <w:t xml:space="preserve"> : </w:t>
            </w:r>
            <w:r w:rsidRPr="0051032F">
              <w:rPr>
                <w:rFonts w:eastAsia="Times New Roman" w:cstheme="minorHAnsi"/>
                <w:i/>
                <w:iCs/>
                <w:lang w:eastAsia="fr-FR"/>
              </w:rPr>
              <w:t>Cette note s'applique</w:t>
            </w:r>
            <w:r w:rsidR="00962AD7" w:rsidRPr="0051032F">
              <w:rPr>
                <w:rFonts w:eastAsia="Times New Roman" w:cstheme="minorHAnsi"/>
                <w:i/>
                <w:iCs/>
                <w:lang w:eastAsia="fr-FR"/>
              </w:rPr>
              <w:t xml:space="preserve"> à la langue anglaise seulement</w:t>
            </w:r>
            <w:r w:rsidRPr="0051032F">
              <w:rPr>
                <w:rFonts w:eastAsia="Times New Roman" w:cstheme="minorHAnsi"/>
                <w:i/>
                <w:iCs/>
                <w:lang w:eastAsia="fr-FR"/>
              </w:rPr>
              <w:t>.</w:t>
            </w:r>
          </w:p>
          <w:p w:rsidR="00FC52B6" w:rsidRPr="0043547B" w:rsidRDefault="00FC52B6" w:rsidP="00962AD7">
            <w:pPr>
              <w:spacing w:after="0" w:line="240" w:lineRule="auto"/>
              <w:jc w:val="both"/>
              <w:rPr>
                <w:rFonts w:eastAsia="Times New Roman" w:cstheme="minorHAnsi"/>
                <w:sz w:val="24"/>
                <w:szCs w:val="24"/>
                <w:lang w:eastAsia="fr-FR"/>
              </w:rPr>
            </w:pPr>
            <w:r w:rsidRPr="0051032F">
              <w:rPr>
                <w:rFonts w:eastAsia="Times New Roman" w:cstheme="minorHAnsi"/>
                <w:b/>
                <w:bCs/>
                <w:i/>
                <w:iCs/>
                <w:lang w:eastAsia="fr-FR"/>
              </w:rPr>
              <w:t>NOTE 4</w:t>
            </w:r>
            <w:r w:rsidR="00962AD7" w:rsidRPr="0051032F">
              <w:rPr>
                <w:rFonts w:eastAsia="Times New Roman" w:cstheme="minorHAnsi"/>
                <w:i/>
                <w:iCs/>
                <w:lang w:eastAsia="fr-FR"/>
              </w:rPr>
              <w:t xml:space="preserve"> : </w:t>
            </w:r>
            <w:r w:rsidRPr="0051032F">
              <w:rPr>
                <w:rFonts w:eastAsia="Times New Roman" w:cstheme="minorHAnsi"/>
                <w:i/>
                <w:iCs/>
                <w:lang w:eastAsia="fr-FR"/>
              </w:rPr>
              <w:t>Les luminaires de type chandelier sont soumis à essai selon l'IEC 60598-2-4.</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A1C064"/>
            <w:vAlign w:val="center"/>
          </w:tcPr>
          <w:p w:rsidR="00FC52B6" w:rsidRPr="0043547B" w:rsidRDefault="00FC52B6" w:rsidP="006B0280">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9BBB59" w:themeFill="accent3"/>
            <w:vAlign w:val="center"/>
          </w:tcPr>
          <w:p w:rsidR="00FC52B6" w:rsidRPr="0043547B" w:rsidRDefault="00FC52B6" w:rsidP="006B0280">
            <w:pPr>
              <w:spacing w:after="0"/>
              <w:jc w:val="center"/>
              <w:rPr>
                <w:rFonts w:cstheme="minorHAnsi"/>
                <w:b/>
                <w:bCs/>
                <w:sz w:val="24"/>
                <w:szCs w:val="24"/>
              </w:rPr>
            </w:pPr>
            <w:r w:rsidRPr="0043547B">
              <w:rPr>
                <w:rFonts w:cstheme="minorHAnsi"/>
                <w:b/>
                <w:bCs/>
                <w:sz w:val="24"/>
                <w:szCs w:val="24"/>
              </w:rPr>
              <w:t>NM EN 60598-2-21</w:t>
            </w:r>
          </w:p>
        </w:tc>
      </w:tr>
      <w:tr w:rsidR="0043547B" w:rsidRPr="0043547B" w:rsidTr="00CB5DC0">
        <w:trPr>
          <w:trHeight w:val="315"/>
          <w:jc w:val="center"/>
        </w:trPr>
        <w:tc>
          <w:tcPr>
            <w:tcW w:w="1843" w:type="dxa"/>
            <w:tcBorders>
              <w:top w:val="single" w:sz="18" w:space="0" w:color="auto"/>
              <w:left w:val="single" w:sz="18" w:space="0" w:color="auto"/>
              <w:bottom w:val="single" w:sz="6" w:space="0" w:color="auto"/>
              <w:right w:val="single" w:sz="4" w:space="0" w:color="auto"/>
            </w:tcBorders>
            <w:shd w:val="clear" w:color="auto" w:fill="FFFF99"/>
            <w:vAlign w:val="center"/>
          </w:tcPr>
          <w:p w:rsidR="00FC52B6" w:rsidRPr="0043547B" w:rsidRDefault="00FC52B6" w:rsidP="006B0280">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bottom w:val="single" w:sz="6" w:space="0" w:color="auto"/>
              <w:right w:val="single" w:sz="18" w:space="0" w:color="auto"/>
            </w:tcBorders>
            <w:shd w:val="clear" w:color="auto" w:fill="FFFF99"/>
          </w:tcPr>
          <w:p w:rsidR="00FC52B6" w:rsidRPr="0043547B" w:rsidRDefault="00FC52B6" w:rsidP="006B0280">
            <w:pPr>
              <w:spacing w:after="0"/>
              <w:jc w:val="center"/>
              <w:rPr>
                <w:rFonts w:cstheme="minorHAnsi"/>
                <w:b/>
                <w:bCs/>
                <w:sz w:val="24"/>
                <w:szCs w:val="24"/>
              </w:rPr>
            </w:pPr>
            <w:r w:rsidRPr="0043547B">
              <w:rPr>
                <w:rFonts w:cstheme="minorHAnsi"/>
                <w:b/>
                <w:bCs/>
                <w:sz w:val="24"/>
                <w:szCs w:val="24"/>
              </w:rPr>
              <w:t>EN 60598-2-21</w:t>
            </w:r>
          </w:p>
        </w:tc>
      </w:tr>
      <w:tr w:rsidR="0043547B" w:rsidRPr="0043547B" w:rsidTr="00CB5DC0">
        <w:trPr>
          <w:trHeight w:val="315"/>
          <w:jc w:val="center"/>
        </w:trPr>
        <w:tc>
          <w:tcPr>
            <w:tcW w:w="1843" w:type="dxa"/>
            <w:tcBorders>
              <w:top w:val="single" w:sz="6" w:space="0" w:color="auto"/>
              <w:left w:val="single" w:sz="18" w:space="0" w:color="auto"/>
              <w:bottom w:val="single" w:sz="6" w:space="0" w:color="auto"/>
              <w:right w:val="single" w:sz="4" w:space="0" w:color="auto"/>
            </w:tcBorders>
            <w:shd w:val="clear" w:color="auto" w:fill="8DB3E2" w:themeFill="text2" w:themeFillTint="66"/>
            <w:vAlign w:val="center"/>
          </w:tcPr>
          <w:p w:rsidR="00FC52B6" w:rsidRPr="0043547B" w:rsidRDefault="00FC52B6" w:rsidP="006B0280">
            <w:pPr>
              <w:spacing w:after="0"/>
              <w:jc w:val="center"/>
              <w:rPr>
                <w:rFonts w:cstheme="minorHAnsi"/>
                <w:b/>
                <w:bCs/>
                <w:sz w:val="24"/>
                <w:szCs w:val="24"/>
              </w:rPr>
            </w:pPr>
            <w:r w:rsidRPr="0043547B">
              <w:rPr>
                <w:rFonts w:cstheme="minorHAnsi"/>
                <w:b/>
                <w:bCs/>
                <w:sz w:val="24"/>
                <w:szCs w:val="24"/>
              </w:rPr>
              <w:t>Intitulé :</w:t>
            </w:r>
          </w:p>
        </w:tc>
        <w:tc>
          <w:tcPr>
            <w:tcW w:w="8080" w:type="dxa"/>
            <w:tcBorders>
              <w:top w:val="single" w:sz="6" w:space="0" w:color="auto"/>
              <w:left w:val="single" w:sz="4" w:space="0" w:color="auto"/>
              <w:bottom w:val="single" w:sz="6" w:space="0" w:color="auto"/>
              <w:right w:val="single" w:sz="18" w:space="0" w:color="auto"/>
            </w:tcBorders>
            <w:shd w:val="clear" w:color="auto" w:fill="FFFFFF" w:themeFill="background1"/>
            <w:vAlign w:val="center"/>
          </w:tcPr>
          <w:p w:rsidR="00FC52B6" w:rsidRPr="0043547B" w:rsidRDefault="00FC52B6" w:rsidP="009B2690">
            <w:pPr>
              <w:spacing w:after="0"/>
              <w:rPr>
                <w:rFonts w:cstheme="minorHAnsi"/>
                <w:sz w:val="24"/>
                <w:szCs w:val="24"/>
              </w:rPr>
            </w:pPr>
            <w:r w:rsidRPr="0043547B">
              <w:rPr>
                <w:rFonts w:cstheme="minorHAnsi"/>
                <w:sz w:val="24"/>
                <w:szCs w:val="24"/>
              </w:rPr>
              <w:t xml:space="preserve">Luminaires - Partie 2-21 : Exigences particulières - Cordons lumineux ; </w:t>
            </w:r>
          </w:p>
        </w:tc>
      </w:tr>
      <w:tr w:rsidR="0043547B" w:rsidRPr="0043547B" w:rsidTr="00CB5DC0">
        <w:trPr>
          <w:trHeight w:val="696"/>
          <w:jc w:val="center"/>
        </w:trPr>
        <w:tc>
          <w:tcPr>
            <w:tcW w:w="1843" w:type="dxa"/>
            <w:tcBorders>
              <w:top w:val="single" w:sz="6" w:space="0" w:color="auto"/>
              <w:left w:val="single" w:sz="18" w:space="0" w:color="auto"/>
              <w:bottom w:val="single" w:sz="18" w:space="0" w:color="auto"/>
              <w:right w:val="single" w:sz="4" w:space="0" w:color="auto"/>
            </w:tcBorders>
            <w:shd w:val="clear" w:color="auto" w:fill="D9D9D9" w:themeFill="background1" w:themeFillShade="D9"/>
            <w:vAlign w:val="center"/>
          </w:tcPr>
          <w:p w:rsidR="00FC52B6" w:rsidRPr="0043547B" w:rsidRDefault="00FC52B6" w:rsidP="006B0280">
            <w:pPr>
              <w:jc w:val="center"/>
              <w:rPr>
                <w:rFonts w:cstheme="minorHAnsi"/>
                <w:b/>
                <w:bCs/>
                <w:sz w:val="24"/>
                <w:szCs w:val="24"/>
              </w:rPr>
            </w:pPr>
            <w:r w:rsidRPr="0043547B">
              <w:rPr>
                <w:rFonts w:cstheme="minorHAnsi"/>
                <w:b/>
                <w:bCs/>
                <w:sz w:val="24"/>
                <w:szCs w:val="24"/>
              </w:rPr>
              <w:t>Domaine d’application :</w:t>
            </w:r>
          </w:p>
        </w:tc>
        <w:tc>
          <w:tcPr>
            <w:tcW w:w="8080" w:type="dxa"/>
            <w:tcBorders>
              <w:top w:val="single" w:sz="6" w:space="0" w:color="auto"/>
              <w:left w:val="single" w:sz="4" w:space="0" w:color="auto"/>
              <w:bottom w:val="single" w:sz="18" w:space="0" w:color="auto"/>
              <w:right w:val="single" w:sz="18" w:space="0" w:color="auto"/>
            </w:tcBorders>
            <w:shd w:val="clear" w:color="auto" w:fill="FFFFFF" w:themeFill="background1"/>
          </w:tcPr>
          <w:p w:rsidR="006B0280" w:rsidRPr="0043547B" w:rsidRDefault="00FC52B6" w:rsidP="006E50EC">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partie de l'IEC 60598 spécifie les exigences applicables aux cordons lumineux (guirlandes lumineuses scellées) munis de sources lumineuses montées en série, en parallèle ou en combinaison série/parallèle pour emploi à l’intérieur ou à l’extérieur, pour des tensions d’alimentation ne dépassant pas 250 V.</w:t>
            </w:r>
          </w:p>
          <w:p w:rsidR="006B0280" w:rsidRPr="0043547B" w:rsidRDefault="00FC52B6" w:rsidP="006E50EC">
            <w:pPr>
              <w:spacing w:after="0" w:line="240" w:lineRule="auto"/>
              <w:jc w:val="both"/>
              <w:rPr>
                <w:rFonts w:eastAsia="Times New Roman" w:cstheme="minorHAnsi"/>
                <w:i/>
                <w:iCs/>
                <w:sz w:val="24"/>
                <w:szCs w:val="24"/>
                <w:lang w:eastAsia="fr-FR"/>
              </w:rPr>
            </w:pPr>
            <w:r w:rsidRPr="0043547B">
              <w:rPr>
                <w:rFonts w:eastAsia="Times New Roman" w:cstheme="minorHAnsi"/>
                <w:b/>
                <w:bCs/>
                <w:i/>
                <w:iCs/>
                <w:sz w:val="24"/>
                <w:szCs w:val="24"/>
                <w:lang w:eastAsia="fr-FR"/>
              </w:rPr>
              <w:t>NOTE 1</w:t>
            </w:r>
            <w:r w:rsidR="006B0280" w:rsidRPr="0043547B">
              <w:rPr>
                <w:rFonts w:eastAsia="Times New Roman" w:cstheme="minorHAnsi"/>
                <w:i/>
                <w:iCs/>
                <w:sz w:val="24"/>
                <w:szCs w:val="24"/>
                <w:lang w:eastAsia="fr-FR"/>
              </w:rPr>
              <w:t> :</w:t>
            </w:r>
            <w:r w:rsidRPr="0043547B">
              <w:rPr>
                <w:rFonts w:eastAsia="Times New Roman" w:cstheme="minorHAnsi"/>
                <w:i/>
                <w:iCs/>
                <w:sz w:val="24"/>
                <w:szCs w:val="24"/>
                <w:lang w:eastAsia="fr-FR"/>
              </w:rPr>
              <w:t xml:space="preserve"> Certains pays utilisent le terme "guirlande lumineuse scellée" au lieu du terme "cordon lumineux</w:t>
            </w:r>
            <w:r w:rsidR="006B0280" w:rsidRPr="0043547B">
              <w:rPr>
                <w:rFonts w:eastAsia="Times New Roman" w:cstheme="minorHAnsi"/>
                <w:i/>
                <w:iCs/>
                <w:sz w:val="24"/>
                <w:szCs w:val="24"/>
                <w:lang w:eastAsia="fr-FR"/>
              </w:rPr>
              <w:t>».</w:t>
            </w:r>
          </w:p>
          <w:p w:rsidR="006B0280" w:rsidRPr="0043547B" w:rsidRDefault="00FC52B6" w:rsidP="006E50EC">
            <w:pPr>
              <w:spacing w:after="0" w:line="240" w:lineRule="auto"/>
              <w:jc w:val="both"/>
              <w:rPr>
                <w:rFonts w:eastAsia="Times New Roman" w:cstheme="minorHAnsi"/>
                <w:i/>
                <w:iCs/>
                <w:sz w:val="24"/>
                <w:szCs w:val="24"/>
                <w:lang w:eastAsia="fr-FR"/>
              </w:rPr>
            </w:pPr>
            <w:r w:rsidRPr="0043547B">
              <w:rPr>
                <w:rFonts w:eastAsia="Times New Roman" w:cstheme="minorHAnsi"/>
                <w:b/>
                <w:bCs/>
                <w:i/>
                <w:iCs/>
                <w:sz w:val="24"/>
                <w:szCs w:val="24"/>
                <w:lang w:eastAsia="fr-FR"/>
              </w:rPr>
              <w:t>NOTE 2</w:t>
            </w:r>
            <w:r w:rsidR="006B0280" w:rsidRPr="0043547B">
              <w:rPr>
                <w:rFonts w:eastAsia="Times New Roman" w:cstheme="minorHAnsi"/>
                <w:i/>
                <w:iCs/>
                <w:sz w:val="24"/>
                <w:szCs w:val="24"/>
                <w:lang w:eastAsia="fr-FR"/>
              </w:rPr>
              <w:t xml:space="preserve"> : </w:t>
            </w:r>
            <w:r w:rsidRPr="0043547B">
              <w:rPr>
                <w:rFonts w:eastAsia="Times New Roman" w:cstheme="minorHAnsi"/>
                <w:i/>
                <w:iCs/>
                <w:sz w:val="24"/>
                <w:szCs w:val="24"/>
                <w:lang w:eastAsia="fr-FR"/>
              </w:rPr>
              <w:t xml:space="preserve">Pour les produits dans lesquels le cordon lumineux est fixé à un bâti ou autre pour décorer un élément tel qu'un père Noël ou un bonhomme de neige, les articles correspondants de </w:t>
            </w:r>
            <w:r w:rsidR="006B0280" w:rsidRPr="0043547B">
              <w:rPr>
                <w:rFonts w:eastAsia="Times New Roman" w:cstheme="minorHAnsi"/>
                <w:i/>
                <w:iCs/>
                <w:sz w:val="24"/>
                <w:szCs w:val="24"/>
                <w:lang w:eastAsia="fr-FR"/>
              </w:rPr>
              <w:t>l’IEC</w:t>
            </w:r>
            <w:r w:rsidRPr="0043547B">
              <w:rPr>
                <w:rFonts w:eastAsia="Times New Roman" w:cstheme="minorHAnsi"/>
                <w:i/>
                <w:iCs/>
                <w:sz w:val="24"/>
                <w:szCs w:val="24"/>
                <w:lang w:eastAsia="fr-FR"/>
              </w:rPr>
              <w:t xml:space="preserve"> 60598-2-4 et/ou de l’IEC 60598-2-7 peuvent également s’appliquer.</w:t>
            </w:r>
          </w:p>
          <w:p w:rsidR="00B27CC8" w:rsidRPr="0043547B" w:rsidRDefault="00FC52B6" w:rsidP="006E50EC">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cordons lumineux dotés de fixations supplémentaires fixes ou détachables, de différentes sortes, par exemple un élément ornemental entrant dans des configurations décoratives temporaires réalisées à l'occasion de festivals, cérémonies, etc., ou dans des reproductions bi - ou tridimensionnelles de personnes ou d'animaux (réels ou imaginaires), sont considérés comme couverts par la présente norme.</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A1C064"/>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A1C064"/>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06.7.093</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right w:val="single" w:sz="18" w:space="0" w:color="auto"/>
            </w:tcBorders>
            <w:shd w:val="clear" w:color="auto" w:fill="FFFF99"/>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60598-2-23</w:t>
            </w:r>
          </w:p>
        </w:tc>
      </w:tr>
      <w:tr w:rsidR="0043547B" w:rsidRPr="0043547B" w:rsidTr="00CB5DC0">
        <w:trPr>
          <w:trHeight w:val="644"/>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1E26B3" w:rsidRPr="0043547B" w:rsidRDefault="001E26B3" w:rsidP="001E26B3">
            <w:pPr>
              <w:spacing w:after="0"/>
              <w:jc w:val="center"/>
              <w:rPr>
                <w:rFonts w:cstheme="minorHAnsi"/>
                <w:b/>
                <w:bCs/>
                <w:sz w:val="24"/>
                <w:szCs w:val="24"/>
              </w:rPr>
            </w:pPr>
            <w:r w:rsidRPr="0043547B">
              <w:rPr>
                <w:rFonts w:cstheme="minorHAnsi"/>
                <w:b/>
                <w:bCs/>
                <w:sz w:val="24"/>
                <w:szCs w:val="24"/>
              </w:rPr>
              <w:t>Intitulé :</w:t>
            </w:r>
          </w:p>
        </w:tc>
        <w:tc>
          <w:tcPr>
            <w:tcW w:w="8080" w:type="dxa"/>
            <w:tcBorders>
              <w:left w:val="single" w:sz="4" w:space="0" w:color="auto"/>
              <w:right w:val="single" w:sz="18" w:space="0" w:color="auto"/>
            </w:tcBorders>
            <w:vAlign w:val="center"/>
          </w:tcPr>
          <w:p w:rsidR="001E26B3" w:rsidRPr="0043547B" w:rsidRDefault="001E26B3" w:rsidP="00B27CC8">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Luminaires - Partie 2 : Règles particulières - </w:t>
            </w:r>
            <w:r w:rsidR="0043547B" w:rsidRPr="0043547B">
              <w:rPr>
                <w:rFonts w:eastAsia="Times New Roman" w:cstheme="minorHAnsi"/>
                <w:sz w:val="24"/>
                <w:szCs w:val="24"/>
                <w:lang w:eastAsia="fr-FR"/>
              </w:rPr>
              <w:t>Section 23 : Systèmes d'é</w:t>
            </w:r>
            <w:r w:rsidRPr="0043547B">
              <w:rPr>
                <w:rFonts w:eastAsia="Times New Roman" w:cstheme="minorHAnsi"/>
                <w:sz w:val="24"/>
                <w:szCs w:val="24"/>
                <w:lang w:eastAsia="fr-FR"/>
              </w:rPr>
              <w:t>clairage à très basse tension - pour lampes à filament</w:t>
            </w:r>
          </w:p>
        </w:tc>
      </w:tr>
      <w:tr w:rsidR="0043547B" w:rsidRPr="0043547B" w:rsidTr="00CB5DC0">
        <w:trPr>
          <w:trHeight w:val="2151"/>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1E26B3" w:rsidRPr="0043547B" w:rsidRDefault="001E26B3" w:rsidP="001E26B3">
            <w:pPr>
              <w:spacing w:after="0"/>
              <w:jc w:val="center"/>
              <w:rPr>
                <w:rFonts w:cstheme="minorHAnsi"/>
                <w:b/>
                <w:bCs/>
                <w:sz w:val="24"/>
                <w:szCs w:val="24"/>
              </w:rPr>
            </w:pPr>
            <w:r w:rsidRPr="0043547B">
              <w:rPr>
                <w:rFonts w:cstheme="minorHAnsi"/>
                <w:b/>
                <w:bCs/>
                <w:sz w:val="24"/>
                <w:szCs w:val="24"/>
              </w:rPr>
              <w:lastRenderedPageBreak/>
              <w:t>Domaine d’application :</w:t>
            </w:r>
          </w:p>
        </w:tc>
        <w:tc>
          <w:tcPr>
            <w:tcW w:w="8080" w:type="dxa"/>
            <w:tcBorders>
              <w:left w:val="single" w:sz="4" w:space="0" w:color="auto"/>
              <w:bottom w:val="single" w:sz="18" w:space="0" w:color="auto"/>
              <w:right w:val="single" w:sz="18" w:space="0" w:color="auto"/>
            </w:tcBorders>
          </w:tcPr>
          <w:p w:rsidR="00B27CC8" w:rsidRPr="0043547B" w:rsidRDefault="001E26B3" w:rsidP="00B27CC8">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La présente section de la CEI 598-2 spécifie les </w:t>
            </w:r>
            <w:r w:rsidR="0043547B" w:rsidRPr="0043547B">
              <w:rPr>
                <w:rFonts w:eastAsia="Times New Roman" w:cstheme="minorHAnsi"/>
                <w:sz w:val="24"/>
                <w:szCs w:val="24"/>
                <w:lang w:eastAsia="fr-FR"/>
              </w:rPr>
              <w:t>prescriptions</w:t>
            </w:r>
            <w:r w:rsidRPr="0043547B">
              <w:rPr>
                <w:rFonts w:eastAsia="Times New Roman" w:cstheme="minorHAnsi"/>
                <w:sz w:val="24"/>
                <w:szCs w:val="24"/>
                <w:lang w:eastAsia="fr-FR"/>
              </w:rPr>
              <w:t xml:space="preserve"> pour les systèmes d'éclairage à très basse tension pour les lampes à filament, prévues pour utilisation ordinaire en intérieur, avec des tensions d’alimentation ne dépassant pas 1 000 V. Les lumières, connectés en parallèle, sont alimentés par l'intermédiaire de conducteurs ou profils supports continus, librement suspendus. Le courant, dans le secondaire du circuit du système, est limité à 25 A,</w:t>
            </w:r>
          </w:p>
          <w:p w:rsidR="001E26B3" w:rsidRPr="0043547B" w:rsidRDefault="001E26B3" w:rsidP="00B27CC8">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Cette partie ne couvre pas les luminaires encastrés dans le sol des routes automobiles ainsi que des pistes d’aéroport déjà spécifiés dans la CEI 61827</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06.7.094</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right w:val="single" w:sz="18" w:space="0" w:color="auto"/>
            </w:tcBorders>
            <w:shd w:val="clear" w:color="auto" w:fill="FFFF99"/>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60598-2-25</w:t>
            </w:r>
          </w:p>
        </w:tc>
      </w:tr>
      <w:tr w:rsidR="0043547B" w:rsidRPr="0043547B" w:rsidTr="00CB5DC0">
        <w:trPr>
          <w:trHeight w:val="549"/>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FC52B6" w:rsidRPr="0043547B" w:rsidRDefault="00FC52B6" w:rsidP="00FC52B6">
            <w:pPr>
              <w:spacing w:after="0"/>
              <w:jc w:val="center"/>
              <w:rPr>
                <w:rFonts w:cstheme="minorHAnsi"/>
                <w:b/>
                <w:bCs/>
                <w:sz w:val="24"/>
                <w:szCs w:val="24"/>
              </w:rPr>
            </w:pPr>
            <w:r w:rsidRPr="0043547B">
              <w:rPr>
                <w:rFonts w:cstheme="minorHAnsi"/>
                <w:b/>
                <w:bCs/>
                <w:sz w:val="24"/>
                <w:szCs w:val="24"/>
              </w:rPr>
              <w:t>Intitulé :</w:t>
            </w:r>
          </w:p>
        </w:tc>
        <w:tc>
          <w:tcPr>
            <w:tcW w:w="8080" w:type="dxa"/>
            <w:tcBorders>
              <w:left w:val="single" w:sz="4" w:space="0" w:color="auto"/>
              <w:right w:val="single" w:sz="18" w:space="0" w:color="auto"/>
            </w:tcBorders>
            <w:vAlign w:val="center"/>
          </w:tcPr>
          <w:p w:rsidR="00FC52B6" w:rsidRPr="0043547B" w:rsidRDefault="00FC52B6" w:rsidP="00B27CC8">
            <w:pPr>
              <w:spacing w:after="0"/>
              <w:rPr>
                <w:rFonts w:cstheme="minorHAnsi"/>
                <w:sz w:val="24"/>
                <w:szCs w:val="24"/>
              </w:rPr>
            </w:pPr>
            <w:r w:rsidRPr="0043547B">
              <w:rPr>
                <w:rFonts w:cstheme="minorHAnsi"/>
                <w:sz w:val="24"/>
                <w:szCs w:val="24"/>
              </w:rPr>
              <w:t>Luminaires - Partie 2 : Règles particulières - Section 25 : luminaires pour les unités de soins des hôpitaux et les maisons de santé</w:t>
            </w:r>
          </w:p>
        </w:tc>
      </w:tr>
      <w:tr w:rsidR="0043547B" w:rsidRPr="0043547B" w:rsidTr="00CB5DC0">
        <w:trPr>
          <w:trHeight w:val="561"/>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FC52B6" w:rsidRPr="0043547B" w:rsidRDefault="00FC52B6" w:rsidP="00FC52B6">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vAlign w:val="center"/>
          </w:tcPr>
          <w:p w:rsidR="00B27CC8" w:rsidRPr="0043547B" w:rsidRDefault="00FC52B6" w:rsidP="006E50EC">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La présente section de la CEI 598-2, fournit les </w:t>
            </w:r>
            <w:r w:rsidR="00B27CC8" w:rsidRPr="0043547B">
              <w:rPr>
                <w:rFonts w:eastAsia="Times New Roman" w:cstheme="minorHAnsi"/>
                <w:sz w:val="24"/>
                <w:szCs w:val="24"/>
                <w:lang w:eastAsia="fr-FR"/>
              </w:rPr>
              <w:t>prescriptions</w:t>
            </w:r>
            <w:r w:rsidRPr="0043547B">
              <w:rPr>
                <w:rFonts w:eastAsia="Times New Roman" w:cstheme="minorHAnsi"/>
                <w:sz w:val="24"/>
                <w:szCs w:val="24"/>
                <w:lang w:eastAsia="fr-FR"/>
              </w:rPr>
              <w:t xml:space="preserve"> spécifiques aux luminaires à utiliser avec lampes à filament de tungstène, lampes tubulaires à fluorescence, et autres lampes à décharge, sous des tensions d'alimentation ne dépassant pas 1000 V, dans les unités de soins des hôpitaux et maisons de santé, où sont effectués des </w:t>
            </w:r>
            <w:r w:rsidR="00B27CC8" w:rsidRPr="0043547B">
              <w:rPr>
                <w:rFonts w:eastAsia="Times New Roman" w:cstheme="minorHAnsi"/>
                <w:sz w:val="24"/>
                <w:szCs w:val="24"/>
                <w:lang w:eastAsia="fr-FR"/>
              </w:rPr>
              <w:t>examens</w:t>
            </w:r>
            <w:r w:rsidRPr="0043547B">
              <w:rPr>
                <w:rFonts w:eastAsia="Times New Roman" w:cstheme="minorHAnsi"/>
                <w:sz w:val="24"/>
                <w:szCs w:val="24"/>
                <w:lang w:eastAsia="fr-FR"/>
              </w:rPr>
              <w:t xml:space="preserve">, des traitements et soins médicaux.                                                                 </w:t>
            </w:r>
          </w:p>
          <w:p w:rsidR="00B27CC8" w:rsidRPr="0043547B" w:rsidRDefault="00FC52B6" w:rsidP="006E50EC">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La présente norme ne s'applique pas aux appareils </w:t>
            </w:r>
            <w:r w:rsidR="00B27CC8" w:rsidRPr="0043547B">
              <w:rPr>
                <w:rFonts w:eastAsia="Times New Roman" w:cstheme="minorHAnsi"/>
                <w:sz w:val="24"/>
                <w:szCs w:val="24"/>
                <w:lang w:eastAsia="fr-FR"/>
              </w:rPr>
              <w:t>électro médicaux</w:t>
            </w:r>
            <w:r w:rsidRPr="0043547B">
              <w:rPr>
                <w:rFonts w:eastAsia="Times New Roman" w:cstheme="minorHAnsi"/>
                <w:sz w:val="24"/>
                <w:szCs w:val="24"/>
                <w:lang w:eastAsia="fr-FR"/>
              </w:rPr>
              <w:t>, équipés d'une source de lumière, tels qu'ils sont définis dans la CEI 601-1, paragraphe 2.2.15.</w:t>
            </w:r>
          </w:p>
          <w:p w:rsidR="00B27CC8" w:rsidRPr="0051032F" w:rsidRDefault="00FC52B6" w:rsidP="006E50EC">
            <w:pPr>
              <w:spacing w:after="0" w:line="240" w:lineRule="auto"/>
              <w:jc w:val="both"/>
              <w:rPr>
                <w:rFonts w:eastAsia="Times New Roman" w:cstheme="minorHAnsi"/>
                <w:i/>
                <w:iCs/>
                <w:lang w:eastAsia="fr-FR"/>
              </w:rPr>
            </w:pPr>
            <w:r w:rsidRPr="0051032F">
              <w:rPr>
                <w:rFonts w:eastAsia="Times New Roman" w:cstheme="minorHAnsi"/>
                <w:b/>
                <w:bCs/>
                <w:i/>
                <w:iCs/>
                <w:lang w:eastAsia="fr-FR"/>
              </w:rPr>
              <w:t>Note 1</w:t>
            </w:r>
            <w:r w:rsidR="00B27CC8" w:rsidRPr="0051032F">
              <w:rPr>
                <w:rFonts w:eastAsia="Times New Roman" w:cstheme="minorHAnsi"/>
                <w:i/>
                <w:iCs/>
                <w:lang w:eastAsia="fr-FR"/>
              </w:rPr>
              <w:t> :</w:t>
            </w:r>
            <w:r w:rsidRPr="0051032F">
              <w:rPr>
                <w:rFonts w:eastAsia="Times New Roman" w:cstheme="minorHAnsi"/>
                <w:i/>
                <w:iCs/>
                <w:lang w:eastAsia="fr-FR"/>
              </w:rPr>
              <w:t xml:space="preserve"> Le paragraphe 2.2.15de la CEI 601 déclare : Appareil électrique, équipé au plus d'un moyen de </w:t>
            </w:r>
            <w:r w:rsidR="00B27CC8" w:rsidRPr="0051032F">
              <w:rPr>
                <w:rFonts w:eastAsia="Times New Roman" w:cstheme="minorHAnsi"/>
                <w:i/>
                <w:iCs/>
                <w:lang w:eastAsia="fr-FR"/>
              </w:rPr>
              <w:t>raccordement</w:t>
            </w:r>
            <w:r w:rsidRPr="0051032F">
              <w:rPr>
                <w:rFonts w:eastAsia="Times New Roman" w:cstheme="minorHAnsi"/>
                <w:i/>
                <w:iCs/>
                <w:lang w:eastAsia="fr-FR"/>
              </w:rPr>
              <w:t xml:space="preserve"> à un réseau d'alimentation donné, destiné au diagnostic, au traitement ou à la surveillance du patient sous contrôle médical, et qui entre en contact physique ou électrique avec le patient et/ou transfère de l'énergie vers ou à partir du patient et/ou détecte un transfert d'énergie vers ou à partir du patient.   La présente norme ne s'applique pas aux luminaires pour l'éclairage de secours ni </w:t>
            </w:r>
            <w:r w:rsidR="00B27CC8" w:rsidRPr="0051032F">
              <w:rPr>
                <w:rFonts w:eastAsia="Times New Roman" w:cstheme="minorHAnsi"/>
                <w:i/>
                <w:iCs/>
                <w:lang w:eastAsia="fr-FR"/>
              </w:rPr>
              <w:t>aux luminaires</w:t>
            </w:r>
            <w:r w:rsidRPr="0051032F">
              <w:rPr>
                <w:rFonts w:eastAsia="Times New Roman" w:cstheme="minorHAnsi"/>
                <w:i/>
                <w:iCs/>
                <w:lang w:eastAsia="fr-FR"/>
              </w:rPr>
              <w:t xml:space="preserve"> pour l'éclairage général dans les zones non cliniques, (par exemple les bureaux).</w:t>
            </w:r>
          </w:p>
          <w:p w:rsidR="00B27CC8" w:rsidRPr="0051032F" w:rsidRDefault="00FC52B6" w:rsidP="006E50EC">
            <w:pPr>
              <w:spacing w:after="0" w:line="240" w:lineRule="auto"/>
              <w:jc w:val="both"/>
              <w:rPr>
                <w:rFonts w:eastAsia="Times New Roman" w:cstheme="minorHAnsi"/>
                <w:i/>
                <w:iCs/>
                <w:lang w:eastAsia="fr-FR"/>
              </w:rPr>
            </w:pPr>
            <w:r w:rsidRPr="0051032F">
              <w:rPr>
                <w:rFonts w:eastAsia="Times New Roman" w:cstheme="minorHAnsi"/>
                <w:b/>
                <w:bCs/>
                <w:i/>
                <w:iCs/>
                <w:lang w:eastAsia="fr-FR"/>
              </w:rPr>
              <w:t>Note 2</w:t>
            </w:r>
            <w:r w:rsidRPr="0051032F">
              <w:rPr>
                <w:rFonts w:eastAsia="Times New Roman" w:cstheme="minorHAnsi"/>
                <w:i/>
                <w:iCs/>
                <w:lang w:eastAsia="fr-FR"/>
              </w:rPr>
              <w:t xml:space="preserve"> : Pour ces types de luminaires, il convient de faire référence aux autres sections de la CEI 598-2.           </w:t>
            </w:r>
          </w:p>
          <w:p w:rsidR="00FC52B6" w:rsidRPr="0043547B" w:rsidRDefault="00FC52B6" w:rsidP="006E50EC">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La présente norme ne s'applique pas aux parties de luminaires ou luminaires qui sont conçus pour être stérilisés par autoclave et luminaires pour tables d'opération,                       </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06.6.160</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top w:val="single" w:sz="18" w:space="0" w:color="auto"/>
              <w:left w:val="single" w:sz="4"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Appareillage à basse tension - Appareils de connexion de commande et de protection auto coordonnées (ACPA) </w:t>
            </w:r>
          </w:p>
        </w:tc>
      </w:tr>
      <w:tr w:rsidR="0043547B" w:rsidRPr="0043547B" w:rsidTr="00CB5DC0">
        <w:trPr>
          <w:trHeight w:val="559"/>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est applicable aux appareils de connexion de commande et de protection auto coordonnées désignés dans le texte par ACPA, dont les contacts principaux sont destinés à être reliés  à des  circuits dont la tension  assignée n'est pas supérieure  à  1000 V en courant alternatif  et l  500 V en courant continu.</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ACPA sont destinés à la commande et à la protection de circuits de distribution et d’appa</w:t>
            </w:r>
            <w:r w:rsidRPr="0043547B">
              <w:rPr>
                <w:rFonts w:eastAsia="Times New Roman" w:cstheme="minorHAnsi"/>
                <w:sz w:val="24"/>
                <w:szCs w:val="24"/>
                <w:lang w:eastAsia="fr-FR"/>
              </w:rPr>
              <w:softHyphen/>
              <w:t>reils d'utilisation. Les ACPA peuvent éventuellement assurer d'autres fonctions complémentaires telles que le fonctionnement.</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ne s'applique pas aux appareils pour utilisation spécifique tels que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Démarreurs associés avec leur dispositif de protection contre les courts-circuits en une unité composite, ou combinés dans une enveloppe spécifique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Démarreurs sous tension réduite (étoile triangle, par auto transformateur ...)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Démarreurs rotoriques à résistance ;</w:t>
            </w:r>
          </w:p>
          <w:p w:rsidR="00904E52" w:rsidRPr="0043547B" w:rsidRDefault="00904E52" w:rsidP="00F9793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Matériels conçus non seulement pour le déma</w:t>
            </w:r>
            <w:r w:rsidR="00F97932" w:rsidRPr="0043547B">
              <w:rPr>
                <w:rFonts w:eastAsia="Times New Roman" w:cstheme="minorHAnsi"/>
                <w:sz w:val="24"/>
                <w:szCs w:val="24"/>
                <w:lang w:eastAsia="fr-FR"/>
              </w:rPr>
              <w:t>rr</w:t>
            </w:r>
            <w:r w:rsidRPr="0043547B">
              <w:rPr>
                <w:rFonts w:eastAsia="Times New Roman" w:cstheme="minorHAnsi"/>
                <w:sz w:val="24"/>
                <w:szCs w:val="24"/>
                <w:lang w:eastAsia="fr-FR"/>
              </w:rPr>
              <w:t>age, mais aussi pour le réglage de vitesse.</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06.6.168</w:t>
            </w:r>
          </w:p>
        </w:tc>
      </w:tr>
      <w:tr w:rsidR="0043547B" w:rsidRPr="0043547B" w:rsidTr="00CB5DC0">
        <w:trPr>
          <w:trHeight w:val="338"/>
          <w:jc w:val="center"/>
        </w:trPr>
        <w:tc>
          <w:tcPr>
            <w:tcW w:w="1843"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top w:val="single" w:sz="18" w:space="0" w:color="auto"/>
              <w:left w:val="single" w:sz="4"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Appareils électrodomestiques - Coupe-circuit thermiques de sécurité </w:t>
            </w:r>
          </w:p>
        </w:tc>
      </w:tr>
      <w:tr w:rsidR="0043547B" w:rsidRPr="0043547B" w:rsidTr="00CB5DC0">
        <w:trPr>
          <w:trHeight w:val="983"/>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aux coupe-circuit thermiques de sécurité contre l'échauffement anormal des chauffe-eau, c'est-à-dire aux dispositifs électriques destinés à interrompre le circuit électrique lorsque le réservoir, ou l'eau qu'il contient, atteint une température très supérieure à celle du fonctionnement normal.</w:t>
            </w:r>
          </w:p>
          <w:p w:rsidR="00E2255F" w:rsidRPr="0043547B" w:rsidRDefault="00E2255F" w:rsidP="00E2255F">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coupe-circuit thermiques de sécurité sont à réenclenchement non automatique, c'est-à-dire que le rétablissement du courant nécessite une intervention que l'usager ne peut pas faire lui-même, cette intervention étant soit une manœuvre, soit le remplacement de tout ou partie de l'appareil.</w:t>
            </w:r>
          </w:p>
          <w:p w:rsidR="00904E52" w:rsidRPr="0043547B" w:rsidRDefault="00E2255F" w:rsidP="00E2255F">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Un coupe-circuit thermique peut être disposé dans le même boîtier qu'un thermostat, mais le coupe-circuit thermique et le thermostat doivent posséder chacun leurs propres mécanismes, organes de coupure et éléments sensibles.</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06.5.023</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top w:val="single" w:sz="18" w:space="0" w:color="auto"/>
              <w:left w:val="single" w:sz="4"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Convertisseurs à courant continu directs à semi-conducteurs (hacheurs)  </w:t>
            </w:r>
          </w:p>
        </w:tc>
      </w:tr>
      <w:tr w:rsidR="0043547B" w:rsidRPr="0043547B" w:rsidTr="00CB5DC0">
        <w:trPr>
          <w:trHeight w:val="2481"/>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vAlign w:val="bottom"/>
          </w:tcPr>
          <w:p w:rsidR="005B070B" w:rsidRDefault="00904E52" w:rsidP="005B070B">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à tous les types de convertisseurs à courant continu directs à semi-conducteurs, c'est-à-dire aux convertisseurs continu-continu sans liaison à courant alternatif.</w:t>
            </w:r>
          </w:p>
          <w:p w:rsidR="00904E52" w:rsidRPr="0043547B" w:rsidRDefault="00904E52" w:rsidP="005B070B">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constitue la troisième partie d'une série de publications traitant des convertisseurs à semi-conducteurs. Les prescriptions de la Publication 146 de la CEI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Convertisseurs à semi-conducteurs, sont applicables dans la mesure où elles ne sont pas en contradiction avec cette norme.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Dans le cas de certains matériels spéciaux, certaines normes complémentaires peuvent être applicables.</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06.7.112</w:t>
            </w:r>
          </w:p>
        </w:tc>
      </w:tr>
      <w:tr w:rsidR="0043547B" w:rsidRPr="0043547B" w:rsidTr="00CB5DC0">
        <w:trPr>
          <w:trHeight w:val="294"/>
          <w:jc w:val="center"/>
        </w:trPr>
        <w:tc>
          <w:tcPr>
            <w:tcW w:w="1843"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top w:val="single" w:sz="18" w:space="0" w:color="auto"/>
              <w:left w:val="single" w:sz="4"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Batteries d’accumulateurs au nickel-cadmium – Type E1 et type E2 </w:t>
            </w:r>
          </w:p>
        </w:tc>
      </w:tr>
      <w:tr w:rsidR="0043547B" w:rsidRPr="0043547B" w:rsidTr="00CB5DC0">
        <w:trPr>
          <w:trHeight w:val="910"/>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définit les dimensions, les prises d'aération ainsi que les détails de fixation et la désignation des batteries d'accumulateurs type El et type E2 montées à bord des aéronefs.</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06.6.117</w:t>
            </w:r>
          </w:p>
        </w:tc>
      </w:tr>
      <w:tr w:rsidR="0043547B" w:rsidRPr="0043547B" w:rsidTr="00CB5DC0">
        <w:trPr>
          <w:trHeight w:val="600"/>
          <w:jc w:val="center"/>
        </w:trPr>
        <w:tc>
          <w:tcPr>
            <w:tcW w:w="1843"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top w:val="single" w:sz="18" w:space="0" w:color="auto"/>
              <w:left w:val="single" w:sz="4"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Fusibles basse tension - Règles supplémentaires pour les fusibles destinés à être utilisés par des personnes habilités (fusibles pour usages essentiellement industriels) – Sections I à VI : Exemples de fusibles normalisés </w:t>
            </w:r>
          </w:p>
        </w:tc>
      </w:tr>
      <w:tr w:rsidR="0043547B" w:rsidRPr="0043547B" w:rsidTr="00CB5DC0">
        <w:trPr>
          <w:trHeight w:val="2218"/>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règles supplémentaires suivantes s'appliquent aux fusibles avec éléments de remplacement à couteaux destinés à être remplacés à l'aide d'un dispositif, tel qu'une poignée amovible de manipulation, satisfaisant aux normes dimensionnelles. Ces fusibles ont des courants assignés inférieurs ou égaux à 1 250 A et des tensions assignées inférieures ou égales à AC 690 V ou à DC 440 V.</w:t>
            </w:r>
          </w:p>
          <w:p w:rsidR="00904E52" w:rsidRPr="0043547B" w:rsidRDefault="00904E52" w:rsidP="00F9793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prescriptions supplémentaires aux fusibles avec éléments de remplacement ayant des pattes d’accrochage en matériau isolant ou des pattes d’accrochage métalliques fixées dans du matériau isolant sont également définies ci-après.</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06.6.213</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right w:val="single" w:sz="18" w:space="0" w:color="auto"/>
            </w:tcBorders>
            <w:shd w:val="clear" w:color="auto" w:fill="FFFF99"/>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60269-3 - A1</w:t>
            </w:r>
          </w:p>
        </w:tc>
      </w:tr>
      <w:tr w:rsidR="0043547B" w:rsidRPr="0043547B" w:rsidTr="00CB5DC0">
        <w:trPr>
          <w:trHeight w:val="600"/>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Intitulé :</w:t>
            </w:r>
          </w:p>
        </w:tc>
        <w:tc>
          <w:tcPr>
            <w:tcW w:w="8080" w:type="dxa"/>
            <w:tcBorders>
              <w:left w:val="single" w:sz="4"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Fusibles basse tension - Règles supplémentaires pour les fusibles destinés à être utilisés par les personnes non qualifiées (fusibles pour usages essentiellement domestiques et analogues) </w:t>
            </w:r>
          </w:p>
        </w:tc>
      </w:tr>
      <w:tr w:rsidR="0043547B" w:rsidRPr="0043547B" w:rsidTr="00CB5DC0">
        <w:trPr>
          <w:trHeight w:val="2623"/>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Ces règles sont applicables aux fusibles « gG » destinés à être utilisés par des personnes non qualifiées dans des applications domestiques et analogues de courants assignés inférieurs ou égaux à 100 A et de tensions assignées inférieures ou égales à 500 V en courant alternatif. Des règles supplémentaires spécifiques sont énoncées dans la NM 06.6.255 : Fusibles basse tension, Règles supplémentaires pour les fusibles destinés à être utilisés par des personnes non qualifiées. Exemples de fusibles normalisés destinés à être utilisés par des personnes non qualifiées (en préparation) pour les systèmes de fusibles décrits dans cette partie et pour les éléments de remplacement destinés à être utilisés principalement dans des fiches de prises de courant.</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06.6.255</w:t>
            </w:r>
          </w:p>
        </w:tc>
      </w:tr>
      <w:tr w:rsidR="0043547B" w:rsidRPr="0043547B" w:rsidTr="00CB5DC0">
        <w:trPr>
          <w:trHeight w:val="600"/>
          <w:jc w:val="center"/>
        </w:trPr>
        <w:tc>
          <w:tcPr>
            <w:tcW w:w="1843"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top w:val="single" w:sz="18" w:space="0" w:color="auto"/>
              <w:left w:val="single" w:sz="4"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Fusibles basse tension - Règles supplémentaires pour les fusibles destinés à être utilisés par des personnes non qualifiées (fusibles pour usages essentiellement domestiques et analogues) - Sections I à IV</w:t>
            </w:r>
          </w:p>
        </w:tc>
      </w:tr>
      <w:tr w:rsidR="0043547B" w:rsidRPr="0043547B" w:rsidTr="00E7624B">
        <w:trPr>
          <w:trHeight w:val="1241"/>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vAlign w:val="bottom"/>
          </w:tcPr>
          <w:p w:rsidR="00EA697D" w:rsidRPr="0043547B" w:rsidRDefault="00904E52" w:rsidP="00E7624B">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règles supplémentaires s'appliquent aux fusibles à éléments de remplacement de dimensions conformes à celles indiquées sur la figure 10. Leur courant assigné ne dépasse pas 63 A et leurs tensions assignées sont 230V ou 400 V en courant alternatif.</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06.4.069</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right w:val="single" w:sz="18" w:space="0" w:color="auto"/>
            </w:tcBorders>
            <w:shd w:val="clear" w:color="auto" w:fill="FFFF99"/>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60255-6</w:t>
            </w:r>
          </w:p>
        </w:tc>
      </w:tr>
      <w:tr w:rsidR="0043547B" w:rsidRPr="0043547B" w:rsidTr="00CB5DC0">
        <w:trPr>
          <w:trHeight w:val="315"/>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left w:val="single" w:sz="4"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Relais électriques - Relais de mesure et dispositifs de protection </w:t>
            </w:r>
          </w:p>
        </w:tc>
      </w:tr>
      <w:tr w:rsidR="0043547B" w:rsidRPr="0043547B" w:rsidTr="00CB5DC0">
        <w:trPr>
          <w:trHeight w:val="1977"/>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tcPr>
          <w:p w:rsidR="005B070B" w:rsidRDefault="00904E52" w:rsidP="005B070B">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définit les spécifications relatives aux performances générales de tous les relais électriques de mesure et dispositifs de protection utilisés dans le domaine électrotechnique.</w:t>
            </w:r>
          </w:p>
          <w:p w:rsidR="00904E52" w:rsidRPr="0043547B" w:rsidRDefault="00904E52" w:rsidP="005B070B">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exclut les relais utilisés dans les domaines suivants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la téléphonie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la télégraphie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la signalisation et le blocage des voies ferrées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l'appareillage couvert par les Publications 60158, 60292 et 60337 de la CEI.</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Pour des applications particulières (marine, aéronautique, espace, atmosphères explosives, calculateurs, etc.), elle peut être complétée par des recommandations particulières.</w:t>
            </w:r>
            <w:r w:rsidRPr="0043547B">
              <w:rPr>
                <w:rFonts w:eastAsia="Times New Roman" w:cstheme="minorHAnsi"/>
                <w:sz w:val="24"/>
                <w:szCs w:val="24"/>
                <w:lang w:eastAsia="fr-FR"/>
              </w:rPr>
              <w:br/>
              <w:t>Les spécifications ne sont applicables qu'à des relais à l'état neuf. Tous les essais de cette norme sont, sauf indication contraire, des essais de type.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a pour objet de fixer :</w:t>
            </w:r>
          </w:p>
          <w:p w:rsidR="00904E52" w:rsidRPr="0043547B" w:rsidRDefault="00904E52" w:rsidP="0051032F">
            <w:pPr>
              <w:pStyle w:val="Paragraphedeliste"/>
              <w:numPr>
                <w:ilvl w:val="0"/>
                <w:numId w:val="13"/>
              </w:numPr>
              <w:spacing w:after="0" w:line="240" w:lineRule="auto"/>
              <w:ind w:left="332"/>
              <w:jc w:val="both"/>
              <w:rPr>
                <w:rFonts w:eastAsia="Times New Roman" w:cstheme="minorHAnsi"/>
                <w:sz w:val="24"/>
                <w:szCs w:val="24"/>
                <w:lang w:eastAsia="fr-FR"/>
              </w:rPr>
            </w:pPr>
            <w:r w:rsidRPr="0043547B">
              <w:rPr>
                <w:rFonts w:eastAsia="Times New Roman" w:cstheme="minorHAnsi"/>
                <w:sz w:val="24"/>
                <w:szCs w:val="24"/>
                <w:lang w:eastAsia="fr-FR"/>
              </w:rPr>
              <w:t>la définition des termes employés ;</w:t>
            </w:r>
          </w:p>
          <w:p w:rsidR="00904E52" w:rsidRPr="0043547B" w:rsidRDefault="00904E52" w:rsidP="0051032F">
            <w:pPr>
              <w:pStyle w:val="Paragraphedeliste"/>
              <w:numPr>
                <w:ilvl w:val="0"/>
                <w:numId w:val="13"/>
              </w:numPr>
              <w:spacing w:after="0" w:line="240" w:lineRule="auto"/>
              <w:ind w:left="332"/>
              <w:jc w:val="both"/>
              <w:rPr>
                <w:rFonts w:eastAsia="Times New Roman" w:cstheme="minorHAnsi"/>
                <w:sz w:val="24"/>
                <w:szCs w:val="24"/>
                <w:lang w:eastAsia="fr-FR"/>
              </w:rPr>
            </w:pPr>
            <w:r w:rsidRPr="0043547B">
              <w:rPr>
                <w:rFonts w:eastAsia="Times New Roman" w:cstheme="minorHAnsi"/>
                <w:sz w:val="24"/>
                <w:szCs w:val="24"/>
                <w:lang w:eastAsia="fr-FR"/>
              </w:rPr>
              <w:t>les valeurs nominales relatives aux grandeurs d'alimentation et d'influence ;</w:t>
            </w:r>
          </w:p>
          <w:p w:rsidR="00904E52" w:rsidRPr="0043547B" w:rsidRDefault="00904E52" w:rsidP="0051032F">
            <w:pPr>
              <w:pStyle w:val="Paragraphedeliste"/>
              <w:numPr>
                <w:ilvl w:val="0"/>
                <w:numId w:val="13"/>
              </w:numPr>
              <w:spacing w:after="0" w:line="240" w:lineRule="auto"/>
              <w:ind w:left="332"/>
              <w:jc w:val="both"/>
              <w:rPr>
                <w:rFonts w:eastAsia="Times New Roman" w:cstheme="minorHAnsi"/>
                <w:sz w:val="24"/>
                <w:szCs w:val="24"/>
                <w:lang w:eastAsia="fr-FR"/>
              </w:rPr>
            </w:pPr>
            <w:r w:rsidRPr="0043547B">
              <w:rPr>
                <w:rFonts w:eastAsia="Times New Roman" w:cstheme="minorHAnsi"/>
                <w:sz w:val="24"/>
                <w:szCs w:val="24"/>
                <w:lang w:eastAsia="fr-FR"/>
              </w:rPr>
              <w:t>les spécifications relatives à la précision, aux échauffements et à la tenue mécanique ;</w:t>
            </w:r>
          </w:p>
          <w:p w:rsidR="00904E52" w:rsidRPr="0043547B" w:rsidRDefault="00904E52" w:rsidP="0051032F">
            <w:pPr>
              <w:pStyle w:val="Paragraphedeliste"/>
              <w:numPr>
                <w:ilvl w:val="0"/>
                <w:numId w:val="13"/>
              </w:numPr>
              <w:spacing w:after="0" w:line="240" w:lineRule="auto"/>
              <w:ind w:left="332"/>
              <w:jc w:val="both"/>
              <w:rPr>
                <w:rFonts w:eastAsia="Times New Roman" w:cstheme="minorHAnsi"/>
                <w:sz w:val="24"/>
                <w:szCs w:val="24"/>
                <w:lang w:eastAsia="fr-FR"/>
              </w:rPr>
            </w:pPr>
            <w:r w:rsidRPr="0043547B">
              <w:rPr>
                <w:rFonts w:eastAsia="Times New Roman" w:cstheme="minorHAnsi"/>
                <w:sz w:val="24"/>
                <w:szCs w:val="24"/>
                <w:lang w:eastAsia="fr-FR"/>
              </w:rPr>
              <w:t>les méthodes d'essais ;</w:t>
            </w:r>
          </w:p>
          <w:p w:rsidR="00EA697D" w:rsidRPr="0043547B" w:rsidRDefault="00904E52" w:rsidP="0051032F">
            <w:pPr>
              <w:pStyle w:val="Paragraphedeliste"/>
              <w:numPr>
                <w:ilvl w:val="0"/>
                <w:numId w:val="13"/>
              </w:numPr>
              <w:spacing w:after="0" w:line="240" w:lineRule="auto"/>
              <w:ind w:left="332"/>
              <w:jc w:val="both"/>
              <w:rPr>
                <w:rFonts w:eastAsia="Times New Roman" w:cstheme="minorHAnsi"/>
                <w:sz w:val="24"/>
                <w:szCs w:val="24"/>
                <w:lang w:eastAsia="fr-FR"/>
              </w:rPr>
            </w:pPr>
            <w:r w:rsidRPr="0043547B">
              <w:rPr>
                <w:rFonts w:eastAsia="Times New Roman" w:cstheme="minorHAnsi"/>
                <w:sz w:val="24"/>
                <w:szCs w:val="24"/>
                <w:lang w:eastAsia="fr-FR"/>
              </w:rPr>
              <w:t>les marques et indications.</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142412" w:rsidRPr="0043547B" w:rsidRDefault="00142412" w:rsidP="0051032F">
            <w:pPr>
              <w:spacing w:after="0" w:line="240" w:lineRule="auto"/>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vAlign w:val="bottom"/>
          </w:tcPr>
          <w:p w:rsidR="00142412" w:rsidRPr="0043547B" w:rsidRDefault="00142412" w:rsidP="0051032F">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IEC 60238</w:t>
            </w:r>
          </w:p>
        </w:tc>
      </w:tr>
      <w:tr w:rsidR="0043547B" w:rsidRPr="0043547B" w:rsidTr="00CB5DC0">
        <w:trPr>
          <w:trHeight w:val="373"/>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142412" w:rsidRPr="0043547B" w:rsidRDefault="00142412" w:rsidP="0051032F">
            <w:pPr>
              <w:spacing w:after="0" w:line="240" w:lineRule="auto"/>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right w:val="single" w:sz="18" w:space="0" w:color="auto"/>
            </w:tcBorders>
            <w:shd w:val="clear" w:color="auto" w:fill="FFFF99"/>
            <w:vAlign w:val="center"/>
          </w:tcPr>
          <w:p w:rsidR="00142412" w:rsidRPr="0043547B" w:rsidRDefault="00142412" w:rsidP="0051032F">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IEC 60238</w:t>
            </w:r>
          </w:p>
        </w:tc>
      </w:tr>
      <w:tr w:rsidR="0043547B" w:rsidRPr="0043547B" w:rsidTr="00CB5DC0">
        <w:trPr>
          <w:trHeight w:val="315"/>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51032F">
            <w:pPr>
              <w:spacing w:after="0" w:line="240" w:lineRule="auto"/>
              <w:jc w:val="center"/>
              <w:rPr>
                <w:rFonts w:cstheme="minorHAnsi"/>
                <w:b/>
                <w:bCs/>
                <w:sz w:val="24"/>
                <w:szCs w:val="24"/>
              </w:rPr>
            </w:pPr>
            <w:r w:rsidRPr="0043547B">
              <w:rPr>
                <w:rFonts w:cstheme="minorHAnsi"/>
                <w:b/>
                <w:bCs/>
                <w:sz w:val="24"/>
                <w:szCs w:val="24"/>
              </w:rPr>
              <w:t>Intitulé :</w:t>
            </w:r>
          </w:p>
        </w:tc>
        <w:tc>
          <w:tcPr>
            <w:tcW w:w="8080" w:type="dxa"/>
            <w:tcBorders>
              <w:left w:val="single" w:sz="4" w:space="0" w:color="auto"/>
              <w:right w:val="single" w:sz="18" w:space="0" w:color="auto"/>
            </w:tcBorders>
            <w:vAlign w:val="bottom"/>
          </w:tcPr>
          <w:p w:rsidR="00904E52" w:rsidRPr="0043547B" w:rsidRDefault="00904E52" w:rsidP="0051032F">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Douilles à vis Edison pour lampes </w:t>
            </w:r>
            <w:r w:rsidR="00EE5C70" w:rsidRPr="0043547B">
              <w:rPr>
                <w:rFonts w:cstheme="minorHAnsi"/>
                <w:noProof/>
                <w:sz w:val="24"/>
                <w:szCs w:val="24"/>
                <w:lang w:eastAsia="fr-FR"/>
              </w:rPr>
              <w:drawing>
                <wp:inline distT="0" distB="0" distL="0" distR="0" wp14:anchorId="571400D0" wp14:editId="357011B1">
                  <wp:extent cx="183515" cy="158750"/>
                  <wp:effectExtent l="0" t="0" r="6985" b="0"/>
                  <wp:docPr id="26" name="Image 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8" cstate="print"/>
                          <a:srcRect/>
                          <a:stretch>
                            <a:fillRect/>
                          </a:stretch>
                        </pic:blipFill>
                        <pic:spPr bwMode="auto">
                          <a:xfrm>
                            <a:off x="0" y="0"/>
                            <a:ext cx="185776" cy="160706"/>
                          </a:xfrm>
                          <a:prstGeom prst="rect">
                            <a:avLst/>
                          </a:prstGeom>
                          <a:noFill/>
                          <a:ln w="9525">
                            <a:noFill/>
                            <a:miter lim="800000"/>
                            <a:headEnd/>
                            <a:tailEnd/>
                          </a:ln>
                        </pic:spPr>
                      </pic:pic>
                    </a:graphicData>
                  </a:graphic>
                </wp:inline>
              </w:drawing>
            </w:r>
          </w:p>
        </w:tc>
      </w:tr>
      <w:tr w:rsidR="0043547B" w:rsidRPr="0043547B" w:rsidTr="00CB5DC0">
        <w:trPr>
          <w:trHeight w:val="1270"/>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51032F">
            <w:pPr>
              <w:spacing w:after="0" w:line="240" w:lineRule="auto"/>
              <w:jc w:val="center"/>
              <w:rPr>
                <w:rFonts w:cstheme="minorHAnsi"/>
                <w:b/>
                <w:bCs/>
                <w:sz w:val="24"/>
                <w:szCs w:val="24"/>
              </w:rPr>
            </w:pPr>
            <w:r w:rsidRPr="0043547B">
              <w:rPr>
                <w:rFonts w:cstheme="minorHAnsi"/>
                <w:b/>
                <w:bCs/>
                <w:sz w:val="24"/>
                <w:szCs w:val="24"/>
              </w:rPr>
              <w:lastRenderedPageBreak/>
              <w:t>Domaine d’application :</w:t>
            </w:r>
          </w:p>
        </w:tc>
        <w:tc>
          <w:tcPr>
            <w:tcW w:w="8080" w:type="dxa"/>
            <w:tcBorders>
              <w:left w:val="single" w:sz="4" w:space="0" w:color="auto"/>
              <w:bottom w:val="single" w:sz="18" w:space="0" w:color="auto"/>
              <w:right w:val="single" w:sz="18" w:space="0" w:color="auto"/>
            </w:tcBorders>
            <w:vAlign w:val="bottom"/>
          </w:tcPr>
          <w:p w:rsidR="005B070B" w:rsidRDefault="00142412" w:rsidP="0051032F">
            <w:pPr>
              <w:spacing w:after="0" w:line="240" w:lineRule="auto"/>
              <w:jc w:val="both"/>
              <w:rPr>
                <w:rFonts w:cstheme="minorHAnsi"/>
                <w:sz w:val="24"/>
                <w:szCs w:val="24"/>
              </w:rPr>
            </w:pPr>
            <w:r w:rsidRPr="0043547B">
              <w:rPr>
                <w:rFonts w:cstheme="minorHAnsi"/>
                <w:sz w:val="24"/>
                <w:szCs w:val="24"/>
              </w:rPr>
              <w:t>La présente Norme internationale s'applique aux douilles à vis Edison E14, E27 et E40 destinées uniquement au raccordement des lampes et des semi -luminaires* à l'alimentation.</w:t>
            </w:r>
          </w:p>
          <w:p w:rsidR="005B070B" w:rsidRDefault="00142412" w:rsidP="0051032F">
            <w:pPr>
              <w:spacing w:after="0" w:line="240" w:lineRule="auto"/>
              <w:jc w:val="both"/>
              <w:rPr>
                <w:rFonts w:cstheme="minorHAnsi"/>
                <w:sz w:val="24"/>
                <w:szCs w:val="24"/>
              </w:rPr>
            </w:pPr>
            <w:r w:rsidRPr="0043547B">
              <w:rPr>
                <w:rFonts w:cstheme="minorHAnsi"/>
                <w:sz w:val="24"/>
                <w:szCs w:val="24"/>
              </w:rPr>
              <w:t>Elle s'applique aussi aux douilles à interrupteur destinées exclusivement aux circuits de courant alternatif dont la tension de service ne dépasse pas 250 V (valeur efficace).</w:t>
            </w:r>
          </w:p>
          <w:p w:rsidR="00F03379" w:rsidRPr="0043547B" w:rsidRDefault="00142412" w:rsidP="0051032F">
            <w:pPr>
              <w:spacing w:after="0" w:line="240" w:lineRule="auto"/>
              <w:jc w:val="both"/>
              <w:rPr>
                <w:rFonts w:cstheme="minorHAnsi"/>
                <w:sz w:val="24"/>
                <w:szCs w:val="24"/>
              </w:rPr>
            </w:pPr>
            <w:r w:rsidRPr="0043547B">
              <w:rPr>
                <w:rFonts w:cstheme="minorHAnsi"/>
                <w:sz w:val="24"/>
                <w:szCs w:val="24"/>
              </w:rPr>
              <w:t>La présente norme est également applicable aux douilles à vis Edison E5 destinées à être raccordées au réseau d'alimentation de lampes montées en série et dont la tension de fonctionnement ne dépasse pas 25 V, pour utilisation à l'intérieur, ainsi qu'aux douilles à vis Edison E10 destinées au raccordement au réseau d'alimentation de lampes montées en série et dont la tension de fonctionnement ne dépasse pas 60 V, pour utilisation à l'intérieur ou à l'extérieur. Elle s'applique également aux douilles E10 à incorporer, pour le raccordement de lampes individuelles à l'alimentation. Ces douilles ne sont pas destinées à la vente au détail.</w:t>
            </w:r>
          </w:p>
          <w:p w:rsidR="00F03379" w:rsidRPr="0043547B" w:rsidRDefault="00142412" w:rsidP="0051032F">
            <w:pPr>
              <w:spacing w:after="0" w:line="240" w:lineRule="auto"/>
              <w:jc w:val="both"/>
              <w:rPr>
                <w:rFonts w:cstheme="minorHAnsi"/>
                <w:sz w:val="24"/>
                <w:szCs w:val="24"/>
              </w:rPr>
            </w:pPr>
            <w:r w:rsidRPr="0043547B">
              <w:rPr>
                <w:rFonts w:cstheme="minorHAnsi"/>
                <w:sz w:val="24"/>
                <w:szCs w:val="24"/>
              </w:rPr>
              <w:t>Pour autant que la présente norme soit a</w:t>
            </w:r>
            <w:r w:rsidR="005B070B">
              <w:rPr>
                <w:rFonts w:cstheme="minorHAnsi"/>
                <w:sz w:val="24"/>
                <w:szCs w:val="24"/>
              </w:rPr>
              <w:t>ppl</w:t>
            </w:r>
            <w:r w:rsidRPr="0043547B">
              <w:rPr>
                <w:rFonts w:cstheme="minorHAnsi"/>
                <w:sz w:val="24"/>
                <w:szCs w:val="24"/>
              </w:rPr>
              <w:t>icable, elle couvre également d'autres douilles que celles à vis Edison destinées au raccordement à l'alimentation de lampes branchées en série.</w:t>
            </w:r>
          </w:p>
          <w:p w:rsidR="00F03379" w:rsidRPr="0043547B" w:rsidRDefault="00142412" w:rsidP="0051032F">
            <w:pPr>
              <w:spacing w:after="0" w:line="240" w:lineRule="auto"/>
              <w:jc w:val="both"/>
              <w:rPr>
                <w:rFonts w:cstheme="minorHAnsi"/>
                <w:sz w:val="24"/>
                <w:szCs w:val="24"/>
              </w:rPr>
            </w:pPr>
            <w:r w:rsidRPr="0043547B">
              <w:rPr>
                <w:rFonts w:cstheme="minorHAnsi"/>
                <w:sz w:val="24"/>
                <w:szCs w:val="24"/>
              </w:rPr>
              <w:t>NOTE Ce type de douille est employé par exemple dans les guirlandes lumineuses pour arbres de Noël.</w:t>
            </w:r>
          </w:p>
          <w:p w:rsidR="00F03379" w:rsidRPr="0043547B" w:rsidRDefault="00142412" w:rsidP="0051032F">
            <w:pPr>
              <w:spacing w:after="0" w:line="240" w:lineRule="auto"/>
              <w:jc w:val="both"/>
              <w:rPr>
                <w:rFonts w:cstheme="minorHAnsi"/>
                <w:sz w:val="24"/>
                <w:szCs w:val="24"/>
              </w:rPr>
            </w:pPr>
            <w:r w:rsidRPr="0043547B">
              <w:rPr>
                <w:rFonts w:cstheme="minorHAnsi"/>
                <w:sz w:val="24"/>
                <w:szCs w:val="24"/>
              </w:rPr>
              <w:t>Pour autant que l’on puisse raisonnablement l’appliquer, cette norme couvre également les adaptateurs.</w:t>
            </w:r>
          </w:p>
          <w:p w:rsidR="00F03379" w:rsidRPr="0043547B" w:rsidRDefault="00142412" w:rsidP="0051032F">
            <w:pPr>
              <w:spacing w:after="0" w:line="240" w:lineRule="auto"/>
              <w:jc w:val="both"/>
              <w:rPr>
                <w:rFonts w:cstheme="minorHAnsi"/>
                <w:sz w:val="24"/>
                <w:szCs w:val="24"/>
              </w:rPr>
            </w:pPr>
            <w:r w:rsidRPr="0043547B">
              <w:rPr>
                <w:rFonts w:cstheme="minorHAnsi"/>
                <w:sz w:val="24"/>
                <w:szCs w:val="24"/>
              </w:rPr>
              <w:t>La présente norme couvre aussi les douilles totalement ou partiellement intégrées au luminaire ou prévues pour être montées dans les appareils. Elle ne couvre que les prescriptions relatives à la douille. Pour toutes les autres prescriptions telles que la protection contre les chocs électriques dans la zone des bornes ou du culot de la lampe, les prescriptions de la norme de l’appareil concerné doivent être respectées et les essais réalisés après incorporation dans l’appareil approprié, lorsque cet appareil est essayé selon sa propre norme. De telles douilles ainsi que les douilles pourvues d’un écran extérieur enclenchable, destinées aux fabricants de luminaires exclusivement, ne sont pas destinées à la vente au détail.</w:t>
            </w:r>
          </w:p>
          <w:p w:rsidR="00F03379" w:rsidRPr="0043547B" w:rsidRDefault="00142412" w:rsidP="0051032F">
            <w:pPr>
              <w:spacing w:after="0" w:line="240" w:lineRule="auto"/>
              <w:jc w:val="both"/>
              <w:rPr>
                <w:rFonts w:cstheme="minorHAnsi"/>
                <w:sz w:val="24"/>
                <w:szCs w:val="24"/>
              </w:rPr>
            </w:pPr>
            <w:r w:rsidRPr="0043547B">
              <w:rPr>
                <w:rFonts w:cstheme="minorHAnsi"/>
                <w:sz w:val="24"/>
                <w:szCs w:val="24"/>
              </w:rPr>
              <w:t>La présente norme s'applique aux douilles utilisées à l'intérieur ou à l'extérieur de bâtiments et destinées aux installations d'éclairage domestique ou industriel. Elle s'applique également aux douilles-bougies. Des constructions spéciales peuvent être exigées dans des endroits où règnent des conditions particulières, comme dans le cas de l'éclairage public, à bord des navires, dans les véhicules et dans les locaux à atmosphère dangereuse présentant, par exemple, des risques d'explosion.</w:t>
            </w:r>
          </w:p>
          <w:p w:rsidR="00F03379" w:rsidRPr="0051032F" w:rsidRDefault="00142412" w:rsidP="0051032F">
            <w:pPr>
              <w:spacing w:after="0" w:line="240" w:lineRule="auto"/>
              <w:jc w:val="both"/>
              <w:rPr>
                <w:rFonts w:cstheme="minorHAnsi"/>
                <w:i/>
                <w:iCs/>
              </w:rPr>
            </w:pPr>
            <w:r w:rsidRPr="0051032F">
              <w:rPr>
                <w:rFonts w:cstheme="minorHAnsi"/>
                <w:b/>
                <w:bCs/>
                <w:i/>
                <w:iCs/>
              </w:rPr>
              <w:t>NOTE 1</w:t>
            </w:r>
            <w:r w:rsidRPr="0051032F">
              <w:rPr>
                <w:rFonts w:cstheme="minorHAnsi"/>
                <w:i/>
                <w:iCs/>
              </w:rPr>
              <w:t xml:space="preserve"> </w:t>
            </w:r>
            <w:r w:rsidR="00F03379" w:rsidRPr="0051032F">
              <w:rPr>
                <w:rFonts w:cstheme="minorHAnsi"/>
                <w:i/>
                <w:iCs/>
              </w:rPr>
              <w:t xml:space="preserve">- </w:t>
            </w:r>
            <w:r w:rsidRPr="0051032F">
              <w:rPr>
                <w:rFonts w:cstheme="minorHAnsi"/>
                <w:i/>
                <w:iCs/>
              </w:rPr>
              <w:t>La présente norme n'est pas applicable aux douilles E26d pour lampes à trois puissances.</w:t>
            </w:r>
            <w:r w:rsidRPr="0051032F">
              <w:rPr>
                <w:rFonts w:cstheme="minorHAnsi"/>
                <w:i/>
                <w:iCs/>
              </w:rPr>
              <w:br/>
            </w:r>
            <w:r w:rsidRPr="0051032F">
              <w:rPr>
                <w:rFonts w:cstheme="minorHAnsi"/>
                <w:b/>
                <w:bCs/>
                <w:i/>
                <w:iCs/>
              </w:rPr>
              <w:t>NOTE 2</w:t>
            </w:r>
            <w:r w:rsidRPr="0051032F">
              <w:rPr>
                <w:rFonts w:cstheme="minorHAnsi"/>
                <w:i/>
                <w:iCs/>
              </w:rPr>
              <w:t xml:space="preserve"> </w:t>
            </w:r>
            <w:r w:rsidR="00F03379" w:rsidRPr="0051032F">
              <w:rPr>
                <w:rFonts w:cstheme="minorHAnsi"/>
                <w:i/>
                <w:iCs/>
              </w:rPr>
              <w:t xml:space="preserve">- </w:t>
            </w:r>
            <w:r w:rsidRPr="0051032F">
              <w:rPr>
                <w:rFonts w:cstheme="minorHAnsi"/>
                <w:i/>
                <w:iCs/>
              </w:rPr>
              <w:t>La présente norme est basée sur les données suivantes, relatives aux lampes pour éclairage général</w:t>
            </w:r>
          </w:p>
          <w:p w:rsidR="005B070B" w:rsidRPr="0051032F" w:rsidRDefault="00142412" w:rsidP="0051032F">
            <w:pPr>
              <w:spacing w:after="0" w:line="240" w:lineRule="auto"/>
              <w:jc w:val="both"/>
              <w:rPr>
                <w:rFonts w:cstheme="minorHAnsi"/>
                <w:i/>
                <w:iCs/>
              </w:rPr>
            </w:pPr>
            <w:r w:rsidRPr="0051032F">
              <w:rPr>
                <w:rFonts w:cstheme="minorHAnsi"/>
                <w:i/>
                <w:iCs/>
              </w:rPr>
              <w:t>– les culots E14 sont utilisés pour des lampes absorbant un courant ne dépassant pas 2 A;</w:t>
            </w:r>
          </w:p>
          <w:p w:rsidR="005B070B" w:rsidRPr="0051032F" w:rsidRDefault="00142412" w:rsidP="0051032F">
            <w:pPr>
              <w:spacing w:after="0" w:line="240" w:lineRule="auto"/>
              <w:jc w:val="both"/>
              <w:rPr>
                <w:rFonts w:cstheme="minorHAnsi"/>
                <w:i/>
                <w:iCs/>
              </w:rPr>
            </w:pPr>
            <w:r w:rsidRPr="0051032F">
              <w:rPr>
                <w:rFonts w:cstheme="minorHAnsi"/>
                <w:i/>
                <w:iCs/>
              </w:rPr>
              <w:t>– les culots E27 sont utilisés pour des lampes absorbant un courant ne dépassant pas 4 A;</w:t>
            </w:r>
          </w:p>
          <w:p w:rsidR="005B070B" w:rsidRPr="0051032F" w:rsidRDefault="00142412" w:rsidP="0051032F">
            <w:pPr>
              <w:spacing w:after="0" w:line="240" w:lineRule="auto"/>
              <w:jc w:val="both"/>
              <w:rPr>
                <w:rFonts w:cstheme="minorHAnsi"/>
                <w:i/>
                <w:iCs/>
              </w:rPr>
            </w:pPr>
            <w:r w:rsidRPr="0051032F">
              <w:rPr>
                <w:rFonts w:cstheme="minorHAnsi"/>
                <w:i/>
                <w:iCs/>
              </w:rPr>
              <w:t>– les culots E40 sont utilisés pour des lampes absorbant un courant ne dépassant pas 16 A.</w:t>
            </w:r>
          </w:p>
          <w:p w:rsidR="00F03379" w:rsidRPr="0051032F" w:rsidRDefault="00142412" w:rsidP="0051032F">
            <w:pPr>
              <w:spacing w:after="0" w:line="240" w:lineRule="auto"/>
              <w:jc w:val="both"/>
              <w:rPr>
                <w:rFonts w:cstheme="minorHAnsi"/>
                <w:i/>
                <w:iCs/>
              </w:rPr>
            </w:pPr>
            <w:r w:rsidRPr="0051032F">
              <w:rPr>
                <w:rFonts w:cstheme="minorHAnsi"/>
                <w:b/>
                <w:bCs/>
                <w:i/>
                <w:iCs/>
              </w:rPr>
              <w:t>NOTE 3</w:t>
            </w:r>
            <w:r w:rsidRPr="0051032F">
              <w:rPr>
                <w:rFonts w:cstheme="minorHAnsi"/>
                <w:i/>
                <w:iCs/>
              </w:rPr>
              <w:t xml:space="preserve"> </w:t>
            </w:r>
            <w:r w:rsidR="00F03379" w:rsidRPr="0051032F">
              <w:rPr>
                <w:rFonts w:cstheme="minorHAnsi"/>
                <w:i/>
                <w:iCs/>
              </w:rPr>
              <w:t xml:space="preserve">- </w:t>
            </w:r>
            <w:r w:rsidRPr="0051032F">
              <w:rPr>
                <w:rFonts w:cstheme="minorHAnsi"/>
                <w:i/>
                <w:iCs/>
              </w:rPr>
              <w:t>Si la tension nominale d'alimentation ne dépasse pas 130 V, la valeur maximale du courant pour les culots E40 est de 32 A (voir 4.5 et 5.3).</w:t>
            </w:r>
          </w:p>
          <w:p w:rsidR="00EA697D" w:rsidRPr="0043547B" w:rsidRDefault="00142412" w:rsidP="0051032F">
            <w:pPr>
              <w:spacing w:after="0" w:line="240" w:lineRule="auto"/>
              <w:jc w:val="both"/>
              <w:rPr>
                <w:rFonts w:eastAsia="Times New Roman" w:cstheme="minorHAnsi"/>
                <w:sz w:val="24"/>
                <w:szCs w:val="24"/>
                <w:lang w:eastAsia="fr-FR"/>
              </w:rPr>
            </w:pPr>
            <w:r w:rsidRPr="0051032F">
              <w:rPr>
                <w:rFonts w:cstheme="minorHAnsi"/>
                <w:b/>
                <w:bCs/>
                <w:i/>
                <w:iCs/>
              </w:rPr>
              <w:t>NOTE 4</w:t>
            </w:r>
            <w:r w:rsidRPr="0051032F">
              <w:rPr>
                <w:rFonts w:cstheme="minorHAnsi"/>
                <w:i/>
                <w:iCs/>
              </w:rPr>
              <w:t xml:space="preserve"> </w:t>
            </w:r>
            <w:r w:rsidR="00F03379" w:rsidRPr="0051032F">
              <w:rPr>
                <w:rFonts w:cstheme="minorHAnsi"/>
                <w:i/>
                <w:iCs/>
              </w:rPr>
              <w:t xml:space="preserve">- </w:t>
            </w:r>
            <w:r w:rsidRPr="0051032F">
              <w:rPr>
                <w:rFonts w:cstheme="minorHAnsi"/>
                <w:i/>
                <w:iCs/>
              </w:rPr>
              <w:t>Quand les douilles sont utilisées dans des luminaires, leurs températures maximales de fonctionnement sont spécifiées dans la CEI 60598.</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06.6.130</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right w:val="single" w:sz="18" w:space="0" w:color="auto"/>
            </w:tcBorders>
            <w:shd w:val="clear" w:color="auto" w:fill="FFFF99"/>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60320-1</w:t>
            </w:r>
          </w:p>
        </w:tc>
      </w:tr>
      <w:tr w:rsidR="0043547B" w:rsidRPr="0043547B" w:rsidTr="00CB5DC0">
        <w:trPr>
          <w:trHeight w:val="315"/>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left w:val="single" w:sz="4"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Connecteurs pour usages domestiques et usages généraux analogues -Prescriptions générales </w:t>
            </w:r>
          </w:p>
        </w:tc>
      </w:tr>
      <w:tr w:rsidR="0043547B" w:rsidRPr="0043547B" w:rsidTr="00CB5DC0">
        <w:trPr>
          <w:trHeight w:val="1291"/>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est applicable aux connecteurs bipolaires pour courant alternatif seulement, avec ou sans contact de terre, de tension assignée ne dépassant pas 250 V et de courant assignés ne dépassant pas 16 A, pour usages domestiques et généraux analogues, et destines au raccordement   d’un câble souple   d'alimentation   aux   appareils   électriques d’utilisation ou à d'autres matériels électriques alimentés à 50 Hz ou 60 Hz.</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vAlign w:val="bottom"/>
          </w:tcPr>
          <w:p w:rsidR="00904E52" w:rsidRPr="0043547B" w:rsidRDefault="00904E52" w:rsidP="009F373C">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 xml:space="preserve">NM </w:t>
            </w:r>
            <w:r w:rsidR="009F373C" w:rsidRPr="0043547B">
              <w:rPr>
                <w:rFonts w:eastAsia="Times New Roman" w:cstheme="minorHAnsi"/>
                <w:b/>
                <w:bCs/>
                <w:sz w:val="24"/>
                <w:szCs w:val="24"/>
                <w:lang w:eastAsia="fr-FR"/>
              </w:rPr>
              <w:t>EN 61386-1</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right w:val="single" w:sz="18" w:space="0" w:color="auto"/>
            </w:tcBorders>
            <w:shd w:val="clear" w:color="auto" w:fill="FFFF99"/>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61386-1</w:t>
            </w:r>
          </w:p>
        </w:tc>
      </w:tr>
      <w:tr w:rsidR="0043547B" w:rsidRPr="0043547B" w:rsidTr="00CB5DC0">
        <w:trPr>
          <w:trHeight w:val="315"/>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left w:val="single" w:sz="4"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Systèmes de conduits pour la gestion du câblage - Règles générales </w:t>
            </w:r>
            <w:r w:rsidR="00701716" w:rsidRPr="0043547B">
              <w:rPr>
                <w:rFonts w:cstheme="minorHAnsi"/>
                <w:noProof/>
                <w:sz w:val="24"/>
                <w:szCs w:val="24"/>
                <w:lang w:eastAsia="fr-FR"/>
              </w:rPr>
              <w:drawing>
                <wp:inline distT="0" distB="0" distL="0" distR="0" wp14:anchorId="27637CE2" wp14:editId="2EBAABD1">
                  <wp:extent cx="183515" cy="158750"/>
                  <wp:effectExtent l="0" t="0" r="6985" b="0"/>
                  <wp:docPr id="33" name="Image 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8" cstate="print"/>
                          <a:srcRect/>
                          <a:stretch>
                            <a:fillRect/>
                          </a:stretch>
                        </pic:blipFill>
                        <pic:spPr bwMode="auto">
                          <a:xfrm>
                            <a:off x="0" y="0"/>
                            <a:ext cx="185776" cy="160706"/>
                          </a:xfrm>
                          <a:prstGeom prst="rect">
                            <a:avLst/>
                          </a:prstGeom>
                          <a:noFill/>
                          <a:ln w="9525">
                            <a:noFill/>
                            <a:miter lim="800000"/>
                            <a:headEnd/>
                            <a:tailEnd/>
                          </a:ln>
                        </pic:spPr>
                      </pic:pic>
                    </a:graphicData>
                  </a:graphic>
                </wp:inline>
              </w:drawing>
            </w:r>
          </w:p>
        </w:tc>
      </w:tr>
      <w:tr w:rsidR="0043547B" w:rsidRPr="0043547B" w:rsidTr="00CB5DC0">
        <w:trPr>
          <w:trHeight w:val="1800"/>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La norme spécifie les règles et les essais applicables aux systèmes de conduits, incluant conduits et accessoires de conduits, pour la protection et le rangement des conducteurs et/ou des câbles isolés dans les installations électriques ou les systèmes de télécommunication jusqu'à 1000 V c.a. et/ou 1 500 V c.c.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La norme s'applique aux systèmes de conduits métalliques, non métalliques et composites avec des extrémités filetées et non filetées.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Cette norme ne s'applique pas aux enveloppes et boîtes de raccordement qui sont du domaine de la CEI 60670.</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vAlign w:val="bottom"/>
          </w:tcPr>
          <w:p w:rsidR="00904E52" w:rsidRPr="0043547B" w:rsidRDefault="00904E52" w:rsidP="009F373C">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 xml:space="preserve">NM </w:t>
            </w:r>
            <w:r w:rsidR="009F373C" w:rsidRPr="0043547B">
              <w:rPr>
                <w:rFonts w:eastAsia="Times New Roman" w:cstheme="minorHAnsi"/>
                <w:b/>
                <w:bCs/>
                <w:sz w:val="24"/>
                <w:szCs w:val="24"/>
                <w:lang w:eastAsia="fr-FR"/>
              </w:rPr>
              <w:t>EN 61386-21</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right w:val="single" w:sz="18" w:space="0" w:color="auto"/>
            </w:tcBorders>
            <w:shd w:val="clear" w:color="auto" w:fill="FFFF99"/>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61386-21</w:t>
            </w:r>
          </w:p>
        </w:tc>
      </w:tr>
      <w:tr w:rsidR="0043547B" w:rsidRPr="0043547B" w:rsidTr="00CB5DC0">
        <w:trPr>
          <w:trHeight w:val="315"/>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left w:val="single" w:sz="4"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Systèmes de conduits pour la gestion du câblage - Règles particulières - Systèmes de conduits rigides </w:t>
            </w:r>
          </w:p>
        </w:tc>
      </w:tr>
      <w:tr w:rsidR="0043547B" w:rsidRPr="0043547B" w:rsidTr="00CB5DC0">
        <w:trPr>
          <w:trHeight w:val="701"/>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L'article de la NM 06.6.250 est applicable avec l'exception suivante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Addition :</w:t>
            </w:r>
          </w:p>
          <w:p w:rsidR="00904E52" w:rsidRPr="0043547B" w:rsidRDefault="00904E52" w:rsidP="00F9793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règles pour les systèmes de conduits rigides.</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 xml:space="preserve">NM </w:t>
            </w:r>
            <w:r w:rsidR="009F373C" w:rsidRPr="0043547B">
              <w:rPr>
                <w:rFonts w:eastAsia="Times New Roman" w:cstheme="minorHAnsi"/>
                <w:b/>
                <w:bCs/>
                <w:sz w:val="24"/>
                <w:szCs w:val="24"/>
                <w:lang w:eastAsia="fr-FR"/>
              </w:rPr>
              <w:t>EN 61386-22</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right w:val="single" w:sz="18" w:space="0" w:color="auto"/>
            </w:tcBorders>
            <w:shd w:val="clear" w:color="auto" w:fill="FFFF99"/>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61386-22</w:t>
            </w:r>
          </w:p>
        </w:tc>
      </w:tr>
      <w:tr w:rsidR="0043547B" w:rsidRPr="0043547B" w:rsidTr="00CB5DC0">
        <w:trPr>
          <w:trHeight w:val="315"/>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left w:val="single" w:sz="4"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Systèmes de conduits pour la gestion du câblage - Règles particulières - Systèmes de conduits cintrables </w:t>
            </w:r>
            <w:r w:rsidR="00701716" w:rsidRPr="0043547B">
              <w:rPr>
                <w:rFonts w:cstheme="minorHAnsi"/>
                <w:noProof/>
                <w:sz w:val="24"/>
                <w:szCs w:val="24"/>
                <w:lang w:eastAsia="fr-FR"/>
              </w:rPr>
              <w:drawing>
                <wp:inline distT="0" distB="0" distL="0" distR="0" wp14:anchorId="4A5E2FDE" wp14:editId="1A5F214E">
                  <wp:extent cx="183515" cy="158750"/>
                  <wp:effectExtent l="0" t="0" r="6985" b="0"/>
                  <wp:docPr id="35" name="Image 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8" cstate="print"/>
                          <a:srcRect/>
                          <a:stretch>
                            <a:fillRect/>
                          </a:stretch>
                        </pic:blipFill>
                        <pic:spPr bwMode="auto">
                          <a:xfrm>
                            <a:off x="0" y="0"/>
                            <a:ext cx="185776" cy="160706"/>
                          </a:xfrm>
                          <a:prstGeom prst="rect">
                            <a:avLst/>
                          </a:prstGeom>
                          <a:noFill/>
                          <a:ln w="9525">
                            <a:noFill/>
                            <a:miter lim="800000"/>
                            <a:headEnd/>
                            <a:tailEnd/>
                          </a:ln>
                        </pic:spPr>
                      </pic:pic>
                    </a:graphicData>
                  </a:graphic>
                </wp:inline>
              </w:drawing>
            </w:r>
          </w:p>
        </w:tc>
      </w:tr>
      <w:tr w:rsidR="0043547B" w:rsidRPr="0043547B" w:rsidTr="00CB5DC0">
        <w:trPr>
          <w:trHeight w:val="1145"/>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L'article de la NM 06.6.250 est applicable avec l’exception suivante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Addition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règles pour les systèmes de conduits cintrables, y compris les systèmes de conduits transversalement élastiques.</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 xml:space="preserve">NM </w:t>
            </w:r>
            <w:r w:rsidR="009F373C" w:rsidRPr="0043547B">
              <w:rPr>
                <w:rFonts w:eastAsia="Times New Roman" w:cstheme="minorHAnsi"/>
                <w:b/>
                <w:bCs/>
                <w:sz w:val="24"/>
                <w:szCs w:val="24"/>
                <w:lang w:eastAsia="fr-FR"/>
              </w:rPr>
              <w:t>EN 61386-23</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right w:val="single" w:sz="18" w:space="0" w:color="auto"/>
            </w:tcBorders>
            <w:shd w:val="clear" w:color="auto" w:fill="FFFF99"/>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61386-23</w:t>
            </w:r>
          </w:p>
        </w:tc>
      </w:tr>
      <w:tr w:rsidR="0043547B" w:rsidRPr="0043547B" w:rsidTr="00CB5DC0">
        <w:trPr>
          <w:trHeight w:val="315"/>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left w:val="single" w:sz="4"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Systèmes de conduits pour la gestion du câblage - Règles particulières - Systèmes de conduits souples </w:t>
            </w:r>
            <w:r w:rsidR="00701716" w:rsidRPr="0043547B">
              <w:rPr>
                <w:rFonts w:cstheme="minorHAnsi"/>
                <w:noProof/>
                <w:sz w:val="24"/>
                <w:szCs w:val="24"/>
                <w:lang w:eastAsia="fr-FR"/>
              </w:rPr>
              <w:drawing>
                <wp:inline distT="0" distB="0" distL="0" distR="0" wp14:anchorId="4E8D7604" wp14:editId="23F558A3">
                  <wp:extent cx="183515" cy="158750"/>
                  <wp:effectExtent l="0" t="0" r="6985" b="0"/>
                  <wp:docPr id="34" name="Image 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8" cstate="print"/>
                          <a:srcRect/>
                          <a:stretch>
                            <a:fillRect/>
                          </a:stretch>
                        </pic:blipFill>
                        <pic:spPr bwMode="auto">
                          <a:xfrm>
                            <a:off x="0" y="0"/>
                            <a:ext cx="185776" cy="160706"/>
                          </a:xfrm>
                          <a:prstGeom prst="rect">
                            <a:avLst/>
                          </a:prstGeom>
                          <a:noFill/>
                          <a:ln w="9525">
                            <a:noFill/>
                            <a:miter lim="800000"/>
                            <a:headEnd/>
                            <a:tailEnd/>
                          </a:ln>
                        </pic:spPr>
                      </pic:pic>
                    </a:graphicData>
                  </a:graphic>
                </wp:inline>
              </w:drawing>
            </w:r>
          </w:p>
        </w:tc>
      </w:tr>
      <w:tr w:rsidR="0043547B" w:rsidRPr="0043547B" w:rsidTr="00CB5DC0">
        <w:trPr>
          <w:trHeight w:val="942"/>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L'article de la NM 06.6.250 est applicable avec l’exception suivante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Addition :</w:t>
            </w:r>
          </w:p>
          <w:p w:rsidR="00B90553" w:rsidRPr="0043547B" w:rsidRDefault="00904E52" w:rsidP="00E2255F">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règles pour les systèmes de conduits souples.</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06.6.254</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right w:val="single" w:sz="18" w:space="0" w:color="auto"/>
            </w:tcBorders>
            <w:shd w:val="clear" w:color="auto" w:fill="FFFF99"/>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50086-2-4 - A1</w:t>
            </w:r>
          </w:p>
        </w:tc>
      </w:tr>
      <w:tr w:rsidR="0043547B" w:rsidRPr="0043547B" w:rsidTr="00CB5DC0">
        <w:trPr>
          <w:trHeight w:val="409"/>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Intitulé :</w:t>
            </w:r>
          </w:p>
        </w:tc>
        <w:tc>
          <w:tcPr>
            <w:tcW w:w="8080" w:type="dxa"/>
            <w:tcBorders>
              <w:left w:val="single" w:sz="4"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Systèmes de conduits pour installations électriques - Règles particulières pour les systèmes de conduits enterrés dans le sol </w:t>
            </w:r>
          </w:p>
        </w:tc>
      </w:tr>
      <w:tr w:rsidR="0043547B" w:rsidRPr="0043547B" w:rsidTr="00CB5DC0">
        <w:trPr>
          <w:trHeight w:val="562"/>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vAlign w:val="bottom"/>
          </w:tcPr>
          <w:p w:rsidR="00904E52" w:rsidRPr="0043547B" w:rsidRDefault="00904E52" w:rsidP="00E2255F">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La norme spécifie les règles et les essais applicables aux systèmes de conduits enterrés, incluant conduits et accessoires de conduits, pour la protection et le rangement des </w:t>
            </w:r>
            <w:r w:rsidR="00E2255F" w:rsidRPr="0043547B">
              <w:rPr>
                <w:rFonts w:eastAsia="Times New Roman" w:cstheme="minorHAnsi"/>
                <w:sz w:val="24"/>
                <w:szCs w:val="24"/>
                <w:lang w:eastAsia="fr-FR"/>
              </w:rPr>
              <w:t>conducteurs et/ou des câbles isolés, dans les installations électriques ou les systèmes de télécommunication. La norme s'applique aux systèmes de conduits métalliques, non métalliques et composites avec des extrémités filetées et non filetées terminant le système. Les systèmes de conduits utilisés dans un autre ensemble doivent aussi être essayés selon les spécifications appropriées de cet ensemble.</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06.7.077</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right w:val="single" w:sz="18" w:space="0" w:color="auto"/>
            </w:tcBorders>
            <w:shd w:val="clear" w:color="auto" w:fill="FFFF99"/>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60064</w:t>
            </w:r>
          </w:p>
        </w:tc>
      </w:tr>
      <w:tr w:rsidR="0043547B" w:rsidRPr="0043547B" w:rsidTr="00CB5DC0">
        <w:trPr>
          <w:trHeight w:val="315"/>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left w:val="single" w:sz="4"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Lampes à filaments de tungstène pour usage domestique et éclairage similaire - Prescriptions de performances </w:t>
            </w:r>
          </w:p>
        </w:tc>
      </w:tr>
      <w:tr w:rsidR="0043547B" w:rsidRPr="0043547B" w:rsidTr="00CB5DC0">
        <w:trPr>
          <w:trHeight w:val="1126"/>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aux lampes à incandescence à filament de tungstène destinées à l'éclairage général (GLS), conformes aux prescriptions de sécurité de la CEI 60432-1 et ayant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une puissance assignée de 25 W à 200 W inclus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une tension assignée de 100 V à 250 V, ou une plage de tensions marquée n'excédant pas une étendue de ± 2,5 % de la moyenne de la plage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des ampoules de forme A ou PS ;</w:t>
            </w:r>
          </w:p>
          <w:p w:rsidR="00904E52" w:rsidRPr="0043547B" w:rsidRDefault="00904E52" w:rsidP="0051032F">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des ampoules claires, dépolies, ou avec finition équivalente ou à finition blanche;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des culots B22d, ou E27.</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types de lampes spécifiques sont couverts dans la section 8.</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fait état des prescriptions de performances pour les lampes y compris les méthodes d'essai et les moyens de vérifier la conformité aux spécifications. Les méthodes d'évaluation de la production globale sont définies en ce qui concerne les enregistrements d'essais sur les produits finis du fabricant de lampes. Cette méthode peut être appliquée en vue de la certification. Les détails de la procédure d'essai d'un lot qui peuvent être utilisés pour évaluer des lots spécifiques y sont incorporés, mais cela n'est pas adapté au cas de la certification.</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06.7.091</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right w:val="single" w:sz="18" w:space="0" w:color="auto"/>
            </w:tcBorders>
            <w:shd w:val="clear" w:color="auto" w:fill="FFFF99"/>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60598-2-19 - A2</w:t>
            </w:r>
          </w:p>
        </w:tc>
      </w:tr>
      <w:tr w:rsidR="0043547B" w:rsidRPr="0043547B" w:rsidTr="00CB5DC0">
        <w:trPr>
          <w:trHeight w:val="315"/>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left w:val="single" w:sz="4"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Luminaires - Règles particulières – Luminaires à circulation d’air (règles de sécurité)</w:t>
            </w:r>
          </w:p>
        </w:tc>
      </w:tr>
      <w:tr w:rsidR="0043547B" w:rsidRPr="0043547B" w:rsidTr="00CB5DC0">
        <w:trPr>
          <w:trHeight w:val="561"/>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w w:val="95"/>
                <w:sz w:val="24"/>
                <w:szCs w:val="24"/>
                <w:lang w:eastAsia="fr-FR"/>
              </w:rPr>
            </w:pPr>
            <w:r w:rsidRPr="0043547B">
              <w:rPr>
                <w:rFonts w:eastAsia="Times New Roman" w:cstheme="minorHAnsi"/>
                <w:w w:val="95"/>
                <w:sz w:val="24"/>
                <w:szCs w:val="24"/>
                <w:lang w:eastAsia="fr-FR"/>
              </w:rPr>
              <w:t xml:space="preserve">Cette norme détaille les prescriptions de sécurité applicables aux luminaires à circulation d'air pour emploi avec conduit de ventilation ou cavité ventilée (plenum) à utiliser avec des lampes tubulaires fluorescentes pour des tensions d'alimentation ne dépassant pas 1000 V.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doit être lue conjointement avec les sections de la NM 06.7.080 auxquelles il est fait référence. L'attention est attirée sur le fait que cette norme spécifie seulement l'aspect sécurité des luminaires à circulation d'air. Il n'y a pas de règles actuellement pour l'aspect performance.</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06.1.012</w:t>
            </w:r>
          </w:p>
        </w:tc>
      </w:tr>
      <w:tr w:rsidR="0043547B" w:rsidRPr="0043547B" w:rsidTr="00CB5DC0">
        <w:trPr>
          <w:trHeight w:val="504"/>
          <w:jc w:val="center"/>
        </w:trPr>
        <w:tc>
          <w:tcPr>
            <w:tcW w:w="1843"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top w:val="single" w:sz="18" w:space="0" w:color="auto"/>
              <w:left w:val="single" w:sz="4"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Postes de livraison établis à l'intérieur d'un bâtiment et alimentés par un réseau de distribution publique HTA (jusqu'à 33 kV) </w:t>
            </w:r>
          </w:p>
        </w:tc>
      </w:tr>
      <w:tr w:rsidR="0043547B" w:rsidRPr="0043547B" w:rsidTr="00CB5DC0">
        <w:trPr>
          <w:trHeight w:val="987"/>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Domaine d’application :</w:t>
            </w:r>
          </w:p>
        </w:tc>
        <w:tc>
          <w:tcPr>
            <w:tcW w:w="8080" w:type="dxa"/>
            <w:tcBorders>
              <w:left w:val="single" w:sz="4" w:space="0" w:color="auto"/>
              <w:bottom w:val="single" w:sz="18" w:space="0" w:color="auto"/>
              <w:right w:val="single" w:sz="18" w:space="0" w:color="auto"/>
            </w:tcBorders>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vise plus particulièrement les postes situés dans les conditions d'environnement définies au chapitre 32. Lorsque les conditions d'environnement sont différentes, des dispositions complémentaires peuvent être nécessaires.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postes semi-enterrés, simplifiés et sur poteaux font l'objet respec</w:t>
            </w:r>
            <w:r w:rsidR="003444E8" w:rsidRPr="0043547B">
              <w:rPr>
                <w:rFonts w:eastAsia="Times New Roman" w:cstheme="minorHAnsi"/>
                <w:sz w:val="24"/>
                <w:szCs w:val="24"/>
                <w:lang w:eastAsia="fr-FR"/>
              </w:rPr>
              <w:t>tivement des normes NM 06.1.036</w:t>
            </w:r>
            <w:r w:rsidRPr="0043547B">
              <w:rPr>
                <w:rFonts w:eastAsia="Times New Roman" w:cstheme="minorHAnsi"/>
                <w:sz w:val="24"/>
                <w:szCs w:val="24"/>
                <w:lang w:eastAsia="fr-FR"/>
              </w:rPr>
              <w:t>, NM 06.1.037 et NM 06.1.038.</w:t>
            </w:r>
          </w:p>
          <w:p w:rsidR="005B070B" w:rsidRDefault="00904E52" w:rsidP="005B070B">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Lorsqu'un même local comporte un poste de livraison et des installations de distribution publique ou privée, les règles sont applicables uniquement au poste de livraison.</w:t>
            </w:r>
          </w:p>
          <w:p w:rsidR="00904E52" w:rsidRPr="0043547B" w:rsidRDefault="00904E52" w:rsidP="005B070B">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En général, les réseaux de distribution publique sont prévus pour délivrer un courant nominal au plus égal à 400 A.</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06.1.016</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top w:val="single" w:sz="18" w:space="0" w:color="auto"/>
              <w:left w:val="single" w:sz="4"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Protection contre la foudre - Protection des structures contre la foudre - Installation de paratonnerres </w:t>
            </w:r>
          </w:p>
        </w:tc>
      </w:tr>
      <w:tr w:rsidR="0043547B" w:rsidRPr="0043547B" w:rsidTr="00CB5DC0">
        <w:trPr>
          <w:trHeight w:val="1410"/>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vAlign w:val="bottom"/>
          </w:tcPr>
          <w:p w:rsidR="00904E52" w:rsidRPr="0043547B" w:rsidRDefault="00904E52" w:rsidP="00075238">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fournit des informations relatives à la conception, la réalisation, la vérification et l'entretien des systèmes de protection contre la foudre (SPF) qui utilisent des tiges simples, des fils tendus et des conducteurs maillés comme dispositifs de capture pour la protection des structures contre la foudre comme, ainsi que pour la protection des personnes, des installations et des objets qu'elles contiennent.</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06.1.040</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right w:val="single" w:sz="18" w:space="0" w:color="auto"/>
            </w:tcBorders>
            <w:shd w:val="clear" w:color="auto" w:fill="FFFF99"/>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61140 - A1</w:t>
            </w:r>
          </w:p>
        </w:tc>
      </w:tr>
      <w:tr w:rsidR="0043547B" w:rsidRPr="0043547B" w:rsidTr="00CB5DC0">
        <w:trPr>
          <w:trHeight w:val="315"/>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left w:val="single" w:sz="4"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Protection contre les chocs électriques – Aspects communs aux installations et aux matériels </w:t>
            </w:r>
          </w:p>
        </w:tc>
      </w:tr>
      <w:tr w:rsidR="0043547B" w:rsidRPr="0043547B" w:rsidTr="00CB5DC0">
        <w:trPr>
          <w:trHeight w:val="2000"/>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est applicable à la protection des personnes et des animaux contre les chocs électriques. Elle est destinée à donner des principes fondamentaux et des prescriptions communes aux installations électriques, aux systèmes et aux matériels, ou nécessaires à leur coordination.</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w w:val="95"/>
                <w:sz w:val="24"/>
                <w:szCs w:val="24"/>
                <w:lang w:eastAsia="fr-FR"/>
              </w:rPr>
              <w:t>Cette norme a été élaborée pour les installations, les systèmes et les matériels sans limite de tension. Les prescriptions de cette norme ne sont applicables que si elles sont incluses ou sont référencées dans les normes concernées. Elle n'est pas destinée à être utilisée seule</w:t>
            </w:r>
            <w:r w:rsidRPr="0043547B">
              <w:rPr>
                <w:rFonts w:eastAsia="Times New Roman" w:cstheme="minorHAnsi"/>
                <w:sz w:val="24"/>
                <w:szCs w:val="24"/>
                <w:lang w:eastAsia="fr-FR"/>
              </w:rPr>
              <w:t>.</w:t>
            </w:r>
          </w:p>
        </w:tc>
      </w:tr>
      <w:tr w:rsidR="0043547B" w:rsidRPr="0043547B" w:rsidTr="00CB5DC0">
        <w:trPr>
          <w:trHeight w:val="384"/>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142412" w:rsidRPr="0043547B" w:rsidRDefault="00142412" w:rsidP="0014241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vAlign w:val="center"/>
          </w:tcPr>
          <w:p w:rsidR="00142412" w:rsidRPr="0043547B" w:rsidRDefault="00142412" w:rsidP="00F03379">
            <w:pPr>
              <w:spacing w:after="0" w:line="240" w:lineRule="auto"/>
              <w:jc w:val="center"/>
              <w:rPr>
                <w:rFonts w:cstheme="minorHAnsi"/>
                <w:b/>
                <w:bCs/>
                <w:sz w:val="24"/>
                <w:szCs w:val="24"/>
              </w:rPr>
            </w:pPr>
            <w:r w:rsidRPr="0043547B">
              <w:rPr>
                <w:rFonts w:cstheme="minorHAnsi"/>
                <w:b/>
                <w:bCs/>
                <w:sz w:val="24"/>
                <w:szCs w:val="24"/>
              </w:rPr>
              <w:t>NM IEC 61184</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142412" w:rsidRPr="0043547B" w:rsidRDefault="00142412" w:rsidP="00142412">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right w:val="single" w:sz="18" w:space="0" w:color="auto"/>
            </w:tcBorders>
            <w:shd w:val="clear" w:color="auto" w:fill="FFFF99"/>
            <w:vAlign w:val="center"/>
          </w:tcPr>
          <w:p w:rsidR="00142412" w:rsidRPr="0043547B" w:rsidRDefault="00142412" w:rsidP="00F03379">
            <w:pPr>
              <w:spacing w:after="0" w:line="240" w:lineRule="auto"/>
              <w:jc w:val="center"/>
              <w:rPr>
                <w:rFonts w:cstheme="minorHAnsi"/>
                <w:b/>
                <w:bCs/>
                <w:sz w:val="24"/>
                <w:szCs w:val="24"/>
              </w:rPr>
            </w:pPr>
            <w:r w:rsidRPr="0043547B">
              <w:rPr>
                <w:rFonts w:cstheme="minorHAnsi"/>
                <w:b/>
                <w:bCs/>
                <w:sz w:val="24"/>
                <w:szCs w:val="24"/>
              </w:rPr>
              <w:t>IEC 61184</w:t>
            </w:r>
          </w:p>
        </w:tc>
      </w:tr>
      <w:tr w:rsidR="0043547B" w:rsidRPr="0043547B" w:rsidTr="00CB5DC0">
        <w:trPr>
          <w:trHeight w:val="315"/>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left w:val="single" w:sz="4" w:space="0" w:color="auto"/>
              <w:right w:val="single" w:sz="18" w:space="0" w:color="auto"/>
            </w:tcBorders>
            <w:vAlign w:val="bottom"/>
          </w:tcPr>
          <w:p w:rsidR="00904E52" w:rsidRPr="0043547B" w:rsidRDefault="003444E8"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Douilles à baïonnette </w:t>
            </w:r>
            <w:r w:rsidR="00EE5C70" w:rsidRPr="0043547B">
              <w:rPr>
                <w:rFonts w:cstheme="minorHAnsi"/>
                <w:noProof/>
                <w:sz w:val="24"/>
                <w:szCs w:val="24"/>
                <w:lang w:eastAsia="fr-FR"/>
              </w:rPr>
              <w:drawing>
                <wp:inline distT="0" distB="0" distL="0" distR="0" wp14:anchorId="16562F3F" wp14:editId="035F490D">
                  <wp:extent cx="183515" cy="158750"/>
                  <wp:effectExtent l="0" t="0" r="6985" b="0"/>
                  <wp:docPr id="25" name="Image 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8" cstate="print"/>
                          <a:srcRect/>
                          <a:stretch>
                            <a:fillRect/>
                          </a:stretch>
                        </pic:blipFill>
                        <pic:spPr bwMode="auto">
                          <a:xfrm>
                            <a:off x="0" y="0"/>
                            <a:ext cx="185776" cy="160706"/>
                          </a:xfrm>
                          <a:prstGeom prst="rect">
                            <a:avLst/>
                          </a:prstGeom>
                          <a:noFill/>
                          <a:ln w="9525">
                            <a:noFill/>
                            <a:miter lim="800000"/>
                            <a:headEnd/>
                            <a:tailEnd/>
                          </a:ln>
                        </pic:spPr>
                      </pic:pic>
                    </a:graphicData>
                  </a:graphic>
                </wp:inline>
              </w:drawing>
            </w:r>
          </w:p>
        </w:tc>
      </w:tr>
      <w:tr w:rsidR="0043547B" w:rsidRPr="0043547B" w:rsidTr="00CB5DC0">
        <w:trPr>
          <w:trHeight w:val="2326"/>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tcPr>
          <w:p w:rsidR="00F03379" w:rsidRPr="0043547B" w:rsidRDefault="00142412" w:rsidP="00F03379">
            <w:pPr>
              <w:spacing w:after="0" w:line="240" w:lineRule="auto"/>
              <w:jc w:val="both"/>
              <w:rPr>
                <w:rFonts w:cstheme="minorHAnsi"/>
                <w:sz w:val="24"/>
                <w:szCs w:val="24"/>
              </w:rPr>
            </w:pPr>
            <w:r w:rsidRPr="0043547B">
              <w:rPr>
                <w:rFonts w:cstheme="minorHAnsi"/>
                <w:sz w:val="24"/>
                <w:szCs w:val="24"/>
              </w:rPr>
              <w:t>Le présent document s'applique aux douilles à baïonnette B15d et B22d destinées à connecter les lampes et les semi-luminaires à une tension d'alimentation de 250 V.</w:t>
            </w:r>
            <w:r w:rsidRPr="0043547B">
              <w:rPr>
                <w:rFonts w:cstheme="minorHAnsi"/>
                <w:sz w:val="24"/>
                <w:szCs w:val="24"/>
              </w:rPr>
              <w:br/>
              <w:t>Le présent document couvre également les douilles qui sont intégrées dans un luminaire ou destinées à être incorporées dans des appareils. Il couvre uniquement les exigences applicables à la douille.</w:t>
            </w:r>
          </w:p>
          <w:p w:rsidR="005B070B" w:rsidRDefault="00142412" w:rsidP="005B070B">
            <w:pPr>
              <w:spacing w:after="0" w:line="240" w:lineRule="auto"/>
              <w:jc w:val="both"/>
              <w:rPr>
                <w:rFonts w:cstheme="minorHAnsi"/>
                <w:sz w:val="24"/>
                <w:szCs w:val="24"/>
              </w:rPr>
            </w:pPr>
            <w:r w:rsidRPr="0043547B">
              <w:rPr>
                <w:rFonts w:cstheme="minorHAnsi"/>
                <w:sz w:val="24"/>
                <w:szCs w:val="24"/>
              </w:rPr>
              <w:t>Pour toutes les autres exigences, telles que la protection contre les chocs électriques dans la zone des bornes, les exigences de la norme relative à l’appareil concerné sont respectées et les essais réalisés après incorporation dans l’appareil approprié, lorsque cet appareil est soumis à essai selon sa propre norme. Les douilles destinées à être utilisées par les fabricants de luminaires exclusivement ne sont pas destinées à la vente au détail.</w:t>
            </w:r>
          </w:p>
          <w:p w:rsidR="00F03379" w:rsidRPr="0043547B" w:rsidRDefault="00142412" w:rsidP="005B070B">
            <w:pPr>
              <w:spacing w:after="0" w:line="240" w:lineRule="auto"/>
              <w:jc w:val="both"/>
              <w:rPr>
                <w:rFonts w:cstheme="minorHAnsi"/>
                <w:sz w:val="24"/>
                <w:szCs w:val="24"/>
              </w:rPr>
            </w:pPr>
            <w:r w:rsidRPr="0043547B">
              <w:rPr>
                <w:rFonts w:cstheme="minorHAnsi"/>
                <w:sz w:val="24"/>
                <w:szCs w:val="24"/>
              </w:rPr>
              <w:lastRenderedPageBreak/>
              <w:t>Lorsque les douilles sont utilisées dans les luminaires, leurs températures maximales de fonctionnement sont spécifiées dans l’IEC 60598-1.</w:t>
            </w:r>
          </w:p>
          <w:p w:rsidR="005B070B" w:rsidRDefault="00142412" w:rsidP="005B070B">
            <w:pPr>
              <w:spacing w:after="0" w:line="240" w:lineRule="auto"/>
              <w:jc w:val="both"/>
              <w:rPr>
                <w:rFonts w:cstheme="minorHAnsi"/>
                <w:sz w:val="24"/>
                <w:szCs w:val="24"/>
              </w:rPr>
            </w:pPr>
            <w:r w:rsidRPr="0043547B">
              <w:rPr>
                <w:rFonts w:cstheme="minorHAnsi"/>
                <w:sz w:val="24"/>
                <w:szCs w:val="24"/>
              </w:rPr>
              <w:t>La désignation B15d se rapporte à l'ensemble culot/douille tel qu'il est défini, avec les calibres correspondants, par l’IEC 60061-1, feuille 7004-11, et l’IEC 60061-2, feuille 7005-16.</w:t>
            </w:r>
          </w:p>
          <w:p w:rsidR="00F03379" w:rsidRPr="0043547B" w:rsidRDefault="00142412" w:rsidP="005B070B">
            <w:pPr>
              <w:spacing w:after="0" w:line="240" w:lineRule="auto"/>
              <w:jc w:val="both"/>
              <w:rPr>
                <w:rFonts w:cstheme="minorHAnsi"/>
                <w:sz w:val="24"/>
                <w:szCs w:val="24"/>
              </w:rPr>
            </w:pPr>
            <w:r w:rsidRPr="0043547B">
              <w:rPr>
                <w:rFonts w:cstheme="minorHAnsi"/>
                <w:sz w:val="24"/>
                <w:szCs w:val="24"/>
              </w:rPr>
              <w:t>La désignation B22d se rapporte à l'ensemble culot/douille tel qu'il est défini, avec les calibres correspondants, par l’IEC 60061-1, feuille 7004-10 et l’IEC 60061-2, feuille 7005-10.</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CF3AC9" w:rsidRPr="0043547B" w:rsidRDefault="00CF3AC9" w:rsidP="00CF3AC9">
            <w:pPr>
              <w:spacing w:after="0"/>
              <w:jc w:val="center"/>
              <w:rPr>
                <w:rFonts w:cstheme="minorHAnsi"/>
                <w:b/>
                <w:bCs/>
                <w:sz w:val="24"/>
                <w:szCs w:val="24"/>
              </w:rPr>
            </w:pPr>
            <w:r w:rsidRPr="0043547B">
              <w:rPr>
                <w:rFonts w:cstheme="minorHAnsi"/>
                <w:b/>
                <w:bCs/>
                <w:sz w:val="24"/>
                <w:szCs w:val="24"/>
              </w:rPr>
              <w:lastRenderedPageBreak/>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vAlign w:val="center"/>
          </w:tcPr>
          <w:p w:rsidR="00CF3AC9" w:rsidRPr="0043547B" w:rsidRDefault="00CF3AC9" w:rsidP="00CF3AC9">
            <w:pPr>
              <w:spacing w:after="0"/>
              <w:jc w:val="center"/>
              <w:rPr>
                <w:rFonts w:cstheme="minorHAnsi"/>
                <w:b/>
                <w:bCs/>
                <w:sz w:val="24"/>
                <w:szCs w:val="24"/>
              </w:rPr>
            </w:pPr>
            <w:r w:rsidRPr="0043547B">
              <w:rPr>
                <w:rFonts w:cstheme="minorHAnsi"/>
                <w:b/>
                <w:bCs/>
                <w:sz w:val="24"/>
                <w:szCs w:val="24"/>
              </w:rPr>
              <w:t>NM CEI 60383-1</w:t>
            </w:r>
          </w:p>
        </w:tc>
      </w:tr>
      <w:tr w:rsidR="0043547B" w:rsidRPr="0043547B" w:rsidTr="00CB5DC0">
        <w:trPr>
          <w:trHeight w:val="114"/>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CF3AC9" w:rsidRPr="0043547B" w:rsidRDefault="00CF3AC9" w:rsidP="00CF3AC9">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right w:val="single" w:sz="18" w:space="0" w:color="auto"/>
            </w:tcBorders>
            <w:shd w:val="clear" w:color="auto" w:fill="FFFF99"/>
            <w:vAlign w:val="center"/>
          </w:tcPr>
          <w:p w:rsidR="00CF3AC9" w:rsidRPr="0043547B" w:rsidRDefault="00CF3AC9" w:rsidP="00CF3AC9">
            <w:pPr>
              <w:spacing w:after="0"/>
              <w:jc w:val="center"/>
              <w:rPr>
                <w:rFonts w:cstheme="minorHAnsi"/>
                <w:b/>
                <w:bCs/>
                <w:sz w:val="24"/>
                <w:szCs w:val="24"/>
              </w:rPr>
            </w:pPr>
            <w:r w:rsidRPr="0043547B">
              <w:rPr>
                <w:rFonts w:cstheme="minorHAnsi"/>
                <w:b/>
                <w:bCs/>
                <w:sz w:val="24"/>
                <w:szCs w:val="24"/>
              </w:rPr>
              <w:t>CEI 60383-1</w:t>
            </w:r>
          </w:p>
        </w:tc>
      </w:tr>
      <w:tr w:rsidR="0043547B" w:rsidRPr="0043547B" w:rsidTr="00CB5DC0">
        <w:trPr>
          <w:trHeight w:val="698"/>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CF3AC9" w:rsidRPr="0043547B" w:rsidRDefault="00CF3AC9" w:rsidP="00CF3AC9">
            <w:pPr>
              <w:spacing w:after="0"/>
              <w:jc w:val="center"/>
              <w:rPr>
                <w:rFonts w:cstheme="minorHAnsi"/>
                <w:b/>
                <w:bCs/>
                <w:sz w:val="24"/>
                <w:szCs w:val="24"/>
              </w:rPr>
            </w:pPr>
            <w:r w:rsidRPr="0043547B">
              <w:rPr>
                <w:rFonts w:cstheme="minorHAnsi"/>
                <w:b/>
                <w:bCs/>
                <w:sz w:val="24"/>
                <w:szCs w:val="24"/>
              </w:rPr>
              <w:t>Intitulé :</w:t>
            </w:r>
          </w:p>
        </w:tc>
        <w:tc>
          <w:tcPr>
            <w:tcW w:w="8080" w:type="dxa"/>
            <w:tcBorders>
              <w:left w:val="single" w:sz="4" w:space="0" w:color="auto"/>
              <w:right w:val="single" w:sz="18" w:space="0" w:color="auto"/>
            </w:tcBorders>
            <w:vAlign w:val="center"/>
          </w:tcPr>
          <w:p w:rsidR="00CF3AC9" w:rsidRPr="0043547B" w:rsidRDefault="00CF3AC9" w:rsidP="00A744C1">
            <w:pPr>
              <w:spacing w:after="0"/>
              <w:jc w:val="both"/>
              <w:rPr>
                <w:rFonts w:cstheme="minorHAnsi"/>
                <w:sz w:val="24"/>
                <w:szCs w:val="24"/>
              </w:rPr>
            </w:pPr>
            <w:r w:rsidRPr="0043547B">
              <w:rPr>
                <w:rFonts w:cstheme="minorHAnsi"/>
                <w:sz w:val="24"/>
                <w:szCs w:val="24"/>
              </w:rPr>
              <w:t>Isolateurs pour lignes aériennes de tension nominale supérieure à 1000 V - Partie 1 : Eléments d'isolateurs en matière céramique ou en verre pour systèmes à courant alternatif - Définitions, méthodes d'essai et critères d’acceptation</w:t>
            </w:r>
          </w:p>
        </w:tc>
      </w:tr>
      <w:tr w:rsidR="0043547B" w:rsidRPr="0043547B" w:rsidTr="00CB5DC0">
        <w:trPr>
          <w:trHeight w:val="1346"/>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CF3AC9" w:rsidRPr="0043547B" w:rsidRDefault="00CF3AC9" w:rsidP="00CF3AC9">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vAlign w:val="center"/>
          </w:tcPr>
          <w:p w:rsidR="00CF3AC9" w:rsidRPr="0043547B" w:rsidRDefault="00CF3AC9" w:rsidP="00A744C1">
            <w:pPr>
              <w:spacing w:after="0"/>
              <w:jc w:val="both"/>
              <w:rPr>
                <w:rFonts w:cstheme="minorHAnsi"/>
                <w:sz w:val="24"/>
                <w:szCs w:val="24"/>
              </w:rPr>
            </w:pPr>
            <w:r w:rsidRPr="0043547B">
              <w:rPr>
                <w:rFonts w:cstheme="minorHAnsi"/>
                <w:sz w:val="24"/>
                <w:szCs w:val="24"/>
              </w:rPr>
              <w:t>"</w:t>
            </w:r>
            <w:r w:rsidRPr="0043547B">
              <w:rPr>
                <w:rFonts w:eastAsia="Times New Roman" w:cstheme="minorHAnsi"/>
                <w:sz w:val="24"/>
                <w:szCs w:val="24"/>
                <w:lang w:eastAsia="fr-FR"/>
              </w:rPr>
              <w:t>la présente norme est applicable aux isolateurs en matière céramique ou en verre destinés aux lignes aériennes de transport d'énergie et de traction électrique fonctionnant en courant alternatif à une tension nominale supérieure à 1 000 V et à une fréquence au plus égale à 100 Hz.</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06.6.090</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top w:val="single" w:sz="18" w:space="0" w:color="auto"/>
              <w:left w:val="single" w:sz="4" w:space="0" w:color="auto"/>
              <w:right w:val="single" w:sz="18" w:space="0" w:color="auto"/>
            </w:tcBorders>
            <w:vAlign w:val="bottom"/>
          </w:tcPr>
          <w:p w:rsidR="00904E52" w:rsidRPr="0043547B" w:rsidRDefault="0014241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Prises de courant pour usages domestiques et analogues - Systèmes 6 A / 250 V et 16 A / 250 V </w:t>
            </w:r>
            <w:r w:rsidR="00EE5C70" w:rsidRPr="0043547B">
              <w:rPr>
                <w:rFonts w:cstheme="minorHAnsi"/>
                <w:noProof/>
                <w:sz w:val="24"/>
                <w:szCs w:val="24"/>
                <w:lang w:eastAsia="fr-FR"/>
              </w:rPr>
              <w:drawing>
                <wp:inline distT="0" distB="0" distL="0" distR="0" wp14:anchorId="79821DEF" wp14:editId="0FC34C18">
                  <wp:extent cx="183515" cy="158750"/>
                  <wp:effectExtent l="0" t="0" r="6985" b="0"/>
                  <wp:docPr id="27" name="Image 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8" cstate="print"/>
                          <a:srcRect/>
                          <a:stretch>
                            <a:fillRect/>
                          </a:stretch>
                        </pic:blipFill>
                        <pic:spPr bwMode="auto">
                          <a:xfrm>
                            <a:off x="0" y="0"/>
                            <a:ext cx="185776" cy="160706"/>
                          </a:xfrm>
                          <a:prstGeom prst="rect">
                            <a:avLst/>
                          </a:prstGeom>
                          <a:noFill/>
                          <a:ln w="9525">
                            <a:noFill/>
                            <a:miter lim="800000"/>
                            <a:headEnd/>
                            <a:tailEnd/>
                          </a:ln>
                        </pic:spPr>
                      </pic:pic>
                    </a:graphicData>
                  </a:graphic>
                </wp:inline>
              </w:drawing>
            </w:r>
          </w:p>
        </w:tc>
      </w:tr>
      <w:tr w:rsidR="0043547B" w:rsidRPr="0043547B" w:rsidTr="00CB5DC0">
        <w:trPr>
          <w:trHeight w:val="1550"/>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vAlign w:val="bottom"/>
          </w:tcPr>
          <w:p w:rsidR="005B070B" w:rsidRDefault="00142412" w:rsidP="005B070B">
            <w:pPr>
              <w:spacing w:after="0" w:line="240" w:lineRule="auto"/>
              <w:jc w:val="both"/>
              <w:rPr>
                <w:rFonts w:cstheme="minorHAnsi"/>
                <w:sz w:val="24"/>
                <w:szCs w:val="24"/>
              </w:rPr>
            </w:pPr>
            <w:r w:rsidRPr="0043547B">
              <w:rPr>
                <w:rFonts w:cstheme="minorHAnsi"/>
                <w:sz w:val="24"/>
                <w:szCs w:val="24"/>
              </w:rPr>
              <w:t>Le présent document s'applique aux fiches et aux socles fixes ou mobiles avec obturateurs pour courant alternatif seulement avec ou sans contact de terre, de tension assignée 250 V et de courants assignés égaux à 6 A ou à 16 A, destinés aux usages domestiques et usages analogues, à l'intérieur ou à l'extérieur des bâtiments.</w:t>
            </w:r>
            <w:r w:rsidRPr="0043547B">
              <w:rPr>
                <w:rFonts w:cstheme="minorHAnsi"/>
                <w:sz w:val="24"/>
                <w:szCs w:val="24"/>
              </w:rPr>
              <w:br/>
              <w:t>Le présent document définit également les exigences, les essais et les courants assignés pour les socles fixes et les fiches 16 A utilisés pour la recharge des batteries des véhicules électriques.</w:t>
            </w:r>
          </w:p>
          <w:p w:rsidR="00F03379" w:rsidRPr="0043547B" w:rsidRDefault="00142412" w:rsidP="005B070B">
            <w:pPr>
              <w:spacing w:after="0" w:line="240" w:lineRule="auto"/>
              <w:jc w:val="both"/>
              <w:rPr>
                <w:rFonts w:cstheme="minorHAnsi"/>
                <w:sz w:val="24"/>
                <w:szCs w:val="24"/>
              </w:rPr>
            </w:pPr>
            <w:r w:rsidRPr="0043547B">
              <w:rPr>
                <w:rFonts w:cstheme="minorHAnsi"/>
                <w:sz w:val="24"/>
                <w:szCs w:val="24"/>
              </w:rPr>
              <w:t>Le présent document ne traite pas des exigences pour les boîtes de montage encastrées, mais seulement des exigences pour les boîtes de montage en saillie nécessaires pour les essais du socle.</w:t>
            </w:r>
          </w:p>
          <w:p w:rsidR="00F03379" w:rsidRPr="0051032F" w:rsidRDefault="00142412" w:rsidP="00F03379">
            <w:pPr>
              <w:spacing w:after="0" w:line="240" w:lineRule="auto"/>
              <w:jc w:val="both"/>
              <w:rPr>
                <w:rFonts w:cstheme="minorHAnsi"/>
                <w:i/>
                <w:iCs/>
              </w:rPr>
            </w:pPr>
            <w:r w:rsidRPr="0051032F">
              <w:rPr>
                <w:rFonts w:cstheme="minorHAnsi"/>
                <w:b/>
                <w:bCs/>
                <w:i/>
                <w:iCs/>
              </w:rPr>
              <w:t>NOTE 1</w:t>
            </w:r>
            <w:r w:rsidRPr="0051032F">
              <w:rPr>
                <w:rFonts w:cstheme="minorHAnsi"/>
                <w:i/>
                <w:iCs/>
              </w:rPr>
              <w:t xml:space="preserve"> </w:t>
            </w:r>
            <w:r w:rsidR="00D863F5" w:rsidRPr="0051032F">
              <w:rPr>
                <w:rFonts w:cstheme="minorHAnsi"/>
                <w:i/>
                <w:iCs/>
              </w:rPr>
              <w:t xml:space="preserve">- </w:t>
            </w:r>
            <w:r w:rsidRPr="0051032F">
              <w:rPr>
                <w:rFonts w:cstheme="minorHAnsi"/>
                <w:i/>
                <w:iCs/>
              </w:rPr>
              <w:t>Les exigences générales pour les boîtes de montage sont données dans la NF EN 60670 -1.</w:t>
            </w:r>
          </w:p>
          <w:p w:rsidR="00F03379" w:rsidRPr="0051032F" w:rsidRDefault="00142412" w:rsidP="00F03379">
            <w:pPr>
              <w:spacing w:after="0" w:line="240" w:lineRule="auto"/>
              <w:jc w:val="both"/>
              <w:rPr>
                <w:rFonts w:cstheme="minorHAnsi"/>
              </w:rPr>
            </w:pPr>
            <w:r w:rsidRPr="0051032F">
              <w:rPr>
                <w:rFonts w:cstheme="minorHAnsi"/>
              </w:rPr>
              <w:t>Le présent document s'applique également aux fiches faisant partie des cordons-connecteurs, aux fiches et socles mobiles faisant partie des cordons-prolongateurs et aux fiches et socles en tant qu'éléments constituants d'un appareil, sauf spécification contraire dans la norme de l'appareil concerné.</w:t>
            </w:r>
          </w:p>
          <w:p w:rsidR="00D863F5" w:rsidRPr="0051032F" w:rsidRDefault="00142412" w:rsidP="0051032F">
            <w:pPr>
              <w:spacing w:after="0" w:line="240" w:lineRule="auto"/>
              <w:jc w:val="both"/>
              <w:rPr>
                <w:rFonts w:cstheme="minorHAnsi"/>
              </w:rPr>
            </w:pPr>
            <w:r w:rsidRPr="0051032F">
              <w:rPr>
                <w:rFonts w:cstheme="minorHAnsi"/>
              </w:rPr>
              <w:t>Le présent document s’applique également aux appareils dès lors qu’ils comportent au moins un socle de prise de courant et qu’ils ne sont pas couverts par une norme spécifique; il donne également les règles particulières pour les adaptateurs.</w:t>
            </w:r>
          </w:p>
          <w:p w:rsidR="00D863F5" w:rsidRPr="0051032F" w:rsidRDefault="00142412" w:rsidP="00D863F5">
            <w:pPr>
              <w:spacing w:after="0" w:line="240" w:lineRule="auto"/>
              <w:jc w:val="both"/>
              <w:rPr>
                <w:rFonts w:cstheme="minorHAnsi"/>
                <w:i/>
                <w:iCs/>
              </w:rPr>
            </w:pPr>
            <w:r w:rsidRPr="0051032F">
              <w:rPr>
                <w:rFonts w:cstheme="minorHAnsi"/>
                <w:b/>
                <w:bCs/>
                <w:i/>
                <w:iCs/>
              </w:rPr>
              <w:t>NOTE 2</w:t>
            </w:r>
            <w:r w:rsidRPr="0051032F">
              <w:rPr>
                <w:rFonts w:cstheme="minorHAnsi"/>
                <w:i/>
                <w:iCs/>
              </w:rPr>
              <w:t xml:space="preserve"> </w:t>
            </w:r>
            <w:r w:rsidR="00D863F5" w:rsidRPr="0051032F">
              <w:rPr>
                <w:rFonts w:cstheme="minorHAnsi"/>
                <w:i/>
                <w:iCs/>
              </w:rPr>
              <w:t xml:space="preserve">- </w:t>
            </w:r>
            <w:r w:rsidRPr="0051032F">
              <w:rPr>
                <w:rFonts w:cstheme="minorHAnsi"/>
                <w:i/>
                <w:iCs/>
              </w:rPr>
              <w:t>Le terme "appareil" est employé en tant que terme général traitant des fiches et socles</w:t>
            </w:r>
            <w:r w:rsidR="00D863F5" w:rsidRPr="0051032F">
              <w:rPr>
                <w:rFonts w:cstheme="minorHAnsi"/>
                <w:i/>
                <w:iCs/>
              </w:rPr>
              <w:t xml:space="preserve"> </w:t>
            </w:r>
            <w:r w:rsidRPr="0051032F">
              <w:rPr>
                <w:rFonts w:cstheme="minorHAnsi"/>
                <w:i/>
                <w:iCs/>
              </w:rPr>
              <w:t>; le terme "appareil mobile" s'applique aux fiches et aux socles mobiles. L'emploi des appareils est indiqué à la figure 1.</w:t>
            </w:r>
          </w:p>
          <w:p w:rsidR="00D863F5" w:rsidRPr="0051032F" w:rsidRDefault="00142412" w:rsidP="00D863F5">
            <w:pPr>
              <w:spacing w:after="0" w:line="240" w:lineRule="auto"/>
              <w:jc w:val="both"/>
              <w:rPr>
                <w:rFonts w:cstheme="minorHAnsi"/>
                <w:i/>
                <w:iCs/>
              </w:rPr>
            </w:pPr>
            <w:r w:rsidRPr="0051032F">
              <w:rPr>
                <w:rFonts w:cstheme="minorHAnsi"/>
              </w:rPr>
              <w:t>Le présent document s'applique également aux socles incorporant des lampes indicatrices.</w:t>
            </w:r>
            <w:r w:rsidRPr="0051032F">
              <w:rPr>
                <w:rFonts w:cstheme="minorHAnsi"/>
              </w:rPr>
              <w:br/>
            </w:r>
            <w:r w:rsidRPr="0051032F">
              <w:rPr>
                <w:rFonts w:cstheme="minorHAnsi"/>
                <w:b/>
                <w:bCs/>
                <w:i/>
                <w:iCs/>
              </w:rPr>
              <w:t>NOTE 3</w:t>
            </w:r>
            <w:r w:rsidRPr="0051032F">
              <w:rPr>
                <w:rFonts w:cstheme="minorHAnsi"/>
                <w:i/>
                <w:iCs/>
              </w:rPr>
              <w:t xml:space="preserve"> </w:t>
            </w:r>
            <w:r w:rsidR="00D863F5" w:rsidRPr="0051032F">
              <w:rPr>
                <w:rFonts w:cstheme="minorHAnsi"/>
                <w:i/>
                <w:iCs/>
              </w:rPr>
              <w:t>-</w:t>
            </w:r>
            <w:r w:rsidRPr="0051032F">
              <w:rPr>
                <w:rFonts w:cstheme="minorHAnsi"/>
                <w:i/>
                <w:iCs/>
              </w:rPr>
              <w:t xml:space="preserve"> il est recommandé que ces lampes indicatrices soient conformes à la norme éventuelle les concernant.</w:t>
            </w:r>
          </w:p>
          <w:p w:rsidR="00D863F5" w:rsidRPr="0043547B" w:rsidRDefault="00142412" w:rsidP="00D863F5">
            <w:pPr>
              <w:spacing w:after="0" w:line="240" w:lineRule="auto"/>
              <w:jc w:val="both"/>
              <w:rPr>
                <w:rFonts w:cstheme="minorHAnsi"/>
                <w:sz w:val="24"/>
                <w:szCs w:val="24"/>
              </w:rPr>
            </w:pPr>
            <w:r w:rsidRPr="0043547B">
              <w:rPr>
                <w:rFonts w:cstheme="minorHAnsi"/>
                <w:sz w:val="24"/>
                <w:szCs w:val="24"/>
              </w:rPr>
              <w:t>L’Annexe AA liste les éléments constituants d’un appareil et donne les conditions à respecter lorsque des fonctions BT et TBT y sont intégrées.</w:t>
            </w:r>
          </w:p>
          <w:p w:rsidR="00D863F5" w:rsidRPr="0043547B" w:rsidRDefault="00142412" w:rsidP="00D863F5">
            <w:pPr>
              <w:spacing w:after="0" w:line="240" w:lineRule="auto"/>
              <w:jc w:val="both"/>
              <w:rPr>
                <w:rFonts w:cstheme="minorHAnsi"/>
                <w:sz w:val="24"/>
                <w:szCs w:val="24"/>
              </w:rPr>
            </w:pPr>
            <w:r w:rsidRPr="0043547B">
              <w:rPr>
                <w:rFonts w:cstheme="minorHAnsi"/>
                <w:sz w:val="24"/>
                <w:szCs w:val="24"/>
              </w:rPr>
              <w:lastRenderedPageBreak/>
              <w:t xml:space="preserve">L’Annexe BB contient les exigences </w:t>
            </w:r>
            <w:r w:rsidR="00D863F5" w:rsidRPr="0043547B">
              <w:rPr>
                <w:rFonts w:cstheme="minorHAnsi"/>
                <w:sz w:val="24"/>
                <w:szCs w:val="24"/>
              </w:rPr>
              <w:t>comp</w:t>
            </w:r>
            <w:r w:rsidRPr="0043547B">
              <w:rPr>
                <w:rFonts w:cstheme="minorHAnsi"/>
                <w:sz w:val="24"/>
                <w:szCs w:val="24"/>
              </w:rPr>
              <w:t>lémentaires pour l’application de ce document aux adaptateurs.</w:t>
            </w:r>
          </w:p>
          <w:p w:rsidR="00D863F5" w:rsidRPr="0043547B" w:rsidRDefault="00142412" w:rsidP="00D863F5">
            <w:pPr>
              <w:spacing w:after="0" w:line="240" w:lineRule="auto"/>
              <w:jc w:val="both"/>
              <w:rPr>
                <w:rFonts w:cstheme="minorHAnsi"/>
                <w:sz w:val="24"/>
                <w:szCs w:val="24"/>
              </w:rPr>
            </w:pPr>
            <w:r w:rsidRPr="0043547B">
              <w:rPr>
                <w:rFonts w:cstheme="minorHAnsi"/>
                <w:sz w:val="24"/>
                <w:szCs w:val="24"/>
              </w:rPr>
              <w:t>L’Annexe CC contient les exigences particulières pour les appareils équipés de parafoudres.</w:t>
            </w:r>
            <w:r w:rsidRPr="0043547B">
              <w:rPr>
                <w:rFonts w:cstheme="minorHAnsi"/>
                <w:sz w:val="24"/>
                <w:szCs w:val="24"/>
              </w:rPr>
              <w:br/>
              <w:t>L'Annexe DD contient les exigences particulières pour les prises de courant destinées aux guirlandes lumineuses.</w:t>
            </w:r>
          </w:p>
          <w:p w:rsidR="00D863F5" w:rsidRPr="0043547B" w:rsidRDefault="00142412" w:rsidP="00D863F5">
            <w:pPr>
              <w:spacing w:after="0" w:line="240" w:lineRule="auto"/>
              <w:jc w:val="both"/>
              <w:rPr>
                <w:rFonts w:cstheme="minorHAnsi"/>
                <w:sz w:val="24"/>
                <w:szCs w:val="24"/>
              </w:rPr>
            </w:pPr>
            <w:r w:rsidRPr="0043547B">
              <w:rPr>
                <w:rFonts w:cstheme="minorHAnsi"/>
                <w:sz w:val="24"/>
                <w:szCs w:val="24"/>
              </w:rPr>
              <w:t>L'Annexe EE contient les exigences particulières pour les socles dont la face d'engagement mobile, au repos, affleure le haut du puits.</w:t>
            </w:r>
          </w:p>
          <w:p w:rsidR="00D863F5" w:rsidRPr="0043547B" w:rsidRDefault="00142412" w:rsidP="00D863F5">
            <w:pPr>
              <w:spacing w:after="0" w:line="240" w:lineRule="auto"/>
              <w:jc w:val="both"/>
              <w:rPr>
                <w:rFonts w:cstheme="minorHAnsi"/>
                <w:sz w:val="24"/>
                <w:szCs w:val="24"/>
              </w:rPr>
            </w:pPr>
            <w:r w:rsidRPr="0043547B">
              <w:rPr>
                <w:rFonts w:cstheme="minorHAnsi"/>
                <w:sz w:val="24"/>
                <w:szCs w:val="24"/>
              </w:rPr>
              <w:t>L'Annexe FF contient les exigences particulières pour les fiches et/ou socles mobiles présentant un bourrelet sur le corps de la fiche ou sur la collerette du socle.</w:t>
            </w:r>
          </w:p>
          <w:p w:rsidR="00D863F5" w:rsidRPr="0043547B" w:rsidRDefault="00142412" w:rsidP="00D863F5">
            <w:pPr>
              <w:spacing w:after="0" w:line="240" w:lineRule="auto"/>
              <w:jc w:val="both"/>
              <w:rPr>
                <w:rFonts w:cstheme="minorHAnsi"/>
                <w:sz w:val="24"/>
                <w:szCs w:val="24"/>
              </w:rPr>
            </w:pPr>
            <w:r w:rsidRPr="0043547B">
              <w:rPr>
                <w:rFonts w:cstheme="minorHAnsi"/>
                <w:sz w:val="24"/>
                <w:szCs w:val="24"/>
              </w:rPr>
              <w:t>L’Annexe GG contient les exigences pour les références communes de type.</w:t>
            </w:r>
          </w:p>
          <w:p w:rsidR="005B070B" w:rsidRDefault="00142412" w:rsidP="005B070B">
            <w:pPr>
              <w:spacing w:after="0" w:line="240" w:lineRule="auto"/>
              <w:jc w:val="both"/>
              <w:rPr>
                <w:rFonts w:cstheme="minorHAnsi"/>
                <w:sz w:val="24"/>
                <w:szCs w:val="24"/>
              </w:rPr>
            </w:pPr>
            <w:r w:rsidRPr="0043547B">
              <w:rPr>
                <w:rFonts w:cstheme="minorHAnsi"/>
                <w:sz w:val="24"/>
                <w:szCs w:val="24"/>
              </w:rPr>
              <w:t>L’Annexe HH contient les exigences particulières pour les cordons -adaptateurs industriels /domestiques.</w:t>
            </w:r>
          </w:p>
          <w:p w:rsidR="00D863F5" w:rsidRPr="0043547B" w:rsidRDefault="00142412" w:rsidP="005B070B">
            <w:pPr>
              <w:spacing w:after="0" w:line="240" w:lineRule="auto"/>
              <w:jc w:val="both"/>
              <w:rPr>
                <w:rFonts w:cstheme="minorHAnsi"/>
                <w:sz w:val="24"/>
                <w:szCs w:val="24"/>
              </w:rPr>
            </w:pPr>
            <w:r w:rsidRPr="0043547B">
              <w:rPr>
                <w:rFonts w:cstheme="minorHAnsi"/>
                <w:sz w:val="24"/>
                <w:szCs w:val="24"/>
              </w:rPr>
              <w:t>L’Annexe JJ contient les exigences complémentaires pour les appareils rotatifs. L’Annexe LL contient les exigences complémentaires pour les socles fixes et les fiches 16 A/250 V adaptés à la recharge des batteries des véhicules électriques jusqu’ à 16 A.</w:t>
            </w:r>
          </w:p>
          <w:p w:rsidR="00D863F5" w:rsidRPr="0043547B" w:rsidRDefault="00142412" w:rsidP="00D863F5">
            <w:pPr>
              <w:spacing w:after="0" w:line="240" w:lineRule="auto"/>
              <w:jc w:val="both"/>
              <w:rPr>
                <w:rFonts w:cstheme="minorHAnsi"/>
                <w:sz w:val="24"/>
                <w:szCs w:val="24"/>
              </w:rPr>
            </w:pPr>
            <w:r w:rsidRPr="0043547B">
              <w:rPr>
                <w:rFonts w:cstheme="minorHAnsi"/>
                <w:sz w:val="24"/>
                <w:szCs w:val="24"/>
              </w:rPr>
              <w:t>Le présent document ne s'applique pas :</w:t>
            </w:r>
          </w:p>
          <w:p w:rsidR="00D863F5" w:rsidRPr="0043547B" w:rsidRDefault="00142412" w:rsidP="00D863F5">
            <w:pPr>
              <w:spacing w:after="0" w:line="240" w:lineRule="auto"/>
              <w:jc w:val="both"/>
              <w:rPr>
                <w:rFonts w:cstheme="minorHAnsi"/>
                <w:sz w:val="24"/>
                <w:szCs w:val="24"/>
              </w:rPr>
            </w:pPr>
            <w:r w:rsidRPr="0043547B">
              <w:rPr>
                <w:rFonts w:cstheme="minorHAnsi"/>
                <w:sz w:val="24"/>
                <w:szCs w:val="24"/>
              </w:rPr>
              <w:t>- aux fiches, socles et connecteurs pour usages industriels ;</w:t>
            </w:r>
          </w:p>
          <w:p w:rsidR="00D863F5" w:rsidRPr="0043547B" w:rsidRDefault="00142412" w:rsidP="00D863F5">
            <w:pPr>
              <w:spacing w:after="0" w:line="240" w:lineRule="auto"/>
              <w:jc w:val="both"/>
              <w:rPr>
                <w:rFonts w:cstheme="minorHAnsi"/>
                <w:sz w:val="24"/>
                <w:szCs w:val="24"/>
              </w:rPr>
            </w:pPr>
            <w:r w:rsidRPr="0043547B">
              <w:rPr>
                <w:rFonts w:cstheme="minorHAnsi"/>
                <w:sz w:val="24"/>
                <w:szCs w:val="24"/>
              </w:rPr>
              <w:t>- aux connecteurs ;</w:t>
            </w:r>
          </w:p>
          <w:p w:rsidR="00D863F5" w:rsidRPr="0043547B" w:rsidRDefault="00142412" w:rsidP="00D863F5">
            <w:pPr>
              <w:spacing w:after="0" w:line="240" w:lineRule="auto"/>
              <w:jc w:val="both"/>
              <w:rPr>
                <w:rFonts w:cstheme="minorHAnsi"/>
                <w:sz w:val="24"/>
                <w:szCs w:val="24"/>
              </w:rPr>
            </w:pPr>
            <w:r w:rsidRPr="0043547B">
              <w:rPr>
                <w:rFonts w:cstheme="minorHAnsi"/>
                <w:sz w:val="24"/>
                <w:szCs w:val="24"/>
              </w:rPr>
              <w:t>- aux fiches et socles fixes ou mobiles pour TBT.</w:t>
            </w:r>
          </w:p>
          <w:p w:rsidR="00D863F5" w:rsidRPr="0051032F" w:rsidRDefault="00142412" w:rsidP="00D863F5">
            <w:pPr>
              <w:spacing w:after="0" w:line="240" w:lineRule="auto"/>
              <w:jc w:val="both"/>
              <w:rPr>
                <w:rFonts w:cstheme="minorHAnsi"/>
                <w:i/>
                <w:iCs/>
              </w:rPr>
            </w:pPr>
            <w:r w:rsidRPr="0051032F">
              <w:rPr>
                <w:rFonts w:cstheme="minorHAnsi"/>
                <w:b/>
                <w:bCs/>
                <w:i/>
                <w:iCs/>
              </w:rPr>
              <w:t>NOTE 4</w:t>
            </w:r>
            <w:r w:rsidRPr="0051032F">
              <w:rPr>
                <w:rFonts w:cstheme="minorHAnsi"/>
                <w:i/>
                <w:iCs/>
              </w:rPr>
              <w:t xml:space="preserve"> </w:t>
            </w:r>
            <w:r w:rsidR="00D863F5" w:rsidRPr="0051032F">
              <w:rPr>
                <w:rFonts w:cstheme="minorHAnsi"/>
                <w:i/>
                <w:iCs/>
              </w:rPr>
              <w:t xml:space="preserve">- </w:t>
            </w:r>
            <w:r w:rsidRPr="0051032F">
              <w:rPr>
                <w:rFonts w:cstheme="minorHAnsi"/>
                <w:i/>
                <w:iCs/>
              </w:rPr>
              <w:t>Les valeurs de la TBT sont spécifiées dans la NF C 15-100.</w:t>
            </w:r>
          </w:p>
          <w:p w:rsidR="00D863F5" w:rsidRPr="0051032F" w:rsidRDefault="00142412" w:rsidP="00D863F5">
            <w:pPr>
              <w:spacing w:after="0" w:line="240" w:lineRule="auto"/>
              <w:jc w:val="both"/>
              <w:rPr>
                <w:rFonts w:cstheme="minorHAnsi"/>
              </w:rPr>
            </w:pPr>
            <w:r w:rsidRPr="0051032F">
              <w:rPr>
                <w:rFonts w:cstheme="minorHAnsi"/>
              </w:rPr>
              <w:t>Il convient que les fiches et les socles conformes au présent document soient adaptés à un usage à des températures ambiantes ne dépassant pas habituellement +40 °C, mais dont la moyenne sur une période de 24 h ne dépasse pas +35 °C, avec une température de l'air ambiant dont la limite inférieure est de -5 °C.</w:t>
            </w:r>
          </w:p>
          <w:p w:rsidR="00E2255F" w:rsidRPr="0043547B" w:rsidRDefault="00142412" w:rsidP="00D863F5">
            <w:pPr>
              <w:spacing w:after="0" w:line="240" w:lineRule="auto"/>
              <w:jc w:val="both"/>
              <w:rPr>
                <w:rFonts w:eastAsia="Times New Roman" w:cstheme="minorHAnsi"/>
                <w:i/>
                <w:iCs/>
                <w:sz w:val="24"/>
                <w:szCs w:val="24"/>
                <w:lang w:eastAsia="fr-FR"/>
              </w:rPr>
            </w:pPr>
            <w:r w:rsidRPr="0051032F">
              <w:rPr>
                <w:rFonts w:cstheme="minorHAnsi"/>
                <w:b/>
                <w:bCs/>
                <w:i/>
                <w:iCs/>
              </w:rPr>
              <w:t>NOTE 5</w:t>
            </w:r>
            <w:r w:rsidRPr="0051032F">
              <w:rPr>
                <w:rFonts w:cstheme="minorHAnsi"/>
                <w:i/>
                <w:iCs/>
              </w:rPr>
              <w:t xml:space="preserve"> </w:t>
            </w:r>
            <w:r w:rsidR="00D863F5" w:rsidRPr="0051032F">
              <w:rPr>
                <w:rFonts w:cstheme="minorHAnsi"/>
                <w:i/>
                <w:iCs/>
              </w:rPr>
              <w:t xml:space="preserve">- </w:t>
            </w:r>
            <w:r w:rsidRPr="0051032F">
              <w:rPr>
                <w:rFonts w:cstheme="minorHAnsi"/>
                <w:i/>
                <w:iCs/>
              </w:rPr>
              <w:t>Dans des emplacements présentant des conditions particulières, par exemple à bord de navires, dans des véhicules, etc., et dans des emplacements dangereux où par exemple des explosions peuven t se produire, des constructions spéciales peuvent être prescrites.</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06.6.268</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right w:val="single" w:sz="18" w:space="0" w:color="auto"/>
            </w:tcBorders>
            <w:shd w:val="clear" w:color="auto" w:fill="FFFF99"/>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60998-1 - A1</w:t>
            </w:r>
          </w:p>
        </w:tc>
      </w:tr>
      <w:tr w:rsidR="0043547B" w:rsidRPr="0043547B" w:rsidTr="00CB5DC0">
        <w:trPr>
          <w:trHeight w:val="315"/>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left w:val="single" w:sz="4"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Dispositifs de connexion pour circuit basse tension pour usage domestique et analogue – Règles générales </w:t>
            </w:r>
          </w:p>
        </w:tc>
      </w:tr>
      <w:tr w:rsidR="0043547B" w:rsidRPr="0043547B" w:rsidTr="00CB5DC0">
        <w:trPr>
          <w:trHeight w:val="978"/>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vAlign w:val="bottom"/>
          </w:tcPr>
          <w:p w:rsidR="003444E8" w:rsidRPr="0043547B" w:rsidRDefault="00904E52" w:rsidP="00904E52">
            <w:pPr>
              <w:spacing w:after="0" w:line="240" w:lineRule="auto"/>
              <w:jc w:val="both"/>
              <w:rPr>
                <w:rFonts w:eastAsia="Times New Roman" w:cstheme="minorHAnsi"/>
                <w:w w:val="95"/>
                <w:sz w:val="24"/>
                <w:szCs w:val="24"/>
                <w:lang w:eastAsia="fr-FR"/>
              </w:rPr>
            </w:pPr>
            <w:r w:rsidRPr="0043547B">
              <w:rPr>
                <w:rFonts w:eastAsia="Times New Roman" w:cstheme="minorHAnsi"/>
                <w:sz w:val="24"/>
                <w:szCs w:val="24"/>
                <w:lang w:eastAsia="fr-FR"/>
              </w:rPr>
              <w:t>La norme s'applique aux dispositifs de connexion en tant que parties séparées pour la connexion deux ou plusieurs conducteurs électriques en cuivre rigides (massifs ou câblés) ou souples, ayant une section de 0,5 mm</w:t>
            </w:r>
            <w:r w:rsidRPr="0043547B">
              <w:rPr>
                <w:rFonts w:eastAsia="Times New Roman" w:cstheme="minorHAnsi"/>
                <w:sz w:val="24"/>
                <w:szCs w:val="24"/>
                <w:vertAlign w:val="superscript"/>
                <w:lang w:eastAsia="fr-FR"/>
              </w:rPr>
              <w:t>2</w:t>
            </w:r>
            <w:r w:rsidRPr="0043547B">
              <w:rPr>
                <w:rFonts w:eastAsia="Times New Roman" w:cstheme="minorHAnsi"/>
                <w:sz w:val="24"/>
                <w:szCs w:val="24"/>
                <w:lang w:eastAsia="fr-FR"/>
              </w:rPr>
              <w:t xml:space="preserve"> jusqu'à et y compris 35 mm</w:t>
            </w:r>
            <w:r w:rsidRPr="0043547B">
              <w:rPr>
                <w:rFonts w:eastAsia="Times New Roman" w:cstheme="minorHAnsi"/>
                <w:sz w:val="24"/>
                <w:szCs w:val="24"/>
                <w:vertAlign w:val="superscript"/>
                <w:lang w:eastAsia="fr-FR"/>
              </w:rPr>
              <w:t>2</w:t>
            </w:r>
            <w:r w:rsidRPr="0043547B">
              <w:rPr>
                <w:rFonts w:eastAsia="Times New Roman" w:cstheme="minorHAnsi"/>
                <w:sz w:val="24"/>
                <w:szCs w:val="24"/>
                <w:lang w:eastAsia="fr-FR"/>
              </w:rPr>
              <w:t xml:space="preserve"> avec une tension assignée ne dépassant pas 1 000 V en courant alternatif jusqu'à et y compris 1 000 Hz et </w:t>
            </w:r>
            <w:r w:rsidRPr="0043547B">
              <w:rPr>
                <w:rFonts w:eastAsia="Times New Roman" w:cstheme="minorHAnsi"/>
                <w:w w:val="95"/>
                <w:sz w:val="24"/>
                <w:szCs w:val="24"/>
                <w:lang w:eastAsia="fr-FR"/>
              </w:rPr>
              <w:t xml:space="preserve">1 500 V en courant continu lorsque l'énergie électrique est utilisée pour usages domestiques et analogues. Les dispositifs de connexion conformes à La norme ne doivent pas nécessiter l'utilisation d'outils spéciaux, excepté pour les dispositifs de connexion à capuchon. Cette norme comprend les Règles générales à utiliser conjointement avec la série des normes </w:t>
            </w:r>
            <w:r w:rsidR="003444E8" w:rsidRPr="0043547B">
              <w:rPr>
                <w:rFonts w:eastAsia="Times New Roman" w:cstheme="minorHAnsi"/>
                <w:w w:val="95"/>
                <w:sz w:val="24"/>
                <w:szCs w:val="24"/>
                <w:lang w:eastAsia="fr-FR"/>
              </w:rPr>
              <w:t xml:space="preserve">                  </w:t>
            </w:r>
            <w:r w:rsidRPr="0043547B">
              <w:rPr>
                <w:rFonts w:eastAsia="Times New Roman" w:cstheme="minorHAnsi"/>
                <w:w w:val="95"/>
                <w:sz w:val="24"/>
                <w:szCs w:val="24"/>
                <w:lang w:eastAsia="fr-FR"/>
              </w:rPr>
              <w:t>NM 06.6.269,…., NM 06.6.272 contenant les Règles particulières détaillées.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ne s'applique pas aux bornes prévues pour recevoir des conducteurs préparés (brasure, œillet, embout, etc.) ni aux bornes prévues pour être reliées par un appareil soumis à de fortes vibrations.</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06.6.269</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Equivalence :</w:t>
            </w:r>
          </w:p>
        </w:tc>
        <w:tc>
          <w:tcPr>
            <w:tcW w:w="8080" w:type="dxa"/>
            <w:tcBorders>
              <w:top w:val="single" w:sz="18" w:space="0" w:color="auto"/>
              <w:left w:val="single" w:sz="4" w:space="0" w:color="auto"/>
              <w:right w:val="single" w:sz="18" w:space="0" w:color="auto"/>
            </w:tcBorders>
            <w:shd w:val="clear" w:color="auto" w:fill="FFFF99"/>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60998-2-1</w:t>
            </w:r>
          </w:p>
        </w:tc>
      </w:tr>
      <w:tr w:rsidR="0043547B" w:rsidRPr="0043547B" w:rsidTr="00CB5DC0">
        <w:trPr>
          <w:trHeight w:val="600"/>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left w:val="single" w:sz="4"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Dispositifs de connexion pour circuits basse tension pour usage domestique et analogue – Règles particulières pour dispositifs de connexion en tant que parties séparées à organes de serrage à vis </w:t>
            </w:r>
          </w:p>
        </w:tc>
      </w:tr>
      <w:tr w:rsidR="0043547B" w:rsidRPr="0043547B" w:rsidTr="00CB5DC0">
        <w:trPr>
          <w:trHeight w:val="274"/>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C04DDE" w:rsidP="00904E52">
            <w:pPr>
              <w:spacing w:after="0"/>
              <w:jc w:val="center"/>
              <w:rPr>
                <w:rFonts w:cstheme="minorHAnsi"/>
                <w:b/>
                <w:bCs/>
                <w:sz w:val="24"/>
                <w:szCs w:val="24"/>
              </w:rPr>
            </w:pPr>
            <w:r w:rsidRPr="0043547B">
              <w:rPr>
                <w:rFonts w:cstheme="minorHAnsi"/>
                <w:sz w:val="24"/>
                <w:szCs w:val="24"/>
              </w:rPr>
              <w:br w:type="page"/>
            </w:r>
            <w:r w:rsidR="00904E52"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tcPr>
          <w:p w:rsidR="00904E52" w:rsidRPr="0043547B" w:rsidRDefault="00904E52" w:rsidP="00904E52">
            <w:pPr>
              <w:spacing w:after="0" w:line="240" w:lineRule="auto"/>
              <w:rPr>
                <w:rFonts w:eastAsia="Times New Roman" w:cstheme="minorHAnsi"/>
                <w:sz w:val="24"/>
                <w:szCs w:val="24"/>
                <w:lang w:eastAsia="fr-FR"/>
              </w:rPr>
            </w:pPr>
            <w:r w:rsidRPr="0043547B">
              <w:rPr>
                <w:rFonts w:eastAsia="Times New Roman" w:cstheme="minorHAnsi"/>
                <w:sz w:val="24"/>
                <w:szCs w:val="24"/>
                <w:lang w:eastAsia="fr-FR"/>
              </w:rPr>
              <w:t>L'article de la NM 06.6.268 est applicable avec l’exception suivante :                                Addition : La norme s'applique aux dispositifs de connexion à organes de serrage à vis essentiellement appropriés pour le raccordement des conducteurs non préparés.</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06.6.022</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top w:val="single" w:sz="18" w:space="0" w:color="auto"/>
              <w:left w:val="single" w:sz="4"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Disjoncteurs différentiels pour tableaux de contrôle des instal</w:t>
            </w:r>
            <w:r w:rsidR="00EE5C70" w:rsidRPr="0043547B">
              <w:rPr>
                <w:rFonts w:eastAsia="Times New Roman" w:cstheme="minorHAnsi"/>
                <w:sz w:val="24"/>
                <w:szCs w:val="24"/>
                <w:lang w:eastAsia="fr-FR"/>
              </w:rPr>
              <w:t>lations de première catégorie </w:t>
            </w:r>
            <w:r w:rsidR="00EE5C70" w:rsidRPr="0043547B">
              <w:rPr>
                <w:rFonts w:cstheme="minorHAnsi"/>
                <w:noProof/>
                <w:sz w:val="24"/>
                <w:szCs w:val="24"/>
                <w:lang w:eastAsia="fr-FR"/>
              </w:rPr>
              <w:drawing>
                <wp:inline distT="0" distB="0" distL="0" distR="0" wp14:anchorId="524AE858" wp14:editId="1EC05794">
                  <wp:extent cx="183515" cy="158750"/>
                  <wp:effectExtent l="0" t="0" r="6985" b="0"/>
                  <wp:docPr id="28" name="Image 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8" cstate="print"/>
                          <a:srcRect/>
                          <a:stretch>
                            <a:fillRect/>
                          </a:stretch>
                        </pic:blipFill>
                        <pic:spPr bwMode="auto">
                          <a:xfrm>
                            <a:off x="0" y="0"/>
                            <a:ext cx="185776" cy="160706"/>
                          </a:xfrm>
                          <a:prstGeom prst="rect">
                            <a:avLst/>
                          </a:prstGeom>
                          <a:noFill/>
                          <a:ln w="9525">
                            <a:noFill/>
                            <a:miter lim="800000"/>
                            <a:headEnd/>
                            <a:tailEnd/>
                          </a:ln>
                        </pic:spPr>
                      </pic:pic>
                    </a:graphicData>
                  </a:graphic>
                </wp:inline>
              </w:drawing>
            </w:r>
          </w:p>
        </w:tc>
      </w:tr>
      <w:tr w:rsidR="0043547B" w:rsidRPr="0043547B" w:rsidTr="00CB5DC0">
        <w:trPr>
          <w:trHeight w:val="2400"/>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aux disjoncteurs, dits du type B, à maximum de courant, bipolaires de courant assigné au plus égal à 90 A, de tension assignée égale à 250 V et tétrapolaires de courant assigné au plus égal à 60 A, de tension assigné égale à 440 V pour tableaux de contrôle des installations électriques de première catégorie alimentées en courant alternatif.</w:t>
            </w:r>
            <w:r w:rsidRPr="0043547B">
              <w:rPr>
                <w:rFonts w:eastAsia="Times New Roman" w:cstheme="minorHAnsi"/>
                <w:sz w:val="24"/>
                <w:szCs w:val="24"/>
                <w:lang w:eastAsia="fr-FR"/>
              </w:rPr>
              <w:br/>
              <w:t>Ces disjoncteurs sont tous à courant différentiel résiduel maximal de 500 mA.</w:t>
            </w:r>
            <w:r w:rsidRPr="0043547B">
              <w:rPr>
                <w:rFonts w:eastAsia="Times New Roman" w:cstheme="minorHAnsi"/>
                <w:sz w:val="24"/>
                <w:szCs w:val="24"/>
                <w:lang w:eastAsia="fr-FR"/>
              </w:rPr>
              <w:br/>
              <w:t>La norme ne concerne pas les disjoncteurs généraux ou divisionnaires pour installations de première catégorie ni les disjoncteurs de branchement non différentiels qui font l'objet d'autres normes.</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06.4.080</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right w:val="single" w:sz="18" w:space="0" w:color="auto"/>
            </w:tcBorders>
            <w:shd w:val="clear" w:color="auto" w:fill="FFFF99"/>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60255-5</w:t>
            </w:r>
          </w:p>
        </w:tc>
      </w:tr>
      <w:tr w:rsidR="0043547B" w:rsidRPr="0043547B" w:rsidTr="00CB5DC0">
        <w:trPr>
          <w:trHeight w:val="600"/>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left w:val="single" w:sz="4"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Relais électriques - Coordination de l'isolement des relais de mesure et des dispositifs de protection - Prescriptions et essais </w:t>
            </w:r>
          </w:p>
        </w:tc>
      </w:tr>
      <w:tr w:rsidR="0043547B" w:rsidRPr="0043547B" w:rsidTr="00CB5DC0">
        <w:trPr>
          <w:trHeight w:val="1410"/>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donne des prescriptions générales pour la coordination de l'isolement des relais de mesure et des dispositifs de protection.</w:t>
            </w:r>
          </w:p>
          <w:p w:rsidR="00FA0A4F" w:rsidRPr="0043547B" w:rsidRDefault="00FA0A4F" w:rsidP="00FA0A4F">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Cette norme spécifie, en particulier :</w:t>
            </w:r>
          </w:p>
          <w:p w:rsidR="00FA0A4F" w:rsidRPr="0043547B" w:rsidRDefault="00FA0A4F" w:rsidP="00FA0A4F">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la définition des termes ;</w:t>
            </w:r>
          </w:p>
          <w:p w:rsidR="00FA0A4F" w:rsidRPr="0043547B" w:rsidRDefault="00FA0A4F" w:rsidP="00FA0A4F">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des directives pour la sélection des distances d'isolement et des lignes de fuite et d'autres aspects liés à l'isolation des relais de mesure et des dispositifs de protection ;</w:t>
            </w:r>
          </w:p>
          <w:p w:rsidR="00FA0A4F" w:rsidRPr="0043547B" w:rsidRDefault="00FA0A4F" w:rsidP="00FA0A4F">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des prescriptions pour les essais de tension et la mesure de la résistance d'isolement.</w:t>
            </w:r>
          </w:p>
          <w:p w:rsidR="00FA0A4F" w:rsidRPr="0043547B" w:rsidRDefault="00FA0A4F" w:rsidP="00FA0A4F">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est applicable à l'installation et à l'utilisation à des altitudes allant jusqu'à 2 000 m de dispositifs de tension assignée allant jusqu'à 1 000 V en courant alternatif, pour une fréquence assignée allant jusqu'à 65 Hz, ou de tension assignée allant jusqu'à 1 500 V en courant continu.</w:t>
            </w:r>
          </w:p>
          <w:p w:rsidR="00672771" w:rsidRPr="0043547B" w:rsidRDefault="00FA0A4F" w:rsidP="00EA697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également aux dispositifs auxiliaires associés tels que shunts, résistances en série, transformateurs, etc. utilisés et essayés avec les relais de mesure et les dispositifs de protection comme indiqué ci-dessus, sauf lorsque ces dispositifs sont couverts par d'autres publications de la CEI, par exemple des interfaces de communication.</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06.6.179</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right w:val="single" w:sz="18" w:space="0" w:color="auto"/>
            </w:tcBorders>
            <w:shd w:val="clear" w:color="auto" w:fill="FFFF99"/>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60155 - A1 - A2</w:t>
            </w:r>
          </w:p>
        </w:tc>
      </w:tr>
      <w:tr w:rsidR="0043547B" w:rsidRPr="0043547B" w:rsidTr="00CB5DC0">
        <w:trPr>
          <w:trHeight w:val="315"/>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left w:val="single" w:sz="4"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Coupe-circuit miniatures – Interrupteurs d'amorçage à lueur pour lampes à fluorescence (starters) </w:t>
            </w:r>
          </w:p>
        </w:tc>
      </w:tr>
      <w:tr w:rsidR="0043547B" w:rsidRPr="0043547B" w:rsidTr="00CB5DC0">
        <w:trPr>
          <w:trHeight w:val="418"/>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Domaine d’application :</w:t>
            </w:r>
          </w:p>
        </w:tc>
        <w:tc>
          <w:tcPr>
            <w:tcW w:w="8080" w:type="dxa"/>
            <w:tcBorders>
              <w:left w:val="single" w:sz="4" w:space="0" w:color="auto"/>
              <w:bottom w:val="single" w:sz="18"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aux interrupteurs d'amorçage à lueur amovibles utilisés avec les lampes fluorescentes à cathodes préchauffées ci-après appelés «starters».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section 1 spécifie les prescriptions générales auxquelles les starters doivent être conformes.</w:t>
            </w:r>
            <w:r w:rsidRPr="0043547B">
              <w:rPr>
                <w:rFonts w:eastAsia="Times New Roman" w:cstheme="minorHAnsi"/>
                <w:sz w:val="24"/>
                <w:szCs w:val="24"/>
                <w:lang w:eastAsia="fr-FR"/>
              </w:rPr>
              <w:br/>
              <w:t>La section 2 spécifie des prescriptions de fonctionnement.</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starters sont généralement conçus pour fonctionnement avec une gamme de lampes, selon la tension d'alimentation, le fonctionnement d'une seule lampe ou de lampes en série, la tension maximale de la lampe et les prescriptions d'amorçage de la lampe.</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06.7.058</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right w:val="single" w:sz="18" w:space="0" w:color="auto"/>
            </w:tcBorders>
            <w:shd w:val="clear" w:color="auto" w:fill="FFFF99"/>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60838-1 - A1</w:t>
            </w:r>
          </w:p>
        </w:tc>
      </w:tr>
      <w:tr w:rsidR="0043547B" w:rsidRPr="0043547B" w:rsidTr="00CB5DC0">
        <w:trPr>
          <w:trHeight w:val="315"/>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left w:val="single" w:sz="4"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Douilles diverses pour lampes - Prescriptions générales et essais </w:t>
            </w:r>
          </w:p>
        </w:tc>
      </w:tr>
      <w:tr w:rsidR="0043547B" w:rsidRPr="0043547B" w:rsidTr="00CB5DC0">
        <w:trPr>
          <w:trHeight w:val="3266"/>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vAlign w:val="bottom"/>
          </w:tcPr>
          <w:p w:rsidR="0051032F"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aux douilles de types divers prévues pour être incorporées (et destinées à être utilisées avec les sources lumineuses à usage général, les lampes de projection, les lampes d'illumination et les lampes pour l'éclairage public dotées du culot et répertoriées à titre d'exemple dans l'Annexe A) ainsi qu'aux méthodes d'essai à appliquer pour démontrer la sécurité d'utilisation des lampes dans les douilles.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couvre également les douilles intégrées dans un luminaire. Elle couvre seulement les prescriptions de la douille.</w:t>
            </w:r>
          </w:p>
          <w:p w:rsidR="0051032F"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couvre également les douilles intégrées dans un écran extérieur semblables aux douilles à vis Edison. De telles douilles sont alors essayées selon les paragraphes 8.4; 8.5; 8.6; 9.3; 10.7; 11; 12.2; 12.5; 12.6; 12.7; 13; 15.3; 15.4; 15.5 et 15.9 de la NM 06.6.032.</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exigences relatives aux douilles pour lampes tubulaires à fluorescence, aux douilles à vis Edison et aux douilles à baïonnette font l'objet de normes séparées.</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06.7.104</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right w:val="single" w:sz="18" w:space="0" w:color="auto"/>
            </w:tcBorders>
            <w:shd w:val="clear" w:color="auto" w:fill="FFFF99"/>
            <w:vAlign w:val="bottom"/>
          </w:tcPr>
          <w:p w:rsidR="00904E52" w:rsidRPr="0043547B" w:rsidRDefault="00CC6433"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60598-2-22</w:t>
            </w:r>
          </w:p>
        </w:tc>
      </w:tr>
      <w:tr w:rsidR="0043547B" w:rsidRPr="0043547B" w:rsidTr="00CB5DC0">
        <w:trPr>
          <w:trHeight w:val="315"/>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CC6433" w:rsidRPr="0043547B" w:rsidRDefault="00CC6433" w:rsidP="00CC6433">
            <w:pPr>
              <w:spacing w:after="0"/>
              <w:jc w:val="center"/>
              <w:rPr>
                <w:rFonts w:cstheme="minorHAnsi"/>
                <w:b/>
                <w:bCs/>
                <w:sz w:val="24"/>
                <w:szCs w:val="24"/>
              </w:rPr>
            </w:pPr>
            <w:r w:rsidRPr="0043547B">
              <w:rPr>
                <w:rFonts w:cstheme="minorHAnsi"/>
                <w:b/>
                <w:bCs/>
                <w:sz w:val="24"/>
                <w:szCs w:val="24"/>
              </w:rPr>
              <w:t>Intitulé :</w:t>
            </w:r>
          </w:p>
        </w:tc>
        <w:tc>
          <w:tcPr>
            <w:tcW w:w="8080" w:type="dxa"/>
            <w:tcBorders>
              <w:left w:val="single" w:sz="4" w:space="0" w:color="auto"/>
              <w:right w:val="single" w:sz="18" w:space="0" w:color="auto"/>
            </w:tcBorders>
            <w:vAlign w:val="center"/>
          </w:tcPr>
          <w:p w:rsidR="00CC6433" w:rsidRPr="0043547B" w:rsidRDefault="00CC6433" w:rsidP="00B9055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Luminaires - Partie 2-22 : Exigences particulières - Luminaires pour éclairage de secours</w:t>
            </w:r>
          </w:p>
        </w:tc>
      </w:tr>
      <w:tr w:rsidR="0043547B" w:rsidRPr="0043547B" w:rsidTr="00CB5DC0">
        <w:trPr>
          <w:trHeight w:val="845"/>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CC6433" w:rsidRPr="0043547B" w:rsidRDefault="00CC6433" w:rsidP="00CC6433">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vAlign w:val="center"/>
          </w:tcPr>
          <w:p w:rsidR="00D8756E" w:rsidRPr="0043547B" w:rsidRDefault="00CC6433" w:rsidP="00B9055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partie de l'IEC 60598 spécifie les exigences applicables aux luminaires d'éclairage de secours à utiliser avec des lampes électriques sur des tensions d'alimentation de secours ne dépassant pas 1 000 V.</w:t>
            </w:r>
          </w:p>
          <w:p w:rsidR="00D8756E" w:rsidRPr="0043547B" w:rsidRDefault="00CC6433" w:rsidP="00B9055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Cette partie ne traite pas des effets d'une chute de tension de l'alimentation normale sur les luminaires incorporant des lampes à décharge haute pression.</w:t>
            </w:r>
          </w:p>
          <w:p w:rsidR="0051032F" w:rsidRDefault="00CC6433" w:rsidP="00B9055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Cette partie spécifie les exigences générales applicables aux équipements d'éclairage de secours.</w:t>
            </w:r>
          </w:p>
          <w:p w:rsidR="00CC6433" w:rsidRPr="0043547B" w:rsidRDefault="00CC6433" w:rsidP="00B9055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Cette partie continue d'utiliser le terme "lampe" qui inclut également les "sources lumineuses", si approprié.</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06.7.130</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right w:val="single" w:sz="18" w:space="0" w:color="auto"/>
            </w:tcBorders>
            <w:shd w:val="clear" w:color="auto" w:fill="FFFF99"/>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60598-2-12</w:t>
            </w:r>
          </w:p>
        </w:tc>
      </w:tr>
      <w:tr w:rsidR="0043547B" w:rsidRPr="0043547B" w:rsidTr="00CB5DC0">
        <w:trPr>
          <w:trHeight w:val="315"/>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CC6433" w:rsidRPr="0043547B" w:rsidRDefault="00CC6433" w:rsidP="00CC6433">
            <w:pPr>
              <w:spacing w:after="0"/>
              <w:jc w:val="center"/>
              <w:rPr>
                <w:rFonts w:cstheme="minorHAnsi"/>
                <w:b/>
                <w:bCs/>
                <w:sz w:val="24"/>
                <w:szCs w:val="24"/>
              </w:rPr>
            </w:pPr>
            <w:r w:rsidRPr="0043547B">
              <w:rPr>
                <w:rFonts w:cstheme="minorHAnsi"/>
                <w:b/>
                <w:bCs/>
                <w:sz w:val="24"/>
                <w:szCs w:val="24"/>
              </w:rPr>
              <w:t>Intitulé :</w:t>
            </w:r>
          </w:p>
        </w:tc>
        <w:tc>
          <w:tcPr>
            <w:tcW w:w="8080" w:type="dxa"/>
            <w:tcBorders>
              <w:left w:val="single" w:sz="4" w:space="0" w:color="auto"/>
              <w:right w:val="single" w:sz="18" w:space="0" w:color="auto"/>
            </w:tcBorders>
            <w:vAlign w:val="center"/>
          </w:tcPr>
          <w:p w:rsidR="00CC6433" w:rsidRPr="0043547B" w:rsidRDefault="00CC6433" w:rsidP="00D8756E">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Luminaires - Partie 2-12 : Exigences particulières - Veilleuses montées sur des socles de prise de courant réseau</w:t>
            </w:r>
          </w:p>
        </w:tc>
      </w:tr>
      <w:tr w:rsidR="0043547B" w:rsidRPr="0043547B" w:rsidTr="00CB5DC0">
        <w:trPr>
          <w:trHeight w:val="1835"/>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CC6433" w:rsidRPr="0043547B" w:rsidRDefault="00CC6433" w:rsidP="00CC6433">
            <w:pPr>
              <w:spacing w:after="0"/>
              <w:jc w:val="center"/>
              <w:rPr>
                <w:rFonts w:cstheme="minorHAnsi"/>
                <w:b/>
                <w:bCs/>
                <w:sz w:val="24"/>
                <w:szCs w:val="24"/>
              </w:rPr>
            </w:pPr>
            <w:r w:rsidRPr="0043547B">
              <w:rPr>
                <w:rFonts w:cstheme="minorHAnsi"/>
                <w:b/>
                <w:bCs/>
                <w:sz w:val="24"/>
                <w:szCs w:val="24"/>
              </w:rPr>
              <w:lastRenderedPageBreak/>
              <w:t>Domaine d’application :</w:t>
            </w:r>
          </w:p>
        </w:tc>
        <w:tc>
          <w:tcPr>
            <w:tcW w:w="8080" w:type="dxa"/>
            <w:tcBorders>
              <w:left w:val="single" w:sz="4" w:space="0" w:color="auto"/>
              <w:bottom w:val="single" w:sz="18" w:space="0" w:color="auto"/>
              <w:right w:val="single" w:sz="18" w:space="0" w:color="auto"/>
            </w:tcBorders>
            <w:vAlign w:val="center"/>
          </w:tcPr>
          <w:p w:rsidR="00672771" w:rsidRPr="0043547B" w:rsidRDefault="00CC6433" w:rsidP="005B070B">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La présente partie de la CEI 60598 spécifie les exigences relatives aux veilleuses montées </w:t>
            </w:r>
            <w:r w:rsidR="00672771" w:rsidRPr="0043547B">
              <w:rPr>
                <w:rFonts w:eastAsia="Times New Roman" w:cstheme="minorHAnsi"/>
                <w:sz w:val="24"/>
                <w:szCs w:val="24"/>
                <w:lang w:eastAsia="fr-FR"/>
              </w:rPr>
              <w:t>sur des socles de prise de courant réseau destinées à être utilisées avec des sources lumineuses électriques dont les tensions d’alimentation ne dépassent pas 250 V en courant alternatif 50/60 Hz. Elle doit être lue conjointement avec les sections de la Partie 1 auxquelles il est fait référence.</w:t>
            </w:r>
          </w:p>
          <w:p w:rsidR="00CC6433" w:rsidRPr="0043547B" w:rsidRDefault="00672771" w:rsidP="00672771">
            <w:pPr>
              <w:spacing w:after="0" w:line="240" w:lineRule="auto"/>
              <w:jc w:val="both"/>
              <w:rPr>
                <w:rFonts w:eastAsia="Times New Roman" w:cstheme="minorHAnsi"/>
                <w:i/>
                <w:iCs/>
                <w:sz w:val="24"/>
                <w:szCs w:val="24"/>
                <w:lang w:eastAsia="fr-FR"/>
              </w:rPr>
            </w:pPr>
            <w:r w:rsidRPr="0051032F">
              <w:rPr>
                <w:rFonts w:eastAsia="Times New Roman" w:cstheme="minorHAnsi"/>
                <w:b/>
                <w:bCs/>
                <w:i/>
                <w:iCs/>
                <w:lang w:eastAsia="fr-FR"/>
              </w:rPr>
              <w:t>NOTE </w:t>
            </w:r>
            <w:r w:rsidRPr="0051032F">
              <w:rPr>
                <w:rFonts w:eastAsia="Times New Roman" w:cstheme="minorHAnsi"/>
                <w:i/>
                <w:iCs/>
                <w:lang w:eastAsia="fr-FR"/>
              </w:rPr>
              <w:t>: Cette partie ne traite pas le cas des luminaires pour l’éclairage de surveillance.</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06.7.131</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CC"/>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right w:val="single" w:sz="18" w:space="0" w:color="auto"/>
            </w:tcBorders>
            <w:shd w:val="clear" w:color="auto" w:fill="FFFFCC"/>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60598-2-13</w:t>
            </w:r>
          </w:p>
        </w:tc>
      </w:tr>
      <w:tr w:rsidR="0043547B" w:rsidRPr="0043547B" w:rsidTr="00CB5DC0">
        <w:trPr>
          <w:trHeight w:val="315"/>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CC6433" w:rsidRPr="0043547B" w:rsidRDefault="00CC6433" w:rsidP="00CC6433">
            <w:pPr>
              <w:spacing w:after="0"/>
              <w:jc w:val="center"/>
              <w:rPr>
                <w:rFonts w:cstheme="minorHAnsi"/>
                <w:b/>
                <w:bCs/>
                <w:sz w:val="24"/>
                <w:szCs w:val="24"/>
              </w:rPr>
            </w:pPr>
            <w:r w:rsidRPr="0043547B">
              <w:rPr>
                <w:rFonts w:cstheme="minorHAnsi"/>
                <w:b/>
                <w:bCs/>
                <w:sz w:val="24"/>
                <w:szCs w:val="24"/>
              </w:rPr>
              <w:t>Intitulé :</w:t>
            </w:r>
          </w:p>
        </w:tc>
        <w:tc>
          <w:tcPr>
            <w:tcW w:w="8080" w:type="dxa"/>
            <w:tcBorders>
              <w:left w:val="single" w:sz="4" w:space="0" w:color="auto"/>
              <w:right w:val="single" w:sz="18" w:space="0" w:color="auto"/>
            </w:tcBorders>
            <w:vAlign w:val="center"/>
          </w:tcPr>
          <w:p w:rsidR="00CC6433" w:rsidRPr="0043547B" w:rsidRDefault="00CC6433" w:rsidP="00D8756E">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Luminaires - Partie 2-13 : Règles particulières - Luminaires encastrés dans le sol </w:t>
            </w:r>
          </w:p>
        </w:tc>
      </w:tr>
      <w:tr w:rsidR="0043547B" w:rsidRPr="0043547B" w:rsidTr="00CB5DC0">
        <w:trPr>
          <w:trHeight w:val="2329"/>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CC6433" w:rsidRPr="0043547B" w:rsidRDefault="00CC6433" w:rsidP="00CC6433">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vAlign w:val="center"/>
          </w:tcPr>
          <w:p w:rsidR="00D8756E" w:rsidRPr="0043547B" w:rsidRDefault="00CC6433" w:rsidP="00D8756E">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Partie 2 de la CEI 60598 spécifie les exigences applicables aux luminaires encastrés dans le sol incorporant des sources lumineuses électriques fonctionnant à une tension d’alimentation ne dépassant pas 1 000 V, pour applications intérieures et extérieures telles que jardins, jardins privatifs, voies de passage, parkings, pistes cyclables, passages piétons, zones piétonnes, zones environnantes des piscines à l’exclusion des zones pour TBTS, nurseries et applications similaires.</w:t>
            </w:r>
          </w:p>
          <w:p w:rsidR="00CC6433" w:rsidRPr="0043547B" w:rsidRDefault="00CC6433" w:rsidP="00D8756E">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Cette partie ne couvre pas les luminaires encastrés dans le sol des routes automobiles ainsi que des pistes d’aéroport déjà spécifiés dans la CEI 61827</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06.7.132</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right w:val="single" w:sz="18" w:space="0" w:color="auto"/>
            </w:tcBorders>
            <w:shd w:val="clear" w:color="auto" w:fill="FFFF99"/>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60598-2-17 - A2</w:t>
            </w:r>
          </w:p>
        </w:tc>
      </w:tr>
      <w:tr w:rsidR="0043547B" w:rsidRPr="0043547B" w:rsidTr="00CB5DC0">
        <w:trPr>
          <w:trHeight w:val="600"/>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left w:val="single" w:sz="4"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Luminaires - Règles particulières - Luminaires pour l'éclairage des scènes de théâtre, des studios de télévision, de cinéma et de photographie (à l'extérieur et à l'intérieur) </w:t>
            </w:r>
          </w:p>
        </w:tc>
      </w:tr>
      <w:tr w:rsidR="0043547B" w:rsidRPr="0043547B" w:rsidTr="00CB5DC0">
        <w:trPr>
          <w:trHeight w:val="2226"/>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tcPr>
          <w:p w:rsidR="00904E52" w:rsidRPr="0043547B" w:rsidRDefault="00904E52" w:rsidP="00EA697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détaille les prescriptions applicables aux luminaires pour l'éclairage des scènes de théâtre, des studios de télévision, de cinéma et de photographie (y compris les projecteurs intensifs et extensifs), à utiliser à l'extérieur et à l'intérieur avec des lampes à filament de tungstène, des lampes tubulaires à fluorescence et autres lampes à décharge sur des alimentations ne dépassant pas 1 000 V.</w:t>
            </w:r>
          </w:p>
          <w:p w:rsidR="009D5CCE" w:rsidRPr="0043547B" w:rsidRDefault="00904E52" w:rsidP="00EA697D">
            <w:pPr>
              <w:spacing w:after="0" w:line="240" w:lineRule="auto"/>
              <w:jc w:val="both"/>
              <w:rPr>
                <w:rFonts w:eastAsia="Times New Roman" w:cstheme="minorHAnsi"/>
                <w:i/>
                <w:iCs/>
                <w:sz w:val="24"/>
                <w:szCs w:val="24"/>
                <w:lang w:eastAsia="fr-FR"/>
              </w:rPr>
            </w:pPr>
            <w:r w:rsidRPr="0043547B">
              <w:rPr>
                <w:rFonts w:eastAsia="Times New Roman" w:cstheme="minorHAnsi"/>
                <w:b/>
                <w:bCs/>
                <w:i/>
                <w:iCs/>
                <w:sz w:val="24"/>
                <w:szCs w:val="24"/>
                <w:lang w:eastAsia="fr-FR"/>
              </w:rPr>
              <w:t>Note.</w:t>
            </w:r>
            <w:r w:rsidRPr="0043547B">
              <w:rPr>
                <w:rFonts w:eastAsia="Times New Roman" w:cstheme="minorHAnsi"/>
                <w:i/>
                <w:iCs/>
                <w:sz w:val="24"/>
                <w:szCs w:val="24"/>
                <w:lang w:eastAsia="fr-FR"/>
              </w:rPr>
              <w:t xml:space="preserve"> - Les fourches (étriers) de suspension font partie du luminaire. Les dispositifs de suspension tels que trépieds, girafes et supports télescopiques ne font pas partie du luminaire. Les ballasts, s'ils sont nécessaires, peuvent être incorporés dans les luminaires ou montés séparément.</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06.7.133</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right w:val="single" w:sz="18" w:space="0" w:color="auto"/>
            </w:tcBorders>
            <w:shd w:val="clear" w:color="auto" w:fill="FFFF99"/>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60598-2-1 - A1 - A2</w:t>
            </w:r>
          </w:p>
        </w:tc>
      </w:tr>
      <w:tr w:rsidR="0043547B" w:rsidRPr="0043547B" w:rsidTr="00CB5DC0">
        <w:trPr>
          <w:trHeight w:val="315"/>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left w:val="single" w:sz="4"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Douilles diverses pour lampes - Règles particulières - Douilles S14 </w:t>
            </w:r>
          </w:p>
        </w:tc>
      </w:tr>
      <w:tr w:rsidR="0043547B" w:rsidRPr="0043547B" w:rsidTr="00CB5DC0">
        <w:trPr>
          <w:trHeight w:val="900"/>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aux douilles S14 intégrées ainsi qu'aux douilles S14 indépendantes destinées à l'utilisation avec des lampes à incandescence linéaires d'éclairage général (G.L.S.). Les douilles indépendantes sont contrôlées aussi en tant que luminaires.</w:t>
            </w:r>
          </w:p>
        </w:tc>
      </w:tr>
      <w:tr w:rsidR="0043547B" w:rsidRPr="0043547B" w:rsidTr="00CB5DC0">
        <w:trPr>
          <w:trHeight w:val="27"/>
          <w:jc w:val="center"/>
        </w:trPr>
        <w:tc>
          <w:tcPr>
            <w:tcW w:w="1843"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tcPr>
          <w:p w:rsidR="001405FE" w:rsidRPr="0043547B" w:rsidRDefault="001405FE" w:rsidP="001405FE">
            <w:pPr>
              <w:spacing w:after="0"/>
              <w:jc w:val="center"/>
              <w:rPr>
                <w:rFonts w:cstheme="minorHAnsi"/>
                <w:b/>
                <w:bCs/>
                <w:sz w:val="24"/>
                <w:szCs w:val="24"/>
              </w:rPr>
            </w:pPr>
            <w:r w:rsidRPr="0043547B">
              <w:rPr>
                <w:rFonts w:cstheme="minorHAnsi"/>
                <w:b/>
                <w:bCs/>
                <w:sz w:val="24"/>
                <w:szCs w:val="24"/>
              </w:rPr>
              <w:t>Code :</w:t>
            </w:r>
          </w:p>
        </w:tc>
        <w:tc>
          <w:tcPr>
            <w:tcW w:w="8080" w:type="dxa"/>
            <w:tcBorders>
              <w:left w:val="single" w:sz="4" w:space="0" w:color="auto"/>
              <w:bottom w:val="single" w:sz="18" w:space="0" w:color="auto"/>
              <w:right w:val="single" w:sz="18" w:space="0" w:color="auto"/>
            </w:tcBorders>
            <w:shd w:val="clear" w:color="auto" w:fill="C2D69B" w:themeFill="accent3" w:themeFillTint="99"/>
            <w:vAlign w:val="bottom"/>
          </w:tcPr>
          <w:p w:rsidR="001405FE" w:rsidRPr="0043547B" w:rsidRDefault="001405FE" w:rsidP="001405FE">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06.6.059</w:t>
            </w:r>
          </w:p>
        </w:tc>
      </w:tr>
      <w:tr w:rsidR="0043547B" w:rsidRPr="0043547B" w:rsidTr="001405FE">
        <w:trPr>
          <w:trHeight w:val="900"/>
          <w:jc w:val="center"/>
        </w:trPr>
        <w:tc>
          <w:tcPr>
            <w:tcW w:w="1843" w:type="dxa"/>
            <w:tcBorders>
              <w:top w:val="single" w:sz="4" w:space="0" w:color="auto"/>
              <w:left w:val="single" w:sz="18" w:space="0" w:color="auto"/>
              <w:bottom w:val="single" w:sz="4" w:space="0" w:color="auto"/>
              <w:right w:val="single" w:sz="4" w:space="0" w:color="auto"/>
            </w:tcBorders>
            <w:shd w:val="clear" w:color="000000" w:fill="8DB4E2"/>
            <w:vAlign w:val="center"/>
          </w:tcPr>
          <w:p w:rsidR="001405FE" w:rsidRPr="0043547B" w:rsidRDefault="001405FE" w:rsidP="001405FE">
            <w:pPr>
              <w:spacing w:after="0"/>
              <w:jc w:val="center"/>
              <w:rPr>
                <w:rFonts w:cstheme="minorHAnsi"/>
                <w:b/>
                <w:bCs/>
                <w:sz w:val="24"/>
                <w:szCs w:val="24"/>
              </w:rPr>
            </w:pPr>
            <w:r w:rsidRPr="0043547B">
              <w:rPr>
                <w:rFonts w:cstheme="minorHAnsi"/>
                <w:b/>
                <w:bCs/>
                <w:sz w:val="24"/>
                <w:szCs w:val="24"/>
              </w:rPr>
              <w:t>Intitulé :</w:t>
            </w:r>
          </w:p>
        </w:tc>
        <w:tc>
          <w:tcPr>
            <w:tcW w:w="8080" w:type="dxa"/>
            <w:tcBorders>
              <w:top w:val="single" w:sz="4" w:space="0" w:color="auto"/>
              <w:left w:val="single" w:sz="4" w:space="0" w:color="auto"/>
              <w:bottom w:val="single" w:sz="4" w:space="0" w:color="auto"/>
              <w:right w:val="single" w:sz="18" w:space="0" w:color="auto"/>
            </w:tcBorders>
            <w:vAlign w:val="bottom"/>
          </w:tcPr>
          <w:p w:rsidR="001405FE" w:rsidRPr="0043547B" w:rsidRDefault="001405FE" w:rsidP="001405FE">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Matériel pour installations domestiques et analogues-Interrupteurs automatiques de terre à dispositifs différentiels et à déclencheurs à maximum courant-Petits disjoncteurs différentiels généraux ou divisionnaires pour installations de première catégorie</w:t>
            </w:r>
            <w:r w:rsidR="00F24BE1" w:rsidRPr="0043547B">
              <w:rPr>
                <w:rFonts w:cstheme="minorHAnsi"/>
                <w:noProof/>
                <w:sz w:val="24"/>
                <w:szCs w:val="24"/>
                <w:lang w:eastAsia="fr-FR"/>
              </w:rPr>
              <w:drawing>
                <wp:inline distT="0" distB="0" distL="0" distR="0" wp14:anchorId="53EC99E9" wp14:editId="36D974FC">
                  <wp:extent cx="183515" cy="158750"/>
                  <wp:effectExtent l="0" t="0" r="6985" b="0"/>
                  <wp:docPr id="45" name="Image 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8" cstate="print"/>
                          <a:srcRect/>
                          <a:stretch>
                            <a:fillRect/>
                          </a:stretch>
                        </pic:blipFill>
                        <pic:spPr bwMode="auto">
                          <a:xfrm>
                            <a:off x="0" y="0"/>
                            <a:ext cx="185776" cy="160706"/>
                          </a:xfrm>
                          <a:prstGeom prst="rect">
                            <a:avLst/>
                          </a:prstGeom>
                          <a:noFill/>
                          <a:ln w="9525">
                            <a:noFill/>
                            <a:miter lim="800000"/>
                            <a:headEnd/>
                            <a:tailEnd/>
                          </a:ln>
                        </pic:spPr>
                      </pic:pic>
                    </a:graphicData>
                  </a:graphic>
                </wp:inline>
              </w:drawing>
            </w:r>
          </w:p>
        </w:tc>
      </w:tr>
      <w:tr w:rsidR="0043547B" w:rsidRPr="0043547B" w:rsidTr="009D5CCE">
        <w:trPr>
          <w:trHeight w:val="2305"/>
          <w:jc w:val="center"/>
        </w:trPr>
        <w:tc>
          <w:tcPr>
            <w:tcW w:w="1843" w:type="dxa"/>
            <w:tcBorders>
              <w:top w:val="single" w:sz="4" w:space="0" w:color="auto"/>
              <w:left w:val="single" w:sz="18" w:space="0" w:color="auto"/>
              <w:bottom w:val="single" w:sz="18" w:space="0" w:color="auto"/>
              <w:right w:val="single" w:sz="4" w:space="0" w:color="auto"/>
            </w:tcBorders>
            <w:shd w:val="clear" w:color="000000" w:fill="D9D9D9"/>
            <w:vAlign w:val="center"/>
          </w:tcPr>
          <w:p w:rsidR="001405FE" w:rsidRPr="0043547B" w:rsidRDefault="001405FE" w:rsidP="001405FE">
            <w:pPr>
              <w:spacing w:after="0"/>
              <w:jc w:val="center"/>
              <w:rPr>
                <w:rFonts w:cstheme="minorHAnsi"/>
                <w:b/>
                <w:bCs/>
                <w:sz w:val="24"/>
                <w:szCs w:val="24"/>
              </w:rPr>
            </w:pPr>
            <w:r w:rsidRPr="0043547B">
              <w:rPr>
                <w:rFonts w:cstheme="minorHAnsi"/>
                <w:b/>
                <w:bCs/>
                <w:sz w:val="24"/>
                <w:szCs w:val="24"/>
              </w:rPr>
              <w:lastRenderedPageBreak/>
              <w:t>Domaine d’application :</w:t>
            </w:r>
          </w:p>
        </w:tc>
        <w:tc>
          <w:tcPr>
            <w:tcW w:w="8080" w:type="dxa"/>
            <w:tcBorders>
              <w:top w:val="single" w:sz="4" w:space="0" w:color="auto"/>
              <w:left w:val="single" w:sz="4" w:space="0" w:color="auto"/>
              <w:bottom w:val="single" w:sz="18" w:space="0" w:color="auto"/>
              <w:right w:val="single" w:sz="18" w:space="0" w:color="auto"/>
            </w:tcBorders>
            <w:vAlign w:val="bottom"/>
          </w:tcPr>
          <w:p w:rsidR="001405FE" w:rsidRPr="0043547B" w:rsidRDefault="001405FE" w:rsidP="001405FE">
            <w:pPr>
              <w:autoSpaceDE w:val="0"/>
              <w:autoSpaceDN w:val="0"/>
              <w:adjustRightInd w:val="0"/>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marocaine s'applique aux appareils généraux ou divisionnaires constitués par un interrupteur de terre à dispositif différentiel automatique (*) muni d'un déclencheur à maximum de courant, et ayant un courant conventionnel de non-déclenchement ne dépassant pas 130 A, et de tension nominale ne dépassant pas 415 V.</w:t>
            </w:r>
          </w:p>
          <w:p w:rsidR="001405FE" w:rsidRPr="0043547B" w:rsidRDefault="001405FE" w:rsidP="001405FE">
            <w:pPr>
              <w:autoSpaceDE w:val="0"/>
              <w:autoSpaceDN w:val="0"/>
              <w:adjustRightInd w:val="0"/>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Ces appareils sont appelés « petits disjoncteurs différentiels » et désignés dans la suite du texte sous le nom de « disjoncteurs ».</w:t>
            </w:r>
          </w:p>
          <w:p w:rsidR="001405FE" w:rsidRPr="0043547B" w:rsidRDefault="001405FE" w:rsidP="001405FE">
            <w:pPr>
              <w:autoSpaceDE w:val="0"/>
              <w:autoSpaceDN w:val="0"/>
              <w:adjustRightInd w:val="0"/>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 courant conventionnel de non-déclenchement correspond à l'intensité du courant de non</w:t>
            </w:r>
            <w:r w:rsidR="007A33AF" w:rsidRPr="0043547B">
              <w:rPr>
                <w:rFonts w:eastAsia="Times New Roman" w:cstheme="minorHAnsi"/>
                <w:sz w:val="24"/>
                <w:szCs w:val="24"/>
                <w:lang w:eastAsia="fr-FR"/>
              </w:rPr>
              <w:t xml:space="preserve"> </w:t>
            </w:r>
            <w:r w:rsidRPr="0043547B">
              <w:rPr>
                <w:rFonts w:eastAsia="Times New Roman" w:cstheme="minorHAnsi"/>
                <w:sz w:val="24"/>
                <w:szCs w:val="24"/>
                <w:lang w:eastAsia="fr-FR"/>
              </w:rPr>
              <w:t>fusion des fusibles comme indiqué dans les publications internationales.</w:t>
            </w:r>
          </w:p>
        </w:tc>
      </w:tr>
      <w:tr w:rsidR="0043547B" w:rsidRPr="0043547B" w:rsidTr="00CB5DC0">
        <w:trPr>
          <w:trHeight w:val="168"/>
          <w:jc w:val="center"/>
        </w:trPr>
        <w:tc>
          <w:tcPr>
            <w:tcW w:w="1843"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tcPr>
          <w:p w:rsidR="0002072D" w:rsidRPr="0043547B" w:rsidRDefault="0002072D" w:rsidP="0002072D">
            <w:pPr>
              <w:spacing w:after="0"/>
              <w:jc w:val="center"/>
              <w:rPr>
                <w:rFonts w:cstheme="minorHAnsi"/>
                <w:b/>
                <w:bCs/>
                <w:sz w:val="24"/>
                <w:szCs w:val="24"/>
              </w:rPr>
            </w:pPr>
            <w:r w:rsidRPr="0043547B">
              <w:rPr>
                <w:rFonts w:cstheme="minorHAnsi"/>
                <w:b/>
                <w:bCs/>
                <w:sz w:val="24"/>
                <w:szCs w:val="24"/>
              </w:rPr>
              <w:t>Code :</w:t>
            </w:r>
          </w:p>
        </w:tc>
        <w:tc>
          <w:tcPr>
            <w:tcW w:w="8080" w:type="dxa"/>
            <w:tcBorders>
              <w:left w:val="single" w:sz="4" w:space="0" w:color="auto"/>
              <w:bottom w:val="single" w:sz="18" w:space="0" w:color="auto"/>
              <w:right w:val="single" w:sz="18" w:space="0" w:color="auto"/>
            </w:tcBorders>
            <w:shd w:val="clear" w:color="auto" w:fill="C2D69B" w:themeFill="accent3" w:themeFillTint="99"/>
            <w:vAlign w:val="bottom"/>
          </w:tcPr>
          <w:p w:rsidR="0002072D" w:rsidRPr="0043547B" w:rsidRDefault="0002072D" w:rsidP="0002072D">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06.6.018</w:t>
            </w:r>
          </w:p>
        </w:tc>
      </w:tr>
      <w:tr w:rsidR="0043547B" w:rsidRPr="0043547B" w:rsidTr="00CB5DC0">
        <w:trPr>
          <w:trHeight w:val="25"/>
          <w:jc w:val="center"/>
        </w:trPr>
        <w:tc>
          <w:tcPr>
            <w:tcW w:w="1843" w:type="dxa"/>
            <w:tcBorders>
              <w:top w:val="single" w:sz="18" w:space="0" w:color="auto"/>
              <w:left w:val="single" w:sz="18" w:space="0" w:color="auto"/>
              <w:bottom w:val="single" w:sz="4" w:space="0" w:color="auto"/>
              <w:right w:val="single" w:sz="4" w:space="0" w:color="auto"/>
            </w:tcBorders>
            <w:shd w:val="clear" w:color="auto" w:fill="FFFFAF"/>
            <w:vAlign w:val="center"/>
          </w:tcPr>
          <w:p w:rsidR="0002072D" w:rsidRPr="0043547B" w:rsidRDefault="0002072D" w:rsidP="0002072D">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bottom w:val="single" w:sz="4" w:space="0" w:color="auto"/>
              <w:right w:val="single" w:sz="18" w:space="0" w:color="auto"/>
            </w:tcBorders>
            <w:shd w:val="clear" w:color="auto" w:fill="FFFFAF"/>
            <w:vAlign w:val="bottom"/>
          </w:tcPr>
          <w:p w:rsidR="0002072D" w:rsidRPr="0043547B" w:rsidRDefault="0002072D" w:rsidP="0002072D">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EN 60898-1</w:t>
            </w:r>
          </w:p>
        </w:tc>
      </w:tr>
      <w:tr w:rsidR="0043547B" w:rsidRPr="0043547B" w:rsidTr="00CB5DC0">
        <w:trPr>
          <w:trHeight w:val="549"/>
          <w:jc w:val="center"/>
        </w:trPr>
        <w:tc>
          <w:tcPr>
            <w:tcW w:w="1843" w:type="dxa"/>
            <w:tcBorders>
              <w:top w:val="nil"/>
              <w:left w:val="single" w:sz="18" w:space="0" w:color="auto"/>
              <w:bottom w:val="single" w:sz="4" w:space="0" w:color="auto"/>
              <w:right w:val="single" w:sz="4" w:space="0" w:color="auto"/>
            </w:tcBorders>
            <w:shd w:val="clear" w:color="000000" w:fill="8DB4E2"/>
            <w:vAlign w:val="center"/>
          </w:tcPr>
          <w:p w:rsidR="0002072D" w:rsidRPr="0043547B" w:rsidRDefault="0002072D" w:rsidP="0002072D">
            <w:pPr>
              <w:spacing w:after="0"/>
              <w:jc w:val="center"/>
              <w:rPr>
                <w:rFonts w:cstheme="minorHAnsi"/>
                <w:b/>
                <w:bCs/>
                <w:sz w:val="24"/>
                <w:szCs w:val="24"/>
              </w:rPr>
            </w:pPr>
            <w:r w:rsidRPr="0043547B">
              <w:rPr>
                <w:rFonts w:cstheme="minorHAnsi"/>
                <w:b/>
                <w:bCs/>
                <w:sz w:val="24"/>
                <w:szCs w:val="24"/>
              </w:rPr>
              <w:t>Intitulé :</w:t>
            </w:r>
          </w:p>
        </w:tc>
        <w:tc>
          <w:tcPr>
            <w:tcW w:w="8080" w:type="dxa"/>
            <w:tcBorders>
              <w:left w:val="single" w:sz="4" w:space="0" w:color="auto"/>
              <w:bottom w:val="single" w:sz="4" w:space="0" w:color="auto"/>
              <w:right w:val="single" w:sz="18" w:space="0" w:color="auto"/>
            </w:tcBorders>
            <w:vAlign w:val="bottom"/>
          </w:tcPr>
          <w:p w:rsidR="0002072D" w:rsidRPr="0043547B" w:rsidRDefault="0002072D" w:rsidP="0002072D">
            <w:pPr>
              <w:autoSpaceDE w:val="0"/>
              <w:autoSpaceDN w:val="0"/>
              <w:adjustRightInd w:val="0"/>
              <w:spacing w:after="0" w:line="240" w:lineRule="auto"/>
              <w:rPr>
                <w:rFonts w:eastAsia="Times New Roman" w:cstheme="minorHAnsi"/>
                <w:sz w:val="24"/>
                <w:szCs w:val="24"/>
                <w:lang w:eastAsia="fr-FR"/>
              </w:rPr>
            </w:pPr>
            <w:r w:rsidRPr="0043547B">
              <w:rPr>
                <w:rFonts w:eastAsia="Times New Roman" w:cstheme="minorHAnsi"/>
                <w:sz w:val="24"/>
                <w:szCs w:val="24"/>
                <w:lang w:eastAsia="fr-FR"/>
              </w:rPr>
              <w:t>Petit appareillage électrique-Disjoncteurs pour la protection contre les</w:t>
            </w:r>
          </w:p>
          <w:p w:rsidR="0002072D" w:rsidRPr="0043547B" w:rsidRDefault="0002072D" w:rsidP="0002072D">
            <w:pPr>
              <w:autoSpaceDE w:val="0"/>
              <w:autoSpaceDN w:val="0"/>
              <w:adjustRightInd w:val="0"/>
              <w:spacing w:after="0" w:line="240" w:lineRule="auto"/>
              <w:rPr>
                <w:rFonts w:eastAsia="Times New Roman" w:cstheme="minorHAnsi"/>
                <w:sz w:val="24"/>
                <w:szCs w:val="24"/>
                <w:lang w:eastAsia="fr-FR"/>
              </w:rPr>
            </w:pPr>
            <w:r w:rsidRPr="0043547B">
              <w:rPr>
                <w:rFonts w:eastAsia="Times New Roman" w:cstheme="minorHAnsi"/>
                <w:sz w:val="24"/>
                <w:szCs w:val="24"/>
                <w:lang w:eastAsia="fr-FR"/>
              </w:rPr>
              <w:t>surintensités pour installations domestiques et analogues-Disjoncteurs pour le fonctionnement en courant alternatif</w:t>
            </w:r>
            <w:r w:rsidR="00F24BE1" w:rsidRPr="0043547B">
              <w:rPr>
                <w:rFonts w:cstheme="minorHAnsi"/>
                <w:noProof/>
                <w:sz w:val="24"/>
                <w:szCs w:val="24"/>
                <w:lang w:eastAsia="fr-FR"/>
              </w:rPr>
              <w:drawing>
                <wp:inline distT="0" distB="0" distL="0" distR="0" wp14:anchorId="4F69AC41" wp14:editId="2402291C">
                  <wp:extent cx="183515" cy="158750"/>
                  <wp:effectExtent l="0" t="0" r="6985" b="0"/>
                  <wp:docPr id="44" name="Image 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8" cstate="print"/>
                          <a:srcRect/>
                          <a:stretch>
                            <a:fillRect/>
                          </a:stretch>
                        </pic:blipFill>
                        <pic:spPr bwMode="auto">
                          <a:xfrm>
                            <a:off x="0" y="0"/>
                            <a:ext cx="185776" cy="160706"/>
                          </a:xfrm>
                          <a:prstGeom prst="rect">
                            <a:avLst/>
                          </a:prstGeom>
                          <a:noFill/>
                          <a:ln w="9525">
                            <a:noFill/>
                            <a:miter lim="800000"/>
                            <a:headEnd/>
                            <a:tailEnd/>
                          </a:ln>
                        </pic:spPr>
                      </pic:pic>
                    </a:graphicData>
                  </a:graphic>
                </wp:inline>
              </w:drawing>
            </w:r>
          </w:p>
        </w:tc>
      </w:tr>
      <w:tr w:rsidR="0043547B" w:rsidRPr="0043547B" w:rsidTr="00CB5DC0">
        <w:trPr>
          <w:trHeight w:val="276"/>
          <w:jc w:val="center"/>
        </w:trPr>
        <w:tc>
          <w:tcPr>
            <w:tcW w:w="1843" w:type="dxa"/>
            <w:tcBorders>
              <w:top w:val="nil"/>
              <w:left w:val="single" w:sz="18" w:space="0" w:color="auto"/>
              <w:bottom w:val="single" w:sz="18" w:space="0" w:color="auto"/>
              <w:right w:val="single" w:sz="4" w:space="0" w:color="auto"/>
            </w:tcBorders>
            <w:shd w:val="clear" w:color="000000" w:fill="D9D9D9"/>
            <w:vAlign w:val="center"/>
          </w:tcPr>
          <w:p w:rsidR="0002072D" w:rsidRPr="0043547B" w:rsidRDefault="0002072D" w:rsidP="0002072D">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vAlign w:val="bottom"/>
          </w:tcPr>
          <w:p w:rsidR="0002072D" w:rsidRPr="0043547B" w:rsidRDefault="0002072D" w:rsidP="001405FE">
            <w:pPr>
              <w:autoSpaceDE w:val="0"/>
              <w:autoSpaceDN w:val="0"/>
              <w:adjustRightInd w:val="0"/>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marocaine s'applique aux disjoncteurs à coupure dans l'air pour courant alternatif à 50 Hz ou 60 Hz, de tension assignée ne dépassant pas 440 V (entre phases), de courant assigné ne dépassant pas 125 A et d'un pouvoir de coupure assigné ne dépassant pas 25 000 A.</w:t>
            </w:r>
          </w:p>
          <w:p w:rsidR="0002072D" w:rsidRPr="0043547B" w:rsidRDefault="0002072D" w:rsidP="001405FE">
            <w:pPr>
              <w:autoSpaceDE w:val="0"/>
              <w:autoSpaceDN w:val="0"/>
              <w:adjustRightInd w:val="0"/>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Dans la mesure du possible, elle est alignée avec les prescriptions de la NM 06.6.113.</w:t>
            </w:r>
          </w:p>
          <w:p w:rsidR="0002072D" w:rsidRPr="0043547B" w:rsidRDefault="0002072D" w:rsidP="001405FE">
            <w:pPr>
              <w:autoSpaceDE w:val="0"/>
              <w:autoSpaceDN w:val="0"/>
              <w:adjustRightInd w:val="0"/>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Ces disjoncteurs sont destinés à la protection contre les surintensités des installations des bâtiments et autres applications </w:t>
            </w:r>
            <w:r w:rsidR="00D8756E" w:rsidRPr="0043547B">
              <w:rPr>
                <w:rFonts w:eastAsia="Times New Roman" w:cstheme="minorHAnsi"/>
                <w:sz w:val="24"/>
                <w:szCs w:val="24"/>
                <w:lang w:eastAsia="fr-FR"/>
              </w:rPr>
              <w:t>analogues ;</w:t>
            </w:r>
            <w:r w:rsidRPr="0043547B">
              <w:rPr>
                <w:rFonts w:eastAsia="Times New Roman" w:cstheme="minorHAnsi"/>
                <w:sz w:val="24"/>
                <w:szCs w:val="24"/>
                <w:lang w:eastAsia="fr-FR"/>
              </w:rPr>
              <w:t xml:space="preserve"> ils sont conçus pour être utilisés par des personnes non averties et pour ne pas exiger d'entretien.</w:t>
            </w:r>
          </w:p>
          <w:p w:rsidR="0002072D" w:rsidRPr="0043547B" w:rsidRDefault="0002072D" w:rsidP="001405FE">
            <w:pPr>
              <w:autoSpaceDE w:val="0"/>
              <w:autoSpaceDN w:val="0"/>
              <w:adjustRightInd w:val="0"/>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Ils sont destinés à être utilisés dans un environnement avec degré de pollution 2 et catégorie de </w:t>
            </w:r>
            <w:r w:rsidR="00D8756E" w:rsidRPr="0043547B">
              <w:rPr>
                <w:rFonts w:eastAsia="Times New Roman" w:cstheme="minorHAnsi"/>
                <w:sz w:val="24"/>
                <w:szCs w:val="24"/>
                <w:lang w:eastAsia="fr-FR"/>
              </w:rPr>
              <w:t>surtension</w:t>
            </w:r>
            <w:r w:rsidRPr="0043547B">
              <w:rPr>
                <w:rFonts w:eastAsia="Times New Roman" w:cstheme="minorHAnsi"/>
                <w:sz w:val="24"/>
                <w:szCs w:val="24"/>
                <w:lang w:eastAsia="fr-FR"/>
              </w:rPr>
              <w:t xml:space="preserve"> III.</w:t>
            </w:r>
          </w:p>
          <w:p w:rsidR="0002072D" w:rsidRPr="0043547B" w:rsidRDefault="0002072D" w:rsidP="001405FE">
            <w:pPr>
              <w:autoSpaceDE w:val="0"/>
              <w:autoSpaceDN w:val="0"/>
              <w:adjustRightInd w:val="0"/>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Ils sont appropriés pour la fonction de sectionnement.</w:t>
            </w:r>
          </w:p>
          <w:p w:rsidR="0002072D" w:rsidRPr="0043547B" w:rsidRDefault="0002072D" w:rsidP="001405FE">
            <w:pPr>
              <w:autoSpaceDE w:val="0"/>
              <w:autoSpaceDN w:val="0"/>
              <w:adjustRightInd w:val="0"/>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disjoncteurs conformes à cette norme sont appropriés pour usage dans les systèmes IT, sous réserve que les spécifications du CEI 60364-4-473 soient satisfaites.</w:t>
            </w:r>
          </w:p>
          <w:p w:rsidR="0002072D" w:rsidRPr="0043547B" w:rsidRDefault="0002072D" w:rsidP="001405FE">
            <w:pPr>
              <w:autoSpaceDE w:val="0"/>
              <w:autoSpaceDN w:val="0"/>
              <w:adjustRightInd w:val="0"/>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s'applique également aux disjoncteurs à calibres multiples, à condition que l'organe de réglage pour le passage d'une valeur discrète à une autre ne soit pas accessible en service normal et ne puisse être effectué sans l'aide d'un outil.</w:t>
            </w:r>
          </w:p>
          <w:p w:rsidR="0002072D" w:rsidRPr="0043547B" w:rsidRDefault="0002072D" w:rsidP="001405FE">
            <w:pPr>
              <w:autoSpaceDE w:val="0"/>
              <w:autoSpaceDN w:val="0"/>
              <w:adjustRightInd w:val="0"/>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ne s'applique pas</w:t>
            </w:r>
          </w:p>
          <w:p w:rsidR="0002072D" w:rsidRPr="0043547B" w:rsidRDefault="0002072D" w:rsidP="001405FE">
            <w:pPr>
              <w:autoSpaceDE w:val="0"/>
              <w:autoSpaceDN w:val="0"/>
              <w:adjustRightInd w:val="0"/>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 aux disjoncteurs destinés à la protection des </w:t>
            </w:r>
            <w:r w:rsidR="00D8756E" w:rsidRPr="0043547B">
              <w:rPr>
                <w:rFonts w:eastAsia="Times New Roman" w:cstheme="minorHAnsi"/>
                <w:sz w:val="24"/>
                <w:szCs w:val="24"/>
                <w:lang w:eastAsia="fr-FR"/>
              </w:rPr>
              <w:t>moteurs ;</w:t>
            </w:r>
          </w:p>
          <w:p w:rsidR="0002072D" w:rsidRPr="0043547B" w:rsidRDefault="0002072D" w:rsidP="001405FE">
            <w:pPr>
              <w:autoSpaceDE w:val="0"/>
              <w:autoSpaceDN w:val="0"/>
              <w:adjustRightInd w:val="0"/>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aux disjoncteurs dont le réglage du courant peut être obtenu par des organes accessibles à l'utilisateur.</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06.7.134</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right w:val="single" w:sz="18" w:space="0" w:color="auto"/>
            </w:tcBorders>
            <w:shd w:val="clear" w:color="auto" w:fill="FFFF99"/>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60838-2-2</w:t>
            </w:r>
          </w:p>
        </w:tc>
      </w:tr>
      <w:tr w:rsidR="0043547B" w:rsidRPr="0043547B" w:rsidTr="00CB5DC0">
        <w:trPr>
          <w:trHeight w:val="315"/>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left w:val="single" w:sz="4"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Douilles diverses pour lampes - Règles particulières - Connecteurs pour modules DEL </w:t>
            </w:r>
          </w:p>
        </w:tc>
      </w:tr>
      <w:tr w:rsidR="0043547B" w:rsidRPr="0043547B" w:rsidTr="00CB5DC0">
        <w:trPr>
          <w:trHeight w:val="600"/>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aux connecteurs intégrés (incluant ceux pour interconnexion entre les modules DEL) des divers types utilisés avec des modules DEL à base circuit imprimé.</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50300</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right w:val="single" w:sz="18" w:space="0" w:color="auto"/>
            </w:tcBorders>
            <w:shd w:val="clear" w:color="auto" w:fill="FFFF99"/>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50300</w:t>
            </w:r>
          </w:p>
        </w:tc>
      </w:tr>
      <w:tr w:rsidR="0043547B" w:rsidRPr="0043547B" w:rsidTr="00CB5DC0">
        <w:trPr>
          <w:trHeight w:val="315"/>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Intitulé :</w:t>
            </w:r>
          </w:p>
        </w:tc>
        <w:tc>
          <w:tcPr>
            <w:tcW w:w="8080" w:type="dxa"/>
            <w:tcBorders>
              <w:left w:val="single" w:sz="4"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Ensembles d'appareillage à basse tension - Règles générales pour les tableaux de poste basse tension</w:t>
            </w:r>
          </w:p>
        </w:tc>
      </w:tr>
      <w:tr w:rsidR="0043547B" w:rsidRPr="0043547B" w:rsidTr="00CB5DC0">
        <w:trPr>
          <w:trHeight w:val="843"/>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Cette norme fournit les exigences complémentaires pour les ensembles d'appareillage à basse tension pour les sous-stations du réseau public de distribution (TTA). Ce sont des ensembles de série (ES) fixes pour installation dans des lieux qui ne sont accessibles pour utilisation qu’aux personnes autorisées ; toutefois, les types pour installation extérieure peuvent être installés dans des lieux accessibles au public.</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Ils sont reliés aux bornes basse tension des transformateurs de distribution au moyen de barres, tiges ou câbles et sont destinés à être utilisés avec des systèmes triphasés basse tension publics.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pièces constitutives particulières telles que fusibles et appareils de connexion conformes à d'autres normes, doivent aussi être conformes aux exigences supplémentaires de la norme.</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62040-1</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right w:val="single" w:sz="18" w:space="0" w:color="auto"/>
            </w:tcBorders>
            <w:shd w:val="clear" w:color="auto" w:fill="FFFF99"/>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62040-1</w:t>
            </w:r>
          </w:p>
        </w:tc>
      </w:tr>
      <w:tr w:rsidR="0043547B" w:rsidRPr="0043547B" w:rsidTr="00CB5DC0">
        <w:trPr>
          <w:trHeight w:val="315"/>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left w:val="single" w:sz="4"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Alimentation sans interruption (ASI) - Partie 1 : Exigences générales et règles de sécurité pour les ASI</w:t>
            </w:r>
          </w:p>
        </w:tc>
      </w:tr>
      <w:tr w:rsidR="0043547B" w:rsidRPr="0043547B" w:rsidTr="00CB5DC0">
        <w:trPr>
          <w:trHeight w:val="845"/>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partie de la CEI 62040 s’applique aux alimentations sans interruption (ASI) possédant un dispositif d’accumulation de l’énergie sur la liaison à courant continu. Elle est utilisée conjointement avec la CEI 60950-1, qui est référencée "RD" (document de référence) dans la norme.</w:t>
            </w:r>
          </w:p>
          <w:p w:rsidR="009225AE"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fonction essentielle des ASI traitées dans La norme est d’assurer la permanence d’une source d’alimentation en courant alternatif. L’ASI peut également servir à améliorer la qualité de la source d’alimentation en la maintenant dans les limites des caractéristiques spécifiées.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aux ASI mobiles, fixes ou installées, pour utilisation sur systèmes de distribution basse tension et destinées à être installées dans toute zone accessible aux opérateurs ou dans des emplacements à accès restreint, selon le cas. Elle spécifie des exigences destinées à assurer la sécurité des opérateurs ou des ouvriers qui peuvent se trouver en contact avec le matériel et, lorsque cela est spécifiquement précisé, du personnel de maintenance.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est destinée à assurer la sécurité des ASI installées, qu’il s’agisse d’un appareil unique ou d’un système d’appareils interconnectés, destiné à être installé, à fonctionner et à être entretenu de la manière prescrite par le constructeur.</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ne concerne pas les ASI réalisées à partir de machines tournantes.</w:t>
            </w:r>
            <w:r w:rsidRPr="0043547B">
              <w:rPr>
                <w:rFonts w:eastAsia="Times New Roman" w:cstheme="minorHAnsi"/>
                <w:sz w:val="24"/>
                <w:szCs w:val="24"/>
                <w:lang w:eastAsia="fr-FR"/>
              </w:rPr>
              <w:br/>
              <w:t>Les exigences et définitions pour la compatibilité électromagnétique (CEM) sont traitées dans la CEI 62040-2.</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62040-1-1</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right w:val="single" w:sz="18" w:space="0" w:color="auto"/>
            </w:tcBorders>
            <w:shd w:val="clear" w:color="auto" w:fill="FFFF99"/>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62040-1-1</w:t>
            </w:r>
          </w:p>
        </w:tc>
      </w:tr>
      <w:tr w:rsidR="0043547B" w:rsidRPr="0043547B" w:rsidTr="00CB5DC0">
        <w:trPr>
          <w:trHeight w:val="600"/>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left w:val="single" w:sz="4"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Alimentations sans interruption (ASI) - Partie 1-1 : prescriptions générales et règles de sécurité pour les ASI utilisées dans des locaux accessibles aux opérateurs</w:t>
            </w:r>
          </w:p>
        </w:tc>
      </w:tr>
      <w:tr w:rsidR="0043547B" w:rsidRPr="0043547B" w:rsidTr="00CB5DC0">
        <w:trPr>
          <w:trHeight w:val="843"/>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partie de la CEI 62040 s’applique aux alimentations sans interruption électroniques (ASI) possédant un dispositif d’accumulation de l’énergie sur la liaison à courant continu.</w:t>
            </w:r>
          </w:p>
          <w:p w:rsidR="009225AE"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est utilisée conjointement avec la CEI 60950-1, qui est référencée «RD» dans la norme.</w:t>
            </w:r>
          </w:p>
          <w:p w:rsidR="009225AE"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lastRenderedPageBreak/>
              <w:t>La fonction essentielle des ASI traitées dans La norme est d’assurer la permanence d’une source d’alimentation en courant alternatif. L’ASI peut également servir à améliorer la qualité de la source d’alimentation en la maintenant dans les limites des caractéristiques spécifiées.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aux ASI mobiles, fixes ou installées, pour utilisation sur systèmes de distribution basse tension et destinées à être installées dans toute zone accessible aux opérateurs et spécifie des exigences destinées à assurer la sécurité des opérateurs ou des ouvriers qui peuvent se trouver en contact avec le matériel et, lorsque cela est spécifiquement précisé, du personnel de maintenance.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est destinée à assurer la sécurité des matériels installés qu’il s’agisse d’un appareil unique ou d’un système d’appareils interconnecté, destiné à être installé, à fonctionner et à être entretenu de la manière prescrite par le constructeur.</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ne concerne pas les ballasts électroniques alimentés en c.c. (CEI 61347 et CEI 60925), les ASI conçues pour être installées dans des locaux électriques séparés et les ASI réalisées à partir de machines tournantes.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exigences générales et règles de sécurité pour les ASI installées dans des locaux d'accès restreint sont traitées dans la CEI 62040-1-2 ; les exigences et définitions pour la compatibilité électromagnétique (CEM) sont traitées dans la CEI 62040-2.</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62040-1-2</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right w:val="single" w:sz="18" w:space="0" w:color="auto"/>
            </w:tcBorders>
            <w:shd w:val="clear" w:color="auto" w:fill="FFFF99"/>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62040-1-2</w:t>
            </w:r>
          </w:p>
        </w:tc>
      </w:tr>
      <w:tr w:rsidR="0043547B" w:rsidRPr="0043547B" w:rsidTr="00CB5DC0">
        <w:trPr>
          <w:trHeight w:val="600"/>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left w:val="single" w:sz="4"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Alimentations sans interruption (ASI) - Partie 1-2 : prescriptions générales et règles de sécurité pour les ASI utilisées dans des locaux d'accès restreint</w:t>
            </w:r>
          </w:p>
        </w:tc>
      </w:tr>
      <w:tr w:rsidR="0043547B" w:rsidRPr="0043547B" w:rsidTr="00CB5DC0">
        <w:trPr>
          <w:trHeight w:val="985"/>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partie de la CEI 62040 s’applique aux alimentations sans interruption électroniques (ASI) possédant un dispositif d’accumulation de l’énergie sur la liaison à courant continu.</w:t>
            </w:r>
          </w:p>
          <w:p w:rsidR="009225AE"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est utilisée conjointement avec la CEI 60950-1, qui est référencée «RD» dans la norme.</w:t>
            </w:r>
          </w:p>
          <w:p w:rsidR="009225AE"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fonction essentielle des ASI traitées dans La norme est d’assurer la permanence d’une source d’alimentation en courant alternatif. L’ASI peut également servir à améliorer la qualité de la source d’alimentation en la maintenant dans les limites des caractéristiques spécifiées.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aux ASI mobiles, fixes ou installées, pour utilisation sur systèmes de distribution basse tension et destinées à être installées dans des locaux d’accès restreints.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spécifie les exigences destinées à assurer la sécurité du personnel de maintenance.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est destinée à assurer la sécurité des matériels installés qu’il s’agisse d’un appareil unique ou d’un système d’appareils interconnecté, destiné à être installé, à fonctionner et à être entretenu de la manière prescrite par le constructeur.</w:t>
            </w:r>
          </w:p>
          <w:p w:rsidR="003444E8" w:rsidRPr="0043547B" w:rsidRDefault="003444E8" w:rsidP="003444E8">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ne concerne pas les ballasts électroniques alimentés en c.c. (CEI 61347 et CEI 60925), ni les ASI réalisées à partir de machines tournantes.</w:t>
            </w:r>
          </w:p>
          <w:p w:rsidR="00904E52" w:rsidRPr="0043547B" w:rsidRDefault="003444E8" w:rsidP="003444E8">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exigences générales et règles de sécurité applicables aux ASI prévues pour être installées dans des locaux accessibles aux opérateurs sont traitées dans la CEI 62040-1-1; les exigences et définitions pour la compatibilité électromagnétique (CEM) sont traitées dans la CEI 62040-2.</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61643-21</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Equivalence :</w:t>
            </w:r>
          </w:p>
        </w:tc>
        <w:tc>
          <w:tcPr>
            <w:tcW w:w="8080" w:type="dxa"/>
            <w:tcBorders>
              <w:top w:val="single" w:sz="18" w:space="0" w:color="auto"/>
              <w:left w:val="single" w:sz="4" w:space="0" w:color="auto"/>
              <w:right w:val="single" w:sz="18" w:space="0" w:color="auto"/>
            </w:tcBorders>
            <w:shd w:val="clear" w:color="auto" w:fill="FFFF99"/>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61643-21 - A1</w:t>
            </w:r>
          </w:p>
        </w:tc>
      </w:tr>
      <w:tr w:rsidR="0043547B" w:rsidRPr="0043547B" w:rsidTr="00CB5DC0">
        <w:trPr>
          <w:trHeight w:val="456"/>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left w:val="single" w:sz="4"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Parafoudres basse-tension - Partie 21 : parafoudres connectés aux réseaux de signaux et de télécommunications - Prescriptions de fonctionnement et méthodes d'essais </w:t>
            </w:r>
          </w:p>
        </w:tc>
      </w:tr>
      <w:tr w:rsidR="0043547B" w:rsidRPr="0043547B" w:rsidTr="00CB5DC0">
        <w:trPr>
          <w:trHeight w:val="1800"/>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est applicable aux dispositifs de protection (parafoudres) contre les effets directs et indirects de la foudre ou des autres surtensions transitoires, pour les réseaux de télécommunications et de transmission de signaux.</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Ces parafoudres sont destinés à protéger les équipements électroniques modernes, connectés aux réseaux de télécommunications et de transmission de signaux, ayant une tension nominale de fonctionnement jusqu'à 1 000 V (efficace) en courant alternatif et 1 500 V en courant continu.</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61643-11</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right w:val="single" w:sz="18" w:space="0" w:color="auto"/>
            </w:tcBorders>
            <w:shd w:val="clear" w:color="auto" w:fill="FFFF99"/>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61643-11 - A1</w:t>
            </w:r>
          </w:p>
        </w:tc>
      </w:tr>
      <w:tr w:rsidR="0043547B" w:rsidRPr="0043547B" w:rsidTr="00CB5DC0">
        <w:trPr>
          <w:trHeight w:val="489"/>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left w:val="single" w:sz="4"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Parafoudres basse-tension - Partie 11 : parafoudres connectés aux systèmes de distribution basse-tension - Prescriptions et essais </w:t>
            </w:r>
          </w:p>
        </w:tc>
      </w:tr>
      <w:tr w:rsidR="0043547B" w:rsidRPr="0043547B" w:rsidTr="00CB5DC0">
        <w:trPr>
          <w:trHeight w:val="900"/>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vAlign w:val="bottom"/>
          </w:tcPr>
          <w:p w:rsidR="00904E52" w:rsidRPr="0043547B" w:rsidRDefault="003444E8"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partie</w:t>
            </w:r>
            <w:r w:rsidR="00904E52" w:rsidRPr="0043547B">
              <w:rPr>
                <w:rFonts w:eastAsia="Times New Roman" w:cstheme="minorHAnsi"/>
                <w:sz w:val="24"/>
                <w:szCs w:val="24"/>
                <w:lang w:eastAsia="fr-FR"/>
              </w:rPr>
              <w:t xml:space="preserve"> de l'EN 61643 est applicable aux dispositifs parafoudres contre les effets directs et indirects de la foudre et autres surtensions transitoires. Ces dispositifs sont assemblés pour être reliés aux circuits de puissance alternative en 50/60 Hz et aux matériels de tension efficace jusqu'à 1 000 V.</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60269-1</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right w:val="single" w:sz="18" w:space="0" w:color="auto"/>
            </w:tcBorders>
            <w:shd w:val="clear" w:color="auto" w:fill="FFFF99"/>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60269-1 - A1</w:t>
            </w:r>
          </w:p>
        </w:tc>
      </w:tr>
      <w:tr w:rsidR="0043547B" w:rsidRPr="0043547B" w:rsidTr="00CB5DC0">
        <w:trPr>
          <w:trHeight w:val="315"/>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left w:val="single" w:sz="4"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Fusibles basse tension - Partie 1 : Exigences générales ; </w:t>
            </w:r>
          </w:p>
        </w:tc>
      </w:tr>
      <w:tr w:rsidR="0043547B" w:rsidRPr="0043547B" w:rsidTr="00CB5DC0">
        <w:trPr>
          <w:trHeight w:val="418"/>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partie de la CEI 60269 est applicable aux fusibles avec éléments de remplacement limiteurs de courant à fusion enfermée et à pouvoir de coupure égal ou supérieur à 6 kA, destinés à assurer la protection des circuits à courant alternatif à fréquence industrielle dont la tension nominale ne dépasse pas 1 000 V, ou des circuits à courant continu dont la tension nominale ne dépasse pas 1 500 V.</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Des parties subséquentes, auxquelles La norme se réfère, énoncent des exigences supplémentaires applicables aux fusibles prévus pour des conditions d'utilisation ou des applications particulières.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Il convient que les éléments de remplacement destinés à être utilisés dans les combinaisons selon la CEI 60947-3 répondent aux exigences.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ne s'applique pas aux fusibles miniatures, ceux-ci faisant l'objet de la CEI 60127.</w:t>
            </w:r>
          </w:p>
          <w:p w:rsidR="003444E8" w:rsidRPr="0043547B" w:rsidRDefault="003444E8" w:rsidP="003444E8">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a pour objet de préciser les caractéristiques des fusibles ou de leurs parties (socle, porte-fusible, élément de remplacement) de manière à permettre leur remplacement par d'autres fusibles ou parties de fusibles ayant les mêmes caractéristiques, à condition qu'ils soient interchangeables en ce qui concerne leurs dimensions. A cette fin, elle traite en particulier :</w:t>
            </w:r>
          </w:p>
          <w:p w:rsidR="003444E8" w:rsidRPr="0043547B" w:rsidRDefault="003444E8" w:rsidP="003444E8">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des caractéristiques suivantes des fusibles :</w:t>
            </w:r>
          </w:p>
          <w:p w:rsidR="003444E8" w:rsidRPr="0043547B" w:rsidRDefault="003444E8" w:rsidP="003444E8">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   - leurs valeurs assignées ;</w:t>
            </w:r>
          </w:p>
          <w:p w:rsidR="003444E8" w:rsidRPr="0043547B" w:rsidRDefault="003444E8" w:rsidP="003444E8">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   - leur isolation ;</w:t>
            </w:r>
          </w:p>
          <w:p w:rsidR="003444E8" w:rsidRPr="0043547B" w:rsidRDefault="003444E8" w:rsidP="003444E8">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   - leurs échauffements en service normal ;</w:t>
            </w:r>
          </w:p>
          <w:p w:rsidR="003444E8" w:rsidRPr="0043547B" w:rsidRDefault="003444E8" w:rsidP="003444E8">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   - leurs puissances dissipée et dissipée acceptable ;</w:t>
            </w:r>
          </w:p>
          <w:p w:rsidR="003444E8" w:rsidRPr="0043547B" w:rsidRDefault="003444E8" w:rsidP="003444E8">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   - leurs caractéristiques temps-courant ;</w:t>
            </w:r>
          </w:p>
          <w:p w:rsidR="003444E8" w:rsidRPr="0043547B" w:rsidRDefault="003444E8" w:rsidP="003444E8">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   - leur pouvoir de coupure ;</w:t>
            </w:r>
          </w:p>
          <w:p w:rsidR="003444E8" w:rsidRPr="0043547B" w:rsidRDefault="003444E8" w:rsidP="003444E8">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   - leur caractéristique d'amplitude du courant coupé et leurs caractéristiques I 2t.</w:t>
            </w:r>
          </w:p>
          <w:p w:rsidR="003444E8" w:rsidRPr="0043547B" w:rsidRDefault="003444E8" w:rsidP="003444E8">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lastRenderedPageBreak/>
              <w:t>– des essais de type destinés à vérifier les caractéristiques des fusibles ;</w:t>
            </w:r>
          </w:p>
          <w:p w:rsidR="00904E52" w:rsidRPr="0043547B" w:rsidRDefault="003444E8" w:rsidP="003444E8">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des indications à porter sur les fusibles.</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CEN/TR 13201-1</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right w:val="single" w:sz="18" w:space="0" w:color="auto"/>
            </w:tcBorders>
            <w:shd w:val="clear" w:color="auto" w:fill="FFFF99"/>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CEN/TR 13201-1</w:t>
            </w:r>
          </w:p>
        </w:tc>
      </w:tr>
      <w:tr w:rsidR="0043547B" w:rsidRPr="0043547B" w:rsidTr="00CB5DC0">
        <w:trPr>
          <w:trHeight w:val="315"/>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left w:val="single" w:sz="4"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Éclairage public - Partie 1 : Sélection des classes d'éclairage ; </w:t>
            </w:r>
          </w:p>
        </w:tc>
      </w:tr>
      <w:tr w:rsidR="0043547B" w:rsidRPr="0043547B" w:rsidTr="00CB5DC0">
        <w:trPr>
          <w:trHeight w:val="4814"/>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 présent document spécifie les classes d’éclairages développées dans l’EN 13201-2. À ce titre, il fait appel à un système visant à définir les zones extérieures de circulation publique en termes de paramètres liés à l'éclairage. Pour aider dans l’utilisation des classes, il suggère une relation pratique entre les différentes séries de classes d'éclairage, en termes de classes comparables ou classes alternatives.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 document donne également des indications pour la sélection de la zone d'étude pour laquelle il convient d'associer les classes d'éclairage définies dans l’EN 13201-2 ainsi que les grilles et la procédure de calcul de l’EN 13201-3 à prendre en compte.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paramètres considérés dans ce document permettent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a) la description d'une situation d'éclairage donnée en considération des aspects </w:t>
            </w:r>
            <w:r w:rsidR="003444E8" w:rsidRPr="0043547B">
              <w:rPr>
                <w:rFonts w:eastAsia="Times New Roman" w:cstheme="minorHAnsi"/>
                <w:sz w:val="24"/>
                <w:szCs w:val="24"/>
                <w:lang w:eastAsia="fr-FR"/>
              </w:rPr>
              <w:t>suivants :</w:t>
            </w:r>
            <w:r w:rsidRPr="0043547B">
              <w:rPr>
                <w:rFonts w:eastAsia="Times New Roman" w:cstheme="minorHAnsi"/>
                <w:sz w:val="24"/>
                <w:szCs w:val="24"/>
                <w:lang w:eastAsia="fr-FR"/>
              </w:rPr>
              <w:br/>
              <w:t>- géométrie de la zone concernée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utilisation de cette zone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influence des conditions environnantes ;</w:t>
            </w:r>
          </w:p>
          <w:p w:rsidR="003444E8"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b) une approche spécifique de la situation pour un emploi approprié de l'énergie.</w:t>
            </w:r>
          </w:p>
          <w:p w:rsidR="003444E8"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 présent document ne se prononce pas sur les critères justifiant ou non l'éclairage d'une zone donnée, ni sur la façon dont il convient d'utiliser une installation d'éclairage.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Par ailleurs, ce document ne donne pas de directives quant au choix des classes d'éclairage pour les gares de péage, les tunnels, les canaux et les écluses.</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13201-2</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right w:val="single" w:sz="18" w:space="0" w:color="auto"/>
            </w:tcBorders>
            <w:shd w:val="clear" w:color="auto" w:fill="FFFF99"/>
            <w:vAlign w:val="bottom"/>
          </w:tcPr>
          <w:p w:rsidR="00904E52" w:rsidRPr="0043547B" w:rsidRDefault="00904E52" w:rsidP="003444E8">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13201-2</w:t>
            </w:r>
          </w:p>
        </w:tc>
      </w:tr>
      <w:tr w:rsidR="0043547B" w:rsidRPr="0043547B" w:rsidTr="00CB5DC0">
        <w:trPr>
          <w:trHeight w:val="189"/>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left w:val="single" w:sz="4" w:space="0" w:color="auto"/>
              <w:right w:val="single" w:sz="18" w:space="0" w:color="auto"/>
            </w:tcBorders>
            <w:vAlign w:val="bottom"/>
          </w:tcPr>
          <w:p w:rsidR="00904E52" w:rsidRPr="0043547B" w:rsidRDefault="00904E52" w:rsidP="003444E8">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Éclairage public - Partie 2 : Exigences de performance </w:t>
            </w:r>
            <w:r w:rsidR="003444E8" w:rsidRPr="0043547B">
              <w:rPr>
                <w:rFonts w:eastAsia="Times New Roman" w:cstheme="minorHAnsi"/>
                <w:sz w:val="24"/>
                <w:szCs w:val="24"/>
                <w:lang w:eastAsia="fr-FR"/>
              </w:rPr>
              <w:t xml:space="preserve"> </w:t>
            </w:r>
            <w:r w:rsidRPr="0043547B">
              <w:rPr>
                <w:rFonts w:eastAsia="Times New Roman" w:cstheme="minorHAnsi"/>
                <w:sz w:val="24"/>
                <w:szCs w:val="24"/>
                <w:lang w:eastAsia="fr-FR"/>
              </w:rPr>
              <w:t xml:space="preserve"> </w:t>
            </w:r>
          </w:p>
        </w:tc>
      </w:tr>
      <w:tr w:rsidR="0043547B" w:rsidRPr="0043547B" w:rsidTr="00CB5DC0">
        <w:trPr>
          <w:trHeight w:val="1163"/>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tcPr>
          <w:p w:rsidR="00904E52" w:rsidRPr="0043547B" w:rsidRDefault="00CA425A" w:rsidP="00904E52">
            <w:pPr>
              <w:spacing w:after="0" w:line="240" w:lineRule="auto"/>
              <w:jc w:val="both"/>
              <w:rPr>
                <w:rFonts w:eastAsia="Times New Roman" w:cstheme="minorHAnsi"/>
                <w:sz w:val="24"/>
                <w:szCs w:val="24"/>
                <w:lang w:eastAsia="fr-FR"/>
              </w:rPr>
            </w:pPr>
            <w:r w:rsidRPr="00CA425A">
              <w:rPr>
                <w:rFonts w:eastAsia="Times New Roman" w:cstheme="minorHAnsi"/>
                <w:sz w:val="24"/>
                <w:szCs w:val="24"/>
                <w:lang w:eastAsia="fr-FR"/>
              </w:rPr>
              <w:t>La présente norme définit les exigences de performance qui sont spécifiées sous forme de classes d’éclairage pour l'éclairage public concernant les besoins visuels des usagers de la route et considère les aspects environnementaux liés à l’éclairage public.</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vAlign w:val="bottom"/>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w:t>
            </w:r>
            <w:r w:rsidRPr="0043547B">
              <w:rPr>
                <w:rFonts w:eastAsia="Times New Roman" w:cstheme="minorHAnsi"/>
                <w:sz w:val="24"/>
                <w:szCs w:val="24"/>
                <w:lang w:eastAsia="fr-FR"/>
              </w:rPr>
              <w:t xml:space="preserve"> </w:t>
            </w:r>
            <w:r w:rsidRPr="0043547B">
              <w:rPr>
                <w:rFonts w:eastAsia="Times New Roman" w:cstheme="minorHAnsi"/>
                <w:b/>
                <w:bCs/>
                <w:sz w:val="24"/>
                <w:szCs w:val="24"/>
                <w:lang w:eastAsia="fr-FR"/>
              </w:rPr>
              <w:t>EN 13201-3</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right w:val="single" w:sz="18" w:space="0" w:color="auto"/>
            </w:tcBorders>
            <w:shd w:val="clear" w:color="auto" w:fill="FFFF99"/>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13201-3</w:t>
            </w:r>
          </w:p>
        </w:tc>
      </w:tr>
      <w:tr w:rsidR="0043547B" w:rsidRPr="0043547B" w:rsidTr="00CB5DC0">
        <w:trPr>
          <w:trHeight w:val="315"/>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left w:val="single" w:sz="4"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Éclairage public - Partie 3 : Calcul des performances ; </w:t>
            </w:r>
          </w:p>
        </w:tc>
      </w:tr>
      <w:tr w:rsidR="0043547B" w:rsidRPr="0043547B" w:rsidTr="00CB5DC0">
        <w:trPr>
          <w:trHeight w:val="900"/>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vAlign w:val="bottom"/>
          </w:tcPr>
          <w:p w:rsidR="00CA425A" w:rsidRPr="00CA425A" w:rsidRDefault="00CA425A" w:rsidP="00CA425A">
            <w:pPr>
              <w:spacing w:after="0" w:line="240" w:lineRule="auto"/>
              <w:jc w:val="both"/>
              <w:rPr>
                <w:rFonts w:eastAsia="Times New Roman" w:cstheme="minorHAnsi"/>
                <w:sz w:val="24"/>
                <w:szCs w:val="24"/>
                <w:lang w:eastAsia="fr-FR"/>
              </w:rPr>
            </w:pPr>
            <w:r w:rsidRPr="00CA425A">
              <w:rPr>
                <w:rFonts w:eastAsia="Times New Roman" w:cstheme="minorHAnsi"/>
                <w:sz w:val="24"/>
                <w:szCs w:val="24"/>
                <w:lang w:eastAsia="fr-FR"/>
              </w:rPr>
              <w:t>La présente norme spécifie les conventions et procédures mathématiques à adopter pour calculer les performances photométriques des installations d’éclairage public conçues conformément aux paramètres décrits dans la NM EN 13201-2 en vue de garantir que chaque calcul d'éclairage est basé sur les mêmes principes mathématiques.</w:t>
            </w:r>
          </w:p>
          <w:p w:rsidR="00904E52" w:rsidRPr="0043547B" w:rsidRDefault="00CA425A" w:rsidP="00CA425A">
            <w:pPr>
              <w:spacing w:after="0" w:line="240" w:lineRule="auto"/>
              <w:jc w:val="both"/>
              <w:rPr>
                <w:rFonts w:eastAsia="Times New Roman" w:cstheme="minorHAnsi"/>
                <w:sz w:val="24"/>
                <w:szCs w:val="24"/>
                <w:lang w:eastAsia="fr-FR"/>
              </w:rPr>
            </w:pPr>
            <w:r w:rsidRPr="00CA425A">
              <w:rPr>
                <w:rFonts w:eastAsia="Times New Roman" w:cstheme="minorHAnsi"/>
                <w:sz w:val="24"/>
                <w:szCs w:val="24"/>
                <w:lang w:eastAsia="fr-FR"/>
              </w:rPr>
              <w:t>La procédure de conception d'une installation d'éclairage nécessite également de connaître les paramètres impliqués dans le modèle décrit, leurs tolérances et leur variabilité. Ces aspects ne sont pas pris en compte dans cette partie de la NM EN 13201, mais une procédure d'analyse de leur contribution aux résultats attendus est proposée</w:t>
            </w:r>
            <w:r>
              <w:rPr>
                <w:rFonts w:eastAsia="Times New Roman" w:cstheme="minorHAnsi"/>
                <w:sz w:val="24"/>
                <w:szCs w:val="24"/>
                <w:lang w:eastAsia="fr-FR"/>
              </w:rPr>
              <w:t xml:space="preserve"> </w:t>
            </w:r>
            <w:r w:rsidRPr="00CA425A">
              <w:rPr>
                <w:rFonts w:eastAsia="Times New Roman" w:cstheme="minorHAnsi"/>
                <w:sz w:val="24"/>
                <w:szCs w:val="24"/>
                <w:lang w:eastAsia="fr-FR"/>
              </w:rPr>
              <w:t>dans la NM EN 13201-4 et peut également être utilisée dans la phase de conception.</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13201-4</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right w:val="single" w:sz="18" w:space="0" w:color="auto"/>
            </w:tcBorders>
            <w:shd w:val="clear" w:color="auto" w:fill="FFFF99"/>
            <w:vAlign w:val="bottom"/>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EN 13201-4</w:t>
            </w:r>
          </w:p>
        </w:tc>
      </w:tr>
      <w:tr w:rsidR="0043547B" w:rsidRPr="0043547B" w:rsidTr="00CB5DC0">
        <w:trPr>
          <w:trHeight w:val="315"/>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left w:val="single" w:sz="4"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Éclairage public - Partie 4 : Méthodes de mesure des performances photométriques ; </w:t>
            </w:r>
          </w:p>
        </w:tc>
      </w:tr>
      <w:tr w:rsidR="0043547B" w:rsidRPr="0043547B" w:rsidTr="00CB5DC0">
        <w:trPr>
          <w:trHeight w:val="900"/>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vAlign w:val="bottom"/>
          </w:tcPr>
          <w:p w:rsidR="00CA425A" w:rsidRPr="00CA425A" w:rsidRDefault="00CA425A" w:rsidP="00CA425A">
            <w:pPr>
              <w:spacing w:after="0" w:line="240" w:lineRule="auto"/>
              <w:jc w:val="both"/>
              <w:rPr>
                <w:rFonts w:eastAsia="Times New Roman" w:cstheme="minorHAnsi"/>
                <w:sz w:val="24"/>
                <w:szCs w:val="24"/>
                <w:lang w:eastAsia="fr-FR"/>
              </w:rPr>
            </w:pPr>
            <w:r w:rsidRPr="00CA425A">
              <w:rPr>
                <w:rFonts w:eastAsia="Times New Roman" w:cstheme="minorHAnsi"/>
                <w:sz w:val="24"/>
                <w:szCs w:val="24"/>
                <w:lang w:eastAsia="fr-FR"/>
              </w:rPr>
              <w:t>La présente norme spécifie les conditions de mesure et les procédures permettant de mesurer les paramètres de qualité photométriques des installations d'éclairage public, c'est-à-dire les grandeurs qui quantifient leurs performances conformément aux classes d'éclairage de la NM EN 13201-2.</w:t>
            </w:r>
          </w:p>
          <w:p w:rsidR="00CA425A" w:rsidRPr="00CA425A" w:rsidRDefault="00CA425A" w:rsidP="00CA425A">
            <w:pPr>
              <w:spacing w:after="0" w:line="240" w:lineRule="auto"/>
              <w:jc w:val="both"/>
              <w:rPr>
                <w:rFonts w:eastAsia="Times New Roman" w:cstheme="minorHAnsi"/>
                <w:sz w:val="24"/>
                <w:szCs w:val="24"/>
                <w:lang w:eastAsia="fr-FR"/>
              </w:rPr>
            </w:pPr>
            <w:r w:rsidRPr="00CA425A">
              <w:rPr>
                <w:rFonts w:eastAsia="Times New Roman" w:cstheme="minorHAnsi"/>
                <w:sz w:val="24"/>
                <w:szCs w:val="24"/>
                <w:lang w:eastAsia="fr-FR"/>
              </w:rPr>
              <w:t>Les paramètres utilisés pour quantifier la performance énergétique des installations d'éclairage public ne sont pas pris en compte.</w:t>
            </w:r>
          </w:p>
          <w:p w:rsidR="00904E52" w:rsidRPr="0043547B" w:rsidRDefault="00CA425A" w:rsidP="00CA425A">
            <w:pPr>
              <w:spacing w:after="0" w:line="240" w:lineRule="auto"/>
              <w:jc w:val="both"/>
              <w:rPr>
                <w:rFonts w:eastAsia="Times New Roman" w:cstheme="minorHAnsi"/>
                <w:sz w:val="24"/>
                <w:szCs w:val="24"/>
                <w:lang w:eastAsia="fr-FR"/>
              </w:rPr>
            </w:pPr>
            <w:r w:rsidRPr="00CA425A">
              <w:rPr>
                <w:rFonts w:eastAsia="Times New Roman" w:cstheme="minorHAnsi"/>
                <w:sz w:val="24"/>
                <w:szCs w:val="24"/>
                <w:lang w:eastAsia="fr-FR"/>
              </w:rPr>
              <w:t>Une méthodologie destinée à évaluer les performances de l'éclairage public en tenant compte des tolérances des paramètres de conception est décrite à l'Annexe A informative.</w:t>
            </w:r>
          </w:p>
        </w:tc>
      </w:tr>
      <w:tr w:rsidR="00CA425A" w:rsidRPr="0043547B" w:rsidTr="00CB5DC0">
        <w:trPr>
          <w:trHeight w:val="278"/>
          <w:jc w:val="center"/>
        </w:trPr>
        <w:tc>
          <w:tcPr>
            <w:tcW w:w="1843"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CA425A" w:rsidRPr="00CA425A" w:rsidRDefault="00CA425A" w:rsidP="009225AE">
            <w:pPr>
              <w:spacing w:after="0"/>
              <w:jc w:val="center"/>
              <w:rPr>
                <w:rFonts w:cstheme="minorHAnsi"/>
                <w:b/>
                <w:bCs/>
                <w:sz w:val="24"/>
                <w:szCs w:val="24"/>
              </w:rPr>
            </w:pPr>
            <w:r w:rsidRPr="00CA425A">
              <w:rPr>
                <w:rFonts w:cstheme="minorHAnsi"/>
                <w:b/>
                <w:bCs/>
                <w:sz w:val="24"/>
                <w:szCs w:val="24"/>
              </w:rPr>
              <w:t>Code :</w:t>
            </w:r>
          </w:p>
        </w:tc>
        <w:tc>
          <w:tcPr>
            <w:tcW w:w="8080" w:type="dxa"/>
            <w:tcBorders>
              <w:left w:val="single" w:sz="4" w:space="0" w:color="auto"/>
              <w:bottom w:val="single" w:sz="18" w:space="0" w:color="auto"/>
              <w:right w:val="single" w:sz="18" w:space="0" w:color="auto"/>
            </w:tcBorders>
            <w:shd w:val="clear" w:color="auto" w:fill="C2D69B" w:themeFill="accent3" w:themeFillTint="99"/>
          </w:tcPr>
          <w:p w:rsidR="00CA425A" w:rsidRPr="00CA425A" w:rsidRDefault="00CA425A" w:rsidP="00CA425A">
            <w:pPr>
              <w:spacing w:after="0"/>
              <w:jc w:val="center"/>
              <w:rPr>
                <w:rFonts w:eastAsia="Times New Roman" w:cstheme="minorHAnsi"/>
                <w:b/>
                <w:bCs/>
                <w:sz w:val="24"/>
                <w:szCs w:val="24"/>
                <w:lang w:eastAsia="fr-FR"/>
              </w:rPr>
            </w:pPr>
            <w:r w:rsidRPr="00CA425A">
              <w:rPr>
                <w:rFonts w:eastAsia="Times New Roman" w:cstheme="minorHAnsi"/>
                <w:b/>
                <w:bCs/>
                <w:sz w:val="24"/>
                <w:szCs w:val="24"/>
                <w:lang w:eastAsia="fr-FR"/>
              </w:rPr>
              <w:t>NM EN 13201-5</w:t>
            </w:r>
          </w:p>
        </w:tc>
      </w:tr>
      <w:tr w:rsidR="00CA425A" w:rsidRPr="0043547B" w:rsidTr="00CB5DC0">
        <w:trPr>
          <w:trHeight w:val="23"/>
          <w:jc w:val="center"/>
        </w:trPr>
        <w:tc>
          <w:tcPr>
            <w:tcW w:w="1843" w:type="dxa"/>
            <w:tcBorders>
              <w:top w:val="single" w:sz="18" w:space="0" w:color="auto"/>
              <w:left w:val="single" w:sz="18" w:space="0" w:color="auto"/>
              <w:bottom w:val="single" w:sz="4" w:space="0" w:color="auto"/>
              <w:right w:val="single" w:sz="4" w:space="0" w:color="auto"/>
            </w:tcBorders>
            <w:shd w:val="clear" w:color="auto" w:fill="FFFF9B"/>
            <w:vAlign w:val="center"/>
          </w:tcPr>
          <w:p w:rsidR="00CA425A" w:rsidRPr="00CA425A" w:rsidRDefault="00CA425A" w:rsidP="00CA425A">
            <w:pPr>
              <w:spacing w:after="0"/>
              <w:jc w:val="center"/>
              <w:rPr>
                <w:rFonts w:cstheme="minorHAnsi"/>
                <w:b/>
                <w:bCs/>
                <w:sz w:val="24"/>
                <w:szCs w:val="24"/>
              </w:rPr>
            </w:pPr>
            <w:r w:rsidRPr="00CA425A">
              <w:rPr>
                <w:rFonts w:cstheme="minorHAnsi"/>
                <w:b/>
                <w:bCs/>
                <w:sz w:val="24"/>
                <w:szCs w:val="24"/>
              </w:rPr>
              <w:t>Equivalence :</w:t>
            </w:r>
          </w:p>
        </w:tc>
        <w:tc>
          <w:tcPr>
            <w:tcW w:w="8080" w:type="dxa"/>
            <w:tcBorders>
              <w:top w:val="single" w:sz="18" w:space="0" w:color="auto"/>
              <w:left w:val="single" w:sz="4" w:space="0" w:color="auto"/>
              <w:bottom w:val="single" w:sz="4" w:space="0" w:color="auto"/>
              <w:right w:val="single" w:sz="18" w:space="0" w:color="auto"/>
            </w:tcBorders>
            <w:shd w:val="clear" w:color="auto" w:fill="FFFF9B"/>
            <w:vAlign w:val="center"/>
          </w:tcPr>
          <w:p w:rsidR="00CA425A" w:rsidRPr="00CA425A" w:rsidRDefault="00CA425A" w:rsidP="00CA425A">
            <w:pPr>
              <w:spacing w:after="0"/>
              <w:jc w:val="center"/>
              <w:rPr>
                <w:rFonts w:eastAsia="Times New Roman" w:cstheme="minorHAnsi"/>
                <w:b/>
                <w:bCs/>
                <w:sz w:val="24"/>
                <w:szCs w:val="24"/>
                <w:lang w:eastAsia="fr-FR"/>
              </w:rPr>
            </w:pPr>
            <w:r w:rsidRPr="00CA425A">
              <w:rPr>
                <w:rFonts w:eastAsia="Times New Roman" w:cstheme="minorHAnsi"/>
                <w:b/>
                <w:bCs/>
                <w:sz w:val="24"/>
                <w:szCs w:val="24"/>
                <w:lang w:eastAsia="fr-FR"/>
              </w:rPr>
              <w:t>EN 13201-5</w:t>
            </w:r>
          </w:p>
        </w:tc>
      </w:tr>
      <w:tr w:rsidR="00CA425A" w:rsidRPr="0043547B" w:rsidTr="00CB5DC0">
        <w:trPr>
          <w:trHeight w:val="23"/>
          <w:jc w:val="center"/>
        </w:trPr>
        <w:tc>
          <w:tcPr>
            <w:tcW w:w="1843" w:type="dxa"/>
            <w:tcBorders>
              <w:top w:val="single" w:sz="4" w:space="0" w:color="auto"/>
              <w:left w:val="single" w:sz="18" w:space="0" w:color="auto"/>
              <w:bottom w:val="single" w:sz="4" w:space="0" w:color="auto"/>
              <w:right w:val="single" w:sz="4" w:space="0" w:color="auto"/>
            </w:tcBorders>
            <w:shd w:val="clear" w:color="auto" w:fill="B8CCE4" w:themeFill="accent1" w:themeFillTint="66"/>
            <w:vAlign w:val="center"/>
          </w:tcPr>
          <w:p w:rsidR="00CA425A" w:rsidRPr="00CA425A" w:rsidRDefault="00CA425A" w:rsidP="00CA425A">
            <w:pPr>
              <w:spacing w:after="0"/>
              <w:jc w:val="center"/>
              <w:rPr>
                <w:rFonts w:cstheme="minorHAnsi"/>
                <w:b/>
                <w:bCs/>
                <w:sz w:val="24"/>
                <w:szCs w:val="24"/>
              </w:rPr>
            </w:pPr>
            <w:r w:rsidRPr="00CA425A">
              <w:rPr>
                <w:rFonts w:cstheme="minorHAnsi"/>
                <w:b/>
                <w:bCs/>
                <w:sz w:val="24"/>
                <w:szCs w:val="24"/>
              </w:rPr>
              <w:t>Intitulé :</w:t>
            </w:r>
          </w:p>
        </w:tc>
        <w:tc>
          <w:tcPr>
            <w:tcW w:w="8080" w:type="dxa"/>
            <w:tcBorders>
              <w:top w:val="single" w:sz="4" w:space="0" w:color="auto"/>
              <w:left w:val="single" w:sz="4" w:space="0" w:color="auto"/>
              <w:bottom w:val="single" w:sz="4" w:space="0" w:color="auto"/>
              <w:right w:val="single" w:sz="18" w:space="0" w:color="auto"/>
            </w:tcBorders>
          </w:tcPr>
          <w:p w:rsidR="00CA425A" w:rsidRPr="00CA425A" w:rsidRDefault="00CA425A" w:rsidP="00CA425A">
            <w:pPr>
              <w:spacing w:after="0"/>
              <w:jc w:val="both"/>
              <w:rPr>
                <w:rFonts w:eastAsia="Times New Roman" w:cstheme="minorHAnsi"/>
                <w:sz w:val="24"/>
                <w:szCs w:val="24"/>
                <w:lang w:eastAsia="fr-FR"/>
              </w:rPr>
            </w:pPr>
            <w:r w:rsidRPr="00CA425A">
              <w:rPr>
                <w:rFonts w:eastAsia="Times New Roman" w:cstheme="minorHAnsi"/>
                <w:sz w:val="24"/>
                <w:szCs w:val="24"/>
                <w:lang w:eastAsia="fr-FR"/>
              </w:rPr>
              <w:t>Éclairage public - Partie 5 : indicateurs de performance énergétique</w:t>
            </w:r>
          </w:p>
        </w:tc>
      </w:tr>
      <w:tr w:rsidR="00CA425A" w:rsidRPr="0043547B" w:rsidTr="00CB5DC0">
        <w:trPr>
          <w:trHeight w:val="900"/>
          <w:jc w:val="center"/>
        </w:trPr>
        <w:tc>
          <w:tcPr>
            <w:tcW w:w="1843" w:type="dxa"/>
            <w:tcBorders>
              <w:top w:val="single" w:sz="4" w:space="0" w:color="auto"/>
              <w:left w:val="single" w:sz="18" w:space="0" w:color="auto"/>
              <w:bottom w:val="single" w:sz="18" w:space="0" w:color="auto"/>
              <w:right w:val="single" w:sz="4" w:space="0" w:color="auto"/>
            </w:tcBorders>
            <w:shd w:val="clear" w:color="000000" w:fill="D9D9D9"/>
            <w:vAlign w:val="center"/>
          </w:tcPr>
          <w:p w:rsidR="00CA425A" w:rsidRPr="00CA425A" w:rsidRDefault="00CA425A" w:rsidP="00CA425A">
            <w:pPr>
              <w:spacing w:after="0"/>
              <w:jc w:val="center"/>
              <w:rPr>
                <w:rFonts w:cstheme="minorHAnsi"/>
                <w:b/>
                <w:bCs/>
                <w:sz w:val="24"/>
                <w:szCs w:val="24"/>
              </w:rPr>
            </w:pPr>
            <w:r w:rsidRPr="00CA425A">
              <w:rPr>
                <w:rFonts w:cstheme="minorHAnsi"/>
                <w:b/>
                <w:bCs/>
                <w:sz w:val="24"/>
                <w:szCs w:val="24"/>
              </w:rPr>
              <w:t>Domaine d’application :</w:t>
            </w:r>
          </w:p>
        </w:tc>
        <w:tc>
          <w:tcPr>
            <w:tcW w:w="8080" w:type="dxa"/>
            <w:tcBorders>
              <w:top w:val="single" w:sz="4" w:space="0" w:color="auto"/>
              <w:left w:val="single" w:sz="4" w:space="0" w:color="auto"/>
              <w:bottom w:val="single" w:sz="18" w:space="0" w:color="auto"/>
              <w:right w:val="single" w:sz="18" w:space="0" w:color="auto"/>
            </w:tcBorders>
            <w:vAlign w:val="bottom"/>
          </w:tcPr>
          <w:p w:rsidR="00CA425A" w:rsidRPr="00CA425A" w:rsidRDefault="00CA425A" w:rsidP="00CA425A">
            <w:pPr>
              <w:rPr>
                <w:rFonts w:eastAsia="Times New Roman" w:cstheme="minorHAnsi"/>
                <w:sz w:val="24"/>
                <w:szCs w:val="24"/>
                <w:lang w:eastAsia="fr-FR"/>
              </w:rPr>
            </w:pPr>
            <w:r w:rsidRPr="00CA425A">
              <w:rPr>
                <w:rFonts w:eastAsia="Times New Roman" w:cstheme="minorHAnsi"/>
                <w:sz w:val="24"/>
                <w:szCs w:val="24"/>
                <w:lang w:eastAsia="fr-FR"/>
              </w:rPr>
              <w:t>Cette norme définit comment calculer les indicateurs de performance énergétique pour les installations d'éclairage public en utilisant l'indicateur de densité de puissance (PDI) DP calculé et l'indicateur de consommation annuelle d'énergie (AECI) DE calculé. L'indicateur de densité de puissance (DP) démontre l'énergie nécessaire pour une installation d'éclairage public, tout en satisfaisant aux exigences d'éclairage pertinentes spécifiées dans la NM EN 13201-2. L'indicateur de consommation annuelle d'énergie (DE) détermine la consommation électrique pendant l'année, même si les exigences d'éclairage pertinentes changent au cours de la nuit ou des saisons.</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60934</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right w:val="single" w:sz="18" w:space="0" w:color="auto"/>
            </w:tcBorders>
            <w:shd w:val="clear" w:color="auto" w:fill="FFFF99"/>
            <w:vAlign w:val="bottom"/>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EN 60934 - A1 - A2</w:t>
            </w:r>
          </w:p>
        </w:tc>
      </w:tr>
      <w:tr w:rsidR="0043547B" w:rsidRPr="0043547B" w:rsidTr="00CB5DC0">
        <w:trPr>
          <w:trHeight w:val="315"/>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left w:val="single" w:sz="4" w:space="0" w:color="auto"/>
              <w:right w:val="single" w:sz="18" w:space="0" w:color="auto"/>
            </w:tcBorders>
            <w:vAlign w:val="bottom"/>
          </w:tcPr>
          <w:p w:rsidR="00904E52" w:rsidRPr="0043547B" w:rsidRDefault="00904E52" w:rsidP="003444E8">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Disjoncteurs pour équipement (DPE) </w:t>
            </w:r>
            <w:r w:rsidR="003444E8" w:rsidRPr="0043547B">
              <w:rPr>
                <w:rFonts w:eastAsia="Times New Roman" w:cstheme="minorHAnsi"/>
                <w:sz w:val="24"/>
                <w:szCs w:val="24"/>
                <w:lang w:eastAsia="fr-FR"/>
              </w:rPr>
              <w:t xml:space="preserve"> </w:t>
            </w:r>
          </w:p>
        </w:tc>
      </w:tr>
      <w:tr w:rsidR="0043547B" w:rsidRPr="0043547B" w:rsidTr="00CB5DC0">
        <w:trPr>
          <w:trHeight w:val="852"/>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est applicable aux dispositifs mécaniques de coupure désignés sous le nom de «disjoncteurs pour équipement» (DPE) destinés à la protection interne des équipements électriques.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est aussi applicable aux dispositifs mécaniques de coupure pour la protection des équipements électriques en cas de manque de tension et/ou de surtension.</w:t>
            </w:r>
            <w:r w:rsidRPr="0043547B">
              <w:rPr>
                <w:rFonts w:eastAsia="Times New Roman" w:cstheme="minorHAnsi"/>
                <w:sz w:val="24"/>
                <w:szCs w:val="24"/>
                <w:lang w:eastAsia="fr-FR"/>
              </w:rPr>
              <w:br/>
              <w:t>Elle est applicable pour des tensions n'excédant pas 440 V en courant alternatif et/ou 250 V en courant continu et un courant assigné n'excédant pas 125 A.</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Cette norme couvre les DPE destinés à :</w:t>
            </w:r>
          </w:p>
          <w:p w:rsidR="00904E52" w:rsidRPr="0043547B" w:rsidRDefault="00904E52" w:rsidP="009225AE">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l'interruption automatique et le réarmement non automatique ou automatique;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l'interruption automatique, le réarmement non automatique ou automatique et les manœuvres manuelles de fermeture ouverture.</w:t>
            </w:r>
          </w:p>
          <w:p w:rsidR="009225AE"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couvre aussi les interrupteurs-OPE dans lesquels les organes d'interruption automatiques sont inhibés ou ne sont pas présents par construction (voir 3.1.3}.</w:t>
            </w:r>
            <w:r w:rsidRPr="0043547B">
              <w:rPr>
                <w:rFonts w:eastAsia="Times New Roman" w:cstheme="minorHAnsi"/>
                <w:sz w:val="24"/>
                <w:szCs w:val="24"/>
                <w:lang w:eastAsia="fr-FR"/>
              </w:rPr>
              <w:br/>
              <w:t>La norme contient toutes les prescriptions nécessaires pour assurer la conformité aux caractéristiques de fonctionnement exigées pour ces appareils par les essais de type.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lastRenderedPageBreak/>
              <w:t>Elle contient également les détails relatifs aux prescriptions et aux modalités d’essais nécessaires pour assurer la reproductibilité des résultats.</w:t>
            </w:r>
          </w:p>
        </w:tc>
      </w:tr>
      <w:tr w:rsidR="009064A0"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64A0" w:rsidRPr="0043547B" w:rsidRDefault="009064A0" w:rsidP="009064A0">
            <w:pPr>
              <w:spacing w:after="0"/>
              <w:jc w:val="center"/>
              <w:rPr>
                <w:rFonts w:cstheme="minorHAnsi"/>
                <w:b/>
                <w:bCs/>
                <w:sz w:val="24"/>
                <w:szCs w:val="24"/>
              </w:rPr>
            </w:pPr>
            <w:r w:rsidRPr="0043547B">
              <w:rPr>
                <w:rFonts w:cstheme="minorHAnsi"/>
                <w:b/>
                <w:bCs/>
                <w:sz w:val="24"/>
                <w:szCs w:val="24"/>
              </w:rPr>
              <w:lastRenderedPageBreak/>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tcPr>
          <w:p w:rsidR="009064A0" w:rsidRDefault="009064A0" w:rsidP="009064A0">
            <w:pPr>
              <w:rPr>
                <w:rFonts w:ascii="Calibri" w:hAnsi="Calibri" w:cs="Calibri"/>
              </w:rPr>
            </w:pPr>
            <w:r>
              <w:rPr>
                <w:rFonts w:ascii="Calibri" w:hAnsi="Calibri" w:cs="Calibri"/>
              </w:rPr>
              <w:t>NM IEC 62052-11</w:t>
            </w:r>
          </w:p>
        </w:tc>
      </w:tr>
      <w:tr w:rsidR="009064A0" w:rsidRPr="0043547B" w:rsidTr="009064A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64A0" w:rsidRPr="0043547B" w:rsidRDefault="009064A0" w:rsidP="009064A0">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right w:val="single" w:sz="18" w:space="0" w:color="auto"/>
            </w:tcBorders>
            <w:shd w:val="clear" w:color="auto" w:fill="FFFF99"/>
            <w:vAlign w:val="center"/>
          </w:tcPr>
          <w:p w:rsidR="009064A0" w:rsidRDefault="009064A0" w:rsidP="009064A0">
            <w:pPr>
              <w:rPr>
                <w:rFonts w:ascii="Calibri" w:hAnsi="Calibri" w:cs="Calibri"/>
              </w:rPr>
            </w:pPr>
            <w:r>
              <w:rPr>
                <w:rFonts w:ascii="Calibri" w:hAnsi="Calibri" w:cs="Calibri"/>
              </w:rPr>
              <w:t>IEC 62052-11</w:t>
            </w:r>
          </w:p>
        </w:tc>
      </w:tr>
      <w:tr w:rsidR="009064A0" w:rsidRPr="0043547B" w:rsidTr="009064A0">
        <w:trPr>
          <w:trHeight w:val="600"/>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64A0" w:rsidRPr="0043547B" w:rsidRDefault="009064A0" w:rsidP="009064A0">
            <w:pPr>
              <w:spacing w:after="0"/>
              <w:jc w:val="center"/>
              <w:rPr>
                <w:rFonts w:cstheme="minorHAnsi"/>
                <w:b/>
                <w:bCs/>
                <w:sz w:val="24"/>
                <w:szCs w:val="24"/>
              </w:rPr>
            </w:pPr>
            <w:r w:rsidRPr="0043547B">
              <w:rPr>
                <w:rFonts w:cstheme="minorHAnsi"/>
                <w:b/>
                <w:bCs/>
                <w:sz w:val="24"/>
                <w:szCs w:val="24"/>
              </w:rPr>
              <w:t>Intitulé :</w:t>
            </w:r>
          </w:p>
        </w:tc>
        <w:tc>
          <w:tcPr>
            <w:tcW w:w="8080" w:type="dxa"/>
            <w:tcBorders>
              <w:left w:val="single" w:sz="4" w:space="0" w:color="auto"/>
              <w:right w:val="single" w:sz="18" w:space="0" w:color="auto"/>
            </w:tcBorders>
          </w:tcPr>
          <w:p w:rsidR="009064A0" w:rsidRDefault="009064A0" w:rsidP="009064A0">
            <w:pPr>
              <w:jc w:val="both"/>
              <w:rPr>
                <w:rFonts w:ascii="Calibri" w:hAnsi="Calibri" w:cs="Calibri"/>
              </w:rPr>
            </w:pPr>
            <w:r>
              <w:rPr>
                <w:rFonts w:ascii="Calibri" w:hAnsi="Calibri" w:cs="Calibri"/>
              </w:rPr>
              <w:t xml:space="preserve">Equipement de comptage de l'électricité (CA) - Prescriptions générales, essais et conditions d'essai - Partie 11 : Equipement de comptage </w:t>
            </w:r>
          </w:p>
        </w:tc>
      </w:tr>
      <w:tr w:rsidR="009064A0" w:rsidRPr="0043547B" w:rsidTr="009064A0">
        <w:trPr>
          <w:trHeight w:val="562"/>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64A0" w:rsidRPr="0043547B" w:rsidRDefault="009064A0" w:rsidP="009064A0">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vAlign w:val="bottom"/>
          </w:tcPr>
          <w:p w:rsidR="009064A0" w:rsidRDefault="009064A0" w:rsidP="009064A0">
            <w:pPr>
              <w:rPr>
                <w:rFonts w:ascii="Calibri" w:hAnsi="Calibri" w:cs="Calibri"/>
              </w:rPr>
            </w:pPr>
            <w:r>
              <w:rPr>
                <w:rFonts w:ascii="Calibri" w:hAnsi="Calibri" w:cs="Calibri"/>
              </w:rPr>
              <w:t>La norme couvre les essais de type pour équipements de comptage d'électricité neufs de type intérieur et extérieur, destinés à la mesure de l'énergie électriquesur des réseaux de fréquence de 50 Hz ou 60 Hz, et avec une tension jusqu’à 600 V.</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62053-61</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right w:val="single" w:sz="18" w:space="0" w:color="auto"/>
            </w:tcBorders>
            <w:shd w:val="clear" w:color="auto" w:fill="FFFF99"/>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62053-61</w:t>
            </w:r>
          </w:p>
        </w:tc>
      </w:tr>
      <w:tr w:rsidR="0043547B" w:rsidRPr="0043547B" w:rsidTr="00CB5DC0">
        <w:trPr>
          <w:trHeight w:val="600"/>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left w:val="single" w:sz="4"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Équipement de comptage de l'électricité (c.a.) - Prescriptions particulières - Partie 61 : puissance absorbée et prescriptions de tension ;     </w:t>
            </w:r>
          </w:p>
        </w:tc>
      </w:tr>
      <w:tr w:rsidR="0043547B" w:rsidRPr="0043547B" w:rsidTr="00CB5DC0">
        <w:trPr>
          <w:trHeight w:val="841"/>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tcPr>
          <w:p w:rsidR="00904E52" w:rsidRPr="0043547B" w:rsidRDefault="00904E52" w:rsidP="003444E8">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w:t>
            </w:r>
            <w:r w:rsidR="003444E8" w:rsidRPr="0043547B">
              <w:rPr>
                <w:rFonts w:eastAsia="Times New Roman" w:cstheme="minorHAnsi"/>
                <w:sz w:val="24"/>
                <w:szCs w:val="24"/>
                <w:lang w:eastAsia="fr-FR"/>
              </w:rPr>
              <w:t xml:space="preserve"> </w:t>
            </w:r>
            <w:r w:rsidRPr="0043547B">
              <w:rPr>
                <w:rFonts w:eastAsia="Times New Roman" w:cstheme="minorHAnsi"/>
                <w:sz w:val="24"/>
                <w:szCs w:val="24"/>
                <w:lang w:eastAsia="fr-FR"/>
              </w:rPr>
              <w:t>est</w:t>
            </w:r>
            <w:r w:rsidR="003444E8" w:rsidRPr="0043547B">
              <w:rPr>
                <w:rFonts w:eastAsia="Times New Roman" w:cstheme="minorHAnsi"/>
                <w:sz w:val="24"/>
                <w:szCs w:val="24"/>
                <w:lang w:eastAsia="fr-FR"/>
              </w:rPr>
              <w:t xml:space="preserve"> </w:t>
            </w:r>
            <w:r w:rsidRPr="0043547B">
              <w:rPr>
                <w:rFonts w:eastAsia="Times New Roman" w:cstheme="minorHAnsi"/>
                <w:sz w:val="24"/>
                <w:szCs w:val="24"/>
                <w:lang w:eastAsia="fr-FR"/>
              </w:rPr>
              <w:t>applicable</w:t>
            </w:r>
            <w:r w:rsidR="003444E8" w:rsidRPr="0043547B">
              <w:rPr>
                <w:rFonts w:eastAsia="Times New Roman" w:cstheme="minorHAnsi"/>
                <w:sz w:val="24"/>
                <w:szCs w:val="24"/>
                <w:lang w:eastAsia="fr-FR"/>
              </w:rPr>
              <w:t xml:space="preserve"> </w:t>
            </w:r>
            <w:r w:rsidRPr="0043547B">
              <w:rPr>
                <w:rFonts w:eastAsia="Times New Roman" w:cstheme="minorHAnsi"/>
                <w:sz w:val="24"/>
                <w:szCs w:val="24"/>
                <w:lang w:eastAsia="fr-FR"/>
              </w:rPr>
              <w:t>uniquement aux «compteurs combinés» de fabrication récente, conçus pour la mesure de plus d'un type d'énergie électrique (par exemple active et  réactive), et aux compteurs comprenant des fonctions additionnelles non incluses dans le domaine d'application de la CEI 60687, de la CEI 61036, de la CEI 61268 et de la norme en préparation pour compteurs statiques d'énergie apparente ; ces fonctions additionnelles, toutes apparentées à l'enregistrement de l'énergie électrique sont relatives par exemple aux indicateurs de maximum, aux horloges</w:t>
            </w:r>
            <w:r w:rsidR="003444E8" w:rsidRPr="0043547B">
              <w:rPr>
                <w:rFonts w:eastAsia="Times New Roman" w:cstheme="minorHAnsi"/>
                <w:sz w:val="24"/>
                <w:szCs w:val="24"/>
                <w:lang w:eastAsia="fr-FR"/>
              </w:rPr>
              <w:t xml:space="preserve"> </w:t>
            </w:r>
            <w:r w:rsidRPr="0043547B">
              <w:rPr>
                <w:rFonts w:eastAsia="Times New Roman" w:cstheme="minorHAnsi"/>
                <w:sz w:val="24"/>
                <w:szCs w:val="24"/>
                <w:lang w:eastAsia="fr-FR"/>
              </w:rPr>
              <w:t>de</w:t>
            </w:r>
            <w:r w:rsidR="003444E8" w:rsidRPr="0043547B">
              <w:rPr>
                <w:rFonts w:eastAsia="Times New Roman" w:cstheme="minorHAnsi"/>
                <w:sz w:val="24"/>
                <w:szCs w:val="24"/>
                <w:lang w:eastAsia="fr-FR"/>
              </w:rPr>
              <w:t xml:space="preserve"> </w:t>
            </w:r>
            <w:r w:rsidRPr="0043547B">
              <w:rPr>
                <w:rFonts w:eastAsia="Times New Roman" w:cstheme="minorHAnsi"/>
                <w:sz w:val="24"/>
                <w:szCs w:val="24"/>
                <w:lang w:eastAsia="fr-FR"/>
              </w:rPr>
              <w:t>commutation, aux récepteurs de télécommande centralisée, etc.</w:t>
            </w:r>
          </w:p>
          <w:p w:rsidR="003444E8" w:rsidRPr="0043547B" w:rsidRDefault="003444E8" w:rsidP="003444E8">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Si d'autres équipements et fonctions ne se rapportant pas à l'enregistrement et à l'échange de l'énergie électrique (tels que les équipements à courants porteurs, les équipements d'enregistrement de courbe de charge, les émetteurs-récepteurs téléphoniques et radiophoniques ou les dispositifs de mesurage de courant et de tension, les équipements d'analyse, etc.) sont intégrés dans le même boîtier de compteur, cette norme s'applique seulement à la partie enregistrement et traitement de l'énergie.</w:t>
            </w:r>
          </w:p>
          <w:p w:rsidR="00904E52" w:rsidRPr="0043547B" w:rsidRDefault="003444E8" w:rsidP="003444E8">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Pour toutes les caractéristiques et fonctions relatives aux compteurs déjà décrites dans des normes existantes, ces dernières sont appliquées pour les caractéristiques et fonctions correspondantes.</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62053-31</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right w:val="single" w:sz="18" w:space="0" w:color="auto"/>
            </w:tcBorders>
            <w:shd w:val="clear" w:color="auto" w:fill="FFFF99"/>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62053-31</w:t>
            </w:r>
          </w:p>
        </w:tc>
      </w:tr>
      <w:tr w:rsidR="0043547B" w:rsidRPr="0043547B" w:rsidTr="00CB5DC0">
        <w:trPr>
          <w:trHeight w:val="600"/>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left w:val="single" w:sz="4"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Équipement de comptage de l'électricité (c.a.) - Prescriptions particulières - Partie 31 : Dispositifs de sortie d'impulsions pour compteurs électromécaniques et électro</w:t>
            </w:r>
            <w:r w:rsidR="009D5CCE" w:rsidRPr="0043547B">
              <w:rPr>
                <w:rFonts w:eastAsia="Times New Roman" w:cstheme="minorHAnsi"/>
                <w:sz w:val="24"/>
                <w:szCs w:val="24"/>
                <w:lang w:eastAsia="fr-FR"/>
              </w:rPr>
              <w:t xml:space="preserve">niques (seulement deux fils) </w:t>
            </w:r>
          </w:p>
        </w:tc>
      </w:tr>
      <w:tr w:rsidR="0043547B" w:rsidRPr="0043547B" w:rsidTr="004E1BDB">
        <w:trPr>
          <w:trHeight w:val="983"/>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La partie de la CEI 62053 est applicable aux dispositifs de sortie d'impulsions à deux fils, passifs avec alimentation externe utilisés dans des compteurs </w:t>
            </w:r>
            <w:r w:rsidR="003444E8" w:rsidRPr="0043547B">
              <w:rPr>
                <w:rFonts w:eastAsia="Times New Roman" w:cstheme="minorHAnsi"/>
                <w:sz w:val="24"/>
                <w:szCs w:val="24"/>
                <w:lang w:eastAsia="fr-FR"/>
              </w:rPr>
              <w:t xml:space="preserve">d'électricité définis dans les </w:t>
            </w:r>
            <w:r w:rsidRPr="0043547B">
              <w:rPr>
                <w:rFonts w:eastAsia="Times New Roman" w:cstheme="minorHAnsi"/>
                <w:sz w:val="24"/>
                <w:szCs w:val="24"/>
                <w:lang w:eastAsia="fr-FR"/>
              </w:rPr>
              <w:t>normes du comité d'études 13 s'y rapportant (voir références normatives</w:t>
            </w:r>
            <w:r w:rsidR="003444E8" w:rsidRPr="0043547B">
              <w:rPr>
                <w:rFonts w:eastAsia="Times New Roman" w:cstheme="minorHAnsi"/>
                <w:sz w:val="24"/>
                <w:szCs w:val="24"/>
                <w:lang w:eastAsia="fr-FR"/>
              </w:rPr>
              <w:t>) ainsi</w:t>
            </w:r>
            <w:r w:rsidRPr="0043547B">
              <w:rPr>
                <w:rFonts w:eastAsia="Times New Roman" w:cstheme="minorHAnsi"/>
                <w:sz w:val="24"/>
                <w:szCs w:val="24"/>
                <w:lang w:eastAsia="fr-FR"/>
              </w:rPr>
              <w:t xml:space="preserve"> que dans les normes futures concernant les compteurs statiques de voltampère heures.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lastRenderedPageBreak/>
              <w:t>De tels dispositifs de sortie d'impulsions sont utilisés pour la transmission d'impulsions représentant une quantité d'énergie limitée à un récepteur (par exemple une unité de commande de tarif).</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62053-22</w:t>
            </w:r>
          </w:p>
        </w:tc>
      </w:tr>
      <w:tr w:rsidR="0043547B" w:rsidRPr="0043547B" w:rsidTr="00CB5DC0">
        <w:trPr>
          <w:trHeight w:val="248"/>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right w:val="single" w:sz="18" w:space="0" w:color="auto"/>
            </w:tcBorders>
            <w:shd w:val="clear" w:color="auto" w:fill="FFFF99"/>
            <w:vAlign w:val="center"/>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62053-22</w:t>
            </w:r>
          </w:p>
        </w:tc>
      </w:tr>
      <w:tr w:rsidR="0043547B" w:rsidRPr="0043547B" w:rsidTr="00CB5DC0">
        <w:trPr>
          <w:trHeight w:val="487"/>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left w:val="single" w:sz="4"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Équipement de comptage de l'électricité (c.a.) - Prescriptions particulières - Partie 22 : Compteurs statiques d'énergie ac</w:t>
            </w:r>
            <w:r w:rsidR="009D5CCE" w:rsidRPr="0043547B">
              <w:rPr>
                <w:rFonts w:eastAsia="Times New Roman" w:cstheme="minorHAnsi"/>
                <w:sz w:val="24"/>
                <w:szCs w:val="24"/>
                <w:lang w:eastAsia="fr-FR"/>
              </w:rPr>
              <w:t>tive (classes 0,2 S et 0,5 S)</w:t>
            </w:r>
            <w:r w:rsidRPr="0043547B">
              <w:rPr>
                <w:rFonts w:eastAsia="Times New Roman" w:cstheme="minorHAnsi"/>
                <w:sz w:val="24"/>
                <w:szCs w:val="24"/>
                <w:lang w:eastAsia="fr-FR"/>
              </w:rPr>
              <w:t xml:space="preserve">  </w:t>
            </w:r>
          </w:p>
        </w:tc>
      </w:tr>
      <w:tr w:rsidR="0043547B" w:rsidRPr="0043547B" w:rsidTr="00CB5DC0">
        <w:trPr>
          <w:trHeight w:val="701"/>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partie de la CEI 62053 est applicable uniquement aux compteurs statiques d'énergie active neufs des classes de précision 0,2 S et 0,5 S, destinés à la mesure de l'énergie électrique active en courant alternatif sur les réseaux électriques en 50 Hz et 60 Hz, et à leurs essais de type.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n'est applicable qu'aux compteurs statiques d'énergie active de type intérieur alimentés par transformateurs, constitués d'un élément de mesure et d'un ou d’éléments indicateurs rassemblés dans un même boîtier. Elle s'applique également à (aux) l'indicateur(s) de fonctionnement et au(x) dispositif(s) de contrôle. Si le compteur a un élément de mesure pour plusieurs types d’énergie (compteurs à énergie multiple), ou si d’autres éléments fonctionnels comme indicateurs de maximum, éléments indicateurs tarifaires électroniques, horloges de contact, récepteurs de télécommande centralisée, interfaces de communication de données, etc. sont encastrés dans le boîtier du compteur, les normes relatives à ces éléments sont applicables.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n'est pas applicable :</w:t>
            </w:r>
          </w:p>
          <w:p w:rsidR="00904E52" w:rsidRPr="0043547B" w:rsidRDefault="00904E52" w:rsidP="00B905D3">
            <w:pPr>
              <w:pStyle w:val="Paragraphedeliste"/>
              <w:numPr>
                <w:ilvl w:val="0"/>
                <w:numId w:val="8"/>
              </w:num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aux compteurs d'énergie active dont la tension entre bornes de connexion dépasse 600 V (entre phases dans le cas des compteurs polyphasés) ;</w:t>
            </w:r>
          </w:p>
          <w:p w:rsidR="00904E52" w:rsidRPr="0043547B" w:rsidRDefault="00904E52" w:rsidP="00B905D3">
            <w:pPr>
              <w:pStyle w:val="Paragraphedeliste"/>
              <w:numPr>
                <w:ilvl w:val="0"/>
                <w:numId w:val="8"/>
              </w:num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aux compteurs portatifs et compteurs extérieurs ;</w:t>
            </w:r>
          </w:p>
          <w:p w:rsidR="00904E52" w:rsidRPr="0043547B" w:rsidRDefault="00904E52" w:rsidP="00B905D3">
            <w:pPr>
              <w:pStyle w:val="Paragraphedeliste"/>
              <w:numPr>
                <w:ilvl w:val="0"/>
                <w:numId w:val="8"/>
              </w:num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aux interfaces de communication avec l'élément indicateur du compteur ;</w:t>
            </w:r>
          </w:p>
          <w:p w:rsidR="00904E52" w:rsidRPr="0043547B" w:rsidRDefault="00904E52" w:rsidP="00B905D3">
            <w:pPr>
              <w:pStyle w:val="Paragraphedeliste"/>
              <w:numPr>
                <w:ilvl w:val="0"/>
                <w:numId w:val="8"/>
              </w:num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aux compteurs de référence.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L’aspect d’endurance est l’objet des normes de la série CEI 62059.</w:t>
            </w:r>
          </w:p>
        </w:tc>
      </w:tr>
      <w:tr w:rsidR="009064A0" w:rsidRPr="0043547B" w:rsidTr="004E1BDB">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64A0" w:rsidRPr="0043547B" w:rsidRDefault="009064A0" w:rsidP="009064A0">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vAlign w:val="center"/>
          </w:tcPr>
          <w:p w:rsidR="009064A0" w:rsidRPr="004E1BDB" w:rsidRDefault="009064A0" w:rsidP="004E1BDB">
            <w:pPr>
              <w:spacing w:after="0" w:line="240" w:lineRule="auto"/>
              <w:jc w:val="center"/>
              <w:rPr>
                <w:rFonts w:ascii="Calibri" w:hAnsi="Calibri" w:cs="Calibri"/>
                <w:b/>
                <w:bCs/>
                <w:sz w:val="24"/>
                <w:szCs w:val="24"/>
              </w:rPr>
            </w:pPr>
            <w:r w:rsidRPr="004E1BDB">
              <w:rPr>
                <w:rFonts w:ascii="Calibri" w:hAnsi="Calibri" w:cs="Calibri"/>
                <w:b/>
                <w:bCs/>
                <w:sz w:val="24"/>
                <w:szCs w:val="24"/>
              </w:rPr>
              <w:t>NM IEC 62053-21</w:t>
            </w:r>
          </w:p>
        </w:tc>
      </w:tr>
      <w:tr w:rsidR="009064A0" w:rsidRPr="0043547B" w:rsidTr="004E1BDB">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64A0" w:rsidRPr="0043547B" w:rsidRDefault="009064A0" w:rsidP="009064A0">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right w:val="single" w:sz="18" w:space="0" w:color="auto"/>
            </w:tcBorders>
            <w:shd w:val="clear" w:color="auto" w:fill="FFFF99"/>
            <w:vAlign w:val="center"/>
          </w:tcPr>
          <w:p w:rsidR="009064A0" w:rsidRPr="004E1BDB" w:rsidRDefault="009064A0" w:rsidP="004E1BDB">
            <w:pPr>
              <w:spacing w:after="0" w:line="240" w:lineRule="auto"/>
              <w:jc w:val="center"/>
              <w:rPr>
                <w:rFonts w:ascii="Calibri" w:hAnsi="Calibri" w:cs="Calibri"/>
                <w:b/>
                <w:bCs/>
                <w:sz w:val="24"/>
                <w:szCs w:val="24"/>
              </w:rPr>
            </w:pPr>
            <w:r w:rsidRPr="004E1BDB">
              <w:rPr>
                <w:rFonts w:ascii="Calibri" w:hAnsi="Calibri" w:cs="Calibri"/>
                <w:b/>
                <w:bCs/>
                <w:sz w:val="24"/>
                <w:szCs w:val="24"/>
              </w:rPr>
              <w:t>IEC 62053-21</w:t>
            </w:r>
          </w:p>
        </w:tc>
      </w:tr>
      <w:tr w:rsidR="009064A0" w:rsidRPr="0043547B" w:rsidTr="009064A0">
        <w:trPr>
          <w:trHeight w:val="600"/>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64A0" w:rsidRPr="0043547B" w:rsidRDefault="009064A0" w:rsidP="009064A0">
            <w:pPr>
              <w:spacing w:after="0"/>
              <w:jc w:val="center"/>
              <w:rPr>
                <w:rFonts w:cstheme="minorHAnsi"/>
                <w:b/>
                <w:bCs/>
                <w:sz w:val="24"/>
                <w:szCs w:val="24"/>
              </w:rPr>
            </w:pPr>
            <w:r w:rsidRPr="0043547B">
              <w:rPr>
                <w:rFonts w:cstheme="minorHAnsi"/>
                <w:b/>
                <w:bCs/>
                <w:sz w:val="24"/>
                <w:szCs w:val="24"/>
              </w:rPr>
              <w:t>Intitulé :</w:t>
            </w:r>
          </w:p>
        </w:tc>
        <w:tc>
          <w:tcPr>
            <w:tcW w:w="8080" w:type="dxa"/>
            <w:tcBorders>
              <w:left w:val="single" w:sz="4" w:space="0" w:color="auto"/>
              <w:right w:val="single" w:sz="18" w:space="0" w:color="auto"/>
            </w:tcBorders>
          </w:tcPr>
          <w:p w:rsidR="009064A0" w:rsidRPr="004E1BDB" w:rsidRDefault="009064A0" w:rsidP="004E1BDB">
            <w:pPr>
              <w:spacing w:after="0" w:line="240" w:lineRule="auto"/>
              <w:jc w:val="both"/>
              <w:rPr>
                <w:rFonts w:ascii="Calibri" w:hAnsi="Calibri" w:cs="Calibri"/>
              </w:rPr>
            </w:pPr>
            <w:r w:rsidRPr="004E1BDB">
              <w:rPr>
                <w:rFonts w:ascii="Calibri" w:hAnsi="Calibri" w:cs="Calibri"/>
              </w:rPr>
              <w:t>Équipement de comptage de l'électricité (c.a.) - Prescriptions particulières - Partie 21 : compteurs statiques d'énergie active</w:t>
            </w:r>
          </w:p>
        </w:tc>
      </w:tr>
      <w:tr w:rsidR="009064A0" w:rsidRPr="0043547B" w:rsidTr="004E1BDB">
        <w:trPr>
          <w:trHeight w:val="869"/>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64A0" w:rsidRPr="0043547B" w:rsidRDefault="009064A0" w:rsidP="009064A0">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vAlign w:val="bottom"/>
          </w:tcPr>
          <w:p w:rsidR="009064A0" w:rsidRPr="004E1BDB" w:rsidRDefault="009064A0" w:rsidP="004E1BDB">
            <w:pPr>
              <w:spacing w:after="0" w:line="240" w:lineRule="auto"/>
              <w:rPr>
                <w:rFonts w:ascii="Calibri" w:hAnsi="Calibri" w:cs="Calibri"/>
              </w:rPr>
            </w:pPr>
            <w:r w:rsidRPr="004E1BDB">
              <w:rPr>
                <w:rFonts w:ascii="Calibri" w:hAnsi="Calibri" w:cs="Calibri"/>
              </w:rPr>
              <w:t>La norme est applicable uniquement aux compteurs statiques d'énergie active neufs des classes de précision 1 et 2, destinés à la mesure de l'énergie électrique active en courant alternatif sur les réseaux électriques en 50 Hz et 60 Hz, et à leurs essais de type.</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62053-23</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right w:val="single" w:sz="18" w:space="0" w:color="auto"/>
            </w:tcBorders>
            <w:shd w:val="clear" w:color="auto" w:fill="FFFF99"/>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62053-23</w:t>
            </w:r>
          </w:p>
        </w:tc>
      </w:tr>
      <w:tr w:rsidR="0043547B" w:rsidRPr="0043547B" w:rsidTr="00CB5DC0">
        <w:trPr>
          <w:trHeight w:val="600"/>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left w:val="single" w:sz="4"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Équipement de comptage de l'électricité (c.a.) - Prescriptions particulières - Partie 23 : Compteurs statiques d'énergie réactive (classes 2 et 3) ;   </w:t>
            </w:r>
          </w:p>
        </w:tc>
      </w:tr>
      <w:tr w:rsidR="0043547B" w:rsidRPr="0043547B" w:rsidTr="00CB5DC0">
        <w:trPr>
          <w:trHeight w:val="425"/>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partie de la CEI 62053 est applicable uniquement aux compteurs statiques d'énergie réactive neufs des classes de précision 2 et 3, destinés à la mesure de l'énergie électrique réactive en courant alternatif sur les réseaux électriques en 50 Hz et 60 Hz, et à leurs essais de type. Pour des raisons pratiques, cette norme est basée sur une définition conventionnelle de l’énergie réactive pour intensités et tensions sinusoïdales contenant seulement la fréquence fondamentale.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Elle n'est applicable qu'aux compteurs statiques d'énergie réactive de types intérieur et extérieur constitués d'un élément de mesure et d'un (des) élément(s) </w:t>
            </w:r>
            <w:r w:rsidRPr="0043547B">
              <w:rPr>
                <w:rFonts w:eastAsia="Times New Roman" w:cstheme="minorHAnsi"/>
                <w:sz w:val="24"/>
                <w:szCs w:val="24"/>
                <w:lang w:eastAsia="fr-FR"/>
              </w:rPr>
              <w:lastRenderedPageBreak/>
              <w:t>indicateur(s) rassemblés dans un même boîtier. Elle s'applique également à (aux) l'indicateur(s) de fonctionnement et au(x) dispositif(s) de contrôle. Si le compteur a un élément de mesure pour plusieurs types d’énergie (compteurs à énergie multiple), ou si d’autres éléments fonctionnels comme indicateurs de maximum, éléments indicateurs tarifaires électroniques, horloges de contact, récepteurs de télécommande centralisée, interfaces de communication de données, etc. sont encastrés dans le boîtier du compteur, les normes relatives à ces éléments sont applicables.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n'est pas applicable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aux compteurs d'énergie réactive dont la tension entre bornes de connexion dépasse 600 V (entre phases dans le cas des compteurs polyphasés)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aux compteurs portatifs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aux interfaces de communication avec l'élément indicateur du compteur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aux compteurs de référence.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L’aspect d’endurance est l’objet des normes de la série CEI 62059.</w:t>
            </w:r>
          </w:p>
        </w:tc>
      </w:tr>
      <w:tr w:rsidR="005E2117" w:rsidRPr="004E1BDB" w:rsidTr="004E1BDB">
        <w:trPr>
          <w:trHeight w:val="425"/>
          <w:jc w:val="center"/>
        </w:trPr>
        <w:tc>
          <w:tcPr>
            <w:tcW w:w="1843"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5E2117" w:rsidRPr="004E1BDB" w:rsidRDefault="005E2117" w:rsidP="004E1BDB">
            <w:pPr>
              <w:spacing w:after="0"/>
              <w:jc w:val="center"/>
              <w:rPr>
                <w:rFonts w:cstheme="minorHAnsi"/>
                <w:b/>
                <w:bCs/>
                <w:sz w:val="24"/>
                <w:szCs w:val="24"/>
              </w:rPr>
            </w:pPr>
            <w:r w:rsidRPr="004E1BDB">
              <w:rPr>
                <w:rFonts w:cstheme="minorHAnsi"/>
                <w:b/>
                <w:bCs/>
                <w:sz w:val="24"/>
                <w:szCs w:val="24"/>
              </w:rPr>
              <w:lastRenderedPageBreak/>
              <w:t xml:space="preserve">Code </w:t>
            </w:r>
          </w:p>
        </w:tc>
        <w:tc>
          <w:tcPr>
            <w:tcW w:w="8080" w:type="dxa"/>
            <w:tcBorders>
              <w:left w:val="single" w:sz="4" w:space="0" w:color="auto"/>
              <w:bottom w:val="single" w:sz="18" w:space="0" w:color="auto"/>
              <w:right w:val="single" w:sz="18" w:space="0" w:color="auto"/>
            </w:tcBorders>
            <w:shd w:val="clear" w:color="auto" w:fill="C2D69B" w:themeFill="accent3" w:themeFillTint="99"/>
            <w:vAlign w:val="center"/>
          </w:tcPr>
          <w:p w:rsidR="005E2117" w:rsidRPr="004E1BDB" w:rsidRDefault="005E2117" w:rsidP="004E1BDB">
            <w:pPr>
              <w:spacing w:after="0"/>
              <w:jc w:val="center"/>
              <w:rPr>
                <w:rFonts w:cstheme="minorHAnsi"/>
                <w:b/>
                <w:bCs/>
                <w:sz w:val="24"/>
                <w:szCs w:val="24"/>
              </w:rPr>
            </w:pPr>
            <w:r w:rsidRPr="004E1BDB">
              <w:rPr>
                <w:rFonts w:cstheme="minorHAnsi"/>
                <w:b/>
                <w:bCs/>
                <w:sz w:val="24"/>
                <w:szCs w:val="24"/>
              </w:rPr>
              <w:t>NM IEC 62054-21</w:t>
            </w:r>
          </w:p>
        </w:tc>
      </w:tr>
      <w:tr w:rsidR="005E2117" w:rsidRPr="0043547B" w:rsidTr="004E1BDB">
        <w:trPr>
          <w:trHeight w:val="425"/>
          <w:jc w:val="center"/>
        </w:trPr>
        <w:tc>
          <w:tcPr>
            <w:tcW w:w="1843" w:type="dxa"/>
            <w:tcBorders>
              <w:top w:val="nil"/>
              <w:left w:val="single" w:sz="18" w:space="0" w:color="auto"/>
              <w:bottom w:val="single" w:sz="18" w:space="0" w:color="auto"/>
              <w:right w:val="single" w:sz="4" w:space="0" w:color="auto"/>
            </w:tcBorders>
            <w:shd w:val="clear" w:color="auto" w:fill="FFFF66"/>
            <w:vAlign w:val="center"/>
          </w:tcPr>
          <w:p w:rsidR="005E2117" w:rsidRDefault="004E1BDB" w:rsidP="004E1BDB">
            <w:pPr>
              <w:spacing w:after="0" w:line="240" w:lineRule="auto"/>
              <w:jc w:val="center"/>
              <w:rPr>
                <w:rFonts w:ascii="Calibri" w:hAnsi="Calibri" w:cs="Calibri"/>
                <w:b/>
                <w:bCs/>
                <w:sz w:val="24"/>
                <w:szCs w:val="24"/>
              </w:rPr>
            </w:pPr>
            <w:r>
              <w:rPr>
                <w:rFonts w:ascii="Calibri" w:hAnsi="Calibri" w:cs="Calibri"/>
                <w:b/>
                <w:bCs/>
              </w:rPr>
              <w:t>Equivalence </w:t>
            </w:r>
          </w:p>
        </w:tc>
        <w:tc>
          <w:tcPr>
            <w:tcW w:w="8080" w:type="dxa"/>
            <w:tcBorders>
              <w:left w:val="single" w:sz="4" w:space="0" w:color="auto"/>
              <w:bottom w:val="single" w:sz="18" w:space="0" w:color="auto"/>
              <w:right w:val="single" w:sz="18" w:space="0" w:color="auto"/>
            </w:tcBorders>
            <w:shd w:val="clear" w:color="auto" w:fill="FFFF66"/>
            <w:vAlign w:val="center"/>
          </w:tcPr>
          <w:p w:rsidR="005E2117" w:rsidRPr="004E1BDB" w:rsidRDefault="005E2117" w:rsidP="004E1BDB">
            <w:pPr>
              <w:spacing w:after="0" w:line="240" w:lineRule="auto"/>
              <w:jc w:val="center"/>
              <w:rPr>
                <w:rFonts w:ascii="Calibri" w:hAnsi="Calibri" w:cs="Calibri"/>
                <w:b/>
                <w:bCs/>
              </w:rPr>
            </w:pPr>
            <w:r w:rsidRPr="004E1BDB">
              <w:rPr>
                <w:rFonts w:ascii="Calibri" w:hAnsi="Calibri" w:cs="Calibri"/>
                <w:b/>
                <w:bCs/>
              </w:rPr>
              <w:t>IEC 62054-21</w:t>
            </w:r>
          </w:p>
        </w:tc>
      </w:tr>
      <w:tr w:rsidR="005E2117" w:rsidRPr="0043547B" w:rsidTr="004E1BDB">
        <w:trPr>
          <w:trHeight w:val="425"/>
          <w:jc w:val="center"/>
        </w:trPr>
        <w:tc>
          <w:tcPr>
            <w:tcW w:w="1843" w:type="dxa"/>
            <w:tcBorders>
              <w:top w:val="single" w:sz="18" w:space="0" w:color="auto"/>
              <w:left w:val="single" w:sz="18" w:space="0" w:color="auto"/>
              <w:bottom w:val="single" w:sz="4" w:space="0" w:color="auto"/>
              <w:right w:val="single" w:sz="4" w:space="0" w:color="auto"/>
            </w:tcBorders>
            <w:shd w:val="clear" w:color="auto" w:fill="95B3D7" w:themeFill="accent1" w:themeFillTint="99"/>
            <w:vAlign w:val="center"/>
          </w:tcPr>
          <w:p w:rsidR="005E2117" w:rsidRDefault="005E2117" w:rsidP="004E1BDB">
            <w:pPr>
              <w:spacing w:after="0" w:line="240" w:lineRule="auto"/>
              <w:jc w:val="center"/>
              <w:rPr>
                <w:rFonts w:ascii="Calibri" w:hAnsi="Calibri" w:cs="Calibri"/>
                <w:b/>
                <w:bCs/>
                <w:sz w:val="24"/>
                <w:szCs w:val="24"/>
              </w:rPr>
            </w:pPr>
            <w:r>
              <w:rPr>
                <w:rFonts w:ascii="Calibri" w:hAnsi="Calibri" w:cs="Calibri"/>
                <w:b/>
                <w:bCs/>
              </w:rPr>
              <w:t>Intitulé </w:t>
            </w:r>
            <w:r w:rsidR="004E1BDB">
              <w:rPr>
                <w:rFonts w:ascii="Calibri" w:hAnsi="Calibri" w:cs="Calibri"/>
                <w:b/>
                <w:bCs/>
              </w:rPr>
              <w:t xml:space="preserve"> </w:t>
            </w:r>
          </w:p>
        </w:tc>
        <w:tc>
          <w:tcPr>
            <w:tcW w:w="8080" w:type="dxa"/>
            <w:tcBorders>
              <w:top w:val="single" w:sz="18" w:space="0" w:color="auto"/>
              <w:left w:val="single" w:sz="4" w:space="0" w:color="auto"/>
              <w:bottom w:val="single" w:sz="4" w:space="0" w:color="auto"/>
              <w:right w:val="single" w:sz="18" w:space="0" w:color="auto"/>
            </w:tcBorders>
          </w:tcPr>
          <w:p w:rsidR="005E2117" w:rsidRDefault="005E2117" w:rsidP="004E1BDB">
            <w:pPr>
              <w:spacing w:after="0" w:line="240" w:lineRule="auto"/>
              <w:jc w:val="both"/>
              <w:rPr>
                <w:rFonts w:ascii="Calibri" w:hAnsi="Calibri" w:cs="Calibri"/>
              </w:rPr>
            </w:pPr>
            <w:r>
              <w:rPr>
                <w:rFonts w:ascii="Calibri" w:hAnsi="Calibri" w:cs="Calibri"/>
              </w:rPr>
              <w:t>Équipement de comptage de l'électricité (c.a.) - Tarification et contrôle de charge - Partie 21 : Prescriptions particulières pour horloges de tarification</w:t>
            </w:r>
          </w:p>
        </w:tc>
      </w:tr>
      <w:tr w:rsidR="005E2117" w:rsidRPr="0043547B" w:rsidTr="004E1BDB">
        <w:trPr>
          <w:trHeight w:val="425"/>
          <w:jc w:val="center"/>
        </w:trPr>
        <w:tc>
          <w:tcPr>
            <w:tcW w:w="1843" w:type="dxa"/>
            <w:tcBorders>
              <w:top w:val="single" w:sz="4" w:space="0" w:color="auto"/>
              <w:left w:val="single" w:sz="18" w:space="0" w:color="auto"/>
              <w:bottom w:val="single" w:sz="18" w:space="0" w:color="auto"/>
              <w:right w:val="single" w:sz="4" w:space="0" w:color="auto"/>
            </w:tcBorders>
            <w:shd w:val="clear" w:color="000000" w:fill="D9D9D9"/>
            <w:vAlign w:val="center"/>
          </w:tcPr>
          <w:p w:rsidR="005E2117" w:rsidRDefault="005E2117" w:rsidP="004E1BDB">
            <w:pPr>
              <w:spacing w:after="0" w:line="240" w:lineRule="auto"/>
              <w:jc w:val="center"/>
              <w:rPr>
                <w:rFonts w:ascii="Calibri" w:hAnsi="Calibri" w:cs="Calibri"/>
                <w:b/>
                <w:bCs/>
                <w:sz w:val="24"/>
                <w:szCs w:val="24"/>
              </w:rPr>
            </w:pPr>
            <w:r>
              <w:rPr>
                <w:rFonts w:ascii="Calibri" w:hAnsi="Calibri" w:cs="Calibri"/>
                <w:b/>
                <w:bCs/>
              </w:rPr>
              <w:t>Domaine d’application </w:t>
            </w:r>
            <w:r w:rsidR="004E1BDB">
              <w:rPr>
                <w:rFonts w:ascii="Calibri" w:hAnsi="Calibri" w:cs="Calibri"/>
                <w:b/>
                <w:bCs/>
              </w:rPr>
              <w:t xml:space="preserve"> </w:t>
            </w:r>
          </w:p>
        </w:tc>
        <w:tc>
          <w:tcPr>
            <w:tcW w:w="8080" w:type="dxa"/>
            <w:tcBorders>
              <w:top w:val="single" w:sz="4" w:space="0" w:color="auto"/>
              <w:left w:val="single" w:sz="4" w:space="0" w:color="auto"/>
              <w:bottom w:val="single" w:sz="18" w:space="0" w:color="auto"/>
              <w:right w:val="single" w:sz="18" w:space="0" w:color="auto"/>
            </w:tcBorders>
            <w:vAlign w:val="bottom"/>
          </w:tcPr>
          <w:p w:rsidR="005E2117" w:rsidRDefault="005E2117" w:rsidP="004E1BDB">
            <w:pPr>
              <w:spacing w:after="0" w:line="240" w:lineRule="auto"/>
              <w:jc w:val="both"/>
              <w:rPr>
                <w:rFonts w:ascii="Calibri" w:hAnsi="Calibri" w:cs="Calibri"/>
              </w:rPr>
            </w:pPr>
            <w:r>
              <w:rPr>
                <w:rFonts w:ascii="Calibri" w:hAnsi="Calibri" w:cs="Calibri"/>
              </w:rPr>
              <w:t>La norme spécifie les exigences particulières pour l'essai de type d’horloges de tarification dont la production est nouvelle, prévues pour un usage sous abri, avec une réserve de marche et qui sont utilisées pour la commande de charges électriques, de registres multitarifs et d’indicateur de maximum d’équipements de comptage électrique.</w:t>
            </w:r>
          </w:p>
        </w:tc>
      </w:tr>
      <w:tr w:rsidR="005E2117" w:rsidRPr="004E1BDB" w:rsidTr="004E1BDB">
        <w:trPr>
          <w:trHeight w:val="425"/>
          <w:jc w:val="center"/>
        </w:trPr>
        <w:tc>
          <w:tcPr>
            <w:tcW w:w="1843"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5E2117" w:rsidRPr="004E1BDB" w:rsidRDefault="005E2117" w:rsidP="004E1BDB">
            <w:pPr>
              <w:spacing w:after="0"/>
              <w:jc w:val="center"/>
              <w:rPr>
                <w:rFonts w:cstheme="minorHAnsi"/>
                <w:b/>
                <w:bCs/>
                <w:sz w:val="24"/>
                <w:szCs w:val="24"/>
              </w:rPr>
            </w:pPr>
            <w:r w:rsidRPr="004E1BDB">
              <w:rPr>
                <w:rFonts w:cstheme="minorHAnsi"/>
                <w:b/>
                <w:bCs/>
                <w:sz w:val="24"/>
                <w:szCs w:val="24"/>
              </w:rPr>
              <w:t>Code  </w:t>
            </w:r>
            <w:r w:rsidR="004E1BDB" w:rsidRPr="004E1BDB">
              <w:rPr>
                <w:rFonts w:cstheme="minorHAnsi"/>
                <w:b/>
                <w:bCs/>
                <w:sz w:val="24"/>
                <w:szCs w:val="24"/>
              </w:rPr>
              <w:t xml:space="preserve"> </w:t>
            </w:r>
          </w:p>
        </w:tc>
        <w:tc>
          <w:tcPr>
            <w:tcW w:w="8080" w:type="dxa"/>
            <w:tcBorders>
              <w:left w:val="single" w:sz="4" w:space="0" w:color="auto"/>
              <w:bottom w:val="single" w:sz="18" w:space="0" w:color="auto"/>
              <w:right w:val="single" w:sz="18" w:space="0" w:color="auto"/>
            </w:tcBorders>
            <w:shd w:val="clear" w:color="auto" w:fill="C2D69B" w:themeFill="accent3" w:themeFillTint="99"/>
          </w:tcPr>
          <w:p w:rsidR="005E2117" w:rsidRPr="004E1BDB" w:rsidRDefault="005E2117" w:rsidP="004E1BDB">
            <w:pPr>
              <w:spacing w:after="0"/>
              <w:jc w:val="center"/>
              <w:rPr>
                <w:rFonts w:cstheme="minorHAnsi"/>
                <w:b/>
                <w:bCs/>
                <w:sz w:val="24"/>
                <w:szCs w:val="24"/>
              </w:rPr>
            </w:pPr>
            <w:r w:rsidRPr="004E1BDB">
              <w:rPr>
                <w:rFonts w:cstheme="minorHAnsi"/>
                <w:b/>
                <w:bCs/>
                <w:sz w:val="24"/>
                <w:szCs w:val="24"/>
              </w:rPr>
              <w:t>NM IEC 62055-31</w:t>
            </w:r>
          </w:p>
        </w:tc>
      </w:tr>
      <w:tr w:rsidR="005E2117" w:rsidRPr="0043547B" w:rsidTr="004E1BDB">
        <w:trPr>
          <w:trHeight w:val="425"/>
          <w:jc w:val="center"/>
        </w:trPr>
        <w:tc>
          <w:tcPr>
            <w:tcW w:w="1843" w:type="dxa"/>
            <w:tcBorders>
              <w:top w:val="nil"/>
              <w:left w:val="single" w:sz="18" w:space="0" w:color="auto"/>
              <w:bottom w:val="single" w:sz="18" w:space="0" w:color="auto"/>
              <w:right w:val="single" w:sz="4" w:space="0" w:color="auto"/>
            </w:tcBorders>
            <w:shd w:val="clear" w:color="auto" w:fill="FFFF66"/>
            <w:vAlign w:val="center"/>
          </w:tcPr>
          <w:p w:rsidR="005E2117" w:rsidRDefault="005E2117" w:rsidP="004E1BDB">
            <w:pPr>
              <w:spacing w:after="0" w:line="240" w:lineRule="auto"/>
              <w:jc w:val="center"/>
              <w:rPr>
                <w:rFonts w:ascii="Calibri" w:hAnsi="Calibri" w:cs="Calibri"/>
                <w:b/>
                <w:bCs/>
                <w:sz w:val="24"/>
                <w:szCs w:val="24"/>
              </w:rPr>
            </w:pPr>
            <w:r>
              <w:rPr>
                <w:rFonts w:ascii="Calibri" w:hAnsi="Calibri" w:cs="Calibri"/>
                <w:b/>
                <w:bCs/>
              </w:rPr>
              <w:t>Equivalence </w:t>
            </w:r>
            <w:r w:rsidR="004E1BDB">
              <w:rPr>
                <w:rFonts w:ascii="Calibri" w:hAnsi="Calibri" w:cs="Calibri"/>
                <w:b/>
                <w:bCs/>
              </w:rPr>
              <w:t xml:space="preserve"> </w:t>
            </w:r>
          </w:p>
        </w:tc>
        <w:tc>
          <w:tcPr>
            <w:tcW w:w="8080" w:type="dxa"/>
            <w:tcBorders>
              <w:left w:val="single" w:sz="4" w:space="0" w:color="auto"/>
              <w:bottom w:val="single" w:sz="18" w:space="0" w:color="auto"/>
              <w:right w:val="single" w:sz="18" w:space="0" w:color="auto"/>
            </w:tcBorders>
            <w:shd w:val="clear" w:color="auto" w:fill="FFFF66"/>
            <w:vAlign w:val="center"/>
          </w:tcPr>
          <w:p w:rsidR="005E2117" w:rsidRPr="004E1BDB" w:rsidRDefault="005E2117" w:rsidP="004E1BDB">
            <w:pPr>
              <w:spacing w:after="0" w:line="240" w:lineRule="auto"/>
              <w:jc w:val="center"/>
              <w:rPr>
                <w:rFonts w:ascii="Calibri" w:hAnsi="Calibri" w:cs="Calibri"/>
                <w:b/>
                <w:bCs/>
              </w:rPr>
            </w:pPr>
            <w:r w:rsidRPr="004E1BDB">
              <w:rPr>
                <w:rFonts w:ascii="Calibri" w:hAnsi="Calibri" w:cs="Calibri"/>
                <w:b/>
                <w:bCs/>
              </w:rPr>
              <w:t>IEC 62055-31</w:t>
            </w:r>
          </w:p>
        </w:tc>
      </w:tr>
      <w:tr w:rsidR="005E2117" w:rsidRPr="0043547B" w:rsidTr="004E1BDB">
        <w:trPr>
          <w:trHeight w:val="628"/>
          <w:jc w:val="center"/>
        </w:trPr>
        <w:tc>
          <w:tcPr>
            <w:tcW w:w="1843" w:type="dxa"/>
            <w:tcBorders>
              <w:top w:val="single" w:sz="18" w:space="0" w:color="auto"/>
              <w:left w:val="single" w:sz="18" w:space="0" w:color="auto"/>
              <w:bottom w:val="single" w:sz="4" w:space="0" w:color="auto"/>
              <w:right w:val="single" w:sz="4" w:space="0" w:color="auto"/>
            </w:tcBorders>
            <w:shd w:val="clear" w:color="auto" w:fill="95B3D7" w:themeFill="accent1" w:themeFillTint="99"/>
            <w:vAlign w:val="center"/>
          </w:tcPr>
          <w:p w:rsidR="005E2117" w:rsidRDefault="005E2117" w:rsidP="004E1BDB">
            <w:pPr>
              <w:spacing w:after="0" w:line="240" w:lineRule="auto"/>
              <w:jc w:val="center"/>
              <w:rPr>
                <w:rFonts w:ascii="Calibri" w:hAnsi="Calibri" w:cs="Calibri"/>
                <w:b/>
                <w:bCs/>
                <w:sz w:val="24"/>
                <w:szCs w:val="24"/>
              </w:rPr>
            </w:pPr>
            <w:r>
              <w:rPr>
                <w:rFonts w:ascii="Calibri" w:hAnsi="Calibri" w:cs="Calibri"/>
                <w:b/>
                <w:bCs/>
              </w:rPr>
              <w:t>Intitulé </w:t>
            </w:r>
            <w:r w:rsidR="004E1BDB">
              <w:rPr>
                <w:rFonts w:ascii="Calibri" w:hAnsi="Calibri" w:cs="Calibri"/>
                <w:b/>
                <w:bCs/>
              </w:rPr>
              <w:t xml:space="preserve"> </w:t>
            </w:r>
          </w:p>
        </w:tc>
        <w:tc>
          <w:tcPr>
            <w:tcW w:w="8080" w:type="dxa"/>
            <w:tcBorders>
              <w:top w:val="single" w:sz="18" w:space="0" w:color="auto"/>
              <w:left w:val="single" w:sz="4" w:space="0" w:color="auto"/>
              <w:bottom w:val="single" w:sz="4" w:space="0" w:color="auto"/>
              <w:right w:val="single" w:sz="18" w:space="0" w:color="auto"/>
            </w:tcBorders>
          </w:tcPr>
          <w:p w:rsidR="005E2117" w:rsidRDefault="005E2117" w:rsidP="005E2117">
            <w:pPr>
              <w:jc w:val="both"/>
              <w:rPr>
                <w:rFonts w:ascii="Calibri" w:hAnsi="Calibri" w:cs="Calibri"/>
              </w:rPr>
            </w:pPr>
            <w:r>
              <w:rPr>
                <w:rFonts w:ascii="Calibri" w:hAnsi="Calibri" w:cs="Calibri"/>
              </w:rPr>
              <w:t xml:space="preserve">Equipements de comptage de l'électricité - Systèmes à paiement - Partie 31 : Prescriptions particulières - Compteurs statiques à paiement d'énergie active </w:t>
            </w:r>
          </w:p>
        </w:tc>
      </w:tr>
      <w:tr w:rsidR="005E2117" w:rsidRPr="0043547B" w:rsidTr="004E1BDB">
        <w:trPr>
          <w:trHeight w:val="2489"/>
          <w:jc w:val="center"/>
        </w:trPr>
        <w:tc>
          <w:tcPr>
            <w:tcW w:w="1843" w:type="dxa"/>
            <w:tcBorders>
              <w:top w:val="single" w:sz="4" w:space="0" w:color="auto"/>
              <w:left w:val="single" w:sz="18" w:space="0" w:color="auto"/>
              <w:bottom w:val="single" w:sz="18" w:space="0" w:color="auto"/>
              <w:right w:val="single" w:sz="4" w:space="0" w:color="auto"/>
            </w:tcBorders>
            <w:shd w:val="clear" w:color="000000" w:fill="D9D9D9"/>
            <w:vAlign w:val="center"/>
          </w:tcPr>
          <w:p w:rsidR="005E2117" w:rsidRDefault="005E2117" w:rsidP="004E1BDB">
            <w:pPr>
              <w:spacing w:after="0" w:line="240" w:lineRule="auto"/>
              <w:jc w:val="center"/>
              <w:rPr>
                <w:rFonts w:ascii="Calibri" w:hAnsi="Calibri" w:cs="Calibri"/>
                <w:b/>
                <w:bCs/>
                <w:sz w:val="24"/>
                <w:szCs w:val="24"/>
              </w:rPr>
            </w:pPr>
            <w:r>
              <w:rPr>
                <w:rFonts w:ascii="Calibri" w:hAnsi="Calibri" w:cs="Calibri"/>
                <w:b/>
                <w:bCs/>
              </w:rPr>
              <w:t>Domaine d’application </w:t>
            </w:r>
            <w:r w:rsidR="004E1BDB">
              <w:rPr>
                <w:rFonts w:ascii="Calibri" w:hAnsi="Calibri" w:cs="Calibri"/>
                <w:b/>
                <w:bCs/>
              </w:rPr>
              <w:t xml:space="preserve"> </w:t>
            </w:r>
          </w:p>
        </w:tc>
        <w:tc>
          <w:tcPr>
            <w:tcW w:w="8080" w:type="dxa"/>
            <w:tcBorders>
              <w:top w:val="single" w:sz="4" w:space="0" w:color="auto"/>
              <w:left w:val="single" w:sz="4" w:space="0" w:color="auto"/>
              <w:bottom w:val="single" w:sz="18" w:space="0" w:color="auto"/>
              <w:right w:val="single" w:sz="18" w:space="0" w:color="auto"/>
            </w:tcBorders>
            <w:vAlign w:val="bottom"/>
          </w:tcPr>
          <w:p w:rsidR="005E2117" w:rsidRDefault="005E2117" w:rsidP="004E1BDB">
            <w:pPr>
              <w:jc w:val="both"/>
              <w:rPr>
                <w:rFonts w:ascii="Calibri" w:hAnsi="Calibri" w:cs="Calibri"/>
              </w:rPr>
            </w:pPr>
            <w:r>
              <w:rPr>
                <w:rFonts w:ascii="Calibri" w:hAnsi="Calibri" w:cs="Calibri"/>
              </w:rPr>
              <w:t xml:space="preserve">La norme s'applique à des compteurs à paiement statiques de wattheures nouvellement fabriqués de classe 1 et 2 pour raccordement direct, pour la mesure de la consommation d'énergie électrique en courant alternatif d'une fréquence allant de 45 Hz à 65 Hz incluant un commutateur de charge ayant pour but d'interrompre ou de rétablir la fourniture d'électricité à la charge en fonction de la valeur courante du crédit disponible maintenu dans le compteur à paiement. Elle ne s'applique pas aux compteurs à paiement dont la tension entre bornes de raccordement dépasse 600 V (tension entre phases pour les compteurs de systèmes polyphasés). </w:t>
            </w:r>
          </w:p>
        </w:tc>
      </w:tr>
      <w:tr w:rsidR="001943A6"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1943A6" w:rsidRPr="0043547B" w:rsidRDefault="001943A6" w:rsidP="001943A6">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tcPr>
          <w:p w:rsidR="001943A6" w:rsidRPr="004A044D" w:rsidRDefault="001943A6" w:rsidP="004A044D">
            <w:pPr>
              <w:spacing w:after="0" w:line="240" w:lineRule="auto"/>
              <w:jc w:val="center"/>
              <w:rPr>
                <w:rFonts w:ascii="Calibri" w:hAnsi="Calibri" w:cs="Calibri"/>
                <w:b/>
                <w:bCs/>
                <w:sz w:val="24"/>
                <w:szCs w:val="24"/>
              </w:rPr>
            </w:pPr>
            <w:r w:rsidRPr="004A044D">
              <w:rPr>
                <w:rFonts w:ascii="Calibri" w:hAnsi="Calibri" w:cs="Calibri"/>
                <w:b/>
                <w:bCs/>
                <w:sz w:val="24"/>
                <w:szCs w:val="24"/>
              </w:rPr>
              <w:t>NM EN 63024</w:t>
            </w:r>
          </w:p>
        </w:tc>
      </w:tr>
      <w:tr w:rsidR="001943A6" w:rsidRPr="0043547B" w:rsidTr="001943A6">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1943A6" w:rsidRPr="0043547B" w:rsidRDefault="001943A6" w:rsidP="001943A6">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right w:val="single" w:sz="18" w:space="0" w:color="auto"/>
            </w:tcBorders>
            <w:shd w:val="clear" w:color="auto" w:fill="FFFF99"/>
            <w:vAlign w:val="center"/>
          </w:tcPr>
          <w:p w:rsidR="001943A6" w:rsidRPr="004A044D" w:rsidRDefault="001943A6" w:rsidP="004A044D">
            <w:pPr>
              <w:spacing w:after="0" w:line="240" w:lineRule="auto"/>
              <w:jc w:val="center"/>
              <w:rPr>
                <w:rFonts w:ascii="Calibri" w:hAnsi="Calibri" w:cs="Calibri"/>
                <w:b/>
                <w:bCs/>
                <w:sz w:val="24"/>
                <w:szCs w:val="24"/>
              </w:rPr>
            </w:pPr>
            <w:r w:rsidRPr="004A044D">
              <w:rPr>
                <w:rFonts w:ascii="Calibri" w:hAnsi="Calibri" w:cs="Calibri"/>
                <w:b/>
                <w:bCs/>
                <w:sz w:val="24"/>
                <w:szCs w:val="24"/>
              </w:rPr>
              <w:t>EN 63024</w:t>
            </w:r>
          </w:p>
        </w:tc>
      </w:tr>
      <w:tr w:rsidR="001943A6" w:rsidRPr="0043547B" w:rsidTr="001943A6">
        <w:trPr>
          <w:trHeight w:val="600"/>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1943A6" w:rsidRPr="0043547B" w:rsidRDefault="001943A6" w:rsidP="001943A6">
            <w:pPr>
              <w:spacing w:after="0"/>
              <w:jc w:val="center"/>
              <w:rPr>
                <w:rFonts w:cstheme="minorHAnsi"/>
                <w:b/>
                <w:bCs/>
                <w:sz w:val="24"/>
                <w:szCs w:val="24"/>
              </w:rPr>
            </w:pPr>
            <w:r w:rsidRPr="0043547B">
              <w:rPr>
                <w:rFonts w:cstheme="minorHAnsi"/>
                <w:b/>
                <w:bCs/>
                <w:sz w:val="24"/>
                <w:szCs w:val="24"/>
              </w:rPr>
              <w:t>Intitulé :</w:t>
            </w:r>
          </w:p>
        </w:tc>
        <w:tc>
          <w:tcPr>
            <w:tcW w:w="8080" w:type="dxa"/>
            <w:tcBorders>
              <w:left w:val="single" w:sz="4" w:space="0" w:color="auto"/>
              <w:right w:val="single" w:sz="18" w:space="0" w:color="auto"/>
            </w:tcBorders>
          </w:tcPr>
          <w:p w:rsidR="001943A6" w:rsidRPr="004A044D" w:rsidRDefault="001943A6" w:rsidP="004A044D">
            <w:pPr>
              <w:spacing w:after="0" w:line="240" w:lineRule="auto"/>
              <w:jc w:val="both"/>
              <w:rPr>
                <w:rFonts w:ascii="Calibri" w:hAnsi="Calibri" w:cs="Calibri"/>
              </w:rPr>
            </w:pPr>
            <w:r w:rsidRPr="004A044D">
              <w:rPr>
                <w:rFonts w:ascii="Calibri" w:hAnsi="Calibri" w:cs="Calibri"/>
              </w:rPr>
              <w:t xml:space="preserve">Exigences pour les dispositifs à refermeture automatique (DRA) pour disjoncteurs, ID et DD, pour usages domestiques et analogues </w:t>
            </w:r>
          </w:p>
        </w:tc>
      </w:tr>
      <w:tr w:rsidR="001943A6" w:rsidRPr="0043547B" w:rsidTr="004E1BDB">
        <w:trPr>
          <w:trHeight w:val="559"/>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1943A6" w:rsidRPr="0043547B" w:rsidRDefault="001943A6" w:rsidP="001943A6">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tcPr>
          <w:p w:rsidR="004A044D" w:rsidRDefault="001943A6" w:rsidP="004A044D">
            <w:pPr>
              <w:spacing w:after="0" w:line="240" w:lineRule="auto"/>
              <w:jc w:val="both"/>
              <w:rPr>
                <w:rFonts w:ascii="Calibri" w:hAnsi="Calibri" w:cs="Calibri"/>
              </w:rPr>
            </w:pPr>
            <w:r w:rsidRPr="004A044D">
              <w:rPr>
                <w:rFonts w:ascii="Calibri" w:hAnsi="Calibri" w:cs="Calibri"/>
              </w:rPr>
              <w:t>La présente Norme internationale s’applique aux dispositifs de refermeture automatique (DRA) pour usages domestiques et analogues, à des tensions assignées de 440 V c.a au maximum, et qui sont destinés à être utilisés conjointement avec des disjoncteurs, des ID et des DD. Ces dispositifs sont conçus pour un montage en usine ou sur site.</w:t>
            </w:r>
          </w:p>
          <w:p w:rsidR="001943A6" w:rsidRPr="004A044D" w:rsidRDefault="001943A6" w:rsidP="004A044D">
            <w:pPr>
              <w:spacing w:after="0" w:line="240" w:lineRule="auto"/>
              <w:jc w:val="both"/>
              <w:rPr>
                <w:rFonts w:ascii="Calibri" w:hAnsi="Calibri" w:cs="Calibri"/>
              </w:rPr>
            </w:pPr>
            <w:r w:rsidRPr="004A044D">
              <w:rPr>
                <w:rFonts w:ascii="Calibri" w:hAnsi="Calibri" w:cs="Calibri"/>
              </w:rPr>
              <w:t xml:space="preserve">Ces dispositifs sont destinés à refermer des dispositifs de protection principaux (DPP) tels que les disjoncteurs conformes à l’ IEC 60898-1 et/ou à l’IEC 60898-2, les ID conformes à </w:t>
            </w:r>
            <w:r w:rsidRPr="004A044D">
              <w:rPr>
                <w:rFonts w:ascii="Calibri" w:hAnsi="Calibri" w:cs="Calibri"/>
              </w:rPr>
              <w:lastRenderedPageBreak/>
              <w:t>l’IEC 61008-1 et/ou à l’IEC 62423, ainsi que les DD conformes à l’IEC 61009-1 et/ou à l’IEC 62423 après un déclenchement de ces dispositifs, afin de rétablir la continuité de service</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8080" w:type="dxa"/>
            <w:tcBorders>
              <w:top w:val="single" w:sz="18" w:space="0" w:color="auto"/>
              <w:left w:val="single" w:sz="4" w:space="0" w:color="auto"/>
              <w:bottom w:val="single" w:sz="18" w:space="0" w:color="auto"/>
              <w:right w:val="single" w:sz="18" w:space="0" w:color="auto"/>
            </w:tcBorders>
            <w:shd w:val="clear" w:color="auto" w:fill="C2D69B" w:themeFill="accent3" w:themeFillTint="99"/>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62423</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CC"/>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right w:val="single" w:sz="18" w:space="0" w:color="auto"/>
            </w:tcBorders>
            <w:shd w:val="clear" w:color="auto" w:fill="FFFFCC"/>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62423</w:t>
            </w:r>
          </w:p>
        </w:tc>
      </w:tr>
      <w:tr w:rsidR="0043547B" w:rsidRPr="0043547B" w:rsidTr="00CB5DC0">
        <w:trPr>
          <w:trHeight w:val="600"/>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left w:val="single" w:sz="4"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Interrupteurs automatiques à courant différentiel résiduel de type B et de type F avec et sans protection contre les surintensités incorporée pour usages domestiques et analogues   </w:t>
            </w:r>
          </w:p>
        </w:tc>
      </w:tr>
      <w:tr w:rsidR="0043547B" w:rsidRPr="0043547B" w:rsidTr="00CB5DC0">
        <w:trPr>
          <w:trHeight w:val="703"/>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domaines d’application de la EN 61008-1 et de la EN 61008-2-1 ou de la EN 61009-1 et de la EN 61009-2-1 s’appliquent avec les additions suivantes.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La norme spécifie les exigences et les essais pour les DDR (dispositifs de protection à courant différentiel résiduel) de Type F et de Type B. Les exigences et les essais donnés dans La norme complètent les exigences des dispositifs à courant différentiel résiduel de Type A suivant la EN 61008-2-1 ou la EN 61009-2-1.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ne peut être utilisée que conjointement à la EN 61008-1 et la EN 61009-1.</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ID (interrupteur différentiel sans protection contre les surintensités incorporée) de Type F et les DD (interrupteur différentiel avec protection contre les surintensités incorporée) de Type F sont destinés à des installations dans lesquelles les convertisseurs de fréquence sont alimentés entre phase et neutre ou entre phase et conducteur milieu mis à la terre et sont aptes à assurer la protection en cas d'apparition de courant différentiel alternatif sinusoïdal à la fréquence assignée, de courant différentiel continu pulsé et de courant différentiel composé.</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ID de Type B et les DD de Type B sont aptes à assurer la protection en cas de courants différentiels résiduels alternatifs sinusoïdaux jusqu’à 1 000 Hz, de courants différentiels résiduels continus pulsés et de courants différentiels résiduels continus lissés.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DDR de Type F et de Type B possèdent une résistance élevée aux déclenchements intempestifs même si une onde de surtension provoque un amorçage et qu’un courant de suite se produit et dans le cas d’appels de courants différentiels d’une durée maximale de 10 ms pouvant se produire en cas de mise en marche des matériels électroniques ou des filtres CEM.</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DDR relevant de La norme ne sont pas destinés à un usage dans les réseaux d'alimentation à courant continu.</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exigences et les essais supplémentaires pour les produits à utiliser dans les situations où il n’est pas prévu que le courant différentiel soit couvert par la EN 61008-1 ou la EN 61009-1 sont à l'étude.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La séquence d’essais complète pour les essais de type concernant les ID de Type F et les DD de Type F est donnée respectivement dans les Tableaux A.1 et B.1.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séquence d’essais complète pour les essais de type concernant les ID de Type B et les DD de Type B est donnée respectivement dans les Tableaux C.1 ou D.1.</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60947-3</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right w:val="single" w:sz="18" w:space="0" w:color="auto"/>
            </w:tcBorders>
            <w:shd w:val="clear" w:color="auto" w:fill="FFFF99"/>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60947-3 - A1</w:t>
            </w:r>
          </w:p>
        </w:tc>
      </w:tr>
      <w:tr w:rsidR="0043547B" w:rsidRPr="0043547B" w:rsidTr="00CB5DC0">
        <w:trPr>
          <w:trHeight w:val="600"/>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left w:val="single" w:sz="4"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Appareillage à basse tension – Partie 3 : interrupteurs, sectionneurs, interrupteurs-sectionneurs et combinés-fusibles ;  </w:t>
            </w:r>
          </w:p>
        </w:tc>
      </w:tr>
      <w:tr w:rsidR="0043547B" w:rsidRPr="0043547B" w:rsidTr="00CB5DC0">
        <w:trPr>
          <w:trHeight w:val="843"/>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La  partie de la CEI 60947 s’applique à l'appareillage suivant: sectionneurs, interrupteurs-sectionneurs et combinés-fusibles, destinés à être insérés dans des </w:t>
            </w:r>
            <w:r w:rsidRPr="0043547B">
              <w:rPr>
                <w:rFonts w:eastAsia="Times New Roman" w:cstheme="minorHAnsi"/>
                <w:sz w:val="24"/>
                <w:szCs w:val="24"/>
                <w:lang w:eastAsia="fr-FR"/>
              </w:rPr>
              <w:lastRenderedPageBreak/>
              <w:t>circuits de distribution et des circuits de moteurs dont la tension assignée est inférieure ou égale à 1 000 V en courant alternatif ou à 1 500 V en courant continu.</w:t>
            </w:r>
          </w:p>
          <w:p w:rsidR="009225AE" w:rsidRPr="0043547B" w:rsidRDefault="009225AE" w:rsidP="009225AE">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 constructeur doit spécifier le type, les grandeurs assignées et les caractéristiques de tous les fusibles incorporés, en conformité avec la norme correspondante.</w:t>
            </w:r>
            <w:r w:rsidRPr="0043547B">
              <w:rPr>
                <w:rFonts w:eastAsia="Times New Roman" w:cstheme="minorHAnsi"/>
                <w:sz w:val="24"/>
                <w:szCs w:val="24"/>
                <w:lang w:eastAsia="fr-FR"/>
              </w:rPr>
              <w:br/>
              <w:t>La partie n'est pas applicable au matériel faisant partie du domaine d'application de la CEI 60947-2, de la CEI 60947-4-1 et de la CEI 60947-5-1 ; cependant, quand les interrupteurs et les combinés-fusibles faisant partie du domaine d'application de la partie sont normalement utilisés pour assurer le démarrage, l'accélération et/ou l'arrêt d'un moteur, ils doivent aussi répondre aux exigences supplémentaires figurant à l'Annexe A.</w:t>
            </w:r>
          </w:p>
          <w:p w:rsidR="00E7624B" w:rsidRPr="0043547B" w:rsidRDefault="009225AE" w:rsidP="004A044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partie ne contient pas les exigences supplémentaires nécessaires au matériel électrique pour atmosphères explosives.</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60947-4-2</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right w:val="single" w:sz="18" w:space="0" w:color="auto"/>
            </w:tcBorders>
            <w:shd w:val="clear" w:color="auto" w:fill="FFFF99"/>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60947-4-2</w:t>
            </w:r>
          </w:p>
        </w:tc>
      </w:tr>
      <w:tr w:rsidR="0043547B" w:rsidRPr="0043547B" w:rsidTr="00CB5DC0">
        <w:trPr>
          <w:trHeight w:val="600"/>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left w:val="single" w:sz="4"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Appareillage à basse tension – Partie 4-2 : contacteurs et démarreurs de moteurs – Gradateurs et démarreurs à semi-conducteurs de moteurs à courant alternatif ;  </w:t>
            </w:r>
          </w:p>
        </w:tc>
      </w:tr>
      <w:tr w:rsidR="0043547B" w:rsidRPr="0043547B" w:rsidTr="004E1BDB">
        <w:trPr>
          <w:trHeight w:val="1552"/>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est applicable aux gradateurs et démarreurs à semi-conducteurs de moteurs à courant alternatif, qui peuvent comprendre en série des appareils mécaniques de connexion, destinés à être reliés à des circuits dont la tension assignée ne dépasse pas 1 000 V en courant alternatif.</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définit les caractéristiques des gradateurs et démarreurs à semi-conducteurs de moteurs à courant alternatif, avec ou sans dispositif de court-circuitage. Les gradateurs et démarreurs à semi-conducteurs de moteurs à courant alternatif couverts par La norme ne sont normalement pas prévus pour interrompre des courants de court-circuit.</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n'est pas applicable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au fonctionnement continu des moteurs pour courant alternatif à des vitesses de moteur autres que leur vitesse normale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au matériel à semi-conducteurs, comprenant des contacteurs à semi-conducteurs (voir 2.2.13 de la CEI 60947-1) commandant les charges autres que des moteurs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aux convertisseurs électroniques de puissance pour courant alternatif couverts par la série CEI 60146.</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Il convient que les contacteurs, les relais de surcharge et les dispositifs de circuits de commande utilisés dans les gradateurs et démarreurs à semi-conducteurs de moteurs à courant alternatif soient conformes aux exigences de leur norme de produit applicable.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Lors de l'emploi d'appareils mécaniques de connexion, il convient que ceux-ci satisfassent aux exigences de leur propre norme de produit CEI et aux exigences complémentaires de la norme.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L'objet de La norme est de fixer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les caractéristiques des gradateurs et démarreurs à semi-conducteurs de moteurs à courant alternatif et le matériel associé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les conditions que remplissent les gradateurs et les démarreurs à semi-conducteurs de moteurs à courant alternatif pour :</w:t>
            </w:r>
          </w:p>
          <w:p w:rsidR="00904E52" w:rsidRPr="0043547B" w:rsidRDefault="00904E52" w:rsidP="00B905D3">
            <w:pPr>
              <w:pStyle w:val="Paragraphedeliste"/>
              <w:numPr>
                <w:ilvl w:val="0"/>
                <w:numId w:val="10"/>
              </w:num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leur fonctionnement et leur comportement ;</w:t>
            </w:r>
          </w:p>
          <w:p w:rsidR="00904E52" w:rsidRPr="0043547B" w:rsidRDefault="00904E52" w:rsidP="00B905D3">
            <w:pPr>
              <w:pStyle w:val="Paragraphedeliste"/>
              <w:numPr>
                <w:ilvl w:val="0"/>
                <w:numId w:val="10"/>
              </w:num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leurs propriétés diélectriques ;</w:t>
            </w:r>
          </w:p>
          <w:p w:rsidR="00904E52" w:rsidRPr="0043547B" w:rsidRDefault="00904E52" w:rsidP="00B905D3">
            <w:pPr>
              <w:pStyle w:val="Paragraphedeliste"/>
              <w:numPr>
                <w:ilvl w:val="0"/>
                <w:numId w:val="10"/>
              </w:num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degrés de protection procurés par leurs enveloppes, le cas échéant ;</w:t>
            </w:r>
          </w:p>
          <w:p w:rsidR="00904E52" w:rsidRPr="0043547B" w:rsidRDefault="00904E52" w:rsidP="00B905D3">
            <w:pPr>
              <w:pStyle w:val="Paragraphedeliste"/>
              <w:numPr>
                <w:ilvl w:val="0"/>
                <w:numId w:val="10"/>
              </w:num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lastRenderedPageBreak/>
              <w:t>leur construction :</w:t>
            </w:r>
          </w:p>
          <w:p w:rsidR="00904E52" w:rsidRPr="0043547B" w:rsidRDefault="00904E52" w:rsidP="00904E52">
            <w:pPr>
              <w:pStyle w:val="Paragraphedeliste"/>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 - les essais prévus pour confirmer que ces conditions ont été remplies, et les méthodes à adopter pour ces essais ;</w:t>
            </w:r>
          </w:p>
          <w:p w:rsidR="009D5CCE" w:rsidRPr="0043547B" w:rsidRDefault="00904E52" w:rsidP="0043547B">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les informations à donner sur le matériel ou dans les notices techniques du constructeur.</w:t>
            </w:r>
          </w:p>
        </w:tc>
      </w:tr>
      <w:tr w:rsidR="001943A6" w:rsidRPr="0043547B" w:rsidTr="004A044D">
        <w:trPr>
          <w:trHeight w:val="363"/>
          <w:jc w:val="center"/>
        </w:trPr>
        <w:tc>
          <w:tcPr>
            <w:tcW w:w="1843"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1943A6" w:rsidRDefault="001943A6" w:rsidP="004A044D">
            <w:pPr>
              <w:spacing w:after="0" w:line="240" w:lineRule="auto"/>
              <w:jc w:val="center"/>
              <w:rPr>
                <w:rFonts w:ascii="Calibri" w:hAnsi="Calibri" w:cs="Calibri"/>
                <w:b/>
                <w:bCs/>
              </w:rPr>
            </w:pPr>
            <w:r>
              <w:rPr>
                <w:rFonts w:ascii="Calibri" w:hAnsi="Calibri" w:cs="Calibri"/>
                <w:b/>
                <w:bCs/>
              </w:rPr>
              <w:lastRenderedPageBreak/>
              <w:t>Code :</w:t>
            </w:r>
          </w:p>
        </w:tc>
        <w:tc>
          <w:tcPr>
            <w:tcW w:w="8080" w:type="dxa"/>
            <w:tcBorders>
              <w:left w:val="single" w:sz="4" w:space="0" w:color="auto"/>
              <w:bottom w:val="single" w:sz="18" w:space="0" w:color="auto"/>
              <w:right w:val="single" w:sz="18" w:space="0" w:color="auto"/>
            </w:tcBorders>
            <w:shd w:val="clear" w:color="auto" w:fill="C2D69B" w:themeFill="accent3" w:themeFillTint="99"/>
            <w:vAlign w:val="center"/>
          </w:tcPr>
          <w:p w:rsidR="001943A6" w:rsidRPr="004A044D" w:rsidRDefault="001943A6" w:rsidP="004A044D">
            <w:pPr>
              <w:spacing w:after="0" w:line="240" w:lineRule="auto"/>
              <w:jc w:val="center"/>
              <w:rPr>
                <w:rFonts w:ascii="Calibri" w:hAnsi="Calibri" w:cs="Calibri"/>
                <w:b/>
                <w:bCs/>
              </w:rPr>
            </w:pPr>
            <w:r w:rsidRPr="004A044D">
              <w:rPr>
                <w:rFonts w:ascii="Calibri" w:hAnsi="Calibri" w:cs="Calibri"/>
                <w:b/>
                <w:bCs/>
              </w:rPr>
              <w:t>NM 06.3.198</w:t>
            </w:r>
          </w:p>
        </w:tc>
      </w:tr>
      <w:tr w:rsidR="001943A6" w:rsidRPr="0043547B" w:rsidTr="004A044D">
        <w:trPr>
          <w:trHeight w:val="526"/>
          <w:jc w:val="center"/>
        </w:trPr>
        <w:tc>
          <w:tcPr>
            <w:tcW w:w="1843" w:type="dxa"/>
            <w:tcBorders>
              <w:top w:val="nil"/>
              <w:left w:val="single" w:sz="18" w:space="0" w:color="auto"/>
              <w:bottom w:val="single" w:sz="18" w:space="0" w:color="auto"/>
              <w:right w:val="single" w:sz="4" w:space="0" w:color="auto"/>
            </w:tcBorders>
            <w:shd w:val="clear" w:color="auto" w:fill="00B0F0"/>
            <w:vAlign w:val="center"/>
          </w:tcPr>
          <w:p w:rsidR="001943A6" w:rsidRDefault="001943A6" w:rsidP="004A044D">
            <w:pPr>
              <w:spacing w:after="0" w:line="240" w:lineRule="auto"/>
              <w:jc w:val="center"/>
              <w:rPr>
                <w:rFonts w:ascii="Calibri" w:hAnsi="Calibri" w:cs="Calibri"/>
                <w:b/>
                <w:bCs/>
                <w:sz w:val="24"/>
                <w:szCs w:val="24"/>
              </w:rPr>
            </w:pPr>
            <w:r>
              <w:rPr>
                <w:rFonts w:ascii="Calibri" w:hAnsi="Calibri" w:cs="Calibri"/>
                <w:b/>
                <w:bCs/>
              </w:rPr>
              <w:t>Intitulé :</w:t>
            </w:r>
          </w:p>
        </w:tc>
        <w:tc>
          <w:tcPr>
            <w:tcW w:w="8080" w:type="dxa"/>
            <w:tcBorders>
              <w:left w:val="single" w:sz="4" w:space="0" w:color="auto"/>
              <w:bottom w:val="single" w:sz="18" w:space="0" w:color="auto"/>
              <w:right w:val="single" w:sz="18" w:space="0" w:color="auto"/>
            </w:tcBorders>
          </w:tcPr>
          <w:p w:rsidR="001943A6" w:rsidRDefault="001943A6" w:rsidP="004A044D">
            <w:pPr>
              <w:spacing w:after="0" w:line="240" w:lineRule="auto"/>
              <w:jc w:val="both"/>
              <w:rPr>
                <w:rFonts w:ascii="Calibri" w:hAnsi="Calibri" w:cs="Calibri"/>
              </w:rPr>
            </w:pPr>
            <w:r>
              <w:rPr>
                <w:rFonts w:ascii="Calibri" w:hAnsi="Calibri" w:cs="Calibri"/>
              </w:rPr>
              <w:t xml:space="preserve">Conducteurs et câbles isolés pour installations  - Câbles isolés au  polychlorure de vinyle pour circuit très basse tension </w:t>
            </w:r>
          </w:p>
        </w:tc>
      </w:tr>
      <w:tr w:rsidR="001943A6" w:rsidRPr="0043547B" w:rsidTr="001943A6">
        <w:trPr>
          <w:trHeight w:val="1835"/>
          <w:jc w:val="center"/>
        </w:trPr>
        <w:tc>
          <w:tcPr>
            <w:tcW w:w="1843" w:type="dxa"/>
            <w:tcBorders>
              <w:top w:val="nil"/>
              <w:left w:val="single" w:sz="18" w:space="0" w:color="auto"/>
              <w:bottom w:val="single" w:sz="18" w:space="0" w:color="auto"/>
              <w:right w:val="single" w:sz="4" w:space="0" w:color="auto"/>
            </w:tcBorders>
            <w:shd w:val="clear" w:color="000000" w:fill="D9D9D9"/>
            <w:vAlign w:val="center"/>
          </w:tcPr>
          <w:p w:rsidR="001943A6" w:rsidRDefault="001943A6" w:rsidP="004A044D">
            <w:pPr>
              <w:spacing w:after="0" w:line="240" w:lineRule="auto"/>
              <w:jc w:val="center"/>
              <w:rPr>
                <w:rFonts w:ascii="Calibri" w:hAnsi="Calibri" w:cs="Calibri"/>
                <w:b/>
                <w:bCs/>
                <w:sz w:val="24"/>
                <w:szCs w:val="24"/>
              </w:rPr>
            </w:pPr>
            <w:r>
              <w:rPr>
                <w:rFonts w:ascii="Calibri" w:hAnsi="Calibri" w:cs="Calibri"/>
                <w:b/>
                <w:bCs/>
              </w:rPr>
              <w:t>Domaine d’application :</w:t>
            </w:r>
          </w:p>
        </w:tc>
        <w:tc>
          <w:tcPr>
            <w:tcW w:w="8080" w:type="dxa"/>
            <w:tcBorders>
              <w:left w:val="single" w:sz="4" w:space="0" w:color="auto"/>
              <w:bottom w:val="single" w:sz="18" w:space="0" w:color="auto"/>
              <w:right w:val="single" w:sz="18" w:space="0" w:color="auto"/>
            </w:tcBorders>
            <w:vAlign w:val="bottom"/>
          </w:tcPr>
          <w:p w:rsidR="004A044D" w:rsidRDefault="001943A6" w:rsidP="004A044D">
            <w:pPr>
              <w:spacing w:after="0" w:line="240" w:lineRule="auto"/>
              <w:jc w:val="both"/>
              <w:rPr>
                <w:rFonts w:ascii="Calibri" w:hAnsi="Calibri" w:cs="Calibri"/>
              </w:rPr>
            </w:pPr>
            <w:r>
              <w:rPr>
                <w:rFonts w:ascii="Calibri" w:hAnsi="Calibri" w:cs="Calibri"/>
              </w:rPr>
              <w:t>Les règles de la présente norme s'appliquent aux câbles isolés au polychlorure de vinyle, avec ou sans écran, et comportant également une gaine en polychlorure de vinyle, de tension nominale 50V, destinés aux installations courant faible fonctionnant en très basse tension telles que les circuits de portier, d'alarme, de signalisation, d'automatisme industriel, de domotique, etc.</w:t>
            </w:r>
          </w:p>
          <w:p w:rsidR="004A044D" w:rsidRDefault="001943A6" w:rsidP="004A044D">
            <w:pPr>
              <w:spacing w:after="0" w:line="240" w:lineRule="auto"/>
              <w:jc w:val="both"/>
              <w:rPr>
                <w:rFonts w:ascii="Calibri" w:hAnsi="Calibri" w:cs="Calibri"/>
              </w:rPr>
            </w:pPr>
            <w:r>
              <w:rPr>
                <w:rFonts w:ascii="Calibri" w:hAnsi="Calibri" w:cs="Calibri"/>
              </w:rPr>
              <w:t>Les câbles visés par la présente norme ne sont pas prévus pour être utilisés à l'extérieur sans précautions particulières.</w:t>
            </w:r>
          </w:p>
          <w:p w:rsidR="001943A6" w:rsidRDefault="001943A6" w:rsidP="004A044D">
            <w:pPr>
              <w:spacing w:after="0" w:line="240" w:lineRule="auto"/>
              <w:jc w:val="both"/>
              <w:rPr>
                <w:rFonts w:ascii="Calibri" w:hAnsi="Calibri" w:cs="Calibri"/>
              </w:rPr>
            </w:pPr>
            <w:r>
              <w:rPr>
                <w:rFonts w:ascii="Calibri" w:hAnsi="Calibri" w:cs="Calibri"/>
              </w:rPr>
              <w:t>Du point de vue comportement au feu, ces câbles sont de la catégorie C2, au sens de la norme en vigueur.</w:t>
            </w:r>
          </w:p>
        </w:tc>
      </w:tr>
      <w:tr w:rsidR="001943A6" w:rsidRPr="0043547B" w:rsidTr="004A044D">
        <w:trPr>
          <w:trHeight w:val="316"/>
          <w:jc w:val="center"/>
        </w:trPr>
        <w:tc>
          <w:tcPr>
            <w:tcW w:w="1843"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1943A6" w:rsidRDefault="001943A6" w:rsidP="004A044D">
            <w:pPr>
              <w:spacing w:after="0" w:line="240" w:lineRule="auto"/>
              <w:jc w:val="center"/>
              <w:rPr>
                <w:rFonts w:ascii="Calibri" w:hAnsi="Calibri" w:cs="Calibri"/>
                <w:b/>
                <w:bCs/>
                <w:sz w:val="24"/>
                <w:szCs w:val="24"/>
              </w:rPr>
            </w:pPr>
            <w:r>
              <w:rPr>
                <w:rFonts w:ascii="Calibri" w:hAnsi="Calibri" w:cs="Calibri"/>
                <w:b/>
                <w:bCs/>
              </w:rPr>
              <w:t>Code</w:t>
            </w:r>
            <w:r w:rsidR="004A044D">
              <w:rPr>
                <w:rFonts w:ascii="Calibri" w:hAnsi="Calibri" w:cs="Calibri"/>
                <w:b/>
                <w:bCs/>
              </w:rPr>
              <w:t xml:space="preserve"> </w:t>
            </w:r>
            <w:r>
              <w:rPr>
                <w:rFonts w:ascii="Calibri" w:hAnsi="Calibri" w:cs="Calibri"/>
                <w:b/>
                <w:bCs/>
              </w:rPr>
              <w:t>:</w:t>
            </w:r>
          </w:p>
        </w:tc>
        <w:tc>
          <w:tcPr>
            <w:tcW w:w="8080" w:type="dxa"/>
            <w:tcBorders>
              <w:left w:val="single" w:sz="4" w:space="0" w:color="auto"/>
              <w:bottom w:val="single" w:sz="18" w:space="0" w:color="auto"/>
              <w:right w:val="single" w:sz="18" w:space="0" w:color="auto"/>
            </w:tcBorders>
            <w:shd w:val="clear" w:color="auto" w:fill="C2D69B" w:themeFill="accent3" w:themeFillTint="99"/>
            <w:vAlign w:val="center"/>
          </w:tcPr>
          <w:p w:rsidR="001943A6" w:rsidRPr="004A044D" w:rsidRDefault="001943A6" w:rsidP="004A044D">
            <w:pPr>
              <w:spacing w:after="0" w:line="240" w:lineRule="auto"/>
              <w:jc w:val="center"/>
              <w:rPr>
                <w:rFonts w:ascii="Calibri" w:hAnsi="Calibri" w:cs="Calibri"/>
                <w:b/>
                <w:bCs/>
              </w:rPr>
            </w:pPr>
            <w:r w:rsidRPr="004A044D">
              <w:rPr>
                <w:rFonts w:ascii="Calibri" w:hAnsi="Calibri" w:cs="Calibri"/>
                <w:b/>
                <w:bCs/>
              </w:rPr>
              <w:t>NM 06.3.224</w:t>
            </w:r>
          </w:p>
        </w:tc>
      </w:tr>
      <w:tr w:rsidR="001943A6" w:rsidRPr="0043547B" w:rsidTr="004A044D">
        <w:trPr>
          <w:trHeight w:val="803"/>
          <w:jc w:val="center"/>
        </w:trPr>
        <w:tc>
          <w:tcPr>
            <w:tcW w:w="1843" w:type="dxa"/>
            <w:tcBorders>
              <w:top w:val="nil"/>
              <w:left w:val="single" w:sz="18" w:space="0" w:color="auto"/>
              <w:bottom w:val="single" w:sz="18" w:space="0" w:color="auto"/>
              <w:right w:val="single" w:sz="4" w:space="0" w:color="auto"/>
            </w:tcBorders>
            <w:shd w:val="clear" w:color="auto" w:fill="00B0F0"/>
            <w:vAlign w:val="center"/>
          </w:tcPr>
          <w:p w:rsidR="001943A6" w:rsidRDefault="001943A6" w:rsidP="004A044D">
            <w:pPr>
              <w:jc w:val="center"/>
              <w:rPr>
                <w:rFonts w:ascii="Calibri" w:hAnsi="Calibri" w:cs="Calibri"/>
                <w:b/>
                <w:bCs/>
                <w:sz w:val="24"/>
                <w:szCs w:val="24"/>
              </w:rPr>
            </w:pPr>
            <w:r>
              <w:rPr>
                <w:rFonts w:ascii="Calibri" w:hAnsi="Calibri" w:cs="Calibri"/>
                <w:b/>
                <w:bCs/>
              </w:rPr>
              <w:t>Intitulé :</w:t>
            </w:r>
          </w:p>
        </w:tc>
        <w:tc>
          <w:tcPr>
            <w:tcW w:w="8080" w:type="dxa"/>
            <w:tcBorders>
              <w:left w:val="single" w:sz="4" w:space="0" w:color="auto"/>
              <w:bottom w:val="single" w:sz="18" w:space="0" w:color="auto"/>
              <w:right w:val="single" w:sz="18" w:space="0" w:color="auto"/>
            </w:tcBorders>
          </w:tcPr>
          <w:p w:rsidR="001943A6" w:rsidRDefault="001943A6" w:rsidP="004A044D">
            <w:pPr>
              <w:spacing w:after="0" w:line="240" w:lineRule="auto"/>
              <w:jc w:val="both"/>
              <w:rPr>
                <w:rFonts w:ascii="Calibri" w:hAnsi="Calibri" w:cs="Calibri"/>
              </w:rPr>
            </w:pPr>
            <w:r>
              <w:rPr>
                <w:rFonts w:ascii="Calibri" w:hAnsi="Calibri" w:cs="Calibri"/>
              </w:rPr>
              <w:t>Conducteurs   et   câbles   isolés   pour   installations   -   Équipements   de   chauffage   par   câbles chauffants   avec   revêtement   métallique,   destinés   à   être   incorporés   dans   les   parois   des bâtiments</w:t>
            </w:r>
          </w:p>
        </w:tc>
      </w:tr>
      <w:tr w:rsidR="001943A6" w:rsidRPr="0043547B" w:rsidTr="004A044D">
        <w:trPr>
          <w:trHeight w:val="3493"/>
          <w:jc w:val="center"/>
        </w:trPr>
        <w:tc>
          <w:tcPr>
            <w:tcW w:w="1843" w:type="dxa"/>
            <w:tcBorders>
              <w:top w:val="nil"/>
              <w:left w:val="single" w:sz="18" w:space="0" w:color="auto"/>
              <w:bottom w:val="single" w:sz="18" w:space="0" w:color="auto"/>
              <w:right w:val="single" w:sz="4" w:space="0" w:color="auto"/>
            </w:tcBorders>
            <w:shd w:val="clear" w:color="000000" w:fill="D9D9D9"/>
            <w:vAlign w:val="center"/>
          </w:tcPr>
          <w:p w:rsidR="001943A6" w:rsidRDefault="001943A6" w:rsidP="004A044D">
            <w:pPr>
              <w:jc w:val="center"/>
              <w:rPr>
                <w:rFonts w:ascii="Calibri" w:hAnsi="Calibri" w:cs="Calibri"/>
                <w:b/>
                <w:bCs/>
                <w:sz w:val="24"/>
                <w:szCs w:val="24"/>
              </w:rPr>
            </w:pPr>
            <w:r>
              <w:rPr>
                <w:rFonts w:ascii="Calibri" w:hAnsi="Calibri" w:cs="Calibri"/>
                <w:b/>
                <w:bCs/>
              </w:rPr>
              <w:t>Domaine d’application :</w:t>
            </w:r>
          </w:p>
        </w:tc>
        <w:tc>
          <w:tcPr>
            <w:tcW w:w="8080" w:type="dxa"/>
            <w:tcBorders>
              <w:left w:val="single" w:sz="4" w:space="0" w:color="auto"/>
              <w:bottom w:val="single" w:sz="18" w:space="0" w:color="auto"/>
              <w:right w:val="single" w:sz="18" w:space="0" w:color="auto"/>
            </w:tcBorders>
            <w:vAlign w:val="bottom"/>
          </w:tcPr>
          <w:p w:rsidR="004A044D" w:rsidRDefault="001943A6" w:rsidP="004A044D">
            <w:pPr>
              <w:spacing w:after="0" w:line="240" w:lineRule="auto"/>
              <w:jc w:val="both"/>
              <w:rPr>
                <w:rFonts w:ascii="Calibri" w:hAnsi="Calibri" w:cs="Calibri"/>
                <w:color w:val="000000"/>
              </w:rPr>
            </w:pPr>
            <w:r>
              <w:rPr>
                <w:rFonts w:ascii="Calibri" w:hAnsi="Calibri" w:cs="Calibri"/>
                <w:color w:val="000000"/>
              </w:rPr>
              <w:t>La présente norme s'applique aux équipements de chauffage réalisés à partir des câbles</w:t>
            </w:r>
            <w:r>
              <w:rPr>
                <w:rFonts w:ascii="Calibri" w:hAnsi="Calibri" w:cs="Calibri"/>
                <w:color w:val="000000"/>
              </w:rPr>
              <w:br/>
              <w:t>chauffants monoconducteurs revêtus d'un revêtement métallique, de tension assignée 300/500 V et des liaisons froides appropriées, destinés à être incorporés dans les parois des bâtiments.</w:t>
            </w:r>
          </w:p>
          <w:p w:rsidR="004A044D" w:rsidRDefault="001943A6" w:rsidP="004A044D">
            <w:pPr>
              <w:spacing w:after="0" w:line="240" w:lineRule="auto"/>
              <w:jc w:val="both"/>
              <w:rPr>
                <w:rFonts w:ascii="Calibri" w:hAnsi="Calibri" w:cs="Calibri"/>
                <w:color w:val="000000"/>
              </w:rPr>
            </w:pPr>
            <w:r>
              <w:rPr>
                <w:rFonts w:ascii="Calibri" w:hAnsi="Calibri" w:cs="Calibri"/>
                <w:color w:val="000000"/>
              </w:rPr>
              <w:t>Les conducteurs nus ou légèrement isolés au sens de la série de normes marocaines</w:t>
            </w:r>
            <w:r>
              <w:rPr>
                <w:rFonts w:ascii="Calibri" w:hAnsi="Calibri" w:cs="Calibri"/>
                <w:color w:val="000000"/>
              </w:rPr>
              <w:br/>
              <w:t>concernant les installations électriques à basse tension (NM 06.1.100,…, NM 06.1.106) ne sont pas visés dans la présente norme. La présente norme s'applique aux câbles suivants:</w:t>
            </w:r>
            <w:r>
              <w:rPr>
                <w:rFonts w:ascii="Calibri" w:hAnsi="Calibri" w:cs="Calibri"/>
                <w:color w:val="000000"/>
              </w:rPr>
              <w:br/>
              <w:t>− câbles isolés en matière organique, avec revêtement métallique n'assurant pas une</w:t>
            </w:r>
            <w:r>
              <w:rPr>
                <w:rFonts w:ascii="Calibri" w:hAnsi="Calibri" w:cs="Calibri"/>
                <w:color w:val="000000"/>
              </w:rPr>
              <w:br/>
              <w:t>protection mécanique,</w:t>
            </w:r>
          </w:p>
          <w:p w:rsidR="004A044D" w:rsidRDefault="001943A6" w:rsidP="004A044D">
            <w:pPr>
              <w:spacing w:after="0" w:line="240" w:lineRule="auto"/>
              <w:jc w:val="both"/>
              <w:rPr>
                <w:rFonts w:ascii="Calibri" w:hAnsi="Calibri" w:cs="Calibri"/>
                <w:color w:val="000000"/>
              </w:rPr>
            </w:pPr>
            <w:r>
              <w:rPr>
                <w:rFonts w:ascii="Calibri" w:hAnsi="Calibri" w:cs="Calibri"/>
                <w:color w:val="000000"/>
              </w:rPr>
              <w:t>− câbles isolés en matière organique, avec revêtement métallique assurant une protection mécanique,</w:t>
            </w:r>
          </w:p>
          <w:p w:rsidR="004A044D" w:rsidRDefault="001943A6" w:rsidP="004A044D">
            <w:pPr>
              <w:spacing w:after="0" w:line="240" w:lineRule="auto"/>
              <w:jc w:val="both"/>
              <w:rPr>
                <w:rFonts w:ascii="Calibri" w:hAnsi="Calibri" w:cs="Calibri"/>
                <w:color w:val="000000"/>
              </w:rPr>
            </w:pPr>
            <w:r>
              <w:rPr>
                <w:rFonts w:ascii="Calibri" w:hAnsi="Calibri" w:cs="Calibri"/>
                <w:color w:val="000000"/>
              </w:rPr>
              <w:t>− câbles isolés en matière minérale, dits "câbles à isolant minéral".</w:t>
            </w:r>
          </w:p>
        </w:tc>
      </w:tr>
      <w:tr w:rsidR="001943A6" w:rsidRPr="0043547B" w:rsidTr="004A044D">
        <w:trPr>
          <w:trHeight w:val="382"/>
          <w:jc w:val="center"/>
        </w:trPr>
        <w:tc>
          <w:tcPr>
            <w:tcW w:w="1843"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1943A6" w:rsidRDefault="001943A6" w:rsidP="004A044D">
            <w:pPr>
              <w:spacing w:after="0" w:line="240" w:lineRule="auto"/>
              <w:jc w:val="center"/>
              <w:rPr>
                <w:rFonts w:ascii="Calibri" w:hAnsi="Calibri" w:cs="Calibri"/>
                <w:b/>
                <w:bCs/>
                <w:sz w:val="24"/>
                <w:szCs w:val="24"/>
              </w:rPr>
            </w:pPr>
            <w:r>
              <w:rPr>
                <w:rFonts w:ascii="Calibri" w:hAnsi="Calibri" w:cs="Calibri"/>
                <w:b/>
                <w:bCs/>
              </w:rPr>
              <w:t>Code :</w:t>
            </w:r>
          </w:p>
        </w:tc>
        <w:tc>
          <w:tcPr>
            <w:tcW w:w="8080" w:type="dxa"/>
            <w:tcBorders>
              <w:left w:val="single" w:sz="4" w:space="0" w:color="auto"/>
              <w:bottom w:val="single" w:sz="18" w:space="0" w:color="auto"/>
              <w:right w:val="single" w:sz="18" w:space="0" w:color="auto"/>
            </w:tcBorders>
            <w:shd w:val="clear" w:color="auto" w:fill="C2D69B" w:themeFill="accent3" w:themeFillTint="99"/>
            <w:vAlign w:val="center"/>
          </w:tcPr>
          <w:p w:rsidR="001943A6" w:rsidRPr="004A044D" w:rsidRDefault="001943A6" w:rsidP="004A044D">
            <w:pPr>
              <w:spacing w:after="0" w:line="240" w:lineRule="auto"/>
              <w:jc w:val="center"/>
              <w:rPr>
                <w:rFonts w:ascii="Calibri" w:hAnsi="Calibri" w:cs="Calibri"/>
                <w:b/>
                <w:bCs/>
                <w:sz w:val="24"/>
                <w:szCs w:val="24"/>
              </w:rPr>
            </w:pPr>
            <w:r w:rsidRPr="004A044D">
              <w:rPr>
                <w:rFonts w:ascii="Calibri" w:hAnsi="Calibri" w:cs="Calibri"/>
                <w:b/>
                <w:bCs/>
                <w:sz w:val="24"/>
                <w:szCs w:val="24"/>
              </w:rPr>
              <w:t>NM IEC 60245 (série)</w:t>
            </w:r>
          </w:p>
        </w:tc>
      </w:tr>
      <w:tr w:rsidR="001943A6" w:rsidRPr="0043547B" w:rsidTr="004E1BDB">
        <w:trPr>
          <w:trHeight w:val="387"/>
          <w:jc w:val="center"/>
        </w:trPr>
        <w:tc>
          <w:tcPr>
            <w:tcW w:w="1843" w:type="dxa"/>
            <w:tcBorders>
              <w:top w:val="nil"/>
              <w:left w:val="single" w:sz="18" w:space="0" w:color="auto"/>
              <w:bottom w:val="single" w:sz="18" w:space="0" w:color="auto"/>
              <w:right w:val="single" w:sz="4" w:space="0" w:color="auto"/>
            </w:tcBorders>
            <w:shd w:val="clear" w:color="auto" w:fill="FFFF99"/>
            <w:vAlign w:val="center"/>
          </w:tcPr>
          <w:p w:rsidR="001943A6" w:rsidRDefault="001943A6" w:rsidP="004A044D">
            <w:pPr>
              <w:spacing w:after="0" w:line="240" w:lineRule="auto"/>
              <w:jc w:val="center"/>
              <w:rPr>
                <w:rFonts w:ascii="Calibri" w:hAnsi="Calibri" w:cs="Calibri"/>
                <w:b/>
                <w:bCs/>
                <w:sz w:val="24"/>
                <w:szCs w:val="24"/>
              </w:rPr>
            </w:pPr>
            <w:r>
              <w:rPr>
                <w:rFonts w:ascii="Calibri" w:hAnsi="Calibri" w:cs="Calibri"/>
                <w:b/>
                <w:bCs/>
              </w:rPr>
              <w:t>Equivalence :</w:t>
            </w:r>
          </w:p>
        </w:tc>
        <w:tc>
          <w:tcPr>
            <w:tcW w:w="8080" w:type="dxa"/>
            <w:tcBorders>
              <w:left w:val="single" w:sz="4" w:space="0" w:color="auto"/>
              <w:bottom w:val="single" w:sz="18" w:space="0" w:color="auto"/>
              <w:right w:val="single" w:sz="18" w:space="0" w:color="auto"/>
            </w:tcBorders>
            <w:shd w:val="clear" w:color="auto" w:fill="FFFF99"/>
            <w:vAlign w:val="center"/>
          </w:tcPr>
          <w:p w:rsidR="001943A6" w:rsidRPr="004A044D" w:rsidRDefault="001943A6" w:rsidP="004A044D">
            <w:pPr>
              <w:spacing w:after="0" w:line="240" w:lineRule="auto"/>
              <w:jc w:val="center"/>
              <w:rPr>
                <w:rFonts w:ascii="Calibri" w:hAnsi="Calibri" w:cs="Calibri"/>
                <w:b/>
                <w:bCs/>
                <w:sz w:val="24"/>
                <w:szCs w:val="24"/>
              </w:rPr>
            </w:pPr>
            <w:r w:rsidRPr="004A044D">
              <w:rPr>
                <w:rFonts w:ascii="Calibri" w:hAnsi="Calibri" w:cs="Calibri"/>
                <w:b/>
                <w:bCs/>
                <w:sz w:val="24"/>
                <w:szCs w:val="24"/>
              </w:rPr>
              <w:t>IEC 60245 (série)</w:t>
            </w:r>
          </w:p>
        </w:tc>
      </w:tr>
      <w:tr w:rsidR="001943A6" w:rsidRPr="0043547B" w:rsidTr="004E1BDB">
        <w:trPr>
          <w:trHeight w:val="405"/>
          <w:jc w:val="center"/>
        </w:trPr>
        <w:tc>
          <w:tcPr>
            <w:tcW w:w="1843" w:type="dxa"/>
            <w:tcBorders>
              <w:top w:val="single" w:sz="18" w:space="0" w:color="auto"/>
              <w:left w:val="single" w:sz="18" w:space="0" w:color="auto"/>
              <w:bottom w:val="single" w:sz="4" w:space="0" w:color="auto"/>
              <w:right w:val="single" w:sz="4" w:space="0" w:color="auto"/>
            </w:tcBorders>
            <w:shd w:val="clear" w:color="auto" w:fill="95B3D7" w:themeFill="accent1" w:themeFillTint="99"/>
            <w:vAlign w:val="center"/>
          </w:tcPr>
          <w:p w:rsidR="001943A6" w:rsidRDefault="001943A6" w:rsidP="004A044D">
            <w:pPr>
              <w:spacing w:after="0" w:line="240" w:lineRule="auto"/>
              <w:jc w:val="center"/>
              <w:rPr>
                <w:rFonts w:ascii="Calibri" w:hAnsi="Calibri" w:cs="Calibri"/>
                <w:b/>
                <w:bCs/>
                <w:sz w:val="24"/>
                <w:szCs w:val="24"/>
              </w:rPr>
            </w:pPr>
            <w:r>
              <w:rPr>
                <w:rFonts w:ascii="Calibri" w:hAnsi="Calibri" w:cs="Calibri"/>
                <w:b/>
                <w:bCs/>
              </w:rPr>
              <w:t>Intitulé :</w:t>
            </w:r>
          </w:p>
        </w:tc>
        <w:tc>
          <w:tcPr>
            <w:tcW w:w="8080" w:type="dxa"/>
            <w:tcBorders>
              <w:top w:val="single" w:sz="18" w:space="0" w:color="auto"/>
              <w:left w:val="single" w:sz="4" w:space="0" w:color="auto"/>
              <w:bottom w:val="single" w:sz="4" w:space="0" w:color="auto"/>
              <w:right w:val="single" w:sz="18" w:space="0" w:color="auto"/>
            </w:tcBorders>
          </w:tcPr>
          <w:p w:rsidR="001943A6" w:rsidRDefault="001943A6" w:rsidP="004A044D">
            <w:pPr>
              <w:spacing w:after="0" w:line="240" w:lineRule="auto"/>
              <w:jc w:val="both"/>
              <w:rPr>
                <w:rFonts w:ascii="Calibri" w:hAnsi="Calibri" w:cs="Calibri"/>
              </w:rPr>
            </w:pPr>
            <w:r>
              <w:rPr>
                <w:rFonts w:ascii="Calibri" w:hAnsi="Calibri" w:cs="Calibri"/>
              </w:rPr>
              <w:t xml:space="preserve">Conducteurs et câbles isolés au caoutchouc - Tension assignée au plus égale à 450/750 V </w:t>
            </w:r>
          </w:p>
        </w:tc>
      </w:tr>
      <w:tr w:rsidR="001943A6" w:rsidRPr="0043547B" w:rsidTr="004E1BDB">
        <w:trPr>
          <w:trHeight w:val="1835"/>
          <w:jc w:val="center"/>
        </w:trPr>
        <w:tc>
          <w:tcPr>
            <w:tcW w:w="1843" w:type="dxa"/>
            <w:tcBorders>
              <w:top w:val="single" w:sz="4" w:space="0" w:color="auto"/>
              <w:left w:val="single" w:sz="18" w:space="0" w:color="auto"/>
              <w:bottom w:val="single" w:sz="18" w:space="0" w:color="auto"/>
              <w:right w:val="single" w:sz="4" w:space="0" w:color="auto"/>
            </w:tcBorders>
            <w:shd w:val="clear" w:color="000000" w:fill="D9D9D9"/>
            <w:vAlign w:val="center"/>
          </w:tcPr>
          <w:p w:rsidR="001943A6" w:rsidRDefault="001943A6" w:rsidP="004A044D">
            <w:pPr>
              <w:spacing w:after="0" w:line="240" w:lineRule="auto"/>
              <w:jc w:val="center"/>
              <w:rPr>
                <w:rFonts w:ascii="Calibri" w:hAnsi="Calibri" w:cs="Calibri"/>
                <w:b/>
                <w:bCs/>
                <w:sz w:val="24"/>
                <w:szCs w:val="24"/>
              </w:rPr>
            </w:pPr>
            <w:r>
              <w:rPr>
                <w:rFonts w:ascii="Calibri" w:hAnsi="Calibri" w:cs="Calibri"/>
                <w:b/>
                <w:bCs/>
              </w:rPr>
              <w:t>Domaine d’application :</w:t>
            </w:r>
          </w:p>
        </w:tc>
        <w:tc>
          <w:tcPr>
            <w:tcW w:w="8080" w:type="dxa"/>
            <w:tcBorders>
              <w:top w:val="single" w:sz="4" w:space="0" w:color="auto"/>
              <w:left w:val="single" w:sz="4" w:space="0" w:color="auto"/>
              <w:bottom w:val="single" w:sz="18" w:space="0" w:color="auto"/>
              <w:right w:val="single" w:sz="18" w:space="0" w:color="auto"/>
            </w:tcBorders>
            <w:vAlign w:val="bottom"/>
          </w:tcPr>
          <w:p w:rsidR="001943A6" w:rsidRDefault="001943A6" w:rsidP="004A044D">
            <w:pPr>
              <w:spacing w:after="0" w:line="240" w:lineRule="auto"/>
              <w:jc w:val="both"/>
              <w:rPr>
                <w:rFonts w:ascii="Calibri" w:hAnsi="Calibri" w:cs="Calibri"/>
              </w:rPr>
            </w:pPr>
            <w:r>
              <w:rPr>
                <w:rFonts w:ascii="Calibri" w:hAnsi="Calibri" w:cs="Calibri"/>
              </w:rPr>
              <w:t>La série CEI 60245 s'applique aux conducteurs et câbles souples et rigides</w:t>
            </w:r>
            <w:r w:rsidR="004A044D">
              <w:rPr>
                <w:rFonts w:ascii="Calibri" w:hAnsi="Calibri" w:cs="Calibri"/>
              </w:rPr>
              <w:t xml:space="preserve"> </w:t>
            </w:r>
            <w:r>
              <w:rPr>
                <w:rFonts w:ascii="Calibri" w:hAnsi="Calibri" w:cs="Calibri"/>
              </w:rPr>
              <w:t>ayant une enveloppe isolante, et éventuellement une gaine, à base de caoutchouc vulcanisé, de tension assignée Uo/U au plus égale à 450/750 V, utilisés dans les installations d'énergie d'une tension nominale ne dépassant pas 450/750 V en courant alternatif.</w:t>
            </w:r>
            <w:r>
              <w:rPr>
                <w:rFonts w:ascii="Calibri" w:hAnsi="Calibri" w:cs="Calibri"/>
              </w:rPr>
              <w:br/>
              <w:t>Les types particuliers de conducteurs et de câbles sont spécifiés dans la CEI 60245 -3, la</w:t>
            </w:r>
            <w:r>
              <w:rPr>
                <w:rFonts w:ascii="Calibri" w:hAnsi="Calibri" w:cs="Calibri"/>
              </w:rPr>
              <w:br/>
              <w:t>CEI 60245-4, etc. Le code de désignation de ces types de câbles est donné dans l'Annexe A.</w:t>
            </w:r>
            <w:r>
              <w:rPr>
                <w:rFonts w:ascii="Calibri" w:hAnsi="Calibri" w:cs="Calibri"/>
              </w:rPr>
              <w:br/>
              <w:t>Les méthodes d'essais spécifiées dans les Parties 1 à 8 sont données dans la CEI 60245-2,</w:t>
            </w:r>
            <w:r>
              <w:rPr>
                <w:rFonts w:ascii="Calibri" w:hAnsi="Calibri" w:cs="Calibri"/>
              </w:rPr>
              <w:br/>
              <w:t>la CEI 60332-1 et dans les parties correspondantes de la CEI 60811</w:t>
            </w:r>
          </w:p>
        </w:tc>
      </w:tr>
      <w:tr w:rsidR="0043547B" w:rsidRPr="0043547B" w:rsidTr="00CB5DC0">
        <w:trPr>
          <w:trHeight w:val="199"/>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60947-4-3</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right w:val="single" w:sz="18" w:space="0" w:color="auto"/>
            </w:tcBorders>
            <w:shd w:val="clear" w:color="auto" w:fill="FFFF99"/>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60947-4-3 - A1 - A2</w:t>
            </w:r>
          </w:p>
        </w:tc>
      </w:tr>
      <w:tr w:rsidR="0043547B" w:rsidRPr="0043547B" w:rsidTr="00CB5DC0">
        <w:trPr>
          <w:trHeight w:val="600"/>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Intitulé :</w:t>
            </w:r>
          </w:p>
        </w:tc>
        <w:tc>
          <w:tcPr>
            <w:tcW w:w="8080" w:type="dxa"/>
            <w:tcBorders>
              <w:left w:val="single" w:sz="4"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Appareillage à basse tension – Partie 4-3 : contacteurs et démarreurs de moteurs – Gradateurs et contacteurs à semi-conducteurs pour charges, autres que des moteurs, à courant alternatif ; </w:t>
            </w:r>
          </w:p>
        </w:tc>
      </w:tr>
      <w:tr w:rsidR="0043547B" w:rsidRPr="0043547B" w:rsidTr="00CB5DC0">
        <w:trPr>
          <w:trHeight w:val="6314"/>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partie de la CEI 60947 s'applique aux gradateurs et démarreurs à semi-conducteurs à courant alternatif pour des charges autres que des moteurs prévus pour effectuer des manœuvres électriques en changeant l'état des circuits électriques à courant alternatif entre l'état passant et l'état bloqué. Des applications typiques sont données au tableau 2.</w:t>
            </w:r>
          </w:p>
          <w:p w:rsidR="00D8756E" w:rsidRPr="0043547B" w:rsidRDefault="00D8756E" w:rsidP="00D8756E">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La norme ne s'applique pas : </w:t>
            </w:r>
          </w:p>
          <w:p w:rsidR="00D8756E" w:rsidRPr="0043547B" w:rsidRDefault="00D8756E" w:rsidP="00D8756E">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aux manœuvres continues de moteur à courant alternatif ;</w:t>
            </w:r>
          </w:p>
          <w:p w:rsidR="00D8756E" w:rsidRPr="0043547B" w:rsidRDefault="00D8756E" w:rsidP="00D8756E">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aux gradateurs et démarreurs à basse tension à semi-conducteurs de moteurs à courant alternatif couverts par la CEI 60947-4-2 ;</w:t>
            </w:r>
          </w:p>
          <w:p w:rsidR="00D8756E" w:rsidRPr="0043547B" w:rsidRDefault="00D8756E" w:rsidP="00D8756E">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aux gradateurs électroniques de puissance couverts par la CEI 60146 ;</w:t>
            </w:r>
          </w:p>
          <w:p w:rsidR="00D8756E" w:rsidRPr="0043547B" w:rsidRDefault="00D8756E" w:rsidP="00D8756E">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aux relais de tout ou rien à l'état solide.</w:t>
            </w:r>
          </w:p>
          <w:p w:rsidR="00D8756E" w:rsidRPr="0043547B" w:rsidRDefault="00D8756E" w:rsidP="00D8756E">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a pour objet de fixer :</w:t>
            </w:r>
          </w:p>
          <w:p w:rsidR="00D8756E" w:rsidRPr="0043547B" w:rsidRDefault="00D8756E" w:rsidP="00D8756E">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a) les  caractéristiques  des  gradateurs  et  contacteurs  à  semi-conducteurs  et  le  matériel associé;</w:t>
            </w:r>
          </w:p>
          <w:p w:rsidR="00D8756E" w:rsidRPr="0043547B" w:rsidRDefault="00D8756E" w:rsidP="00D8756E">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b) les conditions à remplir par les gradateurs et les contacteurs à semi-conducteurs pour EN 60947-4-3</w:t>
            </w:r>
          </w:p>
          <w:p w:rsidR="00D8756E" w:rsidRPr="0043547B" w:rsidRDefault="00D8756E" w:rsidP="00D8756E">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  - leur fonctionnement et leur comportement ;</w:t>
            </w:r>
          </w:p>
          <w:p w:rsidR="00D8756E" w:rsidRPr="0043547B" w:rsidRDefault="00D8756E" w:rsidP="00D8756E">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  - leurs propriétés diélectriques ;</w:t>
            </w:r>
          </w:p>
          <w:p w:rsidR="00D8756E" w:rsidRPr="0043547B" w:rsidRDefault="00D8756E" w:rsidP="00D8756E">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  - les degrés de protection procurés par leur enveloppe, le cas échéant ;</w:t>
            </w:r>
          </w:p>
          <w:p w:rsidR="00D8756E" w:rsidRPr="0043547B" w:rsidRDefault="00D8756E" w:rsidP="00D8756E">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  - leur construction ;</w:t>
            </w:r>
          </w:p>
          <w:p w:rsidR="00D8756E" w:rsidRPr="0043547B" w:rsidRDefault="00D8756E" w:rsidP="00D8756E">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 les essais prévus pour confirmer que ces conditions ont été remplies et les méthodes à adopter pour ces essais ;</w:t>
            </w:r>
          </w:p>
          <w:p w:rsidR="00904E52" w:rsidRPr="0043547B" w:rsidRDefault="00D8756E" w:rsidP="00D8756E">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d) les informations à donner sur le matériel ou dans la documentation du constructeur.</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60947-1</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right w:val="single" w:sz="18" w:space="0" w:color="auto"/>
            </w:tcBorders>
            <w:shd w:val="clear" w:color="auto" w:fill="FFFF99"/>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60947-1 - A1</w:t>
            </w:r>
          </w:p>
        </w:tc>
      </w:tr>
      <w:tr w:rsidR="0043547B" w:rsidRPr="0043547B" w:rsidTr="00CB5DC0">
        <w:trPr>
          <w:trHeight w:val="315"/>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left w:val="single" w:sz="4"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Appareillage à basse tension – Partie 1 : règles générales   </w:t>
            </w:r>
          </w:p>
        </w:tc>
      </w:tr>
      <w:tr w:rsidR="0043547B" w:rsidRPr="0043547B" w:rsidTr="00CB5DC0">
        <w:trPr>
          <w:trHeight w:val="2121"/>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vAlign w:val="bottom"/>
          </w:tcPr>
          <w:p w:rsidR="004A044D"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est applicable, lorsque la norme de matériel correspondante le précise, à l'appareillage désigné ci-après «matériel», et destiné à être relié à des circuits dont la tension assignée ne dépasse pas 1 000 V en courant alternatif ou 1 500 V en courant continu.</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ne s'applique pas aux ensembles d'appareillage à basse tension qui sont traités dans la CEI 60439.</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a pour objet de fixer les règles et exigences générales communes au matériel à basse tension défini en 1.1, comprenant par exemple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les définitions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les caractéristiques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les informations fournies avec le matériel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les conditions normales de service, de montage et de transport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les exigences de construction et de fonctionnement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la vérification des caractéristiques et du fonctionnement.</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entrées tout-ou-rien et/ou les sorties tout-ou-rien contenues dans l’appareillage, et destinées à être compatibles avec les automates programmables (PLC) sont couverts par l’Annexe S.</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60947-2</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Equivalence :</w:t>
            </w:r>
          </w:p>
        </w:tc>
        <w:tc>
          <w:tcPr>
            <w:tcW w:w="8080" w:type="dxa"/>
            <w:tcBorders>
              <w:top w:val="single" w:sz="18" w:space="0" w:color="auto"/>
              <w:left w:val="single" w:sz="4" w:space="0" w:color="auto"/>
              <w:right w:val="single" w:sz="18" w:space="0" w:color="auto"/>
            </w:tcBorders>
            <w:shd w:val="clear" w:color="auto" w:fill="FFFF99"/>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60947-2 - A1</w:t>
            </w:r>
          </w:p>
        </w:tc>
      </w:tr>
      <w:tr w:rsidR="0043547B" w:rsidRPr="0043547B" w:rsidTr="00CB5DC0">
        <w:trPr>
          <w:trHeight w:val="315"/>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left w:val="single" w:sz="4"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Appareillage à basse tensi</w:t>
            </w:r>
            <w:r w:rsidR="009D5CCE" w:rsidRPr="0043547B">
              <w:rPr>
                <w:rFonts w:eastAsia="Times New Roman" w:cstheme="minorHAnsi"/>
                <w:sz w:val="24"/>
                <w:szCs w:val="24"/>
                <w:lang w:eastAsia="fr-FR"/>
              </w:rPr>
              <w:t>on – Partie 2 : disjoncteurs </w:t>
            </w:r>
          </w:p>
        </w:tc>
      </w:tr>
      <w:tr w:rsidR="0043547B" w:rsidRPr="0043547B" w:rsidTr="00CB5DC0">
        <w:trPr>
          <w:trHeight w:val="3253"/>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est applicable aux disjoncteurs dont les contacts principaux sont destinés à être reliés à des circuits dont la tension assignée ne dépasse pas 1 000 V en courant alternatif ou 1 500 V en courant continu ; elle contient aussi des prescriptions supplémentaires pour les disjoncteurs à fusibles incorporés.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est applicable quels que soient les courants assignés, les méthodes de construction et l'emploi prévu des disjoncteurs.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prescriptions supplémentaires pour les disjoncteurs utilisés comme démarreurs directs sont données dans la CEI 60947-4-1, applicable aux contacteurs et aux démarreurs à basse tension.</w:t>
            </w:r>
          </w:p>
          <w:p w:rsidR="00D8756E" w:rsidRPr="0043547B" w:rsidRDefault="00D8756E" w:rsidP="00D8756E">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prescriptions concernant les disjoncteurs destinés à la protection des installations électriques des bâtiments et à des emplois analogues et prévus pour être utilisés par des personnes non averties figurent dans la CEI 60898.</w:t>
            </w:r>
          </w:p>
          <w:p w:rsidR="00D8756E" w:rsidRPr="0043547B" w:rsidRDefault="00D8756E" w:rsidP="00D8756E">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prescriptions relatives aux disjoncteurs pour le matériel (par exemple pour les appareils électriques) figurent dans la CEI 60934.</w:t>
            </w:r>
          </w:p>
          <w:p w:rsidR="009225AE" w:rsidRDefault="00D8756E" w:rsidP="00D8756E">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Des  prescriptions  particulières  ou  complémentaires  peuvent  être  nécessaires  pour  certaines applications spécifiques (par exemple: traction, laminoirs, service à bord des navires).</w:t>
            </w:r>
          </w:p>
          <w:p w:rsidR="00D8756E" w:rsidRPr="0043547B" w:rsidRDefault="00D8756E" w:rsidP="00D8756E">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a pour objet de fixer :</w:t>
            </w:r>
          </w:p>
          <w:p w:rsidR="00D8756E" w:rsidRPr="0043547B" w:rsidRDefault="00D8756E" w:rsidP="00360635">
            <w:pPr>
              <w:pStyle w:val="Paragraphedeliste"/>
              <w:numPr>
                <w:ilvl w:val="0"/>
                <w:numId w:val="11"/>
              </w:numPr>
              <w:spacing w:after="0" w:line="240" w:lineRule="auto"/>
              <w:ind w:left="332"/>
              <w:jc w:val="both"/>
              <w:rPr>
                <w:rFonts w:eastAsia="Times New Roman" w:cstheme="minorHAnsi"/>
                <w:sz w:val="24"/>
                <w:szCs w:val="24"/>
                <w:lang w:eastAsia="fr-FR"/>
              </w:rPr>
            </w:pPr>
            <w:r w:rsidRPr="0043547B">
              <w:rPr>
                <w:rFonts w:eastAsia="Times New Roman" w:cstheme="minorHAnsi"/>
                <w:sz w:val="24"/>
                <w:szCs w:val="24"/>
                <w:lang w:eastAsia="fr-FR"/>
              </w:rPr>
              <w:t>les caractéristiques des disjoncteurs ;</w:t>
            </w:r>
          </w:p>
          <w:p w:rsidR="00D8756E" w:rsidRPr="0043547B" w:rsidRDefault="00D8756E" w:rsidP="00360635">
            <w:pPr>
              <w:pStyle w:val="Paragraphedeliste"/>
              <w:numPr>
                <w:ilvl w:val="0"/>
                <w:numId w:val="11"/>
              </w:numPr>
              <w:spacing w:after="0" w:line="240" w:lineRule="auto"/>
              <w:ind w:left="332"/>
              <w:jc w:val="both"/>
              <w:rPr>
                <w:rFonts w:eastAsia="Times New Roman" w:cstheme="minorHAnsi"/>
                <w:sz w:val="24"/>
                <w:szCs w:val="24"/>
                <w:lang w:eastAsia="fr-FR"/>
              </w:rPr>
            </w:pPr>
            <w:r w:rsidRPr="0043547B">
              <w:rPr>
                <w:rFonts w:eastAsia="Times New Roman" w:cstheme="minorHAnsi"/>
                <w:sz w:val="24"/>
                <w:szCs w:val="24"/>
                <w:lang w:eastAsia="fr-FR"/>
              </w:rPr>
              <w:t>les conditions auxquelles doivent répondre les disjoncteurs concernant :</w:t>
            </w:r>
            <w:r w:rsidRPr="0043547B">
              <w:rPr>
                <w:rFonts w:eastAsia="Times New Roman" w:cstheme="minorHAnsi"/>
                <w:sz w:val="24"/>
                <w:szCs w:val="24"/>
                <w:lang w:eastAsia="fr-FR"/>
              </w:rPr>
              <w:br/>
              <w:t>1) leur fonctionnement et leur tenue en service normal ;</w:t>
            </w:r>
          </w:p>
          <w:p w:rsidR="00D8756E" w:rsidRPr="0043547B" w:rsidRDefault="00D8756E" w:rsidP="00360635">
            <w:pPr>
              <w:pStyle w:val="Paragraphedeliste"/>
              <w:spacing w:after="0" w:line="240" w:lineRule="auto"/>
              <w:ind w:left="332"/>
              <w:jc w:val="both"/>
              <w:rPr>
                <w:rFonts w:eastAsia="Times New Roman" w:cstheme="minorHAnsi"/>
                <w:sz w:val="24"/>
                <w:szCs w:val="24"/>
                <w:lang w:eastAsia="fr-FR"/>
              </w:rPr>
            </w:pPr>
            <w:r w:rsidRPr="0043547B">
              <w:rPr>
                <w:rFonts w:eastAsia="Times New Roman" w:cstheme="minorHAnsi"/>
                <w:sz w:val="24"/>
                <w:szCs w:val="24"/>
                <w:lang w:eastAsia="fr-FR"/>
              </w:rPr>
              <w:t>2) leur  fonctionnement   et  leur  tenue  en  cas  de  surcharge  et  en  cas  de  court-circuit, y compris la coordination en service (sélectivité et protection d'accompagnement);</w:t>
            </w:r>
            <w:r w:rsidRPr="0043547B">
              <w:rPr>
                <w:rFonts w:eastAsia="Times New Roman" w:cstheme="minorHAnsi"/>
                <w:sz w:val="24"/>
                <w:szCs w:val="24"/>
                <w:lang w:eastAsia="fr-FR"/>
              </w:rPr>
              <w:br/>
              <w:t>3)  leurs propriétés diélectriques;</w:t>
            </w:r>
          </w:p>
          <w:p w:rsidR="00D8756E" w:rsidRPr="0043547B" w:rsidRDefault="00D8756E" w:rsidP="00360635">
            <w:pPr>
              <w:pStyle w:val="Paragraphedeliste"/>
              <w:spacing w:after="0" w:line="240" w:lineRule="auto"/>
              <w:ind w:left="332" w:hanging="316"/>
              <w:jc w:val="both"/>
              <w:rPr>
                <w:rFonts w:eastAsia="Times New Roman" w:cstheme="minorHAnsi"/>
                <w:sz w:val="24"/>
                <w:szCs w:val="24"/>
                <w:lang w:eastAsia="fr-FR"/>
              </w:rPr>
            </w:pPr>
            <w:r w:rsidRPr="0043547B">
              <w:rPr>
                <w:rFonts w:eastAsia="Times New Roman" w:cstheme="minorHAnsi"/>
                <w:sz w:val="24"/>
                <w:szCs w:val="24"/>
                <w:lang w:eastAsia="fr-FR"/>
              </w:rPr>
              <w:t>c)  les essais destinés à vérifier si ces conditions sont remplies et les méthodes à adopter pour ces essais ;</w:t>
            </w:r>
          </w:p>
          <w:p w:rsidR="009D5CCE" w:rsidRPr="0043547B" w:rsidRDefault="00D8756E" w:rsidP="009225AE">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d)  les informations à marquer sur les appareils ou à fournir avec ceux-ci.</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60269-6</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right w:val="single" w:sz="18" w:space="0" w:color="auto"/>
            </w:tcBorders>
            <w:shd w:val="clear" w:color="auto" w:fill="FFFF99"/>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60269-6</w:t>
            </w:r>
          </w:p>
        </w:tc>
      </w:tr>
      <w:tr w:rsidR="0043547B" w:rsidRPr="0043547B" w:rsidTr="00CB5DC0">
        <w:trPr>
          <w:trHeight w:val="600"/>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left w:val="single" w:sz="4"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Fusibles basse tension - Partie 6 : Exigences supplémentaires concernant les éléments de remplacement utilisés pour la protection des systèmes d'énergie solaire photovoltaïque.   </w:t>
            </w:r>
          </w:p>
        </w:tc>
      </w:tr>
      <w:tr w:rsidR="0043547B" w:rsidRPr="0043547B" w:rsidTr="00CB5DC0">
        <w:trPr>
          <w:trHeight w:val="1126"/>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tcPr>
          <w:p w:rsidR="009225AE"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exigences supplémentaires s’appliquent aux éléments de remplacement, utilisés pour la protection des chaînes photovoltaïques (PV strings) et des groupes photovoltaïques (PV arrays) dans des circuits de tensions nominales inférieures ou égales à 1 500 V en courant continu.</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Leur tension assignée peut atteindre 1 500 V c.c.</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traite en particulier :</w:t>
            </w:r>
          </w:p>
          <w:p w:rsidR="00904E52" w:rsidRPr="0043547B" w:rsidRDefault="00904E52" w:rsidP="00360635">
            <w:pPr>
              <w:pStyle w:val="Paragraphedeliste"/>
              <w:numPr>
                <w:ilvl w:val="0"/>
                <w:numId w:val="12"/>
              </w:numPr>
              <w:spacing w:after="0" w:line="240" w:lineRule="auto"/>
              <w:ind w:left="332"/>
              <w:jc w:val="both"/>
              <w:rPr>
                <w:rFonts w:eastAsia="Times New Roman" w:cstheme="minorHAnsi"/>
                <w:sz w:val="24"/>
                <w:szCs w:val="24"/>
                <w:lang w:eastAsia="fr-FR"/>
              </w:rPr>
            </w:pPr>
            <w:r w:rsidRPr="0043547B">
              <w:rPr>
                <w:rFonts w:eastAsia="Times New Roman" w:cstheme="minorHAnsi"/>
                <w:sz w:val="24"/>
                <w:szCs w:val="24"/>
                <w:lang w:eastAsia="fr-FR"/>
              </w:rPr>
              <w:t>des caractéristiques suivantes des fusibles :</w:t>
            </w:r>
          </w:p>
          <w:p w:rsidR="00904E52" w:rsidRPr="0043547B" w:rsidRDefault="00904E52" w:rsidP="00360635">
            <w:pPr>
              <w:spacing w:after="0" w:line="240" w:lineRule="auto"/>
              <w:ind w:left="332"/>
              <w:jc w:val="both"/>
              <w:rPr>
                <w:rFonts w:eastAsia="Times New Roman" w:cstheme="minorHAnsi"/>
                <w:sz w:val="24"/>
                <w:szCs w:val="24"/>
                <w:lang w:eastAsia="fr-FR"/>
              </w:rPr>
            </w:pPr>
            <w:r w:rsidRPr="0043547B">
              <w:rPr>
                <w:rFonts w:eastAsia="Times New Roman" w:cstheme="minorHAnsi"/>
                <w:sz w:val="24"/>
                <w:szCs w:val="24"/>
                <w:lang w:eastAsia="fr-FR"/>
              </w:rPr>
              <w:t>1) leurs valeurs assignées ;</w:t>
            </w:r>
          </w:p>
          <w:p w:rsidR="00904E52" w:rsidRPr="0043547B" w:rsidRDefault="00904E52" w:rsidP="00360635">
            <w:pPr>
              <w:spacing w:after="0" w:line="240" w:lineRule="auto"/>
              <w:ind w:left="332"/>
              <w:jc w:val="both"/>
              <w:rPr>
                <w:rFonts w:eastAsia="Times New Roman" w:cstheme="minorHAnsi"/>
                <w:sz w:val="24"/>
                <w:szCs w:val="24"/>
                <w:lang w:eastAsia="fr-FR"/>
              </w:rPr>
            </w:pPr>
            <w:r w:rsidRPr="0043547B">
              <w:rPr>
                <w:rFonts w:eastAsia="Times New Roman" w:cstheme="minorHAnsi"/>
                <w:sz w:val="24"/>
                <w:szCs w:val="24"/>
                <w:lang w:eastAsia="fr-FR"/>
              </w:rPr>
              <w:t>2) leur catégorie d'emploi ;</w:t>
            </w:r>
          </w:p>
          <w:p w:rsidR="00904E52" w:rsidRPr="0043547B" w:rsidRDefault="00904E52" w:rsidP="00360635">
            <w:pPr>
              <w:spacing w:after="0" w:line="240" w:lineRule="auto"/>
              <w:ind w:left="332"/>
              <w:jc w:val="both"/>
              <w:rPr>
                <w:rFonts w:eastAsia="Times New Roman" w:cstheme="minorHAnsi"/>
                <w:sz w:val="24"/>
                <w:szCs w:val="24"/>
                <w:lang w:eastAsia="fr-FR"/>
              </w:rPr>
            </w:pPr>
            <w:r w:rsidRPr="0043547B">
              <w:rPr>
                <w:rFonts w:eastAsia="Times New Roman" w:cstheme="minorHAnsi"/>
                <w:sz w:val="24"/>
                <w:szCs w:val="24"/>
                <w:lang w:eastAsia="fr-FR"/>
              </w:rPr>
              <w:t>3) leurs échauffements en service normal ;</w:t>
            </w:r>
          </w:p>
          <w:p w:rsidR="00904E52" w:rsidRPr="0043547B" w:rsidRDefault="00904E52" w:rsidP="00360635">
            <w:pPr>
              <w:spacing w:after="0" w:line="240" w:lineRule="auto"/>
              <w:ind w:left="332"/>
              <w:jc w:val="both"/>
              <w:rPr>
                <w:rFonts w:eastAsia="Times New Roman" w:cstheme="minorHAnsi"/>
                <w:sz w:val="24"/>
                <w:szCs w:val="24"/>
                <w:lang w:eastAsia="fr-FR"/>
              </w:rPr>
            </w:pPr>
            <w:r w:rsidRPr="0043547B">
              <w:rPr>
                <w:rFonts w:eastAsia="Times New Roman" w:cstheme="minorHAnsi"/>
                <w:sz w:val="24"/>
                <w:szCs w:val="24"/>
                <w:lang w:eastAsia="fr-FR"/>
              </w:rPr>
              <w:t>4) leur puissance dissipée ;</w:t>
            </w:r>
          </w:p>
          <w:p w:rsidR="00904E52" w:rsidRPr="0043547B" w:rsidRDefault="00904E52" w:rsidP="00360635">
            <w:pPr>
              <w:spacing w:after="0" w:line="240" w:lineRule="auto"/>
              <w:ind w:left="332"/>
              <w:jc w:val="both"/>
              <w:rPr>
                <w:rFonts w:eastAsia="Times New Roman" w:cstheme="minorHAnsi"/>
                <w:sz w:val="24"/>
                <w:szCs w:val="24"/>
                <w:lang w:eastAsia="fr-FR"/>
              </w:rPr>
            </w:pPr>
            <w:r w:rsidRPr="0043547B">
              <w:rPr>
                <w:rFonts w:eastAsia="Times New Roman" w:cstheme="minorHAnsi"/>
                <w:sz w:val="24"/>
                <w:szCs w:val="24"/>
                <w:lang w:eastAsia="fr-FR"/>
              </w:rPr>
              <w:t>5) leurs caractéristiques temps-courant ;</w:t>
            </w:r>
          </w:p>
          <w:p w:rsidR="00904E52" w:rsidRPr="0043547B" w:rsidRDefault="00904E52" w:rsidP="00360635">
            <w:pPr>
              <w:spacing w:after="0" w:line="240" w:lineRule="auto"/>
              <w:ind w:left="332"/>
              <w:jc w:val="both"/>
              <w:rPr>
                <w:rFonts w:eastAsia="Times New Roman" w:cstheme="minorHAnsi"/>
                <w:sz w:val="24"/>
                <w:szCs w:val="24"/>
                <w:lang w:eastAsia="fr-FR"/>
              </w:rPr>
            </w:pPr>
            <w:r w:rsidRPr="0043547B">
              <w:rPr>
                <w:rFonts w:eastAsia="Times New Roman" w:cstheme="minorHAnsi"/>
                <w:sz w:val="24"/>
                <w:szCs w:val="24"/>
                <w:lang w:eastAsia="fr-FR"/>
              </w:rPr>
              <w:t>6) leur pouvoir de coupure ;</w:t>
            </w:r>
          </w:p>
          <w:p w:rsidR="00904E52" w:rsidRPr="0043547B" w:rsidRDefault="00904E52" w:rsidP="00360635">
            <w:pPr>
              <w:spacing w:after="0" w:line="240" w:lineRule="auto"/>
              <w:ind w:left="332"/>
              <w:jc w:val="both"/>
              <w:rPr>
                <w:rFonts w:eastAsia="Times New Roman" w:cstheme="minorHAnsi"/>
                <w:sz w:val="24"/>
                <w:szCs w:val="24"/>
                <w:lang w:eastAsia="fr-FR"/>
              </w:rPr>
            </w:pPr>
            <w:r w:rsidRPr="0043547B">
              <w:rPr>
                <w:rFonts w:eastAsia="Times New Roman" w:cstheme="minorHAnsi"/>
                <w:sz w:val="24"/>
                <w:szCs w:val="24"/>
                <w:lang w:eastAsia="fr-FR"/>
              </w:rPr>
              <w:lastRenderedPageBreak/>
              <w:t>7) leurs dimensions ou taille (si applicable).</w:t>
            </w:r>
          </w:p>
          <w:p w:rsidR="00904E52" w:rsidRPr="0043547B" w:rsidRDefault="00904E52" w:rsidP="00360635">
            <w:pPr>
              <w:tabs>
                <w:tab w:val="left" w:pos="754"/>
              </w:tabs>
              <w:spacing w:after="0" w:line="240" w:lineRule="auto"/>
              <w:ind w:left="49"/>
              <w:jc w:val="both"/>
              <w:rPr>
                <w:rFonts w:eastAsia="Times New Roman" w:cstheme="minorHAnsi"/>
                <w:sz w:val="24"/>
                <w:szCs w:val="24"/>
                <w:lang w:eastAsia="fr-FR"/>
              </w:rPr>
            </w:pPr>
            <w:r w:rsidRPr="0043547B">
              <w:rPr>
                <w:rFonts w:eastAsia="Times New Roman" w:cstheme="minorHAnsi"/>
                <w:sz w:val="24"/>
                <w:szCs w:val="24"/>
                <w:lang w:eastAsia="fr-FR"/>
              </w:rPr>
              <w:t>b)  des essais de type destinés à vérifier les caractéristiques des fusibles ;</w:t>
            </w:r>
          </w:p>
          <w:p w:rsidR="00904E52" w:rsidRPr="0043547B" w:rsidRDefault="00904E52" w:rsidP="00360635">
            <w:pPr>
              <w:tabs>
                <w:tab w:val="left" w:pos="754"/>
              </w:tabs>
              <w:spacing w:after="0" w:line="240" w:lineRule="auto"/>
              <w:ind w:left="49"/>
              <w:jc w:val="both"/>
              <w:rPr>
                <w:rFonts w:eastAsia="Times New Roman" w:cstheme="minorHAnsi"/>
                <w:sz w:val="24"/>
                <w:szCs w:val="24"/>
                <w:lang w:eastAsia="fr-FR"/>
              </w:rPr>
            </w:pPr>
            <w:r w:rsidRPr="0043547B">
              <w:rPr>
                <w:rFonts w:eastAsia="Times New Roman" w:cstheme="minorHAnsi"/>
                <w:sz w:val="24"/>
                <w:szCs w:val="24"/>
                <w:lang w:eastAsia="fr-FR"/>
              </w:rPr>
              <w:t>c)  des indications à porter sur les fusibles.</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60598-2-10</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right w:val="single" w:sz="18" w:space="0" w:color="auto"/>
            </w:tcBorders>
            <w:shd w:val="clear" w:color="auto" w:fill="FFFF99"/>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60598-2-10 - AC</w:t>
            </w:r>
          </w:p>
        </w:tc>
      </w:tr>
      <w:tr w:rsidR="0043547B" w:rsidRPr="0043547B" w:rsidTr="00CB5DC0">
        <w:trPr>
          <w:trHeight w:val="315"/>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left w:val="single" w:sz="4"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Luminaires – Partie 2-10 : règles particulières – Luminaires portatifs pour enfants ;  </w:t>
            </w:r>
          </w:p>
        </w:tc>
      </w:tr>
      <w:tr w:rsidR="0043547B" w:rsidRPr="0043547B" w:rsidTr="00CB5DC0">
        <w:trPr>
          <w:trHeight w:val="4084"/>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vAlign w:val="bottom"/>
          </w:tcPr>
          <w:p w:rsidR="009225AE" w:rsidRDefault="00904E52" w:rsidP="00360635">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partie de la CEI 60598 détaille les prescriptions applicables aux luminaires portatifs pour enfants utilisant des lampes à filament de tungstène ou des lampes fluorescentes à culot unique avec des tensions d’alimentation ne dépassant pas 250 V. Elle doit être lue conjointement avec les sections de la Partie 1 auxquelles il est fait référence.</w:t>
            </w:r>
          </w:p>
          <w:p w:rsidR="00904E52" w:rsidRPr="0043547B" w:rsidRDefault="00904E52" w:rsidP="00360635">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Cette partie n’est pas applicable aux cas suivants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luminaires portatifs spécifiquement placés comme élément de décoration additionnel dans des configurations décoratives temporaires dues à des festivités ou cérémonies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luminaires d’ambiance à bas niveau d’éclairement intégrés avec une fiche, c’est-à-dire qui forment un élément d’un dispositif à fiche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luminaires alimentés par des piles ou des accumulateurs ou qui ne sont pas prévus pour une connexion directe au réseau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jouets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luminaires conçus ou clairement destinés à une utilisation par les adultes ;</w:t>
            </w:r>
          </w:p>
          <w:p w:rsidR="00CA080D" w:rsidRPr="0043547B" w:rsidRDefault="00904E52" w:rsidP="009D5CCE">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luminaires équipés d’abat-jour amovibles comportant des reproductions graphiques en deux dimensions de personnes ou d’animaux (réels ou imaginaires).</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60598-2-11</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right w:val="single" w:sz="18" w:space="0" w:color="auto"/>
            </w:tcBorders>
            <w:shd w:val="clear" w:color="auto" w:fill="FFFF99"/>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60598-2-11 - AC</w:t>
            </w:r>
          </w:p>
        </w:tc>
      </w:tr>
      <w:tr w:rsidR="0043547B" w:rsidRPr="0043547B" w:rsidTr="00CB5DC0">
        <w:trPr>
          <w:trHeight w:val="315"/>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left w:val="single" w:sz="4"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Luminaires – Partie 2-11 : règles particulières – Luminaires pour aquarium ;  </w:t>
            </w:r>
          </w:p>
        </w:tc>
      </w:tr>
      <w:tr w:rsidR="0043547B" w:rsidRPr="0043547B" w:rsidTr="00CB5DC0">
        <w:trPr>
          <w:trHeight w:val="759"/>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Cette Partie 2 de la CEI 60598 spécifie les exigences applicables aux luminaires pour aquariums domestiques utilisant des lampes à filament de tungstène, fluorescente tubulaire ou autre lampes à décharge avec une tension d’alimentation ne dépassant pas 1 000 V.</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60598-2-24</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right w:val="single" w:sz="18" w:space="0" w:color="auto"/>
            </w:tcBorders>
            <w:shd w:val="clear" w:color="auto" w:fill="FFFF99"/>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60598-2-24</w:t>
            </w:r>
          </w:p>
        </w:tc>
      </w:tr>
      <w:tr w:rsidR="0043547B" w:rsidRPr="0043547B" w:rsidTr="00CB5DC0">
        <w:trPr>
          <w:trHeight w:val="315"/>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left w:val="single" w:sz="4"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Luminaires – Partie 2 : règles particulières - Section 24 : luminaires avec surfaces à températures limitées ; </w:t>
            </w:r>
          </w:p>
        </w:tc>
      </w:tr>
      <w:tr w:rsidR="0043547B" w:rsidRPr="0043547B" w:rsidTr="00CB5DC0">
        <w:trPr>
          <w:trHeight w:val="418"/>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section de la CEI 60598-2, spécifie les prescriptions applicables aux luminaires prévus pour une utilisation qui nécessite de limiter la température de leurs surfaces extérieures, en raison du risque d'accumulation de poussières combustibles sur le luminaire, mais où le danger d'explosion dans l'atmosphère n'existe pas. Ces luminaires sont équipés avec des sources lumineuses électriques, pour des tensions d'alimentation ne dépassant pas 1000 V.</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exclut précisément les prescriptions pour les luminaires à utiliser dans des atmosphères gazeuses explosives ou dans des atmosphères à poussières explosives.</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61549</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right w:val="single" w:sz="18" w:space="0" w:color="auto"/>
            </w:tcBorders>
            <w:shd w:val="clear" w:color="auto" w:fill="FFFF99"/>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61549 - A1 - A2 - A3</w:t>
            </w:r>
          </w:p>
        </w:tc>
      </w:tr>
      <w:tr w:rsidR="0043547B" w:rsidRPr="0043547B" w:rsidTr="00CB5DC0">
        <w:trPr>
          <w:trHeight w:val="315"/>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left w:val="single" w:sz="4"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Lampes diverses ;  </w:t>
            </w:r>
          </w:p>
        </w:tc>
      </w:tr>
      <w:tr w:rsidR="0043547B" w:rsidRPr="0043547B" w:rsidTr="00CB5DC0">
        <w:trPr>
          <w:trHeight w:val="848"/>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Domaine d’application :</w:t>
            </w:r>
          </w:p>
        </w:tc>
        <w:tc>
          <w:tcPr>
            <w:tcW w:w="8080" w:type="dxa"/>
            <w:tcBorders>
              <w:left w:val="single" w:sz="4" w:space="0" w:color="auto"/>
              <w:bottom w:val="single" w:sz="18" w:space="0" w:color="auto"/>
              <w:right w:val="single" w:sz="18" w:space="0" w:color="auto"/>
            </w:tcBorders>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des lampes, ou des informations les concernant, qui n’apparaissent pas ailleurs dans les normes CEI existantes relatives aux lampes.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couvre à la fois les aspects de sécurité et de performance.</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60529</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right w:val="single" w:sz="18" w:space="0" w:color="auto"/>
            </w:tcBorders>
            <w:shd w:val="clear" w:color="auto" w:fill="FFFF99"/>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60529 - A1 - A2</w:t>
            </w:r>
          </w:p>
        </w:tc>
      </w:tr>
      <w:tr w:rsidR="0043547B" w:rsidRPr="0043547B" w:rsidTr="00CB5DC0">
        <w:trPr>
          <w:trHeight w:val="315"/>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left w:val="single" w:sz="4"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Degrés de protection procurés par les enveloppes (code IP) ; </w:t>
            </w:r>
          </w:p>
        </w:tc>
      </w:tr>
      <w:tr w:rsidR="0043547B" w:rsidRPr="0043547B" w:rsidTr="00CB5DC0">
        <w:trPr>
          <w:trHeight w:val="866"/>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vAlign w:val="center"/>
          </w:tcPr>
          <w:p w:rsidR="004C1604" w:rsidRPr="0043547B" w:rsidRDefault="004C1604" w:rsidP="002A1C38">
            <w:pPr>
              <w:spacing w:after="0" w:line="240" w:lineRule="auto"/>
              <w:rPr>
                <w:rFonts w:eastAsia="Times New Roman" w:cstheme="minorHAnsi"/>
                <w:sz w:val="24"/>
                <w:szCs w:val="24"/>
                <w:lang w:eastAsia="fr-FR"/>
              </w:rPr>
            </w:pPr>
            <w:r w:rsidRPr="0043547B">
              <w:rPr>
                <w:rFonts w:eastAsia="Times New Roman" w:cstheme="minorHAnsi"/>
                <w:sz w:val="24"/>
                <w:szCs w:val="24"/>
                <w:lang w:eastAsia="fr-FR"/>
              </w:rPr>
              <w:t xml:space="preserve">La   </w:t>
            </w:r>
            <w:r w:rsidR="00904E52" w:rsidRPr="0043547B">
              <w:rPr>
                <w:rFonts w:eastAsia="Times New Roman" w:cstheme="minorHAnsi"/>
                <w:sz w:val="24"/>
                <w:szCs w:val="24"/>
                <w:lang w:eastAsia="fr-FR"/>
              </w:rPr>
              <w:t>norme  s'applique  à  la  classification  des  degrés  de  protection  procurés  par les enveloppes pour les matériels électriques de tension assignée inférieure ou égale à 72,5 kV.</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tcPr>
          <w:p w:rsidR="00904E52" w:rsidRPr="0043547B" w:rsidRDefault="00904E52" w:rsidP="00904E52">
            <w:pPr>
              <w:tabs>
                <w:tab w:val="left" w:pos="3090"/>
                <w:tab w:val="center" w:pos="3970"/>
                <w:tab w:val="left" w:pos="5025"/>
              </w:tabs>
              <w:spacing w:after="0" w:line="240" w:lineRule="auto"/>
              <w:rPr>
                <w:rFonts w:eastAsia="Times New Roman" w:cstheme="minorHAnsi"/>
                <w:b/>
                <w:bCs/>
                <w:sz w:val="24"/>
                <w:szCs w:val="24"/>
                <w:lang w:eastAsia="fr-FR"/>
              </w:rPr>
            </w:pPr>
            <w:r w:rsidRPr="0043547B">
              <w:rPr>
                <w:rFonts w:eastAsia="Times New Roman" w:cstheme="minorHAnsi"/>
                <w:b/>
                <w:bCs/>
                <w:sz w:val="24"/>
                <w:szCs w:val="24"/>
                <w:lang w:eastAsia="fr-FR"/>
              </w:rPr>
              <w:tab/>
            </w:r>
            <w:r w:rsidRPr="0043547B">
              <w:rPr>
                <w:rFonts w:eastAsia="Times New Roman" w:cstheme="minorHAnsi"/>
                <w:b/>
                <w:bCs/>
                <w:sz w:val="24"/>
                <w:szCs w:val="24"/>
                <w:lang w:eastAsia="fr-FR"/>
              </w:rPr>
              <w:tab/>
              <w:t>NM EN 62262</w:t>
            </w:r>
            <w:r w:rsidRPr="0043547B">
              <w:rPr>
                <w:rFonts w:eastAsia="Times New Roman" w:cstheme="minorHAnsi"/>
                <w:b/>
                <w:bCs/>
                <w:sz w:val="24"/>
                <w:szCs w:val="24"/>
                <w:lang w:eastAsia="fr-FR"/>
              </w:rPr>
              <w:tab/>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right w:val="single" w:sz="18" w:space="0" w:color="auto"/>
            </w:tcBorders>
            <w:shd w:val="clear" w:color="auto" w:fill="FFFF99"/>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62262</w:t>
            </w:r>
          </w:p>
        </w:tc>
      </w:tr>
      <w:tr w:rsidR="0043547B" w:rsidRPr="0043547B" w:rsidTr="00CB5DC0">
        <w:trPr>
          <w:trHeight w:val="600"/>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left w:val="single" w:sz="4"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Degrés de protection procurés par les enveloppes de matériels électriques contre les impacts mécaniques externes (code IK) ;  </w:t>
            </w:r>
          </w:p>
        </w:tc>
      </w:tr>
      <w:tr w:rsidR="0043547B" w:rsidRPr="0043547B" w:rsidTr="00CB5DC0">
        <w:trPr>
          <w:trHeight w:val="3058"/>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à la classification des degrés de protection procurés par les enveloppes contre les impacts mécaniques externes pour les matériels électriques de tension assignée inférieure ou égale à 72,5 kV.</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n'est applicable qu'aux enveloppes des matériels pour lesquels les normes de produit qui les concernent prévoient une classification d'après la tenue des enveloppes aux impacts mécaniques externes (désignés dans cette norme par «impacts»).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La norme ne s'applique qu'aux enveloppes qui conviennent à </w:t>
            </w:r>
            <w:r w:rsidR="004C1604" w:rsidRPr="0043547B">
              <w:rPr>
                <w:rFonts w:eastAsia="Times New Roman" w:cstheme="minorHAnsi"/>
                <w:sz w:val="24"/>
                <w:szCs w:val="24"/>
                <w:lang w:eastAsia="fr-FR"/>
              </w:rPr>
              <w:t>tous autres égards</w:t>
            </w:r>
            <w:r w:rsidRPr="0043547B">
              <w:rPr>
                <w:rFonts w:eastAsia="Times New Roman" w:cstheme="minorHAnsi"/>
                <w:sz w:val="24"/>
                <w:szCs w:val="24"/>
                <w:lang w:eastAsia="fr-FR"/>
              </w:rPr>
              <w:t xml:space="preserve"> à l'utilisation prévue dans la norme particulière de produit, et qui, du point de vue des matériaux et de la construction, garantissent que les degrés de protection déclarés demeurent inchangés dans les conditions normales d'utilisation.</w:t>
            </w:r>
          </w:p>
          <w:p w:rsidR="00D8756E" w:rsidRPr="0043547B" w:rsidRDefault="00904E52" w:rsidP="009225AE">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est également applicable aux enveloppes vides, à condition que les prescriptions d'essais soient remplies et que le degré de protection choisi soit approprié au type de matériel.</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60598-2-3</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right w:val="single" w:sz="18" w:space="0" w:color="auto"/>
            </w:tcBorders>
            <w:shd w:val="clear" w:color="auto" w:fill="FFFF99"/>
            <w:vAlign w:val="bottom"/>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60598-2-3 - A1</w:t>
            </w:r>
          </w:p>
        </w:tc>
      </w:tr>
      <w:tr w:rsidR="0043547B" w:rsidRPr="0043547B" w:rsidTr="00CB5DC0">
        <w:trPr>
          <w:trHeight w:val="315"/>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left w:val="single" w:sz="4" w:space="0" w:color="auto"/>
              <w:right w:val="single" w:sz="18" w:space="0" w:color="auto"/>
            </w:tcBorders>
            <w:vAlign w:val="bottom"/>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Luminaires - Partie 2-3 : Règles particulières - </w:t>
            </w:r>
            <w:r w:rsidR="00701716" w:rsidRPr="0043547B">
              <w:rPr>
                <w:rFonts w:eastAsia="Times New Roman" w:cstheme="minorHAnsi"/>
                <w:sz w:val="24"/>
                <w:szCs w:val="24"/>
                <w:lang w:eastAsia="fr-FR"/>
              </w:rPr>
              <w:t xml:space="preserve">Luminaires d'éclairage public </w:t>
            </w:r>
            <w:r w:rsidR="00701716" w:rsidRPr="0043547B">
              <w:rPr>
                <w:rFonts w:cstheme="minorHAnsi"/>
                <w:noProof/>
                <w:sz w:val="24"/>
                <w:szCs w:val="24"/>
                <w:lang w:eastAsia="fr-FR"/>
              </w:rPr>
              <w:drawing>
                <wp:inline distT="0" distB="0" distL="0" distR="0" wp14:anchorId="01EFD571" wp14:editId="68DC015A">
                  <wp:extent cx="183515" cy="158750"/>
                  <wp:effectExtent l="0" t="0" r="6985" b="0"/>
                  <wp:docPr id="32" name="Image 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8" cstate="print"/>
                          <a:srcRect/>
                          <a:stretch>
                            <a:fillRect/>
                          </a:stretch>
                        </pic:blipFill>
                        <pic:spPr bwMode="auto">
                          <a:xfrm>
                            <a:off x="0" y="0"/>
                            <a:ext cx="185776" cy="160706"/>
                          </a:xfrm>
                          <a:prstGeom prst="rect">
                            <a:avLst/>
                          </a:prstGeom>
                          <a:noFill/>
                          <a:ln w="9525">
                            <a:noFill/>
                            <a:miter lim="800000"/>
                            <a:headEnd/>
                            <a:tailEnd/>
                          </a:ln>
                        </pic:spPr>
                      </pic:pic>
                    </a:graphicData>
                  </a:graphic>
                </wp:inline>
              </w:drawing>
            </w:r>
            <w:r w:rsidRPr="0043547B">
              <w:rPr>
                <w:rFonts w:eastAsia="Times New Roman" w:cstheme="minorHAnsi"/>
                <w:sz w:val="24"/>
                <w:szCs w:val="24"/>
                <w:lang w:eastAsia="fr-FR"/>
              </w:rPr>
              <w:t xml:space="preserve"> </w:t>
            </w:r>
          </w:p>
        </w:tc>
      </w:tr>
      <w:tr w:rsidR="0043547B" w:rsidRPr="0043547B" w:rsidTr="00CB5DC0">
        <w:trPr>
          <w:trHeight w:val="2073"/>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partie de la CEI 60598 spécifie les prescriptions applicables :</w:t>
            </w:r>
          </w:p>
          <w:p w:rsidR="00904E52" w:rsidRPr="0043547B" w:rsidRDefault="00904E52" w:rsidP="009225AE">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aux luminaires pour les routes, les rues et les autres applications d’éclairage public</w:t>
            </w:r>
            <w:r w:rsidR="009225AE">
              <w:rPr>
                <w:rFonts w:eastAsia="Times New Roman" w:cstheme="minorHAnsi"/>
                <w:sz w:val="24"/>
                <w:szCs w:val="24"/>
                <w:lang w:eastAsia="fr-FR"/>
              </w:rPr>
              <w:t xml:space="preserve"> </w:t>
            </w:r>
            <w:r w:rsidRPr="0043547B">
              <w:rPr>
                <w:rFonts w:eastAsia="Times New Roman" w:cstheme="minorHAnsi"/>
                <w:sz w:val="24"/>
                <w:szCs w:val="24"/>
                <w:lang w:eastAsia="fr-FR"/>
              </w:rPr>
              <w:t>à l’extérieur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à l’éclairage des tunnels ;</w:t>
            </w:r>
          </w:p>
          <w:p w:rsidR="00904E52" w:rsidRPr="0043547B" w:rsidRDefault="00904E52" w:rsidP="009225AE">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aux luminaires intégrés dans des candélabres d’une hauteur totale minimale au-dessus</w:t>
            </w:r>
            <w:r w:rsidR="009225AE">
              <w:rPr>
                <w:rFonts w:eastAsia="Times New Roman" w:cstheme="minorHAnsi"/>
                <w:sz w:val="24"/>
                <w:szCs w:val="24"/>
                <w:lang w:eastAsia="fr-FR"/>
              </w:rPr>
              <w:t xml:space="preserve"> </w:t>
            </w:r>
            <w:r w:rsidRPr="0043547B">
              <w:rPr>
                <w:rFonts w:eastAsia="Times New Roman" w:cstheme="minorHAnsi"/>
                <w:sz w:val="24"/>
                <w:szCs w:val="24"/>
                <w:lang w:eastAsia="fr-FR"/>
              </w:rPr>
              <w:t>du sol de 2,5 m, à utiliser avec des sources lumineuses électriques dont la tension d’alimentation ne dépasse pas 1 000 V.</w:t>
            </w:r>
          </w:p>
          <w:p w:rsidR="00904E52" w:rsidRPr="0043547B" w:rsidRDefault="00904E52" w:rsidP="00360635">
            <w:pPr>
              <w:spacing w:after="0" w:line="240" w:lineRule="auto"/>
              <w:jc w:val="both"/>
              <w:rPr>
                <w:rFonts w:eastAsia="Times New Roman" w:cstheme="minorHAnsi"/>
                <w:i/>
                <w:iCs/>
                <w:sz w:val="24"/>
                <w:szCs w:val="24"/>
                <w:lang w:eastAsia="fr-FR"/>
              </w:rPr>
            </w:pPr>
            <w:r w:rsidRPr="009225AE">
              <w:rPr>
                <w:rFonts w:eastAsia="Times New Roman" w:cstheme="minorHAnsi"/>
                <w:b/>
                <w:bCs/>
                <w:i/>
                <w:iCs/>
                <w:lang w:eastAsia="fr-FR"/>
              </w:rPr>
              <w:t>N</w:t>
            </w:r>
            <w:r w:rsidR="004C1604" w:rsidRPr="009225AE">
              <w:rPr>
                <w:rFonts w:eastAsia="Times New Roman" w:cstheme="minorHAnsi"/>
                <w:b/>
                <w:bCs/>
                <w:i/>
                <w:iCs/>
                <w:lang w:eastAsia="fr-FR"/>
              </w:rPr>
              <w:t>ote</w:t>
            </w:r>
            <w:r w:rsidR="00360635" w:rsidRPr="009225AE">
              <w:rPr>
                <w:rFonts w:eastAsia="Times New Roman" w:cstheme="minorHAnsi"/>
                <w:i/>
                <w:iCs/>
                <w:lang w:eastAsia="fr-FR"/>
              </w:rPr>
              <w:t xml:space="preserve"> : </w:t>
            </w:r>
            <w:r w:rsidRPr="009225AE">
              <w:rPr>
                <w:rFonts w:eastAsia="Times New Roman" w:cstheme="minorHAnsi"/>
                <w:i/>
                <w:iCs/>
                <w:lang w:eastAsia="fr-FR"/>
              </w:rPr>
              <w:t>Le cas des luminaires intégrés dans des candélabres d’une hauteur totale inférieure à 2,5 m est à l’étude.</w:t>
            </w:r>
          </w:p>
        </w:tc>
      </w:tr>
      <w:tr w:rsidR="0043547B" w:rsidRPr="0043547B" w:rsidTr="00CB5DC0">
        <w:trPr>
          <w:trHeight w:val="102"/>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NM 01.8.353</w:t>
            </w:r>
          </w:p>
        </w:tc>
      </w:tr>
      <w:tr w:rsidR="0043547B" w:rsidRPr="0043547B" w:rsidTr="00CB5DC0">
        <w:trPr>
          <w:trHeight w:val="6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right w:val="single" w:sz="18" w:space="0" w:color="auto"/>
            </w:tcBorders>
            <w:shd w:val="clear" w:color="auto" w:fill="FFFF99"/>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EN 40-5</w:t>
            </w:r>
          </w:p>
        </w:tc>
      </w:tr>
      <w:tr w:rsidR="0043547B" w:rsidRPr="0043547B" w:rsidTr="00CB5DC0">
        <w:trPr>
          <w:trHeight w:val="65"/>
          <w:jc w:val="center"/>
        </w:trPr>
        <w:tc>
          <w:tcPr>
            <w:tcW w:w="1843" w:type="dxa"/>
            <w:tcBorders>
              <w:top w:val="nil"/>
              <w:left w:val="single" w:sz="18" w:space="0" w:color="auto"/>
              <w:bottom w:val="single" w:sz="4" w:space="0" w:color="auto"/>
              <w:right w:val="single" w:sz="4" w:space="0" w:color="auto"/>
            </w:tcBorders>
            <w:shd w:val="clear" w:color="000000" w:fill="8DB4E2"/>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left w:val="single" w:sz="4" w:space="0" w:color="auto"/>
              <w:right w:val="single" w:sz="18" w:space="0" w:color="auto"/>
            </w:tcBorders>
          </w:tcPr>
          <w:p w:rsidR="00904E52" w:rsidRPr="0043547B" w:rsidRDefault="00904E52" w:rsidP="00904E52">
            <w:pPr>
              <w:spacing w:after="0"/>
              <w:jc w:val="both"/>
              <w:rPr>
                <w:rFonts w:cstheme="minorHAnsi"/>
                <w:sz w:val="24"/>
                <w:szCs w:val="24"/>
              </w:rPr>
            </w:pPr>
            <w:r w:rsidRPr="0043547B">
              <w:rPr>
                <w:rFonts w:cstheme="minorHAnsi"/>
                <w:sz w:val="24"/>
                <w:szCs w:val="24"/>
              </w:rPr>
              <w:t>Candélabres d'éclairage public - Exigences pour les candélabres d'éclairage public en acier </w:t>
            </w:r>
          </w:p>
        </w:tc>
      </w:tr>
      <w:tr w:rsidR="0043547B" w:rsidRPr="0043547B" w:rsidTr="00CB5DC0">
        <w:trPr>
          <w:trHeight w:val="276"/>
          <w:jc w:val="center"/>
        </w:trPr>
        <w:tc>
          <w:tcPr>
            <w:tcW w:w="1843" w:type="dxa"/>
            <w:tcBorders>
              <w:top w:val="nil"/>
              <w:left w:val="single" w:sz="18" w:space="0" w:color="auto"/>
              <w:bottom w:val="single" w:sz="18" w:space="0" w:color="auto"/>
              <w:right w:val="single" w:sz="4" w:space="0" w:color="auto"/>
            </w:tcBorders>
            <w:shd w:val="clear" w:color="000000" w:fill="D9D9D9"/>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tcPr>
          <w:p w:rsidR="00904E52" w:rsidRPr="0043547B" w:rsidRDefault="00904E52" w:rsidP="00363C14">
            <w:pPr>
              <w:spacing w:after="0" w:line="240" w:lineRule="auto"/>
              <w:jc w:val="both"/>
              <w:rPr>
                <w:rFonts w:cstheme="minorHAnsi"/>
                <w:sz w:val="24"/>
                <w:szCs w:val="24"/>
              </w:rPr>
            </w:pPr>
            <w:r w:rsidRPr="0043547B">
              <w:rPr>
                <w:rFonts w:cstheme="minorHAnsi"/>
                <w:sz w:val="24"/>
                <w:szCs w:val="24"/>
              </w:rPr>
              <w:t xml:space="preserve">La norme spécifie les exigences relatives aux candélabres d'éclairage public en acier. Elle inclut les matériaux et contrôles de conformité. Elle s'applique aux candélabres ne dépassant pas 20 m de haut, pour les luminaires montés au </w:t>
            </w:r>
            <w:r w:rsidRPr="0043547B">
              <w:rPr>
                <w:rFonts w:cstheme="minorHAnsi"/>
                <w:sz w:val="24"/>
                <w:szCs w:val="24"/>
              </w:rPr>
              <w:lastRenderedPageBreak/>
              <w:t>sommet, et aux candélabres à crosses ne dépassant pas 18 m de haut, pour les luminaires à entrer latérale.</w:t>
            </w:r>
          </w:p>
          <w:p w:rsidR="009225AE" w:rsidRDefault="00904E52" w:rsidP="00363C14">
            <w:pPr>
              <w:spacing w:after="0" w:line="240" w:lineRule="auto"/>
              <w:jc w:val="both"/>
              <w:rPr>
                <w:rFonts w:cstheme="minorHAnsi"/>
                <w:sz w:val="24"/>
                <w:szCs w:val="24"/>
              </w:rPr>
            </w:pPr>
            <w:r w:rsidRPr="0043547B">
              <w:rPr>
                <w:rFonts w:cstheme="minorHAnsi"/>
                <w:sz w:val="24"/>
                <w:szCs w:val="24"/>
              </w:rPr>
              <w:t>Cette partie spécifie des performances liées à l'exigence essentielle de résistance aux charges horizontales (dues au vent) et au comportement en cas de choc en application de l’exigence essentielle n°4, Sécurité en utilisation, mesurées conformément aux méthodes d’essai correspondantes incluses dans La norme ou dans des Normes distinctes.</w:t>
            </w:r>
          </w:p>
          <w:p w:rsidR="00904E52" w:rsidRPr="0043547B" w:rsidRDefault="00904E52" w:rsidP="00363C14">
            <w:pPr>
              <w:spacing w:after="0" w:line="240" w:lineRule="auto"/>
              <w:jc w:val="both"/>
              <w:rPr>
                <w:rFonts w:cstheme="minorHAnsi"/>
                <w:sz w:val="24"/>
                <w:szCs w:val="24"/>
              </w:rPr>
            </w:pPr>
            <w:r w:rsidRPr="0043547B">
              <w:rPr>
                <w:rFonts w:cstheme="minorHAnsi"/>
                <w:sz w:val="24"/>
                <w:szCs w:val="24"/>
              </w:rPr>
              <w:t>Cette Norme spécifie également l’évaluation de la conformité des produits.</w:t>
            </w:r>
          </w:p>
        </w:tc>
      </w:tr>
      <w:tr w:rsidR="0043547B" w:rsidRPr="0043547B" w:rsidTr="00CB5DC0">
        <w:trPr>
          <w:trHeight w:val="6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NM 01.8.354</w:t>
            </w:r>
          </w:p>
        </w:tc>
      </w:tr>
      <w:tr w:rsidR="0043547B" w:rsidRPr="0043547B" w:rsidTr="00CB5DC0">
        <w:trPr>
          <w:trHeight w:val="6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right w:val="single" w:sz="18" w:space="0" w:color="auto"/>
            </w:tcBorders>
            <w:shd w:val="clear" w:color="auto" w:fill="FFFF99"/>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EN 40-6</w:t>
            </w:r>
          </w:p>
        </w:tc>
      </w:tr>
      <w:tr w:rsidR="0043547B" w:rsidRPr="0043547B" w:rsidTr="00CB5DC0">
        <w:trPr>
          <w:trHeight w:val="65"/>
          <w:jc w:val="center"/>
        </w:trPr>
        <w:tc>
          <w:tcPr>
            <w:tcW w:w="1843" w:type="dxa"/>
            <w:tcBorders>
              <w:top w:val="nil"/>
              <w:left w:val="single" w:sz="18" w:space="0" w:color="auto"/>
              <w:bottom w:val="single" w:sz="4" w:space="0" w:color="auto"/>
              <w:right w:val="single" w:sz="4" w:space="0" w:color="auto"/>
            </w:tcBorders>
            <w:shd w:val="clear" w:color="000000" w:fill="8DB4E2"/>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left w:val="single" w:sz="4" w:space="0" w:color="auto"/>
              <w:right w:val="single" w:sz="18" w:space="0" w:color="auto"/>
            </w:tcBorders>
          </w:tcPr>
          <w:p w:rsidR="00904E52" w:rsidRPr="0043547B" w:rsidRDefault="00904E52" w:rsidP="00904E52">
            <w:pPr>
              <w:spacing w:after="0"/>
              <w:jc w:val="both"/>
              <w:rPr>
                <w:rFonts w:cstheme="minorHAnsi"/>
                <w:sz w:val="24"/>
                <w:szCs w:val="24"/>
              </w:rPr>
            </w:pPr>
            <w:r w:rsidRPr="0043547B">
              <w:rPr>
                <w:rFonts w:cstheme="minorHAnsi"/>
                <w:sz w:val="24"/>
                <w:szCs w:val="24"/>
              </w:rPr>
              <w:t>Candélabres d'éclairage public - Exigences pour les candélabres d'éclairage public en aluminium</w:t>
            </w:r>
          </w:p>
        </w:tc>
      </w:tr>
      <w:tr w:rsidR="0043547B" w:rsidRPr="0043547B" w:rsidTr="00CB5DC0">
        <w:trPr>
          <w:trHeight w:val="843"/>
          <w:jc w:val="center"/>
        </w:trPr>
        <w:tc>
          <w:tcPr>
            <w:tcW w:w="1843" w:type="dxa"/>
            <w:tcBorders>
              <w:top w:val="nil"/>
              <w:left w:val="single" w:sz="18" w:space="0" w:color="auto"/>
              <w:bottom w:val="single" w:sz="18" w:space="0" w:color="auto"/>
              <w:right w:val="single" w:sz="4" w:space="0" w:color="auto"/>
            </w:tcBorders>
            <w:shd w:val="clear" w:color="000000" w:fill="D9D9D9"/>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vAlign w:val="bottom"/>
          </w:tcPr>
          <w:p w:rsidR="00904E52" w:rsidRPr="0043547B" w:rsidRDefault="00904E52" w:rsidP="00363C14">
            <w:pPr>
              <w:spacing w:after="0" w:line="240" w:lineRule="auto"/>
              <w:jc w:val="both"/>
              <w:rPr>
                <w:rFonts w:cstheme="minorHAnsi"/>
                <w:sz w:val="24"/>
                <w:szCs w:val="24"/>
              </w:rPr>
            </w:pPr>
            <w:r w:rsidRPr="0043547B">
              <w:rPr>
                <w:rFonts w:cstheme="minorHAnsi"/>
                <w:sz w:val="24"/>
                <w:szCs w:val="24"/>
              </w:rPr>
              <w:t xml:space="preserve">La norme spécifie les prescriptions relatives aux candélabres d'éclairage public en aluminium. Elle comprend les matériaux et contrôles de conformité. Elle s'applique aux candélabres ne dépassant pas 20 m de haut, pour les luminaires montés au sommet, et aux candélabres à crosses ne dépassant 18 m de haut, pour les luminaires à </w:t>
            </w:r>
            <w:r w:rsidR="004C1604" w:rsidRPr="0043547B">
              <w:rPr>
                <w:rFonts w:cstheme="minorHAnsi"/>
                <w:sz w:val="24"/>
                <w:szCs w:val="24"/>
              </w:rPr>
              <w:t>entrer</w:t>
            </w:r>
            <w:r w:rsidRPr="0043547B">
              <w:rPr>
                <w:rFonts w:cstheme="minorHAnsi"/>
                <w:sz w:val="24"/>
                <w:szCs w:val="24"/>
              </w:rPr>
              <w:t xml:space="preserve"> latérale. </w:t>
            </w:r>
          </w:p>
          <w:p w:rsidR="00904E52" w:rsidRPr="0043547B" w:rsidRDefault="00904E52" w:rsidP="00363C14">
            <w:pPr>
              <w:spacing w:after="0" w:line="240" w:lineRule="auto"/>
              <w:jc w:val="both"/>
              <w:rPr>
                <w:rFonts w:cstheme="minorHAnsi"/>
                <w:sz w:val="24"/>
                <w:szCs w:val="24"/>
              </w:rPr>
            </w:pPr>
            <w:r w:rsidRPr="0043547B">
              <w:rPr>
                <w:rFonts w:cstheme="minorHAnsi"/>
                <w:sz w:val="24"/>
                <w:szCs w:val="24"/>
              </w:rPr>
              <w:t>La norme spécifie les performances liées aux exigences essentielles de résistance aux charges horizontales (dues au vent) et au comportement en cas de choc en application de l’exigence essentielle n° 4, Sécurité en utilisation, mesurées conformément aux méthodes d’essai correspondantes incluses dans cette norme ou dans des Normes marocaines distinctes. Cette norme spécifie également l’évaluation de la conformité des produits.</w:t>
            </w:r>
          </w:p>
        </w:tc>
      </w:tr>
      <w:tr w:rsidR="0043547B" w:rsidRPr="0043547B" w:rsidTr="00CB5DC0">
        <w:trPr>
          <w:trHeight w:val="65"/>
          <w:jc w:val="center"/>
        </w:trPr>
        <w:tc>
          <w:tcPr>
            <w:tcW w:w="1843" w:type="dxa"/>
            <w:tcBorders>
              <w:top w:val="single" w:sz="18" w:space="0" w:color="auto"/>
              <w:left w:val="single" w:sz="18" w:space="0" w:color="auto"/>
              <w:bottom w:val="single" w:sz="18" w:space="0" w:color="auto"/>
              <w:right w:val="single" w:sz="4" w:space="0" w:color="auto"/>
            </w:tcBorders>
            <w:shd w:val="clear" w:color="auto" w:fill="BAD18B"/>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AD18B"/>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NM 01.8.348</w:t>
            </w:r>
          </w:p>
        </w:tc>
      </w:tr>
      <w:tr w:rsidR="0043547B" w:rsidRPr="0043547B" w:rsidTr="00CB5DC0">
        <w:trPr>
          <w:trHeight w:val="6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right w:val="single" w:sz="18" w:space="0" w:color="auto"/>
            </w:tcBorders>
            <w:shd w:val="clear" w:color="auto" w:fill="FFFF99"/>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EN 40-2</w:t>
            </w:r>
          </w:p>
        </w:tc>
      </w:tr>
      <w:tr w:rsidR="0043547B" w:rsidRPr="0043547B" w:rsidTr="00CB5DC0">
        <w:trPr>
          <w:trHeight w:val="65"/>
          <w:jc w:val="center"/>
        </w:trPr>
        <w:tc>
          <w:tcPr>
            <w:tcW w:w="1843" w:type="dxa"/>
            <w:tcBorders>
              <w:top w:val="nil"/>
              <w:left w:val="single" w:sz="18" w:space="0" w:color="auto"/>
              <w:bottom w:val="single" w:sz="4" w:space="0" w:color="auto"/>
              <w:right w:val="single" w:sz="4" w:space="0" w:color="auto"/>
            </w:tcBorders>
            <w:shd w:val="clear" w:color="000000" w:fill="8DB4E2"/>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left w:val="single" w:sz="4" w:space="0" w:color="auto"/>
              <w:right w:val="single" w:sz="18" w:space="0" w:color="auto"/>
            </w:tcBorders>
          </w:tcPr>
          <w:p w:rsidR="00904E52" w:rsidRPr="0043547B" w:rsidRDefault="00904E52" w:rsidP="00904E52">
            <w:pPr>
              <w:spacing w:after="0"/>
              <w:jc w:val="both"/>
              <w:rPr>
                <w:rFonts w:cstheme="minorHAnsi"/>
                <w:sz w:val="24"/>
                <w:szCs w:val="24"/>
              </w:rPr>
            </w:pPr>
            <w:r w:rsidRPr="0043547B">
              <w:rPr>
                <w:rFonts w:cstheme="minorHAnsi"/>
                <w:sz w:val="24"/>
                <w:szCs w:val="24"/>
              </w:rPr>
              <w:t>Candélabres d’éclairage public – Prescriptions générales et dimensions </w:t>
            </w:r>
          </w:p>
        </w:tc>
      </w:tr>
      <w:tr w:rsidR="0043547B" w:rsidRPr="0043547B" w:rsidTr="00CB5DC0">
        <w:trPr>
          <w:trHeight w:val="843"/>
          <w:jc w:val="center"/>
        </w:trPr>
        <w:tc>
          <w:tcPr>
            <w:tcW w:w="1843" w:type="dxa"/>
            <w:tcBorders>
              <w:top w:val="nil"/>
              <w:left w:val="single" w:sz="18" w:space="0" w:color="auto"/>
              <w:bottom w:val="single" w:sz="18" w:space="0" w:color="auto"/>
              <w:right w:val="single" w:sz="4" w:space="0" w:color="auto"/>
            </w:tcBorders>
            <w:shd w:val="clear" w:color="000000" w:fill="D9D9D9"/>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left w:val="single" w:sz="4" w:space="0" w:color="auto"/>
              <w:bottom w:val="single" w:sz="18" w:space="0" w:color="auto"/>
              <w:right w:val="single" w:sz="18" w:space="0" w:color="auto"/>
            </w:tcBorders>
            <w:vAlign w:val="bottom"/>
          </w:tcPr>
          <w:p w:rsidR="00904E52" w:rsidRPr="0043547B" w:rsidRDefault="00904E52" w:rsidP="00363C14">
            <w:pPr>
              <w:spacing w:after="0" w:line="240" w:lineRule="auto"/>
              <w:jc w:val="both"/>
              <w:rPr>
                <w:rFonts w:cstheme="minorHAnsi"/>
                <w:sz w:val="24"/>
                <w:szCs w:val="24"/>
              </w:rPr>
            </w:pPr>
            <w:r w:rsidRPr="0043547B">
              <w:rPr>
                <w:rFonts w:cstheme="minorHAnsi"/>
                <w:sz w:val="24"/>
                <w:szCs w:val="24"/>
              </w:rPr>
              <w:t>Cette norme spécifie les prescriptions et les dimensions des candélabres, des crosses, des compartiments électriques, des passages de câbles et des bornes de mise à la terre. Elle s'applique aux candélabres droits d'une hauteur maximale de 20 m pour luminaires à entrer verticale et aux candélabres à crosse d'une hauteur maximale de 18 m pour luminaires à entrer latérale.</w:t>
            </w:r>
          </w:p>
          <w:p w:rsidR="00363C14" w:rsidRPr="0043547B" w:rsidRDefault="00363C14" w:rsidP="00363C14">
            <w:pPr>
              <w:spacing w:after="0" w:line="240" w:lineRule="auto"/>
              <w:jc w:val="both"/>
              <w:rPr>
                <w:rFonts w:cstheme="minorHAnsi"/>
                <w:sz w:val="24"/>
                <w:szCs w:val="24"/>
              </w:rPr>
            </w:pPr>
            <w:r w:rsidRPr="0043547B">
              <w:rPr>
                <w:rFonts w:cstheme="minorHAnsi"/>
                <w:sz w:val="24"/>
                <w:szCs w:val="24"/>
              </w:rPr>
              <w:t>La norme ne prétend pas imposer de restrictions concernant l'aspect ou la forme du candélabre ou de la crosse. La majorité des candélabres sont normalement tubulaires étagés de section ronde, octogonale ou polygonale.</w:t>
            </w:r>
          </w:p>
          <w:p w:rsidR="00363C14" w:rsidRPr="0043547B" w:rsidRDefault="00363C14" w:rsidP="00363C14">
            <w:pPr>
              <w:spacing w:after="0" w:line="240" w:lineRule="auto"/>
              <w:jc w:val="both"/>
              <w:rPr>
                <w:rFonts w:cstheme="minorHAnsi"/>
                <w:sz w:val="24"/>
                <w:szCs w:val="24"/>
              </w:rPr>
            </w:pPr>
            <w:r w:rsidRPr="0043547B">
              <w:rPr>
                <w:rFonts w:cstheme="minorHAnsi"/>
                <w:sz w:val="24"/>
                <w:szCs w:val="24"/>
              </w:rPr>
              <w:t>Les candélabres peuvent être fabriqués en matériaux (par exemple, bois, plastique, fonte) ou avoir d'autres formes (par exemple, en treillis, télescopique).</w:t>
            </w:r>
          </w:p>
          <w:p w:rsidR="00363C14" w:rsidRPr="0043547B" w:rsidRDefault="00363C14" w:rsidP="00363C14">
            <w:pPr>
              <w:spacing w:after="0" w:line="240" w:lineRule="auto"/>
              <w:jc w:val="both"/>
              <w:rPr>
                <w:rFonts w:cstheme="minorHAnsi"/>
                <w:sz w:val="24"/>
                <w:szCs w:val="24"/>
              </w:rPr>
            </w:pPr>
            <w:r w:rsidRPr="0043547B">
              <w:rPr>
                <w:rFonts w:cstheme="minorHAnsi"/>
                <w:sz w:val="24"/>
                <w:szCs w:val="24"/>
              </w:rPr>
              <w:t>Cette norme spécifie les performances liées aux exigences essentielles de résistance aux charges horizontales (dues au vent) et au comportement en cas de choc (sécurité passive) en application de l’exigence essentielle n° 4, Sécurité en utilisation, mesurés conformément aux méthodes d’essai correspondantes incluses dans cette norme ou dans des normes distinctes</w:t>
            </w:r>
          </w:p>
        </w:tc>
      </w:tr>
      <w:tr w:rsidR="0043547B" w:rsidRPr="0043547B" w:rsidTr="00CB5DC0">
        <w:trPr>
          <w:trHeight w:val="65"/>
          <w:jc w:val="center"/>
        </w:trPr>
        <w:tc>
          <w:tcPr>
            <w:tcW w:w="1843" w:type="dxa"/>
            <w:tcBorders>
              <w:top w:val="single" w:sz="18" w:space="0" w:color="auto"/>
              <w:left w:val="single" w:sz="18" w:space="0" w:color="auto"/>
              <w:bottom w:val="single" w:sz="18" w:space="0" w:color="auto"/>
              <w:right w:val="single" w:sz="4" w:space="0" w:color="auto"/>
            </w:tcBorders>
            <w:shd w:val="clear" w:color="auto" w:fill="B4CD81"/>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4CD81"/>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NM EN 40-3-1</w:t>
            </w:r>
          </w:p>
        </w:tc>
      </w:tr>
      <w:tr w:rsidR="0043547B" w:rsidRPr="0043547B" w:rsidTr="00CB5DC0">
        <w:trPr>
          <w:trHeight w:val="6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right w:val="single" w:sz="18" w:space="0" w:color="auto"/>
            </w:tcBorders>
            <w:shd w:val="clear" w:color="auto" w:fill="FFFF99"/>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EN 40-3-1</w:t>
            </w:r>
          </w:p>
        </w:tc>
      </w:tr>
      <w:tr w:rsidR="0043547B" w:rsidRPr="0043547B" w:rsidTr="00CB5DC0">
        <w:trPr>
          <w:trHeight w:val="141"/>
          <w:jc w:val="center"/>
        </w:trPr>
        <w:tc>
          <w:tcPr>
            <w:tcW w:w="1843" w:type="dxa"/>
            <w:tcBorders>
              <w:top w:val="nil"/>
              <w:left w:val="single" w:sz="18" w:space="0" w:color="auto"/>
              <w:bottom w:val="single" w:sz="4" w:space="0" w:color="auto"/>
              <w:right w:val="single" w:sz="4" w:space="0" w:color="auto"/>
            </w:tcBorders>
            <w:shd w:val="clear" w:color="000000" w:fill="8DB4E2"/>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left w:val="single" w:sz="4" w:space="0" w:color="auto"/>
              <w:right w:val="single" w:sz="18" w:space="0" w:color="auto"/>
            </w:tcBorders>
          </w:tcPr>
          <w:p w:rsidR="00904E52" w:rsidRPr="0043547B" w:rsidRDefault="00904E52" w:rsidP="00904E52">
            <w:pPr>
              <w:spacing w:after="0"/>
              <w:jc w:val="both"/>
              <w:rPr>
                <w:rFonts w:cstheme="minorHAnsi"/>
                <w:sz w:val="24"/>
                <w:szCs w:val="24"/>
              </w:rPr>
            </w:pPr>
            <w:r w:rsidRPr="0043547B">
              <w:rPr>
                <w:rFonts w:cstheme="minorHAnsi"/>
                <w:sz w:val="24"/>
                <w:szCs w:val="24"/>
              </w:rPr>
              <w:t xml:space="preserve">Candélabres d'éclairage public - Partie 3-1 : Conception et vérification - Spécification pour charges caractéristiques ;  </w:t>
            </w:r>
          </w:p>
        </w:tc>
      </w:tr>
      <w:tr w:rsidR="0043547B" w:rsidRPr="0043547B" w:rsidTr="00CB5DC0">
        <w:trPr>
          <w:trHeight w:val="4528"/>
          <w:jc w:val="center"/>
        </w:trPr>
        <w:tc>
          <w:tcPr>
            <w:tcW w:w="1843" w:type="dxa"/>
            <w:tcBorders>
              <w:top w:val="nil"/>
              <w:left w:val="single" w:sz="18" w:space="0" w:color="auto"/>
              <w:bottom w:val="single" w:sz="18" w:space="0" w:color="auto"/>
              <w:right w:val="single" w:sz="4" w:space="0" w:color="auto"/>
            </w:tcBorders>
            <w:shd w:val="clear" w:color="000000" w:fill="D9D9D9"/>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Domaine d’application :</w:t>
            </w:r>
          </w:p>
        </w:tc>
        <w:tc>
          <w:tcPr>
            <w:tcW w:w="8080" w:type="dxa"/>
            <w:tcBorders>
              <w:left w:val="single" w:sz="4" w:space="0" w:color="auto"/>
              <w:bottom w:val="single" w:sz="18" w:space="0" w:color="auto"/>
              <w:right w:val="single" w:sz="18" w:space="0" w:color="auto"/>
            </w:tcBorders>
            <w:vAlign w:val="center"/>
          </w:tcPr>
          <w:p w:rsidR="009D5CCE" w:rsidRPr="0043547B" w:rsidRDefault="00904E52" w:rsidP="009D5CCE">
            <w:pPr>
              <w:spacing w:after="0" w:line="240" w:lineRule="auto"/>
              <w:jc w:val="both"/>
              <w:rPr>
                <w:rFonts w:cstheme="minorHAnsi"/>
                <w:sz w:val="24"/>
                <w:szCs w:val="24"/>
              </w:rPr>
            </w:pPr>
            <w:r w:rsidRPr="0043547B">
              <w:rPr>
                <w:rFonts w:cstheme="minorHAnsi"/>
                <w:sz w:val="24"/>
                <w:szCs w:val="24"/>
              </w:rPr>
              <w:t xml:space="preserve">La norme spécifie les charges de calcul des candélabres d'éclairage public. Elle s’applique aux candélabres d’éclairage public d’une hauteur nominale (avec la crosse) ne dépassant pas 20m. Les conceptions structurelles particulières permettant de fixer des panneaux de signalisation, des fils aériens, etc., ne </w:t>
            </w:r>
            <w:r w:rsidR="00C04DDE" w:rsidRPr="0043547B">
              <w:rPr>
                <w:rFonts w:cstheme="minorHAnsi"/>
                <w:sz w:val="24"/>
                <w:szCs w:val="24"/>
              </w:rPr>
              <w:t>sont pas traitées dans La norme</w:t>
            </w:r>
            <w:r w:rsidRPr="0043547B">
              <w:rPr>
                <w:rFonts w:cstheme="minorHAnsi"/>
                <w:sz w:val="24"/>
                <w:szCs w:val="24"/>
              </w:rPr>
              <w:t>.</w:t>
            </w:r>
          </w:p>
          <w:p w:rsidR="009D5CCE" w:rsidRPr="0043547B" w:rsidRDefault="009D5CCE" w:rsidP="009225AE">
            <w:pPr>
              <w:spacing w:after="0" w:line="240" w:lineRule="auto"/>
              <w:jc w:val="both"/>
              <w:rPr>
                <w:rFonts w:cstheme="minorHAnsi"/>
                <w:sz w:val="24"/>
                <w:szCs w:val="24"/>
              </w:rPr>
            </w:pPr>
            <w:r w:rsidRPr="0043547B">
              <w:rPr>
                <w:rFonts w:cstheme="minorHAnsi"/>
                <w:sz w:val="24"/>
                <w:szCs w:val="24"/>
              </w:rPr>
              <w:t>Les exigences relatives aux candélabres d'éclairage public réalisés dans d'autres matériaux que le béton, l'acier, l'aluminium ou le composite polymère renforcé de fibres (par exemple le bois, le plastique et la fonte) ne sont pas spécifiquement traitées dans la norme. Les candélabres d’éclairage public en composite polymère renforcé de fibres sont traités dans le présent document, conjointement avec l'Annexe B de l'EN 40-7. La norme inclut les exigences de performance pour les charges horizontales dues au vent. La sécurité passive et le comportement d'un candélabre d'éclairage public soumis à l'impact d'un véhicule ne sont pas abordés. Des exigences supplémentaires s’appliqueront à cette catégorie de candélabres (voir EN 12767).</w:t>
            </w:r>
          </w:p>
        </w:tc>
      </w:tr>
      <w:tr w:rsidR="0043547B" w:rsidRPr="0043547B" w:rsidTr="00CB5DC0">
        <w:trPr>
          <w:trHeight w:val="350"/>
          <w:jc w:val="center"/>
        </w:trPr>
        <w:tc>
          <w:tcPr>
            <w:tcW w:w="1843" w:type="dxa"/>
            <w:tcBorders>
              <w:top w:val="nil"/>
              <w:left w:val="single" w:sz="18" w:space="0" w:color="auto"/>
              <w:bottom w:val="single" w:sz="18" w:space="0" w:color="auto"/>
              <w:right w:val="single" w:sz="4" w:space="0" w:color="auto"/>
            </w:tcBorders>
            <w:shd w:val="clear" w:color="auto" w:fill="B6E088"/>
            <w:vAlign w:val="center"/>
          </w:tcPr>
          <w:p w:rsidR="00C04DDE" w:rsidRPr="0043547B" w:rsidRDefault="00C04DDE" w:rsidP="00C04DDE">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4" w:space="0" w:color="auto"/>
              <w:left w:val="single" w:sz="4" w:space="0" w:color="auto"/>
              <w:bottom w:val="single" w:sz="18" w:space="0" w:color="auto"/>
              <w:right w:val="single" w:sz="18" w:space="0" w:color="auto"/>
            </w:tcBorders>
            <w:shd w:val="clear" w:color="auto" w:fill="B6E088"/>
            <w:vAlign w:val="center"/>
          </w:tcPr>
          <w:p w:rsidR="00C04DDE" w:rsidRPr="0043547B" w:rsidRDefault="00C04DDE" w:rsidP="00C04DDE">
            <w:pPr>
              <w:spacing w:after="0"/>
              <w:jc w:val="center"/>
              <w:rPr>
                <w:rFonts w:cstheme="minorHAnsi"/>
                <w:b/>
                <w:bCs/>
                <w:sz w:val="24"/>
                <w:szCs w:val="24"/>
              </w:rPr>
            </w:pPr>
            <w:r w:rsidRPr="0043547B">
              <w:rPr>
                <w:rFonts w:cstheme="minorHAnsi"/>
                <w:b/>
                <w:bCs/>
                <w:sz w:val="24"/>
                <w:szCs w:val="24"/>
              </w:rPr>
              <w:t>NM CEI 60383-2</w:t>
            </w:r>
          </w:p>
        </w:tc>
      </w:tr>
      <w:tr w:rsidR="0043547B" w:rsidRPr="0043547B" w:rsidTr="009225AE">
        <w:trPr>
          <w:trHeight w:val="393"/>
          <w:jc w:val="center"/>
        </w:trPr>
        <w:tc>
          <w:tcPr>
            <w:tcW w:w="1843" w:type="dxa"/>
            <w:tcBorders>
              <w:top w:val="single" w:sz="18" w:space="0" w:color="auto"/>
              <w:left w:val="single" w:sz="18" w:space="0" w:color="auto"/>
              <w:bottom w:val="single" w:sz="4" w:space="0" w:color="auto"/>
              <w:right w:val="single" w:sz="4" w:space="0" w:color="auto"/>
            </w:tcBorders>
            <w:shd w:val="clear" w:color="auto" w:fill="FFFFCC"/>
            <w:vAlign w:val="center"/>
          </w:tcPr>
          <w:p w:rsidR="00C04DDE" w:rsidRPr="0043547B" w:rsidRDefault="00C04DDE" w:rsidP="00C04DDE">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bottom w:val="single" w:sz="4" w:space="0" w:color="auto"/>
              <w:right w:val="single" w:sz="18" w:space="0" w:color="auto"/>
            </w:tcBorders>
            <w:shd w:val="clear" w:color="auto" w:fill="FFFFCC"/>
            <w:vAlign w:val="center"/>
          </w:tcPr>
          <w:p w:rsidR="00C04DDE" w:rsidRPr="0043547B" w:rsidRDefault="00C04DDE" w:rsidP="00C04DDE">
            <w:pPr>
              <w:spacing w:after="0"/>
              <w:jc w:val="center"/>
              <w:rPr>
                <w:rFonts w:cstheme="minorHAnsi"/>
                <w:b/>
                <w:bCs/>
                <w:sz w:val="24"/>
                <w:szCs w:val="24"/>
              </w:rPr>
            </w:pPr>
            <w:r w:rsidRPr="0043547B">
              <w:rPr>
                <w:rFonts w:cstheme="minorHAnsi"/>
                <w:b/>
                <w:bCs/>
                <w:sz w:val="24"/>
                <w:szCs w:val="24"/>
              </w:rPr>
              <w:t>CEI 60383-2</w:t>
            </w:r>
          </w:p>
        </w:tc>
      </w:tr>
      <w:tr w:rsidR="0043547B" w:rsidRPr="0043547B" w:rsidTr="00A5428F">
        <w:trPr>
          <w:trHeight w:val="241"/>
          <w:jc w:val="center"/>
        </w:trPr>
        <w:tc>
          <w:tcPr>
            <w:tcW w:w="1843" w:type="dxa"/>
            <w:tcBorders>
              <w:top w:val="single" w:sz="4" w:space="0" w:color="auto"/>
              <w:left w:val="single" w:sz="18" w:space="0" w:color="auto"/>
              <w:bottom w:val="single" w:sz="4" w:space="0" w:color="auto"/>
              <w:right w:val="single" w:sz="4" w:space="0" w:color="auto"/>
            </w:tcBorders>
            <w:shd w:val="clear" w:color="auto" w:fill="95B3D7" w:themeFill="accent1" w:themeFillTint="99"/>
            <w:vAlign w:val="center"/>
          </w:tcPr>
          <w:p w:rsidR="00C04DDE" w:rsidRPr="0043547B" w:rsidRDefault="00C04DDE" w:rsidP="00C04DDE">
            <w:pPr>
              <w:spacing w:after="0"/>
              <w:jc w:val="center"/>
              <w:rPr>
                <w:rFonts w:cstheme="minorHAnsi"/>
                <w:b/>
                <w:bCs/>
                <w:sz w:val="24"/>
                <w:szCs w:val="24"/>
              </w:rPr>
            </w:pPr>
            <w:r w:rsidRPr="0043547B">
              <w:rPr>
                <w:rFonts w:cstheme="minorHAnsi"/>
                <w:b/>
                <w:bCs/>
                <w:sz w:val="24"/>
                <w:szCs w:val="24"/>
              </w:rPr>
              <w:t>Intitulé :</w:t>
            </w:r>
          </w:p>
        </w:tc>
        <w:tc>
          <w:tcPr>
            <w:tcW w:w="8080" w:type="dxa"/>
            <w:tcBorders>
              <w:top w:val="single" w:sz="4" w:space="0" w:color="auto"/>
              <w:left w:val="single" w:sz="4" w:space="0" w:color="auto"/>
              <w:bottom w:val="single" w:sz="4" w:space="0" w:color="auto"/>
              <w:right w:val="single" w:sz="18" w:space="0" w:color="auto"/>
            </w:tcBorders>
            <w:shd w:val="clear" w:color="auto" w:fill="auto"/>
            <w:vAlign w:val="bottom"/>
          </w:tcPr>
          <w:p w:rsidR="00C04DDE" w:rsidRPr="0043547B" w:rsidRDefault="00C04DDE" w:rsidP="00C04DDE">
            <w:pPr>
              <w:spacing w:after="0"/>
              <w:jc w:val="both"/>
              <w:rPr>
                <w:rFonts w:cstheme="minorHAnsi"/>
                <w:sz w:val="24"/>
                <w:szCs w:val="24"/>
              </w:rPr>
            </w:pPr>
            <w:r w:rsidRPr="0043547B">
              <w:rPr>
                <w:rFonts w:cstheme="minorHAnsi"/>
                <w:sz w:val="24"/>
                <w:szCs w:val="24"/>
              </w:rPr>
              <w:t>Isolateurs pour lignes aériennes de tension nominale supérieure à 1 000 V - Partie 2 : Chaînes d'isolateurs équipées pour systèmes à courant alternatif - Définitions, méthodes d'essai et critères d’acceptation </w:t>
            </w:r>
          </w:p>
        </w:tc>
      </w:tr>
      <w:tr w:rsidR="0043547B" w:rsidRPr="0043547B" w:rsidTr="0043547B">
        <w:trPr>
          <w:trHeight w:val="418"/>
          <w:jc w:val="center"/>
        </w:trPr>
        <w:tc>
          <w:tcPr>
            <w:tcW w:w="1843" w:type="dxa"/>
            <w:tcBorders>
              <w:top w:val="single" w:sz="4" w:space="0" w:color="auto"/>
              <w:left w:val="single" w:sz="18" w:space="0" w:color="auto"/>
              <w:bottom w:val="single" w:sz="18" w:space="0" w:color="auto"/>
              <w:right w:val="single" w:sz="4" w:space="0" w:color="auto"/>
            </w:tcBorders>
            <w:shd w:val="clear" w:color="000000" w:fill="D9D9D9"/>
            <w:vAlign w:val="center"/>
          </w:tcPr>
          <w:p w:rsidR="00C04DDE" w:rsidRPr="0043547B" w:rsidRDefault="00C04DDE" w:rsidP="00C04DDE">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top w:val="single" w:sz="4" w:space="0" w:color="auto"/>
              <w:left w:val="single" w:sz="4" w:space="0" w:color="auto"/>
              <w:bottom w:val="single" w:sz="18" w:space="0" w:color="auto"/>
              <w:right w:val="single" w:sz="18" w:space="0" w:color="auto"/>
            </w:tcBorders>
            <w:shd w:val="clear" w:color="auto" w:fill="auto"/>
            <w:vAlign w:val="bottom"/>
          </w:tcPr>
          <w:p w:rsidR="00C04DDE" w:rsidRPr="0043547B" w:rsidRDefault="00C04DDE" w:rsidP="00363C14">
            <w:pPr>
              <w:spacing w:after="0" w:line="240" w:lineRule="auto"/>
              <w:jc w:val="both"/>
              <w:rPr>
                <w:rFonts w:cstheme="minorHAnsi"/>
                <w:sz w:val="24"/>
                <w:szCs w:val="24"/>
              </w:rPr>
            </w:pPr>
            <w:r w:rsidRPr="0043547B">
              <w:rPr>
                <w:rFonts w:cstheme="minorHAnsi"/>
                <w:sz w:val="24"/>
                <w:szCs w:val="24"/>
              </w:rPr>
              <w:t>La présente norme est applicable aux chaînes d'isolateurs et aux chaînes d'isolateurs équipées comprenant des éléments de chaîne d'isolateurs en matière céramique ou en verre destinées aux lignes aériennes de transport d'énergie fonctionnant en courant alternatif à une tension nominale supérieure à 1 000 V et à une fréquence au plus égale à 100 Hz.</w:t>
            </w:r>
          </w:p>
          <w:p w:rsidR="00C04DDE" w:rsidRPr="0043547B" w:rsidRDefault="00C04DDE" w:rsidP="00363C14">
            <w:pPr>
              <w:spacing w:after="0" w:line="240" w:lineRule="auto"/>
              <w:jc w:val="both"/>
              <w:rPr>
                <w:rFonts w:cstheme="minorHAnsi"/>
                <w:sz w:val="24"/>
                <w:szCs w:val="24"/>
              </w:rPr>
            </w:pPr>
            <w:r w:rsidRPr="0043547B">
              <w:rPr>
                <w:rFonts w:cstheme="minorHAnsi"/>
                <w:sz w:val="24"/>
                <w:szCs w:val="24"/>
              </w:rPr>
              <w:t>Cette partie de la CEI 383 est applicable également aux chaînes d'isolateurs et aux chaînes d'isolateurs équipées utilisées sur les lignes de traction électrique fonctionnant en courant continu.</w:t>
            </w:r>
          </w:p>
          <w:p w:rsidR="009D5CCE" w:rsidRPr="0043547B" w:rsidRDefault="00C04DDE" w:rsidP="0043547B">
            <w:pPr>
              <w:spacing w:after="0" w:line="240" w:lineRule="auto"/>
              <w:jc w:val="both"/>
              <w:rPr>
                <w:rFonts w:cstheme="minorHAnsi"/>
                <w:sz w:val="24"/>
                <w:szCs w:val="24"/>
              </w:rPr>
            </w:pPr>
            <w:r w:rsidRPr="0043547B">
              <w:rPr>
                <w:rFonts w:cstheme="minorHAnsi"/>
                <w:sz w:val="24"/>
                <w:szCs w:val="24"/>
              </w:rPr>
              <w:t>Cette partie de la CEI 383 est applicable également aux chaînes d'isolateurs et chaînes d'isolateurs équipées de même conception lorsqu'elles sont utilisées dans les sous-stations</w:t>
            </w:r>
            <w:r w:rsidR="009D5CCE" w:rsidRPr="0043547B">
              <w:rPr>
                <w:rFonts w:cstheme="minorHAnsi"/>
                <w:sz w:val="24"/>
                <w:szCs w:val="24"/>
              </w:rPr>
              <w:t>.</w:t>
            </w:r>
          </w:p>
        </w:tc>
      </w:tr>
      <w:tr w:rsidR="0043547B" w:rsidRPr="0043547B" w:rsidTr="00CB5DC0">
        <w:trPr>
          <w:trHeight w:val="374"/>
          <w:jc w:val="center"/>
        </w:trPr>
        <w:tc>
          <w:tcPr>
            <w:tcW w:w="1843" w:type="dxa"/>
            <w:tcBorders>
              <w:top w:val="nil"/>
              <w:left w:val="single" w:sz="18" w:space="0" w:color="auto"/>
              <w:bottom w:val="single" w:sz="18" w:space="0" w:color="auto"/>
              <w:right w:val="single" w:sz="4" w:space="0" w:color="auto"/>
            </w:tcBorders>
            <w:shd w:val="clear" w:color="auto" w:fill="B6E088"/>
            <w:vAlign w:val="center"/>
          </w:tcPr>
          <w:p w:rsidR="00C04DDE" w:rsidRPr="0043547B" w:rsidRDefault="00C04DDE" w:rsidP="00C04DDE">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4" w:space="0" w:color="auto"/>
              <w:left w:val="single" w:sz="4" w:space="0" w:color="auto"/>
              <w:bottom w:val="single" w:sz="18" w:space="0" w:color="auto"/>
              <w:right w:val="single" w:sz="18" w:space="0" w:color="auto"/>
            </w:tcBorders>
            <w:shd w:val="clear" w:color="auto" w:fill="B6E088"/>
            <w:vAlign w:val="center"/>
          </w:tcPr>
          <w:p w:rsidR="00C04DDE" w:rsidRPr="0043547B" w:rsidRDefault="00C04DDE" w:rsidP="00C04DDE">
            <w:pPr>
              <w:spacing w:after="0"/>
              <w:jc w:val="center"/>
              <w:rPr>
                <w:rFonts w:cstheme="minorHAnsi"/>
                <w:b/>
                <w:bCs/>
                <w:sz w:val="24"/>
                <w:szCs w:val="24"/>
              </w:rPr>
            </w:pPr>
            <w:r w:rsidRPr="0043547B">
              <w:rPr>
                <w:rFonts w:cstheme="minorHAnsi"/>
                <w:b/>
                <w:bCs/>
                <w:sz w:val="24"/>
                <w:szCs w:val="24"/>
              </w:rPr>
              <w:t>NM CEI 61466-1</w:t>
            </w:r>
          </w:p>
        </w:tc>
      </w:tr>
      <w:tr w:rsidR="0043547B" w:rsidRPr="0043547B" w:rsidTr="009225AE">
        <w:trPr>
          <w:trHeight w:val="380"/>
          <w:jc w:val="center"/>
        </w:trPr>
        <w:tc>
          <w:tcPr>
            <w:tcW w:w="1843" w:type="dxa"/>
            <w:tcBorders>
              <w:top w:val="single" w:sz="18" w:space="0" w:color="auto"/>
              <w:left w:val="single" w:sz="18" w:space="0" w:color="auto"/>
              <w:bottom w:val="single" w:sz="4" w:space="0" w:color="auto"/>
              <w:right w:val="single" w:sz="4" w:space="0" w:color="auto"/>
            </w:tcBorders>
            <w:shd w:val="clear" w:color="auto" w:fill="FFFFCC"/>
            <w:vAlign w:val="center"/>
          </w:tcPr>
          <w:p w:rsidR="00C04DDE" w:rsidRPr="0043547B" w:rsidRDefault="00C04DDE" w:rsidP="00C04DDE">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bottom w:val="single" w:sz="4" w:space="0" w:color="auto"/>
              <w:right w:val="single" w:sz="18" w:space="0" w:color="auto"/>
            </w:tcBorders>
            <w:shd w:val="clear" w:color="auto" w:fill="FFFFCC"/>
            <w:vAlign w:val="center"/>
          </w:tcPr>
          <w:p w:rsidR="00C04DDE" w:rsidRPr="0043547B" w:rsidRDefault="00C04DDE" w:rsidP="00C04DDE">
            <w:pPr>
              <w:spacing w:after="0"/>
              <w:jc w:val="center"/>
              <w:rPr>
                <w:rFonts w:cstheme="minorHAnsi"/>
                <w:b/>
                <w:bCs/>
                <w:sz w:val="24"/>
                <w:szCs w:val="24"/>
              </w:rPr>
            </w:pPr>
            <w:r w:rsidRPr="0043547B">
              <w:rPr>
                <w:rFonts w:cstheme="minorHAnsi"/>
                <w:b/>
                <w:bCs/>
                <w:sz w:val="24"/>
                <w:szCs w:val="24"/>
              </w:rPr>
              <w:t>CEI 61466-1</w:t>
            </w:r>
          </w:p>
        </w:tc>
      </w:tr>
      <w:tr w:rsidR="0043547B" w:rsidRPr="0043547B" w:rsidTr="00A5428F">
        <w:trPr>
          <w:trHeight w:val="694"/>
          <w:jc w:val="center"/>
        </w:trPr>
        <w:tc>
          <w:tcPr>
            <w:tcW w:w="1843" w:type="dxa"/>
            <w:tcBorders>
              <w:top w:val="single" w:sz="4" w:space="0" w:color="auto"/>
              <w:left w:val="single" w:sz="18" w:space="0" w:color="auto"/>
              <w:bottom w:val="single" w:sz="4" w:space="0" w:color="auto"/>
              <w:right w:val="single" w:sz="4" w:space="0" w:color="auto"/>
            </w:tcBorders>
            <w:shd w:val="clear" w:color="auto" w:fill="95B3D7" w:themeFill="accent1" w:themeFillTint="99"/>
            <w:vAlign w:val="center"/>
          </w:tcPr>
          <w:p w:rsidR="00C04DDE" w:rsidRPr="0043547B" w:rsidRDefault="00C04DDE" w:rsidP="00C04DDE">
            <w:pPr>
              <w:spacing w:after="0"/>
              <w:jc w:val="center"/>
              <w:rPr>
                <w:rFonts w:cstheme="minorHAnsi"/>
                <w:b/>
                <w:bCs/>
                <w:sz w:val="24"/>
                <w:szCs w:val="24"/>
              </w:rPr>
            </w:pPr>
            <w:r w:rsidRPr="0043547B">
              <w:rPr>
                <w:rFonts w:cstheme="minorHAnsi"/>
                <w:b/>
                <w:bCs/>
                <w:sz w:val="24"/>
                <w:szCs w:val="24"/>
              </w:rPr>
              <w:t>Intitulé :</w:t>
            </w:r>
          </w:p>
        </w:tc>
        <w:tc>
          <w:tcPr>
            <w:tcW w:w="8080" w:type="dxa"/>
            <w:tcBorders>
              <w:top w:val="single" w:sz="4" w:space="0" w:color="auto"/>
              <w:left w:val="single" w:sz="4" w:space="0" w:color="auto"/>
              <w:bottom w:val="single" w:sz="4" w:space="0" w:color="auto"/>
              <w:right w:val="single" w:sz="18" w:space="0" w:color="auto"/>
            </w:tcBorders>
            <w:shd w:val="clear" w:color="auto" w:fill="auto"/>
            <w:vAlign w:val="bottom"/>
          </w:tcPr>
          <w:p w:rsidR="00C04DDE" w:rsidRPr="0043547B" w:rsidRDefault="00C04DDE" w:rsidP="00C04DDE">
            <w:pPr>
              <w:spacing w:after="0"/>
              <w:jc w:val="both"/>
              <w:rPr>
                <w:rFonts w:cstheme="minorHAnsi"/>
                <w:sz w:val="24"/>
                <w:szCs w:val="24"/>
              </w:rPr>
            </w:pPr>
            <w:r w:rsidRPr="0043547B">
              <w:rPr>
                <w:rFonts w:cstheme="minorHAnsi"/>
                <w:sz w:val="24"/>
                <w:szCs w:val="24"/>
              </w:rPr>
              <w:t>Isolateurs composites pour lignes aériennes de tension nominale supérieure à 1000 V - Partie 1 : Classes mécaniques et accrochages d'extrémité standards</w:t>
            </w:r>
          </w:p>
        </w:tc>
      </w:tr>
      <w:tr w:rsidR="0043547B" w:rsidRPr="0043547B" w:rsidTr="009225AE">
        <w:trPr>
          <w:trHeight w:val="559"/>
          <w:jc w:val="center"/>
        </w:trPr>
        <w:tc>
          <w:tcPr>
            <w:tcW w:w="1843" w:type="dxa"/>
            <w:tcBorders>
              <w:top w:val="single" w:sz="4" w:space="0" w:color="auto"/>
              <w:left w:val="single" w:sz="18" w:space="0" w:color="auto"/>
              <w:bottom w:val="single" w:sz="18" w:space="0" w:color="auto"/>
              <w:right w:val="single" w:sz="4" w:space="0" w:color="auto"/>
            </w:tcBorders>
            <w:shd w:val="clear" w:color="000000" w:fill="D9D9D9"/>
            <w:vAlign w:val="center"/>
          </w:tcPr>
          <w:p w:rsidR="00C04DDE" w:rsidRPr="0043547B" w:rsidRDefault="00C04DDE" w:rsidP="00C04DDE">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top w:val="single" w:sz="4" w:space="0" w:color="auto"/>
              <w:left w:val="single" w:sz="4" w:space="0" w:color="auto"/>
              <w:bottom w:val="single" w:sz="18" w:space="0" w:color="auto"/>
              <w:right w:val="single" w:sz="18" w:space="0" w:color="auto"/>
            </w:tcBorders>
            <w:shd w:val="clear" w:color="auto" w:fill="auto"/>
            <w:vAlign w:val="bottom"/>
          </w:tcPr>
          <w:p w:rsidR="00C04DDE" w:rsidRPr="0043547B" w:rsidRDefault="00C04DDE" w:rsidP="00363C14">
            <w:pPr>
              <w:spacing w:after="0" w:line="240" w:lineRule="auto"/>
              <w:jc w:val="both"/>
              <w:rPr>
                <w:rFonts w:cstheme="minorHAnsi"/>
                <w:sz w:val="24"/>
                <w:szCs w:val="24"/>
              </w:rPr>
            </w:pPr>
            <w:r w:rsidRPr="0043547B">
              <w:rPr>
                <w:rFonts w:cstheme="minorHAnsi"/>
                <w:sz w:val="24"/>
                <w:szCs w:val="24"/>
              </w:rPr>
              <w:t>La présente norme s'applique aux isolateurs composites pour les lignes aériennes de tension nominale supérieure à 1 000 V à courant alternatif de fréquence inférieure ou égale à 100 Hz.</w:t>
            </w:r>
          </w:p>
          <w:p w:rsidR="009225AE" w:rsidRPr="0043547B" w:rsidRDefault="009225AE" w:rsidP="009225AE">
            <w:pPr>
              <w:spacing w:after="0" w:line="240" w:lineRule="auto"/>
              <w:jc w:val="both"/>
              <w:rPr>
                <w:rFonts w:cstheme="minorHAnsi"/>
                <w:sz w:val="24"/>
                <w:szCs w:val="24"/>
              </w:rPr>
            </w:pPr>
            <w:r w:rsidRPr="0043547B">
              <w:rPr>
                <w:rFonts w:cstheme="minorHAnsi"/>
                <w:sz w:val="24"/>
                <w:szCs w:val="24"/>
              </w:rPr>
              <w:t>Elle s'applique également aux isolateurs de conception identique utilisés dans les postes de transformation ou sur des lignes de traction.</w:t>
            </w:r>
          </w:p>
          <w:p w:rsidR="009225AE" w:rsidRPr="0043547B" w:rsidRDefault="009225AE" w:rsidP="009225AE">
            <w:pPr>
              <w:spacing w:after="0" w:line="240" w:lineRule="auto"/>
              <w:jc w:val="both"/>
              <w:rPr>
                <w:rFonts w:cstheme="minorHAnsi"/>
                <w:sz w:val="24"/>
                <w:szCs w:val="24"/>
              </w:rPr>
            </w:pPr>
            <w:r w:rsidRPr="0043547B">
              <w:rPr>
                <w:rFonts w:cstheme="minorHAnsi"/>
                <w:sz w:val="24"/>
                <w:szCs w:val="24"/>
              </w:rPr>
              <w:t>Cette norme s'applique à des isolateurs composites équipés d'accrochages de type rotule, logement de rotule, chape, tenon, chape en Y ou de type œillet, ou à une combinaison de ces types d’accrochages.</w:t>
            </w:r>
          </w:p>
          <w:p w:rsidR="009D5CCE" w:rsidRPr="0043547B" w:rsidRDefault="009225AE" w:rsidP="009225AE">
            <w:pPr>
              <w:spacing w:after="0" w:line="240" w:lineRule="auto"/>
              <w:jc w:val="both"/>
              <w:rPr>
                <w:rFonts w:cstheme="minorHAnsi"/>
                <w:sz w:val="24"/>
                <w:szCs w:val="24"/>
              </w:rPr>
            </w:pPr>
            <w:r w:rsidRPr="0043547B">
              <w:rPr>
                <w:rFonts w:cstheme="minorHAnsi"/>
                <w:sz w:val="24"/>
                <w:szCs w:val="24"/>
              </w:rPr>
              <w:t xml:space="preserve">Cette norme a pour objet de prescrire les valeurs spécifiées des caractéristiques mécaniques des isolateurs composites et de définir les dimensions principales de leurs extrémités afin de permettre l'assemblage d'isolateurs et d'accessoires </w:t>
            </w:r>
            <w:r w:rsidRPr="0043547B">
              <w:rPr>
                <w:rFonts w:cstheme="minorHAnsi"/>
                <w:sz w:val="24"/>
                <w:szCs w:val="24"/>
              </w:rPr>
              <w:lastRenderedPageBreak/>
              <w:t>provenant de différents fabricants et, lorsque cela est possible, d'autoriser leur interchangeabilité sur des installations existantes.</w:t>
            </w:r>
          </w:p>
        </w:tc>
      </w:tr>
      <w:tr w:rsidR="0043547B" w:rsidRPr="0043547B" w:rsidTr="00CB5DC0">
        <w:trPr>
          <w:trHeight w:val="398"/>
          <w:jc w:val="center"/>
        </w:trPr>
        <w:tc>
          <w:tcPr>
            <w:tcW w:w="1843" w:type="dxa"/>
            <w:tcBorders>
              <w:top w:val="nil"/>
              <w:left w:val="single" w:sz="18" w:space="0" w:color="auto"/>
              <w:bottom w:val="single" w:sz="18" w:space="0" w:color="auto"/>
              <w:right w:val="single" w:sz="4" w:space="0" w:color="auto"/>
            </w:tcBorders>
            <w:shd w:val="clear" w:color="auto" w:fill="9BBB59" w:themeFill="accent3"/>
            <w:vAlign w:val="center"/>
          </w:tcPr>
          <w:p w:rsidR="00C04DDE" w:rsidRPr="0043547B" w:rsidRDefault="00C04DDE" w:rsidP="00C04DDE">
            <w:pPr>
              <w:spacing w:after="0"/>
              <w:jc w:val="center"/>
              <w:rPr>
                <w:rFonts w:cstheme="minorHAnsi"/>
                <w:b/>
                <w:bCs/>
                <w:sz w:val="24"/>
                <w:szCs w:val="24"/>
              </w:rPr>
            </w:pPr>
            <w:r w:rsidRPr="0043547B">
              <w:rPr>
                <w:rFonts w:cstheme="minorHAnsi"/>
                <w:b/>
                <w:bCs/>
                <w:sz w:val="24"/>
                <w:szCs w:val="24"/>
              </w:rPr>
              <w:lastRenderedPageBreak/>
              <w:t>Code :</w:t>
            </w:r>
          </w:p>
        </w:tc>
        <w:tc>
          <w:tcPr>
            <w:tcW w:w="8080" w:type="dxa"/>
            <w:tcBorders>
              <w:top w:val="single" w:sz="4" w:space="0" w:color="auto"/>
              <w:left w:val="single" w:sz="4" w:space="0" w:color="auto"/>
              <w:bottom w:val="single" w:sz="18" w:space="0" w:color="auto"/>
              <w:right w:val="single" w:sz="18" w:space="0" w:color="auto"/>
            </w:tcBorders>
            <w:shd w:val="clear" w:color="auto" w:fill="9BBB59" w:themeFill="accent3"/>
            <w:vAlign w:val="center"/>
          </w:tcPr>
          <w:p w:rsidR="00C04DDE" w:rsidRPr="0043547B" w:rsidRDefault="00C04DDE" w:rsidP="00C04DDE">
            <w:pPr>
              <w:spacing w:after="0"/>
              <w:jc w:val="center"/>
              <w:rPr>
                <w:rFonts w:cstheme="minorHAnsi"/>
                <w:b/>
                <w:bCs/>
                <w:sz w:val="24"/>
                <w:szCs w:val="24"/>
              </w:rPr>
            </w:pPr>
            <w:r w:rsidRPr="0043547B">
              <w:rPr>
                <w:rFonts w:cstheme="minorHAnsi"/>
                <w:b/>
                <w:bCs/>
                <w:sz w:val="24"/>
                <w:szCs w:val="24"/>
              </w:rPr>
              <w:t>NM CEI 61466-2</w:t>
            </w:r>
          </w:p>
        </w:tc>
      </w:tr>
      <w:tr w:rsidR="0043547B" w:rsidRPr="0043547B" w:rsidTr="00A744C1">
        <w:trPr>
          <w:trHeight w:val="390"/>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tcPr>
          <w:p w:rsidR="00C04DDE" w:rsidRPr="0043547B" w:rsidRDefault="00C04DDE" w:rsidP="00C04DDE">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bottom w:val="single" w:sz="4" w:space="0" w:color="auto"/>
              <w:right w:val="single" w:sz="18" w:space="0" w:color="auto"/>
            </w:tcBorders>
            <w:shd w:val="clear" w:color="auto" w:fill="FFFF99"/>
            <w:vAlign w:val="center"/>
          </w:tcPr>
          <w:p w:rsidR="00C04DDE" w:rsidRPr="0043547B" w:rsidRDefault="00C04DDE" w:rsidP="00C04DDE">
            <w:pPr>
              <w:spacing w:after="0"/>
              <w:jc w:val="center"/>
              <w:rPr>
                <w:rFonts w:cstheme="minorHAnsi"/>
                <w:b/>
                <w:bCs/>
                <w:sz w:val="24"/>
                <w:szCs w:val="24"/>
              </w:rPr>
            </w:pPr>
            <w:r w:rsidRPr="0043547B">
              <w:rPr>
                <w:rFonts w:cstheme="minorHAnsi"/>
                <w:b/>
                <w:bCs/>
                <w:sz w:val="24"/>
                <w:szCs w:val="24"/>
              </w:rPr>
              <w:t>CEI 61466-2</w:t>
            </w:r>
          </w:p>
        </w:tc>
      </w:tr>
      <w:tr w:rsidR="0043547B" w:rsidRPr="0043547B" w:rsidTr="00A5428F">
        <w:trPr>
          <w:trHeight w:val="510"/>
          <w:jc w:val="center"/>
        </w:trPr>
        <w:tc>
          <w:tcPr>
            <w:tcW w:w="1843" w:type="dxa"/>
            <w:tcBorders>
              <w:top w:val="single" w:sz="4" w:space="0" w:color="auto"/>
              <w:left w:val="single" w:sz="18" w:space="0" w:color="auto"/>
              <w:bottom w:val="single" w:sz="4" w:space="0" w:color="auto"/>
              <w:right w:val="single" w:sz="4" w:space="0" w:color="auto"/>
            </w:tcBorders>
            <w:shd w:val="clear" w:color="auto" w:fill="95B3D7" w:themeFill="accent1" w:themeFillTint="99"/>
            <w:vAlign w:val="center"/>
          </w:tcPr>
          <w:p w:rsidR="00C04DDE" w:rsidRPr="0043547B" w:rsidRDefault="00C04DDE" w:rsidP="00C04DDE">
            <w:pPr>
              <w:spacing w:after="0"/>
              <w:jc w:val="center"/>
              <w:rPr>
                <w:rFonts w:cstheme="minorHAnsi"/>
                <w:b/>
                <w:bCs/>
                <w:sz w:val="24"/>
                <w:szCs w:val="24"/>
              </w:rPr>
            </w:pPr>
            <w:r w:rsidRPr="0043547B">
              <w:rPr>
                <w:rFonts w:cstheme="minorHAnsi"/>
                <w:b/>
                <w:bCs/>
                <w:sz w:val="24"/>
                <w:szCs w:val="24"/>
              </w:rPr>
              <w:t>Intitulé :</w:t>
            </w:r>
          </w:p>
        </w:tc>
        <w:tc>
          <w:tcPr>
            <w:tcW w:w="8080" w:type="dxa"/>
            <w:tcBorders>
              <w:top w:val="single" w:sz="4" w:space="0" w:color="auto"/>
              <w:left w:val="single" w:sz="4" w:space="0" w:color="auto"/>
              <w:bottom w:val="single" w:sz="4" w:space="0" w:color="auto"/>
              <w:right w:val="single" w:sz="18" w:space="0" w:color="auto"/>
            </w:tcBorders>
            <w:shd w:val="clear" w:color="auto" w:fill="auto"/>
            <w:vAlign w:val="bottom"/>
          </w:tcPr>
          <w:p w:rsidR="00C04DDE" w:rsidRPr="0043547B" w:rsidRDefault="00C04DDE" w:rsidP="00C04DDE">
            <w:pPr>
              <w:spacing w:after="0"/>
              <w:jc w:val="both"/>
              <w:rPr>
                <w:rFonts w:cstheme="minorHAnsi"/>
                <w:sz w:val="24"/>
                <w:szCs w:val="24"/>
              </w:rPr>
            </w:pPr>
            <w:r w:rsidRPr="0043547B">
              <w:rPr>
                <w:rFonts w:cstheme="minorHAnsi"/>
                <w:sz w:val="24"/>
                <w:szCs w:val="24"/>
              </w:rPr>
              <w:t>Isolateurs composites destinés aux lignes aériennes de tension nominale supérieure à 1000 V - Partie 2 : Caractéristiques dimensionnelles et électriques</w:t>
            </w:r>
          </w:p>
        </w:tc>
      </w:tr>
      <w:tr w:rsidR="0043547B" w:rsidRPr="0043547B" w:rsidTr="009D5CCE">
        <w:trPr>
          <w:trHeight w:val="3046"/>
          <w:jc w:val="center"/>
        </w:trPr>
        <w:tc>
          <w:tcPr>
            <w:tcW w:w="1843" w:type="dxa"/>
            <w:tcBorders>
              <w:top w:val="single" w:sz="4" w:space="0" w:color="auto"/>
              <w:left w:val="single" w:sz="18" w:space="0" w:color="auto"/>
              <w:bottom w:val="single" w:sz="18" w:space="0" w:color="auto"/>
              <w:right w:val="single" w:sz="4" w:space="0" w:color="auto"/>
            </w:tcBorders>
            <w:shd w:val="clear" w:color="000000" w:fill="D9D9D9"/>
            <w:vAlign w:val="center"/>
          </w:tcPr>
          <w:p w:rsidR="00C04DDE" w:rsidRPr="0043547B" w:rsidRDefault="00C04DDE" w:rsidP="00C04DDE">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top w:val="single" w:sz="4" w:space="0" w:color="auto"/>
              <w:left w:val="single" w:sz="4" w:space="0" w:color="auto"/>
              <w:bottom w:val="single" w:sz="18" w:space="0" w:color="auto"/>
              <w:right w:val="single" w:sz="18" w:space="0" w:color="auto"/>
            </w:tcBorders>
            <w:shd w:val="clear" w:color="auto" w:fill="auto"/>
            <w:vAlign w:val="bottom"/>
          </w:tcPr>
          <w:p w:rsidR="008C5C4C" w:rsidRPr="0043547B" w:rsidRDefault="00C04DDE" w:rsidP="00363C14">
            <w:pPr>
              <w:spacing w:after="0" w:line="240" w:lineRule="auto"/>
              <w:jc w:val="both"/>
              <w:rPr>
                <w:rFonts w:cstheme="minorHAnsi"/>
                <w:sz w:val="24"/>
                <w:szCs w:val="24"/>
              </w:rPr>
            </w:pPr>
            <w:r w:rsidRPr="0043547B">
              <w:rPr>
                <w:rFonts w:cstheme="minorHAnsi"/>
                <w:sz w:val="24"/>
                <w:szCs w:val="24"/>
              </w:rPr>
              <w:t>Cette norme s'applique aux isolateurs composites de suspension de charge mécanique spécifiée (CMS) de 40 kN à 210 kN, destinés aux li</w:t>
            </w:r>
            <w:r w:rsidR="008C5C4C" w:rsidRPr="0043547B">
              <w:rPr>
                <w:rFonts w:cstheme="minorHAnsi"/>
                <w:sz w:val="24"/>
                <w:szCs w:val="24"/>
              </w:rPr>
              <w:t>gnes aériennes en courant alter</w:t>
            </w:r>
            <w:r w:rsidRPr="0043547B">
              <w:rPr>
                <w:rFonts w:cstheme="minorHAnsi"/>
                <w:sz w:val="24"/>
                <w:szCs w:val="24"/>
              </w:rPr>
              <w:t>natif de tension nominale supérieure à 1 000 V et de fréquence inférieure ou égale à 100 Hz.</w:t>
            </w:r>
          </w:p>
          <w:p w:rsidR="008C5C4C" w:rsidRPr="0043547B" w:rsidRDefault="00C04DDE" w:rsidP="00363C14">
            <w:pPr>
              <w:spacing w:after="0" w:line="240" w:lineRule="auto"/>
              <w:jc w:val="both"/>
              <w:rPr>
                <w:rFonts w:cstheme="minorHAnsi"/>
                <w:sz w:val="24"/>
                <w:szCs w:val="24"/>
              </w:rPr>
            </w:pPr>
            <w:r w:rsidRPr="0043547B">
              <w:rPr>
                <w:rFonts w:cstheme="minorHAnsi"/>
                <w:sz w:val="24"/>
                <w:szCs w:val="24"/>
              </w:rPr>
              <w:t xml:space="preserve">Elle est également applicable à des isolateurs similaires utilisés dans les postes de </w:t>
            </w:r>
            <w:r w:rsidR="008C5C4C" w:rsidRPr="0043547B">
              <w:rPr>
                <w:rFonts w:cstheme="minorHAnsi"/>
                <w:sz w:val="24"/>
                <w:szCs w:val="24"/>
              </w:rPr>
              <w:t xml:space="preserve">                  trans</w:t>
            </w:r>
            <w:r w:rsidRPr="0043547B">
              <w:rPr>
                <w:rFonts w:cstheme="minorHAnsi"/>
                <w:sz w:val="24"/>
                <w:szCs w:val="24"/>
              </w:rPr>
              <w:t>formation ou pour des applications ferroviaires.</w:t>
            </w:r>
          </w:p>
          <w:p w:rsidR="008C5C4C" w:rsidRPr="0043547B" w:rsidRDefault="00C04DDE" w:rsidP="00363C14">
            <w:pPr>
              <w:spacing w:after="0" w:line="240" w:lineRule="auto"/>
              <w:jc w:val="both"/>
              <w:rPr>
                <w:rFonts w:cstheme="minorHAnsi"/>
                <w:sz w:val="24"/>
                <w:szCs w:val="24"/>
              </w:rPr>
            </w:pPr>
            <w:r w:rsidRPr="0043547B">
              <w:rPr>
                <w:rFonts w:cstheme="minorHAnsi"/>
                <w:sz w:val="24"/>
                <w:szCs w:val="24"/>
              </w:rPr>
              <w:t>Cette norme s’applique aux éléments de chaîne d’isolateurs de type composite dont les extrémités sont conformes à la CEI 61466-1.</w:t>
            </w:r>
          </w:p>
          <w:p w:rsidR="00C04DDE" w:rsidRPr="0043547B" w:rsidRDefault="00C04DDE" w:rsidP="00363C14">
            <w:pPr>
              <w:spacing w:after="0" w:line="240" w:lineRule="auto"/>
              <w:jc w:val="both"/>
              <w:rPr>
                <w:rFonts w:cstheme="minorHAnsi"/>
                <w:sz w:val="24"/>
                <w:szCs w:val="24"/>
              </w:rPr>
            </w:pPr>
            <w:r w:rsidRPr="0043547B">
              <w:rPr>
                <w:rFonts w:cstheme="minorHAnsi"/>
                <w:sz w:val="24"/>
                <w:szCs w:val="24"/>
              </w:rPr>
              <w:t>Cette norme prescrit les valeurs spécifiées des caractéristiques électriques et dimensionnelles des isolateurs composites pour lignes aériennes, de tenue aux chocs de foudre n'excédant pas 1 050 kV et de charge mécanique spécifiée (CMS) de 40 kN à 210 kN.</w:t>
            </w:r>
          </w:p>
        </w:tc>
      </w:tr>
      <w:tr w:rsidR="0043547B" w:rsidRPr="0043547B" w:rsidTr="00CB5DC0">
        <w:trPr>
          <w:trHeight w:val="383"/>
          <w:jc w:val="center"/>
        </w:trPr>
        <w:tc>
          <w:tcPr>
            <w:tcW w:w="1843" w:type="dxa"/>
            <w:tcBorders>
              <w:top w:val="nil"/>
              <w:left w:val="single" w:sz="18" w:space="0" w:color="auto"/>
              <w:bottom w:val="single" w:sz="18" w:space="0" w:color="auto"/>
              <w:right w:val="single" w:sz="4" w:space="0" w:color="auto"/>
            </w:tcBorders>
            <w:shd w:val="clear" w:color="auto" w:fill="9BBB59" w:themeFill="accent3"/>
            <w:vAlign w:val="center"/>
          </w:tcPr>
          <w:p w:rsidR="00C04DDE" w:rsidRPr="0043547B" w:rsidRDefault="00C04DDE" w:rsidP="00C04DDE">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4" w:space="0" w:color="auto"/>
              <w:left w:val="single" w:sz="4" w:space="0" w:color="auto"/>
              <w:bottom w:val="single" w:sz="18" w:space="0" w:color="auto"/>
              <w:right w:val="single" w:sz="18" w:space="0" w:color="auto"/>
            </w:tcBorders>
            <w:shd w:val="clear" w:color="auto" w:fill="9BBB59" w:themeFill="accent3"/>
            <w:vAlign w:val="center"/>
          </w:tcPr>
          <w:p w:rsidR="00C04DDE" w:rsidRPr="0043547B" w:rsidRDefault="00C04DDE" w:rsidP="008C5C4C">
            <w:pPr>
              <w:spacing w:after="0"/>
              <w:jc w:val="center"/>
              <w:rPr>
                <w:rFonts w:cstheme="minorHAnsi"/>
                <w:b/>
                <w:bCs/>
                <w:sz w:val="24"/>
                <w:szCs w:val="24"/>
              </w:rPr>
            </w:pPr>
            <w:r w:rsidRPr="0043547B">
              <w:rPr>
                <w:rFonts w:cstheme="minorHAnsi"/>
                <w:b/>
                <w:bCs/>
                <w:sz w:val="24"/>
                <w:szCs w:val="24"/>
              </w:rPr>
              <w:t>NM CEI 62217</w:t>
            </w:r>
          </w:p>
        </w:tc>
      </w:tr>
      <w:tr w:rsidR="0043547B" w:rsidRPr="0043547B" w:rsidTr="00A744C1">
        <w:trPr>
          <w:trHeight w:val="383"/>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tcPr>
          <w:p w:rsidR="00C04DDE" w:rsidRPr="0043547B" w:rsidRDefault="00C04DDE" w:rsidP="00C04DDE">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bottom w:val="single" w:sz="4" w:space="0" w:color="auto"/>
              <w:right w:val="single" w:sz="18" w:space="0" w:color="auto"/>
            </w:tcBorders>
            <w:shd w:val="clear" w:color="auto" w:fill="FFFF99"/>
            <w:vAlign w:val="center"/>
          </w:tcPr>
          <w:p w:rsidR="00C04DDE" w:rsidRPr="0043547B" w:rsidRDefault="00C04DDE" w:rsidP="008C5C4C">
            <w:pPr>
              <w:spacing w:after="0"/>
              <w:jc w:val="center"/>
              <w:rPr>
                <w:rFonts w:cstheme="minorHAnsi"/>
                <w:b/>
                <w:bCs/>
                <w:sz w:val="24"/>
                <w:szCs w:val="24"/>
              </w:rPr>
            </w:pPr>
            <w:r w:rsidRPr="0043547B">
              <w:rPr>
                <w:rFonts w:cstheme="minorHAnsi"/>
                <w:b/>
                <w:bCs/>
                <w:sz w:val="24"/>
                <w:szCs w:val="24"/>
              </w:rPr>
              <w:t>CEI 62217</w:t>
            </w:r>
          </w:p>
        </w:tc>
      </w:tr>
      <w:tr w:rsidR="0043547B" w:rsidRPr="0043547B" w:rsidTr="00A5428F">
        <w:trPr>
          <w:trHeight w:val="694"/>
          <w:jc w:val="center"/>
        </w:trPr>
        <w:tc>
          <w:tcPr>
            <w:tcW w:w="1843" w:type="dxa"/>
            <w:tcBorders>
              <w:top w:val="single" w:sz="4" w:space="0" w:color="auto"/>
              <w:left w:val="single" w:sz="18" w:space="0" w:color="auto"/>
              <w:bottom w:val="single" w:sz="4" w:space="0" w:color="auto"/>
              <w:right w:val="single" w:sz="4" w:space="0" w:color="auto"/>
            </w:tcBorders>
            <w:shd w:val="clear" w:color="auto" w:fill="95B3D7" w:themeFill="accent1" w:themeFillTint="99"/>
            <w:vAlign w:val="center"/>
          </w:tcPr>
          <w:p w:rsidR="00C04DDE" w:rsidRPr="0043547B" w:rsidRDefault="00C04DDE" w:rsidP="00C04DDE">
            <w:pPr>
              <w:spacing w:after="0"/>
              <w:jc w:val="center"/>
              <w:rPr>
                <w:rFonts w:cstheme="minorHAnsi"/>
                <w:b/>
                <w:bCs/>
                <w:sz w:val="24"/>
                <w:szCs w:val="24"/>
              </w:rPr>
            </w:pPr>
            <w:r w:rsidRPr="0043547B">
              <w:rPr>
                <w:rFonts w:cstheme="minorHAnsi"/>
                <w:b/>
                <w:bCs/>
                <w:sz w:val="24"/>
                <w:szCs w:val="24"/>
              </w:rPr>
              <w:t>Intitulé :</w:t>
            </w:r>
          </w:p>
        </w:tc>
        <w:tc>
          <w:tcPr>
            <w:tcW w:w="8080" w:type="dxa"/>
            <w:tcBorders>
              <w:top w:val="single" w:sz="4" w:space="0" w:color="auto"/>
              <w:left w:val="single" w:sz="4" w:space="0" w:color="auto"/>
              <w:bottom w:val="single" w:sz="4" w:space="0" w:color="auto"/>
              <w:right w:val="single" w:sz="18" w:space="0" w:color="auto"/>
            </w:tcBorders>
            <w:shd w:val="clear" w:color="auto" w:fill="auto"/>
            <w:vAlign w:val="bottom"/>
          </w:tcPr>
          <w:p w:rsidR="00C04DDE" w:rsidRPr="0043547B" w:rsidRDefault="00C04DDE" w:rsidP="00363C14">
            <w:pPr>
              <w:spacing w:after="0" w:line="240" w:lineRule="auto"/>
              <w:jc w:val="both"/>
              <w:rPr>
                <w:rFonts w:cstheme="minorHAnsi"/>
                <w:sz w:val="24"/>
                <w:szCs w:val="24"/>
              </w:rPr>
            </w:pPr>
            <w:r w:rsidRPr="0043547B">
              <w:rPr>
                <w:rFonts w:cstheme="minorHAnsi"/>
                <w:sz w:val="24"/>
                <w:szCs w:val="24"/>
              </w:rPr>
              <w:t xml:space="preserve">Isolateurs polymériques pour utilisation à l'intérieur ou à l'extérieur à une tension nominale " 1 000 V - Définitions générales, méthodes d'essai et critères d'acceptation - Isolateurs polymériques pour utilisation à l'intérieur ou à l'extérieur à une tension nominale &gt; 1000 V </w:t>
            </w:r>
          </w:p>
        </w:tc>
      </w:tr>
      <w:tr w:rsidR="0043547B" w:rsidRPr="0043547B" w:rsidTr="00EB3D13">
        <w:trPr>
          <w:trHeight w:val="1241"/>
          <w:jc w:val="center"/>
        </w:trPr>
        <w:tc>
          <w:tcPr>
            <w:tcW w:w="1843" w:type="dxa"/>
            <w:tcBorders>
              <w:top w:val="single" w:sz="4" w:space="0" w:color="auto"/>
              <w:left w:val="single" w:sz="18" w:space="0" w:color="auto"/>
              <w:bottom w:val="single" w:sz="18" w:space="0" w:color="auto"/>
              <w:right w:val="single" w:sz="4" w:space="0" w:color="auto"/>
            </w:tcBorders>
            <w:shd w:val="clear" w:color="000000" w:fill="D9D9D9"/>
            <w:vAlign w:val="center"/>
          </w:tcPr>
          <w:p w:rsidR="00C04DDE" w:rsidRPr="0043547B" w:rsidRDefault="00C04DDE" w:rsidP="00C04DDE">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top w:val="single" w:sz="4" w:space="0" w:color="auto"/>
              <w:left w:val="single" w:sz="4" w:space="0" w:color="auto"/>
              <w:bottom w:val="single" w:sz="18" w:space="0" w:color="auto"/>
              <w:right w:val="single" w:sz="18" w:space="0" w:color="auto"/>
            </w:tcBorders>
            <w:shd w:val="clear" w:color="auto" w:fill="auto"/>
            <w:vAlign w:val="bottom"/>
          </w:tcPr>
          <w:p w:rsidR="00EB3D13" w:rsidRPr="0043547B" w:rsidRDefault="00EB3D13" w:rsidP="00EB3D13">
            <w:pPr>
              <w:spacing w:after="0" w:line="240" w:lineRule="auto"/>
              <w:jc w:val="both"/>
              <w:rPr>
                <w:rFonts w:cstheme="minorHAnsi"/>
                <w:sz w:val="24"/>
                <w:szCs w:val="24"/>
              </w:rPr>
            </w:pPr>
            <w:r w:rsidRPr="0043547B">
              <w:rPr>
                <w:rFonts w:cstheme="minorHAnsi"/>
                <w:sz w:val="24"/>
                <w:szCs w:val="24"/>
              </w:rPr>
              <w:t>La présente norme est applicable aux isolateurs polymériques dont le corps isolant se compose d’un ou de divers matériaux organiques. Les isolateurs polymériques traités dans la présente norme comprennent à la fois les isolateurs à fût plein et les isolateurs creux. Ils sont destinés à être utilisés sur des lignes aériennes HT et dans les appareils pour utilisation à l’intérieur ou à l’extérieur.</w:t>
            </w:r>
          </w:p>
          <w:p w:rsidR="00EB3D13" w:rsidRPr="0043547B" w:rsidRDefault="00EB3D13" w:rsidP="00EB3D13">
            <w:pPr>
              <w:spacing w:after="0" w:line="240" w:lineRule="auto"/>
              <w:jc w:val="both"/>
              <w:rPr>
                <w:rFonts w:cstheme="minorHAnsi"/>
                <w:sz w:val="24"/>
                <w:szCs w:val="24"/>
              </w:rPr>
            </w:pPr>
            <w:r w:rsidRPr="0043547B">
              <w:rPr>
                <w:rFonts w:cstheme="minorHAnsi"/>
                <w:sz w:val="24"/>
                <w:szCs w:val="24"/>
              </w:rPr>
              <w:t>L’objet de la présente norme est le suivant :</w:t>
            </w:r>
          </w:p>
          <w:p w:rsidR="00EB3D13" w:rsidRPr="0043547B" w:rsidRDefault="00EB3D13" w:rsidP="00EB3D13">
            <w:pPr>
              <w:spacing w:after="0" w:line="240" w:lineRule="auto"/>
              <w:jc w:val="both"/>
              <w:rPr>
                <w:rFonts w:cstheme="minorHAnsi"/>
                <w:sz w:val="24"/>
                <w:szCs w:val="24"/>
              </w:rPr>
            </w:pPr>
            <w:r w:rsidRPr="0043547B">
              <w:rPr>
                <w:rFonts w:cstheme="minorHAnsi"/>
                <w:sz w:val="24"/>
                <w:szCs w:val="24"/>
              </w:rPr>
              <w:t>– définir les termes communs utilisés pour les isolateurs polymériques ;</w:t>
            </w:r>
          </w:p>
          <w:p w:rsidR="00EB3D13" w:rsidRPr="0043547B" w:rsidRDefault="00EB3D13" w:rsidP="00EB3D13">
            <w:pPr>
              <w:spacing w:after="0" w:line="240" w:lineRule="auto"/>
              <w:jc w:val="both"/>
              <w:rPr>
                <w:rFonts w:cstheme="minorHAnsi"/>
                <w:sz w:val="24"/>
                <w:szCs w:val="24"/>
              </w:rPr>
            </w:pPr>
            <w:r w:rsidRPr="0043547B">
              <w:rPr>
                <w:rFonts w:cstheme="minorHAnsi"/>
                <w:sz w:val="24"/>
                <w:szCs w:val="24"/>
              </w:rPr>
              <w:t>– prescrire des méthodes d’essai communes pour les essais de conception sur les isolateurs polymériques ;</w:t>
            </w:r>
          </w:p>
          <w:p w:rsidR="00EB3D13" w:rsidRPr="0043547B" w:rsidRDefault="00EB3D13" w:rsidP="00EB3D13">
            <w:pPr>
              <w:spacing w:after="0" w:line="240" w:lineRule="auto"/>
              <w:jc w:val="both"/>
              <w:rPr>
                <w:rFonts w:cstheme="minorHAnsi"/>
                <w:sz w:val="24"/>
                <w:szCs w:val="24"/>
              </w:rPr>
            </w:pPr>
            <w:r w:rsidRPr="0043547B">
              <w:rPr>
                <w:rFonts w:cstheme="minorHAnsi"/>
                <w:sz w:val="24"/>
                <w:szCs w:val="24"/>
              </w:rPr>
              <w:t xml:space="preserve">– prescrire des critères d’acceptation ou de défaillance, le cas échéant ; </w:t>
            </w:r>
          </w:p>
          <w:p w:rsidR="00C04DDE" w:rsidRPr="0043547B" w:rsidRDefault="00C04DDE" w:rsidP="00363C14">
            <w:pPr>
              <w:spacing w:after="0" w:line="240" w:lineRule="auto"/>
              <w:jc w:val="both"/>
              <w:rPr>
                <w:rFonts w:cstheme="minorHAnsi"/>
                <w:sz w:val="24"/>
                <w:szCs w:val="24"/>
              </w:rPr>
            </w:pPr>
            <w:r w:rsidRPr="0043547B">
              <w:rPr>
                <w:rFonts w:cstheme="minorHAnsi"/>
                <w:sz w:val="24"/>
                <w:szCs w:val="24"/>
              </w:rPr>
              <w:t>Ces essais, critères et recommandations sont destinés à assurer une durée de vie satisfaisante dans des conditions normales de fonctionnement et d’environnement (voir l’article 5). La présente norme ne doit être appliquée que conjointement avec la norme de produit applicable</w:t>
            </w:r>
          </w:p>
        </w:tc>
      </w:tr>
      <w:tr w:rsidR="0043547B" w:rsidRPr="0043547B" w:rsidTr="00CB5DC0">
        <w:trPr>
          <w:trHeight w:val="440"/>
          <w:jc w:val="center"/>
        </w:trPr>
        <w:tc>
          <w:tcPr>
            <w:tcW w:w="1843" w:type="dxa"/>
            <w:tcBorders>
              <w:top w:val="nil"/>
              <w:left w:val="single" w:sz="18" w:space="0" w:color="auto"/>
              <w:bottom w:val="single" w:sz="18" w:space="0" w:color="auto"/>
              <w:right w:val="single" w:sz="4" w:space="0" w:color="auto"/>
            </w:tcBorders>
            <w:shd w:val="clear" w:color="auto" w:fill="9BBB59" w:themeFill="accent3"/>
            <w:vAlign w:val="center"/>
          </w:tcPr>
          <w:p w:rsidR="00C04DDE" w:rsidRPr="0043547B" w:rsidRDefault="00C04DDE" w:rsidP="00C04DDE">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4" w:space="0" w:color="auto"/>
              <w:left w:val="single" w:sz="4" w:space="0" w:color="auto"/>
              <w:bottom w:val="single" w:sz="18" w:space="0" w:color="auto"/>
              <w:right w:val="single" w:sz="18" w:space="0" w:color="auto"/>
            </w:tcBorders>
            <w:shd w:val="clear" w:color="auto" w:fill="9BBB59" w:themeFill="accent3"/>
            <w:vAlign w:val="center"/>
          </w:tcPr>
          <w:p w:rsidR="00C04DDE" w:rsidRPr="0043547B" w:rsidRDefault="00C04DDE" w:rsidP="008C5C4C">
            <w:pPr>
              <w:spacing w:after="0"/>
              <w:jc w:val="center"/>
              <w:rPr>
                <w:rFonts w:cstheme="minorHAnsi"/>
                <w:b/>
                <w:bCs/>
                <w:sz w:val="24"/>
                <w:szCs w:val="24"/>
              </w:rPr>
            </w:pPr>
            <w:r w:rsidRPr="0043547B">
              <w:rPr>
                <w:rFonts w:cstheme="minorHAnsi"/>
                <w:b/>
                <w:bCs/>
                <w:sz w:val="24"/>
                <w:szCs w:val="24"/>
              </w:rPr>
              <w:t>NM EN 61995-1</w:t>
            </w:r>
          </w:p>
        </w:tc>
      </w:tr>
      <w:tr w:rsidR="0043547B" w:rsidRPr="0043547B" w:rsidTr="00A744C1">
        <w:trPr>
          <w:trHeight w:val="362"/>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tcPr>
          <w:p w:rsidR="00C04DDE" w:rsidRPr="0043547B" w:rsidRDefault="00C04DDE" w:rsidP="00C04DDE">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bottom w:val="single" w:sz="4" w:space="0" w:color="auto"/>
              <w:right w:val="single" w:sz="18" w:space="0" w:color="auto"/>
            </w:tcBorders>
            <w:shd w:val="clear" w:color="auto" w:fill="FFFF99"/>
            <w:vAlign w:val="center"/>
          </w:tcPr>
          <w:p w:rsidR="00C04DDE" w:rsidRPr="0043547B" w:rsidRDefault="00C04DDE" w:rsidP="008C5C4C">
            <w:pPr>
              <w:spacing w:after="0"/>
              <w:jc w:val="center"/>
              <w:rPr>
                <w:rFonts w:cstheme="minorHAnsi"/>
                <w:b/>
                <w:bCs/>
                <w:sz w:val="24"/>
                <w:szCs w:val="24"/>
              </w:rPr>
            </w:pPr>
            <w:r w:rsidRPr="0043547B">
              <w:rPr>
                <w:rFonts w:cstheme="minorHAnsi"/>
                <w:b/>
                <w:bCs/>
                <w:sz w:val="24"/>
                <w:szCs w:val="24"/>
              </w:rPr>
              <w:t>EN 61995-1</w:t>
            </w:r>
          </w:p>
        </w:tc>
      </w:tr>
      <w:tr w:rsidR="0043547B" w:rsidRPr="0043547B" w:rsidTr="00A744C1">
        <w:trPr>
          <w:trHeight w:val="694"/>
          <w:jc w:val="center"/>
        </w:trPr>
        <w:tc>
          <w:tcPr>
            <w:tcW w:w="1843" w:type="dxa"/>
            <w:tcBorders>
              <w:top w:val="single" w:sz="4" w:space="0" w:color="auto"/>
              <w:left w:val="single" w:sz="18" w:space="0" w:color="auto"/>
              <w:bottom w:val="single" w:sz="4" w:space="0" w:color="auto"/>
              <w:right w:val="single" w:sz="4" w:space="0" w:color="auto"/>
            </w:tcBorders>
            <w:shd w:val="clear" w:color="auto" w:fill="8DB3E2" w:themeFill="text2" w:themeFillTint="66"/>
            <w:vAlign w:val="center"/>
          </w:tcPr>
          <w:p w:rsidR="00C04DDE" w:rsidRPr="0043547B" w:rsidRDefault="00C04DDE" w:rsidP="00C04DDE">
            <w:pPr>
              <w:spacing w:after="0"/>
              <w:jc w:val="center"/>
              <w:rPr>
                <w:rFonts w:cstheme="minorHAnsi"/>
                <w:b/>
                <w:bCs/>
                <w:sz w:val="24"/>
                <w:szCs w:val="24"/>
              </w:rPr>
            </w:pPr>
            <w:r w:rsidRPr="0043547B">
              <w:rPr>
                <w:rFonts w:cstheme="minorHAnsi"/>
                <w:b/>
                <w:bCs/>
                <w:sz w:val="24"/>
                <w:szCs w:val="24"/>
              </w:rPr>
              <w:t>Intitulé :</w:t>
            </w:r>
          </w:p>
        </w:tc>
        <w:tc>
          <w:tcPr>
            <w:tcW w:w="8080" w:type="dxa"/>
            <w:tcBorders>
              <w:top w:val="single" w:sz="4" w:space="0" w:color="auto"/>
              <w:left w:val="single" w:sz="4" w:space="0" w:color="auto"/>
              <w:bottom w:val="single" w:sz="4" w:space="0" w:color="auto"/>
              <w:right w:val="single" w:sz="18" w:space="0" w:color="auto"/>
            </w:tcBorders>
            <w:shd w:val="clear" w:color="auto" w:fill="auto"/>
            <w:vAlign w:val="bottom"/>
          </w:tcPr>
          <w:p w:rsidR="00C04DDE" w:rsidRPr="0043547B" w:rsidRDefault="00C04DDE" w:rsidP="00C04DDE">
            <w:pPr>
              <w:spacing w:after="0"/>
              <w:jc w:val="both"/>
              <w:rPr>
                <w:rFonts w:cstheme="minorHAnsi"/>
                <w:sz w:val="24"/>
                <w:szCs w:val="24"/>
              </w:rPr>
            </w:pPr>
            <w:r w:rsidRPr="0043547B">
              <w:rPr>
                <w:rFonts w:cstheme="minorHAnsi"/>
                <w:sz w:val="24"/>
                <w:szCs w:val="24"/>
              </w:rPr>
              <w:t>Dispositifs de connexion pour luminaires pour usage domestique et analogue - Partie 1 : Exigences générales</w:t>
            </w:r>
          </w:p>
        </w:tc>
      </w:tr>
      <w:tr w:rsidR="0043547B" w:rsidRPr="0043547B" w:rsidTr="009225AE">
        <w:trPr>
          <w:trHeight w:val="2544"/>
          <w:jc w:val="center"/>
        </w:trPr>
        <w:tc>
          <w:tcPr>
            <w:tcW w:w="1843" w:type="dxa"/>
            <w:tcBorders>
              <w:top w:val="single" w:sz="4" w:space="0" w:color="auto"/>
              <w:left w:val="single" w:sz="18" w:space="0" w:color="auto"/>
              <w:bottom w:val="single" w:sz="18" w:space="0" w:color="auto"/>
              <w:right w:val="single" w:sz="4" w:space="0" w:color="auto"/>
            </w:tcBorders>
            <w:shd w:val="clear" w:color="000000" w:fill="D9D9D9"/>
            <w:vAlign w:val="center"/>
          </w:tcPr>
          <w:p w:rsidR="00C04DDE" w:rsidRPr="0043547B" w:rsidRDefault="00C04DDE" w:rsidP="00C04DDE">
            <w:pPr>
              <w:spacing w:after="0"/>
              <w:jc w:val="center"/>
              <w:rPr>
                <w:rFonts w:cstheme="minorHAnsi"/>
                <w:b/>
                <w:bCs/>
                <w:sz w:val="24"/>
                <w:szCs w:val="24"/>
              </w:rPr>
            </w:pPr>
            <w:r w:rsidRPr="0043547B">
              <w:rPr>
                <w:rFonts w:cstheme="minorHAnsi"/>
                <w:b/>
                <w:bCs/>
                <w:sz w:val="24"/>
                <w:szCs w:val="24"/>
              </w:rPr>
              <w:lastRenderedPageBreak/>
              <w:t>Domaine d’application :</w:t>
            </w:r>
          </w:p>
        </w:tc>
        <w:tc>
          <w:tcPr>
            <w:tcW w:w="8080" w:type="dxa"/>
            <w:tcBorders>
              <w:top w:val="single" w:sz="4" w:space="0" w:color="auto"/>
              <w:left w:val="single" w:sz="4" w:space="0" w:color="auto"/>
              <w:bottom w:val="single" w:sz="18" w:space="0" w:color="auto"/>
              <w:right w:val="single" w:sz="18" w:space="0" w:color="auto"/>
            </w:tcBorders>
            <w:shd w:val="clear" w:color="auto" w:fill="auto"/>
            <w:vAlign w:val="bottom"/>
          </w:tcPr>
          <w:p w:rsidR="008C5C4C" w:rsidRPr="0043547B" w:rsidRDefault="00C04DDE" w:rsidP="00363C14">
            <w:pPr>
              <w:spacing w:after="0" w:line="240" w:lineRule="auto"/>
              <w:jc w:val="both"/>
              <w:rPr>
                <w:rFonts w:cstheme="minorHAnsi"/>
                <w:sz w:val="24"/>
                <w:szCs w:val="24"/>
              </w:rPr>
            </w:pPr>
            <w:r w:rsidRPr="0043547B">
              <w:rPr>
                <w:rFonts w:cstheme="minorHAnsi"/>
                <w:sz w:val="24"/>
                <w:szCs w:val="24"/>
              </w:rPr>
              <w:t>La présente norme s'applique à des dispositifs de connexion pour luminaires (DCL), prévus pour</w:t>
            </w:r>
            <w:r w:rsidR="008C5C4C" w:rsidRPr="0043547B">
              <w:rPr>
                <w:rFonts w:cstheme="minorHAnsi"/>
                <w:sz w:val="24"/>
                <w:szCs w:val="24"/>
              </w:rPr>
              <w:t xml:space="preserve"> </w:t>
            </w:r>
            <w:r w:rsidRPr="0043547B">
              <w:rPr>
                <w:rFonts w:cstheme="minorHAnsi"/>
                <w:sz w:val="24"/>
                <w:szCs w:val="24"/>
              </w:rPr>
              <w:t>un usage domestique et analogue, pour le raccordement électrique de luminaires fixes de</w:t>
            </w:r>
            <w:r w:rsidR="008C5C4C" w:rsidRPr="0043547B">
              <w:rPr>
                <w:rFonts w:cstheme="minorHAnsi"/>
                <w:sz w:val="24"/>
                <w:szCs w:val="24"/>
              </w:rPr>
              <w:t xml:space="preserve"> </w:t>
            </w:r>
            <w:r w:rsidRPr="0043547B">
              <w:rPr>
                <w:rFonts w:cstheme="minorHAnsi"/>
                <w:sz w:val="24"/>
                <w:szCs w:val="24"/>
              </w:rPr>
              <w:t>classe I ou de classe II à des circuits finaux de courant assigné inférieur ou égal à 16 A non</w:t>
            </w:r>
            <w:r w:rsidR="008C5C4C" w:rsidRPr="0043547B">
              <w:rPr>
                <w:rFonts w:cstheme="minorHAnsi"/>
                <w:sz w:val="24"/>
                <w:szCs w:val="24"/>
              </w:rPr>
              <w:t xml:space="preserve"> </w:t>
            </w:r>
            <w:r w:rsidRPr="0043547B">
              <w:rPr>
                <w:rFonts w:cstheme="minorHAnsi"/>
                <w:sz w:val="24"/>
                <w:szCs w:val="24"/>
              </w:rPr>
              <w:t>équipés de support mécanique du luminaire. Les DCL sont destinés à un usage approprié à leur</w:t>
            </w:r>
            <w:r w:rsidR="008C5C4C" w:rsidRPr="0043547B">
              <w:rPr>
                <w:rFonts w:cstheme="minorHAnsi"/>
                <w:sz w:val="24"/>
                <w:szCs w:val="24"/>
              </w:rPr>
              <w:t xml:space="preserve"> </w:t>
            </w:r>
            <w:r w:rsidRPr="0043547B">
              <w:rPr>
                <w:rFonts w:cstheme="minorHAnsi"/>
                <w:sz w:val="24"/>
                <w:szCs w:val="24"/>
              </w:rPr>
              <w:t xml:space="preserve">degré de protection IP selon </w:t>
            </w:r>
            <w:r w:rsidR="008C5C4C" w:rsidRPr="0043547B">
              <w:rPr>
                <w:rFonts w:cstheme="minorHAnsi"/>
                <w:sz w:val="24"/>
                <w:szCs w:val="24"/>
              </w:rPr>
              <w:t>la EN</w:t>
            </w:r>
            <w:r w:rsidRPr="0043547B">
              <w:rPr>
                <w:rFonts w:cstheme="minorHAnsi"/>
                <w:sz w:val="24"/>
                <w:szCs w:val="24"/>
              </w:rPr>
              <w:t xml:space="preserve"> 60529.</w:t>
            </w:r>
          </w:p>
          <w:p w:rsidR="008C5C4C" w:rsidRPr="0043547B" w:rsidRDefault="00C04DDE" w:rsidP="00363C14">
            <w:pPr>
              <w:spacing w:after="0" w:line="240" w:lineRule="auto"/>
              <w:jc w:val="both"/>
              <w:rPr>
                <w:rFonts w:cstheme="minorHAnsi"/>
                <w:sz w:val="24"/>
                <w:szCs w:val="24"/>
              </w:rPr>
            </w:pPr>
            <w:r w:rsidRPr="0043547B">
              <w:rPr>
                <w:rFonts w:cstheme="minorHAnsi"/>
                <w:sz w:val="24"/>
                <w:szCs w:val="24"/>
              </w:rPr>
              <w:t>Les socles DCL disposent d'un contact de mise à la terre et sont de courant assigné 6 A</w:t>
            </w:r>
            <w:r w:rsidR="008C5C4C" w:rsidRPr="0043547B">
              <w:rPr>
                <w:rFonts w:cstheme="minorHAnsi"/>
                <w:sz w:val="24"/>
                <w:szCs w:val="24"/>
              </w:rPr>
              <w:t xml:space="preserve"> </w:t>
            </w:r>
            <w:r w:rsidRPr="0043547B">
              <w:rPr>
                <w:rFonts w:cstheme="minorHAnsi"/>
                <w:sz w:val="24"/>
                <w:szCs w:val="24"/>
              </w:rPr>
              <w:t>;</w:t>
            </w:r>
          </w:p>
          <w:p w:rsidR="008C5C4C" w:rsidRPr="0043547B" w:rsidRDefault="008C5C4C" w:rsidP="00363C14">
            <w:pPr>
              <w:spacing w:after="0" w:line="240" w:lineRule="auto"/>
              <w:jc w:val="both"/>
              <w:rPr>
                <w:rFonts w:cstheme="minorHAnsi"/>
                <w:sz w:val="24"/>
                <w:szCs w:val="24"/>
              </w:rPr>
            </w:pPr>
            <w:r w:rsidRPr="0043547B">
              <w:rPr>
                <w:rFonts w:cstheme="minorHAnsi"/>
                <w:sz w:val="24"/>
                <w:szCs w:val="24"/>
              </w:rPr>
              <w:t>L</w:t>
            </w:r>
            <w:r w:rsidR="00C04DDE" w:rsidRPr="0043547B">
              <w:rPr>
                <w:rFonts w:cstheme="minorHAnsi"/>
                <w:sz w:val="24"/>
                <w:szCs w:val="24"/>
              </w:rPr>
              <w:t>es</w:t>
            </w:r>
            <w:r w:rsidRPr="0043547B">
              <w:rPr>
                <w:rFonts w:cstheme="minorHAnsi"/>
                <w:sz w:val="24"/>
                <w:szCs w:val="24"/>
              </w:rPr>
              <w:t xml:space="preserve"> </w:t>
            </w:r>
            <w:r w:rsidR="00C04DDE" w:rsidRPr="0043547B">
              <w:rPr>
                <w:rFonts w:cstheme="minorHAnsi"/>
                <w:sz w:val="24"/>
                <w:szCs w:val="24"/>
              </w:rPr>
              <w:t>fiches DCL sont de courant assigné 6 A.</w:t>
            </w:r>
          </w:p>
          <w:p w:rsidR="009D5CCE" w:rsidRPr="0043547B" w:rsidRDefault="00C04DDE" w:rsidP="009225AE">
            <w:pPr>
              <w:spacing w:after="0" w:line="240" w:lineRule="auto"/>
              <w:jc w:val="both"/>
              <w:rPr>
                <w:rFonts w:cstheme="minorHAnsi"/>
                <w:sz w:val="24"/>
                <w:szCs w:val="24"/>
              </w:rPr>
            </w:pPr>
            <w:r w:rsidRPr="0043547B">
              <w:rPr>
                <w:rFonts w:cstheme="minorHAnsi"/>
                <w:sz w:val="24"/>
                <w:szCs w:val="24"/>
              </w:rPr>
              <w:t>La tension assignée est 250 V à 50 Hz</w:t>
            </w:r>
            <w:r w:rsidR="009225AE">
              <w:rPr>
                <w:rFonts w:cstheme="minorHAnsi"/>
                <w:sz w:val="24"/>
                <w:szCs w:val="24"/>
              </w:rPr>
              <w:t>.</w:t>
            </w:r>
          </w:p>
        </w:tc>
      </w:tr>
      <w:tr w:rsidR="0043547B" w:rsidRPr="0043547B" w:rsidTr="00CB5DC0">
        <w:trPr>
          <w:trHeight w:val="400"/>
          <w:jc w:val="center"/>
        </w:trPr>
        <w:tc>
          <w:tcPr>
            <w:tcW w:w="1843" w:type="dxa"/>
            <w:tcBorders>
              <w:top w:val="nil"/>
              <w:left w:val="single" w:sz="18" w:space="0" w:color="auto"/>
              <w:bottom w:val="single" w:sz="18" w:space="0" w:color="auto"/>
              <w:right w:val="single" w:sz="4" w:space="0" w:color="auto"/>
            </w:tcBorders>
            <w:shd w:val="clear" w:color="auto" w:fill="B6E088"/>
            <w:vAlign w:val="center"/>
          </w:tcPr>
          <w:p w:rsidR="00C04DDE" w:rsidRPr="0043547B" w:rsidRDefault="00C04DDE" w:rsidP="00C04DDE">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4" w:space="0" w:color="auto"/>
              <w:left w:val="single" w:sz="4" w:space="0" w:color="auto"/>
              <w:bottom w:val="single" w:sz="18" w:space="0" w:color="auto"/>
              <w:right w:val="single" w:sz="18" w:space="0" w:color="auto"/>
            </w:tcBorders>
            <w:shd w:val="clear" w:color="auto" w:fill="B6E088"/>
            <w:vAlign w:val="center"/>
          </w:tcPr>
          <w:p w:rsidR="00C04DDE" w:rsidRPr="0043547B" w:rsidRDefault="00C04DDE" w:rsidP="008C5C4C">
            <w:pPr>
              <w:spacing w:after="0"/>
              <w:jc w:val="center"/>
              <w:rPr>
                <w:rFonts w:cstheme="minorHAnsi"/>
                <w:b/>
                <w:bCs/>
                <w:sz w:val="24"/>
                <w:szCs w:val="24"/>
              </w:rPr>
            </w:pPr>
            <w:r w:rsidRPr="0043547B">
              <w:rPr>
                <w:rFonts w:cstheme="minorHAnsi"/>
                <w:b/>
                <w:bCs/>
                <w:sz w:val="24"/>
                <w:szCs w:val="24"/>
              </w:rPr>
              <w:t>NM EN 61995-2</w:t>
            </w:r>
          </w:p>
        </w:tc>
      </w:tr>
      <w:tr w:rsidR="0043547B" w:rsidRPr="0043547B" w:rsidTr="009225AE">
        <w:trPr>
          <w:trHeight w:val="378"/>
          <w:jc w:val="center"/>
        </w:trPr>
        <w:tc>
          <w:tcPr>
            <w:tcW w:w="1843" w:type="dxa"/>
            <w:tcBorders>
              <w:top w:val="single" w:sz="18" w:space="0" w:color="auto"/>
              <w:left w:val="single" w:sz="18" w:space="0" w:color="auto"/>
              <w:bottom w:val="single" w:sz="4" w:space="0" w:color="auto"/>
              <w:right w:val="single" w:sz="4" w:space="0" w:color="auto"/>
            </w:tcBorders>
            <w:shd w:val="clear" w:color="auto" w:fill="FFFFCC"/>
            <w:vAlign w:val="center"/>
          </w:tcPr>
          <w:p w:rsidR="00C04DDE" w:rsidRPr="0043547B" w:rsidRDefault="00C04DDE" w:rsidP="00C04DDE">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bottom w:val="single" w:sz="4" w:space="0" w:color="auto"/>
              <w:right w:val="single" w:sz="18" w:space="0" w:color="auto"/>
            </w:tcBorders>
            <w:shd w:val="clear" w:color="auto" w:fill="FFFFCC"/>
            <w:vAlign w:val="center"/>
          </w:tcPr>
          <w:p w:rsidR="00C04DDE" w:rsidRPr="0043547B" w:rsidRDefault="00C04DDE" w:rsidP="008C5C4C">
            <w:pPr>
              <w:spacing w:after="0"/>
              <w:jc w:val="center"/>
              <w:rPr>
                <w:rFonts w:cstheme="minorHAnsi"/>
                <w:b/>
                <w:bCs/>
                <w:sz w:val="24"/>
                <w:szCs w:val="24"/>
              </w:rPr>
            </w:pPr>
            <w:r w:rsidRPr="0043547B">
              <w:rPr>
                <w:rFonts w:cstheme="minorHAnsi"/>
                <w:b/>
                <w:bCs/>
                <w:sz w:val="24"/>
                <w:szCs w:val="24"/>
              </w:rPr>
              <w:t>EN 61995-2</w:t>
            </w:r>
          </w:p>
        </w:tc>
      </w:tr>
      <w:tr w:rsidR="0043547B" w:rsidRPr="0043547B" w:rsidTr="00363C14">
        <w:trPr>
          <w:trHeight w:val="608"/>
          <w:jc w:val="center"/>
        </w:trPr>
        <w:tc>
          <w:tcPr>
            <w:tcW w:w="1843" w:type="dxa"/>
            <w:tcBorders>
              <w:top w:val="single" w:sz="4" w:space="0" w:color="auto"/>
              <w:left w:val="single" w:sz="18" w:space="0" w:color="auto"/>
              <w:bottom w:val="single" w:sz="4" w:space="0" w:color="auto"/>
              <w:right w:val="single" w:sz="4" w:space="0" w:color="auto"/>
            </w:tcBorders>
            <w:shd w:val="clear" w:color="auto" w:fill="8DB3E2" w:themeFill="text2" w:themeFillTint="66"/>
            <w:vAlign w:val="center"/>
          </w:tcPr>
          <w:p w:rsidR="00C04DDE" w:rsidRPr="0043547B" w:rsidRDefault="00C04DDE" w:rsidP="00C04DDE">
            <w:pPr>
              <w:spacing w:after="0"/>
              <w:jc w:val="center"/>
              <w:rPr>
                <w:rFonts w:cstheme="minorHAnsi"/>
                <w:b/>
                <w:bCs/>
                <w:sz w:val="24"/>
                <w:szCs w:val="24"/>
              </w:rPr>
            </w:pPr>
            <w:r w:rsidRPr="0043547B">
              <w:rPr>
                <w:rFonts w:cstheme="minorHAnsi"/>
                <w:b/>
                <w:bCs/>
                <w:sz w:val="24"/>
                <w:szCs w:val="24"/>
              </w:rPr>
              <w:t>Intitulé :</w:t>
            </w:r>
          </w:p>
        </w:tc>
        <w:tc>
          <w:tcPr>
            <w:tcW w:w="8080" w:type="dxa"/>
            <w:tcBorders>
              <w:top w:val="single" w:sz="4" w:space="0" w:color="auto"/>
              <w:left w:val="single" w:sz="4" w:space="0" w:color="auto"/>
              <w:bottom w:val="single" w:sz="4" w:space="0" w:color="auto"/>
              <w:right w:val="single" w:sz="18" w:space="0" w:color="auto"/>
            </w:tcBorders>
            <w:shd w:val="clear" w:color="auto" w:fill="auto"/>
            <w:vAlign w:val="bottom"/>
          </w:tcPr>
          <w:p w:rsidR="00C04DDE" w:rsidRPr="0043547B" w:rsidRDefault="00C04DDE" w:rsidP="00C04DDE">
            <w:pPr>
              <w:spacing w:after="0"/>
              <w:jc w:val="both"/>
              <w:rPr>
                <w:rFonts w:cstheme="minorHAnsi"/>
                <w:sz w:val="24"/>
                <w:szCs w:val="24"/>
              </w:rPr>
            </w:pPr>
            <w:r w:rsidRPr="0043547B">
              <w:rPr>
                <w:rFonts w:cstheme="minorHAnsi"/>
                <w:sz w:val="24"/>
                <w:szCs w:val="24"/>
              </w:rPr>
              <w:t>Dispositifs de connexion pour luminaires pour usage domestique et analogue - Partie 2 : Feuilles de norme pour DCL</w:t>
            </w:r>
          </w:p>
        </w:tc>
      </w:tr>
      <w:tr w:rsidR="0043547B" w:rsidRPr="0043547B" w:rsidTr="0043547B">
        <w:trPr>
          <w:trHeight w:val="418"/>
          <w:jc w:val="center"/>
        </w:trPr>
        <w:tc>
          <w:tcPr>
            <w:tcW w:w="1843" w:type="dxa"/>
            <w:tcBorders>
              <w:top w:val="single" w:sz="4" w:space="0" w:color="auto"/>
              <w:left w:val="single" w:sz="18" w:space="0" w:color="auto"/>
              <w:bottom w:val="single" w:sz="18" w:space="0" w:color="auto"/>
              <w:right w:val="single" w:sz="4" w:space="0" w:color="auto"/>
            </w:tcBorders>
            <w:shd w:val="clear" w:color="000000" w:fill="D9D9D9"/>
            <w:vAlign w:val="center"/>
          </w:tcPr>
          <w:p w:rsidR="00C04DDE" w:rsidRPr="0043547B" w:rsidRDefault="00C04DDE" w:rsidP="00C04DDE">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top w:val="single" w:sz="4" w:space="0" w:color="auto"/>
              <w:left w:val="single" w:sz="4" w:space="0" w:color="auto"/>
              <w:bottom w:val="single" w:sz="18" w:space="0" w:color="auto"/>
              <w:right w:val="single" w:sz="18" w:space="0" w:color="auto"/>
            </w:tcBorders>
            <w:shd w:val="clear" w:color="auto" w:fill="auto"/>
            <w:vAlign w:val="bottom"/>
          </w:tcPr>
          <w:p w:rsidR="005B070B" w:rsidRPr="0043547B" w:rsidRDefault="00C04DDE" w:rsidP="005B070B">
            <w:pPr>
              <w:spacing w:after="0" w:line="240" w:lineRule="auto"/>
              <w:jc w:val="both"/>
              <w:rPr>
                <w:rFonts w:cstheme="minorHAnsi"/>
                <w:sz w:val="24"/>
                <w:szCs w:val="24"/>
              </w:rPr>
            </w:pPr>
            <w:r w:rsidRPr="0043547B">
              <w:rPr>
                <w:rFonts w:cstheme="minorHAnsi"/>
                <w:sz w:val="24"/>
                <w:szCs w:val="24"/>
              </w:rPr>
              <w:t>La présente norme, qui est à lire conjointement avec la NM EN 61995-1,s'applique à des dispositifs de connexion pour luminaires (DCL) 250 V, 6 A courant alternatif,</w:t>
            </w:r>
            <w:r w:rsidR="008C5C4C" w:rsidRPr="0043547B">
              <w:rPr>
                <w:rFonts w:cstheme="minorHAnsi"/>
                <w:sz w:val="24"/>
                <w:szCs w:val="24"/>
              </w:rPr>
              <w:t xml:space="preserve"> </w:t>
            </w:r>
            <w:r w:rsidRPr="0043547B">
              <w:rPr>
                <w:rFonts w:cstheme="minorHAnsi"/>
                <w:sz w:val="24"/>
                <w:szCs w:val="24"/>
              </w:rPr>
              <w:t>prévus pour un usage domestique et analogue et pour le raccordement à des circuits finaux de courant assigné inférieur ou égal à 1</w:t>
            </w:r>
            <w:r w:rsidR="005B070B">
              <w:rPr>
                <w:rFonts w:cstheme="minorHAnsi"/>
                <w:sz w:val="24"/>
                <w:szCs w:val="24"/>
              </w:rPr>
              <w:t xml:space="preserve">6 A, sans fourniture de support mécanique du </w:t>
            </w:r>
            <w:r w:rsidRPr="0043547B">
              <w:rPr>
                <w:rFonts w:cstheme="minorHAnsi"/>
                <w:sz w:val="24"/>
                <w:szCs w:val="24"/>
              </w:rPr>
              <w:t>luminaire</w:t>
            </w:r>
            <w:r w:rsidR="005B070B">
              <w:rPr>
                <w:rFonts w:cstheme="minorHAnsi"/>
                <w:sz w:val="24"/>
                <w:szCs w:val="24"/>
              </w:rPr>
              <w:t>.</w:t>
            </w:r>
          </w:p>
        </w:tc>
      </w:tr>
      <w:tr w:rsidR="0043547B" w:rsidRPr="0043547B" w:rsidTr="009225AE">
        <w:trPr>
          <w:trHeight w:val="326"/>
          <w:jc w:val="center"/>
        </w:trPr>
        <w:tc>
          <w:tcPr>
            <w:tcW w:w="1843" w:type="dxa"/>
            <w:tcBorders>
              <w:top w:val="single" w:sz="18" w:space="0" w:color="auto"/>
              <w:left w:val="single" w:sz="18" w:space="0" w:color="auto"/>
              <w:bottom w:val="single" w:sz="18" w:space="0" w:color="auto"/>
              <w:right w:val="single" w:sz="4" w:space="0" w:color="auto"/>
            </w:tcBorders>
            <w:shd w:val="clear" w:color="auto" w:fill="B6E088"/>
            <w:vAlign w:val="center"/>
          </w:tcPr>
          <w:p w:rsidR="00F075B3" w:rsidRPr="0043547B" w:rsidRDefault="00F075B3" w:rsidP="009225AE">
            <w:pPr>
              <w:spacing w:after="0" w:line="240" w:lineRule="auto"/>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6E088"/>
          </w:tcPr>
          <w:p w:rsidR="00F075B3" w:rsidRPr="0043547B" w:rsidRDefault="00F075B3" w:rsidP="009225AE">
            <w:pPr>
              <w:spacing w:after="0" w:line="240" w:lineRule="auto"/>
              <w:jc w:val="center"/>
              <w:rPr>
                <w:rFonts w:cstheme="minorHAnsi"/>
                <w:b/>
                <w:bCs/>
                <w:sz w:val="24"/>
                <w:szCs w:val="24"/>
              </w:rPr>
            </w:pPr>
            <w:r w:rsidRPr="0043547B">
              <w:rPr>
                <w:rFonts w:cstheme="minorHAnsi"/>
                <w:b/>
                <w:bCs/>
                <w:sz w:val="24"/>
                <w:szCs w:val="24"/>
              </w:rPr>
              <w:t>NM 06.6.126</w:t>
            </w:r>
          </w:p>
        </w:tc>
      </w:tr>
      <w:tr w:rsidR="0043547B" w:rsidRPr="0043547B" w:rsidTr="0043547B">
        <w:trPr>
          <w:trHeight w:val="418"/>
          <w:jc w:val="center"/>
        </w:trPr>
        <w:tc>
          <w:tcPr>
            <w:tcW w:w="1843" w:type="dxa"/>
            <w:tcBorders>
              <w:top w:val="single" w:sz="18" w:space="0" w:color="auto"/>
              <w:left w:val="single" w:sz="18" w:space="0" w:color="auto"/>
              <w:bottom w:val="single" w:sz="4" w:space="0" w:color="auto"/>
              <w:right w:val="single" w:sz="4" w:space="0" w:color="auto"/>
            </w:tcBorders>
            <w:shd w:val="clear" w:color="auto" w:fill="95B3D7" w:themeFill="accent1" w:themeFillTint="99"/>
            <w:vAlign w:val="center"/>
          </w:tcPr>
          <w:p w:rsidR="00F075B3" w:rsidRPr="0043547B" w:rsidRDefault="00F075B3" w:rsidP="009225AE">
            <w:pPr>
              <w:spacing w:after="0" w:line="240" w:lineRule="auto"/>
              <w:jc w:val="center"/>
              <w:rPr>
                <w:rFonts w:cstheme="minorHAnsi"/>
                <w:b/>
                <w:bCs/>
                <w:sz w:val="24"/>
                <w:szCs w:val="24"/>
              </w:rPr>
            </w:pPr>
            <w:r w:rsidRPr="0043547B">
              <w:rPr>
                <w:rFonts w:cstheme="minorHAnsi"/>
                <w:b/>
                <w:bCs/>
                <w:sz w:val="24"/>
                <w:szCs w:val="24"/>
              </w:rPr>
              <w:t>Intitulé :</w:t>
            </w:r>
          </w:p>
        </w:tc>
        <w:tc>
          <w:tcPr>
            <w:tcW w:w="8080" w:type="dxa"/>
            <w:tcBorders>
              <w:top w:val="single" w:sz="18" w:space="0" w:color="auto"/>
              <w:left w:val="single" w:sz="4" w:space="0" w:color="auto"/>
              <w:bottom w:val="single" w:sz="4" w:space="0" w:color="auto"/>
              <w:right w:val="single" w:sz="18" w:space="0" w:color="auto"/>
            </w:tcBorders>
            <w:shd w:val="clear" w:color="auto" w:fill="auto"/>
          </w:tcPr>
          <w:p w:rsidR="00F075B3" w:rsidRPr="0043547B" w:rsidRDefault="00F075B3" w:rsidP="009225AE">
            <w:pPr>
              <w:spacing w:after="0" w:line="240" w:lineRule="auto"/>
              <w:jc w:val="both"/>
              <w:rPr>
                <w:rFonts w:cstheme="minorHAnsi"/>
                <w:sz w:val="24"/>
                <w:szCs w:val="24"/>
              </w:rPr>
            </w:pPr>
            <w:r w:rsidRPr="0043547B">
              <w:rPr>
                <w:rFonts w:cstheme="minorHAnsi"/>
                <w:sz w:val="24"/>
                <w:szCs w:val="24"/>
              </w:rPr>
              <w:t xml:space="preserve">Prises de courant pour usages domestiques et analogues - Systèmes 20 A / 400 V et 32 A / 400 V </w:t>
            </w:r>
          </w:p>
        </w:tc>
      </w:tr>
      <w:tr w:rsidR="0043547B" w:rsidRPr="0043547B" w:rsidTr="00A744C1">
        <w:trPr>
          <w:trHeight w:val="418"/>
          <w:jc w:val="center"/>
        </w:trPr>
        <w:tc>
          <w:tcPr>
            <w:tcW w:w="1843" w:type="dxa"/>
            <w:tcBorders>
              <w:top w:val="single" w:sz="4" w:space="0" w:color="auto"/>
              <w:left w:val="single" w:sz="18" w:space="0" w:color="auto"/>
              <w:bottom w:val="single" w:sz="18" w:space="0" w:color="auto"/>
              <w:right w:val="single" w:sz="4" w:space="0" w:color="auto"/>
            </w:tcBorders>
            <w:shd w:val="clear" w:color="000000" w:fill="D9D9D9"/>
            <w:vAlign w:val="center"/>
          </w:tcPr>
          <w:p w:rsidR="00F075B3" w:rsidRPr="0043547B" w:rsidRDefault="00F075B3" w:rsidP="009225AE">
            <w:pPr>
              <w:spacing w:after="0" w:line="240" w:lineRule="auto"/>
              <w:jc w:val="center"/>
              <w:rPr>
                <w:rFonts w:cstheme="minorHAnsi"/>
                <w:b/>
                <w:bCs/>
                <w:sz w:val="24"/>
                <w:szCs w:val="24"/>
              </w:rPr>
            </w:pPr>
            <w:r w:rsidRPr="0043547B">
              <w:rPr>
                <w:rFonts w:cstheme="minorHAnsi"/>
                <w:b/>
                <w:bCs/>
                <w:sz w:val="24"/>
                <w:szCs w:val="24"/>
              </w:rPr>
              <w:t>Domaine d’application :</w:t>
            </w:r>
          </w:p>
        </w:tc>
        <w:tc>
          <w:tcPr>
            <w:tcW w:w="8080" w:type="dxa"/>
            <w:tcBorders>
              <w:top w:val="single" w:sz="4" w:space="0" w:color="auto"/>
              <w:left w:val="single" w:sz="4" w:space="0" w:color="auto"/>
              <w:bottom w:val="single" w:sz="18" w:space="0" w:color="auto"/>
              <w:right w:val="single" w:sz="18" w:space="0" w:color="auto"/>
            </w:tcBorders>
            <w:shd w:val="clear" w:color="auto" w:fill="auto"/>
            <w:vAlign w:val="bottom"/>
          </w:tcPr>
          <w:p w:rsidR="00F075B3" w:rsidRPr="0043547B" w:rsidRDefault="00F075B3" w:rsidP="009225AE">
            <w:pPr>
              <w:spacing w:after="0" w:line="240" w:lineRule="auto"/>
              <w:rPr>
                <w:rFonts w:cstheme="minorHAnsi"/>
                <w:sz w:val="24"/>
                <w:szCs w:val="24"/>
              </w:rPr>
            </w:pPr>
            <w:r w:rsidRPr="0043547B">
              <w:rPr>
                <w:rFonts w:cstheme="minorHAnsi"/>
                <w:sz w:val="24"/>
                <w:szCs w:val="24"/>
              </w:rPr>
              <w:t>Le présent document s'applique aux fiches et aux socles fixes ou mobiles avec obturateurs pour courant alternatif seulement avec contact de terre, de tension assignée 400 V et de courants assignés égaux à 20 A et à 32 A, destinés aux usages domestiques et usages analogues, à l'intérieur ou à l'extérieur des bâtiments.</w:t>
            </w:r>
            <w:r w:rsidRPr="0043547B">
              <w:rPr>
                <w:rFonts w:cstheme="minorHAnsi"/>
                <w:sz w:val="24"/>
                <w:szCs w:val="24"/>
              </w:rPr>
              <w:br/>
              <w:t>Le présent document ne traite pas des prescriptions pour les boîtes de montage encastrées, mais seulement des prescriptions pour les boîtes de montage en saillie nécessaires pour les essais du socle</w:t>
            </w:r>
          </w:p>
        </w:tc>
      </w:tr>
    </w:tbl>
    <w:p w:rsidR="007237DC" w:rsidRPr="0043547B" w:rsidRDefault="007237DC" w:rsidP="00AF178F">
      <w:pPr>
        <w:pStyle w:val="Titre4"/>
        <w:numPr>
          <w:ilvl w:val="2"/>
          <w:numId w:val="2"/>
        </w:numPr>
        <w:ind w:left="1418" w:hanging="579"/>
        <w:rPr>
          <w:rFonts w:cstheme="minorHAnsi"/>
          <w:b/>
          <w:bCs w:val="0"/>
          <w:color w:val="auto"/>
          <w:szCs w:val="24"/>
          <w:u w:val="single"/>
        </w:rPr>
      </w:pPr>
      <w:bookmarkStart w:id="16" w:name="_Toc458606073"/>
      <w:r w:rsidRPr="0043547B">
        <w:rPr>
          <w:rFonts w:cstheme="minorHAnsi"/>
          <w:b/>
          <w:bCs w:val="0"/>
          <w:color w:val="auto"/>
          <w:szCs w:val="24"/>
          <w:u w:val="single"/>
        </w:rPr>
        <w:t>Fils, câbles et accessoires</w:t>
      </w:r>
      <w:bookmarkEnd w:id="16"/>
    </w:p>
    <w:tbl>
      <w:tblPr>
        <w:tblW w:w="9923" w:type="dxa"/>
        <w:jc w:val="center"/>
        <w:tblCellMar>
          <w:left w:w="70" w:type="dxa"/>
          <w:right w:w="70" w:type="dxa"/>
        </w:tblCellMar>
        <w:tblLook w:val="04A0" w:firstRow="1" w:lastRow="0" w:firstColumn="1" w:lastColumn="0" w:noHBand="0" w:noVBand="1"/>
      </w:tblPr>
      <w:tblGrid>
        <w:gridCol w:w="1843"/>
        <w:gridCol w:w="8080"/>
      </w:tblGrid>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4CD81"/>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06.3.006</w:t>
            </w:r>
          </w:p>
        </w:tc>
      </w:tr>
      <w:tr w:rsidR="0043547B" w:rsidRPr="0043547B" w:rsidTr="00CB5DC0">
        <w:trPr>
          <w:trHeight w:val="670"/>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Conducteurs et câbles isolés pour installations - Câbles rigides isolés au polyéthylène réticulé sous gaine de protection en polychlorure de vinyle - Séries U-1000 R2V et U-1000 AR2V </w:t>
            </w:r>
          </w:p>
        </w:tc>
      </w:tr>
      <w:tr w:rsidR="0043547B" w:rsidRPr="0043547B" w:rsidTr="00E7624B">
        <w:trPr>
          <w:trHeight w:val="1410"/>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 présent document s’applique aux câbles rigides isolés au polyéthylène réticulé, revêtus d’une gaine en polychlorure de vinyle, de tension assignée 0,6/1 kV.</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Il donne les conditions auxquelles doivent satisfaire les câbles des séries U-1000 R2V</w:t>
            </w:r>
            <w:r w:rsidRPr="0043547B">
              <w:rPr>
                <w:rFonts w:eastAsia="Times New Roman" w:cstheme="minorHAnsi"/>
                <w:sz w:val="24"/>
                <w:szCs w:val="24"/>
                <w:lang w:eastAsia="fr-FR"/>
              </w:rPr>
              <w:br/>
              <w:t>et U-1000 AR2V pour donner toute garantie de sécurité et de durée lorsqu’ils sont</w:t>
            </w:r>
            <w:r w:rsidRPr="0043547B">
              <w:rPr>
                <w:rFonts w:eastAsia="Times New Roman" w:cstheme="minorHAnsi"/>
                <w:sz w:val="24"/>
                <w:szCs w:val="24"/>
                <w:lang w:eastAsia="fr-FR"/>
              </w:rPr>
              <w:br/>
              <w:t>utilisés conformément aux dispositions des normes NM 06.1.100,........., NM 06.1.106.</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câbles visés par le présent document sont ceux des séries suivantes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U-1000 R2V : si le câble est constitué de conducteurs en cuivre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U-1000 AR2V : si le câble est constitué de conducteurs en aluminium.</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câbles visés comportent 1, 2, 3, 4, 5, 7, 8, 10, 12, 14, 19, 24, 30 ou 37 conducteurs.</w:t>
            </w:r>
          </w:p>
          <w:p w:rsidR="00E7624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lastRenderedPageBreak/>
              <w:t>Le câble dispose d’un repérage couleur visible sur l’extérieur de la gaine de protection afin de faciliter l’identification de la section électrique pour les compositions les plus usuelles.</w:t>
            </w:r>
          </w:p>
          <w:p w:rsidR="00904E52" w:rsidRPr="0043547B" w:rsidRDefault="00904E52" w:rsidP="00E7624B">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Du point de vue comportement au feu, ils sont de la catégorie C2 au sens de la norme</w:t>
            </w:r>
            <w:r w:rsidR="00E7624B">
              <w:rPr>
                <w:rFonts w:eastAsia="Times New Roman" w:cstheme="minorHAnsi"/>
                <w:sz w:val="24"/>
                <w:szCs w:val="24"/>
                <w:lang w:eastAsia="fr-FR"/>
              </w:rPr>
              <w:t xml:space="preserve"> </w:t>
            </w:r>
            <w:r w:rsidRPr="0043547B">
              <w:rPr>
                <w:rFonts w:eastAsia="Times New Roman" w:cstheme="minorHAnsi"/>
                <w:sz w:val="24"/>
                <w:szCs w:val="24"/>
                <w:lang w:eastAsia="fr-FR"/>
              </w:rPr>
              <w:t>NM 06.3.003.</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8080" w:type="dxa"/>
            <w:tcBorders>
              <w:top w:val="single" w:sz="18" w:space="0" w:color="auto"/>
              <w:left w:val="single" w:sz="4" w:space="0" w:color="auto"/>
              <w:bottom w:val="single" w:sz="18" w:space="0" w:color="auto"/>
              <w:right w:val="single" w:sz="18" w:space="0" w:color="auto"/>
            </w:tcBorders>
            <w:shd w:val="clear" w:color="auto" w:fill="B4CD81"/>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06.3.039</w:t>
            </w:r>
          </w:p>
        </w:tc>
      </w:tr>
      <w:tr w:rsidR="0043547B" w:rsidRPr="0043547B" w:rsidTr="00CB5DC0">
        <w:trPr>
          <w:trHeight w:val="900"/>
          <w:jc w:val="center"/>
        </w:trPr>
        <w:tc>
          <w:tcPr>
            <w:tcW w:w="1843"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top w:val="single" w:sz="18" w:space="0" w:color="auto"/>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Conducteurs et câbles isolés pour installations - Câbles rigides isolés au polyéthylène réticulé sous gaine de protection en polychlorure de vinyle, armés - Séries U-1000 RVFV et U-1000 ARVFV ;  </w:t>
            </w:r>
          </w:p>
        </w:tc>
      </w:tr>
      <w:tr w:rsidR="0043547B" w:rsidRPr="0043547B" w:rsidTr="00CB5DC0">
        <w:trPr>
          <w:trHeight w:val="4191"/>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 présent document s’applique aux câbles rigides isolés au polyéthylène réticulé, comportant une gaine interne d’étanchéité en polychlorure de vinyle, une armure et une gaine de protection en polychlorure de vinyle, de tension assignée 0,6/1 kV.</w:t>
            </w:r>
          </w:p>
          <w:p w:rsidR="00904E52" w:rsidRPr="0043547B" w:rsidRDefault="00904E52" w:rsidP="009225AE">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Il donne les conditions auxquelles doivent satisfaire les câbles de la série U-1000 RVFV et</w:t>
            </w:r>
            <w:r w:rsidR="009225AE">
              <w:rPr>
                <w:rFonts w:eastAsia="Times New Roman" w:cstheme="minorHAnsi"/>
                <w:sz w:val="24"/>
                <w:szCs w:val="24"/>
                <w:lang w:eastAsia="fr-FR"/>
              </w:rPr>
              <w:t xml:space="preserve"> </w:t>
            </w:r>
            <w:r w:rsidRPr="0043547B">
              <w:rPr>
                <w:rFonts w:eastAsia="Times New Roman" w:cstheme="minorHAnsi"/>
                <w:sz w:val="24"/>
                <w:szCs w:val="24"/>
                <w:lang w:eastAsia="fr-FR"/>
              </w:rPr>
              <w:t>U-1000 ARVFV pour donner toute garantie de sécurité et de durée, lorsqu’ils sont utilisés</w:t>
            </w:r>
            <w:r w:rsidR="009225AE">
              <w:rPr>
                <w:rFonts w:eastAsia="Times New Roman" w:cstheme="minorHAnsi"/>
                <w:sz w:val="24"/>
                <w:szCs w:val="24"/>
                <w:lang w:eastAsia="fr-FR"/>
              </w:rPr>
              <w:t xml:space="preserve"> </w:t>
            </w:r>
            <w:r w:rsidRPr="0043547B">
              <w:rPr>
                <w:rFonts w:eastAsia="Times New Roman" w:cstheme="minorHAnsi"/>
                <w:sz w:val="24"/>
                <w:szCs w:val="24"/>
                <w:lang w:eastAsia="fr-FR"/>
              </w:rPr>
              <w:t>conformément aux dispositions des normes NM 06.1.100,....., NM 06.1.106.</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câbles visés par le présent document sont ceux des séries suivantes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U-1000 RVFV si le câble est constitué de conducteurs cuivre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U-1000 ARVFV si le câble est constitué de conducteurs en aluminium.</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câbles visés comportent 2, 3, 4, 5, 7, 8, 10, 12, 14, 19, 24, 30 ou 37 conducteurs.</w:t>
            </w:r>
          </w:p>
          <w:p w:rsidR="00363C14" w:rsidRPr="0043547B" w:rsidRDefault="00904E52" w:rsidP="009225AE">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Du point de vue comportement au feu, ils sont de la catégorie C2 au sens de la norme</w:t>
            </w:r>
            <w:r w:rsidR="009225AE">
              <w:rPr>
                <w:rFonts w:eastAsia="Times New Roman" w:cstheme="minorHAnsi"/>
                <w:sz w:val="24"/>
                <w:szCs w:val="24"/>
                <w:lang w:eastAsia="fr-FR"/>
              </w:rPr>
              <w:t xml:space="preserve"> </w:t>
            </w:r>
            <w:r w:rsidRPr="0043547B">
              <w:rPr>
                <w:rFonts w:eastAsia="Times New Roman" w:cstheme="minorHAnsi"/>
                <w:sz w:val="24"/>
                <w:szCs w:val="24"/>
                <w:lang w:eastAsia="fr-FR"/>
              </w:rPr>
              <w:t>NM 06.3.003.</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4CD81"/>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06.3.069</w:t>
            </w:r>
          </w:p>
        </w:tc>
      </w:tr>
      <w:tr w:rsidR="0043547B" w:rsidRPr="0043547B" w:rsidTr="00CB5DC0">
        <w:trPr>
          <w:trHeight w:val="635"/>
          <w:jc w:val="center"/>
        </w:trPr>
        <w:tc>
          <w:tcPr>
            <w:tcW w:w="1843"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top w:val="single" w:sz="18" w:space="0" w:color="auto"/>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Câbles isolés ou protégés pour réseaux d'énergie - Câbles de tension assignée 0.6/1 kV rigides isolés au polyéthylène réticulé sous gaine de protection de polychlorure de vinyle - Série Hi XDV-A </w:t>
            </w:r>
          </w:p>
        </w:tc>
      </w:tr>
      <w:tr w:rsidR="0043547B" w:rsidRPr="0043547B" w:rsidTr="00CB5DC0">
        <w:trPr>
          <w:trHeight w:val="553"/>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aux câbles rigides constitués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soit de trois conducteurs isolés au polyéthylène réticulé et d'un conducteur de neutre non isolé assemblé avec les conducteurs de phase (câbles triphasés)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soit d'un conducteur isolé au polyéthylène réticulé assemblé avec un conducteur de neutre non isolé (câbles monophasés), Des conducteurs pilotes 1,5 mm2 cuivre peuvent être joints à l'assemblage. Ces câbles sont revêtus d'un écran métallique sur l'assemblage en contact avec le conducteur de neutre et d'une gaine de protection en polychlorure de vinyle. Ils sont de tension assignée 0,6/1 kV, prévus pour une température maximale de 90 °C à sur les âmes conductrices, en service normal.</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Du point de vue de leur comportement au feu, ils sont de la catégorie C2, au sens de la norme NM 06.3.003.</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câbles visés dans La norme sont ceux de la série H1 XDV-A.</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fixe les caractéristiques de ces câbles rigides et définit les essais auxquels ils doivent satis faire.</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4CD81"/>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06.3.075</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60439-2</w:t>
            </w:r>
          </w:p>
        </w:tc>
      </w:tr>
      <w:tr w:rsidR="0043547B" w:rsidRPr="0043547B" w:rsidTr="00CB5DC0">
        <w:trPr>
          <w:trHeight w:val="600"/>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Ensembles d'appareillage à basse tension - Règles particulières pour les canalisations préfabriquées </w:t>
            </w:r>
          </w:p>
        </w:tc>
      </w:tr>
      <w:tr w:rsidR="0043547B" w:rsidRPr="0043547B" w:rsidTr="00CB5DC0">
        <w:trPr>
          <w:trHeight w:val="2906"/>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Domaine d’application :</w:t>
            </w:r>
          </w:p>
        </w:tc>
        <w:tc>
          <w:tcPr>
            <w:tcW w:w="8080"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aux systèmes de canalisations préfabriquées (SCP) et à leurs accessoires destinés à transporter et à distribuer la puissance électrique dans les bâtiments recevant du public ou à usage résidentiel, commercial, agricole ou industriel.</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s'applique également aux systèmes de canalisations préfabriquées qui ont été développés pour incorporer de la communication et/ou des systèmes de contrôle ou qui sont destinés à alimenter des luminaires par l'intermédiaire d'éléments de dérivation ; mais elle ne s'applique pas aux systèmes d'alimentation par rails conformes</w:t>
            </w:r>
            <w:r w:rsidRPr="0043547B">
              <w:rPr>
                <w:rFonts w:eastAsia="Times New Roman" w:cstheme="minorHAnsi"/>
                <w:sz w:val="24"/>
                <w:szCs w:val="24"/>
                <w:lang w:eastAsia="fr-FR"/>
              </w:rPr>
              <w:br/>
              <w:t xml:space="preserve">au </w:t>
            </w:r>
            <w:r w:rsidR="00160B21" w:rsidRPr="0043547B">
              <w:rPr>
                <w:rFonts w:eastAsia="Times New Roman" w:cstheme="minorHAnsi"/>
                <w:sz w:val="24"/>
                <w:szCs w:val="24"/>
                <w:lang w:eastAsia="fr-FR"/>
              </w:rPr>
              <w:t xml:space="preserve">NM </w:t>
            </w:r>
            <w:r w:rsidRPr="0043547B">
              <w:rPr>
                <w:rFonts w:eastAsia="Times New Roman" w:cstheme="minorHAnsi"/>
                <w:sz w:val="24"/>
                <w:szCs w:val="24"/>
                <w:lang w:eastAsia="fr-FR"/>
              </w:rPr>
              <w:t>06.7.100. Les systèmes de canalisations préfabriquées considérés dans cette norme sont des ensembles d'appareillage de série (ES) quand ils sont vérifiés selon l'article 8 de cette norme ; les variations de longueurs ou les variations angulaires des coudes sont comprises dans cette définition. Les éléments de dérivation peuvent être des ensembles dérivés de série (EDS).</w:t>
            </w:r>
          </w:p>
        </w:tc>
      </w:tr>
      <w:tr w:rsidR="00460360" w:rsidRPr="0043547B" w:rsidTr="004E1912">
        <w:trPr>
          <w:trHeight w:val="23"/>
          <w:jc w:val="center"/>
        </w:trPr>
        <w:tc>
          <w:tcPr>
            <w:tcW w:w="1843"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460360" w:rsidRPr="004E1912" w:rsidRDefault="00460360" w:rsidP="00EB3D13">
            <w:pPr>
              <w:spacing w:after="0" w:line="240" w:lineRule="auto"/>
              <w:jc w:val="center"/>
              <w:rPr>
                <w:rFonts w:ascii="Calibri" w:hAnsi="Calibri" w:cs="Calibri"/>
                <w:b/>
                <w:bCs/>
                <w:sz w:val="24"/>
                <w:szCs w:val="24"/>
              </w:rPr>
            </w:pPr>
            <w:r w:rsidRPr="004E1912">
              <w:rPr>
                <w:rFonts w:ascii="Calibri" w:hAnsi="Calibri" w:cs="Calibri"/>
                <w:b/>
                <w:bCs/>
                <w:sz w:val="24"/>
                <w:szCs w:val="24"/>
              </w:rPr>
              <w:t>Code :</w:t>
            </w:r>
          </w:p>
        </w:tc>
        <w:tc>
          <w:tcPr>
            <w:tcW w:w="8080" w:type="dxa"/>
            <w:tcBorders>
              <w:top w:val="nil"/>
              <w:left w:val="single" w:sz="4" w:space="0" w:color="auto"/>
              <w:bottom w:val="single" w:sz="18" w:space="0" w:color="auto"/>
              <w:right w:val="single" w:sz="18" w:space="0" w:color="auto"/>
            </w:tcBorders>
            <w:shd w:val="clear" w:color="auto" w:fill="C2D69B" w:themeFill="accent3" w:themeFillTint="99"/>
            <w:vAlign w:val="center"/>
          </w:tcPr>
          <w:p w:rsidR="00460360" w:rsidRPr="004E1912" w:rsidRDefault="00460360" w:rsidP="00EB3D13">
            <w:pPr>
              <w:spacing w:after="0" w:line="240" w:lineRule="auto"/>
              <w:jc w:val="center"/>
              <w:rPr>
                <w:rFonts w:ascii="Calibri" w:hAnsi="Calibri" w:cs="Calibri"/>
                <w:b/>
                <w:bCs/>
              </w:rPr>
            </w:pPr>
            <w:r w:rsidRPr="004E1912">
              <w:rPr>
                <w:rFonts w:ascii="Calibri" w:hAnsi="Calibri" w:cs="Calibri"/>
                <w:b/>
                <w:bCs/>
                <w:sz w:val="24"/>
                <w:szCs w:val="24"/>
              </w:rPr>
              <w:t>NM 06.3.240</w:t>
            </w:r>
          </w:p>
        </w:tc>
      </w:tr>
      <w:tr w:rsidR="00460360" w:rsidRPr="0043547B" w:rsidTr="004E1912">
        <w:trPr>
          <w:trHeight w:val="97"/>
          <w:jc w:val="center"/>
        </w:trPr>
        <w:tc>
          <w:tcPr>
            <w:tcW w:w="1843" w:type="dxa"/>
            <w:tcBorders>
              <w:top w:val="nil"/>
              <w:left w:val="single" w:sz="18" w:space="0" w:color="auto"/>
              <w:bottom w:val="single" w:sz="18" w:space="0" w:color="auto"/>
              <w:right w:val="single" w:sz="4" w:space="0" w:color="auto"/>
            </w:tcBorders>
            <w:shd w:val="clear" w:color="auto" w:fill="8DB3E2" w:themeFill="text2" w:themeFillTint="66"/>
            <w:vAlign w:val="center"/>
          </w:tcPr>
          <w:p w:rsidR="00460360" w:rsidRPr="004E1912" w:rsidRDefault="00460360" w:rsidP="004E1912">
            <w:pPr>
              <w:spacing w:after="0" w:line="240" w:lineRule="auto"/>
              <w:jc w:val="center"/>
              <w:rPr>
                <w:rFonts w:ascii="Calibri" w:hAnsi="Calibri" w:cs="Calibri"/>
                <w:b/>
                <w:bCs/>
                <w:sz w:val="24"/>
                <w:szCs w:val="24"/>
              </w:rPr>
            </w:pPr>
            <w:r w:rsidRPr="004E1912">
              <w:rPr>
                <w:rFonts w:ascii="Calibri" w:hAnsi="Calibri" w:cs="Calibri"/>
                <w:b/>
                <w:bCs/>
                <w:sz w:val="24"/>
                <w:szCs w:val="24"/>
              </w:rPr>
              <w:t>Intitulé :</w:t>
            </w:r>
          </w:p>
        </w:tc>
        <w:tc>
          <w:tcPr>
            <w:tcW w:w="8080" w:type="dxa"/>
            <w:tcBorders>
              <w:top w:val="nil"/>
              <w:left w:val="single" w:sz="4" w:space="0" w:color="auto"/>
              <w:bottom w:val="single" w:sz="18" w:space="0" w:color="auto"/>
              <w:right w:val="single" w:sz="18" w:space="0" w:color="auto"/>
            </w:tcBorders>
            <w:shd w:val="clear" w:color="auto" w:fill="auto"/>
          </w:tcPr>
          <w:p w:rsidR="00460360" w:rsidRPr="004E1912" w:rsidRDefault="00460360" w:rsidP="00EB3D13">
            <w:pPr>
              <w:spacing w:after="0" w:line="240" w:lineRule="auto"/>
              <w:jc w:val="both"/>
              <w:rPr>
                <w:rFonts w:ascii="Calibri" w:hAnsi="Calibri" w:cs="Calibri"/>
                <w:sz w:val="24"/>
                <w:szCs w:val="24"/>
              </w:rPr>
            </w:pPr>
            <w:r w:rsidRPr="004E1912">
              <w:rPr>
                <w:rFonts w:ascii="Calibri" w:hAnsi="Calibri" w:cs="Calibri"/>
                <w:sz w:val="24"/>
                <w:szCs w:val="24"/>
              </w:rPr>
              <w:t>Conducteurs et câbles isolés pour installations - Câbles isolés par diélectriques massifs extrudés de tensions nominales ne dépassant pas 600/1 000 V</w:t>
            </w:r>
          </w:p>
        </w:tc>
      </w:tr>
      <w:tr w:rsidR="00460360" w:rsidRPr="0043547B" w:rsidTr="00460360">
        <w:trPr>
          <w:trHeight w:val="23"/>
          <w:jc w:val="center"/>
        </w:trPr>
        <w:tc>
          <w:tcPr>
            <w:tcW w:w="1843" w:type="dxa"/>
            <w:tcBorders>
              <w:top w:val="nil"/>
              <w:left w:val="single" w:sz="18" w:space="0" w:color="auto"/>
              <w:bottom w:val="single" w:sz="18" w:space="0" w:color="auto"/>
              <w:right w:val="single" w:sz="4" w:space="0" w:color="auto"/>
            </w:tcBorders>
            <w:shd w:val="clear" w:color="000000" w:fill="D9D9D9"/>
            <w:vAlign w:val="center"/>
          </w:tcPr>
          <w:p w:rsidR="00460360" w:rsidRPr="004E1912" w:rsidRDefault="00460360" w:rsidP="004E1912">
            <w:pPr>
              <w:spacing w:after="0" w:line="240" w:lineRule="auto"/>
              <w:jc w:val="center"/>
              <w:rPr>
                <w:rFonts w:ascii="Calibri" w:hAnsi="Calibri" w:cs="Calibri"/>
                <w:b/>
                <w:bCs/>
                <w:sz w:val="24"/>
                <w:szCs w:val="24"/>
              </w:rPr>
            </w:pPr>
            <w:r w:rsidRPr="004E1912">
              <w:rPr>
                <w:rFonts w:ascii="Calibri" w:hAnsi="Calibri" w:cs="Calibri"/>
                <w:b/>
                <w:bCs/>
                <w:sz w:val="24"/>
                <w:szCs w:val="24"/>
              </w:rPr>
              <w:t>Domaine d’application :</w:t>
            </w:r>
          </w:p>
        </w:tc>
        <w:tc>
          <w:tcPr>
            <w:tcW w:w="8080" w:type="dxa"/>
            <w:tcBorders>
              <w:top w:val="nil"/>
              <w:left w:val="single" w:sz="4" w:space="0" w:color="auto"/>
              <w:bottom w:val="single" w:sz="18" w:space="0" w:color="auto"/>
              <w:right w:val="single" w:sz="18" w:space="0" w:color="auto"/>
            </w:tcBorders>
            <w:shd w:val="clear" w:color="auto" w:fill="auto"/>
            <w:vAlign w:val="bottom"/>
          </w:tcPr>
          <w:p w:rsidR="00460360" w:rsidRPr="004E1912" w:rsidRDefault="00460360" w:rsidP="004E1912">
            <w:pPr>
              <w:spacing w:after="0" w:line="240" w:lineRule="auto"/>
              <w:rPr>
                <w:rFonts w:ascii="Calibri" w:hAnsi="Calibri" w:cs="Calibri"/>
                <w:sz w:val="24"/>
                <w:szCs w:val="24"/>
              </w:rPr>
            </w:pPr>
            <w:r w:rsidRPr="004E1912">
              <w:rPr>
                <w:rFonts w:ascii="Calibri" w:hAnsi="Calibri" w:cs="Calibri"/>
                <w:sz w:val="24"/>
                <w:szCs w:val="24"/>
              </w:rPr>
              <w:t>la présente norme s'applique aux câbles pour installations, isolées par diélectriques extrudés, de tension nominale Uo/U au plus égale à 600/1000 V, comportant un écran ou  une armure éventuels et une gaine de protection en matériaux extrudé.</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4CD81"/>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06.3.096</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top w:val="single" w:sz="18" w:space="0" w:color="auto"/>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Conducteurs en cuivre écroui pour lignes aériennes </w:t>
            </w:r>
          </w:p>
        </w:tc>
      </w:tr>
      <w:tr w:rsidR="0043547B" w:rsidRPr="0043547B" w:rsidTr="00CB5DC0">
        <w:trPr>
          <w:trHeight w:val="966"/>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aux conducteurs nus en cuivre écroui destinés principalement aux lignes aériennes de traction électrique.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Cette norme fixe les caractéristiques des produits, les méthodes d'essais et les procédures de vérification de la conformité des produits.</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4CD81"/>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06.3.100</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50189</w:t>
            </w:r>
          </w:p>
        </w:tc>
      </w:tr>
      <w:tr w:rsidR="0043547B" w:rsidRPr="0043547B" w:rsidTr="00CB5DC0">
        <w:trPr>
          <w:trHeight w:val="315"/>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Conducteurs pour lignes aériennes – Fils d’acier zingué ;  </w:t>
            </w:r>
          </w:p>
        </w:tc>
      </w:tr>
      <w:tr w:rsidR="0043547B" w:rsidRPr="0043547B" w:rsidTr="004E1912">
        <w:trPr>
          <w:trHeight w:val="1268"/>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top w:val="nil"/>
              <w:left w:val="single" w:sz="4" w:space="0" w:color="auto"/>
              <w:bottom w:val="single" w:sz="18" w:space="0" w:color="auto"/>
              <w:right w:val="single" w:sz="18" w:space="0" w:color="auto"/>
            </w:tcBorders>
            <w:shd w:val="clear" w:color="auto" w:fill="auto"/>
            <w:vAlign w:val="center"/>
            <w:hideMark/>
          </w:tcPr>
          <w:p w:rsidR="004E1912" w:rsidRDefault="00904E52" w:rsidP="005B070B">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aux fils ronds d'acier zingué utilisés dans la construction et/ou dans le renforcement des conducteurs pour lignes aériennes de transport d'énergie électrique.</w:t>
            </w:r>
          </w:p>
          <w:p w:rsidR="00904E52" w:rsidRPr="0043547B" w:rsidRDefault="00904E52" w:rsidP="005B070B">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couvre tous les fils entrant dans les compositions qui utilisent des fils de diamètres</w:t>
            </w:r>
            <w:r w:rsidR="005B070B">
              <w:rPr>
                <w:rFonts w:eastAsia="Times New Roman" w:cstheme="minorHAnsi"/>
                <w:sz w:val="24"/>
                <w:szCs w:val="24"/>
                <w:lang w:eastAsia="fr-FR"/>
              </w:rPr>
              <w:t xml:space="preserve"> </w:t>
            </w:r>
            <w:r w:rsidRPr="0043547B">
              <w:rPr>
                <w:rFonts w:eastAsia="Times New Roman" w:cstheme="minorHAnsi"/>
                <w:sz w:val="24"/>
                <w:szCs w:val="24"/>
                <w:lang w:eastAsia="fr-FR"/>
              </w:rPr>
              <w:t>individuels, revêtement compris, échelonnés de 1,25 mm à 5,50 mm.</w:t>
            </w:r>
          </w:p>
          <w:p w:rsidR="004E1912" w:rsidRPr="0043547B" w:rsidRDefault="004E1912" w:rsidP="004E191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Pour satisfaire les exigences des utilisateurs de conducteurs, les seules combinaisons</w:t>
            </w:r>
            <w:r>
              <w:rPr>
                <w:rFonts w:eastAsia="Times New Roman" w:cstheme="minorHAnsi"/>
                <w:sz w:val="24"/>
                <w:szCs w:val="24"/>
                <w:lang w:eastAsia="fr-FR"/>
              </w:rPr>
              <w:t xml:space="preserve"> de </w:t>
            </w:r>
            <w:r w:rsidRPr="0043547B">
              <w:rPr>
                <w:rFonts w:eastAsia="Times New Roman" w:cstheme="minorHAnsi"/>
                <w:sz w:val="24"/>
                <w:szCs w:val="24"/>
                <w:lang w:eastAsia="fr-FR"/>
              </w:rPr>
              <w:t>nuances d'acier et de classes de revêtement de zinc couvertes par cette norme sont ST1A, ST2B, ST3D, ST4A, ST5 E et ST6C.</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caractéristiques exigées sont celles avant câblage.</w:t>
            </w:r>
          </w:p>
        </w:tc>
      </w:tr>
      <w:tr w:rsidR="001943A6" w:rsidRPr="0043547B" w:rsidTr="004E1912">
        <w:trPr>
          <w:trHeight w:val="68"/>
          <w:jc w:val="center"/>
        </w:trPr>
        <w:tc>
          <w:tcPr>
            <w:tcW w:w="1843"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1943A6" w:rsidRPr="004E1912" w:rsidRDefault="001943A6" w:rsidP="004E1912">
            <w:pPr>
              <w:spacing w:after="0" w:line="240" w:lineRule="auto"/>
              <w:jc w:val="center"/>
              <w:rPr>
                <w:rFonts w:ascii="Calibri" w:hAnsi="Calibri" w:cs="Calibri"/>
                <w:b/>
                <w:bCs/>
                <w:sz w:val="24"/>
                <w:szCs w:val="24"/>
              </w:rPr>
            </w:pPr>
            <w:r w:rsidRPr="004E1912">
              <w:rPr>
                <w:rFonts w:ascii="Calibri" w:hAnsi="Calibri" w:cs="Calibri"/>
                <w:b/>
                <w:bCs/>
                <w:sz w:val="24"/>
                <w:szCs w:val="24"/>
              </w:rPr>
              <w:t>Code :</w:t>
            </w:r>
          </w:p>
        </w:tc>
        <w:tc>
          <w:tcPr>
            <w:tcW w:w="8080" w:type="dxa"/>
            <w:tcBorders>
              <w:top w:val="nil"/>
              <w:left w:val="single" w:sz="4" w:space="0" w:color="auto"/>
              <w:bottom w:val="single" w:sz="18" w:space="0" w:color="auto"/>
              <w:right w:val="single" w:sz="18" w:space="0" w:color="auto"/>
            </w:tcBorders>
            <w:shd w:val="clear" w:color="auto" w:fill="C2D69B" w:themeFill="accent3" w:themeFillTint="99"/>
            <w:vAlign w:val="center"/>
          </w:tcPr>
          <w:p w:rsidR="001943A6" w:rsidRPr="004E1912" w:rsidRDefault="001943A6" w:rsidP="004E1912">
            <w:pPr>
              <w:spacing w:after="0" w:line="240" w:lineRule="auto"/>
              <w:jc w:val="center"/>
              <w:rPr>
                <w:rFonts w:ascii="Calibri" w:hAnsi="Calibri" w:cs="Calibri"/>
                <w:b/>
                <w:bCs/>
              </w:rPr>
            </w:pPr>
            <w:r w:rsidRPr="004E1912">
              <w:rPr>
                <w:rFonts w:ascii="Calibri" w:hAnsi="Calibri" w:cs="Calibri"/>
                <w:b/>
                <w:bCs/>
                <w:sz w:val="24"/>
                <w:szCs w:val="24"/>
              </w:rPr>
              <w:t>NM 06.3.079</w:t>
            </w:r>
          </w:p>
        </w:tc>
      </w:tr>
      <w:tr w:rsidR="001943A6" w:rsidRPr="0043547B" w:rsidTr="004E1912">
        <w:trPr>
          <w:trHeight w:val="24"/>
          <w:jc w:val="center"/>
        </w:trPr>
        <w:tc>
          <w:tcPr>
            <w:tcW w:w="1843" w:type="dxa"/>
            <w:tcBorders>
              <w:top w:val="nil"/>
              <w:left w:val="single" w:sz="18" w:space="0" w:color="auto"/>
              <w:bottom w:val="single" w:sz="18" w:space="0" w:color="auto"/>
              <w:right w:val="single" w:sz="4" w:space="0" w:color="auto"/>
            </w:tcBorders>
            <w:shd w:val="clear" w:color="auto" w:fill="8DB3E2" w:themeFill="text2" w:themeFillTint="66"/>
            <w:vAlign w:val="center"/>
          </w:tcPr>
          <w:p w:rsidR="001943A6" w:rsidRPr="004E1912" w:rsidRDefault="001943A6" w:rsidP="004E1912">
            <w:pPr>
              <w:spacing w:after="0" w:line="240" w:lineRule="auto"/>
              <w:jc w:val="center"/>
              <w:rPr>
                <w:rFonts w:ascii="Calibri" w:hAnsi="Calibri" w:cs="Calibri"/>
                <w:b/>
                <w:bCs/>
                <w:sz w:val="24"/>
                <w:szCs w:val="24"/>
              </w:rPr>
            </w:pPr>
            <w:r w:rsidRPr="004E1912">
              <w:rPr>
                <w:rFonts w:ascii="Calibri" w:hAnsi="Calibri" w:cs="Calibri"/>
                <w:b/>
                <w:bCs/>
                <w:sz w:val="24"/>
                <w:szCs w:val="24"/>
              </w:rPr>
              <w:t>Intitulé :</w:t>
            </w:r>
          </w:p>
        </w:tc>
        <w:tc>
          <w:tcPr>
            <w:tcW w:w="8080" w:type="dxa"/>
            <w:tcBorders>
              <w:top w:val="nil"/>
              <w:left w:val="single" w:sz="4" w:space="0" w:color="auto"/>
              <w:bottom w:val="single" w:sz="18" w:space="0" w:color="auto"/>
              <w:right w:val="single" w:sz="18" w:space="0" w:color="auto"/>
            </w:tcBorders>
            <w:shd w:val="clear" w:color="auto" w:fill="auto"/>
          </w:tcPr>
          <w:p w:rsidR="001943A6" w:rsidRPr="004E1912" w:rsidRDefault="001943A6" w:rsidP="004E1912">
            <w:pPr>
              <w:spacing w:after="0" w:line="240" w:lineRule="auto"/>
              <w:jc w:val="both"/>
              <w:rPr>
                <w:rFonts w:ascii="Calibri" w:hAnsi="Calibri" w:cs="Calibri"/>
                <w:sz w:val="24"/>
                <w:szCs w:val="24"/>
              </w:rPr>
            </w:pPr>
            <w:r w:rsidRPr="004E1912">
              <w:rPr>
                <w:rFonts w:ascii="Calibri" w:hAnsi="Calibri" w:cs="Calibri"/>
                <w:sz w:val="24"/>
                <w:szCs w:val="24"/>
              </w:rPr>
              <w:t>Conducteurs et câbles pour installations - Câbles isolés au caoutchouc pour ascenseurs, pour usage général</w:t>
            </w:r>
          </w:p>
        </w:tc>
      </w:tr>
      <w:tr w:rsidR="001943A6" w:rsidRPr="0043547B" w:rsidTr="004E1912">
        <w:trPr>
          <w:trHeight w:val="24"/>
          <w:jc w:val="center"/>
        </w:trPr>
        <w:tc>
          <w:tcPr>
            <w:tcW w:w="1843" w:type="dxa"/>
            <w:tcBorders>
              <w:top w:val="nil"/>
              <w:left w:val="single" w:sz="18" w:space="0" w:color="auto"/>
              <w:bottom w:val="single" w:sz="18" w:space="0" w:color="auto"/>
              <w:right w:val="single" w:sz="4" w:space="0" w:color="auto"/>
            </w:tcBorders>
            <w:shd w:val="clear" w:color="000000" w:fill="D9D9D9"/>
            <w:vAlign w:val="center"/>
          </w:tcPr>
          <w:p w:rsidR="001943A6" w:rsidRPr="004E1912" w:rsidRDefault="001943A6" w:rsidP="004E1912">
            <w:pPr>
              <w:spacing w:after="0" w:line="240" w:lineRule="auto"/>
              <w:jc w:val="center"/>
              <w:rPr>
                <w:rFonts w:ascii="Calibri" w:hAnsi="Calibri" w:cs="Calibri"/>
                <w:b/>
                <w:bCs/>
                <w:sz w:val="24"/>
                <w:szCs w:val="24"/>
              </w:rPr>
            </w:pPr>
            <w:r w:rsidRPr="004E1912">
              <w:rPr>
                <w:rFonts w:ascii="Calibri" w:hAnsi="Calibri" w:cs="Calibri"/>
                <w:b/>
                <w:bCs/>
                <w:sz w:val="24"/>
                <w:szCs w:val="24"/>
              </w:rPr>
              <w:t>Domaine d’application :</w:t>
            </w:r>
          </w:p>
        </w:tc>
        <w:tc>
          <w:tcPr>
            <w:tcW w:w="8080" w:type="dxa"/>
            <w:tcBorders>
              <w:top w:val="nil"/>
              <w:left w:val="single" w:sz="4" w:space="0" w:color="auto"/>
              <w:bottom w:val="single" w:sz="18" w:space="0" w:color="auto"/>
              <w:right w:val="single" w:sz="18" w:space="0" w:color="auto"/>
            </w:tcBorders>
            <w:shd w:val="clear" w:color="auto" w:fill="auto"/>
          </w:tcPr>
          <w:p w:rsidR="001943A6" w:rsidRPr="004E1912" w:rsidRDefault="001943A6" w:rsidP="004E1912">
            <w:pPr>
              <w:spacing w:after="0" w:line="240" w:lineRule="auto"/>
              <w:rPr>
                <w:rFonts w:ascii="Calibri" w:hAnsi="Calibri" w:cs="Calibri"/>
                <w:sz w:val="24"/>
                <w:szCs w:val="24"/>
              </w:rPr>
            </w:pPr>
            <w:r w:rsidRPr="004E1912">
              <w:rPr>
                <w:rFonts w:ascii="Calibri" w:hAnsi="Calibri" w:cs="Calibri"/>
                <w:sz w:val="24"/>
                <w:szCs w:val="24"/>
              </w:rPr>
              <w:t>Les règles de la présente norme s'appliquent aux câbles souples isolés au caoutchouc, de</w:t>
            </w:r>
            <w:r w:rsidRPr="004E1912">
              <w:rPr>
                <w:rFonts w:ascii="Calibri" w:hAnsi="Calibri" w:cs="Calibri"/>
                <w:sz w:val="24"/>
                <w:szCs w:val="24"/>
              </w:rPr>
              <w:br/>
              <w:t>tensions nominales au plus égales à 450/750 V, pour usage général pour ascenseurs, appareils de levage et applications analogues.</w:t>
            </w:r>
            <w:r w:rsidRPr="004E1912">
              <w:rPr>
                <w:rFonts w:ascii="Calibri" w:hAnsi="Calibri" w:cs="Calibri"/>
                <w:sz w:val="24"/>
                <w:szCs w:val="24"/>
              </w:rPr>
              <w:br/>
            </w:r>
            <w:r w:rsidRPr="004E1912">
              <w:rPr>
                <w:rFonts w:ascii="Calibri" w:hAnsi="Calibri" w:cs="Calibri"/>
                <w:sz w:val="24"/>
                <w:szCs w:val="24"/>
              </w:rPr>
              <w:lastRenderedPageBreak/>
              <w:t>Elles ne s'appliquent pas aux câbles composites (les câbles comprenant des conducteurs de sections différentes, par exemple).</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8080" w:type="dxa"/>
            <w:tcBorders>
              <w:top w:val="single" w:sz="18" w:space="0" w:color="auto"/>
              <w:left w:val="single" w:sz="4" w:space="0" w:color="auto"/>
              <w:bottom w:val="single" w:sz="18" w:space="0" w:color="auto"/>
              <w:right w:val="single" w:sz="18" w:space="0" w:color="auto"/>
            </w:tcBorders>
            <w:shd w:val="clear" w:color="auto" w:fill="B4CD81"/>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06.3.181</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50334</w:t>
            </w:r>
          </w:p>
        </w:tc>
      </w:tr>
      <w:tr w:rsidR="0043547B" w:rsidRPr="0043547B" w:rsidTr="00CB5DC0">
        <w:trPr>
          <w:trHeight w:val="315"/>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Repérage par inscription des conducteurs constitutifs des câbles électriques </w:t>
            </w:r>
          </w:p>
        </w:tc>
      </w:tr>
      <w:tr w:rsidR="0043547B" w:rsidRPr="0043547B" w:rsidTr="00CB5DC0">
        <w:trPr>
          <w:trHeight w:val="1006"/>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prescriptions à satisfaire lorsque le repérage des conducteurs individuels dans un câble est fait par inscription des numéros sur l'isolation extrudée de chaque conducteur. Les prescriptions s'appliquent uniquement lorsqu'elles sont demandées par la norme de câble particulière.</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4CD81"/>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06.3.182</w:t>
            </w:r>
          </w:p>
        </w:tc>
      </w:tr>
      <w:tr w:rsidR="0043547B" w:rsidRPr="0043547B" w:rsidTr="00CB5DC0">
        <w:trPr>
          <w:trHeight w:val="315"/>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Identification des conducteurs des câbles et cordons souples et rigides </w:t>
            </w:r>
          </w:p>
        </w:tc>
      </w:tr>
      <w:tr w:rsidR="0043547B" w:rsidRPr="0043547B" w:rsidTr="00CB5DC0">
        <w:trPr>
          <w:trHeight w:val="843"/>
          <w:jc w:val="center"/>
        </w:trPr>
        <w:tc>
          <w:tcPr>
            <w:tcW w:w="1843" w:type="dxa"/>
            <w:tcBorders>
              <w:top w:val="single" w:sz="4" w:space="0" w:color="auto"/>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top w:val="single" w:sz="4" w:space="0" w:color="auto"/>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Cette norme s'applique pour l'identification des conducteurs des câbles et cordons souples et rigides pour lesquels la tension assignée n'excède pas la limite supérieure au domaine de tension Il (selon NM 06.1.009).</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Cette norme s'applique aux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installations électriques,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réseaux de distribution,</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alimentations des matériels fixes ou mobiles et</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cordons pour matériels portatifs.</w:t>
            </w:r>
          </w:p>
          <w:p w:rsidR="004C1604" w:rsidRPr="0043547B" w:rsidRDefault="004C1604" w:rsidP="004C1604">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Cette norme ne s'applique pas aux :</w:t>
            </w:r>
          </w:p>
          <w:p w:rsidR="004C1604" w:rsidRPr="0043547B" w:rsidRDefault="004C1604" w:rsidP="004C1604">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câbles ou conducteurs isolés utilisés à l'intérieur de matériels électriques ou de</w:t>
            </w:r>
            <w:r w:rsidRPr="0043547B">
              <w:rPr>
                <w:rFonts w:eastAsia="Times New Roman" w:cstheme="minorHAnsi"/>
                <w:sz w:val="24"/>
                <w:szCs w:val="24"/>
                <w:lang w:eastAsia="fr-FR"/>
              </w:rPr>
              <w:br/>
              <w:t>tableaux assemblés en usine fabriqués selon leur propres normes, ou</w:t>
            </w:r>
          </w:p>
          <w:p w:rsidR="004C1604" w:rsidRPr="0043547B" w:rsidRDefault="004C1604" w:rsidP="004C1604">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câbles et cordons utilisés pour les applications courant continu, ou</w:t>
            </w:r>
          </w:p>
          <w:p w:rsidR="004C1604" w:rsidRPr="0043547B" w:rsidRDefault="004C1604" w:rsidP="004C1604">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câbles et cordons ayant plus de conducteurs qu'indiqué dans les tableaux 1 et 2, ou</w:t>
            </w:r>
          </w:p>
          <w:p w:rsidR="004C1604" w:rsidRPr="0043547B" w:rsidRDefault="004C1604" w:rsidP="009225AE">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circuits prévus pour une utilisation autre que la seule alimentation de matériels de</w:t>
            </w:r>
            <w:r w:rsidR="009225AE">
              <w:rPr>
                <w:rFonts w:eastAsia="Times New Roman" w:cstheme="minorHAnsi"/>
                <w:sz w:val="24"/>
                <w:szCs w:val="24"/>
                <w:lang w:eastAsia="fr-FR"/>
              </w:rPr>
              <w:t xml:space="preserve"> </w:t>
            </w:r>
            <w:r w:rsidRPr="0043547B">
              <w:rPr>
                <w:rFonts w:eastAsia="Times New Roman" w:cstheme="minorHAnsi"/>
                <w:sz w:val="24"/>
                <w:szCs w:val="24"/>
                <w:lang w:eastAsia="fr-FR"/>
              </w:rPr>
              <w:t xml:space="preserve">puissance, ou </w:t>
            </w:r>
          </w:p>
          <w:p w:rsidR="00904E52" w:rsidRPr="0043547B" w:rsidRDefault="004C1604" w:rsidP="004C1604">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lignes aériennes couvertes et conducteurs aériens isolés selon la NM 06.3.068.</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4CD81"/>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06.3.190</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top w:val="single" w:sz="18" w:space="0" w:color="auto"/>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Conducteurs de terre ou d'équipotentialité en cuivre ou en aluminium, nus ou revêtus </w:t>
            </w:r>
          </w:p>
        </w:tc>
      </w:tr>
      <w:tr w:rsidR="0043547B" w:rsidRPr="0043547B" w:rsidTr="004E1912">
        <w:trPr>
          <w:trHeight w:val="843"/>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top w:val="nil"/>
              <w:left w:val="single" w:sz="4" w:space="0" w:color="auto"/>
              <w:bottom w:val="single" w:sz="18" w:space="0" w:color="auto"/>
              <w:right w:val="single" w:sz="18" w:space="0" w:color="auto"/>
            </w:tcBorders>
            <w:shd w:val="clear" w:color="auto" w:fill="auto"/>
            <w:vAlign w:val="center"/>
            <w:hideMark/>
          </w:tcPr>
          <w:p w:rsidR="009225AE"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Cette norme définit les caractéristiques des conducteurs non isolés destinés à assurer la mise à la terre et la réalisation de la liaison équipotentielle dans les installations électriques.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Cette norme fixe les caractéristiques des produits et les méthodes pour la vérification de la conformité de ces caractéristiques. Ces prescriptions s'entendent avant la mise en œuvre de ces produits.</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4CD81"/>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06.3.191</w:t>
            </w:r>
          </w:p>
        </w:tc>
      </w:tr>
      <w:tr w:rsidR="001943A6" w:rsidRPr="0043547B" w:rsidTr="001943A6">
        <w:trPr>
          <w:trHeight w:val="901"/>
          <w:jc w:val="center"/>
        </w:trPr>
        <w:tc>
          <w:tcPr>
            <w:tcW w:w="1843"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1943A6" w:rsidRPr="0043547B" w:rsidRDefault="001943A6" w:rsidP="001943A6">
            <w:pPr>
              <w:spacing w:after="0"/>
              <w:jc w:val="center"/>
              <w:rPr>
                <w:rFonts w:cstheme="minorHAnsi"/>
                <w:b/>
                <w:bCs/>
                <w:sz w:val="24"/>
                <w:szCs w:val="24"/>
              </w:rPr>
            </w:pPr>
            <w:r w:rsidRPr="0043547B">
              <w:rPr>
                <w:rFonts w:cstheme="minorHAnsi"/>
                <w:b/>
                <w:bCs/>
                <w:sz w:val="24"/>
                <w:szCs w:val="24"/>
              </w:rPr>
              <w:t>Intitulé :</w:t>
            </w:r>
          </w:p>
        </w:tc>
        <w:tc>
          <w:tcPr>
            <w:tcW w:w="8080" w:type="dxa"/>
            <w:tcBorders>
              <w:top w:val="single" w:sz="18" w:space="0" w:color="auto"/>
              <w:left w:val="single" w:sz="4" w:space="0" w:color="auto"/>
              <w:bottom w:val="single" w:sz="4" w:space="0" w:color="auto"/>
              <w:right w:val="single" w:sz="18" w:space="0" w:color="auto"/>
            </w:tcBorders>
            <w:shd w:val="clear" w:color="auto" w:fill="auto"/>
            <w:hideMark/>
          </w:tcPr>
          <w:p w:rsidR="001943A6" w:rsidRPr="004E1912" w:rsidRDefault="001943A6" w:rsidP="00F46300">
            <w:pPr>
              <w:spacing w:after="0" w:line="240" w:lineRule="auto"/>
              <w:jc w:val="both"/>
              <w:rPr>
                <w:rFonts w:ascii="Calibri" w:hAnsi="Calibri" w:cs="Calibri"/>
                <w:sz w:val="24"/>
                <w:szCs w:val="24"/>
              </w:rPr>
            </w:pPr>
            <w:r w:rsidRPr="004E1912">
              <w:rPr>
                <w:rFonts w:ascii="Calibri" w:hAnsi="Calibri" w:cs="Calibri"/>
                <w:sz w:val="24"/>
                <w:szCs w:val="24"/>
              </w:rPr>
              <w:t xml:space="preserve">Conducteurs et câbles isolés pour installations - Câbles souples sans halogènes à comportement au feu amélioré, de catégorie C1, à isolation synthétique réticulée et avec gaine de protection synthétique extrudée de tension nominale au plus égale à 450/750 V </w:t>
            </w:r>
          </w:p>
        </w:tc>
      </w:tr>
      <w:tr w:rsidR="001943A6" w:rsidRPr="0043547B" w:rsidTr="001943A6">
        <w:trPr>
          <w:trHeight w:val="1087"/>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1943A6" w:rsidRPr="0043547B" w:rsidRDefault="001943A6" w:rsidP="001943A6">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top w:val="nil"/>
              <w:left w:val="single" w:sz="4" w:space="0" w:color="auto"/>
              <w:bottom w:val="single" w:sz="18" w:space="0" w:color="auto"/>
              <w:right w:val="single" w:sz="18" w:space="0" w:color="auto"/>
            </w:tcBorders>
            <w:shd w:val="clear" w:color="auto" w:fill="auto"/>
            <w:vAlign w:val="bottom"/>
            <w:hideMark/>
          </w:tcPr>
          <w:p w:rsidR="001943A6" w:rsidRPr="004E1912" w:rsidRDefault="001943A6" w:rsidP="00F46300">
            <w:pPr>
              <w:spacing w:after="0" w:line="240" w:lineRule="auto"/>
              <w:rPr>
                <w:rFonts w:ascii="Calibri" w:hAnsi="Calibri" w:cs="Calibri"/>
                <w:sz w:val="24"/>
                <w:szCs w:val="24"/>
              </w:rPr>
            </w:pPr>
            <w:r w:rsidRPr="004E1912">
              <w:rPr>
                <w:rFonts w:ascii="Calibri" w:hAnsi="Calibri" w:cs="Calibri"/>
                <w:sz w:val="24"/>
                <w:szCs w:val="24"/>
              </w:rPr>
              <w:t>Cette norme s'applique aux câbles souples sans halogènes, à isolant réticulé sous gaine de protection extrudée synthétique, de tension nominale 450/750 V.</w:t>
            </w:r>
            <w:r w:rsidRPr="004E1912">
              <w:rPr>
                <w:rFonts w:ascii="Calibri" w:hAnsi="Calibri" w:cs="Calibri"/>
                <w:sz w:val="24"/>
                <w:szCs w:val="24"/>
              </w:rPr>
              <w:br/>
              <w:t>Les câbles visés par La norme sont de la série FR-N07 X4X5-F.</w:t>
            </w:r>
            <w:r w:rsidRPr="004E1912">
              <w:rPr>
                <w:rFonts w:ascii="Calibri" w:hAnsi="Calibri" w:cs="Calibri"/>
                <w:sz w:val="24"/>
                <w:szCs w:val="24"/>
              </w:rPr>
              <w:br/>
              <w:t>Les compositions préférentielles sont les suivantes : 1, 2, 3, 4, 5, 7 (ou 6), 8, 10, 12, 14, 19 (ou 18), 24, 27, 30 ou 37 (ou 36) conducteurs.</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8080" w:type="dxa"/>
            <w:tcBorders>
              <w:top w:val="single" w:sz="18" w:space="0" w:color="auto"/>
              <w:left w:val="single" w:sz="4" w:space="0" w:color="auto"/>
              <w:bottom w:val="single" w:sz="18" w:space="0" w:color="auto"/>
              <w:right w:val="single" w:sz="18" w:space="0" w:color="auto"/>
            </w:tcBorders>
            <w:shd w:val="clear" w:color="auto" w:fill="B4CD81"/>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06.3.192</w:t>
            </w:r>
          </w:p>
        </w:tc>
      </w:tr>
      <w:tr w:rsidR="0043547B" w:rsidRPr="0043547B" w:rsidTr="00CB5DC0">
        <w:trPr>
          <w:trHeight w:val="900"/>
          <w:jc w:val="center"/>
        </w:trPr>
        <w:tc>
          <w:tcPr>
            <w:tcW w:w="1843"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top w:val="single" w:sz="18" w:space="0" w:color="auto"/>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Conducteurs et câbles isolés pour installations - Câbles rigides isolés au polychlorure de vinyle sous gaine de polychlorure de vinyle de tension assignée 300/500 V - Séries du type national </w:t>
            </w:r>
          </w:p>
        </w:tc>
      </w:tr>
      <w:tr w:rsidR="0043547B" w:rsidRPr="0043547B" w:rsidTr="00CB5DC0">
        <w:trPr>
          <w:trHeight w:val="560"/>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aux câbles rigides isolés au polychlorure de vinyle, sous gaine légère en polychlorure de vinyle (PVC), de tension assignée égale à 300/500 V.</w:t>
            </w:r>
          </w:p>
          <w:p w:rsidR="009D5CCE" w:rsidRPr="0043547B" w:rsidRDefault="009D5CCE" w:rsidP="009D5CCE">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câbles visés par La norme sont ceux des séries suivantes :</w:t>
            </w:r>
          </w:p>
          <w:p w:rsidR="009D5CCE" w:rsidRPr="0043547B" w:rsidRDefault="009D5CCE" w:rsidP="009D5CCE">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câbles ne comportant que la gaine externe PVC comme seul revêtement :</w:t>
            </w:r>
          </w:p>
          <w:p w:rsidR="009D5CCE" w:rsidRPr="0043547B" w:rsidRDefault="009D5CCE" w:rsidP="009D5CCE">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FR-N05 VV-U : câble à âme massive, en cuivre,</w:t>
            </w:r>
          </w:p>
          <w:p w:rsidR="009D5CCE" w:rsidRPr="0043547B" w:rsidRDefault="009D5CCE" w:rsidP="009D5CCE">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FR-N05 VV-R : câble à âme câblée, en cuivre,</w:t>
            </w:r>
          </w:p>
          <w:p w:rsidR="009D5CCE" w:rsidRPr="0043547B" w:rsidRDefault="009D5CCE" w:rsidP="009D5CCE">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FR-N05 VV-AR : câble à âme câblée, en aluminium.</w:t>
            </w:r>
          </w:p>
          <w:p w:rsidR="009D5CCE" w:rsidRPr="0043547B" w:rsidRDefault="009D5CCE" w:rsidP="009D5CCE">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câbles comportant une gaine en plomb sous la gaine externe en PVC :</w:t>
            </w:r>
          </w:p>
          <w:p w:rsidR="009D5CCE" w:rsidRPr="0043547B" w:rsidRDefault="009D5CCE" w:rsidP="009D5CCE">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FR-N05 VL2V-U : câble à âme massive, en cuivre,</w:t>
            </w:r>
          </w:p>
          <w:p w:rsidR="009D5CCE" w:rsidRPr="0043547B" w:rsidRDefault="009D5CCE" w:rsidP="009D5CCE">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FR-N05 VL2V-R : câble à âme câblée, en cuivre,</w:t>
            </w:r>
          </w:p>
          <w:p w:rsidR="009D5CCE" w:rsidRPr="0043547B" w:rsidRDefault="009D5CCE" w:rsidP="009D5CCE">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FR-N05 VL2V-AR : câble à âme câblée, en aluminium.</w:t>
            </w:r>
          </w:p>
          <w:p w:rsidR="00904E52" w:rsidRPr="0043547B" w:rsidRDefault="009D5CCE" w:rsidP="009D5CCE">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Ces deux séries de câbles sont de catégorie C2 au sens de la norme NM 06.3.003.</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4CD81"/>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06.3.193</w:t>
            </w:r>
          </w:p>
        </w:tc>
      </w:tr>
      <w:tr w:rsidR="001943A6" w:rsidRPr="0043547B" w:rsidTr="001943A6">
        <w:trPr>
          <w:trHeight w:val="733"/>
          <w:jc w:val="center"/>
        </w:trPr>
        <w:tc>
          <w:tcPr>
            <w:tcW w:w="1843"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1943A6" w:rsidRPr="0043547B" w:rsidRDefault="001943A6" w:rsidP="001943A6">
            <w:pPr>
              <w:spacing w:after="0"/>
              <w:jc w:val="center"/>
              <w:rPr>
                <w:rFonts w:cstheme="minorHAnsi"/>
                <w:b/>
                <w:bCs/>
                <w:sz w:val="24"/>
                <w:szCs w:val="24"/>
              </w:rPr>
            </w:pPr>
            <w:r w:rsidRPr="0043547B">
              <w:rPr>
                <w:rFonts w:cstheme="minorHAnsi"/>
                <w:b/>
                <w:bCs/>
                <w:sz w:val="24"/>
                <w:szCs w:val="24"/>
              </w:rPr>
              <w:t>Intitulé :</w:t>
            </w:r>
          </w:p>
        </w:tc>
        <w:tc>
          <w:tcPr>
            <w:tcW w:w="8080" w:type="dxa"/>
            <w:tcBorders>
              <w:top w:val="single" w:sz="18" w:space="0" w:color="auto"/>
              <w:left w:val="single" w:sz="4" w:space="0" w:color="auto"/>
              <w:bottom w:val="single" w:sz="4" w:space="0" w:color="auto"/>
              <w:right w:val="single" w:sz="18" w:space="0" w:color="auto"/>
            </w:tcBorders>
            <w:shd w:val="clear" w:color="auto" w:fill="auto"/>
            <w:hideMark/>
          </w:tcPr>
          <w:p w:rsidR="001943A6" w:rsidRPr="004E1912" w:rsidRDefault="001943A6" w:rsidP="00F46300">
            <w:pPr>
              <w:spacing w:after="0" w:line="240" w:lineRule="auto"/>
              <w:jc w:val="both"/>
              <w:rPr>
                <w:rFonts w:ascii="Calibri" w:hAnsi="Calibri" w:cs="Calibri"/>
                <w:sz w:val="24"/>
                <w:szCs w:val="24"/>
              </w:rPr>
            </w:pPr>
            <w:r w:rsidRPr="004E1912">
              <w:rPr>
                <w:rFonts w:ascii="Calibri" w:hAnsi="Calibri" w:cs="Calibri"/>
                <w:sz w:val="24"/>
                <w:szCs w:val="24"/>
              </w:rPr>
              <w:t xml:space="preserve">Conducteurs et câbles isolés pour installations - Câbles souples isolés au polychlorure de vinyle, destinés à être utilisés pour l'équipement des machines-outils et dans les installations industrielles - Séries du type national reconnu </w:t>
            </w:r>
          </w:p>
        </w:tc>
      </w:tr>
      <w:tr w:rsidR="001943A6" w:rsidRPr="0043547B" w:rsidTr="001943A6">
        <w:trPr>
          <w:trHeight w:val="276"/>
          <w:jc w:val="center"/>
        </w:trPr>
        <w:tc>
          <w:tcPr>
            <w:tcW w:w="1843" w:type="dxa"/>
            <w:tcBorders>
              <w:top w:val="single" w:sz="4" w:space="0" w:color="auto"/>
              <w:left w:val="single" w:sz="18" w:space="0" w:color="auto"/>
              <w:bottom w:val="single" w:sz="18" w:space="0" w:color="auto"/>
              <w:right w:val="single" w:sz="4" w:space="0" w:color="auto"/>
            </w:tcBorders>
            <w:shd w:val="clear" w:color="000000" w:fill="D9D9D9"/>
            <w:vAlign w:val="center"/>
            <w:hideMark/>
          </w:tcPr>
          <w:p w:rsidR="001943A6" w:rsidRPr="0043547B" w:rsidRDefault="001943A6" w:rsidP="001943A6">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top w:val="single" w:sz="4" w:space="0" w:color="auto"/>
              <w:left w:val="single" w:sz="4" w:space="0" w:color="auto"/>
              <w:bottom w:val="single" w:sz="18" w:space="0" w:color="auto"/>
              <w:right w:val="single" w:sz="18" w:space="0" w:color="auto"/>
            </w:tcBorders>
            <w:shd w:val="clear" w:color="auto" w:fill="auto"/>
            <w:vAlign w:val="bottom"/>
            <w:hideMark/>
          </w:tcPr>
          <w:p w:rsidR="001943A6" w:rsidRPr="004E1912" w:rsidRDefault="001943A6" w:rsidP="00F46300">
            <w:pPr>
              <w:spacing w:after="0" w:line="240" w:lineRule="auto"/>
              <w:rPr>
                <w:rFonts w:ascii="Calibri" w:hAnsi="Calibri" w:cs="Calibri"/>
                <w:sz w:val="24"/>
                <w:szCs w:val="24"/>
              </w:rPr>
            </w:pPr>
            <w:r w:rsidRPr="004E1912">
              <w:rPr>
                <w:rFonts w:ascii="Calibri" w:hAnsi="Calibri" w:cs="Calibri"/>
                <w:sz w:val="24"/>
                <w:szCs w:val="24"/>
              </w:rPr>
              <w:t>La norme s'applique aux câbles isolés au polychlorure de vinyle et gainés en polychlorure de vinyle résistant à l'huile, de tension assignée à 300/500 V, dits de type national reconnu.</w:t>
            </w:r>
            <w:r w:rsidRPr="004E1912">
              <w:rPr>
                <w:rFonts w:ascii="Calibri" w:hAnsi="Calibri" w:cs="Calibri"/>
                <w:sz w:val="24"/>
                <w:szCs w:val="24"/>
              </w:rPr>
              <w:br/>
              <w:t>Les câbles visés par le présent article sont ceux de la série suivante :</w:t>
            </w:r>
            <w:r w:rsidRPr="004E1912">
              <w:rPr>
                <w:rFonts w:ascii="Calibri" w:hAnsi="Calibri" w:cs="Calibri"/>
                <w:sz w:val="24"/>
                <w:szCs w:val="24"/>
              </w:rPr>
              <w:br/>
              <w:t>- A05VV5-F : Câbles souples sous gaine ordinaire en PVC sans écran.</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4CD81"/>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06.3.194</w:t>
            </w:r>
          </w:p>
        </w:tc>
      </w:tr>
      <w:tr w:rsidR="001943A6" w:rsidRPr="0043547B" w:rsidTr="001943A6">
        <w:trPr>
          <w:trHeight w:val="759"/>
          <w:jc w:val="center"/>
        </w:trPr>
        <w:tc>
          <w:tcPr>
            <w:tcW w:w="1843"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1943A6" w:rsidRPr="0043547B" w:rsidRDefault="001943A6" w:rsidP="001943A6">
            <w:pPr>
              <w:spacing w:after="0"/>
              <w:jc w:val="center"/>
              <w:rPr>
                <w:rFonts w:cstheme="minorHAnsi"/>
                <w:b/>
                <w:bCs/>
                <w:sz w:val="24"/>
                <w:szCs w:val="24"/>
              </w:rPr>
            </w:pPr>
            <w:r w:rsidRPr="0043547B">
              <w:rPr>
                <w:rFonts w:cstheme="minorHAnsi"/>
                <w:b/>
                <w:bCs/>
                <w:sz w:val="24"/>
                <w:szCs w:val="24"/>
              </w:rPr>
              <w:t>Intitulé :</w:t>
            </w:r>
          </w:p>
        </w:tc>
        <w:tc>
          <w:tcPr>
            <w:tcW w:w="8080" w:type="dxa"/>
            <w:tcBorders>
              <w:top w:val="single" w:sz="18" w:space="0" w:color="auto"/>
              <w:left w:val="single" w:sz="4" w:space="0" w:color="auto"/>
              <w:bottom w:val="single" w:sz="4" w:space="0" w:color="auto"/>
              <w:right w:val="single" w:sz="18" w:space="0" w:color="auto"/>
            </w:tcBorders>
            <w:shd w:val="clear" w:color="auto" w:fill="auto"/>
            <w:hideMark/>
          </w:tcPr>
          <w:p w:rsidR="001943A6" w:rsidRPr="004E1912" w:rsidRDefault="001943A6" w:rsidP="00F46300">
            <w:pPr>
              <w:spacing w:after="0" w:line="240" w:lineRule="auto"/>
              <w:jc w:val="both"/>
              <w:rPr>
                <w:rFonts w:ascii="Calibri" w:hAnsi="Calibri" w:cs="Calibri"/>
                <w:sz w:val="24"/>
                <w:szCs w:val="24"/>
              </w:rPr>
            </w:pPr>
            <w:r w:rsidRPr="004E1912">
              <w:rPr>
                <w:rFonts w:ascii="Calibri" w:hAnsi="Calibri" w:cs="Calibri"/>
                <w:sz w:val="24"/>
                <w:szCs w:val="24"/>
              </w:rPr>
              <w:t xml:space="preserve">Conducteurs et câbles isolés pour installations - Conducteurs à âme rigide, en aluminium, isolés au polychlorure de vinyle de tension nominale 450/750 V - Séries du type national de la catégorie 2 </w:t>
            </w:r>
          </w:p>
        </w:tc>
      </w:tr>
      <w:tr w:rsidR="001943A6" w:rsidRPr="0043547B" w:rsidTr="004E1912">
        <w:trPr>
          <w:trHeight w:val="701"/>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1943A6" w:rsidRPr="0043547B" w:rsidRDefault="001943A6" w:rsidP="001943A6">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top w:val="nil"/>
              <w:left w:val="single" w:sz="4" w:space="0" w:color="auto"/>
              <w:bottom w:val="single" w:sz="18" w:space="0" w:color="auto"/>
              <w:right w:val="single" w:sz="18" w:space="0" w:color="auto"/>
            </w:tcBorders>
            <w:shd w:val="clear" w:color="auto" w:fill="auto"/>
            <w:vAlign w:val="bottom"/>
            <w:hideMark/>
          </w:tcPr>
          <w:p w:rsidR="001943A6" w:rsidRPr="004E1912" w:rsidRDefault="001943A6" w:rsidP="004E1912">
            <w:pPr>
              <w:spacing w:after="0" w:line="240" w:lineRule="auto"/>
              <w:rPr>
                <w:rFonts w:ascii="Calibri" w:hAnsi="Calibri" w:cs="Calibri"/>
                <w:sz w:val="24"/>
                <w:szCs w:val="24"/>
              </w:rPr>
            </w:pPr>
            <w:r w:rsidRPr="004E1912">
              <w:rPr>
                <w:rFonts w:ascii="Calibri" w:hAnsi="Calibri" w:cs="Calibri"/>
                <w:sz w:val="24"/>
                <w:szCs w:val="24"/>
              </w:rPr>
              <w:t>La norme s'applique aux conducteurs isolés au polychlorure de vinyle à âme en aluminium, de tension assignée 450/750 V, pour installations fixes.</w:t>
            </w:r>
            <w:r w:rsidRPr="004E1912">
              <w:rPr>
                <w:rFonts w:ascii="Calibri" w:hAnsi="Calibri" w:cs="Calibri"/>
                <w:sz w:val="24"/>
                <w:szCs w:val="24"/>
              </w:rPr>
              <w:br/>
            </w:r>
            <w:r w:rsidR="004E1912" w:rsidRPr="004E1912">
              <w:rPr>
                <w:rFonts w:ascii="Calibri" w:hAnsi="Calibri" w:cs="Calibri"/>
                <w:sz w:val="24"/>
                <w:szCs w:val="24"/>
              </w:rPr>
              <w:t>Les conducteurs visés par La norme sont ceux des séries suivantes :</w:t>
            </w:r>
            <w:r w:rsidR="004E1912" w:rsidRPr="004E1912">
              <w:rPr>
                <w:rFonts w:ascii="Calibri" w:hAnsi="Calibri" w:cs="Calibri"/>
                <w:sz w:val="24"/>
                <w:szCs w:val="24"/>
              </w:rPr>
              <w:br/>
              <w:t>FR-N07-V-AU : pour les conducteurs à âmes rigides massives,</w:t>
            </w:r>
            <w:r w:rsidR="004E1912" w:rsidRPr="004E1912">
              <w:rPr>
                <w:rFonts w:ascii="Calibri" w:hAnsi="Calibri" w:cs="Calibri"/>
                <w:sz w:val="24"/>
                <w:szCs w:val="24"/>
              </w:rPr>
              <w:br/>
              <w:t>FR-N07 V-AR : pour les conducteurs à âmes rigides câblées.</w:t>
            </w:r>
            <w:r w:rsidR="004E1912" w:rsidRPr="004E1912">
              <w:rPr>
                <w:rFonts w:ascii="Calibri" w:hAnsi="Calibri" w:cs="Calibri"/>
                <w:sz w:val="24"/>
                <w:szCs w:val="24"/>
              </w:rPr>
              <w:br/>
              <w:t>Ces séries sont reconnues comme séries du type national de la catégorie 2.</w:t>
            </w:r>
            <w:r w:rsidR="004E1912" w:rsidRPr="004E1912">
              <w:rPr>
                <w:rFonts w:ascii="Calibri" w:hAnsi="Calibri" w:cs="Calibri"/>
                <w:sz w:val="24"/>
                <w:szCs w:val="24"/>
              </w:rPr>
              <w:br/>
              <w:t>Du point de vue du comportement au feu, ils sont de la catégorie C 2 au sens de la norme en vigueur</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4CD81"/>
            <w:vAlign w:val="center"/>
            <w:hideMark/>
          </w:tcPr>
          <w:p w:rsidR="00904E52" w:rsidRPr="00F46300" w:rsidRDefault="00904E52" w:rsidP="00F46300">
            <w:pPr>
              <w:spacing w:after="0" w:line="240" w:lineRule="auto"/>
              <w:jc w:val="center"/>
              <w:rPr>
                <w:rFonts w:eastAsia="Times New Roman" w:cstheme="minorHAnsi"/>
                <w:b/>
                <w:bCs/>
                <w:sz w:val="24"/>
                <w:szCs w:val="24"/>
                <w:lang w:eastAsia="fr-FR"/>
              </w:rPr>
            </w:pPr>
            <w:r w:rsidRPr="00F46300">
              <w:rPr>
                <w:rFonts w:eastAsia="Times New Roman" w:cstheme="minorHAnsi"/>
                <w:b/>
                <w:bCs/>
                <w:sz w:val="24"/>
                <w:szCs w:val="24"/>
                <w:lang w:eastAsia="fr-FR"/>
              </w:rPr>
              <w:t>NM 06.3.195</w:t>
            </w:r>
          </w:p>
        </w:tc>
      </w:tr>
      <w:tr w:rsidR="001943A6" w:rsidRPr="0043547B" w:rsidTr="001943A6">
        <w:trPr>
          <w:trHeight w:val="900"/>
          <w:jc w:val="center"/>
        </w:trPr>
        <w:tc>
          <w:tcPr>
            <w:tcW w:w="1843" w:type="dxa"/>
            <w:tcBorders>
              <w:top w:val="single" w:sz="18" w:space="0" w:color="auto"/>
              <w:left w:val="single" w:sz="18" w:space="0" w:color="auto"/>
              <w:bottom w:val="single" w:sz="4" w:space="0" w:color="auto"/>
              <w:right w:val="single" w:sz="4" w:space="0" w:color="auto"/>
            </w:tcBorders>
            <w:shd w:val="clear" w:color="auto" w:fill="95B3D7" w:themeFill="accent1" w:themeFillTint="99"/>
            <w:vAlign w:val="center"/>
            <w:hideMark/>
          </w:tcPr>
          <w:p w:rsidR="001943A6" w:rsidRPr="0043547B" w:rsidRDefault="001943A6" w:rsidP="001943A6">
            <w:pPr>
              <w:spacing w:after="0"/>
              <w:jc w:val="center"/>
              <w:rPr>
                <w:rFonts w:cstheme="minorHAnsi"/>
                <w:b/>
                <w:bCs/>
                <w:sz w:val="24"/>
                <w:szCs w:val="24"/>
              </w:rPr>
            </w:pPr>
            <w:r w:rsidRPr="0043547B">
              <w:rPr>
                <w:rFonts w:cstheme="minorHAnsi"/>
                <w:b/>
                <w:bCs/>
                <w:sz w:val="24"/>
                <w:szCs w:val="24"/>
              </w:rPr>
              <w:t>Intitulé :</w:t>
            </w:r>
          </w:p>
        </w:tc>
        <w:tc>
          <w:tcPr>
            <w:tcW w:w="8080" w:type="dxa"/>
            <w:tcBorders>
              <w:top w:val="single" w:sz="18" w:space="0" w:color="auto"/>
              <w:left w:val="single" w:sz="4" w:space="0" w:color="auto"/>
              <w:bottom w:val="single" w:sz="4" w:space="0" w:color="auto"/>
              <w:right w:val="single" w:sz="18" w:space="0" w:color="auto"/>
            </w:tcBorders>
            <w:shd w:val="clear" w:color="auto" w:fill="auto"/>
            <w:hideMark/>
          </w:tcPr>
          <w:p w:rsidR="001943A6" w:rsidRPr="004E1912" w:rsidRDefault="001943A6" w:rsidP="00F46300">
            <w:pPr>
              <w:spacing w:after="0" w:line="240" w:lineRule="auto"/>
              <w:jc w:val="both"/>
              <w:rPr>
                <w:rFonts w:ascii="Calibri" w:hAnsi="Calibri" w:cs="Calibri"/>
                <w:sz w:val="24"/>
                <w:szCs w:val="24"/>
              </w:rPr>
            </w:pPr>
            <w:r w:rsidRPr="004E1912">
              <w:rPr>
                <w:rFonts w:ascii="Calibri" w:hAnsi="Calibri" w:cs="Calibri"/>
                <w:sz w:val="24"/>
                <w:szCs w:val="24"/>
              </w:rPr>
              <w:t xml:space="preserve">Conducteurs et câbles isolés pour installations – Câbles souples sans halogènes à comportement au feu amélioré, de catégorie C2 ou C1, à isolation synthétique thermoplastique ou réticulée de tension nominale au plus égale à 450/750 V </w:t>
            </w:r>
          </w:p>
        </w:tc>
      </w:tr>
      <w:tr w:rsidR="001943A6" w:rsidRPr="0043547B" w:rsidTr="001943A6">
        <w:trPr>
          <w:trHeight w:val="1178"/>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1943A6" w:rsidRPr="0043547B" w:rsidRDefault="001943A6" w:rsidP="001943A6">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top w:val="nil"/>
              <w:left w:val="single" w:sz="4" w:space="0" w:color="auto"/>
              <w:bottom w:val="single" w:sz="18" w:space="0" w:color="auto"/>
              <w:right w:val="single" w:sz="18" w:space="0" w:color="auto"/>
            </w:tcBorders>
            <w:shd w:val="clear" w:color="auto" w:fill="auto"/>
            <w:vAlign w:val="bottom"/>
            <w:hideMark/>
          </w:tcPr>
          <w:p w:rsidR="001943A6" w:rsidRPr="004E1912" w:rsidRDefault="001943A6" w:rsidP="00F46300">
            <w:pPr>
              <w:spacing w:after="0" w:line="240" w:lineRule="auto"/>
              <w:rPr>
                <w:rFonts w:ascii="Calibri" w:hAnsi="Calibri" w:cs="Calibri"/>
                <w:sz w:val="24"/>
                <w:szCs w:val="24"/>
              </w:rPr>
            </w:pPr>
            <w:r w:rsidRPr="004E1912">
              <w:rPr>
                <w:rFonts w:ascii="Calibri" w:hAnsi="Calibri" w:cs="Calibri"/>
                <w:sz w:val="24"/>
                <w:szCs w:val="24"/>
              </w:rPr>
              <w:t>Cette norme s'applique aux conducteurs sans halogènes, à isolant thermoplastique ou réticulé, de tension nominale 300/500 ou 450/750 V (voir tableau I).</w:t>
            </w:r>
            <w:r w:rsidRPr="004E1912">
              <w:rPr>
                <w:rFonts w:ascii="Calibri" w:hAnsi="Calibri" w:cs="Calibri"/>
                <w:sz w:val="24"/>
                <w:szCs w:val="24"/>
              </w:rPr>
              <w:br/>
              <w:t>Les conducteurs visés par La norme sont de la série :</w:t>
            </w:r>
            <w:r w:rsidRPr="004E1912">
              <w:rPr>
                <w:rFonts w:ascii="Calibri" w:hAnsi="Calibri" w:cs="Calibri"/>
                <w:sz w:val="24"/>
                <w:szCs w:val="24"/>
              </w:rPr>
              <w:br/>
              <w:t>FR-N05 G2,</w:t>
            </w:r>
            <w:r w:rsidRPr="004E1912">
              <w:rPr>
                <w:rFonts w:ascii="Calibri" w:hAnsi="Calibri" w:cs="Calibri"/>
                <w:sz w:val="24"/>
                <w:szCs w:val="24"/>
              </w:rPr>
              <w:br/>
              <w:t>FR-N07 X3.</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8080" w:type="dxa"/>
            <w:tcBorders>
              <w:top w:val="single" w:sz="18" w:space="0" w:color="auto"/>
              <w:left w:val="single" w:sz="4" w:space="0" w:color="auto"/>
              <w:bottom w:val="single" w:sz="18" w:space="0" w:color="auto"/>
              <w:right w:val="single" w:sz="18" w:space="0" w:color="auto"/>
            </w:tcBorders>
            <w:shd w:val="clear" w:color="auto" w:fill="B4CD81"/>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06.3.196</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60702-1</w:t>
            </w:r>
          </w:p>
        </w:tc>
      </w:tr>
      <w:tr w:rsidR="0043547B" w:rsidRPr="0043547B" w:rsidTr="00CB5DC0">
        <w:trPr>
          <w:trHeight w:val="600"/>
          <w:jc w:val="center"/>
        </w:trPr>
        <w:tc>
          <w:tcPr>
            <w:tcW w:w="1843" w:type="dxa"/>
            <w:tcBorders>
              <w:top w:val="nil"/>
              <w:left w:val="single" w:sz="18" w:space="0" w:color="auto"/>
              <w:bottom w:val="single" w:sz="4" w:space="0" w:color="auto"/>
              <w:right w:val="single" w:sz="4" w:space="0" w:color="auto"/>
            </w:tcBorders>
            <w:shd w:val="clear" w:color="auto" w:fill="95B3D7" w:themeFill="accent1" w:themeFillTint="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Câbles à isolant minéral, et leurs terminaisons de tension assignée ne dépassant pas 750 V – Câbles  </w:t>
            </w:r>
          </w:p>
        </w:tc>
      </w:tr>
      <w:tr w:rsidR="0043547B" w:rsidRPr="0043547B" w:rsidTr="00CB5DC0">
        <w:trPr>
          <w:trHeight w:val="1905"/>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aux câbles à isolant minéral pour usage général, ayant une gaine en cuivre ou en alliage de cuivre et des âmes conductrices en cuivre, de tensions assignées 500 V et 750 V.</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L'objet de La norme est de déterminer les règles auxquelles doivent répondre les câbles à isolant minéral afin qu'ils soient sûrs et fiables lorsqu'ils sont correctement utilisés, de fixer dans ce but leurs caractéristiques et les prescriptions relatives à leur fabrication, et de préciser les méthodes pour la vérification de la conformité à ces prescriptions.</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4CD81"/>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06.3.197</w:t>
            </w:r>
          </w:p>
        </w:tc>
      </w:tr>
      <w:tr w:rsidR="0043547B" w:rsidRPr="0043547B" w:rsidTr="00CB5DC0">
        <w:trPr>
          <w:trHeight w:val="600"/>
          <w:jc w:val="center"/>
        </w:trPr>
        <w:tc>
          <w:tcPr>
            <w:tcW w:w="1843" w:type="dxa"/>
            <w:tcBorders>
              <w:top w:val="single" w:sz="18" w:space="0" w:color="auto"/>
              <w:left w:val="single" w:sz="18" w:space="0" w:color="auto"/>
              <w:bottom w:val="single" w:sz="4" w:space="0" w:color="auto"/>
              <w:right w:val="single" w:sz="4" w:space="0" w:color="auto"/>
            </w:tcBorders>
            <w:shd w:val="clear" w:color="auto" w:fill="95B3D7" w:themeFill="accent1" w:themeFillTint="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top w:val="single" w:sz="18" w:space="0" w:color="auto"/>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Conducteurs et câbles isolés pour installations - Conducteurs et câbles dits "résistant au feu" (catégorie CR1) de tension assignée U0/U au plus égale à 0,6/1 kV    </w:t>
            </w:r>
          </w:p>
        </w:tc>
      </w:tr>
      <w:tr w:rsidR="0043547B" w:rsidRPr="0043547B" w:rsidTr="00CB5DC0">
        <w:trPr>
          <w:trHeight w:val="1748"/>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4C1604">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est applicable aux conducteurs et câbles isolés dits «résistant au feu» suivant les critères fixés par la norme NM 06.3.003 (catégorie CR1), de tension assignée U</w:t>
            </w:r>
            <w:r w:rsidR="004C1604" w:rsidRPr="0043547B">
              <w:rPr>
                <w:rFonts w:eastAsia="Times New Roman" w:cstheme="minorHAnsi"/>
                <w:sz w:val="24"/>
                <w:szCs w:val="24"/>
                <w:vertAlign w:val="subscript"/>
                <w:lang w:eastAsia="fr-FR"/>
              </w:rPr>
              <w:t>0</w:t>
            </w:r>
            <w:r w:rsidRPr="0043547B">
              <w:rPr>
                <w:rFonts w:eastAsia="Times New Roman" w:cstheme="minorHAnsi"/>
                <w:sz w:val="24"/>
                <w:szCs w:val="24"/>
                <w:lang w:eastAsia="fr-FR"/>
              </w:rPr>
              <w:t>/U au plus égale à 0,6/1 kV, et destinés aux installations fixes.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stipule un minimum de conditions auxquelles doivent répondre les conducteurs et câbles dits "résistant au feu" lorsque leurs caractéristiques et leurs conditions d'essai autres que celles concernant la résistance au feu ne sont pas conformes à une norme particulière en vigueur.</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4CD81"/>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06.3.227</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95B3D7" w:themeFill="accent1" w:themeFillTint="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top w:val="single" w:sz="18" w:space="0" w:color="auto"/>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Conducteurs et câbles isolés pour réseaux d'énergie - Câbles téléreport  </w:t>
            </w:r>
          </w:p>
        </w:tc>
      </w:tr>
      <w:tr w:rsidR="0043547B" w:rsidRPr="0043547B" w:rsidTr="00CB5DC0">
        <w:trPr>
          <w:trHeight w:val="845"/>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est applicable aux câbles à deux paires armés et non armés assemblées en quarte "étoile" destinés à l'équipement des habitations entre les compteurs placés à l'intérieur de celles-ci et l'interface placée en limite de propriété (embase de Téléreport).</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4CD81"/>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06.3.234</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95B3D7" w:themeFill="accent1" w:themeFillTint="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top w:val="single" w:sz="18" w:space="0" w:color="auto"/>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Câbles téléphoniques avec isolant et gaines PVC  </w:t>
            </w:r>
          </w:p>
        </w:tc>
      </w:tr>
      <w:tr w:rsidR="0043547B" w:rsidRPr="0043547B" w:rsidTr="00CB5DC0">
        <w:trPr>
          <w:trHeight w:val="985"/>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définit la constitution générale et les prescriptions applicables aux différents modèles de câbles appartenant à la série SYT.</w:t>
            </w:r>
          </w:p>
          <w:p w:rsidR="004C1604" w:rsidRPr="0043547B" w:rsidRDefault="004C1604" w:rsidP="004C1604">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A l'intérieur de la série, on distingue 4 types :</w:t>
            </w:r>
          </w:p>
          <w:p w:rsidR="004C1604" w:rsidRPr="0043547B" w:rsidRDefault="004C1604" w:rsidP="004C1604">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SYT1 Câbles avec écran général non armé,</w:t>
            </w:r>
          </w:p>
          <w:p w:rsidR="004C1604" w:rsidRPr="0043547B" w:rsidRDefault="004C1604" w:rsidP="004C1604">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SYT2 Câbles avec écran général armé,</w:t>
            </w:r>
          </w:p>
          <w:p w:rsidR="004C1604" w:rsidRPr="0043547B" w:rsidRDefault="004C1604" w:rsidP="004C1604">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SYT1 B Câbles SYT1 avec éléments de câblage blindés individuellement,</w:t>
            </w:r>
          </w:p>
          <w:p w:rsidR="004C1604" w:rsidRPr="0043547B" w:rsidRDefault="004C1604" w:rsidP="004C1604">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SYT2B Câbles SYT2 avec éléments de câblage blindés individuellement.</w:t>
            </w:r>
          </w:p>
          <w:p w:rsidR="004C1604" w:rsidRPr="0043547B" w:rsidRDefault="004C1604" w:rsidP="004C1604">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désignation des câbles s'effectue de la façon suivante :</w:t>
            </w:r>
          </w:p>
          <w:p w:rsidR="004C1604" w:rsidRPr="0043547B" w:rsidRDefault="004C1604" w:rsidP="004C1604">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nombre de paires,</w:t>
            </w:r>
          </w:p>
          <w:p w:rsidR="004C1604" w:rsidRPr="0043547B" w:rsidRDefault="004C1604" w:rsidP="004C1604">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diamètre du conducteur,</w:t>
            </w:r>
          </w:p>
          <w:p w:rsidR="004C1604" w:rsidRPr="0043547B" w:rsidRDefault="004C1604" w:rsidP="004C1604">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type de câble.</w:t>
            </w:r>
          </w:p>
          <w:p w:rsidR="00904E52" w:rsidRPr="0043547B" w:rsidRDefault="004C1604" w:rsidP="004C1604">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Exemple : 21 x 2 0,5 SYT1</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4CD81"/>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06.3.246</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60702-2</w:t>
            </w:r>
          </w:p>
        </w:tc>
      </w:tr>
      <w:tr w:rsidR="0043547B" w:rsidRPr="0043547B" w:rsidTr="00CB5DC0">
        <w:trPr>
          <w:trHeight w:val="414"/>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Câbles à isolant minéral et leurs terminaisons de tension assignée ne dépassant pas 750 V – Terminaisons </w:t>
            </w:r>
          </w:p>
        </w:tc>
      </w:tr>
      <w:tr w:rsidR="0043547B" w:rsidRPr="0043547B" w:rsidTr="00CB5DC0">
        <w:trPr>
          <w:trHeight w:val="592"/>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Domaine d’application :</w:t>
            </w:r>
          </w:p>
        </w:tc>
        <w:tc>
          <w:tcPr>
            <w:tcW w:w="8080"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prescriptions pour les terminaisons destinées à être utilisées avec les câbles à isolant minéral conformes aux prescriptions de la NM 06.3.196.</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4CD81"/>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06.3.258</w:t>
            </w:r>
          </w:p>
        </w:tc>
      </w:tr>
      <w:tr w:rsidR="0043547B" w:rsidRPr="0043547B" w:rsidTr="00CB5DC0">
        <w:trPr>
          <w:trHeight w:val="900"/>
          <w:jc w:val="center"/>
        </w:trPr>
        <w:tc>
          <w:tcPr>
            <w:tcW w:w="1843"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top w:val="single" w:sz="18" w:space="0" w:color="auto"/>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Câbles isolés et leurs accessoires pour réseaux d'énergie - Câbles de tension assignées comprises entre 6/10 (12) kV et 18/30 (36) kV, isolés au polyéthylène réticulé, pour réseaux de distribution </w:t>
            </w:r>
          </w:p>
        </w:tc>
      </w:tr>
      <w:tr w:rsidR="0043547B" w:rsidRPr="0043547B" w:rsidTr="00CB5DC0">
        <w:trPr>
          <w:trHeight w:val="1126"/>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w w:val="95"/>
                <w:sz w:val="24"/>
                <w:szCs w:val="24"/>
                <w:lang w:eastAsia="fr-FR"/>
              </w:rPr>
            </w:pPr>
            <w:r w:rsidRPr="0043547B">
              <w:rPr>
                <w:rFonts w:eastAsia="Times New Roman" w:cstheme="minorHAnsi"/>
                <w:w w:val="95"/>
                <w:sz w:val="24"/>
                <w:szCs w:val="24"/>
                <w:lang w:eastAsia="fr-FR"/>
              </w:rPr>
              <w:t>La norme s'applique aux câbles isolés au polyéthylène réticulé, à champ radial, de tensions assignées comprises entre 6/10 (12) kV et 18/30 (36) kV, destinés à fonctionner dans les réseaux de distribution publique ou privée.</w:t>
            </w:r>
          </w:p>
          <w:p w:rsidR="00904E52" w:rsidRPr="0043547B" w:rsidRDefault="00904E52" w:rsidP="00904E52">
            <w:pPr>
              <w:spacing w:after="0" w:line="240" w:lineRule="auto"/>
              <w:jc w:val="both"/>
              <w:rPr>
                <w:rFonts w:eastAsia="Times New Roman" w:cstheme="minorHAnsi"/>
                <w:w w:val="95"/>
                <w:sz w:val="24"/>
                <w:szCs w:val="24"/>
                <w:lang w:eastAsia="fr-FR"/>
              </w:rPr>
            </w:pPr>
            <w:r w:rsidRPr="0043547B">
              <w:rPr>
                <w:rFonts w:eastAsia="Times New Roman" w:cstheme="minorHAnsi"/>
                <w:w w:val="95"/>
                <w:sz w:val="24"/>
                <w:szCs w:val="24"/>
                <w:lang w:eastAsia="fr-FR"/>
              </w:rPr>
              <w:t>Deux versions sont définies :</w:t>
            </w:r>
          </w:p>
          <w:p w:rsidR="00904E52" w:rsidRPr="0043547B" w:rsidRDefault="00904E52" w:rsidP="00904E52">
            <w:pPr>
              <w:spacing w:after="0" w:line="240" w:lineRule="auto"/>
              <w:jc w:val="both"/>
              <w:rPr>
                <w:rFonts w:eastAsia="Times New Roman" w:cstheme="minorHAnsi"/>
                <w:w w:val="95"/>
                <w:sz w:val="24"/>
                <w:szCs w:val="24"/>
                <w:lang w:eastAsia="fr-FR"/>
              </w:rPr>
            </w:pPr>
            <w:r w:rsidRPr="0043547B">
              <w:rPr>
                <w:rFonts w:eastAsia="Times New Roman" w:cstheme="minorHAnsi"/>
                <w:w w:val="95"/>
                <w:sz w:val="24"/>
                <w:szCs w:val="24"/>
                <w:lang w:eastAsia="fr-FR"/>
              </w:rPr>
              <w:t>- l'une souterraine, destinée à être posée en pleine terre ou à l'air libre ;</w:t>
            </w:r>
          </w:p>
          <w:p w:rsidR="00904E52" w:rsidRPr="0043547B" w:rsidRDefault="00904E52" w:rsidP="00904E52">
            <w:pPr>
              <w:spacing w:after="0" w:line="240" w:lineRule="auto"/>
              <w:jc w:val="both"/>
              <w:rPr>
                <w:rFonts w:eastAsia="Times New Roman" w:cstheme="minorHAnsi"/>
                <w:w w:val="95"/>
                <w:sz w:val="24"/>
                <w:szCs w:val="24"/>
                <w:lang w:eastAsia="fr-FR"/>
              </w:rPr>
            </w:pPr>
            <w:r w:rsidRPr="0043547B">
              <w:rPr>
                <w:rFonts w:eastAsia="Times New Roman" w:cstheme="minorHAnsi"/>
                <w:w w:val="95"/>
                <w:sz w:val="24"/>
                <w:szCs w:val="24"/>
                <w:lang w:eastAsia="fr-FR"/>
              </w:rPr>
              <w:t>- l'autre aérienne, munie d'un porteur, destinée à être installée sur les réseaux tendus entre supports.</w:t>
            </w:r>
          </w:p>
          <w:p w:rsidR="00904E52" w:rsidRPr="0043547B" w:rsidRDefault="00904E52" w:rsidP="00904E52">
            <w:pPr>
              <w:spacing w:after="0" w:line="240" w:lineRule="auto"/>
              <w:jc w:val="both"/>
              <w:rPr>
                <w:rFonts w:eastAsia="Times New Roman" w:cstheme="minorHAnsi"/>
                <w:w w:val="95"/>
                <w:sz w:val="24"/>
                <w:szCs w:val="24"/>
                <w:lang w:eastAsia="fr-FR"/>
              </w:rPr>
            </w:pPr>
            <w:r w:rsidRPr="0043547B">
              <w:rPr>
                <w:rFonts w:eastAsia="Times New Roman" w:cstheme="minorHAnsi"/>
                <w:w w:val="95"/>
                <w:sz w:val="24"/>
                <w:szCs w:val="24"/>
                <w:lang w:eastAsia="fr-FR"/>
              </w:rPr>
              <w:t>Du point de vue de leur comportement au feu, la version souterraine des câbles est de catégorie C2 au sens de la norme NM 06.3.003.</w:t>
            </w:r>
          </w:p>
          <w:p w:rsidR="009D5CCE" w:rsidRPr="0043547B" w:rsidRDefault="00904E52" w:rsidP="009225AE">
            <w:pPr>
              <w:spacing w:after="0" w:line="240" w:lineRule="auto"/>
              <w:jc w:val="both"/>
              <w:rPr>
                <w:rFonts w:eastAsia="Times New Roman" w:cstheme="minorHAnsi"/>
                <w:sz w:val="24"/>
                <w:szCs w:val="24"/>
                <w:lang w:eastAsia="fr-FR"/>
              </w:rPr>
            </w:pPr>
            <w:r w:rsidRPr="0043547B">
              <w:rPr>
                <w:rFonts w:eastAsia="Times New Roman" w:cstheme="minorHAnsi"/>
                <w:w w:val="95"/>
                <w:sz w:val="24"/>
                <w:szCs w:val="24"/>
                <w:lang w:eastAsia="fr-FR"/>
              </w:rPr>
              <w:t>La norme donne les conditions auxquelles doivent satisfaire les câbles pour donner toute garantie de sécurité et de durée lorsqu'ils sont utilisés conformément aux dispositions de l'arrêté interministériel (voir NM 06.1.010) pour les réseaux publics ou de la norme NM 06.1.013 pour les réseaux privés.</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4CD81"/>
            <w:vAlign w:val="center"/>
            <w:hideMark/>
          </w:tcPr>
          <w:p w:rsidR="00904E52" w:rsidRPr="0043547B" w:rsidRDefault="00904E52" w:rsidP="00A16D04">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06.3.259</w:t>
            </w:r>
          </w:p>
        </w:tc>
      </w:tr>
      <w:tr w:rsidR="0043547B" w:rsidRPr="0043547B" w:rsidTr="00CB5DC0">
        <w:trPr>
          <w:trHeight w:val="666"/>
          <w:jc w:val="center"/>
        </w:trPr>
        <w:tc>
          <w:tcPr>
            <w:tcW w:w="1843"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top w:val="single" w:sz="18" w:space="0" w:color="auto"/>
              <w:left w:val="single" w:sz="4" w:space="0" w:color="auto"/>
              <w:bottom w:val="single" w:sz="4" w:space="0" w:color="auto"/>
              <w:right w:val="single" w:sz="18" w:space="0" w:color="auto"/>
            </w:tcBorders>
            <w:shd w:val="clear" w:color="auto" w:fill="auto"/>
            <w:hideMark/>
          </w:tcPr>
          <w:p w:rsidR="00904E52" w:rsidRPr="0043547B" w:rsidRDefault="00904E52" w:rsidP="00FD00D5">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Câbles isolés et leurs accessoires pour réseaux d'énergie - Connecteurs de dérivation à perforation d'isolant pour réseaux et branchements aériens en conducteurs isolés torsadés, de tension assignée 0,6/1 kV </w:t>
            </w:r>
          </w:p>
        </w:tc>
      </w:tr>
      <w:tr w:rsidR="0043547B" w:rsidRPr="0043547B" w:rsidTr="00CB5DC0">
        <w:trPr>
          <w:trHeight w:val="276"/>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FD00D5"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p w:rsidR="00FD00D5" w:rsidRPr="0043547B" w:rsidRDefault="00FD00D5" w:rsidP="00FD00D5">
            <w:pPr>
              <w:rPr>
                <w:rFonts w:cstheme="minorHAnsi"/>
                <w:sz w:val="24"/>
                <w:szCs w:val="24"/>
              </w:rPr>
            </w:pPr>
          </w:p>
          <w:p w:rsidR="00FD00D5" w:rsidRPr="0043547B" w:rsidRDefault="00FD00D5" w:rsidP="00FD00D5">
            <w:pPr>
              <w:rPr>
                <w:rFonts w:cstheme="minorHAnsi"/>
                <w:sz w:val="24"/>
                <w:szCs w:val="24"/>
              </w:rPr>
            </w:pPr>
          </w:p>
          <w:p w:rsidR="00FD00D5" w:rsidRPr="0043547B" w:rsidRDefault="00FD00D5" w:rsidP="00FD00D5">
            <w:pPr>
              <w:rPr>
                <w:rFonts w:cstheme="minorHAnsi"/>
                <w:sz w:val="24"/>
                <w:szCs w:val="24"/>
              </w:rPr>
            </w:pPr>
          </w:p>
          <w:p w:rsidR="00FD00D5" w:rsidRPr="0043547B" w:rsidRDefault="00FD00D5" w:rsidP="00FD00D5">
            <w:pPr>
              <w:rPr>
                <w:rFonts w:cstheme="minorHAnsi"/>
                <w:sz w:val="24"/>
                <w:szCs w:val="24"/>
              </w:rPr>
            </w:pPr>
          </w:p>
          <w:p w:rsidR="00FD00D5" w:rsidRPr="0043547B" w:rsidRDefault="00FD00D5" w:rsidP="00FD00D5">
            <w:pPr>
              <w:rPr>
                <w:rFonts w:cstheme="minorHAnsi"/>
                <w:sz w:val="24"/>
                <w:szCs w:val="24"/>
              </w:rPr>
            </w:pPr>
          </w:p>
          <w:p w:rsidR="00904E52" w:rsidRPr="0043547B" w:rsidRDefault="00904E52" w:rsidP="00FD00D5">
            <w:pPr>
              <w:rPr>
                <w:rFonts w:cstheme="minorHAnsi"/>
                <w:sz w:val="24"/>
                <w:szCs w:val="24"/>
              </w:rPr>
            </w:pPr>
          </w:p>
        </w:tc>
        <w:tc>
          <w:tcPr>
            <w:tcW w:w="8080"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aux connecteurs de dérivation destinés à assurer le raccordement électrique des réseaux aériens en câbles torsadés ou en conducteurs nus, aux câbles isolés de réseaux et de branchement, de tension assignée 0,6/1 kV.</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Ces connecteurs ne sont pas prévus pour être réutilisés quand ils sont déconnectés d'un conducteur principal isolé.</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conducteurs principaux sont conformes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à la norme NM 06.3.068 pour les câbles isolés torsadés (section ≤ 150 mm</w:t>
            </w:r>
            <w:r w:rsidRPr="0043547B">
              <w:rPr>
                <w:rFonts w:eastAsia="Times New Roman" w:cstheme="minorHAnsi"/>
                <w:sz w:val="24"/>
                <w:szCs w:val="24"/>
                <w:vertAlign w:val="superscript"/>
                <w:lang w:eastAsia="fr-FR"/>
              </w:rPr>
              <w:t>2</w:t>
            </w:r>
            <w:r w:rsidRPr="0043547B">
              <w:rPr>
                <w:rFonts w:eastAsia="Times New Roman" w:cstheme="minorHAnsi"/>
                <w:sz w:val="24"/>
                <w:szCs w:val="24"/>
                <w:lang w:eastAsia="fr-FR"/>
              </w:rPr>
              <w:t>),</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à la norme NM 06.3.065 pour les conducteurs nus en alliage d'aluminium et à la norme NM 06.3.096 pour les conducteurs en cuivre (section ≤ 120 mm</w:t>
            </w:r>
            <w:r w:rsidRPr="0043547B">
              <w:rPr>
                <w:rFonts w:eastAsia="Times New Roman" w:cstheme="minorHAnsi"/>
                <w:sz w:val="24"/>
                <w:szCs w:val="24"/>
                <w:vertAlign w:val="superscript"/>
                <w:lang w:eastAsia="fr-FR"/>
              </w:rPr>
              <w:t>2</w:t>
            </w:r>
            <w:r w:rsidRPr="0043547B">
              <w:rPr>
                <w:rFonts w:eastAsia="Times New Roman" w:cstheme="minorHAnsi"/>
                <w:sz w:val="24"/>
                <w:szCs w:val="24"/>
                <w:lang w:eastAsia="fr-FR"/>
              </w:rPr>
              <w:t>).</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conducteurs dérivés sont conformes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à la norme NM 06.3.068 pour les câbles isolés torsadés (section ≤ 150 mm</w:t>
            </w:r>
            <w:r w:rsidRPr="0043547B">
              <w:rPr>
                <w:rFonts w:eastAsia="Times New Roman" w:cstheme="minorHAnsi"/>
                <w:sz w:val="24"/>
                <w:szCs w:val="24"/>
                <w:vertAlign w:val="superscript"/>
                <w:lang w:eastAsia="fr-FR"/>
              </w:rPr>
              <w:t>2</w:t>
            </w:r>
            <w:r w:rsidRPr="0043547B">
              <w:rPr>
                <w:rFonts w:eastAsia="Times New Roman" w:cstheme="minorHAnsi"/>
                <w:sz w:val="24"/>
                <w:szCs w:val="24"/>
                <w:lang w:eastAsia="fr-FR"/>
              </w:rPr>
              <w:t>),</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à la norme NM 06.3.069 pour les câbles souterrains de branchement (section ≤ 35 mm</w:t>
            </w:r>
            <w:r w:rsidRPr="0043547B">
              <w:rPr>
                <w:rFonts w:eastAsia="Times New Roman" w:cstheme="minorHAnsi"/>
                <w:sz w:val="24"/>
                <w:szCs w:val="24"/>
                <w:vertAlign w:val="superscript"/>
                <w:lang w:eastAsia="fr-FR"/>
              </w:rPr>
              <w:t>2</w:t>
            </w:r>
            <w:r w:rsidRPr="0043547B">
              <w:rPr>
                <w:rFonts w:eastAsia="Times New Roman" w:cstheme="minorHAnsi"/>
                <w:sz w:val="24"/>
                <w:szCs w:val="24"/>
                <w:lang w:eastAsia="fr-FR"/>
              </w:rPr>
              <w:t>),</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à la norme NM 06.3.006 pour les câbles d'éclairage public (section ≤ 10 mm</w:t>
            </w:r>
            <w:r w:rsidRPr="0043547B">
              <w:rPr>
                <w:rFonts w:eastAsia="Times New Roman" w:cstheme="minorHAnsi"/>
                <w:sz w:val="24"/>
                <w:szCs w:val="24"/>
                <w:vertAlign w:val="superscript"/>
                <w:lang w:eastAsia="fr-FR"/>
              </w:rPr>
              <w:t>2</w:t>
            </w:r>
            <w:r w:rsidRPr="0043547B">
              <w:rPr>
                <w:rFonts w:eastAsia="Times New Roman" w:cstheme="minorHAnsi"/>
                <w:sz w:val="24"/>
                <w:szCs w:val="24"/>
                <w:lang w:eastAsia="fr-FR"/>
              </w:rPr>
              <w:t xml:space="preserve"> cuivre),</w:t>
            </w:r>
            <w:r w:rsidRPr="0043547B">
              <w:rPr>
                <w:rFonts w:eastAsia="Times New Roman" w:cstheme="minorHAnsi"/>
                <w:sz w:val="24"/>
                <w:szCs w:val="24"/>
                <w:lang w:eastAsia="fr-FR"/>
              </w:rPr>
              <w:br/>
              <w:t>- à la norme NM 06.3.006 pour les câbles de mise à la terre (section ≤ 25 mm</w:t>
            </w:r>
            <w:r w:rsidRPr="0043547B">
              <w:rPr>
                <w:rFonts w:eastAsia="Times New Roman" w:cstheme="minorHAnsi"/>
                <w:sz w:val="24"/>
                <w:szCs w:val="24"/>
                <w:vertAlign w:val="superscript"/>
                <w:lang w:eastAsia="fr-FR"/>
              </w:rPr>
              <w:t>2</w:t>
            </w:r>
            <w:r w:rsidRPr="0043547B">
              <w:rPr>
                <w:rFonts w:eastAsia="Times New Roman" w:cstheme="minorHAnsi"/>
                <w:sz w:val="24"/>
                <w:szCs w:val="24"/>
                <w:lang w:eastAsia="fr-FR"/>
              </w:rPr>
              <w:t>),</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Cette norme fixe les principales caractéristiques des différents connecteurs et les essais auxquels ils doivent satisfaire.</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4CD81"/>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06.3.260</w:t>
            </w:r>
          </w:p>
        </w:tc>
      </w:tr>
      <w:tr w:rsidR="0043547B" w:rsidRPr="0043547B" w:rsidTr="00CB5DC0">
        <w:trPr>
          <w:trHeight w:val="600"/>
          <w:jc w:val="center"/>
        </w:trPr>
        <w:tc>
          <w:tcPr>
            <w:tcW w:w="1843"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top w:val="single" w:sz="18" w:space="0" w:color="auto"/>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Câbles isolés et leurs accessoires pour réseaux d'énergie - Matériels de soutien pour réseaux aériens en conducteurs isolés torsadés, de tension assignée 0,6/1 kV </w:t>
            </w:r>
          </w:p>
        </w:tc>
      </w:tr>
      <w:tr w:rsidR="0043547B" w:rsidRPr="0043547B" w:rsidTr="00CB5DC0">
        <w:trPr>
          <w:trHeight w:val="1261"/>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Domaine d’application :</w:t>
            </w:r>
          </w:p>
        </w:tc>
        <w:tc>
          <w:tcPr>
            <w:tcW w:w="8080"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aux matériels de soutien, berceaux et aux ensembles de suspension utilisés pour la réalisation des réseaux aériens en conducteurs isolés torsadés sur supports, de tension assignée 0,6/1 kV.</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fixe les principales caractéristiques de ces différents matériels et définit les essais auxquels ils doivent satisfaire.</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4CD81"/>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06.3.261</w:t>
            </w:r>
          </w:p>
        </w:tc>
      </w:tr>
      <w:tr w:rsidR="0043547B" w:rsidRPr="0043547B" w:rsidTr="00CB5DC0">
        <w:trPr>
          <w:trHeight w:val="600"/>
          <w:jc w:val="center"/>
        </w:trPr>
        <w:tc>
          <w:tcPr>
            <w:tcW w:w="1843"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top w:val="single" w:sz="18" w:space="0" w:color="auto"/>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Câbles isolés et leurs accessoires pour réseaux d'énergie - Matériels d'ancrage pour réseaux aériens en conducteurs isolés torsadés, de tension assignée 0,6/1 kV </w:t>
            </w:r>
          </w:p>
        </w:tc>
      </w:tr>
      <w:tr w:rsidR="0043547B" w:rsidRPr="0043547B" w:rsidTr="00F46300">
        <w:trPr>
          <w:trHeight w:val="2172"/>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aux matériels d'ancrage formés de consoles et de pinces d'ancrage, utilisés pour la réalisation de réseaux aériens en conducteurs isolés torsadés, tendus sur façades ou sur supports, de tension assignée 0,6/1 kV.</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pinces d'ancrage sont destinées à être mises en place sur le neutre porteur de section 54,6 mm2 ou 70 mm</w:t>
            </w:r>
            <w:r w:rsidRPr="0043547B">
              <w:rPr>
                <w:rFonts w:eastAsia="Times New Roman" w:cstheme="minorHAnsi"/>
                <w:sz w:val="24"/>
                <w:szCs w:val="24"/>
                <w:vertAlign w:val="superscript"/>
                <w:lang w:eastAsia="fr-FR"/>
              </w:rPr>
              <w:t>2</w:t>
            </w:r>
            <w:r w:rsidRPr="0043547B">
              <w:rPr>
                <w:rFonts w:eastAsia="Times New Roman" w:cstheme="minorHAnsi"/>
                <w:sz w:val="24"/>
                <w:szCs w:val="24"/>
                <w:lang w:eastAsia="fr-FR"/>
              </w:rPr>
              <w:t xml:space="preserve"> des faisceaux définis dans la norme NM 06.3.068.</w:t>
            </w:r>
          </w:p>
          <w:p w:rsidR="00E7624B" w:rsidRPr="0043547B" w:rsidRDefault="00904E52" w:rsidP="00F46300">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fixe les principales caractéristiques des différents matériels d'ancrage et définit les essais auxquels ils doivent satisfaire.</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4CD81"/>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06.3.262</w:t>
            </w:r>
          </w:p>
        </w:tc>
      </w:tr>
      <w:tr w:rsidR="0043547B" w:rsidRPr="0043547B" w:rsidTr="00CB5DC0">
        <w:trPr>
          <w:trHeight w:val="900"/>
          <w:jc w:val="center"/>
        </w:trPr>
        <w:tc>
          <w:tcPr>
            <w:tcW w:w="1843"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top w:val="single" w:sz="18" w:space="0" w:color="auto"/>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Câbles isolés et leurs accessoires pour réseaux d'énergie - Matériels d'ancrage pour branchements aériens et aérosouterrains en conducteurs isolés, de tension assignée 0,6/1 kV </w:t>
            </w:r>
          </w:p>
        </w:tc>
      </w:tr>
      <w:tr w:rsidR="0043547B" w:rsidRPr="0043547B" w:rsidTr="00CB5DC0">
        <w:trPr>
          <w:trHeight w:val="879"/>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aux pinces d'ancrage des faisceaux de conducteurs aériens isolés, de tension assignée 0,6/1 kV utilisés pour la réalisation des branchements tendus. Ces faisceaux sont définis dans la norme NM 06.3.068 et comportent deux ou quatre conducteurs à âme câblée en aluminium de section 16 mm</w:t>
            </w:r>
            <w:r w:rsidRPr="0043547B">
              <w:rPr>
                <w:rFonts w:eastAsia="Times New Roman" w:cstheme="minorHAnsi"/>
                <w:sz w:val="24"/>
                <w:szCs w:val="24"/>
                <w:vertAlign w:val="superscript"/>
                <w:lang w:eastAsia="fr-FR"/>
              </w:rPr>
              <w:t>2</w:t>
            </w:r>
            <w:r w:rsidRPr="0043547B">
              <w:rPr>
                <w:rFonts w:eastAsia="Times New Roman" w:cstheme="minorHAnsi"/>
                <w:sz w:val="24"/>
                <w:szCs w:val="24"/>
                <w:lang w:eastAsia="fr-FR"/>
              </w:rPr>
              <w:t xml:space="preserve"> ou 25 mm</w:t>
            </w:r>
            <w:r w:rsidRPr="0043547B">
              <w:rPr>
                <w:rFonts w:eastAsia="Times New Roman" w:cstheme="minorHAnsi"/>
                <w:sz w:val="24"/>
                <w:szCs w:val="24"/>
                <w:vertAlign w:val="superscript"/>
                <w:lang w:eastAsia="fr-FR"/>
              </w:rPr>
              <w:t>2</w:t>
            </w:r>
            <w:r w:rsidRPr="0043547B">
              <w:rPr>
                <w:rFonts w:eastAsia="Times New Roman" w:cstheme="minorHAnsi"/>
                <w:sz w:val="24"/>
                <w:szCs w:val="24"/>
                <w:lang w:eastAsia="fr-FR"/>
              </w:rPr>
              <w:t>.</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4CD81"/>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06.3.274</w:t>
            </w:r>
          </w:p>
        </w:tc>
      </w:tr>
      <w:tr w:rsidR="0043547B" w:rsidRPr="0043547B" w:rsidTr="00CB5DC0">
        <w:trPr>
          <w:trHeight w:val="600"/>
          <w:jc w:val="center"/>
        </w:trPr>
        <w:tc>
          <w:tcPr>
            <w:tcW w:w="1843"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top w:val="single" w:sz="18" w:space="0" w:color="auto"/>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Conducteurs et câbles isolés au polychlorure de vinyle, de tension assignée au plus égale à 450/750 V - Câbles sous gaine pour installations fixes </w:t>
            </w:r>
          </w:p>
        </w:tc>
      </w:tr>
      <w:tr w:rsidR="0043547B" w:rsidRPr="0043547B" w:rsidTr="00CB5DC0">
        <w:trPr>
          <w:trHeight w:val="1132"/>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précise les spécifications particulières applicables aux câbles sous gaine en polychlorure de vinyle.</w:t>
            </w:r>
          </w:p>
          <w:p w:rsidR="00A744C1" w:rsidRPr="0043547B" w:rsidRDefault="00904E52" w:rsidP="00CA080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Chaque câble doit répondre aux prescriptions appropriées données dans la norme NM 06.3.271 et aux prescriptions particulières le concernant figurant dans la norme.</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4CD81"/>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06.3.279</w:t>
            </w:r>
          </w:p>
        </w:tc>
      </w:tr>
      <w:tr w:rsidR="0043547B" w:rsidRPr="0043547B" w:rsidTr="00CB5DC0">
        <w:trPr>
          <w:trHeight w:val="600"/>
          <w:jc w:val="center"/>
        </w:trPr>
        <w:tc>
          <w:tcPr>
            <w:tcW w:w="1843"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top w:val="single" w:sz="18" w:space="0" w:color="auto"/>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Conducteurs et câbles isolés au polychlorure de vinyle, de tension assignée au plus égale à 450/750 V - Conducteurs pour installations fixes à basse température </w:t>
            </w:r>
          </w:p>
        </w:tc>
      </w:tr>
      <w:tr w:rsidR="0043547B" w:rsidRPr="0043547B" w:rsidTr="00CB5DC0">
        <w:trPr>
          <w:trHeight w:val="276"/>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4C1604">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précise les spécifications particulières applicables aux conducteurs isolés au polychlorure de vinyle pour installations fixes, de tension assignée U</w:t>
            </w:r>
            <w:r w:rsidR="004C1604" w:rsidRPr="0043547B">
              <w:rPr>
                <w:rFonts w:eastAsia="Times New Roman" w:cstheme="minorHAnsi"/>
                <w:sz w:val="24"/>
                <w:szCs w:val="24"/>
                <w:vertAlign w:val="subscript"/>
                <w:lang w:eastAsia="fr-FR"/>
              </w:rPr>
              <w:t>0</w:t>
            </w:r>
            <w:r w:rsidRPr="0043547B">
              <w:rPr>
                <w:rFonts w:eastAsia="Times New Roman" w:cstheme="minorHAnsi"/>
                <w:sz w:val="24"/>
                <w:szCs w:val="24"/>
                <w:lang w:eastAsia="fr-FR"/>
              </w:rPr>
              <w:t>/U égale à 450/750 V, pour installation à basse température.</w:t>
            </w:r>
          </w:p>
          <w:p w:rsidR="00A744C1" w:rsidRPr="0043547B" w:rsidRDefault="00904E52" w:rsidP="00CA080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Tous les conducteurs doivent répondre aux prescriptions appropriées données dans la norme NM 06.3.271 et chaque type de conducteur doit satisfaire aux prescriptions particulières le concernant figurant dans la norme.</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4CD81"/>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06.3.280</w:t>
            </w:r>
          </w:p>
        </w:tc>
      </w:tr>
      <w:tr w:rsidR="0043547B" w:rsidRPr="0043547B" w:rsidTr="00CB5DC0">
        <w:trPr>
          <w:trHeight w:val="600"/>
          <w:jc w:val="center"/>
        </w:trPr>
        <w:tc>
          <w:tcPr>
            <w:tcW w:w="1843"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top w:val="single" w:sz="18" w:space="0" w:color="auto"/>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Conducteurs et câbles isolés au polychlorure de vinyle, de tension assignée au plus égale à 450/750 V - Cordons extensibles </w:t>
            </w:r>
          </w:p>
        </w:tc>
      </w:tr>
      <w:tr w:rsidR="0043547B" w:rsidRPr="0043547B" w:rsidTr="00CB5DC0">
        <w:trPr>
          <w:trHeight w:val="843"/>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précise les spécifications particulières applicables aux cordons extensibles isolés au polychlorure de vinyle.</w:t>
            </w:r>
          </w:p>
          <w:p w:rsidR="001050AB" w:rsidRPr="0043547B" w:rsidRDefault="00904E52" w:rsidP="00830FEB">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lastRenderedPageBreak/>
              <w:t>Tous les conducteurs doivent répondre aux prescriptions appropriées données dans la norme NM 06.3.271 et chaque type de conducteur doit satisfaire aux prescriptions particulières le concernant figurant dans la norme.</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8080" w:type="dxa"/>
            <w:tcBorders>
              <w:top w:val="single" w:sz="18" w:space="0" w:color="auto"/>
              <w:left w:val="single" w:sz="4" w:space="0" w:color="auto"/>
              <w:bottom w:val="single" w:sz="18" w:space="0" w:color="auto"/>
              <w:right w:val="single" w:sz="18" w:space="0" w:color="auto"/>
            </w:tcBorders>
            <w:shd w:val="clear" w:color="auto" w:fill="B4CD81"/>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06.3.282</w:t>
            </w:r>
          </w:p>
        </w:tc>
      </w:tr>
      <w:tr w:rsidR="0043547B" w:rsidRPr="0043547B" w:rsidTr="00CB5DC0">
        <w:trPr>
          <w:trHeight w:val="600"/>
          <w:jc w:val="center"/>
        </w:trPr>
        <w:tc>
          <w:tcPr>
            <w:tcW w:w="1843"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top w:val="single" w:sz="18" w:space="0" w:color="auto"/>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Conducteurs et câbles isolés au polychlorure de vinyle, de tension assignée au plus égale à 450/750 V - Câbles souples résistant à la chaleur </w:t>
            </w:r>
          </w:p>
        </w:tc>
      </w:tr>
      <w:tr w:rsidR="0043547B" w:rsidRPr="0043547B" w:rsidTr="00CB5DC0">
        <w:trPr>
          <w:trHeight w:val="1496"/>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top w:val="nil"/>
              <w:left w:val="single" w:sz="4" w:space="0" w:color="auto"/>
              <w:bottom w:val="single" w:sz="18" w:space="0" w:color="auto"/>
              <w:right w:val="single" w:sz="18" w:space="0" w:color="auto"/>
            </w:tcBorders>
            <w:shd w:val="clear" w:color="auto" w:fill="auto"/>
            <w:vAlign w:val="center"/>
            <w:hideMark/>
          </w:tcPr>
          <w:p w:rsidR="004C1604"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précise les spécifications particulières applicables aux câbles souples sous gaine et isolation en polychlorure de vinyle résistant à la chaleur, de tension assignée au plus égale à 300/500 V, pour une température maximale de l'âme de 90 °C.</w:t>
            </w:r>
          </w:p>
          <w:p w:rsidR="001050AB" w:rsidRPr="0043547B" w:rsidRDefault="00904E52" w:rsidP="00830FEB">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câbles doivent répondre aux prescriptions appropriées données dans la norme NM 06.3.271 et chaque type individuel de câble doit répondre aux prescriptions particulières figurant dans la norme.</w:t>
            </w:r>
          </w:p>
        </w:tc>
      </w:tr>
      <w:tr w:rsidR="00460360" w:rsidRPr="0043547B" w:rsidTr="004E1912">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460360" w:rsidRPr="004E1912" w:rsidRDefault="00460360" w:rsidP="004E1912">
            <w:pPr>
              <w:spacing w:after="0" w:line="240" w:lineRule="auto"/>
              <w:jc w:val="center"/>
              <w:rPr>
                <w:rFonts w:ascii="Calibri" w:hAnsi="Calibri" w:cs="Calibri"/>
                <w:b/>
                <w:bCs/>
                <w:sz w:val="24"/>
                <w:szCs w:val="24"/>
              </w:rPr>
            </w:pPr>
            <w:r w:rsidRPr="004E1912">
              <w:rPr>
                <w:rFonts w:ascii="Calibri" w:hAnsi="Calibri" w:cs="Calibr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4CD81"/>
            <w:vAlign w:val="center"/>
            <w:hideMark/>
          </w:tcPr>
          <w:p w:rsidR="00460360" w:rsidRPr="004E1912" w:rsidRDefault="00460360" w:rsidP="004E1912">
            <w:pPr>
              <w:spacing w:after="0" w:line="240" w:lineRule="auto"/>
              <w:jc w:val="center"/>
              <w:rPr>
                <w:rFonts w:ascii="Calibri" w:hAnsi="Calibri" w:cs="Calibri"/>
                <w:b/>
                <w:bCs/>
                <w:sz w:val="24"/>
                <w:szCs w:val="24"/>
              </w:rPr>
            </w:pPr>
            <w:r w:rsidRPr="004E1912">
              <w:rPr>
                <w:rFonts w:ascii="Calibri" w:hAnsi="Calibri" w:cs="Calibri"/>
                <w:b/>
                <w:bCs/>
                <w:sz w:val="24"/>
                <w:szCs w:val="24"/>
              </w:rPr>
              <w:t>NM EN 60228</w:t>
            </w:r>
          </w:p>
        </w:tc>
      </w:tr>
      <w:tr w:rsidR="00460360" w:rsidRPr="0043547B" w:rsidTr="004E1912">
        <w:trPr>
          <w:trHeight w:val="364"/>
          <w:jc w:val="center"/>
        </w:trPr>
        <w:tc>
          <w:tcPr>
            <w:tcW w:w="1843" w:type="dxa"/>
            <w:tcBorders>
              <w:top w:val="single" w:sz="18" w:space="0" w:color="auto"/>
              <w:left w:val="single" w:sz="18" w:space="0" w:color="auto"/>
              <w:bottom w:val="single" w:sz="4" w:space="0" w:color="auto"/>
              <w:right w:val="single" w:sz="4" w:space="0" w:color="auto"/>
            </w:tcBorders>
            <w:shd w:val="clear" w:color="auto" w:fill="FFFFCC"/>
            <w:vAlign w:val="center"/>
            <w:hideMark/>
          </w:tcPr>
          <w:p w:rsidR="00460360" w:rsidRPr="004E1912" w:rsidRDefault="00460360" w:rsidP="004E1912">
            <w:pPr>
              <w:spacing w:after="0" w:line="240" w:lineRule="auto"/>
              <w:jc w:val="center"/>
              <w:rPr>
                <w:rFonts w:ascii="Calibri" w:hAnsi="Calibri" w:cs="Calibri"/>
                <w:b/>
                <w:bCs/>
                <w:sz w:val="24"/>
                <w:szCs w:val="24"/>
              </w:rPr>
            </w:pPr>
            <w:r w:rsidRPr="004E1912">
              <w:rPr>
                <w:rFonts w:ascii="Calibri" w:hAnsi="Calibri" w:cs="Calibri"/>
                <w:b/>
                <w:bCs/>
                <w:sz w:val="24"/>
                <w:szCs w:val="24"/>
              </w:rPr>
              <w:t>Equivalence :</w:t>
            </w:r>
          </w:p>
        </w:tc>
        <w:tc>
          <w:tcPr>
            <w:tcW w:w="8080" w:type="dxa"/>
            <w:tcBorders>
              <w:top w:val="single" w:sz="18" w:space="0" w:color="auto"/>
              <w:left w:val="single" w:sz="4" w:space="0" w:color="auto"/>
              <w:bottom w:val="single" w:sz="4" w:space="0" w:color="auto"/>
              <w:right w:val="single" w:sz="18" w:space="0" w:color="auto"/>
            </w:tcBorders>
            <w:shd w:val="clear" w:color="auto" w:fill="FFFFCC"/>
            <w:vAlign w:val="center"/>
            <w:hideMark/>
          </w:tcPr>
          <w:p w:rsidR="00460360" w:rsidRPr="004E1912" w:rsidRDefault="00460360" w:rsidP="004E1912">
            <w:pPr>
              <w:spacing w:after="0" w:line="240" w:lineRule="auto"/>
              <w:jc w:val="center"/>
              <w:rPr>
                <w:rFonts w:ascii="Calibri" w:hAnsi="Calibri" w:cs="Calibri"/>
                <w:b/>
                <w:bCs/>
                <w:sz w:val="24"/>
                <w:szCs w:val="24"/>
              </w:rPr>
            </w:pPr>
            <w:r w:rsidRPr="004E1912">
              <w:rPr>
                <w:rFonts w:ascii="Calibri" w:hAnsi="Calibri" w:cs="Calibri"/>
                <w:b/>
                <w:bCs/>
                <w:sz w:val="24"/>
                <w:szCs w:val="24"/>
              </w:rPr>
              <w:t>EN 60228</w:t>
            </w:r>
          </w:p>
        </w:tc>
      </w:tr>
      <w:tr w:rsidR="00460360" w:rsidRPr="0043547B" w:rsidTr="004E1912">
        <w:trPr>
          <w:trHeight w:val="419"/>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460360" w:rsidRPr="004E1912" w:rsidRDefault="00460360" w:rsidP="004E1912">
            <w:pPr>
              <w:spacing w:after="0" w:line="240" w:lineRule="auto"/>
              <w:jc w:val="center"/>
              <w:rPr>
                <w:rFonts w:ascii="Calibri" w:hAnsi="Calibri" w:cs="Calibri"/>
                <w:b/>
                <w:bCs/>
                <w:sz w:val="24"/>
                <w:szCs w:val="24"/>
              </w:rPr>
            </w:pPr>
            <w:r w:rsidRPr="004E1912">
              <w:rPr>
                <w:rFonts w:ascii="Calibri" w:hAnsi="Calibri" w:cs="Calibri"/>
                <w:b/>
                <w:bCs/>
                <w:sz w:val="24"/>
                <w:szCs w:val="24"/>
              </w:rPr>
              <w:t>Intitulé :</w:t>
            </w:r>
          </w:p>
        </w:tc>
        <w:tc>
          <w:tcPr>
            <w:tcW w:w="8080" w:type="dxa"/>
            <w:tcBorders>
              <w:top w:val="nil"/>
              <w:left w:val="single" w:sz="4" w:space="0" w:color="auto"/>
              <w:bottom w:val="single" w:sz="4" w:space="0" w:color="auto"/>
              <w:right w:val="single" w:sz="18" w:space="0" w:color="auto"/>
            </w:tcBorders>
            <w:shd w:val="clear" w:color="auto" w:fill="auto"/>
            <w:vAlign w:val="center"/>
            <w:hideMark/>
          </w:tcPr>
          <w:p w:rsidR="00460360" w:rsidRPr="004E1912" w:rsidRDefault="00460360" w:rsidP="004E1912">
            <w:pPr>
              <w:spacing w:after="0" w:line="240" w:lineRule="auto"/>
              <w:rPr>
                <w:rFonts w:ascii="Calibri" w:hAnsi="Calibri" w:cs="Calibri"/>
                <w:sz w:val="24"/>
                <w:szCs w:val="24"/>
              </w:rPr>
            </w:pPr>
            <w:r w:rsidRPr="004E1912">
              <w:rPr>
                <w:rFonts w:ascii="Calibri" w:hAnsi="Calibri" w:cs="Calibri"/>
                <w:sz w:val="24"/>
                <w:szCs w:val="24"/>
              </w:rPr>
              <w:t>Âmes des câbles isolés</w:t>
            </w:r>
          </w:p>
        </w:tc>
      </w:tr>
      <w:tr w:rsidR="00460360" w:rsidRPr="0043547B" w:rsidTr="004E1912">
        <w:trPr>
          <w:trHeight w:val="4208"/>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460360" w:rsidRPr="004E1912" w:rsidRDefault="00460360" w:rsidP="004E1912">
            <w:pPr>
              <w:spacing w:after="0" w:line="240" w:lineRule="auto"/>
              <w:jc w:val="center"/>
              <w:rPr>
                <w:rFonts w:ascii="Calibri" w:hAnsi="Calibri" w:cs="Calibri"/>
                <w:b/>
                <w:bCs/>
                <w:sz w:val="24"/>
                <w:szCs w:val="24"/>
              </w:rPr>
            </w:pPr>
            <w:r w:rsidRPr="004E1912">
              <w:rPr>
                <w:rFonts w:ascii="Calibri" w:hAnsi="Calibri" w:cs="Calibri"/>
                <w:b/>
                <w:bCs/>
              </w:rPr>
              <w:t>Domaine d’application :</w:t>
            </w:r>
          </w:p>
        </w:tc>
        <w:tc>
          <w:tcPr>
            <w:tcW w:w="8080" w:type="dxa"/>
            <w:tcBorders>
              <w:top w:val="nil"/>
              <w:left w:val="single" w:sz="4" w:space="0" w:color="auto"/>
              <w:bottom w:val="single" w:sz="18" w:space="0" w:color="auto"/>
              <w:right w:val="single" w:sz="18" w:space="0" w:color="auto"/>
            </w:tcBorders>
            <w:shd w:val="clear" w:color="auto" w:fill="auto"/>
            <w:vAlign w:val="bottom"/>
            <w:hideMark/>
          </w:tcPr>
          <w:p w:rsidR="004E1912" w:rsidRPr="004E1912" w:rsidRDefault="00460360" w:rsidP="004E1912">
            <w:pPr>
              <w:spacing w:after="0" w:line="240" w:lineRule="auto"/>
              <w:jc w:val="both"/>
              <w:rPr>
                <w:rFonts w:ascii="Calibri" w:hAnsi="Calibri" w:cs="Calibri"/>
                <w:sz w:val="24"/>
                <w:szCs w:val="24"/>
              </w:rPr>
            </w:pPr>
            <w:r w:rsidRPr="004E1912">
              <w:rPr>
                <w:rFonts w:ascii="Calibri" w:hAnsi="Calibri" w:cs="Calibri"/>
                <w:sz w:val="24"/>
                <w:szCs w:val="24"/>
              </w:rPr>
              <w:t>La norme spécifie les sections nominales, dans la plage de 0,5 mm</w:t>
            </w:r>
            <w:r w:rsidRPr="004E1912">
              <w:rPr>
                <w:rFonts w:ascii="Calibri" w:hAnsi="Calibri" w:cs="Calibri"/>
                <w:sz w:val="24"/>
                <w:szCs w:val="24"/>
                <w:vertAlign w:val="superscript"/>
              </w:rPr>
              <w:t>2</w:t>
            </w:r>
            <w:r w:rsidRPr="004E1912">
              <w:rPr>
                <w:rFonts w:ascii="Calibri" w:hAnsi="Calibri" w:cs="Calibri"/>
                <w:sz w:val="24"/>
                <w:szCs w:val="24"/>
              </w:rPr>
              <w:t xml:space="preserve"> à 2 500 mm</w:t>
            </w:r>
            <w:r w:rsidRPr="004E1912">
              <w:rPr>
                <w:rFonts w:ascii="Calibri" w:hAnsi="Calibri" w:cs="Calibri"/>
                <w:sz w:val="24"/>
                <w:szCs w:val="24"/>
                <w:vertAlign w:val="superscript"/>
              </w:rPr>
              <w:t>2</w:t>
            </w:r>
            <w:r w:rsidRPr="004E1912">
              <w:rPr>
                <w:rFonts w:ascii="Calibri" w:hAnsi="Calibri" w:cs="Calibri"/>
                <w:sz w:val="24"/>
                <w:szCs w:val="24"/>
              </w:rPr>
              <w:t>, des âmes des conducteurs et des câbles électriques de puissance, dans une large gamme de spécifications. Des exigences sur le nombre et le diamètre des brins et les valeurs de résistance sont également incluses. Les âmes concernées sont les âmes massives et câblées, en cuivre, en aluminium et en alliage d’aluminium, destinées aux câbles pour installations fixes et les âmes en cuivre pour  conducteurs souples.</w:t>
            </w:r>
          </w:p>
          <w:p w:rsidR="004E1912" w:rsidRPr="004E1912" w:rsidRDefault="00460360" w:rsidP="004E1912">
            <w:pPr>
              <w:spacing w:after="0" w:line="240" w:lineRule="auto"/>
              <w:jc w:val="both"/>
              <w:rPr>
                <w:rFonts w:ascii="Calibri" w:hAnsi="Calibri" w:cs="Calibri"/>
                <w:sz w:val="24"/>
                <w:szCs w:val="24"/>
              </w:rPr>
            </w:pPr>
            <w:r w:rsidRPr="004E1912">
              <w:rPr>
                <w:rFonts w:ascii="Calibri" w:hAnsi="Calibri" w:cs="Calibri"/>
                <w:sz w:val="24"/>
                <w:szCs w:val="24"/>
              </w:rPr>
              <w:t>Cette norme ne s’applique pas aux conducteurs de télécommunication.</w:t>
            </w:r>
          </w:p>
          <w:p w:rsidR="004E1912" w:rsidRPr="004E1912" w:rsidRDefault="00460360" w:rsidP="004E1912">
            <w:pPr>
              <w:spacing w:after="0" w:line="240" w:lineRule="auto"/>
              <w:jc w:val="both"/>
              <w:rPr>
                <w:rFonts w:ascii="Calibri" w:hAnsi="Calibri" w:cs="Calibri"/>
                <w:sz w:val="24"/>
                <w:szCs w:val="24"/>
              </w:rPr>
            </w:pPr>
            <w:r w:rsidRPr="004E1912">
              <w:rPr>
                <w:rFonts w:ascii="Calibri" w:hAnsi="Calibri" w:cs="Calibri"/>
                <w:sz w:val="24"/>
                <w:szCs w:val="24"/>
              </w:rPr>
              <w:t>L’applicabilité de cette norme à un type de câble particulier est précisée dans la</w:t>
            </w:r>
            <w:r w:rsidRPr="004E1912">
              <w:rPr>
                <w:rFonts w:ascii="Calibri" w:hAnsi="Calibri" w:cs="Calibri"/>
                <w:sz w:val="24"/>
                <w:szCs w:val="24"/>
              </w:rPr>
              <w:br/>
              <w:t>norme relative à ce type de câble.</w:t>
            </w:r>
          </w:p>
          <w:p w:rsidR="00460360" w:rsidRPr="004E1912" w:rsidRDefault="00460360" w:rsidP="004E1912">
            <w:pPr>
              <w:spacing w:after="0" w:line="240" w:lineRule="auto"/>
              <w:jc w:val="both"/>
              <w:rPr>
                <w:rFonts w:ascii="Calibri" w:hAnsi="Calibri" w:cs="Calibri"/>
                <w:sz w:val="24"/>
                <w:szCs w:val="24"/>
              </w:rPr>
            </w:pPr>
            <w:r w:rsidRPr="004E1912">
              <w:rPr>
                <w:rFonts w:ascii="Calibri" w:hAnsi="Calibri" w:cs="Calibri"/>
                <w:sz w:val="24"/>
                <w:szCs w:val="24"/>
              </w:rPr>
              <w:t>Sauf indication contraire dans un article particulier, cette norme porte sur les âmes</w:t>
            </w:r>
            <w:r w:rsidRPr="004E1912">
              <w:rPr>
                <w:rFonts w:ascii="Calibri" w:hAnsi="Calibri" w:cs="Calibri"/>
                <w:sz w:val="24"/>
                <w:szCs w:val="24"/>
              </w:rPr>
              <w:br/>
              <w:t>des câbles terminés, et non sur les âmes seules ou fournies pour la fabrication d’un</w:t>
            </w:r>
            <w:r w:rsidRPr="004E1912">
              <w:rPr>
                <w:rFonts w:ascii="Calibri" w:hAnsi="Calibri" w:cs="Calibri"/>
                <w:sz w:val="24"/>
                <w:szCs w:val="24"/>
              </w:rPr>
              <w:br/>
              <w:t>câble.</w:t>
            </w:r>
            <w:r w:rsidRPr="004E1912">
              <w:rPr>
                <w:rFonts w:ascii="Calibri" w:hAnsi="Calibri" w:cs="Calibri"/>
                <w:sz w:val="24"/>
                <w:szCs w:val="24"/>
              </w:rPr>
              <w:br/>
              <w:t>Des annexes informatives sont incluses, donnant des informations</w:t>
            </w:r>
            <w:r w:rsidRPr="004E1912">
              <w:rPr>
                <w:rFonts w:ascii="Calibri" w:hAnsi="Calibri" w:cs="Calibri"/>
                <w:sz w:val="24"/>
                <w:szCs w:val="24"/>
              </w:rPr>
              <w:br/>
              <w:t>complémentaires sur les facteurs de correction de température à utiliser dans les</w:t>
            </w:r>
            <w:r w:rsidRPr="004E1912">
              <w:rPr>
                <w:rFonts w:ascii="Calibri" w:hAnsi="Calibri" w:cs="Calibri"/>
                <w:sz w:val="24"/>
                <w:szCs w:val="24"/>
              </w:rPr>
              <w:br/>
              <w:t>mesures de résistance (Annexe B) et les limites dimensionnelles des âmes</w:t>
            </w:r>
            <w:r w:rsidRPr="004E1912">
              <w:rPr>
                <w:rFonts w:ascii="Calibri" w:hAnsi="Calibri" w:cs="Calibri"/>
                <w:sz w:val="24"/>
                <w:szCs w:val="24"/>
              </w:rPr>
              <w:br/>
              <w:t>circulaires (Annexe C).</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4CD81"/>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50520</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50520</w:t>
            </w:r>
          </w:p>
        </w:tc>
      </w:tr>
      <w:tr w:rsidR="0043547B" w:rsidRPr="0043547B" w:rsidTr="00CB5DC0">
        <w:trPr>
          <w:trHeight w:val="600"/>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Plaques et bandes de protection pour la protection et le signalement des câbles enterrés ou des conduits enterrés dans les installations sous terre ;   </w:t>
            </w:r>
          </w:p>
        </w:tc>
      </w:tr>
      <w:tr w:rsidR="0043547B" w:rsidRPr="0043547B" w:rsidTr="00CB5DC0">
        <w:trPr>
          <w:trHeight w:val="1150"/>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top w:val="nil"/>
              <w:left w:val="single" w:sz="4" w:space="0" w:color="auto"/>
              <w:bottom w:val="single" w:sz="18" w:space="0" w:color="auto"/>
              <w:right w:val="single" w:sz="18" w:space="0" w:color="auto"/>
            </w:tcBorders>
            <w:shd w:val="clear" w:color="auto" w:fill="auto"/>
            <w:vAlign w:val="center"/>
            <w:hideMark/>
          </w:tcPr>
          <w:p w:rsidR="00CA080D" w:rsidRPr="0043547B" w:rsidRDefault="00904E52" w:rsidP="00CA080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établit les exigences et les essais applicables aux plaques et aux bandes de protection utilisées pour la protection mécanique, l’identification et l’avertissement indiquant l’emplacement des câbles enterrés ou des conduits enterrés dans les installations sous terre.</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4CD81"/>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50525-1</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50525-1</w:t>
            </w:r>
          </w:p>
        </w:tc>
      </w:tr>
      <w:tr w:rsidR="0043547B" w:rsidRPr="0043547B" w:rsidTr="00CB5DC0">
        <w:trPr>
          <w:trHeight w:val="600"/>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Câbles électriques - Câbles d’énergie basse tension de tension assignée au plus égale à 450/750 V (U0/U) - Partie 1: Exigences générales ;</w:t>
            </w:r>
          </w:p>
        </w:tc>
      </w:tr>
      <w:tr w:rsidR="0043547B" w:rsidRPr="0043547B" w:rsidTr="00CB5DC0">
        <w:trPr>
          <w:trHeight w:val="843"/>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Domaine d’application :</w:t>
            </w:r>
          </w:p>
        </w:tc>
        <w:tc>
          <w:tcPr>
            <w:tcW w:w="8080" w:type="dxa"/>
            <w:tcBorders>
              <w:top w:val="nil"/>
              <w:left w:val="single" w:sz="4" w:space="0" w:color="auto"/>
              <w:bottom w:val="single" w:sz="18" w:space="0" w:color="auto"/>
              <w:right w:val="single" w:sz="18" w:space="0" w:color="auto"/>
            </w:tcBorders>
            <w:shd w:val="clear" w:color="auto" w:fill="auto"/>
            <w:vAlign w:val="center"/>
            <w:hideMark/>
          </w:tcPr>
          <w:p w:rsidR="00830FE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Cette norme donne les exigences générales pour les câbles d’énergie rigides et souples de tension assignée U</w:t>
            </w:r>
            <w:r w:rsidRPr="0043547B">
              <w:rPr>
                <w:rFonts w:eastAsia="Times New Roman" w:cstheme="minorHAnsi"/>
                <w:sz w:val="24"/>
                <w:szCs w:val="24"/>
                <w:vertAlign w:val="subscript"/>
                <w:lang w:eastAsia="fr-FR"/>
              </w:rPr>
              <w:t>o</w:t>
            </w:r>
            <w:r w:rsidRPr="0043547B">
              <w:rPr>
                <w:rFonts w:eastAsia="Times New Roman" w:cstheme="minorHAnsi"/>
                <w:sz w:val="24"/>
                <w:szCs w:val="24"/>
                <w:lang w:eastAsia="fr-FR"/>
              </w:rPr>
              <w:t>/U jusqu’à et y compris 450/750 V c.a. utilisés dans les installations d’énergie pour des applications et des équipements domestiques et industriels.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types de câbles particuliers sont spécifiés dans l’EN 50525-2 (série) et l’EN 50525-3 (série). Les parties individuelles de ces deux séries sont référencées collectivement ci-après comme « spécifications particulières ».</w:t>
            </w:r>
          </w:p>
          <w:p w:rsidR="00CA080D" w:rsidRPr="0043547B" w:rsidRDefault="00904E52" w:rsidP="00CA080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spécification particulière pour chaque type de câble individuel donne uniquement les tensions assignées, les dimensions (classe de l’âme, section), le nombre de conducteurs et d’autres caractéristiques de construction.</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4CD81"/>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50525-2-11</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50525-2-11</w:t>
            </w:r>
          </w:p>
        </w:tc>
      </w:tr>
      <w:tr w:rsidR="0043547B" w:rsidRPr="0043547B" w:rsidTr="00CB5DC0">
        <w:trPr>
          <w:trHeight w:val="900"/>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Câbles électriques - Câbles d’énergie basse tension de tension assignée au plus égale à 450/750 V (U0/U) - Partie 2-11: Câbles pour applications générales - Câbles souples isolés en PVC thermoplastique ;  </w:t>
            </w:r>
          </w:p>
        </w:tc>
      </w:tr>
      <w:tr w:rsidR="0043547B" w:rsidRPr="0043547B" w:rsidTr="00CB5DC0">
        <w:trPr>
          <w:trHeight w:val="2467"/>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top w:val="nil"/>
              <w:left w:val="single" w:sz="4" w:space="0" w:color="auto"/>
              <w:bottom w:val="single" w:sz="18" w:space="0" w:color="auto"/>
              <w:right w:val="single" w:sz="18" w:space="0" w:color="auto"/>
            </w:tcBorders>
            <w:shd w:val="clear" w:color="auto" w:fill="auto"/>
            <w:vAlign w:val="center"/>
            <w:hideMark/>
          </w:tcPr>
          <w:p w:rsidR="00830FEB" w:rsidRDefault="00904E52" w:rsidP="004C1604">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EN 50525-2-11 s’applique aux câbles souples isolés en PVC thermoplastique et gainés PVC.</w:t>
            </w:r>
          </w:p>
          <w:p w:rsidR="004C1604" w:rsidRPr="0043547B" w:rsidRDefault="00904E52" w:rsidP="004C1604">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câbles sont de tension assignée U</w:t>
            </w:r>
            <w:r w:rsidR="004C1604" w:rsidRPr="0043547B">
              <w:rPr>
                <w:rFonts w:eastAsia="Times New Roman" w:cstheme="minorHAnsi"/>
                <w:sz w:val="24"/>
                <w:szCs w:val="24"/>
                <w:vertAlign w:val="subscript"/>
                <w:lang w:eastAsia="fr-FR"/>
              </w:rPr>
              <w:t>0</w:t>
            </w:r>
            <w:r w:rsidRPr="0043547B">
              <w:rPr>
                <w:rFonts w:eastAsia="Times New Roman" w:cstheme="minorHAnsi"/>
                <w:sz w:val="24"/>
                <w:szCs w:val="24"/>
                <w:lang w:eastAsia="fr-FR"/>
              </w:rPr>
              <w:t>/U au plus égale à 300/500 V.</w:t>
            </w:r>
          </w:p>
          <w:p w:rsidR="004C1604" w:rsidRPr="0043547B" w:rsidRDefault="00904E52" w:rsidP="004C1604">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câbles sont conçus pour relier les appareils domestiques à une alimentation fixe.</w:t>
            </w:r>
          </w:p>
          <w:p w:rsidR="004C1604" w:rsidRPr="0043547B" w:rsidRDefault="00904E52" w:rsidP="004C1604">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Sont inclus les câbles circulaires et les câbles méplats. La température de service maximale de l’âme des câbles de La norme est de 70 °C (pour les types VV) et de 90 °C (pour les types V2V2).</w:t>
            </w:r>
          </w:p>
          <w:p w:rsidR="00CA080D" w:rsidRPr="0043547B" w:rsidRDefault="00904E52" w:rsidP="00CA080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Il est recommandé de lire la EN 50525-2-11 en conjonction avec la EN 50525-1, qui spécifie les prescriptions générales.</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4CD81"/>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50525-2-12</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50525-2-12</w:t>
            </w:r>
          </w:p>
        </w:tc>
      </w:tr>
      <w:tr w:rsidR="0043547B" w:rsidRPr="0043547B" w:rsidTr="00CB5DC0">
        <w:trPr>
          <w:trHeight w:val="900"/>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Câbles électriques - Câbles d’énergie basse tension de tension assignée au plus égale à 450/750 V (U0/U) - Partie 2-12: Câbles pour applications générales - Câbles isolés en PVC thermoplastique pour cordons extensibles ;  </w:t>
            </w:r>
          </w:p>
        </w:tc>
      </w:tr>
      <w:tr w:rsidR="0043547B" w:rsidRPr="0043547B" w:rsidTr="00CB5DC0">
        <w:trPr>
          <w:trHeight w:val="58"/>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4C1604">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EN 50525-2-12 s’applique aux cordons extensibles isolés et gainés en PVC thermoplastique.</w:t>
            </w:r>
            <w:r w:rsidRPr="0043547B">
              <w:rPr>
                <w:rFonts w:eastAsia="Times New Roman" w:cstheme="minorHAnsi"/>
                <w:sz w:val="24"/>
                <w:szCs w:val="24"/>
                <w:lang w:eastAsia="fr-FR"/>
              </w:rPr>
              <w:br/>
              <w:t>Les câbles sont de tension assignée U</w:t>
            </w:r>
            <w:r w:rsidR="004C1604" w:rsidRPr="0043547B">
              <w:rPr>
                <w:rFonts w:eastAsia="Times New Roman" w:cstheme="minorHAnsi"/>
                <w:sz w:val="24"/>
                <w:szCs w:val="24"/>
                <w:vertAlign w:val="subscript"/>
                <w:lang w:eastAsia="fr-FR"/>
              </w:rPr>
              <w:t>0</w:t>
            </w:r>
            <w:r w:rsidRPr="0043547B">
              <w:rPr>
                <w:rFonts w:eastAsia="Times New Roman" w:cstheme="minorHAnsi"/>
                <w:sz w:val="24"/>
                <w:szCs w:val="24"/>
                <w:lang w:eastAsia="fr-FR"/>
              </w:rPr>
              <w:t>/U au plus égale à 300/500 V.</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câbles sont conçus pour relier les appareils domestiques à une alimentation fixe.</w:t>
            </w:r>
            <w:r w:rsidRPr="0043547B">
              <w:rPr>
                <w:rFonts w:eastAsia="Times New Roman" w:cstheme="minorHAnsi"/>
                <w:sz w:val="24"/>
                <w:szCs w:val="24"/>
                <w:lang w:eastAsia="fr-FR"/>
              </w:rPr>
              <w:br/>
              <w:t>Sont inclus les câbles circulaires et les câbles méplats. La température de service maximale de l’âme des câbles de La norme est de 70 °C.</w:t>
            </w:r>
          </w:p>
          <w:p w:rsidR="001050AB" w:rsidRPr="0043547B" w:rsidRDefault="00904E52" w:rsidP="00830FEB">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Il est recommandé de lire la EN 50525-2-12 en conjonction avec la EN 50525-1, qui spécifie les prescriptions générales.</w:t>
            </w:r>
          </w:p>
        </w:tc>
      </w:tr>
      <w:tr w:rsidR="00460360" w:rsidRPr="0043547B" w:rsidTr="00EE5169">
        <w:trPr>
          <w:trHeight w:val="58"/>
          <w:jc w:val="center"/>
        </w:trPr>
        <w:tc>
          <w:tcPr>
            <w:tcW w:w="1843"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460360" w:rsidRDefault="00460360" w:rsidP="00EE5169">
            <w:pPr>
              <w:spacing w:after="0" w:line="240" w:lineRule="auto"/>
              <w:jc w:val="center"/>
              <w:rPr>
                <w:rFonts w:ascii="Calibri" w:hAnsi="Calibri" w:cs="Calibri"/>
                <w:b/>
                <w:bCs/>
              </w:rPr>
            </w:pPr>
            <w:r>
              <w:rPr>
                <w:rFonts w:ascii="Calibri" w:hAnsi="Calibri" w:cs="Calibri"/>
                <w:b/>
                <w:bCs/>
              </w:rPr>
              <w:t>Code</w:t>
            </w:r>
            <w:r w:rsidR="00EE5169">
              <w:rPr>
                <w:rFonts w:ascii="Calibri" w:hAnsi="Calibri" w:cs="Calibri"/>
                <w:b/>
                <w:bCs/>
              </w:rPr>
              <w:t xml:space="preserve"> </w:t>
            </w:r>
            <w:r>
              <w:rPr>
                <w:rFonts w:ascii="Calibri" w:hAnsi="Calibri" w:cs="Calibri"/>
                <w:b/>
                <w:bCs/>
              </w:rPr>
              <w:t>:</w:t>
            </w:r>
          </w:p>
        </w:tc>
        <w:tc>
          <w:tcPr>
            <w:tcW w:w="8080" w:type="dxa"/>
            <w:tcBorders>
              <w:top w:val="nil"/>
              <w:left w:val="single" w:sz="4" w:space="0" w:color="auto"/>
              <w:bottom w:val="single" w:sz="18" w:space="0" w:color="auto"/>
              <w:right w:val="single" w:sz="18" w:space="0" w:color="auto"/>
            </w:tcBorders>
            <w:shd w:val="clear" w:color="auto" w:fill="C2D69B" w:themeFill="accent3" w:themeFillTint="99"/>
            <w:vAlign w:val="center"/>
          </w:tcPr>
          <w:p w:rsidR="00460360" w:rsidRPr="00EE5169" w:rsidRDefault="00460360" w:rsidP="00EE5169">
            <w:pPr>
              <w:spacing w:after="0" w:line="240" w:lineRule="auto"/>
              <w:jc w:val="center"/>
              <w:rPr>
                <w:rFonts w:ascii="Calibri" w:hAnsi="Calibri" w:cs="Calibri"/>
                <w:b/>
                <w:bCs/>
                <w:sz w:val="24"/>
                <w:szCs w:val="24"/>
              </w:rPr>
            </w:pPr>
            <w:r w:rsidRPr="00EE5169">
              <w:rPr>
                <w:rFonts w:ascii="Calibri" w:hAnsi="Calibri" w:cs="Calibri"/>
                <w:b/>
                <w:bCs/>
                <w:sz w:val="24"/>
                <w:szCs w:val="24"/>
              </w:rPr>
              <w:t>NM EN 60423</w:t>
            </w:r>
          </w:p>
        </w:tc>
      </w:tr>
      <w:tr w:rsidR="00460360" w:rsidRPr="0043547B" w:rsidTr="00EE5169">
        <w:trPr>
          <w:trHeight w:val="58"/>
          <w:jc w:val="center"/>
        </w:trPr>
        <w:tc>
          <w:tcPr>
            <w:tcW w:w="1843" w:type="dxa"/>
            <w:tcBorders>
              <w:top w:val="nil"/>
              <w:left w:val="single" w:sz="18" w:space="0" w:color="auto"/>
              <w:bottom w:val="single" w:sz="18" w:space="0" w:color="auto"/>
              <w:right w:val="single" w:sz="4" w:space="0" w:color="auto"/>
            </w:tcBorders>
            <w:shd w:val="clear" w:color="000000" w:fill="D9D9D9"/>
            <w:vAlign w:val="center"/>
          </w:tcPr>
          <w:p w:rsidR="00460360" w:rsidRDefault="00460360" w:rsidP="00EE5169">
            <w:pPr>
              <w:spacing w:after="0" w:line="240" w:lineRule="auto"/>
              <w:jc w:val="center"/>
              <w:rPr>
                <w:rFonts w:ascii="Calibri" w:hAnsi="Calibri" w:cs="Calibri"/>
                <w:b/>
                <w:bCs/>
                <w:sz w:val="24"/>
                <w:szCs w:val="24"/>
              </w:rPr>
            </w:pPr>
            <w:r>
              <w:rPr>
                <w:rFonts w:ascii="Calibri" w:hAnsi="Calibri" w:cs="Calibri"/>
                <w:b/>
                <w:bCs/>
              </w:rPr>
              <w:t>Equivalence :</w:t>
            </w:r>
          </w:p>
        </w:tc>
        <w:tc>
          <w:tcPr>
            <w:tcW w:w="8080" w:type="dxa"/>
            <w:tcBorders>
              <w:top w:val="nil"/>
              <w:left w:val="single" w:sz="4" w:space="0" w:color="auto"/>
              <w:bottom w:val="single" w:sz="18" w:space="0" w:color="auto"/>
              <w:right w:val="single" w:sz="18" w:space="0" w:color="auto"/>
            </w:tcBorders>
            <w:shd w:val="clear" w:color="auto" w:fill="auto"/>
            <w:vAlign w:val="center"/>
          </w:tcPr>
          <w:p w:rsidR="00460360" w:rsidRPr="00EE5169" w:rsidRDefault="00460360" w:rsidP="00EE5169">
            <w:pPr>
              <w:spacing w:after="0" w:line="240" w:lineRule="auto"/>
              <w:jc w:val="center"/>
              <w:rPr>
                <w:rFonts w:ascii="Calibri" w:hAnsi="Calibri" w:cs="Calibri"/>
                <w:b/>
                <w:bCs/>
                <w:sz w:val="24"/>
                <w:szCs w:val="24"/>
              </w:rPr>
            </w:pPr>
            <w:r w:rsidRPr="00EE5169">
              <w:rPr>
                <w:rFonts w:ascii="Calibri" w:hAnsi="Calibri" w:cs="Calibri"/>
                <w:b/>
                <w:bCs/>
                <w:sz w:val="24"/>
                <w:szCs w:val="24"/>
              </w:rPr>
              <w:t>EN 60423</w:t>
            </w:r>
          </w:p>
        </w:tc>
      </w:tr>
      <w:tr w:rsidR="00460360" w:rsidRPr="0043547B" w:rsidTr="00EE5169">
        <w:trPr>
          <w:trHeight w:val="58"/>
          <w:jc w:val="center"/>
        </w:trPr>
        <w:tc>
          <w:tcPr>
            <w:tcW w:w="1843" w:type="dxa"/>
            <w:tcBorders>
              <w:top w:val="nil"/>
              <w:left w:val="single" w:sz="18" w:space="0" w:color="auto"/>
              <w:bottom w:val="single" w:sz="18" w:space="0" w:color="auto"/>
              <w:right w:val="single" w:sz="4" w:space="0" w:color="auto"/>
            </w:tcBorders>
            <w:shd w:val="clear" w:color="000000" w:fill="D9D9D9"/>
            <w:vAlign w:val="center"/>
          </w:tcPr>
          <w:p w:rsidR="00460360" w:rsidRDefault="00460360" w:rsidP="00EE5169">
            <w:pPr>
              <w:spacing w:after="0" w:line="240" w:lineRule="auto"/>
              <w:jc w:val="center"/>
              <w:rPr>
                <w:rFonts w:ascii="Calibri" w:hAnsi="Calibri" w:cs="Calibri"/>
                <w:b/>
                <w:bCs/>
                <w:sz w:val="24"/>
                <w:szCs w:val="24"/>
              </w:rPr>
            </w:pPr>
            <w:r>
              <w:rPr>
                <w:rFonts w:ascii="Calibri" w:hAnsi="Calibri" w:cs="Calibri"/>
                <w:b/>
                <w:bCs/>
              </w:rPr>
              <w:t>Intitulé :</w:t>
            </w:r>
          </w:p>
        </w:tc>
        <w:tc>
          <w:tcPr>
            <w:tcW w:w="8080" w:type="dxa"/>
            <w:tcBorders>
              <w:top w:val="nil"/>
              <w:left w:val="single" w:sz="4" w:space="0" w:color="auto"/>
              <w:bottom w:val="single" w:sz="18" w:space="0" w:color="auto"/>
              <w:right w:val="single" w:sz="18" w:space="0" w:color="auto"/>
            </w:tcBorders>
            <w:shd w:val="clear" w:color="auto" w:fill="auto"/>
          </w:tcPr>
          <w:p w:rsidR="00460360" w:rsidRPr="00EE5169" w:rsidRDefault="00460360" w:rsidP="00EE5169">
            <w:pPr>
              <w:spacing w:after="0" w:line="240" w:lineRule="auto"/>
              <w:jc w:val="both"/>
              <w:rPr>
                <w:rFonts w:ascii="Calibri" w:hAnsi="Calibri" w:cs="Calibri"/>
                <w:sz w:val="24"/>
                <w:szCs w:val="24"/>
              </w:rPr>
            </w:pPr>
            <w:r w:rsidRPr="00EE5169">
              <w:rPr>
                <w:rFonts w:ascii="Calibri" w:hAnsi="Calibri" w:cs="Calibri"/>
                <w:sz w:val="24"/>
                <w:szCs w:val="24"/>
              </w:rPr>
              <w:t>Systèmes de conduits pour la gestion du câblage - Diamètres extérieurs des conduits pour installations électriques et filetages pour conduits et accessoires</w:t>
            </w:r>
          </w:p>
        </w:tc>
      </w:tr>
      <w:tr w:rsidR="00460360" w:rsidRPr="0043547B" w:rsidTr="00EE5169">
        <w:trPr>
          <w:trHeight w:val="58"/>
          <w:jc w:val="center"/>
        </w:trPr>
        <w:tc>
          <w:tcPr>
            <w:tcW w:w="1843" w:type="dxa"/>
            <w:tcBorders>
              <w:top w:val="nil"/>
              <w:left w:val="single" w:sz="18" w:space="0" w:color="auto"/>
              <w:bottom w:val="single" w:sz="18" w:space="0" w:color="auto"/>
              <w:right w:val="single" w:sz="4" w:space="0" w:color="auto"/>
            </w:tcBorders>
            <w:shd w:val="clear" w:color="000000" w:fill="D9D9D9"/>
            <w:vAlign w:val="center"/>
          </w:tcPr>
          <w:p w:rsidR="00460360" w:rsidRDefault="00460360" w:rsidP="00EE5169">
            <w:pPr>
              <w:spacing w:after="0" w:line="240" w:lineRule="auto"/>
              <w:jc w:val="center"/>
              <w:rPr>
                <w:rFonts w:ascii="Calibri" w:hAnsi="Calibri" w:cs="Calibri"/>
                <w:b/>
                <w:bCs/>
                <w:sz w:val="24"/>
                <w:szCs w:val="24"/>
              </w:rPr>
            </w:pPr>
            <w:r>
              <w:rPr>
                <w:rFonts w:ascii="Calibri" w:hAnsi="Calibri" w:cs="Calibri"/>
                <w:b/>
                <w:bCs/>
              </w:rPr>
              <w:t>Domaine d’application :</w:t>
            </w:r>
          </w:p>
        </w:tc>
        <w:tc>
          <w:tcPr>
            <w:tcW w:w="8080" w:type="dxa"/>
            <w:tcBorders>
              <w:top w:val="nil"/>
              <w:left w:val="single" w:sz="4" w:space="0" w:color="auto"/>
              <w:bottom w:val="single" w:sz="18" w:space="0" w:color="auto"/>
              <w:right w:val="single" w:sz="18" w:space="0" w:color="auto"/>
            </w:tcBorders>
            <w:shd w:val="clear" w:color="auto" w:fill="auto"/>
            <w:vAlign w:val="bottom"/>
          </w:tcPr>
          <w:p w:rsidR="00460360" w:rsidRPr="00EE5169" w:rsidRDefault="00460360" w:rsidP="00EE5169">
            <w:pPr>
              <w:spacing w:after="0" w:line="240" w:lineRule="auto"/>
              <w:rPr>
                <w:rFonts w:ascii="Calibri" w:hAnsi="Calibri" w:cs="Calibri"/>
                <w:sz w:val="24"/>
                <w:szCs w:val="24"/>
              </w:rPr>
            </w:pPr>
            <w:r w:rsidRPr="00EE5169">
              <w:rPr>
                <w:rFonts w:ascii="Calibri" w:hAnsi="Calibri" w:cs="Calibri"/>
                <w:sz w:val="24"/>
                <w:szCs w:val="24"/>
              </w:rPr>
              <w:t>La présente Norme internationale spécifie les diamètres extérieurs des conduits utilisés dans les installations électriques ou dans les systèmes de communication ainsi que les exigences dimensionnelles des filetages. Elle spécifie aussi les exigences dimensionnelles des filetages utilisés dans les accessoires associés.</w:t>
            </w:r>
            <w:r w:rsidRPr="00EE5169">
              <w:rPr>
                <w:rFonts w:ascii="Calibri" w:hAnsi="Calibri" w:cs="Calibri"/>
                <w:sz w:val="24"/>
                <w:szCs w:val="24"/>
              </w:rPr>
              <w:br/>
            </w:r>
            <w:r w:rsidRPr="00EE5169">
              <w:rPr>
                <w:rFonts w:ascii="Calibri" w:hAnsi="Calibri" w:cs="Calibri"/>
                <w:sz w:val="24"/>
                <w:szCs w:val="24"/>
              </w:rPr>
              <w:lastRenderedPageBreak/>
              <w:t>Elle ne s’applique pas aux conduits très lourds rigides en acier conformes à la CEI 60981</w:t>
            </w:r>
          </w:p>
        </w:tc>
      </w:tr>
      <w:tr w:rsidR="00460360" w:rsidRPr="0043547B" w:rsidTr="00EE5169">
        <w:trPr>
          <w:trHeight w:val="58"/>
          <w:jc w:val="center"/>
        </w:trPr>
        <w:tc>
          <w:tcPr>
            <w:tcW w:w="1843"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460360" w:rsidRPr="00EE5169" w:rsidRDefault="00460360" w:rsidP="00EE5169">
            <w:pPr>
              <w:spacing w:after="0" w:line="240" w:lineRule="auto"/>
              <w:jc w:val="center"/>
              <w:rPr>
                <w:rFonts w:ascii="Calibri" w:hAnsi="Calibri" w:cs="Calibri"/>
                <w:b/>
                <w:bCs/>
                <w:sz w:val="24"/>
                <w:szCs w:val="24"/>
              </w:rPr>
            </w:pPr>
            <w:r w:rsidRPr="00EE5169">
              <w:rPr>
                <w:rFonts w:ascii="Calibri" w:hAnsi="Calibri" w:cs="Calibri"/>
                <w:b/>
                <w:bCs/>
                <w:sz w:val="24"/>
                <w:szCs w:val="24"/>
              </w:rPr>
              <w:lastRenderedPageBreak/>
              <w:t>Code :</w:t>
            </w:r>
          </w:p>
        </w:tc>
        <w:tc>
          <w:tcPr>
            <w:tcW w:w="8080" w:type="dxa"/>
            <w:tcBorders>
              <w:top w:val="nil"/>
              <w:left w:val="single" w:sz="4" w:space="0" w:color="auto"/>
              <w:bottom w:val="single" w:sz="18" w:space="0" w:color="auto"/>
              <w:right w:val="single" w:sz="18" w:space="0" w:color="auto"/>
            </w:tcBorders>
            <w:shd w:val="clear" w:color="auto" w:fill="C2D69B" w:themeFill="accent3" w:themeFillTint="99"/>
            <w:vAlign w:val="center"/>
          </w:tcPr>
          <w:p w:rsidR="00460360" w:rsidRPr="00EE5169" w:rsidRDefault="00460360" w:rsidP="00EE5169">
            <w:pPr>
              <w:spacing w:after="0" w:line="240" w:lineRule="auto"/>
              <w:jc w:val="center"/>
              <w:rPr>
                <w:rFonts w:ascii="Calibri" w:hAnsi="Calibri" w:cs="Calibri"/>
                <w:b/>
                <w:bCs/>
                <w:sz w:val="24"/>
                <w:szCs w:val="24"/>
              </w:rPr>
            </w:pPr>
            <w:r w:rsidRPr="00EE5169">
              <w:rPr>
                <w:rFonts w:ascii="Calibri" w:hAnsi="Calibri" w:cs="Calibri"/>
                <w:b/>
                <w:bCs/>
                <w:sz w:val="24"/>
                <w:szCs w:val="24"/>
              </w:rPr>
              <w:t>NM EN 60537</w:t>
            </w:r>
          </w:p>
        </w:tc>
      </w:tr>
      <w:tr w:rsidR="00460360" w:rsidRPr="0043547B" w:rsidTr="00EE5169">
        <w:trPr>
          <w:trHeight w:val="58"/>
          <w:jc w:val="center"/>
        </w:trPr>
        <w:tc>
          <w:tcPr>
            <w:tcW w:w="1843" w:type="dxa"/>
            <w:tcBorders>
              <w:top w:val="nil"/>
              <w:left w:val="single" w:sz="18" w:space="0" w:color="auto"/>
              <w:bottom w:val="single" w:sz="18" w:space="0" w:color="auto"/>
              <w:right w:val="single" w:sz="4" w:space="0" w:color="auto"/>
            </w:tcBorders>
            <w:shd w:val="clear" w:color="auto" w:fill="FFFFCC"/>
            <w:vAlign w:val="center"/>
          </w:tcPr>
          <w:p w:rsidR="00460360" w:rsidRPr="00EE5169" w:rsidRDefault="00460360" w:rsidP="00EE5169">
            <w:pPr>
              <w:spacing w:after="0" w:line="240" w:lineRule="auto"/>
              <w:jc w:val="center"/>
              <w:rPr>
                <w:rFonts w:ascii="Calibri" w:hAnsi="Calibri" w:cs="Calibri"/>
                <w:b/>
                <w:bCs/>
                <w:sz w:val="24"/>
                <w:szCs w:val="24"/>
              </w:rPr>
            </w:pPr>
            <w:r w:rsidRPr="00EE5169">
              <w:rPr>
                <w:rFonts w:ascii="Calibri" w:hAnsi="Calibri" w:cs="Calibri"/>
                <w:b/>
                <w:bCs/>
                <w:sz w:val="24"/>
                <w:szCs w:val="24"/>
              </w:rPr>
              <w:t>Equivalence :</w:t>
            </w:r>
          </w:p>
        </w:tc>
        <w:tc>
          <w:tcPr>
            <w:tcW w:w="8080" w:type="dxa"/>
            <w:tcBorders>
              <w:top w:val="nil"/>
              <w:left w:val="single" w:sz="4" w:space="0" w:color="auto"/>
              <w:bottom w:val="single" w:sz="18" w:space="0" w:color="auto"/>
              <w:right w:val="single" w:sz="18" w:space="0" w:color="auto"/>
            </w:tcBorders>
            <w:shd w:val="clear" w:color="auto" w:fill="FFFFCC"/>
            <w:vAlign w:val="center"/>
          </w:tcPr>
          <w:p w:rsidR="00460360" w:rsidRPr="00EE5169" w:rsidRDefault="00460360" w:rsidP="00EE5169">
            <w:pPr>
              <w:spacing w:after="0" w:line="240" w:lineRule="auto"/>
              <w:jc w:val="center"/>
              <w:rPr>
                <w:rFonts w:ascii="Calibri" w:hAnsi="Calibri" w:cs="Calibri"/>
                <w:b/>
                <w:bCs/>
                <w:sz w:val="24"/>
                <w:szCs w:val="24"/>
              </w:rPr>
            </w:pPr>
            <w:r w:rsidRPr="00EE5169">
              <w:rPr>
                <w:rFonts w:ascii="Calibri" w:hAnsi="Calibri" w:cs="Calibri"/>
                <w:b/>
                <w:bCs/>
                <w:sz w:val="24"/>
                <w:szCs w:val="24"/>
              </w:rPr>
              <w:t>EN 60537</w:t>
            </w:r>
          </w:p>
        </w:tc>
      </w:tr>
      <w:tr w:rsidR="00460360" w:rsidRPr="0043547B" w:rsidTr="00EE5169">
        <w:trPr>
          <w:trHeight w:val="58"/>
          <w:jc w:val="center"/>
        </w:trPr>
        <w:tc>
          <w:tcPr>
            <w:tcW w:w="1843" w:type="dxa"/>
            <w:tcBorders>
              <w:top w:val="nil"/>
              <w:left w:val="single" w:sz="18" w:space="0" w:color="auto"/>
              <w:bottom w:val="single" w:sz="18" w:space="0" w:color="auto"/>
              <w:right w:val="single" w:sz="4" w:space="0" w:color="auto"/>
            </w:tcBorders>
            <w:shd w:val="clear" w:color="auto" w:fill="8DB3E2" w:themeFill="text2" w:themeFillTint="66"/>
            <w:vAlign w:val="center"/>
          </w:tcPr>
          <w:p w:rsidR="00460360" w:rsidRPr="00EE5169" w:rsidRDefault="00460360" w:rsidP="00EE5169">
            <w:pPr>
              <w:spacing w:after="0" w:line="240" w:lineRule="auto"/>
              <w:jc w:val="center"/>
              <w:rPr>
                <w:rFonts w:ascii="Calibri" w:hAnsi="Calibri" w:cs="Calibri"/>
                <w:b/>
                <w:bCs/>
                <w:sz w:val="24"/>
                <w:szCs w:val="24"/>
              </w:rPr>
            </w:pPr>
            <w:r w:rsidRPr="00EE5169">
              <w:rPr>
                <w:rFonts w:ascii="Calibri" w:hAnsi="Calibri" w:cs="Calibri"/>
                <w:b/>
                <w:bCs/>
                <w:sz w:val="24"/>
                <w:szCs w:val="24"/>
              </w:rPr>
              <w:t>Intitulé :</w:t>
            </w:r>
          </w:p>
        </w:tc>
        <w:tc>
          <w:tcPr>
            <w:tcW w:w="8080" w:type="dxa"/>
            <w:tcBorders>
              <w:top w:val="nil"/>
              <w:left w:val="single" w:sz="4" w:space="0" w:color="auto"/>
              <w:bottom w:val="single" w:sz="18" w:space="0" w:color="auto"/>
              <w:right w:val="single" w:sz="18" w:space="0" w:color="auto"/>
            </w:tcBorders>
            <w:shd w:val="clear" w:color="auto" w:fill="auto"/>
          </w:tcPr>
          <w:p w:rsidR="00460360" w:rsidRPr="00EE5169" w:rsidRDefault="00460360" w:rsidP="00EE5169">
            <w:pPr>
              <w:spacing w:after="0" w:line="240" w:lineRule="auto"/>
              <w:jc w:val="both"/>
              <w:rPr>
                <w:rFonts w:ascii="Calibri" w:hAnsi="Calibri" w:cs="Calibri"/>
                <w:sz w:val="24"/>
                <w:szCs w:val="24"/>
              </w:rPr>
            </w:pPr>
            <w:r w:rsidRPr="00EE5169">
              <w:rPr>
                <w:rFonts w:ascii="Calibri" w:hAnsi="Calibri" w:cs="Calibri"/>
                <w:sz w:val="24"/>
                <w:szCs w:val="24"/>
              </w:rPr>
              <w:t>Systèmes de câblage - Systèmes de chemin de câbles et systèmes d'échelle à câbles</w:t>
            </w:r>
          </w:p>
        </w:tc>
      </w:tr>
      <w:tr w:rsidR="00460360" w:rsidRPr="0043547B" w:rsidTr="00EE5169">
        <w:trPr>
          <w:trHeight w:val="58"/>
          <w:jc w:val="center"/>
        </w:trPr>
        <w:tc>
          <w:tcPr>
            <w:tcW w:w="1843" w:type="dxa"/>
            <w:tcBorders>
              <w:top w:val="nil"/>
              <w:left w:val="single" w:sz="18" w:space="0" w:color="auto"/>
              <w:bottom w:val="single" w:sz="18" w:space="0" w:color="auto"/>
              <w:right w:val="single" w:sz="4" w:space="0" w:color="auto"/>
            </w:tcBorders>
            <w:shd w:val="clear" w:color="000000" w:fill="D9D9D9"/>
            <w:vAlign w:val="center"/>
          </w:tcPr>
          <w:p w:rsidR="00460360" w:rsidRDefault="00460360" w:rsidP="00EE5169">
            <w:pPr>
              <w:spacing w:after="0" w:line="240" w:lineRule="auto"/>
              <w:jc w:val="center"/>
              <w:rPr>
                <w:rFonts w:ascii="Calibri" w:hAnsi="Calibri" w:cs="Calibri"/>
                <w:b/>
                <w:bCs/>
                <w:sz w:val="24"/>
                <w:szCs w:val="24"/>
              </w:rPr>
            </w:pPr>
            <w:r w:rsidRPr="00EE5169">
              <w:rPr>
                <w:rFonts w:ascii="Calibri" w:hAnsi="Calibri" w:cs="Calibri"/>
                <w:b/>
                <w:bCs/>
                <w:sz w:val="24"/>
                <w:szCs w:val="24"/>
              </w:rPr>
              <w:t>Domaine d’application :</w:t>
            </w:r>
          </w:p>
        </w:tc>
        <w:tc>
          <w:tcPr>
            <w:tcW w:w="8080" w:type="dxa"/>
            <w:tcBorders>
              <w:top w:val="nil"/>
              <w:left w:val="single" w:sz="4" w:space="0" w:color="auto"/>
              <w:bottom w:val="single" w:sz="18" w:space="0" w:color="auto"/>
              <w:right w:val="single" w:sz="18" w:space="0" w:color="auto"/>
            </w:tcBorders>
            <w:shd w:val="clear" w:color="auto" w:fill="auto"/>
            <w:vAlign w:val="bottom"/>
          </w:tcPr>
          <w:p w:rsidR="00EE5169" w:rsidRDefault="00460360" w:rsidP="00EE5169">
            <w:pPr>
              <w:spacing w:after="0" w:line="240" w:lineRule="auto"/>
              <w:jc w:val="both"/>
              <w:rPr>
                <w:rFonts w:ascii="Calibri" w:hAnsi="Calibri" w:cs="Calibri"/>
                <w:sz w:val="24"/>
                <w:szCs w:val="24"/>
              </w:rPr>
            </w:pPr>
            <w:r w:rsidRPr="00EE5169">
              <w:rPr>
                <w:rFonts w:ascii="Calibri" w:hAnsi="Calibri" w:cs="Calibri"/>
                <w:sz w:val="24"/>
                <w:szCs w:val="24"/>
              </w:rPr>
              <w:t>Cette Norme internationale spécifie les exigences et les essais pour les systèmes de chemin de câbles et les systèmes d’échelle à câbles prévus pour le support, le logement des câbles et éventuellement d'autres équipements électriques dans des installations électriques et/ou des systèmes de communication. Si nécessaire, les systèmes de chemin de câbles et les systèmes d'échelle à câbles peuvent être utilisés pour la séparation ou le regroupement de câbles.</w:t>
            </w:r>
          </w:p>
          <w:p w:rsidR="00460360" w:rsidRPr="00EE5169" w:rsidRDefault="00460360" w:rsidP="00EE5169">
            <w:pPr>
              <w:spacing w:after="0" w:line="240" w:lineRule="auto"/>
              <w:jc w:val="both"/>
              <w:rPr>
                <w:rFonts w:ascii="Calibri" w:hAnsi="Calibri" w:cs="Calibri"/>
                <w:sz w:val="24"/>
                <w:szCs w:val="24"/>
              </w:rPr>
            </w:pPr>
            <w:r w:rsidRPr="00EE5169">
              <w:rPr>
                <w:rFonts w:ascii="Calibri" w:hAnsi="Calibri" w:cs="Calibri"/>
                <w:sz w:val="24"/>
                <w:szCs w:val="24"/>
              </w:rPr>
              <w:t>Cette norme ne s’applique pas aux systèmes de conduits, systèmes de goulottes et systèmes de conduits-profilés ou toutes parties transportant le courant.</w:t>
            </w:r>
          </w:p>
        </w:tc>
      </w:tr>
      <w:tr w:rsidR="00460360" w:rsidRPr="0043547B" w:rsidTr="00EE5169">
        <w:trPr>
          <w:trHeight w:val="422"/>
          <w:jc w:val="center"/>
        </w:trPr>
        <w:tc>
          <w:tcPr>
            <w:tcW w:w="1843"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460360" w:rsidRPr="00EE5169" w:rsidRDefault="00460360" w:rsidP="00EE5169">
            <w:pPr>
              <w:spacing w:after="0" w:line="240" w:lineRule="auto"/>
              <w:jc w:val="center"/>
              <w:rPr>
                <w:rFonts w:ascii="Calibri" w:hAnsi="Calibri" w:cs="Calibri"/>
                <w:b/>
                <w:bCs/>
                <w:sz w:val="24"/>
                <w:szCs w:val="24"/>
              </w:rPr>
            </w:pPr>
            <w:r w:rsidRPr="00EE5169">
              <w:rPr>
                <w:rFonts w:ascii="Calibri" w:hAnsi="Calibri" w:cs="Calibri"/>
                <w:b/>
                <w:bCs/>
                <w:sz w:val="24"/>
                <w:szCs w:val="24"/>
              </w:rPr>
              <w:t>Code :</w:t>
            </w:r>
          </w:p>
        </w:tc>
        <w:tc>
          <w:tcPr>
            <w:tcW w:w="8080" w:type="dxa"/>
            <w:tcBorders>
              <w:top w:val="nil"/>
              <w:left w:val="single" w:sz="4" w:space="0" w:color="auto"/>
              <w:bottom w:val="single" w:sz="18" w:space="0" w:color="auto"/>
              <w:right w:val="single" w:sz="18" w:space="0" w:color="auto"/>
            </w:tcBorders>
            <w:shd w:val="clear" w:color="auto" w:fill="C2D69B" w:themeFill="accent3" w:themeFillTint="99"/>
            <w:vAlign w:val="center"/>
          </w:tcPr>
          <w:p w:rsidR="00460360" w:rsidRPr="00EE5169" w:rsidRDefault="00460360" w:rsidP="00EE5169">
            <w:pPr>
              <w:spacing w:after="0" w:line="240" w:lineRule="auto"/>
              <w:jc w:val="center"/>
              <w:rPr>
                <w:rFonts w:ascii="Calibri" w:hAnsi="Calibri" w:cs="Calibri"/>
                <w:b/>
                <w:bCs/>
                <w:sz w:val="24"/>
                <w:szCs w:val="24"/>
              </w:rPr>
            </w:pPr>
            <w:r w:rsidRPr="00EE5169">
              <w:rPr>
                <w:rFonts w:ascii="Calibri" w:hAnsi="Calibri" w:cs="Calibri"/>
                <w:b/>
                <w:bCs/>
                <w:sz w:val="24"/>
                <w:szCs w:val="24"/>
              </w:rPr>
              <w:t>NM EN 50618</w:t>
            </w:r>
          </w:p>
        </w:tc>
      </w:tr>
      <w:tr w:rsidR="00460360" w:rsidRPr="0043547B" w:rsidTr="00EE5169">
        <w:trPr>
          <w:trHeight w:val="58"/>
          <w:jc w:val="center"/>
        </w:trPr>
        <w:tc>
          <w:tcPr>
            <w:tcW w:w="1843" w:type="dxa"/>
            <w:tcBorders>
              <w:top w:val="nil"/>
              <w:left w:val="single" w:sz="18" w:space="0" w:color="auto"/>
              <w:bottom w:val="single" w:sz="18" w:space="0" w:color="auto"/>
              <w:right w:val="single" w:sz="4" w:space="0" w:color="auto"/>
            </w:tcBorders>
            <w:shd w:val="clear" w:color="auto" w:fill="FFFFCC"/>
            <w:vAlign w:val="center"/>
          </w:tcPr>
          <w:p w:rsidR="00460360" w:rsidRPr="00EE5169" w:rsidRDefault="00460360" w:rsidP="00EE5169">
            <w:pPr>
              <w:spacing w:after="0" w:line="240" w:lineRule="auto"/>
              <w:jc w:val="center"/>
              <w:rPr>
                <w:rFonts w:ascii="Calibri" w:hAnsi="Calibri" w:cs="Calibri"/>
                <w:b/>
                <w:bCs/>
                <w:sz w:val="24"/>
                <w:szCs w:val="24"/>
              </w:rPr>
            </w:pPr>
            <w:r w:rsidRPr="00EE5169">
              <w:rPr>
                <w:rFonts w:ascii="Calibri" w:hAnsi="Calibri" w:cs="Calibri"/>
                <w:b/>
                <w:bCs/>
                <w:sz w:val="24"/>
                <w:szCs w:val="24"/>
              </w:rPr>
              <w:t>Equivalence :</w:t>
            </w:r>
          </w:p>
        </w:tc>
        <w:tc>
          <w:tcPr>
            <w:tcW w:w="8080" w:type="dxa"/>
            <w:tcBorders>
              <w:top w:val="nil"/>
              <w:left w:val="single" w:sz="4" w:space="0" w:color="auto"/>
              <w:bottom w:val="single" w:sz="18" w:space="0" w:color="auto"/>
              <w:right w:val="single" w:sz="18" w:space="0" w:color="auto"/>
            </w:tcBorders>
            <w:shd w:val="clear" w:color="auto" w:fill="FFFFCC"/>
            <w:vAlign w:val="center"/>
          </w:tcPr>
          <w:p w:rsidR="00460360" w:rsidRPr="00EE5169" w:rsidRDefault="00460360" w:rsidP="00EE5169">
            <w:pPr>
              <w:spacing w:after="0" w:line="240" w:lineRule="auto"/>
              <w:jc w:val="center"/>
              <w:rPr>
                <w:rFonts w:ascii="Calibri" w:hAnsi="Calibri" w:cs="Calibri"/>
                <w:b/>
                <w:bCs/>
                <w:sz w:val="24"/>
                <w:szCs w:val="24"/>
              </w:rPr>
            </w:pPr>
            <w:r w:rsidRPr="00EE5169">
              <w:rPr>
                <w:rFonts w:ascii="Calibri" w:hAnsi="Calibri" w:cs="Calibri"/>
                <w:b/>
                <w:bCs/>
                <w:sz w:val="24"/>
                <w:szCs w:val="24"/>
              </w:rPr>
              <w:t>EN 50618</w:t>
            </w:r>
          </w:p>
        </w:tc>
      </w:tr>
      <w:tr w:rsidR="00460360" w:rsidRPr="0043547B" w:rsidTr="00EE5169">
        <w:trPr>
          <w:trHeight w:val="58"/>
          <w:jc w:val="center"/>
        </w:trPr>
        <w:tc>
          <w:tcPr>
            <w:tcW w:w="1843" w:type="dxa"/>
            <w:tcBorders>
              <w:top w:val="nil"/>
              <w:left w:val="single" w:sz="18" w:space="0" w:color="auto"/>
              <w:bottom w:val="single" w:sz="18" w:space="0" w:color="auto"/>
              <w:right w:val="single" w:sz="4" w:space="0" w:color="auto"/>
            </w:tcBorders>
            <w:shd w:val="clear" w:color="000000" w:fill="D9D9D9"/>
            <w:vAlign w:val="center"/>
          </w:tcPr>
          <w:p w:rsidR="00460360" w:rsidRPr="00EE5169" w:rsidRDefault="00460360" w:rsidP="00EE5169">
            <w:pPr>
              <w:spacing w:after="0" w:line="240" w:lineRule="auto"/>
              <w:jc w:val="center"/>
              <w:rPr>
                <w:rFonts w:ascii="Calibri" w:hAnsi="Calibri" w:cs="Calibri"/>
                <w:b/>
                <w:bCs/>
                <w:sz w:val="24"/>
                <w:szCs w:val="24"/>
              </w:rPr>
            </w:pPr>
            <w:r w:rsidRPr="00EE5169">
              <w:rPr>
                <w:rFonts w:ascii="Calibri" w:hAnsi="Calibri" w:cs="Calibri"/>
                <w:b/>
                <w:bCs/>
                <w:sz w:val="24"/>
                <w:szCs w:val="24"/>
              </w:rPr>
              <w:t>Intitulé :</w:t>
            </w:r>
          </w:p>
        </w:tc>
        <w:tc>
          <w:tcPr>
            <w:tcW w:w="8080" w:type="dxa"/>
            <w:tcBorders>
              <w:top w:val="nil"/>
              <w:left w:val="single" w:sz="4" w:space="0" w:color="auto"/>
              <w:bottom w:val="single" w:sz="18" w:space="0" w:color="auto"/>
              <w:right w:val="single" w:sz="18" w:space="0" w:color="auto"/>
            </w:tcBorders>
            <w:shd w:val="clear" w:color="auto" w:fill="auto"/>
          </w:tcPr>
          <w:p w:rsidR="00460360" w:rsidRPr="00EE5169" w:rsidRDefault="00460360" w:rsidP="00EE5169">
            <w:pPr>
              <w:spacing w:after="0" w:line="240" w:lineRule="auto"/>
              <w:jc w:val="both"/>
              <w:rPr>
                <w:rFonts w:ascii="Calibri" w:hAnsi="Calibri" w:cs="Calibri"/>
                <w:sz w:val="24"/>
                <w:szCs w:val="24"/>
              </w:rPr>
            </w:pPr>
            <w:r w:rsidRPr="00EE5169">
              <w:rPr>
                <w:rFonts w:ascii="Calibri" w:hAnsi="Calibri" w:cs="Calibri"/>
                <w:sz w:val="24"/>
                <w:szCs w:val="24"/>
              </w:rPr>
              <w:t>Câbles électriques pour systèmes photovoltaïques</w:t>
            </w:r>
          </w:p>
        </w:tc>
      </w:tr>
      <w:tr w:rsidR="00460360" w:rsidRPr="0043547B" w:rsidTr="00EE5169">
        <w:trPr>
          <w:trHeight w:val="58"/>
          <w:jc w:val="center"/>
        </w:trPr>
        <w:tc>
          <w:tcPr>
            <w:tcW w:w="1843" w:type="dxa"/>
            <w:tcBorders>
              <w:top w:val="nil"/>
              <w:left w:val="single" w:sz="18" w:space="0" w:color="auto"/>
              <w:bottom w:val="single" w:sz="18" w:space="0" w:color="auto"/>
              <w:right w:val="single" w:sz="4" w:space="0" w:color="auto"/>
            </w:tcBorders>
            <w:shd w:val="clear" w:color="000000" w:fill="D9D9D9"/>
            <w:vAlign w:val="center"/>
          </w:tcPr>
          <w:p w:rsidR="00460360" w:rsidRDefault="00460360" w:rsidP="00EE5169">
            <w:pPr>
              <w:jc w:val="center"/>
              <w:rPr>
                <w:rFonts w:ascii="Calibri" w:hAnsi="Calibri" w:cs="Calibri"/>
                <w:b/>
                <w:bCs/>
                <w:sz w:val="24"/>
                <w:szCs w:val="24"/>
              </w:rPr>
            </w:pPr>
            <w:r>
              <w:rPr>
                <w:rFonts w:ascii="Calibri" w:hAnsi="Calibri" w:cs="Calibri"/>
                <w:b/>
                <w:bCs/>
              </w:rPr>
              <w:t>Domaine d’application :</w:t>
            </w:r>
          </w:p>
        </w:tc>
        <w:tc>
          <w:tcPr>
            <w:tcW w:w="8080" w:type="dxa"/>
            <w:tcBorders>
              <w:top w:val="nil"/>
              <w:left w:val="single" w:sz="4" w:space="0" w:color="auto"/>
              <w:bottom w:val="single" w:sz="18" w:space="0" w:color="auto"/>
              <w:right w:val="single" w:sz="18" w:space="0" w:color="auto"/>
            </w:tcBorders>
            <w:shd w:val="clear" w:color="auto" w:fill="auto"/>
            <w:vAlign w:val="bottom"/>
          </w:tcPr>
          <w:p w:rsidR="00EE5169" w:rsidRDefault="00460360" w:rsidP="00EE5169">
            <w:pPr>
              <w:spacing w:after="0" w:line="240" w:lineRule="auto"/>
              <w:jc w:val="both"/>
              <w:rPr>
                <w:rFonts w:ascii="Calibri" w:hAnsi="Calibri" w:cs="Calibri"/>
                <w:sz w:val="24"/>
                <w:szCs w:val="24"/>
              </w:rPr>
            </w:pPr>
            <w:r w:rsidRPr="00EE5169">
              <w:rPr>
                <w:rFonts w:ascii="Calibri" w:hAnsi="Calibri" w:cs="Calibri"/>
                <w:sz w:val="24"/>
                <w:szCs w:val="24"/>
              </w:rPr>
              <w:t>La présente norme européenne s'applique aux câbles d'alimentation unipolaires souples sans halogènes à faible émission de fumée et à enveloppe isolante et gaine réticulées, en particulier pour une utilisation du côté courant continu des systèmes photovoltaïques, avec une tension nominale en courant continu de 1,5 kV entre les conducteurs et entre le conducteur et la terre.</w:t>
            </w:r>
          </w:p>
          <w:p w:rsidR="00460360" w:rsidRPr="00EE5169" w:rsidRDefault="00460360" w:rsidP="00EE5169">
            <w:pPr>
              <w:spacing w:after="0" w:line="240" w:lineRule="auto"/>
              <w:jc w:val="both"/>
              <w:rPr>
                <w:rFonts w:ascii="Calibri" w:hAnsi="Calibri" w:cs="Calibri"/>
                <w:sz w:val="24"/>
                <w:szCs w:val="24"/>
              </w:rPr>
            </w:pPr>
            <w:r w:rsidRPr="00EE5169">
              <w:rPr>
                <w:rFonts w:ascii="Calibri" w:hAnsi="Calibri" w:cs="Calibri"/>
                <w:sz w:val="24"/>
                <w:szCs w:val="24"/>
              </w:rPr>
              <w:t>Ces câbles sont adaptés à une utilisation avec un matériel de Classe II.</w:t>
            </w:r>
            <w:r w:rsidRPr="00EE5169">
              <w:rPr>
                <w:rFonts w:ascii="Calibri" w:hAnsi="Calibri" w:cs="Calibri"/>
                <w:sz w:val="24"/>
                <w:szCs w:val="24"/>
              </w:rPr>
              <w:br/>
              <w:t xml:space="preserve">Ces câbles sont conçus pour fonctionner à une température maximale normale du conducteur de 90 °C, mais pendant 20 000 h au maximum, une température maximale du conducteur de 120 °C à une température ambiante maximale de </w:t>
            </w:r>
            <w:r w:rsidR="00EE5169">
              <w:rPr>
                <w:rFonts w:ascii="Calibri" w:hAnsi="Calibri" w:cs="Calibri"/>
                <w:sz w:val="24"/>
                <w:szCs w:val="24"/>
              </w:rPr>
              <w:t xml:space="preserve">              </w:t>
            </w:r>
            <w:r w:rsidRPr="00EE5169">
              <w:rPr>
                <w:rFonts w:ascii="Calibri" w:hAnsi="Calibri" w:cs="Calibri"/>
                <w:sz w:val="24"/>
                <w:szCs w:val="24"/>
              </w:rPr>
              <w:t>90 °C est autorisée.</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4CD81"/>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50525-2-21</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50525-2-21+AC</w:t>
            </w:r>
          </w:p>
        </w:tc>
      </w:tr>
      <w:tr w:rsidR="0043547B" w:rsidRPr="0043547B" w:rsidTr="00CB5DC0">
        <w:trPr>
          <w:trHeight w:val="900"/>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Câbles électriques - Câbles d’énergie basse tension de tension assignée au plus égale à 450/750 V (U0/U) - Partie 2-21: Câbles pour applications générales - Câbles souples isolés en matériau élastomère réticulé  </w:t>
            </w:r>
          </w:p>
        </w:tc>
      </w:tr>
      <w:tr w:rsidR="0043547B" w:rsidRPr="0043547B" w:rsidTr="00CB5DC0">
        <w:trPr>
          <w:trHeight w:val="560"/>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EN 50525-2-21 s’applique aux câbles souples isolés à l’aide d’un mélange en matériau</w:t>
            </w:r>
            <w:r w:rsidRPr="0043547B">
              <w:rPr>
                <w:rFonts w:eastAsia="Times New Roman" w:cstheme="minorHAnsi"/>
                <w:sz w:val="24"/>
                <w:szCs w:val="24"/>
                <w:lang w:eastAsia="fr-FR"/>
              </w:rPr>
              <w:br/>
              <w:t>élastomère réticulé et gainés avec soit un mélange en matériau élastomère réticulé soit un thermoplastique polyuréthane (TPU).</w:t>
            </w:r>
          </w:p>
          <w:p w:rsidR="00904E52" w:rsidRPr="0043547B" w:rsidRDefault="00904E52" w:rsidP="004C1604">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câbles sont de tension assignée U</w:t>
            </w:r>
            <w:r w:rsidR="004C1604" w:rsidRPr="0043547B">
              <w:rPr>
                <w:rFonts w:eastAsia="Times New Roman" w:cstheme="minorHAnsi"/>
                <w:sz w:val="24"/>
                <w:szCs w:val="24"/>
                <w:vertAlign w:val="subscript"/>
                <w:lang w:eastAsia="fr-FR"/>
              </w:rPr>
              <w:t>0</w:t>
            </w:r>
            <w:r w:rsidRPr="0043547B">
              <w:rPr>
                <w:rFonts w:eastAsia="Times New Roman" w:cstheme="minorHAnsi"/>
                <w:sz w:val="24"/>
                <w:szCs w:val="24"/>
                <w:lang w:eastAsia="fr-FR"/>
              </w:rPr>
              <w:t>/U au plus égale à 450/750 V.</w:t>
            </w:r>
          </w:p>
          <w:p w:rsidR="00904E52" w:rsidRPr="0043547B" w:rsidRDefault="00904E52" w:rsidP="00A2520E">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câbles sont conçus pour une grande variété d’applications telles que les appareils</w:t>
            </w:r>
            <w:r w:rsidR="00A2520E">
              <w:rPr>
                <w:rFonts w:eastAsia="Times New Roman" w:cstheme="minorHAnsi"/>
                <w:sz w:val="24"/>
                <w:szCs w:val="24"/>
                <w:lang w:eastAsia="fr-FR"/>
              </w:rPr>
              <w:t xml:space="preserve"> </w:t>
            </w:r>
            <w:r w:rsidRPr="0043547B">
              <w:rPr>
                <w:rFonts w:eastAsia="Times New Roman" w:cstheme="minorHAnsi"/>
                <w:sz w:val="24"/>
                <w:szCs w:val="24"/>
                <w:lang w:eastAsia="fr-FR"/>
              </w:rPr>
              <w:t>électrodomestiques ou les équipements y compris les équipements de l’industrie lourde qui demandent une liaison souple vers une alimentation de puissance.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température de service maximale de l’âme des câbles de La norme est de 60 °C (types R), 90 °C (types B) et 110 °C (types G).</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Sont inclus les câbles spécifiques ci-dessous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Les câbles pour un usage général (types RR et RN)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Les câbles résistants à l’eau (types RN8)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Les câbles pour un usage général basse température (types BB et BN4)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lastRenderedPageBreak/>
              <w:t>- Les câbles gainés TPU (types BQ)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 Les </w:t>
            </w:r>
            <w:r w:rsidR="004C1604" w:rsidRPr="0043547B">
              <w:rPr>
                <w:rFonts w:eastAsia="Times New Roman" w:cstheme="minorHAnsi"/>
                <w:sz w:val="24"/>
                <w:szCs w:val="24"/>
                <w:lang w:eastAsia="fr-FR"/>
              </w:rPr>
              <w:t>câbles hauts</w:t>
            </w:r>
            <w:r w:rsidRPr="0043547B">
              <w:rPr>
                <w:rFonts w:eastAsia="Times New Roman" w:cstheme="minorHAnsi"/>
                <w:sz w:val="24"/>
                <w:szCs w:val="24"/>
                <w:lang w:eastAsia="fr-FR"/>
              </w:rPr>
              <w:t xml:space="preserve"> température</w:t>
            </w:r>
            <w:r w:rsidR="004C1604" w:rsidRPr="0043547B">
              <w:rPr>
                <w:rFonts w:eastAsia="Times New Roman" w:cstheme="minorHAnsi"/>
                <w:sz w:val="24"/>
                <w:szCs w:val="24"/>
                <w:lang w:eastAsia="fr-FR"/>
              </w:rPr>
              <w:t xml:space="preserve"> </w:t>
            </w:r>
            <w:r w:rsidRPr="0043547B">
              <w:rPr>
                <w:rFonts w:eastAsia="Times New Roman" w:cstheme="minorHAnsi"/>
                <w:sz w:val="24"/>
                <w:szCs w:val="24"/>
                <w:lang w:eastAsia="fr-FR"/>
              </w:rPr>
              <w:t>(types GG).</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Il est recommandé de lire la EN 50525-2-21 en conjonction avec la EN 50525-1, qui spécifie les prescriptions générales.</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8080" w:type="dxa"/>
            <w:tcBorders>
              <w:top w:val="single" w:sz="18" w:space="0" w:color="auto"/>
              <w:left w:val="single" w:sz="4" w:space="0" w:color="auto"/>
              <w:bottom w:val="single" w:sz="18" w:space="0" w:color="auto"/>
              <w:right w:val="single" w:sz="18" w:space="0" w:color="auto"/>
            </w:tcBorders>
            <w:shd w:val="clear" w:color="auto" w:fill="B4CD81"/>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50525-2-22</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50525-2-22</w:t>
            </w:r>
          </w:p>
        </w:tc>
      </w:tr>
      <w:tr w:rsidR="0043547B" w:rsidRPr="0043547B" w:rsidTr="00CB5DC0">
        <w:trPr>
          <w:trHeight w:val="812"/>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Câbles électriques - Câbles d’énergie basse tension de tension assignée au plus égale à 450/750 V (U0/U) - Partie 2-22: Câbles pour applications générales - Câbles sous tresse à flexibilité élevée isolés en matériau élastomère réticulé ;   </w:t>
            </w:r>
          </w:p>
        </w:tc>
      </w:tr>
      <w:tr w:rsidR="0043547B" w:rsidRPr="0043547B" w:rsidTr="00CB5DC0">
        <w:trPr>
          <w:trHeight w:val="560"/>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830FEB">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EN 50525-2-22 s’appliquent aux câbles flexibles isolés en EPR réticulé sous tresse.</w:t>
            </w:r>
            <w:r w:rsidRPr="0043547B">
              <w:rPr>
                <w:rFonts w:eastAsia="Times New Roman" w:cstheme="minorHAnsi"/>
                <w:sz w:val="24"/>
                <w:szCs w:val="24"/>
                <w:lang w:eastAsia="fr-FR"/>
              </w:rPr>
              <w:br/>
              <w:t>Les câbles sont de tension assignée U</w:t>
            </w:r>
            <w:r w:rsidR="004C1604" w:rsidRPr="0043547B">
              <w:rPr>
                <w:rFonts w:eastAsia="Times New Roman" w:cstheme="minorHAnsi"/>
                <w:sz w:val="24"/>
                <w:szCs w:val="24"/>
                <w:vertAlign w:val="subscript"/>
                <w:lang w:eastAsia="fr-FR"/>
              </w:rPr>
              <w:t>0</w:t>
            </w:r>
            <w:r w:rsidRPr="0043547B">
              <w:rPr>
                <w:rFonts w:eastAsia="Times New Roman" w:cstheme="minorHAnsi"/>
                <w:sz w:val="24"/>
                <w:szCs w:val="24"/>
                <w:lang w:eastAsia="fr-FR"/>
              </w:rPr>
              <w:t>/U 300/300 V. Les câbles sont conçus pour relier les appareils domestiques à une alimentation fixe quand une liaison à flexibilité élevée est exigée. La température de service maximale de l’âme des câbles de La norme est de</w:t>
            </w:r>
            <w:r w:rsidR="00830FEB">
              <w:rPr>
                <w:rFonts w:eastAsia="Times New Roman" w:cstheme="minorHAnsi"/>
                <w:sz w:val="24"/>
                <w:szCs w:val="24"/>
                <w:lang w:eastAsia="fr-FR"/>
              </w:rPr>
              <w:t xml:space="preserve"> </w:t>
            </w:r>
            <w:r w:rsidRPr="0043547B">
              <w:rPr>
                <w:rFonts w:eastAsia="Times New Roman" w:cstheme="minorHAnsi"/>
                <w:sz w:val="24"/>
                <w:szCs w:val="24"/>
                <w:lang w:eastAsia="fr-FR"/>
              </w:rPr>
              <w:t>60 °C.</w:t>
            </w:r>
            <w:r w:rsidR="001050AB" w:rsidRPr="0043547B">
              <w:rPr>
                <w:rFonts w:eastAsia="Times New Roman" w:cstheme="minorHAnsi"/>
                <w:sz w:val="24"/>
                <w:szCs w:val="24"/>
                <w:lang w:eastAsia="fr-FR"/>
              </w:rPr>
              <w:t xml:space="preserve"> </w:t>
            </w:r>
            <w:r w:rsidRPr="0043547B">
              <w:rPr>
                <w:rFonts w:eastAsia="Times New Roman" w:cstheme="minorHAnsi"/>
                <w:sz w:val="24"/>
                <w:szCs w:val="24"/>
                <w:lang w:eastAsia="fr-FR"/>
              </w:rPr>
              <w:t>Il est recommandé de lire la EN 50525-2-22 en conjonction avec la EN 50525-1, qui spécifie les prescriptions générales.</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4CD81"/>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50525-2-31</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50525-2-31</w:t>
            </w:r>
          </w:p>
        </w:tc>
      </w:tr>
      <w:tr w:rsidR="0043547B" w:rsidRPr="0043547B" w:rsidTr="00CB5DC0">
        <w:trPr>
          <w:trHeight w:val="900"/>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Câbles électriques - Câbles d’énergie basse tension de tension assignée au plus égale à 450/750 V (U0/U) - Partie 2-31: Câbles pour applications générales - Conducteurs isolés en PVC thermoplastique ;    </w:t>
            </w:r>
          </w:p>
        </w:tc>
      </w:tr>
      <w:tr w:rsidR="0043547B" w:rsidRPr="0043547B" w:rsidTr="00CB5DC0">
        <w:trPr>
          <w:trHeight w:val="559"/>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EN 50525-2-31 s’appliquent aux câbles mono-conducteurs isolés non gainés avec une enveloppe isolante thermoplastique en PVC.</w:t>
            </w:r>
          </w:p>
          <w:p w:rsidR="00CA080D" w:rsidRPr="0043547B" w:rsidRDefault="00CA080D" w:rsidP="00CA080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câbles sont de tension assignée U</w:t>
            </w:r>
            <w:r w:rsidRPr="0043547B">
              <w:rPr>
                <w:rFonts w:eastAsia="Times New Roman" w:cstheme="minorHAnsi"/>
                <w:sz w:val="24"/>
                <w:szCs w:val="24"/>
                <w:vertAlign w:val="subscript"/>
                <w:lang w:eastAsia="fr-FR"/>
              </w:rPr>
              <w:t>0</w:t>
            </w:r>
            <w:r w:rsidRPr="0043547B">
              <w:rPr>
                <w:rFonts w:eastAsia="Times New Roman" w:cstheme="minorHAnsi"/>
                <w:sz w:val="24"/>
                <w:szCs w:val="24"/>
                <w:lang w:eastAsia="fr-FR"/>
              </w:rPr>
              <w:t>/U au plus égale à 450/750 V.</w:t>
            </w:r>
          </w:p>
          <w:p w:rsidR="00CA080D" w:rsidRPr="0043547B" w:rsidRDefault="00CA080D" w:rsidP="00CA080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câbles sont conçus pour les installations fixes. La température de service maximale de l’âme des câbles de La norme est de 70 °C (types V) et 90 °C (types V2).</w:t>
            </w:r>
          </w:p>
          <w:p w:rsidR="00904E52" w:rsidRPr="0043547B" w:rsidRDefault="00CA080D" w:rsidP="00CA080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Il est recommandé de lire la EN 50525-2-31 en conjonction avec la EN 50525-1, qui spécifie les prescriptions générales.</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4CD81"/>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50525-2-41</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CC"/>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bottom w:val="single" w:sz="4" w:space="0" w:color="auto"/>
              <w:right w:val="single" w:sz="18" w:space="0" w:color="auto"/>
            </w:tcBorders>
            <w:shd w:val="clear" w:color="auto" w:fill="FFFFCC"/>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50525-2-41</w:t>
            </w:r>
          </w:p>
        </w:tc>
      </w:tr>
      <w:tr w:rsidR="0043547B" w:rsidRPr="0043547B" w:rsidTr="00CB5DC0">
        <w:trPr>
          <w:trHeight w:val="900"/>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Câbles électriques - Câbles d’énergie basse tension de tension assignée au plus égale à 450/750 V (U0/U) - Partie 2-41: Câbles pour applications générales - Conducteur</w:t>
            </w:r>
            <w:r w:rsidR="001050AB" w:rsidRPr="0043547B">
              <w:rPr>
                <w:rFonts w:eastAsia="Times New Roman" w:cstheme="minorHAnsi"/>
                <w:sz w:val="24"/>
                <w:szCs w:val="24"/>
                <w:lang w:eastAsia="fr-FR"/>
              </w:rPr>
              <w:t xml:space="preserve">s isolés en silicone réticulé </w:t>
            </w:r>
            <w:r w:rsidRPr="0043547B">
              <w:rPr>
                <w:rFonts w:eastAsia="Times New Roman" w:cstheme="minorHAnsi"/>
                <w:sz w:val="24"/>
                <w:szCs w:val="24"/>
                <w:lang w:eastAsia="fr-FR"/>
              </w:rPr>
              <w:t xml:space="preserve">  </w:t>
            </w:r>
          </w:p>
        </w:tc>
      </w:tr>
      <w:tr w:rsidR="0043547B" w:rsidRPr="0043547B" w:rsidTr="00CB5DC0">
        <w:trPr>
          <w:trHeight w:val="2253"/>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EN 50525-2-41 s’appliquent aux câbles mono-conducteurs isolés réticulés (caoutchouc de silicone). Sont traités dans La norme les types seulement isolés, les types isolés et entourés d’une tresse et les types isolés et gainés.</w:t>
            </w:r>
          </w:p>
          <w:p w:rsidR="00904E52" w:rsidRPr="0043547B" w:rsidRDefault="00904E52" w:rsidP="004C1604">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câbles sont de tension assignée U</w:t>
            </w:r>
            <w:r w:rsidR="004C1604" w:rsidRPr="0043547B">
              <w:rPr>
                <w:rFonts w:eastAsia="Times New Roman" w:cstheme="minorHAnsi"/>
                <w:sz w:val="24"/>
                <w:szCs w:val="24"/>
                <w:vertAlign w:val="subscript"/>
                <w:lang w:eastAsia="fr-FR"/>
              </w:rPr>
              <w:t>0</w:t>
            </w:r>
            <w:r w:rsidRPr="0043547B">
              <w:rPr>
                <w:rFonts w:eastAsia="Times New Roman" w:cstheme="minorHAnsi"/>
                <w:sz w:val="24"/>
                <w:szCs w:val="24"/>
                <w:lang w:eastAsia="fr-FR"/>
              </w:rPr>
              <w:t>/U au plus égale à 300/500 V.</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câbles sont conçus pour les installations fixes dans les environnements soumis à haute température. La température de service maximale de l’âme des câbles de La norme est de 180 °C.</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Il est recommandé de lire la EN 50525-2-41 en conjonction avec la EN 50525-1, qui spécifie les prescriptions générales.</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4CD81"/>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50525-2-42</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50525-2-42</w:t>
            </w:r>
          </w:p>
        </w:tc>
      </w:tr>
      <w:tr w:rsidR="0043547B" w:rsidRPr="0043547B" w:rsidTr="00CB5DC0">
        <w:trPr>
          <w:trHeight w:val="900"/>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Intitulé :</w:t>
            </w:r>
          </w:p>
        </w:tc>
        <w:tc>
          <w:tcPr>
            <w:tcW w:w="8080"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Câbles électriques - Câbles d’énergie basse tension de tension assignée au plus égale à 450/750 V (U0/U) - Partie 2-42: Câbles pour applications générales - Conducteurs is</w:t>
            </w:r>
            <w:r w:rsidR="001050AB" w:rsidRPr="0043547B">
              <w:rPr>
                <w:rFonts w:eastAsia="Times New Roman" w:cstheme="minorHAnsi"/>
                <w:sz w:val="24"/>
                <w:szCs w:val="24"/>
                <w:lang w:eastAsia="fr-FR"/>
              </w:rPr>
              <w:t xml:space="preserve">olés en matériau EVA réticulé </w:t>
            </w:r>
          </w:p>
        </w:tc>
      </w:tr>
      <w:tr w:rsidR="0043547B" w:rsidRPr="0043547B" w:rsidTr="00CB5DC0">
        <w:trPr>
          <w:trHeight w:val="701"/>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A2520E">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EN 50525-2-42 s’appliquent aux câbles mono-conducteurs isolés non gainés avec une</w:t>
            </w:r>
            <w:r w:rsidR="00A2520E">
              <w:rPr>
                <w:rFonts w:eastAsia="Times New Roman" w:cstheme="minorHAnsi"/>
                <w:sz w:val="24"/>
                <w:szCs w:val="24"/>
                <w:lang w:eastAsia="fr-FR"/>
              </w:rPr>
              <w:t xml:space="preserve"> </w:t>
            </w:r>
            <w:r w:rsidRPr="0043547B">
              <w:rPr>
                <w:rFonts w:eastAsia="Times New Roman" w:cstheme="minorHAnsi"/>
                <w:sz w:val="24"/>
                <w:szCs w:val="24"/>
                <w:lang w:eastAsia="fr-FR"/>
              </w:rPr>
              <w:t>enveloppe isolante en un matériau élastomère réticulé.</w:t>
            </w:r>
          </w:p>
          <w:p w:rsidR="00904E52" w:rsidRPr="0043547B" w:rsidRDefault="00904E52" w:rsidP="004C1604">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câbles sont de tension assignée U</w:t>
            </w:r>
            <w:r w:rsidR="004C1604" w:rsidRPr="0043547B">
              <w:rPr>
                <w:rFonts w:eastAsia="Times New Roman" w:cstheme="minorHAnsi"/>
                <w:sz w:val="24"/>
                <w:szCs w:val="24"/>
                <w:vertAlign w:val="subscript"/>
                <w:lang w:eastAsia="fr-FR"/>
              </w:rPr>
              <w:t>0</w:t>
            </w:r>
            <w:r w:rsidRPr="0043547B">
              <w:rPr>
                <w:rFonts w:eastAsia="Times New Roman" w:cstheme="minorHAnsi"/>
                <w:sz w:val="24"/>
                <w:szCs w:val="24"/>
                <w:lang w:eastAsia="fr-FR"/>
              </w:rPr>
              <w:t>/U au plus égale à 450/750 V.</w:t>
            </w:r>
          </w:p>
          <w:p w:rsidR="004C1604" w:rsidRPr="0043547B" w:rsidRDefault="004C1604" w:rsidP="004C1604">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câbles sont conçus pour les installations fixes dans les environnements soumis à haute température. La température de service maximale de l’âme des câbles de La norme est de 110 °C.</w:t>
            </w:r>
          </w:p>
          <w:p w:rsidR="00904E52" w:rsidRPr="0043547B" w:rsidRDefault="004C1604" w:rsidP="004C1604">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Il est recommandé de lire la EN 50525-2-42 en conjonction avec la EN 50525-1, qui spécifie les prescriptions générales.</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4CD81"/>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50525-2-51</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CC"/>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bottom w:val="single" w:sz="4" w:space="0" w:color="auto"/>
              <w:right w:val="single" w:sz="18" w:space="0" w:color="auto"/>
            </w:tcBorders>
            <w:shd w:val="clear" w:color="auto" w:fill="FFFFCC"/>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50525-2-51</w:t>
            </w:r>
          </w:p>
        </w:tc>
      </w:tr>
      <w:tr w:rsidR="0043547B" w:rsidRPr="0043547B" w:rsidTr="00CB5DC0">
        <w:trPr>
          <w:trHeight w:val="577"/>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Câbles électriques - Câbles d’énergie basse tension de tension assignée au plus égale à 450/750 V (U0/U) - Partie 2-51: Câbles pour applications générales - Câbles de contrôle résistants à l’huile, isolés en PVC thermoplastique ;   </w:t>
            </w:r>
          </w:p>
        </w:tc>
      </w:tr>
      <w:tr w:rsidR="0043547B" w:rsidRPr="0043547B" w:rsidTr="00CB5DC0">
        <w:trPr>
          <w:trHeight w:val="1609"/>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Cette norme s’applique aux câbles souples résistants à l’huile isolés et gainés avec du polychlorure de vinyle. Les types inclus sont écrantés ou non-écrantés.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câbles sont de tension assignée U</w:t>
            </w:r>
            <w:r w:rsidRPr="0043547B">
              <w:rPr>
                <w:rFonts w:eastAsia="Times New Roman" w:cstheme="minorHAnsi"/>
                <w:sz w:val="24"/>
                <w:szCs w:val="24"/>
                <w:vertAlign w:val="subscript"/>
                <w:lang w:eastAsia="fr-FR"/>
              </w:rPr>
              <w:t>o</w:t>
            </w:r>
            <w:r w:rsidRPr="0043547B">
              <w:rPr>
                <w:rFonts w:eastAsia="Times New Roman" w:cstheme="minorHAnsi"/>
                <w:sz w:val="24"/>
                <w:szCs w:val="24"/>
                <w:lang w:eastAsia="fr-FR"/>
              </w:rPr>
              <w:t>/U au plus égale à 300/500 V.</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câbles sont conçus pour les interconnexions dans les machines de production. La température de service maximale de l’âme des câbles de La norme est de 70 °C.</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Il est recommandé de lire la EN 50525-2-51 en conjonction avec la EN 50525-1, qui spécifie les prescriptions générales.</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4CD81"/>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50525-2-71</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CC"/>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bottom w:val="single" w:sz="4" w:space="0" w:color="auto"/>
              <w:right w:val="single" w:sz="18" w:space="0" w:color="auto"/>
            </w:tcBorders>
            <w:shd w:val="clear" w:color="auto" w:fill="FFFFCC"/>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50525-2-71</w:t>
            </w:r>
          </w:p>
        </w:tc>
      </w:tr>
      <w:tr w:rsidR="0043547B" w:rsidRPr="0043547B" w:rsidTr="00CB5DC0">
        <w:trPr>
          <w:trHeight w:val="753"/>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Câbles électriques - Câbles d’énergie basse tension de tension assignée au plus égale à 450/750 V (U0/U) - Partie 2-71: Câbles pour applications générales - Câbles plats pour cordons à fil rosette, isolés en PVC thermoplastique ; </w:t>
            </w:r>
          </w:p>
        </w:tc>
      </w:tr>
      <w:tr w:rsidR="0043547B" w:rsidRPr="0043547B" w:rsidTr="00CB5DC0">
        <w:trPr>
          <w:trHeight w:val="418"/>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top w:val="nil"/>
              <w:left w:val="single" w:sz="4" w:space="0" w:color="auto"/>
              <w:bottom w:val="single" w:sz="18" w:space="0" w:color="auto"/>
              <w:right w:val="single" w:sz="18" w:space="0" w:color="auto"/>
            </w:tcBorders>
            <w:shd w:val="clear" w:color="auto" w:fill="auto"/>
            <w:vAlign w:val="center"/>
            <w:hideMark/>
          </w:tcPr>
          <w:p w:rsidR="00CA080D" w:rsidRPr="0043547B" w:rsidRDefault="00904E52" w:rsidP="001050AB">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Cette norme s’applique aux câbles méplats souples en fil rosette, isolés thermoplastique (PVC).</w:t>
            </w:r>
            <w:r w:rsidR="001050AB" w:rsidRPr="0043547B">
              <w:rPr>
                <w:rFonts w:eastAsia="Times New Roman" w:cstheme="minorHAnsi"/>
                <w:sz w:val="24"/>
                <w:szCs w:val="24"/>
                <w:lang w:eastAsia="fr-FR"/>
              </w:rPr>
              <w:t xml:space="preserve"> </w:t>
            </w:r>
            <w:r w:rsidR="00CA080D" w:rsidRPr="0043547B">
              <w:rPr>
                <w:rFonts w:eastAsia="Times New Roman" w:cstheme="minorHAnsi"/>
                <w:sz w:val="24"/>
                <w:szCs w:val="24"/>
                <w:lang w:eastAsia="fr-FR"/>
              </w:rPr>
              <w:t>Les câbles sont de tension assignée de U</w:t>
            </w:r>
            <w:r w:rsidR="00CA080D" w:rsidRPr="0043547B">
              <w:rPr>
                <w:rFonts w:eastAsia="Times New Roman" w:cstheme="minorHAnsi"/>
                <w:sz w:val="24"/>
                <w:szCs w:val="24"/>
                <w:vertAlign w:val="subscript"/>
                <w:lang w:eastAsia="fr-FR"/>
              </w:rPr>
              <w:t>o</w:t>
            </w:r>
            <w:r w:rsidR="00CA080D" w:rsidRPr="0043547B">
              <w:rPr>
                <w:rFonts w:eastAsia="Times New Roman" w:cstheme="minorHAnsi"/>
                <w:sz w:val="24"/>
                <w:szCs w:val="24"/>
                <w:lang w:eastAsia="fr-FR"/>
              </w:rPr>
              <w:t>/U 300/300 V.</w:t>
            </w:r>
          </w:p>
          <w:p w:rsidR="00CA080D" w:rsidRPr="0043547B" w:rsidRDefault="00CA080D" w:rsidP="00CA080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câbles sont conçus pour le raccordement des petits appareils électrodomestique à une alimentation fixe. La température de service maximale de l’âme des câbles de La norme est de 40 °C.</w:t>
            </w:r>
          </w:p>
          <w:p w:rsidR="00904E52" w:rsidRPr="0043547B" w:rsidRDefault="00CA080D" w:rsidP="00CA080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Il est recommandé de lire la EN 50525-2-71 en conjonction avec la EN 50525-1, qui spécifie les prescriptions générales.</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4CD81"/>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50525-2-72</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50525-2-72</w:t>
            </w:r>
          </w:p>
        </w:tc>
      </w:tr>
      <w:tr w:rsidR="0043547B" w:rsidRPr="0043547B" w:rsidTr="00CB5DC0">
        <w:trPr>
          <w:trHeight w:val="900"/>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Câbles électriques - Câbles d’énergie basse tension de tension assignée au plus égale à 450/750 V (U0/U) - Partie 2-72: Câbles pour applications générales - Câbles méplats séparables, isolés en PVC thermoplastique ;  </w:t>
            </w:r>
          </w:p>
        </w:tc>
      </w:tr>
      <w:tr w:rsidR="0043547B" w:rsidRPr="0043547B" w:rsidTr="00810AA2">
        <w:trPr>
          <w:trHeight w:val="560"/>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Cette norme s’applique aux câbles méplats souples séparables isolés thermoplastique (PVC).</w:t>
            </w:r>
          </w:p>
          <w:p w:rsidR="00904E52" w:rsidRPr="0043547B" w:rsidRDefault="00904E52" w:rsidP="004C1604">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câbles sont de tension nominale U</w:t>
            </w:r>
            <w:r w:rsidR="004C1604" w:rsidRPr="0043547B">
              <w:rPr>
                <w:rFonts w:eastAsia="Times New Roman" w:cstheme="minorHAnsi"/>
                <w:sz w:val="24"/>
                <w:szCs w:val="24"/>
                <w:vertAlign w:val="subscript"/>
                <w:lang w:eastAsia="fr-FR"/>
              </w:rPr>
              <w:t>0</w:t>
            </w:r>
            <w:r w:rsidRPr="0043547B">
              <w:rPr>
                <w:rFonts w:eastAsia="Times New Roman" w:cstheme="minorHAnsi"/>
                <w:sz w:val="24"/>
                <w:szCs w:val="24"/>
                <w:lang w:eastAsia="fr-FR"/>
              </w:rPr>
              <w:t>/U 300/300 V.</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câbles sont conçus pour un usage intérieur tel que le câblage interne ou le raccordement direct d’un luminaire à une alimentation. La température de service maximale de l’âme des câbles de La norme est de 60 °C.</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lastRenderedPageBreak/>
              <w:t>Il est recommandé de lire la EN 50525-2-72 en conjonction avec la EN 50525-1, qui spécifie les prescriptions générales.</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8080" w:type="dxa"/>
            <w:tcBorders>
              <w:top w:val="single" w:sz="18" w:space="0" w:color="auto"/>
              <w:left w:val="single" w:sz="4" w:space="0" w:color="auto"/>
              <w:bottom w:val="single" w:sz="18" w:space="0" w:color="auto"/>
              <w:right w:val="single" w:sz="18" w:space="0" w:color="auto"/>
            </w:tcBorders>
            <w:shd w:val="clear" w:color="auto" w:fill="B4CD81"/>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50525-2-81</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50525-2-81</w:t>
            </w:r>
          </w:p>
        </w:tc>
      </w:tr>
      <w:tr w:rsidR="0043547B" w:rsidRPr="0043547B" w:rsidTr="00CB5DC0">
        <w:trPr>
          <w:trHeight w:val="900"/>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Câbles électriques - Câbles d’énergie basse tension de tension assignée au plus égale à 450/750 V (U0/U) - Partie 2-81: Câbles pour applications générales - Câbles pour soudage à l’arc isolés en matériau élastomère réticulé ;   </w:t>
            </w:r>
          </w:p>
        </w:tc>
      </w:tr>
      <w:tr w:rsidR="0043547B" w:rsidRPr="0043547B" w:rsidTr="00CB5DC0">
        <w:trPr>
          <w:trHeight w:val="1126"/>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Cette norme s’applique aux câbles mono conducteurs recouverts en matériau élastomère réticulé destinés au soudage à l’arc.</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câbles sont de tension assignée U</w:t>
            </w:r>
            <w:r w:rsidRPr="0043547B">
              <w:rPr>
                <w:rFonts w:eastAsia="Times New Roman" w:cstheme="minorHAnsi"/>
                <w:sz w:val="24"/>
                <w:szCs w:val="24"/>
                <w:vertAlign w:val="subscript"/>
                <w:lang w:eastAsia="fr-FR"/>
              </w:rPr>
              <w:t>o</w:t>
            </w:r>
            <w:r w:rsidRPr="0043547B">
              <w:rPr>
                <w:rFonts w:eastAsia="Times New Roman" w:cstheme="minorHAnsi"/>
                <w:sz w:val="24"/>
                <w:szCs w:val="24"/>
                <w:lang w:eastAsia="fr-FR"/>
              </w:rPr>
              <w:t>/U de 100/100 V.</w:t>
            </w:r>
          </w:p>
          <w:p w:rsidR="004C1604" w:rsidRPr="0043547B" w:rsidRDefault="004C1604" w:rsidP="004C1604">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câbles sont conçus pour les connexions entre la source d’énergie de soudage industrielle et le support d’électrode ou les pièces à souder.</w:t>
            </w:r>
          </w:p>
          <w:p w:rsidR="004C1604" w:rsidRPr="0043547B" w:rsidRDefault="004C1604" w:rsidP="00A2520E">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Deux types de câbles sont inclus avec respectivement une âme de Classe D et une âme de Classe E. Ces deux âmes sont plus souples que la classe 6 de l’EN 60228, la Classe E</w:t>
            </w:r>
            <w:r w:rsidR="00A2520E">
              <w:rPr>
                <w:rFonts w:eastAsia="Times New Roman" w:cstheme="minorHAnsi"/>
                <w:sz w:val="24"/>
                <w:szCs w:val="24"/>
                <w:lang w:eastAsia="fr-FR"/>
              </w:rPr>
              <w:t xml:space="preserve"> </w:t>
            </w:r>
            <w:r w:rsidRPr="0043547B">
              <w:rPr>
                <w:rFonts w:eastAsia="Times New Roman" w:cstheme="minorHAnsi"/>
                <w:sz w:val="24"/>
                <w:szCs w:val="24"/>
                <w:lang w:eastAsia="fr-FR"/>
              </w:rPr>
              <w:t>ayant la plus grande souplesse. La température de service maximale de l’âme des câbles de La norme est de 85 °C.</w:t>
            </w:r>
          </w:p>
          <w:p w:rsidR="00904E52" w:rsidRPr="0043547B" w:rsidRDefault="004C1604" w:rsidP="004C1604">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Il est recommandé de lire la EN 50525-2-81 en conjonction avec la EN 50525-1, qui spécifie les prescriptions générales.</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4CD81"/>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50525-2-82</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50525-2-82</w:t>
            </w:r>
          </w:p>
        </w:tc>
      </w:tr>
      <w:tr w:rsidR="0043547B" w:rsidRPr="0043547B" w:rsidTr="00CB5DC0">
        <w:trPr>
          <w:trHeight w:val="900"/>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080"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Câbles électriques - Câbles d’énergie basse tension de tension assignée au plus égale à 450/750 V (U0/U) - Partie 2-82: Câbles pour applications générales - Câbles pour guirlandes lumineuses isolés en matériau élastomère réticulé ; </w:t>
            </w:r>
          </w:p>
        </w:tc>
      </w:tr>
      <w:tr w:rsidR="0043547B" w:rsidRPr="0043547B" w:rsidTr="00CB5DC0">
        <w:trPr>
          <w:trHeight w:val="2061"/>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Cette norme s’applique aux câbles gainés en polychoroprène ou avec un élastomère synthétique équivalent.</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câbles sont de tension assignée U</w:t>
            </w:r>
            <w:r w:rsidRPr="0043547B">
              <w:rPr>
                <w:rFonts w:eastAsia="Times New Roman" w:cstheme="minorHAnsi"/>
                <w:sz w:val="24"/>
                <w:szCs w:val="24"/>
                <w:vertAlign w:val="subscript"/>
                <w:lang w:eastAsia="fr-FR"/>
              </w:rPr>
              <w:t>o</w:t>
            </w:r>
            <w:r w:rsidRPr="0043547B">
              <w:rPr>
                <w:rFonts w:eastAsia="Times New Roman" w:cstheme="minorHAnsi"/>
                <w:sz w:val="24"/>
                <w:szCs w:val="24"/>
                <w:lang w:eastAsia="fr-FR"/>
              </w:rPr>
              <w:t>/U au plus égale à 300/500 V.</w:t>
            </w:r>
          </w:p>
          <w:p w:rsidR="00904E52" w:rsidRPr="0043547B" w:rsidRDefault="00904E52" w:rsidP="00A2520E">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câbles sont conçus pour réaliser des guirlandes lumineuses. Ils sont utilisés avec des</w:t>
            </w:r>
            <w:r w:rsidR="00A2520E">
              <w:rPr>
                <w:rFonts w:eastAsia="Times New Roman" w:cstheme="minorHAnsi"/>
                <w:sz w:val="24"/>
                <w:szCs w:val="24"/>
                <w:lang w:eastAsia="fr-FR"/>
              </w:rPr>
              <w:t xml:space="preserve"> </w:t>
            </w:r>
            <w:r w:rsidRPr="0043547B">
              <w:rPr>
                <w:rFonts w:eastAsia="Times New Roman" w:cstheme="minorHAnsi"/>
                <w:sz w:val="24"/>
                <w:szCs w:val="24"/>
                <w:lang w:eastAsia="fr-FR"/>
              </w:rPr>
              <w:t>douilles désignées. La température de service maximale de l’âme des câbles de La norme est de 60 °C.</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Il est recommandé de lire la EN 50525-2-82 en conjonction avec la EN 50525-1, qui spécifie les prescriptions générales.</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027983" w:rsidRPr="0043547B" w:rsidRDefault="00027983" w:rsidP="00830FEB">
            <w:pPr>
              <w:spacing w:after="0" w:line="240" w:lineRule="auto"/>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4CD81"/>
            <w:vAlign w:val="center"/>
            <w:hideMark/>
          </w:tcPr>
          <w:p w:rsidR="00027983" w:rsidRPr="00830FEB" w:rsidRDefault="00027983" w:rsidP="00830FEB">
            <w:pPr>
              <w:spacing w:after="0" w:line="240" w:lineRule="auto"/>
              <w:jc w:val="center"/>
              <w:rPr>
                <w:rFonts w:cstheme="minorHAnsi"/>
                <w:b/>
                <w:bCs/>
                <w:sz w:val="24"/>
                <w:szCs w:val="24"/>
              </w:rPr>
            </w:pPr>
            <w:r w:rsidRPr="00830FEB">
              <w:rPr>
                <w:rFonts w:cstheme="minorHAnsi"/>
                <w:b/>
                <w:bCs/>
                <w:sz w:val="24"/>
                <w:szCs w:val="24"/>
              </w:rPr>
              <w:t>NM IEC 61897</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CC"/>
            <w:vAlign w:val="center"/>
            <w:hideMark/>
          </w:tcPr>
          <w:p w:rsidR="00027983" w:rsidRPr="0043547B" w:rsidRDefault="00027983" w:rsidP="00027983">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bottom w:val="single" w:sz="4" w:space="0" w:color="auto"/>
              <w:right w:val="single" w:sz="18" w:space="0" w:color="auto"/>
            </w:tcBorders>
            <w:shd w:val="clear" w:color="auto" w:fill="FFFFCC"/>
            <w:vAlign w:val="center"/>
            <w:hideMark/>
          </w:tcPr>
          <w:p w:rsidR="00027983" w:rsidRPr="00830FEB" w:rsidRDefault="00027983" w:rsidP="00830FEB">
            <w:pPr>
              <w:spacing w:after="0" w:line="240" w:lineRule="auto"/>
              <w:jc w:val="center"/>
              <w:rPr>
                <w:rFonts w:cstheme="minorHAnsi"/>
                <w:b/>
                <w:bCs/>
                <w:sz w:val="24"/>
                <w:szCs w:val="24"/>
              </w:rPr>
            </w:pPr>
            <w:r w:rsidRPr="00830FEB">
              <w:rPr>
                <w:rFonts w:cstheme="minorHAnsi"/>
                <w:b/>
                <w:bCs/>
                <w:sz w:val="24"/>
                <w:szCs w:val="24"/>
              </w:rPr>
              <w:t>IEC 61897</w:t>
            </w:r>
          </w:p>
        </w:tc>
      </w:tr>
      <w:tr w:rsidR="0043547B" w:rsidRPr="0043547B" w:rsidTr="00CB5DC0">
        <w:trPr>
          <w:trHeight w:val="644"/>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027983" w:rsidRPr="0043547B" w:rsidRDefault="00027983" w:rsidP="00830FEB">
            <w:pPr>
              <w:spacing w:after="0" w:line="240" w:lineRule="auto"/>
              <w:jc w:val="center"/>
              <w:rPr>
                <w:rFonts w:cstheme="minorHAnsi"/>
                <w:b/>
                <w:bCs/>
                <w:sz w:val="24"/>
                <w:szCs w:val="24"/>
              </w:rPr>
            </w:pPr>
            <w:r w:rsidRPr="0043547B">
              <w:rPr>
                <w:rFonts w:cstheme="minorHAnsi"/>
                <w:b/>
                <w:bCs/>
                <w:sz w:val="24"/>
                <w:szCs w:val="24"/>
              </w:rPr>
              <w:t>Intitulé :</w:t>
            </w:r>
          </w:p>
        </w:tc>
        <w:tc>
          <w:tcPr>
            <w:tcW w:w="8080" w:type="dxa"/>
            <w:tcBorders>
              <w:top w:val="nil"/>
              <w:left w:val="single" w:sz="4" w:space="0" w:color="auto"/>
              <w:bottom w:val="single" w:sz="4" w:space="0" w:color="auto"/>
              <w:right w:val="single" w:sz="18" w:space="0" w:color="auto"/>
            </w:tcBorders>
            <w:shd w:val="clear" w:color="auto" w:fill="auto"/>
            <w:vAlign w:val="center"/>
            <w:hideMark/>
          </w:tcPr>
          <w:p w:rsidR="00027983" w:rsidRPr="0043547B" w:rsidRDefault="00027983" w:rsidP="00830FEB">
            <w:pPr>
              <w:spacing w:after="0" w:line="240" w:lineRule="auto"/>
              <w:rPr>
                <w:rFonts w:cstheme="minorHAnsi"/>
                <w:sz w:val="24"/>
                <w:szCs w:val="24"/>
              </w:rPr>
            </w:pPr>
            <w:r w:rsidRPr="0043547B">
              <w:rPr>
                <w:rFonts w:cstheme="minorHAnsi"/>
                <w:sz w:val="24"/>
                <w:szCs w:val="24"/>
              </w:rPr>
              <w:t>Lignes aériennes - Exigences et essais applicables aux amortisseurs de vibrations éoliennes Stockbridge</w:t>
            </w:r>
          </w:p>
        </w:tc>
      </w:tr>
      <w:tr w:rsidR="0043547B" w:rsidRPr="0043547B" w:rsidTr="00CB5DC0">
        <w:trPr>
          <w:trHeight w:val="843"/>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027983" w:rsidRPr="0043547B" w:rsidRDefault="00027983" w:rsidP="00830FEB">
            <w:pPr>
              <w:spacing w:after="0" w:line="240" w:lineRule="auto"/>
              <w:jc w:val="center"/>
              <w:rPr>
                <w:rFonts w:cstheme="minorHAnsi"/>
                <w:b/>
                <w:bCs/>
                <w:sz w:val="24"/>
                <w:szCs w:val="24"/>
              </w:rPr>
            </w:pPr>
            <w:r w:rsidRPr="0043547B">
              <w:rPr>
                <w:rFonts w:cstheme="minorHAnsi"/>
                <w:b/>
                <w:bCs/>
                <w:sz w:val="24"/>
                <w:szCs w:val="24"/>
              </w:rPr>
              <w:t>Domaine d’application :</w:t>
            </w:r>
          </w:p>
        </w:tc>
        <w:tc>
          <w:tcPr>
            <w:tcW w:w="8080" w:type="dxa"/>
            <w:tcBorders>
              <w:top w:val="nil"/>
              <w:left w:val="single" w:sz="4" w:space="0" w:color="auto"/>
              <w:bottom w:val="single" w:sz="18" w:space="0" w:color="auto"/>
              <w:right w:val="single" w:sz="18" w:space="0" w:color="auto"/>
            </w:tcBorders>
            <w:shd w:val="clear" w:color="auto" w:fill="auto"/>
            <w:vAlign w:val="bottom"/>
            <w:hideMark/>
          </w:tcPr>
          <w:p w:rsidR="00027983" w:rsidRPr="0043547B" w:rsidRDefault="00027983" w:rsidP="00830FEB">
            <w:pPr>
              <w:spacing w:after="0" w:line="240" w:lineRule="auto"/>
              <w:jc w:val="both"/>
              <w:rPr>
                <w:rFonts w:cstheme="minorHAnsi"/>
                <w:sz w:val="24"/>
                <w:szCs w:val="24"/>
              </w:rPr>
            </w:pPr>
            <w:r w:rsidRPr="0043547B">
              <w:rPr>
                <w:rFonts w:cstheme="minorHAnsi"/>
                <w:sz w:val="24"/>
                <w:szCs w:val="24"/>
              </w:rPr>
              <w:t>La présente Norme internationale s'applique aux amortisseurs de vibrations éoliennes de type Stockbridge destinés aux conducteurs ou câbles de garde uniques ou aux faisceaux de conducteurs où les amortisseurs sont fixés</w:t>
            </w:r>
            <w:r w:rsidR="00A2520E">
              <w:rPr>
                <w:rFonts w:cstheme="minorHAnsi"/>
                <w:sz w:val="24"/>
                <w:szCs w:val="24"/>
              </w:rPr>
              <w:t xml:space="preserve"> </w:t>
            </w:r>
            <w:r w:rsidR="00830FEB">
              <w:rPr>
                <w:rFonts w:cstheme="minorHAnsi"/>
                <w:sz w:val="24"/>
                <w:szCs w:val="24"/>
              </w:rPr>
              <w:t>directement à chacun des sous</w:t>
            </w:r>
            <w:r w:rsidRPr="0043547B">
              <w:rPr>
                <w:rFonts w:cstheme="minorHAnsi"/>
                <w:sz w:val="24"/>
                <w:szCs w:val="24"/>
              </w:rPr>
              <w:t>-conducteurs. L'acheteur peut adopter certaines parties de la présente norme lors de la spécification des exigences pour d'autres types d'amortisseurs de vibrations éoliennes ou d'amortisseurs Stockbridge utilisés sur des conducteurs ou câbles différents de ceux mentionnés ci-dessus</w:t>
            </w:r>
            <w:r w:rsidRPr="0043547B">
              <w:rPr>
                <w:rFonts w:cstheme="minorHAnsi"/>
                <w:sz w:val="24"/>
                <w:szCs w:val="24"/>
              </w:rPr>
              <w:br/>
              <w:t>(comme par exemple les câbles de garde à fibre optique, les câbles optiques auto-porteurs entièrement diélectriques).</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027983" w:rsidRPr="0043547B" w:rsidRDefault="00027983" w:rsidP="00027983">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4CD81"/>
            <w:hideMark/>
          </w:tcPr>
          <w:p w:rsidR="00027983" w:rsidRPr="00830FEB" w:rsidRDefault="00027983" w:rsidP="00830FEB">
            <w:pPr>
              <w:spacing w:after="0" w:line="240" w:lineRule="auto"/>
              <w:jc w:val="center"/>
              <w:rPr>
                <w:rFonts w:cstheme="minorHAnsi"/>
                <w:b/>
                <w:bCs/>
                <w:sz w:val="24"/>
                <w:szCs w:val="24"/>
              </w:rPr>
            </w:pPr>
            <w:r w:rsidRPr="00830FEB">
              <w:rPr>
                <w:rFonts w:cstheme="minorHAnsi"/>
                <w:b/>
                <w:bCs/>
                <w:sz w:val="24"/>
                <w:szCs w:val="24"/>
              </w:rPr>
              <w:t>NM IEC 61854</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CC"/>
            <w:vAlign w:val="center"/>
            <w:hideMark/>
          </w:tcPr>
          <w:p w:rsidR="00027983" w:rsidRPr="0043547B" w:rsidRDefault="00027983" w:rsidP="00027983">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bottom w:val="single" w:sz="4" w:space="0" w:color="auto"/>
              <w:right w:val="single" w:sz="18" w:space="0" w:color="auto"/>
            </w:tcBorders>
            <w:shd w:val="clear" w:color="auto" w:fill="FFFFCC"/>
            <w:vAlign w:val="center"/>
            <w:hideMark/>
          </w:tcPr>
          <w:p w:rsidR="00027983" w:rsidRPr="00830FEB" w:rsidRDefault="00027983" w:rsidP="00830FEB">
            <w:pPr>
              <w:spacing w:after="0" w:line="240" w:lineRule="auto"/>
              <w:jc w:val="center"/>
              <w:rPr>
                <w:rFonts w:cstheme="minorHAnsi"/>
                <w:b/>
                <w:bCs/>
                <w:sz w:val="24"/>
                <w:szCs w:val="24"/>
              </w:rPr>
            </w:pPr>
            <w:r w:rsidRPr="00830FEB">
              <w:rPr>
                <w:rFonts w:cstheme="minorHAnsi"/>
                <w:b/>
                <w:bCs/>
                <w:sz w:val="24"/>
                <w:szCs w:val="24"/>
              </w:rPr>
              <w:t>IEC 61854</w:t>
            </w:r>
          </w:p>
        </w:tc>
      </w:tr>
      <w:tr w:rsidR="0043547B" w:rsidRPr="0043547B" w:rsidTr="00CB5DC0">
        <w:trPr>
          <w:trHeight w:val="196"/>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027983" w:rsidRPr="0043547B" w:rsidRDefault="00027983" w:rsidP="00027983">
            <w:pPr>
              <w:spacing w:after="0"/>
              <w:jc w:val="center"/>
              <w:rPr>
                <w:rFonts w:cstheme="minorHAnsi"/>
                <w:b/>
                <w:bCs/>
                <w:sz w:val="24"/>
                <w:szCs w:val="24"/>
              </w:rPr>
            </w:pPr>
            <w:r w:rsidRPr="0043547B">
              <w:rPr>
                <w:rFonts w:cstheme="minorHAnsi"/>
                <w:b/>
                <w:bCs/>
                <w:sz w:val="24"/>
                <w:szCs w:val="24"/>
              </w:rPr>
              <w:t>Intitulé :</w:t>
            </w:r>
          </w:p>
        </w:tc>
        <w:tc>
          <w:tcPr>
            <w:tcW w:w="8080" w:type="dxa"/>
            <w:tcBorders>
              <w:top w:val="nil"/>
              <w:left w:val="single" w:sz="4" w:space="0" w:color="auto"/>
              <w:bottom w:val="single" w:sz="4" w:space="0" w:color="auto"/>
              <w:right w:val="single" w:sz="18" w:space="0" w:color="auto"/>
            </w:tcBorders>
            <w:shd w:val="clear" w:color="auto" w:fill="auto"/>
            <w:hideMark/>
          </w:tcPr>
          <w:p w:rsidR="00027983" w:rsidRPr="0043547B" w:rsidRDefault="00027983" w:rsidP="00830FEB">
            <w:pPr>
              <w:spacing w:after="0" w:line="240" w:lineRule="auto"/>
              <w:jc w:val="both"/>
              <w:rPr>
                <w:rFonts w:cstheme="minorHAnsi"/>
                <w:sz w:val="24"/>
                <w:szCs w:val="24"/>
              </w:rPr>
            </w:pPr>
            <w:r w:rsidRPr="0043547B">
              <w:rPr>
                <w:rFonts w:cstheme="minorHAnsi"/>
                <w:sz w:val="24"/>
                <w:szCs w:val="24"/>
              </w:rPr>
              <w:t>Lignes aériennes - Exigences et essais applicables aux entretoises</w:t>
            </w:r>
          </w:p>
        </w:tc>
      </w:tr>
      <w:tr w:rsidR="0043547B" w:rsidRPr="0043547B" w:rsidTr="00CB5DC0">
        <w:trPr>
          <w:trHeight w:val="701"/>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027983" w:rsidRPr="0043547B" w:rsidRDefault="00027983" w:rsidP="00027983">
            <w:pPr>
              <w:spacing w:after="0"/>
              <w:jc w:val="center"/>
              <w:rPr>
                <w:rFonts w:cstheme="minorHAnsi"/>
                <w:b/>
                <w:bCs/>
                <w:sz w:val="24"/>
                <w:szCs w:val="24"/>
              </w:rPr>
            </w:pPr>
            <w:r w:rsidRPr="0043547B">
              <w:rPr>
                <w:rFonts w:cstheme="minorHAnsi"/>
                <w:b/>
                <w:bCs/>
                <w:sz w:val="24"/>
                <w:szCs w:val="24"/>
              </w:rPr>
              <w:lastRenderedPageBreak/>
              <w:t>Domaine d’application :</w:t>
            </w:r>
          </w:p>
        </w:tc>
        <w:tc>
          <w:tcPr>
            <w:tcW w:w="8080" w:type="dxa"/>
            <w:tcBorders>
              <w:top w:val="nil"/>
              <w:left w:val="single" w:sz="4" w:space="0" w:color="auto"/>
              <w:bottom w:val="single" w:sz="18" w:space="0" w:color="auto"/>
              <w:right w:val="single" w:sz="18" w:space="0" w:color="auto"/>
            </w:tcBorders>
            <w:shd w:val="clear" w:color="auto" w:fill="auto"/>
            <w:vAlign w:val="bottom"/>
            <w:hideMark/>
          </w:tcPr>
          <w:p w:rsidR="00830FEB" w:rsidRDefault="00027983" w:rsidP="00830FEB">
            <w:pPr>
              <w:spacing w:after="0" w:line="240" w:lineRule="auto"/>
              <w:jc w:val="both"/>
              <w:rPr>
                <w:rFonts w:cstheme="minorHAnsi"/>
                <w:sz w:val="24"/>
                <w:szCs w:val="24"/>
              </w:rPr>
            </w:pPr>
            <w:r w:rsidRPr="0043547B">
              <w:rPr>
                <w:rFonts w:cstheme="minorHAnsi"/>
                <w:sz w:val="24"/>
                <w:szCs w:val="24"/>
              </w:rPr>
              <w:t>La présente Norme internationale s'applique aux entretoises destinées aux faisceaux de conducteurs de lignes aériennes. Elle recouvre les entretoises rigides, les entretoises flexibles et les entretoises amortissantes.</w:t>
            </w:r>
          </w:p>
          <w:p w:rsidR="00027983" w:rsidRPr="0043547B" w:rsidRDefault="00027983" w:rsidP="00830FEB">
            <w:pPr>
              <w:spacing w:after="0" w:line="240" w:lineRule="auto"/>
              <w:jc w:val="both"/>
              <w:rPr>
                <w:rFonts w:cstheme="minorHAnsi"/>
                <w:sz w:val="24"/>
                <w:szCs w:val="24"/>
              </w:rPr>
            </w:pPr>
            <w:r w:rsidRPr="0043547B">
              <w:rPr>
                <w:rFonts w:cstheme="minorHAnsi"/>
                <w:sz w:val="24"/>
                <w:szCs w:val="24"/>
              </w:rPr>
              <w:t>Elle ne s'applique pas aux espaceurs, aux écarteurs à anneaux et aux entretoises de mise à la terre.</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027983" w:rsidRPr="0043547B" w:rsidRDefault="00027983" w:rsidP="00027983">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4CD81"/>
            <w:hideMark/>
          </w:tcPr>
          <w:p w:rsidR="00027983" w:rsidRPr="00830FEB" w:rsidRDefault="00027983" w:rsidP="00830FEB">
            <w:pPr>
              <w:spacing w:after="0" w:line="240" w:lineRule="auto"/>
              <w:jc w:val="center"/>
              <w:rPr>
                <w:rFonts w:cstheme="minorHAnsi"/>
                <w:b/>
                <w:bCs/>
                <w:sz w:val="24"/>
                <w:szCs w:val="24"/>
              </w:rPr>
            </w:pPr>
            <w:r w:rsidRPr="00830FEB">
              <w:rPr>
                <w:rFonts w:cstheme="minorHAnsi"/>
                <w:b/>
                <w:bCs/>
                <w:sz w:val="24"/>
                <w:szCs w:val="24"/>
              </w:rPr>
              <w:t>NM IEC 61284</w:t>
            </w:r>
          </w:p>
        </w:tc>
      </w:tr>
      <w:tr w:rsidR="0043547B" w:rsidRPr="0043547B" w:rsidTr="00CB5DC0">
        <w:trPr>
          <w:trHeight w:val="204"/>
          <w:jc w:val="center"/>
        </w:trPr>
        <w:tc>
          <w:tcPr>
            <w:tcW w:w="1843" w:type="dxa"/>
            <w:tcBorders>
              <w:top w:val="single" w:sz="18" w:space="0" w:color="auto"/>
              <w:left w:val="single" w:sz="18" w:space="0" w:color="auto"/>
              <w:bottom w:val="single" w:sz="4" w:space="0" w:color="auto"/>
              <w:right w:val="single" w:sz="4" w:space="0" w:color="auto"/>
            </w:tcBorders>
            <w:shd w:val="clear" w:color="auto" w:fill="FFFFCC"/>
            <w:vAlign w:val="center"/>
            <w:hideMark/>
          </w:tcPr>
          <w:p w:rsidR="00027983" w:rsidRPr="0043547B" w:rsidRDefault="00027983" w:rsidP="00027983">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bottom w:val="single" w:sz="4" w:space="0" w:color="auto"/>
              <w:right w:val="single" w:sz="18" w:space="0" w:color="auto"/>
            </w:tcBorders>
            <w:shd w:val="clear" w:color="auto" w:fill="FFFFCC"/>
            <w:vAlign w:val="center"/>
            <w:hideMark/>
          </w:tcPr>
          <w:p w:rsidR="00027983" w:rsidRPr="00830FEB" w:rsidRDefault="00027983" w:rsidP="00830FEB">
            <w:pPr>
              <w:spacing w:after="0" w:line="240" w:lineRule="auto"/>
              <w:jc w:val="center"/>
              <w:rPr>
                <w:rFonts w:cstheme="minorHAnsi"/>
                <w:b/>
                <w:bCs/>
                <w:sz w:val="24"/>
                <w:szCs w:val="24"/>
              </w:rPr>
            </w:pPr>
            <w:r w:rsidRPr="00830FEB">
              <w:rPr>
                <w:rFonts w:cstheme="minorHAnsi"/>
                <w:b/>
                <w:bCs/>
                <w:sz w:val="24"/>
                <w:szCs w:val="24"/>
              </w:rPr>
              <w:t>IEC 61284</w:t>
            </w:r>
          </w:p>
        </w:tc>
      </w:tr>
      <w:tr w:rsidR="0043547B" w:rsidRPr="0043547B" w:rsidTr="00CB5DC0">
        <w:trPr>
          <w:trHeight w:val="58"/>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027983" w:rsidRPr="0043547B" w:rsidRDefault="00027983" w:rsidP="00027983">
            <w:pPr>
              <w:spacing w:after="0"/>
              <w:jc w:val="center"/>
              <w:rPr>
                <w:rFonts w:cstheme="minorHAnsi"/>
                <w:b/>
                <w:bCs/>
                <w:sz w:val="24"/>
                <w:szCs w:val="24"/>
              </w:rPr>
            </w:pPr>
            <w:r w:rsidRPr="0043547B">
              <w:rPr>
                <w:rFonts w:cstheme="minorHAnsi"/>
                <w:b/>
                <w:bCs/>
                <w:sz w:val="24"/>
                <w:szCs w:val="24"/>
              </w:rPr>
              <w:t>Intitulé :</w:t>
            </w:r>
          </w:p>
        </w:tc>
        <w:tc>
          <w:tcPr>
            <w:tcW w:w="8080" w:type="dxa"/>
            <w:tcBorders>
              <w:top w:val="nil"/>
              <w:left w:val="single" w:sz="4" w:space="0" w:color="auto"/>
              <w:bottom w:val="single" w:sz="4" w:space="0" w:color="auto"/>
              <w:right w:val="single" w:sz="18" w:space="0" w:color="auto"/>
            </w:tcBorders>
            <w:shd w:val="clear" w:color="auto" w:fill="auto"/>
            <w:hideMark/>
          </w:tcPr>
          <w:p w:rsidR="00027983" w:rsidRPr="0043547B" w:rsidRDefault="00027983" w:rsidP="00830FEB">
            <w:pPr>
              <w:spacing w:after="0" w:line="240" w:lineRule="auto"/>
              <w:jc w:val="both"/>
              <w:rPr>
                <w:rFonts w:cstheme="minorHAnsi"/>
                <w:sz w:val="24"/>
                <w:szCs w:val="24"/>
              </w:rPr>
            </w:pPr>
            <w:r w:rsidRPr="0043547B">
              <w:rPr>
                <w:rFonts w:cstheme="minorHAnsi"/>
                <w:sz w:val="24"/>
                <w:szCs w:val="24"/>
              </w:rPr>
              <w:t>Lignes aériennes - Exigences et essais pour le matériel d'équipement</w:t>
            </w:r>
          </w:p>
        </w:tc>
      </w:tr>
      <w:tr w:rsidR="0043547B" w:rsidRPr="0043547B" w:rsidTr="00CB5DC0">
        <w:trPr>
          <w:trHeight w:val="1500"/>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027983" w:rsidRPr="0043547B" w:rsidRDefault="00027983" w:rsidP="00027983">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top w:val="nil"/>
              <w:left w:val="single" w:sz="4" w:space="0" w:color="auto"/>
              <w:bottom w:val="single" w:sz="18" w:space="0" w:color="auto"/>
              <w:right w:val="single" w:sz="18" w:space="0" w:color="auto"/>
            </w:tcBorders>
            <w:shd w:val="clear" w:color="auto" w:fill="auto"/>
            <w:vAlign w:val="bottom"/>
            <w:hideMark/>
          </w:tcPr>
          <w:p w:rsidR="00027983" w:rsidRPr="0043547B" w:rsidRDefault="00027983" w:rsidP="00830FEB">
            <w:pPr>
              <w:spacing w:after="0" w:line="240" w:lineRule="auto"/>
              <w:jc w:val="both"/>
              <w:rPr>
                <w:rFonts w:cstheme="minorHAnsi"/>
                <w:sz w:val="24"/>
                <w:szCs w:val="24"/>
              </w:rPr>
            </w:pPr>
            <w:r w:rsidRPr="0043547B">
              <w:rPr>
                <w:rFonts w:cstheme="minorHAnsi"/>
                <w:sz w:val="24"/>
                <w:szCs w:val="24"/>
              </w:rPr>
              <w:t>La présente Norme internationale s'applique au matériel d'équipement pour lignes aériennes dont la tension nominale dépasse 45 kV. Il est possible de l'appliquer également aux matériels d'équipement pour lignes aériennes dont la tension nominale est inférieure et à un matériel d'équipement similaire pour les postes.</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027983" w:rsidRPr="0043547B" w:rsidRDefault="00027983" w:rsidP="00027983">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4CD81"/>
            <w:hideMark/>
          </w:tcPr>
          <w:p w:rsidR="00027983" w:rsidRPr="00830FEB" w:rsidRDefault="00027983" w:rsidP="00830FEB">
            <w:pPr>
              <w:spacing w:after="0" w:line="240" w:lineRule="auto"/>
              <w:jc w:val="center"/>
              <w:rPr>
                <w:rFonts w:cstheme="minorHAnsi"/>
                <w:b/>
                <w:bCs/>
                <w:sz w:val="24"/>
                <w:szCs w:val="24"/>
              </w:rPr>
            </w:pPr>
            <w:r w:rsidRPr="00830FEB">
              <w:rPr>
                <w:rFonts w:cstheme="minorHAnsi"/>
                <w:b/>
                <w:bCs/>
                <w:sz w:val="24"/>
                <w:szCs w:val="24"/>
              </w:rPr>
              <w:t>NM 06.3.257</w:t>
            </w:r>
          </w:p>
        </w:tc>
      </w:tr>
      <w:tr w:rsidR="0043547B" w:rsidRPr="0043547B" w:rsidTr="00CB5DC0">
        <w:trPr>
          <w:trHeight w:val="900"/>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027983" w:rsidRPr="0043547B" w:rsidRDefault="00027983" w:rsidP="00027983">
            <w:pPr>
              <w:spacing w:after="0"/>
              <w:jc w:val="center"/>
              <w:rPr>
                <w:rFonts w:cstheme="minorHAnsi"/>
                <w:b/>
                <w:bCs/>
                <w:sz w:val="24"/>
                <w:szCs w:val="24"/>
              </w:rPr>
            </w:pPr>
            <w:r w:rsidRPr="0043547B">
              <w:rPr>
                <w:rFonts w:cstheme="minorHAnsi"/>
                <w:b/>
                <w:bCs/>
                <w:sz w:val="24"/>
                <w:szCs w:val="24"/>
              </w:rPr>
              <w:t>Intitulé :</w:t>
            </w:r>
          </w:p>
        </w:tc>
        <w:tc>
          <w:tcPr>
            <w:tcW w:w="8080" w:type="dxa"/>
            <w:tcBorders>
              <w:top w:val="nil"/>
              <w:left w:val="single" w:sz="4" w:space="0" w:color="auto"/>
              <w:bottom w:val="single" w:sz="4" w:space="0" w:color="auto"/>
              <w:right w:val="single" w:sz="18" w:space="0" w:color="auto"/>
            </w:tcBorders>
            <w:shd w:val="clear" w:color="auto" w:fill="auto"/>
            <w:hideMark/>
          </w:tcPr>
          <w:p w:rsidR="00027983" w:rsidRPr="0043547B" w:rsidRDefault="00027983" w:rsidP="00830FEB">
            <w:pPr>
              <w:spacing w:after="0" w:line="240" w:lineRule="auto"/>
              <w:jc w:val="both"/>
              <w:rPr>
                <w:rFonts w:cstheme="minorHAnsi"/>
                <w:sz w:val="24"/>
                <w:szCs w:val="24"/>
              </w:rPr>
            </w:pPr>
            <w:r w:rsidRPr="0043547B">
              <w:rPr>
                <w:rFonts w:cstheme="minorHAnsi"/>
                <w:sz w:val="24"/>
                <w:szCs w:val="24"/>
              </w:rPr>
              <w:t>Câbles isolés et leurs accessoires pour réseaux d'énergie - Câbles de tensions assignées comprises entre 6/10(12) kV et 18/30(36) kV, isolés au polyéthylène réticulé à gradient fixé, pour réseaux de distribution</w:t>
            </w:r>
          </w:p>
        </w:tc>
      </w:tr>
      <w:tr w:rsidR="0043547B" w:rsidRPr="0043547B" w:rsidTr="00CB5DC0">
        <w:trPr>
          <w:trHeight w:val="806"/>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027983" w:rsidRPr="0043547B" w:rsidRDefault="00027983" w:rsidP="00027983">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top w:val="nil"/>
              <w:left w:val="single" w:sz="4" w:space="0" w:color="auto"/>
              <w:bottom w:val="single" w:sz="18" w:space="0" w:color="auto"/>
              <w:right w:val="single" w:sz="18" w:space="0" w:color="auto"/>
            </w:tcBorders>
            <w:shd w:val="clear" w:color="auto" w:fill="auto"/>
            <w:vAlign w:val="bottom"/>
            <w:hideMark/>
          </w:tcPr>
          <w:p w:rsidR="00027983" w:rsidRPr="0043547B" w:rsidRDefault="00027983" w:rsidP="00830FEB">
            <w:pPr>
              <w:spacing w:after="0" w:line="240" w:lineRule="auto"/>
              <w:rPr>
                <w:rFonts w:cstheme="minorHAnsi"/>
                <w:sz w:val="24"/>
                <w:szCs w:val="24"/>
              </w:rPr>
            </w:pPr>
            <w:r w:rsidRPr="0043547B">
              <w:rPr>
                <w:rFonts w:cstheme="minorHAnsi"/>
                <w:sz w:val="24"/>
                <w:szCs w:val="24"/>
              </w:rPr>
              <w:t>Le présent document s'applique aux câbles isolés au polyéthylène réticulé, à champ radial, à gradient fixé et de tensions assignées comprises entre 6/10 (12) kV et 18/30 (36) kV, destinés à fonctionner dans les réseaux de distribution publique ou privée</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027983" w:rsidRPr="0043547B" w:rsidRDefault="00027983" w:rsidP="00027983">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4CD81"/>
            <w:hideMark/>
          </w:tcPr>
          <w:p w:rsidR="00027983" w:rsidRPr="00830FEB" w:rsidRDefault="00027983" w:rsidP="00830FEB">
            <w:pPr>
              <w:spacing w:after="0" w:line="240" w:lineRule="auto"/>
              <w:jc w:val="center"/>
              <w:rPr>
                <w:rFonts w:cstheme="minorHAnsi"/>
                <w:b/>
                <w:bCs/>
                <w:sz w:val="24"/>
                <w:szCs w:val="24"/>
              </w:rPr>
            </w:pPr>
            <w:r w:rsidRPr="00830FEB">
              <w:rPr>
                <w:rFonts w:cstheme="minorHAnsi"/>
                <w:b/>
                <w:bCs/>
                <w:sz w:val="24"/>
                <w:szCs w:val="24"/>
              </w:rPr>
              <w:t>NM IEC 60273</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027983" w:rsidRPr="0043547B" w:rsidRDefault="00027983" w:rsidP="00027983">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027983" w:rsidRPr="00830FEB" w:rsidRDefault="00027983" w:rsidP="00830FEB">
            <w:pPr>
              <w:spacing w:after="0" w:line="240" w:lineRule="auto"/>
              <w:jc w:val="center"/>
              <w:rPr>
                <w:rFonts w:cstheme="minorHAnsi"/>
                <w:b/>
                <w:bCs/>
                <w:sz w:val="24"/>
                <w:szCs w:val="24"/>
              </w:rPr>
            </w:pPr>
            <w:r w:rsidRPr="00830FEB">
              <w:rPr>
                <w:rFonts w:cstheme="minorHAnsi"/>
                <w:b/>
                <w:bCs/>
                <w:sz w:val="24"/>
                <w:szCs w:val="24"/>
              </w:rPr>
              <w:t>IEC 60273</w:t>
            </w:r>
          </w:p>
        </w:tc>
      </w:tr>
      <w:tr w:rsidR="0043547B" w:rsidRPr="0043547B" w:rsidTr="00CB5DC0">
        <w:trPr>
          <w:trHeight w:val="546"/>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027983" w:rsidRPr="0043547B" w:rsidRDefault="00027983" w:rsidP="00027983">
            <w:pPr>
              <w:spacing w:after="0"/>
              <w:jc w:val="center"/>
              <w:rPr>
                <w:rFonts w:cstheme="minorHAnsi"/>
                <w:b/>
                <w:bCs/>
                <w:sz w:val="24"/>
                <w:szCs w:val="24"/>
              </w:rPr>
            </w:pPr>
            <w:r w:rsidRPr="0043547B">
              <w:rPr>
                <w:rFonts w:cstheme="minorHAnsi"/>
                <w:b/>
                <w:bCs/>
                <w:sz w:val="24"/>
                <w:szCs w:val="24"/>
              </w:rPr>
              <w:t>Intitulé :</w:t>
            </w:r>
          </w:p>
        </w:tc>
        <w:tc>
          <w:tcPr>
            <w:tcW w:w="8080" w:type="dxa"/>
            <w:tcBorders>
              <w:top w:val="nil"/>
              <w:left w:val="single" w:sz="4" w:space="0" w:color="auto"/>
              <w:bottom w:val="single" w:sz="4" w:space="0" w:color="auto"/>
              <w:right w:val="single" w:sz="18" w:space="0" w:color="auto"/>
            </w:tcBorders>
            <w:shd w:val="clear" w:color="auto" w:fill="auto"/>
            <w:hideMark/>
          </w:tcPr>
          <w:p w:rsidR="00027983" w:rsidRPr="0043547B" w:rsidRDefault="00027983" w:rsidP="00830FEB">
            <w:pPr>
              <w:spacing w:after="0" w:line="240" w:lineRule="auto"/>
              <w:jc w:val="both"/>
              <w:rPr>
                <w:rFonts w:cstheme="minorHAnsi"/>
                <w:sz w:val="24"/>
                <w:szCs w:val="24"/>
              </w:rPr>
            </w:pPr>
            <w:r w:rsidRPr="0043547B">
              <w:rPr>
                <w:rFonts w:cstheme="minorHAnsi"/>
                <w:sz w:val="24"/>
                <w:szCs w:val="24"/>
              </w:rPr>
              <w:t>Caractéristiques des supports isolants d'intérieur et d'extérieur destinés à des installations de tension nominale supérieure à 1 000 volts</w:t>
            </w:r>
          </w:p>
        </w:tc>
      </w:tr>
      <w:tr w:rsidR="0043547B" w:rsidRPr="0043547B" w:rsidTr="00CB5DC0">
        <w:trPr>
          <w:trHeight w:val="2042"/>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027983" w:rsidRPr="0043547B" w:rsidRDefault="00027983" w:rsidP="00027983">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top w:val="nil"/>
              <w:left w:val="single" w:sz="4" w:space="0" w:color="auto"/>
              <w:bottom w:val="single" w:sz="18" w:space="0" w:color="auto"/>
              <w:right w:val="single" w:sz="18" w:space="0" w:color="auto"/>
            </w:tcBorders>
            <w:shd w:val="clear" w:color="auto" w:fill="auto"/>
            <w:vAlign w:val="bottom"/>
            <w:hideMark/>
          </w:tcPr>
          <w:p w:rsidR="00027983" w:rsidRPr="0043547B" w:rsidRDefault="00027983" w:rsidP="00830FEB">
            <w:pPr>
              <w:spacing w:after="0" w:line="240" w:lineRule="auto"/>
              <w:jc w:val="both"/>
              <w:rPr>
                <w:rFonts w:cstheme="minorHAnsi"/>
                <w:sz w:val="24"/>
                <w:szCs w:val="24"/>
              </w:rPr>
            </w:pPr>
            <w:r w:rsidRPr="0043547B">
              <w:rPr>
                <w:rFonts w:cstheme="minorHAnsi"/>
                <w:sz w:val="24"/>
                <w:szCs w:val="24"/>
              </w:rPr>
              <w:t>La présente norme s'applique aux supports isolants et éléments de supports isolants d'intérieur et d'extérieur en matière céramique ou en verre et aux supports isolants d'intérieur en matière organique destinés à l'équipement d'installations ou d'appareils électriques fonctionnant en courant alternatif à une tension nominale supérieure à 1 000 V et à une fréquence au plus égale à 100 Hz. Elle peut aussi être considérée comme norme provisoire pour les isolateurs utilisés sur des réseaux fonctionnant en courant continu.</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027983" w:rsidRPr="0043547B" w:rsidRDefault="00027983" w:rsidP="00027983">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4CD81"/>
            <w:hideMark/>
          </w:tcPr>
          <w:p w:rsidR="00027983" w:rsidRPr="00830FEB" w:rsidRDefault="00027983" w:rsidP="00830FEB">
            <w:pPr>
              <w:spacing w:after="0" w:line="240" w:lineRule="auto"/>
              <w:jc w:val="center"/>
              <w:rPr>
                <w:rFonts w:cstheme="minorHAnsi"/>
                <w:b/>
                <w:bCs/>
                <w:sz w:val="24"/>
                <w:szCs w:val="24"/>
              </w:rPr>
            </w:pPr>
            <w:r w:rsidRPr="00830FEB">
              <w:rPr>
                <w:rFonts w:cstheme="minorHAnsi"/>
                <w:b/>
                <w:bCs/>
                <w:sz w:val="24"/>
                <w:szCs w:val="24"/>
              </w:rPr>
              <w:t>NM 06.3.050</w:t>
            </w:r>
          </w:p>
        </w:tc>
      </w:tr>
      <w:tr w:rsidR="0043547B" w:rsidRPr="0043547B" w:rsidTr="00CB5DC0">
        <w:trPr>
          <w:trHeight w:val="315"/>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027983" w:rsidRPr="0043547B" w:rsidRDefault="00027983" w:rsidP="00027983">
            <w:pPr>
              <w:spacing w:after="0"/>
              <w:jc w:val="center"/>
              <w:rPr>
                <w:rFonts w:cstheme="minorHAnsi"/>
                <w:b/>
                <w:bCs/>
                <w:sz w:val="24"/>
                <w:szCs w:val="24"/>
              </w:rPr>
            </w:pPr>
            <w:r w:rsidRPr="0043547B">
              <w:rPr>
                <w:rFonts w:cstheme="minorHAnsi"/>
                <w:b/>
                <w:bCs/>
                <w:sz w:val="24"/>
                <w:szCs w:val="24"/>
              </w:rPr>
              <w:t>Intitulé :</w:t>
            </w:r>
          </w:p>
        </w:tc>
        <w:tc>
          <w:tcPr>
            <w:tcW w:w="8080" w:type="dxa"/>
            <w:tcBorders>
              <w:top w:val="nil"/>
              <w:left w:val="single" w:sz="4" w:space="0" w:color="auto"/>
              <w:bottom w:val="single" w:sz="4" w:space="0" w:color="auto"/>
              <w:right w:val="single" w:sz="18" w:space="0" w:color="auto"/>
            </w:tcBorders>
            <w:shd w:val="clear" w:color="auto" w:fill="auto"/>
            <w:hideMark/>
          </w:tcPr>
          <w:p w:rsidR="00027983" w:rsidRPr="0043547B" w:rsidRDefault="00027983" w:rsidP="00830FEB">
            <w:pPr>
              <w:spacing w:after="0" w:line="240" w:lineRule="auto"/>
              <w:jc w:val="both"/>
              <w:rPr>
                <w:rFonts w:cstheme="minorHAnsi"/>
                <w:sz w:val="24"/>
                <w:szCs w:val="24"/>
              </w:rPr>
            </w:pPr>
            <w:r w:rsidRPr="0043547B">
              <w:rPr>
                <w:rFonts w:cstheme="minorHAnsi"/>
                <w:sz w:val="24"/>
                <w:szCs w:val="24"/>
              </w:rPr>
              <w:t xml:space="preserve">Conducteurs et câbles pour installations - Conducteurs et Câbles comportant un revêtement métallique </w:t>
            </w:r>
          </w:p>
        </w:tc>
      </w:tr>
      <w:tr w:rsidR="0043547B" w:rsidRPr="0043547B" w:rsidTr="00CB5DC0">
        <w:trPr>
          <w:trHeight w:val="58"/>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027983" w:rsidRPr="0043547B" w:rsidRDefault="00027983" w:rsidP="00027983">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top w:val="nil"/>
              <w:left w:val="single" w:sz="4" w:space="0" w:color="auto"/>
              <w:bottom w:val="single" w:sz="18" w:space="0" w:color="auto"/>
              <w:right w:val="single" w:sz="18" w:space="0" w:color="auto"/>
            </w:tcBorders>
            <w:shd w:val="clear" w:color="auto" w:fill="auto"/>
            <w:vAlign w:val="bottom"/>
            <w:hideMark/>
          </w:tcPr>
          <w:p w:rsidR="00027983" w:rsidRPr="0043547B" w:rsidRDefault="00027983" w:rsidP="00830FEB">
            <w:pPr>
              <w:spacing w:after="0" w:line="240" w:lineRule="auto"/>
              <w:jc w:val="both"/>
              <w:rPr>
                <w:rFonts w:cstheme="minorHAnsi"/>
                <w:sz w:val="24"/>
                <w:szCs w:val="24"/>
              </w:rPr>
            </w:pPr>
            <w:r w:rsidRPr="0043547B">
              <w:rPr>
                <w:rFonts w:cstheme="minorHAnsi"/>
                <w:sz w:val="24"/>
                <w:szCs w:val="24"/>
              </w:rPr>
              <w:t>Cette norme concerne les conducteurs et câbles comportant un revêtement métallique. Elle s'applique à leurs revêtements métalliques ainsi qu'aux éléments de protection extérieure ou intérieure nécessités par le revêtement métallique.</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027983" w:rsidRPr="0043547B" w:rsidRDefault="00027983" w:rsidP="00027983">
            <w:pPr>
              <w:spacing w:after="0"/>
              <w:jc w:val="center"/>
              <w:rPr>
                <w:rFonts w:cstheme="minorHAnsi"/>
                <w:b/>
                <w:bCs/>
                <w:sz w:val="24"/>
                <w:szCs w:val="24"/>
              </w:rPr>
            </w:pPr>
            <w:r w:rsidRPr="0043547B">
              <w:rPr>
                <w:rFonts w:cstheme="minorHAnsi"/>
                <w:b/>
                <w:bCs/>
                <w:sz w:val="24"/>
                <w:szCs w:val="24"/>
              </w:rPr>
              <w:t>Code :</w:t>
            </w:r>
          </w:p>
        </w:tc>
        <w:tc>
          <w:tcPr>
            <w:tcW w:w="8080" w:type="dxa"/>
            <w:tcBorders>
              <w:top w:val="single" w:sz="18" w:space="0" w:color="auto"/>
              <w:left w:val="single" w:sz="4" w:space="0" w:color="auto"/>
              <w:bottom w:val="single" w:sz="18" w:space="0" w:color="auto"/>
              <w:right w:val="single" w:sz="18" w:space="0" w:color="auto"/>
            </w:tcBorders>
            <w:shd w:val="clear" w:color="auto" w:fill="B4CD81"/>
            <w:hideMark/>
          </w:tcPr>
          <w:p w:rsidR="00027983" w:rsidRPr="00830FEB" w:rsidRDefault="00027983" w:rsidP="00830FEB">
            <w:pPr>
              <w:spacing w:after="0" w:line="240" w:lineRule="auto"/>
              <w:jc w:val="center"/>
              <w:rPr>
                <w:rFonts w:cstheme="minorHAnsi"/>
                <w:b/>
                <w:bCs/>
                <w:sz w:val="24"/>
                <w:szCs w:val="24"/>
              </w:rPr>
            </w:pPr>
            <w:r w:rsidRPr="00830FEB">
              <w:rPr>
                <w:rFonts w:cstheme="minorHAnsi"/>
                <w:b/>
                <w:bCs/>
                <w:sz w:val="24"/>
                <w:szCs w:val="24"/>
              </w:rPr>
              <w:t>NM IEC 60502-1</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027983" w:rsidRPr="0043547B" w:rsidRDefault="00027983" w:rsidP="00027983">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027983" w:rsidRPr="00830FEB" w:rsidRDefault="00027983" w:rsidP="00830FEB">
            <w:pPr>
              <w:spacing w:after="0" w:line="240" w:lineRule="auto"/>
              <w:jc w:val="center"/>
              <w:rPr>
                <w:rFonts w:cstheme="minorHAnsi"/>
                <w:b/>
                <w:bCs/>
                <w:sz w:val="24"/>
                <w:szCs w:val="24"/>
              </w:rPr>
            </w:pPr>
            <w:r w:rsidRPr="00830FEB">
              <w:rPr>
                <w:rFonts w:cstheme="minorHAnsi"/>
                <w:b/>
                <w:bCs/>
                <w:sz w:val="24"/>
                <w:szCs w:val="24"/>
              </w:rPr>
              <w:t>IEC 60502-1</w:t>
            </w:r>
          </w:p>
        </w:tc>
      </w:tr>
      <w:tr w:rsidR="0043547B" w:rsidRPr="0043547B" w:rsidTr="00CB5DC0">
        <w:trPr>
          <w:trHeight w:val="315"/>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027983" w:rsidRPr="0043547B" w:rsidRDefault="00027983" w:rsidP="00027983">
            <w:pPr>
              <w:spacing w:after="0"/>
              <w:jc w:val="center"/>
              <w:rPr>
                <w:rFonts w:cstheme="minorHAnsi"/>
                <w:b/>
                <w:bCs/>
                <w:sz w:val="24"/>
                <w:szCs w:val="24"/>
              </w:rPr>
            </w:pPr>
            <w:r w:rsidRPr="0043547B">
              <w:rPr>
                <w:rFonts w:cstheme="minorHAnsi"/>
                <w:b/>
                <w:bCs/>
                <w:sz w:val="24"/>
                <w:szCs w:val="24"/>
              </w:rPr>
              <w:t>Intitulé :</w:t>
            </w:r>
          </w:p>
        </w:tc>
        <w:tc>
          <w:tcPr>
            <w:tcW w:w="8080" w:type="dxa"/>
            <w:tcBorders>
              <w:top w:val="nil"/>
              <w:left w:val="single" w:sz="4" w:space="0" w:color="auto"/>
              <w:bottom w:val="single" w:sz="4" w:space="0" w:color="auto"/>
              <w:right w:val="single" w:sz="18" w:space="0" w:color="auto"/>
            </w:tcBorders>
            <w:shd w:val="clear" w:color="auto" w:fill="auto"/>
            <w:hideMark/>
          </w:tcPr>
          <w:p w:rsidR="00027983" w:rsidRPr="0043547B" w:rsidRDefault="00027983" w:rsidP="00830FEB">
            <w:pPr>
              <w:spacing w:after="0" w:line="240" w:lineRule="auto"/>
              <w:jc w:val="both"/>
              <w:rPr>
                <w:rFonts w:cstheme="minorHAnsi"/>
                <w:sz w:val="24"/>
                <w:szCs w:val="24"/>
              </w:rPr>
            </w:pPr>
            <w:r w:rsidRPr="0043547B">
              <w:rPr>
                <w:rFonts w:cstheme="minorHAnsi"/>
                <w:sz w:val="24"/>
                <w:szCs w:val="24"/>
              </w:rPr>
              <w:t>Câbles d'énergie à isolant extrudé et leurs accessoires pour des tensions assignées de 1kV (Um = 1,2 kV) à 30 kV (Um = 36 kV) - Partie 1 : câbles de tensions assignées de 1 kV (Um = 1,2 kV) et 3 kV (Um = 3,6 kV)</w:t>
            </w:r>
          </w:p>
        </w:tc>
      </w:tr>
      <w:tr w:rsidR="0043547B" w:rsidRPr="0043547B" w:rsidTr="00CB5DC0">
        <w:trPr>
          <w:trHeight w:val="559"/>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027983" w:rsidRPr="0043547B" w:rsidRDefault="00027983" w:rsidP="00027983">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top w:val="nil"/>
              <w:left w:val="single" w:sz="4" w:space="0" w:color="auto"/>
              <w:bottom w:val="single" w:sz="18" w:space="0" w:color="auto"/>
              <w:right w:val="single" w:sz="18" w:space="0" w:color="auto"/>
            </w:tcBorders>
            <w:shd w:val="clear" w:color="auto" w:fill="auto"/>
            <w:vAlign w:val="bottom"/>
            <w:hideMark/>
          </w:tcPr>
          <w:p w:rsidR="00027983" w:rsidRPr="0043547B" w:rsidRDefault="00027983" w:rsidP="00830FEB">
            <w:pPr>
              <w:spacing w:after="0" w:line="240" w:lineRule="auto"/>
              <w:jc w:val="both"/>
              <w:rPr>
                <w:rFonts w:cstheme="minorHAnsi"/>
                <w:sz w:val="24"/>
                <w:szCs w:val="24"/>
              </w:rPr>
            </w:pPr>
            <w:r w:rsidRPr="0043547B">
              <w:rPr>
                <w:rFonts w:cstheme="minorHAnsi"/>
                <w:sz w:val="24"/>
                <w:szCs w:val="24"/>
              </w:rPr>
              <w:t xml:space="preserve">La présente partie de la CEI 60502 spécifie la constitution, les dimensions et les exigences d'essais des câbles d’énergie à isolation extrudée par diélectriques massifs, de tensions assignées de 1 kV (Um = 1,2 kV) et 3 kV (Um= 3,6 kV), pour </w:t>
            </w:r>
            <w:r w:rsidRPr="0043547B">
              <w:rPr>
                <w:rFonts w:cstheme="minorHAnsi"/>
                <w:sz w:val="24"/>
                <w:szCs w:val="24"/>
              </w:rPr>
              <w:lastRenderedPageBreak/>
              <w:t xml:space="preserve">installations fixes telles que les réseaux de distribution ou les installations industrielles. </w:t>
            </w:r>
            <w:r w:rsidRPr="0043547B">
              <w:rPr>
                <w:rFonts w:cstheme="minorHAnsi"/>
                <w:sz w:val="24"/>
                <w:szCs w:val="24"/>
              </w:rPr>
              <w:br/>
              <w:t>La présente norme introduit des câbles qui présentent des propriétés de propagation de la flamme réduite, de faibles niveaux d’émission de fumée et des émissions de gaz sans halogène lorsqu’ils sont exposés au feu.</w:t>
            </w:r>
            <w:r w:rsidRPr="0043547B">
              <w:rPr>
                <w:rFonts w:cstheme="minorHAnsi"/>
                <w:sz w:val="24"/>
                <w:szCs w:val="24"/>
              </w:rPr>
              <w:br/>
              <w:t>Les câbles destinés à des conditions particulières d'installations et de service ne sont pas inclus, par exemple les câbles pour réseaux aériens, pour l’industrie minière, les centrales nucléaires (à l’intérieur et à l’extérieur de l’enceinte de confinement), les câbles sous-marins ou les câbles de bord des navires.</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027983" w:rsidRPr="0043547B" w:rsidRDefault="00027983" w:rsidP="00027983">
            <w:pPr>
              <w:spacing w:after="0"/>
              <w:jc w:val="center"/>
              <w:rPr>
                <w:rFonts w:cstheme="minorHAnsi"/>
                <w:b/>
                <w:bCs/>
                <w:sz w:val="24"/>
                <w:szCs w:val="24"/>
              </w:rPr>
            </w:pPr>
            <w:r w:rsidRPr="0043547B">
              <w:rPr>
                <w:rFonts w:cstheme="minorHAnsi"/>
                <w:b/>
                <w:bCs/>
                <w:sz w:val="24"/>
                <w:szCs w:val="24"/>
              </w:rPr>
              <w:lastRenderedPageBreak/>
              <w:t>Code :</w:t>
            </w:r>
          </w:p>
        </w:tc>
        <w:tc>
          <w:tcPr>
            <w:tcW w:w="8080" w:type="dxa"/>
            <w:tcBorders>
              <w:top w:val="single" w:sz="18" w:space="0" w:color="auto"/>
              <w:left w:val="single" w:sz="4" w:space="0" w:color="auto"/>
              <w:bottom w:val="single" w:sz="18" w:space="0" w:color="auto"/>
              <w:right w:val="single" w:sz="18" w:space="0" w:color="auto"/>
            </w:tcBorders>
            <w:shd w:val="clear" w:color="auto" w:fill="B4CD81"/>
            <w:hideMark/>
          </w:tcPr>
          <w:p w:rsidR="00027983" w:rsidRPr="00830FEB" w:rsidRDefault="00027983" w:rsidP="00830FEB">
            <w:pPr>
              <w:spacing w:after="0" w:line="240" w:lineRule="auto"/>
              <w:jc w:val="center"/>
              <w:rPr>
                <w:rFonts w:cstheme="minorHAnsi"/>
                <w:b/>
                <w:bCs/>
                <w:sz w:val="24"/>
                <w:szCs w:val="24"/>
              </w:rPr>
            </w:pPr>
            <w:r w:rsidRPr="00830FEB">
              <w:rPr>
                <w:rFonts w:cstheme="minorHAnsi"/>
                <w:b/>
                <w:bCs/>
                <w:sz w:val="24"/>
                <w:szCs w:val="24"/>
              </w:rPr>
              <w:t>NM IEC 60502-2</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027983" w:rsidRPr="0043547B" w:rsidRDefault="00027983" w:rsidP="00027983">
            <w:pPr>
              <w:spacing w:after="0"/>
              <w:jc w:val="center"/>
              <w:rPr>
                <w:rFonts w:cstheme="minorHAnsi"/>
                <w:b/>
                <w:bCs/>
                <w:sz w:val="24"/>
                <w:szCs w:val="24"/>
              </w:rPr>
            </w:pPr>
            <w:r w:rsidRPr="0043547B">
              <w:rPr>
                <w:rFonts w:cstheme="minorHAnsi"/>
                <w:b/>
                <w:bCs/>
                <w:sz w:val="24"/>
                <w:szCs w:val="24"/>
              </w:rPr>
              <w:t>Equivalence :</w:t>
            </w:r>
          </w:p>
        </w:tc>
        <w:tc>
          <w:tcPr>
            <w:tcW w:w="8080"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027983" w:rsidRPr="00830FEB" w:rsidRDefault="00027983" w:rsidP="00830FEB">
            <w:pPr>
              <w:spacing w:after="0" w:line="240" w:lineRule="auto"/>
              <w:jc w:val="center"/>
              <w:rPr>
                <w:rFonts w:cstheme="minorHAnsi"/>
                <w:b/>
                <w:bCs/>
                <w:sz w:val="24"/>
                <w:szCs w:val="24"/>
              </w:rPr>
            </w:pPr>
            <w:r w:rsidRPr="00830FEB">
              <w:rPr>
                <w:rFonts w:cstheme="minorHAnsi"/>
                <w:b/>
                <w:bCs/>
                <w:sz w:val="24"/>
                <w:szCs w:val="24"/>
              </w:rPr>
              <w:t>IEC 60502-2</w:t>
            </w:r>
          </w:p>
        </w:tc>
      </w:tr>
      <w:tr w:rsidR="0043547B" w:rsidRPr="0043547B" w:rsidTr="00CB5DC0">
        <w:trPr>
          <w:trHeight w:val="617"/>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027983" w:rsidRPr="0043547B" w:rsidRDefault="00027983" w:rsidP="00027983">
            <w:pPr>
              <w:spacing w:after="0"/>
              <w:jc w:val="center"/>
              <w:rPr>
                <w:rFonts w:cstheme="minorHAnsi"/>
                <w:b/>
                <w:bCs/>
                <w:sz w:val="24"/>
                <w:szCs w:val="24"/>
              </w:rPr>
            </w:pPr>
            <w:r w:rsidRPr="0043547B">
              <w:rPr>
                <w:rFonts w:cstheme="minorHAnsi"/>
                <w:b/>
                <w:bCs/>
                <w:sz w:val="24"/>
                <w:szCs w:val="24"/>
              </w:rPr>
              <w:t>Intitulé :</w:t>
            </w:r>
          </w:p>
        </w:tc>
        <w:tc>
          <w:tcPr>
            <w:tcW w:w="8080" w:type="dxa"/>
            <w:tcBorders>
              <w:top w:val="nil"/>
              <w:left w:val="single" w:sz="4" w:space="0" w:color="auto"/>
              <w:bottom w:val="single" w:sz="4" w:space="0" w:color="auto"/>
              <w:right w:val="single" w:sz="18" w:space="0" w:color="auto"/>
            </w:tcBorders>
            <w:shd w:val="clear" w:color="auto" w:fill="auto"/>
            <w:hideMark/>
          </w:tcPr>
          <w:p w:rsidR="00027983" w:rsidRPr="0043547B" w:rsidRDefault="00027983" w:rsidP="00830FEB">
            <w:pPr>
              <w:spacing w:after="0" w:line="240" w:lineRule="auto"/>
              <w:jc w:val="both"/>
              <w:rPr>
                <w:rFonts w:cstheme="minorHAnsi"/>
                <w:sz w:val="24"/>
                <w:szCs w:val="24"/>
              </w:rPr>
            </w:pPr>
            <w:r w:rsidRPr="0043547B">
              <w:rPr>
                <w:rFonts w:cstheme="minorHAnsi"/>
                <w:sz w:val="24"/>
                <w:szCs w:val="24"/>
              </w:rPr>
              <w:t>Câbles d'énergie à isolant extrudé et leurs accessoires pour des tensions assignées de 1 kV (UM égal 1,2 kV) à 30 kV (UM égal 36 kV) - Partie 2 : câbles de tensions assignées de 6 kV (UM égal 7,2 kV) à 30 kV (UM égal 36 kV)</w:t>
            </w:r>
          </w:p>
        </w:tc>
      </w:tr>
      <w:tr w:rsidR="0043547B" w:rsidRPr="0043547B" w:rsidTr="00CB5DC0">
        <w:trPr>
          <w:trHeight w:val="2163"/>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027983" w:rsidRPr="0043547B" w:rsidRDefault="00027983" w:rsidP="00027983">
            <w:pPr>
              <w:spacing w:after="0"/>
              <w:jc w:val="center"/>
              <w:rPr>
                <w:rFonts w:cstheme="minorHAnsi"/>
                <w:b/>
                <w:bCs/>
                <w:sz w:val="24"/>
                <w:szCs w:val="24"/>
              </w:rPr>
            </w:pPr>
            <w:r w:rsidRPr="0043547B">
              <w:rPr>
                <w:rFonts w:cstheme="minorHAnsi"/>
                <w:b/>
                <w:bCs/>
                <w:sz w:val="24"/>
                <w:szCs w:val="24"/>
              </w:rPr>
              <w:t>Domaine d’application :</w:t>
            </w:r>
          </w:p>
        </w:tc>
        <w:tc>
          <w:tcPr>
            <w:tcW w:w="8080" w:type="dxa"/>
            <w:tcBorders>
              <w:top w:val="nil"/>
              <w:left w:val="single" w:sz="4" w:space="0" w:color="auto"/>
              <w:bottom w:val="single" w:sz="18" w:space="0" w:color="auto"/>
              <w:right w:val="single" w:sz="18" w:space="0" w:color="auto"/>
            </w:tcBorders>
            <w:shd w:val="clear" w:color="auto" w:fill="auto"/>
            <w:vAlign w:val="bottom"/>
            <w:hideMark/>
          </w:tcPr>
          <w:p w:rsidR="00830FEB" w:rsidRDefault="00027983" w:rsidP="00830FEB">
            <w:pPr>
              <w:spacing w:after="0" w:line="240" w:lineRule="auto"/>
              <w:jc w:val="both"/>
              <w:rPr>
                <w:rFonts w:cstheme="minorHAnsi"/>
                <w:sz w:val="24"/>
                <w:szCs w:val="24"/>
              </w:rPr>
            </w:pPr>
            <w:r w:rsidRPr="0043547B">
              <w:rPr>
                <w:rFonts w:cstheme="minorHAnsi"/>
                <w:sz w:val="24"/>
                <w:szCs w:val="24"/>
              </w:rPr>
              <w:t>La présente partie de la CEI 60502 spécifie la constitution, les dimensions et les exigences d'essais des câbles d’énergie à isolation extrudée par diélectriques massifs, de tensions assignées de 6 kV à 30 kV, pour installations fixes telles que les réseaux de distribution ou les installations industrielles.</w:t>
            </w:r>
          </w:p>
          <w:p w:rsidR="00830FEB" w:rsidRDefault="00027983" w:rsidP="00830FEB">
            <w:pPr>
              <w:spacing w:after="0" w:line="240" w:lineRule="auto"/>
              <w:jc w:val="both"/>
              <w:rPr>
                <w:rFonts w:cstheme="minorHAnsi"/>
                <w:sz w:val="24"/>
                <w:szCs w:val="24"/>
              </w:rPr>
            </w:pPr>
            <w:r w:rsidRPr="0043547B">
              <w:rPr>
                <w:rFonts w:cstheme="minorHAnsi"/>
                <w:sz w:val="24"/>
                <w:szCs w:val="24"/>
              </w:rPr>
              <w:t>Pour la conception des câbles, il est recommandé de tenir compte du risque possible d’une entrée d’eau radiale. Les câbles dont la conception est déclarée comporter une barrière d’étanchéité longitudinale à l’eau et les essais qui y correspondent sont inclus dans cette partie de la CEI 60502.</w:t>
            </w:r>
          </w:p>
          <w:p w:rsidR="00027983" w:rsidRPr="0043547B" w:rsidRDefault="00027983" w:rsidP="00830FEB">
            <w:pPr>
              <w:spacing w:after="0" w:line="240" w:lineRule="auto"/>
              <w:jc w:val="both"/>
              <w:rPr>
                <w:rFonts w:cstheme="minorHAnsi"/>
                <w:sz w:val="24"/>
                <w:szCs w:val="24"/>
              </w:rPr>
            </w:pPr>
            <w:r w:rsidRPr="0043547B">
              <w:rPr>
                <w:rFonts w:cstheme="minorHAnsi"/>
                <w:sz w:val="24"/>
                <w:szCs w:val="24"/>
              </w:rPr>
              <w:t>Les câbles destinés à des conditions particulières d'installations et de service ne sont pas inclus, par exemple, les câbles pour réseaux aériens, pour l’industrie minière, pour les centrales nucléaires (à l’intérieur et à l’extérieur de l’enceinte de confinement), les câbles sous-marins ou les câbles de bord des navires</w:t>
            </w:r>
          </w:p>
        </w:tc>
      </w:tr>
    </w:tbl>
    <w:p w:rsidR="00904E52" w:rsidRPr="0043547B" w:rsidRDefault="00904E52" w:rsidP="00AF178F">
      <w:pPr>
        <w:pStyle w:val="Titre4"/>
        <w:numPr>
          <w:ilvl w:val="2"/>
          <w:numId w:val="2"/>
        </w:numPr>
        <w:ind w:left="1418" w:hanging="579"/>
        <w:rPr>
          <w:rFonts w:cstheme="minorHAnsi"/>
          <w:b/>
          <w:bCs w:val="0"/>
          <w:iCs w:val="0"/>
          <w:color w:val="auto"/>
          <w:szCs w:val="24"/>
          <w:u w:val="single"/>
        </w:rPr>
      </w:pPr>
      <w:bookmarkStart w:id="17" w:name="_Toc458606074"/>
      <w:r w:rsidRPr="0043547B">
        <w:rPr>
          <w:rFonts w:cstheme="minorHAnsi"/>
          <w:b/>
          <w:bCs w:val="0"/>
          <w:iCs w:val="0"/>
          <w:color w:val="auto"/>
          <w:szCs w:val="24"/>
          <w:u w:val="single"/>
        </w:rPr>
        <w:t>Installations électriques</w:t>
      </w:r>
      <w:bookmarkEnd w:id="17"/>
    </w:p>
    <w:tbl>
      <w:tblPr>
        <w:tblW w:w="9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20"/>
        <w:gridCol w:w="8126"/>
      </w:tblGrid>
      <w:tr w:rsidR="0043547B" w:rsidRPr="0043547B" w:rsidTr="00CB5DC0">
        <w:trPr>
          <w:trHeight w:val="76"/>
          <w:jc w:val="center"/>
        </w:trPr>
        <w:tc>
          <w:tcPr>
            <w:tcW w:w="1820"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126" w:type="dxa"/>
            <w:tcBorders>
              <w:top w:val="single" w:sz="18" w:space="0" w:color="auto"/>
              <w:left w:val="single" w:sz="4" w:space="0" w:color="auto"/>
              <w:bottom w:val="single" w:sz="18" w:space="0" w:color="auto"/>
              <w:right w:val="single" w:sz="18" w:space="0" w:color="auto"/>
            </w:tcBorders>
            <w:shd w:val="clear" w:color="auto" w:fill="B4CD81"/>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8528-1</w:t>
            </w:r>
          </w:p>
        </w:tc>
      </w:tr>
      <w:tr w:rsidR="0043547B" w:rsidRPr="0043547B" w:rsidTr="00CB5DC0">
        <w:trPr>
          <w:trHeight w:val="167"/>
          <w:jc w:val="center"/>
        </w:trPr>
        <w:tc>
          <w:tcPr>
            <w:tcW w:w="1820"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8126" w:type="dxa"/>
            <w:tcBorders>
              <w:top w:val="single" w:sz="18" w:space="0" w:color="auto"/>
              <w:left w:val="single" w:sz="4" w:space="0" w:color="auto"/>
              <w:right w:val="single" w:sz="18" w:space="0" w:color="auto"/>
            </w:tcBorders>
            <w:shd w:val="clear" w:color="auto" w:fill="FFFF99"/>
            <w:noWrap/>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8528-1</w:t>
            </w:r>
          </w:p>
        </w:tc>
      </w:tr>
      <w:tr w:rsidR="0043547B" w:rsidRPr="0043547B" w:rsidTr="00CB5DC0">
        <w:trPr>
          <w:trHeight w:val="615"/>
          <w:jc w:val="center"/>
        </w:trPr>
        <w:tc>
          <w:tcPr>
            <w:tcW w:w="1820"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126" w:type="dxa"/>
            <w:tcBorders>
              <w:left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Groupes électrogènes à courant alternatif entraînés par moteurs alternatifs à combustion interne - Partie 1 : Application, caractéristiques et performances</w:t>
            </w:r>
          </w:p>
        </w:tc>
      </w:tr>
      <w:tr w:rsidR="0043547B" w:rsidRPr="0043547B" w:rsidTr="00CB5DC0">
        <w:trPr>
          <w:trHeight w:val="1127"/>
          <w:jc w:val="center"/>
        </w:trPr>
        <w:tc>
          <w:tcPr>
            <w:tcW w:w="1820"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126" w:type="dxa"/>
            <w:tcBorders>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partie de l'ISO 8528 définit différentes classes pour l'application, les caractéristiques nominales et les performances de groupes électrogènes constitués d'un moteur alternatif à combustion interne, d'un alternateur ainsi que de tout appareillage de commande et de coupure et d'équipements auxiliaires associés.</w:t>
            </w:r>
          </w:p>
          <w:p w:rsidR="004C1604" w:rsidRPr="0043547B" w:rsidRDefault="004C1604" w:rsidP="004C1604">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est applicable aux groupes électrogènes à courant alternatif entraînés par moteurs alternatifs à combustion interne utilisés pour des applications terrestres et marines, à l'exclusion des groupes électrogènes utilisés à bord des aéronefs ou pour la propulsion de véhicules terrestres et de locomotives.</w:t>
            </w:r>
          </w:p>
          <w:p w:rsidR="00572FA2" w:rsidRPr="0043547B" w:rsidRDefault="004C1604" w:rsidP="00572FA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Pour des applications particulières (par exemple alimentation principale d'hôpitaux, immeubles de grande hauteur), des exigences supplémentaires peuvent être nécessaires.</w:t>
            </w:r>
          </w:p>
        </w:tc>
      </w:tr>
      <w:tr w:rsidR="00181E36" w:rsidRPr="0043547B" w:rsidTr="00572FA2">
        <w:trPr>
          <w:trHeight w:val="378"/>
          <w:jc w:val="center"/>
        </w:trPr>
        <w:tc>
          <w:tcPr>
            <w:tcW w:w="1820" w:type="dxa"/>
            <w:tcBorders>
              <w:top w:val="nil"/>
              <w:left w:val="single" w:sz="18" w:space="0" w:color="auto"/>
              <w:bottom w:val="single" w:sz="18" w:space="0" w:color="auto"/>
              <w:right w:val="single" w:sz="4" w:space="0" w:color="auto"/>
            </w:tcBorders>
            <w:shd w:val="clear" w:color="auto" w:fill="D6E3BC" w:themeFill="accent3" w:themeFillTint="66"/>
            <w:vAlign w:val="center"/>
          </w:tcPr>
          <w:p w:rsidR="00181E36" w:rsidRDefault="00181E36" w:rsidP="00810AA2">
            <w:pPr>
              <w:spacing w:after="0" w:line="240" w:lineRule="auto"/>
              <w:jc w:val="center"/>
              <w:rPr>
                <w:rFonts w:ascii="Calibri" w:hAnsi="Calibri" w:cs="Calibri"/>
                <w:b/>
                <w:bCs/>
              </w:rPr>
            </w:pPr>
            <w:r>
              <w:rPr>
                <w:rFonts w:ascii="Calibri" w:hAnsi="Calibri" w:cs="Calibri"/>
                <w:b/>
                <w:bCs/>
              </w:rPr>
              <w:t xml:space="preserve">Code </w:t>
            </w:r>
          </w:p>
        </w:tc>
        <w:tc>
          <w:tcPr>
            <w:tcW w:w="8126" w:type="dxa"/>
            <w:tcBorders>
              <w:left w:val="single" w:sz="4" w:space="0" w:color="auto"/>
              <w:bottom w:val="single" w:sz="18" w:space="0" w:color="auto"/>
              <w:right w:val="single" w:sz="18" w:space="0" w:color="auto"/>
            </w:tcBorders>
            <w:shd w:val="clear" w:color="auto" w:fill="D6E3BC" w:themeFill="accent3" w:themeFillTint="66"/>
            <w:vAlign w:val="center"/>
          </w:tcPr>
          <w:p w:rsidR="00181E36" w:rsidRDefault="00181E36" w:rsidP="00810AA2">
            <w:pPr>
              <w:spacing w:after="0" w:line="240" w:lineRule="auto"/>
              <w:jc w:val="center"/>
              <w:rPr>
                <w:rFonts w:ascii="Calibri" w:hAnsi="Calibri" w:cs="Calibri"/>
                <w:b/>
                <w:bCs/>
                <w:color w:val="000000"/>
                <w:sz w:val="24"/>
                <w:szCs w:val="24"/>
              </w:rPr>
            </w:pPr>
            <w:r>
              <w:rPr>
                <w:rFonts w:ascii="Calibri" w:hAnsi="Calibri" w:cs="Calibri"/>
                <w:b/>
                <w:bCs/>
                <w:color w:val="000000"/>
              </w:rPr>
              <w:t>NM ISO 11553-1</w:t>
            </w:r>
          </w:p>
        </w:tc>
      </w:tr>
      <w:tr w:rsidR="00181E36" w:rsidRPr="0043547B" w:rsidTr="00572FA2">
        <w:trPr>
          <w:trHeight w:val="383"/>
          <w:jc w:val="center"/>
        </w:trPr>
        <w:tc>
          <w:tcPr>
            <w:tcW w:w="1820" w:type="dxa"/>
            <w:tcBorders>
              <w:top w:val="nil"/>
              <w:left w:val="single" w:sz="18" w:space="0" w:color="auto"/>
              <w:bottom w:val="single" w:sz="18" w:space="0" w:color="auto"/>
              <w:right w:val="single" w:sz="4" w:space="0" w:color="auto"/>
            </w:tcBorders>
            <w:shd w:val="clear" w:color="auto" w:fill="FFFF99"/>
            <w:vAlign w:val="center"/>
          </w:tcPr>
          <w:p w:rsidR="00181E36" w:rsidRDefault="00181E36" w:rsidP="00572FA2">
            <w:pPr>
              <w:spacing w:after="0" w:line="240" w:lineRule="auto"/>
              <w:jc w:val="center"/>
              <w:rPr>
                <w:rFonts w:ascii="Calibri" w:hAnsi="Calibri" w:cs="Calibri"/>
                <w:b/>
                <w:bCs/>
              </w:rPr>
            </w:pPr>
            <w:r>
              <w:rPr>
                <w:rFonts w:ascii="Calibri" w:hAnsi="Calibri" w:cs="Calibri"/>
                <w:b/>
                <w:bCs/>
              </w:rPr>
              <w:t xml:space="preserve">Equivalence </w:t>
            </w:r>
          </w:p>
        </w:tc>
        <w:tc>
          <w:tcPr>
            <w:tcW w:w="8126" w:type="dxa"/>
            <w:tcBorders>
              <w:left w:val="single" w:sz="4" w:space="0" w:color="auto"/>
              <w:bottom w:val="single" w:sz="18" w:space="0" w:color="auto"/>
              <w:right w:val="single" w:sz="18" w:space="0" w:color="auto"/>
            </w:tcBorders>
            <w:shd w:val="clear" w:color="auto" w:fill="FFFF99"/>
            <w:vAlign w:val="center"/>
          </w:tcPr>
          <w:p w:rsidR="00181E36" w:rsidRDefault="00181E36" w:rsidP="00572FA2">
            <w:pPr>
              <w:spacing w:after="0" w:line="240" w:lineRule="auto"/>
              <w:jc w:val="center"/>
              <w:rPr>
                <w:rFonts w:ascii="Calibri" w:hAnsi="Calibri" w:cs="Calibri"/>
                <w:b/>
                <w:bCs/>
                <w:sz w:val="24"/>
                <w:szCs w:val="24"/>
              </w:rPr>
            </w:pPr>
            <w:r>
              <w:rPr>
                <w:rFonts w:ascii="Calibri" w:hAnsi="Calibri" w:cs="Calibri"/>
                <w:b/>
                <w:bCs/>
              </w:rPr>
              <w:t>ISO 11553-1</w:t>
            </w:r>
          </w:p>
        </w:tc>
      </w:tr>
      <w:tr w:rsidR="00181E36" w:rsidRPr="0043547B" w:rsidTr="00572FA2">
        <w:trPr>
          <w:trHeight w:val="417"/>
          <w:jc w:val="center"/>
        </w:trPr>
        <w:tc>
          <w:tcPr>
            <w:tcW w:w="1820" w:type="dxa"/>
            <w:tcBorders>
              <w:top w:val="nil"/>
              <w:left w:val="single" w:sz="18" w:space="0" w:color="auto"/>
              <w:bottom w:val="single" w:sz="18" w:space="0" w:color="auto"/>
              <w:right w:val="single" w:sz="4" w:space="0" w:color="auto"/>
            </w:tcBorders>
            <w:shd w:val="clear" w:color="auto" w:fill="95B3D7" w:themeFill="accent1" w:themeFillTint="99"/>
            <w:vAlign w:val="center"/>
          </w:tcPr>
          <w:p w:rsidR="00181E36" w:rsidRDefault="00181E36" w:rsidP="00181E36">
            <w:pPr>
              <w:jc w:val="center"/>
              <w:rPr>
                <w:rFonts w:ascii="Calibri" w:hAnsi="Calibri" w:cs="Calibri"/>
                <w:b/>
                <w:bCs/>
              </w:rPr>
            </w:pPr>
            <w:r>
              <w:rPr>
                <w:rFonts w:ascii="Calibri" w:hAnsi="Calibri" w:cs="Calibri"/>
                <w:b/>
                <w:bCs/>
              </w:rPr>
              <w:lastRenderedPageBreak/>
              <w:t xml:space="preserve">Intitulé </w:t>
            </w:r>
          </w:p>
        </w:tc>
        <w:tc>
          <w:tcPr>
            <w:tcW w:w="8126" w:type="dxa"/>
            <w:tcBorders>
              <w:left w:val="single" w:sz="4" w:space="0" w:color="auto"/>
              <w:bottom w:val="single" w:sz="18" w:space="0" w:color="auto"/>
              <w:right w:val="single" w:sz="18" w:space="0" w:color="auto"/>
            </w:tcBorders>
            <w:shd w:val="clear" w:color="auto" w:fill="auto"/>
          </w:tcPr>
          <w:p w:rsidR="00181E36" w:rsidRDefault="00181E36" w:rsidP="00572FA2">
            <w:pPr>
              <w:spacing w:after="0" w:line="240" w:lineRule="auto"/>
              <w:jc w:val="both"/>
              <w:rPr>
                <w:rFonts w:ascii="Calibri" w:hAnsi="Calibri" w:cs="Calibri"/>
                <w:color w:val="000000"/>
              </w:rPr>
            </w:pPr>
            <w:r>
              <w:rPr>
                <w:rFonts w:ascii="Calibri" w:hAnsi="Calibri" w:cs="Calibri"/>
                <w:color w:val="000000"/>
              </w:rPr>
              <w:t xml:space="preserve">Sécurité des machines - Machines à laser - Partie 1 : Exigences de sécurité laser </w:t>
            </w:r>
          </w:p>
        </w:tc>
      </w:tr>
      <w:tr w:rsidR="00181E36" w:rsidRPr="0043547B" w:rsidTr="00810AA2">
        <w:trPr>
          <w:trHeight w:val="1127"/>
          <w:jc w:val="center"/>
        </w:trPr>
        <w:tc>
          <w:tcPr>
            <w:tcW w:w="1820" w:type="dxa"/>
            <w:tcBorders>
              <w:top w:val="nil"/>
              <w:left w:val="single" w:sz="18" w:space="0" w:color="auto"/>
              <w:bottom w:val="single" w:sz="18" w:space="0" w:color="auto"/>
              <w:right w:val="single" w:sz="4" w:space="0" w:color="auto"/>
            </w:tcBorders>
            <w:shd w:val="clear" w:color="000000" w:fill="D9D9D9"/>
            <w:vAlign w:val="center"/>
          </w:tcPr>
          <w:p w:rsidR="00181E36" w:rsidRDefault="00181E36" w:rsidP="00181E36">
            <w:pPr>
              <w:jc w:val="center"/>
              <w:rPr>
                <w:rFonts w:ascii="Calibri" w:hAnsi="Calibri" w:cs="Calibri"/>
                <w:b/>
                <w:bCs/>
              </w:rPr>
            </w:pPr>
            <w:r>
              <w:rPr>
                <w:rFonts w:ascii="Calibri" w:hAnsi="Calibri" w:cs="Calibri"/>
                <w:b/>
                <w:bCs/>
              </w:rPr>
              <w:t xml:space="preserve">Domaine d’application </w:t>
            </w:r>
          </w:p>
        </w:tc>
        <w:tc>
          <w:tcPr>
            <w:tcW w:w="8126" w:type="dxa"/>
            <w:tcBorders>
              <w:left w:val="single" w:sz="4" w:space="0" w:color="auto"/>
              <w:bottom w:val="single" w:sz="18" w:space="0" w:color="auto"/>
              <w:right w:val="single" w:sz="18" w:space="0" w:color="auto"/>
            </w:tcBorders>
            <w:shd w:val="clear" w:color="auto" w:fill="auto"/>
          </w:tcPr>
          <w:p w:rsidR="00572FA2" w:rsidRDefault="00181E36" w:rsidP="00572FA2">
            <w:pPr>
              <w:spacing w:after="0" w:line="240" w:lineRule="auto"/>
              <w:jc w:val="both"/>
              <w:rPr>
                <w:rFonts w:ascii="Calibri" w:hAnsi="Calibri" w:cs="Calibri"/>
                <w:color w:val="000000"/>
              </w:rPr>
            </w:pPr>
            <w:r>
              <w:rPr>
                <w:rFonts w:ascii="Calibri" w:hAnsi="Calibri" w:cs="Calibri"/>
                <w:color w:val="000000"/>
              </w:rPr>
              <w:t>Le présent document décrit les phénomènes dangereux liés au rayonnement laser engendrés par les machines à laser, telles que définies en 3.7. Il spécifie également les exigences de sécurité concernant les phénomènes dangereux liés au rayonnement laser, ainsi que les renseignements que doivent fournir les fabricants de ces matériels (en plus de ceux spécifiés par l’IEC 60825).</w:t>
            </w:r>
          </w:p>
          <w:p w:rsidR="00572FA2" w:rsidRDefault="00181E36" w:rsidP="00572FA2">
            <w:pPr>
              <w:spacing w:after="0" w:line="240" w:lineRule="auto"/>
              <w:jc w:val="both"/>
              <w:rPr>
                <w:rFonts w:ascii="Calibri" w:hAnsi="Calibri" w:cs="Calibri"/>
                <w:color w:val="000000"/>
              </w:rPr>
            </w:pPr>
            <w:r>
              <w:rPr>
                <w:rFonts w:ascii="Calibri" w:hAnsi="Calibri" w:cs="Calibri"/>
                <w:color w:val="000000"/>
              </w:rPr>
              <w:t>Les exigences relatives au bruit considéré comme un phénomène dangereux engendré par les machines à laser sont comprises dans l’ISO 11553-3:2013.</w:t>
            </w:r>
          </w:p>
          <w:p w:rsidR="00572FA2" w:rsidRDefault="00181E36" w:rsidP="00572FA2">
            <w:pPr>
              <w:spacing w:after="0" w:line="240" w:lineRule="auto"/>
              <w:jc w:val="both"/>
              <w:rPr>
                <w:rFonts w:ascii="Calibri" w:hAnsi="Calibri" w:cs="Calibri"/>
                <w:color w:val="000000"/>
              </w:rPr>
            </w:pPr>
            <w:r>
              <w:rPr>
                <w:rFonts w:ascii="Calibri" w:hAnsi="Calibri" w:cs="Calibri"/>
                <w:color w:val="000000"/>
              </w:rPr>
              <w:t>Le présent document s’applique aux machines utilisant le rayonnement laser pour le travail des matériaux.</w:t>
            </w:r>
          </w:p>
          <w:p w:rsidR="00572FA2" w:rsidRDefault="00181E36" w:rsidP="00572FA2">
            <w:pPr>
              <w:spacing w:after="0" w:line="240" w:lineRule="auto"/>
              <w:jc w:val="both"/>
              <w:rPr>
                <w:rFonts w:ascii="Calibri" w:hAnsi="Calibri" w:cs="Calibri"/>
                <w:color w:val="000000"/>
              </w:rPr>
            </w:pPr>
            <w:r>
              <w:rPr>
                <w:rFonts w:ascii="Calibri" w:hAnsi="Calibri" w:cs="Calibri"/>
                <w:color w:val="000000"/>
              </w:rPr>
              <w:t>Il ne s’applique pas aux appareils à laser ni aux équipements contenant ces appareils, fabriqués exclusivement et expressément pour les applications suivantes</w:t>
            </w:r>
            <w:r w:rsidR="00572FA2">
              <w:rPr>
                <w:rFonts w:ascii="Calibri" w:hAnsi="Calibri" w:cs="Calibri"/>
                <w:color w:val="000000"/>
              </w:rPr>
              <w:t xml:space="preserve"> </w:t>
            </w:r>
            <w:r>
              <w:rPr>
                <w:rFonts w:ascii="Calibri" w:hAnsi="Calibri" w:cs="Calibri"/>
                <w:color w:val="000000"/>
              </w:rPr>
              <w:t>:</w:t>
            </w:r>
          </w:p>
          <w:p w:rsidR="00572FA2" w:rsidRDefault="00181E36" w:rsidP="00572FA2">
            <w:pPr>
              <w:spacing w:after="0" w:line="240" w:lineRule="auto"/>
              <w:jc w:val="both"/>
              <w:rPr>
                <w:rFonts w:ascii="Calibri" w:hAnsi="Calibri" w:cs="Calibri"/>
                <w:color w:val="000000"/>
              </w:rPr>
            </w:pPr>
            <w:r>
              <w:rPr>
                <w:rFonts w:ascii="Calibri" w:hAnsi="Calibri" w:cs="Calibri"/>
                <w:color w:val="000000"/>
              </w:rPr>
              <w:t>— photolithographie</w:t>
            </w:r>
            <w:r w:rsidR="00572FA2">
              <w:rPr>
                <w:rFonts w:ascii="Calibri" w:hAnsi="Calibri" w:cs="Calibri"/>
                <w:color w:val="000000"/>
              </w:rPr>
              <w:t xml:space="preserve"> </w:t>
            </w:r>
            <w:r>
              <w:rPr>
                <w:rFonts w:ascii="Calibri" w:hAnsi="Calibri" w:cs="Calibri"/>
                <w:color w:val="000000"/>
              </w:rPr>
              <w:t>;</w:t>
            </w:r>
          </w:p>
          <w:p w:rsidR="00572FA2" w:rsidRDefault="00181E36" w:rsidP="00572FA2">
            <w:pPr>
              <w:spacing w:after="0" w:line="240" w:lineRule="auto"/>
              <w:jc w:val="both"/>
              <w:rPr>
                <w:rFonts w:ascii="Calibri" w:hAnsi="Calibri" w:cs="Calibri"/>
                <w:color w:val="000000"/>
              </w:rPr>
            </w:pPr>
            <w:r>
              <w:rPr>
                <w:rFonts w:ascii="Calibri" w:hAnsi="Calibri" w:cs="Calibri"/>
                <w:color w:val="000000"/>
              </w:rPr>
              <w:t>— stéréolithographie</w:t>
            </w:r>
            <w:r w:rsidR="00572FA2">
              <w:rPr>
                <w:rFonts w:ascii="Calibri" w:hAnsi="Calibri" w:cs="Calibri"/>
                <w:color w:val="000000"/>
              </w:rPr>
              <w:t xml:space="preserve"> </w:t>
            </w:r>
            <w:r>
              <w:rPr>
                <w:rFonts w:ascii="Calibri" w:hAnsi="Calibri" w:cs="Calibri"/>
                <w:color w:val="000000"/>
              </w:rPr>
              <w:t>;</w:t>
            </w:r>
          </w:p>
          <w:p w:rsidR="00572FA2" w:rsidRDefault="00181E36" w:rsidP="00572FA2">
            <w:pPr>
              <w:spacing w:after="0" w:line="240" w:lineRule="auto"/>
              <w:jc w:val="both"/>
              <w:rPr>
                <w:rFonts w:ascii="Calibri" w:hAnsi="Calibri" w:cs="Calibri"/>
                <w:color w:val="000000"/>
              </w:rPr>
            </w:pPr>
            <w:r>
              <w:rPr>
                <w:rFonts w:ascii="Calibri" w:hAnsi="Calibri" w:cs="Calibri"/>
                <w:color w:val="000000"/>
              </w:rPr>
              <w:t>— holographie</w:t>
            </w:r>
            <w:r w:rsidR="00572FA2">
              <w:rPr>
                <w:rFonts w:ascii="Calibri" w:hAnsi="Calibri" w:cs="Calibri"/>
                <w:color w:val="000000"/>
              </w:rPr>
              <w:t xml:space="preserve"> </w:t>
            </w:r>
            <w:r>
              <w:rPr>
                <w:rFonts w:ascii="Calibri" w:hAnsi="Calibri" w:cs="Calibri"/>
                <w:color w:val="000000"/>
              </w:rPr>
              <w:t>;</w:t>
            </w:r>
          </w:p>
          <w:p w:rsidR="00572FA2" w:rsidRDefault="00181E36" w:rsidP="00572FA2">
            <w:pPr>
              <w:spacing w:after="0" w:line="240" w:lineRule="auto"/>
              <w:jc w:val="both"/>
              <w:rPr>
                <w:rFonts w:ascii="Calibri" w:hAnsi="Calibri" w:cs="Calibri"/>
                <w:color w:val="000000"/>
              </w:rPr>
            </w:pPr>
            <w:r>
              <w:rPr>
                <w:rFonts w:ascii="Calibri" w:hAnsi="Calibri" w:cs="Calibri"/>
                <w:color w:val="000000"/>
              </w:rPr>
              <w:t>— applications médicales (selon l’IEC 60601-2-22)</w:t>
            </w:r>
            <w:r w:rsidR="00572FA2">
              <w:rPr>
                <w:rFonts w:ascii="Calibri" w:hAnsi="Calibri" w:cs="Calibri"/>
                <w:color w:val="000000"/>
              </w:rPr>
              <w:t xml:space="preserve"> </w:t>
            </w:r>
            <w:r>
              <w:rPr>
                <w:rFonts w:ascii="Calibri" w:hAnsi="Calibri" w:cs="Calibri"/>
                <w:color w:val="000000"/>
              </w:rPr>
              <w:t>;</w:t>
            </w:r>
          </w:p>
          <w:p w:rsidR="00181E36" w:rsidRDefault="00181E36" w:rsidP="00572FA2">
            <w:pPr>
              <w:spacing w:after="0" w:line="240" w:lineRule="auto"/>
              <w:jc w:val="both"/>
              <w:rPr>
                <w:rFonts w:ascii="Calibri" w:hAnsi="Calibri" w:cs="Calibri"/>
                <w:color w:val="000000"/>
              </w:rPr>
            </w:pPr>
            <w:r>
              <w:rPr>
                <w:rFonts w:ascii="Calibri" w:hAnsi="Calibri" w:cs="Calibri"/>
                <w:color w:val="000000"/>
              </w:rPr>
              <w:t>— mise en mémoire de données.</w:t>
            </w:r>
          </w:p>
        </w:tc>
      </w:tr>
      <w:tr w:rsidR="0043547B" w:rsidRPr="0043547B" w:rsidTr="00CB5DC0">
        <w:trPr>
          <w:trHeight w:val="136"/>
          <w:jc w:val="center"/>
        </w:trPr>
        <w:tc>
          <w:tcPr>
            <w:tcW w:w="1820"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126" w:type="dxa"/>
            <w:tcBorders>
              <w:top w:val="single" w:sz="18" w:space="0" w:color="auto"/>
              <w:left w:val="single" w:sz="4" w:space="0" w:color="auto"/>
              <w:bottom w:val="single" w:sz="18" w:space="0" w:color="auto"/>
              <w:right w:val="single" w:sz="18" w:space="0" w:color="auto"/>
            </w:tcBorders>
            <w:shd w:val="clear" w:color="auto" w:fill="B4CD81"/>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8528-2</w:t>
            </w:r>
          </w:p>
        </w:tc>
      </w:tr>
      <w:tr w:rsidR="0043547B" w:rsidRPr="0043547B" w:rsidTr="00CB5DC0">
        <w:trPr>
          <w:trHeight w:val="330"/>
          <w:jc w:val="center"/>
        </w:trPr>
        <w:tc>
          <w:tcPr>
            <w:tcW w:w="1820"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8126" w:type="dxa"/>
            <w:tcBorders>
              <w:top w:val="single" w:sz="18" w:space="0" w:color="auto"/>
              <w:left w:val="single" w:sz="4" w:space="0" w:color="auto"/>
              <w:right w:val="single" w:sz="18" w:space="0" w:color="auto"/>
            </w:tcBorders>
            <w:shd w:val="clear" w:color="auto" w:fill="FFFF99"/>
            <w:noWrap/>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8528-2</w:t>
            </w:r>
          </w:p>
        </w:tc>
      </w:tr>
      <w:tr w:rsidR="0043547B" w:rsidRPr="0043547B" w:rsidTr="00CB5DC0">
        <w:trPr>
          <w:trHeight w:val="374"/>
          <w:jc w:val="center"/>
        </w:trPr>
        <w:tc>
          <w:tcPr>
            <w:tcW w:w="1820"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126" w:type="dxa"/>
            <w:tcBorders>
              <w:left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Groupes électrogènes à courant alternatif entraînés par moteurs alternatifs à combustion interne - Partie 2 : Moteurs</w:t>
            </w:r>
          </w:p>
        </w:tc>
      </w:tr>
      <w:tr w:rsidR="0043547B" w:rsidRPr="0043547B" w:rsidTr="00CB5DC0">
        <w:trPr>
          <w:trHeight w:val="1964"/>
          <w:jc w:val="center"/>
        </w:trPr>
        <w:tc>
          <w:tcPr>
            <w:tcW w:w="1820"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126" w:type="dxa"/>
            <w:tcBorders>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partie de l'ISO 8528 spécifie les principales caractéristiques d'un moteur alternatif à combustion interne (RIC) utilisé pour l'entraînement de groupes électrogènes à courant alternatif.</w:t>
            </w:r>
            <w:r w:rsidRPr="0043547B">
              <w:rPr>
                <w:rFonts w:eastAsia="Times New Roman" w:cstheme="minorHAnsi"/>
                <w:sz w:val="24"/>
                <w:szCs w:val="24"/>
                <w:lang w:eastAsia="fr-FR"/>
              </w:rPr>
              <w:br/>
              <w:t>Elle est applicable aux moteurs pour groupes électrogènes à courant alternatif entraînés par moteurs alternatifs à combustion interne utilisés pour des applications terrestres et marines, à l'exclusion des groupes électrogènes utilisés à bord des aéronefs ou pour la propulsion de véhicules terrestres et de locomotives.</w:t>
            </w:r>
          </w:p>
        </w:tc>
      </w:tr>
      <w:tr w:rsidR="0043547B" w:rsidRPr="0043547B" w:rsidTr="00CB5DC0">
        <w:trPr>
          <w:trHeight w:val="138"/>
          <w:jc w:val="center"/>
        </w:trPr>
        <w:tc>
          <w:tcPr>
            <w:tcW w:w="1820"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126" w:type="dxa"/>
            <w:tcBorders>
              <w:top w:val="single" w:sz="18" w:space="0" w:color="auto"/>
              <w:left w:val="single" w:sz="4" w:space="0" w:color="auto"/>
              <w:bottom w:val="single" w:sz="18" w:space="0" w:color="auto"/>
              <w:right w:val="single" w:sz="18" w:space="0" w:color="auto"/>
            </w:tcBorders>
            <w:shd w:val="clear" w:color="auto" w:fill="B4CD81"/>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8528-3</w:t>
            </w:r>
          </w:p>
        </w:tc>
      </w:tr>
      <w:tr w:rsidR="0043547B" w:rsidRPr="0043547B" w:rsidTr="00CB5DC0">
        <w:trPr>
          <w:trHeight w:val="330"/>
          <w:jc w:val="center"/>
        </w:trPr>
        <w:tc>
          <w:tcPr>
            <w:tcW w:w="1820" w:type="dxa"/>
            <w:tcBorders>
              <w:top w:val="single" w:sz="18" w:space="0" w:color="auto"/>
              <w:left w:val="single" w:sz="18" w:space="0" w:color="auto"/>
              <w:bottom w:val="single" w:sz="4" w:space="0" w:color="auto"/>
              <w:right w:val="single" w:sz="4" w:space="0" w:color="auto"/>
            </w:tcBorders>
            <w:shd w:val="clear" w:color="auto" w:fill="FFFFCC"/>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8126" w:type="dxa"/>
            <w:tcBorders>
              <w:top w:val="single" w:sz="18" w:space="0" w:color="auto"/>
              <w:left w:val="single" w:sz="4" w:space="0" w:color="auto"/>
              <w:right w:val="single" w:sz="18" w:space="0" w:color="auto"/>
            </w:tcBorders>
            <w:shd w:val="clear" w:color="auto" w:fill="FFFFCC"/>
            <w:noWrap/>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8528-3</w:t>
            </w:r>
          </w:p>
        </w:tc>
      </w:tr>
      <w:tr w:rsidR="0043547B" w:rsidRPr="0043547B" w:rsidTr="00CB5DC0">
        <w:trPr>
          <w:trHeight w:val="446"/>
          <w:jc w:val="center"/>
        </w:trPr>
        <w:tc>
          <w:tcPr>
            <w:tcW w:w="1820"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126" w:type="dxa"/>
            <w:tcBorders>
              <w:left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Groupes électrogènes à courant alternatif entraînés par moteurs alternatifs à combustion interne - Partie 3 : Alternateurs pour groupes électrogènes</w:t>
            </w:r>
          </w:p>
        </w:tc>
      </w:tr>
      <w:tr w:rsidR="0043547B" w:rsidRPr="0043547B" w:rsidTr="00F46300">
        <w:trPr>
          <w:trHeight w:val="701"/>
          <w:jc w:val="center"/>
        </w:trPr>
        <w:tc>
          <w:tcPr>
            <w:tcW w:w="1820"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126" w:type="dxa"/>
            <w:tcBorders>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partie de l'ISO 8528 spécifie les principales caractéristiques des alternateurs équipés de leur régulateur de tension utilisés pour des groupes électrogènes à courant alternatif.</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complète les exigences de la CEI 60034-1.</w:t>
            </w:r>
          </w:p>
          <w:p w:rsidR="00A744C1" w:rsidRPr="0043547B" w:rsidRDefault="00904E52" w:rsidP="00360635">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partie de l'ISO 8528 est applicable aux alternateurs pour groupes électrogènes à courant alternatif entraînés par moteurs alternatifs à combustion interne utilisés pour des applications terrestres et marines, à l'exclusion des groupes électrogènes utilisés à bord des aéronefs ou pour la propulsion de véhicules terrestres et de locomotives.</w:t>
            </w:r>
          </w:p>
        </w:tc>
      </w:tr>
      <w:tr w:rsidR="0043547B" w:rsidRPr="0043547B" w:rsidTr="00CB5DC0">
        <w:trPr>
          <w:trHeight w:val="100"/>
          <w:jc w:val="center"/>
        </w:trPr>
        <w:tc>
          <w:tcPr>
            <w:tcW w:w="1820"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126" w:type="dxa"/>
            <w:tcBorders>
              <w:top w:val="single" w:sz="18" w:space="0" w:color="auto"/>
              <w:left w:val="single" w:sz="4" w:space="0" w:color="auto"/>
              <w:bottom w:val="single" w:sz="18" w:space="0" w:color="auto"/>
              <w:right w:val="single" w:sz="18" w:space="0" w:color="auto"/>
            </w:tcBorders>
            <w:shd w:val="clear" w:color="auto" w:fill="B4CD81"/>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8528-4</w:t>
            </w:r>
          </w:p>
        </w:tc>
      </w:tr>
      <w:tr w:rsidR="0043547B" w:rsidRPr="0043547B" w:rsidTr="00CB5DC0">
        <w:trPr>
          <w:trHeight w:val="190"/>
          <w:jc w:val="center"/>
        </w:trPr>
        <w:tc>
          <w:tcPr>
            <w:tcW w:w="1820" w:type="dxa"/>
            <w:tcBorders>
              <w:top w:val="single" w:sz="18" w:space="0" w:color="auto"/>
              <w:left w:val="single" w:sz="18" w:space="0" w:color="auto"/>
              <w:bottom w:val="single" w:sz="4" w:space="0" w:color="auto"/>
              <w:right w:val="single" w:sz="4" w:space="0" w:color="auto"/>
            </w:tcBorders>
            <w:shd w:val="clear" w:color="auto" w:fill="FFFFCC"/>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8126" w:type="dxa"/>
            <w:tcBorders>
              <w:top w:val="single" w:sz="18" w:space="0" w:color="auto"/>
              <w:left w:val="single" w:sz="4" w:space="0" w:color="auto"/>
              <w:right w:val="single" w:sz="18" w:space="0" w:color="auto"/>
            </w:tcBorders>
            <w:shd w:val="clear" w:color="auto" w:fill="FFFFCC"/>
            <w:noWrap/>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8528-4</w:t>
            </w:r>
          </w:p>
        </w:tc>
      </w:tr>
      <w:tr w:rsidR="0043547B" w:rsidRPr="0043547B" w:rsidTr="00CB5DC0">
        <w:trPr>
          <w:trHeight w:val="408"/>
          <w:jc w:val="center"/>
        </w:trPr>
        <w:tc>
          <w:tcPr>
            <w:tcW w:w="1820"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126" w:type="dxa"/>
            <w:tcBorders>
              <w:left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Groupes électrogènes à courant alternatif entraînés par moteurs alternatifs à combustion interne - Partie 4 : Appareillage de commande et de coupure</w:t>
            </w:r>
          </w:p>
        </w:tc>
      </w:tr>
      <w:tr w:rsidR="0043547B" w:rsidRPr="0043547B" w:rsidTr="00CB5DC0">
        <w:trPr>
          <w:trHeight w:val="1696"/>
          <w:jc w:val="center"/>
        </w:trPr>
        <w:tc>
          <w:tcPr>
            <w:tcW w:w="1820"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Domaine d’application :</w:t>
            </w:r>
          </w:p>
        </w:tc>
        <w:tc>
          <w:tcPr>
            <w:tcW w:w="8126" w:type="dxa"/>
            <w:tcBorders>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partie de l'ISO 8528 spécifie les critères relatifs à l'appareillage de commande et de coupure pour les groupes électrogènes entraînés par moteurs alternatifs à combustion interne. Elle est applicable aux groupes électrogènes à courant alternatif entraînés par moteurs alternatifs à combustion interne utilisés pour des applications terrestres et marines, à l'exclusion des groupes électrogènes utilisés à bord des aéronefs ou pour la propulsion de véhicules terrestres et de locomotives.</w:t>
            </w:r>
          </w:p>
        </w:tc>
      </w:tr>
      <w:tr w:rsidR="0043547B" w:rsidRPr="0043547B" w:rsidTr="00CB5DC0">
        <w:trPr>
          <w:trHeight w:val="330"/>
          <w:jc w:val="center"/>
        </w:trPr>
        <w:tc>
          <w:tcPr>
            <w:tcW w:w="1820"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126" w:type="dxa"/>
            <w:tcBorders>
              <w:top w:val="single" w:sz="18" w:space="0" w:color="auto"/>
              <w:left w:val="single" w:sz="4" w:space="0" w:color="auto"/>
              <w:bottom w:val="single" w:sz="18" w:space="0" w:color="auto"/>
              <w:right w:val="single" w:sz="18" w:space="0" w:color="auto"/>
            </w:tcBorders>
            <w:shd w:val="clear" w:color="auto" w:fill="B4CD81"/>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8528-8</w:t>
            </w:r>
          </w:p>
        </w:tc>
      </w:tr>
      <w:tr w:rsidR="0043547B" w:rsidRPr="0043547B" w:rsidTr="00CB5DC0">
        <w:trPr>
          <w:trHeight w:val="330"/>
          <w:jc w:val="center"/>
        </w:trPr>
        <w:tc>
          <w:tcPr>
            <w:tcW w:w="1820" w:type="dxa"/>
            <w:tcBorders>
              <w:top w:val="single" w:sz="18" w:space="0" w:color="auto"/>
              <w:left w:val="single" w:sz="18" w:space="0" w:color="auto"/>
              <w:bottom w:val="single" w:sz="4" w:space="0" w:color="auto"/>
              <w:right w:val="single" w:sz="4" w:space="0" w:color="auto"/>
            </w:tcBorders>
            <w:shd w:val="clear" w:color="auto" w:fill="FFFFCC"/>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8126" w:type="dxa"/>
            <w:tcBorders>
              <w:top w:val="single" w:sz="18" w:space="0" w:color="auto"/>
              <w:left w:val="single" w:sz="4" w:space="0" w:color="auto"/>
              <w:right w:val="single" w:sz="18" w:space="0" w:color="auto"/>
            </w:tcBorders>
            <w:shd w:val="clear" w:color="auto" w:fill="FFFFCC"/>
            <w:noWrap/>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8528-8</w:t>
            </w:r>
          </w:p>
        </w:tc>
      </w:tr>
      <w:tr w:rsidR="0043547B" w:rsidRPr="0043547B" w:rsidTr="00CB5DC0">
        <w:trPr>
          <w:trHeight w:val="615"/>
          <w:jc w:val="center"/>
        </w:trPr>
        <w:tc>
          <w:tcPr>
            <w:tcW w:w="1820"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126" w:type="dxa"/>
            <w:tcBorders>
              <w:left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Groupes électrogènes à courant alternatif entraînés par moteurs alternatifs à combustion interne - Partie 8 : Prescriptions et essais pour groupes électrogènes de faible puissance</w:t>
            </w:r>
          </w:p>
        </w:tc>
      </w:tr>
      <w:tr w:rsidR="0043547B" w:rsidRPr="0043547B" w:rsidTr="00CB5DC0">
        <w:trPr>
          <w:trHeight w:val="1410"/>
          <w:jc w:val="center"/>
        </w:trPr>
        <w:tc>
          <w:tcPr>
            <w:tcW w:w="1820"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126" w:type="dxa"/>
            <w:tcBorders>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partie de l'ISO 8528 définit les prescrip</w:t>
            </w:r>
            <w:r w:rsidRPr="0043547B">
              <w:rPr>
                <w:rFonts w:eastAsia="Times New Roman" w:cstheme="minorHAnsi"/>
                <w:sz w:val="24"/>
                <w:szCs w:val="24"/>
                <w:lang w:eastAsia="fr-FR"/>
              </w:rPr>
              <w:softHyphen/>
              <w:t>tions, les performances minimales et les essais de type pour les groupes électrogènes de faible puis</w:t>
            </w:r>
            <w:r w:rsidRPr="0043547B">
              <w:rPr>
                <w:rFonts w:eastAsia="Times New Roman" w:cstheme="minorHAnsi"/>
                <w:sz w:val="24"/>
                <w:szCs w:val="24"/>
                <w:lang w:eastAsia="fr-FR"/>
              </w:rPr>
              <w:softHyphen/>
              <w:t xml:space="preserve">sance entraînés par moteurs alternatifs à combustion interne pour des applications </w:t>
            </w:r>
            <w:r w:rsidR="004C1604" w:rsidRPr="0043547B">
              <w:rPr>
                <w:rFonts w:eastAsia="Times New Roman" w:cstheme="minorHAnsi"/>
                <w:sz w:val="24"/>
                <w:szCs w:val="24"/>
                <w:lang w:eastAsia="fr-FR"/>
              </w:rPr>
              <w:t>terrestres</w:t>
            </w:r>
            <w:r w:rsidRPr="0043547B">
              <w:rPr>
                <w:rFonts w:eastAsia="Times New Roman" w:cstheme="minorHAnsi"/>
                <w:sz w:val="24"/>
                <w:szCs w:val="24"/>
                <w:lang w:eastAsia="fr-FR"/>
              </w:rPr>
              <w:t xml:space="preserve"> et marines (domestiques, de loisirs ou industrielles) à l'exclusion des groupes électrogènes utilisés à bord des aéro</w:t>
            </w:r>
            <w:r w:rsidRPr="0043547B">
              <w:rPr>
                <w:rFonts w:eastAsia="Times New Roman" w:cstheme="minorHAnsi"/>
                <w:sz w:val="24"/>
                <w:szCs w:val="24"/>
                <w:lang w:eastAsia="fr-FR"/>
              </w:rPr>
              <w:softHyphen/>
              <w:t>nefs.</w:t>
            </w:r>
          </w:p>
          <w:p w:rsidR="004C1604" w:rsidRPr="0043547B" w:rsidRDefault="004C1604" w:rsidP="004C1604">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Des groupes électrogènes pour applications spéciales ou de puissance assignée supérieure, mais confor</w:t>
            </w:r>
            <w:r w:rsidRPr="0043547B">
              <w:rPr>
                <w:rFonts w:eastAsia="Times New Roman" w:cstheme="minorHAnsi"/>
                <w:sz w:val="24"/>
                <w:szCs w:val="24"/>
                <w:lang w:eastAsia="fr-FR"/>
              </w:rPr>
              <w:softHyphen/>
              <w:t>mes aux caractéristiques techniques spéciales mentionnées ci-dessus, peuvent aussi être soumis aux essais de la partie de l'ISO 8528, par accord entre le fabricant et le client. Si des stipulations supplémentaires sont requises pour certaines applica</w:t>
            </w:r>
            <w:r w:rsidRPr="0043547B">
              <w:rPr>
                <w:rFonts w:eastAsia="Times New Roman" w:cstheme="minorHAnsi"/>
                <w:sz w:val="24"/>
                <w:szCs w:val="24"/>
                <w:lang w:eastAsia="fr-FR"/>
              </w:rPr>
              <w:softHyphen/>
              <w:t>tions. cela doit être fait en prenant la partie de l'ISO 8528 comme base.</w:t>
            </w:r>
          </w:p>
          <w:p w:rsidR="00904E52" w:rsidRPr="0043547B" w:rsidRDefault="004C1604" w:rsidP="004C1604">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De plus, elle donne les prescriptions de sécurité destinées à protéger l'utilisateur contre tout danger.</w:t>
            </w:r>
          </w:p>
        </w:tc>
      </w:tr>
      <w:tr w:rsidR="0043547B" w:rsidRPr="0043547B" w:rsidTr="00CB5DC0">
        <w:trPr>
          <w:trHeight w:val="330"/>
          <w:jc w:val="center"/>
        </w:trPr>
        <w:tc>
          <w:tcPr>
            <w:tcW w:w="1820"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126" w:type="dxa"/>
            <w:tcBorders>
              <w:top w:val="single" w:sz="18" w:space="0" w:color="auto"/>
              <w:left w:val="single" w:sz="4" w:space="0" w:color="auto"/>
              <w:bottom w:val="single" w:sz="18" w:space="0" w:color="auto"/>
              <w:right w:val="single" w:sz="18" w:space="0" w:color="auto"/>
            </w:tcBorders>
            <w:shd w:val="clear" w:color="auto" w:fill="B4CD81"/>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CEI 8528-11</w:t>
            </w:r>
          </w:p>
        </w:tc>
      </w:tr>
      <w:tr w:rsidR="0043547B" w:rsidRPr="0043547B" w:rsidTr="00CB5DC0">
        <w:trPr>
          <w:trHeight w:val="330"/>
          <w:jc w:val="center"/>
        </w:trPr>
        <w:tc>
          <w:tcPr>
            <w:tcW w:w="1820"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8126" w:type="dxa"/>
            <w:tcBorders>
              <w:top w:val="single" w:sz="18" w:space="0" w:color="auto"/>
              <w:left w:val="single" w:sz="4" w:space="0" w:color="auto"/>
              <w:right w:val="single" w:sz="18" w:space="0" w:color="auto"/>
            </w:tcBorders>
            <w:shd w:val="clear" w:color="auto" w:fill="FFFF99"/>
            <w:noWrap/>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CEI 8528-11</w:t>
            </w:r>
          </w:p>
        </w:tc>
      </w:tr>
      <w:tr w:rsidR="0043547B" w:rsidRPr="0043547B" w:rsidTr="00CB5DC0">
        <w:trPr>
          <w:trHeight w:val="915"/>
          <w:jc w:val="center"/>
        </w:trPr>
        <w:tc>
          <w:tcPr>
            <w:tcW w:w="1820"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126" w:type="dxa"/>
            <w:tcBorders>
              <w:left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Groupes électrogènes à courant alternatif entraînés par moteurs alternatifs à combustion interne Partie 11 : Systèmes électriques alternatifs sans interruption Exigences de performance et méthodes d'essai</w:t>
            </w:r>
          </w:p>
        </w:tc>
      </w:tr>
      <w:tr w:rsidR="0043547B" w:rsidRPr="0043547B" w:rsidTr="00CB5DC0">
        <w:trPr>
          <w:trHeight w:val="560"/>
          <w:jc w:val="center"/>
        </w:trPr>
        <w:tc>
          <w:tcPr>
            <w:tcW w:w="1820"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126" w:type="dxa"/>
            <w:tcBorders>
              <w:left w:val="single" w:sz="4" w:space="0" w:color="auto"/>
              <w:bottom w:val="single" w:sz="18" w:space="0" w:color="auto"/>
              <w:right w:val="single" w:sz="18" w:space="0" w:color="auto"/>
            </w:tcBorders>
            <w:shd w:val="clear" w:color="auto" w:fill="auto"/>
            <w:vAlign w:val="center"/>
            <w:hideMark/>
          </w:tcPr>
          <w:p w:rsidR="00830FEB" w:rsidRDefault="00904E52" w:rsidP="00CA080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qui fait partie de la série ISO 8528, précise les critères, y compris la performance et méthodes d'essai, pour les systèmes d'alimentation sans coupure (UPS) rotatives découlant d'une combinaison de machines tournantes électriques et mécaniques.</w:t>
            </w:r>
          </w:p>
          <w:p w:rsidR="00904E52" w:rsidRPr="0043547B" w:rsidRDefault="00CA080D" w:rsidP="00CA080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Pour certaines applications spécifiques (par exemple, fournitures hospitaliers essentiels, offshore, applications non stationnaires, immeubles de grande hauteur, nucléaires, etc.) des exigences supplémentaires peuvent être nécessaires. Les dispositions de la partie de l'ISO 8528 devraient être utilisées comme une base.</w:t>
            </w:r>
          </w:p>
        </w:tc>
      </w:tr>
      <w:tr w:rsidR="0043547B" w:rsidRPr="0043547B" w:rsidTr="00CB5DC0">
        <w:trPr>
          <w:trHeight w:val="330"/>
          <w:jc w:val="center"/>
        </w:trPr>
        <w:tc>
          <w:tcPr>
            <w:tcW w:w="1820"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8126" w:type="dxa"/>
            <w:tcBorders>
              <w:top w:val="single" w:sz="18" w:space="0" w:color="auto"/>
              <w:left w:val="single" w:sz="4" w:space="0" w:color="auto"/>
              <w:bottom w:val="single" w:sz="18" w:space="0" w:color="auto"/>
              <w:right w:val="single" w:sz="18" w:space="0" w:color="auto"/>
            </w:tcBorders>
            <w:shd w:val="clear" w:color="auto" w:fill="B4CD81"/>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8528-12</w:t>
            </w:r>
          </w:p>
        </w:tc>
      </w:tr>
      <w:tr w:rsidR="0043547B" w:rsidRPr="0043547B" w:rsidTr="00CB5DC0">
        <w:trPr>
          <w:trHeight w:val="330"/>
          <w:jc w:val="center"/>
        </w:trPr>
        <w:tc>
          <w:tcPr>
            <w:tcW w:w="1820"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8126" w:type="dxa"/>
            <w:tcBorders>
              <w:top w:val="single" w:sz="18" w:space="0" w:color="auto"/>
              <w:left w:val="single" w:sz="4" w:space="0" w:color="auto"/>
              <w:right w:val="single" w:sz="18" w:space="0" w:color="auto"/>
            </w:tcBorders>
            <w:shd w:val="clear" w:color="auto" w:fill="FFFF99"/>
            <w:noWrap/>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8528-12</w:t>
            </w:r>
          </w:p>
        </w:tc>
      </w:tr>
      <w:tr w:rsidR="0043547B" w:rsidRPr="0043547B" w:rsidTr="00CB5DC0">
        <w:trPr>
          <w:trHeight w:val="720"/>
          <w:jc w:val="center"/>
        </w:trPr>
        <w:tc>
          <w:tcPr>
            <w:tcW w:w="1820"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126" w:type="dxa"/>
            <w:tcBorders>
              <w:left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Groupes électrogènes à courant alternatif entraînés par moteurs alternatifs à combustion interne - Partie 12 : Alimentation électrique de secours des services de sécurité</w:t>
            </w:r>
          </w:p>
        </w:tc>
      </w:tr>
      <w:tr w:rsidR="0043547B" w:rsidRPr="0043547B" w:rsidTr="00CB5DC0">
        <w:trPr>
          <w:trHeight w:val="418"/>
          <w:jc w:val="center"/>
        </w:trPr>
        <w:tc>
          <w:tcPr>
            <w:tcW w:w="1820"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126" w:type="dxa"/>
            <w:tcBorders>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partie de I’ISO 8528 est applicable aux groupes électrogènes entraînés par moteurs alternatifs à combustion interne, destinés à l’alimentation électrique de secours des services de sécurité.</w:t>
            </w:r>
          </w:p>
          <w:p w:rsidR="00904E52" w:rsidRPr="0043547B" w:rsidRDefault="001050AB"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Elle est applicable, par exemple, aux équipements de sécurité dans les hôpitaux, les immeubles de grande hauteur, les lieux de rassemblement, etc. La partie de </w:t>
            </w:r>
            <w:r w:rsidRPr="0043547B">
              <w:rPr>
                <w:rFonts w:eastAsia="Times New Roman" w:cstheme="minorHAnsi"/>
                <w:sz w:val="24"/>
                <w:szCs w:val="24"/>
                <w:lang w:eastAsia="fr-FR"/>
              </w:rPr>
              <w:lastRenderedPageBreak/>
              <w:t>I’ISO 8528 établit les exigences particulières concernant les performances, la conception et la maintenance des centrales de puissance utilisées dans les applications mentionnées ci-dessus, en tenant compte des dispositions de I’ISO 8528-1 à I’ISO 8528-6 et de I’ISO 8528-10.</w:t>
            </w:r>
          </w:p>
        </w:tc>
      </w:tr>
      <w:tr w:rsidR="0043547B" w:rsidRPr="0043547B" w:rsidTr="00CB5DC0">
        <w:trPr>
          <w:trHeight w:val="315"/>
          <w:jc w:val="center"/>
        </w:trPr>
        <w:tc>
          <w:tcPr>
            <w:tcW w:w="1820"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8126" w:type="dxa"/>
            <w:tcBorders>
              <w:top w:val="single" w:sz="18" w:space="0" w:color="auto"/>
              <w:left w:val="single" w:sz="4" w:space="0" w:color="auto"/>
              <w:bottom w:val="single" w:sz="18" w:space="0" w:color="auto"/>
              <w:right w:val="single" w:sz="18" w:space="0" w:color="auto"/>
            </w:tcBorders>
            <w:shd w:val="clear" w:color="auto" w:fill="B4CD81"/>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06.1.100</w:t>
            </w:r>
          </w:p>
        </w:tc>
      </w:tr>
      <w:tr w:rsidR="0043547B" w:rsidRPr="0043547B" w:rsidTr="00CB5DC0">
        <w:trPr>
          <w:trHeight w:val="315"/>
          <w:jc w:val="center"/>
        </w:trPr>
        <w:tc>
          <w:tcPr>
            <w:tcW w:w="1820"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8126" w:type="dxa"/>
            <w:tcBorders>
              <w:top w:val="single" w:sz="18" w:space="0" w:color="auto"/>
              <w:left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Installations électriques à basse tension – Généralités </w:t>
            </w:r>
          </w:p>
        </w:tc>
      </w:tr>
      <w:tr w:rsidR="0043547B" w:rsidRPr="0043547B" w:rsidTr="00CB5DC0">
        <w:trPr>
          <w:trHeight w:val="843"/>
          <w:jc w:val="center"/>
        </w:trPr>
        <w:tc>
          <w:tcPr>
            <w:tcW w:w="1820"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8126" w:type="dxa"/>
            <w:tcBorders>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principalement aux installations électriques des :</w:t>
            </w:r>
          </w:p>
          <w:p w:rsidR="00904E52" w:rsidRPr="0043547B" w:rsidRDefault="00904E52" w:rsidP="00360635">
            <w:pPr>
              <w:pStyle w:val="Paragraphedeliste"/>
              <w:numPr>
                <w:ilvl w:val="0"/>
                <w:numId w:val="14"/>
              </w:numPr>
              <w:spacing w:after="0" w:line="240" w:lineRule="auto"/>
              <w:ind w:left="474"/>
              <w:jc w:val="both"/>
              <w:rPr>
                <w:rFonts w:eastAsia="Times New Roman" w:cstheme="minorHAnsi"/>
                <w:sz w:val="24"/>
                <w:szCs w:val="24"/>
                <w:lang w:eastAsia="fr-FR"/>
              </w:rPr>
            </w:pPr>
            <w:r w:rsidRPr="0043547B">
              <w:rPr>
                <w:rFonts w:eastAsia="Times New Roman" w:cstheme="minorHAnsi"/>
                <w:sz w:val="24"/>
                <w:szCs w:val="24"/>
                <w:lang w:eastAsia="fr-FR"/>
              </w:rPr>
              <w:t>bâtiments à usage d'habitation ;</w:t>
            </w:r>
          </w:p>
          <w:p w:rsidR="00904E52" w:rsidRPr="0043547B" w:rsidRDefault="00904E52" w:rsidP="00360635">
            <w:pPr>
              <w:pStyle w:val="Paragraphedeliste"/>
              <w:numPr>
                <w:ilvl w:val="0"/>
                <w:numId w:val="14"/>
              </w:numPr>
              <w:spacing w:after="0" w:line="240" w:lineRule="auto"/>
              <w:ind w:left="474"/>
              <w:jc w:val="both"/>
              <w:rPr>
                <w:rFonts w:eastAsia="Times New Roman" w:cstheme="minorHAnsi"/>
                <w:sz w:val="24"/>
                <w:szCs w:val="24"/>
                <w:lang w:eastAsia="fr-FR"/>
              </w:rPr>
            </w:pPr>
            <w:r w:rsidRPr="0043547B">
              <w:rPr>
                <w:rFonts w:eastAsia="Times New Roman" w:cstheme="minorHAnsi"/>
                <w:sz w:val="24"/>
                <w:szCs w:val="24"/>
                <w:lang w:eastAsia="fr-FR"/>
              </w:rPr>
              <w:t>bâtiments à usage commercial ;</w:t>
            </w:r>
          </w:p>
          <w:p w:rsidR="00904E52" w:rsidRPr="0043547B" w:rsidRDefault="00904E52" w:rsidP="00360635">
            <w:pPr>
              <w:pStyle w:val="Paragraphedeliste"/>
              <w:numPr>
                <w:ilvl w:val="0"/>
                <w:numId w:val="14"/>
              </w:numPr>
              <w:spacing w:after="0" w:line="240" w:lineRule="auto"/>
              <w:ind w:left="474"/>
              <w:jc w:val="both"/>
              <w:rPr>
                <w:rFonts w:eastAsia="Times New Roman" w:cstheme="minorHAnsi"/>
                <w:sz w:val="24"/>
                <w:szCs w:val="24"/>
                <w:lang w:eastAsia="fr-FR"/>
              </w:rPr>
            </w:pPr>
            <w:r w:rsidRPr="0043547B">
              <w:rPr>
                <w:rFonts w:eastAsia="Times New Roman" w:cstheme="minorHAnsi"/>
                <w:sz w:val="24"/>
                <w:szCs w:val="24"/>
                <w:lang w:eastAsia="fr-FR"/>
              </w:rPr>
              <w:t>établissements recevant du public ;</w:t>
            </w:r>
          </w:p>
          <w:p w:rsidR="00904E52" w:rsidRPr="0043547B" w:rsidRDefault="00904E52" w:rsidP="00360635">
            <w:pPr>
              <w:pStyle w:val="Paragraphedeliste"/>
              <w:numPr>
                <w:ilvl w:val="0"/>
                <w:numId w:val="14"/>
              </w:numPr>
              <w:spacing w:after="0" w:line="240" w:lineRule="auto"/>
              <w:ind w:left="474"/>
              <w:jc w:val="both"/>
              <w:rPr>
                <w:rFonts w:eastAsia="Times New Roman" w:cstheme="minorHAnsi"/>
                <w:sz w:val="24"/>
                <w:szCs w:val="24"/>
                <w:lang w:eastAsia="fr-FR"/>
              </w:rPr>
            </w:pPr>
            <w:r w:rsidRPr="0043547B">
              <w:rPr>
                <w:rFonts w:eastAsia="Times New Roman" w:cstheme="minorHAnsi"/>
                <w:sz w:val="24"/>
                <w:szCs w:val="24"/>
                <w:lang w:eastAsia="fr-FR"/>
              </w:rPr>
              <w:t>établissements industriels ;</w:t>
            </w:r>
          </w:p>
          <w:p w:rsidR="00904E52" w:rsidRPr="0043547B" w:rsidRDefault="00904E52" w:rsidP="00360635">
            <w:pPr>
              <w:pStyle w:val="Paragraphedeliste"/>
              <w:numPr>
                <w:ilvl w:val="0"/>
                <w:numId w:val="14"/>
              </w:numPr>
              <w:spacing w:after="0" w:line="240" w:lineRule="auto"/>
              <w:ind w:left="474"/>
              <w:jc w:val="both"/>
              <w:rPr>
                <w:rFonts w:eastAsia="Times New Roman" w:cstheme="minorHAnsi"/>
                <w:sz w:val="24"/>
                <w:szCs w:val="24"/>
                <w:lang w:eastAsia="fr-FR"/>
              </w:rPr>
            </w:pPr>
            <w:r w:rsidRPr="0043547B">
              <w:rPr>
                <w:rFonts w:eastAsia="Times New Roman" w:cstheme="minorHAnsi"/>
                <w:sz w:val="24"/>
                <w:szCs w:val="24"/>
                <w:lang w:eastAsia="fr-FR"/>
              </w:rPr>
              <w:t>établissements agricoles et horticoles ;</w:t>
            </w:r>
          </w:p>
          <w:p w:rsidR="00904E52" w:rsidRPr="0043547B" w:rsidRDefault="00904E52" w:rsidP="00360635">
            <w:pPr>
              <w:pStyle w:val="Paragraphedeliste"/>
              <w:numPr>
                <w:ilvl w:val="0"/>
                <w:numId w:val="14"/>
              </w:numPr>
              <w:spacing w:after="0" w:line="240" w:lineRule="auto"/>
              <w:ind w:left="474"/>
              <w:jc w:val="both"/>
              <w:rPr>
                <w:rFonts w:eastAsia="Times New Roman" w:cstheme="minorHAnsi"/>
                <w:sz w:val="24"/>
                <w:szCs w:val="24"/>
                <w:lang w:eastAsia="fr-FR"/>
              </w:rPr>
            </w:pPr>
            <w:r w:rsidRPr="0043547B">
              <w:rPr>
                <w:rFonts w:eastAsia="Times New Roman" w:cstheme="minorHAnsi"/>
                <w:sz w:val="24"/>
                <w:szCs w:val="24"/>
                <w:lang w:eastAsia="fr-FR"/>
              </w:rPr>
              <w:t>bâtiments préfabriqués ;</w:t>
            </w:r>
          </w:p>
          <w:p w:rsidR="00904E52" w:rsidRPr="0043547B" w:rsidRDefault="00904E52" w:rsidP="00360635">
            <w:pPr>
              <w:pStyle w:val="Paragraphedeliste"/>
              <w:numPr>
                <w:ilvl w:val="0"/>
                <w:numId w:val="14"/>
              </w:numPr>
              <w:spacing w:after="0" w:line="240" w:lineRule="auto"/>
              <w:ind w:left="474"/>
              <w:jc w:val="both"/>
              <w:rPr>
                <w:rFonts w:eastAsia="Times New Roman" w:cstheme="minorHAnsi"/>
                <w:sz w:val="24"/>
                <w:szCs w:val="24"/>
                <w:lang w:eastAsia="fr-FR"/>
              </w:rPr>
            </w:pPr>
            <w:r w:rsidRPr="0043547B">
              <w:rPr>
                <w:rFonts w:eastAsia="Times New Roman" w:cstheme="minorHAnsi"/>
                <w:sz w:val="24"/>
                <w:szCs w:val="24"/>
                <w:lang w:eastAsia="fr-FR"/>
              </w:rPr>
              <w:t>caravanes et terrains de campement et installations analogues ;</w:t>
            </w:r>
          </w:p>
          <w:p w:rsidR="00904E52" w:rsidRPr="0043547B" w:rsidRDefault="00904E52" w:rsidP="00360635">
            <w:pPr>
              <w:pStyle w:val="Paragraphedeliste"/>
              <w:numPr>
                <w:ilvl w:val="0"/>
                <w:numId w:val="14"/>
              </w:numPr>
              <w:spacing w:after="0" w:line="240" w:lineRule="auto"/>
              <w:ind w:left="474"/>
              <w:jc w:val="both"/>
              <w:rPr>
                <w:rFonts w:eastAsia="Times New Roman" w:cstheme="minorHAnsi"/>
                <w:sz w:val="24"/>
                <w:szCs w:val="24"/>
                <w:lang w:eastAsia="fr-FR"/>
              </w:rPr>
            </w:pPr>
            <w:r w:rsidRPr="0043547B">
              <w:rPr>
                <w:rFonts w:eastAsia="Times New Roman" w:cstheme="minorHAnsi"/>
                <w:sz w:val="24"/>
                <w:szCs w:val="24"/>
                <w:lang w:eastAsia="fr-FR"/>
              </w:rPr>
              <w:t>chantiers, fêtes foraines, foires, expositions et autres installations temporaires ;</w:t>
            </w:r>
          </w:p>
          <w:p w:rsidR="00904E52" w:rsidRPr="0043547B" w:rsidRDefault="00904E52" w:rsidP="00360635">
            <w:pPr>
              <w:pStyle w:val="Paragraphedeliste"/>
              <w:numPr>
                <w:ilvl w:val="0"/>
                <w:numId w:val="14"/>
              </w:numPr>
              <w:spacing w:after="0" w:line="240" w:lineRule="auto"/>
              <w:ind w:left="474"/>
              <w:jc w:val="both"/>
              <w:rPr>
                <w:rFonts w:eastAsia="Times New Roman" w:cstheme="minorHAnsi"/>
                <w:sz w:val="24"/>
                <w:szCs w:val="24"/>
                <w:lang w:eastAsia="fr-FR"/>
              </w:rPr>
            </w:pPr>
            <w:r w:rsidRPr="0043547B">
              <w:rPr>
                <w:rFonts w:eastAsia="Times New Roman" w:cstheme="minorHAnsi"/>
                <w:sz w:val="24"/>
                <w:szCs w:val="24"/>
                <w:lang w:eastAsia="fr-FR"/>
              </w:rPr>
              <w:t>marinas et ports de plaisance.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est applicable :</w:t>
            </w:r>
          </w:p>
          <w:p w:rsidR="00904E52" w:rsidRPr="0043547B" w:rsidRDefault="00904E52" w:rsidP="00360635">
            <w:pPr>
              <w:pStyle w:val="Paragraphedeliste"/>
              <w:numPr>
                <w:ilvl w:val="0"/>
                <w:numId w:val="15"/>
              </w:numPr>
              <w:spacing w:after="0" w:line="240" w:lineRule="auto"/>
              <w:ind w:left="474" w:hanging="425"/>
              <w:jc w:val="both"/>
              <w:rPr>
                <w:rFonts w:eastAsia="Times New Roman" w:cstheme="minorHAnsi"/>
                <w:sz w:val="24"/>
                <w:szCs w:val="24"/>
                <w:lang w:eastAsia="fr-FR"/>
              </w:rPr>
            </w:pPr>
            <w:r w:rsidRPr="0043547B">
              <w:rPr>
                <w:rFonts w:eastAsia="Times New Roman" w:cstheme="minorHAnsi"/>
                <w:sz w:val="24"/>
                <w:szCs w:val="24"/>
                <w:lang w:eastAsia="fr-FR"/>
              </w:rPr>
              <w:t>aux circuits alimentés sous une nominale au plus égale à 1 000 V en courant alternatif et à 1 500 V en courant continu ;</w:t>
            </w:r>
          </w:p>
          <w:p w:rsidR="00904E52" w:rsidRPr="0043547B" w:rsidRDefault="00904E52" w:rsidP="00360635">
            <w:pPr>
              <w:pStyle w:val="Paragraphedeliste"/>
              <w:numPr>
                <w:ilvl w:val="0"/>
                <w:numId w:val="15"/>
              </w:numPr>
              <w:spacing w:after="0" w:line="240" w:lineRule="auto"/>
              <w:ind w:left="474" w:hanging="425"/>
              <w:jc w:val="both"/>
              <w:rPr>
                <w:rFonts w:eastAsia="Times New Roman" w:cstheme="minorHAnsi"/>
                <w:sz w:val="24"/>
                <w:szCs w:val="24"/>
                <w:lang w:eastAsia="fr-FR"/>
              </w:rPr>
            </w:pPr>
            <w:r w:rsidRPr="0043547B">
              <w:rPr>
                <w:rFonts w:eastAsia="Times New Roman" w:cstheme="minorHAnsi"/>
                <w:sz w:val="24"/>
                <w:szCs w:val="24"/>
                <w:lang w:eastAsia="fr-FR"/>
              </w:rPr>
              <w:t>aux circuits, autres que les circuits internes des appareils, fonctionnant sous une tension supérieure à 1 000 V à partir d'une installation de tension au plus égale à 1 000 V en courant alternatif, par exemple : circuit de lampes à décharge, dépoussiéreurs électrostatiques ;</w:t>
            </w:r>
          </w:p>
          <w:p w:rsidR="00904E52" w:rsidRPr="0043547B" w:rsidRDefault="00904E52" w:rsidP="00360635">
            <w:pPr>
              <w:pStyle w:val="Paragraphedeliste"/>
              <w:numPr>
                <w:ilvl w:val="0"/>
                <w:numId w:val="15"/>
              </w:numPr>
              <w:spacing w:after="0" w:line="240" w:lineRule="auto"/>
              <w:ind w:left="474" w:hanging="425"/>
              <w:jc w:val="both"/>
              <w:rPr>
                <w:rFonts w:eastAsia="Times New Roman" w:cstheme="minorHAnsi"/>
                <w:sz w:val="24"/>
                <w:szCs w:val="24"/>
                <w:lang w:eastAsia="fr-FR"/>
              </w:rPr>
            </w:pPr>
            <w:r w:rsidRPr="0043547B">
              <w:rPr>
                <w:rFonts w:eastAsia="Times New Roman" w:cstheme="minorHAnsi"/>
                <w:sz w:val="24"/>
                <w:szCs w:val="24"/>
                <w:lang w:eastAsia="fr-FR"/>
              </w:rPr>
              <w:t>à tout câblage et à toute canalisation qui ne sont pas visés par les prescriptions relatives aux appareils d'utilisation ;</w:t>
            </w:r>
          </w:p>
          <w:p w:rsidR="00904E52" w:rsidRPr="0043547B" w:rsidRDefault="00904E52" w:rsidP="00360635">
            <w:pPr>
              <w:pStyle w:val="Paragraphedeliste"/>
              <w:numPr>
                <w:ilvl w:val="0"/>
                <w:numId w:val="15"/>
              </w:numPr>
              <w:spacing w:after="0" w:line="240" w:lineRule="auto"/>
              <w:ind w:left="474" w:hanging="425"/>
              <w:jc w:val="both"/>
              <w:rPr>
                <w:rFonts w:eastAsia="Times New Roman" w:cstheme="minorHAnsi"/>
                <w:sz w:val="24"/>
                <w:szCs w:val="24"/>
                <w:lang w:eastAsia="fr-FR"/>
              </w:rPr>
            </w:pPr>
            <w:r w:rsidRPr="0043547B">
              <w:rPr>
                <w:rFonts w:eastAsia="Times New Roman" w:cstheme="minorHAnsi"/>
                <w:sz w:val="24"/>
                <w:szCs w:val="24"/>
                <w:lang w:eastAsia="fr-FR"/>
              </w:rPr>
              <w:t>à toutes les installations d’utilisations situées à l’extérieur des bâtiments ;</w:t>
            </w:r>
          </w:p>
          <w:p w:rsidR="00904E52" w:rsidRPr="0043547B" w:rsidRDefault="00904E52" w:rsidP="00360635">
            <w:pPr>
              <w:pStyle w:val="Paragraphedeliste"/>
              <w:numPr>
                <w:ilvl w:val="0"/>
                <w:numId w:val="15"/>
              </w:numPr>
              <w:spacing w:after="0" w:line="240" w:lineRule="auto"/>
              <w:ind w:left="474" w:hanging="425"/>
              <w:jc w:val="both"/>
              <w:rPr>
                <w:rFonts w:eastAsia="Times New Roman" w:cstheme="minorHAnsi"/>
                <w:sz w:val="24"/>
                <w:szCs w:val="24"/>
                <w:lang w:eastAsia="fr-FR"/>
              </w:rPr>
            </w:pPr>
            <w:r w:rsidRPr="0043547B">
              <w:rPr>
                <w:rFonts w:eastAsia="Times New Roman" w:cstheme="minorHAnsi"/>
                <w:sz w:val="24"/>
                <w:szCs w:val="24"/>
                <w:lang w:eastAsia="fr-FR"/>
              </w:rPr>
              <w:t>aux canalisations fixes de télécommunications, de signalisation ou de commande (à l'exception des circuits internes des appareils).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ne s'applique pas aux :</w:t>
            </w:r>
          </w:p>
          <w:p w:rsidR="00904E52" w:rsidRPr="0043547B" w:rsidRDefault="00904E52" w:rsidP="00360635">
            <w:pPr>
              <w:spacing w:after="0" w:line="240" w:lineRule="auto"/>
              <w:ind w:left="474" w:hanging="425"/>
              <w:jc w:val="both"/>
              <w:rPr>
                <w:rFonts w:eastAsia="Times New Roman" w:cstheme="minorHAnsi"/>
                <w:sz w:val="24"/>
                <w:szCs w:val="24"/>
                <w:lang w:eastAsia="fr-FR"/>
              </w:rPr>
            </w:pPr>
            <w:r w:rsidRPr="0043547B">
              <w:rPr>
                <w:rFonts w:eastAsia="Times New Roman" w:cstheme="minorHAnsi"/>
                <w:sz w:val="24"/>
                <w:szCs w:val="24"/>
                <w:lang w:eastAsia="fr-FR"/>
              </w:rPr>
              <w:t>a)    matériels de traction électrique ;</w:t>
            </w:r>
          </w:p>
          <w:p w:rsidR="00904E52" w:rsidRPr="0043547B" w:rsidRDefault="00904E52" w:rsidP="00360635">
            <w:pPr>
              <w:spacing w:after="0" w:line="240" w:lineRule="auto"/>
              <w:ind w:left="474" w:hanging="425"/>
              <w:jc w:val="both"/>
              <w:rPr>
                <w:rFonts w:eastAsia="Times New Roman" w:cstheme="minorHAnsi"/>
                <w:sz w:val="24"/>
                <w:szCs w:val="24"/>
                <w:lang w:eastAsia="fr-FR"/>
              </w:rPr>
            </w:pPr>
            <w:r w:rsidRPr="0043547B">
              <w:rPr>
                <w:rFonts w:eastAsia="Times New Roman" w:cstheme="minorHAnsi"/>
                <w:sz w:val="24"/>
                <w:szCs w:val="24"/>
                <w:lang w:eastAsia="fr-FR"/>
              </w:rPr>
              <w:t>b)    équipements électriques des automobiles ;</w:t>
            </w:r>
          </w:p>
          <w:p w:rsidR="00904E52" w:rsidRPr="0043547B" w:rsidRDefault="00904E52" w:rsidP="00360635">
            <w:pPr>
              <w:spacing w:after="0" w:line="240" w:lineRule="auto"/>
              <w:ind w:left="474" w:hanging="425"/>
              <w:jc w:val="both"/>
              <w:rPr>
                <w:rFonts w:eastAsia="Times New Roman" w:cstheme="minorHAnsi"/>
                <w:sz w:val="24"/>
                <w:szCs w:val="24"/>
                <w:lang w:eastAsia="fr-FR"/>
              </w:rPr>
            </w:pPr>
            <w:r w:rsidRPr="0043547B">
              <w:rPr>
                <w:rFonts w:eastAsia="Times New Roman" w:cstheme="minorHAnsi"/>
                <w:sz w:val="24"/>
                <w:szCs w:val="24"/>
                <w:lang w:eastAsia="fr-FR"/>
              </w:rPr>
              <w:t>c)    installations électriques à bord des navires ;</w:t>
            </w:r>
          </w:p>
          <w:p w:rsidR="00904E52" w:rsidRPr="0043547B" w:rsidRDefault="00904E52" w:rsidP="00360635">
            <w:pPr>
              <w:spacing w:after="0" w:line="240" w:lineRule="auto"/>
              <w:ind w:left="474" w:hanging="425"/>
              <w:jc w:val="both"/>
              <w:rPr>
                <w:rFonts w:eastAsia="Times New Roman" w:cstheme="minorHAnsi"/>
                <w:sz w:val="24"/>
                <w:szCs w:val="24"/>
                <w:lang w:eastAsia="fr-FR"/>
              </w:rPr>
            </w:pPr>
            <w:r w:rsidRPr="0043547B">
              <w:rPr>
                <w:rFonts w:eastAsia="Times New Roman" w:cstheme="minorHAnsi"/>
                <w:sz w:val="24"/>
                <w:szCs w:val="24"/>
                <w:lang w:eastAsia="fr-FR"/>
              </w:rPr>
              <w:t>d)    installations électriques à bord des aéronefs ;</w:t>
            </w:r>
          </w:p>
          <w:p w:rsidR="00904E52" w:rsidRPr="0043547B" w:rsidRDefault="00904E52" w:rsidP="00360635">
            <w:pPr>
              <w:spacing w:after="0" w:line="240" w:lineRule="auto"/>
              <w:ind w:left="474" w:hanging="425"/>
              <w:jc w:val="both"/>
              <w:rPr>
                <w:rFonts w:eastAsia="Times New Roman" w:cstheme="minorHAnsi"/>
                <w:sz w:val="24"/>
                <w:szCs w:val="24"/>
                <w:lang w:eastAsia="fr-FR"/>
              </w:rPr>
            </w:pPr>
            <w:r w:rsidRPr="0043547B">
              <w:rPr>
                <w:rFonts w:eastAsia="Times New Roman" w:cstheme="minorHAnsi"/>
                <w:sz w:val="24"/>
                <w:szCs w:val="24"/>
                <w:lang w:eastAsia="fr-FR"/>
              </w:rPr>
              <w:t>e)    installations d'éclairage public ;</w:t>
            </w:r>
          </w:p>
          <w:p w:rsidR="00904E52" w:rsidRPr="0043547B" w:rsidRDefault="00904E52" w:rsidP="00360635">
            <w:pPr>
              <w:spacing w:after="0" w:line="240" w:lineRule="auto"/>
              <w:ind w:left="474" w:hanging="425"/>
              <w:jc w:val="both"/>
              <w:rPr>
                <w:rFonts w:eastAsia="Times New Roman" w:cstheme="minorHAnsi"/>
                <w:sz w:val="24"/>
                <w:szCs w:val="24"/>
                <w:lang w:eastAsia="fr-FR"/>
              </w:rPr>
            </w:pPr>
            <w:r w:rsidRPr="0043547B">
              <w:rPr>
                <w:rFonts w:eastAsia="Times New Roman" w:cstheme="minorHAnsi"/>
                <w:sz w:val="24"/>
                <w:szCs w:val="24"/>
                <w:lang w:eastAsia="fr-FR"/>
              </w:rPr>
              <w:t>f)    installations dans les mines ;</w:t>
            </w:r>
          </w:p>
          <w:p w:rsidR="00904E52" w:rsidRPr="0043547B" w:rsidRDefault="00904E52" w:rsidP="00360635">
            <w:pPr>
              <w:spacing w:after="0" w:line="240" w:lineRule="auto"/>
              <w:ind w:left="474" w:hanging="425"/>
              <w:jc w:val="both"/>
              <w:rPr>
                <w:rFonts w:eastAsia="Times New Roman" w:cstheme="minorHAnsi"/>
                <w:sz w:val="24"/>
                <w:szCs w:val="24"/>
                <w:lang w:eastAsia="fr-FR"/>
              </w:rPr>
            </w:pPr>
            <w:r w:rsidRPr="0043547B">
              <w:rPr>
                <w:rFonts w:eastAsia="Times New Roman" w:cstheme="minorHAnsi"/>
                <w:sz w:val="24"/>
                <w:szCs w:val="24"/>
                <w:lang w:eastAsia="fr-FR"/>
              </w:rPr>
              <w:t>g)    matériels de réduction des perturbations radioélectriques, dans la mesure où ils ne comportent pas la sécurité des installations ;</w:t>
            </w:r>
          </w:p>
          <w:p w:rsidR="00904E52" w:rsidRPr="0043547B" w:rsidRDefault="00904E52" w:rsidP="00360635">
            <w:pPr>
              <w:spacing w:after="0" w:line="240" w:lineRule="auto"/>
              <w:ind w:left="474" w:hanging="425"/>
              <w:jc w:val="both"/>
              <w:rPr>
                <w:rFonts w:eastAsia="Times New Roman" w:cstheme="minorHAnsi"/>
                <w:sz w:val="24"/>
                <w:szCs w:val="24"/>
                <w:lang w:eastAsia="fr-FR"/>
              </w:rPr>
            </w:pPr>
            <w:r w:rsidRPr="0043547B">
              <w:rPr>
                <w:rFonts w:eastAsia="Times New Roman" w:cstheme="minorHAnsi"/>
                <w:sz w:val="24"/>
                <w:szCs w:val="24"/>
                <w:lang w:eastAsia="fr-FR"/>
              </w:rPr>
              <w:t>h)    clôtures électriques ;</w:t>
            </w:r>
          </w:p>
          <w:p w:rsidR="00904E52" w:rsidRPr="0043547B" w:rsidRDefault="00904E52" w:rsidP="00360635">
            <w:pPr>
              <w:spacing w:after="0" w:line="240" w:lineRule="auto"/>
              <w:ind w:left="474" w:hanging="425"/>
              <w:jc w:val="both"/>
              <w:rPr>
                <w:rFonts w:eastAsia="Times New Roman" w:cstheme="minorHAnsi"/>
                <w:sz w:val="24"/>
                <w:szCs w:val="24"/>
                <w:lang w:eastAsia="fr-FR"/>
              </w:rPr>
            </w:pPr>
            <w:r w:rsidRPr="0043547B">
              <w:rPr>
                <w:rFonts w:eastAsia="Times New Roman" w:cstheme="minorHAnsi"/>
                <w:sz w:val="24"/>
                <w:szCs w:val="24"/>
                <w:lang w:eastAsia="fr-FR"/>
              </w:rPr>
              <w:t>i)     installations des paratonnerres des bâtiments.</w:t>
            </w:r>
          </w:p>
          <w:p w:rsidR="00904E52" w:rsidRPr="0043547B" w:rsidRDefault="00904E52" w:rsidP="00EA697D">
            <w:pPr>
              <w:spacing w:after="0" w:line="240" w:lineRule="auto"/>
              <w:jc w:val="both"/>
              <w:rPr>
                <w:rFonts w:eastAsia="Times New Roman" w:cstheme="minorHAnsi"/>
                <w:i/>
                <w:iCs/>
                <w:sz w:val="24"/>
                <w:szCs w:val="24"/>
                <w:lang w:eastAsia="fr-FR"/>
              </w:rPr>
            </w:pPr>
            <w:r w:rsidRPr="00830FEB">
              <w:rPr>
                <w:rFonts w:eastAsia="Times New Roman" w:cstheme="minorHAnsi"/>
                <w:b/>
                <w:bCs/>
                <w:i/>
                <w:iCs/>
                <w:lang w:eastAsia="fr-FR"/>
              </w:rPr>
              <w:t>Note</w:t>
            </w:r>
            <w:r w:rsidR="00EA697D" w:rsidRPr="00830FEB">
              <w:rPr>
                <w:rFonts w:eastAsia="Times New Roman" w:cstheme="minorHAnsi"/>
                <w:i/>
                <w:iCs/>
                <w:lang w:eastAsia="fr-FR"/>
              </w:rPr>
              <w:t> :</w:t>
            </w:r>
            <w:r w:rsidR="004C1604" w:rsidRPr="00830FEB">
              <w:rPr>
                <w:rFonts w:eastAsia="Times New Roman" w:cstheme="minorHAnsi"/>
                <w:i/>
                <w:iCs/>
                <w:lang w:eastAsia="fr-FR"/>
              </w:rPr>
              <w:t xml:space="preserve"> </w:t>
            </w:r>
            <w:r w:rsidRPr="00830FEB">
              <w:rPr>
                <w:rFonts w:eastAsia="Times New Roman" w:cstheme="minorHAnsi"/>
                <w:i/>
                <w:iCs/>
                <w:lang w:eastAsia="fr-FR"/>
              </w:rPr>
              <w:t>Cependant, La norme tient compte des conséquences des phénomènes atmosphériques sur les installations électriques (par exemple : choix des parafoudres).</w:t>
            </w:r>
          </w:p>
        </w:tc>
      </w:tr>
      <w:tr w:rsidR="00D76221" w:rsidRPr="0043547B" w:rsidTr="00D76221">
        <w:trPr>
          <w:trHeight w:val="315"/>
          <w:jc w:val="center"/>
        </w:trPr>
        <w:tc>
          <w:tcPr>
            <w:tcW w:w="1820" w:type="dxa"/>
            <w:tcBorders>
              <w:top w:val="single" w:sz="18" w:space="0" w:color="auto"/>
              <w:left w:val="single" w:sz="18" w:space="0" w:color="auto"/>
              <w:bottom w:val="single" w:sz="18" w:space="0" w:color="auto"/>
              <w:right w:val="single" w:sz="4" w:space="0" w:color="auto"/>
            </w:tcBorders>
            <w:shd w:val="clear" w:color="auto" w:fill="B4CD81"/>
            <w:vAlign w:val="center"/>
          </w:tcPr>
          <w:p w:rsidR="00D76221" w:rsidRDefault="00D76221" w:rsidP="00FE21D4">
            <w:pPr>
              <w:spacing w:after="0" w:line="240" w:lineRule="auto"/>
              <w:jc w:val="center"/>
              <w:rPr>
                <w:rFonts w:ascii="Calibri" w:hAnsi="Calibri" w:cs="Calibri"/>
                <w:b/>
                <w:bCs/>
              </w:rPr>
            </w:pPr>
            <w:r>
              <w:rPr>
                <w:rFonts w:ascii="Calibri" w:hAnsi="Calibri" w:cs="Calibri"/>
                <w:b/>
                <w:bCs/>
              </w:rPr>
              <w:t xml:space="preserve">Code </w:t>
            </w:r>
          </w:p>
        </w:tc>
        <w:tc>
          <w:tcPr>
            <w:tcW w:w="8126" w:type="dxa"/>
            <w:tcBorders>
              <w:top w:val="single" w:sz="18" w:space="0" w:color="auto"/>
              <w:left w:val="single" w:sz="4" w:space="0" w:color="auto"/>
              <w:bottom w:val="single" w:sz="18" w:space="0" w:color="auto"/>
              <w:right w:val="single" w:sz="18" w:space="0" w:color="auto"/>
            </w:tcBorders>
            <w:shd w:val="clear" w:color="auto" w:fill="B4CD81"/>
            <w:vAlign w:val="center"/>
          </w:tcPr>
          <w:p w:rsidR="00D76221" w:rsidRDefault="00D76221" w:rsidP="00FE21D4">
            <w:pPr>
              <w:spacing w:after="0" w:line="240" w:lineRule="auto"/>
              <w:jc w:val="center"/>
              <w:rPr>
                <w:rFonts w:ascii="Calibri" w:hAnsi="Calibri" w:cs="Calibri"/>
                <w:b/>
                <w:bCs/>
                <w:color w:val="000000"/>
                <w:sz w:val="24"/>
                <w:szCs w:val="24"/>
              </w:rPr>
            </w:pPr>
            <w:r>
              <w:rPr>
                <w:rFonts w:ascii="Calibri" w:hAnsi="Calibri" w:cs="Calibri"/>
                <w:b/>
                <w:bCs/>
                <w:color w:val="000000"/>
              </w:rPr>
              <w:t>NM ISO 4413</w:t>
            </w:r>
          </w:p>
        </w:tc>
      </w:tr>
      <w:tr w:rsidR="00D76221" w:rsidRPr="0043547B" w:rsidTr="00FE21D4">
        <w:trPr>
          <w:trHeight w:val="315"/>
          <w:jc w:val="center"/>
        </w:trPr>
        <w:tc>
          <w:tcPr>
            <w:tcW w:w="1820" w:type="dxa"/>
            <w:tcBorders>
              <w:top w:val="single" w:sz="18" w:space="0" w:color="auto"/>
              <w:left w:val="single" w:sz="18" w:space="0" w:color="auto"/>
              <w:bottom w:val="single" w:sz="18" w:space="0" w:color="auto"/>
              <w:right w:val="single" w:sz="4" w:space="0" w:color="auto"/>
            </w:tcBorders>
            <w:shd w:val="clear" w:color="auto" w:fill="FFFF99"/>
            <w:vAlign w:val="center"/>
          </w:tcPr>
          <w:p w:rsidR="00D76221" w:rsidRDefault="00D76221" w:rsidP="00FE21D4">
            <w:pPr>
              <w:spacing w:after="0" w:line="240" w:lineRule="auto"/>
              <w:jc w:val="center"/>
              <w:rPr>
                <w:rFonts w:ascii="Calibri" w:hAnsi="Calibri" w:cs="Calibri"/>
                <w:b/>
                <w:bCs/>
              </w:rPr>
            </w:pPr>
            <w:r>
              <w:rPr>
                <w:rFonts w:ascii="Calibri" w:hAnsi="Calibri" w:cs="Calibri"/>
                <w:b/>
                <w:bCs/>
              </w:rPr>
              <w:t xml:space="preserve">Equivalence </w:t>
            </w:r>
          </w:p>
        </w:tc>
        <w:tc>
          <w:tcPr>
            <w:tcW w:w="8126" w:type="dxa"/>
            <w:tcBorders>
              <w:top w:val="single" w:sz="18" w:space="0" w:color="auto"/>
              <w:left w:val="single" w:sz="4" w:space="0" w:color="auto"/>
              <w:bottom w:val="single" w:sz="18" w:space="0" w:color="auto"/>
              <w:right w:val="single" w:sz="18" w:space="0" w:color="auto"/>
            </w:tcBorders>
            <w:shd w:val="clear" w:color="auto" w:fill="FFFF99"/>
            <w:vAlign w:val="center"/>
          </w:tcPr>
          <w:p w:rsidR="00D76221" w:rsidRDefault="00D76221" w:rsidP="00FE21D4">
            <w:pPr>
              <w:spacing w:after="0" w:line="240" w:lineRule="auto"/>
              <w:jc w:val="center"/>
              <w:rPr>
                <w:rFonts w:ascii="Calibri" w:hAnsi="Calibri" w:cs="Calibri"/>
                <w:b/>
                <w:bCs/>
                <w:sz w:val="24"/>
                <w:szCs w:val="24"/>
              </w:rPr>
            </w:pPr>
            <w:r>
              <w:rPr>
                <w:rFonts w:ascii="Calibri" w:hAnsi="Calibri" w:cs="Calibri"/>
                <w:b/>
                <w:bCs/>
              </w:rPr>
              <w:t>ISO 4413</w:t>
            </w:r>
          </w:p>
        </w:tc>
      </w:tr>
      <w:tr w:rsidR="00D76221" w:rsidRPr="0043547B" w:rsidTr="00FE21D4">
        <w:trPr>
          <w:trHeight w:val="315"/>
          <w:jc w:val="center"/>
        </w:trPr>
        <w:tc>
          <w:tcPr>
            <w:tcW w:w="1820" w:type="dxa"/>
            <w:tcBorders>
              <w:top w:val="single" w:sz="18" w:space="0" w:color="auto"/>
              <w:left w:val="single" w:sz="18" w:space="0" w:color="auto"/>
              <w:bottom w:val="single" w:sz="18" w:space="0" w:color="auto"/>
              <w:right w:val="single" w:sz="4" w:space="0" w:color="auto"/>
            </w:tcBorders>
            <w:shd w:val="clear" w:color="auto" w:fill="95B3D7" w:themeFill="accent1" w:themeFillTint="99"/>
            <w:vAlign w:val="center"/>
          </w:tcPr>
          <w:p w:rsidR="00D76221" w:rsidRDefault="00D76221" w:rsidP="00D76221">
            <w:pPr>
              <w:jc w:val="center"/>
              <w:rPr>
                <w:rFonts w:ascii="Calibri" w:hAnsi="Calibri" w:cs="Calibri"/>
                <w:b/>
                <w:bCs/>
              </w:rPr>
            </w:pPr>
            <w:r>
              <w:rPr>
                <w:rFonts w:ascii="Calibri" w:hAnsi="Calibri" w:cs="Calibri"/>
                <w:b/>
                <w:bCs/>
              </w:rPr>
              <w:t xml:space="preserve">Intitulé </w:t>
            </w:r>
          </w:p>
        </w:tc>
        <w:tc>
          <w:tcPr>
            <w:tcW w:w="8126" w:type="dxa"/>
            <w:tcBorders>
              <w:top w:val="single" w:sz="18" w:space="0" w:color="auto"/>
              <w:left w:val="single" w:sz="4" w:space="0" w:color="auto"/>
              <w:bottom w:val="single" w:sz="18" w:space="0" w:color="auto"/>
              <w:right w:val="single" w:sz="18" w:space="0" w:color="auto"/>
            </w:tcBorders>
            <w:shd w:val="clear" w:color="auto" w:fill="auto"/>
          </w:tcPr>
          <w:p w:rsidR="00D76221" w:rsidRDefault="00D76221" w:rsidP="00D76221">
            <w:pPr>
              <w:jc w:val="both"/>
              <w:rPr>
                <w:rFonts w:ascii="Calibri" w:hAnsi="Calibri" w:cs="Calibri"/>
                <w:color w:val="000000"/>
              </w:rPr>
            </w:pPr>
            <w:r>
              <w:rPr>
                <w:rFonts w:ascii="Calibri" w:hAnsi="Calibri" w:cs="Calibri"/>
                <w:color w:val="000000"/>
              </w:rPr>
              <w:t xml:space="preserve">Transmissions hydrauliques - Règles générales et exigences de sécurité relatives aux systèmes et leurs composants </w:t>
            </w:r>
          </w:p>
        </w:tc>
      </w:tr>
      <w:tr w:rsidR="00D76221" w:rsidRPr="0043547B" w:rsidTr="00FE21D4">
        <w:trPr>
          <w:trHeight w:val="315"/>
          <w:jc w:val="center"/>
        </w:trPr>
        <w:tc>
          <w:tcPr>
            <w:tcW w:w="1820" w:type="dxa"/>
            <w:tcBorders>
              <w:top w:val="single" w:sz="18" w:space="0" w:color="auto"/>
              <w:left w:val="single" w:sz="18" w:space="0" w:color="auto"/>
              <w:bottom w:val="single" w:sz="18" w:space="0" w:color="auto"/>
              <w:right w:val="single" w:sz="4" w:space="0" w:color="auto"/>
            </w:tcBorders>
            <w:shd w:val="clear" w:color="auto" w:fill="auto"/>
            <w:vAlign w:val="center"/>
          </w:tcPr>
          <w:p w:rsidR="00D76221" w:rsidRDefault="00D76221" w:rsidP="00D76221">
            <w:pPr>
              <w:jc w:val="center"/>
              <w:rPr>
                <w:rFonts w:ascii="Calibri" w:hAnsi="Calibri" w:cs="Calibri"/>
                <w:b/>
                <w:bCs/>
              </w:rPr>
            </w:pPr>
            <w:r>
              <w:rPr>
                <w:rFonts w:ascii="Calibri" w:hAnsi="Calibri" w:cs="Calibri"/>
                <w:b/>
                <w:bCs/>
              </w:rPr>
              <w:lastRenderedPageBreak/>
              <w:t xml:space="preserve">Domaine d’application </w:t>
            </w:r>
          </w:p>
        </w:tc>
        <w:tc>
          <w:tcPr>
            <w:tcW w:w="8126" w:type="dxa"/>
            <w:tcBorders>
              <w:top w:val="single" w:sz="18" w:space="0" w:color="auto"/>
              <w:left w:val="single" w:sz="4" w:space="0" w:color="auto"/>
              <w:bottom w:val="single" w:sz="18" w:space="0" w:color="auto"/>
              <w:right w:val="single" w:sz="18" w:space="0" w:color="auto"/>
            </w:tcBorders>
            <w:shd w:val="clear" w:color="auto" w:fill="auto"/>
          </w:tcPr>
          <w:p w:rsidR="00FE21D4" w:rsidRDefault="00D76221" w:rsidP="00FE21D4">
            <w:pPr>
              <w:spacing w:after="0" w:line="240" w:lineRule="auto"/>
              <w:jc w:val="both"/>
              <w:rPr>
                <w:rFonts w:ascii="Calibri" w:hAnsi="Calibri" w:cs="Calibri"/>
                <w:color w:val="000000"/>
              </w:rPr>
            </w:pPr>
            <w:r>
              <w:rPr>
                <w:rFonts w:ascii="Calibri" w:hAnsi="Calibri" w:cs="Calibri"/>
                <w:color w:val="000000"/>
              </w:rPr>
              <w:t>La présente Norme internationale spécifie des règles générales et des exigences de sécurité relatives aux systèmes et composants de transmissions hydrauliques utilisés sur des machines telles que définies par l'ISO 12100:2010, 3.1. Elle traite tous les phénomènes dangereux significatifs associés aux systèmes de transmissions hydrauliques et spécifie les principes à appliquer pour éviter ces phénomènes dangereux lorsque les systèmes sont mis en oeuvre selon l'usage prévu.</w:t>
            </w:r>
          </w:p>
          <w:p w:rsidR="00FE21D4" w:rsidRDefault="00D76221" w:rsidP="00FE21D4">
            <w:pPr>
              <w:spacing w:after="0" w:line="240" w:lineRule="auto"/>
              <w:jc w:val="both"/>
              <w:rPr>
                <w:rFonts w:ascii="Calibri" w:hAnsi="Calibri" w:cs="Calibri"/>
                <w:color w:val="000000"/>
              </w:rPr>
            </w:pPr>
            <w:r>
              <w:rPr>
                <w:rFonts w:ascii="Calibri" w:hAnsi="Calibri" w:cs="Calibri"/>
                <w:color w:val="000000"/>
              </w:rPr>
              <w:t>NOTE 1 Voir Article 4 et Annexe A.</w:t>
            </w:r>
          </w:p>
          <w:p w:rsidR="00FE21D4" w:rsidRDefault="00D76221" w:rsidP="00FE21D4">
            <w:pPr>
              <w:spacing w:after="0" w:line="240" w:lineRule="auto"/>
              <w:jc w:val="both"/>
              <w:rPr>
                <w:rFonts w:ascii="Calibri" w:hAnsi="Calibri" w:cs="Calibri"/>
                <w:color w:val="000000"/>
              </w:rPr>
            </w:pPr>
            <w:r>
              <w:rPr>
                <w:rFonts w:ascii="Calibri" w:hAnsi="Calibri" w:cs="Calibri"/>
                <w:color w:val="000000"/>
              </w:rPr>
              <w:t>Le phénomène dangereux significatif lié au bruit est traité de manière incomplète dans la présente Norme internationale.</w:t>
            </w:r>
          </w:p>
          <w:p w:rsidR="00FE21D4" w:rsidRDefault="00D76221" w:rsidP="00FE21D4">
            <w:pPr>
              <w:spacing w:after="0" w:line="240" w:lineRule="auto"/>
              <w:jc w:val="both"/>
              <w:rPr>
                <w:rFonts w:ascii="Calibri" w:hAnsi="Calibri" w:cs="Calibri"/>
                <w:color w:val="000000"/>
              </w:rPr>
            </w:pPr>
            <w:r>
              <w:rPr>
                <w:rFonts w:ascii="Calibri" w:hAnsi="Calibri" w:cs="Calibri"/>
                <w:color w:val="000000"/>
              </w:rPr>
              <w:t>NOTE 2 L'émission de bruit dépend surtout de l'installation des composants ou des systèmes hydrauliques dans les machines.</w:t>
            </w:r>
          </w:p>
          <w:p w:rsidR="00FE21D4" w:rsidRDefault="00D76221" w:rsidP="00FE21D4">
            <w:pPr>
              <w:spacing w:after="0" w:line="240" w:lineRule="auto"/>
              <w:jc w:val="both"/>
              <w:rPr>
                <w:rFonts w:ascii="Calibri" w:hAnsi="Calibri" w:cs="Calibri"/>
                <w:color w:val="000000"/>
              </w:rPr>
            </w:pPr>
            <w:r>
              <w:rPr>
                <w:rFonts w:ascii="Calibri" w:hAnsi="Calibri" w:cs="Calibri"/>
                <w:color w:val="000000"/>
              </w:rPr>
              <w:t>La présente Norme internationale s'applique à la conception, à la construction et à la modification des systèmes et de leurs composants, en tenant également compte des aspects suivants</w:t>
            </w:r>
            <w:r w:rsidR="00FE21D4">
              <w:rPr>
                <w:rFonts w:ascii="Calibri" w:hAnsi="Calibri" w:cs="Calibri"/>
                <w:color w:val="000000"/>
              </w:rPr>
              <w:t xml:space="preserve"> </w:t>
            </w:r>
            <w:r>
              <w:rPr>
                <w:rFonts w:ascii="Calibri" w:hAnsi="Calibri" w:cs="Calibri"/>
                <w:color w:val="000000"/>
              </w:rPr>
              <w:t>:</w:t>
            </w:r>
          </w:p>
          <w:p w:rsidR="00FE21D4" w:rsidRDefault="00D76221" w:rsidP="00FE21D4">
            <w:pPr>
              <w:spacing w:after="0" w:line="240" w:lineRule="auto"/>
              <w:rPr>
                <w:rFonts w:ascii="Calibri" w:hAnsi="Calibri" w:cs="Calibri"/>
                <w:color w:val="000000"/>
              </w:rPr>
            </w:pPr>
            <w:r>
              <w:rPr>
                <w:rFonts w:ascii="Calibri" w:hAnsi="Calibri" w:cs="Calibri"/>
                <w:color w:val="000000"/>
              </w:rPr>
              <w:t>a) assemblage</w:t>
            </w:r>
            <w:r w:rsidR="00FE21D4">
              <w:rPr>
                <w:rFonts w:ascii="Calibri" w:hAnsi="Calibri" w:cs="Calibri"/>
                <w:color w:val="000000"/>
              </w:rPr>
              <w:t xml:space="preserve"> </w:t>
            </w:r>
            <w:r>
              <w:rPr>
                <w:rFonts w:ascii="Calibri" w:hAnsi="Calibri" w:cs="Calibri"/>
                <w:color w:val="000000"/>
              </w:rPr>
              <w:t>;</w:t>
            </w:r>
          </w:p>
          <w:p w:rsidR="00D76221" w:rsidRDefault="00D76221" w:rsidP="00FE21D4">
            <w:pPr>
              <w:spacing w:after="0" w:line="240" w:lineRule="auto"/>
              <w:rPr>
                <w:rFonts w:ascii="Calibri" w:hAnsi="Calibri" w:cs="Calibri"/>
                <w:color w:val="000000"/>
              </w:rPr>
            </w:pPr>
            <w:r>
              <w:rPr>
                <w:rFonts w:ascii="Calibri" w:hAnsi="Calibri" w:cs="Calibri"/>
                <w:color w:val="000000"/>
              </w:rPr>
              <w:t>b) installation</w:t>
            </w:r>
            <w:r w:rsidR="00FE21D4">
              <w:rPr>
                <w:rFonts w:ascii="Calibri" w:hAnsi="Calibri" w:cs="Calibri"/>
                <w:color w:val="000000"/>
              </w:rPr>
              <w:t xml:space="preserve"> </w:t>
            </w:r>
            <w:r>
              <w:rPr>
                <w:rFonts w:ascii="Calibri" w:hAnsi="Calibri" w:cs="Calibri"/>
                <w:color w:val="000000"/>
              </w:rPr>
              <w:t>;</w:t>
            </w:r>
            <w:r>
              <w:rPr>
                <w:rFonts w:ascii="Calibri" w:hAnsi="Calibri" w:cs="Calibri"/>
                <w:color w:val="000000"/>
              </w:rPr>
              <w:br/>
              <w:t>c) réglage;</w:t>
            </w:r>
            <w:r>
              <w:rPr>
                <w:rFonts w:ascii="Calibri" w:hAnsi="Calibri" w:cs="Calibri"/>
                <w:color w:val="000000"/>
              </w:rPr>
              <w:br/>
              <w:t>d) fonctionnement continu du système;</w:t>
            </w:r>
            <w:r>
              <w:rPr>
                <w:rFonts w:ascii="Calibri" w:hAnsi="Calibri" w:cs="Calibri"/>
                <w:color w:val="000000"/>
              </w:rPr>
              <w:br/>
              <w:t>e) facilité et économie de la maintenance et du nettoyage;</w:t>
            </w:r>
            <w:r>
              <w:rPr>
                <w:rFonts w:ascii="Calibri" w:hAnsi="Calibri" w:cs="Calibri"/>
                <w:color w:val="000000"/>
              </w:rPr>
              <w:br/>
              <w:t>f) fiabilité du fonctionnement pour tous les usages prévus;</w:t>
            </w:r>
            <w:r>
              <w:rPr>
                <w:rFonts w:ascii="Calibri" w:hAnsi="Calibri" w:cs="Calibri"/>
                <w:color w:val="000000"/>
              </w:rPr>
              <w:br/>
              <w:t>g) rendement énergétique; et</w:t>
            </w:r>
            <w:r>
              <w:rPr>
                <w:rFonts w:ascii="Calibri" w:hAnsi="Calibri" w:cs="Calibri"/>
                <w:color w:val="000000"/>
              </w:rPr>
              <w:br/>
              <w:t>h) environnement.</w:t>
            </w:r>
          </w:p>
        </w:tc>
      </w:tr>
      <w:tr w:rsidR="00D76221" w:rsidRPr="0043547B" w:rsidTr="006E221A">
        <w:trPr>
          <w:trHeight w:val="315"/>
          <w:jc w:val="center"/>
        </w:trPr>
        <w:tc>
          <w:tcPr>
            <w:tcW w:w="1820"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tcPr>
          <w:p w:rsidR="00D76221" w:rsidRDefault="00D76221" w:rsidP="006E221A">
            <w:pPr>
              <w:spacing w:after="0" w:line="240" w:lineRule="auto"/>
              <w:jc w:val="center"/>
              <w:rPr>
                <w:rFonts w:ascii="Calibri" w:hAnsi="Calibri" w:cs="Calibri"/>
                <w:b/>
                <w:bCs/>
              </w:rPr>
            </w:pPr>
            <w:r>
              <w:rPr>
                <w:rFonts w:ascii="Calibri" w:hAnsi="Calibri" w:cs="Calibri"/>
                <w:b/>
                <w:bCs/>
              </w:rPr>
              <w:t xml:space="preserve">Code </w:t>
            </w:r>
          </w:p>
        </w:tc>
        <w:tc>
          <w:tcPr>
            <w:tcW w:w="8126"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tcPr>
          <w:p w:rsidR="00D76221" w:rsidRDefault="00D76221" w:rsidP="006E221A">
            <w:pPr>
              <w:spacing w:after="0" w:line="240" w:lineRule="auto"/>
              <w:jc w:val="center"/>
              <w:rPr>
                <w:rFonts w:ascii="Calibri" w:hAnsi="Calibri" w:cs="Calibri"/>
                <w:b/>
                <w:bCs/>
                <w:color w:val="000000"/>
                <w:sz w:val="24"/>
                <w:szCs w:val="24"/>
              </w:rPr>
            </w:pPr>
            <w:r>
              <w:rPr>
                <w:rFonts w:ascii="Calibri" w:hAnsi="Calibri" w:cs="Calibri"/>
                <w:b/>
                <w:bCs/>
                <w:color w:val="000000"/>
              </w:rPr>
              <w:t>NM ISO 4414</w:t>
            </w:r>
          </w:p>
        </w:tc>
      </w:tr>
      <w:tr w:rsidR="00D76221" w:rsidRPr="0043547B" w:rsidTr="006E221A">
        <w:trPr>
          <w:trHeight w:val="315"/>
          <w:jc w:val="center"/>
        </w:trPr>
        <w:tc>
          <w:tcPr>
            <w:tcW w:w="1820" w:type="dxa"/>
            <w:tcBorders>
              <w:top w:val="single" w:sz="18" w:space="0" w:color="auto"/>
              <w:left w:val="single" w:sz="18" w:space="0" w:color="auto"/>
              <w:bottom w:val="single" w:sz="18" w:space="0" w:color="auto"/>
              <w:right w:val="single" w:sz="4" w:space="0" w:color="auto"/>
            </w:tcBorders>
            <w:shd w:val="clear" w:color="auto" w:fill="FFFF99"/>
            <w:vAlign w:val="center"/>
          </w:tcPr>
          <w:p w:rsidR="00D76221" w:rsidRDefault="00D76221" w:rsidP="006E221A">
            <w:pPr>
              <w:spacing w:after="0" w:line="240" w:lineRule="auto"/>
              <w:jc w:val="center"/>
              <w:rPr>
                <w:rFonts w:ascii="Calibri" w:hAnsi="Calibri" w:cs="Calibri"/>
                <w:b/>
                <w:bCs/>
              </w:rPr>
            </w:pPr>
            <w:r>
              <w:rPr>
                <w:rFonts w:ascii="Calibri" w:hAnsi="Calibri" w:cs="Calibri"/>
                <w:b/>
                <w:bCs/>
              </w:rPr>
              <w:t xml:space="preserve">Equivalence </w:t>
            </w:r>
          </w:p>
        </w:tc>
        <w:tc>
          <w:tcPr>
            <w:tcW w:w="8126" w:type="dxa"/>
            <w:tcBorders>
              <w:top w:val="single" w:sz="18" w:space="0" w:color="auto"/>
              <w:left w:val="single" w:sz="4" w:space="0" w:color="auto"/>
              <w:bottom w:val="single" w:sz="18" w:space="0" w:color="auto"/>
              <w:right w:val="single" w:sz="18" w:space="0" w:color="auto"/>
            </w:tcBorders>
            <w:shd w:val="clear" w:color="auto" w:fill="FFFF99"/>
            <w:vAlign w:val="center"/>
          </w:tcPr>
          <w:p w:rsidR="00D76221" w:rsidRDefault="00D76221" w:rsidP="006E221A">
            <w:pPr>
              <w:spacing w:after="0" w:line="240" w:lineRule="auto"/>
              <w:jc w:val="center"/>
              <w:rPr>
                <w:rFonts w:ascii="Calibri" w:hAnsi="Calibri" w:cs="Calibri"/>
                <w:b/>
                <w:bCs/>
                <w:sz w:val="24"/>
                <w:szCs w:val="24"/>
              </w:rPr>
            </w:pPr>
            <w:r>
              <w:rPr>
                <w:rFonts w:ascii="Calibri" w:hAnsi="Calibri" w:cs="Calibri"/>
                <w:b/>
                <w:bCs/>
              </w:rPr>
              <w:t>ISO 4414</w:t>
            </w:r>
          </w:p>
        </w:tc>
      </w:tr>
      <w:tr w:rsidR="00D76221" w:rsidRPr="0043547B" w:rsidTr="006E221A">
        <w:trPr>
          <w:trHeight w:val="315"/>
          <w:jc w:val="center"/>
        </w:trPr>
        <w:tc>
          <w:tcPr>
            <w:tcW w:w="1820" w:type="dxa"/>
            <w:tcBorders>
              <w:top w:val="single" w:sz="18" w:space="0" w:color="auto"/>
              <w:left w:val="single" w:sz="18" w:space="0" w:color="auto"/>
              <w:bottom w:val="single" w:sz="4" w:space="0" w:color="auto"/>
              <w:right w:val="single" w:sz="4" w:space="0" w:color="auto"/>
            </w:tcBorders>
            <w:shd w:val="clear" w:color="auto" w:fill="B8CCE4" w:themeFill="accent1" w:themeFillTint="66"/>
            <w:vAlign w:val="center"/>
          </w:tcPr>
          <w:p w:rsidR="00D76221" w:rsidRDefault="00D76221" w:rsidP="006E221A">
            <w:pPr>
              <w:spacing w:after="0" w:line="240" w:lineRule="auto"/>
              <w:jc w:val="center"/>
              <w:rPr>
                <w:rFonts w:ascii="Calibri" w:hAnsi="Calibri" w:cs="Calibri"/>
                <w:b/>
                <w:bCs/>
              </w:rPr>
            </w:pPr>
            <w:r>
              <w:rPr>
                <w:rFonts w:ascii="Calibri" w:hAnsi="Calibri" w:cs="Calibri"/>
                <w:b/>
                <w:bCs/>
              </w:rPr>
              <w:t xml:space="preserve">Intitulé </w:t>
            </w:r>
          </w:p>
        </w:tc>
        <w:tc>
          <w:tcPr>
            <w:tcW w:w="8126" w:type="dxa"/>
            <w:tcBorders>
              <w:top w:val="single" w:sz="18" w:space="0" w:color="auto"/>
              <w:left w:val="single" w:sz="4" w:space="0" w:color="auto"/>
              <w:bottom w:val="single" w:sz="4" w:space="0" w:color="auto"/>
              <w:right w:val="single" w:sz="18" w:space="0" w:color="auto"/>
            </w:tcBorders>
            <w:shd w:val="clear" w:color="auto" w:fill="auto"/>
          </w:tcPr>
          <w:p w:rsidR="00D76221" w:rsidRDefault="00D76221" w:rsidP="006E221A">
            <w:pPr>
              <w:spacing w:after="0" w:line="240" w:lineRule="auto"/>
              <w:jc w:val="both"/>
              <w:rPr>
                <w:rFonts w:ascii="Calibri" w:hAnsi="Calibri" w:cs="Calibri"/>
                <w:color w:val="000000"/>
              </w:rPr>
            </w:pPr>
            <w:r>
              <w:rPr>
                <w:rFonts w:ascii="Calibri" w:hAnsi="Calibri" w:cs="Calibri"/>
                <w:color w:val="000000"/>
              </w:rPr>
              <w:t xml:space="preserve">Transmissions pneumatiques - Règles générales et exigences de sécurité pour les systèmes et leurs composants  </w:t>
            </w:r>
          </w:p>
        </w:tc>
      </w:tr>
      <w:tr w:rsidR="00D76221" w:rsidRPr="0043547B" w:rsidTr="006E221A">
        <w:trPr>
          <w:trHeight w:val="315"/>
          <w:jc w:val="center"/>
        </w:trPr>
        <w:tc>
          <w:tcPr>
            <w:tcW w:w="1820" w:type="dxa"/>
            <w:tcBorders>
              <w:top w:val="single" w:sz="4" w:space="0" w:color="auto"/>
              <w:left w:val="single" w:sz="18" w:space="0" w:color="auto"/>
              <w:bottom w:val="single" w:sz="18" w:space="0" w:color="auto"/>
              <w:right w:val="single" w:sz="4" w:space="0" w:color="auto"/>
            </w:tcBorders>
            <w:shd w:val="clear" w:color="auto" w:fill="auto"/>
            <w:vAlign w:val="center"/>
          </w:tcPr>
          <w:p w:rsidR="00D76221" w:rsidRDefault="00D76221" w:rsidP="006E221A">
            <w:pPr>
              <w:spacing w:after="0" w:line="240" w:lineRule="auto"/>
              <w:jc w:val="center"/>
              <w:rPr>
                <w:rFonts w:ascii="Calibri" w:hAnsi="Calibri" w:cs="Calibri"/>
                <w:b/>
                <w:bCs/>
              </w:rPr>
            </w:pPr>
            <w:r>
              <w:rPr>
                <w:rFonts w:ascii="Calibri" w:hAnsi="Calibri" w:cs="Calibri"/>
                <w:b/>
                <w:bCs/>
              </w:rPr>
              <w:t xml:space="preserve">Domaine d’application </w:t>
            </w:r>
          </w:p>
        </w:tc>
        <w:tc>
          <w:tcPr>
            <w:tcW w:w="8126" w:type="dxa"/>
            <w:tcBorders>
              <w:top w:val="single" w:sz="4" w:space="0" w:color="auto"/>
              <w:left w:val="single" w:sz="4" w:space="0" w:color="auto"/>
              <w:bottom w:val="single" w:sz="18" w:space="0" w:color="auto"/>
              <w:right w:val="single" w:sz="18" w:space="0" w:color="auto"/>
            </w:tcBorders>
            <w:shd w:val="clear" w:color="auto" w:fill="auto"/>
          </w:tcPr>
          <w:p w:rsidR="006E221A" w:rsidRDefault="00D76221" w:rsidP="006E221A">
            <w:pPr>
              <w:spacing w:after="0" w:line="240" w:lineRule="auto"/>
              <w:jc w:val="both"/>
              <w:rPr>
                <w:rFonts w:ascii="Calibri" w:hAnsi="Calibri" w:cs="Calibri"/>
                <w:color w:val="000000"/>
              </w:rPr>
            </w:pPr>
            <w:r>
              <w:rPr>
                <w:rFonts w:ascii="Calibri" w:hAnsi="Calibri" w:cs="Calibri"/>
                <w:color w:val="000000"/>
              </w:rPr>
              <w:t>La présente Norme internationale spécifie des règles générales et des exigences de sécurité relatives aux systèmes et composants de transmissions pneumatiques utilisés sur des machines telles que définies par l'ISO 12100:2010, 3.1. Elle traite tous les phénomènes dangereux significatifs associés aux systèmes de transmissions pneumatiques et spécifie les principes à appliquer pour éviter ces phénomènes dangereux lorsque les systèmes sont mis en oeuvre selon l'usage prévu.</w:t>
            </w:r>
          </w:p>
          <w:p w:rsidR="00AC30AF" w:rsidRPr="00AC30AF" w:rsidRDefault="00D76221" w:rsidP="006E221A">
            <w:pPr>
              <w:spacing w:after="0" w:line="240" w:lineRule="auto"/>
              <w:jc w:val="both"/>
              <w:rPr>
                <w:rFonts w:ascii="Calibri" w:hAnsi="Calibri" w:cs="Calibri"/>
                <w:i/>
                <w:iCs/>
                <w:color w:val="000000"/>
                <w:sz w:val="20"/>
                <w:szCs w:val="20"/>
              </w:rPr>
            </w:pPr>
            <w:r w:rsidRPr="00AC30AF">
              <w:rPr>
                <w:rFonts w:ascii="Calibri" w:hAnsi="Calibri" w:cs="Calibri"/>
                <w:b/>
                <w:bCs/>
                <w:i/>
                <w:iCs/>
                <w:color w:val="000000"/>
                <w:sz w:val="20"/>
                <w:szCs w:val="20"/>
              </w:rPr>
              <w:t>NOTE 1</w:t>
            </w:r>
            <w:r w:rsidR="00AC30AF" w:rsidRPr="00AC30AF">
              <w:rPr>
                <w:rFonts w:ascii="Calibri" w:hAnsi="Calibri" w:cs="Calibri"/>
                <w:i/>
                <w:iCs/>
                <w:color w:val="000000"/>
                <w:sz w:val="20"/>
                <w:szCs w:val="20"/>
              </w:rPr>
              <w:t xml:space="preserve"> : </w:t>
            </w:r>
            <w:r w:rsidRPr="00AC30AF">
              <w:rPr>
                <w:rFonts w:ascii="Calibri" w:hAnsi="Calibri" w:cs="Calibri"/>
                <w:i/>
                <w:iCs/>
                <w:color w:val="000000"/>
                <w:sz w:val="20"/>
                <w:szCs w:val="20"/>
              </w:rPr>
              <w:t>Voir Article 4 et Annexe A.</w:t>
            </w:r>
          </w:p>
          <w:p w:rsidR="00AC30AF" w:rsidRPr="00AC30AF" w:rsidRDefault="00D76221" w:rsidP="006E221A">
            <w:pPr>
              <w:spacing w:after="0" w:line="240" w:lineRule="auto"/>
              <w:jc w:val="both"/>
              <w:rPr>
                <w:rFonts w:ascii="Calibri" w:hAnsi="Calibri" w:cs="Calibri"/>
                <w:color w:val="000000"/>
              </w:rPr>
            </w:pPr>
            <w:r w:rsidRPr="00AC30AF">
              <w:rPr>
                <w:rFonts w:ascii="Calibri" w:hAnsi="Calibri" w:cs="Calibri"/>
                <w:color w:val="000000"/>
              </w:rPr>
              <w:t>Le phénomène dangereux significatif lié au bruit est traité de manière incomplète dans la présente Norme internationale.</w:t>
            </w:r>
          </w:p>
          <w:p w:rsidR="00AC30AF" w:rsidRPr="00AC30AF" w:rsidRDefault="00D76221" w:rsidP="006E221A">
            <w:pPr>
              <w:spacing w:after="0" w:line="240" w:lineRule="auto"/>
              <w:jc w:val="both"/>
              <w:rPr>
                <w:rFonts w:ascii="Calibri" w:hAnsi="Calibri" w:cs="Calibri"/>
                <w:i/>
                <w:iCs/>
                <w:color w:val="000000"/>
                <w:sz w:val="20"/>
                <w:szCs w:val="20"/>
              </w:rPr>
            </w:pPr>
            <w:r w:rsidRPr="00AC30AF">
              <w:rPr>
                <w:rFonts w:ascii="Calibri" w:hAnsi="Calibri" w:cs="Calibri"/>
                <w:b/>
                <w:bCs/>
                <w:i/>
                <w:iCs/>
                <w:color w:val="000000"/>
                <w:sz w:val="20"/>
                <w:szCs w:val="20"/>
              </w:rPr>
              <w:t>NOTE 2</w:t>
            </w:r>
            <w:r w:rsidR="00AC30AF" w:rsidRPr="00AC30AF">
              <w:rPr>
                <w:rFonts w:ascii="Calibri" w:hAnsi="Calibri" w:cs="Calibri"/>
                <w:i/>
                <w:iCs/>
                <w:color w:val="000000"/>
                <w:sz w:val="20"/>
                <w:szCs w:val="20"/>
              </w:rPr>
              <w:t> :</w:t>
            </w:r>
            <w:r w:rsidRPr="00AC30AF">
              <w:rPr>
                <w:rFonts w:ascii="Calibri" w:hAnsi="Calibri" w:cs="Calibri"/>
                <w:i/>
                <w:iCs/>
                <w:color w:val="000000"/>
                <w:sz w:val="20"/>
                <w:szCs w:val="20"/>
              </w:rPr>
              <w:t>L'émission de bruit dépend surtout de l'installation des composants ou des systèmes pneumatiques dans les machines.</w:t>
            </w:r>
          </w:p>
          <w:p w:rsidR="00AC30AF" w:rsidRDefault="00D76221" w:rsidP="006E221A">
            <w:pPr>
              <w:spacing w:after="0" w:line="240" w:lineRule="auto"/>
              <w:jc w:val="both"/>
              <w:rPr>
                <w:rFonts w:ascii="Calibri" w:hAnsi="Calibri" w:cs="Calibri"/>
                <w:color w:val="000000"/>
              </w:rPr>
            </w:pPr>
            <w:r>
              <w:rPr>
                <w:rFonts w:ascii="Calibri" w:hAnsi="Calibri" w:cs="Calibri"/>
                <w:color w:val="000000"/>
              </w:rPr>
              <w:t>La présente Norme internationale s'applique à la conception, à la construction et à la modification des systèmes et de leurs composants, en tenant également compte des aspects suivants</w:t>
            </w:r>
            <w:r w:rsidR="00AC30AF">
              <w:rPr>
                <w:rFonts w:ascii="Calibri" w:hAnsi="Calibri" w:cs="Calibri"/>
                <w:color w:val="000000"/>
              </w:rPr>
              <w:t xml:space="preserve"> </w:t>
            </w:r>
            <w:r>
              <w:rPr>
                <w:rFonts w:ascii="Calibri" w:hAnsi="Calibri" w:cs="Calibri"/>
                <w:color w:val="000000"/>
              </w:rPr>
              <w:t>:</w:t>
            </w:r>
          </w:p>
          <w:p w:rsidR="00D76221" w:rsidRDefault="00D76221" w:rsidP="00AC30AF">
            <w:pPr>
              <w:spacing w:after="0" w:line="240" w:lineRule="auto"/>
              <w:rPr>
                <w:rFonts w:ascii="Calibri" w:hAnsi="Calibri" w:cs="Calibri"/>
                <w:color w:val="000000"/>
              </w:rPr>
            </w:pPr>
            <w:r>
              <w:rPr>
                <w:rFonts w:ascii="Calibri" w:hAnsi="Calibri" w:cs="Calibri"/>
                <w:color w:val="000000"/>
              </w:rPr>
              <w:t>a) assemblage</w:t>
            </w:r>
            <w:r w:rsidR="00AC30AF">
              <w:rPr>
                <w:rFonts w:ascii="Calibri" w:hAnsi="Calibri" w:cs="Calibri"/>
                <w:color w:val="000000"/>
              </w:rPr>
              <w:t xml:space="preserve"> </w:t>
            </w:r>
            <w:r>
              <w:rPr>
                <w:rFonts w:ascii="Calibri" w:hAnsi="Calibri" w:cs="Calibri"/>
                <w:color w:val="000000"/>
              </w:rPr>
              <w:t>;</w:t>
            </w:r>
            <w:r>
              <w:rPr>
                <w:rFonts w:ascii="Calibri" w:hAnsi="Calibri" w:cs="Calibri"/>
                <w:color w:val="000000"/>
              </w:rPr>
              <w:br/>
              <w:t>b) installation</w:t>
            </w:r>
            <w:r w:rsidR="00AC30AF">
              <w:rPr>
                <w:rFonts w:ascii="Calibri" w:hAnsi="Calibri" w:cs="Calibri"/>
                <w:color w:val="000000"/>
              </w:rPr>
              <w:t xml:space="preserve"> </w:t>
            </w:r>
            <w:r>
              <w:rPr>
                <w:rFonts w:ascii="Calibri" w:hAnsi="Calibri" w:cs="Calibri"/>
                <w:color w:val="000000"/>
              </w:rPr>
              <w:t>;</w:t>
            </w:r>
            <w:r>
              <w:rPr>
                <w:rFonts w:ascii="Calibri" w:hAnsi="Calibri" w:cs="Calibri"/>
                <w:color w:val="000000"/>
              </w:rPr>
              <w:br/>
              <w:t>c) réglage</w:t>
            </w:r>
            <w:r w:rsidR="00AC30AF">
              <w:rPr>
                <w:rFonts w:ascii="Calibri" w:hAnsi="Calibri" w:cs="Calibri"/>
                <w:color w:val="000000"/>
              </w:rPr>
              <w:t xml:space="preserve"> </w:t>
            </w:r>
            <w:r>
              <w:rPr>
                <w:rFonts w:ascii="Calibri" w:hAnsi="Calibri" w:cs="Calibri"/>
                <w:color w:val="000000"/>
              </w:rPr>
              <w:t>;</w:t>
            </w:r>
            <w:r>
              <w:rPr>
                <w:rFonts w:ascii="Calibri" w:hAnsi="Calibri" w:cs="Calibri"/>
                <w:color w:val="000000"/>
              </w:rPr>
              <w:br/>
              <w:t>d) fonctionnement continu du système</w:t>
            </w:r>
            <w:r w:rsidR="00AC30AF">
              <w:rPr>
                <w:rFonts w:ascii="Calibri" w:hAnsi="Calibri" w:cs="Calibri"/>
                <w:color w:val="000000"/>
              </w:rPr>
              <w:t xml:space="preserve"> </w:t>
            </w:r>
            <w:r>
              <w:rPr>
                <w:rFonts w:ascii="Calibri" w:hAnsi="Calibri" w:cs="Calibri"/>
                <w:color w:val="000000"/>
              </w:rPr>
              <w:t>;</w:t>
            </w:r>
            <w:r>
              <w:rPr>
                <w:rFonts w:ascii="Calibri" w:hAnsi="Calibri" w:cs="Calibri"/>
                <w:color w:val="000000"/>
              </w:rPr>
              <w:br/>
              <w:t>e) facilité et économie de la maintenance et du nettoyage</w:t>
            </w:r>
            <w:r w:rsidR="00AC30AF">
              <w:rPr>
                <w:rFonts w:ascii="Calibri" w:hAnsi="Calibri" w:cs="Calibri"/>
                <w:color w:val="000000"/>
              </w:rPr>
              <w:t xml:space="preserve"> </w:t>
            </w:r>
            <w:r>
              <w:rPr>
                <w:rFonts w:ascii="Calibri" w:hAnsi="Calibri" w:cs="Calibri"/>
                <w:color w:val="000000"/>
              </w:rPr>
              <w:t>;</w:t>
            </w:r>
            <w:r>
              <w:rPr>
                <w:rFonts w:ascii="Calibri" w:hAnsi="Calibri" w:cs="Calibri"/>
                <w:color w:val="000000"/>
              </w:rPr>
              <w:br/>
              <w:t>f) fiabilité du fonctionnement pour tous les usages prévus</w:t>
            </w:r>
            <w:r w:rsidR="00AC30AF">
              <w:rPr>
                <w:rFonts w:ascii="Calibri" w:hAnsi="Calibri" w:cs="Calibri"/>
                <w:color w:val="000000"/>
              </w:rPr>
              <w:t xml:space="preserve"> </w:t>
            </w:r>
            <w:r>
              <w:rPr>
                <w:rFonts w:ascii="Calibri" w:hAnsi="Calibri" w:cs="Calibri"/>
                <w:color w:val="000000"/>
              </w:rPr>
              <w:t>;</w:t>
            </w:r>
            <w:r>
              <w:rPr>
                <w:rFonts w:ascii="Calibri" w:hAnsi="Calibri" w:cs="Calibri"/>
                <w:color w:val="000000"/>
              </w:rPr>
              <w:br/>
              <w:t>g) rendement énergétique</w:t>
            </w:r>
            <w:r w:rsidR="00AC30AF">
              <w:rPr>
                <w:rFonts w:ascii="Calibri" w:hAnsi="Calibri" w:cs="Calibri"/>
                <w:color w:val="000000"/>
              </w:rPr>
              <w:t xml:space="preserve"> </w:t>
            </w:r>
            <w:r>
              <w:rPr>
                <w:rFonts w:ascii="Calibri" w:hAnsi="Calibri" w:cs="Calibri"/>
                <w:color w:val="000000"/>
              </w:rPr>
              <w:t>; et</w:t>
            </w:r>
            <w:r>
              <w:rPr>
                <w:rFonts w:ascii="Calibri" w:hAnsi="Calibri" w:cs="Calibri"/>
                <w:color w:val="000000"/>
              </w:rPr>
              <w:br/>
              <w:t>h) environnement.</w:t>
            </w:r>
            <w:r>
              <w:rPr>
                <w:rFonts w:ascii="Calibri" w:hAnsi="Calibri" w:cs="Calibri"/>
                <w:color w:val="000000"/>
              </w:rPr>
              <w:br/>
              <w:t>La présente Norme internationale ne s'applique pas aux compresseurs d'air et aux systèmes associés à la distribution d'air généralement installés dans une usine, y compris les bouteilles à gaz et les réservoirs d'air comprimé.</w:t>
            </w:r>
          </w:p>
        </w:tc>
      </w:tr>
      <w:tr w:rsidR="00D76221" w:rsidRPr="00AC30AF" w:rsidTr="00AC30AF">
        <w:trPr>
          <w:trHeight w:val="315"/>
          <w:jc w:val="center"/>
        </w:trPr>
        <w:tc>
          <w:tcPr>
            <w:tcW w:w="1820"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tcPr>
          <w:p w:rsidR="00D76221" w:rsidRDefault="00D76221" w:rsidP="00AC30AF">
            <w:pPr>
              <w:spacing w:after="0" w:line="240" w:lineRule="auto"/>
              <w:jc w:val="center"/>
              <w:rPr>
                <w:rFonts w:ascii="Calibri" w:hAnsi="Calibri" w:cs="Calibri"/>
                <w:b/>
                <w:bCs/>
              </w:rPr>
            </w:pPr>
            <w:r>
              <w:rPr>
                <w:rFonts w:ascii="Calibri" w:hAnsi="Calibri" w:cs="Calibri"/>
                <w:b/>
                <w:bCs/>
              </w:rPr>
              <w:t xml:space="preserve">Code </w:t>
            </w:r>
          </w:p>
        </w:tc>
        <w:tc>
          <w:tcPr>
            <w:tcW w:w="8126"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tcPr>
          <w:p w:rsidR="00D76221" w:rsidRPr="00AC30AF" w:rsidRDefault="00D76221" w:rsidP="00AC30AF">
            <w:pPr>
              <w:spacing w:after="0" w:line="240" w:lineRule="auto"/>
              <w:jc w:val="center"/>
              <w:rPr>
                <w:rFonts w:ascii="Calibri" w:hAnsi="Calibri" w:cs="Calibri"/>
                <w:b/>
                <w:bCs/>
              </w:rPr>
            </w:pPr>
            <w:r w:rsidRPr="00AC30AF">
              <w:rPr>
                <w:rFonts w:ascii="Calibri" w:hAnsi="Calibri" w:cs="Calibri"/>
                <w:b/>
                <w:bCs/>
              </w:rPr>
              <w:t>NM ISO 13849-2</w:t>
            </w:r>
          </w:p>
        </w:tc>
      </w:tr>
      <w:tr w:rsidR="00D76221" w:rsidRPr="00AC30AF" w:rsidTr="00AC30AF">
        <w:trPr>
          <w:trHeight w:val="315"/>
          <w:jc w:val="center"/>
        </w:trPr>
        <w:tc>
          <w:tcPr>
            <w:tcW w:w="1820" w:type="dxa"/>
            <w:tcBorders>
              <w:top w:val="single" w:sz="18" w:space="0" w:color="auto"/>
              <w:left w:val="single" w:sz="18" w:space="0" w:color="auto"/>
              <w:bottom w:val="single" w:sz="18" w:space="0" w:color="auto"/>
              <w:right w:val="single" w:sz="4" w:space="0" w:color="auto"/>
            </w:tcBorders>
            <w:shd w:val="clear" w:color="auto" w:fill="FFFF99"/>
            <w:vAlign w:val="center"/>
          </w:tcPr>
          <w:p w:rsidR="00D76221" w:rsidRDefault="00D76221" w:rsidP="00AC30AF">
            <w:pPr>
              <w:spacing w:after="0" w:line="240" w:lineRule="auto"/>
              <w:jc w:val="center"/>
              <w:rPr>
                <w:rFonts w:ascii="Calibri" w:hAnsi="Calibri" w:cs="Calibri"/>
                <w:b/>
                <w:bCs/>
              </w:rPr>
            </w:pPr>
            <w:r>
              <w:rPr>
                <w:rFonts w:ascii="Calibri" w:hAnsi="Calibri" w:cs="Calibri"/>
                <w:b/>
                <w:bCs/>
              </w:rPr>
              <w:t xml:space="preserve">Equivalence </w:t>
            </w:r>
          </w:p>
        </w:tc>
        <w:tc>
          <w:tcPr>
            <w:tcW w:w="8126" w:type="dxa"/>
            <w:tcBorders>
              <w:top w:val="single" w:sz="18" w:space="0" w:color="auto"/>
              <w:left w:val="single" w:sz="4" w:space="0" w:color="auto"/>
              <w:bottom w:val="single" w:sz="18" w:space="0" w:color="auto"/>
              <w:right w:val="single" w:sz="18" w:space="0" w:color="auto"/>
            </w:tcBorders>
            <w:shd w:val="clear" w:color="auto" w:fill="FFFF99"/>
            <w:vAlign w:val="center"/>
          </w:tcPr>
          <w:p w:rsidR="00D76221" w:rsidRPr="00AC30AF" w:rsidRDefault="00D76221" w:rsidP="00AC30AF">
            <w:pPr>
              <w:spacing w:after="0" w:line="240" w:lineRule="auto"/>
              <w:jc w:val="center"/>
              <w:rPr>
                <w:rFonts w:ascii="Calibri" w:hAnsi="Calibri" w:cs="Calibri"/>
                <w:b/>
                <w:bCs/>
              </w:rPr>
            </w:pPr>
            <w:r>
              <w:rPr>
                <w:rFonts w:ascii="Calibri" w:hAnsi="Calibri" w:cs="Calibri"/>
                <w:b/>
                <w:bCs/>
              </w:rPr>
              <w:t>ISO 13849-2</w:t>
            </w:r>
          </w:p>
        </w:tc>
      </w:tr>
      <w:tr w:rsidR="00D76221" w:rsidRPr="00AC30AF" w:rsidTr="00AC30AF">
        <w:trPr>
          <w:trHeight w:val="315"/>
          <w:jc w:val="center"/>
        </w:trPr>
        <w:tc>
          <w:tcPr>
            <w:tcW w:w="1820" w:type="dxa"/>
            <w:tcBorders>
              <w:top w:val="single" w:sz="18" w:space="0" w:color="auto"/>
              <w:left w:val="single" w:sz="18" w:space="0" w:color="auto"/>
              <w:bottom w:val="single" w:sz="4" w:space="0" w:color="auto"/>
              <w:right w:val="single" w:sz="4" w:space="0" w:color="auto"/>
            </w:tcBorders>
            <w:shd w:val="clear" w:color="auto" w:fill="B8CCE4" w:themeFill="accent1" w:themeFillTint="66"/>
            <w:vAlign w:val="center"/>
          </w:tcPr>
          <w:p w:rsidR="00D76221" w:rsidRDefault="00D76221" w:rsidP="00AC30AF">
            <w:pPr>
              <w:spacing w:after="0" w:line="240" w:lineRule="auto"/>
              <w:jc w:val="center"/>
              <w:rPr>
                <w:rFonts w:ascii="Calibri" w:hAnsi="Calibri" w:cs="Calibri"/>
                <w:b/>
                <w:bCs/>
              </w:rPr>
            </w:pPr>
            <w:r>
              <w:rPr>
                <w:rFonts w:ascii="Calibri" w:hAnsi="Calibri" w:cs="Calibri"/>
                <w:b/>
                <w:bCs/>
              </w:rPr>
              <w:lastRenderedPageBreak/>
              <w:t xml:space="preserve">Intitulé </w:t>
            </w:r>
          </w:p>
        </w:tc>
        <w:tc>
          <w:tcPr>
            <w:tcW w:w="8126" w:type="dxa"/>
            <w:tcBorders>
              <w:top w:val="single" w:sz="18" w:space="0" w:color="auto"/>
              <w:left w:val="single" w:sz="4" w:space="0" w:color="auto"/>
              <w:bottom w:val="single" w:sz="4" w:space="0" w:color="auto"/>
              <w:right w:val="single" w:sz="18" w:space="0" w:color="auto"/>
            </w:tcBorders>
            <w:shd w:val="clear" w:color="auto" w:fill="auto"/>
          </w:tcPr>
          <w:p w:rsidR="00D76221" w:rsidRPr="00AC30AF" w:rsidRDefault="00D76221" w:rsidP="00AC30AF">
            <w:pPr>
              <w:spacing w:after="0" w:line="240" w:lineRule="auto"/>
              <w:rPr>
                <w:rFonts w:ascii="Calibri" w:hAnsi="Calibri" w:cs="Calibri"/>
              </w:rPr>
            </w:pPr>
            <w:r w:rsidRPr="00AC30AF">
              <w:rPr>
                <w:rFonts w:ascii="Calibri" w:hAnsi="Calibri" w:cs="Calibri"/>
              </w:rPr>
              <w:t xml:space="preserve">Sécurité des machines - Parties des systèmes de commande relatives à la sécurité - Partie 2 : validation  </w:t>
            </w:r>
          </w:p>
        </w:tc>
      </w:tr>
      <w:tr w:rsidR="00D76221" w:rsidRPr="00AC30AF" w:rsidTr="00AC30AF">
        <w:trPr>
          <w:trHeight w:val="315"/>
          <w:jc w:val="center"/>
        </w:trPr>
        <w:tc>
          <w:tcPr>
            <w:tcW w:w="1820" w:type="dxa"/>
            <w:tcBorders>
              <w:top w:val="single" w:sz="4" w:space="0" w:color="auto"/>
              <w:left w:val="single" w:sz="18" w:space="0" w:color="auto"/>
              <w:bottom w:val="single" w:sz="18" w:space="0" w:color="auto"/>
              <w:right w:val="single" w:sz="4" w:space="0" w:color="auto"/>
            </w:tcBorders>
            <w:shd w:val="clear" w:color="auto" w:fill="auto"/>
            <w:vAlign w:val="center"/>
          </w:tcPr>
          <w:p w:rsidR="00D76221" w:rsidRDefault="00D76221" w:rsidP="00AC30AF">
            <w:pPr>
              <w:spacing w:after="0" w:line="240" w:lineRule="auto"/>
              <w:jc w:val="center"/>
              <w:rPr>
                <w:rFonts w:ascii="Calibri" w:hAnsi="Calibri" w:cs="Calibri"/>
                <w:b/>
                <w:bCs/>
              </w:rPr>
            </w:pPr>
            <w:r>
              <w:rPr>
                <w:rFonts w:ascii="Calibri" w:hAnsi="Calibri" w:cs="Calibri"/>
                <w:b/>
                <w:bCs/>
              </w:rPr>
              <w:t xml:space="preserve">Domaine d’application </w:t>
            </w:r>
          </w:p>
        </w:tc>
        <w:tc>
          <w:tcPr>
            <w:tcW w:w="8126" w:type="dxa"/>
            <w:tcBorders>
              <w:top w:val="single" w:sz="4" w:space="0" w:color="auto"/>
              <w:left w:val="single" w:sz="4" w:space="0" w:color="auto"/>
              <w:bottom w:val="single" w:sz="18" w:space="0" w:color="auto"/>
              <w:right w:val="single" w:sz="18" w:space="0" w:color="auto"/>
            </w:tcBorders>
            <w:shd w:val="clear" w:color="auto" w:fill="auto"/>
          </w:tcPr>
          <w:p w:rsidR="00AC30AF" w:rsidRDefault="00D76221" w:rsidP="00AC30AF">
            <w:pPr>
              <w:spacing w:after="0" w:line="240" w:lineRule="auto"/>
              <w:rPr>
                <w:rFonts w:ascii="Calibri" w:hAnsi="Calibri" w:cs="Calibri"/>
              </w:rPr>
            </w:pPr>
            <w:r w:rsidRPr="00AC30AF">
              <w:rPr>
                <w:rFonts w:ascii="Calibri" w:hAnsi="Calibri" w:cs="Calibri"/>
              </w:rPr>
              <w:t>La présente partie de l’ISO 13849 spécifie les modes opératoires et conditions à suivre pour la validation par analyse et par essais</w:t>
            </w:r>
            <w:r w:rsidR="00AC30AF">
              <w:rPr>
                <w:rFonts w:ascii="Calibri" w:hAnsi="Calibri" w:cs="Calibri"/>
              </w:rPr>
              <w:t> :</w:t>
            </w:r>
          </w:p>
          <w:p w:rsidR="00D76221" w:rsidRPr="00AC30AF" w:rsidRDefault="00D76221" w:rsidP="00AC30AF">
            <w:pPr>
              <w:spacing w:after="0" w:line="240" w:lineRule="auto"/>
              <w:rPr>
                <w:rFonts w:ascii="Calibri" w:hAnsi="Calibri" w:cs="Calibri"/>
              </w:rPr>
            </w:pPr>
            <w:r w:rsidRPr="00AC30AF">
              <w:rPr>
                <w:rFonts w:ascii="Calibri" w:hAnsi="Calibri" w:cs="Calibri"/>
              </w:rPr>
              <w:t>— des fonctions de sécurité spécifiées,</w:t>
            </w:r>
            <w:r w:rsidRPr="00AC30AF">
              <w:rPr>
                <w:rFonts w:ascii="Calibri" w:hAnsi="Calibri" w:cs="Calibri"/>
              </w:rPr>
              <w:br/>
              <w:t>— de la catégorie atteinte, et</w:t>
            </w:r>
            <w:r w:rsidRPr="00AC30AF">
              <w:rPr>
                <w:rFonts w:ascii="Calibri" w:hAnsi="Calibri" w:cs="Calibri"/>
              </w:rPr>
              <w:br/>
              <w:t>— du niveau de performance atteint</w:t>
            </w:r>
            <w:r w:rsidRPr="00AC30AF">
              <w:rPr>
                <w:rFonts w:ascii="Calibri" w:hAnsi="Calibri" w:cs="Calibri"/>
              </w:rPr>
              <w:br/>
              <w:t>par les parties d’un système de commande relatives à la sécurité (SRP/CS) conçu conformément à l’ISO 13849</w:t>
            </w:r>
            <w:r w:rsidRPr="00AC30AF">
              <w:rPr>
                <w:rFonts w:ascii="Calibri" w:hAnsi="Calibri" w:cs="Calibri"/>
              </w:rPr>
              <w:noBreakHyphen/>
              <w:t>1.</w:t>
            </w:r>
            <w:r w:rsidRPr="00AC30AF">
              <w:rPr>
                <w:rFonts w:ascii="Calibri" w:hAnsi="Calibri" w:cs="Calibri"/>
              </w:rPr>
              <w:br/>
            </w:r>
            <w:r w:rsidRPr="005C4BD2">
              <w:rPr>
                <w:rFonts w:ascii="Calibri" w:hAnsi="Calibri" w:cs="Calibri"/>
                <w:b/>
                <w:bCs/>
                <w:i/>
                <w:iCs/>
                <w:sz w:val="20"/>
                <w:szCs w:val="20"/>
              </w:rPr>
              <w:t>NOTE</w:t>
            </w:r>
            <w:r w:rsidR="00AC30AF" w:rsidRPr="00AC30AF">
              <w:rPr>
                <w:rFonts w:ascii="Calibri" w:hAnsi="Calibri" w:cs="Calibri"/>
                <w:i/>
                <w:iCs/>
                <w:sz w:val="20"/>
                <w:szCs w:val="20"/>
              </w:rPr>
              <w:t xml:space="preserve"> : </w:t>
            </w:r>
            <w:r w:rsidRPr="00AC30AF">
              <w:rPr>
                <w:rFonts w:ascii="Calibri" w:hAnsi="Calibri" w:cs="Calibri"/>
                <w:i/>
                <w:iCs/>
                <w:sz w:val="20"/>
                <w:szCs w:val="20"/>
              </w:rPr>
              <w:t>Des exigences supplémentaires pour les systèmes électroniques programmables, y compris les logiciels intégrés, sont données dans l’ISO 13849</w:t>
            </w:r>
            <w:r w:rsidRPr="00AC30AF">
              <w:rPr>
                <w:rFonts w:ascii="Calibri" w:hAnsi="Calibri" w:cs="Calibri"/>
                <w:i/>
                <w:iCs/>
                <w:sz w:val="20"/>
                <w:szCs w:val="20"/>
              </w:rPr>
              <w:noBreakHyphen/>
              <w:t>1:2006, 4.6 et dans la série CEI 61508.</w:t>
            </w:r>
          </w:p>
        </w:tc>
      </w:tr>
      <w:tr w:rsidR="00D76221" w:rsidRPr="00AC30AF" w:rsidTr="00AC30AF">
        <w:trPr>
          <w:trHeight w:val="315"/>
          <w:jc w:val="center"/>
        </w:trPr>
        <w:tc>
          <w:tcPr>
            <w:tcW w:w="1820"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tcPr>
          <w:p w:rsidR="00D76221" w:rsidRDefault="00D76221" w:rsidP="00AC30AF">
            <w:pPr>
              <w:spacing w:after="0" w:line="240" w:lineRule="auto"/>
              <w:jc w:val="center"/>
              <w:rPr>
                <w:rFonts w:ascii="Calibri" w:hAnsi="Calibri" w:cs="Calibri"/>
                <w:b/>
                <w:bCs/>
              </w:rPr>
            </w:pPr>
            <w:r>
              <w:rPr>
                <w:rFonts w:ascii="Calibri" w:hAnsi="Calibri" w:cs="Calibri"/>
                <w:b/>
                <w:bCs/>
              </w:rPr>
              <w:t xml:space="preserve">Code  </w:t>
            </w:r>
          </w:p>
        </w:tc>
        <w:tc>
          <w:tcPr>
            <w:tcW w:w="8126" w:type="dxa"/>
            <w:tcBorders>
              <w:top w:val="single" w:sz="18" w:space="0" w:color="auto"/>
              <w:left w:val="single" w:sz="4" w:space="0" w:color="auto"/>
              <w:bottom w:val="single" w:sz="18" w:space="0" w:color="auto"/>
              <w:right w:val="single" w:sz="18" w:space="0" w:color="auto"/>
            </w:tcBorders>
            <w:shd w:val="clear" w:color="auto" w:fill="C2D69B" w:themeFill="accent3" w:themeFillTint="99"/>
          </w:tcPr>
          <w:p w:rsidR="00D76221" w:rsidRPr="00AC30AF" w:rsidRDefault="00D76221" w:rsidP="00AC30AF">
            <w:pPr>
              <w:spacing w:after="0" w:line="240" w:lineRule="auto"/>
              <w:jc w:val="center"/>
              <w:rPr>
                <w:rFonts w:ascii="Calibri" w:hAnsi="Calibri" w:cs="Calibri"/>
                <w:b/>
                <w:bCs/>
              </w:rPr>
            </w:pPr>
            <w:r w:rsidRPr="00AC30AF">
              <w:rPr>
                <w:rFonts w:ascii="Calibri" w:hAnsi="Calibri" w:cs="Calibri"/>
                <w:b/>
                <w:bCs/>
              </w:rPr>
              <w:t>NM ISO 13850</w:t>
            </w:r>
          </w:p>
        </w:tc>
      </w:tr>
      <w:tr w:rsidR="00D76221" w:rsidRPr="00AC30AF" w:rsidTr="00AC30AF">
        <w:trPr>
          <w:trHeight w:val="315"/>
          <w:jc w:val="center"/>
        </w:trPr>
        <w:tc>
          <w:tcPr>
            <w:tcW w:w="1820" w:type="dxa"/>
            <w:tcBorders>
              <w:top w:val="single" w:sz="18" w:space="0" w:color="auto"/>
              <w:left w:val="single" w:sz="18" w:space="0" w:color="auto"/>
              <w:bottom w:val="single" w:sz="18" w:space="0" w:color="auto"/>
              <w:right w:val="single" w:sz="4" w:space="0" w:color="auto"/>
            </w:tcBorders>
            <w:shd w:val="clear" w:color="auto" w:fill="FFFF99"/>
            <w:vAlign w:val="center"/>
          </w:tcPr>
          <w:p w:rsidR="00D76221" w:rsidRDefault="00D76221" w:rsidP="00AC30AF">
            <w:pPr>
              <w:spacing w:after="0" w:line="240" w:lineRule="auto"/>
              <w:jc w:val="center"/>
              <w:rPr>
                <w:rFonts w:ascii="Calibri" w:hAnsi="Calibri" w:cs="Calibri"/>
                <w:b/>
                <w:bCs/>
              </w:rPr>
            </w:pPr>
            <w:r>
              <w:rPr>
                <w:rFonts w:ascii="Calibri" w:hAnsi="Calibri" w:cs="Calibri"/>
                <w:b/>
                <w:bCs/>
              </w:rPr>
              <w:t xml:space="preserve">Equivalence </w:t>
            </w:r>
          </w:p>
        </w:tc>
        <w:tc>
          <w:tcPr>
            <w:tcW w:w="8126" w:type="dxa"/>
            <w:tcBorders>
              <w:top w:val="single" w:sz="18" w:space="0" w:color="auto"/>
              <w:left w:val="single" w:sz="4" w:space="0" w:color="auto"/>
              <w:bottom w:val="single" w:sz="18" w:space="0" w:color="auto"/>
              <w:right w:val="single" w:sz="18" w:space="0" w:color="auto"/>
            </w:tcBorders>
            <w:shd w:val="clear" w:color="auto" w:fill="FFFF99"/>
          </w:tcPr>
          <w:p w:rsidR="00D76221" w:rsidRPr="00AC30AF" w:rsidRDefault="00D76221" w:rsidP="00AC30AF">
            <w:pPr>
              <w:spacing w:after="0" w:line="240" w:lineRule="auto"/>
              <w:jc w:val="center"/>
              <w:rPr>
                <w:rFonts w:ascii="Calibri" w:hAnsi="Calibri" w:cs="Calibri"/>
                <w:b/>
                <w:bCs/>
              </w:rPr>
            </w:pPr>
            <w:r w:rsidRPr="00AC30AF">
              <w:rPr>
                <w:rFonts w:ascii="Calibri" w:hAnsi="Calibri" w:cs="Calibri"/>
                <w:b/>
                <w:bCs/>
              </w:rPr>
              <w:t>ISO 13850</w:t>
            </w:r>
          </w:p>
        </w:tc>
      </w:tr>
      <w:tr w:rsidR="00D76221" w:rsidRPr="00AC30AF" w:rsidTr="00AC30AF">
        <w:trPr>
          <w:trHeight w:val="315"/>
          <w:jc w:val="center"/>
        </w:trPr>
        <w:tc>
          <w:tcPr>
            <w:tcW w:w="1820" w:type="dxa"/>
            <w:tcBorders>
              <w:top w:val="single" w:sz="18" w:space="0" w:color="auto"/>
              <w:left w:val="single" w:sz="18" w:space="0" w:color="auto"/>
              <w:bottom w:val="single" w:sz="4" w:space="0" w:color="auto"/>
              <w:right w:val="single" w:sz="4" w:space="0" w:color="auto"/>
            </w:tcBorders>
            <w:shd w:val="clear" w:color="auto" w:fill="auto"/>
            <w:vAlign w:val="center"/>
          </w:tcPr>
          <w:p w:rsidR="00D76221" w:rsidRDefault="00D76221" w:rsidP="00AC30AF">
            <w:pPr>
              <w:spacing w:after="0" w:line="240" w:lineRule="auto"/>
              <w:jc w:val="center"/>
              <w:rPr>
                <w:rFonts w:ascii="Calibri" w:hAnsi="Calibri" w:cs="Calibri"/>
                <w:b/>
                <w:bCs/>
              </w:rPr>
            </w:pPr>
            <w:r>
              <w:rPr>
                <w:rFonts w:ascii="Calibri" w:hAnsi="Calibri" w:cs="Calibri"/>
                <w:b/>
                <w:bCs/>
              </w:rPr>
              <w:t xml:space="preserve">Intitulé </w:t>
            </w:r>
          </w:p>
        </w:tc>
        <w:tc>
          <w:tcPr>
            <w:tcW w:w="8126" w:type="dxa"/>
            <w:tcBorders>
              <w:top w:val="single" w:sz="18" w:space="0" w:color="auto"/>
              <w:left w:val="single" w:sz="4" w:space="0" w:color="auto"/>
              <w:bottom w:val="single" w:sz="4" w:space="0" w:color="auto"/>
              <w:right w:val="single" w:sz="18" w:space="0" w:color="auto"/>
            </w:tcBorders>
            <w:shd w:val="clear" w:color="auto" w:fill="auto"/>
          </w:tcPr>
          <w:p w:rsidR="00D76221" w:rsidRPr="00AC30AF" w:rsidRDefault="00D76221" w:rsidP="00AC30AF">
            <w:pPr>
              <w:spacing w:after="0" w:line="240" w:lineRule="auto"/>
              <w:jc w:val="center"/>
              <w:rPr>
                <w:rFonts w:ascii="Calibri" w:hAnsi="Calibri" w:cs="Calibri"/>
                <w:b/>
                <w:bCs/>
              </w:rPr>
            </w:pPr>
            <w:r w:rsidRPr="00AC30AF">
              <w:rPr>
                <w:rFonts w:ascii="Calibri" w:hAnsi="Calibri" w:cs="Calibri"/>
                <w:b/>
                <w:bCs/>
              </w:rPr>
              <w:t xml:space="preserve">Sécurité des machines - Fonction d'arrêt d'urgence - Principes de conception  </w:t>
            </w:r>
          </w:p>
        </w:tc>
      </w:tr>
      <w:tr w:rsidR="00D76221" w:rsidRPr="0043547B" w:rsidTr="00AC30AF">
        <w:trPr>
          <w:trHeight w:val="315"/>
          <w:jc w:val="center"/>
        </w:trPr>
        <w:tc>
          <w:tcPr>
            <w:tcW w:w="1820" w:type="dxa"/>
            <w:tcBorders>
              <w:top w:val="single" w:sz="4" w:space="0" w:color="auto"/>
              <w:left w:val="single" w:sz="18" w:space="0" w:color="auto"/>
              <w:bottom w:val="single" w:sz="18" w:space="0" w:color="auto"/>
              <w:right w:val="single" w:sz="4" w:space="0" w:color="auto"/>
            </w:tcBorders>
            <w:shd w:val="clear" w:color="auto" w:fill="auto"/>
            <w:vAlign w:val="center"/>
          </w:tcPr>
          <w:p w:rsidR="00D76221" w:rsidRDefault="00D76221" w:rsidP="005C4BD2">
            <w:pPr>
              <w:spacing w:after="0" w:line="240" w:lineRule="auto"/>
              <w:jc w:val="center"/>
              <w:rPr>
                <w:rFonts w:ascii="Calibri" w:hAnsi="Calibri" w:cs="Calibri"/>
                <w:b/>
                <w:bCs/>
              </w:rPr>
            </w:pPr>
            <w:r>
              <w:rPr>
                <w:rFonts w:ascii="Calibri" w:hAnsi="Calibri" w:cs="Calibri"/>
                <w:b/>
                <w:bCs/>
              </w:rPr>
              <w:t xml:space="preserve">Domaine d’application </w:t>
            </w:r>
          </w:p>
        </w:tc>
        <w:tc>
          <w:tcPr>
            <w:tcW w:w="8126" w:type="dxa"/>
            <w:tcBorders>
              <w:top w:val="single" w:sz="4" w:space="0" w:color="auto"/>
              <w:left w:val="single" w:sz="4" w:space="0" w:color="auto"/>
              <w:bottom w:val="single" w:sz="18" w:space="0" w:color="auto"/>
              <w:right w:val="single" w:sz="18" w:space="0" w:color="auto"/>
            </w:tcBorders>
            <w:shd w:val="clear" w:color="auto" w:fill="auto"/>
          </w:tcPr>
          <w:p w:rsidR="005C4BD2" w:rsidRPr="005C4BD2" w:rsidRDefault="00D76221" w:rsidP="005C4BD2">
            <w:pPr>
              <w:spacing w:after="0" w:line="240" w:lineRule="auto"/>
              <w:jc w:val="both"/>
              <w:rPr>
                <w:rFonts w:ascii="Calibri" w:hAnsi="Calibri" w:cs="Calibri"/>
              </w:rPr>
            </w:pPr>
            <w:r w:rsidRPr="005C4BD2">
              <w:rPr>
                <w:rFonts w:ascii="Calibri" w:hAnsi="Calibri" w:cs="Calibri"/>
              </w:rPr>
              <w:t>La présente Norme internationale spécifie les exigences fonctionnelles et les principes de conception de la fonction d’arrêt d’urgence, indépendamment du type d’énergie utilisée.</w:t>
            </w:r>
            <w:r w:rsidRPr="005C4BD2">
              <w:rPr>
                <w:rFonts w:ascii="Calibri" w:hAnsi="Calibri" w:cs="Calibri"/>
              </w:rPr>
              <w:br/>
              <w:t>La présente Norme internationale ne traite pas des fonctions telles que l’inversion ou la limitation du mouvement, la déflexion d’émissions (par exemple, rayonnements, fluides), l’interposition d’un écran, le freinage ou la déconnexion, qui peuvent faire partie de la fonction arrêt d’urgence.</w:t>
            </w:r>
          </w:p>
          <w:p w:rsidR="005C4BD2" w:rsidRDefault="00D76221" w:rsidP="005C4BD2">
            <w:pPr>
              <w:spacing w:after="0" w:line="240" w:lineRule="auto"/>
              <w:jc w:val="both"/>
              <w:rPr>
                <w:rFonts w:ascii="Calibri" w:hAnsi="Calibri" w:cs="Calibri"/>
              </w:rPr>
            </w:pPr>
            <w:r w:rsidRPr="005C4BD2">
              <w:rPr>
                <w:rFonts w:ascii="Calibri" w:hAnsi="Calibri" w:cs="Calibri"/>
              </w:rPr>
              <w:t>Les exigences de la présente Norme internationale s’appliquent à toutes les machines, à l’exception:</w:t>
            </w:r>
            <w:r w:rsidRPr="005C4BD2">
              <w:rPr>
                <w:rFonts w:ascii="Calibri" w:hAnsi="Calibri" w:cs="Calibri"/>
              </w:rPr>
              <w:br/>
              <w:t>— des machines pour lesquelles un arrêt d’urgence ne réduirait pas le risque;</w:t>
            </w:r>
            <w:r w:rsidRPr="005C4BD2">
              <w:rPr>
                <w:rFonts w:ascii="Calibri" w:hAnsi="Calibri" w:cs="Calibri"/>
              </w:rPr>
              <w:br/>
              <w:t>— des machines portatives tenues à la main ou machines à main.</w:t>
            </w:r>
          </w:p>
          <w:p w:rsidR="00D76221" w:rsidRPr="005C4BD2" w:rsidRDefault="00D76221" w:rsidP="005C4BD2">
            <w:pPr>
              <w:spacing w:after="0" w:line="240" w:lineRule="auto"/>
              <w:jc w:val="both"/>
              <w:rPr>
                <w:rFonts w:ascii="Calibri" w:hAnsi="Calibri" w:cs="Calibri"/>
                <w:b/>
                <w:bCs/>
                <w:i/>
                <w:iCs/>
              </w:rPr>
            </w:pPr>
            <w:r w:rsidRPr="005C4BD2">
              <w:rPr>
                <w:rFonts w:ascii="Calibri" w:hAnsi="Calibri" w:cs="Calibri"/>
                <w:b/>
                <w:bCs/>
                <w:i/>
                <w:iCs/>
                <w:sz w:val="20"/>
                <w:szCs w:val="20"/>
              </w:rPr>
              <w:t>NOTE</w:t>
            </w:r>
            <w:r w:rsidR="005C4BD2" w:rsidRPr="005C4BD2">
              <w:rPr>
                <w:rFonts w:ascii="Calibri" w:hAnsi="Calibri" w:cs="Calibri"/>
                <w:i/>
                <w:iCs/>
                <w:sz w:val="20"/>
                <w:szCs w:val="20"/>
              </w:rPr>
              <w:t> :</w:t>
            </w:r>
            <w:r w:rsidRPr="005C4BD2">
              <w:rPr>
                <w:rFonts w:ascii="Calibri" w:hAnsi="Calibri" w:cs="Calibri"/>
                <w:i/>
                <w:iCs/>
                <w:sz w:val="20"/>
                <w:szCs w:val="20"/>
              </w:rPr>
              <w:t xml:space="preserve"> Les exigences relatives à la réalisation de la fonction d’arrêt d’urgence basée sur la technologie électrique/électronique sont décrites dans l’IEC 60204-1.</w:t>
            </w:r>
          </w:p>
        </w:tc>
      </w:tr>
      <w:tr w:rsidR="00D76221" w:rsidRPr="005C4BD2" w:rsidTr="005C4BD2">
        <w:trPr>
          <w:trHeight w:val="315"/>
          <w:jc w:val="center"/>
        </w:trPr>
        <w:tc>
          <w:tcPr>
            <w:tcW w:w="1820"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tcPr>
          <w:p w:rsidR="00D76221" w:rsidRDefault="00D76221" w:rsidP="005C4BD2">
            <w:pPr>
              <w:spacing w:after="0" w:line="240" w:lineRule="auto"/>
              <w:jc w:val="center"/>
              <w:rPr>
                <w:rFonts w:ascii="Calibri" w:hAnsi="Calibri" w:cs="Calibri"/>
                <w:b/>
                <w:bCs/>
              </w:rPr>
            </w:pPr>
            <w:r>
              <w:rPr>
                <w:rFonts w:ascii="Calibri" w:hAnsi="Calibri" w:cs="Calibri"/>
                <w:b/>
                <w:bCs/>
              </w:rPr>
              <w:t xml:space="preserve">Code </w:t>
            </w:r>
          </w:p>
        </w:tc>
        <w:tc>
          <w:tcPr>
            <w:tcW w:w="8126"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tcPr>
          <w:p w:rsidR="00D76221" w:rsidRPr="005C4BD2" w:rsidRDefault="00D76221" w:rsidP="005C4BD2">
            <w:pPr>
              <w:spacing w:after="0" w:line="240" w:lineRule="auto"/>
              <w:jc w:val="center"/>
              <w:rPr>
                <w:rFonts w:ascii="Calibri" w:hAnsi="Calibri" w:cs="Calibri"/>
                <w:b/>
                <w:bCs/>
              </w:rPr>
            </w:pPr>
            <w:r w:rsidRPr="005C4BD2">
              <w:rPr>
                <w:rFonts w:ascii="Calibri" w:hAnsi="Calibri" w:cs="Calibri"/>
                <w:b/>
                <w:bCs/>
              </w:rPr>
              <w:t>NM ISO 13855</w:t>
            </w:r>
          </w:p>
        </w:tc>
      </w:tr>
      <w:tr w:rsidR="00D76221" w:rsidRPr="005C4BD2" w:rsidTr="005C4BD2">
        <w:trPr>
          <w:trHeight w:val="315"/>
          <w:jc w:val="center"/>
        </w:trPr>
        <w:tc>
          <w:tcPr>
            <w:tcW w:w="1820" w:type="dxa"/>
            <w:tcBorders>
              <w:top w:val="single" w:sz="18" w:space="0" w:color="auto"/>
              <w:left w:val="single" w:sz="18" w:space="0" w:color="auto"/>
              <w:bottom w:val="single" w:sz="18" w:space="0" w:color="auto"/>
              <w:right w:val="single" w:sz="4" w:space="0" w:color="auto"/>
            </w:tcBorders>
            <w:shd w:val="clear" w:color="auto" w:fill="FFFF99"/>
            <w:vAlign w:val="center"/>
          </w:tcPr>
          <w:p w:rsidR="00D76221" w:rsidRDefault="00D76221" w:rsidP="005C4BD2">
            <w:pPr>
              <w:spacing w:after="0" w:line="240" w:lineRule="auto"/>
              <w:jc w:val="center"/>
              <w:rPr>
                <w:rFonts w:ascii="Calibri" w:hAnsi="Calibri" w:cs="Calibri"/>
                <w:b/>
                <w:bCs/>
              </w:rPr>
            </w:pPr>
            <w:r>
              <w:rPr>
                <w:rFonts w:ascii="Calibri" w:hAnsi="Calibri" w:cs="Calibri"/>
                <w:b/>
                <w:bCs/>
              </w:rPr>
              <w:t xml:space="preserve">Equivalence </w:t>
            </w:r>
          </w:p>
        </w:tc>
        <w:tc>
          <w:tcPr>
            <w:tcW w:w="8126" w:type="dxa"/>
            <w:tcBorders>
              <w:top w:val="single" w:sz="18" w:space="0" w:color="auto"/>
              <w:left w:val="single" w:sz="4" w:space="0" w:color="auto"/>
              <w:bottom w:val="single" w:sz="18" w:space="0" w:color="auto"/>
              <w:right w:val="single" w:sz="18" w:space="0" w:color="auto"/>
            </w:tcBorders>
            <w:shd w:val="clear" w:color="auto" w:fill="FFFF99"/>
            <w:vAlign w:val="center"/>
          </w:tcPr>
          <w:p w:rsidR="00D76221" w:rsidRPr="005C4BD2" w:rsidRDefault="00D76221" w:rsidP="005C4BD2">
            <w:pPr>
              <w:spacing w:after="0" w:line="240" w:lineRule="auto"/>
              <w:jc w:val="center"/>
              <w:rPr>
                <w:rFonts w:ascii="Calibri" w:hAnsi="Calibri" w:cs="Calibri"/>
                <w:b/>
                <w:bCs/>
              </w:rPr>
            </w:pPr>
            <w:r>
              <w:rPr>
                <w:rFonts w:ascii="Calibri" w:hAnsi="Calibri" w:cs="Calibri"/>
                <w:b/>
                <w:bCs/>
              </w:rPr>
              <w:t>ISO 13855</w:t>
            </w:r>
          </w:p>
        </w:tc>
      </w:tr>
      <w:tr w:rsidR="00D76221" w:rsidRPr="005C4BD2" w:rsidTr="005C4BD2">
        <w:trPr>
          <w:trHeight w:val="315"/>
          <w:jc w:val="center"/>
        </w:trPr>
        <w:tc>
          <w:tcPr>
            <w:tcW w:w="1820" w:type="dxa"/>
            <w:tcBorders>
              <w:top w:val="single" w:sz="18" w:space="0" w:color="auto"/>
              <w:left w:val="single" w:sz="18" w:space="0" w:color="auto"/>
              <w:bottom w:val="single" w:sz="18" w:space="0" w:color="auto"/>
              <w:right w:val="single" w:sz="4" w:space="0" w:color="auto"/>
            </w:tcBorders>
            <w:shd w:val="clear" w:color="auto" w:fill="B8CCE4" w:themeFill="accent1" w:themeFillTint="66"/>
            <w:vAlign w:val="center"/>
          </w:tcPr>
          <w:p w:rsidR="00D76221" w:rsidRDefault="00D76221" w:rsidP="005C4BD2">
            <w:pPr>
              <w:spacing w:after="0" w:line="240" w:lineRule="auto"/>
              <w:jc w:val="center"/>
              <w:rPr>
                <w:rFonts w:ascii="Calibri" w:hAnsi="Calibri" w:cs="Calibri"/>
                <w:b/>
                <w:bCs/>
              </w:rPr>
            </w:pPr>
            <w:r>
              <w:rPr>
                <w:rFonts w:ascii="Calibri" w:hAnsi="Calibri" w:cs="Calibri"/>
                <w:b/>
                <w:bCs/>
              </w:rPr>
              <w:t xml:space="preserve">Intitulé </w:t>
            </w:r>
          </w:p>
        </w:tc>
        <w:tc>
          <w:tcPr>
            <w:tcW w:w="8126" w:type="dxa"/>
            <w:tcBorders>
              <w:top w:val="single" w:sz="18" w:space="0" w:color="auto"/>
              <w:left w:val="single" w:sz="4" w:space="0" w:color="auto"/>
              <w:bottom w:val="single" w:sz="18" w:space="0" w:color="auto"/>
              <w:right w:val="single" w:sz="18" w:space="0" w:color="auto"/>
            </w:tcBorders>
            <w:shd w:val="clear" w:color="auto" w:fill="auto"/>
          </w:tcPr>
          <w:p w:rsidR="00D76221" w:rsidRPr="005C4BD2" w:rsidRDefault="00D76221" w:rsidP="005C4BD2">
            <w:pPr>
              <w:spacing w:after="0" w:line="240" w:lineRule="auto"/>
              <w:jc w:val="both"/>
              <w:rPr>
                <w:rFonts w:ascii="Calibri" w:hAnsi="Calibri" w:cs="Calibri"/>
              </w:rPr>
            </w:pPr>
            <w:r w:rsidRPr="005C4BD2">
              <w:rPr>
                <w:rFonts w:ascii="Calibri" w:hAnsi="Calibri" w:cs="Calibri"/>
              </w:rPr>
              <w:t>Sécurité des machines - Positionnement des moyens de protection par rapport à la vitesse d'approche des parties du corps ;(IC 21.7.047)</w:t>
            </w:r>
          </w:p>
        </w:tc>
      </w:tr>
      <w:tr w:rsidR="00D76221" w:rsidRPr="005C4BD2" w:rsidTr="006E221A">
        <w:trPr>
          <w:trHeight w:val="315"/>
          <w:jc w:val="center"/>
        </w:trPr>
        <w:tc>
          <w:tcPr>
            <w:tcW w:w="1820" w:type="dxa"/>
            <w:tcBorders>
              <w:top w:val="single" w:sz="18" w:space="0" w:color="auto"/>
              <w:left w:val="single" w:sz="18" w:space="0" w:color="auto"/>
              <w:bottom w:val="single" w:sz="18" w:space="0" w:color="auto"/>
              <w:right w:val="single" w:sz="4" w:space="0" w:color="auto"/>
            </w:tcBorders>
            <w:shd w:val="clear" w:color="auto" w:fill="auto"/>
            <w:vAlign w:val="center"/>
          </w:tcPr>
          <w:p w:rsidR="00D76221" w:rsidRDefault="00D76221" w:rsidP="005C4BD2">
            <w:pPr>
              <w:spacing w:after="0" w:line="240" w:lineRule="auto"/>
              <w:jc w:val="center"/>
              <w:rPr>
                <w:rFonts w:ascii="Calibri" w:hAnsi="Calibri" w:cs="Calibri"/>
                <w:b/>
                <w:bCs/>
              </w:rPr>
            </w:pPr>
            <w:r>
              <w:rPr>
                <w:rFonts w:ascii="Calibri" w:hAnsi="Calibri" w:cs="Calibri"/>
                <w:b/>
                <w:bCs/>
              </w:rPr>
              <w:t xml:space="preserve">Domaine d’application </w:t>
            </w:r>
          </w:p>
        </w:tc>
        <w:tc>
          <w:tcPr>
            <w:tcW w:w="8126" w:type="dxa"/>
            <w:tcBorders>
              <w:top w:val="single" w:sz="18" w:space="0" w:color="auto"/>
              <w:left w:val="single" w:sz="4" w:space="0" w:color="auto"/>
              <w:bottom w:val="single" w:sz="18" w:space="0" w:color="auto"/>
              <w:right w:val="single" w:sz="18" w:space="0" w:color="auto"/>
            </w:tcBorders>
            <w:shd w:val="clear" w:color="auto" w:fill="auto"/>
          </w:tcPr>
          <w:p w:rsidR="005C4BD2" w:rsidRDefault="00D76221" w:rsidP="005C4BD2">
            <w:pPr>
              <w:spacing w:after="0" w:line="240" w:lineRule="auto"/>
              <w:jc w:val="both"/>
              <w:rPr>
                <w:rFonts w:ascii="Calibri" w:hAnsi="Calibri" w:cs="Calibri"/>
              </w:rPr>
            </w:pPr>
            <w:r w:rsidRPr="005C4BD2">
              <w:rPr>
                <w:rFonts w:ascii="Calibri" w:hAnsi="Calibri" w:cs="Calibri"/>
              </w:rPr>
              <w:t>La présente Norme internationale traite du positionnement des moyens de protection par rapport à la vitesse d'approche des parties du corps.</w:t>
            </w:r>
          </w:p>
          <w:p w:rsidR="005C4BD2" w:rsidRDefault="00D76221" w:rsidP="005C4BD2">
            <w:pPr>
              <w:spacing w:after="0" w:line="240" w:lineRule="auto"/>
              <w:jc w:val="both"/>
              <w:rPr>
                <w:rFonts w:ascii="Calibri" w:hAnsi="Calibri" w:cs="Calibri"/>
                <w:i/>
                <w:iCs/>
                <w:sz w:val="20"/>
                <w:szCs w:val="20"/>
              </w:rPr>
            </w:pPr>
            <w:r w:rsidRPr="005C4BD2">
              <w:rPr>
                <w:rFonts w:ascii="Calibri" w:hAnsi="Calibri" w:cs="Calibri"/>
              </w:rPr>
              <w:t>Elle spécifie des paramètres basés sur les valeurs des vitesses d'approche des parties du corps et fournit une méthodologie pour déterminer les distances minimales entre la zone de détection ou les dispositifs d'actionnement des moyens de protection et la zone dangereuse.</w:t>
            </w:r>
            <w:r w:rsidRPr="005C4BD2">
              <w:rPr>
                <w:rFonts w:ascii="Calibri" w:hAnsi="Calibri" w:cs="Calibri"/>
              </w:rPr>
              <w:br/>
              <w:t>Les valeurs des vitesses d'approche (vitesse de marche et mouvement des parties supérieures du corps) de la présente Norme internationale ont été chronométrées et vérifiées lors d'expériences pratiques. La présente Norme internationale donne des conseils pour des approches types. Les autres types d'approche, par exemple en courant, en sautant ou en tombant, ne sont pas pris en compte dans la présente Norme internationale.</w:t>
            </w:r>
            <w:r w:rsidRPr="005C4BD2">
              <w:rPr>
                <w:rFonts w:ascii="Calibri" w:hAnsi="Calibri" w:cs="Calibri"/>
              </w:rPr>
              <w:br/>
            </w:r>
            <w:r w:rsidRPr="005C4BD2">
              <w:rPr>
                <w:rFonts w:ascii="Calibri" w:hAnsi="Calibri" w:cs="Calibri"/>
                <w:b/>
                <w:bCs/>
                <w:i/>
                <w:iCs/>
                <w:sz w:val="20"/>
                <w:szCs w:val="20"/>
              </w:rPr>
              <w:t>NOTE 1</w:t>
            </w:r>
            <w:r w:rsidR="005C4BD2">
              <w:rPr>
                <w:rFonts w:ascii="Calibri" w:hAnsi="Calibri" w:cs="Calibri"/>
                <w:i/>
                <w:iCs/>
                <w:sz w:val="20"/>
                <w:szCs w:val="20"/>
              </w:rPr>
              <w:t xml:space="preserve"> : </w:t>
            </w:r>
            <w:r w:rsidRPr="005C4BD2">
              <w:rPr>
                <w:rFonts w:ascii="Calibri" w:hAnsi="Calibri" w:cs="Calibri"/>
                <w:i/>
                <w:iCs/>
                <w:sz w:val="20"/>
                <w:szCs w:val="20"/>
              </w:rPr>
              <w:t>D'autres types d'approche peuvent se traduire par des vitesses d'approche supérieures ou inférieures à celles définies dans la présente Norme internationale.</w:t>
            </w:r>
          </w:p>
          <w:p w:rsidR="005C4BD2" w:rsidRDefault="00D76221" w:rsidP="005C4BD2">
            <w:pPr>
              <w:spacing w:after="0" w:line="240" w:lineRule="auto"/>
              <w:jc w:val="both"/>
              <w:rPr>
                <w:rFonts w:ascii="Calibri" w:hAnsi="Calibri" w:cs="Calibri"/>
              </w:rPr>
            </w:pPr>
            <w:r w:rsidRPr="005C4BD2">
              <w:rPr>
                <w:rFonts w:ascii="Calibri" w:hAnsi="Calibri" w:cs="Calibri"/>
              </w:rPr>
              <w:t>Les moyens de protection considérés dans la présente Norme internationale comprennent:</w:t>
            </w:r>
            <w:r w:rsidRPr="005C4BD2">
              <w:rPr>
                <w:rFonts w:ascii="Calibri" w:hAnsi="Calibri" w:cs="Calibri"/>
              </w:rPr>
              <w:br/>
              <w:t>a) les équipements</w:t>
            </w:r>
            <w:r w:rsidRPr="005C4BD2">
              <w:rPr>
                <w:rFonts w:ascii="Calibri" w:hAnsi="Calibri" w:cs="Calibri"/>
                <w:sz w:val="24"/>
                <w:szCs w:val="24"/>
              </w:rPr>
              <w:t xml:space="preserve"> </w:t>
            </w:r>
            <w:r w:rsidRPr="005C4BD2">
              <w:rPr>
                <w:rFonts w:ascii="Calibri" w:hAnsi="Calibri" w:cs="Calibri"/>
              </w:rPr>
              <w:t>de protection électrosensibles (voir la CEI 61496, toutes les parties), y compris :</w:t>
            </w:r>
          </w:p>
          <w:p w:rsidR="005C4BD2" w:rsidRDefault="00D76221" w:rsidP="005C4BD2">
            <w:pPr>
              <w:spacing w:after="0" w:line="240" w:lineRule="auto"/>
              <w:rPr>
                <w:rFonts w:ascii="Calibri" w:hAnsi="Calibri" w:cs="Calibri"/>
              </w:rPr>
            </w:pPr>
            <w:r w:rsidRPr="005C4BD2">
              <w:rPr>
                <w:rFonts w:ascii="Cambria Math" w:hAnsi="Cambria Math" w:cs="Cambria Math"/>
              </w:rPr>
              <w:t>⎯</w:t>
            </w:r>
            <w:r w:rsidRPr="005C4BD2">
              <w:rPr>
                <w:rFonts w:ascii="Calibri" w:hAnsi="Calibri" w:cs="Calibri"/>
              </w:rPr>
              <w:t xml:space="preserve"> barrières immatérielles et cellules lumineuses (AOPD);</w:t>
            </w:r>
            <w:r w:rsidRPr="005C4BD2">
              <w:rPr>
                <w:rFonts w:ascii="Calibri" w:hAnsi="Calibri" w:cs="Calibri"/>
              </w:rPr>
              <w:br/>
            </w:r>
            <w:r w:rsidRPr="005C4BD2">
              <w:rPr>
                <w:rFonts w:ascii="Cambria Math" w:hAnsi="Cambria Math" w:cs="Cambria Math"/>
              </w:rPr>
              <w:t>⎯</w:t>
            </w:r>
            <w:r w:rsidRPr="005C4BD2">
              <w:rPr>
                <w:rFonts w:ascii="Calibri" w:hAnsi="Calibri" w:cs="Calibri"/>
              </w:rPr>
              <w:t xml:space="preserve"> scanners à laser (AOPDDR) et systèmes de vision bidimensionnelle;</w:t>
            </w:r>
            <w:r w:rsidRPr="005C4BD2">
              <w:rPr>
                <w:rFonts w:ascii="Calibri" w:hAnsi="Calibri" w:cs="Calibri"/>
              </w:rPr>
              <w:br/>
              <w:t>b) les équipements de protection sensibles à la pression (voir l'ISO 13856-1, l'ISO 13856-2 et l'ISO 13856-3), notamment les tapis sensibles;</w:t>
            </w:r>
            <w:r w:rsidRPr="005C4BD2">
              <w:rPr>
                <w:rFonts w:ascii="Calibri" w:hAnsi="Calibri" w:cs="Calibri"/>
              </w:rPr>
              <w:br/>
            </w:r>
            <w:r w:rsidRPr="005C4BD2">
              <w:rPr>
                <w:rFonts w:ascii="Calibri" w:hAnsi="Calibri" w:cs="Calibri"/>
              </w:rPr>
              <w:lastRenderedPageBreak/>
              <w:t>c) les dispositifs de commande bimanuelle (voir l'ISO 13851);</w:t>
            </w:r>
            <w:r w:rsidRPr="005C4BD2">
              <w:rPr>
                <w:rFonts w:ascii="Calibri" w:hAnsi="Calibri" w:cs="Calibri"/>
              </w:rPr>
              <w:br/>
              <w:t>d) les protecteurs sans dispositif d'interverrouillage (voir l'ISO 14119).</w:t>
            </w:r>
            <w:r w:rsidRPr="005C4BD2">
              <w:rPr>
                <w:rFonts w:ascii="Calibri" w:hAnsi="Calibri" w:cs="Calibri"/>
              </w:rPr>
              <w:br/>
            </w:r>
          </w:p>
          <w:p w:rsidR="005C4BD2" w:rsidRDefault="00D76221" w:rsidP="005C4BD2">
            <w:pPr>
              <w:spacing w:after="0" w:line="240" w:lineRule="auto"/>
              <w:jc w:val="both"/>
              <w:rPr>
                <w:rFonts w:ascii="Calibri" w:hAnsi="Calibri" w:cs="Calibri"/>
              </w:rPr>
            </w:pPr>
            <w:r w:rsidRPr="005C4BD2">
              <w:rPr>
                <w:rFonts w:ascii="Calibri" w:hAnsi="Calibri" w:cs="Calibri"/>
              </w:rPr>
              <w:t>La présente Norme internationale spécifie les distances minimales entre la zone, le plan, l'axe, le point de détection ou le point d'accès du protecteur avec dispositif de verrouillage et la zone dangereuse pour les phénomènes dangereux engendrés par la machine (par exemple écrasement, cisaillement, entraînement).</w:t>
            </w:r>
          </w:p>
          <w:p w:rsidR="005C4BD2" w:rsidRDefault="00D76221" w:rsidP="005C4BD2">
            <w:pPr>
              <w:spacing w:after="0" w:line="240" w:lineRule="auto"/>
              <w:jc w:val="both"/>
              <w:rPr>
                <w:rFonts w:ascii="Calibri" w:hAnsi="Calibri" w:cs="Calibri"/>
              </w:rPr>
            </w:pPr>
            <w:r w:rsidRPr="005C4BD2">
              <w:rPr>
                <w:rFonts w:ascii="Calibri" w:hAnsi="Calibri" w:cs="Calibri"/>
              </w:rPr>
              <w:t>La protection contre les risques engendrés par l'éjection de matières solides ou liquides, par les émissions, par les rayonnements et par l'électricité ne sont pas couverts par la présente Norme internationale.</w:t>
            </w:r>
          </w:p>
          <w:p w:rsidR="005C4BD2" w:rsidRPr="005C4BD2" w:rsidRDefault="00D76221" w:rsidP="005C4BD2">
            <w:pPr>
              <w:spacing w:after="0" w:line="240" w:lineRule="auto"/>
              <w:jc w:val="both"/>
              <w:rPr>
                <w:rFonts w:ascii="Calibri" w:hAnsi="Calibri" w:cs="Calibri"/>
                <w:i/>
                <w:iCs/>
                <w:sz w:val="20"/>
                <w:szCs w:val="20"/>
              </w:rPr>
            </w:pPr>
            <w:r w:rsidRPr="005C4BD2">
              <w:rPr>
                <w:rFonts w:ascii="Calibri" w:hAnsi="Calibri" w:cs="Calibri"/>
                <w:b/>
                <w:bCs/>
                <w:i/>
                <w:iCs/>
                <w:sz w:val="20"/>
                <w:szCs w:val="20"/>
              </w:rPr>
              <w:t>NOTE 2</w:t>
            </w:r>
            <w:r w:rsidR="005C4BD2">
              <w:rPr>
                <w:rFonts w:ascii="Calibri" w:hAnsi="Calibri" w:cs="Calibri"/>
                <w:i/>
                <w:iCs/>
                <w:sz w:val="20"/>
                <w:szCs w:val="20"/>
              </w:rPr>
              <w:t xml:space="preserve"> : </w:t>
            </w:r>
            <w:r w:rsidRPr="005C4BD2">
              <w:rPr>
                <w:rFonts w:ascii="Calibri" w:hAnsi="Calibri" w:cs="Calibri"/>
                <w:i/>
                <w:iCs/>
                <w:sz w:val="20"/>
                <w:szCs w:val="20"/>
              </w:rPr>
              <w:t>Les données anthropométriques du 5e au 95e centile des personnes âgées de 14 ans et plus ont été utilisées pour la détermination de la valeur de la distance d'intrusion «C» dans les équations.</w:t>
            </w:r>
          </w:p>
          <w:p w:rsidR="005C4BD2" w:rsidRPr="005C4BD2" w:rsidRDefault="00D76221" w:rsidP="005C4BD2">
            <w:pPr>
              <w:spacing w:after="0" w:line="240" w:lineRule="auto"/>
              <w:jc w:val="both"/>
              <w:rPr>
                <w:rFonts w:ascii="Calibri" w:hAnsi="Calibri" w:cs="Calibri"/>
                <w:i/>
                <w:iCs/>
                <w:sz w:val="20"/>
                <w:szCs w:val="20"/>
              </w:rPr>
            </w:pPr>
            <w:r w:rsidRPr="005C4BD2">
              <w:rPr>
                <w:rFonts w:ascii="Calibri" w:hAnsi="Calibri" w:cs="Calibri"/>
                <w:b/>
                <w:bCs/>
                <w:i/>
                <w:iCs/>
                <w:sz w:val="20"/>
                <w:szCs w:val="20"/>
              </w:rPr>
              <w:t>NOTE 3</w:t>
            </w:r>
            <w:r w:rsidR="005C4BD2" w:rsidRPr="005C4BD2">
              <w:rPr>
                <w:rFonts w:ascii="Calibri" w:hAnsi="Calibri" w:cs="Calibri"/>
                <w:i/>
                <w:iCs/>
                <w:sz w:val="20"/>
                <w:szCs w:val="20"/>
              </w:rPr>
              <w:t xml:space="preserve"> : </w:t>
            </w:r>
            <w:r w:rsidRPr="005C4BD2">
              <w:rPr>
                <w:rFonts w:ascii="Calibri" w:hAnsi="Calibri" w:cs="Calibri"/>
                <w:i/>
                <w:iCs/>
                <w:sz w:val="20"/>
                <w:szCs w:val="20"/>
              </w:rPr>
              <w:t>Les données de la présente Norme internationale sont fondées sur l'expérience des applications industrielles</w:t>
            </w:r>
            <w:r w:rsidR="005C4BD2">
              <w:rPr>
                <w:rFonts w:ascii="Calibri" w:hAnsi="Calibri" w:cs="Calibri"/>
                <w:i/>
                <w:iCs/>
                <w:sz w:val="20"/>
                <w:szCs w:val="20"/>
              </w:rPr>
              <w:t xml:space="preserve"> </w:t>
            </w:r>
            <w:r w:rsidRPr="005C4BD2">
              <w:rPr>
                <w:rFonts w:ascii="Calibri" w:hAnsi="Calibri" w:cs="Calibri"/>
                <w:i/>
                <w:iCs/>
                <w:sz w:val="20"/>
                <w:szCs w:val="20"/>
              </w:rPr>
              <w:t>;</w:t>
            </w:r>
            <w:r w:rsidR="005C4BD2" w:rsidRPr="005C4BD2">
              <w:rPr>
                <w:rFonts w:ascii="Calibri" w:hAnsi="Calibri" w:cs="Calibri"/>
                <w:i/>
                <w:iCs/>
                <w:sz w:val="20"/>
                <w:szCs w:val="20"/>
              </w:rPr>
              <w:t xml:space="preserve"> </w:t>
            </w:r>
            <w:r w:rsidRPr="005C4BD2">
              <w:rPr>
                <w:rFonts w:ascii="Calibri" w:hAnsi="Calibri" w:cs="Calibri"/>
                <w:i/>
                <w:iCs/>
                <w:sz w:val="20"/>
                <w:szCs w:val="20"/>
              </w:rPr>
              <w:t>il en va de la responsabilité du concepteur d'en tenir compte pour des applications non industrielles.</w:t>
            </w:r>
          </w:p>
          <w:p w:rsidR="005C4BD2" w:rsidRPr="005C4BD2" w:rsidRDefault="00D76221" w:rsidP="005C4BD2">
            <w:pPr>
              <w:spacing w:after="0" w:line="240" w:lineRule="auto"/>
              <w:jc w:val="both"/>
              <w:rPr>
                <w:rFonts w:ascii="Calibri" w:hAnsi="Calibri" w:cs="Calibri"/>
                <w:i/>
                <w:iCs/>
                <w:sz w:val="20"/>
                <w:szCs w:val="20"/>
              </w:rPr>
            </w:pPr>
            <w:r w:rsidRPr="005C4BD2">
              <w:rPr>
                <w:rFonts w:ascii="Calibri" w:hAnsi="Calibri" w:cs="Calibri"/>
                <w:b/>
                <w:bCs/>
                <w:i/>
                <w:iCs/>
                <w:sz w:val="20"/>
                <w:szCs w:val="20"/>
              </w:rPr>
              <w:t>NOTE 4</w:t>
            </w:r>
            <w:r w:rsidR="005C4BD2" w:rsidRPr="005C4BD2">
              <w:rPr>
                <w:rFonts w:ascii="Calibri" w:hAnsi="Calibri" w:cs="Calibri"/>
                <w:i/>
                <w:iCs/>
                <w:sz w:val="20"/>
                <w:szCs w:val="20"/>
              </w:rPr>
              <w:t xml:space="preserve"> : </w:t>
            </w:r>
            <w:r w:rsidRPr="005C4BD2">
              <w:rPr>
                <w:rFonts w:ascii="Calibri" w:hAnsi="Calibri" w:cs="Calibri"/>
                <w:i/>
                <w:iCs/>
                <w:sz w:val="20"/>
                <w:szCs w:val="20"/>
              </w:rPr>
              <w:t>La présente Norme internationale ne dispose pas de données spécifiques pour les enfants. Dans l'attente de données spécifiques sur les vitesses d'approche pour enfants, il est de la responsabilité du concepteur de prendre en compte, lors du calcul des distances, le fait que les enfants peuvent présenter des vitesses supérieures et des facteurs de</w:t>
            </w:r>
            <w:r w:rsidR="005C4BD2" w:rsidRPr="005C4BD2">
              <w:rPr>
                <w:rFonts w:ascii="Calibri" w:hAnsi="Calibri" w:cs="Calibri"/>
                <w:i/>
                <w:iCs/>
                <w:sz w:val="20"/>
                <w:szCs w:val="20"/>
              </w:rPr>
              <w:t xml:space="preserve"> </w:t>
            </w:r>
            <w:r w:rsidRPr="005C4BD2">
              <w:rPr>
                <w:rFonts w:ascii="Calibri" w:hAnsi="Calibri" w:cs="Calibri"/>
                <w:i/>
                <w:iCs/>
                <w:sz w:val="20"/>
                <w:szCs w:val="20"/>
              </w:rPr>
              <w:t>détection plus faibles.</w:t>
            </w:r>
          </w:p>
          <w:p w:rsidR="00D76221" w:rsidRPr="005C4BD2" w:rsidRDefault="00D76221" w:rsidP="005C4BD2">
            <w:pPr>
              <w:spacing w:after="0" w:line="240" w:lineRule="auto"/>
              <w:jc w:val="both"/>
              <w:rPr>
                <w:rFonts w:ascii="Calibri" w:hAnsi="Calibri" w:cs="Calibri"/>
              </w:rPr>
            </w:pPr>
            <w:r w:rsidRPr="005C4BD2">
              <w:rPr>
                <w:rFonts w:ascii="Calibri" w:hAnsi="Calibri" w:cs="Calibri"/>
              </w:rPr>
              <w:t>La présente Norme internationale ne s'applique pas aux moyens de protection (par exemple organes de commande bimanuelle montés sur pendant) qui, sans l'aide d'outils, peuvent être amenés plus près de la zone dangereuse que la distance minimale calculée.</w:t>
            </w:r>
            <w:r w:rsidRPr="005C4BD2">
              <w:rPr>
                <w:rFonts w:ascii="Calibri" w:hAnsi="Calibri" w:cs="Calibri"/>
              </w:rPr>
              <w:br/>
              <w:t>Les distances minimales déduites de la présente Norme internationale ne s'appliquent pas aux moyens de protection utilisés pour détecter la présence de personnes dans une zone déjà protégée par un protecteur ou par un équipement de protection électrosensible.</w:t>
            </w:r>
          </w:p>
        </w:tc>
      </w:tr>
      <w:tr w:rsidR="00D76221" w:rsidRPr="0070500C" w:rsidTr="0070500C">
        <w:trPr>
          <w:trHeight w:val="315"/>
          <w:jc w:val="center"/>
        </w:trPr>
        <w:tc>
          <w:tcPr>
            <w:tcW w:w="1820"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tcPr>
          <w:p w:rsidR="00D76221" w:rsidRDefault="00D76221" w:rsidP="0070500C">
            <w:pPr>
              <w:spacing w:after="0" w:line="240" w:lineRule="auto"/>
              <w:jc w:val="center"/>
              <w:rPr>
                <w:rFonts w:ascii="Calibri" w:hAnsi="Calibri" w:cs="Calibri"/>
                <w:b/>
                <w:bCs/>
              </w:rPr>
            </w:pPr>
            <w:r>
              <w:rPr>
                <w:rFonts w:ascii="Calibri" w:hAnsi="Calibri" w:cs="Calibri"/>
                <w:b/>
                <w:bCs/>
              </w:rPr>
              <w:lastRenderedPageBreak/>
              <w:t xml:space="preserve">Code </w:t>
            </w:r>
          </w:p>
        </w:tc>
        <w:tc>
          <w:tcPr>
            <w:tcW w:w="8126"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tcPr>
          <w:p w:rsidR="00D76221" w:rsidRPr="0070500C" w:rsidRDefault="00D76221" w:rsidP="0070500C">
            <w:pPr>
              <w:spacing w:after="0" w:line="240" w:lineRule="auto"/>
              <w:jc w:val="center"/>
              <w:rPr>
                <w:rFonts w:ascii="Calibri" w:hAnsi="Calibri" w:cs="Calibri"/>
                <w:b/>
                <w:bCs/>
              </w:rPr>
            </w:pPr>
            <w:r w:rsidRPr="0070500C">
              <w:rPr>
                <w:rFonts w:ascii="Calibri" w:hAnsi="Calibri" w:cs="Calibri"/>
                <w:b/>
                <w:bCs/>
              </w:rPr>
              <w:t>NM ISO 14118</w:t>
            </w:r>
          </w:p>
        </w:tc>
      </w:tr>
      <w:tr w:rsidR="00D76221" w:rsidRPr="0070500C" w:rsidTr="0070500C">
        <w:trPr>
          <w:trHeight w:val="315"/>
          <w:jc w:val="center"/>
        </w:trPr>
        <w:tc>
          <w:tcPr>
            <w:tcW w:w="1820" w:type="dxa"/>
            <w:tcBorders>
              <w:top w:val="single" w:sz="18" w:space="0" w:color="auto"/>
              <w:left w:val="single" w:sz="18" w:space="0" w:color="auto"/>
              <w:bottom w:val="single" w:sz="18" w:space="0" w:color="auto"/>
              <w:right w:val="single" w:sz="4" w:space="0" w:color="auto"/>
            </w:tcBorders>
            <w:shd w:val="clear" w:color="auto" w:fill="FFFF99"/>
            <w:vAlign w:val="center"/>
          </w:tcPr>
          <w:p w:rsidR="00D76221" w:rsidRDefault="00D76221" w:rsidP="0070500C">
            <w:pPr>
              <w:spacing w:after="0" w:line="240" w:lineRule="auto"/>
              <w:jc w:val="center"/>
              <w:rPr>
                <w:rFonts w:ascii="Calibri" w:hAnsi="Calibri" w:cs="Calibri"/>
                <w:b/>
                <w:bCs/>
              </w:rPr>
            </w:pPr>
            <w:r>
              <w:rPr>
                <w:rFonts w:ascii="Calibri" w:hAnsi="Calibri" w:cs="Calibri"/>
                <w:b/>
                <w:bCs/>
              </w:rPr>
              <w:t xml:space="preserve">Equivalence </w:t>
            </w:r>
          </w:p>
        </w:tc>
        <w:tc>
          <w:tcPr>
            <w:tcW w:w="8126" w:type="dxa"/>
            <w:tcBorders>
              <w:top w:val="single" w:sz="18" w:space="0" w:color="auto"/>
              <w:left w:val="single" w:sz="4" w:space="0" w:color="auto"/>
              <w:bottom w:val="single" w:sz="18" w:space="0" w:color="auto"/>
              <w:right w:val="single" w:sz="18" w:space="0" w:color="auto"/>
            </w:tcBorders>
            <w:shd w:val="clear" w:color="auto" w:fill="FFFF99"/>
            <w:vAlign w:val="center"/>
          </w:tcPr>
          <w:p w:rsidR="00D76221" w:rsidRPr="0070500C" w:rsidRDefault="00D76221" w:rsidP="0070500C">
            <w:pPr>
              <w:spacing w:after="0" w:line="240" w:lineRule="auto"/>
              <w:jc w:val="center"/>
              <w:rPr>
                <w:rFonts w:ascii="Calibri" w:hAnsi="Calibri" w:cs="Calibri"/>
                <w:b/>
                <w:bCs/>
              </w:rPr>
            </w:pPr>
            <w:r>
              <w:rPr>
                <w:rFonts w:ascii="Calibri" w:hAnsi="Calibri" w:cs="Calibri"/>
                <w:b/>
                <w:bCs/>
              </w:rPr>
              <w:t>ISO 14118</w:t>
            </w:r>
          </w:p>
        </w:tc>
      </w:tr>
      <w:tr w:rsidR="00D76221" w:rsidRPr="0070500C" w:rsidTr="0070500C">
        <w:trPr>
          <w:trHeight w:val="315"/>
          <w:jc w:val="center"/>
        </w:trPr>
        <w:tc>
          <w:tcPr>
            <w:tcW w:w="1820" w:type="dxa"/>
            <w:tcBorders>
              <w:top w:val="single" w:sz="18" w:space="0" w:color="auto"/>
              <w:left w:val="single" w:sz="18" w:space="0" w:color="auto"/>
              <w:bottom w:val="single" w:sz="4" w:space="0" w:color="auto"/>
              <w:right w:val="single" w:sz="4" w:space="0" w:color="auto"/>
            </w:tcBorders>
            <w:shd w:val="clear" w:color="auto" w:fill="B8CCE4" w:themeFill="accent1" w:themeFillTint="66"/>
            <w:vAlign w:val="center"/>
          </w:tcPr>
          <w:p w:rsidR="00D76221" w:rsidRDefault="00D76221" w:rsidP="0070500C">
            <w:pPr>
              <w:spacing w:after="0" w:line="240" w:lineRule="auto"/>
              <w:jc w:val="center"/>
              <w:rPr>
                <w:rFonts w:ascii="Calibri" w:hAnsi="Calibri" w:cs="Calibri"/>
                <w:b/>
                <w:bCs/>
              </w:rPr>
            </w:pPr>
            <w:r>
              <w:rPr>
                <w:rFonts w:ascii="Calibri" w:hAnsi="Calibri" w:cs="Calibri"/>
                <w:b/>
                <w:bCs/>
              </w:rPr>
              <w:t xml:space="preserve">Intitulé </w:t>
            </w:r>
          </w:p>
        </w:tc>
        <w:tc>
          <w:tcPr>
            <w:tcW w:w="8126" w:type="dxa"/>
            <w:tcBorders>
              <w:top w:val="single" w:sz="18" w:space="0" w:color="auto"/>
              <w:left w:val="single" w:sz="4" w:space="0" w:color="auto"/>
              <w:bottom w:val="single" w:sz="4" w:space="0" w:color="auto"/>
              <w:right w:val="single" w:sz="18" w:space="0" w:color="auto"/>
            </w:tcBorders>
            <w:shd w:val="clear" w:color="auto" w:fill="auto"/>
          </w:tcPr>
          <w:p w:rsidR="00D76221" w:rsidRPr="0070500C" w:rsidRDefault="00D76221" w:rsidP="0070500C">
            <w:pPr>
              <w:spacing w:after="0" w:line="240" w:lineRule="auto"/>
              <w:rPr>
                <w:rFonts w:ascii="Calibri" w:hAnsi="Calibri" w:cs="Calibri"/>
              </w:rPr>
            </w:pPr>
            <w:r w:rsidRPr="0070500C">
              <w:rPr>
                <w:rFonts w:ascii="Calibri" w:hAnsi="Calibri" w:cs="Calibri"/>
              </w:rPr>
              <w:t xml:space="preserve">Sécurité des machines - Prévention de la mise en marche intempestive  </w:t>
            </w:r>
          </w:p>
        </w:tc>
      </w:tr>
      <w:tr w:rsidR="00D76221" w:rsidRPr="0070500C" w:rsidTr="0070500C">
        <w:trPr>
          <w:trHeight w:val="315"/>
          <w:jc w:val="center"/>
        </w:trPr>
        <w:tc>
          <w:tcPr>
            <w:tcW w:w="1820" w:type="dxa"/>
            <w:tcBorders>
              <w:top w:val="single" w:sz="4" w:space="0" w:color="auto"/>
              <w:left w:val="single" w:sz="18" w:space="0" w:color="auto"/>
              <w:bottom w:val="single" w:sz="18" w:space="0" w:color="auto"/>
              <w:right w:val="single" w:sz="4" w:space="0" w:color="auto"/>
            </w:tcBorders>
            <w:shd w:val="clear" w:color="auto" w:fill="auto"/>
            <w:vAlign w:val="center"/>
          </w:tcPr>
          <w:p w:rsidR="00D76221" w:rsidRDefault="00D76221" w:rsidP="0070500C">
            <w:pPr>
              <w:spacing w:after="0" w:line="240" w:lineRule="auto"/>
              <w:jc w:val="center"/>
              <w:rPr>
                <w:rFonts w:ascii="Calibri" w:hAnsi="Calibri" w:cs="Calibri"/>
                <w:b/>
                <w:bCs/>
              </w:rPr>
            </w:pPr>
            <w:r>
              <w:rPr>
                <w:rFonts w:ascii="Calibri" w:hAnsi="Calibri" w:cs="Calibri"/>
                <w:b/>
                <w:bCs/>
              </w:rPr>
              <w:t xml:space="preserve">Domaine d’application </w:t>
            </w:r>
          </w:p>
        </w:tc>
        <w:tc>
          <w:tcPr>
            <w:tcW w:w="8126" w:type="dxa"/>
            <w:tcBorders>
              <w:top w:val="single" w:sz="4" w:space="0" w:color="auto"/>
              <w:left w:val="single" w:sz="4" w:space="0" w:color="auto"/>
              <w:bottom w:val="single" w:sz="18" w:space="0" w:color="auto"/>
              <w:right w:val="single" w:sz="18" w:space="0" w:color="auto"/>
            </w:tcBorders>
            <w:shd w:val="clear" w:color="auto" w:fill="auto"/>
          </w:tcPr>
          <w:p w:rsidR="0070500C" w:rsidRDefault="00D76221" w:rsidP="0070500C">
            <w:pPr>
              <w:spacing w:after="0" w:line="240" w:lineRule="auto"/>
              <w:jc w:val="both"/>
              <w:rPr>
                <w:rFonts w:ascii="Calibri" w:hAnsi="Calibri" w:cs="Calibri"/>
              </w:rPr>
            </w:pPr>
            <w:r w:rsidRPr="0070500C">
              <w:rPr>
                <w:rFonts w:ascii="Calibri" w:hAnsi="Calibri" w:cs="Calibri"/>
              </w:rPr>
              <w:t>Le présent document spécifie des exigences pour les mesures de sécurité intégrée destinées à empêcher la mise en marche intempestive d'une machine (voir 3.2), afin de permettre des interventions humaines en toute sécurité dans des zones dangereuses (voir l’Annexe A).</w:t>
            </w:r>
          </w:p>
          <w:p w:rsidR="0070500C" w:rsidRDefault="00D76221" w:rsidP="0070500C">
            <w:pPr>
              <w:spacing w:after="0" w:line="240" w:lineRule="auto"/>
              <w:jc w:val="both"/>
              <w:rPr>
                <w:rFonts w:ascii="Calibri" w:hAnsi="Calibri" w:cs="Calibri"/>
              </w:rPr>
            </w:pPr>
            <w:r w:rsidRPr="0070500C">
              <w:rPr>
                <w:rFonts w:ascii="Calibri" w:hAnsi="Calibri" w:cs="Calibri"/>
              </w:rPr>
              <w:t>Le présent document s'applique à la mise en marche intempestive depuis tous les types de source d'énergie, c’est-à-dire</w:t>
            </w:r>
            <w:r w:rsidR="0070500C">
              <w:rPr>
                <w:rFonts w:ascii="Calibri" w:hAnsi="Calibri" w:cs="Calibri"/>
              </w:rPr>
              <w:t xml:space="preserve"> </w:t>
            </w:r>
            <w:r w:rsidRPr="0070500C">
              <w:rPr>
                <w:rFonts w:ascii="Calibri" w:hAnsi="Calibri" w:cs="Calibri"/>
              </w:rPr>
              <w:t>:</w:t>
            </w:r>
          </w:p>
          <w:p w:rsidR="0070500C" w:rsidRDefault="00D76221" w:rsidP="0070500C">
            <w:pPr>
              <w:spacing w:after="0" w:line="240" w:lineRule="auto"/>
              <w:rPr>
                <w:rFonts w:ascii="Calibri" w:hAnsi="Calibri" w:cs="Calibri"/>
              </w:rPr>
            </w:pPr>
            <w:r w:rsidRPr="0070500C">
              <w:rPr>
                <w:rFonts w:ascii="Calibri" w:hAnsi="Calibri" w:cs="Calibri"/>
              </w:rPr>
              <w:t>— alimentation en énergie, par exemple électrique, hydraulique, pneumatique</w:t>
            </w:r>
            <w:r w:rsidR="0070500C">
              <w:rPr>
                <w:rFonts w:ascii="Calibri" w:hAnsi="Calibri" w:cs="Calibri"/>
              </w:rPr>
              <w:t xml:space="preserve"> </w:t>
            </w:r>
            <w:r w:rsidRPr="0070500C">
              <w:rPr>
                <w:rFonts w:ascii="Calibri" w:hAnsi="Calibri" w:cs="Calibri"/>
              </w:rPr>
              <w:t>;</w:t>
            </w:r>
            <w:r w:rsidRPr="0070500C">
              <w:rPr>
                <w:rFonts w:ascii="Calibri" w:hAnsi="Calibri" w:cs="Calibri"/>
              </w:rPr>
              <w:br/>
              <w:t>— énergie emmagasinée en raison, par exemple, de la pesanteur, de ressorts comprimés;</w:t>
            </w:r>
            <w:r w:rsidRPr="0070500C">
              <w:rPr>
                <w:rFonts w:ascii="Calibri" w:hAnsi="Calibri" w:cs="Calibri"/>
              </w:rPr>
              <w:br/>
              <w:t>— influences externes, par exemple effets du vent.</w:t>
            </w:r>
          </w:p>
          <w:p w:rsidR="0070500C" w:rsidRDefault="00D76221" w:rsidP="0070500C">
            <w:pPr>
              <w:spacing w:after="0" w:line="240" w:lineRule="auto"/>
              <w:jc w:val="both"/>
              <w:rPr>
                <w:rFonts w:ascii="Calibri" w:hAnsi="Calibri" w:cs="Calibri"/>
              </w:rPr>
            </w:pPr>
            <w:r w:rsidRPr="0070500C">
              <w:rPr>
                <w:rFonts w:ascii="Calibri" w:hAnsi="Calibri" w:cs="Calibri"/>
              </w:rPr>
              <w:t>Le présent document ne spécifie pas de niveaux de performance ou d’intégrité de sécurité pour les parties de systèmes de commande relatives à la sécurité. Même si le présent document identifie les moyens disponibles pour la prévention de la mise en marche intempestive, il ne spécifie pas les moyens de préventions de mise en marche intempestive pour des machines spécifiques.</w:t>
            </w:r>
          </w:p>
          <w:p w:rsidR="00D76221" w:rsidRPr="0070500C" w:rsidRDefault="00D76221" w:rsidP="0070500C">
            <w:pPr>
              <w:spacing w:after="0" w:line="240" w:lineRule="auto"/>
              <w:jc w:val="both"/>
              <w:rPr>
                <w:rFonts w:ascii="Calibri" w:hAnsi="Calibri" w:cs="Calibri"/>
                <w:i/>
                <w:iCs/>
              </w:rPr>
            </w:pPr>
            <w:r w:rsidRPr="0070500C">
              <w:rPr>
                <w:rFonts w:ascii="Calibri" w:hAnsi="Calibri" w:cs="Calibri"/>
                <w:b/>
                <w:bCs/>
                <w:i/>
                <w:iCs/>
                <w:sz w:val="20"/>
                <w:szCs w:val="20"/>
              </w:rPr>
              <w:t>NOTE</w:t>
            </w:r>
            <w:r w:rsidR="0070500C" w:rsidRPr="0070500C">
              <w:rPr>
                <w:rFonts w:ascii="Calibri" w:hAnsi="Calibri" w:cs="Calibri"/>
                <w:i/>
                <w:iCs/>
                <w:sz w:val="20"/>
                <w:szCs w:val="20"/>
              </w:rPr>
              <w:t xml:space="preserve"> : </w:t>
            </w:r>
            <w:r w:rsidRPr="0070500C">
              <w:rPr>
                <w:rFonts w:ascii="Calibri" w:hAnsi="Calibri" w:cs="Calibri"/>
                <w:i/>
                <w:iCs/>
                <w:sz w:val="20"/>
                <w:szCs w:val="20"/>
              </w:rPr>
              <w:t>Une norme de type C peut définir les moyens exigés pour la prévention de dommage lié à la mise en marche intempestive. Dans le cas contraire, il convient de déterminer les exigences d’une machine spécifique par une appréciation du risque n’étant pas inclue dans le domaine d’application du présent document.</w:t>
            </w:r>
          </w:p>
        </w:tc>
      </w:tr>
      <w:tr w:rsidR="00D76221" w:rsidRPr="0070500C" w:rsidTr="0070500C">
        <w:trPr>
          <w:trHeight w:val="315"/>
          <w:jc w:val="center"/>
        </w:trPr>
        <w:tc>
          <w:tcPr>
            <w:tcW w:w="1820"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tcPr>
          <w:p w:rsidR="00D76221" w:rsidRDefault="0070500C" w:rsidP="0070500C">
            <w:pPr>
              <w:spacing w:after="0" w:line="240" w:lineRule="auto"/>
              <w:jc w:val="center"/>
              <w:rPr>
                <w:rFonts w:ascii="Calibri" w:hAnsi="Calibri" w:cs="Calibri"/>
                <w:b/>
                <w:bCs/>
              </w:rPr>
            </w:pPr>
            <w:r>
              <w:rPr>
                <w:rFonts w:ascii="Calibri" w:hAnsi="Calibri" w:cs="Calibri"/>
                <w:b/>
                <w:bCs/>
              </w:rPr>
              <w:t>Code</w:t>
            </w:r>
          </w:p>
        </w:tc>
        <w:tc>
          <w:tcPr>
            <w:tcW w:w="8126"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tcPr>
          <w:p w:rsidR="00D76221" w:rsidRPr="0070500C" w:rsidRDefault="00D76221" w:rsidP="0070500C">
            <w:pPr>
              <w:spacing w:after="0" w:line="240" w:lineRule="auto"/>
              <w:jc w:val="center"/>
              <w:rPr>
                <w:rFonts w:ascii="Calibri" w:hAnsi="Calibri" w:cs="Calibri"/>
                <w:b/>
                <w:bCs/>
              </w:rPr>
            </w:pPr>
            <w:r w:rsidRPr="0070500C">
              <w:rPr>
                <w:rFonts w:ascii="Calibri" w:hAnsi="Calibri" w:cs="Calibri"/>
                <w:b/>
                <w:bCs/>
              </w:rPr>
              <w:t>NM ISO 14123-1</w:t>
            </w:r>
          </w:p>
        </w:tc>
      </w:tr>
      <w:tr w:rsidR="00D76221" w:rsidRPr="0070500C" w:rsidTr="0070500C">
        <w:trPr>
          <w:trHeight w:val="315"/>
          <w:jc w:val="center"/>
        </w:trPr>
        <w:tc>
          <w:tcPr>
            <w:tcW w:w="1820" w:type="dxa"/>
            <w:tcBorders>
              <w:top w:val="single" w:sz="18" w:space="0" w:color="auto"/>
              <w:left w:val="single" w:sz="18" w:space="0" w:color="auto"/>
              <w:bottom w:val="single" w:sz="18" w:space="0" w:color="auto"/>
              <w:right w:val="single" w:sz="4" w:space="0" w:color="auto"/>
            </w:tcBorders>
            <w:shd w:val="clear" w:color="auto" w:fill="FFFF99"/>
            <w:vAlign w:val="center"/>
          </w:tcPr>
          <w:p w:rsidR="00D76221" w:rsidRDefault="00D76221" w:rsidP="0070500C">
            <w:pPr>
              <w:spacing w:after="0" w:line="240" w:lineRule="auto"/>
              <w:jc w:val="center"/>
              <w:rPr>
                <w:rFonts w:ascii="Calibri" w:hAnsi="Calibri" w:cs="Calibri"/>
                <w:b/>
                <w:bCs/>
              </w:rPr>
            </w:pPr>
            <w:r>
              <w:rPr>
                <w:rFonts w:ascii="Calibri" w:hAnsi="Calibri" w:cs="Calibri"/>
                <w:b/>
                <w:bCs/>
              </w:rPr>
              <w:t xml:space="preserve">Equivalence </w:t>
            </w:r>
          </w:p>
        </w:tc>
        <w:tc>
          <w:tcPr>
            <w:tcW w:w="8126" w:type="dxa"/>
            <w:tcBorders>
              <w:top w:val="single" w:sz="18" w:space="0" w:color="auto"/>
              <w:left w:val="single" w:sz="4" w:space="0" w:color="auto"/>
              <w:bottom w:val="single" w:sz="18" w:space="0" w:color="auto"/>
              <w:right w:val="single" w:sz="18" w:space="0" w:color="auto"/>
            </w:tcBorders>
            <w:shd w:val="clear" w:color="auto" w:fill="FFFF99"/>
            <w:vAlign w:val="center"/>
          </w:tcPr>
          <w:p w:rsidR="00D76221" w:rsidRPr="0070500C" w:rsidRDefault="00D76221" w:rsidP="0070500C">
            <w:pPr>
              <w:spacing w:after="0" w:line="240" w:lineRule="auto"/>
              <w:jc w:val="center"/>
              <w:rPr>
                <w:rFonts w:ascii="Calibri" w:hAnsi="Calibri" w:cs="Calibri"/>
                <w:b/>
                <w:bCs/>
              </w:rPr>
            </w:pPr>
            <w:r>
              <w:rPr>
                <w:rFonts w:ascii="Calibri" w:hAnsi="Calibri" w:cs="Calibri"/>
                <w:b/>
                <w:bCs/>
              </w:rPr>
              <w:t>ISO 14123-1</w:t>
            </w:r>
          </w:p>
        </w:tc>
      </w:tr>
      <w:tr w:rsidR="00D76221" w:rsidRPr="0043547B" w:rsidTr="0070500C">
        <w:trPr>
          <w:trHeight w:val="950"/>
          <w:jc w:val="center"/>
        </w:trPr>
        <w:tc>
          <w:tcPr>
            <w:tcW w:w="1820" w:type="dxa"/>
            <w:tcBorders>
              <w:top w:val="single" w:sz="18" w:space="0" w:color="auto"/>
              <w:left w:val="single" w:sz="18" w:space="0" w:color="auto"/>
              <w:bottom w:val="single" w:sz="4" w:space="0" w:color="auto"/>
              <w:right w:val="single" w:sz="4" w:space="0" w:color="auto"/>
            </w:tcBorders>
            <w:shd w:val="clear" w:color="auto" w:fill="B8CCE4" w:themeFill="accent1" w:themeFillTint="66"/>
            <w:vAlign w:val="center"/>
          </w:tcPr>
          <w:p w:rsidR="00D76221" w:rsidRDefault="00D76221" w:rsidP="00D76221">
            <w:pPr>
              <w:jc w:val="center"/>
              <w:rPr>
                <w:rFonts w:ascii="Calibri" w:hAnsi="Calibri" w:cs="Calibri"/>
                <w:b/>
                <w:bCs/>
              </w:rPr>
            </w:pPr>
            <w:r>
              <w:rPr>
                <w:rFonts w:ascii="Calibri" w:hAnsi="Calibri" w:cs="Calibri"/>
                <w:b/>
                <w:bCs/>
              </w:rPr>
              <w:t xml:space="preserve">Intitulé </w:t>
            </w:r>
          </w:p>
        </w:tc>
        <w:tc>
          <w:tcPr>
            <w:tcW w:w="8126" w:type="dxa"/>
            <w:tcBorders>
              <w:top w:val="single" w:sz="18" w:space="0" w:color="auto"/>
              <w:left w:val="single" w:sz="4" w:space="0" w:color="auto"/>
              <w:bottom w:val="single" w:sz="4" w:space="0" w:color="auto"/>
              <w:right w:val="single" w:sz="18" w:space="0" w:color="auto"/>
            </w:tcBorders>
            <w:shd w:val="clear" w:color="auto" w:fill="auto"/>
          </w:tcPr>
          <w:p w:rsidR="00D76221" w:rsidRDefault="00D76221" w:rsidP="0070500C">
            <w:pPr>
              <w:spacing w:after="0" w:line="240" w:lineRule="auto"/>
              <w:jc w:val="both"/>
              <w:rPr>
                <w:rFonts w:ascii="Calibri" w:hAnsi="Calibri" w:cs="Calibri"/>
                <w:color w:val="000000"/>
              </w:rPr>
            </w:pPr>
            <w:r>
              <w:rPr>
                <w:rFonts w:ascii="Calibri" w:hAnsi="Calibri" w:cs="Calibri"/>
                <w:color w:val="000000"/>
              </w:rPr>
              <w:t>Sécurité des machines - Réduction des risques pour la santé résultant de substances dangereuses émises par des machines - Partie 1 : Principes et spécifications à l'intention des constructeurs de machines </w:t>
            </w:r>
            <w:r w:rsidR="0070500C">
              <w:rPr>
                <w:rFonts w:ascii="Calibri" w:hAnsi="Calibri" w:cs="Calibri"/>
                <w:color w:val="000000"/>
              </w:rPr>
              <w:t xml:space="preserve"> </w:t>
            </w:r>
          </w:p>
        </w:tc>
      </w:tr>
      <w:tr w:rsidR="00D76221" w:rsidRPr="0043547B" w:rsidTr="0070500C">
        <w:trPr>
          <w:trHeight w:val="315"/>
          <w:jc w:val="center"/>
        </w:trPr>
        <w:tc>
          <w:tcPr>
            <w:tcW w:w="1820" w:type="dxa"/>
            <w:tcBorders>
              <w:top w:val="single" w:sz="4" w:space="0" w:color="auto"/>
              <w:left w:val="single" w:sz="18" w:space="0" w:color="auto"/>
              <w:bottom w:val="single" w:sz="18" w:space="0" w:color="auto"/>
              <w:right w:val="single" w:sz="4" w:space="0" w:color="auto"/>
            </w:tcBorders>
            <w:shd w:val="clear" w:color="auto" w:fill="auto"/>
            <w:vAlign w:val="center"/>
          </w:tcPr>
          <w:p w:rsidR="00D76221" w:rsidRDefault="00D76221" w:rsidP="00D76221">
            <w:pPr>
              <w:jc w:val="center"/>
              <w:rPr>
                <w:rFonts w:ascii="Calibri" w:hAnsi="Calibri" w:cs="Calibri"/>
                <w:b/>
                <w:bCs/>
              </w:rPr>
            </w:pPr>
            <w:r>
              <w:rPr>
                <w:rFonts w:ascii="Calibri" w:hAnsi="Calibri" w:cs="Calibri"/>
                <w:b/>
                <w:bCs/>
              </w:rPr>
              <w:lastRenderedPageBreak/>
              <w:t xml:space="preserve">Domaine d’application </w:t>
            </w:r>
          </w:p>
        </w:tc>
        <w:tc>
          <w:tcPr>
            <w:tcW w:w="8126" w:type="dxa"/>
            <w:tcBorders>
              <w:top w:val="single" w:sz="4" w:space="0" w:color="auto"/>
              <w:left w:val="single" w:sz="4" w:space="0" w:color="auto"/>
              <w:bottom w:val="single" w:sz="18" w:space="0" w:color="auto"/>
              <w:right w:val="single" w:sz="18" w:space="0" w:color="auto"/>
            </w:tcBorders>
            <w:shd w:val="clear" w:color="auto" w:fill="auto"/>
          </w:tcPr>
          <w:p w:rsidR="0070500C" w:rsidRDefault="00D76221" w:rsidP="0070500C">
            <w:pPr>
              <w:spacing w:after="0" w:line="240" w:lineRule="auto"/>
              <w:jc w:val="both"/>
              <w:rPr>
                <w:rFonts w:ascii="Calibri" w:hAnsi="Calibri" w:cs="Calibri"/>
                <w:color w:val="000000"/>
              </w:rPr>
            </w:pPr>
            <w:r>
              <w:rPr>
                <w:rFonts w:ascii="Calibri" w:hAnsi="Calibri" w:cs="Calibri"/>
                <w:color w:val="000000"/>
              </w:rPr>
              <w:t>La présente partie de l’ISO 14123 établit des principes de maîtrise des risques pour la santé résultant des substances dangereuses émises par des machines.</w:t>
            </w:r>
          </w:p>
          <w:p w:rsidR="00D76221" w:rsidRDefault="00D76221" w:rsidP="0070500C">
            <w:pPr>
              <w:spacing w:after="0" w:line="240" w:lineRule="auto"/>
              <w:jc w:val="both"/>
              <w:rPr>
                <w:rFonts w:ascii="Calibri" w:hAnsi="Calibri" w:cs="Calibri"/>
                <w:color w:val="000000"/>
              </w:rPr>
            </w:pPr>
            <w:r>
              <w:rPr>
                <w:rFonts w:ascii="Calibri" w:hAnsi="Calibri" w:cs="Calibri"/>
                <w:color w:val="000000"/>
              </w:rPr>
              <w:t>La présente partie de l’ISO 14123 ne couvre pas les substances constituant un danger pour la santé du seul fait de leur caractère explosif, inflammable, radioactif ou de leurs conditions de température (haute ou basse) ou de pression (haute ou basse).</w:t>
            </w:r>
          </w:p>
        </w:tc>
      </w:tr>
      <w:tr w:rsidR="00D76221" w:rsidRPr="0070500C" w:rsidTr="0070500C">
        <w:trPr>
          <w:trHeight w:val="315"/>
          <w:jc w:val="center"/>
        </w:trPr>
        <w:tc>
          <w:tcPr>
            <w:tcW w:w="1820"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tcPr>
          <w:p w:rsidR="00D76221" w:rsidRDefault="00D76221" w:rsidP="0070500C">
            <w:pPr>
              <w:spacing w:after="0" w:line="240" w:lineRule="auto"/>
              <w:jc w:val="center"/>
              <w:rPr>
                <w:rFonts w:ascii="Calibri" w:hAnsi="Calibri" w:cs="Calibri"/>
                <w:b/>
                <w:bCs/>
              </w:rPr>
            </w:pPr>
            <w:r>
              <w:rPr>
                <w:rFonts w:ascii="Calibri" w:hAnsi="Calibri" w:cs="Calibri"/>
                <w:b/>
                <w:bCs/>
              </w:rPr>
              <w:t xml:space="preserve">Code </w:t>
            </w:r>
          </w:p>
        </w:tc>
        <w:tc>
          <w:tcPr>
            <w:tcW w:w="8126"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tcPr>
          <w:p w:rsidR="00D76221" w:rsidRPr="0070500C" w:rsidRDefault="00D76221" w:rsidP="0070500C">
            <w:pPr>
              <w:spacing w:after="0" w:line="240" w:lineRule="auto"/>
              <w:jc w:val="center"/>
              <w:rPr>
                <w:rFonts w:ascii="Calibri" w:hAnsi="Calibri" w:cs="Calibri"/>
                <w:b/>
                <w:bCs/>
              </w:rPr>
            </w:pPr>
            <w:r w:rsidRPr="0070500C">
              <w:rPr>
                <w:rFonts w:ascii="Calibri" w:hAnsi="Calibri" w:cs="Calibri"/>
                <w:b/>
                <w:bCs/>
              </w:rPr>
              <w:t>NM ISO 14123-2</w:t>
            </w:r>
          </w:p>
        </w:tc>
      </w:tr>
      <w:tr w:rsidR="00D76221" w:rsidRPr="0070500C" w:rsidTr="0070500C">
        <w:trPr>
          <w:trHeight w:val="315"/>
          <w:jc w:val="center"/>
        </w:trPr>
        <w:tc>
          <w:tcPr>
            <w:tcW w:w="1820" w:type="dxa"/>
            <w:tcBorders>
              <w:top w:val="single" w:sz="18" w:space="0" w:color="auto"/>
              <w:left w:val="single" w:sz="18" w:space="0" w:color="auto"/>
              <w:bottom w:val="single" w:sz="18" w:space="0" w:color="auto"/>
              <w:right w:val="single" w:sz="4" w:space="0" w:color="auto"/>
            </w:tcBorders>
            <w:shd w:val="clear" w:color="auto" w:fill="FFFF99"/>
            <w:vAlign w:val="center"/>
          </w:tcPr>
          <w:p w:rsidR="00D76221" w:rsidRDefault="00D76221" w:rsidP="0070500C">
            <w:pPr>
              <w:spacing w:after="0" w:line="240" w:lineRule="auto"/>
              <w:jc w:val="center"/>
              <w:rPr>
                <w:rFonts w:ascii="Calibri" w:hAnsi="Calibri" w:cs="Calibri"/>
                <w:b/>
                <w:bCs/>
              </w:rPr>
            </w:pPr>
            <w:r>
              <w:rPr>
                <w:rFonts w:ascii="Calibri" w:hAnsi="Calibri" w:cs="Calibri"/>
                <w:b/>
                <w:bCs/>
              </w:rPr>
              <w:t xml:space="preserve">Equivalence </w:t>
            </w:r>
          </w:p>
        </w:tc>
        <w:tc>
          <w:tcPr>
            <w:tcW w:w="8126" w:type="dxa"/>
            <w:tcBorders>
              <w:top w:val="single" w:sz="18" w:space="0" w:color="auto"/>
              <w:left w:val="single" w:sz="4" w:space="0" w:color="auto"/>
              <w:bottom w:val="single" w:sz="18" w:space="0" w:color="auto"/>
              <w:right w:val="single" w:sz="18" w:space="0" w:color="auto"/>
            </w:tcBorders>
            <w:shd w:val="clear" w:color="auto" w:fill="FFFF99"/>
            <w:vAlign w:val="center"/>
          </w:tcPr>
          <w:p w:rsidR="00D76221" w:rsidRPr="0070500C" w:rsidRDefault="00D76221" w:rsidP="0070500C">
            <w:pPr>
              <w:spacing w:after="0" w:line="240" w:lineRule="auto"/>
              <w:jc w:val="center"/>
              <w:rPr>
                <w:rFonts w:ascii="Calibri" w:hAnsi="Calibri" w:cs="Calibri"/>
                <w:b/>
                <w:bCs/>
              </w:rPr>
            </w:pPr>
            <w:r>
              <w:rPr>
                <w:rFonts w:ascii="Calibri" w:hAnsi="Calibri" w:cs="Calibri"/>
                <w:b/>
                <w:bCs/>
              </w:rPr>
              <w:t>ISO 14123-2</w:t>
            </w:r>
          </w:p>
        </w:tc>
      </w:tr>
      <w:tr w:rsidR="00D76221" w:rsidRPr="0070500C" w:rsidTr="0070500C">
        <w:trPr>
          <w:trHeight w:val="315"/>
          <w:jc w:val="center"/>
        </w:trPr>
        <w:tc>
          <w:tcPr>
            <w:tcW w:w="1820" w:type="dxa"/>
            <w:tcBorders>
              <w:top w:val="single" w:sz="18" w:space="0" w:color="auto"/>
              <w:left w:val="single" w:sz="18" w:space="0" w:color="auto"/>
              <w:bottom w:val="single" w:sz="4" w:space="0" w:color="auto"/>
              <w:right w:val="single" w:sz="4" w:space="0" w:color="auto"/>
            </w:tcBorders>
            <w:shd w:val="clear" w:color="auto" w:fill="B8CCE4" w:themeFill="accent1" w:themeFillTint="66"/>
            <w:vAlign w:val="center"/>
          </w:tcPr>
          <w:p w:rsidR="00D76221" w:rsidRDefault="00D76221" w:rsidP="0070500C">
            <w:pPr>
              <w:spacing w:after="0" w:line="240" w:lineRule="auto"/>
              <w:jc w:val="center"/>
              <w:rPr>
                <w:rFonts w:ascii="Calibri" w:hAnsi="Calibri" w:cs="Calibri"/>
                <w:b/>
                <w:bCs/>
              </w:rPr>
            </w:pPr>
            <w:r>
              <w:rPr>
                <w:rFonts w:ascii="Calibri" w:hAnsi="Calibri" w:cs="Calibri"/>
                <w:b/>
                <w:bCs/>
              </w:rPr>
              <w:t xml:space="preserve">Intitulé </w:t>
            </w:r>
          </w:p>
        </w:tc>
        <w:tc>
          <w:tcPr>
            <w:tcW w:w="8126" w:type="dxa"/>
            <w:tcBorders>
              <w:top w:val="single" w:sz="18" w:space="0" w:color="auto"/>
              <w:left w:val="single" w:sz="4" w:space="0" w:color="auto"/>
              <w:bottom w:val="single" w:sz="4" w:space="0" w:color="auto"/>
              <w:right w:val="single" w:sz="18" w:space="0" w:color="auto"/>
            </w:tcBorders>
            <w:shd w:val="clear" w:color="auto" w:fill="auto"/>
          </w:tcPr>
          <w:p w:rsidR="00D76221" w:rsidRPr="0070500C" w:rsidRDefault="00D76221" w:rsidP="0070500C">
            <w:pPr>
              <w:spacing w:after="0" w:line="240" w:lineRule="auto"/>
              <w:jc w:val="both"/>
              <w:rPr>
                <w:rFonts w:ascii="Calibri" w:hAnsi="Calibri" w:cs="Calibri"/>
              </w:rPr>
            </w:pPr>
            <w:r w:rsidRPr="0070500C">
              <w:rPr>
                <w:rFonts w:ascii="Calibri" w:hAnsi="Calibri" w:cs="Calibri"/>
              </w:rPr>
              <w:t>Sécurité des machines - Réduction des risques pour la santé résultant de substances dangereuses émises par des machines - Partie 2 : Méthodologie menant à des procédures de vérification </w:t>
            </w:r>
            <w:r w:rsidR="0070500C">
              <w:rPr>
                <w:rFonts w:ascii="Calibri" w:hAnsi="Calibri" w:cs="Calibri"/>
              </w:rPr>
              <w:t xml:space="preserve"> </w:t>
            </w:r>
          </w:p>
        </w:tc>
      </w:tr>
      <w:tr w:rsidR="00D76221" w:rsidRPr="0043547B" w:rsidTr="0070500C">
        <w:trPr>
          <w:trHeight w:val="315"/>
          <w:jc w:val="center"/>
        </w:trPr>
        <w:tc>
          <w:tcPr>
            <w:tcW w:w="1820" w:type="dxa"/>
            <w:tcBorders>
              <w:top w:val="single" w:sz="4" w:space="0" w:color="auto"/>
              <w:left w:val="single" w:sz="18" w:space="0" w:color="auto"/>
              <w:bottom w:val="single" w:sz="18" w:space="0" w:color="auto"/>
              <w:right w:val="single" w:sz="4" w:space="0" w:color="auto"/>
            </w:tcBorders>
            <w:shd w:val="clear" w:color="auto" w:fill="auto"/>
            <w:vAlign w:val="center"/>
          </w:tcPr>
          <w:p w:rsidR="00D76221" w:rsidRDefault="00D76221" w:rsidP="00D76221">
            <w:pPr>
              <w:jc w:val="center"/>
              <w:rPr>
                <w:rFonts w:ascii="Calibri" w:hAnsi="Calibri" w:cs="Calibri"/>
                <w:b/>
                <w:bCs/>
              </w:rPr>
            </w:pPr>
            <w:r>
              <w:rPr>
                <w:rFonts w:ascii="Calibri" w:hAnsi="Calibri" w:cs="Calibri"/>
                <w:b/>
                <w:bCs/>
              </w:rPr>
              <w:t xml:space="preserve">Domaine d’application </w:t>
            </w:r>
          </w:p>
        </w:tc>
        <w:tc>
          <w:tcPr>
            <w:tcW w:w="8126" w:type="dxa"/>
            <w:tcBorders>
              <w:top w:val="single" w:sz="4" w:space="0" w:color="auto"/>
              <w:left w:val="single" w:sz="4" w:space="0" w:color="auto"/>
              <w:bottom w:val="single" w:sz="18" w:space="0" w:color="auto"/>
              <w:right w:val="single" w:sz="18" w:space="0" w:color="auto"/>
            </w:tcBorders>
            <w:shd w:val="clear" w:color="auto" w:fill="auto"/>
          </w:tcPr>
          <w:p w:rsidR="0070500C" w:rsidRDefault="00D76221" w:rsidP="0070500C">
            <w:pPr>
              <w:spacing w:after="0" w:line="240" w:lineRule="auto"/>
              <w:jc w:val="both"/>
              <w:rPr>
                <w:rFonts w:ascii="Calibri" w:hAnsi="Calibri" w:cs="Calibri"/>
                <w:color w:val="000000"/>
              </w:rPr>
            </w:pPr>
            <w:r>
              <w:rPr>
                <w:rFonts w:ascii="Calibri" w:hAnsi="Calibri" w:cs="Calibri"/>
                <w:color w:val="000000"/>
              </w:rPr>
              <w:t>La présente partie de l’ISO 14123 établit une méthodologie qui mène à la sélection des facteurs critiques liés aux émissions de substances dangereuses dans le but de spécifier des procédures de vérification appropriées.</w:t>
            </w:r>
          </w:p>
          <w:p w:rsidR="00D76221" w:rsidRDefault="00D76221" w:rsidP="0070500C">
            <w:pPr>
              <w:spacing w:after="0" w:line="240" w:lineRule="auto"/>
              <w:jc w:val="both"/>
              <w:rPr>
                <w:rFonts w:ascii="Calibri" w:hAnsi="Calibri" w:cs="Calibri"/>
                <w:color w:val="000000"/>
              </w:rPr>
            </w:pPr>
            <w:r>
              <w:rPr>
                <w:rFonts w:ascii="Calibri" w:hAnsi="Calibri" w:cs="Calibri"/>
                <w:color w:val="000000"/>
              </w:rPr>
              <w:t>La présente partie de l’ISO 14123 est à utiliser conjointement avec l’ISO 14123-1 et traite spécifiquement de l’ISO 14123-1:2015, Article 8.</w:t>
            </w:r>
          </w:p>
        </w:tc>
      </w:tr>
      <w:tr w:rsidR="00D76221" w:rsidRPr="0043547B" w:rsidTr="00CB5DC0">
        <w:trPr>
          <w:trHeight w:val="315"/>
          <w:jc w:val="center"/>
        </w:trPr>
        <w:tc>
          <w:tcPr>
            <w:tcW w:w="1820" w:type="dxa"/>
            <w:tcBorders>
              <w:top w:val="single" w:sz="18" w:space="0" w:color="auto"/>
              <w:left w:val="single" w:sz="18" w:space="0" w:color="auto"/>
              <w:bottom w:val="single" w:sz="18" w:space="0" w:color="auto"/>
              <w:right w:val="single" w:sz="4" w:space="0" w:color="auto"/>
            </w:tcBorders>
            <w:shd w:val="clear" w:color="auto" w:fill="B4CD81"/>
            <w:vAlign w:val="center"/>
          </w:tcPr>
          <w:p w:rsidR="00D76221" w:rsidRPr="0043547B" w:rsidRDefault="00D76221" w:rsidP="00D76221">
            <w:pPr>
              <w:spacing w:after="0"/>
              <w:jc w:val="center"/>
              <w:rPr>
                <w:rFonts w:cstheme="minorHAnsi"/>
                <w:b/>
                <w:bCs/>
                <w:sz w:val="24"/>
                <w:szCs w:val="24"/>
              </w:rPr>
            </w:pPr>
            <w:r w:rsidRPr="0043547B">
              <w:rPr>
                <w:rFonts w:cstheme="minorHAnsi"/>
                <w:b/>
                <w:bCs/>
                <w:sz w:val="24"/>
                <w:szCs w:val="24"/>
              </w:rPr>
              <w:t>Code :</w:t>
            </w:r>
          </w:p>
        </w:tc>
        <w:tc>
          <w:tcPr>
            <w:tcW w:w="8126" w:type="dxa"/>
            <w:tcBorders>
              <w:top w:val="single" w:sz="18" w:space="0" w:color="auto"/>
              <w:left w:val="single" w:sz="4" w:space="0" w:color="auto"/>
              <w:bottom w:val="single" w:sz="18" w:space="0" w:color="auto"/>
              <w:right w:val="single" w:sz="18" w:space="0" w:color="auto"/>
            </w:tcBorders>
            <w:shd w:val="clear" w:color="auto" w:fill="B4CD81"/>
            <w:vAlign w:val="center"/>
          </w:tcPr>
          <w:p w:rsidR="00D76221" w:rsidRPr="0043547B" w:rsidRDefault="00D76221" w:rsidP="00D76221">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06.1.102</w:t>
            </w:r>
          </w:p>
        </w:tc>
      </w:tr>
      <w:tr w:rsidR="00D76221" w:rsidRPr="0043547B" w:rsidTr="00CB5DC0">
        <w:trPr>
          <w:trHeight w:val="269"/>
          <w:jc w:val="center"/>
        </w:trPr>
        <w:tc>
          <w:tcPr>
            <w:tcW w:w="1820"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D76221" w:rsidRPr="0043547B" w:rsidRDefault="00D76221" w:rsidP="00D76221">
            <w:pPr>
              <w:spacing w:after="0"/>
              <w:jc w:val="center"/>
              <w:rPr>
                <w:rFonts w:cstheme="minorHAnsi"/>
                <w:b/>
                <w:bCs/>
                <w:sz w:val="24"/>
                <w:szCs w:val="24"/>
              </w:rPr>
            </w:pPr>
            <w:r w:rsidRPr="0043547B">
              <w:rPr>
                <w:rFonts w:cstheme="minorHAnsi"/>
                <w:b/>
                <w:bCs/>
                <w:sz w:val="24"/>
                <w:szCs w:val="24"/>
              </w:rPr>
              <w:t>Intitulé :</w:t>
            </w:r>
          </w:p>
        </w:tc>
        <w:tc>
          <w:tcPr>
            <w:tcW w:w="8126" w:type="dxa"/>
            <w:tcBorders>
              <w:top w:val="single" w:sz="18" w:space="0" w:color="auto"/>
              <w:left w:val="single" w:sz="4" w:space="0" w:color="auto"/>
              <w:right w:val="single" w:sz="18" w:space="0" w:color="auto"/>
            </w:tcBorders>
            <w:shd w:val="clear" w:color="auto" w:fill="auto"/>
            <w:vAlign w:val="center"/>
            <w:hideMark/>
          </w:tcPr>
          <w:p w:rsidR="00D76221" w:rsidRPr="0043547B" w:rsidRDefault="00D76221" w:rsidP="00D7622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Installations électriques à basse tension - Détermination des caractéristiques générales des installations </w:t>
            </w:r>
          </w:p>
        </w:tc>
      </w:tr>
      <w:tr w:rsidR="00D76221" w:rsidRPr="0043547B" w:rsidTr="00CB5DC0">
        <w:trPr>
          <w:trHeight w:val="272"/>
          <w:jc w:val="center"/>
        </w:trPr>
        <w:tc>
          <w:tcPr>
            <w:tcW w:w="1820" w:type="dxa"/>
            <w:tcBorders>
              <w:top w:val="nil"/>
              <w:left w:val="single" w:sz="18" w:space="0" w:color="auto"/>
              <w:bottom w:val="single" w:sz="18" w:space="0" w:color="auto"/>
              <w:right w:val="single" w:sz="4" w:space="0" w:color="auto"/>
            </w:tcBorders>
            <w:shd w:val="clear" w:color="000000" w:fill="D9D9D9"/>
            <w:vAlign w:val="center"/>
            <w:hideMark/>
          </w:tcPr>
          <w:p w:rsidR="00D76221" w:rsidRPr="0043547B" w:rsidRDefault="00D76221" w:rsidP="00D76221">
            <w:pPr>
              <w:spacing w:after="0"/>
              <w:jc w:val="center"/>
              <w:rPr>
                <w:rFonts w:cstheme="minorHAnsi"/>
                <w:b/>
                <w:bCs/>
                <w:sz w:val="24"/>
                <w:szCs w:val="24"/>
              </w:rPr>
            </w:pPr>
            <w:r w:rsidRPr="0043547B">
              <w:rPr>
                <w:rFonts w:cstheme="minorHAnsi"/>
                <w:b/>
                <w:bCs/>
                <w:sz w:val="24"/>
                <w:szCs w:val="24"/>
              </w:rPr>
              <w:t>Domaine d’application :</w:t>
            </w:r>
          </w:p>
        </w:tc>
        <w:tc>
          <w:tcPr>
            <w:tcW w:w="8126" w:type="dxa"/>
            <w:tcBorders>
              <w:left w:val="single" w:sz="4" w:space="0" w:color="auto"/>
              <w:bottom w:val="single" w:sz="18" w:space="0" w:color="auto"/>
              <w:right w:val="single" w:sz="18" w:space="0" w:color="auto"/>
            </w:tcBorders>
            <w:shd w:val="clear" w:color="auto" w:fill="auto"/>
            <w:vAlign w:val="center"/>
            <w:hideMark/>
          </w:tcPr>
          <w:p w:rsidR="00D76221" w:rsidRPr="0043547B" w:rsidRDefault="00D76221" w:rsidP="00D76221">
            <w:pPr>
              <w:spacing w:after="0" w:line="240" w:lineRule="auto"/>
              <w:jc w:val="both"/>
              <w:rPr>
                <w:rFonts w:eastAsia="Times New Roman" w:cstheme="minorHAnsi"/>
                <w:sz w:val="24"/>
                <w:szCs w:val="24"/>
                <w:lang w:eastAsia="fr-FR"/>
              </w:rPr>
            </w:pPr>
            <w:r>
              <w:rPr>
                <w:rFonts w:eastAsia="Times New Roman" w:cstheme="minorHAnsi"/>
                <w:sz w:val="24"/>
                <w:szCs w:val="24"/>
                <w:lang w:eastAsia="fr-FR"/>
              </w:rPr>
              <w:t>C</w:t>
            </w:r>
            <w:r w:rsidRPr="0043547B">
              <w:rPr>
                <w:rFonts w:eastAsia="Times New Roman" w:cstheme="minorHAnsi"/>
                <w:sz w:val="24"/>
                <w:szCs w:val="24"/>
                <w:lang w:eastAsia="fr-FR"/>
              </w:rPr>
              <w:t xml:space="preserve">ette norme est utilisée conjointement avec la NM 06.1.100 </w:t>
            </w:r>
          </w:p>
        </w:tc>
      </w:tr>
      <w:tr w:rsidR="00D76221" w:rsidRPr="0043547B" w:rsidTr="00CB5DC0">
        <w:trPr>
          <w:trHeight w:val="315"/>
          <w:jc w:val="center"/>
        </w:trPr>
        <w:tc>
          <w:tcPr>
            <w:tcW w:w="1820"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D76221" w:rsidRPr="0043547B" w:rsidRDefault="00D76221" w:rsidP="00D76221">
            <w:pPr>
              <w:spacing w:after="0"/>
              <w:jc w:val="center"/>
              <w:rPr>
                <w:rFonts w:cstheme="minorHAnsi"/>
                <w:b/>
                <w:bCs/>
                <w:sz w:val="24"/>
                <w:szCs w:val="24"/>
              </w:rPr>
            </w:pPr>
            <w:r w:rsidRPr="0043547B">
              <w:rPr>
                <w:rFonts w:cstheme="minorHAnsi"/>
                <w:b/>
                <w:bCs/>
                <w:sz w:val="24"/>
                <w:szCs w:val="24"/>
              </w:rPr>
              <w:t>Code :</w:t>
            </w:r>
          </w:p>
        </w:tc>
        <w:tc>
          <w:tcPr>
            <w:tcW w:w="8126" w:type="dxa"/>
            <w:tcBorders>
              <w:top w:val="single" w:sz="18" w:space="0" w:color="auto"/>
              <w:left w:val="single" w:sz="4" w:space="0" w:color="auto"/>
              <w:bottom w:val="single" w:sz="18" w:space="0" w:color="auto"/>
              <w:right w:val="single" w:sz="18" w:space="0" w:color="auto"/>
            </w:tcBorders>
            <w:shd w:val="clear" w:color="auto" w:fill="B4CD81"/>
            <w:vAlign w:val="center"/>
            <w:hideMark/>
          </w:tcPr>
          <w:p w:rsidR="00D76221" w:rsidRPr="0043547B" w:rsidRDefault="00D76221" w:rsidP="00D76221">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06.1.103</w:t>
            </w:r>
          </w:p>
        </w:tc>
      </w:tr>
      <w:tr w:rsidR="00D76221" w:rsidRPr="0043547B" w:rsidTr="00CB5DC0">
        <w:trPr>
          <w:trHeight w:val="315"/>
          <w:jc w:val="center"/>
        </w:trPr>
        <w:tc>
          <w:tcPr>
            <w:tcW w:w="1820"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D76221" w:rsidRPr="0043547B" w:rsidRDefault="00D76221" w:rsidP="00D76221">
            <w:pPr>
              <w:spacing w:after="0"/>
              <w:jc w:val="center"/>
              <w:rPr>
                <w:rFonts w:cstheme="minorHAnsi"/>
                <w:b/>
                <w:bCs/>
                <w:sz w:val="24"/>
                <w:szCs w:val="24"/>
              </w:rPr>
            </w:pPr>
            <w:r w:rsidRPr="0043547B">
              <w:rPr>
                <w:rFonts w:cstheme="minorHAnsi"/>
                <w:b/>
                <w:bCs/>
                <w:sz w:val="24"/>
                <w:szCs w:val="24"/>
              </w:rPr>
              <w:t>Intitulé :</w:t>
            </w:r>
          </w:p>
        </w:tc>
        <w:tc>
          <w:tcPr>
            <w:tcW w:w="8126" w:type="dxa"/>
            <w:tcBorders>
              <w:top w:val="single" w:sz="18" w:space="0" w:color="auto"/>
              <w:left w:val="single" w:sz="4" w:space="0" w:color="auto"/>
              <w:right w:val="single" w:sz="18" w:space="0" w:color="auto"/>
            </w:tcBorders>
            <w:shd w:val="clear" w:color="auto" w:fill="auto"/>
            <w:vAlign w:val="center"/>
            <w:hideMark/>
          </w:tcPr>
          <w:p w:rsidR="00D76221" w:rsidRPr="0043547B" w:rsidRDefault="00D76221" w:rsidP="00D7622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Installations électriques à basse tension – Protection pour assurer la sécurité </w:t>
            </w:r>
          </w:p>
        </w:tc>
      </w:tr>
      <w:tr w:rsidR="00D76221" w:rsidRPr="0043547B" w:rsidTr="00CB5DC0">
        <w:trPr>
          <w:trHeight w:val="753"/>
          <w:jc w:val="center"/>
        </w:trPr>
        <w:tc>
          <w:tcPr>
            <w:tcW w:w="1820" w:type="dxa"/>
            <w:tcBorders>
              <w:top w:val="nil"/>
              <w:left w:val="single" w:sz="18" w:space="0" w:color="auto"/>
              <w:bottom w:val="single" w:sz="18" w:space="0" w:color="auto"/>
              <w:right w:val="single" w:sz="4" w:space="0" w:color="auto"/>
            </w:tcBorders>
            <w:shd w:val="clear" w:color="000000" w:fill="D9D9D9"/>
            <w:vAlign w:val="center"/>
            <w:hideMark/>
          </w:tcPr>
          <w:p w:rsidR="00D76221" w:rsidRPr="0043547B" w:rsidRDefault="00D76221" w:rsidP="00D76221">
            <w:pPr>
              <w:spacing w:after="0"/>
              <w:jc w:val="center"/>
              <w:rPr>
                <w:rFonts w:cstheme="minorHAnsi"/>
                <w:b/>
                <w:bCs/>
                <w:sz w:val="24"/>
                <w:szCs w:val="24"/>
              </w:rPr>
            </w:pPr>
            <w:r w:rsidRPr="0043547B">
              <w:rPr>
                <w:rFonts w:cstheme="minorHAnsi"/>
                <w:b/>
                <w:bCs/>
                <w:sz w:val="24"/>
                <w:szCs w:val="24"/>
              </w:rPr>
              <w:t>Domaine d’application :</w:t>
            </w:r>
          </w:p>
        </w:tc>
        <w:tc>
          <w:tcPr>
            <w:tcW w:w="8126" w:type="dxa"/>
            <w:tcBorders>
              <w:left w:val="single" w:sz="4" w:space="0" w:color="auto"/>
              <w:bottom w:val="single" w:sz="18" w:space="0" w:color="auto"/>
              <w:right w:val="single" w:sz="18" w:space="0" w:color="auto"/>
            </w:tcBorders>
            <w:shd w:val="clear" w:color="auto" w:fill="auto"/>
            <w:vAlign w:val="center"/>
            <w:hideMark/>
          </w:tcPr>
          <w:p w:rsidR="00D76221" w:rsidRPr="0043547B" w:rsidRDefault="00D76221" w:rsidP="00D76221">
            <w:pPr>
              <w:spacing w:after="0" w:line="240" w:lineRule="auto"/>
              <w:jc w:val="both"/>
              <w:rPr>
                <w:rFonts w:eastAsia="Times New Roman" w:cstheme="minorHAnsi"/>
                <w:sz w:val="24"/>
                <w:szCs w:val="24"/>
                <w:lang w:eastAsia="fr-FR"/>
              </w:rPr>
            </w:pPr>
            <w:r>
              <w:rPr>
                <w:rFonts w:eastAsia="Times New Roman" w:cstheme="minorHAnsi"/>
                <w:sz w:val="24"/>
                <w:szCs w:val="24"/>
                <w:lang w:eastAsia="fr-FR"/>
              </w:rPr>
              <w:t>C</w:t>
            </w:r>
            <w:r w:rsidRPr="0043547B">
              <w:rPr>
                <w:rFonts w:eastAsia="Times New Roman" w:cstheme="minorHAnsi"/>
                <w:sz w:val="24"/>
                <w:szCs w:val="24"/>
                <w:lang w:eastAsia="fr-FR"/>
              </w:rPr>
              <w:t xml:space="preserve">ette norme est utilisée conjointement avec la NM 06.1.100 </w:t>
            </w:r>
          </w:p>
        </w:tc>
      </w:tr>
      <w:tr w:rsidR="00D76221" w:rsidRPr="0043547B" w:rsidTr="00CB5DC0">
        <w:trPr>
          <w:trHeight w:val="315"/>
          <w:jc w:val="center"/>
        </w:trPr>
        <w:tc>
          <w:tcPr>
            <w:tcW w:w="1820"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D76221" w:rsidRPr="0043547B" w:rsidRDefault="00D76221" w:rsidP="00D76221">
            <w:pPr>
              <w:spacing w:after="0"/>
              <w:jc w:val="center"/>
              <w:rPr>
                <w:rFonts w:cstheme="minorHAnsi"/>
                <w:b/>
                <w:bCs/>
                <w:sz w:val="24"/>
                <w:szCs w:val="24"/>
              </w:rPr>
            </w:pPr>
            <w:r w:rsidRPr="0043547B">
              <w:rPr>
                <w:rFonts w:cstheme="minorHAnsi"/>
                <w:b/>
                <w:bCs/>
                <w:sz w:val="24"/>
                <w:szCs w:val="24"/>
              </w:rPr>
              <w:t>Code :</w:t>
            </w:r>
          </w:p>
        </w:tc>
        <w:tc>
          <w:tcPr>
            <w:tcW w:w="8126" w:type="dxa"/>
            <w:tcBorders>
              <w:top w:val="single" w:sz="18" w:space="0" w:color="auto"/>
              <w:left w:val="single" w:sz="4" w:space="0" w:color="auto"/>
              <w:bottom w:val="single" w:sz="18" w:space="0" w:color="auto"/>
              <w:right w:val="single" w:sz="18" w:space="0" w:color="auto"/>
            </w:tcBorders>
            <w:shd w:val="clear" w:color="auto" w:fill="B4CD81"/>
            <w:vAlign w:val="center"/>
            <w:hideMark/>
          </w:tcPr>
          <w:p w:rsidR="00D76221" w:rsidRPr="0043547B" w:rsidRDefault="00D76221" w:rsidP="00D76221">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06.1.104</w:t>
            </w:r>
          </w:p>
        </w:tc>
      </w:tr>
      <w:tr w:rsidR="00D76221" w:rsidRPr="0043547B" w:rsidTr="00CB5DC0">
        <w:trPr>
          <w:trHeight w:val="315"/>
          <w:jc w:val="center"/>
        </w:trPr>
        <w:tc>
          <w:tcPr>
            <w:tcW w:w="1820"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D76221" w:rsidRPr="0043547B" w:rsidRDefault="00D76221" w:rsidP="00D76221">
            <w:pPr>
              <w:spacing w:after="0"/>
              <w:jc w:val="center"/>
              <w:rPr>
                <w:rFonts w:cstheme="minorHAnsi"/>
                <w:b/>
                <w:bCs/>
                <w:sz w:val="24"/>
                <w:szCs w:val="24"/>
              </w:rPr>
            </w:pPr>
            <w:r w:rsidRPr="0043547B">
              <w:rPr>
                <w:rFonts w:cstheme="minorHAnsi"/>
                <w:b/>
                <w:bCs/>
                <w:sz w:val="24"/>
                <w:szCs w:val="24"/>
              </w:rPr>
              <w:t>Intitulé :</w:t>
            </w:r>
          </w:p>
        </w:tc>
        <w:tc>
          <w:tcPr>
            <w:tcW w:w="8126" w:type="dxa"/>
            <w:tcBorders>
              <w:top w:val="single" w:sz="18" w:space="0" w:color="auto"/>
              <w:left w:val="single" w:sz="4" w:space="0" w:color="auto"/>
              <w:right w:val="single" w:sz="18" w:space="0" w:color="auto"/>
            </w:tcBorders>
            <w:shd w:val="clear" w:color="auto" w:fill="auto"/>
            <w:vAlign w:val="center"/>
            <w:hideMark/>
          </w:tcPr>
          <w:p w:rsidR="00D76221" w:rsidRPr="0043547B" w:rsidRDefault="00D76221" w:rsidP="00D7622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Installations électriques à basse tension – Choix et mise en œuvre des matériels </w:t>
            </w:r>
          </w:p>
        </w:tc>
      </w:tr>
      <w:tr w:rsidR="00D76221" w:rsidRPr="0043547B" w:rsidTr="00CB5DC0">
        <w:trPr>
          <w:trHeight w:val="828"/>
          <w:jc w:val="center"/>
        </w:trPr>
        <w:tc>
          <w:tcPr>
            <w:tcW w:w="1820" w:type="dxa"/>
            <w:tcBorders>
              <w:top w:val="nil"/>
              <w:left w:val="single" w:sz="18" w:space="0" w:color="auto"/>
              <w:bottom w:val="single" w:sz="18" w:space="0" w:color="auto"/>
              <w:right w:val="single" w:sz="4" w:space="0" w:color="auto"/>
            </w:tcBorders>
            <w:shd w:val="clear" w:color="000000" w:fill="D9D9D9"/>
            <w:vAlign w:val="center"/>
            <w:hideMark/>
          </w:tcPr>
          <w:p w:rsidR="00D76221" w:rsidRPr="0043547B" w:rsidRDefault="00D76221" w:rsidP="00D76221">
            <w:pPr>
              <w:spacing w:after="0"/>
              <w:jc w:val="center"/>
              <w:rPr>
                <w:rFonts w:cstheme="minorHAnsi"/>
                <w:b/>
                <w:bCs/>
                <w:sz w:val="24"/>
                <w:szCs w:val="24"/>
              </w:rPr>
            </w:pPr>
            <w:r w:rsidRPr="0043547B">
              <w:rPr>
                <w:rFonts w:cstheme="minorHAnsi"/>
                <w:b/>
                <w:bCs/>
                <w:sz w:val="24"/>
                <w:szCs w:val="24"/>
              </w:rPr>
              <w:t>Domaine d’application :</w:t>
            </w:r>
          </w:p>
        </w:tc>
        <w:tc>
          <w:tcPr>
            <w:tcW w:w="8126" w:type="dxa"/>
            <w:tcBorders>
              <w:left w:val="single" w:sz="4" w:space="0" w:color="auto"/>
              <w:bottom w:val="single" w:sz="18" w:space="0" w:color="auto"/>
              <w:right w:val="single" w:sz="18" w:space="0" w:color="auto"/>
            </w:tcBorders>
            <w:shd w:val="clear" w:color="auto" w:fill="auto"/>
            <w:vAlign w:val="center"/>
            <w:hideMark/>
          </w:tcPr>
          <w:p w:rsidR="00D76221" w:rsidRPr="0043547B" w:rsidRDefault="00D76221" w:rsidP="00D7622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Cette norme est utilisée conjointement avec la NM 06.1.100 </w:t>
            </w:r>
          </w:p>
        </w:tc>
      </w:tr>
      <w:tr w:rsidR="00D76221" w:rsidRPr="0043547B" w:rsidTr="00CB5DC0">
        <w:trPr>
          <w:trHeight w:val="315"/>
          <w:jc w:val="center"/>
        </w:trPr>
        <w:tc>
          <w:tcPr>
            <w:tcW w:w="1820"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D76221" w:rsidRPr="0043547B" w:rsidRDefault="00D76221" w:rsidP="00D76221">
            <w:pPr>
              <w:spacing w:after="0"/>
              <w:jc w:val="center"/>
              <w:rPr>
                <w:rFonts w:cstheme="minorHAnsi"/>
                <w:b/>
                <w:bCs/>
                <w:sz w:val="24"/>
                <w:szCs w:val="24"/>
              </w:rPr>
            </w:pPr>
            <w:r w:rsidRPr="0043547B">
              <w:rPr>
                <w:rFonts w:cstheme="minorHAnsi"/>
                <w:b/>
                <w:bCs/>
                <w:sz w:val="24"/>
                <w:szCs w:val="24"/>
              </w:rPr>
              <w:t>Code :</w:t>
            </w:r>
          </w:p>
        </w:tc>
        <w:tc>
          <w:tcPr>
            <w:tcW w:w="8126" w:type="dxa"/>
            <w:tcBorders>
              <w:top w:val="single" w:sz="18" w:space="0" w:color="auto"/>
              <w:left w:val="single" w:sz="4" w:space="0" w:color="auto"/>
              <w:bottom w:val="single" w:sz="18" w:space="0" w:color="auto"/>
              <w:right w:val="single" w:sz="18" w:space="0" w:color="auto"/>
            </w:tcBorders>
            <w:shd w:val="clear" w:color="auto" w:fill="B4CD81"/>
            <w:noWrap/>
            <w:vAlign w:val="center"/>
            <w:hideMark/>
          </w:tcPr>
          <w:p w:rsidR="00D76221" w:rsidRPr="0043547B" w:rsidRDefault="00D76221" w:rsidP="00D76221">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06.1.105</w:t>
            </w:r>
          </w:p>
        </w:tc>
      </w:tr>
      <w:tr w:rsidR="00D76221" w:rsidRPr="0043547B" w:rsidTr="00CB5DC0">
        <w:trPr>
          <w:trHeight w:val="315"/>
          <w:jc w:val="center"/>
        </w:trPr>
        <w:tc>
          <w:tcPr>
            <w:tcW w:w="1820"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D76221" w:rsidRPr="0043547B" w:rsidRDefault="00D76221" w:rsidP="00D76221">
            <w:pPr>
              <w:spacing w:after="0"/>
              <w:jc w:val="center"/>
              <w:rPr>
                <w:rFonts w:cstheme="minorHAnsi"/>
                <w:b/>
                <w:bCs/>
                <w:sz w:val="24"/>
                <w:szCs w:val="24"/>
              </w:rPr>
            </w:pPr>
            <w:r w:rsidRPr="0043547B">
              <w:rPr>
                <w:rFonts w:cstheme="minorHAnsi"/>
                <w:b/>
                <w:bCs/>
                <w:sz w:val="24"/>
                <w:szCs w:val="24"/>
              </w:rPr>
              <w:t>Intitulé :</w:t>
            </w:r>
          </w:p>
        </w:tc>
        <w:tc>
          <w:tcPr>
            <w:tcW w:w="8126" w:type="dxa"/>
            <w:tcBorders>
              <w:top w:val="single" w:sz="18" w:space="0" w:color="auto"/>
              <w:left w:val="single" w:sz="4" w:space="0" w:color="auto"/>
              <w:right w:val="single" w:sz="18" w:space="0" w:color="auto"/>
            </w:tcBorders>
            <w:shd w:val="clear" w:color="auto" w:fill="auto"/>
            <w:vAlign w:val="center"/>
            <w:hideMark/>
          </w:tcPr>
          <w:p w:rsidR="00D76221" w:rsidRPr="0043547B" w:rsidRDefault="00D76221" w:rsidP="00D7622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Installations électriques à basse tension – Vérification et entretien des installations </w:t>
            </w:r>
          </w:p>
        </w:tc>
      </w:tr>
      <w:tr w:rsidR="00D76221" w:rsidRPr="0043547B" w:rsidTr="00CB5DC0">
        <w:trPr>
          <w:trHeight w:val="822"/>
          <w:jc w:val="center"/>
        </w:trPr>
        <w:tc>
          <w:tcPr>
            <w:tcW w:w="1820" w:type="dxa"/>
            <w:tcBorders>
              <w:top w:val="nil"/>
              <w:left w:val="single" w:sz="18" w:space="0" w:color="auto"/>
              <w:bottom w:val="single" w:sz="18" w:space="0" w:color="auto"/>
              <w:right w:val="single" w:sz="4" w:space="0" w:color="auto"/>
            </w:tcBorders>
            <w:shd w:val="clear" w:color="000000" w:fill="D9D9D9"/>
            <w:vAlign w:val="center"/>
            <w:hideMark/>
          </w:tcPr>
          <w:p w:rsidR="00D76221" w:rsidRPr="0043547B" w:rsidRDefault="00D76221" w:rsidP="00D76221">
            <w:pPr>
              <w:spacing w:after="0"/>
              <w:jc w:val="center"/>
              <w:rPr>
                <w:rFonts w:cstheme="minorHAnsi"/>
                <w:b/>
                <w:bCs/>
                <w:sz w:val="24"/>
                <w:szCs w:val="24"/>
              </w:rPr>
            </w:pPr>
            <w:r w:rsidRPr="0043547B">
              <w:rPr>
                <w:rFonts w:cstheme="minorHAnsi"/>
                <w:b/>
                <w:bCs/>
                <w:sz w:val="24"/>
                <w:szCs w:val="24"/>
              </w:rPr>
              <w:t>Domaine d’application :</w:t>
            </w:r>
          </w:p>
        </w:tc>
        <w:tc>
          <w:tcPr>
            <w:tcW w:w="8126" w:type="dxa"/>
            <w:tcBorders>
              <w:left w:val="single" w:sz="4" w:space="0" w:color="auto"/>
              <w:bottom w:val="single" w:sz="18" w:space="0" w:color="auto"/>
              <w:right w:val="single" w:sz="18" w:space="0" w:color="auto"/>
            </w:tcBorders>
            <w:shd w:val="clear" w:color="auto" w:fill="auto"/>
            <w:vAlign w:val="center"/>
            <w:hideMark/>
          </w:tcPr>
          <w:p w:rsidR="00D76221" w:rsidRPr="0043547B" w:rsidRDefault="00D76221" w:rsidP="00D7622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Cette norme est utilisée conjointement avec la NM 06.1.100 </w:t>
            </w:r>
          </w:p>
        </w:tc>
      </w:tr>
      <w:tr w:rsidR="00D76221" w:rsidRPr="0043547B" w:rsidTr="00CB5DC0">
        <w:trPr>
          <w:trHeight w:val="315"/>
          <w:jc w:val="center"/>
        </w:trPr>
        <w:tc>
          <w:tcPr>
            <w:tcW w:w="1820"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D76221" w:rsidRPr="0043547B" w:rsidRDefault="00D76221" w:rsidP="00D76221">
            <w:pPr>
              <w:spacing w:after="0"/>
              <w:jc w:val="center"/>
              <w:rPr>
                <w:rFonts w:cstheme="minorHAnsi"/>
                <w:b/>
                <w:bCs/>
                <w:sz w:val="24"/>
                <w:szCs w:val="24"/>
              </w:rPr>
            </w:pPr>
            <w:r w:rsidRPr="0043547B">
              <w:rPr>
                <w:rFonts w:cstheme="minorHAnsi"/>
                <w:b/>
                <w:bCs/>
                <w:sz w:val="24"/>
                <w:szCs w:val="24"/>
              </w:rPr>
              <w:t>Code :</w:t>
            </w:r>
          </w:p>
        </w:tc>
        <w:tc>
          <w:tcPr>
            <w:tcW w:w="8126" w:type="dxa"/>
            <w:tcBorders>
              <w:top w:val="single" w:sz="18" w:space="0" w:color="auto"/>
              <w:left w:val="single" w:sz="4" w:space="0" w:color="auto"/>
              <w:bottom w:val="single" w:sz="18" w:space="0" w:color="auto"/>
              <w:right w:val="single" w:sz="18" w:space="0" w:color="auto"/>
            </w:tcBorders>
            <w:shd w:val="clear" w:color="auto" w:fill="B4CD81"/>
            <w:noWrap/>
            <w:vAlign w:val="center"/>
            <w:hideMark/>
          </w:tcPr>
          <w:p w:rsidR="00D76221" w:rsidRPr="0043547B" w:rsidRDefault="00D76221" w:rsidP="00D76221">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06.1.106</w:t>
            </w:r>
          </w:p>
        </w:tc>
      </w:tr>
      <w:tr w:rsidR="00D76221" w:rsidRPr="0043547B" w:rsidTr="00CB5DC0">
        <w:trPr>
          <w:trHeight w:val="600"/>
          <w:jc w:val="center"/>
        </w:trPr>
        <w:tc>
          <w:tcPr>
            <w:tcW w:w="1820"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D76221" w:rsidRPr="0043547B" w:rsidRDefault="00D76221" w:rsidP="00D76221">
            <w:pPr>
              <w:spacing w:after="0"/>
              <w:jc w:val="center"/>
              <w:rPr>
                <w:rFonts w:cstheme="minorHAnsi"/>
                <w:b/>
                <w:bCs/>
                <w:sz w:val="24"/>
                <w:szCs w:val="24"/>
              </w:rPr>
            </w:pPr>
            <w:r w:rsidRPr="0043547B">
              <w:rPr>
                <w:rFonts w:cstheme="minorHAnsi"/>
                <w:b/>
                <w:bCs/>
                <w:sz w:val="24"/>
                <w:szCs w:val="24"/>
              </w:rPr>
              <w:t>Intitulé :</w:t>
            </w:r>
          </w:p>
        </w:tc>
        <w:tc>
          <w:tcPr>
            <w:tcW w:w="8126" w:type="dxa"/>
            <w:tcBorders>
              <w:top w:val="single" w:sz="18" w:space="0" w:color="auto"/>
              <w:left w:val="single" w:sz="4" w:space="0" w:color="auto"/>
              <w:right w:val="single" w:sz="18" w:space="0" w:color="auto"/>
            </w:tcBorders>
            <w:shd w:val="clear" w:color="auto" w:fill="auto"/>
            <w:vAlign w:val="center"/>
            <w:hideMark/>
          </w:tcPr>
          <w:p w:rsidR="00D76221" w:rsidRPr="0043547B" w:rsidRDefault="00D76221" w:rsidP="00D7622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Installations électriques à basse tension - Règles pour les installations et emplacements spéciaux </w:t>
            </w:r>
          </w:p>
        </w:tc>
      </w:tr>
      <w:tr w:rsidR="00D76221" w:rsidRPr="0043547B" w:rsidTr="00CB5DC0">
        <w:trPr>
          <w:trHeight w:val="1783"/>
          <w:jc w:val="center"/>
        </w:trPr>
        <w:tc>
          <w:tcPr>
            <w:tcW w:w="1820" w:type="dxa"/>
            <w:tcBorders>
              <w:top w:val="nil"/>
              <w:left w:val="single" w:sz="18" w:space="0" w:color="auto"/>
              <w:bottom w:val="single" w:sz="18" w:space="0" w:color="auto"/>
              <w:right w:val="single" w:sz="4" w:space="0" w:color="auto"/>
            </w:tcBorders>
            <w:shd w:val="clear" w:color="000000" w:fill="D9D9D9"/>
            <w:vAlign w:val="center"/>
            <w:hideMark/>
          </w:tcPr>
          <w:p w:rsidR="00D76221" w:rsidRPr="0043547B" w:rsidRDefault="00D76221" w:rsidP="00D76221">
            <w:pPr>
              <w:spacing w:after="0"/>
              <w:jc w:val="center"/>
              <w:rPr>
                <w:rFonts w:cstheme="minorHAnsi"/>
                <w:b/>
                <w:bCs/>
                <w:sz w:val="24"/>
                <w:szCs w:val="24"/>
              </w:rPr>
            </w:pPr>
            <w:r w:rsidRPr="0043547B">
              <w:rPr>
                <w:rFonts w:cstheme="minorHAnsi"/>
                <w:b/>
                <w:bCs/>
                <w:sz w:val="24"/>
                <w:szCs w:val="24"/>
              </w:rPr>
              <w:t>Domaine d’application :</w:t>
            </w:r>
          </w:p>
        </w:tc>
        <w:tc>
          <w:tcPr>
            <w:tcW w:w="8126" w:type="dxa"/>
            <w:tcBorders>
              <w:left w:val="single" w:sz="4" w:space="0" w:color="auto"/>
              <w:bottom w:val="single" w:sz="18" w:space="0" w:color="auto"/>
              <w:right w:val="single" w:sz="18" w:space="0" w:color="auto"/>
            </w:tcBorders>
            <w:shd w:val="clear" w:color="auto" w:fill="auto"/>
            <w:vAlign w:val="center"/>
            <w:hideMark/>
          </w:tcPr>
          <w:p w:rsidR="00D76221" w:rsidRPr="0043547B" w:rsidRDefault="00D76221" w:rsidP="00D7622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prescriptions particulières de La norme s’appliquent aux baignoires et receveurs de douche et aux volumes les entourant, dans lesquels le risque de choc électrique est augmenté en raison de la réduction de la résistance électrique du corps humain et de son contact avec le potentiel de la terre.</w:t>
            </w:r>
          </w:p>
          <w:p w:rsidR="00D76221" w:rsidRPr="0043547B" w:rsidRDefault="00D76221" w:rsidP="00D7622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Ces prescriptions ne s’appliquent pas aux cabines de douches préfabriquées qui comportent leur propre receveur et système d’évacuation des eaux, à l’exception du point b de l’article 1.4.3.</w:t>
            </w:r>
          </w:p>
        </w:tc>
      </w:tr>
      <w:tr w:rsidR="00D76221" w:rsidRPr="0043547B" w:rsidTr="00CB5DC0">
        <w:trPr>
          <w:trHeight w:val="315"/>
          <w:jc w:val="center"/>
        </w:trPr>
        <w:tc>
          <w:tcPr>
            <w:tcW w:w="1820" w:type="dxa"/>
            <w:tcBorders>
              <w:top w:val="single" w:sz="18" w:space="0" w:color="auto"/>
              <w:left w:val="single" w:sz="18" w:space="0" w:color="auto"/>
              <w:bottom w:val="single" w:sz="18" w:space="0" w:color="auto"/>
              <w:right w:val="single" w:sz="4" w:space="0" w:color="auto"/>
            </w:tcBorders>
            <w:shd w:val="clear" w:color="auto" w:fill="B4CD81"/>
            <w:vAlign w:val="center"/>
          </w:tcPr>
          <w:p w:rsidR="00D76221" w:rsidRPr="0043547B" w:rsidRDefault="00D76221" w:rsidP="00D76221">
            <w:pPr>
              <w:spacing w:after="0"/>
              <w:jc w:val="center"/>
              <w:rPr>
                <w:rFonts w:cstheme="minorHAnsi"/>
                <w:b/>
                <w:bCs/>
                <w:sz w:val="24"/>
                <w:szCs w:val="24"/>
              </w:rPr>
            </w:pPr>
            <w:r w:rsidRPr="0043547B">
              <w:rPr>
                <w:rFonts w:cstheme="minorHAnsi"/>
                <w:b/>
                <w:bCs/>
                <w:sz w:val="24"/>
                <w:szCs w:val="24"/>
              </w:rPr>
              <w:t>Code :</w:t>
            </w:r>
          </w:p>
        </w:tc>
        <w:tc>
          <w:tcPr>
            <w:tcW w:w="8126" w:type="dxa"/>
            <w:tcBorders>
              <w:top w:val="single" w:sz="18" w:space="0" w:color="auto"/>
              <w:left w:val="single" w:sz="4" w:space="0" w:color="auto"/>
              <w:bottom w:val="single" w:sz="18" w:space="0" w:color="auto"/>
              <w:right w:val="single" w:sz="18" w:space="0" w:color="auto"/>
            </w:tcBorders>
            <w:shd w:val="clear" w:color="auto" w:fill="B4CD81"/>
            <w:noWrap/>
            <w:vAlign w:val="center"/>
          </w:tcPr>
          <w:p w:rsidR="00D76221" w:rsidRPr="0043547B" w:rsidRDefault="00D76221" w:rsidP="00D76221">
            <w:pPr>
              <w:spacing w:after="0"/>
              <w:jc w:val="center"/>
              <w:rPr>
                <w:rFonts w:cstheme="minorHAnsi"/>
                <w:b/>
                <w:bCs/>
                <w:sz w:val="24"/>
                <w:szCs w:val="24"/>
              </w:rPr>
            </w:pPr>
            <w:r w:rsidRPr="0043547B">
              <w:rPr>
                <w:rFonts w:cstheme="minorHAnsi"/>
                <w:b/>
                <w:bCs/>
                <w:sz w:val="24"/>
                <w:szCs w:val="24"/>
              </w:rPr>
              <w:t>NM EN 62271-1</w:t>
            </w:r>
          </w:p>
        </w:tc>
      </w:tr>
      <w:tr w:rsidR="00D76221" w:rsidRPr="0043547B" w:rsidTr="00CB5DC0">
        <w:trPr>
          <w:trHeight w:val="315"/>
          <w:jc w:val="center"/>
        </w:trPr>
        <w:tc>
          <w:tcPr>
            <w:tcW w:w="1820" w:type="dxa"/>
            <w:tcBorders>
              <w:top w:val="single" w:sz="18" w:space="0" w:color="auto"/>
              <w:left w:val="single" w:sz="18" w:space="0" w:color="auto"/>
              <w:bottom w:val="single" w:sz="18" w:space="0" w:color="auto"/>
              <w:right w:val="single" w:sz="4" w:space="0" w:color="auto"/>
            </w:tcBorders>
            <w:shd w:val="clear" w:color="auto" w:fill="FFFF99"/>
            <w:vAlign w:val="center"/>
          </w:tcPr>
          <w:p w:rsidR="00D76221" w:rsidRPr="0043547B" w:rsidRDefault="00D76221" w:rsidP="00D76221">
            <w:pPr>
              <w:spacing w:after="0"/>
              <w:jc w:val="center"/>
              <w:rPr>
                <w:rFonts w:cstheme="minorHAnsi"/>
                <w:b/>
                <w:bCs/>
                <w:sz w:val="24"/>
                <w:szCs w:val="24"/>
              </w:rPr>
            </w:pPr>
            <w:r w:rsidRPr="0043547B">
              <w:rPr>
                <w:rFonts w:cstheme="minorHAnsi"/>
                <w:b/>
                <w:bCs/>
                <w:sz w:val="24"/>
                <w:szCs w:val="24"/>
              </w:rPr>
              <w:t>Equivalence :</w:t>
            </w:r>
          </w:p>
        </w:tc>
        <w:tc>
          <w:tcPr>
            <w:tcW w:w="8126" w:type="dxa"/>
            <w:tcBorders>
              <w:top w:val="single" w:sz="18" w:space="0" w:color="auto"/>
              <w:left w:val="single" w:sz="4" w:space="0" w:color="auto"/>
              <w:bottom w:val="single" w:sz="18" w:space="0" w:color="auto"/>
              <w:right w:val="single" w:sz="18" w:space="0" w:color="auto"/>
            </w:tcBorders>
            <w:shd w:val="clear" w:color="auto" w:fill="FFFF99"/>
            <w:noWrap/>
          </w:tcPr>
          <w:p w:rsidR="00D76221" w:rsidRPr="0043547B" w:rsidRDefault="00D76221" w:rsidP="00D76221">
            <w:pPr>
              <w:spacing w:after="0"/>
              <w:jc w:val="center"/>
              <w:rPr>
                <w:rFonts w:cstheme="minorHAnsi"/>
                <w:b/>
                <w:bCs/>
                <w:sz w:val="24"/>
                <w:szCs w:val="24"/>
              </w:rPr>
            </w:pPr>
            <w:r w:rsidRPr="0043547B">
              <w:rPr>
                <w:rFonts w:cstheme="minorHAnsi"/>
                <w:b/>
                <w:bCs/>
                <w:sz w:val="24"/>
                <w:szCs w:val="24"/>
              </w:rPr>
              <w:t>EN 62271-100</w:t>
            </w:r>
          </w:p>
        </w:tc>
      </w:tr>
      <w:tr w:rsidR="00D76221" w:rsidRPr="0043547B" w:rsidTr="00CB5DC0">
        <w:trPr>
          <w:trHeight w:val="315"/>
          <w:jc w:val="center"/>
        </w:trPr>
        <w:tc>
          <w:tcPr>
            <w:tcW w:w="1820" w:type="dxa"/>
            <w:tcBorders>
              <w:top w:val="single" w:sz="18" w:space="0" w:color="auto"/>
              <w:left w:val="single" w:sz="18" w:space="0" w:color="auto"/>
              <w:bottom w:val="single" w:sz="18" w:space="0" w:color="auto"/>
              <w:right w:val="single" w:sz="4" w:space="0" w:color="auto"/>
            </w:tcBorders>
            <w:shd w:val="clear" w:color="auto" w:fill="8DB3E2" w:themeFill="text2" w:themeFillTint="66"/>
            <w:vAlign w:val="center"/>
          </w:tcPr>
          <w:p w:rsidR="00D76221" w:rsidRPr="0043547B" w:rsidRDefault="00D76221" w:rsidP="00D76221">
            <w:pPr>
              <w:spacing w:after="0"/>
              <w:jc w:val="center"/>
              <w:rPr>
                <w:rFonts w:cstheme="minorHAnsi"/>
                <w:b/>
                <w:bCs/>
                <w:sz w:val="24"/>
                <w:szCs w:val="24"/>
              </w:rPr>
            </w:pPr>
            <w:r w:rsidRPr="0043547B">
              <w:rPr>
                <w:rFonts w:cstheme="minorHAnsi"/>
                <w:b/>
                <w:bCs/>
                <w:sz w:val="24"/>
                <w:szCs w:val="24"/>
              </w:rPr>
              <w:lastRenderedPageBreak/>
              <w:t>Intitulé :</w:t>
            </w:r>
          </w:p>
        </w:tc>
        <w:tc>
          <w:tcPr>
            <w:tcW w:w="8126" w:type="dxa"/>
            <w:tcBorders>
              <w:top w:val="single" w:sz="18" w:space="0" w:color="auto"/>
              <w:left w:val="single" w:sz="4" w:space="0" w:color="auto"/>
              <w:bottom w:val="single" w:sz="18" w:space="0" w:color="auto"/>
              <w:right w:val="single" w:sz="18" w:space="0" w:color="auto"/>
            </w:tcBorders>
            <w:shd w:val="clear" w:color="auto" w:fill="FFFFFF" w:themeFill="background1"/>
            <w:noWrap/>
            <w:vAlign w:val="center"/>
          </w:tcPr>
          <w:p w:rsidR="00D76221" w:rsidRPr="0043547B" w:rsidRDefault="00D76221" w:rsidP="00D7622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Appareillage à haute tension - Partie 1 : Spécifications communes </w:t>
            </w:r>
          </w:p>
        </w:tc>
      </w:tr>
      <w:tr w:rsidR="00D76221" w:rsidRPr="0043547B" w:rsidTr="00CB5DC0">
        <w:trPr>
          <w:trHeight w:val="315"/>
          <w:jc w:val="center"/>
        </w:trPr>
        <w:tc>
          <w:tcPr>
            <w:tcW w:w="1820" w:type="dxa"/>
            <w:tcBorders>
              <w:top w:val="single" w:sz="18" w:space="0" w:color="auto"/>
              <w:left w:val="single" w:sz="18" w:space="0" w:color="auto"/>
              <w:bottom w:val="single" w:sz="18" w:space="0" w:color="auto"/>
              <w:right w:val="single" w:sz="4" w:space="0" w:color="auto"/>
            </w:tcBorders>
            <w:shd w:val="clear" w:color="auto" w:fill="D9D9D9" w:themeFill="background1" w:themeFillShade="D9"/>
            <w:vAlign w:val="center"/>
          </w:tcPr>
          <w:p w:rsidR="00D76221" w:rsidRPr="0043547B" w:rsidRDefault="00D76221" w:rsidP="00D76221">
            <w:pPr>
              <w:jc w:val="center"/>
              <w:rPr>
                <w:rFonts w:cstheme="minorHAnsi"/>
                <w:b/>
                <w:bCs/>
                <w:sz w:val="24"/>
                <w:szCs w:val="24"/>
              </w:rPr>
            </w:pPr>
            <w:r w:rsidRPr="0043547B">
              <w:rPr>
                <w:rFonts w:cstheme="minorHAnsi"/>
                <w:b/>
                <w:bCs/>
                <w:sz w:val="24"/>
                <w:szCs w:val="24"/>
              </w:rPr>
              <w:t>Domaine d’application :</w:t>
            </w:r>
          </w:p>
        </w:tc>
        <w:tc>
          <w:tcPr>
            <w:tcW w:w="8126" w:type="dxa"/>
            <w:tcBorders>
              <w:top w:val="single" w:sz="18" w:space="0" w:color="auto"/>
              <w:left w:val="single" w:sz="4" w:space="0" w:color="auto"/>
              <w:bottom w:val="single" w:sz="18" w:space="0" w:color="auto"/>
              <w:right w:val="single" w:sz="18" w:space="0" w:color="auto"/>
            </w:tcBorders>
            <w:shd w:val="clear" w:color="auto" w:fill="FFFFFF" w:themeFill="background1"/>
            <w:noWrap/>
            <w:vAlign w:val="center"/>
          </w:tcPr>
          <w:p w:rsidR="00D76221" w:rsidRDefault="00D76221" w:rsidP="00D7622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partie de la CEI 62271 s'applique à l'appareillage à courant alternatif prévu pour être installé à l'intérieur ou à l'extérieur et pour fonctionner à des fréquences de service inférieures ou égales à 60 Hz, sur des réseaux de tension supérieure à 1 000 V.</w:t>
            </w:r>
          </w:p>
          <w:p w:rsidR="00D76221" w:rsidRPr="0043547B" w:rsidRDefault="00D76221" w:rsidP="00D7622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Cette norme s'applique à tout l'appareillage à haute tension, sauf spécification contraire dans les normes particulières de la CEI pour le type d'appareillage considéré.</w:t>
            </w:r>
            <w:r w:rsidRPr="0043547B">
              <w:rPr>
                <w:rFonts w:eastAsia="Times New Roman" w:cstheme="minorHAnsi"/>
                <w:sz w:val="24"/>
                <w:szCs w:val="24"/>
                <w:lang w:eastAsia="fr-FR"/>
              </w:rPr>
              <w:br/>
            </w:r>
            <w:r w:rsidRPr="00830FEB">
              <w:rPr>
                <w:rFonts w:eastAsia="Times New Roman" w:cstheme="minorHAnsi"/>
                <w:b/>
                <w:bCs/>
                <w:i/>
                <w:iCs/>
                <w:lang w:eastAsia="fr-FR"/>
              </w:rPr>
              <w:t>NOTE </w:t>
            </w:r>
            <w:r w:rsidRPr="00830FEB">
              <w:rPr>
                <w:rFonts w:eastAsia="Times New Roman" w:cstheme="minorHAnsi"/>
                <w:i/>
                <w:iCs/>
                <w:lang w:eastAsia="fr-FR"/>
              </w:rPr>
              <w:t>: Pour l’utilisation de la présente norme, la haute tension (voir VEI 601-01-27) est la tension assignée supérieure à 1 000 V. Cependant, le terme moyen tension (voir VEI 601-01-28) est communément utilisé pour les réseaux de distribution avec des tensions supérieures à 1 kV et est généralement appliqué pour des tensions inférieures ou égales à 52 kV.</w:t>
            </w:r>
          </w:p>
        </w:tc>
      </w:tr>
      <w:tr w:rsidR="00D76221" w:rsidRPr="0043547B" w:rsidTr="00CB5DC0">
        <w:trPr>
          <w:trHeight w:val="315"/>
          <w:jc w:val="center"/>
        </w:trPr>
        <w:tc>
          <w:tcPr>
            <w:tcW w:w="1820"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D76221" w:rsidRPr="0043547B" w:rsidRDefault="00D76221" w:rsidP="00D76221">
            <w:pPr>
              <w:spacing w:after="0"/>
              <w:jc w:val="center"/>
              <w:rPr>
                <w:rFonts w:cstheme="minorHAnsi"/>
                <w:b/>
                <w:bCs/>
                <w:sz w:val="24"/>
                <w:szCs w:val="24"/>
              </w:rPr>
            </w:pPr>
            <w:r w:rsidRPr="0043547B">
              <w:rPr>
                <w:rFonts w:cstheme="minorHAnsi"/>
                <w:b/>
                <w:bCs/>
                <w:sz w:val="24"/>
                <w:szCs w:val="24"/>
              </w:rPr>
              <w:t>Code :</w:t>
            </w:r>
          </w:p>
        </w:tc>
        <w:tc>
          <w:tcPr>
            <w:tcW w:w="8126" w:type="dxa"/>
            <w:tcBorders>
              <w:top w:val="single" w:sz="18" w:space="0" w:color="auto"/>
              <w:left w:val="single" w:sz="4" w:space="0" w:color="auto"/>
              <w:bottom w:val="single" w:sz="18" w:space="0" w:color="auto"/>
              <w:right w:val="single" w:sz="18" w:space="0" w:color="auto"/>
            </w:tcBorders>
            <w:shd w:val="clear" w:color="auto" w:fill="B4CD81"/>
            <w:noWrap/>
            <w:vAlign w:val="center"/>
            <w:hideMark/>
          </w:tcPr>
          <w:p w:rsidR="00D76221" w:rsidRPr="0043547B" w:rsidRDefault="00D76221" w:rsidP="00D76221">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06.1.120</w:t>
            </w:r>
          </w:p>
        </w:tc>
      </w:tr>
      <w:tr w:rsidR="00D76221" w:rsidRPr="0043547B" w:rsidTr="00CB5DC0">
        <w:trPr>
          <w:trHeight w:val="315"/>
          <w:jc w:val="center"/>
        </w:trPr>
        <w:tc>
          <w:tcPr>
            <w:tcW w:w="1820"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D76221" w:rsidRPr="0043547B" w:rsidRDefault="00D76221" w:rsidP="00D76221">
            <w:pPr>
              <w:spacing w:after="0"/>
              <w:jc w:val="center"/>
              <w:rPr>
                <w:rFonts w:cstheme="minorHAnsi"/>
                <w:b/>
                <w:bCs/>
                <w:sz w:val="24"/>
                <w:szCs w:val="24"/>
              </w:rPr>
            </w:pPr>
            <w:r w:rsidRPr="0043547B">
              <w:rPr>
                <w:rFonts w:cstheme="minorHAnsi"/>
                <w:b/>
                <w:bCs/>
                <w:sz w:val="24"/>
                <w:szCs w:val="24"/>
              </w:rPr>
              <w:t>Equivalence :</w:t>
            </w:r>
          </w:p>
        </w:tc>
        <w:tc>
          <w:tcPr>
            <w:tcW w:w="8126" w:type="dxa"/>
            <w:tcBorders>
              <w:top w:val="single" w:sz="18" w:space="0" w:color="auto"/>
              <w:left w:val="single" w:sz="4" w:space="0" w:color="auto"/>
              <w:right w:val="single" w:sz="18" w:space="0" w:color="auto"/>
            </w:tcBorders>
            <w:shd w:val="clear" w:color="auto" w:fill="FFFF99"/>
            <w:noWrap/>
            <w:vAlign w:val="center"/>
            <w:hideMark/>
          </w:tcPr>
          <w:p w:rsidR="00D76221" w:rsidRPr="0043547B" w:rsidRDefault="00D76221" w:rsidP="00D76221">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62271-202</w:t>
            </w:r>
          </w:p>
        </w:tc>
      </w:tr>
      <w:tr w:rsidR="00D76221" w:rsidRPr="0043547B" w:rsidTr="00CB5DC0">
        <w:trPr>
          <w:trHeight w:val="315"/>
          <w:jc w:val="center"/>
        </w:trPr>
        <w:tc>
          <w:tcPr>
            <w:tcW w:w="1820" w:type="dxa"/>
            <w:tcBorders>
              <w:top w:val="nil"/>
              <w:left w:val="single" w:sz="18" w:space="0" w:color="auto"/>
              <w:bottom w:val="single" w:sz="4" w:space="0" w:color="auto"/>
              <w:right w:val="single" w:sz="4" w:space="0" w:color="auto"/>
            </w:tcBorders>
            <w:shd w:val="clear" w:color="000000" w:fill="8DB4E2"/>
            <w:vAlign w:val="center"/>
            <w:hideMark/>
          </w:tcPr>
          <w:p w:rsidR="00D76221" w:rsidRPr="0043547B" w:rsidRDefault="00D76221" w:rsidP="00D76221">
            <w:pPr>
              <w:spacing w:after="0"/>
              <w:jc w:val="center"/>
              <w:rPr>
                <w:rFonts w:cstheme="minorHAnsi"/>
                <w:b/>
                <w:bCs/>
                <w:sz w:val="24"/>
                <w:szCs w:val="24"/>
              </w:rPr>
            </w:pPr>
            <w:r w:rsidRPr="0043547B">
              <w:rPr>
                <w:rFonts w:cstheme="minorHAnsi"/>
                <w:b/>
                <w:bCs/>
                <w:sz w:val="24"/>
                <w:szCs w:val="24"/>
              </w:rPr>
              <w:t>Intitulé :</w:t>
            </w:r>
          </w:p>
        </w:tc>
        <w:tc>
          <w:tcPr>
            <w:tcW w:w="8126" w:type="dxa"/>
            <w:tcBorders>
              <w:left w:val="single" w:sz="4" w:space="0" w:color="auto"/>
              <w:right w:val="single" w:sz="18" w:space="0" w:color="auto"/>
            </w:tcBorders>
            <w:shd w:val="clear" w:color="auto" w:fill="auto"/>
            <w:noWrap/>
            <w:vAlign w:val="center"/>
            <w:hideMark/>
          </w:tcPr>
          <w:p w:rsidR="00D76221" w:rsidRPr="0043547B" w:rsidRDefault="00D76221" w:rsidP="00D7622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Appareillage à haute tension - Partie 202 : Postes préfabriqués haute tension/basse tension</w:t>
            </w:r>
          </w:p>
        </w:tc>
      </w:tr>
      <w:tr w:rsidR="00D76221" w:rsidRPr="0043547B" w:rsidTr="00CB5DC0">
        <w:trPr>
          <w:trHeight w:val="1275"/>
          <w:jc w:val="center"/>
        </w:trPr>
        <w:tc>
          <w:tcPr>
            <w:tcW w:w="1820" w:type="dxa"/>
            <w:tcBorders>
              <w:top w:val="nil"/>
              <w:left w:val="single" w:sz="18" w:space="0" w:color="auto"/>
              <w:bottom w:val="single" w:sz="18" w:space="0" w:color="auto"/>
              <w:right w:val="single" w:sz="4" w:space="0" w:color="auto"/>
            </w:tcBorders>
            <w:shd w:val="clear" w:color="000000" w:fill="D9D9D9"/>
            <w:vAlign w:val="center"/>
            <w:hideMark/>
          </w:tcPr>
          <w:p w:rsidR="00D76221" w:rsidRPr="0043547B" w:rsidRDefault="00D76221" w:rsidP="00D76221">
            <w:pPr>
              <w:spacing w:after="0"/>
              <w:jc w:val="center"/>
              <w:rPr>
                <w:rFonts w:cstheme="minorHAnsi"/>
                <w:b/>
                <w:bCs/>
                <w:sz w:val="24"/>
                <w:szCs w:val="24"/>
              </w:rPr>
            </w:pPr>
            <w:r w:rsidRPr="0043547B">
              <w:rPr>
                <w:rFonts w:cstheme="minorHAnsi"/>
                <w:b/>
                <w:bCs/>
                <w:sz w:val="24"/>
                <w:szCs w:val="24"/>
              </w:rPr>
              <w:t>Domaine d’application :</w:t>
            </w:r>
          </w:p>
        </w:tc>
        <w:tc>
          <w:tcPr>
            <w:tcW w:w="8126" w:type="dxa"/>
            <w:tcBorders>
              <w:left w:val="single" w:sz="4" w:space="0" w:color="auto"/>
              <w:bottom w:val="single" w:sz="18" w:space="0" w:color="auto"/>
              <w:right w:val="single" w:sz="18" w:space="0" w:color="auto"/>
            </w:tcBorders>
            <w:shd w:val="clear" w:color="auto" w:fill="auto"/>
            <w:vAlign w:val="center"/>
            <w:hideMark/>
          </w:tcPr>
          <w:p w:rsidR="00D76221" w:rsidRPr="0043547B" w:rsidRDefault="00D76221" w:rsidP="00D7622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partie de l'IEC 62271 spécifie les conditions de service, les caractéristiques assignées, les exigences structurelles générales et les méthodes d'essai applicables aux postes préfabriqués haute tension/basse tension ou basse tension/haute tension qui sont connectés par câble, pour être manoeuvrés de l'intérieur (à aire de manoeuvre) ou de l'extérieur (sans aire de manoeuvre), pour courant alternatif de tensions assignées supérieures à 1 kV et inférieures ou égales à 52 kV côté haute tension, pour un ou plusieurs transformateurs, pour des fréquences de service inférieures ou égales à 60 Hz et pour installation extérieure, dans des endroits accessibles au public et où la protection des personnes est assurée.</w:t>
            </w:r>
          </w:p>
          <w:p w:rsidR="00D76221" w:rsidRPr="0043547B" w:rsidRDefault="00D76221" w:rsidP="00D7622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postes préfabriqués peuvent être situés au niveau du sol ou partiellement ou complètement au-dessous du niveau du sol.</w:t>
            </w:r>
          </w:p>
          <w:p w:rsidR="00D76221" w:rsidRPr="0043547B" w:rsidRDefault="00D76221" w:rsidP="00D7622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En règle générale, un poste préfabriqué est composé d’une enveloppe comprenant les composants électriques suivants :</w:t>
            </w:r>
          </w:p>
          <w:p w:rsidR="00D76221" w:rsidRPr="0043547B" w:rsidRDefault="00D76221" w:rsidP="00D76221">
            <w:pPr>
              <w:spacing w:after="0" w:line="240" w:lineRule="auto"/>
              <w:rPr>
                <w:rFonts w:eastAsia="Times New Roman" w:cstheme="minorHAnsi"/>
                <w:sz w:val="24"/>
                <w:szCs w:val="24"/>
                <w:lang w:eastAsia="fr-FR"/>
              </w:rPr>
            </w:pPr>
            <w:r w:rsidRPr="0043547B">
              <w:rPr>
                <w:rFonts w:eastAsia="Times New Roman" w:cstheme="minorHAnsi"/>
                <w:sz w:val="24"/>
                <w:szCs w:val="24"/>
                <w:lang w:eastAsia="fr-FR"/>
              </w:rPr>
              <w:t xml:space="preserve">– transformateurs de puissance ; </w:t>
            </w:r>
            <w:r w:rsidRPr="0043547B">
              <w:rPr>
                <w:rFonts w:eastAsia="Times New Roman" w:cstheme="minorHAnsi"/>
                <w:sz w:val="24"/>
                <w:szCs w:val="24"/>
                <w:lang w:eastAsia="fr-FR"/>
              </w:rPr>
              <w:br/>
              <w:t xml:space="preserve">– appareillage haute tension et basse tension ; </w:t>
            </w:r>
            <w:r w:rsidRPr="0043547B">
              <w:rPr>
                <w:rFonts w:eastAsia="Times New Roman" w:cstheme="minorHAnsi"/>
                <w:sz w:val="24"/>
                <w:szCs w:val="24"/>
                <w:lang w:eastAsia="fr-FR"/>
              </w:rPr>
              <w:br/>
              <w:t xml:space="preserve">– interconnexions haute tension et basse tension ; </w:t>
            </w:r>
            <w:r w:rsidRPr="0043547B">
              <w:rPr>
                <w:rFonts w:eastAsia="Times New Roman" w:cstheme="minorHAnsi"/>
                <w:sz w:val="24"/>
                <w:szCs w:val="24"/>
                <w:lang w:eastAsia="fr-FR"/>
              </w:rPr>
              <w:br/>
              <w:t>– des équipements et circuits auxiliaires.</w:t>
            </w:r>
          </w:p>
          <w:p w:rsidR="00D76221" w:rsidRPr="0043547B" w:rsidRDefault="00D76221" w:rsidP="00D7622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Toutefois, les dispositions pertinentes de la présente norme sont également applicables aux conceptions pour lesquelles tous ces composants électriques ne sont pas présents (une installation comprenant un transformateur de puissance et un appareillage basse tension, par exemple).</w:t>
            </w:r>
          </w:p>
          <w:p w:rsidR="00D76221" w:rsidRPr="0043547B" w:rsidRDefault="00D76221" w:rsidP="00D7622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Il convient que les postes non préfabriqués satisfassent aux exigences de l'IEC 61936-1:2010.</w:t>
            </w:r>
          </w:p>
        </w:tc>
      </w:tr>
      <w:tr w:rsidR="00D76221" w:rsidRPr="0043547B" w:rsidTr="00CB5DC0">
        <w:trPr>
          <w:trHeight w:val="241"/>
          <w:jc w:val="center"/>
        </w:trPr>
        <w:tc>
          <w:tcPr>
            <w:tcW w:w="1820" w:type="dxa"/>
            <w:tcBorders>
              <w:top w:val="nil"/>
              <w:left w:val="single" w:sz="18" w:space="0" w:color="auto"/>
              <w:bottom w:val="single" w:sz="18" w:space="0" w:color="auto"/>
              <w:right w:val="single" w:sz="4" w:space="0" w:color="auto"/>
            </w:tcBorders>
            <w:shd w:val="clear" w:color="auto" w:fill="9BBB59" w:themeFill="accent3"/>
            <w:vAlign w:val="center"/>
          </w:tcPr>
          <w:p w:rsidR="00D76221" w:rsidRPr="0043547B" w:rsidRDefault="00D76221" w:rsidP="00D76221">
            <w:pPr>
              <w:spacing w:after="0"/>
              <w:jc w:val="center"/>
              <w:rPr>
                <w:rFonts w:cstheme="minorHAnsi"/>
                <w:b/>
                <w:bCs/>
                <w:sz w:val="24"/>
                <w:szCs w:val="24"/>
              </w:rPr>
            </w:pPr>
            <w:r w:rsidRPr="0043547B">
              <w:rPr>
                <w:rFonts w:cstheme="minorHAnsi"/>
                <w:b/>
                <w:bCs/>
                <w:sz w:val="24"/>
                <w:szCs w:val="24"/>
              </w:rPr>
              <w:t>Code :</w:t>
            </w:r>
          </w:p>
        </w:tc>
        <w:tc>
          <w:tcPr>
            <w:tcW w:w="8126" w:type="dxa"/>
            <w:tcBorders>
              <w:left w:val="single" w:sz="4" w:space="0" w:color="auto"/>
              <w:bottom w:val="single" w:sz="18" w:space="0" w:color="auto"/>
              <w:right w:val="single" w:sz="18" w:space="0" w:color="auto"/>
            </w:tcBorders>
            <w:shd w:val="clear" w:color="auto" w:fill="9BBB59" w:themeFill="accent3"/>
            <w:vAlign w:val="center"/>
          </w:tcPr>
          <w:p w:rsidR="00D76221" w:rsidRPr="0043547B" w:rsidRDefault="00D76221" w:rsidP="00D76221">
            <w:pPr>
              <w:spacing w:after="0"/>
              <w:jc w:val="center"/>
              <w:rPr>
                <w:rFonts w:cstheme="minorHAnsi"/>
                <w:b/>
                <w:bCs/>
                <w:sz w:val="24"/>
                <w:szCs w:val="24"/>
              </w:rPr>
            </w:pPr>
            <w:r w:rsidRPr="0043547B">
              <w:rPr>
                <w:rFonts w:cstheme="minorHAnsi"/>
                <w:b/>
                <w:bCs/>
                <w:sz w:val="24"/>
                <w:szCs w:val="24"/>
              </w:rPr>
              <w:t>NM EN 62271-203</w:t>
            </w:r>
          </w:p>
        </w:tc>
      </w:tr>
      <w:tr w:rsidR="00D76221" w:rsidRPr="0043547B" w:rsidTr="00CB5DC0">
        <w:trPr>
          <w:trHeight w:val="241"/>
          <w:jc w:val="center"/>
        </w:trPr>
        <w:tc>
          <w:tcPr>
            <w:tcW w:w="1820" w:type="dxa"/>
            <w:tcBorders>
              <w:top w:val="single" w:sz="18" w:space="0" w:color="auto"/>
              <w:left w:val="single" w:sz="18" w:space="0" w:color="auto"/>
              <w:bottom w:val="single" w:sz="6" w:space="0" w:color="auto"/>
              <w:right w:val="single" w:sz="4" w:space="0" w:color="auto"/>
            </w:tcBorders>
            <w:shd w:val="clear" w:color="auto" w:fill="FFFF99"/>
            <w:vAlign w:val="center"/>
          </w:tcPr>
          <w:p w:rsidR="00D76221" w:rsidRPr="0043547B" w:rsidRDefault="00D76221" w:rsidP="00D76221">
            <w:pPr>
              <w:spacing w:after="0"/>
              <w:jc w:val="center"/>
              <w:rPr>
                <w:rFonts w:cstheme="minorHAnsi"/>
                <w:b/>
                <w:bCs/>
                <w:sz w:val="24"/>
                <w:szCs w:val="24"/>
              </w:rPr>
            </w:pPr>
            <w:r w:rsidRPr="0043547B">
              <w:rPr>
                <w:rFonts w:cstheme="minorHAnsi"/>
                <w:b/>
                <w:bCs/>
                <w:sz w:val="24"/>
                <w:szCs w:val="24"/>
              </w:rPr>
              <w:t>Equivalence :</w:t>
            </w:r>
          </w:p>
        </w:tc>
        <w:tc>
          <w:tcPr>
            <w:tcW w:w="8126" w:type="dxa"/>
            <w:tcBorders>
              <w:top w:val="single" w:sz="18" w:space="0" w:color="auto"/>
              <w:left w:val="single" w:sz="4" w:space="0" w:color="auto"/>
              <w:bottom w:val="single" w:sz="6" w:space="0" w:color="auto"/>
              <w:right w:val="single" w:sz="18" w:space="0" w:color="auto"/>
            </w:tcBorders>
            <w:shd w:val="clear" w:color="auto" w:fill="FFFF99"/>
          </w:tcPr>
          <w:p w:rsidR="00D76221" w:rsidRPr="0043547B" w:rsidRDefault="00D76221" w:rsidP="00D76221">
            <w:pPr>
              <w:spacing w:after="0"/>
              <w:jc w:val="center"/>
              <w:rPr>
                <w:rFonts w:cstheme="minorHAnsi"/>
                <w:b/>
                <w:bCs/>
                <w:sz w:val="24"/>
                <w:szCs w:val="24"/>
              </w:rPr>
            </w:pPr>
            <w:r w:rsidRPr="0043547B">
              <w:rPr>
                <w:rFonts w:cstheme="minorHAnsi"/>
                <w:b/>
                <w:bCs/>
                <w:sz w:val="24"/>
                <w:szCs w:val="24"/>
              </w:rPr>
              <w:t>EN 62271-203</w:t>
            </w:r>
          </w:p>
        </w:tc>
      </w:tr>
      <w:tr w:rsidR="00D76221" w:rsidRPr="0043547B" w:rsidTr="00CB5DC0">
        <w:trPr>
          <w:trHeight w:val="241"/>
          <w:jc w:val="center"/>
        </w:trPr>
        <w:tc>
          <w:tcPr>
            <w:tcW w:w="1820" w:type="dxa"/>
            <w:tcBorders>
              <w:top w:val="single" w:sz="6" w:space="0" w:color="auto"/>
              <w:left w:val="single" w:sz="18" w:space="0" w:color="auto"/>
              <w:bottom w:val="single" w:sz="6" w:space="0" w:color="auto"/>
              <w:right w:val="single" w:sz="4" w:space="0" w:color="auto"/>
            </w:tcBorders>
            <w:shd w:val="clear" w:color="auto" w:fill="8DB3E2" w:themeFill="text2" w:themeFillTint="66"/>
            <w:vAlign w:val="center"/>
          </w:tcPr>
          <w:p w:rsidR="00D76221" w:rsidRPr="0043547B" w:rsidRDefault="00D76221" w:rsidP="00D76221">
            <w:pPr>
              <w:spacing w:after="0"/>
              <w:jc w:val="center"/>
              <w:rPr>
                <w:rFonts w:cstheme="minorHAnsi"/>
                <w:b/>
                <w:bCs/>
                <w:sz w:val="24"/>
                <w:szCs w:val="24"/>
              </w:rPr>
            </w:pPr>
            <w:r w:rsidRPr="0043547B">
              <w:rPr>
                <w:rFonts w:cstheme="minorHAnsi"/>
                <w:b/>
                <w:bCs/>
                <w:sz w:val="24"/>
                <w:szCs w:val="24"/>
              </w:rPr>
              <w:t>Intitulé :</w:t>
            </w:r>
          </w:p>
        </w:tc>
        <w:tc>
          <w:tcPr>
            <w:tcW w:w="8126" w:type="dxa"/>
            <w:tcBorders>
              <w:top w:val="single" w:sz="6" w:space="0" w:color="auto"/>
              <w:left w:val="single" w:sz="4" w:space="0" w:color="auto"/>
              <w:bottom w:val="single" w:sz="6" w:space="0" w:color="auto"/>
              <w:right w:val="single" w:sz="18" w:space="0" w:color="auto"/>
            </w:tcBorders>
            <w:shd w:val="clear" w:color="auto" w:fill="auto"/>
            <w:vAlign w:val="center"/>
          </w:tcPr>
          <w:p w:rsidR="00D76221" w:rsidRPr="0043547B" w:rsidRDefault="00D76221" w:rsidP="00D7622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Appareillage à haute tension - Partie 203 : Appareillage sous enveloppe métallique à isolation gazeuse de tensions assignées supérieures à 52 kV ; </w:t>
            </w:r>
          </w:p>
        </w:tc>
      </w:tr>
      <w:tr w:rsidR="00D76221" w:rsidRPr="0043547B" w:rsidTr="00CB5DC0">
        <w:trPr>
          <w:trHeight w:val="241"/>
          <w:jc w:val="center"/>
        </w:trPr>
        <w:tc>
          <w:tcPr>
            <w:tcW w:w="1820" w:type="dxa"/>
            <w:tcBorders>
              <w:top w:val="single" w:sz="6" w:space="0" w:color="auto"/>
              <w:left w:val="single" w:sz="18" w:space="0" w:color="auto"/>
              <w:bottom w:val="single" w:sz="18" w:space="0" w:color="auto"/>
              <w:right w:val="single" w:sz="4" w:space="0" w:color="auto"/>
            </w:tcBorders>
            <w:shd w:val="clear" w:color="000000" w:fill="D9D9D9"/>
            <w:vAlign w:val="center"/>
          </w:tcPr>
          <w:p w:rsidR="00D76221" w:rsidRPr="0043547B" w:rsidRDefault="00D76221" w:rsidP="00D76221">
            <w:pPr>
              <w:jc w:val="center"/>
              <w:rPr>
                <w:rFonts w:cstheme="minorHAnsi"/>
                <w:b/>
                <w:bCs/>
                <w:sz w:val="24"/>
                <w:szCs w:val="24"/>
              </w:rPr>
            </w:pPr>
            <w:r w:rsidRPr="0043547B">
              <w:rPr>
                <w:rFonts w:cstheme="minorHAnsi"/>
                <w:b/>
                <w:bCs/>
                <w:sz w:val="24"/>
                <w:szCs w:val="24"/>
              </w:rPr>
              <w:t>Domaine d’application :</w:t>
            </w:r>
          </w:p>
        </w:tc>
        <w:tc>
          <w:tcPr>
            <w:tcW w:w="8126" w:type="dxa"/>
            <w:tcBorders>
              <w:top w:val="single" w:sz="6" w:space="0" w:color="auto"/>
              <w:left w:val="single" w:sz="4" w:space="0" w:color="auto"/>
              <w:bottom w:val="single" w:sz="18" w:space="0" w:color="auto"/>
              <w:right w:val="single" w:sz="18" w:space="0" w:color="auto"/>
            </w:tcBorders>
            <w:shd w:val="clear" w:color="auto" w:fill="auto"/>
          </w:tcPr>
          <w:p w:rsidR="00D76221" w:rsidRDefault="00D76221" w:rsidP="00D7622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La présente partie de la CEI 62271 spécifie les exigences pour l'appareillage sous enveloppe métallique à isolation gazeuse dont l'isolation est réalisée, au moins partiellement, par un gaz isolant autre que l'air à la pression atmosphérique, pour </w:t>
            </w:r>
            <w:r w:rsidRPr="0043547B">
              <w:rPr>
                <w:rFonts w:eastAsia="Times New Roman" w:cstheme="minorHAnsi"/>
                <w:sz w:val="24"/>
                <w:szCs w:val="24"/>
                <w:lang w:eastAsia="fr-FR"/>
              </w:rPr>
              <w:lastRenderedPageBreak/>
              <w:t>courant alternatif de tensions assignées supérieures à 52 kV, pour l'installation à l'intérieur et à l'extérieur, et pour des fréquences de service inférieures ou égales à 60 Hz.</w:t>
            </w:r>
          </w:p>
          <w:p w:rsidR="00D76221" w:rsidRDefault="00D76221" w:rsidP="00D7622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Dans le cadre de la présente norme, les termes Poste sous enveloppe métallique (PSEM) et "appareillage" sont utilisés pour "appareillage sous enveloppe métallique à isolation gazeuse".</w:t>
            </w:r>
          </w:p>
          <w:p w:rsidR="00D76221" w:rsidRPr="0043547B" w:rsidRDefault="00D76221" w:rsidP="00D7622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L'appareillage sous enveloppe métallique à isolation gazeuse auquel s'applique cette norme est constitué par des matériels individuels destinés à être directement raccordés entre eux et ne pouvant fonctionner que sous cette forme.</w:t>
            </w:r>
          </w:p>
          <w:p w:rsidR="00D76221" w:rsidRPr="0043547B" w:rsidRDefault="00D76221" w:rsidP="00D7622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complète et modifie, si nécessaire, les différentes normes spécifiques applicables aux matériels individuels constitutifs de l'appareillage sous enveloppe métallique à isolation gazeuse.</w:t>
            </w:r>
          </w:p>
        </w:tc>
      </w:tr>
      <w:tr w:rsidR="00D76221" w:rsidRPr="0043547B" w:rsidTr="00CB5DC0">
        <w:trPr>
          <w:trHeight w:val="241"/>
          <w:jc w:val="center"/>
        </w:trPr>
        <w:tc>
          <w:tcPr>
            <w:tcW w:w="1820" w:type="dxa"/>
            <w:tcBorders>
              <w:top w:val="nil"/>
              <w:left w:val="single" w:sz="18" w:space="0" w:color="auto"/>
              <w:bottom w:val="single" w:sz="18" w:space="0" w:color="auto"/>
              <w:right w:val="single" w:sz="4" w:space="0" w:color="auto"/>
            </w:tcBorders>
            <w:shd w:val="clear" w:color="auto" w:fill="9BBB59" w:themeFill="accent3"/>
            <w:vAlign w:val="center"/>
          </w:tcPr>
          <w:p w:rsidR="00D76221" w:rsidRPr="0043547B" w:rsidRDefault="00D76221" w:rsidP="00D76221">
            <w:pPr>
              <w:spacing w:after="0"/>
              <w:jc w:val="center"/>
              <w:rPr>
                <w:rFonts w:cstheme="minorHAnsi"/>
                <w:b/>
                <w:bCs/>
                <w:sz w:val="24"/>
                <w:szCs w:val="24"/>
              </w:rPr>
            </w:pPr>
            <w:r w:rsidRPr="0043547B">
              <w:rPr>
                <w:rFonts w:cstheme="minorHAnsi"/>
                <w:b/>
                <w:bCs/>
                <w:sz w:val="24"/>
                <w:szCs w:val="24"/>
              </w:rPr>
              <w:lastRenderedPageBreak/>
              <w:t>Code :</w:t>
            </w:r>
          </w:p>
        </w:tc>
        <w:tc>
          <w:tcPr>
            <w:tcW w:w="8126" w:type="dxa"/>
            <w:tcBorders>
              <w:left w:val="single" w:sz="4" w:space="0" w:color="auto"/>
              <w:bottom w:val="single" w:sz="18" w:space="0" w:color="auto"/>
              <w:right w:val="single" w:sz="18" w:space="0" w:color="auto"/>
            </w:tcBorders>
            <w:shd w:val="clear" w:color="auto" w:fill="9BBB59" w:themeFill="accent3"/>
            <w:vAlign w:val="center"/>
          </w:tcPr>
          <w:p w:rsidR="00D76221" w:rsidRPr="0043547B" w:rsidRDefault="00D76221" w:rsidP="00D76221">
            <w:pPr>
              <w:spacing w:after="0"/>
              <w:jc w:val="center"/>
              <w:rPr>
                <w:rFonts w:cstheme="minorHAnsi"/>
                <w:b/>
                <w:bCs/>
                <w:sz w:val="24"/>
                <w:szCs w:val="24"/>
              </w:rPr>
            </w:pPr>
            <w:r w:rsidRPr="0043547B">
              <w:rPr>
                <w:rFonts w:cstheme="minorHAnsi"/>
                <w:b/>
                <w:bCs/>
                <w:sz w:val="24"/>
                <w:szCs w:val="24"/>
              </w:rPr>
              <w:t>NM EN 62271-204</w:t>
            </w:r>
          </w:p>
        </w:tc>
      </w:tr>
      <w:tr w:rsidR="00D76221" w:rsidRPr="0043547B" w:rsidTr="00CB5DC0">
        <w:trPr>
          <w:trHeight w:val="35"/>
          <w:jc w:val="center"/>
        </w:trPr>
        <w:tc>
          <w:tcPr>
            <w:tcW w:w="1820" w:type="dxa"/>
            <w:tcBorders>
              <w:top w:val="single" w:sz="18" w:space="0" w:color="auto"/>
              <w:left w:val="single" w:sz="18" w:space="0" w:color="auto"/>
              <w:bottom w:val="single" w:sz="6" w:space="0" w:color="auto"/>
              <w:right w:val="single" w:sz="4" w:space="0" w:color="auto"/>
            </w:tcBorders>
            <w:shd w:val="clear" w:color="auto" w:fill="FFFF99"/>
            <w:vAlign w:val="center"/>
          </w:tcPr>
          <w:p w:rsidR="00D76221" w:rsidRPr="0043547B" w:rsidRDefault="00D76221" w:rsidP="00D76221">
            <w:pPr>
              <w:spacing w:after="0"/>
              <w:jc w:val="center"/>
              <w:rPr>
                <w:rFonts w:cstheme="minorHAnsi"/>
                <w:b/>
                <w:bCs/>
                <w:sz w:val="24"/>
                <w:szCs w:val="24"/>
              </w:rPr>
            </w:pPr>
            <w:r w:rsidRPr="0043547B">
              <w:rPr>
                <w:rFonts w:cstheme="minorHAnsi"/>
                <w:b/>
                <w:bCs/>
                <w:sz w:val="24"/>
                <w:szCs w:val="24"/>
              </w:rPr>
              <w:t>Equivalence :</w:t>
            </w:r>
          </w:p>
        </w:tc>
        <w:tc>
          <w:tcPr>
            <w:tcW w:w="8126" w:type="dxa"/>
            <w:tcBorders>
              <w:top w:val="single" w:sz="18" w:space="0" w:color="auto"/>
              <w:left w:val="single" w:sz="4" w:space="0" w:color="auto"/>
              <w:bottom w:val="single" w:sz="6" w:space="0" w:color="auto"/>
              <w:right w:val="single" w:sz="18" w:space="0" w:color="auto"/>
            </w:tcBorders>
            <w:shd w:val="clear" w:color="auto" w:fill="FFFF99"/>
          </w:tcPr>
          <w:p w:rsidR="00D76221" w:rsidRPr="0043547B" w:rsidRDefault="00D76221" w:rsidP="00D76221">
            <w:pPr>
              <w:spacing w:after="0"/>
              <w:jc w:val="center"/>
              <w:rPr>
                <w:rFonts w:cstheme="minorHAnsi"/>
                <w:b/>
                <w:bCs/>
                <w:sz w:val="24"/>
                <w:szCs w:val="24"/>
              </w:rPr>
            </w:pPr>
            <w:r w:rsidRPr="0043547B">
              <w:rPr>
                <w:rFonts w:cstheme="minorHAnsi"/>
                <w:b/>
                <w:bCs/>
                <w:sz w:val="24"/>
                <w:szCs w:val="24"/>
              </w:rPr>
              <w:t>EN 62271-204</w:t>
            </w:r>
          </w:p>
        </w:tc>
      </w:tr>
      <w:tr w:rsidR="00D76221" w:rsidRPr="0043547B" w:rsidTr="00CB5DC0">
        <w:trPr>
          <w:trHeight w:val="35"/>
          <w:jc w:val="center"/>
        </w:trPr>
        <w:tc>
          <w:tcPr>
            <w:tcW w:w="1820" w:type="dxa"/>
            <w:tcBorders>
              <w:top w:val="single" w:sz="6" w:space="0" w:color="auto"/>
              <w:left w:val="single" w:sz="18" w:space="0" w:color="auto"/>
              <w:bottom w:val="single" w:sz="6" w:space="0" w:color="auto"/>
              <w:right w:val="single" w:sz="4" w:space="0" w:color="auto"/>
            </w:tcBorders>
            <w:shd w:val="clear" w:color="auto" w:fill="8DB3E2" w:themeFill="text2" w:themeFillTint="66"/>
            <w:vAlign w:val="center"/>
          </w:tcPr>
          <w:p w:rsidR="00D76221" w:rsidRPr="0043547B" w:rsidRDefault="00D76221" w:rsidP="00D76221">
            <w:pPr>
              <w:spacing w:after="0"/>
              <w:jc w:val="center"/>
              <w:rPr>
                <w:rFonts w:cstheme="minorHAnsi"/>
                <w:b/>
                <w:bCs/>
                <w:sz w:val="24"/>
                <w:szCs w:val="24"/>
              </w:rPr>
            </w:pPr>
            <w:r w:rsidRPr="0043547B">
              <w:rPr>
                <w:rFonts w:cstheme="minorHAnsi"/>
                <w:b/>
                <w:bCs/>
                <w:sz w:val="24"/>
                <w:szCs w:val="24"/>
              </w:rPr>
              <w:t>Intitulé :</w:t>
            </w:r>
          </w:p>
        </w:tc>
        <w:tc>
          <w:tcPr>
            <w:tcW w:w="8126" w:type="dxa"/>
            <w:tcBorders>
              <w:top w:val="single" w:sz="6" w:space="0" w:color="auto"/>
              <w:left w:val="single" w:sz="4" w:space="0" w:color="auto"/>
              <w:bottom w:val="single" w:sz="6" w:space="0" w:color="auto"/>
              <w:right w:val="single" w:sz="18" w:space="0" w:color="auto"/>
            </w:tcBorders>
            <w:shd w:val="clear" w:color="auto" w:fill="auto"/>
            <w:vAlign w:val="center"/>
          </w:tcPr>
          <w:p w:rsidR="00D76221" w:rsidRPr="0043547B" w:rsidRDefault="00D76221" w:rsidP="00D7622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Appareillage à haute tension - Partie 204 : Lignes de transport rigides à isolation gazeuse de tension assignée supérieure à 52 kV </w:t>
            </w:r>
          </w:p>
        </w:tc>
      </w:tr>
      <w:tr w:rsidR="00D76221" w:rsidRPr="0043547B" w:rsidTr="00CB5DC0">
        <w:trPr>
          <w:trHeight w:val="248"/>
          <w:jc w:val="center"/>
        </w:trPr>
        <w:tc>
          <w:tcPr>
            <w:tcW w:w="1820" w:type="dxa"/>
            <w:tcBorders>
              <w:top w:val="single" w:sz="6" w:space="0" w:color="auto"/>
              <w:left w:val="single" w:sz="18" w:space="0" w:color="auto"/>
              <w:bottom w:val="single" w:sz="18" w:space="0" w:color="auto"/>
              <w:right w:val="single" w:sz="4" w:space="0" w:color="auto"/>
            </w:tcBorders>
            <w:shd w:val="clear" w:color="000000" w:fill="D9D9D9"/>
            <w:vAlign w:val="center"/>
          </w:tcPr>
          <w:p w:rsidR="00D76221" w:rsidRPr="0043547B" w:rsidRDefault="00D76221" w:rsidP="00D76221">
            <w:pPr>
              <w:jc w:val="center"/>
              <w:rPr>
                <w:rFonts w:cstheme="minorHAnsi"/>
                <w:b/>
                <w:bCs/>
                <w:sz w:val="24"/>
                <w:szCs w:val="24"/>
              </w:rPr>
            </w:pPr>
            <w:r w:rsidRPr="0043547B">
              <w:rPr>
                <w:rFonts w:cstheme="minorHAnsi"/>
                <w:b/>
                <w:bCs/>
                <w:sz w:val="24"/>
                <w:szCs w:val="24"/>
              </w:rPr>
              <w:t>Domaine d’application :</w:t>
            </w:r>
          </w:p>
        </w:tc>
        <w:tc>
          <w:tcPr>
            <w:tcW w:w="8126" w:type="dxa"/>
            <w:tcBorders>
              <w:top w:val="single" w:sz="6" w:space="0" w:color="auto"/>
              <w:left w:val="single" w:sz="4" w:space="0" w:color="auto"/>
              <w:bottom w:val="single" w:sz="18" w:space="0" w:color="auto"/>
              <w:right w:val="single" w:sz="18" w:space="0" w:color="auto"/>
            </w:tcBorders>
            <w:shd w:val="clear" w:color="auto" w:fill="auto"/>
          </w:tcPr>
          <w:p w:rsidR="00D76221" w:rsidRPr="0043547B" w:rsidRDefault="00D76221" w:rsidP="00D7622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partie de la CEI 62271 est applicable aux lignes de transport rigides haute tension à isolation gazeuse (LIG) dont l’isolation est réalisée, au moins partiellement, par un gaz isolant non corrosif autre que l’air à la pression atmosphérique, pour un courant alternatif de tension assignée supérieure à 52 kV, pour des fréquences de service inférieures ou égales à 60 Hz.</w:t>
            </w:r>
          </w:p>
          <w:p w:rsidR="00D76221" w:rsidRPr="00830FEB" w:rsidRDefault="00D76221" w:rsidP="00D76221">
            <w:pPr>
              <w:spacing w:after="0" w:line="240" w:lineRule="auto"/>
              <w:jc w:val="both"/>
              <w:rPr>
                <w:rFonts w:eastAsia="Times New Roman" w:cstheme="minorHAnsi"/>
                <w:w w:val="97"/>
                <w:sz w:val="24"/>
                <w:szCs w:val="24"/>
                <w:lang w:eastAsia="fr-FR"/>
              </w:rPr>
            </w:pPr>
            <w:r w:rsidRPr="0043547B">
              <w:rPr>
                <w:rFonts w:eastAsia="Times New Roman" w:cstheme="minorHAnsi"/>
                <w:sz w:val="24"/>
                <w:szCs w:val="24"/>
                <w:lang w:eastAsia="fr-FR"/>
              </w:rPr>
              <w:t xml:space="preserve">La présente Norme internationale est destinée à être utilisée lorsque les </w:t>
            </w:r>
            <w:r w:rsidRPr="00830FEB">
              <w:rPr>
                <w:rFonts w:eastAsia="Times New Roman" w:cstheme="minorHAnsi"/>
                <w:w w:val="97"/>
                <w:sz w:val="24"/>
                <w:szCs w:val="24"/>
                <w:lang w:eastAsia="fr-FR"/>
              </w:rPr>
              <w:t>dispositions de la CEI 62271-203 ne couvrent pas l’application des LIG (voir NOTE 3).</w:t>
            </w:r>
          </w:p>
          <w:p w:rsidR="00D76221" w:rsidRPr="0043547B" w:rsidRDefault="00D76221" w:rsidP="00D7622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A chaque extrémité de la ligne de transport à isolation gazeuse HT, un élément spécifique peut être utilisé pour la connexion entre la ligne de transport à isolation gazeuse HT et d’autres matériels tels que reversées, transformateurs ou bobines d’inductance, boîtes à câble, parafoudres sous enveloppe métallique, transformateurs de tension ou postes sous enveloppe métallique, auxquels s’applique leur propre spécification.</w:t>
            </w:r>
          </w:p>
          <w:p w:rsidR="00D76221" w:rsidRPr="0043547B" w:rsidRDefault="00D76221" w:rsidP="00D7622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ligne de transport à isolation gazeuse HT est, sauf spécification contraire, prévue pour être utilisé dans les conditions normales de service.</w:t>
            </w:r>
          </w:p>
          <w:p w:rsidR="00D76221" w:rsidRPr="00830FEB" w:rsidRDefault="00D76221" w:rsidP="00D76221">
            <w:pPr>
              <w:spacing w:after="0" w:line="240" w:lineRule="auto"/>
              <w:jc w:val="both"/>
              <w:rPr>
                <w:rFonts w:eastAsia="Times New Roman" w:cstheme="minorHAnsi"/>
                <w:i/>
                <w:iCs/>
                <w:lang w:eastAsia="fr-FR"/>
              </w:rPr>
            </w:pPr>
            <w:r w:rsidRPr="00830FEB">
              <w:rPr>
                <w:rFonts w:eastAsia="Times New Roman" w:cstheme="minorHAnsi"/>
                <w:b/>
                <w:bCs/>
                <w:i/>
                <w:iCs/>
                <w:lang w:eastAsia="fr-FR"/>
              </w:rPr>
              <w:t>NOTE 1</w:t>
            </w:r>
            <w:r w:rsidRPr="00830FEB">
              <w:rPr>
                <w:rFonts w:eastAsia="Times New Roman" w:cstheme="minorHAnsi"/>
                <w:i/>
                <w:iCs/>
                <w:lang w:eastAsia="fr-FR"/>
              </w:rPr>
              <w:t> : Dans la présente Norme internationale, les «lignes de transport HT à isolation gazeuse» sont désignées par l’abréviation «LIG».</w:t>
            </w:r>
          </w:p>
          <w:p w:rsidR="00D76221" w:rsidRPr="00830FEB" w:rsidRDefault="00D76221" w:rsidP="00D76221">
            <w:pPr>
              <w:spacing w:after="0" w:line="240" w:lineRule="auto"/>
              <w:jc w:val="both"/>
              <w:rPr>
                <w:rFonts w:eastAsia="Times New Roman" w:cstheme="minorHAnsi"/>
                <w:i/>
                <w:iCs/>
                <w:lang w:eastAsia="fr-FR"/>
              </w:rPr>
            </w:pPr>
            <w:r w:rsidRPr="00830FEB">
              <w:rPr>
                <w:rFonts w:eastAsia="Times New Roman" w:cstheme="minorHAnsi"/>
                <w:b/>
                <w:bCs/>
                <w:i/>
                <w:iCs/>
                <w:lang w:eastAsia="fr-FR"/>
              </w:rPr>
              <w:t>NOTE 2</w:t>
            </w:r>
            <w:r w:rsidRPr="00830FEB">
              <w:rPr>
                <w:rFonts w:eastAsia="Times New Roman" w:cstheme="minorHAnsi"/>
                <w:i/>
                <w:iCs/>
                <w:lang w:eastAsia="fr-FR"/>
              </w:rPr>
              <w:t> : Dans la présente Norme internationale, le mot «gaz» signifie gaz ou mélange gazeux, selon la définition du constructeur.</w:t>
            </w:r>
          </w:p>
          <w:p w:rsidR="00D76221" w:rsidRPr="00830FEB" w:rsidRDefault="00D76221" w:rsidP="00D76221">
            <w:pPr>
              <w:spacing w:after="0" w:line="240" w:lineRule="auto"/>
              <w:jc w:val="both"/>
              <w:rPr>
                <w:rFonts w:eastAsia="Times New Roman" w:cstheme="minorHAnsi"/>
                <w:i/>
                <w:iCs/>
                <w:lang w:eastAsia="fr-FR"/>
              </w:rPr>
            </w:pPr>
            <w:r w:rsidRPr="00830FEB">
              <w:rPr>
                <w:rFonts w:eastAsia="Times New Roman" w:cstheme="minorHAnsi"/>
                <w:b/>
                <w:bCs/>
                <w:i/>
                <w:iCs/>
                <w:lang w:eastAsia="fr-FR"/>
              </w:rPr>
              <w:t>NOTE 3</w:t>
            </w:r>
            <w:r w:rsidRPr="00830FEB">
              <w:rPr>
                <w:rFonts w:eastAsia="Times New Roman" w:cstheme="minorHAnsi"/>
                <w:i/>
                <w:iCs/>
                <w:lang w:eastAsia="fr-FR"/>
              </w:rPr>
              <w:t> : Des exemples d’applications LIG sont donnés :</w:t>
            </w:r>
          </w:p>
          <w:p w:rsidR="00D76221" w:rsidRPr="00830FEB" w:rsidRDefault="00D76221" w:rsidP="00D76221">
            <w:pPr>
              <w:spacing w:after="0" w:line="240" w:lineRule="auto"/>
              <w:jc w:val="both"/>
              <w:rPr>
                <w:rFonts w:eastAsia="Times New Roman" w:cstheme="minorHAnsi"/>
                <w:i/>
                <w:iCs/>
                <w:lang w:eastAsia="fr-FR"/>
              </w:rPr>
            </w:pPr>
            <w:r w:rsidRPr="00830FEB">
              <w:rPr>
                <w:rFonts w:eastAsia="Times New Roman" w:cstheme="minorHAnsi"/>
                <w:i/>
                <w:iCs/>
                <w:lang w:eastAsia="fr-FR"/>
              </w:rPr>
              <w:t>– lorsque toute ou partie de la ligne de transport à isolation gazeuse HT est directement enterrée ; ou</w:t>
            </w:r>
          </w:p>
          <w:p w:rsidR="00D76221" w:rsidRPr="00830FEB" w:rsidRDefault="00D76221" w:rsidP="00D76221">
            <w:pPr>
              <w:spacing w:after="0" w:line="240" w:lineRule="auto"/>
              <w:jc w:val="both"/>
              <w:rPr>
                <w:rFonts w:eastAsia="Times New Roman" w:cstheme="minorHAnsi"/>
                <w:i/>
                <w:iCs/>
                <w:lang w:eastAsia="fr-FR"/>
              </w:rPr>
            </w:pPr>
            <w:r w:rsidRPr="00830FEB">
              <w:rPr>
                <w:rFonts w:eastAsia="Times New Roman" w:cstheme="minorHAnsi"/>
                <w:i/>
                <w:iCs/>
                <w:lang w:eastAsia="fr-FR"/>
              </w:rPr>
              <w:t>– lorsque la ligne de transport à isolation gazeuse HT est située, entièrement ou partiellement, dans une zone accessible au public ; ou</w:t>
            </w:r>
          </w:p>
          <w:p w:rsidR="00D76221" w:rsidRPr="0043547B" w:rsidRDefault="00D76221" w:rsidP="00D76221">
            <w:pPr>
              <w:spacing w:after="0" w:line="240" w:lineRule="auto"/>
              <w:jc w:val="both"/>
              <w:rPr>
                <w:rFonts w:eastAsia="Times New Roman" w:cstheme="minorHAnsi"/>
                <w:sz w:val="24"/>
                <w:szCs w:val="24"/>
                <w:lang w:eastAsia="fr-FR"/>
              </w:rPr>
            </w:pPr>
            <w:r w:rsidRPr="00830FEB">
              <w:rPr>
                <w:rFonts w:eastAsia="Times New Roman" w:cstheme="minorHAnsi"/>
                <w:i/>
                <w:iCs/>
                <w:lang w:eastAsia="fr-FR"/>
              </w:rPr>
              <w:t>– lorsque la ligne de transport à isolation gazeuse HT est longue et que la longueur type du compartiment gazeux dépasse la valeur courante associée à la technologie des postes sous enveloppe métallique.</w:t>
            </w:r>
          </w:p>
        </w:tc>
      </w:tr>
      <w:tr w:rsidR="00D76221" w:rsidRPr="0043547B" w:rsidTr="00CB5DC0">
        <w:trPr>
          <w:trHeight w:val="248"/>
          <w:jc w:val="center"/>
        </w:trPr>
        <w:tc>
          <w:tcPr>
            <w:tcW w:w="1820" w:type="dxa"/>
            <w:tcBorders>
              <w:top w:val="nil"/>
              <w:left w:val="single" w:sz="18" w:space="0" w:color="auto"/>
              <w:bottom w:val="single" w:sz="18" w:space="0" w:color="auto"/>
              <w:right w:val="single" w:sz="4" w:space="0" w:color="auto"/>
            </w:tcBorders>
            <w:shd w:val="clear" w:color="auto" w:fill="9BBB59" w:themeFill="accent3"/>
            <w:vAlign w:val="center"/>
          </w:tcPr>
          <w:p w:rsidR="00D76221" w:rsidRPr="0043547B" w:rsidRDefault="00D76221" w:rsidP="00D76221">
            <w:pPr>
              <w:spacing w:after="0"/>
              <w:jc w:val="center"/>
              <w:rPr>
                <w:rFonts w:cstheme="minorHAnsi"/>
                <w:b/>
                <w:bCs/>
                <w:sz w:val="24"/>
                <w:szCs w:val="24"/>
              </w:rPr>
            </w:pPr>
            <w:r w:rsidRPr="0043547B">
              <w:rPr>
                <w:rFonts w:cstheme="minorHAnsi"/>
                <w:b/>
                <w:bCs/>
                <w:sz w:val="24"/>
                <w:szCs w:val="24"/>
              </w:rPr>
              <w:t>Code :</w:t>
            </w:r>
          </w:p>
        </w:tc>
        <w:tc>
          <w:tcPr>
            <w:tcW w:w="8126" w:type="dxa"/>
            <w:tcBorders>
              <w:left w:val="single" w:sz="4" w:space="0" w:color="auto"/>
              <w:bottom w:val="single" w:sz="18" w:space="0" w:color="auto"/>
              <w:right w:val="single" w:sz="18" w:space="0" w:color="auto"/>
            </w:tcBorders>
            <w:shd w:val="clear" w:color="auto" w:fill="9BBB59" w:themeFill="accent3"/>
            <w:vAlign w:val="center"/>
          </w:tcPr>
          <w:p w:rsidR="00D76221" w:rsidRPr="0043547B" w:rsidRDefault="00D76221" w:rsidP="00D76221">
            <w:pPr>
              <w:spacing w:after="0"/>
              <w:jc w:val="center"/>
              <w:rPr>
                <w:rFonts w:cstheme="minorHAnsi"/>
                <w:b/>
                <w:bCs/>
                <w:sz w:val="24"/>
                <w:szCs w:val="24"/>
              </w:rPr>
            </w:pPr>
            <w:r w:rsidRPr="0043547B">
              <w:rPr>
                <w:rFonts w:cstheme="minorHAnsi"/>
                <w:b/>
                <w:bCs/>
                <w:sz w:val="24"/>
                <w:szCs w:val="24"/>
              </w:rPr>
              <w:t>NM EN 62271-205</w:t>
            </w:r>
          </w:p>
        </w:tc>
      </w:tr>
      <w:tr w:rsidR="00D76221" w:rsidRPr="0043547B" w:rsidTr="00CB5DC0">
        <w:trPr>
          <w:trHeight w:val="248"/>
          <w:jc w:val="center"/>
        </w:trPr>
        <w:tc>
          <w:tcPr>
            <w:tcW w:w="1820" w:type="dxa"/>
            <w:tcBorders>
              <w:top w:val="single" w:sz="18" w:space="0" w:color="auto"/>
              <w:left w:val="single" w:sz="18" w:space="0" w:color="auto"/>
              <w:bottom w:val="single" w:sz="4" w:space="0" w:color="auto"/>
              <w:right w:val="single" w:sz="4" w:space="0" w:color="auto"/>
            </w:tcBorders>
            <w:shd w:val="clear" w:color="auto" w:fill="FFFF99"/>
            <w:vAlign w:val="center"/>
          </w:tcPr>
          <w:p w:rsidR="00D76221" w:rsidRPr="0043547B" w:rsidRDefault="00D76221" w:rsidP="00D76221">
            <w:pPr>
              <w:spacing w:after="0"/>
              <w:jc w:val="center"/>
              <w:rPr>
                <w:rFonts w:cstheme="minorHAnsi"/>
                <w:b/>
                <w:bCs/>
                <w:sz w:val="24"/>
                <w:szCs w:val="24"/>
              </w:rPr>
            </w:pPr>
            <w:r w:rsidRPr="0043547B">
              <w:rPr>
                <w:rFonts w:cstheme="minorHAnsi"/>
                <w:b/>
                <w:bCs/>
                <w:sz w:val="24"/>
                <w:szCs w:val="24"/>
              </w:rPr>
              <w:t>Equivalence :</w:t>
            </w:r>
          </w:p>
        </w:tc>
        <w:tc>
          <w:tcPr>
            <w:tcW w:w="8126" w:type="dxa"/>
            <w:tcBorders>
              <w:top w:val="single" w:sz="18" w:space="0" w:color="auto"/>
              <w:left w:val="single" w:sz="4" w:space="0" w:color="auto"/>
              <w:bottom w:val="single" w:sz="4" w:space="0" w:color="auto"/>
              <w:right w:val="single" w:sz="18" w:space="0" w:color="auto"/>
            </w:tcBorders>
            <w:shd w:val="clear" w:color="auto" w:fill="FFFF99"/>
          </w:tcPr>
          <w:p w:rsidR="00D76221" w:rsidRPr="0043547B" w:rsidRDefault="00D76221" w:rsidP="00D76221">
            <w:pPr>
              <w:spacing w:after="0"/>
              <w:jc w:val="center"/>
              <w:rPr>
                <w:rFonts w:cstheme="minorHAnsi"/>
                <w:b/>
                <w:bCs/>
                <w:sz w:val="24"/>
                <w:szCs w:val="24"/>
              </w:rPr>
            </w:pPr>
            <w:r w:rsidRPr="0043547B">
              <w:rPr>
                <w:rFonts w:cstheme="minorHAnsi"/>
                <w:b/>
                <w:bCs/>
                <w:sz w:val="24"/>
                <w:szCs w:val="24"/>
              </w:rPr>
              <w:t>EN 62271-205</w:t>
            </w:r>
          </w:p>
        </w:tc>
      </w:tr>
      <w:tr w:rsidR="00D76221" w:rsidRPr="0043547B" w:rsidTr="00CB5DC0">
        <w:trPr>
          <w:trHeight w:val="248"/>
          <w:jc w:val="center"/>
        </w:trPr>
        <w:tc>
          <w:tcPr>
            <w:tcW w:w="1820" w:type="dxa"/>
            <w:tcBorders>
              <w:top w:val="single" w:sz="4" w:space="0" w:color="auto"/>
              <w:left w:val="single" w:sz="18" w:space="0" w:color="auto"/>
              <w:bottom w:val="single" w:sz="4" w:space="0" w:color="auto"/>
              <w:right w:val="single" w:sz="4" w:space="0" w:color="auto"/>
            </w:tcBorders>
            <w:shd w:val="clear" w:color="auto" w:fill="8DB3E2" w:themeFill="text2" w:themeFillTint="66"/>
            <w:vAlign w:val="center"/>
          </w:tcPr>
          <w:p w:rsidR="00D76221" w:rsidRPr="0043547B" w:rsidRDefault="00D76221" w:rsidP="00D76221">
            <w:pPr>
              <w:spacing w:after="0"/>
              <w:jc w:val="center"/>
              <w:rPr>
                <w:rFonts w:cstheme="minorHAnsi"/>
                <w:b/>
                <w:bCs/>
                <w:sz w:val="24"/>
                <w:szCs w:val="24"/>
              </w:rPr>
            </w:pPr>
            <w:r w:rsidRPr="0043547B">
              <w:rPr>
                <w:rFonts w:cstheme="minorHAnsi"/>
                <w:b/>
                <w:bCs/>
                <w:sz w:val="24"/>
                <w:szCs w:val="24"/>
              </w:rPr>
              <w:t>Intitulé :</w:t>
            </w:r>
          </w:p>
        </w:tc>
        <w:tc>
          <w:tcPr>
            <w:tcW w:w="8126" w:type="dxa"/>
            <w:tcBorders>
              <w:top w:val="single" w:sz="4" w:space="0" w:color="auto"/>
              <w:left w:val="single" w:sz="4" w:space="0" w:color="auto"/>
              <w:bottom w:val="single" w:sz="4" w:space="0" w:color="auto"/>
              <w:right w:val="single" w:sz="18" w:space="0" w:color="auto"/>
            </w:tcBorders>
            <w:shd w:val="clear" w:color="auto" w:fill="auto"/>
            <w:vAlign w:val="center"/>
          </w:tcPr>
          <w:p w:rsidR="00D76221" w:rsidRPr="0043547B" w:rsidRDefault="00D76221" w:rsidP="00D7622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Appareillage à haute tension - Partie 205 : Ensembles d'appareillages compacts de tensions assignées supérieures à 52 kV </w:t>
            </w:r>
          </w:p>
        </w:tc>
      </w:tr>
      <w:tr w:rsidR="00D76221" w:rsidRPr="0043547B" w:rsidTr="00CB5DC0">
        <w:trPr>
          <w:trHeight w:val="241"/>
          <w:jc w:val="center"/>
        </w:trPr>
        <w:tc>
          <w:tcPr>
            <w:tcW w:w="1820" w:type="dxa"/>
            <w:tcBorders>
              <w:top w:val="single" w:sz="4" w:space="0" w:color="auto"/>
              <w:left w:val="single" w:sz="18" w:space="0" w:color="auto"/>
              <w:bottom w:val="single" w:sz="18" w:space="0" w:color="auto"/>
              <w:right w:val="single" w:sz="4" w:space="0" w:color="auto"/>
            </w:tcBorders>
            <w:shd w:val="clear" w:color="000000" w:fill="D9D9D9"/>
            <w:vAlign w:val="center"/>
          </w:tcPr>
          <w:p w:rsidR="00D76221" w:rsidRPr="0043547B" w:rsidRDefault="00D76221" w:rsidP="00D76221">
            <w:pPr>
              <w:jc w:val="center"/>
              <w:rPr>
                <w:rFonts w:cstheme="minorHAnsi"/>
                <w:b/>
                <w:bCs/>
                <w:sz w:val="24"/>
                <w:szCs w:val="24"/>
              </w:rPr>
            </w:pPr>
            <w:r w:rsidRPr="0043547B">
              <w:rPr>
                <w:rFonts w:cstheme="minorHAnsi"/>
                <w:b/>
                <w:bCs/>
                <w:sz w:val="24"/>
                <w:szCs w:val="24"/>
              </w:rPr>
              <w:lastRenderedPageBreak/>
              <w:t>Domaine d’application :</w:t>
            </w:r>
          </w:p>
        </w:tc>
        <w:tc>
          <w:tcPr>
            <w:tcW w:w="8126" w:type="dxa"/>
            <w:tcBorders>
              <w:top w:val="single" w:sz="4" w:space="0" w:color="auto"/>
              <w:left w:val="single" w:sz="4" w:space="0" w:color="auto"/>
              <w:bottom w:val="single" w:sz="18" w:space="0" w:color="auto"/>
              <w:right w:val="single" w:sz="18" w:space="0" w:color="auto"/>
            </w:tcBorders>
            <w:shd w:val="clear" w:color="auto" w:fill="auto"/>
          </w:tcPr>
          <w:p w:rsidR="00D76221" w:rsidRDefault="00D76221" w:rsidP="00D7622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partie de la CEI 62271 s’applique aux ensembles d’appareillages compacts comprenant au moins un appareil de connexion directement connecté à, ou partageant des composants avec, un ou plusieurs appareils tel(s) qu’il existe une interaction entre les fonctions des appareils individuels. De tels ensembles sont constitués des appareils définis en 1.101, ils sont conçus, essayés et fournis pour être utilisés comme une seule unité.</w:t>
            </w:r>
          </w:p>
          <w:p w:rsidR="00D76221" w:rsidRDefault="00D76221" w:rsidP="00D7622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L’interaction entre les appareils peut être due à la proximité, au partage de composants ou à une combinaison des deux. Les ensembles peuvent comprendre des composants d’appareillages isolés à l’air (Air Insulated Switchgear - AIS) uniquement ou une combinaison d’AIS et d’appareillages à isolation gazeuse (Gas Insulated Switchgear - GIS), désignée sous le terme appareillage à technologie mixte (Mixed Technology Switchgear - MTS), ils peuvent être livrés entièrement préfabriqués ou partiellement assemblés.</w:t>
            </w:r>
          </w:p>
          <w:p w:rsidR="00D76221" w:rsidRPr="0043547B" w:rsidRDefault="00D76221" w:rsidP="00D7622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Il est impossible de définir tous les montages envisageables des ensembles d’appareillages compacts, néanmoins quatre exemples sont donnés pour information à l’Annexe AA.</w:t>
            </w:r>
          </w:p>
          <w:p w:rsidR="00D76221" w:rsidRPr="0043547B" w:rsidRDefault="00D76221" w:rsidP="00D7622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Ces ensembles d’appareillages compacts sont destinés aux installations intérieures et/ou extérieures des réseaux électriques de tensions assignées supérieures à 52 kV et de fréquences de services de 50 Hz et 60 Hz.</w:t>
            </w:r>
          </w:p>
          <w:p w:rsidR="00D76221" w:rsidRPr="0043547B" w:rsidRDefault="00D76221" w:rsidP="00D7622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couvre l’influence exercée sur les performances par les interactions entre les appareils à l’intérieur des ensembles d’appareillages compacts et définit les caractéristiques assignées et les procédures d’essai pour ces ensembles.</w:t>
            </w:r>
          </w:p>
          <w:p w:rsidR="00D76221" w:rsidRPr="0043547B" w:rsidRDefault="00D76221" w:rsidP="00D7622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Sauf indication contraire, la CEI 62271-1 est applicable.</w:t>
            </w:r>
          </w:p>
          <w:p w:rsidR="00D76221" w:rsidRPr="0043547B" w:rsidRDefault="00D76221" w:rsidP="00D7622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ne s’applique pas aux ensembles d’appareillages constitués uniquement de GIS car ceux-ci sont couverts par la CEI 62271-203.</w:t>
            </w:r>
            <w:r>
              <w:rPr>
                <w:rFonts w:eastAsia="Times New Roman" w:cstheme="minorHAnsi"/>
                <w:sz w:val="24"/>
                <w:szCs w:val="24"/>
                <w:lang w:eastAsia="fr-FR"/>
              </w:rPr>
              <w:t xml:space="preserve"> </w:t>
            </w:r>
            <w:r w:rsidRPr="0043547B">
              <w:rPr>
                <w:rFonts w:eastAsia="Times New Roman" w:cstheme="minorHAnsi"/>
                <w:sz w:val="24"/>
                <w:szCs w:val="24"/>
                <w:lang w:eastAsia="fr-FR"/>
              </w:rPr>
              <w:t xml:space="preserve"> </w:t>
            </w:r>
          </w:p>
        </w:tc>
      </w:tr>
      <w:tr w:rsidR="00D76221" w:rsidRPr="0043547B" w:rsidTr="00CB5DC0">
        <w:trPr>
          <w:trHeight w:val="248"/>
          <w:jc w:val="center"/>
        </w:trPr>
        <w:tc>
          <w:tcPr>
            <w:tcW w:w="1820" w:type="dxa"/>
            <w:tcBorders>
              <w:top w:val="nil"/>
              <w:left w:val="single" w:sz="18" w:space="0" w:color="auto"/>
              <w:bottom w:val="single" w:sz="18" w:space="0" w:color="auto"/>
              <w:right w:val="single" w:sz="4" w:space="0" w:color="auto"/>
            </w:tcBorders>
            <w:shd w:val="clear" w:color="auto" w:fill="9BBB59" w:themeFill="accent3"/>
            <w:vAlign w:val="center"/>
          </w:tcPr>
          <w:p w:rsidR="00D76221" w:rsidRPr="0043547B" w:rsidRDefault="00D76221" w:rsidP="00D76221">
            <w:pPr>
              <w:spacing w:after="0"/>
              <w:jc w:val="center"/>
              <w:rPr>
                <w:rFonts w:cstheme="minorHAnsi"/>
                <w:b/>
                <w:bCs/>
                <w:sz w:val="24"/>
                <w:szCs w:val="24"/>
              </w:rPr>
            </w:pPr>
            <w:r w:rsidRPr="0043547B">
              <w:rPr>
                <w:rFonts w:cstheme="minorHAnsi"/>
                <w:b/>
                <w:bCs/>
                <w:sz w:val="24"/>
                <w:szCs w:val="24"/>
              </w:rPr>
              <w:t>Code :</w:t>
            </w:r>
          </w:p>
        </w:tc>
        <w:tc>
          <w:tcPr>
            <w:tcW w:w="8126" w:type="dxa"/>
            <w:tcBorders>
              <w:left w:val="single" w:sz="4" w:space="0" w:color="auto"/>
              <w:bottom w:val="single" w:sz="18" w:space="0" w:color="auto"/>
              <w:right w:val="single" w:sz="18" w:space="0" w:color="auto"/>
            </w:tcBorders>
            <w:shd w:val="clear" w:color="auto" w:fill="9BBB59" w:themeFill="accent3"/>
            <w:vAlign w:val="center"/>
          </w:tcPr>
          <w:p w:rsidR="00D76221" w:rsidRPr="0043547B" w:rsidRDefault="00D76221" w:rsidP="00D76221">
            <w:pPr>
              <w:spacing w:after="0"/>
              <w:jc w:val="center"/>
              <w:rPr>
                <w:rFonts w:cstheme="minorHAnsi"/>
                <w:b/>
                <w:bCs/>
                <w:sz w:val="24"/>
                <w:szCs w:val="24"/>
              </w:rPr>
            </w:pPr>
            <w:r w:rsidRPr="0043547B">
              <w:rPr>
                <w:rFonts w:cstheme="minorHAnsi"/>
                <w:b/>
                <w:bCs/>
                <w:sz w:val="24"/>
                <w:szCs w:val="24"/>
              </w:rPr>
              <w:t>NM EN 62271-206</w:t>
            </w:r>
          </w:p>
        </w:tc>
      </w:tr>
      <w:tr w:rsidR="00D76221" w:rsidRPr="0043547B" w:rsidTr="00CB5DC0">
        <w:trPr>
          <w:trHeight w:val="248"/>
          <w:jc w:val="center"/>
        </w:trPr>
        <w:tc>
          <w:tcPr>
            <w:tcW w:w="1820" w:type="dxa"/>
            <w:tcBorders>
              <w:top w:val="single" w:sz="18" w:space="0" w:color="auto"/>
              <w:left w:val="single" w:sz="18" w:space="0" w:color="auto"/>
              <w:bottom w:val="single" w:sz="4" w:space="0" w:color="auto"/>
              <w:right w:val="single" w:sz="4" w:space="0" w:color="auto"/>
            </w:tcBorders>
            <w:shd w:val="clear" w:color="auto" w:fill="FFFF99"/>
            <w:vAlign w:val="center"/>
          </w:tcPr>
          <w:p w:rsidR="00D76221" w:rsidRPr="0043547B" w:rsidRDefault="00D76221" w:rsidP="00D76221">
            <w:pPr>
              <w:spacing w:after="0"/>
              <w:jc w:val="center"/>
              <w:rPr>
                <w:rFonts w:cstheme="minorHAnsi"/>
                <w:b/>
                <w:bCs/>
                <w:sz w:val="24"/>
                <w:szCs w:val="24"/>
              </w:rPr>
            </w:pPr>
            <w:r w:rsidRPr="0043547B">
              <w:rPr>
                <w:rFonts w:cstheme="minorHAnsi"/>
                <w:b/>
                <w:bCs/>
                <w:sz w:val="24"/>
                <w:szCs w:val="24"/>
              </w:rPr>
              <w:t>Equivalence :</w:t>
            </w:r>
          </w:p>
        </w:tc>
        <w:tc>
          <w:tcPr>
            <w:tcW w:w="8126" w:type="dxa"/>
            <w:tcBorders>
              <w:top w:val="single" w:sz="18" w:space="0" w:color="auto"/>
              <w:left w:val="single" w:sz="4" w:space="0" w:color="auto"/>
              <w:bottom w:val="single" w:sz="4" w:space="0" w:color="auto"/>
              <w:right w:val="single" w:sz="18" w:space="0" w:color="auto"/>
            </w:tcBorders>
            <w:shd w:val="clear" w:color="auto" w:fill="FFFF99"/>
          </w:tcPr>
          <w:p w:rsidR="00D76221" w:rsidRPr="0043547B" w:rsidRDefault="00D76221" w:rsidP="00D76221">
            <w:pPr>
              <w:spacing w:after="0"/>
              <w:jc w:val="center"/>
              <w:rPr>
                <w:rFonts w:cstheme="minorHAnsi"/>
                <w:b/>
                <w:bCs/>
                <w:sz w:val="24"/>
                <w:szCs w:val="24"/>
              </w:rPr>
            </w:pPr>
            <w:r w:rsidRPr="0043547B">
              <w:rPr>
                <w:rFonts w:cstheme="minorHAnsi"/>
                <w:b/>
                <w:bCs/>
                <w:sz w:val="24"/>
                <w:szCs w:val="24"/>
              </w:rPr>
              <w:t>EN 62271-206</w:t>
            </w:r>
          </w:p>
        </w:tc>
      </w:tr>
      <w:tr w:rsidR="00D76221" w:rsidRPr="0043547B" w:rsidTr="00CB5DC0">
        <w:trPr>
          <w:trHeight w:val="248"/>
          <w:jc w:val="center"/>
        </w:trPr>
        <w:tc>
          <w:tcPr>
            <w:tcW w:w="1820" w:type="dxa"/>
            <w:tcBorders>
              <w:top w:val="single" w:sz="4" w:space="0" w:color="auto"/>
              <w:left w:val="single" w:sz="18" w:space="0" w:color="auto"/>
              <w:bottom w:val="single" w:sz="4" w:space="0" w:color="auto"/>
              <w:right w:val="single" w:sz="4" w:space="0" w:color="auto"/>
            </w:tcBorders>
            <w:shd w:val="clear" w:color="auto" w:fill="8DB3E2" w:themeFill="text2" w:themeFillTint="66"/>
            <w:vAlign w:val="center"/>
          </w:tcPr>
          <w:p w:rsidR="00D76221" w:rsidRPr="0043547B" w:rsidRDefault="00D76221" w:rsidP="00D76221">
            <w:pPr>
              <w:spacing w:after="0"/>
              <w:jc w:val="center"/>
              <w:rPr>
                <w:rFonts w:cstheme="minorHAnsi"/>
                <w:b/>
                <w:bCs/>
                <w:sz w:val="24"/>
                <w:szCs w:val="24"/>
              </w:rPr>
            </w:pPr>
            <w:r w:rsidRPr="0043547B">
              <w:rPr>
                <w:rFonts w:cstheme="minorHAnsi"/>
                <w:b/>
                <w:bCs/>
                <w:sz w:val="24"/>
                <w:szCs w:val="24"/>
              </w:rPr>
              <w:t>Intitulé :</w:t>
            </w:r>
          </w:p>
        </w:tc>
        <w:tc>
          <w:tcPr>
            <w:tcW w:w="8126" w:type="dxa"/>
            <w:tcBorders>
              <w:top w:val="single" w:sz="4" w:space="0" w:color="auto"/>
              <w:left w:val="single" w:sz="4" w:space="0" w:color="auto"/>
              <w:bottom w:val="single" w:sz="4" w:space="0" w:color="auto"/>
              <w:right w:val="single" w:sz="18" w:space="0" w:color="auto"/>
            </w:tcBorders>
            <w:shd w:val="clear" w:color="auto" w:fill="auto"/>
            <w:vAlign w:val="center"/>
          </w:tcPr>
          <w:p w:rsidR="00D76221" w:rsidRPr="0043547B" w:rsidRDefault="00D76221" w:rsidP="00D7622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Appareillage à haute tension - Partie 206 : Systèmes indicateurs de présence de tensions assignées supérieures à 1 kV et inférieures ou égales à 52 kV </w:t>
            </w:r>
          </w:p>
        </w:tc>
      </w:tr>
      <w:tr w:rsidR="00D76221" w:rsidRPr="0043547B" w:rsidTr="00CB5DC0">
        <w:trPr>
          <w:trHeight w:val="248"/>
          <w:jc w:val="center"/>
        </w:trPr>
        <w:tc>
          <w:tcPr>
            <w:tcW w:w="1820" w:type="dxa"/>
            <w:tcBorders>
              <w:top w:val="single" w:sz="4" w:space="0" w:color="auto"/>
              <w:left w:val="single" w:sz="18" w:space="0" w:color="auto"/>
              <w:bottom w:val="single" w:sz="18" w:space="0" w:color="auto"/>
              <w:right w:val="single" w:sz="4" w:space="0" w:color="auto"/>
            </w:tcBorders>
            <w:shd w:val="clear" w:color="000000" w:fill="D9D9D9"/>
            <w:vAlign w:val="center"/>
          </w:tcPr>
          <w:p w:rsidR="00D76221" w:rsidRPr="0043547B" w:rsidRDefault="00D76221" w:rsidP="00D76221">
            <w:pPr>
              <w:jc w:val="center"/>
              <w:rPr>
                <w:rFonts w:cstheme="minorHAnsi"/>
                <w:b/>
                <w:bCs/>
                <w:sz w:val="24"/>
                <w:szCs w:val="24"/>
              </w:rPr>
            </w:pPr>
            <w:r w:rsidRPr="0043547B">
              <w:rPr>
                <w:rFonts w:cstheme="minorHAnsi"/>
                <w:b/>
                <w:bCs/>
                <w:sz w:val="24"/>
                <w:szCs w:val="24"/>
              </w:rPr>
              <w:t>Domaine d’application :</w:t>
            </w:r>
          </w:p>
        </w:tc>
        <w:tc>
          <w:tcPr>
            <w:tcW w:w="8126" w:type="dxa"/>
            <w:tcBorders>
              <w:top w:val="single" w:sz="4" w:space="0" w:color="auto"/>
              <w:left w:val="single" w:sz="4" w:space="0" w:color="auto"/>
              <w:bottom w:val="single" w:sz="18" w:space="0" w:color="auto"/>
              <w:right w:val="single" w:sz="18" w:space="0" w:color="auto"/>
            </w:tcBorders>
            <w:shd w:val="clear" w:color="auto" w:fill="auto"/>
          </w:tcPr>
          <w:p w:rsidR="00D76221" w:rsidRPr="0043547B" w:rsidRDefault="00D76221" w:rsidP="00D7622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partie de la CEI 62271 est applicable aux systèmes indicateurs de présence de tension (VPIS) incorporés dans l'appareillage pour courant alternatif conforme à la CEI 62271-200 ou à la CEI 62271-201.</w:t>
            </w:r>
          </w:p>
          <w:p w:rsidR="00D76221" w:rsidRPr="0043547B" w:rsidRDefault="00D76221" w:rsidP="00D7622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systèmes indicateurs de présence de tension sont des dispositifs utilisés pour informer l'exploitant sur l'état de tension du circuit principal de l'appareillage dans lequel ils sont installés.</w:t>
            </w:r>
          </w:p>
          <w:p w:rsidR="00D76221" w:rsidRPr="0043547B" w:rsidRDefault="00D76221" w:rsidP="00D7622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L'indication d'un VPIS à elle seule est insuffisante pour s'assurer que le système est hors tension :</w:t>
            </w:r>
            <w:r>
              <w:rPr>
                <w:rFonts w:eastAsia="Times New Roman" w:cstheme="minorHAnsi"/>
                <w:sz w:val="24"/>
                <w:szCs w:val="24"/>
                <w:lang w:eastAsia="fr-FR"/>
              </w:rPr>
              <w:t xml:space="preserve"> </w:t>
            </w:r>
            <w:r w:rsidRPr="0043547B">
              <w:rPr>
                <w:rFonts w:eastAsia="Times New Roman" w:cstheme="minorHAnsi"/>
                <w:sz w:val="24"/>
                <w:szCs w:val="24"/>
                <w:lang w:eastAsia="fr-FR"/>
              </w:rPr>
              <w:t>si les règles d'exploitation l'exigent, il convient d’utiliser alors à cet effet des détecteurs de tension appropriés conformes à la CEI 61243-1, à la CEI 61243-2 et à la CEI 61243-5.</w:t>
            </w:r>
            <w:r>
              <w:rPr>
                <w:rFonts w:eastAsia="Times New Roman" w:cstheme="minorHAnsi"/>
                <w:sz w:val="24"/>
                <w:szCs w:val="24"/>
                <w:lang w:eastAsia="fr-FR"/>
              </w:rPr>
              <w:t xml:space="preserve"> </w:t>
            </w:r>
            <w:r w:rsidRPr="0043547B">
              <w:rPr>
                <w:rFonts w:eastAsia="Times New Roman" w:cstheme="minorHAnsi"/>
                <w:sz w:val="24"/>
                <w:szCs w:val="24"/>
                <w:lang w:eastAsia="fr-FR"/>
              </w:rPr>
              <w:t>Cette norme est aussi applicable aux comparateurs de phase conçus pour être utilisés avec des VPIS.</w:t>
            </w:r>
          </w:p>
        </w:tc>
      </w:tr>
      <w:tr w:rsidR="00D76221" w:rsidRPr="0043547B" w:rsidTr="00CB5DC0">
        <w:trPr>
          <w:trHeight w:val="315"/>
          <w:jc w:val="center"/>
        </w:trPr>
        <w:tc>
          <w:tcPr>
            <w:tcW w:w="1820"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D76221" w:rsidRPr="0043547B" w:rsidRDefault="00D76221" w:rsidP="00D76221">
            <w:pPr>
              <w:spacing w:after="0"/>
              <w:jc w:val="center"/>
              <w:rPr>
                <w:rFonts w:cstheme="minorHAnsi"/>
                <w:b/>
                <w:bCs/>
                <w:sz w:val="24"/>
                <w:szCs w:val="24"/>
              </w:rPr>
            </w:pPr>
            <w:r w:rsidRPr="0043547B">
              <w:rPr>
                <w:rFonts w:cstheme="minorHAnsi"/>
                <w:b/>
                <w:bCs/>
                <w:sz w:val="24"/>
                <w:szCs w:val="24"/>
              </w:rPr>
              <w:t>Code :</w:t>
            </w:r>
          </w:p>
        </w:tc>
        <w:tc>
          <w:tcPr>
            <w:tcW w:w="8126" w:type="dxa"/>
            <w:tcBorders>
              <w:top w:val="single" w:sz="18" w:space="0" w:color="auto"/>
              <w:left w:val="single" w:sz="4" w:space="0" w:color="auto"/>
              <w:bottom w:val="single" w:sz="18" w:space="0" w:color="auto"/>
              <w:right w:val="single" w:sz="18" w:space="0" w:color="auto"/>
            </w:tcBorders>
            <w:shd w:val="clear" w:color="auto" w:fill="B4CD81"/>
            <w:vAlign w:val="center"/>
            <w:hideMark/>
          </w:tcPr>
          <w:p w:rsidR="00D76221" w:rsidRPr="0043547B" w:rsidRDefault="00D76221" w:rsidP="00D76221">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06.1.004</w:t>
            </w:r>
          </w:p>
        </w:tc>
      </w:tr>
      <w:tr w:rsidR="00D76221" w:rsidRPr="0043547B" w:rsidTr="00CB5DC0">
        <w:trPr>
          <w:trHeight w:val="315"/>
          <w:jc w:val="center"/>
        </w:trPr>
        <w:tc>
          <w:tcPr>
            <w:tcW w:w="1820"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D76221" w:rsidRPr="0043547B" w:rsidRDefault="00D76221" w:rsidP="00D76221">
            <w:pPr>
              <w:spacing w:after="0"/>
              <w:jc w:val="center"/>
              <w:rPr>
                <w:rFonts w:cstheme="minorHAnsi"/>
                <w:b/>
                <w:bCs/>
                <w:sz w:val="24"/>
                <w:szCs w:val="24"/>
              </w:rPr>
            </w:pPr>
            <w:r w:rsidRPr="0043547B">
              <w:rPr>
                <w:rFonts w:cstheme="minorHAnsi"/>
                <w:b/>
                <w:bCs/>
                <w:sz w:val="24"/>
                <w:szCs w:val="24"/>
              </w:rPr>
              <w:t>Intitulé :</w:t>
            </w:r>
          </w:p>
        </w:tc>
        <w:tc>
          <w:tcPr>
            <w:tcW w:w="8126" w:type="dxa"/>
            <w:tcBorders>
              <w:top w:val="single" w:sz="18" w:space="0" w:color="auto"/>
              <w:left w:val="single" w:sz="4" w:space="0" w:color="auto"/>
              <w:right w:val="single" w:sz="18" w:space="0" w:color="auto"/>
            </w:tcBorders>
            <w:shd w:val="clear" w:color="auto" w:fill="auto"/>
            <w:vAlign w:val="center"/>
            <w:hideMark/>
          </w:tcPr>
          <w:p w:rsidR="00D76221" w:rsidRPr="0043547B" w:rsidRDefault="00D76221" w:rsidP="00D7622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Installations d’éclairage public – Règles </w:t>
            </w:r>
          </w:p>
        </w:tc>
      </w:tr>
      <w:tr w:rsidR="00D76221" w:rsidRPr="0043547B" w:rsidTr="00CB5DC0">
        <w:trPr>
          <w:trHeight w:val="1861"/>
          <w:jc w:val="center"/>
        </w:trPr>
        <w:tc>
          <w:tcPr>
            <w:tcW w:w="1820" w:type="dxa"/>
            <w:tcBorders>
              <w:top w:val="nil"/>
              <w:left w:val="single" w:sz="18" w:space="0" w:color="auto"/>
              <w:bottom w:val="single" w:sz="18" w:space="0" w:color="auto"/>
              <w:right w:val="single" w:sz="4" w:space="0" w:color="auto"/>
            </w:tcBorders>
            <w:shd w:val="clear" w:color="000000" w:fill="D9D9D9"/>
            <w:vAlign w:val="center"/>
            <w:hideMark/>
          </w:tcPr>
          <w:p w:rsidR="00D76221" w:rsidRPr="0043547B" w:rsidRDefault="00D76221" w:rsidP="00D76221">
            <w:pPr>
              <w:spacing w:after="0"/>
              <w:jc w:val="center"/>
              <w:rPr>
                <w:rFonts w:cstheme="minorHAnsi"/>
                <w:b/>
                <w:bCs/>
                <w:sz w:val="24"/>
                <w:szCs w:val="24"/>
              </w:rPr>
            </w:pPr>
            <w:r w:rsidRPr="0043547B">
              <w:rPr>
                <w:rFonts w:cstheme="minorHAnsi"/>
                <w:b/>
                <w:bCs/>
                <w:sz w:val="24"/>
                <w:szCs w:val="24"/>
              </w:rPr>
              <w:lastRenderedPageBreak/>
              <w:t>Domaine d’application :</w:t>
            </w:r>
          </w:p>
        </w:tc>
        <w:tc>
          <w:tcPr>
            <w:tcW w:w="8126" w:type="dxa"/>
            <w:tcBorders>
              <w:left w:val="single" w:sz="4" w:space="0" w:color="auto"/>
              <w:bottom w:val="single" w:sz="18" w:space="0" w:color="auto"/>
              <w:right w:val="single" w:sz="18" w:space="0" w:color="auto"/>
            </w:tcBorders>
            <w:shd w:val="clear" w:color="auto" w:fill="auto"/>
            <w:vAlign w:val="center"/>
            <w:hideMark/>
          </w:tcPr>
          <w:p w:rsidR="00D76221" w:rsidRPr="0043547B" w:rsidRDefault="00D76221" w:rsidP="00D7622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définit les règles applicables aux installations situées dans le domaine public, et notamment :</w:t>
            </w:r>
          </w:p>
          <w:p w:rsidR="00D76221" w:rsidRPr="0043547B" w:rsidRDefault="00D76221" w:rsidP="00D7622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aux installations d'éclairage et d'illumination des voies, pares, jardins,</w:t>
            </w:r>
          </w:p>
          <w:p w:rsidR="00D76221" w:rsidRPr="0043547B" w:rsidRDefault="00D76221" w:rsidP="00D7622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 Emplacements et monuments,</w:t>
            </w:r>
          </w:p>
          <w:p w:rsidR="00D76221" w:rsidRPr="0043547B" w:rsidRDefault="00D76221" w:rsidP="00D7622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aux installations de signalisation, y compris la signalisation des chantiers,</w:t>
            </w:r>
          </w:p>
          <w:p w:rsidR="00D76221" w:rsidRPr="0043547B" w:rsidRDefault="00D76221" w:rsidP="00D7622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aux  équipements  divers,  tels  que  cabines  téléphoniques ,  abris  d'autobus, publicités  lumineuses, plans et panneaux indicateurs, horodateurs, toilettes publiques.</w:t>
            </w:r>
          </w:p>
        </w:tc>
      </w:tr>
    </w:tbl>
    <w:p w:rsidR="00904E52" w:rsidRPr="0043547B" w:rsidRDefault="00904E52" w:rsidP="00B905D3">
      <w:pPr>
        <w:pStyle w:val="Titre3"/>
        <w:numPr>
          <w:ilvl w:val="1"/>
          <w:numId w:val="2"/>
        </w:numPr>
        <w:tabs>
          <w:tab w:val="left" w:pos="567"/>
        </w:tabs>
        <w:ind w:left="0" w:firstLine="0"/>
        <w:rPr>
          <w:rFonts w:asciiTheme="minorHAnsi" w:hAnsiTheme="minorHAnsi" w:cstheme="minorHAnsi"/>
          <w:sz w:val="24"/>
          <w:szCs w:val="24"/>
          <w:u w:val="single"/>
        </w:rPr>
      </w:pPr>
      <w:bookmarkStart w:id="18" w:name="_Toc458606075"/>
      <w:r w:rsidRPr="0043547B">
        <w:rPr>
          <w:rFonts w:asciiTheme="minorHAnsi" w:hAnsiTheme="minorHAnsi" w:cstheme="minorHAnsi"/>
          <w:sz w:val="24"/>
          <w:szCs w:val="24"/>
          <w:u w:val="single"/>
        </w:rPr>
        <w:t>Lot N° 2 : Réseaux d’assainissement et adduction d’eau potable</w:t>
      </w:r>
      <w:bookmarkEnd w:id="18"/>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8"/>
        <w:gridCol w:w="7938"/>
      </w:tblGrid>
      <w:tr w:rsidR="00FD6D95"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FD6D95" w:rsidRPr="0043547B" w:rsidRDefault="00FD6D95" w:rsidP="00FD6D95">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hideMark/>
          </w:tcPr>
          <w:p w:rsidR="00FD6D95" w:rsidRPr="00262918" w:rsidRDefault="00FD6D95" w:rsidP="00262918">
            <w:pPr>
              <w:spacing w:after="0" w:line="240" w:lineRule="auto"/>
              <w:jc w:val="center"/>
              <w:rPr>
                <w:rFonts w:ascii="Calibri" w:hAnsi="Calibri" w:cs="Calibri"/>
                <w:b/>
                <w:bCs/>
                <w:sz w:val="24"/>
                <w:szCs w:val="24"/>
              </w:rPr>
            </w:pPr>
            <w:r w:rsidRPr="00262918">
              <w:rPr>
                <w:rFonts w:ascii="Calibri" w:hAnsi="Calibri" w:cs="Calibri"/>
                <w:b/>
                <w:bCs/>
                <w:sz w:val="24"/>
                <w:szCs w:val="24"/>
              </w:rPr>
              <w:t>NM 10.1.027</w:t>
            </w:r>
          </w:p>
        </w:tc>
      </w:tr>
      <w:tr w:rsidR="00FD6D95" w:rsidRPr="0043547B" w:rsidTr="00FD6D95">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FD6D95" w:rsidRPr="0043547B" w:rsidRDefault="00FD6D95" w:rsidP="00FD6D95">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FD6D95" w:rsidRPr="00262918" w:rsidRDefault="00FD6D95" w:rsidP="00262918">
            <w:pPr>
              <w:spacing w:after="0" w:line="240" w:lineRule="auto"/>
              <w:jc w:val="center"/>
              <w:rPr>
                <w:rFonts w:ascii="Calibri" w:hAnsi="Calibri" w:cs="Calibri"/>
                <w:b/>
                <w:bCs/>
                <w:sz w:val="24"/>
                <w:szCs w:val="24"/>
              </w:rPr>
            </w:pPr>
            <w:r w:rsidRPr="00262918">
              <w:rPr>
                <w:rFonts w:ascii="Calibri" w:hAnsi="Calibri" w:cs="Calibri"/>
                <w:b/>
                <w:bCs/>
                <w:sz w:val="24"/>
                <w:szCs w:val="24"/>
              </w:rPr>
              <w:t>EN 1916</w:t>
            </w:r>
          </w:p>
        </w:tc>
      </w:tr>
      <w:tr w:rsidR="00FD6D95" w:rsidRPr="0043547B" w:rsidTr="00CB5DC0">
        <w:trPr>
          <w:trHeight w:val="33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FD6D95" w:rsidRPr="0043547B" w:rsidRDefault="00FD6D95" w:rsidP="00FD6D95">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hideMark/>
          </w:tcPr>
          <w:p w:rsidR="00FD6D95" w:rsidRPr="00262918" w:rsidRDefault="00FD6D95" w:rsidP="00262918">
            <w:pPr>
              <w:spacing w:after="0" w:line="240" w:lineRule="auto"/>
              <w:jc w:val="both"/>
              <w:rPr>
                <w:rFonts w:ascii="Calibri" w:hAnsi="Calibri" w:cs="Calibri"/>
              </w:rPr>
            </w:pPr>
            <w:r w:rsidRPr="00262918">
              <w:rPr>
                <w:rFonts w:ascii="Calibri" w:hAnsi="Calibri" w:cs="Calibri"/>
              </w:rPr>
              <w:t xml:space="preserve">Canalisations en béton armé, non armé et fibré </w:t>
            </w:r>
          </w:p>
        </w:tc>
      </w:tr>
      <w:tr w:rsidR="00FD6D95" w:rsidRPr="0043547B" w:rsidTr="00FD6D95">
        <w:trPr>
          <w:trHeight w:val="276"/>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FD6D95" w:rsidRPr="0043547B" w:rsidRDefault="00FD6D95" w:rsidP="00FD6D95">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bottom"/>
            <w:hideMark/>
          </w:tcPr>
          <w:p w:rsidR="00FD6D95" w:rsidRPr="00262918" w:rsidRDefault="00FD6D95" w:rsidP="00262918">
            <w:pPr>
              <w:spacing w:after="0" w:line="240" w:lineRule="auto"/>
              <w:rPr>
                <w:rFonts w:ascii="Calibri" w:hAnsi="Calibri" w:cs="Calibri"/>
              </w:rPr>
            </w:pPr>
            <w:r w:rsidRPr="00262918">
              <w:rPr>
                <w:rFonts w:ascii="Calibri" w:hAnsi="Calibri" w:cs="Calibri"/>
              </w:rPr>
              <w:t xml:space="preserve">La norme s'applique aux tuyaux, utilisés pour la construction de canalisations étanches d’assainissement à écoulement libre destinées à l’évacuation des eaux pluviales et des eaux usées </w:t>
            </w:r>
            <w:r w:rsidR="00262918">
              <w:rPr>
                <w:rFonts w:ascii="Calibri" w:hAnsi="Calibri" w:cs="Calibri"/>
              </w:rPr>
              <w:t>domestiques ou industrielles.</w:t>
            </w:r>
            <w:r w:rsidR="00262918">
              <w:rPr>
                <w:rFonts w:ascii="Calibri" w:hAnsi="Calibri" w:cs="Calibri"/>
              </w:rPr>
              <w:br/>
            </w:r>
            <w:r w:rsidRPr="00262918">
              <w:rPr>
                <w:rFonts w:ascii="Calibri" w:hAnsi="Calibri" w:cs="Calibri"/>
              </w:rPr>
              <w:t>Elle ne s’applique pas :</w:t>
            </w:r>
            <w:r w:rsidRPr="00262918">
              <w:rPr>
                <w:rFonts w:ascii="Calibri" w:hAnsi="Calibri" w:cs="Calibri"/>
              </w:rPr>
              <w:br/>
              <w:t>- aux tuyaux de drainage</w:t>
            </w:r>
            <w:r w:rsidRPr="00262918">
              <w:rPr>
                <w:rFonts w:ascii="Calibri" w:hAnsi="Calibri" w:cs="Calibri"/>
              </w:rPr>
              <w:br/>
              <w:t>- aux tuyaux utilisés pour les canalisations avec pression.</w:t>
            </w:r>
          </w:p>
        </w:tc>
      </w:tr>
      <w:tr w:rsidR="0012399E" w:rsidRPr="0043547B" w:rsidTr="00CD1D22">
        <w:trPr>
          <w:trHeight w:val="276"/>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12399E" w:rsidRDefault="00262918" w:rsidP="00262918">
            <w:pPr>
              <w:spacing w:after="0" w:line="240" w:lineRule="auto"/>
              <w:jc w:val="center"/>
              <w:rPr>
                <w:rFonts w:ascii="Calibri" w:hAnsi="Calibri" w:cs="Calibri"/>
                <w:b/>
                <w:bCs/>
              </w:rPr>
            </w:pPr>
            <w:r>
              <w:rPr>
                <w:rFonts w:ascii="Calibri" w:hAnsi="Calibri" w:cs="Calibri"/>
                <w:b/>
                <w:bCs/>
              </w:rPr>
              <w:t>Code</w:t>
            </w:r>
          </w:p>
        </w:tc>
        <w:tc>
          <w:tcPr>
            <w:tcW w:w="7938" w:type="dxa"/>
            <w:tcBorders>
              <w:left w:val="single" w:sz="4" w:space="0" w:color="auto"/>
              <w:bottom w:val="single" w:sz="18" w:space="0" w:color="auto"/>
              <w:right w:val="single" w:sz="18" w:space="0" w:color="auto"/>
            </w:tcBorders>
            <w:shd w:val="clear" w:color="auto" w:fill="C2D69B" w:themeFill="accent3" w:themeFillTint="99"/>
          </w:tcPr>
          <w:p w:rsidR="0012399E" w:rsidRPr="00665470" w:rsidRDefault="0012399E" w:rsidP="00665470">
            <w:pPr>
              <w:spacing w:after="0" w:line="240" w:lineRule="auto"/>
              <w:jc w:val="center"/>
              <w:rPr>
                <w:rFonts w:ascii="Calibri" w:hAnsi="Calibri" w:cs="Calibri"/>
                <w:b/>
                <w:bCs/>
                <w:sz w:val="24"/>
                <w:szCs w:val="24"/>
              </w:rPr>
            </w:pPr>
            <w:r w:rsidRPr="00665470">
              <w:rPr>
                <w:rFonts w:ascii="Calibri" w:hAnsi="Calibri" w:cs="Calibri"/>
                <w:b/>
                <w:bCs/>
                <w:sz w:val="24"/>
                <w:szCs w:val="24"/>
              </w:rPr>
              <w:t>NM EN 805</w:t>
            </w:r>
          </w:p>
        </w:tc>
      </w:tr>
      <w:tr w:rsidR="0012399E" w:rsidRPr="0043547B" w:rsidTr="00CD1D22">
        <w:trPr>
          <w:trHeight w:val="276"/>
          <w:jc w:val="center"/>
        </w:trPr>
        <w:tc>
          <w:tcPr>
            <w:tcW w:w="1838" w:type="dxa"/>
            <w:tcBorders>
              <w:top w:val="nil"/>
              <w:left w:val="single" w:sz="18" w:space="0" w:color="auto"/>
              <w:bottom w:val="single" w:sz="18" w:space="0" w:color="auto"/>
              <w:right w:val="single" w:sz="4" w:space="0" w:color="auto"/>
            </w:tcBorders>
            <w:shd w:val="clear" w:color="auto" w:fill="FFFF99"/>
            <w:vAlign w:val="center"/>
          </w:tcPr>
          <w:p w:rsidR="0012399E" w:rsidRDefault="0012399E" w:rsidP="00262918">
            <w:pPr>
              <w:spacing w:after="0" w:line="240" w:lineRule="auto"/>
              <w:jc w:val="center"/>
              <w:rPr>
                <w:rFonts w:ascii="Calibri" w:hAnsi="Calibri" w:cs="Calibri"/>
                <w:b/>
                <w:bCs/>
                <w:sz w:val="24"/>
                <w:szCs w:val="24"/>
              </w:rPr>
            </w:pPr>
            <w:r>
              <w:rPr>
                <w:rFonts w:ascii="Calibri" w:hAnsi="Calibri" w:cs="Calibri"/>
                <w:b/>
                <w:bCs/>
              </w:rPr>
              <w:t>Equivalence :</w:t>
            </w:r>
          </w:p>
        </w:tc>
        <w:tc>
          <w:tcPr>
            <w:tcW w:w="7938" w:type="dxa"/>
            <w:tcBorders>
              <w:left w:val="single" w:sz="4" w:space="0" w:color="auto"/>
              <w:bottom w:val="single" w:sz="18" w:space="0" w:color="auto"/>
              <w:right w:val="single" w:sz="18" w:space="0" w:color="auto"/>
            </w:tcBorders>
            <w:shd w:val="clear" w:color="auto" w:fill="FFFF99"/>
            <w:vAlign w:val="center"/>
          </w:tcPr>
          <w:p w:rsidR="0012399E" w:rsidRPr="00665470" w:rsidRDefault="0012399E" w:rsidP="00665470">
            <w:pPr>
              <w:spacing w:after="0" w:line="240" w:lineRule="auto"/>
              <w:jc w:val="center"/>
              <w:rPr>
                <w:rFonts w:ascii="Calibri" w:hAnsi="Calibri" w:cs="Calibri"/>
                <w:b/>
                <w:bCs/>
                <w:sz w:val="24"/>
                <w:szCs w:val="24"/>
              </w:rPr>
            </w:pPr>
            <w:r w:rsidRPr="00665470">
              <w:rPr>
                <w:rFonts w:ascii="Calibri" w:hAnsi="Calibri" w:cs="Calibri"/>
                <w:b/>
                <w:bCs/>
                <w:sz w:val="24"/>
                <w:szCs w:val="24"/>
              </w:rPr>
              <w:t>EN 805</w:t>
            </w:r>
          </w:p>
        </w:tc>
      </w:tr>
      <w:tr w:rsidR="0012399E" w:rsidRPr="0043547B" w:rsidTr="00CD1D22">
        <w:trPr>
          <w:trHeight w:val="276"/>
          <w:jc w:val="center"/>
        </w:trPr>
        <w:tc>
          <w:tcPr>
            <w:tcW w:w="1838" w:type="dxa"/>
            <w:tcBorders>
              <w:top w:val="single" w:sz="18" w:space="0" w:color="auto"/>
              <w:left w:val="single" w:sz="18" w:space="0" w:color="auto"/>
              <w:bottom w:val="single" w:sz="4" w:space="0" w:color="auto"/>
              <w:right w:val="single" w:sz="4" w:space="0" w:color="auto"/>
            </w:tcBorders>
            <w:shd w:val="clear" w:color="auto" w:fill="95B3D7" w:themeFill="accent1" w:themeFillTint="99"/>
            <w:vAlign w:val="center"/>
          </w:tcPr>
          <w:p w:rsidR="0012399E" w:rsidRDefault="0012399E" w:rsidP="00262918">
            <w:pPr>
              <w:spacing w:after="0" w:line="240" w:lineRule="auto"/>
              <w:jc w:val="center"/>
              <w:rPr>
                <w:rFonts w:ascii="Calibri" w:hAnsi="Calibri" w:cs="Calibri"/>
                <w:b/>
                <w:bCs/>
                <w:sz w:val="24"/>
                <w:szCs w:val="24"/>
              </w:rPr>
            </w:pPr>
            <w:r>
              <w:rPr>
                <w:rFonts w:ascii="Calibri" w:hAnsi="Calibri" w:cs="Calibri"/>
                <w:b/>
                <w:bCs/>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tcPr>
          <w:p w:rsidR="0012399E" w:rsidRDefault="0012399E" w:rsidP="00665470">
            <w:pPr>
              <w:spacing w:after="0" w:line="240" w:lineRule="auto"/>
              <w:jc w:val="both"/>
              <w:rPr>
                <w:rFonts w:ascii="Calibri" w:hAnsi="Calibri" w:cs="Calibri"/>
              </w:rPr>
            </w:pPr>
            <w:r>
              <w:rPr>
                <w:rFonts w:ascii="Calibri" w:hAnsi="Calibri" w:cs="Calibri"/>
              </w:rPr>
              <w:t xml:space="preserve">Alimentation en eau - Exigences pour les réseaux extérieurs aux bâtiments et leurs composants </w:t>
            </w:r>
          </w:p>
        </w:tc>
      </w:tr>
      <w:tr w:rsidR="0012399E" w:rsidRPr="0043547B" w:rsidTr="00CD1D22">
        <w:trPr>
          <w:trHeight w:val="276"/>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12399E" w:rsidRDefault="0012399E" w:rsidP="00262918">
            <w:pPr>
              <w:spacing w:after="0" w:line="240" w:lineRule="auto"/>
              <w:jc w:val="center"/>
              <w:rPr>
                <w:rFonts w:ascii="Calibri" w:hAnsi="Calibri" w:cs="Calibri"/>
                <w:b/>
                <w:bCs/>
                <w:sz w:val="24"/>
                <w:szCs w:val="24"/>
              </w:rPr>
            </w:pPr>
            <w:r>
              <w:rPr>
                <w:rFonts w:ascii="Calibri" w:hAnsi="Calibri" w:cs="Calibri"/>
                <w:b/>
                <w:bCs/>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bottom"/>
          </w:tcPr>
          <w:p w:rsidR="00665470" w:rsidRDefault="0012399E" w:rsidP="00665470">
            <w:pPr>
              <w:spacing w:after="0" w:line="240" w:lineRule="auto"/>
              <w:jc w:val="both"/>
              <w:rPr>
                <w:rFonts w:ascii="Calibri" w:hAnsi="Calibri" w:cs="Calibri"/>
              </w:rPr>
            </w:pPr>
            <w:r>
              <w:rPr>
                <w:rFonts w:ascii="Calibri" w:hAnsi="Calibri" w:cs="Calibri"/>
              </w:rPr>
              <w:t xml:space="preserve">Cette norme prescrit : </w:t>
            </w:r>
          </w:p>
          <w:p w:rsidR="00665470" w:rsidRDefault="0012399E" w:rsidP="00665470">
            <w:pPr>
              <w:spacing w:after="0" w:line="240" w:lineRule="auto"/>
              <w:jc w:val="both"/>
              <w:rPr>
                <w:rFonts w:ascii="Calibri" w:hAnsi="Calibri" w:cs="Calibri"/>
              </w:rPr>
            </w:pPr>
            <w:r>
              <w:rPr>
                <w:rFonts w:ascii="Calibri" w:hAnsi="Calibri" w:cs="Calibri"/>
              </w:rPr>
              <w:t xml:space="preserve">- des exigences générales pour les réseaux d'alimentation extérieurs aux bâtiments, comprenant les conduites d’adduction, principales, secondaires et de branchement d'eau potable, les réservoirs de réseau, les autres installations et les conduites d'eau brute, mais excluant les usines de traitement des eaux et la ressource en eau ; </w:t>
            </w:r>
          </w:p>
          <w:p w:rsidR="00665470" w:rsidRDefault="0012399E" w:rsidP="00665470">
            <w:pPr>
              <w:spacing w:after="0" w:line="240" w:lineRule="auto"/>
              <w:jc w:val="both"/>
              <w:rPr>
                <w:rFonts w:ascii="Calibri" w:hAnsi="Calibri" w:cs="Calibri"/>
              </w:rPr>
            </w:pPr>
            <w:r>
              <w:rPr>
                <w:rFonts w:ascii="Calibri" w:hAnsi="Calibri" w:cs="Calibri"/>
              </w:rPr>
              <w:t xml:space="preserve">- des exigences générales pour les composants ; </w:t>
            </w:r>
          </w:p>
          <w:p w:rsidR="00665470" w:rsidRDefault="0012399E" w:rsidP="00665470">
            <w:pPr>
              <w:spacing w:after="0" w:line="240" w:lineRule="auto"/>
              <w:jc w:val="both"/>
              <w:rPr>
                <w:rFonts w:ascii="Calibri" w:hAnsi="Calibri" w:cs="Calibri"/>
              </w:rPr>
            </w:pPr>
            <w:r>
              <w:rPr>
                <w:rFonts w:ascii="Calibri" w:hAnsi="Calibri" w:cs="Calibri"/>
              </w:rPr>
              <w:t xml:space="preserve">- des exigences générales destinées à être incluses dans les normes de produits, lesquelles peuvent inclure des exigences plus rigoureuses ; </w:t>
            </w:r>
          </w:p>
          <w:p w:rsidR="00665470" w:rsidRDefault="0012399E" w:rsidP="00665470">
            <w:pPr>
              <w:spacing w:after="0" w:line="240" w:lineRule="auto"/>
              <w:jc w:val="both"/>
              <w:rPr>
                <w:rFonts w:ascii="Calibri" w:hAnsi="Calibri" w:cs="Calibri"/>
              </w:rPr>
            </w:pPr>
            <w:r>
              <w:rPr>
                <w:rFonts w:ascii="Calibri" w:hAnsi="Calibri" w:cs="Calibri"/>
              </w:rPr>
              <w:t xml:space="preserve">- des exigences pour l'installation, les épreuves et la mise en service. Les exigences de cette norme s'appliquent à : </w:t>
            </w:r>
          </w:p>
          <w:p w:rsidR="00665470" w:rsidRDefault="0012399E" w:rsidP="00665470">
            <w:pPr>
              <w:spacing w:after="0" w:line="240" w:lineRule="auto"/>
              <w:jc w:val="both"/>
              <w:rPr>
                <w:rFonts w:ascii="Calibri" w:hAnsi="Calibri" w:cs="Calibri"/>
              </w:rPr>
            </w:pPr>
            <w:r>
              <w:rPr>
                <w:rFonts w:ascii="Calibri" w:hAnsi="Calibri" w:cs="Calibri"/>
              </w:rPr>
              <w:t xml:space="preserve">- la conception et la réalisation de réseaux neufs d'alimentation en eau ; </w:t>
            </w:r>
          </w:p>
          <w:p w:rsidR="0012399E" w:rsidRDefault="0012399E" w:rsidP="00665470">
            <w:pPr>
              <w:spacing w:after="0" w:line="240" w:lineRule="auto"/>
              <w:jc w:val="both"/>
              <w:rPr>
                <w:rFonts w:ascii="Calibri" w:hAnsi="Calibri" w:cs="Calibri"/>
              </w:rPr>
            </w:pPr>
            <w:r>
              <w:rPr>
                <w:rFonts w:ascii="Calibri" w:hAnsi="Calibri" w:cs="Calibri"/>
              </w:rPr>
              <w:t>- l'extension de zones importantes constituant une partie en soi d'un réseau d'alimentation en eau existant ; - une modification et/ou une réhabilitation importante de réseaux d'alimentation en eau existants.</w:t>
            </w:r>
          </w:p>
        </w:tc>
      </w:tr>
      <w:tr w:rsidR="0012399E" w:rsidRPr="0043547B" w:rsidTr="00CD1D22">
        <w:trPr>
          <w:trHeight w:val="276"/>
          <w:jc w:val="center"/>
        </w:trPr>
        <w:tc>
          <w:tcPr>
            <w:tcW w:w="1838" w:type="dxa"/>
            <w:tcBorders>
              <w:top w:val="nil"/>
              <w:left w:val="single" w:sz="18" w:space="0" w:color="auto"/>
              <w:bottom w:val="single" w:sz="18" w:space="0" w:color="auto"/>
              <w:right w:val="single" w:sz="4" w:space="0" w:color="auto"/>
            </w:tcBorders>
            <w:shd w:val="clear" w:color="auto" w:fill="FFFF99"/>
            <w:vAlign w:val="center"/>
          </w:tcPr>
          <w:p w:rsidR="0012399E" w:rsidRDefault="0012399E" w:rsidP="00665470">
            <w:pPr>
              <w:spacing w:after="0" w:line="240" w:lineRule="auto"/>
              <w:jc w:val="center"/>
              <w:rPr>
                <w:rFonts w:ascii="Calibri" w:hAnsi="Calibri" w:cs="Calibri"/>
                <w:b/>
                <w:bCs/>
              </w:rPr>
            </w:pPr>
            <w:r>
              <w:rPr>
                <w:rFonts w:ascii="Calibri" w:hAnsi="Calibri" w:cs="Calibri"/>
                <w:b/>
                <w:bCs/>
              </w:rPr>
              <w:t>Code</w:t>
            </w:r>
          </w:p>
        </w:tc>
        <w:tc>
          <w:tcPr>
            <w:tcW w:w="7938" w:type="dxa"/>
            <w:tcBorders>
              <w:left w:val="single" w:sz="4" w:space="0" w:color="auto"/>
              <w:bottom w:val="single" w:sz="18" w:space="0" w:color="auto"/>
              <w:right w:val="single" w:sz="18" w:space="0" w:color="auto"/>
            </w:tcBorders>
            <w:shd w:val="clear" w:color="auto" w:fill="FFFF99"/>
          </w:tcPr>
          <w:p w:rsidR="0012399E" w:rsidRPr="00CD1D22" w:rsidRDefault="0012399E" w:rsidP="00CD1D22">
            <w:pPr>
              <w:spacing w:after="0" w:line="240" w:lineRule="auto"/>
              <w:jc w:val="center"/>
              <w:rPr>
                <w:rFonts w:ascii="Calibri" w:hAnsi="Calibri" w:cs="Calibri"/>
                <w:b/>
                <w:bCs/>
              </w:rPr>
            </w:pPr>
            <w:r w:rsidRPr="00CD1D22">
              <w:rPr>
                <w:rFonts w:ascii="Calibri" w:hAnsi="Calibri" w:cs="Calibri"/>
                <w:b/>
                <w:bCs/>
              </w:rPr>
              <w:t>NM EN 13508-1</w:t>
            </w:r>
          </w:p>
        </w:tc>
      </w:tr>
      <w:tr w:rsidR="0012399E" w:rsidRPr="0043547B" w:rsidTr="00CD1D22">
        <w:trPr>
          <w:trHeight w:val="276"/>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12399E" w:rsidRDefault="0012399E" w:rsidP="00665470">
            <w:pPr>
              <w:spacing w:after="0" w:line="240" w:lineRule="auto"/>
              <w:jc w:val="center"/>
              <w:rPr>
                <w:rFonts w:ascii="Calibri" w:hAnsi="Calibri" w:cs="Calibri"/>
                <w:b/>
                <w:bCs/>
                <w:sz w:val="24"/>
                <w:szCs w:val="24"/>
              </w:rPr>
            </w:pPr>
            <w:r>
              <w:rPr>
                <w:rFonts w:ascii="Calibri" w:hAnsi="Calibri" w:cs="Calibri"/>
                <w:b/>
                <w:bCs/>
              </w:rPr>
              <w:t>Equivalence :</w:t>
            </w:r>
          </w:p>
        </w:tc>
        <w:tc>
          <w:tcPr>
            <w:tcW w:w="7938" w:type="dxa"/>
            <w:tcBorders>
              <w:left w:val="single" w:sz="4" w:space="0" w:color="auto"/>
              <w:bottom w:val="single" w:sz="18" w:space="0" w:color="auto"/>
              <w:right w:val="single" w:sz="18" w:space="0" w:color="auto"/>
            </w:tcBorders>
            <w:shd w:val="clear" w:color="auto" w:fill="C2D69B" w:themeFill="accent3" w:themeFillTint="99"/>
            <w:vAlign w:val="center"/>
          </w:tcPr>
          <w:p w:rsidR="0012399E" w:rsidRPr="00CD1D22" w:rsidRDefault="0012399E" w:rsidP="00CD1D22">
            <w:pPr>
              <w:spacing w:after="0" w:line="240" w:lineRule="auto"/>
              <w:jc w:val="center"/>
              <w:rPr>
                <w:rFonts w:ascii="Calibri" w:hAnsi="Calibri" w:cs="Calibri"/>
                <w:b/>
                <w:bCs/>
              </w:rPr>
            </w:pPr>
            <w:r w:rsidRPr="00CD1D22">
              <w:rPr>
                <w:rFonts w:ascii="Calibri" w:hAnsi="Calibri" w:cs="Calibri"/>
                <w:b/>
                <w:bCs/>
              </w:rPr>
              <w:t>EN 13508-1</w:t>
            </w:r>
          </w:p>
        </w:tc>
      </w:tr>
      <w:tr w:rsidR="0012399E" w:rsidRPr="0043547B" w:rsidTr="00CD1D22">
        <w:trPr>
          <w:trHeight w:val="276"/>
          <w:jc w:val="center"/>
        </w:trPr>
        <w:tc>
          <w:tcPr>
            <w:tcW w:w="1838" w:type="dxa"/>
            <w:tcBorders>
              <w:top w:val="single" w:sz="18" w:space="0" w:color="auto"/>
              <w:left w:val="single" w:sz="18" w:space="0" w:color="auto"/>
              <w:bottom w:val="single" w:sz="4" w:space="0" w:color="auto"/>
              <w:right w:val="single" w:sz="4" w:space="0" w:color="auto"/>
            </w:tcBorders>
            <w:shd w:val="clear" w:color="auto" w:fill="95B3D7" w:themeFill="accent1" w:themeFillTint="99"/>
            <w:vAlign w:val="center"/>
          </w:tcPr>
          <w:p w:rsidR="0012399E" w:rsidRDefault="0012399E" w:rsidP="00665470">
            <w:pPr>
              <w:spacing w:after="0" w:line="240" w:lineRule="auto"/>
              <w:jc w:val="center"/>
              <w:rPr>
                <w:rFonts w:ascii="Calibri" w:hAnsi="Calibri" w:cs="Calibri"/>
                <w:b/>
                <w:bCs/>
                <w:sz w:val="24"/>
                <w:szCs w:val="24"/>
              </w:rPr>
            </w:pPr>
            <w:r>
              <w:rPr>
                <w:rFonts w:ascii="Calibri" w:hAnsi="Calibri" w:cs="Calibri"/>
                <w:b/>
                <w:bCs/>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tcPr>
          <w:p w:rsidR="0012399E" w:rsidRDefault="0012399E" w:rsidP="00665470">
            <w:pPr>
              <w:spacing w:after="0" w:line="240" w:lineRule="auto"/>
              <w:jc w:val="both"/>
              <w:rPr>
                <w:rFonts w:ascii="Calibri" w:hAnsi="Calibri" w:cs="Calibri"/>
              </w:rPr>
            </w:pPr>
            <w:r>
              <w:rPr>
                <w:rFonts w:ascii="Calibri" w:hAnsi="Calibri" w:cs="Calibri"/>
              </w:rPr>
              <w:t xml:space="preserve">Investigation et évaluation des réseaux d'évacuation et d'assainissement à l'extérieur des bâtiments - Partie 1 : exigences générales </w:t>
            </w:r>
          </w:p>
        </w:tc>
      </w:tr>
      <w:tr w:rsidR="0012399E" w:rsidRPr="0043547B" w:rsidTr="00CD1D22">
        <w:trPr>
          <w:trHeight w:val="276"/>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12399E" w:rsidRDefault="0012399E" w:rsidP="00665470">
            <w:pPr>
              <w:spacing w:after="0" w:line="240" w:lineRule="auto"/>
              <w:jc w:val="center"/>
              <w:rPr>
                <w:rFonts w:ascii="Calibri" w:hAnsi="Calibri" w:cs="Calibri"/>
                <w:b/>
                <w:bCs/>
                <w:sz w:val="24"/>
                <w:szCs w:val="24"/>
              </w:rPr>
            </w:pPr>
            <w:r>
              <w:rPr>
                <w:rFonts w:ascii="Calibri" w:hAnsi="Calibri" w:cs="Calibri"/>
                <w:b/>
                <w:bCs/>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bottom"/>
          </w:tcPr>
          <w:p w:rsidR="0012399E" w:rsidRDefault="0012399E" w:rsidP="00CD1D22">
            <w:pPr>
              <w:spacing w:after="0" w:line="240" w:lineRule="auto"/>
              <w:jc w:val="both"/>
              <w:rPr>
                <w:rFonts w:ascii="Calibri" w:hAnsi="Calibri" w:cs="Calibri"/>
              </w:rPr>
            </w:pPr>
            <w:r>
              <w:rPr>
                <w:rFonts w:ascii="Calibri" w:hAnsi="Calibri" w:cs="Calibri"/>
              </w:rPr>
              <w:t>La présente Norme européenne s'applique à l'investigation et à l'évaluation des réseaux d'évacuation et d'assainissement à l'extérieur des bâtiments. Elle s'applique aux réseaux d'évacuation et d'assainissement, principalement les réseaux gravitaires, à partir du point où les effluents quittent un bâtiment ou un système d'évacuation de toiture, ou pénètrent dans un avaloir de chaussée, jusqu'au point où ils se déversent dans une station d'épuration ou un milieu récepteur aquatique. Les branchements et collecteurs situés sous des bâtiments sont inclus, à condition qu'ils ne fassent pas partie du réseau d'évacuation du bâtiment. La présente partie de cette Norme européenne spécifie les exigences générales relatives à l'investigation et à l'évaluation des réseaux d'évacuation et d'assainissement à l'extérieur des bâtiments.</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noWrap/>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1452-1</w:t>
            </w:r>
          </w:p>
        </w:tc>
      </w:tr>
      <w:tr w:rsidR="0043547B" w:rsidRPr="0043547B" w:rsidTr="00CB5DC0">
        <w:trPr>
          <w:trHeight w:val="200"/>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noWrap/>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1452-1</w:t>
            </w:r>
          </w:p>
        </w:tc>
      </w:tr>
      <w:tr w:rsidR="0043547B" w:rsidRPr="0043547B" w:rsidTr="00CB5DC0">
        <w:trPr>
          <w:trHeight w:val="49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hideMark/>
          </w:tcPr>
          <w:p w:rsidR="00904E52" w:rsidRPr="0043547B" w:rsidRDefault="00904E52" w:rsidP="001050AB">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Systèmes de canalisations en plastique pour l'alimentation en eau, pour branchements et collecteurs d'assainissement enterrés et aériens avec pression – Poly (chlorure de vinyle) non plastifié (PVC-U) - Partie 1 : Généralités   </w:t>
            </w:r>
          </w:p>
        </w:tc>
      </w:tr>
      <w:tr w:rsidR="0043547B" w:rsidRPr="0043547B" w:rsidTr="00CB5DC0">
        <w:trPr>
          <w:trHeight w:val="1126"/>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aspects généraux des systèmes de canalisations à paroi compacte en poly(chlorure de vinyle) non plastifié (PVC-U) destinés à l'alimentation en eau et pour les collecteurs d'assainissement enterrés et aériens avec pression.</w:t>
            </w:r>
          </w:p>
          <w:p w:rsidR="00946E5B" w:rsidRPr="0043547B" w:rsidRDefault="00946E5B" w:rsidP="00946E5B">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s'applique aux tubes, raccords, robinets et équipements annexes en PVC-U ainsi qu'à leurs assemblages, et aux assemblages avec des composants à base d'autres matériaux, plastiques ou non plastiques, pouvant être utilisés pour les usages suivants :</w:t>
            </w:r>
          </w:p>
          <w:p w:rsidR="00946E5B" w:rsidRPr="0043547B" w:rsidRDefault="00946E5B" w:rsidP="00360635">
            <w:pPr>
              <w:pStyle w:val="Paragraphedeliste"/>
              <w:numPr>
                <w:ilvl w:val="0"/>
                <w:numId w:val="16"/>
              </w:numPr>
              <w:spacing w:after="0" w:line="240" w:lineRule="auto"/>
              <w:ind w:left="337"/>
              <w:jc w:val="both"/>
              <w:rPr>
                <w:rFonts w:eastAsia="Times New Roman" w:cstheme="minorHAnsi"/>
                <w:sz w:val="24"/>
                <w:szCs w:val="24"/>
                <w:lang w:eastAsia="fr-FR"/>
              </w:rPr>
            </w:pPr>
            <w:r w:rsidRPr="0043547B">
              <w:rPr>
                <w:rFonts w:eastAsia="Times New Roman" w:cstheme="minorHAnsi"/>
                <w:sz w:val="24"/>
                <w:szCs w:val="24"/>
                <w:lang w:eastAsia="fr-FR"/>
              </w:rPr>
              <w:t>conduites principales et branchements enterrés ;</w:t>
            </w:r>
          </w:p>
          <w:p w:rsidR="00946E5B" w:rsidRPr="0043547B" w:rsidRDefault="00946E5B" w:rsidP="00360635">
            <w:pPr>
              <w:pStyle w:val="Paragraphedeliste"/>
              <w:numPr>
                <w:ilvl w:val="0"/>
                <w:numId w:val="16"/>
              </w:numPr>
              <w:spacing w:after="0" w:line="240" w:lineRule="auto"/>
              <w:ind w:left="337"/>
              <w:jc w:val="both"/>
              <w:rPr>
                <w:rFonts w:eastAsia="Times New Roman" w:cstheme="minorHAnsi"/>
                <w:sz w:val="24"/>
                <w:szCs w:val="24"/>
                <w:lang w:eastAsia="fr-FR"/>
              </w:rPr>
            </w:pPr>
            <w:r w:rsidRPr="0043547B">
              <w:rPr>
                <w:rFonts w:eastAsia="Times New Roman" w:cstheme="minorHAnsi"/>
                <w:sz w:val="24"/>
                <w:szCs w:val="24"/>
                <w:lang w:eastAsia="fr-FR"/>
              </w:rPr>
              <w:t>transport de l'eau en aérien, à l'extérieur et à l'intérieur des bâtiments ;</w:t>
            </w:r>
          </w:p>
          <w:p w:rsidR="00946E5B" w:rsidRPr="0043547B" w:rsidRDefault="00946E5B" w:rsidP="00360635">
            <w:pPr>
              <w:pStyle w:val="Paragraphedeliste"/>
              <w:numPr>
                <w:ilvl w:val="0"/>
                <w:numId w:val="16"/>
              </w:numPr>
              <w:spacing w:after="0" w:line="240" w:lineRule="auto"/>
              <w:ind w:left="337"/>
              <w:jc w:val="both"/>
              <w:rPr>
                <w:rFonts w:eastAsia="Times New Roman" w:cstheme="minorHAnsi"/>
                <w:sz w:val="24"/>
                <w:szCs w:val="24"/>
                <w:lang w:eastAsia="fr-FR"/>
              </w:rPr>
            </w:pPr>
            <w:r w:rsidRPr="0043547B">
              <w:rPr>
                <w:rFonts w:eastAsia="Times New Roman" w:cstheme="minorHAnsi"/>
                <w:sz w:val="24"/>
                <w:szCs w:val="24"/>
                <w:lang w:eastAsia="fr-FR"/>
              </w:rPr>
              <w:t>collecteurs d'assainissement enterrés et aériens avec pression.</w:t>
            </w:r>
          </w:p>
          <w:p w:rsidR="00946E5B" w:rsidRPr="0043547B" w:rsidRDefault="00946E5B" w:rsidP="00946E5B">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s'applique aux systèmes de canalisations destinés à l'alimentation en eau sous pression jusqu'à 25 °C (eau froide) compris, destinée à la consommation humaine et pour les besoins généraux aussi bien que les eaux usées sous pression.</w:t>
            </w:r>
          </w:p>
          <w:p w:rsidR="00904E52" w:rsidRPr="0043547B" w:rsidRDefault="00946E5B" w:rsidP="00946E5B">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possibilités d'utilisation pour les températures supérieures à 45 °C peuvent faire l'accord entre le fabricant et l'utilisateur final au cas par cas.</w:t>
            </w:r>
          </w:p>
        </w:tc>
      </w:tr>
      <w:tr w:rsidR="0043547B" w:rsidRPr="0043547B" w:rsidTr="00CB5DC0">
        <w:trPr>
          <w:trHeight w:val="330"/>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noWrap/>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1452-5</w:t>
            </w:r>
          </w:p>
        </w:tc>
      </w:tr>
      <w:tr w:rsidR="0043547B" w:rsidRPr="0043547B" w:rsidTr="00CB5DC0">
        <w:trPr>
          <w:trHeight w:val="200"/>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EA697D" w:rsidRPr="0043547B" w:rsidRDefault="00EA697D" w:rsidP="00EA697D">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noWrap/>
            <w:hideMark/>
          </w:tcPr>
          <w:p w:rsidR="00EA697D" w:rsidRPr="0043547B" w:rsidRDefault="00EA697D" w:rsidP="00EA697D">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1452-5</w:t>
            </w:r>
          </w:p>
        </w:tc>
      </w:tr>
      <w:tr w:rsidR="0043547B" w:rsidRPr="0043547B" w:rsidTr="00CB5DC0">
        <w:trPr>
          <w:trHeight w:val="495"/>
          <w:jc w:val="center"/>
        </w:trPr>
        <w:tc>
          <w:tcPr>
            <w:tcW w:w="1838" w:type="dxa"/>
            <w:tcBorders>
              <w:top w:val="single" w:sz="4"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right w:val="single" w:sz="18" w:space="0" w:color="auto"/>
            </w:tcBorders>
            <w:shd w:val="clear" w:color="auto" w:fill="auto"/>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Systèmes de canalisations en plastique pour l'alimentation en eau, pour branchements et collecteurs d'assainissement enterrés et aériens avec pression - Poly (chlorure de vinyle) non plastifié (PVC-U) - Partie 5 : ap</w:t>
            </w:r>
            <w:r w:rsidR="00CA080D" w:rsidRPr="0043547B">
              <w:rPr>
                <w:rFonts w:eastAsia="Times New Roman" w:cstheme="minorHAnsi"/>
                <w:sz w:val="24"/>
                <w:szCs w:val="24"/>
                <w:lang w:eastAsia="fr-FR"/>
              </w:rPr>
              <w:t>titude à l'emploi du système </w:t>
            </w:r>
          </w:p>
        </w:tc>
      </w:tr>
      <w:tr w:rsidR="0043547B" w:rsidRPr="0043547B" w:rsidTr="00CB5DC0">
        <w:trPr>
          <w:trHeight w:val="987"/>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hideMark/>
          </w:tcPr>
          <w:p w:rsidR="00550D4D"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caractéristiques d'aptitude à l'emploi des systèmes de canalisations en poly(chlorure de vinyle) non plastifié (PVC-U) dans le domaine de l'alimentation en eau et pour les collecteurs d'assainissement enterrés et aériens avec pression.</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spécifie aussi les paramètres d'essai pour les méthodes d'essai auxquelles il est fait référence dans la norme.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s'applique aux assemblages et assemblages avec des composants en PVC-U ainsi qu'aux composants en PVC-U, en d'autres matériaux, plastiques ou non plastiques, destinés à être utilisées pour :</w:t>
            </w:r>
          </w:p>
          <w:p w:rsidR="00904E52" w:rsidRPr="0043547B" w:rsidRDefault="00904E52" w:rsidP="00360635">
            <w:pPr>
              <w:pStyle w:val="Paragraphedeliste"/>
              <w:numPr>
                <w:ilvl w:val="0"/>
                <w:numId w:val="17"/>
              </w:numPr>
              <w:spacing w:after="0" w:line="240" w:lineRule="auto"/>
              <w:ind w:left="337"/>
              <w:jc w:val="both"/>
              <w:rPr>
                <w:rFonts w:eastAsia="Times New Roman" w:cstheme="minorHAnsi"/>
                <w:sz w:val="24"/>
                <w:szCs w:val="24"/>
                <w:lang w:eastAsia="fr-FR"/>
              </w:rPr>
            </w:pPr>
            <w:r w:rsidRPr="0043547B">
              <w:rPr>
                <w:rFonts w:eastAsia="Times New Roman" w:cstheme="minorHAnsi"/>
                <w:sz w:val="24"/>
                <w:szCs w:val="24"/>
                <w:lang w:eastAsia="fr-FR"/>
              </w:rPr>
              <w:t>les conduites principales et branchements enterrés,</w:t>
            </w:r>
          </w:p>
          <w:p w:rsidR="00904E52" w:rsidRPr="0043547B" w:rsidRDefault="00904E52" w:rsidP="00360635">
            <w:pPr>
              <w:pStyle w:val="Paragraphedeliste"/>
              <w:numPr>
                <w:ilvl w:val="0"/>
                <w:numId w:val="17"/>
              </w:numPr>
              <w:spacing w:after="0" w:line="240" w:lineRule="auto"/>
              <w:ind w:left="337"/>
              <w:jc w:val="both"/>
              <w:rPr>
                <w:rFonts w:eastAsia="Times New Roman" w:cstheme="minorHAnsi"/>
                <w:sz w:val="24"/>
                <w:szCs w:val="24"/>
                <w:lang w:eastAsia="fr-FR"/>
              </w:rPr>
            </w:pPr>
            <w:r w:rsidRPr="0043547B">
              <w:rPr>
                <w:rFonts w:eastAsia="Times New Roman" w:cstheme="minorHAnsi"/>
                <w:sz w:val="24"/>
                <w:szCs w:val="24"/>
                <w:lang w:eastAsia="fr-FR"/>
              </w:rPr>
              <w:t>le transport de l'eau en aérien, à l'extérieur et à l'intérieur des bâtiments,</w:t>
            </w:r>
          </w:p>
          <w:p w:rsidR="00904E52" w:rsidRPr="0043547B" w:rsidRDefault="00904E52" w:rsidP="00360635">
            <w:pPr>
              <w:pStyle w:val="Paragraphedeliste"/>
              <w:numPr>
                <w:ilvl w:val="0"/>
                <w:numId w:val="17"/>
              </w:numPr>
              <w:spacing w:after="0" w:line="240" w:lineRule="auto"/>
              <w:ind w:left="337"/>
              <w:jc w:val="both"/>
              <w:rPr>
                <w:rFonts w:eastAsia="Times New Roman" w:cstheme="minorHAnsi"/>
                <w:sz w:val="24"/>
                <w:szCs w:val="24"/>
                <w:lang w:eastAsia="fr-FR"/>
              </w:rPr>
            </w:pPr>
            <w:r w:rsidRPr="0043547B">
              <w:rPr>
                <w:rFonts w:eastAsia="Times New Roman" w:cstheme="minorHAnsi"/>
                <w:sz w:val="24"/>
                <w:szCs w:val="24"/>
                <w:lang w:eastAsia="fr-FR"/>
              </w:rPr>
              <w:t>les collecteurs d'assainissement enterrés et aériens avec pression.</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s'applique aux systèmes de canalisations pour le transport de l'eau avec pression jusqu'à 25 °C (eau froide) inclus destinée à la consommation humaine et pour l'usage général aussi bien que pour les eaux usées avec pression.</w:t>
            </w:r>
          </w:p>
          <w:p w:rsidR="001050AB" w:rsidRPr="0043547B" w:rsidRDefault="00904E52" w:rsidP="00EA697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possibilités d'utilisation pour les températures supérieures à 45 °C peuvent faire l'accord entre le fabricant et l'utilisateur final au cas par cas.</w:t>
            </w:r>
          </w:p>
        </w:tc>
      </w:tr>
      <w:tr w:rsidR="0043547B" w:rsidRPr="0043547B" w:rsidTr="00CB5DC0">
        <w:trPr>
          <w:trHeight w:val="383"/>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tcPr>
          <w:p w:rsidR="00F7337A" w:rsidRPr="0043547B" w:rsidRDefault="00F7337A" w:rsidP="00B033CE">
            <w:pPr>
              <w:spacing w:after="0" w:line="240" w:lineRule="auto"/>
              <w:jc w:val="center"/>
              <w:rPr>
                <w:rFonts w:cstheme="minorHAnsi"/>
                <w:b/>
                <w:bCs/>
                <w:sz w:val="24"/>
                <w:szCs w:val="24"/>
              </w:rPr>
            </w:pPr>
            <w:r w:rsidRPr="0043547B">
              <w:rPr>
                <w:rFonts w:cstheme="minorHAnsi"/>
                <w:b/>
                <w:bCs/>
                <w:sz w:val="24"/>
                <w:szCs w:val="24"/>
              </w:rPr>
              <w:t>Code</w:t>
            </w:r>
            <w:r w:rsidR="00111FA2" w:rsidRPr="0043547B">
              <w:rPr>
                <w:rFonts w:cstheme="minorHAnsi"/>
                <w:b/>
                <w:bCs/>
                <w:sz w:val="24"/>
                <w:szCs w:val="24"/>
              </w:rPr>
              <w:t> :</w:t>
            </w:r>
          </w:p>
        </w:tc>
        <w:tc>
          <w:tcPr>
            <w:tcW w:w="7938" w:type="dxa"/>
            <w:tcBorders>
              <w:top w:val="single" w:sz="18" w:space="0" w:color="auto"/>
              <w:left w:val="single" w:sz="4" w:space="0" w:color="auto"/>
              <w:bottom w:val="single" w:sz="18" w:space="0" w:color="auto"/>
              <w:right w:val="single" w:sz="18" w:space="0" w:color="auto"/>
            </w:tcBorders>
            <w:shd w:val="clear" w:color="auto" w:fill="B4CD81"/>
            <w:noWrap/>
            <w:vAlign w:val="center"/>
          </w:tcPr>
          <w:p w:rsidR="00F7337A" w:rsidRPr="0043547B" w:rsidRDefault="00F7337A" w:rsidP="00B033CE">
            <w:pPr>
              <w:spacing w:after="0" w:line="240" w:lineRule="auto"/>
              <w:jc w:val="center"/>
              <w:rPr>
                <w:rFonts w:cstheme="minorHAnsi"/>
                <w:b/>
                <w:bCs/>
                <w:sz w:val="24"/>
                <w:szCs w:val="24"/>
              </w:rPr>
            </w:pPr>
            <w:r w:rsidRPr="0043547B">
              <w:rPr>
                <w:rFonts w:cstheme="minorHAnsi"/>
                <w:b/>
                <w:bCs/>
                <w:sz w:val="24"/>
                <w:szCs w:val="24"/>
              </w:rPr>
              <w:t>NM EN 13476-1</w:t>
            </w:r>
          </w:p>
        </w:tc>
      </w:tr>
      <w:tr w:rsidR="0043547B" w:rsidRPr="0043547B" w:rsidTr="00CB5DC0">
        <w:trPr>
          <w:trHeight w:val="391"/>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tcPr>
          <w:p w:rsidR="00F7337A" w:rsidRPr="0043547B" w:rsidRDefault="00F7337A" w:rsidP="00B033CE">
            <w:pPr>
              <w:spacing w:after="0" w:line="240" w:lineRule="auto"/>
              <w:jc w:val="center"/>
              <w:rPr>
                <w:rFonts w:cstheme="minorHAnsi"/>
                <w:b/>
                <w:bCs/>
                <w:sz w:val="24"/>
                <w:szCs w:val="24"/>
              </w:rPr>
            </w:pPr>
            <w:r w:rsidRPr="0043547B">
              <w:rPr>
                <w:rFonts w:cstheme="minorHAnsi"/>
                <w:b/>
                <w:bCs/>
                <w:sz w:val="24"/>
                <w:szCs w:val="24"/>
              </w:rPr>
              <w:t>Equivalence</w:t>
            </w:r>
            <w:r w:rsidR="00111FA2" w:rsidRPr="0043547B">
              <w:rPr>
                <w:rFonts w:cstheme="minorHAnsi"/>
                <w:b/>
                <w:bCs/>
                <w:sz w:val="24"/>
                <w:szCs w:val="24"/>
              </w:rPr>
              <w:t> :</w:t>
            </w:r>
          </w:p>
        </w:tc>
        <w:tc>
          <w:tcPr>
            <w:tcW w:w="7938" w:type="dxa"/>
            <w:tcBorders>
              <w:top w:val="single" w:sz="18" w:space="0" w:color="auto"/>
              <w:left w:val="single" w:sz="4" w:space="0" w:color="auto"/>
              <w:bottom w:val="single" w:sz="4" w:space="0" w:color="auto"/>
              <w:right w:val="single" w:sz="18" w:space="0" w:color="auto"/>
            </w:tcBorders>
            <w:shd w:val="clear" w:color="auto" w:fill="FFFF99"/>
            <w:noWrap/>
            <w:vAlign w:val="center"/>
          </w:tcPr>
          <w:p w:rsidR="00F7337A" w:rsidRPr="0043547B" w:rsidRDefault="00F7337A" w:rsidP="00B033CE">
            <w:pPr>
              <w:spacing w:after="0" w:line="240" w:lineRule="auto"/>
              <w:jc w:val="center"/>
              <w:rPr>
                <w:rFonts w:cstheme="minorHAnsi"/>
                <w:b/>
                <w:bCs/>
                <w:sz w:val="24"/>
                <w:szCs w:val="24"/>
              </w:rPr>
            </w:pPr>
            <w:r w:rsidRPr="0043547B">
              <w:rPr>
                <w:rFonts w:cstheme="minorHAnsi"/>
                <w:b/>
                <w:bCs/>
                <w:sz w:val="24"/>
                <w:szCs w:val="24"/>
              </w:rPr>
              <w:t>EN 13476-1</w:t>
            </w:r>
          </w:p>
        </w:tc>
      </w:tr>
      <w:tr w:rsidR="0043547B" w:rsidRPr="0043547B" w:rsidTr="00CB5DC0">
        <w:trPr>
          <w:trHeight w:val="979"/>
          <w:jc w:val="center"/>
        </w:trPr>
        <w:tc>
          <w:tcPr>
            <w:tcW w:w="1838" w:type="dxa"/>
            <w:tcBorders>
              <w:top w:val="single" w:sz="4" w:space="0" w:color="auto"/>
              <w:left w:val="single" w:sz="18" w:space="0" w:color="auto"/>
              <w:bottom w:val="single" w:sz="4" w:space="0" w:color="auto"/>
              <w:right w:val="single" w:sz="4" w:space="0" w:color="auto"/>
            </w:tcBorders>
            <w:shd w:val="clear" w:color="auto" w:fill="8DB3E2" w:themeFill="text2" w:themeFillTint="66"/>
            <w:vAlign w:val="center"/>
          </w:tcPr>
          <w:p w:rsidR="00F7337A" w:rsidRPr="0043547B" w:rsidRDefault="00F7337A" w:rsidP="00B033CE">
            <w:pPr>
              <w:spacing w:after="0" w:line="240" w:lineRule="auto"/>
              <w:jc w:val="center"/>
              <w:rPr>
                <w:rFonts w:cstheme="minorHAnsi"/>
                <w:b/>
                <w:bCs/>
                <w:sz w:val="24"/>
                <w:szCs w:val="24"/>
              </w:rPr>
            </w:pPr>
            <w:r w:rsidRPr="0043547B">
              <w:rPr>
                <w:rFonts w:cstheme="minorHAnsi"/>
                <w:b/>
                <w:bCs/>
                <w:sz w:val="24"/>
                <w:szCs w:val="24"/>
              </w:rPr>
              <w:lastRenderedPageBreak/>
              <w:t>Intitulé</w:t>
            </w:r>
            <w:r w:rsidR="00111FA2" w:rsidRPr="0043547B">
              <w:rPr>
                <w:rFonts w:cstheme="minorHAnsi"/>
                <w:b/>
                <w:bCs/>
                <w:sz w:val="24"/>
                <w:szCs w:val="24"/>
              </w:rPr>
              <w:t> :</w:t>
            </w:r>
          </w:p>
        </w:tc>
        <w:tc>
          <w:tcPr>
            <w:tcW w:w="7938" w:type="dxa"/>
            <w:tcBorders>
              <w:top w:val="single" w:sz="4" w:space="0" w:color="auto"/>
              <w:left w:val="single" w:sz="4" w:space="0" w:color="auto"/>
              <w:bottom w:val="single" w:sz="4" w:space="0" w:color="auto"/>
              <w:right w:val="single" w:sz="18" w:space="0" w:color="auto"/>
            </w:tcBorders>
            <w:shd w:val="clear" w:color="auto" w:fill="FFFFFF" w:themeFill="background1"/>
            <w:noWrap/>
          </w:tcPr>
          <w:p w:rsidR="00F7337A" w:rsidRPr="0043547B" w:rsidRDefault="00F7337A" w:rsidP="009B2690">
            <w:pPr>
              <w:spacing w:after="0" w:line="240" w:lineRule="auto"/>
              <w:jc w:val="both"/>
              <w:rPr>
                <w:rFonts w:cstheme="minorHAnsi"/>
                <w:sz w:val="24"/>
                <w:szCs w:val="24"/>
              </w:rPr>
            </w:pPr>
            <w:r w:rsidRPr="0043547B">
              <w:rPr>
                <w:rFonts w:cstheme="minorHAnsi"/>
                <w:sz w:val="24"/>
                <w:szCs w:val="24"/>
              </w:rPr>
              <w:t xml:space="preserve">Systèmes de canalisations en plastiques pour les branchements et les collecteurs d'assainissements sans pression enterrés - Systèmes de canalisation à parois structurées en poly(chlorure de vinyle) non plastifié (PVC-U), polypropylène (PP) et polyéthylène (PE) - Exigences générales et caractéristiques de performance </w:t>
            </w:r>
          </w:p>
        </w:tc>
      </w:tr>
      <w:tr w:rsidR="0043547B" w:rsidRPr="0043547B" w:rsidTr="00CB5DC0">
        <w:trPr>
          <w:trHeight w:val="315"/>
          <w:jc w:val="center"/>
        </w:trPr>
        <w:tc>
          <w:tcPr>
            <w:tcW w:w="1838" w:type="dxa"/>
            <w:tcBorders>
              <w:top w:val="single" w:sz="4" w:space="0" w:color="auto"/>
              <w:left w:val="single" w:sz="18" w:space="0" w:color="auto"/>
              <w:bottom w:val="single" w:sz="18" w:space="0" w:color="auto"/>
              <w:right w:val="single" w:sz="4" w:space="0" w:color="auto"/>
            </w:tcBorders>
            <w:shd w:val="clear" w:color="auto" w:fill="BFBFBF" w:themeFill="background1" w:themeFillShade="BF"/>
            <w:vAlign w:val="center"/>
          </w:tcPr>
          <w:p w:rsidR="00F7337A" w:rsidRPr="0043547B" w:rsidRDefault="00F7337A" w:rsidP="00B033CE">
            <w:pPr>
              <w:spacing w:after="0" w:line="240" w:lineRule="auto"/>
              <w:jc w:val="center"/>
              <w:rPr>
                <w:rFonts w:cstheme="minorHAnsi"/>
                <w:b/>
                <w:bCs/>
                <w:sz w:val="24"/>
                <w:szCs w:val="24"/>
              </w:rPr>
            </w:pPr>
            <w:r w:rsidRPr="0043547B">
              <w:rPr>
                <w:rFonts w:cstheme="minorHAnsi"/>
                <w:b/>
                <w:bCs/>
                <w:sz w:val="24"/>
                <w:szCs w:val="24"/>
              </w:rPr>
              <w:t>Domaine d’application</w:t>
            </w:r>
            <w:r w:rsidR="00111FA2" w:rsidRPr="0043547B">
              <w:rPr>
                <w:rFonts w:cstheme="minorHAnsi"/>
                <w:b/>
                <w:bCs/>
                <w:sz w:val="24"/>
                <w:szCs w:val="24"/>
              </w:rPr>
              <w:t> :</w:t>
            </w:r>
          </w:p>
        </w:tc>
        <w:tc>
          <w:tcPr>
            <w:tcW w:w="7938" w:type="dxa"/>
            <w:tcBorders>
              <w:top w:val="single" w:sz="4" w:space="0" w:color="auto"/>
              <w:left w:val="single" w:sz="4" w:space="0" w:color="auto"/>
              <w:bottom w:val="single" w:sz="18" w:space="0" w:color="auto"/>
              <w:right w:val="single" w:sz="18" w:space="0" w:color="auto"/>
            </w:tcBorders>
            <w:shd w:val="clear" w:color="auto" w:fill="FFFFFF" w:themeFill="background1"/>
            <w:noWrap/>
            <w:vAlign w:val="bottom"/>
          </w:tcPr>
          <w:p w:rsidR="00111FA2" w:rsidRPr="0043547B" w:rsidRDefault="00F7337A" w:rsidP="00111FA2">
            <w:pPr>
              <w:spacing w:after="0" w:line="240" w:lineRule="auto"/>
              <w:jc w:val="both"/>
              <w:rPr>
                <w:rFonts w:cstheme="minorHAnsi"/>
                <w:sz w:val="24"/>
                <w:szCs w:val="24"/>
              </w:rPr>
            </w:pPr>
            <w:r w:rsidRPr="0043547B">
              <w:rPr>
                <w:rFonts w:cstheme="minorHAnsi"/>
                <w:sz w:val="24"/>
                <w:szCs w:val="24"/>
              </w:rPr>
              <w:t>La présente Norme européenne, conjointement aux EN 13476-2 et EN 13476-3, spécifie les définitions et les générales exigences pour les tubes, les raccords et le système de canalisations fabriqués à partir de poly(chlorure de vinyle) non plastifié (PVC-U), polypropylène (PP) et polyéthylène (PE), destinés à être utilisés en tant que systèmes de canalisations à parois structurées dans le domaine des branchements et des collecteurs d'assainissement enterrés sans pression.</w:t>
            </w:r>
          </w:p>
          <w:p w:rsidR="00111FA2" w:rsidRPr="0043547B" w:rsidRDefault="00F7337A" w:rsidP="00111FA2">
            <w:pPr>
              <w:spacing w:after="0" w:line="240" w:lineRule="auto"/>
              <w:jc w:val="both"/>
              <w:rPr>
                <w:rFonts w:cstheme="minorHAnsi"/>
                <w:sz w:val="24"/>
                <w:szCs w:val="24"/>
              </w:rPr>
            </w:pPr>
            <w:r w:rsidRPr="0043547B">
              <w:rPr>
                <w:rFonts w:cstheme="minorHAnsi"/>
                <w:sz w:val="24"/>
                <w:szCs w:val="24"/>
              </w:rPr>
              <w:t>La présente norme s'applique aux :</w:t>
            </w:r>
          </w:p>
          <w:p w:rsidR="00111FA2" w:rsidRPr="0043547B" w:rsidRDefault="00F7337A" w:rsidP="00111FA2">
            <w:pPr>
              <w:spacing w:after="0" w:line="240" w:lineRule="auto"/>
              <w:jc w:val="both"/>
              <w:rPr>
                <w:rFonts w:cstheme="minorHAnsi"/>
                <w:sz w:val="24"/>
                <w:szCs w:val="24"/>
              </w:rPr>
            </w:pPr>
            <w:r w:rsidRPr="0043547B">
              <w:rPr>
                <w:rFonts w:cstheme="minorHAnsi"/>
                <w:sz w:val="24"/>
                <w:szCs w:val="24"/>
              </w:rPr>
              <w:t>a) tubes et raccords à parois structurées, destinés à être utilisés enterrés à l'extérieur du bâtiment uniquement ;</w:t>
            </w:r>
          </w:p>
          <w:p w:rsidR="00111FA2" w:rsidRPr="0043547B" w:rsidRDefault="00F7337A" w:rsidP="00111FA2">
            <w:pPr>
              <w:spacing w:after="0" w:line="240" w:lineRule="auto"/>
              <w:jc w:val="both"/>
              <w:rPr>
                <w:rFonts w:cstheme="minorHAnsi"/>
                <w:sz w:val="24"/>
                <w:szCs w:val="24"/>
              </w:rPr>
            </w:pPr>
            <w:r w:rsidRPr="0043547B">
              <w:rPr>
                <w:rFonts w:cstheme="minorHAnsi"/>
                <w:sz w:val="24"/>
                <w:szCs w:val="24"/>
              </w:rPr>
              <w:t>ce qui est reflété par le marquage des produits par «U» ;</w:t>
            </w:r>
          </w:p>
          <w:p w:rsidR="00111FA2" w:rsidRPr="0043547B" w:rsidRDefault="00F7337A" w:rsidP="00111FA2">
            <w:pPr>
              <w:spacing w:after="0" w:line="240" w:lineRule="auto"/>
              <w:jc w:val="both"/>
              <w:rPr>
                <w:rFonts w:cstheme="minorHAnsi"/>
                <w:sz w:val="24"/>
                <w:szCs w:val="24"/>
              </w:rPr>
            </w:pPr>
            <w:r w:rsidRPr="0043547B">
              <w:rPr>
                <w:rFonts w:cstheme="minorHAnsi"/>
                <w:sz w:val="24"/>
                <w:szCs w:val="24"/>
              </w:rPr>
              <w:t>b) tubes et raccords à parois structurées, destinés à être utilisés enterrés, aussi bien à l'extérieur (code de la zone d’application «U») de la structure des bâtiments, qu’à l'intérieur (code de la zone d’application «D») ; ce qui est reflété par le marquage des produits par «UD».</w:t>
            </w:r>
          </w:p>
          <w:p w:rsidR="00111FA2" w:rsidRPr="0043547B" w:rsidRDefault="00F7337A" w:rsidP="00111FA2">
            <w:pPr>
              <w:spacing w:after="0" w:line="240" w:lineRule="auto"/>
              <w:jc w:val="both"/>
              <w:rPr>
                <w:rFonts w:cstheme="minorHAnsi"/>
                <w:sz w:val="24"/>
                <w:szCs w:val="24"/>
              </w:rPr>
            </w:pPr>
            <w:r w:rsidRPr="0043547B">
              <w:rPr>
                <w:rFonts w:cstheme="minorHAnsi"/>
                <w:sz w:val="24"/>
                <w:szCs w:val="24"/>
              </w:rPr>
              <w:t>Conjointement aux EN 13476-2 et EN 13476-3, la norme s'applique aux tubes et raccords à parois structurées qui comprennent des assemblages à bague d'étanchéité en élastomère avec ou sans emboîture intégrée ainsi que des assemblages soudés et les assemblages obtenus par fusion.</w:t>
            </w:r>
          </w:p>
          <w:p w:rsidR="00111FA2" w:rsidRPr="0043547B" w:rsidRDefault="00F7337A" w:rsidP="00111FA2">
            <w:pPr>
              <w:spacing w:after="0" w:line="240" w:lineRule="auto"/>
              <w:jc w:val="both"/>
              <w:rPr>
                <w:rFonts w:cstheme="minorHAnsi"/>
                <w:sz w:val="24"/>
                <w:szCs w:val="24"/>
              </w:rPr>
            </w:pPr>
            <w:r w:rsidRPr="0043547B">
              <w:rPr>
                <w:rFonts w:cstheme="minorHAnsi"/>
                <w:sz w:val="24"/>
                <w:szCs w:val="24"/>
              </w:rPr>
              <w:t>La présente partie spécifie des aspects généraux et fournit des recommandations relatives à une sélection nationale des niveaux et classes d’exigences lorsque des options sont fournies dans les parties 2 et 3 de la présente norme.</w:t>
            </w:r>
          </w:p>
          <w:p w:rsidR="00111FA2" w:rsidRPr="0043547B" w:rsidRDefault="00F7337A" w:rsidP="00111FA2">
            <w:pPr>
              <w:spacing w:after="0" w:line="240" w:lineRule="auto"/>
              <w:jc w:val="both"/>
              <w:rPr>
                <w:rFonts w:cstheme="minorHAnsi"/>
                <w:sz w:val="24"/>
                <w:szCs w:val="24"/>
              </w:rPr>
            </w:pPr>
            <w:r w:rsidRPr="0043547B">
              <w:rPr>
                <w:rFonts w:cstheme="minorHAnsi"/>
                <w:sz w:val="24"/>
                <w:szCs w:val="24"/>
              </w:rPr>
              <w:t>Les EN 13476-2 et EN 13476-3 spécifient les caractéristiques de la matière, les dimensions et les tolérances, les méthodes d’essai, les paramètres d’essai et les exigences applicables aux tubes avec une surface interne et externe lisse, de Type A, et aux tubes avec une surface interne lisse et une surface externe profilée, de Type B.</w:t>
            </w:r>
          </w:p>
          <w:p w:rsidR="00550D4D" w:rsidRDefault="00F7337A" w:rsidP="00EA697D">
            <w:pPr>
              <w:spacing w:after="0" w:line="240" w:lineRule="auto"/>
              <w:jc w:val="both"/>
              <w:rPr>
                <w:rFonts w:cstheme="minorHAnsi"/>
                <w:sz w:val="24"/>
                <w:szCs w:val="24"/>
              </w:rPr>
            </w:pPr>
            <w:r w:rsidRPr="0043547B">
              <w:rPr>
                <w:rFonts w:cstheme="minorHAnsi"/>
                <w:sz w:val="24"/>
                <w:szCs w:val="24"/>
              </w:rPr>
              <w:t>La présente norme, conjointement aux EN 13476-2 et EN 13476-3, couvre une gamme de dimensions de tubes et de raccords, de matières, de constructions de tube, de classes de rigidité et de classes de tolérance et donne des recommandations concernant les couleurs.</w:t>
            </w:r>
          </w:p>
          <w:p w:rsidR="00111FA2" w:rsidRPr="00550D4D" w:rsidRDefault="00F7337A" w:rsidP="00EA697D">
            <w:pPr>
              <w:spacing w:after="0" w:line="240" w:lineRule="auto"/>
              <w:jc w:val="both"/>
              <w:rPr>
                <w:rFonts w:cstheme="minorHAnsi"/>
                <w:i/>
                <w:iCs/>
              </w:rPr>
            </w:pPr>
            <w:r w:rsidRPr="00550D4D">
              <w:rPr>
                <w:rFonts w:cstheme="minorHAnsi"/>
                <w:b/>
                <w:bCs/>
                <w:i/>
                <w:iCs/>
              </w:rPr>
              <w:t>NOTE 1</w:t>
            </w:r>
            <w:r w:rsidR="00EA697D" w:rsidRPr="00550D4D">
              <w:rPr>
                <w:rFonts w:cstheme="minorHAnsi"/>
                <w:b/>
                <w:bCs/>
                <w:i/>
                <w:iCs/>
              </w:rPr>
              <w:t> :</w:t>
            </w:r>
            <w:r w:rsidR="00111FA2" w:rsidRPr="00550D4D">
              <w:rPr>
                <w:rFonts w:cstheme="minorHAnsi"/>
                <w:i/>
                <w:iCs/>
              </w:rPr>
              <w:t xml:space="preserve"> </w:t>
            </w:r>
            <w:r w:rsidRPr="00550D4D">
              <w:rPr>
                <w:rFonts w:cstheme="minorHAnsi"/>
                <w:i/>
                <w:iCs/>
              </w:rPr>
              <w:t>Il est de la responsabilité de l'acheteur ou du prescripteur de faire les sélections appropriées à partir de ces aspects, en tenant compte des exigences particulières et des règles nationales concernées et des pratiques ou codes de pose.</w:t>
            </w:r>
          </w:p>
          <w:p w:rsidR="00111FA2" w:rsidRPr="00550D4D" w:rsidRDefault="00F7337A" w:rsidP="00EA697D">
            <w:pPr>
              <w:spacing w:after="0" w:line="240" w:lineRule="auto"/>
              <w:jc w:val="both"/>
              <w:rPr>
                <w:rFonts w:cstheme="minorHAnsi"/>
                <w:i/>
                <w:iCs/>
              </w:rPr>
            </w:pPr>
            <w:r w:rsidRPr="00550D4D">
              <w:rPr>
                <w:rFonts w:cstheme="minorHAnsi"/>
                <w:b/>
                <w:bCs/>
                <w:i/>
                <w:iCs/>
              </w:rPr>
              <w:t>NOTE 2</w:t>
            </w:r>
            <w:r w:rsidR="00EA697D" w:rsidRPr="00550D4D">
              <w:rPr>
                <w:rFonts w:cstheme="minorHAnsi"/>
                <w:b/>
                <w:bCs/>
                <w:i/>
                <w:iCs/>
              </w:rPr>
              <w:t> :</w:t>
            </w:r>
            <w:r w:rsidR="00111FA2" w:rsidRPr="00550D4D">
              <w:rPr>
                <w:rFonts w:cstheme="minorHAnsi"/>
                <w:i/>
                <w:iCs/>
              </w:rPr>
              <w:t xml:space="preserve"> </w:t>
            </w:r>
            <w:r w:rsidRPr="00550D4D">
              <w:rPr>
                <w:rFonts w:cstheme="minorHAnsi"/>
                <w:i/>
                <w:iCs/>
              </w:rPr>
              <w:t>Les tubes, raccords et autres composants conformes aux normes de produits plastiques indiquées à l'Article 2 peuvent être utilisés avec des tubes et des raccords conformes à la présente norme, lorsqu'ils satisfont aux exigences dimensionnelles des assemblages indiquées dans les parties 2 et 3 de la présente norme et aux exigences de performance indiquées à l'Article 9.</w:t>
            </w:r>
          </w:p>
          <w:p w:rsidR="00F7337A" w:rsidRPr="0043547B" w:rsidRDefault="00F7337A" w:rsidP="00EA697D">
            <w:pPr>
              <w:spacing w:after="0" w:line="240" w:lineRule="auto"/>
              <w:jc w:val="both"/>
              <w:rPr>
                <w:rFonts w:cstheme="minorHAnsi"/>
                <w:sz w:val="24"/>
                <w:szCs w:val="24"/>
              </w:rPr>
            </w:pPr>
            <w:r w:rsidRPr="00550D4D">
              <w:rPr>
                <w:rFonts w:cstheme="minorHAnsi"/>
                <w:b/>
                <w:bCs/>
                <w:i/>
                <w:iCs/>
              </w:rPr>
              <w:t>NOTE 3</w:t>
            </w:r>
            <w:r w:rsidR="00EA697D" w:rsidRPr="00550D4D">
              <w:rPr>
                <w:rFonts w:cstheme="minorHAnsi"/>
                <w:b/>
                <w:bCs/>
                <w:i/>
                <w:iCs/>
              </w:rPr>
              <w:t> :</w:t>
            </w:r>
            <w:r w:rsidR="00111FA2" w:rsidRPr="00550D4D">
              <w:rPr>
                <w:rFonts w:cstheme="minorHAnsi"/>
                <w:i/>
                <w:iCs/>
              </w:rPr>
              <w:t xml:space="preserve"> </w:t>
            </w:r>
            <w:r w:rsidRPr="00550D4D">
              <w:rPr>
                <w:rFonts w:cstheme="minorHAnsi"/>
                <w:i/>
                <w:iCs/>
              </w:rPr>
              <w:t>Pour les dimensions plus grandes que DN 1 200 ou OD/ID, le présent document peut servir comme guide général en ce qui concerne l'aspect, la couleur, les caractéristiques physiques et mécaniques, et aussi bien pour les exigences de performance.</w:t>
            </w:r>
          </w:p>
        </w:tc>
      </w:tr>
      <w:tr w:rsidR="0043547B" w:rsidRPr="0043547B" w:rsidTr="00CB5DC0">
        <w:trPr>
          <w:trHeight w:val="134"/>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tcPr>
          <w:p w:rsidR="00853530" w:rsidRPr="0043547B" w:rsidRDefault="00853530" w:rsidP="00550D4D">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noWrap/>
            <w:vAlign w:val="center"/>
          </w:tcPr>
          <w:p w:rsidR="00853530" w:rsidRPr="00550D4D" w:rsidRDefault="00160B21" w:rsidP="00550D4D">
            <w:pPr>
              <w:spacing w:after="0" w:line="240" w:lineRule="auto"/>
              <w:jc w:val="center"/>
              <w:rPr>
                <w:rFonts w:cstheme="minorHAnsi"/>
                <w:b/>
                <w:bCs/>
                <w:sz w:val="24"/>
                <w:szCs w:val="24"/>
              </w:rPr>
            </w:pPr>
            <w:r w:rsidRPr="00550D4D">
              <w:rPr>
                <w:rFonts w:cstheme="minorHAnsi"/>
                <w:b/>
                <w:bCs/>
                <w:sz w:val="24"/>
                <w:szCs w:val="24"/>
              </w:rPr>
              <w:t xml:space="preserve">NM </w:t>
            </w:r>
            <w:r w:rsidR="00853530" w:rsidRPr="00550D4D">
              <w:rPr>
                <w:rFonts w:cstheme="minorHAnsi"/>
                <w:b/>
                <w:bCs/>
                <w:sz w:val="24"/>
                <w:szCs w:val="24"/>
              </w:rPr>
              <w:t>ISO 10508</w:t>
            </w:r>
          </w:p>
        </w:tc>
      </w:tr>
      <w:tr w:rsidR="0043547B" w:rsidRPr="0043547B" w:rsidTr="00CB5DC0">
        <w:trPr>
          <w:trHeight w:val="142"/>
          <w:jc w:val="center"/>
        </w:trPr>
        <w:tc>
          <w:tcPr>
            <w:tcW w:w="1838" w:type="dxa"/>
            <w:tcBorders>
              <w:top w:val="single" w:sz="18" w:space="0" w:color="auto"/>
              <w:left w:val="single" w:sz="18" w:space="0" w:color="auto"/>
              <w:bottom w:val="single" w:sz="4" w:space="0" w:color="auto"/>
              <w:right w:val="single" w:sz="4" w:space="0" w:color="auto"/>
            </w:tcBorders>
            <w:shd w:val="clear" w:color="auto" w:fill="FDFBA9"/>
            <w:vAlign w:val="center"/>
          </w:tcPr>
          <w:p w:rsidR="00853530" w:rsidRPr="0043547B" w:rsidRDefault="00853530" w:rsidP="00550D4D">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DFBA9"/>
            <w:noWrap/>
            <w:vAlign w:val="bottom"/>
          </w:tcPr>
          <w:p w:rsidR="00853530" w:rsidRPr="00550D4D" w:rsidRDefault="00853530" w:rsidP="00550D4D">
            <w:pPr>
              <w:spacing w:after="0" w:line="240" w:lineRule="auto"/>
              <w:jc w:val="center"/>
              <w:rPr>
                <w:rFonts w:cstheme="minorHAnsi"/>
                <w:b/>
                <w:bCs/>
                <w:sz w:val="24"/>
                <w:szCs w:val="24"/>
              </w:rPr>
            </w:pPr>
            <w:r w:rsidRPr="00550D4D">
              <w:rPr>
                <w:rFonts w:cstheme="minorHAnsi"/>
                <w:b/>
                <w:bCs/>
                <w:sz w:val="24"/>
                <w:szCs w:val="24"/>
              </w:rPr>
              <w:t>ISO 10508</w:t>
            </w:r>
          </w:p>
        </w:tc>
      </w:tr>
      <w:tr w:rsidR="0043547B" w:rsidRPr="0043547B" w:rsidTr="00CB5DC0">
        <w:trPr>
          <w:trHeight w:val="319"/>
          <w:jc w:val="center"/>
        </w:trPr>
        <w:tc>
          <w:tcPr>
            <w:tcW w:w="1838" w:type="dxa"/>
            <w:tcBorders>
              <w:top w:val="single" w:sz="4" w:space="0" w:color="auto"/>
              <w:left w:val="single" w:sz="18" w:space="0" w:color="auto"/>
              <w:bottom w:val="single" w:sz="4" w:space="0" w:color="auto"/>
              <w:right w:val="single" w:sz="4" w:space="0" w:color="auto"/>
            </w:tcBorders>
            <w:shd w:val="clear" w:color="auto" w:fill="548DD4" w:themeFill="text2" w:themeFillTint="99"/>
            <w:vAlign w:val="center"/>
          </w:tcPr>
          <w:p w:rsidR="00853530" w:rsidRPr="0043547B" w:rsidRDefault="00853530" w:rsidP="00550D4D">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FFFFFF" w:themeFill="background1"/>
            <w:noWrap/>
          </w:tcPr>
          <w:p w:rsidR="00853530" w:rsidRPr="0043547B" w:rsidRDefault="00853530" w:rsidP="001327D9">
            <w:pPr>
              <w:spacing w:after="0" w:line="240" w:lineRule="auto"/>
              <w:rPr>
                <w:rFonts w:cstheme="minorHAnsi"/>
                <w:sz w:val="24"/>
                <w:szCs w:val="24"/>
              </w:rPr>
            </w:pPr>
            <w:r w:rsidRPr="0043547B">
              <w:rPr>
                <w:rFonts w:cstheme="minorHAnsi"/>
                <w:sz w:val="24"/>
                <w:szCs w:val="24"/>
              </w:rPr>
              <w:t xml:space="preserve">Systèmes de canalisations en plastique destinés aux installations d'eau chaude et froide - Lignes directrices pour la classification et la conception </w:t>
            </w:r>
          </w:p>
        </w:tc>
      </w:tr>
      <w:tr w:rsidR="0043547B" w:rsidRPr="0043547B" w:rsidTr="00CB5DC0">
        <w:trPr>
          <w:trHeight w:val="315"/>
          <w:jc w:val="center"/>
        </w:trPr>
        <w:tc>
          <w:tcPr>
            <w:tcW w:w="1838" w:type="dxa"/>
            <w:tcBorders>
              <w:top w:val="single" w:sz="4" w:space="0" w:color="auto"/>
              <w:left w:val="single" w:sz="18" w:space="0" w:color="auto"/>
              <w:bottom w:val="single" w:sz="4" w:space="0" w:color="auto"/>
              <w:right w:val="single" w:sz="4" w:space="0" w:color="auto"/>
            </w:tcBorders>
            <w:shd w:val="clear" w:color="auto" w:fill="BFBFBF" w:themeFill="background1" w:themeFillShade="BF"/>
            <w:vAlign w:val="center"/>
          </w:tcPr>
          <w:p w:rsidR="00853530" w:rsidRPr="0043547B" w:rsidRDefault="00853530" w:rsidP="00853530">
            <w:pPr>
              <w:jc w:val="center"/>
              <w:rPr>
                <w:rFonts w:cstheme="minorHAnsi"/>
                <w:b/>
                <w:bCs/>
                <w:sz w:val="24"/>
                <w:szCs w:val="24"/>
              </w:rPr>
            </w:pPr>
            <w:r w:rsidRPr="0043547B">
              <w:rPr>
                <w:rFonts w:cstheme="minorHAnsi"/>
                <w:b/>
                <w:bCs/>
                <w:sz w:val="24"/>
                <w:szCs w:val="24"/>
              </w:rPr>
              <w:lastRenderedPageBreak/>
              <w:t>Domaine d’application :</w:t>
            </w:r>
          </w:p>
        </w:tc>
        <w:tc>
          <w:tcPr>
            <w:tcW w:w="7938" w:type="dxa"/>
            <w:tcBorders>
              <w:top w:val="single" w:sz="4" w:space="0" w:color="auto"/>
              <w:left w:val="single" w:sz="4" w:space="0" w:color="auto"/>
              <w:bottom w:val="single" w:sz="4" w:space="0" w:color="auto"/>
              <w:right w:val="single" w:sz="18" w:space="0" w:color="auto"/>
            </w:tcBorders>
            <w:shd w:val="clear" w:color="auto" w:fill="FFFFFF" w:themeFill="background1"/>
            <w:noWrap/>
          </w:tcPr>
          <w:p w:rsidR="00550D4D" w:rsidRDefault="00853530" w:rsidP="00550D4D">
            <w:pPr>
              <w:spacing w:after="0" w:line="240" w:lineRule="auto"/>
              <w:jc w:val="both"/>
              <w:rPr>
                <w:rFonts w:cstheme="minorHAnsi"/>
                <w:sz w:val="24"/>
                <w:szCs w:val="24"/>
              </w:rPr>
            </w:pPr>
            <w:r w:rsidRPr="0043547B">
              <w:rPr>
                <w:rFonts w:cstheme="minorHAnsi"/>
                <w:sz w:val="24"/>
                <w:szCs w:val="24"/>
              </w:rPr>
              <w:t>La présente Norme internationale donne des lignes directrices pour la classification et la conception des systèmes de canalisations en plastique destinés aux installations d'eau chaude et froide qui utilisent des tubes en plastique et des raccords en plastique ou métalliques.</w:t>
            </w:r>
          </w:p>
          <w:p w:rsidR="00550D4D" w:rsidRDefault="00853530" w:rsidP="00550D4D">
            <w:pPr>
              <w:spacing w:after="0" w:line="240" w:lineRule="auto"/>
              <w:jc w:val="both"/>
              <w:rPr>
                <w:rFonts w:cstheme="minorHAnsi"/>
                <w:sz w:val="24"/>
                <w:szCs w:val="24"/>
              </w:rPr>
            </w:pPr>
            <w:r w:rsidRPr="0043547B">
              <w:rPr>
                <w:rFonts w:cstheme="minorHAnsi"/>
                <w:sz w:val="24"/>
                <w:szCs w:val="24"/>
              </w:rPr>
              <w:t>Elle établit un système de classification pour les conditions usuelles de service des systèmes d'eau chaude et froide sous pression. Elle donne une base pour l'évaluation et la conception des tubes et raccords en thermoplastique en fonction des exigences de performance du système.</w:t>
            </w:r>
          </w:p>
          <w:p w:rsidR="00550D4D" w:rsidRDefault="00853530" w:rsidP="00550D4D">
            <w:pPr>
              <w:spacing w:after="0" w:line="240" w:lineRule="auto"/>
              <w:jc w:val="both"/>
              <w:rPr>
                <w:rFonts w:cstheme="minorHAnsi"/>
                <w:sz w:val="24"/>
                <w:szCs w:val="24"/>
              </w:rPr>
            </w:pPr>
            <w:r w:rsidRPr="0043547B">
              <w:rPr>
                <w:rFonts w:cstheme="minorHAnsi"/>
                <w:sz w:val="24"/>
                <w:szCs w:val="24"/>
              </w:rPr>
              <w:t>Elle s'applique aux systèmes de canalisations en plastique utilisés pour véhiculer de l'eau, dans le cas</w:t>
            </w:r>
            <w:r w:rsidR="00550D4D">
              <w:rPr>
                <w:rFonts w:cstheme="minorHAnsi"/>
                <w:sz w:val="24"/>
                <w:szCs w:val="24"/>
              </w:rPr>
              <w:t xml:space="preserve"> </w:t>
            </w:r>
            <w:r w:rsidRPr="0043547B">
              <w:rPr>
                <w:rFonts w:cstheme="minorHAnsi"/>
                <w:sz w:val="24"/>
                <w:szCs w:val="24"/>
              </w:rPr>
              <w:t>:</w:t>
            </w:r>
          </w:p>
          <w:p w:rsidR="00550D4D" w:rsidRDefault="00853530" w:rsidP="00550D4D">
            <w:pPr>
              <w:spacing w:after="0" w:line="240" w:lineRule="auto"/>
              <w:jc w:val="both"/>
              <w:rPr>
                <w:rFonts w:cstheme="minorHAnsi"/>
                <w:sz w:val="24"/>
                <w:szCs w:val="24"/>
              </w:rPr>
            </w:pPr>
            <w:r w:rsidRPr="0043547B">
              <w:rPr>
                <w:rFonts w:cstheme="minorHAnsi"/>
                <w:sz w:val="24"/>
                <w:szCs w:val="24"/>
              </w:rPr>
              <w:t>a) des systèmes de distribution d'eau chaude et froide, y compris l'eau potable,</w:t>
            </w:r>
            <w:r w:rsidRPr="0043547B">
              <w:rPr>
                <w:rFonts w:cstheme="minorHAnsi"/>
                <w:sz w:val="24"/>
                <w:szCs w:val="24"/>
              </w:rPr>
              <w:br/>
              <w:t>b)</w:t>
            </w:r>
            <w:r w:rsidR="00550D4D">
              <w:rPr>
                <w:rFonts w:cstheme="minorHAnsi"/>
                <w:sz w:val="24"/>
                <w:szCs w:val="24"/>
              </w:rPr>
              <w:t xml:space="preserve"> </w:t>
            </w:r>
            <w:r w:rsidRPr="0043547B">
              <w:rPr>
                <w:rFonts w:cstheme="minorHAnsi"/>
                <w:sz w:val="24"/>
                <w:szCs w:val="24"/>
              </w:rPr>
              <w:t>des systèmes de transport de l'eau chaude pour le chauffage,</w:t>
            </w:r>
            <w:r w:rsidR="00550D4D">
              <w:rPr>
                <w:rFonts w:cstheme="minorHAnsi"/>
                <w:sz w:val="24"/>
                <w:szCs w:val="24"/>
              </w:rPr>
              <w:t xml:space="preserve"> </w:t>
            </w:r>
            <w:r w:rsidRPr="0043547B">
              <w:rPr>
                <w:rFonts w:cstheme="minorHAnsi"/>
                <w:sz w:val="24"/>
                <w:szCs w:val="24"/>
              </w:rPr>
              <w:t>sous des pressions de service jusqu'à au moins 10 bar 1) à 20 °C et jusqu'à 10 bar à des températures selon la classe d'application (voir Tableau 1).</w:t>
            </w:r>
          </w:p>
          <w:p w:rsidR="00550D4D" w:rsidRDefault="00853530" w:rsidP="00550D4D">
            <w:pPr>
              <w:spacing w:after="0" w:line="240" w:lineRule="auto"/>
              <w:jc w:val="both"/>
              <w:rPr>
                <w:rFonts w:cstheme="minorHAnsi"/>
                <w:sz w:val="24"/>
                <w:szCs w:val="24"/>
              </w:rPr>
            </w:pPr>
            <w:r w:rsidRPr="0043547B">
              <w:rPr>
                <w:rFonts w:cstheme="minorHAnsi"/>
                <w:sz w:val="24"/>
                <w:szCs w:val="24"/>
              </w:rPr>
              <w:t>Pour des valeurs de TD, Tmax et Tmal supérieures à celles données dans le Tableau 1, la présente Norme internationale ne s'applique pas.</w:t>
            </w:r>
          </w:p>
          <w:p w:rsidR="00853530" w:rsidRPr="0043547B" w:rsidRDefault="00853530" w:rsidP="00550D4D">
            <w:pPr>
              <w:spacing w:after="0" w:line="240" w:lineRule="auto"/>
              <w:jc w:val="both"/>
              <w:rPr>
                <w:rFonts w:cstheme="minorHAnsi"/>
                <w:sz w:val="24"/>
                <w:szCs w:val="24"/>
              </w:rPr>
            </w:pPr>
            <w:r w:rsidRPr="0043547B">
              <w:rPr>
                <w:rFonts w:cstheme="minorHAnsi"/>
                <w:sz w:val="24"/>
                <w:szCs w:val="24"/>
              </w:rPr>
              <w:t>L'acceptation de tout(s) tube(s) et/ou raccord(s) fabriqué(s) à partir d'un grade spécifique de matière est soumise à la norme de produit ou de systèmes applicables et aux exigences qui y sont détaillées.</w:t>
            </w:r>
          </w:p>
        </w:tc>
      </w:tr>
      <w:tr w:rsidR="0043547B" w:rsidRPr="0043547B" w:rsidTr="00CB5DC0">
        <w:trPr>
          <w:trHeight w:val="315"/>
          <w:jc w:val="center"/>
        </w:trPr>
        <w:tc>
          <w:tcPr>
            <w:tcW w:w="1838" w:type="dxa"/>
            <w:tcBorders>
              <w:top w:val="single" w:sz="4" w:space="0" w:color="auto"/>
              <w:left w:val="single" w:sz="18" w:space="0" w:color="auto"/>
              <w:bottom w:val="single" w:sz="18" w:space="0" w:color="auto"/>
              <w:right w:val="single" w:sz="4" w:space="0" w:color="auto"/>
            </w:tcBorders>
            <w:shd w:val="clear" w:color="auto" w:fill="B4CD81"/>
            <w:vAlign w:val="center"/>
          </w:tcPr>
          <w:p w:rsidR="00F7337A" w:rsidRPr="0043547B" w:rsidRDefault="00F7337A" w:rsidP="00B033CE">
            <w:pPr>
              <w:spacing w:after="0" w:line="240" w:lineRule="auto"/>
              <w:jc w:val="center"/>
              <w:rPr>
                <w:rFonts w:cstheme="minorHAnsi"/>
                <w:b/>
                <w:bCs/>
                <w:sz w:val="24"/>
                <w:szCs w:val="24"/>
              </w:rPr>
            </w:pPr>
            <w:r w:rsidRPr="0043547B">
              <w:rPr>
                <w:rFonts w:cstheme="minorHAnsi"/>
                <w:b/>
                <w:bCs/>
                <w:sz w:val="24"/>
                <w:szCs w:val="24"/>
              </w:rPr>
              <w:t>Code</w:t>
            </w:r>
            <w:r w:rsidR="00111FA2" w:rsidRPr="0043547B">
              <w:rPr>
                <w:rFonts w:cstheme="minorHAnsi"/>
                <w:b/>
                <w:bCs/>
                <w:sz w:val="24"/>
                <w:szCs w:val="24"/>
              </w:rPr>
              <w:t> :</w:t>
            </w:r>
          </w:p>
        </w:tc>
        <w:tc>
          <w:tcPr>
            <w:tcW w:w="7938" w:type="dxa"/>
            <w:tcBorders>
              <w:top w:val="single" w:sz="4" w:space="0" w:color="auto"/>
              <w:left w:val="single" w:sz="4" w:space="0" w:color="auto"/>
              <w:bottom w:val="single" w:sz="18" w:space="0" w:color="auto"/>
              <w:right w:val="single" w:sz="18" w:space="0" w:color="auto"/>
            </w:tcBorders>
            <w:shd w:val="clear" w:color="auto" w:fill="B4CD81"/>
            <w:noWrap/>
            <w:vAlign w:val="center"/>
          </w:tcPr>
          <w:p w:rsidR="00F7337A" w:rsidRPr="0043547B" w:rsidRDefault="00F7337A" w:rsidP="00111FA2">
            <w:pPr>
              <w:spacing w:after="0" w:line="240" w:lineRule="auto"/>
              <w:jc w:val="center"/>
              <w:rPr>
                <w:rFonts w:cstheme="minorHAnsi"/>
                <w:b/>
                <w:bCs/>
                <w:sz w:val="24"/>
                <w:szCs w:val="24"/>
              </w:rPr>
            </w:pPr>
            <w:r w:rsidRPr="0043547B">
              <w:rPr>
                <w:rFonts w:cstheme="minorHAnsi"/>
                <w:b/>
                <w:bCs/>
                <w:sz w:val="24"/>
                <w:szCs w:val="24"/>
              </w:rPr>
              <w:t>NM EN 13476-3</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tcPr>
          <w:p w:rsidR="00F7337A" w:rsidRPr="0043547B" w:rsidRDefault="00B033CE" w:rsidP="00B033CE">
            <w:pPr>
              <w:spacing w:after="0" w:line="240" w:lineRule="auto"/>
              <w:jc w:val="center"/>
              <w:rPr>
                <w:rFonts w:cstheme="minorHAnsi"/>
                <w:b/>
                <w:bCs/>
                <w:sz w:val="24"/>
                <w:szCs w:val="24"/>
              </w:rPr>
            </w:pPr>
            <w:r w:rsidRPr="0043547B">
              <w:rPr>
                <w:rFonts w:cstheme="minorHAnsi"/>
                <w:b/>
                <w:bCs/>
                <w:sz w:val="24"/>
                <w:szCs w:val="24"/>
              </w:rPr>
              <w:t>Equivalence</w:t>
            </w:r>
            <w:r w:rsidR="00111FA2" w:rsidRPr="0043547B">
              <w:rPr>
                <w:rFonts w:cstheme="minorHAnsi"/>
                <w:b/>
                <w:bCs/>
                <w:sz w:val="24"/>
                <w:szCs w:val="24"/>
              </w:rPr>
              <w:t> :</w:t>
            </w:r>
          </w:p>
        </w:tc>
        <w:tc>
          <w:tcPr>
            <w:tcW w:w="7938" w:type="dxa"/>
            <w:tcBorders>
              <w:top w:val="single" w:sz="18" w:space="0" w:color="auto"/>
              <w:left w:val="single" w:sz="4" w:space="0" w:color="auto"/>
              <w:bottom w:val="single" w:sz="4" w:space="0" w:color="auto"/>
              <w:right w:val="single" w:sz="18" w:space="0" w:color="auto"/>
            </w:tcBorders>
            <w:shd w:val="clear" w:color="auto" w:fill="FFFF99"/>
            <w:noWrap/>
            <w:vAlign w:val="center"/>
          </w:tcPr>
          <w:p w:rsidR="00F7337A" w:rsidRPr="0043547B" w:rsidRDefault="00F7337A" w:rsidP="00111FA2">
            <w:pPr>
              <w:spacing w:after="0" w:line="240" w:lineRule="auto"/>
              <w:jc w:val="center"/>
              <w:rPr>
                <w:rFonts w:cstheme="minorHAnsi"/>
                <w:b/>
                <w:bCs/>
                <w:sz w:val="24"/>
                <w:szCs w:val="24"/>
              </w:rPr>
            </w:pPr>
            <w:r w:rsidRPr="0043547B">
              <w:rPr>
                <w:rFonts w:cstheme="minorHAnsi"/>
                <w:b/>
                <w:bCs/>
                <w:sz w:val="24"/>
                <w:szCs w:val="24"/>
              </w:rPr>
              <w:t>EN 13476-3</w:t>
            </w:r>
          </w:p>
        </w:tc>
      </w:tr>
      <w:tr w:rsidR="007876B6" w:rsidRPr="0043547B" w:rsidTr="00CB5DC0">
        <w:trPr>
          <w:trHeight w:val="315"/>
          <w:jc w:val="center"/>
        </w:trPr>
        <w:tc>
          <w:tcPr>
            <w:tcW w:w="1838" w:type="dxa"/>
            <w:tcBorders>
              <w:top w:val="single" w:sz="4" w:space="0" w:color="auto"/>
              <w:left w:val="single" w:sz="18" w:space="0" w:color="auto"/>
              <w:bottom w:val="single" w:sz="4" w:space="0" w:color="auto"/>
              <w:right w:val="single" w:sz="4" w:space="0" w:color="auto"/>
            </w:tcBorders>
            <w:shd w:val="clear" w:color="auto" w:fill="8DB3E2" w:themeFill="text2" w:themeFillTint="66"/>
            <w:vAlign w:val="center"/>
          </w:tcPr>
          <w:p w:rsidR="007876B6" w:rsidRPr="0043547B" w:rsidRDefault="007876B6" w:rsidP="007876B6">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FFFFFF" w:themeFill="background1"/>
            <w:noWrap/>
            <w:vAlign w:val="center"/>
          </w:tcPr>
          <w:p w:rsidR="007876B6" w:rsidRPr="00903118" w:rsidRDefault="007876B6" w:rsidP="00903118">
            <w:pPr>
              <w:spacing w:after="0" w:line="240" w:lineRule="auto"/>
              <w:jc w:val="both"/>
              <w:rPr>
                <w:rFonts w:ascii="Calibri" w:hAnsi="Calibri" w:cs="Calibri"/>
              </w:rPr>
            </w:pPr>
            <w:r w:rsidRPr="00903118">
              <w:rPr>
                <w:rFonts w:ascii="Calibri" w:hAnsi="Calibri" w:cs="Calibri"/>
              </w:rPr>
              <w:t xml:space="preserve">Systèmes de canalisations en plastique pour les branchements et les collecteurs d'assainissements sans pression enterrés - Systèmes de canalisations à parois structurées en poly(chlorure de vinyle) non plastifié (PVC-U), polypropylène (PP) et polyéthylène (PE) - Partie 3 : Spécifications pour les tubes et raccords avec une surface interne lisse et une surface externe profilée et le système, de Type B </w:t>
            </w:r>
          </w:p>
        </w:tc>
      </w:tr>
      <w:tr w:rsidR="007876B6" w:rsidRPr="0043547B" w:rsidTr="00CB5DC0">
        <w:trPr>
          <w:trHeight w:val="315"/>
          <w:jc w:val="center"/>
        </w:trPr>
        <w:tc>
          <w:tcPr>
            <w:tcW w:w="1838" w:type="dxa"/>
            <w:tcBorders>
              <w:top w:val="single" w:sz="4" w:space="0" w:color="auto"/>
              <w:left w:val="single" w:sz="18" w:space="0" w:color="auto"/>
              <w:bottom w:val="single" w:sz="18" w:space="0" w:color="auto"/>
              <w:right w:val="single" w:sz="4" w:space="0" w:color="auto"/>
            </w:tcBorders>
            <w:shd w:val="clear" w:color="auto" w:fill="D9D9D9" w:themeFill="background1" w:themeFillShade="D9"/>
            <w:vAlign w:val="center"/>
          </w:tcPr>
          <w:p w:rsidR="007876B6" w:rsidRPr="0043547B" w:rsidRDefault="007876B6" w:rsidP="007876B6">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FFFFFF" w:themeFill="background1"/>
            <w:noWrap/>
            <w:vAlign w:val="bottom"/>
          </w:tcPr>
          <w:p w:rsidR="00903118" w:rsidRDefault="007876B6" w:rsidP="00903118">
            <w:pPr>
              <w:spacing w:after="0" w:line="240" w:lineRule="auto"/>
              <w:jc w:val="both"/>
              <w:rPr>
                <w:rFonts w:ascii="Calibri" w:hAnsi="Calibri" w:cs="Calibri"/>
              </w:rPr>
            </w:pPr>
            <w:r w:rsidRPr="00903118">
              <w:rPr>
                <w:rFonts w:ascii="Calibri" w:hAnsi="Calibri" w:cs="Calibri"/>
              </w:rPr>
              <w:t>La présente partie de l’EN 13476, conjointement avec l’EN 13476-1, spécifie les définitions et les</w:t>
            </w:r>
            <w:r w:rsidR="00903118">
              <w:rPr>
                <w:rFonts w:ascii="Calibri" w:hAnsi="Calibri" w:cs="Calibri"/>
              </w:rPr>
              <w:t xml:space="preserve"> </w:t>
            </w:r>
            <w:r w:rsidRPr="00903118">
              <w:rPr>
                <w:rFonts w:ascii="Calibri" w:hAnsi="Calibri" w:cs="Calibri"/>
              </w:rPr>
              <w:t>exigences pour les tubes, les raccords et le système pour des systèmes de canalisations à parois</w:t>
            </w:r>
            <w:r w:rsidR="00903118">
              <w:rPr>
                <w:rFonts w:ascii="Calibri" w:hAnsi="Calibri" w:cs="Calibri"/>
              </w:rPr>
              <w:t xml:space="preserve"> </w:t>
            </w:r>
            <w:r w:rsidRPr="00903118">
              <w:rPr>
                <w:rFonts w:ascii="Calibri" w:hAnsi="Calibri" w:cs="Calibri"/>
              </w:rPr>
              <w:t>structurées fabriqués à partir de poly(chlorure de vinyle) non plastifié (PVC-U), polypropylène (PP) et</w:t>
            </w:r>
            <w:r w:rsidR="00903118">
              <w:rPr>
                <w:rFonts w:ascii="Calibri" w:hAnsi="Calibri" w:cs="Calibri"/>
              </w:rPr>
              <w:t xml:space="preserve"> </w:t>
            </w:r>
            <w:r w:rsidRPr="00903118">
              <w:rPr>
                <w:rFonts w:ascii="Calibri" w:hAnsi="Calibri" w:cs="Calibri"/>
              </w:rPr>
              <w:t>polyéthylène (PE), destinés à être utilisés pour les systèmes de branchements et de collecteurs</w:t>
            </w:r>
            <w:r w:rsidR="00903118">
              <w:rPr>
                <w:rFonts w:ascii="Calibri" w:hAnsi="Calibri" w:cs="Calibri"/>
              </w:rPr>
              <w:t xml:space="preserve"> </w:t>
            </w:r>
            <w:r w:rsidRPr="00903118">
              <w:rPr>
                <w:rFonts w:ascii="Calibri" w:hAnsi="Calibri" w:cs="Calibri"/>
              </w:rPr>
              <w:t>d'assainissement enterrés sans pression.</w:t>
            </w:r>
            <w:r w:rsidRPr="00903118">
              <w:rPr>
                <w:rFonts w:ascii="Calibri" w:hAnsi="Calibri" w:cs="Calibri"/>
              </w:rPr>
              <w:br/>
              <w:t>La présente partie s'applique aux tubes et raccords avec une surface interne lisse et une surface externe</w:t>
            </w:r>
            <w:r w:rsidR="00903118">
              <w:rPr>
                <w:rFonts w:ascii="Calibri" w:hAnsi="Calibri" w:cs="Calibri"/>
              </w:rPr>
              <w:t xml:space="preserve"> </w:t>
            </w:r>
            <w:r w:rsidRPr="00903118">
              <w:rPr>
                <w:rFonts w:ascii="Calibri" w:hAnsi="Calibri" w:cs="Calibri"/>
              </w:rPr>
              <w:t>profilée, désignés de Type B.</w:t>
            </w:r>
          </w:p>
          <w:p w:rsidR="00903118" w:rsidRDefault="007876B6" w:rsidP="00903118">
            <w:pPr>
              <w:spacing w:after="0" w:line="240" w:lineRule="auto"/>
              <w:jc w:val="both"/>
              <w:rPr>
                <w:rFonts w:ascii="Calibri" w:hAnsi="Calibri" w:cs="Calibri"/>
              </w:rPr>
            </w:pPr>
            <w:r w:rsidRPr="00903118">
              <w:rPr>
                <w:rFonts w:ascii="Calibri" w:hAnsi="Calibri" w:cs="Calibri"/>
              </w:rPr>
              <w:t>Elle spécifie les méthodes d'essai et les paramètres d'essai ainsi que les exigences.</w:t>
            </w:r>
            <w:r w:rsidRPr="00903118">
              <w:rPr>
                <w:rFonts w:ascii="Calibri" w:hAnsi="Calibri" w:cs="Calibri"/>
              </w:rPr>
              <w:br/>
              <w:t>La présente partie s'applique aux :</w:t>
            </w:r>
          </w:p>
          <w:p w:rsidR="00903118" w:rsidRDefault="007876B6" w:rsidP="00903118">
            <w:pPr>
              <w:spacing w:after="0" w:line="240" w:lineRule="auto"/>
              <w:jc w:val="both"/>
              <w:rPr>
                <w:rFonts w:ascii="Calibri" w:hAnsi="Calibri" w:cs="Calibri"/>
              </w:rPr>
            </w:pPr>
            <w:r w:rsidRPr="00903118">
              <w:rPr>
                <w:rFonts w:ascii="Calibri" w:hAnsi="Calibri" w:cs="Calibri"/>
              </w:rPr>
              <w:t>a) tubes et raccords à parois structurées, destinés à être utilisés enterrés à l'extérieur de la structure</w:t>
            </w:r>
            <w:r w:rsidR="00903118">
              <w:rPr>
                <w:rFonts w:ascii="Calibri" w:hAnsi="Calibri" w:cs="Calibri"/>
              </w:rPr>
              <w:t xml:space="preserve"> </w:t>
            </w:r>
            <w:r w:rsidRPr="00903118">
              <w:rPr>
                <w:rFonts w:ascii="Calibri" w:hAnsi="Calibri" w:cs="Calibri"/>
              </w:rPr>
              <w:t>du bâtiment ; ce qui est reflété par le marquage des produits par « U » ;</w:t>
            </w:r>
          </w:p>
          <w:p w:rsidR="00903118" w:rsidRDefault="007876B6" w:rsidP="00903118">
            <w:pPr>
              <w:spacing w:after="0" w:line="240" w:lineRule="auto"/>
              <w:jc w:val="both"/>
              <w:rPr>
                <w:rFonts w:ascii="Calibri" w:hAnsi="Calibri" w:cs="Calibri"/>
              </w:rPr>
            </w:pPr>
            <w:r w:rsidRPr="00903118">
              <w:rPr>
                <w:rFonts w:ascii="Calibri" w:hAnsi="Calibri" w:cs="Calibri"/>
              </w:rPr>
              <w:t>b) tubes et raccords à parois structurées, destinés à être utilisés enterrés, aussi bien à l'extérieur</w:t>
            </w:r>
            <w:r w:rsidR="00903118">
              <w:rPr>
                <w:rFonts w:ascii="Calibri" w:hAnsi="Calibri" w:cs="Calibri"/>
              </w:rPr>
              <w:t xml:space="preserve"> </w:t>
            </w:r>
            <w:r w:rsidRPr="00903118">
              <w:rPr>
                <w:rFonts w:ascii="Calibri" w:hAnsi="Calibri" w:cs="Calibri"/>
              </w:rPr>
              <w:t>(code de la zone d’application « U ») qu’à l'intérieur de la structure des bâtiments (code de la zone</w:t>
            </w:r>
            <w:r w:rsidR="00903118">
              <w:rPr>
                <w:rFonts w:ascii="Calibri" w:hAnsi="Calibri" w:cs="Calibri"/>
              </w:rPr>
              <w:t xml:space="preserve"> </w:t>
            </w:r>
            <w:r w:rsidRPr="00903118">
              <w:rPr>
                <w:rFonts w:ascii="Calibri" w:hAnsi="Calibri" w:cs="Calibri"/>
              </w:rPr>
              <w:t>d’application « D ») ; ce qui est reflété par le marquage des produits par « UD ».</w:t>
            </w:r>
          </w:p>
          <w:p w:rsidR="007876B6" w:rsidRDefault="007876B6" w:rsidP="00903118">
            <w:pPr>
              <w:spacing w:after="0" w:line="240" w:lineRule="auto"/>
              <w:jc w:val="both"/>
              <w:rPr>
                <w:rFonts w:ascii="Calibri" w:hAnsi="Calibri" w:cs="Calibri"/>
                <w:i/>
                <w:iCs/>
                <w:sz w:val="20"/>
                <w:szCs w:val="20"/>
              </w:rPr>
            </w:pPr>
            <w:r w:rsidRPr="00903118">
              <w:rPr>
                <w:rFonts w:ascii="Calibri" w:hAnsi="Calibri" w:cs="Calibri"/>
              </w:rPr>
              <w:t>La présente partie s'applique aux tubes et raccords à parois structurées avec ou sans emboîture</w:t>
            </w:r>
            <w:r w:rsidR="00903118">
              <w:rPr>
                <w:rFonts w:ascii="Calibri" w:hAnsi="Calibri" w:cs="Calibri"/>
              </w:rPr>
              <w:t xml:space="preserve"> </w:t>
            </w:r>
            <w:r w:rsidRPr="00903118">
              <w:rPr>
                <w:rFonts w:ascii="Calibri" w:hAnsi="Calibri" w:cs="Calibri"/>
              </w:rPr>
              <w:t>intégrée qui comprennent des assemblages à bague d'étanchéité en élastomère ainsi que des</w:t>
            </w:r>
            <w:r w:rsidR="00903118">
              <w:rPr>
                <w:rFonts w:ascii="Calibri" w:hAnsi="Calibri" w:cs="Calibri"/>
              </w:rPr>
              <w:t xml:space="preserve"> </w:t>
            </w:r>
            <w:r w:rsidRPr="00903118">
              <w:rPr>
                <w:rFonts w:ascii="Calibri" w:hAnsi="Calibri" w:cs="Calibri"/>
              </w:rPr>
              <w:t>assemblages soudés et les assemblages obtenus par fusion.</w:t>
            </w:r>
            <w:r w:rsidRPr="00903118">
              <w:rPr>
                <w:rFonts w:ascii="Calibri" w:hAnsi="Calibri" w:cs="Calibri"/>
              </w:rPr>
              <w:br/>
              <w:t>La présente partie couvre une gamme de dimensions de tubes et de raccords, de matières, de</w:t>
            </w:r>
            <w:r w:rsidR="00903118">
              <w:rPr>
                <w:rFonts w:ascii="Calibri" w:hAnsi="Calibri" w:cs="Calibri"/>
              </w:rPr>
              <w:t xml:space="preserve"> </w:t>
            </w:r>
            <w:r w:rsidRPr="00903118">
              <w:rPr>
                <w:rFonts w:ascii="Calibri" w:hAnsi="Calibri" w:cs="Calibri"/>
              </w:rPr>
              <w:t>constructions de tube, de classes de rigidité, de classes d'application et de classes de tolérance et donne</w:t>
            </w:r>
            <w:r w:rsidR="00903118">
              <w:rPr>
                <w:rFonts w:ascii="Calibri" w:hAnsi="Calibri" w:cs="Calibri"/>
              </w:rPr>
              <w:t xml:space="preserve"> </w:t>
            </w:r>
            <w:r w:rsidRPr="00903118">
              <w:rPr>
                <w:rFonts w:ascii="Calibri" w:hAnsi="Calibri" w:cs="Calibri"/>
              </w:rPr>
              <w:t>des recommandations concernant les couleurs.</w:t>
            </w:r>
            <w:r w:rsidRPr="00903118">
              <w:rPr>
                <w:rFonts w:ascii="Calibri" w:hAnsi="Calibri" w:cs="Calibri"/>
              </w:rPr>
              <w:br/>
            </w:r>
            <w:r w:rsidRPr="00903118">
              <w:rPr>
                <w:rFonts w:ascii="Calibri" w:hAnsi="Calibri" w:cs="Calibri"/>
                <w:b/>
                <w:bCs/>
                <w:i/>
                <w:iCs/>
                <w:sz w:val="20"/>
                <w:szCs w:val="20"/>
              </w:rPr>
              <w:t>NOTE</w:t>
            </w:r>
            <w:r w:rsidR="00903118" w:rsidRPr="00903118">
              <w:rPr>
                <w:rFonts w:ascii="Calibri" w:hAnsi="Calibri" w:cs="Calibri"/>
                <w:i/>
                <w:iCs/>
                <w:sz w:val="20"/>
                <w:szCs w:val="20"/>
              </w:rPr>
              <w:t> :</w:t>
            </w:r>
            <w:r w:rsidRPr="00903118">
              <w:rPr>
                <w:rFonts w:ascii="Calibri" w:hAnsi="Calibri" w:cs="Calibri"/>
                <w:i/>
                <w:iCs/>
                <w:sz w:val="20"/>
                <w:szCs w:val="20"/>
              </w:rPr>
              <w:t xml:space="preserve"> Il est de la responsabilité de l'acheteur ou du concepteur du réseau de faire les sélections appropriées à</w:t>
            </w:r>
            <w:r w:rsidR="00903118" w:rsidRPr="00903118">
              <w:rPr>
                <w:rFonts w:ascii="Calibri" w:hAnsi="Calibri" w:cs="Calibri"/>
                <w:i/>
                <w:iCs/>
                <w:sz w:val="20"/>
                <w:szCs w:val="20"/>
              </w:rPr>
              <w:t xml:space="preserve"> </w:t>
            </w:r>
            <w:r w:rsidRPr="00903118">
              <w:rPr>
                <w:rFonts w:ascii="Calibri" w:hAnsi="Calibri" w:cs="Calibri"/>
                <w:i/>
                <w:iCs/>
                <w:sz w:val="20"/>
                <w:szCs w:val="20"/>
              </w:rPr>
              <w:t>partir de ces aspects, en tenant compte des exigences particulières et des règles nationales et des pratiques ou</w:t>
            </w:r>
            <w:r w:rsidR="00903118" w:rsidRPr="00903118">
              <w:rPr>
                <w:rFonts w:ascii="Calibri" w:hAnsi="Calibri" w:cs="Calibri"/>
                <w:i/>
                <w:iCs/>
                <w:sz w:val="20"/>
                <w:szCs w:val="20"/>
              </w:rPr>
              <w:t xml:space="preserve"> </w:t>
            </w:r>
            <w:r w:rsidRPr="00903118">
              <w:rPr>
                <w:rFonts w:ascii="Calibri" w:hAnsi="Calibri" w:cs="Calibri"/>
                <w:i/>
                <w:iCs/>
                <w:sz w:val="20"/>
                <w:szCs w:val="20"/>
              </w:rPr>
              <w:t>codes de pose pertinents.</w:t>
            </w:r>
          </w:p>
          <w:p w:rsidR="00903118" w:rsidRPr="00903118" w:rsidRDefault="00903118" w:rsidP="00903118">
            <w:pPr>
              <w:spacing w:after="0" w:line="240" w:lineRule="auto"/>
              <w:jc w:val="both"/>
              <w:rPr>
                <w:rFonts w:ascii="Calibri" w:hAnsi="Calibri" w:cs="Calibri"/>
              </w:rPr>
            </w:pP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tcPr>
          <w:p w:rsidR="00F7337A" w:rsidRPr="0043547B" w:rsidRDefault="00F7337A" w:rsidP="00111FA2">
            <w:pPr>
              <w:spacing w:after="0" w:line="240" w:lineRule="auto"/>
              <w:jc w:val="center"/>
              <w:rPr>
                <w:rFonts w:cstheme="minorHAnsi"/>
                <w:b/>
                <w:bCs/>
                <w:sz w:val="24"/>
                <w:szCs w:val="24"/>
              </w:rPr>
            </w:pPr>
            <w:r w:rsidRPr="0043547B">
              <w:rPr>
                <w:rFonts w:cstheme="minorHAnsi"/>
                <w:b/>
                <w:bCs/>
                <w:sz w:val="24"/>
                <w:szCs w:val="24"/>
              </w:rPr>
              <w:lastRenderedPageBreak/>
              <w:t>Code</w:t>
            </w:r>
            <w:r w:rsidR="00111FA2" w:rsidRPr="0043547B">
              <w:rPr>
                <w:rFonts w:cstheme="minorHAnsi"/>
                <w:b/>
                <w:bCs/>
                <w:sz w:val="24"/>
                <w:szCs w:val="24"/>
              </w:rPr>
              <w:t> :</w:t>
            </w:r>
          </w:p>
        </w:tc>
        <w:tc>
          <w:tcPr>
            <w:tcW w:w="7938" w:type="dxa"/>
            <w:tcBorders>
              <w:top w:val="single" w:sz="18" w:space="0" w:color="auto"/>
              <w:left w:val="single" w:sz="4" w:space="0" w:color="auto"/>
              <w:bottom w:val="single" w:sz="18" w:space="0" w:color="auto"/>
              <w:right w:val="single" w:sz="18" w:space="0" w:color="auto"/>
            </w:tcBorders>
            <w:shd w:val="clear" w:color="auto" w:fill="B4CD81"/>
            <w:noWrap/>
            <w:vAlign w:val="center"/>
          </w:tcPr>
          <w:p w:rsidR="00F7337A" w:rsidRPr="0043547B" w:rsidRDefault="00F7337A" w:rsidP="00111FA2">
            <w:pPr>
              <w:spacing w:after="0" w:line="240" w:lineRule="auto"/>
              <w:jc w:val="center"/>
              <w:rPr>
                <w:rFonts w:cstheme="minorHAnsi"/>
                <w:b/>
                <w:bCs/>
                <w:sz w:val="24"/>
                <w:szCs w:val="24"/>
              </w:rPr>
            </w:pPr>
            <w:r w:rsidRPr="0043547B">
              <w:rPr>
                <w:rFonts w:cstheme="minorHAnsi"/>
                <w:b/>
                <w:bCs/>
                <w:sz w:val="24"/>
                <w:szCs w:val="24"/>
              </w:rPr>
              <w:t>NM EN 13476-2</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tcPr>
          <w:p w:rsidR="00F7337A" w:rsidRPr="0043547B" w:rsidRDefault="00F7337A" w:rsidP="00111FA2">
            <w:pPr>
              <w:spacing w:after="0" w:line="240" w:lineRule="auto"/>
              <w:jc w:val="center"/>
              <w:rPr>
                <w:rFonts w:cstheme="minorHAnsi"/>
                <w:b/>
                <w:bCs/>
                <w:sz w:val="24"/>
                <w:szCs w:val="24"/>
              </w:rPr>
            </w:pPr>
            <w:r w:rsidRPr="0043547B">
              <w:rPr>
                <w:rFonts w:cstheme="minorHAnsi"/>
                <w:b/>
                <w:bCs/>
                <w:sz w:val="24"/>
                <w:szCs w:val="24"/>
              </w:rPr>
              <w:t>Equivalence</w:t>
            </w:r>
            <w:r w:rsidR="00111FA2" w:rsidRPr="0043547B">
              <w:rPr>
                <w:rFonts w:cstheme="minorHAnsi"/>
                <w:b/>
                <w:bCs/>
                <w:sz w:val="24"/>
                <w:szCs w:val="24"/>
              </w:rPr>
              <w:t> :</w:t>
            </w:r>
          </w:p>
        </w:tc>
        <w:tc>
          <w:tcPr>
            <w:tcW w:w="7938" w:type="dxa"/>
            <w:tcBorders>
              <w:top w:val="single" w:sz="18" w:space="0" w:color="auto"/>
              <w:left w:val="single" w:sz="4" w:space="0" w:color="auto"/>
              <w:bottom w:val="single" w:sz="4" w:space="0" w:color="auto"/>
              <w:right w:val="single" w:sz="18" w:space="0" w:color="auto"/>
            </w:tcBorders>
            <w:shd w:val="clear" w:color="auto" w:fill="FFFF99"/>
            <w:noWrap/>
            <w:vAlign w:val="center"/>
          </w:tcPr>
          <w:p w:rsidR="00F7337A" w:rsidRPr="0043547B" w:rsidRDefault="00F7337A" w:rsidP="00111FA2">
            <w:pPr>
              <w:spacing w:after="0" w:line="240" w:lineRule="auto"/>
              <w:jc w:val="center"/>
              <w:rPr>
                <w:rFonts w:cstheme="minorHAnsi"/>
                <w:b/>
                <w:bCs/>
                <w:sz w:val="24"/>
                <w:szCs w:val="24"/>
              </w:rPr>
            </w:pPr>
            <w:r w:rsidRPr="0043547B">
              <w:rPr>
                <w:rFonts w:cstheme="minorHAnsi"/>
                <w:b/>
                <w:bCs/>
                <w:sz w:val="24"/>
                <w:szCs w:val="24"/>
              </w:rPr>
              <w:t>EN 13476-2</w:t>
            </w:r>
          </w:p>
        </w:tc>
      </w:tr>
      <w:tr w:rsidR="0043547B" w:rsidRPr="0043547B" w:rsidTr="00CB5DC0">
        <w:trPr>
          <w:trHeight w:val="315"/>
          <w:jc w:val="center"/>
        </w:trPr>
        <w:tc>
          <w:tcPr>
            <w:tcW w:w="1838" w:type="dxa"/>
            <w:tcBorders>
              <w:top w:val="single" w:sz="4" w:space="0" w:color="auto"/>
              <w:left w:val="single" w:sz="18" w:space="0" w:color="auto"/>
              <w:bottom w:val="single" w:sz="4" w:space="0" w:color="auto"/>
              <w:right w:val="single" w:sz="4" w:space="0" w:color="auto"/>
            </w:tcBorders>
            <w:shd w:val="clear" w:color="auto" w:fill="8DB3E2" w:themeFill="text2" w:themeFillTint="66"/>
            <w:vAlign w:val="center"/>
          </w:tcPr>
          <w:p w:rsidR="00F7337A" w:rsidRPr="0043547B" w:rsidRDefault="00F7337A" w:rsidP="00111FA2">
            <w:pPr>
              <w:spacing w:after="0" w:line="240" w:lineRule="auto"/>
              <w:jc w:val="center"/>
              <w:rPr>
                <w:rFonts w:cstheme="minorHAnsi"/>
                <w:b/>
                <w:bCs/>
                <w:sz w:val="24"/>
                <w:szCs w:val="24"/>
              </w:rPr>
            </w:pPr>
            <w:r w:rsidRPr="0043547B">
              <w:rPr>
                <w:rFonts w:cstheme="minorHAnsi"/>
                <w:b/>
                <w:bCs/>
                <w:sz w:val="24"/>
                <w:szCs w:val="24"/>
              </w:rPr>
              <w:t>Intitulé</w:t>
            </w:r>
            <w:r w:rsidR="00111FA2" w:rsidRPr="0043547B">
              <w:rPr>
                <w:rFonts w:cstheme="minorHAnsi"/>
                <w:b/>
                <w:bCs/>
                <w:sz w:val="24"/>
                <w:szCs w:val="24"/>
              </w:rPr>
              <w:t> :</w:t>
            </w:r>
          </w:p>
        </w:tc>
        <w:tc>
          <w:tcPr>
            <w:tcW w:w="7938" w:type="dxa"/>
            <w:tcBorders>
              <w:top w:val="single" w:sz="4" w:space="0" w:color="auto"/>
              <w:left w:val="single" w:sz="4" w:space="0" w:color="auto"/>
              <w:bottom w:val="single" w:sz="4" w:space="0" w:color="auto"/>
              <w:right w:val="single" w:sz="18" w:space="0" w:color="auto"/>
            </w:tcBorders>
            <w:shd w:val="clear" w:color="auto" w:fill="FFFFFF" w:themeFill="background1"/>
            <w:noWrap/>
            <w:vAlign w:val="center"/>
          </w:tcPr>
          <w:p w:rsidR="00F7337A" w:rsidRPr="0043547B" w:rsidRDefault="00F7337A" w:rsidP="009B2690">
            <w:pPr>
              <w:spacing w:after="0" w:line="240" w:lineRule="auto"/>
              <w:jc w:val="both"/>
              <w:rPr>
                <w:rFonts w:cstheme="minorHAnsi"/>
                <w:sz w:val="24"/>
                <w:szCs w:val="24"/>
              </w:rPr>
            </w:pPr>
            <w:r w:rsidRPr="0043547B">
              <w:rPr>
                <w:rFonts w:cstheme="minorHAnsi"/>
                <w:sz w:val="24"/>
                <w:szCs w:val="24"/>
              </w:rPr>
              <w:t xml:space="preserve">Systèmes de canalisations en plastiques pour les branchements et les collecteurs d'assainissements sans pression enterrés - Systèmes de canalisation à parois structurées en poly(chlorure de vinyle) non plastifié (PVC-U), polypropylène (PP) et polyéthylène (PE) - Spécifications pour les tubes et raccords avec une surface interne et externe lisse et le système, de Type A </w:t>
            </w:r>
          </w:p>
        </w:tc>
      </w:tr>
      <w:tr w:rsidR="0043547B" w:rsidRPr="0043547B" w:rsidTr="00CB5DC0">
        <w:trPr>
          <w:trHeight w:val="315"/>
          <w:jc w:val="center"/>
        </w:trPr>
        <w:tc>
          <w:tcPr>
            <w:tcW w:w="1838" w:type="dxa"/>
            <w:tcBorders>
              <w:top w:val="single" w:sz="4" w:space="0" w:color="auto"/>
              <w:left w:val="single" w:sz="18" w:space="0" w:color="auto"/>
              <w:bottom w:val="single" w:sz="18" w:space="0" w:color="auto"/>
              <w:right w:val="single" w:sz="4" w:space="0" w:color="auto"/>
            </w:tcBorders>
            <w:shd w:val="clear" w:color="auto" w:fill="D9D9D9" w:themeFill="background1" w:themeFillShade="D9"/>
            <w:vAlign w:val="center"/>
          </w:tcPr>
          <w:p w:rsidR="00F7337A" w:rsidRPr="0043547B" w:rsidRDefault="00F7337A" w:rsidP="00111FA2">
            <w:pPr>
              <w:spacing w:after="0" w:line="240" w:lineRule="auto"/>
              <w:jc w:val="center"/>
              <w:rPr>
                <w:rFonts w:cstheme="minorHAnsi"/>
                <w:b/>
                <w:bCs/>
                <w:sz w:val="24"/>
                <w:szCs w:val="24"/>
              </w:rPr>
            </w:pPr>
            <w:r w:rsidRPr="0043547B">
              <w:rPr>
                <w:rFonts w:cstheme="minorHAnsi"/>
                <w:b/>
                <w:bCs/>
                <w:sz w:val="24"/>
                <w:szCs w:val="24"/>
              </w:rPr>
              <w:t>Domaine d’application</w:t>
            </w:r>
            <w:r w:rsidR="00111FA2" w:rsidRPr="0043547B">
              <w:rPr>
                <w:rFonts w:cstheme="minorHAnsi"/>
                <w:b/>
                <w:bCs/>
                <w:sz w:val="24"/>
                <w:szCs w:val="24"/>
              </w:rPr>
              <w:t> :</w:t>
            </w:r>
          </w:p>
        </w:tc>
        <w:tc>
          <w:tcPr>
            <w:tcW w:w="7938" w:type="dxa"/>
            <w:tcBorders>
              <w:top w:val="single" w:sz="4" w:space="0" w:color="auto"/>
              <w:left w:val="single" w:sz="4" w:space="0" w:color="auto"/>
              <w:bottom w:val="single" w:sz="18" w:space="0" w:color="auto"/>
              <w:right w:val="single" w:sz="18" w:space="0" w:color="auto"/>
            </w:tcBorders>
            <w:shd w:val="clear" w:color="auto" w:fill="FFFFFF" w:themeFill="background1"/>
            <w:noWrap/>
            <w:vAlign w:val="bottom"/>
          </w:tcPr>
          <w:p w:rsidR="00111FA2" w:rsidRPr="0043547B" w:rsidRDefault="00F7337A" w:rsidP="00111FA2">
            <w:pPr>
              <w:spacing w:after="0" w:line="240" w:lineRule="auto"/>
              <w:jc w:val="both"/>
              <w:rPr>
                <w:rFonts w:cstheme="minorHAnsi"/>
                <w:sz w:val="24"/>
                <w:szCs w:val="24"/>
              </w:rPr>
            </w:pPr>
            <w:r w:rsidRPr="0043547B">
              <w:rPr>
                <w:rFonts w:cstheme="minorHAnsi"/>
                <w:sz w:val="24"/>
                <w:szCs w:val="24"/>
              </w:rPr>
              <w:t>La présente partie de l'EN 13476, conjointement avec l’EN 13476-1, spécifie les définitions et les exigences pour les tubes, les raccords et le système de canalisations fabriqués à partir de poly(chlorure de vinyle) non plastifié (PVC-U), polypropylène (PP) et polyéthylène (PE), destinés à être utilisés en tant que systèmes de canalisations à parois structurées dans le domaine des branchements et des collecteurs d'assainissement enterrés sans pression.</w:t>
            </w:r>
          </w:p>
          <w:p w:rsidR="00111FA2" w:rsidRPr="0043547B" w:rsidRDefault="00F7337A" w:rsidP="00111FA2">
            <w:pPr>
              <w:spacing w:after="0" w:line="240" w:lineRule="auto"/>
              <w:jc w:val="both"/>
              <w:rPr>
                <w:rFonts w:cstheme="minorHAnsi"/>
                <w:sz w:val="24"/>
                <w:szCs w:val="24"/>
              </w:rPr>
            </w:pPr>
            <w:r w:rsidRPr="0043547B">
              <w:rPr>
                <w:rFonts w:cstheme="minorHAnsi"/>
                <w:sz w:val="24"/>
                <w:szCs w:val="24"/>
              </w:rPr>
              <w:t>La présente partie s'applique aux tubes et raccords avec une surface interne et externe lisse, désignés de Type A.</w:t>
            </w:r>
          </w:p>
          <w:p w:rsidR="00111FA2" w:rsidRPr="0043547B" w:rsidRDefault="00F7337A" w:rsidP="00111FA2">
            <w:pPr>
              <w:spacing w:after="0" w:line="240" w:lineRule="auto"/>
              <w:jc w:val="both"/>
              <w:rPr>
                <w:rFonts w:cstheme="minorHAnsi"/>
                <w:sz w:val="24"/>
                <w:szCs w:val="24"/>
              </w:rPr>
            </w:pPr>
            <w:r w:rsidRPr="0043547B">
              <w:rPr>
                <w:rFonts w:cstheme="minorHAnsi"/>
                <w:sz w:val="24"/>
                <w:szCs w:val="24"/>
              </w:rPr>
              <w:t>Elle spécifie les méthodes d'essai et les paramètres d'essai ainsi que les exigences.</w:t>
            </w:r>
            <w:r w:rsidRPr="0043547B">
              <w:rPr>
                <w:rFonts w:cstheme="minorHAnsi"/>
                <w:sz w:val="24"/>
                <w:szCs w:val="24"/>
              </w:rPr>
              <w:br/>
              <w:t>La présente partie s'applique aux :</w:t>
            </w:r>
          </w:p>
          <w:p w:rsidR="00111FA2" w:rsidRDefault="00F7337A" w:rsidP="00550D4D">
            <w:pPr>
              <w:spacing w:after="0" w:line="240" w:lineRule="auto"/>
              <w:jc w:val="both"/>
              <w:rPr>
                <w:rFonts w:cstheme="minorHAnsi"/>
                <w:sz w:val="24"/>
                <w:szCs w:val="24"/>
              </w:rPr>
            </w:pPr>
            <w:r w:rsidRPr="0043547B">
              <w:rPr>
                <w:rFonts w:cstheme="minorHAnsi"/>
                <w:sz w:val="24"/>
                <w:szCs w:val="24"/>
              </w:rPr>
              <w:t>a) tubes et raccords à parois structurées, destinés à être utilisés enterrés à l'extérieur du bâtiment ; ce qui est reflété par le marquage des produits par «U»;</w:t>
            </w:r>
          </w:p>
          <w:p w:rsidR="00111FA2" w:rsidRPr="0043547B" w:rsidRDefault="00F7337A" w:rsidP="00111FA2">
            <w:pPr>
              <w:spacing w:after="0" w:line="240" w:lineRule="auto"/>
              <w:jc w:val="both"/>
              <w:rPr>
                <w:rFonts w:cstheme="minorHAnsi"/>
                <w:sz w:val="24"/>
                <w:szCs w:val="24"/>
              </w:rPr>
            </w:pPr>
            <w:r w:rsidRPr="0043547B">
              <w:rPr>
                <w:rFonts w:cstheme="minorHAnsi"/>
                <w:sz w:val="24"/>
                <w:szCs w:val="24"/>
              </w:rPr>
              <w:t>b) tubes et raccords à parois structurées, destinés à être utilisés enterrés, aussi bien à l'extérieur (code de la zone d’application «U») de la structure des bâtiments, qu’à l'intérieur (code de la zone d’application «D») ; ce qui est reflété par le marquage des produits par «UD».</w:t>
            </w:r>
          </w:p>
          <w:p w:rsidR="00550D4D" w:rsidRDefault="00F7337A" w:rsidP="00EA697D">
            <w:pPr>
              <w:spacing w:after="0" w:line="240" w:lineRule="auto"/>
              <w:jc w:val="both"/>
              <w:rPr>
                <w:rFonts w:cstheme="minorHAnsi"/>
                <w:sz w:val="24"/>
                <w:szCs w:val="24"/>
              </w:rPr>
            </w:pPr>
            <w:r w:rsidRPr="0043547B">
              <w:rPr>
                <w:rFonts w:cstheme="minorHAnsi"/>
                <w:sz w:val="24"/>
                <w:szCs w:val="24"/>
              </w:rPr>
              <w:t>La présente partie s'applique aux tubes et raccords à parois structurées qui comprennent des assemblages à bague d'étanchéité en élastomère avec ou sans emboîture intégrée ainsi que des assemblages soudés et les assemblages obtenus par fusion.</w:t>
            </w:r>
          </w:p>
          <w:p w:rsidR="00111FA2" w:rsidRPr="00DA0443" w:rsidRDefault="00F7337A" w:rsidP="00EA697D">
            <w:pPr>
              <w:spacing w:after="0" w:line="240" w:lineRule="auto"/>
              <w:jc w:val="both"/>
              <w:rPr>
                <w:rFonts w:cstheme="minorHAnsi"/>
                <w:i/>
                <w:iCs/>
                <w:sz w:val="20"/>
                <w:szCs w:val="20"/>
              </w:rPr>
            </w:pPr>
            <w:r w:rsidRPr="0043547B">
              <w:rPr>
                <w:rFonts w:cstheme="minorHAnsi"/>
                <w:sz w:val="24"/>
                <w:szCs w:val="24"/>
              </w:rPr>
              <w:t>La présente partie couvre une gamme de dimensions de tubes et de raccords, de matières, de constructions de tube, de classes de rigidité, de classes d'application et de classes de tolérance et donne des recommandations concernant les couleurs.</w:t>
            </w:r>
            <w:r w:rsidRPr="0043547B">
              <w:rPr>
                <w:rFonts w:cstheme="minorHAnsi"/>
                <w:sz w:val="24"/>
                <w:szCs w:val="24"/>
              </w:rPr>
              <w:br/>
            </w:r>
            <w:r w:rsidRPr="00DA0443">
              <w:rPr>
                <w:rFonts w:cstheme="minorHAnsi"/>
                <w:b/>
                <w:bCs/>
                <w:i/>
                <w:iCs/>
                <w:sz w:val="20"/>
                <w:szCs w:val="20"/>
              </w:rPr>
              <w:t>NOTE 1</w:t>
            </w:r>
            <w:r w:rsidR="00EA697D" w:rsidRPr="00DA0443">
              <w:rPr>
                <w:rFonts w:cstheme="minorHAnsi"/>
                <w:b/>
                <w:bCs/>
                <w:i/>
                <w:iCs/>
                <w:sz w:val="20"/>
                <w:szCs w:val="20"/>
              </w:rPr>
              <w:t> :</w:t>
            </w:r>
            <w:r w:rsidR="00111FA2" w:rsidRPr="00DA0443">
              <w:rPr>
                <w:rFonts w:cstheme="minorHAnsi"/>
                <w:i/>
                <w:iCs/>
                <w:sz w:val="20"/>
                <w:szCs w:val="20"/>
              </w:rPr>
              <w:t xml:space="preserve"> </w:t>
            </w:r>
            <w:r w:rsidRPr="00DA0443">
              <w:rPr>
                <w:rFonts w:cstheme="minorHAnsi"/>
                <w:i/>
                <w:iCs/>
                <w:sz w:val="20"/>
                <w:szCs w:val="20"/>
              </w:rPr>
              <w:t>Il est de la responsabilité de l'acheteur ou du prescripteur de faire les sélections appropriées à partir de ces aspects, en tenant compte des exigences particulières et des règles nationales concernées et des pratiques ou codes de pose.</w:t>
            </w:r>
          </w:p>
          <w:p w:rsidR="00B82BEC" w:rsidRPr="0043547B" w:rsidRDefault="00F7337A" w:rsidP="00DA0443">
            <w:pPr>
              <w:spacing w:after="0" w:line="240" w:lineRule="auto"/>
              <w:jc w:val="both"/>
              <w:rPr>
                <w:rFonts w:cstheme="minorHAnsi"/>
                <w:sz w:val="24"/>
                <w:szCs w:val="24"/>
              </w:rPr>
            </w:pPr>
            <w:r w:rsidRPr="00DA0443">
              <w:rPr>
                <w:rFonts w:cstheme="minorHAnsi"/>
                <w:b/>
                <w:bCs/>
                <w:i/>
                <w:iCs/>
                <w:sz w:val="20"/>
                <w:szCs w:val="20"/>
              </w:rPr>
              <w:t>NOTE 2</w:t>
            </w:r>
            <w:r w:rsidR="00EA697D" w:rsidRPr="00DA0443">
              <w:rPr>
                <w:rFonts w:cstheme="minorHAnsi"/>
                <w:b/>
                <w:bCs/>
                <w:i/>
                <w:iCs/>
                <w:sz w:val="20"/>
                <w:szCs w:val="20"/>
              </w:rPr>
              <w:t> :</w:t>
            </w:r>
            <w:r w:rsidR="00111FA2" w:rsidRPr="00DA0443">
              <w:rPr>
                <w:rFonts w:cstheme="minorHAnsi"/>
                <w:i/>
                <w:iCs/>
                <w:sz w:val="20"/>
                <w:szCs w:val="20"/>
              </w:rPr>
              <w:t xml:space="preserve"> </w:t>
            </w:r>
            <w:r w:rsidRPr="00DA0443">
              <w:rPr>
                <w:rFonts w:cstheme="minorHAnsi"/>
                <w:i/>
                <w:iCs/>
                <w:sz w:val="20"/>
                <w:szCs w:val="20"/>
              </w:rPr>
              <w:t>Pour les dimensions plus grandes que DN 1200 OD/ID, le présent document peut être appliqué en ce qui concerne l'aspect, la couleur, les caractéristiques physiques et mécaniques, et aussi bien pour les exigences de performance.</w:t>
            </w:r>
          </w:p>
        </w:tc>
      </w:tr>
      <w:tr w:rsidR="00247086" w:rsidRPr="0043547B" w:rsidTr="00B82BEC">
        <w:trPr>
          <w:trHeight w:val="315"/>
          <w:jc w:val="center"/>
        </w:trPr>
        <w:tc>
          <w:tcPr>
            <w:tcW w:w="1838" w:type="dxa"/>
            <w:tcBorders>
              <w:top w:val="single" w:sz="4" w:space="0" w:color="auto"/>
              <w:left w:val="single" w:sz="18" w:space="0" w:color="auto"/>
              <w:bottom w:val="single" w:sz="18" w:space="0" w:color="auto"/>
              <w:right w:val="single" w:sz="4" w:space="0" w:color="auto"/>
            </w:tcBorders>
            <w:shd w:val="clear" w:color="auto" w:fill="C2D69B" w:themeFill="accent3" w:themeFillTint="99"/>
            <w:vAlign w:val="center"/>
          </w:tcPr>
          <w:p w:rsidR="00247086" w:rsidRDefault="00247086" w:rsidP="00B82BEC">
            <w:pPr>
              <w:spacing w:after="0" w:line="240" w:lineRule="auto"/>
              <w:jc w:val="center"/>
              <w:rPr>
                <w:rFonts w:ascii="Calibri" w:hAnsi="Calibri" w:cs="Calibri"/>
                <w:b/>
                <w:bCs/>
              </w:rPr>
            </w:pPr>
            <w:r>
              <w:rPr>
                <w:rFonts w:ascii="Calibri" w:hAnsi="Calibri" w:cs="Calibri"/>
                <w:b/>
                <w:bCs/>
              </w:rPr>
              <w:t>Code</w:t>
            </w:r>
          </w:p>
        </w:tc>
        <w:tc>
          <w:tcPr>
            <w:tcW w:w="7938" w:type="dxa"/>
            <w:tcBorders>
              <w:top w:val="single" w:sz="4" w:space="0" w:color="auto"/>
              <w:left w:val="single" w:sz="4" w:space="0" w:color="auto"/>
              <w:bottom w:val="single" w:sz="18" w:space="0" w:color="auto"/>
              <w:right w:val="single" w:sz="18" w:space="0" w:color="auto"/>
            </w:tcBorders>
            <w:shd w:val="clear" w:color="auto" w:fill="C2D69B" w:themeFill="accent3" w:themeFillTint="99"/>
            <w:noWrap/>
            <w:vAlign w:val="center"/>
          </w:tcPr>
          <w:p w:rsidR="00247086" w:rsidRPr="00B82BEC" w:rsidRDefault="00247086" w:rsidP="00B82BEC">
            <w:pPr>
              <w:spacing w:after="0" w:line="240" w:lineRule="auto"/>
              <w:jc w:val="center"/>
              <w:rPr>
                <w:rFonts w:ascii="Calibri" w:hAnsi="Calibri" w:cs="Calibri"/>
                <w:b/>
                <w:bCs/>
                <w:color w:val="000000"/>
                <w:sz w:val="24"/>
                <w:szCs w:val="24"/>
              </w:rPr>
            </w:pPr>
            <w:r w:rsidRPr="00B82BEC">
              <w:rPr>
                <w:rFonts w:ascii="Calibri" w:hAnsi="Calibri" w:cs="Calibri"/>
                <w:b/>
                <w:bCs/>
                <w:color w:val="000000"/>
                <w:sz w:val="24"/>
                <w:szCs w:val="24"/>
              </w:rPr>
              <w:t>NM EN 13997</w:t>
            </w:r>
          </w:p>
        </w:tc>
      </w:tr>
      <w:tr w:rsidR="00247086" w:rsidRPr="0043547B" w:rsidTr="00B82BEC">
        <w:trPr>
          <w:trHeight w:val="315"/>
          <w:jc w:val="center"/>
        </w:trPr>
        <w:tc>
          <w:tcPr>
            <w:tcW w:w="1838" w:type="dxa"/>
            <w:tcBorders>
              <w:top w:val="single" w:sz="4" w:space="0" w:color="auto"/>
              <w:left w:val="single" w:sz="18" w:space="0" w:color="auto"/>
              <w:bottom w:val="single" w:sz="18" w:space="0" w:color="auto"/>
              <w:right w:val="single" w:sz="4" w:space="0" w:color="auto"/>
            </w:tcBorders>
            <w:shd w:val="clear" w:color="auto" w:fill="FFFF99"/>
            <w:vAlign w:val="center"/>
          </w:tcPr>
          <w:p w:rsidR="00247086" w:rsidRDefault="00247086" w:rsidP="00B82BEC">
            <w:pPr>
              <w:spacing w:after="0" w:line="240" w:lineRule="auto"/>
              <w:jc w:val="center"/>
              <w:rPr>
                <w:rFonts w:ascii="Calibri" w:hAnsi="Calibri" w:cs="Calibri"/>
                <w:b/>
                <w:bCs/>
                <w:sz w:val="24"/>
                <w:szCs w:val="24"/>
              </w:rPr>
            </w:pPr>
            <w:r>
              <w:rPr>
                <w:rFonts w:ascii="Calibri" w:hAnsi="Calibri" w:cs="Calibri"/>
                <w:b/>
                <w:bCs/>
              </w:rPr>
              <w:t>Equivalence</w:t>
            </w:r>
          </w:p>
        </w:tc>
        <w:tc>
          <w:tcPr>
            <w:tcW w:w="7938" w:type="dxa"/>
            <w:tcBorders>
              <w:top w:val="single" w:sz="4" w:space="0" w:color="auto"/>
              <w:left w:val="single" w:sz="4" w:space="0" w:color="auto"/>
              <w:bottom w:val="single" w:sz="18" w:space="0" w:color="auto"/>
              <w:right w:val="single" w:sz="18" w:space="0" w:color="auto"/>
            </w:tcBorders>
            <w:shd w:val="clear" w:color="auto" w:fill="FFFF99"/>
            <w:noWrap/>
            <w:vAlign w:val="center"/>
          </w:tcPr>
          <w:p w:rsidR="00247086" w:rsidRPr="00B82BEC" w:rsidRDefault="00247086" w:rsidP="00B82BEC">
            <w:pPr>
              <w:spacing w:after="0" w:line="240" w:lineRule="auto"/>
              <w:jc w:val="center"/>
              <w:rPr>
                <w:rFonts w:ascii="Calibri" w:hAnsi="Calibri" w:cs="Calibri"/>
                <w:b/>
                <w:bCs/>
                <w:color w:val="000000"/>
                <w:sz w:val="24"/>
                <w:szCs w:val="24"/>
              </w:rPr>
            </w:pPr>
            <w:r w:rsidRPr="00B82BEC">
              <w:rPr>
                <w:rFonts w:ascii="Calibri" w:hAnsi="Calibri" w:cs="Calibri"/>
                <w:b/>
                <w:bCs/>
                <w:color w:val="000000"/>
                <w:sz w:val="24"/>
                <w:szCs w:val="24"/>
              </w:rPr>
              <w:t>EN 13997</w:t>
            </w:r>
          </w:p>
        </w:tc>
      </w:tr>
      <w:tr w:rsidR="00247086" w:rsidRPr="0043547B" w:rsidTr="00B82BEC">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95B3D7" w:themeFill="accent1" w:themeFillTint="99"/>
            <w:vAlign w:val="center"/>
          </w:tcPr>
          <w:p w:rsidR="00247086" w:rsidRDefault="00247086" w:rsidP="00B82BEC">
            <w:pPr>
              <w:spacing w:after="0" w:line="240" w:lineRule="auto"/>
              <w:jc w:val="center"/>
              <w:rPr>
                <w:rFonts w:ascii="Calibri" w:hAnsi="Calibri" w:cs="Calibri"/>
                <w:b/>
                <w:bCs/>
                <w:sz w:val="24"/>
                <w:szCs w:val="24"/>
              </w:rPr>
            </w:pPr>
            <w:r>
              <w:rPr>
                <w:rFonts w:ascii="Calibri" w:hAnsi="Calibri" w:cs="Calibri"/>
                <w:b/>
                <w:bCs/>
              </w:rPr>
              <w:t>Intitulé</w:t>
            </w:r>
          </w:p>
        </w:tc>
        <w:tc>
          <w:tcPr>
            <w:tcW w:w="7938" w:type="dxa"/>
            <w:tcBorders>
              <w:top w:val="single" w:sz="18" w:space="0" w:color="auto"/>
              <w:left w:val="single" w:sz="4" w:space="0" w:color="auto"/>
              <w:bottom w:val="single" w:sz="4" w:space="0" w:color="auto"/>
              <w:right w:val="single" w:sz="18" w:space="0" w:color="auto"/>
            </w:tcBorders>
            <w:shd w:val="clear" w:color="auto" w:fill="FFFFFF" w:themeFill="background1"/>
            <w:noWrap/>
            <w:vAlign w:val="center"/>
          </w:tcPr>
          <w:p w:rsidR="00247086" w:rsidRPr="00B82BEC" w:rsidRDefault="00247086" w:rsidP="001327D9">
            <w:pPr>
              <w:spacing w:after="0" w:line="240" w:lineRule="auto"/>
              <w:jc w:val="both"/>
              <w:rPr>
                <w:rFonts w:ascii="Calibri" w:hAnsi="Calibri" w:cs="Calibri"/>
                <w:color w:val="000000"/>
              </w:rPr>
            </w:pPr>
            <w:r w:rsidRPr="00B82BEC">
              <w:rPr>
                <w:rFonts w:ascii="Calibri" w:hAnsi="Calibri" w:cs="Calibri"/>
                <w:color w:val="000000"/>
              </w:rPr>
              <w:t xml:space="preserve">Techniques d'irrigation - Accessoires de raccord et de commande pour usage dans les systèmes d'irrigation - Caractéristiques techniques et essais </w:t>
            </w:r>
          </w:p>
        </w:tc>
      </w:tr>
      <w:tr w:rsidR="00247086" w:rsidRPr="0043547B" w:rsidTr="00B82BEC">
        <w:trPr>
          <w:trHeight w:val="315"/>
          <w:jc w:val="center"/>
        </w:trPr>
        <w:tc>
          <w:tcPr>
            <w:tcW w:w="1838" w:type="dxa"/>
            <w:tcBorders>
              <w:top w:val="single" w:sz="4" w:space="0" w:color="auto"/>
              <w:left w:val="single" w:sz="18" w:space="0" w:color="auto"/>
              <w:bottom w:val="single" w:sz="18" w:space="0" w:color="auto"/>
              <w:right w:val="single" w:sz="4" w:space="0" w:color="auto"/>
            </w:tcBorders>
            <w:shd w:val="clear" w:color="auto" w:fill="D9D9D9" w:themeFill="background1" w:themeFillShade="D9"/>
            <w:vAlign w:val="center"/>
          </w:tcPr>
          <w:p w:rsidR="00247086" w:rsidRDefault="00247086" w:rsidP="00B82BEC">
            <w:pPr>
              <w:spacing w:after="0" w:line="240" w:lineRule="auto"/>
              <w:jc w:val="center"/>
              <w:rPr>
                <w:rFonts w:ascii="Calibri" w:hAnsi="Calibri" w:cs="Calibri"/>
                <w:b/>
                <w:bCs/>
                <w:sz w:val="24"/>
                <w:szCs w:val="24"/>
              </w:rPr>
            </w:pPr>
            <w:r>
              <w:rPr>
                <w:rFonts w:ascii="Calibri" w:hAnsi="Calibri" w:cs="Calibri"/>
                <w:b/>
                <w:bCs/>
              </w:rPr>
              <w:t>Domaine d’application</w:t>
            </w:r>
          </w:p>
        </w:tc>
        <w:tc>
          <w:tcPr>
            <w:tcW w:w="7938" w:type="dxa"/>
            <w:tcBorders>
              <w:top w:val="single" w:sz="4" w:space="0" w:color="auto"/>
              <w:left w:val="single" w:sz="4" w:space="0" w:color="auto"/>
              <w:bottom w:val="single" w:sz="18" w:space="0" w:color="auto"/>
              <w:right w:val="single" w:sz="18" w:space="0" w:color="auto"/>
            </w:tcBorders>
            <w:shd w:val="clear" w:color="auto" w:fill="FFFFFF" w:themeFill="background1"/>
            <w:noWrap/>
            <w:vAlign w:val="bottom"/>
          </w:tcPr>
          <w:p w:rsidR="00B82BEC" w:rsidRPr="00B82BEC" w:rsidRDefault="00247086" w:rsidP="00DA0443">
            <w:pPr>
              <w:spacing w:after="0" w:line="240" w:lineRule="auto"/>
              <w:jc w:val="both"/>
              <w:rPr>
                <w:rFonts w:ascii="Calibri" w:hAnsi="Calibri" w:cs="Calibri"/>
                <w:color w:val="000000"/>
              </w:rPr>
            </w:pPr>
            <w:r w:rsidRPr="00B82BEC">
              <w:rPr>
                <w:rFonts w:ascii="Calibri" w:hAnsi="Calibri" w:cs="Calibri"/>
                <w:color w:val="000000"/>
              </w:rPr>
              <w:t>La présente norme décrit les caractéristiques et spécifications techniques relatives aux accessoires de raccord et</w:t>
            </w:r>
            <w:r w:rsidR="00B82BEC" w:rsidRPr="00B82BEC">
              <w:rPr>
                <w:rFonts w:ascii="Calibri" w:hAnsi="Calibri" w:cs="Calibri"/>
                <w:color w:val="000000"/>
              </w:rPr>
              <w:t xml:space="preserve"> </w:t>
            </w:r>
            <w:r w:rsidRPr="00B82BEC">
              <w:rPr>
                <w:rFonts w:ascii="Calibri" w:hAnsi="Calibri" w:cs="Calibri"/>
                <w:color w:val="000000"/>
              </w:rPr>
              <w:t>de commande visant à garantir un niveau de résistance mécanique suffisant en utilisation pratique, et spécifie les</w:t>
            </w:r>
            <w:r w:rsidR="00B82BEC" w:rsidRPr="00B82BEC">
              <w:rPr>
                <w:rFonts w:ascii="Calibri" w:hAnsi="Calibri" w:cs="Calibri"/>
                <w:color w:val="000000"/>
              </w:rPr>
              <w:t xml:space="preserve"> </w:t>
            </w:r>
            <w:r w:rsidRPr="00B82BEC">
              <w:rPr>
                <w:rFonts w:ascii="Calibri" w:hAnsi="Calibri" w:cs="Calibri"/>
                <w:color w:val="000000"/>
              </w:rPr>
              <w:t>méthodes d’essai correspondantes. Elle s’applique aux accessoires en acier, laiton, aluminium, polypropylène,</w:t>
            </w:r>
            <w:r w:rsidR="00B82BEC" w:rsidRPr="00B82BEC">
              <w:rPr>
                <w:rFonts w:ascii="Calibri" w:hAnsi="Calibri" w:cs="Calibri"/>
                <w:color w:val="000000"/>
              </w:rPr>
              <w:t xml:space="preserve"> </w:t>
            </w:r>
            <w:r w:rsidRPr="00B82BEC">
              <w:rPr>
                <w:rFonts w:ascii="Calibri" w:hAnsi="Calibri" w:cs="Calibri"/>
                <w:color w:val="000000"/>
              </w:rPr>
              <w:t>polyéthylène ou polychlorure de vinyle utilisés dans les installations d’irrigation d’un diamètre d’au plus 250 mm.</w:t>
            </w:r>
          </w:p>
        </w:tc>
      </w:tr>
      <w:tr w:rsidR="00247086" w:rsidRPr="0043547B" w:rsidTr="00B82BEC">
        <w:trPr>
          <w:trHeight w:val="315"/>
          <w:jc w:val="center"/>
        </w:trPr>
        <w:tc>
          <w:tcPr>
            <w:tcW w:w="1838" w:type="dxa"/>
            <w:tcBorders>
              <w:top w:val="single" w:sz="4" w:space="0" w:color="auto"/>
              <w:left w:val="single" w:sz="18" w:space="0" w:color="auto"/>
              <w:bottom w:val="single" w:sz="18" w:space="0" w:color="auto"/>
              <w:right w:val="single" w:sz="4" w:space="0" w:color="auto"/>
            </w:tcBorders>
            <w:shd w:val="clear" w:color="auto" w:fill="C2D69B" w:themeFill="accent3" w:themeFillTint="99"/>
            <w:vAlign w:val="center"/>
          </w:tcPr>
          <w:p w:rsidR="00247086" w:rsidRDefault="00247086" w:rsidP="00B82BEC">
            <w:pPr>
              <w:spacing w:after="0" w:line="240" w:lineRule="auto"/>
              <w:jc w:val="center"/>
              <w:rPr>
                <w:rFonts w:ascii="Calibri" w:hAnsi="Calibri" w:cs="Calibri"/>
                <w:b/>
                <w:bCs/>
                <w:sz w:val="24"/>
                <w:szCs w:val="24"/>
              </w:rPr>
            </w:pPr>
            <w:r>
              <w:rPr>
                <w:rFonts w:ascii="Calibri" w:hAnsi="Calibri" w:cs="Calibri"/>
                <w:b/>
                <w:bCs/>
              </w:rPr>
              <w:t>Code</w:t>
            </w:r>
          </w:p>
        </w:tc>
        <w:tc>
          <w:tcPr>
            <w:tcW w:w="7938" w:type="dxa"/>
            <w:tcBorders>
              <w:top w:val="single" w:sz="4" w:space="0" w:color="auto"/>
              <w:left w:val="single" w:sz="4" w:space="0" w:color="auto"/>
              <w:bottom w:val="single" w:sz="18" w:space="0" w:color="auto"/>
              <w:right w:val="single" w:sz="18" w:space="0" w:color="auto"/>
            </w:tcBorders>
            <w:shd w:val="clear" w:color="auto" w:fill="C2D69B" w:themeFill="accent3" w:themeFillTint="99"/>
            <w:noWrap/>
            <w:vAlign w:val="center"/>
          </w:tcPr>
          <w:p w:rsidR="00247086" w:rsidRPr="00B82BEC" w:rsidRDefault="00247086" w:rsidP="00B82BEC">
            <w:pPr>
              <w:spacing w:after="0" w:line="240" w:lineRule="auto"/>
              <w:jc w:val="center"/>
              <w:rPr>
                <w:rFonts w:ascii="Calibri" w:hAnsi="Calibri" w:cs="Calibri"/>
                <w:b/>
                <w:bCs/>
                <w:color w:val="000000"/>
                <w:sz w:val="24"/>
                <w:szCs w:val="24"/>
              </w:rPr>
            </w:pPr>
            <w:r w:rsidRPr="00B82BEC">
              <w:rPr>
                <w:rFonts w:ascii="Calibri" w:hAnsi="Calibri" w:cs="Calibri"/>
                <w:b/>
                <w:bCs/>
                <w:color w:val="000000"/>
                <w:sz w:val="24"/>
                <w:szCs w:val="24"/>
              </w:rPr>
              <w:t>NM EN 17176-1</w:t>
            </w:r>
          </w:p>
        </w:tc>
      </w:tr>
      <w:tr w:rsidR="00247086" w:rsidRPr="0043547B" w:rsidTr="00B82BEC">
        <w:trPr>
          <w:trHeight w:val="315"/>
          <w:jc w:val="center"/>
        </w:trPr>
        <w:tc>
          <w:tcPr>
            <w:tcW w:w="1838" w:type="dxa"/>
            <w:tcBorders>
              <w:top w:val="single" w:sz="4" w:space="0" w:color="auto"/>
              <w:left w:val="single" w:sz="18" w:space="0" w:color="auto"/>
              <w:bottom w:val="single" w:sz="18" w:space="0" w:color="auto"/>
              <w:right w:val="single" w:sz="4" w:space="0" w:color="auto"/>
            </w:tcBorders>
            <w:shd w:val="clear" w:color="auto" w:fill="FFFF99"/>
            <w:vAlign w:val="center"/>
          </w:tcPr>
          <w:p w:rsidR="00247086" w:rsidRDefault="00247086" w:rsidP="00B82BEC">
            <w:pPr>
              <w:spacing w:after="0" w:line="240" w:lineRule="auto"/>
              <w:jc w:val="center"/>
              <w:rPr>
                <w:rFonts w:ascii="Calibri" w:hAnsi="Calibri" w:cs="Calibri"/>
                <w:b/>
                <w:bCs/>
                <w:sz w:val="24"/>
                <w:szCs w:val="24"/>
              </w:rPr>
            </w:pPr>
            <w:r>
              <w:rPr>
                <w:rFonts w:ascii="Calibri" w:hAnsi="Calibri" w:cs="Calibri"/>
                <w:b/>
                <w:bCs/>
              </w:rPr>
              <w:t>Equivalence</w:t>
            </w:r>
          </w:p>
        </w:tc>
        <w:tc>
          <w:tcPr>
            <w:tcW w:w="7938" w:type="dxa"/>
            <w:tcBorders>
              <w:top w:val="single" w:sz="4" w:space="0" w:color="auto"/>
              <w:left w:val="single" w:sz="4" w:space="0" w:color="auto"/>
              <w:bottom w:val="single" w:sz="18" w:space="0" w:color="auto"/>
              <w:right w:val="single" w:sz="18" w:space="0" w:color="auto"/>
            </w:tcBorders>
            <w:shd w:val="clear" w:color="auto" w:fill="FFFF99"/>
            <w:noWrap/>
            <w:vAlign w:val="center"/>
          </w:tcPr>
          <w:p w:rsidR="00247086" w:rsidRPr="00B82BEC" w:rsidRDefault="00247086" w:rsidP="00B82BEC">
            <w:pPr>
              <w:spacing w:after="0" w:line="240" w:lineRule="auto"/>
              <w:jc w:val="center"/>
              <w:rPr>
                <w:rFonts w:ascii="Calibri" w:hAnsi="Calibri" w:cs="Calibri"/>
                <w:b/>
                <w:bCs/>
                <w:color w:val="000000"/>
                <w:sz w:val="24"/>
                <w:szCs w:val="24"/>
              </w:rPr>
            </w:pPr>
            <w:r w:rsidRPr="00B82BEC">
              <w:rPr>
                <w:rFonts w:ascii="Calibri" w:hAnsi="Calibri" w:cs="Calibri"/>
                <w:b/>
                <w:bCs/>
                <w:color w:val="000000"/>
                <w:sz w:val="24"/>
                <w:szCs w:val="24"/>
              </w:rPr>
              <w:t>EN 17176-1</w:t>
            </w:r>
          </w:p>
        </w:tc>
      </w:tr>
      <w:tr w:rsidR="00247086" w:rsidRPr="0043547B" w:rsidTr="00B82BEC">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95B3D7" w:themeFill="accent1" w:themeFillTint="99"/>
            <w:vAlign w:val="center"/>
          </w:tcPr>
          <w:p w:rsidR="00247086" w:rsidRDefault="00247086" w:rsidP="00B82BEC">
            <w:pPr>
              <w:spacing w:after="0" w:line="240" w:lineRule="auto"/>
              <w:jc w:val="center"/>
              <w:rPr>
                <w:rFonts w:ascii="Calibri" w:hAnsi="Calibri" w:cs="Calibri"/>
                <w:b/>
                <w:bCs/>
                <w:sz w:val="24"/>
                <w:szCs w:val="24"/>
              </w:rPr>
            </w:pPr>
            <w:r>
              <w:rPr>
                <w:rFonts w:ascii="Calibri" w:hAnsi="Calibri" w:cs="Calibri"/>
                <w:b/>
                <w:bCs/>
              </w:rPr>
              <w:lastRenderedPageBreak/>
              <w:t>Intitulé</w:t>
            </w:r>
          </w:p>
        </w:tc>
        <w:tc>
          <w:tcPr>
            <w:tcW w:w="7938" w:type="dxa"/>
            <w:tcBorders>
              <w:top w:val="single" w:sz="18" w:space="0" w:color="auto"/>
              <w:left w:val="single" w:sz="4" w:space="0" w:color="auto"/>
              <w:bottom w:val="single" w:sz="4" w:space="0" w:color="auto"/>
              <w:right w:val="single" w:sz="18" w:space="0" w:color="auto"/>
            </w:tcBorders>
            <w:shd w:val="clear" w:color="auto" w:fill="FFFFFF" w:themeFill="background1"/>
            <w:noWrap/>
            <w:vAlign w:val="center"/>
          </w:tcPr>
          <w:p w:rsidR="00247086" w:rsidRDefault="00247086" w:rsidP="00B82BEC">
            <w:pPr>
              <w:spacing w:after="0" w:line="240" w:lineRule="auto"/>
              <w:jc w:val="both"/>
              <w:rPr>
                <w:rFonts w:ascii="Calibri" w:hAnsi="Calibri" w:cs="Calibri"/>
                <w:color w:val="000000"/>
                <w:sz w:val="20"/>
                <w:szCs w:val="20"/>
              </w:rPr>
            </w:pPr>
            <w:r w:rsidRPr="00B82BEC">
              <w:rPr>
                <w:rFonts w:ascii="Calibri" w:hAnsi="Calibri" w:cs="Calibri"/>
                <w:color w:val="000000"/>
              </w:rPr>
              <w:t xml:space="preserve">Systèmes de canalisations en plastique pour l'alimentation en eau, les branchements et collecteurs d'assainissement et les systèmes d'irrigation sous pression, enterrés ou aériens - Poly(chlorure de vinyle) non plastifié orienté (PVC-O) - Partie 1 : généralités </w:t>
            </w:r>
          </w:p>
        </w:tc>
      </w:tr>
      <w:tr w:rsidR="00247086" w:rsidRPr="0043547B" w:rsidTr="00B82BEC">
        <w:trPr>
          <w:trHeight w:val="315"/>
          <w:jc w:val="center"/>
        </w:trPr>
        <w:tc>
          <w:tcPr>
            <w:tcW w:w="1838" w:type="dxa"/>
            <w:tcBorders>
              <w:top w:val="single" w:sz="4" w:space="0" w:color="auto"/>
              <w:left w:val="single" w:sz="18" w:space="0" w:color="auto"/>
              <w:bottom w:val="single" w:sz="18" w:space="0" w:color="auto"/>
              <w:right w:val="single" w:sz="4" w:space="0" w:color="auto"/>
            </w:tcBorders>
            <w:shd w:val="clear" w:color="auto" w:fill="D9D9D9" w:themeFill="background1" w:themeFillShade="D9"/>
            <w:vAlign w:val="center"/>
          </w:tcPr>
          <w:p w:rsidR="00247086" w:rsidRDefault="00B82BEC" w:rsidP="00B82BEC">
            <w:pPr>
              <w:spacing w:after="0" w:line="240" w:lineRule="auto"/>
              <w:jc w:val="center"/>
              <w:rPr>
                <w:rFonts w:ascii="Calibri" w:hAnsi="Calibri" w:cs="Calibri"/>
                <w:b/>
                <w:bCs/>
                <w:sz w:val="24"/>
                <w:szCs w:val="24"/>
              </w:rPr>
            </w:pPr>
            <w:r>
              <w:rPr>
                <w:rFonts w:ascii="Calibri" w:hAnsi="Calibri" w:cs="Calibri"/>
                <w:b/>
                <w:bCs/>
              </w:rPr>
              <w:t>Domaine d’application</w:t>
            </w:r>
          </w:p>
        </w:tc>
        <w:tc>
          <w:tcPr>
            <w:tcW w:w="7938" w:type="dxa"/>
            <w:tcBorders>
              <w:top w:val="single" w:sz="4" w:space="0" w:color="auto"/>
              <w:left w:val="single" w:sz="4" w:space="0" w:color="auto"/>
              <w:bottom w:val="single" w:sz="18" w:space="0" w:color="auto"/>
              <w:right w:val="single" w:sz="18" w:space="0" w:color="auto"/>
            </w:tcBorders>
            <w:shd w:val="clear" w:color="auto" w:fill="FFFFFF" w:themeFill="background1"/>
            <w:noWrap/>
            <w:vAlign w:val="bottom"/>
          </w:tcPr>
          <w:p w:rsidR="00B82BEC" w:rsidRDefault="00247086" w:rsidP="00B82BEC">
            <w:pPr>
              <w:spacing w:after="0" w:line="240" w:lineRule="auto"/>
              <w:jc w:val="both"/>
              <w:rPr>
                <w:rFonts w:ascii="Calibri" w:hAnsi="Calibri" w:cs="Calibri"/>
                <w:color w:val="000000"/>
              </w:rPr>
            </w:pPr>
            <w:r>
              <w:rPr>
                <w:rFonts w:ascii="Calibri" w:hAnsi="Calibri" w:cs="Calibri"/>
                <w:color w:val="000000"/>
              </w:rPr>
              <w:t>La présente partie de l’EN 17176 spécifie les caractéristiques de la matière des systèmes de</w:t>
            </w:r>
            <w:r w:rsidR="00B82BEC">
              <w:rPr>
                <w:rFonts w:ascii="Calibri" w:hAnsi="Calibri" w:cs="Calibri"/>
                <w:color w:val="000000"/>
              </w:rPr>
              <w:t xml:space="preserve"> </w:t>
            </w:r>
            <w:r>
              <w:rPr>
                <w:rFonts w:ascii="Calibri" w:hAnsi="Calibri" w:cs="Calibri"/>
                <w:color w:val="000000"/>
              </w:rPr>
              <w:t>canalisations à paroi compacte en poly(chlorure de vinyle) non plastifié orienté (PVC-O) destinés à</w:t>
            </w:r>
            <w:r w:rsidR="00B82BEC">
              <w:rPr>
                <w:rFonts w:ascii="Calibri" w:hAnsi="Calibri" w:cs="Calibri"/>
                <w:color w:val="000000"/>
              </w:rPr>
              <w:t xml:space="preserve"> </w:t>
            </w:r>
            <w:r>
              <w:rPr>
                <w:rFonts w:ascii="Calibri" w:hAnsi="Calibri" w:cs="Calibri"/>
                <w:color w:val="000000"/>
              </w:rPr>
              <w:t>l’alimentation en eau, aux branchements, aux collecteurs d’assainissement et aux systèmes d’irrigation</w:t>
            </w:r>
            <w:r w:rsidR="00B82BEC">
              <w:rPr>
                <w:rFonts w:ascii="Calibri" w:hAnsi="Calibri" w:cs="Calibri"/>
                <w:color w:val="000000"/>
              </w:rPr>
              <w:t xml:space="preserve"> </w:t>
            </w:r>
            <w:r>
              <w:rPr>
                <w:rFonts w:ascii="Calibri" w:hAnsi="Calibri" w:cs="Calibri"/>
                <w:color w:val="000000"/>
              </w:rPr>
              <w:t>sous pression, enterrés ou aériens lorsqu’ils sont protégés des rayons directs du soleil.</w:t>
            </w:r>
          </w:p>
          <w:p w:rsidR="00B82BEC" w:rsidRDefault="00247086" w:rsidP="00B82BEC">
            <w:pPr>
              <w:spacing w:after="0" w:line="240" w:lineRule="auto"/>
              <w:jc w:val="both"/>
              <w:rPr>
                <w:rFonts w:ascii="Calibri" w:hAnsi="Calibri" w:cs="Calibri"/>
                <w:color w:val="000000"/>
              </w:rPr>
            </w:pPr>
            <w:r>
              <w:rPr>
                <w:rFonts w:ascii="Calibri" w:hAnsi="Calibri" w:cs="Calibri"/>
                <w:color w:val="000000"/>
              </w:rPr>
              <w:t>Conjointement avec l’EN 17176-2, la CEN/TS 17176-3 et l’EN ISO 1452-3, elle s’applique aux tubes en</w:t>
            </w:r>
            <w:r w:rsidR="00B82BEC">
              <w:rPr>
                <w:rFonts w:ascii="Calibri" w:hAnsi="Calibri" w:cs="Calibri"/>
                <w:color w:val="000000"/>
              </w:rPr>
              <w:t xml:space="preserve"> </w:t>
            </w:r>
            <w:r>
              <w:rPr>
                <w:rFonts w:ascii="Calibri" w:hAnsi="Calibri" w:cs="Calibri"/>
                <w:color w:val="000000"/>
              </w:rPr>
              <w:t>PVC-O, aux raccords en PVC-O ainsi qu’à leurs assemblages, et aux assemblages avec des composants à</w:t>
            </w:r>
            <w:r w:rsidR="00B82BEC">
              <w:rPr>
                <w:rFonts w:ascii="Calibri" w:hAnsi="Calibri" w:cs="Calibri"/>
                <w:color w:val="000000"/>
              </w:rPr>
              <w:t xml:space="preserve"> </w:t>
            </w:r>
            <w:r>
              <w:rPr>
                <w:rFonts w:ascii="Calibri" w:hAnsi="Calibri" w:cs="Calibri"/>
                <w:color w:val="000000"/>
              </w:rPr>
              <w:t>base d’autres matières, plastiques ou non plastiques, pouvant être utilisés pour les usages suivants :</w:t>
            </w:r>
          </w:p>
          <w:p w:rsidR="00B82BEC" w:rsidRDefault="00247086" w:rsidP="00B82BEC">
            <w:pPr>
              <w:spacing w:after="0" w:line="240" w:lineRule="auto"/>
              <w:jc w:val="both"/>
              <w:rPr>
                <w:rFonts w:ascii="Calibri" w:hAnsi="Calibri" w:cs="Calibri"/>
                <w:color w:val="000000"/>
              </w:rPr>
            </w:pPr>
            <w:r>
              <w:rPr>
                <w:rFonts w:ascii="Calibri" w:hAnsi="Calibri" w:cs="Calibri"/>
                <w:color w:val="000000"/>
              </w:rPr>
              <w:t>a) les conduites principales et les conduites de branchement ;</w:t>
            </w:r>
          </w:p>
          <w:p w:rsidR="00B82BEC" w:rsidRDefault="00247086" w:rsidP="00B82BEC">
            <w:pPr>
              <w:spacing w:after="0" w:line="240" w:lineRule="auto"/>
              <w:jc w:val="both"/>
              <w:rPr>
                <w:rFonts w:ascii="Calibri" w:hAnsi="Calibri" w:cs="Calibri"/>
                <w:color w:val="000000"/>
              </w:rPr>
            </w:pPr>
            <w:r>
              <w:rPr>
                <w:rFonts w:ascii="Calibri" w:hAnsi="Calibri" w:cs="Calibri"/>
                <w:color w:val="000000"/>
              </w:rPr>
              <w:t>b) le transport de l’eau à l’extérieur et à l’intérieur des bâtiments ;</w:t>
            </w:r>
          </w:p>
          <w:p w:rsidR="00B82BEC" w:rsidRDefault="00247086" w:rsidP="00B82BEC">
            <w:pPr>
              <w:spacing w:after="0" w:line="240" w:lineRule="auto"/>
              <w:jc w:val="both"/>
              <w:rPr>
                <w:rFonts w:ascii="Calibri" w:hAnsi="Calibri" w:cs="Calibri"/>
                <w:color w:val="000000"/>
              </w:rPr>
            </w:pPr>
            <w:r>
              <w:rPr>
                <w:rFonts w:ascii="Calibri" w:hAnsi="Calibri" w:cs="Calibri"/>
                <w:color w:val="000000"/>
              </w:rPr>
              <w:t>c) les branchements et collecteurs d’assainissement et les systèmes d’eaux usées traitées sous</w:t>
            </w:r>
            <w:r w:rsidR="00B82BEC">
              <w:rPr>
                <w:rFonts w:ascii="Calibri" w:hAnsi="Calibri" w:cs="Calibri"/>
                <w:color w:val="000000"/>
              </w:rPr>
              <w:t xml:space="preserve"> </w:t>
            </w:r>
            <w:r>
              <w:rPr>
                <w:rFonts w:ascii="Calibri" w:hAnsi="Calibri" w:cs="Calibri"/>
                <w:color w:val="000000"/>
              </w:rPr>
              <w:t>pression ;</w:t>
            </w:r>
          </w:p>
          <w:p w:rsidR="00B82BEC" w:rsidRDefault="00247086" w:rsidP="00B82BEC">
            <w:pPr>
              <w:spacing w:after="0" w:line="240" w:lineRule="auto"/>
              <w:jc w:val="both"/>
              <w:rPr>
                <w:rFonts w:ascii="Calibri" w:hAnsi="Calibri" w:cs="Calibri"/>
                <w:color w:val="000000"/>
              </w:rPr>
            </w:pPr>
            <w:r>
              <w:rPr>
                <w:rFonts w:ascii="Calibri" w:hAnsi="Calibri" w:cs="Calibri"/>
                <w:color w:val="000000"/>
              </w:rPr>
              <w:t>d) l’irrigation sous pression.</w:t>
            </w:r>
          </w:p>
          <w:p w:rsidR="00B82BEC" w:rsidRDefault="00247086" w:rsidP="00B82BEC">
            <w:pPr>
              <w:spacing w:after="0" w:line="240" w:lineRule="auto"/>
              <w:jc w:val="both"/>
              <w:rPr>
                <w:rFonts w:ascii="Calibri" w:hAnsi="Calibri" w:cs="Calibri"/>
                <w:color w:val="000000"/>
              </w:rPr>
            </w:pPr>
            <w:r>
              <w:rPr>
                <w:rFonts w:ascii="Calibri" w:hAnsi="Calibri" w:cs="Calibri"/>
                <w:color w:val="000000"/>
              </w:rPr>
              <w:t>Les assemblages fabriqués avec d'autres matières seront conformes à leurs propres normes, en plus des</w:t>
            </w:r>
            <w:r w:rsidR="00B82BEC">
              <w:rPr>
                <w:rFonts w:ascii="Calibri" w:hAnsi="Calibri" w:cs="Calibri"/>
                <w:color w:val="000000"/>
              </w:rPr>
              <w:t xml:space="preserve"> </w:t>
            </w:r>
            <w:r>
              <w:rPr>
                <w:rFonts w:ascii="Calibri" w:hAnsi="Calibri" w:cs="Calibri"/>
                <w:color w:val="000000"/>
              </w:rPr>
              <w:t>exigences d'aptitude à l'emploi spécifiées dans l’EN 17176-5.</w:t>
            </w:r>
          </w:p>
          <w:p w:rsidR="00B82BEC" w:rsidRDefault="00247086" w:rsidP="00B82BEC">
            <w:pPr>
              <w:spacing w:after="0" w:line="240" w:lineRule="auto"/>
              <w:jc w:val="both"/>
              <w:rPr>
                <w:rFonts w:ascii="Calibri" w:hAnsi="Calibri" w:cs="Calibri"/>
                <w:color w:val="000000"/>
              </w:rPr>
            </w:pPr>
            <w:r>
              <w:rPr>
                <w:rFonts w:ascii="Calibri" w:hAnsi="Calibri" w:cs="Calibri"/>
                <w:color w:val="000000"/>
              </w:rPr>
              <w:t>Elle s’applique aux systèmes de canalisations destinés à l’alimentation en eau avec une pression de</w:t>
            </w:r>
            <w:r w:rsidR="00B82BEC">
              <w:rPr>
                <w:rFonts w:ascii="Calibri" w:hAnsi="Calibri" w:cs="Calibri"/>
                <w:color w:val="000000"/>
              </w:rPr>
              <w:t xml:space="preserve"> </w:t>
            </w:r>
            <w:r>
              <w:rPr>
                <w:rFonts w:ascii="Calibri" w:hAnsi="Calibri" w:cs="Calibri"/>
                <w:color w:val="000000"/>
              </w:rPr>
              <w:t>service admissible (PFA) maximale jusqu’à 25 bar1 inclus. Le système de canalisations conforme au</w:t>
            </w:r>
            <w:r w:rsidR="00B82BEC">
              <w:rPr>
                <w:rFonts w:ascii="Calibri" w:hAnsi="Calibri" w:cs="Calibri"/>
                <w:color w:val="000000"/>
              </w:rPr>
              <w:t xml:space="preserve"> </w:t>
            </w:r>
            <w:r>
              <w:rPr>
                <w:rFonts w:ascii="Calibri" w:hAnsi="Calibri" w:cs="Calibri"/>
                <w:color w:val="000000"/>
              </w:rPr>
              <w:t>présent document est destiné au transport d’eau froide jusqu’à 45 °C inclus et, notamment pour les</w:t>
            </w:r>
            <w:r w:rsidR="00B82BEC">
              <w:rPr>
                <w:rFonts w:ascii="Calibri" w:hAnsi="Calibri" w:cs="Calibri"/>
                <w:color w:val="000000"/>
              </w:rPr>
              <w:t xml:space="preserve"> </w:t>
            </w:r>
            <w:r>
              <w:rPr>
                <w:rFonts w:ascii="Calibri" w:hAnsi="Calibri" w:cs="Calibri"/>
                <w:color w:val="000000"/>
              </w:rPr>
              <w:t>applications dans lesquelles des exigences de performance spéciales sont nécessaires, par exemple en</w:t>
            </w:r>
            <w:r w:rsidR="00B82BEC">
              <w:rPr>
                <w:rFonts w:ascii="Calibri" w:hAnsi="Calibri" w:cs="Calibri"/>
                <w:color w:val="000000"/>
              </w:rPr>
              <w:t xml:space="preserve"> </w:t>
            </w:r>
            <w:r>
              <w:rPr>
                <w:rFonts w:ascii="Calibri" w:hAnsi="Calibri" w:cs="Calibri"/>
                <w:color w:val="000000"/>
              </w:rPr>
              <w:t>cas de charges dynamiques et de fluctuations de pression.</w:t>
            </w:r>
          </w:p>
          <w:p w:rsidR="00247086" w:rsidRDefault="00247086" w:rsidP="00B82BEC">
            <w:pPr>
              <w:spacing w:after="0" w:line="240" w:lineRule="auto"/>
              <w:jc w:val="both"/>
              <w:rPr>
                <w:rFonts w:ascii="Calibri" w:hAnsi="Calibri" w:cs="Calibri"/>
                <w:color w:val="000000"/>
              </w:rPr>
            </w:pPr>
            <w:r>
              <w:rPr>
                <w:rFonts w:ascii="Calibri" w:hAnsi="Calibri" w:cs="Calibri"/>
                <w:color w:val="000000"/>
              </w:rPr>
              <w:t>Pour des températures comprises entre 25 °C et 45 °C, l’EN 17176-2:2018, Figure C.1 s’applique.</w:t>
            </w:r>
            <w:r>
              <w:rPr>
                <w:rFonts w:ascii="Calibri" w:hAnsi="Calibri" w:cs="Calibri"/>
                <w:color w:val="000000"/>
              </w:rPr>
              <w:br/>
            </w:r>
            <w:r w:rsidRPr="00B82BEC">
              <w:rPr>
                <w:rFonts w:ascii="Calibri" w:hAnsi="Calibri" w:cs="Calibri"/>
                <w:b/>
                <w:bCs/>
                <w:i/>
                <w:iCs/>
                <w:color w:val="000000"/>
                <w:sz w:val="20"/>
                <w:szCs w:val="20"/>
              </w:rPr>
              <w:t>NOTE</w:t>
            </w:r>
            <w:r w:rsidR="00B82BEC" w:rsidRPr="00B82BEC">
              <w:rPr>
                <w:rFonts w:ascii="Calibri" w:hAnsi="Calibri" w:cs="Calibri"/>
                <w:i/>
                <w:iCs/>
                <w:color w:val="000000"/>
                <w:sz w:val="20"/>
                <w:szCs w:val="20"/>
              </w:rPr>
              <w:t xml:space="preserve"> : </w:t>
            </w:r>
            <w:r w:rsidRPr="00B82BEC">
              <w:rPr>
                <w:rFonts w:ascii="Calibri" w:hAnsi="Calibri" w:cs="Calibri"/>
                <w:i/>
                <w:iCs/>
                <w:color w:val="000000"/>
                <w:sz w:val="20"/>
                <w:szCs w:val="20"/>
              </w:rPr>
              <w:t>Il est de la responsabilité de l'acheteur ou du concepteur du réseau d'effectuer les choix appropriées à</w:t>
            </w:r>
            <w:r w:rsidR="00B82BEC" w:rsidRPr="00B82BEC">
              <w:rPr>
                <w:rFonts w:ascii="Calibri" w:hAnsi="Calibri" w:cs="Calibri"/>
                <w:i/>
                <w:iCs/>
                <w:color w:val="000000"/>
                <w:sz w:val="20"/>
                <w:szCs w:val="20"/>
              </w:rPr>
              <w:t xml:space="preserve"> </w:t>
            </w:r>
            <w:r w:rsidRPr="00B82BEC">
              <w:rPr>
                <w:rFonts w:ascii="Calibri" w:hAnsi="Calibri" w:cs="Calibri"/>
                <w:i/>
                <w:iCs/>
                <w:color w:val="000000"/>
                <w:sz w:val="20"/>
                <w:szCs w:val="20"/>
              </w:rPr>
              <w:t>partir de ces données en tenant compte des exigences particulières et des éventuelles règles nationales</w:t>
            </w:r>
            <w:r w:rsidR="00B82BEC" w:rsidRPr="00B82BEC">
              <w:rPr>
                <w:rFonts w:ascii="Calibri" w:hAnsi="Calibri" w:cs="Calibri"/>
                <w:i/>
                <w:iCs/>
                <w:color w:val="000000"/>
                <w:sz w:val="20"/>
                <w:szCs w:val="20"/>
              </w:rPr>
              <w:t xml:space="preserve"> </w:t>
            </w:r>
            <w:r w:rsidRPr="00B82BEC">
              <w:rPr>
                <w:rFonts w:ascii="Calibri" w:hAnsi="Calibri" w:cs="Calibri"/>
                <w:i/>
                <w:iCs/>
                <w:color w:val="000000"/>
                <w:sz w:val="20"/>
                <w:szCs w:val="20"/>
              </w:rPr>
              <w:t>concernées et des pratiques ou codes de pose.</w:t>
            </w:r>
          </w:p>
        </w:tc>
      </w:tr>
      <w:tr w:rsidR="007876B6" w:rsidRPr="0043547B" w:rsidTr="00DA0443">
        <w:trPr>
          <w:trHeight w:val="315"/>
          <w:jc w:val="center"/>
        </w:trPr>
        <w:tc>
          <w:tcPr>
            <w:tcW w:w="1838" w:type="dxa"/>
            <w:tcBorders>
              <w:top w:val="single" w:sz="4" w:space="0" w:color="auto"/>
              <w:left w:val="single" w:sz="18" w:space="0" w:color="auto"/>
              <w:bottom w:val="single" w:sz="18" w:space="0" w:color="auto"/>
              <w:right w:val="single" w:sz="4" w:space="0" w:color="auto"/>
            </w:tcBorders>
            <w:shd w:val="clear" w:color="auto" w:fill="C2D69B" w:themeFill="accent3" w:themeFillTint="99"/>
            <w:vAlign w:val="center"/>
          </w:tcPr>
          <w:p w:rsidR="007876B6" w:rsidRDefault="007876B6" w:rsidP="00B82BEC">
            <w:pPr>
              <w:spacing w:after="0" w:line="240" w:lineRule="auto"/>
              <w:jc w:val="center"/>
              <w:rPr>
                <w:rFonts w:ascii="Calibri" w:hAnsi="Calibri" w:cs="Calibri"/>
                <w:b/>
                <w:bCs/>
              </w:rPr>
            </w:pPr>
            <w:r>
              <w:rPr>
                <w:rFonts w:ascii="Calibri" w:hAnsi="Calibri" w:cs="Calibri"/>
                <w:b/>
                <w:bCs/>
              </w:rPr>
              <w:t>Code</w:t>
            </w:r>
          </w:p>
        </w:tc>
        <w:tc>
          <w:tcPr>
            <w:tcW w:w="7938" w:type="dxa"/>
            <w:tcBorders>
              <w:top w:val="single" w:sz="4" w:space="0" w:color="auto"/>
              <w:left w:val="single" w:sz="4" w:space="0" w:color="auto"/>
              <w:bottom w:val="single" w:sz="18" w:space="0" w:color="auto"/>
              <w:right w:val="single" w:sz="18" w:space="0" w:color="auto"/>
            </w:tcBorders>
            <w:shd w:val="clear" w:color="auto" w:fill="C2D69B" w:themeFill="accent3" w:themeFillTint="99"/>
            <w:noWrap/>
            <w:vAlign w:val="center"/>
          </w:tcPr>
          <w:p w:rsidR="007876B6" w:rsidRPr="00B82BEC" w:rsidRDefault="007876B6" w:rsidP="00B82BEC">
            <w:pPr>
              <w:spacing w:after="0" w:line="240" w:lineRule="auto"/>
              <w:jc w:val="center"/>
              <w:rPr>
                <w:rFonts w:ascii="Calibri" w:hAnsi="Calibri" w:cs="Calibri"/>
                <w:b/>
                <w:bCs/>
                <w:color w:val="000000"/>
                <w:sz w:val="24"/>
                <w:szCs w:val="24"/>
              </w:rPr>
            </w:pPr>
            <w:r w:rsidRPr="00B82BEC">
              <w:rPr>
                <w:rFonts w:ascii="Calibri" w:hAnsi="Calibri" w:cs="Calibri"/>
                <w:b/>
                <w:bCs/>
                <w:color w:val="000000"/>
                <w:sz w:val="24"/>
                <w:szCs w:val="24"/>
              </w:rPr>
              <w:t>NM 05.5.185</w:t>
            </w:r>
          </w:p>
        </w:tc>
      </w:tr>
      <w:tr w:rsidR="007876B6" w:rsidRPr="0043547B" w:rsidTr="00DA0443">
        <w:trPr>
          <w:trHeight w:val="315"/>
          <w:jc w:val="center"/>
        </w:trPr>
        <w:tc>
          <w:tcPr>
            <w:tcW w:w="1838" w:type="dxa"/>
            <w:tcBorders>
              <w:top w:val="single" w:sz="4" w:space="0" w:color="auto"/>
              <w:left w:val="single" w:sz="18" w:space="0" w:color="auto"/>
              <w:bottom w:val="single" w:sz="18" w:space="0" w:color="auto"/>
              <w:right w:val="single" w:sz="4" w:space="0" w:color="auto"/>
            </w:tcBorders>
            <w:shd w:val="clear" w:color="auto" w:fill="FFFF99"/>
            <w:vAlign w:val="center"/>
          </w:tcPr>
          <w:p w:rsidR="007876B6" w:rsidRDefault="007876B6" w:rsidP="00B82BEC">
            <w:pPr>
              <w:spacing w:after="0" w:line="240" w:lineRule="auto"/>
              <w:jc w:val="center"/>
              <w:rPr>
                <w:rFonts w:ascii="Calibri" w:hAnsi="Calibri" w:cs="Calibri"/>
                <w:b/>
                <w:bCs/>
                <w:sz w:val="24"/>
                <w:szCs w:val="24"/>
              </w:rPr>
            </w:pPr>
            <w:r>
              <w:rPr>
                <w:rFonts w:ascii="Calibri" w:hAnsi="Calibri" w:cs="Calibri"/>
                <w:b/>
                <w:bCs/>
              </w:rPr>
              <w:t>Equivalence</w:t>
            </w:r>
          </w:p>
        </w:tc>
        <w:tc>
          <w:tcPr>
            <w:tcW w:w="7938" w:type="dxa"/>
            <w:tcBorders>
              <w:top w:val="single" w:sz="4" w:space="0" w:color="auto"/>
              <w:left w:val="single" w:sz="4" w:space="0" w:color="auto"/>
              <w:bottom w:val="single" w:sz="18" w:space="0" w:color="auto"/>
              <w:right w:val="single" w:sz="18" w:space="0" w:color="auto"/>
            </w:tcBorders>
            <w:shd w:val="clear" w:color="auto" w:fill="FFFF99"/>
            <w:noWrap/>
            <w:vAlign w:val="center"/>
          </w:tcPr>
          <w:p w:rsidR="007876B6" w:rsidRPr="00B82BEC" w:rsidRDefault="001327D9" w:rsidP="00B82BEC">
            <w:pPr>
              <w:spacing w:after="0" w:line="240" w:lineRule="auto"/>
              <w:jc w:val="center"/>
              <w:rPr>
                <w:rFonts w:ascii="Calibri" w:hAnsi="Calibri" w:cs="Calibri"/>
                <w:b/>
                <w:bCs/>
                <w:color w:val="000000"/>
                <w:sz w:val="24"/>
                <w:szCs w:val="24"/>
              </w:rPr>
            </w:pPr>
            <w:r w:rsidRPr="001327D9">
              <w:rPr>
                <w:rFonts w:ascii="Calibri" w:hAnsi="Calibri" w:cs="Calibri"/>
                <w:b/>
                <w:bCs/>
                <w:color w:val="000000"/>
                <w:sz w:val="24"/>
                <w:szCs w:val="24"/>
              </w:rPr>
              <w:t>NF P 16-351</w:t>
            </w:r>
          </w:p>
        </w:tc>
      </w:tr>
      <w:tr w:rsidR="007876B6" w:rsidRPr="0043547B" w:rsidTr="00DA0443">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95B3D7" w:themeFill="accent1" w:themeFillTint="99"/>
            <w:vAlign w:val="center"/>
          </w:tcPr>
          <w:p w:rsidR="007876B6" w:rsidRDefault="007876B6" w:rsidP="00B82BEC">
            <w:pPr>
              <w:spacing w:after="0" w:line="240" w:lineRule="auto"/>
              <w:jc w:val="center"/>
              <w:rPr>
                <w:rFonts w:ascii="Calibri" w:hAnsi="Calibri" w:cs="Calibri"/>
                <w:b/>
                <w:bCs/>
                <w:sz w:val="24"/>
                <w:szCs w:val="24"/>
              </w:rPr>
            </w:pPr>
            <w:r>
              <w:rPr>
                <w:rFonts w:ascii="Calibri" w:hAnsi="Calibri" w:cs="Calibri"/>
                <w:b/>
                <w:bCs/>
              </w:rPr>
              <w:t>Intitulé</w:t>
            </w:r>
          </w:p>
        </w:tc>
        <w:tc>
          <w:tcPr>
            <w:tcW w:w="7938" w:type="dxa"/>
            <w:tcBorders>
              <w:top w:val="single" w:sz="18" w:space="0" w:color="auto"/>
              <w:left w:val="single" w:sz="4" w:space="0" w:color="auto"/>
              <w:bottom w:val="single" w:sz="4" w:space="0" w:color="auto"/>
              <w:right w:val="single" w:sz="18" w:space="0" w:color="auto"/>
            </w:tcBorders>
            <w:shd w:val="clear" w:color="auto" w:fill="FFFFFF" w:themeFill="background1"/>
            <w:noWrap/>
            <w:vAlign w:val="center"/>
          </w:tcPr>
          <w:p w:rsidR="007876B6" w:rsidRPr="00B82BEC" w:rsidRDefault="007876B6" w:rsidP="001327D9">
            <w:pPr>
              <w:spacing w:after="0" w:line="240" w:lineRule="auto"/>
              <w:jc w:val="both"/>
              <w:rPr>
                <w:rFonts w:ascii="Calibri" w:hAnsi="Calibri" w:cs="Calibri"/>
                <w:color w:val="000000"/>
              </w:rPr>
            </w:pPr>
            <w:r w:rsidRPr="00B82BEC">
              <w:rPr>
                <w:rFonts w:ascii="Calibri" w:hAnsi="Calibri" w:cs="Calibri"/>
                <w:color w:val="000000"/>
              </w:rPr>
              <w:t xml:space="preserve">Systèmes de canalisations en plastique pour drainage enterré - Ouvrages de voirie, travaux publics et autres ouvrages de génie civil - Spécifications pour tubes et accessoires en PVC-U, PE et PP </w:t>
            </w:r>
          </w:p>
        </w:tc>
      </w:tr>
      <w:tr w:rsidR="007876B6" w:rsidRPr="0043547B" w:rsidTr="00DA0443">
        <w:trPr>
          <w:trHeight w:val="315"/>
          <w:jc w:val="center"/>
        </w:trPr>
        <w:tc>
          <w:tcPr>
            <w:tcW w:w="1838" w:type="dxa"/>
            <w:tcBorders>
              <w:top w:val="single" w:sz="4" w:space="0" w:color="auto"/>
              <w:left w:val="single" w:sz="18" w:space="0" w:color="auto"/>
              <w:bottom w:val="single" w:sz="18" w:space="0" w:color="auto"/>
              <w:right w:val="single" w:sz="4" w:space="0" w:color="auto"/>
            </w:tcBorders>
            <w:shd w:val="clear" w:color="auto" w:fill="D9D9D9" w:themeFill="background1" w:themeFillShade="D9"/>
            <w:vAlign w:val="center"/>
          </w:tcPr>
          <w:p w:rsidR="007876B6" w:rsidRDefault="007876B6" w:rsidP="00B82BEC">
            <w:pPr>
              <w:spacing w:after="0" w:line="240" w:lineRule="auto"/>
              <w:jc w:val="center"/>
              <w:rPr>
                <w:rFonts w:ascii="Calibri" w:hAnsi="Calibri" w:cs="Calibri"/>
                <w:b/>
                <w:bCs/>
                <w:sz w:val="24"/>
                <w:szCs w:val="24"/>
              </w:rPr>
            </w:pPr>
            <w:r>
              <w:rPr>
                <w:rFonts w:ascii="Calibri" w:hAnsi="Calibri" w:cs="Calibri"/>
                <w:b/>
                <w:bCs/>
              </w:rPr>
              <w:t>Domaine d’application</w:t>
            </w:r>
          </w:p>
        </w:tc>
        <w:tc>
          <w:tcPr>
            <w:tcW w:w="7938" w:type="dxa"/>
            <w:tcBorders>
              <w:top w:val="single" w:sz="4" w:space="0" w:color="auto"/>
              <w:left w:val="single" w:sz="4" w:space="0" w:color="auto"/>
              <w:bottom w:val="single" w:sz="18" w:space="0" w:color="auto"/>
              <w:right w:val="single" w:sz="18" w:space="0" w:color="auto"/>
            </w:tcBorders>
            <w:shd w:val="clear" w:color="auto" w:fill="FFFFFF" w:themeFill="background1"/>
            <w:noWrap/>
            <w:vAlign w:val="bottom"/>
          </w:tcPr>
          <w:p w:rsidR="004E60BB" w:rsidRDefault="007876B6" w:rsidP="00B82BEC">
            <w:pPr>
              <w:spacing w:after="0" w:line="240" w:lineRule="auto"/>
              <w:jc w:val="both"/>
              <w:rPr>
                <w:rFonts w:ascii="Calibri" w:hAnsi="Calibri" w:cs="Calibri"/>
                <w:color w:val="000000"/>
              </w:rPr>
            </w:pPr>
            <w:r w:rsidRPr="00B82BEC">
              <w:rPr>
                <w:rFonts w:ascii="Calibri" w:hAnsi="Calibri" w:cs="Calibri"/>
                <w:color w:val="000000"/>
              </w:rPr>
              <w:t>La présente norme marocaine spécifie les caractéristiques des tubes perforés et des accessoires fabriqués à</w:t>
            </w:r>
            <w:r w:rsidR="00B82BEC">
              <w:rPr>
                <w:rFonts w:ascii="Calibri" w:hAnsi="Calibri" w:cs="Calibri"/>
                <w:color w:val="000000"/>
              </w:rPr>
              <w:t xml:space="preserve"> </w:t>
            </w:r>
            <w:r w:rsidRPr="00B82BEC">
              <w:rPr>
                <w:rFonts w:ascii="Calibri" w:hAnsi="Calibri" w:cs="Calibri"/>
                <w:color w:val="000000"/>
              </w:rPr>
              <w:t>partir de poly(chlorure de vinyle) non plastifié (PVC-U), polyéthylène (PE) et polypropylène (PP), destinés à</w:t>
            </w:r>
            <w:r w:rsidR="00B82BEC">
              <w:rPr>
                <w:rFonts w:ascii="Calibri" w:hAnsi="Calibri" w:cs="Calibri"/>
                <w:color w:val="000000"/>
              </w:rPr>
              <w:t xml:space="preserve"> </w:t>
            </w:r>
            <w:r w:rsidRPr="00B82BEC">
              <w:rPr>
                <w:rFonts w:ascii="Calibri" w:hAnsi="Calibri" w:cs="Calibri"/>
                <w:color w:val="000000"/>
              </w:rPr>
              <w:t>être utilisés dans les systèmes de canalisations en thermoplastiques pour le drainage enterré des ouvrages de</w:t>
            </w:r>
            <w:r w:rsidRPr="00B82BEC">
              <w:rPr>
                <w:rFonts w:ascii="Calibri" w:hAnsi="Calibri" w:cs="Calibri"/>
                <w:color w:val="000000"/>
              </w:rPr>
              <w:br/>
              <w:t>voirie, travaux publics et autres ouvrages de génie civil.</w:t>
            </w:r>
          </w:p>
          <w:p w:rsidR="004E60BB" w:rsidRDefault="007876B6" w:rsidP="004E60BB">
            <w:pPr>
              <w:spacing w:after="0" w:line="240" w:lineRule="auto"/>
              <w:jc w:val="both"/>
              <w:rPr>
                <w:rFonts w:ascii="Calibri" w:hAnsi="Calibri" w:cs="Calibri"/>
                <w:color w:val="000000"/>
              </w:rPr>
            </w:pPr>
            <w:r w:rsidRPr="00B82BEC">
              <w:rPr>
                <w:rFonts w:ascii="Calibri" w:hAnsi="Calibri" w:cs="Calibri"/>
                <w:color w:val="000000"/>
              </w:rPr>
              <w:t>Le présent document spécifie également les caractéristiques des tubes non perforés qui, pour des raisons de</w:t>
            </w:r>
            <w:r w:rsidR="004E60BB">
              <w:rPr>
                <w:rFonts w:ascii="Calibri" w:hAnsi="Calibri" w:cs="Calibri"/>
                <w:color w:val="000000"/>
              </w:rPr>
              <w:t xml:space="preserve"> </w:t>
            </w:r>
            <w:r w:rsidRPr="00B82BEC">
              <w:rPr>
                <w:rFonts w:ascii="Calibri" w:hAnsi="Calibri" w:cs="Calibri"/>
                <w:color w:val="000000"/>
              </w:rPr>
              <w:t>continuité des ouvrages, peuvent être utilisés pour des convoyages courts ou des rejets vers un réseau d’eau</w:t>
            </w:r>
            <w:r w:rsidR="004E60BB">
              <w:rPr>
                <w:rFonts w:ascii="Calibri" w:hAnsi="Calibri" w:cs="Calibri"/>
                <w:color w:val="000000"/>
              </w:rPr>
              <w:t xml:space="preserve"> </w:t>
            </w:r>
            <w:r w:rsidRPr="00B82BEC">
              <w:rPr>
                <w:rFonts w:ascii="Calibri" w:hAnsi="Calibri" w:cs="Calibri"/>
                <w:color w:val="000000"/>
              </w:rPr>
              <w:t>pluviale. Ces tubes non perforés ne satisfont pas les exigences de la NM EN 13476 qui s’applique aux tubes à</w:t>
            </w:r>
            <w:r w:rsidR="004E60BB">
              <w:rPr>
                <w:rFonts w:ascii="Calibri" w:hAnsi="Calibri" w:cs="Calibri"/>
                <w:color w:val="000000"/>
              </w:rPr>
              <w:t xml:space="preserve"> </w:t>
            </w:r>
            <w:r w:rsidRPr="00B82BEC">
              <w:rPr>
                <w:rFonts w:ascii="Calibri" w:hAnsi="Calibri" w:cs="Calibri"/>
                <w:color w:val="000000"/>
              </w:rPr>
              <w:t>parois structurées, destinés à être utilisés enterrés pour le transport des eaux usées et des eaux pluviales.</w:t>
            </w:r>
          </w:p>
          <w:p w:rsidR="004E60BB" w:rsidRDefault="007876B6" w:rsidP="004E60BB">
            <w:pPr>
              <w:spacing w:after="0" w:line="240" w:lineRule="auto"/>
              <w:jc w:val="both"/>
              <w:rPr>
                <w:rFonts w:ascii="Calibri" w:hAnsi="Calibri" w:cs="Calibri"/>
                <w:color w:val="000000"/>
              </w:rPr>
            </w:pPr>
            <w:r w:rsidRPr="00B82BEC">
              <w:rPr>
                <w:rFonts w:ascii="Calibri" w:hAnsi="Calibri" w:cs="Calibri"/>
                <w:color w:val="000000"/>
              </w:rPr>
              <w:t>De plus, ces tubes non perforés ne permettent pas de satisfaire les exigences générales définies dans la</w:t>
            </w:r>
            <w:r w:rsidR="004E60BB">
              <w:rPr>
                <w:rFonts w:ascii="Calibri" w:hAnsi="Calibri" w:cs="Calibri"/>
                <w:color w:val="000000"/>
              </w:rPr>
              <w:t xml:space="preserve"> </w:t>
            </w:r>
            <w:r w:rsidRPr="00B82BEC">
              <w:rPr>
                <w:rFonts w:ascii="Calibri" w:hAnsi="Calibri" w:cs="Calibri"/>
                <w:color w:val="000000"/>
              </w:rPr>
              <w:t>NM EN 476.</w:t>
            </w:r>
          </w:p>
          <w:p w:rsidR="004E60BB" w:rsidRDefault="007876B6" w:rsidP="004E60BB">
            <w:pPr>
              <w:spacing w:after="0" w:line="240" w:lineRule="auto"/>
              <w:jc w:val="both"/>
              <w:rPr>
                <w:rFonts w:ascii="Calibri" w:hAnsi="Calibri" w:cs="Calibri"/>
                <w:color w:val="000000"/>
              </w:rPr>
            </w:pPr>
            <w:r w:rsidRPr="00B82BEC">
              <w:rPr>
                <w:rFonts w:ascii="Calibri" w:hAnsi="Calibri" w:cs="Calibri"/>
                <w:color w:val="000000"/>
              </w:rPr>
              <w:t>Il est applicable aux systèmes de canalisations destinés à collecter et transporter par gravité les eaux de surface</w:t>
            </w:r>
            <w:r w:rsidR="004E60BB">
              <w:rPr>
                <w:rFonts w:ascii="Calibri" w:hAnsi="Calibri" w:cs="Calibri"/>
                <w:color w:val="000000"/>
              </w:rPr>
              <w:t xml:space="preserve"> </w:t>
            </w:r>
            <w:r w:rsidRPr="00B82BEC">
              <w:rPr>
                <w:rFonts w:ascii="Calibri" w:hAnsi="Calibri" w:cs="Calibri"/>
                <w:color w:val="000000"/>
              </w:rPr>
              <w:t>et d’infiltration. Il s’applique au drainage et au transport des eaux percolées par infiltration :</w:t>
            </w:r>
          </w:p>
          <w:p w:rsidR="004E60BB" w:rsidRDefault="007876B6" w:rsidP="004E60BB">
            <w:pPr>
              <w:spacing w:after="0" w:line="240" w:lineRule="auto"/>
              <w:jc w:val="both"/>
              <w:rPr>
                <w:rFonts w:ascii="Calibri" w:hAnsi="Calibri" w:cs="Calibri"/>
                <w:color w:val="000000"/>
              </w:rPr>
            </w:pPr>
            <w:r w:rsidRPr="00B82BEC">
              <w:rPr>
                <w:rFonts w:ascii="Calibri" w:hAnsi="Calibri" w:cs="Calibri"/>
                <w:color w:val="000000"/>
              </w:rPr>
              <w:t>— des corps de voirie et des voies ferrées ;</w:t>
            </w:r>
          </w:p>
          <w:p w:rsidR="004E60BB" w:rsidRDefault="007876B6" w:rsidP="004E60BB">
            <w:pPr>
              <w:spacing w:after="0" w:line="240" w:lineRule="auto"/>
              <w:jc w:val="both"/>
              <w:rPr>
                <w:rFonts w:ascii="Calibri" w:hAnsi="Calibri" w:cs="Calibri"/>
                <w:color w:val="000000"/>
              </w:rPr>
            </w:pPr>
            <w:r w:rsidRPr="00B82BEC">
              <w:rPr>
                <w:rFonts w:ascii="Calibri" w:hAnsi="Calibri" w:cs="Calibri"/>
                <w:color w:val="000000"/>
              </w:rPr>
              <w:t>— d’autres ouvrages de génie civil (aéroports, parkings, tunnels, ouvrages d’art, culées, stabilisation de sols,</w:t>
            </w:r>
            <w:r w:rsidR="004E60BB">
              <w:rPr>
                <w:rFonts w:ascii="Calibri" w:hAnsi="Calibri" w:cs="Calibri"/>
                <w:color w:val="000000"/>
              </w:rPr>
              <w:t xml:space="preserve"> </w:t>
            </w:r>
            <w:r w:rsidRPr="00B82BEC">
              <w:rPr>
                <w:rFonts w:ascii="Calibri" w:hAnsi="Calibri" w:cs="Calibri"/>
                <w:color w:val="000000"/>
              </w:rPr>
              <w:t>terrains de sport, etc.) ;</w:t>
            </w:r>
          </w:p>
          <w:p w:rsidR="004E60BB" w:rsidRDefault="007876B6" w:rsidP="004E60BB">
            <w:pPr>
              <w:spacing w:after="0" w:line="240" w:lineRule="auto"/>
              <w:jc w:val="both"/>
              <w:rPr>
                <w:rFonts w:ascii="Calibri" w:hAnsi="Calibri" w:cs="Calibri"/>
                <w:color w:val="000000"/>
              </w:rPr>
            </w:pPr>
            <w:r w:rsidRPr="00B82BEC">
              <w:rPr>
                <w:rFonts w:ascii="Calibri" w:hAnsi="Calibri" w:cs="Calibri"/>
                <w:color w:val="000000"/>
              </w:rPr>
              <w:lastRenderedPageBreak/>
              <w:t>— provenant des infiltrations d’eaux de surface.</w:t>
            </w:r>
          </w:p>
          <w:p w:rsidR="004E60BB" w:rsidRDefault="007876B6" w:rsidP="004E60BB">
            <w:pPr>
              <w:spacing w:after="0" w:line="240" w:lineRule="auto"/>
              <w:jc w:val="both"/>
              <w:rPr>
                <w:rFonts w:ascii="Calibri" w:hAnsi="Calibri" w:cs="Calibri"/>
                <w:color w:val="000000"/>
              </w:rPr>
            </w:pPr>
            <w:r w:rsidRPr="00B82BEC">
              <w:rPr>
                <w:rFonts w:ascii="Calibri" w:hAnsi="Calibri" w:cs="Calibri"/>
                <w:color w:val="000000"/>
              </w:rPr>
              <w:t>Les systèmes de canalisations pour le drainage périphérique des bâtiments sont exclus du champ du présent</w:t>
            </w:r>
            <w:r w:rsidR="004E60BB">
              <w:rPr>
                <w:rFonts w:ascii="Calibri" w:hAnsi="Calibri" w:cs="Calibri"/>
                <w:color w:val="000000"/>
              </w:rPr>
              <w:t xml:space="preserve"> </w:t>
            </w:r>
            <w:r w:rsidRPr="00B82BEC">
              <w:rPr>
                <w:rFonts w:ascii="Calibri" w:hAnsi="Calibri" w:cs="Calibri"/>
                <w:color w:val="000000"/>
              </w:rPr>
              <w:t>document.</w:t>
            </w:r>
          </w:p>
          <w:p w:rsidR="004E60BB" w:rsidRDefault="007876B6" w:rsidP="004E60BB">
            <w:pPr>
              <w:spacing w:after="0" w:line="240" w:lineRule="auto"/>
              <w:jc w:val="both"/>
              <w:rPr>
                <w:rFonts w:ascii="Calibri" w:hAnsi="Calibri" w:cs="Calibri"/>
                <w:color w:val="000000"/>
              </w:rPr>
            </w:pPr>
            <w:r w:rsidRPr="00B82BEC">
              <w:rPr>
                <w:rFonts w:ascii="Calibri" w:hAnsi="Calibri" w:cs="Calibri"/>
                <w:color w:val="000000"/>
              </w:rPr>
              <w:t>Les systèmes de canalisations pour le drainage des centres de stockage de déchets sont exclus.</w:t>
            </w:r>
            <w:r w:rsidRPr="00B82BEC">
              <w:rPr>
                <w:rFonts w:ascii="Calibri" w:hAnsi="Calibri" w:cs="Calibri"/>
                <w:color w:val="000000"/>
              </w:rPr>
              <w:br/>
              <w:t>Ce document ne s’applique ni au transport des eaux usées ni au transport des eaux collectées par les égouts.</w:t>
            </w:r>
          </w:p>
          <w:p w:rsidR="004E60BB" w:rsidRDefault="007876B6" w:rsidP="004E60BB">
            <w:pPr>
              <w:spacing w:after="0" w:line="240" w:lineRule="auto"/>
              <w:jc w:val="both"/>
              <w:rPr>
                <w:rFonts w:ascii="Calibri" w:hAnsi="Calibri" w:cs="Calibri"/>
                <w:color w:val="000000"/>
              </w:rPr>
            </w:pPr>
            <w:r w:rsidRPr="00B82BEC">
              <w:rPr>
                <w:rFonts w:ascii="Calibri" w:hAnsi="Calibri" w:cs="Calibri"/>
                <w:color w:val="000000"/>
              </w:rPr>
              <w:t>Le présent document fournit également à titre informatif un guide pour l’évaluation de la conformité.</w:t>
            </w:r>
          </w:p>
          <w:p w:rsidR="007876B6" w:rsidRPr="00B82BEC" w:rsidRDefault="007876B6" w:rsidP="004E60BB">
            <w:pPr>
              <w:spacing w:after="0" w:line="240" w:lineRule="auto"/>
              <w:jc w:val="both"/>
              <w:rPr>
                <w:rFonts w:ascii="Calibri" w:hAnsi="Calibri" w:cs="Calibri"/>
                <w:color w:val="000000"/>
              </w:rPr>
            </w:pPr>
            <w:r w:rsidRPr="00B82BEC">
              <w:rPr>
                <w:rFonts w:ascii="Calibri" w:hAnsi="Calibri" w:cs="Calibri"/>
                <w:color w:val="000000"/>
              </w:rPr>
              <w:t>Il convient que le prescripteur s’assure que le tube utilisé est adapté à l’application envisagée notamment au</w:t>
            </w:r>
            <w:r w:rsidR="004E60BB">
              <w:rPr>
                <w:rFonts w:ascii="Calibri" w:hAnsi="Calibri" w:cs="Calibri"/>
                <w:color w:val="000000"/>
              </w:rPr>
              <w:t xml:space="preserve"> </w:t>
            </w:r>
            <w:r w:rsidRPr="00B82BEC">
              <w:rPr>
                <w:rFonts w:ascii="Calibri" w:hAnsi="Calibri" w:cs="Calibri"/>
                <w:color w:val="000000"/>
              </w:rPr>
              <w:t>niveau des règles de dimensionnement et de mise en oeuvre.</w:t>
            </w:r>
          </w:p>
        </w:tc>
      </w:tr>
      <w:tr w:rsidR="007876B6" w:rsidRPr="0043547B" w:rsidTr="00DA0443">
        <w:trPr>
          <w:trHeight w:val="315"/>
          <w:jc w:val="center"/>
        </w:trPr>
        <w:tc>
          <w:tcPr>
            <w:tcW w:w="1838" w:type="dxa"/>
            <w:tcBorders>
              <w:top w:val="single" w:sz="4" w:space="0" w:color="auto"/>
              <w:left w:val="single" w:sz="18" w:space="0" w:color="auto"/>
              <w:bottom w:val="single" w:sz="18" w:space="0" w:color="auto"/>
              <w:right w:val="single" w:sz="4" w:space="0" w:color="auto"/>
            </w:tcBorders>
            <w:shd w:val="clear" w:color="auto" w:fill="C2D69B" w:themeFill="accent3" w:themeFillTint="99"/>
            <w:vAlign w:val="center"/>
          </w:tcPr>
          <w:p w:rsidR="007876B6" w:rsidRDefault="007876B6" w:rsidP="001327D9">
            <w:pPr>
              <w:spacing w:after="0" w:line="240" w:lineRule="auto"/>
              <w:jc w:val="center"/>
              <w:rPr>
                <w:rFonts w:ascii="Calibri" w:hAnsi="Calibri" w:cs="Calibri"/>
                <w:b/>
                <w:bCs/>
                <w:sz w:val="24"/>
                <w:szCs w:val="24"/>
              </w:rPr>
            </w:pPr>
            <w:r>
              <w:rPr>
                <w:rFonts w:ascii="Calibri" w:hAnsi="Calibri" w:cs="Calibri"/>
                <w:b/>
                <w:bCs/>
              </w:rPr>
              <w:lastRenderedPageBreak/>
              <w:t>Code</w:t>
            </w:r>
          </w:p>
        </w:tc>
        <w:tc>
          <w:tcPr>
            <w:tcW w:w="7938" w:type="dxa"/>
            <w:tcBorders>
              <w:top w:val="single" w:sz="4" w:space="0" w:color="auto"/>
              <w:left w:val="single" w:sz="4" w:space="0" w:color="auto"/>
              <w:bottom w:val="single" w:sz="18" w:space="0" w:color="auto"/>
              <w:right w:val="single" w:sz="18" w:space="0" w:color="auto"/>
            </w:tcBorders>
            <w:shd w:val="clear" w:color="auto" w:fill="C2D69B" w:themeFill="accent3" w:themeFillTint="99"/>
            <w:noWrap/>
            <w:vAlign w:val="center"/>
          </w:tcPr>
          <w:p w:rsidR="007876B6" w:rsidRPr="001327D9" w:rsidRDefault="007876B6" w:rsidP="001327D9">
            <w:pPr>
              <w:spacing w:after="0" w:line="240" w:lineRule="auto"/>
              <w:jc w:val="center"/>
              <w:rPr>
                <w:rFonts w:ascii="Calibri" w:hAnsi="Calibri" w:cs="Calibri"/>
                <w:b/>
                <w:bCs/>
                <w:color w:val="000000"/>
                <w:sz w:val="24"/>
                <w:szCs w:val="24"/>
              </w:rPr>
            </w:pPr>
            <w:r w:rsidRPr="001327D9">
              <w:rPr>
                <w:rFonts w:ascii="Calibri" w:hAnsi="Calibri" w:cs="Calibri"/>
                <w:b/>
                <w:bCs/>
                <w:color w:val="000000"/>
                <w:sz w:val="24"/>
                <w:szCs w:val="24"/>
              </w:rPr>
              <w:t>NM EN 1453-1</w:t>
            </w:r>
          </w:p>
        </w:tc>
      </w:tr>
      <w:tr w:rsidR="007876B6" w:rsidRPr="0043547B" w:rsidTr="00DA0443">
        <w:trPr>
          <w:trHeight w:val="315"/>
          <w:jc w:val="center"/>
        </w:trPr>
        <w:tc>
          <w:tcPr>
            <w:tcW w:w="1838" w:type="dxa"/>
            <w:tcBorders>
              <w:top w:val="single" w:sz="4" w:space="0" w:color="auto"/>
              <w:left w:val="single" w:sz="18" w:space="0" w:color="auto"/>
              <w:bottom w:val="single" w:sz="18" w:space="0" w:color="auto"/>
              <w:right w:val="single" w:sz="4" w:space="0" w:color="auto"/>
            </w:tcBorders>
            <w:shd w:val="clear" w:color="auto" w:fill="FFFF99"/>
            <w:vAlign w:val="center"/>
          </w:tcPr>
          <w:p w:rsidR="007876B6" w:rsidRDefault="007876B6" w:rsidP="001327D9">
            <w:pPr>
              <w:spacing w:after="0" w:line="240" w:lineRule="auto"/>
              <w:jc w:val="center"/>
              <w:rPr>
                <w:rFonts w:ascii="Calibri" w:hAnsi="Calibri" w:cs="Calibri"/>
                <w:b/>
                <w:bCs/>
                <w:sz w:val="24"/>
                <w:szCs w:val="24"/>
              </w:rPr>
            </w:pPr>
            <w:r>
              <w:rPr>
                <w:rFonts w:ascii="Calibri" w:hAnsi="Calibri" w:cs="Calibri"/>
                <w:b/>
                <w:bCs/>
              </w:rPr>
              <w:t>Equivalence</w:t>
            </w:r>
          </w:p>
        </w:tc>
        <w:tc>
          <w:tcPr>
            <w:tcW w:w="7938" w:type="dxa"/>
            <w:tcBorders>
              <w:top w:val="single" w:sz="4" w:space="0" w:color="auto"/>
              <w:left w:val="single" w:sz="4" w:space="0" w:color="auto"/>
              <w:bottom w:val="single" w:sz="18" w:space="0" w:color="auto"/>
              <w:right w:val="single" w:sz="18" w:space="0" w:color="auto"/>
            </w:tcBorders>
            <w:shd w:val="clear" w:color="auto" w:fill="FFFF99"/>
            <w:noWrap/>
            <w:vAlign w:val="center"/>
          </w:tcPr>
          <w:p w:rsidR="007876B6" w:rsidRPr="001327D9" w:rsidRDefault="007876B6" w:rsidP="001327D9">
            <w:pPr>
              <w:spacing w:after="0" w:line="240" w:lineRule="auto"/>
              <w:jc w:val="center"/>
              <w:rPr>
                <w:rFonts w:ascii="Calibri" w:hAnsi="Calibri" w:cs="Calibri"/>
                <w:b/>
                <w:bCs/>
                <w:color w:val="000000"/>
                <w:sz w:val="24"/>
                <w:szCs w:val="24"/>
              </w:rPr>
            </w:pPr>
            <w:r w:rsidRPr="001327D9">
              <w:rPr>
                <w:rFonts w:ascii="Calibri" w:hAnsi="Calibri" w:cs="Calibri"/>
                <w:b/>
                <w:bCs/>
                <w:color w:val="000000"/>
                <w:sz w:val="24"/>
                <w:szCs w:val="24"/>
              </w:rPr>
              <w:t>EN 1453-1</w:t>
            </w:r>
          </w:p>
        </w:tc>
      </w:tr>
      <w:tr w:rsidR="007876B6" w:rsidRPr="0043547B" w:rsidTr="00DA0443">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95B3D7" w:themeFill="accent1" w:themeFillTint="99"/>
            <w:vAlign w:val="center"/>
          </w:tcPr>
          <w:p w:rsidR="007876B6" w:rsidRDefault="004E60BB" w:rsidP="001327D9">
            <w:pPr>
              <w:spacing w:after="0" w:line="240" w:lineRule="auto"/>
              <w:jc w:val="center"/>
              <w:rPr>
                <w:rFonts w:ascii="Calibri" w:hAnsi="Calibri" w:cs="Calibri"/>
                <w:b/>
                <w:bCs/>
              </w:rPr>
            </w:pPr>
            <w:r>
              <w:rPr>
                <w:rFonts w:ascii="Calibri" w:hAnsi="Calibri" w:cs="Calibri"/>
                <w:b/>
                <w:bCs/>
              </w:rPr>
              <w:t>Intitulé</w:t>
            </w:r>
          </w:p>
          <w:p w:rsidR="001327D9" w:rsidRDefault="001327D9" w:rsidP="001327D9">
            <w:pPr>
              <w:spacing w:after="0" w:line="240" w:lineRule="auto"/>
              <w:jc w:val="center"/>
              <w:rPr>
                <w:rFonts w:ascii="Calibri" w:hAnsi="Calibri" w:cs="Calibri"/>
                <w:b/>
                <w:bCs/>
                <w:sz w:val="24"/>
                <w:szCs w:val="24"/>
              </w:rPr>
            </w:pPr>
          </w:p>
        </w:tc>
        <w:tc>
          <w:tcPr>
            <w:tcW w:w="7938" w:type="dxa"/>
            <w:tcBorders>
              <w:top w:val="single" w:sz="18" w:space="0" w:color="auto"/>
              <w:left w:val="single" w:sz="4" w:space="0" w:color="auto"/>
              <w:bottom w:val="single" w:sz="4" w:space="0" w:color="auto"/>
              <w:right w:val="single" w:sz="18" w:space="0" w:color="auto"/>
            </w:tcBorders>
            <w:shd w:val="clear" w:color="auto" w:fill="FFFFFF" w:themeFill="background1"/>
            <w:noWrap/>
            <w:vAlign w:val="center"/>
          </w:tcPr>
          <w:p w:rsidR="007876B6" w:rsidRPr="001327D9" w:rsidRDefault="007876B6" w:rsidP="001327D9">
            <w:pPr>
              <w:spacing w:after="0" w:line="240" w:lineRule="auto"/>
              <w:jc w:val="both"/>
              <w:rPr>
                <w:rFonts w:ascii="Calibri" w:hAnsi="Calibri" w:cs="Calibri"/>
                <w:color w:val="000000"/>
              </w:rPr>
            </w:pPr>
            <w:r w:rsidRPr="001327D9">
              <w:rPr>
                <w:rFonts w:ascii="Calibri" w:hAnsi="Calibri" w:cs="Calibri"/>
                <w:color w:val="000000"/>
              </w:rPr>
              <w:t xml:space="preserve">Systèmes de canalisations en plastique avec des tubes à paroi structurée pour l'évacuation des eaux-vannes et des eaux usées (à basse et à haute température) à l'intérieur des bâtiments - Poly(chlorure de vinyle) non plastifié (PVC-U) - Partie 1 : Spécifications pour tubes et le système </w:t>
            </w:r>
          </w:p>
        </w:tc>
      </w:tr>
      <w:tr w:rsidR="007876B6" w:rsidRPr="0043547B" w:rsidTr="00DA0443">
        <w:trPr>
          <w:trHeight w:val="315"/>
          <w:jc w:val="center"/>
        </w:trPr>
        <w:tc>
          <w:tcPr>
            <w:tcW w:w="1838" w:type="dxa"/>
            <w:tcBorders>
              <w:top w:val="single" w:sz="4" w:space="0" w:color="auto"/>
              <w:left w:val="single" w:sz="18" w:space="0" w:color="auto"/>
              <w:bottom w:val="single" w:sz="18" w:space="0" w:color="auto"/>
              <w:right w:val="single" w:sz="4" w:space="0" w:color="auto"/>
            </w:tcBorders>
            <w:shd w:val="clear" w:color="auto" w:fill="D9D9D9" w:themeFill="background1" w:themeFillShade="D9"/>
            <w:vAlign w:val="center"/>
          </w:tcPr>
          <w:p w:rsidR="007876B6" w:rsidRDefault="007876B6" w:rsidP="001327D9">
            <w:pPr>
              <w:spacing w:after="0" w:line="240" w:lineRule="auto"/>
              <w:jc w:val="center"/>
              <w:rPr>
                <w:rFonts w:ascii="Calibri" w:hAnsi="Calibri" w:cs="Calibri"/>
                <w:b/>
                <w:bCs/>
                <w:sz w:val="24"/>
                <w:szCs w:val="24"/>
              </w:rPr>
            </w:pPr>
            <w:r>
              <w:rPr>
                <w:rFonts w:ascii="Calibri" w:hAnsi="Calibri" w:cs="Calibri"/>
                <w:b/>
                <w:bCs/>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FFFFFF" w:themeFill="background1"/>
            <w:noWrap/>
            <w:vAlign w:val="bottom"/>
          </w:tcPr>
          <w:p w:rsidR="00DA0443" w:rsidRDefault="007876B6" w:rsidP="00DA0443">
            <w:pPr>
              <w:spacing w:after="0" w:line="240" w:lineRule="auto"/>
              <w:jc w:val="both"/>
              <w:rPr>
                <w:rFonts w:ascii="Calibri" w:hAnsi="Calibri" w:cs="Calibri"/>
                <w:color w:val="000000"/>
              </w:rPr>
            </w:pPr>
            <w:r w:rsidRPr="001327D9">
              <w:rPr>
                <w:rFonts w:ascii="Calibri" w:hAnsi="Calibri" w:cs="Calibri"/>
                <w:color w:val="000000"/>
              </w:rPr>
              <w:t>La présente partie de l’EN 1453 spécifie les exigences pour les tubes à paroi structurée fabriqués à</w:t>
            </w:r>
            <w:r w:rsidR="00DA0443">
              <w:rPr>
                <w:rFonts w:ascii="Calibri" w:hAnsi="Calibri" w:cs="Calibri"/>
                <w:color w:val="000000"/>
              </w:rPr>
              <w:t xml:space="preserve"> </w:t>
            </w:r>
            <w:r w:rsidRPr="001327D9">
              <w:rPr>
                <w:rFonts w:ascii="Calibri" w:hAnsi="Calibri" w:cs="Calibri"/>
                <w:color w:val="000000"/>
              </w:rPr>
              <w:t>partir de poly(chlorure de vinyle) non plastifié (PVC-U) et le système destinés à être utilisés pour</w:t>
            </w:r>
            <w:r w:rsidR="00DA0443">
              <w:rPr>
                <w:rFonts w:ascii="Calibri" w:hAnsi="Calibri" w:cs="Calibri"/>
                <w:color w:val="000000"/>
              </w:rPr>
              <w:t xml:space="preserve"> </w:t>
            </w:r>
            <w:r w:rsidRPr="001327D9">
              <w:rPr>
                <w:rFonts w:ascii="Calibri" w:hAnsi="Calibri" w:cs="Calibri"/>
                <w:color w:val="000000"/>
              </w:rPr>
              <w:t>l'évacuation des eaux-vannes et des eaux usées (à basse et à haute température) à l'intérieur des</w:t>
            </w:r>
            <w:r w:rsidR="00DA0443">
              <w:rPr>
                <w:rFonts w:ascii="Calibri" w:hAnsi="Calibri" w:cs="Calibri"/>
                <w:color w:val="000000"/>
              </w:rPr>
              <w:t xml:space="preserve"> </w:t>
            </w:r>
            <w:r w:rsidRPr="001327D9">
              <w:rPr>
                <w:rFonts w:ascii="Calibri" w:hAnsi="Calibri" w:cs="Calibri"/>
                <w:color w:val="000000"/>
              </w:rPr>
              <w:t>bâtiments (code de zone d’application « B »).</w:t>
            </w:r>
          </w:p>
          <w:p w:rsidR="00DA0443" w:rsidRPr="00DA0443" w:rsidRDefault="007876B6" w:rsidP="00DA0443">
            <w:pPr>
              <w:spacing w:after="0" w:line="240" w:lineRule="auto"/>
              <w:jc w:val="both"/>
              <w:rPr>
                <w:rFonts w:ascii="Calibri" w:hAnsi="Calibri" w:cs="Calibri"/>
                <w:i/>
                <w:iCs/>
                <w:color w:val="000000"/>
                <w:sz w:val="20"/>
                <w:szCs w:val="20"/>
              </w:rPr>
            </w:pPr>
            <w:r w:rsidRPr="00DA0443">
              <w:rPr>
                <w:rFonts w:ascii="Calibri" w:hAnsi="Calibri" w:cs="Calibri"/>
                <w:b/>
                <w:bCs/>
                <w:i/>
                <w:iCs/>
                <w:color w:val="000000"/>
                <w:sz w:val="20"/>
                <w:szCs w:val="20"/>
              </w:rPr>
              <w:t>NOTE 1</w:t>
            </w:r>
            <w:r w:rsidR="00DA0443" w:rsidRPr="00DA0443">
              <w:rPr>
                <w:rFonts w:ascii="Calibri" w:hAnsi="Calibri" w:cs="Calibri"/>
                <w:i/>
                <w:iCs/>
                <w:color w:val="000000"/>
                <w:sz w:val="20"/>
                <w:szCs w:val="20"/>
              </w:rPr>
              <w:t xml:space="preserve"> : </w:t>
            </w:r>
            <w:r w:rsidRPr="00DA0443">
              <w:rPr>
                <w:rFonts w:ascii="Calibri" w:hAnsi="Calibri" w:cs="Calibri"/>
                <w:i/>
                <w:iCs/>
                <w:color w:val="000000"/>
                <w:sz w:val="20"/>
                <w:szCs w:val="20"/>
              </w:rPr>
              <w:t>L’utilisation prévue est repérée au niveau du marquage des produits par « B ».</w:t>
            </w:r>
          </w:p>
          <w:p w:rsidR="00DA0443" w:rsidRDefault="007876B6" w:rsidP="00DA0443">
            <w:pPr>
              <w:spacing w:after="0" w:line="240" w:lineRule="auto"/>
              <w:jc w:val="both"/>
              <w:rPr>
                <w:rFonts w:ascii="Calibri" w:hAnsi="Calibri" w:cs="Calibri"/>
                <w:color w:val="000000"/>
              </w:rPr>
            </w:pPr>
            <w:r w:rsidRPr="001327D9">
              <w:rPr>
                <w:rFonts w:ascii="Calibri" w:hAnsi="Calibri" w:cs="Calibri"/>
                <w:color w:val="000000"/>
              </w:rPr>
              <w:t>La présente partie de l’EN 1453 s’applique également aux tubes à paroi structurée fabriqués à partir de</w:t>
            </w:r>
            <w:r w:rsidR="00DA0443">
              <w:rPr>
                <w:rFonts w:ascii="Calibri" w:hAnsi="Calibri" w:cs="Calibri"/>
                <w:color w:val="000000"/>
              </w:rPr>
              <w:t xml:space="preserve"> </w:t>
            </w:r>
            <w:r w:rsidRPr="001327D9">
              <w:rPr>
                <w:rFonts w:ascii="Calibri" w:hAnsi="Calibri" w:cs="Calibri"/>
                <w:color w:val="000000"/>
              </w:rPr>
              <w:t>poly(chlorure de vinyle) non plastifié (PVC-U) et le système destinés aux usages suivants :</w:t>
            </w:r>
          </w:p>
          <w:p w:rsidR="00DA0443" w:rsidRDefault="00DA0443" w:rsidP="00DA0443">
            <w:pPr>
              <w:spacing w:after="0" w:line="240" w:lineRule="auto"/>
              <w:jc w:val="both"/>
              <w:rPr>
                <w:rFonts w:ascii="Calibri" w:hAnsi="Calibri" w:cs="Calibri"/>
                <w:color w:val="000000"/>
              </w:rPr>
            </w:pPr>
            <w:r>
              <w:rPr>
                <w:rFonts w:ascii="Calibri" w:hAnsi="Calibri" w:cs="Calibri"/>
                <w:color w:val="000000"/>
              </w:rPr>
              <w:t>-</w:t>
            </w:r>
            <w:r w:rsidR="007876B6" w:rsidRPr="001327D9">
              <w:rPr>
                <w:rFonts w:ascii="Calibri" w:hAnsi="Calibri" w:cs="Calibri"/>
                <w:color w:val="000000"/>
              </w:rPr>
              <w:t xml:space="preserve"> élément de ventilation des canalisations associées à des applications d’évacuation</w:t>
            </w:r>
            <w:r w:rsidR="007876B6" w:rsidRPr="001327D9">
              <w:rPr>
                <w:rFonts w:ascii="Calibri" w:hAnsi="Calibri" w:cs="Calibri"/>
                <w:color w:val="000000"/>
              </w:rPr>
              <w:br/>
            </w:r>
            <w:r>
              <w:rPr>
                <w:rFonts w:ascii="Calibri" w:hAnsi="Calibri" w:cs="Calibri"/>
                <w:color w:val="000000"/>
              </w:rPr>
              <w:t>-</w:t>
            </w:r>
            <w:r w:rsidR="007876B6" w:rsidRPr="001327D9">
              <w:rPr>
                <w:rFonts w:ascii="Calibri" w:hAnsi="Calibri" w:cs="Calibri"/>
                <w:color w:val="000000"/>
              </w:rPr>
              <w:t xml:space="preserve"> canalisations pour les eaux pluviales à l'intérieur du bâtiment.</w:t>
            </w:r>
          </w:p>
          <w:p w:rsidR="00DA0443" w:rsidRDefault="007876B6" w:rsidP="00DA0443">
            <w:pPr>
              <w:spacing w:after="0" w:line="240" w:lineRule="auto"/>
              <w:jc w:val="both"/>
              <w:rPr>
                <w:rFonts w:ascii="Calibri" w:hAnsi="Calibri" w:cs="Calibri"/>
                <w:color w:val="000000"/>
              </w:rPr>
            </w:pPr>
            <w:r w:rsidRPr="001327D9">
              <w:rPr>
                <w:rFonts w:ascii="Calibri" w:hAnsi="Calibri" w:cs="Calibri"/>
                <w:color w:val="000000"/>
              </w:rPr>
              <w:t>Elle couvre également les paramètres d’essais pour les méthodes d’essai dont il est fait référence dans</w:t>
            </w:r>
            <w:r w:rsidR="00DA0443">
              <w:rPr>
                <w:rFonts w:ascii="Calibri" w:hAnsi="Calibri" w:cs="Calibri"/>
                <w:color w:val="000000"/>
              </w:rPr>
              <w:t xml:space="preserve"> </w:t>
            </w:r>
            <w:r w:rsidRPr="001327D9">
              <w:rPr>
                <w:rFonts w:ascii="Calibri" w:hAnsi="Calibri" w:cs="Calibri"/>
                <w:color w:val="000000"/>
              </w:rPr>
              <w:t>la présente norme.</w:t>
            </w:r>
          </w:p>
          <w:p w:rsidR="00DA0443" w:rsidRPr="00DA0443" w:rsidRDefault="007876B6" w:rsidP="00DA0443">
            <w:pPr>
              <w:spacing w:after="0" w:line="240" w:lineRule="auto"/>
              <w:jc w:val="both"/>
              <w:rPr>
                <w:rFonts w:ascii="Calibri" w:hAnsi="Calibri" w:cs="Calibri"/>
                <w:i/>
                <w:iCs/>
                <w:color w:val="000000"/>
                <w:sz w:val="20"/>
                <w:szCs w:val="20"/>
              </w:rPr>
            </w:pPr>
            <w:r w:rsidRPr="00DA0443">
              <w:rPr>
                <w:rFonts w:ascii="Calibri" w:hAnsi="Calibri" w:cs="Calibri"/>
                <w:b/>
                <w:bCs/>
                <w:i/>
                <w:iCs/>
                <w:color w:val="000000"/>
                <w:sz w:val="20"/>
                <w:szCs w:val="20"/>
              </w:rPr>
              <w:t>NOTE 2</w:t>
            </w:r>
            <w:r w:rsidR="00DA0443" w:rsidRPr="00DA0443">
              <w:rPr>
                <w:rFonts w:ascii="Calibri" w:hAnsi="Calibri" w:cs="Calibri"/>
                <w:i/>
                <w:iCs/>
                <w:color w:val="000000"/>
                <w:sz w:val="20"/>
                <w:szCs w:val="20"/>
              </w:rPr>
              <w:t> :</w:t>
            </w:r>
            <w:r w:rsidRPr="00DA0443">
              <w:rPr>
                <w:rFonts w:ascii="Calibri" w:hAnsi="Calibri" w:cs="Calibri"/>
                <w:i/>
                <w:iCs/>
                <w:color w:val="000000"/>
                <w:sz w:val="20"/>
                <w:szCs w:val="20"/>
              </w:rPr>
              <w:t xml:space="preserve"> Les tubes en PVC-U expansé simple couche et les tubes spiralés en PVC-U ne sont pas couverts par la</w:t>
            </w:r>
            <w:r w:rsidR="00DA0443" w:rsidRPr="00DA0443">
              <w:rPr>
                <w:rFonts w:ascii="Calibri" w:hAnsi="Calibri" w:cs="Calibri"/>
                <w:i/>
                <w:iCs/>
                <w:color w:val="000000"/>
                <w:sz w:val="20"/>
                <w:szCs w:val="20"/>
              </w:rPr>
              <w:t xml:space="preserve"> </w:t>
            </w:r>
            <w:r w:rsidRPr="00DA0443">
              <w:rPr>
                <w:rFonts w:ascii="Calibri" w:hAnsi="Calibri" w:cs="Calibri"/>
                <w:i/>
                <w:iCs/>
                <w:color w:val="000000"/>
                <w:sz w:val="20"/>
                <w:szCs w:val="20"/>
              </w:rPr>
              <w:t>présente norme.</w:t>
            </w:r>
          </w:p>
          <w:p w:rsidR="00DA0443" w:rsidRDefault="007876B6" w:rsidP="00DA0443">
            <w:pPr>
              <w:spacing w:after="0" w:line="240" w:lineRule="auto"/>
              <w:jc w:val="both"/>
              <w:rPr>
                <w:rFonts w:ascii="Calibri" w:hAnsi="Calibri" w:cs="Calibri"/>
                <w:color w:val="000000"/>
              </w:rPr>
            </w:pPr>
            <w:r w:rsidRPr="001327D9">
              <w:rPr>
                <w:rFonts w:ascii="Calibri" w:hAnsi="Calibri" w:cs="Calibri"/>
                <w:color w:val="000000"/>
              </w:rPr>
              <w:t>La présente norme couvre une gamme de dimensions nominales et donne des recommandations</w:t>
            </w:r>
            <w:r w:rsidR="00DA0443">
              <w:rPr>
                <w:rFonts w:ascii="Calibri" w:hAnsi="Calibri" w:cs="Calibri"/>
                <w:color w:val="000000"/>
              </w:rPr>
              <w:t xml:space="preserve"> </w:t>
            </w:r>
            <w:r w:rsidRPr="001327D9">
              <w:rPr>
                <w:rFonts w:ascii="Calibri" w:hAnsi="Calibri" w:cs="Calibri"/>
                <w:color w:val="000000"/>
              </w:rPr>
              <w:t>concernant les couleurs.</w:t>
            </w:r>
          </w:p>
          <w:p w:rsidR="00DA0443" w:rsidRPr="00DA0443" w:rsidRDefault="007876B6" w:rsidP="00DA0443">
            <w:pPr>
              <w:spacing w:after="0" w:line="240" w:lineRule="auto"/>
              <w:jc w:val="both"/>
              <w:rPr>
                <w:rFonts w:ascii="Calibri" w:hAnsi="Calibri" w:cs="Calibri"/>
                <w:i/>
                <w:iCs/>
                <w:color w:val="000000"/>
                <w:sz w:val="20"/>
                <w:szCs w:val="20"/>
              </w:rPr>
            </w:pPr>
            <w:r w:rsidRPr="00DA0443">
              <w:rPr>
                <w:rFonts w:ascii="Calibri" w:hAnsi="Calibri" w:cs="Calibri"/>
                <w:b/>
                <w:bCs/>
                <w:i/>
                <w:iCs/>
                <w:color w:val="000000"/>
                <w:sz w:val="20"/>
                <w:szCs w:val="20"/>
              </w:rPr>
              <w:t>NOTE 3</w:t>
            </w:r>
            <w:r w:rsidR="00DA0443" w:rsidRPr="00DA0443">
              <w:rPr>
                <w:rFonts w:ascii="Calibri" w:hAnsi="Calibri" w:cs="Calibri"/>
                <w:i/>
                <w:iCs/>
                <w:color w:val="000000"/>
                <w:sz w:val="20"/>
                <w:szCs w:val="20"/>
              </w:rPr>
              <w:t> :</w:t>
            </w:r>
            <w:r w:rsidRPr="00DA0443">
              <w:rPr>
                <w:rFonts w:ascii="Calibri" w:hAnsi="Calibri" w:cs="Calibri"/>
                <w:i/>
                <w:iCs/>
                <w:color w:val="000000"/>
                <w:sz w:val="20"/>
                <w:szCs w:val="20"/>
              </w:rPr>
              <w:t xml:space="preserve"> Il est de la responsabilité de l'acheteur ou du prescripteur de faire les sélections appropriées à partir</w:t>
            </w:r>
            <w:r w:rsidR="00DA0443" w:rsidRPr="00DA0443">
              <w:rPr>
                <w:rFonts w:ascii="Calibri" w:hAnsi="Calibri" w:cs="Calibri"/>
                <w:i/>
                <w:iCs/>
                <w:color w:val="000000"/>
                <w:sz w:val="20"/>
                <w:szCs w:val="20"/>
              </w:rPr>
              <w:t xml:space="preserve"> </w:t>
            </w:r>
            <w:r w:rsidRPr="00DA0443">
              <w:rPr>
                <w:rFonts w:ascii="Calibri" w:hAnsi="Calibri" w:cs="Calibri"/>
                <w:i/>
                <w:iCs/>
                <w:color w:val="000000"/>
                <w:sz w:val="20"/>
                <w:szCs w:val="20"/>
              </w:rPr>
              <w:t>de ces données en tenant compte des exigences particulières et des éventuelles règles nationales et des pratiques</w:t>
            </w:r>
            <w:r w:rsidR="00DA0443" w:rsidRPr="00DA0443">
              <w:rPr>
                <w:rFonts w:ascii="Calibri" w:hAnsi="Calibri" w:cs="Calibri"/>
                <w:i/>
                <w:iCs/>
                <w:color w:val="000000"/>
                <w:sz w:val="20"/>
                <w:szCs w:val="20"/>
              </w:rPr>
              <w:t xml:space="preserve"> </w:t>
            </w:r>
            <w:r w:rsidRPr="00DA0443">
              <w:rPr>
                <w:rFonts w:ascii="Calibri" w:hAnsi="Calibri" w:cs="Calibri"/>
                <w:i/>
                <w:iCs/>
                <w:color w:val="000000"/>
                <w:sz w:val="20"/>
                <w:szCs w:val="20"/>
              </w:rPr>
              <w:t>ou codes de pose appropriés.</w:t>
            </w:r>
          </w:p>
          <w:p w:rsidR="00DA0443" w:rsidRDefault="007876B6" w:rsidP="00DA0443">
            <w:pPr>
              <w:spacing w:after="0" w:line="240" w:lineRule="auto"/>
              <w:jc w:val="both"/>
              <w:rPr>
                <w:rFonts w:ascii="Calibri" w:hAnsi="Calibri" w:cs="Calibri"/>
                <w:color w:val="000000"/>
              </w:rPr>
            </w:pPr>
            <w:r w:rsidRPr="001327D9">
              <w:rPr>
                <w:rFonts w:ascii="Calibri" w:hAnsi="Calibri" w:cs="Calibri"/>
                <w:color w:val="000000"/>
              </w:rPr>
              <w:t>Pour une application externe en aérien il convient que soit spécifié entre le fabricant et l'utilisateur des</w:t>
            </w:r>
            <w:r w:rsidR="00DA0443">
              <w:rPr>
                <w:rFonts w:ascii="Calibri" w:hAnsi="Calibri" w:cs="Calibri"/>
                <w:color w:val="000000"/>
              </w:rPr>
              <w:t xml:space="preserve"> </w:t>
            </w:r>
            <w:r w:rsidRPr="001327D9">
              <w:rPr>
                <w:rFonts w:ascii="Calibri" w:hAnsi="Calibri" w:cs="Calibri"/>
                <w:color w:val="000000"/>
              </w:rPr>
              <w:t>exigences supplémentaires dépendant des conditions climatiques.</w:t>
            </w:r>
          </w:p>
          <w:p w:rsidR="00DA0443" w:rsidRPr="00DA0443" w:rsidRDefault="007876B6" w:rsidP="006B128C">
            <w:pPr>
              <w:spacing w:after="0" w:line="240" w:lineRule="auto"/>
              <w:jc w:val="both"/>
              <w:rPr>
                <w:rFonts w:ascii="Calibri" w:hAnsi="Calibri" w:cs="Calibri"/>
                <w:i/>
                <w:iCs/>
                <w:color w:val="000000"/>
                <w:sz w:val="20"/>
                <w:szCs w:val="20"/>
              </w:rPr>
            </w:pPr>
            <w:r w:rsidRPr="00DA0443">
              <w:rPr>
                <w:rFonts w:ascii="Calibri" w:hAnsi="Calibri" w:cs="Calibri"/>
                <w:i/>
                <w:iCs/>
                <w:color w:val="000000"/>
                <w:sz w:val="20"/>
                <w:szCs w:val="20"/>
              </w:rPr>
              <w:t>NOTE 4</w:t>
            </w:r>
            <w:r w:rsidR="00DA0443" w:rsidRPr="00DA0443">
              <w:rPr>
                <w:rFonts w:ascii="Calibri" w:hAnsi="Calibri" w:cs="Calibri"/>
                <w:i/>
                <w:iCs/>
                <w:color w:val="000000"/>
                <w:sz w:val="20"/>
                <w:szCs w:val="20"/>
              </w:rPr>
              <w:t xml:space="preserve"> : </w:t>
            </w:r>
            <w:r w:rsidRPr="00DA0443">
              <w:rPr>
                <w:rFonts w:ascii="Calibri" w:hAnsi="Calibri" w:cs="Calibri"/>
                <w:i/>
                <w:iCs/>
                <w:color w:val="000000"/>
                <w:sz w:val="20"/>
                <w:szCs w:val="20"/>
              </w:rPr>
              <w:t>Les tubes conformes à la présente norme sont normalement utilisés avec des raccords conformes à</w:t>
            </w:r>
            <w:r w:rsidR="00DA0443" w:rsidRPr="00DA0443">
              <w:rPr>
                <w:rFonts w:ascii="Calibri" w:hAnsi="Calibri" w:cs="Calibri"/>
                <w:i/>
                <w:iCs/>
                <w:color w:val="000000"/>
                <w:sz w:val="20"/>
                <w:szCs w:val="20"/>
              </w:rPr>
              <w:t xml:space="preserve"> </w:t>
            </w:r>
            <w:r w:rsidRPr="00DA0443">
              <w:rPr>
                <w:rFonts w:ascii="Calibri" w:hAnsi="Calibri" w:cs="Calibri"/>
                <w:i/>
                <w:iCs/>
                <w:color w:val="000000"/>
                <w:sz w:val="20"/>
                <w:szCs w:val="20"/>
              </w:rPr>
              <w:t>l'EN 1329-1 [1]. Les tubes, raccords et composants conformes à l’une des normes produits listées dans l’Annexe C</w:t>
            </w:r>
            <w:r w:rsidR="00DA0443" w:rsidRPr="00DA0443">
              <w:rPr>
                <w:rFonts w:ascii="Calibri" w:hAnsi="Calibri" w:cs="Calibri"/>
                <w:i/>
                <w:iCs/>
                <w:color w:val="000000"/>
                <w:sz w:val="20"/>
                <w:szCs w:val="20"/>
              </w:rPr>
              <w:t xml:space="preserve"> </w:t>
            </w:r>
            <w:r w:rsidRPr="00DA0443">
              <w:rPr>
                <w:rFonts w:ascii="Calibri" w:hAnsi="Calibri" w:cs="Calibri"/>
                <w:i/>
                <w:iCs/>
                <w:color w:val="000000"/>
                <w:sz w:val="20"/>
                <w:szCs w:val="20"/>
              </w:rPr>
              <w:t>peuvent également être utilisés avec des tubes conformes à la présente norme sous réserve qu'ils répondent aux</w:t>
            </w:r>
            <w:r w:rsidR="006B128C">
              <w:rPr>
                <w:rFonts w:ascii="Calibri" w:hAnsi="Calibri" w:cs="Calibri"/>
                <w:i/>
                <w:iCs/>
                <w:color w:val="000000"/>
                <w:sz w:val="20"/>
                <w:szCs w:val="20"/>
              </w:rPr>
              <w:t xml:space="preserve"> </w:t>
            </w:r>
            <w:r w:rsidRPr="00DA0443">
              <w:rPr>
                <w:rFonts w:ascii="Calibri" w:hAnsi="Calibri" w:cs="Calibri"/>
                <w:i/>
                <w:iCs/>
                <w:color w:val="000000"/>
                <w:sz w:val="20"/>
                <w:szCs w:val="20"/>
              </w:rPr>
              <w:t>exigences dimensionnelles des assemblages données à l’Article 6 et aux exigences du Tableau 11.</w:t>
            </w:r>
          </w:p>
          <w:p w:rsidR="00DA0443" w:rsidRPr="00DA0443" w:rsidRDefault="007876B6" w:rsidP="00DA0443">
            <w:pPr>
              <w:spacing w:after="0" w:line="240" w:lineRule="auto"/>
              <w:jc w:val="both"/>
              <w:rPr>
                <w:rFonts w:ascii="Calibri" w:hAnsi="Calibri" w:cs="Calibri"/>
                <w:i/>
                <w:iCs/>
                <w:color w:val="000000"/>
                <w:sz w:val="20"/>
                <w:szCs w:val="20"/>
              </w:rPr>
            </w:pPr>
            <w:r w:rsidRPr="006B128C">
              <w:rPr>
                <w:rFonts w:ascii="Calibri" w:hAnsi="Calibri" w:cs="Calibri"/>
                <w:b/>
                <w:bCs/>
                <w:i/>
                <w:iCs/>
                <w:color w:val="000000"/>
                <w:sz w:val="20"/>
                <w:szCs w:val="20"/>
              </w:rPr>
              <w:t>NOTE 5</w:t>
            </w:r>
            <w:r w:rsidR="00DA0443" w:rsidRPr="00DA0443">
              <w:rPr>
                <w:rFonts w:ascii="Calibri" w:hAnsi="Calibri" w:cs="Calibri"/>
                <w:i/>
                <w:iCs/>
                <w:color w:val="000000"/>
                <w:sz w:val="20"/>
                <w:szCs w:val="20"/>
              </w:rPr>
              <w:t xml:space="preserve"> : </w:t>
            </w:r>
            <w:r w:rsidRPr="00DA0443">
              <w:rPr>
                <w:rFonts w:ascii="Calibri" w:hAnsi="Calibri" w:cs="Calibri"/>
                <w:i/>
                <w:iCs/>
                <w:color w:val="000000"/>
                <w:sz w:val="20"/>
                <w:szCs w:val="20"/>
              </w:rPr>
              <w:t>Les assemblages et colles sont considérés comme faisant partie du système tel que couvert dans le</w:t>
            </w:r>
            <w:r w:rsidR="00DA0443" w:rsidRPr="00DA0443">
              <w:rPr>
                <w:rFonts w:ascii="Calibri" w:hAnsi="Calibri" w:cs="Calibri"/>
                <w:i/>
                <w:iCs/>
                <w:color w:val="000000"/>
                <w:sz w:val="20"/>
                <w:szCs w:val="20"/>
              </w:rPr>
              <w:t xml:space="preserve"> </w:t>
            </w:r>
            <w:r w:rsidRPr="00DA0443">
              <w:rPr>
                <w:rFonts w:ascii="Calibri" w:hAnsi="Calibri" w:cs="Calibri"/>
                <w:i/>
                <w:iCs/>
                <w:color w:val="000000"/>
                <w:sz w:val="20"/>
                <w:szCs w:val="20"/>
              </w:rPr>
              <w:t>domaine d’application.</w:t>
            </w:r>
          </w:p>
          <w:p w:rsidR="007876B6" w:rsidRPr="001327D9" w:rsidRDefault="007876B6" w:rsidP="00DA0443">
            <w:pPr>
              <w:spacing w:after="0" w:line="240" w:lineRule="auto"/>
              <w:jc w:val="both"/>
              <w:rPr>
                <w:rFonts w:ascii="Calibri" w:hAnsi="Calibri" w:cs="Calibri"/>
                <w:color w:val="000000"/>
              </w:rPr>
            </w:pPr>
            <w:r w:rsidRPr="006B128C">
              <w:rPr>
                <w:rFonts w:ascii="Calibri" w:hAnsi="Calibri" w:cs="Calibri"/>
                <w:b/>
                <w:bCs/>
                <w:i/>
                <w:iCs/>
                <w:color w:val="000000"/>
                <w:sz w:val="20"/>
                <w:szCs w:val="20"/>
              </w:rPr>
              <w:t>NOTE 6</w:t>
            </w:r>
            <w:r w:rsidR="00DA0443" w:rsidRPr="00DA0443">
              <w:rPr>
                <w:rFonts w:ascii="Calibri" w:hAnsi="Calibri" w:cs="Calibri"/>
                <w:i/>
                <w:iCs/>
                <w:color w:val="000000"/>
                <w:sz w:val="20"/>
                <w:szCs w:val="20"/>
              </w:rPr>
              <w:t xml:space="preserve"> : </w:t>
            </w:r>
            <w:r w:rsidRPr="00DA0443">
              <w:rPr>
                <w:rFonts w:ascii="Calibri" w:hAnsi="Calibri" w:cs="Calibri"/>
                <w:i/>
                <w:iCs/>
                <w:color w:val="000000"/>
                <w:sz w:val="20"/>
                <w:szCs w:val="20"/>
              </w:rPr>
              <w:t>Les produits conformes à la présente norme peuvent être soumis à des exigences nationales</w:t>
            </w:r>
            <w:r w:rsidR="00DA0443" w:rsidRPr="00DA0443">
              <w:rPr>
                <w:rFonts w:ascii="Calibri" w:hAnsi="Calibri" w:cs="Calibri"/>
                <w:i/>
                <w:iCs/>
                <w:color w:val="000000"/>
                <w:sz w:val="20"/>
                <w:szCs w:val="20"/>
              </w:rPr>
              <w:t xml:space="preserve"> </w:t>
            </w:r>
            <w:r w:rsidRPr="00DA0443">
              <w:rPr>
                <w:rFonts w:ascii="Calibri" w:hAnsi="Calibri" w:cs="Calibri"/>
                <w:i/>
                <w:iCs/>
                <w:color w:val="000000"/>
                <w:sz w:val="20"/>
                <w:szCs w:val="20"/>
              </w:rPr>
              <w:t>concernant la réglementation au feu.</w:t>
            </w:r>
          </w:p>
        </w:tc>
      </w:tr>
      <w:tr w:rsidR="007876B6" w:rsidRPr="0043547B" w:rsidTr="006B128C">
        <w:trPr>
          <w:trHeight w:val="315"/>
          <w:jc w:val="center"/>
        </w:trPr>
        <w:tc>
          <w:tcPr>
            <w:tcW w:w="1838" w:type="dxa"/>
            <w:tcBorders>
              <w:top w:val="single" w:sz="4" w:space="0" w:color="auto"/>
              <w:left w:val="single" w:sz="18" w:space="0" w:color="auto"/>
              <w:bottom w:val="single" w:sz="18" w:space="0" w:color="auto"/>
              <w:right w:val="single" w:sz="4" w:space="0" w:color="auto"/>
            </w:tcBorders>
            <w:shd w:val="clear" w:color="auto" w:fill="C2D69B" w:themeFill="accent3" w:themeFillTint="99"/>
            <w:vAlign w:val="center"/>
          </w:tcPr>
          <w:p w:rsidR="007876B6" w:rsidRDefault="007876B6" w:rsidP="006B128C">
            <w:pPr>
              <w:spacing w:after="0" w:line="240" w:lineRule="auto"/>
              <w:jc w:val="center"/>
              <w:rPr>
                <w:rFonts w:ascii="Calibri" w:hAnsi="Calibri" w:cs="Calibri"/>
                <w:b/>
                <w:bCs/>
                <w:sz w:val="24"/>
                <w:szCs w:val="24"/>
              </w:rPr>
            </w:pPr>
            <w:r>
              <w:rPr>
                <w:rFonts w:ascii="Calibri" w:hAnsi="Calibri" w:cs="Calibri"/>
                <w:b/>
                <w:bCs/>
              </w:rPr>
              <w:t>Code</w:t>
            </w:r>
          </w:p>
        </w:tc>
        <w:tc>
          <w:tcPr>
            <w:tcW w:w="7938" w:type="dxa"/>
            <w:tcBorders>
              <w:top w:val="single" w:sz="4" w:space="0" w:color="auto"/>
              <w:left w:val="single" w:sz="4" w:space="0" w:color="auto"/>
              <w:bottom w:val="single" w:sz="18" w:space="0" w:color="auto"/>
              <w:right w:val="single" w:sz="18" w:space="0" w:color="auto"/>
            </w:tcBorders>
            <w:shd w:val="clear" w:color="auto" w:fill="C2D69B" w:themeFill="accent3" w:themeFillTint="99"/>
            <w:noWrap/>
            <w:vAlign w:val="center"/>
          </w:tcPr>
          <w:p w:rsidR="007876B6" w:rsidRPr="006B128C" w:rsidRDefault="007876B6" w:rsidP="006B128C">
            <w:pPr>
              <w:spacing w:after="0" w:line="240" w:lineRule="auto"/>
              <w:jc w:val="center"/>
              <w:rPr>
                <w:rFonts w:ascii="Calibri" w:hAnsi="Calibri" w:cs="Calibri"/>
                <w:b/>
                <w:bCs/>
                <w:color w:val="000000"/>
              </w:rPr>
            </w:pPr>
            <w:r w:rsidRPr="006B128C">
              <w:rPr>
                <w:rFonts w:ascii="Calibri" w:hAnsi="Calibri" w:cs="Calibri"/>
                <w:b/>
                <w:bCs/>
                <w:color w:val="000000"/>
              </w:rPr>
              <w:t>NM ISO 16438</w:t>
            </w:r>
          </w:p>
        </w:tc>
      </w:tr>
      <w:tr w:rsidR="007876B6" w:rsidRPr="0043547B" w:rsidTr="006B128C">
        <w:trPr>
          <w:trHeight w:val="315"/>
          <w:jc w:val="center"/>
        </w:trPr>
        <w:tc>
          <w:tcPr>
            <w:tcW w:w="1838" w:type="dxa"/>
            <w:tcBorders>
              <w:top w:val="single" w:sz="4" w:space="0" w:color="auto"/>
              <w:left w:val="single" w:sz="18" w:space="0" w:color="auto"/>
              <w:bottom w:val="single" w:sz="18" w:space="0" w:color="auto"/>
              <w:right w:val="single" w:sz="4" w:space="0" w:color="auto"/>
            </w:tcBorders>
            <w:shd w:val="clear" w:color="auto" w:fill="FFFF99"/>
            <w:vAlign w:val="center"/>
          </w:tcPr>
          <w:p w:rsidR="007876B6" w:rsidRDefault="007876B6" w:rsidP="006B128C">
            <w:pPr>
              <w:spacing w:after="0" w:line="240" w:lineRule="auto"/>
              <w:jc w:val="center"/>
              <w:rPr>
                <w:rFonts w:ascii="Calibri" w:hAnsi="Calibri" w:cs="Calibri"/>
                <w:b/>
                <w:bCs/>
                <w:sz w:val="24"/>
                <w:szCs w:val="24"/>
              </w:rPr>
            </w:pPr>
            <w:r>
              <w:rPr>
                <w:rFonts w:ascii="Calibri" w:hAnsi="Calibri" w:cs="Calibri"/>
                <w:b/>
                <w:bCs/>
              </w:rPr>
              <w:t>Equivalence</w:t>
            </w:r>
          </w:p>
        </w:tc>
        <w:tc>
          <w:tcPr>
            <w:tcW w:w="7938" w:type="dxa"/>
            <w:tcBorders>
              <w:top w:val="single" w:sz="4" w:space="0" w:color="auto"/>
              <w:left w:val="single" w:sz="4" w:space="0" w:color="auto"/>
              <w:bottom w:val="single" w:sz="18" w:space="0" w:color="auto"/>
              <w:right w:val="single" w:sz="18" w:space="0" w:color="auto"/>
            </w:tcBorders>
            <w:shd w:val="clear" w:color="auto" w:fill="FFFF99"/>
            <w:noWrap/>
            <w:vAlign w:val="center"/>
          </w:tcPr>
          <w:p w:rsidR="007876B6" w:rsidRPr="006B128C" w:rsidRDefault="007876B6" w:rsidP="006B128C">
            <w:pPr>
              <w:spacing w:after="0" w:line="240" w:lineRule="auto"/>
              <w:jc w:val="center"/>
              <w:rPr>
                <w:rFonts w:ascii="Calibri" w:hAnsi="Calibri" w:cs="Calibri"/>
                <w:b/>
                <w:bCs/>
                <w:color w:val="000000"/>
              </w:rPr>
            </w:pPr>
            <w:r w:rsidRPr="006B128C">
              <w:rPr>
                <w:rFonts w:ascii="Calibri" w:hAnsi="Calibri" w:cs="Calibri"/>
                <w:b/>
                <w:bCs/>
                <w:color w:val="000000"/>
              </w:rPr>
              <w:t>ISO 16438</w:t>
            </w:r>
          </w:p>
        </w:tc>
      </w:tr>
      <w:tr w:rsidR="007876B6" w:rsidRPr="0043547B" w:rsidTr="006B128C">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B8CCE4" w:themeFill="accent1" w:themeFillTint="66"/>
            <w:vAlign w:val="center"/>
          </w:tcPr>
          <w:p w:rsidR="007876B6" w:rsidRDefault="007876B6" w:rsidP="006B128C">
            <w:pPr>
              <w:spacing w:after="0" w:line="240" w:lineRule="auto"/>
              <w:jc w:val="center"/>
              <w:rPr>
                <w:rFonts w:ascii="Calibri" w:hAnsi="Calibri" w:cs="Calibri"/>
                <w:b/>
                <w:bCs/>
                <w:sz w:val="24"/>
                <w:szCs w:val="24"/>
              </w:rPr>
            </w:pPr>
            <w:r>
              <w:rPr>
                <w:rFonts w:ascii="Calibri" w:hAnsi="Calibri" w:cs="Calibri"/>
                <w:b/>
                <w:bCs/>
              </w:rPr>
              <w:t>Intitulé</w:t>
            </w:r>
          </w:p>
        </w:tc>
        <w:tc>
          <w:tcPr>
            <w:tcW w:w="7938" w:type="dxa"/>
            <w:tcBorders>
              <w:top w:val="single" w:sz="18" w:space="0" w:color="auto"/>
              <w:left w:val="single" w:sz="4" w:space="0" w:color="auto"/>
              <w:bottom w:val="single" w:sz="4" w:space="0" w:color="auto"/>
              <w:right w:val="single" w:sz="18" w:space="0" w:color="auto"/>
            </w:tcBorders>
            <w:shd w:val="clear" w:color="auto" w:fill="FFFFFF" w:themeFill="background1"/>
            <w:noWrap/>
            <w:vAlign w:val="center"/>
          </w:tcPr>
          <w:p w:rsidR="007876B6" w:rsidRDefault="007876B6" w:rsidP="006B128C">
            <w:pPr>
              <w:spacing w:after="0" w:line="240" w:lineRule="auto"/>
              <w:jc w:val="both"/>
              <w:rPr>
                <w:rFonts w:ascii="Calibri" w:hAnsi="Calibri" w:cs="Calibri"/>
                <w:color w:val="000000"/>
                <w:sz w:val="20"/>
                <w:szCs w:val="20"/>
              </w:rPr>
            </w:pPr>
            <w:r w:rsidRPr="006B128C">
              <w:rPr>
                <w:rFonts w:ascii="Calibri" w:hAnsi="Calibri" w:cs="Calibri"/>
                <w:color w:val="000000"/>
              </w:rPr>
              <w:t xml:space="preserve">Matériel agricole d'irrigation - Tuyaux écrasables en matières thermoplastiques pour l'irrigation - Spécifications et méthodes d'essai </w:t>
            </w:r>
            <w:r w:rsidR="006B128C" w:rsidRPr="006B128C">
              <w:rPr>
                <w:rFonts w:ascii="Calibri" w:hAnsi="Calibri" w:cs="Calibri"/>
                <w:color w:val="000000"/>
              </w:rPr>
              <w:t xml:space="preserve"> </w:t>
            </w:r>
            <w:r w:rsidRPr="006B128C">
              <w:rPr>
                <w:rFonts w:ascii="Calibri" w:hAnsi="Calibri" w:cs="Calibri"/>
                <w:color w:val="000000"/>
              </w:rPr>
              <w:t xml:space="preserve"> </w:t>
            </w:r>
          </w:p>
        </w:tc>
      </w:tr>
      <w:tr w:rsidR="007876B6" w:rsidRPr="00D76221" w:rsidTr="006B128C">
        <w:trPr>
          <w:trHeight w:val="1410"/>
          <w:jc w:val="center"/>
        </w:trPr>
        <w:tc>
          <w:tcPr>
            <w:tcW w:w="1838" w:type="dxa"/>
            <w:tcBorders>
              <w:top w:val="single" w:sz="4" w:space="0" w:color="auto"/>
              <w:left w:val="single" w:sz="18" w:space="0" w:color="auto"/>
              <w:bottom w:val="single" w:sz="18" w:space="0" w:color="auto"/>
              <w:right w:val="single" w:sz="4" w:space="0" w:color="auto"/>
            </w:tcBorders>
            <w:shd w:val="clear" w:color="auto" w:fill="D9D9D9" w:themeFill="background1" w:themeFillShade="D9"/>
            <w:vAlign w:val="center"/>
          </w:tcPr>
          <w:p w:rsidR="007876B6" w:rsidRDefault="007876B6" w:rsidP="006B128C">
            <w:pPr>
              <w:jc w:val="center"/>
              <w:rPr>
                <w:rFonts w:ascii="Calibri" w:hAnsi="Calibri" w:cs="Calibri"/>
                <w:b/>
                <w:bCs/>
                <w:sz w:val="24"/>
                <w:szCs w:val="24"/>
              </w:rPr>
            </w:pPr>
            <w:r>
              <w:rPr>
                <w:rFonts w:ascii="Calibri" w:hAnsi="Calibri" w:cs="Calibri"/>
                <w:b/>
                <w:bCs/>
              </w:rPr>
              <w:lastRenderedPageBreak/>
              <w:t>Domaine d’application </w:t>
            </w:r>
            <w:r w:rsidR="006B128C">
              <w:rPr>
                <w:rFonts w:ascii="Calibri" w:hAnsi="Calibri" w:cs="Calibri"/>
                <w:b/>
                <w:bCs/>
              </w:rPr>
              <w:t xml:space="preserve"> </w:t>
            </w:r>
          </w:p>
        </w:tc>
        <w:tc>
          <w:tcPr>
            <w:tcW w:w="7938" w:type="dxa"/>
            <w:tcBorders>
              <w:top w:val="single" w:sz="4" w:space="0" w:color="auto"/>
              <w:left w:val="single" w:sz="4" w:space="0" w:color="auto"/>
              <w:bottom w:val="single" w:sz="18" w:space="0" w:color="auto"/>
              <w:right w:val="single" w:sz="18" w:space="0" w:color="auto"/>
            </w:tcBorders>
            <w:shd w:val="clear" w:color="auto" w:fill="FFFFFF" w:themeFill="background1"/>
            <w:noWrap/>
            <w:vAlign w:val="bottom"/>
          </w:tcPr>
          <w:p w:rsidR="006B128C" w:rsidRDefault="007876B6" w:rsidP="006B128C">
            <w:pPr>
              <w:spacing w:after="0" w:line="240" w:lineRule="auto"/>
              <w:jc w:val="both"/>
              <w:rPr>
                <w:rFonts w:ascii="Calibri" w:hAnsi="Calibri" w:cs="Calibri"/>
                <w:color w:val="000000"/>
                <w:lang w:val="en-ZA"/>
              </w:rPr>
            </w:pPr>
            <w:r w:rsidRPr="00D76221">
              <w:rPr>
                <w:rFonts w:ascii="Calibri" w:hAnsi="Calibri" w:cs="Calibri"/>
                <w:color w:val="000000"/>
                <w:lang w:val="en-ZA"/>
              </w:rPr>
              <w:t>This International Standard specifies requirements and test methods for reinforced and non-reinforced</w:t>
            </w:r>
            <w:r w:rsidR="006B128C">
              <w:rPr>
                <w:rFonts w:ascii="Calibri" w:hAnsi="Calibri" w:cs="Calibri"/>
                <w:color w:val="000000"/>
                <w:lang w:val="en-ZA"/>
              </w:rPr>
              <w:t xml:space="preserve"> </w:t>
            </w:r>
            <w:r w:rsidRPr="00D76221">
              <w:rPr>
                <w:rFonts w:ascii="Calibri" w:hAnsi="Calibri" w:cs="Calibri"/>
                <w:color w:val="000000"/>
                <w:lang w:val="en-ZA"/>
              </w:rPr>
              <w:t>thermoplastic collapsible hoses, which are intended to be used as main and sub-main supply lines for the</w:t>
            </w:r>
            <w:r w:rsidR="006B128C">
              <w:rPr>
                <w:rFonts w:ascii="Calibri" w:hAnsi="Calibri" w:cs="Calibri"/>
                <w:color w:val="000000"/>
                <w:lang w:val="en-ZA"/>
              </w:rPr>
              <w:t xml:space="preserve"> </w:t>
            </w:r>
            <w:r w:rsidRPr="00D76221">
              <w:rPr>
                <w:rFonts w:ascii="Calibri" w:hAnsi="Calibri" w:cs="Calibri"/>
                <w:color w:val="000000"/>
                <w:lang w:val="en-ZA"/>
              </w:rPr>
              <w:t>conveyance and distribution of water for irrigation at water temperatures up to 50 °C.</w:t>
            </w:r>
          </w:p>
          <w:p w:rsidR="006B128C" w:rsidRDefault="007876B6" w:rsidP="006B128C">
            <w:pPr>
              <w:spacing w:after="0" w:line="240" w:lineRule="auto"/>
              <w:jc w:val="both"/>
              <w:rPr>
                <w:rFonts w:ascii="Calibri" w:hAnsi="Calibri" w:cs="Calibri"/>
                <w:color w:val="000000"/>
                <w:lang w:val="en-ZA"/>
              </w:rPr>
            </w:pPr>
            <w:r w:rsidRPr="00D76221">
              <w:rPr>
                <w:rFonts w:ascii="Calibri" w:hAnsi="Calibri" w:cs="Calibri"/>
                <w:color w:val="000000"/>
                <w:lang w:val="en-ZA"/>
              </w:rPr>
              <w:t>It is applicable to irrigation hoses with nominal diameters between 40 mm and 500 mm and working</w:t>
            </w:r>
            <w:r w:rsidR="006B128C">
              <w:rPr>
                <w:rFonts w:ascii="Calibri" w:hAnsi="Calibri" w:cs="Calibri"/>
                <w:color w:val="000000"/>
                <w:lang w:val="en-ZA"/>
              </w:rPr>
              <w:t xml:space="preserve"> </w:t>
            </w:r>
            <w:r w:rsidRPr="00D76221">
              <w:rPr>
                <w:rFonts w:ascii="Calibri" w:hAnsi="Calibri" w:cs="Calibri"/>
                <w:color w:val="000000"/>
                <w:lang w:val="en-ZA"/>
              </w:rPr>
              <w:t>pressures between 0,3 bar (0,03 MPa) and 6 bar (0,6 MPa).</w:t>
            </w:r>
          </w:p>
          <w:p w:rsidR="007876B6" w:rsidRPr="00D76221" w:rsidRDefault="007876B6" w:rsidP="006B128C">
            <w:pPr>
              <w:spacing w:after="0" w:line="240" w:lineRule="auto"/>
              <w:jc w:val="both"/>
              <w:rPr>
                <w:rFonts w:ascii="Calibri" w:hAnsi="Calibri" w:cs="Calibri"/>
                <w:color w:val="000000"/>
                <w:lang w:val="en-ZA"/>
              </w:rPr>
            </w:pPr>
            <w:r w:rsidRPr="00D76221">
              <w:rPr>
                <w:rFonts w:ascii="Calibri" w:hAnsi="Calibri" w:cs="Calibri"/>
                <w:color w:val="000000"/>
                <w:lang w:val="en-ZA"/>
              </w:rPr>
              <w:t>This International Standard is applicable to two types of hose configurations: distributor hose (with</w:t>
            </w:r>
            <w:r w:rsidR="006B128C">
              <w:rPr>
                <w:rFonts w:ascii="Calibri" w:hAnsi="Calibri" w:cs="Calibri"/>
                <w:color w:val="000000"/>
                <w:lang w:val="en-ZA"/>
              </w:rPr>
              <w:t xml:space="preserve"> </w:t>
            </w:r>
            <w:r w:rsidRPr="00D76221">
              <w:rPr>
                <w:rFonts w:ascii="Calibri" w:hAnsi="Calibri" w:cs="Calibri"/>
                <w:color w:val="000000"/>
                <w:lang w:val="en-ZA"/>
              </w:rPr>
              <w:t>outlet connections) and plain hose (without outlet connections).</w:t>
            </w:r>
          </w:p>
        </w:tc>
      </w:tr>
      <w:tr w:rsidR="00247086" w:rsidRPr="0043547B" w:rsidTr="006B128C">
        <w:trPr>
          <w:trHeight w:val="315"/>
          <w:jc w:val="center"/>
        </w:trPr>
        <w:tc>
          <w:tcPr>
            <w:tcW w:w="1838" w:type="dxa"/>
            <w:tcBorders>
              <w:top w:val="single" w:sz="4" w:space="0" w:color="auto"/>
              <w:left w:val="single" w:sz="18" w:space="0" w:color="auto"/>
              <w:bottom w:val="single" w:sz="18" w:space="0" w:color="auto"/>
              <w:right w:val="single" w:sz="4" w:space="0" w:color="auto"/>
            </w:tcBorders>
            <w:shd w:val="clear" w:color="auto" w:fill="C2D69B" w:themeFill="accent3" w:themeFillTint="99"/>
            <w:vAlign w:val="center"/>
          </w:tcPr>
          <w:p w:rsidR="00247086" w:rsidRDefault="00247086" w:rsidP="006B128C">
            <w:pPr>
              <w:spacing w:after="0" w:line="240" w:lineRule="auto"/>
              <w:jc w:val="center"/>
              <w:rPr>
                <w:rFonts w:ascii="Calibri" w:hAnsi="Calibri" w:cs="Calibri"/>
                <w:b/>
                <w:bCs/>
                <w:sz w:val="24"/>
                <w:szCs w:val="24"/>
              </w:rPr>
            </w:pPr>
            <w:r>
              <w:rPr>
                <w:rFonts w:ascii="Calibri" w:hAnsi="Calibri" w:cs="Calibri"/>
                <w:b/>
                <w:bCs/>
              </w:rPr>
              <w:t>Code</w:t>
            </w:r>
          </w:p>
        </w:tc>
        <w:tc>
          <w:tcPr>
            <w:tcW w:w="7938" w:type="dxa"/>
            <w:tcBorders>
              <w:top w:val="single" w:sz="4" w:space="0" w:color="auto"/>
              <w:left w:val="single" w:sz="4" w:space="0" w:color="auto"/>
              <w:bottom w:val="single" w:sz="18" w:space="0" w:color="auto"/>
              <w:right w:val="single" w:sz="18" w:space="0" w:color="auto"/>
            </w:tcBorders>
            <w:shd w:val="clear" w:color="auto" w:fill="C2D69B" w:themeFill="accent3" w:themeFillTint="99"/>
            <w:noWrap/>
            <w:vAlign w:val="center"/>
          </w:tcPr>
          <w:p w:rsidR="00247086" w:rsidRPr="006B128C" w:rsidRDefault="00247086" w:rsidP="006B128C">
            <w:pPr>
              <w:spacing w:after="0" w:line="240" w:lineRule="auto"/>
              <w:jc w:val="center"/>
              <w:rPr>
                <w:rFonts w:ascii="Calibri" w:hAnsi="Calibri" w:cs="Calibri"/>
                <w:b/>
                <w:bCs/>
                <w:color w:val="000000"/>
                <w:sz w:val="24"/>
                <w:szCs w:val="24"/>
              </w:rPr>
            </w:pPr>
            <w:r w:rsidRPr="006B128C">
              <w:rPr>
                <w:rFonts w:ascii="Calibri" w:hAnsi="Calibri" w:cs="Calibri"/>
                <w:b/>
                <w:bCs/>
                <w:color w:val="000000"/>
                <w:sz w:val="24"/>
                <w:szCs w:val="24"/>
              </w:rPr>
              <w:t>NM EN 12734</w:t>
            </w:r>
          </w:p>
        </w:tc>
      </w:tr>
      <w:tr w:rsidR="00247086" w:rsidRPr="0043547B" w:rsidTr="006B128C">
        <w:trPr>
          <w:trHeight w:val="315"/>
          <w:jc w:val="center"/>
        </w:trPr>
        <w:tc>
          <w:tcPr>
            <w:tcW w:w="1838" w:type="dxa"/>
            <w:tcBorders>
              <w:top w:val="single" w:sz="4" w:space="0" w:color="auto"/>
              <w:left w:val="single" w:sz="18" w:space="0" w:color="auto"/>
              <w:bottom w:val="single" w:sz="18" w:space="0" w:color="auto"/>
              <w:right w:val="single" w:sz="4" w:space="0" w:color="auto"/>
            </w:tcBorders>
            <w:shd w:val="clear" w:color="auto" w:fill="FFFF99"/>
            <w:vAlign w:val="center"/>
          </w:tcPr>
          <w:p w:rsidR="00247086" w:rsidRDefault="00247086" w:rsidP="006B128C">
            <w:pPr>
              <w:spacing w:after="0" w:line="240" w:lineRule="auto"/>
              <w:jc w:val="center"/>
              <w:rPr>
                <w:rFonts w:ascii="Calibri" w:hAnsi="Calibri" w:cs="Calibri"/>
                <w:b/>
                <w:bCs/>
                <w:sz w:val="24"/>
                <w:szCs w:val="24"/>
              </w:rPr>
            </w:pPr>
            <w:r>
              <w:rPr>
                <w:rFonts w:ascii="Calibri" w:hAnsi="Calibri" w:cs="Calibri"/>
                <w:b/>
                <w:bCs/>
              </w:rPr>
              <w:t>Equivalence</w:t>
            </w:r>
          </w:p>
        </w:tc>
        <w:tc>
          <w:tcPr>
            <w:tcW w:w="7938" w:type="dxa"/>
            <w:tcBorders>
              <w:top w:val="single" w:sz="4" w:space="0" w:color="auto"/>
              <w:left w:val="single" w:sz="4" w:space="0" w:color="auto"/>
              <w:bottom w:val="single" w:sz="18" w:space="0" w:color="auto"/>
              <w:right w:val="single" w:sz="18" w:space="0" w:color="auto"/>
            </w:tcBorders>
            <w:shd w:val="clear" w:color="auto" w:fill="FFFF99"/>
            <w:noWrap/>
            <w:vAlign w:val="center"/>
          </w:tcPr>
          <w:p w:rsidR="00247086" w:rsidRPr="006B128C" w:rsidRDefault="00247086" w:rsidP="006B128C">
            <w:pPr>
              <w:spacing w:after="0" w:line="240" w:lineRule="auto"/>
              <w:jc w:val="center"/>
              <w:rPr>
                <w:rFonts w:ascii="Calibri" w:hAnsi="Calibri" w:cs="Calibri"/>
                <w:b/>
                <w:bCs/>
                <w:color w:val="000000"/>
                <w:sz w:val="24"/>
                <w:szCs w:val="24"/>
              </w:rPr>
            </w:pPr>
            <w:r w:rsidRPr="006B128C">
              <w:rPr>
                <w:rFonts w:ascii="Calibri" w:hAnsi="Calibri" w:cs="Calibri"/>
                <w:b/>
                <w:bCs/>
                <w:color w:val="000000"/>
                <w:sz w:val="24"/>
                <w:szCs w:val="24"/>
              </w:rPr>
              <w:t>EN 12734</w:t>
            </w:r>
          </w:p>
        </w:tc>
      </w:tr>
      <w:tr w:rsidR="00247086" w:rsidRPr="0043547B" w:rsidTr="006B128C">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B8CCE4" w:themeFill="accent1" w:themeFillTint="66"/>
            <w:vAlign w:val="center"/>
          </w:tcPr>
          <w:p w:rsidR="00247086" w:rsidRDefault="00247086" w:rsidP="006B128C">
            <w:pPr>
              <w:spacing w:after="0" w:line="240" w:lineRule="auto"/>
              <w:jc w:val="center"/>
              <w:rPr>
                <w:rFonts w:ascii="Calibri" w:hAnsi="Calibri" w:cs="Calibri"/>
                <w:b/>
                <w:bCs/>
                <w:sz w:val="24"/>
                <w:szCs w:val="24"/>
              </w:rPr>
            </w:pPr>
            <w:r>
              <w:rPr>
                <w:rFonts w:ascii="Calibri" w:hAnsi="Calibri" w:cs="Calibri"/>
                <w:b/>
                <w:bCs/>
              </w:rPr>
              <w:t>Intitulé</w:t>
            </w:r>
          </w:p>
        </w:tc>
        <w:tc>
          <w:tcPr>
            <w:tcW w:w="7938" w:type="dxa"/>
            <w:tcBorders>
              <w:top w:val="single" w:sz="18" w:space="0" w:color="auto"/>
              <w:left w:val="single" w:sz="4" w:space="0" w:color="auto"/>
              <w:bottom w:val="single" w:sz="4" w:space="0" w:color="auto"/>
              <w:right w:val="single" w:sz="18" w:space="0" w:color="auto"/>
            </w:tcBorders>
            <w:shd w:val="clear" w:color="auto" w:fill="FFFFFF" w:themeFill="background1"/>
            <w:noWrap/>
            <w:vAlign w:val="center"/>
          </w:tcPr>
          <w:p w:rsidR="00247086" w:rsidRPr="006B128C" w:rsidRDefault="00247086" w:rsidP="006B128C">
            <w:pPr>
              <w:spacing w:after="0" w:line="240" w:lineRule="auto"/>
              <w:jc w:val="both"/>
              <w:rPr>
                <w:rFonts w:ascii="Calibri" w:hAnsi="Calibri" w:cs="Calibri"/>
                <w:color w:val="000000"/>
              </w:rPr>
            </w:pPr>
            <w:r w:rsidRPr="006B128C">
              <w:rPr>
                <w:rFonts w:ascii="Calibri" w:hAnsi="Calibri" w:cs="Calibri"/>
                <w:color w:val="000000"/>
              </w:rPr>
              <w:t xml:space="preserve">Techniques d'irrigation - Tubes à raccords rapides pour amenées mobiles en irrigation - Caractéristiques techniques et essai </w:t>
            </w:r>
            <w:r w:rsidR="006B128C" w:rsidRPr="006B128C">
              <w:rPr>
                <w:rFonts w:ascii="Calibri" w:hAnsi="Calibri" w:cs="Calibri"/>
                <w:color w:val="000000"/>
              </w:rPr>
              <w:t xml:space="preserve"> </w:t>
            </w:r>
            <w:r w:rsidRPr="006B128C">
              <w:rPr>
                <w:rFonts w:ascii="Calibri" w:hAnsi="Calibri" w:cs="Calibri"/>
                <w:color w:val="000000"/>
              </w:rPr>
              <w:t xml:space="preserve"> </w:t>
            </w:r>
          </w:p>
        </w:tc>
      </w:tr>
      <w:tr w:rsidR="00247086" w:rsidRPr="0043547B" w:rsidTr="006B128C">
        <w:trPr>
          <w:trHeight w:val="315"/>
          <w:jc w:val="center"/>
        </w:trPr>
        <w:tc>
          <w:tcPr>
            <w:tcW w:w="1838" w:type="dxa"/>
            <w:tcBorders>
              <w:top w:val="single" w:sz="4" w:space="0" w:color="auto"/>
              <w:left w:val="single" w:sz="18" w:space="0" w:color="auto"/>
              <w:bottom w:val="single" w:sz="18" w:space="0" w:color="auto"/>
              <w:right w:val="single" w:sz="4" w:space="0" w:color="auto"/>
            </w:tcBorders>
            <w:shd w:val="clear" w:color="auto" w:fill="D9D9D9" w:themeFill="background1" w:themeFillShade="D9"/>
            <w:vAlign w:val="center"/>
          </w:tcPr>
          <w:p w:rsidR="00247086" w:rsidRDefault="00247086" w:rsidP="006B128C">
            <w:pPr>
              <w:spacing w:after="0" w:line="240" w:lineRule="auto"/>
              <w:jc w:val="center"/>
              <w:rPr>
                <w:rFonts w:ascii="Calibri" w:hAnsi="Calibri" w:cs="Calibri"/>
                <w:b/>
                <w:bCs/>
                <w:sz w:val="24"/>
                <w:szCs w:val="24"/>
              </w:rPr>
            </w:pPr>
            <w:r>
              <w:rPr>
                <w:rFonts w:ascii="Calibri" w:hAnsi="Calibri" w:cs="Calibri"/>
                <w:b/>
                <w:bCs/>
              </w:rPr>
              <w:t>Domaine d’application</w:t>
            </w:r>
          </w:p>
        </w:tc>
        <w:tc>
          <w:tcPr>
            <w:tcW w:w="7938" w:type="dxa"/>
            <w:tcBorders>
              <w:top w:val="single" w:sz="4" w:space="0" w:color="auto"/>
              <w:left w:val="single" w:sz="4" w:space="0" w:color="auto"/>
              <w:bottom w:val="single" w:sz="18" w:space="0" w:color="auto"/>
              <w:right w:val="single" w:sz="18" w:space="0" w:color="auto"/>
            </w:tcBorders>
            <w:shd w:val="clear" w:color="auto" w:fill="FFFFFF" w:themeFill="background1"/>
            <w:noWrap/>
            <w:vAlign w:val="bottom"/>
          </w:tcPr>
          <w:p w:rsidR="00247086" w:rsidRPr="006B128C" w:rsidRDefault="00247086" w:rsidP="006B128C">
            <w:pPr>
              <w:spacing w:after="0" w:line="240" w:lineRule="auto"/>
              <w:jc w:val="both"/>
              <w:rPr>
                <w:rFonts w:ascii="Calibri" w:hAnsi="Calibri" w:cs="Calibri"/>
                <w:color w:val="000000"/>
              </w:rPr>
            </w:pPr>
            <w:r w:rsidRPr="006B128C">
              <w:rPr>
                <w:rFonts w:ascii="Calibri" w:hAnsi="Calibri" w:cs="Calibri"/>
                <w:color w:val="000000"/>
              </w:rPr>
              <w:t>La présente norme  spécifie les conditions d'aptitude à l'emploi de tubes à raccords rapides pour amenées mobiles en irrigation en acier, aluminium, PE ou PVC rigide utilisées dans les installations d'irrigation,</w:t>
            </w:r>
            <w:r w:rsidR="006B128C">
              <w:rPr>
                <w:rFonts w:ascii="Calibri" w:hAnsi="Calibri" w:cs="Calibri"/>
                <w:color w:val="000000"/>
              </w:rPr>
              <w:t xml:space="preserve"> </w:t>
            </w:r>
            <w:r w:rsidRPr="006B128C">
              <w:rPr>
                <w:rFonts w:ascii="Calibri" w:hAnsi="Calibri" w:cs="Calibri"/>
                <w:color w:val="000000"/>
              </w:rPr>
              <w:t>Les normes pour le polyéthylène (PE) et le polychlorure de vinyle (PVC) ne sont pas applicables aux tubes à raccords rapides</w:t>
            </w:r>
            <w:r w:rsidR="006B128C">
              <w:rPr>
                <w:rFonts w:ascii="Calibri" w:hAnsi="Calibri" w:cs="Calibri"/>
                <w:color w:val="000000"/>
              </w:rPr>
              <w:t xml:space="preserve"> </w:t>
            </w:r>
          </w:p>
        </w:tc>
      </w:tr>
      <w:tr w:rsidR="00247086" w:rsidRPr="0043547B" w:rsidTr="006B128C">
        <w:trPr>
          <w:trHeight w:val="315"/>
          <w:jc w:val="center"/>
        </w:trPr>
        <w:tc>
          <w:tcPr>
            <w:tcW w:w="1838" w:type="dxa"/>
            <w:tcBorders>
              <w:top w:val="single" w:sz="4" w:space="0" w:color="auto"/>
              <w:left w:val="single" w:sz="18" w:space="0" w:color="auto"/>
              <w:bottom w:val="single" w:sz="18" w:space="0" w:color="auto"/>
              <w:right w:val="single" w:sz="4" w:space="0" w:color="auto"/>
            </w:tcBorders>
            <w:shd w:val="clear" w:color="auto" w:fill="C2D69B" w:themeFill="accent3" w:themeFillTint="99"/>
            <w:vAlign w:val="center"/>
          </w:tcPr>
          <w:p w:rsidR="00247086" w:rsidRDefault="00247086" w:rsidP="006B128C">
            <w:pPr>
              <w:spacing w:after="0" w:line="240" w:lineRule="auto"/>
              <w:jc w:val="center"/>
              <w:rPr>
                <w:rFonts w:ascii="Calibri" w:hAnsi="Calibri" w:cs="Calibri"/>
                <w:b/>
                <w:bCs/>
                <w:sz w:val="24"/>
                <w:szCs w:val="24"/>
              </w:rPr>
            </w:pPr>
            <w:r>
              <w:rPr>
                <w:rFonts w:ascii="Calibri" w:hAnsi="Calibri" w:cs="Calibri"/>
                <w:b/>
                <w:bCs/>
              </w:rPr>
              <w:t>Code</w:t>
            </w:r>
          </w:p>
        </w:tc>
        <w:tc>
          <w:tcPr>
            <w:tcW w:w="7938" w:type="dxa"/>
            <w:tcBorders>
              <w:top w:val="single" w:sz="4" w:space="0" w:color="auto"/>
              <w:left w:val="single" w:sz="4" w:space="0" w:color="auto"/>
              <w:bottom w:val="single" w:sz="18" w:space="0" w:color="auto"/>
              <w:right w:val="single" w:sz="18" w:space="0" w:color="auto"/>
            </w:tcBorders>
            <w:shd w:val="clear" w:color="auto" w:fill="C2D69B" w:themeFill="accent3" w:themeFillTint="99"/>
            <w:noWrap/>
            <w:vAlign w:val="center"/>
          </w:tcPr>
          <w:p w:rsidR="00247086" w:rsidRPr="006B128C" w:rsidRDefault="00247086" w:rsidP="006B128C">
            <w:pPr>
              <w:spacing w:after="0" w:line="240" w:lineRule="auto"/>
              <w:jc w:val="center"/>
              <w:rPr>
                <w:rFonts w:ascii="Calibri" w:hAnsi="Calibri" w:cs="Calibri"/>
                <w:b/>
                <w:bCs/>
                <w:color w:val="000000"/>
                <w:sz w:val="24"/>
                <w:szCs w:val="24"/>
              </w:rPr>
            </w:pPr>
            <w:r w:rsidRPr="006B128C">
              <w:rPr>
                <w:rFonts w:ascii="Calibri" w:hAnsi="Calibri" w:cs="Calibri"/>
                <w:b/>
                <w:bCs/>
                <w:color w:val="000000"/>
                <w:sz w:val="24"/>
                <w:szCs w:val="24"/>
              </w:rPr>
              <w:t>NM ISO 13693-1</w:t>
            </w:r>
          </w:p>
        </w:tc>
      </w:tr>
      <w:tr w:rsidR="00247086" w:rsidRPr="0043547B" w:rsidTr="006B128C">
        <w:trPr>
          <w:trHeight w:val="315"/>
          <w:jc w:val="center"/>
        </w:trPr>
        <w:tc>
          <w:tcPr>
            <w:tcW w:w="1838" w:type="dxa"/>
            <w:tcBorders>
              <w:top w:val="single" w:sz="4" w:space="0" w:color="auto"/>
              <w:left w:val="single" w:sz="18" w:space="0" w:color="auto"/>
              <w:bottom w:val="single" w:sz="18" w:space="0" w:color="auto"/>
              <w:right w:val="single" w:sz="4" w:space="0" w:color="auto"/>
            </w:tcBorders>
            <w:shd w:val="clear" w:color="auto" w:fill="FFFF99"/>
            <w:vAlign w:val="center"/>
          </w:tcPr>
          <w:p w:rsidR="00247086" w:rsidRDefault="00247086" w:rsidP="006B128C">
            <w:pPr>
              <w:spacing w:after="0" w:line="240" w:lineRule="auto"/>
              <w:jc w:val="center"/>
              <w:rPr>
                <w:rFonts w:ascii="Calibri" w:hAnsi="Calibri" w:cs="Calibri"/>
                <w:b/>
                <w:bCs/>
                <w:sz w:val="24"/>
                <w:szCs w:val="24"/>
              </w:rPr>
            </w:pPr>
            <w:r>
              <w:rPr>
                <w:rFonts w:ascii="Calibri" w:hAnsi="Calibri" w:cs="Calibri"/>
                <w:b/>
                <w:bCs/>
              </w:rPr>
              <w:t>Equivalence</w:t>
            </w:r>
          </w:p>
        </w:tc>
        <w:tc>
          <w:tcPr>
            <w:tcW w:w="7938" w:type="dxa"/>
            <w:tcBorders>
              <w:top w:val="single" w:sz="4" w:space="0" w:color="auto"/>
              <w:left w:val="single" w:sz="4" w:space="0" w:color="auto"/>
              <w:bottom w:val="single" w:sz="18" w:space="0" w:color="auto"/>
              <w:right w:val="single" w:sz="18" w:space="0" w:color="auto"/>
            </w:tcBorders>
            <w:shd w:val="clear" w:color="auto" w:fill="FFFF99"/>
            <w:noWrap/>
            <w:vAlign w:val="center"/>
          </w:tcPr>
          <w:p w:rsidR="00247086" w:rsidRPr="006B128C" w:rsidRDefault="00247086" w:rsidP="006B128C">
            <w:pPr>
              <w:spacing w:after="0" w:line="240" w:lineRule="auto"/>
              <w:jc w:val="center"/>
              <w:rPr>
                <w:rFonts w:ascii="Calibri" w:hAnsi="Calibri" w:cs="Calibri"/>
                <w:b/>
                <w:bCs/>
                <w:color w:val="000000"/>
                <w:sz w:val="24"/>
                <w:szCs w:val="24"/>
              </w:rPr>
            </w:pPr>
            <w:r w:rsidRPr="006B128C">
              <w:rPr>
                <w:rFonts w:ascii="Calibri" w:hAnsi="Calibri" w:cs="Calibri"/>
                <w:b/>
                <w:bCs/>
                <w:color w:val="000000"/>
                <w:sz w:val="24"/>
                <w:szCs w:val="24"/>
              </w:rPr>
              <w:t>ISO 13693-1</w:t>
            </w:r>
          </w:p>
        </w:tc>
      </w:tr>
      <w:tr w:rsidR="00247086" w:rsidRPr="0043547B" w:rsidTr="006B128C">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B8CCE4" w:themeFill="accent1" w:themeFillTint="66"/>
            <w:vAlign w:val="center"/>
          </w:tcPr>
          <w:p w:rsidR="00247086" w:rsidRDefault="00247086" w:rsidP="006B128C">
            <w:pPr>
              <w:spacing w:after="0" w:line="240" w:lineRule="auto"/>
              <w:jc w:val="center"/>
              <w:rPr>
                <w:rFonts w:ascii="Calibri" w:hAnsi="Calibri" w:cs="Calibri"/>
                <w:b/>
                <w:bCs/>
                <w:sz w:val="24"/>
                <w:szCs w:val="24"/>
              </w:rPr>
            </w:pPr>
            <w:r>
              <w:rPr>
                <w:rFonts w:ascii="Calibri" w:hAnsi="Calibri" w:cs="Calibri"/>
                <w:b/>
                <w:bCs/>
              </w:rPr>
              <w:t>Intitulé</w:t>
            </w:r>
          </w:p>
        </w:tc>
        <w:tc>
          <w:tcPr>
            <w:tcW w:w="7938" w:type="dxa"/>
            <w:tcBorders>
              <w:top w:val="single" w:sz="18" w:space="0" w:color="auto"/>
              <w:left w:val="single" w:sz="4" w:space="0" w:color="auto"/>
              <w:bottom w:val="single" w:sz="4" w:space="0" w:color="auto"/>
              <w:right w:val="single" w:sz="18" w:space="0" w:color="auto"/>
            </w:tcBorders>
            <w:shd w:val="clear" w:color="auto" w:fill="FFFFFF" w:themeFill="background1"/>
            <w:noWrap/>
            <w:vAlign w:val="center"/>
          </w:tcPr>
          <w:p w:rsidR="00247086" w:rsidRDefault="00247086" w:rsidP="006B128C">
            <w:pPr>
              <w:spacing w:after="0" w:line="240" w:lineRule="auto"/>
              <w:jc w:val="both"/>
              <w:rPr>
                <w:rFonts w:ascii="Calibri" w:hAnsi="Calibri" w:cs="Calibri"/>
                <w:color w:val="000000"/>
                <w:sz w:val="20"/>
                <w:szCs w:val="20"/>
              </w:rPr>
            </w:pPr>
            <w:r w:rsidRPr="006B128C">
              <w:rPr>
                <w:rFonts w:ascii="Calibri" w:hAnsi="Calibri" w:cs="Calibri"/>
                <w:color w:val="000000"/>
              </w:rPr>
              <w:t xml:space="preserve">Matériel d'irrigation - Dispositifs de sécurité pour l'application de produits chimiques par irrigation - Partie 1 : petites vannes en matière plastique pour l'application de produits chimiques par irrigation </w:t>
            </w:r>
            <w:r w:rsidR="006B128C" w:rsidRPr="006B128C">
              <w:rPr>
                <w:rFonts w:ascii="Calibri" w:hAnsi="Calibri" w:cs="Calibri"/>
                <w:color w:val="000000"/>
              </w:rPr>
              <w:t xml:space="preserve"> </w:t>
            </w:r>
            <w:r w:rsidRPr="006B128C">
              <w:rPr>
                <w:rFonts w:ascii="Calibri" w:hAnsi="Calibri" w:cs="Calibri"/>
                <w:color w:val="000000"/>
              </w:rPr>
              <w:t xml:space="preserve"> </w:t>
            </w:r>
          </w:p>
        </w:tc>
      </w:tr>
      <w:tr w:rsidR="00247086" w:rsidRPr="0043547B" w:rsidTr="006B128C">
        <w:trPr>
          <w:trHeight w:val="315"/>
          <w:jc w:val="center"/>
        </w:trPr>
        <w:tc>
          <w:tcPr>
            <w:tcW w:w="1838" w:type="dxa"/>
            <w:tcBorders>
              <w:top w:val="single" w:sz="4" w:space="0" w:color="auto"/>
              <w:left w:val="single" w:sz="18" w:space="0" w:color="auto"/>
              <w:bottom w:val="single" w:sz="18" w:space="0" w:color="auto"/>
              <w:right w:val="single" w:sz="4" w:space="0" w:color="auto"/>
            </w:tcBorders>
            <w:shd w:val="clear" w:color="auto" w:fill="D9D9D9" w:themeFill="background1" w:themeFillShade="D9"/>
            <w:vAlign w:val="center"/>
          </w:tcPr>
          <w:p w:rsidR="00247086" w:rsidRDefault="00247086" w:rsidP="006B128C">
            <w:pPr>
              <w:spacing w:after="0" w:line="240" w:lineRule="auto"/>
              <w:jc w:val="center"/>
              <w:rPr>
                <w:rFonts w:ascii="Calibri" w:hAnsi="Calibri" w:cs="Calibri"/>
                <w:b/>
                <w:bCs/>
                <w:sz w:val="24"/>
                <w:szCs w:val="24"/>
              </w:rPr>
            </w:pPr>
            <w:r>
              <w:rPr>
                <w:rFonts w:ascii="Calibri" w:hAnsi="Calibri" w:cs="Calibri"/>
                <w:b/>
                <w:bCs/>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FFFFFF" w:themeFill="background1"/>
            <w:noWrap/>
            <w:vAlign w:val="bottom"/>
          </w:tcPr>
          <w:p w:rsidR="000325C1" w:rsidRDefault="00247086" w:rsidP="000325C1">
            <w:pPr>
              <w:spacing w:after="0" w:line="240" w:lineRule="auto"/>
              <w:jc w:val="both"/>
              <w:rPr>
                <w:rFonts w:ascii="Calibri" w:hAnsi="Calibri" w:cs="Calibri"/>
                <w:color w:val="000000"/>
              </w:rPr>
            </w:pPr>
            <w:r>
              <w:rPr>
                <w:rFonts w:ascii="Calibri" w:hAnsi="Calibri" w:cs="Calibri"/>
                <w:color w:val="000000"/>
              </w:rPr>
              <w:t>La présente partie de l’ISO 13693 fixe les exigences générales et les méthodes d’essai des petites vannes</w:t>
            </w:r>
            <w:r w:rsidR="006B128C">
              <w:rPr>
                <w:rFonts w:ascii="Calibri" w:hAnsi="Calibri" w:cs="Calibri"/>
                <w:color w:val="000000"/>
              </w:rPr>
              <w:t xml:space="preserve"> </w:t>
            </w:r>
            <w:r>
              <w:rPr>
                <w:rFonts w:ascii="Calibri" w:hAnsi="Calibri" w:cs="Calibri"/>
                <w:color w:val="000000"/>
              </w:rPr>
              <w:t>en matière plastique utilisées pour l’application de produits chimiques par irrigation, par la suite</w:t>
            </w:r>
            <w:r w:rsidR="006B128C">
              <w:rPr>
                <w:rFonts w:ascii="Calibri" w:hAnsi="Calibri" w:cs="Calibri"/>
                <w:color w:val="000000"/>
              </w:rPr>
              <w:t xml:space="preserve"> </w:t>
            </w:r>
            <w:r>
              <w:rPr>
                <w:rFonts w:ascii="Calibri" w:hAnsi="Calibri" w:cs="Calibri"/>
                <w:color w:val="000000"/>
              </w:rPr>
              <w:t>appelées «le dispositif», et prévues pour un fonctionnement dans des systèmes de tuyaux d’irrigation</w:t>
            </w:r>
            <w:r w:rsidR="000325C1">
              <w:rPr>
                <w:rFonts w:ascii="Calibri" w:hAnsi="Calibri" w:cs="Calibri"/>
                <w:color w:val="000000"/>
              </w:rPr>
              <w:t xml:space="preserve"> </w:t>
            </w:r>
            <w:r>
              <w:rPr>
                <w:rFonts w:ascii="Calibri" w:hAnsi="Calibri" w:cs="Calibri"/>
                <w:color w:val="000000"/>
              </w:rPr>
              <w:t>qui peuvent contenir des engrais et des produits chimiques du type et dans une concentration employés</w:t>
            </w:r>
            <w:r>
              <w:rPr>
                <w:rFonts w:ascii="Calibri" w:hAnsi="Calibri" w:cs="Calibri"/>
                <w:color w:val="000000"/>
              </w:rPr>
              <w:br/>
              <w:t>dans l’agriculture.</w:t>
            </w:r>
          </w:p>
          <w:p w:rsidR="000325C1" w:rsidRDefault="00247086" w:rsidP="000325C1">
            <w:pPr>
              <w:spacing w:after="0" w:line="240" w:lineRule="auto"/>
              <w:jc w:val="both"/>
              <w:rPr>
                <w:rFonts w:ascii="Calibri" w:hAnsi="Calibri" w:cs="Calibri"/>
                <w:color w:val="000000"/>
              </w:rPr>
            </w:pPr>
            <w:r>
              <w:rPr>
                <w:rFonts w:ascii="Calibri" w:hAnsi="Calibri" w:cs="Calibri"/>
                <w:color w:val="000000"/>
              </w:rPr>
              <w:t>La présente partie est applicable aux dispositifs de sécurité (également appelés disconnecteurs</w:t>
            </w:r>
            <w:r w:rsidR="000325C1">
              <w:rPr>
                <w:rFonts w:ascii="Calibri" w:hAnsi="Calibri" w:cs="Calibri"/>
                <w:color w:val="000000"/>
              </w:rPr>
              <w:t xml:space="preserve"> </w:t>
            </w:r>
            <w:r>
              <w:rPr>
                <w:rFonts w:ascii="Calibri" w:hAnsi="Calibri" w:cs="Calibri"/>
                <w:color w:val="000000"/>
              </w:rPr>
              <w:t>hydrauliques) contrôlables à zone de pression réduite (ZPR), destinés à empêcher les phénomènes de</w:t>
            </w:r>
            <w:r w:rsidR="000325C1">
              <w:rPr>
                <w:rFonts w:ascii="Calibri" w:hAnsi="Calibri" w:cs="Calibri"/>
                <w:color w:val="000000"/>
              </w:rPr>
              <w:t xml:space="preserve"> </w:t>
            </w:r>
            <w:r>
              <w:rPr>
                <w:rFonts w:ascii="Calibri" w:hAnsi="Calibri" w:cs="Calibri"/>
                <w:color w:val="000000"/>
              </w:rPr>
              <w:t>reflux par siphonnement inversé ou par contre-pression de l’eau d’irrigation dans un système amont</w:t>
            </w:r>
            <w:r w:rsidR="000325C1">
              <w:rPr>
                <w:rFonts w:ascii="Calibri" w:hAnsi="Calibri" w:cs="Calibri"/>
                <w:color w:val="000000"/>
              </w:rPr>
              <w:t xml:space="preserve"> </w:t>
            </w:r>
            <w:r>
              <w:rPr>
                <w:rFonts w:ascii="Calibri" w:hAnsi="Calibri" w:cs="Calibri"/>
                <w:color w:val="000000"/>
              </w:rPr>
              <w:t>de distribution d’eau potable chaque fois que la pression dans ce dernier est inférieure à celle qui règne</w:t>
            </w:r>
            <w:r w:rsidR="000325C1">
              <w:rPr>
                <w:rFonts w:ascii="Calibri" w:hAnsi="Calibri" w:cs="Calibri"/>
                <w:color w:val="000000"/>
              </w:rPr>
              <w:t xml:space="preserve"> </w:t>
            </w:r>
            <w:r>
              <w:rPr>
                <w:rFonts w:ascii="Calibri" w:hAnsi="Calibri" w:cs="Calibri"/>
                <w:color w:val="000000"/>
              </w:rPr>
              <w:t>dans le système en aval.</w:t>
            </w:r>
            <w:r>
              <w:rPr>
                <w:rFonts w:ascii="Calibri" w:hAnsi="Calibri" w:cs="Calibri"/>
                <w:color w:val="000000"/>
              </w:rPr>
              <w:br/>
              <w:t>La présente partie est applicable aux dispositifs concernés dont la dimension nominale est inférieure ou</w:t>
            </w:r>
            <w:r w:rsidR="000325C1">
              <w:rPr>
                <w:rFonts w:ascii="Calibri" w:hAnsi="Calibri" w:cs="Calibri"/>
                <w:color w:val="000000"/>
              </w:rPr>
              <w:t xml:space="preserve"> </w:t>
            </w:r>
            <w:r>
              <w:rPr>
                <w:rFonts w:ascii="Calibri" w:hAnsi="Calibri" w:cs="Calibri"/>
                <w:color w:val="000000"/>
              </w:rPr>
              <w:t>égale à DN 50 (2”), avec une pression nominale égale à PN 10 et qui sont capables de fonctionner sans</w:t>
            </w:r>
            <w:r w:rsidR="000325C1">
              <w:rPr>
                <w:rFonts w:ascii="Calibri" w:hAnsi="Calibri" w:cs="Calibri"/>
                <w:color w:val="000000"/>
              </w:rPr>
              <w:t xml:space="preserve"> </w:t>
            </w:r>
            <w:r>
              <w:rPr>
                <w:rFonts w:ascii="Calibri" w:hAnsi="Calibri" w:cs="Calibri"/>
                <w:color w:val="000000"/>
              </w:rPr>
              <w:t>modification ni réglage:</w:t>
            </w:r>
          </w:p>
          <w:p w:rsidR="000325C1" w:rsidRDefault="00247086" w:rsidP="000325C1">
            <w:pPr>
              <w:spacing w:after="0" w:line="240" w:lineRule="auto"/>
              <w:jc w:val="both"/>
              <w:rPr>
                <w:rFonts w:ascii="Calibri" w:hAnsi="Calibri" w:cs="Calibri"/>
                <w:color w:val="000000"/>
              </w:rPr>
            </w:pPr>
            <w:r>
              <w:rPr>
                <w:rFonts w:ascii="Calibri" w:hAnsi="Calibri" w:cs="Calibri"/>
                <w:color w:val="000000"/>
              </w:rPr>
              <w:t>— à toute pression inférieure ou égale à 1 MPa (10 bar);</w:t>
            </w:r>
          </w:p>
          <w:p w:rsidR="000325C1" w:rsidRDefault="00247086" w:rsidP="000325C1">
            <w:pPr>
              <w:spacing w:after="0" w:line="240" w:lineRule="auto"/>
              <w:jc w:val="both"/>
              <w:rPr>
                <w:rFonts w:ascii="Calibri" w:hAnsi="Calibri" w:cs="Calibri"/>
                <w:color w:val="000000"/>
              </w:rPr>
            </w:pPr>
            <w:r>
              <w:rPr>
                <w:rFonts w:ascii="Calibri" w:hAnsi="Calibri" w:cs="Calibri"/>
                <w:color w:val="000000"/>
              </w:rPr>
              <w:t>— pour toute variation de pression inférieure ou égale à 1 MPa (10 bar); et</w:t>
            </w:r>
          </w:p>
          <w:p w:rsidR="00247086" w:rsidRDefault="00247086" w:rsidP="000325C1">
            <w:pPr>
              <w:spacing w:after="0" w:line="240" w:lineRule="auto"/>
              <w:jc w:val="both"/>
              <w:rPr>
                <w:rFonts w:ascii="Calibri" w:hAnsi="Calibri" w:cs="Calibri"/>
                <w:color w:val="000000"/>
              </w:rPr>
            </w:pPr>
            <w:r>
              <w:rPr>
                <w:rFonts w:ascii="Calibri" w:hAnsi="Calibri" w:cs="Calibri"/>
                <w:color w:val="000000"/>
              </w:rPr>
              <w:t>— en service permanent à des températures inférieures ou égales à 45 °C et pendant 1 h à 65 °C.</w:t>
            </w:r>
          </w:p>
        </w:tc>
      </w:tr>
      <w:tr w:rsidR="00247086" w:rsidRPr="0043547B" w:rsidTr="000325C1">
        <w:trPr>
          <w:trHeight w:val="315"/>
          <w:jc w:val="center"/>
        </w:trPr>
        <w:tc>
          <w:tcPr>
            <w:tcW w:w="1838" w:type="dxa"/>
            <w:tcBorders>
              <w:top w:val="single" w:sz="4" w:space="0" w:color="auto"/>
              <w:left w:val="single" w:sz="18" w:space="0" w:color="auto"/>
              <w:bottom w:val="single" w:sz="18" w:space="0" w:color="auto"/>
              <w:right w:val="single" w:sz="4" w:space="0" w:color="auto"/>
            </w:tcBorders>
            <w:shd w:val="clear" w:color="auto" w:fill="C2D69B" w:themeFill="accent3" w:themeFillTint="99"/>
            <w:vAlign w:val="center"/>
          </w:tcPr>
          <w:p w:rsidR="00247086" w:rsidRDefault="00247086" w:rsidP="000325C1">
            <w:pPr>
              <w:spacing w:after="0" w:line="240" w:lineRule="auto"/>
              <w:jc w:val="center"/>
              <w:rPr>
                <w:rFonts w:ascii="Calibri" w:hAnsi="Calibri" w:cs="Calibri"/>
                <w:b/>
                <w:bCs/>
                <w:sz w:val="24"/>
                <w:szCs w:val="24"/>
              </w:rPr>
            </w:pPr>
            <w:r>
              <w:rPr>
                <w:rFonts w:ascii="Calibri" w:hAnsi="Calibri" w:cs="Calibri"/>
                <w:b/>
                <w:bCs/>
              </w:rPr>
              <w:t>Code</w:t>
            </w:r>
          </w:p>
        </w:tc>
        <w:tc>
          <w:tcPr>
            <w:tcW w:w="7938" w:type="dxa"/>
            <w:tcBorders>
              <w:top w:val="single" w:sz="4" w:space="0" w:color="auto"/>
              <w:left w:val="single" w:sz="4" w:space="0" w:color="auto"/>
              <w:bottom w:val="single" w:sz="18" w:space="0" w:color="auto"/>
              <w:right w:val="single" w:sz="18" w:space="0" w:color="auto"/>
            </w:tcBorders>
            <w:shd w:val="clear" w:color="auto" w:fill="C2D69B" w:themeFill="accent3" w:themeFillTint="99"/>
            <w:noWrap/>
            <w:vAlign w:val="center"/>
          </w:tcPr>
          <w:p w:rsidR="00247086" w:rsidRPr="000325C1" w:rsidRDefault="00247086" w:rsidP="000325C1">
            <w:pPr>
              <w:spacing w:after="0" w:line="240" w:lineRule="auto"/>
              <w:jc w:val="center"/>
              <w:rPr>
                <w:rFonts w:ascii="Calibri" w:hAnsi="Calibri" w:cs="Calibri"/>
                <w:b/>
                <w:bCs/>
                <w:color w:val="000000"/>
                <w:sz w:val="24"/>
                <w:szCs w:val="24"/>
              </w:rPr>
            </w:pPr>
            <w:r w:rsidRPr="000325C1">
              <w:rPr>
                <w:rFonts w:ascii="Calibri" w:hAnsi="Calibri" w:cs="Calibri"/>
                <w:b/>
                <w:bCs/>
                <w:color w:val="000000"/>
                <w:sz w:val="24"/>
                <w:szCs w:val="24"/>
              </w:rPr>
              <w:t>NM EN 12324-2</w:t>
            </w:r>
          </w:p>
        </w:tc>
      </w:tr>
      <w:tr w:rsidR="00247086" w:rsidRPr="0043547B" w:rsidTr="000325C1">
        <w:trPr>
          <w:trHeight w:val="315"/>
          <w:jc w:val="center"/>
        </w:trPr>
        <w:tc>
          <w:tcPr>
            <w:tcW w:w="1838" w:type="dxa"/>
            <w:tcBorders>
              <w:top w:val="single" w:sz="4" w:space="0" w:color="auto"/>
              <w:left w:val="single" w:sz="18" w:space="0" w:color="auto"/>
              <w:bottom w:val="single" w:sz="18" w:space="0" w:color="auto"/>
              <w:right w:val="single" w:sz="4" w:space="0" w:color="auto"/>
            </w:tcBorders>
            <w:shd w:val="clear" w:color="auto" w:fill="FFFF99"/>
            <w:vAlign w:val="center"/>
          </w:tcPr>
          <w:p w:rsidR="00247086" w:rsidRDefault="00247086" w:rsidP="000325C1">
            <w:pPr>
              <w:spacing w:after="0" w:line="240" w:lineRule="auto"/>
              <w:jc w:val="center"/>
              <w:rPr>
                <w:rFonts w:ascii="Calibri" w:hAnsi="Calibri" w:cs="Calibri"/>
                <w:b/>
                <w:bCs/>
                <w:sz w:val="24"/>
                <w:szCs w:val="24"/>
              </w:rPr>
            </w:pPr>
            <w:r>
              <w:rPr>
                <w:rFonts w:ascii="Calibri" w:hAnsi="Calibri" w:cs="Calibri"/>
                <w:b/>
                <w:bCs/>
              </w:rPr>
              <w:t>Equivalence</w:t>
            </w:r>
          </w:p>
        </w:tc>
        <w:tc>
          <w:tcPr>
            <w:tcW w:w="7938" w:type="dxa"/>
            <w:tcBorders>
              <w:top w:val="single" w:sz="4" w:space="0" w:color="auto"/>
              <w:left w:val="single" w:sz="4" w:space="0" w:color="auto"/>
              <w:bottom w:val="single" w:sz="18" w:space="0" w:color="auto"/>
              <w:right w:val="single" w:sz="18" w:space="0" w:color="auto"/>
            </w:tcBorders>
            <w:shd w:val="clear" w:color="auto" w:fill="FFFF99"/>
            <w:noWrap/>
            <w:vAlign w:val="center"/>
          </w:tcPr>
          <w:p w:rsidR="00247086" w:rsidRPr="000325C1" w:rsidRDefault="00247086" w:rsidP="000325C1">
            <w:pPr>
              <w:spacing w:after="0" w:line="240" w:lineRule="auto"/>
              <w:jc w:val="center"/>
              <w:rPr>
                <w:rFonts w:ascii="Calibri" w:hAnsi="Calibri" w:cs="Calibri"/>
                <w:b/>
                <w:bCs/>
                <w:color w:val="000000"/>
                <w:sz w:val="24"/>
                <w:szCs w:val="24"/>
              </w:rPr>
            </w:pPr>
            <w:r w:rsidRPr="000325C1">
              <w:rPr>
                <w:rFonts w:ascii="Calibri" w:hAnsi="Calibri" w:cs="Calibri"/>
                <w:b/>
                <w:bCs/>
                <w:color w:val="000000"/>
                <w:sz w:val="24"/>
                <w:szCs w:val="24"/>
              </w:rPr>
              <w:t>EN 12324-2</w:t>
            </w:r>
          </w:p>
        </w:tc>
      </w:tr>
      <w:tr w:rsidR="00247086" w:rsidRPr="0043547B" w:rsidTr="000325C1">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B8CCE4" w:themeFill="accent1" w:themeFillTint="66"/>
            <w:vAlign w:val="center"/>
          </w:tcPr>
          <w:p w:rsidR="00247086" w:rsidRDefault="00247086" w:rsidP="000325C1">
            <w:pPr>
              <w:spacing w:after="0" w:line="240" w:lineRule="auto"/>
              <w:jc w:val="center"/>
              <w:rPr>
                <w:rFonts w:ascii="Calibri" w:hAnsi="Calibri" w:cs="Calibri"/>
                <w:b/>
                <w:bCs/>
                <w:sz w:val="24"/>
                <w:szCs w:val="24"/>
              </w:rPr>
            </w:pPr>
            <w:r>
              <w:rPr>
                <w:rFonts w:ascii="Calibri" w:hAnsi="Calibri" w:cs="Calibri"/>
                <w:b/>
                <w:bCs/>
              </w:rPr>
              <w:t>Intitulé</w:t>
            </w:r>
          </w:p>
        </w:tc>
        <w:tc>
          <w:tcPr>
            <w:tcW w:w="7938" w:type="dxa"/>
            <w:tcBorders>
              <w:top w:val="single" w:sz="18" w:space="0" w:color="auto"/>
              <w:left w:val="single" w:sz="4" w:space="0" w:color="auto"/>
              <w:bottom w:val="single" w:sz="4" w:space="0" w:color="auto"/>
              <w:right w:val="single" w:sz="18" w:space="0" w:color="auto"/>
            </w:tcBorders>
            <w:shd w:val="clear" w:color="auto" w:fill="FFFFFF" w:themeFill="background1"/>
            <w:noWrap/>
            <w:vAlign w:val="center"/>
          </w:tcPr>
          <w:p w:rsidR="00247086" w:rsidRDefault="00247086" w:rsidP="000325C1">
            <w:pPr>
              <w:spacing w:after="0" w:line="240" w:lineRule="auto"/>
              <w:jc w:val="both"/>
              <w:rPr>
                <w:rFonts w:ascii="Calibri" w:hAnsi="Calibri" w:cs="Calibri"/>
                <w:color w:val="000000"/>
                <w:sz w:val="20"/>
                <w:szCs w:val="20"/>
              </w:rPr>
            </w:pPr>
            <w:r w:rsidRPr="000325C1">
              <w:rPr>
                <w:rFonts w:ascii="Calibri" w:hAnsi="Calibri" w:cs="Calibri"/>
                <w:color w:val="000000"/>
              </w:rPr>
              <w:t xml:space="preserve">Techniques d'irrigation - Installations avec enrouleurs - Partie 2 : spécifications des tubes polyéthylène pour enrouleurs </w:t>
            </w:r>
            <w:r w:rsidR="000325C1" w:rsidRPr="000325C1">
              <w:rPr>
                <w:rFonts w:ascii="Calibri" w:hAnsi="Calibri" w:cs="Calibri"/>
                <w:color w:val="000000"/>
              </w:rPr>
              <w:t xml:space="preserve"> </w:t>
            </w:r>
            <w:r w:rsidRPr="000325C1">
              <w:rPr>
                <w:rFonts w:ascii="Calibri" w:hAnsi="Calibri" w:cs="Calibri"/>
                <w:color w:val="000000"/>
              </w:rPr>
              <w:t xml:space="preserve"> </w:t>
            </w:r>
          </w:p>
        </w:tc>
      </w:tr>
      <w:tr w:rsidR="00247086" w:rsidRPr="0043547B" w:rsidTr="000325C1">
        <w:trPr>
          <w:trHeight w:val="315"/>
          <w:jc w:val="center"/>
        </w:trPr>
        <w:tc>
          <w:tcPr>
            <w:tcW w:w="1838" w:type="dxa"/>
            <w:tcBorders>
              <w:top w:val="single" w:sz="4" w:space="0" w:color="auto"/>
              <w:left w:val="single" w:sz="18" w:space="0" w:color="auto"/>
              <w:bottom w:val="single" w:sz="18" w:space="0" w:color="auto"/>
              <w:right w:val="single" w:sz="4" w:space="0" w:color="auto"/>
            </w:tcBorders>
            <w:shd w:val="clear" w:color="auto" w:fill="D9D9D9" w:themeFill="background1" w:themeFillShade="D9"/>
            <w:vAlign w:val="center"/>
          </w:tcPr>
          <w:p w:rsidR="00247086" w:rsidRDefault="00247086" w:rsidP="000325C1">
            <w:pPr>
              <w:spacing w:after="0" w:line="240" w:lineRule="auto"/>
              <w:jc w:val="center"/>
              <w:rPr>
                <w:rFonts w:ascii="Calibri" w:hAnsi="Calibri" w:cs="Calibri"/>
                <w:b/>
                <w:bCs/>
                <w:sz w:val="24"/>
                <w:szCs w:val="24"/>
              </w:rPr>
            </w:pPr>
            <w:r>
              <w:rPr>
                <w:rFonts w:ascii="Calibri" w:hAnsi="Calibri" w:cs="Calibri"/>
                <w:b/>
                <w:bCs/>
              </w:rPr>
              <w:t>Domaine d’application</w:t>
            </w:r>
          </w:p>
        </w:tc>
        <w:tc>
          <w:tcPr>
            <w:tcW w:w="7938" w:type="dxa"/>
            <w:tcBorders>
              <w:top w:val="single" w:sz="4" w:space="0" w:color="auto"/>
              <w:left w:val="single" w:sz="4" w:space="0" w:color="auto"/>
              <w:bottom w:val="single" w:sz="18" w:space="0" w:color="auto"/>
              <w:right w:val="single" w:sz="18" w:space="0" w:color="auto"/>
            </w:tcBorders>
            <w:shd w:val="clear" w:color="auto" w:fill="FFFFFF" w:themeFill="background1"/>
            <w:noWrap/>
            <w:vAlign w:val="bottom"/>
          </w:tcPr>
          <w:p w:rsidR="000325C1" w:rsidRDefault="00247086" w:rsidP="000325C1">
            <w:pPr>
              <w:spacing w:after="0" w:line="240" w:lineRule="auto"/>
              <w:jc w:val="both"/>
              <w:rPr>
                <w:rFonts w:ascii="Calibri" w:hAnsi="Calibri" w:cs="Calibri"/>
                <w:color w:val="000000"/>
              </w:rPr>
            </w:pPr>
            <w:r>
              <w:rPr>
                <w:rFonts w:ascii="Calibri" w:hAnsi="Calibri" w:cs="Calibri"/>
                <w:color w:val="000000"/>
              </w:rPr>
              <w:t>La présente Norme Européenne spécifie les propriétés requises des tubes en polyéthylène (PE) pour enrouleurs</w:t>
            </w:r>
            <w:r w:rsidR="000325C1">
              <w:rPr>
                <w:rFonts w:ascii="Calibri" w:hAnsi="Calibri" w:cs="Calibri"/>
                <w:color w:val="000000"/>
              </w:rPr>
              <w:t xml:space="preserve"> </w:t>
            </w:r>
            <w:r>
              <w:rPr>
                <w:rFonts w:ascii="Calibri" w:hAnsi="Calibri" w:cs="Calibri"/>
                <w:color w:val="000000"/>
              </w:rPr>
              <w:t>d'irrigation.</w:t>
            </w:r>
          </w:p>
          <w:p w:rsidR="00247086" w:rsidRDefault="00247086" w:rsidP="000325C1">
            <w:pPr>
              <w:spacing w:after="0" w:line="240" w:lineRule="auto"/>
              <w:jc w:val="both"/>
              <w:rPr>
                <w:rFonts w:ascii="Calibri" w:hAnsi="Calibri" w:cs="Calibri"/>
                <w:color w:val="000000"/>
              </w:rPr>
            </w:pPr>
            <w:r>
              <w:rPr>
                <w:rFonts w:ascii="Calibri" w:hAnsi="Calibri" w:cs="Calibri"/>
                <w:color w:val="000000"/>
              </w:rPr>
              <w:t>Ces tubes sont destinés à être enroulés sur des structures d'enrouleur conformes aux gammes dimensionnelles</w:t>
            </w:r>
            <w:r w:rsidR="000325C1">
              <w:rPr>
                <w:rFonts w:ascii="Calibri" w:hAnsi="Calibri" w:cs="Calibri"/>
                <w:color w:val="000000"/>
              </w:rPr>
              <w:t xml:space="preserve"> </w:t>
            </w:r>
            <w:r>
              <w:rPr>
                <w:rFonts w:ascii="Calibri" w:hAnsi="Calibri" w:cs="Calibri"/>
                <w:color w:val="000000"/>
              </w:rPr>
              <w:t>spécifiées dans l'EN 12324-1, et à assurer les fonctions d'alimentation en eau et de traction du système de</w:t>
            </w:r>
            <w:r w:rsidR="000325C1">
              <w:rPr>
                <w:rFonts w:ascii="Calibri" w:hAnsi="Calibri" w:cs="Calibri"/>
                <w:color w:val="000000"/>
              </w:rPr>
              <w:t xml:space="preserve"> </w:t>
            </w:r>
            <w:r>
              <w:rPr>
                <w:rFonts w:ascii="Calibri" w:hAnsi="Calibri" w:cs="Calibri"/>
                <w:color w:val="000000"/>
              </w:rPr>
              <w:t>distribution d'eau d'irrigation lorsqu'il parcourt la bande arrosée.</w:t>
            </w:r>
          </w:p>
        </w:tc>
      </w:tr>
      <w:tr w:rsidR="00247086" w:rsidRPr="0043547B" w:rsidTr="000325C1">
        <w:trPr>
          <w:trHeight w:val="315"/>
          <w:jc w:val="center"/>
        </w:trPr>
        <w:tc>
          <w:tcPr>
            <w:tcW w:w="1838" w:type="dxa"/>
            <w:tcBorders>
              <w:top w:val="single" w:sz="4" w:space="0" w:color="auto"/>
              <w:left w:val="single" w:sz="18" w:space="0" w:color="auto"/>
              <w:bottom w:val="single" w:sz="18" w:space="0" w:color="auto"/>
              <w:right w:val="single" w:sz="4" w:space="0" w:color="auto"/>
            </w:tcBorders>
            <w:shd w:val="clear" w:color="auto" w:fill="C2D69B" w:themeFill="accent3" w:themeFillTint="99"/>
            <w:vAlign w:val="center"/>
          </w:tcPr>
          <w:p w:rsidR="00247086" w:rsidRDefault="00247086" w:rsidP="000325C1">
            <w:pPr>
              <w:spacing w:after="0" w:line="240" w:lineRule="auto"/>
              <w:jc w:val="center"/>
              <w:rPr>
                <w:rFonts w:ascii="Calibri" w:hAnsi="Calibri" w:cs="Calibri"/>
                <w:b/>
                <w:bCs/>
                <w:sz w:val="24"/>
                <w:szCs w:val="24"/>
              </w:rPr>
            </w:pPr>
            <w:r>
              <w:rPr>
                <w:rFonts w:ascii="Calibri" w:hAnsi="Calibri" w:cs="Calibri"/>
                <w:b/>
                <w:bCs/>
              </w:rPr>
              <w:t>Code</w:t>
            </w:r>
          </w:p>
        </w:tc>
        <w:tc>
          <w:tcPr>
            <w:tcW w:w="7938" w:type="dxa"/>
            <w:tcBorders>
              <w:top w:val="single" w:sz="4" w:space="0" w:color="auto"/>
              <w:left w:val="single" w:sz="4" w:space="0" w:color="auto"/>
              <w:bottom w:val="single" w:sz="18" w:space="0" w:color="auto"/>
              <w:right w:val="single" w:sz="18" w:space="0" w:color="auto"/>
            </w:tcBorders>
            <w:shd w:val="clear" w:color="auto" w:fill="C2D69B" w:themeFill="accent3" w:themeFillTint="99"/>
            <w:noWrap/>
            <w:vAlign w:val="center"/>
          </w:tcPr>
          <w:p w:rsidR="00247086" w:rsidRPr="000325C1" w:rsidRDefault="00247086" w:rsidP="000325C1">
            <w:pPr>
              <w:spacing w:after="0" w:line="240" w:lineRule="auto"/>
              <w:jc w:val="center"/>
              <w:rPr>
                <w:rFonts w:ascii="Calibri" w:hAnsi="Calibri" w:cs="Calibri"/>
                <w:b/>
                <w:bCs/>
                <w:color w:val="000000"/>
                <w:sz w:val="24"/>
                <w:szCs w:val="24"/>
              </w:rPr>
            </w:pPr>
            <w:r w:rsidRPr="000325C1">
              <w:rPr>
                <w:rFonts w:ascii="Calibri" w:hAnsi="Calibri" w:cs="Calibri"/>
                <w:b/>
                <w:bCs/>
                <w:color w:val="000000"/>
                <w:sz w:val="24"/>
                <w:szCs w:val="24"/>
              </w:rPr>
              <w:t>NM ISO 8779</w:t>
            </w:r>
          </w:p>
        </w:tc>
      </w:tr>
      <w:tr w:rsidR="00247086" w:rsidRPr="0043547B" w:rsidTr="000325C1">
        <w:trPr>
          <w:trHeight w:val="315"/>
          <w:jc w:val="center"/>
        </w:trPr>
        <w:tc>
          <w:tcPr>
            <w:tcW w:w="1838" w:type="dxa"/>
            <w:tcBorders>
              <w:top w:val="single" w:sz="4" w:space="0" w:color="auto"/>
              <w:left w:val="single" w:sz="18" w:space="0" w:color="auto"/>
              <w:bottom w:val="single" w:sz="18" w:space="0" w:color="auto"/>
              <w:right w:val="single" w:sz="4" w:space="0" w:color="auto"/>
            </w:tcBorders>
            <w:shd w:val="clear" w:color="auto" w:fill="FFFF99"/>
            <w:vAlign w:val="center"/>
          </w:tcPr>
          <w:p w:rsidR="00247086" w:rsidRDefault="00247086" w:rsidP="000325C1">
            <w:pPr>
              <w:spacing w:after="0" w:line="240" w:lineRule="auto"/>
              <w:jc w:val="center"/>
              <w:rPr>
                <w:rFonts w:ascii="Calibri" w:hAnsi="Calibri" w:cs="Calibri"/>
                <w:b/>
                <w:bCs/>
                <w:sz w:val="24"/>
                <w:szCs w:val="24"/>
              </w:rPr>
            </w:pPr>
            <w:r>
              <w:rPr>
                <w:rFonts w:ascii="Calibri" w:hAnsi="Calibri" w:cs="Calibri"/>
                <w:b/>
                <w:bCs/>
              </w:rPr>
              <w:t>Equivalence</w:t>
            </w:r>
          </w:p>
        </w:tc>
        <w:tc>
          <w:tcPr>
            <w:tcW w:w="7938" w:type="dxa"/>
            <w:tcBorders>
              <w:top w:val="single" w:sz="4" w:space="0" w:color="auto"/>
              <w:left w:val="single" w:sz="4" w:space="0" w:color="auto"/>
              <w:bottom w:val="single" w:sz="18" w:space="0" w:color="auto"/>
              <w:right w:val="single" w:sz="18" w:space="0" w:color="auto"/>
            </w:tcBorders>
            <w:shd w:val="clear" w:color="auto" w:fill="FFFF99"/>
            <w:noWrap/>
            <w:vAlign w:val="center"/>
          </w:tcPr>
          <w:p w:rsidR="00247086" w:rsidRPr="000325C1" w:rsidRDefault="00247086" w:rsidP="000325C1">
            <w:pPr>
              <w:spacing w:after="0" w:line="240" w:lineRule="auto"/>
              <w:jc w:val="center"/>
              <w:rPr>
                <w:rFonts w:ascii="Calibri" w:hAnsi="Calibri" w:cs="Calibri"/>
                <w:b/>
                <w:bCs/>
                <w:color w:val="000000"/>
                <w:sz w:val="24"/>
                <w:szCs w:val="24"/>
              </w:rPr>
            </w:pPr>
            <w:r w:rsidRPr="000325C1">
              <w:rPr>
                <w:rFonts w:ascii="Calibri" w:hAnsi="Calibri" w:cs="Calibri"/>
                <w:b/>
                <w:bCs/>
                <w:color w:val="000000"/>
                <w:sz w:val="24"/>
                <w:szCs w:val="24"/>
              </w:rPr>
              <w:t>ISO 8779</w:t>
            </w:r>
          </w:p>
        </w:tc>
      </w:tr>
      <w:tr w:rsidR="00247086" w:rsidRPr="0043547B" w:rsidTr="000325C1">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B8CCE4" w:themeFill="accent1" w:themeFillTint="66"/>
            <w:vAlign w:val="center"/>
          </w:tcPr>
          <w:p w:rsidR="00247086" w:rsidRDefault="00247086" w:rsidP="000325C1">
            <w:pPr>
              <w:spacing w:after="0" w:line="240" w:lineRule="auto"/>
              <w:jc w:val="center"/>
              <w:rPr>
                <w:rFonts w:ascii="Calibri" w:hAnsi="Calibri" w:cs="Calibri"/>
                <w:b/>
                <w:bCs/>
                <w:sz w:val="24"/>
                <w:szCs w:val="24"/>
              </w:rPr>
            </w:pPr>
            <w:r>
              <w:rPr>
                <w:rFonts w:ascii="Calibri" w:hAnsi="Calibri" w:cs="Calibri"/>
                <w:b/>
                <w:bCs/>
              </w:rPr>
              <w:lastRenderedPageBreak/>
              <w:t>Intitulé</w:t>
            </w:r>
          </w:p>
        </w:tc>
        <w:tc>
          <w:tcPr>
            <w:tcW w:w="7938" w:type="dxa"/>
            <w:tcBorders>
              <w:top w:val="single" w:sz="18" w:space="0" w:color="auto"/>
              <w:left w:val="single" w:sz="4" w:space="0" w:color="auto"/>
              <w:bottom w:val="single" w:sz="4" w:space="0" w:color="auto"/>
              <w:right w:val="single" w:sz="18" w:space="0" w:color="auto"/>
            </w:tcBorders>
            <w:shd w:val="clear" w:color="auto" w:fill="FFFFFF" w:themeFill="background1"/>
            <w:noWrap/>
            <w:vAlign w:val="center"/>
          </w:tcPr>
          <w:p w:rsidR="00247086" w:rsidRDefault="00247086" w:rsidP="000325C1">
            <w:pPr>
              <w:spacing w:after="0" w:line="240" w:lineRule="auto"/>
              <w:jc w:val="both"/>
              <w:rPr>
                <w:rFonts w:ascii="Calibri" w:hAnsi="Calibri" w:cs="Calibri"/>
                <w:color w:val="000000"/>
                <w:sz w:val="20"/>
                <w:szCs w:val="20"/>
              </w:rPr>
            </w:pPr>
            <w:r>
              <w:rPr>
                <w:rFonts w:ascii="Calibri" w:hAnsi="Calibri" w:cs="Calibri"/>
                <w:color w:val="000000"/>
                <w:sz w:val="20"/>
                <w:szCs w:val="20"/>
              </w:rPr>
              <w:t xml:space="preserve">Systèmes de canalisations en plastique - Tubes en polyéthylène (PE) pour l'irrigation - Spécifications ; (IC 05.5.186) </w:t>
            </w:r>
          </w:p>
        </w:tc>
      </w:tr>
      <w:tr w:rsidR="00247086" w:rsidRPr="00D76221" w:rsidTr="000325C1">
        <w:trPr>
          <w:trHeight w:val="315"/>
          <w:jc w:val="center"/>
        </w:trPr>
        <w:tc>
          <w:tcPr>
            <w:tcW w:w="1838" w:type="dxa"/>
            <w:tcBorders>
              <w:top w:val="single" w:sz="4" w:space="0" w:color="auto"/>
              <w:left w:val="single" w:sz="18" w:space="0" w:color="auto"/>
              <w:bottom w:val="single" w:sz="18" w:space="0" w:color="auto"/>
              <w:right w:val="single" w:sz="4" w:space="0" w:color="auto"/>
            </w:tcBorders>
            <w:shd w:val="clear" w:color="auto" w:fill="D9D9D9" w:themeFill="background1" w:themeFillShade="D9"/>
            <w:vAlign w:val="center"/>
          </w:tcPr>
          <w:p w:rsidR="00247086" w:rsidRDefault="00247086" w:rsidP="000325C1">
            <w:pPr>
              <w:spacing w:after="0" w:line="240" w:lineRule="auto"/>
              <w:jc w:val="center"/>
              <w:rPr>
                <w:rFonts w:ascii="Calibri" w:hAnsi="Calibri" w:cs="Calibri"/>
                <w:b/>
                <w:bCs/>
                <w:sz w:val="24"/>
                <w:szCs w:val="24"/>
              </w:rPr>
            </w:pPr>
            <w:r>
              <w:rPr>
                <w:rFonts w:ascii="Calibri" w:hAnsi="Calibri" w:cs="Calibri"/>
                <w:b/>
                <w:bCs/>
              </w:rPr>
              <w:t>Domaine d’application</w:t>
            </w:r>
          </w:p>
        </w:tc>
        <w:tc>
          <w:tcPr>
            <w:tcW w:w="7938" w:type="dxa"/>
            <w:tcBorders>
              <w:top w:val="single" w:sz="4" w:space="0" w:color="auto"/>
              <w:left w:val="single" w:sz="4" w:space="0" w:color="auto"/>
              <w:bottom w:val="single" w:sz="18" w:space="0" w:color="auto"/>
              <w:right w:val="single" w:sz="18" w:space="0" w:color="auto"/>
            </w:tcBorders>
            <w:shd w:val="clear" w:color="auto" w:fill="FFFFFF" w:themeFill="background1"/>
            <w:noWrap/>
            <w:vAlign w:val="bottom"/>
          </w:tcPr>
          <w:p w:rsidR="000325C1" w:rsidRDefault="00247086" w:rsidP="000325C1">
            <w:pPr>
              <w:spacing w:after="0" w:line="240" w:lineRule="auto"/>
              <w:jc w:val="both"/>
              <w:rPr>
                <w:rFonts w:ascii="Calibri" w:hAnsi="Calibri" w:cs="Calibri"/>
                <w:color w:val="000000"/>
                <w:lang w:val="en-ZA"/>
              </w:rPr>
            </w:pPr>
            <w:r w:rsidRPr="00247086">
              <w:rPr>
                <w:rFonts w:ascii="Calibri" w:hAnsi="Calibri" w:cs="Calibri"/>
                <w:color w:val="000000"/>
                <w:lang w:val="en-ZA"/>
              </w:rPr>
              <w:t>This document specifies the characteristics of pipes (mains, sub-mains and laterals) made from</w:t>
            </w:r>
            <w:r w:rsidR="000325C1">
              <w:rPr>
                <w:rFonts w:ascii="Calibri" w:hAnsi="Calibri" w:cs="Calibri"/>
                <w:color w:val="000000"/>
                <w:lang w:val="en-ZA"/>
              </w:rPr>
              <w:t xml:space="preserve"> </w:t>
            </w:r>
            <w:r w:rsidRPr="00247086">
              <w:rPr>
                <w:rFonts w:ascii="Calibri" w:hAnsi="Calibri" w:cs="Calibri"/>
                <w:color w:val="000000"/>
                <w:lang w:val="en-ZA"/>
              </w:rPr>
              <w:t>polyethylene (PE), intended for the conveyance of water for irrigation, at a water temperature up to 45 °C.</w:t>
            </w:r>
          </w:p>
          <w:p w:rsidR="000325C1" w:rsidRPr="000325C1" w:rsidRDefault="00247086" w:rsidP="000325C1">
            <w:pPr>
              <w:spacing w:after="0" w:line="240" w:lineRule="auto"/>
              <w:jc w:val="both"/>
              <w:rPr>
                <w:rFonts w:ascii="Calibri" w:hAnsi="Calibri" w:cs="Calibri"/>
                <w:i/>
                <w:iCs/>
                <w:color w:val="000000"/>
                <w:sz w:val="20"/>
                <w:szCs w:val="20"/>
                <w:lang w:val="en-ZA"/>
              </w:rPr>
            </w:pPr>
            <w:r w:rsidRPr="000325C1">
              <w:rPr>
                <w:rFonts w:ascii="Calibri" w:hAnsi="Calibri" w:cs="Calibri"/>
                <w:b/>
                <w:bCs/>
                <w:i/>
                <w:iCs/>
                <w:color w:val="000000"/>
                <w:sz w:val="20"/>
                <w:szCs w:val="20"/>
                <w:lang w:val="en-ZA"/>
              </w:rPr>
              <w:t>NOTE 1</w:t>
            </w:r>
            <w:r w:rsidRPr="000325C1">
              <w:rPr>
                <w:rFonts w:ascii="Calibri" w:hAnsi="Calibri" w:cs="Calibri"/>
                <w:i/>
                <w:iCs/>
                <w:color w:val="000000"/>
                <w:sz w:val="20"/>
                <w:szCs w:val="20"/>
                <w:lang w:val="en-ZA"/>
              </w:rPr>
              <w:t xml:space="preserve"> </w:t>
            </w:r>
            <w:r w:rsidR="000325C1" w:rsidRPr="000325C1">
              <w:rPr>
                <w:rFonts w:ascii="Calibri" w:hAnsi="Calibri" w:cs="Calibri"/>
                <w:i/>
                <w:iCs/>
                <w:color w:val="000000"/>
                <w:sz w:val="20"/>
                <w:szCs w:val="20"/>
                <w:lang w:val="en-ZA"/>
              </w:rPr>
              <w:t xml:space="preserve">: </w:t>
            </w:r>
            <w:r w:rsidRPr="000325C1">
              <w:rPr>
                <w:rFonts w:ascii="Calibri" w:hAnsi="Calibri" w:cs="Calibri"/>
                <w:i/>
                <w:iCs/>
                <w:color w:val="000000"/>
                <w:sz w:val="20"/>
                <w:szCs w:val="20"/>
                <w:lang w:val="en-ZA"/>
              </w:rPr>
              <w:t>For the effect of water temperature on the maximum operating pressure, see Annex A.</w:t>
            </w:r>
          </w:p>
          <w:p w:rsidR="000325C1" w:rsidRDefault="00247086" w:rsidP="000325C1">
            <w:pPr>
              <w:spacing w:after="0" w:line="240" w:lineRule="auto"/>
              <w:jc w:val="both"/>
              <w:rPr>
                <w:rFonts w:ascii="Calibri" w:hAnsi="Calibri" w:cs="Calibri"/>
                <w:color w:val="000000"/>
                <w:lang w:val="en-ZA"/>
              </w:rPr>
            </w:pPr>
            <w:r w:rsidRPr="00247086">
              <w:rPr>
                <w:rFonts w:ascii="Calibri" w:hAnsi="Calibri" w:cs="Calibri"/>
                <w:color w:val="000000"/>
                <w:lang w:val="en-ZA"/>
              </w:rPr>
              <w:t>This document applies to pipes that will not be subjected to internal pressure for long periods, and not</w:t>
            </w:r>
            <w:r w:rsidR="000325C1">
              <w:rPr>
                <w:rFonts w:ascii="Calibri" w:hAnsi="Calibri" w:cs="Calibri"/>
                <w:color w:val="000000"/>
                <w:lang w:val="en-ZA"/>
              </w:rPr>
              <w:t xml:space="preserve"> </w:t>
            </w:r>
            <w:r w:rsidRPr="00247086">
              <w:rPr>
                <w:rFonts w:ascii="Calibri" w:hAnsi="Calibri" w:cs="Calibri"/>
                <w:color w:val="000000"/>
                <w:lang w:val="en-ZA"/>
              </w:rPr>
              <w:t>more than 1 500 hours/year. For piping applications with long-term continuous pressure, the ISO 4427</w:t>
            </w:r>
            <w:r w:rsidR="000325C1">
              <w:rPr>
                <w:rFonts w:ascii="Calibri" w:hAnsi="Calibri" w:cs="Calibri"/>
                <w:color w:val="000000"/>
                <w:lang w:val="en-ZA"/>
              </w:rPr>
              <w:t xml:space="preserve"> </w:t>
            </w:r>
            <w:r w:rsidRPr="00247086">
              <w:rPr>
                <w:rFonts w:ascii="Calibri" w:hAnsi="Calibri" w:cs="Calibri"/>
                <w:color w:val="000000"/>
                <w:lang w:val="en-ZA"/>
              </w:rPr>
              <w:t>series applies.</w:t>
            </w:r>
          </w:p>
          <w:p w:rsidR="000325C1" w:rsidRDefault="00247086" w:rsidP="000325C1">
            <w:pPr>
              <w:spacing w:after="0" w:line="240" w:lineRule="auto"/>
              <w:jc w:val="both"/>
              <w:rPr>
                <w:rFonts w:ascii="Calibri" w:hAnsi="Calibri" w:cs="Calibri"/>
                <w:i/>
                <w:iCs/>
                <w:color w:val="000000"/>
                <w:sz w:val="20"/>
                <w:szCs w:val="20"/>
                <w:lang w:val="en-ZA"/>
              </w:rPr>
            </w:pPr>
            <w:r w:rsidRPr="000325C1">
              <w:rPr>
                <w:rFonts w:ascii="Calibri" w:hAnsi="Calibri" w:cs="Calibri"/>
                <w:b/>
                <w:bCs/>
                <w:i/>
                <w:iCs/>
                <w:color w:val="000000"/>
                <w:sz w:val="20"/>
                <w:szCs w:val="20"/>
                <w:lang w:val="en-ZA"/>
              </w:rPr>
              <w:t>NOTE 2</w:t>
            </w:r>
            <w:r w:rsidRPr="000325C1">
              <w:rPr>
                <w:rFonts w:ascii="Calibri" w:hAnsi="Calibri" w:cs="Calibri"/>
                <w:i/>
                <w:iCs/>
                <w:color w:val="000000"/>
                <w:sz w:val="20"/>
                <w:szCs w:val="20"/>
                <w:lang w:val="en-ZA"/>
              </w:rPr>
              <w:t xml:space="preserve"> </w:t>
            </w:r>
            <w:r w:rsidR="000325C1" w:rsidRPr="000325C1">
              <w:rPr>
                <w:rFonts w:ascii="Calibri" w:hAnsi="Calibri" w:cs="Calibri"/>
                <w:i/>
                <w:iCs/>
                <w:color w:val="000000"/>
                <w:sz w:val="20"/>
                <w:szCs w:val="20"/>
                <w:lang w:val="en-ZA"/>
              </w:rPr>
              <w:t xml:space="preserve">: </w:t>
            </w:r>
            <w:r w:rsidRPr="000325C1">
              <w:rPr>
                <w:rFonts w:ascii="Calibri" w:hAnsi="Calibri" w:cs="Calibri"/>
                <w:i/>
                <w:iCs/>
                <w:color w:val="000000"/>
                <w:sz w:val="20"/>
                <w:szCs w:val="20"/>
                <w:lang w:val="en-ZA"/>
              </w:rPr>
              <w:t>The expected lifetime of pipes covered by this document is ten years or less.</w:t>
            </w:r>
          </w:p>
          <w:p w:rsidR="00247086" w:rsidRPr="00247086" w:rsidRDefault="00247086" w:rsidP="000325C1">
            <w:pPr>
              <w:spacing w:after="0" w:line="240" w:lineRule="auto"/>
              <w:jc w:val="both"/>
              <w:rPr>
                <w:rFonts w:ascii="Calibri" w:hAnsi="Calibri" w:cs="Calibri"/>
                <w:color w:val="000000"/>
                <w:lang w:val="en-ZA"/>
              </w:rPr>
            </w:pPr>
            <w:r w:rsidRPr="00247086">
              <w:rPr>
                <w:rFonts w:ascii="Calibri" w:hAnsi="Calibri" w:cs="Calibri"/>
                <w:color w:val="000000"/>
                <w:lang w:val="en-ZA"/>
              </w:rPr>
              <w:t>This document also specifies the properties of the material and the parameters for the test methods to</w:t>
            </w:r>
            <w:r w:rsidR="000325C1">
              <w:rPr>
                <w:rFonts w:ascii="Calibri" w:hAnsi="Calibri" w:cs="Calibri"/>
                <w:color w:val="000000"/>
                <w:lang w:val="en-ZA"/>
              </w:rPr>
              <w:t xml:space="preserve"> </w:t>
            </w:r>
            <w:r w:rsidRPr="00247086">
              <w:rPr>
                <w:rFonts w:ascii="Calibri" w:hAnsi="Calibri" w:cs="Calibri"/>
                <w:color w:val="000000"/>
                <w:lang w:val="en-ZA"/>
              </w:rPr>
              <w:t>which it refers.</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904E52" w:rsidRPr="0043547B" w:rsidRDefault="00904E52" w:rsidP="00C2760A">
            <w:pPr>
              <w:spacing w:after="0"/>
              <w:jc w:val="center"/>
              <w:rPr>
                <w:rFonts w:cstheme="minorHAnsi"/>
                <w:b/>
                <w:bCs/>
                <w:sz w:val="24"/>
                <w:szCs w:val="24"/>
              </w:rPr>
            </w:pPr>
            <w:r w:rsidRPr="0043547B">
              <w:rPr>
                <w:rFonts w:cstheme="minorHAnsi"/>
                <w:b/>
                <w:bCs/>
                <w:sz w:val="24"/>
                <w:szCs w:val="24"/>
              </w:rPr>
              <w:t>Code </w:t>
            </w:r>
            <w:r w:rsidR="00C2760A">
              <w:rPr>
                <w:rFonts w:cstheme="minorHAnsi"/>
                <w:b/>
                <w:bCs/>
                <w:sz w:val="24"/>
                <w:szCs w:val="24"/>
              </w:rPr>
              <w:t xml:space="preserve"> </w:t>
            </w:r>
          </w:p>
        </w:tc>
        <w:tc>
          <w:tcPr>
            <w:tcW w:w="7938" w:type="dxa"/>
            <w:tcBorders>
              <w:top w:val="single" w:sz="18" w:space="0" w:color="auto"/>
              <w:left w:val="single" w:sz="4" w:space="0" w:color="auto"/>
              <w:bottom w:val="single" w:sz="18" w:space="0" w:color="auto"/>
              <w:right w:val="single" w:sz="18" w:space="0" w:color="auto"/>
            </w:tcBorders>
            <w:shd w:val="clear" w:color="auto" w:fill="B4CD81"/>
            <w:noWrap/>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EN 1401-1</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C2760A">
            <w:pPr>
              <w:spacing w:after="0"/>
              <w:jc w:val="center"/>
              <w:rPr>
                <w:rFonts w:cstheme="minorHAnsi"/>
                <w:b/>
                <w:bCs/>
                <w:sz w:val="24"/>
                <w:szCs w:val="24"/>
              </w:rPr>
            </w:pPr>
            <w:r w:rsidRPr="0043547B">
              <w:rPr>
                <w:rFonts w:cstheme="minorHAnsi"/>
                <w:b/>
                <w:bCs/>
                <w:sz w:val="24"/>
                <w:szCs w:val="24"/>
              </w:rPr>
              <w:t>Equivalence </w:t>
            </w:r>
            <w:r w:rsidR="00C2760A">
              <w:rPr>
                <w:rFonts w:cstheme="minorHAnsi"/>
                <w:b/>
                <w:bCs/>
                <w:sz w:val="24"/>
                <w:szCs w:val="24"/>
              </w:rPr>
              <w:t xml:space="preserve"> </w:t>
            </w:r>
          </w:p>
        </w:tc>
        <w:tc>
          <w:tcPr>
            <w:tcW w:w="7938" w:type="dxa"/>
            <w:tcBorders>
              <w:top w:val="single" w:sz="18" w:space="0" w:color="auto"/>
              <w:left w:val="single" w:sz="4" w:space="0" w:color="auto"/>
              <w:right w:val="single" w:sz="18" w:space="0" w:color="auto"/>
            </w:tcBorders>
            <w:shd w:val="clear" w:color="auto" w:fill="FFFF99"/>
            <w:noWrap/>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1401-1</w:t>
            </w:r>
          </w:p>
        </w:tc>
      </w:tr>
      <w:tr w:rsidR="00E33F03" w:rsidRPr="0043547B" w:rsidTr="00D76221">
        <w:trPr>
          <w:trHeight w:val="49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E33F03" w:rsidRPr="0043547B" w:rsidRDefault="00E33F03" w:rsidP="00C2760A">
            <w:pPr>
              <w:spacing w:after="0"/>
              <w:jc w:val="center"/>
              <w:rPr>
                <w:rFonts w:cstheme="minorHAnsi"/>
                <w:b/>
                <w:bCs/>
                <w:sz w:val="24"/>
                <w:szCs w:val="24"/>
              </w:rPr>
            </w:pPr>
            <w:r w:rsidRPr="0043547B">
              <w:rPr>
                <w:rFonts w:cstheme="minorHAnsi"/>
                <w:b/>
                <w:bCs/>
                <w:sz w:val="24"/>
                <w:szCs w:val="24"/>
              </w:rPr>
              <w:t>Intitulé </w:t>
            </w:r>
            <w:r w:rsidR="00C2760A">
              <w:rPr>
                <w:rFonts w:cstheme="minorHAnsi"/>
                <w:b/>
                <w:bCs/>
                <w:sz w:val="24"/>
                <w:szCs w:val="24"/>
              </w:rPr>
              <w:t xml:space="preserve"> </w:t>
            </w:r>
          </w:p>
        </w:tc>
        <w:tc>
          <w:tcPr>
            <w:tcW w:w="7938" w:type="dxa"/>
            <w:tcBorders>
              <w:left w:val="single" w:sz="4" w:space="0" w:color="auto"/>
              <w:right w:val="single" w:sz="18" w:space="0" w:color="auto"/>
            </w:tcBorders>
            <w:shd w:val="clear" w:color="auto" w:fill="auto"/>
            <w:vAlign w:val="center"/>
            <w:hideMark/>
          </w:tcPr>
          <w:p w:rsidR="00E33F03" w:rsidRPr="000325C1" w:rsidRDefault="00E33F03" w:rsidP="000325C1">
            <w:pPr>
              <w:spacing w:after="0" w:line="240" w:lineRule="auto"/>
              <w:jc w:val="both"/>
              <w:rPr>
                <w:rFonts w:ascii="Calibri" w:hAnsi="Calibri" w:cs="Calibri"/>
              </w:rPr>
            </w:pPr>
            <w:r w:rsidRPr="000325C1">
              <w:rPr>
                <w:rFonts w:ascii="Calibri" w:hAnsi="Calibri" w:cs="Calibri"/>
              </w:rPr>
              <w:t xml:space="preserve">Systèmes de canalisations en plastique pour les branchements et les collecteurs d'assainissement enterrés sans pression - Poly(chlorure de vinyle) non plastifié (PVC-U) - Partie 1 : Spécifications pour tubes, raccords et le système - Systèmes de canalisations en plastique pour les branchements et les collecteurs d'assainissement enterrés sans pression - Poly(chlorure de vinyle) non plastifié (PVCU) - Partie 1 : Spécifications pour tubes, raccords et le système </w:t>
            </w:r>
            <w:r w:rsidR="000325C1">
              <w:rPr>
                <w:rFonts w:ascii="Calibri" w:hAnsi="Calibri" w:cs="Calibri"/>
              </w:rPr>
              <w:t xml:space="preserve"> </w:t>
            </w:r>
          </w:p>
        </w:tc>
      </w:tr>
      <w:tr w:rsidR="00E33F03" w:rsidRPr="0043547B" w:rsidTr="00D76221">
        <w:trPr>
          <w:trHeight w:val="1552"/>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E33F03" w:rsidRPr="0043547B" w:rsidRDefault="00E33F03" w:rsidP="00C2760A">
            <w:pPr>
              <w:spacing w:after="0"/>
              <w:jc w:val="center"/>
              <w:rPr>
                <w:rFonts w:cstheme="minorHAnsi"/>
                <w:b/>
                <w:bCs/>
                <w:sz w:val="24"/>
                <w:szCs w:val="24"/>
              </w:rPr>
            </w:pPr>
            <w:r w:rsidRPr="0043547B">
              <w:rPr>
                <w:rFonts w:cstheme="minorHAnsi"/>
                <w:b/>
                <w:bCs/>
                <w:sz w:val="24"/>
                <w:szCs w:val="24"/>
              </w:rPr>
              <w:t>Domaine d’application </w:t>
            </w:r>
            <w:r w:rsidR="00C2760A">
              <w:rPr>
                <w:rFonts w:cstheme="minorHAnsi"/>
                <w:b/>
                <w:bCs/>
                <w:sz w:val="24"/>
                <w:szCs w:val="24"/>
              </w:rPr>
              <w:t xml:space="preserve"> </w:t>
            </w:r>
          </w:p>
        </w:tc>
        <w:tc>
          <w:tcPr>
            <w:tcW w:w="7938" w:type="dxa"/>
            <w:tcBorders>
              <w:left w:val="single" w:sz="4" w:space="0" w:color="auto"/>
              <w:bottom w:val="single" w:sz="18" w:space="0" w:color="auto"/>
              <w:right w:val="single" w:sz="18" w:space="0" w:color="auto"/>
            </w:tcBorders>
            <w:shd w:val="clear" w:color="auto" w:fill="auto"/>
            <w:vAlign w:val="bottom"/>
            <w:hideMark/>
          </w:tcPr>
          <w:p w:rsidR="000325C1" w:rsidRDefault="00E33F03" w:rsidP="000325C1">
            <w:pPr>
              <w:spacing w:after="0" w:line="240" w:lineRule="auto"/>
              <w:jc w:val="both"/>
              <w:rPr>
                <w:rFonts w:ascii="Calibri" w:hAnsi="Calibri" w:cs="Calibri"/>
              </w:rPr>
            </w:pPr>
            <w:r w:rsidRPr="000325C1">
              <w:rPr>
                <w:rFonts w:ascii="Calibri" w:hAnsi="Calibri" w:cs="Calibri"/>
              </w:rPr>
              <w:t>Le présent document spécifie les exigences pour les tubes à paroi compacte avec des surfaces interne et</w:t>
            </w:r>
            <w:r w:rsidR="000325C1">
              <w:rPr>
                <w:rFonts w:ascii="Calibri" w:hAnsi="Calibri" w:cs="Calibri"/>
              </w:rPr>
              <w:t xml:space="preserve"> </w:t>
            </w:r>
            <w:r w:rsidRPr="000325C1">
              <w:rPr>
                <w:rFonts w:ascii="Calibri" w:hAnsi="Calibri" w:cs="Calibri"/>
              </w:rPr>
              <w:t>externe lisses, extrudés à partir de la même formulation dans toute la paroi, les raccords et le système</w:t>
            </w:r>
            <w:r w:rsidR="000325C1">
              <w:rPr>
                <w:rFonts w:ascii="Calibri" w:hAnsi="Calibri" w:cs="Calibri"/>
              </w:rPr>
              <w:t xml:space="preserve"> </w:t>
            </w:r>
            <w:r w:rsidRPr="000325C1">
              <w:rPr>
                <w:rFonts w:ascii="Calibri" w:hAnsi="Calibri" w:cs="Calibri"/>
              </w:rPr>
              <w:t>de systèmes de canalisations en poly(chlorure de vinyle) non plastifié (PVC-U) dans le domaine des</w:t>
            </w:r>
            <w:r w:rsidR="000325C1">
              <w:rPr>
                <w:rFonts w:ascii="Calibri" w:hAnsi="Calibri" w:cs="Calibri"/>
              </w:rPr>
              <w:t xml:space="preserve"> </w:t>
            </w:r>
            <w:r w:rsidRPr="000325C1">
              <w:rPr>
                <w:rFonts w:ascii="Calibri" w:hAnsi="Calibri" w:cs="Calibri"/>
              </w:rPr>
              <w:t>branchements et des collecteurs d'assainissement enterrés sans pression :</w:t>
            </w:r>
          </w:p>
          <w:p w:rsidR="000325C1" w:rsidRDefault="00E33F03" w:rsidP="000325C1">
            <w:pPr>
              <w:spacing w:after="0" w:line="240" w:lineRule="auto"/>
              <w:jc w:val="both"/>
              <w:rPr>
                <w:rFonts w:ascii="Calibri" w:hAnsi="Calibri" w:cs="Calibri"/>
              </w:rPr>
            </w:pPr>
            <w:r w:rsidRPr="000325C1">
              <w:rPr>
                <w:rFonts w:ascii="Calibri" w:hAnsi="Calibri" w:cs="Calibri"/>
              </w:rPr>
              <w:t>— enterrés dans le sol à l'extérieur de la structure du bâtiment (code de zone d'application « U ») ; et</w:t>
            </w:r>
          </w:p>
          <w:p w:rsidR="000325C1" w:rsidRDefault="00E33F03" w:rsidP="000325C1">
            <w:pPr>
              <w:spacing w:after="0" w:line="240" w:lineRule="auto"/>
              <w:jc w:val="both"/>
              <w:rPr>
                <w:rFonts w:ascii="Calibri" w:hAnsi="Calibri" w:cs="Calibri"/>
              </w:rPr>
            </w:pPr>
            <w:r w:rsidRPr="000325C1">
              <w:rPr>
                <w:rFonts w:ascii="Calibri" w:hAnsi="Calibri" w:cs="Calibri"/>
              </w:rPr>
              <w:t>— enterrés dans le sol, à l’intérieur de la structure du bâtiment et à l’extérieur du bâtiment (code de</w:t>
            </w:r>
            <w:r w:rsidR="000325C1">
              <w:rPr>
                <w:rFonts w:ascii="Calibri" w:hAnsi="Calibri" w:cs="Calibri"/>
              </w:rPr>
              <w:t xml:space="preserve"> </w:t>
            </w:r>
            <w:r w:rsidRPr="000325C1">
              <w:rPr>
                <w:rFonts w:ascii="Calibri" w:hAnsi="Calibri" w:cs="Calibri"/>
              </w:rPr>
              <w:t>zone d'application « UD »).</w:t>
            </w:r>
          </w:p>
          <w:p w:rsidR="000325C1" w:rsidRPr="000325C1" w:rsidRDefault="00E33F03" w:rsidP="000325C1">
            <w:pPr>
              <w:spacing w:after="0" w:line="240" w:lineRule="auto"/>
              <w:jc w:val="both"/>
              <w:rPr>
                <w:rFonts w:ascii="Calibri" w:hAnsi="Calibri" w:cs="Calibri"/>
                <w:i/>
                <w:iCs/>
                <w:sz w:val="20"/>
                <w:szCs w:val="20"/>
              </w:rPr>
            </w:pPr>
            <w:r w:rsidRPr="000325C1">
              <w:rPr>
                <w:rFonts w:ascii="Calibri" w:hAnsi="Calibri" w:cs="Calibri"/>
                <w:b/>
                <w:bCs/>
                <w:i/>
                <w:iCs/>
                <w:sz w:val="20"/>
                <w:szCs w:val="20"/>
              </w:rPr>
              <w:t>NOTE 1</w:t>
            </w:r>
            <w:r w:rsidR="000325C1">
              <w:rPr>
                <w:rFonts w:ascii="Calibri" w:hAnsi="Calibri" w:cs="Calibri"/>
                <w:i/>
                <w:iCs/>
                <w:sz w:val="20"/>
                <w:szCs w:val="20"/>
              </w:rPr>
              <w:t xml:space="preserve"> : </w:t>
            </w:r>
            <w:r w:rsidRPr="000325C1">
              <w:rPr>
                <w:rFonts w:ascii="Calibri" w:hAnsi="Calibri" w:cs="Calibri"/>
                <w:i/>
                <w:iCs/>
                <w:sz w:val="20"/>
                <w:szCs w:val="20"/>
              </w:rPr>
              <w:t>L’usage prévu est repéré au niveau du marquage des produits par « U » ou « UD ».</w:t>
            </w:r>
          </w:p>
          <w:p w:rsidR="000325C1" w:rsidRDefault="00E33F03" w:rsidP="000325C1">
            <w:pPr>
              <w:spacing w:after="0" w:line="240" w:lineRule="auto"/>
              <w:jc w:val="both"/>
              <w:rPr>
                <w:rFonts w:ascii="Calibri" w:hAnsi="Calibri" w:cs="Calibri"/>
              </w:rPr>
            </w:pPr>
            <w:r w:rsidRPr="000325C1">
              <w:rPr>
                <w:rFonts w:ascii="Calibri" w:hAnsi="Calibri" w:cs="Calibri"/>
              </w:rPr>
              <w:t>Il spécifie également les paramètres d'essai pour les méthodes d'essai référencées dans le présent</w:t>
            </w:r>
            <w:r w:rsidR="000325C1">
              <w:rPr>
                <w:rFonts w:ascii="Calibri" w:hAnsi="Calibri" w:cs="Calibri"/>
              </w:rPr>
              <w:t xml:space="preserve"> </w:t>
            </w:r>
            <w:r w:rsidRPr="000325C1">
              <w:rPr>
                <w:rFonts w:ascii="Calibri" w:hAnsi="Calibri" w:cs="Calibri"/>
              </w:rPr>
              <w:t>document.</w:t>
            </w:r>
          </w:p>
          <w:p w:rsidR="000325C1" w:rsidRPr="000325C1" w:rsidRDefault="00E33F03" w:rsidP="000325C1">
            <w:pPr>
              <w:spacing w:after="0" w:line="240" w:lineRule="auto"/>
              <w:jc w:val="both"/>
              <w:rPr>
                <w:rFonts w:ascii="Calibri" w:hAnsi="Calibri" w:cs="Calibri"/>
                <w:i/>
                <w:iCs/>
                <w:sz w:val="20"/>
                <w:szCs w:val="20"/>
              </w:rPr>
            </w:pPr>
            <w:r w:rsidRPr="000325C1">
              <w:rPr>
                <w:rFonts w:ascii="Calibri" w:hAnsi="Calibri" w:cs="Calibri"/>
                <w:b/>
                <w:bCs/>
                <w:i/>
                <w:iCs/>
                <w:sz w:val="20"/>
                <w:szCs w:val="20"/>
              </w:rPr>
              <w:t>NOTE 2</w:t>
            </w:r>
            <w:r w:rsidR="000325C1" w:rsidRPr="000325C1">
              <w:rPr>
                <w:rFonts w:ascii="Calibri" w:hAnsi="Calibri" w:cs="Calibri"/>
                <w:i/>
                <w:iCs/>
                <w:sz w:val="20"/>
                <w:szCs w:val="20"/>
              </w:rPr>
              <w:t> :</w:t>
            </w:r>
            <w:r w:rsidRPr="000325C1">
              <w:rPr>
                <w:rFonts w:ascii="Calibri" w:hAnsi="Calibri" w:cs="Calibri"/>
                <w:i/>
                <w:iCs/>
                <w:sz w:val="20"/>
                <w:szCs w:val="20"/>
              </w:rPr>
              <w:t xml:space="preserve"> Les tubes multicouches avec des formulations différentes dans toute la paroi et les tubes à âme</w:t>
            </w:r>
            <w:r w:rsidR="000325C1" w:rsidRPr="000325C1">
              <w:rPr>
                <w:rFonts w:ascii="Calibri" w:hAnsi="Calibri" w:cs="Calibri"/>
                <w:i/>
                <w:iCs/>
                <w:sz w:val="20"/>
                <w:szCs w:val="20"/>
              </w:rPr>
              <w:t xml:space="preserve"> </w:t>
            </w:r>
            <w:r w:rsidRPr="000325C1">
              <w:rPr>
                <w:rFonts w:ascii="Calibri" w:hAnsi="Calibri" w:cs="Calibri"/>
                <w:i/>
                <w:iCs/>
                <w:sz w:val="20"/>
                <w:szCs w:val="20"/>
              </w:rPr>
              <w:t>alvéolaire sont couvert par l’EN 13476-2 [1].</w:t>
            </w:r>
          </w:p>
          <w:p w:rsidR="000325C1" w:rsidRDefault="00E33F03" w:rsidP="000325C1">
            <w:pPr>
              <w:spacing w:after="0" w:line="240" w:lineRule="auto"/>
              <w:jc w:val="both"/>
              <w:rPr>
                <w:rFonts w:ascii="Calibri" w:hAnsi="Calibri" w:cs="Calibri"/>
              </w:rPr>
            </w:pPr>
            <w:r w:rsidRPr="000325C1">
              <w:rPr>
                <w:rFonts w:ascii="Calibri" w:hAnsi="Calibri" w:cs="Calibri"/>
              </w:rPr>
              <w:t>Le présent document couvre une gamme de dimensions nominales, une gamme de séries de tubes et de</w:t>
            </w:r>
            <w:r w:rsidR="000325C1">
              <w:rPr>
                <w:rFonts w:ascii="Calibri" w:hAnsi="Calibri" w:cs="Calibri"/>
              </w:rPr>
              <w:t xml:space="preserve"> </w:t>
            </w:r>
            <w:r w:rsidRPr="000325C1">
              <w:rPr>
                <w:rFonts w:ascii="Calibri" w:hAnsi="Calibri" w:cs="Calibri"/>
              </w:rPr>
              <w:t>raccords ainsi qu’une gamme de classes de rigidité et donne des recommandations concernant les</w:t>
            </w:r>
            <w:r w:rsidR="000325C1">
              <w:rPr>
                <w:rFonts w:ascii="Calibri" w:hAnsi="Calibri" w:cs="Calibri"/>
              </w:rPr>
              <w:t xml:space="preserve"> </w:t>
            </w:r>
            <w:r w:rsidRPr="000325C1">
              <w:rPr>
                <w:rFonts w:ascii="Calibri" w:hAnsi="Calibri" w:cs="Calibri"/>
              </w:rPr>
              <w:t>couleurs.</w:t>
            </w:r>
          </w:p>
          <w:p w:rsidR="000325C1" w:rsidRPr="000325C1" w:rsidRDefault="00E33F03" w:rsidP="000325C1">
            <w:pPr>
              <w:spacing w:after="0" w:line="240" w:lineRule="auto"/>
              <w:jc w:val="both"/>
              <w:rPr>
                <w:rFonts w:ascii="Calibri" w:hAnsi="Calibri" w:cs="Calibri"/>
                <w:i/>
                <w:iCs/>
                <w:sz w:val="20"/>
                <w:szCs w:val="20"/>
              </w:rPr>
            </w:pPr>
            <w:r w:rsidRPr="000325C1">
              <w:rPr>
                <w:rFonts w:ascii="Calibri" w:hAnsi="Calibri" w:cs="Calibri"/>
                <w:b/>
                <w:bCs/>
                <w:i/>
                <w:iCs/>
                <w:sz w:val="20"/>
                <w:szCs w:val="20"/>
              </w:rPr>
              <w:t>NOTE 3</w:t>
            </w:r>
            <w:r w:rsidR="000325C1" w:rsidRPr="000325C1">
              <w:rPr>
                <w:rFonts w:ascii="Calibri" w:hAnsi="Calibri" w:cs="Calibri"/>
                <w:i/>
                <w:iCs/>
                <w:sz w:val="20"/>
                <w:szCs w:val="20"/>
              </w:rPr>
              <w:t> :</w:t>
            </w:r>
            <w:r w:rsidRPr="000325C1">
              <w:rPr>
                <w:rFonts w:ascii="Calibri" w:hAnsi="Calibri" w:cs="Calibri"/>
                <w:i/>
                <w:iCs/>
                <w:sz w:val="20"/>
                <w:szCs w:val="20"/>
              </w:rPr>
              <w:t xml:space="preserve"> Il est de la responsabilité de l'acheteur ou du concepteur du réseau d'effectuer les sélections</w:t>
            </w:r>
            <w:r w:rsidR="000325C1" w:rsidRPr="000325C1">
              <w:rPr>
                <w:rFonts w:ascii="Calibri" w:hAnsi="Calibri" w:cs="Calibri"/>
                <w:i/>
                <w:iCs/>
                <w:sz w:val="20"/>
                <w:szCs w:val="20"/>
              </w:rPr>
              <w:t xml:space="preserve"> </w:t>
            </w:r>
            <w:r w:rsidRPr="000325C1">
              <w:rPr>
                <w:rFonts w:ascii="Calibri" w:hAnsi="Calibri" w:cs="Calibri"/>
                <w:i/>
                <w:iCs/>
                <w:sz w:val="20"/>
                <w:szCs w:val="20"/>
              </w:rPr>
              <w:t>appropriées à partir de ces données en tenant compte des exigences particulières et des éventuelles règles</w:t>
            </w:r>
            <w:r w:rsidR="000325C1" w:rsidRPr="000325C1">
              <w:rPr>
                <w:rFonts w:ascii="Calibri" w:hAnsi="Calibri" w:cs="Calibri"/>
                <w:i/>
                <w:iCs/>
                <w:sz w:val="20"/>
                <w:szCs w:val="20"/>
              </w:rPr>
              <w:t xml:space="preserve"> </w:t>
            </w:r>
            <w:r w:rsidRPr="000325C1">
              <w:rPr>
                <w:rFonts w:ascii="Calibri" w:hAnsi="Calibri" w:cs="Calibri"/>
                <w:i/>
                <w:iCs/>
                <w:sz w:val="20"/>
                <w:szCs w:val="20"/>
              </w:rPr>
              <w:t>nationales concernées et des pratiques ou codes de pose.</w:t>
            </w:r>
          </w:p>
          <w:p w:rsidR="009203E3" w:rsidRDefault="00E33F03" w:rsidP="000325C1">
            <w:pPr>
              <w:spacing w:after="0" w:line="240" w:lineRule="auto"/>
              <w:jc w:val="both"/>
              <w:rPr>
                <w:rFonts w:ascii="Calibri" w:hAnsi="Calibri" w:cs="Calibri"/>
              </w:rPr>
            </w:pPr>
            <w:r w:rsidRPr="000325C1">
              <w:rPr>
                <w:rFonts w:ascii="Calibri" w:hAnsi="Calibri" w:cs="Calibri"/>
              </w:rPr>
              <w:t>Il s'applique aux tubes et aux raccords en PVC-U, à leurs assemblages ainsi qu'aux assemblages avec des</w:t>
            </w:r>
            <w:r w:rsidR="000325C1">
              <w:rPr>
                <w:rFonts w:ascii="Calibri" w:hAnsi="Calibri" w:cs="Calibri"/>
              </w:rPr>
              <w:t xml:space="preserve"> </w:t>
            </w:r>
            <w:r w:rsidRPr="000325C1">
              <w:rPr>
                <w:rFonts w:ascii="Calibri" w:hAnsi="Calibri" w:cs="Calibri"/>
              </w:rPr>
              <w:t>composants en d'autres matières, plastiques ou non plastiques, destinés aux systèmes de canalisations</w:t>
            </w:r>
            <w:r w:rsidR="000325C1">
              <w:rPr>
                <w:rFonts w:ascii="Calibri" w:hAnsi="Calibri" w:cs="Calibri"/>
              </w:rPr>
              <w:t xml:space="preserve"> </w:t>
            </w:r>
            <w:r w:rsidRPr="000325C1">
              <w:rPr>
                <w:rFonts w:ascii="Calibri" w:hAnsi="Calibri" w:cs="Calibri"/>
              </w:rPr>
              <w:t>enterrés pour les branchements et les collecteurs d'assainissement enterrés sans pression.</w:t>
            </w:r>
          </w:p>
          <w:p w:rsidR="00E33F03" w:rsidRPr="009203E3" w:rsidRDefault="00E33F03" w:rsidP="009203E3">
            <w:pPr>
              <w:spacing w:after="0" w:line="240" w:lineRule="auto"/>
              <w:jc w:val="both"/>
              <w:rPr>
                <w:rFonts w:ascii="Calibri" w:hAnsi="Calibri" w:cs="Calibri"/>
                <w:i/>
                <w:iCs/>
              </w:rPr>
            </w:pPr>
            <w:r w:rsidRPr="009203E3">
              <w:rPr>
                <w:rFonts w:ascii="Calibri" w:hAnsi="Calibri" w:cs="Calibri"/>
                <w:b/>
                <w:bCs/>
                <w:i/>
                <w:iCs/>
                <w:sz w:val="20"/>
                <w:szCs w:val="20"/>
              </w:rPr>
              <w:t>NOTE 4</w:t>
            </w:r>
            <w:r w:rsidR="009203E3" w:rsidRPr="009203E3">
              <w:rPr>
                <w:rFonts w:ascii="Calibri" w:hAnsi="Calibri" w:cs="Calibri"/>
                <w:i/>
                <w:iCs/>
                <w:sz w:val="20"/>
                <w:szCs w:val="20"/>
              </w:rPr>
              <w:t xml:space="preserve"> : </w:t>
            </w:r>
            <w:r w:rsidRPr="009203E3">
              <w:rPr>
                <w:rFonts w:ascii="Calibri" w:hAnsi="Calibri" w:cs="Calibri"/>
                <w:i/>
                <w:iCs/>
                <w:sz w:val="20"/>
                <w:szCs w:val="20"/>
              </w:rPr>
              <w:t>Les tubes, les raccords et autres composants conformes à l'une des normes de produits plastiques</w:t>
            </w:r>
            <w:r w:rsidR="009203E3" w:rsidRPr="009203E3">
              <w:rPr>
                <w:rFonts w:ascii="Calibri" w:hAnsi="Calibri" w:cs="Calibri"/>
                <w:i/>
                <w:iCs/>
                <w:sz w:val="20"/>
                <w:szCs w:val="20"/>
              </w:rPr>
              <w:t xml:space="preserve"> </w:t>
            </w:r>
            <w:r w:rsidRPr="009203E3">
              <w:rPr>
                <w:rFonts w:ascii="Calibri" w:hAnsi="Calibri" w:cs="Calibri"/>
                <w:i/>
                <w:iCs/>
                <w:sz w:val="20"/>
                <w:szCs w:val="20"/>
              </w:rPr>
              <w:t>référencées dans l'Annexe C peuvent être utilisés avec des tubes et des raccords conformes au présent document</w:t>
            </w:r>
            <w:r w:rsidR="009203E3" w:rsidRPr="009203E3">
              <w:rPr>
                <w:rFonts w:ascii="Calibri" w:hAnsi="Calibri" w:cs="Calibri"/>
                <w:i/>
                <w:iCs/>
                <w:sz w:val="20"/>
                <w:szCs w:val="20"/>
              </w:rPr>
              <w:t xml:space="preserve"> </w:t>
            </w:r>
            <w:r w:rsidRPr="009203E3">
              <w:rPr>
                <w:rFonts w:ascii="Calibri" w:hAnsi="Calibri" w:cs="Calibri"/>
                <w:i/>
                <w:iCs/>
                <w:sz w:val="20"/>
                <w:szCs w:val="20"/>
              </w:rPr>
              <w:t>dans la mesure où ils répondent aux exigences pour les dimensions d'assemblage données dans l'Article 7 et aux</w:t>
            </w:r>
            <w:r w:rsidR="009203E3">
              <w:rPr>
                <w:rFonts w:ascii="Calibri" w:hAnsi="Calibri" w:cs="Calibri"/>
                <w:i/>
                <w:iCs/>
                <w:sz w:val="20"/>
                <w:szCs w:val="20"/>
              </w:rPr>
              <w:t xml:space="preserve"> </w:t>
            </w:r>
            <w:r w:rsidRPr="009203E3">
              <w:rPr>
                <w:rFonts w:ascii="Calibri" w:hAnsi="Calibri" w:cs="Calibri"/>
                <w:i/>
                <w:iCs/>
                <w:sz w:val="20"/>
                <w:szCs w:val="20"/>
              </w:rPr>
              <w:t>exigences du Tableau 16.</w:t>
            </w:r>
          </w:p>
        </w:tc>
      </w:tr>
      <w:tr w:rsidR="0043547B" w:rsidRPr="0043547B" w:rsidTr="00CB5DC0">
        <w:trPr>
          <w:trHeight w:val="306"/>
          <w:jc w:val="center"/>
        </w:trPr>
        <w:tc>
          <w:tcPr>
            <w:tcW w:w="1838" w:type="dxa"/>
            <w:tcBorders>
              <w:top w:val="nil"/>
              <w:left w:val="single" w:sz="18" w:space="0" w:color="auto"/>
              <w:bottom w:val="single" w:sz="18" w:space="0" w:color="auto"/>
              <w:right w:val="single" w:sz="4" w:space="0" w:color="auto"/>
            </w:tcBorders>
            <w:shd w:val="clear" w:color="auto" w:fill="B3CC82"/>
            <w:vAlign w:val="center"/>
          </w:tcPr>
          <w:p w:rsidR="00F7337A" w:rsidRPr="0043547B" w:rsidRDefault="00F7337A" w:rsidP="00C2760A">
            <w:pPr>
              <w:spacing w:after="0" w:line="240" w:lineRule="auto"/>
              <w:jc w:val="center"/>
              <w:rPr>
                <w:rFonts w:cstheme="minorHAnsi"/>
                <w:b/>
                <w:bCs/>
                <w:sz w:val="24"/>
                <w:szCs w:val="24"/>
              </w:rPr>
            </w:pPr>
            <w:r w:rsidRPr="0043547B">
              <w:rPr>
                <w:rFonts w:cstheme="minorHAnsi"/>
                <w:b/>
                <w:bCs/>
                <w:sz w:val="24"/>
                <w:szCs w:val="24"/>
              </w:rPr>
              <w:t>Code </w:t>
            </w:r>
            <w:r w:rsidR="00C2760A">
              <w:rPr>
                <w:rFonts w:cstheme="minorHAnsi"/>
                <w:b/>
                <w:bCs/>
                <w:sz w:val="24"/>
                <w:szCs w:val="24"/>
              </w:rPr>
              <w:t xml:space="preserve"> </w:t>
            </w:r>
          </w:p>
        </w:tc>
        <w:tc>
          <w:tcPr>
            <w:tcW w:w="7938" w:type="dxa"/>
            <w:tcBorders>
              <w:left w:val="single" w:sz="4" w:space="0" w:color="auto"/>
              <w:bottom w:val="single" w:sz="18" w:space="0" w:color="auto"/>
              <w:right w:val="single" w:sz="18" w:space="0" w:color="auto"/>
            </w:tcBorders>
            <w:shd w:val="clear" w:color="auto" w:fill="B3CC82"/>
            <w:vAlign w:val="center"/>
          </w:tcPr>
          <w:p w:rsidR="00F7337A" w:rsidRPr="0043547B" w:rsidRDefault="00F7337A" w:rsidP="00111FA2">
            <w:pPr>
              <w:spacing w:after="0" w:line="240" w:lineRule="auto"/>
              <w:jc w:val="center"/>
              <w:rPr>
                <w:rFonts w:cstheme="minorHAnsi"/>
                <w:b/>
                <w:bCs/>
                <w:sz w:val="24"/>
                <w:szCs w:val="24"/>
              </w:rPr>
            </w:pPr>
            <w:r w:rsidRPr="0043547B">
              <w:rPr>
                <w:rFonts w:cstheme="minorHAnsi"/>
                <w:b/>
                <w:bCs/>
                <w:sz w:val="24"/>
                <w:szCs w:val="24"/>
              </w:rPr>
              <w:t>NM EN 12256</w:t>
            </w:r>
          </w:p>
        </w:tc>
      </w:tr>
      <w:tr w:rsidR="0043547B" w:rsidRPr="0043547B" w:rsidTr="00CB5DC0">
        <w:trPr>
          <w:trHeight w:val="382"/>
          <w:jc w:val="center"/>
        </w:trPr>
        <w:tc>
          <w:tcPr>
            <w:tcW w:w="1838" w:type="dxa"/>
            <w:tcBorders>
              <w:top w:val="nil"/>
              <w:left w:val="single" w:sz="18" w:space="0" w:color="auto"/>
              <w:bottom w:val="single" w:sz="18" w:space="0" w:color="auto"/>
              <w:right w:val="single" w:sz="4" w:space="0" w:color="auto"/>
            </w:tcBorders>
            <w:shd w:val="clear" w:color="auto" w:fill="FFFF99"/>
            <w:vAlign w:val="center"/>
          </w:tcPr>
          <w:p w:rsidR="00F7337A" w:rsidRPr="0043547B" w:rsidRDefault="00F7337A" w:rsidP="00C2760A">
            <w:pPr>
              <w:spacing w:after="0" w:line="240" w:lineRule="auto"/>
              <w:jc w:val="center"/>
              <w:rPr>
                <w:rFonts w:cstheme="minorHAnsi"/>
                <w:b/>
                <w:bCs/>
                <w:sz w:val="24"/>
                <w:szCs w:val="24"/>
              </w:rPr>
            </w:pPr>
            <w:r w:rsidRPr="0043547B">
              <w:rPr>
                <w:rFonts w:cstheme="minorHAnsi"/>
                <w:b/>
                <w:bCs/>
                <w:sz w:val="24"/>
                <w:szCs w:val="24"/>
              </w:rPr>
              <w:t>Equivalence </w:t>
            </w:r>
            <w:r w:rsidR="00C2760A">
              <w:rPr>
                <w:rFonts w:cstheme="minorHAnsi"/>
                <w:b/>
                <w:bCs/>
                <w:sz w:val="24"/>
                <w:szCs w:val="24"/>
              </w:rPr>
              <w:t xml:space="preserve"> </w:t>
            </w:r>
          </w:p>
        </w:tc>
        <w:tc>
          <w:tcPr>
            <w:tcW w:w="7938" w:type="dxa"/>
            <w:tcBorders>
              <w:left w:val="single" w:sz="4" w:space="0" w:color="auto"/>
              <w:bottom w:val="single" w:sz="18" w:space="0" w:color="auto"/>
              <w:right w:val="single" w:sz="18" w:space="0" w:color="auto"/>
            </w:tcBorders>
            <w:shd w:val="clear" w:color="auto" w:fill="FFFF99"/>
            <w:vAlign w:val="center"/>
          </w:tcPr>
          <w:p w:rsidR="00F7337A" w:rsidRPr="0043547B" w:rsidRDefault="00F7337A" w:rsidP="00111FA2">
            <w:pPr>
              <w:spacing w:after="0" w:line="240" w:lineRule="auto"/>
              <w:jc w:val="center"/>
              <w:rPr>
                <w:rFonts w:cstheme="minorHAnsi"/>
                <w:b/>
                <w:bCs/>
                <w:sz w:val="24"/>
                <w:szCs w:val="24"/>
              </w:rPr>
            </w:pPr>
            <w:r w:rsidRPr="0043547B">
              <w:rPr>
                <w:rFonts w:cstheme="minorHAnsi"/>
                <w:b/>
                <w:bCs/>
                <w:sz w:val="24"/>
                <w:szCs w:val="24"/>
              </w:rPr>
              <w:t>EN 12256</w:t>
            </w:r>
          </w:p>
        </w:tc>
      </w:tr>
      <w:tr w:rsidR="0043547B" w:rsidRPr="0043547B" w:rsidTr="00CB5DC0">
        <w:trPr>
          <w:trHeight w:val="374"/>
          <w:jc w:val="center"/>
        </w:trPr>
        <w:tc>
          <w:tcPr>
            <w:tcW w:w="1838" w:type="dxa"/>
            <w:tcBorders>
              <w:top w:val="nil"/>
              <w:left w:val="single" w:sz="18" w:space="0" w:color="auto"/>
              <w:bottom w:val="single" w:sz="18" w:space="0" w:color="auto"/>
              <w:right w:val="single" w:sz="4" w:space="0" w:color="auto"/>
            </w:tcBorders>
            <w:shd w:val="clear" w:color="auto" w:fill="8DB3E2" w:themeFill="text2" w:themeFillTint="66"/>
            <w:vAlign w:val="center"/>
          </w:tcPr>
          <w:p w:rsidR="00F7337A" w:rsidRPr="0043547B" w:rsidRDefault="00F7337A" w:rsidP="00C2760A">
            <w:pPr>
              <w:spacing w:after="0" w:line="240" w:lineRule="auto"/>
              <w:jc w:val="center"/>
              <w:rPr>
                <w:rFonts w:cstheme="minorHAnsi"/>
                <w:b/>
                <w:bCs/>
                <w:sz w:val="24"/>
                <w:szCs w:val="24"/>
              </w:rPr>
            </w:pPr>
            <w:r w:rsidRPr="0043547B">
              <w:rPr>
                <w:rFonts w:cstheme="minorHAnsi"/>
                <w:b/>
                <w:bCs/>
                <w:sz w:val="24"/>
                <w:szCs w:val="24"/>
              </w:rPr>
              <w:t>Intitulé </w:t>
            </w:r>
            <w:r w:rsidR="00C2760A">
              <w:rPr>
                <w:rFonts w:cstheme="minorHAnsi"/>
                <w:b/>
                <w:bCs/>
                <w:sz w:val="24"/>
                <w:szCs w:val="24"/>
              </w:rPr>
              <w:t xml:space="preserve"> </w:t>
            </w:r>
          </w:p>
        </w:tc>
        <w:tc>
          <w:tcPr>
            <w:tcW w:w="7938" w:type="dxa"/>
            <w:tcBorders>
              <w:left w:val="single" w:sz="4" w:space="0" w:color="auto"/>
              <w:bottom w:val="single" w:sz="18" w:space="0" w:color="auto"/>
              <w:right w:val="single" w:sz="18" w:space="0" w:color="auto"/>
            </w:tcBorders>
            <w:shd w:val="clear" w:color="auto" w:fill="auto"/>
            <w:vAlign w:val="center"/>
          </w:tcPr>
          <w:p w:rsidR="00F7337A" w:rsidRPr="00C2760A" w:rsidRDefault="00F7337A" w:rsidP="009B2690">
            <w:pPr>
              <w:spacing w:after="0" w:line="240" w:lineRule="auto"/>
              <w:rPr>
                <w:rFonts w:cstheme="minorHAnsi"/>
              </w:rPr>
            </w:pPr>
            <w:r w:rsidRPr="00C2760A">
              <w:rPr>
                <w:rFonts w:cstheme="minorHAnsi"/>
              </w:rPr>
              <w:t xml:space="preserve">Systèmes de canalisations en plastiques - Raccords thermoplastiques </w:t>
            </w:r>
          </w:p>
        </w:tc>
      </w:tr>
      <w:tr w:rsidR="0043547B" w:rsidRPr="0043547B" w:rsidTr="00CB5DC0">
        <w:trPr>
          <w:trHeight w:val="952"/>
          <w:jc w:val="center"/>
        </w:trPr>
        <w:tc>
          <w:tcPr>
            <w:tcW w:w="1838" w:type="dxa"/>
            <w:tcBorders>
              <w:top w:val="nil"/>
              <w:left w:val="single" w:sz="18" w:space="0" w:color="auto"/>
              <w:bottom w:val="single" w:sz="18" w:space="0" w:color="auto"/>
              <w:right w:val="single" w:sz="4" w:space="0" w:color="auto"/>
            </w:tcBorders>
            <w:shd w:val="clear" w:color="000000" w:fill="D9D9D9"/>
            <w:vAlign w:val="center"/>
          </w:tcPr>
          <w:p w:rsidR="00F7337A" w:rsidRPr="0043547B" w:rsidRDefault="00F7337A" w:rsidP="00C2760A">
            <w:pPr>
              <w:spacing w:after="0" w:line="240" w:lineRule="auto"/>
              <w:jc w:val="center"/>
              <w:rPr>
                <w:rFonts w:cstheme="minorHAnsi"/>
                <w:b/>
                <w:bCs/>
                <w:sz w:val="24"/>
                <w:szCs w:val="24"/>
              </w:rPr>
            </w:pPr>
            <w:r w:rsidRPr="0043547B">
              <w:rPr>
                <w:rFonts w:cstheme="minorHAnsi"/>
                <w:b/>
                <w:bCs/>
                <w:sz w:val="24"/>
                <w:szCs w:val="24"/>
              </w:rPr>
              <w:lastRenderedPageBreak/>
              <w:t>Domaine d’application </w:t>
            </w:r>
            <w:r w:rsidR="00C2760A">
              <w:rPr>
                <w:rFonts w:cstheme="minorHAnsi"/>
                <w:b/>
                <w:bCs/>
                <w:sz w:val="24"/>
                <w:szCs w:val="24"/>
              </w:rPr>
              <w:t xml:space="preserve"> </w:t>
            </w:r>
          </w:p>
        </w:tc>
        <w:tc>
          <w:tcPr>
            <w:tcW w:w="7938" w:type="dxa"/>
            <w:tcBorders>
              <w:left w:val="single" w:sz="4" w:space="0" w:color="auto"/>
              <w:bottom w:val="single" w:sz="18" w:space="0" w:color="auto"/>
              <w:right w:val="single" w:sz="18" w:space="0" w:color="auto"/>
            </w:tcBorders>
            <w:shd w:val="clear" w:color="auto" w:fill="auto"/>
            <w:vAlign w:val="bottom"/>
          </w:tcPr>
          <w:p w:rsidR="000D5564" w:rsidRPr="00C2760A" w:rsidRDefault="00F7337A" w:rsidP="000D5564">
            <w:pPr>
              <w:spacing w:after="0" w:line="240" w:lineRule="auto"/>
              <w:jc w:val="both"/>
              <w:rPr>
                <w:rFonts w:cstheme="minorHAnsi"/>
              </w:rPr>
            </w:pPr>
            <w:r w:rsidRPr="00C2760A">
              <w:rPr>
                <w:rFonts w:cstheme="minorHAnsi"/>
              </w:rPr>
              <w:t>Cette norme spécifie une méthode d'essai de la résistance mécanique ou de la flexibilité d'un raccord thermoplastique façonné destiné à être utilisé dans des applications enterrées sans pression.</w:t>
            </w:r>
          </w:p>
          <w:p w:rsidR="00F7337A" w:rsidRPr="00C2760A" w:rsidRDefault="00F7337A" w:rsidP="008151C8">
            <w:pPr>
              <w:spacing w:after="0" w:line="240" w:lineRule="auto"/>
              <w:jc w:val="both"/>
              <w:rPr>
                <w:rFonts w:cstheme="minorHAnsi"/>
                <w:i/>
                <w:iCs/>
              </w:rPr>
            </w:pPr>
            <w:r w:rsidRPr="00C2760A">
              <w:rPr>
                <w:rFonts w:cstheme="minorHAnsi"/>
                <w:b/>
                <w:bCs/>
                <w:i/>
                <w:iCs/>
                <w:sz w:val="20"/>
                <w:szCs w:val="20"/>
              </w:rPr>
              <w:t>NOTE</w:t>
            </w:r>
            <w:r w:rsidR="008151C8" w:rsidRPr="00C2760A">
              <w:rPr>
                <w:rFonts w:cstheme="minorHAnsi"/>
                <w:b/>
                <w:bCs/>
                <w:i/>
                <w:iCs/>
                <w:sz w:val="20"/>
                <w:szCs w:val="20"/>
              </w:rPr>
              <w:t> :</w:t>
            </w:r>
            <w:r w:rsidRPr="00C2760A">
              <w:rPr>
                <w:rFonts w:cstheme="minorHAnsi"/>
                <w:b/>
                <w:bCs/>
                <w:i/>
                <w:iCs/>
                <w:sz w:val="20"/>
                <w:szCs w:val="20"/>
              </w:rPr>
              <w:t xml:space="preserve"> </w:t>
            </w:r>
            <w:r w:rsidRPr="00C2760A">
              <w:rPr>
                <w:rFonts w:cstheme="minorHAnsi"/>
                <w:i/>
                <w:iCs/>
                <w:sz w:val="20"/>
                <w:szCs w:val="20"/>
              </w:rPr>
              <w:t>Cette méthode d'essai est destinée à être utilisée comme essai de type.</w:t>
            </w:r>
          </w:p>
        </w:tc>
      </w:tr>
      <w:tr w:rsidR="0043547B" w:rsidRPr="0043547B" w:rsidTr="00CB5DC0">
        <w:trPr>
          <w:trHeight w:val="339"/>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8C58FE" w:rsidRPr="0043547B" w:rsidRDefault="008C58FE" w:rsidP="00C2760A">
            <w:pPr>
              <w:spacing w:after="0" w:line="240" w:lineRule="auto"/>
              <w:jc w:val="center"/>
              <w:rPr>
                <w:rFonts w:cstheme="minorHAnsi"/>
                <w:b/>
                <w:bCs/>
                <w:sz w:val="24"/>
                <w:szCs w:val="24"/>
              </w:rPr>
            </w:pPr>
            <w:r w:rsidRPr="0043547B">
              <w:rPr>
                <w:rFonts w:cstheme="minorHAnsi"/>
                <w:b/>
                <w:bCs/>
                <w:sz w:val="24"/>
                <w:szCs w:val="24"/>
              </w:rPr>
              <w:t>Code </w:t>
            </w:r>
            <w:r w:rsidR="00C2760A">
              <w:rPr>
                <w:rFonts w:cstheme="minorHAnsi"/>
                <w:b/>
                <w:bCs/>
                <w:sz w:val="24"/>
                <w:szCs w:val="24"/>
              </w:rPr>
              <w:t xml:space="preserve"> </w:t>
            </w:r>
          </w:p>
        </w:tc>
        <w:tc>
          <w:tcPr>
            <w:tcW w:w="7938" w:type="dxa"/>
            <w:tcBorders>
              <w:left w:val="single" w:sz="4" w:space="0" w:color="auto"/>
              <w:bottom w:val="single" w:sz="18" w:space="0" w:color="auto"/>
              <w:right w:val="single" w:sz="18" w:space="0" w:color="auto"/>
            </w:tcBorders>
            <w:shd w:val="clear" w:color="auto" w:fill="C2D69B" w:themeFill="accent3" w:themeFillTint="99"/>
            <w:vAlign w:val="center"/>
          </w:tcPr>
          <w:p w:rsidR="008C58FE" w:rsidRPr="00951EE9" w:rsidRDefault="00160B21" w:rsidP="00550D4D">
            <w:pPr>
              <w:spacing w:after="0" w:line="240" w:lineRule="auto"/>
              <w:jc w:val="center"/>
              <w:rPr>
                <w:rFonts w:cstheme="minorHAnsi"/>
                <w:b/>
                <w:bCs/>
                <w:sz w:val="24"/>
                <w:szCs w:val="24"/>
              </w:rPr>
            </w:pPr>
            <w:r w:rsidRPr="00951EE9">
              <w:rPr>
                <w:rFonts w:cstheme="minorHAnsi"/>
                <w:b/>
                <w:bCs/>
                <w:sz w:val="24"/>
                <w:szCs w:val="24"/>
              </w:rPr>
              <w:t xml:space="preserve">NM </w:t>
            </w:r>
            <w:r w:rsidR="008C58FE" w:rsidRPr="00951EE9">
              <w:rPr>
                <w:rFonts w:cstheme="minorHAnsi"/>
                <w:b/>
                <w:bCs/>
                <w:sz w:val="24"/>
                <w:szCs w:val="24"/>
              </w:rPr>
              <w:t>ISO 1452-3</w:t>
            </w:r>
          </w:p>
        </w:tc>
      </w:tr>
      <w:tr w:rsidR="0043547B" w:rsidRPr="0043547B" w:rsidTr="00C2760A">
        <w:trPr>
          <w:trHeight w:val="23"/>
          <w:jc w:val="center"/>
        </w:trPr>
        <w:tc>
          <w:tcPr>
            <w:tcW w:w="1838" w:type="dxa"/>
            <w:tcBorders>
              <w:top w:val="nil"/>
              <w:left w:val="single" w:sz="18" w:space="0" w:color="auto"/>
              <w:bottom w:val="single" w:sz="18" w:space="0" w:color="auto"/>
              <w:right w:val="single" w:sz="4" w:space="0" w:color="auto"/>
            </w:tcBorders>
            <w:shd w:val="clear" w:color="auto" w:fill="FDFBA9"/>
            <w:vAlign w:val="center"/>
          </w:tcPr>
          <w:p w:rsidR="008C58FE" w:rsidRPr="00951EE9" w:rsidRDefault="008C58FE" w:rsidP="00C2760A">
            <w:pPr>
              <w:spacing w:after="0" w:line="240" w:lineRule="auto"/>
              <w:jc w:val="center"/>
              <w:rPr>
                <w:rFonts w:cstheme="minorHAnsi"/>
                <w:b/>
                <w:bCs/>
                <w:sz w:val="24"/>
                <w:szCs w:val="24"/>
              </w:rPr>
            </w:pPr>
            <w:r w:rsidRPr="00951EE9">
              <w:rPr>
                <w:rFonts w:cstheme="minorHAnsi"/>
                <w:b/>
                <w:bCs/>
                <w:sz w:val="24"/>
                <w:szCs w:val="24"/>
              </w:rPr>
              <w:t>Equivalence </w:t>
            </w:r>
            <w:r w:rsidR="00C2760A">
              <w:rPr>
                <w:rFonts w:cstheme="minorHAnsi"/>
                <w:b/>
                <w:bCs/>
                <w:sz w:val="24"/>
                <w:szCs w:val="24"/>
              </w:rPr>
              <w:t xml:space="preserve"> </w:t>
            </w:r>
          </w:p>
        </w:tc>
        <w:tc>
          <w:tcPr>
            <w:tcW w:w="7938" w:type="dxa"/>
            <w:tcBorders>
              <w:left w:val="single" w:sz="4" w:space="0" w:color="auto"/>
              <w:bottom w:val="single" w:sz="18" w:space="0" w:color="auto"/>
              <w:right w:val="single" w:sz="18" w:space="0" w:color="auto"/>
            </w:tcBorders>
            <w:shd w:val="clear" w:color="auto" w:fill="FDFBA9"/>
            <w:vAlign w:val="bottom"/>
          </w:tcPr>
          <w:p w:rsidR="008C58FE" w:rsidRPr="00951EE9" w:rsidRDefault="008C58FE" w:rsidP="00550D4D">
            <w:pPr>
              <w:spacing w:after="0" w:line="240" w:lineRule="auto"/>
              <w:jc w:val="center"/>
              <w:rPr>
                <w:rFonts w:cstheme="minorHAnsi"/>
                <w:b/>
                <w:bCs/>
                <w:sz w:val="24"/>
                <w:szCs w:val="24"/>
              </w:rPr>
            </w:pPr>
            <w:r w:rsidRPr="00951EE9">
              <w:rPr>
                <w:rFonts w:cstheme="minorHAnsi"/>
                <w:b/>
                <w:bCs/>
                <w:sz w:val="24"/>
                <w:szCs w:val="24"/>
              </w:rPr>
              <w:t>ISO 1452-3</w:t>
            </w:r>
          </w:p>
        </w:tc>
      </w:tr>
      <w:tr w:rsidR="0043547B" w:rsidRPr="0043547B" w:rsidTr="00C2760A">
        <w:trPr>
          <w:trHeight w:val="533"/>
          <w:jc w:val="center"/>
        </w:trPr>
        <w:tc>
          <w:tcPr>
            <w:tcW w:w="1838" w:type="dxa"/>
            <w:tcBorders>
              <w:top w:val="single" w:sz="18" w:space="0" w:color="auto"/>
              <w:left w:val="single" w:sz="18" w:space="0" w:color="auto"/>
              <w:bottom w:val="single" w:sz="4" w:space="0" w:color="auto"/>
              <w:right w:val="single" w:sz="4" w:space="0" w:color="auto"/>
            </w:tcBorders>
            <w:shd w:val="clear" w:color="auto" w:fill="95B3D7" w:themeFill="accent1" w:themeFillTint="99"/>
            <w:vAlign w:val="center"/>
          </w:tcPr>
          <w:p w:rsidR="008C58FE" w:rsidRPr="0043547B" w:rsidRDefault="008C58FE" w:rsidP="00C2760A">
            <w:pPr>
              <w:spacing w:after="0" w:line="240" w:lineRule="auto"/>
              <w:jc w:val="center"/>
              <w:rPr>
                <w:rFonts w:cstheme="minorHAnsi"/>
                <w:b/>
                <w:bCs/>
                <w:sz w:val="24"/>
                <w:szCs w:val="24"/>
              </w:rPr>
            </w:pPr>
            <w:r w:rsidRPr="0043547B">
              <w:rPr>
                <w:rFonts w:cstheme="minorHAnsi"/>
                <w:b/>
                <w:bCs/>
                <w:sz w:val="24"/>
                <w:szCs w:val="24"/>
              </w:rPr>
              <w:t>Intitulé </w:t>
            </w:r>
            <w:r w:rsidR="00C2760A">
              <w:rPr>
                <w:rFonts w:cstheme="minorHAnsi"/>
                <w:b/>
                <w:bCs/>
                <w:sz w:val="24"/>
                <w:szCs w:val="24"/>
              </w:rPr>
              <w:t xml:space="preserve">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tcPr>
          <w:p w:rsidR="008C58FE" w:rsidRPr="00C2760A" w:rsidRDefault="008C58FE" w:rsidP="00C2760A">
            <w:pPr>
              <w:spacing w:after="0" w:line="240" w:lineRule="auto"/>
              <w:rPr>
                <w:rFonts w:cstheme="minorHAnsi"/>
              </w:rPr>
            </w:pPr>
            <w:r w:rsidRPr="00C2760A">
              <w:rPr>
                <w:rFonts w:cstheme="minorHAnsi"/>
              </w:rPr>
              <w:t xml:space="preserve">Systèmes de canalisations en plastique pour l'alimentation en eau, pour branchements et collecteurs d'assainissement enterrés et aériens avec pression - Poly (chlorure de vinyle) non plastifié (PVC-U) - Partie 3 : raccords  </w:t>
            </w:r>
            <w:r w:rsidR="00C2760A" w:rsidRPr="00C2760A">
              <w:rPr>
                <w:rFonts w:cstheme="minorHAnsi"/>
              </w:rPr>
              <w:t xml:space="preserve"> </w:t>
            </w:r>
            <w:r w:rsidRPr="00C2760A">
              <w:rPr>
                <w:rFonts w:cstheme="minorHAnsi"/>
              </w:rPr>
              <w:t xml:space="preserve"> </w:t>
            </w:r>
          </w:p>
        </w:tc>
      </w:tr>
      <w:tr w:rsidR="0043547B" w:rsidRPr="0043547B" w:rsidTr="00C2760A">
        <w:trPr>
          <w:trHeight w:val="952"/>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8C58FE" w:rsidRPr="0043547B" w:rsidRDefault="008C58FE" w:rsidP="00C2760A">
            <w:pPr>
              <w:spacing w:after="0" w:line="240" w:lineRule="auto"/>
              <w:jc w:val="center"/>
              <w:rPr>
                <w:rFonts w:cstheme="minorHAnsi"/>
                <w:b/>
                <w:bCs/>
                <w:sz w:val="24"/>
                <w:szCs w:val="24"/>
              </w:rPr>
            </w:pPr>
            <w:r w:rsidRPr="0043547B">
              <w:rPr>
                <w:rFonts w:cstheme="minorHAnsi"/>
                <w:b/>
                <w:bCs/>
                <w:sz w:val="24"/>
                <w:szCs w:val="24"/>
              </w:rPr>
              <w:t>Domaine d’application </w:t>
            </w:r>
            <w:r w:rsidR="00C2760A">
              <w:rPr>
                <w:rFonts w:cstheme="minorHAnsi"/>
                <w:b/>
                <w:bCs/>
                <w:sz w:val="24"/>
                <w:szCs w:val="24"/>
              </w:rPr>
              <w:t xml:space="preserve"> </w:t>
            </w:r>
          </w:p>
        </w:tc>
        <w:tc>
          <w:tcPr>
            <w:tcW w:w="7938" w:type="dxa"/>
            <w:tcBorders>
              <w:top w:val="single" w:sz="4" w:space="0" w:color="auto"/>
              <w:left w:val="single" w:sz="4" w:space="0" w:color="auto"/>
              <w:bottom w:val="single" w:sz="18" w:space="0" w:color="auto"/>
              <w:right w:val="single" w:sz="18" w:space="0" w:color="auto"/>
            </w:tcBorders>
            <w:shd w:val="clear" w:color="auto" w:fill="auto"/>
          </w:tcPr>
          <w:p w:rsidR="00550D4D" w:rsidRPr="00C2760A" w:rsidRDefault="008C58FE" w:rsidP="00550D4D">
            <w:pPr>
              <w:spacing w:after="0" w:line="240" w:lineRule="auto"/>
              <w:jc w:val="both"/>
              <w:rPr>
                <w:rFonts w:cstheme="minorHAnsi"/>
              </w:rPr>
            </w:pPr>
            <w:r w:rsidRPr="00C2760A">
              <w:rPr>
                <w:rFonts w:cstheme="minorHAnsi"/>
              </w:rPr>
              <w:t>La présente partie de l'ISO 1452 spécifie les caractéristiques des raccords en poly(chlorure de vinyle) non plastifié (PVC-U) pour les systèmes de canalisations destinés à l'alimentation en eau et pour les collecteurs d'assainissement enterrés et aériens avec pression.</w:t>
            </w:r>
          </w:p>
          <w:p w:rsidR="00550D4D" w:rsidRPr="00C2760A" w:rsidRDefault="008C58FE" w:rsidP="00550D4D">
            <w:pPr>
              <w:spacing w:after="0" w:line="240" w:lineRule="auto"/>
              <w:jc w:val="both"/>
              <w:rPr>
                <w:rFonts w:cstheme="minorHAnsi"/>
              </w:rPr>
            </w:pPr>
            <w:r w:rsidRPr="00C2760A">
              <w:rPr>
                <w:rFonts w:cstheme="minorHAnsi"/>
              </w:rPr>
              <w:t>Elle spécifie également les paramètres d'essai pour les méthodes d'essai auxquelles il est fait référence dans la présente partie de l'ISO 1452.</w:t>
            </w:r>
          </w:p>
          <w:p w:rsidR="00550D4D" w:rsidRPr="00C2760A" w:rsidRDefault="008C58FE" w:rsidP="00C2760A">
            <w:pPr>
              <w:spacing w:after="0" w:line="240" w:lineRule="auto"/>
              <w:jc w:val="both"/>
              <w:rPr>
                <w:rFonts w:cstheme="minorHAnsi"/>
              </w:rPr>
            </w:pPr>
            <w:r w:rsidRPr="00C2760A">
              <w:rPr>
                <w:rFonts w:cstheme="minorHAnsi"/>
              </w:rPr>
              <w:t>Conjointement à l'ISO 1452-1, à l'ISO 1452-2, à l'ISO 1452-4 et à l'ISO 1452-5, elle s'applique aux raccords en PVC-U et à leurs assemblages avec des composants en PVC-U, ou en d'autres matériaux, plastiques ou non plastiques, destinés à être utilisées dans:</w:t>
            </w:r>
          </w:p>
          <w:p w:rsidR="00550D4D" w:rsidRPr="00C2760A" w:rsidRDefault="008C58FE" w:rsidP="00550D4D">
            <w:pPr>
              <w:spacing w:after="0" w:line="240" w:lineRule="auto"/>
              <w:rPr>
                <w:rFonts w:cstheme="minorHAnsi"/>
              </w:rPr>
            </w:pPr>
            <w:r w:rsidRPr="00C2760A">
              <w:rPr>
                <w:rFonts w:cstheme="minorHAnsi"/>
              </w:rPr>
              <w:t>a) conduites principales et branchements enterrés</w:t>
            </w:r>
            <w:r w:rsidR="00550D4D" w:rsidRPr="00C2760A">
              <w:rPr>
                <w:rFonts w:cstheme="minorHAnsi"/>
              </w:rPr>
              <w:t xml:space="preserve"> </w:t>
            </w:r>
            <w:r w:rsidRPr="00C2760A">
              <w:rPr>
                <w:rFonts w:cstheme="minorHAnsi"/>
              </w:rPr>
              <w:t>;</w:t>
            </w:r>
            <w:r w:rsidRPr="00C2760A">
              <w:rPr>
                <w:rFonts w:cstheme="minorHAnsi"/>
              </w:rPr>
              <w:br/>
              <w:t>b) transport de l'eau en aérien, à l'extérieur et à l'intérieur des bâtiments</w:t>
            </w:r>
            <w:r w:rsidR="00550D4D" w:rsidRPr="00C2760A">
              <w:rPr>
                <w:rFonts w:cstheme="minorHAnsi"/>
              </w:rPr>
              <w:t xml:space="preserve"> </w:t>
            </w:r>
            <w:r w:rsidRPr="00C2760A">
              <w:rPr>
                <w:rFonts w:cstheme="minorHAnsi"/>
              </w:rPr>
              <w:t>;</w:t>
            </w:r>
            <w:r w:rsidRPr="00C2760A">
              <w:rPr>
                <w:rFonts w:cstheme="minorHAnsi"/>
              </w:rPr>
              <w:br/>
              <w:t>c) collecteurs d'assainissement enterrés et aériens avec pression.</w:t>
            </w:r>
          </w:p>
          <w:p w:rsidR="00550D4D" w:rsidRPr="00C2760A" w:rsidRDefault="008C58FE" w:rsidP="00550D4D">
            <w:pPr>
              <w:spacing w:after="0" w:line="240" w:lineRule="auto"/>
              <w:jc w:val="both"/>
              <w:rPr>
                <w:rFonts w:cstheme="minorHAnsi"/>
              </w:rPr>
            </w:pPr>
            <w:r w:rsidRPr="00C2760A">
              <w:rPr>
                <w:rFonts w:cstheme="minorHAnsi"/>
              </w:rPr>
              <w:t>Elle s'applique aux systèmes de canalisations destinés à l'alimentation en eau sous pression jusqu'à 25 °C (eau froide) compris, destinée à la consommation humaine et pour les besoins généraux aussi bien que les eaux usées sous pression.</w:t>
            </w:r>
            <w:r w:rsidRPr="00C2760A">
              <w:rPr>
                <w:rFonts w:cstheme="minorHAnsi"/>
              </w:rPr>
              <w:br/>
              <w:t>La présente partie de l'ISO 1452 s'applique également aux composants pour le transport de l'eau et des eaux usées jusqu'à 45 °C inclus. Pour les températures entre 25 °C et 45 °C, l'ISO 1452-2:2009, Figure A.1, s'applique.</w:t>
            </w:r>
          </w:p>
          <w:p w:rsidR="00C2760A" w:rsidRDefault="008C58FE" w:rsidP="00550D4D">
            <w:pPr>
              <w:spacing w:after="0" w:line="240" w:lineRule="auto"/>
              <w:jc w:val="both"/>
              <w:rPr>
                <w:rFonts w:cstheme="minorHAnsi"/>
                <w:i/>
                <w:iCs/>
              </w:rPr>
            </w:pPr>
            <w:r w:rsidRPr="00C2760A">
              <w:rPr>
                <w:rFonts w:cstheme="minorHAnsi"/>
                <w:b/>
                <w:bCs/>
                <w:i/>
                <w:iCs/>
                <w:sz w:val="20"/>
                <w:szCs w:val="20"/>
              </w:rPr>
              <w:t>NOTE 1 :</w:t>
            </w:r>
            <w:r w:rsidRPr="00C2760A">
              <w:rPr>
                <w:rFonts w:cstheme="minorHAnsi"/>
                <w:i/>
                <w:iCs/>
                <w:sz w:val="20"/>
                <w:szCs w:val="20"/>
              </w:rPr>
              <w:t xml:space="preserve"> Les possibilités d'utilisation pour les températures supérieures à 45 °C peuvent faire l'accord entre le fabricant et l'utilisateur final au cas par cas</w:t>
            </w:r>
            <w:r w:rsidRPr="00C2760A">
              <w:rPr>
                <w:rFonts w:cstheme="minorHAnsi"/>
                <w:i/>
                <w:iCs/>
              </w:rPr>
              <w:t>.</w:t>
            </w:r>
          </w:p>
          <w:p w:rsidR="00550D4D" w:rsidRPr="00C2760A" w:rsidRDefault="008C58FE" w:rsidP="00550D4D">
            <w:pPr>
              <w:spacing w:after="0" w:line="240" w:lineRule="auto"/>
              <w:jc w:val="both"/>
              <w:rPr>
                <w:rFonts w:cstheme="minorHAnsi"/>
              </w:rPr>
            </w:pPr>
            <w:r w:rsidRPr="00C2760A">
              <w:rPr>
                <w:rFonts w:cstheme="minorHAnsi"/>
              </w:rPr>
              <w:t xml:space="preserve">En fonction de la méthode d'assemblage, la présente partie de l'ISO 1452 s'applique aux types de raccords </w:t>
            </w:r>
            <w:r w:rsidR="00550D4D" w:rsidRPr="00C2760A">
              <w:rPr>
                <w:rFonts w:cstheme="minorHAnsi"/>
              </w:rPr>
              <w:t>suivants :</w:t>
            </w:r>
          </w:p>
          <w:p w:rsidR="00550D4D" w:rsidRPr="00C2760A" w:rsidRDefault="008C58FE" w:rsidP="00550D4D">
            <w:pPr>
              <w:spacing w:after="0" w:line="240" w:lineRule="auto"/>
              <w:jc w:val="both"/>
              <w:rPr>
                <w:rFonts w:cstheme="minorHAnsi"/>
              </w:rPr>
            </w:pPr>
            <w:r w:rsidRPr="00C2760A">
              <w:rPr>
                <w:rFonts w:ascii="Cambria Math" w:hAnsi="Cambria Math" w:cs="Cambria Math"/>
              </w:rPr>
              <w:t>⎯</w:t>
            </w:r>
            <w:r w:rsidRPr="00C2760A">
              <w:rPr>
                <w:rFonts w:cstheme="minorHAnsi"/>
              </w:rPr>
              <w:t xml:space="preserve"> raccords à coller</w:t>
            </w:r>
            <w:r w:rsidR="00550D4D" w:rsidRPr="00C2760A">
              <w:rPr>
                <w:rFonts w:cstheme="minorHAnsi"/>
              </w:rPr>
              <w:t xml:space="preserve"> </w:t>
            </w:r>
            <w:r w:rsidRPr="00C2760A">
              <w:rPr>
                <w:rFonts w:cstheme="minorHAnsi"/>
              </w:rPr>
              <w:t>;</w:t>
            </w:r>
          </w:p>
          <w:p w:rsidR="00550D4D" w:rsidRPr="00C2760A" w:rsidRDefault="008C58FE" w:rsidP="00550D4D">
            <w:pPr>
              <w:spacing w:after="0" w:line="240" w:lineRule="auto"/>
              <w:jc w:val="both"/>
              <w:rPr>
                <w:rFonts w:cstheme="minorHAnsi"/>
              </w:rPr>
            </w:pPr>
            <w:r w:rsidRPr="00C2760A">
              <w:rPr>
                <w:rFonts w:ascii="Cambria Math" w:hAnsi="Cambria Math" w:cs="Cambria Math"/>
              </w:rPr>
              <w:t>⎯</w:t>
            </w:r>
            <w:r w:rsidRPr="00C2760A">
              <w:rPr>
                <w:rFonts w:cstheme="minorHAnsi"/>
              </w:rPr>
              <w:t xml:space="preserve"> raccords à bague d'étanchéité en élastomère.</w:t>
            </w:r>
          </w:p>
          <w:p w:rsidR="00550D4D" w:rsidRPr="00C2760A" w:rsidRDefault="008C58FE" w:rsidP="00550D4D">
            <w:pPr>
              <w:spacing w:after="0" w:line="240" w:lineRule="auto"/>
              <w:jc w:val="both"/>
              <w:rPr>
                <w:rFonts w:cstheme="minorHAnsi"/>
              </w:rPr>
            </w:pPr>
            <w:r w:rsidRPr="00C2760A">
              <w:rPr>
                <w:rFonts w:cstheme="minorHAnsi"/>
              </w:rPr>
              <w:t>Les raccords PVC-U peuvent être fabriqués par moulage à injection et/ou façonnés à partir de tubes.</w:t>
            </w:r>
            <w:r w:rsidR="00550D4D" w:rsidRPr="00C2760A">
              <w:rPr>
                <w:rFonts w:cstheme="minorHAnsi"/>
              </w:rPr>
              <w:t xml:space="preserve"> </w:t>
            </w:r>
            <w:r w:rsidRPr="00C2760A">
              <w:rPr>
                <w:rFonts w:cstheme="minorHAnsi"/>
              </w:rPr>
              <w:t>La présente partie de l'ISO 1452 s'applique aussi aux brides d'adaptation en PVC-U et aux brides correspondantes fabriquées à partir de matières variées.</w:t>
            </w:r>
          </w:p>
          <w:p w:rsidR="008C58FE" w:rsidRPr="00C2760A" w:rsidRDefault="008C58FE" w:rsidP="00550D4D">
            <w:pPr>
              <w:spacing w:after="0" w:line="240" w:lineRule="auto"/>
              <w:jc w:val="both"/>
              <w:rPr>
                <w:rFonts w:cstheme="minorHAnsi"/>
              </w:rPr>
            </w:pPr>
            <w:r w:rsidRPr="00C2760A">
              <w:rPr>
                <w:rFonts w:cstheme="minorHAnsi"/>
              </w:rPr>
              <w:t>La présente partie de l'ISO 1452 concerne une série de dimensions de tubes et de classes de pression et donne des exigences pour les couleurs.</w:t>
            </w:r>
            <w:r w:rsidRPr="00C2760A">
              <w:rPr>
                <w:rFonts w:cstheme="minorHAnsi"/>
              </w:rPr>
              <w:br/>
            </w:r>
            <w:r w:rsidRPr="00C2760A">
              <w:rPr>
                <w:rFonts w:cstheme="minorHAnsi"/>
                <w:b/>
                <w:bCs/>
                <w:i/>
                <w:iCs/>
              </w:rPr>
              <w:t>NOTE 2 :</w:t>
            </w:r>
            <w:r w:rsidRPr="00C2760A">
              <w:rPr>
                <w:rFonts w:cstheme="minorHAnsi"/>
                <w:i/>
                <w:iCs/>
              </w:rPr>
              <w:t xml:space="preserve"> Il incombe à l'acheteur ou au rédacteur des spécifications de faire le choix approprié à partir de ces éléments en tenant compte de leurs exigences particulières, des éventuelles réglementations nationales et des usages pour l'installation ou des codes.</w:t>
            </w:r>
          </w:p>
        </w:tc>
      </w:tr>
      <w:tr w:rsidR="0043547B" w:rsidRPr="0043547B" w:rsidTr="00CB5DC0">
        <w:trPr>
          <w:trHeight w:val="23"/>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064E3C" w:rsidRPr="00951EE9" w:rsidRDefault="00064E3C" w:rsidP="00C2760A">
            <w:pPr>
              <w:spacing w:after="0" w:line="240" w:lineRule="auto"/>
              <w:jc w:val="center"/>
              <w:rPr>
                <w:rFonts w:cstheme="minorHAnsi"/>
                <w:b/>
                <w:bCs/>
                <w:sz w:val="24"/>
                <w:szCs w:val="24"/>
              </w:rPr>
            </w:pPr>
            <w:r w:rsidRPr="00951EE9">
              <w:rPr>
                <w:rFonts w:cstheme="minorHAnsi"/>
                <w:b/>
                <w:bCs/>
                <w:sz w:val="24"/>
                <w:szCs w:val="24"/>
              </w:rPr>
              <w:t>Code </w:t>
            </w:r>
            <w:r w:rsidR="00C2760A">
              <w:rPr>
                <w:rFonts w:cstheme="minorHAnsi"/>
                <w:b/>
                <w:bCs/>
                <w:sz w:val="24"/>
                <w:szCs w:val="24"/>
              </w:rPr>
              <w:t xml:space="preserve"> </w:t>
            </w:r>
          </w:p>
        </w:tc>
        <w:tc>
          <w:tcPr>
            <w:tcW w:w="7938" w:type="dxa"/>
            <w:tcBorders>
              <w:left w:val="single" w:sz="4" w:space="0" w:color="auto"/>
              <w:bottom w:val="single" w:sz="18" w:space="0" w:color="auto"/>
              <w:right w:val="single" w:sz="18" w:space="0" w:color="auto"/>
            </w:tcBorders>
            <w:shd w:val="clear" w:color="auto" w:fill="C2D69B" w:themeFill="accent3" w:themeFillTint="99"/>
            <w:vAlign w:val="center"/>
          </w:tcPr>
          <w:p w:rsidR="00064E3C" w:rsidRPr="00951EE9" w:rsidRDefault="00064E3C" w:rsidP="00550D4D">
            <w:pPr>
              <w:spacing w:after="0" w:line="240" w:lineRule="auto"/>
              <w:jc w:val="center"/>
              <w:rPr>
                <w:rFonts w:cstheme="minorHAnsi"/>
                <w:b/>
                <w:bCs/>
                <w:sz w:val="24"/>
                <w:szCs w:val="24"/>
              </w:rPr>
            </w:pPr>
            <w:r w:rsidRPr="00951EE9">
              <w:rPr>
                <w:rFonts w:cstheme="minorHAnsi"/>
                <w:b/>
                <w:bCs/>
                <w:sz w:val="24"/>
                <w:szCs w:val="24"/>
              </w:rPr>
              <w:t>NM EN 1852-1</w:t>
            </w:r>
          </w:p>
        </w:tc>
      </w:tr>
      <w:tr w:rsidR="0043547B" w:rsidRPr="0043547B" w:rsidTr="00CB5DC0">
        <w:trPr>
          <w:trHeight w:val="23"/>
          <w:jc w:val="center"/>
        </w:trPr>
        <w:tc>
          <w:tcPr>
            <w:tcW w:w="1838" w:type="dxa"/>
            <w:tcBorders>
              <w:top w:val="single" w:sz="18" w:space="0" w:color="auto"/>
              <w:left w:val="single" w:sz="18" w:space="0" w:color="auto"/>
              <w:bottom w:val="single" w:sz="4" w:space="0" w:color="auto"/>
              <w:right w:val="single" w:sz="4" w:space="0" w:color="auto"/>
            </w:tcBorders>
            <w:shd w:val="clear" w:color="auto" w:fill="FDFBA9"/>
            <w:vAlign w:val="center"/>
          </w:tcPr>
          <w:p w:rsidR="00064E3C" w:rsidRPr="00951EE9" w:rsidRDefault="00064E3C" w:rsidP="00C2760A">
            <w:pPr>
              <w:spacing w:after="0" w:line="240" w:lineRule="auto"/>
              <w:jc w:val="center"/>
              <w:rPr>
                <w:rFonts w:cstheme="minorHAnsi"/>
                <w:b/>
                <w:bCs/>
                <w:sz w:val="24"/>
                <w:szCs w:val="24"/>
              </w:rPr>
            </w:pPr>
            <w:r w:rsidRPr="00951EE9">
              <w:rPr>
                <w:rFonts w:cstheme="minorHAnsi"/>
                <w:b/>
                <w:bCs/>
                <w:sz w:val="24"/>
                <w:szCs w:val="24"/>
              </w:rPr>
              <w:t>Equivalence </w:t>
            </w:r>
            <w:r w:rsidR="00C2760A">
              <w:rPr>
                <w:rFonts w:cstheme="minorHAnsi"/>
                <w:b/>
                <w:bCs/>
                <w:sz w:val="24"/>
                <w:szCs w:val="24"/>
              </w:rPr>
              <w:t xml:space="preserve"> </w:t>
            </w:r>
          </w:p>
        </w:tc>
        <w:tc>
          <w:tcPr>
            <w:tcW w:w="7938" w:type="dxa"/>
            <w:tcBorders>
              <w:top w:val="single" w:sz="18" w:space="0" w:color="auto"/>
              <w:left w:val="single" w:sz="4" w:space="0" w:color="auto"/>
              <w:bottom w:val="single" w:sz="4" w:space="0" w:color="auto"/>
              <w:right w:val="single" w:sz="18" w:space="0" w:color="auto"/>
            </w:tcBorders>
            <w:shd w:val="clear" w:color="auto" w:fill="FDFBA9"/>
            <w:vAlign w:val="bottom"/>
          </w:tcPr>
          <w:p w:rsidR="00064E3C" w:rsidRPr="00951EE9" w:rsidRDefault="00064E3C" w:rsidP="00550D4D">
            <w:pPr>
              <w:spacing w:after="0" w:line="240" w:lineRule="auto"/>
              <w:jc w:val="center"/>
              <w:rPr>
                <w:rFonts w:cstheme="minorHAnsi"/>
                <w:b/>
                <w:bCs/>
                <w:sz w:val="24"/>
                <w:szCs w:val="24"/>
              </w:rPr>
            </w:pPr>
            <w:r w:rsidRPr="00951EE9">
              <w:rPr>
                <w:rFonts w:cstheme="minorHAnsi"/>
                <w:b/>
                <w:bCs/>
                <w:sz w:val="24"/>
                <w:szCs w:val="24"/>
              </w:rPr>
              <w:t>EN 1852-1</w:t>
            </w:r>
          </w:p>
        </w:tc>
      </w:tr>
      <w:tr w:rsidR="0043547B" w:rsidRPr="0043547B" w:rsidTr="00CB5DC0">
        <w:trPr>
          <w:trHeight w:val="525"/>
          <w:jc w:val="center"/>
        </w:trPr>
        <w:tc>
          <w:tcPr>
            <w:tcW w:w="1838" w:type="dxa"/>
            <w:tcBorders>
              <w:top w:val="single" w:sz="4" w:space="0" w:color="auto"/>
              <w:left w:val="single" w:sz="18" w:space="0" w:color="auto"/>
              <w:bottom w:val="single" w:sz="4" w:space="0" w:color="auto"/>
              <w:right w:val="single" w:sz="4" w:space="0" w:color="auto"/>
            </w:tcBorders>
            <w:shd w:val="clear" w:color="auto" w:fill="95B3D7" w:themeFill="accent1" w:themeFillTint="99"/>
            <w:vAlign w:val="center"/>
          </w:tcPr>
          <w:p w:rsidR="00064E3C" w:rsidRPr="0043547B" w:rsidRDefault="00064E3C" w:rsidP="00C2760A">
            <w:pPr>
              <w:spacing w:after="0" w:line="240" w:lineRule="auto"/>
              <w:jc w:val="center"/>
              <w:rPr>
                <w:rFonts w:cstheme="minorHAnsi"/>
                <w:b/>
                <w:bCs/>
                <w:sz w:val="24"/>
                <w:szCs w:val="24"/>
              </w:rPr>
            </w:pPr>
            <w:r w:rsidRPr="0043547B">
              <w:rPr>
                <w:rFonts w:cstheme="minorHAnsi"/>
                <w:b/>
                <w:bCs/>
                <w:sz w:val="24"/>
                <w:szCs w:val="24"/>
              </w:rPr>
              <w:t>Intitulé </w:t>
            </w:r>
            <w:r w:rsidR="00C2760A">
              <w:rPr>
                <w:rFonts w:cstheme="minorHAnsi"/>
                <w:b/>
                <w:bCs/>
                <w:sz w:val="24"/>
                <w:szCs w:val="24"/>
              </w:rPr>
              <w:t xml:space="preserve"> </w:t>
            </w:r>
          </w:p>
        </w:tc>
        <w:tc>
          <w:tcPr>
            <w:tcW w:w="7938" w:type="dxa"/>
            <w:tcBorders>
              <w:top w:val="single" w:sz="4" w:space="0" w:color="auto"/>
              <w:left w:val="single" w:sz="4" w:space="0" w:color="auto"/>
              <w:bottom w:val="single" w:sz="4" w:space="0" w:color="auto"/>
              <w:right w:val="single" w:sz="18" w:space="0" w:color="auto"/>
            </w:tcBorders>
            <w:shd w:val="clear" w:color="auto" w:fill="auto"/>
            <w:vAlign w:val="center"/>
          </w:tcPr>
          <w:p w:rsidR="00064E3C" w:rsidRPr="00C2760A" w:rsidRDefault="00064E3C" w:rsidP="00C2760A">
            <w:pPr>
              <w:spacing w:after="0" w:line="240" w:lineRule="auto"/>
              <w:rPr>
                <w:rFonts w:cstheme="minorHAnsi"/>
              </w:rPr>
            </w:pPr>
            <w:r w:rsidRPr="00C2760A">
              <w:rPr>
                <w:rFonts w:cstheme="minorHAnsi"/>
              </w:rPr>
              <w:t xml:space="preserve">Systèmes de canalisations en plastique pour les branchements et les collecteurs enterrés d'assainissement sans pression - Polypropylène (PP) - Partie 1 : Spécifications pour les tubes, les raccords et le système </w:t>
            </w:r>
            <w:r w:rsidR="00C2760A">
              <w:rPr>
                <w:rFonts w:cstheme="minorHAnsi"/>
              </w:rPr>
              <w:t xml:space="preserve"> </w:t>
            </w:r>
          </w:p>
        </w:tc>
      </w:tr>
      <w:tr w:rsidR="0043547B" w:rsidRPr="0043547B" w:rsidTr="00CB5DC0">
        <w:trPr>
          <w:trHeight w:val="418"/>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064E3C" w:rsidRPr="0043547B" w:rsidRDefault="00064E3C" w:rsidP="00C2760A">
            <w:pPr>
              <w:spacing w:after="0" w:line="240" w:lineRule="auto"/>
              <w:jc w:val="center"/>
              <w:rPr>
                <w:rFonts w:cstheme="minorHAnsi"/>
                <w:b/>
                <w:bCs/>
                <w:sz w:val="24"/>
                <w:szCs w:val="24"/>
              </w:rPr>
            </w:pPr>
            <w:r w:rsidRPr="0043547B">
              <w:rPr>
                <w:rFonts w:cstheme="minorHAnsi"/>
                <w:b/>
                <w:bCs/>
                <w:sz w:val="24"/>
                <w:szCs w:val="24"/>
              </w:rPr>
              <w:t>Domaine d’application </w:t>
            </w:r>
            <w:r w:rsidR="00C2760A">
              <w:rPr>
                <w:rFonts w:cstheme="minorHAnsi"/>
                <w:b/>
                <w:bCs/>
                <w:sz w:val="24"/>
                <w:szCs w:val="24"/>
              </w:rPr>
              <w:t xml:space="preserve"> </w:t>
            </w:r>
          </w:p>
        </w:tc>
        <w:tc>
          <w:tcPr>
            <w:tcW w:w="7938" w:type="dxa"/>
            <w:tcBorders>
              <w:top w:val="single" w:sz="4" w:space="0" w:color="auto"/>
              <w:left w:val="single" w:sz="4" w:space="0" w:color="auto"/>
              <w:bottom w:val="single" w:sz="18" w:space="0" w:color="auto"/>
              <w:right w:val="single" w:sz="18" w:space="0" w:color="auto"/>
            </w:tcBorders>
            <w:shd w:val="clear" w:color="auto" w:fill="auto"/>
          </w:tcPr>
          <w:p w:rsidR="00550D4D" w:rsidRPr="00C2760A" w:rsidRDefault="00064E3C" w:rsidP="00550D4D">
            <w:pPr>
              <w:spacing w:after="0" w:line="240" w:lineRule="auto"/>
              <w:jc w:val="both"/>
              <w:rPr>
                <w:rFonts w:cstheme="minorHAnsi"/>
              </w:rPr>
            </w:pPr>
            <w:r w:rsidRPr="00C2760A">
              <w:rPr>
                <w:rFonts w:cstheme="minorHAnsi"/>
              </w:rPr>
              <w:t>La présente partie de l'EN 1852 spécifie les exigences pour les tubes à paroi compacte, les raccords et le système de canalisations en polypropylène (PP) destinés à être utilisés pour :</w:t>
            </w:r>
          </w:p>
          <w:p w:rsidR="00550D4D" w:rsidRPr="00C2760A" w:rsidRDefault="00064E3C" w:rsidP="00550D4D">
            <w:pPr>
              <w:spacing w:after="0" w:line="240" w:lineRule="auto"/>
              <w:jc w:val="both"/>
              <w:rPr>
                <w:rFonts w:cstheme="minorHAnsi"/>
              </w:rPr>
            </w:pPr>
            <w:r w:rsidRPr="00C2760A">
              <w:rPr>
                <w:rFonts w:cstheme="minorHAnsi"/>
              </w:rPr>
              <w:t>— les branchements et des collecteurs d'assainissement enterrés sans pression à l'extérieur de la structure du bâtiment (code de zone d'application «U») ; et</w:t>
            </w:r>
            <w:r w:rsidRPr="00C2760A">
              <w:rPr>
                <w:rFonts w:cstheme="minorHAnsi"/>
              </w:rPr>
              <w:br/>
              <w:t xml:space="preserve">— les branchements et des collecteurs d'assainissement enterrés sans pression aussi </w:t>
            </w:r>
            <w:r w:rsidRPr="00C2760A">
              <w:rPr>
                <w:rFonts w:cstheme="minorHAnsi"/>
              </w:rPr>
              <w:lastRenderedPageBreak/>
              <w:t>bien à l'intérieur de la structure du bâtiment (code de zone d'application «D») qu'à l'extérieur de celle-ci.</w:t>
            </w:r>
          </w:p>
          <w:p w:rsidR="00550D4D" w:rsidRPr="00C2760A" w:rsidRDefault="00064E3C" w:rsidP="00550D4D">
            <w:pPr>
              <w:spacing w:after="0" w:line="240" w:lineRule="auto"/>
              <w:jc w:val="both"/>
              <w:rPr>
                <w:rFonts w:cstheme="minorHAnsi"/>
              </w:rPr>
            </w:pPr>
            <w:r w:rsidRPr="00C2760A">
              <w:rPr>
                <w:rFonts w:cstheme="minorHAnsi"/>
              </w:rPr>
              <w:t>Ceci se retrouve dans le marquage «U» et «UD» des produits.</w:t>
            </w:r>
          </w:p>
          <w:p w:rsidR="00550D4D" w:rsidRPr="00C2760A" w:rsidRDefault="00064E3C" w:rsidP="00550D4D">
            <w:pPr>
              <w:spacing w:after="0" w:line="240" w:lineRule="auto"/>
              <w:jc w:val="both"/>
              <w:rPr>
                <w:rFonts w:cstheme="minorHAnsi"/>
              </w:rPr>
            </w:pPr>
            <w:r w:rsidRPr="00C2760A">
              <w:rPr>
                <w:rFonts w:cstheme="minorHAnsi"/>
              </w:rPr>
              <w:t>La présente norme couvre les matières PP sans modificateurs minéraux.</w:t>
            </w:r>
          </w:p>
          <w:p w:rsidR="00550D4D" w:rsidRPr="00C2760A" w:rsidRDefault="00064E3C" w:rsidP="00550D4D">
            <w:pPr>
              <w:spacing w:after="0" w:line="240" w:lineRule="auto"/>
              <w:jc w:val="both"/>
              <w:rPr>
                <w:rFonts w:cstheme="minorHAnsi"/>
              </w:rPr>
            </w:pPr>
            <w:r w:rsidRPr="00C2760A">
              <w:rPr>
                <w:rFonts w:cstheme="minorHAnsi"/>
              </w:rPr>
              <w:t>Elle spécifie également les paramètres d'essai pour les méthodes d'essai auxquelles se réfère cette norme.</w:t>
            </w:r>
          </w:p>
          <w:p w:rsidR="00C866C2" w:rsidRPr="00C2760A" w:rsidRDefault="00064E3C" w:rsidP="00550D4D">
            <w:pPr>
              <w:spacing w:after="0" w:line="240" w:lineRule="auto"/>
              <w:jc w:val="both"/>
              <w:rPr>
                <w:rFonts w:cstheme="minorHAnsi"/>
                <w:i/>
                <w:iCs/>
                <w:sz w:val="20"/>
                <w:szCs w:val="20"/>
              </w:rPr>
            </w:pPr>
            <w:r w:rsidRPr="00C2760A">
              <w:rPr>
                <w:rFonts w:cstheme="minorHAnsi"/>
              </w:rPr>
              <w:t>La présente Norme couvre une gamme de dimensions nominales, une gamme de séries de tubes et donne des recommandations concernant les couleurs.</w:t>
            </w:r>
            <w:r w:rsidRPr="00C2760A">
              <w:rPr>
                <w:rFonts w:cstheme="minorHAnsi"/>
              </w:rPr>
              <w:br/>
            </w:r>
            <w:r w:rsidRPr="00C2760A">
              <w:rPr>
                <w:rFonts w:cstheme="minorHAnsi"/>
                <w:b/>
                <w:bCs/>
                <w:i/>
                <w:iCs/>
                <w:sz w:val="20"/>
                <w:szCs w:val="20"/>
              </w:rPr>
              <w:t>NOTE 1 :</w:t>
            </w:r>
            <w:r w:rsidRPr="00C2760A">
              <w:rPr>
                <w:rFonts w:cstheme="minorHAnsi"/>
                <w:i/>
                <w:iCs/>
                <w:sz w:val="20"/>
                <w:szCs w:val="20"/>
              </w:rPr>
              <w:t xml:space="preserve"> Il est de la responsabilité de l'acheteur ou du prescripteur de procéder aux choix appropriés, prenant en compte les exigences particulières et les règlements nationaux et pratiques nationales appropriés.</w:t>
            </w:r>
          </w:p>
          <w:p w:rsidR="00C866C2" w:rsidRPr="00C2760A" w:rsidRDefault="00C866C2" w:rsidP="00C866C2">
            <w:pPr>
              <w:spacing w:after="0" w:line="240" w:lineRule="auto"/>
              <w:jc w:val="both"/>
              <w:rPr>
                <w:rFonts w:cstheme="minorHAnsi"/>
              </w:rPr>
            </w:pPr>
            <w:r w:rsidRPr="00C2760A">
              <w:rPr>
                <w:rFonts w:cstheme="minorHAnsi"/>
              </w:rPr>
              <w:t>Conjointement aux Parties 2 et 3 de l'EN 1852, elle s'applique aux tubes et aux raccords en PP, à leurs assemblages ainsi qu'aux assemblages avec des composants en d'autres matières plastiques ou non, destinés à être utilisés pour les systèmes de canalisations pour branchements et collecteurs d'assainissement enterrés sans pression.</w:t>
            </w:r>
          </w:p>
          <w:p w:rsidR="00C866C2" w:rsidRPr="00C2760A" w:rsidRDefault="00C866C2" w:rsidP="00C866C2">
            <w:pPr>
              <w:spacing w:after="0" w:line="240" w:lineRule="auto"/>
              <w:jc w:val="both"/>
              <w:rPr>
                <w:rFonts w:cstheme="minorHAnsi"/>
              </w:rPr>
            </w:pPr>
            <w:r w:rsidRPr="00C2760A">
              <w:rPr>
                <w:rFonts w:cstheme="minorHAnsi"/>
              </w:rPr>
              <w:t>La présente Norme européenne est applicable aux tubes et aux raccords en PP avec ou sans emboîture.</w:t>
            </w:r>
          </w:p>
          <w:p w:rsidR="00C866C2" w:rsidRPr="00C2760A" w:rsidRDefault="00C866C2" w:rsidP="00C866C2">
            <w:pPr>
              <w:spacing w:after="0" w:line="240" w:lineRule="auto"/>
              <w:jc w:val="both"/>
              <w:rPr>
                <w:rFonts w:cstheme="minorHAnsi"/>
                <w:i/>
                <w:iCs/>
                <w:sz w:val="20"/>
                <w:szCs w:val="20"/>
              </w:rPr>
            </w:pPr>
            <w:r w:rsidRPr="00C2760A">
              <w:rPr>
                <w:rFonts w:cstheme="minorHAnsi"/>
                <w:b/>
                <w:bCs/>
                <w:i/>
                <w:iCs/>
                <w:sz w:val="20"/>
                <w:szCs w:val="20"/>
              </w:rPr>
              <w:t>NOTE 2 :</w:t>
            </w:r>
            <w:r w:rsidRPr="00C2760A">
              <w:rPr>
                <w:rFonts w:cstheme="minorHAnsi"/>
                <w:i/>
                <w:iCs/>
                <w:sz w:val="20"/>
                <w:szCs w:val="20"/>
              </w:rPr>
              <w:t xml:space="preserve"> Les raccords peuvent être fabriqués par moulage par injection ou peuvent être façonnés à partir de tubes et/ou de pièces moulées.</w:t>
            </w:r>
          </w:p>
          <w:p w:rsidR="00C866C2" w:rsidRPr="00C2760A" w:rsidRDefault="00C866C2" w:rsidP="00C866C2">
            <w:pPr>
              <w:spacing w:after="0" w:line="240" w:lineRule="auto"/>
              <w:jc w:val="both"/>
              <w:rPr>
                <w:rFonts w:cstheme="minorHAnsi"/>
                <w:i/>
                <w:iCs/>
                <w:sz w:val="20"/>
                <w:szCs w:val="20"/>
              </w:rPr>
            </w:pPr>
            <w:r w:rsidRPr="00C2760A">
              <w:rPr>
                <w:rFonts w:cstheme="minorHAnsi"/>
                <w:b/>
                <w:bCs/>
                <w:i/>
                <w:iCs/>
                <w:sz w:val="20"/>
                <w:szCs w:val="20"/>
              </w:rPr>
              <w:t>NOTE 3 :</w:t>
            </w:r>
            <w:r w:rsidRPr="00C2760A">
              <w:rPr>
                <w:rFonts w:cstheme="minorHAnsi"/>
                <w:i/>
                <w:iCs/>
                <w:sz w:val="20"/>
                <w:szCs w:val="20"/>
              </w:rPr>
              <w:t xml:space="preserve"> Les exigences et les valeurs limites pour le code de zone d'application «D» sont données aux Tableau 4, Tableau 7 et Tableau 14.</w:t>
            </w:r>
          </w:p>
          <w:p w:rsidR="00064E3C" w:rsidRPr="00C2760A" w:rsidRDefault="00C866C2" w:rsidP="00C866C2">
            <w:pPr>
              <w:spacing w:after="0" w:line="240" w:lineRule="auto"/>
              <w:jc w:val="both"/>
              <w:rPr>
                <w:rFonts w:cstheme="minorHAnsi"/>
              </w:rPr>
            </w:pPr>
            <w:r w:rsidRPr="00C2760A">
              <w:rPr>
                <w:rFonts w:cstheme="minorHAnsi"/>
                <w:b/>
                <w:bCs/>
                <w:i/>
                <w:iCs/>
                <w:sz w:val="20"/>
                <w:szCs w:val="20"/>
              </w:rPr>
              <w:t xml:space="preserve">NOTE 4 : </w:t>
            </w:r>
            <w:r w:rsidRPr="00C2760A">
              <w:rPr>
                <w:rFonts w:cstheme="minorHAnsi"/>
                <w:i/>
                <w:iCs/>
                <w:sz w:val="20"/>
                <w:szCs w:val="20"/>
              </w:rPr>
              <w:t>Des tubes, raccords et autres composants conformes à l'une des normes relatives aux produits en matière plastique, listées dans l'Annexe C, peuvent être raccordés avec des tubes et des raccords conformes à la présente norme, sous réserve qu'ils répondent aux exigences dimensionnelles pour les assemblages données à l'Article 6 et aux exigences données au Tableau 14.</w:t>
            </w:r>
          </w:p>
        </w:tc>
      </w:tr>
      <w:tr w:rsidR="0043547B" w:rsidRPr="0043547B" w:rsidTr="00CB5DC0">
        <w:trPr>
          <w:trHeight w:val="23"/>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064E3C" w:rsidRPr="00951EE9" w:rsidRDefault="00064E3C" w:rsidP="00C866C2">
            <w:pPr>
              <w:spacing w:after="0" w:line="240" w:lineRule="auto"/>
              <w:jc w:val="center"/>
              <w:rPr>
                <w:rFonts w:cstheme="minorHAnsi"/>
                <w:b/>
                <w:bCs/>
                <w:sz w:val="24"/>
                <w:szCs w:val="24"/>
              </w:rPr>
            </w:pPr>
            <w:r w:rsidRPr="00951EE9">
              <w:rPr>
                <w:rFonts w:cstheme="minorHAnsi"/>
                <w:b/>
                <w:bCs/>
                <w:sz w:val="24"/>
                <w:szCs w:val="24"/>
              </w:rPr>
              <w:lastRenderedPageBreak/>
              <w:t>Code :</w:t>
            </w:r>
          </w:p>
        </w:tc>
        <w:tc>
          <w:tcPr>
            <w:tcW w:w="7938" w:type="dxa"/>
            <w:tcBorders>
              <w:left w:val="single" w:sz="4" w:space="0" w:color="auto"/>
              <w:bottom w:val="single" w:sz="18" w:space="0" w:color="auto"/>
              <w:right w:val="single" w:sz="18" w:space="0" w:color="auto"/>
            </w:tcBorders>
            <w:shd w:val="clear" w:color="auto" w:fill="C2D69B" w:themeFill="accent3" w:themeFillTint="99"/>
            <w:vAlign w:val="center"/>
          </w:tcPr>
          <w:p w:rsidR="00064E3C" w:rsidRPr="00951EE9" w:rsidRDefault="00064E3C" w:rsidP="00C866C2">
            <w:pPr>
              <w:spacing w:after="0" w:line="240" w:lineRule="auto"/>
              <w:jc w:val="center"/>
              <w:rPr>
                <w:rFonts w:cstheme="minorHAnsi"/>
                <w:b/>
                <w:bCs/>
                <w:sz w:val="24"/>
                <w:szCs w:val="24"/>
              </w:rPr>
            </w:pPr>
            <w:r w:rsidRPr="00951EE9">
              <w:rPr>
                <w:rFonts w:cstheme="minorHAnsi"/>
                <w:b/>
                <w:bCs/>
                <w:sz w:val="24"/>
                <w:szCs w:val="24"/>
              </w:rPr>
              <w:t>NM CEN/TS 1852-2</w:t>
            </w:r>
          </w:p>
        </w:tc>
      </w:tr>
      <w:tr w:rsidR="0043547B" w:rsidRPr="0043547B" w:rsidTr="00CB5DC0">
        <w:trPr>
          <w:trHeight w:val="23"/>
          <w:jc w:val="center"/>
        </w:trPr>
        <w:tc>
          <w:tcPr>
            <w:tcW w:w="1838" w:type="dxa"/>
            <w:tcBorders>
              <w:top w:val="single" w:sz="18" w:space="0" w:color="auto"/>
              <w:left w:val="single" w:sz="18" w:space="0" w:color="auto"/>
              <w:bottom w:val="single" w:sz="4" w:space="0" w:color="auto"/>
              <w:right w:val="single" w:sz="4" w:space="0" w:color="auto"/>
            </w:tcBorders>
            <w:shd w:val="clear" w:color="auto" w:fill="FDFBA9"/>
            <w:vAlign w:val="center"/>
          </w:tcPr>
          <w:p w:rsidR="00064E3C" w:rsidRPr="00951EE9" w:rsidRDefault="00064E3C" w:rsidP="00C866C2">
            <w:pPr>
              <w:spacing w:after="0" w:line="240" w:lineRule="auto"/>
              <w:jc w:val="center"/>
              <w:rPr>
                <w:rFonts w:cstheme="minorHAnsi"/>
                <w:b/>
                <w:bCs/>
                <w:sz w:val="24"/>
                <w:szCs w:val="24"/>
              </w:rPr>
            </w:pPr>
            <w:r w:rsidRPr="00951EE9">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DFBA9"/>
            <w:vAlign w:val="bottom"/>
          </w:tcPr>
          <w:p w:rsidR="00064E3C" w:rsidRPr="00951EE9" w:rsidRDefault="00064E3C" w:rsidP="00C866C2">
            <w:pPr>
              <w:spacing w:after="0" w:line="240" w:lineRule="auto"/>
              <w:jc w:val="center"/>
              <w:rPr>
                <w:rFonts w:cstheme="minorHAnsi"/>
                <w:b/>
                <w:bCs/>
                <w:sz w:val="24"/>
                <w:szCs w:val="24"/>
              </w:rPr>
            </w:pPr>
            <w:r w:rsidRPr="00951EE9">
              <w:rPr>
                <w:rFonts w:cstheme="minorHAnsi"/>
                <w:b/>
                <w:bCs/>
                <w:sz w:val="24"/>
                <w:szCs w:val="24"/>
              </w:rPr>
              <w:t>CEN/TS 1852-2</w:t>
            </w:r>
          </w:p>
        </w:tc>
      </w:tr>
      <w:tr w:rsidR="0043547B" w:rsidRPr="0043547B" w:rsidTr="00CB5DC0">
        <w:trPr>
          <w:trHeight w:val="532"/>
          <w:jc w:val="center"/>
        </w:trPr>
        <w:tc>
          <w:tcPr>
            <w:tcW w:w="1838" w:type="dxa"/>
            <w:tcBorders>
              <w:top w:val="single" w:sz="4" w:space="0" w:color="auto"/>
              <w:left w:val="single" w:sz="18" w:space="0" w:color="auto"/>
              <w:bottom w:val="single" w:sz="4" w:space="0" w:color="auto"/>
              <w:right w:val="single" w:sz="4" w:space="0" w:color="auto"/>
            </w:tcBorders>
            <w:shd w:val="clear" w:color="auto" w:fill="95B3D7" w:themeFill="accent1" w:themeFillTint="99"/>
            <w:vAlign w:val="center"/>
          </w:tcPr>
          <w:p w:rsidR="00064E3C" w:rsidRPr="0043547B" w:rsidRDefault="00064E3C" w:rsidP="00C866C2">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auto"/>
            <w:vAlign w:val="center"/>
          </w:tcPr>
          <w:p w:rsidR="00064E3C" w:rsidRPr="0043547B" w:rsidRDefault="00064E3C" w:rsidP="00C866C2">
            <w:pPr>
              <w:spacing w:after="0" w:line="240" w:lineRule="auto"/>
              <w:rPr>
                <w:rFonts w:cstheme="minorHAnsi"/>
                <w:sz w:val="24"/>
                <w:szCs w:val="24"/>
              </w:rPr>
            </w:pPr>
            <w:r w:rsidRPr="0043547B">
              <w:rPr>
                <w:rFonts w:cstheme="minorHAnsi"/>
                <w:sz w:val="24"/>
                <w:szCs w:val="24"/>
              </w:rPr>
              <w:t>Systèmes de canalisations en plastique pour les branchements et les collecteurs d'assainissement enterrés sans pression - Polypropylène (PP) - Partie 2 : Guide d'évaluation de la conformité ; (IC 05.5.245)</w:t>
            </w:r>
          </w:p>
        </w:tc>
      </w:tr>
      <w:tr w:rsidR="0043547B" w:rsidRPr="0043547B" w:rsidTr="00CB5DC0">
        <w:trPr>
          <w:trHeight w:val="952"/>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064E3C" w:rsidRPr="0043547B" w:rsidRDefault="00064E3C" w:rsidP="00C866C2">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tcPr>
          <w:p w:rsidR="00C866C2" w:rsidRPr="00C2760A" w:rsidRDefault="00064E3C" w:rsidP="00C866C2">
            <w:pPr>
              <w:spacing w:after="0" w:line="240" w:lineRule="auto"/>
              <w:jc w:val="both"/>
              <w:rPr>
                <w:rFonts w:cstheme="minorHAnsi"/>
              </w:rPr>
            </w:pPr>
            <w:r w:rsidRPr="00C2760A">
              <w:rPr>
                <w:rFonts w:cstheme="minorHAnsi"/>
              </w:rPr>
              <w:t>La présente spécification technique fournit un guide pour l’évaluation de conformité de matériaux, produits, assemblages et montages en conformité avec la (les) partie(s) appropriée(s) de l'EN 1852 destiné à être inclus dans le plan qualité du fabricant dans le cadre du système de management de la qualité et pour l'établissement des procédures de certification.</w:t>
            </w:r>
          </w:p>
          <w:p w:rsidR="00C2760A" w:rsidRDefault="00064E3C" w:rsidP="00C866C2">
            <w:pPr>
              <w:spacing w:after="0" w:line="240" w:lineRule="auto"/>
              <w:jc w:val="both"/>
              <w:rPr>
                <w:rFonts w:cstheme="minorHAnsi"/>
                <w:i/>
                <w:iCs/>
                <w:sz w:val="20"/>
                <w:szCs w:val="20"/>
              </w:rPr>
            </w:pPr>
            <w:r w:rsidRPr="00C2760A">
              <w:rPr>
                <w:rFonts w:cstheme="minorHAnsi"/>
                <w:b/>
                <w:bCs/>
                <w:i/>
                <w:iCs/>
                <w:sz w:val="20"/>
                <w:szCs w:val="20"/>
              </w:rPr>
              <w:t>NOTE :</w:t>
            </w:r>
            <w:r w:rsidRPr="00C2760A">
              <w:rPr>
                <w:rFonts w:cstheme="minorHAnsi"/>
                <w:i/>
                <w:iCs/>
                <w:sz w:val="20"/>
                <w:szCs w:val="20"/>
              </w:rPr>
              <w:t xml:space="preserve"> Afin d'aider le lecteur, une matrice d'essais de base est fournie en Annexe A.</w:t>
            </w:r>
          </w:p>
          <w:p w:rsidR="00C866C2" w:rsidRPr="00C2760A" w:rsidRDefault="00064E3C" w:rsidP="00C866C2">
            <w:pPr>
              <w:spacing w:after="0" w:line="240" w:lineRule="auto"/>
              <w:jc w:val="both"/>
              <w:rPr>
                <w:rFonts w:cstheme="minorHAnsi"/>
              </w:rPr>
            </w:pPr>
            <w:r w:rsidRPr="00C2760A">
              <w:rPr>
                <w:rFonts w:cstheme="minorHAnsi"/>
              </w:rPr>
              <w:t>Conjointement avec l'EN 1852-1, le présent document s'applique aux systèmes de canalisations à paroi compacte en polypropylène (PP) destinés à être utilisés pour</w:t>
            </w:r>
            <w:r w:rsidR="00C866C2" w:rsidRPr="00C2760A">
              <w:rPr>
                <w:rFonts w:cstheme="minorHAnsi"/>
              </w:rPr>
              <w:t xml:space="preserve"> </w:t>
            </w:r>
            <w:r w:rsidRPr="00C2760A">
              <w:rPr>
                <w:rFonts w:cstheme="minorHAnsi"/>
              </w:rPr>
              <w:t>:</w:t>
            </w:r>
          </w:p>
          <w:p w:rsidR="00064E3C" w:rsidRPr="0043547B" w:rsidRDefault="00064E3C" w:rsidP="00C866C2">
            <w:pPr>
              <w:spacing w:after="0" w:line="240" w:lineRule="auto"/>
              <w:jc w:val="both"/>
              <w:rPr>
                <w:rFonts w:cstheme="minorHAnsi"/>
                <w:sz w:val="24"/>
                <w:szCs w:val="24"/>
              </w:rPr>
            </w:pPr>
            <w:r w:rsidRPr="00C2760A">
              <w:rPr>
                <w:rFonts w:cstheme="minorHAnsi"/>
              </w:rPr>
              <w:t>— les branchements et les collecteurs d'assainissement sans pression enterrés à l'extérieur de la structure du bâtiment (code de zone d'application « U »), et</w:t>
            </w:r>
            <w:r w:rsidRPr="00C2760A">
              <w:rPr>
                <w:rFonts w:cstheme="minorHAnsi"/>
              </w:rPr>
              <w:br/>
              <w:t>— les branchements et les collecteurs d’assainissement sans pression enterrés aussi bien à l’intérieur de la structure du bâtiment (code de zone d’application «D») qu’à l’extérieur de la structure du bâtiment Ceci se traduit dans le marquage des produits par « U » et « UD ».</w:t>
            </w:r>
          </w:p>
        </w:tc>
      </w:tr>
      <w:tr w:rsidR="0043547B" w:rsidRPr="0043547B" w:rsidTr="00CB5DC0">
        <w:trPr>
          <w:trHeight w:val="23"/>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064E3C" w:rsidRPr="00951EE9" w:rsidRDefault="00064E3C" w:rsidP="00C866C2">
            <w:pPr>
              <w:spacing w:after="0" w:line="240" w:lineRule="auto"/>
              <w:jc w:val="center"/>
              <w:rPr>
                <w:rFonts w:cstheme="minorHAnsi"/>
                <w:b/>
                <w:bCs/>
                <w:sz w:val="24"/>
                <w:szCs w:val="24"/>
              </w:rPr>
            </w:pPr>
            <w:r w:rsidRPr="00951EE9">
              <w:rPr>
                <w:rFonts w:cstheme="minorHAnsi"/>
                <w:b/>
                <w:bCs/>
                <w:sz w:val="24"/>
                <w:szCs w:val="24"/>
              </w:rPr>
              <w:t>Code :</w:t>
            </w:r>
          </w:p>
        </w:tc>
        <w:tc>
          <w:tcPr>
            <w:tcW w:w="7938" w:type="dxa"/>
            <w:tcBorders>
              <w:left w:val="single" w:sz="4" w:space="0" w:color="auto"/>
              <w:bottom w:val="single" w:sz="18" w:space="0" w:color="auto"/>
              <w:right w:val="single" w:sz="18" w:space="0" w:color="auto"/>
            </w:tcBorders>
            <w:shd w:val="clear" w:color="auto" w:fill="C2D69B" w:themeFill="accent3" w:themeFillTint="99"/>
            <w:vAlign w:val="center"/>
          </w:tcPr>
          <w:p w:rsidR="00064E3C" w:rsidRPr="00951EE9" w:rsidRDefault="00064E3C" w:rsidP="00C866C2">
            <w:pPr>
              <w:spacing w:after="0" w:line="240" w:lineRule="auto"/>
              <w:jc w:val="center"/>
              <w:rPr>
                <w:rFonts w:cstheme="minorHAnsi"/>
                <w:b/>
                <w:bCs/>
                <w:sz w:val="24"/>
                <w:szCs w:val="24"/>
              </w:rPr>
            </w:pPr>
            <w:r w:rsidRPr="00951EE9">
              <w:rPr>
                <w:rFonts w:cstheme="minorHAnsi"/>
                <w:b/>
                <w:bCs/>
                <w:sz w:val="24"/>
                <w:szCs w:val="24"/>
              </w:rPr>
              <w:t>NM CEN/TS 1852-3</w:t>
            </w:r>
          </w:p>
        </w:tc>
      </w:tr>
      <w:tr w:rsidR="0043547B" w:rsidRPr="0043547B" w:rsidTr="004E3FFD">
        <w:trPr>
          <w:trHeight w:val="23"/>
          <w:jc w:val="center"/>
        </w:trPr>
        <w:tc>
          <w:tcPr>
            <w:tcW w:w="1838" w:type="dxa"/>
            <w:tcBorders>
              <w:top w:val="single" w:sz="18" w:space="0" w:color="auto"/>
              <w:left w:val="single" w:sz="18" w:space="0" w:color="auto"/>
              <w:bottom w:val="single" w:sz="4" w:space="0" w:color="auto"/>
              <w:right w:val="single" w:sz="4" w:space="0" w:color="auto"/>
            </w:tcBorders>
            <w:shd w:val="clear" w:color="auto" w:fill="FDFBA9"/>
            <w:vAlign w:val="center"/>
          </w:tcPr>
          <w:p w:rsidR="00064E3C" w:rsidRPr="0043547B" w:rsidRDefault="00064E3C" w:rsidP="00C866C2">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DFBA9"/>
            <w:vAlign w:val="bottom"/>
          </w:tcPr>
          <w:p w:rsidR="00064E3C" w:rsidRPr="00951EE9" w:rsidRDefault="00064E3C" w:rsidP="00C866C2">
            <w:pPr>
              <w:spacing w:after="0" w:line="240" w:lineRule="auto"/>
              <w:jc w:val="center"/>
              <w:rPr>
                <w:rFonts w:cstheme="minorHAnsi"/>
                <w:b/>
                <w:bCs/>
                <w:sz w:val="24"/>
                <w:szCs w:val="24"/>
              </w:rPr>
            </w:pPr>
            <w:r w:rsidRPr="00951EE9">
              <w:rPr>
                <w:rFonts w:cstheme="minorHAnsi"/>
                <w:b/>
                <w:bCs/>
                <w:sz w:val="24"/>
                <w:szCs w:val="24"/>
              </w:rPr>
              <w:t>CEN/TS 1852-3</w:t>
            </w:r>
          </w:p>
        </w:tc>
      </w:tr>
      <w:tr w:rsidR="0043547B" w:rsidRPr="0043547B" w:rsidTr="004E3FFD">
        <w:trPr>
          <w:trHeight w:val="561"/>
          <w:jc w:val="center"/>
        </w:trPr>
        <w:tc>
          <w:tcPr>
            <w:tcW w:w="1838" w:type="dxa"/>
            <w:tcBorders>
              <w:top w:val="single" w:sz="4" w:space="0" w:color="auto"/>
              <w:left w:val="single" w:sz="18" w:space="0" w:color="auto"/>
              <w:bottom w:val="single" w:sz="4" w:space="0" w:color="auto"/>
              <w:right w:val="single" w:sz="4" w:space="0" w:color="auto"/>
            </w:tcBorders>
            <w:shd w:val="clear" w:color="auto" w:fill="95B3D7" w:themeFill="accent1" w:themeFillTint="99"/>
            <w:vAlign w:val="center"/>
          </w:tcPr>
          <w:p w:rsidR="00064E3C" w:rsidRPr="0043547B" w:rsidRDefault="00064E3C" w:rsidP="00C866C2">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auto"/>
            <w:vAlign w:val="center"/>
          </w:tcPr>
          <w:p w:rsidR="00064E3C" w:rsidRPr="00C2760A" w:rsidRDefault="00064E3C" w:rsidP="00C2760A">
            <w:pPr>
              <w:spacing w:after="0" w:line="240" w:lineRule="auto"/>
              <w:rPr>
                <w:rFonts w:cstheme="minorHAnsi"/>
              </w:rPr>
            </w:pPr>
            <w:r w:rsidRPr="00C2760A">
              <w:rPr>
                <w:rFonts w:cstheme="minorHAnsi"/>
              </w:rPr>
              <w:t xml:space="preserve">Systèmes de canalisations en plastique pour les branchements et les collecteurs d'assainissement enterrés sans pression - Polypropylène (PP) - Partie 3 : Guide pour la pose </w:t>
            </w:r>
            <w:r w:rsidR="00C2760A" w:rsidRPr="00C2760A">
              <w:rPr>
                <w:rFonts w:cstheme="minorHAnsi"/>
              </w:rPr>
              <w:t xml:space="preserve"> </w:t>
            </w:r>
          </w:p>
        </w:tc>
      </w:tr>
      <w:tr w:rsidR="0043547B" w:rsidRPr="0043547B" w:rsidTr="00CB5DC0">
        <w:trPr>
          <w:trHeight w:val="701"/>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064E3C" w:rsidRPr="0043547B" w:rsidRDefault="00064E3C" w:rsidP="00C866C2">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tcPr>
          <w:p w:rsidR="00C866C2" w:rsidRPr="00C2760A" w:rsidRDefault="00064E3C" w:rsidP="00C866C2">
            <w:pPr>
              <w:spacing w:after="0" w:line="240" w:lineRule="auto"/>
              <w:jc w:val="both"/>
              <w:rPr>
                <w:rFonts w:cstheme="minorHAnsi"/>
              </w:rPr>
            </w:pPr>
            <w:r w:rsidRPr="00C2760A">
              <w:rPr>
                <w:rFonts w:cstheme="minorHAnsi"/>
              </w:rPr>
              <w:t>La présente Spécification Technique, associée à l’ENV 1046 et à l’EN 1610, fournit, pour un matériau donné, un ensemble de lignes directrices pour la pose de systèmes de canalisation en polypropylène (PP), dans le domaine des branchements et des collecteurs enterrés d'assainissement sans pression :</w:t>
            </w:r>
          </w:p>
          <w:p w:rsidR="00064E3C" w:rsidRPr="00C2760A" w:rsidRDefault="00064E3C" w:rsidP="00C866C2">
            <w:pPr>
              <w:spacing w:after="0" w:line="240" w:lineRule="auto"/>
              <w:jc w:val="both"/>
              <w:rPr>
                <w:rFonts w:cstheme="minorHAnsi"/>
              </w:rPr>
            </w:pPr>
            <w:r w:rsidRPr="00C2760A">
              <w:rPr>
                <w:rFonts w:cstheme="minorHAnsi"/>
              </w:rPr>
              <w:lastRenderedPageBreak/>
              <w:t>— à l'extérieur de la structure des bâtiments (code de zone d'application «U») ;</w:t>
            </w:r>
            <w:r w:rsidRPr="00C2760A">
              <w:rPr>
                <w:rFonts w:cstheme="minorHAnsi"/>
              </w:rPr>
              <w:br/>
              <w:t>— installés aussi bien en enterré à l'intérieur de la structure des bâtiments (code de zone d'application «D») qu'à l'extérieur de la structure des bâtiments.</w:t>
            </w:r>
            <w:r w:rsidRPr="00C2760A">
              <w:rPr>
                <w:rFonts w:cstheme="minorHAnsi"/>
              </w:rPr>
              <w:br/>
              <w:t>Ceci se retrouve dans le marquage «U» et «UD» des produits.</w:t>
            </w:r>
          </w:p>
        </w:tc>
      </w:tr>
      <w:tr w:rsidR="0043547B" w:rsidRPr="0043547B" w:rsidTr="00CB5DC0">
        <w:trPr>
          <w:trHeight w:val="23"/>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064E3C" w:rsidRPr="00951EE9" w:rsidRDefault="00064E3C" w:rsidP="00C866C2">
            <w:pPr>
              <w:spacing w:after="0" w:line="240" w:lineRule="auto"/>
              <w:jc w:val="center"/>
              <w:rPr>
                <w:rFonts w:cstheme="minorHAnsi"/>
                <w:b/>
                <w:bCs/>
                <w:sz w:val="24"/>
                <w:szCs w:val="24"/>
              </w:rPr>
            </w:pPr>
            <w:r w:rsidRPr="00951EE9">
              <w:rPr>
                <w:rFonts w:cstheme="minorHAnsi"/>
                <w:b/>
                <w:bCs/>
                <w:sz w:val="24"/>
                <w:szCs w:val="24"/>
              </w:rPr>
              <w:lastRenderedPageBreak/>
              <w:t>Code :</w:t>
            </w:r>
          </w:p>
        </w:tc>
        <w:tc>
          <w:tcPr>
            <w:tcW w:w="7938" w:type="dxa"/>
            <w:tcBorders>
              <w:left w:val="single" w:sz="4" w:space="0" w:color="auto"/>
              <w:bottom w:val="single" w:sz="18" w:space="0" w:color="auto"/>
              <w:right w:val="single" w:sz="18" w:space="0" w:color="auto"/>
            </w:tcBorders>
            <w:shd w:val="clear" w:color="auto" w:fill="C2D69B" w:themeFill="accent3" w:themeFillTint="99"/>
            <w:vAlign w:val="center"/>
          </w:tcPr>
          <w:p w:rsidR="00064E3C" w:rsidRPr="00951EE9" w:rsidRDefault="00064E3C" w:rsidP="00C866C2">
            <w:pPr>
              <w:spacing w:after="0" w:line="240" w:lineRule="auto"/>
              <w:jc w:val="center"/>
              <w:rPr>
                <w:rFonts w:cstheme="minorHAnsi"/>
                <w:b/>
                <w:bCs/>
                <w:sz w:val="24"/>
                <w:szCs w:val="24"/>
              </w:rPr>
            </w:pPr>
            <w:r w:rsidRPr="00951EE9">
              <w:rPr>
                <w:rFonts w:cstheme="minorHAnsi"/>
                <w:b/>
                <w:bCs/>
                <w:sz w:val="24"/>
                <w:szCs w:val="24"/>
              </w:rPr>
              <w:t>NM ISO 10931</w:t>
            </w:r>
          </w:p>
        </w:tc>
      </w:tr>
      <w:tr w:rsidR="0043547B" w:rsidRPr="0043547B" w:rsidTr="004E3FFD">
        <w:trPr>
          <w:trHeight w:val="23"/>
          <w:jc w:val="center"/>
        </w:trPr>
        <w:tc>
          <w:tcPr>
            <w:tcW w:w="1838" w:type="dxa"/>
            <w:tcBorders>
              <w:top w:val="single" w:sz="18" w:space="0" w:color="auto"/>
              <w:left w:val="single" w:sz="18" w:space="0" w:color="auto"/>
              <w:bottom w:val="single" w:sz="4" w:space="0" w:color="auto"/>
              <w:right w:val="single" w:sz="4" w:space="0" w:color="auto"/>
            </w:tcBorders>
            <w:shd w:val="clear" w:color="auto" w:fill="FDFBA9"/>
            <w:vAlign w:val="center"/>
          </w:tcPr>
          <w:p w:rsidR="00064E3C" w:rsidRPr="0043547B" w:rsidRDefault="00064E3C" w:rsidP="00C866C2">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DFBA9"/>
            <w:vAlign w:val="bottom"/>
          </w:tcPr>
          <w:p w:rsidR="00064E3C" w:rsidRPr="0043547B" w:rsidRDefault="00064E3C" w:rsidP="00C866C2">
            <w:pPr>
              <w:spacing w:after="0" w:line="240" w:lineRule="auto"/>
              <w:jc w:val="center"/>
              <w:rPr>
                <w:rFonts w:cstheme="minorHAnsi"/>
                <w:sz w:val="24"/>
                <w:szCs w:val="24"/>
              </w:rPr>
            </w:pPr>
            <w:r w:rsidRPr="0043547B">
              <w:rPr>
                <w:rFonts w:cstheme="minorHAnsi"/>
                <w:sz w:val="24"/>
                <w:szCs w:val="24"/>
              </w:rPr>
              <w:t>ISO 10931</w:t>
            </w:r>
          </w:p>
        </w:tc>
      </w:tr>
      <w:tr w:rsidR="0043547B" w:rsidRPr="0043547B" w:rsidTr="004E3FFD">
        <w:trPr>
          <w:trHeight w:val="23"/>
          <w:jc w:val="center"/>
        </w:trPr>
        <w:tc>
          <w:tcPr>
            <w:tcW w:w="1838" w:type="dxa"/>
            <w:tcBorders>
              <w:top w:val="single" w:sz="4" w:space="0" w:color="auto"/>
              <w:left w:val="single" w:sz="18" w:space="0" w:color="auto"/>
              <w:bottom w:val="single" w:sz="4" w:space="0" w:color="auto"/>
              <w:right w:val="single" w:sz="4" w:space="0" w:color="auto"/>
            </w:tcBorders>
            <w:shd w:val="clear" w:color="auto" w:fill="95B3D7" w:themeFill="accent1" w:themeFillTint="99"/>
            <w:vAlign w:val="center"/>
          </w:tcPr>
          <w:p w:rsidR="00064E3C" w:rsidRPr="0043547B" w:rsidRDefault="00064E3C" w:rsidP="00C866C2">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auto"/>
            <w:vAlign w:val="center"/>
          </w:tcPr>
          <w:p w:rsidR="00064E3C" w:rsidRPr="00C2760A" w:rsidRDefault="00064E3C" w:rsidP="00C2760A">
            <w:pPr>
              <w:spacing w:after="0" w:line="240" w:lineRule="auto"/>
              <w:jc w:val="both"/>
              <w:rPr>
                <w:rFonts w:cstheme="minorHAnsi"/>
              </w:rPr>
            </w:pPr>
            <w:r w:rsidRPr="00C2760A">
              <w:rPr>
                <w:rFonts w:cstheme="minorHAnsi"/>
              </w:rPr>
              <w:t xml:space="preserve">Systèmes de canalisations en matières plastiques pour les applications industrielles - Poly(fluorure de vinylidène) (PVDF) - Spécifications pour </w:t>
            </w:r>
            <w:r w:rsidR="00C2760A">
              <w:rPr>
                <w:rFonts w:cstheme="minorHAnsi"/>
              </w:rPr>
              <w:t xml:space="preserve">les composants et le système </w:t>
            </w:r>
          </w:p>
        </w:tc>
      </w:tr>
      <w:tr w:rsidR="0043547B" w:rsidRPr="0043547B" w:rsidTr="00CB5DC0">
        <w:trPr>
          <w:trHeight w:val="952"/>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064E3C" w:rsidRPr="0043547B" w:rsidRDefault="00064E3C" w:rsidP="00C866C2">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tcPr>
          <w:p w:rsidR="00C866C2" w:rsidRPr="00C2760A" w:rsidRDefault="00064E3C" w:rsidP="00C866C2">
            <w:pPr>
              <w:spacing w:after="0" w:line="240" w:lineRule="auto"/>
              <w:jc w:val="both"/>
              <w:rPr>
                <w:rFonts w:cstheme="minorHAnsi"/>
              </w:rPr>
            </w:pPr>
            <w:r w:rsidRPr="00C2760A">
              <w:rPr>
                <w:rFonts w:cstheme="minorHAnsi"/>
              </w:rPr>
              <w:t>La présente Norme internationale spécifie les caractéristiques et les exigences des composants tels que les tubes, les raccords et les robinets fabriqués à partir de poly(fluorure de vinylidène) (PVDF), destinés à être utilisés dans les systèmes de canalisations thermoplastiques pour les applications industrielles aériennes.</w:t>
            </w:r>
            <w:r w:rsidRPr="00C2760A">
              <w:rPr>
                <w:rFonts w:cstheme="minorHAnsi"/>
              </w:rPr>
              <w:br/>
              <w:t>La présente Norme internationale s'applique aux tubes, raccords et robinets en PVDF et aux accessoires, à leurs assemblages et aux assemblages avec d'autres composants en d'autres matières, plastiques ou non, selon qu'ils conviennent, destinés à être utilisés pour le transport de fluides liquides ou gazeux ainsi que pour des matières solides dans les fluides pour les applications industrielles telles que</w:t>
            </w:r>
            <w:r w:rsidR="00C866C2" w:rsidRPr="00C2760A">
              <w:rPr>
                <w:rFonts w:cstheme="minorHAnsi"/>
              </w:rPr>
              <w:t xml:space="preserve"> </w:t>
            </w:r>
            <w:r w:rsidRPr="00C2760A">
              <w:rPr>
                <w:rFonts w:cstheme="minorHAnsi"/>
              </w:rPr>
              <w:t>:</w:t>
            </w:r>
          </w:p>
          <w:p w:rsidR="00C866C2" w:rsidRPr="00C2760A" w:rsidRDefault="00064E3C" w:rsidP="00C866C2">
            <w:pPr>
              <w:spacing w:after="0" w:line="240" w:lineRule="auto"/>
              <w:rPr>
                <w:rFonts w:cstheme="minorHAnsi"/>
              </w:rPr>
            </w:pPr>
            <w:r w:rsidRPr="00C2760A">
              <w:rPr>
                <w:rFonts w:ascii="Cambria Math" w:hAnsi="Cambria Math" w:cs="Cambria Math"/>
              </w:rPr>
              <w:t>⎯</w:t>
            </w:r>
            <w:r w:rsidRPr="00C2760A">
              <w:rPr>
                <w:rFonts w:cstheme="minorHAnsi"/>
              </w:rPr>
              <w:t xml:space="preserve"> les usines chimiques;</w:t>
            </w:r>
            <w:r w:rsidRPr="00C2760A">
              <w:rPr>
                <w:rFonts w:cstheme="minorHAnsi"/>
              </w:rPr>
              <w:br/>
            </w:r>
            <w:r w:rsidRPr="00C2760A">
              <w:rPr>
                <w:rFonts w:ascii="Cambria Math" w:hAnsi="Cambria Math" w:cs="Cambria Math"/>
              </w:rPr>
              <w:t>⎯</w:t>
            </w:r>
            <w:r w:rsidRPr="00C2760A">
              <w:rPr>
                <w:rFonts w:cstheme="minorHAnsi"/>
              </w:rPr>
              <w:t xml:space="preserve"> les techniques des eaux usées résiduaires;</w:t>
            </w:r>
            <w:r w:rsidRPr="00C2760A">
              <w:rPr>
                <w:rFonts w:cstheme="minorHAnsi"/>
              </w:rPr>
              <w:br/>
            </w:r>
            <w:r w:rsidRPr="00C2760A">
              <w:rPr>
                <w:rFonts w:ascii="Cambria Math" w:hAnsi="Cambria Math" w:cs="Cambria Math"/>
              </w:rPr>
              <w:t>⎯</w:t>
            </w:r>
            <w:r w:rsidRPr="00C2760A">
              <w:rPr>
                <w:rFonts w:cstheme="minorHAnsi"/>
              </w:rPr>
              <w:t xml:space="preserve"> les techniques énergétiques (eau de refroidissement et alimentation en eau);</w:t>
            </w:r>
            <w:r w:rsidRPr="00C2760A">
              <w:rPr>
                <w:rFonts w:cstheme="minorHAnsi"/>
              </w:rPr>
              <w:br/>
            </w:r>
            <w:r w:rsidRPr="00C2760A">
              <w:rPr>
                <w:rFonts w:ascii="Cambria Math" w:hAnsi="Cambria Math" w:cs="Cambria Math"/>
              </w:rPr>
              <w:t>⎯</w:t>
            </w:r>
            <w:r w:rsidRPr="00C2760A">
              <w:rPr>
                <w:rFonts w:cstheme="minorHAnsi"/>
              </w:rPr>
              <w:t xml:space="preserve"> les usines de galvanisation et de corrosion;</w:t>
            </w:r>
            <w:r w:rsidRPr="00C2760A">
              <w:rPr>
                <w:rFonts w:cstheme="minorHAnsi"/>
              </w:rPr>
              <w:br/>
            </w:r>
            <w:r w:rsidRPr="00C2760A">
              <w:rPr>
                <w:rFonts w:ascii="Cambria Math" w:hAnsi="Cambria Math" w:cs="Cambria Math"/>
              </w:rPr>
              <w:t>⎯</w:t>
            </w:r>
            <w:r w:rsidRPr="00C2760A">
              <w:rPr>
                <w:rFonts w:cstheme="minorHAnsi"/>
              </w:rPr>
              <w:t xml:space="preserve"> l'industrie des semi-conducteurs;</w:t>
            </w:r>
            <w:r w:rsidRPr="00C2760A">
              <w:rPr>
                <w:rFonts w:cstheme="minorHAnsi"/>
              </w:rPr>
              <w:br/>
            </w:r>
            <w:r w:rsidRPr="00C2760A">
              <w:rPr>
                <w:rFonts w:ascii="Cambria Math" w:hAnsi="Cambria Math" w:cs="Cambria Math"/>
              </w:rPr>
              <w:t>⎯</w:t>
            </w:r>
            <w:r w:rsidRPr="00C2760A">
              <w:rPr>
                <w:rFonts w:cstheme="minorHAnsi"/>
              </w:rPr>
              <w:t xml:space="preserve"> les usines de produits agricoles;</w:t>
            </w:r>
            <w:r w:rsidRPr="00C2760A">
              <w:rPr>
                <w:rFonts w:cstheme="minorHAnsi"/>
              </w:rPr>
              <w:br/>
            </w:r>
            <w:r w:rsidRPr="00C2760A">
              <w:rPr>
                <w:rFonts w:ascii="Cambria Math" w:hAnsi="Cambria Math" w:cs="Cambria Math"/>
              </w:rPr>
              <w:t>⎯</w:t>
            </w:r>
            <w:r w:rsidRPr="00C2760A">
              <w:rPr>
                <w:rFonts w:cstheme="minorHAnsi"/>
              </w:rPr>
              <w:t xml:space="preserve"> le traitement des eaux.</w:t>
            </w:r>
          </w:p>
          <w:p w:rsidR="00C866C2" w:rsidRPr="00C2760A" w:rsidRDefault="00064E3C" w:rsidP="00C866C2">
            <w:pPr>
              <w:spacing w:after="0" w:line="240" w:lineRule="auto"/>
              <w:jc w:val="both"/>
              <w:rPr>
                <w:rFonts w:cstheme="minorHAnsi"/>
              </w:rPr>
            </w:pPr>
            <w:r w:rsidRPr="00C2760A">
              <w:rPr>
                <w:rFonts w:cstheme="minorHAnsi"/>
              </w:rPr>
              <w:t>Elle est applicable aux systèmes de canalisations en PVDF destinés à être utilisés à des températures jusqu'à 150 °C. Toutefois, pour les applications au-dessus de 120 °C, qui dépendent du point de fusion des cristallites du PVDF, il convient de demander conseil au fabricant des composants. (Les composants doivent résister</w:t>
            </w:r>
            <w:r w:rsidR="00A2520E" w:rsidRPr="00C2760A">
              <w:rPr>
                <w:rFonts w:cstheme="minorHAnsi"/>
              </w:rPr>
              <w:t xml:space="preserve"> </w:t>
            </w:r>
            <w:r w:rsidRPr="00C2760A">
              <w:rPr>
                <w:rFonts w:cstheme="minorHAnsi"/>
              </w:rPr>
              <w:t>aux exigences mécaniques, thermiques et chimiques qui sont attendues et doivent être résistants aux fluides</w:t>
            </w:r>
            <w:r w:rsidR="00A2520E" w:rsidRPr="00C2760A">
              <w:rPr>
                <w:rFonts w:cstheme="minorHAnsi"/>
              </w:rPr>
              <w:t xml:space="preserve"> </w:t>
            </w:r>
            <w:r w:rsidRPr="00C2760A">
              <w:rPr>
                <w:rFonts w:cstheme="minorHAnsi"/>
              </w:rPr>
              <w:t>à transporter.)</w:t>
            </w:r>
          </w:p>
          <w:p w:rsidR="00064E3C" w:rsidRPr="00C2760A" w:rsidRDefault="00064E3C" w:rsidP="00C866C2">
            <w:pPr>
              <w:spacing w:after="0" w:line="240" w:lineRule="auto"/>
              <w:jc w:val="both"/>
              <w:rPr>
                <w:rFonts w:cstheme="minorHAnsi"/>
              </w:rPr>
            </w:pPr>
            <w:r w:rsidRPr="00C2760A">
              <w:rPr>
                <w:rFonts w:cstheme="minorHAnsi"/>
              </w:rPr>
              <w:t>Les caractéristiques et exigences qui sont applicables au PVDF en général sont mentionnées dans les</w:t>
            </w:r>
            <w:r w:rsidR="00A2520E" w:rsidRPr="00C2760A">
              <w:rPr>
                <w:rFonts w:cstheme="minorHAnsi"/>
              </w:rPr>
              <w:t xml:space="preserve"> </w:t>
            </w:r>
            <w:r w:rsidRPr="00C2760A">
              <w:rPr>
                <w:rFonts w:cstheme="minorHAnsi"/>
              </w:rPr>
              <w:t>articles pertinents de la présente Norme internationale. Ces caractéristiques et exigences qui dépendent de la</w:t>
            </w:r>
            <w:r w:rsidR="00A2520E" w:rsidRPr="00C2760A">
              <w:rPr>
                <w:rFonts w:cstheme="minorHAnsi"/>
              </w:rPr>
              <w:t xml:space="preserve"> </w:t>
            </w:r>
            <w:r w:rsidRPr="00C2760A">
              <w:rPr>
                <w:rFonts w:cstheme="minorHAnsi"/>
              </w:rPr>
              <w:t>matière sont indiquées dans l'Annexe A.</w:t>
            </w:r>
          </w:p>
        </w:tc>
      </w:tr>
      <w:tr w:rsidR="0043547B" w:rsidRPr="0043547B" w:rsidTr="00CB5DC0">
        <w:trPr>
          <w:trHeight w:val="78"/>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01.4.047</w:t>
            </w:r>
          </w:p>
        </w:tc>
      </w:tr>
      <w:tr w:rsidR="0043547B" w:rsidRPr="0043547B" w:rsidTr="00CB5DC0">
        <w:trPr>
          <w:trHeight w:val="356"/>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hideMark/>
          </w:tcPr>
          <w:p w:rsidR="00904E52" w:rsidRPr="00C2760A" w:rsidRDefault="00904E52" w:rsidP="00904E52">
            <w:pPr>
              <w:spacing w:after="0" w:line="240" w:lineRule="auto"/>
              <w:jc w:val="both"/>
              <w:rPr>
                <w:rFonts w:eastAsia="Times New Roman" w:cstheme="minorHAnsi"/>
                <w:lang w:eastAsia="fr-FR"/>
              </w:rPr>
            </w:pPr>
            <w:r w:rsidRPr="00C2760A">
              <w:rPr>
                <w:rFonts w:eastAsia="Times New Roman" w:cstheme="minorHAnsi"/>
                <w:lang w:eastAsia="fr-FR"/>
              </w:rPr>
              <w:t xml:space="preserve">Eléments de canalisations en fonte ductile pour conduite avec pression - Spécifications techniques générales </w:t>
            </w:r>
          </w:p>
        </w:tc>
      </w:tr>
      <w:tr w:rsidR="0043547B" w:rsidRPr="0043547B" w:rsidTr="00CB5DC0">
        <w:trPr>
          <w:trHeight w:val="1081"/>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bottom"/>
            <w:hideMark/>
          </w:tcPr>
          <w:p w:rsidR="00904E52" w:rsidRDefault="00904E52" w:rsidP="00904E52">
            <w:pPr>
              <w:spacing w:after="0" w:line="240" w:lineRule="auto"/>
              <w:jc w:val="both"/>
              <w:rPr>
                <w:rFonts w:eastAsia="Times New Roman" w:cstheme="minorHAnsi"/>
                <w:lang w:eastAsia="fr-FR"/>
              </w:rPr>
            </w:pPr>
            <w:r w:rsidRPr="00C2760A">
              <w:rPr>
                <w:rFonts w:eastAsia="Times New Roman" w:cstheme="minorHAnsi"/>
                <w:lang w:eastAsia="fr-FR"/>
              </w:rPr>
              <w:t>La norme définit les éléments de canalisation (tuyaux, raccords et pièces accessoires) en fonte ductile, pour tous les diamètres nominaux jusqu'à DN 2 000 inclus, destinés à l'établissement de canalisation ou tous réseaux de distribution d'eau, de gaz ou de tout autre fluide liquide ou gazeux sous pression.</w:t>
            </w:r>
          </w:p>
          <w:p w:rsidR="00C2760A" w:rsidRPr="00C2760A" w:rsidRDefault="00C2760A" w:rsidP="00904E52">
            <w:pPr>
              <w:spacing w:after="0" w:line="240" w:lineRule="auto"/>
              <w:jc w:val="both"/>
              <w:rPr>
                <w:rFonts w:eastAsia="Times New Roman" w:cstheme="minorHAnsi"/>
                <w:lang w:eastAsia="fr-FR"/>
              </w:rPr>
            </w:pPr>
          </w:p>
        </w:tc>
      </w:tr>
      <w:tr w:rsidR="0043547B" w:rsidRPr="0043547B" w:rsidTr="00CB5DC0">
        <w:trPr>
          <w:trHeight w:val="152"/>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noWrap/>
            <w:vAlign w:val="bottom"/>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10.4.070</w:t>
            </w:r>
          </w:p>
        </w:tc>
      </w:tr>
      <w:tr w:rsidR="003F5F02" w:rsidRPr="0043547B" w:rsidTr="003F5F02">
        <w:trPr>
          <w:trHeight w:val="330"/>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3F5F02" w:rsidRPr="0043547B" w:rsidRDefault="003F5F02" w:rsidP="003F5F0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auto" w:fill="auto"/>
            <w:noWrap/>
            <w:hideMark/>
          </w:tcPr>
          <w:p w:rsidR="003F5F02" w:rsidRPr="00C2760A" w:rsidRDefault="003F5F02" w:rsidP="00C2760A">
            <w:pPr>
              <w:spacing w:after="0" w:line="240" w:lineRule="auto"/>
              <w:jc w:val="both"/>
              <w:rPr>
                <w:rFonts w:ascii="Calibri" w:hAnsi="Calibri" w:cs="Calibri"/>
              </w:rPr>
            </w:pPr>
            <w:r w:rsidRPr="00C2760A">
              <w:rPr>
                <w:rFonts w:ascii="Calibri" w:hAnsi="Calibri" w:cs="Calibri"/>
              </w:rPr>
              <w:t xml:space="preserve">Evacuation des eaux pluviales - Tuyaux, coudes et cuvettes métalliques – Spécifications </w:t>
            </w:r>
          </w:p>
        </w:tc>
      </w:tr>
      <w:tr w:rsidR="003F5F02" w:rsidRPr="0043547B" w:rsidTr="003F5F02">
        <w:trPr>
          <w:trHeight w:val="1977"/>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3F5F02" w:rsidRPr="0043547B" w:rsidRDefault="003F5F02" w:rsidP="003F5F0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bottom"/>
            <w:hideMark/>
          </w:tcPr>
          <w:p w:rsidR="00C2760A" w:rsidRDefault="003F5F02" w:rsidP="00C2760A">
            <w:pPr>
              <w:spacing w:after="0" w:line="240" w:lineRule="auto"/>
              <w:jc w:val="both"/>
              <w:rPr>
                <w:rFonts w:ascii="Calibri" w:hAnsi="Calibri" w:cs="Calibri"/>
              </w:rPr>
            </w:pPr>
            <w:r w:rsidRPr="00C2760A">
              <w:rPr>
                <w:rFonts w:ascii="Calibri" w:hAnsi="Calibri" w:cs="Calibri"/>
              </w:rPr>
              <w:t>La présente norme définit les caractéristiques des organes de descente d'eaux pluviales métalliques, en zinc allie au cuivre-titane (dits par la suite «en zinc»), en cuivre et en acier inoxydable étame plombe.</w:t>
            </w:r>
          </w:p>
          <w:p w:rsidR="003F5F02" w:rsidRDefault="003F5F02" w:rsidP="00C2760A">
            <w:pPr>
              <w:spacing w:after="0" w:line="240" w:lineRule="auto"/>
              <w:jc w:val="both"/>
              <w:rPr>
                <w:rFonts w:ascii="Calibri" w:hAnsi="Calibri" w:cs="Calibri"/>
              </w:rPr>
            </w:pPr>
            <w:r w:rsidRPr="00C2760A">
              <w:rPr>
                <w:rFonts w:ascii="Calibri" w:hAnsi="Calibri" w:cs="Calibri"/>
              </w:rPr>
              <w:t>La présente norme s'applique à des produits dont le matériau est défini par les normes françaises relatives aux feuilles, tôles et bobines citées en références.</w:t>
            </w:r>
            <w:r w:rsidRPr="00C2760A">
              <w:rPr>
                <w:rFonts w:ascii="Calibri" w:hAnsi="Calibri" w:cs="Calibri"/>
              </w:rPr>
              <w:br/>
              <w:t>Les produits en zinc peuvent être livres avec un revêtement d'aspect, par phosphatation ou laquage.</w:t>
            </w:r>
          </w:p>
          <w:p w:rsidR="00C2760A" w:rsidRPr="00C2760A" w:rsidRDefault="00C2760A" w:rsidP="00C2760A">
            <w:pPr>
              <w:spacing w:after="0" w:line="240" w:lineRule="auto"/>
              <w:jc w:val="both"/>
              <w:rPr>
                <w:rFonts w:ascii="Calibri" w:hAnsi="Calibri" w:cs="Calibri"/>
              </w:rPr>
            </w:pPr>
          </w:p>
        </w:tc>
      </w:tr>
      <w:tr w:rsidR="0043547B" w:rsidRPr="0043547B" w:rsidTr="00CB5DC0">
        <w:trPr>
          <w:trHeight w:val="330"/>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noWrap/>
            <w:vAlign w:val="bottom"/>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10.4.071</w:t>
            </w:r>
          </w:p>
        </w:tc>
      </w:tr>
      <w:tr w:rsidR="003F5F02" w:rsidRPr="0043547B" w:rsidTr="003F5F02">
        <w:trPr>
          <w:trHeight w:val="33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3F5F02" w:rsidRPr="0043547B" w:rsidRDefault="003F5F02" w:rsidP="003F5F0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noWrap/>
            <w:hideMark/>
          </w:tcPr>
          <w:p w:rsidR="003F5F02" w:rsidRPr="00C2760A" w:rsidRDefault="003F5F02" w:rsidP="00C2760A">
            <w:pPr>
              <w:spacing w:after="0" w:line="240" w:lineRule="auto"/>
              <w:jc w:val="both"/>
              <w:rPr>
                <w:rFonts w:ascii="Calibri" w:hAnsi="Calibri" w:cs="Calibri"/>
              </w:rPr>
            </w:pPr>
            <w:r w:rsidRPr="00C2760A">
              <w:rPr>
                <w:rFonts w:ascii="Calibri" w:hAnsi="Calibri" w:cs="Calibri"/>
              </w:rPr>
              <w:t>Evacuation des eaux pluviales - Gouttières, équerres et naissances métalliques - Spécifications</w:t>
            </w:r>
          </w:p>
        </w:tc>
      </w:tr>
      <w:tr w:rsidR="003F5F02" w:rsidRPr="0043547B" w:rsidTr="003F5F02">
        <w:trPr>
          <w:trHeight w:val="701"/>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3F5F02" w:rsidRPr="0043547B" w:rsidRDefault="003F5F02" w:rsidP="003F5F0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bottom"/>
            <w:hideMark/>
          </w:tcPr>
          <w:p w:rsidR="00C2760A" w:rsidRDefault="003F5F02" w:rsidP="007D4794">
            <w:pPr>
              <w:spacing w:after="0" w:line="240" w:lineRule="auto"/>
              <w:jc w:val="both"/>
              <w:rPr>
                <w:rFonts w:ascii="Calibri" w:hAnsi="Calibri" w:cs="Calibri"/>
              </w:rPr>
            </w:pPr>
            <w:r w:rsidRPr="00C2760A">
              <w:rPr>
                <w:rFonts w:ascii="Calibri" w:hAnsi="Calibri" w:cs="Calibri"/>
              </w:rPr>
              <w:t>La présente norme définit les caractéristiques des gouttières en zinc allié au cuivre-titane, en cuivre et en acier inoxydable, ainsi que celles de leurs accessoires (équerres et naissances) réalisés à partir de tôles ou des métaux en feuilles.</w:t>
            </w:r>
          </w:p>
          <w:p w:rsidR="003F5F02" w:rsidRPr="00C2760A" w:rsidRDefault="003F5F02" w:rsidP="007D4794">
            <w:pPr>
              <w:spacing w:after="0" w:line="240" w:lineRule="auto"/>
              <w:rPr>
                <w:rFonts w:ascii="Calibri" w:hAnsi="Calibri" w:cs="Calibri"/>
              </w:rPr>
            </w:pPr>
            <w:r w:rsidRPr="00C2760A">
              <w:rPr>
                <w:rFonts w:ascii="Calibri" w:hAnsi="Calibri" w:cs="Calibri"/>
              </w:rPr>
              <w:t>Elle vise les produits suivants</w:t>
            </w:r>
            <w:r w:rsidR="00C2760A">
              <w:rPr>
                <w:rFonts w:ascii="Calibri" w:hAnsi="Calibri" w:cs="Calibri"/>
              </w:rPr>
              <w:t xml:space="preserve"> </w:t>
            </w:r>
            <w:r w:rsidRPr="00C2760A">
              <w:rPr>
                <w:rFonts w:ascii="Calibri" w:hAnsi="Calibri" w:cs="Calibri"/>
              </w:rPr>
              <w:t>:</w:t>
            </w:r>
            <w:r w:rsidRPr="00C2760A">
              <w:rPr>
                <w:rFonts w:ascii="Calibri" w:hAnsi="Calibri" w:cs="Calibri"/>
              </w:rPr>
              <w:br/>
              <w:t>— gouttières demi-rondes, avec et sans pince,</w:t>
            </w:r>
            <w:r w:rsidRPr="00C2760A">
              <w:rPr>
                <w:rFonts w:ascii="Calibri" w:hAnsi="Calibri" w:cs="Calibri"/>
              </w:rPr>
              <w:br/>
              <w:t>— gouttières de forme A avec et sans pince,</w:t>
            </w:r>
            <w:r w:rsidRPr="00C2760A">
              <w:rPr>
                <w:rFonts w:ascii="Calibri" w:hAnsi="Calibri" w:cs="Calibri"/>
              </w:rPr>
              <w:br/>
              <w:t>— gouttières de forme B avec et sans pince,</w:t>
            </w:r>
            <w:r w:rsidRPr="00C2760A">
              <w:rPr>
                <w:rFonts w:ascii="Calibri" w:hAnsi="Calibri" w:cs="Calibri"/>
              </w:rPr>
              <w:br/>
              <w:t>— gouttières de forme C avec et sans pince,</w:t>
            </w:r>
            <w:r w:rsidRPr="00C2760A">
              <w:rPr>
                <w:rFonts w:ascii="Calibri" w:hAnsi="Calibri" w:cs="Calibri"/>
              </w:rPr>
              <w:br/>
              <w:t>— gouttières carrées,</w:t>
            </w:r>
            <w:r w:rsidRPr="00C2760A">
              <w:rPr>
                <w:rFonts w:ascii="Calibri" w:hAnsi="Calibri" w:cs="Calibri"/>
              </w:rPr>
              <w:br/>
              <w:t>— gouttières moulurées,</w:t>
            </w:r>
            <w:r w:rsidRPr="00C2760A">
              <w:rPr>
                <w:rFonts w:ascii="Calibri" w:hAnsi="Calibri" w:cs="Calibri"/>
              </w:rPr>
              <w:br/>
              <w:t>— équerres extérieures et intérieures embouties, brasées ou agrafées,</w:t>
            </w:r>
            <w:r w:rsidRPr="00C2760A">
              <w:rPr>
                <w:rFonts w:ascii="Calibri" w:hAnsi="Calibri" w:cs="Calibri"/>
              </w:rPr>
              <w:br/>
              <w:t>— naissances ou moignons cylindriques pour gouttières demi-rondes,</w:t>
            </w:r>
            <w:r w:rsidRPr="00C2760A">
              <w:rPr>
                <w:rFonts w:ascii="Calibri" w:hAnsi="Calibri" w:cs="Calibri"/>
              </w:rPr>
              <w:br/>
              <w:t>— naissances ou moignons cylindriques pour gouttières à fond plat,</w:t>
            </w:r>
            <w:r w:rsidRPr="00C2760A">
              <w:rPr>
                <w:rFonts w:ascii="Calibri" w:hAnsi="Calibri" w:cs="Calibri"/>
              </w:rPr>
              <w:br/>
              <w:t>— naissances universelles avec ourlet ou languette pour gouttières demi-rondes,</w:t>
            </w:r>
            <w:r w:rsidRPr="00C2760A">
              <w:rPr>
                <w:rFonts w:ascii="Calibri" w:hAnsi="Calibri" w:cs="Calibri"/>
              </w:rPr>
              <w:br/>
              <w:t>— naissances universelles avec ourlet ou languett</w:t>
            </w:r>
            <w:r w:rsidR="00C2760A">
              <w:rPr>
                <w:rFonts w:ascii="Calibri" w:hAnsi="Calibri" w:cs="Calibri"/>
              </w:rPr>
              <w:t>e pour gouttières de forme C.</w:t>
            </w:r>
            <w:r w:rsidR="00C2760A">
              <w:rPr>
                <w:rFonts w:ascii="Calibri" w:hAnsi="Calibri" w:cs="Calibri"/>
              </w:rPr>
              <w:br/>
            </w:r>
            <w:r w:rsidRPr="00C2760A">
              <w:rPr>
                <w:rFonts w:ascii="Calibri" w:hAnsi="Calibri" w:cs="Calibri"/>
              </w:rPr>
              <w:t>Les gouttières pendantes sont suspendues par des crochets normalisés qui leur</w:t>
            </w:r>
            <w:r w:rsidRPr="00C2760A">
              <w:rPr>
                <w:rFonts w:ascii="Calibri" w:hAnsi="Calibri" w:cs="Calibri"/>
              </w:rPr>
              <w:br/>
              <w:t>donnent leur pente.</w:t>
            </w:r>
          </w:p>
        </w:tc>
      </w:tr>
      <w:tr w:rsidR="0043547B" w:rsidRPr="0043547B" w:rsidTr="007D4794">
        <w:trPr>
          <w:trHeight w:val="330"/>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tcPr>
          <w:p w:rsidR="006B6875" w:rsidRPr="0043547B" w:rsidRDefault="006B6875" w:rsidP="007D4794">
            <w:pPr>
              <w:spacing w:after="0"/>
              <w:jc w:val="center"/>
              <w:rPr>
                <w:rFonts w:cstheme="minorHAnsi"/>
                <w:b/>
                <w:bCs/>
                <w:sz w:val="24"/>
                <w:szCs w:val="24"/>
              </w:rPr>
            </w:pPr>
            <w:r w:rsidRPr="0043547B">
              <w:rPr>
                <w:rFonts w:cstheme="minorHAnsi"/>
                <w:b/>
                <w:bCs/>
                <w:sz w:val="24"/>
                <w:szCs w:val="24"/>
              </w:rPr>
              <w:t>Code </w:t>
            </w:r>
            <w:r w:rsidR="007D4794">
              <w:rPr>
                <w:rFonts w:cstheme="minorHAnsi"/>
                <w:b/>
                <w:bCs/>
                <w:sz w:val="24"/>
                <w:szCs w:val="24"/>
              </w:rPr>
              <w:t xml:space="preserve"> </w:t>
            </w:r>
          </w:p>
        </w:tc>
        <w:tc>
          <w:tcPr>
            <w:tcW w:w="7938" w:type="dxa"/>
            <w:tcBorders>
              <w:top w:val="single" w:sz="18" w:space="0" w:color="auto"/>
              <w:left w:val="single" w:sz="4" w:space="0" w:color="auto"/>
              <w:bottom w:val="single" w:sz="18" w:space="0" w:color="auto"/>
              <w:right w:val="single" w:sz="18" w:space="0" w:color="auto"/>
            </w:tcBorders>
            <w:shd w:val="clear" w:color="auto" w:fill="B4CD81"/>
            <w:noWrap/>
          </w:tcPr>
          <w:p w:rsidR="006B6875" w:rsidRPr="0043547B" w:rsidRDefault="006B6875" w:rsidP="00EF65A3">
            <w:pPr>
              <w:spacing w:after="0"/>
              <w:jc w:val="center"/>
              <w:rPr>
                <w:rFonts w:cstheme="minorHAnsi"/>
                <w:b/>
                <w:bCs/>
                <w:sz w:val="24"/>
                <w:szCs w:val="24"/>
              </w:rPr>
            </w:pPr>
            <w:r w:rsidRPr="0043547B">
              <w:rPr>
                <w:rFonts w:cstheme="minorHAnsi"/>
                <w:b/>
                <w:bCs/>
                <w:sz w:val="24"/>
                <w:szCs w:val="24"/>
              </w:rPr>
              <w:t>NM 10.9.003</w:t>
            </w:r>
          </w:p>
        </w:tc>
      </w:tr>
      <w:tr w:rsidR="0043547B" w:rsidRPr="0043547B" w:rsidTr="007D4794">
        <w:trPr>
          <w:trHeight w:val="330"/>
          <w:jc w:val="center"/>
        </w:trPr>
        <w:tc>
          <w:tcPr>
            <w:tcW w:w="1838" w:type="dxa"/>
            <w:tcBorders>
              <w:top w:val="single" w:sz="18" w:space="0" w:color="auto"/>
              <w:left w:val="single" w:sz="18" w:space="0" w:color="auto"/>
              <w:bottom w:val="single" w:sz="4" w:space="0" w:color="auto"/>
              <w:right w:val="single" w:sz="4" w:space="0" w:color="auto"/>
            </w:tcBorders>
            <w:shd w:val="clear" w:color="auto" w:fill="B8CCE4" w:themeFill="accent1" w:themeFillTint="66"/>
            <w:vAlign w:val="center"/>
          </w:tcPr>
          <w:p w:rsidR="006B6875" w:rsidRPr="0043547B" w:rsidRDefault="006B6875" w:rsidP="007D4794">
            <w:pPr>
              <w:spacing w:after="0"/>
              <w:jc w:val="center"/>
              <w:rPr>
                <w:rFonts w:cstheme="minorHAnsi"/>
                <w:b/>
                <w:bCs/>
                <w:sz w:val="24"/>
                <w:szCs w:val="24"/>
              </w:rPr>
            </w:pPr>
            <w:r w:rsidRPr="0043547B">
              <w:rPr>
                <w:rFonts w:cstheme="minorHAnsi"/>
                <w:b/>
                <w:bCs/>
                <w:sz w:val="24"/>
                <w:szCs w:val="24"/>
              </w:rPr>
              <w:t>Intitulé </w:t>
            </w:r>
            <w:r w:rsidR="007D4794">
              <w:rPr>
                <w:rFonts w:cstheme="minorHAnsi"/>
                <w:b/>
                <w:bCs/>
                <w:sz w:val="24"/>
                <w:szCs w:val="24"/>
              </w:rPr>
              <w:t xml:space="preserve"> </w:t>
            </w:r>
          </w:p>
        </w:tc>
        <w:tc>
          <w:tcPr>
            <w:tcW w:w="7938" w:type="dxa"/>
            <w:tcBorders>
              <w:top w:val="single" w:sz="18" w:space="0" w:color="auto"/>
              <w:left w:val="single" w:sz="4" w:space="0" w:color="auto"/>
              <w:bottom w:val="single" w:sz="4" w:space="0" w:color="auto"/>
              <w:right w:val="single" w:sz="18" w:space="0" w:color="auto"/>
            </w:tcBorders>
            <w:shd w:val="clear" w:color="auto" w:fill="FFFFFF" w:themeFill="background1"/>
            <w:noWrap/>
          </w:tcPr>
          <w:p w:rsidR="006B6875" w:rsidRPr="007D4794" w:rsidRDefault="006B6875" w:rsidP="007D4794">
            <w:pPr>
              <w:spacing w:after="0" w:line="240" w:lineRule="auto"/>
              <w:jc w:val="both"/>
              <w:rPr>
                <w:rFonts w:cstheme="minorHAnsi"/>
              </w:rPr>
            </w:pPr>
            <w:r w:rsidRPr="007D4794">
              <w:rPr>
                <w:rFonts w:cstheme="minorHAnsi"/>
              </w:rPr>
              <w:t>Evacuations assainissement - Eléments fabriqués en usine pour regards de visite en béton sur canalisations d'assainissement - Définitions, spécifications, méthodes d'essais, marquage, conditions de réception </w:t>
            </w:r>
          </w:p>
        </w:tc>
      </w:tr>
      <w:tr w:rsidR="0043547B" w:rsidRPr="0043547B" w:rsidTr="007D4794">
        <w:trPr>
          <w:trHeight w:val="1157"/>
          <w:jc w:val="center"/>
        </w:trPr>
        <w:tc>
          <w:tcPr>
            <w:tcW w:w="1838" w:type="dxa"/>
            <w:tcBorders>
              <w:top w:val="single" w:sz="4" w:space="0" w:color="auto"/>
              <w:left w:val="single" w:sz="18" w:space="0" w:color="auto"/>
              <w:bottom w:val="single" w:sz="18" w:space="0" w:color="auto"/>
              <w:right w:val="single" w:sz="4" w:space="0" w:color="auto"/>
            </w:tcBorders>
            <w:shd w:val="clear" w:color="auto" w:fill="D9D9D9" w:themeFill="background1" w:themeFillShade="D9"/>
            <w:vAlign w:val="center"/>
          </w:tcPr>
          <w:p w:rsidR="006B6875" w:rsidRPr="0043547B" w:rsidRDefault="006B6875" w:rsidP="007D4794">
            <w:pPr>
              <w:spacing w:after="0"/>
              <w:jc w:val="center"/>
              <w:rPr>
                <w:rFonts w:cstheme="minorHAnsi"/>
                <w:b/>
                <w:bCs/>
                <w:sz w:val="24"/>
                <w:szCs w:val="24"/>
              </w:rPr>
            </w:pPr>
            <w:r w:rsidRPr="0043547B">
              <w:rPr>
                <w:rFonts w:cstheme="minorHAnsi"/>
                <w:b/>
                <w:bCs/>
                <w:sz w:val="24"/>
                <w:szCs w:val="24"/>
              </w:rPr>
              <w:t>Domaine d’application </w:t>
            </w:r>
            <w:r w:rsidR="007D4794">
              <w:rPr>
                <w:rFonts w:cstheme="minorHAnsi"/>
                <w:b/>
                <w:bCs/>
                <w:sz w:val="24"/>
                <w:szCs w:val="24"/>
              </w:rPr>
              <w:t xml:space="preserve"> </w:t>
            </w:r>
          </w:p>
        </w:tc>
        <w:tc>
          <w:tcPr>
            <w:tcW w:w="7938" w:type="dxa"/>
            <w:tcBorders>
              <w:top w:val="single" w:sz="4" w:space="0" w:color="auto"/>
              <w:left w:val="single" w:sz="4" w:space="0" w:color="auto"/>
              <w:bottom w:val="single" w:sz="18" w:space="0" w:color="auto"/>
              <w:right w:val="single" w:sz="18" w:space="0" w:color="auto"/>
            </w:tcBorders>
            <w:shd w:val="clear" w:color="auto" w:fill="FFFFFF" w:themeFill="background1"/>
            <w:noWrap/>
          </w:tcPr>
          <w:p w:rsidR="006B6875" w:rsidRPr="007D4794" w:rsidRDefault="006B6875" w:rsidP="007D4794">
            <w:pPr>
              <w:spacing w:after="0" w:line="240" w:lineRule="auto"/>
              <w:jc w:val="both"/>
              <w:rPr>
                <w:rFonts w:cstheme="minorHAnsi"/>
              </w:rPr>
            </w:pPr>
            <w:r w:rsidRPr="007D4794">
              <w:rPr>
                <w:rFonts w:cstheme="minorHAnsi"/>
              </w:rPr>
              <w:t>Les réseaux d'assainissement constitués par les éléments visés par la présente norme sont destinés à véhicule</w:t>
            </w:r>
            <w:r w:rsidR="00CC6166" w:rsidRPr="007D4794">
              <w:rPr>
                <w:rFonts w:cstheme="minorHAnsi"/>
              </w:rPr>
              <w:t>r de manière durable les effluen</w:t>
            </w:r>
            <w:r w:rsidRPr="007D4794">
              <w:rPr>
                <w:rFonts w:cstheme="minorHAnsi"/>
              </w:rPr>
              <w:t>ts constitués par les eaux pluviales, les eaux usées domestiques et certaines eaux usées industrielles conformément à la norme NM 10.1.027.</w:t>
            </w:r>
          </w:p>
        </w:tc>
      </w:tr>
      <w:tr w:rsidR="003F5F02" w:rsidRPr="0043547B" w:rsidTr="003F5F02">
        <w:trPr>
          <w:trHeight w:val="330"/>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3F5F02" w:rsidRPr="0043547B" w:rsidRDefault="003F5F02" w:rsidP="007D4794">
            <w:pPr>
              <w:spacing w:after="0"/>
              <w:jc w:val="center"/>
              <w:rPr>
                <w:rFonts w:cstheme="minorHAnsi"/>
                <w:b/>
                <w:bCs/>
                <w:sz w:val="24"/>
                <w:szCs w:val="24"/>
              </w:rPr>
            </w:pPr>
            <w:r w:rsidRPr="0043547B">
              <w:rPr>
                <w:rFonts w:cstheme="minorHAnsi"/>
                <w:b/>
                <w:bCs/>
                <w:sz w:val="24"/>
                <w:szCs w:val="24"/>
              </w:rPr>
              <w:t>Code </w:t>
            </w:r>
            <w:r w:rsidR="007D4794">
              <w:rPr>
                <w:rFonts w:cstheme="minorHAnsi"/>
                <w:b/>
                <w:bCs/>
                <w:sz w:val="24"/>
                <w:szCs w:val="24"/>
              </w:rPr>
              <w:t xml:space="preserve"> </w:t>
            </w:r>
          </w:p>
        </w:tc>
        <w:tc>
          <w:tcPr>
            <w:tcW w:w="7938" w:type="dxa"/>
            <w:tcBorders>
              <w:top w:val="single" w:sz="18" w:space="0" w:color="auto"/>
              <w:left w:val="single" w:sz="4" w:space="0" w:color="auto"/>
              <w:bottom w:val="single" w:sz="18" w:space="0" w:color="auto"/>
              <w:right w:val="single" w:sz="18" w:space="0" w:color="auto"/>
            </w:tcBorders>
            <w:shd w:val="clear" w:color="auto" w:fill="B4CD81"/>
            <w:noWrap/>
            <w:hideMark/>
          </w:tcPr>
          <w:p w:rsidR="003F5F02" w:rsidRPr="007D4794" w:rsidRDefault="003F5F02" w:rsidP="007D4794">
            <w:pPr>
              <w:spacing w:after="0" w:line="240" w:lineRule="auto"/>
              <w:jc w:val="center"/>
              <w:rPr>
                <w:rFonts w:ascii="Calibri" w:hAnsi="Calibri" w:cs="Calibri"/>
                <w:b/>
                <w:bCs/>
                <w:sz w:val="24"/>
                <w:szCs w:val="24"/>
              </w:rPr>
            </w:pPr>
            <w:r w:rsidRPr="007D4794">
              <w:rPr>
                <w:rFonts w:ascii="Calibri" w:hAnsi="Calibri" w:cs="Calibri"/>
                <w:b/>
                <w:bCs/>
                <w:sz w:val="24"/>
                <w:szCs w:val="24"/>
              </w:rPr>
              <w:t>NM EN 607</w:t>
            </w:r>
          </w:p>
        </w:tc>
      </w:tr>
      <w:tr w:rsidR="003F5F02" w:rsidRPr="0043547B" w:rsidTr="003F5F02">
        <w:trPr>
          <w:trHeight w:val="330"/>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3F5F02" w:rsidRPr="0043547B" w:rsidRDefault="003F5F02" w:rsidP="007D4794">
            <w:pPr>
              <w:spacing w:after="0"/>
              <w:jc w:val="center"/>
              <w:rPr>
                <w:rFonts w:cstheme="minorHAnsi"/>
                <w:b/>
                <w:bCs/>
                <w:sz w:val="24"/>
                <w:szCs w:val="24"/>
              </w:rPr>
            </w:pPr>
            <w:r w:rsidRPr="0043547B">
              <w:rPr>
                <w:rFonts w:cstheme="minorHAnsi"/>
                <w:b/>
                <w:bCs/>
                <w:sz w:val="24"/>
                <w:szCs w:val="24"/>
              </w:rPr>
              <w:t>Equivalence </w:t>
            </w:r>
            <w:r w:rsidR="007D4794">
              <w:rPr>
                <w:rFonts w:cstheme="minorHAnsi"/>
                <w:b/>
                <w:bCs/>
                <w:sz w:val="24"/>
                <w:szCs w:val="24"/>
              </w:rPr>
              <w:t xml:space="preserve"> </w:t>
            </w:r>
          </w:p>
        </w:tc>
        <w:tc>
          <w:tcPr>
            <w:tcW w:w="7938" w:type="dxa"/>
            <w:tcBorders>
              <w:top w:val="single" w:sz="18" w:space="0" w:color="auto"/>
              <w:left w:val="single" w:sz="4" w:space="0" w:color="auto"/>
              <w:right w:val="single" w:sz="18" w:space="0" w:color="auto"/>
            </w:tcBorders>
            <w:shd w:val="clear" w:color="auto" w:fill="FFFF99"/>
            <w:noWrap/>
            <w:vAlign w:val="center"/>
            <w:hideMark/>
          </w:tcPr>
          <w:p w:rsidR="003F5F02" w:rsidRPr="007D4794" w:rsidRDefault="003F5F02" w:rsidP="007D4794">
            <w:pPr>
              <w:spacing w:after="0" w:line="240" w:lineRule="auto"/>
              <w:jc w:val="center"/>
              <w:rPr>
                <w:rFonts w:ascii="Calibri" w:hAnsi="Calibri" w:cs="Calibri"/>
                <w:b/>
                <w:bCs/>
                <w:sz w:val="24"/>
                <w:szCs w:val="24"/>
              </w:rPr>
            </w:pPr>
            <w:r w:rsidRPr="007D4794">
              <w:rPr>
                <w:rFonts w:ascii="Calibri" w:hAnsi="Calibri" w:cs="Calibri"/>
                <w:b/>
                <w:bCs/>
                <w:sz w:val="24"/>
                <w:szCs w:val="24"/>
              </w:rPr>
              <w:t>EN 607</w:t>
            </w:r>
          </w:p>
        </w:tc>
      </w:tr>
      <w:tr w:rsidR="003F5F02" w:rsidRPr="0043547B" w:rsidTr="007D4794">
        <w:trPr>
          <w:trHeight w:val="330"/>
          <w:jc w:val="center"/>
        </w:trPr>
        <w:tc>
          <w:tcPr>
            <w:tcW w:w="1838" w:type="dxa"/>
            <w:tcBorders>
              <w:top w:val="nil"/>
              <w:left w:val="single" w:sz="18" w:space="0" w:color="auto"/>
              <w:bottom w:val="single" w:sz="4" w:space="0" w:color="auto"/>
              <w:right w:val="single" w:sz="4" w:space="0" w:color="auto"/>
            </w:tcBorders>
            <w:shd w:val="clear" w:color="auto" w:fill="B8CCE4" w:themeFill="accent1" w:themeFillTint="66"/>
            <w:vAlign w:val="center"/>
            <w:hideMark/>
          </w:tcPr>
          <w:p w:rsidR="003F5F02" w:rsidRPr="0043547B" w:rsidRDefault="003F5F02" w:rsidP="007D4794">
            <w:pPr>
              <w:spacing w:after="0"/>
              <w:jc w:val="center"/>
              <w:rPr>
                <w:rFonts w:cstheme="minorHAnsi"/>
                <w:b/>
                <w:bCs/>
                <w:sz w:val="24"/>
                <w:szCs w:val="24"/>
              </w:rPr>
            </w:pPr>
            <w:r w:rsidRPr="0043547B">
              <w:rPr>
                <w:rFonts w:cstheme="minorHAnsi"/>
                <w:b/>
                <w:bCs/>
                <w:sz w:val="24"/>
                <w:szCs w:val="24"/>
              </w:rPr>
              <w:t>Intitulé </w:t>
            </w:r>
            <w:r w:rsidR="007D4794">
              <w:rPr>
                <w:rFonts w:cstheme="minorHAnsi"/>
                <w:b/>
                <w:bCs/>
                <w:sz w:val="24"/>
                <w:szCs w:val="24"/>
              </w:rPr>
              <w:t xml:space="preserve"> </w:t>
            </w:r>
          </w:p>
        </w:tc>
        <w:tc>
          <w:tcPr>
            <w:tcW w:w="7938" w:type="dxa"/>
            <w:tcBorders>
              <w:left w:val="single" w:sz="4" w:space="0" w:color="auto"/>
              <w:right w:val="single" w:sz="18" w:space="0" w:color="auto"/>
            </w:tcBorders>
            <w:shd w:val="clear" w:color="auto" w:fill="auto"/>
            <w:noWrap/>
            <w:hideMark/>
          </w:tcPr>
          <w:p w:rsidR="003F5F02" w:rsidRPr="007D4794" w:rsidRDefault="003F5F02" w:rsidP="007D4794">
            <w:pPr>
              <w:spacing w:after="0" w:line="240" w:lineRule="auto"/>
              <w:jc w:val="both"/>
              <w:rPr>
                <w:rFonts w:ascii="Calibri" w:hAnsi="Calibri" w:cs="Calibri"/>
              </w:rPr>
            </w:pPr>
            <w:r w:rsidRPr="007D4794">
              <w:rPr>
                <w:rFonts w:ascii="Calibri" w:hAnsi="Calibri" w:cs="Calibri"/>
              </w:rPr>
              <w:t>Gouttières pendantes et leurs raccords en PVC-U - Définitions, exigences et méthodes d'essai</w:t>
            </w:r>
          </w:p>
        </w:tc>
      </w:tr>
      <w:tr w:rsidR="003F5F02" w:rsidRPr="0043547B" w:rsidTr="003F5F02">
        <w:trPr>
          <w:trHeight w:val="90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3F5F02" w:rsidRPr="0043547B" w:rsidRDefault="003F5F02" w:rsidP="007D4794">
            <w:pPr>
              <w:spacing w:after="0"/>
              <w:jc w:val="center"/>
              <w:rPr>
                <w:rFonts w:cstheme="minorHAnsi"/>
                <w:b/>
                <w:bCs/>
                <w:sz w:val="24"/>
                <w:szCs w:val="24"/>
              </w:rPr>
            </w:pPr>
            <w:r w:rsidRPr="0043547B">
              <w:rPr>
                <w:rFonts w:cstheme="minorHAnsi"/>
                <w:b/>
                <w:bCs/>
                <w:sz w:val="24"/>
                <w:szCs w:val="24"/>
              </w:rPr>
              <w:t>Domaine d’application </w:t>
            </w:r>
            <w:r w:rsidR="007D4794">
              <w:rPr>
                <w:rFonts w:cstheme="minorHAnsi"/>
                <w:b/>
                <w:bCs/>
                <w:sz w:val="24"/>
                <w:szCs w:val="24"/>
              </w:rPr>
              <w:t xml:space="preserve"> </w:t>
            </w:r>
          </w:p>
        </w:tc>
        <w:tc>
          <w:tcPr>
            <w:tcW w:w="7938" w:type="dxa"/>
            <w:tcBorders>
              <w:left w:val="single" w:sz="4" w:space="0" w:color="auto"/>
              <w:bottom w:val="single" w:sz="18" w:space="0" w:color="auto"/>
              <w:right w:val="single" w:sz="18" w:space="0" w:color="auto"/>
            </w:tcBorders>
            <w:shd w:val="clear" w:color="auto" w:fill="auto"/>
            <w:vAlign w:val="bottom"/>
            <w:hideMark/>
          </w:tcPr>
          <w:p w:rsidR="003F5F02" w:rsidRPr="007D4794" w:rsidRDefault="003F5F02" w:rsidP="007D4794">
            <w:pPr>
              <w:spacing w:after="0" w:line="240" w:lineRule="auto"/>
              <w:jc w:val="both"/>
              <w:rPr>
                <w:rFonts w:ascii="Calibri" w:hAnsi="Calibri" w:cs="Calibri"/>
              </w:rPr>
            </w:pPr>
            <w:r w:rsidRPr="007D4794">
              <w:rPr>
                <w:rFonts w:ascii="Calibri" w:hAnsi="Calibri" w:cs="Calibri"/>
              </w:rPr>
              <w:t>La présente Norme européenne prescrit les exigences et les méthodes d’essai des gouttières pendantes et de</w:t>
            </w:r>
            <w:r w:rsidR="007D4794">
              <w:rPr>
                <w:rFonts w:ascii="Calibri" w:hAnsi="Calibri" w:cs="Calibri"/>
              </w:rPr>
              <w:t xml:space="preserve"> </w:t>
            </w:r>
            <w:r w:rsidRPr="007D4794">
              <w:rPr>
                <w:rFonts w:ascii="Calibri" w:hAnsi="Calibri" w:cs="Calibri"/>
              </w:rPr>
              <w:t>leurs raccords en chlorure de polyvinyle non plastifié (PVC-U), destinés à être utilisés pour l’évacuation des eaux</w:t>
            </w:r>
            <w:r w:rsidR="007D4794">
              <w:rPr>
                <w:rFonts w:ascii="Calibri" w:hAnsi="Calibri" w:cs="Calibri"/>
              </w:rPr>
              <w:t xml:space="preserve"> </w:t>
            </w:r>
            <w:r w:rsidRPr="007D4794">
              <w:rPr>
                <w:rFonts w:ascii="Calibri" w:hAnsi="Calibri" w:cs="Calibri"/>
              </w:rPr>
              <w:t>pluviales.</w:t>
            </w:r>
          </w:p>
        </w:tc>
      </w:tr>
      <w:tr w:rsidR="003F5F02" w:rsidRPr="0043547B" w:rsidTr="00A76C14">
        <w:trPr>
          <w:trHeight w:val="386"/>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3F5F02" w:rsidRDefault="003F5F02" w:rsidP="007D4794">
            <w:pPr>
              <w:spacing w:after="0" w:line="240" w:lineRule="auto"/>
              <w:jc w:val="center"/>
              <w:rPr>
                <w:rFonts w:ascii="Calibri" w:hAnsi="Calibri" w:cs="Calibri"/>
                <w:b/>
                <w:bCs/>
              </w:rPr>
            </w:pPr>
            <w:r>
              <w:rPr>
                <w:rFonts w:ascii="Calibri" w:hAnsi="Calibri" w:cs="Calibri"/>
                <w:b/>
                <w:bCs/>
              </w:rPr>
              <w:t>Code</w:t>
            </w:r>
          </w:p>
        </w:tc>
        <w:tc>
          <w:tcPr>
            <w:tcW w:w="7938" w:type="dxa"/>
            <w:tcBorders>
              <w:left w:val="single" w:sz="4" w:space="0" w:color="auto"/>
              <w:bottom w:val="single" w:sz="18" w:space="0" w:color="auto"/>
              <w:right w:val="single" w:sz="18" w:space="0" w:color="auto"/>
            </w:tcBorders>
            <w:shd w:val="clear" w:color="auto" w:fill="C2D69B" w:themeFill="accent3" w:themeFillTint="99"/>
            <w:vAlign w:val="center"/>
          </w:tcPr>
          <w:p w:rsidR="003F5F02" w:rsidRPr="007D4794" w:rsidRDefault="003F5F02" w:rsidP="007D4794">
            <w:pPr>
              <w:spacing w:after="0" w:line="240" w:lineRule="auto"/>
              <w:jc w:val="center"/>
              <w:rPr>
                <w:rFonts w:ascii="Calibri" w:hAnsi="Calibri" w:cs="Calibri"/>
                <w:b/>
                <w:bCs/>
                <w:sz w:val="24"/>
                <w:szCs w:val="24"/>
              </w:rPr>
            </w:pPr>
            <w:r w:rsidRPr="007D4794">
              <w:rPr>
                <w:rFonts w:ascii="Calibri" w:hAnsi="Calibri" w:cs="Calibri"/>
                <w:b/>
                <w:bCs/>
                <w:sz w:val="24"/>
                <w:szCs w:val="24"/>
              </w:rPr>
              <w:t>NM ISO 30500</w:t>
            </w:r>
          </w:p>
        </w:tc>
      </w:tr>
      <w:tr w:rsidR="003F5F02" w:rsidRPr="0043547B" w:rsidTr="00A76C14">
        <w:trPr>
          <w:trHeight w:val="392"/>
          <w:jc w:val="center"/>
        </w:trPr>
        <w:tc>
          <w:tcPr>
            <w:tcW w:w="1838" w:type="dxa"/>
            <w:tcBorders>
              <w:top w:val="nil"/>
              <w:left w:val="single" w:sz="18" w:space="0" w:color="auto"/>
              <w:bottom w:val="single" w:sz="18" w:space="0" w:color="auto"/>
              <w:right w:val="single" w:sz="4" w:space="0" w:color="auto"/>
            </w:tcBorders>
            <w:shd w:val="clear" w:color="auto" w:fill="FFFF99"/>
            <w:vAlign w:val="center"/>
          </w:tcPr>
          <w:p w:rsidR="003F5F02" w:rsidRDefault="003F5F02" w:rsidP="007D4794">
            <w:pPr>
              <w:spacing w:after="0" w:line="240" w:lineRule="auto"/>
              <w:jc w:val="center"/>
              <w:rPr>
                <w:rFonts w:ascii="Calibri" w:hAnsi="Calibri" w:cs="Calibri"/>
                <w:b/>
                <w:bCs/>
                <w:sz w:val="24"/>
                <w:szCs w:val="24"/>
              </w:rPr>
            </w:pPr>
            <w:r>
              <w:rPr>
                <w:rFonts w:ascii="Calibri" w:hAnsi="Calibri" w:cs="Calibri"/>
                <w:b/>
                <w:bCs/>
              </w:rPr>
              <w:t>Equivalence</w:t>
            </w:r>
          </w:p>
        </w:tc>
        <w:tc>
          <w:tcPr>
            <w:tcW w:w="7938" w:type="dxa"/>
            <w:tcBorders>
              <w:left w:val="single" w:sz="4" w:space="0" w:color="auto"/>
              <w:bottom w:val="single" w:sz="18" w:space="0" w:color="auto"/>
              <w:right w:val="single" w:sz="18" w:space="0" w:color="auto"/>
            </w:tcBorders>
            <w:shd w:val="clear" w:color="auto" w:fill="FFFF99"/>
            <w:vAlign w:val="center"/>
          </w:tcPr>
          <w:p w:rsidR="003F5F02" w:rsidRPr="007D4794" w:rsidRDefault="003F5F02" w:rsidP="007D4794">
            <w:pPr>
              <w:spacing w:after="0" w:line="240" w:lineRule="auto"/>
              <w:jc w:val="center"/>
              <w:rPr>
                <w:rFonts w:ascii="Calibri" w:hAnsi="Calibri" w:cs="Calibri"/>
                <w:b/>
                <w:bCs/>
                <w:sz w:val="24"/>
                <w:szCs w:val="24"/>
              </w:rPr>
            </w:pPr>
            <w:r w:rsidRPr="007D4794">
              <w:rPr>
                <w:rFonts w:ascii="Calibri" w:hAnsi="Calibri" w:cs="Calibri"/>
                <w:b/>
                <w:bCs/>
                <w:sz w:val="24"/>
                <w:szCs w:val="24"/>
              </w:rPr>
              <w:t>ISO 30500</w:t>
            </w:r>
          </w:p>
        </w:tc>
      </w:tr>
      <w:tr w:rsidR="003F5F02" w:rsidRPr="0043547B" w:rsidTr="007D4794">
        <w:trPr>
          <w:trHeight w:val="498"/>
          <w:jc w:val="center"/>
        </w:trPr>
        <w:tc>
          <w:tcPr>
            <w:tcW w:w="1838" w:type="dxa"/>
            <w:tcBorders>
              <w:top w:val="single" w:sz="18" w:space="0" w:color="auto"/>
              <w:left w:val="single" w:sz="18" w:space="0" w:color="auto"/>
              <w:bottom w:val="single" w:sz="4" w:space="0" w:color="auto"/>
              <w:right w:val="single" w:sz="4" w:space="0" w:color="auto"/>
            </w:tcBorders>
            <w:shd w:val="clear" w:color="auto" w:fill="B8CCE4" w:themeFill="accent1" w:themeFillTint="66"/>
            <w:vAlign w:val="center"/>
          </w:tcPr>
          <w:p w:rsidR="003F5F02" w:rsidRDefault="003F5F02" w:rsidP="007D4794">
            <w:pPr>
              <w:spacing w:after="0" w:line="240" w:lineRule="auto"/>
              <w:jc w:val="center"/>
              <w:rPr>
                <w:rFonts w:ascii="Calibri" w:hAnsi="Calibri" w:cs="Calibri"/>
                <w:b/>
                <w:bCs/>
                <w:sz w:val="24"/>
                <w:szCs w:val="24"/>
              </w:rPr>
            </w:pPr>
            <w:r>
              <w:rPr>
                <w:rFonts w:ascii="Calibri" w:hAnsi="Calibri" w:cs="Calibri"/>
                <w:b/>
                <w:bCs/>
              </w:rPr>
              <w:t>Intitulé</w:t>
            </w:r>
          </w:p>
        </w:tc>
        <w:tc>
          <w:tcPr>
            <w:tcW w:w="7938" w:type="dxa"/>
            <w:tcBorders>
              <w:top w:val="single" w:sz="18" w:space="0" w:color="auto"/>
              <w:left w:val="single" w:sz="4" w:space="0" w:color="auto"/>
              <w:bottom w:val="single" w:sz="4" w:space="0" w:color="auto"/>
              <w:right w:val="single" w:sz="18" w:space="0" w:color="auto"/>
            </w:tcBorders>
            <w:shd w:val="clear" w:color="auto" w:fill="auto"/>
          </w:tcPr>
          <w:p w:rsidR="003F5F02" w:rsidRDefault="003F5F02" w:rsidP="007D4794">
            <w:pPr>
              <w:spacing w:after="0" w:line="240" w:lineRule="auto"/>
              <w:jc w:val="both"/>
              <w:rPr>
                <w:rFonts w:ascii="Calibri" w:hAnsi="Calibri" w:cs="Calibri"/>
              </w:rPr>
            </w:pPr>
            <w:r>
              <w:rPr>
                <w:rFonts w:ascii="Calibri" w:hAnsi="Calibri" w:cs="Calibri"/>
              </w:rPr>
              <w:t>Systèmes d'assainissement autonomes - Unités de traitement intégrées préfabriquées - Exigences générales de performance et de sécurité pour la conception et les essais</w:t>
            </w:r>
            <w:r w:rsidR="007D4794">
              <w:rPr>
                <w:rFonts w:ascii="Calibri" w:hAnsi="Calibri" w:cs="Calibri"/>
              </w:rPr>
              <w:t xml:space="preserve"> </w:t>
            </w:r>
          </w:p>
        </w:tc>
      </w:tr>
      <w:tr w:rsidR="003F5F02" w:rsidRPr="0043547B" w:rsidTr="007D4794">
        <w:trPr>
          <w:trHeight w:val="900"/>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3F5F02" w:rsidRDefault="003F5F02" w:rsidP="007D4794">
            <w:pPr>
              <w:spacing w:after="0" w:line="240" w:lineRule="auto"/>
              <w:jc w:val="center"/>
              <w:rPr>
                <w:rFonts w:ascii="Calibri" w:hAnsi="Calibri" w:cs="Calibri"/>
                <w:b/>
                <w:bCs/>
                <w:sz w:val="24"/>
                <w:szCs w:val="24"/>
              </w:rPr>
            </w:pPr>
            <w:r>
              <w:rPr>
                <w:rFonts w:ascii="Calibri" w:hAnsi="Calibri" w:cs="Calibri"/>
                <w:b/>
                <w:bCs/>
              </w:rPr>
              <w:t>Domaine d’application</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bottom"/>
          </w:tcPr>
          <w:p w:rsidR="00A76C14" w:rsidRDefault="003F5F02" w:rsidP="00A76C14">
            <w:pPr>
              <w:spacing w:after="0" w:line="240" w:lineRule="auto"/>
              <w:jc w:val="both"/>
              <w:rPr>
                <w:rFonts w:ascii="Calibri" w:hAnsi="Calibri" w:cs="Calibri"/>
              </w:rPr>
            </w:pPr>
            <w:r>
              <w:rPr>
                <w:rFonts w:ascii="Calibri" w:hAnsi="Calibri" w:cs="Calibri"/>
              </w:rPr>
              <w:t>Le présent document spécifie les exigences générales de performance et de sécurité pour la conception et les essais ainsi que les considérations de durabilité relatives aux systèmes d’assainissement autonomes (SAA). Pour les besoins du présent document, un SAA est une unité de traitement intégrée préfabriquée,</w:t>
            </w:r>
            <w:r w:rsidR="007D4794">
              <w:rPr>
                <w:rFonts w:ascii="Calibri" w:hAnsi="Calibri" w:cs="Calibri"/>
              </w:rPr>
              <w:t xml:space="preserve"> </w:t>
            </w:r>
            <w:r>
              <w:rPr>
                <w:rFonts w:ascii="Calibri" w:hAnsi="Calibri" w:cs="Calibri"/>
              </w:rPr>
              <w:t>comprenant des composants en amont (toilettes) et en aval (installation de traitement), qui a) collecte, transporte et traite entièrement les produits entrants spécifiques du système, pour permettre d’éliminer ou de réutiliser en toute sécurité les produits sortants solides, liquides et gazeux ainsi générés; et b) n’est pas raccordée à un réseau d’égouts ou de drainage.</w:t>
            </w:r>
            <w:r>
              <w:rPr>
                <w:rFonts w:ascii="Calibri" w:hAnsi="Calibri" w:cs="Calibri"/>
              </w:rPr>
              <w:br/>
              <w:t xml:space="preserve">Le présent document s’applique aux systèmes d’assainissement fabriqués soit sous forme d’un ensemble unique, soit sous forme d’un groupe de composants préfabriqués conçus pour être assemblés en un endroit donné, sans fabrication ni modification </w:t>
            </w:r>
            <w:r>
              <w:rPr>
                <w:rFonts w:ascii="Calibri" w:hAnsi="Calibri" w:cs="Calibri"/>
              </w:rPr>
              <w:lastRenderedPageBreak/>
              <w:t>supplémentaires ayant une influence sur la fonction du système. Le plan ou la surface (par exemple revêtement de sol, dalle de béton) sur laquelle est situé un SAA entièrement assemblé n’entre pas dans le domaine d’application du présent document. Le présent document ne s’applique pas aux systèmes d’assainissement construits in situ.</w:t>
            </w:r>
            <w:r>
              <w:rPr>
                <w:rFonts w:ascii="Calibri" w:hAnsi="Calibri" w:cs="Calibri"/>
              </w:rPr>
              <w:br/>
              <w:t>Le présent document couvre également les composants de l’interface aval des SAA qui sont conçus pour être intégrés à un ou plusieurs composants spécifiés de l’interface amont.</w:t>
            </w:r>
            <w:r>
              <w:rPr>
                <w:rFonts w:ascii="Calibri" w:hAnsi="Calibri" w:cs="Calibri"/>
              </w:rPr>
              <w:br/>
              <w:t>Bien que le présent document s’applique principalement au développement de systèmes d’assainissement</w:t>
            </w:r>
            <w:r w:rsidR="00A76C14">
              <w:rPr>
                <w:rFonts w:ascii="Calibri" w:hAnsi="Calibri" w:cs="Calibri"/>
              </w:rPr>
              <w:t xml:space="preserve"> </w:t>
            </w:r>
            <w:r>
              <w:rPr>
                <w:rFonts w:ascii="Calibri" w:hAnsi="Calibri" w:cs="Calibri"/>
              </w:rPr>
              <w:t>qui ne sont pas raccordés aux réseaux d’eau et d’électricité, il peut également être appliqué aux systèmes susceptibles d’utiliser des conduites d’eau et/ou une alimentation électrique.</w:t>
            </w:r>
          </w:p>
          <w:p w:rsidR="00A76C14" w:rsidRDefault="003F5F02" w:rsidP="00A76C14">
            <w:pPr>
              <w:spacing w:after="0" w:line="240" w:lineRule="auto"/>
              <w:jc w:val="both"/>
              <w:rPr>
                <w:rFonts w:ascii="Calibri" w:hAnsi="Calibri" w:cs="Calibri"/>
              </w:rPr>
            </w:pPr>
            <w:r>
              <w:rPr>
                <w:rFonts w:ascii="Calibri" w:hAnsi="Calibri" w:cs="Calibri"/>
              </w:rPr>
              <w:t xml:space="preserve">Le présent document définit les produits entrants de base pouvant être traités comme étant principalement des </w:t>
            </w:r>
            <w:r w:rsidR="00A76C14">
              <w:rPr>
                <w:rFonts w:ascii="Calibri" w:hAnsi="Calibri" w:cs="Calibri"/>
              </w:rPr>
              <w:t>excréta</w:t>
            </w:r>
            <w:r>
              <w:rPr>
                <w:rFonts w:ascii="Calibri" w:hAnsi="Calibri" w:cs="Calibri"/>
              </w:rPr>
              <w:t xml:space="preserve"> humains, et propose des solutions pour élargir la gamme des substances entrantes. Les exigences relatives à la qualité des produits sortant du système d’assainissement sont énoncées pour l’évacuation des solides et des liquides ainsi que pour les émissions d’odeurs, les émissions atmosphériques et les émissions de bruits.</w:t>
            </w:r>
          </w:p>
          <w:p w:rsidR="00A76C14" w:rsidRDefault="003F5F02" w:rsidP="00A76C14">
            <w:pPr>
              <w:spacing w:after="0" w:line="240" w:lineRule="auto"/>
              <w:jc w:val="both"/>
              <w:rPr>
                <w:rFonts w:ascii="Calibri" w:hAnsi="Calibri" w:cs="Calibri"/>
              </w:rPr>
            </w:pPr>
            <w:r>
              <w:rPr>
                <w:rFonts w:ascii="Calibri" w:hAnsi="Calibri" w:cs="Calibri"/>
              </w:rPr>
              <w:t>Il contient les critères concernant la sécurité, la fonctionnalité, la facilité d’utilisation, la fiabilité et la facilité d’entretien du système, ainsi que sa compatibilité avec les objectifs de protection de l’environnement.</w:t>
            </w:r>
          </w:p>
          <w:p w:rsidR="00A76C14" w:rsidRDefault="003F5F02" w:rsidP="00A76C14">
            <w:pPr>
              <w:spacing w:after="0" w:line="240" w:lineRule="auto"/>
              <w:jc w:val="both"/>
              <w:rPr>
                <w:rFonts w:ascii="Calibri" w:hAnsi="Calibri" w:cs="Calibri"/>
              </w:rPr>
            </w:pPr>
            <w:r>
              <w:rPr>
                <w:rFonts w:ascii="Calibri" w:hAnsi="Calibri" w:cs="Calibri"/>
              </w:rPr>
              <w:t>Le présent document ne couvre pas les aspects suivants</w:t>
            </w:r>
            <w:r w:rsidR="00A76C14">
              <w:rPr>
                <w:rFonts w:ascii="Calibri" w:hAnsi="Calibri" w:cs="Calibri"/>
              </w:rPr>
              <w:t xml:space="preserve"> </w:t>
            </w:r>
            <w:r>
              <w:rPr>
                <w:rFonts w:ascii="Calibri" w:hAnsi="Calibri" w:cs="Calibri"/>
              </w:rPr>
              <w:t>:</w:t>
            </w:r>
          </w:p>
          <w:p w:rsidR="00A76C14" w:rsidRDefault="003F5F02" w:rsidP="00A76C14">
            <w:pPr>
              <w:spacing w:after="0" w:line="240" w:lineRule="auto"/>
              <w:jc w:val="both"/>
              <w:rPr>
                <w:rFonts w:ascii="Calibri" w:hAnsi="Calibri" w:cs="Calibri"/>
              </w:rPr>
            </w:pPr>
            <w:r>
              <w:rPr>
                <w:rFonts w:ascii="Calibri" w:hAnsi="Calibri" w:cs="Calibri"/>
              </w:rPr>
              <w:t>— les lignes directrices pour la sélection, l’installation, l’exploitation et la maintenance, et la gestion des systèmes d’assainissement</w:t>
            </w:r>
            <w:r w:rsidR="00A76C14">
              <w:rPr>
                <w:rFonts w:ascii="Calibri" w:hAnsi="Calibri" w:cs="Calibri"/>
              </w:rPr>
              <w:t xml:space="preserve"> </w:t>
            </w:r>
            <w:r>
              <w:rPr>
                <w:rFonts w:ascii="Calibri" w:hAnsi="Calibri" w:cs="Calibri"/>
              </w:rPr>
              <w:t>;</w:t>
            </w:r>
          </w:p>
          <w:p w:rsidR="00A76C14" w:rsidRDefault="003F5F02" w:rsidP="00A76C14">
            <w:pPr>
              <w:spacing w:after="0" w:line="240" w:lineRule="auto"/>
              <w:jc w:val="both"/>
              <w:rPr>
                <w:rFonts w:ascii="Calibri" w:hAnsi="Calibri" w:cs="Calibri"/>
              </w:rPr>
            </w:pPr>
            <w:r>
              <w:rPr>
                <w:rFonts w:ascii="Calibri" w:hAnsi="Calibri" w:cs="Calibri"/>
              </w:rPr>
              <w:t>— le transport des produits sortants traités en dehors du système d’assainissement (par exemple</w:t>
            </w:r>
            <w:r>
              <w:rPr>
                <w:rFonts w:ascii="Calibri" w:hAnsi="Calibri" w:cs="Calibri"/>
              </w:rPr>
              <w:br/>
              <w:t>transport manuel, transport par camion ou tuyauterie) en vue d’une transformation, d’une réutilisation ou d’une élimination ultérieures</w:t>
            </w:r>
            <w:r w:rsidR="00A76C14">
              <w:rPr>
                <w:rFonts w:ascii="Calibri" w:hAnsi="Calibri" w:cs="Calibri"/>
              </w:rPr>
              <w:t xml:space="preserve"> </w:t>
            </w:r>
            <w:r>
              <w:rPr>
                <w:rFonts w:ascii="Calibri" w:hAnsi="Calibri" w:cs="Calibri"/>
              </w:rPr>
              <w:t>;</w:t>
            </w:r>
          </w:p>
          <w:p w:rsidR="00A76C14" w:rsidRDefault="003F5F02" w:rsidP="00A76C14">
            <w:pPr>
              <w:spacing w:after="0" w:line="240" w:lineRule="auto"/>
              <w:jc w:val="both"/>
              <w:rPr>
                <w:rFonts w:ascii="Calibri" w:hAnsi="Calibri" w:cs="Calibri"/>
              </w:rPr>
            </w:pPr>
            <w:r>
              <w:rPr>
                <w:rFonts w:ascii="Calibri" w:hAnsi="Calibri" w:cs="Calibri"/>
              </w:rPr>
              <w:t>— les processus de traitement réalisés sur un autre site que celui des composants des interfaces amont et aval</w:t>
            </w:r>
            <w:r w:rsidR="00A76C14">
              <w:rPr>
                <w:rFonts w:ascii="Calibri" w:hAnsi="Calibri" w:cs="Calibri"/>
              </w:rPr>
              <w:t xml:space="preserve"> </w:t>
            </w:r>
            <w:r>
              <w:rPr>
                <w:rFonts w:ascii="Calibri" w:hAnsi="Calibri" w:cs="Calibri"/>
              </w:rPr>
              <w:t>;</w:t>
            </w:r>
          </w:p>
          <w:p w:rsidR="003F5F02" w:rsidRDefault="003F5F02" w:rsidP="00A76C14">
            <w:pPr>
              <w:spacing w:after="0" w:line="240" w:lineRule="auto"/>
              <w:jc w:val="both"/>
              <w:rPr>
                <w:rFonts w:ascii="Calibri" w:hAnsi="Calibri" w:cs="Calibri"/>
              </w:rPr>
            </w:pPr>
            <w:r>
              <w:rPr>
                <w:rFonts w:ascii="Calibri" w:hAnsi="Calibri" w:cs="Calibri"/>
              </w:rPr>
              <w:t>— la réutilisation et l’élimination des produits sortants du système d’assainissement.</w:t>
            </w:r>
          </w:p>
        </w:tc>
      </w:tr>
      <w:tr w:rsidR="0043547B" w:rsidRPr="0043547B" w:rsidTr="00CB5DC0">
        <w:trPr>
          <w:trHeight w:val="330"/>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noWrap/>
            <w:vAlign w:val="bottom"/>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3633</w:t>
            </w:r>
          </w:p>
        </w:tc>
      </w:tr>
      <w:tr w:rsidR="0043547B" w:rsidRPr="0043547B" w:rsidTr="00CB5DC0">
        <w:trPr>
          <w:trHeight w:val="330"/>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noWrap/>
            <w:vAlign w:val="bottom"/>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3633</w:t>
            </w:r>
          </w:p>
        </w:tc>
      </w:tr>
      <w:tr w:rsidR="0043547B" w:rsidRPr="0043547B" w:rsidTr="00A76C14">
        <w:trPr>
          <w:trHeight w:val="784"/>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vAlign w:val="bottom"/>
            <w:hideMark/>
          </w:tcPr>
          <w:p w:rsidR="00904E52" w:rsidRPr="00A76C14" w:rsidRDefault="00904E52" w:rsidP="00904E52">
            <w:pPr>
              <w:spacing w:after="0" w:line="240" w:lineRule="auto"/>
              <w:jc w:val="both"/>
              <w:rPr>
                <w:rFonts w:eastAsia="Times New Roman" w:cstheme="minorHAnsi"/>
                <w:lang w:eastAsia="fr-FR"/>
              </w:rPr>
            </w:pPr>
            <w:r w:rsidRPr="00A76C14">
              <w:rPr>
                <w:rFonts w:eastAsia="Times New Roman" w:cstheme="minorHAnsi"/>
                <w:lang w:eastAsia="fr-FR"/>
              </w:rPr>
              <w:t>Systèmes de canalisations en plastique pour l'évacuation des eaux-vannes et des eaux usées (à basse et à haute température) à l'intérieur des bâtiments — Poly(chlorure de vinyle) non plastifié (PVC-U) </w:t>
            </w:r>
          </w:p>
        </w:tc>
      </w:tr>
      <w:tr w:rsidR="0043547B" w:rsidRPr="0043547B" w:rsidTr="00CB5DC0">
        <w:trPr>
          <w:trHeight w:val="843"/>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hideMark/>
          </w:tcPr>
          <w:p w:rsidR="00904E52" w:rsidRPr="00A76C14" w:rsidRDefault="00904E52" w:rsidP="00904E52">
            <w:pPr>
              <w:spacing w:after="0" w:line="240" w:lineRule="auto"/>
              <w:jc w:val="both"/>
              <w:rPr>
                <w:rFonts w:eastAsia="Times New Roman" w:cstheme="minorHAnsi"/>
                <w:lang w:eastAsia="fr-FR"/>
              </w:rPr>
            </w:pPr>
            <w:r w:rsidRPr="00A76C14">
              <w:rPr>
                <w:rFonts w:eastAsia="Times New Roman" w:cstheme="minorHAnsi"/>
                <w:lang w:eastAsia="fr-FR"/>
              </w:rPr>
              <w:t>La norme spécifie les exigences pour les tubes, les raccords et le système fabriqués à partir de poly(chlorure de vinyle) non plastifié (PVC-U), destinés à être utilisés pour l'évacuation des eaux-vannes et des eaux usées (à basse et à haute température) à l'intérieur des bâtiments. Elle ne couvre pas les systèmes de canalisations enterrés.</w:t>
            </w:r>
          </w:p>
          <w:p w:rsidR="00904E52" w:rsidRPr="00A76C14" w:rsidRDefault="00904E52" w:rsidP="00D87E10">
            <w:pPr>
              <w:spacing w:after="0" w:line="240" w:lineRule="auto"/>
              <w:jc w:val="both"/>
              <w:rPr>
                <w:rFonts w:eastAsia="Times New Roman" w:cstheme="minorHAnsi"/>
                <w:lang w:eastAsia="fr-FR"/>
              </w:rPr>
            </w:pPr>
            <w:r w:rsidRPr="00A76C14">
              <w:rPr>
                <w:rFonts w:eastAsia="Times New Roman" w:cstheme="minorHAnsi"/>
                <w:lang w:eastAsia="fr-FR"/>
              </w:rPr>
              <w:t>Elle spécifie également les paramètres d'essai pour les méthodes d'essai référencées dans La norme.</w:t>
            </w:r>
            <w:r w:rsidR="00D87E10" w:rsidRPr="00A76C14">
              <w:rPr>
                <w:rFonts w:eastAsia="Times New Roman" w:cstheme="minorHAnsi"/>
                <w:lang w:eastAsia="fr-FR"/>
              </w:rPr>
              <w:t xml:space="preserve"> </w:t>
            </w:r>
            <w:r w:rsidRPr="00A76C14">
              <w:rPr>
                <w:rFonts w:eastAsia="Times New Roman" w:cstheme="minorHAnsi"/>
                <w:lang w:eastAsia="fr-FR"/>
              </w:rPr>
              <w:t>La norme s'applique aux tubes et aux raccords en PVC-U, à leurs assemblages destinés à être utilisés pour les usages suivants :</w:t>
            </w:r>
          </w:p>
          <w:p w:rsidR="00904E52" w:rsidRPr="00A76C14" w:rsidRDefault="00904E52" w:rsidP="00360635">
            <w:pPr>
              <w:pStyle w:val="Paragraphedeliste"/>
              <w:numPr>
                <w:ilvl w:val="0"/>
                <w:numId w:val="18"/>
              </w:numPr>
              <w:spacing w:after="0" w:line="240" w:lineRule="auto"/>
              <w:ind w:left="337"/>
              <w:jc w:val="both"/>
              <w:rPr>
                <w:rFonts w:eastAsia="Times New Roman" w:cstheme="minorHAnsi"/>
                <w:lang w:eastAsia="fr-FR"/>
              </w:rPr>
            </w:pPr>
            <w:r w:rsidRPr="00A76C14">
              <w:rPr>
                <w:rFonts w:eastAsia="Times New Roman" w:cstheme="minorHAnsi"/>
                <w:lang w:eastAsia="fr-FR"/>
              </w:rPr>
              <w:t>canalisations pour l'évacuation des eaux-vannes et des eaux usées pour le transport des eaux usées domestiques (à basse et à haute température) ;</w:t>
            </w:r>
          </w:p>
          <w:p w:rsidR="00904E52" w:rsidRPr="00A76C14" w:rsidRDefault="00904E52" w:rsidP="00360635">
            <w:pPr>
              <w:pStyle w:val="Paragraphedeliste"/>
              <w:numPr>
                <w:ilvl w:val="0"/>
                <w:numId w:val="18"/>
              </w:numPr>
              <w:spacing w:after="0" w:line="240" w:lineRule="auto"/>
              <w:ind w:left="337"/>
              <w:jc w:val="both"/>
              <w:rPr>
                <w:rFonts w:eastAsia="Times New Roman" w:cstheme="minorHAnsi"/>
                <w:lang w:eastAsia="fr-FR"/>
              </w:rPr>
            </w:pPr>
            <w:r w:rsidRPr="00A76C14">
              <w:rPr>
                <w:rFonts w:eastAsia="Times New Roman" w:cstheme="minorHAnsi"/>
                <w:lang w:eastAsia="fr-FR"/>
              </w:rPr>
              <w:t>canalisations de ventilation associées à celles de a) ;</w:t>
            </w:r>
          </w:p>
          <w:p w:rsidR="00904E52" w:rsidRPr="00A76C14" w:rsidRDefault="00904E52" w:rsidP="00360635">
            <w:pPr>
              <w:pStyle w:val="Paragraphedeliste"/>
              <w:numPr>
                <w:ilvl w:val="0"/>
                <w:numId w:val="18"/>
              </w:numPr>
              <w:spacing w:after="0" w:line="240" w:lineRule="auto"/>
              <w:ind w:left="337"/>
              <w:jc w:val="both"/>
              <w:rPr>
                <w:rFonts w:eastAsia="Times New Roman" w:cstheme="minorHAnsi"/>
                <w:lang w:eastAsia="fr-FR"/>
              </w:rPr>
            </w:pPr>
            <w:r w:rsidRPr="00A76C14">
              <w:rPr>
                <w:rFonts w:eastAsia="Times New Roman" w:cstheme="minorHAnsi"/>
                <w:lang w:eastAsia="fr-FR"/>
              </w:rPr>
              <w:t>canalisations pour les eaux pluviales à l'intérieur de la structure du bâtiment.</w:t>
            </w:r>
          </w:p>
          <w:p w:rsidR="00904E52" w:rsidRPr="00A76C14" w:rsidRDefault="00904E52" w:rsidP="00904E52">
            <w:pPr>
              <w:spacing w:after="0" w:line="240" w:lineRule="auto"/>
              <w:jc w:val="both"/>
              <w:rPr>
                <w:rFonts w:eastAsia="Times New Roman" w:cstheme="minorHAnsi"/>
                <w:lang w:eastAsia="fr-FR"/>
              </w:rPr>
            </w:pPr>
            <w:r w:rsidRPr="00A76C14">
              <w:rPr>
                <w:rFonts w:eastAsia="Times New Roman" w:cstheme="minorHAnsi"/>
                <w:lang w:eastAsia="fr-FR"/>
              </w:rPr>
              <w:t>La norme ne couvre pas les exigences relatives à la valeur K de la matière de base.</w:t>
            </w:r>
          </w:p>
        </w:tc>
      </w:tr>
      <w:tr w:rsidR="0043547B" w:rsidRPr="0043547B" w:rsidTr="00CB5DC0">
        <w:trPr>
          <w:trHeight w:val="330"/>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noWrap/>
            <w:vAlign w:val="bottom"/>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7675</w:t>
            </w:r>
          </w:p>
        </w:tc>
      </w:tr>
      <w:tr w:rsidR="0043547B" w:rsidRPr="0043547B" w:rsidTr="00CB5DC0">
        <w:trPr>
          <w:trHeight w:val="330"/>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noWrap/>
            <w:vAlign w:val="bottom"/>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7675</w:t>
            </w:r>
          </w:p>
        </w:tc>
      </w:tr>
      <w:tr w:rsidR="0043547B" w:rsidRPr="0043547B" w:rsidTr="00CB5DC0">
        <w:trPr>
          <w:trHeight w:val="6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vAlign w:val="bottom"/>
            <w:hideMark/>
          </w:tcPr>
          <w:p w:rsidR="00904E52" w:rsidRPr="00A76C14" w:rsidRDefault="00904E52" w:rsidP="00A76C14">
            <w:pPr>
              <w:spacing w:after="0" w:line="240" w:lineRule="auto"/>
              <w:jc w:val="both"/>
              <w:rPr>
                <w:rFonts w:eastAsia="Times New Roman" w:cstheme="minorHAnsi"/>
                <w:lang w:eastAsia="fr-FR"/>
              </w:rPr>
            </w:pPr>
            <w:r w:rsidRPr="00A76C14">
              <w:rPr>
                <w:rFonts w:eastAsia="Times New Roman" w:cstheme="minorHAnsi"/>
                <w:lang w:eastAsia="fr-FR"/>
              </w:rPr>
              <w:t>Systèmes de canalisations en plastique pour l'évacuation des eaux-vannes et des eaux usées (à basse et à haute température) à l'intérieur des bâtiments — Poly(chlorure de vinyle) chloré (PVC-C) </w:t>
            </w:r>
          </w:p>
        </w:tc>
      </w:tr>
      <w:tr w:rsidR="0043547B" w:rsidRPr="0043547B" w:rsidTr="00EE3018">
        <w:trPr>
          <w:trHeight w:val="1268"/>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Domaine d’application :</w:t>
            </w:r>
          </w:p>
        </w:tc>
        <w:tc>
          <w:tcPr>
            <w:tcW w:w="7938" w:type="dxa"/>
            <w:tcBorders>
              <w:left w:val="single" w:sz="4" w:space="0" w:color="auto"/>
              <w:bottom w:val="single" w:sz="18" w:space="0" w:color="auto"/>
              <w:right w:val="single" w:sz="18" w:space="0" w:color="auto"/>
            </w:tcBorders>
            <w:shd w:val="clear" w:color="auto" w:fill="auto"/>
            <w:hideMark/>
          </w:tcPr>
          <w:p w:rsidR="00904E52" w:rsidRPr="00A76C14" w:rsidRDefault="00904E52" w:rsidP="00A76C14">
            <w:pPr>
              <w:spacing w:after="0" w:line="240" w:lineRule="auto"/>
              <w:jc w:val="both"/>
              <w:rPr>
                <w:rFonts w:eastAsia="Times New Roman" w:cstheme="minorHAnsi"/>
                <w:lang w:eastAsia="fr-FR"/>
              </w:rPr>
            </w:pPr>
            <w:r w:rsidRPr="00A76C14">
              <w:rPr>
                <w:rFonts w:eastAsia="Times New Roman" w:cstheme="minorHAnsi"/>
                <w:lang w:eastAsia="fr-FR"/>
              </w:rPr>
              <w:t>La norme spécifie les exigences pour les tubes, les raccords et le système fabriqués à partir de poly(chlorure de vinyle) chloré (PVC-C), destinés à être utilisés pour l'évacuation des eaux-vannes et des eaux usées (à basse et à haute température) à l'intérieur des bâtiments. Elle ne couvre pas les systèmes de canalisations enterrés.</w:t>
            </w:r>
          </w:p>
          <w:p w:rsidR="00EE3018" w:rsidRPr="00A76C14" w:rsidRDefault="00EE3018" w:rsidP="00A76C14">
            <w:pPr>
              <w:spacing w:after="0" w:line="240" w:lineRule="auto"/>
              <w:jc w:val="both"/>
              <w:rPr>
                <w:rFonts w:eastAsia="Times New Roman" w:cstheme="minorHAnsi"/>
                <w:lang w:eastAsia="fr-FR"/>
              </w:rPr>
            </w:pPr>
            <w:r w:rsidRPr="00A76C14">
              <w:rPr>
                <w:rFonts w:eastAsia="Times New Roman" w:cstheme="minorHAnsi"/>
                <w:lang w:eastAsia="fr-FR"/>
              </w:rPr>
              <w:t>Elle spécifie également les paramètres d'essai pour les méthodes d'essai référencées dans La norme.</w:t>
            </w:r>
          </w:p>
          <w:p w:rsidR="00EE3018" w:rsidRPr="00A76C14" w:rsidRDefault="00EE3018" w:rsidP="00A76C14">
            <w:pPr>
              <w:spacing w:after="0" w:line="240" w:lineRule="auto"/>
              <w:jc w:val="both"/>
              <w:rPr>
                <w:rFonts w:eastAsia="Times New Roman" w:cstheme="minorHAnsi"/>
                <w:lang w:eastAsia="fr-FR"/>
              </w:rPr>
            </w:pPr>
            <w:r w:rsidRPr="00A76C14">
              <w:rPr>
                <w:rFonts w:eastAsia="Times New Roman" w:cstheme="minorHAnsi"/>
                <w:lang w:eastAsia="fr-FR"/>
              </w:rPr>
              <w:t>La norme s'applique aux tubes et aux raccords en PVC-C, à leurs assemblages destinés à être utilisés pour les usages suivants :</w:t>
            </w:r>
          </w:p>
          <w:p w:rsidR="00EE3018" w:rsidRPr="00A76C14" w:rsidRDefault="00EE3018" w:rsidP="00A76C14">
            <w:pPr>
              <w:pStyle w:val="Paragraphedeliste"/>
              <w:numPr>
                <w:ilvl w:val="0"/>
                <w:numId w:val="19"/>
              </w:numPr>
              <w:spacing w:after="0" w:line="240" w:lineRule="auto"/>
              <w:ind w:left="337"/>
              <w:jc w:val="both"/>
              <w:rPr>
                <w:rFonts w:eastAsia="Times New Roman" w:cstheme="minorHAnsi"/>
                <w:lang w:eastAsia="fr-FR"/>
              </w:rPr>
            </w:pPr>
            <w:r w:rsidRPr="00A76C14">
              <w:rPr>
                <w:rFonts w:eastAsia="Times New Roman" w:cstheme="minorHAnsi"/>
                <w:lang w:eastAsia="fr-FR"/>
              </w:rPr>
              <w:t>canalisations pour l'évacuation des eaux-vannes et des eaux usées pour le transport des eaux usées domestiques (à basse et à haute température) ;</w:t>
            </w:r>
          </w:p>
          <w:p w:rsidR="00EE3018" w:rsidRPr="00A76C14" w:rsidRDefault="00EE3018" w:rsidP="00A76C14">
            <w:pPr>
              <w:pStyle w:val="Paragraphedeliste"/>
              <w:numPr>
                <w:ilvl w:val="0"/>
                <w:numId w:val="19"/>
              </w:numPr>
              <w:spacing w:after="0" w:line="240" w:lineRule="auto"/>
              <w:ind w:left="337"/>
              <w:jc w:val="both"/>
              <w:rPr>
                <w:rFonts w:eastAsia="Times New Roman" w:cstheme="minorHAnsi"/>
                <w:lang w:eastAsia="fr-FR"/>
              </w:rPr>
            </w:pPr>
            <w:r w:rsidRPr="00A76C14">
              <w:rPr>
                <w:rFonts w:eastAsia="Times New Roman" w:cstheme="minorHAnsi"/>
                <w:lang w:eastAsia="fr-FR"/>
              </w:rPr>
              <w:t>canalisations de ventilation associées à celles de a) ;</w:t>
            </w:r>
          </w:p>
          <w:p w:rsidR="00EE3018" w:rsidRPr="00A76C14" w:rsidRDefault="00EE3018" w:rsidP="00A76C14">
            <w:pPr>
              <w:pStyle w:val="Paragraphedeliste"/>
              <w:numPr>
                <w:ilvl w:val="0"/>
                <w:numId w:val="19"/>
              </w:numPr>
              <w:spacing w:after="0" w:line="240" w:lineRule="auto"/>
              <w:ind w:left="337"/>
              <w:jc w:val="both"/>
              <w:rPr>
                <w:rFonts w:eastAsia="Times New Roman" w:cstheme="minorHAnsi"/>
                <w:lang w:eastAsia="fr-FR"/>
              </w:rPr>
            </w:pPr>
            <w:r w:rsidRPr="00A76C14">
              <w:rPr>
                <w:rFonts w:eastAsia="Times New Roman" w:cstheme="minorHAnsi"/>
                <w:lang w:eastAsia="fr-FR"/>
              </w:rPr>
              <w:t>canalisations pour les eaux pluviales à l'intérieur de la structure du bâtiment.</w:t>
            </w:r>
          </w:p>
          <w:p w:rsidR="00904E52" w:rsidRPr="00A76C14" w:rsidRDefault="00EE3018" w:rsidP="00A76C14">
            <w:pPr>
              <w:spacing w:after="0" w:line="240" w:lineRule="auto"/>
              <w:jc w:val="both"/>
              <w:rPr>
                <w:rFonts w:eastAsia="Times New Roman" w:cstheme="minorHAnsi"/>
                <w:lang w:eastAsia="fr-FR"/>
              </w:rPr>
            </w:pPr>
            <w:r w:rsidRPr="00A76C14">
              <w:rPr>
                <w:rFonts w:eastAsia="Times New Roman" w:cstheme="minorHAnsi"/>
                <w:lang w:eastAsia="fr-FR"/>
              </w:rPr>
              <w:t>La norme s’applique aux tubes et aux raccords prévus pour être assemblés, au moyen de bagues d’étanchéité en élastomère, par collage ou par des emboîtures à double usage intégrées, c’est-à-dire pour des assemblages à bagues d’étanchéité et/ou des assemblages à coller.</w:t>
            </w:r>
          </w:p>
        </w:tc>
      </w:tr>
      <w:tr w:rsidR="0043547B" w:rsidRPr="0043547B" w:rsidTr="00CB5DC0">
        <w:trPr>
          <w:trHeight w:val="330"/>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noWrap/>
            <w:vAlign w:val="bottom"/>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10.4.263</w:t>
            </w:r>
          </w:p>
        </w:tc>
      </w:tr>
      <w:tr w:rsidR="0043547B" w:rsidRPr="0043547B" w:rsidTr="00CB5DC0">
        <w:trPr>
          <w:trHeight w:val="61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auto" w:fill="auto"/>
            <w:hideMark/>
          </w:tcPr>
          <w:p w:rsidR="00904E52" w:rsidRPr="00A76C14" w:rsidRDefault="00904E52" w:rsidP="00904E52">
            <w:pPr>
              <w:spacing w:after="0" w:line="240" w:lineRule="auto"/>
              <w:jc w:val="both"/>
              <w:rPr>
                <w:rFonts w:eastAsia="Times New Roman" w:cstheme="minorHAnsi"/>
                <w:lang w:eastAsia="fr-FR"/>
              </w:rPr>
            </w:pPr>
            <w:r w:rsidRPr="00A76C14">
              <w:rPr>
                <w:rFonts w:eastAsia="Times New Roman" w:cstheme="minorHAnsi"/>
                <w:lang w:eastAsia="fr-FR"/>
              </w:rPr>
              <w:t>Dispositifs d’évacuation des eaux des cours et des bâtiments - Dispositifs de couronnement dont la cote de passage est inférieure à 200 millimètres – Siphons de sol - Caractéristiques – Dimensions – Essais</w:t>
            </w:r>
          </w:p>
        </w:tc>
      </w:tr>
      <w:tr w:rsidR="0043547B" w:rsidRPr="0043547B" w:rsidTr="00CB5DC0">
        <w:trPr>
          <w:trHeight w:val="1453"/>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hideMark/>
          </w:tcPr>
          <w:p w:rsidR="00904E52" w:rsidRPr="00A76C14" w:rsidRDefault="00904E52" w:rsidP="00904E52">
            <w:pPr>
              <w:spacing w:after="0" w:line="240" w:lineRule="auto"/>
              <w:jc w:val="both"/>
              <w:rPr>
                <w:rFonts w:eastAsia="Times New Roman" w:cstheme="minorHAnsi"/>
                <w:lang w:eastAsia="fr-FR"/>
              </w:rPr>
            </w:pPr>
            <w:r w:rsidRPr="00A76C14">
              <w:rPr>
                <w:rFonts w:eastAsia="Times New Roman" w:cstheme="minorHAnsi"/>
                <w:lang w:eastAsia="fr-FR"/>
              </w:rPr>
              <w:t>La norme a pour objet de fixer les caractéristiques de fabrication, les caractéristiques mécaniques et dimensionnelles (et les caractéristiques hydrauliques pour les siphons de sol), ainsi que la technique des essais réalisés pour le contrôle des dispositifs de couronnement à cadres carrés et grilles carrées, des grilles et siphons de sol sur caniveaux dont la cote de passage est inférieure à 200 mm.</w:t>
            </w:r>
          </w:p>
        </w:tc>
      </w:tr>
      <w:tr w:rsidR="0043547B" w:rsidRPr="0043547B" w:rsidTr="00CB5DC0">
        <w:trPr>
          <w:trHeight w:val="330"/>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noWrap/>
            <w:vAlign w:val="bottom"/>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10.4.264</w:t>
            </w:r>
          </w:p>
        </w:tc>
      </w:tr>
      <w:tr w:rsidR="0043547B" w:rsidRPr="0043547B" w:rsidTr="00CB5DC0">
        <w:trPr>
          <w:trHeight w:val="848"/>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vAlign w:val="bottom"/>
            <w:hideMark/>
          </w:tcPr>
          <w:p w:rsidR="00904E52" w:rsidRPr="00A76C14" w:rsidRDefault="00904E52" w:rsidP="00904E52">
            <w:pPr>
              <w:spacing w:after="0" w:line="240" w:lineRule="auto"/>
              <w:jc w:val="both"/>
              <w:rPr>
                <w:rFonts w:eastAsia="Times New Roman" w:cstheme="minorHAnsi"/>
                <w:lang w:eastAsia="fr-FR"/>
              </w:rPr>
            </w:pPr>
            <w:r w:rsidRPr="00A76C14">
              <w:rPr>
                <w:rFonts w:eastAsia="Times New Roman" w:cstheme="minorHAnsi"/>
                <w:lang w:eastAsia="fr-FR"/>
              </w:rPr>
              <w:t>Dispositifs d’évacuation des eaux des cours et des bâtiments – Dispositifs de couronnement et de fermeture dont la côte de passage est égale ou supérieure à 200 millimètres – Caractéristiques – Dimensions – Essais </w:t>
            </w:r>
          </w:p>
        </w:tc>
      </w:tr>
      <w:tr w:rsidR="0043547B" w:rsidRPr="0043547B" w:rsidTr="00CB5DC0">
        <w:trPr>
          <w:trHeight w:val="1082"/>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hideMark/>
          </w:tcPr>
          <w:p w:rsidR="00904E52" w:rsidRPr="00A76C14" w:rsidRDefault="00904E52" w:rsidP="00C866C2">
            <w:pPr>
              <w:spacing w:after="0" w:line="240" w:lineRule="auto"/>
              <w:jc w:val="lowKashida"/>
              <w:rPr>
                <w:rFonts w:eastAsia="Times New Roman" w:cstheme="minorHAnsi"/>
                <w:lang w:eastAsia="fr-FR"/>
              </w:rPr>
            </w:pPr>
            <w:r w:rsidRPr="00A76C14">
              <w:rPr>
                <w:rFonts w:eastAsia="Times New Roman" w:cstheme="minorHAnsi"/>
                <w:lang w:eastAsia="fr-FR"/>
              </w:rPr>
              <w:t>La norme a pour objet de fixer les caractéristiques de fabrication, les caractéristiques mécaniques et dimensionnelles ainsi que la technique des essais réalisés pour le contrôle des dispositifs de couronnement et de fermeture, dont la cote de passage est supérieure à 200 mm.</w:t>
            </w:r>
          </w:p>
        </w:tc>
      </w:tr>
      <w:tr w:rsidR="0043547B" w:rsidRPr="0043547B" w:rsidTr="00CB5DC0">
        <w:trPr>
          <w:trHeight w:val="330"/>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noWrap/>
            <w:vAlign w:val="bottom"/>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7858-1</w:t>
            </w:r>
          </w:p>
        </w:tc>
      </w:tr>
      <w:tr w:rsidR="0043547B" w:rsidRPr="0043547B" w:rsidTr="00CB5DC0">
        <w:trPr>
          <w:trHeight w:val="330"/>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noWrap/>
            <w:vAlign w:val="bottom"/>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7858-1</w:t>
            </w:r>
          </w:p>
        </w:tc>
      </w:tr>
      <w:tr w:rsidR="0043547B" w:rsidRPr="0043547B" w:rsidTr="00CB5DC0">
        <w:trPr>
          <w:trHeight w:val="49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vAlign w:val="bottom"/>
            <w:hideMark/>
          </w:tcPr>
          <w:p w:rsidR="00904E52" w:rsidRPr="00A76C14" w:rsidRDefault="00904E52" w:rsidP="00904E52">
            <w:pPr>
              <w:spacing w:after="0" w:line="240" w:lineRule="auto"/>
              <w:jc w:val="both"/>
              <w:rPr>
                <w:rFonts w:eastAsia="Times New Roman" w:cstheme="minorHAnsi"/>
                <w:lang w:eastAsia="fr-FR"/>
              </w:rPr>
            </w:pPr>
            <w:r w:rsidRPr="00A76C14">
              <w:rPr>
                <w:rFonts w:eastAsia="Times New Roman" w:cstheme="minorHAnsi"/>
                <w:lang w:eastAsia="fr-FR"/>
              </w:rPr>
              <w:t xml:space="preserve">Mesurage de débit d’eau dans les conduites fermées – Compteurs combinés d’eau potable froide – Partie 1 : Spécifications </w:t>
            </w:r>
          </w:p>
        </w:tc>
      </w:tr>
      <w:tr w:rsidR="0043547B" w:rsidRPr="0043547B" w:rsidTr="00CB5DC0">
        <w:trPr>
          <w:trHeight w:val="962"/>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hideMark/>
          </w:tcPr>
          <w:p w:rsidR="00904E52" w:rsidRPr="00A76C14" w:rsidRDefault="00904E52" w:rsidP="00904E52">
            <w:pPr>
              <w:spacing w:after="0" w:line="240" w:lineRule="auto"/>
              <w:jc w:val="both"/>
              <w:rPr>
                <w:rFonts w:eastAsia="Times New Roman" w:cstheme="minorHAnsi"/>
                <w:lang w:eastAsia="fr-FR"/>
              </w:rPr>
            </w:pPr>
            <w:r w:rsidRPr="00A76C14">
              <w:rPr>
                <w:rFonts w:eastAsia="Times New Roman" w:cstheme="minorHAnsi"/>
                <w:lang w:eastAsia="fr-FR"/>
              </w:rPr>
              <w:t>La partie de l'ISO 7858 définit les caractéristiques propres aux compteurs combinés, tels que décrits à l’article 4, pour le mesurage de débit d’eau potable froide dans les conduites fermées.</w:t>
            </w:r>
          </w:p>
        </w:tc>
      </w:tr>
      <w:tr w:rsidR="0043547B" w:rsidRPr="0043547B" w:rsidTr="00CB5DC0">
        <w:trPr>
          <w:trHeight w:val="330"/>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noWrap/>
            <w:vAlign w:val="bottom"/>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7858-2</w:t>
            </w:r>
          </w:p>
        </w:tc>
      </w:tr>
      <w:tr w:rsidR="0043547B" w:rsidRPr="0043547B" w:rsidTr="00CB5DC0">
        <w:trPr>
          <w:trHeight w:val="330"/>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noWrap/>
            <w:vAlign w:val="bottom"/>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7858-2</w:t>
            </w:r>
          </w:p>
        </w:tc>
      </w:tr>
      <w:tr w:rsidR="0043547B" w:rsidRPr="0043547B" w:rsidTr="00CB5DC0">
        <w:trPr>
          <w:trHeight w:val="6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vAlign w:val="bottom"/>
            <w:hideMark/>
          </w:tcPr>
          <w:p w:rsidR="00904E52" w:rsidRPr="00A76C14" w:rsidRDefault="00904E52" w:rsidP="00904E52">
            <w:pPr>
              <w:spacing w:after="0" w:line="240" w:lineRule="auto"/>
              <w:jc w:val="both"/>
              <w:rPr>
                <w:rFonts w:eastAsia="Times New Roman" w:cstheme="minorHAnsi"/>
                <w:lang w:eastAsia="fr-FR"/>
              </w:rPr>
            </w:pPr>
            <w:r w:rsidRPr="00A76C14">
              <w:rPr>
                <w:rFonts w:eastAsia="Times New Roman" w:cstheme="minorHAnsi"/>
                <w:lang w:eastAsia="fr-FR"/>
              </w:rPr>
              <w:t>Mesurage de débit d’eau dans les conduites fermées – Compteurs combinés d’eau potable froide – Partie 2 : Conditions d’installations</w:t>
            </w:r>
          </w:p>
        </w:tc>
      </w:tr>
      <w:tr w:rsidR="0043547B" w:rsidRPr="0043547B" w:rsidTr="00CB5DC0">
        <w:trPr>
          <w:trHeight w:val="561"/>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hideMark/>
          </w:tcPr>
          <w:p w:rsidR="00D87E10" w:rsidRPr="00A76C14" w:rsidRDefault="00904E52" w:rsidP="00904E52">
            <w:pPr>
              <w:spacing w:after="0" w:line="240" w:lineRule="auto"/>
              <w:jc w:val="both"/>
              <w:rPr>
                <w:rFonts w:eastAsia="Times New Roman" w:cstheme="minorHAnsi"/>
                <w:lang w:eastAsia="fr-FR"/>
              </w:rPr>
            </w:pPr>
            <w:r w:rsidRPr="00A76C14">
              <w:rPr>
                <w:rFonts w:eastAsia="Times New Roman" w:cstheme="minorHAnsi"/>
                <w:lang w:eastAsia="fr-FR"/>
              </w:rPr>
              <w:t>La partie de l'ISO 7858 spécifie les critères pour la sélection des compteurs combinés d'eau froide et de leurs équipements de raccordement, ainsi que pour l'installation et la mise en service des compteurs neufs ou réparés, en vue de garantir l'exactitude et la constance du mesurage et la lecture sûre des indications du compteur.</w:t>
            </w:r>
          </w:p>
          <w:p w:rsidR="00904E52" w:rsidRPr="00A76C14" w:rsidRDefault="00904E52" w:rsidP="00904E52">
            <w:pPr>
              <w:spacing w:after="0" w:line="240" w:lineRule="auto"/>
              <w:jc w:val="both"/>
              <w:rPr>
                <w:rFonts w:eastAsia="Times New Roman" w:cstheme="minorHAnsi"/>
                <w:lang w:eastAsia="fr-FR"/>
              </w:rPr>
            </w:pPr>
            <w:r w:rsidRPr="00A76C14">
              <w:rPr>
                <w:rFonts w:eastAsia="Times New Roman" w:cstheme="minorHAnsi"/>
                <w:lang w:eastAsia="fr-FR"/>
              </w:rPr>
              <w:t xml:space="preserve">Le domaine d'application est celui défini dans l'ISO 7858-1. </w:t>
            </w:r>
          </w:p>
          <w:p w:rsidR="00904E52" w:rsidRPr="00A76C14" w:rsidRDefault="00904E52" w:rsidP="00904E52">
            <w:pPr>
              <w:spacing w:after="0" w:line="240" w:lineRule="auto"/>
              <w:jc w:val="both"/>
              <w:rPr>
                <w:rFonts w:eastAsia="Times New Roman" w:cstheme="minorHAnsi"/>
                <w:lang w:eastAsia="fr-FR"/>
              </w:rPr>
            </w:pPr>
            <w:r w:rsidRPr="00A76C14">
              <w:rPr>
                <w:rFonts w:eastAsia="Times New Roman" w:cstheme="minorHAnsi"/>
                <w:lang w:eastAsia="fr-FR"/>
              </w:rPr>
              <w:t>La partie de l'ISO 7858 n’est applicable qu'aux installations des compteurs combinés.</w:t>
            </w:r>
          </w:p>
          <w:p w:rsidR="00904E52" w:rsidRPr="00A76C14" w:rsidRDefault="00904E52" w:rsidP="00904E52">
            <w:pPr>
              <w:spacing w:after="0" w:line="240" w:lineRule="auto"/>
              <w:jc w:val="both"/>
              <w:rPr>
                <w:rFonts w:eastAsia="Times New Roman" w:cstheme="minorHAnsi"/>
                <w:lang w:eastAsia="fr-FR"/>
              </w:rPr>
            </w:pPr>
            <w:r w:rsidRPr="00A76C14">
              <w:rPr>
                <w:rFonts w:eastAsia="Times New Roman" w:cstheme="minorHAnsi"/>
                <w:lang w:eastAsia="fr-FR"/>
              </w:rPr>
              <w:lastRenderedPageBreak/>
              <w:t>Les règles particulières concernant les installations des compteurs simples sont spécifiées dans l'ISO 4064-1, l'ISO 4064-2 et l'ISO 4064-3.</w:t>
            </w:r>
          </w:p>
          <w:p w:rsidR="00904E52" w:rsidRPr="00A76C14" w:rsidRDefault="00904E52" w:rsidP="00904E52">
            <w:pPr>
              <w:spacing w:after="0" w:line="240" w:lineRule="auto"/>
              <w:jc w:val="both"/>
              <w:rPr>
                <w:rFonts w:eastAsia="Times New Roman" w:cstheme="minorHAnsi"/>
                <w:lang w:eastAsia="fr-FR"/>
              </w:rPr>
            </w:pPr>
            <w:r w:rsidRPr="00A76C14">
              <w:rPr>
                <w:rFonts w:eastAsia="Times New Roman" w:cstheme="minorHAnsi"/>
                <w:lang w:eastAsia="fr-FR"/>
              </w:rPr>
              <w:t>Lorsque des réglementations légales existent, celles-ci doivent toujours prendre le pas sur les spécifications de la partie de l'ISO 7858, ou les compléter.</w:t>
            </w:r>
          </w:p>
        </w:tc>
      </w:tr>
      <w:tr w:rsidR="0043547B" w:rsidRPr="0043547B" w:rsidTr="00CB5DC0">
        <w:trPr>
          <w:trHeight w:val="330"/>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05.6.068</w:t>
            </w:r>
          </w:p>
        </w:tc>
      </w:tr>
      <w:tr w:rsidR="0043547B" w:rsidRPr="0043547B" w:rsidTr="00CB5DC0">
        <w:trPr>
          <w:trHeight w:val="49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auto" w:fill="auto"/>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Plastiques - Assemblages fixes à bagues d’étanchéité pour tubes en polychlorure de vinyle non plastifié avec pression Aptitude à l’emploi - Spécifications</w:t>
            </w:r>
          </w:p>
        </w:tc>
      </w:tr>
      <w:tr w:rsidR="0043547B" w:rsidRPr="0043547B" w:rsidTr="00CB5DC0">
        <w:trPr>
          <w:trHeight w:val="184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hideMark/>
          </w:tcPr>
          <w:p w:rsidR="00CA080D" w:rsidRPr="0043547B" w:rsidRDefault="00904E52" w:rsidP="00C866C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a pour objet de spécifier les caractéristiques d'aptitude à l'emploi des assemblages à bagues d'étanchéité destinées aux tubes en PVC non plastifié utilisés avec pression.</w:t>
            </w:r>
            <w:r w:rsidR="00A2520E">
              <w:rPr>
                <w:rFonts w:eastAsia="Times New Roman" w:cstheme="minorHAnsi"/>
                <w:sz w:val="24"/>
                <w:szCs w:val="24"/>
                <w:lang w:eastAsia="fr-FR"/>
              </w:rPr>
              <w:t xml:space="preserve"> </w:t>
            </w:r>
            <w:r w:rsidRPr="0043547B">
              <w:rPr>
                <w:rFonts w:eastAsia="Times New Roman" w:cstheme="minorHAnsi"/>
                <w:sz w:val="24"/>
                <w:szCs w:val="24"/>
                <w:lang w:eastAsia="fr-FR"/>
              </w:rPr>
              <w:t>Elle spécifie également les valeurs à respecter pour ces caractéristiques et précise les méthodes d'essai correspondantes. Les assemblages concernés sont les assemblages à bagues d'étanchéité visés par la norme NM 05.6.066.</w:t>
            </w:r>
          </w:p>
        </w:tc>
      </w:tr>
      <w:tr w:rsidR="0043547B" w:rsidRPr="0043547B" w:rsidTr="00CB5DC0">
        <w:trPr>
          <w:trHeight w:val="330"/>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tcPr>
          <w:p w:rsidR="008805ED" w:rsidRPr="0043547B" w:rsidRDefault="008805ED" w:rsidP="000A47D3">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tcPr>
          <w:p w:rsidR="008805ED" w:rsidRPr="0043547B" w:rsidRDefault="008805ED" w:rsidP="000A47D3">
            <w:pPr>
              <w:spacing w:after="0"/>
              <w:jc w:val="center"/>
              <w:rPr>
                <w:rFonts w:cstheme="minorHAnsi"/>
                <w:b/>
                <w:bCs/>
                <w:sz w:val="24"/>
                <w:szCs w:val="24"/>
              </w:rPr>
            </w:pPr>
            <w:r w:rsidRPr="0043547B">
              <w:rPr>
                <w:rFonts w:cstheme="minorHAnsi"/>
                <w:b/>
                <w:bCs/>
                <w:sz w:val="24"/>
                <w:szCs w:val="24"/>
              </w:rPr>
              <w:t>NM ISO/TR 4191</w:t>
            </w:r>
          </w:p>
        </w:tc>
      </w:tr>
      <w:tr w:rsidR="0043547B" w:rsidRPr="0043547B" w:rsidTr="00CB5DC0">
        <w:trPr>
          <w:trHeight w:val="330"/>
          <w:jc w:val="center"/>
        </w:trPr>
        <w:tc>
          <w:tcPr>
            <w:tcW w:w="1838" w:type="dxa"/>
            <w:tcBorders>
              <w:top w:val="single" w:sz="18" w:space="0" w:color="auto"/>
              <w:left w:val="single" w:sz="18" w:space="0" w:color="auto"/>
              <w:bottom w:val="single" w:sz="6" w:space="0" w:color="auto"/>
              <w:right w:val="single" w:sz="4" w:space="0" w:color="auto"/>
            </w:tcBorders>
            <w:shd w:val="clear" w:color="auto" w:fill="FFFF99"/>
          </w:tcPr>
          <w:p w:rsidR="008805ED" w:rsidRPr="0043547B" w:rsidRDefault="008805ED" w:rsidP="005D43E0">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6" w:space="0" w:color="auto"/>
              <w:right w:val="single" w:sz="18" w:space="0" w:color="auto"/>
            </w:tcBorders>
            <w:shd w:val="clear" w:color="auto" w:fill="FFFF99"/>
          </w:tcPr>
          <w:p w:rsidR="008805ED" w:rsidRPr="0043547B" w:rsidRDefault="008805ED" w:rsidP="000A47D3">
            <w:pPr>
              <w:spacing w:after="0"/>
              <w:jc w:val="center"/>
              <w:rPr>
                <w:rFonts w:cstheme="minorHAnsi"/>
                <w:b/>
                <w:bCs/>
                <w:sz w:val="24"/>
                <w:szCs w:val="24"/>
              </w:rPr>
            </w:pPr>
            <w:r w:rsidRPr="0043547B">
              <w:rPr>
                <w:rFonts w:cstheme="minorHAnsi"/>
                <w:b/>
                <w:bCs/>
                <w:sz w:val="24"/>
                <w:szCs w:val="24"/>
              </w:rPr>
              <w:t>ISO/TR 4191</w:t>
            </w:r>
          </w:p>
        </w:tc>
      </w:tr>
      <w:tr w:rsidR="0043547B" w:rsidRPr="0043547B" w:rsidTr="00CB5DC0">
        <w:trPr>
          <w:trHeight w:val="330"/>
          <w:jc w:val="center"/>
        </w:trPr>
        <w:tc>
          <w:tcPr>
            <w:tcW w:w="1838" w:type="dxa"/>
            <w:tcBorders>
              <w:top w:val="single" w:sz="6" w:space="0" w:color="auto"/>
              <w:left w:val="single" w:sz="18" w:space="0" w:color="auto"/>
              <w:bottom w:val="single" w:sz="6" w:space="0" w:color="auto"/>
              <w:right w:val="single" w:sz="4" w:space="0" w:color="auto"/>
            </w:tcBorders>
            <w:shd w:val="clear" w:color="auto" w:fill="8DB3E2" w:themeFill="text2" w:themeFillTint="66"/>
            <w:vAlign w:val="center"/>
          </w:tcPr>
          <w:p w:rsidR="008805ED" w:rsidRPr="0043547B" w:rsidRDefault="008805ED" w:rsidP="000A47D3">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6" w:space="0" w:color="auto"/>
              <w:left w:val="single" w:sz="4" w:space="0" w:color="auto"/>
              <w:bottom w:val="single" w:sz="6" w:space="0" w:color="auto"/>
              <w:right w:val="single" w:sz="18" w:space="0" w:color="auto"/>
            </w:tcBorders>
            <w:shd w:val="clear" w:color="auto" w:fill="FFFFFF" w:themeFill="background1"/>
          </w:tcPr>
          <w:p w:rsidR="008805ED" w:rsidRPr="0043547B" w:rsidRDefault="008805ED" w:rsidP="000A47D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Systèmes de canalisations en plastique pour l'alimentation en eau - Polychlorure de vinyle non plastifié (PVC-U) et orienté PVC-U (PVC-O) - Pratique recommandée pour la pose </w:t>
            </w:r>
          </w:p>
        </w:tc>
      </w:tr>
      <w:tr w:rsidR="0043547B" w:rsidRPr="00335D7D" w:rsidTr="00CB5DC0">
        <w:trPr>
          <w:trHeight w:val="554"/>
          <w:jc w:val="center"/>
        </w:trPr>
        <w:tc>
          <w:tcPr>
            <w:tcW w:w="1838" w:type="dxa"/>
            <w:tcBorders>
              <w:top w:val="single" w:sz="6" w:space="0" w:color="auto"/>
              <w:left w:val="single" w:sz="18" w:space="0" w:color="auto"/>
              <w:bottom w:val="single" w:sz="18" w:space="0" w:color="auto"/>
              <w:right w:val="single" w:sz="4" w:space="0" w:color="auto"/>
            </w:tcBorders>
            <w:shd w:val="clear" w:color="auto" w:fill="D9D9D9" w:themeFill="background1" w:themeFillShade="D9"/>
            <w:vAlign w:val="center"/>
          </w:tcPr>
          <w:p w:rsidR="008805ED" w:rsidRPr="0043547B" w:rsidRDefault="008805ED" w:rsidP="000A47D3">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single" w:sz="6" w:space="0" w:color="auto"/>
              <w:left w:val="single" w:sz="4" w:space="0" w:color="auto"/>
              <w:bottom w:val="single" w:sz="18" w:space="0" w:color="auto"/>
              <w:right w:val="single" w:sz="18" w:space="0" w:color="auto"/>
            </w:tcBorders>
            <w:shd w:val="clear" w:color="auto" w:fill="FFFFFF" w:themeFill="background1"/>
          </w:tcPr>
          <w:p w:rsidR="00CA080D" w:rsidRPr="0043547B" w:rsidRDefault="008805ED" w:rsidP="008151C8">
            <w:pPr>
              <w:spacing w:after="0" w:line="240" w:lineRule="auto"/>
              <w:jc w:val="both"/>
              <w:rPr>
                <w:rFonts w:eastAsia="Times New Roman" w:cstheme="minorHAnsi"/>
                <w:sz w:val="24"/>
                <w:szCs w:val="24"/>
                <w:lang w:val="en-US" w:eastAsia="fr-FR"/>
              </w:rPr>
            </w:pPr>
            <w:r w:rsidRPr="0043547B">
              <w:rPr>
                <w:rFonts w:eastAsia="Times New Roman" w:cstheme="minorHAnsi"/>
                <w:sz w:val="24"/>
                <w:szCs w:val="24"/>
                <w:lang w:val="en-US" w:eastAsia="fr-FR"/>
              </w:rPr>
              <w:t xml:space="preserve">This ISO Technical Report gives recommended practices </w:t>
            </w:r>
            <w:r w:rsidR="009F7825" w:rsidRPr="0043547B">
              <w:rPr>
                <w:rFonts w:eastAsia="Times New Roman" w:cstheme="minorHAnsi"/>
                <w:sz w:val="24"/>
                <w:szCs w:val="24"/>
                <w:lang w:val="en-US" w:eastAsia="fr-FR"/>
              </w:rPr>
              <w:t>f</w:t>
            </w:r>
            <w:r w:rsidRPr="0043547B">
              <w:rPr>
                <w:rFonts w:eastAsia="Times New Roman" w:cstheme="minorHAnsi"/>
                <w:sz w:val="24"/>
                <w:szCs w:val="24"/>
                <w:lang w:val="en-US" w:eastAsia="fr-FR"/>
              </w:rPr>
              <w:t xml:space="preserve">or installation of unplasticized poly(vinyl chloride) (PVC-U) and oriented unplasticized poly(vinyl chloride) (PVC-O) pipes, fittings, valves, and ancillaries when used in piping systems conveying water under pressure. The recommendations are intended to give practical guidance of design and installation of piping systems incorporating pipes, fittings, valves, and ancillary equipment made </w:t>
            </w:r>
            <w:r w:rsidR="009F7825" w:rsidRPr="0043547B">
              <w:rPr>
                <w:rFonts w:eastAsia="Times New Roman" w:cstheme="minorHAnsi"/>
                <w:sz w:val="24"/>
                <w:szCs w:val="24"/>
                <w:lang w:val="en-US" w:eastAsia="fr-FR"/>
              </w:rPr>
              <w:t>f</w:t>
            </w:r>
            <w:r w:rsidRPr="0043547B">
              <w:rPr>
                <w:rFonts w:eastAsia="Times New Roman" w:cstheme="minorHAnsi"/>
                <w:sz w:val="24"/>
                <w:szCs w:val="24"/>
                <w:lang w:val="en-US" w:eastAsia="fr-FR"/>
              </w:rPr>
              <w:t xml:space="preserve">rom PVC materials and used for the following purposes: — water mains and services buried in groun; — waste water under pressure; — conveyance of water above ground for both outside and inside buildings, </w:t>
            </w:r>
            <w:r w:rsidR="009F7825" w:rsidRPr="0043547B">
              <w:rPr>
                <w:rFonts w:eastAsia="Times New Roman" w:cstheme="minorHAnsi"/>
                <w:sz w:val="24"/>
                <w:szCs w:val="24"/>
                <w:lang w:val="en-US" w:eastAsia="fr-FR"/>
              </w:rPr>
              <w:t>f</w:t>
            </w:r>
            <w:r w:rsidRPr="0043547B">
              <w:rPr>
                <w:rFonts w:eastAsia="Times New Roman" w:cstheme="minorHAnsi"/>
                <w:sz w:val="24"/>
                <w:szCs w:val="24"/>
                <w:lang w:val="en-US" w:eastAsia="fr-FR"/>
              </w:rPr>
              <w:t>or the supply o</w:t>
            </w:r>
            <w:r w:rsidR="000A47D3" w:rsidRPr="0043547B">
              <w:rPr>
                <w:rFonts w:eastAsia="Times New Roman" w:cstheme="minorHAnsi"/>
                <w:sz w:val="24"/>
                <w:szCs w:val="24"/>
                <w:lang w:val="en-US" w:eastAsia="fr-FR"/>
              </w:rPr>
              <w:t>f</w:t>
            </w:r>
            <w:r w:rsidRPr="0043547B">
              <w:rPr>
                <w:rFonts w:eastAsia="Times New Roman" w:cstheme="minorHAnsi"/>
                <w:sz w:val="24"/>
                <w:szCs w:val="24"/>
                <w:lang w:val="en-US" w:eastAsia="fr-FR"/>
              </w:rPr>
              <w:t xml:space="preserve"> water under pressure at approximately 20 °C (cold water) intended </w:t>
            </w:r>
            <w:r w:rsidR="009F7825" w:rsidRPr="0043547B">
              <w:rPr>
                <w:rFonts w:eastAsia="Times New Roman" w:cstheme="minorHAnsi"/>
                <w:sz w:val="24"/>
                <w:szCs w:val="24"/>
                <w:lang w:val="en-US" w:eastAsia="fr-FR"/>
              </w:rPr>
              <w:t>f</w:t>
            </w:r>
            <w:r w:rsidRPr="0043547B">
              <w:rPr>
                <w:rFonts w:eastAsia="Times New Roman" w:cstheme="minorHAnsi"/>
                <w:sz w:val="24"/>
                <w:szCs w:val="24"/>
                <w:lang w:val="en-US" w:eastAsia="fr-FR"/>
              </w:rPr>
              <w:t xml:space="preserve">or human consumption and </w:t>
            </w:r>
            <w:r w:rsidRPr="0043547B">
              <w:rPr>
                <w:rFonts w:ascii="Calibri" w:eastAsia="Times New Roman" w:hAnsi="Calibri" w:cs="Calibri"/>
                <w:sz w:val="24"/>
                <w:szCs w:val="24"/>
                <w:lang w:eastAsia="fr-FR"/>
              </w:rPr>
              <w:t>􀀀</w:t>
            </w:r>
            <w:r w:rsidRPr="0043547B">
              <w:rPr>
                <w:rFonts w:eastAsia="Times New Roman" w:cstheme="minorHAnsi"/>
                <w:sz w:val="24"/>
                <w:szCs w:val="24"/>
                <w:lang w:val="en-US" w:eastAsia="fr-FR"/>
              </w:rPr>
              <w:t xml:space="preserve">or general purposes. This Technical report is also applicable to components </w:t>
            </w:r>
            <w:r w:rsidR="000A47D3" w:rsidRPr="0043547B">
              <w:rPr>
                <w:rFonts w:eastAsia="Times New Roman" w:cstheme="minorHAnsi"/>
                <w:sz w:val="24"/>
                <w:szCs w:val="24"/>
                <w:lang w:val="en-US" w:eastAsia="fr-FR"/>
              </w:rPr>
              <w:t>f</w:t>
            </w:r>
            <w:r w:rsidRPr="0043547B">
              <w:rPr>
                <w:rFonts w:eastAsia="Times New Roman" w:cstheme="minorHAnsi"/>
                <w:sz w:val="24"/>
                <w:szCs w:val="24"/>
                <w:lang w:val="en-US" w:eastAsia="fr-FR"/>
              </w:rPr>
              <w:t>or the conveyance o</w:t>
            </w:r>
            <w:r w:rsidR="009F7825" w:rsidRPr="0043547B">
              <w:rPr>
                <w:rFonts w:eastAsia="Times New Roman" w:cstheme="minorHAnsi"/>
                <w:sz w:val="24"/>
                <w:szCs w:val="24"/>
                <w:lang w:val="en-US" w:eastAsia="fr-FR"/>
              </w:rPr>
              <w:t>f</w:t>
            </w:r>
            <w:r w:rsidRPr="0043547B">
              <w:rPr>
                <w:rFonts w:eastAsia="Times New Roman" w:cstheme="minorHAnsi"/>
                <w:sz w:val="24"/>
                <w:szCs w:val="24"/>
                <w:lang w:val="en-US" w:eastAsia="fr-FR"/>
              </w:rPr>
              <w:t xml:space="preserve"> water up to and including 45 °C. For temperatures between 25 °C and 45 °C, Figure 1 o</w:t>
            </w:r>
            <w:r w:rsidR="009F7825" w:rsidRPr="0043547B">
              <w:rPr>
                <w:rFonts w:eastAsia="Times New Roman" w:cstheme="minorHAnsi"/>
                <w:sz w:val="24"/>
                <w:szCs w:val="24"/>
                <w:lang w:val="en-US" w:eastAsia="fr-FR"/>
              </w:rPr>
              <w:t>f</w:t>
            </w:r>
            <w:r w:rsidRPr="0043547B">
              <w:rPr>
                <w:rFonts w:eastAsia="Times New Roman" w:cstheme="minorHAnsi"/>
                <w:sz w:val="24"/>
                <w:szCs w:val="24"/>
                <w:lang w:val="en-US" w:eastAsia="fr-FR"/>
              </w:rPr>
              <w:t xml:space="preserve"> ISO 1452-2:2009 applies. In addition, recommendations are given </w:t>
            </w:r>
            <w:r w:rsidR="000A47D3" w:rsidRPr="0043547B">
              <w:rPr>
                <w:rFonts w:eastAsia="Times New Roman" w:cstheme="minorHAnsi"/>
                <w:sz w:val="24"/>
                <w:szCs w:val="24"/>
                <w:lang w:val="en-US" w:eastAsia="fr-FR"/>
              </w:rPr>
              <w:t>f</w:t>
            </w:r>
            <w:r w:rsidRPr="0043547B">
              <w:rPr>
                <w:rFonts w:eastAsia="Times New Roman" w:cstheme="minorHAnsi"/>
                <w:sz w:val="24"/>
                <w:szCs w:val="24"/>
                <w:lang w:val="en-US" w:eastAsia="fr-FR"/>
              </w:rPr>
              <w:t xml:space="preserve">or the connection to fittings, valves, and ancillary equipment made </w:t>
            </w:r>
            <w:r w:rsidR="009F7825" w:rsidRPr="0043547B">
              <w:rPr>
                <w:rFonts w:eastAsia="Times New Roman" w:cstheme="minorHAnsi"/>
                <w:sz w:val="24"/>
                <w:szCs w:val="24"/>
                <w:lang w:val="en-US" w:eastAsia="fr-FR"/>
              </w:rPr>
              <w:t>f</w:t>
            </w:r>
            <w:r w:rsidRPr="0043547B">
              <w:rPr>
                <w:rFonts w:eastAsia="Times New Roman" w:cstheme="minorHAnsi"/>
                <w:sz w:val="24"/>
                <w:szCs w:val="24"/>
                <w:lang w:val="en-US" w:eastAsia="fr-FR"/>
              </w:rPr>
              <w:t>rom materials other than PVC.</w:t>
            </w:r>
          </w:p>
        </w:tc>
      </w:tr>
      <w:tr w:rsidR="00247086" w:rsidRPr="0043547B" w:rsidTr="00247086">
        <w:trPr>
          <w:trHeight w:val="330"/>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tcPr>
          <w:p w:rsidR="00247086" w:rsidRPr="0043547B" w:rsidRDefault="00247086" w:rsidP="00247086">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vAlign w:val="center"/>
          </w:tcPr>
          <w:p w:rsidR="00247086" w:rsidRPr="00A76C14" w:rsidRDefault="00247086" w:rsidP="00A76C14">
            <w:pPr>
              <w:spacing w:after="0" w:line="240" w:lineRule="auto"/>
              <w:jc w:val="center"/>
              <w:rPr>
                <w:rFonts w:ascii="Calibri" w:hAnsi="Calibri" w:cs="Calibri"/>
                <w:b/>
                <w:bCs/>
                <w:sz w:val="24"/>
                <w:szCs w:val="24"/>
              </w:rPr>
            </w:pPr>
            <w:r w:rsidRPr="00A76C14">
              <w:rPr>
                <w:rFonts w:ascii="Calibri" w:hAnsi="Calibri" w:cs="Calibri"/>
                <w:b/>
                <w:bCs/>
                <w:sz w:val="24"/>
                <w:szCs w:val="24"/>
              </w:rPr>
              <w:t>NM EN 17176-2</w:t>
            </w:r>
          </w:p>
        </w:tc>
      </w:tr>
      <w:tr w:rsidR="00247086" w:rsidRPr="0043547B" w:rsidTr="00CB5DC0">
        <w:trPr>
          <w:trHeight w:val="330"/>
          <w:jc w:val="center"/>
        </w:trPr>
        <w:tc>
          <w:tcPr>
            <w:tcW w:w="1838" w:type="dxa"/>
            <w:tcBorders>
              <w:top w:val="single" w:sz="18" w:space="0" w:color="auto"/>
              <w:left w:val="single" w:sz="18" w:space="0" w:color="auto"/>
              <w:bottom w:val="single" w:sz="6" w:space="0" w:color="auto"/>
              <w:right w:val="single" w:sz="4" w:space="0" w:color="auto"/>
            </w:tcBorders>
            <w:shd w:val="clear" w:color="auto" w:fill="FFFF99"/>
            <w:vAlign w:val="center"/>
          </w:tcPr>
          <w:p w:rsidR="00247086" w:rsidRPr="0043547B" w:rsidRDefault="00247086" w:rsidP="00247086">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6" w:space="0" w:color="auto"/>
              <w:right w:val="single" w:sz="18" w:space="0" w:color="auto"/>
            </w:tcBorders>
            <w:shd w:val="clear" w:color="auto" w:fill="FFFF99"/>
            <w:vAlign w:val="center"/>
          </w:tcPr>
          <w:p w:rsidR="00247086" w:rsidRPr="00A76C14" w:rsidRDefault="00247086" w:rsidP="00A76C14">
            <w:pPr>
              <w:spacing w:after="0" w:line="240" w:lineRule="auto"/>
              <w:jc w:val="center"/>
              <w:rPr>
                <w:rFonts w:ascii="Calibri" w:hAnsi="Calibri" w:cs="Calibri"/>
                <w:b/>
                <w:bCs/>
                <w:sz w:val="24"/>
                <w:szCs w:val="24"/>
              </w:rPr>
            </w:pPr>
            <w:r w:rsidRPr="00A76C14">
              <w:rPr>
                <w:rFonts w:ascii="Calibri" w:hAnsi="Calibri" w:cs="Calibri"/>
                <w:b/>
                <w:bCs/>
                <w:sz w:val="24"/>
                <w:szCs w:val="24"/>
              </w:rPr>
              <w:t>EN 17176-2</w:t>
            </w:r>
          </w:p>
        </w:tc>
      </w:tr>
      <w:tr w:rsidR="00247086" w:rsidRPr="0043547B" w:rsidTr="00247086">
        <w:trPr>
          <w:trHeight w:val="330"/>
          <w:jc w:val="center"/>
        </w:trPr>
        <w:tc>
          <w:tcPr>
            <w:tcW w:w="1838" w:type="dxa"/>
            <w:tcBorders>
              <w:top w:val="single" w:sz="6" w:space="0" w:color="auto"/>
              <w:left w:val="single" w:sz="18" w:space="0" w:color="auto"/>
              <w:bottom w:val="single" w:sz="6" w:space="0" w:color="auto"/>
              <w:right w:val="single" w:sz="4" w:space="0" w:color="auto"/>
            </w:tcBorders>
            <w:shd w:val="clear" w:color="auto" w:fill="8DB3E2" w:themeFill="text2" w:themeFillTint="66"/>
            <w:vAlign w:val="center"/>
          </w:tcPr>
          <w:p w:rsidR="00247086" w:rsidRPr="0043547B" w:rsidRDefault="00247086" w:rsidP="00247086">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6" w:space="0" w:color="auto"/>
              <w:left w:val="single" w:sz="4" w:space="0" w:color="auto"/>
              <w:bottom w:val="single" w:sz="6" w:space="0" w:color="auto"/>
              <w:right w:val="single" w:sz="18" w:space="0" w:color="auto"/>
            </w:tcBorders>
            <w:shd w:val="clear" w:color="auto" w:fill="FFFFFF" w:themeFill="background1"/>
            <w:vAlign w:val="center"/>
          </w:tcPr>
          <w:p w:rsidR="00247086" w:rsidRPr="00A76C14" w:rsidRDefault="00247086" w:rsidP="00A76C14">
            <w:pPr>
              <w:spacing w:after="0" w:line="240" w:lineRule="auto"/>
              <w:jc w:val="both"/>
              <w:rPr>
                <w:rFonts w:ascii="Calibri" w:hAnsi="Calibri" w:cs="Calibri"/>
              </w:rPr>
            </w:pPr>
            <w:r w:rsidRPr="00A76C14">
              <w:rPr>
                <w:rFonts w:ascii="Calibri" w:hAnsi="Calibri" w:cs="Calibri"/>
              </w:rPr>
              <w:t xml:space="preserve">Systèmes de canalisations en plastique pour l'alimentation en eau, les branchements et collecteurs d'assainissement et les systèmes d'irrigation sous pression, enterrés ou aériens - Poly(chlorure de vinyle) non plastifié orienté (PVC-O) - Partie 2 : tubes ; </w:t>
            </w:r>
          </w:p>
        </w:tc>
      </w:tr>
      <w:tr w:rsidR="00247086" w:rsidRPr="00247086" w:rsidTr="0069303D">
        <w:trPr>
          <w:trHeight w:val="1263"/>
          <w:jc w:val="center"/>
        </w:trPr>
        <w:tc>
          <w:tcPr>
            <w:tcW w:w="1838" w:type="dxa"/>
            <w:tcBorders>
              <w:top w:val="single" w:sz="6" w:space="0" w:color="auto"/>
              <w:left w:val="single" w:sz="18" w:space="0" w:color="auto"/>
              <w:bottom w:val="single" w:sz="18" w:space="0" w:color="auto"/>
              <w:right w:val="single" w:sz="4" w:space="0" w:color="auto"/>
            </w:tcBorders>
            <w:shd w:val="clear" w:color="auto" w:fill="D9D9D9" w:themeFill="background1" w:themeFillShade="D9"/>
            <w:vAlign w:val="center"/>
          </w:tcPr>
          <w:p w:rsidR="00247086" w:rsidRPr="0043547B" w:rsidRDefault="00247086" w:rsidP="00247086">
            <w:pPr>
              <w:spacing w:after="0"/>
              <w:jc w:val="center"/>
              <w:rPr>
                <w:rFonts w:cstheme="minorHAnsi"/>
                <w:b/>
                <w:bCs/>
                <w:sz w:val="24"/>
                <w:szCs w:val="24"/>
              </w:rPr>
            </w:pPr>
            <w:r w:rsidRPr="0043547B">
              <w:rPr>
                <w:rFonts w:cstheme="minorHAnsi"/>
                <w:b/>
                <w:bCs/>
                <w:sz w:val="24"/>
                <w:szCs w:val="24"/>
                <w:shd w:val="clear" w:color="auto" w:fill="D9D9D9" w:themeFill="background1" w:themeFillShade="D9"/>
              </w:rPr>
              <w:t>Domaine d’application</w:t>
            </w:r>
            <w:r w:rsidRPr="0043547B">
              <w:rPr>
                <w:rFonts w:cstheme="minorHAnsi"/>
                <w:b/>
                <w:bCs/>
                <w:sz w:val="24"/>
                <w:szCs w:val="24"/>
              </w:rPr>
              <w:t> :</w:t>
            </w:r>
          </w:p>
        </w:tc>
        <w:tc>
          <w:tcPr>
            <w:tcW w:w="7938" w:type="dxa"/>
            <w:tcBorders>
              <w:top w:val="single" w:sz="6" w:space="0" w:color="auto"/>
              <w:left w:val="single" w:sz="4" w:space="0" w:color="auto"/>
              <w:bottom w:val="single" w:sz="18" w:space="0" w:color="auto"/>
              <w:right w:val="single" w:sz="18" w:space="0" w:color="auto"/>
            </w:tcBorders>
            <w:shd w:val="clear" w:color="auto" w:fill="FFFFFF" w:themeFill="background1"/>
            <w:vAlign w:val="bottom"/>
          </w:tcPr>
          <w:p w:rsidR="00A76C14" w:rsidRDefault="00247086" w:rsidP="00A76C14">
            <w:pPr>
              <w:spacing w:after="0" w:line="240" w:lineRule="auto"/>
              <w:jc w:val="both"/>
              <w:rPr>
                <w:rFonts w:ascii="Calibri" w:hAnsi="Calibri" w:cs="Calibri"/>
              </w:rPr>
            </w:pPr>
            <w:r w:rsidRPr="00A76C14">
              <w:rPr>
                <w:rFonts w:ascii="Calibri" w:hAnsi="Calibri" w:cs="Calibri"/>
              </w:rPr>
              <w:t>La présente partie de la FprEN 17176 spécifie les caractéristiques des tubes à paroi compacte en</w:t>
            </w:r>
            <w:r w:rsidR="00A76C14">
              <w:rPr>
                <w:rFonts w:ascii="Calibri" w:hAnsi="Calibri" w:cs="Calibri"/>
              </w:rPr>
              <w:t xml:space="preserve"> </w:t>
            </w:r>
            <w:r w:rsidRPr="00A76C14">
              <w:rPr>
                <w:rFonts w:ascii="Calibri" w:hAnsi="Calibri" w:cs="Calibri"/>
              </w:rPr>
              <w:t>poly(chlorure de vinyle) non plastifié orienté (PVC-O) pour les systèmes de canalisations destinés à</w:t>
            </w:r>
            <w:r w:rsidR="00A76C14">
              <w:rPr>
                <w:rFonts w:ascii="Calibri" w:hAnsi="Calibri" w:cs="Calibri"/>
              </w:rPr>
              <w:t xml:space="preserve"> </w:t>
            </w:r>
            <w:r w:rsidRPr="00A76C14">
              <w:rPr>
                <w:rFonts w:ascii="Calibri" w:hAnsi="Calibri" w:cs="Calibri"/>
              </w:rPr>
              <w:t>l’alimentation en eau, aux branchements, aux collecteurs d’assainissement, aux systèmes d’eaux usées</w:t>
            </w:r>
            <w:r w:rsidR="00A76C14">
              <w:rPr>
                <w:rFonts w:ascii="Calibri" w:hAnsi="Calibri" w:cs="Calibri"/>
              </w:rPr>
              <w:t xml:space="preserve"> </w:t>
            </w:r>
            <w:r w:rsidRPr="00A76C14">
              <w:rPr>
                <w:rFonts w:ascii="Calibri" w:hAnsi="Calibri" w:cs="Calibri"/>
              </w:rPr>
              <w:t>traitées et aux systèmes d’irrigation sous pression, enterrés ou aériens lorsqu’ils sont protégés des</w:t>
            </w:r>
            <w:r w:rsidR="00A76C14">
              <w:rPr>
                <w:rFonts w:ascii="Calibri" w:hAnsi="Calibri" w:cs="Calibri"/>
              </w:rPr>
              <w:t xml:space="preserve"> </w:t>
            </w:r>
            <w:r w:rsidRPr="00A76C14">
              <w:rPr>
                <w:rFonts w:ascii="Calibri" w:hAnsi="Calibri" w:cs="Calibri"/>
              </w:rPr>
              <w:t>rayons directs du soleil. Elle spécifie également les paramètres d’essai pour les méthodes d’essai</w:t>
            </w:r>
            <w:r w:rsidR="00A76C14">
              <w:rPr>
                <w:rFonts w:ascii="Calibri" w:hAnsi="Calibri" w:cs="Calibri"/>
              </w:rPr>
              <w:t xml:space="preserve"> </w:t>
            </w:r>
            <w:r w:rsidRPr="00A76C14">
              <w:rPr>
                <w:rFonts w:ascii="Calibri" w:hAnsi="Calibri" w:cs="Calibri"/>
              </w:rPr>
              <w:t>référencées dans le présent document.</w:t>
            </w:r>
          </w:p>
          <w:p w:rsidR="00A76C14" w:rsidRDefault="00247086" w:rsidP="00A76C14">
            <w:pPr>
              <w:spacing w:after="0" w:line="240" w:lineRule="auto"/>
              <w:jc w:val="both"/>
              <w:rPr>
                <w:rFonts w:ascii="Calibri" w:hAnsi="Calibri" w:cs="Calibri"/>
              </w:rPr>
            </w:pPr>
            <w:r w:rsidRPr="00A76C14">
              <w:rPr>
                <w:rFonts w:ascii="Calibri" w:hAnsi="Calibri" w:cs="Calibri"/>
              </w:rPr>
              <w:t>Conjointement avec l'EN 17176-1 et l'EN 17176-5, elle s’applique aux tubes en PVC-O orienté, avec ou</w:t>
            </w:r>
            <w:r w:rsidR="00A76C14">
              <w:rPr>
                <w:rFonts w:ascii="Calibri" w:hAnsi="Calibri" w:cs="Calibri"/>
              </w:rPr>
              <w:t xml:space="preserve"> </w:t>
            </w:r>
            <w:r w:rsidRPr="00A76C14">
              <w:rPr>
                <w:rFonts w:ascii="Calibri" w:hAnsi="Calibri" w:cs="Calibri"/>
              </w:rPr>
              <w:t>sans emboîture intégrée, destinés à être utilisés pour les usages suivants :</w:t>
            </w:r>
          </w:p>
          <w:p w:rsidR="00A76C14" w:rsidRDefault="00247086" w:rsidP="00A76C14">
            <w:pPr>
              <w:spacing w:after="0" w:line="240" w:lineRule="auto"/>
              <w:jc w:val="both"/>
              <w:rPr>
                <w:rFonts w:ascii="Calibri" w:hAnsi="Calibri" w:cs="Calibri"/>
              </w:rPr>
            </w:pPr>
            <w:r w:rsidRPr="00A76C14">
              <w:rPr>
                <w:rFonts w:ascii="Calibri" w:hAnsi="Calibri" w:cs="Calibri"/>
              </w:rPr>
              <w:t>a) les conduites principales et les conduites de branchement ;</w:t>
            </w:r>
          </w:p>
          <w:p w:rsidR="00A76C14" w:rsidRDefault="00247086" w:rsidP="00A76C14">
            <w:pPr>
              <w:spacing w:after="0" w:line="240" w:lineRule="auto"/>
              <w:jc w:val="both"/>
              <w:rPr>
                <w:rFonts w:ascii="Calibri" w:hAnsi="Calibri" w:cs="Calibri"/>
              </w:rPr>
            </w:pPr>
            <w:r w:rsidRPr="00A76C14">
              <w:rPr>
                <w:rFonts w:ascii="Calibri" w:hAnsi="Calibri" w:cs="Calibri"/>
              </w:rPr>
              <w:lastRenderedPageBreak/>
              <w:t>b) le transport de l’eau à l’extérieur et à l’intérieur des bâtiments ;</w:t>
            </w:r>
          </w:p>
          <w:p w:rsidR="00950BF1" w:rsidRDefault="00247086" w:rsidP="00A76C14">
            <w:pPr>
              <w:spacing w:after="0" w:line="240" w:lineRule="auto"/>
              <w:jc w:val="both"/>
              <w:rPr>
                <w:rFonts w:ascii="Calibri" w:hAnsi="Calibri" w:cs="Calibri"/>
              </w:rPr>
            </w:pPr>
            <w:r w:rsidRPr="00A76C14">
              <w:rPr>
                <w:rFonts w:ascii="Calibri" w:hAnsi="Calibri" w:cs="Calibri"/>
              </w:rPr>
              <w:t>c) les branchements, collecteurs d’assainissement et les systèmes d’eaux usées traitées sous pression ;</w:t>
            </w:r>
          </w:p>
          <w:p w:rsidR="00950BF1" w:rsidRDefault="00247086" w:rsidP="00A76C14">
            <w:pPr>
              <w:spacing w:after="0" w:line="240" w:lineRule="auto"/>
              <w:jc w:val="both"/>
              <w:rPr>
                <w:rFonts w:ascii="Calibri" w:hAnsi="Calibri" w:cs="Calibri"/>
              </w:rPr>
            </w:pPr>
            <w:r w:rsidRPr="00A76C14">
              <w:rPr>
                <w:rFonts w:ascii="Calibri" w:hAnsi="Calibri" w:cs="Calibri"/>
              </w:rPr>
              <w:t>d) l’irrigation sous pression.</w:t>
            </w:r>
          </w:p>
          <w:p w:rsidR="00950BF1" w:rsidRDefault="00247086" w:rsidP="00950BF1">
            <w:pPr>
              <w:spacing w:after="0" w:line="240" w:lineRule="auto"/>
              <w:jc w:val="both"/>
              <w:rPr>
                <w:rFonts w:ascii="Calibri" w:hAnsi="Calibri" w:cs="Calibri"/>
              </w:rPr>
            </w:pPr>
            <w:r w:rsidRPr="00A76C14">
              <w:rPr>
                <w:rFonts w:ascii="Calibri" w:hAnsi="Calibri" w:cs="Calibri"/>
              </w:rPr>
              <w:t>Elle s’applique aux systèmes de canalisations destinés à l’alimentation en eau avec une pression de</w:t>
            </w:r>
            <w:r w:rsidR="00950BF1">
              <w:rPr>
                <w:rFonts w:ascii="Calibri" w:hAnsi="Calibri" w:cs="Calibri"/>
              </w:rPr>
              <w:t xml:space="preserve"> </w:t>
            </w:r>
            <w:r w:rsidRPr="00A76C14">
              <w:rPr>
                <w:rFonts w:ascii="Calibri" w:hAnsi="Calibri" w:cs="Calibri"/>
              </w:rPr>
              <w:t>service admissible (PFA) maximale jusqu’à 25 bar1 inclus. Le système de canalisations conforme au</w:t>
            </w:r>
            <w:r w:rsidR="00950BF1">
              <w:rPr>
                <w:rFonts w:ascii="Calibri" w:hAnsi="Calibri" w:cs="Calibri"/>
              </w:rPr>
              <w:t xml:space="preserve"> </w:t>
            </w:r>
            <w:r w:rsidRPr="00A76C14">
              <w:rPr>
                <w:rFonts w:ascii="Calibri" w:hAnsi="Calibri" w:cs="Calibri"/>
              </w:rPr>
              <w:t>présent document est destiné au transport d’eau froide jusqu’à 45 °C inclus et, notamment pour les</w:t>
            </w:r>
            <w:r w:rsidR="00950BF1">
              <w:rPr>
                <w:rFonts w:ascii="Calibri" w:hAnsi="Calibri" w:cs="Calibri"/>
              </w:rPr>
              <w:t xml:space="preserve"> </w:t>
            </w:r>
            <w:r w:rsidRPr="00A76C14">
              <w:rPr>
                <w:rFonts w:ascii="Calibri" w:hAnsi="Calibri" w:cs="Calibri"/>
              </w:rPr>
              <w:t>applications dans lesquelles des exigences de performance spéciales sont nécessaires, par exemple en</w:t>
            </w:r>
            <w:r w:rsidR="00950BF1">
              <w:rPr>
                <w:rFonts w:ascii="Calibri" w:hAnsi="Calibri" w:cs="Calibri"/>
              </w:rPr>
              <w:t xml:space="preserve"> </w:t>
            </w:r>
            <w:r w:rsidRPr="00A76C14">
              <w:rPr>
                <w:rFonts w:ascii="Calibri" w:hAnsi="Calibri" w:cs="Calibri"/>
              </w:rPr>
              <w:t>cas de charges dynamiques et de fluctuations de pression.</w:t>
            </w:r>
          </w:p>
          <w:p w:rsidR="00950BF1" w:rsidRDefault="00247086" w:rsidP="00950BF1">
            <w:pPr>
              <w:spacing w:after="0" w:line="240" w:lineRule="auto"/>
              <w:jc w:val="both"/>
              <w:rPr>
                <w:rFonts w:ascii="Calibri" w:hAnsi="Calibri" w:cs="Calibri"/>
              </w:rPr>
            </w:pPr>
            <w:r w:rsidRPr="00A76C14">
              <w:rPr>
                <w:rFonts w:ascii="Calibri" w:hAnsi="Calibri" w:cs="Calibri"/>
              </w:rPr>
              <w:t>Pour des températures comprises entre 25 °C et 45 °C, la Figure C.1 du présent document s’applique.</w:t>
            </w:r>
          </w:p>
          <w:p w:rsidR="00247086" w:rsidRPr="00A76C14" w:rsidRDefault="00247086" w:rsidP="00950BF1">
            <w:pPr>
              <w:spacing w:after="0" w:line="240" w:lineRule="auto"/>
              <w:jc w:val="both"/>
              <w:rPr>
                <w:rFonts w:ascii="Calibri" w:hAnsi="Calibri" w:cs="Calibri"/>
              </w:rPr>
            </w:pPr>
            <w:r w:rsidRPr="00A76C14">
              <w:rPr>
                <w:rFonts w:ascii="Calibri" w:hAnsi="Calibri" w:cs="Calibri"/>
              </w:rPr>
              <w:t>La présente partie de l’EN 17176 spécifie une série de dimensions de tubes et de classes de pression et</w:t>
            </w:r>
            <w:r w:rsidR="00950BF1">
              <w:rPr>
                <w:rFonts w:ascii="Calibri" w:hAnsi="Calibri" w:cs="Calibri"/>
              </w:rPr>
              <w:t xml:space="preserve"> </w:t>
            </w:r>
            <w:r w:rsidRPr="00A76C14">
              <w:rPr>
                <w:rFonts w:ascii="Calibri" w:hAnsi="Calibri" w:cs="Calibri"/>
              </w:rPr>
              <w:t>donne des exigences et des recommandations concernant les couleurs.</w:t>
            </w:r>
            <w:r w:rsidRPr="00A76C14">
              <w:rPr>
                <w:rFonts w:ascii="Calibri" w:hAnsi="Calibri" w:cs="Calibri"/>
              </w:rPr>
              <w:br/>
            </w:r>
            <w:r w:rsidRPr="00950BF1">
              <w:rPr>
                <w:rFonts w:ascii="Calibri" w:hAnsi="Calibri" w:cs="Calibri"/>
                <w:b/>
                <w:bCs/>
                <w:i/>
                <w:iCs/>
                <w:sz w:val="20"/>
                <w:szCs w:val="20"/>
              </w:rPr>
              <w:t>NOTE</w:t>
            </w:r>
            <w:r w:rsidR="00950BF1" w:rsidRPr="00950BF1">
              <w:rPr>
                <w:rFonts w:ascii="Calibri" w:hAnsi="Calibri" w:cs="Calibri"/>
                <w:i/>
                <w:iCs/>
                <w:sz w:val="20"/>
                <w:szCs w:val="20"/>
              </w:rPr>
              <w:t xml:space="preserve"> : </w:t>
            </w:r>
            <w:r w:rsidRPr="00950BF1">
              <w:rPr>
                <w:rFonts w:ascii="Calibri" w:hAnsi="Calibri" w:cs="Calibri"/>
                <w:i/>
                <w:iCs/>
                <w:sz w:val="20"/>
                <w:szCs w:val="20"/>
              </w:rPr>
              <w:t>Il est de la responsabilité de l’acheteur ou du concepteur du réseau d’effectuer les choix appropriés à</w:t>
            </w:r>
            <w:r w:rsidR="00950BF1" w:rsidRPr="00950BF1">
              <w:rPr>
                <w:rFonts w:ascii="Calibri" w:hAnsi="Calibri" w:cs="Calibri"/>
                <w:i/>
                <w:iCs/>
                <w:sz w:val="20"/>
                <w:szCs w:val="20"/>
              </w:rPr>
              <w:t xml:space="preserve"> </w:t>
            </w:r>
            <w:r w:rsidRPr="00950BF1">
              <w:rPr>
                <w:rFonts w:ascii="Calibri" w:hAnsi="Calibri" w:cs="Calibri"/>
                <w:i/>
                <w:iCs/>
                <w:sz w:val="20"/>
                <w:szCs w:val="20"/>
              </w:rPr>
              <w:t>partir de ces données, en tenant compte des exigences particulières et de toute réglementation nationale</w:t>
            </w:r>
            <w:r w:rsidR="00950BF1" w:rsidRPr="00950BF1">
              <w:rPr>
                <w:rFonts w:ascii="Calibri" w:hAnsi="Calibri" w:cs="Calibri"/>
                <w:i/>
                <w:iCs/>
                <w:sz w:val="20"/>
                <w:szCs w:val="20"/>
              </w:rPr>
              <w:t xml:space="preserve"> </w:t>
            </w:r>
            <w:r w:rsidRPr="00950BF1">
              <w:rPr>
                <w:rFonts w:ascii="Calibri" w:hAnsi="Calibri" w:cs="Calibri"/>
                <w:i/>
                <w:iCs/>
                <w:sz w:val="20"/>
                <w:szCs w:val="20"/>
              </w:rPr>
              <w:t>applicable ainsi que des pratiques ou codes de pose.</w:t>
            </w:r>
          </w:p>
        </w:tc>
      </w:tr>
      <w:tr w:rsidR="0043547B" w:rsidRPr="0043547B" w:rsidTr="00CB5DC0">
        <w:trPr>
          <w:trHeight w:val="330"/>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tcPr>
          <w:p w:rsidR="008805ED" w:rsidRPr="0043547B" w:rsidRDefault="008805ED" w:rsidP="0024319C">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tcPr>
          <w:p w:rsidR="008805ED" w:rsidRPr="0043547B" w:rsidRDefault="008805ED" w:rsidP="009F7825">
            <w:pPr>
              <w:spacing w:after="0"/>
              <w:jc w:val="center"/>
              <w:rPr>
                <w:rFonts w:cstheme="minorHAnsi"/>
                <w:b/>
                <w:bCs/>
                <w:sz w:val="24"/>
                <w:szCs w:val="24"/>
              </w:rPr>
            </w:pPr>
            <w:r w:rsidRPr="0043547B">
              <w:rPr>
                <w:rFonts w:cstheme="minorHAnsi"/>
                <w:b/>
                <w:bCs/>
                <w:sz w:val="24"/>
                <w:szCs w:val="24"/>
              </w:rPr>
              <w:t>NM 05.5.335</w:t>
            </w:r>
          </w:p>
        </w:tc>
      </w:tr>
      <w:tr w:rsidR="0043547B" w:rsidRPr="0043547B" w:rsidTr="00CB5DC0">
        <w:trPr>
          <w:trHeight w:val="330"/>
          <w:jc w:val="center"/>
        </w:trPr>
        <w:tc>
          <w:tcPr>
            <w:tcW w:w="1838" w:type="dxa"/>
            <w:tcBorders>
              <w:top w:val="single" w:sz="18" w:space="0" w:color="auto"/>
              <w:left w:val="single" w:sz="18" w:space="0" w:color="auto"/>
              <w:bottom w:val="single" w:sz="6" w:space="0" w:color="auto"/>
              <w:right w:val="single" w:sz="4" w:space="0" w:color="auto"/>
            </w:tcBorders>
            <w:shd w:val="clear" w:color="auto" w:fill="FFFF99"/>
            <w:vAlign w:val="center"/>
          </w:tcPr>
          <w:p w:rsidR="008805ED" w:rsidRPr="0043547B" w:rsidRDefault="008805ED" w:rsidP="005D43E0">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6" w:space="0" w:color="auto"/>
              <w:right w:val="single" w:sz="18" w:space="0" w:color="auto"/>
            </w:tcBorders>
            <w:shd w:val="clear" w:color="auto" w:fill="FFFF99"/>
            <w:vAlign w:val="center"/>
          </w:tcPr>
          <w:p w:rsidR="008805ED" w:rsidRPr="0043547B" w:rsidRDefault="008805ED" w:rsidP="009F7825">
            <w:pPr>
              <w:spacing w:after="0"/>
              <w:jc w:val="center"/>
              <w:rPr>
                <w:rFonts w:cstheme="minorHAnsi"/>
                <w:b/>
                <w:bCs/>
                <w:sz w:val="24"/>
                <w:szCs w:val="24"/>
              </w:rPr>
            </w:pPr>
            <w:r w:rsidRPr="0043547B">
              <w:rPr>
                <w:rFonts w:cstheme="minorHAnsi"/>
                <w:b/>
                <w:bCs/>
                <w:sz w:val="24"/>
                <w:szCs w:val="24"/>
              </w:rPr>
              <w:t>T 54-034</w:t>
            </w:r>
          </w:p>
        </w:tc>
      </w:tr>
      <w:tr w:rsidR="0043547B" w:rsidRPr="0043547B" w:rsidTr="00CB5DC0">
        <w:trPr>
          <w:trHeight w:val="330"/>
          <w:jc w:val="center"/>
        </w:trPr>
        <w:tc>
          <w:tcPr>
            <w:tcW w:w="1838" w:type="dxa"/>
            <w:tcBorders>
              <w:top w:val="single" w:sz="6" w:space="0" w:color="auto"/>
              <w:left w:val="single" w:sz="18" w:space="0" w:color="auto"/>
              <w:bottom w:val="single" w:sz="6" w:space="0" w:color="auto"/>
              <w:right w:val="single" w:sz="4" w:space="0" w:color="auto"/>
            </w:tcBorders>
            <w:shd w:val="clear" w:color="auto" w:fill="8DB3E2" w:themeFill="text2" w:themeFillTint="66"/>
            <w:vAlign w:val="center"/>
          </w:tcPr>
          <w:p w:rsidR="008805ED" w:rsidRPr="0043547B" w:rsidRDefault="008805ED" w:rsidP="005D43E0">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6" w:space="0" w:color="auto"/>
              <w:left w:val="single" w:sz="4" w:space="0" w:color="auto"/>
              <w:bottom w:val="single" w:sz="6" w:space="0" w:color="auto"/>
              <w:right w:val="single" w:sz="18" w:space="0" w:color="auto"/>
            </w:tcBorders>
            <w:shd w:val="clear" w:color="auto" w:fill="FFFFFF" w:themeFill="background1"/>
          </w:tcPr>
          <w:p w:rsidR="008805ED" w:rsidRPr="00950BF1" w:rsidRDefault="008805ED" w:rsidP="009F7825">
            <w:pPr>
              <w:spacing w:after="0" w:line="240" w:lineRule="auto"/>
              <w:jc w:val="both"/>
              <w:rPr>
                <w:rFonts w:eastAsia="Times New Roman" w:cstheme="minorHAnsi"/>
                <w:lang w:eastAsia="fr-FR"/>
              </w:rPr>
            </w:pPr>
            <w:r w:rsidRPr="00950BF1">
              <w:rPr>
                <w:rFonts w:eastAsia="Times New Roman" w:cstheme="minorHAnsi"/>
                <w:lang w:eastAsia="fr-FR"/>
              </w:rPr>
              <w:t xml:space="preserve">Réseaux de canalisations en poly(chlorure de vinyle) non plastifié (PVC-U), poly(chlorure de vinyle) chloré (PVC-C) et/ou poly(chlorure de vinyle) orienté biaxial (PVC-BO) pour le transport sous pression de fluides non gazeux - Règles de conception, choix des composants </w:t>
            </w:r>
          </w:p>
        </w:tc>
      </w:tr>
      <w:tr w:rsidR="0043547B" w:rsidRPr="0043547B" w:rsidTr="00CB5DC0">
        <w:trPr>
          <w:trHeight w:val="330"/>
          <w:jc w:val="center"/>
        </w:trPr>
        <w:tc>
          <w:tcPr>
            <w:tcW w:w="1838" w:type="dxa"/>
            <w:tcBorders>
              <w:top w:val="single" w:sz="6" w:space="0" w:color="auto"/>
              <w:left w:val="single" w:sz="18" w:space="0" w:color="auto"/>
              <w:bottom w:val="single" w:sz="18" w:space="0" w:color="auto"/>
              <w:right w:val="single" w:sz="4" w:space="0" w:color="auto"/>
            </w:tcBorders>
            <w:shd w:val="clear" w:color="auto" w:fill="D9D9D9" w:themeFill="background1" w:themeFillShade="D9"/>
            <w:vAlign w:val="center"/>
          </w:tcPr>
          <w:p w:rsidR="008805ED" w:rsidRPr="0043547B" w:rsidRDefault="008805ED" w:rsidP="005D43E0">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single" w:sz="6" w:space="0" w:color="auto"/>
              <w:left w:val="single" w:sz="4" w:space="0" w:color="auto"/>
              <w:bottom w:val="single" w:sz="18" w:space="0" w:color="auto"/>
              <w:right w:val="single" w:sz="18" w:space="0" w:color="auto"/>
            </w:tcBorders>
            <w:shd w:val="clear" w:color="auto" w:fill="FFFFFF" w:themeFill="background1"/>
            <w:vAlign w:val="bottom"/>
          </w:tcPr>
          <w:p w:rsidR="009F7825" w:rsidRPr="00950BF1" w:rsidRDefault="008805ED" w:rsidP="00A2520E">
            <w:pPr>
              <w:spacing w:after="0" w:line="240" w:lineRule="auto"/>
              <w:jc w:val="both"/>
              <w:rPr>
                <w:rFonts w:eastAsia="Times New Roman" w:cstheme="minorHAnsi"/>
                <w:lang w:eastAsia="fr-FR"/>
              </w:rPr>
            </w:pPr>
            <w:r w:rsidRPr="00950BF1">
              <w:rPr>
                <w:rFonts w:eastAsia="Times New Roman" w:cstheme="minorHAnsi"/>
                <w:lang w:eastAsia="fr-FR"/>
              </w:rPr>
              <w:t>Le présent document établit des règles à utiliser pour la conception des systèmes de canalisations en poly(chlorure</w:t>
            </w:r>
            <w:r w:rsidR="009F7825" w:rsidRPr="00950BF1">
              <w:rPr>
                <w:rFonts w:eastAsia="Times New Roman" w:cstheme="minorHAnsi"/>
                <w:lang w:eastAsia="fr-FR"/>
              </w:rPr>
              <w:t xml:space="preserve"> </w:t>
            </w:r>
            <w:r w:rsidRPr="00950BF1">
              <w:rPr>
                <w:rFonts w:eastAsia="Times New Roman" w:cstheme="minorHAnsi"/>
                <w:lang w:eastAsia="fr-FR"/>
              </w:rPr>
              <w:t>de vinyle) non plastifié (PVC-U), en poly(chlorure de vinyle) chloré (PVC-C) et en poly(chlorure de vinyle)</w:t>
            </w:r>
            <w:r w:rsidR="009F7825" w:rsidRPr="00950BF1">
              <w:rPr>
                <w:rFonts w:eastAsia="Times New Roman" w:cstheme="minorHAnsi"/>
                <w:lang w:eastAsia="fr-FR"/>
              </w:rPr>
              <w:t xml:space="preserve"> </w:t>
            </w:r>
            <w:r w:rsidRPr="00950BF1">
              <w:rPr>
                <w:rFonts w:eastAsia="Times New Roman" w:cstheme="minorHAnsi"/>
                <w:lang w:eastAsia="fr-FR"/>
              </w:rPr>
              <w:t>orienté (PVC-O) pour le transport ou la distribution sous pression de fluides non gazeux. Il spécifie les coefficients de détimbrage de la pression pour les systèmes de canalisations couverts par</w:t>
            </w:r>
            <w:r w:rsidR="00A2520E" w:rsidRPr="00950BF1">
              <w:rPr>
                <w:rFonts w:eastAsia="Times New Roman" w:cstheme="minorHAnsi"/>
                <w:lang w:eastAsia="fr-FR"/>
              </w:rPr>
              <w:t xml:space="preserve"> </w:t>
            </w:r>
            <w:r w:rsidRPr="00950BF1">
              <w:rPr>
                <w:rFonts w:eastAsia="Times New Roman" w:cstheme="minorHAnsi"/>
                <w:lang w:eastAsia="fr-FR"/>
              </w:rPr>
              <w:t>les domaines d’application des NM ISO 16422 parties 1 à 5, NM ISO 15493, NM ISO 15877-1 et NM ISO</w:t>
            </w:r>
            <w:r w:rsidR="009F7825" w:rsidRPr="00950BF1">
              <w:rPr>
                <w:rFonts w:eastAsia="Times New Roman" w:cstheme="minorHAnsi"/>
                <w:lang w:eastAsia="fr-FR"/>
              </w:rPr>
              <w:t xml:space="preserve"> </w:t>
            </w:r>
            <w:r w:rsidRPr="00950BF1">
              <w:rPr>
                <w:rFonts w:eastAsia="Times New Roman" w:cstheme="minorHAnsi"/>
                <w:lang w:eastAsia="fr-FR"/>
              </w:rPr>
              <w:t>16422.</w:t>
            </w:r>
          </w:p>
          <w:p w:rsidR="009F7825" w:rsidRPr="00950BF1" w:rsidRDefault="008805ED" w:rsidP="009F7825">
            <w:pPr>
              <w:spacing w:after="0" w:line="240" w:lineRule="auto"/>
              <w:jc w:val="both"/>
              <w:rPr>
                <w:rFonts w:eastAsia="Times New Roman" w:cstheme="minorHAnsi"/>
                <w:lang w:eastAsia="fr-FR"/>
              </w:rPr>
            </w:pPr>
            <w:r w:rsidRPr="00950BF1">
              <w:rPr>
                <w:rFonts w:eastAsia="Times New Roman" w:cstheme="minorHAnsi"/>
                <w:lang w:eastAsia="fr-FR"/>
              </w:rPr>
              <w:t>Il ne s’applique pas aux applications de transport de fluides sous vide.</w:t>
            </w:r>
          </w:p>
          <w:p w:rsidR="009F7825" w:rsidRPr="00950BF1" w:rsidRDefault="008805ED" w:rsidP="009F7825">
            <w:pPr>
              <w:spacing w:after="0" w:line="240" w:lineRule="auto"/>
              <w:jc w:val="both"/>
              <w:rPr>
                <w:rFonts w:eastAsia="Times New Roman" w:cstheme="minorHAnsi"/>
                <w:i/>
                <w:iCs/>
                <w:lang w:eastAsia="fr-FR"/>
              </w:rPr>
            </w:pPr>
            <w:r w:rsidRPr="00950BF1">
              <w:rPr>
                <w:rFonts w:eastAsia="Times New Roman" w:cstheme="minorHAnsi"/>
                <w:b/>
                <w:bCs/>
                <w:i/>
                <w:iCs/>
                <w:lang w:eastAsia="fr-FR"/>
              </w:rPr>
              <w:t>NOTE</w:t>
            </w:r>
            <w:r w:rsidR="0024319C" w:rsidRPr="00950BF1">
              <w:rPr>
                <w:rFonts w:eastAsia="Times New Roman" w:cstheme="minorHAnsi"/>
                <w:i/>
                <w:iCs/>
                <w:lang w:eastAsia="fr-FR"/>
              </w:rPr>
              <w:t xml:space="preserve"> : </w:t>
            </w:r>
            <w:r w:rsidRPr="00950BF1">
              <w:rPr>
                <w:rFonts w:eastAsia="Times New Roman" w:cstheme="minorHAnsi"/>
                <w:i/>
                <w:iCs/>
                <w:lang w:eastAsia="fr-FR"/>
              </w:rPr>
              <w:t>L’application du présent document n’exonère pas le fabricant, l’acheteur, l’utilisateur ou le prescripteur du respect</w:t>
            </w:r>
            <w:r w:rsidR="009F7825" w:rsidRPr="00950BF1">
              <w:rPr>
                <w:rFonts w:eastAsia="Times New Roman" w:cstheme="minorHAnsi"/>
                <w:i/>
                <w:iCs/>
                <w:lang w:eastAsia="fr-FR"/>
              </w:rPr>
              <w:t xml:space="preserve"> </w:t>
            </w:r>
            <w:r w:rsidRPr="00950BF1">
              <w:rPr>
                <w:rFonts w:eastAsia="Times New Roman" w:cstheme="minorHAnsi"/>
                <w:i/>
                <w:iCs/>
                <w:lang w:eastAsia="fr-FR"/>
              </w:rPr>
              <w:t>des règlements en vigueur pour chaque type de fluide transporté par le réseau de canalisations.</w:t>
            </w:r>
          </w:p>
          <w:p w:rsidR="009F7825" w:rsidRPr="00950BF1" w:rsidRDefault="008805ED" w:rsidP="009F7825">
            <w:pPr>
              <w:spacing w:after="0" w:line="240" w:lineRule="auto"/>
              <w:jc w:val="both"/>
              <w:rPr>
                <w:rFonts w:eastAsia="Times New Roman" w:cstheme="minorHAnsi"/>
                <w:lang w:eastAsia="fr-FR"/>
              </w:rPr>
            </w:pPr>
            <w:r w:rsidRPr="00950BF1">
              <w:rPr>
                <w:rFonts w:eastAsia="Times New Roman" w:cstheme="minorHAnsi"/>
                <w:lang w:eastAsia="fr-FR"/>
              </w:rPr>
              <w:t>Il définit le choix des composants des réseaux de canalisations à utiliser en fonction de l'application visée.</w:t>
            </w:r>
          </w:p>
          <w:p w:rsidR="009F7825" w:rsidRPr="00950BF1" w:rsidRDefault="008805ED" w:rsidP="009F7825">
            <w:pPr>
              <w:spacing w:after="0" w:line="240" w:lineRule="auto"/>
              <w:jc w:val="both"/>
              <w:rPr>
                <w:rFonts w:eastAsia="Times New Roman" w:cstheme="minorHAnsi"/>
                <w:lang w:eastAsia="fr-FR"/>
              </w:rPr>
            </w:pPr>
            <w:r w:rsidRPr="00950BF1">
              <w:rPr>
                <w:rFonts w:eastAsia="Times New Roman" w:cstheme="minorHAnsi"/>
                <w:lang w:eastAsia="fr-FR"/>
              </w:rPr>
              <w:t>Il s'applique aux systèmes de canalisations sous pression en aérien ou enterrées, en particulier pour le transport :</w:t>
            </w:r>
          </w:p>
          <w:p w:rsidR="009F7825" w:rsidRPr="00950BF1" w:rsidRDefault="008805ED" w:rsidP="009F7825">
            <w:pPr>
              <w:spacing w:after="0" w:line="240" w:lineRule="auto"/>
              <w:rPr>
                <w:rFonts w:eastAsia="Times New Roman" w:cstheme="minorHAnsi"/>
                <w:lang w:eastAsia="fr-FR"/>
              </w:rPr>
            </w:pPr>
            <w:r w:rsidRPr="00950BF1">
              <w:rPr>
                <w:rFonts w:eastAsia="Times New Roman" w:cstheme="minorHAnsi"/>
                <w:lang w:eastAsia="fr-FR"/>
              </w:rPr>
              <w:t>— de l'eau destinée à la consommation humaine ;</w:t>
            </w:r>
            <w:r w:rsidRPr="00950BF1">
              <w:rPr>
                <w:rFonts w:eastAsia="Times New Roman" w:cstheme="minorHAnsi"/>
                <w:lang w:eastAsia="fr-FR"/>
              </w:rPr>
              <w:br/>
              <w:t>— des eaux brutes ;</w:t>
            </w:r>
            <w:r w:rsidRPr="00950BF1">
              <w:rPr>
                <w:rFonts w:eastAsia="Times New Roman" w:cstheme="minorHAnsi"/>
                <w:lang w:eastAsia="fr-FR"/>
              </w:rPr>
              <w:br/>
              <w:t>— des eaux usées ;</w:t>
            </w:r>
            <w:r w:rsidRPr="00950BF1">
              <w:rPr>
                <w:rFonts w:eastAsia="Times New Roman" w:cstheme="minorHAnsi"/>
                <w:lang w:eastAsia="fr-FR"/>
              </w:rPr>
              <w:br/>
              <w:t>— de l'eau pour l'irrigation ;</w:t>
            </w:r>
            <w:r w:rsidRPr="00950BF1">
              <w:rPr>
                <w:rFonts w:eastAsia="Times New Roman" w:cstheme="minorHAnsi"/>
                <w:lang w:eastAsia="fr-FR"/>
              </w:rPr>
              <w:br/>
              <w:t>— des liquides alimentaires ;</w:t>
            </w:r>
          </w:p>
          <w:p w:rsidR="009F7825" w:rsidRPr="00950BF1" w:rsidRDefault="008805ED" w:rsidP="009F7825">
            <w:pPr>
              <w:spacing w:after="0" w:line="240" w:lineRule="auto"/>
              <w:jc w:val="both"/>
              <w:rPr>
                <w:rFonts w:eastAsia="Times New Roman" w:cstheme="minorHAnsi"/>
                <w:i/>
                <w:iCs/>
                <w:lang w:eastAsia="fr-FR"/>
              </w:rPr>
            </w:pPr>
            <w:r w:rsidRPr="00950BF1">
              <w:rPr>
                <w:rFonts w:eastAsia="Times New Roman" w:cstheme="minorHAnsi"/>
                <w:b/>
                <w:bCs/>
                <w:i/>
                <w:iCs/>
                <w:lang w:eastAsia="fr-FR"/>
              </w:rPr>
              <w:t>NOTE</w:t>
            </w:r>
            <w:r w:rsidR="009F7825" w:rsidRPr="00950BF1">
              <w:rPr>
                <w:rFonts w:eastAsia="Times New Roman" w:cstheme="minorHAnsi"/>
                <w:b/>
                <w:bCs/>
                <w:i/>
                <w:iCs/>
                <w:lang w:eastAsia="fr-FR"/>
              </w:rPr>
              <w:t> </w:t>
            </w:r>
            <w:r w:rsidR="009F7825" w:rsidRPr="00950BF1">
              <w:rPr>
                <w:rFonts w:eastAsia="Times New Roman" w:cstheme="minorHAnsi"/>
                <w:i/>
                <w:iCs/>
                <w:lang w:eastAsia="fr-FR"/>
              </w:rPr>
              <w:t xml:space="preserve">: </w:t>
            </w:r>
            <w:r w:rsidRPr="00950BF1">
              <w:rPr>
                <w:rFonts w:eastAsia="Times New Roman" w:cstheme="minorHAnsi"/>
                <w:i/>
                <w:iCs/>
                <w:lang w:eastAsia="fr-FR"/>
              </w:rPr>
              <w:t xml:space="preserve">L'Annexe A </w:t>
            </w:r>
            <w:r w:rsidR="009F7825" w:rsidRPr="00950BF1">
              <w:rPr>
                <w:rFonts w:eastAsia="Times New Roman" w:cstheme="minorHAnsi"/>
                <w:i/>
                <w:iCs/>
                <w:lang w:eastAsia="fr-FR"/>
              </w:rPr>
              <w:t>fourni</w:t>
            </w:r>
            <w:r w:rsidRPr="00950BF1">
              <w:rPr>
                <w:rFonts w:eastAsia="Times New Roman" w:cstheme="minorHAnsi"/>
                <w:i/>
                <w:iCs/>
                <w:lang w:eastAsia="fr-FR"/>
              </w:rPr>
              <w:t xml:space="preserve"> une liste non limitative de liquides alimentaires susceptibles d'être convoyés par des canalisations</w:t>
            </w:r>
            <w:r w:rsidR="009F7825" w:rsidRPr="00950BF1">
              <w:rPr>
                <w:rFonts w:eastAsia="Times New Roman" w:cstheme="minorHAnsi"/>
                <w:i/>
                <w:iCs/>
                <w:lang w:eastAsia="fr-FR"/>
              </w:rPr>
              <w:t xml:space="preserve"> </w:t>
            </w:r>
            <w:r w:rsidRPr="00950BF1">
              <w:rPr>
                <w:rFonts w:eastAsia="Times New Roman" w:cstheme="minorHAnsi"/>
                <w:i/>
                <w:iCs/>
                <w:lang w:eastAsia="fr-FR"/>
              </w:rPr>
              <w:t>en PVC.</w:t>
            </w:r>
          </w:p>
          <w:p w:rsidR="008805ED" w:rsidRPr="00950BF1" w:rsidRDefault="008805ED" w:rsidP="009F7825">
            <w:pPr>
              <w:spacing w:after="0" w:line="240" w:lineRule="auto"/>
              <w:rPr>
                <w:rFonts w:eastAsia="Times New Roman" w:cstheme="minorHAnsi"/>
                <w:lang w:eastAsia="fr-FR"/>
              </w:rPr>
            </w:pPr>
            <w:r w:rsidRPr="00950BF1">
              <w:rPr>
                <w:rFonts w:eastAsia="Times New Roman" w:cstheme="minorHAnsi"/>
                <w:lang w:eastAsia="fr-FR"/>
              </w:rPr>
              <w:t>— des eaux thermales et minérales ;</w:t>
            </w:r>
            <w:r w:rsidRPr="00950BF1">
              <w:rPr>
                <w:rFonts w:eastAsia="Times New Roman" w:cstheme="minorHAnsi"/>
                <w:lang w:eastAsia="fr-FR"/>
              </w:rPr>
              <w:br/>
              <w:t>— des liquides industriels.</w:t>
            </w:r>
          </w:p>
        </w:tc>
      </w:tr>
      <w:tr w:rsidR="0043547B" w:rsidRPr="0043547B" w:rsidTr="00CB5DC0">
        <w:trPr>
          <w:trHeight w:val="330"/>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tcPr>
          <w:p w:rsidR="008805ED" w:rsidRPr="0043547B" w:rsidRDefault="008805ED" w:rsidP="009F7825">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tcPr>
          <w:p w:rsidR="008805ED" w:rsidRPr="0043547B" w:rsidRDefault="008805ED" w:rsidP="009F7825">
            <w:pPr>
              <w:spacing w:after="0"/>
              <w:jc w:val="center"/>
              <w:rPr>
                <w:rFonts w:cstheme="minorHAnsi"/>
                <w:b/>
                <w:bCs/>
                <w:sz w:val="24"/>
                <w:szCs w:val="24"/>
              </w:rPr>
            </w:pPr>
            <w:r w:rsidRPr="0043547B">
              <w:rPr>
                <w:rFonts w:cstheme="minorHAnsi"/>
                <w:b/>
                <w:bCs/>
                <w:sz w:val="24"/>
                <w:szCs w:val="24"/>
              </w:rPr>
              <w:t>NM ISO 5774</w:t>
            </w:r>
          </w:p>
        </w:tc>
      </w:tr>
      <w:tr w:rsidR="0043547B" w:rsidRPr="0043547B" w:rsidTr="00CB5DC0">
        <w:trPr>
          <w:trHeight w:val="330"/>
          <w:jc w:val="center"/>
        </w:trPr>
        <w:tc>
          <w:tcPr>
            <w:tcW w:w="1838" w:type="dxa"/>
            <w:tcBorders>
              <w:top w:val="single" w:sz="18" w:space="0" w:color="auto"/>
              <w:left w:val="single" w:sz="18" w:space="0" w:color="auto"/>
              <w:bottom w:val="single" w:sz="6" w:space="0" w:color="auto"/>
              <w:right w:val="single" w:sz="4" w:space="0" w:color="auto"/>
            </w:tcBorders>
            <w:shd w:val="clear" w:color="auto" w:fill="FFFF99"/>
            <w:vAlign w:val="center"/>
          </w:tcPr>
          <w:p w:rsidR="008805ED" w:rsidRPr="0043547B" w:rsidRDefault="008805ED" w:rsidP="005D43E0">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6" w:space="0" w:color="auto"/>
              <w:right w:val="single" w:sz="18" w:space="0" w:color="auto"/>
            </w:tcBorders>
            <w:shd w:val="clear" w:color="auto" w:fill="FFFF99"/>
            <w:vAlign w:val="center"/>
          </w:tcPr>
          <w:p w:rsidR="008805ED" w:rsidRPr="0043547B" w:rsidRDefault="008805ED" w:rsidP="009F7825">
            <w:pPr>
              <w:spacing w:after="0"/>
              <w:jc w:val="center"/>
              <w:rPr>
                <w:rFonts w:cstheme="minorHAnsi"/>
                <w:b/>
                <w:bCs/>
                <w:sz w:val="24"/>
                <w:szCs w:val="24"/>
              </w:rPr>
            </w:pPr>
            <w:r w:rsidRPr="0043547B">
              <w:rPr>
                <w:rFonts w:cstheme="minorHAnsi"/>
                <w:b/>
                <w:bCs/>
                <w:sz w:val="24"/>
                <w:szCs w:val="24"/>
              </w:rPr>
              <w:t>ISO 5774</w:t>
            </w:r>
          </w:p>
        </w:tc>
      </w:tr>
      <w:tr w:rsidR="0043547B" w:rsidRPr="0043547B" w:rsidTr="00CB5DC0">
        <w:trPr>
          <w:trHeight w:val="330"/>
          <w:jc w:val="center"/>
        </w:trPr>
        <w:tc>
          <w:tcPr>
            <w:tcW w:w="1838" w:type="dxa"/>
            <w:tcBorders>
              <w:top w:val="single" w:sz="6" w:space="0" w:color="auto"/>
              <w:left w:val="single" w:sz="18" w:space="0" w:color="auto"/>
              <w:bottom w:val="single" w:sz="6" w:space="0" w:color="auto"/>
              <w:right w:val="single" w:sz="4" w:space="0" w:color="auto"/>
            </w:tcBorders>
            <w:shd w:val="clear" w:color="auto" w:fill="8DB3E2" w:themeFill="text2" w:themeFillTint="66"/>
            <w:vAlign w:val="center"/>
          </w:tcPr>
          <w:p w:rsidR="008805ED" w:rsidRPr="0043547B" w:rsidRDefault="008805ED" w:rsidP="005D43E0">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6" w:space="0" w:color="auto"/>
              <w:left w:val="single" w:sz="4" w:space="0" w:color="auto"/>
              <w:bottom w:val="single" w:sz="6" w:space="0" w:color="auto"/>
              <w:right w:val="single" w:sz="18" w:space="0" w:color="auto"/>
            </w:tcBorders>
            <w:shd w:val="clear" w:color="auto" w:fill="FFFFFF" w:themeFill="background1"/>
          </w:tcPr>
          <w:p w:rsidR="008805ED" w:rsidRPr="0043547B" w:rsidRDefault="008805ED" w:rsidP="009F7825">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Tuyaux en plastique - Types armés de textile pour applications avec de l'air comprimé - Spécifications ;  </w:t>
            </w:r>
          </w:p>
        </w:tc>
      </w:tr>
      <w:tr w:rsidR="0043547B" w:rsidRPr="0043547B" w:rsidTr="00CB5DC0">
        <w:trPr>
          <w:trHeight w:val="2574"/>
          <w:jc w:val="center"/>
        </w:trPr>
        <w:tc>
          <w:tcPr>
            <w:tcW w:w="1838" w:type="dxa"/>
            <w:tcBorders>
              <w:top w:val="single" w:sz="6" w:space="0" w:color="auto"/>
              <w:left w:val="single" w:sz="18" w:space="0" w:color="auto"/>
              <w:bottom w:val="single" w:sz="18" w:space="0" w:color="auto"/>
              <w:right w:val="single" w:sz="4" w:space="0" w:color="auto"/>
            </w:tcBorders>
            <w:shd w:val="clear" w:color="auto" w:fill="D9D9D9" w:themeFill="background1" w:themeFillShade="D9"/>
            <w:vAlign w:val="center"/>
          </w:tcPr>
          <w:p w:rsidR="008805ED" w:rsidRPr="0043547B" w:rsidRDefault="008805ED" w:rsidP="005D43E0">
            <w:pPr>
              <w:spacing w:after="0"/>
              <w:jc w:val="center"/>
              <w:rPr>
                <w:rFonts w:cstheme="minorHAnsi"/>
                <w:b/>
                <w:bCs/>
                <w:sz w:val="24"/>
                <w:szCs w:val="24"/>
              </w:rPr>
            </w:pPr>
            <w:r w:rsidRPr="0043547B">
              <w:rPr>
                <w:rFonts w:cstheme="minorHAnsi"/>
                <w:b/>
                <w:bCs/>
                <w:sz w:val="24"/>
                <w:szCs w:val="24"/>
              </w:rPr>
              <w:lastRenderedPageBreak/>
              <w:t>Domaine d’application :</w:t>
            </w:r>
          </w:p>
        </w:tc>
        <w:tc>
          <w:tcPr>
            <w:tcW w:w="7938" w:type="dxa"/>
            <w:tcBorders>
              <w:top w:val="single" w:sz="6" w:space="0" w:color="auto"/>
              <w:left w:val="single" w:sz="4" w:space="0" w:color="auto"/>
              <w:bottom w:val="single" w:sz="18" w:space="0" w:color="auto"/>
              <w:right w:val="single" w:sz="18" w:space="0" w:color="auto"/>
            </w:tcBorders>
            <w:shd w:val="clear" w:color="auto" w:fill="FFFFFF" w:themeFill="background1"/>
            <w:vAlign w:val="bottom"/>
          </w:tcPr>
          <w:p w:rsidR="009F7825" w:rsidRPr="0043547B" w:rsidRDefault="008805ED" w:rsidP="009F7825">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internationale spécifie les exigences relatives à quatre types de tuyaux souples en thermoplastique, armés de textile, destinés aux applications d’air comprimé dans la plage de températures de −10 °C to +60 °C.</w:t>
            </w:r>
          </w:p>
          <w:p w:rsidR="000D5564" w:rsidRPr="0043547B" w:rsidRDefault="008805ED" w:rsidP="00C866C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quatre types sont classés comme suit: service léger pour une pression maximale de service de 7 bar à 23 °C et de 4,5 bar à 60 °C, service moyen pour une pression maximale de service de 10 bar à 23 °C et de 6,5 bar à 60 °C, service intensif pour une pression maximale de service de 16 bar à 23 °C et de 11 bar à 60 °C, et service intensif dans les mines pour une pression maximale de service de 25 bar à 23 °C et de</w:t>
            </w:r>
            <w:r w:rsidR="00360635" w:rsidRPr="0043547B">
              <w:rPr>
                <w:rFonts w:eastAsia="Times New Roman" w:cstheme="minorHAnsi"/>
                <w:sz w:val="24"/>
                <w:szCs w:val="24"/>
                <w:lang w:eastAsia="fr-FR"/>
              </w:rPr>
              <w:t xml:space="preserve"> </w:t>
            </w:r>
            <w:r w:rsidRPr="0043547B">
              <w:rPr>
                <w:rFonts w:eastAsia="Times New Roman" w:cstheme="minorHAnsi"/>
                <w:sz w:val="24"/>
                <w:szCs w:val="24"/>
                <w:lang w:eastAsia="fr-FR"/>
              </w:rPr>
              <w:t>13 bar à 60 °C.</w:t>
            </w:r>
          </w:p>
        </w:tc>
      </w:tr>
      <w:tr w:rsidR="0043547B" w:rsidRPr="0043547B" w:rsidTr="00CB5DC0">
        <w:trPr>
          <w:trHeight w:val="330"/>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tcPr>
          <w:p w:rsidR="00582BC3" w:rsidRPr="0043547B" w:rsidRDefault="00582BC3" w:rsidP="00C866C2">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vAlign w:val="center"/>
          </w:tcPr>
          <w:p w:rsidR="00582BC3" w:rsidRPr="00C866C2" w:rsidRDefault="00582BC3" w:rsidP="00C866C2">
            <w:pPr>
              <w:spacing w:after="0" w:line="240" w:lineRule="auto"/>
              <w:jc w:val="center"/>
              <w:rPr>
                <w:rFonts w:cstheme="minorHAnsi"/>
                <w:b/>
                <w:bCs/>
                <w:sz w:val="24"/>
                <w:szCs w:val="24"/>
              </w:rPr>
            </w:pPr>
            <w:r w:rsidRPr="00C866C2">
              <w:rPr>
                <w:rFonts w:cstheme="minorHAnsi"/>
                <w:b/>
                <w:bCs/>
                <w:sz w:val="24"/>
                <w:szCs w:val="24"/>
              </w:rPr>
              <w:t>NM CEN/TS 1329-2</w:t>
            </w:r>
          </w:p>
        </w:tc>
      </w:tr>
      <w:tr w:rsidR="0043547B" w:rsidRPr="0043547B" w:rsidTr="00CB5DC0">
        <w:trPr>
          <w:trHeight w:val="330"/>
          <w:jc w:val="center"/>
        </w:trPr>
        <w:tc>
          <w:tcPr>
            <w:tcW w:w="1838" w:type="dxa"/>
            <w:tcBorders>
              <w:top w:val="single" w:sz="18" w:space="0" w:color="auto"/>
              <w:left w:val="single" w:sz="18" w:space="0" w:color="auto"/>
              <w:bottom w:val="single" w:sz="6" w:space="0" w:color="auto"/>
              <w:right w:val="single" w:sz="4" w:space="0" w:color="auto"/>
            </w:tcBorders>
            <w:shd w:val="clear" w:color="auto" w:fill="FFFF99"/>
            <w:vAlign w:val="center"/>
          </w:tcPr>
          <w:p w:rsidR="00582BC3" w:rsidRPr="0043547B" w:rsidRDefault="00582BC3" w:rsidP="00C866C2">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6" w:space="0" w:color="auto"/>
              <w:right w:val="single" w:sz="18" w:space="0" w:color="auto"/>
            </w:tcBorders>
            <w:shd w:val="clear" w:color="auto" w:fill="FFFF99"/>
            <w:vAlign w:val="bottom"/>
          </w:tcPr>
          <w:p w:rsidR="00582BC3" w:rsidRPr="00C866C2" w:rsidRDefault="00582BC3" w:rsidP="00C866C2">
            <w:pPr>
              <w:spacing w:after="0" w:line="240" w:lineRule="auto"/>
              <w:jc w:val="center"/>
              <w:rPr>
                <w:rFonts w:cstheme="minorHAnsi"/>
                <w:b/>
                <w:bCs/>
                <w:sz w:val="24"/>
                <w:szCs w:val="24"/>
              </w:rPr>
            </w:pPr>
            <w:r w:rsidRPr="00C866C2">
              <w:rPr>
                <w:rFonts w:cstheme="minorHAnsi"/>
                <w:b/>
                <w:bCs/>
                <w:sz w:val="24"/>
                <w:szCs w:val="24"/>
              </w:rPr>
              <w:t>CEN/TS 1329-2</w:t>
            </w:r>
          </w:p>
        </w:tc>
      </w:tr>
      <w:tr w:rsidR="0043547B" w:rsidRPr="0043547B" w:rsidTr="00CB5DC0">
        <w:trPr>
          <w:trHeight w:val="330"/>
          <w:jc w:val="center"/>
        </w:trPr>
        <w:tc>
          <w:tcPr>
            <w:tcW w:w="1838" w:type="dxa"/>
            <w:tcBorders>
              <w:top w:val="single" w:sz="6" w:space="0" w:color="auto"/>
              <w:left w:val="single" w:sz="18" w:space="0" w:color="auto"/>
              <w:bottom w:val="single" w:sz="6" w:space="0" w:color="auto"/>
              <w:right w:val="single" w:sz="4" w:space="0" w:color="auto"/>
            </w:tcBorders>
            <w:shd w:val="clear" w:color="auto" w:fill="8DB3E2" w:themeFill="text2" w:themeFillTint="66"/>
            <w:vAlign w:val="center"/>
          </w:tcPr>
          <w:p w:rsidR="00582BC3" w:rsidRPr="0043547B" w:rsidRDefault="00582BC3" w:rsidP="00C866C2">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6" w:space="0" w:color="auto"/>
              <w:left w:val="single" w:sz="4" w:space="0" w:color="auto"/>
              <w:bottom w:val="single" w:sz="6" w:space="0" w:color="auto"/>
              <w:right w:val="single" w:sz="18" w:space="0" w:color="auto"/>
            </w:tcBorders>
            <w:shd w:val="clear" w:color="auto" w:fill="FFFFFF" w:themeFill="background1"/>
            <w:vAlign w:val="center"/>
          </w:tcPr>
          <w:p w:rsidR="00582BC3" w:rsidRPr="0043547B" w:rsidRDefault="00582BC3" w:rsidP="004E3FFD">
            <w:pPr>
              <w:spacing w:after="0" w:line="240" w:lineRule="auto"/>
              <w:rPr>
                <w:rFonts w:cstheme="minorHAnsi"/>
                <w:sz w:val="24"/>
                <w:szCs w:val="24"/>
              </w:rPr>
            </w:pPr>
            <w:r w:rsidRPr="0043547B">
              <w:rPr>
                <w:rFonts w:cstheme="minorHAnsi"/>
                <w:sz w:val="24"/>
                <w:szCs w:val="24"/>
              </w:rPr>
              <w:t xml:space="preserve">Systèmes de canalisations en plastique pour l'évacuation des eaux-vannes et des eaux usées (à basse et à haute température) à l'intérieur de la structure des bâtiments - Poly(chlorure de vinyle) non plastifié (PVC-U) - Partie 2 : Guide pour l'évaluation de la conformité  ; </w:t>
            </w:r>
            <w:r w:rsidR="004E3FFD">
              <w:rPr>
                <w:rFonts w:cstheme="minorHAnsi"/>
                <w:sz w:val="24"/>
                <w:szCs w:val="24"/>
              </w:rPr>
              <w:t xml:space="preserve"> </w:t>
            </w:r>
            <w:r w:rsidRPr="0043547B">
              <w:rPr>
                <w:rFonts w:cstheme="minorHAnsi"/>
                <w:sz w:val="24"/>
                <w:szCs w:val="24"/>
              </w:rPr>
              <w:t xml:space="preserve"> </w:t>
            </w:r>
          </w:p>
        </w:tc>
      </w:tr>
      <w:tr w:rsidR="0043547B" w:rsidRPr="0043547B" w:rsidTr="00CB5DC0">
        <w:trPr>
          <w:trHeight w:val="1263"/>
          <w:jc w:val="center"/>
        </w:trPr>
        <w:tc>
          <w:tcPr>
            <w:tcW w:w="1838" w:type="dxa"/>
            <w:tcBorders>
              <w:top w:val="single" w:sz="6" w:space="0" w:color="auto"/>
              <w:left w:val="single" w:sz="18" w:space="0" w:color="auto"/>
              <w:bottom w:val="single" w:sz="18" w:space="0" w:color="auto"/>
              <w:right w:val="single" w:sz="4" w:space="0" w:color="auto"/>
            </w:tcBorders>
            <w:shd w:val="clear" w:color="auto" w:fill="D9D9D9" w:themeFill="background1" w:themeFillShade="D9"/>
            <w:vAlign w:val="center"/>
          </w:tcPr>
          <w:p w:rsidR="00582BC3" w:rsidRPr="0043547B" w:rsidRDefault="00582BC3" w:rsidP="00C866C2">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6" w:space="0" w:color="auto"/>
              <w:left w:val="single" w:sz="4" w:space="0" w:color="auto"/>
              <w:bottom w:val="single" w:sz="18" w:space="0" w:color="auto"/>
              <w:right w:val="single" w:sz="18" w:space="0" w:color="auto"/>
            </w:tcBorders>
            <w:shd w:val="clear" w:color="auto" w:fill="FFFFFF" w:themeFill="background1"/>
          </w:tcPr>
          <w:p w:rsidR="00C866C2" w:rsidRDefault="00582BC3" w:rsidP="00C866C2">
            <w:pPr>
              <w:spacing w:after="0" w:line="240" w:lineRule="auto"/>
              <w:jc w:val="both"/>
              <w:rPr>
                <w:rFonts w:cstheme="minorHAnsi"/>
                <w:sz w:val="24"/>
                <w:szCs w:val="24"/>
              </w:rPr>
            </w:pPr>
            <w:r w:rsidRPr="0043547B">
              <w:rPr>
                <w:rFonts w:cstheme="minorHAnsi"/>
                <w:sz w:val="24"/>
                <w:szCs w:val="24"/>
              </w:rPr>
              <w:t>La présente Spécification technique fournit un guide pour l’évaluation de la conformité des matières (compositions/formulations), produits et montages en conformité avec l’EN 1329-1, destiné à être inclus dans le plan qualité du fabricant dans le cadre du système de management de la qualité et pour l’établissement de procédures de certification par tierce partie.</w:t>
            </w:r>
          </w:p>
          <w:p w:rsidR="00C866C2" w:rsidRPr="00C866C2" w:rsidRDefault="00582BC3" w:rsidP="00C866C2">
            <w:pPr>
              <w:spacing w:after="0" w:line="240" w:lineRule="auto"/>
              <w:jc w:val="both"/>
              <w:rPr>
                <w:rFonts w:cstheme="minorHAnsi"/>
                <w:i/>
                <w:iCs/>
              </w:rPr>
            </w:pPr>
            <w:r w:rsidRPr="00C866C2">
              <w:rPr>
                <w:rFonts w:cstheme="minorHAnsi"/>
                <w:b/>
                <w:bCs/>
                <w:i/>
                <w:iCs/>
              </w:rPr>
              <w:t>NOTE 1 :</w:t>
            </w:r>
            <w:r w:rsidRPr="00C866C2">
              <w:rPr>
                <w:rFonts w:cstheme="minorHAnsi"/>
                <w:i/>
                <w:iCs/>
              </w:rPr>
              <w:t xml:space="preserve"> Il est recommandé que le système de management de la qualité soit conforme aux exigences pertinentes de l'EN ISO 9001 [1] ou au moins aussi strict que ces exigences.</w:t>
            </w:r>
          </w:p>
          <w:p w:rsidR="00C866C2" w:rsidRPr="00C866C2" w:rsidRDefault="00582BC3" w:rsidP="00C866C2">
            <w:pPr>
              <w:spacing w:after="0" w:line="240" w:lineRule="auto"/>
              <w:jc w:val="both"/>
              <w:rPr>
                <w:rFonts w:cstheme="minorHAnsi"/>
                <w:i/>
                <w:iCs/>
              </w:rPr>
            </w:pPr>
            <w:r w:rsidRPr="00C866C2">
              <w:rPr>
                <w:rFonts w:cstheme="minorHAnsi"/>
                <w:b/>
                <w:bCs/>
                <w:i/>
                <w:iCs/>
              </w:rPr>
              <w:t>NOTE 2 :</w:t>
            </w:r>
            <w:r w:rsidRPr="00C866C2">
              <w:rPr>
                <w:rFonts w:cstheme="minorHAnsi"/>
                <w:i/>
                <w:iCs/>
              </w:rPr>
              <w:t xml:space="preserve"> En cas de certification par tierce partie, il est recommandé que l'organisme de certification soit accrédité selon l'EN 45011 [2], l'EN 45012 [3] ou l'EN ISO/CEI 17021 [4], suivant le cas.</w:t>
            </w:r>
          </w:p>
          <w:p w:rsidR="00C866C2" w:rsidRPr="00C866C2" w:rsidRDefault="00582BC3" w:rsidP="00C866C2">
            <w:pPr>
              <w:spacing w:after="0" w:line="240" w:lineRule="auto"/>
              <w:jc w:val="both"/>
              <w:rPr>
                <w:rFonts w:cstheme="minorHAnsi"/>
                <w:i/>
                <w:iCs/>
              </w:rPr>
            </w:pPr>
            <w:r w:rsidRPr="00C866C2">
              <w:rPr>
                <w:rFonts w:cstheme="minorHAnsi"/>
                <w:b/>
                <w:bCs/>
                <w:i/>
                <w:iCs/>
              </w:rPr>
              <w:t>NOTE 3 :</w:t>
            </w:r>
            <w:r w:rsidRPr="00C866C2">
              <w:rPr>
                <w:rFonts w:cstheme="minorHAnsi"/>
                <w:i/>
                <w:iCs/>
              </w:rPr>
              <w:t xml:space="preserve"> Afin d’aider le lecteur, une matrice d'essais de base est fournie en Annexe A.</w:t>
            </w:r>
          </w:p>
          <w:p w:rsidR="00C866C2" w:rsidRDefault="00582BC3" w:rsidP="00C866C2">
            <w:pPr>
              <w:spacing w:after="0" w:line="240" w:lineRule="auto"/>
              <w:jc w:val="both"/>
              <w:rPr>
                <w:rFonts w:cstheme="minorHAnsi"/>
                <w:sz w:val="24"/>
                <w:szCs w:val="24"/>
              </w:rPr>
            </w:pPr>
            <w:r w:rsidRPr="0043547B">
              <w:rPr>
                <w:rFonts w:cstheme="minorHAnsi"/>
                <w:sz w:val="24"/>
                <w:szCs w:val="24"/>
              </w:rPr>
              <w:t>Conjointement avec l'EN 1329-1, le présent document s'applique aux systèmes de canalisations en poly(chlorure de vinyle) non plastifié (PVC-U) destinés à être utilisés :</w:t>
            </w:r>
          </w:p>
          <w:p w:rsidR="00C866C2" w:rsidRDefault="00582BC3" w:rsidP="00C866C2">
            <w:pPr>
              <w:spacing w:after="0" w:line="240" w:lineRule="auto"/>
              <w:jc w:val="both"/>
              <w:rPr>
                <w:rFonts w:cstheme="minorHAnsi"/>
                <w:sz w:val="24"/>
                <w:szCs w:val="24"/>
              </w:rPr>
            </w:pPr>
            <w:r w:rsidRPr="0043547B">
              <w:rPr>
                <w:rFonts w:cstheme="minorHAnsi"/>
                <w:sz w:val="24"/>
                <w:szCs w:val="24"/>
              </w:rPr>
              <w:t>— pour les systèmes d'évacuation des eaux-vannes et des eaux usées (à basse et à haute température) à l'intérieur des bâtiments (code de zone d'application « B »), et</w:t>
            </w:r>
          </w:p>
          <w:p w:rsidR="00C866C2" w:rsidRDefault="00582BC3" w:rsidP="00C866C2">
            <w:pPr>
              <w:spacing w:after="0" w:line="240" w:lineRule="auto"/>
              <w:jc w:val="both"/>
              <w:rPr>
                <w:rFonts w:cstheme="minorHAnsi"/>
                <w:sz w:val="24"/>
                <w:szCs w:val="24"/>
              </w:rPr>
            </w:pPr>
            <w:r w:rsidRPr="0043547B">
              <w:rPr>
                <w:rFonts w:cstheme="minorHAnsi"/>
                <w:sz w:val="24"/>
                <w:szCs w:val="24"/>
              </w:rPr>
              <w:t>— pour les systèmes d'évacuation des eaux-vannes et des eaux usées (à basse et à haute température) à l'intérieur des bâtiments et enterrés à l'intérieur de la structure du bâtiment (code de zone d'application « BD »).</w:t>
            </w:r>
          </w:p>
          <w:p w:rsidR="00582BC3" w:rsidRPr="0043547B" w:rsidRDefault="00582BC3" w:rsidP="00C866C2">
            <w:pPr>
              <w:spacing w:after="0" w:line="240" w:lineRule="auto"/>
              <w:jc w:val="both"/>
              <w:rPr>
                <w:rFonts w:cstheme="minorHAnsi"/>
                <w:sz w:val="24"/>
                <w:szCs w:val="24"/>
              </w:rPr>
            </w:pPr>
            <w:r w:rsidRPr="00C866C2">
              <w:rPr>
                <w:rFonts w:cstheme="minorHAnsi"/>
                <w:b/>
                <w:bCs/>
                <w:i/>
                <w:iCs/>
              </w:rPr>
              <w:t>NOTE 4 :</w:t>
            </w:r>
            <w:r w:rsidRPr="00C866C2">
              <w:rPr>
                <w:rFonts w:cstheme="minorHAnsi"/>
                <w:i/>
                <w:iCs/>
              </w:rPr>
              <w:t xml:space="preserve"> Ceci se traduit au niveau du marquage des produits par « B » ou « BD ».</w:t>
            </w:r>
          </w:p>
        </w:tc>
      </w:tr>
      <w:tr w:rsidR="0043547B" w:rsidRPr="0043547B" w:rsidTr="00CB5DC0">
        <w:trPr>
          <w:trHeight w:val="330"/>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tcPr>
          <w:p w:rsidR="000F038B" w:rsidRPr="0043547B" w:rsidRDefault="000F038B" w:rsidP="009F7825">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tcPr>
          <w:p w:rsidR="000F038B" w:rsidRPr="0043547B" w:rsidRDefault="000F038B" w:rsidP="009F7825">
            <w:pPr>
              <w:spacing w:after="0"/>
              <w:jc w:val="center"/>
              <w:rPr>
                <w:rFonts w:cstheme="minorHAnsi"/>
                <w:b/>
                <w:bCs/>
                <w:sz w:val="24"/>
                <w:szCs w:val="24"/>
              </w:rPr>
            </w:pPr>
            <w:r w:rsidRPr="0043547B">
              <w:rPr>
                <w:rFonts w:cstheme="minorHAnsi"/>
                <w:b/>
                <w:bCs/>
                <w:sz w:val="24"/>
                <w:szCs w:val="24"/>
              </w:rPr>
              <w:t>NM 05.5.380</w:t>
            </w:r>
          </w:p>
        </w:tc>
      </w:tr>
      <w:tr w:rsidR="0043547B" w:rsidRPr="0043547B" w:rsidTr="00CB5DC0">
        <w:trPr>
          <w:trHeight w:val="330"/>
          <w:jc w:val="center"/>
        </w:trPr>
        <w:tc>
          <w:tcPr>
            <w:tcW w:w="1838" w:type="dxa"/>
            <w:tcBorders>
              <w:top w:val="single" w:sz="6" w:space="0" w:color="auto"/>
              <w:left w:val="single" w:sz="18" w:space="0" w:color="auto"/>
              <w:bottom w:val="single" w:sz="6" w:space="0" w:color="auto"/>
              <w:right w:val="single" w:sz="4" w:space="0" w:color="auto"/>
            </w:tcBorders>
            <w:shd w:val="clear" w:color="auto" w:fill="8DB3E2" w:themeFill="text2" w:themeFillTint="66"/>
            <w:vAlign w:val="center"/>
          </w:tcPr>
          <w:p w:rsidR="000F038B" w:rsidRPr="0043547B" w:rsidRDefault="000F038B" w:rsidP="009F7825">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6" w:space="0" w:color="auto"/>
              <w:left w:val="single" w:sz="4" w:space="0" w:color="auto"/>
              <w:bottom w:val="single" w:sz="6" w:space="0" w:color="auto"/>
              <w:right w:val="single" w:sz="18" w:space="0" w:color="auto"/>
            </w:tcBorders>
            <w:shd w:val="clear" w:color="auto" w:fill="FFFFFF" w:themeFill="background1"/>
          </w:tcPr>
          <w:p w:rsidR="000F038B" w:rsidRPr="0043547B" w:rsidRDefault="000F038B" w:rsidP="009F7825">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Tubes et accessoires en poly(chlorure de vinyle) non plastifié (PVC-U) pour lignes souterraines de télécommunications - Spécifications ;  </w:t>
            </w:r>
          </w:p>
        </w:tc>
      </w:tr>
      <w:tr w:rsidR="0043547B" w:rsidRPr="0043547B" w:rsidTr="00CB5DC0">
        <w:trPr>
          <w:trHeight w:val="330"/>
          <w:jc w:val="center"/>
        </w:trPr>
        <w:tc>
          <w:tcPr>
            <w:tcW w:w="1838" w:type="dxa"/>
            <w:tcBorders>
              <w:top w:val="single" w:sz="6" w:space="0" w:color="auto"/>
              <w:left w:val="single" w:sz="18" w:space="0" w:color="auto"/>
              <w:bottom w:val="single" w:sz="18" w:space="0" w:color="auto"/>
              <w:right w:val="single" w:sz="4" w:space="0" w:color="auto"/>
            </w:tcBorders>
            <w:shd w:val="clear" w:color="auto" w:fill="D9D9D9" w:themeFill="background1" w:themeFillShade="D9"/>
            <w:vAlign w:val="center"/>
          </w:tcPr>
          <w:p w:rsidR="000F038B" w:rsidRPr="0043547B" w:rsidRDefault="000F038B" w:rsidP="009F7825">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single" w:sz="6" w:space="0" w:color="auto"/>
              <w:left w:val="single" w:sz="4" w:space="0" w:color="auto"/>
              <w:bottom w:val="single" w:sz="18" w:space="0" w:color="auto"/>
              <w:right w:val="single" w:sz="18" w:space="0" w:color="auto"/>
            </w:tcBorders>
            <w:shd w:val="clear" w:color="auto" w:fill="FFFFFF" w:themeFill="background1"/>
          </w:tcPr>
          <w:p w:rsidR="000F038B" w:rsidRPr="0043547B" w:rsidRDefault="000F038B" w:rsidP="009F7825">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spécifie les exigences relatives aux caractéristiques géométriques, mécaniques ainsi que physiques des tubes et accessoires en poly(chlorure de vinyle) non plastifié (PVC-U) destinés aux  lignes souterraines de télécommunications. Il spécifie également des méthodes d’essai permettant de vérifier ces exigences.</w:t>
            </w:r>
          </w:p>
        </w:tc>
      </w:tr>
      <w:tr w:rsidR="0043547B" w:rsidRPr="0043547B" w:rsidTr="00CB5DC0">
        <w:trPr>
          <w:trHeight w:val="330"/>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8C58FE" w:rsidRPr="0043547B" w:rsidRDefault="008C58FE" w:rsidP="00C866C2">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vAlign w:val="center"/>
            <w:hideMark/>
          </w:tcPr>
          <w:p w:rsidR="008C58FE" w:rsidRPr="00951EE9" w:rsidRDefault="008C58FE" w:rsidP="00C866C2">
            <w:pPr>
              <w:spacing w:after="0" w:line="240" w:lineRule="auto"/>
              <w:jc w:val="center"/>
              <w:rPr>
                <w:rFonts w:cstheme="minorHAnsi"/>
                <w:b/>
                <w:bCs/>
                <w:sz w:val="24"/>
                <w:szCs w:val="24"/>
              </w:rPr>
            </w:pPr>
            <w:r w:rsidRPr="00951EE9">
              <w:rPr>
                <w:rFonts w:cstheme="minorHAnsi"/>
                <w:b/>
                <w:bCs/>
                <w:sz w:val="24"/>
                <w:szCs w:val="24"/>
              </w:rPr>
              <w:t>NM EN 1329-1</w:t>
            </w:r>
          </w:p>
        </w:tc>
      </w:tr>
      <w:tr w:rsidR="0043547B" w:rsidRPr="0043547B" w:rsidTr="00CB5DC0">
        <w:trPr>
          <w:trHeight w:val="346"/>
          <w:jc w:val="center"/>
        </w:trPr>
        <w:tc>
          <w:tcPr>
            <w:tcW w:w="1838" w:type="dxa"/>
            <w:tcBorders>
              <w:top w:val="nil"/>
              <w:left w:val="single" w:sz="18" w:space="0" w:color="auto"/>
              <w:bottom w:val="single" w:sz="4" w:space="0" w:color="auto"/>
              <w:right w:val="single" w:sz="4" w:space="0" w:color="auto"/>
            </w:tcBorders>
            <w:shd w:val="clear" w:color="auto" w:fill="FFFFCC"/>
            <w:vAlign w:val="center"/>
          </w:tcPr>
          <w:p w:rsidR="008C58FE" w:rsidRPr="0043547B" w:rsidRDefault="008C58FE" w:rsidP="00C866C2">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left w:val="single" w:sz="4" w:space="0" w:color="auto"/>
              <w:right w:val="single" w:sz="18" w:space="0" w:color="auto"/>
            </w:tcBorders>
            <w:shd w:val="clear" w:color="auto" w:fill="FFFFCC"/>
            <w:vAlign w:val="bottom"/>
          </w:tcPr>
          <w:p w:rsidR="008C58FE" w:rsidRPr="00951EE9" w:rsidRDefault="008C58FE" w:rsidP="00C866C2">
            <w:pPr>
              <w:spacing w:after="0" w:line="240" w:lineRule="auto"/>
              <w:jc w:val="center"/>
              <w:rPr>
                <w:rFonts w:cstheme="minorHAnsi"/>
                <w:b/>
                <w:bCs/>
                <w:sz w:val="24"/>
                <w:szCs w:val="24"/>
              </w:rPr>
            </w:pPr>
            <w:r w:rsidRPr="00951EE9">
              <w:rPr>
                <w:rFonts w:cstheme="minorHAnsi"/>
                <w:b/>
                <w:bCs/>
                <w:sz w:val="24"/>
                <w:szCs w:val="24"/>
              </w:rPr>
              <w:t>EN 1329-1</w:t>
            </w:r>
          </w:p>
        </w:tc>
      </w:tr>
      <w:tr w:rsidR="0043547B" w:rsidRPr="0043547B" w:rsidTr="00CB5DC0">
        <w:trPr>
          <w:trHeight w:val="49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8C58FE" w:rsidRPr="0043547B" w:rsidRDefault="008C58FE" w:rsidP="00C866C2">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vAlign w:val="center"/>
            <w:hideMark/>
          </w:tcPr>
          <w:p w:rsidR="008C58FE" w:rsidRPr="0043547B" w:rsidRDefault="008C58FE" w:rsidP="004E3FFD">
            <w:pPr>
              <w:spacing w:after="0" w:line="240" w:lineRule="auto"/>
              <w:rPr>
                <w:rFonts w:cstheme="minorHAnsi"/>
                <w:sz w:val="24"/>
                <w:szCs w:val="24"/>
              </w:rPr>
            </w:pPr>
            <w:r w:rsidRPr="0043547B">
              <w:rPr>
                <w:rFonts w:cstheme="minorHAnsi"/>
                <w:sz w:val="24"/>
                <w:szCs w:val="24"/>
              </w:rPr>
              <w:t xml:space="preserve">Systèmes de canalisations en plastique pour l'évacuation des eaux-vannes et des eaux usées (à basse et à haute température) à l'intérieur de la structure des </w:t>
            </w:r>
            <w:r w:rsidRPr="0043547B">
              <w:rPr>
                <w:rFonts w:cstheme="minorHAnsi"/>
                <w:sz w:val="24"/>
                <w:szCs w:val="24"/>
              </w:rPr>
              <w:lastRenderedPageBreak/>
              <w:t xml:space="preserve">bâtiments - Poly(chlorure de vinyle) non plastifié (PVC-U) - Partie 1 : Spécifications pour tubes, raccords et le système ;  </w:t>
            </w:r>
          </w:p>
        </w:tc>
      </w:tr>
      <w:tr w:rsidR="0043547B" w:rsidRPr="0043547B" w:rsidTr="00CB5DC0">
        <w:trPr>
          <w:trHeight w:val="141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8C58FE" w:rsidRPr="0043547B" w:rsidRDefault="008C58FE" w:rsidP="00C866C2">
            <w:pPr>
              <w:spacing w:after="0" w:line="240" w:lineRule="auto"/>
              <w:jc w:val="center"/>
              <w:rPr>
                <w:rFonts w:cstheme="minorHAnsi"/>
                <w:b/>
                <w:bCs/>
                <w:sz w:val="24"/>
                <w:szCs w:val="24"/>
              </w:rPr>
            </w:pPr>
            <w:r w:rsidRPr="0043547B">
              <w:rPr>
                <w:rFonts w:cstheme="minorHAnsi"/>
                <w:b/>
                <w:bCs/>
                <w:sz w:val="24"/>
                <w:szCs w:val="24"/>
              </w:rPr>
              <w:lastRenderedPageBreak/>
              <w:t>Domaine d’application :</w:t>
            </w:r>
          </w:p>
        </w:tc>
        <w:tc>
          <w:tcPr>
            <w:tcW w:w="7938" w:type="dxa"/>
            <w:tcBorders>
              <w:left w:val="single" w:sz="4" w:space="0" w:color="auto"/>
              <w:bottom w:val="single" w:sz="18" w:space="0" w:color="auto"/>
              <w:right w:val="single" w:sz="18" w:space="0" w:color="auto"/>
            </w:tcBorders>
            <w:shd w:val="clear" w:color="auto" w:fill="auto"/>
            <w:hideMark/>
          </w:tcPr>
          <w:p w:rsidR="004E3FFD" w:rsidRDefault="008C58FE" w:rsidP="00C866C2">
            <w:pPr>
              <w:spacing w:after="0" w:line="240" w:lineRule="auto"/>
              <w:jc w:val="both"/>
              <w:rPr>
                <w:rFonts w:cstheme="minorHAnsi"/>
                <w:sz w:val="24"/>
                <w:szCs w:val="24"/>
              </w:rPr>
            </w:pPr>
            <w:r w:rsidRPr="0043547B">
              <w:rPr>
                <w:rFonts w:cstheme="minorHAnsi"/>
                <w:sz w:val="24"/>
                <w:szCs w:val="24"/>
              </w:rPr>
              <w:t>Cette partie de l’EN 1329 spécifie les exigences pour les tubes à paroi compacte en poly(chlorure de vinyle) non plastifié (PVC-U), les raccords et le système destinés à être utilisés pour :</w:t>
            </w:r>
          </w:p>
          <w:p w:rsidR="004E3FFD" w:rsidRDefault="004E3FFD" w:rsidP="00C866C2">
            <w:pPr>
              <w:spacing w:after="0" w:line="240" w:lineRule="auto"/>
              <w:jc w:val="both"/>
              <w:rPr>
                <w:rFonts w:cstheme="minorHAnsi"/>
                <w:sz w:val="24"/>
                <w:szCs w:val="24"/>
              </w:rPr>
            </w:pPr>
            <w:r>
              <w:rPr>
                <w:rFonts w:cstheme="minorHAnsi"/>
                <w:sz w:val="24"/>
                <w:szCs w:val="24"/>
              </w:rPr>
              <w:t>-</w:t>
            </w:r>
            <w:r w:rsidR="008C58FE" w:rsidRPr="0043547B">
              <w:rPr>
                <w:rFonts w:cstheme="minorHAnsi"/>
                <w:sz w:val="24"/>
                <w:szCs w:val="24"/>
              </w:rPr>
              <w:t xml:space="preserve"> les applications d’évacuation des eaux-vannes et des eaux usées (à basse et à haute température) à l'intérieur des bâtiments (code de zone d’application « B ») ;</w:t>
            </w:r>
          </w:p>
          <w:p w:rsidR="00C866C2" w:rsidRDefault="004E3FFD" w:rsidP="00C866C2">
            <w:pPr>
              <w:spacing w:after="0" w:line="240" w:lineRule="auto"/>
              <w:jc w:val="both"/>
              <w:rPr>
                <w:rFonts w:cstheme="minorHAnsi"/>
                <w:i/>
                <w:iCs/>
              </w:rPr>
            </w:pPr>
            <w:r>
              <w:rPr>
                <w:rFonts w:cstheme="minorHAnsi"/>
                <w:sz w:val="24"/>
                <w:szCs w:val="24"/>
              </w:rPr>
              <w:t>-</w:t>
            </w:r>
            <w:r w:rsidR="008C58FE" w:rsidRPr="0043547B">
              <w:rPr>
                <w:rFonts w:cstheme="minorHAnsi"/>
                <w:sz w:val="24"/>
                <w:szCs w:val="24"/>
              </w:rPr>
              <w:t xml:space="preserve"> les applications d'évacuation des eaux-vannes et des eaux usées (à basse et à haute température) utilisables aussi bien à l'intérieur des bâtiments qu'en enterré dans la structure du bâtiment (code de zone d’application « BD »).</w:t>
            </w:r>
            <w:r w:rsidR="008C58FE" w:rsidRPr="0043547B">
              <w:rPr>
                <w:rFonts w:cstheme="minorHAnsi"/>
                <w:sz w:val="24"/>
                <w:szCs w:val="24"/>
              </w:rPr>
              <w:br/>
            </w:r>
            <w:r w:rsidR="008C58FE" w:rsidRPr="00C866C2">
              <w:rPr>
                <w:rFonts w:cstheme="minorHAnsi"/>
                <w:b/>
                <w:bCs/>
                <w:i/>
                <w:iCs/>
              </w:rPr>
              <w:t>NOTE 1 :</w:t>
            </w:r>
            <w:r w:rsidR="008C58FE" w:rsidRPr="00C866C2">
              <w:rPr>
                <w:rFonts w:cstheme="minorHAnsi"/>
                <w:i/>
                <w:iCs/>
              </w:rPr>
              <w:t xml:space="preserve"> L’utilisation prévue est repérée au niveau du marquage des produits par « B » ou «BD».</w:t>
            </w:r>
          </w:p>
          <w:p w:rsidR="00C866C2" w:rsidRDefault="008C58FE" w:rsidP="00C866C2">
            <w:pPr>
              <w:spacing w:after="0" w:line="240" w:lineRule="auto"/>
              <w:jc w:val="both"/>
              <w:rPr>
                <w:rFonts w:cstheme="minorHAnsi"/>
                <w:sz w:val="24"/>
                <w:szCs w:val="24"/>
              </w:rPr>
            </w:pPr>
            <w:r w:rsidRPr="00C866C2">
              <w:rPr>
                <w:rFonts w:cstheme="minorHAnsi"/>
                <w:b/>
                <w:bCs/>
                <w:i/>
                <w:iCs/>
              </w:rPr>
              <w:t>NOTE 2 :</w:t>
            </w:r>
            <w:r w:rsidRPr="00C866C2">
              <w:rPr>
                <w:rFonts w:cstheme="minorHAnsi"/>
                <w:i/>
                <w:iCs/>
              </w:rPr>
              <w:t xml:space="preserve"> Seuls sont destinés à l'usage en enterré dans la structure du bâtiment, les composants (marqués "BD") avec un diamètre extérieur nominal égal ou supérieur à 75 mm</w:t>
            </w:r>
            <w:r w:rsidRPr="0043547B">
              <w:rPr>
                <w:rFonts w:cstheme="minorHAnsi"/>
                <w:i/>
                <w:iCs/>
                <w:sz w:val="24"/>
                <w:szCs w:val="24"/>
              </w:rPr>
              <w:t>.</w:t>
            </w:r>
            <w:r w:rsidRPr="0043547B">
              <w:rPr>
                <w:rFonts w:cstheme="minorHAnsi"/>
                <w:sz w:val="24"/>
                <w:szCs w:val="24"/>
              </w:rPr>
              <w:br/>
              <w:t>Cette partie de l’EN 1329 est également applicable aux tubes en PVC-U, raccords et le système destinés aux usages suivants :</w:t>
            </w:r>
          </w:p>
          <w:p w:rsidR="00C866C2" w:rsidRDefault="004E3FFD" w:rsidP="00C866C2">
            <w:pPr>
              <w:spacing w:after="0" w:line="240" w:lineRule="auto"/>
              <w:jc w:val="both"/>
              <w:rPr>
                <w:rFonts w:cstheme="minorHAnsi"/>
                <w:sz w:val="24"/>
                <w:szCs w:val="24"/>
              </w:rPr>
            </w:pPr>
            <w:r>
              <w:rPr>
                <w:rFonts w:cstheme="minorHAnsi"/>
                <w:sz w:val="24"/>
                <w:szCs w:val="24"/>
              </w:rPr>
              <w:t xml:space="preserve">- </w:t>
            </w:r>
            <w:r w:rsidR="008C58FE" w:rsidRPr="0043547B">
              <w:rPr>
                <w:rFonts w:cstheme="minorHAnsi"/>
                <w:sz w:val="24"/>
                <w:szCs w:val="24"/>
              </w:rPr>
              <w:t>la partie de ventilation du réseau de canalisation en association avec des applications d’évacuation des eaux-usées ;</w:t>
            </w:r>
          </w:p>
          <w:p w:rsidR="00C866C2" w:rsidRDefault="004E3FFD" w:rsidP="00C866C2">
            <w:pPr>
              <w:spacing w:after="0" w:line="240" w:lineRule="auto"/>
              <w:jc w:val="both"/>
              <w:rPr>
                <w:rFonts w:cstheme="minorHAnsi"/>
                <w:sz w:val="24"/>
                <w:szCs w:val="24"/>
              </w:rPr>
            </w:pPr>
            <w:r>
              <w:rPr>
                <w:rFonts w:cstheme="minorHAnsi"/>
                <w:sz w:val="24"/>
                <w:szCs w:val="24"/>
              </w:rPr>
              <w:t>-</w:t>
            </w:r>
            <w:r w:rsidR="008C58FE" w:rsidRPr="0043547B">
              <w:rPr>
                <w:rFonts w:cstheme="minorHAnsi"/>
                <w:sz w:val="24"/>
                <w:szCs w:val="24"/>
              </w:rPr>
              <w:t xml:space="preserve"> canalisations pour les eaux pluviales à l'intérieur de la structure du bâtiment.</w:t>
            </w:r>
          </w:p>
          <w:p w:rsidR="00C866C2" w:rsidRDefault="008C58FE" w:rsidP="00C866C2">
            <w:pPr>
              <w:spacing w:after="0" w:line="240" w:lineRule="auto"/>
              <w:jc w:val="both"/>
              <w:rPr>
                <w:rFonts w:cstheme="minorHAnsi"/>
                <w:sz w:val="24"/>
                <w:szCs w:val="24"/>
              </w:rPr>
            </w:pPr>
            <w:r w:rsidRPr="0043547B">
              <w:rPr>
                <w:rFonts w:cstheme="minorHAnsi"/>
                <w:sz w:val="24"/>
                <w:szCs w:val="24"/>
              </w:rPr>
              <w:t>Elle spécifie également les paramètres d'essai pour les méthodes d'essai référencées dans la présente norme.</w:t>
            </w:r>
          </w:p>
          <w:p w:rsidR="00C866C2" w:rsidRPr="00C866C2" w:rsidRDefault="008C58FE" w:rsidP="00C866C2">
            <w:pPr>
              <w:spacing w:after="0" w:line="240" w:lineRule="auto"/>
              <w:jc w:val="both"/>
              <w:rPr>
                <w:rFonts w:cstheme="minorHAnsi"/>
                <w:i/>
                <w:iCs/>
              </w:rPr>
            </w:pPr>
            <w:r w:rsidRPr="0043547B">
              <w:rPr>
                <w:rFonts w:cstheme="minorHAnsi"/>
                <w:sz w:val="24"/>
                <w:szCs w:val="24"/>
              </w:rPr>
              <w:t>La présente norme couvre une gamme de dimensions nominales, une gamme de tubes et de raccords et</w:t>
            </w:r>
            <w:r w:rsidR="00C866C2">
              <w:rPr>
                <w:rFonts w:cstheme="minorHAnsi"/>
                <w:sz w:val="24"/>
                <w:szCs w:val="24"/>
              </w:rPr>
              <w:t xml:space="preserve"> </w:t>
            </w:r>
            <w:r w:rsidRPr="0043547B">
              <w:rPr>
                <w:rFonts w:cstheme="minorHAnsi"/>
                <w:sz w:val="24"/>
                <w:szCs w:val="24"/>
              </w:rPr>
              <w:t>donne des recommandations concernant les couleurs.</w:t>
            </w:r>
            <w:r w:rsidRPr="0043547B">
              <w:rPr>
                <w:rFonts w:cstheme="minorHAnsi"/>
                <w:sz w:val="24"/>
                <w:szCs w:val="24"/>
              </w:rPr>
              <w:br/>
            </w:r>
            <w:r w:rsidRPr="00C866C2">
              <w:rPr>
                <w:rFonts w:cstheme="minorHAnsi"/>
                <w:b/>
                <w:bCs/>
                <w:i/>
                <w:iCs/>
              </w:rPr>
              <w:t>NOTE 3 :</w:t>
            </w:r>
            <w:r w:rsidRPr="00C866C2">
              <w:rPr>
                <w:rFonts w:cstheme="minorHAnsi"/>
                <w:i/>
                <w:iCs/>
              </w:rPr>
              <w:t xml:space="preserve"> Il est de la responsabilité de l'acheteur ou du !concepteur du réseau" d'effectuer les sélections appropriées à partir de ces données en tenant compte des exigences particulières, des éventuelles règles nationales et des pratiques ou codes de pose appropriées.</w:t>
            </w:r>
          </w:p>
          <w:p w:rsidR="00C866C2" w:rsidRDefault="008C58FE" w:rsidP="00C866C2">
            <w:pPr>
              <w:spacing w:after="0" w:line="240" w:lineRule="auto"/>
              <w:jc w:val="both"/>
              <w:rPr>
                <w:rFonts w:cstheme="minorHAnsi"/>
                <w:i/>
                <w:iCs/>
              </w:rPr>
            </w:pPr>
            <w:r w:rsidRPr="0043547B">
              <w:rPr>
                <w:rFonts w:cstheme="minorHAnsi"/>
                <w:sz w:val="24"/>
                <w:szCs w:val="24"/>
              </w:rPr>
              <w:t>Pour une application externe en aérien il convient de spécifier des exigences supplémentaires dépendant du climat entre le fabricant et l'utilisateur.</w:t>
            </w:r>
            <w:r w:rsidRPr="0043547B">
              <w:rPr>
                <w:rFonts w:cstheme="minorHAnsi"/>
                <w:sz w:val="24"/>
                <w:szCs w:val="24"/>
              </w:rPr>
              <w:br/>
            </w:r>
            <w:r w:rsidRPr="00C866C2">
              <w:rPr>
                <w:rFonts w:cstheme="minorHAnsi"/>
                <w:b/>
                <w:bCs/>
                <w:i/>
                <w:iCs/>
              </w:rPr>
              <w:t>NOTE 4 :</w:t>
            </w:r>
            <w:r w:rsidRPr="00C866C2">
              <w:rPr>
                <w:rFonts w:cstheme="minorHAnsi"/>
                <w:i/>
                <w:iCs/>
              </w:rPr>
              <w:t xml:space="preserve"> Les tubes, les raccords et autres composants conformes à l'une des normes de produits plastiques listées dans l'Annexe B peuvent être utilisés avec des tubes et des raccords conformes à la présente Norme européenne dans la mesure où ils répondent aux exigences pour les dimensions d'assemblage données dans l'Article 6 et aux exigences du Tableau 24.</w:t>
            </w:r>
          </w:p>
          <w:p w:rsidR="008C58FE" w:rsidRPr="0043547B" w:rsidRDefault="008C58FE" w:rsidP="00C866C2">
            <w:pPr>
              <w:spacing w:after="0" w:line="240" w:lineRule="auto"/>
              <w:jc w:val="both"/>
              <w:rPr>
                <w:rFonts w:cstheme="minorHAnsi"/>
                <w:sz w:val="24"/>
                <w:szCs w:val="24"/>
              </w:rPr>
            </w:pPr>
            <w:r w:rsidRPr="00C866C2">
              <w:rPr>
                <w:rFonts w:cstheme="minorHAnsi"/>
                <w:b/>
                <w:bCs/>
                <w:i/>
                <w:iCs/>
              </w:rPr>
              <w:t>NOTE 5 :</w:t>
            </w:r>
            <w:r w:rsidRPr="00C866C2">
              <w:rPr>
                <w:rFonts w:cstheme="minorHAnsi"/>
                <w:i/>
                <w:iCs/>
              </w:rPr>
              <w:t xml:space="preserve"> Les assemblages et les colles sont considérés comme faisant partie du système tel que couvert dans le domaine d’application.</w:t>
            </w:r>
          </w:p>
        </w:tc>
      </w:tr>
      <w:tr w:rsidR="00E33F03" w:rsidRPr="0043547B" w:rsidTr="00D60309">
        <w:trPr>
          <w:trHeight w:val="330"/>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tcPr>
          <w:p w:rsidR="00E33F03" w:rsidRDefault="00E33F03" w:rsidP="00D60309">
            <w:pPr>
              <w:spacing w:after="0" w:line="240" w:lineRule="auto"/>
              <w:jc w:val="center"/>
              <w:rPr>
                <w:rFonts w:ascii="Calibri" w:hAnsi="Calibri" w:cs="Calibri"/>
                <w:b/>
                <w:bCs/>
              </w:rPr>
            </w:pPr>
            <w:r>
              <w:rPr>
                <w:rFonts w:ascii="Calibri" w:hAnsi="Calibri" w:cs="Calibri"/>
                <w:b/>
                <w:bCs/>
              </w:rPr>
              <w:t>Code</w:t>
            </w:r>
          </w:p>
        </w:tc>
        <w:tc>
          <w:tcPr>
            <w:tcW w:w="7938" w:type="dxa"/>
            <w:tcBorders>
              <w:top w:val="single" w:sz="18" w:space="0" w:color="auto"/>
              <w:left w:val="single" w:sz="4" w:space="0" w:color="auto"/>
              <w:bottom w:val="single" w:sz="18" w:space="0" w:color="auto"/>
              <w:right w:val="single" w:sz="18" w:space="0" w:color="auto"/>
            </w:tcBorders>
            <w:shd w:val="clear" w:color="auto" w:fill="B4CD81"/>
            <w:vAlign w:val="center"/>
          </w:tcPr>
          <w:p w:rsidR="00E33F03" w:rsidRPr="00D60309" w:rsidRDefault="00E33F03" w:rsidP="00D60309">
            <w:pPr>
              <w:spacing w:after="0" w:line="240" w:lineRule="auto"/>
              <w:jc w:val="center"/>
              <w:rPr>
                <w:rFonts w:ascii="Calibri" w:hAnsi="Calibri" w:cs="Calibri"/>
                <w:b/>
                <w:bCs/>
                <w:color w:val="000000"/>
                <w:sz w:val="24"/>
                <w:szCs w:val="24"/>
              </w:rPr>
            </w:pPr>
            <w:r w:rsidRPr="00D60309">
              <w:rPr>
                <w:rFonts w:ascii="Calibri" w:hAnsi="Calibri" w:cs="Calibri"/>
                <w:b/>
                <w:bCs/>
                <w:color w:val="000000"/>
                <w:sz w:val="24"/>
                <w:szCs w:val="24"/>
              </w:rPr>
              <w:t>NM ISO 16149</w:t>
            </w:r>
          </w:p>
        </w:tc>
      </w:tr>
      <w:tr w:rsidR="00E33F03" w:rsidRPr="0043547B" w:rsidTr="00D60309">
        <w:trPr>
          <w:trHeight w:val="330"/>
          <w:jc w:val="center"/>
        </w:trPr>
        <w:tc>
          <w:tcPr>
            <w:tcW w:w="1838" w:type="dxa"/>
            <w:tcBorders>
              <w:top w:val="single" w:sz="18" w:space="0" w:color="auto"/>
              <w:left w:val="single" w:sz="18" w:space="0" w:color="auto"/>
              <w:bottom w:val="single" w:sz="18" w:space="0" w:color="auto"/>
              <w:right w:val="single" w:sz="4" w:space="0" w:color="auto"/>
            </w:tcBorders>
            <w:shd w:val="clear" w:color="auto" w:fill="FFFF99"/>
            <w:vAlign w:val="center"/>
          </w:tcPr>
          <w:p w:rsidR="00E33F03" w:rsidRDefault="00E33F03" w:rsidP="00D60309">
            <w:pPr>
              <w:spacing w:after="0" w:line="240" w:lineRule="auto"/>
              <w:jc w:val="center"/>
              <w:rPr>
                <w:rFonts w:ascii="Calibri" w:hAnsi="Calibri" w:cs="Calibri"/>
                <w:b/>
                <w:bCs/>
                <w:sz w:val="24"/>
                <w:szCs w:val="24"/>
              </w:rPr>
            </w:pPr>
            <w:r>
              <w:rPr>
                <w:rFonts w:ascii="Calibri" w:hAnsi="Calibri" w:cs="Calibri"/>
                <w:b/>
                <w:bCs/>
              </w:rPr>
              <w:t>Equivalence</w:t>
            </w:r>
          </w:p>
        </w:tc>
        <w:tc>
          <w:tcPr>
            <w:tcW w:w="7938" w:type="dxa"/>
            <w:tcBorders>
              <w:top w:val="single" w:sz="18" w:space="0" w:color="auto"/>
              <w:left w:val="single" w:sz="4" w:space="0" w:color="auto"/>
              <w:bottom w:val="single" w:sz="18" w:space="0" w:color="auto"/>
              <w:right w:val="single" w:sz="18" w:space="0" w:color="auto"/>
            </w:tcBorders>
            <w:shd w:val="clear" w:color="auto" w:fill="FFFF99"/>
            <w:vAlign w:val="center"/>
          </w:tcPr>
          <w:p w:rsidR="00E33F03" w:rsidRPr="00D60309" w:rsidRDefault="00E33F03" w:rsidP="00D60309">
            <w:pPr>
              <w:spacing w:after="0" w:line="240" w:lineRule="auto"/>
              <w:jc w:val="center"/>
              <w:rPr>
                <w:rFonts w:ascii="Calibri" w:hAnsi="Calibri" w:cs="Calibri"/>
                <w:b/>
                <w:bCs/>
                <w:color w:val="000000"/>
                <w:sz w:val="24"/>
                <w:szCs w:val="24"/>
              </w:rPr>
            </w:pPr>
            <w:r w:rsidRPr="00D60309">
              <w:rPr>
                <w:rFonts w:ascii="Calibri" w:hAnsi="Calibri" w:cs="Calibri"/>
                <w:b/>
                <w:bCs/>
                <w:color w:val="000000"/>
                <w:sz w:val="24"/>
                <w:szCs w:val="24"/>
              </w:rPr>
              <w:t>ISO 16149</w:t>
            </w:r>
          </w:p>
        </w:tc>
      </w:tr>
      <w:tr w:rsidR="00E33F03" w:rsidRPr="0043547B" w:rsidTr="00D60309">
        <w:trPr>
          <w:trHeight w:val="330"/>
          <w:jc w:val="center"/>
        </w:trPr>
        <w:tc>
          <w:tcPr>
            <w:tcW w:w="1838" w:type="dxa"/>
            <w:tcBorders>
              <w:top w:val="single" w:sz="18" w:space="0" w:color="auto"/>
              <w:left w:val="single" w:sz="18" w:space="0" w:color="auto"/>
              <w:bottom w:val="single" w:sz="4" w:space="0" w:color="auto"/>
              <w:right w:val="single" w:sz="4" w:space="0" w:color="auto"/>
            </w:tcBorders>
            <w:shd w:val="clear" w:color="auto" w:fill="B8CCE4" w:themeFill="accent1" w:themeFillTint="66"/>
            <w:vAlign w:val="center"/>
          </w:tcPr>
          <w:p w:rsidR="00E33F03" w:rsidRDefault="00E33F03" w:rsidP="00D60309">
            <w:pPr>
              <w:spacing w:after="0" w:line="240" w:lineRule="auto"/>
              <w:jc w:val="center"/>
              <w:rPr>
                <w:rFonts w:ascii="Calibri" w:hAnsi="Calibri" w:cs="Calibri"/>
                <w:b/>
                <w:bCs/>
                <w:sz w:val="24"/>
                <w:szCs w:val="24"/>
              </w:rPr>
            </w:pPr>
            <w:r>
              <w:rPr>
                <w:rFonts w:ascii="Calibri" w:hAnsi="Calibri" w:cs="Calibri"/>
                <w:b/>
                <w:bCs/>
              </w:rPr>
              <w:t>Inti</w:t>
            </w:r>
            <w:r w:rsidRPr="00D60309">
              <w:rPr>
                <w:rFonts w:ascii="Calibri" w:hAnsi="Calibri" w:cs="Calibri"/>
                <w:b/>
                <w:bCs/>
                <w:shd w:val="clear" w:color="auto" w:fill="B8CCE4" w:themeFill="accent1" w:themeFillTint="66"/>
              </w:rPr>
              <w:t>t</w:t>
            </w:r>
            <w:r>
              <w:rPr>
                <w:rFonts w:ascii="Calibri" w:hAnsi="Calibri" w:cs="Calibri"/>
                <w:b/>
                <w:bCs/>
              </w:rPr>
              <w:t>ulé</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tcPr>
          <w:p w:rsidR="00E33F03" w:rsidRPr="00D60309" w:rsidRDefault="00E33F03" w:rsidP="00D60309">
            <w:pPr>
              <w:spacing w:after="0" w:line="240" w:lineRule="auto"/>
              <w:jc w:val="both"/>
              <w:rPr>
                <w:rFonts w:ascii="Calibri" w:hAnsi="Calibri" w:cs="Calibri"/>
                <w:color w:val="000000"/>
              </w:rPr>
            </w:pPr>
            <w:r w:rsidRPr="00D60309">
              <w:rPr>
                <w:rFonts w:ascii="Calibri" w:hAnsi="Calibri" w:cs="Calibri"/>
                <w:color w:val="000000"/>
              </w:rPr>
              <w:t xml:space="preserve">Matériel agricole d'irrigation - Tube en PVC, posé au-dessus du sol et utilisé avec basse pression pour l'irrigation en surface - Spécifications et méthodes d'essai </w:t>
            </w:r>
            <w:r w:rsidR="00D60309" w:rsidRPr="00D60309">
              <w:rPr>
                <w:rFonts w:ascii="Calibri" w:hAnsi="Calibri" w:cs="Calibri"/>
                <w:color w:val="000000"/>
              </w:rPr>
              <w:t xml:space="preserve"> </w:t>
            </w:r>
            <w:r w:rsidRPr="00D60309">
              <w:rPr>
                <w:rFonts w:ascii="Calibri" w:hAnsi="Calibri" w:cs="Calibri"/>
                <w:color w:val="000000"/>
              </w:rPr>
              <w:t xml:space="preserve"> </w:t>
            </w:r>
          </w:p>
        </w:tc>
      </w:tr>
      <w:tr w:rsidR="00E33F03" w:rsidRPr="00335D7D" w:rsidTr="00D60309">
        <w:trPr>
          <w:trHeight w:val="330"/>
          <w:jc w:val="center"/>
        </w:trPr>
        <w:tc>
          <w:tcPr>
            <w:tcW w:w="1838" w:type="dxa"/>
            <w:tcBorders>
              <w:top w:val="single" w:sz="4" w:space="0" w:color="auto"/>
              <w:left w:val="single" w:sz="18" w:space="0" w:color="auto"/>
              <w:bottom w:val="single" w:sz="18" w:space="0" w:color="auto"/>
              <w:right w:val="single" w:sz="4" w:space="0" w:color="auto"/>
            </w:tcBorders>
            <w:shd w:val="clear" w:color="auto" w:fill="auto"/>
            <w:vAlign w:val="center"/>
          </w:tcPr>
          <w:p w:rsidR="00E33F03" w:rsidRDefault="00E33F03" w:rsidP="00D60309">
            <w:pPr>
              <w:spacing w:after="0" w:line="240" w:lineRule="auto"/>
              <w:jc w:val="center"/>
              <w:rPr>
                <w:rFonts w:ascii="Calibri" w:hAnsi="Calibri" w:cs="Calibri"/>
                <w:b/>
                <w:bCs/>
                <w:sz w:val="24"/>
                <w:szCs w:val="24"/>
              </w:rPr>
            </w:pPr>
            <w:r>
              <w:rPr>
                <w:rFonts w:ascii="Calibri" w:hAnsi="Calibri" w:cs="Calibri"/>
                <w:b/>
                <w:bCs/>
              </w:rPr>
              <w:t>Domaine d’application</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bottom"/>
          </w:tcPr>
          <w:p w:rsidR="00E33F03" w:rsidRPr="00D60309" w:rsidRDefault="00E33F03" w:rsidP="00D60309">
            <w:pPr>
              <w:spacing w:after="0" w:line="240" w:lineRule="auto"/>
              <w:jc w:val="both"/>
              <w:rPr>
                <w:rFonts w:ascii="Calibri" w:hAnsi="Calibri" w:cs="Calibri"/>
                <w:color w:val="000000"/>
                <w:lang w:val="en-ZA"/>
              </w:rPr>
            </w:pPr>
            <w:r w:rsidRPr="00D60309">
              <w:rPr>
                <w:rFonts w:ascii="Calibri" w:hAnsi="Calibri" w:cs="Calibri"/>
                <w:color w:val="000000"/>
                <w:lang w:val="en-ZA"/>
              </w:rPr>
              <w:t>This International Standard specifies the requirements for unplasticized polyvinyl chloride (PVC) piping, used</w:t>
            </w:r>
            <w:r w:rsidR="00D60309">
              <w:rPr>
                <w:rFonts w:ascii="Calibri" w:hAnsi="Calibri" w:cs="Calibri"/>
                <w:color w:val="000000"/>
                <w:lang w:val="en-ZA"/>
              </w:rPr>
              <w:t xml:space="preserve"> </w:t>
            </w:r>
            <w:r w:rsidRPr="00D60309">
              <w:rPr>
                <w:rFonts w:ascii="Calibri" w:hAnsi="Calibri" w:cs="Calibri"/>
                <w:color w:val="000000"/>
                <w:lang w:val="en-ZA"/>
              </w:rPr>
              <w:t>to supply and to distribute low-pressure irrigation water through gates. lt is applicable to PVC piping with</w:t>
            </w:r>
            <w:r w:rsidR="00D60309">
              <w:rPr>
                <w:rFonts w:ascii="Calibri" w:hAnsi="Calibri" w:cs="Calibri"/>
                <w:color w:val="000000"/>
                <w:lang w:val="en-ZA"/>
              </w:rPr>
              <w:t xml:space="preserve"> </w:t>
            </w:r>
            <w:r w:rsidRPr="00D60309">
              <w:rPr>
                <w:rFonts w:ascii="Calibri" w:hAnsi="Calibri" w:cs="Calibri"/>
                <w:color w:val="000000"/>
                <w:lang w:val="en-ZA"/>
              </w:rPr>
              <w:t>diameters of from 50 mm to 315 mm, operating at low pressures and exposed to sunlight.</w:t>
            </w:r>
          </w:p>
        </w:tc>
      </w:tr>
      <w:tr w:rsidR="00E33F03" w:rsidRPr="0043547B" w:rsidTr="00D60309">
        <w:trPr>
          <w:trHeight w:val="330"/>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tcPr>
          <w:p w:rsidR="00E33F03" w:rsidRDefault="00E33F03" w:rsidP="00D60309">
            <w:pPr>
              <w:spacing w:after="0" w:line="240" w:lineRule="auto"/>
              <w:jc w:val="center"/>
              <w:rPr>
                <w:rFonts w:ascii="Calibri" w:hAnsi="Calibri" w:cs="Calibri"/>
                <w:b/>
                <w:bCs/>
                <w:sz w:val="24"/>
                <w:szCs w:val="24"/>
              </w:rPr>
            </w:pPr>
            <w:r>
              <w:rPr>
                <w:rFonts w:ascii="Calibri" w:hAnsi="Calibri" w:cs="Calibri"/>
                <w:b/>
                <w:bCs/>
              </w:rPr>
              <w:t>Code</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tcPr>
          <w:p w:rsidR="00E33F03" w:rsidRPr="00D60309" w:rsidRDefault="00E33F03" w:rsidP="00D60309">
            <w:pPr>
              <w:spacing w:after="0" w:line="240" w:lineRule="auto"/>
              <w:jc w:val="center"/>
              <w:rPr>
                <w:rFonts w:ascii="Calibri" w:hAnsi="Calibri" w:cs="Calibri"/>
                <w:b/>
                <w:bCs/>
                <w:color w:val="000000"/>
                <w:sz w:val="24"/>
                <w:szCs w:val="24"/>
              </w:rPr>
            </w:pPr>
            <w:r w:rsidRPr="00D60309">
              <w:rPr>
                <w:rFonts w:ascii="Calibri" w:hAnsi="Calibri" w:cs="Calibri"/>
                <w:b/>
                <w:bCs/>
                <w:color w:val="000000"/>
                <w:sz w:val="24"/>
                <w:szCs w:val="24"/>
              </w:rPr>
              <w:t>NM ISO 3514</w:t>
            </w:r>
          </w:p>
        </w:tc>
      </w:tr>
      <w:tr w:rsidR="00E33F03" w:rsidRPr="0043547B" w:rsidTr="00D60309">
        <w:trPr>
          <w:trHeight w:val="330"/>
          <w:jc w:val="center"/>
        </w:trPr>
        <w:tc>
          <w:tcPr>
            <w:tcW w:w="1838" w:type="dxa"/>
            <w:tcBorders>
              <w:top w:val="single" w:sz="18" w:space="0" w:color="auto"/>
              <w:left w:val="single" w:sz="18" w:space="0" w:color="auto"/>
              <w:bottom w:val="single" w:sz="18" w:space="0" w:color="auto"/>
              <w:right w:val="single" w:sz="4" w:space="0" w:color="auto"/>
            </w:tcBorders>
            <w:shd w:val="clear" w:color="auto" w:fill="FFFF99"/>
            <w:vAlign w:val="center"/>
          </w:tcPr>
          <w:p w:rsidR="00E33F03" w:rsidRDefault="00E33F03" w:rsidP="00D60309">
            <w:pPr>
              <w:spacing w:after="0" w:line="240" w:lineRule="auto"/>
              <w:jc w:val="center"/>
              <w:rPr>
                <w:rFonts w:ascii="Calibri" w:hAnsi="Calibri" w:cs="Calibri"/>
                <w:b/>
                <w:bCs/>
                <w:sz w:val="24"/>
                <w:szCs w:val="24"/>
              </w:rPr>
            </w:pPr>
            <w:r>
              <w:rPr>
                <w:rFonts w:ascii="Calibri" w:hAnsi="Calibri" w:cs="Calibri"/>
                <w:b/>
                <w:bCs/>
              </w:rPr>
              <w:t>Equivalence</w:t>
            </w:r>
          </w:p>
        </w:tc>
        <w:tc>
          <w:tcPr>
            <w:tcW w:w="7938" w:type="dxa"/>
            <w:tcBorders>
              <w:top w:val="single" w:sz="18" w:space="0" w:color="auto"/>
              <w:left w:val="single" w:sz="4" w:space="0" w:color="auto"/>
              <w:bottom w:val="single" w:sz="18" w:space="0" w:color="auto"/>
              <w:right w:val="single" w:sz="18" w:space="0" w:color="auto"/>
            </w:tcBorders>
            <w:shd w:val="clear" w:color="auto" w:fill="FFFF99"/>
            <w:vAlign w:val="center"/>
          </w:tcPr>
          <w:p w:rsidR="00E33F03" w:rsidRPr="00D60309" w:rsidRDefault="00E33F03" w:rsidP="00D60309">
            <w:pPr>
              <w:spacing w:after="0" w:line="240" w:lineRule="auto"/>
              <w:jc w:val="center"/>
              <w:rPr>
                <w:rFonts w:ascii="Calibri" w:hAnsi="Calibri" w:cs="Calibri"/>
                <w:b/>
                <w:bCs/>
                <w:color w:val="000000"/>
                <w:sz w:val="24"/>
                <w:szCs w:val="24"/>
              </w:rPr>
            </w:pPr>
            <w:r w:rsidRPr="00D60309">
              <w:rPr>
                <w:rFonts w:ascii="Calibri" w:hAnsi="Calibri" w:cs="Calibri"/>
                <w:b/>
                <w:bCs/>
                <w:color w:val="000000"/>
                <w:sz w:val="24"/>
                <w:szCs w:val="24"/>
              </w:rPr>
              <w:t>ISO 3514</w:t>
            </w:r>
          </w:p>
        </w:tc>
      </w:tr>
      <w:tr w:rsidR="00E33F03" w:rsidRPr="0043547B" w:rsidTr="00D60309">
        <w:trPr>
          <w:trHeight w:val="330"/>
          <w:jc w:val="center"/>
        </w:trPr>
        <w:tc>
          <w:tcPr>
            <w:tcW w:w="1838" w:type="dxa"/>
            <w:tcBorders>
              <w:top w:val="single" w:sz="18" w:space="0" w:color="auto"/>
              <w:left w:val="single" w:sz="18" w:space="0" w:color="auto"/>
              <w:bottom w:val="single" w:sz="4" w:space="0" w:color="auto"/>
              <w:right w:val="single" w:sz="4" w:space="0" w:color="auto"/>
            </w:tcBorders>
            <w:shd w:val="clear" w:color="auto" w:fill="B8CCE4" w:themeFill="accent1" w:themeFillTint="66"/>
            <w:vAlign w:val="center"/>
          </w:tcPr>
          <w:p w:rsidR="00E33F03" w:rsidRDefault="00E33F03" w:rsidP="00D60309">
            <w:pPr>
              <w:spacing w:after="0" w:line="240" w:lineRule="auto"/>
              <w:jc w:val="center"/>
              <w:rPr>
                <w:rFonts w:ascii="Calibri" w:hAnsi="Calibri" w:cs="Calibri"/>
                <w:b/>
                <w:bCs/>
                <w:sz w:val="24"/>
                <w:szCs w:val="24"/>
              </w:rPr>
            </w:pPr>
            <w:r>
              <w:rPr>
                <w:rFonts w:ascii="Calibri" w:hAnsi="Calibri" w:cs="Calibri"/>
                <w:b/>
                <w:bCs/>
              </w:rPr>
              <w:t>Intitulé </w:t>
            </w:r>
            <w:r w:rsidR="00D60309">
              <w:rPr>
                <w:rFonts w:ascii="Calibri" w:hAnsi="Calibri" w:cs="Calibri"/>
                <w:b/>
                <w:bCs/>
              </w:rPr>
              <w:t xml:space="preserve">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tcPr>
          <w:p w:rsidR="00E33F03" w:rsidRPr="00D60309" w:rsidRDefault="00E33F03" w:rsidP="00D60309">
            <w:pPr>
              <w:spacing w:after="0" w:line="240" w:lineRule="auto"/>
              <w:jc w:val="both"/>
              <w:rPr>
                <w:rFonts w:ascii="Calibri" w:hAnsi="Calibri" w:cs="Calibri"/>
                <w:color w:val="000000"/>
              </w:rPr>
            </w:pPr>
            <w:r w:rsidRPr="00D60309">
              <w:rPr>
                <w:rFonts w:ascii="Calibri" w:hAnsi="Calibri" w:cs="Calibri"/>
                <w:color w:val="000000"/>
              </w:rPr>
              <w:t xml:space="preserve">Tubes et raccords en polychlorure de vinyle chloré (PVC-C) - Spécification et détermination de la masse volumique </w:t>
            </w:r>
            <w:r w:rsidR="00D60309" w:rsidRPr="00D60309">
              <w:rPr>
                <w:rFonts w:ascii="Calibri" w:hAnsi="Calibri" w:cs="Calibri"/>
                <w:color w:val="000000"/>
              </w:rPr>
              <w:t xml:space="preserve"> </w:t>
            </w:r>
            <w:r w:rsidRPr="00D60309">
              <w:rPr>
                <w:rFonts w:ascii="Calibri" w:hAnsi="Calibri" w:cs="Calibri"/>
                <w:color w:val="000000"/>
              </w:rPr>
              <w:t xml:space="preserve"> </w:t>
            </w:r>
          </w:p>
        </w:tc>
      </w:tr>
      <w:tr w:rsidR="00E33F03" w:rsidRPr="0043547B" w:rsidTr="00D60309">
        <w:trPr>
          <w:trHeight w:val="330"/>
          <w:jc w:val="center"/>
        </w:trPr>
        <w:tc>
          <w:tcPr>
            <w:tcW w:w="1838" w:type="dxa"/>
            <w:tcBorders>
              <w:top w:val="single" w:sz="4" w:space="0" w:color="auto"/>
              <w:left w:val="single" w:sz="18" w:space="0" w:color="auto"/>
              <w:bottom w:val="single" w:sz="18" w:space="0" w:color="auto"/>
              <w:right w:val="single" w:sz="4" w:space="0" w:color="auto"/>
            </w:tcBorders>
            <w:shd w:val="clear" w:color="auto" w:fill="auto"/>
            <w:vAlign w:val="center"/>
          </w:tcPr>
          <w:p w:rsidR="00E33F03" w:rsidRDefault="00E33F03" w:rsidP="00D60309">
            <w:pPr>
              <w:spacing w:after="0" w:line="240" w:lineRule="auto"/>
              <w:jc w:val="center"/>
              <w:rPr>
                <w:rFonts w:ascii="Calibri" w:hAnsi="Calibri" w:cs="Calibri"/>
                <w:b/>
                <w:bCs/>
                <w:sz w:val="24"/>
                <w:szCs w:val="24"/>
              </w:rPr>
            </w:pPr>
            <w:r>
              <w:rPr>
                <w:rFonts w:ascii="Calibri" w:hAnsi="Calibri" w:cs="Calibri"/>
                <w:b/>
                <w:bCs/>
              </w:rPr>
              <w:lastRenderedPageBreak/>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bottom"/>
          </w:tcPr>
          <w:p w:rsidR="00E33F03" w:rsidRDefault="00E33F03" w:rsidP="00D60309">
            <w:pPr>
              <w:spacing w:after="0" w:line="240" w:lineRule="auto"/>
              <w:jc w:val="both"/>
              <w:rPr>
                <w:rFonts w:ascii="Calibri" w:hAnsi="Calibri" w:cs="Calibri"/>
                <w:color w:val="000000"/>
              </w:rPr>
            </w:pPr>
            <w:r>
              <w:rPr>
                <w:rFonts w:ascii="Calibri" w:hAnsi="Calibri" w:cs="Calibri"/>
                <w:color w:val="000000"/>
              </w:rPr>
              <w:t>La présente Norme Internationale spécifie une méthode de</w:t>
            </w:r>
            <w:r w:rsidR="00D60309">
              <w:rPr>
                <w:rFonts w:ascii="Calibri" w:hAnsi="Calibri" w:cs="Calibri"/>
                <w:color w:val="000000"/>
              </w:rPr>
              <w:t xml:space="preserve"> </w:t>
            </w:r>
            <w:r>
              <w:rPr>
                <w:rFonts w:ascii="Calibri" w:hAnsi="Calibri" w:cs="Calibri"/>
                <w:color w:val="000000"/>
              </w:rPr>
              <w:t>détermination de la masse volumique des tubes et des</w:t>
            </w:r>
            <w:r w:rsidR="00D60309">
              <w:rPr>
                <w:rFonts w:ascii="Calibri" w:hAnsi="Calibri" w:cs="Calibri"/>
                <w:color w:val="000000"/>
              </w:rPr>
              <w:t xml:space="preserve"> </w:t>
            </w:r>
            <w:r>
              <w:rPr>
                <w:rFonts w:ascii="Calibri" w:hAnsi="Calibri" w:cs="Calibri"/>
                <w:color w:val="000000"/>
              </w:rPr>
              <w:t>raccords en polychlorure de vinyle chloré (PVC-C) et fixe</w:t>
            </w:r>
            <w:r>
              <w:rPr>
                <w:rFonts w:ascii="Calibri" w:hAnsi="Calibri" w:cs="Calibri"/>
                <w:color w:val="000000"/>
              </w:rPr>
              <w:br/>
              <w:t>les limites admissibles pour cette masse volumique.</w:t>
            </w:r>
          </w:p>
        </w:tc>
      </w:tr>
      <w:tr w:rsidR="00E33F03" w:rsidRPr="0043547B" w:rsidTr="00D60309">
        <w:trPr>
          <w:trHeight w:val="330"/>
          <w:jc w:val="center"/>
        </w:trPr>
        <w:tc>
          <w:tcPr>
            <w:tcW w:w="1838" w:type="dxa"/>
            <w:tcBorders>
              <w:top w:val="single" w:sz="18" w:space="0" w:color="auto"/>
              <w:left w:val="single" w:sz="18" w:space="0" w:color="auto"/>
              <w:bottom w:val="single" w:sz="18" w:space="0" w:color="auto"/>
              <w:right w:val="single" w:sz="4" w:space="0" w:color="auto"/>
            </w:tcBorders>
            <w:shd w:val="clear" w:color="auto" w:fill="D6E3BC" w:themeFill="accent3" w:themeFillTint="66"/>
            <w:vAlign w:val="center"/>
          </w:tcPr>
          <w:p w:rsidR="00E33F03" w:rsidRDefault="00E33F03" w:rsidP="00D60309">
            <w:pPr>
              <w:spacing w:after="0" w:line="240" w:lineRule="auto"/>
              <w:jc w:val="center"/>
              <w:rPr>
                <w:rFonts w:ascii="Calibri" w:hAnsi="Calibri" w:cs="Calibri"/>
                <w:b/>
                <w:bCs/>
                <w:sz w:val="24"/>
                <w:szCs w:val="24"/>
              </w:rPr>
            </w:pPr>
            <w:r>
              <w:rPr>
                <w:rFonts w:ascii="Calibri" w:hAnsi="Calibri" w:cs="Calibri"/>
                <w:b/>
                <w:bCs/>
              </w:rPr>
              <w:t xml:space="preserve">Code </w:t>
            </w:r>
            <w:r w:rsidR="00D60309">
              <w:rPr>
                <w:rFonts w:ascii="Calibri" w:hAnsi="Calibri" w:cs="Calibri"/>
                <w:b/>
                <w:bCs/>
              </w:rPr>
              <w:t xml:space="preserve"> </w:t>
            </w:r>
          </w:p>
        </w:tc>
        <w:tc>
          <w:tcPr>
            <w:tcW w:w="7938" w:type="dxa"/>
            <w:tcBorders>
              <w:top w:val="single" w:sz="18" w:space="0" w:color="auto"/>
              <w:left w:val="single" w:sz="4" w:space="0" w:color="auto"/>
              <w:bottom w:val="single" w:sz="18" w:space="0" w:color="auto"/>
              <w:right w:val="single" w:sz="18" w:space="0" w:color="auto"/>
            </w:tcBorders>
            <w:shd w:val="clear" w:color="auto" w:fill="D6E3BC" w:themeFill="accent3" w:themeFillTint="66"/>
            <w:vAlign w:val="center"/>
          </w:tcPr>
          <w:p w:rsidR="00E33F03" w:rsidRPr="00D60309" w:rsidRDefault="00E33F03" w:rsidP="00D60309">
            <w:pPr>
              <w:spacing w:after="0" w:line="240" w:lineRule="auto"/>
              <w:jc w:val="center"/>
              <w:rPr>
                <w:rFonts w:ascii="Calibri" w:hAnsi="Calibri" w:cs="Calibri"/>
                <w:b/>
                <w:bCs/>
                <w:color w:val="000000"/>
                <w:sz w:val="24"/>
                <w:szCs w:val="24"/>
              </w:rPr>
            </w:pPr>
            <w:r w:rsidRPr="00D60309">
              <w:rPr>
                <w:rFonts w:ascii="Calibri" w:hAnsi="Calibri" w:cs="Calibri"/>
                <w:b/>
                <w:bCs/>
                <w:color w:val="000000"/>
                <w:sz w:val="24"/>
                <w:szCs w:val="24"/>
              </w:rPr>
              <w:t>NM ISO 4427-2</w:t>
            </w:r>
          </w:p>
        </w:tc>
      </w:tr>
      <w:tr w:rsidR="00E33F03" w:rsidRPr="0043547B" w:rsidTr="00D60309">
        <w:trPr>
          <w:trHeight w:val="330"/>
          <w:jc w:val="center"/>
        </w:trPr>
        <w:tc>
          <w:tcPr>
            <w:tcW w:w="1838" w:type="dxa"/>
            <w:tcBorders>
              <w:top w:val="single" w:sz="18" w:space="0" w:color="auto"/>
              <w:left w:val="single" w:sz="18" w:space="0" w:color="auto"/>
              <w:bottom w:val="single" w:sz="18" w:space="0" w:color="auto"/>
              <w:right w:val="single" w:sz="4" w:space="0" w:color="auto"/>
            </w:tcBorders>
            <w:shd w:val="clear" w:color="auto" w:fill="FFFF99"/>
            <w:vAlign w:val="center"/>
          </w:tcPr>
          <w:p w:rsidR="00E33F03" w:rsidRDefault="00E33F03" w:rsidP="00D60309">
            <w:pPr>
              <w:spacing w:after="0" w:line="240" w:lineRule="auto"/>
              <w:jc w:val="center"/>
              <w:rPr>
                <w:rFonts w:ascii="Calibri" w:hAnsi="Calibri" w:cs="Calibri"/>
                <w:b/>
                <w:bCs/>
                <w:sz w:val="24"/>
                <w:szCs w:val="24"/>
              </w:rPr>
            </w:pPr>
            <w:r>
              <w:rPr>
                <w:rFonts w:ascii="Calibri" w:hAnsi="Calibri" w:cs="Calibri"/>
                <w:b/>
                <w:bCs/>
              </w:rPr>
              <w:t>Equivalence </w:t>
            </w:r>
            <w:r w:rsidR="00D60309">
              <w:rPr>
                <w:rFonts w:ascii="Calibri" w:hAnsi="Calibri" w:cs="Calibri"/>
                <w:b/>
                <w:bCs/>
              </w:rPr>
              <w:t xml:space="preserve"> </w:t>
            </w:r>
          </w:p>
        </w:tc>
        <w:tc>
          <w:tcPr>
            <w:tcW w:w="7938" w:type="dxa"/>
            <w:tcBorders>
              <w:top w:val="single" w:sz="18" w:space="0" w:color="auto"/>
              <w:left w:val="single" w:sz="4" w:space="0" w:color="auto"/>
              <w:bottom w:val="single" w:sz="18" w:space="0" w:color="auto"/>
              <w:right w:val="single" w:sz="18" w:space="0" w:color="auto"/>
            </w:tcBorders>
            <w:shd w:val="clear" w:color="auto" w:fill="FFFF99"/>
            <w:vAlign w:val="center"/>
          </w:tcPr>
          <w:p w:rsidR="00E33F03" w:rsidRPr="00D60309" w:rsidRDefault="00E33F03" w:rsidP="00D60309">
            <w:pPr>
              <w:spacing w:after="0" w:line="240" w:lineRule="auto"/>
              <w:jc w:val="center"/>
              <w:rPr>
                <w:rFonts w:ascii="Calibri" w:hAnsi="Calibri" w:cs="Calibri"/>
                <w:b/>
                <w:bCs/>
                <w:color w:val="000000"/>
                <w:sz w:val="24"/>
                <w:szCs w:val="24"/>
              </w:rPr>
            </w:pPr>
            <w:r w:rsidRPr="00D60309">
              <w:rPr>
                <w:rFonts w:ascii="Calibri" w:hAnsi="Calibri" w:cs="Calibri"/>
                <w:b/>
                <w:bCs/>
                <w:color w:val="000000"/>
                <w:sz w:val="24"/>
                <w:szCs w:val="24"/>
              </w:rPr>
              <w:t>ISO 4427-2</w:t>
            </w:r>
          </w:p>
        </w:tc>
      </w:tr>
      <w:tr w:rsidR="00E33F03" w:rsidRPr="0043547B" w:rsidTr="00D60309">
        <w:trPr>
          <w:trHeight w:val="330"/>
          <w:jc w:val="center"/>
        </w:trPr>
        <w:tc>
          <w:tcPr>
            <w:tcW w:w="1838" w:type="dxa"/>
            <w:tcBorders>
              <w:top w:val="single" w:sz="18" w:space="0" w:color="auto"/>
              <w:left w:val="single" w:sz="18" w:space="0" w:color="auto"/>
              <w:bottom w:val="single" w:sz="4" w:space="0" w:color="auto"/>
              <w:right w:val="single" w:sz="4" w:space="0" w:color="auto"/>
            </w:tcBorders>
            <w:shd w:val="clear" w:color="auto" w:fill="B8CCE4" w:themeFill="accent1" w:themeFillTint="66"/>
            <w:vAlign w:val="center"/>
          </w:tcPr>
          <w:p w:rsidR="00E33F03" w:rsidRDefault="00E33F03" w:rsidP="00D60309">
            <w:pPr>
              <w:spacing w:after="0" w:line="240" w:lineRule="auto"/>
              <w:jc w:val="center"/>
              <w:rPr>
                <w:rFonts w:ascii="Calibri" w:hAnsi="Calibri" w:cs="Calibri"/>
                <w:b/>
                <w:bCs/>
                <w:sz w:val="24"/>
                <w:szCs w:val="24"/>
              </w:rPr>
            </w:pPr>
            <w:r>
              <w:rPr>
                <w:rFonts w:ascii="Calibri" w:hAnsi="Calibri" w:cs="Calibri"/>
                <w:b/>
                <w:bCs/>
              </w:rPr>
              <w:t>Intitulé </w:t>
            </w:r>
            <w:r w:rsidR="00D60309">
              <w:rPr>
                <w:rFonts w:ascii="Calibri" w:hAnsi="Calibri" w:cs="Calibri"/>
                <w:b/>
                <w:bCs/>
              </w:rPr>
              <w:t xml:space="preserve">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tcPr>
          <w:p w:rsidR="00E33F03" w:rsidRPr="00D60309" w:rsidRDefault="00E33F03" w:rsidP="00D60309">
            <w:pPr>
              <w:spacing w:after="0" w:line="240" w:lineRule="auto"/>
              <w:jc w:val="both"/>
              <w:rPr>
                <w:rFonts w:ascii="Calibri" w:hAnsi="Calibri" w:cs="Calibri"/>
                <w:color w:val="000000"/>
              </w:rPr>
            </w:pPr>
            <w:r w:rsidRPr="00D60309">
              <w:rPr>
                <w:rFonts w:ascii="Calibri" w:hAnsi="Calibri" w:cs="Calibri"/>
                <w:color w:val="000000"/>
              </w:rPr>
              <w:t xml:space="preserve">Systèmes de canalisations en plastique destinés à l'alimentation en eau et aux branchements et collecteurs d'assainissement sous pression - Polyéthylène (PE) - Partie 2 : Tubes </w:t>
            </w:r>
            <w:r w:rsidR="00D60309">
              <w:rPr>
                <w:rFonts w:ascii="Calibri" w:hAnsi="Calibri" w:cs="Calibri"/>
                <w:color w:val="000000"/>
              </w:rPr>
              <w:t xml:space="preserve"> </w:t>
            </w:r>
            <w:r w:rsidRPr="00D60309">
              <w:rPr>
                <w:rFonts w:ascii="Calibri" w:hAnsi="Calibri" w:cs="Calibri"/>
                <w:color w:val="000000"/>
              </w:rPr>
              <w:t xml:space="preserve"> </w:t>
            </w:r>
          </w:p>
        </w:tc>
      </w:tr>
      <w:tr w:rsidR="00E33F03" w:rsidRPr="00335D7D" w:rsidTr="00D60309">
        <w:trPr>
          <w:trHeight w:val="330"/>
          <w:jc w:val="center"/>
        </w:trPr>
        <w:tc>
          <w:tcPr>
            <w:tcW w:w="1838" w:type="dxa"/>
            <w:tcBorders>
              <w:top w:val="single" w:sz="4" w:space="0" w:color="auto"/>
              <w:left w:val="single" w:sz="18" w:space="0" w:color="auto"/>
              <w:bottom w:val="single" w:sz="18" w:space="0" w:color="auto"/>
              <w:right w:val="single" w:sz="4" w:space="0" w:color="auto"/>
            </w:tcBorders>
            <w:shd w:val="clear" w:color="auto" w:fill="auto"/>
            <w:vAlign w:val="center"/>
          </w:tcPr>
          <w:p w:rsidR="00E33F03" w:rsidRDefault="00D60309" w:rsidP="00E33F03">
            <w:pPr>
              <w:jc w:val="both"/>
              <w:rPr>
                <w:rFonts w:ascii="Calibri" w:hAnsi="Calibri" w:cs="Calibri"/>
                <w:b/>
                <w:bCs/>
                <w:sz w:val="24"/>
                <w:szCs w:val="24"/>
              </w:rPr>
            </w:pPr>
            <w:r>
              <w:rPr>
                <w:rFonts w:ascii="Calibri" w:hAnsi="Calibri" w:cs="Calibri"/>
                <w:b/>
                <w:bCs/>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bottom"/>
          </w:tcPr>
          <w:p w:rsidR="00D60309" w:rsidRDefault="00E33F03" w:rsidP="00D60309">
            <w:pPr>
              <w:spacing w:after="0" w:line="240" w:lineRule="auto"/>
              <w:jc w:val="both"/>
              <w:rPr>
                <w:rFonts w:ascii="Calibri" w:hAnsi="Calibri" w:cs="Calibri"/>
                <w:color w:val="000000"/>
                <w:lang w:val="en-ZA"/>
              </w:rPr>
            </w:pPr>
            <w:r w:rsidRPr="00D60309">
              <w:rPr>
                <w:rFonts w:ascii="Calibri" w:hAnsi="Calibri" w:cs="Calibri"/>
                <w:color w:val="000000"/>
                <w:lang w:val="en-ZA"/>
              </w:rPr>
              <w:t>This document specifies the pipes made from polyethylene (PE) for buried or above ground applications,</w:t>
            </w:r>
            <w:r w:rsidR="00D60309">
              <w:rPr>
                <w:rFonts w:ascii="Calibri" w:hAnsi="Calibri" w:cs="Calibri"/>
                <w:color w:val="000000"/>
                <w:lang w:val="en-ZA"/>
              </w:rPr>
              <w:t xml:space="preserve"> </w:t>
            </w:r>
            <w:r w:rsidRPr="00D60309">
              <w:rPr>
                <w:rFonts w:ascii="Calibri" w:hAnsi="Calibri" w:cs="Calibri"/>
                <w:color w:val="000000"/>
                <w:lang w:val="en-ZA"/>
              </w:rPr>
              <w:t>intended for the conveyance of</w:t>
            </w:r>
            <w:r w:rsidR="00D60309">
              <w:rPr>
                <w:rFonts w:ascii="Calibri" w:hAnsi="Calibri" w:cs="Calibri"/>
                <w:color w:val="000000"/>
                <w:lang w:val="en-ZA"/>
              </w:rPr>
              <w:t xml:space="preserve"> </w:t>
            </w:r>
            <w:r w:rsidRPr="00D60309">
              <w:rPr>
                <w:rFonts w:ascii="Calibri" w:hAnsi="Calibri" w:cs="Calibri"/>
                <w:color w:val="000000"/>
                <w:lang w:val="en-ZA"/>
              </w:rPr>
              <w:t>:</w:t>
            </w:r>
          </w:p>
          <w:p w:rsidR="00D60309" w:rsidRDefault="00E33F03" w:rsidP="00D60309">
            <w:pPr>
              <w:spacing w:after="0" w:line="240" w:lineRule="auto"/>
              <w:jc w:val="both"/>
              <w:rPr>
                <w:rFonts w:ascii="Calibri" w:hAnsi="Calibri" w:cs="Calibri"/>
                <w:color w:val="000000"/>
                <w:lang w:val="en-ZA"/>
              </w:rPr>
            </w:pPr>
            <w:r w:rsidRPr="00D60309">
              <w:rPr>
                <w:rFonts w:ascii="Calibri" w:hAnsi="Calibri" w:cs="Calibri"/>
                <w:color w:val="000000"/>
                <w:lang w:val="en-ZA"/>
              </w:rPr>
              <w:t>— water for human consumption</w:t>
            </w:r>
            <w:r w:rsidR="00D60309">
              <w:rPr>
                <w:rFonts w:ascii="Calibri" w:hAnsi="Calibri" w:cs="Calibri"/>
                <w:color w:val="000000"/>
                <w:lang w:val="en-ZA"/>
              </w:rPr>
              <w:t xml:space="preserve"> </w:t>
            </w:r>
            <w:r w:rsidRPr="00D60309">
              <w:rPr>
                <w:rFonts w:ascii="Calibri" w:hAnsi="Calibri" w:cs="Calibri"/>
                <w:color w:val="000000"/>
                <w:lang w:val="en-ZA"/>
              </w:rPr>
              <w:t>;</w:t>
            </w:r>
          </w:p>
          <w:p w:rsidR="00D60309" w:rsidRDefault="00E33F03" w:rsidP="00D60309">
            <w:pPr>
              <w:spacing w:after="0" w:line="240" w:lineRule="auto"/>
              <w:jc w:val="both"/>
              <w:rPr>
                <w:rFonts w:ascii="Calibri" w:hAnsi="Calibri" w:cs="Calibri"/>
                <w:color w:val="000000"/>
                <w:lang w:val="en-ZA"/>
              </w:rPr>
            </w:pPr>
            <w:r w:rsidRPr="00D60309">
              <w:rPr>
                <w:rFonts w:ascii="Calibri" w:hAnsi="Calibri" w:cs="Calibri"/>
                <w:color w:val="000000"/>
                <w:lang w:val="en-ZA"/>
              </w:rPr>
              <w:t>— raw water prior to treatment</w:t>
            </w:r>
            <w:r w:rsidR="00D60309">
              <w:rPr>
                <w:rFonts w:ascii="Calibri" w:hAnsi="Calibri" w:cs="Calibri"/>
                <w:color w:val="000000"/>
                <w:lang w:val="en-ZA"/>
              </w:rPr>
              <w:t xml:space="preserve"> </w:t>
            </w:r>
            <w:r w:rsidRPr="00D60309">
              <w:rPr>
                <w:rFonts w:ascii="Calibri" w:hAnsi="Calibri" w:cs="Calibri"/>
                <w:color w:val="000000"/>
                <w:lang w:val="en-ZA"/>
              </w:rPr>
              <w:t>;</w:t>
            </w:r>
          </w:p>
          <w:p w:rsidR="00D60309" w:rsidRDefault="00E33F03" w:rsidP="00D60309">
            <w:pPr>
              <w:spacing w:after="0" w:line="240" w:lineRule="auto"/>
              <w:jc w:val="both"/>
              <w:rPr>
                <w:rFonts w:ascii="Calibri" w:hAnsi="Calibri" w:cs="Calibri"/>
                <w:color w:val="000000"/>
                <w:lang w:val="en-ZA"/>
              </w:rPr>
            </w:pPr>
            <w:r w:rsidRPr="00D60309">
              <w:rPr>
                <w:rFonts w:ascii="Calibri" w:hAnsi="Calibri" w:cs="Calibri"/>
                <w:color w:val="000000"/>
                <w:lang w:val="en-ZA"/>
              </w:rPr>
              <w:t>— drainage and sewerage under pressure</w:t>
            </w:r>
            <w:r w:rsidR="00D60309">
              <w:rPr>
                <w:rFonts w:ascii="Calibri" w:hAnsi="Calibri" w:cs="Calibri"/>
                <w:color w:val="000000"/>
                <w:lang w:val="en-ZA"/>
              </w:rPr>
              <w:t xml:space="preserve"> </w:t>
            </w:r>
            <w:r w:rsidRPr="00D60309">
              <w:rPr>
                <w:rFonts w:ascii="Calibri" w:hAnsi="Calibri" w:cs="Calibri"/>
                <w:color w:val="000000"/>
                <w:lang w:val="en-ZA"/>
              </w:rPr>
              <w:t>;</w:t>
            </w:r>
          </w:p>
          <w:p w:rsidR="00D60309" w:rsidRDefault="00E33F03" w:rsidP="00D60309">
            <w:pPr>
              <w:spacing w:after="0" w:line="240" w:lineRule="auto"/>
              <w:jc w:val="both"/>
              <w:rPr>
                <w:rFonts w:ascii="Calibri" w:hAnsi="Calibri" w:cs="Calibri"/>
                <w:color w:val="000000"/>
                <w:lang w:val="en-ZA"/>
              </w:rPr>
            </w:pPr>
            <w:r w:rsidRPr="00D60309">
              <w:rPr>
                <w:rFonts w:ascii="Calibri" w:hAnsi="Calibri" w:cs="Calibri"/>
                <w:color w:val="000000"/>
                <w:lang w:val="en-ZA"/>
              </w:rPr>
              <w:t>— vacuum sewer systems</w:t>
            </w:r>
            <w:r w:rsidR="00D60309">
              <w:rPr>
                <w:rFonts w:ascii="Calibri" w:hAnsi="Calibri" w:cs="Calibri"/>
                <w:color w:val="000000"/>
                <w:lang w:val="en-ZA"/>
              </w:rPr>
              <w:t xml:space="preserve"> </w:t>
            </w:r>
            <w:r w:rsidRPr="00D60309">
              <w:rPr>
                <w:rFonts w:ascii="Calibri" w:hAnsi="Calibri" w:cs="Calibri"/>
                <w:color w:val="000000"/>
                <w:lang w:val="en-ZA"/>
              </w:rPr>
              <w:t>;</w:t>
            </w:r>
          </w:p>
          <w:p w:rsidR="00D60309" w:rsidRDefault="00E33F03" w:rsidP="00D60309">
            <w:pPr>
              <w:spacing w:after="0" w:line="240" w:lineRule="auto"/>
              <w:jc w:val="both"/>
              <w:rPr>
                <w:rFonts w:ascii="Calibri" w:hAnsi="Calibri" w:cs="Calibri"/>
                <w:color w:val="000000"/>
                <w:lang w:val="en-ZA"/>
              </w:rPr>
            </w:pPr>
            <w:r w:rsidRPr="00D60309">
              <w:rPr>
                <w:rFonts w:ascii="Calibri" w:hAnsi="Calibri" w:cs="Calibri"/>
                <w:color w:val="000000"/>
                <w:lang w:val="en-ZA"/>
              </w:rPr>
              <w:t>— water for other purposes.</w:t>
            </w:r>
          </w:p>
          <w:p w:rsidR="00D60309" w:rsidRDefault="00E33F03" w:rsidP="00D60309">
            <w:pPr>
              <w:spacing w:after="0" w:line="240" w:lineRule="auto"/>
              <w:jc w:val="both"/>
              <w:rPr>
                <w:rFonts w:ascii="Calibri" w:hAnsi="Calibri" w:cs="Calibri"/>
                <w:color w:val="000000"/>
                <w:lang w:val="en-ZA"/>
              </w:rPr>
            </w:pPr>
            <w:r w:rsidRPr="00D60309">
              <w:rPr>
                <w:rFonts w:ascii="Calibri" w:hAnsi="Calibri" w:cs="Calibri"/>
                <w:b/>
                <w:bCs/>
                <w:i/>
                <w:iCs/>
                <w:color w:val="000000"/>
                <w:sz w:val="20"/>
                <w:szCs w:val="20"/>
                <w:lang w:val="en-ZA"/>
              </w:rPr>
              <w:t>NOTE 1</w:t>
            </w:r>
            <w:r w:rsidR="00D60309" w:rsidRPr="00D60309">
              <w:rPr>
                <w:rFonts w:ascii="Calibri" w:hAnsi="Calibri" w:cs="Calibri"/>
                <w:i/>
                <w:iCs/>
                <w:color w:val="000000"/>
                <w:sz w:val="20"/>
                <w:szCs w:val="20"/>
                <w:lang w:val="en-ZA"/>
              </w:rPr>
              <w:t xml:space="preserve"> :</w:t>
            </w:r>
            <w:r w:rsidRPr="00D60309">
              <w:rPr>
                <w:rFonts w:ascii="Calibri" w:hAnsi="Calibri" w:cs="Calibri"/>
                <w:i/>
                <w:iCs/>
                <w:color w:val="000000"/>
                <w:sz w:val="20"/>
                <w:szCs w:val="20"/>
                <w:lang w:val="en-ZA"/>
              </w:rPr>
              <w:t xml:space="preserve"> The intended uses include sea outfalls, laid in water and pipes suspended below bridges.</w:t>
            </w:r>
            <w:r w:rsidRPr="00D60309">
              <w:rPr>
                <w:rFonts w:ascii="Calibri" w:hAnsi="Calibri" w:cs="Calibri"/>
                <w:color w:val="000000"/>
                <w:lang w:val="en-ZA"/>
              </w:rPr>
              <w:br/>
              <w:t>Pipes complying with this document are not intended for the transport of water intended for human</w:t>
            </w:r>
            <w:r w:rsidR="00D60309">
              <w:rPr>
                <w:rFonts w:ascii="Calibri" w:hAnsi="Calibri" w:cs="Calibri"/>
                <w:color w:val="000000"/>
                <w:lang w:val="en-ZA"/>
              </w:rPr>
              <w:t xml:space="preserve"> </w:t>
            </w:r>
            <w:r w:rsidRPr="00D60309">
              <w:rPr>
                <w:rFonts w:ascii="Calibri" w:hAnsi="Calibri" w:cs="Calibri"/>
                <w:color w:val="000000"/>
                <w:lang w:val="en-ZA"/>
              </w:rPr>
              <w:t>consumption in contaminated soils unless special consideration has been taken.</w:t>
            </w:r>
          </w:p>
          <w:p w:rsidR="00D60309" w:rsidRPr="00D60309" w:rsidRDefault="00E33F03" w:rsidP="00D60309">
            <w:pPr>
              <w:spacing w:after="0" w:line="240" w:lineRule="auto"/>
              <w:jc w:val="both"/>
              <w:rPr>
                <w:rFonts w:ascii="Calibri" w:hAnsi="Calibri" w:cs="Calibri"/>
                <w:i/>
                <w:iCs/>
                <w:color w:val="000000"/>
                <w:sz w:val="20"/>
                <w:szCs w:val="20"/>
                <w:lang w:val="en-ZA"/>
              </w:rPr>
            </w:pPr>
            <w:r w:rsidRPr="00D60309">
              <w:rPr>
                <w:rFonts w:ascii="Calibri" w:hAnsi="Calibri" w:cs="Calibri"/>
                <w:b/>
                <w:bCs/>
                <w:i/>
                <w:iCs/>
                <w:color w:val="000000"/>
                <w:sz w:val="20"/>
                <w:szCs w:val="20"/>
                <w:lang w:val="en-ZA"/>
              </w:rPr>
              <w:t>NOTE 2</w:t>
            </w:r>
            <w:r w:rsidRPr="00D60309">
              <w:rPr>
                <w:rFonts w:ascii="Calibri" w:hAnsi="Calibri" w:cs="Calibri"/>
                <w:i/>
                <w:iCs/>
                <w:color w:val="000000"/>
                <w:sz w:val="20"/>
                <w:szCs w:val="20"/>
                <w:lang w:val="en-ZA"/>
              </w:rPr>
              <w:t xml:space="preserve"> </w:t>
            </w:r>
            <w:r w:rsidR="00D60309" w:rsidRPr="00D60309">
              <w:rPr>
                <w:rFonts w:ascii="Calibri" w:hAnsi="Calibri" w:cs="Calibri"/>
                <w:i/>
                <w:iCs/>
                <w:color w:val="000000"/>
                <w:sz w:val="20"/>
                <w:szCs w:val="20"/>
                <w:lang w:val="en-ZA"/>
              </w:rPr>
              <w:t xml:space="preserve">: </w:t>
            </w:r>
            <w:r w:rsidRPr="00D60309">
              <w:rPr>
                <w:rFonts w:ascii="Calibri" w:hAnsi="Calibri" w:cs="Calibri"/>
                <w:i/>
                <w:iCs/>
                <w:color w:val="000000"/>
                <w:sz w:val="20"/>
                <w:szCs w:val="20"/>
                <w:lang w:val="en-ZA"/>
              </w:rPr>
              <w:t>For example, ISO 21004 provides an alternative solution for use in contaminated soils. See</w:t>
            </w:r>
            <w:r w:rsidR="00D60309" w:rsidRPr="00D60309">
              <w:rPr>
                <w:rFonts w:ascii="Calibri" w:hAnsi="Calibri" w:cs="Calibri"/>
                <w:i/>
                <w:iCs/>
                <w:color w:val="000000"/>
                <w:sz w:val="20"/>
                <w:szCs w:val="20"/>
                <w:lang w:val="en-ZA"/>
              </w:rPr>
              <w:t xml:space="preserve"> </w:t>
            </w:r>
            <w:r w:rsidRPr="00D60309">
              <w:rPr>
                <w:rFonts w:ascii="Calibri" w:hAnsi="Calibri" w:cs="Calibri"/>
                <w:i/>
                <w:iCs/>
                <w:color w:val="000000"/>
                <w:sz w:val="20"/>
                <w:szCs w:val="20"/>
                <w:lang w:val="en-ZA"/>
              </w:rPr>
              <w:t>Reference [3] in the Bibliography.</w:t>
            </w:r>
          </w:p>
          <w:p w:rsidR="00D60309" w:rsidRDefault="00E33F03" w:rsidP="00D60309">
            <w:pPr>
              <w:spacing w:after="0" w:line="240" w:lineRule="auto"/>
              <w:jc w:val="both"/>
              <w:rPr>
                <w:rFonts w:ascii="Calibri" w:hAnsi="Calibri" w:cs="Calibri"/>
                <w:color w:val="000000"/>
                <w:lang w:val="en-ZA"/>
              </w:rPr>
            </w:pPr>
            <w:r w:rsidRPr="00D60309">
              <w:rPr>
                <w:rFonts w:ascii="Calibri" w:hAnsi="Calibri" w:cs="Calibri"/>
                <w:color w:val="000000"/>
                <w:lang w:val="en-ZA"/>
              </w:rPr>
              <w:t>This document specifies three types of pipe</w:t>
            </w:r>
            <w:r w:rsidR="00D60309">
              <w:rPr>
                <w:rFonts w:ascii="Calibri" w:hAnsi="Calibri" w:cs="Calibri"/>
                <w:color w:val="000000"/>
                <w:lang w:val="en-ZA"/>
              </w:rPr>
              <w:t xml:space="preserve"> </w:t>
            </w:r>
            <w:r w:rsidRPr="00D60309">
              <w:rPr>
                <w:rFonts w:ascii="Calibri" w:hAnsi="Calibri" w:cs="Calibri"/>
                <w:color w:val="000000"/>
                <w:lang w:val="en-ZA"/>
              </w:rPr>
              <w:t>:</w:t>
            </w:r>
            <w:r w:rsidR="00D60309">
              <w:rPr>
                <w:rFonts w:ascii="Calibri" w:hAnsi="Calibri" w:cs="Calibri"/>
                <w:color w:val="000000"/>
                <w:lang w:val="en-ZA"/>
              </w:rPr>
              <w:t xml:space="preserve"> </w:t>
            </w:r>
          </w:p>
          <w:p w:rsidR="00D60309" w:rsidRDefault="00E33F03" w:rsidP="00D60309">
            <w:pPr>
              <w:spacing w:after="0" w:line="240" w:lineRule="auto"/>
              <w:jc w:val="both"/>
              <w:rPr>
                <w:rFonts w:ascii="Calibri" w:hAnsi="Calibri" w:cs="Calibri"/>
                <w:color w:val="000000"/>
                <w:lang w:val="en-ZA"/>
              </w:rPr>
            </w:pPr>
            <w:r w:rsidRPr="00D60309">
              <w:rPr>
                <w:rFonts w:ascii="Calibri" w:hAnsi="Calibri" w:cs="Calibri"/>
                <w:color w:val="000000"/>
                <w:lang w:val="en-ZA"/>
              </w:rPr>
              <w:t>— PE pipes (outside diameter dn), including any identification stripes;</w:t>
            </w:r>
          </w:p>
          <w:p w:rsidR="00D60309" w:rsidRDefault="00E33F03" w:rsidP="00D60309">
            <w:pPr>
              <w:spacing w:after="0" w:line="240" w:lineRule="auto"/>
              <w:jc w:val="both"/>
              <w:rPr>
                <w:rFonts w:ascii="Calibri" w:hAnsi="Calibri" w:cs="Calibri"/>
                <w:color w:val="000000"/>
                <w:lang w:val="en-ZA"/>
              </w:rPr>
            </w:pPr>
            <w:r w:rsidRPr="00D60309">
              <w:rPr>
                <w:rFonts w:ascii="Calibri" w:hAnsi="Calibri" w:cs="Calibri"/>
                <w:color w:val="000000"/>
                <w:lang w:val="en-ZA"/>
              </w:rPr>
              <w:t>— PE pipes with co-extruded layers on either or both the outside and/or inside of the pipe (total outside</w:t>
            </w:r>
            <w:r w:rsidR="00D60309">
              <w:rPr>
                <w:rFonts w:ascii="Calibri" w:hAnsi="Calibri" w:cs="Calibri"/>
                <w:color w:val="000000"/>
                <w:lang w:val="en-ZA"/>
              </w:rPr>
              <w:t xml:space="preserve"> </w:t>
            </w:r>
            <w:r w:rsidRPr="00D60309">
              <w:rPr>
                <w:rFonts w:ascii="Calibri" w:hAnsi="Calibri" w:cs="Calibri"/>
                <w:color w:val="000000"/>
                <w:lang w:val="en-ZA"/>
              </w:rPr>
              <w:t>diameter dn) where all layers have the same MRS rating;</w:t>
            </w:r>
            <w:r w:rsidRPr="00D60309">
              <w:rPr>
                <w:rFonts w:ascii="Calibri" w:hAnsi="Calibri" w:cs="Calibri"/>
                <w:color w:val="000000"/>
                <w:lang w:val="en-ZA"/>
              </w:rPr>
              <w:br/>
              <w:t>— PE pipes (outside diameter dn) having a peelable and contiguous thermoplastics additional layer on</w:t>
            </w:r>
            <w:r w:rsidR="00D60309">
              <w:rPr>
                <w:rFonts w:ascii="Calibri" w:hAnsi="Calibri" w:cs="Calibri"/>
                <w:color w:val="000000"/>
                <w:lang w:val="en-ZA"/>
              </w:rPr>
              <w:t xml:space="preserve"> </w:t>
            </w:r>
            <w:r w:rsidRPr="00D60309">
              <w:rPr>
                <w:rFonts w:ascii="Calibri" w:hAnsi="Calibri" w:cs="Calibri"/>
                <w:color w:val="000000"/>
                <w:lang w:val="en-ZA"/>
              </w:rPr>
              <w:t>the outside of the pipe (“coated pipe”).</w:t>
            </w:r>
          </w:p>
          <w:p w:rsidR="00D60309" w:rsidRDefault="00E33F03" w:rsidP="00D60309">
            <w:pPr>
              <w:spacing w:after="0" w:line="240" w:lineRule="auto"/>
              <w:jc w:val="both"/>
              <w:rPr>
                <w:rFonts w:ascii="Calibri" w:hAnsi="Calibri" w:cs="Calibri"/>
                <w:color w:val="000000"/>
                <w:lang w:val="en-ZA"/>
              </w:rPr>
            </w:pPr>
            <w:r w:rsidRPr="00D60309">
              <w:rPr>
                <w:rFonts w:ascii="Calibri" w:hAnsi="Calibri" w:cs="Calibri"/>
                <w:color w:val="000000"/>
                <w:lang w:val="en-ZA"/>
              </w:rPr>
              <w:t>This document also specifies the test parameters for the test methods referred to in this document.</w:t>
            </w:r>
            <w:r w:rsidRPr="00D60309">
              <w:rPr>
                <w:rFonts w:ascii="Calibri" w:hAnsi="Calibri" w:cs="Calibri"/>
                <w:color w:val="000000"/>
                <w:lang w:val="en-ZA"/>
              </w:rPr>
              <w:br/>
              <w:t>In conjunction with the other parts of the ISO 4427 series, this document is applicable to PE pipes, their</w:t>
            </w:r>
            <w:r w:rsidR="00D60309">
              <w:rPr>
                <w:rFonts w:ascii="Calibri" w:hAnsi="Calibri" w:cs="Calibri"/>
                <w:color w:val="000000"/>
                <w:lang w:val="en-ZA"/>
              </w:rPr>
              <w:t xml:space="preserve"> </w:t>
            </w:r>
            <w:r w:rsidRPr="00D60309">
              <w:rPr>
                <w:rFonts w:ascii="Calibri" w:hAnsi="Calibri" w:cs="Calibri"/>
                <w:color w:val="000000"/>
                <w:lang w:val="en-ZA"/>
              </w:rPr>
              <w:t>joints and to joints with components made of PE and other materials, intended to be used under the</w:t>
            </w:r>
            <w:r w:rsidR="00D60309">
              <w:rPr>
                <w:rFonts w:ascii="Calibri" w:hAnsi="Calibri" w:cs="Calibri"/>
                <w:color w:val="000000"/>
                <w:lang w:val="en-ZA"/>
              </w:rPr>
              <w:t xml:space="preserve"> </w:t>
            </w:r>
            <w:r w:rsidRPr="00D60309">
              <w:rPr>
                <w:rFonts w:ascii="Calibri" w:hAnsi="Calibri" w:cs="Calibri"/>
                <w:color w:val="000000"/>
                <w:lang w:val="en-ZA"/>
              </w:rPr>
              <w:t>following conditions</w:t>
            </w:r>
            <w:r w:rsidR="00D60309">
              <w:rPr>
                <w:rFonts w:ascii="Calibri" w:hAnsi="Calibri" w:cs="Calibri"/>
                <w:color w:val="000000"/>
                <w:lang w:val="en-ZA"/>
              </w:rPr>
              <w:t xml:space="preserve"> </w:t>
            </w:r>
            <w:r w:rsidRPr="00D60309">
              <w:rPr>
                <w:rFonts w:ascii="Calibri" w:hAnsi="Calibri" w:cs="Calibri"/>
                <w:color w:val="000000"/>
                <w:lang w:val="en-ZA"/>
              </w:rPr>
              <w:t>:</w:t>
            </w:r>
          </w:p>
          <w:p w:rsidR="00D60309" w:rsidRDefault="00E33F03" w:rsidP="00D60309">
            <w:pPr>
              <w:spacing w:after="0" w:line="240" w:lineRule="auto"/>
              <w:jc w:val="both"/>
              <w:rPr>
                <w:rFonts w:ascii="Calibri" w:hAnsi="Calibri" w:cs="Calibri"/>
                <w:color w:val="000000"/>
                <w:lang w:val="en-ZA"/>
              </w:rPr>
            </w:pPr>
            <w:r w:rsidRPr="00D60309">
              <w:rPr>
                <w:rFonts w:ascii="Calibri" w:hAnsi="Calibri" w:cs="Calibri"/>
                <w:color w:val="000000"/>
                <w:lang w:val="en-ZA"/>
              </w:rPr>
              <w:t>a) a maximum allowable operating pressure (PFA) up to and including 25 bar1);</w:t>
            </w:r>
          </w:p>
          <w:p w:rsidR="002C7135" w:rsidRDefault="00E33F03" w:rsidP="00D60309">
            <w:pPr>
              <w:spacing w:after="0" w:line="240" w:lineRule="auto"/>
              <w:jc w:val="both"/>
              <w:rPr>
                <w:rFonts w:ascii="Calibri" w:hAnsi="Calibri" w:cs="Calibri"/>
                <w:color w:val="000000"/>
                <w:lang w:val="en-ZA"/>
              </w:rPr>
            </w:pPr>
            <w:r w:rsidRPr="00D60309">
              <w:rPr>
                <w:rFonts w:ascii="Calibri" w:hAnsi="Calibri" w:cs="Calibri"/>
                <w:color w:val="000000"/>
                <w:lang w:val="en-ZA"/>
              </w:rPr>
              <w:t>b) an operating temperature of 20 °C as the reference temperature.</w:t>
            </w:r>
          </w:p>
          <w:p w:rsidR="00D60309" w:rsidRDefault="00E33F03" w:rsidP="00D60309">
            <w:pPr>
              <w:spacing w:after="0" w:line="240" w:lineRule="auto"/>
              <w:jc w:val="both"/>
              <w:rPr>
                <w:rFonts w:ascii="Calibri" w:hAnsi="Calibri" w:cs="Calibri"/>
                <w:color w:val="000000"/>
                <w:lang w:val="en-ZA"/>
              </w:rPr>
            </w:pPr>
            <w:r w:rsidRPr="00D60309">
              <w:rPr>
                <w:rFonts w:ascii="Calibri" w:hAnsi="Calibri" w:cs="Calibri"/>
                <w:b/>
                <w:bCs/>
                <w:i/>
                <w:iCs/>
                <w:color w:val="000000"/>
                <w:sz w:val="20"/>
                <w:szCs w:val="20"/>
                <w:lang w:val="en-ZA"/>
              </w:rPr>
              <w:t>NOTE 3</w:t>
            </w:r>
            <w:r w:rsidRPr="00D60309">
              <w:rPr>
                <w:rFonts w:ascii="Calibri" w:hAnsi="Calibri" w:cs="Calibri"/>
                <w:color w:val="000000"/>
                <w:sz w:val="20"/>
                <w:szCs w:val="20"/>
                <w:lang w:val="en-ZA"/>
              </w:rPr>
              <w:t xml:space="preserve"> </w:t>
            </w:r>
            <w:r w:rsidR="00D60309" w:rsidRPr="00D60309">
              <w:rPr>
                <w:rFonts w:ascii="Calibri" w:hAnsi="Calibri" w:cs="Calibri"/>
                <w:color w:val="000000"/>
                <w:sz w:val="20"/>
                <w:szCs w:val="20"/>
                <w:lang w:val="en-ZA"/>
              </w:rPr>
              <w:t xml:space="preserve">: </w:t>
            </w:r>
            <w:r w:rsidRPr="00D60309">
              <w:rPr>
                <w:rFonts w:ascii="Calibri" w:hAnsi="Calibri" w:cs="Calibri"/>
                <w:i/>
                <w:iCs/>
                <w:color w:val="000000"/>
                <w:sz w:val="20"/>
                <w:szCs w:val="20"/>
                <w:lang w:val="en-ZA"/>
              </w:rPr>
              <w:t xml:space="preserve">For other operating temperatures, guidance is given in ISO 4427-1:2019, Annex A.                                                                                       </w:t>
            </w:r>
          </w:p>
          <w:p w:rsidR="00D60309" w:rsidRDefault="00E33F03" w:rsidP="00D60309">
            <w:pPr>
              <w:spacing w:after="0" w:line="240" w:lineRule="auto"/>
              <w:jc w:val="both"/>
              <w:rPr>
                <w:rFonts w:ascii="Calibri" w:hAnsi="Calibri" w:cs="Calibri"/>
                <w:color w:val="000000"/>
                <w:lang w:val="en-ZA"/>
              </w:rPr>
            </w:pPr>
            <w:r w:rsidRPr="00D60309">
              <w:rPr>
                <w:rFonts w:ascii="Calibri" w:hAnsi="Calibri" w:cs="Calibri"/>
                <w:color w:val="000000"/>
                <w:lang w:val="en-ZA"/>
              </w:rPr>
              <w:t>This document covers a range of</w:t>
            </w:r>
            <w:r w:rsidR="00D60309">
              <w:rPr>
                <w:rFonts w:ascii="Calibri" w:hAnsi="Calibri" w:cs="Calibri"/>
                <w:color w:val="000000"/>
                <w:lang w:val="en-ZA"/>
              </w:rPr>
              <w:t xml:space="preserve"> </w:t>
            </w:r>
            <w:r w:rsidRPr="00D60309">
              <w:rPr>
                <w:rFonts w:ascii="Calibri" w:hAnsi="Calibri" w:cs="Calibri"/>
                <w:color w:val="000000"/>
                <w:lang w:val="en-ZA"/>
              </w:rPr>
              <w:t>maximum allowable operating pressures and gives requirements</w:t>
            </w:r>
            <w:r w:rsidR="00D60309">
              <w:rPr>
                <w:rFonts w:ascii="Calibri" w:hAnsi="Calibri" w:cs="Calibri"/>
                <w:color w:val="000000"/>
                <w:lang w:val="en-ZA"/>
              </w:rPr>
              <w:t xml:space="preserve"> </w:t>
            </w:r>
            <w:r w:rsidRPr="00D60309">
              <w:rPr>
                <w:rFonts w:ascii="Calibri" w:hAnsi="Calibri" w:cs="Calibri"/>
                <w:color w:val="000000"/>
                <w:lang w:val="en-ZA"/>
              </w:rPr>
              <w:t>concerning colours.</w:t>
            </w:r>
          </w:p>
          <w:p w:rsidR="00E33F03" w:rsidRPr="00D60309" w:rsidRDefault="00E33F03" w:rsidP="00D60309">
            <w:pPr>
              <w:spacing w:after="0" w:line="240" w:lineRule="auto"/>
              <w:jc w:val="both"/>
              <w:rPr>
                <w:rFonts w:ascii="Calibri" w:hAnsi="Calibri" w:cs="Calibri"/>
                <w:i/>
                <w:iCs/>
                <w:color w:val="000000"/>
                <w:lang w:val="en-ZA"/>
              </w:rPr>
            </w:pPr>
            <w:r w:rsidRPr="00D60309">
              <w:rPr>
                <w:rFonts w:ascii="Calibri" w:hAnsi="Calibri" w:cs="Calibri"/>
                <w:b/>
                <w:bCs/>
                <w:i/>
                <w:iCs/>
                <w:color w:val="000000"/>
                <w:sz w:val="20"/>
                <w:szCs w:val="20"/>
                <w:lang w:val="en-ZA"/>
              </w:rPr>
              <w:t>NOTE 4</w:t>
            </w:r>
            <w:r w:rsidR="00D60309" w:rsidRPr="00D60309">
              <w:rPr>
                <w:rFonts w:ascii="Calibri" w:hAnsi="Calibri" w:cs="Calibri"/>
                <w:i/>
                <w:iCs/>
                <w:color w:val="000000"/>
                <w:sz w:val="20"/>
                <w:szCs w:val="20"/>
                <w:lang w:val="en-ZA"/>
              </w:rPr>
              <w:t xml:space="preserve"> :</w:t>
            </w:r>
            <w:r w:rsidRPr="00D60309">
              <w:rPr>
                <w:rFonts w:ascii="Calibri" w:hAnsi="Calibri" w:cs="Calibri"/>
                <w:i/>
                <w:iCs/>
                <w:color w:val="000000"/>
                <w:sz w:val="20"/>
                <w:szCs w:val="20"/>
                <w:lang w:val="en-ZA"/>
              </w:rPr>
              <w:t xml:space="preserve"> It is the responsibility of the purchaser or specifier to make the appropriate selections from these</w:t>
            </w:r>
            <w:r w:rsidR="00D60309" w:rsidRPr="00D60309">
              <w:rPr>
                <w:rFonts w:ascii="Calibri" w:hAnsi="Calibri" w:cs="Calibri"/>
                <w:i/>
                <w:iCs/>
                <w:color w:val="000000"/>
                <w:sz w:val="20"/>
                <w:szCs w:val="20"/>
                <w:lang w:val="en-ZA"/>
              </w:rPr>
              <w:t xml:space="preserve"> </w:t>
            </w:r>
            <w:r w:rsidRPr="00D60309">
              <w:rPr>
                <w:rFonts w:ascii="Calibri" w:hAnsi="Calibri" w:cs="Calibri"/>
                <w:i/>
                <w:iCs/>
                <w:color w:val="000000"/>
                <w:sz w:val="20"/>
                <w:szCs w:val="20"/>
                <w:lang w:val="en-ZA"/>
              </w:rPr>
              <w:t>aspects, taking into account their particular requirements and installation practices or codes.</w:t>
            </w:r>
          </w:p>
        </w:tc>
      </w:tr>
      <w:tr w:rsidR="00E33F03" w:rsidRPr="0043547B" w:rsidTr="002C7135">
        <w:trPr>
          <w:trHeight w:val="330"/>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tcPr>
          <w:p w:rsidR="00E33F03" w:rsidRDefault="00E33F03" w:rsidP="002C7135">
            <w:pPr>
              <w:spacing w:after="0" w:line="240" w:lineRule="auto"/>
              <w:jc w:val="center"/>
              <w:rPr>
                <w:rFonts w:ascii="Calibri" w:hAnsi="Calibri" w:cs="Calibri"/>
                <w:b/>
                <w:bCs/>
                <w:sz w:val="24"/>
                <w:szCs w:val="24"/>
              </w:rPr>
            </w:pPr>
            <w:r>
              <w:rPr>
                <w:rFonts w:ascii="Calibri" w:hAnsi="Calibri" w:cs="Calibri"/>
                <w:b/>
                <w:bCs/>
              </w:rPr>
              <w:t>Code</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tcPr>
          <w:p w:rsidR="00E33F03" w:rsidRPr="002C7135" w:rsidRDefault="00E33F03" w:rsidP="002C7135">
            <w:pPr>
              <w:spacing w:after="0" w:line="240" w:lineRule="auto"/>
              <w:jc w:val="center"/>
              <w:rPr>
                <w:rFonts w:ascii="Calibri" w:hAnsi="Calibri" w:cs="Calibri"/>
                <w:b/>
                <w:bCs/>
                <w:color w:val="000000"/>
                <w:sz w:val="24"/>
                <w:szCs w:val="24"/>
              </w:rPr>
            </w:pPr>
            <w:r w:rsidRPr="002C7135">
              <w:rPr>
                <w:rFonts w:ascii="Calibri" w:hAnsi="Calibri" w:cs="Calibri"/>
                <w:b/>
                <w:bCs/>
                <w:color w:val="000000"/>
                <w:sz w:val="24"/>
                <w:szCs w:val="24"/>
              </w:rPr>
              <w:t>NM ISO 22391-2</w:t>
            </w:r>
          </w:p>
        </w:tc>
      </w:tr>
      <w:tr w:rsidR="00E33F03" w:rsidRPr="0043547B" w:rsidTr="002C7135">
        <w:trPr>
          <w:trHeight w:val="330"/>
          <w:jc w:val="center"/>
        </w:trPr>
        <w:tc>
          <w:tcPr>
            <w:tcW w:w="1838" w:type="dxa"/>
            <w:tcBorders>
              <w:top w:val="single" w:sz="18" w:space="0" w:color="auto"/>
              <w:left w:val="single" w:sz="18" w:space="0" w:color="auto"/>
              <w:bottom w:val="single" w:sz="18" w:space="0" w:color="auto"/>
              <w:right w:val="single" w:sz="4" w:space="0" w:color="auto"/>
            </w:tcBorders>
            <w:shd w:val="clear" w:color="auto" w:fill="FFFF99"/>
            <w:vAlign w:val="center"/>
          </w:tcPr>
          <w:p w:rsidR="00E33F03" w:rsidRDefault="00E33F03" w:rsidP="002C7135">
            <w:pPr>
              <w:spacing w:after="0" w:line="240" w:lineRule="auto"/>
              <w:jc w:val="center"/>
              <w:rPr>
                <w:rFonts w:ascii="Calibri" w:hAnsi="Calibri" w:cs="Calibri"/>
                <w:b/>
                <w:bCs/>
                <w:sz w:val="24"/>
                <w:szCs w:val="24"/>
              </w:rPr>
            </w:pPr>
            <w:r>
              <w:rPr>
                <w:rFonts w:ascii="Calibri" w:hAnsi="Calibri" w:cs="Calibri"/>
                <w:b/>
                <w:bCs/>
              </w:rPr>
              <w:t>Equivalence</w:t>
            </w:r>
          </w:p>
        </w:tc>
        <w:tc>
          <w:tcPr>
            <w:tcW w:w="7938" w:type="dxa"/>
            <w:tcBorders>
              <w:top w:val="single" w:sz="18" w:space="0" w:color="auto"/>
              <w:left w:val="single" w:sz="4" w:space="0" w:color="auto"/>
              <w:bottom w:val="single" w:sz="18" w:space="0" w:color="auto"/>
              <w:right w:val="single" w:sz="18" w:space="0" w:color="auto"/>
            </w:tcBorders>
            <w:shd w:val="clear" w:color="auto" w:fill="FFFF99"/>
            <w:vAlign w:val="center"/>
          </w:tcPr>
          <w:p w:rsidR="00E33F03" w:rsidRPr="002C7135" w:rsidRDefault="00E33F03" w:rsidP="002C7135">
            <w:pPr>
              <w:spacing w:after="0" w:line="240" w:lineRule="auto"/>
              <w:jc w:val="center"/>
              <w:rPr>
                <w:rFonts w:ascii="Calibri" w:hAnsi="Calibri" w:cs="Calibri"/>
                <w:b/>
                <w:bCs/>
                <w:color w:val="000000"/>
                <w:sz w:val="24"/>
                <w:szCs w:val="24"/>
              </w:rPr>
            </w:pPr>
            <w:r w:rsidRPr="002C7135">
              <w:rPr>
                <w:rFonts w:ascii="Calibri" w:hAnsi="Calibri" w:cs="Calibri"/>
                <w:b/>
                <w:bCs/>
                <w:color w:val="000000"/>
                <w:sz w:val="24"/>
                <w:szCs w:val="24"/>
              </w:rPr>
              <w:t>ISO 22391-2</w:t>
            </w:r>
          </w:p>
        </w:tc>
      </w:tr>
      <w:tr w:rsidR="00E33F03" w:rsidRPr="0043547B" w:rsidTr="002C7135">
        <w:trPr>
          <w:trHeight w:val="330"/>
          <w:jc w:val="center"/>
        </w:trPr>
        <w:tc>
          <w:tcPr>
            <w:tcW w:w="1838" w:type="dxa"/>
            <w:tcBorders>
              <w:top w:val="single" w:sz="18" w:space="0" w:color="auto"/>
              <w:left w:val="single" w:sz="18" w:space="0" w:color="auto"/>
              <w:bottom w:val="single" w:sz="4" w:space="0" w:color="auto"/>
              <w:right w:val="single" w:sz="4" w:space="0" w:color="auto"/>
            </w:tcBorders>
            <w:shd w:val="clear" w:color="auto" w:fill="B8CCE4" w:themeFill="accent1" w:themeFillTint="66"/>
            <w:vAlign w:val="center"/>
          </w:tcPr>
          <w:p w:rsidR="00E33F03" w:rsidRDefault="00E33F03" w:rsidP="002C7135">
            <w:pPr>
              <w:spacing w:after="0" w:line="240" w:lineRule="auto"/>
              <w:jc w:val="center"/>
              <w:rPr>
                <w:rFonts w:ascii="Calibri" w:hAnsi="Calibri" w:cs="Calibri"/>
                <w:b/>
                <w:bCs/>
                <w:sz w:val="24"/>
                <w:szCs w:val="24"/>
              </w:rPr>
            </w:pPr>
            <w:r>
              <w:rPr>
                <w:rFonts w:ascii="Calibri" w:hAnsi="Calibri" w:cs="Calibri"/>
                <w:b/>
                <w:bCs/>
              </w:rPr>
              <w:t>Intitulé</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tcPr>
          <w:p w:rsidR="00E33F03" w:rsidRPr="002C7135" w:rsidRDefault="00E33F03" w:rsidP="002C7135">
            <w:pPr>
              <w:spacing w:after="0" w:line="240" w:lineRule="auto"/>
              <w:jc w:val="both"/>
              <w:rPr>
                <w:rFonts w:cstheme="minorHAnsi"/>
                <w:color w:val="000000"/>
              </w:rPr>
            </w:pPr>
            <w:r w:rsidRPr="002C7135">
              <w:rPr>
                <w:rFonts w:cstheme="minorHAnsi"/>
                <w:color w:val="000000"/>
              </w:rPr>
              <w:t xml:space="preserve">Systèmes de canalisations en plastique pour les installations d'eau chaude et froide - Polyéthylène de meilleure résistance à la température (PE-RT) - Partie 2 : Tubes </w:t>
            </w:r>
            <w:r w:rsidR="002C7135">
              <w:rPr>
                <w:rFonts w:cstheme="minorHAnsi"/>
                <w:color w:val="000000"/>
              </w:rPr>
              <w:t xml:space="preserve"> </w:t>
            </w:r>
            <w:r w:rsidRPr="002C7135">
              <w:rPr>
                <w:rFonts w:cstheme="minorHAnsi"/>
                <w:color w:val="000000"/>
              </w:rPr>
              <w:t xml:space="preserve"> </w:t>
            </w:r>
          </w:p>
        </w:tc>
      </w:tr>
      <w:tr w:rsidR="00E33F03" w:rsidRPr="0043547B" w:rsidTr="002C7135">
        <w:trPr>
          <w:trHeight w:val="330"/>
          <w:jc w:val="center"/>
        </w:trPr>
        <w:tc>
          <w:tcPr>
            <w:tcW w:w="1838" w:type="dxa"/>
            <w:tcBorders>
              <w:top w:val="single" w:sz="4" w:space="0" w:color="auto"/>
              <w:left w:val="single" w:sz="18" w:space="0" w:color="auto"/>
              <w:bottom w:val="single" w:sz="18" w:space="0" w:color="auto"/>
              <w:right w:val="single" w:sz="4" w:space="0" w:color="auto"/>
            </w:tcBorders>
            <w:shd w:val="clear" w:color="auto" w:fill="auto"/>
            <w:vAlign w:val="center"/>
          </w:tcPr>
          <w:p w:rsidR="00E33F03" w:rsidRDefault="00E33F03" w:rsidP="002C7135">
            <w:pPr>
              <w:spacing w:after="0" w:line="240" w:lineRule="auto"/>
              <w:jc w:val="center"/>
              <w:rPr>
                <w:rFonts w:ascii="Calibri" w:hAnsi="Calibri" w:cs="Calibri"/>
                <w:b/>
                <w:bCs/>
                <w:sz w:val="24"/>
                <w:szCs w:val="24"/>
              </w:rPr>
            </w:pPr>
            <w:r>
              <w:rPr>
                <w:rFonts w:ascii="Calibri" w:hAnsi="Calibri" w:cs="Calibri"/>
                <w:b/>
                <w:bCs/>
              </w:rPr>
              <w:t>Domaine d’application</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bottom"/>
          </w:tcPr>
          <w:p w:rsidR="002C7135" w:rsidRDefault="00E33F03" w:rsidP="002C7135">
            <w:pPr>
              <w:spacing w:after="0" w:line="240" w:lineRule="auto"/>
              <w:jc w:val="both"/>
              <w:rPr>
                <w:rFonts w:cstheme="minorHAnsi"/>
                <w:color w:val="000000"/>
              </w:rPr>
            </w:pPr>
            <w:r w:rsidRPr="002C7135">
              <w:rPr>
                <w:rFonts w:cstheme="minorHAnsi"/>
                <w:color w:val="000000"/>
              </w:rPr>
              <w:t>La présente partie de l'ISO 22391 spécifie les caractéristiques de tubes en</w:t>
            </w:r>
            <w:r w:rsidRPr="002C7135">
              <w:rPr>
                <w:rFonts w:cstheme="minorHAnsi"/>
                <w:color w:val="000000"/>
              </w:rPr>
              <w:br/>
            </w:r>
            <w:r w:rsidRPr="002C7135">
              <w:rPr>
                <w:rFonts w:ascii="Cambria Math" w:hAnsi="Cambria Math" w:cs="Cambria Math"/>
                <w:color w:val="000000"/>
              </w:rPr>
              <w:t>⎯</w:t>
            </w:r>
            <w:r w:rsidRPr="002C7135">
              <w:rPr>
                <w:rFonts w:cstheme="minorHAnsi"/>
                <w:color w:val="000000"/>
              </w:rPr>
              <w:t xml:space="preserve"> polyéthylène de meilleure résistance à la température (PE-RT), Type I, et</w:t>
            </w:r>
          </w:p>
          <w:p w:rsidR="002C7135" w:rsidRDefault="00E33F03" w:rsidP="002C7135">
            <w:pPr>
              <w:spacing w:after="0" w:line="240" w:lineRule="auto"/>
              <w:jc w:val="both"/>
              <w:rPr>
                <w:rFonts w:cstheme="minorHAnsi"/>
                <w:color w:val="000000"/>
              </w:rPr>
            </w:pPr>
            <w:r w:rsidRPr="002C7135">
              <w:rPr>
                <w:rFonts w:ascii="Cambria Math" w:hAnsi="Cambria Math" w:cs="Cambria Math"/>
                <w:color w:val="000000"/>
              </w:rPr>
              <w:t>⎯</w:t>
            </w:r>
            <w:r w:rsidRPr="002C7135">
              <w:rPr>
                <w:rFonts w:cstheme="minorHAnsi"/>
                <w:color w:val="000000"/>
              </w:rPr>
              <w:t xml:space="preserve"> polyéthylène de meilleure résistance à la température (PE-RT), Type II,</w:t>
            </w:r>
            <w:r w:rsidR="002C7135">
              <w:rPr>
                <w:rFonts w:cstheme="minorHAnsi"/>
                <w:color w:val="000000"/>
              </w:rPr>
              <w:t xml:space="preserve"> </w:t>
            </w:r>
            <w:r w:rsidRPr="002C7135">
              <w:rPr>
                <w:rFonts w:cstheme="minorHAnsi"/>
                <w:color w:val="000000"/>
              </w:rPr>
              <w:t>destinés aux installations d'eau chaude et froide à l'intérieur des bâtiments ainsi qu'au transport de l'eau,</w:t>
            </w:r>
            <w:r w:rsidR="002C7135">
              <w:rPr>
                <w:rFonts w:cstheme="minorHAnsi"/>
                <w:color w:val="000000"/>
              </w:rPr>
              <w:t xml:space="preserve"> </w:t>
            </w:r>
            <w:r w:rsidRPr="002C7135">
              <w:rPr>
                <w:rFonts w:cstheme="minorHAnsi"/>
                <w:color w:val="000000"/>
              </w:rPr>
              <w:t>destinée ou non à la consommation humaine (systèmes domestiques) et aux installations de chauffage, à des</w:t>
            </w:r>
            <w:r w:rsidR="002C7135">
              <w:rPr>
                <w:rFonts w:cstheme="minorHAnsi"/>
                <w:color w:val="000000"/>
              </w:rPr>
              <w:t xml:space="preserve"> </w:t>
            </w:r>
            <w:r w:rsidRPr="002C7135">
              <w:rPr>
                <w:rFonts w:cstheme="minorHAnsi"/>
                <w:color w:val="000000"/>
              </w:rPr>
              <w:t>pressions et des températures de service spécifiées correspondant à la classe d'application conformément à</w:t>
            </w:r>
            <w:r w:rsidR="002C7135">
              <w:rPr>
                <w:rFonts w:cstheme="minorHAnsi"/>
                <w:color w:val="000000"/>
              </w:rPr>
              <w:t xml:space="preserve"> </w:t>
            </w:r>
            <w:r w:rsidRPr="002C7135">
              <w:rPr>
                <w:rFonts w:cstheme="minorHAnsi"/>
                <w:color w:val="000000"/>
              </w:rPr>
              <w:t>l'ISO 22391-1.</w:t>
            </w:r>
          </w:p>
          <w:p w:rsidR="002C7135" w:rsidRDefault="00E33F03" w:rsidP="002C7135">
            <w:pPr>
              <w:spacing w:after="0" w:line="240" w:lineRule="auto"/>
              <w:jc w:val="both"/>
              <w:rPr>
                <w:rFonts w:cstheme="minorHAnsi"/>
                <w:color w:val="000000"/>
              </w:rPr>
            </w:pPr>
            <w:r w:rsidRPr="002C7135">
              <w:rPr>
                <w:rFonts w:cstheme="minorHAnsi"/>
                <w:color w:val="000000"/>
              </w:rPr>
              <w:t>La présente partie de l'ISO 22391 couvre une gamme de conditions de service (classes d'application), de</w:t>
            </w:r>
            <w:r w:rsidR="002C7135">
              <w:rPr>
                <w:rFonts w:cstheme="minorHAnsi"/>
                <w:color w:val="000000"/>
              </w:rPr>
              <w:t xml:space="preserve"> </w:t>
            </w:r>
            <w:r w:rsidRPr="002C7135">
              <w:rPr>
                <w:rFonts w:cstheme="minorHAnsi"/>
                <w:color w:val="000000"/>
              </w:rPr>
              <w:t xml:space="preserve">pressions de service et de classes de dimension du tube, et spécifie </w:t>
            </w:r>
            <w:r w:rsidRPr="002C7135">
              <w:rPr>
                <w:rFonts w:cstheme="minorHAnsi"/>
                <w:color w:val="000000"/>
              </w:rPr>
              <w:lastRenderedPageBreak/>
              <w:t>également les paramètres et les</w:t>
            </w:r>
            <w:r w:rsidR="002C7135">
              <w:rPr>
                <w:rFonts w:cstheme="minorHAnsi"/>
                <w:color w:val="000000"/>
              </w:rPr>
              <w:t xml:space="preserve"> </w:t>
            </w:r>
            <w:r w:rsidRPr="002C7135">
              <w:rPr>
                <w:rFonts w:cstheme="minorHAnsi"/>
                <w:color w:val="000000"/>
              </w:rPr>
              <w:t>méthodes d'essai. Lorsqu'elle est utilisée conjointement avec les autres parties de l'ISO 22391, elle s'applique</w:t>
            </w:r>
            <w:r w:rsidR="002C7135">
              <w:rPr>
                <w:rFonts w:cstheme="minorHAnsi"/>
                <w:color w:val="000000"/>
              </w:rPr>
              <w:t xml:space="preserve"> </w:t>
            </w:r>
            <w:r w:rsidRPr="002C7135">
              <w:rPr>
                <w:rFonts w:cstheme="minorHAnsi"/>
                <w:color w:val="000000"/>
              </w:rPr>
              <w:t>respectivement aux tubes PE-RT, aux raccords, à leurs assemblages et aux assemblages ayant des</w:t>
            </w:r>
            <w:r w:rsidR="002C7135">
              <w:rPr>
                <w:rFonts w:cstheme="minorHAnsi"/>
                <w:color w:val="000000"/>
              </w:rPr>
              <w:t xml:space="preserve"> </w:t>
            </w:r>
            <w:r w:rsidRPr="002C7135">
              <w:rPr>
                <w:rFonts w:cstheme="minorHAnsi"/>
                <w:color w:val="000000"/>
              </w:rPr>
              <w:t>composants de PE-RT, ainsi qu'à d'autres matériaux, plastiques ou non plastiques, utilisés pour les</w:t>
            </w:r>
            <w:r w:rsidR="002C7135">
              <w:rPr>
                <w:rFonts w:cstheme="minorHAnsi"/>
                <w:color w:val="000000"/>
              </w:rPr>
              <w:t xml:space="preserve"> </w:t>
            </w:r>
            <w:r w:rsidRPr="002C7135">
              <w:rPr>
                <w:rFonts w:cstheme="minorHAnsi"/>
                <w:color w:val="000000"/>
              </w:rPr>
              <w:t>installations d'eau chaude et froide.</w:t>
            </w:r>
          </w:p>
          <w:p w:rsidR="002C7135" w:rsidRDefault="00E33F03" w:rsidP="002C7135">
            <w:pPr>
              <w:spacing w:after="0" w:line="240" w:lineRule="auto"/>
              <w:jc w:val="both"/>
              <w:rPr>
                <w:rFonts w:cstheme="minorHAnsi"/>
                <w:color w:val="000000"/>
              </w:rPr>
            </w:pPr>
            <w:r w:rsidRPr="002C7135">
              <w:rPr>
                <w:rFonts w:cstheme="minorHAnsi"/>
                <w:color w:val="000000"/>
              </w:rPr>
              <w:t>Elle s'applique aux tubes avec ou sans couche(s) barrière.</w:t>
            </w:r>
          </w:p>
          <w:p w:rsidR="002C7135" w:rsidRDefault="00E33F03" w:rsidP="002C7135">
            <w:pPr>
              <w:spacing w:after="0" w:line="240" w:lineRule="auto"/>
              <w:jc w:val="both"/>
              <w:rPr>
                <w:rFonts w:cstheme="minorHAnsi"/>
                <w:color w:val="000000"/>
              </w:rPr>
            </w:pPr>
            <w:r w:rsidRPr="002C7135">
              <w:rPr>
                <w:rFonts w:cstheme="minorHAnsi"/>
                <w:color w:val="000000"/>
              </w:rPr>
              <w:t>Elle ne s'applique pas aux valeurs de température de service, de température maximale de service, ou de</w:t>
            </w:r>
            <w:r w:rsidR="002C7135">
              <w:rPr>
                <w:rFonts w:cstheme="minorHAnsi"/>
                <w:color w:val="000000"/>
              </w:rPr>
              <w:t xml:space="preserve"> </w:t>
            </w:r>
            <w:r w:rsidRPr="002C7135">
              <w:rPr>
                <w:rFonts w:cstheme="minorHAnsi"/>
                <w:color w:val="000000"/>
              </w:rPr>
              <w:t>température de dysfonctionnement qui dépassent celles spécifiées dans l'ISO 22391-1.</w:t>
            </w:r>
          </w:p>
          <w:p w:rsidR="00E33F03" w:rsidRPr="002C7135" w:rsidRDefault="00E33F03" w:rsidP="002C7135">
            <w:pPr>
              <w:spacing w:after="0" w:line="240" w:lineRule="auto"/>
              <w:jc w:val="both"/>
              <w:rPr>
                <w:rFonts w:cstheme="minorHAnsi"/>
                <w:i/>
                <w:iCs/>
                <w:color w:val="000000"/>
              </w:rPr>
            </w:pPr>
            <w:r w:rsidRPr="002C7135">
              <w:rPr>
                <w:rFonts w:cstheme="minorHAnsi"/>
                <w:b/>
                <w:bCs/>
                <w:i/>
                <w:iCs/>
                <w:color w:val="000000"/>
                <w:sz w:val="20"/>
                <w:szCs w:val="20"/>
              </w:rPr>
              <w:t>NOTE</w:t>
            </w:r>
            <w:r w:rsidR="002C7135" w:rsidRPr="002C7135">
              <w:rPr>
                <w:rFonts w:cstheme="minorHAnsi"/>
                <w:i/>
                <w:iCs/>
                <w:color w:val="000000"/>
                <w:sz w:val="20"/>
                <w:szCs w:val="20"/>
              </w:rPr>
              <w:t xml:space="preserve"> : </w:t>
            </w:r>
            <w:r w:rsidRPr="002C7135">
              <w:rPr>
                <w:rFonts w:cstheme="minorHAnsi"/>
                <w:i/>
                <w:iCs/>
                <w:color w:val="000000"/>
                <w:sz w:val="20"/>
                <w:szCs w:val="20"/>
              </w:rPr>
              <w:t>Il est de la responsabilité de l'acheteur ou du spécificateur de réaliser une sélection appropriée de ces aspects,</w:t>
            </w:r>
            <w:r w:rsidR="002C7135" w:rsidRPr="002C7135">
              <w:rPr>
                <w:rFonts w:cstheme="minorHAnsi"/>
                <w:i/>
                <w:iCs/>
                <w:color w:val="000000"/>
                <w:sz w:val="20"/>
                <w:szCs w:val="20"/>
              </w:rPr>
              <w:t xml:space="preserve"> </w:t>
            </w:r>
            <w:r w:rsidRPr="002C7135">
              <w:rPr>
                <w:rFonts w:cstheme="minorHAnsi"/>
                <w:i/>
                <w:iCs/>
                <w:color w:val="000000"/>
                <w:sz w:val="20"/>
                <w:szCs w:val="20"/>
              </w:rPr>
              <w:t>en tenant compte des exigences particulières et des réglementations nationales et pratiques ou codes d'installation</w:t>
            </w:r>
            <w:r w:rsidR="002C7135" w:rsidRPr="002C7135">
              <w:rPr>
                <w:rFonts w:cstheme="minorHAnsi"/>
                <w:i/>
                <w:iCs/>
                <w:color w:val="000000"/>
                <w:sz w:val="20"/>
                <w:szCs w:val="20"/>
              </w:rPr>
              <w:t xml:space="preserve"> </w:t>
            </w:r>
            <w:r w:rsidRPr="002C7135">
              <w:rPr>
                <w:rFonts w:cstheme="minorHAnsi"/>
                <w:i/>
                <w:iCs/>
                <w:color w:val="000000"/>
                <w:sz w:val="20"/>
                <w:szCs w:val="20"/>
              </w:rPr>
              <w:t>pertinents.</w:t>
            </w:r>
          </w:p>
        </w:tc>
      </w:tr>
      <w:tr w:rsidR="00E33F03" w:rsidRPr="0043547B" w:rsidTr="002C7135">
        <w:trPr>
          <w:trHeight w:val="330"/>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tcPr>
          <w:p w:rsidR="00E33F03" w:rsidRDefault="00E33F03" w:rsidP="002C7135">
            <w:pPr>
              <w:spacing w:after="0" w:line="240" w:lineRule="auto"/>
              <w:jc w:val="center"/>
              <w:rPr>
                <w:rFonts w:ascii="Calibri" w:hAnsi="Calibri" w:cs="Calibri"/>
                <w:b/>
                <w:bCs/>
                <w:sz w:val="24"/>
                <w:szCs w:val="24"/>
              </w:rPr>
            </w:pPr>
            <w:r>
              <w:rPr>
                <w:rFonts w:ascii="Calibri" w:hAnsi="Calibri" w:cs="Calibri"/>
                <w:b/>
                <w:bCs/>
              </w:rPr>
              <w:lastRenderedPageBreak/>
              <w:t>Code</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tcPr>
          <w:p w:rsidR="00E33F03" w:rsidRPr="002C7135" w:rsidRDefault="00E33F03" w:rsidP="002C7135">
            <w:pPr>
              <w:spacing w:after="0" w:line="240" w:lineRule="auto"/>
              <w:jc w:val="center"/>
              <w:rPr>
                <w:rFonts w:ascii="Calibri" w:hAnsi="Calibri" w:cs="Calibri"/>
                <w:b/>
                <w:bCs/>
                <w:color w:val="000000"/>
                <w:sz w:val="24"/>
                <w:szCs w:val="24"/>
              </w:rPr>
            </w:pPr>
            <w:r w:rsidRPr="002C7135">
              <w:rPr>
                <w:rFonts w:ascii="Calibri" w:hAnsi="Calibri" w:cs="Calibri"/>
                <w:b/>
                <w:bCs/>
                <w:color w:val="000000"/>
                <w:sz w:val="24"/>
                <w:szCs w:val="24"/>
              </w:rPr>
              <w:t>NM EN 15014</w:t>
            </w:r>
          </w:p>
        </w:tc>
      </w:tr>
      <w:tr w:rsidR="00E33F03" w:rsidRPr="0043547B" w:rsidTr="002C7135">
        <w:trPr>
          <w:trHeight w:val="330"/>
          <w:jc w:val="center"/>
        </w:trPr>
        <w:tc>
          <w:tcPr>
            <w:tcW w:w="1838" w:type="dxa"/>
            <w:tcBorders>
              <w:top w:val="single" w:sz="18" w:space="0" w:color="auto"/>
              <w:left w:val="single" w:sz="18" w:space="0" w:color="auto"/>
              <w:bottom w:val="single" w:sz="18" w:space="0" w:color="auto"/>
              <w:right w:val="single" w:sz="4" w:space="0" w:color="auto"/>
            </w:tcBorders>
            <w:shd w:val="clear" w:color="auto" w:fill="FFFF99"/>
            <w:vAlign w:val="center"/>
          </w:tcPr>
          <w:p w:rsidR="00E33F03" w:rsidRDefault="00E33F03" w:rsidP="002C7135">
            <w:pPr>
              <w:spacing w:after="0" w:line="240" w:lineRule="auto"/>
              <w:jc w:val="center"/>
              <w:rPr>
                <w:rFonts w:ascii="Calibri" w:hAnsi="Calibri" w:cs="Calibri"/>
                <w:b/>
                <w:bCs/>
                <w:sz w:val="24"/>
                <w:szCs w:val="24"/>
              </w:rPr>
            </w:pPr>
            <w:r>
              <w:rPr>
                <w:rFonts w:ascii="Calibri" w:hAnsi="Calibri" w:cs="Calibri"/>
                <w:b/>
                <w:bCs/>
              </w:rPr>
              <w:t>Equivalence</w:t>
            </w:r>
          </w:p>
        </w:tc>
        <w:tc>
          <w:tcPr>
            <w:tcW w:w="7938" w:type="dxa"/>
            <w:tcBorders>
              <w:top w:val="single" w:sz="18" w:space="0" w:color="auto"/>
              <w:left w:val="single" w:sz="4" w:space="0" w:color="auto"/>
              <w:bottom w:val="single" w:sz="18" w:space="0" w:color="auto"/>
              <w:right w:val="single" w:sz="18" w:space="0" w:color="auto"/>
            </w:tcBorders>
            <w:shd w:val="clear" w:color="auto" w:fill="FFFF99"/>
            <w:vAlign w:val="center"/>
          </w:tcPr>
          <w:p w:rsidR="00E33F03" w:rsidRPr="002C7135" w:rsidRDefault="00E33F03" w:rsidP="002C7135">
            <w:pPr>
              <w:spacing w:after="0" w:line="240" w:lineRule="auto"/>
              <w:jc w:val="center"/>
              <w:rPr>
                <w:rFonts w:ascii="Calibri" w:hAnsi="Calibri" w:cs="Calibri"/>
                <w:b/>
                <w:bCs/>
                <w:color w:val="000000"/>
                <w:sz w:val="24"/>
                <w:szCs w:val="24"/>
              </w:rPr>
            </w:pPr>
            <w:r w:rsidRPr="002C7135">
              <w:rPr>
                <w:rFonts w:ascii="Calibri" w:hAnsi="Calibri" w:cs="Calibri"/>
                <w:b/>
                <w:bCs/>
                <w:color w:val="000000"/>
                <w:sz w:val="24"/>
                <w:szCs w:val="24"/>
              </w:rPr>
              <w:t>EN 15014</w:t>
            </w:r>
          </w:p>
        </w:tc>
      </w:tr>
      <w:tr w:rsidR="00E33F03" w:rsidRPr="0043547B" w:rsidTr="002C7135">
        <w:trPr>
          <w:trHeight w:val="330"/>
          <w:jc w:val="center"/>
        </w:trPr>
        <w:tc>
          <w:tcPr>
            <w:tcW w:w="1838" w:type="dxa"/>
            <w:tcBorders>
              <w:top w:val="single" w:sz="18" w:space="0" w:color="auto"/>
              <w:left w:val="single" w:sz="18" w:space="0" w:color="auto"/>
              <w:bottom w:val="single" w:sz="4" w:space="0" w:color="auto"/>
              <w:right w:val="single" w:sz="4" w:space="0" w:color="auto"/>
            </w:tcBorders>
            <w:shd w:val="clear" w:color="auto" w:fill="B8CCE4" w:themeFill="accent1" w:themeFillTint="66"/>
            <w:vAlign w:val="center"/>
          </w:tcPr>
          <w:p w:rsidR="00E33F03" w:rsidRDefault="00E33F03" w:rsidP="002C7135">
            <w:pPr>
              <w:spacing w:after="0" w:line="240" w:lineRule="auto"/>
              <w:jc w:val="center"/>
              <w:rPr>
                <w:rFonts w:ascii="Calibri" w:hAnsi="Calibri" w:cs="Calibri"/>
                <w:b/>
                <w:bCs/>
                <w:sz w:val="24"/>
                <w:szCs w:val="24"/>
              </w:rPr>
            </w:pPr>
            <w:r>
              <w:rPr>
                <w:rFonts w:ascii="Calibri" w:hAnsi="Calibri" w:cs="Calibri"/>
                <w:b/>
                <w:bCs/>
              </w:rPr>
              <w:t>Intitulé</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tcPr>
          <w:p w:rsidR="00E33F03" w:rsidRPr="002C7135" w:rsidRDefault="00E33F03" w:rsidP="002C7135">
            <w:pPr>
              <w:spacing w:after="0" w:line="240" w:lineRule="auto"/>
              <w:jc w:val="both"/>
              <w:rPr>
                <w:rFonts w:ascii="Calibri" w:hAnsi="Calibri" w:cs="Calibri"/>
                <w:color w:val="000000"/>
              </w:rPr>
            </w:pPr>
            <w:r w:rsidRPr="002C7135">
              <w:rPr>
                <w:rFonts w:ascii="Calibri" w:hAnsi="Calibri" w:cs="Calibri"/>
                <w:color w:val="000000"/>
              </w:rPr>
              <w:t xml:space="preserve">Systèmes de canalisations en plastique - Systèmes enterrés et aériens pour eau et autres fluides avec pression - Caractéristiques de performance pour tubes, raccords et leurs assemblages </w:t>
            </w:r>
            <w:r w:rsidR="002C7135">
              <w:rPr>
                <w:rFonts w:ascii="Calibri" w:hAnsi="Calibri" w:cs="Calibri"/>
                <w:color w:val="000000"/>
              </w:rPr>
              <w:t xml:space="preserve"> </w:t>
            </w:r>
            <w:r w:rsidRPr="002C7135">
              <w:rPr>
                <w:rFonts w:ascii="Calibri" w:hAnsi="Calibri" w:cs="Calibri"/>
                <w:color w:val="000000"/>
              </w:rPr>
              <w:t xml:space="preserve"> </w:t>
            </w:r>
          </w:p>
        </w:tc>
      </w:tr>
      <w:tr w:rsidR="00E33F03" w:rsidRPr="0043547B" w:rsidTr="002C7135">
        <w:trPr>
          <w:trHeight w:val="330"/>
          <w:jc w:val="center"/>
        </w:trPr>
        <w:tc>
          <w:tcPr>
            <w:tcW w:w="1838" w:type="dxa"/>
            <w:tcBorders>
              <w:top w:val="single" w:sz="4" w:space="0" w:color="auto"/>
              <w:left w:val="single" w:sz="18" w:space="0" w:color="auto"/>
              <w:bottom w:val="single" w:sz="18" w:space="0" w:color="auto"/>
              <w:right w:val="single" w:sz="4" w:space="0" w:color="auto"/>
            </w:tcBorders>
            <w:shd w:val="clear" w:color="auto" w:fill="auto"/>
            <w:vAlign w:val="center"/>
          </w:tcPr>
          <w:p w:rsidR="00E33F03" w:rsidRDefault="00E33F03" w:rsidP="002C7135">
            <w:pPr>
              <w:spacing w:after="0" w:line="240" w:lineRule="auto"/>
              <w:jc w:val="center"/>
              <w:rPr>
                <w:rFonts w:ascii="Calibri" w:hAnsi="Calibri" w:cs="Calibri"/>
                <w:b/>
                <w:bCs/>
                <w:sz w:val="24"/>
                <w:szCs w:val="24"/>
              </w:rPr>
            </w:pPr>
            <w:r>
              <w:rPr>
                <w:rFonts w:ascii="Calibri" w:hAnsi="Calibri" w:cs="Calibri"/>
                <w:b/>
                <w:bCs/>
              </w:rPr>
              <w:t>Domaine d’application</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bottom"/>
          </w:tcPr>
          <w:p w:rsidR="002C7135" w:rsidRDefault="00E33F03" w:rsidP="002C7135">
            <w:pPr>
              <w:spacing w:after="0" w:line="240" w:lineRule="auto"/>
              <w:jc w:val="both"/>
              <w:rPr>
                <w:rFonts w:ascii="Calibri" w:hAnsi="Calibri" w:cs="Calibri"/>
                <w:color w:val="000000"/>
              </w:rPr>
            </w:pPr>
            <w:r w:rsidRPr="002C7135">
              <w:rPr>
                <w:rFonts w:ascii="Calibri" w:hAnsi="Calibri" w:cs="Calibri"/>
                <w:color w:val="000000"/>
              </w:rPr>
              <w:t>La présente Norme européenne spécifie les exigences de performance pour les tubes, les raccords et leurs</w:t>
            </w:r>
            <w:r w:rsidR="002C7135">
              <w:rPr>
                <w:rFonts w:ascii="Calibri" w:hAnsi="Calibri" w:cs="Calibri"/>
                <w:color w:val="000000"/>
              </w:rPr>
              <w:t xml:space="preserve"> </w:t>
            </w:r>
            <w:r w:rsidRPr="002C7135">
              <w:rPr>
                <w:rFonts w:ascii="Calibri" w:hAnsi="Calibri" w:cs="Calibri"/>
                <w:color w:val="000000"/>
              </w:rPr>
              <w:t>assemblages, en plastique, destinés aux applications enterrées ou aériennes avec pression pour eau à usages</w:t>
            </w:r>
            <w:r w:rsidR="002C7135">
              <w:rPr>
                <w:rFonts w:ascii="Calibri" w:hAnsi="Calibri" w:cs="Calibri"/>
                <w:color w:val="000000"/>
              </w:rPr>
              <w:t xml:space="preserve"> </w:t>
            </w:r>
            <w:r w:rsidRPr="002C7135">
              <w:rPr>
                <w:rFonts w:ascii="Calibri" w:hAnsi="Calibri" w:cs="Calibri"/>
                <w:color w:val="000000"/>
              </w:rPr>
              <w:t>généraux, branchements, collecteurs d'assainissement et irrigation ainsi que pour toute autre application avec</w:t>
            </w:r>
            <w:r w:rsidRPr="002C7135">
              <w:rPr>
                <w:rFonts w:ascii="Calibri" w:hAnsi="Calibri" w:cs="Calibri"/>
                <w:color w:val="000000"/>
              </w:rPr>
              <w:br/>
              <w:t>pression pour d’autres fluides couverte par la Directive sur les Produits de Construction, à l’exception de la</w:t>
            </w:r>
            <w:r w:rsidR="002C7135">
              <w:rPr>
                <w:rFonts w:ascii="Calibri" w:hAnsi="Calibri" w:cs="Calibri"/>
                <w:color w:val="000000"/>
              </w:rPr>
              <w:t xml:space="preserve"> </w:t>
            </w:r>
            <w:r w:rsidRPr="002C7135">
              <w:rPr>
                <w:rFonts w:ascii="Calibri" w:hAnsi="Calibri" w:cs="Calibri"/>
                <w:color w:val="000000"/>
              </w:rPr>
              <w:t>distribution de l’eau potable destinée à la consommation humaine. Il indique les méthodes associées pour la</w:t>
            </w:r>
            <w:r w:rsidR="002C7135">
              <w:rPr>
                <w:rFonts w:ascii="Calibri" w:hAnsi="Calibri" w:cs="Calibri"/>
                <w:color w:val="000000"/>
              </w:rPr>
              <w:t xml:space="preserve"> </w:t>
            </w:r>
            <w:r w:rsidRPr="002C7135">
              <w:rPr>
                <w:rFonts w:ascii="Calibri" w:hAnsi="Calibri" w:cs="Calibri"/>
                <w:color w:val="000000"/>
              </w:rPr>
              <w:t>vérification et l’évaluation de la conformité à la présente Norme européenne.</w:t>
            </w:r>
          </w:p>
          <w:p w:rsidR="002C7135" w:rsidRPr="002C7135" w:rsidRDefault="00E33F03" w:rsidP="002C7135">
            <w:pPr>
              <w:spacing w:after="0" w:line="240" w:lineRule="auto"/>
              <w:jc w:val="both"/>
              <w:rPr>
                <w:rFonts w:ascii="Calibri" w:hAnsi="Calibri" w:cs="Calibri"/>
                <w:i/>
                <w:iCs/>
                <w:color w:val="000000"/>
                <w:sz w:val="20"/>
                <w:szCs w:val="20"/>
              </w:rPr>
            </w:pPr>
            <w:r w:rsidRPr="002C7135">
              <w:rPr>
                <w:rFonts w:ascii="Calibri" w:hAnsi="Calibri" w:cs="Calibri"/>
                <w:b/>
                <w:bCs/>
                <w:i/>
                <w:iCs/>
                <w:color w:val="000000"/>
                <w:sz w:val="20"/>
                <w:szCs w:val="20"/>
              </w:rPr>
              <w:t>NOTE</w:t>
            </w:r>
            <w:r w:rsidR="002C7135" w:rsidRPr="002C7135">
              <w:rPr>
                <w:rFonts w:ascii="Calibri" w:hAnsi="Calibri" w:cs="Calibri"/>
                <w:i/>
                <w:iCs/>
                <w:color w:val="000000"/>
                <w:sz w:val="20"/>
                <w:szCs w:val="20"/>
              </w:rPr>
              <w:t xml:space="preserve"> : </w:t>
            </w:r>
            <w:r w:rsidRPr="002C7135">
              <w:rPr>
                <w:rFonts w:ascii="Calibri" w:hAnsi="Calibri" w:cs="Calibri"/>
                <w:i/>
                <w:iCs/>
                <w:color w:val="000000"/>
                <w:sz w:val="20"/>
                <w:szCs w:val="20"/>
              </w:rPr>
              <w:t>La conformité des tubes, raccords et de leurs assemblages au présent document ne confère pas une présomption</w:t>
            </w:r>
            <w:r w:rsidR="002C7135" w:rsidRPr="002C7135">
              <w:rPr>
                <w:rFonts w:ascii="Calibri" w:hAnsi="Calibri" w:cs="Calibri"/>
                <w:i/>
                <w:iCs/>
                <w:color w:val="000000"/>
                <w:sz w:val="20"/>
                <w:szCs w:val="20"/>
              </w:rPr>
              <w:t xml:space="preserve"> </w:t>
            </w:r>
            <w:r w:rsidRPr="002C7135">
              <w:rPr>
                <w:rFonts w:ascii="Calibri" w:hAnsi="Calibri" w:cs="Calibri"/>
                <w:i/>
                <w:iCs/>
                <w:color w:val="000000"/>
                <w:sz w:val="20"/>
                <w:szCs w:val="20"/>
              </w:rPr>
              <w:t>d’aptitude du produit pour le transport de l’eau destinée à la consommation humaine au sens de la Directive 89/106/CEE.</w:t>
            </w:r>
          </w:p>
          <w:p w:rsidR="00E33F03" w:rsidRPr="002C7135" w:rsidRDefault="00E33F03" w:rsidP="002C7135">
            <w:pPr>
              <w:spacing w:after="0" w:line="240" w:lineRule="auto"/>
              <w:jc w:val="both"/>
              <w:rPr>
                <w:rFonts w:ascii="Calibri" w:hAnsi="Calibri" w:cs="Calibri"/>
                <w:color w:val="000000"/>
              </w:rPr>
            </w:pPr>
            <w:r w:rsidRPr="002C7135">
              <w:rPr>
                <w:rFonts w:ascii="Calibri" w:hAnsi="Calibri" w:cs="Calibri"/>
                <w:color w:val="000000"/>
              </w:rPr>
              <w:t>Cependant, jusqu’à la mise en application du Plan d’Acceptation Européen (EAS) pour les produits de construction en contact</w:t>
            </w:r>
            <w:r w:rsidR="002C7135">
              <w:rPr>
                <w:rFonts w:ascii="Calibri" w:hAnsi="Calibri" w:cs="Calibri"/>
                <w:color w:val="000000"/>
              </w:rPr>
              <w:t xml:space="preserve"> </w:t>
            </w:r>
            <w:r w:rsidRPr="002C7135">
              <w:rPr>
                <w:rFonts w:ascii="Calibri" w:hAnsi="Calibri" w:cs="Calibri"/>
                <w:color w:val="000000"/>
              </w:rPr>
              <w:t>avec l’eau destinée à la consommation humaine et la révision de la présente norme, les produits en conformité avec le présent</w:t>
            </w:r>
            <w:r w:rsidRPr="002C7135">
              <w:rPr>
                <w:rFonts w:ascii="Calibri" w:hAnsi="Calibri" w:cs="Calibri"/>
                <w:color w:val="000000"/>
              </w:rPr>
              <w:br/>
              <w:t>document pourront être utilisés pour le transport de l’eau destinée à la consommation humaine s’ils satisfont les dispositions</w:t>
            </w:r>
            <w:r w:rsidR="002C7135">
              <w:rPr>
                <w:rFonts w:ascii="Calibri" w:hAnsi="Calibri" w:cs="Calibri"/>
                <w:color w:val="000000"/>
              </w:rPr>
              <w:t xml:space="preserve"> </w:t>
            </w:r>
            <w:r w:rsidRPr="002C7135">
              <w:rPr>
                <w:rFonts w:ascii="Calibri" w:hAnsi="Calibri" w:cs="Calibri"/>
                <w:color w:val="000000"/>
              </w:rPr>
              <w:t>réglementaires ou les recommandations nationales, régionales ou locales pertinentes applicables au lieu d’usage.</w:t>
            </w:r>
          </w:p>
        </w:tc>
      </w:tr>
      <w:tr w:rsidR="00E33F03" w:rsidRPr="0043547B" w:rsidTr="00CB5DC0">
        <w:trPr>
          <w:trHeight w:val="330"/>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tcPr>
          <w:p w:rsidR="00E33F03" w:rsidRPr="0043547B" w:rsidRDefault="00E33F03" w:rsidP="00E33F03">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vAlign w:val="center"/>
          </w:tcPr>
          <w:p w:rsidR="00E33F03" w:rsidRPr="00951EE9" w:rsidRDefault="00E33F03" w:rsidP="00E33F03">
            <w:pPr>
              <w:spacing w:after="0" w:line="240" w:lineRule="auto"/>
              <w:jc w:val="center"/>
              <w:rPr>
                <w:rFonts w:cstheme="minorHAnsi"/>
                <w:b/>
                <w:bCs/>
                <w:sz w:val="24"/>
                <w:szCs w:val="24"/>
              </w:rPr>
            </w:pPr>
            <w:r w:rsidRPr="00951EE9">
              <w:rPr>
                <w:rFonts w:cstheme="minorHAnsi"/>
                <w:b/>
                <w:bCs/>
                <w:sz w:val="24"/>
                <w:szCs w:val="24"/>
              </w:rPr>
              <w:t>NM EN 1451-1</w:t>
            </w:r>
          </w:p>
        </w:tc>
      </w:tr>
      <w:tr w:rsidR="00E33F03" w:rsidRPr="0043547B" w:rsidTr="004E3FFD">
        <w:trPr>
          <w:trHeight w:val="330"/>
          <w:jc w:val="center"/>
        </w:trPr>
        <w:tc>
          <w:tcPr>
            <w:tcW w:w="1838" w:type="dxa"/>
            <w:tcBorders>
              <w:top w:val="single" w:sz="18" w:space="0" w:color="auto"/>
              <w:left w:val="single" w:sz="18" w:space="0" w:color="auto"/>
              <w:bottom w:val="single" w:sz="4" w:space="0" w:color="auto"/>
              <w:right w:val="single" w:sz="4" w:space="0" w:color="auto"/>
            </w:tcBorders>
            <w:shd w:val="clear" w:color="auto" w:fill="FDFBA9"/>
            <w:vAlign w:val="center"/>
          </w:tcPr>
          <w:p w:rsidR="00E33F03" w:rsidRPr="00951EE9" w:rsidRDefault="00E33F03" w:rsidP="00E33F03">
            <w:pPr>
              <w:spacing w:after="0" w:line="240" w:lineRule="auto"/>
              <w:jc w:val="center"/>
              <w:rPr>
                <w:rFonts w:cstheme="minorHAnsi"/>
                <w:b/>
                <w:bCs/>
                <w:sz w:val="24"/>
                <w:szCs w:val="24"/>
              </w:rPr>
            </w:pPr>
            <w:r w:rsidRPr="00951EE9">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DFBA9"/>
            <w:vAlign w:val="bottom"/>
          </w:tcPr>
          <w:p w:rsidR="00E33F03" w:rsidRPr="00951EE9" w:rsidRDefault="00E33F03" w:rsidP="00E33F03">
            <w:pPr>
              <w:spacing w:after="0" w:line="240" w:lineRule="auto"/>
              <w:jc w:val="center"/>
              <w:rPr>
                <w:rFonts w:cstheme="minorHAnsi"/>
                <w:b/>
                <w:bCs/>
                <w:sz w:val="24"/>
                <w:szCs w:val="24"/>
              </w:rPr>
            </w:pPr>
            <w:r w:rsidRPr="00951EE9">
              <w:rPr>
                <w:rFonts w:cstheme="minorHAnsi"/>
                <w:b/>
                <w:bCs/>
                <w:sz w:val="24"/>
                <w:szCs w:val="24"/>
              </w:rPr>
              <w:t>EN 1451-1</w:t>
            </w:r>
          </w:p>
        </w:tc>
      </w:tr>
      <w:tr w:rsidR="00E33F03" w:rsidRPr="0043547B" w:rsidTr="004E3FFD">
        <w:trPr>
          <w:trHeight w:val="495"/>
          <w:jc w:val="center"/>
        </w:trPr>
        <w:tc>
          <w:tcPr>
            <w:tcW w:w="1838" w:type="dxa"/>
            <w:tcBorders>
              <w:top w:val="single" w:sz="4" w:space="0" w:color="auto"/>
              <w:left w:val="single" w:sz="18" w:space="0" w:color="auto"/>
              <w:bottom w:val="single" w:sz="4" w:space="0" w:color="auto"/>
              <w:right w:val="single" w:sz="4" w:space="0" w:color="auto"/>
            </w:tcBorders>
            <w:shd w:val="clear" w:color="000000" w:fill="8DB4E2"/>
            <w:vAlign w:val="center"/>
            <w:hideMark/>
          </w:tcPr>
          <w:p w:rsidR="00E33F03" w:rsidRPr="0043547B" w:rsidRDefault="00E33F03" w:rsidP="00E33F03">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right w:val="single" w:sz="18" w:space="0" w:color="auto"/>
            </w:tcBorders>
            <w:shd w:val="clear" w:color="auto" w:fill="auto"/>
            <w:vAlign w:val="center"/>
            <w:hideMark/>
          </w:tcPr>
          <w:p w:rsidR="00E33F03" w:rsidRPr="0043547B" w:rsidRDefault="00E33F03" w:rsidP="00E33F03">
            <w:pPr>
              <w:spacing w:after="0" w:line="240" w:lineRule="auto"/>
              <w:rPr>
                <w:rFonts w:cstheme="minorHAnsi"/>
                <w:sz w:val="24"/>
                <w:szCs w:val="24"/>
              </w:rPr>
            </w:pPr>
            <w:r w:rsidRPr="0043547B">
              <w:rPr>
                <w:rFonts w:cstheme="minorHAnsi"/>
                <w:sz w:val="24"/>
                <w:szCs w:val="24"/>
              </w:rPr>
              <w:t>Systèmes de canalisations en plastiques pour l'évacuation des eaux-vannes et des eaux usées (à basse et à haute température) à l'intérieur de la structure des bâtiments - Polypropylène (PP) - Partie 1 : spécifications pour tubes, raccords et le système ; (OBL)</w:t>
            </w:r>
          </w:p>
        </w:tc>
      </w:tr>
      <w:tr w:rsidR="00E33F03" w:rsidRPr="0043547B" w:rsidTr="00CB5DC0">
        <w:trPr>
          <w:trHeight w:val="703"/>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E33F03" w:rsidRPr="0043547B" w:rsidRDefault="00E33F03" w:rsidP="00E33F03">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hideMark/>
          </w:tcPr>
          <w:p w:rsidR="00E33F03" w:rsidRDefault="00E33F03" w:rsidP="00E33F03">
            <w:pPr>
              <w:spacing w:after="0" w:line="240" w:lineRule="auto"/>
              <w:jc w:val="both"/>
              <w:rPr>
                <w:rFonts w:cstheme="minorHAnsi"/>
                <w:sz w:val="24"/>
                <w:szCs w:val="24"/>
              </w:rPr>
            </w:pPr>
            <w:r w:rsidRPr="0043547B">
              <w:rPr>
                <w:rFonts w:cstheme="minorHAnsi"/>
                <w:sz w:val="24"/>
                <w:szCs w:val="24"/>
              </w:rPr>
              <w:t>La présente partie de l’EN 1451 spécifie les exigences pour les tubes et raccords à paroi compacte en polypropylène (PP) et le système destinés à être utilisés pour :</w:t>
            </w:r>
          </w:p>
          <w:p w:rsidR="00E33F03" w:rsidRDefault="00E33F03" w:rsidP="00E33F03">
            <w:pPr>
              <w:spacing w:after="0" w:line="240" w:lineRule="auto"/>
              <w:jc w:val="both"/>
              <w:rPr>
                <w:rFonts w:cstheme="minorHAnsi"/>
                <w:sz w:val="24"/>
                <w:szCs w:val="24"/>
              </w:rPr>
            </w:pPr>
            <w:r w:rsidRPr="0043547B">
              <w:rPr>
                <w:rFonts w:cstheme="minorHAnsi"/>
                <w:sz w:val="24"/>
                <w:szCs w:val="24"/>
              </w:rPr>
              <w:t>— les applications d’évacuation des eaux-vannes et des eaux usées (à basse et à haute température) à l’intérieur des bâtiments (code de zone d’application « B ») ;</w:t>
            </w:r>
          </w:p>
          <w:p w:rsidR="00E33F03" w:rsidRDefault="00E33F03" w:rsidP="00E33F03">
            <w:pPr>
              <w:spacing w:after="0" w:line="240" w:lineRule="auto"/>
              <w:jc w:val="both"/>
              <w:rPr>
                <w:rFonts w:cstheme="minorHAnsi"/>
                <w:sz w:val="24"/>
                <w:szCs w:val="24"/>
              </w:rPr>
            </w:pPr>
            <w:r w:rsidRPr="0043547B">
              <w:rPr>
                <w:rFonts w:cstheme="minorHAnsi"/>
                <w:sz w:val="24"/>
                <w:szCs w:val="24"/>
              </w:rPr>
              <w:t>— les applications d'évacuation des eaux-vannes et des eaux usées (à basse et à haute température) utilisables aussi bien à l'intérieur des bâtiments qu'en enterré à l’intérieur de la structure du bâtiment (code de zone d’application « BD »).</w:t>
            </w:r>
            <w:r w:rsidRPr="0043547B">
              <w:rPr>
                <w:rFonts w:cstheme="minorHAnsi"/>
                <w:sz w:val="24"/>
                <w:szCs w:val="24"/>
              </w:rPr>
              <w:br/>
            </w:r>
            <w:r w:rsidRPr="0043547B">
              <w:rPr>
                <w:rFonts w:cstheme="minorHAnsi"/>
                <w:sz w:val="24"/>
                <w:szCs w:val="24"/>
              </w:rPr>
              <w:lastRenderedPageBreak/>
              <w:t>L’utilisation prévue est repérée au niveau du marquage des produits par « B » ou « BD ».</w:t>
            </w:r>
          </w:p>
          <w:p w:rsidR="00E33F03" w:rsidRDefault="00E33F03" w:rsidP="00E33F03">
            <w:pPr>
              <w:spacing w:after="0" w:line="240" w:lineRule="auto"/>
              <w:jc w:val="both"/>
              <w:rPr>
                <w:rFonts w:cstheme="minorHAnsi"/>
                <w:sz w:val="24"/>
                <w:szCs w:val="24"/>
              </w:rPr>
            </w:pPr>
            <w:r>
              <w:rPr>
                <w:rFonts w:cstheme="minorHAnsi"/>
                <w:sz w:val="24"/>
                <w:szCs w:val="24"/>
              </w:rPr>
              <w:t>L</w:t>
            </w:r>
            <w:r w:rsidRPr="0043547B">
              <w:rPr>
                <w:rFonts w:cstheme="minorHAnsi"/>
                <w:sz w:val="24"/>
                <w:szCs w:val="24"/>
              </w:rPr>
              <w:t>a présente partie de l’EN 1451 est également applicable aux tubes et raccords en PP et le système destinés aux usages suivants :</w:t>
            </w:r>
          </w:p>
          <w:p w:rsidR="00E33F03" w:rsidRDefault="00E33F03" w:rsidP="00E33F03">
            <w:pPr>
              <w:spacing w:after="0" w:line="240" w:lineRule="auto"/>
              <w:jc w:val="both"/>
              <w:rPr>
                <w:rFonts w:cstheme="minorHAnsi"/>
                <w:sz w:val="24"/>
                <w:szCs w:val="24"/>
              </w:rPr>
            </w:pPr>
            <w:r w:rsidRPr="0043547B">
              <w:rPr>
                <w:rFonts w:cstheme="minorHAnsi"/>
                <w:sz w:val="24"/>
                <w:szCs w:val="24"/>
              </w:rPr>
              <w:t>— la partie de ventilation du réseau de canalisation en association avec des applications d’évacuation ;</w:t>
            </w:r>
          </w:p>
          <w:p w:rsidR="00E33F03" w:rsidRDefault="00E33F03" w:rsidP="00E33F03">
            <w:pPr>
              <w:spacing w:after="0" w:line="240" w:lineRule="auto"/>
              <w:jc w:val="both"/>
              <w:rPr>
                <w:rFonts w:cstheme="minorHAnsi"/>
                <w:sz w:val="24"/>
                <w:szCs w:val="24"/>
              </w:rPr>
            </w:pPr>
            <w:r w:rsidRPr="0043547B">
              <w:rPr>
                <w:rFonts w:cstheme="minorHAnsi"/>
                <w:sz w:val="24"/>
                <w:szCs w:val="24"/>
              </w:rPr>
              <w:t>— les canalisations pour les eaux pluviales à l'intérieur de la structure du bâtiment.</w:t>
            </w:r>
            <w:r w:rsidRPr="0043547B">
              <w:rPr>
                <w:rFonts w:cstheme="minorHAnsi"/>
                <w:sz w:val="24"/>
                <w:szCs w:val="24"/>
              </w:rPr>
              <w:br/>
              <w:t>Elle spécifie également les paramètres d'essai pour les méthodes d'essai référencées dans la présente norme.</w:t>
            </w:r>
          </w:p>
          <w:p w:rsidR="00E33F03" w:rsidRDefault="00E33F03" w:rsidP="00E33F03">
            <w:pPr>
              <w:spacing w:after="0" w:line="240" w:lineRule="auto"/>
              <w:jc w:val="both"/>
              <w:rPr>
                <w:rFonts w:cstheme="minorHAnsi"/>
                <w:sz w:val="24"/>
                <w:szCs w:val="24"/>
              </w:rPr>
            </w:pPr>
            <w:r w:rsidRPr="0043547B">
              <w:rPr>
                <w:rFonts w:cstheme="minorHAnsi"/>
                <w:sz w:val="24"/>
                <w:szCs w:val="24"/>
              </w:rPr>
              <w:t>La présente norme européenne couvre une gamme de dimensions nominales, une gamme de séries de tubes et de raccords et donne des recommandations concernant les couleurs.</w:t>
            </w:r>
          </w:p>
          <w:p w:rsidR="00E33F03" w:rsidRDefault="00E33F03" w:rsidP="00E33F03">
            <w:pPr>
              <w:spacing w:after="0" w:line="240" w:lineRule="auto"/>
              <w:jc w:val="both"/>
              <w:rPr>
                <w:rFonts w:cstheme="minorHAnsi"/>
                <w:i/>
                <w:iCs/>
              </w:rPr>
            </w:pPr>
            <w:r w:rsidRPr="004E3FFD">
              <w:rPr>
                <w:rFonts w:cstheme="minorHAnsi"/>
                <w:b/>
                <w:bCs/>
                <w:i/>
                <w:iCs/>
              </w:rPr>
              <w:t>NOTE 2 :</w:t>
            </w:r>
            <w:r w:rsidRPr="004E3FFD">
              <w:rPr>
                <w:rFonts w:cstheme="minorHAnsi"/>
                <w:i/>
                <w:iCs/>
              </w:rPr>
              <w:t xml:space="preserve"> Il est de la responsabilité de l'acheteur ou du prescripteur d'effectuer les sélections appropriées à partir de ces données en tenant compte des exigences particulières et des éventuelles réglementations nationales et des pratiques ou codes pour la pose appropriés, par exemple, le CEN/TR 13801[1].</w:t>
            </w:r>
          </w:p>
          <w:p w:rsidR="00E33F03" w:rsidRPr="004E3FFD" w:rsidRDefault="00E33F03" w:rsidP="00E33F03">
            <w:pPr>
              <w:spacing w:after="0" w:line="240" w:lineRule="auto"/>
              <w:jc w:val="both"/>
              <w:rPr>
                <w:rFonts w:cstheme="minorHAnsi"/>
                <w:i/>
                <w:iCs/>
              </w:rPr>
            </w:pPr>
            <w:r w:rsidRPr="004E3FFD">
              <w:rPr>
                <w:rFonts w:cstheme="minorHAnsi"/>
                <w:b/>
                <w:bCs/>
                <w:i/>
                <w:iCs/>
              </w:rPr>
              <w:t>NOTE 3 :</w:t>
            </w:r>
            <w:r w:rsidRPr="004E3FFD">
              <w:rPr>
                <w:rFonts w:cstheme="minorHAnsi"/>
                <w:i/>
                <w:iCs/>
              </w:rPr>
              <w:t xml:space="preserve"> Les tubes, les raccords et autres composants conformes à l'une des normes de produits plastiques listées dans l'Annexe B peuvent être utilisés avec des tubes et des raccords conformes à la présente Norme européenne dans la mesure où ils répondent aux exigences pour les dimensions d'assemblage données dans l'Article 6 et aux exigences du Tableau 18.</w:t>
            </w:r>
          </w:p>
          <w:p w:rsidR="00E33F03" w:rsidRDefault="00E33F03" w:rsidP="00E33F03">
            <w:pPr>
              <w:spacing w:after="0" w:line="240" w:lineRule="auto"/>
              <w:jc w:val="both"/>
              <w:rPr>
                <w:rFonts w:cstheme="minorHAnsi"/>
                <w:sz w:val="24"/>
                <w:szCs w:val="24"/>
              </w:rPr>
            </w:pPr>
            <w:r w:rsidRPr="0043547B">
              <w:rPr>
                <w:rFonts w:cstheme="minorHAnsi"/>
                <w:sz w:val="24"/>
                <w:szCs w:val="24"/>
              </w:rPr>
              <w:t>La présente norme s'applique aux tubes et aux raccords portant la marque «B» destinés à être utilisés à l'intérieur des bâtiments et à l'extérieur des bâtiments fixés sur les murs.</w:t>
            </w:r>
          </w:p>
          <w:p w:rsidR="00E33F03" w:rsidRPr="004E3FFD" w:rsidRDefault="00E33F03" w:rsidP="00E33F03">
            <w:pPr>
              <w:spacing w:after="0" w:line="240" w:lineRule="auto"/>
              <w:rPr>
                <w:rFonts w:cstheme="minorHAnsi"/>
                <w:sz w:val="2"/>
                <w:szCs w:val="2"/>
              </w:rPr>
            </w:pPr>
            <w:r w:rsidRPr="0043547B">
              <w:rPr>
                <w:rFonts w:cstheme="minorHAnsi"/>
                <w:sz w:val="24"/>
                <w:szCs w:val="24"/>
              </w:rPr>
              <w:t>Elle s'applique aux tubes et aux raccords portant la marque «BD» destinés à être utilisés aussi bien à l'intérieur des bâtiments qu'en enterré dans la structure du bâtiment.</w:t>
            </w:r>
            <w:r w:rsidRPr="0043547B">
              <w:rPr>
                <w:rFonts w:cstheme="minorHAnsi"/>
                <w:sz w:val="24"/>
                <w:szCs w:val="24"/>
              </w:rPr>
              <w:br/>
              <w:t>La présente norme s'applique aux tubes et aux raccords en PP des types suivants:</w:t>
            </w:r>
            <w:r w:rsidRPr="0043547B">
              <w:rPr>
                <w:rFonts w:cstheme="minorHAnsi"/>
                <w:sz w:val="24"/>
                <w:szCs w:val="24"/>
              </w:rPr>
              <w:br/>
              <w:t>— à extrémité lisse ;</w:t>
            </w:r>
            <w:r w:rsidRPr="0043547B">
              <w:rPr>
                <w:rFonts w:cstheme="minorHAnsi"/>
                <w:sz w:val="24"/>
                <w:szCs w:val="24"/>
              </w:rPr>
              <w:br/>
              <w:t>— avec emboîture intégrée avec bague d'étanchéité en élastomère ;</w:t>
            </w:r>
            <w:r w:rsidRPr="0043547B">
              <w:rPr>
                <w:rFonts w:cstheme="minorHAnsi"/>
                <w:sz w:val="24"/>
                <w:szCs w:val="24"/>
              </w:rPr>
              <w:br/>
              <w:t>— pour assemblage par soudage bout-à-bout ;</w:t>
            </w:r>
            <w:r w:rsidRPr="0043547B">
              <w:rPr>
                <w:rFonts w:cstheme="minorHAnsi"/>
                <w:sz w:val="24"/>
                <w:szCs w:val="24"/>
              </w:rPr>
              <w:br/>
            </w:r>
          </w:p>
          <w:p w:rsidR="00E33F03" w:rsidRDefault="00E33F03" w:rsidP="00E33F03">
            <w:pPr>
              <w:spacing w:after="0" w:line="240" w:lineRule="auto"/>
              <w:jc w:val="both"/>
              <w:rPr>
                <w:rFonts w:cstheme="minorHAnsi"/>
                <w:sz w:val="24"/>
                <w:szCs w:val="24"/>
              </w:rPr>
            </w:pPr>
            <w:r w:rsidRPr="0043547B">
              <w:rPr>
                <w:rFonts w:cstheme="minorHAnsi"/>
                <w:sz w:val="24"/>
                <w:szCs w:val="24"/>
              </w:rPr>
              <w:t>où les raccords peuvent être fabriqués par moulage par injection ou être façonnés à partir de tubes et/ou de pièce moulées.</w:t>
            </w:r>
          </w:p>
          <w:p w:rsidR="00E33F03" w:rsidRPr="004E3FFD" w:rsidRDefault="00E33F03" w:rsidP="00E33F03">
            <w:pPr>
              <w:spacing w:after="0" w:line="240" w:lineRule="auto"/>
              <w:jc w:val="both"/>
              <w:rPr>
                <w:rFonts w:cstheme="minorHAnsi"/>
                <w:i/>
                <w:iCs/>
              </w:rPr>
            </w:pPr>
            <w:r w:rsidRPr="004E3FFD">
              <w:rPr>
                <w:rFonts w:cstheme="minorHAnsi"/>
                <w:b/>
                <w:bCs/>
                <w:i/>
                <w:iCs/>
              </w:rPr>
              <w:t xml:space="preserve">NOTE 4 : </w:t>
            </w:r>
            <w:r w:rsidRPr="004E3FFD">
              <w:rPr>
                <w:rFonts w:cstheme="minorHAnsi"/>
                <w:i/>
                <w:iCs/>
              </w:rPr>
              <w:t>L’EN 476 [2] spécifie les exigences générales pour les composants utilisés dans les canalisations d’évacuation, les branchements et les collecteurs pour réseaux à écoulement libre. Les tubes et raccords conformes à cette norme satisfont intégralement à ces exigences.</w:t>
            </w:r>
          </w:p>
          <w:p w:rsidR="00E33F03" w:rsidRPr="0043547B" w:rsidRDefault="00E33F03" w:rsidP="00E33F03">
            <w:pPr>
              <w:spacing w:after="0" w:line="240" w:lineRule="auto"/>
              <w:jc w:val="both"/>
              <w:rPr>
                <w:rFonts w:cstheme="minorHAnsi"/>
                <w:sz w:val="24"/>
                <w:szCs w:val="24"/>
              </w:rPr>
            </w:pPr>
            <w:r w:rsidRPr="004E3FFD">
              <w:rPr>
                <w:rFonts w:cstheme="minorHAnsi"/>
                <w:b/>
                <w:bCs/>
                <w:i/>
                <w:iCs/>
              </w:rPr>
              <w:t>NOTE 5 :</w:t>
            </w:r>
            <w:r w:rsidRPr="004E3FFD">
              <w:rPr>
                <w:rFonts w:cstheme="minorHAnsi"/>
                <w:i/>
                <w:iCs/>
              </w:rPr>
              <w:t xml:space="preserve"> Pour toute information concernant la résistance chimique du PP, des instructions sont données dans l’ISO/TR 10358 [3], et dans l’ISO/TR 7620 [4] pour les matériaux en caoutchouc.</w:t>
            </w:r>
          </w:p>
        </w:tc>
      </w:tr>
      <w:tr w:rsidR="00E33F03" w:rsidRPr="0043547B" w:rsidTr="00CB5DC0">
        <w:trPr>
          <w:trHeight w:val="40"/>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E33F03" w:rsidRPr="00951EE9" w:rsidRDefault="00E33F03" w:rsidP="00E33F03">
            <w:pPr>
              <w:spacing w:after="0" w:line="240" w:lineRule="auto"/>
              <w:jc w:val="center"/>
              <w:rPr>
                <w:rFonts w:cstheme="minorHAnsi"/>
                <w:b/>
                <w:bCs/>
                <w:sz w:val="24"/>
                <w:szCs w:val="24"/>
              </w:rPr>
            </w:pPr>
            <w:r w:rsidRPr="00951EE9">
              <w:rPr>
                <w:rFonts w:cstheme="minorHAnsi"/>
                <w:b/>
                <w:bCs/>
                <w:sz w:val="24"/>
                <w:szCs w:val="24"/>
              </w:rPr>
              <w:lastRenderedPageBreak/>
              <w:t>Code :</w:t>
            </w:r>
          </w:p>
        </w:tc>
        <w:tc>
          <w:tcPr>
            <w:tcW w:w="7938" w:type="dxa"/>
            <w:tcBorders>
              <w:left w:val="single" w:sz="4" w:space="0" w:color="auto"/>
              <w:bottom w:val="single" w:sz="18" w:space="0" w:color="auto"/>
              <w:right w:val="single" w:sz="18" w:space="0" w:color="auto"/>
            </w:tcBorders>
            <w:shd w:val="clear" w:color="auto" w:fill="C2D69B" w:themeFill="accent3" w:themeFillTint="99"/>
            <w:vAlign w:val="center"/>
          </w:tcPr>
          <w:p w:rsidR="00E33F03" w:rsidRPr="00951EE9" w:rsidRDefault="00E33F03" w:rsidP="00E33F03">
            <w:pPr>
              <w:spacing w:after="0" w:line="240" w:lineRule="auto"/>
              <w:jc w:val="center"/>
              <w:rPr>
                <w:rFonts w:cstheme="minorHAnsi"/>
                <w:b/>
                <w:bCs/>
                <w:sz w:val="24"/>
                <w:szCs w:val="24"/>
              </w:rPr>
            </w:pPr>
            <w:r w:rsidRPr="00951EE9">
              <w:rPr>
                <w:rFonts w:cstheme="minorHAnsi"/>
                <w:b/>
                <w:bCs/>
                <w:sz w:val="24"/>
                <w:szCs w:val="24"/>
              </w:rPr>
              <w:t>NM CEN/TS 1451-2</w:t>
            </w:r>
          </w:p>
        </w:tc>
      </w:tr>
      <w:tr w:rsidR="00E33F03" w:rsidRPr="0043547B" w:rsidTr="004E3FFD">
        <w:trPr>
          <w:trHeight w:val="23"/>
          <w:jc w:val="center"/>
        </w:trPr>
        <w:tc>
          <w:tcPr>
            <w:tcW w:w="1838" w:type="dxa"/>
            <w:tcBorders>
              <w:top w:val="single" w:sz="18" w:space="0" w:color="auto"/>
              <w:left w:val="single" w:sz="18" w:space="0" w:color="auto"/>
              <w:bottom w:val="single" w:sz="4" w:space="0" w:color="auto"/>
              <w:right w:val="single" w:sz="4" w:space="0" w:color="auto"/>
            </w:tcBorders>
            <w:shd w:val="clear" w:color="auto" w:fill="FDFBA9"/>
            <w:vAlign w:val="center"/>
          </w:tcPr>
          <w:p w:rsidR="00E33F03" w:rsidRPr="00951EE9" w:rsidRDefault="00E33F03" w:rsidP="00E33F03">
            <w:pPr>
              <w:spacing w:after="0" w:line="240" w:lineRule="auto"/>
              <w:jc w:val="center"/>
              <w:rPr>
                <w:rFonts w:cstheme="minorHAnsi"/>
                <w:b/>
                <w:bCs/>
                <w:sz w:val="24"/>
                <w:szCs w:val="24"/>
              </w:rPr>
            </w:pPr>
            <w:r w:rsidRPr="00951EE9">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DFBA9"/>
            <w:vAlign w:val="bottom"/>
          </w:tcPr>
          <w:p w:rsidR="00E33F03" w:rsidRPr="00951EE9" w:rsidRDefault="00E33F03" w:rsidP="00E33F03">
            <w:pPr>
              <w:spacing w:after="0" w:line="240" w:lineRule="auto"/>
              <w:jc w:val="center"/>
              <w:rPr>
                <w:rFonts w:cstheme="minorHAnsi"/>
                <w:b/>
                <w:bCs/>
                <w:sz w:val="24"/>
                <w:szCs w:val="24"/>
              </w:rPr>
            </w:pPr>
            <w:r w:rsidRPr="00951EE9">
              <w:rPr>
                <w:rFonts w:cstheme="minorHAnsi"/>
                <w:b/>
                <w:bCs/>
                <w:sz w:val="24"/>
                <w:szCs w:val="24"/>
              </w:rPr>
              <w:t>CEN/TS 1451-2</w:t>
            </w:r>
          </w:p>
        </w:tc>
      </w:tr>
      <w:tr w:rsidR="00E33F03" w:rsidRPr="0043547B" w:rsidTr="004E3FFD">
        <w:trPr>
          <w:trHeight w:val="703"/>
          <w:jc w:val="center"/>
        </w:trPr>
        <w:tc>
          <w:tcPr>
            <w:tcW w:w="1838" w:type="dxa"/>
            <w:tcBorders>
              <w:top w:val="single" w:sz="4" w:space="0" w:color="auto"/>
              <w:left w:val="single" w:sz="18" w:space="0" w:color="auto"/>
              <w:bottom w:val="single" w:sz="4" w:space="0" w:color="auto"/>
              <w:right w:val="single" w:sz="4" w:space="0" w:color="auto"/>
            </w:tcBorders>
            <w:shd w:val="clear" w:color="auto" w:fill="95B3D7" w:themeFill="accent1" w:themeFillTint="99"/>
            <w:vAlign w:val="center"/>
          </w:tcPr>
          <w:p w:rsidR="00E33F03" w:rsidRPr="0043547B" w:rsidRDefault="00E33F03" w:rsidP="00E33F03">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auto"/>
            <w:vAlign w:val="center"/>
          </w:tcPr>
          <w:p w:rsidR="00E33F03" w:rsidRPr="0043547B" w:rsidRDefault="00E33F03" w:rsidP="00E33F03">
            <w:pPr>
              <w:spacing w:after="0" w:line="240" w:lineRule="auto"/>
              <w:rPr>
                <w:rFonts w:cstheme="minorHAnsi"/>
                <w:sz w:val="24"/>
                <w:szCs w:val="24"/>
              </w:rPr>
            </w:pPr>
            <w:r w:rsidRPr="0043547B">
              <w:rPr>
                <w:rFonts w:cstheme="minorHAnsi"/>
                <w:sz w:val="24"/>
                <w:szCs w:val="24"/>
              </w:rPr>
              <w:t xml:space="preserve">Systèmes de canalisations en plastique pour l'évacuation des eaux-vannes et des eaux usées (à basse et à haute température) à l'intérieur de la structure des bâtiments - Polypropylène (PP) - Partie 2 : guide pour l'évaluation de la conformité ; </w:t>
            </w:r>
            <w:r>
              <w:rPr>
                <w:rFonts w:cstheme="minorHAnsi"/>
                <w:sz w:val="24"/>
                <w:szCs w:val="24"/>
              </w:rPr>
              <w:t xml:space="preserve"> </w:t>
            </w:r>
            <w:r w:rsidRPr="0043547B">
              <w:rPr>
                <w:rFonts w:cstheme="minorHAnsi"/>
                <w:sz w:val="24"/>
                <w:szCs w:val="24"/>
              </w:rPr>
              <w:t xml:space="preserve"> </w:t>
            </w:r>
          </w:p>
        </w:tc>
      </w:tr>
      <w:tr w:rsidR="00E33F03" w:rsidRPr="0043547B" w:rsidTr="00CB5DC0">
        <w:trPr>
          <w:trHeight w:val="703"/>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E33F03" w:rsidRPr="0043547B" w:rsidRDefault="00E33F03" w:rsidP="00E33F03">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tcPr>
          <w:p w:rsidR="00E33F03" w:rsidRPr="004E3FFD" w:rsidRDefault="00E33F03" w:rsidP="00E33F03">
            <w:pPr>
              <w:spacing w:after="0" w:line="240" w:lineRule="auto"/>
              <w:jc w:val="both"/>
              <w:rPr>
                <w:rFonts w:cstheme="minorHAnsi"/>
                <w:i/>
                <w:iCs/>
              </w:rPr>
            </w:pPr>
            <w:r w:rsidRPr="0043547B">
              <w:rPr>
                <w:rFonts w:cstheme="minorHAnsi"/>
                <w:sz w:val="24"/>
                <w:szCs w:val="24"/>
              </w:rPr>
              <w:t xml:space="preserve">La présente Spécification Technique fournit un guide pour l'évaluation de la conformité des matières, produits, assemblages et montages conformes à la partie (aux parties) applicable(s) de l'EN 1451, destiné à être inclus dans le plan </w:t>
            </w:r>
            <w:r w:rsidRPr="0043547B">
              <w:rPr>
                <w:rFonts w:cstheme="minorHAnsi"/>
                <w:sz w:val="24"/>
                <w:szCs w:val="24"/>
              </w:rPr>
              <w:lastRenderedPageBreak/>
              <w:t>qualité du fabricant dans le cadre du système de management de la qualité et pour l'établissement de procédures de certification par tierce partie.</w:t>
            </w:r>
            <w:r w:rsidRPr="0043547B">
              <w:rPr>
                <w:rFonts w:cstheme="minorHAnsi"/>
                <w:sz w:val="24"/>
                <w:szCs w:val="24"/>
              </w:rPr>
              <w:br/>
            </w:r>
            <w:r w:rsidRPr="004E3FFD">
              <w:rPr>
                <w:rFonts w:cstheme="minorHAnsi"/>
                <w:b/>
                <w:bCs/>
                <w:i/>
                <w:iCs/>
              </w:rPr>
              <w:t>NOTE 1 :</w:t>
            </w:r>
            <w:r w:rsidRPr="004E3FFD">
              <w:rPr>
                <w:rFonts w:cstheme="minorHAnsi"/>
                <w:i/>
                <w:iCs/>
              </w:rPr>
              <w:t xml:space="preserve"> Il est recommandé que le système de management de la qualité soit conforme aux exigences pertinentes de l'EN ISO 9001 [1] ou au moins aussi strict que ces exigences.</w:t>
            </w:r>
          </w:p>
          <w:p w:rsidR="00E33F03" w:rsidRPr="004E3FFD" w:rsidRDefault="00E33F03" w:rsidP="00E33F03">
            <w:pPr>
              <w:spacing w:after="0" w:line="240" w:lineRule="auto"/>
              <w:jc w:val="both"/>
              <w:rPr>
                <w:rFonts w:cstheme="minorHAnsi"/>
                <w:i/>
                <w:iCs/>
              </w:rPr>
            </w:pPr>
            <w:r w:rsidRPr="004E3FFD">
              <w:rPr>
                <w:rFonts w:cstheme="minorHAnsi"/>
                <w:b/>
                <w:bCs/>
                <w:i/>
                <w:iCs/>
              </w:rPr>
              <w:t>NOTE 2 :</w:t>
            </w:r>
            <w:r w:rsidRPr="004E3FFD">
              <w:rPr>
                <w:rFonts w:cstheme="minorHAnsi"/>
                <w:i/>
                <w:iCs/>
              </w:rPr>
              <w:t xml:space="preserve"> En cas de certification par tierce partie, il est recommandé que l'organisme de certification soit accrédité selon l'EN 45011 [2], l'EN 45012 [3] ou l'EN ISO/CEI 17021 [4], suivant le cas.</w:t>
            </w:r>
          </w:p>
          <w:p w:rsidR="00E33F03" w:rsidRPr="004E3FFD" w:rsidRDefault="00E33F03" w:rsidP="00E33F03">
            <w:pPr>
              <w:spacing w:after="0" w:line="240" w:lineRule="auto"/>
              <w:jc w:val="both"/>
              <w:rPr>
                <w:rFonts w:cstheme="minorHAnsi"/>
                <w:i/>
                <w:iCs/>
              </w:rPr>
            </w:pPr>
            <w:r w:rsidRPr="004E3FFD">
              <w:rPr>
                <w:rFonts w:cstheme="minorHAnsi"/>
                <w:b/>
                <w:bCs/>
                <w:i/>
                <w:iCs/>
              </w:rPr>
              <w:t>NOTE 3 :</w:t>
            </w:r>
            <w:r w:rsidRPr="004E3FFD">
              <w:rPr>
                <w:rFonts w:cstheme="minorHAnsi"/>
                <w:i/>
                <w:iCs/>
              </w:rPr>
              <w:t xml:space="preserve"> Afin d’aider le lecteur, une synthèse du plan d’essais est fournie en Annexe A.</w:t>
            </w:r>
          </w:p>
          <w:p w:rsidR="00E33F03" w:rsidRDefault="00E33F03" w:rsidP="00E33F03">
            <w:pPr>
              <w:spacing w:after="0" w:line="240" w:lineRule="auto"/>
              <w:jc w:val="both"/>
              <w:rPr>
                <w:rFonts w:cstheme="minorHAnsi"/>
                <w:sz w:val="24"/>
                <w:szCs w:val="24"/>
              </w:rPr>
            </w:pPr>
            <w:r w:rsidRPr="0043547B">
              <w:rPr>
                <w:rFonts w:cstheme="minorHAnsi"/>
                <w:sz w:val="24"/>
                <w:szCs w:val="24"/>
              </w:rPr>
              <w:t>Conjointement avec l'EN 1451-1, le présent document s'applique aux systèmes de canalisations en polypropylène (PP) destinés à être utilisés :</w:t>
            </w:r>
          </w:p>
          <w:p w:rsidR="00E33F03" w:rsidRDefault="00E33F03" w:rsidP="00E33F03">
            <w:pPr>
              <w:spacing w:after="0" w:line="240" w:lineRule="auto"/>
              <w:jc w:val="both"/>
              <w:rPr>
                <w:rFonts w:cstheme="minorHAnsi"/>
                <w:sz w:val="24"/>
                <w:szCs w:val="24"/>
              </w:rPr>
            </w:pPr>
            <w:r w:rsidRPr="0043547B">
              <w:rPr>
                <w:rFonts w:cstheme="minorHAnsi"/>
                <w:sz w:val="24"/>
                <w:szCs w:val="24"/>
              </w:rPr>
              <w:t>— pour les systèmes d'évacuation des eaux-vannes et des eaux usées (à basse et à haute température) à l'intérieur des bâtiments (code de zone d'application «B»), et</w:t>
            </w:r>
          </w:p>
          <w:p w:rsidR="00E33F03" w:rsidRDefault="00E33F03" w:rsidP="00E33F03">
            <w:pPr>
              <w:spacing w:after="0" w:line="240" w:lineRule="auto"/>
              <w:jc w:val="both"/>
              <w:rPr>
                <w:rFonts w:cstheme="minorHAnsi"/>
                <w:sz w:val="24"/>
                <w:szCs w:val="24"/>
              </w:rPr>
            </w:pPr>
            <w:r w:rsidRPr="0043547B">
              <w:rPr>
                <w:rFonts w:cstheme="minorHAnsi"/>
                <w:sz w:val="24"/>
                <w:szCs w:val="24"/>
              </w:rPr>
              <w:t>— pour les systèmes d'évacuation des eaux-vannes et des eaux usées (à basse et à haute température) à l'intérieur des bâtiments et enterrés à l'intérieur de la structure du bâtiment (code de zone d'application «BD»).</w:t>
            </w:r>
          </w:p>
          <w:p w:rsidR="00E33F03" w:rsidRPr="0043547B" w:rsidRDefault="00E33F03" w:rsidP="00E33F03">
            <w:pPr>
              <w:spacing w:after="0" w:line="240" w:lineRule="auto"/>
              <w:jc w:val="both"/>
              <w:rPr>
                <w:rFonts w:cstheme="minorHAnsi"/>
                <w:sz w:val="24"/>
                <w:szCs w:val="24"/>
              </w:rPr>
            </w:pPr>
            <w:r w:rsidRPr="0043547B">
              <w:rPr>
                <w:rFonts w:cstheme="minorHAnsi"/>
                <w:sz w:val="24"/>
                <w:szCs w:val="24"/>
              </w:rPr>
              <w:t>Ceci est reflété dans le marquage des produits par «B» ou «BD».</w:t>
            </w:r>
          </w:p>
        </w:tc>
      </w:tr>
      <w:tr w:rsidR="00E33F03"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ENV 1452-7</w:t>
            </w:r>
          </w:p>
        </w:tc>
      </w:tr>
      <w:tr w:rsidR="00E33F03"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ENV 1452-7</w:t>
            </w:r>
          </w:p>
        </w:tc>
      </w:tr>
      <w:tr w:rsidR="00E33F03" w:rsidRPr="0043547B" w:rsidTr="00CB5DC0">
        <w:trPr>
          <w:trHeight w:val="49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Systèmes de canalisations en plastique pour l'alimentation en eau - Poly(chlorure de vinyle) non plastifié (PVC-U) - Partie 7 : Guide  pour l'évaluation de la conformité ;  </w:t>
            </w:r>
          </w:p>
        </w:tc>
      </w:tr>
      <w:tr w:rsidR="00E33F03" w:rsidRPr="0043547B" w:rsidTr="00CB5DC0">
        <w:trPr>
          <w:trHeight w:val="2688"/>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donne des instructions pour l'évaluation de la conformité, prévue à être inclue dans le plan qualité du fabricant, en tant que partie de son système qualité. Elle comporte les points suivants :</w:t>
            </w:r>
          </w:p>
          <w:p w:rsidR="00E33F03" w:rsidRPr="0043547B" w:rsidRDefault="00E33F03" w:rsidP="00E33F03">
            <w:pPr>
              <w:pStyle w:val="Paragraphedeliste"/>
              <w:numPr>
                <w:ilvl w:val="0"/>
                <w:numId w:val="20"/>
              </w:numPr>
              <w:spacing w:after="0" w:line="240" w:lineRule="auto"/>
              <w:ind w:left="337"/>
              <w:jc w:val="both"/>
              <w:rPr>
                <w:rFonts w:eastAsia="Times New Roman" w:cstheme="minorHAnsi"/>
                <w:sz w:val="24"/>
                <w:szCs w:val="24"/>
                <w:lang w:eastAsia="fr-FR"/>
              </w:rPr>
            </w:pPr>
            <w:r w:rsidRPr="0043547B">
              <w:rPr>
                <w:rFonts w:eastAsia="Times New Roman" w:cstheme="minorHAnsi"/>
                <w:sz w:val="24"/>
                <w:szCs w:val="24"/>
                <w:lang w:eastAsia="fr-FR"/>
              </w:rPr>
              <w:t>des exigences pour les matières, les composants, les assemblages et les montages, données dans la norme NM EN 1452 ;</w:t>
            </w:r>
          </w:p>
          <w:p w:rsidR="00E33F03" w:rsidRPr="0043547B" w:rsidRDefault="00E33F03" w:rsidP="00E33F03">
            <w:pPr>
              <w:pStyle w:val="Paragraphedeliste"/>
              <w:numPr>
                <w:ilvl w:val="0"/>
                <w:numId w:val="20"/>
              </w:numPr>
              <w:spacing w:after="0" w:line="240" w:lineRule="auto"/>
              <w:ind w:left="337"/>
              <w:jc w:val="both"/>
              <w:rPr>
                <w:rFonts w:eastAsia="Times New Roman" w:cstheme="minorHAnsi"/>
                <w:sz w:val="24"/>
                <w:szCs w:val="24"/>
                <w:lang w:eastAsia="fr-FR"/>
              </w:rPr>
            </w:pPr>
            <w:r w:rsidRPr="0043547B">
              <w:rPr>
                <w:rFonts w:eastAsia="Times New Roman" w:cstheme="minorHAnsi"/>
                <w:sz w:val="24"/>
                <w:szCs w:val="24"/>
                <w:lang w:eastAsia="fr-FR"/>
              </w:rPr>
              <w:t>des exigences pour le système qualité du fabricant ; Il est recommandé que le système qualité se conforme à EN ISO 9001 ou EN ISO 9002, selon le cas.</w:t>
            </w:r>
          </w:p>
          <w:p w:rsidR="00E33F03" w:rsidRPr="0043547B" w:rsidRDefault="00E33F03" w:rsidP="00E33F03">
            <w:pPr>
              <w:pStyle w:val="Paragraphedeliste"/>
              <w:numPr>
                <w:ilvl w:val="0"/>
                <w:numId w:val="20"/>
              </w:numPr>
              <w:spacing w:after="0" w:line="240" w:lineRule="auto"/>
              <w:ind w:left="337"/>
              <w:jc w:val="both"/>
              <w:rPr>
                <w:rFonts w:eastAsia="Times New Roman" w:cstheme="minorHAnsi"/>
                <w:w w:val="90"/>
                <w:sz w:val="24"/>
                <w:szCs w:val="24"/>
                <w:lang w:eastAsia="fr-FR"/>
              </w:rPr>
            </w:pPr>
            <w:r w:rsidRPr="0043547B">
              <w:rPr>
                <w:rFonts w:eastAsia="Times New Roman" w:cstheme="minorHAnsi"/>
                <w:w w:val="90"/>
                <w:sz w:val="24"/>
                <w:szCs w:val="24"/>
                <w:lang w:eastAsia="fr-FR"/>
              </w:rPr>
              <w:t>des définitions et des procédures à appliquer si une certification par tierce partie a lieu.</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La norme s'applique aussi aux systèmes de canalisations en PVC-U pour le transport de l'eau jusqu'à 45 °C inclus. </w:t>
            </w:r>
          </w:p>
        </w:tc>
      </w:tr>
      <w:tr w:rsidR="00E33F03"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12201-1</w:t>
            </w:r>
          </w:p>
        </w:tc>
      </w:tr>
      <w:tr w:rsidR="00E33F03"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12201-1</w:t>
            </w:r>
          </w:p>
        </w:tc>
      </w:tr>
      <w:tr w:rsidR="00E33F03" w:rsidRPr="0043547B" w:rsidTr="00CB5DC0">
        <w:trPr>
          <w:trHeight w:val="49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Systèmes de canalisations en plastique pour l'alimentation en eau et pour les branchements et les collecteurs d'assainissement avec pression - Polyéthylène (PE) - Partie 1 : Généralités ; </w:t>
            </w:r>
          </w:p>
        </w:tc>
      </w:tr>
      <w:tr w:rsidR="00E33F03" w:rsidRPr="0043547B" w:rsidTr="00CB5DC0">
        <w:trPr>
          <w:trHeight w:val="1126"/>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aspects généraux des systèmes de canalisations en polyéthylène (PE) avec pression (canalisations de distribution et de branchement) pour des applications enterrées ou non enterrées prévues pour le transport d'eau destinée à la consommation humaine, y compris l'eau brute avant traitement, les branchements et les collecteurs d'assainissement avec pression, les réseaux d'évacuation des eaux usées sous vide et l'eau destinée à d'autres usages.</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spécifie également les paramètres d'essai pour les méthodes d'essai auxquelles La norme fait référence.</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lastRenderedPageBreak/>
              <w:t>Elle s'applique aux tubes, raccords, robinets et assemblages fabriqués en polyéthylène (PE) et aux assemblages avec des composants fabriqués en d'autres matières, destinés à être utilisés dans les conditions suivantes :</w:t>
            </w:r>
          </w:p>
          <w:p w:rsidR="00E33F03" w:rsidRPr="0043547B" w:rsidRDefault="00E33F03" w:rsidP="00E33F03">
            <w:pPr>
              <w:pStyle w:val="Paragraphedeliste"/>
              <w:numPr>
                <w:ilvl w:val="0"/>
                <w:numId w:val="21"/>
              </w:numPr>
              <w:spacing w:after="0" w:line="240" w:lineRule="auto"/>
              <w:ind w:left="337"/>
              <w:jc w:val="both"/>
              <w:rPr>
                <w:rFonts w:eastAsia="Times New Roman" w:cstheme="minorHAnsi"/>
                <w:sz w:val="24"/>
                <w:szCs w:val="24"/>
                <w:lang w:eastAsia="fr-FR"/>
              </w:rPr>
            </w:pPr>
            <w:r w:rsidRPr="0043547B">
              <w:rPr>
                <w:rFonts w:eastAsia="Times New Roman" w:cstheme="minorHAnsi"/>
                <w:sz w:val="24"/>
                <w:szCs w:val="24"/>
                <w:lang w:eastAsia="fr-FR"/>
              </w:rPr>
              <w:t>avec une pression de service admissible, PFA, jusqu'à 25 bar ;</w:t>
            </w:r>
          </w:p>
          <w:p w:rsidR="00E33F03" w:rsidRPr="0043547B" w:rsidRDefault="00E33F03" w:rsidP="00E33F03">
            <w:pPr>
              <w:pStyle w:val="Paragraphedeliste"/>
              <w:numPr>
                <w:ilvl w:val="0"/>
                <w:numId w:val="21"/>
              </w:numPr>
              <w:spacing w:after="0" w:line="240" w:lineRule="auto"/>
              <w:ind w:left="337"/>
              <w:jc w:val="both"/>
              <w:rPr>
                <w:rFonts w:eastAsia="Times New Roman" w:cstheme="minorHAnsi"/>
                <w:sz w:val="24"/>
                <w:szCs w:val="24"/>
                <w:lang w:eastAsia="fr-FR"/>
              </w:rPr>
            </w:pPr>
            <w:r w:rsidRPr="0043547B">
              <w:rPr>
                <w:rFonts w:eastAsia="Times New Roman" w:cstheme="minorHAnsi"/>
                <w:sz w:val="24"/>
                <w:szCs w:val="24"/>
                <w:lang w:eastAsia="fr-FR"/>
              </w:rPr>
              <w:t>à une température de service de 20 °C comme température de référence ;</w:t>
            </w:r>
          </w:p>
          <w:p w:rsidR="00E33F03" w:rsidRPr="0043547B" w:rsidRDefault="00E33F03" w:rsidP="00E33F03">
            <w:pPr>
              <w:pStyle w:val="Paragraphedeliste"/>
              <w:numPr>
                <w:ilvl w:val="0"/>
                <w:numId w:val="21"/>
              </w:numPr>
              <w:spacing w:after="0" w:line="240" w:lineRule="auto"/>
              <w:ind w:left="337"/>
              <w:jc w:val="both"/>
              <w:rPr>
                <w:rFonts w:eastAsia="Times New Roman" w:cstheme="minorHAnsi"/>
                <w:sz w:val="24"/>
                <w:szCs w:val="24"/>
                <w:lang w:eastAsia="fr-FR"/>
              </w:rPr>
            </w:pPr>
            <w:r w:rsidRPr="0043547B">
              <w:rPr>
                <w:rFonts w:eastAsia="Times New Roman" w:cstheme="minorHAnsi"/>
                <w:sz w:val="24"/>
                <w:szCs w:val="24"/>
                <w:lang w:eastAsia="fr-FR"/>
              </w:rPr>
              <w:t>enterrés dans le sol ;</w:t>
            </w:r>
          </w:p>
          <w:p w:rsidR="00E33F03" w:rsidRPr="0043547B" w:rsidRDefault="00E33F03" w:rsidP="00E33F03">
            <w:pPr>
              <w:pStyle w:val="Paragraphedeliste"/>
              <w:numPr>
                <w:ilvl w:val="0"/>
                <w:numId w:val="21"/>
              </w:numPr>
              <w:spacing w:after="0" w:line="240" w:lineRule="auto"/>
              <w:ind w:left="337"/>
              <w:jc w:val="both"/>
              <w:rPr>
                <w:rFonts w:eastAsia="Times New Roman" w:cstheme="minorHAnsi"/>
                <w:sz w:val="24"/>
                <w:szCs w:val="24"/>
                <w:lang w:eastAsia="fr-FR"/>
              </w:rPr>
            </w:pPr>
            <w:r w:rsidRPr="0043547B">
              <w:rPr>
                <w:rFonts w:eastAsia="Times New Roman" w:cstheme="minorHAnsi"/>
                <w:sz w:val="24"/>
                <w:szCs w:val="24"/>
                <w:lang w:eastAsia="fr-FR"/>
              </w:rPr>
              <w:t>comme émissaires de rejet en mer ;</w:t>
            </w:r>
          </w:p>
          <w:p w:rsidR="00E33F03" w:rsidRPr="0043547B" w:rsidRDefault="00E33F03" w:rsidP="00E33F03">
            <w:pPr>
              <w:pStyle w:val="Paragraphedeliste"/>
              <w:numPr>
                <w:ilvl w:val="0"/>
                <w:numId w:val="21"/>
              </w:numPr>
              <w:spacing w:after="0" w:line="240" w:lineRule="auto"/>
              <w:ind w:left="337"/>
              <w:jc w:val="both"/>
              <w:rPr>
                <w:rFonts w:eastAsia="Times New Roman" w:cstheme="minorHAnsi"/>
                <w:sz w:val="24"/>
                <w:szCs w:val="24"/>
                <w:lang w:eastAsia="fr-FR"/>
              </w:rPr>
            </w:pPr>
            <w:r w:rsidRPr="0043547B">
              <w:rPr>
                <w:rFonts w:eastAsia="Times New Roman" w:cstheme="minorHAnsi"/>
                <w:sz w:val="24"/>
                <w:szCs w:val="24"/>
                <w:lang w:eastAsia="fr-FR"/>
              </w:rPr>
              <w:t>posés dans l'eau ;</w:t>
            </w:r>
          </w:p>
          <w:p w:rsidR="00E33F03" w:rsidRPr="0043547B" w:rsidRDefault="00E33F03" w:rsidP="00E33F03">
            <w:pPr>
              <w:pStyle w:val="Paragraphedeliste"/>
              <w:numPr>
                <w:ilvl w:val="0"/>
                <w:numId w:val="21"/>
              </w:numPr>
              <w:spacing w:after="0" w:line="240" w:lineRule="auto"/>
              <w:ind w:left="337"/>
              <w:jc w:val="both"/>
              <w:rPr>
                <w:rFonts w:eastAsia="Times New Roman" w:cstheme="minorHAnsi"/>
                <w:sz w:val="24"/>
                <w:szCs w:val="24"/>
                <w:lang w:eastAsia="fr-FR"/>
              </w:rPr>
            </w:pPr>
            <w:r w:rsidRPr="0043547B">
              <w:rPr>
                <w:rFonts w:eastAsia="Times New Roman" w:cstheme="minorHAnsi"/>
                <w:sz w:val="24"/>
                <w:szCs w:val="24"/>
                <w:lang w:eastAsia="fr-FR"/>
              </w:rPr>
              <w:t>non enterrés, y compris canalisations suspendues sous des ponts.</w:t>
            </w:r>
          </w:p>
          <w:p w:rsidR="00E33F03" w:rsidRPr="0043547B" w:rsidRDefault="00E33F03" w:rsidP="00E33F03">
            <w:pPr>
              <w:spacing w:after="0" w:line="240" w:lineRule="auto"/>
              <w:jc w:val="both"/>
              <w:rPr>
                <w:rFonts w:eastAsia="Times New Roman" w:cstheme="minorHAnsi"/>
                <w:w w:val="95"/>
                <w:sz w:val="24"/>
                <w:szCs w:val="24"/>
                <w:lang w:eastAsia="fr-FR"/>
              </w:rPr>
            </w:pPr>
            <w:r w:rsidRPr="0043547B">
              <w:rPr>
                <w:rFonts w:eastAsia="Times New Roman" w:cstheme="minorHAnsi"/>
                <w:w w:val="95"/>
                <w:sz w:val="24"/>
                <w:szCs w:val="24"/>
                <w:lang w:eastAsia="fr-FR"/>
              </w:rPr>
              <w:t>Il incombe à l'acheteur ou au prescripteur la responsabilité de réaliser une sélection convenable de ces aspects en prenant en compte les exigences particulières ainsi que les directives ou règles nationales et les pratiques et codes de pose en usage dans son pays.</w:t>
            </w:r>
          </w:p>
        </w:tc>
      </w:tr>
      <w:tr w:rsidR="00E33F03" w:rsidRPr="0043547B" w:rsidTr="00CB5DC0">
        <w:trPr>
          <w:trHeight w:val="330"/>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12201-5</w:t>
            </w:r>
          </w:p>
        </w:tc>
      </w:tr>
      <w:tr w:rsidR="00E33F03" w:rsidRPr="0043547B" w:rsidTr="00F0087F">
        <w:trPr>
          <w:trHeight w:val="23"/>
          <w:jc w:val="center"/>
        </w:trPr>
        <w:tc>
          <w:tcPr>
            <w:tcW w:w="1838" w:type="dxa"/>
            <w:tcBorders>
              <w:top w:val="single" w:sz="18" w:space="0" w:color="auto"/>
              <w:left w:val="single" w:sz="18" w:space="0" w:color="auto"/>
              <w:bottom w:val="single" w:sz="4" w:space="0" w:color="auto"/>
              <w:right w:val="single" w:sz="4" w:space="0" w:color="auto"/>
            </w:tcBorders>
            <w:shd w:val="clear" w:color="auto" w:fill="FDFBA9"/>
            <w:vAlign w:val="center"/>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DFBA9"/>
          </w:tcPr>
          <w:p w:rsidR="00E33F03" w:rsidRPr="0043547B" w:rsidRDefault="00E33F03" w:rsidP="00E33F03">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EN 12201-5</w:t>
            </w:r>
          </w:p>
        </w:tc>
      </w:tr>
      <w:tr w:rsidR="00E33F03" w:rsidRPr="0043547B" w:rsidTr="00F0087F">
        <w:trPr>
          <w:trHeight w:val="495"/>
          <w:jc w:val="center"/>
        </w:trPr>
        <w:tc>
          <w:tcPr>
            <w:tcW w:w="1838" w:type="dxa"/>
            <w:tcBorders>
              <w:top w:val="single" w:sz="4" w:space="0" w:color="auto"/>
              <w:left w:val="single" w:sz="18" w:space="0" w:color="auto"/>
              <w:bottom w:val="single" w:sz="4" w:space="0" w:color="auto"/>
              <w:right w:val="single" w:sz="4" w:space="0" w:color="auto"/>
            </w:tcBorders>
            <w:shd w:val="clear" w:color="000000" w:fill="8DB4E2"/>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Systèmes de canalisations en plastique pour l'alimentation en eau et pour les branchements et les collecteurs d'assainissement avec pression - Polyéthylène (PE) - Partie 5 : Aptitude à l'emploi du système ; </w:t>
            </w:r>
          </w:p>
        </w:tc>
      </w:tr>
      <w:tr w:rsidR="00E33F03" w:rsidRPr="0043547B" w:rsidTr="00CB5DC0">
        <w:trPr>
          <w:trHeight w:val="1696"/>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caractéristiques d'aptitude à l'emploi des systèmes de canalisations assemblés prévus pour le transport d'eau destinée à la consommation humaine, y compris l'eau brute avant traitement, les branchements et les collecteurs d'assainissement avec pression, les réseaux d'évacuation des eaux usées sous vide et l'eau destinée à d'autres usages.</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spécifie également la méthode de préparation des assemblages d'éprouvettes, ainsi que les essais à réaliser sur ces assemblages pour évaluer l'aptitude à l'emploi du système dans des conditions normales et extrêmes.</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spécifie également les paramètres d'essai des méthodes d'essai auxquelles il est fait référence dans la norme.</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s'applique aux tubes, raccords, robinets en PE et leurs assemblages ainsi qu’aux assemblages avec des composants en d'autres matières, destinés à être utilisés dans les conditions suivantes :</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avec une pression de service admissible, PFA, jusqu'à 25 bar ;</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à une température de service de 20 °C comme température de référence ;</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enterrés dans le sol ;</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comme émissaires de rejet en mer ;</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posés dans l'eau ;</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non enterrés, y compris canalisations suspendues sous des ponts.</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Pour les applications à température de service constante supérieure à 20 °C et jusqu'à 40 °C, il incombe à l'acheteur ou au prescripteur de réaliser une sélection convenable de ces aspects en prenant en compte les exigences particulières ainsi que les lignes directrices ou réglementations nationales correspondantes et les pratiques ou les codes de pose.</w:t>
            </w:r>
          </w:p>
        </w:tc>
      </w:tr>
      <w:tr w:rsidR="00E33F03"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12666-1+A1</w:t>
            </w:r>
          </w:p>
        </w:tc>
      </w:tr>
      <w:tr w:rsidR="00E33F03"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12666-1 + A1</w:t>
            </w:r>
          </w:p>
        </w:tc>
      </w:tr>
      <w:tr w:rsidR="00E33F03" w:rsidRPr="0043547B" w:rsidTr="00CB5DC0">
        <w:trPr>
          <w:trHeight w:val="49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Systèmes de canalisations en plastique pour les branchements et collecteurs d'assainissement sans pression enterrés - Polyéthylène (PE) - Partie 1 : Spécifications pour les tubes, les raccords et le système ;  </w:t>
            </w:r>
          </w:p>
        </w:tc>
      </w:tr>
      <w:tr w:rsidR="00E33F03" w:rsidRPr="0043547B" w:rsidTr="00CB5DC0">
        <w:trPr>
          <w:trHeight w:val="134"/>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lastRenderedPageBreak/>
              <w:t>Domaine d’application :</w:t>
            </w:r>
          </w:p>
        </w:tc>
        <w:tc>
          <w:tcPr>
            <w:tcW w:w="7938" w:type="dxa"/>
            <w:tcBorders>
              <w:left w:val="single" w:sz="4" w:space="0" w:color="auto"/>
              <w:bottom w:val="single" w:sz="18"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prescriptions relatives aux tubes, raccords et au système de Polyéthylène (PE), destinés à être utilisés pour :</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les branchements et les collecteurs enterrés d'assainissement sans pression à l'extérieur de la structure des bâtiments (code de zone d'application «U») ; et</w:t>
            </w:r>
            <w:r w:rsidRPr="0043547B">
              <w:rPr>
                <w:rFonts w:eastAsia="Times New Roman" w:cstheme="minorHAnsi"/>
                <w:sz w:val="24"/>
                <w:szCs w:val="24"/>
                <w:lang w:eastAsia="fr-FR"/>
              </w:rPr>
              <w:br/>
              <w:t>— pour les branchements et les collecteurs enterrés d'assainissement sans pression installés aussi bien à l'intérieur de la structure des bâtiments (code de zone d'application «D») qu'à l'extérieur de la structure des bâtiments.</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Cette distinction se traduit dans le marquage des produits par les lettres «U» et «UD».</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spécifie également les paramètres d'essai pour les méthodes d'essai auxquelles se réfère la norme.</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traite de toute une gamme de dimensions de tubes, de classes de rigidité, et formule des recommandations sur la couleur du produit.</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aux tubes en PE sans emboîture ainsi qu'aux tubes avec une emboîture complète. Les raccords peuvent être façonnés par moulage par injection ou être façonnés à partir de tubes et/ou de pièces moulées.</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aux raccords en PE pour les types d'assemblages suivants :</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assemblages à bague d'étanchéité en élastomère ;</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assemblages soudés bout-à-bout ;</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assemblages par électrosoudage ;</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assemblages mécaniques.</w:t>
            </w:r>
          </w:p>
        </w:tc>
      </w:tr>
      <w:tr w:rsidR="00E33F03"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CEN/TS 1401-2</w:t>
            </w:r>
          </w:p>
        </w:tc>
      </w:tr>
      <w:tr w:rsidR="00E33F03"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CEN/TS 1401-2</w:t>
            </w:r>
          </w:p>
        </w:tc>
      </w:tr>
      <w:tr w:rsidR="00E33F03" w:rsidRPr="0043547B" w:rsidTr="00CB5DC0">
        <w:trPr>
          <w:trHeight w:val="49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Systèmes de canalisations en plastique pour les branchements et les collecteurs d'assainissement enterrés sans pression - Poly(chlorure de vinyle) non plastifié (PVC-U) - Partie 2 : Guide pour l'évaluation de la conformité ; </w:t>
            </w:r>
          </w:p>
        </w:tc>
      </w:tr>
      <w:tr w:rsidR="00E33F03" w:rsidRPr="0043547B" w:rsidTr="00CB5DC0">
        <w:trPr>
          <w:trHeight w:val="703"/>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Spécification technique fournit un guide pour l’évaluation de la conformité des compositions/formulations, produits et montages en conformité avec la norme EN 1401-1. Elle s’applique aux compositions/formulations, produits et montages destinés à être inclus dans le plan qualité du fabricant dans le cadre du système de management de la qualité et pour l’établissement de procédures de certification par tierce partie.</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Il est recommandé que le système de management de la qualité soit conforme aux exigences pertinentes de NM ISO 9001 ou au moins aussi strict que ces exigences.</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Spécification technique s’applique aux systèmes de canalisations fabriqués à partir de poly(chlorure de vinyle) non plastifié (PVC-U) utilisés pour les applications suivantes :</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pour les branchements et les collecteurs d’assainissement enterrés sans pression à l’extérieur de la structure du bâtiment (code de zone d’application « U »), repérés au niveau du marquage des produits par la lettre « U »,</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pour les branchements et les collecteurs d’assainissement enterrés sans pression aussi bien à l’intérieur de la structure du bâtiment (code de zone d’application « D ») qu’à l’extérieur de celle-ci (code de zone d’application « U »), repérés au niveau du marquage des produits par les lettres « UD ».</w:t>
            </w:r>
          </w:p>
        </w:tc>
      </w:tr>
      <w:tr w:rsidR="00E33F03"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ENV 1401-3</w:t>
            </w:r>
          </w:p>
        </w:tc>
      </w:tr>
      <w:tr w:rsidR="00E33F03"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ENV 1401-3</w:t>
            </w:r>
          </w:p>
        </w:tc>
      </w:tr>
      <w:tr w:rsidR="00E33F03" w:rsidRPr="0043547B" w:rsidTr="00CB5DC0">
        <w:trPr>
          <w:trHeight w:val="49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lastRenderedPageBreak/>
              <w:t>Intitulé :</w:t>
            </w:r>
          </w:p>
        </w:tc>
        <w:tc>
          <w:tcPr>
            <w:tcW w:w="7938" w:type="dxa"/>
            <w:tcBorders>
              <w:left w:val="single" w:sz="4"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Systèmes de canalisations en plastique pour les branchements et les collecteurs d'assainissement enterrés sans pression - Poly(chlorure de vinyle) non plastifié (PVC-U) - Partie 3 : Guide d’installation  </w:t>
            </w:r>
          </w:p>
        </w:tc>
      </w:tr>
      <w:tr w:rsidR="00E33F03" w:rsidRPr="0043547B" w:rsidTr="00CB5DC0">
        <w:trPr>
          <w:trHeight w:val="1815"/>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Cette norme, en combinaison avec d'autre, fournit un ensemble de recommandations pour la pose des systèmes de canalisations fabriqués à partir de poly(chlorure de vinyle) non plastifiés (PVC-U), dans le domaine des branchements et des collecteurs d'assainissement enterrés sans pression :</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à l’extérieur de la structure du bâtiment (code de zone d’application U) ; et,</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aussi bien enterrés à l’intérieur du bâtiment (code de zone d’application D) qu’à l’extérieur du bâtiment.</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Cela est repéré au niveau du marquage des produits par «U» et «UD».</w:t>
            </w:r>
          </w:p>
        </w:tc>
      </w:tr>
      <w:tr w:rsidR="00E33F03"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13598-1</w:t>
            </w:r>
          </w:p>
        </w:tc>
      </w:tr>
      <w:tr w:rsidR="00E33F03"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13598-1</w:t>
            </w:r>
          </w:p>
        </w:tc>
      </w:tr>
      <w:tr w:rsidR="00E33F03" w:rsidRPr="0043547B" w:rsidTr="00CB5DC0">
        <w:trPr>
          <w:trHeight w:val="73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Systèmes de canalisations en plastique pour les branchements et les collecteurs d'assainissement enterrés sans pression - Poly(chlorure de vinyle) non plastifié (PVC-U), polypropylène (PP) et polyéthylène (PE) - Partie 1 : Spécifications pour raccords auxiliaires y compris les boîtes de branchement   </w:t>
            </w:r>
          </w:p>
        </w:tc>
      </w:tr>
      <w:tr w:rsidR="00E33F03" w:rsidRPr="0043547B" w:rsidTr="00CB5DC0">
        <w:trPr>
          <w:trHeight w:val="1268"/>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définitions et les exigences pour les raccords auxiliaires en poly(chlorure de vinyle) non plastifié (PVC-U), polypropylène (PP) et polyéthylène (PE) destinés à être utilisés dans des branchements et des collecteurs d'assainissement enterrés sans pression, conformes à NM EN 476 :</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a) à l'extérieur de la structure du bâtiment (code de zone d'application «U»), repéré au niveau du marquage des produits par «U» ; et</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b) à la fois enterré dans la structure du bâtiment (code de zone d'application «D») et à l'extérieur du bâtiment (code de zone d'application «U»), repéré au niveau du marquage des produits par «UD».</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spécifie également les paramètres d’essai des méthodes d’essai auxquelles il est fait référence dans la norme.</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raccords auxiliaires couverts par La norme sont les suivants :</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raccords d'accès scellés ;</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point de curage ;</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tés de curage ;</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selles mécaniques ;</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boîtes de branchement pour les applications hors chaussée jusqu'à une profondeur maximale de 1,25 m.</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raccords peuvent être fabriqués selon différentes méthodes, par exemple moulage par injection, rotomoulage, enroulement en spirale ou façonnage à partir de composants fabriqués selon d'autres normes.</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assemblages peuvent être :</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à bague d'étanchéité en élastomère ;</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à coller pour le PVC-U ;</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soudés pour le PP et le PE.</w:t>
            </w:r>
          </w:p>
        </w:tc>
      </w:tr>
      <w:tr w:rsidR="00E33F03"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CEN/TS 12666-2</w:t>
            </w:r>
          </w:p>
        </w:tc>
      </w:tr>
      <w:tr w:rsidR="00E33F03"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CEN/TS 12666-2</w:t>
            </w:r>
          </w:p>
        </w:tc>
      </w:tr>
      <w:tr w:rsidR="00E33F03" w:rsidRPr="0043547B" w:rsidTr="00CB5DC0">
        <w:trPr>
          <w:trHeight w:val="49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Systèmes de canalisations en plastique pour les branchements et les collecteurs d'assainissement sans pression enterrés - Polyéthylène (PE) - Partie 2 : Guide pour l'évaluation de la conformité ;  </w:t>
            </w:r>
          </w:p>
        </w:tc>
      </w:tr>
      <w:tr w:rsidR="00E33F03" w:rsidRPr="0043547B" w:rsidTr="00CB5DC0">
        <w:trPr>
          <w:trHeight w:val="1835"/>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lastRenderedPageBreak/>
              <w:t>Domaine d’application :</w:t>
            </w:r>
          </w:p>
        </w:tc>
        <w:tc>
          <w:tcPr>
            <w:tcW w:w="7938" w:type="dxa"/>
            <w:tcBorders>
              <w:left w:val="single" w:sz="4" w:space="0" w:color="auto"/>
              <w:bottom w:val="single" w:sz="18"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Spécification technique fournit un guide pour l’évaluation de la conformité des matières, produits et montages, destiné à être inclus dans le plan qualité du fabricant dans le cadre du système de management de la qualité et pour l’établissement de procédures de certification par tierce partie.</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Il est recommandé que le système de management de la qualité soit conforme aux exigences pertinentes de NM ISO 9001 ou au moins aussi strict que ces exigences.</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 présent document s'applique aux systèmes de canalisations fabriqués à partir de polyéthylène (PE) :</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pour les branchements et les collecteurs d'assainissement enterrés sans pression à l'extérieur de la structure du bâtiment (code de zone d’application « U »), repérés au niveau du marquage des produits par « U » et</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pour les branchements et les collecteurs d'assainissement enterrés sans pression à la fois enterrés dans la structure du bâtiment (code de zone d'application « D ») et à l'extérieur de la structure du bâtiment (code de zone d'application « U »), repérés au niveau du marquage des produits par « UD ».</w:t>
            </w:r>
          </w:p>
        </w:tc>
      </w:tr>
      <w:tr w:rsidR="00E33F03"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13598-2</w:t>
            </w:r>
          </w:p>
        </w:tc>
      </w:tr>
      <w:tr w:rsidR="00E33F03"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13598-2</w:t>
            </w:r>
          </w:p>
        </w:tc>
      </w:tr>
      <w:tr w:rsidR="00E33F03" w:rsidRPr="0043547B" w:rsidTr="00CB5DC0">
        <w:trPr>
          <w:trHeight w:val="56"/>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Systèmes de canalisations en plastiques pour les branchements et les collecteurs d'assainissement enterrés sans pression - Poly(chlorure de vinyle) non plastifié (PVC-U), polypropylène (PP) et polyéthylène (PE) - Partie 2 : Spécifications relatives aux regards et aux boîtes d'inspection et de branchement dans les zones de circulation et dans les réseaux enterrés profondément ;  </w:t>
            </w:r>
          </w:p>
        </w:tc>
      </w:tr>
      <w:tr w:rsidR="00E33F03" w:rsidRPr="0043547B" w:rsidTr="00CB5DC0">
        <w:trPr>
          <w:trHeight w:val="701"/>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définitions et les exigences pour les regards et boîtes d’inspection et de branchement installés jusqu’à une profondeur maximale de 6 m du niveau du sol au niveau du fil d’eau de la boîte principale et fabriqués en poly(chlorure de vinyle) non plastifié (PVC-U), en polypropylène (PP), en polypropylène avec modificateur minéral (PP-MD) ou en polyéthylène (PE). Ces produits sont destinés à être utilisés dans les zones de circulation et dans les réseaux enterrés conformes aux exigences générales indiquées dans NM EN 476 ainsi qu’à l’extérieur de la structure du bâtiment (code de zone d’application «U»). En conséquence, ils sont marqués d’un «U».</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est uniquement applicable aux éléments de boîtes/regards dont le fabricant a clairement indiqué le mode d’assemblage dans la documentation en vue de construire une boîte d’inspection et de branchement ou un regard qui soit complet.</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boîtes d’inspection et de branchement relevant de La norme sont les suivantes :</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boîtes d’inspection et de branchement donnant accès aux branchements ou aux collecteurs d’assainissement au moyen d’équipements d’inspection et de curage ;</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regards dénommés «regards de visite» donnant accès aux branchements ou aux collecteurs d’assainissement.</w:t>
            </w:r>
          </w:p>
          <w:p w:rsidR="00E33F03"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 regard/la boîte d’inspection et de branchement peut être fabriqué selon diverses méthodes, à savoir : par moulage par injection, moulage par rotation, moulage à basse pression ou être produit à partir de composants fabriqués conformément à d’autres normes.</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L’assemblage des éléments peut se faire en utilisant :</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des bagues d’étanchéité en élastomère ;</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lastRenderedPageBreak/>
              <w:t>— des joints adhésifs pour PVC-U ;</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des joints soudés pour PVC-U, PP et PE ou bien ;</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par soudage par extrusion ou ;</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par assemblage mécanique.</w:t>
            </w:r>
          </w:p>
          <w:p w:rsidR="00E33F03" w:rsidRPr="00F0087F" w:rsidRDefault="00E33F03" w:rsidP="00E33F03">
            <w:pPr>
              <w:spacing w:after="0" w:line="240" w:lineRule="auto"/>
              <w:jc w:val="both"/>
              <w:rPr>
                <w:rFonts w:eastAsia="Times New Roman" w:cstheme="minorHAnsi"/>
                <w:i/>
                <w:iCs/>
                <w:lang w:eastAsia="fr-FR"/>
              </w:rPr>
            </w:pPr>
            <w:r w:rsidRPr="00F0087F">
              <w:rPr>
                <w:rFonts w:eastAsia="Times New Roman" w:cstheme="minorHAnsi"/>
                <w:b/>
                <w:bCs/>
                <w:i/>
                <w:iCs/>
                <w:lang w:eastAsia="fr-FR"/>
              </w:rPr>
              <w:t>NOTE</w:t>
            </w:r>
            <w:r w:rsidRPr="00F0087F">
              <w:rPr>
                <w:rFonts w:eastAsia="Times New Roman" w:cstheme="minorHAnsi"/>
                <w:i/>
                <w:iCs/>
                <w:lang w:eastAsia="fr-FR"/>
              </w:rPr>
              <w:t> : Tant les regards que les boîtes d’inspection et de branchement peuvent être assemblées sur site à partir de différents éléments mais ils peuvent également être fabriqués en un seul élément. Quel que soit le cas, les parties fonctionnelles suivantes peuvent être identifiées :</w:t>
            </w:r>
          </w:p>
          <w:p w:rsidR="00E33F03" w:rsidRPr="00F0087F" w:rsidRDefault="00E33F03" w:rsidP="00E33F03">
            <w:pPr>
              <w:pStyle w:val="Paragraphedeliste"/>
              <w:numPr>
                <w:ilvl w:val="0"/>
                <w:numId w:val="22"/>
              </w:numPr>
              <w:spacing w:after="0" w:line="240" w:lineRule="auto"/>
              <w:ind w:left="337"/>
              <w:jc w:val="both"/>
              <w:rPr>
                <w:rFonts w:eastAsia="Times New Roman" w:cstheme="minorHAnsi"/>
                <w:i/>
                <w:iCs/>
                <w:lang w:eastAsia="fr-FR"/>
              </w:rPr>
            </w:pPr>
            <w:r w:rsidRPr="00F0087F">
              <w:rPr>
                <w:rFonts w:eastAsia="Times New Roman" w:cstheme="minorHAnsi"/>
                <w:i/>
                <w:iCs/>
                <w:lang w:eastAsia="fr-FR"/>
              </w:rPr>
              <w:t>élément de fond (toujours existant)</w:t>
            </w:r>
          </w:p>
          <w:p w:rsidR="00E33F03" w:rsidRPr="00F0087F" w:rsidRDefault="00E33F03" w:rsidP="00E33F03">
            <w:pPr>
              <w:pStyle w:val="Paragraphedeliste"/>
              <w:spacing w:after="0" w:line="240" w:lineRule="auto"/>
              <w:ind w:left="337"/>
              <w:jc w:val="both"/>
              <w:rPr>
                <w:rFonts w:eastAsia="Times New Roman" w:cstheme="minorHAnsi"/>
                <w:i/>
                <w:iCs/>
                <w:lang w:eastAsia="fr-FR"/>
              </w:rPr>
            </w:pPr>
            <w:r w:rsidRPr="00F0087F">
              <w:rPr>
                <w:rFonts w:eastAsia="Times New Roman" w:cstheme="minorHAnsi"/>
                <w:i/>
                <w:iCs/>
                <w:lang w:eastAsia="fr-FR"/>
              </w:rPr>
              <w:t>En cas de regard ou de boîte d’inspection et de branchement en une seule pièce, l’élément de fond se termine à une distance de 300 mm, le mesurage étant effectué à partir de l’extrémité supérieure du fût principal ;</w:t>
            </w:r>
          </w:p>
          <w:p w:rsidR="00E33F03" w:rsidRPr="00F0087F" w:rsidRDefault="00E33F03" w:rsidP="00E33F03">
            <w:pPr>
              <w:pStyle w:val="Paragraphedeliste"/>
              <w:numPr>
                <w:ilvl w:val="0"/>
                <w:numId w:val="22"/>
              </w:numPr>
              <w:spacing w:after="0" w:line="240" w:lineRule="auto"/>
              <w:ind w:left="337"/>
              <w:jc w:val="both"/>
              <w:rPr>
                <w:rFonts w:eastAsia="Times New Roman" w:cstheme="minorHAnsi"/>
                <w:i/>
                <w:iCs/>
                <w:lang w:eastAsia="fr-FR"/>
              </w:rPr>
            </w:pPr>
            <w:r w:rsidRPr="00F0087F">
              <w:rPr>
                <w:rFonts w:eastAsia="Times New Roman" w:cstheme="minorHAnsi"/>
                <w:i/>
                <w:iCs/>
                <w:lang w:eastAsia="fr-FR"/>
              </w:rPr>
              <w:t>élément de rehausse (en fonction de la profondeur) ;</w:t>
            </w:r>
          </w:p>
          <w:p w:rsidR="00E33F03" w:rsidRPr="00F0087F" w:rsidRDefault="00E33F03" w:rsidP="00E33F03">
            <w:pPr>
              <w:pStyle w:val="Paragraphedeliste"/>
              <w:numPr>
                <w:ilvl w:val="0"/>
                <w:numId w:val="22"/>
              </w:numPr>
              <w:spacing w:after="0" w:line="240" w:lineRule="auto"/>
              <w:ind w:left="337"/>
              <w:jc w:val="both"/>
              <w:rPr>
                <w:rFonts w:eastAsia="Times New Roman" w:cstheme="minorHAnsi"/>
                <w:i/>
                <w:iCs/>
                <w:lang w:eastAsia="fr-FR"/>
              </w:rPr>
            </w:pPr>
            <w:r w:rsidRPr="00F0087F">
              <w:rPr>
                <w:rFonts w:eastAsia="Times New Roman" w:cstheme="minorHAnsi"/>
                <w:i/>
                <w:iCs/>
                <w:lang w:eastAsia="fr-FR"/>
              </w:rPr>
              <w:t>partie télescopique (en fonction de la conception) ;</w:t>
            </w:r>
          </w:p>
          <w:p w:rsidR="00E33F03" w:rsidRPr="00F0087F" w:rsidRDefault="00E33F03" w:rsidP="00E33F03">
            <w:pPr>
              <w:pStyle w:val="Paragraphedeliste"/>
              <w:numPr>
                <w:ilvl w:val="0"/>
                <w:numId w:val="22"/>
              </w:numPr>
              <w:spacing w:after="0" w:line="240" w:lineRule="auto"/>
              <w:ind w:left="337"/>
              <w:jc w:val="both"/>
              <w:rPr>
                <w:rFonts w:eastAsia="Times New Roman" w:cstheme="minorHAnsi"/>
                <w:i/>
                <w:iCs/>
                <w:lang w:eastAsia="fr-FR"/>
              </w:rPr>
            </w:pPr>
            <w:r w:rsidRPr="00F0087F">
              <w:rPr>
                <w:rFonts w:eastAsia="Times New Roman" w:cstheme="minorHAnsi"/>
                <w:i/>
                <w:iCs/>
                <w:lang w:eastAsia="fr-FR"/>
              </w:rPr>
              <w:t>cône (en fonction de la conception des composants proches de la surface et de la pose recommandée) ;</w:t>
            </w:r>
          </w:p>
          <w:p w:rsidR="00E33F03" w:rsidRPr="0043547B" w:rsidRDefault="00E33F03" w:rsidP="00E33F03">
            <w:pPr>
              <w:pStyle w:val="Paragraphedeliste"/>
              <w:spacing w:after="0" w:line="240" w:lineRule="auto"/>
              <w:ind w:left="337"/>
              <w:jc w:val="both"/>
              <w:rPr>
                <w:rFonts w:eastAsia="Times New Roman" w:cstheme="minorHAnsi"/>
                <w:sz w:val="24"/>
                <w:szCs w:val="24"/>
                <w:lang w:eastAsia="fr-FR"/>
              </w:rPr>
            </w:pPr>
            <w:r w:rsidRPr="00F0087F">
              <w:rPr>
                <w:rFonts w:eastAsia="Times New Roman" w:cstheme="minorHAnsi"/>
                <w:i/>
                <w:iCs/>
                <w:lang w:eastAsia="fr-FR"/>
              </w:rPr>
              <w:t>autres composants proches de la surface.</w:t>
            </w:r>
          </w:p>
        </w:tc>
      </w:tr>
      <w:tr w:rsidR="00E33F03" w:rsidRPr="0043547B" w:rsidTr="00CB5DC0">
        <w:trPr>
          <w:trHeight w:val="330"/>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01.4.035</w:t>
            </w:r>
          </w:p>
        </w:tc>
      </w:tr>
      <w:tr w:rsidR="00E33F03" w:rsidRPr="0043547B" w:rsidTr="00CB5DC0">
        <w:trPr>
          <w:trHeight w:val="330"/>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Tubes en acier - Tubes soudés filtables - Dimensions - Conditions techniques de livraison </w:t>
            </w:r>
          </w:p>
        </w:tc>
      </w:tr>
      <w:tr w:rsidR="00E33F03" w:rsidRPr="0043547B" w:rsidTr="00CB5DC0">
        <w:trPr>
          <w:trHeight w:val="2222"/>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bottom"/>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définit les dimensions, les masses linéiques, les tolérances, la composition chimique et les caractéristiques mécaniques sur tubes en acier ainsi que les conditions techniques de livraison de tubes soudés, filetables au pas du gaz conique suivant la norme NM 01.4.032 , pour les diamètres extérieurs de 70 à 165,1, en séries légère, moyenne et forte.</w:t>
            </w:r>
          </w:p>
          <w:p w:rsidR="00E33F03"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tubes faisant l'objet de La norme sont notamment destinés aux canalisations de</w:t>
            </w:r>
            <w:r>
              <w:rPr>
                <w:rFonts w:eastAsia="Times New Roman" w:cstheme="minorHAnsi"/>
                <w:sz w:val="24"/>
                <w:szCs w:val="24"/>
                <w:lang w:eastAsia="fr-FR"/>
              </w:rPr>
              <w:t xml:space="preserve"> </w:t>
            </w:r>
            <w:r w:rsidRPr="0043547B">
              <w:rPr>
                <w:rFonts w:eastAsia="Times New Roman" w:cstheme="minorHAnsi"/>
                <w:sz w:val="24"/>
                <w:szCs w:val="24"/>
                <w:lang w:eastAsia="fr-FR"/>
              </w:rPr>
              <w:t>fluides.</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Pour ce qui concerne les conditions techniques générales de livraison on se référera à la norme NM 01.4.033.</w:t>
            </w:r>
          </w:p>
        </w:tc>
      </w:tr>
      <w:tr w:rsidR="00E33F03" w:rsidRPr="0043547B" w:rsidTr="00CB5DC0">
        <w:trPr>
          <w:trHeight w:val="330"/>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hideMark/>
          </w:tcPr>
          <w:p w:rsidR="00E33F03" w:rsidRPr="0043547B" w:rsidRDefault="00E33F03" w:rsidP="00E33F03">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01.4.039</w:t>
            </w:r>
          </w:p>
        </w:tc>
      </w:tr>
      <w:tr w:rsidR="00E33F03" w:rsidRPr="0043547B" w:rsidTr="00CB5DC0">
        <w:trPr>
          <w:trHeight w:val="330"/>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Tubes en acier - Manchons en acier non allié pour tubes filetets au pas du gaz -</w:t>
            </w:r>
          </w:p>
        </w:tc>
      </w:tr>
      <w:tr w:rsidR="00E33F03" w:rsidRPr="0043547B" w:rsidTr="00CB5DC0">
        <w:trPr>
          <w:trHeight w:val="785"/>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bottom"/>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aux manchons destinés, en particulier, à l’assemblage des</w:t>
            </w:r>
            <w:r w:rsidRPr="0043547B">
              <w:rPr>
                <w:rFonts w:eastAsia="Times New Roman" w:cstheme="minorHAnsi"/>
                <w:sz w:val="24"/>
                <w:szCs w:val="24"/>
                <w:lang w:eastAsia="fr-FR"/>
              </w:rPr>
              <w:br/>
              <w:t>tubes filetés au pas du gaz conique. En ce qui concerne les conditions techniques générales de livraison, il y a lieu de se référer à la norme NM 01.4.033.</w:t>
            </w:r>
          </w:p>
        </w:tc>
      </w:tr>
      <w:tr w:rsidR="00E33F03" w:rsidRPr="0043547B" w:rsidTr="00CB5DC0">
        <w:trPr>
          <w:trHeight w:val="330"/>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hideMark/>
          </w:tcPr>
          <w:p w:rsidR="00E33F03" w:rsidRPr="0043547B" w:rsidRDefault="00E33F03" w:rsidP="00E33F03">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01.4.041</w:t>
            </w:r>
          </w:p>
        </w:tc>
      </w:tr>
      <w:tr w:rsidR="00E33F03" w:rsidRPr="0043547B" w:rsidTr="00CB5DC0">
        <w:trPr>
          <w:trHeight w:val="49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Tubes en acier - Tubes ronds soudés du commerce formés à froid exécutés à partir de produits laminés à chaud - Dimensions - Conditions techniques de livraison -</w:t>
            </w:r>
          </w:p>
        </w:tc>
      </w:tr>
      <w:tr w:rsidR="00E33F03" w:rsidRPr="0043547B" w:rsidTr="00CB5DC0">
        <w:trPr>
          <w:trHeight w:val="2115"/>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bottom"/>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concerne les tubes ronds, à extrémités lisses soudés, longitudinalement, en acier non allié exécutés à partir de Produits plats laminés à chaud. Elle en fixe les dimensions et les conditions techniques de livraison.</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Ces tubes sont couramment utilisés dans diverses industries mécaniques et de construction, par exemple : meuble, cycle, automobile, serrurerie, etc.</w:t>
            </w:r>
          </w:p>
          <w:p w:rsidR="00E33F03"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tubes ayant des conditions particulières de livraison sont définis dans la norme NM 01.4.042.</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tubes carrés ou rectangulaires sont définis dans la norme NM 01.4.046.</w:t>
            </w:r>
          </w:p>
        </w:tc>
      </w:tr>
      <w:tr w:rsidR="00E33F03" w:rsidRPr="0043547B" w:rsidTr="00CB5DC0">
        <w:trPr>
          <w:trHeight w:val="330"/>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hideMark/>
          </w:tcPr>
          <w:p w:rsidR="00E33F03" w:rsidRPr="0043547B" w:rsidRDefault="00E33F03" w:rsidP="00E33F03">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01.4.042</w:t>
            </w:r>
          </w:p>
        </w:tc>
      </w:tr>
      <w:tr w:rsidR="00E33F03" w:rsidRPr="0043547B" w:rsidTr="00CB5DC0">
        <w:trPr>
          <w:trHeight w:val="330"/>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Tubes ronds soudés formés à froid exécutés à partir de produits laminés à chaud avec conditions particulières de livraison -</w:t>
            </w:r>
          </w:p>
        </w:tc>
      </w:tr>
      <w:tr w:rsidR="00E33F03" w:rsidRPr="0043547B" w:rsidTr="00CB5DC0">
        <w:trPr>
          <w:trHeight w:val="7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lastRenderedPageBreak/>
              <w:t>Domaine d’application :</w:t>
            </w:r>
          </w:p>
        </w:tc>
        <w:tc>
          <w:tcPr>
            <w:tcW w:w="7938" w:type="dxa"/>
            <w:tcBorders>
              <w:left w:val="single" w:sz="4" w:space="0" w:color="auto"/>
              <w:bottom w:val="single" w:sz="18" w:space="0" w:color="auto"/>
              <w:right w:val="single" w:sz="18" w:space="0" w:color="auto"/>
            </w:tcBorders>
            <w:shd w:val="clear" w:color="auto" w:fill="auto"/>
            <w:vAlign w:val="bottom"/>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concerne les tubes ronds à extrémités lisses soudés longitudinalement en acier non allié exécutés à partir de produits plats laminés à chaud et avec conditions particulières de livraison.</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Ces tubes sont couramment utilisés dans diverses industries mécaniques et de construction, par exemple : meuble, cycle, automobile, serrurerie, etc.</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conditions particulières de livraison portent sur les caractéristiques mécaniques requises, les tolérances, I’ étanchéité, les conditions de réception, etc. justifiées par des conditions de mise en œuvre ou d’emploi plus sévères que celles couvertes par la norme NM 01.4.041.</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tubes carrés ou rectangulaires sont définis dans la norme NM 01.4.044.</w:t>
            </w:r>
          </w:p>
        </w:tc>
      </w:tr>
      <w:tr w:rsidR="00E33F03" w:rsidRPr="0043547B" w:rsidTr="00CB5DC0">
        <w:trPr>
          <w:trHeight w:val="330"/>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01.4.044</w:t>
            </w:r>
          </w:p>
        </w:tc>
      </w:tr>
      <w:tr w:rsidR="00E33F03" w:rsidRPr="0043547B" w:rsidTr="00CB5DC0">
        <w:trPr>
          <w:trHeight w:val="49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Tubes en acier - Tubes carrés et rectangulaires du commerce exécutés à chaud - Dimensions - Conditions techniques de livraison -</w:t>
            </w:r>
          </w:p>
        </w:tc>
      </w:tr>
      <w:tr w:rsidR="00E33F03" w:rsidRPr="0043547B" w:rsidTr="00CB5DC0">
        <w:trPr>
          <w:trHeight w:val="1842"/>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center"/>
            <w:hideMark/>
          </w:tcPr>
          <w:p w:rsidR="00E33F03" w:rsidRPr="0043547B" w:rsidRDefault="00E33F03" w:rsidP="00E33F03">
            <w:pPr>
              <w:spacing w:after="0"/>
              <w:jc w:val="both"/>
              <w:rPr>
                <w:rFonts w:eastAsia="Times New Roman" w:cstheme="minorHAnsi"/>
                <w:sz w:val="24"/>
                <w:szCs w:val="24"/>
                <w:lang w:eastAsia="fr-FR"/>
              </w:rPr>
            </w:pPr>
            <w:r w:rsidRPr="0043547B">
              <w:rPr>
                <w:rFonts w:eastAsia="Times New Roman" w:cstheme="minorHAnsi"/>
                <w:sz w:val="24"/>
                <w:szCs w:val="24"/>
                <w:lang w:eastAsia="fr-FR"/>
              </w:rPr>
              <w:t>La norme concerne des tubes carres et rectangulaires soudés longitudinalement</w:t>
            </w:r>
            <w:r w:rsidRPr="0043547B">
              <w:rPr>
                <w:rFonts w:eastAsia="Times New Roman" w:cstheme="minorHAnsi"/>
                <w:sz w:val="24"/>
                <w:szCs w:val="24"/>
                <w:lang w:eastAsia="fr-FR"/>
              </w:rPr>
              <w:br/>
              <w:t>en acier non allié exécutés à partir de produits plats, laminés à chaud. Elle en fine les</w:t>
            </w:r>
            <w:r>
              <w:rPr>
                <w:rFonts w:eastAsia="Times New Roman" w:cstheme="minorHAnsi"/>
                <w:sz w:val="24"/>
                <w:szCs w:val="24"/>
                <w:lang w:eastAsia="fr-FR"/>
              </w:rPr>
              <w:t xml:space="preserve"> </w:t>
            </w:r>
            <w:r w:rsidRPr="0043547B">
              <w:rPr>
                <w:rFonts w:eastAsia="Times New Roman" w:cstheme="minorHAnsi"/>
                <w:sz w:val="24"/>
                <w:szCs w:val="24"/>
                <w:lang w:eastAsia="fr-FR"/>
              </w:rPr>
              <w:t>dimensions et les conditions techniques de livraison.</w:t>
            </w:r>
          </w:p>
          <w:p w:rsidR="00E33F03" w:rsidRPr="0043547B" w:rsidRDefault="00E33F03" w:rsidP="00E33F03">
            <w:pPr>
              <w:spacing w:after="0"/>
              <w:jc w:val="both"/>
              <w:rPr>
                <w:rFonts w:eastAsia="Times New Roman" w:cstheme="minorHAnsi"/>
                <w:sz w:val="24"/>
                <w:szCs w:val="24"/>
                <w:lang w:eastAsia="fr-FR"/>
              </w:rPr>
            </w:pPr>
            <w:r w:rsidRPr="0043547B">
              <w:rPr>
                <w:rFonts w:eastAsia="Times New Roman" w:cstheme="minorHAnsi"/>
                <w:sz w:val="24"/>
                <w:szCs w:val="24"/>
                <w:lang w:eastAsia="fr-FR"/>
              </w:rPr>
              <w:t>Ces tubes sont couramment utilisés dans diverses industries mécaniques et de construction, par exemple : meuble, automobile, serrurerie, etc.</w:t>
            </w:r>
          </w:p>
          <w:p w:rsidR="00E33F03" w:rsidRPr="0043547B" w:rsidRDefault="00E33F03" w:rsidP="00E33F03">
            <w:pPr>
              <w:spacing w:after="0"/>
              <w:jc w:val="both"/>
              <w:rPr>
                <w:rFonts w:eastAsia="Times New Roman" w:cstheme="minorHAnsi"/>
                <w:sz w:val="24"/>
                <w:szCs w:val="24"/>
                <w:lang w:eastAsia="fr-FR"/>
              </w:rPr>
            </w:pPr>
            <w:r w:rsidRPr="0043547B">
              <w:rPr>
                <w:rFonts w:eastAsia="Times New Roman" w:cstheme="minorHAnsi"/>
                <w:sz w:val="24"/>
                <w:szCs w:val="24"/>
                <w:lang w:eastAsia="fr-FR"/>
              </w:rPr>
              <w:t>Les tubes ronds du commerce sont définis dans la norme NM 01.4.041.</w:t>
            </w:r>
          </w:p>
        </w:tc>
      </w:tr>
      <w:tr w:rsidR="00E33F03" w:rsidRPr="0043547B" w:rsidTr="00CB5DC0">
        <w:trPr>
          <w:trHeight w:val="330"/>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01.4.045</w:t>
            </w:r>
          </w:p>
        </w:tc>
      </w:tr>
      <w:tr w:rsidR="00E33F03" w:rsidRPr="0043547B" w:rsidTr="00CB5DC0">
        <w:trPr>
          <w:trHeight w:val="49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Tubes en acier - Tubes ronds soudés formés à froid exécutés à partir de produits laminés à froid avec conditions particulières de livraison Dimensions - Conditions techniques de livraison  </w:t>
            </w:r>
          </w:p>
        </w:tc>
      </w:tr>
      <w:tr w:rsidR="00E33F03" w:rsidRPr="0043547B" w:rsidTr="00CB5DC0">
        <w:trPr>
          <w:trHeight w:val="58"/>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bottom"/>
            <w:hideMark/>
          </w:tcPr>
          <w:p w:rsidR="00E33F03" w:rsidRPr="0043547B" w:rsidRDefault="00E33F03" w:rsidP="00E33F03">
            <w:pPr>
              <w:spacing w:after="0" w:line="240" w:lineRule="auto"/>
              <w:jc w:val="both"/>
              <w:rPr>
                <w:rFonts w:eastAsia="Times New Roman" w:cstheme="minorHAnsi"/>
                <w:w w:val="95"/>
                <w:sz w:val="24"/>
                <w:szCs w:val="24"/>
                <w:lang w:eastAsia="fr-FR"/>
              </w:rPr>
            </w:pPr>
            <w:r w:rsidRPr="0043547B">
              <w:rPr>
                <w:rFonts w:eastAsia="Times New Roman" w:cstheme="minorHAnsi"/>
                <w:w w:val="95"/>
                <w:sz w:val="24"/>
                <w:szCs w:val="24"/>
                <w:lang w:eastAsia="fr-FR"/>
              </w:rPr>
              <w:t>La norme concerne les tubes ronds à extrémités lisses soudés longitudinalement, en acier non allié, exécutés à partir de produits plats laminés à froid et avec conditions particulières de livraison.</w:t>
            </w:r>
          </w:p>
          <w:p w:rsidR="00E33F03" w:rsidRPr="0043547B" w:rsidRDefault="00E33F03" w:rsidP="00E33F03">
            <w:pPr>
              <w:spacing w:after="0" w:line="240" w:lineRule="auto"/>
              <w:jc w:val="both"/>
              <w:rPr>
                <w:rFonts w:eastAsia="Times New Roman" w:cstheme="minorHAnsi"/>
                <w:w w:val="95"/>
                <w:sz w:val="24"/>
                <w:szCs w:val="24"/>
                <w:lang w:eastAsia="fr-FR"/>
              </w:rPr>
            </w:pPr>
            <w:r w:rsidRPr="0043547B">
              <w:rPr>
                <w:rFonts w:eastAsia="Times New Roman" w:cstheme="minorHAnsi"/>
                <w:w w:val="95"/>
                <w:sz w:val="24"/>
                <w:szCs w:val="24"/>
                <w:lang w:eastAsia="fr-FR"/>
              </w:rPr>
              <w:t>Ces tubes sont couramment utilisés dans diverses industries mécaniques et de construction, par exemple : meuble, cycle, automobile, serrurerie, etc. Ils sont également employés pour la fabrication des tubes cardans ou des pièces tournant à grande vitesse.</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w w:val="95"/>
                <w:sz w:val="24"/>
                <w:szCs w:val="24"/>
                <w:lang w:eastAsia="fr-FR"/>
              </w:rPr>
              <w:t>Les conditions particulières de livraison portent sur les caractéristiques mécaniques requises, les tolérances, l’étanchéité, les conditions de réception etc., justifiées par des conditions de mise en œuvre ou d’emploi plus sévères que celles couvertes par la norme.</w:t>
            </w:r>
          </w:p>
        </w:tc>
      </w:tr>
      <w:tr w:rsidR="00E33F03" w:rsidRPr="0043547B" w:rsidTr="00CB5DC0">
        <w:trPr>
          <w:trHeight w:val="330"/>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01.9.009</w:t>
            </w:r>
          </w:p>
        </w:tc>
      </w:tr>
      <w:tr w:rsidR="00E33F03" w:rsidRPr="0043547B" w:rsidTr="00CB5DC0">
        <w:trPr>
          <w:trHeight w:val="330"/>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Tubes en acier - Galvanisation à chaud - Spécifications du revêtement des tubes</w:t>
            </w:r>
          </w:p>
        </w:tc>
      </w:tr>
      <w:tr w:rsidR="00E33F03" w:rsidRPr="0043547B" w:rsidTr="00CB5DC0">
        <w:trPr>
          <w:trHeight w:val="418"/>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bottom"/>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obtenus par immersion dans du zinc en fusion par l’une quelconque des méthodes courantes (par voie sèche ou par voie humide).</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spécifie pour ces revêtements les règles et essais relatifs :</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à l’aspect des surfaces galvanisées.</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à l’adhérence du zinc sur l’acier.</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à la masse de zinc déposée par unité de surface.</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à la continuité du revêtement.</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au contrôle de la composition chimique du revêtement.</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aux tubes en l’état de livraison dans l’usine du galvanisateur.</w:t>
            </w:r>
          </w:p>
        </w:tc>
      </w:tr>
      <w:tr w:rsidR="00E33F03"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01.4.190</w:t>
            </w:r>
          </w:p>
        </w:tc>
      </w:tr>
      <w:tr w:rsidR="00E33F03" w:rsidRPr="0043547B" w:rsidTr="00CB5DC0">
        <w:trPr>
          <w:trHeight w:val="49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lastRenderedPageBreak/>
              <w:t>Intitulé :</w:t>
            </w:r>
          </w:p>
        </w:tc>
        <w:tc>
          <w:tcPr>
            <w:tcW w:w="7938" w:type="dxa"/>
            <w:tcBorders>
              <w:top w:val="single" w:sz="18" w:space="0" w:color="auto"/>
              <w:left w:val="single" w:sz="4"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Tubes en acier - Tubes soudés destinés à être revêtus ou protégés pour canalisations d’eaux - Dimensions - Conditions techniques de livraison</w:t>
            </w:r>
          </w:p>
        </w:tc>
      </w:tr>
      <w:tr w:rsidR="00E33F03" w:rsidRPr="0043547B" w:rsidTr="00AB40C3">
        <w:trPr>
          <w:trHeight w:val="3333"/>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bottom"/>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concerne les tubes soudés de section circulaire à extrémités lisses ou façonnées, devant être revêtus extérieurement et/ou intérieurement (voir en 5.4) et destinés aux canalisations d’eaux en acier non allié dans des diamètres extérieurs compris entre 88,9 mm et 2 235 mm inclus.</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Ces tubes sont utilisés pour les conduites de refoulement, d’adduction et de distribution d’eaux (potable, brute, industrielle), les conduites forcées de microcentrales hydrauliques, les réseaux d’incendie et d’eaux usées. Ils sont généralement destinés à être enterrés ou immergés.</w:t>
            </w:r>
          </w:p>
          <w:p w:rsidR="00E33F03"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En ce qui concerne les conditions techniques générales de livraison et les certificats, il y a lieu de se référer aux prescriptions des normes NM 01.4.033 et NM 01.4.034.</w:t>
            </w:r>
          </w:p>
          <w:p w:rsidR="00E33F03" w:rsidRPr="0043547B" w:rsidRDefault="00E33F03" w:rsidP="00E33F03">
            <w:pPr>
              <w:spacing w:after="0" w:line="240" w:lineRule="auto"/>
              <w:jc w:val="both"/>
              <w:rPr>
                <w:rFonts w:eastAsia="Times New Roman" w:cstheme="minorHAnsi"/>
                <w:sz w:val="24"/>
                <w:szCs w:val="24"/>
                <w:lang w:eastAsia="fr-FR"/>
              </w:rPr>
            </w:pPr>
          </w:p>
        </w:tc>
      </w:tr>
      <w:tr w:rsidR="00E33F03"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01.4.191</w:t>
            </w:r>
          </w:p>
        </w:tc>
      </w:tr>
      <w:tr w:rsidR="00E33F03" w:rsidRPr="0043547B" w:rsidTr="00CB5DC0">
        <w:trPr>
          <w:trHeight w:val="49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Tubes en acier - Tubes soudés pour panneaux chauffants à enrober dans le béton - Dimensions - Conditions techniques de livraison </w:t>
            </w:r>
          </w:p>
        </w:tc>
      </w:tr>
      <w:tr w:rsidR="00E33F03" w:rsidRPr="0043547B" w:rsidTr="00CB5DC0">
        <w:trPr>
          <w:trHeight w:val="457"/>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bottom"/>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aux tubes d’acier destinés à être mis en œuvre et enrobés dans le béton suivant des conditions particulières.</w:t>
            </w:r>
          </w:p>
        </w:tc>
      </w:tr>
      <w:tr w:rsidR="00E33F03"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5256</w:t>
            </w:r>
          </w:p>
        </w:tc>
      </w:tr>
      <w:tr w:rsidR="00E33F03"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5256</w:t>
            </w:r>
          </w:p>
        </w:tc>
      </w:tr>
      <w:tr w:rsidR="00E33F03" w:rsidRPr="0043547B" w:rsidTr="00CB5DC0">
        <w:trPr>
          <w:trHeight w:val="49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Tubes et accessoires en acier utilisés pour canalisations enterrées ou immergées - Revêtements externe et interne au moyen de matériaux hydrocarbonés</w:t>
            </w:r>
          </w:p>
        </w:tc>
      </w:tr>
      <w:tr w:rsidR="00E33F03" w:rsidRPr="0043547B" w:rsidTr="00CB5DC0">
        <w:trPr>
          <w:trHeight w:val="701"/>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bottom"/>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Types de tubes à revêtir :</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tubes auxquels La norme s’applique sont des tubes soudés ou des tubes sans soudure en acier non allié utilisés pour le transport de fluides. La norme s’applique en particulier aux tubes couverts par les normes citées dans le chapitre 3.</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Types d’accessoires à revêtir :</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types d’accessoires auxquels La norme s’applique sont notamment les courbes, les tés, les réductions, les collets, etc.</w:t>
            </w:r>
          </w:p>
        </w:tc>
      </w:tr>
      <w:tr w:rsidR="00E33F03" w:rsidRPr="0043547B" w:rsidTr="00CB5DC0">
        <w:trPr>
          <w:trHeight w:val="330"/>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4200</w:t>
            </w:r>
          </w:p>
        </w:tc>
      </w:tr>
      <w:tr w:rsidR="00E33F03" w:rsidRPr="0043547B" w:rsidTr="00CB5DC0">
        <w:trPr>
          <w:trHeight w:val="330"/>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noWrap/>
            <w:vAlign w:val="bottom"/>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4200</w:t>
            </w:r>
          </w:p>
        </w:tc>
      </w:tr>
      <w:tr w:rsidR="00E33F03" w:rsidRPr="0043547B" w:rsidTr="00CB5DC0">
        <w:trPr>
          <w:trHeight w:val="33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Tubes lisses en acier, soudés et sans soudures - Tableaux généraux des dimensions et des masses linéiques</w:t>
            </w:r>
          </w:p>
        </w:tc>
      </w:tr>
      <w:tr w:rsidR="00E33F03" w:rsidRPr="0043547B" w:rsidTr="00CB5DC0">
        <w:trPr>
          <w:trHeight w:val="1353"/>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bottom"/>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donne des tableaux de dimensions, en millimètres, et de masses linéiques, en kilogrammes par mètre, des tubes lisses en acier. Elle couvre deux groupes de tubes :</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Groupe 1 : tubes pour usages généraux (voir tableau 2) ;</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Groupe 2 : tubes de précision (voir tableau 3).Les diamètres extérieurs sont classés en trois séries pour le groupe 1 et en deux séries pour le groupe 2.</w:t>
            </w:r>
          </w:p>
        </w:tc>
      </w:tr>
      <w:tr w:rsidR="00E33F03"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4179</w:t>
            </w:r>
          </w:p>
        </w:tc>
      </w:tr>
      <w:tr w:rsidR="00E33F03"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4179</w:t>
            </w:r>
          </w:p>
        </w:tc>
      </w:tr>
      <w:tr w:rsidR="00E33F03" w:rsidRPr="0043547B" w:rsidTr="00CB5DC0">
        <w:trPr>
          <w:trHeight w:val="49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Tuyaux en fonte ductile pour canalisations avec et sans pression ‐ Revêtement interne au mortier de ciment ;  </w:t>
            </w:r>
          </w:p>
        </w:tc>
      </w:tr>
      <w:tr w:rsidR="00E33F03" w:rsidRPr="0043547B" w:rsidTr="00CB5DC0">
        <w:trPr>
          <w:trHeight w:val="619"/>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lastRenderedPageBreak/>
              <w:t>Domaine d’application :</w:t>
            </w:r>
          </w:p>
        </w:tc>
        <w:tc>
          <w:tcPr>
            <w:tcW w:w="7938" w:type="dxa"/>
            <w:tcBorders>
              <w:left w:val="single" w:sz="4" w:space="0" w:color="auto"/>
              <w:bottom w:val="single" w:sz="18"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internationale spécifie la nature, la méthode d'application, l'état de surface, ainsi que l'épaisseur minimale des revêtements internes de mortier de ciment des tuyaux et des raccords en fonte ductile pour canalisations avec et sans pression, tels que définis dans l'ISO 2531 et dans l'ISO 7186.</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s'applique aux revêtements internes de mortier de ciment utilisés pour améliorer les propriétés hydrauliques des tuyaux et des raccords par rapport aux tuyaux et aux raccords non revêtus et/ou pour prévenir les effets de la corrosion, avec des exigences spéciales pour les revêtements des canalisations d'assainissement gravitaires fonctionnant partiellement pleines.</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s'applique aussi aux revêtements internes utilisés pour le transport de fluides agressifs, où les solutions suivantes peuvent être utilisées séparément ou en combinaison :</w:t>
            </w:r>
          </w:p>
          <w:p w:rsidR="00E33F03" w:rsidRPr="00E7624B" w:rsidRDefault="00E33F03" w:rsidP="00E33F03">
            <w:pPr>
              <w:pStyle w:val="Paragraphedeliste"/>
              <w:numPr>
                <w:ilvl w:val="0"/>
                <w:numId w:val="54"/>
              </w:numPr>
              <w:spacing w:after="0" w:line="240" w:lineRule="auto"/>
              <w:rPr>
                <w:rFonts w:eastAsia="Times New Roman" w:cstheme="minorHAnsi"/>
                <w:sz w:val="24"/>
                <w:szCs w:val="24"/>
                <w:lang w:eastAsia="fr-FR"/>
              </w:rPr>
            </w:pPr>
            <w:r w:rsidRPr="00E7624B">
              <w:rPr>
                <w:rFonts w:eastAsia="Times New Roman" w:cstheme="minorHAnsi"/>
                <w:sz w:val="24"/>
                <w:szCs w:val="24"/>
                <w:lang w:eastAsia="fr-FR"/>
              </w:rPr>
              <w:t>une augmentation de l'épaisseur du revêtement ;</w:t>
            </w:r>
            <w:r w:rsidRPr="00E7624B">
              <w:rPr>
                <w:rFonts w:eastAsia="Times New Roman" w:cstheme="minorHAnsi"/>
                <w:sz w:val="24"/>
                <w:szCs w:val="24"/>
                <w:lang w:eastAsia="fr-FR"/>
              </w:rPr>
              <w:br/>
              <w:t>b) une modification du type de ciment;</w:t>
            </w:r>
            <w:r w:rsidRPr="00E7624B">
              <w:rPr>
                <w:rFonts w:eastAsia="Times New Roman" w:cstheme="minorHAnsi"/>
                <w:sz w:val="24"/>
                <w:szCs w:val="24"/>
                <w:lang w:eastAsia="fr-FR"/>
              </w:rPr>
              <w:br/>
              <w:t>c) un revêtement sur le ciment.</w:t>
            </w:r>
          </w:p>
        </w:tc>
      </w:tr>
      <w:tr w:rsidR="00E33F03"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13</w:t>
            </w:r>
          </w:p>
        </w:tc>
      </w:tr>
      <w:tr w:rsidR="00E33F03"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13</w:t>
            </w:r>
          </w:p>
        </w:tc>
      </w:tr>
      <w:tr w:rsidR="00E33F03" w:rsidRPr="0043547B" w:rsidTr="00CB5DC0">
        <w:trPr>
          <w:trHeight w:val="5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Tuyaux, raccords et pièces en fonte grise pour canalisations sous pression</w:t>
            </w:r>
          </w:p>
        </w:tc>
      </w:tr>
      <w:tr w:rsidR="00E33F03" w:rsidRPr="0043547B" w:rsidTr="00CB5DC0">
        <w:trPr>
          <w:trHeight w:val="1552"/>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bottom"/>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caractéris</w:t>
            </w:r>
            <w:r w:rsidRPr="0043547B">
              <w:rPr>
                <w:rFonts w:eastAsia="Times New Roman" w:cstheme="minorHAnsi"/>
                <w:sz w:val="24"/>
                <w:szCs w:val="24"/>
                <w:lang w:eastAsia="fr-FR"/>
              </w:rPr>
              <w:softHyphen/>
              <w:t>tiques des produits suivants :</w:t>
            </w:r>
          </w:p>
          <w:p w:rsidR="00E33F03" w:rsidRPr="0043547B" w:rsidRDefault="00E33F03" w:rsidP="00E33F03">
            <w:pPr>
              <w:pStyle w:val="Paragraphedeliste"/>
              <w:numPr>
                <w:ilvl w:val="0"/>
                <w:numId w:val="23"/>
              </w:num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Tuyaux en fonte grise fabriqués par l'un des trois procédés suivants :</w:t>
            </w:r>
          </w:p>
          <w:p w:rsidR="00E33F03" w:rsidRPr="0043547B" w:rsidRDefault="00E33F03" w:rsidP="00E33F03">
            <w:pPr>
              <w:pStyle w:val="Paragraphedeliste"/>
              <w:numPr>
                <w:ilvl w:val="0"/>
                <w:numId w:val="24"/>
              </w:num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coulée par centrifugation en coquille métallique ;</w:t>
            </w:r>
          </w:p>
          <w:p w:rsidR="00E33F03" w:rsidRPr="0043547B" w:rsidRDefault="00E33F03" w:rsidP="00E33F03">
            <w:pPr>
              <w:pStyle w:val="Paragraphedeliste"/>
              <w:numPr>
                <w:ilvl w:val="0"/>
                <w:numId w:val="24"/>
              </w:num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coulée par centrifugation en moules de sable ;</w:t>
            </w:r>
          </w:p>
          <w:p w:rsidR="00E33F03" w:rsidRPr="0043547B" w:rsidRDefault="00E33F03" w:rsidP="00E33F03">
            <w:pPr>
              <w:pStyle w:val="Paragraphedeliste"/>
              <w:numPr>
                <w:ilvl w:val="0"/>
                <w:numId w:val="24"/>
              </w:num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coulée verticale en moules de sable.</w:t>
            </w:r>
          </w:p>
          <w:p w:rsidR="00E33F03" w:rsidRPr="0043547B" w:rsidRDefault="00E33F03" w:rsidP="00E33F03">
            <w:pPr>
              <w:pStyle w:val="Paragraphedeliste"/>
              <w:numPr>
                <w:ilvl w:val="0"/>
                <w:numId w:val="23"/>
              </w:num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Raccords et pièces de canalisations en fonte grise.</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est applicable aux tuyaux et à tous  les  raccords  et pièces de canalisations à emboîtement, à bout  mâle  ou  à bride , conformes à l a norme , ainsi qu'aux tuyaux et raccords munis  d 'autres  types  de  joints dont les dimensions  général es,  sauf  celles  qui  concernent ces  joints,   devront   rester  conformes  à la norme.</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n'est pas applicable aux tuyaux de descente, ni à leurs raccords, utilisés dans l'industrie du bâtiment.</w:t>
            </w:r>
          </w:p>
        </w:tc>
      </w:tr>
      <w:tr w:rsidR="00E33F03"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3304</w:t>
            </w:r>
          </w:p>
        </w:tc>
      </w:tr>
      <w:tr w:rsidR="00E33F03"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3304</w:t>
            </w:r>
          </w:p>
        </w:tc>
      </w:tr>
      <w:tr w:rsidR="00E33F03" w:rsidRPr="0043547B" w:rsidTr="00CB5DC0">
        <w:trPr>
          <w:trHeight w:val="33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Tubes de précision en acier, sans soudure, à extrémités lisses - Conditions techniques de livraison </w:t>
            </w:r>
          </w:p>
        </w:tc>
      </w:tr>
      <w:tr w:rsidR="00E33F03" w:rsidRPr="0043547B" w:rsidTr="00CB5DC0">
        <w:trPr>
          <w:trHeight w:val="56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bottom"/>
            <w:hideMark/>
          </w:tcPr>
          <w:p w:rsidR="00E33F03" w:rsidRPr="0043547B" w:rsidRDefault="00E33F03" w:rsidP="00E33F03">
            <w:pPr>
              <w:spacing w:after="0" w:line="240" w:lineRule="auto"/>
              <w:jc w:val="both"/>
              <w:rPr>
                <w:rFonts w:eastAsia="Times New Roman" w:cstheme="minorHAnsi"/>
                <w:w w:val="95"/>
                <w:sz w:val="24"/>
                <w:szCs w:val="24"/>
                <w:lang w:eastAsia="fr-FR"/>
              </w:rPr>
            </w:pPr>
            <w:r w:rsidRPr="0043547B">
              <w:rPr>
                <w:rFonts w:eastAsia="Times New Roman" w:cstheme="minorHAnsi"/>
                <w:w w:val="95"/>
                <w:sz w:val="24"/>
                <w:szCs w:val="24"/>
                <w:lang w:eastAsia="fr-FR"/>
              </w:rPr>
              <w:t>La norme spécifie les conditions techniques de livraison des tubes sans soudure à extrémités lisses, fabriqués à partir des nuances d‘acier indiquées dans le tableau 2, avec des tolérances dimensionnelles de précision, ainsi que les dimensions contenues dans le tableau 9 qui ont été choisies dans ISO 4200.</w:t>
            </w:r>
          </w:p>
          <w:p w:rsidR="00E33F03" w:rsidRPr="0043547B" w:rsidRDefault="00E33F03" w:rsidP="00E33F03">
            <w:pPr>
              <w:spacing w:after="0" w:line="240" w:lineRule="auto"/>
              <w:jc w:val="both"/>
              <w:rPr>
                <w:rFonts w:eastAsia="Times New Roman" w:cstheme="minorHAnsi"/>
                <w:w w:val="95"/>
                <w:sz w:val="24"/>
                <w:szCs w:val="24"/>
                <w:lang w:eastAsia="fr-FR"/>
              </w:rPr>
            </w:pPr>
            <w:r w:rsidRPr="0043547B">
              <w:rPr>
                <w:rFonts w:eastAsia="Times New Roman" w:cstheme="minorHAnsi"/>
                <w:w w:val="95"/>
                <w:sz w:val="24"/>
                <w:szCs w:val="24"/>
                <w:lang w:eastAsia="fr-FR"/>
              </w:rPr>
              <w:t>Les tubes répondant à la norme sont principalement utilisés pour les usages nécessitant une précision dimensionnelle, et lorsque l’on recherche de faibles épaisseurs et un fini de surface.</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w w:val="95"/>
                <w:sz w:val="24"/>
                <w:szCs w:val="24"/>
                <w:lang w:eastAsia="fr-FR"/>
              </w:rPr>
              <w:t>Si ces tubes sont prévus pour I ’équipement des canalisations hydrauliques, on doit les utiliser à I ’état de livraison recuit ou normalisé.</w:t>
            </w:r>
          </w:p>
        </w:tc>
      </w:tr>
      <w:tr w:rsidR="00E33F03"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3305</w:t>
            </w:r>
          </w:p>
        </w:tc>
      </w:tr>
      <w:tr w:rsidR="00E33F03"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3305</w:t>
            </w:r>
          </w:p>
        </w:tc>
      </w:tr>
      <w:tr w:rsidR="00E33F03" w:rsidRPr="0043547B" w:rsidTr="00CB5DC0">
        <w:trPr>
          <w:trHeight w:val="33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Tubes de précision en acier, soudés, à extrémités lisses - Conditions techniques de livraison </w:t>
            </w:r>
          </w:p>
        </w:tc>
      </w:tr>
      <w:tr w:rsidR="00E33F03" w:rsidRPr="0043547B" w:rsidTr="00CB5DC0">
        <w:trPr>
          <w:trHeight w:val="2699"/>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lastRenderedPageBreak/>
              <w:t>Domaine d’application :</w:t>
            </w:r>
          </w:p>
        </w:tc>
        <w:tc>
          <w:tcPr>
            <w:tcW w:w="7938" w:type="dxa"/>
            <w:tcBorders>
              <w:left w:val="single" w:sz="4" w:space="0" w:color="auto"/>
              <w:bottom w:val="single" w:sz="18" w:space="0" w:color="auto"/>
              <w:right w:val="single" w:sz="18" w:space="0" w:color="auto"/>
            </w:tcBorders>
            <w:shd w:val="clear" w:color="auto" w:fill="auto"/>
            <w:vAlign w:val="bottom"/>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conditions techniques de livraison des tubes soudés a extrémités lisses, fabriqués à partir des nuances d’acier indiquées dans le tableau 2, avec des tolérances dimensionnelles de précision, ainsi que les dimensions contenues dans le tableau 9 qui ont 6té choisies dans I’ISO 4200.</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tubes répondant à La norme sont principalement utilisés pour les usages nécessitant une précision dimensionnelle, et lorsque l’on recherche de faibles épaisseurs et un fini de surface.</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Si ces tubes sont prévus pour l’équipement des canalisations hydrauliques, on doit les utiliser à l’état de livraison recuit ou normalisé.</w:t>
            </w:r>
          </w:p>
        </w:tc>
      </w:tr>
      <w:tr w:rsidR="00E33F03"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3306</w:t>
            </w:r>
          </w:p>
        </w:tc>
      </w:tr>
      <w:tr w:rsidR="00E33F03"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3306</w:t>
            </w:r>
          </w:p>
        </w:tc>
      </w:tr>
      <w:tr w:rsidR="00E33F03" w:rsidRPr="0043547B" w:rsidTr="00CB5DC0">
        <w:trPr>
          <w:trHeight w:val="33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Tubes de précision en acier, soudés, calibrés extérieurement, à extrémités lisses - Conditions techniques de livraison </w:t>
            </w:r>
          </w:p>
        </w:tc>
      </w:tr>
      <w:tr w:rsidR="00E33F03" w:rsidRPr="0043547B" w:rsidTr="00CB5DC0">
        <w:trPr>
          <w:trHeight w:val="2555"/>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bottom"/>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conditions techniques de livraison des tubes soudés à extrémités lisses, fabriqués à partir des nuances d’acier indiquées dans le tableau 2, avec des tolérances dimensionnelles de précision, ainsi que les dimensions contenues dans le tableau 8 qui ont été choisies dans I’ISO 4200.</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tubes répondant à La norme sont principalement utilisés pour les usages nécessitant une précision dimensionnelle, et lorsque l’on recherche de faibles épaisseurs et un fini de surface.</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Si ces tubes sont prévus pour l’équipement des canalisations hydrauliques, on doit les utiliser à l’état de livraison recuit ou normalisé.</w:t>
            </w:r>
          </w:p>
        </w:tc>
      </w:tr>
      <w:tr w:rsidR="00E33F03"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7598</w:t>
            </w:r>
          </w:p>
        </w:tc>
      </w:tr>
      <w:tr w:rsidR="00E33F03"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7598</w:t>
            </w:r>
          </w:p>
        </w:tc>
      </w:tr>
      <w:tr w:rsidR="00E33F03" w:rsidRPr="0043547B" w:rsidTr="00CB5DC0">
        <w:trPr>
          <w:trHeight w:val="33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Tubes en acier inoxydable filetables selon l’ISO 7-1 </w:t>
            </w:r>
          </w:p>
        </w:tc>
      </w:tr>
      <w:tr w:rsidR="00E33F03" w:rsidRPr="0043547B" w:rsidTr="00CB5DC0">
        <w:trPr>
          <w:trHeight w:val="1736"/>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bottom"/>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prescrit les dimensions et les caractéristiques des tubes en acier inoxydable austénitique sans soudure et soudés avec des dimensions conformes à la série</w:t>
            </w:r>
            <w:r>
              <w:rPr>
                <w:rFonts w:eastAsia="Times New Roman" w:cstheme="minorHAnsi"/>
                <w:sz w:val="24"/>
                <w:szCs w:val="24"/>
                <w:lang w:eastAsia="fr-FR"/>
              </w:rPr>
              <w:t xml:space="preserve"> </w:t>
            </w:r>
            <w:r w:rsidRPr="0043547B">
              <w:rPr>
                <w:rFonts w:eastAsia="Times New Roman" w:cstheme="minorHAnsi"/>
                <w:sz w:val="24"/>
                <w:szCs w:val="24"/>
                <w:lang w:eastAsia="fr-FR"/>
              </w:rPr>
              <w:t>moyenne de I’ISO 65.</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tubes peuvent être livrés à extrémités lisses ou filetées conformément à I’ISO 7-1 et munis d’un manchon vissé. Les limites d’utilisation de ces tubes peuvent être établies sur une base nationale en accord avec les prescriptions en vigueur dans chaque pays concerné.</w:t>
            </w:r>
          </w:p>
        </w:tc>
      </w:tr>
      <w:tr w:rsidR="00E33F03"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8179-1</w:t>
            </w:r>
          </w:p>
        </w:tc>
      </w:tr>
      <w:tr w:rsidR="00E33F03"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8179-1</w:t>
            </w:r>
          </w:p>
        </w:tc>
      </w:tr>
      <w:tr w:rsidR="00E33F03" w:rsidRPr="0043547B" w:rsidTr="00CB5DC0">
        <w:trPr>
          <w:trHeight w:val="33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Tuyaux en fonte ductile - Revêtement extérieur au zinc - Partie 1 : Zinc métallique et couche de finition ; </w:t>
            </w:r>
          </w:p>
        </w:tc>
      </w:tr>
      <w:tr w:rsidR="00E33F03" w:rsidRPr="0043547B" w:rsidTr="00CB5DC0">
        <w:trPr>
          <w:trHeight w:val="346"/>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partie de l'ISO 8179 traite d'un système de revêtement extérieur de protection appliqué en usine aux tuyaux en fonte ductile centrifugés, tels que spécifiés dans l'ISO 2531 et l'ISO 7186. Ce système de revêtement comprend une couche de zinc métallique suivie d'une couche de finition.</w:t>
            </w:r>
          </w:p>
          <w:p w:rsidR="00E33F03" w:rsidRPr="0043547B" w:rsidRDefault="00E33F03" w:rsidP="00E33F03">
            <w:pPr>
              <w:spacing w:after="0" w:line="240" w:lineRule="auto"/>
              <w:jc w:val="both"/>
              <w:rPr>
                <w:rFonts w:eastAsia="Times New Roman" w:cstheme="minorHAnsi"/>
                <w:i/>
                <w:iCs/>
                <w:sz w:val="24"/>
                <w:szCs w:val="24"/>
                <w:lang w:eastAsia="fr-FR"/>
              </w:rPr>
            </w:pPr>
            <w:r w:rsidRPr="0043547B">
              <w:rPr>
                <w:rFonts w:eastAsia="Times New Roman" w:cstheme="minorHAnsi"/>
                <w:b/>
                <w:bCs/>
                <w:i/>
                <w:iCs/>
                <w:sz w:val="24"/>
                <w:szCs w:val="24"/>
                <w:lang w:eastAsia="fr-FR"/>
              </w:rPr>
              <w:t>NOTE</w:t>
            </w:r>
            <w:r w:rsidRPr="0043547B">
              <w:rPr>
                <w:rFonts w:eastAsia="Times New Roman" w:cstheme="minorHAnsi"/>
                <w:i/>
                <w:iCs/>
                <w:sz w:val="24"/>
                <w:szCs w:val="24"/>
                <w:lang w:eastAsia="fr-FR"/>
              </w:rPr>
              <w:t> : L'ISO 8179-2 traite d'un système de revêtement de peinture riche en zinc avec couche de finition.</w:t>
            </w:r>
          </w:p>
        </w:tc>
      </w:tr>
      <w:tr w:rsidR="00E33F03"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8179-2</w:t>
            </w:r>
          </w:p>
        </w:tc>
      </w:tr>
      <w:tr w:rsidR="00E33F03"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8179-2</w:t>
            </w:r>
          </w:p>
        </w:tc>
      </w:tr>
      <w:tr w:rsidR="00E33F03" w:rsidRPr="0043547B" w:rsidTr="00CB5DC0">
        <w:trPr>
          <w:trHeight w:val="33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Tuyaux en fonte ductile - Revêtement extérieur au zinc - Partie 2 : Peinture riche en zinc et couche de finition</w:t>
            </w:r>
          </w:p>
        </w:tc>
      </w:tr>
      <w:tr w:rsidR="00E33F03" w:rsidRPr="0043547B" w:rsidTr="00CB5DC0">
        <w:trPr>
          <w:trHeight w:val="889"/>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lastRenderedPageBreak/>
              <w:t>Domaine d’application :</w:t>
            </w:r>
          </w:p>
        </w:tc>
        <w:tc>
          <w:tcPr>
            <w:tcW w:w="7938" w:type="dxa"/>
            <w:tcBorders>
              <w:left w:val="single" w:sz="4" w:space="0" w:color="auto"/>
              <w:bottom w:val="single" w:sz="18" w:space="0" w:color="auto"/>
              <w:right w:val="single" w:sz="18" w:space="0" w:color="auto"/>
            </w:tcBorders>
            <w:shd w:val="clear" w:color="auto" w:fill="auto"/>
            <w:vAlign w:val="bottom"/>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partie de I’ISO 8179 traite d’un système de revêtement extérieur de protection appliqué en usine pour les tuyaux centrifugés en fonte ductile tels que spécifiés dans I’ISO 2531 et I’ISO 7186. Ce système de revêtement comprend une couche de peinture</w:t>
            </w:r>
            <w:r>
              <w:rPr>
                <w:rFonts w:eastAsia="Times New Roman" w:cstheme="minorHAnsi"/>
                <w:sz w:val="24"/>
                <w:szCs w:val="24"/>
                <w:lang w:eastAsia="fr-FR"/>
              </w:rPr>
              <w:t xml:space="preserve"> </w:t>
            </w:r>
            <w:r w:rsidRPr="0043547B">
              <w:rPr>
                <w:rFonts w:eastAsia="Times New Roman" w:cstheme="minorHAnsi"/>
                <w:sz w:val="24"/>
                <w:szCs w:val="24"/>
                <w:lang w:eastAsia="fr-FR"/>
              </w:rPr>
              <w:t>riche en zinc suivie d’une couche de finition.</w:t>
            </w:r>
          </w:p>
        </w:tc>
      </w:tr>
      <w:tr w:rsidR="00E33F03"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8180</w:t>
            </w:r>
          </w:p>
        </w:tc>
      </w:tr>
      <w:tr w:rsidR="00E33F03"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 xml:space="preserve"> ISO 8180</w:t>
            </w:r>
          </w:p>
        </w:tc>
      </w:tr>
      <w:tr w:rsidR="00E33F03" w:rsidRPr="0043547B" w:rsidTr="00CB5DC0">
        <w:trPr>
          <w:trHeight w:val="33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Canalisation en fonte ductile - Manche en polyéthylène pour application sur site ;  </w:t>
            </w:r>
          </w:p>
        </w:tc>
      </w:tr>
      <w:tr w:rsidR="00E33F03" w:rsidRPr="0043547B" w:rsidTr="00CB5DC0">
        <w:trPr>
          <w:trHeight w:val="1994"/>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internationale spécifie les caractéristiques des films de polyéthylène, communément appelés manches, utilisés pour le complément de protection contre la corrosion des canalisations en fonte ductile, en particulier lorsqu'elles sont posées dans des terrains agressifs.</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Ces films, se présentant sous la forme de feuille ou de tube, dont l'efficacité a été prouvée par l'expérience, sont mis en place autour des tuyaux et raccords, sur le chantier, immédiatement avant la pose des canalisations.</w:t>
            </w:r>
          </w:p>
        </w:tc>
      </w:tr>
      <w:tr w:rsidR="00E33F03"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hideMark/>
          </w:tcPr>
          <w:p w:rsidR="00E33F03" w:rsidRPr="0043547B" w:rsidRDefault="00E33F03" w:rsidP="00E33F03">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01.4.711</w:t>
            </w:r>
          </w:p>
        </w:tc>
      </w:tr>
      <w:tr w:rsidR="00E33F03" w:rsidRPr="0043547B" w:rsidTr="00CB5DC0">
        <w:trPr>
          <w:trHeight w:val="701"/>
          <w:jc w:val="center"/>
        </w:trPr>
        <w:tc>
          <w:tcPr>
            <w:tcW w:w="1838" w:type="dxa"/>
            <w:tcBorders>
              <w:top w:val="single" w:sz="18" w:space="0" w:color="auto"/>
              <w:left w:val="single" w:sz="18" w:space="0" w:color="auto"/>
              <w:bottom w:val="single" w:sz="18" w:space="0" w:color="auto"/>
              <w:right w:val="single" w:sz="4" w:space="0" w:color="auto"/>
            </w:tcBorders>
            <w:shd w:val="clear" w:color="000000" w:fill="8DB4E2"/>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18"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Éléments de canalisation en fonte - Série "à brides" dite série "BR" - Raccords - Manchettes à brides </w:t>
            </w:r>
          </w:p>
        </w:tc>
      </w:tr>
      <w:tr w:rsidR="00E33F03"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hideMark/>
          </w:tcPr>
          <w:p w:rsidR="00E33F03" w:rsidRPr="0043547B" w:rsidRDefault="00E33F03" w:rsidP="00E33F03">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01.4.712</w:t>
            </w:r>
          </w:p>
        </w:tc>
      </w:tr>
      <w:tr w:rsidR="00E33F03" w:rsidRPr="0043547B" w:rsidTr="00CB5DC0">
        <w:trPr>
          <w:trHeight w:val="747"/>
          <w:jc w:val="center"/>
        </w:trPr>
        <w:tc>
          <w:tcPr>
            <w:tcW w:w="1838" w:type="dxa"/>
            <w:tcBorders>
              <w:top w:val="single" w:sz="18" w:space="0" w:color="auto"/>
              <w:left w:val="single" w:sz="18" w:space="0" w:color="auto"/>
              <w:bottom w:val="single" w:sz="18" w:space="0" w:color="auto"/>
              <w:right w:val="single" w:sz="4" w:space="0" w:color="auto"/>
            </w:tcBorders>
            <w:shd w:val="clear" w:color="000000" w:fill="8DB4E2"/>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18"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Éléments de canalisation en fonte - Série "à brides" dite série "BR" - Raccords - Manchettes à recouper </w:t>
            </w:r>
          </w:p>
        </w:tc>
      </w:tr>
      <w:tr w:rsidR="00E33F03"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hideMark/>
          </w:tcPr>
          <w:p w:rsidR="00E33F03" w:rsidRPr="0043547B" w:rsidRDefault="00E33F03" w:rsidP="00E33F03">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01.4.713</w:t>
            </w:r>
          </w:p>
        </w:tc>
      </w:tr>
      <w:tr w:rsidR="00E33F03" w:rsidRPr="0043547B" w:rsidTr="00CB5DC0">
        <w:trPr>
          <w:trHeight w:val="589"/>
          <w:jc w:val="center"/>
        </w:trPr>
        <w:tc>
          <w:tcPr>
            <w:tcW w:w="1838" w:type="dxa"/>
            <w:tcBorders>
              <w:top w:val="single" w:sz="18" w:space="0" w:color="auto"/>
              <w:left w:val="single" w:sz="18" w:space="0" w:color="auto"/>
              <w:bottom w:val="single" w:sz="18" w:space="0" w:color="auto"/>
              <w:right w:val="single" w:sz="4" w:space="0" w:color="auto"/>
            </w:tcBorders>
            <w:shd w:val="clear" w:color="000000" w:fill="8DB4E2"/>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18"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Éléments de canalisation en fonte - Série "à brides" dite série "BR" - Raccords - Coudes au 1/4 à 2 brides </w:t>
            </w:r>
          </w:p>
        </w:tc>
      </w:tr>
      <w:tr w:rsidR="00E33F03"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hideMark/>
          </w:tcPr>
          <w:p w:rsidR="00E33F03" w:rsidRPr="0043547B" w:rsidRDefault="00E33F03" w:rsidP="00E33F03">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01.4.714</w:t>
            </w:r>
          </w:p>
        </w:tc>
      </w:tr>
      <w:tr w:rsidR="00E33F03" w:rsidRPr="0043547B" w:rsidTr="00CB5DC0">
        <w:trPr>
          <w:trHeight w:val="330"/>
          <w:jc w:val="center"/>
        </w:trPr>
        <w:tc>
          <w:tcPr>
            <w:tcW w:w="1838" w:type="dxa"/>
            <w:tcBorders>
              <w:top w:val="single" w:sz="18" w:space="0" w:color="auto"/>
              <w:left w:val="single" w:sz="18" w:space="0" w:color="auto"/>
              <w:bottom w:val="single" w:sz="18" w:space="0" w:color="auto"/>
              <w:right w:val="single" w:sz="4" w:space="0" w:color="auto"/>
            </w:tcBorders>
            <w:shd w:val="clear" w:color="000000" w:fill="8DB4E2"/>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18"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Éléments de canalisation en fonte - Série "à brides" dite série "BR" - Coudes au 1/8 à 2 brides </w:t>
            </w:r>
          </w:p>
        </w:tc>
      </w:tr>
      <w:tr w:rsidR="00E33F03"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hideMark/>
          </w:tcPr>
          <w:p w:rsidR="00E33F03" w:rsidRPr="0043547B" w:rsidRDefault="00E33F03" w:rsidP="00E33F03">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01.4.715</w:t>
            </w:r>
          </w:p>
        </w:tc>
      </w:tr>
      <w:tr w:rsidR="00E33F03" w:rsidRPr="0043547B" w:rsidTr="00CB5DC0">
        <w:trPr>
          <w:trHeight w:val="627"/>
          <w:jc w:val="center"/>
        </w:trPr>
        <w:tc>
          <w:tcPr>
            <w:tcW w:w="1838" w:type="dxa"/>
            <w:tcBorders>
              <w:top w:val="single" w:sz="18" w:space="0" w:color="auto"/>
              <w:left w:val="single" w:sz="18" w:space="0" w:color="auto"/>
              <w:bottom w:val="single" w:sz="18" w:space="0" w:color="auto"/>
              <w:right w:val="single" w:sz="4" w:space="0" w:color="auto"/>
            </w:tcBorders>
            <w:shd w:val="clear" w:color="000000" w:fill="8DB4E2"/>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18"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Éléments de canalisation en fonte - Série "à brides" dite série "BR" - Raccords - Coudes au 1/4 à 2 brides et à patin </w:t>
            </w:r>
          </w:p>
        </w:tc>
      </w:tr>
      <w:tr w:rsidR="00E33F03"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hideMark/>
          </w:tcPr>
          <w:p w:rsidR="00E33F03" w:rsidRPr="0043547B" w:rsidRDefault="00E33F03" w:rsidP="00E33F03">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01.4.716</w:t>
            </w:r>
          </w:p>
        </w:tc>
      </w:tr>
      <w:tr w:rsidR="00E33F03" w:rsidRPr="0043547B" w:rsidTr="00CB5DC0">
        <w:trPr>
          <w:trHeight w:val="683"/>
          <w:jc w:val="center"/>
        </w:trPr>
        <w:tc>
          <w:tcPr>
            <w:tcW w:w="1838" w:type="dxa"/>
            <w:tcBorders>
              <w:top w:val="single" w:sz="18" w:space="0" w:color="auto"/>
              <w:left w:val="single" w:sz="18" w:space="0" w:color="auto"/>
              <w:bottom w:val="single" w:sz="18" w:space="0" w:color="auto"/>
              <w:right w:val="single" w:sz="4" w:space="0" w:color="auto"/>
            </w:tcBorders>
            <w:shd w:val="clear" w:color="000000" w:fill="8DB4E2"/>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18"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Éléments de canalisation en fonte - Série "à brides" dite série "BR" - Raccords - Croix à 4 brides </w:t>
            </w:r>
          </w:p>
        </w:tc>
      </w:tr>
      <w:tr w:rsidR="00E33F03"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hideMark/>
          </w:tcPr>
          <w:p w:rsidR="00E33F03" w:rsidRPr="0043547B" w:rsidRDefault="00E33F03" w:rsidP="00E33F03">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01.4.717</w:t>
            </w:r>
          </w:p>
        </w:tc>
      </w:tr>
      <w:tr w:rsidR="00E33F03" w:rsidRPr="0043547B" w:rsidTr="00CB5DC0">
        <w:trPr>
          <w:trHeight w:val="49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Tuyaux et pièces accessoires en fonte, sans pression pour branchement d’assainissement - Série à deux bouts unis, dite série UU</w:t>
            </w:r>
          </w:p>
        </w:tc>
      </w:tr>
      <w:tr w:rsidR="00E33F03" w:rsidRPr="0043547B" w:rsidTr="00CB5DC0">
        <w:trPr>
          <w:trHeight w:val="1321"/>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center"/>
            <w:hideMark/>
          </w:tcPr>
          <w:p w:rsidR="00E33F03" w:rsidRPr="0043547B" w:rsidRDefault="00E33F03" w:rsidP="00E33F03">
            <w:pPr>
              <w:spacing w:after="0"/>
              <w:jc w:val="both"/>
              <w:rPr>
                <w:rFonts w:eastAsia="Times New Roman" w:cstheme="minorHAnsi"/>
                <w:sz w:val="24"/>
                <w:szCs w:val="24"/>
                <w:lang w:eastAsia="fr-FR"/>
              </w:rPr>
            </w:pPr>
            <w:r w:rsidRPr="0043547B">
              <w:rPr>
                <w:rFonts w:eastAsia="Times New Roman" w:cstheme="minorHAnsi"/>
                <w:sz w:val="24"/>
                <w:szCs w:val="24"/>
                <w:lang w:eastAsia="fr-FR"/>
              </w:rPr>
              <w:t>La norme s'applique aux tuyaux en fonte à graphite lamellaire coulés par centrifugation en coquille métallique revêtue ou non et aux pièces accessoires coulées en moules en sable ou en coquille métallique. La gamme des diamètres nominaux s'étend du DN 100 au DN 200.</w:t>
            </w:r>
          </w:p>
        </w:tc>
      </w:tr>
      <w:tr w:rsidR="00E33F03"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hideMark/>
          </w:tcPr>
          <w:p w:rsidR="00E33F03" w:rsidRPr="00AB40C3" w:rsidRDefault="00E33F03" w:rsidP="00AB40C3">
            <w:pPr>
              <w:spacing w:after="0" w:line="240" w:lineRule="auto"/>
              <w:jc w:val="center"/>
              <w:rPr>
                <w:rFonts w:ascii="Calibri" w:hAnsi="Calibri" w:cs="Calibri"/>
                <w:b/>
                <w:bCs/>
                <w:sz w:val="24"/>
                <w:szCs w:val="24"/>
              </w:rPr>
            </w:pPr>
            <w:r w:rsidRPr="00AB40C3">
              <w:rPr>
                <w:rFonts w:ascii="Calibri" w:hAnsi="Calibri" w:cs="Calibri"/>
                <w:b/>
                <w:bCs/>
                <w:sz w:val="24"/>
                <w:szCs w:val="24"/>
              </w:rPr>
              <w:t>NM EN 598</w:t>
            </w:r>
          </w:p>
        </w:tc>
      </w:tr>
      <w:tr w:rsidR="00E33F03" w:rsidRPr="0043547B" w:rsidTr="00FD6D95">
        <w:trPr>
          <w:trHeight w:val="315"/>
          <w:jc w:val="center"/>
        </w:trPr>
        <w:tc>
          <w:tcPr>
            <w:tcW w:w="1838" w:type="dxa"/>
            <w:tcBorders>
              <w:top w:val="single" w:sz="18" w:space="0" w:color="auto"/>
              <w:left w:val="single" w:sz="18" w:space="0" w:color="auto"/>
              <w:bottom w:val="single" w:sz="6" w:space="0" w:color="auto"/>
              <w:right w:val="single" w:sz="4" w:space="0" w:color="auto"/>
            </w:tcBorders>
            <w:shd w:val="clear" w:color="auto" w:fill="FFFF9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6" w:space="0" w:color="auto"/>
              <w:right w:val="single" w:sz="18" w:space="0" w:color="auto"/>
            </w:tcBorders>
            <w:shd w:val="clear" w:color="auto" w:fill="FFFF99"/>
            <w:vAlign w:val="center"/>
            <w:hideMark/>
          </w:tcPr>
          <w:p w:rsidR="00E33F03" w:rsidRPr="00AB40C3" w:rsidRDefault="00E33F03" w:rsidP="00AB40C3">
            <w:pPr>
              <w:spacing w:after="0" w:line="240" w:lineRule="auto"/>
              <w:jc w:val="center"/>
              <w:rPr>
                <w:rFonts w:ascii="Calibri" w:hAnsi="Calibri" w:cs="Calibri"/>
                <w:b/>
                <w:bCs/>
                <w:sz w:val="24"/>
                <w:szCs w:val="24"/>
              </w:rPr>
            </w:pPr>
            <w:r w:rsidRPr="00AB40C3">
              <w:rPr>
                <w:rFonts w:ascii="Calibri" w:hAnsi="Calibri" w:cs="Calibri"/>
                <w:b/>
                <w:bCs/>
                <w:sz w:val="24"/>
                <w:szCs w:val="24"/>
              </w:rPr>
              <w:t>EN 598</w:t>
            </w:r>
          </w:p>
        </w:tc>
      </w:tr>
      <w:tr w:rsidR="00E33F03" w:rsidRPr="0043547B" w:rsidTr="00CB5DC0">
        <w:trPr>
          <w:trHeight w:val="495"/>
          <w:jc w:val="center"/>
        </w:trPr>
        <w:tc>
          <w:tcPr>
            <w:tcW w:w="1838" w:type="dxa"/>
            <w:tcBorders>
              <w:top w:val="single" w:sz="6" w:space="0" w:color="auto"/>
              <w:left w:val="single" w:sz="18" w:space="0" w:color="auto"/>
              <w:bottom w:val="single" w:sz="4" w:space="0" w:color="auto"/>
              <w:right w:val="single" w:sz="4" w:space="0" w:color="auto"/>
            </w:tcBorders>
            <w:shd w:val="clear" w:color="000000" w:fill="8DB4E2"/>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lastRenderedPageBreak/>
              <w:t>Intitulé :</w:t>
            </w:r>
          </w:p>
        </w:tc>
        <w:tc>
          <w:tcPr>
            <w:tcW w:w="7938" w:type="dxa"/>
            <w:tcBorders>
              <w:top w:val="single" w:sz="6" w:space="0" w:color="auto"/>
              <w:left w:val="single" w:sz="4" w:space="0" w:color="auto"/>
              <w:right w:val="single" w:sz="18" w:space="0" w:color="auto"/>
            </w:tcBorders>
            <w:shd w:val="clear" w:color="auto" w:fill="auto"/>
            <w:hideMark/>
          </w:tcPr>
          <w:p w:rsidR="00E33F03" w:rsidRPr="00AB40C3" w:rsidRDefault="00E33F03" w:rsidP="00AB40C3">
            <w:pPr>
              <w:spacing w:after="0" w:line="240" w:lineRule="auto"/>
              <w:jc w:val="both"/>
              <w:rPr>
                <w:rFonts w:ascii="Calibri" w:hAnsi="Calibri" w:cs="Calibri"/>
              </w:rPr>
            </w:pPr>
            <w:r w:rsidRPr="00AB40C3">
              <w:rPr>
                <w:rFonts w:ascii="Calibri" w:hAnsi="Calibri" w:cs="Calibri"/>
              </w:rPr>
              <w:t xml:space="preserve">Tuyaux, raccords et accessoires en fonte ductile et leurs assemblages pour l'assainissement - Prescriptions et méthodes d'essai  </w:t>
            </w:r>
          </w:p>
        </w:tc>
      </w:tr>
      <w:tr w:rsidR="00E33F03" w:rsidRPr="0043547B" w:rsidTr="00FD6D95">
        <w:trPr>
          <w:trHeight w:val="1268"/>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bottom"/>
            <w:hideMark/>
          </w:tcPr>
          <w:p w:rsidR="00AB40C3" w:rsidRDefault="00E33F03" w:rsidP="00AB40C3">
            <w:pPr>
              <w:spacing w:after="0" w:line="240" w:lineRule="auto"/>
              <w:jc w:val="both"/>
              <w:rPr>
                <w:rFonts w:ascii="Calibri" w:hAnsi="Calibri" w:cs="Calibri"/>
              </w:rPr>
            </w:pPr>
            <w:r w:rsidRPr="00AB40C3">
              <w:rPr>
                <w:rFonts w:ascii="Calibri" w:hAnsi="Calibri" w:cs="Calibri"/>
              </w:rPr>
              <w:t>La norme prescrit les exigences et les méthodes d'essai associées applicables aux tuyaux, raccords et accessoires en fonte ductile et à leurs assemblages, destinés à la construction de collecteurs et de branchements d'assainissement à l'extérieur des bâtiments :</w:t>
            </w:r>
            <w:r w:rsidR="00AB40C3">
              <w:rPr>
                <w:rFonts w:ascii="Calibri" w:hAnsi="Calibri" w:cs="Calibri"/>
              </w:rPr>
              <w:t xml:space="preserve"> </w:t>
            </w:r>
          </w:p>
          <w:p w:rsidR="00AB40C3" w:rsidRDefault="00E33F03" w:rsidP="00AB40C3">
            <w:pPr>
              <w:spacing w:after="0" w:line="240" w:lineRule="auto"/>
              <w:jc w:val="both"/>
              <w:rPr>
                <w:rFonts w:ascii="Calibri" w:hAnsi="Calibri" w:cs="Calibri"/>
              </w:rPr>
            </w:pPr>
            <w:r w:rsidRPr="00AB40C3">
              <w:rPr>
                <w:rFonts w:ascii="Calibri" w:hAnsi="Calibri" w:cs="Calibri"/>
              </w:rPr>
              <w:t>- fonctionnant sans pression ou avec pression positive ou négative ;</w:t>
            </w:r>
          </w:p>
          <w:p w:rsidR="00AB40C3" w:rsidRDefault="00E33F03" w:rsidP="00AB40C3">
            <w:pPr>
              <w:spacing w:after="0" w:line="240" w:lineRule="auto"/>
              <w:jc w:val="both"/>
              <w:rPr>
                <w:rFonts w:ascii="Calibri" w:hAnsi="Calibri" w:cs="Calibri"/>
              </w:rPr>
            </w:pPr>
            <w:r w:rsidRPr="00AB40C3">
              <w:rPr>
                <w:rFonts w:ascii="Calibri" w:hAnsi="Calibri" w:cs="Calibri"/>
              </w:rPr>
              <w:t>- installés dans le sol ou en aérien ;</w:t>
            </w:r>
          </w:p>
          <w:p w:rsidR="00AB40C3" w:rsidRDefault="00E33F03" w:rsidP="00AB40C3">
            <w:pPr>
              <w:spacing w:after="0" w:line="240" w:lineRule="auto"/>
              <w:jc w:val="both"/>
              <w:rPr>
                <w:rFonts w:ascii="Calibri" w:hAnsi="Calibri" w:cs="Calibri"/>
              </w:rPr>
            </w:pPr>
            <w:r w:rsidRPr="00AB40C3">
              <w:rPr>
                <w:rFonts w:ascii="Calibri" w:hAnsi="Calibri" w:cs="Calibri"/>
              </w:rPr>
              <w:t>- pour transporter les eaux de surface, les eaux usées domestiques et certains types d'effluents industriels, en système séparatif ou en système unitaire.</w:t>
            </w:r>
          </w:p>
          <w:p w:rsidR="00AB40C3" w:rsidRPr="00AB40C3" w:rsidRDefault="00E33F03" w:rsidP="00AB40C3">
            <w:pPr>
              <w:spacing w:after="0" w:line="240" w:lineRule="auto"/>
              <w:jc w:val="both"/>
              <w:rPr>
                <w:rFonts w:ascii="Calibri" w:hAnsi="Calibri" w:cs="Calibri"/>
                <w:i/>
                <w:iCs/>
                <w:sz w:val="20"/>
                <w:szCs w:val="20"/>
              </w:rPr>
            </w:pPr>
            <w:r w:rsidRPr="00AB40C3">
              <w:rPr>
                <w:rFonts w:ascii="Calibri" w:hAnsi="Calibri" w:cs="Calibri"/>
                <w:b/>
                <w:bCs/>
                <w:i/>
                <w:iCs/>
                <w:sz w:val="20"/>
                <w:szCs w:val="20"/>
              </w:rPr>
              <w:t xml:space="preserve">NOTE </w:t>
            </w:r>
            <w:r w:rsidRPr="00AB40C3">
              <w:rPr>
                <w:rFonts w:ascii="Calibri" w:hAnsi="Calibri" w:cs="Calibri"/>
                <w:i/>
                <w:iCs/>
                <w:sz w:val="20"/>
                <w:szCs w:val="20"/>
              </w:rPr>
              <w:t>: Dans la norme, toutes les pressions sont des pressions relatives, elles sont exprimées en bars (100 kPa = 1 bar).</w:t>
            </w:r>
          </w:p>
          <w:p w:rsidR="00AB40C3" w:rsidRDefault="00E33F03" w:rsidP="00AB40C3">
            <w:pPr>
              <w:spacing w:after="0" w:line="240" w:lineRule="auto"/>
              <w:jc w:val="both"/>
              <w:rPr>
                <w:rFonts w:ascii="Calibri" w:hAnsi="Calibri" w:cs="Calibri"/>
              </w:rPr>
            </w:pPr>
            <w:r w:rsidRPr="00AB40C3">
              <w:rPr>
                <w:rFonts w:ascii="Calibri" w:hAnsi="Calibri" w:cs="Calibri"/>
              </w:rPr>
              <w:t>Cette norme prescrit les produits pour canalisations d'assainissement gravitaire pour canalisations avec pression négative et pour canalisations fonctionnant à des pressions qui n'excèdent pas normalement 6 bar. Pour des utilisations à des pressions plus élevées, des tuyaux d'épaisseur spéciale peuvent être demandés par accord entre le fabricant et le client.</w:t>
            </w:r>
          </w:p>
          <w:p w:rsidR="00AB40C3" w:rsidRDefault="00E33F03" w:rsidP="00AB40C3">
            <w:pPr>
              <w:spacing w:after="0" w:line="240" w:lineRule="auto"/>
              <w:jc w:val="both"/>
              <w:rPr>
                <w:rFonts w:ascii="Calibri" w:hAnsi="Calibri" w:cs="Calibri"/>
              </w:rPr>
            </w:pPr>
            <w:r w:rsidRPr="00AB40C3">
              <w:rPr>
                <w:rFonts w:ascii="Calibri" w:hAnsi="Calibri" w:cs="Calibri"/>
              </w:rPr>
              <w:t>Cette norme prescrit les exigences pour les matériaux, les dimensions et les tolérances, les propriétés mécaniques et les revêtements standards des tuyaux et raccords en fonte ductile. Elle indique aussi les prescriptions de performance de tous les composants y compris les assemblages.</w:t>
            </w:r>
          </w:p>
          <w:p w:rsidR="00AB40C3" w:rsidRDefault="00E33F03" w:rsidP="00AB40C3">
            <w:pPr>
              <w:spacing w:after="0" w:line="240" w:lineRule="auto"/>
              <w:jc w:val="both"/>
              <w:rPr>
                <w:rFonts w:ascii="Calibri" w:hAnsi="Calibri" w:cs="Calibri"/>
              </w:rPr>
            </w:pPr>
            <w:r w:rsidRPr="00AB40C3">
              <w:rPr>
                <w:rFonts w:ascii="Calibri" w:hAnsi="Calibri" w:cs="Calibri"/>
              </w:rPr>
              <w:t>Cette norme traite des tuyaux, raccords et accessoires moulés par tout procédé de fonderie ou fabriqués à partir de composants moulés, ainsi que les assemblages correspondants pour la gamme des DN 100 à DN 2 000 inclus.</w:t>
            </w:r>
          </w:p>
          <w:p w:rsidR="00AB40C3" w:rsidRDefault="00E33F03" w:rsidP="00AB40C3">
            <w:pPr>
              <w:spacing w:after="0" w:line="240" w:lineRule="auto"/>
              <w:jc w:val="both"/>
              <w:rPr>
                <w:rFonts w:ascii="Calibri" w:hAnsi="Calibri" w:cs="Calibri"/>
              </w:rPr>
            </w:pPr>
            <w:r w:rsidRPr="00AB40C3">
              <w:rPr>
                <w:rFonts w:ascii="Calibri" w:hAnsi="Calibri" w:cs="Calibri"/>
              </w:rPr>
              <w:t>Cette norme s'applique aux tuyaux, raccords et accessoires qui sont :</w:t>
            </w:r>
          </w:p>
          <w:p w:rsidR="00AB40C3" w:rsidRDefault="00E33F03" w:rsidP="00AB40C3">
            <w:pPr>
              <w:spacing w:after="0" w:line="240" w:lineRule="auto"/>
              <w:jc w:val="both"/>
              <w:rPr>
                <w:rFonts w:ascii="Calibri" w:hAnsi="Calibri" w:cs="Calibri"/>
              </w:rPr>
            </w:pPr>
            <w:r w:rsidRPr="00AB40C3">
              <w:rPr>
                <w:rFonts w:ascii="Calibri" w:hAnsi="Calibri" w:cs="Calibri"/>
              </w:rPr>
              <w:t>- fabriqués avec des extrémités à emboîture, à bride ou à bout uni pour assemblage au moyen de différents types de garnitures de joint qui ne font pas l'objet de cette norme;</w:t>
            </w:r>
            <w:r w:rsidRPr="00AB40C3">
              <w:rPr>
                <w:rFonts w:ascii="Calibri" w:hAnsi="Calibri" w:cs="Calibri"/>
              </w:rPr>
              <w:br/>
              <w:t>- normalement livrés revêtus extérieurement et intérieurement ;</w:t>
            </w:r>
          </w:p>
          <w:p w:rsidR="00E33F03" w:rsidRPr="00AB40C3" w:rsidRDefault="00E33F03" w:rsidP="00AB40C3">
            <w:pPr>
              <w:spacing w:after="0" w:line="240" w:lineRule="auto"/>
              <w:jc w:val="both"/>
              <w:rPr>
                <w:rFonts w:ascii="Calibri" w:hAnsi="Calibri" w:cs="Calibri"/>
              </w:rPr>
            </w:pPr>
            <w:r w:rsidRPr="00AB40C3">
              <w:rPr>
                <w:rFonts w:ascii="Calibri" w:hAnsi="Calibri" w:cs="Calibri"/>
              </w:rPr>
              <w:t>- utilisables pour des températures de fluide jusqu'à 50 °C, gel exclus.</w:t>
            </w:r>
          </w:p>
        </w:tc>
      </w:tr>
      <w:tr w:rsidR="00E33F03"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10.4.703</w:t>
            </w:r>
          </w:p>
        </w:tc>
      </w:tr>
      <w:tr w:rsidR="00E33F03"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CC"/>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CC"/>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1074-4</w:t>
            </w:r>
          </w:p>
        </w:tc>
      </w:tr>
      <w:tr w:rsidR="00E33F03" w:rsidRPr="0043547B" w:rsidTr="00CB5DC0">
        <w:trPr>
          <w:trHeight w:val="683"/>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Robinetterie pour l'alimentation en eau - Prescriptions d'aptitude à l'emploi et vérifications s'y rapportant - Purgeurs et ventouses à flotteur </w:t>
            </w:r>
          </w:p>
        </w:tc>
      </w:tr>
      <w:tr w:rsidR="00E33F03" w:rsidRPr="0043547B" w:rsidTr="00CB5DC0">
        <w:trPr>
          <w:trHeight w:val="559"/>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bottom"/>
            <w:hideMark/>
          </w:tcPr>
          <w:p w:rsidR="00E33F03"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prescriptions minimales d'aptitude à l'emploi des appareils de</w:t>
            </w:r>
            <w:r>
              <w:rPr>
                <w:rFonts w:eastAsia="Times New Roman" w:cstheme="minorHAnsi"/>
                <w:sz w:val="24"/>
                <w:szCs w:val="24"/>
                <w:lang w:eastAsia="fr-FR"/>
              </w:rPr>
              <w:t xml:space="preserve"> </w:t>
            </w:r>
            <w:r w:rsidRPr="0043547B">
              <w:rPr>
                <w:rFonts w:eastAsia="Times New Roman" w:cstheme="minorHAnsi"/>
                <w:sz w:val="24"/>
                <w:szCs w:val="24"/>
                <w:lang w:eastAsia="fr-FR"/>
              </w:rPr>
              <w:t>robinetterie à utiliser dans, ou connectés à, des réseaux d'alimentation en eau aériens ou enterrés (voir NM 10.4.721) et transportant de l'eau destinée à la consommation humaine.</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prescriptions de conception, les prescriptions de performance,</w:t>
            </w:r>
            <w:r>
              <w:rPr>
                <w:rFonts w:eastAsia="Times New Roman" w:cstheme="minorHAnsi"/>
                <w:sz w:val="24"/>
                <w:szCs w:val="24"/>
                <w:lang w:eastAsia="fr-FR"/>
              </w:rPr>
              <w:t xml:space="preserve"> </w:t>
            </w:r>
            <w:r w:rsidRPr="0043547B">
              <w:rPr>
                <w:rFonts w:eastAsia="Times New Roman" w:cstheme="minorHAnsi"/>
                <w:sz w:val="24"/>
                <w:szCs w:val="24"/>
                <w:lang w:eastAsia="fr-FR"/>
              </w:rPr>
              <w:t>ainsi que les méthodes d'évaluation de la conformité des appareils de robinetterie, quels que soient leur type et leurs matériaux.</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est applicable en priorité à toute autre norme de produit ou d'essai ; les</w:t>
            </w:r>
            <w:r>
              <w:rPr>
                <w:rFonts w:eastAsia="Times New Roman" w:cstheme="minorHAnsi"/>
                <w:sz w:val="24"/>
                <w:szCs w:val="24"/>
                <w:lang w:eastAsia="fr-FR"/>
              </w:rPr>
              <w:t xml:space="preserve"> </w:t>
            </w:r>
            <w:r w:rsidRPr="0043547B">
              <w:rPr>
                <w:rFonts w:eastAsia="Times New Roman" w:cstheme="minorHAnsi"/>
                <w:sz w:val="24"/>
                <w:szCs w:val="24"/>
                <w:lang w:eastAsia="fr-FR"/>
              </w:rPr>
              <w:t>prescriptions des autres normes s'appliquent seulement lorsque cette norme y fait référence.</w:t>
            </w:r>
            <w:r>
              <w:rPr>
                <w:rFonts w:eastAsia="Times New Roman" w:cstheme="minorHAnsi"/>
                <w:sz w:val="24"/>
                <w:szCs w:val="24"/>
                <w:lang w:eastAsia="fr-FR"/>
              </w:rPr>
              <w:t xml:space="preserve"> </w:t>
            </w:r>
            <w:r w:rsidRPr="0043547B">
              <w:rPr>
                <w:rFonts w:eastAsia="Times New Roman" w:cstheme="minorHAnsi"/>
                <w:sz w:val="24"/>
                <w:szCs w:val="24"/>
                <w:lang w:eastAsia="fr-FR"/>
              </w:rPr>
              <w:t>La norme établit les prescriptions relatives aux purgeurs et ventouses flotteurs de DN</w:t>
            </w:r>
            <w:r>
              <w:rPr>
                <w:rFonts w:eastAsia="Times New Roman" w:cstheme="minorHAnsi"/>
                <w:sz w:val="24"/>
                <w:szCs w:val="24"/>
                <w:lang w:eastAsia="fr-FR"/>
              </w:rPr>
              <w:t xml:space="preserve"> </w:t>
            </w:r>
            <w:r w:rsidRPr="0043547B">
              <w:rPr>
                <w:rFonts w:eastAsia="Times New Roman" w:cstheme="minorHAnsi"/>
                <w:sz w:val="24"/>
                <w:szCs w:val="24"/>
                <w:lang w:eastAsia="fr-FR"/>
              </w:rPr>
              <w:t>inférieur ou égal à DN 300 et de PFA 6 à PFA 25.</w:t>
            </w:r>
          </w:p>
        </w:tc>
      </w:tr>
      <w:tr w:rsidR="00E33F03"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10.4.705</w:t>
            </w:r>
          </w:p>
        </w:tc>
      </w:tr>
      <w:tr w:rsidR="00E33F03"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CC"/>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CC"/>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1074-6</w:t>
            </w:r>
          </w:p>
        </w:tc>
      </w:tr>
      <w:tr w:rsidR="00E33F03" w:rsidRPr="0043547B" w:rsidTr="00CB5DC0">
        <w:trPr>
          <w:trHeight w:val="49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Robinetterie pour l'alimentation en eau - Prescriptions d'aptitude à l'emploi et vérifications s'y rapportant – Poteaux et bouches </w:t>
            </w:r>
          </w:p>
        </w:tc>
      </w:tr>
      <w:tr w:rsidR="00E33F03" w:rsidRPr="0043547B" w:rsidTr="00B874C5">
        <w:trPr>
          <w:trHeight w:val="56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La norme définit les prescriptions minimales d’aptitude à l’emploi des poteaux et bouches à utiliser dans, ou connectés à des réseaux d’alimentation en eau </w:t>
            </w:r>
            <w:r w:rsidRPr="0043547B">
              <w:rPr>
                <w:rFonts w:eastAsia="Times New Roman" w:cstheme="minorHAnsi"/>
                <w:sz w:val="24"/>
                <w:szCs w:val="24"/>
                <w:lang w:eastAsia="fr-FR"/>
              </w:rPr>
              <w:lastRenderedPageBreak/>
              <w:t>aériens ou enterrés (voir NM 10.4.721), véhiculant des eaux destinées à la consommation humaine.</w:t>
            </w:r>
            <w:r>
              <w:rPr>
                <w:rFonts w:eastAsia="Times New Roman" w:cstheme="minorHAnsi"/>
                <w:sz w:val="24"/>
                <w:szCs w:val="24"/>
                <w:lang w:eastAsia="fr-FR"/>
              </w:rPr>
              <w:t xml:space="preserve"> </w:t>
            </w:r>
            <w:r w:rsidRPr="0043547B">
              <w:rPr>
                <w:rFonts w:eastAsia="Times New Roman" w:cstheme="minorHAnsi"/>
                <w:sz w:val="24"/>
                <w:szCs w:val="24"/>
                <w:lang w:eastAsia="fr-FR"/>
              </w:rPr>
              <w:t>La norme spécifie les prescriptions de conception, les prescriptions de performance, ainsi que la méthode d’évaluation de la conformité des poteaux et bouches, quels que soient leur type, leurs matériaux et leurs fonctions. Des prescriptions supplémentaires peuvent être données dans d’autres normes lorsque les poteaux et bouches sont utilisés pour la lutte contre l’incendie, l’irrigation ou toute autre fonction.</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prévaut sur toute autre norme de produit ou d’essai. Les prescriptions d’autres normes ne s’appliquent que lorsque La norme s’y réfère.</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traite des prescriptions applicables à la fois aux bouches et aux poteaux, de dimensions DN 65 à DN 150, et de PFA jusqu’à 16 bar.</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ne spécifie aucune prescription relative aux orifices de sortie ou aux interfaces avec les poteaux et bouches car ils relèvent de normes nationales.</w:t>
            </w:r>
          </w:p>
        </w:tc>
      </w:tr>
      <w:tr w:rsidR="00E33F03"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NM EN 10216‐1</w:t>
            </w:r>
          </w:p>
        </w:tc>
      </w:tr>
      <w:tr w:rsidR="00E33F03"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CC"/>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CC"/>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EN 10216‐1</w:t>
            </w:r>
          </w:p>
        </w:tc>
      </w:tr>
      <w:tr w:rsidR="00E33F03" w:rsidRPr="0043547B" w:rsidTr="00CB5DC0">
        <w:trPr>
          <w:trHeight w:val="49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Tubes sans soudure en acier pour service sous pression ‐ Conditions techniques de livraison ‐ Partie 1 : Tubes en acier non allié avec caractéristiques spécifiées à température ambiante ; </w:t>
            </w:r>
          </w:p>
        </w:tc>
      </w:tr>
      <w:tr w:rsidR="00E33F03" w:rsidRPr="0043547B" w:rsidTr="00CB5DC0">
        <w:trPr>
          <w:trHeight w:val="2943"/>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Cette Norme Marocaine spécifie les conditions techniques de livraison pour deux qualités, TR1 et TR2 de tubes sans soudure à section circulaire fabriqués en acier non allié de qualité, avec caractéristiques spécifiées à température ambiante.</w:t>
            </w:r>
          </w:p>
          <w:p w:rsidR="00E33F03" w:rsidRPr="0043547B" w:rsidRDefault="00E33F03" w:rsidP="00E33F03">
            <w:pPr>
              <w:spacing w:after="0" w:line="240" w:lineRule="auto"/>
              <w:jc w:val="both"/>
              <w:rPr>
                <w:rFonts w:eastAsia="Times New Roman" w:cstheme="minorHAnsi"/>
                <w:i/>
                <w:iCs/>
                <w:sz w:val="24"/>
                <w:szCs w:val="24"/>
                <w:lang w:eastAsia="fr-FR"/>
              </w:rPr>
            </w:pPr>
            <w:r w:rsidRPr="00B874C5">
              <w:rPr>
                <w:rFonts w:eastAsia="Times New Roman" w:cstheme="minorHAnsi"/>
                <w:b/>
                <w:bCs/>
                <w:i/>
                <w:iCs/>
                <w:lang w:eastAsia="fr-FR"/>
              </w:rPr>
              <w:t>NOTE</w:t>
            </w:r>
            <w:r w:rsidRPr="00B874C5">
              <w:rPr>
                <w:rFonts w:eastAsia="Times New Roman" w:cstheme="minorHAnsi"/>
                <w:i/>
                <w:iCs/>
                <w:lang w:eastAsia="fr-FR"/>
              </w:rPr>
              <w:t> : Dès lors que la présente Norme marocaine est publiée dans le Journal Officiel de l’Union marocaine (JOUE) en lien avec la Directive 97/23/CE, la présomption de conformité avec les exigences essentielles de sécurité de la Directive 97/23/CE se limite aux données techniques des matériaux spécifiées dans la présente Norme marocaine et ne suppose pas l’adéquation des matériaux avec un appareil en particulier. Par conséquent, il doit être procédé à l’évaluation des données techniques spécifiées dans la présente norme de matériaux par rapport aux exigences concernant la conception de cet équipement spécifique, afin de vérifier que les exigences essentielles de sécurité de la Directive 97/23/CE soient satisfaites.</w:t>
            </w:r>
          </w:p>
        </w:tc>
      </w:tr>
      <w:tr w:rsidR="00E33F03"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NM EN 10216‐2</w:t>
            </w:r>
          </w:p>
        </w:tc>
      </w:tr>
      <w:tr w:rsidR="00E33F03"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CC"/>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CC"/>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EN 10216‐2</w:t>
            </w:r>
          </w:p>
        </w:tc>
      </w:tr>
      <w:tr w:rsidR="00E33F03" w:rsidRPr="0043547B" w:rsidTr="00CB5DC0">
        <w:trPr>
          <w:trHeight w:val="953"/>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FFFFFF" w:themeFill="background1"/>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Tubes sans soudure en acier pour service sous pression ‐ Conditions techniques de livraison ‐ Partie 2 : Tubes en acier non allié et allié avec caractéristiques spécifiées à température élevée </w:t>
            </w:r>
          </w:p>
        </w:tc>
      </w:tr>
      <w:tr w:rsidR="00E33F03" w:rsidRPr="0043547B" w:rsidTr="0069303D">
        <w:trPr>
          <w:trHeight w:val="141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FFFFFF" w:themeFill="background1"/>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Cette Norme Marocaine spécifie les conditions techniques de livraison, selon deux catégories d’essai, pour les tubes sans soudure à section circulaire en acier non allié et allié, avec caractéristiques spécifiées à température élevée.</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partie de l’EN 10216 peut aussi s’appliquer pour des tubes de section non circulaire ; les modifications nécessaires doivent faire l’objet d’un accord lors de l’appel d’offres et de la commande.</w:t>
            </w:r>
          </w:p>
          <w:p w:rsidR="00E33F03" w:rsidRPr="0043547B" w:rsidRDefault="00E33F03" w:rsidP="00E33F03">
            <w:pPr>
              <w:spacing w:after="0" w:line="240" w:lineRule="auto"/>
              <w:jc w:val="both"/>
              <w:rPr>
                <w:rFonts w:eastAsia="Times New Roman" w:cstheme="minorHAnsi"/>
                <w:i/>
                <w:iCs/>
                <w:sz w:val="24"/>
                <w:szCs w:val="24"/>
                <w:lang w:eastAsia="fr-FR"/>
              </w:rPr>
            </w:pPr>
            <w:r w:rsidRPr="00AA11CE">
              <w:rPr>
                <w:rFonts w:eastAsia="Times New Roman" w:cstheme="minorHAnsi"/>
                <w:b/>
                <w:bCs/>
                <w:i/>
                <w:iCs/>
                <w:lang w:eastAsia="fr-FR"/>
              </w:rPr>
              <w:t>NOTE </w:t>
            </w:r>
            <w:r w:rsidRPr="00AA11CE">
              <w:rPr>
                <w:rFonts w:eastAsia="Times New Roman" w:cstheme="minorHAnsi"/>
                <w:i/>
                <w:iCs/>
                <w:lang w:eastAsia="fr-FR"/>
              </w:rPr>
              <w:t>: Dès lors que la présente Norme marocaine est publiée dans le Journal Officiel de l’Union marocaine (JOUE) en lien avec la Directive 97/23/CE, la présomption de conformité avec les exigences essentielles de sécurité de la Directive 97/23/CE se limite aux données techniques des matériaux spécifiées dans la présente Norme marocaine et ne suppose pas l’adéquation des matériaux avec un appareil en particulier. Par conséquent, il doit être procédé à l’évaluation des données techniques spécifiées dans la présente norme de matériaux par rapport aux exigences concernant la conception de cet équipement spécifique, afin de vérifier que les exigences essentielles de sécurité de la Directive 97/23/CE soient satisfaites.</w:t>
            </w:r>
          </w:p>
        </w:tc>
      </w:tr>
      <w:tr w:rsidR="00E33F03"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NM EN 10216‐3</w:t>
            </w:r>
          </w:p>
        </w:tc>
      </w:tr>
      <w:tr w:rsidR="00E33F03"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EN 10216‐3</w:t>
            </w:r>
          </w:p>
        </w:tc>
      </w:tr>
      <w:tr w:rsidR="00E33F03" w:rsidRPr="0043547B" w:rsidTr="00CB5DC0">
        <w:trPr>
          <w:trHeight w:val="49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Tubes sans soudure en acier pour service sous pression ‐ Conditions techniques de livraison ‐ Partie 3 : Tubes en acier allié à grain fin </w:t>
            </w:r>
          </w:p>
        </w:tc>
      </w:tr>
      <w:tr w:rsidR="00E33F03" w:rsidRPr="0043547B" w:rsidTr="00CB5DC0">
        <w:trPr>
          <w:trHeight w:val="2918"/>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Cette Norme Marocaine spécifie les conditions techniques de livraison, selon deux catégories d’essai, pour les tubes sans soudure à section circulaire en acier allié soudable à grain fin.</w:t>
            </w:r>
          </w:p>
          <w:p w:rsidR="00E33F03" w:rsidRPr="0043547B" w:rsidRDefault="00E33F03" w:rsidP="00E33F03">
            <w:pPr>
              <w:spacing w:after="0" w:line="240" w:lineRule="auto"/>
              <w:jc w:val="both"/>
              <w:rPr>
                <w:rFonts w:eastAsia="Times New Roman" w:cstheme="minorHAnsi"/>
                <w:i/>
                <w:iCs/>
                <w:sz w:val="24"/>
                <w:szCs w:val="24"/>
                <w:lang w:eastAsia="fr-FR"/>
              </w:rPr>
            </w:pPr>
            <w:r w:rsidRPr="00AA11CE">
              <w:rPr>
                <w:rFonts w:eastAsia="Times New Roman" w:cstheme="minorHAnsi"/>
                <w:b/>
                <w:bCs/>
                <w:i/>
                <w:iCs/>
                <w:lang w:eastAsia="fr-FR"/>
              </w:rPr>
              <w:t>NOTE </w:t>
            </w:r>
            <w:r w:rsidRPr="00AA11CE">
              <w:rPr>
                <w:rFonts w:eastAsia="Times New Roman" w:cstheme="minorHAnsi"/>
                <w:i/>
                <w:iCs/>
                <w:lang w:eastAsia="fr-FR"/>
              </w:rPr>
              <w:t>: Dès lors que la présente Norme marocaine est publiée dans le Journal Officiel de l’Union marocaine (JOUE) en lien avec la Directive 97/23/CE, la présomption de conformité avec les exigences essentielles de sécurité de la Directive 97/23/CE se limite aux données techniques des matériaux spécifiées dans la présente Norme marocaine et ne suppose pas l’adéquation des matériaux avec un appareil en particulier. Par conséquent, il doit être procédé à l’évaluation des données techniques spécifiées dans la présente norme de matériaux par rapport aux exigences concernant la conception de cet équipement spécifique, afin de vérifier que les exigences essentielles de sécurité de la Directive 97/23/CE soient satisfaites.</w:t>
            </w:r>
          </w:p>
        </w:tc>
      </w:tr>
      <w:tr w:rsidR="00E33F03"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NM EN 10216‐4</w:t>
            </w:r>
          </w:p>
        </w:tc>
      </w:tr>
      <w:tr w:rsidR="00E33F03"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CC"/>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CC"/>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EN 10216‐4</w:t>
            </w:r>
          </w:p>
        </w:tc>
      </w:tr>
      <w:tr w:rsidR="00E33F03" w:rsidRPr="0043547B" w:rsidTr="00CB5DC0">
        <w:trPr>
          <w:trHeight w:val="49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Tubes sans soudure en acier pour service sous pression ‐ Conditions techniques de livraison ‐ Partie 4 : Tubes en acier non allié et allié avec caractéristiques spécifiées à basse température    </w:t>
            </w:r>
          </w:p>
        </w:tc>
      </w:tr>
      <w:tr w:rsidR="00E33F03" w:rsidRPr="0043547B" w:rsidTr="00CB5DC0">
        <w:trPr>
          <w:trHeight w:val="843"/>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Cette Norme Marocaine spécifie les conditions techniques de livraison, selon deux catégories d’essai, pour les tubes sans soudure à section circulaire en acier non allié et allié, avec caractéristiques spécifiées à basse température.</w:t>
            </w:r>
          </w:p>
          <w:p w:rsidR="00E33F03" w:rsidRPr="0043547B" w:rsidRDefault="00E33F03" w:rsidP="00E33F03">
            <w:pPr>
              <w:spacing w:after="0"/>
              <w:jc w:val="both"/>
              <w:rPr>
                <w:rFonts w:eastAsia="Times New Roman" w:cstheme="minorHAnsi"/>
                <w:i/>
                <w:iCs/>
                <w:sz w:val="24"/>
                <w:szCs w:val="24"/>
                <w:lang w:eastAsia="fr-FR"/>
              </w:rPr>
            </w:pPr>
            <w:r w:rsidRPr="00AA11CE">
              <w:rPr>
                <w:rFonts w:eastAsia="Times New Roman" w:cstheme="minorHAnsi"/>
                <w:b/>
                <w:bCs/>
                <w:i/>
                <w:iCs/>
                <w:lang w:eastAsia="fr-FR"/>
              </w:rPr>
              <w:t>NOTE</w:t>
            </w:r>
            <w:r w:rsidRPr="00AA11CE">
              <w:rPr>
                <w:rFonts w:eastAsia="Times New Roman" w:cstheme="minorHAnsi"/>
                <w:i/>
                <w:iCs/>
                <w:lang w:eastAsia="fr-FR"/>
              </w:rPr>
              <w:t> : Dès lors que la présente Norme marocaine est publiée dans le Journal Officiel de l’Union marocaine (JOUE) en lien avec la Directive 97/23/CE, la présomption de conformité avec les exigences essentielles de sécurité de la Directive 97/23/CE se limite aux données techniques des matériaux spécifiées dans la présente Norme marocaine et ne suppose pas l’adéquation des matériaux avec un appareil en particulier. Par conséquent, il doit être procédé à l’évaluation des données techniques spécifiées dans la présente norme de matériaux par rapport aux exigences concernant la conception de cet équipement spécifique, afin de vérifier que les exigences essentielles de sécurité de la Directive 97/23/CE soient satisfaites.</w:t>
            </w:r>
          </w:p>
        </w:tc>
      </w:tr>
      <w:tr w:rsidR="00E33F03"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NM EN 10216‐5</w:t>
            </w:r>
          </w:p>
        </w:tc>
      </w:tr>
      <w:tr w:rsidR="00E33F03" w:rsidRPr="0043547B" w:rsidTr="00CB5DC0">
        <w:trPr>
          <w:trHeight w:val="315"/>
          <w:jc w:val="center"/>
        </w:trPr>
        <w:tc>
          <w:tcPr>
            <w:tcW w:w="1838" w:type="dxa"/>
            <w:tcBorders>
              <w:top w:val="single" w:sz="18" w:space="0" w:color="auto"/>
              <w:left w:val="single" w:sz="18" w:space="0" w:color="auto"/>
              <w:bottom w:val="single" w:sz="6" w:space="0" w:color="auto"/>
              <w:right w:val="single" w:sz="4" w:space="0" w:color="auto"/>
            </w:tcBorders>
            <w:shd w:val="clear" w:color="auto" w:fill="FFFF99"/>
            <w:vAlign w:val="center"/>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6" w:space="0" w:color="auto"/>
              <w:right w:val="single" w:sz="18" w:space="0" w:color="auto"/>
            </w:tcBorders>
            <w:shd w:val="clear" w:color="auto" w:fill="FFFF99"/>
            <w:vAlign w:val="bottom"/>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EN 10216‐5</w:t>
            </w:r>
          </w:p>
        </w:tc>
      </w:tr>
      <w:tr w:rsidR="00E33F03" w:rsidRPr="0043547B" w:rsidTr="00CB5DC0">
        <w:trPr>
          <w:trHeight w:val="315"/>
          <w:jc w:val="center"/>
        </w:trPr>
        <w:tc>
          <w:tcPr>
            <w:tcW w:w="1838" w:type="dxa"/>
            <w:tcBorders>
              <w:top w:val="single" w:sz="6" w:space="0" w:color="auto"/>
              <w:left w:val="single" w:sz="18" w:space="0" w:color="auto"/>
              <w:bottom w:val="single" w:sz="6" w:space="0" w:color="auto"/>
              <w:right w:val="single" w:sz="4" w:space="0" w:color="auto"/>
            </w:tcBorders>
            <w:shd w:val="clear" w:color="auto" w:fill="8DB3E2" w:themeFill="text2" w:themeFillTint="66"/>
            <w:vAlign w:val="center"/>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6" w:space="0" w:color="auto"/>
              <w:left w:val="single" w:sz="4" w:space="0" w:color="auto"/>
              <w:bottom w:val="single" w:sz="6" w:space="0" w:color="auto"/>
              <w:right w:val="single" w:sz="18" w:space="0" w:color="auto"/>
            </w:tcBorders>
            <w:shd w:val="clear" w:color="auto" w:fill="FFFFFF" w:themeFill="background1"/>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Tubes sans soudure pour service sous pression ‐ Conditions techniques de livraison ‐ Partie 5 : Tubes en aciers inoxydables ;  </w:t>
            </w:r>
          </w:p>
        </w:tc>
      </w:tr>
      <w:tr w:rsidR="00E33F03" w:rsidRPr="0043547B" w:rsidTr="00CB5DC0">
        <w:trPr>
          <w:trHeight w:val="315"/>
          <w:jc w:val="center"/>
        </w:trPr>
        <w:tc>
          <w:tcPr>
            <w:tcW w:w="1838" w:type="dxa"/>
            <w:tcBorders>
              <w:top w:val="single" w:sz="6" w:space="0" w:color="auto"/>
              <w:left w:val="single" w:sz="18" w:space="0" w:color="auto"/>
              <w:bottom w:val="single" w:sz="18" w:space="0" w:color="auto"/>
              <w:right w:val="single" w:sz="4" w:space="0" w:color="auto"/>
            </w:tcBorders>
            <w:shd w:val="clear" w:color="auto" w:fill="BFBFBF" w:themeFill="background1" w:themeFillShade="BF"/>
            <w:vAlign w:val="center"/>
          </w:tcPr>
          <w:p w:rsidR="00E33F03" w:rsidRPr="0043547B" w:rsidRDefault="00E33F03" w:rsidP="00E33F03">
            <w:pPr>
              <w:jc w:val="center"/>
              <w:rPr>
                <w:rFonts w:cstheme="minorHAnsi"/>
                <w:b/>
                <w:bCs/>
                <w:sz w:val="24"/>
                <w:szCs w:val="24"/>
              </w:rPr>
            </w:pPr>
            <w:r w:rsidRPr="0043547B">
              <w:rPr>
                <w:rFonts w:cstheme="minorHAnsi"/>
                <w:b/>
                <w:bCs/>
                <w:sz w:val="24"/>
                <w:szCs w:val="24"/>
              </w:rPr>
              <w:t>Domaine d’application :</w:t>
            </w:r>
          </w:p>
        </w:tc>
        <w:tc>
          <w:tcPr>
            <w:tcW w:w="7938" w:type="dxa"/>
            <w:tcBorders>
              <w:top w:val="single" w:sz="6" w:space="0" w:color="auto"/>
              <w:left w:val="single" w:sz="4" w:space="0" w:color="auto"/>
              <w:bottom w:val="single" w:sz="18" w:space="0" w:color="auto"/>
              <w:right w:val="single" w:sz="18" w:space="0" w:color="auto"/>
            </w:tcBorders>
            <w:shd w:val="clear" w:color="auto" w:fill="FFFFFF" w:themeFill="background1"/>
          </w:tcPr>
          <w:p w:rsidR="00E33F03"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 Norme marocaine spécifie les conditions techniques de livraison, pour deux catégories d’essai, pour les tubes sans soudure à section circulaire en acier inoxydable austénitique (y compris acier résistant au fluage) et austéno-ferritique, qui sont destinés à être utilisés en service sous pression et pour des applications avec résistance à la corrosion, à température ambiante, à basse température ou à température élevée.</w:t>
            </w:r>
          </w:p>
          <w:p w:rsidR="00E33F03" w:rsidRPr="0043547B" w:rsidRDefault="00E33F03" w:rsidP="00E33F03">
            <w:pPr>
              <w:spacing w:after="0" w:line="240" w:lineRule="auto"/>
              <w:jc w:val="both"/>
              <w:rPr>
                <w:rFonts w:eastAsia="Times New Roman" w:cstheme="minorHAnsi"/>
                <w:sz w:val="24"/>
                <w:szCs w:val="24"/>
                <w:lang w:eastAsia="fr-FR"/>
              </w:rPr>
            </w:pPr>
            <w:r w:rsidRPr="00AA11CE">
              <w:rPr>
                <w:rFonts w:eastAsia="Times New Roman" w:cstheme="minorHAnsi"/>
                <w:b/>
                <w:bCs/>
                <w:i/>
                <w:iCs/>
                <w:lang w:eastAsia="fr-FR"/>
              </w:rPr>
              <w:t>NOTE :</w:t>
            </w:r>
            <w:r w:rsidRPr="00AA11CE">
              <w:rPr>
                <w:rFonts w:eastAsia="Times New Roman" w:cstheme="minorHAnsi"/>
                <w:i/>
                <w:iCs/>
                <w:lang w:eastAsia="fr-FR"/>
              </w:rPr>
              <w:t xml:space="preserve"> Dès lors que la présente Norme marocaine est publiée dans le Journal Officiel de l’Union marocaine (JOUE) en lien avec la Directive 97/23/CE, la présomption de conformité avec les exigences essentielles de sécurité de la Directive 97/23/CE se limite aux données techniques des matériaux spécifiées dans la présente Norme marocaine et ne suppose pas l’adéquation des matériaux avec un appareil en particulier. Par </w:t>
            </w:r>
            <w:r w:rsidRPr="00AA11CE">
              <w:rPr>
                <w:rFonts w:eastAsia="Times New Roman" w:cstheme="minorHAnsi"/>
                <w:i/>
                <w:iCs/>
                <w:lang w:eastAsia="fr-FR"/>
              </w:rPr>
              <w:lastRenderedPageBreak/>
              <w:t>conséquent, il doit être procédé à l’évaluation des données techniques spécifiées dans la présente norme de matériaux par rapport aux exigences concernant la conception de cet équipement spécifique, afin de vérifier que les exigences essentielles de sécurité de la Directive 97/23/CE soient satisfaites</w:t>
            </w:r>
            <w:r w:rsidRPr="00AA11CE">
              <w:rPr>
                <w:rFonts w:eastAsia="Times New Roman" w:cstheme="minorHAnsi"/>
                <w:lang w:eastAsia="fr-FR"/>
              </w:rPr>
              <w:t xml:space="preserve"> </w:t>
            </w:r>
          </w:p>
        </w:tc>
      </w:tr>
      <w:tr w:rsidR="00E33F03"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NM EN 10217‐1</w:t>
            </w:r>
          </w:p>
        </w:tc>
      </w:tr>
      <w:tr w:rsidR="00E33F03"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EN 10217‐1</w:t>
            </w:r>
          </w:p>
        </w:tc>
      </w:tr>
      <w:tr w:rsidR="00E33F03" w:rsidRPr="0043547B" w:rsidTr="00CB5DC0">
        <w:trPr>
          <w:trHeight w:val="49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Tubes soudés en acier pour service sous pression ‐ Conditions techniques de livraison ‐ Partie 1 : Tubes en acier non allié avec caractéristiques spécifiées à température ambiante ;   </w:t>
            </w:r>
          </w:p>
        </w:tc>
      </w:tr>
      <w:tr w:rsidR="00E33F03" w:rsidRPr="0043547B" w:rsidTr="00CB5DC0">
        <w:trPr>
          <w:trHeight w:val="559"/>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partie de l’EN 10217 spécifie les conditions techniques de livraison pour deux qualités, TR1 et TR2, de tubes soudés à section circulaire, fabriqués en acier non allié de qualité, avec caractéristiques spécifiées à température ambiante.</w:t>
            </w:r>
          </w:p>
        </w:tc>
      </w:tr>
      <w:tr w:rsidR="00E33F03"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NM EN 10217‐2</w:t>
            </w:r>
          </w:p>
        </w:tc>
      </w:tr>
      <w:tr w:rsidR="00E33F03"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EN 10217‐2</w:t>
            </w:r>
          </w:p>
        </w:tc>
      </w:tr>
      <w:tr w:rsidR="00E33F03" w:rsidRPr="0043547B" w:rsidTr="00CB5DC0">
        <w:trPr>
          <w:trHeight w:val="49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Tubes en acier soudés pour service sous pression - Conditions techniques de livraison - Partie 2 : Tubes soudés par résistance électrique et par induction en aciers non alliés et alliés avec caractéristiques spécifiées à température élevée </w:t>
            </w:r>
          </w:p>
        </w:tc>
      </w:tr>
      <w:tr w:rsidR="00E33F03" w:rsidRPr="0043547B" w:rsidTr="00CB5DC0">
        <w:trPr>
          <w:trHeight w:val="768"/>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partie de l’EN 10217 spécifie les conditions techniques de livraison de deux catégories d’essai de tubes soudés électriquement à section circulaire, avec caractéristiques spécifiées à température élevée, fabriqués en acier non allié et allié.</w:t>
            </w:r>
          </w:p>
        </w:tc>
      </w:tr>
      <w:tr w:rsidR="00E33F03"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NM EN 10217‐3</w:t>
            </w:r>
          </w:p>
        </w:tc>
      </w:tr>
      <w:tr w:rsidR="00E33F03"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DFBA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DFBA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EN 10217‐3</w:t>
            </w:r>
          </w:p>
        </w:tc>
      </w:tr>
      <w:tr w:rsidR="00E33F03" w:rsidRPr="0043547B" w:rsidTr="00CB5DC0">
        <w:trPr>
          <w:trHeight w:val="49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Tubes en acier soudés pour service sous pression - Conditions techniques de livraison - Partie 3 : Tubes soudés par résistance électrique et par induction en aciers non alliés et alliés avec caractéristiques spécifiées à basse température </w:t>
            </w:r>
          </w:p>
        </w:tc>
      </w:tr>
      <w:tr w:rsidR="00E33F03" w:rsidRPr="0043547B" w:rsidTr="00CB5DC0">
        <w:trPr>
          <w:trHeight w:val="842"/>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partie de l’EN 10217 spécifie les conditions techniques de livraison, pour deux catégories d’essai, des tubes soudés à section circulaire, fabriqués en acier allié à grain fin.</w:t>
            </w:r>
          </w:p>
        </w:tc>
      </w:tr>
      <w:tr w:rsidR="00E33F03"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NM EN 10217‐4</w:t>
            </w:r>
          </w:p>
        </w:tc>
      </w:tr>
      <w:tr w:rsidR="00E33F03" w:rsidRPr="0043547B" w:rsidTr="00CB5DC0">
        <w:trPr>
          <w:trHeight w:val="315"/>
          <w:jc w:val="center"/>
        </w:trPr>
        <w:tc>
          <w:tcPr>
            <w:tcW w:w="1838" w:type="dxa"/>
            <w:tcBorders>
              <w:top w:val="single" w:sz="18" w:space="0" w:color="auto"/>
              <w:left w:val="single" w:sz="18" w:space="0" w:color="auto"/>
              <w:bottom w:val="single" w:sz="6" w:space="0" w:color="auto"/>
              <w:right w:val="single" w:sz="4" w:space="0" w:color="auto"/>
            </w:tcBorders>
            <w:shd w:val="clear" w:color="auto" w:fill="FFFF99"/>
            <w:vAlign w:val="center"/>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6" w:space="0" w:color="auto"/>
              <w:right w:val="single" w:sz="18" w:space="0" w:color="auto"/>
            </w:tcBorders>
            <w:shd w:val="clear" w:color="auto" w:fill="FFFF99"/>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EN 10217‐4</w:t>
            </w:r>
          </w:p>
        </w:tc>
      </w:tr>
      <w:tr w:rsidR="00E33F03" w:rsidRPr="0043547B" w:rsidTr="00CB5DC0">
        <w:trPr>
          <w:trHeight w:val="315"/>
          <w:jc w:val="center"/>
        </w:trPr>
        <w:tc>
          <w:tcPr>
            <w:tcW w:w="1838" w:type="dxa"/>
            <w:tcBorders>
              <w:top w:val="single" w:sz="6" w:space="0" w:color="auto"/>
              <w:left w:val="single" w:sz="18" w:space="0" w:color="auto"/>
              <w:bottom w:val="single" w:sz="6" w:space="0" w:color="auto"/>
              <w:right w:val="single" w:sz="4" w:space="0" w:color="auto"/>
            </w:tcBorders>
            <w:shd w:val="clear" w:color="auto" w:fill="8DB3E2" w:themeFill="text2" w:themeFillTint="66"/>
            <w:vAlign w:val="center"/>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6" w:space="0" w:color="auto"/>
              <w:left w:val="single" w:sz="4" w:space="0" w:color="auto"/>
              <w:bottom w:val="single" w:sz="6" w:space="0" w:color="auto"/>
              <w:right w:val="single" w:sz="18" w:space="0" w:color="auto"/>
            </w:tcBorders>
            <w:shd w:val="clear" w:color="auto" w:fill="FFFFFF" w:themeFill="background1"/>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Tubes soudés en acier pour service sous pression ‐ Conditions techniques de livraison ‐ Partie 4 : Tubes soudés électriquement en acier non allié avec caractéristiques spécifiées à basse température ;  </w:t>
            </w:r>
          </w:p>
        </w:tc>
      </w:tr>
      <w:tr w:rsidR="00E33F03" w:rsidRPr="0043547B" w:rsidTr="00CB5DC0">
        <w:trPr>
          <w:trHeight w:val="1012"/>
          <w:jc w:val="center"/>
        </w:trPr>
        <w:tc>
          <w:tcPr>
            <w:tcW w:w="1838" w:type="dxa"/>
            <w:tcBorders>
              <w:top w:val="single" w:sz="6" w:space="0" w:color="auto"/>
              <w:left w:val="single" w:sz="18" w:space="0" w:color="auto"/>
              <w:bottom w:val="single" w:sz="18" w:space="0" w:color="auto"/>
              <w:right w:val="single" w:sz="4" w:space="0" w:color="auto"/>
            </w:tcBorders>
            <w:shd w:val="clear" w:color="auto" w:fill="D9D9D9" w:themeFill="background1" w:themeFillShade="D9"/>
            <w:vAlign w:val="center"/>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single" w:sz="6" w:space="0" w:color="auto"/>
              <w:left w:val="single" w:sz="4" w:space="0" w:color="auto"/>
              <w:bottom w:val="single" w:sz="18" w:space="0" w:color="auto"/>
              <w:right w:val="single" w:sz="18" w:space="0" w:color="auto"/>
            </w:tcBorders>
            <w:shd w:val="clear" w:color="auto" w:fill="FFFFFF" w:themeFill="background1"/>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partie de l’EN 10217 spécifie les conditions techniques de livraison, pour deux catégories d’essai, des tubes soudés électriquement à section circulaire, avec caractéristiques spécifiées à basse température, fabriqués en acier non allié.</w:t>
            </w:r>
          </w:p>
        </w:tc>
      </w:tr>
      <w:tr w:rsidR="00E33F03"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NM EN 10217‐5</w:t>
            </w:r>
          </w:p>
        </w:tc>
      </w:tr>
      <w:tr w:rsidR="00E33F03" w:rsidRPr="0043547B" w:rsidTr="00CB5DC0">
        <w:trPr>
          <w:trHeight w:val="315"/>
          <w:jc w:val="center"/>
        </w:trPr>
        <w:tc>
          <w:tcPr>
            <w:tcW w:w="1838" w:type="dxa"/>
            <w:tcBorders>
              <w:top w:val="single" w:sz="18" w:space="0" w:color="auto"/>
              <w:left w:val="single" w:sz="18" w:space="0" w:color="auto"/>
              <w:bottom w:val="single" w:sz="6" w:space="0" w:color="auto"/>
              <w:right w:val="single" w:sz="4" w:space="0" w:color="auto"/>
            </w:tcBorders>
            <w:shd w:val="clear" w:color="auto" w:fill="FFFF99"/>
            <w:vAlign w:val="center"/>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6" w:space="0" w:color="auto"/>
              <w:right w:val="single" w:sz="18" w:space="0" w:color="auto"/>
            </w:tcBorders>
            <w:shd w:val="clear" w:color="auto" w:fill="FFFF99"/>
            <w:vAlign w:val="bottom"/>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EN 10217‐5</w:t>
            </w:r>
          </w:p>
        </w:tc>
      </w:tr>
      <w:tr w:rsidR="00E33F03" w:rsidRPr="0043547B" w:rsidTr="00CB5DC0">
        <w:trPr>
          <w:trHeight w:val="315"/>
          <w:jc w:val="center"/>
        </w:trPr>
        <w:tc>
          <w:tcPr>
            <w:tcW w:w="1838" w:type="dxa"/>
            <w:tcBorders>
              <w:top w:val="single" w:sz="6" w:space="0" w:color="auto"/>
              <w:left w:val="single" w:sz="18" w:space="0" w:color="auto"/>
              <w:bottom w:val="single" w:sz="6" w:space="0" w:color="auto"/>
              <w:right w:val="single" w:sz="4" w:space="0" w:color="auto"/>
            </w:tcBorders>
            <w:shd w:val="clear" w:color="auto" w:fill="8DB3E2" w:themeFill="text2" w:themeFillTint="66"/>
            <w:vAlign w:val="center"/>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6" w:space="0" w:color="auto"/>
              <w:left w:val="single" w:sz="4" w:space="0" w:color="auto"/>
              <w:bottom w:val="single" w:sz="6" w:space="0" w:color="auto"/>
              <w:right w:val="single" w:sz="18" w:space="0" w:color="auto"/>
            </w:tcBorders>
            <w:shd w:val="clear" w:color="auto" w:fill="FFFFFF" w:themeFill="background1"/>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Tubes soudés en acier pour service sous pression ‐ Conditions techniques de livraison ‐ Partie 5 : Tubes soudés à l'arc immergé sous flux en poudre en acier non allié et allié avec caractéristiques spécifiées à haute température ;  </w:t>
            </w:r>
          </w:p>
        </w:tc>
      </w:tr>
      <w:tr w:rsidR="00E33F03" w:rsidRPr="0043547B" w:rsidTr="00CB5DC0">
        <w:trPr>
          <w:trHeight w:val="315"/>
          <w:jc w:val="center"/>
        </w:trPr>
        <w:tc>
          <w:tcPr>
            <w:tcW w:w="1838" w:type="dxa"/>
            <w:tcBorders>
              <w:top w:val="single" w:sz="6" w:space="0" w:color="auto"/>
              <w:left w:val="single" w:sz="18" w:space="0" w:color="auto"/>
              <w:bottom w:val="single" w:sz="18" w:space="0" w:color="auto"/>
              <w:right w:val="single" w:sz="4" w:space="0" w:color="auto"/>
            </w:tcBorders>
            <w:shd w:val="clear" w:color="auto" w:fill="D9D9D9" w:themeFill="background1" w:themeFillShade="D9"/>
            <w:vAlign w:val="center"/>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single" w:sz="6" w:space="0" w:color="auto"/>
              <w:left w:val="single" w:sz="4" w:space="0" w:color="auto"/>
              <w:bottom w:val="single" w:sz="18" w:space="0" w:color="auto"/>
              <w:right w:val="single" w:sz="18" w:space="0" w:color="auto"/>
            </w:tcBorders>
            <w:shd w:val="clear" w:color="auto" w:fill="FFFFFF" w:themeFill="background1"/>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La présente partie de l’EN 10217 spécifie les conditions techniques de livraison, pour deux catégories d’essai, des tubes soudés à l'arc immergé sous flux de </w:t>
            </w:r>
            <w:r w:rsidRPr="0043547B">
              <w:rPr>
                <w:rFonts w:eastAsia="Times New Roman" w:cstheme="minorHAnsi"/>
                <w:sz w:val="24"/>
                <w:szCs w:val="24"/>
                <w:lang w:eastAsia="fr-FR"/>
              </w:rPr>
              <w:lastRenderedPageBreak/>
              <w:t>poudre à section circulaire en acier non allié et allié, avec caractéristiques spécifiées à température élevée.</w:t>
            </w:r>
          </w:p>
        </w:tc>
      </w:tr>
      <w:tr w:rsidR="00E33F03"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NM EN 10217‐6</w:t>
            </w:r>
          </w:p>
        </w:tc>
      </w:tr>
      <w:tr w:rsidR="00E33F03" w:rsidRPr="0043547B" w:rsidTr="00CB5DC0">
        <w:trPr>
          <w:trHeight w:val="315"/>
          <w:jc w:val="center"/>
        </w:trPr>
        <w:tc>
          <w:tcPr>
            <w:tcW w:w="1838" w:type="dxa"/>
            <w:tcBorders>
              <w:top w:val="single" w:sz="18" w:space="0" w:color="auto"/>
              <w:left w:val="single" w:sz="18" w:space="0" w:color="auto"/>
              <w:bottom w:val="single" w:sz="6" w:space="0" w:color="auto"/>
              <w:right w:val="single" w:sz="4" w:space="0" w:color="auto"/>
            </w:tcBorders>
            <w:shd w:val="clear" w:color="auto" w:fill="FFFF99"/>
            <w:vAlign w:val="center"/>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6" w:space="0" w:color="auto"/>
              <w:right w:val="single" w:sz="18" w:space="0" w:color="auto"/>
            </w:tcBorders>
            <w:shd w:val="clear" w:color="auto" w:fill="FFFF99"/>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EN 10217‐6</w:t>
            </w:r>
          </w:p>
        </w:tc>
      </w:tr>
      <w:tr w:rsidR="00E33F03" w:rsidRPr="0043547B" w:rsidTr="00CB5DC0">
        <w:trPr>
          <w:trHeight w:val="315"/>
          <w:jc w:val="center"/>
        </w:trPr>
        <w:tc>
          <w:tcPr>
            <w:tcW w:w="1838" w:type="dxa"/>
            <w:tcBorders>
              <w:top w:val="single" w:sz="6" w:space="0" w:color="auto"/>
              <w:left w:val="single" w:sz="18" w:space="0" w:color="auto"/>
              <w:bottom w:val="single" w:sz="6" w:space="0" w:color="auto"/>
              <w:right w:val="single" w:sz="4" w:space="0" w:color="auto"/>
            </w:tcBorders>
            <w:shd w:val="clear" w:color="auto" w:fill="8DB3E2" w:themeFill="text2" w:themeFillTint="66"/>
            <w:vAlign w:val="center"/>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6" w:space="0" w:color="auto"/>
              <w:left w:val="single" w:sz="4" w:space="0" w:color="auto"/>
              <w:bottom w:val="single" w:sz="6" w:space="0" w:color="auto"/>
              <w:right w:val="single" w:sz="18" w:space="0" w:color="auto"/>
            </w:tcBorders>
            <w:shd w:val="clear" w:color="auto" w:fill="FFFFFF" w:themeFill="background1"/>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Tubes soudés en acier pour service sous pression ‐ Conditions techniques de livraison ‐ Partie 6 : Tubes soudés à l'arc immergé sous flux en poudre en acier non allié avec caractéristiques spécifiées à basse température ;  </w:t>
            </w:r>
          </w:p>
        </w:tc>
      </w:tr>
      <w:tr w:rsidR="00E33F03" w:rsidRPr="0043547B" w:rsidTr="00CB5DC0">
        <w:trPr>
          <w:trHeight w:val="315"/>
          <w:jc w:val="center"/>
        </w:trPr>
        <w:tc>
          <w:tcPr>
            <w:tcW w:w="1838" w:type="dxa"/>
            <w:tcBorders>
              <w:top w:val="single" w:sz="6" w:space="0" w:color="auto"/>
              <w:left w:val="single" w:sz="18" w:space="0" w:color="auto"/>
              <w:bottom w:val="single" w:sz="18" w:space="0" w:color="auto"/>
              <w:right w:val="single" w:sz="4" w:space="0" w:color="auto"/>
            </w:tcBorders>
            <w:shd w:val="clear" w:color="auto" w:fill="D9D9D9" w:themeFill="background1" w:themeFillShade="D9"/>
            <w:vAlign w:val="center"/>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single" w:sz="6" w:space="0" w:color="auto"/>
              <w:left w:val="single" w:sz="4" w:space="0" w:color="auto"/>
              <w:bottom w:val="single" w:sz="18" w:space="0" w:color="auto"/>
              <w:right w:val="single" w:sz="18" w:space="0" w:color="auto"/>
            </w:tcBorders>
            <w:shd w:val="clear" w:color="auto" w:fill="FFFFFF" w:themeFill="background1"/>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partie de l’EN 10217 spécifie les conditions techniques de livraison, pour deux catégories d’essai, des tubes soudés à l'arc immergé sous flux de poudre à section circulaire en acier non allié, avec caractéristiques spécifiées à basse température.</w:t>
            </w:r>
          </w:p>
        </w:tc>
      </w:tr>
      <w:tr w:rsidR="00E33F03"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NM EN 10217‐7</w:t>
            </w:r>
          </w:p>
        </w:tc>
      </w:tr>
      <w:tr w:rsidR="00E33F03"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EN 10217‐7</w:t>
            </w:r>
          </w:p>
        </w:tc>
      </w:tr>
      <w:tr w:rsidR="00E33F03" w:rsidRPr="0043547B" w:rsidTr="00CB5DC0">
        <w:trPr>
          <w:trHeight w:val="49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Tubes soudés en acier pour service sous pression ‐ Conditions techniques de livraison ‐ Partie 7 : Tubes en aciers inoxydables ; </w:t>
            </w:r>
          </w:p>
        </w:tc>
      </w:tr>
      <w:tr w:rsidR="00E33F03" w:rsidRPr="0043547B" w:rsidTr="00CB5DC0">
        <w:trPr>
          <w:trHeight w:val="3441"/>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partie de l'EN 10217 spécifie les conditions techniques de livraison, pour deux catégories d'essai, des tubes soudés à section circulaire fabriqués en acier austénitique et en acier inoxydable austéno-ferritique utilisés dans les applications nécessitant une résistance à la pression et à la corrosion à température ambiante, à basse température ou à température élevée.</w:t>
            </w:r>
          </w:p>
          <w:p w:rsidR="00E33F03" w:rsidRPr="0043547B" w:rsidRDefault="00E33F03" w:rsidP="00E33F03">
            <w:pPr>
              <w:spacing w:after="0" w:line="240" w:lineRule="auto"/>
              <w:jc w:val="both"/>
              <w:rPr>
                <w:rFonts w:eastAsia="Times New Roman" w:cstheme="minorHAnsi"/>
                <w:i/>
                <w:iCs/>
                <w:sz w:val="24"/>
                <w:szCs w:val="24"/>
                <w:lang w:eastAsia="fr-FR"/>
              </w:rPr>
            </w:pPr>
            <w:r w:rsidRPr="00AA11CE">
              <w:rPr>
                <w:rFonts w:eastAsia="Times New Roman" w:cstheme="minorHAnsi"/>
                <w:b/>
                <w:bCs/>
                <w:i/>
                <w:iCs/>
                <w:lang w:eastAsia="fr-FR"/>
              </w:rPr>
              <w:t>NOTE</w:t>
            </w:r>
            <w:r w:rsidRPr="00AA11CE">
              <w:rPr>
                <w:rFonts w:eastAsia="Times New Roman" w:cstheme="minorHAnsi"/>
                <w:i/>
                <w:iCs/>
                <w:lang w:eastAsia="fr-FR"/>
              </w:rPr>
              <w:t> : Dès lors que la présente Norme marocaine est publiée dans le Journal Officiel de l'Union marocaine (JOUE) en lien avec la Directive 97/23/CE, la présomption de conformité avec les exigences essentielles de sécurité de la Directive 97/23/CE se limite aux données techniques des matériaux spécifiées dans la présente Norme marocaine et ne suppose pas l'adéquation des matériaux avec un appareil en particulier. Par conséquent, il doit être procédé à l'évaluation des données techniques spécifiées dans la présente norme de matériaux par rapport aux exigences concernant la conception de cet équipement spécifique, afin de vérifier que les exigences essentielles de sécurité de la Directive 97/23/CE soient satisfaites.</w:t>
            </w:r>
          </w:p>
        </w:tc>
      </w:tr>
      <w:tr w:rsidR="00E33F03"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NM EN 10305‐4</w:t>
            </w:r>
          </w:p>
        </w:tc>
      </w:tr>
      <w:tr w:rsidR="00E33F03" w:rsidRPr="0043547B" w:rsidTr="00CB5DC0">
        <w:trPr>
          <w:trHeight w:val="315"/>
          <w:jc w:val="center"/>
        </w:trPr>
        <w:tc>
          <w:tcPr>
            <w:tcW w:w="1838" w:type="dxa"/>
            <w:tcBorders>
              <w:top w:val="single" w:sz="18" w:space="0" w:color="auto"/>
              <w:left w:val="single" w:sz="18" w:space="0" w:color="auto"/>
              <w:bottom w:val="single" w:sz="6" w:space="0" w:color="auto"/>
              <w:right w:val="single" w:sz="4" w:space="0" w:color="auto"/>
            </w:tcBorders>
            <w:shd w:val="clear" w:color="auto" w:fill="FFFF99"/>
            <w:vAlign w:val="center"/>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6" w:space="0" w:color="auto"/>
              <w:right w:val="single" w:sz="18" w:space="0" w:color="auto"/>
            </w:tcBorders>
            <w:shd w:val="clear" w:color="auto" w:fill="FFFF99"/>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 xml:space="preserve"> EN 10305‐4</w:t>
            </w:r>
          </w:p>
        </w:tc>
      </w:tr>
      <w:tr w:rsidR="00E33F03" w:rsidRPr="0043547B" w:rsidTr="00CB5DC0">
        <w:trPr>
          <w:trHeight w:val="315"/>
          <w:jc w:val="center"/>
        </w:trPr>
        <w:tc>
          <w:tcPr>
            <w:tcW w:w="1838" w:type="dxa"/>
            <w:tcBorders>
              <w:top w:val="single" w:sz="6" w:space="0" w:color="auto"/>
              <w:left w:val="single" w:sz="18" w:space="0" w:color="auto"/>
              <w:bottom w:val="single" w:sz="6" w:space="0" w:color="auto"/>
              <w:right w:val="single" w:sz="4" w:space="0" w:color="auto"/>
            </w:tcBorders>
            <w:shd w:val="clear" w:color="auto" w:fill="8DB3E2" w:themeFill="text2" w:themeFillTint="66"/>
            <w:vAlign w:val="center"/>
          </w:tcPr>
          <w:p w:rsidR="00E33F03" w:rsidRPr="0043547B" w:rsidRDefault="00E33F03" w:rsidP="00E33F03">
            <w:pPr>
              <w:jc w:val="center"/>
              <w:rPr>
                <w:rFonts w:cstheme="minorHAnsi"/>
                <w:b/>
                <w:bCs/>
                <w:sz w:val="24"/>
                <w:szCs w:val="24"/>
              </w:rPr>
            </w:pPr>
            <w:r w:rsidRPr="0043547B">
              <w:rPr>
                <w:rFonts w:cstheme="minorHAnsi"/>
                <w:b/>
                <w:bCs/>
                <w:sz w:val="24"/>
                <w:szCs w:val="24"/>
              </w:rPr>
              <w:t>Intitulé :</w:t>
            </w:r>
          </w:p>
        </w:tc>
        <w:tc>
          <w:tcPr>
            <w:tcW w:w="7938" w:type="dxa"/>
            <w:tcBorders>
              <w:top w:val="single" w:sz="6" w:space="0" w:color="auto"/>
              <w:left w:val="single" w:sz="4" w:space="0" w:color="auto"/>
              <w:bottom w:val="single" w:sz="6" w:space="0" w:color="auto"/>
              <w:right w:val="single" w:sz="18" w:space="0" w:color="auto"/>
            </w:tcBorders>
            <w:shd w:val="clear" w:color="auto" w:fill="FFFFFF" w:themeFill="background1"/>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Tubes de précision en acier ‐ Conditions techniques de livraison ‐ Partie 4 : Tubes sans soudure étirés à froid pour circuits hydrauliques et pneumatiques ;  </w:t>
            </w:r>
          </w:p>
        </w:tc>
      </w:tr>
      <w:tr w:rsidR="00E33F03" w:rsidRPr="0043547B" w:rsidTr="00CB5DC0">
        <w:trPr>
          <w:trHeight w:val="315"/>
          <w:jc w:val="center"/>
        </w:trPr>
        <w:tc>
          <w:tcPr>
            <w:tcW w:w="1838" w:type="dxa"/>
            <w:tcBorders>
              <w:top w:val="single" w:sz="6" w:space="0" w:color="auto"/>
              <w:left w:val="single" w:sz="18" w:space="0" w:color="auto"/>
              <w:bottom w:val="single" w:sz="18" w:space="0" w:color="auto"/>
              <w:right w:val="single" w:sz="4" w:space="0" w:color="auto"/>
            </w:tcBorders>
            <w:shd w:val="clear" w:color="auto" w:fill="D9D9D9" w:themeFill="background1" w:themeFillShade="D9"/>
            <w:vAlign w:val="center"/>
          </w:tcPr>
          <w:p w:rsidR="00E33F03" w:rsidRPr="0043547B" w:rsidRDefault="00E33F03" w:rsidP="00E33F03">
            <w:pPr>
              <w:jc w:val="center"/>
              <w:rPr>
                <w:rFonts w:cstheme="minorHAnsi"/>
                <w:b/>
                <w:bCs/>
                <w:sz w:val="24"/>
                <w:szCs w:val="24"/>
              </w:rPr>
            </w:pPr>
            <w:r w:rsidRPr="0043547B">
              <w:rPr>
                <w:rFonts w:cstheme="minorHAnsi"/>
                <w:b/>
                <w:bCs/>
                <w:sz w:val="24"/>
                <w:szCs w:val="24"/>
              </w:rPr>
              <w:t>Domaine d’application :</w:t>
            </w:r>
          </w:p>
        </w:tc>
        <w:tc>
          <w:tcPr>
            <w:tcW w:w="7938" w:type="dxa"/>
            <w:tcBorders>
              <w:top w:val="single" w:sz="6" w:space="0" w:color="auto"/>
              <w:left w:val="single" w:sz="4" w:space="0" w:color="auto"/>
              <w:bottom w:val="single" w:sz="18" w:space="0" w:color="auto"/>
              <w:right w:val="single" w:sz="18" w:space="0" w:color="auto"/>
            </w:tcBorders>
            <w:shd w:val="clear" w:color="auto" w:fill="FFFFFF" w:themeFill="background1"/>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partie de l 'EN 10305 spécifie les conditions techniques de livraison pour les tubes sans soudure en acier, étirés à froid, de section circulaire, utilisés dans les circuits hydrauliques et pneumatiques et de diamètre extérieur spécifié inférieur ou égal à 80 mm.</w:t>
            </w:r>
            <w:r>
              <w:rPr>
                <w:rFonts w:eastAsia="Times New Roman" w:cstheme="minorHAnsi"/>
                <w:sz w:val="24"/>
                <w:szCs w:val="24"/>
                <w:lang w:eastAsia="fr-FR"/>
              </w:rPr>
              <w:t xml:space="preserve"> </w:t>
            </w:r>
            <w:r w:rsidRPr="0043547B">
              <w:rPr>
                <w:rFonts w:eastAsia="Times New Roman" w:cstheme="minorHAnsi"/>
                <w:sz w:val="24"/>
                <w:szCs w:val="24"/>
                <w:lang w:eastAsia="fr-FR"/>
              </w:rPr>
              <w:t>Les tubes conformes à la présente partie de l'EN 10305 se caractérisent par des tolérances dimensionnelles précises et par une rugosité maximale spécifiée.</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taux de pression et les températures autorisés relèvent de la responsabilité du client conformément aux règles de l'art et en application des coefficients de sécurité spécifiés dans les réglementations, codes ou normes applicables. En ce qui concerne l’application dans les plages de températures basses, les exigences d’énergie de rupture en flexion par choc sont données à 0 °C.</w:t>
            </w:r>
          </w:p>
          <w:p w:rsidR="00E33F03" w:rsidRPr="0043547B" w:rsidRDefault="00E33F03" w:rsidP="00E33F03">
            <w:pPr>
              <w:spacing w:after="0" w:line="240" w:lineRule="auto"/>
              <w:jc w:val="both"/>
              <w:rPr>
                <w:rFonts w:eastAsia="Times New Roman" w:cstheme="minorHAnsi"/>
                <w:i/>
                <w:iCs/>
                <w:sz w:val="24"/>
                <w:szCs w:val="24"/>
                <w:lang w:eastAsia="fr-FR"/>
              </w:rPr>
            </w:pPr>
            <w:r w:rsidRPr="00AA11CE">
              <w:rPr>
                <w:rFonts w:eastAsia="Times New Roman" w:cstheme="minorHAnsi"/>
                <w:b/>
                <w:bCs/>
                <w:i/>
                <w:iCs/>
                <w:lang w:eastAsia="fr-FR"/>
              </w:rPr>
              <w:t>NOTE</w:t>
            </w:r>
            <w:r w:rsidRPr="00AA11CE">
              <w:rPr>
                <w:rFonts w:eastAsia="Times New Roman" w:cstheme="minorHAnsi"/>
                <w:i/>
                <w:iCs/>
                <w:lang w:eastAsia="fr-FR"/>
              </w:rPr>
              <w:t xml:space="preserve"> : Lorsque cette norme sera publiée dans le Journal Officiel de l’Union Marocaine (JOUE) sous la Directive 97/23/CE, la présomption de conformité aux exigences essentielles de sécurité (EES) est limitée aux données techniques concernant les matériaux, et ne présume pas de l’adéquation du matériau avec un item particulier de l’équipement. En conséquence, la vérification des données techniques figurant dans la </w:t>
            </w:r>
            <w:r w:rsidRPr="00AA11CE">
              <w:rPr>
                <w:rFonts w:eastAsia="Times New Roman" w:cstheme="minorHAnsi"/>
                <w:i/>
                <w:iCs/>
                <w:lang w:eastAsia="fr-FR"/>
              </w:rPr>
              <w:lastRenderedPageBreak/>
              <w:t>norme au regard des exigences de conception applicables à cet item particulier de l’équipement, pour vérifier que les EES de la Directive Equipements sous Pression, doit être faite.</w:t>
            </w:r>
          </w:p>
        </w:tc>
      </w:tr>
      <w:tr w:rsidR="00E33F03"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NM EN 10305‐6</w:t>
            </w:r>
          </w:p>
        </w:tc>
      </w:tr>
      <w:tr w:rsidR="00E33F03" w:rsidRPr="0043547B" w:rsidTr="00CB5DC0">
        <w:trPr>
          <w:trHeight w:val="315"/>
          <w:jc w:val="center"/>
        </w:trPr>
        <w:tc>
          <w:tcPr>
            <w:tcW w:w="1838" w:type="dxa"/>
            <w:tcBorders>
              <w:top w:val="single" w:sz="18" w:space="0" w:color="auto"/>
              <w:left w:val="single" w:sz="18" w:space="0" w:color="auto"/>
              <w:bottom w:val="single" w:sz="6" w:space="0" w:color="auto"/>
              <w:right w:val="single" w:sz="4" w:space="0" w:color="auto"/>
            </w:tcBorders>
            <w:shd w:val="clear" w:color="auto" w:fill="FFFF99"/>
            <w:vAlign w:val="center"/>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6" w:space="0" w:color="auto"/>
              <w:right w:val="single" w:sz="18" w:space="0" w:color="auto"/>
            </w:tcBorders>
            <w:shd w:val="clear" w:color="auto" w:fill="FFFF99"/>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EN 10305‐6</w:t>
            </w:r>
          </w:p>
        </w:tc>
      </w:tr>
      <w:tr w:rsidR="00E33F03" w:rsidRPr="0043547B" w:rsidTr="00CB5DC0">
        <w:trPr>
          <w:trHeight w:val="315"/>
          <w:jc w:val="center"/>
        </w:trPr>
        <w:tc>
          <w:tcPr>
            <w:tcW w:w="1838" w:type="dxa"/>
            <w:tcBorders>
              <w:top w:val="single" w:sz="6" w:space="0" w:color="auto"/>
              <w:left w:val="single" w:sz="18" w:space="0" w:color="auto"/>
              <w:bottom w:val="single" w:sz="6" w:space="0" w:color="auto"/>
              <w:right w:val="single" w:sz="4" w:space="0" w:color="auto"/>
            </w:tcBorders>
            <w:shd w:val="clear" w:color="auto" w:fill="8DB3E2" w:themeFill="text2" w:themeFillTint="66"/>
            <w:vAlign w:val="center"/>
          </w:tcPr>
          <w:p w:rsidR="00E33F03" w:rsidRPr="0043547B" w:rsidRDefault="00E33F03" w:rsidP="00E33F03">
            <w:pPr>
              <w:jc w:val="center"/>
              <w:rPr>
                <w:rFonts w:cstheme="minorHAnsi"/>
                <w:b/>
                <w:bCs/>
                <w:sz w:val="24"/>
                <w:szCs w:val="24"/>
              </w:rPr>
            </w:pPr>
            <w:r w:rsidRPr="0043547B">
              <w:rPr>
                <w:rFonts w:cstheme="minorHAnsi"/>
                <w:b/>
                <w:bCs/>
                <w:sz w:val="24"/>
                <w:szCs w:val="24"/>
              </w:rPr>
              <w:t>Intitulé :</w:t>
            </w:r>
          </w:p>
        </w:tc>
        <w:tc>
          <w:tcPr>
            <w:tcW w:w="7938" w:type="dxa"/>
            <w:tcBorders>
              <w:top w:val="single" w:sz="6" w:space="0" w:color="auto"/>
              <w:left w:val="single" w:sz="4" w:space="0" w:color="auto"/>
              <w:bottom w:val="single" w:sz="6" w:space="0" w:color="auto"/>
              <w:right w:val="single" w:sz="18" w:space="0" w:color="auto"/>
            </w:tcBorders>
            <w:shd w:val="clear" w:color="auto" w:fill="FFFFFF" w:themeFill="background1"/>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Tubes de précision en acier ‐ Conditions techniques de livraison ‐ Partie 6 : Tubes soudés étirés à froid pour circuits hydrauliques et pneumatiques ; </w:t>
            </w:r>
          </w:p>
        </w:tc>
      </w:tr>
      <w:tr w:rsidR="00E33F03" w:rsidRPr="0043547B" w:rsidTr="00CB5DC0">
        <w:trPr>
          <w:trHeight w:val="315"/>
          <w:jc w:val="center"/>
        </w:trPr>
        <w:tc>
          <w:tcPr>
            <w:tcW w:w="1838" w:type="dxa"/>
            <w:tcBorders>
              <w:top w:val="single" w:sz="6" w:space="0" w:color="auto"/>
              <w:left w:val="single" w:sz="18" w:space="0" w:color="auto"/>
              <w:bottom w:val="single" w:sz="18" w:space="0" w:color="auto"/>
              <w:right w:val="single" w:sz="4" w:space="0" w:color="auto"/>
            </w:tcBorders>
            <w:shd w:val="clear" w:color="auto" w:fill="D9D9D9" w:themeFill="background1" w:themeFillShade="D9"/>
            <w:vAlign w:val="center"/>
          </w:tcPr>
          <w:p w:rsidR="00E33F03" w:rsidRPr="0043547B" w:rsidRDefault="00E33F03" w:rsidP="00E33F03">
            <w:pPr>
              <w:jc w:val="center"/>
              <w:rPr>
                <w:rFonts w:cstheme="minorHAnsi"/>
                <w:b/>
                <w:bCs/>
                <w:sz w:val="24"/>
                <w:szCs w:val="24"/>
              </w:rPr>
            </w:pPr>
            <w:r w:rsidRPr="0043547B">
              <w:rPr>
                <w:rFonts w:cstheme="minorHAnsi"/>
                <w:b/>
                <w:bCs/>
                <w:sz w:val="24"/>
                <w:szCs w:val="24"/>
              </w:rPr>
              <w:t>Domaine d’application :</w:t>
            </w:r>
          </w:p>
        </w:tc>
        <w:tc>
          <w:tcPr>
            <w:tcW w:w="7938" w:type="dxa"/>
            <w:tcBorders>
              <w:top w:val="single" w:sz="6" w:space="0" w:color="auto"/>
              <w:left w:val="single" w:sz="4" w:space="0" w:color="auto"/>
              <w:bottom w:val="single" w:sz="18" w:space="0" w:color="auto"/>
              <w:right w:val="single" w:sz="18" w:space="0" w:color="auto"/>
            </w:tcBorders>
            <w:shd w:val="clear" w:color="auto" w:fill="FFFFFF" w:themeFill="background1"/>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partie de l'EN 10305 spécifie les conditions techniques de livraison pour les tubes soudés en acier, étirés à froid, de section circulaire, utilisés dans les circuits hydrauliques et pneumatiques.</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tubes conformes à la présente partie de l'EN 10305 se caractérisent par des tolérances dimensionnelles définies précisément et par une rugosité spécifiée.</w:t>
            </w:r>
            <w:r w:rsidRPr="0043547B">
              <w:rPr>
                <w:rFonts w:eastAsia="Times New Roman" w:cstheme="minorHAnsi"/>
                <w:sz w:val="24"/>
                <w:szCs w:val="24"/>
                <w:lang w:eastAsia="fr-FR"/>
              </w:rPr>
              <w:br/>
              <w:t>Les taux de pression et les températures autorisés relèvent de la responsabilité du client conformément aux règles de l'art et en application des coefficients de sécurité spécifiés dans les réglementations, codes ou normes applicables.</w:t>
            </w:r>
          </w:p>
        </w:tc>
      </w:tr>
      <w:tr w:rsidR="00E33F03"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NM EN 13480‐2</w:t>
            </w:r>
          </w:p>
        </w:tc>
      </w:tr>
      <w:tr w:rsidR="00E33F03" w:rsidRPr="0043547B" w:rsidTr="00CB5DC0">
        <w:trPr>
          <w:trHeight w:val="315"/>
          <w:jc w:val="center"/>
        </w:trPr>
        <w:tc>
          <w:tcPr>
            <w:tcW w:w="1838" w:type="dxa"/>
            <w:tcBorders>
              <w:top w:val="single" w:sz="18" w:space="0" w:color="auto"/>
              <w:left w:val="single" w:sz="18" w:space="0" w:color="auto"/>
              <w:bottom w:val="single" w:sz="6" w:space="0" w:color="auto"/>
              <w:right w:val="single" w:sz="4" w:space="0" w:color="auto"/>
            </w:tcBorders>
            <w:shd w:val="clear" w:color="auto" w:fill="FFFF99"/>
            <w:vAlign w:val="center"/>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6" w:space="0" w:color="auto"/>
              <w:right w:val="single" w:sz="18" w:space="0" w:color="auto"/>
            </w:tcBorders>
            <w:shd w:val="clear" w:color="auto" w:fill="FFFF99"/>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EN 13480‐2</w:t>
            </w:r>
          </w:p>
        </w:tc>
      </w:tr>
      <w:tr w:rsidR="00E33F03" w:rsidRPr="0043547B" w:rsidTr="00CB5DC0">
        <w:trPr>
          <w:trHeight w:val="315"/>
          <w:jc w:val="center"/>
        </w:trPr>
        <w:tc>
          <w:tcPr>
            <w:tcW w:w="1838" w:type="dxa"/>
            <w:tcBorders>
              <w:top w:val="single" w:sz="6" w:space="0" w:color="auto"/>
              <w:left w:val="single" w:sz="18" w:space="0" w:color="auto"/>
              <w:bottom w:val="single" w:sz="6" w:space="0" w:color="auto"/>
              <w:right w:val="single" w:sz="4" w:space="0" w:color="auto"/>
            </w:tcBorders>
            <w:shd w:val="clear" w:color="auto" w:fill="8DB3E2" w:themeFill="text2" w:themeFillTint="66"/>
            <w:vAlign w:val="center"/>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6" w:space="0" w:color="auto"/>
              <w:left w:val="single" w:sz="4" w:space="0" w:color="auto"/>
              <w:bottom w:val="single" w:sz="6" w:space="0" w:color="auto"/>
              <w:right w:val="single" w:sz="18" w:space="0" w:color="auto"/>
            </w:tcBorders>
            <w:shd w:val="clear" w:color="auto" w:fill="FFFFFF" w:themeFill="background1"/>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Tuyauteries industrielles métalliques ‐ Partie 2 : Matériaux ; </w:t>
            </w:r>
          </w:p>
        </w:tc>
      </w:tr>
      <w:tr w:rsidR="00E33F03" w:rsidRPr="0043547B" w:rsidTr="00CB5DC0">
        <w:trPr>
          <w:trHeight w:val="315"/>
          <w:jc w:val="center"/>
        </w:trPr>
        <w:tc>
          <w:tcPr>
            <w:tcW w:w="1838" w:type="dxa"/>
            <w:tcBorders>
              <w:top w:val="single" w:sz="6" w:space="0" w:color="auto"/>
              <w:left w:val="single" w:sz="18" w:space="0" w:color="auto"/>
              <w:bottom w:val="single" w:sz="18" w:space="0" w:color="auto"/>
              <w:right w:val="single" w:sz="4" w:space="0" w:color="auto"/>
            </w:tcBorders>
            <w:shd w:val="clear" w:color="auto" w:fill="D9D9D9" w:themeFill="background1" w:themeFillShade="D9"/>
            <w:vAlign w:val="center"/>
          </w:tcPr>
          <w:p w:rsidR="00E33F03" w:rsidRPr="0043547B" w:rsidRDefault="00E33F03" w:rsidP="00E33F03">
            <w:pPr>
              <w:jc w:val="center"/>
              <w:rPr>
                <w:rFonts w:cstheme="minorHAnsi"/>
                <w:b/>
                <w:bCs/>
                <w:sz w:val="24"/>
                <w:szCs w:val="24"/>
              </w:rPr>
            </w:pPr>
            <w:r w:rsidRPr="0043547B">
              <w:rPr>
                <w:rFonts w:cstheme="minorHAnsi"/>
                <w:b/>
                <w:bCs/>
                <w:sz w:val="24"/>
                <w:szCs w:val="24"/>
              </w:rPr>
              <w:t>Domaine d’application :</w:t>
            </w:r>
          </w:p>
        </w:tc>
        <w:tc>
          <w:tcPr>
            <w:tcW w:w="7938" w:type="dxa"/>
            <w:tcBorders>
              <w:top w:val="single" w:sz="6" w:space="0" w:color="auto"/>
              <w:left w:val="single" w:sz="4" w:space="0" w:color="auto"/>
              <w:bottom w:val="single" w:sz="18" w:space="0" w:color="auto"/>
              <w:right w:val="single" w:sz="18" w:space="0" w:color="auto"/>
            </w:tcBorders>
            <w:shd w:val="clear" w:color="auto" w:fill="FFFFFF" w:themeFill="background1"/>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partie de la présente Norme Marocaine spécifie les exigences relatives aux matériaux (y compris les matériaux métalliques plaqués) pour tuyauteries industrielles et supports fabriqués à partir de matériaux métalliques et couverts par l’EN 13480-1.</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est limitée actuellement aux aciers ayant une ductilité suffisante.</w:t>
            </w:r>
          </w:p>
          <w:p w:rsidR="00E33F03" w:rsidRPr="0043547B" w:rsidRDefault="00E33F03" w:rsidP="00E33F03">
            <w:pPr>
              <w:spacing w:after="0" w:line="240" w:lineRule="auto"/>
              <w:rPr>
                <w:rFonts w:eastAsia="Times New Roman" w:cstheme="minorHAnsi"/>
                <w:sz w:val="24"/>
                <w:szCs w:val="24"/>
                <w:lang w:eastAsia="fr-FR"/>
              </w:rPr>
            </w:pPr>
            <w:r w:rsidRPr="00AA11CE">
              <w:rPr>
                <w:rFonts w:eastAsia="Times New Roman" w:cstheme="minorHAnsi"/>
                <w:b/>
                <w:bCs/>
                <w:i/>
                <w:iCs/>
                <w:lang w:eastAsia="fr-FR"/>
              </w:rPr>
              <w:t>NOTE</w:t>
            </w:r>
            <w:r w:rsidRPr="00AA11CE">
              <w:rPr>
                <w:rFonts w:eastAsia="Times New Roman" w:cstheme="minorHAnsi"/>
                <w:i/>
                <w:iCs/>
                <w:lang w:eastAsia="fr-FR"/>
              </w:rPr>
              <w:t> : D’autres matériaux seront ajoutés ultérieurement par amendements.</w:t>
            </w:r>
            <w:r w:rsidRPr="0043547B">
              <w:rPr>
                <w:rFonts w:eastAsia="Times New Roman" w:cstheme="minorHAnsi"/>
                <w:sz w:val="24"/>
                <w:szCs w:val="24"/>
                <w:lang w:eastAsia="fr-FR"/>
              </w:rPr>
              <w:br/>
              <w:t>Elle spécifie les exigences relatives au choix, à l’inspection, au contrôle et au marquage des matériaux métalliques destinés à la fabrication des tuyauteries industrielles.</w:t>
            </w:r>
          </w:p>
        </w:tc>
      </w:tr>
      <w:tr w:rsidR="00E33F03"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NM EN 13480‐3</w:t>
            </w:r>
          </w:p>
        </w:tc>
      </w:tr>
      <w:tr w:rsidR="00E33F03" w:rsidRPr="0043547B" w:rsidTr="00CB5DC0">
        <w:trPr>
          <w:trHeight w:val="315"/>
          <w:jc w:val="center"/>
        </w:trPr>
        <w:tc>
          <w:tcPr>
            <w:tcW w:w="1838" w:type="dxa"/>
            <w:tcBorders>
              <w:top w:val="single" w:sz="18" w:space="0" w:color="auto"/>
              <w:left w:val="single" w:sz="18" w:space="0" w:color="auto"/>
              <w:bottom w:val="single" w:sz="6" w:space="0" w:color="auto"/>
              <w:right w:val="single" w:sz="4" w:space="0" w:color="auto"/>
            </w:tcBorders>
            <w:shd w:val="clear" w:color="auto" w:fill="FFFF99"/>
            <w:vAlign w:val="center"/>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6" w:space="0" w:color="auto"/>
              <w:right w:val="single" w:sz="18" w:space="0" w:color="auto"/>
            </w:tcBorders>
            <w:shd w:val="clear" w:color="auto" w:fill="FFFF99"/>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EN 13480‐3</w:t>
            </w:r>
          </w:p>
        </w:tc>
      </w:tr>
      <w:tr w:rsidR="00E33F03" w:rsidRPr="0043547B" w:rsidTr="00CB5DC0">
        <w:trPr>
          <w:trHeight w:val="315"/>
          <w:jc w:val="center"/>
        </w:trPr>
        <w:tc>
          <w:tcPr>
            <w:tcW w:w="1838" w:type="dxa"/>
            <w:tcBorders>
              <w:top w:val="single" w:sz="6" w:space="0" w:color="auto"/>
              <w:left w:val="single" w:sz="18" w:space="0" w:color="auto"/>
              <w:bottom w:val="single" w:sz="6" w:space="0" w:color="auto"/>
              <w:right w:val="single" w:sz="4" w:space="0" w:color="auto"/>
            </w:tcBorders>
            <w:shd w:val="clear" w:color="auto" w:fill="8DB3E2" w:themeFill="text2" w:themeFillTint="66"/>
            <w:vAlign w:val="center"/>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6" w:space="0" w:color="auto"/>
              <w:left w:val="single" w:sz="4" w:space="0" w:color="auto"/>
              <w:bottom w:val="single" w:sz="6" w:space="0" w:color="auto"/>
              <w:right w:val="single" w:sz="18" w:space="0" w:color="auto"/>
            </w:tcBorders>
            <w:shd w:val="clear" w:color="auto" w:fill="FFFFFF" w:themeFill="background1"/>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Tuyauteries industrielles métalliques ‐ Partie 3 : Conception et calcul ;  </w:t>
            </w:r>
          </w:p>
        </w:tc>
      </w:tr>
      <w:tr w:rsidR="00E33F03" w:rsidRPr="0043547B" w:rsidTr="00DE6034">
        <w:trPr>
          <w:trHeight w:val="696"/>
          <w:jc w:val="center"/>
        </w:trPr>
        <w:tc>
          <w:tcPr>
            <w:tcW w:w="1838" w:type="dxa"/>
            <w:tcBorders>
              <w:top w:val="single" w:sz="6" w:space="0" w:color="auto"/>
              <w:left w:val="single" w:sz="18" w:space="0" w:color="auto"/>
              <w:bottom w:val="single" w:sz="18" w:space="0" w:color="auto"/>
              <w:right w:val="single" w:sz="4" w:space="0" w:color="auto"/>
            </w:tcBorders>
            <w:shd w:val="clear" w:color="auto" w:fill="D9D9D9" w:themeFill="background1" w:themeFillShade="D9"/>
            <w:vAlign w:val="center"/>
          </w:tcPr>
          <w:p w:rsidR="00E33F03" w:rsidRPr="0043547B" w:rsidRDefault="00E33F03" w:rsidP="00E33F03">
            <w:pPr>
              <w:jc w:val="center"/>
              <w:rPr>
                <w:rFonts w:cstheme="minorHAnsi"/>
                <w:b/>
                <w:bCs/>
                <w:sz w:val="24"/>
                <w:szCs w:val="24"/>
              </w:rPr>
            </w:pPr>
            <w:r w:rsidRPr="0043547B">
              <w:rPr>
                <w:rFonts w:cstheme="minorHAnsi"/>
                <w:b/>
                <w:bCs/>
                <w:sz w:val="24"/>
                <w:szCs w:val="24"/>
              </w:rPr>
              <w:t>Domaine d’application :</w:t>
            </w:r>
          </w:p>
        </w:tc>
        <w:tc>
          <w:tcPr>
            <w:tcW w:w="7938" w:type="dxa"/>
            <w:tcBorders>
              <w:top w:val="single" w:sz="6" w:space="0" w:color="auto"/>
              <w:left w:val="single" w:sz="4" w:space="0" w:color="auto"/>
              <w:bottom w:val="single" w:sz="18" w:space="0" w:color="auto"/>
              <w:right w:val="single" w:sz="18" w:space="0" w:color="auto"/>
            </w:tcBorders>
            <w:shd w:val="clear" w:color="auto" w:fill="FFFFFF" w:themeFill="background1"/>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Marocaine spécifie la conception et le calcul des réseaux de tuyauteries industrielles métalliques, supports inclus, couverts par l’EN 13480-1.</w:t>
            </w:r>
          </w:p>
        </w:tc>
      </w:tr>
      <w:tr w:rsidR="00E33F03"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NM EN 13480‐4</w:t>
            </w:r>
          </w:p>
        </w:tc>
      </w:tr>
      <w:tr w:rsidR="00E33F03" w:rsidRPr="0043547B" w:rsidTr="00CB5DC0">
        <w:trPr>
          <w:trHeight w:val="315"/>
          <w:jc w:val="center"/>
        </w:trPr>
        <w:tc>
          <w:tcPr>
            <w:tcW w:w="1838" w:type="dxa"/>
            <w:tcBorders>
              <w:top w:val="single" w:sz="18" w:space="0" w:color="auto"/>
              <w:left w:val="single" w:sz="18" w:space="0" w:color="auto"/>
              <w:bottom w:val="single" w:sz="6" w:space="0" w:color="auto"/>
              <w:right w:val="single" w:sz="4" w:space="0" w:color="auto"/>
            </w:tcBorders>
            <w:shd w:val="clear" w:color="auto" w:fill="FFFF99"/>
            <w:vAlign w:val="center"/>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6" w:space="0" w:color="auto"/>
              <w:right w:val="single" w:sz="18" w:space="0" w:color="auto"/>
            </w:tcBorders>
            <w:shd w:val="clear" w:color="auto" w:fill="FFFF99"/>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EN 13480‐4</w:t>
            </w:r>
          </w:p>
        </w:tc>
      </w:tr>
      <w:tr w:rsidR="00E33F03" w:rsidRPr="0043547B" w:rsidTr="00CB5DC0">
        <w:trPr>
          <w:trHeight w:val="315"/>
          <w:jc w:val="center"/>
        </w:trPr>
        <w:tc>
          <w:tcPr>
            <w:tcW w:w="1838" w:type="dxa"/>
            <w:tcBorders>
              <w:top w:val="single" w:sz="6" w:space="0" w:color="auto"/>
              <w:left w:val="single" w:sz="18" w:space="0" w:color="auto"/>
              <w:bottom w:val="single" w:sz="6" w:space="0" w:color="auto"/>
              <w:right w:val="single" w:sz="4" w:space="0" w:color="auto"/>
            </w:tcBorders>
            <w:shd w:val="clear" w:color="auto" w:fill="8DB3E2" w:themeFill="text2" w:themeFillTint="66"/>
            <w:vAlign w:val="center"/>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6" w:space="0" w:color="auto"/>
              <w:left w:val="single" w:sz="4" w:space="0" w:color="auto"/>
              <w:bottom w:val="single" w:sz="6" w:space="0" w:color="auto"/>
              <w:right w:val="single" w:sz="18" w:space="0" w:color="auto"/>
            </w:tcBorders>
            <w:shd w:val="clear" w:color="auto" w:fill="FFFFFF" w:themeFill="background1"/>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Tubes de précision en acier ‐ Conditions techniques de livraison ‐ Partie 4 : Tubes sans soudure étirés à froid pour circuits hydrauliques et pneumatiques ;  </w:t>
            </w:r>
          </w:p>
        </w:tc>
      </w:tr>
      <w:tr w:rsidR="00E33F03" w:rsidRPr="0043547B" w:rsidTr="00CB5DC0">
        <w:trPr>
          <w:trHeight w:val="315"/>
          <w:jc w:val="center"/>
        </w:trPr>
        <w:tc>
          <w:tcPr>
            <w:tcW w:w="1838" w:type="dxa"/>
            <w:tcBorders>
              <w:top w:val="single" w:sz="6" w:space="0" w:color="auto"/>
              <w:left w:val="single" w:sz="18" w:space="0" w:color="auto"/>
              <w:bottom w:val="single" w:sz="18" w:space="0" w:color="auto"/>
              <w:right w:val="single" w:sz="4" w:space="0" w:color="auto"/>
            </w:tcBorders>
            <w:shd w:val="clear" w:color="auto" w:fill="D9D9D9" w:themeFill="background1" w:themeFillShade="D9"/>
            <w:vAlign w:val="center"/>
          </w:tcPr>
          <w:p w:rsidR="00E33F03" w:rsidRPr="0043547B" w:rsidRDefault="00E33F03" w:rsidP="00E33F03">
            <w:pPr>
              <w:jc w:val="center"/>
              <w:rPr>
                <w:rFonts w:cstheme="minorHAnsi"/>
                <w:b/>
                <w:bCs/>
                <w:sz w:val="24"/>
                <w:szCs w:val="24"/>
              </w:rPr>
            </w:pPr>
            <w:r w:rsidRPr="0043547B">
              <w:rPr>
                <w:rFonts w:cstheme="minorHAnsi"/>
                <w:b/>
                <w:bCs/>
                <w:sz w:val="24"/>
                <w:szCs w:val="24"/>
              </w:rPr>
              <w:t>Domaine d’application :</w:t>
            </w:r>
          </w:p>
        </w:tc>
        <w:tc>
          <w:tcPr>
            <w:tcW w:w="7938" w:type="dxa"/>
            <w:tcBorders>
              <w:top w:val="single" w:sz="6" w:space="0" w:color="auto"/>
              <w:left w:val="single" w:sz="4" w:space="0" w:color="auto"/>
              <w:bottom w:val="single" w:sz="18" w:space="0" w:color="auto"/>
              <w:right w:val="single" w:sz="18" w:space="0" w:color="auto"/>
            </w:tcBorders>
            <w:shd w:val="clear" w:color="auto" w:fill="FFFFFF" w:themeFill="background1"/>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partie de la présente Norme marocaine spécifie les exigences relatives à la fabrication et à l'installation des réseaux de tuyauteries, supports inclus, conçus conformément à l’EN 13480-3:2012.</w:t>
            </w:r>
          </w:p>
        </w:tc>
      </w:tr>
      <w:tr w:rsidR="00E33F03"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5252</w:t>
            </w:r>
          </w:p>
        </w:tc>
      </w:tr>
      <w:tr w:rsidR="00E33F03"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5252</w:t>
            </w:r>
          </w:p>
        </w:tc>
      </w:tr>
      <w:tr w:rsidR="00E33F03" w:rsidRPr="0043547B" w:rsidTr="00CB5DC0">
        <w:trPr>
          <w:trHeight w:val="243"/>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Tubes en acier - Systèmes de tolérances </w:t>
            </w:r>
          </w:p>
        </w:tc>
      </w:tr>
      <w:tr w:rsidR="00E33F03" w:rsidRPr="0043547B" w:rsidTr="00CB5DC0">
        <w:trPr>
          <w:trHeight w:val="503"/>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établit les systèmes de tolérances sur dimensions à utiliser dans la</w:t>
            </w:r>
            <w:r w:rsidRPr="0043547B">
              <w:rPr>
                <w:rFonts w:eastAsia="Times New Roman" w:cstheme="minorHAnsi"/>
                <w:sz w:val="24"/>
                <w:szCs w:val="24"/>
                <w:lang w:eastAsia="fr-FR"/>
              </w:rPr>
              <w:br/>
              <w:t>normalisation des tubes en acier (normes de produit).</w:t>
            </w:r>
          </w:p>
        </w:tc>
      </w:tr>
      <w:tr w:rsidR="00E33F03"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10253-1</w:t>
            </w:r>
          </w:p>
        </w:tc>
      </w:tr>
      <w:tr w:rsidR="00E33F03"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10253-1</w:t>
            </w:r>
          </w:p>
        </w:tc>
      </w:tr>
      <w:tr w:rsidR="00E33F03" w:rsidRPr="0043547B" w:rsidTr="00CB5DC0">
        <w:trPr>
          <w:trHeight w:val="33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Raccords à souder bout à bout - Partie 1 : Acier au carbone pour usages généraux et sans contrôle spécifique </w:t>
            </w:r>
          </w:p>
        </w:tc>
      </w:tr>
      <w:tr w:rsidR="00E33F03" w:rsidRPr="0043547B" w:rsidTr="00CB5DC0">
        <w:trPr>
          <w:trHeight w:val="134"/>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bottom"/>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prescriptions concernant les raccords à souder bout à bout (à savoir :</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coudes, réductions concentriques et excentriques, tés égaux et réduits, fonds bombés et caps) en acier au carbone, livré sans contrôle spécifique.</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la nuance d'acier et sa composition chimique ;</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les caractéristiques mécaniques ;</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les dimensions et tolérances ;</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le marquage, l'emballage et les documents d'inspection.</w:t>
            </w:r>
          </w:p>
        </w:tc>
      </w:tr>
      <w:tr w:rsidR="00E33F03"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10297-2</w:t>
            </w:r>
          </w:p>
        </w:tc>
      </w:tr>
      <w:tr w:rsidR="00E33F03"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10297-2</w:t>
            </w:r>
          </w:p>
        </w:tc>
      </w:tr>
      <w:tr w:rsidR="00E33F03" w:rsidRPr="0043547B" w:rsidTr="00CB5DC0">
        <w:trPr>
          <w:trHeight w:val="49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Tubes sans soudure de section circulaire en acier pour utilisation en mécanique générale et en construction mécanique - Conditions techniques de livraison - Partie 2 : Tubes en acier inoxydable </w:t>
            </w:r>
          </w:p>
        </w:tc>
      </w:tr>
      <w:tr w:rsidR="00E33F03" w:rsidRPr="0043547B" w:rsidTr="00CB5DC0">
        <w:trPr>
          <w:trHeight w:val="368"/>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conditions techniques de livraison des tubes sans soudure de section circulaire en acier inoxydable pour utilisation en mécanique générale et en construction mécanique.</w:t>
            </w:r>
          </w:p>
        </w:tc>
      </w:tr>
      <w:tr w:rsidR="00E33F03" w:rsidRPr="0043547B" w:rsidTr="00CB5DC0">
        <w:trPr>
          <w:trHeight w:val="296"/>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vAlign w:val="bottom"/>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NM 10.1.025</w:t>
            </w:r>
          </w:p>
        </w:tc>
      </w:tr>
      <w:tr w:rsidR="00E33F03" w:rsidRPr="0043547B" w:rsidTr="00CB5DC0">
        <w:trPr>
          <w:trHeight w:val="70"/>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auto" w:fill="auto"/>
            <w:vAlign w:val="bottom"/>
          </w:tcPr>
          <w:p w:rsidR="00E33F03" w:rsidRPr="0043547B" w:rsidRDefault="00E33F03" w:rsidP="00E33F03">
            <w:pPr>
              <w:spacing w:after="0"/>
              <w:jc w:val="both"/>
              <w:rPr>
                <w:rFonts w:cstheme="minorHAnsi"/>
                <w:sz w:val="24"/>
                <w:szCs w:val="24"/>
              </w:rPr>
            </w:pPr>
            <w:r w:rsidRPr="0043547B">
              <w:rPr>
                <w:rFonts w:cstheme="minorHAnsi"/>
                <w:sz w:val="24"/>
                <w:szCs w:val="24"/>
              </w:rPr>
              <w:t xml:space="preserve">Tuyaux d’évacuation en amiante - Ciment pour canalisation de bâtiment non enterrés </w:t>
            </w:r>
          </w:p>
        </w:tc>
      </w:tr>
      <w:tr w:rsidR="00E33F03" w:rsidRPr="0043547B" w:rsidTr="00CB5DC0">
        <w:trPr>
          <w:trHeight w:val="181"/>
          <w:jc w:val="center"/>
        </w:trPr>
        <w:tc>
          <w:tcPr>
            <w:tcW w:w="1838" w:type="dxa"/>
            <w:tcBorders>
              <w:top w:val="nil"/>
              <w:left w:val="single" w:sz="18" w:space="0" w:color="auto"/>
              <w:bottom w:val="single" w:sz="18" w:space="0" w:color="auto"/>
              <w:right w:val="single" w:sz="4" w:space="0" w:color="auto"/>
            </w:tcBorders>
            <w:shd w:val="clear" w:color="000000" w:fill="D9D9D9"/>
            <w:vAlign w:val="center"/>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bottom"/>
          </w:tcPr>
          <w:p w:rsidR="00E33F03" w:rsidRPr="0043547B" w:rsidRDefault="00E33F03" w:rsidP="00E33F03">
            <w:pPr>
              <w:spacing w:after="0" w:line="240" w:lineRule="auto"/>
              <w:jc w:val="both"/>
              <w:rPr>
                <w:rFonts w:cstheme="minorHAnsi"/>
                <w:sz w:val="24"/>
                <w:szCs w:val="24"/>
              </w:rPr>
            </w:pPr>
            <w:r w:rsidRPr="0043547B">
              <w:rPr>
                <w:rFonts w:cstheme="minorHAnsi"/>
                <w:sz w:val="24"/>
                <w:szCs w:val="24"/>
              </w:rPr>
              <w:t xml:space="preserve"> La norme s'applique aux tuyaux, utilisés dans le bâtiment pour les travaux de canalisations non enterrées tels que descentes d'eaux pluviales, évacuation d'eaux usées ou de produits de combustion des combustibles gazeux, conduits de ventilation, etc. Elle ne s'applique pas aux tuyaux pour canalisations enterrées sans pression ni aux tuyaux pour canalisations avec pression. </w:t>
            </w:r>
          </w:p>
        </w:tc>
      </w:tr>
      <w:tr w:rsidR="00E33F03" w:rsidRPr="0043547B" w:rsidTr="00CB5DC0">
        <w:trPr>
          <w:trHeight w:val="181"/>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vAlign w:val="bottom"/>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NM 10.1.030</w:t>
            </w:r>
          </w:p>
        </w:tc>
      </w:tr>
      <w:tr w:rsidR="00E33F03" w:rsidRPr="0043547B" w:rsidTr="00CB5DC0">
        <w:trPr>
          <w:trHeight w:val="181"/>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auto" w:fill="auto"/>
            <w:vAlign w:val="bottom"/>
          </w:tcPr>
          <w:p w:rsidR="00E33F03" w:rsidRPr="0043547B" w:rsidRDefault="00E33F03" w:rsidP="00E33F03">
            <w:pPr>
              <w:spacing w:after="0"/>
              <w:jc w:val="both"/>
              <w:rPr>
                <w:rFonts w:cstheme="minorHAnsi"/>
                <w:sz w:val="24"/>
                <w:szCs w:val="24"/>
              </w:rPr>
            </w:pPr>
            <w:r w:rsidRPr="0043547B">
              <w:rPr>
                <w:rFonts w:cstheme="minorHAnsi"/>
                <w:sz w:val="24"/>
                <w:szCs w:val="24"/>
              </w:rPr>
              <w:t xml:space="preserve">Tuyaux, joints et accessoires en amiante - Ciment pour réseaux d’assainissement enterrés - Spécifications </w:t>
            </w:r>
          </w:p>
        </w:tc>
      </w:tr>
      <w:tr w:rsidR="00E33F03" w:rsidRPr="0043547B" w:rsidTr="00CB5DC0">
        <w:trPr>
          <w:trHeight w:val="181"/>
          <w:jc w:val="center"/>
        </w:trPr>
        <w:tc>
          <w:tcPr>
            <w:tcW w:w="1838" w:type="dxa"/>
            <w:tcBorders>
              <w:top w:val="nil"/>
              <w:left w:val="single" w:sz="18" w:space="0" w:color="auto"/>
              <w:bottom w:val="single" w:sz="18" w:space="0" w:color="auto"/>
              <w:right w:val="single" w:sz="4" w:space="0" w:color="auto"/>
            </w:tcBorders>
            <w:shd w:val="clear" w:color="000000" w:fill="D9D9D9"/>
            <w:vAlign w:val="center"/>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bottom"/>
          </w:tcPr>
          <w:p w:rsidR="00E33F03" w:rsidRPr="0043547B" w:rsidRDefault="00E33F03" w:rsidP="00E33F03">
            <w:pPr>
              <w:spacing w:after="0"/>
              <w:jc w:val="both"/>
              <w:rPr>
                <w:rFonts w:cstheme="minorHAnsi"/>
                <w:sz w:val="24"/>
                <w:szCs w:val="24"/>
              </w:rPr>
            </w:pPr>
            <w:r w:rsidRPr="0043547B">
              <w:rPr>
                <w:rFonts w:cstheme="minorHAnsi"/>
                <w:sz w:val="24"/>
                <w:szCs w:val="24"/>
              </w:rPr>
              <w:t xml:space="preserve">La norme a pour objet de définir les tuyaux, joints et accessoires en amiante-ciment destinés à être utilisés dans les réseaux d'assainissement enterrés, de spécifier leurs caractéristiques et leurs marquage. </w:t>
            </w:r>
          </w:p>
        </w:tc>
      </w:tr>
      <w:tr w:rsidR="00E33F03"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10253-2</w:t>
            </w:r>
          </w:p>
        </w:tc>
      </w:tr>
      <w:tr w:rsidR="00E33F03"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10253-2</w:t>
            </w:r>
          </w:p>
        </w:tc>
      </w:tr>
      <w:tr w:rsidR="00E33F03" w:rsidRPr="0043547B" w:rsidTr="00CB5DC0">
        <w:trPr>
          <w:trHeight w:val="33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Raccords à souder bout à bout — Partie 2 : Acier non alliés et aciers ferritiques alliés avec contrôle spécifique</w:t>
            </w:r>
          </w:p>
        </w:tc>
      </w:tr>
      <w:tr w:rsidR="00E33F03" w:rsidRPr="0043547B" w:rsidTr="00CB5DC0">
        <w:trPr>
          <w:trHeight w:val="1694"/>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partie de l'EN 10253 spécifie les conditions générales techniques de livraison des raccords à souder bout à bout, sans soudure et soudés, (coudes, réductions concentriques et excentriques, tés égaux et réduits et caps) en acier au carbone et allié, destinés à des usages sous pression à température ambiante, à basse température ou à température élevée ainsi qu’au transport et à la distribution des fluides et des gaz.</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spécifie :</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ascii="Cambria Math" w:eastAsia="Times New Roman" w:hAnsi="Cambria Math" w:cs="Cambria Math"/>
                <w:sz w:val="24"/>
                <w:szCs w:val="24"/>
                <w:lang w:eastAsia="fr-FR"/>
              </w:rPr>
              <w:lastRenderedPageBreak/>
              <w:t>⎯</w:t>
            </w:r>
            <w:r w:rsidRPr="0043547B">
              <w:rPr>
                <w:rFonts w:eastAsia="Times New Roman" w:cstheme="minorHAnsi"/>
                <w:sz w:val="24"/>
                <w:szCs w:val="24"/>
                <w:lang w:eastAsia="fr-FR"/>
              </w:rPr>
              <w:t xml:space="preserve"> le type de raccords ;</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ascii="Cambria Math" w:eastAsia="Times New Roman" w:hAnsi="Cambria Math" w:cs="Cambria Math"/>
                <w:sz w:val="24"/>
                <w:szCs w:val="24"/>
                <w:lang w:eastAsia="fr-FR"/>
              </w:rPr>
              <w:t>⎯</w:t>
            </w:r>
            <w:r w:rsidRPr="0043547B">
              <w:rPr>
                <w:rFonts w:eastAsia="Times New Roman" w:cstheme="minorHAnsi"/>
                <w:sz w:val="24"/>
                <w:szCs w:val="24"/>
                <w:lang w:eastAsia="fr-FR"/>
              </w:rPr>
              <w:t xml:space="preserve"> type A : Raccords à souder bout à bout à facteur de pression réduit ;</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ascii="Cambria Math" w:eastAsia="Times New Roman" w:hAnsi="Cambria Math" w:cs="Cambria Math"/>
                <w:sz w:val="24"/>
                <w:szCs w:val="24"/>
                <w:lang w:eastAsia="fr-FR"/>
              </w:rPr>
              <w:t>⎯</w:t>
            </w:r>
            <w:r w:rsidRPr="0043547B">
              <w:rPr>
                <w:rFonts w:eastAsia="Times New Roman" w:cstheme="minorHAnsi"/>
                <w:sz w:val="24"/>
                <w:szCs w:val="24"/>
                <w:lang w:eastAsia="fr-FR"/>
              </w:rPr>
              <w:t xml:space="preserve"> type B : Raccords à souder bout à bout pour utilisation à pleine pression de service ;</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ascii="Cambria Math" w:eastAsia="Times New Roman" w:hAnsi="Cambria Math" w:cs="Cambria Math"/>
                <w:sz w:val="24"/>
                <w:szCs w:val="24"/>
                <w:lang w:eastAsia="fr-FR"/>
              </w:rPr>
              <w:t>⎯</w:t>
            </w:r>
            <w:r w:rsidRPr="0043547B">
              <w:rPr>
                <w:rFonts w:eastAsia="Times New Roman" w:cstheme="minorHAnsi"/>
                <w:sz w:val="24"/>
                <w:szCs w:val="24"/>
                <w:lang w:eastAsia="fr-FR"/>
              </w:rPr>
              <w:t xml:space="preserve"> les nuances d'acier ;</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ascii="Cambria Math" w:eastAsia="Times New Roman" w:hAnsi="Cambria Math" w:cs="Cambria Math"/>
                <w:sz w:val="24"/>
                <w:szCs w:val="24"/>
                <w:lang w:eastAsia="fr-FR"/>
              </w:rPr>
              <w:t>⎯</w:t>
            </w:r>
            <w:r w:rsidRPr="0043547B">
              <w:rPr>
                <w:rFonts w:eastAsia="Times New Roman" w:cstheme="minorHAnsi"/>
                <w:sz w:val="24"/>
                <w:szCs w:val="24"/>
                <w:lang w:eastAsia="fr-FR"/>
              </w:rPr>
              <w:t xml:space="preserve"> les propriétés mécaniques ;</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ascii="Cambria Math" w:eastAsia="Times New Roman" w:hAnsi="Cambria Math" w:cs="Cambria Math"/>
                <w:sz w:val="24"/>
                <w:szCs w:val="24"/>
                <w:lang w:eastAsia="fr-FR"/>
              </w:rPr>
              <w:t>⎯</w:t>
            </w:r>
            <w:r w:rsidRPr="0043547B">
              <w:rPr>
                <w:rFonts w:eastAsia="Times New Roman" w:cstheme="minorHAnsi"/>
                <w:sz w:val="24"/>
                <w:szCs w:val="24"/>
                <w:lang w:eastAsia="fr-FR"/>
              </w:rPr>
              <w:t xml:space="preserve"> les dimensions et tolérances ;</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ascii="Cambria Math" w:eastAsia="Times New Roman" w:hAnsi="Cambria Math" w:cs="Cambria Math"/>
                <w:sz w:val="24"/>
                <w:szCs w:val="24"/>
                <w:lang w:eastAsia="fr-FR"/>
              </w:rPr>
              <w:t>⎯</w:t>
            </w:r>
            <w:r w:rsidRPr="0043547B">
              <w:rPr>
                <w:rFonts w:eastAsia="Times New Roman" w:cstheme="minorHAnsi"/>
                <w:sz w:val="24"/>
                <w:szCs w:val="24"/>
                <w:lang w:eastAsia="fr-FR"/>
              </w:rPr>
              <w:t xml:space="preserve"> les exigences en matière de contrôle et d'essai ;</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ascii="Cambria Math" w:eastAsia="Times New Roman" w:hAnsi="Cambria Math" w:cs="Cambria Math"/>
                <w:sz w:val="24"/>
                <w:szCs w:val="24"/>
                <w:lang w:eastAsia="fr-FR"/>
              </w:rPr>
              <w:t>⎯</w:t>
            </w:r>
            <w:r w:rsidRPr="0043547B">
              <w:rPr>
                <w:rFonts w:eastAsia="Times New Roman" w:cstheme="minorHAnsi"/>
                <w:sz w:val="24"/>
                <w:szCs w:val="24"/>
                <w:lang w:eastAsia="fr-FR"/>
              </w:rPr>
              <w:t xml:space="preserve"> les documents de contrôle ;</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ascii="Cambria Math" w:eastAsia="Times New Roman" w:hAnsi="Cambria Math" w:cs="Cambria Math"/>
                <w:sz w:val="24"/>
                <w:szCs w:val="24"/>
                <w:lang w:eastAsia="fr-FR"/>
              </w:rPr>
              <w:t>⎯</w:t>
            </w:r>
            <w:r w:rsidRPr="0043547B">
              <w:rPr>
                <w:rFonts w:eastAsia="Times New Roman" w:cstheme="minorHAnsi"/>
                <w:sz w:val="24"/>
                <w:szCs w:val="24"/>
                <w:lang w:eastAsia="fr-FR"/>
              </w:rPr>
              <w:t xml:space="preserve"> le marquage ;</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ascii="Cambria Math" w:eastAsia="Times New Roman" w:hAnsi="Cambria Math" w:cs="Cambria Math"/>
                <w:sz w:val="24"/>
                <w:szCs w:val="24"/>
                <w:lang w:eastAsia="fr-FR"/>
              </w:rPr>
              <w:t>⎯</w:t>
            </w:r>
            <w:r w:rsidRPr="0043547B">
              <w:rPr>
                <w:rFonts w:eastAsia="Times New Roman" w:cstheme="minorHAnsi"/>
                <w:sz w:val="24"/>
                <w:szCs w:val="24"/>
                <w:lang w:eastAsia="fr-FR"/>
              </w:rPr>
              <w:t xml:space="preserve"> la protection et l'emballage.</w:t>
            </w:r>
          </w:p>
          <w:p w:rsidR="00E33F03" w:rsidRPr="0043547B" w:rsidRDefault="00E33F03" w:rsidP="00E33F03">
            <w:pPr>
              <w:spacing w:after="0" w:line="240" w:lineRule="auto"/>
              <w:jc w:val="both"/>
              <w:rPr>
                <w:rFonts w:eastAsia="Times New Roman" w:cstheme="minorHAnsi"/>
                <w:i/>
                <w:iCs/>
                <w:sz w:val="24"/>
                <w:szCs w:val="24"/>
                <w:lang w:eastAsia="fr-FR"/>
              </w:rPr>
            </w:pPr>
            <w:r w:rsidRPr="00B874C5">
              <w:rPr>
                <w:rFonts w:eastAsia="Times New Roman" w:cstheme="minorHAnsi"/>
                <w:b/>
                <w:bCs/>
                <w:i/>
                <w:iCs/>
                <w:lang w:eastAsia="fr-FR"/>
              </w:rPr>
              <w:t>Note </w:t>
            </w:r>
            <w:r w:rsidRPr="00B874C5">
              <w:rPr>
                <w:rFonts w:eastAsia="Times New Roman" w:cstheme="minorHAnsi"/>
                <w:i/>
                <w:iCs/>
                <w:lang w:eastAsia="fr-FR"/>
              </w:rPr>
              <w:t>: Dans le cas des normes de support harmonisées pour les matériaux, la présomption de conformité aux exigences essentielles de sécurité est limitée aux données techniques des matériaux de la norme et ne suppose pas l'adéquation du matériau à un élément spécifique du matériel. Par conséquent, il est essentiel d'évaluer les données techniques présentées dans la norme du matériau en fonction des exigences de conception de l'élément spécifique du matériel de façon à vérifier que les exigences essentielles de sécurité de la PED sont satisfaites.</w:t>
            </w:r>
          </w:p>
        </w:tc>
      </w:tr>
      <w:tr w:rsidR="00E33F03"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10253-3</w:t>
            </w:r>
          </w:p>
        </w:tc>
      </w:tr>
      <w:tr w:rsidR="00E33F03"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10253-3</w:t>
            </w:r>
          </w:p>
        </w:tc>
      </w:tr>
      <w:tr w:rsidR="00E33F03" w:rsidRPr="0043547B" w:rsidTr="00CB5DC0">
        <w:trPr>
          <w:trHeight w:val="33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Raccords à souder bout à bout - Partie 3 : aciers inoxydables austénitiques et austéno-ferritiques sans contrôle spécifique</w:t>
            </w:r>
          </w:p>
        </w:tc>
      </w:tr>
      <w:tr w:rsidR="00E33F03" w:rsidRPr="0043547B" w:rsidTr="00CB5DC0">
        <w:trPr>
          <w:trHeight w:val="671"/>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partie de l’EN 10253 spécifie les exigences techniques de livraison pour les raccords à souder bout à bout, sans soudure et soudés (coudes, réductions concentriques et excentriques, tés égaux et réduits, caps) en acier inoxydable austénitique et austéno-ferritique (duplex), livrés sans contrôle spécifique.</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les nuances d'acier ;</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les caractéristiques mécaniques ;</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les dimensions et tolérances ;</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les exigences relatives au contrôle et aux essais ;</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les documents de contrôle ;</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le marquage ;</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la manutention et le conditionnement.</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Limites d’utilisation</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pressions et températures admissibles relèvent de la responsabilité de l'utilisateur, conformément à l'état de l'art et en application des coefficients de sécurité spécifiés dans les règlements, les codes et les normes en vigueur.</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De manière courante, un coefficient de joint est utilisé pour le calcul de l'épaisseur des composants comportant une ou plusieurs soudures bout à bout non circonférentielles :</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pour les appareils soumis à des essais non-destructifs par sondage : 0,85 ;</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pour les appareils qui ne sont pas soumis à des essais non-destructifs (mis à part un examen visuel) : 0,7.</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Sauf spécification contraire de la partie de l’EN 10253, les exigences techniques de livraison générales définies dans l’EN 10021 doivent s’appliquer.</w:t>
            </w:r>
          </w:p>
        </w:tc>
      </w:tr>
      <w:tr w:rsidR="00E33F03"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10297-1</w:t>
            </w:r>
          </w:p>
        </w:tc>
      </w:tr>
      <w:tr w:rsidR="00E33F03"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10297-1</w:t>
            </w:r>
          </w:p>
        </w:tc>
      </w:tr>
      <w:tr w:rsidR="00E33F03" w:rsidRPr="0043547B" w:rsidTr="00CB5DC0">
        <w:trPr>
          <w:trHeight w:val="49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lastRenderedPageBreak/>
              <w:t>Intitulé :</w:t>
            </w:r>
          </w:p>
        </w:tc>
        <w:tc>
          <w:tcPr>
            <w:tcW w:w="7938" w:type="dxa"/>
            <w:tcBorders>
              <w:left w:val="single" w:sz="4"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Tubes ronds sans soudure en acier pour utilisation en mécanique générale et en construction mécanique - Conditions techniques de livraison - Partie 1 : tubes en acier non allié et allié </w:t>
            </w:r>
          </w:p>
        </w:tc>
      </w:tr>
      <w:tr w:rsidR="00E33F03" w:rsidRPr="0043547B" w:rsidTr="00CB5DC0">
        <w:trPr>
          <w:trHeight w:val="91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bottom"/>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partie de l’EN 10297 spécifie les conditions techniques de livraison des tubes sans soudure de section circulaire en acier non allié et allié pour utilisation en mécanique générale et en construction mécanique.</w:t>
            </w:r>
          </w:p>
        </w:tc>
      </w:tr>
      <w:tr w:rsidR="00E33F03"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10296-1 </w:t>
            </w:r>
          </w:p>
        </w:tc>
      </w:tr>
      <w:tr w:rsidR="00E33F03"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10296-1</w:t>
            </w:r>
          </w:p>
        </w:tc>
      </w:tr>
      <w:tr w:rsidR="00E33F03" w:rsidRPr="0043547B" w:rsidTr="00CB5DC0">
        <w:trPr>
          <w:trHeight w:val="49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Tubes ronds soudés en acier pour utilisation en mécanique générale et en construction mécanique - Conditions techniques de livraison - Partie 1 : tubes en acier non allié et allié </w:t>
            </w:r>
          </w:p>
        </w:tc>
      </w:tr>
      <w:tr w:rsidR="00E33F03" w:rsidRPr="0043547B" w:rsidTr="00CB5DC0">
        <w:trPr>
          <w:trHeight w:val="915"/>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bottom"/>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partie de l’EN 10296 spécifie les conditions techniques de livraison des tubes à section circulaire en acier non allié et allié soudés électriquement, par laser et à l'arc immergé sous flux de poudre, pour utilisation en mécanique générale et en construction mécanique.</w:t>
            </w:r>
          </w:p>
        </w:tc>
      </w:tr>
      <w:tr w:rsidR="00E33F03"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10296-2 </w:t>
            </w:r>
          </w:p>
        </w:tc>
      </w:tr>
      <w:tr w:rsidR="00E33F03"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10296-2</w:t>
            </w:r>
          </w:p>
        </w:tc>
      </w:tr>
      <w:tr w:rsidR="00E33F03" w:rsidRPr="0043547B" w:rsidTr="00CB5DC0">
        <w:trPr>
          <w:trHeight w:val="49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Tubes ronds soudés en acier pour utilisation en mécanique générale et en construction mécanique - Conditions techniques de livraison - Partie 2 : tubes en acier inoxydable</w:t>
            </w:r>
          </w:p>
        </w:tc>
      </w:tr>
      <w:tr w:rsidR="00E33F03" w:rsidRPr="0043547B" w:rsidTr="00CB5DC0">
        <w:trPr>
          <w:trHeight w:val="754"/>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bottom"/>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conditions techniques des tubes soudés de section circulaire en acier inoxydable pour utilisation en mécanique générale et en construction mécanique.</w:t>
            </w:r>
          </w:p>
        </w:tc>
      </w:tr>
      <w:tr w:rsidR="00E33F03"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 xml:space="preserve">NM EN 10111  </w:t>
            </w:r>
          </w:p>
        </w:tc>
      </w:tr>
      <w:tr w:rsidR="00E33F03"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10111</w:t>
            </w:r>
          </w:p>
        </w:tc>
      </w:tr>
      <w:tr w:rsidR="00E33F03" w:rsidRPr="0043547B" w:rsidTr="00CB5DC0">
        <w:trPr>
          <w:trHeight w:val="49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Tôles et bandes en acier à bas carbone laminées à chaud en continu pour formage à froid - Conditions techniques de livraison </w:t>
            </w:r>
          </w:p>
        </w:tc>
      </w:tr>
      <w:tr w:rsidR="00E33F03" w:rsidRPr="0043547B" w:rsidTr="00CB5DC0">
        <w:trPr>
          <w:trHeight w:val="276"/>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bottom"/>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détermine les nuances des tôles et bandes en acier à bas carbone (en bobines) laminées à chaud en continu pour formage à froid.</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Suivant sa largeur réelle, les bandes sont classées en :</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larges bandes à chaud dont la largeur est supérieure ou égale à 600 mm ;</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larges bandes à chaud refendues dont la largeur est inférieure à 600 mm.</w:t>
            </w:r>
          </w:p>
          <w:p w:rsidR="00E33F03"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la composition chimique et les propriétés mécaniques de chaque nuance.</w:t>
            </w:r>
            <w:r>
              <w:rPr>
                <w:rFonts w:eastAsia="Times New Roman" w:cstheme="minorHAnsi"/>
                <w:sz w:val="24"/>
                <w:szCs w:val="24"/>
                <w:lang w:eastAsia="fr-FR"/>
              </w:rPr>
              <w:t xml:space="preserve"> </w:t>
            </w:r>
            <w:r w:rsidRPr="0043547B">
              <w:rPr>
                <w:rFonts w:eastAsia="Times New Roman" w:cstheme="minorHAnsi"/>
                <w:sz w:val="24"/>
                <w:szCs w:val="24"/>
                <w:lang w:eastAsia="fr-FR"/>
              </w:rPr>
              <w:t>Elle s’applique à des produits dont l’épaisseur est au moins égale à 1,0 mm et au plus 11 mm.</w:t>
            </w:r>
          </w:p>
          <w:p w:rsidR="00E33F03"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ne s’applique pas aux produits couverts par d’autres normes, tels que:</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les produits laminés à chaud en acier de construction non allié d’usage général (voir toutes les parties de l’EN 10025) ;</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les tôles en acier pour appareils à pression (voir toutes les parties de l’EN 10028) ;</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les tôles en acier pour bouteilles à gaz soudées (voir l’EN 10120) ;</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les aciers pour trempe et revenu (voir l’EN 10083-1 et l’EN 10083-2).</w:t>
            </w:r>
          </w:p>
        </w:tc>
      </w:tr>
      <w:tr w:rsidR="00E33F03"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10059</w:t>
            </w:r>
          </w:p>
        </w:tc>
      </w:tr>
      <w:tr w:rsidR="00E33F03"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10059</w:t>
            </w:r>
          </w:p>
        </w:tc>
      </w:tr>
      <w:tr w:rsidR="00E33F03" w:rsidRPr="0043547B" w:rsidTr="00CB5DC0">
        <w:trPr>
          <w:trHeight w:val="33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Carrés en acier laminés à chaud pour usages généraux - Dimensions et tolérances sur la forme et les dimensions ;  </w:t>
            </w:r>
          </w:p>
        </w:tc>
      </w:tr>
      <w:tr w:rsidR="00E33F03" w:rsidRPr="0043547B" w:rsidTr="00DE6034">
        <w:trPr>
          <w:trHeight w:val="78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lastRenderedPageBreak/>
              <w:t>Domaine d’application :</w:t>
            </w:r>
          </w:p>
        </w:tc>
        <w:tc>
          <w:tcPr>
            <w:tcW w:w="7938" w:type="dxa"/>
            <w:tcBorders>
              <w:left w:val="single" w:sz="4" w:space="0" w:color="auto"/>
              <w:bottom w:val="single" w:sz="18" w:space="0" w:color="auto"/>
              <w:right w:val="single" w:sz="18" w:space="0" w:color="auto"/>
            </w:tcBorders>
            <w:shd w:val="clear" w:color="auto" w:fill="auto"/>
            <w:vAlign w:val="bottom"/>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dimensions nominales ainsi que les tolérances sur les dimensions et la forme de carrés en acier laminés à chaud pour usages généraux.</w:t>
            </w:r>
          </w:p>
        </w:tc>
      </w:tr>
      <w:tr w:rsidR="00E33F03"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1057+A1</w:t>
            </w:r>
          </w:p>
        </w:tc>
      </w:tr>
      <w:tr w:rsidR="00E33F03"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1057 - A1</w:t>
            </w:r>
          </w:p>
        </w:tc>
      </w:tr>
      <w:tr w:rsidR="00E33F03" w:rsidRPr="0043547B" w:rsidTr="00CB5DC0">
        <w:trPr>
          <w:trHeight w:val="49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Cuivre et alliages de cuivre - Tubes ronds sans soudure en cuivre pour l'eau et le gaz dans les applications sanitaires et de chauffage ;    </w:t>
            </w:r>
          </w:p>
        </w:tc>
      </w:tr>
      <w:tr w:rsidR="00E33F03" w:rsidRPr="0043547B" w:rsidTr="00CB5DC0">
        <w:trPr>
          <w:trHeight w:val="2625"/>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bottom"/>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établit les exigences, le mode d'échantillonnage, les méthodes d'essai et les</w:t>
            </w:r>
            <w:r>
              <w:rPr>
                <w:rFonts w:eastAsia="Times New Roman" w:cstheme="minorHAnsi"/>
                <w:sz w:val="24"/>
                <w:szCs w:val="24"/>
                <w:lang w:eastAsia="fr-FR"/>
              </w:rPr>
              <w:t xml:space="preserve"> </w:t>
            </w:r>
            <w:r w:rsidRPr="0043547B">
              <w:rPr>
                <w:rFonts w:eastAsia="Times New Roman" w:cstheme="minorHAnsi"/>
                <w:sz w:val="24"/>
                <w:szCs w:val="24"/>
                <w:lang w:eastAsia="fr-FR"/>
              </w:rPr>
              <w:t>conditions de livraison applicables aux tubes ronds sans soudure en cuivre.</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s'applique aux tubes de diamètre extérieur compris entre 6 mm et 267 mm inclus, destinés :</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à la distribution d'eau chaude et d'eau froide ;</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au chauffage à eau chaude, y compris les systèmes de panneaux chauffants (par le sol, par les murs ou par le plafond) ;</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à la distribution de gaz domestique et de combustibles liquides ;</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à l'évacuation des eaux usées.</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s'applique également aux tubes en cuivre ronds sans soudure en cuivre destinés à être gainés avant utilisation pour l'une des applications ci-dessus.</w:t>
            </w:r>
          </w:p>
        </w:tc>
      </w:tr>
      <w:tr w:rsidR="00E33F03"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10255+A1</w:t>
            </w:r>
          </w:p>
        </w:tc>
      </w:tr>
      <w:tr w:rsidR="00E33F03"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10255 - A1</w:t>
            </w:r>
          </w:p>
        </w:tc>
      </w:tr>
      <w:tr w:rsidR="00E33F03" w:rsidRPr="0043547B" w:rsidTr="00CB5DC0">
        <w:trPr>
          <w:trHeight w:val="33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Tubes en acier non allié soudables et filetables - Conditions techniques de livraison ;   </w:t>
            </w:r>
          </w:p>
        </w:tc>
      </w:tr>
      <w:tr w:rsidR="00E33F03" w:rsidRPr="0043547B" w:rsidTr="00CB5DC0">
        <w:trPr>
          <w:trHeight w:val="1773"/>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bottom"/>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 présent document spécifie les prescriptions relatives aux tubes ronds en acier non allié soudables et filetables et fournit un certain nombre d’options relatives à la finition des extrémités des tubes et à leurs revêtements. Le présent document s'applique aux tubes dont le diamètre extérieur spécifié est compris entre 10,2 mm et 165,1 mm (dimension de filetage 1/8 à 6), appartenant à deux séries, moyenne et forte et trois types d'épaisseurs données.</w:t>
            </w:r>
          </w:p>
          <w:p w:rsidR="00E33F03" w:rsidRPr="0043547B" w:rsidRDefault="00E33F03" w:rsidP="00E33F03">
            <w:pPr>
              <w:spacing w:after="0" w:line="240" w:lineRule="auto"/>
              <w:jc w:val="both"/>
              <w:rPr>
                <w:rFonts w:eastAsia="Times New Roman" w:cstheme="minorHAnsi"/>
                <w:i/>
                <w:iCs/>
                <w:sz w:val="24"/>
                <w:szCs w:val="24"/>
                <w:lang w:eastAsia="fr-FR"/>
              </w:rPr>
            </w:pPr>
            <w:r w:rsidRPr="00B874C5">
              <w:rPr>
                <w:rFonts w:eastAsia="Times New Roman" w:cstheme="minorHAnsi"/>
                <w:b/>
                <w:bCs/>
                <w:i/>
                <w:iCs/>
                <w:lang w:eastAsia="fr-FR"/>
              </w:rPr>
              <w:t>Note</w:t>
            </w:r>
            <w:r w:rsidRPr="00B874C5">
              <w:rPr>
                <w:rFonts w:eastAsia="Times New Roman" w:cstheme="minorHAnsi"/>
                <w:i/>
                <w:iCs/>
                <w:lang w:eastAsia="fr-FR"/>
              </w:rPr>
              <w:t> : Les tubes fabriqués conformément au présent document peuvent être utilisés pour le transport de fluides de même que pour d’autres applications.</w:t>
            </w:r>
          </w:p>
        </w:tc>
      </w:tr>
      <w:tr w:rsidR="00E33F03"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1123-1</w:t>
            </w:r>
          </w:p>
        </w:tc>
      </w:tr>
      <w:tr w:rsidR="00E33F03"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1123-1 - A1</w:t>
            </w:r>
          </w:p>
        </w:tc>
      </w:tr>
      <w:tr w:rsidR="00E33F03" w:rsidRPr="0043547B" w:rsidTr="00CB5DC0">
        <w:trPr>
          <w:trHeight w:val="49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Tubes et raccords de tubes soudés longitudinalement en acier galvanisé à chaud, à manchon enfichable pour réseaux d'assainissement - Partie 1 : Prescriptions, essais, contrôle de qualité ;    </w:t>
            </w:r>
          </w:p>
        </w:tc>
      </w:tr>
      <w:tr w:rsidR="00E33F03" w:rsidRPr="0043547B" w:rsidTr="00CB5DC0">
        <w:trPr>
          <w:trHeight w:val="42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a pour but de définir les prescriptions, essais et contrôle qualité des tubes et raccords à manchon en fiable en acier galvanisés à chaud, soudés longitudinalement, pour les réseaux d'assainissement fonctionnant par gravité ou sous faible pression.</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Pour les besoins de la norme, les éléments sont des tubes, des raccords, des joints et des garnitures d'étanchéité.</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Cette norme s'applique à des éléments utilisés pour l'évacuation :</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des eaux usées domestiques ;</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des eaux de surface ;</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des eaux souterraines.</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Cette norme s'applique aussi à des éléments utilisés pour évacuer d'autres eaux résiduaires (par exemple d'origine industrielle), dans la mesure où ils ne risquent </w:t>
            </w:r>
            <w:r w:rsidRPr="0043547B">
              <w:rPr>
                <w:rFonts w:eastAsia="Times New Roman" w:cstheme="minorHAnsi"/>
                <w:sz w:val="24"/>
                <w:szCs w:val="24"/>
                <w:lang w:eastAsia="fr-FR"/>
              </w:rPr>
              <w:lastRenderedPageBreak/>
              <w:t>pas d'être endommagés, ni de mettre en danger la sécurité et la santé du personnel.</w:t>
            </w:r>
          </w:p>
        </w:tc>
      </w:tr>
      <w:tr w:rsidR="00E33F03"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1124-1</w:t>
            </w:r>
          </w:p>
        </w:tc>
      </w:tr>
      <w:tr w:rsidR="00E33F03"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1124-1 - A1</w:t>
            </w:r>
          </w:p>
        </w:tc>
      </w:tr>
      <w:tr w:rsidR="00E33F03" w:rsidRPr="0043547B" w:rsidTr="00CB5DC0">
        <w:trPr>
          <w:trHeight w:val="49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w w:val="90"/>
                <w:sz w:val="24"/>
                <w:szCs w:val="24"/>
                <w:lang w:eastAsia="fr-FR"/>
              </w:rPr>
            </w:pPr>
            <w:r w:rsidRPr="0043547B">
              <w:rPr>
                <w:rFonts w:eastAsia="Times New Roman" w:cstheme="minorHAnsi"/>
                <w:w w:val="90"/>
                <w:sz w:val="24"/>
                <w:szCs w:val="24"/>
                <w:lang w:eastAsia="fr-FR"/>
              </w:rPr>
              <w:t xml:space="preserve">Tubes et raccords de tube soudés longitudinalement en acier inoxydable, à manchon enfichable pour réseaux d'assainissement - Partie 1 : Prescriptions, essais, contrôle de qualité  </w:t>
            </w:r>
          </w:p>
        </w:tc>
      </w:tr>
      <w:tr w:rsidR="00E33F03" w:rsidRPr="0043547B" w:rsidTr="00CB5DC0">
        <w:trPr>
          <w:trHeight w:val="3735"/>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a pour but de définir les prescriptions, essais et contrôle qualité des tubes et</w:t>
            </w:r>
            <w:r>
              <w:rPr>
                <w:rFonts w:eastAsia="Times New Roman" w:cstheme="minorHAnsi"/>
                <w:sz w:val="24"/>
                <w:szCs w:val="24"/>
                <w:lang w:eastAsia="fr-FR"/>
              </w:rPr>
              <w:t xml:space="preserve"> </w:t>
            </w:r>
            <w:r w:rsidRPr="0043547B">
              <w:rPr>
                <w:rFonts w:eastAsia="Times New Roman" w:cstheme="minorHAnsi"/>
                <w:sz w:val="24"/>
                <w:szCs w:val="24"/>
                <w:lang w:eastAsia="fr-FR"/>
              </w:rPr>
              <w:t>raccords à manchon enfichable en acier inoxydable, soudés longitudinalement, pour les canalisations d’eau résiduaires fonctionnant habituellement par gravité ou sous faible pression.</w:t>
            </w:r>
            <w:r w:rsidRPr="0043547B">
              <w:rPr>
                <w:rFonts w:eastAsia="Times New Roman" w:cstheme="minorHAnsi"/>
                <w:sz w:val="24"/>
                <w:szCs w:val="24"/>
                <w:lang w:eastAsia="fr-FR"/>
              </w:rPr>
              <w:br/>
              <w:t>Pour les besoins de la norme, les éléments sont des tubes, des raccords, des joints et des garnitures d'étanchéité.</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Cette norme s’applique à des éléments utilisés pour l'évacuation :</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des eaux usées domestiques ;</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des eaux de surface ;</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des eaux souterraines.</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Cette norme s’applique aussi à des éléments utilisés pour évacuer d'autres eaux résiduaires (par exemple d'origine industrielle), dans la mesure où ils ne risquent pas d'être endommagés, ni de mettre en danger la sécurité et la santé du personnel.</w:t>
            </w:r>
          </w:p>
        </w:tc>
      </w:tr>
      <w:tr w:rsidR="00E33F03"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10224</w:t>
            </w:r>
          </w:p>
        </w:tc>
      </w:tr>
      <w:tr w:rsidR="00E33F03"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10224 - A1</w:t>
            </w:r>
          </w:p>
        </w:tc>
      </w:tr>
      <w:tr w:rsidR="00E33F03" w:rsidRPr="0043547B" w:rsidTr="00CB5DC0">
        <w:trPr>
          <w:trHeight w:val="49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Tubes et raccords en acier non allié pour le transport de liquides aqueux, incluant l'eau destinée à la consommation humaine - Conditions techniques de livraison ;    </w:t>
            </w:r>
          </w:p>
        </w:tc>
      </w:tr>
      <w:tr w:rsidR="00E33F03" w:rsidRPr="0043547B" w:rsidTr="00CB5DC0">
        <w:trPr>
          <w:trHeight w:val="701"/>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prescriptions pour les produits listés ci-dessous, utilisés pour</w:t>
            </w:r>
            <w:r>
              <w:rPr>
                <w:rFonts w:eastAsia="Times New Roman" w:cstheme="minorHAnsi"/>
                <w:sz w:val="24"/>
                <w:szCs w:val="24"/>
                <w:lang w:eastAsia="fr-FR"/>
              </w:rPr>
              <w:t xml:space="preserve"> </w:t>
            </w:r>
            <w:r w:rsidRPr="0043547B">
              <w:rPr>
                <w:rFonts w:eastAsia="Times New Roman" w:cstheme="minorHAnsi"/>
                <w:sz w:val="24"/>
                <w:szCs w:val="24"/>
                <w:lang w:eastAsia="fr-FR"/>
              </w:rPr>
              <w:t>le transport de liquides aqueux, y compris l'eau destinée à la consommation humaine :</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tubes soudés et sans soudure en acier non allié ;</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préparation des extrémités de tubes pour le soudage bout à bout ;</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raccords réalisés à partir du tube ;</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raccords réalisés à partir de tôle ou bande.</w:t>
            </w:r>
          </w:p>
          <w:p w:rsidR="00E33F03" w:rsidRPr="00487753" w:rsidRDefault="00E33F03" w:rsidP="00E33F03">
            <w:pPr>
              <w:spacing w:after="0" w:line="240" w:lineRule="auto"/>
              <w:jc w:val="both"/>
              <w:rPr>
                <w:rFonts w:eastAsia="Times New Roman" w:cstheme="minorHAnsi"/>
                <w:i/>
                <w:iCs/>
                <w:lang w:eastAsia="fr-FR"/>
              </w:rPr>
            </w:pPr>
            <w:r w:rsidRPr="00487753">
              <w:rPr>
                <w:rFonts w:eastAsia="Times New Roman" w:cstheme="minorHAnsi"/>
                <w:b/>
                <w:bCs/>
                <w:i/>
                <w:iCs/>
                <w:lang w:eastAsia="fr-FR"/>
              </w:rPr>
              <w:t>N</w:t>
            </w:r>
            <w:r>
              <w:rPr>
                <w:rFonts w:eastAsia="Times New Roman" w:cstheme="minorHAnsi"/>
                <w:b/>
                <w:bCs/>
                <w:i/>
                <w:iCs/>
                <w:lang w:eastAsia="fr-FR"/>
              </w:rPr>
              <w:t>OTE</w:t>
            </w:r>
            <w:r>
              <w:rPr>
                <w:rFonts w:eastAsia="Times New Roman" w:cstheme="minorHAnsi"/>
                <w:i/>
                <w:iCs/>
                <w:lang w:eastAsia="fr-FR"/>
              </w:rPr>
              <w:t> :</w:t>
            </w:r>
            <w:r w:rsidRPr="00487753">
              <w:rPr>
                <w:rFonts w:eastAsia="Times New Roman" w:cstheme="minorHAnsi"/>
                <w:i/>
                <w:iCs/>
                <w:lang w:eastAsia="fr-FR"/>
              </w:rPr>
              <w:t xml:space="preserve"> La norme comporte des annexes informatives qui donnent des indications sur les dimensions de tube applicables pour chaque procédé de fabrication couvert, la relation entre le diamètre extérieur nominal (D) et le diamètre nominal (DN) pour les assemblages autres que le soudage bout à bout, et sur la protection anticorrosion.</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couvre une gamme de diamètres extérieurs de tube compris entre</w:t>
            </w:r>
            <w:r w:rsidRPr="0043547B">
              <w:rPr>
                <w:rFonts w:eastAsia="Times New Roman" w:cstheme="minorHAnsi"/>
                <w:sz w:val="24"/>
                <w:szCs w:val="24"/>
                <w:lang w:eastAsia="fr-FR"/>
              </w:rPr>
              <w:br/>
              <w:t>26,9 mm et 2 743 mm.</w:t>
            </w:r>
          </w:p>
        </w:tc>
      </w:tr>
      <w:tr w:rsidR="00E33F03"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877</w:t>
            </w:r>
          </w:p>
        </w:tc>
      </w:tr>
      <w:tr w:rsidR="00E33F03"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877 - A1</w:t>
            </w:r>
          </w:p>
        </w:tc>
      </w:tr>
      <w:tr w:rsidR="00E33F03" w:rsidRPr="0043547B" w:rsidTr="00CB5DC0">
        <w:trPr>
          <w:trHeight w:val="49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Tuyaux et raccords en fonte, leurs assemblages et accessoires destinés à l'évacuation des eaux des bâtiments - Prescriptions, méthodes d'essais et assurance qualité ;  </w:t>
            </w:r>
          </w:p>
        </w:tc>
      </w:tr>
      <w:tr w:rsidR="00E33F03" w:rsidRPr="0043547B" w:rsidTr="00CB5DC0">
        <w:trPr>
          <w:trHeight w:val="127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bottom"/>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aux composants de canalisation en fonte à utiliser pour réaliser,</w:t>
            </w:r>
            <w:r>
              <w:rPr>
                <w:rFonts w:eastAsia="Times New Roman" w:cstheme="minorHAnsi"/>
                <w:sz w:val="24"/>
                <w:szCs w:val="24"/>
                <w:lang w:eastAsia="fr-FR"/>
              </w:rPr>
              <w:t xml:space="preserve"> </w:t>
            </w:r>
            <w:r w:rsidRPr="0043547B">
              <w:rPr>
                <w:rFonts w:eastAsia="Times New Roman" w:cstheme="minorHAnsi"/>
                <w:sz w:val="24"/>
                <w:szCs w:val="24"/>
                <w:lang w:eastAsia="fr-FR"/>
              </w:rPr>
              <w:t>normalement en évacuation gravitaire, les réseaux d'évacuation des bâtiments ainsi que les branchements d'assainissement.</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gamme des diamètres nominaux s'étend du DN 40 au DN 600 inclus.</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lastRenderedPageBreak/>
              <w:t>La norme spécifie les prescriptions pour les matériaux, les dimensions et les tolérances, les propriétés mécaniques, l'aspect, les revêtements standards des tuyaux, raccords et accessoires en fonte. Elle indique également des prescriptions de performance pour tous les composants, y compris les assemblages. L'assurance qualité est couverte par une annexe informative.</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traite des tuyaux, des raccords et des accessoires moulés par tout procédé de fonderie, ou fabriqués à partir de composants moulés, ainsi que les assemblages correspondants.</w:t>
            </w:r>
          </w:p>
        </w:tc>
      </w:tr>
      <w:tr w:rsidR="00E33F03"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523</w:t>
            </w:r>
          </w:p>
        </w:tc>
      </w:tr>
      <w:tr w:rsidR="00E33F03"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523</w:t>
            </w:r>
          </w:p>
        </w:tc>
      </w:tr>
      <w:tr w:rsidR="00E33F03" w:rsidRPr="0043547B" w:rsidTr="00CB5DC0">
        <w:trPr>
          <w:trHeight w:val="33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Gaines en feuillard d'acier pour câbles de précontrainte - Terminologie, prescriptions, contrôle de qualité ;   </w:t>
            </w:r>
          </w:p>
        </w:tc>
      </w:tr>
      <w:tr w:rsidR="00E33F03" w:rsidRPr="0043547B" w:rsidTr="00CB5DC0">
        <w:trPr>
          <w:trHeight w:val="1545"/>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est applicable aux gaines en acier cylindriques, non revêtues, nervurées, d'un</w:t>
            </w:r>
            <w:r>
              <w:rPr>
                <w:rFonts w:eastAsia="Times New Roman" w:cstheme="minorHAnsi"/>
                <w:sz w:val="24"/>
                <w:szCs w:val="24"/>
                <w:lang w:eastAsia="fr-FR"/>
              </w:rPr>
              <w:t xml:space="preserve"> </w:t>
            </w:r>
            <w:r w:rsidRPr="0043547B">
              <w:rPr>
                <w:rFonts w:eastAsia="Times New Roman" w:cstheme="minorHAnsi"/>
                <w:sz w:val="24"/>
                <w:szCs w:val="24"/>
                <w:lang w:eastAsia="fr-FR"/>
              </w:rPr>
              <w:t>diamètre nominal intérieur de 130 mm maximum et à leurs raccords (manchons de raccordement) qui sont assemblés pour former des conduits destinés aux câbles de précontrainte dans des structures en béton précontraint par post-tension. Elle est uniquement applicable aux gaines et aux raccords en feuillard d'acier agrafés ou soudés. Elle ne couvre pas les gaines plastiques.</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L'étanchéité exigée entre les gaines et les raccords n'est pas couverte par la norme.</w:t>
            </w:r>
          </w:p>
        </w:tc>
      </w:tr>
      <w:tr w:rsidR="00E33F03" w:rsidRPr="0043547B" w:rsidTr="00CB5DC0">
        <w:trPr>
          <w:trHeight w:val="330"/>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10.4.018</w:t>
            </w:r>
          </w:p>
        </w:tc>
      </w:tr>
      <w:tr w:rsidR="00E33F03" w:rsidRPr="0043547B" w:rsidTr="00CB5DC0">
        <w:trPr>
          <w:trHeight w:val="330"/>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Protection externe des canalisations métalliques – Bandes adhésives et bandes imprégnées - Spécifications générales </w:t>
            </w:r>
          </w:p>
        </w:tc>
      </w:tr>
      <w:tr w:rsidR="00E33F03" w:rsidRPr="0043547B" w:rsidTr="00CB5DC0">
        <w:trPr>
          <w:trHeight w:val="985"/>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bottom"/>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aux bandes adhésives ou imprégnées destinées à la protection</w:t>
            </w:r>
            <w:r>
              <w:rPr>
                <w:rFonts w:eastAsia="Times New Roman" w:cstheme="minorHAnsi"/>
                <w:sz w:val="24"/>
                <w:szCs w:val="24"/>
                <w:lang w:eastAsia="fr-FR"/>
              </w:rPr>
              <w:t xml:space="preserve"> </w:t>
            </w:r>
            <w:r w:rsidRPr="0043547B">
              <w:rPr>
                <w:rFonts w:eastAsia="Times New Roman" w:cstheme="minorHAnsi"/>
                <w:sz w:val="24"/>
                <w:szCs w:val="24"/>
                <w:lang w:eastAsia="fr-FR"/>
              </w:rPr>
              <w:t>réalisée sur chantier :</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des tubes d’acier noir ou galvanisé,</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des tubes en cuivre,</w:t>
            </w:r>
            <w:r>
              <w:rPr>
                <w:rFonts w:eastAsia="Times New Roman" w:cstheme="minorHAnsi"/>
                <w:sz w:val="24"/>
                <w:szCs w:val="24"/>
                <w:lang w:eastAsia="fr-FR"/>
              </w:rPr>
              <w:t xml:space="preserve"> </w:t>
            </w:r>
            <w:r w:rsidRPr="0043547B">
              <w:rPr>
                <w:rFonts w:eastAsia="Times New Roman" w:cstheme="minorHAnsi"/>
                <w:sz w:val="24"/>
                <w:szCs w:val="24"/>
                <w:lang w:eastAsia="fr-FR"/>
              </w:rPr>
              <w:t>employés pour la distribution d’eau sanitaire froide ou chaude et pour les installations de chauffage (pour des températures inférieures à 110°C).</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Cette protection s’applique à toutes les canalisations autres que les canalisations enterrées ou apparentes à l’extérieur des bâtiments.</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L’utilisation des bandes adhésives ou imprégnées est fonction de la température du fluide véhiculé.</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Selon celle-ci, les bandes adhésives ou imprégnées sont utilisées pour l’une des classes de températures suivantes :</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Classe I : froid (50 °C ≤ θ ≤ 40 °C)</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Classe II : chaud (40 °C ≤ θ ≤ 75 °C)</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Classe III : très chaud (75 °C ≤ θ ≤ 110 °C)</w:t>
            </w:r>
          </w:p>
        </w:tc>
      </w:tr>
      <w:tr w:rsidR="00E33F03"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681-2</w:t>
            </w:r>
          </w:p>
        </w:tc>
      </w:tr>
      <w:tr w:rsidR="00E33F03"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681-2 - A1 - A2</w:t>
            </w:r>
          </w:p>
        </w:tc>
      </w:tr>
      <w:tr w:rsidR="00E33F03" w:rsidRPr="0043547B" w:rsidTr="00CB5DC0">
        <w:trPr>
          <w:trHeight w:val="49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Garnitures d’étanchéité en caoutchouc - Spécification des matériaux pour garnitures d'étanchéité utilisées dans le domaine de l'eau et du drainage - Partie 2 : Élastomères thermoplastiques ; </w:t>
            </w:r>
          </w:p>
        </w:tc>
      </w:tr>
      <w:tr w:rsidR="00E33F03" w:rsidRPr="0043547B" w:rsidTr="00CB5DC0">
        <w:trPr>
          <w:trHeight w:val="843"/>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Cette norme détermine les spécifications pour les matériaux utilisés dans les garnitures d'étanchéité uniquement en caoutchouc thermoplastique pour :</w:t>
            </w:r>
          </w:p>
          <w:p w:rsidR="00E33F03" w:rsidRPr="0043547B" w:rsidRDefault="00E33F03" w:rsidP="00E33F03">
            <w:pPr>
              <w:pStyle w:val="Paragraphedeliste"/>
              <w:numPr>
                <w:ilvl w:val="0"/>
                <w:numId w:val="26"/>
              </w:numPr>
              <w:spacing w:after="0" w:line="240" w:lineRule="auto"/>
              <w:ind w:left="337"/>
              <w:jc w:val="both"/>
              <w:rPr>
                <w:rFonts w:eastAsia="Times New Roman" w:cstheme="minorHAnsi"/>
                <w:sz w:val="24"/>
                <w:szCs w:val="24"/>
                <w:lang w:eastAsia="fr-FR"/>
              </w:rPr>
            </w:pPr>
            <w:r w:rsidRPr="0043547B">
              <w:rPr>
                <w:rFonts w:eastAsia="Times New Roman" w:cstheme="minorHAnsi"/>
                <w:sz w:val="24"/>
                <w:szCs w:val="24"/>
                <w:lang w:eastAsia="fr-FR"/>
              </w:rPr>
              <w:t>les réseaux d’évacuation sans pression en thermoplastiques (écoulement intermittent jusqu’à 95 °C) à l’intérieur des bâtiments ;</w:t>
            </w:r>
          </w:p>
          <w:p w:rsidR="00E33F03" w:rsidRPr="0043547B" w:rsidRDefault="00E33F03" w:rsidP="00E33F03">
            <w:pPr>
              <w:pStyle w:val="Paragraphedeliste"/>
              <w:numPr>
                <w:ilvl w:val="0"/>
                <w:numId w:val="26"/>
              </w:numPr>
              <w:spacing w:after="0" w:line="240" w:lineRule="auto"/>
              <w:ind w:left="337"/>
              <w:jc w:val="both"/>
              <w:rPr>
                <w:rFonts w:eastAsia="Times New Roman" w:cstheme="minorHAnsi"/>
                <w:sz w:val="24"/>
                <w:szCs w:val="24"/>
                <w:lang w:eastAsia="fr-FR"/>
              </w:rPr>
            </w:pPr>
            <w:r w:rsidRPr="0043547B">
              <w:rPr>
                <w:rFonts w:eastAsia="Times New Roman" w:cstheme="minorHAnsi"/>
                <w:sz w:val="24"/>
                <w:szCs w:val="24"/>
                <w:lang w:eastAsia="fr-FR"/>
              </w:rPr>
              <w:lastRenderedPageBreak/>
              <w:t>les réseaux d’évacuation et d’assainissement sans pression, enterrés (écoulement continu jusqu’à 45 °C et intermittent jusqu'à 95 °C) ;</w:t>
            </w:r>
          </w:p>
          <w:p w:rsidR="00E33F03" w:rsidRPr="0043547B" w:rsidRDefault="00E33F03" w:rsidP="00E33F03">
            <w:pPr>
              <w:pStyle w:val="Paragraphedeliste"/>
              <w:numPr>
                <w:ilvl w:val="0"/>
                <w:numId w:val="26"/>
              </w:numPr>
              <w:spacing w:after="0" w:line="240" w:lineRule="auto"/>
              <w:ind w:left="337"/>
              <w:jc w:val="both"/>
              <w:rPr>
                <w:rFonts w:eastAsia="Times New Roman" w:cstheme="minorHAnsi"/>
                <w:sz w:val="24"/>
                <w:szCs w:val="24"/>
                <w:lang w:eastAsia="fr-FR"/>
              </w:rPr>
            </w:pPr>
            <w:r w:rsidRPr="0043547B">
              <w:rPr>
                <w:rFonts w:eastAsia="Times New Roman" w:cstheme="minorHAnsi"/>
                <w:sz w:val="24"/>
                <w:szCs w:val="24"/>
                <w:lang w:eastAsia="fr-FR"/>
              </w:rPr>
              <w:t>les réseaux d'évacuation d'eaux pluviales.</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Des spécifications générales pour les garnitures d'étanchéité finies sont également données. Des exigences supplémentaires imposées par une application particulière sont spécifiées dans les normes de produit correspondantes, en tenant compte que la performance des joints de canalisations dépend des propriétés du matériau de la garniture d'étanchéité, de la géométrie de cette garniture d'étanchéité et de la conception du joint.</w:t>
            </w:r>
          </w:p>
        </w:tc>
      </w:tr>
      <w:tr w:rsidR="00E33F03"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681-4</w:t>
            </w:r>
          </w:p>
        </w:tc>
      </w:tr>
      <w:tr w:rsidR="00E33F03"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681-4 - A1 - A2</w:t>
            </w:r>
          </w:p>
        </w:tc>
      </w:tr>
      <w:tr w:rsidR="00E33F03" w:rsidRPr="0043547B" w:rsidTr="00CB5DC0">
        <w:trPr>
          <w:trHeight w:val="49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Garnitures d’étanchéité en caoutchouc - Spécifications des matériaux pour garnitures d'étanchéité pour joints de canalisation utilisés dans le domaine de l'eau et de l'évacuation - Partie 4 : Polyuréthane moulé </w:t>
            </w:r>
          </w:p>
        </w:tc>
      </w:tr>
      <w:tr w:rsidR="00E33F03" w:rsidRPr="0043547B" w:rsidTr="00CB5DC0">
        <w:trPr>
          <w:trHeight w:val="282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détermine les prescriptions relatives aux matériaux utilisés dans les éléments d'étanchéité en polyuréthane moulé en usine, utilisés dans les joints pour les réseaux d'évacuation, d'assainissement et d'eaux pluviales et les réseaux d'alimentation en eau non potable.</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Des prescriptions générales pour les garnitures d'étanchéité finies sont également indiquées. Toute prescription supplémentaire imposée par une application particulière est spécifiée dans les normes de produit appropriées en tenant compte du fait que le comportement des joints de canalisations dépend des propriétés du matériau de la</w:t>
            </w:r>
            <w:r>
              <w:rPr>
                <w:rFonts w:eastAsia="Times New Roman" w:cstheme="minorHAnsi"/>
                <w:sz w:val="24"/>
                <w:szCs w:val="24"/>
                <w:lang w:eastAsia="fr-FR"/>
              </w:rPr>
              <w:t xml:space="preserve"> </w:t>
            </w:r>
            <w:r w:rsidRPr="0043547B">
              <w:rPr>
                <w:rFonts w:eastAsia="Times New Roman" w:cstheme="minorHAnsi"/>
                <w:sz w:val="24"/>
                <w:szCs w:val="24"/>
                <w:lang w:eastAsia="fr-FR"/>
              </w:rPr>
              <w:t>garniture d'étanchéité, de la géométrie de celle-ci et de la conception du joint.</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Cette norme s'applique aux garnitures d'étanchéité de joints pour tous les matériaux de canalisations, tels que le fer, l'acier, l'argile, le fibrociment, le béton, les plastiques et les plastiques armés aux fibres de verre. </w:t>
            </w:r>
          </w:p>
        </w:tc>
      </w:tr>
      <w:tr w:rsidR="00E33F03"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681-3</w:t>
            </w:r>
          </w:p>
        </w:tc>
      </w:tr>
      <w:tr w:rsidR="00E33F03"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681-3 - A1 - A2</w:t>
            </w:r>
          </w:p>
        </w:tc>
      </w:tr>
      <w:tr w:rsidR="00E33F03" w:rsidRPr="0043547B" w:rsidTr="00CB5DC0">
        <w:trPr>
          <w:trHeight w:val="49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Garnitures d'étanchéité en caoutchouc - Spécification des matériaux pour garnitures d'étanchéité pour joints de canalisations utilisées dans le domaine de l'eau et de l'évacuation - Partie 3 : Matériaux cellulaires en caoutchouc vulcanisé ; </w:t>
            </w:r>
            <w:r w:rsidRPr="0043547B">
              <w:rPr>
                <w:rFonts w:eastAsia="Times New Roman" w:cstheme="minorHAnsi"/>
                <w:b/>
                <w:bCs/>
                <w:sz w:val="24"/>
                <w:szCs w:val="24"/>
                <w:lang w:eastAsia="fr-FR"/>
              </w:rPr>
              <w:t xml:space="preserve"> </w:t>
            </w:r>
          </w:p>
        </w:tc>
      </w:tr>
      <w:tr w:rsidR="00E33F03" w:rsidRPr="0043547B" w:rsidTr="0030047E">
        <w:trPr>
          <w:trHeight w:val="559"/>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détermine les prescriptions relatives aux matériaux utilisés dans les garnitures d'étanchéité cellulaires en caoutchouc vulcanisé pour les réseaux d'évacuation, d'assainissement et d'eaux pluviales non pressurisés, et les réseaux d'alimentation en eau non potable sans pression (en service continu jusqu'à 45 °C).</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Des prescriptions générales pour les garnitures d'étanchéité sont également indiquées.</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Toutes les prescriptions supplémentaires imposées par une application particulière sont spécifiées dans les normes de produit appropriées, en tenant compte du fait que le comportement des joints de canalisations dépend des propriétés du matériau de la garniture d'étanchéité, de la géométrie de celle-ci et de la conception du joint de canalisation. La norme s'applique aux garnitures d'étanchéité de joints pour les matériaux de canalisations en argile vitrifié, fibrociment, béton, béton armé, plastiques et plastiques armés de fibres de verre.</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lastRenderedPageBreak/>
              <w:t>Les garnitures d'étanchéité conçues avec un vide clos font partie du domaine d'application de la norme.</w:t>
            </w:r>
          </w:p>
        </w:tc>
      </w:tr>
      <w:tr w:rsidR="00E33F03"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noWrap/>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1403</w:t>
            </w:r>
          </w:p>
        </w:tc>
      </w:tr>
      <w:tr w:rsidR="00E33F03"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1403</w:t>
            </w:r>
          </w:p>
        </w:tc>
      </w:tr>
      <w:tr w:rsidR="00E33F03" w:rsidRPr="0043547B" w:rsidTr="00CB5DC0">
        <w:trPr>
          <w:trHeight w:val="33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Tuyaux en caoutchouc à armature textile d’usage général pour l’eau – Spécifications </w:t>
            </w:r>
          </w:p>
        </w:tc>
      </w:tr>
      <w:tr w:rsidR="00E33F03" w:rsidRPr="0043547B" w:rsidTr="00CB5DC0">
        <w:trPr>
          <w:trHeight w:val="1515"/>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fixe des prescriptions pour trois types de tuyaux en caoutchouc à armature</w:t>
            </w:r>
            <w:r>
              <w:rPr>
                <w:rFonts w:eastAsia="Times New Roman" w:cstheme="minorHAnsi"/>
                <w:sz w:val="24"/>
                <w:szCs w:val="24"/>
                <w:lang w:eastAsia="fr-FR"/>
              </w:rPr>
              <w:t xml:space="preserve"> </w:t>
            </w:r>
            <w:r w:rsidRPr="0043547B">
              <w:rPr>
                <w:rFonts w:eastAsia="Times New Roman" w:cstheme="minorHAnsi"/>
                <w:sz w:val="24"/>
                <w:szCs w:val="24"/>
                <w:lang w:eastAsia="fr-FR"/>
              </w:rPr>
              <w:t>textile d’usage général pour l’eau, sur une plage de fonctionnement de - 25 “C à + 70 “C et pour une pression maximale de service de 2,5 MPa.</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II convient de ne pas utiliser ces tuyaux pour transporter de l’eau potable, pour raccorder aux machines à laver et aux bouches d’incendie, pour les machines agricoles spéciales et comme tuyaux d’arrosage souples.</w:t>
            </w:r>
          </w:p>
        </w:tc>
      </w:tr>
      <w:tr w:rsidR="00E33F03" w:rsidRPr="0043547B" w:rsidTr="00CB5DC0">
        <w:trPr>
          <w:trHeight w:val="330"/>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noWrap/>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05.2.520</w:t>
            </w:r>
          </w:p>
        </w:tc>
      </w:tr>
      <w:tr w:rsidR="00E33F03" w:rsidRPr="0043547B" w:rsidTr="00CB5DC0">
        <w:trPr>
          <w:trHeight w:val="330"/>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Bandes d’arrêt d’eau - Produits en caoutchouc – Spécifications</w:t>
            </w:r>
          </w:p>
        </w:tc>
      </w:tr>
      <w:tr w:rsidR="00E33F03" w:rsidRPr="0043547B" w:rsidTr="00CB5DC0">
        <w:trPr>
          <w:trHeight w:val="615"/>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détermine les prescriptions relatives au caoutchouc destiné à la fabrication des bandes d’arrêt d’eau, utilisées dans les garnitures d’étanchéité en caoutchouc.</w:t>
            </w:r>
          </w:p>
        </w:tc>
      </w:tr>
      <w:tr w:rsidR="00E33F03"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681-1</w:t>
            </w:r>
          </w:p>
        </w:tc>
      </w:tr>
      <w:tr w:rsidR="00E33F03"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hideMark/>
          </w:tcPr>
          <w:p w:rsidR="00E33F03" w:rsidRPr="0043547B" w:rsidRDefault="00E33F03" w:rsidP="00E33F03">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681-1 - A1 - A2 - A3</w:t>
            </w:r>
          </w:p>
        </w:tc>
      </w:tr>
      <w:tr w:rsidR="00E33F03" w:rsidRPr="0043547B" w:rsidTr="00CB5DC0">
        <w:trPr>
          <w:trHeight w:val="56"/>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Garnitures d'étanchéité en caoutchouc - Spécification des matériaux pour garnitures d'étanchéité pour joints de canalisations utilisées dans le domaine de l'eau et de l'évacuation - Partie 1 : Caoutchouc vulcanisé ;  </w:t>
            </w:r>
          </w:p>
        </w:tc>
      </w:tr>
      <w:tr w:rsidR="00E33F03" w:rsidRPr="0043547B" w:rsidTr="00CB5DC0">
        <w:trPr>
          <w:trHeight w:val="7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E33F03" w:rsidRPr="0043547B" w:rsidRDefault="00E33F03" w:rsidP="00E33F03">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hideMark/>
          </w:tcPr>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Cette norme détermine les spécifications pour les matériaux utilisés dans les garnitures d'étanchéité en caoutchouc vulcanisé pour :</w:t>
            </w:r>
          </w:p>
          <w:p w:rsidR="00E33F03" w:rsidRPr="0043547B" w:rsidRDefault="00E33F03" w:rsidP="00E33F03">
            <w:pPr>
              <w:pStyle w:val="Paragraphedeliste"/>
              <w:numPr>
                <w:ilvl w:val="0"/>
                <w:numId w:val="27"/>
              </w:num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l'eau froide potable (jusqu'à 50 °C) ;</w:t>
            </w:r>
          </w:p>
          <w:p w:rsidR="00E33F03" w:rsidRPr="0043547B" w:rsidRDefault="00E33F03" w:rsidP="00E33F03">
            <w:pPr>
              <w:pStyle w:val="Paragraphedeliste"/>
              <w:numPr>
                <w:ilvl w:val="0"/>
                <w:numId w:val="27"/>
              </w:num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l'eau chaude potable et non potable (jusqu'à 110 °C) ;</w:t>
            </w:r>
          </w:p>
          <w:p w:rsidR="00E33F03" w:rsidRPr="0043547B" w:rsidRDefault="00E33F03" w:rsidP="00E33F03">
            <w:pPr>
              <w:pStyle w:val="Paragraphedeliste"/>
              <w:numPr>
                <w:ilvl w:val="0"/>
                <w:numId w:val="27"/>
              </w:num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réseaux d'évacuation, d'assainissement et d'eaux pluviales (en service continu jusqu'à 45 °C et intermittent jusqu'à 95 °C).</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 Les différentes désignations de garnitures d'étanchéité spécifiées sont définies conformément à leurs types, applications et exigences. Des spécifications générales pour les garnitures d'étanchéité finies sont également données. Des exigences supplémentaires imposées par une application particulière doivent être spécifiées dans les normes de produit correspondantes, en tenant compte que la performance des joints de canalisations dépend des propriétés du matériau de la garniture d'étanchéité, de la géométrie de cette garniture d'étanchéité et de la conception du joint.</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Cette norme doit être utilisée, quand elle est applicable, avec les normes de produit qui spécifient des exigences de performance pour les garnitures d'étanchéité.</w:t>
            </w:r>
          </w:p>
          <w:p w:rsidR="00E33F03" w:rsidRPr="0043547B" w:rsidRDefault="00E33F03" w:rsidP="00E33F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Cette norme est applicable aux garnitures d'étanchéité pour tous les matériaux de canalisations comprenant la fonte, l'acier, le grès, le fibre-ciment, le béton, le béton armé, les plastiques et plastiques armés de fibres de verre. Elle est applicable aux composants caoutchouc des garnitures composites ou non composites.</w:t>
            </w:r>
          </w:p>
        </w:tc>
      </w:tr>
    </w:tbl>
    <w:p w:rsidR="00904E52" w:rsidRPr="0043547B" w:rsidRDefault="00904E52" w:rsidP="00B905D3">
      <w:pPr>
        <w:pStyle w:val="Titre3"/>
        <w:numPr>
          <w:ilvl w:val="1"/>
          <w:numId w:val="2"/>
        </w:numPr>
        <w:tabs>
          <w:tab w:val="left" w:pos="284"/>
        </w:tabs>
        <w:ind w:left="0" w:hanging="11"/>
        <w:rPr>
          <w:rFonts w:asciiTheme="minorHAnsi" w:hAnsiTheme="minorHAnsi" w:cstheme="minorHAnsi"/>
          <w:sz w:val="24"/>
          <w:szCs w:val="24"/>
          <w:u w:val="single"/>
        </w:rPr>
      </w:pPr>
      <w:bookmarkStart w:id="19" w:name="_Toc458606076"/>
      <w:r w:rsidRPr="0043547B">
        <w:rPr>
          <w:rFonts w:asciiTheme="minorHAnsi" w:hAnsiTheme="minorHAnsi" w:cstheme="minorHAnsi"/>
          <w:sz w:val="24"/>
          <w:szCs w:val="24"/>
          <w:u w:val="single"/>
        </w:rPr>
        <w:lastRenderedPageBreak/>
        <w:t>Lot N° 3 : Matériaux de construction</w:t>
      </w:r>
      <w:bookmarkEnd w:id="19"/>
    </w:p>
    <w:p w:rsidR="00904E52" w:rsidRPr="0043547B" w:rsidRDefault="00904E52" w:rsidP="00AF178F">
      <w:pPr>
        <w:pStyle w:val="Titre4"/>
        <w:numPr>
          <w:ilvl w:val="2"/>
          <w:numId w:val="2"/>
        </w:numPr>
        <w:ind w:left="1418" w:hanging="579"/>
        <w:rPr>
          <w:rFonts w:cstheme="minorHAnsi"/>
          <w:b/>
          <w:bCs w:val="0"/>
          <w:iCs w:val="0"/>
          <w:color w:val="auto"/>
          <w:szCs w:val="24"/>
          <w:u w:val="single"/>
        </w:rPr>
      </w:pPr>
      <w:bookmarkStart w:id="20" w:name="_Toc458606077"/>
      <w:r w:rsidRPr="0043547B">
        <w:rPr>
          <w:rFonts w:cstheme="minorHAnsi"/>
          <w:b/>
          <w:bCs w:val="0"/>
          <w:iCs w:val="0"/>
          <w:color w:val="auto"/>
          <w:szCs w:val="24"/>
          <w:u w:val="single"/>
        </w:rPr>
        <w:t>Produits de fonderie</w:t>
      </w:r>
      <w:bookmarkEnd w:id="20"/>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3"/>
        <w:gridCol w:w="7938"/>
      </w:tblGrid>
      <w:tr w:rsidR="0043547B" w:rsidRPr="0043547B" w:rsidTr="00CB5DC0">
        <w:trPr>
          <w:trHeight w:val="330"/>
          <w:jc w:val="center"/>
        </w:trPr>
        <w:tc>
          <w:tcPr>
            <w:tcW w:w="1843"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01.4.018</w:t>
            </w:r>
          </w:p>
        </w:tc>
      </w:tr>
      <w:tr w:rsidR="0043547B" w:rsidRPr="0043547B" w:rsidTr="00CB5DC0">
        <w:trPr>
          <w:trHeight w:val="330"/>
          <w:jc w:val="center"/>
        </w:trPr>
        <w:tc>
          <w:tcPr>
            <w:tcW w:w="1843"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auto" w:fill="FFFFFF" w:themeFill="background1"/>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Produits de fonderie - Aciers moulés inoxydables - Austénitiques et austéno-férritiques </w:t>
            </w:r>
          </w:p>
        </w:tc>
      </w:tr>
      <w:tr w:rsidR="0043547B" w:rsidRPr="0043547B" w:rsidTr="00CB5DC0">
        <w:trPr>
          <w:trHeight w:val="1233"/>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FFFFFF" w:themeFill="background1"/>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aux aciers inoxydables moulés austénitiques et austéno-ferritiques d'usage général, utilisés à température ambiante et aux températures au plus égales à 300 °C dans les industries chimiques, alimentaires, de construction navale, de mécanique générale.</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01.4.676</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10210-1</w:t>
            </w:r>
          </w:p>
        </w:tc>
      </w:tr>
      <w:tr w:rsidR="0043547B" w:rsidRPr="0043547B" w:rsidTr="00CB5DC0">
        <w:trPr>
          <w:trHeight w:val="495"/>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FFFFFF" w:themeFill="background1"/>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Profils creux pour la construction finis à chaud en aciers de construction non alliés et à grains fins - Conditions techniques de livraison </w:t>
            </w:r>
          </w:p>
        </w:tc>
      </w:tr>
      <w:tr w:rsidR="0043547B" w:rsidRPr="0043547B" w:rsidTr="00CB5DC0">
        <w:trPr>
          <w:trHeight w:val="2274"/>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FFFFFF" w:themeFill="background1"/>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Cette norme spécifie les caractéristiques techniques de livraison des profils creux finis à chaud, de forme circulaire, carrée ou rectangulaire. Elle s'applique aux profils creux formés à chaud avec ou sans traitement thermique ou formés à froid avec traitement thermique consécutif au formage afin d'obtenir un état métallurgique équivalent à celui des produits formés à chaud. Les aciers à grains fins sont généralement livrés dans un état normalisé. Les produits spécifiés dans la norme sont destinés à être utilisés dans la construction. Les exigences relatives aux tolérances, dimensions et propriétés des profils figurent dans la norme (NM 01.4.677). </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01.4.677</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10210-2</w:t>
            </w:r>
          </w:p>
        </w:tc>
      </w:tr>
      <w:tr w:rsidR="0043547B" w:rsidRPr="0043547B" w:rsidTr="00CB5DC0">
        <w:trPr>
          <w:trHeight w:val="495"/>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FFFFFF" w:themeFill="background1"/>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Profils creux pour la construction finis à chaud en aciers de construction non alliés et à grains fins - Tolérances, dimensions et caractéristiques du profil </w:t>
            </w:r>
          </w:p>
        </w:tc>
      </w:tr>
      <w:tr w:rsidR="0043547B" w:rsidRPr="0043547B" w:rsidTr="00CB5DC0">
        <w:trPr>
          <w:trHeight w:val="1263"/>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FFFFFF" w:themeFill="background1"/>
            <w:vAlign w:val="center"/>
            <w:hideMark/>
          </w:tcPr>
          <w:p w:rsidR="00904E52" w:rsidRPr="0043547B" w:rsidRDefault="00904E52" w:rsidP="00D336A0">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tolérances pour les profils creux pour la construction finis à chaud de section circulaire, carrée ou rectangulaire, ainsi que les dimensions et les caractéristiques du profil pour toute une gamme de dimensions standard. Pour les conditions techniques de livraison, voir la NM 01.4.676.</w:t>
            </w:r>
          </w:p>
        </w:tc>
      </w:tr>
      <w:tr w:rsidR="009064A0" w:rsidRPr="0043547B" w:rsidTr="006D4510">
        <w:trPr>
          <w:trHeight w:val="393"/>
          <w:jc w:val="center"/>
        </w:trPr>
        <w:tc>
          <w:tcPr>
            <w:tcW w:w="1843"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9064A0" w:rsidRDefault="009064A0" w:rsidP="006D4510">
            <w:pPr>
              <w:spacing w:after="0" w:line="240" w:lineRule="auto"/>
              <w:jc w:val="center"/>
              <w:rPr>
                <w:rFonts w:ascii="Calibri" w:hAnsi="Calibri" w:cs="Calibri"/>
                <w:b/>
                <w:bCs/>
              </w:rPr>
            </w:pPr>
            <w:r>
              <w:rPr>
                <w:rFonts w:ascii="Calibri" w:hAnsi="Calibri" w:cs="Calibri"/>
                <w:b/>
                <w:bCs/>
              </w:rPr>
              <w:t>Code</w:t>
            </w:r>
          </w:p>
        </w:tc>
        <w:tc>
          <w:tcPr>
            <w:tcW w:w="7938" w:type="dxa"/>
            <w:tcBorders>
              <w:left w:val="single" w:sz="4" w:space="0" w:color="auto"/>
              <w:bottom w:val="single" w:sz="18" w:space="0" w:color="auto"/>
              <w:right w:val="single" w:sz="18" w:space="0" w:color="auto"/>
            </w:tcBorders>
            <w:shd w:val="clear" w:color="auto" w:fill="C2D69B" w:themeFill="accent3" w:themeFillTint="99"/>
          </w:tcPr>
          <w:p w:rsidR="009064A0" w:rsidRPr="006D4510" w:rsidRDefault="009064A0" w:rsidP="006D4510">
            <w:pPr>
              <w:spacing w:after="0" w:line="240" w:lineRule="auto"/>
              <w:jc w:val="center"/>
              <w:rPr>
                <w:rFonts w:ascii="Calibri" w:hAnsi="Calibri" w:cs="Calibri"/>
                <w:b/>
                <w:bCs/>
                <w:sz w:val="24"/>
                <w:szCs w:val="24"/>
              </w:rPr>
            </w:pPr>
            <w:r w:rsidRPr="006D4510">
              <w:rPr>
                <w:rFonts w:ascii="Calibri" w:hAnsi="Calibri" w:cs="Calibri"/>
                <w:b/>
                <w:bCs/>
                <w:sz w:val="24"/>
                <w:szCs w:val="24"/>
              </w:rPr>
              <w:t>NM EN 10095</w:t>
            </w:r>
          </w:p>
        </w:tc>
      </w:tr>
      <w:tr w:rsidR="009064A0" w:rsidRPr="0043547B" w:rsidTr="006D4510">
        <w:trPr>
          <w:trHeight w:val="214"/>
          <w:jc w:val="center"/>
        </w:trPr>
        <w:tc>
          <w:tcPr>
            <w:tcW w:w="1843" w:type="dxa"/>
            <w:tcBorders>
              <w:top w:val="nil"/>
              <w:left w:val="single" w:sz="18" w:space="0" w:color="auto"/>
              <w:bottom w:val="single" w:sz="18" w:space="0" w:color="auto"/>
              <w:right w:val="single" w:sz="4" w:space="0" w:color="auto"/>
            </w:tcBorders>
            <w:shd w:val="clear" w:color="auto" w:fill="FFFF99"/>
            <w:vAlign w:val="center"/>
          </w:tcPr>
          <w:p w:rsidR="009064A0" w:rsidRDefault="009064A0" w:rsidP="006D4510">
            <w:pPr>
              <w:spacing w:after="0" w:line="240" w:lineRule="auto"/>
              <w:jc w:val="center"/>
              <w:rPr>
                <w:rFonts w:ascii="Calibri" w:hAnsi="Calibri" w:cs="Calibri"/>
                <w:b/>
                <w:bCs/>
                <w:sz w:val="24"/>
                <w:szCs w:val="24"/>
              </w:rPr>
            </w:pPr>
            <w:r>
              <w:rPr>
                <w:rFonts w:ascii="Calibri" w:hAnsi="Calibri" w:cs="Calibri"/>
                <w:b/>
                <w:bCs/>
              </w:rPr>
              <w:t>Equivalence</w:t>
            </w:r>
          </w:p>
        </w:tc>
        <w:tc>
          <w:tcPr>
            <w:tcW w:w="7938" w:type="dxa"/>
            <w:tcBorders>
              <w:left w:val="single" w:sz="4" w:space="0" w:color="auto"/>
              <w:bottom w:val="single" w:sz="18" w:space="0" w:color="auto"/>
              <w:right w:val="single" w:sz="18" w:space="0" w:color="auto"/>
            </w:tcBorders>
            <w:shd w:val="clear" w:color="auto" w:fill="FFFF99"/>
            <w:vAlign w:val="center"/>
          </w:tcPr>
          <w:p w:rsidR="009064A0" w:rsidRPr="006D4510" w:rsidRDefault="009064A0" w:rsidP="006D4510">
            <w:pPr>
              <w:spacing w:after="0" w:line="240" w:lineRule="auto"/>
              <w:jc w:val="center"/>
              <w:rPr>
                <w:rFonts w:ascii="Calibri" w:hAnsi="Calibri" w:cs="Calibri"/>
                <w:b/>
                <w:bCs/>
                <w:sz w:val="24"/>
                <w:szCs w:val="24"/>
              </w:rPr>
            </w:pPr>
            <w:r w:rsidRPr="006D4510">
              <w:rPr>
                <w:rFonts w:ascii="Calibri" w:hAnsi="Calibri" w:cs="Calibri"/>
                <w:b/>
                <w:bCs/>
                <w:sz w:val="24"/>
                <w:szCs w:val="24"/>
              </w:rPr>
              <w:t>EN 10095</w:t>
            </w:r>
          </w:p>
        </w:tc>
      </w:tr>
      <w:tr w:rsidR="009064A0" w:rsidRPr="0043547B" w:rsidTr="006D4510">
        <w:trPr>
          <w:trHeight w:val="462"/>
          <w:jc w:val="center"/>
        </w:trPr>
        <w:tc>
          <w:tcPr>
            <w:tcW w:w="1843" w:type="dxa"/>
            <w:tcBorders>
              <w:top w:val="single" w:sz="18" w:space="0" w:color="auto"/>
              <w:left w:val="single" w:sz="18" w:space="0" w:color="auto"/>
              <w:bottom w:val="single" w:sz="4" w:space="0" w:color="auto"/>
              <w:right w:val="single" w:sz="4" w:space="0" w:color="auto"/>
            </w:tcBorders>
            <w:shd w:val="clear" w:color="auto" w:fill="95B3D7" w:themeFill="accent1" w:themeFillTint="99"/>
            <w:vAlign w:val="center"/>
          </w:tcPr>
          <w:p w:rsidR="009064A0" w:rsidRDefault="009064A0" w:rsidP="006D4510">
            <w:pPr>
              <w:spacing w:after="0" w:line="240" w:lineRule="auto"/>
              <w:jc w:val="center"/>
              <w:rPr>
                <w:rFonts w:ascii="Calibri" w:hAnsi="Calibri" w:cs="Calibri"/>
                <w:b/>
                <w:bCs/>
                <w:sz w:val="24"/>
                <w:szCs w:val="24"/>
              </w:rPr>
            </w:pPr>
            <w:r>
              <w:rPr>
                <w:rFonts w:ascii="Calibri" w:hAnsi="Calibri" w:cs="Calibri"/>
                <w:b/>
                <w:bCs/>
              </w:rPr>
              <w:t>Intitulé</w:t>
            </w:r>
          </w:p>
        </w:tc>
        <w:tc>
          <w:tcPr>
            <w:tcW w:w="7938" w:type="dxa"/>
            <w:tcBorders>
              <w:top w:val="single" w:sz="18" w:space="0" w:color="auto"/>
              <w:left w:val="single" w:sz="4" w:space="0" w:color="auto"/>
              <w:bottom w:val="single" w:sz="4" w:space="0" w:color="auto"/>
              <w:right w:val="single" w:sz="18" w:space="0" w:color="auto"/>
            </w:tcBorders>
            <w:shd w:val="clear" w:color="auto" w:fill="FFFFFF" w:themeFill="background1"/>
          </w:tcPr>
          <w:p w:rsidR="009064A0" w:rsidRDefault="009064A0" w:rsidP="006D4510">
            <w:pPr>
              <w:spacing w:after="0" w:line="240" w:lineRule="auto"/>
              <w:jc w:val="both"/>
              <w:rPr>
                <w:rFonts w:ascii="Calibri" w:hAnsi="Calibri" w:cs="Calibri"/>
              </w:rPr>
            </w:pPr>
            <w:r>
              <w:rPr>
                <w:rFonts w:ascii="Calibri" w:hAnsi="Calibri" w:cs="Calibri"/>
              </w:rPr>
              <w:t>Aciers et alliages de nickel réfractaires</w:t>
            </w:r>
          </w:p>
        </w:tc>
      </w:tr>
      <w:tr w:rsidR="009064A0" w:rsidRPr="0043547B" w:rsidTr="006D4510">
        <w:trPr>
          <w:trHeight w:val="1263"/>
          <w:jc w:val="center"/>
        </w:trPr>
        <w:tc>
          <w:tcPr>
            <w:tcW w:w="1843" w:type="dxa"/>
            <w:tcBorders>
              <w:top w:val="single" w:sz="4" w:space="0" w:color="auto"/>
              <w:left w:val="single" w:sz="18" w:space="0" w:color="auto"/>
              <w:bottom w:val="single" w:sz="18" w:space="0" w:color="auto"/>
              <w:right w:val="single" w:sz="4" w:space="0" w:color="auto"/>
            </w:tcBorders>
            <w:shd w:val="clear" w:color="000000" w:fill="D9D9D9"/>
            <w:vAlign w:val="center"/>
          </w:tcPr>
          <w:p w:rsidR="009064A0" w:rsidRDefault="009064A0" w:rsidP="006D4510">
            <w:pPr>
              <w:jc w:val="center"/>
              <w:rPr>
                <w:rFonts w:ascii="Calibri" w:hAnsi="Calibri" w:cs="Calibri"/>
                <w:b/>
                <w:bCs/>
                <w:sz w:val="24"/>
                <w:szCs w:val="24"/>
              </w:rPr>
            </w:pPr>
            <w:r>
              <w:rPr>
                <w:rFonts w:ascii="Calibri" w:hAnsi="Calibri" w:cs="Calibri"/>
                <w:b/>
                <w:bCs/>
              </w:rPr>
              <w:t>Domaine d’application</w:t>
            </w:r>
          </w:p>
        </w:tc>
        <w:tc>
          <w:tcPr>
            <w:tcW w:w="7938" w:type="dxa"/>
            <w:tcBorders>
              <w:top w:val="single" w:sz="4" w:space="0" w:color="auto"/>
              <w:left w:val="single" w:sz="4" w:space="0" w:color="auto"/>
              <w:bottom w:val="single" w:sz="18" w:space="0" w:color="auto"/>
              <w:right w:val="single" w:sz="18" w:space="0" w:color="auto"/>
            </w:tcBorders>
            <w:shd w:val="clear" w:color="auto" w:fill="FFFFFF" w:themeFill="background1"/>
            <w:vAlign w:val="bottom"/>
          </w:tcPr>
          <w:p w:rsidR="009064A0" w:rsidRDefault="009064A0" w:rsidP="006D4510">
            <w:pPr>
              <w:spacing w:after="0" w:line="240" w:lineRule="auto"/>
              <w:jc w:val="both"/>
              <w:rPr>
                <w:rFonts w:ascii="Calibri" w:hAnsi="Calibri" w:cs="Calibri"/>
              </w:rPr>
            </w:pPr>
            <w:r>
              <w:rPr>
                <w:rFonts w:ascii="Calibri" w:hAnsi="Calibri" w:cs="Calibri"/>
              </w:rPr>
              <w:t>La norme s'applique aux nuances d'aciers et d'alliages de nickel corroyés qui sont généralement employés pour la fabrication de pièces caractérisées essentiellement par leur résistance aux effets des gaz chauds et des produits de combustion à des températures supérieures à 550 °C. Elle précise également les conditions techniques de livraison des demi-produits, des tôles/bandes et feuillards laminés à chaud ou à froid, ainsi que des barres, des fils-machine et des profils transformés à chaud ou à froid réalisés en aciers et alliages de nickel réfractaires.</w:t>
            </w:r>
          </w:p>
        </w:tc>
      </w:tr>
      <w:tr w:rsidR="009064A0" w:rsidRPr="0043547B" w:rsidTr="006D4510">
        <w:trPr>
          <w:trHeight w:val="326"/>
          <w:jc w:val="center"/>
        </w:trPr>
        <w:tc>
          <w:tcPr>
            <w:tcW w:w="1843"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9064A0" w:rsidRDefault="009064A0" w:rsidP="006D4510">
            <w:pPr>
              <w:spacing w:after="0" w:line="240" w:lineRule="auto"/>
              <w:jc w:val="center"/>
              <w:rPr>
                <w:rFonts w:ascii="Calibri" w:hAnsi="Calibri" w:cs="Calibri"/>
                <w:b/>
                <w:bCs/>
                <w:sz w:val="24"/>
                <w:szCs w:val="24"/>
              </w:rPr>
            </w:pPr>
            <w:r>
              <w:rPr>
                <w:rFonts w:ascii="Calibri" w:hAnsi="Calibri" w:cs="Calibri"/>
                <w:b/>
                <w:bCs/>
              </w:rPr>
              <w:t>Code</w:t>
            </w:r>
          </w:p>
        </w:tc>
        <w:tc>
          <w:tcPr>
            <w:tcW w:w="7938" w:type="dxa"/>
            <w:tcBorders>
              <w:left w:val="single" w:sz="4" w:space="0" w:color="auto"/>
              <w:bottom w:val="single" w:sz="18" w:space="0" w:color="auto"/>
              <w:right w:val="single" w:sz="18" w:space="0" w:color="auto"/>
            </w:tcBorders>
            <w:shd w:val="clear" w:color="auto" w:fill="C2D69B" w:themeFill="accent3" w:themeFillTint="99"/>
          </w:tcPr>
          <w:p w:rsidR="009064A0" w:rsidRPr="006D4510" w:rsidRDefault="009064A0" w:rsidP="006D4510">
            <w:pPr>
              <w:spacing w:after="0" w:line="240" w:lineRule="auto"/>
              <w:jc w:val="center"/>
              <w:rPr>
                <w:rFonts w:ascii="Calibri" w:hAnsi="Calibri" w:cs="Calibri"/>
                <w:b/>
                <w:bCs/>
              </w:rPr>
            </w:pPr>
            <w:r w:rsidRPr="006D4510">
              <w:rPr>
                <w:rFonts w:ascii="Calibri" w:hAnsi="Calibri" w:cs="Calibri"/>
                <w:b/>
                <w:bCs/>
              </w:rPr>
              <w:t>NM ISO 4957</w:t>
            </w:r>
          </w:p>
        </w:tc>
      </w:tr>
      <w:tr w:rsidR="009064A0" w:rsidRPr="0043547B" w:rsidTr="006D4510">
        <w:trPr>
          <w:trHeight w:val="383"/>
          <w:jc w:val="center"/>
        </w:trPr>
        <w:tc>
          <w:tcPr>
            <w:tcW w:w="1843" w:type="dxa"/>
            <w:tcBorders>
              <w:top w:val="nil"/>
              <w:left w:val="single" w:sz="18" w:space="0" w:color="auto"/>
              <w:bottom w:val="single" w:sz="18" w:space="0" w:color="auto"/>
              <w:right w:val="single" w:sz="4" w:space="0" w:color="auto"/>
            </w:tcBorders>
            <w:shd w:val="clear" w:color="auto" w:fill="FFFF99"/>
            <w:vAlign w:val="center"/>
          </w:tcPr>
          <w:p w:rsidR="009064A0" w:rsidRDefault="009064A0" w:rsidP="006D4510">
            <w:pPr>
              <w:spacing w:after="0" w:line="240" w:lineRule="auto"/>
              <w:jc w:val="center"/>
              <w:rPr>
                <w:rFonts w:ascii="Calibri" w:hAnsi="Calibri" w:cs="Calibri"/>
                <w:b/>
                <w:bCs/>
                <w:sz w:val="24"/>
                <w:szCs w:val="24"/>
              </w:rPr>
            </w:pPr>
            <w:r>
              <w:rPr>
                <w:rFonts w:ascii="Calibri" w:hAnsi="Calibri" w:cs="Calibri"/>
                <w:b/>
                <w:bCs/>
              </w:rPr>
              <w:t>Equivalence </w:t>
            </w:r>
            <w:r w:rsidR="006D4510">
              <w:rPr>
                <w:rFonts w:ascii="Calibri" w:hAnsi="Calibri" w:cs="Calibri"/>
                <w:b/>
                <w:bCs/>
              </w:rPr>
              <w:t xml:space="preserve"> </w:t>
            </w:r>
          </w:p>
        </w:tc>
        <w:tc>
          <w:tcPr>
            <w:tcW w:w="7938" w:type="dxa"/>
            <w:tcBorders>
              <w:left w:val="single" w:sz="4" w:space="0" w:color="auto"/>
              <w:bottom w:val="single" w:sz="18" w:space="0" w:color="auto"/>
              <w:right w:val="single" w:sz="18" w:space="0" w:color="auto"/>
            </w:tcBorders>
            <w:shd w:val="clear" w:color="auto" w:fill="FFFF99"/>
            <w:vAlign w:val="center"/>
          </w:tcPr>
          <w:p w:rsidR="009064A0" w:rsidRPr="006D4510" w:rsidRDefault="009064A0" w:rsidP="006D4510">
            <w:pPr>
              <w:spacing w:after="0" w:line="240" w:lineRule="auto"/>
              <w:jc w:val="center"/>
              <w:rPr>
                <w:rFonts w:ascii="Calibri" w:hAnsi="Calibri" w:cs="Calibri"/>
                <w:b/>
                <w:bCs/>
              </w:rPr>
            </w:pPr>
            <w:r w:rsidRPr="006D4510">
              <w:rPr>
                <w:rFonts w:ascii="Calibri" w:hAnsi="Calibri" w:cs="Calibri"/>
                <w:b/>
                <w:bCs/>
              </w:rPr>
              <w:t>ISO 4957</w:t>
            </w:r>
          </w:p>
        </w:tc>
      </w:tr>
      <w:tr w:rsidR="009064A0" w:rsidRPr="0043547B" w:rsidTr="006D4510">
        <w:trPr>
          <w:trHeight w:val="383"/>
          <w:jc w:val="center"/>
        </w:trPr>
        <w:tc>
          <w:tcPr>
            <w:tcW w:w="1843" w:type="dxa"/>
            <w:tcBorders>
              <w:top w:val="single" w:sz="18" w:space="0" w:color="auto"/>
              <w:left w:val="single" w:sz="18" w:space="0" w:color="auto"/>
              <w:bottom w:val="single" w:sz="4" w:space="0" w:color="auto"/>
              <w:right w:val="single" w:sz="4" w:space="0" w:color="auto"/>
            </w:tcBorders>
            <w:shd w:val="clear" w:color="auto" w:fill="95B3D7" w:themeFill="accent1" w:themeFillTint="99"/>
            <w:vAlign w:val="center"/>
          </w:tcPr>
          <w:p w:rsidR="009064A0" w:rsidRDefault="009064A0" w:rsidP="006D4510">
            <w:pPr>
              <w:spacing w:after="0" w:line="240" w:lineRule="auto"/>
              <w:jc w:val="center"/>
              <w:rPr>
                <w:rFonts w:ascii="Calibri" w:hAnsi="Calibri" w:cs="Calibri"/>
                <w:b/>
                <w:bCs/>
                <w:sz w:val="24"/>
                <w:szCs w:val="24"/>
              </w:rPr>
            </w:pPr>
            <w:r>
              <w:rPr>
                <w:rFonts w:ascii="Calibri" w:hAnsi="Calibri" w:cs="Calibri"/>
                <w:b/>
                <w:bCs/>
              </w:rPr>
              <w:t>Intitulé </w:t>
            </w:r>
            <w:r w:rsidR="006D4510">
              <w:rPr>
                <w:rFonts w:ascii="Calibri" w:hAnsi="Calibri" w:cs="Calibri"/>
                <w:b/>
                <w:bCs/>
              </w:rPr>
              <w:t xml:space="preserve"> </w:t>
            </w:r>
          </w:p>
        </w:tc>
        <w:tc>
          <w:tcPr>
            <w:tcW w:w="7938" w:type="dxa"/>
            <w:tcBorders>
              <w:top w:val="single" w:sz="18" w:space="0" w:color="auto"/>
              <w:left w:val="single" w:sz="4" w:space="0" w:color="auto"/>
              <w:bottom w:val="single" w:sz="4" w:space="0" w:color="auto"/>
              <w:right w:val="single" w:sz="18" w:space="0" w:color="auto"/>
            </w:tcBorders>
            <w:shd w:val="clear" w:color="auto" w:fill="FFFFFF" w:themeFill="background1"/>
          </w:tcPr>
          <w:p w:rsidR="009064A0" w:rsidRDefault="009064A0" w:rsidP="009064A0">
            <w:pPr>
              <w:jc w:val="both"/>
              <w:rPr>
                <w:rFonts w:ascii="Calibri" w:hAnsi="Calibri" w:cs="Calibri"/>
              </w:rPr>
            </w:pPr>
            <w:r>
              <w:rPr>
                <w:rFonts w:ascii="Calibri" w:hAnsi="Calibri" w:cs="Calibri"/>
              </w:rPr>
              <w:t>Aciers à outils</w:t>
            </w:r>
          </w:p>
        </w:tc>
      </w:tr>
      <w:tr w:rsidR="009064A0" w:rsidRPr="0043547B" w:rsidTr="006D4510">
        <w:trPr>
          <w:trHeight w:val="2402"/>
          <w:jc w:val="center"/>
        </w:trPr>
        <w:tc>
          <w:tcPr>
            <w:tcW w:w="1843" w:type="dxa"/>
            <w:tcBorders>
              <w:top w:val="single" w:sz="4" w:space="0" w:color="auto"/>
              <w:left w:val="single" w:sz="18" w:space="0" w:color="auto"/>
              <w:bottom w:val="single" w:sz="18" w:space="0" w:color="auto"/>
              <w:right w:val="single" w:sz="4" w:space="0" w:color="auto"/>
            </w:tcBorders>
            <w:shd w:val="clear" w:color="000000" w:fill="D9D9D9"/>
            <w:vAlign w:val="center"/>
          </w:tcPr>
          <w:p w:rsidR="009064A0" w:rsidRDefault="009064A0" w:rsidP="006D4510">
            <w:pPr>
              <w:spacing w:after="0" w:line="240" w:lineRule="auto"/>
              <w:jc w:val="center"/>
              <w:rPr>
                <w:rFonts w:ascii="Calibri" w:hAnsi="Calibri" w:cs="Calibri"/>
                <w:b/>
                <w:bCs/>
                <w:sz w:val="24"/>
                <w:szCs w:val="24"/>
              </w:rPr>
            </w:pPr>
            <w:r>
              <w:rPr>
                <w:rFonts w:ascii="Calibri" w:hAnsi="Calibri" w:cs="Calibri"/>
                <w:b/>
                <w:bCs/>
              </w:rPr>
              <w:lastRenderedPageBreak/>
              <w:t>Domaine d’application </w:t>
            </w:r>
            <w:r w:rsidR="006D4510">
              <w:rPr>
                <w:rFonts w:ascii="Calibri" w:hAnsi="Calibri" w:cs="Calibri"/>
                <w:b/>
                <w:bCs/>
              </w:rPr>
              <w:t xml:space="preserve"> </w:t>
            </w:r>
          </w:p>
        </w:tc>
        <w:tc>
          <w:tcPr>
            <w:tcW w:w="7938" w:type="dxa"/>
            <w:tcBorders>
              <w:top w:val="single" w:sz="4" w:space="0" w:color="auto"/>
              <w:left w:val="single" w:sz="4" w:space="0" w:color="auto"/>
              <w:bottom w:val="single" w:sz="18" w:space="0" w:color="auto"/>
              <w:right w:val="single" w:sz="18" w:space="0" w:color="auto"/>
            </w:tcBorders>
            <w:shd w:val="clear" w:color="auto" w:fill="FFFFFF" w:themeFill="background1"/>
            <w:vAlign w:val="bottom"/>
          </w:tcPr>
          <w:p w:rsidR="009064A0" w:rsidRDefault="009064A0" w:rsidP="006D4510">
            <w:pPr>
              <w:spacing w:after="0" w:line="240" w:lineRule="auto"/>
              <w:rPr>
                <w:rFonts w:ascii="Calibri" w:hAnsi="Calibri" w:cs="Calibri"/>
              </w:rPr>
            </w:pPr>
            <w:r>
              <w:rPr>
                <w:rFonts w:ascii="Calibri" w:hAnsi="Calibri" w:cs="Calibri"/>
              </w:rPr>
              <w:t>La norme spécifie les exigences concernant les nuances des aciers à outils corroyés suivants:</w:t>
            </w:r>
            <w:r>
              <w:rPr>
                <w:rFonts w:ascii="Calibri" w:hAnsi="Calibri" w:cs="Calibri"/>
              </w:rPr>
              <w:br/>
              <w:t>a) aciers à outils non alliés pour travail à froid;</w:t>
            </w:r>
            <w:r>
              <w:rPr>
                <w:rFonts w:ascii="Calibri" w:hAnsi="Calibri" w:cs="Calibri"/>
              </w:rPr>
              <w:br/>
              <w:t>b) aciers à outils alliés pour travail à froid;</w:t>
            </w:r>
            <w:r>
              <w:rPr>
                <w:rFonts w:ascii="Calibri" w:hAnsi="Calibri" w:cs="Calibri"/>
              </w:rPr>
              <w:br/>
              <w:t>c) aciers à outils alliés pour travail à chaud;</w:t>
            </w:r>
            <w:r>
              <w:rPr>
                <w:rFonts w:ascii="Calibri" w:hAnsi="Calibri" w:cs="Calibri"/>
              </w:rPr>
              <w:br/>
              <w:t>d) aciers rapides.</w:t>
            </w:r>
            <w:r>
              <w:rPr>
                <w:rFonts w:ascii="Calibri" w:hAnsi="Calibri" w:cs="Calibri"/>
              </w:rPr>
              <w:br/>
              <w:t>Elle s'applique à tous les types de produits laminés à chaud ou à froid, forgés, ou étirés à froid ou aux produits fabriqués par la métallurgie des poudres et qui possèdent à la livraison l'un des états de surface et de traitement thermique spécifiés dans la norme</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01.4.678</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10219-1</w:t>
            </w:r>
          </w:p>
        </w:tc>
      </w:tr>
      <w:tr w:rsidR="0043547B" w:rsidRPr="0043547B" w:rsidTr="00CB5DC0">
        <w:trPr>
          <w:trHeight w:val="495"/>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FFFFFF" w:themeFill="background1"/>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Profils creux pour la construction formés à froid en aciers de construction non alliés et à grains finis - Conditions techniques de livraison </w:t>
            </w:r>
          </w:p>
        </w:tc>
      </w:tr>
      <w:tr w:rsidR="0043547B" w:rsidRPr="0043547B" w:rsidTr="00CB5DC0">
        <w:trPr>
          <w:trHeight w:val="1746"/>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FFFFFF" w:themeFill="background1"/>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conditions techniques de livraison des profils creux formés à froid de forme circulaire, carrée ou rectangulaire. Elle s'applique aux profils creux formés à froid sans traitement thermique ultérieur. Les prescriptions spécifiées sont applicables aux aciers de qualité non alliés, aux aciers à grains fins de qualité non alliés ainsi qu'aux aciers spéciaux à grains fins alliés tels qu'ils sont définis dans la NM 01.4.183. Les produits spécifiés dans La norme sont destinés à être utilisés dans la construction.</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01.4.679</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10219-2</w:t>
            </w:r>
          </w:p>
        </w:tc>
      </w:tr>
      <w:tr w:rsidR="0043547B" w:rsidRPr="0043547B" w:rsidTr="00CB5DC0">
        <w:trPr>
          <w:trHeight w:val="495"/>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FFFFFF" w:themeFill="background1"/>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Profils creux pour la construction formés à froid en aciers de construction non alliés et à grains fins - Tolérances, dimensions et caractéristiques du profil </w:t>
            </w:r>
          </w:p>
        </w:tc>
      </w:tr>
      <w:tr w:rsidR="0043547B" w:rsidRPr="0043547B" w:rsidTr="00CB5DC0">
        <w:trPr>
          <w:trHeight w:val="1227"/>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FFFFFF" w:themeFill="background1"/>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tolérances concernant les profils creux pour la construction formés à froid de section circulaire, carrée ou rectangulaire, ainsi que les dimensions et les caractéristiques du profil pour toute une gamme de tailles standard. Pour les conditions techniques de livraison, voir NM 01.4.678.</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01.4.651</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10147</w:t>
            </w:r>
          </w:p>
        </w:tc>
      </w:tr>
      <w:tr w:rsidR="0043547B" w:rsidRPr="0043547B" w:rsidTr="00CB5DC0">
        <w:trPr>
          <w:trHeight w:val="495"/>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FFFFFF" w:themeFill="background1"/>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Bandes et tôles en aciers de construction galvanisées à chaud en continu - Conditions techniques de livraison ;</w:t>
            </w:r>
          </w:p>
        </w:tc>
      </w:tr>
      <w:tr w:rsidR="0043547B" w:rsidRPr="0043547B" w:rsidTr="00CB5DC0">
        <w:trPr>
          <w:trHeight w:val="1545"/>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FFFFFF" w:themeFill="background1"/>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La norme a pour objet de définir les prescriptions relatives aux produits plats en acier galvanisés à chaud en continu indiqués au tableau 1, et dont l'épaisseur est inférieure ou égale à 3,0 mm. L'épaisseur considérée est l'épaisseur finale du produit livré après galvanisation. La norme est applicable aux bandes (bobines) de toutes largeurs ainsi qu'aux tôles qui en sont issues (largeur </w:t>
            </w:r>
            <w:r w:rsidR="00D336A0" w:rsidRPr="0043547B">
              <w:rPr>
                <w:rFonts w:eastAsia="Times New Roman" w:cstheme="minorHAnsi"/>
                <w:sz w:val="24"/>
                <w:szCs w:val="24"/>
                <w:lang w:eastAsia="fr-FR"/>
              </w:rPr>
              <w:t>= 600</w:t>
            </w:r>
            <w:r w:rsidRPr="0043547B">
              <w:rPr>
                <w:rFonts w:eastAsia="Times New Roman" w:cstheme="minorHAnsi"/>
                <w:sz w:val="24"/>
                <w:szCs w:val="24"/>
                <w:lang w:eastAsia="fr-FR"/>
              </w:rPr>
              <w:t xml:space="preserve"> mm) et aux «bandes refendues coupées à longueur» (largeur </w:t>
            </w:r>
            <w:r w:rsidR="00D336A0" w:rsidRPr="0043547B">
              <w:rPr>
                <w:rFonts w:eastAsia="Times New Roman" w:cstheme="minorHAnsi"/>
                <w:sz w:val="24"/>
                <w:szCs w:val="24"/>
                <w:lang w:eastAsia="fr-FR"/>
              </w:rPr>
              <w:t>&lt; 600</w:t>
            </w:r>
            <w:r w:rsidRPr="0043547B">
              <w:rPr>
                <w:rFonts w:eastAsia="Times New Roman" w:cstheme="minorHAnsi"/>
                <w:sz w:val="24"/>
                <w:szCs w:val="24"/>
                <w:lang w:eastAsia="fr-FR"/>
              </w:rPr>
              <w:t xml:space="preserve"> mm) qui y sont découpées.  </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01.4.833</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10025-1</w:t>
            </w:r>
          </w:p>
        </w:tc>
      </w:tr>
      <w:tr w:rsidR="0043547B" w:rsidRPr="0043547B" w:rsidTr="00CB5DC0">
        <w:trPr>
          <w:trHeight w:val="495"/>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FFFFFF" w:themeFill="background1"/>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Produits laminés à chaud en aciers de construction - Conditions techniques générales de livraison </w:t>
            </w:r>
          </w:p>
        </w:tc>
      </w:tr>
      <w:tr w:rsidR="0043547B" w:rsidRPr="0043547B" w:rsidTr="006D4510">
        <w:trPr>
          <w:trHeight w:val="701"/>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FFFFFF" w:themeFill="background1"/>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La norme spécifie les exigences pour les produits longs et plats (voir Article 3) en aciers de construction laminés à chaud, à l’exclusion des profils creux de construction et des tubes. La norme spécifie les conditions générales de livraison. </w:t>
            </w:r>
            <w:r w:rsidRPr="0043547B">
              <w:rPr>
                <w:rFonts w:eastAsia="Times New Roman" w:cstheme="minorHAnsi"/>
                <w:sz w:val="24"/>
                <w:szCs w:val="24"/>
                <w:lang w:eastAsia="fr-FR"/>
              </w:rPr>
              <w:lastRenderedPageBreak/>
              <w:t xml:space="preserve">Les aciers spécifiés dans le présent document sont destinés à la fabrication d'éléments de construction soudés ou assemblés par rivets ou boulons. </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01.4.834</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10025-2</w:t>
            </w:r>
          </w:p>
        </w:tc>
      </w:tr>
      <w:tr w:rsidR="0043547B" w:rsidRPr="0043547B" w:rsidTr="00CB5DC0">
        <w:trPr>
          <w:trHeight w:val="495"/>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FFFFFF" w:themeFill="background1"/>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Produits laminés à chaud en aciers de construction - Conditions techniques de livraison pour les aciers de construction non alliés </w:t>
            </w:r>
          </w:p>
        </w:tc>
      </w:tr>
      <w:tr w:rsidR="0043547B" w:rsidRPr="0043547B" w:rsidTr="00CB5DC0">
        <w:trPr>
          <w:trHeight w:val="559"/>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FFFFFF" w:themeFill="background1"/>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La norme spécifie, avec la NM 01.4.833, les conditions techniques de livraison des produits plats et longs et des demi-produits destinés à être transformés en produits plats et longs en aciers non alliés de qualité laminés à chaud. Trois aciers de construction mécanique sont également spécifiés dans le présent document (voir Tableaux 3 et 5 (composition chimique) et Tableau 8 (caractéristiques mécaniques). Les aciers spécifiés dans La norme ne sont pas destinés à subir un traitement thermique. Le traitement de relaxation est admis (voir aussi la note en 7.3.1.1 de la NM 01.4.833). La composition chimique peut également faire l'objet d'un accord au moment de la commande, toutefois il convient que les valeurs soient dans les limites indiquées dans les Tableaux 2 et 3.  </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01.4.835</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10025-3</w:t>
            </w:r>
          </w:p>
        </w:tc>
      </w:tr>
      <w:tr w:rsidR="0043547B" w:rsidRPr="0043547B" w:rsidTr="00CB5DC0">
        <w:trPr>
          <w:trHeight w:val="495"/>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FFFFFF" w:themeFill="background1"/>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Produits laminés à chaud en aciers de construction - Conditions techniques de livraison pour les aciers de construction soudables à grains fins à l’état normalisé/laminage normalisant </w:t>
            </w:r>
          </w:p>
        </w:tc>
      </w:tr>
      <w:tr w:rsidR="0043547B" w:rsidRPr="0043547B" w:rsidTr="00CB5DC0">
        <w:trPr>
          <w:trHeight w:val="1935"/>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FFFFFF" w:themeFill="background1"/>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avec la NM 01.4.833, les conditions techniques de livraison des produits plats et longs en aciers de construction soudables à grains fins à l’état normalisé/laminage normalisant. Outre les utilisations prévues dans la NM 01.4.833, les aciers spécifiés dans La norme sont destinés en particulier à l’emploi dans les éléments hautement sollicités des constructions soudées telles que ponts, vannes de décharge, réservoirs de stockage, réservoirs d’approvisionnement en eau, etc., pour service à température ambiante et à basses températures.</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01.4.836</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10025-4</w:t>
            </w:r>
          </w:p>
        </w:tc>
      </w:tr>
      <w:tr w:rsidR="0043547B" w:rsidRPr="0043547B" w:rsidTr="00CB5DC0">
        <w:trPr>
          <w:trHeight w:val="495"/>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FFFFFF" w:themeFill="background1"/>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Produits laminés à chaud en aciers de construction - Conditions techniques de livraison pour les aciers de construction soudables à grains fins obtenus par laminage thermomécanique </w:t>
            </w:r>
          </w:p>
        </w:tc>
      </w:tr>
      <w:tr w:rsidR="0043547B" w:rsidRPr="0043547B" w:rsidTr="00CB5DC0">
        <w:trPr>
          <w:trHeight w:val="1977"/>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FFFFFF" w:themeFill="background1"/>
            <w:vAlign w:val="center"/>
            <w:hideMark/>
          </w:tcPr>
          <w:p w:rsidR="00C733D3"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La norme spécifie, avec la NM 01.4.833, les conditions techniques de livraison des produits plats et longs en aciers de construction soudables à grains fins à l’état laminé thermomécaniquement. </w:t>
            </w:r>
          </w:p>
          <w:p w:rsidR="00904E52" w:rsidRPr="0043547B" w:rsidRDefault="00C733D3"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Outre les utilisations prévues dans la NM 01.4.833, les aciers spécifiés dans le présent document sont destinés en particulier à l’emploi dans les éléments fortement sollicités des constructions soudées telles que ponts, écluses, réservoirs de stockage, réservoirs d’eau, etc., pour service à température ambiante et à basses températures.</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6361-1</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6361-1</w:t>
            </w:r>
          </w:p>
        </w:tc>
      </w:tr>
      <w:tr w:rsidR="0043547B" w:rsidRPr="0043547B" w:rsidTr="00CB5DC0">
        <w:trPr>
          <w:trHeight w:val="495"/>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FFFFFF" w:themeFill="background1"/>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Tôles, bandes et tôles épaisses en aluminium et alliages d'aluminium corroyés - Partie 1 : Conditions techniques de contrôle et de livraison </w:t>
            </w:r>
          </w:p>
        </w:tc>
      </w:tr>
      <w:tr w:rsidR="0043547B" w:rsidRPr="0043547B" w:rsidTr="00CB5DC0">
        <w:trPr>
          <w:trHeight w:val="944"/>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Domaine d’application :</w:t>
            </w:r>
          </w:p>
        </w:tc>
        <w:tc>
          <w:tcPr>
            <w:tcW w:w="7938" w:type="dxa"/>
            <w:tcBorders>
              <w:left w:val="single" w:sz="4" w:space="0" w:color="auto"/>
              <w:bottom w:val="single" w:sz="18" w:space="0" w:color="auto"/>
              <w:right w:val="single" w:sz="18" w:space="0" w:color="auto"/>
            </w:tcBorders>
            <w:shd w:val="clear" w:color="auto" w:fill="FFFFFF" w:themeFill="background1"/>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partie de I’ISO 6361 spécifie les conditions techniques de contrôle et de livraison des tôles, bandes et tôles épaisses en aluminium et alliages d’aluminium corroyés, pour les utilisations courantes. Elle s’applique aux produits plats laminés.</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6361-2</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6361-2</w:t>
            </w:r>
          </w:p>
        </w:tc>
      </w:tr>
      <w:tr w:rsidR="0043547B" w:rsidRPr="0043547B" w:rsidTr="00CB5DC0">
        <w:trPr>
          <w:trHeight w:val="495"/>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FFFFFF" w:themeFill="background1"/>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Tôles, bandes et tôles épaisses en aluminium et alliages d'aluminium corroyés - Partie 2 : Caractéristiques mécaniques </w:t>
            </w:r>
          </w:p>
        </w:tc>
      </w:tr>
      <w:tr w:rsidR="0043547B" w:rsidRPr="0043547B" w:rsidTr="006D4510">
        <w:trPr>
          <w:trHeight w:val="1133"/>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FFFFFF" w:themeFill="background1"/>
            <w:vAlign w:val="center"/>
            <w:hideMark/>
          </w:tcPr>
          <w:p w:rsidR="00904E52"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Conjointement avec I’ISO 6361-1, la partie de I’ISO 6361 prescrit les caractéristiques mécaniques des tôles, bandes et tales épaisses en aluminium et alliages d’aluminium corroyés, pour les utilisations courantes. Elle est applicable aux produits plats corroyés.</w:t>
            </w:r>
          </w:p>
          <w:p w:rsidR="00DE6034" w:rsidRPr="0043547B" w:rsidRDefault="00DE6034" w:rsidP="00904E52">
            <w:pPr>
              <w:spacing w:after="0" w:line="240" w:lineRule="auto"/>
              <w:jc w:val="both"/>
              <w:rPr>
                <w:rFonts w:eastAsia="Times New Roman" w:cstheme="minorHAnsi"/>
                <w:sz w:val="24"/>
                <w:szCs w:val="24"/>
                <w:lang w:eastAsia="fr-FR"/>
              </w:rPr>
            </w:pP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6361-3</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6361-3</w:t>
            </w:r>
          </w:p>
        </w:tc>
      </w:tr>
      <w:tr w:rsidR="0043547B" w:rsidRPr="0043547B" w:rsidTr="00CB5DC0">
        <w:trPr>
          <w:trHeight w:val="495"/>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FFFFFF" w:themeFill="background1"/>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Tôles, bandes et tôles épaisses en aluminium et en alliages d'aluminium corroyés - Partie 3: Bandes - Tolérances sur forme et dimensions</w:t>
            </w:r>
          </w:p>
        </w:tc>
      </w:tr>
      <w:tr w:rsidR="0043547B" w:rsidRPr="0043547B" w:rsidTr="00CB5DC0">
        <w:trPr>
          <w:trHeight w:val="1515"/>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FFFFFF" w:themeFill="background1"/>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partie de I’ISO 6361 spécifie les tolérances sur forme et dimensions des bandes en aluminium et en alliages d’aluminium corroyés d’épaisseurs inférieures ou égales à 6,3 mm, telles qu’elles sont définies dans I’ISO 3134-3. Par accord entre le client et le fournisseur, les valeurs des tolérances sur les dimensions nominales peuvent être différentes de celles spécifiées dans la partie de I’ISO 6361.</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6361-4</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6361-4</w:t>
            </w:r>
          </w:p>
        </w:tc>
      </w:tr>
      <w:tr w:rsidR="0043547B" w:rsidRPr="0043547B" w:rsidTr="00CB5DC0">
        <w:trPr>
          <w:trHeight w:val="495"/>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FFFFFF" w:themeFill="background1"/>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Tôles, bandes et tôles épaisses en aluminium et en alliages d'aluminium corroyés - Partie 4: Tôles et tôles épaisses - Tolérances sur forme et dimensions </w:t>
            </w:r>
          </w:p>
        </w:tc>
      </w:tr>
      <w:tr w:rsidR="0043547B" w:rsidRPr="0043547B" w:rsidTr="00CB5DC0">
        <w:trPr>
          <w:trHeight w:val="1469"/>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FFFFFF" w:themeFill="background1"/>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partie de I’ISO 6361 spécifie les tolérances sur forme et dimensions des tôles et tôles épaisses en aluminium et en alliages d’aluminium corroyés, telles qu’elles sont définies dans I’ISO 3134-3. Par accord entre le client et le fournisseur, les valeurs des tolérances sur les dimensions nominales peuvent être différentes de celles spécifiées dans la partie de I’ISO 6361.</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6362-1</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6362-1</w:t>
            </w:r>
          </w:p>
        </w:tc>
      </w:tr>
      <w:tr w:rsidR="0043547B" w:rsidRPr="0043547B" w:rsidTr="00CB5DC0">
        <w:trPr>
          <w:trHeight w:val="495"/>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FFFFFF" w:themeFill="background1"/>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Barres, tubes et profilés filés en aluminium et alliages d'aluminium corroyés - Partie 1 : Conditions techniques de contrôle et de livraison</w:t>
            </w:r>
          </w:p>
        </w:tc>
      </w:tr>
      <w:tr w:rsidR="0043547B" w:rsidRPr="0043547B" w:rsidTr="00CB5DC0">
        <w:trPr>
          <w:trHeight w:val="968"/>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FFFFFF" w:themeFill="background1"/>
            <w:vAlign w:val="center"/>
            <w:hideMark/>
          </w:tcPr>
          <w:p w:rsidR="00FC35E9" w:rsidRPr="0043547B" w:rsidRDefault="00904E52" w:rsidP="0059106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partie de I’ISO 6362 spécifie les conditions techniques de contrôle et de livraison des barres, tubes et profilés filés en aluminium et alliages d’aluminium corroyés, pour les utilisations courantes. Elle s’applique aux produits filés.</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6362-2</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6362-2</w:t>
            </w:r>
          </w:p>
        </w:tc>
      </w:tr>
      <w:tr w:rsidR="0043547B" w:rsidRPr="0043547B" w:rsidTr="00CB5DC0">
        <w:trPr>
          <w:trHeight w:val="495"/>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FFFFFF" w:themeFill="background1"/>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Barres, tubes et profilés en aluminium et alliages d'aluminium corroyés - Partie 2 : Caractéristiques mécaniques</w:t>
            </w:r>
          </w:p>
        </w:tc>
      </w:tr>
      <w:tr w:rsidR="0043547B" w:rsidRPr="0043547B" w:rsidTr="00CB5DC0">
        <w:trPr>
          <w:trHeight w:val="820"/>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FFFFFF" w:themeFill="background1"/>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Conjointement avec I’ISO 6362-1, la partie de I’ISO 6362 prescrit les caractéristiques mécaniques des barres, tubes et profilés filés en aluminium et alliages d’aluminium corroyés, pour les utilisations courantes. Elle est applicable aux produits filés.</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6362-3</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6362-3</w:t>
            </w:r>
          </w:p>
        </w:tc>
      </w:tr>
      <w:tr w:rsidR="0043547B" w:rsidRPr="0043547B" w:rsidTr="00CB5DC0">
        <w:trPr>
          <w:trHeight w:val="495"/>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FFFFFF" w:themeFill="background1"/>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Barres, tubes et profilés filés en aluminium et alliages d'aluminium corroyés - Partie 3 : Barres rectangulaires filées - Tolérances sur dimensions et forme</w:t>
            </w:r>
          </w:p>
        </w:tc>
      </w:tr>
      <w:tr w:rsidR="0043547B" w:rsidRPr="0043547B" w:rsidTr="00CB5DC0">
        <w:trPr>
          <w:trHeight w:val="1518"/>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FFFFFF" w:themeFill="background1"/>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partie de l’ISO 6362 prescrit les tolérances sur dimensions et forme des barres rectangulaires filées en aluminium et en alliages d’aluminium corroyés, d’épaisseur comprise entre 2 mm et 240 mm inclus, et de largeur comprise entre 10 mm et 600 mm inclus. Les conditions techniques de contrôle et de livraison ainsi que les caractéristiques mécaniques des barres rectangulaires, telles que prescrites dans l’ISO 6362-1 et l’ISO 6362-2, s’appliquent.</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6362-4</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6362-4</w:t>
            </w:r>
          </w:p>
        </w:tc>
      </w:tr>
      <w:tr w:rsidR="0043547B" w:rsidRPr="0043547B" w:rsidTr="00CB5DC0">
        <w:trPr>
          <w:trHeight w:val="495"/>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FFFFFF" w:themeFill="background1"/>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Barres, tubes et profilés filés en aluminium et en alliages d'aluminium corroyés - Partie 4 : Profilés filés - Tolérances sur forme et dimensions</w:t>
            </w:r>
          </w:p>
        </w:tc>
      </w:tr>
      <w:tr w:rsidR="0043547B" w:rsidRPr="0043547B" w:rsidTr="0069303D">
        <w:trPr>
          <w:trHeight w:val="701"/>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FFFFFF" w:themeFill="background1"/>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partie de I’ISO 6362 spécifie les tolérances sur forme et dimensions des profilés filés dont les dimensions s’inscrivent dans un cercle enveloppe de diamètre inférieur ou égal à 600 mm. La forme de la section est indiquée sur un plan coté à convenir entre le client et le fournisseur.</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ne s’applique pas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aux profilés laminés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aux profilés étirés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aux profilés obtenus à partir de laminés par profilage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aux tubes filés ou étirés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aux barres filées ou étirées.</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6362-5</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6362-5</w:t>
            </w:r>
          </w:p>
        </w:tc>
      </w:tr>
      <w:tr w:rsidR="0043547B" w:rsidRPr="0043547B" w:rsidTr="00CB5DC0">
        <w:trPr>
          <w:trHeight w:val="495"/>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FFFFFF" w:themeFill="background1"/>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Barres, tubes et profilés filés en aluminium et alliages d'aluminium corroyés - Partie 5 : Barres rondes, carrées et hexagonales filées -Tolérances sur dimensions et forme</w:t>
            </w:r>
          </w:p>
        </w:tc>
      </w:tr>
      <w:tr w:rsidR="0043547B" w:rsidRPr="0043547B" w:rsidTr="00CB5DC0">
        <w:trPr>
          <w:trHeight w:val="562"/>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FFFFFF" w:themeFill="background1"/>
            <w:vAlign w:val="center"/>
            <w:hideMark/>
          </w:tcPr>
          <w:p w:rsidR="00904E52" w:rsidRPr="0043547B" w:rsidRDefault="00904E52" w:rsidP="0069303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partie de l’ISO 6362 prescrit les tolérances sur dimensions et forme des barres en aluminium et alliages d'aluminium corroyés rondes filées, de diamètre compris entre</w:t>
            </w:r>
            <w:r w:rsidR="0069303D">
              <w:rPr>
                <w:rFonts w:eastAsia="Times New Roman" w:cstheme="minorHAnsi"/>
                <w:sz w:val="24"/>
                <w:szCs w:val="24"/>
                <w:lang w:eastAsia="fr-FR"/>
              </w:rPr>
              <w:t xml:space="preserve"> </w:t>
            </w:r>
            <w:r w:rsidRPr="0043547B">
              <w:rPr>
                <w:rFonts w:eastAsia="Times New Roman" w:cstheme="minorHAnsi"/>
                <w:sz w:val="24"/>
                <w:szCs w:val="24"/>
                <w:lang w:eastAsia="fr-FR"/>
              </w:rPr>
              <w:t xml:space="preserve">8 mm et 350 mm inclus, et carrées et hexagonales filées, de largeur sur plats compris entre 10 mm et 220 mm inclus.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Les conditions techniques de contrôle et de livraison ainsi que les caractéristiques mécaniques des barres filées, telles que prescrites dans l’ISO 6362-1 et l’ISO 6362-2, s’appliquent.  </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6363-1</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6363-1</w:t>
            </w:r>
          </w:p>
        </w:tc>
      </w:tr>
      <w:tr w:rsidR="0043547B" w:rsidRPr="0043547B" w:rsidTr="00CB5DC0">
        <w:trPr>
          <w:trHeight w:val="495"/>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FFFFFF" w:themeFill="background1"/>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Barres et tubes étirés à froid en aluminium et alliages d'aluminium corroyés - Partie 1 : Conditions techniques de contrôle et de livraison </w:t>
            </w:r>
          </w:p>
        </w:tc>
      </w:tr>
      <w:tr w:rsidR="0043547B" w:rsidRPr="0043547B" w:rsidTr="00CB5DC0">
        <w:trPr>
          <w:trHeight w:val="916"/>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FFFFFF" w:themeFill="background1"/>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partie de l’ISO 6363 prescrit les conditions techniques de contrôle et de livraison des barres et des tubes en aluminium et alliages d’aluminium corroyés, pour les utilisations courantes. Elle s’applique aux produits filés puis étirés à froid. Elle ne s’applique pas aux produits laminés puis étirés à froid, ni aux tubes soudes par joints.</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6363-2</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6363-2</w:t>
            </w:r>
          </w:p>
        </w:tc>
      </w:tr>
      <w:tr w:rsidR="0043547B" w:rsidRPr="0043547B" w:rsidTr="00CB5DC0">
        <w:trPr>
          <w:trHeight w:val="495"/>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FFFFFF" w:themeFill="background1"/>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Barres et tubes étirés à froid en aluminium et alliages d'aluminium corroyés - Partie 2 : Caractéristiques mécaniques</w:t>
            </w:r>
          </w:p>
        </w:tc>
      </w:tr>
      <w:tr w:rsidR="0043547B" w:rsidRPr="0043547B" w:rsidTr="00CB5DC0">
        <w:trPr>
          <w:trHeight w:val="924"/>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FFFFFF" w:themeFill="background1"/>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Conjointement avec I’ISO 6363-1, la partie de I’ISO 6363 prescrit les caractéristiques mécaniques des barres et tubes étirés à froid en aluminium et alliages d’aluminium corroyés, pour les utilisations courantes. Elle n’est pas applicable aux conducteurs électriques. </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6363-4</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6363-4</w:t>
            </w:r>
          </w:p>
        </w:tc>
      </w:tr>
      <w:tr w:rsidR="0043547B" w:rsidRPr="0043547B" w:rsidTr="00CB5DC0">
        <w:trPr>
          <w:trHeight w:val="495"/>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FFFFFF" w:themeFill="background1"/>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Barres et tubes étirés à froid en aluminium et alliages d'aluminium corroyés - Partie 4 : Barres rectangulaires étirées - Tolérances sur forme et dimensions </w:t>
            </w:r>
          </w:p>
        </w:tc>
      </w:tr>
      <w:tr w:rsidR="0043547B" w:rsidRPr="0043547B" w:rsidTr="00CB5DC0">
        <w:trPr>
          <w:trHeight w:val="1324"/>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FFFFFF" w:themeFill="background1"/>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partie de I’ISO 6363 prescrit les tolérances sur forme et dimensions des barres rectangulaires étirées en aluminium et alliages d’aluminium corroyés, ayant des épaisseurs comprises entre 2 mm et 40 mm inclus et des largeurs inférieures ou égales à 200 mm. Le rapport de la plus grande dimension de la section à la plus petite est inférieur ou égal à 10 (voir ISO 3134-3).</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6363-5</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6363-5</w:t>
            </w:r>
          </w:p>
        </w:tc>
      </w:tr>
      <w:tr w:rsidR="0043547B" w:rsidRPr="0043547B" w:rsidTr="00CB5DC0">
        <w:trPr>
          <w:trHeight w:val="495"/>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FFFFFF" w:themeFill="background1"/>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Barres et tubes étirés à froid en aluminium et alliages d'aluminium corroyés - Partie 5 : Barres carrées et hexagonales étirées - Tolérances sur forme et dimensions</w:t>
            </w:r>
          </w:p>
        </w:tc>
      </w:tr>
      <w:tr w:rsidR="0043547B" w:rsidRPr="0043547B" w:rsidTr="00CB5DC0">
        <w:trPr>
          <w:trHeight w:val="624"/>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FFFFFF" w:themeFill="background1"/>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partie de l'ISO 6363 prescrit les tolérances sur forme et dimensions des barres carrées et hexagonales étirées en aluminium et alliages d’aluminium corroyés, de surplats inférieur ou égal à 80 mm.</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4CD81"/>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1090-1+A1</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1090-1 -  A1</w:t>
            </w:r>
          </w:p>
        </w:tc>
      </w:tr>
      <w:tr w:rsidR="0043547B" w:rsidRPr="0043547B" w:rsidTr="00CB5DC0">
        <w:trPr>
          <w:trHeight w:val="495"/>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FFFFFF" w:themeFill="background1"/>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Exécution des structures en acier et des structures en aluminium - Partie 1 : exigences pour l'évaluation de la conformité des éléments structuraux </w:t>
            </w:r>
          </w:p>
        </w:tc>
      </w:tr>
      <w:tr w:rsidR="0043547B" w:rsidRPr="0043547B" w:rsidTr="00CB5DC0">
        <w:trPr>
          <w:trHeight w:val="560"/>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FFFFFF" w:themeFill="background1"/>
            <w:vAlign w:val="center"/>
            <w:hideMark/>
          </w:tcPr>
          <w:p w:rsidR="00904E52" w:rsidRPr="0043547B" w:rsidRDefault="00904E52" w:rsidP="00FC35E9">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exigences pour l’évaluation de la conformité aux caractéristiques de performance pour des éléments structuraux en acier et en aluminium ainsi que pour des kits mis sur le marché en tant que produits de construction. L’évaluation de la conformité couvre les caractéristiques de fabrication, et si nécessaire les caractéristiques de calcul structural.</w:t>
            </w:r>
          </w:p>
          <w:p w:rsidR="00904E52" w:rsidRPr="0043547B" w:rsidRDefault="00904E52" w:rsidP="00FC35E9">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couvre également l’évaluation de la conformité des éléments en acier utilisés dans les structures mixtes acier-béton.</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4CD81"/>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1090-2+A1</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1090-2 - A1</w:t>
            </w:r>
          </w:p>
        </w:tc>
      </w:tr>
      <w:tr w:rsidR="0043547B" w:rsidRPr="0043547B" w:rsidTr="00CB5DC0">
        <w:trPr>
          <w:trHeight w:val="495"/>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FFFFFF" w:themeFill="background1"/>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Exécution des structures en acier et des structures en aluminium - Partie 2 : exigences techniques pour les structures en acier </w:t>
            </w:r>
          </w:p>
        </w:tc>
      </w:tr>
      <w:tr w:rsidR="0043547B" w:rsidRPr="0043547B" w:rsidTr="00CB5DC0">
        <w:trPr>
          <w:trHeight w:val="1410"/>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FFFFFF" w:themeFill="background1"/>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des exigences pour l'exécution des charpentes en acier considérées en tant que structures ou éléments de structure fabriqués à partir de :</w:t>
            </w:r>
          </w:p>
          <w:p w:rsidR="00487753"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produits en acier de construction, laminés à chaud jusqu'à la nuance S690 incluse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éléments et plaques formés à froid jusqu'à la nuance S700 incluse !texte supprimé";</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lastRenderedPageBreak/>
              <w:t>— produits en acier inoxydable, austénitique, austéno-ferritique et ferritique, finis à chaud et formés à froid ;</w:t>
            </w:r>
          </w:p>
          <w:p w:rsidR="00487753" w:rsidRDefault="00FC35E9" w:rsidP="00FC35E9">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profils creux finis à chaud et formés à froid, y compris produits d'une gamme normalisée, produits laminés fabriqués à la demande et profils creux fabriqués par soudage.</w:t>
            </w:r>
          </w:p>
          <w:p w:rsidR="00FC35E9" w:rsidRPr="0043547B" w:rsidRDefault="00FC35E9" w:rsidP="00FC35E9">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fixe des exigences indépendamment du type et de la forme de la structure en acier (par exemple, bâtiments, ponts, éléments en plaques ou en treillis, ...), y compris les structures soumises à la fatigue ou à des actions sismiques. Ces exigences sont exprimées en termes de classes d’exécution.</w:t>
            </w:r>
          </w:p>
          <w:p w:rsidR="00904E52" w:rsidRPr="0043547B" w:rsidRDefault="00FC35E9" w:rsidP="00FC35E9">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peut être utilisée pour des structures calculées selon d'autres règles de calcul, sous réserve que les conditions d'exécution soient conformes à ces règles et que toutes les exigences supplémentaires nécessaires soient spécifiées.</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10343</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10343</w:t>
            </w:r>
          </w:p>
        </w:tc>
      </w:tr>
      <w:tr w:rsidR="0043547B" w:rsidRPr="0043547B" w:rsidTr="00CB5DC0">
        <w:trPr>
          <w:trHeight w:val="495"/>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FFFFFF" w:themeFill="background1"/>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Aciers pour trempe et revenu pour usage de construction - Conditions techniques de livraison ; (DMC)</w:t>
            </w:r>
          </w:p>
        </w:tc>
      </w:tr>
      <w:tr w:rsidR="0043547B" w:rsidRPr="0043547B" w:rsidTr="00CB5DC0">
        <w:trPr>
          <w:trHeight w:val="56"/>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FFFFFF" w:themeFill="background1"/>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conditions techniques de livraison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des barres (incluant les barres forgées par martelage)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des larges plats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des bandes et tôles laminées à chaud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des produits forgés.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aciers spéciaux se distinguent des aciers de qualité par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des valeurs minimales d’énergie de rupture à l’état trempé et revenu (uniquement pour les teneurs moyennes en masse de carbone &lt; 0,50 % pour les aciers spéciaux non alliés)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une teneur limitée en inclusions d’oxyde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des teneurs maximales plus faibles en phosphore et en soufre.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En plus des spécifications de La norme, les conditions techniques générales de livraison stipulées dans l’EN 10021 sont applicables, sauf indication contraire.</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14783</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14783</w:t>
            </w:r>
          </w:p>
        </w:tc>
      </w:tr>
      <w:tr w:rsidR="0043547B" w:rsidRPr="0043547B" w:rsidTr="00CB5DC0">
        <w:trPr>
          <w:trHeight w:val="495"/>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FFFFFF" w:themeFill="background1"/>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Tôles et bandes métalliques totalement supportées pour couverture, bardages extérieur et intérieur - Spécifica</w:t>
            </w:r>
            <w:r w:rsidR="00E80B3B" w:rsidRPr="0043547B">
              <w:rPr>
                <w:rFonts w:eastAsia="Times New Roman" w:cstheme="minorHAnsi"/>
                <w:sz w:val="24"/>
                <w:szCs w:val="24"/>
                <w:lang w:eastAsia="fr-FR"/>
              </w:rPr>
              <w:t xml:space="preserve">tion de produit et exigences ; </w:t>
            </w:r>
            <w:r w:rsidRPr="0043547B">
              <w:rPr>
                <w:rFonts w:eastAsia="Times New Roman" w:cstheme="minorHAnsi"/>
                <w:sz w:val="24"/>
                <w:szCs w:val="24"/>
                <w:lang w:eastAsia="fr-FR"/>
              </w:rPr>
              <w:t>(DMC)</w:t>
            </w:r>
          </w:p>
        </w:tc>
      </w:tr>
      <w:tr w:rsidR="0043547B" w:rsidRPr="0043547B" w:rsidTr="00CB5DC0">
        <w:trPr>
          <w:trHeight w:val="2402"/>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FFFFFF" w:themeFill="background1"/>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la terminologie, les prescriptions et les méthodes d’essai pour les bobines, les bandes et les tôles planes métalliques et les éléments fabriqués en usine destinés à des applications totalement supportées en toiture et bardages extérieur et intérieur. Elle ne s’applique pas aux produits fabriqués sur site.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couvre les produits totalement supportés en aluminium, cuivre, plomb, acier, acier inoxydable et zinc avec ou sans revêtement, par exemple métallique, organique, inorganique ou multicouche.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comporte également des règles relatives au marquage, à l’étiquetage et à l’évaluation de la conformité.</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15088</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15088</w:t>
            </w:r>
          </w:p>
        </w:tc>
      </w:tr>
      <w:tr w:rsidR="0043547B" w:rsidRPr="0043547B" w:rsidTr="00CB5DC0">
        <w:trPr>
          <w:trHeight w:val="495"/>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FFFFFF" w:themeFill="background1"/>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Aluminium et alliages d'aluminium - Produits pour applications de structure pour construction - Conditions techniques de contrôle et de livraison </w:t>
            </w:r>
          </w:p>
        </w:tc>
      </w:tr>
      <w:tr w:rsidR="0043547B" w:rsidRPr="0043547B" w:rsidTr="00CB5DC0">
        <w:trPr>
          <w:trHeight w:val="703"/>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Domaine d’application :</w:t>
            </w:r>
          </w:p>
        </w:tc>
        <w:tc>
          <w:tcPr>
            <w:tcW w:w="7938" w:type="dxa"/>
            <w:tcBorders>
              <w:left w:val="single" w:sz="4" w:space="0" w:color="auto"/>
              <w:bottom w:val="single" w:sz="18" w:space="0" w:color="auto"/>
              <w:right w:val="single" w:sz="18" w:space="0" w:color="auto"/>
            </w:tcBorders>
            <w:shd w:val="clear" w:color="auto" w:fill="FFFFFF" w:themeFill="background1"/>
            <w:vAlign w:val="center"/>
            <w:hideMark/>
          </w:tcPr>
          <w:p w:rsidR="00487753"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des exigences sur les pièces moulées et les demi-produits en aluminium et alliages d’aluminium pour des ouvrages de structure pour construction porteurs (les ouvrages de construction englobent les bâtiments et les ouvrages de génie civil).</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spécifie également des exigences relatives à l’évaluation de la conformité et aux méthodes d’essai à utiliser.</w:t>
            </w:r>
          </w:p>
        </w:tc>
      </w:tr>
      <w:tr w:rsidR="0043547B" w:rsidRPr="0043547B" w:rsidTr="00CB5DC0">
        <w:trPr>
          <w:trHeight w:val="315"/>
          <w:jc w:val="center"/>
        </w:trPr>
        <w:tc>
          <w:tcPr>
            <w:tcW w:w="1843"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10340</w:t>
            </w:r>
          </w:p>
        </w:tc>
      </w:tr>
      <w:tr w:rsidR="0043547B" w:rsidRPr="0043547B" w:rsidTr="00CB5DC0">
        <w:trPr>
          <w:trHeight w:val="315"/>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10340 + AC</w:t>
            </w:r>
          </w:p>
        </w:tc>
      </w:tr>
      <w:tr w:rsidR="0043547B" w:rsidRPr="0043547B" w:rsidTr="00CB5DC0">
        <w:trPr>
          <w:trHeight w:val="221"/>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FFFFFF" w:themeFill="background1"/>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Aciers moulés de construction</w:t>
            </w:r>
          </w:p>
        </w:tc>
      </w:tr>
      <w:tr w:rsidR="0043547B" w:rsidRPr="0043547B" w:rsidTr="00CB5DC0">
        <w:trPr>
          <w:trHeight w:val="1033"/>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FFFFFF" w:themeFill="background1"/>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aux aciers moulés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pour utilisation structurale dans le bâtiment et le génie civil. Les utilisations comprennent les bâtiments d'habitation et d'exploitation, les ouvrages d'art, les routes, les réseaux de canalisations.</w:t>
            </w:r>
          </w:p>
        </w:tc>
      </w:tr>
    </w:tbl>
    <w:p w:rsidR="00904E52" w:rsidRPr="0043547B" w:rsidRDefault="00904E52" w:rsidP="00AF178F">
      <w:pPr>
        <w:pStyle w:val="Titre4"/>
        <w:numPr>
          <w:ilvl w:val="2"/>
          <w:numId w:val="2"/>
        </w:numPr>
        <w:ind w:left="1418" w:hanging="579"/>
        <w:rPr>
          <w:rFonts w:cstheme="minorHAnsi"/>
          <w:b/>
          <w:bCs w:val="0"/>
          <w:iCs w:val="0"/>
          <w:color w:val="auto"/>
          <w:szCs w:val="24"/>
          <w:u w:val="single"/>
        </w:rPr>
      </w:pPr>
      <w:r w:rsidRPr="0043547B">
        <w:rPr>
          <w:rFonts w:cstheme="minorHAnsi"/>
          <w:b/>
          <w:bCs w:val="0"/>
          <w:iCs w:val="0"/>
          <w:color w:val="auto"/>
          <w:szCs w:val="24"/>
          <w:u w:val="single"/>
        </w:rPr>
        <w:t xml:space="preserve"> </w:t>
      </w:r>
      <w:bookmarkStart w:id="21" w:name="_Toc458606078"/>
      <w:r w:rsidRPr="0043547B">
        <w:rPr>
          <w:rFonts w:cstheme="minorHAnsi"/>
          <w:b/>
          <w:bCs w:val="0"/>
          <w:iCs w:val="0"/>
          <w:color w:val="auto"/>
          <w:szCs w:val="24"/>
          <w:u w:val="single"/>
        </w:rPr>
        <w:t>Fer à béton et câbles de précontrainte</w:t>
      </w:r>
      <w:bookmarkEnd w:id="21"/>
    </w:p>
    <w:tbl>
      <w:tblPr>
        <w:tblW w:w="9781" w:type="dxa"/>
        <w:jc w:val="center"/>
        <w:tblCellMar>
          <w:left w:w="70" w:type="dxa"/>
          <w:right w:w="70" w:type="dxa"/>
        </w:tblCellMar>
        <w:tblLook w:val="04A0" w:firstRow="1" w:lastRow="0" w:firstColumn="1" w:lastColumn="0" w:noHBand="0" w:noVBand="1"/>
      </w:tblPr>
      <w:tblGrid>
        <w:gridCol w:w="1843"/>
        <w:gridCol w:w="7938"/>
      </w:tblGrid>
      <w:tr w:rsidR="0043547B" w:rsidRPr="0043547B" w:rsidTr="00CB5DC0">
        <w:trPr>
          <w:trHeight w:val="330"/>
          <w:jc w:val="center"/>
        </w:trPr>
        <w:tc>
          <w:tcPr>
            <w:tcW w:w="1843"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01.4.963</w:t>
            </w:r>
          </w:p>
        </w:tc>
      </w:tr>
      <w:tr w:rsidR="0043547B" w:rsidRPr="0043547B" w:rsidTr="00CB5DC0">
        <w:trPr>
          <w:trHeight w:val="43"/>
          <w:jc w:val="center"/>
        </w:trPr>
        <w:tc>
          <w:tcPr>
            <w:tcW w:w="1843"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Produits en acier - Armatures de précontrainte -Torons </w:t>
            </w:r>
          </w:p>
        </w:tc>
      </w:tr>
      <w:tr w:rsidR="0043547B" w:rsidRPr="0043547B" w:rsidTr="00CB5DC0">
        <w:trPr>
          <w:trHeight w:val="2036"/>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48775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partie de ce document spécifie les prescriptions particulières relatives aux torons de précontrainte de catégories A et B. Ces torons peuvent être constitués:</w:t>
            </w:r>
          </w:p>
          <w:p w:rsidR="00904E52" w:rsidRPr="0043547B" w:rsidRDefault="00904E52" w:rsidP="00360635">
            <w:pPr>
              <w:pStyle w:val="Paragraphedeliste"/>
              <w:numPr>
                <w:ilvl w:val="0"/>
                <w:numId w:val="28"/>
              </w:numPr>
              <w:spacing w:after="0" w:line="240" w:lineRule="auto"/>
              <w:ind w:left="332"/>
              <w:jc w:val="both"/>
              <w:rPr>
                <w:rFonts w:eastAsia="Times New Roman" w:cstheme="minorHAnsi"/>
                <w:sz w:val="24"/>
                <w:szCs w:val="24"/>
                <w:lang w:eastAsia="fr-FR"/>
              </w:rPr>
            </w:pPr>
            <w:r w:rsidRPr="0043547B">
              <w:rPr>
                <w:rFonts w:eastAsia="Times New Roman" w:cstheme="minorHAnsi"/>
                <w:sz w:val="24"/>
                <w:szCs w:val="24"/>
                <w:lang w:eastAsia="fr-FR"/>
              </w:rPr>
              <w:t>de 3 fils ;</w:t>
            </w:r>
          </w:p>
          <w:p w:rsidR="00904E52" w:rsidRPr="0043547B" w:rsidRDefault="00904E52" w:rsidP="00360635">
            <w:pPr>
              <w:pStyle w:val="Paragraphedeliste"/>
              <w:numPr>
                <w:ilvl w:val="0"/>
                <w:numId w:val="28"/>
              </w:numPr>
              <w:spacing w:after="0" w:line="240" w:lineRule="auto"/>
              <w:ind w:left="332"/>
              <w:jc w:val="both"/>
              <w:rPr>
                <w:rFonts w:eastAsia="Times New Roman" w:cstheme="minorHAnsi"/>
                <w:sz w:val="24"/>
                <w:szCs w:val="24"/>
                <w:lang w:eastAsia="fr-FR"/>
              </w:rPr>
            </w:pPr>
            <w:r w:rsidRPr="0043547B">
              <w:rPr>
                <w:rFonts w:eastAsia="Times New Roman" w:cstheme="minorHAnsi"/>
                <w:sz w:val="24"/>
                <w:szCs w:val="24"/>
                <w:lang w:eastAsia="fr-FR"/>
              </w:rPr>
              <w:t>de 3 fils à empreintes ;</w:t>
            </w:r>
          </w:p>
          <w:p w:rsidR="00904E52" w:rsidRPr="0043547B" w:rsidRDefault="00904E52" w:rsidP="00360635">
            <w:pPr>
              <w:pStyle w:val="Paragraphedeliste"/>
              <w:numPr>
                <w:ilvl w:val="0"/>
                <w:numId w:val="28"/>
              </w:numPr>
              <w:spacing w:after="0" w:line="240" w:lineRule="auto"/>
              <w:ind w:left="332"/>
              <w:jc w:val="both"/>
              <w:rPr>
                <w:rFonts w:eastAsia="Times New Roman" w:cstheme="minorHAnsi"/>
                <w:sz w:val="24"/>
                <w:szCs w:val="24"/>
                <w:lang w:eastAsia="fr-FR"/>
              </w:rPr>
            </w:pPr>
            <w:r w:rsidRPr="0043547B">
              <w:rPr>
                <w:rFonts w:eastAsia="Times New Roman" w:cstheme="minorHAnsi"/>
                <w:sz w:val="24"/>
                <w:szCs w:val="24"/>
                <w:lang w:eastAsia="fr-FR"/>
              </w:rPr>
              <w:t>de 7 fils ;</w:t>
            </w:r>
          </w:p>
          <w:p w:rsidR="00904E52" w:rsidRPr="0043547B" w:rsidRDefault="00904E52" w:rsidP="00360635">
            <w:pPr>
              <w:pStyle w:val="Paragraphedeliste"/>
              <w:numPr>
                <w:ilvl w:val="0"/>
                <w:numId w:val="28"/>
              </w:numPr>
              <w:spacing w:after="0" w:line="240" w:lineRule="auto"/>
              <w:ind w:left="332"/>
              <w:jc w:val="both"/>
              <w:rPr>
                <w:rFonts w:eastAsia="Times New Roman" w:cstheme="minorHAnsi"/>
                <w:sz w:val="24"/>
                <w:szCs w:val="24"/>
                <w:lang w:eastAsia="fr-FR"/>
              </w:rPr>
            </w:pPr>
            <w:r w:rsidRPr="0043547B">
              <w:rPr>
                <w:rFonts w:eastAsia="Times New Roman" w:cstheme="minorHAnsi"/>
                <w:sz w:val="24"/>
                <w:szCs w:val="24"/>
                <w:lang w:eastAsia="fr-FR"/>
              </w:rPr>
              <w:t>de 7 fils, les 6 fils périphériques au moins étant à empreintes ;</w:t>
            </w:r>
          </w:p>
          <w:p w:rsidR="00904E52" w:rsidRPr="0043547B" w:rsidRDefault="00904E52" w:rsidP="00360635">
            <w:pPr>
              <w:pStyle w:val="Paragraphedeliste"/>
              <w:numPr>
                <w:ilvl w:val="0"/>
                <w:numId w:val="28"/>
              </w:numPr>
              <w:spacing w:after="0" w:line="240" w:lineRule="auto"/>
              <w:ind w:left="332"/>
              <w:jc w:val="both"/>
              <w:rPr>
                <w:rFonts w:eastAsia="Times New Roman" w:cstheme="minorHAnsi"/>
                <w:sz w:val="24"/>
                <w:szCs w:val="24"/>
                <w:lang w:eastAsia="fr-FR"/>
              </w:rPr>
            </w:pPr>
            <w:r w:rsidRPr="0043547B">
              <w:rPr>
                <w:rFonts w:eastAsia="Times New Roman" w:cstheme="minorHAnsi"/>
                <w:sz w:val="24"/>
                <w:szCs w:val="24"/>
                <w:lang w:eastAsia="fr-FR"/>
              </w:rPr>
              <w:t>de 7 fils compactés.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prescriptions générales sont données dans la norme NM 01.4.961.</w:t>
            </w:r>
          </w:p>
        </w:tc>
      </w:tr>
      <w:tr w:rsidR="0043547B" w:rsidRPr="0043547B" w:rsidTr="00CB5DC0">
        <w:trPr>
          <w:trHeight w:val="330"/>
          <w:jc w:val="center"/>
        </w:trPr>
        <w:tc>
          <w:tcPr>
            <w:tcW w:w="1843"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01.4.080</w:t>
            </w:r>
          </w:p>
        </w:tc>
      </w:tr>
      <w:tr w:rsidR="0043547B" w:rsidRPr="0043547B" w:rsidTr="00CB5DC0">
        <w:trPr>
          <w:trHeight w:val="615"/>
          <w:jc w:val="center"/>
        </w:trPr>
        <w:tc>
          <w:tcPr>
            <w:tcW w:w="1843"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Produits sidérurgiques Fil machine en aciers non alliés pour treillis soudé et fils a haute adhérence.</w:t>
            </w:r>
          </w:p>
        </w:tc>
      </w:tr>
      <w:tr w:rsidR="0043547B" w:rsidRPr="0043547B" w:rsidTr="00CB5DC0">
        <w:trPr>
          <w:trHeight w:val="1056"/>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a pour objet de fixer les caractéristiques auxquelles doivent satisfaire les qualités des fils machines destinés après tréfilage et/ou laminage à froid à la fabrication d’armatures pour béton armé : éléments constitutifs du treillis soudé et fil à haute adhérence.</w:t>
            </w:r>
          </w:p>
        </w:tc>
      </w:tr>
      <w:tr w:rsidR="0043547B" w:rsidRPr="0043547B" w:rsidTr="00CB5DC0">
        <w:trPr>
          <w:trHeight w:val="330"/>
          <w:jc w:val="center"/>
        </w:trPr>
        <w:tc>
          <w:tcPr>
            <w:tcW w:w="1843"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01.4.220</w:t>
            </w:r>
          </w:p>
        </w:tc>
      </w:tr>
      <w:tr w:rsidR="0043547B" w:rsidRPr="0043547B" w:rsidTr="00CB5DC0">
        <w:trPr>
          <w:trHeight w:val="330"/>
          <w:jc w:val="center"/>
        </w:trPr>
        <w:tc>
          <w:tcPr>
            <w:tcW w:w="1843"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Armatures pour béton armé - Treillis soudés et éléments constitutifs </w:t>
            </w:r>
            <w:r w:rsidR="00EE5C70" w:rsidRPr="0043547B">
              <w:rPr>
                <w:rFonts w:cstheme="minorHAnsi"/>
                <w:noProof/>
                <w:sz w:val="24"/>
                <w:szCs w:val="24"/>
                <w:lang w:eastAsia="fr-FR"/>
              </w:rPr>
              <w:drawing>
                <wp:inline distT="0" distB="0" distL="0" distR="0" wp14:anchorId="00515B82" wp14:editId="4C303AB4">
                  <wp:extent cx="189865" cy="152400"/>
                  <wp:effectExtent l="0" t="0" r="635" b="0"/>
                  <wp:docPr id="19" name="Image 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8" cstate="print"/>
                          <a:srcRect/>
                          <a:stretch>
                            <a:fillRect/>
                          </a:stretch>
                        </pic:blipFill>
                        <pic:spPr bwMode="auto">
                          <a:xfrm>
                            <a:off x="0" y="0"/>
                            <a:ext cx="193161" cy="155046"/>
                          </a:xfrm>
                          <a:prstGeom prst="rect">
                            <a:avLst/>
                          </a:prstGeom>
                          <a:noFill/>
                          <a:ln w="9525">
                            <a:noFill/>
                            <a:miter lim="800000"/>
                            <a:headEnd/>
                            <a:tailEnd/>
                          </a:ln>
                        </pic:spPr>
                      </pic:pic>
                    </a:graphicData>
                  </a:graphic>
                </wp:inline>
              </w:drawing>
            </w:r>
          </w:p>
        </w:tc>
      </w:tr>
      <w:tr w:rsidR="0043547B" w:rsidRPr="0043547B" w:rsidTr="00CB5DC0">
        <w:trPr>
          <w:trHeight w:val="605"/>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D336A0">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a pour objet de fixer les caractères géométriques, mécaniques</w:t>
            </w:r>
            <w:r w:rsidR="00D336A0" w:rsidRPr="0043547B">
              <w:rPr>
                <w:rFonts w:eastAsia="Times New Roman" w:cstheme="minorHAnsi"/>
                <w:sz w:val="24"/>
                <w:szCs w:val="24"/>
                <w:lang w:eastAsia="fr-FR"/>
              </w:rPr>
              <w:t xml:space="preserve"> </w:t>
            </w:r>
            <w:r w:rsidRPr="0043547B">
              <w:rPr>
                <w:rFonts w:eastAsia="Times New Roman" w:cstheme="minorHAnsi"/>
                <w:sz w:val="24"/>
                <w:szCs w:val="24"/>
                <w:lang w:eastAsia="fr-FR"/>
              </w:rPr>
              <w:t>et technologiques ainsi que les conditions de contrôle des treillis soudés pour béton armé et les éléments constitutifs.</w:t>
            </w:r>
          </w:p>
        </w:tc>
      </w:tr>
      <w:tr w:rsidR="0043547B" w:rsidRPr="0043547B" w:rsidTr="00CB5DC0">
        <w:trPr>
          <w:trHeight w:val="330"/>
          <w:jc w:val="center"/>
        </w:trPr>
        <w:tc>
          <w:tcPr>
            <w:tcW w:w="1843"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6758</w:t>
            </w:r>
          </w:p>
        </w:tc>
      </w:tr>
      <w:tr w:rsidR="0043547B" w:rsidRPr="0043547B" w:rsidTr="00CB5DC0">
        <w:trPr>
          <w:trHeight w:val="330"/>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8"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6758</w:t>
            </w:r>
          </w:p>
        </w:tc>
      </w:tr>
      <w:tr w:rsidR="0043547B" w:rsidRPr="0043547B" w:rsidTr="00CB5DC0">
        <w:trPr>
          <w:trHeight w:val="330"/>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Tubes soudés en acier pour échangeurs de chaleur </w:t>
            </w:r>
          </w:p>
        </w:tc>
      </w:tr>
      <w:tr w:rsidR="0043547B" w:rsidRPr="0043547B" w:rsidTr="00CB5DC0">
        <w:trPr>
          <w:trHeight w:val="1014"/>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caractéristiques des tubes à extrémités lisses soudés, en aciers non alliés ou alliés, y compris les aciers inoxydables austénitiques, qui sont destinés à être utilisés pour la construction d’échangeurs de chaleur. Elle ne s’applique pas aux tubes en acier prévus pour exposition à la flamme.</w:t>
            </w:r>
          </w:p>
        </w:tc>
      </w:tr>
      <w:tr w:rsidR="0043547B" w:rsidRPr="0043547B" w:rsidTr="00CB5DC0">
        <w:trPr>
          <w:trHeight w:val="330"/>
          <w:jc w:val="center"/>
        </w:trPr>
        <w:tc>
          <w:tcPr>
            <w:tcW w:w="1843"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6759</w:t>
            </w:r>
          </w:p>
        </w:tc>
      </w:tr>
      <w:tr w:rsidR="0043547B" w:rsidRPr="0043547B" w:rsidTr="00CB5DC0">
        <w:trPr>
          <w:trHeight w:val="330"/>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Equivalence :</w:t>
            </w:r>
          </w:p>
        </w:tc>
        <w:tc>
          <w:tcPr>
            <w:tcW w:w="7938" w:type="dxa"/>
            <w:tcBorders>
              <w:top w:val="single" w:sz="18" w:space="0" w:color="auto"/>
              <w:left w:val="single" w:sz="4" w:space="0" w:color="auto"/>
              <w:bottom w:val="single" w:sz="8"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6759</w:t>
            </w:r>
          </w:p>
        </w:tc>
      </w:tr>
      <w:tr w:rsidR="0043547B" w:rsidRPr="0043547B" w:rsidTr="00CB5DC0">
        <w:trPr>
          <w:trHeight w:val="330"/>
          <w:jc w:val="center"/>
        </w:trPr>
        <w:tc>
          <w:tcPr>
            <w:tcW w:w="1843"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Tube sans soudure en acier pour échangeurs de chaleur </w:t>
            </w:r>
          </w:p>
        </w:tc>
      </w:tr>
      <w:tr w:rsidR="0043547B" w:rsidRPr="0043547B" w:rsidTr="00CB5DC0">
        <w:trPr>
          <w:trHeight w:val="1065"/>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D336A0">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caractéristiques des tubes à extrémités lisses sans soudure en aciers non alliés ou alliés, y compris les aciers inoxydables, qui sont destinés à être utilisés pour la construction d’échangeurs de chaleur. Elle ne s’applique pas aux tubes en acier prévus pour exposition à la flamme.</w:t>
            </w:r>
          </w:p>
        </w:tc>
      </w:tr>
      <w:tr w:rsidR="0043547B" w:rsidRPr="0043547B" w:rsidTr="00CB5DC0">
        <w:trPr>
          <w:trHeight w:val="392"/>
          <w:jc w:val="center"/>
        </w:trPr>
        <w:tc>
          <w:tcPr>
            <w:tcW w:w="1843" w:type="dxa"/>
            <w:tcBorders>
              <w:top w:val="nil"/>
              <w:left w:val="single" w:sz="18" w:space="0" w:color="auto"/>
              <w:bottom w:val="single" w:sz="18" w:space="0" w:color="auto"/>
              <w:right w:val="single" w:sz="4" w:space="0" w:color="auto"/>
            </w:tcBorders>
            <w:shd w:val="clear" w:color="auto" w:fill="B3CC82"/>
            <w:vAlign w:val="center"/>
          </w:tcPr>
          <w:p w:rsidR="00ED0EA6" w:rsidRPr="0043547B" w:rsidRDefault="00ED0EA6" w:rsidP="000D5564">
            <w:pPr>
              <w:spacing w:after="0" w:line="240" w:lineRule="auto"/>
              <w:jc w:val="center"/>
              <w:rPr>
                <w:rFonts w:cstheme="minorHAnsi"/>
                <w:b/>
                <w:bCs/>
                <w:sz w:val="24"/>
                <w:szCs w:val="24"/>
              </w:rPr>
            </w:pPr>
            <w:r w:rsidRPr="0043547B">
              <w:rPr>
                <w:rFonts w:cstheme="minorHAnsi"/>
                <w:b/>
                <w:bCs/>
                <w:sz w:val="24"/>
                <w:szCs w:val="24"/>
              </w:rPr>
              <w:t>Code</w:t>
            </w:r>
            <w:r w:rsidR="000D5564" w:rsidRPr="0043547B">
              <w:rPr>
                <w:rFonts w:cstheme="minorHAnsi"/>
                <w:b/>
                <w:bCs/>
                <w:sz w:val="24"/>
                <w:szCs w:val="24"/>
              </w:rPr>
              <w:t xml:space="preserve"> </w:t>
            </w:r>
            <w:r w:rsidRPr="0043547B">
              <w:rPr>
                <w:rFonts w:cstheme="minorHAnsi"/>
                <w:b/>
                <w:bCs/>
                <w:sz w:val="24"/>
                <w:szCs w:val="24"/>
              </w:rPr>
              <w:t>:</w:t>
            </w:r>
          </w:p>
        </w:tc>
        <w:tc>
          <w:tcPr>
            <w:tcW w:w="7938" w:type="dxa"/>
            <w:tcBorders>
              <w:top w:val="nil"/>
              <w:left w:val="single" w:sz="4" w:space="0" w:color="auto"/>
              <w:bottom w:val="single" w:sz="18" w:space="0" w:color="auto"/>
              <w:right w:val="single" w:sz="18" w:space="0" w:color="auto"/>
            </w:tcBorders>
            <w:shd w:val="clear" w:color="auto" w:fill="B3CC82"/>
            <w:vAlign w:val="center"/>
          </w:tcPr>
          <w:p w:rsidR="00ED0EA6" w:rsidRPr="0043547B" w:rsidRDefault="00ED0EA6" w:rsidP="000D5564">
            <w:pPr>
              <w:spacing w:after="0" w:line="240" w:lineRule="auto"/>
              <w:jc w:val="center"/>
              <w:rPr>
                <w:rFonts w:cstheme="minorHAnsi"/>
                <w:b/>
                <w:bCs/>
                <w:sz w:val="24"/>
                <w:szCs w:val="24"/>
              </w:rPr>
            </w:pPr>
            <w:r w:rsidRPr="0043547B">
              <w:rPr>
                <w:rFonts w:cstheme="minorHAnsi"/>
                <w:b/>
                <w:bCs/>
                <w:sz w:val="24"/>
                <w:szCs w:val="24"/>
              </w:rPr>
              <w:t>NM EN 14681</w:t>
            </w:r>
          </w:p>
        </w:tc>
      </w:tr>
      <w:tr w:rsidR="0043547B" w:rsidRPr="0043547B" w:rsidTr="00CB5DC0">
        <w:trPr>
          <w:trHeight w:val="383"/>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tcPr>
          <w:p w:rsidR="00ED0EA6" w:rsidRPr="0043547B" w:rsidRDefault="00ED0EA6" w:rsidP="000D5564">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tcPr>
          <w:p w:rsidR="00ED0EA6" w:rsidRPr="0043547B" w:rsidRDefault="00ED0EA6" w:rsidP="000D5564">
            <w:pPr>
              <w:spacing w:after="0" w:line="240" w:lineRule="auto"/>
              <w:jc w:val="center"/>
              <w:rPr>
                <w:rFonts w:cstheme="minorHAnsi"/>
                <w:b/>
                <w:bCs/>
                <w:sz w:val="24"/>
                <w:szCs w:val="24"/>
              </w:rPr>
            </w:pPr>
            <w:r w:rsidRPr="0043547B">
              <w:rPr>
                <w:rFonts w:cstheme="minorHAnsi"/>
                <w:b/>
                <w:bCs/>
                <w:sz w:val="24"/>
                <w:szCs w:val="24"/>
              </w:rPr>
              <w:t>EN 14681</w:t>
            </w:r>
          </w:p>
        </w:tc>
      </w:tr>
      <w:tr w:rsidR="0043547B" w:rsidRPr="0043547B" w:rsidTr="00CB5DC0">
        <w:trPr>
          <w:trHeight w:val="517"/>
          <w:jc w:val="center"/>
        </w:trPr>
        <w:tc>
          <w:tcPr>
            <w:tcW w:w="1843" w:type="dxa"/>
            <w:tcBorders>
              <w:top w:val="single" w:sz="4" w:space="0" w:color="auto"/>
              <w:left w:val="single" w:sz="18" w:space="0" w:color="auto"/>
              <w:bottom w:val="single" w:sz="4" w:space="0" w:color="auto"/>
              <w:right w:val="single" w:sz="4" w:space="0" w:color="auto"/>
            </w:tcBorders>
            <w:shd w:val="clear" w:color="auto" w:fill="8DB3E2" w:themeFill="text2" w:themeFillTint="66"/>
            <w:vAlign w:val="center"/>
          </w:tcPr>
          <w:p w:rsidR="00ED0EA6" w:rsidRPr="0043547B" w:rsidRDefault="00ED0EA6" w:rsidP="000D5564">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auto"/>
            <w:vAlign w:val="bottom"/>
          </w:tcPr>
          <w:p w:rsidR="00ED0EA6" w:rsidRPr="0043547B" w:rsidRDefault="00ED0EA6" w:rsidP="009B2690">
            <w:pPr>
              <w:spacing w:after="0" w:line="240" w:lineRule="auto"/>
              <w:rPr>
                <w:rFonts w:cstheme="minorHAnsi"/>
                <w:sz w:val="24"/>
                <w:szCs w:val="24"/>
              </w:rPr>
            </w:pPr>
            <w:r w:rsidRPr="0043547B">
              <w:rPr>
                <w:rFonts w:cstheme="minorHAnsi"/>
                <w:sz w:val="24"/>
                <w:szCs w:val="24"/>
              </w:rPr>
              <w:t xml:space="preserve">Sécurité des machines - Exigences de sécurité pour les machines et les équipements pour la production d'acier par four à arc électrique </w:t>
            </w:r>
          </w:p>
        </w:tc>
      </w:tr>
      <w:tr w:rsidR="0043547B" w:rsidRPr="0043547B" w:rsidTr="00CB5DC0">
        <w:trPr>
          <w:trHeight w:val="1065"/>
          <w:jc w:val="center"/>
        </w:trPr>
        <w:tc>
          <w:tcPr>
            <w:tcW w:w="1843" w:type="dxa"/>
            <w:tcBorders>
              <w:top w:val="single" w:sz="4" w:space="0" w:color="auto"/>
              <w:left w:val="single" w:sz="18" w:space="0" w:color="auto"/>
              <w:bottom w:val="single" w:sz="18" w:space="0" w:color="auto"/>
              <w:right w:val="single" w:sz="4" w:space="0" w:color="auto"/>
            </w:tcBorders>
            <w:shd w:val="clear" w:color="000000" w:fill="D9D9D9"/>
            <w:vAlign w:val="center"/>
          </w:tcPr>
          <w:p w:rsidR="00ED0EA6" w:rsidRPr="0043547B" w:rsidRDefault="00ED0EA6" w:rsidP="000D5564">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bottom"/>
          </w:tcPr>
          <w:p w:rsidR="00487753" w:rsidRDefault="00ED0EA6" w:rsidP="00557025">
            <w:pPr>
              <w:spacing w:after="0" w:line="240" w:lineRule="auto"/>
              <w:jc w:val="both"/>
              <w:rPr>
                <w:rFonts w:cstheme="minorHAnsi"/>
                <w:sz w:val="24"/>
                <w:szCs w:val="24"/>
              </w:rPr>
            </w:pPr>
            <w:r w:rsidRPr="0043547B">
              <w:rPr>
                <w:rFonts w:cstheme="minorHAnsi"/>
                <w:sz w:val="24"/>
                <w:szCs w:val="24"/>
              </w:rPr>
              <w:t>La présente Norme européenne spécifie les exigences de sécurité générales pour les fours à arc électrique (FAE) utilisés pour la fusion de l’acier ne contenant pas de matériau radioactif.</w:t>
            </w:r>
          </w:p>
          <w:p w:rsidR="00557025" w:rsidRPr="0043547B" w:rsidRDefault="00ED0EA6" w:rsidP="00557025">
            <w:pPr>
              <w:spacing w:after="0" w:line="240" w:lineRule="auto"/>
              <w:jc w:val="both"/>
              <w:rPr>
                <w:rFonts w:cstheme="minorHAnsi"/>
                <w:sz w:val="24"/>
                <w:szCs w:val="24"/>
              </w:rPr>
            </w:pPr>
            <w:r w:rsidRPr="0043547B">
              <w:rPr>
                <w:rFonts w:cstheme="minorHAnsi"/>
                <w:sz w:val="24"/>
                <w:szCs w:val="24"/>
              </w:rPr>
              <w:t>La présente Norme européenne traite tous les phénomènes, situations et événements dangereux significatifs pertinents pour les FAE, lorsqu'ils sont utilisés comme prévu et dans des conditions prévues par le fabricant, mais inclut aussi des défauts et défaillances prévisibles en cas de mauvais usage.</w:t>
            </w:r>
          </w:p>
          <w:p w:rsidR="00557025" w:rsidRPr="0043547B" w:rsidRDefault="00ED0EA6" w:rsidP="00557025">
            <w:pPr>
              <w:spacing w:after="0" w:line="240" w:lineRule="auto"/>
              <w:jc w:val="both"/>
              <w:rPr>
                <w:rFonts w:cstheme="minorHAnsi"/>
                <w:sz w:val="24"/>
                <w:szCs w:val="24"/>
              </w:rPr>
            </w:pPr>
            <w:r w:rsidRPr="0043547B">
              <w:rPr>
                <w:rFonts w:cstheme="minorHAnsi"/>
                <w:sz w:val="24"/>
                <w:szCs w:val="24"/>
              </w:rPr>
              <w:t>La présente Norme européenne spécifie aussi des critères pour l'usine et l'équipement intégré dans le processus de production.</w:t>
            </w:r>
          </w:p>
          <w:p w:rsidR="00557025" w:rsidRPr="0043547B" w:rsidRDefault="00ED0EA6" w:rsidP="00557025">
            <w:pPr>
              <w:spacing w:after="0" w:line="240" w:lineRule="auto"/>
              <w:jc w:val="both"/>
              <w:rPr>
                <w:rFonts w:cstheme="minorHAnsi"/>
                <w:sz w:val="24"/>
                <w:szCs w:val="24"/>
              </w:rPr>
            </w:pPr>
            <w:r w:rsidRPr="0043547B">
              <w:rPr>
                <w:rFonts w:cstheme="minorHAnsi"/>
                <w:sz w:val="24"/>
                <w:szCs w:val="24"/>
              </w:rPr>
              <w:t>La présente Norme européenne spécifie également les exigences pour assurer la sécurité des personnes devant être impliquées lors de la conception, de l’assemblage, du transport, de la mise en service, du fonctionnement, de la maintenance et de la mise hors service des équipements.</w:t>
            </w:r>
          </w:p>
          <w:p w:rsidR="00557025" w:rsidRPr="0043547B" w:rsidRDefault="00ED0EA6" w:rsidP="00557025">
            <w:pPr>
              <w:spacing w:after="0" w:line="240" w:lineRule="auto"/>
              <w:jc w:val="both"/>
              <w:rPr>
                <w:rFonts w:cstheme="minorHAnsi"/>
                <w:sz w:val="24"/>
                <w:szCs w:val="24"/>
              </w:rPr>
            </w:pPr>
            <w:r w:rsidRPr="0043547B">
              <w:rPr>
                <w:rFonts w:cstheme="minorHAnsi"/>
                <w:sz w:val="24"/>
                <w:szCs w:val="24"/>
              </w:rPr>
              <w:t>La présente Norme européenne suppose que les installations sont utilisées et entretenues par du personnel compétent ayant reçu une formation appropriée. Une intervention manuelle pour le réglage, l’ajustage et la maintenance est acceptée comme partie intégrante de l’utilisation normale des équipements.</w:t>
            </w:r>
          </w:p>
          <w:p w:rsidR="00557025" w:rsidRPr="0043547B" w:rsidRDefault="00ED0EA6" w:rsidP="00557025">
            <w:pPr>
              <w:spacing w:after="0" w:line="240" w:lineRule="auto"/>
              <w:jc w:val="both"/>
              <w:rPr>
                <w:rFonts w:cstheme="minorHAnsi"/>
                <w:sz w:val="24"/>
                <w:szCs w:val="24"/>
              </w:rPr>
            </w:pPr>
            <w:r w:rsidRPr="0043547B">
              <w:rPr>
                <w:rFonts w:cstheme="minorHAnsi"/>
                <w:sz w:val="24"/>
                <w:szCs w:val="24"/>
              </w:rPr>
              <w:t>La présente Norme européenne couvre les équipements suivants (voir Annexe B) :</w:t>
            </w:r>
          </w:p>
          <w:p w:rsidR="00557025" w:rsidRPr="0043547B" w:rsidRDefault="00ED0EA6" w:rsidP="00557025">
            <w:pPr>
              <w:spacing w:after="0" w:line="240" w:lineRule="auto"/>
              <w:rPr>
                <w:rFonts w:cstheme="minorHAnsi"/>
                <w:sz w:val="24"/>
                <w:szCs w:val="24"/>
              </w:rPr>
            </w:pPr>
            <w:r w:rsidRPr="0043547B">
              <w:rPr>
                <w:rFonts w:cstheme="minorHAnsi"/>
                <w:sz w:val="24"/>
                <w:szCs w:val="24"/>
              </w:rPr>
              <w:t>— fours à arc électrique avec technologie du CA (courant alternatif) ;</w:t>
            </w:r>
          </w:p>
          <w:p w:rsidR="00557025" w:rsidRPr="0043547B" w:rsidRDefault="00ED0EA6" w:rsidP="00557025">
            <w:pPr>
              <w:spacing w:after="0" w:line="240" w:lineRule="auto"/>
              <w:rPr>
                <w:rFonts w:cstheme="minorHAnsi"/>
                <w:sz w:val="24"/>
                <w:szCs w:val="24"/>
              </w:rPr>
            </w:pPr>
            <w:r w:rsidRPr="0043547B">
              <w:rPr>
                <w:rFonts w:cstheme="minorHAnsi"/>
                <w:sz w:val="24"/>
                <w:szCs w:val="24"/>
              </w:rPr>
              <w:t>— fours à arc électrique avec technologie du CC (courant continu) ;</w:t>
            </w:r>
          </w:p>
          <w:p w:rsidR="00557025" w:rsidRPr="0043547B" w:rsidRDefault="00ED0EA6" w:rsidP="00557025">
            <w:pPr>
              <w:spacing w:after="0" w:line="240" w:lineRule="auto"/>
              <w:rPr>
                <w:rFonts w:cstheme="minorHAnsi"/>
                <w:sz w:val="24"/>
                <w:szCs w:val="24"/>
              </w:rPr>
            </w:pPr>
            <w:r w:rsidRPr="0043547B">
              <w:rPr>
                <w:rFonts w:cstheme="minorHAnsi"/>
                <w:sz w:val="24"/>
                <w:szCs w:val="24"/>
              </w:rPr>
              <w:t>— technique de préchauffage des déchets ;</w:t>
            </w:r>
            <w:r w:rsidRPr="0043547B">
              <w:rPr>
                <w:rFonts w:cstheme="minorHAnsi"/>
                <w:sz w:val="24"/>
                <w:szCs w:val="24"/>
              </w:rPr>
              <w:br/>
              <w:t>— équipements/dispositifs associés selon l’Annexe B.</w:t>
            </w:r>
            <w:r w:rsidRPr="0043547B">
              <w:rPr>
                <w:rFonts w:cstheme="minorHAnsi"/>
                <w:sz w:val="24"/>
                <w:szCs w:val="24"/>
              </w:rPr>
              <w:br/>
              <w:t>La présente Norme européenne ne couvre pas les équipements suivants :</w:t>
            </w:r>
            <w:r w:rsidRPr="0043547B">
              <w:rPr>
                <w:rFonts w:cstheme="minorHAnsi"/>
                <w:sz w:val="24"/>
                <w:szCs w:val="24"/>
              </w:rPr>
              <w:br/>
              <w:t>— four à induction ;</w:t>
            </w:r>
            <w:r w:rsidRPr="0043547B">
              <w:rPr>
                <w:rFonts w:cstheme="minorHAnsi"/>
                <w:sz w:val="24"/>
                <w:szCs w:val="24"/>
              </w:rPr>
              <w:br/>
              <w:t>— four à résistance ;</w:t>
            </w:r>
            <w:r w:rsidRPr="0043547B">
              <w:rPr>
                <w:rFonts w:cstheme="minorHAnsi"/>
                <w:sz w:val="24"/>
                <w:szCs w:val="24"/>
              </w:rPr>
              <w:br/>
              <w:t>— four à bombardement électronique ;</w:t>
            </w:r>
            <w:r w:rsidRPr="0043547B">
              <w:rPr>
                <w:rFonts w:cstheme="minorHAnsi"/>
                <w:sz w:val="24"/>
                <w:szCs w:val="24"/>
              </w:rPr>
              <w:br/>
              <w:t>— four à plasma ;</w:t>
            </w:r>
            <w:r w:rsidRPr="0043547B">
              <w:rPr>
                <w:rFonts w:cstheme="minorHAnsi"/>
                <w:sz w:val="24"/>
                <w:szCs w:val="24"/>
              </w:rPr>
              <w:br/>
              <w:t>— autres fours électriques utilisés en métallurgie secondaire.</w:t>
            </w:r>
            <w:r w:rsidRPr="0043547B">
              <w:rPr>
                <w:rFonts w:cstheme="minorHAnsi"/>
                <w:sz w:val="24"/>
                <w:szCs w:val="24"/>
              </w:rPr>
              <w:br/>
              <w:t>La présente Norme européenne ne spécifie pas d’exigences de sécurité pour les équipements suivants, pouvant faire partie intégrante des équipements relevant de son domaine d’application ou en constituer une partie complémentaire :</w:t>
            </w:r>
          </w:p>
          <w:p w:rsidR="00557025" w:rsidRPr="0043547B" w:rsidRDefault="00ED0EA6" w:rsidP="00FC35E9">
            <w:pPr>
              <w:spacing w:after="0" w:line="240" w:lineRule="auto"/>
              <w:rPr>
                <w:rFonts w:cstheme="minorHAnsi"/>
                <w:sz w:val="24"/>
                <w:szCs w:val="24"/>
              </w:rPr>
            </w:pPr>
            <w:r w:rsidRPr="0043547B">
              <w:rPr>
                <w:rFonts w:cstheme="minorHAnsi"/>
                <w:sz w:val="24"/>
                <w:szCs w:val="24"/>
              </w:rPr>
              <w:t>a) appareils de levage à charge suspendue ;</w:t>
            </w:r>
            <w:r w:rsidRPr="0043547B">
              <w:rPr>
                <w:rFonts w:cstheme="minorHAnsi"/>
                <w:sz w:val="24"/>
                <w:szCs w:val="24"/>
              </w:rPr>
              <w:br/>
              <w:t>b) bac à récupération de déchets ;</w:t>
            </w:r>
            <w:r w:rsidRPr="0043547B">
              <w:rPr>
                <w:rFonts w:cstheme="minorHAnsi"/>
                <w:sz w:val="24"/>
                <w:szCs w:val="24"/>
              </w:rPr>
              <w:br/>
              <w:t>c) chariot de transport pour bac à récupération de déchets ;</w:t>
            </w:r>
            <w:r w:rsidRPr="0043547B">
              <w:rPr>
                <w:rFonts w:cstheme="minorHAnsi"/>
                <w:sz w:val="24"/>
                <w:szCs w:val="24"/>
              </w:rPr>
              <w:br/>
              <w:t>d) «elephant house» (enfermement du four pour raisons environnementales) ;</w:t>
            </w:r>
            <w:r w:rsidRPr="0043547B">
              <w:rPr>
                <w:rFonts w:cstheme="minorHAnsi"/>
                <w:sz w:val="24"/>
                <w:szCs w:val="24"/>
              </w:rPr>
              <w:br/>
              <w:t>e) équipements de séchage séparé des déchets.</w:t>
            </w:r>
          </w:p>
        </w:tc>
      </w:tr>
      <w:tr w:rsidR="0043547B" w:rsidRPr="0043547B" w:rsidTr="00CB5DC0">
        <w:trPr>
          <w:trHeight w:val="358"/>
          <w:jc w:val="center"/>
        </w:trPr>
        <w:tc>
          <w:tcPr>
            <w:tcW w:w="1843" w:type="dxa"/>
            <w:tcBorders>
              <w:top w:val="nil"/>
              <w:left w:val="single" w:sz="18" w:space="0" w:color="auto"/>
              <w:bottom w:val="single" w:sz="18" w:space="0" w:color="auto"/>
              <w:right w:val="single" w:sz="4" w:space="0" w:color="auto"/>
            </w:tcBorders>
            <w:shd w:val="clear" w:color="auto" w:fill="B3CC82"/>
            <w:vAlign w:val="center"/>
          </w:tcPr>
          <w:p w:rsidR="00ED0EA6" w:rsidRPr="0043547B" w:rsidRDefault="00ED0EA6" w:rsidP="000D5564">
            <w:pPr>
              <w:spacing w:after="0" w:line="240" w:lineRule="auto"/>
              <w:jc w:val="center"/>
              <w:rPr>
                <w:rFonts w:cstheme="minorHAnsi"/>
                <w:b/>
                <w:bCs/>
                <w:sz w:val="24"/>
                <w:szCs w:val="24"/>
              </w:rPr>
            </w:pPr>
            <w:r w:rsidRPr="0043547B">
              <w:rPr>
                <w:rFonts w:cstheme="minorHAnsi"/>
                <w:b/>
                <w:bCs/>
                <w:sz w:val="24"/>
                <w:szCs w:val="24"/>
              </w:rPr>
              <w:lastRenderedPageBreak/>
              <w:t>Code :</w:t>
            </w:r>
          </w:p>
        </w:tc>
        <w:tc>
          <w:tcPr>
            <w:tcW w:w="7938" w:type="dxa"/>
            <w:tcBorders>
              <w:top w:val="nil"/>
              <w:left w:val="single" w:sz="4" w:space="0" w:color="auto"/>
              <w:bottom w:val="single" w:sz="18" w:space="0" w:color="auto"/>
              <w:right w:val="single" w:sz="18" w:space="0" w:color="auto"/>
            </w:tcBorders>
            <w:shd w:val="clear" w:color="auto" w:fill="B3CC82"/>
            <w:vAlign w:val="center"/>
          </w:tcPr>
          <w:p w:rsidR="00ED0EA6" w:rsidRPr="0043547B" w:rsidRDefault="00ED0EA6" w:rsidP="000D5564">
            <w:pPr>
              <w:spacing w:after="0" w:line="240" w:lineRule="auto"/>
              <w:jc w:val="center"/>
              <w:rPr>
                <w:rFonts w:cstheme="minorHAnsi"/>
                <w:b/>
                <w:bCs/>
                <w:sz w:val="24"/>
                <w:szCs w:val="24"/>
              </w:rPr>
            </w:pPr>
            <w:r w:rsidRPr="0043547B">
              <w:rPr>
                <w:rFonts w:cstheme="minorHAnsi"/>
                <w:b/>
                <w:bCs/>
                <w:sz w:val="24"/>
                <w:szCs w:val="24"/>
              </w:rPr>
              <w:t>NM EN 14656</w:t>
            </w:r>
          </w:p>
        </w:tc>
      </w:tr>
      <w:tr w:rsidR="0043547B" w:rsidRPr="0043547B" w:rsidTr="00CB5DC0">
        <w:trPr>
          <w:trHeight w:val="392"/>
          <w:jc w:val="center"/>
        </w:trPr>
        <w:tc>
          <w:tcPr>
            <w:tcW w:w="1843" w:type="dxa"/>
            <w:tcBorders>
              <w:top w:val="nil"/>
              <w:left w:val="single" w:sz="18" w:space="0" w:color="auto"/>
              <w:bottom w:val="single" w:sz="18" w:space="0" w:color="auto"/>
              <w:right w:val="single" w:sz="4" w:space="0" w:color="auto"/>
            </w:tcBorders>
            <w:shd w:val="clear" w:color="auto" w:fill="FFFF99"/>
            <w:vAlign w:val="center"/>
          </w:tcPr>
          <w:p w:rsidR="00ED0EA6" w:rsidRPr="0043547B" w:rsidRDefault="00ED0EA6" w:rsidP="000D5564">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nil"/>
              <w:left w:val="single" w:sz="4" w:space="0" w:color="auto"/>
              <w:bottom w:val="single" w:sz="18" w:space="0" w:color="auto"/>
              <w:right w:val="single" w:sz="18" w:space="0" w:color="auto"/>
            </w:tcBorders>
            <w:shd w:val="clear" w:color="auto" w:fill="FFFF99"/>
            <w:vAlign w:val="center"/>
          </w:tcPr>
          <w:p w:rsidR="00ED0EA6" w:rsidRPr="0043547B" w:rsidRDefault="00ED0EA6" w:rsidP="000D5564">
            <w:pPr>
              <w:spacing w:after="0" w:line="240" w:lineRule="auto"/>
              <w:jc w:val="center"/>
              <w:rPr>
                <w:rFonts w:cstheme="minorHAnsi"/>
                <w:b/>
                <w:bCs/>
                <w:sz w:val="24"/>
                <w:szCs w:val="24"/>
              </w:rPr>
            </w:pPr>
            <w:r w:rsidRPr="0043547B">
              <w:rPr>
                <w:rFonts w:cstheme="minorHAnsi"/>
                <w:b/>
                <w:bCs/>
                <w:sz w:val="24"/>
                <w:szCs w:val="24"/>
              </w:rPr>
              <w:t>EN 14656</w:t>
            </w:r>
          </w:p>
        </w:tc>
      </w:tr>
      <w:tr w:rsidR="0043547B" w:rsidRPr="0043547B" w:rsidTr="00CB5DC0">
        <w:trPr>
          <w:trHeight w:val="525"/>
          <w:jc w:val="center"/>
        </w:trPr>
        <w:tc>
          <w:tcPr>
            <w:tcW w:w="1843" w:type="dxa"/>
            <w:tcBorders>
              <w:top w:val="nil"/>
              <w:left w:val="single" w:sz="18" w:space="0" w:color="auto"/>
              <w:bottom w:val="single" w:sz="18" w:space="0" w:color="auto"/>
              <w:right w:val="single" w:sz="4" w:space="0" w:color="auto"/>
            </w:tcBorders>
            <w:shd w:val="clear" w:color="auto" w:fill="8DB3E2" w:themeFill="text2" w:themeFillTint="66"/>
            <w:vAlign w:val="center"/>
          </w:tcPr>
          <w:p w:rsidR="00ED0EA6" w:rsidRPr="0043547B" w:rsidRDefault="00ED0EA6" w:rsidP="000D5564">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18" w:space="0" w:color="auto"/>
              <w:right w:val="single" w:sz="18" w:space="0" w:color="auto"/>
            </w:tcBorders>
            <w:shd w:val="clear" w:color="auto" w:fill="auto"/>
            <w:vAlign w:val="bottom"/>
          </w:tcPr>
          <w:p w:rsidR="00ED0EA6" w:rsidRPr="0043547B" w:rsidRDefault="00ED0EA6" w:rsidP="009B2690">
            <w:pPr>
              <w:spacing w:after="0" w:line="240" w:lineRule="auto"/>
              <w:rPr>
                <w:rFonts w:cstheme="minorHAnsi"/>
                <w:sz w:val="24"/>
                <w:szCs w:val="24"/>
              </w:rPr>
            </w:pPr>
            <w:r w:rsidRPr="0043547B">
              <w:rPr>
                <w:rFonts w:cstheme="minorHAnsi"/>
                <w:sz w:val="24"/>
                <w:szCs w:val="24"/>
              </w:rPr>
              <w:t xml:space="preserve">Sécurité des machines - Exigences de sécurité pour presses à filer l'acier et les métaux non ferreux </w:t>
            </w:r>
          </w:p>
        </w:tc>
      </w:tr>
      <w:tr w:rsidR="0043547B" w:rsidRPr="0043547B" w:rsidTr="00CB5DC0">
        <w:trPr>
          <w:trHeight w:val="808"/>
          <w:jc w:val="center"/>
        </w:trPr>
        <w:tc>
          <w:tcPr>
            <w:tcW w:w="1843" w:type="dxa"/>
            <w:tcBorders>
              <w:top w:val="nil"/>
              <w:left w:val="single" w:sz="18" w:space="0" w:color="auto"/>
              <w:bottom w:val="single" w:sz="18" w:space="0" w:color="auto"/>
              <w:right w:val="single" w:sz="4" w:space="0" w:color="auto"/>
            </w:tcBorders>
            <w:shd w:val="clear" w:color="000000" w:fill="D9D9D9"/>
            <w:vAlign w:val="center"/>
          </w:tcPr>
          <w:p w:rsidR="00ED0EA6" w:rsidRPr="0043547B" w:rsidRDefault="00ED0EA6" w:rsidP="000D5564">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bottom"/>
          </w:tcPr>
          <w:p w:rsidR="00557025" w:rsidRPr="0043547B" w:rsidRDefault="00ED0EA6" w:rsidP="00557025">
            <w:pPr>
              <w:spacing w:after="0" w:line="240" w:lineRule="auto"/>
              <w:jc w:val="both"/>
              <w:rPr>
                <w:rFonts w:cstheme="minorHAnsi"/>
                <w:sz w:val="24"/>
                <w:szCs w:val="24"/>
              </w:rPr>
            </w:pPr>
            <w:r w:rsidRPr="0043547B">
              <w:rPr>
                <w:rFonts w:cstheme="minorHAnsi"/>
                <w:sz w:val="24"/>
                <w:szCs w:val="24"/>
              </w:rPr>
              <w:t>La présente norme s'applique :</w:t>
            </w:r>
          </w:p>
          <w:p w:rsidR="00487753" w:rsidRDefault="00ED0EA6" w:rsidP="00487753">
            <w:pPr>
              <w:spacing w:after="0" w:line="240" w:lineRule="auto"/>
              <w:jc w:val="both"/>
              <w:rPr>
                <w:rFonts w:cstheme="minorHAnsi"/>
                <w:sz w:val="24"/>
                <w:szCs w:val="24"/>
              </w:rPr>
            </w:pPr>
            <w:r w:rsidRPr="0043547B">
              <w:rPr>
                <w:rFonts w:cstheme="minorHAnsi"/>
                <w:sz w:val="24"/>
                <w:szCs w:val="24"/>
              </w:rPr>
              <w:t xml:space="preserve">— aux presses à filer, de la sortie du four de chauffage des billettes aux équipements de manutention, de refroidissement et de trempe associés, </w:t>
            </w:r>
            <w:r w:rsidR="00487753" w:rsidRPr="0043547B">
              <w:rPr>
                <w:rFonts w:cstheme="minorHAnsi"/>
                <w:sz w:val="24"/>
                <w:szCs w:val="24"/>
              </w:rPr>
              <w:t>comprenant par exemple, l'extracteur (le puller), la scie à chaud, la table de sortie, le banc de traction, la scie à froid, la table de sciage à froid et/ou la bobineuse incorporés à l'équipement, jusqu'au point où le produit extrudé est transféré à l'équipement de finition associé.</w:t>
            </w:r>
          </w:p>
          <w:p w:rsidR="00487753" w:rsidRPr="0043547B" w:rsidRDefault="00487753" w:rsidP="00487753">
            <w:pPr>
              <w:spacing w:after="0" w:line="240" w:lineRule="auto"/>
              <w:jc w:val="both"/>
              <w:rPr>
                <w:rFonts w:cstheme="minorHAnsi"/>
                <w:sz w:val="24"/>
                <w:szCs w:val="24"/>
              </w:rPr>
            </w:pPr>
            <w:r w:rsidRPr="0043547B">
              <w:rPr>
                <w:rFonts w:cstheme="minorHAnsi"/>
                <w:sz w:val="24"/>
                <w:szCs w:val="24"/>
              </w:rPr>
              <w:t>Elle spécifie les exigences en matière de santé et de sécurité à tous les stades du cycle de vie de l'équipement, sa conception, sa commande, sa construction, son utilisation et sa mise au rebut.</w:t>
            </w:r>
          </w:p>
          <w:p w:rsidR="00487753" w:rsidRPr="0043547B" w:rsidRDefault="00487753" w:rsidP="00487753">
            <w:pPr>
              <w:spacing w:after="0" w:line="240" w:lineRule="auto"/>
              <w:jc w:val="both"/>
              <w:rPr>
                <w:rFonts w:cstheme="minorHAnsi"/>
                <w:sz w:val="24"/>
                <w:szCs w:val="24"/>
              </w:rPr>
            </w:pPr>
            <w:r w:rsidRPr="0043547B">
              <w:rPr>
                <w:rFonts w:cstheme="minorHAnsi"/>
                <w:sz w:val="24"/>
                <w:szCs w:val="24"/>
              </w:rPr>
              <w:t>La présente Norme européenne spécifie les exigences que le fabricant doit respecter afin d'assurer la santé et la sécurité des personnes lors des opérations de construction, transport, mise en service, fonctionnement, entretien et mise hors service, ainsi que dans l'éventualité de pannes prévisibles telles que des dysfonctionnements susceptibles de se produire.</w:t>
            </w:r>
          </w:p>
          <w:p w:rsidR="00487753" w:rsidRDefault="00487753" w:rsidP="00487753">
            <w:pPr>
              <w:spacing w:after="0" w:line="240" w:lineRule="auto"/>
              <w:jc w:val="both"/>
              <w:rPr>
                <w:rFonts w:cstheme="minorHAnsi"/>
                <w:sz w:val="24"/>
                <w:szCs w:val="24"/>
              </w:rPr>
            </w:pPr>
            <w:r w:rsidRPr="0043547B">
              <w:rPr>
                <w:rFonts w:cstheme="minorHAnsi"/>
                <w:sz w:val="24"/>
                <w:szCs w:val="24"/>
              </w:rPr>
              <w:t>La présente Norme européenne traite tous les phénomènes, situations et événements dangereux significatifs pertinents pour les presses à filer, lorsqu’elles sont utilisées comme prévu et dans des conditions raisonnablement prévisibles par le fabricant.</w:t>
            </w:r>
          </w:p>
          <w:p w:rsidR="00557025" w:rsidRPr="0043547B" w:rsidRDefault="00487753" w:rsidP="00487753">
            <w:pPr>
              <w:spacing w:after="0" w:line="240" w:lineRule="auto"/>
              <w:jc w:val="both"/>
              <w:rPr>
                <w:rFonts w:cstheme="minorHAnsi"/>
                <w:sz w:val="24"/>
                <w:szCs w:val="24"/>
              </w:rPr>
            </w:pPr>
            <w:r w:rsidRPr="0043547B">
              <w:rPr>
                <w:rFonts w:cstheme="minorHAnsi"/>
                <w:sz w:val="24"/>
                <w:szCs w:val="24"/>
              </w:rPr>
              <w:t>La présente Norme européenne ne s'applique pas aux presses à filer qui ont été fabriquées avant sa date de publication comme EN.</w:t>
            </w:r>
          </w:p>
        </w:tc>
      </w:tr>
      <w:tr w:rsidR="0043547B" w:rsidRPr="0043547B" w:rsidTr="00CB5DC0">
        <w:trPr>
          <w:trHeight w:val="424"/>
          <w:jc w:val="center"/>
        </w:trPr>
        <w:tc>
          <w:tcPr>
            <w:tcW w:w="1843" w:type="dxa"/>
            <w:tcBorders>
              <w:top w:val="nil"/>
              <w:left w:val="single" w:sz="18" w:space="0" w:color="auto"/>
              <w:bottom w:val="single" w:sz="18" w:space="0" w:color="auto"/>
              <w:right w:val="single" w:sz="4" w:space="0" w:color="auto"/>
            </w:tcBorders>
            <w:shd w:val="clear" w:color="auto" w:fill="B3CC82"/>
            <w:vAlign w:val="center"/>
          </w:tcPr>
          <w:p w:rsidR="00ED0EA6" w:rsidRPr="0043547B" w:rsidRDefault="00ED0EA6" w:rsidP="000D5564">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nil"/>
              <w:left w:val="single" w:sz="4" w:space="0" w:color="auto"/>
              <w:bottom w:val="single" w:sz="18" w:space="0" w:color="auto"/>
              <w:right w:val="single" w:sz="18" w:space="0" w:color="auto"/>
            </w:tcBorders>
            <w:shd w:val="clear" w:color="auto" w:fill="B3CC82"/>
            <w:vAlign w:val="center"/>
          </w:tcPr>
          <w:p w:rsidR="00ED0EA6" w:rsidRPr="0043547B" w:rsidRDefault="00ED0EA6" w:rsidP="00557025">
            <w:pPr>
              <w:spacing w:after="0" w:line="240" w:lineRule="auto"/>
              <w:jc w:val="center"/>
              <w:rPr>
                <w:rFonts w:cstheme="minorHAnsi"/>
                <w:b/>
                <w:bCs/>
                <w:sz w:val="24"/>
                <w:szCs w:val="24"/>
              </w:rPr>
            </w:pPr>
            <w:r w:rsidRPr="0043547B">
              <w:rPr>
                <w:rFonts w:cstheme="minorHAnsi"/>
                <w:b/>
                <w:bCs/>
                <w:sz w:val="24"/>
                <w:szCs w:val="24"/>
              </w:rPr>
              <w:t>NM EN 869</w:t>
            </w:r>
          </w:p>
        </w:tc>
      </w:tr>
      <w:tr w:rsidR="0043547B" w:rsidRPr="0043547B" w:rsidTr="00CB5DC0">
        <w:trPr>
          <w:trHeight w:val="390"/>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tcPr>
          <w:p w:rsidR="00ED0EA6" w:rsidRPr="0043547B" w:rsidRDefault="00ED0EA6" w:rsidP="000D5564">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tcPr>
          <w:p w:rsidR="00ED0EA6" w:rsidRPr="0043547B" w:rsidRDefault="00ED0EA6" w:rsidP="00557025">
            <w:pPr>
              <w:spacing w:after="0" w:line="240" w:lineRule="auto"/>
              <w:jc w:val="center"/>
              <w:rPr>
                <w:rFonts w:cstheme="minorHAnsi"/>
                <w:b/>
                <w:bCs/>
                <w:sz w:val="24"/>
                <w:szCs w:val="24"/>
              </w:rPr>
            </w:pPr>
            <w:r w:rsidRPr="0043547B">
              <w:rPr>
                <w:rFonts w:cstheme="minorHAnsi"/>
                <w:b/>
                <w:bCs/>
                <w:sz w:val="24"/>
                <w:szCs w:val="24"/>
              </w:rPr>
              <w:t>EN 869</w:t>
            </w:r>
          </w:p>
        </w:tc>
      </w:tr>
      <w:tr w:rsidR="0043547B" w:rsidRPr="0043547B" w:rsidTr="00CB5DC0">
        <w:trPr>
          <w:trHeight w:val="559"/>
          <w:jc w:val="center"/>
        </w:trPr>
        <w:tc>
          <w:tcPr>
            <w:tcW w:w="1843" w:type="dxa"/>
            <w:tcBorders>
              <w:top w:val="single" w:sz="4" w:space="0" w:color="auto"/>
              <w:left w:val="single" w:sz="18" w:space="0" w:color="auto"/>
              <w:bottom w:val="single" w:sz="4" w:space="0" w:color="auto"/>
              <w:right w:val="single" w:sz="4" w:space="0" w:color="auto"/>
            </w:tcBorders>
            <w:shd w:val="clear" w:color="auto" w:fill="8DB3E2" w:themeFill="text2" w:themeFillTint="66"/>
            <w:vAlign w:val="center"/>
          </w:tcPr>
          <w:p w:rsidR="00ED0EA6" w:rsidRPr="0043547B" w:rsidRDefault="00ED0EA6" w:rsidP="000D5564">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auto"/>
          </w:tcPr>
          <w:p w:rsidR="00ED0EA6" w:rsidRPr="0043547B" w:rsidRDefault="00ED0EA6" w:rsidP="009B2690">
            <w:pPr>
              <w:spacing w:after="0" w:line="240" w:lineRule="auto"/>
              <w:rPr>
                <w:rFonts w:cstheme="minorHAnsi"/>
                <w:sz w:val="24"/>
                <w:szCs w:val="24"/>
              </w:rPr>
            </w:pPr>
            <w:r w:rsidRPr="0043547B">
              <w:rPr>
                <w:rFonts w:cstheme="minorHAnsi"/>
                <w:sz w:val="24"/>
                <w:szCs w:val="24"/>
              </w:rPr>
              <w:t xml:space="preserve">Sécurité des machines - Prescriptions de sécurité pour les chantiers de moulage des métaux sous pression </w:t>
            </w:r>
          </w:p>
        </w:tc>
      </w:tr>
      <w:tr w:rsidR="0043547B" w:rsidRPr="0043547B" w:rsidTr="00273ED5">
        <w:trPr>
          <w:trHeight w:val="3056"/>
          <w:jc w:val="center"/>
        </w:trPr>
        <w:tc>
          <w:tcPr>
            <w:tcW w:w="1843" w:type="dxa"/>
            <w:tcBorders>
              <w:top w:val="single" w:sz="4" w:space="0" w:color="auto"/>
              <w:left w:val="single" w:sz="18" w:space="0" w:color="auto"/>
              <w:bottom w:val="single" w:sz="18" w:space="0" w:color="auto"/>
              <w:right w:val="single" w:sz="4" w:space="0" w:color="auto"/>
            </w:tcBorders>
            <w:shd w:val="clear" w:color="000000" w:fill="D9D9D9"/>
            <w:vAlign w:val="center"/>
          </w:tcPr>
          <w:p w:rsidR="00ED0EA6" w:rsidRPr="0043547B" w:rsidRDefault="00ED0EA6" w:rsidP="000D5564">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bottom"/>
          </w:tcPr>
          <w:p w:rsidR="00557025" w:rsidRPr="0043547B" w:rsidRDefault="00ED0EA6" w:rsidP="00557025">
            <w:pPr>
              <w:spacing w:after="0" w:line="240" w:lineRule="auto"/>
              <w:jc w:val="both"/>
              <w:rPr>
                <w:rFonts w:cstheme="minorHAnsi"/>
                <w:sz w:val="24"/>
                <w:szCs w:val="24"/>
              </w:rPr>
            </w:pPr>
            <w:r w:rsidRPr="0043547B">
              <w:rPr>
                <w:rFonts w:cstheme="minorHAnsi"/>
                <w:sz w:val="24"/>
                <w:szCs w:val="24"/>
              </w:rPr>
              <w:t>La présente Norme européenne spécifie les prescriptions de sécurité relatives aux chantiers de moulage des métaux sous pression.</w:t>
            </w:r>
          </w:p>
          <w:p w:rsidR="00557025" w:rsidRPr="0043547B" w:rsidRDefault="00ED0EA6" w:rsidP="00557025">
            <w:pPr>
              <w:spacing w:after="0" w:line="240" w:lineRule="auto"/>
              <w:jc w:val="both"/>
              <w:rPr>
                <w:rFonts w:cstheme="minorHAnsi"/>
                <w:sz w:val="24"/>
                <w:szCs w:val="24"/>
              </w:rPr>
            </w:pPr>
            <w:r w:rsidRPr="0043547B">
              <w:rPr>
                <w:rFonts w:cstheme="minorHAnsi"/>
                <w:sz w:val="24"/>
                <w:szCs w:val="24"/>
              </w:rPr>
              <w:t>Elle s'applique aux machines à couler sous pression et aux interfaces avec les équipements auxiliaires suivants :</w:t>
            </w:r>
          </w:p>
          <w:p w:rsidR="00557025" w:rsidRPr="0043547B" w:rsidRDefault="00ED0EA6" w:rsidP="00557025">
            <w:pPr>
              <w:spacing w:after="0" w:line="240" w:lineRule="auto"/>
              <w:rPr>
                <w:rFonts w:cstheme="minorHAnsi"/>
                <w:sz w:val="24"/>
                <w:szCs w:val="24"/>
              </w:rPr>
            </w:pPr>
            <w:r w:rsidRPr="0043547B">
              <w:rPr>
                <w:rFonts w:cstheme="minorHAnsi"/>
                <w:sz w:val="24"/>
                <w:szCs w:val="24"/>
              </w:rPr>
              <w:t>— le moule ;</w:t>
            </w:r>
            <w:r w:rsidRPr="0043547B">
              <w:rPr>
                <w:rFonts w:cstheme="minorHAnsi"/>
                <w:sz w:val="24"/>
                <w:szCs w:val="24"/>
              </w:rPr>
              <w:br/>
              <w:t>— les fours de fusion, de maintien et de dosage (voir EN 746-1) ;</w:t>
            </w:r>
            <w:r w:rsidRPr="0043547B">
              <w:rPr>
                <w:rFonts w:cstheme="minorHAnsi"/>
                <w:sz w:val="24"/>
                <w:szCs w:val="24"/>
              </w:rPr>
              <w:br/>
              <w:t>— les dispositifs d'alimentation en métal ;</w:t>
            </w:r>
            <w:r w:rsidRPr="0043547B">
              <w:rPr>
                <w:rFonts w:cstheme="minorHAnsi"/>
                <w:sz w:val="24"/>
                <w:szCs w:val="24"/>
              </w:rPr>
              <w:br/>
              <w:t>— les dispositifs d'amenée ou d'extraction ;</w:t>
            </w:r>
            <w:r w:rsidRPr="0043547B">
              <w:rPr>
                <w:rFonts w:cstheme="minorHAnsi"/>
                <w:sz w:val="24"/>
                <w:szCs w:val="24"/>
              </w:rPr>
              <w:br/>
              <w:t>— les dispositifs de poteyage ;</w:t>
            </w:r>
            <w:r w:rsidRPr="0043547B">
              <w:rPr>
                <w:rFonts w:cstheme="minorHAnsi"/>
                <w:sz w:val="24"/>
                <w:szCs w:val="24"/>
              </w:rPr>
              <w:br/>
              <w:t>— l’échangeur de chaleur du moule.</w:t>
            </w:r>
            <w:r w:rsidRPr="0043547B">
              <w:rPr>
                <w:rFonts w:cstheme="minorHAnsi"/>
                <w:sz w:val="24"/>
                <w:szCs w:val="24"/>
              </w:rPr>
              <w:br/>
              <w:t>Ces équipements auxiliaires ne sont pas couverts.</w:t>
            </w:r>
          </w:p>
          <w:p w:rsidR="00273ED5" w:rsidRPr="0043547B" w:rsidRDefault="00273ED5" w:rsidP="00273ED5">
            <w:pPr>
              <w:spacing w:after="0" w:line="240" w:lineRule="auto"/>
              <w:jc w:val="both"/>
              <w:rPr>
                <w:rFonts w:cstheme="minorHAnsi"/>
                <w:sz w:val="24"/>
                <w:szCs w:val="24"/>
              </w:rPr>
            </w:pPr>
            <w:r w:rsidRPr="0043547B">
              <w:rPr>
                <w:rFonts w:cstheme="minorHAnsi"/>
                <w:sz w:val="24"/>
                <w:szCs w:val="24"/>
              </w:rPr>
              <w:t>Les risques additionnels provenant du matériau en cours de coulée ne sont pas couverts.</w:t>
            </w:r>
            <w:r w:rsidRPr="0043547B">
              <w:rPr>
                <w:rFonts w:cstheme="minorHAnsi"/>
                <w:sz w:val="24"/>
                <w:szCs w:val="24"/>
              </w:rPr>
              <w:br/>
              <w:t>La présente norme ne s'applique pas aux chantiers de moulage à basse pression et/ou par gravité.</w:t>
            </w:r>
          </w:p>
          <w:p w:rsidR="00273ED5" w:rsidRPr="0043547B" w:rsidRDefault="00273ED5" w:rsidP="00273ED5">
            <w:pPr>
              <w:spacing w:after="0" w:line="240" w:lineRule="auto"/>
              <w:jc w:val="both"/>
              <w:rPr>
                <w:rFonts w:cstheme="minorHAnsi"/>
                <w:sz w:val="24"/>
                <w:szCs w:val="24"/>
              </w:rPr>
            </w:pPr>
            <w:r w:rsidRPr="0043547B">
              <w:rPr>
                <w:rFonts w:cstheme="minorHAnsi"/>
                <w:sz w:val="24"/>
                <w:szCs w:val="24"/>
              </w:rPr>
              <w:t xml:space="preserve">La présente norme traite tous les phénomènes dangereux, situations et événements dangereux significatifs spécifiques aux chantiers de moulage sous pression, lorsqu’ils sont utilisés dans les conditions normales prévues et dans des </w:t>
            </w:r>
            <w:r w:rsidRPr="0043547B">
              <w:rPr>
                <w:rFonts w:cstheme="minorHAnsi"/>
                <w:sz w:val="24"/>
                <w:szCs w:val="24"/>
              </w:rPr>
              <w:lastRenderedPageBreak/>
              <w:t>conditions anormales telles que le !fabricant" a pu raisonnablement les prévoir (voir Article 4).</w:t>
            </w:r>
          </w:p>
          <w:p w:rsidR="00273ED5" w:rsidRDefault="00273ED5" w:rsidP="00273ED5">
            <w:pPr>
              <w:spacing w:after="0" w:line="240" w:lineRule="auto"/>
              <w:jc w:val="both"/>
              <w:rPr>
                <w:rFonts w:cstheme="minorHAnsi"/>
                <w:sz w:val="24"/>
                <w:szCs w:val="24"/>
              </w:rPr>
            </w:pPr>
            <w:r w:rsidRPr="0043547B">
              <w:rPr>
                <w:rFonts w:cstheme="minorHAnsi"/>
                <w:sz w:val="24"/>
                <w:szCs w:val="24"/>
              </w:rPr>
              <w:t>Elle définit les prescriptions auxquelles doit satisfaire le fabricant pour assurer la sécurité des personnes et des biens pendant la construction, le transport, la mise en service, l'utilisation, la mise hors service et la maintenance, ainsi que dans le cas de pannes ou de défauts de fonctionnement prévisibles, susceptibles d'affecter le matériel.</w:t>
            </w:r>
            <w:r>
              <w:rPr>
                <w:rFonts w:cstheme="minorHAnsi"/>
                <w:sz w:val="24"/>
                <w:szCs w:val="24"/>
              </w:rPr>
              <w:t xml:space="preserve"> </w:t>
            </w:r>
          </w:p>
          <w:p w:rsidR="00ED0EA6" w:rsidRPr="0043547B" w:rsidRDefault="00273ED5" w:rsidP="00273ED5">
            <w:pPr>
              <w:spacing w:after="0" w:line="240" w:lineRule="auto"/>
              <w:jc w:val="both"/>
              <w:rPr>
                <w:rFonts w:cstheme="minorHAnsi"/>
                <w:sz w:val="24"/>
                <w:szCs w:val="24"/>
              </w:rPr>
            </w:pPr>
            <w:r w:rsidRPr="0043547B">
              <w:rPr>
                <w:rFonts w:cstheme="minorHAnsi"/>
                <w:sz w:val="24"/>
                <w:szCs w:val="24"/>
              </w:rPr>
              <w:t>Le présent document ne s’applique pas aux chantiers/machines de moulage des métaux sous pression qui sont fabriqués avant la date de publication de ce document par le CEN.</w:t>
            </w:r>
          </w:p>
        </w:tc>
      </w:tr>
      <w:tr w:rsidR="0043547B" w:rsidRPr="0043547B" w:rsidTr="00CB5DC0">
        <w:trPr>
          <w:trHeight w:val="424"/>
          <w:jc w:val="center"/>
        </w:trPr>
        <w:tc>
          <w:tcPr>
            <w:tcW w:w="1843" w:type="dxa"/>
            <w:tcBorders>
              <w:top w:val="nil"/>
              <w:left w:val="single" w:sz="18" w:space="0" w:color="auto"/>
              <w:bottom w:val="single" w:sz="18" w:space="0" w:color="auto"/>
              <w:right w:val="single" w:sz="4" w:space="0" w:color="auto"/>
            </w:tcBorders>
            <w:shd w:val="clear" w:color="auto" w:fill="B3CC82"/>
            <w:vAlign w:val="center"/>
          </w:tcPr>
          <w:p w:rsidR="00ED0EA6" w:rsidRPr="0043547B" w:rsidRDefault="00ED0EA6" w:rsidP="00557025">
            <w:pPr>
              <w:spacing w:after="0" w:line="240" w:lineRule="auto"/>
              <w:jc w:val="center"/>
              <w:rPr>
                <w:rFonts w:cstheme="minorHAnsi"/>
                <w:b/>
                <w:bCs/>
                <w:sz w:val="24"/>
                <w:szCs w:val="24"/>
              </w:rPr>
            </w:pPr>
            <w:r w:rsidRPr="0043547B">
              <w:rPr>
                <w:rFonts w:cstheme="minorHAnsi"/>
                <w:b/>
                <w:bCs/>
                <w:sz w:val="24"/>
                <w:szCs w:val="24"/>
              </w:rPr>
              <w:lastRenderedPageBreak/>
              <w:t>Code :</w:t>
            </w:r>
          </w:p>
        </w:tc>
        <w:tc>
          <w:tcPr>
            <w:tcW w:w="7938" w:type="dxa"/>
            <w:tcBorders>
              <w:top w:val="nil"/>
              <w:left w:val="single" w:sz="4" w:space="0" w:color="auto"/>
              <w:bottom w:val="single" w:sz="18" w:space="0" w:color="auto"/>
              <w:right w:val="single" w:sz="18" w:space="0" w:color="auto"/>
            </w:tcBorders>
            <w:shd w:val="clear" w:color="auto" w:fill="B3CC82"/>
            <w:vAlign w:val="center"/>
          </w:tcPr>
          <w:p w:rsidR="00ED0EA6" w:rsidRPr="0043547B" w:rsidRDefault="00ED0EA6" w:rsidP="00557025">
            <w:pPr>
              <w:spacing w:after="0" w:line="240" w:lineRule="auto"/>
              <w:jc w:val="center"/>
              <w:rPr>
                <w:rFonts w:cstheme="minorHAnsi"/>
                <w:b/>
                <w:bCs/>
                <w:sz w:val="24"/>
                <w:szCs w:val="24"/>
              </w:rPr>
            </w:pPr>
            <w:r w:rsidRPr="0043547B">
              <w:rPr>
                <w:rFonts w:cstheme="minorHAnsi"/>
                <w:b/>
                <w:bCs/>
                <w:sz w:val="24"/>
                <w:szCs w:val="24"/>
              </w:rPr>
              <w:t>NM EN 13411-8</w:t>
            </w:r>
          </w:p>
        </w:tc>
      </w:tr>
      <w:tr w:rsidR="0043547B" w:rsidRPr="0043547B" w:rsidTr="00487753">
        <w:trPr>
          <w:trHeight w:val="388"/>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tcPr>
          <w:p w:rsidR="00ED0EA6" w:rsidRPr="0043547B" w:rsidRDefault="00ED0EA6" w:rsidP="000D5564">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tcPr>
          <w:p w:rsidR="00ED0EA6" w:rsidRPr="0043547B" w:rsidRDefault="00ED0EA6" w:rsidP="00557025">
            <w:pPr>
              <w:spacing w:after="0" w:line="240" w:lineRule="auto"/>
              <w:jc w:val="center"/>
              <w:rPr>
                <w:rFonts w:cstheme="minorHAnsi"/>
                <w:b/>
                <w:bCs/>
                <w:sz w:val="24"/>
                <w:szCs w:val="24"/>
              </w:rPr>
            </w:pPr>
            <w:r w:rsidRPr="0043547B">
              <w:rPr>
                <w:rFonts w:cstheme="minorHAnsi"/>
                <w:b/>
                <w:bCs/>
                <w:sz w:val="24"/>
                <w:szCs w:val="24"/>
              </w:rPr>
              <w:t>EN 13411-8</w:t>
            </w:r>
          </w:p>
        </w:tc>
      </w:tr>
      <w:tr w:rsidR="0043547B" w:rsidRPr="0043547B" w:rsidTr="00487753">
        <w:trPr>
          <w:trHeight w:val="522"/>
          <w:jc w:val="center"/>
        </w:trPr>
        <w:tc>
          <w:tcPr>
            <w:tcW w:w="1843" w:type="dxa"/>
            <w:tcBorders>
              <w:top w:val="single" w:sz="4" w:space="0" w:color="auto"/>
              <w:left w:val="single" w:sz="18" w:space="0" w:color="auto"/>
              <w:bottom w:val="single" w:sz="4" w:space="0" w:color="auto"/>
              <w:right w:val="single" w:sz="4" w:space="0" w:color="auto"/>
            </w:tcBorders>
            <w:shd w:val="clear" w:color="auto" w:fill="8DB3E2" w:themeFill="text2" w:themeFillTint="66"/>
            <w:vAlign w:val="center"/>
          </w:tcPr>
          <w:p w:rsidR="00ED0EA6" w:rsidRPr="0043547B" w:rsidRDefault="00ED0EA6" w:rsidP="000D5564">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auto"/>
            <w:vAlign w:val="bottom"/>
          </w:tcPr>
          <w:p w:rsidR="00ED0EA6" w:rsidRPr="0043547B" w:rsidRDefault="00ED0EA6" w:rsidP="009B2690">
            <w:pPr>
              <w:spacing w:after="0" w:line="240" w:lineRule="auto"/>
              <w:rPr>
                <w:rFonts w:cstheme="minorHAnsi"/>
                <w:sz w:val="24"/>
                <w:szCs w:val="24"/>
              </w:rPr>
            </w:pPr>
            <w:r w:rsidRPr="0043547B">
              <w:rPr>
                <w:rFonts w:cstheme="minorHAnsi"/>
                <w:sz w:val="24"/>
                <w:szCs w:val="24"/>
              </w:rPr>
              <w:t xml:space="preserve">Terminaisons pour câbles en acier - Sécurité - Partie 8 : Terminaisons à sertir et sertissage </w:t>
            </w:r>
          </w:p>
        </w:tc>
      </w:tr>
      <w:tr w:rsidR="0043547B" w:rsidRPr="0043547B" w:rsidTr="00CB5DC0">
        <w:trPr>
          <w:trHeight w:val="1065"/>
          <w:jc w:val="center"/>
        </w:trPr>
        <w:tc>
          <w:tcPr>
            <w:tcW w:w="1843" w:type="dxa"/>
            <w:tcBorders>
              <w:top w:val="single" w:sz="4" w:space="0" w:color="auto"/>
              <w:left w:val="single" w:sz="18" w:space="0" w:color="auto"/>
              <w:bottom w:val="single" w:sz="18" w:space="0" w:color="auto"/>
              <w:right w:val="single" w:sz="4" w:space="0" w:color="auto"/>
            </w:tcBorders>
            <w:shd w:val="clear" w:color="000000" w:fill="D9D9D9"/>
            <w:vAlign w:val="center"/>
          </w:tcPr>
          <w:p w:rsidR="00ED0EA6" w:rsidRPr="0043547B" w:rsidRDefault="00ED0EA6" w:rsidP="000D5564">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bottom"/>
          </w:tcPr>
          <w:p w:rsidR="00487753" w:rsidRDefault="00ED0EA6" w:rsidP="00487753">
            <w:pPr>
              <w:spacing w:after="0" w:line="240" w:lineRule="auto"/>
              <w:jc w:val="both"/>
              <w:rPr>
                <w:rFonts w:cstheme="minorHAnsi"/>
                <w:sz w:val="24"/>
                <w:szCs w:val="24"/>
              </w:rPr>
            </w:pPr>
            <w:r w:rsidRPr="0043547B">
              <w:rPr>
                <w:rFonts w:cstheme="minorHAnsi"/>
                <w:sz w:val="24"/>
                <w:szCs w:val="24"/>
              </w:rPr>
              <w:t xml:space="preserve">La présente </w:t>
            </w:r>
            <w:r w:rsidR="00487753">
              <w:rPr>
                <w:rFonts w:cstheme="minorHAnsi"/>
                <w:sz w:val="24"/>
                <w:szCs w:val="24"/>
              </w:rPr>
              <w:t>n</w:t>
            </w:r>
            <w:r w:rsidRPr="0043547B">
              <w:rPr>
                <w:rFonts w:cstheme="minorHAnsi"/>
                <w:sz w:val="24"/>
                <w:szCs w:val="24"/>
              </w:rPr>
              <w:t>orme spécifie les prescriptions minimales des terminaisons à sertir et la fixation de ces terminaisons par un procédé de sertissage sur des câbles en acier au carbone conformément aux EN 12385-4 et EN 12385-5, les câbles spiraloïdaux conformément à l’EN 12385-10 et les câbles à torons en acier inoxydable.</w:t>
            </w:r>
          </w:p>
          <w:p w:rsidR="00487753" w:rsidRDefault="00ED0EA6" w:rsidP="00487753">
            <w:pPr>
              <w:spacing w:after="0" w:line="240" w:lineRule="auto"/>
              <w:jc w:val="both"/>
              <w:rPr>
                <w:rFonts w:cstheme="minorHAnsi"/>
                <w:sz w:val="24"/>
                <w:szCs w:val="24"/>
              </w:rPr>
            </w:pPr>
            <w:r w:rsidRPr="0043547B">
              <w:rPr>
                <w:rFonts w:cstheme="minorHAnsi"/>
                <w:sz w:val="24"/>
                <w:szCs w:val="24"/>
              </w:rPr>
              <w:t xml:space="preserve">La présente </w:t>
            </w:r>
            <w:r w:rsidR="00487753">
              <w:rPr>
                <w:rFonts w:cstheme="minorHAnsi"/>
                <w:sz w:val="24"/>
                <w:szCs w:val="24"/>
              </w:rPr>
              <w:t>n</w:t>
            </w:r>
            <w:r w:rsidRPr="0043547B">
              <w:rPr>
                <w:rFonts w:cstheme="minorHAnsi"/>
                <w:sz w:val="24"/>
                <w:szCs w:val="24"/>
              </w:rPr>
              <w:t>orme ne s’applique pas aux câbles clos – voir l’EN 12385-10 – ni aux câbles avec enrobages et/ou matières de remplissage (voir 3.6.3 de l’EN 12385-2:2002+A1:2008).</w:t>
            </w:r>
          </w:p>
          <w:p w:rsidR="00487753" w:rsidRDefault="00ED0EA6" w:rsidP="00557025">
            <w:pPr>
              <w:spacing w:after="0" w:line="240" w:lineRule="auto"/>
              <w:jc w:val="both"/>
              <w:rPr>
                <w:rFonts w:cstheme="minorHAnsi"/>
                <w:sz w:val="24"/>
                <w:szCs w:val="24"/>
              </w:rPr>
            </w:pPr>
            <w:r w:rsidRPr="0043547B">
              <w:rPr>
                <w:rFonts w:cstheme="minorHAnsi"/>
                <w:sz w:val="24"/>
                <w:szCs w:val="24"/>
              </w:rPr>
              <w:t>La présente Norme européenne couvre les extrémités serties ayant un facteur d'efficacité de terminaison, KT, d'au moins 0,9 et sont utilisés comme partie d’un accessoire de câble telle qu’une élingue ou un assemblage de câble qui exécute la fonction de levage, d’abaissement, de transport ou de soutien sur une machine de levage.</w:t>
            </w:r>
          </w:p>
          <w:p w:rsidR="00557025" w:rsidRPr="0043547B" w:rsidRDefault="00ED0EA6" w:rsidP="00487753">
            <w:pPr>
              <w:spacing w:after="0" w:line="240" w:lineRule="auto"/>
              <w:jc w:val="both"/>
              <w:rPr>
                <w:rFonts w:cstheme="minorHAnsi"/>
                <w:sz w:val="24"/>
                <w:szCs w:val="24"/>
              </w:rPr>
            </w:pPr>
            <w:r w:rsidRPr="0043547B">
              <w:rPr>
                <w:rFonts w:cstheme="minorHAnsi"/>
                <w:sz w:val="24"/>
                <w:szCs w:val="24"/>
              </w:rPr>
              <w:t xml:space="preserve">La présente </w:t>
            </w:r>
            <w:r w:rsidR="00487753">
              <w:rPr>
                <w:rFonts w:cstheme="minorHAnsi"/>
                <w:sz w:val="24"/>
                <w:szCs w:val="24"/>
              </w:rPr>
              <w:t>n</w:t>
            </w:r>
            <w:r w:rsidRPr="0043547B">
              <w:rPr>
                <w:rFonts w:cstheme="minorHAnsi"/>
                <w:sz w:val="24"/>
                <w:szCs w:val="24"/>
              </w:rPr>
              <w:t>orme couvre les terminaisons des types suivants, fabriquées en acier au carbone ou en acier inoxydable :</w:t>
            </w:r>
          </w:p>
          <w:p w:rsidR="00557025" w:rsidRPr="0043547B" w:rsidRDefault="00ED0EA6" w:rsidP="00FC35E9">
            <w:pPr>
              <w:spacing w:after="0" w:line="240" w:lineRule="auto"/>
              <w:rPr>
                <w:rFonts w:cstheme="minorHAnsi"/>
                <w:sz w:val="24"/>
                <w:szCs w:val="24"/>
              </w:rPr>
            </w:pPr>
            <w:r w:rsidRPr="0043547B">
              <w:rPr>
                <w:rFonts w:cstheme="minorHAnsi"/>
                <w:sz w:val="24"/>
                <w:szCs w:val="24"/>
              </w:rPr>
              <w:t>— douille à chape à sertir ;</w:t>
            </w:r>
            <w:r w:rsidRPr="0043547B">
              <w:rPr>
                <w:rFonts w:cstheme="minorHAnsi"/>
                <w:sz w:val="24"/>
                <w:szCs w:val="24"/>
              </w:rPr>
              <w:br/>
              <w:t>— douille à oeil à sertir ;</w:t>
            </w:r>
            <w:r w:rsidRPr="0043547B">
              <w:rPr>
                <w:rFonts w:cstheme="minorHAnsi"/>
                <w:sz w:val="24"/>
                <w:szCs w:val="24"/>
              </w:rPr>
              <w:br/>
              <w:t>— terminaison à sertir avec filetage ;</w:t>
            </w:r>
            <w:r w:rsidRPr="0043547B">
              <w:rPr>
                <w:rFonts w:cstheme="minorHAnsi"/>
                <w:sz w:val="24"/>
                <w:szCs w:val="24"/>
              </w:rPr>
              <w:br/>
              <w:t>— terminaison à sertir avec butée d’extrémité.</w:t>
            </w:r>
            <w:r w:rsidRPr="0043547B">
              <w:rPr>
                <w:rFonts w:cstheme="minorHAnsi"/>
                <w:sz w:val="24"/>
                <w:szCs w:val="24"/>
              </w:rPr>
              <w:br/>
              <w:t>La présente Norme européenne traite de tous les phénomènes dangereux, situations dangereuses et événements dangereux significatifs relatifs aux extrémités serties lorsqu'elles sont utilisées dans les conditions prévues et dans des conditions de mauvais usage raisonnablement prévisibles (voir Article 4).</w:t>
            </w:r>
          </w:p>
          <w:p w:rsidR="00557025" w:rsidRPr="0043547B" w:rsidRDefault="00ED0EA6" w:rsidP="00557025">
            <w:pPr>
              <w:spacing w:after="0" w:line="240" w:lineRule="auto"/>
              <w:jc w:val="both"/>
              <w:rPr>
                <w:rFonts w:cstheme="minorHAnsi"/>
                <w:sz w:val="24"/>
                <w:szCs w:val="24"/>
              </w:rPr>
            </w:pPr>
            <w:r w:rsidRPr="0043547B">
              <w:rPr>
                <w:rFonts w:cstheme="minorHAnsi"/>
                <w:sz w:val="24"/>
                <w:szCs w:val="24"/>
              </w:rPr>
              <w:t>La présente Norme européenne s'applique aux extrémités serties qui sont fabriquées après la date de publication.</w:t>
            </w:r>
          </w:p>
          <w:p w:rsidR="00ED0EA6" w:rsidRPr="0043547B" w:rsidRDefault="00ED0EA6" w:rsidP="00557025">
            <w:pPr>
              <w:spacing w:after="0" w:line="240" w:lineRule="auto"/>
              <w:jc w:val="both"/>
              <w:rPr>
                <w:rFonts w:cstheme="minorHAnsi"/>
                <w:sz w:val="24"/>
                <w:szCs w:val="24"/>
              </w:rPr>
            </w:pPr>
            <w:r w:rsidRPr="0043547B">
              <w:rPr>
                <w:rFonts w:cstheme="minorHAnsi"/>
                <w:sz w:val="24"/>
                <w:szCs w:val="24"/>
              </w:rPr>
              <w:t>La présente Norme européenne ne s’applique pas aux terminaisons serties utilisées pour accrocher des câbles aux tambours de treuils.</w:t>
            </w:r>
          </w:p>
        </w:tc>
      </w:tr>
      <w:tr w:rsidR="0043547B" w:rsidRPr="0043547B" w:rsidTr="00CB5DC0">
        <w:trPr>
          <w:trHeight w:val="330"/>
          <w:jc w:val="center"/>
        </w:trPr>
        <w:tc>
          <w:tcPr>
            <w:tcW w:w="1843"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D336A0">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01.4.097</w:t>
            </w:r>
          </w:p>
        </w:tc>
      </w:tr>
      <w:tr w:rsidR="0043547B" w:rsidRPr="0043547B" w:rsidTr="00CB5DC0">
        <w:trPr>
          <w:trHeight w:val="615"/>
          <w:jc w:val="center"/>
        </w:trPr>
        <w:tc>
          <w:tcPr>
            <w:tcW w:w="1843"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Produits sidérurgiques - Armatures pour béton armé - Barres et couronnes à haute adhérence soudables </w:t>
            </w:r>
            <w:r w:rsidR="00EE5C70" w:rsidRPr="0043547B">
              <w:rPr>
                <w:rFonts w:cstheme="minorHAnsi"/>
                <w:noProof/>
                <w:sz w:val="24"/>
                <w:szCs w:val="24"/>
                <w:lang w:eastAsia="fr-FR"/>
              </w:rPr>
              <w:drawing>
                <wp:inline distT="0" distB="0" distL="0" distR="0" wp14:anchorId="7148F93C" wp14:editId="178E65F7">
                  <wp:extent cx="183515" cy="158750"/>
                  <wp:effectExtent l="0" t="0" r="6985" b="0"/>
                  <wp:docPr id="20" name="Image 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8" cstate="print"/>
                          <a:srcRect/>
                          <a:stretch>
                            <a:fillRect/>
                          </a:stretch>
                        </pic:blipFill>
                        <pic:spPr bwMode="auto">
                          <a:xfrm>
                            <a:off x="0" y="0"/>
                            <a:ext cx="185776" cy="160706"/>
                          </a:xfrm>
                          <a:prstGeom prst="rect">
                            <a:avLst/>
                          </a:prstGeom>
                          <a:noFill/>
                          <a:ln w="9525">
                            <a:noFill/>
                            <a:miter lim="800000"/>
                            <a:headEnd/>
                            <a:tailEnd/>
                          </a:ln>
                        </pic:spPr>
                      </pic:pic>
                    </a:graphicData>
                  </a:graphic>
                </wp:inline>
              </w:drawing>
            </w:r>
          </w:p>
        </w:tc>
      </w:tr>
      <w:tr w:rsidR="0043547B" w:rsidRPr="0043547B" w:rsidTr="00CB5DC0">
        <w:trPr>
          <w:trHeight w:val="2810"/>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a pour objet de fixer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La composition chimique, les caractéristiques géométriques, mécaniques et technologiques, la masse linéique et les paramètres de forme des barres et couronnes à haute adhérence soudables d'un diamètre de 5 à 40 mm utilisées dans les constructions en béton armé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Les conditions de contrôle de l'ensemble de ces caractéristiques.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ne s'applique pas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aux ronds lisses pour béton armé (NM 01.4.095)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aux barres et couronnes non soudables à haute adhérence (NM 01.4.096)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aux fils et câbles ou barres utilisés pour produire la contrainte (NM 01.4.093)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aux treillis soudés et éléments constitutifs (NM 01.4.220).</w:t>
            </w:r>
          </w:p>
        </w:tc>
      </w:tr>
      <w:tr w:rsidR="0043547B" w:rsidRPr="0043547B" w:rsidTr="00CB5DC0">
        <w:trPr>
          <w:trHeight w:val="330"/>
          <w:jc w:val="center"/>
        </w:trPr>
        <w:tc>
          <w:tcPr>
            <w:tcW w:w="1843"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01.4.096</w:t>
            </w:r>
          </w:p>
        </w:tc>
      </w:tr>
      <w:tr w:rsidR="0043547B" w:rsidRPr="0043547B" w:rsidTr="00CB5DC0">
        <w:trPr>
          <w:trHeight w:val="615"/>
          <w:jc w:val="center"/>
        </w:trPr>
        <w:tc>
          <w:tcPr>
            <w:tcW w:w="1843"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Produits sidérurgiques - Armatures pour béton armé - Barres et couronnes à h</w:t>
            </w:r>
            <w:r w:rsidR="00EE5C70" w:rsidRPr="0043547B">
              <w:rPr>
                <w:rFonts w:eastAsia="Times New Roman" w:cstheme="minorHAnsi"/>
                <w:sz w:val="24"/>
                <w:szCs w:val="24"/>
                <w:lang w:eastAsia="fr-FR"/>
              </w:rPr>
              <w:t xml:space="preserve">aute adhérence non soudables </w:t>
            </w:r>
            <w:r w:rsidR="00EE5C70" w:rsidRPr="0043547B">
              <w:rPr>
                <w:rFonts w:cstheme="minorHAnsi"/>
                <w:noProof/>
                <w:sz w:val="24"/>
                <w:szCs w:val="24"/>
                <w:lang w:eastAsia="fr-FR"/>
              </w:rPr>
              <w:drawing>
                <wp:inline distT="0" distB="0" distL="0" distR="0" wp14:anchorId="4CEA6F40" wp14:editId="58BABEC5">
                  <wp:extent cx="183515" cy="158750"/>
                  <wp:effectExtent l="0" t="0" r="6985" b="0"/>
                  <wp:docPr id="21" name="Image 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8" cstate="print"/>
                          <a:srcRect/>
                          <a:stretch>
                            <a:fillRect/>
                          </a:stretch>
                        </pic:blipFill>
                        <pic:spPr bwMode="auto">
                          <a:xfrm>
                            <a:off x="0" y="0"/>
                            <a:ext cx="185776" cy="160706"/>
                          </a:xfrm>
                          <a:prstGeom prst="rect">
                            <a:avLst/>
                          </a:prstGeom>
                          <a:noFill/>
                          <a:ln w="9525">
                            <a:noFill/>
                            <a:miter lim="800000"/>
                            <a:headEnd/>
                            <a:tailEnd/>
                          </a:ln>
                        </pic:spPr>
                      </pic:pic>
                    </a:graphicData>
                  </a:graphic>
                </wp:inline>
              </w:drawing>
            </w:r>
          </w:p>
        </w:tc>
      </w:tr>
      <w:tr w:rsidR="0043547B" w:rsidRPr="0043547B" w:rsidTr="00CB5DC0">
        <w:trPr>
          <w:trHeight w:val="266"/>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a pour objet de fixer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Les caractéristiques géométriques, mécaniques et technologiques, la masse linéique et les paramètres de forme des barres et couronnes à haute adhérence non soudables d'un diamètre de 6 à 40 mm utilisées dans les constructions en béton armé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Les conditions de contrôle de l'ensemble de ces caractéristiques.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ne s'applique pas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aux ronds lisses pour béton armé (NM 01.4.095)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aux barres et couronnes soudables à haute adhérence (NM 01.4.097)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aux fils et câbles ou barres utilisés pour produire la contrainte (NM 01.4.093)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aux treillis soudés et éléments constitutifs (NM 01.4.220).</w:t>
            </w:r>
          </w:p>
        </w:tc>
      </w:tr>
      <w:tr w:rsidR="0043547B" w:rsidRPr="0043547B" w:rsidTr="00CB5DC0">
        <w:trPr>
          <w:trHeight w:val="330"/>
          <w:jc w:val="center"/>
        </w:trPr>
        <w:tc>
          <w:tcPr>
            <w:tcW w:w="1843"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01.4.095</w:t>
            </w:r>
          </w:p>
        </w:tc>
      </w:tr>
      <w:tr w:rsidR="0043547B" w:rsidRPr="0043547B" w:rsidTr="00CB5DC0">
        <w:trPr>
          <w:trHeight w:val="330"/>
          <w:jc w:val="center"/>
        </w:trPr>
        <w:tc>
          <w:tcPr>
            <w:tcW w:w="1843"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Produits sidérurgiques - Ronds lisses pour béton armé </w:t>
            </w:r>
            <w:r w:rsidR="00EE5C70" w:rsidRPr="0043547B">
              <w:rPr>
                <w:rFonts w:cstheme="minorHAnsi"/>
                <w:noProof/>
                <w:sz w:val="24"/>
                <w:szCs w:val="24"/>
                <w:lang w:eastAsia="fr-FR"/>
              </w:rPr>
              <w:drawing>
                <wp:inline distT="0" distB="0" distL="0" distR="0" wp14:anchorId="0F356136" wp14:editId="0DDF1FB3">
                  <wp:extent cx="183515" cy="158750"/>
                  <wp:effectExtent l="0" t="0" r="6985" b="0"/>
                  <wp:docPr id="23" name="Image 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8" cstate="print"/>
                          <a:srcRect/>
                          <a:stretch>
                            <a:fillRect/>
                          </a:stretch>
                        </pic:blipFill>
                        <pic:spPr bwMode="auto">
                          <a:xfrm>
                            <a:off x="0" y="0"/>
                            <a:ext cx="185776" cy="160706"/>
                          </a:xfrm>
                          <a:prstGeom prst="rect">
                            <a:avLst/>
                          </a:prstGeom>
                          <a:noFill/>
                          <a:ln w="9525">
                            <a:noFill/>
                            <a:miter lim="800000"/>
                            <a:headEnd/>
                            <a:tailEnd/>
                          </a:ln>
                        </pic:spPr>
                      </pic:pic>
                    </a:graphicData>
                  </a:graphic>
                </wp:inline>
              </w:drawing>
            </w:r>
          </w:p>
        </w:tc>
      </w:tr>
      <w:tr w:rsidR="0043547B" w:rsidRPr="0043547B" w:rsidTr="00CB5DC0">
        <w:trPr>
          <w:trHeight w:val="1400"/>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a pour objet de fixer la composition chimique, les caractéristiques mécaniques, géométriques et technologiques, ainsi que les conditions de contrôle des ronds lisses en acier pour béton armé. Elle concerne les barres et couronnes laminées à chaud, d'un diamètre de 5,5 à 40 mm, utilisées pour constituer les armatures des constructions en béton armé.</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ne s’applique pas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a - Aux barres et couronnes à haute adhérence pour béton armé (voir norme NM 01.4.096 et NM 1 01.4.097).</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b - Aux treillis soudés et éléments constitutifs (voir NM 01.4.087).</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 – Aux fils machine pour treillis soudés (voir NM 01. 4. 080).</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d - Aux fils et câbles ou barres utilisés pour produire la précontrainte (voir NM 01.4.093).</w:t>
            </w:r>
          </w:p>
        </w:tc>
      </w:tr>
    </w:tbl>
    <w:p w:rsidR="00904E52" w:rsidRPr="0043547B" w:rsidRDefault="00904E52" w:rsidP="00AF178F">
      <w:pPr>
        <w:pStyle w:val="Titre4"/>
        <w:numPr>
          <w:ilvl w:val="2"/>
          <w:numId w:val="2"/>
        </w:numPr>
        <w:ind w:left="1418" w:hanging="579"/>
        <w:rPr>
          <w:rFonts w:cstheme="minorHAnsi"/>
          <w:b/>
          <w:bCs w:val="0"/>
          <w:iCs w:val="0"/>
          <w:color w:val="auto"/>
          <w:szCs w:val="24"/>
          <w:u w:val="single"/>
        </w:rPr>
      </w:pPr>
      <w:bookmarkStart w:id="22" w:name="_Toc458606079"/>
      <w:r w:rsidRPr="0043547B">
        <w:rPr>
          <w:rFonts w:cstheme="minorHAnsi"/>
          <w:b/>
          <w:bCs w:val="0"/>
          <w:iCs w:val="0"/>
          <w:color w:val="auto"/>
          <w:szCs w:val="24"/>
          <w:u w:val="single"/>
        </w:rPr>
        <w:t>Liants hydrauliques</w:t>
      </w:r>
      <w:bookmarkEnd w:id="22"/>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8"/>
        <w:gridCol w:w="7938"/>
      </w:tblGrid>
      <w:tr w:rsidR="0043547B" w:rsidRPr="0043547B" w:rsidTr="00CB5DC0">
        <w:trPr>
          <w:trHeight w:val="330"/>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10.1.004</w:t>
            </w:r>
          </w:p>
        </w:tc>
      </w:tr>
      <w:tr w:rsidR="0043547B" w:rsidRPr="0043547B" w:rsidTr="00CB5DC0">
        <w:trPr>
          <w:trHeight w:val="330"/>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870625" w:rsidRPr="0043547B" w:rsidRDefault="00870625" w:rsidP="00870625">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auto" w:fill="auto"/>
            <w:hideMark/>
          </w:tcPr>
          <w:p w:rsidR="00870625" w:rsidRPr="0043547B" w:rsidRDefault="00870625" w:rsidP="00870625">
            <w:pPr>
              <w:rPr>
                <w:rFonts w:cstheme="minorHAnsi"/>
                <w:sz w:val="24"/>
                <w:szCs w:val="24"/>
              </w:rPr>
            </w:pPr>
            <w:r w:rsidRPr="0043547B">
              <w:rPr>
                <w:rFonts w:cstheme="minorHAnsi"/>
                <w:sz w:val="24"/>
                <w:szCs w:val="24"/>
              </w:rPr>
              <w:t xml:space="preserve">Liants hydrauliques ciments et les constituants des ciments - Composition, spécifications et critères de conformité - Evaluation de la conformité - Contrôle de la qualité à la livraison. </w:t>
            </w:r>
          </w:p>
        </w:tc>
      </w:tr>
      <w:tr w:rsidR="0043547B" w:rsidRPr="0043547B" w:rsidTr="00CB5DC0">
        <w:trPr>
          <w:trHeight w:val="987"/>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870625" w:rsidRPr="0043547B" w:rsidRDefault="00870625" w:rsidP="00870625">
            <w:pPr>
              <w:spacing w:after="0"/>
              <w:jc w:val="center"/>
              <w:rPr>
                <w:rFonts w:cstheme="minorHAnsi"/>
                <w:b/>
                <w:bCs/>
                <w:sz w:val="24"/>
                <w:szCs w:val="24"/>
              </w:rPr>
            </w:pPr>
            <w:r w:rsidRPr="0043547B">
              <w:rPr>
                <w:rFonts w:cstheme="minorHAnsi"/>
                <w:b/>
                <w:bCs/>
                <w:sz w:val="24"/>
                <w:szCs w:val="24"/>
              </w:rPr>
              <w:lastRenderedPageBreak/>
              <w:t>Domaine d’application :</w:t>
            </w:r>
          </w:p>
        </w:tc>
        <w:tc>
          <w:tcPr>
            <w:tcW w:w="7938" w:type="dxa"/>
            <w:tcBorders>
              <w:left w:val="single" w:sz="4" w:space="0" w:color="auto"/>
              <w:bottom w:val="single" w:sz="18" w:space="0" w:color="auto"/>
              <w:right w:val="single" w:sz="18" w:space="0" w:color="auto"/>
            </w:tcBorders>
            <w:shd w:val="clear" w:color="auto" w:fill="auto"/>
            <w:hideMark/>
          </w:tcPr>
          <w:p w:rsidR="00870625" w:rsidRPr="0043547B" w:rsidRDefault="00870625" w:rsidP="00870625">
            <w:pPr>
              <w:rPr>
                <w:rFonts w:cstheme="minorHAnsi"/>
                <w:sz w:val="24"/>
                <w:szCs w:val="24"/>
              </w:rPr>
            </w:pPr>
            <w:r w:rsidRPr="0043547B">
              <w:rPr>
                <w:rFonts w:cstheme="minorHAnsi"/>
                <w:sz w:val="24"/>
                <w:szCs w:val="24"/>
              </w:rPr>
              <w:t>"La présente partie I définit et présente les spécifications de 10 ciments courants différents. La définition de chaque ciment inclut les proportions dans lesquelles les constituants doivent être associés pour obtenir ces produits différents dans une plage de 8 classes de résistance. La définition inclut également les exigences auxquelles les constituants des ciments doivent satisfaire. Elle inclut également les</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10.7.001</w:t>
            </w:r>
          </w:p>
        </w:tc>
      </w:tr>
      <w:tr w:rsidR="0043547B" w:rsidRPr="0043547B" w:rsidTr="00CB5DC0">
        <w:trPr>
          <w:trHeight w:val="49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Gypse et plâtre - Plâtres pour enduits intérieurs à application manuelle ou mécanique de dureté normale ou de très haute dureté - Classification, désignation, spécifications  </w:t>
            </w:r>
          </w:p>
        </w:tc>
      </w:tr>
      <w:tr w:rsidR="0043547B" w:rsidRPr="0043547B" w:rsidTr="00CB5DC0">
        <w:trPr>
          <w:trHeight w:val="615"/>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a pour objet de préciser les caractéristiques particulières des plâtres pour enduits et aux caractéristiques générales de la norme NM 10.7.101.</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10.7.100</w:t>
            </w:r>
          </w:p>
        </w:tc>
      </w:tr>
      <w:tr w:rsidR="0043547B" w:rsidRPr="0043547B" w:rsidTr="00CB5DC0">
        <w:trPr>
          <w:trHeight w:val="330"/>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Plâtres à mouler pour staff </w:t>
            </w:r>
          </w:p>
        </w:tc>
      </w:tr>
      <w:tr w:rsidR="0043547B" w:rsidRPr="0043547B" w:rsidTr="00CB5DC0">
        <w:trPr>
          <w:trHeight w:val="1215"/>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a pour objet de préciser les caractéristiques particulières des plâtres à mouler pour staff et les méthodes d’essais permettant de déterminer ces caractéristiques.</w:t>
            </w:r>
            <w:r w:rsidRPr="0043547B">
              <w:rPr>
                <w:rFonts w:eastAsia="Times New Roman" w:cstheme="minorHAnsi"/>
                <w:sz w:val="24"/>
                <w:szCs w:val="24"/>
                <w:lang w:eastAsia="fr-FR"/>
              </w:rPr>
              <w:br/>
              <w:t>Elle s’applique aux plâtres spéciaux pour staff ainsi qu’à tous les plâtres à mouler destinés à la fabrication et à la mise en œuvre d’éléments en staff.</w:t>
            </w:r>
          </w:p>
        </w:tc>
      </w:tr>
      <w:tr w:rsidR="0043547B" w:rsidRPr="0043547B" w:rsidTr="00CB5DC0">
        <w:trPr>
          <w:trHeight w:val="330"/>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10.7.101</w:t>
            </w:r>
          </w:p>
        </w:tc>
      </w:tr>
      <w:tr w:rsidR="0043547B" w:rsidRPr="0043547B" w:rsidTr="00CB5DC0">
        <w:trPr>
          <w:trHeight w:val="330"/>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Gypse et plâtre - Plâtres - Conditions d’emballage, de livraison et de réception du plâtre </w:t>
            </w:r>
          </w:p>
        </w:tc>
      </w:tr>
      <w:tr w:rsidR="0043547B" w:rsidRPr="0043547B" w:rsidTr="00CB5DC0">
        <w:trPr>
          <w:trHeight w:val="615"/>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a pour objet de fixer les conditions d’emballage, de livraison et de réception des plâtres.</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6308</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6308</w:t>
            </w:r>
          </w:p>
        </w:tc>
      </w:tr>
      <w:tr w:rsidR="0043547B" w:rsidRPr="0043547B" w:rsidTr="00CB5DC0">
        <w:trPr>
          <w:trHeight w:val="33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Plaques de parement en plâtre - Spécifications ; </w:t>
            </w:r>
          </w:p>
        </w:tc>
      </w:tr>
      <w:tr w:rsidR="0043547B" w:rsidRPr="0043547B" w:rsidTr="00367714">
        <w:trPr>
          <w:trHeight w:val="1676"/>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La norme traite des plaques de parement en plâtre destinées </w:t>
            </w:r>
            <w:r w:rsidR="00FC35E9" w:rsidRPr="0043547B">
              <w:rPr>
                <w:rFonts w:eastAsia="Times New Roman" w:cstheme="minorHAnsi"/>
                <w:sz w:val="24"/>
                <w:szCs w:val="24"/>
                <w:lang w:eastAsia="fr-FR"/>
              </w:rPr>
              <w:t>à</w:t>
            </w:r>
            <w:r w:rsidRPr="0043547B">
              <w:rPr>
                <w:rFonts w:eastAsia="Times New Roman" w:cstheme="minorHAnsi"/>
                <w:sz w:val="24"/>
                <w:szCs w:val="24"/>
                <w:lang w:eastAsia="fr-FR"/>
              </w:rPr>
              <w:t xml:space="preserve"> être utilisées en revêtement horizontal ou vertical dans les bâtiments, à l’exclusion des opérations secondaires de fabrication. Elle inclut les plaques fabriquées pour recevoir directement un revêtement décoratif ou des finitions en plâtre.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spécifie les caractéristiques générales des plaques et les méthodes d’essai correspondantes) et elle définit les types de plaque et leurs différentes applications.</w:t>
            </w:r>
          </w:p>
        </w:tc>
      </w:tr>
      <w:tr w:rsidR="0043547B" w:rsidRPr="0043547B" w:rsidTr="00367714">
        <w:trPr>
          <w:trHeight w:val="70"/>
          <w:jc w:val="center"/>
        </w:trPr>
        <w:tc>
          <w:tcPr>
            <w:tcW w:w="1838" w:type="dxa"/>
            <w:tcBorders>
              <w:top w:val="single" w:sz="18" w:space="0" w:color="auto"/>
              <w:left w:val="single" w:sz="18" w:space="0" w:color="auto"/>
              <w:bottom w:val="single" w:sz="18" w:space="0" w:color="auto"/>
              <w:right w:val="single" w:sz="4" w:space="0" w:color="auto"/>
            </w:tcBorders>
            <w:shd w:val="clear" w:color="auto" w:fill="B0CA7C"/>
            <w:vAlign w:val="center"/>
          </w:tcPr>
          <w:p w:rsidR="00DE76C7" w:rsidRPr="0043547B" w:rsidRDefault="00DE76C7" w:rsidP="00FC35E9">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0CA7C"/>
            <w:vAlign w:val="center"/>
          </w:tcPr>
          <w:p w:rsidR="00DE76C7" w:rsidRPr="0043547B" w:rsidRDefault="00DE76C7" w:rsidP="00FC35E9">
            <w:pPr>
              <w:spacing w:after="0" w:line="240" w:lineRule="auto"/>
              <w:jc w:val="center"/>
              <w:rPr>
                <w:rFonts w:cstheme="minorHAnsi"/>
                <w:b/>
                <w:bCs/>
                <w:sz w:val="24"/>
                <w:szCs w:val="24"/>
              </w:rPr>
            </w:pPr>
            <w:r w:rsidRPr="0043547B">
              <w:rPr>
                <w:rFonts w:cstheme="minorHAnsi"/>
                <w:b/>
                <w:bCs/>
                <w:sz w:val="24"/>
                <w:szCs w:val="24"/>
              </w:rPr>
              <w:t>NM 10.1.015</w:t>
            </w:r>
          </w:p>
        </w:tc>
      </w:tr>
      <w:tr w:rsidR="0043547B" w:rsidRPr="0043547B" w:rsidTr="00367714">
        <w:trPr>
          <w:trHeight w:val="217"/>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tcPr>
          <w:p w:rsidR="00DE76C7" w:rsidRPr="0043547B" w:rsidRDefault="00DE76C7" w:rsidP="00FC35E9">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tcPr>
          <w:p w:rsidR="00DE76C7" w:rsidRPr="0043547B" w:rsidRDefault="00DE76C7" w:rsidP="00FC35E9">
            <w:pPr>
              <w:spacing w:after="0" w:line="240" w:lineRule="auto"/>
              <w:jc w:val="center"/>
              <w:rPr>
                <w:rFonts w:cstheme="minorHAnsi"/>
                <w:b/>
                <w:bCs/>
                <w:sz w:val="24"/>
                <w:szCs w:val="24"/>
              </w:rPr>
            </w:pPr>
            <w:r w:rsidRPr="0043547B">
              <w:rPr>
                <w:rFonts w:cstheme="minorHAnsi"/>
                <w:b/>
                <w:bCs/>
                <w:sz w:val="24"/>
                <w:szCs w:val="24"/>
              </w:rPr>
              <w:t>EN 13282-2</w:t>
            </w:r>
          </w:p>
        </w:tc>
      </w:tr>
      <w:tr w:rsidR="0043547B" w:rsidRPr="0043547B" w:rsidTr="00367714">
        <w:trPr>
          <w:trHeight w:val="418"/>
          <w:jc w:val="center"/>
        </w:trPr>
        <w:tc>
          <w:tcPr>
            <w:tcW w:w="1838" w:type="dxa"/>
            <w:tcBorders>
              <w:top w:val="single" w:sz="4" w:space="0" w:color="auto"/>
              <w:left w:val="single" w:sz="18" w:space="0" w:color="auto"/>
              <w:bottom w:val="single" w:sz="4" w:space="0" w:color="auto"/>
              <w:right w:val="single" w:sz="4" w:space="0" w:color="auto"/>
            </w:tcBorders>
            <w:shd w:val="clear" w:color="auto" w:fill="95B3D7" w:themeFill="accent1" w:themeFillTint="99"/>
            <w:vAlign w:val="center"/>
          </w:tcPr>
          <w:p w:rsidR="00DE76C7" w:rsidRPr="0043547B" w:rsidRDefault="00DE76C7" w:rsidP="00367714">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auto"/>
          </w:tcPr>
          <w:p w:rsidR="00DE76C7" w:rsidRPr="0043547B" w:rsidRDefault="00DE76C7" w:rsidP="00367714">
            <w:pPr>
              <w:spacing w:after="0" w:line="240" w:lineRule="auto"/>
              <w:rPr>
                <w:rFonts w:cstheme="minorHAnsi"/>
                <w:sz w:val="24"/>
                <w:szCs w:val="24"/>
              </w:rPr>
            </w:pPr>
            <w:r w:rsidRPr="0043547B">
              <w:rPr>
                <w:rFonts w:cstheme="minorHAnsi"/>
                <w:sz w:val="24"/>
                <w:szCs w:val="24"/>
              </w:rPr>
              <w:t>Liants hydrauliques routiers - Composition, spécificat</w:t>
            </w:r>
            <w:r w:rsidR="00367714" w:rsidRPr="0043547B">
              <w:rPr>
                <w:rFonts w:cstheme="minorHAnsi"/>
                <w:sz w:val="24"/>
                <w:szCs w:val="24"/>
              </w:rPr>
              <w:t xml:space="preserve">ions et critères de conformité </w:t>
            </w:r>
          </w:p>
        </w:tc>
      </w:tr>
      <w:tr w:rsidR="0043547B" w:rsidRPr="0043547B" w:rsidTr="0069303D">
        <w:trPr>
          <w:trHeight w:val="70"/>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DE76C7" w:rsidRPr="0043547B" w:rsidRDefault="00DE76C7" w:rsidP="00DE76C7">
            <w:pPr>
              <w:jc w:val="both"/>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tcPr>
          <w:p w:rsidR="00DE76C7" w:rsidRPr="0043547B" w:rsidRDefault="00DE76C7" w:rsidP="00C72FD3">
            <w:pPr>
              <w:spacing w:line="240" w:lineRule="auto"/>
              <w:rPr>
                <w:rFonts w:cstheme="minorHAnsi"/>
                <w:sz w:val="24"/>
                <w:szCs w:val="24"/>
              </w:rPr>
            </w:pPr>
            <w:r w:rsidRPr="0043547B">
              <w:rPr>
                <w:rFonts w:cstheme="minorHAnsi"/>
                <w:sz w:val="24"/>
                <w:szCs w:val="24"/>
              </w:rPr>
              <w:t>La présente Norme Marocaine définit et fournit les spécifications applicables aux liants hydrauliques routiers fabriqués en usine et fournis prêts à l'emploi, adaptés au traitement des matériaux utilisés pour :</w:t>
            </w:r>
            <w:r w:rsidRPr="0043547B">
              <w:rPr>
                <w:rFonts w:cstheme="minorHAnsi"/>
                <w:sz w:val="24"/>
                <w:szCs w:val="24"/>
              </w:rPr>
              <w:br/>
              <w:t>· les couches de base ;</w:t>
            </w:r>
            <w:r w:rsidRPr="0043547B">
              <w:rPr>
                <w:rFonts w:cstheme="minorHAnsi"/>
                <w:sz w:val="24"/>
                <w:szCs w:val="24"/>
              </w:rPr>
              <w:br/>
              <w:t>· les couches de fondation ;</w:t>
            </w:r>
            <w:r w:rsidRPr="0043547B">
              <w:rPr>
                <w:rFonts w:cstheme="minorHAnsi"/>
                <w:sz w:val="24"/>
                <w:szCs w:val="24"/>
              </w:rPr>
              <w:br/>
              <w:t>· les couches de forme ;</w:t>
            </w:r>
            <w:r w:rsidRPr="0043547B">
              <w:rPr>
                <w:rFonts w:cstheme="minorHAnsi"/>
                <w:sz w:val="24"/>
                <w:szCs w:val="24"/>
              </w:rPr>
              <w:br/>
              <w:t>· la stabilisation et/ou amélioration des sols ;</w:t>
            </w:r>
            <w:r w:rsidRPr="0043547B">
              <w:rPr>
                <w:rFonts w:cstheme="minorHAnsi"/>
                <w:sz w:val="24"/>
                <w:szCs w:val="24"/>
              </w:rPr>
              <w:br/>
            </w:r>
            <w:r w:rsidRPr="0043547B">
              <w:rPr>
                <w:rFonts w:cstheme="minorHAnsi"/>
                <w:sz w:val="24"/>
                <w:szCs w:val="24"/>
              </w:rPr>
              <w:lastRenderedPageBreak/>
              <w:t>· les travaux de terrassement pour des structures routières, ferroviaires, aéroportuaires et autres types d'infrastructure ;</w:t>
            </w:r>
            <w:r w:rsidRPr="0043547B">
              <w:rPr>
                <w:rFonts w:cstheme="minorHAnsi"/>
                <w:sz w:val="24"/>
                <w:szCs w:val="24"/>
              </w:rPr>
              <w:br/>
              <w:t>· les travaux de retraitement des chaussées dégradées.</w:t>
            </w:r>
            <w:r w:rsidRPr="0043547B">
              <w:rPr>
                <w:rFonts w:cstheme="minorHAnsi"/>
                <w:sz w:val="24"/>
                <w:szCs w:val="24"/>
              </w:rPr>
              <w:br/>
              <w:t>Elle inclut les exigences mécaniques, physiques et chimiques relatives à ces liants ainsi que leur classification fondée sur la résistance caractéristique à la compression à 28 et ou 56 jours. Elle inclut également les critères de conformité et les méthodes d'évaluation que doit appliquer le fabricant.</w:t>
            </w:r>
            <w:r w:rsidRPr="0043547B">
              <w:rPr>
                <w:rFonts w:cstheme="minorHAnsi"/>
                <w:sz w:val="24"/>
                <w:szCs w:val="24"/>
              </w:rPr>
              <w:br/>
              <w:t>Les ciments courants, ciments spéciaux, ciments à maçonner et chaux de construction ne relèvent pas du domaine d'application de la présente Norme Marocaine, dans la mesure où ils sont définis dans des Normes Marocaines spécifiques.</w:t>
            </w:r>
            <w:r w:rsidRPr="0043547B">
              <w:rPr>
                <w:rFonts w:cstheme="minorHAnsi"/>
                <w:sz w:val="24"/>
                <w:szCs w:val="24"/>
              </w:rPr>
              <w:br/>
              <w:t>Les liants obtenus par mélange de leurs constituants sur site ne sont pas couverts par la présente Norme Marocaine.</w:t>
            </w:r>
            <w:r w:rsidRPr="0043547B">
              <w:rPr>
                <w:rFonts w:cstheme="minorHAnsi"/>
                <w:sz w:val="24"/>
                <w:szCs w:val="24"/>
              </w:rPr>
              <w:br/>
              <w:t>Le liant hydraulique routier n’est pas un ciment et ne peut en aucun cas être utilisé dans la confection des bétons, mortiers et enduits. Il ne sera pas utilisé pour les ouvrages de structure</w:t>
            </w:r>
          </w:p>
        </w:tc>
      </w:tr>
      <w:tr w:rsidR="0012399E" w:rsidRPr="0043547B" w:rsidTr="00273ED5">
        <w:trPr>
          <w:trHeight w:val="70"/>
          <w:jc w:val="center"/>
        </w:trPr>
        <w:tc>
          <w:tcPr>
            <w:tcW w:w="1838" w:type="dxa"/>
            <w:tcBorders>
              <w:top w:val="single" w:sz="4" w:space="0" w:color="auto"/>
              <w:left w:val="single" w:sz="18" w:space="0" w:color="auto"/>
              <w:bottom w:val="single" w:sz="18" w:space="0" w:color="auto"/>
              <w:right w:val="single" w:sz="4" w:space="0" w:color="auto"/>
            </w:tcBorders>
            <w:shd w:val="clear" w:color="auto" w:fill="C2D69B" w:themeFill="accent3" w:themeFillTint="99"/>
            <w:vAlign w:val="center"/>
          </w:tcPr>
          <w:p w:rsidR="0012399E" w:rsidRDefault="0012399E" w:rsidP="00273ED5">
            <w:pPr>
              <w:spacing w:after="0" w:line="240" w:lineRule="auto"/>
              <w:jc w:val="center"/>
              <w:rPr>
                <w:rFonts w:ascii="Calibri" w:hAnsi="Calibri" w:cs="Calibri"/>
                <w:b/>
                <w:bCs/>
              </w:rPr>
            </w:pPr>
            <w:r>
              <w:rPr>
                <w:rFonts w:ascii="Calibri" w:hAnsi="Calibri" w:cs="Calibri"/>
                <w:b/>
                <w:bCs/>
              </w:rPr>
              <w:lastRenderedPageBreak/>
              <w:t>Code</w:t>
            </w:r>
          </w:p>
        </w:tc>
        <w:tc>
          <w:tcPr>
            <w:tcW w:w="7938" w:type="dxa"/>
            <w:tcBorders>
              <w:top w:val="single" w:sz="4" w:space="0" w:color="auto"/>
              <w:left w:val="single" w:sz="4" w:space="0" w:color="auto"/>
              <w:bottom w:val="single" w:sz="18" w:space="0" w:color="auto"/>
              <w:right w:val="single" w:sz="18" w:space="0" w:color="auto"/>
            </w:tcBorders>
            <w:shd w:val="clear" w:color="auto" w:fill="C2D69B" w:themeFill="accent3" w:themeFillTint="99"/>
          </w:tcPr>
          <w:p w:rsidR="0012399E" w:rsidRPr="00273ED5" w:rsidRDefault="0012399E" w:rsidP="00273ED5">
            <w:pPr>
              <w:spacing w:after="0" w:line="240" w:lineRule="auto"/>
              <w:jc w:val="center"/>
              <w:rPr>
                <w:rFonts w:ascii="Calibri" w:hAnsi="Calibri" w:cs="Calibri"/>
                <w:b/>
                <w:bCs/>
                <w:sz w:val="24"/>
                <w:szCs w:val="24"/>
              </w:rPr>
            </w:pPr>
            <w:r w:rsidRPr="00273ED5">
              <w:rPr>
                <w:rFonts w:ascii="Calibri" w:hAnsi="Calibri" w:cs="Calibri"/>
                <w:b/>
                <w:bCs/>
                <w:sz w:val="24"/>
                <w:szCs w:val="24"/>
              </w:rPr>
              <w:t>NM EN 13454-1</w:t>
            </w:r>
          </w:p>
        </w:tc>
      </w:tr>
      <w:tr w:rsidR="0012399E" w:rsidRPr="0043547B" w:rsidTr="00273ED5">
        <w:trPr>
          <w:trHeight w:val="70"/>
          <w:jc w:val="center"/>
        </w:trPr>
        <w:tc>
          <w:tcPr>
            <w:tcW w:w="1838" w:type="dxa"/>
            <w:tcBorders>
              <w:top w:val="single" w:sz="4" w:space="0" w:color="auto"/>
              <w:left w:val="single" w:sz="18" w:space="0" w:color="auto"/>
              <w:bottom w:val="single" w:sz="18" w:space="0" w:color="auto"/>
              <w:right w:val="single" w:sz="4" w:space="0" w:color="auto"/>
            </w:tcBorders>
            <w:shd w:val="clear" w:color="auto" w:fill="FFFF99"/>
            <w:vAlign w:val="center"/>
          </w:tcPr>
          <w:p w:rsidR="0012399E" w:rsidRDefault="00273ED5" w:rsidP="00273ED5">
            <w:pPr>
              <w:spacing w:after="0" w:line="240" w:lineRule="auto"/>
              <w:jc w:val="center"/>
              <w:rPr>
                <w:rFonts w:ascii="Calibri" w:hAnsi="Calibri" w:cs="Calibri"/>
                <w:b/>
                <w:bCs/>
                <w:sz w:val="24"/>
                <w:szCs w:val="24"/>
              </w:rPr>
            </w:pPr>
            <w:r>
              <w:rPr>
                <w:rFonts w:ascii="Calibri" w:hAnsi="Calibri" w:cs="Calibri"/>
                <w:b/>
                <w:bCs/>
              </w:rPr>
              <w:t>Equivalence</w:t>
            </w:r>
          </w:p>
        </w:tc>
        <w:tc>
          <w:tcPr>
            <w:tcW w:w="7938" w:type="dxa"/>
            <w:tcBorders>
              <w:top w:val="single" w:sz="4" w:space="0" w:color="auto"/>
              <w:left w:val="single" w:sz="4" w:space="0" w:color="auto"/>
              <w:bottom w:val="single" w:sz="18" w:space="0" w:color="auto"/>
              <w:right w:val="single" w:sz="18" w:space="0" w:color="auto"/>
            </w:tcBorders>
            <w:shd w:val="clear" w:color="auto" w:fill="FFFF99"/>
            <w:vAlign w:val="center"/>
          </w:tcPr>
          <w:p w:rsidR="0012399E" w:rsidRPr="00273ED5" w:rsidRDefault="0012399E" w:rsidP="00273ED5">
            <w:pPr>
              <w:spacing w:after="0" w:line="240" w:lineRule="auto"/>
              <w:jc w:val="center"/>
              <w:rPr>
                <w:rFonts w:ascii="Calibri" w:hAnsi="Calibri" w:cs="Calibri"/>
                <w:b/>
                <w:bCs/>
                <w:sz w:val="24"/>
                <w:szCs w:val="24"/>
              </w:rPr>
            </w:pPr>
            <w:r w:rsidRPr="00273ED5">
              <w:rPr>
                <w:rFonts w:ascii="Calibri" w:hAnsi="Calibri" w:cs="Calibri"/>
                <w:b/>
                <w:bCs/>
                <w:sz w:val="24"/>
                <w:szCs w:val="24"/>
              </w:rPr>
              <w:t>EN 13454-1</w:t>
            </w:r>
          </w:p>
        </w:tc>
      </w:tr>
      <w:tr w:rsidR="0012399E" w:rsidRPr="0043547B" w:rsidTr="00273ED5">
        <w:trPr>
          <w:trHeight w:val="70"/>
          <w:jc w:val="center"/>
        </w:trPr>
        <w:tc>
          <w:tcPr>
            <w:tcW w:w="1838" w:type="dxa"/>
            <w:tcBorders>
              <w:top w:val="single" w:sz="18" w:space="0" w:color="auto"/>
              <w:left w:val="single" w:sz="18" w:space="0" w:color="auto"/>
              <w:bottom w:val="single" w:sz="4" w:space="0" w:color="auto"/>
              <w:right w:val="single" w:sz="4" w:space="0" w:color="auto"/>
            </w:tcBorders>
            <w:shd w:val="clear" w:color="auto" w:fill="B8CCE4" w:themeFill="accent1" w:themeFillTint="66"/>
            <w:vAlign w:val="center"/>
          </w:tcPr>
          <w:p w:rsidR="0012399E" w:rsidRDefault="00273ED5" w:rsidP="00273ED5">
            <w:pPr>
              <w:spacing w:after="0" w:line="240" w:lineRule="auto"/>
              <w:jc w:val="center"/>
              <w:rPr>
                <w:rFonts w:ascii="Calibri" w:hAnsi="Calibri" w:cs="Calibri"/>
                <w:b/>
                <w:bCs/>
                <w:sz w:val="24"/>
                <w:szCs w:val="24"/>
              </w:rPr>
            </w:pPr>
            <w:r>
              <w:rPr>
                <w:rFonts w:ascii="Calibri" w:hAnsi="Calibri" w:cs="Calibri"/>
                <w:b/>
                <w:bCs/>
              </w:rPr>
              <w:t>Intitulé</w:t>
            </w:r>
          </w:p>
        </w:tc>
        <w:tc>
          <w:tcPr>
            <w:tcW w:w="7938" w:type="dxa"/>
            <w:tcBorders>
              <w:top w:val="single" w:sz="18" w:space="0" w:color="auto"/>
              <w:left w:val="single" w:sz="4" w:space="0" w:color="auto"/>
              <w:bottom w:val="single" w:sz="4" w:space="0" w:color="auto"/>
              <w:right w:val="single" w:sz="18" w:space="0" w:color="auto"/>
            </w:tcBorders>
            <w:shd w:val="clear" w:color="auto" w:fill="auto"/>
          </w:tcPr>
          <w:p w:rsidR="0012399E" w:rsidRDefault="0012399E" w:rsidP="00273ED5">
            <w:pPr>
              <w:spacing w:after="0" w:line="240" w:lineRule="auto"/>
              <w:jc w:val="both"/>
              <w:rPr>
                <w:rFonts w:ascii="Calibri" w:hAnsi="Calibri" w:cs="Calibri"/>
              </w:rPr>
            </w:pPr>
            <w:r>
              <w:rPr>
                <w:rFonts w:ascii="Calibri" w:hAnsi="Calibri" w:cs="Calibri"/>
              </w:rPr>
              <w:t xml:space="preserve">Liants, liants composites et mélanges fabriqués en usine à base de sulfate de calcium pour chapes - Partie 1 : définitions et spécifications </w:t>
            </w:r>
          </w:p>
        </w:tc>
      </w:tr>
      <w:tr w:rsidR="0012399E" w:rsidRPr="0043547B" w:rsidTr="00273ED5">
        <w:trPr>
          <w:trHeight w:val="70"/>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12399E" w:rsidRDefault="00273ED5" w:rsidP="00273ED5">
            <w:pPr>
              <w:spacing w:after="0" w:line="240" w:lineRule="auto"/>
              <w:jc w:val="center"/>
              <w:rPr>
                <w:rFonts w:ascii="Calibri" w:hAnsi="Calibri" w:cs="Calibri"/>
                <w:b/>
                <w:bCs/>
                <w:sz w:val="24"/>
                <w:szCs w:val="24"/>
              </w:rPr>
            </w:pPr>
            <w:r>
              <w:rPr>
                <w:rFonts w:ascii="Calibri" w:hAnsi="Calibri" w:cs="Calibri"/>
                <w:b/>
                <w:bCs/>
              </w:rPr>
              <w:t>Domaine d’application</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bottom"/>
          </w:tcPr>
          <w:p w:rsidR="0012399E" w:rsidRDefault="0012399E" w:rsidP="00273ED5">
            <w:pPr>
              <w:spacing w:after="0" w:line="240" w:lineRule="auto"/>
              <w:jc w:val="both"/>
              <w:rPr>
                <w:rFonts w:ascii="Calibri" w:hAnsi="Calibri" w:cs="Calibri"/>
              </w:rPr>
            </w:pPr>
            <w:r>
              <w:rPr>
                <w:rFonts w:ascii="Calibri" w:hAnsi="Calibri" w:cs="Calibri"/>
              </w:rPr>
              <w:t>Le présent document s'applique aux liants et aux liants composites à base de sulfate de calcium utilisés pour la fabrication de chapes destinées à un usage intérieur dans les bâtiments. La présente norme comporte également des prescriptions concernant les mélanges fabriqués en usine à base de sulfate de calcium utilisés pour la fabrication de chapes définies dans l'EN 13813. Le présent document ne traite pas de la mise en oeuvre des chapes. Les chapes réalisées avec les produits traités dans le présent document peuvent contribuer à l'isolation thermique et acoustique, et à la protection du sol contre le feu.</w:t>
            </w:r>
          </w:p>
        </w:tc>
      </w:tr>
      <w:tr w:rsidR="0012399E" w:rsidRPr="0043547B" w:rsidTr="00273ED5">
        <w:trPr>
          <w:trHeight w:val="70"/>
          <w:jc w:val="center"/>
        </w:trPr>
        <w:tc>
          <w:tcPr>
            <w:tcW w:w="1838" w:type="dxa"/>
            <w:tcBorders>
              <w:top w:val="single" w:sz="4" w:space="0" w:color="auto"/>
              <w:left w:val="single" w:sz="18" w:space="0" w:color="auto"/>
              <w:bottom w:val="single" w:sz="18" w:space="0" w:color="auto"/>
              <w:right w:val="single" w:sz="4" w:space="0" w:color="auto"/>
            </w:tcBorders>
            <w:shd w:val="clear" w:color="auto" w:fill="C2D69B" w:themeFill="accent3" w:themeFillTint="99"/>
            <w:vAlign w:val="center"/>
          </w:tcPr>
          <w:p w:rsidR="0012399E" w:rsidRDefault="00273ED5" w:rsidP="00273ED5">
            <w:pPr>
              <w:spacing w:after="0" w:line="240" w:lineRule="auto"/>
              <w:jc w:val="center"/>
              <w:rPr>
                <w:rFonts w:ascii="Calibri" w:hAnsi="Calibri" w:cs="Calibri"/>
                <w:b/>
                <w:bCs/>
                <w:sz w:val="24"/>
                <w:szCs w:val="24"/>
              </w:rPr>
            </w:pPr>
            <w:r>
              <w:rPr>
                <w:rFonts w:ascii="Calibri" w:hAnsi="Calibri" w:cs="Calibri"/>
                <w:b/>
                <w:bCs/>
              </w:rPr>
              <w:t>Code</w:t>
            </w:r>
          </w:p>
        </w:tc>
        <w:tc>
          <w:tcPr>
            <w:tcW w:w="7938" w:type="dxa"/>
            <w:tcBorders>
              <w:top w:val="single" w:sz="4" w:space="0" w:color="auto"/>
              <w:left w:val="single" w:sz="4" w:space="0" w:color="auto"/>
              <w:bottom w:val="single" w:sz="18" w:space="0" w:color="auto"/>
              <w:right w:val="single" w:sz="18" w:space="0" w:color="auto"/>
            </w:tcBorders>
            <w:shd w:val="clear" w:color="auto" w:fill="C2D69B" w:themeFill="accent3" w:themeFillTint="99"/>
          </w:tcPr>
          <w:p w:rsidR="0012399E" w:rsidRPr="00273ED5" w:rsidRDefault="0012399E" w:rsidP="00273ED5">
            <w:pPr>
              <w:spacing w:after="0" w:line="240" w:lineRule="auto"/>
              <w:jc w:val="center"/>
              <w:rPr>
                <w:rFonts w:ascii="Calibri" w:hAnsi="Calibri" w:cs="Calibri"/>
                <w:b/>
                <w:bCs/>
              </w:rPr>
            </w:pPr>
            <w:r w:rsidRPr="00273ED5">
              <w:rPr>
                <w:rFonts w:ascii="Calibri" w:hAnsi="Calibri" w:cs="Calibri"/>
                <w:b/>
                <w:bCs/>
              </w:rPr>
              <w:t>NM EN 14016-1</w:t>
            </w:r>
          </w:p>
        </w:tc>
      </w:tr>
      <w:tr w:rsidR="0012399E" w:rsidRPr="0043547B" w:rsidTr="00273ED5">
        <w:trPr>
          <w:trHeight w:val="70"/>
          <w:jc w:val="center"/>
        </w:trPr>
        <w:tc>
          <w:tcPr>
            <w:tcW w:w="1838" w:type="dxa"/>
            <w:tcBorders>
              <w:top w:val="single" w:sz="4" w:space="0" w:color="auto"/>
              <w:left w:val="single" w:sz="18" w:space="0" w:color="auto"/>
              <w:bottom w:val="single" w:sz="18" w:space="0" w:color="auto"/>
              <w:right w:val="single" w:sz="4" w:space="0" w:color="auto"/>
            </w:tcBorders>
            <w:shd w:val="clear" w:color="auto" w:fill="FFFF99"/>
            <w:vAlign w:val="center"/>
          </w:tcPr>
          <w:p w:rsidR="0012399E" w:rsidRDefault="00273ED5" w:rsidP="00273ED5">
            <w:pPr>
              <w:spacing w:after="0" w:line="240" w:lineRule="auto"/>
              <w:jc w:val="center"/>
              <w:rPr>
                <w:rFonts w:ascii="Calibri" w:hAnsi="Calibri" w:cs="Calibri"/>
                <w:b/>
                <w:bCs/>
                <w:sz w:val="24"/>
                <w:szCs w:val="24"/>
              </w:rPr>
            </w:pPr>
            <w:r>
              <w:rPr>
                <w:rFonts w:ascii="Calibri" w:hAnsi="Calibri" w:cs="Calibri"/>
                <w:b/>
                <w:bCs/>
              </w:rPr>
              <w:t>Equivalence</w:t>
            </w:r>
          </w:p>
        </w:tc>
        <w:tc>
          <w:tcPr>
            <w:tcW w:w="7938" w:type="dxa"/>
            <w:tcBorders>
              <w:top w:val="single" w:sz="4" w:space="0" w:color="auto"/>
              <w:left w:val="single" w:sz="4" w:space="0" w:color="auto"/>
              <w:bottom w:val="single" w:sz="18" w:space="0" w:color="auto"/>
              <w:right w:val="single" w:sz="18" w:space="0" w:color="auto"/>
            </w:tcBorders>
            <w:shd w:val="clear" w:color="auto" w:fill="FFFF99"/>
            <w:vAlign w:val="center"/>
          </w:tcPr>
          <w:p w:rsidR="0012399E" w:rsidRPr="00273ED5" w:rsidRDefault="0012399E" w:rsidP="00273ED5">
            <w:pPr>
              <w:spacing w:after="0" w:line="240" w:lineRule="auto"/>
              <w:jc w:val="center"/>
              <w:rPr>
                <w:rFonts w:ascii="Calibri" w:hAnsi="Calibri" w:cs="Calibri"/>
                <w:b/>
                <w:bCs/>
              </w:rPr>
            </w:pPr>
            <w:r w:rsidRPr="00273ED5">
              <w:rPr>
                <w:rFonts w:ascii="Calibri" w:hAnsi="Calibri" w:cs="Calibri"/>
                <w:b/>
                <w:bCs/>
              </w:rPr>
              <w:t>EN 14016-1</w:t>
            </w:r>
          </w:p>
        </w:tc>
      </w:tr>
      <w:tr w:rsidR="0012399E" w:rsidRPr="0043547B" w:rsidTr="00273ED5">
        <w:trPr>
          <w:trHeight w:val="70"/>
          <w:jc w:val="center"/>
        </w:trPr>
        <w:tc>
          <w:tcPr>
            <w:tcW w:w="1838" w:type="dxa"/>
            <w:tcBorders>
              <w:top w:val="single" w:sz="18" w:space="0" w:color="auto"/>
              <w:left w:val="single" w:sz="18" w:space="0" w:color="auto"/>
              <w:bottom w:val="single" w:sz="4" w:space="0" w:color="auto"/>
              <w:right w:val="single" w:sz="4" w:space="0" w:color="auto"/>
            </w:tcBorders>
            <w:shd w:val="clear" w:color="auto" w:fill="B8CCE4" w:themeFill="accent1" w:themeFillTint="66"/>
            <w:vAlign w:val="center"/>
          </w:tcPr>
          <w:p w:rsidR="0012399E" w:rsidRDefault="00273ED5" w:rsidP="00273ED5">
            <w:pPr>
              <w:spacing w:after="0" w:line="240" w:lineRule="auto"/>
              <w:jc w:val="center"/>
              <w:rPr>
                <w:rFonts w:ascii="Calibri" w:hAnsi="Calibri" w:cs="Calibri"/>
                <w:b/>
                <w:bCs/>
                <w:sz w:val="24"/>
                <w:szCs w:val="24"/>
              </w:rPr>
            </w:pPr>
            <w:r>
              <w:rPr>
                <w:rFonts w:ascii="Calibri" w:hAnsi="Calibri" w:cs="Calibri"/>
                <w:b/>
                <w:bCs/>
              </w:rPr>
              <w:t>Intitulé</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bottom"/>
          </w:tcPr>
          <w:p w:rsidR="0012399E" w:rsidRDefault="0012399E" w:rsidP="00273ED5">
            <w:pPr>
              <w:spacing w:after="0" w:line="240" w:lineRule="auto"/>
              <w:rPr>
                <w:rFonts w:ascii="Calibri" w:hAnsi="Calibri" w:cs="Calibri"/>
                <w:color w:val="000000"/>
              </w:rPr>
            </w:pPr>
            <w:r>
              <w:rPr>
                <w:rFonts w:ascii="Calibri" w:hAnsi="Calibri" w:cs="Calibri"/>
                <w:color w:val="000000"/>
              </w:rPr>
              <w:t xml:space="preserve">Liants pour chapes à base de magnésie - Magnésie calcinée et chlorure de magnésium - Partie 1 : définitions, exigences </w:t>
            </w:r>
          </w:p>
        </w:tc>
      </w:tr>
      <w:tr w:rsidR="0012399E" w:rsidRPr="0043547B" w:rsidTr="00273ED5">
        <w:trPr>
          <w:trHeight w:val="70"/>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12399E" w:rsidRDefault="00273ED5" w:rsidP="00273ED5">
            <w:pPr>
              <w:spacing w:after="0" w:line="240" w:lineRule="auto"/>
              <w:jc w:val="center"/>
              <w:rPr>
                <w:rFonts w:ascii="Calibri" w:hAnsi="Calibri" w:cs="Calibri"/>
                <w:b/>
                <w:bCs/>
                <w:sz w:val="24"/>
                <w:szCs w:val="24"/>
              </w:rPr>
            </w:pPr>
            <w:r>
              <w:rPr>
                <w:rFonts w:ascii="Calibri" w:hAnsi="Calibri" w:cs="Calibri"/>
                <w:b/>
                <w:bCs/>
              </w:rPr>
              <w:t>Domaine d’application</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bottom"/>
          </w:tcPr>
          <w:p w:rsidR="0012399E" w:rsidRDefault="0012399E" w:rsidP="00273ED5">
            <w:pPr>
              <w:spacing w:after="0" w:line="240" w:lineRule="auto"/>
              <w:rPr>
                <w:rFonts w:ascii="Calibri" w:hAnsi="Calibri" w:cs="Calibri"/>
              </w:rPr>
            </w:pPr>
            <w:r>
              <w:rPr>
                <w:rFonts w:ascii="Calibri" w:hAnsi="Calibri" w:cs="Calibri"/>
              </w:rPr>
              <w:t>La présente Norme européenne spécifie les exigences relatives à la magnésie caustique et au chlorure de magnésium, utilisés comme matériaux pour chapes et chapes à base de magnésie tels que spécifiés dans l'EN 13813.</w:t>
            </w:r>
          </w:p>
        </w:tc>
      </w:tr>
      <w:tr w:rsidR="008375D5" w:rsidRPr="0043547B" w:rsidTr="0069303D">
        <w:trPr>
          <w:trHeight w:val="70"/>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tcPr>
          <w:p w:rsidR="008375D5" w:rsidRPr="0069303D" w:rsidRDefault="008375D5" w:rsidP="0069303D">
            <w:pPr>
              <w:spacing w:after="0" w:line="240" w:lineRule="auto"/>
              <w:jc w:val="center"/>
              <w:rPr>
                <w:rFonts w:ascii="Calibri" w:hAnsi="Calibri" w:cs="Calibri"/>
                <w:b/>
                <w:bCs/>
                <w:color w:val="000000"/>
                <w:sz w:val="24"/>
                <w:szCs w:val="24"/>
              </w:rPr>
            </w:pPr>
            <w:r w:rsidRPr="0069303D">
              <w:rPr>
                <w:rFonts w:ascii="Calibri" w:hAnsi="Calibri" w:cs="Calibri"/>
                <w:b/>
                <w:bCs/>
                <w:color w:val="000000"/>
                <w:sz w:val="24"/>
                <w:szCs w:val="24"/>
              </w:rPr>
              <w:t>Code</w:t>
            </w:r>
            <w:r w:rsidR="0069303D" w:rsidRPr="0069303D">
              <w:rPr>
                <w:rFonts w:ascii="Calibri" w:hAnsi="Calibri" w:cs="Calibri"/>
                <w:b/>
                <w:bCs/>
                <w:color w:val="000000"/>
                <w:sz w:val="24"/>
                <w:szCs w:val="24"/>
              </w:rPr>
              <w:t xml:space="preserve"> </w:t>
            </w:r>
            <w:r w:rsidRPr="0069303D">
              <w:rPr>
                <w:rFonts w:ascii="Calibri" w:hAnsi="Calibri" w:cs="Calibri"/>
                <w:b/>
                <w:bCs/>
                <w:color w:val="000000"/>
                <w:sz w:val="24"/>
                <w:szCs w:val="24"/>
              </w:rPr>
              <w:t>:</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tcPr>
          <w:p w:rsidR="008375D5" w:rsidRPr="0069303D" w:rsidRDefault="008375D5" w:rsidP="0069303D">
            <w:pPr>
              <w:spacing w:after="0" w:line="240" w:lineRule="auto"/>
              <w:jc w:val="center"/>
              <w:rPr>
                <w:rFonts w:ascii="Calibri" w:hAnsi="Calibri" w:cs="Calibri"/>
                <w:b/>
                <w:bCs/>
                <w:color w:val="000000"/>
                <w:sz w:val="24"/>
                <w:szCs w:val="24"/>
              </w:rPr>
            </w:pPr>
            <w:r w:rsidRPr="0069303D">
              <w:rPr>
                <w:rFonts w:ascii="Calibri" w:hAnsi="Calibri" w:cs="Calibri"/>
                <w:b/>
                <w:bCs/>
                <w:color w:val="000000"/>
                <w:sz w:val="24"/>
                <w:szCs w:val="24"/>
              </w:rPr>
              <w:t>NM EN 14647</w:t>
            </w:r>
          </w:p>
        </w:tc>
      </w:tr>
      <w:tr w:rsidR="008375D5" w:rsidRPr="0043547B" w:rsidTr="0069303D">
        <w:trPr>
          <w:trHeight w:val="70"/>
          <w:jc w:val="center"/>
        </w:trPr>
        <w:tc>
          <w:tcPr>
            <w:tcW w:w="1838" w:type="dxa"/>
            <w:tcBorders>
              <w:top w:val="single" w:sz="18" w:space="0" w:color="auto"/>
              <w:left w:val="single" w:sz="18" w:space="0" w:color="auto"/>
              <w:bottom w:val="single" w:sz="18" w:space="0" w:color="auto"/>
              <w:right w:val="single" w:sz="4" w:space="0" w:color="auto"/>
            </w:tcBorders>
            <w:shd w:val="clear" w:color="auto" w:fill="FFFFCC"/>
            <w:vAlign w:val="center"/>
          </w:tcPr>
          <w:p w:rsidR="008375D5" w:rsidRPr="0069303D" w:rsidRDefault="008375D5" w:rsidP="0069303D">
            <w:pPr>
              <w:spacing w:after="0" w:line="240" w:lineRule="auto"/>
              <w:jc w:val="center"/>
              <w:rPr>
                <w:rFonts w:ascii="Calibri" w:hAnsi="Calibri" w:cs="Calibri"/>
                <w:b/>
                <w:bCs/>
                <w:color w:val="000000"/>
                <w:sz w:val="24"/>
                <w:szCs w:val="24"/>
              </w:rPr>
            </w:pPr>
            <w:r w:rsidRPr="0069303D">
              <w:rPr>
                <w:rFonts w:ascii="Calibri" w:hAnsi="Calibri" w:cs="Calibri"/>
                <w:b/>
                <w:bCs/>
                <w:color w:val="000000"/>
                <w:sz w:val="24"/>
                <w:szCs w:val="24"/>
              </w:rPr>
              <w:t>Equivalence :</w:t>
            </w:r>
          </w:p>
        </w:tc>
        <w:tc>
          <w:tcPr>
            <w:tcW w:w="7938" w:type="dxa"/>
            <w:tcBorders>
              <w:top w:val="single" w:sz="18" w:space="0" w:color="auto"/>
              <w:left w:val="single" w:sz="4" w:space="0" w:color="auto"/>
              <w:bottom w:val="single" w:sz="18" w:space="0" w:color="auto"/>
              <w:right w:val="single" w:sz="18" w:space="0" w:color="auto"/>
            </w:tcBorders>
            <w:shd w:val="clear" w:color="auto" w:fill="FFFFCC"/>
            <w:vAlign w:val="center"/>
          </w:tcPr>
          <w:p w:rsidR="008375D5" w:rsidRPr="0069303D" w:rsidRDefault="008375D5" w:rsidP="0069303D">
            <w:pPr>
              <w:spacing w:after="0" w:line="240" w:lineRule="auto"/>
              <w:jc w:val="center"/>
              <w:rPr>
                <w:rFonts w:ascii="Calibri" w:hAnsi="Calibri" w:cs="Calibri"/>
                <w:b/>
                <w:bCs/>
                <w:color w:val="000000"/>
                <w:sz w:val="24"/>
                <w:szCs w:val="24"/>
              </w:rPr>
            </w:pPr>
            <w:r w:rsidRPr="0069303D">
              <w:rPr>
                <w:rFonts w:ascii="Calibri" w:hAnsi="Calibri" w:cs="Calibri"/>
                <w:b/>
                <w:bCs/>
                <w:color w:val="000000"/>
                <w:sz w:val="24"/>
                <w:szCs w:val="24"/>
              </w:rPr>
              <w:t>EN 14647</w:t>
            </w:r>
          </w:p>
        </w:tc>
      </w:tr>
      <w:tr w:rsidR="008375D5" w:rsidRPr="0043547B" w:rsidTr="0069303D">
        <w:trPr>
          <w:trHeight w:val="70"/>
          <w:jc w:val="center"/>
        </w:trPr>
        <w:tc>
          <w:tcPr>
            <w:tcW w:w="1838" w:type="dxa"/>
            <w:tcBorders>
              <w:top w:val="single" w:sz="18" w:space="0" w:color="auto"/>
              <w:left w:val="single" w:sz="18" w:space="0" w:color="auto"/>
              <w:bottom w:val="single" w:sz="4" w:space="0" w:color="auto"/>
              <w:right w:val="single" w:sz="4" w:space="0" w:color="auto"/>
            </w:tcBorders>
            <w:shd w:val="clear" w:color="auto" w:fill="95B3D7" w:themeFill="accent1" w:themeFillTint="99"/>
            <w:vAlign w:val="center"/>
          </w:tcPr>
          <w:p w:rsidR="008375D5" w:rsidRPr="0069303D" w:rsidRDefault="008375D5" w:rsidP="0069303D">
            <w:pPr>
              <w:spacing w:after="0" w:line="240" w:lineRule="auto"/>
              <w:jc w:val="center"/>
              <w:rPr>
                <w:rFonts w:ascii="Calibri" w:hAnsi="Calibri" w:cs="Calibri"/>
                <w:b/>
                <w:bCs/>
                <w:color w:val="000000"/>
                <w:sz w:val="24"/>
                <w:szCs w:val="24"/>
              </w:rPr>
            </w:pPr>
            <w:r w:rsidRPr="0069303D">
              <w:rPr>
                <w:rFonts w:ascii="Calibri" w:hAnsi="Calibri" w:cs="Calibri"/>
                <w:b/>
                <w:bCs/>
                <w:color w:val="000000"/>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tcPr>
          <w:p w:rsidR="008375D5" w:rsidRPr="0069303D" w:rsidRDefault="008375D5" w:rsidP="0069303D">
            <w:pPr>
              <w:spacing w:after="0" w:line="240" w:lineRule="auto"/>
              <w:rPr>
                <w:rFonts w:ascii="Calibri" w:hAnsi="Calibri" w:cs="Calibri"/>
                <w:color w:val="000000"/>
                <w:sz w:val="24"/>
                <w:szCs w:val="24"/>
              </w:rPr>
            </w:pPr>
            <w:r w:rsidRPr="0069303D">
              <w:rPr>
                <w:rFonts w:ascii="Calibri" w:hAnsi="Calibri" w:cs="Calibri"/>
                <w:color w:val="000000"/>
                <w:sz w:val="24"/>
                <w:szCs w:val="24"/>
              </w:rPr>
              <w:t xml:space="preserve">Ciment d'aluminates de calcium - Composition, spécifications et critères de conformité </w:t>
            </w:r>
          </w:p>
        </w:tc>
      </w:tr>
      <w:tr w:rsidR="008375D5" w:rsidRPr="0043547B" w:rsidTr="0069303D">
        <w:trPr>
          <w:trHeight w:val="70"/>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8375D5" w:rsidRPr="0069303D" w:rsidRDefault="008375D5" w:rsidP="0069303D">
            <w:pPr>
              <w:spacing w:after="0" w:line="240" w:lineRule="auto"/>
              <w:jc w:val="center"/>
              <w:rPr>
                <w:rFonts w:ascii="Calibri" w:hAnsi="Calibri" w:cs="Calibri"/>
                <w:b/>
                <w:bCs/>
                <w:sz w:val="24"/>
                <w:szCs w:val="24"/>
              </w:rPr>
            </w:pPr>
            <w:r w:rsidRPr="0069303D">
              <w:rPr>
                <w:rFonts w:ascii="Calibri" w:hAnsi="Calibri" w:cs="Calibr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tcPr>
          <w:p w:rsidR="0069303D" w:rsidRDefault="008375D5" w:rsidP="0069303D">
            <w:pPr>
              <w:spacing w:after="0" w:line="240" w:lineRule="auto"/>
              <w:jc w:val="both"/>
              <w:rPr>
                <w:rFonts w:ascii="Calibri" w:hAnsi="Calibri" w:cs="Calibri"/>
                <w:color w:val="000000"/>
                <w:sz w:val="24"/>
                <w:szCs w:val="24"/>
              </w:rPr>
            </w:pPr>
            <w:r w:rsidRPr="0069303D">
              <w:rPr>
                <w:rFonts w:ascii="Calibri" w:hAnsi="Calibri" w:cs="Calibri"/>
                <w:color w:val="000000"/>
                <w:sz w:val="24"/>
                <w:szCs w:val="24"/>
              </w:rPr>
              <w:t>La présente Norme européenne donne une définition générale du ciment d'aluminates de calcium et de sa</w:t>
            </w:r>
            <w:r w:rsidR="0069303D">
              <w:rPr>
                <w:rFonts w:ascii="Calibri" w:hAnsi="Calibri" w:cs="Calibri"/>
                <w:color w:val="000000"/>
                <w:sz w:val="24"/>
                <w:szCs w:val="24"/>
              </w:rPr>
              <w:t xml:space="preserve"> </w:t>
            </w:r>
            <w:r w:rsidRPr="0069303D">
              <w:rPr>
                <w:rFonts w:ascii="Calibri" w:hAnsi="Calibri" w:cs="Calibri"/>
                <w:color w:val="000000"/>
                <w:sz w:val="24"/>
                <w:szCs w:val="24"/>
              </w:rPr>
              <w:t>composition. Il fixe les exigences relatives aux propriétés mécaniques, physiques et chimiques, et établit également</w:t>
            </w:r>
            <w:r w:rsidR="0069303D">
              <w:rPr>
                <w:rFonts w:ascii="Calibri" w:hAnsi="Calibri" w:cs="Calibri"/>
                <w:color w:val="000000"/>
                <w:sz w:val="24"/>
                <w:szCs w:val="24"/>
              </w:rPr>
              <w:t xml:space="preserve"> </w:t>
            </w:r>
            <w:r w:rsidRPr="0069303D">
              <w:rPr>
                <w:rFonts w:ascii="Calibri" w:hAnsi="Calibri" w:cs="Calibri"/>
                <w:color w:val="000000"/>
                <w:sz w:val="24"/>
                <w:szCs w:val="24"/>
              </w:rPr>
              <w:t>les critères de conformité ainsi que les règles correspondantes.</w:t>
            </w:r>
          </w:p>
          <w:p w:rsidR="0069303D" w:rsidRDefault="008375D5" w:rsidP="0069303D">
            <w:pPr>
              <w:spacing w:after="0" w:line="240" w:lineRule="auto"/>
              <w:jc w:val="both"/>
              <w:rPr>
                <w:rFonts w:ascii="Calibri" w:hAnsi="Calibri" w:cs="Calibri"/>
                <w:color w:val="000000"/>
                <w:sz w:val="24"/>
                <w:szCs w:val="24"/>
              </w:rPr>
            </w:pPr>
            <w:r w:rsidRPr="0069303D">
              <w:rPr>
                <w:rFonts w:ascii="Calibri" w:hAnsi="Calibri" w:cs="Calibri"/>
                <w:color w:val="000000"/>
                <w:sz w:val="24"/>
                <w:szCs w:val="24"/>
              </w:rPr>
              <w:t>La présente Norme européenne ne couvre pas le ciment d'aluminates de calcium lorsqu'il est utilisé comme</w:t>
            </w:r>
            <w:r w:rsidR="0069303D">
              <w:rPr>
                <w:rFonts w:ascii="Calibri" w:hAnsi="Calibri" w:cs="Calibri"/>
                <w:color w:val="000000"/>
                <w:sz w:val="24"/>
                <w:szCs w:val="24"/>
              </w:rPr>
              <w:t xml:space="preserve"> </w:t>
            </w:r>
            <w:r w:rsidRPr="0069303D">
              <w:rPr>
                <w:rFonts w:ascii="Calibri" w:hAnsi="Calibri" w:cs="Calibri"/>
                <w:color w:val="000000"/>
                <w:sz w:val="24"/>
                <w:szCs w:val="24"/>
              </w:rPr>
              <w:t>constituant de préparations formulées pour des applications spécifiques (comme par exemple les mélanges secs).</w:t>
            </w:r>
          </w:p>
          <w:p w:rsidR="008375D5" w:rsidRPr="0069303D" w:rsidRDefault="008375D5" w:rsidP="0069303D">
            <w:pPr>
              <w:spacing w:after="0" w:line="240" w:lineRule="auto"/>
              <w:jc w:val="both"/>
              <w:rPr>
                <w:rFonts w:ascii="Calibri" w:hAnsi="Calibri" w:cs="Calibri"/>
                <w:i/>
                <w:iCs/>
                <w:color w:val="000000"/>
                <w:sz w:val="24"/>
                <w:szCs w:val="24"/>
              </w:rPr>
            </w:pPr>
            <w:r w:rsidRPr="0069303D">
              <w:rPr>
                <w:rFonts w:ascii="Calibri" w:hAnsi="Calibri" w:cs="Calibri"/>
                <w:b/>
                <w:bCs/>
                <w:i/>
                <w:iCs/>
                <w:color w:val="000000"/>
              </w:rPr>
              <w:t>NOTE</w:t>
            </w:r>
            <w:r w:rsidR="0069303D" w:rsidRPr="0069303D">
              <w:rPr>
                <w:rFonts w:ascii="Calibri" w:hAnsi="Calibri" w:cs="Calibri"/>
                <w:b/>
                <w:bCs/>
                <w:i/>
                <w:iCs/>
                <w:color w:val="000000"/>
              </w:rPr>
              <w:t> :</w:t>
            </w:r>
            <w:r w:rsidRPr="0069303D">
              <w:rPr>
                <w:rFonts w:ascii="Calibri" w:hAnsi="Calibri" w:cs="Calibri"/>
                <w:i/>
                <w:iCs/>
                <w:color w:val="000000"/>
              </w:rPr>
              <w:t xml:space="preserve"> L'Annexe A fournit des lignes directrices pour l'utilisation correcte du ciment d'aluminates de calcium dans le béton</w:t>
            </w:r>
            <w:r w:rsidR="0069303D" w:rsidRPr="0069303D">
              <w:rPr>
                <w:rFonts w:ascii="Calibri" w:hAnsi="Calibri" w:cs="Calibri"/>
                <w:i/>
                <w:iCs/>
                <w:color w:val="000000"/>
              </w:rPr>
              <w:t xml:space="preserve"> </w:t>
            </w:r>
            <w:r w:rsidRPr="0069303D">
              <w:rPr>
                <w:rFonts w:ascii="Calibri" w:hAnsi="Calibri" w:cs="Calibri"/>
                <w:i/>
                <w:iCs/>
                <w:color w:val="000000"/>
              </w:rPr>
              <w:t>et les mortiers.</w:t>
            </w:r>
          </w:p>
        </w:tc>
      </w:tr>
      <w:tr w:rsidR="008375D5" w:rsidRPr="0043547B" w:rsidTr="0069303D">
        <w:trPr>
          <w:trHeight w:val="70"/>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tcPr>
          <w:p w:rsidR="008375D5" w:rsidRDefault="008375D5" w:rsidP="0069303D">
            <w:pPr>
              <w:spacing w:after="0" w:line="240" w:lineRule="auto"/>
              <w:jc w:val="center"/>
              <w:rPr>
                <w:rFonts w:ascii="Calibri" w:hAnsi="Calibri" w:cs="Calibri"/>
                <w:b/>
                <w:bCs/>
                <w:color w:val="000000"/>
                <w:sz w:val="24"/>
                <w:szCs w:val="24"/>
              </w:rPr>
            </w:pPr>
            <w:r>
              <w:rPr>
                <w:rFonts w:ascii="Calibri" w:hAnsi="Calibri" w:cs="Calibri"/>
                <w:b/>
                <w:bCs/>
                <w:color w:val="000000"/>
              </w:rPr>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tcPr>
          <w:p w:rsidR="008375D5" w:rsidRPr="0069303D" w:rsidRDefault="008375D5" w:rsidP="0069303D">
            <w:pPr>
              <w:spacing w:after="0" w:line="240" w:lineRule="auto"/>
              <w:jc w:val="center"/>
              <w:rPr>
                <w:rFonts w:ascii="Calibri" w:hAnsi="Calibri" w:cs="Calibri"/>
                <w:b/>
                <w:bCs/>
                <w:color w:val="000000"/>
                <w:sz w:val="24"/>
                <w:szCs w:val="24"/>
              </w:rPr>
            </w:pPr>
            <w:r w:rsidRPr="0069303D">
              <w:rPr>
                <w:rFonts w:ascii="Calibri" w:hAnsi="Calibri" w:cs="Calibri"/>
                <w:b/>
                <w:bCs/>
                <w:color w:val="000000"/>
                <w:sz w:val="24"/>
                <w:szCs w:val="24"/>
              </w:rPr>
              <w:t>NM EN 13279-1</w:t>
            </w:r>
          </w:p>
        </w:tc>
      </w:tr>
      <w:tr w:rsidR="008375D5" w:rsidRPr="0043547B" w:rsidTr="0069303D">
        <w:trPr>
          <w:trHeight w:val="70"/>
          <w:jc w:val="center"/>
        </w:trPr>
        <w:tc>
          <w:tcPr>
            <w:tcW w:w="1838" w:type="dxa"/>
            <w:tcBorders>
              <w:top w:val="single" w:sz="18" w:space="0" w:color="auto"/>
              <w:left w:val="single" w:sz="18" w:space="0" w:color="auto"/>
              <w:bottom w:val="single" w:sz="18" w:space="0" w:color="auto"/>
              <w:right w:val="single" w:sz="4" w:space="0" w:color="auto"/>
            </w:tcBorders>
            <w:shd w:val="clear" w:color="auto" w:fill="FFFFCC"/>
            <w:vAlign w:val="center"/>
          </w:tcPr>
          <w:p w:rsidR="008375D5" w:rsidRDefault="008375D5" w:rsidP="0069303D">
            <w:pPr>
              <w:spacing w:after="0" w:line="240" w:lineRule="auto"/>
              <w:jc w:val="center"/>
              <w:rPr>
                <w:rFonts w:ascii="Calibri" w:hAnsi="Calibri" w:cs="Calibri"/>
                <w:b/>
                <w:bCs/>
                <w:color w:val="000000"/>
                <w:sz w:val="24"/>
                <w:szCs w:val="24"/>
              </w:rPr>
            </w:pPr>
            <w:r>
              <w:rPr>
                <w:rFonts w:ascii="Calibri" w:hAnsi="Calibri" w:cs="Calibri"/>
                <w:b/>
                <w:bCs/>
                <w:color w:val="000000"/>
              </w:rPr>
              <w:lastRenderedPageBreak/>
              <w:t>Equivalence :</w:t>
            </w:r>
          </w:p>
        </w:tc>
        <w:tc>
          <w:tcPr>
            <w:tcW w:w="7938" w:type="dxa"/>
            <w:tcBorders>
              <w:top w:val="single" w:sz="18" w:space="0" w:color="auto"/>
              <w:left w:val="single" w:sz="4" w:space="0" w:color="auto"/>
              <w:bottom w:val="single" w:sz="18" w:space="0" w:color="auto"/>
              <w:right w:val="single" w:sz="18" w:space="0" w:color="auto"/>
            </w:tcBorders>
            <w:shd w:val="clear" w:color="auto" w:fill="FFFFCC"/>
            <w:vAlign w:val="center"/>
          </w:tcPr>
          <w:p w:rsidR="008375D5" w:rsidRPr="0069303D" w:rsidRDefault="008375D5" w:rsidP="0069303D">
            <w:pPr>
              <w:spacing w:after="0" w:line="240" w:lineRule="auto"/>
              <w:jc w:val="center"/>
              <w:rPr>
                <w:rFonts w:ascii="Calibri" w:hAnsi="Calibri" w:cs="Calibri"/>
                <w:b/>
                <w:bCs/>
                <w:sz w:val="24"/>
                <w:szCs w:val="24"/>
              </w:rPr>
            </w:pPr>
            <w:r w:rsidRPr="0069303D">
              <w:rPr>
                <w:rFonts w:ascii="Calibri" w:hAnsi="Calibri" w:cs="Calibri"/>
                <w:b/>
                <w:bCs/>
                <w:sz w:val="24"/>
                <w:szCs w:val="24"/>
              </w:rPr>
              <w:t>EN 13279-1</w:t>
            </w:r>
          </w:p>
        </w:tc>
      </w:tr>
      <w:tr w:rsidR="008375D5" w:rsidRPr="0043547B" w:rsidTr="0069303D">
        <w:trPr>
          <w:trHeight w:val="70"/>
          <w:jc w:val="center"/>
        </w:trPr>
        <w:tc>
          <w:tcPr>
            <w:tcW w:w="1838" w:type="dxa"/>
            <w:tcBorders>
              <w:top w:val="single" w:sz="18" w:space="0" w:color="auto"/>
              <w:left w:val="single" w:sz="18" w:space="0" w:color="auto"/>
              <w:bottom w:val="single" w:sz="4" w:space="0" w:color="auto"/>
              <w:right w:val="single" w:sz="4" w:space="0" w:color="auto"/>
            </w:tcBorders>
            <w:shd w:val="clear" w:color="auto" w:fill="95B3D7" w:themeFill="accent1" w:themeFillTint="99"/>
            <w:vAlign w:val="center"/>
          </w:tcPr>
          <w:p w:rsidR="008375D5" w:rsidRDefault="008375D5" w:rsidP="0069303D">
            <w:pPr>
              <w:spacing w:after="0" w:line="240" w:lineRule="auto"/>
              <w:jc w:val="center"/>
              <w:rPr>
                <w:rFonts w:ascii="Calibri" w:hAnsi="Calibri" w:cs="Calibri"/>
                <w:b/>
                <w:bCs/>
                <w:color w:val="000000"/>
                <w:sz w:val="24"/>
                <w:szCs w:val="24"/>
              </w:rPr>
            </w:pPr>
            <w:r>
              <w:rPr>
                <w:rFonts w:ascii="Calibri" w:hAnsi="Calibri" w:cs="Calibri"/>
                <w:b/>
                <w:bCs/>
                <w:color w:val="000000"/>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tcPr>
          <w:p w:rsidR="008375D5" w:rsidRPr="0069303D" w:rsidRDefault="008375D5" w:rsidP="0069303D">
            <w:pPr>
              <w:spacing w:after="0" w:line="240" w:lineRule="auto"/>
              <w:rPr>
                <w:rFonts w:ascii="Calibri" w:hAnsi="Calibri" w:cs="Calibri"/>
                <w:color w:val="000000"/>
                <w:sz w:val="24"/>
                <w:szCs w:val="24"/>
              </w:rPr>
            </w:pPr>
            <w:r w:rsidRPr="0069303D">
              <w:rPr>
                <w:rFonts w:ascii="Calibri" w:hAnsi="Calibri" w:cs="Calibri"/>
                <w:color w:val="000000"/>
                <w:sz w:val="24"/>
                <w:szCs w:val="24"/>
              </w:rPr>
              <w:t xml:space="preserve">Liants-plâtres et enduits à base de plâtre pour le bâtiment - Partie 1 : Définitions et exigences </w:t>
            </w:r>
          </w:p>
        </w:tc>
      </w:tr>
      <w:tr w:rsidR="008375D5" w:rsidRPr="0043547B" w:rsidTr="0069303D">
        <w:trPr>
          <w:trHeight w:val="70"/>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8375D5" w:rsidRDefault="008375D5" w:rsidP="0069303D">
            <w:pPr>
              <w:spacing w:after="0" w:line="240" w:lineRule="auto"/>
              <w:jc w:val="center"/>
              <w:rPr>
                <w:rFonts w:ascii="Calibri" w:hAnsi="Calibri" w:cs="Calibri"/>
                <w:b/>
                <w:bCs/>
                <w:color w:val="000000"/>
                <w:sz w:val="24"/>
                <w:szCs w:val="24"/>
              </w:rPr>
            </w:pPr>
            <w:r>
              <w:rPr>
                <w:rFonts w:ascii="Calibri" w:hAnsi="Calibri" w:cs="Calibri"/>
                <w:b/>
                <w:bCs/>
                <w:color w:val="000000"/>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tcPr>
          <w:p w:rsidR="0069303D" w:rsidRDefault="008375D5" w:rsidP="0069303D">
            <w:pPr>
              <w:spacing w:after="0" w:line="240" w:lineRule="auto"/>
              <w:jc w:val="both"/>
              <w:rPr>
                <w:rFonts w:ascii="Calibri" w:hAnsi="Calibri" w:cs="Calibri"/>
                <w:color w:val="000000"/>
                <w:sz w:val="24"/>
                <w:szCs w:val="24"/>
              </w:rPr>
            </w:pPr>
            <w:r w:rsidRPr="0069303D">
              <w:rPr>
                <w:rFonts w:ascii="Calibri" w:hAnsi="Calibri" w:cs="Calibri"/>
                <w:color w:val="000000"/>
                <w:sz w:val="24"/>
                <w:szCs w:val="24"/>
              </w:rPr>
              <w:t>La présente Norme européenne spécifie les caractéristiques et les performances des produits en poudre à base de</w:t>
            </w:r>
            <w:r w:rsidR="0069303D">
              <w:rPr>
                <w:rFonts w:ascii="Calibri" w:hAnsi="Calibri" w:cs="Calibri"/>
                <w:color w:val="000000"/>
                <w:sz w:val="24"/>
                <w:szCs w:val="24"/>
              </w:rPr>
              <w:t xml:space="preserve"> </w:t>
            </w:r>
            <w:r w:rsidRPr="0069303D">
              <w:rPr>
                <w:rFonts w:ascii="Calibri" w:hAnsi="Calibri" w:cs="Calibri"/>
                <w:color w:val="000000"/>
                <w:sz w:val="24"/>
                <w:szCs w:val="24"/>
              </w:rPr>
              <w:t>liant-plâtre utilisés dans le domaine du bâtiment. Sont inclus les plâtres de construction prémélangés utilisés comme</w:t>
            </w:r>
            <w:r w:rsidRPr="0069303D">
              <w:rPr>
                <w:rFonts w:ascii="Calibri" w:hAnsi="Calibri" w:cs="Calibri"/>
                <w:color w:val="000000"/>
                <w:sz w:val="24"/>
                <w:szCs w:val="24"/>
              </w:rPr>
              <w:br/>
              <w:t>enduits sur les murs et plafonds à l’intérieur des constructions, appliqués sous forme de finitions aptes à recevoir une</w:t>
            </w:r>
            <w:r w:rsidR="0069303D">
              <w:rPr>
                <w:rFonts w:ascii="Calibri" w:hAnsi="Calibri" w:cs="Calibri"/>
                <w:color w:val="000000"/>
                <w:sz w:val="24"/>
                <w:szCs w:val="24"/>
              </w:rPr>
              <w:t xml:space="preserve"> </w:t>
            </w:r>
            <w:r w:rsidRPr="0069303D">
              <w:rPr>
                <w:rFonts w:ascii="Calibri" w:hAnsi="Calibri" w:cs="Calibri"/>
                <w:color w:val="000000"/>
                <w:sz w:val="24"/>
                <w:szCs w:val="24"/>
              </w:rPr>
              <w:t>décoration. Ces produits sont formulés spécialement pour répondre aux exigences de l’utilisation grâce à l’ajout</w:t>
            </w:r>
            <w:r w:rsidRPr="0069303D">
              <w:rPr>
                <w:rFonts w:ascii="Calibri" w:hAnsi="Calibri" w:cs="Calibri"/>
                <w:color w:val="000000"/>
                <w:sz w:val="24"/>
                <w:szCs w:val="24"/>
              </w:rPr>
              <w:br/>
              <w:t>d’additifs/adjuvants, de granulats et d’autres liants. La norme couvre les plâtres de construction et les enduits à base</w:t>
            </w:r>
            <w:r w:rsidR="0069303D">
              <w:rPr>
                <w:rFonts w:ascii="Calibri" w:hAnsi="Calibri" w:cs="Calibri"/>
                <w:color w:val="000000"/>
                <w:sz w:val="24"/>
                <w:szCs w:val="24"/>
              </w:rPr>
              <w:t xml:space="preserve"> </w:t>
            </w:r>
            <w:r w:rsidRPr="0069303D">
              <w:rPr>
                <w:rFonts w:ascii="Calibri" w:hAnsi="Calibri" w:cs="Calibri"/>
                <w:color w:val="000000"/>
                <w:sz w:val="24"/>
                <w:szCs w:val="24"/>
              </w:rPr>
              <w:t>de plâtre destinés aux applications manuelles et mécaniques.</w:t>
            </w:r>
          </w:p>
          <w:p w:rsidR="003110D8" w:rsidRDefault="008375D5" w:rsidP="003110D8">
            <w:pPr>
              <w:spacing w:after="0" w:line="240" w:lineRule="auto"/>
              <w:jc w:val="both"/>
              <w:rPr>
                <w:rFonts w:ascii="Calibri" w:hAnsi="Calibri" w:cs="Calibri"/>
                <w:color w:val="000000"/>
                <w:sz w:val="24"/>
                <w:szCs w:val="24"/>
              </w:rPr>
            </w:pPr>
            <w:r w:rsidRPr="0069303D">
              <w:rPr>
                <w:rFonts w:ascii="Calibri" w:hAnsi="Calibri" w:cs="Calibri"/>
                <w:color w:val="000000"/>
                <w:sz w:val="24"/>
                <w:szCs w:val="24"/>
              </w:rPr>
              <w:t>La présente Norme européenne s’applique également aux liants-plâtres destinés à l’usage direct sur le chantier et à</w:t>
            </w:r>
            <w:r w:rsidR="003110D8">
              <w:rPr>
                <w:rFonts w:ascii="Calibri" w:hAnsi="Calibri" w:cs="Calibri"/>
                <w:color w:val="000000"/>
                <w:sz w:val="24"/>
                <w:szCs w:val="24"/>
              </w:rPr>
              <w:t xml:space="preserve"> </w:t>
            </w:r>
            <w:r w:rsidRPr="0069303D">
              <w:rPr>
                <w:rFonts w:ascii="Calibri" w:hAnsi="Calibri" w:cs="Calibri"/>
                <w:color w:val="000000"/>
                <w:sz w:val="24"/>
                <w:szCs w:val="24"/>
              </w:rPr>
              <w:t>la transformation ultérieure en carreaux, plaques de plâtre, plaques de plâtre armées de fibres, ouvrages en staff et</w:t>
            </w:r>
            <w:r w:rsidRPr="0069303D">
              <w:rPr>
                <w:rFonts w:ascii="Calibri" w:hAnsi="Calibri" w:cs="Calibri"/>
                <w:color w:val="000000"/>
                <w:sz w:val="24"/>
                <w:szCs w:val="24"/>
              </w:rPr>
              <w:br/>
              <w:t>éléments de plafonds en plâtre. Le mortier de plâtre utilisé pour le montage de cloisons intérieures non porteuses et</w:t>
            </w:r>
            <w:r w:rsidR="003110D8">
              <w:rPr>
                <w:rFonts w:ascii="Calibri" w:hAnsi="Calibri" w:cs="Calibri"/>
                <w:color w:val="000000"/>
                <w:sz w:val="24"/>
                <w:szCs w:val="24"/>
              </w:rPr>
              <w:t xml:space="preserve"> </w:t>
            </w:r>
            <w:r w:rsidRPr="0069303D">
              <w:rPr>
                <w:rFonts w:ascii="Calibri" w:hAnsi="Calibri" w:cs="Calibri"/>
                <w:color w:val="000000"/>
                <w:sz w:val="24"/>
                <w:szCs w:val="24"/>
              </w:rPr>
              <w:t>non exposées à l’eau est également inclus.</w:t>
            </w:r>
            <w:r w:rsidRPr="0069303D">
              <w:rPr>
                <w:rFonts w:ascii="Calibri" w:hAnsi="Calibri" w:cs="Calibri"/>
                <w:color w:val="000000"/>
                <w:sz w:val="24"/>
                <w:szCs w:val="24"/>
              </w:rPr>
              <w:br/>
              <w:t>La présente Norme européenne ne concerne pas le sulfate de calcium utilisé comme liant pour les chapes de sols.</w:t>
            </w:r>
          </w:p>
          <w:p w:rsidR="003110D8" w:rsidRDefault="008375D5" w:rsidP="003110D8">
            <w:pPr>
              <w:spacing w:after="0" w:line="240" w:lineRule="auto"/>
              <w:jc w:val="both"/>
              <w:rPr>
                <w:rFonts w:ascii="Calibri" w:hAnsi="Calibri" w:cs="Calibri"/>
                <w:color w:val="000000"/>
                <w:sz w:val="24"/>
                <w:szCs w:val="24"/>
              </w:rPr>
            </w:pPr>
            <w:r w:rsidRPr="0069303D">
              <w:rPr>
                <w:rFonts w:ascii="Calibri" w:hAnsi="Calibri" w:cs="Calibri"/>
                <w:color w:val="000000"/>
                <w:sz w:val="24"/>
                <w:szCs w:val="24"/>
              </w:rPr>
              <w:t>La présente Norme européenne définit les essais de référence concernant les caractéristiques techniques et permet</w:t>
            </w:r>
            <w:r w:rsidR="003110D8">
              <w:rPr>
                <w:rFonts w:ascii="Calibri" w:hAnsi="Calibri" w:cs="Calibri"/>
                <w:color w:val="000000"/>
                <w:sz w:val="24"/>
                <w:szCs w:val="24"/>
              </w:rPr>
              <w:t xml:space="preserve"> </w:t>
            </w:r>
            <w:r w:rsidRPr="0069303D">
              <w:rPr>
                <w:rFonts w:ascii="Calibri" w:hAnsi="Calibri" w:cs="Calibri"/>
                <w:color w:val="000000"/>
                <w:sz w:val="24"/>
                <w:szCs w:val="24"/>
              </w:rPr>
              <w:t>l’évaluation de la conformité des produits couverts par la présente Norme européenne.</w:t>
            </w:r>
          </w:p>
          <w:p w:rsidR="008375D5" w:rsidRPr="0069303D" w:rsidRDefault="008375D5" w:rsidP="003110D8">
            <w:pPr>
              <w:spacing w:after="0" w:line="240" w:lineRule="auto"/>
              <w:jc w:val="both"/>
              <w:rPr>
                <w:rFonts w:ascii="Calibri" w:hAnsi="Calibri" w:cs="Calibri"/>
                <w:color w:val="000000"/>
                <w:sz w:val="24"/>
                <w:szCs w:val="24"/>
              </w:rPr>
            </w:pPr>
            <w:r w:rsidRPr="0069303D">
              <w:rPr>
                <w:rFonts w:ascii="Calibri" w:hAnsi="Calibri" w:cs="Calibri"/>
                <w:color w:val="000000"/>
                <w:sz w:val="24"/>
                <w:szCs w:val="24"/>
              </w:rPr>
              <w:t>La chaux de construction, sous forme d’hydroxyde de calcium, est utilisable comme liant complémentaire avec un</w:t>
            </w:r>
            <w:r w:rsidR="003110D8">
              <w:rPr>
                <w:rFonts w:ascii="Calibri" w:hAnsi="Calibri" w:cs="Calibri"/>
                <w:color w:val="000000"/>
                <w:sz w:val="24"/>
                <w:szCs w:val="24"/>
              </w:rPr>
              <w:t xml:space="preserve"> </w:t>
            </w:r>
            <w:r w:rsidRPr="0069303D">
              <w:rPr>
                <w:rFonts w:ascii="Calibri" w:hAnsi="Calibri" w:cs="Calibri"/>
                <w:color w:val="000000"/>
                <w:sz w:val="24"/>
                <w:szCs w:val="24"/>
              </w:rPr>
              <w:t>liant-plâtre. Si ce dernier constitue l’élément principal actif d’un enduit, alors cet enduit est couvert par la présente</w:t>
            </w:r>
            <w:r w:rsidRPr="0069303D">
              <w:rPr>
                <w:rFonts w:ascii="Calibri" w:hAnsi="Calibri" w:cs="Calibri"/>
                <w:color w:val="000000"/>
                <w:sz w:val="24"/>
                <w:szCs w:val="24"/>
              </w:rPr>
              <w:br/>
              <w:t>Norme européenne. Si la chaux de construction constitue l’élément principal actif de l’enduit, alors cet enduit est</w:t>
            </w:r>
            <w:r w:rsidR="003110D8">
              <w:rPr>
                <w:rFonts w:ascii="Calibri" w:hAnsi="Calibri" w:cs="Calibri"/>
                <w:color w:val="000000"/>
                <w:sz w:val="24"/>
                <w:szCs w:val="24"/>
              </w:rPr>
              <w:t xml:space="preserve"> </w:t>
            </w:r>
            <w:r w:rsidRPr="0069303D">
              <w:rPr>
                <w:rFonts w:ascii="Calibri" w:hAnsi="Calibri" w:cs="Calibri"/>
                <w:color w:val="000000"/>
                <w:sz w:val="24"/>
                <w:szCs w:val="24"/>
              </w:rPr>
              <w:t>couvert par l’EN 998-1.</w:t>
            </w:r>
          </w:p>
        </w:tc>
      </w:tr>
    </w:tbl>
    <w:p w:rsidR="00904E52" w:rsidRPr="0043547B" w:rsidRDefault="00904E52" w:rsidP="00AF178F">
      <w:pPr>
        <w:pStyle w:val="Titre4"/>
        <w:numPr>
          <w:ilvl w:val="2"/>
          <w:numId w:val="2"/>
        </w:numPr>
        <w:ind w:left="1418" w:hanging="579"/>
        <w:rPr>
          <w:rFonts w:cstheme="minorHAnsi"/>
          <w:b/>
          <w:bCs w:val="0"/>
          <w:iCs w:val="0"/>
          <w:color w:val="auto"/>
          <w:szCs w:val="24"/>
          <w:u w:val="single"/>
        </w:rPr>
      </w:pPr>
      <w:bookmarkStart w:id="23" w:name="_Toc458606080"/>
      <w:r w:rsidRPr="0043547B">
        <w:rPr>
          <w:rFonts w:cstheme="minorHAnsi"/>
          <w:b/>
          <w:bCs w:val="0"/>
          <w:iCs w:val="0"/>
          <w:color w:val="auto"/>
          <w:szCs w:val="24"/>
          <w:u w:val="single"/>
        </w:rPr>
        <w:t>Produits en terre cuite</w:t>
      </w:r>
      <w:bookmarkEnd w:id="23"/>
    </w:p>
    <w:tbl>
      <w:tblPr>
        <w:tblW w:w="9776" w:type="dxa"/>
        <w:jc w:val="center"/>
        <w:tblCellMar>
          <w:left w:w="70" w:type="dxa"/>
          <w:right w:w="70" w:type="dxa"/>
        </w:tblCellMar>
        <w:tblLook w:val="04A0" w:firstRow="1" w:lastRow="0" w:firstColumn="1" w:lastColumn="0" w:noHBand="0" w:noVBand="1"/>
      </w:tblPr>
      <w:tblGrid>
        <w:gridCol w:w="1838"/>
        <w:gridCol w:w="7938"/>
      </w:tblGrid>
      <w:tr w:rsidR="0043547B" w:rsidRPr="0043547B" w:rsidTr="00CB5DC0">
        <w:trPr>
          <w:trHeight w:val="257"/>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10.1.042</w:t>
            </w:r>
          </w:p>
        </w:tc>
      </w:tr>
      <w:tr w:rsidR="0043547B" w:rsidRPr="0043547B" w:rsidTr="00CB5DC0">
        <w:trPr>
          <w:trHeight w:val="77"/>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Céramique – briques creuses de terre cuite </w:t>
            </w:r>
            <w:r w:rsidR="000D6E79" w:rsidRPr="0043547B">
              <w:rPr>
                <w:rFonts w:cstheme="minorHAnsi"/>
                <w:noProof/>
                <w:sz w:val="24"/>
                <w:szCs w:val="24"/>
                <w:lang w:eastAsia="fr-FR"/>
              </w:rPr>
              <w:drawing>
                <wp:inline distT="0" distB="0" distL="0" distR="0" wp14:anchorId="514A7667" wp14:editId="30AD31D3">
                  <wp:extent cx="183515" cy="158750"/>
                  <wp:effectExtent l="0" t="0" r="6985" b="0"/>
                  <wp:docPr id="30" name="Image 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8" cstate="print"/>
                          <a:srcRect/>
                          <a:stretch>
                            <a:fillRect/>
                          </a:stretch>
                        </pic:blipFill>
                        <pic:spPr bwMode="auto">
                          <a:xfrm>
                            <a:off x="0" y="0"/>
                            <a:ext cx="185776" cy="160706"/>
                          </a:xfrm>
                          <a:prstGeom prst="rect">
                            <a:avLst/>
                          </a:prstGeom>
                          <a:noFill/>
                          <a:ln w="9525">
                            <a:noFill/>
                            <a:miter lim="800000"/>
                            <a:headEnd/>
                            <a:tailEnd/>
                          </a:ln>
                        </pic:spPr>
                      </pic:pic>
                    </a:graphicData>
                  </a:graphic>
                </wp:inline>
              </w:drawing>
            </w:r>
          </w:p>
        </w:tc>
      </w:tr>
      <w:tr w:rsidR="0043547B" w:rsidRPr="0043547B" w:rsidTr="00CB5DC0">
        <w:trPr>
          <w:trHeight w:val="276"/>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aux briques creuses destinées à être utilisées dons les ouvrages de maçonnerie courante : murs, trumeaux, allèges, cloisons, doublages, etc.</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ne s'applique pas aux briques et blocs perforés, briques à plafond, ainsi qu'aux briques creuses de parement.</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briques dites « allégées », dont la masse volumique du tesson est inférieure à 1,4 kg/dm</w:t>
            </w:r>
            <w:r w:rsidRPr="0043547B">
              <w:rPr>
                <w:rFonts w:eastAsia="Times New Roman" w:cstheme="minorHAnsi"/>
                <w:sz w:val="24"/>
                <w:szCs w:val="24"/>
                <w:vertAlign w:val="superscript"/>
                <w:lang w:eastAsia="fr-FR"/>
              </w:rPr>
              <w:t>3</w:t>
            </w:r>
            <w:r w:rsidRPr="0043547B">
              <w:rPr>
                <w:rFonts w:eastAsia="Times New Roman" w:cstheme="minorHAnsi"/>
                <w:sz w:val="24"/>
                <w:szCs w:val="24"/>
                <w:lang w:eastAsia="fr-FR"/>
              </w:rPr>
              <w:t xml:space="preserve"> sont également exclues du domaine de la norme.</w:t>
            </w:r>
          </w:p>
        </w:tc>
      </w:tr>
      <w:tr w:rsidR="0043547B" w:rsidRPr="0043547B" w:rsidTr="00CB5DC0">
        <w:trPr>
          <w:trHeight w:val="78"/>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10.6.300</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Tuiles - Tuiles de terre cuite à emboîtement ou à glissement </w:t>
            </w:r>
          </w:p>
        </w:tc>
      </w:tr>
      <w:tr w:rsidR="0043547B" w:rsidRPr="0043547B" w:rsidTr="00CB5DC0">
        <w:trPr>
          <w:trHeight w:val="127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à toutes les tuiles définies à l'article 1.4.</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définit des caractéristiques qui, si elles sont satisfaites au moment de la livraison, permettent au produit de supporter, tout en continuant à assurer ses diverses fonctions, les modifications que tout matériau susceptible de subir lorsqu'il se trouve placé dans ses conditions normales d'utilisation.</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En conséquence, si des essais sont effectués sur des tuiles prélevés sur un ouvrage, seuls les critères géométriques peuvent être appliqués sans interprétation.</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lastRenderedPageBreak/>
              <w:t>Les autres critères ne peuvent être appliqués qu'en tenant compte des sollicitations que ces tuiles ont subies à partir de leur état initial dans lequel elles étaient tenues de satisfaire aux prescriptions de la norme.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tuiles canal et les tuiles plates font respectivement l’objet des normes NM 10.6.301 et NM 10.6.302.</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10.6.301</w:t>
            </w:r>
          </w:p>
        </w:tc>
      </w:tr>
      <w:tr w:rsidR="0043547B" w:rsidRPr="0043547B" w:rsidTr="00CB5DC0">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Tuiles - Tuiles plates de terre cuite </w:t>
            </w:r>
          </w:p>
        </w:tc>
      </w:tr>
      <w:tr w:rsidR="0043547B" w:rsidRPr="0043547B" w:rsidTr="00CB5DC0">
        <w:trPr>
          <w:trHeight w:val="701"/>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à toutes les tuiles définies à l'article 1.4.</w:t>
            </w:r>
          </w:p>
          <w:p w:rsidR="00C733D3" w:rsidRPr="0043547B" w:rsidRDefault="00C733D3" w:rsidP="00C733D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définit des caractéristiques qui, si elles sont satisfaites au moment de la livraison, permettant au produit de supporter, tout en continuant à assurer ses diverses fonctions, les modifications que tout matériau est susceptible de subir lorsqu'il se trouve placé dans ses conditions normales d'utilisation.</w:t>
            </w:r>
          </w:p>
          <w:p w:rsidR="00C733D3" w:rsidRPr="0043547B" w:rsidRDefault="00C733D3" w:rsidP="00C733D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En conséquence, si des essais sont effectués sur des tuiles prélevées sur un ouvrage, seuls les critères géométriques peuvent être appliqués sans interprétation.</w:t>
            </w:r>
          </w:p>
          <w:p w:rsidR="00C733D3" w:rsidRPr="0043547B" w:rsidRDefault="00C733D3" w:rsidP="00C733D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autres critères ne peuvent être appliqués qu'en tenant compte des sollicitations que ces tuiles ont subies à partir de leur état initial dans lequel elles étaient tenues de satisfaire aux prescriptions de la norme.</w:t>
            </w:r>
          </w:p>
          <w:p w:rsidR="00904E52" w:rsidRPr="0043547B" w:rsidRDefault="00C733D3" w:rsidP="00C733D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tuiles à emboîtement ou à glissement et les tuiles canal font respectivement l'objet des normes NM 10.6.300 et NM 10.6.302.</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10.6.302</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Tuiles – Tuiles canal de terre cuite -</w:t>
            </w:r>
          </w:p>
        </w:tc>
      </w:tr>
      <w:tr w:rsidR="0043547B" w:rsidRPr="0043547B" w:rsidTr="00CB5DC0">
        <w:trPr>
          <w:trHeight w:val="65"/>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à toutes les tuiles définies à l'article 1.4.</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définit des caractéristiques qui, si elles sont satisfaites au moment de la livraison, permettent au produit de supporter, tout en continuant à assurer ses diverses fonctions, les modifications que tout matériau est susceptible de subir lorsqu'il se trouve placé dans ses conditions normales d'utilisation.</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En conséquence, si des essais sont effectués sur des tuiles prélevées sur un ouvrage, seuls les critères géométriques peuvent être appliqués sans interprétation.</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autres critères ne peuvent être appliqués qu'en tenant compte des sollicitations que ces tuiles ont subies à partir de leur état initial dans lequel elles étaient tenues de satisfaire aux prescriptions de la norme.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tuiles à emboîtement ou à glissement et les tuiles plates font respectivement l'objet des normes NM 10.6.300 et NM 10.6.301.</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10.6.306</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1304</w:t>
            </w:r>
          </w:p>
        </w:tc>
      </w:tr>
      <w:tr w:rsidR="0043547B" w:rsidRPr="0043547B" w:rsidTr="00CB5DC0">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Tuiles de terre cuite pour pose en discontinu – Définitions et spécifications des produits </w:t>
            </w:r>
          </w:p>
        </w:tc>
      </w:tr>
      <w:tr w:rsidR="0043547B" w:rsidRPr="0043547B" w:rsidTr="00CB5DC0">
        <w:trPr>
          <w:trHeight w:val="701"/>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définit les tuiles de terre cuite et fixe les spécifications générales auxquelles sont soumises ces dernières ainsi que les règles de classification, de marquage et de contrôle de la qualité des produits.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s'applique à toutes les tuiles et accessoires tels que définis en 4.1.</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tuiles et accessoires de couverture en terre cuite qui répondent aux exigences de La norme conviennent pour l'utilisation en bardage.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critères géométriques ainsi que les critères de résistance à la flexion ne sont pas applicables aux accessoires, ni aux tuiles spéciales.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lastRenderedPageBreak/>
              <w:t>Les autres critères ne peuvent être appliqués qu'en tenant compte des sollicitations que ces tuiles ont subi à partir de leur état initial dans lequel elles étaient tenues de satisfaire aux exigences de la norme.</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10.6.700</w:t>
            </w:r>
          </w:p>
        </w:tc>
      </w:tr>
      <w:tr w:rsidR="0043547B" w:rsidRPr="0043547B" w:rsidTr="00CB5DC0">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Briques pleines ou perforés et blocs perforés en terre cuite à enduire </w:t>
            </w:r>
          </w:p>
        </w:tc>
      </w:tr>
      <w:tr w:rsidR="0043547B" w:rsidRPr="0043547B" w:rsidTr="00CB5DC0">
        <w:trPr>
          <w:trHeight w:val="987"/>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aux briques pleines ou perforées et aux blocs perforés en terre cuite, destines à être utilisés dans les ouvrages de maçonnerie courante : murs, trumeaux, allèges, cloisons, doublages, etc.</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Ne sont pas visés par La norme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les briques ou blocs dits "allégés" dont la masse volumique du tesson est inférieure à 1,4 kg/dm</w:t>
            </w:r>
            <w:r w:rsidRPr="0043547B">
              <w:rPr>
                <w:rFonts w:eastAsia="Times New Roman" w:cstheme="minorHAnsi"/>
                <w:sz w:val="24"/>
                <w:szCs w:val="24"/>
                <w:vertAlign w:val="superscript"/>
                <w:lang w:eastAsia="fr-FR"/>
              </w:rPr>
              <w:t>3</w:t>
            </w:r>
            <w:r w:rsidRPr="0043547B">
              <w:rPr>
                <w:rFonts w:eastAsia="Times New Roman" w:cstheme="minorHAnsi"/>
                <w:sz w:val="24"/>
                <w:szCs w:val="24"/>
                <w:lang w:eastAsia="fr-FR"/>
              </w:rPr>
              <w:t>,</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les briques creuses</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10.6.701</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Entre</w:t>
            </w:r>
            <w:r w:rsidR="00D336A0" w:rsidRPr="0043547B">
              <w:rPr>
                <w:rFonts w:eastAsia="Times New Roman" w:cstheme="minorHAnsi"/>
                <w:sz w:val="24"/>
                <w:szCs w:val="24"/>
                <w:lang w:eastAsia="fr-FR"/>
              </w:rPr>
              <w:t xml:space="preserve"> </w:t>
            </w:r>
            <w:r w:rsidRPr="0043547B">
              <w:rPr>
                <w:rFonts w:eastAsia="Times New Roman" w:cstheme="minorHAnsi"/>
                <w:sz w:val="24"/>
                <w:szCs w:val="24"/>
                <w:lang w:eastAsia="fr-FR"/>
              </w:rPr>
              <w:t xml:space="preserve">vous en terre cuite pour planchers à poutrelles préfabriquées </w:t>
            </w:r>
          </w:p>
        </w:tc>
      </w:tr>
      <w:tr w:rsidR="0043547B" w:rsidRPr="0043547B" w:rsidTr="00CB5DC0">
        <w:trPr>
          <w:trHeight w:val="1371"/>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3110D8"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aux entrevous en terre cuite répondant à la définition donnée ci-après à l'article 1.3 et destinés à la construction de planchers à poutrelles préfabriquées.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ne s’applique pas aux éléments de terre cuite utilisés :</w:t>
            </w:r>
          </w:p>
          <w:p w:rsidR="00D336A0" w:rsidRPr="0043547B" w:rsidRDefault="00904E52" w:rsidP="00B905D3">
            <w:pPr>
              <w:pStyle w:val="Paragraphedeliste"/>
              <w:numPr>
                <w:ilvl w:val="0"/>
                <w:numId w:val="47"/>
              </w:num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dans les planchers en béton armé à nervures et dalles coulées en œuvre,</w:t>
            </w:r>
          </w:p>
          <w:p w:rsidR="00904E52" w:rsidRPr="0043547B" w:rsidRDefault="00904E52" w:rsidP="00B905D3">
            <w:pPr>
              <w:pStyle w:val="Paragraphedeliste"/>
              <w:numPr>
                <w:ilvl w:val="0"/>
                <w:numId w:val="47"/>
              </w:num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dans la confection de poutrelles préfabriquées.</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10.6.702</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Briques en terre cuite destinées à rester apparentes </w:t>
            </w:r>
          </w:p>
        </w:tc>
      </w:tr>
      <w:tr w:rsidR="0043547B" w:rsidRPr="0043547B" w:rsidTr="00CB5DC0">
        <w:trPr>
          <w:trHeight w:val="276"/>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ne s’applique qu’aux éléments de terre cuite destinés à la réalisation des ouvrages de maçonnerie courante en élévation et dont au moins une face est destinée à rester apparente dans l’ouvrage terminé.</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s’applique aux briques courantes ainsi qu’à leurs accessoires destinés à compléter la maçonnerie.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Ne sont pas visés par la norme :</w:t>
            </w:r>
          </w:p>
          <w:p w:rsidR="00904E52" w:rsidRPr="0043547B" w:rsidRDefault="00904E52" w:rsidP="00360635">
            <w:pPr>
              <w:spacing w:after="0" w:line="240" w:lineRule="auto"/>
              <w:rPr>
                <w:rFonts w:eastAsia="Times New Roman" w:cstheme="minorHAnsi"/>
                <w:sz w:val="24"/>
                <w:szCs w:val="24"/>
                <w:lang w:eastAsia="fr-FR"/>
              </w:rPr>
            </w:pPr>
            <w:r w:rsidRPr="0043547B">
              <w:rPr>
                <w:rFonts w:eastAsia="Times New Roman" w:cstheme="minorHAnsi"/>
                <w:sz w:val="24"/>
                <w:szCs w:val="24"/>
                <w:lang w:eastAsia="fr-FR"/>
              </w:rPr>
              <w:t>—les briques dites «allégées » dont la masse volumique du tesson est inférieure à 1,4 kg/dm</w:t>
            </w:r>
            <w:r w:rsidRPr="0043547B">
              <w:rPr>
                <w:rFonts w:eastAsia="Times New Roman" w:cstheme="minorHAnsi"/>
                <w:sz w:val="24"/>
                <w:szCs w:val="24"/>
                <w:vertAlign w:val="superscript"/>
                <w:lang w:eastAsia="fr-FR"/>
              </w:rPr>
              <w:t>3</w:t>
            </w:r>
            <w:r w:rsidRPr="0043547B">
              <w:rPr>
                <w:rFonts w:eastAsia="Times New Roman" w:cstheme="minorHAnsi"/>
                <w:sz w:val="24"/>
                <w:szCs w:val="24"/>
                <w:lang w:eastAsia="fr-FR"/>
              </w:rPr>
              <w:t>,</w:t>
            </w:r>
            <w:r w:rsidRPr="0043547B">
              <w:rPr>
                <w:rFonts w:eastAsia="Times New Roman" w:cstheme="minorHAnsi"/>
                <w:sz w:val="24"/>
                <w:szCs w:val="24"/>
                <w:lang w:eastAsia="fr-FR"/>
              </w:rPr>
              <w:br/>
              <w:t>—les briques creuses,</w:t>
            </w:r>
          </w:p>
          <w:p w:rsidR="00904E52" w:rsidRPr="0043547B" w:rsidRDefault="00904E52" w:rsidP="00360635">
            <w:pPr>
              <w:spacing w:after="0" w:line="240" w:lineRule="auto"/>
              <w:rPr>
                <w:rFonts w:eastAsia="Times New Roman" w:cstheme="minorHAnsi"/>
                <w:sz w:val="24"/>
                <w:szCs w:val="24"/>
                <w:lang w:eastAsia="fr-FR"/>
              </w:rPr>
            </w:pPr>
            <w:r w:rsidRPr="0043547B">
              <w:rPr>
                <w:rFonts w:eastAsia="Times New Roman" w:cstheme="minorHAnsi"/>
                <w:sz w:val="24"/>
                <w:szCs w:val="24"/>
                <w:lang w:eastAsia="fr-FR"/>
              </w:rPr>
              <w:t>—les blocs perforés dont les dimensions permettent de réaliser toute l’épaisseur du mur avec un seul élément.</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10.6.703</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Blocs perforés en terre cuite destinées à rester apparentes </w:t>
            </w:r>
          </w:p>
        </w:tc>
      </w:tr>
      <w:tr w:rsidR="0043547B" w:rsidRPr="0043547B" w:rsidTr="00B537F5">
        <w:trPr>
          <w:trHeight w:val="701"/>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ne s'applique qu’aux éléments de terre cuite destinés à la réalisation des ouvrages de maçonnerie en élévation et dont au moins une des faces est destinée à rester apparente dans l’ouvrage terminé.</w:t>
            </w:r>
          </w:p>
          <w:p w:rsidR="00B537F5" w:rsidRDefault="00B537F5" w:rsidP="00B537F5">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s’applique aux blocs courants ainsi qu’à leurs accessoires destines à compléter la maçonnerie.</w:t>
            </w:r>
          </w:p>
          <w:p w:rsidR="00B537F5" w:rsidRPr="0043547B" w:rsidRDefault="00B537F5" w:rsidP="00B537F5">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Ne sont pas visés par la norme :</w:t>
            </w:r>
          </w:p>
          <w:p w:rsidR="00B537F5" w:rsidRPr="0043547B" w:rsidRDefault="00B537F5" w:rsidP="00B537F5">
            <w:pPr>
              <w:spacing w:after="0" w:line="240" w:lineRule="auto"/>
              <w:rPr>
                <w:rFonts w:eastAsia="Times New Roman" w:cstheme="minorHAnsi"/>
                <w:sz w:val="24"/>
                <w:szCs w:val="24"/>
                <w:lang w:eastAsia="fr-FR"/>
              </w:rPr>
            </w:pPr>
            <w:r w:rsidRPr="0043547B">
              <w:rPr>
                <w:rFonts w:eastAsia="Times New Roman" w:cstheme="minorHAnsi"/>
                <w:sz w:val="24"/>
                <w:szCs w:val="24"/>
                <w:lang w:eastAsia="fr-FR"/>
              </w:rPr>
              <w:t>— les briques ou blocs dits « allèges » dont la masse volumique du tesson est inférieure à 1,4 kg/dm</w:t>
            </w:r>
            <w:r w:rsidRPr="0043547B">
              <w:rPr>
                <w:rFonts w:eastAsia="Times New Roman" w:cstheme="minorHAnsi"/>
                <w:sz w:val="24"/>
                <w:szCs w:val="24"/>
                <w:vertAlign w:val="superscript"/>
                <w:lang w:eastAsia="fr-FR"/>
              </w:rPr>
              <w:t>3</w:t>
            </w:r>
            <w:r w:rsidRPr="0043547B">
              <w:rPr>
                <w:rFonts w:eastAsia="Times New Roman" w:cstheme="minorHAnsi"/>
                <w:sz w:val="24"/>
                <w:szCs w:val="24"/>
                <w:lang w:eastAsia="fr-FR"/>
              </w:rPr>
              <w:t>,</w:t>
            </w:r>
          </w:p>
          <w:p w:rsidR="00B537F5" w:rsidRPr="0043547B" w:rsidRDefault="00B537F5" w:rsidP="00B537F5">
            <w:pPr>
              <w:spacing w:after="0" w:line="240" w:lineRule="auto"/>
              <w:rPr>
                <w:rFonts w:eastAsia="Times New Roman" w:cstheme="minorHAnsi"/>
                <w:sz w:val="24"/>
                <w:szCs w:val="24"/>
                <w:lang w:eastAsia="fr-FR"/>
              </w:rPr>
            </w:pPr>
            <w:r w:rsidRPr="0043547B">
              <w:rPr>
                <w:rFonts w:eastAsia="Times New Roman" w:cstheme="minorHAnsi"/>
                <w:sz w:val="24"/>
                <w:szCs w:val="24"/>
                <w:lang w:eastAsia="fr-FR"/>
              </w:rPr>
              <w:t>— les briques creuses,</w:t>
            </w:r>
          </w:p>
          <w:p w:rsidR="00904E52" w:rsidRPr="0043547B" w:rsidRDefault="00B537F5" w:rsidP="00B537F5">
            <w:pPr>
              <w:spacing w:after="0" w:line="240" w:lineRule="auto"/>
              <w:rPr>
                <w:rFonts w:eastAsia="Times New Roman" w:cstheme="minorHAnsi"/>
                <w:sz w:val="24"/>
                <w:szCs w:val="24"/>
                <w:lang w:eastAsia="fr-FR"/>
              </w:rPr>
            </w:pPr>
            <w:r w:rsidRPr="0043547B">
              <w:rPr>
                <w:rFonts w:eastAsia="Times New Roman" w:cstheme="minorHAnsi"/>
                <w:sz w:val="24"/>
                <w:szCs w:val="24"/>
                <w:lang w:eastAsia="fr-FR"/>
              </w:rPr>
              <w:t xml:space="preserve">— les briques pleines destinées à rester apparentes ainsi que les briques perforées destinées à rester apparentes et dont la largeur est inférieure à 14 </w:t>
            </w:r>
            <w:r w:rsidRPr="0043547B">
              <w:rPr>
                <w:rFonts w:eastAsia="Times New Roman" w:cstheme="minorHAnsi"/>
                <w:sz w:val="24"/>
                <w:szCs w:val="24"/>
                <w:lang w:eastAsia="fr-FR"/>
              </w:rPr>
              <w:lastRenderedPageBreak/>
              <w:t>cm,</w:t>
            </w:r>
            <w:r w:rsidRPr="0043547B">
              <w:rPr>
                <w:rFonts w:eastAsia="Times New Roman" w:cstheme="minorHAnsi"/>
                <w:sz w:val="24"/>
                <w:szCs w:val="24"/>
                <w:lang w:eastAsia="fr-FR"/>
              </w:rPr>
              <w:br/>
              <w:t>— les briques pleines ou perforées et les blocs perfores à enduire</w:t>
            </w:r>
            <w:r>
              <w:rPr>
                <w:rFonts w:eastAsia="Times New Roman" w:cstheme="minorHAnsi"/>
                <w:sz w:val="24"/>
                <w:szCs w:val="24"/>
                <w:lang w:eastAsia="fr-FR"/>
              </w:rPr>
              <w:t>.</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10.6.706</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Pavés en terre cuite – Pavés en terre cuite pour sols extérieurs – Spécifications et méthodes d’essais </w:t>
            </w:r>
          </w:p>
        </w:tc>
      </w:tr>
      <w:tr w:rsidR="0043547B" w:rsidRPr="0043547B" w:rsidTr="00CB5DC0">
        <w:trPr>
          <w:trHeight w:val="1427"/>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aux éléments en terre cuite destinés à être utilisés en pavage qui seront soumis à un trafic piétonnier à usage privatif ou collectif, associé ou non à une circulation de véhicules.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s'applique aux produits courants ainsi qu'à leurs accessoires destinés à compléter l'ouvrage.</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9205</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9205</w:t>
            </w:r>
          </w:p>
        </w:tc>
      </w:tr>
      <w:tr w:rsidR="0043547B" w:rsidRPr="0043547B" w:rsidTr="00CB5DC0">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Briques réfractaires à utiliser dans les fours rotatifs - Marquage de la face chaude </w:t>
            </w:r>
          </w:p>
        </w:tc>
      </w:tr>
      <w:tr w:rsidR="0043547B" w:rsidRPr="0043547B" w:rsidTr="00CB5DC0">
        <w:trPr>
          <w:trHeight w:val="173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prescrit un système de marquage de la face de travail des briques réfractaires utilisées dans les fours rotatifs.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Cette méthode vise à fournir un moyen simple et rapide de vérifier que chaque brique a été bien montée, la partie conique étant dans la bonne direction, et à faciliter l’identification des briques dans les cercles de rotation.</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dimensions des briques sont données dans I’ISO 5417.</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5019-6</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5019-6</w:t>
            </w:r>
          </w:p>
        </w:tc>
      </w:tr>
      <w:tr w:rsidR="0043547B" w:rsidRPr="0043547B" w:rsidTr="00CB5DC0">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Briques réfractaires – Dimensions – Partie 6 : Briques basiques pour convertisseurs en oxygène </w:t>
            </w:r>
          </w:p>
        </w:tc>
      </w:tr>
      <w:tr w:rsidR="0043547B" w:rsidRPr="0043547B" w:rsidTr="00CB5DC0">
        <w:trPr>
          <w:trHeight w:val="276"/>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partie de I’ISO 5019 fixe les dimensions des briques réfractaires basiques à utiliser dans les convertisseurs à oxygène.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Pour information, le volume est calculé pour chaque format de brique et figure dans le tableau, de même que le diamètre intérieur de la garniture pour chaque format qui convient, s’il est utilisé seul. Ces diamètres ont été calculés sans tenir compte des joints.</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5417</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5417</w:t>
            </w:r>
          </w:p>
        </w:tc>
      </w:tr>
      <w:tr w:rsidR="0043547B" w:rsidRPr="0043547B" w:rsidTr="00CB5DC0">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Briques réfractaires à utiliser dans les fours rotatifs – Dimensions</w:t>
            </w:r>
          </w:p>
        </w:tc>
      </w:tr>
      <w:tr w:rsidR="0043547B" w:rsidRPr="0043547B" w:rsidTr="00CB5DC0">
        <w:trPr>
          <w:trHeight w:val="5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487753"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fixe les dimensions des briques réfractaires basiques, des briques d’argile réfractaire et des briques réfractaires à haute teneur en alumine, à utiliser dans les fours rotatifs.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n’est pas applicable aux briques spéciales de fermeture à utiliser pour compléter les cercles.</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1109</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1109</w:t>
            </w:r>
          </w:p>
        </w:tc>
      </w:tr>
      <w:tr w:rsidR="0043547B" w:rsidRPr="0043547B" w:rsidTr="00CB5DC0">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Produits réfractaires – Classification des produits réfractaires façonnés denses </w:t>
            </w:r>
          </w:p>
        </w:tc>
      </w:tr>
      <w:tr w:rsidR="0043547B" w:rsidRPr="0043547B" w:rsidTr="00CB5DC0">
        <w:trPr>
          <w:trHeight w:val="90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établit une classification des produits réfractaires façonnés denses.</w:t>
            </w:r>
            <w:r w:rsidRPr="0043547B">
              <w:rPr>
                <w:rFonts w:eastAsia="Times New Roman" w:cstheme="minorHAnsi"/>
                <w:sz w:val="24"/>
                <w:szCs w:val="24"/>
                <w:lang w:eastAsia="fr-FR"/>
              </w:rPr>
              <w:br/>
              <w:t>La terminologie utilisée est conforme B I’ISO/R 836, Vocabulaire pour I ’industrie des matériaux réfractaires.</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1927</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DFBA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DFBA9"/>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sz w:val="24"/>
                <w:szCs w:val="24"/>
                <w:lang w:eastAsia="fr-FR"/>
              </w:rPr>
              <w:t xml:space="preserve"> </w:t>
            </w:r>
            <w:r w:rsidRPr="0043547B">
              <w:rPr>
                <w:rFonts w:eastAsia="Times New Roman" w:cstheme="minorHAnsi"/>
                <w:b/>
                <w:bCs/>
                <w:sz w:val="24"/>
                <w:szCs w:val="24"/>
                <w:lang w:eastAsia="fr-FR"/>
              </w:rPr>
              <w:t>ISO 1927</w:t>
            </w:r>
          </w:p>
        </w:tc>
      </w:tr>
      <w:tr w:rsidR="0043547B" w:rsidRPr="0043547B" w:rsidTr="00CB5DC0">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Matériaux réfractaires non façonnés préparés (denses et isolants) – classification  </w:t>
            </w:r>
          </w:p>
        </w:tc>
      </w:tr>
      <w:tr w:rsidR="0043547B" w:rsidRPr="0043547B" w:rsidTr="00CB5DC0">
        <w:trPr>
          <w:trHeight w:val="987"/>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E80B3B"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établit la définition, la classification et la désignation des matériaux réfractaires non façonnés préparés (denses et isolants).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ne s'applique pas aux matériaux réfractaires qui ont simplement été broyés ou granulés.</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ISO 2245</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2245</w:t>
            </w:r>
          </w:p>
        </w:tc>
      </w:tr>
      <w:tr w:rsidR="0043547B" w:rsidRPr="0043547B" w:rsidTr="00CB5DC0">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Produits réfractaires isolants façonnés – Classification </w:t>
            </w:r>
          </w:p>
        </w:tc>
      </w:tr>
      <w:tr w:rsidR="0043547B" w:rsidRPr="0043547B" w:rsidTr="00CB5DC0">
        <w:trPr>
          <w:trHeight w:val="1268"/>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prescrit une classification des produits réfractaires isolants façonnés, basée sur la détermination de la variation permanente de dimensions (ISO 2477). Toutefois, les produits constitués principalement de fibres sont exclus de cette classification.</w:t>
            </w:r>
            <w:r w:rsidRPr="0043547B">
              <w:rPr>
                <w:rFonts w:eastAsia="Times New Roman" w:cstheme="minorHAnsi"/>
                <w:sz w:val="24"/>
                <w:szCs w:val="24"/>
                <w:lang w:eastAsia="fr-FR"/>
              </w:rPr>
              <w:br/>
              <w:t>Elle concerne les produits conformes aux critères de classification pour les produits réfractaires définis dans I’ISO 1109.</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5019-1</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5019-1</w:t>
            </w:r>
          </w:p>
        </w:tc>
      </w:tr>
      <w:tr w:rsidR="0043547B" w:rsidRPr="0043547B" w:rsidTr="00CB5DC0">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Produits réfractaires - Dimensions – Partie 1 : Briques rectangulaires </w:t>
            </w:r>
          </w:p>
        </w:tc>
      </w:tr>
      <w:tr w:rsidR="0043547B" w:rsidRPr="0043547B" w:rsidTr="00CB5DC0">
        <w:trPr>
          <w:trHeight w:val="72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partie de I’ISO 5019 fixe les dimensions de deux séries de briques rectangulaires.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Ces deux séries de briques peuvent être utilisées conjointement aux séries de briques de voûte dont les dimensions sont fixées dans I’ISO 5019/2.</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5019-2</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5019-2</w:t>
            </w:r>
          </w:p>
        </w:tc>
      </w:tr>
      <w:tr w:rsidR="0043547B" w:rsidRPr="0043547B" w:rsidTr="00CB5DC0">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Produits réfractaires - Dimensions – Partie 2 : Briques de voûte </w:t>
            </w:r>
          </w:p>
        </w:tc>
      </w:tr>
      <w:tr w:rsidR="0043547B" w:rsidRPr="0043547B" w:rsidTr="00CB5DC0">
        <w:trPr>
          <w:trHeight w:val="1093"/>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D336A0"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partie de I’ISO 5019 fixe les dimensions de deux séries de briques réfractaires de voûte, chacune avec une épaisseur moyenne constante, et d’une série de briques réfractaires de voûte avec dimension c</w:t>
            </w:r>
            <w:r w:rsidR="00D336A0" w:rsidRPr="0043547B">
              <w:rPr>
                <w:rFonts w:eastAsia="Times New Roman" w:cstheme="minorHAnsi"/>
                <w:sz w:val="24"/>
                <w:szCs w:val="24"/>
                <w:lang w:eastAsia="fr-FR"/>
              </w:rPr>
              <w:t>onstante de la face froide.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Ces séries de briques peuvent être utilisées conjointement aux deux séries de briques rectangulaires dont les dimensions sont fixées dans I’ISO 5019/1.</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10.6.817</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1806</w:t>
            </w:r>
          </w:p>
        </w:tc>
      </w:tr>
      <w:tr w:rsidR="0043547B" w:rsidRPr="0043547B" w:rsidTr="00CB5DC0">
        <w:trPr>
          <w:trHeight w:val="6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Conduits de fumée - Boisseaux en terre cuite-céramique pour conduits de fumée simple paroi – Exigences et méthodes d’essais </w:t>
            </w:r>
          </w:p>
        </w:tc>
      </w:tr>
      <w:tr w:rsidR="0043547B" w:rsidRPr="0043547B" w:rsidTr="00CB5DC0">
        <w:trPr>
          <w:trHeight w:val="270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exigences concernant les boisseaux en terre cuite/céramique munis de parois pleines ou de parois à alvéoles verticales, y compris les boisseaux harpés ou non et leurs accessoires. Les boisseaux non liants qui présentent une isolation dans les alvéoles verticales ou fixée sur les parois extérieures sont également couverts par la norme. La norme spécifie les prescriptions de performance des boisseaux fabriqués en usine. Ils entrent dans la construction des conduits de fumée simples parois destinées à évacuer dans l'atmosphère, sous une pression négative, les produits de combustion produits par les cheminées ou les générateurs de chaleur. Cette norme comprend les composants à usage domestique et les conduits de fumée industriels qui ne sont pas structurellement indépendants (autostables). Les exigences d'essais, de marquage et de contrôle sont couvertes par la norme.</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5019-3</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 xml:space="preserve"> ISO 5019-3</w:t>
            </w:r>
          </w:p>
        </w:tc>
      </w:tr>
      <w:tr w:rsidR="0043547B" w:rsidRPr="0043547B" w:rsidTr="00CB5DC0">
        <w:trPr>
          <w:trHeight w:val="6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Briques réfractaires – Dimensions – Partie 3 : Briques d’empilage à faces rectangulaires pour les fours de régénération </w:t>
            </w:r>
          </w:p>
        </w:tc>
      </w:tr>
      <w:tr w:rsidR="0043547B" w:rsidRPr="0043547B" w:rsidTr="00CB5DC0">
        <w:trPr>
          <w:trHeight w:val="686"/>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partie de I’ISO 5019 fixe les dimensions des briques d’empilage à faces rectangulaires pour les fours de régénération.</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5019-4</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 xml:space="preserve"> ISO 5019-4</w:t>
            </w:r>
          </w:p>
        </w:tc>
      </w:tr>
      <w:tr w:rsidR="0043547B" w:rsidRPr="0043547B" w:rsidTr="00CB5DC0">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Briques réfractaires – Dimensions – Partie 4 : Briques de voûte pour fours électriques </w:t>
            </w:r>
          </w:p>
        </w:tc>
      </w:tr>
      <w:tr w:rsidR="0043547B" w:rsidRPr="0043547B" w:rsidTr="00CB5DC0">
        <w:trPr>
          <w:trHeight w:val="1193"/>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partie de I'ISO 5019 fixe les dimensions des briques réfractaires à utiliser dans les voûtes de fours électriques.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En annexe, sont données, uniquement à titre d'information, les dimensions de briques spéciales également utilisées pour la construction de ces fours.</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5019-5</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 xml:space="preserve"> ISO 5019-5</w:t>
            </w:r>
          </w:p>
        </w:tc>
      </w:tr>
      <w:tr w:rsidR="0043547B" w:rsidRPr="0043547B" w:rsidTr="00CB5DC0">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Briques réfractaires – Dimensions – Partie 5 : Sommiers </w:t>
            </w:r>
          </w:p>
        </w:tc>
      </w:tr>
      <w:tr w:rsidR="0043547B" w:rsidRPr="0043547B" w:rsidTr="00CB5DC0">
        <w:trPr>
          <w:trHeight w:val="1234"/>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1 .l La partie de I’ISO 5019 fixe les dimensions de deux sommiers : un à utiliser avec les briques d’une hauteur de 64 mm et l’autre avec les briques d’une hauteur de 76 mm.</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1.2 Ces sommiers sont utilisés conjointement aux séries correspondantes de briques de voûte dont les dimensions sont fixées dans I’ISO 5019/2.</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10080</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10080</w:t>
            </w:r>
          </w:p>
        </w:tc>
      </w:tr>
      <w:tr w:rsidR="0043547B" w:rsidRPr="0043547B" w:rsidTr="00CB5DC0">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Produits réfractaires – Classification des produits façonnés denses résistant à l’acide </w:t>
            </w:r>
          </w:p>
        </w:tc>
      </w:tr>
      <w:tr w:rsidR="0043547B" w:rsidRPr="0043547B" w:rsidTr="00CB5DC0">
        <w:trPr>
          <w:trHeight w:val="1129"/>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3F409D" w:rsidRDefault="00904E52" w:rsidP="003F409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prescrit la classification des produits réfractaires façonnés denses résistant à l’acide.</w:t>
            </w:r>
          </w:p>
          <w:p w:rsidR="00904E52" w:rsidRPr="0043547B" w:rsidRDefault="00904E52" w:rsidP="003F409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concerne les produits conformes aux critères de classification des produits réfractaires définis dans I’ISO 1109.</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10081-1</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DFBA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DFBA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10081-1</w:t>
            </w:r>
          </w:p>
        </w:tc>
      </w:tr>
      <w:tr w:rsidR="0043547B" w:rsidRPr="0043547B" w:rsidTr="00CB5DC0">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Produits réfractaires basiques – Classification – Partie 1 : Produits contenant moins de    7 % de carbone résiduel </w:t>
            </w:r>
          </w:p>
        </w:tc>
      </w:tr>
      <w:tr w:rsidR="0043547B" w:rsidRPr="0043547B" w:rsidTr="00CB5DC0">
        <w:trPr>
          <w:trHeight w:val="141"/>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partie de I’ISO 10081 prescrit la classification et la désignation des produits réfractaires basiques. Toutefois, les produits dont la teneur en carbone résiduel est supérieure ou égale à 7 % sont exclus de cette classification. Elle s’applique aux produits façonnés denses, avec ou sans plaques de métal et armature.</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10.6.855</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Produits réfractaires – Dimensions des briques « Coins » </w:t>
            </w:r>
          </w:p>
        </w:tc>
      </w:tr>
      <w:tr w:rsidR="0043547B" w:rsidRPr="0043547B" w:rsidTr="00273ED5">
        <w:trPr>
          <w:trHeight w:val="559"/>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240183" w:rsidRPr="0043547B" w:rsidRDefault="00904E52" w:rsidP="00904E52">
            <w:pPr>
              <w:spacing w:after="0"/>
              <w:jc w:val="center"/>
              <w:rPr>
                <w:rFonts w:cstheme="minorHAnsi"/>
                <w:b/>
                <w:bCs/>
                <w:sz w:val="24"/>
                <w:szCs w:val="24"/>
              </w:rPr>
            </w:pPr>
            <w:r w:rsidRPr="0043547B">
              <w:rPr>
                <w:rFonts w:cstheme="minorHAnsi"/>
                <w:b/>
                <w:bCs/>
                <w:sz w:val="24"/>
                <w:szCs w:val="24"/>
              </w:rPr>
              <w:t>Domain</w:t>
            </w:r>
          </w:p>
          <w:p w:rsidR="00904E52" w:rsidRPr="0043547B" w:rsidRDefault="00904E52" w:rsidP="00904E52">
            <w:pPr>
              <w:spacing w:after="0"/>
              <w:jc w:val="center"/>
              <w:rPr>
                <w:rFonts w:cstheme="minorHAnsi"/>
                <w:b/>
                <w:bCs/>
                <w:sz w:val="24"/>
                <w:szCs w:val="24"/>
              </w:rPr>
            </w:pPr>
            <w:r w:rsidRPr="0043547B">
              <w:rPr>
                <w:rFonts w:cstheme="minorHAnsi"/>
                <w:b/>
                <w:bCs/>
                <w:sz w:val="24"/>
                <w:szCs w:val="24"/>
              </w:rPr>
              <w:t>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a été établie en vue d'unifier les dimensions de deux séries de briques réfractaires dites « coins » et de susciter leur fabrication en grande série.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Ces deux séries de briques comportent :</w:t>
            </w:r>
          </w:p>
          <w:p w:rsidR="00273ED5" w:rsidRPr="0043547B" w:rsidRDefault="00904E52" w:rsidP="00273ED5">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 </w:t>
            </w:r>
            <w:r w:rsidR="00273ED5" w:rsidRPr="0043547B">
              <w:rPr>
                <w:rFonts w:eastAsia="Times New Roman" w:cstheme="minorHAnsi"/>
                <w:sz w:val="24"/>
                <w:szCs w:val="24"/>
                <w:lang w:eastAsia="fr-FR"/>
              </w:rPr>
              <w:t>une série A, dérivant du format de base : 230 mm X 114 mm X 64 mm, qui a été retenue dans La norme ISO 501 9/2. Les coins de cette série sont caractérisés par une épaisseur moyenne constante et égale à 64 mm,</w:t>
            </w:r>
          </w:p>
          <w:p w:rsidR="00904E52" w:rsidRPr="0043547B" w:rsidRDefault="00273ED5" w:rsidP="00273ED5">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lastRenderedPageBreak/>
              <w:t>- une série B, dérivant du format de base : 220 mm X 110 mm X 60 mm. Les coins de cette série sont caractérisés par un extrados constant et égal à 60 mm.</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10.6.856</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Produits réfractaires – Dimensions des briques « Couteaux » </w:t>
            </w:r>
          </w:p>
        </w:tc>
      </w:tr>
      <w:tr w:rsidR="0043547B" w:rsidRPr="0043547B" w:rsidTr="00CB5DC0">
        <w:trPr>
          <w:trHeight w:val="1843"/>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a été établie en vue d'unifier les dimensions de deux séries de briques réfractaires dites « couteaux» et de susciter leur fabrication en grande série.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Ces deux séries de briques comportent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une série A, dérivant du format de base : 230 mm X 114 mm X 64 mm, qui a été retenue dans La norme 5019</w:t>
            </w:r>
            <w:r w:rsidR="00BB21F6" w:rsidRPr="0043547B">
              <w:rPr>
                <w:rFonts w:eastAsia="Times New Roman" w:cstheme="minorHAnsi"/>
                <w:sz w:val="24"/>
                <w:szCs w:val="24"/>
                <w:lang w:eastAsia="fr-FR"/>
              </w:rPr>
              <w:t xml:space="preserve"> -</w:t>
            </w:r>
            <w:r w:rsidRPr="0043547B">
              <w:rPr>
                <w:rFonts w:eastAsia="Times New Roman" w:cstheme="minorHAnsi"/>
                <w:sz w:val="24"/>
                <w:szCs w:val="24"/>
                <w:lang w:eastAsia="fr-FR"/>
              </w:rPr>
              <w:t xml:space="preserve"> Partie 2. Les couteaux de cette série sont caractérisés par une épaisseur moyenne constante et égale à 64 </w:t>
            </w:r>
            <w:r w:rsidR="00D336A0" w:rsidRPr="0043547B">
              <w:rPr>
                <w:rFonts w:eastAsia="Times New Roman" w:cstheme="minorHAnsi"/>
                <w:sz w:val="24"/>
                <w:szCs w:val="24"/>
                <w:lang w:eastAsia="fr-FR"/>
              </w:rPr>
              <w:t>mm.</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une série B, dérivant du format de base : 220 mm X 110 mm X 60 mm. Les couteaux de cette série sont caractérisés par un extrados constant et égal à 60 mm.</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10.6.857</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Produits réfractaires – Dimensions des briques de poche d’aciérie ou de fonderie </w:t>
            </w:r>
          </w:p>
        </w:tc>
      </w:tr>
      <w:tr w:rsidR="0043547B" w:rsidRPr="0043547B" w:rsidTr="00CB5DC0">
        <w:trPr>
          <w:trHeight w:val="85"/>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a pour objet de définir les dimensions des couteaux et briques rectangulaires de poche d'aciérie ou de fonderie.</w:t>
            </w:r>
          </w:p>
        </w:tc>
      </w:tr>
      <w:tr w:rsidR="0043547B" w:rsidRPr="0043547B" w:rsidTr="00CB5DC0">
        <w:trPr>
          <w:trHeight w:val="3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10.6.858</w:t>
            </w:r>
          </w:p>
        </w:tc>
      </w:tr>
      <w:tr w:rsidR="0043547B" w:rsidRPr="0043547B" w:rsidTr="00CB5DC0">
        <w:trPr>
          <w:trHeight w:val="3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Produits réfractaires – Dimensions des briques d’empilage pour four de verrerie </w:t>
            </w:r>
          </w:p>
        </w:tc>
      </w:tr>
      <w:tr w:rsidR="0043547B" w:rsidRPr="0043547B" w:rsidTr="00CB5DC0">
        <w:trPr>
          <w:trHeight w:val="330"/>
          <w:jc w:val="center"/>
        </w:trPr>
        <w:tc>
          <w:tcPr>
            <w:tcW w:w="1838" w:type="dxa"/>
            <w:tcBorders>
              <w:top w:val="nil"/>
              <w:left w:val="single" w:sz="18" w:space="0" w:color="auto"/>
              <w:bottom w:val="nil"/>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nil"/>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a pour objet de définir les dimensions des briques d'empilage pour four de verrerie.</w:t>
            </w:r>
          </w:p>
        </w:tc>
      </w:tr>
      <w:tr w:rsidR="0043547B" w:rsidRPr="0043547B" w:rsidTr="00CB5DC0">
        <w:trPr>
          <w:trHeight w:val="3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C733D3" w:rsidRPr="0043547B" w:rsidRDefault="00C733D3" w:rsidP="00766714">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C733D3" w:rsidRPr="0043547B" w:rsidRDefault="00C733D3" w:rsidP="00C733D3">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EN 13063-1</w:t>
            </w:r>
          </w:p>
        </w:tc>
      </w:tr>
      <w:tr w:rsidR="0043547B" w:rsidRPr="0043547B" w:rsidTr="00CB5DC0">
        <w:trPr>
          <w:trHeight w:val="330"/>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tcPr>
          <w:p w:rsidR="001A4108" w:rsidRPr="0043547B" w:rsidRDefault="001A4108" w:rsidP="00BB21F6">
            <w:pPr>
              <w:spacing w:after="0"/>
              <w:jc w:val="center"/>
              <w:rPr>
                <w:rFonts w:cstheme="minorHAnsi"/>
                <w:b/>
                <w:bCs/>
                <w:sz w:val="24"/>
                <w:szCs w:val="24"/>
              </w:rPr>
            </w:pPr>
            <w:bookmarkStart w:id="24" w:name="_Toc458606081"/>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tcPr>
          <w:p w:rsidR="001A4108" w:rsidRPr="0043547B" w:rsidRDefault="001A4108" w:rsidP="00BB21F6">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13063-1</w:t>
            </w:r>
          </w:p>
        </w:tc>
      </w:tr>
      <w:tr w:rsidR="0043547B" w:rsidRPr="0043547B" w:rsidTr="00CB5DC0">
        <w:trPr>
          <w:trHeight w:val="330"/>
          <w:jc w:val="center"/>
        </w:trPr>
        <w:tc>
          <w:tcPr>
            <w:tcW w:w="1838" w:type="dxa"/>
            <w:tcBorders>
              <w:top w:val="single" w:sz="4" w:space="0" w:color="auto"/>
              <w:left w:val="single" w:sz="18" w:space="0" w:color="auto"/>
              <w:bottom w:val="single" w:sz="4" w:space="0" w:color="auto"/>
              <w:right w:val="single" w:sz="4" w:space="0" w:color="auto"/>
            </w:tcBorders>
            <w:shd w:val="clear" w:color="auto" w:fill="95B3D7" w:themeFill="accent1" w:themeFillTint="99"/>
            <w:vAlign w:val="center"/>
          </w:tcPr>
          <w:p w:rsidR="001A4108" w:rsidRPr="0043547B" w:rsidRDefault="001A4108" w:rsidP="00BB21F6">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auto"/>
            <w:vAlign w:val="center"/>
          </w:tcPr>
          <w:p w:rsidR="001A4108" w:rsidRPr="0043547B" w:rsidRDefault="001A4108" w:rsidP="009B2690">
            <w:pPr>
              <w:spacing w:after="0" w:line="240" w:lineRule="auto"/>
              <w:rPr>
                <w:rFonts w:eastAsia="Times New Roman" w:cstheme="minorHAnsi"/>
                <w:sz w:val="24"/>
                <w:szCs w:val="24"/>
                <w:lang w:eastAsia="fr-FR"/>
              </w:rPr>
            </w:pPr>
            <w:r w:rsidRPr="0043547B">
              <w:rPr>
                <w:rFonts w:eastAsia="Times New Roman" w:cstheme="minorHAnsi"/>
                <w:sz w:val="24"/>
                <w:szCs w:val="24"/>
                <w:lang w:eastAsia="fr-FR"/>
              </w:rPr>
              <w:t xml:space="preserve">Conduits de fumées - Conduits-systèmes avec conduit intérieur en terre cuite/céramique - Partie 1 : Exigences et méthodes d'essai relatives à la détermination de la résistance au feu de cheminée </w:t>
            </w:r>
          </w:p>
        </w:tc>
      </w:tr>
      <w:tr w:rsidR="0043547B" w:rsidRPr="0043547B" w:rsidTr="00CB5DC0">
        <w:trPr>
          <w:trHeight w:val="330"/>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1A4108" w:rsidRPr="0043547B" w:rsidRDefault="001A4108" w:rsidP="00BB21F6">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center"/>
          </w:tcPr>
          <w:p w:rsidR="003F409D" w:rsidRDefault="001A4108" w:rsidP="003F409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européenne spécifie les exigences et les méthodes d'essai applicables aux conduits-systèmes</w:t>
            </w:r>
            <w:r w:rsidR="00BB21F6" w:rsidRPr="0043547B">
              <w:rPr>
                <w:rFonts w:eastAsia="Times New Roman" w:cstheme="minorHAnsi"/>
                <w:sz w:val="24"/>
                <w:szCs w:val="24"/>
                <w:lang w:eastAsia="fr-FR"/>
              </w:rPr>
              <w:t xml:space="preserve"> </w:t>
            </w:r>
            <w:r w:rsidRPr="0043547B">
              <w:rPr>
                <w:rFonts w:eastAsia="Times New Roman" w:cstheme="minorHAnsi"/>
                <w:sz w:val="24"/>
                <w:szCs w:val="24"/>
                <w:lang w:eastAsia="fr-FR"/>
              </w:rPr>
              <w:t>multienveloppes résistant au feu de cheminée, fonctionnant en condition sèche, avec une classe de résistance à la</w:t>
            </w:r>
            <w:r w:rsidRPr="0043547B">
              <w:rPr>
                <w:rFonts w:eastAsia="Times New Roman" w:cstheme="minorHAnsi"/>
                <w:sz w:val="24"/>
                <w:szCs w:val="24"/>
                <w:lang w:eastAsia="fr-FR"/>
              </w:rPr>
              <w:br/>
              <w:t>corrosion de 3, en pression négative (voir EN 1443), dans lesquels les produits de combustion sont acheminés vers</w:t>
            </w:r>
            <w:r w:rsidR="00BB21F6" w:rsidRPr="0043547B">
              <w:rPr>
                <w:rFonts w:eastAsia="Times New Roman" w:cstheme="minorHAnsi"/>
                <w:sz w:val="24"/>
                <w:szCs w:val="24"/>
                <w:lang w:eastAsia="fr-FR"/>
              </w:rPr>
              <w:t xml:space="preserve"> </w:t>
            </w:r>
            <w:r w:rsidRPr="0043547B">
              <w:rPr>
                <w:rFonts w:eastAsia="Times New Roman" w:cstheme="minorHAnsi"/>
                <w:sz w:val="24"/>
                <w:szCs w:val="24"/>
                <w:lang w:eastAsia="fr-FR"/>
              </w:rPr>
              <w:t>l'atmosphère via des conduits intérieurs en terre cuite/céramique. La présente norme concerne également le</w:t>
            </w:r>
            <w:r w:rsidR="00BB21F6" w:rsidRPr="0043547B">
              <w:rPr>
                <w:rFonts w:eastAsia="Times New Roman" w:cstheme="minorHAnsi"/>
                <w:sz w:val="24"/>
                <w:szCs w:val="24"/>
                <w:lang w:eastAsia="fr-FR"/>
              </w:rPr>
              <w:t xml:space="preserve"> </w:t>
            </w:r>
            <w:r w:rsidRPr="0043547B">
              <w:rPr>
                <w:rFonts w:eastAsia="Times New Roman" w:cstheme="minorHAnsi"/>
                <w:sz w:val="24"/>
                <w:szCs w:val="24"/>
                <w:lang w:eastAsia="fr-FR"/>
              </w:rPr>
              <w:t>marquage et le contrôle.</w:t>
            </w:r>
          </w:p>
          <w:p w:rsidR="00BB21F6" w:rsidRPr="0043547B" w:rsidRDefault="001A4108" w:rsidP="003F409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ne s'applique pas aux conduits-systèmes structurellement indépendants (autoporteurs</w:t>
            </w:r>
            <w:r w:rsidR="00BB21F6" w:rsidRPr="0043547B">
              <w:rPr>
                <w:rFonts w:eastAsia="Times New Roman" w:cstheme="minorHAnsi"/>
                <w:sz w:val="24"/>
                <w:szCs w:val="24"/>
                <w:lang w:eastAsia="fr-FR"/>
              </w:rPr>
              <w:t xml:space="preserve"> </w:t>
            </w:r>
            <w:r w:rsidRPr="0043547B">
              <w:rPr>
                <w:rFonts w:eastAsia="Times New Roman" w:cstheme="minorHAnsi"/>
                <w:sz w:val="24"/>
                <w:szCs w:val="24"/>
                <w:lang w:eastAsia="fr-FR"/>
              </w:rPr>
              <w:t>ou autonomes).</w:t>
            </w:r>
          </w:p>
          <w:p w:rsidR="00BB21F6" w:rsidRPr="0043547B" w:rsidRDefault="001A4108" w:rsidP="00BB21F6">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Un conduit-système résistant au feu de cheminée se compose des éléments suivants, selon le cas :</w:t>
            </w:r>
          </w:p>
          <w:p w:rsidR="001A4108" w:rsidRPr="0043547B" w:rsidRDefault="001A4108" w:rsidP="00240183">
            <w:pPr>
              <w:spacing w:after="0" w:line="240" w:lineRule="auto"/>
              <w:rPr>
                <w:rFonts w:eastAsia="Times New Roman" w:cstheme="minorHAnsi"/>
                <w:sz w:val="24"/>
                <w:szCs w:val="24"/>
                <w:lang w:eastAsia="fr-FR"/>
              </w:rPr>
            </w:pPr>
            <w:r w:rsidRPr="0043547B">
              <w:rPr>
                <w:rFonts w:eastAsia="Times New Roman" w:cstheme="minorHAnsi"/>
                <w:sz w:val="24"/>
                <w:szCs w:val="24"/>
                <w:lang w:eastAsia="fr-FR"/>
              </w:rPr>
              <w:t>— un conduit intérieur en terre cuite/céramique ;</w:t>
            </w:r>
            <w:r w:rsidRPr="0043547B">
              <w:rPr>
                <w:rFonts w:eastAsia="Times New Roman" w:cstheme="minorHAnsi"/>
                <w:sz w:val="24"/>
                <w:szCs w:val="24"/>
                <w:lang w:eastAsia="fr-FR"/>
              </w:rPr>
              <w:br/>
              <w:t>— une couche d'isolant ;</w:t>
            </w:r>
            <w:r w:rsidRPr="0043547B">
              <w:rPr>
                <w:rFonts w:eastAsia="Times New Roman" w:cstheme="minorHAnsi"/>
                <w:sz w:val="24"/>
                <w:szCs w:val="24"/>
                <w:lang w:eastAsia="fr-FR"/>
              </w:rPr>
              <w:br/>
              <w:t>— des enveloppes extérieures ;</w:t>
            </w:r>
            <w:r w:rsidRPr="0043547B">
              <w:rPr>
                <w:rFonts w:eastAsia="Times New Roman" w:cstheme="minorHAnsi"/>
                <w:sz w:val="24"/>
                <w:szCs w:val="24"/>
                <w:lang w:eastAsia="fr-FR"/>
              </w:rPr>
              <w:br/>
              <w:t>— du mortier pour jointoyer les conduits intérieurs ;</w:t>
            </w:r>
            <w:r w:rsidRPr="0043547B">
              <w:rPr>
                <w:rFonts w:eastAsia="Times New Roman" w:cstheme="minorHAnsi"/>
                <w:sz w:val="24"/>
                <w:szCs w:val="24"/>
                <w:lang w:eastAsia="fr-FR"/>
              </w:rPr>
              <w:br/>
              <w:t>— du mortier pour jointoyer les enveloppes extérieures ;</w:t>
            </w:r>
            <w:r w:rsidRPr="0043547B">
              <w:rPr>
                <w:rFonts w:eastAsia="Times New Roman" w:cstheme="minorHAnsi"/>
                <w:sz w:val="24"/>
                <w:szCs w:val="24"/>
                <w:lang w:eastAsia="fr-FR"/>
              </w:rPr>
              <w:br/>
              <w:t>— un terminal ;</w:t>
            </w:r>
            <w:r w:rsidRPr="0043547B">
              <w:rPr>
                <w:rFonts w:eastAsia="Times New Roman" w:cstheme="minorHAnsi"/>
                <w:sz w:val="24"/>
                <w:szCs w:val="24"/>
                <w:lang w:eastAsia="fr-FR"/>
              </w:rPr>
              <w:br/>
              <w:t>— une base ;</w:t>
            </w:r>
            <w:r w:rsidRPr="0043547B">
              <w:rPr>
                <w:rFonts w:eastAsia="Times New Roman" w:cstheme="minorHAnsi"/>
                <w:sz w:val="24"/>
                <w:szCs w:val="24"/>
                <w:lang w:eastAsia="fr-FR"/>
              </w:rPr>
              <w:br/>
              <w:t>— un habillage ;</w:t>
            </w:r>
            <w:r w:rsidRPr="0043547B">
              <w:rPr>
                <w:rFonts w:eastAsia="Times New Roman" w:cstheme="minorHAnsi"/>
                <w:sz w:val="24"/>
                <w:szCs w:val="24"/>
                <w:lang w:eastAsia="fr-FR"/>
              </w:rPr>
              <w:br/>
              <w:t>— une ouverture ;</w:t>
            </w:r>
            <w:r w:rsidRPr="0043547B">
              <w:rPr>
                <w:rFonts w:eastAsia="Times New Roman" w:cstheme="minorHAnsi"/>
                <w:sz w:val="24"/>
                <w:szCs w:val="24"/>
                <w:lang w:eastAsia="fr-FR"/>
              </w:rPr>
              <w:br/>
            </w:r>
            <w:r w:rsidRPr="0043547B">
              <w:rPr>
                <w:rFonts w:eastAsia="Times New Roman" w:cstheme="minorHAnsi"/>
                <w:sz w:val="24"/>
                <w:szCs w:val="24"/>
                <w:lang w:eastAsia="fr-FR"/>
              </w:rPr>
              <w:lastRenderedPageBreak/>
              <w:t>— une trappe de nettoyage et de visite ;</w:t>
            </w:r>
            <w:r w:rsidRPr="0043547B">
              <w:rPr>
                <w:rFonts w:eastAsia="Times New Roman" w:cstheme="minorHAnsi"/>
                <w:sz w:val="24"/>
                <w:szCs w:val="24"/>
                <w:lang w:eastAsia="fr-FR"/>
              </w:rPr>
              <w:br/>
              <w:t>— une entretoise ;</w:t>
            </w:r>
            <w:r w:rsidRPr="0043547B">
              <w:rPr>
                <w:rFonts w:eastAsia="Times New Roman" w:cstheme="minorHAnsi"/>
                <w:sz w:val="24"/>
                <w:szCs w:val="24"/>
                <w:lang w:eastAsia="fr-FR"/>
              </w:rPr>
              <w:br/>
              <w:t>— une armature.</w:t>
            </w:r>
            <w:r w:rsidRPr="0043547B">
              <w:rPr>
                <w:rFonts w:eastAsia="Times New Roman" w:cstheme="minorHAnsi"/>
                <w:sz w:val="24"/>
                <w:szCs w:val="24"/>
                <w:lang w:eastAsia="fr-FR"/>
              </w:rPr>
              <w:br/>
              <w:t>Le conduit de fumée résistant au feu de cheminée englobe un ensemble d'éléments compatibles, fournis ou</w:t>
            </w:r>
            <w:r w:rsidR="00240183" w:rsidRPr="0043547B">
              <w:rPr>
                <w:rFonts w:eastAsia="Times New Roman" w:cstheme="minorHAnsi"/>
                <w:sz w:val="24"/>
                <w:szCs w:val="24"/>
                <w:lang w:eastAsia="fr-FR"/>
              </w:rPr>
              <w:t xml:space="preserve"> </w:t>
            </w:r>
            <w:r w:rsidRPr="0043547B">
              <w:rPr>
                <w:rFonts w:eastAsia="Times New Roman" w:cstheme="minorHAnsi"/>
                <w:sz w:val="24"/>
                <w:szCs w:val="24"/>
                <w:lang w:eastAsia="fr-FR"/>
              </w:rPr>
              <w:t>conseillés par un fabricant assumant la responsabilité du produit pour le conduit de fumée dans son intégralité.</w:t>
            </w:r>
          </w:p>
        </w:tc>
      </w:tr>
      <w:tr w:rsidR="00273ED5" w:rsidRPr="0043547B" w:rsidTr="00273ED5">
        <w:trPr>
          <w:trHeight w:val="330"/>
          <w:jc w:val="center"/>
        </w:trPr>
        <w:tc>
          <w:tcPr>
            <w:tcW w:w="1838" w:type="dxa"/>
            <w:tcBorders>
              <w:top w:val="single" w:sz="18" w:space="0" w:color="auto"/>
              <w:left w:val="single" w:sz="18" w:space="0" w:color="auto"/>
              <w:bottom w:val="single" w:sz="18" w:space="0" w:color="auto"/>
              <w:right w:val="single" w:sz="4" w:space="0" w:color="auto"/>
            </w:tcBorders>
            <w:shd w:val="clear" w:color="auto" w:fill="D6E3BC" w:themeFill="accent3" w:themeFillTint="66"/>
            <w:vAlign w:val="center"/>
          </w:tcPr>
          <w:p w:rsidR="00273ED5" w:rsidRPr="0043547B" w:rsidRDefault="00273ED5" w:rsidP="00273ED5">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4" w:space="0" w:color="auto"/>
              <w:left w:val="single" w:sz="4" w:space="0" w:color="auto"/>
              <w:bottom w:val="single" w:sz="18" w:space="0" w:color="auto"/>
              <w:right w:val="single" w:sz="18" w:space="0" w:color="auto"/>
            </w:tcBorders>
            <w:shd w:val="clear" w:color="auto" w:fill="D6E3BC" w:themeFill="accent3" w:themeFillTint="66"/>
          </w:tcPr>
          <w:p w:rsidR="00273ED5" w:rsidRPr="00273ED5" w:rsidRDefault="00273ED5" w:rsidP="00273ED5">
            <w:pPr>
              <w:spacing w:after="0" w:line="240" w:lineRule="auto"/>
              <w:jc w:val="center"/>
              <w:rPr>
                <w:rFonts w:ascii="Calibri" w:hAnsi="Calibri" w:cs="Calibri"/>
                <w:b/>
                <w:bCs/>
                <w:sz w:val="24"/>
                <w:szCs w:val="24"/>
              </w:rPr>
            </w:pPr>
            <w:r w:rsidRPr="00273ED5">
              <w:rPr>
                <w:rFonts w:ascii="Calibri" w:hAnsi="Calibri" w:cs="Calibri"/>
                <w:b/>
                <w:bCs/>
                <w:sz w:val="24"/>
                <w:szCs w:val="24"/>
              </w:rPr>
              <w:t>NM EN 13285</w:t>
            </w:r>
          </w:p>
        </w:tc>
      </w:tr>
      <w:tr w:rsidR="00273ED5" w:rsidRPr="0043547B" w:rsidTr="00273ED5">
        <w:trPr>
          <w:trHeight w:val="330"/>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tcPr>
          <w:p w:rsidR="00273ED5" w:rsidRPr="0043547B" w:rsidRDefault="00273ED5" w:rsidP="00273ED5">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4" w:space="0" w:color="auto"/>
              <w:left w:val="single" w:sz="4" w:space="0" w:color="auto"/>
              <w:bottom w:val="single" w:sz="18" w:space="0" w:color="auto"/>
              <w:right w:val="single" w:sz="18" w:space="0" w:color="auto"/>
            </w:tcBorders>
            <w:shd w:val="clear" w:color="auto" w:fill="FFFF99"/>
            <w:vAlign w:val="center"/>
          </w:tcPr>
          <w:p w:rsidR="00273ED5" w:rsidRPr="00273ED5" w:rsidRDefault="00273ED5" w:rsidP="00273ED5">
            <w:pPr>
              <w:spacing w:after="0" w:line="240" w:lineRule="auto"/>
              <w:jc w:val="center"/>
              <w:rPr>
                <w:rFonts w:ascii="Calibri" w:hAnsi="Calibri" w:cs="Calibri"/>
                <w:b/>
                <w:bCs/>
                <w:sz w:val="24"/>
                <w:szCs w:val="24"/>
              </w:rPr>
            </w:pPr>
            <w:r w:rsidRPr="00273ED5">
              <w:rPr>
                <w:rFonts w:ascii="Calibri" w:hAnsi="Calibri" w:cs="Calibri"/>
                <w:b/>
                <w:bCs/>
                <w:sz w:val="24"/>
                <w:szCs w:val="24"/>
              </w:rPr>
              <w:t>EN 13285</w:t>
            </w:r>
          </w:p>
        </w:tc>
      </w:tr>
      <w:tr w:rsidR="00273ED5" w:rsidRPr="0043547B" w:rsidTr="00273ED5">
        <w:trPr>
          <w:trHeight w:val="330"/>
          <w:jc w:val="center"/>
        </w:trPr>
        <w:tc>
          <w:tcPr>
            <w:tcW w:w="1838" w:type="dxa"/>
            <w:tcBorders>
              <w:top w:val="single" w:sz="4" w:space="0" w:color="auto"/>
              <w:left w:val="single" w:sz="18" w:space="0" w:color="auto"/>
              <w:bottom w:val="single" w:sz="4" w:space="0" w:color="auto"/>
              <w:right w:val="single" w:sz="4" w:space="0" w:color="auto"/>
            </w:tcBorders>
            <w:shd w:val="clear" w:color="auto" w:fill="95B3D7" w:themeFill="accent1" w:themeFillTint="99"/>
            <w:vAlign w:val="center"/>
          </w:tcPr>
          <w:p w:rsidR="00273ED5" w:rsidRPr="0043547B" w:rsidRDefault="00273ED5" w:rsidP="00273ED5">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auto"/>
          </w:tcPr>
          <w:p w:rsidR="00273ED5" w:rsidRDefault="00273ED5" w:rsidP="00273ED5">
            <w:pPr>
              <w:jc w:val="both"/>
              <w:rPr>
                <w:rFonts w:ascii="Calibri" w:hAnsi="Calibri" w:cs="Calibri"/>
              </w:rPr>
            </w:pPr>
            <w:r>
              <w:rPr>
                <w:rFonts w:ascii="Calibri" w:hAnsi="Calibri" w:cs="Calibri"/>
              </w:rPr>
              <w:t xml:space="preserve">Graves non traitées - Spécifications </w:t>
            </w:r>
          </w:p>
        </w:tc>
      </w:tr>
      <w:tr w:rsidR="00273ED5" w:rsidRPr="0043547B" w:rsidTr="00273ED5">
        <w:trPr>
          <w:trHeight w:val="330"/>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273ED5" w:rsidRPr="0043547B" w:rsidRDefault="00273ED5" w:rsidP="00273ED5">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bottom"/>
          </w:tcPr>
          <w:p w:rsidR="00273ED5" w:rsidRDefault="00273ED5" w:rsidP="00273ED5">
            <w:pPr>
              <w:spacing w:after="0" w:line="240" w:lineRule="auto"/>
              <w:jc w:val="both"/>
              <w:rPr>
                <w:rFonts w:ascii="Calibri" w:hAnsi="Calibri" w:cs="Calibri"/>
              </w:rPr>
            </w:pPr>
            <w:r>
              <w:rPr>
                <w:rFonts w:ascii="Calibri" w:hAnsi="Calibri" w:cs="Calibri"/>
              </w:rPr>
              <w:t>Cette Norme européenne spécifie les exigences relatives aux mélanges non traités utilisés pour la construction et l'entretien des routes, des aérodromes et d'autres aires de trafic. Ces exigences sont définies en accord avec l'EN 13242.</w:t>
            </w:r>
          </w:p>
          <w:p w:rsidR="00273ED5" w:rsidRDefault="00273ED5" w:rsidP="00273ED5">
            <w:pPr>
              <w:spacing w:after="0" w:line="240" w:lineRule="auto"/>
              <w:jc w:val="both"/>
              <w:rPr>
                <w:rFonts w:ascii="Calibri" w:hAnsi="Calibri" w:cs="Calibri"/>
              </w:rPr>
            </w:pPr>
            <w:r>
              <w:rPr>
                <w:rFonts w:ascii="Calibri" w:hAnsi="Calibri" w:cs="Calibri"/>
              </w:rPr>
              <w:t>Cette Norme européenne s'applique aux mélanges non traités de granulats naturels, artificiels et recyclés ayant une dimension maximale des grains (D) comprise entre 8 mm et 90 mm et une dimension minimale des grains (d) = 0 à la livraison.</w:t>
            </w:r>
          </w:p>
          <w:p w:rsidR="00273ED5" w:rsidRPr="00273ED5" w:rsidRDefault="00273ED5" w:rsidP="00273ED5">
            <w:pPr>
              <w:spacing w:after="0" w:line="240" w:lineRule="auto"/>
              <w:jc w:val="both"/>
              <w:rPr>
                <w:rFonts w:ascii="Calibri" w:hAnsi="Calibri" w:cs="Calibri"/>
                <w:i/>
                <w:iCs/>
              </w:rPr>
            </w:pPr>
            <w:r w:rsidRPr="00273ED5">
              <w:rPr>
                <w:rFonts w:ascii="Calibri" w:hAnsi="Calibri" w:cs="Calibri"/>
                <w:b/>
                <w:bCs/>
                <w:i/>
                <w:iCs/>
                <w:sz w:val="20"/>
                <w:szCs w:val="20"/>
              </w:rPr>
              <w:t>NOTE 1</w:t>
            </w:r>
            <w:r w:rsidRPr="00273ED5">
              <w:rPr>
                <w:rFonts w:ascii="Calibri" w:hAnsi="Calibri" w:cs="Calibri"/>
                <w:i/>
                <w:iCs/>
                <w:sz w:val="20"/>
                <w:szCs w:val="20"/>
              </w:rPr>
              <w:t> : Les mélanges dont la dimension maximale des grains (D) dépasse 90 mm ne sont pas couverts par cette Norme européenne, mais peuvent être spécifiés sur les lieux d'utilisation.</w:t>
            </w:r>
            <w:r w:rsidRPr="00273ED5">
              <w:rPr>
                <w:rFonts w:ascii="Calibri" w:hAnsi="Calibri" w:cs="Calibri"/>
                <w:i/>
                <w:iCs/>
                <w:sz w:val="20"/>
                <w:szCs w:val="20"/>
              </w:rPr>
              <w:br/>
            </w:r>
            <w:r w:rsidRPr="00273ED5">
              <w:rPr>
                <w:rFonts w:ascii="Calibri" w:hAnsi="Calibri" w:cs="Calibri"/>
                <w:b/>
                <w:bCs/>
                <w:i/>
                <w:iCs/>
                <w:sz w:val="20"/>
                <w:szCs w:val="20"/>
              </w:rPr>
              <w:t>NOTE 2</w:t>
            </w:r>
            <w:r w:rsidRPr="00273ED5">
              <w:rPr>
                <w:rFonts w:ascii="Calibri" w:hAnsi="Calibri" w:cs="Calibri"/>
                <w:i/>
                <w:iCs/>
                <w:sz w:val="20"/>
                <w:szCs w:val="20"/>
              </w:rPr>
              <w:t> : La teneur en eau du mélange et la masse volumique de la couche mise en place ne sont pas des exigences spécifiées. Ces deux paramètres concernent le contrôle de la construction de la couche et sortent du cadre de cette Norme européenne.</w:t>
            </w:r>
          </w:p>
        </w:tc>
      </w:tr>
      <w:tr w:rsidR="00273ED5" w:rsidRPr="0043547B" w:rsidTr="00CB5DC0">
        <w:trPr>
          <w:trHeight w:val="330"/>
          <w:jc w:val="center"/>
        </w:trPr>
        <w:tc>
          <w:tcPr>
            <w:tcW w:w="1838" w:type="dxa"/>
            <w:tcBorders>
              <w:top w:val="nil"/>
              <w:left w:val="single" w:sz="18" w:space="0" w:color="auto"/>
              <w:bottom w:val="single" w:sz="18" w:space="0" w:color="auto"/>
              <w:right w:val="single" w:sz="4" w:space="0" w:color="auto"/>
            </w:tcBorders>
            <w:shd w:val="clear" w:color="auto" w:fill="A1C064"/>
            <w:vAlign w:val="center"/>
          </w:tcPr>
          <w:p w:rsidR="00273ED5" w:rsidRPr="0043547B" w:rsidRDefault="00273ED5" w:rsidP="00273ED5">
            <w:pPr>
              <w:spacing w:after="0"/>
              <w:jc w:val="center"/>
              <w:rPr>
                <w:rFonts w:cstheme="minorHAnsi"/>
                <w:b/>
                <w:bCs/>
                <w:sz w:val="24"/>
                <w:szCs w:val="24"/>
              </w:rPr>
            </w:pPr>
            <w:r w:rsidRPr="0043547B">
              <w:rPr>
                <w:rFonts w:cstheme="minorHAnsi"/>
                <w:b/>
                <w:bCs/>
                <w:sz w:val="24"/>
                <w:szCs w:val="24"/>
              </w:rPr>
              <w:t>Code :</w:t>
            </w:r>
          </w:p>
        </w:tc>
        <w:tc>
          <w:tcPr>
            <w:tcW w:w="7938" w:type="dxa"/>
            <w:tcBorders>
              <w:top w:val="nil"/>
              <w:left w:val="single" w:sz="4" w:space="0" w:color="auto"/>
              <w:bottom w:val="single" w:sz="18" w:space="0" w:color="auto"/>
              <w:right w:val="single" w:sz="18" w:space="0" w:color="auto"/>
            </w:tcBorders>
            <w:shd w:val="clear" w:color="auto" w:fill="A1C064"/>
            <w:vAlign w:val="center"/>
          </w:tcPr>
          <w:p w:rsidR="00273ED5" w:rsidRPr="0043547B" w:rsidRDefault="00273ED5" w:rsidP="00273ED5">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13063-2</w:t>
            </w:r>
          </w:p>
        </w:tc>
      </w:tr>
      <w:tr w:rsidR="00273ED5" w:rsidRPr="0043547B" w:rsidTr="00CB5DC0">
        <w:trPr>
          <w:trHeight w:val="330"/>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tcPr>
          <w:p w:rsidR="00273ED5" w:rsidRPr="0043547B" w:rsidRDefault="00273ED5" w:rsidP="00273ED5">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tcPr>
          <w:p w:rsidR="00273ED5" w:rsidRPr="0043547B" w:rsidRDefault="00273ED5" w:rsidP="00273ED5">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13063-2</w:t>
            </w:r>
          </w:p>
        </w:tc>
      </w:tr>
      <w:tr w:rsidR="00273ED5" w:rsidRPr="0043547B" w:rsidTr="00CB5DC0">
        <w:trPr>
          <w:trHeight w:val="330"/>
          <w:jc w:val="center"/>
        </w:trPr>
        <w:tc>
          <w:tcPr>
            <w:tcW w:w="1838" w:type="dxa"/>
            <w:tcBorders>
              <w:top w:val="single" w:sz="4" w:space="0" w:color="auto"/>
              <w:left w:val="single" w:sz="18" w:space="0" w:color="auto"/>
              <w:bottom w:val="single" w:sz="4" w:space="0" w:color="auto"/>
              <w:right w:val="single" w:sz="4" w:space="0" w:color="auto"/>
            </w:tcBorders>
            <w:shd w:val="clear" w:color="auto" w:fill="95B3D7" w:themeFill="accent1" w:themeFillTint="99"/>
            <w:vAlign w:val="center"/>
          </w:tcPr>
          <w:p w:rsidR="00273ED5" w:rsidRPr="0043547B" w:rsidRDefault="00273ED5" w:rsidP="00273ED5">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auto"/>
            <w:vAlign w:val="center"/>
          </w:tcPr>
          <w:p w:rsidR="00273ED5" w:rsidRPr="0043547B" w:rsidRDefault="00273ED5" w:rsidP="00273ED5">
            <w:pPr>
              <w:spacing w:after="0" w:line="240" w:lineRule="auto"/>
              <w:rPr>
                <w:rFonts w:eastAsia="Times New Roman" w:cstheme="minorHAnsi"/>
                <w:sz w:val="24"/>
                <w:szCs w:val="24"/>
                <w:lang w:eastAsia="fr-FR"/>
              </w:rPr>
            </w:pPr>
            <w:r w:rsidRPr="0043547B">
              <w:rPr>
                <w:rFonts w:eastAsia="Times New Roman" w:cstheme="minorHAnsi"/>
                <w:sz w:val="24"/>
                <w:szCs w:val="24"/>
                <w:lang w:eastAsia="fr-FR"/>
              </w:rPr>
              <w:t xml:space="preserve">Conduits de cheminées – Conduits de cheminées résistant aux feux de cheminées à paroi intérieure en terre cuite/céramique - Partie 2 : Exigences et méthodes d'essai en conditions humides </w:t>
            </w:r>
          </w:p>
        </w:tc>
      </w:tr>
      <w:tr w:rsidR="00273ED5" w:rsidRPr="0043547B" w:rsidTr="00B874C5">
        <w:trPr>
          <w:trHeight w:val="1835"/>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273ED5" w:rsidRPr="0043547B" w:rsidRDefault="00273ED5" w:rsidP="00273ED5">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center"/>
          </w:tcPr>
          <w:p w:rsidR="00273ED5" w:rsidRDefault="00273ED5" w:rsidP="00273ED5">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européenne spécifie les exigences et les méthodes d'essai applicables aux conduits-systèmes multiparois fonctionnant en ambiance humide (ci-après désignés «conduits de fumées humides»), avec une pression de type N1, N2 ou P1 conformément à l'EN 1443 et une température de fonctionnement inférieure ou égale à T600 conformément !à l'EN 13063-1:2005+A1", dans lesquels les produits de combustion sont acheminés vers l'atmosphère via des conduits intérieurs en terre cuite/céramique. Cette norme concerne également le marquage et le contrôle.</w:t>
            </w:r>
          </w:p>
          <w:p w:rsidR="00273ED5" w:rsidRPr="0043547B" w:rsidRDefault="00273ED5" w:rsidP="00273ED5">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ne s'applique pas aux conduits-systèmes indépendants au niveau structurel (autoporteur ou autonome).</w:t>
            </w:r>
          </w:p>
          <w:p w:rsidR="00273ED5" w:rsidRPr="0043547B" w:rsidRDefault="00273ED5" w:rsidP="00273ED5">
            <w:pPr>
              <w:spacing w:after="0" w:line="240" w:lineRule="auto"/>
              <w:rPr>
                <w:rFonts w:eastAsia="Times New Roman" w:cstheme="minorHAnsi"/>
                <w:sz w:val="24"/>
                <w:szCs w:val="24"/>
                <w:lang w:eastAsia="fr-FR"/>
              </w:rPr>
            </w:pPr>
            <w:r w:rsidRPr="0043547B">
              <w:rPr>
                <w:rFonts w:eastAsia="Times New Roman" w:cstheme="minorHAnsi"/>
                <w:sz w:val="24"/>
                <w:szCs w:val="24"/>
                <w:lang w:eastAsia="fr-FR"/>
              </w:rPr>
              <w:t>Le conduit de fumée humide peut comporter les éléments suivants :</w:t>
            </w:r>
            <w:r w:rsidRPr="0043547B">
              <w:rPr>
                <w:rFonts w:eastAsia="Times New Roman" w:cstheme="minorHAnsi"/>
                <w:sz w:val="24"/>
                <w:szCs w:val="24"/>
                <w:lang w:eastAsia="fr-FR"/>
              </w:rPr>
              <w:br/>
              <w:t>— un conduit intérieur en terre cuite/céramique ;</w:t>
            </w:r>
            <w:r w:rsidRPr="0043547B">
              <w:rPr>
                <w:rFonts w:eastAsia="Times New Roman" w:cstheme="minorHAnsi"/>
                <w:sz w:val="24"/>
                <w:szCs w:val="24"/>
                <w:lang w:eastAsia="fr-FR"/>
              </w:rPr>
              <w:br/>
              <w:t>— une couche d'isolation ;</w:t>
            </w:r>
            <w:r w:rsidRPr="0043547B">
              <w:rPr>
                <w:rFonts w:eastAsia="Times New Roman" w:cstheme="minorHAnsi"/>
                <w:sz w:val="24"/>
                <w:szCs w:val="24"/>
                <w:lang w:eastAsia="fr-FR"/>
              </w:rPr>
              <w:br/>
              <w:t>— des parois extérieures ;</w:t>
            </w:r>
            <w:r w:rsidRPr="0043547B">
              <w:rPr>
                <w:rFonts w:eastAsia="Times New Roman" w:cstheme="minorHAnsi"/>
                <w:sz w:val="24"/>
                <w:szCs w:val="24"/>
                <w:lang w:eastAsia="fr-FR"/>
              </w:rPr>
              <w:br/>
              <w:t>— du mortier résistant aux acides pour jointoyer les conduits intérieurs ou un matériau d'étanchéité élastomère ;</w:t>
            </w:r>
            <w:r w:rsidRPr="0043547B">
              <w:rPr>
                <w:rFonts w:eastAsia="Times New Roman" w:cstheme="minorHAnsi"/>
                <w:sz w:val="24"/>
                <w:szCs w:val="24"/>
                <w:lang w:eastAsia="fr-FR"/>
              </w:rPr>
              <w:br/>
              <w:t>— du mortier pour jointoyer les parois extérieures ;</w:t>
            </w:r>
            <w:r w:rsidRPr="0043547B">
              <w:rPr>
                <w:rFonts w:eastAsia="Times New Roman" w:cstheme="minorHAnsi"/>
                <w:sz w:val="24"/>
                <w:szCs w:val="24"/>
                <w:lang w:eastAsia="fr-FR"/>
              </w:rPr>
              <w:br/>
              <w:t>— un couronnement ;</w:t>
            </w:r>
            <w:r w:rsidRPr="0043547B">
              <w:rPr>
                <w:rFonts w:eastAsia="Times New Roman" w:cstheme="minorHAnsi"/>
                <w:sz w:val="24"/>
                <w:szCs w:val="24"/>
                <w:lang w:eastAsia="fr-FR"/>
              </w:rPr>
              <w:br/>
              <w:t>— une base ;</w:t>
            </w:r>
            <w:r w:rsidRPr="0043547B">
              <w:rPr>
                <w:rFonts w:eastAsia="Times New Roman" w:cstheme="minorHAnsi"/>
                <w:sz w:val="24"/>
                <w:szCs w:val="24"/>
                <w:lang w:eastAsia="fr-FR"/>
              </w:rPr>
              <w:br/>
              <w:t>— un collecteur de condensats ;</w:t>
            </w:r>
            <w:r w:rsidRPr="0043547B">
              <w:rPr>
                <w:rFonts w:eastAsia="Times New Roman" w:cstheme="minorHAnsi"/>
                <w:sz w:val="24"/>
                <w:szCs w:val="24"/>
                <w:lang w:eastAsia="fr-FR"/>
              </w:rPr>
              <w:br/>
              <w:t>— un orifice de sortie des condensats ;</w:t>
            </w:r>
            <w:r w:rsidRPr="0043547B">
              <w:rPr>
                <w:rFonts w:eastAsia="Times New Roman" w:cstheme="minorHAnsi"/>
                <w:sz w:val="24"/>
                <w:szCs w:val="24"/>
                <w:lang w:eastAsia="fr-FR"/>
              </w:rPr>
              <w:br/>
              <w:t>— un habillage ;</w:t>
            </w:r>
            <w:r w:rsidRPr="0043547B">
              <w:rPr>
                <w:rFonts w:eastAsia="Times New Roman" w:cstheme="minorHAnsi"/>
                <w:sz w:val="24"/>
                <w:szCs w:val="24"/>
                <w:lang w:eastAsia="fr-FR"/>
              </w:rPr>
              <w:br/>
              <w:t>— une ouverture ;</w:t>
            </w:r>
            <w:r w:rsidRPr="0043547B">
              <w:rPr>
                <w:rFonts w:eastAsia="Times New Roman" w:cstheme="minorHAnsi"/>
                <w:sz w:val="24"/>
                <w:szCs w:val="24"/>
                <w:lang w:eastAsia="fr-FR"/>
              </w:rPr>
              <w:br/>
              <w:t>— une trappe de nettoyage et de visite ;</w:t>
            </w:r>
            <w:r w:rsidRPr="0043547B">
              <w:rPr>
                <w:rFonts w:eastAsia="Times New Roman" w:cstheme="minorHAnsi"/>
                <w:sz w:val="24"/>
                <w:szCs w:val="24"/>
                <w:lang w:eastAsia="fr-FR"/>
              </w:rPr>
              <w:br/>
            </w:r>
            <w:r w:rsidRPr="0043547B">
              <w:rPr>
                <w:rFonts w:eastAsia="Times New Roman" w:cstheme="minorHAnsi"/>
                <w:sz w:val="24"/>
                <w:szCs w:val="24"/>
                <w:lang w:eastAsia="fr-FR"/>
              </w:rPr>
              <w:lastRenderedPageBreak/>
              <w:t>— une entretoise ;</w:t>
            </w:r>
            <w:r w:rsidRPr="0043547B">
              <w:rPr>
                <w:rFonts w:eastAsia="Times New Roman" w:cstheme="minorHAnsi"/>
                <w:sz w:val="24"/>
                <w:szCs w:val="24"/>
                <w:lang w:eastAsia="fr-FR"/>
              </w:rPr>
              <w:br/>
              <w:t>— un renfort.</w:t>
            </w:r>
            <w:r w:rsidRPr="0043547B">
              <w:rPr>
                <w:rFonts w:eastAsia="Times New Roman" w:cstheme="minorHAnsi"/>
                <w:sz w:val="24"/>
                <w:szCs w:val="24"/>
                <w:lang w:eastAsia="fr-FR"/>
              </w:rPr>
              <w:br/>
              <w:t>Le conduit-système humide englobe un ensemble d'éléments compatibles, fournis ou conseillés par un fabricant assumant la responsabilité du produit pour le conduit-système dans son intégralité.</w:t>
            </w:r>
            <w:r w:rsidRPr="0043547B">
              <w:rPr>
                <w:rFonts w:eastAsia="Times New Roman" w:cstheme="minorHAnsi"/>
                <w:sz w:val="24"/>
                <w:szCs w:val="24"/>
                <w:lang w:eastAsia="fr-FR"/>
              </w:rPr>
              <w:br/>
            </w:r>
            <w:r w:rsidRPr="00487753">
              <w:rPr>
                <w:rFonts w:eastAsia="Times New Roman" w:cstheme="minorHAnsi"/>
                <w:b/>
                <w:bCs/>
                <w:i/>
                <w:iCs/>
                <w:lang w:eastAsia="fr-FR"/>
              </w:rPr>
              <w:t>NOTE </w:t>
            </w:r>
            <w:r w:rsidRPr="00487753">
              <w:rPr>
                <w:rFonts w:eastAsia="Times New Roman" w:cstheme="minorHAnsi"/>
                <w:i/>
                <w:iCs/>
                <w:lang w:eastAsia="fr-FR"/>
              </w:rPr>
              <w:t>: Le présent document ne s’applique pas aux conduits de cheminée résistant aux feux de cheminée.</w:t>
            </w:r>
          </w:p>
        </w:tc>
      </w:tr>
      <w:tr w:rsidR="00273ED5" w:rsidRPr="0043547B" w:rsidTr="00CB5DC0">
        <w:trPr>
          <w:trHeight w:val="330"/>
          <w:jc w:val="center"/>
        </w:trPr>
        <w:tc>
          <w:tcPr>
            <w:tcW w:w="1838" w:type="dxa"/>
            <w:tcBorders>
              <w:top w:val="nil"/>
              <w:left w:val="single" w:sz="18" w:space="0" w:color="auto"/>
              <w:bottom w:val="single" w:sz="18" w:space="0" w:color="auto"/>
              <w:right w:val="single" w:sz="4" w:space="0" w:color="auto"/>
            </w:tcBorders>
            <w:shd w:val="clear" w:color="auto" w:fill="A1C064"/>
            <w:vAlign w:val="center"/>
          </w:tcPr>
          <w:p w:rsidR="00273ED5" w:rsidRPr="0043547B" w:rsidRDefault="00273ED5" w:rsidP="00273ED5">
            <w:pPr>
              <w:spacing w:after="0"/>
              <w:jc w:val="center"/>
              <w:rPr>
                <w:rFonts w:cstheme="minorHAnsi"/>
                <w:b/>
                <w:bCs/>
                <w:sz w:val="24"/>
                <w:szCs w:val="24"/>
              </w:rPr>
            </w:pPr>
            <w:r w:rsidRPr="0043547B">
              <w:rPr>
                <w:rFonts w:cstheme="minorHAnsi"/>
                <w:b/>
                <w:bCs/>
                <w:sz w:val="24"/>
                <w:szCs w:val="24"/>
              </w:rPr>
              <w:lastRenderedPageBreak/>
              <w:t>Code</w:t>
            </w:r>
          </w:p>
        </w:tc>
        <w:tc>
          <w:tcPr>
            <w:tcW w:w="7938" w:type="dxa"/>
            <w:tcBorders>
              <w:top w:val="nil"/>
              <w:left w:val="single" w:sz="4" w:space="0" w:color="auto"/>
              <w:bottom w:val="single" w:sz="18" w:space="0" w:color="auto"/>
              <w:right w:val="single" w:sz="18" w:space="0" w:color="auto"/>
            </w:tcBorders>
            <w:shd w:val="clear" w:color="auto" w:fill="A1C064"/>
            <w:vAlign w:val="center"/>
          </w:tcPr>
          <w:p w:rsidR="00273ED5" w:rsidRPr="0043547B" w:rsidRDefault="00273ED5" w:rsidP="00273ED5">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13063-3</w:t>
            </w:r>
          </w:p>
        </w:tc>
      </w:tr>
      <w:tr w:rsidR="00273ED5" w:rsidRPr="0043547B" w:rsidTr="00CB5DC0">
        <w:trPr>
          <w:trHeight w:val="330"/>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tcPr>
          <w:p w:rsidR="00273ED5" w:rsidRPr="0043547B" w:rsidRDefault="00273ED5" w:rsidP="00273ED5">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tcPr>
          <w:p w:rsidR="00273ED5" w:rsidRPr="0043547B" w:rsidRDefault="00273ED5" w:rsidP="00273ED5">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13063-3</w:t>
            </w:r>
          </w:p>
        </w:tc>
      </w:tr>
      <w:tr w:rsidR="00273ED5" w:rsidRPr="0043547B" w:rsidTr="00CB5DC0">
        <w:trPr>
          <w:trHeight w:val="330"/>
          <w:jc w:val="center"/>
        </w:trPr>
        <w:tc>
          <w:tcPr>
            <w:tcW w:w="1838" w:type="dxa"/>
            <w:tcBorders>
              <w:top w:val="single" w:sz="4" w:space="0" w:color="auto"/>
              <w:left w:val="single" w:sz="18" w:space="0" w:color="auto"/>
              <w:bottom w:val="single" w:sz="4" w:space="0" w:color="auto"/>
              <w:right w:val="single" w:sz="4" w:space="0" w:color="auto"/>
            </w:tcBorders>
            <w:shd w:val="clear" w:color="auto" w:fill="95B3D7" w:themeFill="accent1" w:themeFillTint="99"/>
            <w:vAlign w:val="center"/>
          </w:tcPr>
          <w:p w:rsidR="00273ED5" w:rsidRPr="0043547B" w:rsidRDefault="00273ED5" w:rsidP="00273ED5">
            <w:pPr>
              <w:spacing w:after="0"/>
              <w:jc w:val="center"/>
              <w:rPr>
                <w:rFonts w:cstheme="minorHAnsi"/>
                <w:b/>
                <w:bCs/>
                <w:sz w:val="24"/>
                <w:szCs w:val="24"/>
              </w:rPr>
            </w:pPr>
            <w:r w:rsidRPr="008A369B">
              <w:rPr>
                <w:rFonts w:cstheme="minorHAnsi"/>
                <w:b/>
                <w:bCs/>
                <w:sz w:val="24"/>
                <w:szCs w:val="24"/>
                <w:shd w:val="clear" w:color="auto" w:fill="95B3D7" w:themeFill="accent1" w:themeFillTint="99"/>
              </w:rPr>
              <w:t>Intitulé </w:t>
            </w:r>
            <w:r w:rsidRPr="0043547B">
              <w:rPr>
                <w:rFonts w:cstheme="minorHAnsi"/>
                <w:b/>
                <w:bCs/>
                <w:sz w:val="24"/>
                <w:szCs w:val="24"/>
              </w:rPr>
              <w:t>:</w:t>
            </w:r>
          </w:p>
        </w:tc>
        <w:tc>
          <w:tcPr>
            <w:tcW w:w="7938" w:type="dxa"/>
            <w:tcBorders>
              <w:top w:val="single" w:sz="4" w:space="0" w:color="auto"/>
              <w:left w:val="single" w:sz="4" w:space="0" w:color="auto"/>
              <w:bottom w:val="single" w:sz="4" w:space="0" w:color="auto"/>
              <w:right w:val="single" w:sz="18" w:space="0" w:color="auto"/>
            </w:tcBorders>
            <w:shd w:val="clear" w:color="auto" w:fill="auto"/>
            <w:vAlign w:val="center"/>
          </w:tcPr>
          <w:p w:rsidR="00273ED5" w:rsidRPr="0043547B" w:rsidRDefault="00273ED5" w:rsidP="00273ED5">
            <w:pPr>
              <w:spacing w:after="0" w:line="240" w:lineRule="auto"/>
              <w:rPr>
                <w:rFonts w:eastAsia="Times New Roman" w:cstheme="minorHAnsi"/>
                <w:sz w:val="24"/>
                <w:szCs w:val="24"/>
                <w:lang w:eastAsia="fr-FR"/>
              </w:rPr>
            </w:pPr>
            <w:r w:rsidRPr="0043547B">
              <w:rPr>
                <w:rFonts w:eastAsia="Times New Roman" w:cstheme="minorHAnsi"/>
                <w:sz w:val="24"/>
                <w:szCs w:val="24"/>
                <w:lang w:eastAsia="fr-FR"/>
              </w:rPr>
              <w:t xml:space="preserve">Conduits de fumées – Conduits systèmes avec conduit intérieur en terre cuite/céramique - Partie 3 : Exigences et méthodes d'essai pour conduits systèmes air / fumée </w:t>
            </w:r>
          </w:p>
        </w:tc>
      </w:tr>
      <w:tr w:rsidR="00273ED5" w:rsidRPr="0043547B" w:rsidTr="00CB5DC0">
        <w:trPr>
          <w:trHeight w:val="330"/>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273ED5" w:rsidRPr="0043547B" w:rsidRDefault="00273ED5" w:rsidP="00273ED5">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center"/>
          </w:tcPr>
          <w:p w:rsidR="00273ED5" w:rsidRDefault="00273ED5" w:rsidP="00273ED5">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de produit spécifie les exigences et les méthodes d'essai applicables aux conduits systèmes</w:t>
            </w:r>
            <w:r>
              <w:rPr>
                <w:rFonts w:eastAsia="Times New Roman" w:cstheme="minorHAnsi"/>
                <w:sz w:val="24"/>
                <w:szCs w:val="24"/>
                <w:lang w:eastAsia="fr-FR"/>
              </w:rPr>
              <w:t xml:space="preserve"> </w:t>
            </w:r>
            <w:r w:rsidRPr="0043547B">
              <w:rPr>
                <w:rFonts w:eastAsia="Times New Roman" w:cstheme="minorHAnsi"/>
                <w:sz w:val="24"/>
                <w:szCs w:val="24"/>
                <w:lang w:eastAsia="fr-FR"/>
              </w:rPr>
              <w:t>air/fumée fonctionnant en condition sèche (désignation D) et/ou humide (désignation W), incluant des terminaux dans</w:t>
            </w:r>
            <w:r w:rsidRPr="0043547B">
              <w:rPr>
                <w:rFonts w:eastAsia="Times New Roman" w:cstheme="minorHAnsi"/>
                <w:sz w:val="24"/>
                <w:szCs w:val="24"/>
                <w:lang w:eastAsia="fr-FR"/>
              </w:rPr>
              <w:br/>
              <w:t>lesquels les produits de combustion sont acheminés vers l'atmosphère par des conduits intérieurs en terre</w:t>
            </w:r>
            <w:r>
              <w:rPr>
                <w:rFonts w:eastAsia="Times New Roman" w:cstheme="minorHAnsi"/>
                <w:sz w:val="24"/>
                <w:szCs w:val="24"/>
                <w:lang w:eastAsia="fr-FR"/>
              </w:rPr>
              <w:t xml:space="preserve"> </w:t>
            </w:r>
            <w:r w:rsidRPr="0043547B">
              <w:rPr>
                <w:rFonts w:eastAsia="Times New Roman" w:cstheme="minorHAnsi"/>
                <w:sz w:val="24"/>
                <w:szCs w:val="24"/>
                <w:lang w:eastAsia="fr-FR"/>
              </w:rPr>
              <w:t>cuite/céramique et l'air de combustion est acheminé aux chaudières étanches par un conduit d'air ou par un espace</w:t>
            </w:r>
            <w:r>
              <w:rPr>
                <w:rFonts w:eastAsia="Times New Roman" w:cstheme="minorHAnsi"/>
                <w:sz w:val="24"/>
                <w:szCs w:val="24"/>
                <w:lang w:eastAsia="fr-FR"/>
              </w:rPr>
              <w:t xml:space="preserve"> </w:t>
            </w:r>
            <w:r w:rsidRPr="0043547B">
              <w:rPr>
                <w:rFonts w:eastAsia="Times New Roman" w:cstheme="minorHAnsi"/>
                <w:sz w:val="24"/>
                <w:szCs w:val="24"/>
                <w:lang w:eastAsia="fr-FR"/>
              </w:rPr>
              <w:t>libre pour l’air.</w:t>
            </w:r>
          </w:p>
          <w:p w:rsidR="00273ED5" w:rsidRDefault="00273ED5" w:rsidP="00273ED5">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spécifie également les exigences de marquage, les instructions du fabricant, les informations relatives au produit</w:t>
            </w:r>
            <w:r>
              <w:rPr>
                <w:rFonts w:eastAsia="Times New Roman" w:cstheme="minorHAnsi"/>
                <w:sz w:val="24"/>
                <w:szCs w:val="24"/>
                <w:lang w:eastAsia="fr-FR"/>
              </w:rPr>
              <w:t xml:space="preserve"> </w:t>
            </w:r>
            <w:r w:rsidRPr="0043547B">
              <w:rPr>
                <w:rFonts w:eastAsia="Times New Roman" w:cstheme="minorHAnsi"/>
                <w:sz w:val="24"/>
                <w:szCs w:val="24"/>
                <w:lang w:eastAsia="fr-FR"/>
              </w:rPr>
              <w:t>et l'évaluation de la conformité.</w:t>
            </w:r>
          </w:p>
          <w:p w:rsidR="00273ED5" w:rsidRDefault="00273ED5" w:rsidP="00273ED5">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ne s'applique pas aux conduits systèmes structurellement indépendants (autoporteurs ou</w:t>
            </w:r>
            <w:r>
              <w:rPr>
                <w:rFonts w:eastAsia="Times New Roman" w:cstheme="minorHAnsi"/>
                <w:sz w:val="24"/>
                <w:szCs w:val="24"/>
                <w:lang w:eastAsia="fr-FR"/>
              </w:rPr>
              <w:t xml:space="preserve"> </w:t>
            </w:r>
            <w:r w:rsidRPr="0043547B">
              <w:rPr>
                <w:rFonts w:eastAsia="Times New Roman" w:cstheme="minorHAnsi"/>
                <w:sz w:val="24"/>
                <w:szCs w:val="24"/>
                <w:lang w:eastAsia="fr-FR"/>
              </w:rPr>
              <w:t>autonomes).</w:t>
            </w:r>
          </w:p>
          <w:p w:rsidR="00273ED5" w:rsidRDefault="00273ED5" w:rsidP="00273ED5">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Un conduit système air/fumée se compose des éléments suivants, selon le cas :</w:t>
            </w:r>
          </w:p>
          <w:p w:rsidR="00273ED5" w:rsidRPr="00487753" w:rsidRDefault="00273ED5" w:rsidP="00273ED5">
            <w:pPr>
              <w:spacing w:after="0" w:line="240" w:lineRule="auto"/>
              <w:rPr>
                <w:rFonts w:eastAsia="Times New Roman" w:cstheme="minorHAnsi"/>
                <w:sz w:val="2"/>
                <w:szCs w:val="2"/>
                <w:lang w:eastAsia="fr-FR"/>
              </w:rPr>
            </w:pPr>
            <w:r w:rsidRPr="0043547B">
              <w:rPr>
                <w:rFonts w:eastAsia="Times New Roman" w:cstheme="minorHAnsi"/>
                <w:sz w:val="24"/>
                <w:szCs w:val="24"/>
                <w:lang w:eastAsia="fr-FR"/>
              </w:rPr>
              <w:t>— un conduit intérieur en terre cuite/céramique ;</w:t>
            </w:r>
            <w:r w:rsidRPr="0043547B">
              <w:rPr>
                <w:rFonts w:eastAsia="Times New Roman" w:cstheme="minorHAnsi"/>
                <w:sz w:val="24"/>
                <w:szCs w:val="24"/>
                <w:lang w:eastAsia="fr-FR"/>
              </w:rPr>
              <w:br/>
              <w:t>— une couche d'isolant ;</w:t>
            </w:r>
            <w:r w:rsidRPr="0043547B">
              <w:rPr>
                <w:rFonts w:eastAsia="Times New Roman" w:cstheme="minorHAnsi"/>
                <w:sz w:val="24"/>
                <w:szCs w:val="24"/>
                <w:lang w:eastAsia="fr-FR"/>
              </w:rPr>
              <w:br/>
              <w:t>— des enveloppes extérieures ;</w:t>
            </w:r>
            <w:r w:rsidRPr="0043547B">
              <w:rPr>
                <w:rFonts w:eastAsia="Times New Roman" w:cstheme="minorHAnsi"/>
                <w:sz w:val="24"/>
                <w:szCs w:val="24"/>
                <w:lang w:eastAsia="fr-FR"/>
              </w:rPr>
              <w:br/>
              <w:t>— un mortier pour jointoyer les conduits intérieurs ;</w:t>
            </w:r>
            <w:r w:rsidRPr="0043547B">
              <w:rPr>
                <w:rFonts w:eastAsia="Times New Roman" w:cstheme="minorHAnsi"/>
                <w:sz w:val="24"/>
                <w:szCs w:val="24"/>
                <w:lang w:eastAsia="fr-FR"/>
              </w:rPr>
              <w:br/>
              <w:t>— un mortier résistant aux acides pour jointoyer les conduits intérieurs ou un matériau d'étanchéité élastomère ;</w:t>
            </w:r>
            <w:r w:rsidRPr="0043547B">
              <w:rPr>
                <w:rFonts w:eastAsia="Times New Roman" w:cstheme="minorHAnsi"/>
                <w:sz w:val="24"/>
                <w:szCs w:val="24"/>
                <w:lang w:eastAsia="fr-FR"/>
              </w:rPr>
              <w:br/>
              <w:t>— du mortier pour jointoyer les enveloppes extérieures ;</w:t>
            </w:r>
            <w:r w:rsidRPr="0043547B">
              <w:rPr>
                <w:rFonts w:eastAsia="Times New Roman" w:cstheme="minorHAnsi"/>
                <w:sz w:val="24"/>
                <w:szCs w:val="24"/>
                <w:lang w:eastAsia="fr-FR"/>
              </w:rPr>
              <w:br/>
              <w:t>— un terminal ;</w:t>
            </w:r>
            <w:r w:rsidRPr="0043547B">
              <w:rPr>
                <w:rFonts w:eastAsia="Times New Roman" w:cstheme="minorHAnsi"/>
                <w:sz w:val="24"/>
                <w:szCs w:val="24"/>
                <w:lang w:eastAsia="fr-FR"/>
              </w:rPr>
              <w:br/>
              <w:t>— une base ;</w:t>
            </w:r>
            <w:r w:rsidRPr="0043547B">
              <w:rPr>
                <w:rFonts w:eastAsia="Times New Roman" w:cstheme="minorHAnsi"/>
                <w:sz w:val="24"/>
                <w:szCs w:val="24"/>
                <w:lang w:eastAsia="fr-FR"/>
              </w:rPr>
              <w:br/>
              <w:t>— une ouverture d'égalisation de pression ;</w:t>
            </w:r>
            <w:r w:rsidRPr="0043547B">
              <w:rPr>
                <w:rFonts w:eastAsia="Times New Roman" w:cstheme="minorHAnsi"/>
                <w:sz w:val="24"/>
                <w:szCs w:val="24"/>
                <w:lang w:eastAsia="fr-FR"/>
              </w:rPr>
              <w:br/>
              <w:t>— un conduit d'air ;</w:t>
            </w:r>
            <w:r w:rsidRPr="0043547B">
              <w:rPr>
                <w:rFonts w:eastAsia="Times New Roman" w:cstheme="minorHAnsi"/>
                <w:sz w:val="24"/>
                <w:szCs w:val="24"/>
                <w:lang w:eastAsia="fr-FR"/>
              </w:rPr>
              <w:br/>
              <w:t>— un espace libre pour l’air ;</w:t>
            </w:r>
            <w:r w:rsidRPr="0043547B">
              <w:rPr>
                <w:rFonts w:eastAsia="Times New Roman" w:cstheme="minorHAnsi"/>
                <w:sz w:val="24"/>
                <w:szCs w:val="24"/>
                <w:lang w:eastAsia="fr-FR"/>
              </w:rPr>
              <w:br/>
              <w:t>— un habillage ;</w:t>
            </w:r>
            <w:r w:rsidRPr="0043547B">
              <w:rPr>
                <w:rFonts w:eastAsia="Times New Roman" w:cstheme="minorHAnsi"/>
                <w:sz w:val="24"/>
                <w:szCs w:val="24"/>
                <w:lang w:eastAsia="fr-FR"/>
              </w:rPr>
              <w:br/>
              <w:t>— une ouverture ;</w:t>
            </w:r>
            <w:r w:rsidRPr="0043547B">
              <w:rPr>
                <w:rFonts w:eastAsia="Times New Roman" w:cstheme="minorHAnsi"/>
                <w:sz w:val="24"/>
                <w:szCs w:val="24"/>
                <w:lang w:eastAsia="fr-FR"/>
              </w:rPr>
              <w:br/>
              <w:t>— une trappe de nettoyage et de visite ;</w:t>
            </w:r>
            <w:r w:rsidRPr="0043547B">
              <w:rPr>
                <w:rFonts w:eastAsia="Times New Roman" w:cstheme="minorHAnsi"/>
                <w:sz w:val="24"/>
                <w:szCs w:val="24"/>
                <w:lang w:eastAsia="fr-FR"/>
              </w:rPr>
              <w:br/>
              <w:t>— une entretoise ;</w:t>
            </w:r>
            <w:r w:rsidRPr="0043547B">
              <w:rPr>
                <w:rFonts w:eastAsia="Times New Roman" w:cstheme="minorHAnsi"/>
                <w:sz w:val="24"/>
                <w:szCs w:val="24"/>
                <w:lang w:eastAsia="fr-FR"/>
              </w:rPr>
              <w:br/>
              <w:t>— une armature.</w:t>
            </w:r>
            <w:r w:rsidRPr="0043547B">
              <w:rPr>
                <w:rFonts w:eastAsia="Times New Roman" w:cstheme="minorHAnsi"/>
                <w:sz w:val="24"/>
                <w:szCs w:val="24"/>
                <w:lang w:eastAsia="fr-FR"/>
              </w:rPr>
              <w:br/>
            </w:r>
          </w:p>
          <w:p w:rsidR="00273ED5" w:rsidRPr="0043547B" w:rsidRDefault="00273ED5" w:rsidP="00273ED5">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 conduit système air/fumée englobe un ensemble d'éléments compatibles, fournis ou conseillés par un fabricant</w:t>
            </w:r>
            <w:r>
              <w:rPr>
                <w:rFonts w:eastAsia="Times New Roman" w:cstheme="minorHAnsi"/>
                <w:sz w:val="24"/>
                <w:szCs w:val="24"/>
                <w:lang w:eastAsia="fr-FR"/>
              </w:rPr>
              <w:t xml:space="preserve"> </w:t>
            </w:r>
            <w:r w:rsidRPr="0043547B">
              <w:rPr>
                <w:rFonts w:eastAsia="Times New Roman" w:cstheme="minorHAnsi"/>
                <w:sz w:val="24"/>
                <w:szCs w:val="24"/>
                <w:lang w:eastAsia="fr-FR"/>
              </w:rPr>
              <w:t>assumant la responsabilité du produit pour le conduit de fumée dans son intégralité.</w:t>
            </w:r>
          </w:p>
        </w:tc>
      </w:tr>
      <w:tr w:rsidR="00273ED5" w:rsidRPr="0043547B" w:rsidTr="00CB5DC0">
        <w:trPr>
          <w:trHeight w:val="330"/>
          <w:jc w:val="center"/>
        </w:trPr>
        <w:tc>
          <w:tcPr>
            <w:tcW w:w="1838" w:type="dxa"/>
            <w:tcBorders>
              <w:top w:val="nil"/>
              <w:left w:val="single" w:sz="18" w:space="0" w:color="auto"/>
              <w:bottom w:val="single" w:sz="18" w:space="0" w:color="auto"/>
              <w:right w:val="single" w:sz="4" w:space="0" w:color="auto"/>
            </w:tcBorders>
            <w:shd w:val="clear" w:color="auto" w:fill="A1C064"/>
            <w:vAlign w:val="center"/>
          </w:tcPr>
          <w:p w:rsidR="00273ED5" w:rsidRPr="0043547B" w:rsidRDefault="00273ED5" w:rsidP="00273ED5">
            <w:pPr>
              <w:spacing w:after="0"/>
              <w:jc w:val="center"/>
              <w:rPr>
                <w:rFonts w:cstheme="minorHAnsi"/>
                <w:b/>
                <w:bCs/>
                <w:sz w:val="24"/>
                <w:szCs w:val="24"/>
              </w:rPr>
            </w:pPr>
            <w:r w:rsidRPr="0043547B">
              <w:rPr>
                <w:rFonts w:cstheme="minorHAnsi"/>
                <w:b/>
                <w:bCs/>
                <w:sz w:val="24"/>
                <w:szCs w:val="24"/>
              </w:rPr>
              <w:t>Code :</w:t>
            </w:r>
          </w:p>
        </w:tc>
        <w:tc>
          <w:tcPr>
            <w:tcW w:w="7938" w:type="dxa"/>
            <w:tcBorders>
              <w:top w:val="nil"/>
              <w:left w:val="single" w:sz="4" w:space="0" w:color="auto"/>
              <w:bottom w:val="single" w:sz="18" w:space="0" w:color="auto"/>
              <w:right w:val="single" w:sz="18" w:space="0" w:color="auto"/>
            </w:tcBorders>
            <w:shd w:val="clear" w:color="auto" w:fill="A1C064"/>
            <w:vAlign w:val="center"/>
          </w:tcPr>
          <w:p w:rsidR="00273ED5" w:rsidRPr="0043547B" w:rsidRDefault="00273ED5" w:rsidP="00273ED5">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13069</w:t>
            </w:r>
          </w:p>
        </w:tc>
      </w:tr>
      <w:tr w:rsidR="00273ED5" w:rsidRPr="0043547B" w:rsidTr="00CB5DC0">
        <w:trPr>
          <w:trHeight w:val="330"/>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tcPr>
          <w:p w:rsidR="00273ED5" w:rsidRPr="0043547B" w:rsidRDefault="00273ED5" w:rsidP="00273ED5">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tcPr>
          <w:p w:rsidR="00273ED5" w:rsidRPr="0043547B" w:rsidRDefault="00273ED5" w:rsidP="00273ED5">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13069</w:t>
            </w:r>
          </w:p>
        </w:tc>
      </w:tr>
      <w:tr w:rsidR="00273ED5" w:rsidRPr="0043547B" w:rsidTr="00CB5DC0">
        <w:trPr>
          <w:trHeight w:val="330"/>
          <w:jc w:val="center"/>
        </w:trPr>
        <w:tc>
          <w:tcPr>
            <w:tcW w:w="1838" w:type="dxa"/>
            <w:tcBorders>
              <w:top w:val="single" w:sz="4" w:space="0" w:color="auto"/>
              <w:left w:val="single" w:sz="18" w:space="0" w:color="auto"/>
              <w:bottom w:val="single" w:sz="4" w:space="0" w:color="auto"/>
              <w:right w:val="single" w:sz="4" w:space="0" w:color="auto"/>
            </w:tcBorders>
            <w:shd w:val="clear" w:color="auto" w:fill="95B3D7" w:themeFill="accent1" w:themeFillTint="99"/>
            <w:vAlign w:val="center"/>
          </w:tcPr>
          <w:p w:rsidR="00273ED5" w:rsidRPr="0043547B" w:rsidRDefault="00273ED5" w:rsidP="00273ED5">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auto"/>
            <w:vAlign w:val="center"/>
          </w:tcPr>
          <w:p w:rsidR="00273ED5" w:rsidRPr="0043547B" w:rsidRDefault="00273ED5" w:rsidP="00273ED5">
            <w:pPr>
              <w:spacing w:after="0" w:line="240" w:lineRule="auto"/>
              <w:rPr>
                <w:rFonts w:eastAsia="Times New Roman" w:cstheme="minorHAnsi"/>
                <w:sz w:val="24"/>
                <w:szCs w:val="24"/>
                <w:lang w:eastAsia="fr-FR"/>
              </w:rPr>
            </w:pPr>
            <w:r w:rsidRPr="0043547B">
              <w:rPr>
                <w:rFonts w:eastAsia="Times New Roman" w:cstheme="minorHAnsi"/>
                <w:sz w:val="24"/>
                <w:szCs w:val="24"/>
                <w:lang w:eastAsia="fr-FR"/>
              </w:rPr>
              <w:t xml:space="preserve">Conduits de fumée - Enveloppes extérieures en terre cuite/céramique pour systèmes de conduits de fumée - Prescriptions et méthodes d'essai </w:t>
            </w:r>
          </w:p>
        </w:tc>
      </w:tr>
      <w:tr w:rsidR="00273ED5" w:rsidRPr="0043547B" w:rsidTr="00CB5DC0">
        <w:trPr>
          <w:trHeight w:val="330"/>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273ED5" w:rsidRPr="0043547B" w:rsidRDefault="00273ED5" w:rsidP="00273ED5">
            <w:pPr>
              <w:spacing w:after="0"/>
              <w:jc w:val="center"/>
              <w:rPr>
                <w:rFonts w:cstheme="minorHAnsi"/>
                <w:b/>
                <w:bCs/>
                <w:sz w:val="24"/>
                <w:szCs w:val="24"/>
              </w:rPr>
            </w:pPr>
            <w:r w:rsidRPr="0043547B">
              <w:rPr>
                <w:rFonts w:cstheme="minorHAnsi"/>
                <w:b/>
                <w:bCs/>
                <w:sz w:val="24"/>
                <w:szCs w:val="24"/>
              </w:rPr>
              <w:lastRenderedPageBreak/>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center"/>
          </w:tcPr>
          <w:p w:rsidR="00273ED5" w:rsidRPr="0043547B" w:rsidRDefault="00273ED5" w:rsidP="00273ED5">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européenne spécifie les performances requises concernant les enveloppes extérieures des conduits de fumée en terre cuite/céramique fabriqués en usine, utilisées pour former les parois extérieures des conduits de fumée et qui sont utilisées conjointement aux conduits intérieurs sur site. Elle s'applique aux enveloppes</w:t>
            </w:r>
            <w:r>
              <w:rPr>
                <w:rFonts w:eastAsia="Times New Roman" w:cstheme="minorHAnsi"/>
                <w:sz w:val="24"/>
                <w:szCs w:val="24"/>
                <w:lang w:eastAsia="fr-FR"/>
              </w:rPr>
              <w:t xml:space="preserve"> </w:t>
            </w:r>
            <w:r w:rsidRPr="0043547B">
              <w:rPr>
                <w:rFonts w:eastAsia="Times New Roman" w:cstheme="minorHAnsi"/>
                <w:sz w:val="24"/>
                <w:szCs w:val="24"/>
                <w:lang w:eastAsia="fr-FR"/>
              </w:rPr>
              <w:t>extérieures de conduits de fumée en terre cuite/céramique munis de parois pleines ou de parois à alvéoles verticales (voir Figure 1) ayant des sections intérieures carrées, rectangulaires ou circulaires. La présente norme couvre les exigences relatives aux essais, au marquage et à l'inspection.</w:t>
            </w:r>
          </w:p>
        </w:tc>
      </w:tr>
      <w:tr w:rsidR="00273ED5" w:rsidRPr="0043547B" w:rsidTr="00CB5DC0">
        <w:trPr>
          <w:trHeight w:val="330"/>
          <w:jc w:val="center"/>
        </w:trPr>
        <w:tc>
          <w:tcPr>
            <w:tcW w:w="1838" w:type="dxa"/>
            <w:tcBorders>
              <w:top w:val="nil"/>
              <w:left w:val="single" w:sz="18" w:space="0" w:color="auto"/>
              <w:bottom w:val="single" w:sz="18" w:space="0" w:color="auto"/>
              <w:right w:val="single" w:sz="4" w:space="0" w:color="auto"/>
            </w:tcBorders>
            <w:shd w:val="clear" w:color="auto" w:fill="A1C064"/>
            <w:vAlign w:val="center"/>
          </w:tcPr>
          <w:p w:rsidR="00273ED5" w:rsidRPr="0043547B" w:rsidRDefault="00273ED5" w:rsidP="00273ED5">
            <w:pPr>
              <w:spacing w:after="0"/>
              <w:jc w:val="center"/>
              <w:rPr>
                <w:rFonts w:cstheme="minorHAnsi"/>
                <w:b/>
                <w:bCs/>
                <w:sz w:val="24"/>
                <w:szCs w:val="24"/>
              </w:rPr>
            </w:pPr>
            <w:r w:rsidRPr="0043547B">
              <w:rPr>
                <w:rFonts w:cstheme="minorHAnsi"/>
                <w:b/>
                <w:bCs/>
                <w:sz w:val="24"/>
                <w:szCs w:val="24"/>
              </w:rPr>
              <w:t>Code :</w:t>
            </w:r>
          </w:p>
        </w:tc>
        <w:tc>
          <w:tcPr>
            <w:tcW w:w="7938" w:type="dxa"/>
            <w:tcBorders>
              <w:top w:val="nil"/>
              <w:left w:val="single" w:sz="4" w:space="0" w:color="auto"/>
              <w:bottom w:val="single" w:sz="18" w:space="0" w:color="auto"/>
              <w:right w:val="single" w:sz="18" w:space="0" w:color="auto"/>
            </w:tcBorders>
            <w:shd w:val="clear" w:color="auto" w:fill="A1C064"/>
            <w:vAlign w:val="center"/>
          </w:tcPr>
          <w:p w:rsidR="00273ED5" w:rsidRPr="0043547B" w:rsidRDefault="00273ED5" w:rsidP="00273ED5">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13502</w:t>
            </w:r>
          </w:p>
        </w:tc>
      </w:tr>
      <w:tr w:rsidR="00273ED5" w:rsidRPr="0043547B" w:rsidTr="00CB5DC0">
        <w:trPr>
          <w:trHeight w:val="330"/>
          <w:jc w:val="center"/>
        </w:trPr>
        <w:tc>
          <w:tcPr>
            <w:tcW w:w="1838" w:type="dxa"/>
            <w:tcBorders>
              <w:top w:val="nil"/>
              <w:left w:val="single" w:sz="18" w:space="0" w:color="auto"/>
              <w:bottom w:val="single" w:sz="18" w:space="0" w:color="auto"/>
              <w:right w:val="single" w:sz="4" w:space="0" w:color="auto"/>
            </w:tcBorders>
            <w:shd w:val="clear" w:color="auto" w:fill="FFFF99"/>
            <w:vAlign w:val="center"/>
          </w:tcPr>
          <w:p w:rsidR="00273ED5" w:rsidRPr="0043547B" w:rsidRDefault="00273ED5" w:rsidP="00273ED5">
            <w:pPr>
              <w:spacing w:after="0"/>
              <w:jc w:val="center"/>
              <w:rPr>
                <w:rFonts w:cstheme="minorHAnsi"/>
                <w:b/>
                <w:bCs/>
                <w:sz w:val="24"/>
                <w:szCs w:val="24"/>
              </w:rPr>
            </w:pPr>
            <w:r w:rsidRPr="0043547B">
              <w:rPr>
                <w:rFonts w:cstheme="minorHAnsi"/>
                <w:b/>
                <w:bCs/>
                <w:sz w:val="24"/>
                <w:szCs w:val="24"/>
              </w:rPr>
              <w:t>Equivalence :</w:t>
            </w:r>
          </w:p>
        </w:tc>
        <w:tc>
          <w:tcPr>
            <w:tcW w:w="7938" w:type="dxa"/>
            <w:tcBorders>
              <w:top w:val="nil"/>
              <w:left w:val="single" w:sz="4" w:space="0" w:color="auto"/>
              <w:bottom w:val="single" w:sz="18" w:space="0" w:color="auto"/>
              <w:right w:val="single" w:sz="18" w:space="0" w:color="auto"/>
            </w:tcBorders>
            <w:shd w:val="clear" w:color="auto" w:fill="FFFF99"/>
            <w:vAlign w:val="center"/>
          </w:tcPr>
          <w:p w:rsidR="00273ED5" w:rsidRPr="0043547B" w:rsidRDefault="00273ED5" w:rsidP="00273ED5">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13502</w:t>
            </w:r>
          </w:p>
        </w:tc>
      </w:tr>
      <w:tr w:rsidR="00273ED5" w:rsidRPr="0043547B" w:rsidTr="00CB5DC0">
        <w:trPr>
          <w:trHeight w:val="330"/>
          <w:jc w:val="center"/>
        </w:trPr>
        <w:tc>
          <w:tcPr>
            <w:tcW w:w="1838" w:type="dxa"/>
            <w:tcBorders>
              <w:top w:val="nil"/>
              <w:left w:val="single" w:sz="18" w:space="0" w:color="auto"/>
              <w:bottom w:val="single" w:sz="18" w:space="0" w:color="auto"/>
              <w:right w:val="single" w:sz="4" w:space="0" w:color="auto"/>
            </w:tcBorders>
            <w:shd w:val="clear" w:color="auto" w:fill="95B3D7" w:themeFill="accent1" w:themeFillTint="99"/>
            <w:vAlign w:val="center"/>
          </w:tcPr>
          <w:p w:rsidR="00273ED5" w:rsidRPr="0043547B" w:rsidRDefault="00273ED5" w:rsidP="00273ED5">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18" w:space="0" w:color="auto"/>
              <w:right w:val="single" w:sz="18" w:space="0" w:color="auto"/>
            </w:tcBorders>
            <w:shd w:val="clear" w:color="auto" w:fill="auto"/>
            <w:vAlign w:val="center"/>
          </w:tcPr>
          <w:p w:rsidR="00273ED5" w:rsidRPr="0043547B" w:rsidRDefault="00273ED5" w:rsidP="00273ED5">
            <w:pPr>
              <w:spacing w:after="0" w:line="240" w:lineRule="auto"/>
              <w:rPr>
                <w:rFonts w:eastAsia="Times New Roman" w:cstheme="minorHAnsi"/>
                <w:sz w:val="24"/>
                <w:szCs w:val="24"/>
                <w:lang w:eastAsia="fr-FR"/>
              </w:rPr>
            </w:pPr>
            <w:r w:rsidRPr="0043547B">
              <w:rPr>
                <w:rFonts w:eastAsia="Times New Roman" w:cstheme="minorHAnsi"/>
                <w:sz w:val="24"/>
                <w:szCs w:val="24"/>
                <w:lang w:eastAsia="fr-FR"/>
              </w:rPr>
              <w:t xml:space="preserve">Conduits de fumée - Terminaux en terre cuite/céramique - Prescriptions et méthodes d'essai </w:t>
            </w:r>
          </w:p>
        </w:tc>
      </w:tr>
      <w:tr w:rsidR="00273ED5" w:rsidRPr="0043547B" w:rsidTr="00CB5DC0">
        <w:trPr>
          <w:trHeight w:val="330"/>
          <w:jc w:val="center"/>
        </w:trPr>
        <w:tc>
          <w:tcPr>
            <w:tcW w:w="1838" w:type="dxa"/>
            <w:tcBorders>
              <w:top w:val="nil"/>
              <w:left w:val="single" w:sz="18" w:space="0" w:color="auto"/>
              <w:bottom w:val="single" w:sz="18" w:space="0" w:color="auto"/>
              <w:right w:val="single" w:sz="4" w:space="0" w:color="auto"/>
            </w:tcBorders>
            <w:shd w:val="clear" w:color="000000" w:fill="D9D9D9"/>
            <w:vAlign w:val="center"/>
          </w:tcPr>
          <w:p w:rsidR="00273ED5" w:rsidRPr="0043547B" w:rsidRDefault="00273ED5" w:rsidP="00273ED5">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tcPr>
          <w:p w:rsidR="00273ED5" w:rsidRPr="0043547B" w:rsidRDefault="00273ED5" w:rsidP="00273ED5">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européenne spécifie les exigences et les méthodes d’essai applicables aux terminaux en terre cuite/céramique à parois pleines servant à acheminer les produits de combustion du conduit à l’atmosphère, sous pression négative. Elle s’applique également aux terminaux utilisés sur les conduits de fumée à usages domestique et industriel qui ne sont pas autoporteurs. La présente norme spécifie les exigences de performance pour les terminaux fabriqués en usine. Cette norme comprend aussi le marquage et le contrôle.</w:t>
            </w:r>
          </w:p>
        </w:tc>
      </w:tr>
      <w:tr w:rsidR="00273ED5" w:rsidRPr="0043547B" w:rsidTr="00CB5DC0">
        <w:trPr>
          <w:trHeight w:val="330"/>
          <w:jc w:val="center"/>
        </w:trPr>
        <w:tc>
          <w:tcPr>
            <w:tcW w:w="1838" w:type="dxa"/>
            <w:tcBorders>
              <w:top w:val="nil"/>
              <w:left w:val="single" w:sz="18" w:space="0" w:color="auto"/>
              <w:bottom w:val="single" w:sz="18" w:space="0" w:color="auto"/>
              <w:right w:val="single" w:sz="4" w:space="0" w:color="auto"/>
            </w:tcBorders>
            <w:shd w:val="clear" w:color="auto" w:fill="A1C064"/>
            <w:vAlign w:val="center"/>
          </w:tcPr>
          <w:p w:rsidR="00273ED5" w:rsidRPr="0043547B" w:rsidRDefault="00273ED5" w:rsidP="00273ED5">
            <w:pPr>
              <w:spacing w:after="0"/>
              <w:jc w:val="center"/>
              <w:rPr>
                <w:rFonts w:cstheme="minorHAnsi"/>
                <w:b/>
                <w:bCs/>
                <w:sz w:val="24"/>
                <w:szCs w:val="24"/>
              </w:rPr>
            </w:pPr>
            <w:r w:rsidRPr="0043547B">
              <w:rPr>
                <w:rFonts w:cstheme="minorHAnsi"/>
                <w:b/>
                <w:bCs/>
                <w:sz w:val="24"/>
                <w:szCs w:val="24"/>
              </w:rPr>
              <w:t>Code :</w:t>
            </w:r>
          </w:p>
        </w:tc>
        <w:tc>
          <w:tcPr>
            <w:tcW w:w="7938" w:type="dxa"/>
            <w:tcBorders>
              <w:top w:val="nil"/>
              <w:left w:val="single" w:sz="4" w:space="0" w:color="auto"/>
              <w:bottom w:val="single" w:sz="18" w:space="0" w:color="auto"/>
              <w:right w:val="single" w:sz="18" w:space="0" w:color="auto"/>
            </w:tcBorders>
            <w:shd w:val="clear" w:color="auto" w:fill="A1C064"/>
            <w:vAlign w:val="center"/>
          </w:tcPr>
          <w:p w:rsidR="00273ED5" w:rsidRPr="0043547B" w:rsidRDefault="00273ED5" w:rsidP="00273ED5">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1457-1</w:t>
            </w:r>
          </w:p>
        </w:tc>
      </w:tr>
      <w:tr w:rsidR="00273ED5" w:rsidRPr="0043547B" w:rsidTr="00CB5DC0">
        <w:trPr>
          <w:trHeight w:val="330"/>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tcPr>
          <w:p w:rsidR="00273ED5" w:rsidRPr="0043547B" w:rsidRDefault="00273ED5" w:rsidP="00273ED5">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tcPr>
          <w:p w:rsidR="00273ED5" w:rsidRPr="0043547B" w:rsidRDefault="00273ED5" w:rsidP="00273ED5">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1457-1</w:t>
            </w:r>
          </w:p>
        </w:tc>
      </w:tr>
      <w:tr w:rsidR="00273ED5" w:rsidRPr="0043547B" w:rsidTr="00CB5DC0">
        <w:trPr>
          <w:trHeight w:val="330"/>
          <w:jc w:val="center"/>
        </w:trPr>
        <w:tc>
          <w:tcPr>
            <w:tcW w:w="1838" w:type="dxa"/>
            <w:tcBorders>
              <w:top w:val="single" w:sz="4" w:space="0" w:color="auto"/>
              <w:left w:val="single" w:sz="18" w:space="0" w:color="auto"/>
              <w:bottom w:val="single" w:sz="4" w:space="0" w:color="auto"/>
              <w:right w:val="single" w:sz="4" w:space="0" w:color="auto"/>
            </w:tcBorders>
            <w:shd w:val="clear" w:color="auto" w:fill="95B3D7" w:themeFill="accent1" w:themeFillTint="99"/>
            <w:vAlign w:val="center"/>
          </w:tcPr>
          <w:p w:rsidR="00273ED5" w:rsidRPr="0043547B" w:rsidRDefault="00273ED5" w:rsidP="00273ED5">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auto"/>
            <w:vAlign w:val="center"/>
          </w:tcPr>
          <w:p w:rsidR="00273ED5" w:rsidRPr="0043547B" w:rsidRDefault="00273ED5" w:rsidP="00273ED5">
            <w:pPr>
              <w:spacing w:after="0" w:line="240" w:lineRule="auto"/>
              <w:rPr>
                <w:rFonts w:eastAsia="Times New Roman" w:cstheme="minorHAnsi"/>
                <w:sz w:val="24"/>
                <w:szCs w:val="24"/>
                <w:lang w:eastAsia="fr-FR"/>
              </w:rPr>
            </w:pPr>
            <w:r w:rsidRPr="0043547B">
              <w:rPr>
                <w:rFonts w:eastAsia="Times New Roman" w:cstheme="minorHAnsi"/>
                <w:sz w:val="24"/>
                <w:szCs w:val="24"/>
                <w:lang w:eastAsia="fr-FR"/>
              </w:rPr>
              <w:t xml:space="preserve">Conduits de fumée - Conduits intérieurs en terre cuite/céramique - Partie 1 : Exigences et méthodes d'essai pour utilisation en conditions sèches </w:t>
            </w:r>
          </w:p>
        </w:tc>
      </w:tr>
      <w:tr w:rsidR="00273ED5" w:rsidRPr="0043547B" w:rsidTr="00CB5DC0">
        <w:trPr>
          <w:trHeight w:val="330"/>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273ED5" w:rsidRPr="0043547B" w:rsidRDefault="00273ED5" w:rsidP="00273ED5">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center"/>
          </w:tcPr>
          <w:p w:rsidR="00273ED5" w:rsidRDefault="00273ED5" w:rsidP="00273ED5">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Européenne est une norme de produit relative aux conduits intérieurs en terre cuite/céramique fonctionnant dans des conditions sèches munis de parois pleines ou de parois à alvéoles verticales, utilisés dans la construction des conduits de fumée à parois multiples et des conduits de raccordement destinés à évacuer dans l’atmosphère, sous une pression négative ou positive, les produits de combustion produits par les foyers de cheminées ou les générateurs de chaleur. La présente Norme européenne comprend les conduits intérieurs à usage domestique et les conduits de fumée industriels qui ne sont pas structurellement indépendants (auto-stables).</w:t>
            </w:r>
          </w:p>
          <w:p w:rsidR="00273ED5" w:rsidRPr="0043547B" w:rsidRDefault="00273ED5" w:rsidP="00273ED5">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Européenne spécifie les exigences de performance des conduits intérieurs et des raccords fabriqués en usine. La présente norme couvre les essais, comprenant les essais de choc thermique avec ou sans isolation, le marquage et le contrôle. La présente partie ne traite pas des conduits intérieurs pour utilisation en</w:t>
            </w:r>
            <w:r>
              <w:rPr>
                <w:rFonts w:eastAsia="Times New Roman" w:cstheme="minorHAnsi"/>
                <w:sz w:val="24"/>
                <w:szCs w:val="24"/>
                <w:lang w:eastAsia="fr-FR"/>
              </w:rPr>
              <w:t xml:space="preserve"> </w:t>
            </w:r>
            <w:r w:rsidRPr="0043547B">
              <w:rPr>
                <w:rFonts w:eastAsia="Times New Roman" w:cstheme="minorHAnsi"/>
                <w:sz w:val="24"/>
                <w:szCs w:val="24"/>
                <w:lang w:eastAsia="fr-FR"/>
              </w:rPr>
              <w:t>conditions humides.</w:t>
            </w:r>
          </w:p>
        </w:tc>
      </w:tr>
      <w:tr w:rsidR="00273ED5" w:rsidRPr="0043547B" w:rsidTr="00CB5DC0">
        <w:trPr>
          <w:trHeight w:val="330"/>
          <w:jc w:val="center"/>
        </w:trPr>
        <w:tc>
          <w:tcPr>
            <w:tcW w:w="1838" w:type="dxa"/>
            <w:tcBorders>
              <w:top w:val="nil"/>
              <w:left w:val="single" w:sz="18" w:space="0" w:color="auto"/>
              <w:bottom w:val="single" w:sz="18" w:space="0" w:color="auto"/>
              <w:right w:val="single" w:sz="4" w:space="0" w:color="auto"/>
            </w:tcBorders>
            <w:shd w:val="clear" w:color="auto" w:fill="A1C064"/>
            <w:vAlign w:val="center"/>
          </w:tcPr>
          <w:p w:rsidR="00273ED5" w:rsidRPr="0043547B" w:rsidRDefault="00273ED5" w:rsidP="00273ED5">
            <w:pPr>
              <w:spacing w:after="0"/>
              <w:jc w:val="center"/>
              <w:rPr>
                <w:rFonts w:cstheme="minorHAnsi"/>
                <w:b/>
                <w:bCs/>
                <w:sz w:val="24"/>
                <w:szCs w:val="24"/>
              </w:rPr>
            </w:pPr>
            <w:r w:rsidRPr="0043547B">
              <w:rPr>
                <w:rFonts w:cstheme="minorHAnsi"/>
                <w:b/>
                <w:bCs/>
                <w:sz w:val="24"/>
                <w:szCs w:val="24"/>
              </w:rPr>
              <w:t>Code :</w:t>
            </w:r>
          </w:p>
        </w:tc>
        <w:tc>
          <w:tcPr>
            <w:tcW w:w="7938" w:type="dxa"/>
            <w:tcBorders>
              <w:top w:val="nil"/>
              <w:left w:val="single" w:sz="4" w:space="0" w:color="auto"/>
              <w:bottom w:val="single" w:sz="18" w:space="0" w:color="auto"/>
              <w:right w:val="single" w:sz="18" w:space="0" w:color="auto"/>
            </w:tcBorders>
            <w:shd w:val="clear" w:color="auto" w:fill="A1C064"/>
            <w:vAlign w:val="center"/>
          </w:tcPr>
          <w:p w:rsidR="00273ED5" w:rsidRPr="0043547B" w:rsidRDefault="00273ED5" w:rsidP="00273ED5">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1457-2</w:t>
            </w:r>
          </w:p>
        </w:tc>
      </w:tr>
      <w:tr w:rsidR="00273ED5" w:rsidRPr="0043547B" w:rsidTr="00CB5DC0">
        <w:trPr>
          <w:trHeight w:val="330"/>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tcPr>
          <w:p w:rsidR="00273ED5" w:rsidRPr="0043547B" w:rsidRDefault="00273ED5" w:rsidP="00273ED5">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tcPr>
          <w:p w:rsidR="00273ED5" w:rsidRPr="0043547B" w:rsidRDefault="00273ED5" w:rsidP="00273ED5">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1457-2</w:t>
            </w:r>
          </w:p>
        </w:tc>
      </w:tr>
      <w:tr w:rsidR="00273ED5" w:rsidRPr="0043547B" w:rsidTr="00CB5DC0">
        <w:trPr>
          <w:trHeight w:val="330"/>
          <w:jc w:val="center"/>
        </w:trPr>
        <w:tc>
          <w:tcPr>
            <w:tcW w:w="1838" w:type="dxa"/>
            <w:tcBorders>
              <w:top w:val="single" w:sz="4" w:space="0" w:color="auto"/>
              <w:left w:val="single" w:sz="18" w:space="0" w:color="auto"/>
              <w:bottom w:val="single" w:sz="4" w:space="0" w:color="auto"/>
              <w:right w:val="single" w:sz="4" w:space="0" w:color="auto"/>
            </w:tcBorders>
            <w:shd w:val="clear" w:color="auto" w:fill="95B3D7" w:themeFill="accent1" w:themeFillTint="99"/>
            <w:vAlign w:val="center"/>
          </w:tcPr>
          <w:p w:rsidR="00273ED5" w:rsidRPr="0043547B" w:rsidRDefault="00273ED5" w:rsidP="00273ED5">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auto"/>
            <w:vAlign w:val="center"/>
          </w:tcPr>
          <w:p w:rsidR="00273ED5" w:rsidRPr="0043547B" w:rsidRDefault="00273ED5" w:rsidP="00273ED5">
            <w:pPr>
              <w:spacing w:after="0" w:line="240" w:lineRule="auto"/>
              <w:rPr>
                <w:rFonts w:eastAsia="Times New Roman" w:cstheme="minorHAnsi"/>
                <w:sz w:val="24"/>
                <w:szCs w:val="24"/>
                <w:lang w:eastAsia="fr-FR"/>
              </w:rPr>
            </w:pPr>
            <w:r w:rsidRPr="0043547B">
              <w:rPr>
                <w:rFonts w:eastAsia="Times New Roman" w:cstheme="minorHAnsi"/>
                <w:sz w:val="24"/>
                <w:szCs w:val="24"/>
                <w:lang w:eastAsia="fr-FR"/>
              </w:rPr>
              <w:t>Conduits de fumée - Conduits intérieurs en terre cuite/céramique - Partie 2 : Exigences et méthodes d'essai pour utilisation en conditions humides </w:t>
            </w:r>
          </w:p>
        </w:tc>
      </w:tr>
      <w:tr w:rsidR="00273ED5" w:rsidRPr="0043547B" w:rsidTr="00CB5DC0">
        <w:trPr>
          <w:trHeight w:val="330"/>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273ED5" w:rsidRPr="0043547B" w:rsidRDefault="00273ED5" w:rsidP="00273ED5">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center"/>
          </w:tcPr>
          <w:p w:rsidR="00273ED5" w:rsidRPr="0043547B" w:rsidRDefault="00273ED5" w:rsidP="00273ED5">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La présente Norme européenne est une norme de produit relative aux conduits intérieurs en terre cuite/céramique fonctionnant dans des conditions humides munis de parois pleines ou de parois à alvéoles verticales, utilisés dans la construction de conduits de fumée à parois multiples et de conduits de raccordement destinés à évacuer dans l’atmosphère, sous une pression négative </w:t>
            </w:r>
            <w:r w:rsidRPr="0043547B">
              <w:rPr>
                <w:rFonts w:eastAsia="Times New Roman" w:cstheme="minorHAnsi"/>
                <w:sz w:val="24"/>
                <w:szCs w:val="24"/>
                <w:lang w:eastAsia="fr-FR"/>
              </w:rPr>
              <w:lastRenderedPageBreak/>
              <w:t>ou positive, les produits de combustion produits par les foyers de cheminées ou les générateurs de chaleur. La présente Norme européenne comprend les conduits intérieurs à usage domestique et les conduits de fumée industriels qui ne sont pas structurellement indépendants (auto-stables).</w:t>
            </w:r>
          </w:p>
          <w:p w:rsidR="00273ED5" w:rsidRPr="0043547B" w:rsidRDefault="00273ED5" w:rsidP="00273ED5">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européenne spécifie les exigences de performance des conduits intérieurs et des raccords fabriqués en usine. Les essais, comprenant les essais de choc thermique avec ou sans isolation, le marquage et le contrôle sont couverts par la présente norme. Les conduits intérieurs qui sont spécifiés dans la présente norme</w:t>
            </w:r>
            <w:r>
              <w:rPr>
                <w:rFonts w:eastAsia="Times New Roman" w:cstheme="minorHAnsi"/>
                <w:sz w:val="24"/>
                <w:szCs w:val="24"/>
                <w:lang w:eastAsia="fr-FR"/>
              </w:rPr>
              <w:t xml:space="preserve"> </w:t>
            </w:r>
            <w:r w:rsidRPr="0043547B">
              <w:rPr>
                <w:rFonts w:eastAsia="Times New Roman" w:cstheme="minorHAnsi"/>
                <w:sz w:val="24"/>
                <w:szCs w:val="24"/>
                <w:lang w:eastAsia="fr-FR"/>
              </w:rPr>
              <w:t>répondent aux exigences de l’EN 1457-1 avec la même température de fonctionnement, pression, désignation et résistance au feu de cheminée.</w:t>
            </w:r>
          </w:p>
        </w:tc>
      </w:tr>
      <w:tr w:rsidR="00273ED5" w:rsidRPr="0043547B" w:rsidTr="00CB5DC0">
        <w:trPr>
          <w:trHeight w:val="330"/>
          <w:jc w:val="center"/>
        </w:trPr>
        <w:tc>
          <w:tcPr>
            <w:tcW w:w="1838" w:type="dxa"/>
            <w:tcBorders>
              <w:top w:val="nil"/>
              <w:left w:val="single" w:sz="18" w:space="0" w:color="auto"/>
              <w:bottom w:val="single" w:sz="18" w:space="0" w:color="auto"/>
              <w:right w:val="single" w:sz="4" w:space="0" w:color="auto"/>
            </w:tcBorders>
            <w:shd w:val="clear" w:color="auto" w:fill="A1C064"/>
            <w:vAlign w:val="center"/>
          </w:tcPr>
          <w:p w:rsidR="00273ED5" w:rsidRPr="0043547B" w:rsidRDefault="00273ED5" w:rsidP="00273ED5">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nil"/>
              <w:left w:val="single" w:sz="4" w:space="0" w:color="auto"/>
              <w:bottom w:val="single" w:sz="18" w:space="0" w:color="auto"/>
              <w:right w:val="single" w:sz="18" w:space="0" w:color="auto"/>
            </w:tcBorders>
            <w:shd w:val="clear" w:color="auto" w:fill="A1C064"/>
            <w:vAlign w:val="center"/>
          </w:tcPr>
          <w:p w:rsidR="00273ED5" w:rsidRPr="0043547B" w:rsidRDefault="00273ED5" w:rsidP="00273ED5">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13084-4</w:t>
            </w:r>
          </w:p>
        </w:tc>
      </w:tr>
      <w:tr w:rsidR="00273ED5" w:rsidRPr="0043547B" w:rsidTr="00CB5DC0">
        <w:trPr>
          <w:trHeight w:val="330"/>
          <w:jc w:val="center"/>
        </w:trPr>
        <w:tc>
          <w:tcPr>
            <w:tcW w:w="1838" w:type="dxa"/>
            <w:tcBorders>
              <w:top w:val="single" w:sz="18" w:space="0" w:color="auto"/>
              <w:left w:val="single" w:sz="18" w:space="0" w:color="auto"/>
              <w:bottom w:val="single" w:sz="6" w:space="0" w:color="auto"/>
              <w:right w:val="single" w:sz="4" w:space="0" w:color="auto"/>
            </w:tcBorders>
            <w:shd w:val="clear" w:color="auto" w:fill="FFFF99"/>
            <w:vAlign w:val="center"/>
          </w:tcPr>
          <w:p w:rsidR="00273ED5" w:rsidRPr="0043547B" w:rsidRDefault="00273ED5" w:rsidP="00273ED5">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6" w:space="0" w:color="auto"/>
              <w:right w:val="single" w:sz="18" w:space="0" w:color="auto"/>
            </w:tcBorders>
            <w:shd w:val="clear" w:color="auto" w:fill="FFFF99"/>
            <w:vAlign w:val="center"/>
          </w:tcPr>
          <w:p w:rsidR="00273ED5" w:rsidRPr="0043547B" w:rsidRDefault="00273ED5" w:rsidP="00273ED5">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13084-4</w:t>
            </w:r>
          </w:p>
        </w:tc>
      </w:tr>
      <w:tr w:rsidR="00273ED5" w:rsidRPr="0043547B" w:rsidTr="00CB5DC0">
        <w:trPr>
          <w:trHeight w:val="330"/>
          <w:jc w:val="center"/>
        </w:trPr>
        <w:tc>
          <w:tcPr>
            <w:tcW w:w="1838" w:type="dxa"/>
            <w:tcBorders>
              <w:top w:val="single" w:sz="6" w:space="0" w:color="auto"/>
              <w:left w:val="single" w:sz="18" w:space="0" w:color="auto"/>
              <w:bottom w:val="single" w:sz="6" w:space="0" w:color="auto"/>
              <w:right w:val="single" w:sz="4" w:space="0" w:color="auto"/>
            </w:tcBorders>
            <w:shd w:val="clear" w:color="auto" w:fill="95B3D7" w:themeFill="accent1" w:themeFillTint="99"/>
            <w:vAlign w:val="center"/>
          </w:tcPr>
          <w:p w:rsidR="00273ED5" w:rsidRPr="0043547B" w:rsidRDefault="00273ED5" w:rsidP="00273ED5">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6" w:space="0" w:color="auto"/>
              <w:left w:val="single" w:sz="4" w:space="0" w:color="auto"/>
              <w:bottom w:val="single" w:sz="6" w:space="0" w:color="auto"/>
              <w:right w:val="single" w:sz="18" w:space="0" w:color="auto"/>
            </w:tcBorders>
            <w:shd w:val="clear" w:color="auto" w:fill="auto"/>
            <w:vAlign w:val="center"/>
          </w:tcPr>
          <w:p w:rsidR="00273ED5" w:rsidRPr="0043547B" w:rsidRDefault="00273ED5" w:rsidP="00273ED5">
            <w:pPr>
              <w:spacing w:after="0" w:line="240" w:lineRule="auto"/>
              <w:rPr>
                <w:rFonts w:eastAsia="Times New Roman" w:cstheme="minorHAnsi"/>
                <w:sz w:val="24"/>
                <w:szCs w:val="24"/>
                <w:lang w:eastAsia="fr-FR"/>
              </w:rPr>
            </w:pPr>
            <w:r w:rsidRPr="0043547B">
              <w:rPr>
                <w:rFonts w:eastAsia="Times New Roman" w:cstheme="minorHAnsi"/>
                <w:sz w:val="24"/>
                <w:szCs w:val="24"/>
                <w:lang w:eastAsia="fr-FR"/>
              </w:rPr>
              <w:t xml:space="preserve">Cheminées indépendantes - Partie 4 : Conduits intérieurs en briques de terre cuite - Conception et mise en œuvre </w:t>
            </w:r>
          </w:p>
        </w:tc>
      </w:tr>
      <w:tr w:rsidR="00273ED5" w:rsidRPr="0043547B" w:rsidTr="00CB5DC0">
        <w:trPr>
          <w:trHeight w:val="330"/>
          <w:jc w:val="center"/>
        </w:trPr>
        <w:tc>
          <w:tcPr>
            <w:tcW w:w="1838" w:type="dxa"/>
            <w:tcBorders>
              <w:top w:val="single" w:sz="6" w:space="0" w:color="auto"/>
              <w:left w:val="single" w:sz="18" w:space="0" w:color="auto"/>
              <w:bottom w:val="single" w:sz="18" w:space="0" w:color="auto"/>
              <w:right w:val="single" w:sz="4" w:space="0" w:color="auto"/>
            </w:tcBorders>
            <w:shd w:val="clear" w:color="000000" w:fill="D9D9D9"/>
            <w:vAlign w:val="center"/>
          </w:tcPr>
          <w:p w:rsidR="00273ED5" w:rsidRPr="0043547B" w:rsidRDefault="00273ED5" w:rsidP="00273ED5">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single" w:sz="6" w:space="0" w:color="auto"/>
              <w:left w:val="single" w:sz="4" w:space="0" w:color="auto"/>
              <w:bottom w:val="single" w:sz="18" w:space="0" w:color="auto"/>
              <w:right w:val="single" w:sz="18" w:space="0" w:color="auto"/>
            </w:tcBorders>
            <w:shd w:val="clear" w:color="auto" w:fill="auto"/>
            <w:vAlign w:val="center"/>
          </w:tcPr>
          <w:p w:rsidR="00273ED5" w:rsidRPr="0043547B" w:rsidRDefault="00273ED5" w:rsidP="00273ED5">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européenne spécifie les exigences et critères de performance particuliers applicables à la conception et à la construction des systèmes de conduit intérieur en briques de terre cuite pour les cheminées industrielles autoportantes. La pratique courante en Europe favorise les conduits en sections ; les exigences de</w:t>
            </w:r>
            <w:r>
              <w:rPr>
                <w:rFonts w:eastAsia="Times New Roman" w:cstheme="minorHAnsi"/>
                <w:sz w:val="24"/>
                <w:szCs w:val="24"/>
                <w:lang w:eastAsia="fr-FR"/>
              </w:rPr>
              <w:t xml:space="preserve"> </w:t>
            </w:r>
            <w:r w:rsidRPr="0043547B">
              <w:rPr>
                <w:rFonts w:eastAsia="Times New Roman" w:cstheme="minorHAnsi"/>
                <w:sz w:val="24"/>
                <w:szCs w:val="24"/>
                <w:lang w:eastAsia="fr-FR"/>
              </w:rPr>
              <w:t>la présente norme concernent principalement ces solutions, mais elles sont aussi largement applicables aux conduits portés par la base indépendants et étayés. La présente Norme européenne définit les exigences permettant de garantir la résistance mécanique et la stabilité des conduits intérieurs, conformément aux exigences générales données dans l’EN 13084-1.</w:t>
            </w:r>
          </w:p>
          <w:p w:rsidR="00273ED5" w:rsidRPr="0043547B" w:rsidRDefault="00273ED5" w:rsidP="00273ED5">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systèmes de conduit intérieur sont constitués de tout ou partie des éléments suivants :</w:t>
            </w:r>
          </w:p>
          <w:p w:rsidR="00273ED5" w:rsidRPr="0043547B" w:rsidRDefault="00273ED5" w:rsidP="00273ED5">
            <w:pPr>
              <w:spacing w:after="0" w:line="240" w:lineRule="auto"/>
              <w:rPr>
                <w:rFonts w:eastAsia="Times New Roman" w:cstheme="minorHAnsi"/>
                <w:sz w:val="24"/>
                <w:szCs w:val="24"/>
                <w:lang w:eastAsia="fr-FR"/>
              </w:rPr>
            </w:pPr>
            <w:r w:rsidRPr="0043547B">
              <w:rPr>
                <w:rFonts w:eastAsia="Times New Roman" w:cstheme="minorHAnsi"/>
                <w:sz w:val="24"/>
                <w:szCs w:val="24"/>
                <w:lang w:eastAsia="fr-FR"/>
              </w:rPr>
              <w:t>— le conduit intérieur de cheminée avec une arrivée de gaine ;</w:t>
            </w:r>
            <w:r w:rsidRPr="0043547B">
              <w:rPr>
                <w:rFonts w:eastAsia="Times New Roman" w:cstheme="minorHAnsi"/>
                <w:sz w:val="24"/>
                <w:szCs w:val="24"/>
                <w:lang w:eastAsia="fr-FR"/>
              </w:rPr>
              <w:br/>
              <w:t>— l’isolation ;</w:t>
            </w:r>
            <w:r w:rsidRPr="0043547B">
              <w:rPr>
                <w:rFonts w:eastAsia="Times New Roman" w:cstheme="minorHAnsi"/>
                <w:sz w:val="24"/>
                <w:szCs w:val="24"/>
                <w:lang w:eastAsia="fr-FR"/>
              </w:rPr>
              <w:br/>
              <w:t>— le support du conduit intérieur ;</w:t>
            </w:r>
            <w:r w:rsidRPr="0043547B">
              <w:rPr>
                <w:rFonts w:eastAsia="Times New Roman" w:cstheme="minorHAnsi"/>
                <w:sz w:val="24"/>
                <w:szCs w:val="24"/>
                <w:lang w:eastAsia="fr-FR"/>
              </w:rPr>
              <w:br/>
              <w:t>— l’espace entre le conduit intérieur et le brise-vent en béton.</w:t>
            </w:r>
            <w:r w:rsidRPr="0043547B">
              <w:rPr>
                <w:rFonts w:eastAsia="Times New Roman" w:cstheme="minorHAnsi"/>
                <w:sz w:val="24"/>
                <w:szCs w:val="24"/>
                <w:lang w:eastAsia="fr-FR"/>
              </w:rPr>
              <w:br/>
              <w:t>Les calculs de débit de gaz visant à déterminer la taille des conduits intérieurs sont expliqués dans l’EN 13084-1.</w:t>
            </w:r>
          </w:p>
        </w:tc>
      </w:tr>
      <w:tr w:rsidR="00273ED5" w:rsidRPr="0043547B" w:rsidTr="00CB5DC0">
        <w:trPr>
          <w:trHeight w:val="330"/>
          <w:jc w:val="center"/>
        </w:trPr>
        <w:tc>
          <w:tcPr>
            <w:tcW w:w="1838" w:type="dxa"/>
            <w:tcBorders>
              <w:top w:val="nil"/>
              <w:left w:val="single" w:sz="18" w:space="0" w:color="auto"/>
              <w:bottom w:val="single" w:sz="18" w:space="0" w:color="auto"/>
              <w:right w:val="single" w:sz="4" w:space="0" w:color="auto"/>
            </w:tcBorders>
            <w:shd w:val="clear" w:color="auto" w:fill="A1C064"/>
            <w:vAlign w:val="center"/>
          </w:tcPr>
          <w:p w:rsidR="00273ED5" w:rsidRPr="0043547B" w:rsidRDefault="00273ED5" w:rsidP="00273ED5">
            <w:pPr>
              <w:spacing w:after="0"/>
              <w:jc w:val="center"/>
              <w:rPr>
                <w:rFonts w:cstheme="minorHAnsi"/>
                <w:b/>
                <w:bCs/>
                <w:sz w:val="24"/>
                <w:szCs w:val="24"/>
              </w:rPr>
            </w:pPr>
            <w:r w:rsidRPr="0043547B">
              <w:rPr>
                <w:rFonts w:cstheme="minorHAnsi"/>
                <w:b/>
                <w:bCs/>
                <w:sz w:val="24"/>
                <w:szCs w:val="24"/>
              </w:rPr>
              <w:t>Code :</w:t>
            </w:r>
          </w:p>
        </w:tc>
        <w:tc>
          <w:tcPr>
            <w:tcW w:w="7938" w:type="dxa"/>
            <w:tcBorders>
              <w:top w:val="nil"/>
              <w:left w:val="single" w:sz="4" w:space="0" w:color="auto"/>
              <w:bottom w:val="single" w:sz="18" w:space="0" w:color="auto"/>
              <w:right w:val="single" w:sz="18" w:space="0" w:color="auto"/>
            </w:tcBorders>
            <w:shd w:val="clear" w:color="auto" w:fill="A1C064"/>
            <w:vAlign w:val="center"/>
          </w:tcPr>
          <w:p w:rsidR="00273ED5" w:rsidRPr="0043547B" w:rsidRDefault="00273ED5" w:rsidP="00273ED5">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13084-5</w:t>
            </w:r>
          </w:p>
        </w:tc>
      </w:tr>
      <w:tr w:rsidR="00273ED5" w:rsidRPr="0043547B" w:rsidTr="00CB5DC0">
        <w:trPr>
          <w:trHeight w:val="330"/>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tcPr>
          <w:p w:rsidR="00273ED5" w:rsidRPr="0043547B" w:rsidRDefault="00273ED5" w:rsidP="00273ED5">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tcPr>
          <w:p w:rsidR="00273ED5" w:rsidRPr="0043547B" w:rsidRDefault="00273ED5" w:rsidP="00273ED5">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13084-5</w:t>
            </w:r>
          </w:p>
        </w:tc>
      </w:tr>
      <w:tr w:rsidR="00273ED5" w:rsidRPr="0043547B" w:rsidTr="00CB5DC0">
        <w:trPr>
          <w:trHeight w:val="330"/>
          <w:jc w:val="center"/>
        </w:trPr>
        <w:tc>
          <w:tcPr>
            <w:tcW w:w="1838" w:type="dxa"/>
            <w:tcBorders>
              <w:top w:val="single" w:sz="4" w:space="0" w:color="auto"/>
              <w:left w:val="single" w:sz="18" w:space="0" w:color="auto"/>
              <w:bottom w:val="single" w:sz="4" w:space="0" w:color="auto"/>
              <w:right w:val="single" w:sz="4" w:space="0" w:color="auto"/>
            </w:tcBorders>
            <w:shd w:val="clear" w:color="auto" w:fill="95B3D7" w:themeFill="accent1" w:themeFillTint="99"/>
            <w:vAlign w:val="center"/>
          </w:tcPr>
          <w:p w:rsidR="00273ED5" w:rsidRPr="0043547B" w:rsidRDefault="00273ED5" w:rsidP="00273ED5">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auto"/>
            <w:vAlign w:val="center"/>
          </w:tcPr>
          <w:p w:rsidR="00273ED5" w:rsidRPr="0043547B" w:rsidRDefault="00273ED5" w:rsidP="00273ED5">
            <w:pPr>
              <w:spacing w:after="0" w:line="240" w:lineRule="auto"/>
              <w:rPr>
                <w:rFonts w:eastAsia="Times New Roman" w:cstheme="minorHAnsi"/>
                <w:sz w:val="24"/>
                <w:szCs w:val="24"/>
                <w:lang w:eastAsia="fr-FR"/>
              </w:rPr>
            </w:pPr>
            <w:r w:rsidRPr="0043547B">
              <w:rPr>
                <w:rFonts w:eastAsia="Times New Roman" w:cstheme="minorHAnsi"/>
                <w:sz w:val="24"/>
                <w:szCs w:val="24"/>
                <w:lang w:eastAsia="fr-FR"/>
              </w:rPr>
              <w:t xml:space="preserve">Cheminées autoportantes - Partie 5: Matériaux pour conduits intérieurs en terre cuite - Spécification du produit </w:t>
            </w:r>
          </w:p>
        </w:tc>
      </w:tr>
      <w:tr w:rsidR="00273ED5" w:rsidRPr="0043547B" w:rsidTr="00CB5DC0">
        <w:trPr>
          <w:trHeight w:val="330"/>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273ED5" w:rsidRPr="0043547B" w:rsidRDefault="00273ED5" w:rsidP="00273ED5">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center"/>
          </w:tcPr>
          <w:p w:rsidR="00273ED5" w:rsidRDefault="00273ED5" w:rsidP="00273ED5">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européenne spécifie les exigences de performance et les méthodes d'essai pour les briques</w:t>
            </w:r>
            <w:r>
              <w:rPr>
                <w:rFonts w:eastAsia="Times New Roman" w:cstheme="minorHAnsi"/>
                <w:sz w:val="24"/>
                <w:szCs w:val="24"/>
                <w:lang w:eastAsia="fr-FR"/>
              </w:rPr>
              <w:t xml:space="preserve"> </w:t>
            </w:r>
            <w:r w:rsidRPr="0043547B">
              <w:rPr>
                <w:rFonts w:eastAsia="Times New Roman" w:cstheme="minorHAnsi"/>
                <w:sz w:val="24"/>
                <w:szCs w:val="24"/>
                <w:lang w:eastAsia="fr-FR"/>
              </w:rPr>
              <w:t>de terre cuite/céramique et les mortiers industriels utilisés pour la construction des conduits intérieurs en terre</w:t>
            </w:r>
            <w:r>
              <w:rPr>
                <w:rFonts w:eastAsia="Times New Roman" w:cstheme="minorHAnsi"/>
                <w:sz w:val="24"/>
                <w:szCs w:val="24"/>
                <w:lang w:eastAsia="fr-FR"/>
              </w:rPr>
              <w:t xml:space="preserve"> </w:t>
            </w:r>
            <w:r w:rsidRPr="0043547B">
              <w:rPr>
                <w:rFonts w:eastAsia="Times New Roman" w:cstheme="minorHAnsi"/>
                <w:sz w:val="24"/>
                <w:szCs w:val="24"/>
                <w:lang w:eastAsia="fr-FR"/>
              </w:rPr>
              <w:t>cuite des cheminées industrielles autoportantes. La conception structurale des conduits intérieurs en terre cuite</w:t>
            </w:r>
            <w:r>
              <w:rPr>
                <w:rFonts w:eastAsia="Times New Roman" w:cstheme="minorHAnsi"/>
                <w:sz w:val="24"/>
                <w:szCs w:val="24"/>
                <w:lang w:eastAsia="fr-FR"/>
              </w:rPr>
              <w:t xml:space="preserve"> </w:t>
            </w:r>
            <w:r w:rsidRPr="0043547B">
              <w:rPr>
                <w:rFonts w:eastAsia="Times New Roman" w:cstheme="minorHAnsi"/>
                <w:sz w:val="24"/>
                <w:szCs w:val="24"/>
                <w:lang w:eastAsia="fr-FR"/>
              </w:rPr>
              <w:t>est spécifiée dans l'EN 13084-4.</w:t>
            </w:r>
          </w:p>
          <w:p w:rsidR="00273ED5" w:rsidRDefault="00273ED5" w:rsidP="00273ED5">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L'exigence de marquage pour les briques de terre cuite et mortiers couverts par la présente </w:t>
            </w:r>
            <w:r>
              <w:rPr>
                <w:rFonts w:eastAsia="Times New Roman" w:cstheme="minorHAnsi"/>
                <w:sz w:val="24"/>
                <w:szCs w:val="24"/>
                <w:lang w:eastAsia="fr-FR"/>
              </w:rPr>
              <w:t>n</w:t>
            </w:r>
            <w:r w:rsidRPr="0043547B">
              <w:rPr>
                <w:rFonts w:eastAsia="Times New Roman" w:cstheme="minorHAnsi"/>
                <w:sz w:val="24"/>
                <w:szCs w:val="24"/>
                <w:lang w:eastAsia="fr-FR"/>
              </w:rPr>
              <w:t>orme est incluse.</w:t>
            </w:r>
          </w:p>
          <w:p w:rsidR="00273ED5" w:rsidRPr="0043547B" w:rsidRDefault="00273ED5" w:rsidP="00273ED5">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La présente </w:t>
            </w:r>
            <w:r>
              <w:rPr>
                <w:rFonts w:eastAsia="Times New Roman" w:cstheme="minorHAnsi"/>
                <w:sz w:val="24"/>
                <w:szCs w:val="24"/>
                <w:lang w:eastAsia="fr-FR"/>
              </w:rPr>
              <w:t>n</w:t>
            </w:r>
            <w:r w:rsidRPr="0043547B">
              <w:rPr>
                <w:rFonts w:eastAsia="Times New Roman" w:cstheme="minorHAnsi"/>
                <w:sz w:val="24"/>
                <w:szCs w:val="24"/>
                <w:lang w:eastAsia="fr-FR"/>
              </w:rPr>
              <w:t>orme inclut l'évaluation de la conformité des matériaux pour conduits intérieurs en briques</w:t>
            </w:r>
            <w:r>
              <w:rPr>
                <w:rFonts w:eastAsia="Times New Roman" w:cstheme="minorHAnsi"/>
                <w:sz w:val="24"/>
                <w:szCs w:val="24"/>
                <w:lang w:eastAsia="fr-FR"/>
              </w:rPr>
              <w:t xml:space="preserve"> </w:t>
            </w:r>
            <w:r w:rsidRPr="0043547B">
              <w:rPr>
                <w:rFonts w:eastAsia="Times New Roman" w:cstheme="minorHAnsi"/>
                <w:sz w:val="24"/>
                <w:szCs w:val="24"/>
                <w:lang w:eastAsia="fr-FR"/>
              </w:rPr>
              <w:t xml:space="preserve">de terre cuite à cette </w:t>
            </w:r>
            <w:r>
              <w:rPr>
                <w:rFonts w:eastAsia="Times New Roman" w:cstheme="minorHAnsi"/>
                <w:sz w:val="24"/>
                <w:szCs w:val="24"/>
                <w:lang w:eastAsia="fr-FR"/>
              </w:rPr>
              <w:t>n</w:t>
            </w:r>
            <w:r w:rsidRPr="0043547B">
              <w:rPr>
                <w:rFonts w:eastAsia="Times New Roman" w:cstheme="minorHAnsi"/>
                <w:sz w:val="24"/>
                <w:szCs w:val="24"/>
                <w:lang w:eastAsia="fr-FR"/>
              </w:rPr>
              <w:t>orme.</w:t>
            </w:r>
          </w:p>
        </w:tc>
      </w:tr>
    </w:tbl>
    <w:p w:rsidR="00B537F5" w:rsidRDefault="00B537F5" w:rsidP="00B874C5">
      <w:pPr>
        <w:pStyle w:val="Titre4"/>
        <w:ind w:left="1418"/>
        <w:rPr>
          <w:rFonts w:cstheme="minorHAnsi"/>
          <w:b/>
          <w:bCs w:val="0"/>
          <w:iCs w:val="0"/>
          <w:color w:val="auto"/>
          <w:szCs w:val="24"/>
          <w:u w:val="single"/>
        </w:rPr>
      </w:pPr>
    </w:p>
    <w:p w:rsidR="00B537F5" w:rsidRDefault="00B537F5">
      <w:pPr>
        <w:rPr>
          <w:rFonts w:eastAsiaTheme="majorEastAsia" w:cstheme="minorHAnsi"/>
          <w:b/>
          <w:sz w:val="24"/>
          <w:szCs w:val="24"/>
          <w:u w:val="single"/>
        </w:rPr>
      </w:pPr>
      <w:r>
        <w:rPr>
          <w:rFonts w:cstheme="minorHAnsi"/>
          <w:b/>
          <w:bCs/>
          <w:iCs/>
          <w:szCs w:val="24"/>
          <w:u w:val="single"/>
        </w:rPr>
        <w:br w:type="page"/>
      </w:r>
    </w:p>
    <w:p w:rsidR="00904E52" w:rsidRPr="0043547B" w:rsidRDefault="00904E52" w:rsidP="00AF178F">
      <w:pPr>
        <w:pStyle w:val="Titre4"/>
        <w:numPr>
          <w:ilvl w:val="2"/>
          <w:numId w:val="2"/>
        </w:numPr>
        <w:ind w:left="1418" w:hanging="579"/>
        <w:rPr>
          <w:rFonts w:cstheme="minorHAnsi"/>
          <w:b/>
          <w:bCs w:val="0"/>
          <w:iCs w:val="0"/>
          <w:color w:val="auto"/>
          <w:szCs w:val="24"/>
          <w:u w:val="single"/>
        </w:rPr>
      </w:pPr>
      <w:r w:rsidRPr="0043547B">
        <w:rPr>
          <w:rFonts w:cstheme="minorHAnsi"/>
          <w:b/>
          <w:bCs w:val="0"/>
          <w:iCs w:val="0"/>
          <w:color w:val="auto"/>
          <w:szCs w:val="24"/>
          <w:u w:val="single"/>
        </w:rPr>
        <w:lastRenderedPageBreak/>
        <w:t>Produits de carrière</w:t>
      </w:r>
      <w:bookmarkEnd w:id="24"/>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8"/>
        <w:gridCol w:w="7938"/>
      </w:tblGrid>
      <w:tr w:rsidR="0043547B" w:rsidRPr="0043547B" w:rsidTr="00CB5DC0">
        <w:trPr>
          <w:trHeight w:val="224"/>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10.1.136</w:t>
            </w:r>
          </w:p>
        </w:tc>
      </w:tr>
      <w:tr w:rsidR="0043547B" w:rsidRPr="0043547B" w:rsidTr="00CB5DC0">
        <w:trPr>
          <w:trHeight w:val="91"/>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000000" w:fill="FFFFFF"/>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Granulats - Prélèvement de matériaux sur stock </w:t>
            </w:r>
          </w:p>
        </w:tc>
      </w:tr>
      <w:tr w:rsidR="0043547B" w:rsidRPr="0043547B" w:rsidTr="00CB5DC0">
        <w:trPr>
          <w:trHeight w:val="127"/>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000000" w:fill="FFFFFF"/>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aux granulats d’origine naturelle ou artificielle utilisés dans le domaine du bâtiment et du génie civil ayant D &lt; 120 mm (D est la plus grande dimension spécifiée).</w:t>
            </w:r>
          </w:p>
        </w:tc>
      </w:tr>
      <w:tr w:rsidR="0043547B" w:rsidRPr="0043547B" w:rsidTr="00CB5DC0">
        <w:trPr>
          <w:trHeight w:val="121"/>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10.1.165</w:t>
            </w:r>
          </w:p>
        </w:tc>
      </w:tr>
      <w:tr w:rsidR="0043547B" w:rsidRPr="0043547B" w:rsidTr="00CB5DC0">
        <w:trPr>
          <w:trHeight w:val="131"/>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000000" w:fill="FFFFFF"/>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Sable de concassage pour béton hydraulique - Spécifications </w:t>
            </w:r>
          </w:p>
        </w:tc>
      </w:tr>
      <w:tr w:rsidR="0043547B" w:rsidRPr="0043547B" w:rsidTr="00CB5DC0">
        <w:trPr>
          <w:trHeight w:val="845"/>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000000" w:fill="FFFFFF"/>
            <w:vAlign w:val="bottom"/>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 sable de concassage concerné par La norme est un sable destiné pour un béton de performances élevées béton précontraint de type B1, Béton armé de type B2, ....etc.</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Aussi les sables de concassage destinés à la petite fabrication industrielle telle que agglos, bordure de trottoir etc ... ne sont pas concernés par toutes les spécifications de la norme.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 sable de concassage dans le béton peut être utilisé seule ou en mélange avec un sable usuel répondant aux spécifications de la norme NM 10.1.008. Quant au sable de concassage, celui-ci doit répondre aux spécifications de la norme.</w:t>
            </w:r>
          </w:p>
        </w:tc>
      </w:tr>
      <w:tr w:rsidR="0043547B" w:rsidRPr="0043547B" w:rsidTr="00CB5DC0">
        <w:trPr>
          <w:trHeight w:val="126"/>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13.1.037</w:t>
            </w:r>
          </w:p>
        </w:tc>
      </w:tr>
      <w:tr w:rsidR="0043547B" w:rsidRPr="0043547B" w:rsidTr="00CB5DC0">
        <w:trPr>
          <w:trHeight w:val="134"/>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000000" w:fill="FFFFFF"/>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Coefficient de fragmentabilité des matériaux rocheux </w:t>
            </w:r>
          </w:p>
        </w:tc>
      </w:tr>
      <w:tr w:rsidR="0043547B" w:rsidRPr="0043547B" w:rsidTr="00CB5DC0">
        <w:trPr>
          <w:trHeight w:val="1047"/>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000000" w:fill="FFFFFF"/>
            <w:vAlign w:val="bottom"/>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est applicable à tous les matériaux rocheux utilisables dans la construction des remblais et des couches de forme d’infrastructures routières, en vue de caractériser le caractère évolutif de leur granularité.</w:t>
            </w:r>
          </w:p>
        </w:tc>
      </w:tr>
      <w:tr w:rsidR="0043547B" w:rsidRPr="0043547B" w:rsidTr="00CB5DC0">
        <w:trPr>
          <w:trHeight w:val="48"/>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13.1.038</w:t>
            </w:r>
          </w:p>
        </w:tc>
      </w:tr>
      <w:tr w:rsidR="0043547B" w:rsidRPr="0043547B" w:rsidTr="00CB5DC0">
        <w:trPr>
          <w:trHeight w:val="186"/>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000000" w:fill="FFFFFF"/>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Coefficient de dégradabilité des matériaux rocheux  </w:t>
            </w:r>
          </w:p>
        </w:tc>
      </w:tr>
      <w:tr w:rsidR="0043547B" w:rsidRPr="0043547B" w:rsidTr="00CB5DC0">
        <w:trPr>
          <w:trHeight w:val="1167"/>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000000" w:fill="FFFFFF"/>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est applicable à tous les matériaux rocheux utilisables dans la construction des remblais et des couches de forme d’infrastructures routières, en vue de caractériser le caractère évolutif de leurs caractéristiques géotechniques (granularité, argilosité, plasticité).</w:t>
            </w:r>
          </w:p>
        </w:tc>
      </w:tr>
      <w:tr w:rsidR="0043547B" w:rsidRPr="0043547B" w:rsidTr="00CB5DC0">
        <w:trPr>
          <w:trHeight w:val="107"/>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10.1.271</w:t>
            </w:r>
          </w:p>
        </w:tc>
      </w:tr>
      <w:tr w:rsidR="0043547B" w:rsidRPr="0043547B" w:rsidTr="00CB5DC0">
        <w:trPr>
          <w:trHeight w:val="110"/>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 xml:space="preserve">EN 12620  </w:t>
            </w:r>
          </w:p>
        </w:tc>
      </w:tr>
      <w:tr w:rsidR="0043547B" w:rsidRPr="0043547B" w:rsidTr="00CB5DC0">
        <w:trPr>
          <w:trHeight w:val="1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000000" w:fill="FFFFFF"/>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Granulats pour bétons hydrauliques - Définitions, spécifications, conformité </w:t>
            </w:r>
          </w:p>
        </w:tc>
      </w:tr>
      <w:tr w:rsidR="0043547B" w:rsidRPr="0043547B" w:rsidTr="00CB5DC0">
        <w:trPr>
          <w:trHeight w:val="914"/>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000000" w:fill="FFFFFF"/>
            <w:vAlign w:val="bottom"/>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a pour objet de définir les termes relatifs aux granulats, les règles</w:t>
            </w:r>
            <w:r w:rsidRPr="0043547B">
              <w:rPr>
                <w:rFonts w:eastAsia="Times New Roman" w:cstheme="minorHAnsi"/>
                <w:sz w:val="24"/>
                <w:szCs w:val="24"/>
                <w:lang w:eastAsia="fr-FR"/>
              </w:rPr>
              <w:br/>
              <w:t>générales permettant d'effectuer leur contrôle et de fixer les spécifications auxquelles doivent répondre les granulats pour béton.</w:t>
            </w:r>
          </w:p>
        </w:tc>
      </w:tr>
      <w:tr w:rsidR="0043547B" w:rsidRPr="0043547B" w:rsidTr="00CB5DC0">
        <w:trPr>
          <w:trHeight w:val="338"/>
          <w:jc w:val="center"/>
        </w:trPr>
        <w:tc>
          <w:tcPr>
            <w:tcW w:w="1838" w:type="dxa"/>
            <w:tcBorders>
              <w:top w:val="nil"/>
              <w:left w:val="single" w:sz="18" w:space="0" w:color="auto"/>
              <w:bottom w:val="single" w:sz="18" w:space="0" w:color="auto"/>
              <w:right w:val="single" w:sz="4" w:space="0" w:color="auto"/>
            </w:tcBorders>
            <w:shd w:val="clear" w:color="auto" w:fill="B0CA7C"/>
            <w:vAlign w:val="center"/>
          </w:tcPr>
          <w:p w:rsidR="009D2838" w:rsidRPr="0043547B" w:rsidRDefault="009D2838" w:rsidP="004E4386">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left w:val="single" w:sz="4" w:space="0" w:color="auto"/>
              <w:bottom w:val="single" w:sz="18" w:space="0" w:color="auto"/>
              <w:right w:val="single" w:sz="18" w:space="0" w:color="auto"/>
            </w:tcBorders>
            <w:shd w:val="clear" w:color="auto" w:fill="B0CA7C"/>
            <w:vAlign w:val="center"/>
          </w:tcPr>
          <w:p w:rsidR="009D2838" w:rsidRPr="0043547B" w:rsidRDefault="009D2838" w:rsidP="004E4386">
            <w:pPr>
              <w:spacing w:after="0" w:line="240" w:lineRule="auto"/>
              <w:jc w:val="center"/>
              <w:rPr>
                <w:rFonts w:cstheme="minorHAnsi"/>
                <w:b/>
                <w:bCs/>
                <w:sz w:val="24"/>
                <w:szCs w:val="24"/>
              </w:rPr>
            </w:pPr>
            <w:r w:rsidRPr="0043547B">
              <w:rPr>
                <w:rFonts w:cstheme="minorHAnsi"/>
                <w:b/>
                <w:bCs/>
                <w:sz w:val="24"/>
                <w:szCs w:val="24"/>
              </w:rPr>
              <w:t>NM EN 13043</w:t>
            </w:r>
          </w:p>
        </w:tc>
      </w:tr>
      <w:tr w:rsidR="0043547B" w:rsidRPr="0043547B" w:rsidTr="004E4386">
        <w:trPr>
          <w:trHeight w:val="386"/>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tcPr>
          <w:p w:rsidR="009D2838" w:rsidRPr="0043547B" w:rsidRDefault="009D2838" w:rsidP="004E4386">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tcPr>
          <w:p w:rsidR="009D2838" w:rsidRPr="0043547B" w:rsidRDefault="009D2838" w:rsidP="004E4386">
            <w:pPr>
              <w:spacing w:after="0" w:line="240" w:lineRule="auto"/>
              <w:jc w:val="center"/>
              <w:rPr>
                <w:rFonts w:cstheme="minorHAnsi"/>
                <w:b/>
                <w:bCs/>
                <w:sz w:val="24"/>
                <w:szCs w:val="24"/>
              </w:rPr>
            </w:pPr>
            <w:r w:rsidRPr="0043547B">
              <w:rPr>
                <w:rFonts w:cstheme="minorHAnsi"/>
                <w:b/>
                <w:bCs/>
                <w:sz w:val="24"/>
                <w:szCs w:val="24"/>
              </w:rPr>
              <w:t>EN 13043</w:t>
            </w:r>
          </w:p>
        </w:tc>
      </w:tr>
      <w:tr w:rsidR="0043547B" w:rsidRPr="0043547B" w:rsidTr="004E4386">
        <w:trPr>
          <w:trHeight w:val="685"/>
          <w:jc w:val="center"/>
        </w:trPr>
        <w:tc>
          <w:tcPr>
            <w:tcW w:w="1838" w:type="dxa"/>
            <w:tcBorders>
              <w:top w:val="single" w:sz="4" w:space="0" w:color="auto"/>
              <w:left w:val="single" w:sz="18" w:space="0" w:color="auto"/>
              <w:bottom w:val="single" w:sz="4" w:space="0" w:color="auto"/>
              <w:right w:val="single" w:sz="4" w:space="0" w:color="auto"/>
            </w:tcBorders>
            <w:shd w:val="clear" w:color="auto" w:fill="95B3D7" w:themeFill="accent1" w:themeFillTint="99"/>
            <w:vAlign w:val="center"/>
          </w:tcPr>
          <w:p w:rsidR="009D2838" w:rsidRPr="0043547B" w:rsidRDefault="009D2838" w:rsidP="004E4386">
            <w:pPr>
              <w:spacing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000000" w:fill="FFFFFF"/>
            <w:vAlign w:val="bottom"/>
          </w:tcPr>
          <w:p w:rsidR="009D2838" w:rsidRPr="0043547B" w:rsidRDefault="009D2838" w:rsidP="003A26C1">
            <w:pPr>
              <w:spacing w:after="0" w:line="240" w:lineRule="auto"/>
              <w:rPr>
                <w:rFonts w:cstheme="minorHAnsi"/>
                <w:sz w:val="24"/>
                <w:szCs w:val="24"/>
              </w:rPr>
            </w:pPr>
            <w:r w:rsidRPr="0043547B">
              <w:rPr>
                <w:rFonts w:cstheme="minorHAnsi"/>
                <w:sz w:val="24"/>
                <w:szCs w:val="24"/>
              </w:rPr>
              <w:t xml:space="preserve">Granulats pour mélanges hydrocarbonés et pour enduits superficiels utilisés dans la construction des chaussées, aérodromes et d'autres zones de circulation ; </w:t>
            </w:r>
          </w:p>
        </w:tc>
      </w:tr>
      <w:tr w:rsidR="0043547B" w:rsidRPr="0043547B" w:rsidTr="00B537F5">
        <w:trPr>
          <w:trHeight w:val="701"/>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9D2838" w:rsidRPr="0043547B" w:rsidRDefault="009D2838" w:rsidP="004E4386">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000000" w:fill="FFFFFF"/>
          </w:tcPr>
          <w:p w:rsidR="004E4386" w:rsidRPr="0043547B" w:rsidRDefault="009D2838" w:rsidP="00215B91">
            <w:pPr>
              <w:spacing w:after="0" w:line="240" w:lineRule="auto"/>
              <w:jc w:val="both"/>
              <w:rPr>
                <w:rFonts w:cstheme="minorHAnsi"/>
                <w:sz w:val="24"/>
                <w:szCs w:val="24"/>
              </w:rPr>
            </w:pPr>
            <w:r w:rsidRPr="0043547B">
              <w:rPr>
                <w:rFonts w:cstheme="minorHAnsi"/>
                <w:sz w:val="24"/>
                <w:szCs w:val="24"/>
              </w:rPr>
              <w:t>La présente Norme européenne spécifie les caractéristiques des granulats et des fillers élaborés à partir de matériaux naturels, artificiels ou de recyclage afin d'être incorporés dans les mélanges hydrocarbonés et les enduits superficiels utilisés dans la construction des chaussées, aérodromes et autres zones de circulation. La présente norme ne traite pas de l'utilisation d’agrégats recyclés.</w:t>
            </w:r>
          </w:p>
          <w:p w:rsidR="009D2838" w:rsidRDefault="009D2838" w:rsidP="00B537F5">
            <w:pPr>
              <w:spacing w:after="0" w:line="240" w:lineRule="auto"/>
              <w:jc w:val="both"/>
              <w:rPr>
                <w:rFonts w:cstheme="minorHAnsi"/>
                <w:sz w:val="24"/>
                <w:szCs w:val="24"/>
              </w:rPr>
            </w:pPr>
            <w:r w:rsidRPr="0043547B">
              <w:rPr>
                <w:rFonts w:cstheme="minorHAnsi"/>
                <w:sz w:val="24"/>
                <w:szCs w:val="24"/>
              </w:rPr>
              <w:lastRenderedPageBreak/>
              <w:t>Elle comprend l’évaluation de la conformité des produits à la présente Norme européenne.</w:t>
            </w:r>
          </w:p>
          <w:p w:rsidR="00B537F5" w:rsidRPr="00487753" w:rsidRDefault="00B537F5" w:rsidP="00B537F5">
            <w:pPr>
              <w:spacing w:after="0" w:line="240" w:lineRule="auto"/>
              <w:jc w:val="both"/>
              <w:rPr>
                <w:rFonts w:cstheme="minorHAnsi"/>
                <w:i/>
                <w:iCs/>
              </w:rPr>
            </w:pPr>
            <w:r w:rsidRPr="00487753">
              <w:rPr>
                <w:rFonts w:cstheme="minorHAnsi"/>
                <w:b/>
                <w:bCs/>
                <w:i/>
                <w:iCs/>
              </w:rPr>
              <w:t>NOTE 1 :</w:t>
            </w:r>
            <w:r w:rsidRPr="00487753">
              <w:rPr>
                <w:rFonts w:cstheme="minorHAnsi"/>
                <w:i/>
                <w:iCs/>
              </w:rPr>
              <w:t xml:space="preserve"> Il convient que les granulats utilisés dans la construction respectent toutes les prescriptions de la présente Norme européenne. Le mandat M/125 traite, outre des granulats naturels et artificiels courants et traditionnels, des granulats recyclés ainsi que de certains matériaux d’origine nouvelle ou moins courante. Les granulats recyclés sont inclus dans la norme et de nouvelles méthodes d’essai, à un stade avancé d’élaboration, leur sont destinées. Le travail de normalisation ne fait en revanche que commencer pour des matériaux moins courants de source secondaire et davantage de temps est nécessaire pour définir clairement l’origine et les caractéristiques de ces matériaux. Dans l’intervalle, ces matériaux moins connus, s’ils sont mis sur le marché, doivent respecter pleinement la présente norme et les réglementations nationales relatives aux substances dangereuses (voir l’annexe ZA de la norme) selon l’usage qui est fait d’eux. Des caractéristiques et des prescriptions complémentaires peuvent être spécifiées au cas par cas, en fonction de l’expérience acquise à l’usage du produit, et définies dans des documents contractuels spécifiques.</w:t>
            </w:r>
          </w:p>
          <w:p w:rsidR="00B537F5" w:rsidRPr="0043547B" w:rsidRDefault="00B537F5" w:rsidP="00B537F5">
            <w:pPr>
              <w:spacing w:after="0" w:line="240" w:lineRule="auto"/>
              <w:jc w:val="both"/>
              <w:rPr>
                <w:rFonts w:cstheme="minorHAnsi"/>
                <w:i/>
                <w:iCs/>
                <w:sz w:val="24"/>
                <w:szCs w:val="24"/>
              </w:rPr>
            </w:pPr>
            <w:r w:rsidRPr="00487753">
              <w:rPr>
                <w:rFonts w:cstheme="minorHAnsi"/>
                <w:b/>
                <w:bCs/>
                <w:i/>
                <w:iCs/>
              </w:rPr>
              <w:t>NOTE 2 :</w:t>
            </w:r>
            <w:r w:rsidRPr="00487753">
              <w:rPr>
                <w:rFonts w:cstheme="minorHAnsi"/>
                <w:i/>
                <w:iCs/>
              </w:rPr>
              <w:t xml:space="preserve"> Les caractéristiques des granulats légers sont spécifiées dans le prEN 13055-2.</w:t>
            </w:r>
          </w:p>
        </w:tc>
      </w:tr>
      <w:tr w:rsidR="0043547B" w:rsidRPr="0043547B" w:rsidTr="00B537F5">
        <w:trPr>
          <w:trHeight w:val="158"/>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noWrap/>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EN 1467</w:t>
            </w:r>
          </w:p>
        </w:tc>
      </w:tr>
      <w:tr w:rsidR="0043547B" w:rsidRPr="0043547B" w:rsidTr="00B537F5">
        <w:trPr>
          <w:trHeight w:val="162"/>
          <w:jc w:val="center"/>
        </w:trPr>
        <w:tc>
          <w:tcPr>
            <w:tcW w:w="1838" w:type="dxa"/>
            <w:tcBorders>
              <w:top w:val="single" w:sz="18" w:space="0" w:color="auto"/>
              <w:left w:val="single" w:sz="18" w:space="0" w:color="auto"/>
              <w:bottom w:val="single" w:sz="18" w:space="0" w:color="auto"/>
              <w:right w:val="single" w:sz="4" w:space="0" w:color="auto"/>
            </w:tcBorders>
            <w:shd w:val="clear" w:color="auto" w:fill="FFFFCC"/>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18" w:space="0" w:color="auto"/>
              <w:right w:val="single" w:sz="18" w:space="0" w:color="auto"/>
            </w:tcBorders>
            <w:shd w:val="clear" w:color="auto" w:fill="FFFFCC"/>
            <w:noWrap/>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1467</w:t>
            </w:r>
          </w:p>
        </w:tc>
      </w:tr>
      <w:tr w:rsidR="0043547B" w:rsidRPr="0043547B" w:rsidTr="00B537F5">
        <w:trPr>
          <w:trHeight w:val="48"/>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000000" w:fill="FFFFFF"/>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Pierres naturelles - Blocs bruts – Exigences ; </w:t>
            </w:r>
          </w:p>
        </w:tc>
      </w:tr>
      <w:tr w:rsidR="0043547B" w:rsidRPr="0043547B" w:rsidTr="00CB5DC0">
        <w:trPr>
          <w:trHeight w:val="1355"/>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000000" w:fill="FFFFFF"/>
            <w:vAlign w:val="center"/>
            <w:hideMark/>
          </w:tcPr>
          <w:p w:rsidR="00904E52" w:rsidRPr="0043547B" w:rsidRDefault="00904E52" w:rsidP="00215B9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définit les spécifications relatives aux blocs bruts de pierre naturelle à partir desquels sont faits les produits utilisés pour le bâtiment, les monuments commémoratifs et autres applications similaires. Elle ne couvre pas les pierres artificielles agglomérées ni la mise en œuvre.</w:t>
            </w:r>
          </w:p>
        </w:tc>
      </w:tr>
      <w:tr w:rsidR="00001B85" w:rsidRPr="0043547B" w:rsidTr="00B537F5">
        <w:trPr>
          <w:trHeight w:val="370"/>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001B85" w:rsidRPr="00B537F5" w:rsidRDefault="00001B85" w:rsidP="00B537F5">
            <w:pPr>
              <w:spacing w:after="0" w:line="240" w:lineRule="auto"/>
              <w:jc w:val="center"/>
              <w:rPr>
                <w:rFonts w:ascii="Calibri" w:hAnsi="Calibri" w:cs="Calibri"/>
                <w:b/>
                <w:bCs/>
                <w:sz w:val="24"/>
                <w:szCs w:val="24"/>
              </w:rPr>
            </w:pPr>
            <w:r w:rsidRPr="00B537F5">
              <w:rPr>
                <w:rFonts w:ascii="Calibri" w:hAnsi="Calibri" w:cs="Calibri"/>
                <w:b/>
                <w:bCs/>
                <w:sz w:val="24"/>
                <w:szCs w:val="24"/>
              </w:rPr>
              <w:t>Code :</w:t>
            </w:r>
          </w:p>
        </w:tc>
        <w:tc>
          <w:tcPr>
            <w:tcW w:w="7938" w:type="dxa"/>
            <w:tcBorders>
              <w:left w:val="single" w:sz="4" w:space="0" w:color="auto"/>
              <w:bottom w:val="single" w:sz="18" w:space="0" w:color="auto"/>
              <w:right w:val="single" w:sz="18" w:space="0" w:color="auto"/>
            </w:tcBorders>
            <w:shd w:val="clear" w:color="auto" w:fill="C2D69B" w:themeFill="accent3" w:themeFillTint="99"/>
            <w:vAlign w:val="center"/>
          </w:tcPr>
          <w:p w:rsidR="00001B85" w:rsidRPr="00B537F5" w:rsidRDefault="00001B85" w:rsidP="00B537F5">
            <w:pPr>
              <w:spacing w:after="0" w:line="240" w:lineRule="auto"/>
              <w:jc w:val="center"/>
              <w:rPr>
                <w:rFonts w:ascii="Calibri" w:hAnsi="Calibri" w:cs="Calibri"/>
                <w:b/>
                <w:bCs/>
                <w:sz w:val="24"/>
                <w:szCs w:val="24"/>
              </w:rPr>
            </w:pPr>
            <w:r w:rsidRPr="00B537F5">
              <w:rPr>
                <w:rFonts w:ascii="Calibri" w:hAnsi="Calibri" w:cs="Calibri"/>
                <w:b/>
                <w:bCs/>
                <w:sz w:val="24"/>
                <w:szCs w:val="24"/>
              </w:rPr>
              <w:t>NM 10.1.224</w:t>
            </w:r>
          </w:p>
        </w:tc>
      </w:tr>
      <w:tr w:rsidR="00001B85" w:rsidRPr="0043547B" w:rsidTr="00B537F5">
        <w:trPr>
          <w:trHeight w:val="377"/>
          <w:jc w:val="center"/>
        </w:trPr>
        <w:tc>
          <w:tcPr>
            <w:tcW w:w="1838" w:type="dxa"/>
            <w:tcBorders>
              <w:top w:val="nil"/>
              <w:left w:val="single" w:sz="18" w:space="0" w:color="auto"/>
              <w:bottom w:val="single" w:sz="18" w:space="0" w:color="auto"/>
              <w:right w:val="single" w:sz="4" w:space="0" w:color="auto"/>
            </w:tcBorders>
            <w:shd w:val="clear" w:color="auto" w:fill="FFFFCC"/>
            <w:vAlign w:val="center"/>
          </w:tcPr>
          <w:p w:rsidR="00001B85" w:rsidRPr="00B537F5" w:rsidRDefault="00001B85" w:rsidP="00B537F5">
            <w:pPr>
              <w:spacing w:after="0" w:line="240" w:lineRule="auto"/>
              <w:jc w:val="center"/>
              <w:rPr>
                <w:rFonts w:ascii="Calibri" w:hAnsi="Calibri" w:cs="Calibri"/>
                <w:b/>
                <w:bCs/>
                <w:sz w:val="24"/>
                <w:szCs w:val="24"/>
              </w:rPr>
            </w:pPr>
            <w:r w:rsidRPr="00B537F5">
              <w:rPr>
                <w:rFonts w:ascii="Calibri" w:hAnsi="Calibri" w:cs="Calibri"/>
                <w:b/>
                <w:bCs/>
                <w:sz w:val="24"/>
                <w:szCs w:val="24"/>
              </w:rPr>
              <w:t>Equivalence :</w:t>
            </w:r>
          </w:p>
        </w:tc>
        <w:tc>
          <w:tcPr>
            <w:tcW w:w="7938" w:type="dxa"/>
            <w:tcBorders>
              <w:left w:val="single" w:sz="4" w:space="0" w:color="auto"/>
              <w:bottom w:val="single" w:sz="18" w:space="0" w:color="auto"/>
              <w:right w:val="single" w:sz="18" w:space="0" w:color="auto"/>
            </w:tcBorders>
            <w:shd w:val="clear" w:color="auto" w:fill="FFFFCC"/>
            <w:vAlign w:val="center"/>
          </w:tcPr>
          <w:p w:rsidR="00001B85" w:rsidRPr="00B537F5" w:rsidRDefault="00001B85" w:rsidP="00B537F5">
            <w:pPr>
              <w:spacing w:after="0" w:line="240" w:lineRule="auto"/>
              <w:jc w:val="center"/>
              <w:rPr>
                <w:rFonts w:ascii="Calibri" w:hAnsi="Calibri" w:cs="Calibri"/>
                <w:b/>
                <w:bCs/>
                <w:sz w:val="24"/>
                <w:szCs w:val="24"/>
              </w:rPr>
            </w:pPr>
            <w:r w:rsidRPr="00B537F5">
              <w:rPr>
                <w:rFonts w:ascii="Calibri" w:hAnsi="Calibri" w:cs="Calibri"/>
                <w:b/>
                <w:bCs/>
                <w:sz w:val="24"/>
                <w:szCs w:val="24"/>
              </w:rPr>
              <w:t>P18-309</w:t>
            </w:r>
          </w:p>
        </w:tc>
      </w:tr>
      <w:tr w:rsidR="00001B85" w:rsidRPr="0043547B" w:rsidTr="00B537F5">
        <w:trPr>
          <w:trHeight w:val="514"/>
          <w:jc w:val="center"/>
        </w:trPr>
        <w:tc>
          <w:tcPr>
            <w:tcW w:w="1838" w:type="dxa"/>
            <w:tcBorders>
              <w:top w:val="nil"/>
              <w:left w:val="single" w:sz="18" w:space="0" w:color="auto"/>
              <w:bottom w:val="single" w:sz="18" w:space="0" w:color="auto"/>
              <w:right w:val="single" w:sz="4" w:space="0" w:color="auto"/>
            </w:tcBorders>
            <w:shd w:val="clear" w:color="auto" w:fill="95B3D7" w:themeFill="accent1" w:themeFillTint="99"/>
            <w:vAlign w:val="center"/>
          </w:tcPr>
          <w:p w:rsidR="00001B85" w:rsidRPr="00B537F5" w:rsidRDefault="00001B85" w:rsidP="00B537F5">
            <w:pPr>
              <w:spacing w:after="0" w:line="240" w:lineRule="auto"/>
              <w:jc w:val="center"/>
              <w:rPr>
                <w:rFonts w:ascii="Calibri" w:hAnsi="Calibri" w:cs="Calibri"/>
                <w:b/>
                <w:bCs/>
                <w:sz w:val="24"/>
                <w:szCs w:val="24"/>
              </w:rPr>
            </w:pPr>
            <w:r w:rsidRPr="00B537F5">
              <w:rPr>
                <w:rFonts w:ascii="Calibri" w:hAnsi="Calibri" w:cs="Calibri"/>
                <w:b/>
                <w:bCs/>
                <w:sz w:val="24"/>
                <w:szCs w:val="24"/>
              </w:rPr>
              <w:t>Intitulé :</w:t>
            </w:r>
          </w:p>
        </w:tc>
        <w:tc>
          <w:tcPr>
            <w:tcW w:w="7938" w:type="dxa"/>
            <w:tcBorders>
              <w:left w:val="single" w:sz="4" w:space="0" w:color="auto"/>
              <w:bottom w:val="single" w:sz="18" w:space="0" w:color="auto"/>
              <w:right w:val="single" w:sz="18" w:space="0" w:color="auto"/>
            </w:tcBorders>
            <w:shd w:val="clear" w:color="000000" w:fill="FFFFFF"/>
          </w:tcPr>
          <w:p w:rsidR="00001B85" w:rsidRPr="00B537F5" w:rsidRDefault="00001B85" w:rsidP="00B537F5">
            <w:pPr>
              <w:spacing w:after="0" w:line="240" w:lineRule="auto"/>
              <w:jc w:val="both"/>
              <w:rPr>
                <w:rFonts w:ascii="Calibri" w:hAnsi="Calibri" w:cs="Calibri"/>
                <w:sz w:val="24"/>
                <w:szCs w:val="24"/>
              </w:rPr>
            </w:pPr>
            <w:r w:rsidRPr="00B537F5">
              <w:rPr>
                <w:rFonts w:ascii="Calibri" w:hAnsi="Calibri" w:cs="Calibri"/>
                <w:sz w:val="24"/>
                <w:szCs w:val="24"/>
              </w:rPr>
              <w:t xml:space="preserve">Granulats - Granulats d'argile ou de schiste expansés fabriqués en four rotatif destinés à la confection de bétons </w:t>
            </w:r>
          </w:p>
        </w:tc>
      </w:tr>
      <w:tr w:rsidR="00001B85" w:rsidRPr="0043547B" w:rsidTr="00B537F5">
        <w:trPr>
          <w:trHeight w:val="1883"/>
          <w:jc w:val="center"/>
        </w:trPr>
        <w:tc>
          <w:tcPr>
            <w:tcW w:w="1838" w:type="dxa"/>
            <w:tcBorders>
              <w:top w:val="nil"/>
              <w:left w:val="single" w:sz="18" w:space="0" w:color="auto"/>
              <w:bottom w:val="single" w:sz="18" w:space="0" w:color="auto"/>
              <w:right w:val="single" w:sz="4" w:space="0" w:color="auto"/>
            </w:tcBorders>
            <w:shd w:val="clear" w:color="000000" w:fill="D9D9D9"/>
            <w:vAlign w:val="center"/>
          </w:tcPr>
          <w:p w:rsidR="00001B85" w:rsidRPr="00B537F5" w:rsidRDefault="00001B85" w:rsidP="00B537F5">
            <w:pPr>
              <w:spacing w:after="0" w:line="240" w:lineRule="auto"/>
              <w:jc w:val="center"/>
              <w:rPr>
                <w:rFonts w:ascii="Calibri" w:hAnsi="Calibri" w:cs="Calibri"/>
                <w:b/>
                <w:bCs/>
                <w:sz w:val="24"/>
                <w:szCs w:val="24"/>
              </w:rPr>
            </w:pPr>
            <w:r w:rsidRPr="00B537F5">
              <w:rPr>
                <w:rFonts w:ascii="Calibri" w:hAnsi="Calibri" w:cs="Calibri"/>
                <w:b/>
                <w:bCs/>
                <w:sz w:val="24"/>
                <w:szCs w:val="24"/>
              </w:rPr>
              <w:t>Domaine d’application :</w:t>
            </w:r>
          </w:p>
        </w:tc>
        <w:tc>
          <w:tcPr>
            <w:tcW w:w="7938" w:type="dxa"/>
            <w:tcBorders>
              <w:left w:val="single" w:sz="4" w:space="0" w:color="auto"/>
              <w:bottom w:val="single" w:sz="18" w:space="0" w:color="auto"/>
              <w:right w:val="single" w:sz="18" w:space="0" w:color="auto"/>
            </w:tcBorders>
            <w:shd w:val="clear" w:color="000000" w:fill="FFFFFF"/>
            <w:vAlign w:val="bottom"/>
          </w:tcPr>
          <w:p w:rsidR="00001B85" w:rsidRPr="00B537F5" w:rsidRDefault="00001B85" w:rsidP="00B537F5">
            <w:pPr>
              <w:spacing w:after="0" w:line="240" w:lineRule="auto"/>
              <w:jc w:val="both"/>
              <w:rPr>
                <w:rFonts w:ascii="Calibri" w:hAnsi="Calibri" w:cs="Calibri"/>
                <w:sz w:val="24"/>
                <w:szCs w:val="24"/>
              </w:rPr>
            </w:pPr>
            <w:r w:rsidRPr="00B537F5">
              <w:rPr>
                <w:rFonts w:ascii="Calibri" w:hAnsi="Calibri" w:cs="Calibri"/>
                <w:sz w:val="24"/>
                <w:szCs w:val="24"/>
              </w:rPr>
              <w:t>La présente norme s'applique aux granulats d'argile ou de schiste expansés, fabriqués en four rotatif (2) destinés suivant leurs caractéristiques, soit à la confection dé bétons du type isolant, ou du type isolant-porteur, soit à la confection de bétons de structure d'ouvrages de Génie Civile ou de Bâtiment. Elle ne s'applique pas aux granulats destinés à d'autres usages tels que les ouvrages de chaussée, de drainage, de remblais ou d'allègement des terres agricoles.</w:t>
            </w:r>
          </w:p>
        </w:tc>
      </w:tr>
      <w:tr w:rsidR="0043547B" w:rsidRPr="0043547B" w:rsidTr="00B537F5">
        <w:trPr>
          <w:trHeight w:val="241"/>
          <w:jc w:val="center"/>
        </w:trPr>
        <w:tc>
          <w:tcPr>
            <w:tcW w:w="1838" w:type="dxa"/>
            <w:tcBorders>
              <w:top w:val="nil"/>
              <w:left w:val="single" w:sz="18" w:space="0" w:color="auto"/>
              <w:bottom w:val="single" w:sz="18" w:space="0" w:color="auto"/>
              <w:right w:val="single" w:sz="4" w:space="0" w:color="auto"/>
            </w:tcBorders>
            <w:shd w:val="clear" w:color="auto" w:fill="B0CA7C"/>
            <w:vAlign w:val="center"/>
          </w:tcPr>
          <w:p w:rsidR="009D2838" w:rsidRPr="0043547B" w:rsidRDefault="009D2838" w:rsidP="00215B91">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left w:val="single" w:sz="4" w:space="0" w:color="auto"/>
              <w:bottom w:val="single" w:sz="18" w:space="0" w:color="auto"/>
              <w:right w:val="single" w:sz="18" w:space="0" w:color="auto"/>
            </w:tcBorders>
            <w:shd w:val="clear" w:color="auto" w:fill="B0CA7C"/>
            <w:vAlign w:val="center"/>
          </w:tcPr>
          <w:p w:rsidR="009D2838" w:rsidRPr="0043547B" w:rsidRDefault="009D2838" w:rsidP="00215B91">
            <w:pPr>
              <w:spacing w:after="0" w:line="240" w:lineRule="auto"/>
              <w:jc w:val="center"/>
              <w:rPr>
                <w:rFonts w:cstheme="minorHAnsi"/>
                <w:b/>
                <w:bCs/>
                <w:sz w:val="24"/>
                <w:szCs w:val="24"/>
              </w:rPr>
            </w:pPr>
            <w:r w:rsidRPr="0043547B">
              <w:rPr>
                <w:rFonts w:cstheme="minorHAnsi"/>
                <w:b/>
                <w:bCs/>
                <w:sz w:val="24"/>
                <w:szCs w:val="24"/>
              </w:rPr>
              <w:t>NM EN 13242</w:t>
            </w:r>
          </w:p>
        </w:tc>
      </w:tr>
      <w:tr w:rsidR="0043547B" w:rsidRPr="0043547B" w:rsidTr="00B537F5">
        <w:trPr>
          <w:trHeight w:val="121"/>
          <w:jc w:val="center"/>
        </w:trPr>
        <w:tc>
          <w:tcPr>
            <w:tcW w:w="1838" w:type="dxa"/>
            <w:tcBorders>
              <w:top w:val="single" w:sz="18" w:space="0" w:color="auto"/>
              <w:left w:val="single" w:sz="18" w:space="0" w:color="auto"/>
              <w:bottom w:val="single" w:sz="18" w:space="0" w:color="auto"/>
              <w:right w:val="single" w:sz="4" w:space="0" w:color="auto"/>
            </w:tcBorders>
            <w:shd w:val="clear" w:color="auto" w:fill="FFFFCC"/>
            <w:vAlign w:val="center"/>
          </w:tcPr>
          <w:p w:rsidR="009D2838" w:rsidRPr="0043547B" w:rsidRDefault="009D2838" w:rsidP="00215B91">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18" w:space="0" w:color="auto"/>
              <w:right w:val="single" w:sz="18" w:space="0" w:color="auto"/>
            </w:tcBorders>
            <w:shd w:val="clear" w:color="auto" w:fill="FFFFCC"/>
            <w:vAlign w:val="center"/>
          </w:tcPr>
          <w:p w:rsidR="009D2838" w:rsidRPr="0043547B" w:rsidRDefault="009D2838" w:rsidP="00215B91">
            <w:pPr>
              <w:spacing w:after="0" w:line="240" w:lineRule="auto"/>
              <w:jc w:val="center"/>
              <w:rPr>
                <w:rFonts w:cstheme="minorHAnsi"/>
                <w:b/>
                <w:bCs/>
                <w:sz w:val="24"/>
                <w:szCs w:val="24"/>
              </w:rPr>
            </w:pPr>
            <w:r w:rsidRPr="0043547B">
              <w:rPr>
                <w:rFonts w:cstheme="minorHAnsi"/>
                <w:b/>
                <w:bCs/>
                <w:sz w:val="24"/>
                <w:szCs w:val="24"/>
              </w:rPr>
              <w:t>EN 13242</w:t>
            </w:r>
          </w:p>
        </w:tc>
      </w:tr>
      <w:tr w:rsidR="0043547B" w:rsidRPr="0043547B" w:rsidTr="00B537F5">
        <w:trPr>
          <w:trHeight w:val="506"/>
          <w:jc w:val="center"/>
        </w:trPr>
        <w:tc>
          <w:tcPr>
            <w:tcW w:w="1838" w:type="dxa"/>
            <w:tcBorders>
              <w:top w:val="single" w:sz="18" w:space="0" w:color="auto"/>
              <w:left w:val="single" w:sz="18" w:space="0" w:color="auto"/>
              <w:bottom w:val="single" w:sz="6" w:space="0" w:color="auto"/>
              <w:right w:val="single" w:sz="4" w:space="0" w:color="auto"/>
            </w:tcBorders>
            <w:shd w:val="clear" w:color="auto" w:fill="95B3D7" w:themeFill="accent1" w:themeFillTint="99"/>
            <w:vAlign w:val="center"/>
          </w:tcPr>
          <w:p w:rsidR="009D2838" w:rsidRPr="0043547B" w:rsidRDefault="009D2838" w:rsidP="00215B91">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6" w:space="0" w:color="auto"/>
              <w:right w:val="single" w:sz="18" w:space="0" w:color="auto"/>
            </w:tcBorders>
            <w:shd w:val="clear" w:color="000000" w:fill="FFFFFF"/>
          </w:tcPr>
          <w:p w:rsidR="009D2838" w:rsidRPr="0043547B" w:rsidRDefault="009D2838" w:rsidP="00215B91">
            <w:pPr>
              <w:spacing w:after="0" w:line="240" w:lineRule="auto"/>
              <w:rPr>
                <w:rFonts w:cstheme="minorHAnsi"/>
                <w:sz w:val="24"/>
                <w:szCs w:val="24"/>
              </w:rPr>
            </w:pPr>
            <w:r w:rsidRPr="0043547B">
              <w:rPr>
                <w:rFonts w:cstheme="minorHAnsi"/>
                <w:sz w:val="24"/>
                <w:szCs w:val="24"/>
              </w:rPr>
              <w:t xml:space="preserve">Granulats pour mélanges hydrocarbonés et pour enduits superficiels utilisés dans la construction des chaussées, aérodromes et d'autres zones de circulation </w:t>
            </w:r>
          </w:p>
        </w:tc>
      </w:tr>
      <w:tr w:rsidR="0043547B" w:rsidRPr="0043547B" w:rsidTr="00CB5DC0">
        <w:trPr>
          <w:trHeight w:val="1355"/>
          <w:jc w:val="center"/>
        </w:trPr>
        <w:tc>
          <w:tcPr>
            <w:tcW w:w="1838" w:type="dxa"/>
            <w:tcBorders>
              <w:top w:val="single" w:sz="6" w:space="0" w:color="auto"/>
              <w:left w:val="single" w:sz="18" w:space="0" w:color="auto"/>
              <w:bottom w:val="single" w:sz="18" w:space="0" w:color="auto"/>
              <w:right w:val="single" w:sz="4" w:space="0" w:color="auto"/>
            </w:tcBorders>
            <w:shd w:val="clear" w:color="000000" w:fill="D9D9D9"/>
            <w:vAlign w:val="center"/>
          </w:tcPr>
          <w:p w:rsidR="009D2838" w:rsidRPr="0043547B" w:rsidRDefault="009D2838" w:rsidP="00215B91">
            <w:pPr>
              <w:spacing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6" w:space="0" w:color="auto"/>
              <w:left w:val="single" w:sz="4" w:space="0" w:color="auto"/>
              <w:bottom w:val="single" w:sz="18" w:space="0" w:color="auto"/>
              <w:right w:val="single" w:sz="18" w:space="0" w:color="auto"/>
            </w:tcBorders>
            <w:shd w:val="clear" w:color="000000" w:fill="FFFFFF"/>
            <w:vAlign w:val="bottom"/>
          </w:tcPr>
          <w:p w:rsidR="00215B91" w:rsidRPr="0043547B" w:rsidRDefault="009D2838" w:rsidP="00215B91">
            <w:pPr>
              <w:spacing w:after="0" w:line="240" w:lineRule="auto"/>
              <w:jc w:val="both"/>
              <w:rPr>
                <w:rFonts w:cstheme="minorHAnsi"/>
                <w:sz w:val="24"/>
                <w:szCs w:val="24"/>
              </w:rPr>
            </w:pPr>
            <w:r w:rsidRPr="0043547B">
              <w:rPr>
                <w:rFonts w:cstheme="minorHAnsi"/>
                <w:sz w:val="24"/>
                <w:szCs w:val="24"/>
              </w:rPr>
              <w:t>La présente Norme Européenne spécifie les caractéristiques des granulats élaborés à partir de matériaux naturels, artificiels ou de recyclage pour les matériaux traités aux liants hydrauliques et matériaux non traités utilisés dans les travaux de génie civil et la construction des chaussées.</w:t>
            </w:r>
          </w:p>
          <w:p w:rsidR="00215B91" w:rsidRPr="00487753" w:rsidRDefault="009D2838" w:rsidP="00215B91">
            <w:pPr>
              <w:spacing w:after="0" w:line="240" w:lineRule="auto"/>
              <w:jc w:val="both"/>
              <w:rPr>
                <w:rFonts w:cstheme="minorHAnsi"/>
                <w:i/>
                <w:iCs/>
              </w:rPr>
            </w:pPr>
            <w:r w:rsidRPr="0043547B">
              <w:rPr>
                <w:rFonts w:cstheme="minorHAnsi"/>
                <w:sz w:val="24"/>
                <w:szCs w:val="24"/>
              </w:rPr>
              <w:t>Elle comprend l’évaluation de la conformité des produits à la présente Norme Européenne.</w:t>
            </w:r>
            <w:r w:rsidRPr="0043547B">
              <w:rPr>
                <w:rFonts w:cstheme="minorHAnsi"/>
                <w:sz w:val="24"/>
                <w:szCs w:val="24"/>
              </w:rPr>
              <w:br/>
            </w:r>
            <w:r w:rsidRPr="00487753">
              <w:rPr>
                <w:rFonts w:cstheme="minorHAnsi"/>
                <w:b/>
                <w:bCs/>
                <w:i/>
                <w:iCs/>
              </w:rPr>
              <w:t>NOTE 1</w:t>
            </w:r>
            <w:r w:rsidR="00215B91" w:rsidRPr="00487753">
              <w:rPr>
                <w:rFonts w:cstheme="minorHAnsi"/>
                <w:b/>
                <w:bCs/>
                <w:i/>
                <w:iCs/>
              </w:rPr>
              <w:t> :</w:t>
            </w:r>
            <w:r w:rsidR="00215B91" w:rsidRPr="00487753">
              <w:rPr>
                <w:rFonts w:cstheme="minorHAnsi"/>
                <w:i/>
                <w:iCs/>
              </w:rPr>
              <w:t xml:space="preserve"> </w:t>
            </w:r>
            <w:r w:rsidRPr="00487753">
              <w:rPr>
                <w:rFonts w:cstheme="minorHAnsi"/>
                <w:i/>
                <w:iCs/>
              </w:rPr>
              <w:t xml:space="preserve">Il convient que les granulats utilisés dans la construction respectent toutes les exigences de la présente Norme européenne. Le mandat M/125 «Granulats» traite, outre </w:t>
            </w:r>
            <w:r w:rsidRPr="00487753">
              <w:rPr>
                <w:rFonts w:cstheme="minorHAnsi"/>
                <w:i/>
                <w:iCs/>
              </w:rPr>
              <w:lastRenderedPageBreak/>
              <w:t>des granulats naturels et artificiels courants et traditionnels, des granulats recyclés ainsi que de certains matériaux d’origine nouvelle ou moins courante. Les granulats recyclés sont inclus dans les normes et de nouvelles méthodes d’essai, à un stade avancé d’élaboration, leur sont destinées. Les travaux de normalisation ne font, en revanche, que commencer pour des matériaux moins courants de source secondaire et davantage de temps sera nécessaire pour définir clairement l’origine et les caractéristiques de ces matériaux. Dans l’intervalle, si ces matériaux moins connus sont mis sur le marché, ils doivent respecter pleinement la présente norme et les réglementations nationales relatives aux substances dangereuses (voir l’Annexe ZA de la norme) selon l’usage qui en est fait.</w:t>
            </w:r>
          </w:p>
          <w:p w:rsidR="00215B91" w:rsidRPr="00487753" w:rsidRDefault="009D2838" w:rsidP="00215B91">
            <w:pPr>
              <w:spacing w:after="0" w:line="240" w:lineRule="auto"/>
              <w:jc w:val="both"/>
              <w:rPr>
                <w:rFonts w:cstheme="minorHAnsi"/>
                <w:i/>
                <w:iCs/>
              </w:rPr>
            </w:pPr>
            <w:r w:rsidRPr="00487753">
              <w:rPr>
                <w:rFonts w:cstheme="minorHAnsi"/>
                <w:i/>
                <w:iCs/>
              </w:rPr>
              <w:t>Des caractéristiques et des exigences complémentaires peuvent être spécifiées au cas par cas, en fonction de l’expérience acquise à l’usage du produit, et définies dans des docu</w:t>
            </w:r>
            <w:r w:rsidR="00215B91" w:rsidRPr="00487753">
              <w:rPr>
                <w:rFonts w:cstheme="minorHAnsi"/>
                <w:i/>
                <w:iCs/>
              </w:rPr>
              <w:t>ments contractuels spécifiques.</w:t>
            </w:r>
          </w:p>
          <w:p w:rsidR="009D2838" w:rsidRPr="0043547B" w:rsidRDefault="009D2838" w:rsidP="00215B91">
            <w:pPr>
              <w:spacing w:after="0" w:line="240" w:lineRule="auto"/>
              <w:jc w:val="both"/>
              <w:rPr>
                <w:rFonts w:cstheme="minorHAnsi"/>
                <w:sz w:val="24"/>
                <w:szCs w:val="24"/>
              </w:rPr>
            </w:pPr>
            <w:r w:rsidRPr="00487753">
              <w:rPr>
                <w:rFonts w:cstheme="minorHAnsi"/>
                <w:b/>
                <w:bCs/>
                <w:i/>
                <w:iCs/>
              </w:rPr>
              <w:t>NOTE 2</w:t>
            </w:r>
            <w:r w:rsidR="00215B91" w:rsidRPr="00487753">
              <w:rPr>
                <w:rFonts w:cstheme="minorHAnsi"/>
                <w:b/>
                <w:bCs/>
                <w:i/>
                <w:iCs/>
              </w:rPr>
              <w:t> :</w:t>
            </w:r>
            <w:r w:rsidRPr="00487753">
              <w:rPr>
                <w:rFonts w:cstheme="minorHAnsi"/>
                <w:i/>
                <w:iCs/>
              </w:rPr>
              <w:t xml:space="preserve"> Les caractéristiques pour les granulats légers sont spécifiées dans le EN 13055-2.</w:t>
            </w:r>
          </w:p>
        </w:tc>
      </w:tr>
      <w:tr w:rsidR="00001B85" w:rsidRPr="0043547B" w:rsidTr="00DA30E7">
        <w:trPr>
          <w:trHeight w:val="440"/>
          <w:jc w:val="center"/>
        </w:trPr>
        <w:tc>
          <w:tcPr>
            <w:tcW w:w="1838" w:type="dxa"/>
            <w:tcBorders>
              <w:top w:val="single" w:sz="6" w:space="0" w:color="auto"/>
              <w:left w:val="single" w:sz="18" w:space="0" w:color="auto"/>
              <w:bottom w:val="single" w:sz="18" w:space="0" w:color="auto"/>
              <w:right w:val="single" w:sz="4" w:space="0" w:color="auto"/>
            </w:tcBorders>
            <w:shd w:val="clear" w:color="auto" w:fill="C2D69B" w:themeFill="accent3" w:themeFillTint="99"/>
            <w:vAlign w:val="center"/>
          </w:tcPr>
          <w:p w:rsidR="00001B85" w:rsidRPr="00B537F5" w:rsidRDefault="00001B85" w:rsidP="00B537F5">
            <w:pPr>
              <w:spacing w:after="0" w:line="240" w:lineRule="auto"/>
              <w:jc w:val="center"/>
              <w:rPr>
                <w:rFonts w:ascii="Calibri" w:hAnsi="Calibri" w:cs="Calibri"/>
                <w:b/>
                <w:bCs/>
                <w:sz w:val="24"/>
                <w:szCs w:val="24"/>
              </w:rPr>
            </w:pPr>
            <w:r w:rsidRPr="00B537F5">
              <w:rPr>
                <w:rFonts w:ascii="Calibri" w:hAnsi="Calibri" w:cs="Calibri"/>
                <w:b/>
                <w:bCs/>
                <w:sz w:val="24"/>
                <w:szCs w:val="24"/>
              </w:rPr>
              <w:lastRenderedPageBreak/>
              <w:t>Code :</w:t>
            </w:r>
          </w:p>
        </w:tc>
        <w:tc>
          <w:tcPr>
            <w:tcW w:w="7938" w:type="dxa"/>
            <w:tcBorders>
              <w:top w:val="single" w:sz="6" w:space="0" w:color="auto"/>
              <w:left w:val="single" w:sz="4" w:space="0" w:color="auto"/>
              <w:bottom w:val="single" w:sz="18" w:space="0" w:color="auto"/>
              <w:right w:val="single" w:sz="18" w:space="0" w:color="auto"/>
            </w:tcBorders>
            <w:shd w:val="clear" w:color="auto" w:fill="C2D69B" w:themeFill="accent3" w:themeFillTint="99"/>
          </w:tcPr>
          <w:p w:rsidR="00001B85" w:rsidRPr="00B537F5" w:rsidRDefault="00001B85" w:rsidP="00B537F5">
            <w:pPr>
              <w:spacing w:after="0" w:line="240" w:lineRule="auto"/>
              <w:jc w:val="center"/>
              <w:rPr>
                <w:rFonts w:ascii="Calibri" w:hAnsi="Calibri" w:cs="Calibri"/>
                <w:b/>
                <w:bCs/>
                <w:sz w:val="24"/>
                <w:szCs w:val="24"/>
              </w:rPr>
            </w:pPr>
            <w:r w:rsidRPr="00B537F5">
              <w:rPr>
                <w:rFonts w:ascii="Calibri" w:hAnsi="Calibri" w:cs="Calibri"/>
                <w:b/>
                <w:bCs/>
                <w:sz w:val="24"/>
                <w:szCs w:val="24"/>
              </w:rPr>
              <w:t>NM 10.1.840</w:t>
            </w:r>
          </w:p>
        </w:tc>
      </w:tr>
      <w:tr w:rsidR="00001B85" w:rsidRPr="0043547B" w:rsidTr="00DA30E7">
        <w:trPr>
          <w:trHeight w:val="518"/>
          <w:jc w:val="center"/>
        </w:trPr>
        <w:tc>
          <w:tcPr>
            <w:tcW w:w="1838" w:type="dxa"/>
            <w:tcBorders>
              <w:top w:val="single" w:sz="6" w:space="0" w:color="auto"/>
              <w:left w:val="single" w:sz="18" w:space="0" w:color="auto"/>
              <w:bottom w:val="single" w:sz="18" w:space="0" w:color="auto"/>
              <w:right w:val="single" w:sz="4" w:space="0" w:color="auto"/>
            </w:tcBorders>
            <w:shd w:val="clear" w:color="auto" w:fill="95B3D7" w:themeFill="accent1" w:themeFillTint="99"/>
            <w:vAlign w:val="center"/>
          </w:tcPr>
          <w:p w:rsidR="00001B85" w:rsidRPr="00B537F5" w:rsidRDefault="00001B85" w:rsidP="00B537F5">
            <w:pPr>
              <w:spacing w:after="0" w:line="240" w:lineRule="auto"/>
              <w:jc w:val="center"/>
              <w:rPr>
                <w:rFonts w:ascii="Calibri" w:hAnsi="Calibri" w:cs="Calibri"/>
                <w:b/>
                <w:bCs/>
                <w:sz w:val="24"/>
                <w:szCs w:val="24"/>
              </w:rPr>
            </w:pPr>
            <w:r w:rsidRPr="00B537F5">
              <w:rPr>
                <w:rFonts w:ascii="Calibri" w:hAnsi="Calibri" w:cs="Calibri"/>
                <w:b/>
                <w:bCs/>
                <w:sz w:val="24"/>
                <w:szCs w:val="24"/>
              </w:rPr>
              <w:t>Intitulé :</w:t>
            </w:r>
          </w:p>
        </w:tc>
        <w:tc>
          <w:tcPr>
            <w:tcW w:w="7938" w:type="dxa"/>
            <w:tcBorders>
              <w:top w:val="single" w:sz="6" w:space="0" w:color="auto"/>
              <w:left w:val="single" w:sz="4" w:space="0" w:color="auto"/>
              <w:bottom w:val="single" w:sz="18" w:space="0" w:color="auto"/>
              <w:right w:val="single" w:sz="18" w:space="0" w:color="auto"/>
            </w:tcBorders>
            <w:shd w:val="clear" w:color="000000" w:fill="FFFFFF"/>
          </w:tcPr>
          <w:p w:rsidR="00001B85" w:rsidRPr="00B537F5" w:rsidRDefault="00001B85" w:rsidP="00B537F5">
            <w:pPr>
              <w:spacing w:after="0" w:line="240" w:lineRule="auto"/>
              <w:jc w:val="both"/>
              <w:rPr>
                <w:rFonts w:ascii="Calibri" w:hAnsi="Calibri" w:cs="Calibri"/>
                <w:sz w:val="24"/>
                <w:szCs w:val="24"/>
              </w:rPr>
            </w:pPr>
            <w:r w:rsidRPr="00B537F5">
              <w:rPr>
                <w:rFonts w:ascii="Calibri" w:hAnsi="Calibri" w:cs="Calibri"/>
                <w:sz w:val="24"/>
                <w:szCs w:val="24"/>
              </w:rPr>
              <w:t>Granulats - Détermination de l'indice de continuité </w:t>
            </w:r>
          </w:p>
        </w:tc>
      </w:tr>
      <w:tr w:rsidR="00001B85" w:rsidRPr="0043547B" w:rsidTr="00B537F5">
        <w:trPr>
          <w:trHeight w:val="540"/>
          <w:jc w:val="center"/>
        </w:trPr>
        <w:tc>
          <w:tcPr>
            <w:tcW w:w="1838" w:type="dxa"/>
            <w:tcBorders>
              <w:top w:val="single" w:sz="6" w:space="0" w:color="auto"/>
              <w:left w:val="single" w:sz="18" w:space="0" w:color="auto"/>
              <w:bottom w:val="single" w:sz="18" w:space="0" w:color="auto"/>
              <w:right w:val="single" w:sz="4" w:space="0" w:color="auto"/>
            </w:tcBorders>
            <w:shd w:val="clear" w:color="000000" w:fill="D9D9D9"/>
            <w:vAlign w:val="center"/>
          </w:tcPr>
          <w:p w:rsidR="00001B85" w:rsidRPr="00B537F5" w:rsidRDefault="00001B85" w:rsidP="00B537F5">
            <w:pPr>
              <w:spacing w:after="0" w:line="240" w:lineRule="auto"/>
              <w:jc w:val="center"/>
              <w:rPr>
                <w:rFonts w:ascii="Calibri" w:hAnsi="Calibri" w:cs="Calibri"/>
                <w:b/>
                <w:bCs/>
                <w:sz w:val="24"/>
                <w:szCs w:val="24"/>
              </w:rPr>
            </w:pPr>
            <w:r w:rsidRPr="00B537F5">
              <w:rPr>
                <w:rFonts w:ascii="Calibri" w:hAnsi="Calibri" w:cs="Calibri"/>
                <w:b/>
                <w:bCs/>
                <w:sz w:val="24"/>
                <w:szCs w:val="24"/>
              </w:rPr>
              <w:t>Domaine d’application :</w:t>
            </w:r>
          </w:p>
        </w:tc>
        <w:tc>
          <w:tcPr>
            <w:tcW w:w="7938" w:type="dxa"/>
            <w:tcBorders>
              <w:top w:val="single" w:sz="6" w:space="0" w:color="auto"/>
              <w:left w:val="single" w:sz="4" w:space="0" w:color="auto"/>
              <w:bottom w:val="single" w:sz="18" w:space="0" w:color="auto"/>
              <w:right w:val="single" w:sz="18" w:space="0" w:color="auto"/>
            </w:tcBorders>
            <w:shd w:val="clear" w:color="000000" w:fill="FFFFFF"/>
            <w:vAlign w:val="bottom"/>
          </w:tcPr>
          <w:p w:rsidR="00001B85" w:rsidRPr="00B537F5" w:rsidRDefault="00001B85" w:rsidP="00B537F5">
            <w:pPr>
              <w:spacing w:after="0" w:line="240" w:lineRule="auto"/>
              <w:rPr>
                <w:rFonts w:ascii="Calibri" w:hAnsi="Calibri" w:cs="Calibri"/>
                <w:sz w:val="24"/>
                <w:szCs w:val="24"/>
              </w:rPr>
            </w:pPr>
            <w:r w:rsidRPr="00B537F5">
              <w:rPr>
                <w:rFonts w:ascii="Calibri" w:hAnsi="Calibri" w:cs="Calibri"/>
                <w:sz w:val="24"/>
                <w:szCs w:val="24"/>
              </w:rPr>
              <w:t>La présente norme s'applique aux granulats d'origine naturelle ou artificielle, utilisés dans le domaine du bâtiment et du génie civile.</w:t>
            </w:r>
          </w:p>
        </w:tc>
      </w:tr>
      <w:tr w:rsidR="00001B85" w:rsidRPr="0043547B" w:rsidTr="00DA30E7">
        <w:trPr>
          <w:trHeight w:val="478"/>
          <w:jc w:val="center"/>
        </w:trPr>
        <w:tc>
          <w:tcPr>
            <w:tcW w:w="1838" w:type="dxa"/>
            <w:tcBorders>
              <w:top w:val="single" w:sz="6" w:space="0" w:color="auto"/>
              <w:left w:val="single" w:sz="18" w:space="0" w:color="auto"/>
              <w:bottom w:val="single" w:sz="18" w:space="0" w:color="auto"/>
              <w:right w:val="single" w:sz="4" w:space="0" w:color="auto"/>
            </w:tcBorders>
            <w:shd w:val="clear" w:color="auto" w:fill="C2D69B" w:themeFill="accent3" w:themeFillTint="99"/>
            <w:vAlign w:val="center"/>
          </w:tcPr>
          <w:p w:rsidR="00001B85" w:rsidRPr="00B537F5" w:rsidRDefault="00001B85" w:rsidP="00DA30E7">
            <w:pPr>
              <w:spacing w:after="0" w:line="240" w:lineRule="auto"/>
              <w:jc w:val="center"/>
              <w:rPr>
                <w:rFonts w:ascii="Calibri" w:hAnsi="Calibri" w:cs="Calibri"/>
                <w:b/>
                <w:bCs/>
                <w:sz w:val="24"/>
                <w:szCs w:val="24"/>
              </w:rPr>
            </w:pPr>
            <w:r w:rsidRPr="00B537F5">
              <w:rPr>
                <w:rFonts w:ascii="Calibri" w:hAnsi="Calibri" w:cs="Calibri"/>
                <w:b/>
                <w:bCs/>
                <w:sz w:val="24"/>
                <w:szCs w:val="24"/>
              </w:rPr>
              <w:t>Code :</w:t>
            </w:r>
          </w:p>
        </w:tc>
        <w:tc>
          <w:tcPr>
            <w:tcW w:w="7938" w:type="dxa"/>
            <w:tcBorders>
              <w:top w:val="single" w:sz="6" w:space="0" w:color="auto"/>
              <w:left w:val="single" w:sz="4" w:space="0" w:color="auto"/>
              <w:bottom w:val="single" w:sz="18" w:space="0" w:color="auto"/>
              <w:right w:val="single" w:sz="18" w:space="0" w:color="auto"/>
            </w:tcBorders>
            <w:shd w:val="clear" w:color="auto" w:fill="C2D69B" w:themeFill="accent3" w:themeFillTint="99"/>
            <w:vAlign w:val="center"/>
          </w:tcPr>
          <w:p w:rsidR="00001B85" w:rsidRPr="00B537F5" w:rsidRDefault="00001B85" w:rsidP="00B537F5">
            <w:pPr>
              <w:spacing w:after="0" w:line="240" w:lineRule="auto"/>
              <w:jc w:val="center"/>
              <w:rPr>
                <w:rFonts w:ascii="Calibri" w:hAnsi="Calibri" w:cs="Calibri"/>
                <w:b/>
                <w:bCs/>
                <w:sz w:val="24"/>
                <w:szCs w:val="24"/>
              </w:rPr>
            </w:pPr>
            <w:r w:rsidRPr="00B537F5">
              <w:rPr>
                <w:rFonts w:ascii="Calibri" w:hAnsi="Calibri" w:cs="Calibri"/>
                <w:b/>
                <w:bCs/>
                <w:sz w:val="24"/>
                <w:szCs w:val="24"/>
              </w:rPr>
              <w:t>NM EN 13036-1</w:t>
            </w:r>
          </w:p>
        </w:tc>
      </w:tr>
      <w:tr w:rsidR="00001B85" w:rsidRPr="0043547B" w:rsidTr="00DA30E7">
        <w:trPr>
          <w:trHeight w:val="344"/>
          <w:jc w:val="center"/>
        </w:trPr>
        <w:tc>
          <w:tcPr>
            <w:tcW w:w="1838" w:type="dxa"/>
            <w:tcBorders>
              <w:top w:val="single" w:sz="6" w:space="0" w:color="auto"/>
              <w:left w:val="single" w:sz="18" w:space="0" w:color="auto"/>
              <w:bottom w:val="single" w:sz="18" w:space="0" w:color="auto"/>
              <w:right w:val="single" w:sz="4" w:space="0" w:color="auto"/>
            </w:tcBorders>
            <w:shd w:val="clear" w:color="auto" w:fill="FFFFCC"/>
            <w:vAlign w:val="center"/>
          </w:tcPr>
          <w:p w:rsidR="00001B85" w:rsidRPr="00B537F5" w:rsidRDefault="00001B85" w:rsidP="00DA30E7">
            <w:pPr>
              <w:spacing w:after="0" w:line="240" w:lineRule="auto"/>
              <w:jc w:val="center"/>
              <w:rPr>
                <w:rFonts w:ascii="Calibri" w:hAnsi="Calibri" w:cs="Calibri"/>
                <w:b/>
                <w:bCs/>
                <w:sz w:val="24"/>
                <w:szCs w:val="24"/>
              </w:rPr>
            </w:pPr>
            <w:r w:rsidRPr="00B537F5">
              <w:rPr>
                <w:rFonts w:ascii="Calibri" w:hAnsi="Calibri" w:cs="Calibri"/>
                <w:b/>
                <w:bCs/>
                <w:sz w:val="24"/>
                <w:szCs w:val="24"/>
              </w:rPr>
              <w:t>Equivalence :</w:t>
            </w:r>
          </w:p>
        </w:tc>
        <w:tc>
          <w:tcPr>
            <w:tcW w:w="7938" w:type="dxa"/>
            <w:tcBorders>
              <w:top w:val="single" w:sz="6" w:space="0" w:color="auto"/>
              <w:left w:val="single" w:sz="4" w:space="0" w:color="auto"/>
              <w:bottom w:val="single" w:sz="18" w:space="0" w:color="auto"/>
              <w:right w:val="single" w:sz="18" w:space="0" w:color="auto"/>
            </w:tcBorders>
            <w:shd w:val="clear" w:color="auto" w:fill="FFFFCC"/>
            <w:vAlign w:val="center"/>
          </w:tcPr>
          <w:p w:rsidR="00001B85" w:rsidRPr="00B537F5" w:rsidRDefault="00001B85" w:rsidP="00B537F5">
            <w:pPr>
              <w:spacing w:after="0" w:line="240" w:lineRule="auto"/>
              <w:jc w:val="center"/>
              <w:rPr>
                <w:rFonts w:ascii="Calibri" w:hAnsi="Calibri" w:cs="Calibri"/>
                <w:b/>
                <w:bCs/>
                <w:sz w:val="24"/>
                <w:szCs w:val="24"/>
              </w:rPr>
            </w:pPr>
            <w:r w:rsidRPr="00B537F5">
              <w:rPr>
                <w:rFonts w:ascii="Calibri" w:hAnsi="Calibri" w:cs="Calibri"/>
                <w:b/>
                <w:bCs/>
                <w:sz w:val="24"/>
                <w:szCs w:val="24"/>
              </w:rPr>
              <w:t>EN 13036-1</w:t>
            </w:r>
          </w:p>
        </w:tc>
      </w:tr>
      <w:tr w:rsidR="00001B85" w:rsidRPr="0043547B" w:rsidTr="00DA30E7">
        <w:trPr>
          <w:trHeight w:val="777"/>
          <w:jc w:val="center"/>
        </w:trPr>
        <w:tc>
          <w:tcPr>
            <w:tcW w:w="1838" w:type="dxa"/>
            <w:tcBorders>
              <w:top w:val="single" w:sz="18" w:space="0" w:color="auto"/>
              <w:left w:val="single" w:sz="18" w:space="0" w:color="auto"/>
              <w:bottom w:val="single" w:sz="4" w:space="0" w:color="auto"/>
              <w:right w:val="single" w:sz="4" w:space="0" w:color="auto"/>
            </w:tcBorders>
            <w:shd w:val="clear" w:color="auto" w:fill="95B3D7" w:themeFill="accent1" w:themeFillTint="99"/>
            <w:vAlign w:val="center"/>
          </w:tcPr>
          <w:p w:rsidR="00001B85" w:rsidRPr="00B537F5" w:rsidRDefault="00001B85" w:rsidP="00DA30E7">
            <w:pPr>
              <w:spacing w:after="0" w:line="240" w:lineRule="auto"/>
              <w:jc w:val="center"/>
              <w:rPr>
                <w:rFonts w:ascii="Calibri" w:hAnsi="Calibri" w:cs="Calibri"/>
                <w:b/>
                <w:bCs/>
                <w:sz w:val="24"/>
                <w:szCs w:val="24"/>
              </w:rPr>
            </w:pPr>
            <w:r w:rsidRPr="00B537F5">
              <w:rPr>
                <w:rFonts w:ascii="Calibri" w:hAnsi="Calibri" w:cs="Calibr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000000" w:fill="FFFFFF"/>
          </w:tcPr>
          <w:p w:rsidR="00001B85" w:rsidRPr="00B537F5" w:rsidRDefault="00001B85" w:rsidP="00B537F5">
            <w:pPr>
              <w:spacing w:after="0" w:line="240" w:lineRule="auto"/>
              <w:jc w:val="both"/>
              <w:rPr>
                <w:rFonts w:ascii="Calibri" w:hAnsi="Calibri" w:cs="Calibri"/>
                <w:sz w:val="24"/>
                <w:szCs w:val="24"/>
              </w:rPr>
            </w:pPr>
            <w:r w:rsidRPr="00B537F5">
              <w:rPr>
                <w:rFonts w:ascii="Calibri" w:hAnsi="Calibri" w:cs="Calibri"/>
                <w:sz w:val="24"/>
                <w:szCs w:val="24"/>
              </w:rPr>
              <w:t>Caractéristiques de surface des routes et aérodromes - Méthodes d'essai - Partie 1 : Mesurage de la profondeur de macrotexture de la surface d'un revêtement à l'aide d'une technique volumétrique à la tâche</w:t>
            </w:r>
          </w:p>
        </w:tc>
      </w:tr>
      <w:tr w:rsidR="00001B85" w:rsidRPr="0043547B" w:rsidTr="00DA30E7">
        <w:trPr>
          <w:trHeight w:val="1355"/>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001B85" w:rsidRPr="00B537F5" w:rsidRDefault="00001B85" w:rsidP="00DA30E7">
            <w:pPr>
              <w:spacing w:after="0" w:line="240" w:lineRule="auto"/>
              <w:jc w:val="center"/>
              <w:rPr>
                <w:rFonts w:ascii="Calibri" w:hAnsi="Calibri" w:cs="Calibri"/>
                <w:b/>
                <w:bCs/>
                <w:sz w:val="24"/>
                <w:szCs w:val="24"/>
              </w:rPr>
            </w:pPr>
            <w:r w:rsidRPr="00B537F5">
              <w:rPr>
                <w:rFonts w:ascii="Calibri" w:hAnsi="Calibri" w:cs="Calibr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000000" w:fill="FFFFFF"/>
            <w:vAlign w:val="bottom"/>
          </w:tcPr>
          <w:p w:rsidR="00001B85" w:rsidRPr="00B537F5" w:rsidRDefault="00001B85" w:rsidP="00DA30E7">
            <w:pPr>
              <w:spacing w:after="0" w:line="240" w:lineRule="auto"/>
              <w:jc w:val="both"/>
              <w:rPr>
                <w:rFonts w:ascii="Calibri" w:hAnsi="Calibri" w:cs="Calibri"/>
                <w:sz w:val="24"/>
                <w:szCs w:val="24"/>
              </w:rPr>
            </w:pPr>
            <w:r w:rsidRPr="00B537F5">
              <w:rPr>
                <w:rFonts w:ascii="Calibri" w:hAnsi="Calibri" w:cs="Calibri"/>
                <w:sz w:val="24"/>
                <w:szCs w:val="24"/>
              </w:rPr>
              <w:t>La présente Norme spécifie une méthode pour la détermination de la profondeur moyenne de la macrotexture de surface d'un revêtement par l'arasement d'un volume connu de matériau sur cette surface et la mesure de la surface totale ainsi couverte. Cette technique est seulement conçue pour fournir une valeur de profondeur moyenne de la macrotexture du revêtement et est considérée comme insensible aux caractéristiques de microtexture du revêtement.</w:t>
            </w:r>
            <w:r w:rsidRPr="00B537F5">
              <w:rPr>
                <w:rFonts w:ascii="Calibri" w:hAnsi="Calibri" w:cs="Calibri"/>
                <w:sz w:val="24"/>
                <w:szCs w:val="24"/>
              </w:rPr>
              <w:br/>
              <w:t>Pour des essais in situ, cette méthode d'essai est appropriée pour déterminer la profondeur moyenne de macrotexture de la surface d'un revêtement. En les associant avec d'autres essais physiques, les valeurs de profondeur de macrotexture obtenues par cette méthode d'essai peuvent contribuer à caractériser le revêtement en relation avec l'adhérence, le bruit de roulement et apprécier les qualités de surface des matériaux de chaussée ou des traitements de surface utilisés. Lorsqu'on l'associe à d'autres essais, il convient de veiller à ce que tous les essais soient réalisés aux mêmes emplacements.</w:t>
            </w:r>
          </w:p>
        </w:tc>
      </w:tr>
      <w:tr w:rsidR="0043547B" w:rsidRPr="0043547B" w:rsidTr="00DA30E7">
        <w:trPr>
          <w:trHeight w:val="378"/>
          <w:jc w:val="center"/>
        </w:trPr>
        <w:tc>
          <w:tcPr>
            <w:tcW w:w="1838" w:type="dxa"/>
            <w:tcBorders>
              <w:top w:val="single" w:sz="18" w:space="0" w:color="auto"/>
              <w:left w:val="single" w:sz="18" w:space="0" w:color="auto"/>
              <w:bottom w:val="single" w:sz="18" w:space="0" w:color="auto"/>
              <w:right w:val="single" w:sz="4" w:space="0" w:color="auto"/>
            </w:tcBorders>
            <w:shd w:val="clear" w:color="auto" w:fill="B0CA7C"/>
            <w:vAlign w:val="center"/>
          </w:tcPr>
          <w:p w:rsidR="009D2838" w:rsidRPr="0043547B" w:rsidRDefault="009D2838" w:rsidP="00215B91">
            <w:pPr>
              <w:spacing w:after="0" w:line="240" w:lineRule="auto"/>
              <w:jc w:val="center"/>
              <w:rPr>
                <w:rFonts w:cstheme="minorHAnsi"/>
                <w:b/>
                <w:bCs/>
                <w:sz w:val="24"/>
                <w:szCs w:val="24"/>
              </w:rPr>
            </w:pPr>
            <w:r w:rsidRPr="0043547B">
              <w:rPr>
                <w:rFonts w:cstheme="minorHAnsi"/>
                <w:b/>
                <w:bCs/>
                <w:sz w:val="24"/>
                <w:szCs w:val="24"/>
              </w:rPr>
              <w:t xml:space="preserve">Code </w:t>
            </w:r>
            <w:r w:rsidR="00215B91" w:rsidRPr="0043547B">
              <w:rPr>
                <w:rFonts w:cstheme="minorHAnsi"/>
                <w:b/>
                <w:bCs/>
                <w:sz w:val="24"/>
                <w:szCs w:val="24"/>
              </w:rPr>
              <w:t xml:space="preserve"> </w:t>
            </w:r>
            <w:r w:rsidRPr="0043547B">
              <w:rPr>
                <w:rFonts w:cstheme="minorHAnsi"/>
                <w:b/>
                <w:bCs/>
                <w:sz w:val="24"/>
                <w:szCs w:val="24"/>
              </w:rPr>
              <w:t> :</w:t>
            </w:r>
          </w:p>
        </w:tc>
        <w:tc>
          <w:tcPr>
            <w:tcW w:w="7938" w:type="dxa"/>
            <w:tcBorders>
              <w:top w:val="single" w:sz="18" w:space="0" w:color="auto"/>
              <w:left w:val="single" w:sz="4" w:space="0" w:color="auto"/>
              <w:bottom w:val="single" w:sz="18" w:space="0" w:color="auto"/>
              <w:right w:val="single" w:sz="18" w:space="0" w:color="auto"/>
            </w:tcBorders>
            <w:shd w:val="clear" w:color="auto" w:fill="B0CA7C"/>
            <w:vAlign w:val="center"/>
          </w:tcPr>
          <w:p w:rsidR="009D2838" w:rsidRPr="0043547B" w:rsidRDefault="009D2838" w:rsidP="00215B91">
            <w:pPr>
              <w:spacing w:after="0" w:line="240" w:lineRule="auto"/>
              <w:jc w:val="center"/>
              <w:rPr>
                <w:rFonts w:cstheme="minorHAnsi"/>
                <w:b/>
                <w:bCs/>
                <w:sz w:val="24"/>
                <w:szCs w:val="24"/>
              </w:rPr>
            </w:pPr>
            <w:r w:rsidRPr="0043547B">
              <w:rPr>
                <w:rFonts w:cstheme="minorHAnsi"/>
                <w:b/>
                <w:bCs/>
                <w:sz w:val="24"/>
                <w:szCs w:val="24"/>
              </w:rPr>
              <w:t>NM 10.1.813</w:t>
            </w:r>
          </w:p>
        </w:tc>
      </w:tr>
      <w:tr w:rsidR="0043547B" w:rsidRPr="0043547B" w:rsidTr="00DA30E7">
        <w:trPr>
          <w:trHeight w:val="360"/>
          <w:jc w:val="center"/>
        </w:trPr>
        <w:tc>
          <w:tcPr>
            <w:tcW w:w="1838" w:type="dxa"/>
            <w:tcBorders>
              <w:top w:val="single" w:sz="18" w:space="0" w:color="auto"/>
              <w:left w:val="single" w:sz="18" w:space="0" w:color="auto"/>
              <w:bottom w:val="single" w:sz="6" w:space="0" w:color="auto"/>
              <w:right w:val="single" w:sz="4" w:space="0" w:color="auto"/>
            </w:tcBorders>
            <w:shd w:val="clear" w:color="auto" w:fill="95B3D7" w:themeFill="accent1" w:themeFillTint="99"/>
            <w:vAlign w:val="center"/>
          </w:tcPr>
          <w:p w:rsidR="009D2838" w:rsidRPr="0043547B" w:rsidRDefault="009D2838" w:rsidP="00215B91">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6" w:space="0" w:color="auto"/>
              <w:right w:val="single" w:sz="18" w:space="0" w:color="auto"/>
            </w:tcBorders>
            <w:shd w:val="clear" w:color="auto" w:fill="auto"/>
            <w:vAlign w:val="center"/>
          </w:tcPr>
          <w:p w:rsidR="009D2838" w:rsidRPr="0043547B" w:rsidRDefault="009D2838" w:rsidP="00215B91">
            <w:pPr>
              <w:spacing w:after="0" w:line="240" w:lineRule="auto"/>
              <w:rPr>
                <w:rFonts w:cstheme="minorHAnsi"/>
                <w:sz w:val="24"/>
                <w:szCs w:val="24"/>
              </w:rPr>
            </w:pPr>
            <w:r w:rsidRPr="0043547B">
              <w:rPr>
                <w:rFonts w:cstheme="minorHAnsi"/>
                <w:sz w:val="24"/>
                <w:szCs w:val="24"/>
              </w:rPr>
              <w:t xml:space="preserve">Granulats - Éléments de définition, conformité et codification ; </w:t>
            </w:r>
          </w:p>
        </w:tc>
      </w:tr>
      <w:tr w:rsidR="0043547B" w:rsidRPr="0043547B" w:rsidTr="00CB5DC0">
        <w:trPr>
          <w:trHeight w:val="1355"/>
          <w:jc w:val="center"/>
        </w:trPr>
        <w:tc>
          <w:tcPr>
            <w:tcW w:w="1838" w:type="dxa"/>
            <w:tcBorders>
              <w:top w:val="single" w:sz="6" w:space="0" w:color="auto"/>
              <w:left w:val="single" w:sz="18" w:space="0" w:color="auto"/>
              <w:bottom w:val="single" w:sz="18" w:space="0" w:color="auto"/>
              <w:right w:val="single" w:sz="4" w:space="0" w:color="auto"/>
            </w:tcBorders>
            <w:shd w:val="clear" w:color="000000" w:fill="D9D9D9"/>
            <w:vAlign w:val="center"/>
          </w:tcPr>
          <w:p w:rsidR="009D2838" w:rsidRPr="0043547B" w:rsidRDefault="009D2838" w:rsidP="00215B91">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6" w:space="0" w:color="auto"/>
              <w:left w:val="single" w:sz="4" w:space="0" w:color="auto"/>
              <w:bottom w:val="single" w:sz="18" w:space="0" w:color="auto"/>
              <w:right w:val="single" w:sz="18" w:space="0" w:color="auto"/>
            </w:tcBorders>
            <w:shd w:val="clear" w:color="000000" w:fill="FFFFFF"/>
            <w:vAlign w:val="bottom"/>
          </w:tcPr>
          <w:p w:rsidR="00215B91" w:rsidRDefault="009D2838" w:rsidP="00DA30E7">
            <w:pPr>
              <w:spacing w:after="0" w:line="240" w:lineRule="auto"/>
              <w:jc w:val="both"/>
              <w:rPr>
                <w:rFonts w:cstheme="minorHAnsi"/>
                <w:sz w:val="24"/>
                <w:szCs w:val="24"/>
              </w:rPr>
            </w:pPr>
            <w:r w:rsidRPr="0043547B">
              <w:rPr>
                <w:rFonts w:cstheme="minorHAnsi"/>
                <w:sz w:val="24"/>
                <w:szCs w:val="24"/>
              </w:rPr>
              <w:t>Le présent document n’a pas vocation de se substituer aux normes européennes harmonisées sur les granulats, qui restent de statut supérieur, mais a pour objet:</w:t>
            </w:r>
          </w:p>
          <w:p w:rsidR="00DA30E7" w:rsidRDefault="009D2838" w:rsidP="00DA30E7">
            <w:pPr>
              <w:spacing w:after="0" w:line="240" w:lineRule="auto"/>
              <w:jc w:val="both"/>
              <w:rPr>
                <w:rFonts w:cstheme="minorHAnsi"/>
                <w:sz w:val="24"/>
                <w:szCs w:val="24"/>
              </w:rPr>
            </w:pPr>
            <w:r w:rsidRPr="0043547B">
              <w:rPr>
                <w:rFonts w:ascii="Cambria Math" w:hAnsi="Cambria Math" w:cs="Cambria Math"/>
                <w:sz w:val="24"/>
                <w:szCs w:val="24"/>
              </w:rPr>
              <w:t>⎯</w:t>
            </w:r>
            <w:r w:rsidRPr="0043547B">
              <w:rPr>
                <w:rFonts w:cstheme="minorHAnsi"/>
                <w:sz w:val="24"/>
                <w:szCs w:val="24"/>
              </w:rPr>
              <w:t xml:space="preserve"> de rassembler dans un document unique les définitions de termes relatifs aux granulats issues des normes européennes et celles d’autres termes utilisés par le présent document ;</w:t>
            </w:r>
          </w:p>
          <w:p w:rsidR="00DA30E7" w:rsidRDefault="009D2838" w:rsidP="00DA30E7">
            <w:pPr>
              <w:spacing w:after="0" w:line="240" w:lineRule="auto"/>
              <w:jc w:val="both"/>
              <w:rPr>
                <w:rFonts w:cstheme="minorHAnsi"/>
                <w:sz w:val="24"/>
                <w:szCs w:val="24"/>
              </w:rPr>
            </w:pPr>
            <w:r w:rsidRPr="0043547B">
              <w:rPr>
                <w:rFonts w:ascii="Cambria Math" w:hAnsi="Cambria Math" w:cs="Cambria Math"/>
                <w:sz w:val="24"/>
                <w:szCs w:val="24"/>
              </w:rPr>
              <w:t>⎯</w:t>
            </w:r>
            <w:r w:rsidRPr="0043547B">
              <w:rPr>
                <w:rFonts w:cstheme="minorHAnsi"/>
                <w:sz w:val="24"/>
                <w:szCs w:val="24"/>
              </w:rPr>
              <w:t xml:space="preserve"> de compléter les modalités d’évaluation de la conformité définies dans les normes NF EN Produits1 par des critères applicables aux résultats des essais de </w:t>
            </w:r>
            <w:r w:rsidRPr="0043547B">
              <w:rPr>
                <w:rFonts w:cstheme="minorHAnsi"/>
                <w:sz w:val="24"/>
                <w:szCs w:val="24"/>
              </w:rPr>
              <w:lastRenderedPageBreak/>
              <w:t>maîtrise de la production des granulats, qui permettent de trancher quant à la conformité d’un produit à une catégorie européenne ;</w:t>
            </w:r>
          </w:p>
          <w:p w:rsidR="00DA30E7" w:rsidRDefault="009D2838" w:rsidP="00DA30E7">
            <w:pPr>
              <w:spacing w:after="0" w:line="240" w:lineRule="auto"/>
              <w:jc w:val="both"/>
              <w:rPr>
                <w:rFonts w:cstheme="minorHAnsi"/>
                <w:sz w:val="24"/>
                <w:szCs w:val="24"/>
              </w:rPr>
            </w:pPr>
            <w:r w:rsidRPr="0043547B">
              <w:rPr>
                <w:rFonts w:ascii="Cambria Math" w:hAnsi="Cambria Math" w:cs="Cambria Math"/>
                <w:sz w:val="24"/>
                <w:szCs w:val="24"/>
              </w:rPr>
              <w:t>⎯</w:t>
            </w:r>
            <w:r w:rsidRPr="0043547B">
              <w:rPr>
                <w:rFonts w:cstheme="minorHAnsi"/>
                <w:sz w:val="24"/>
                <w:szCs w:val="24"/>
              </w:rPr>
              <w:t xml:space="preserve"> de préciser les modalités de contrôle par les clients de la conformité des produits livrés aux catégories européennes prescrites dans les marchés ;</w:t>
            </w:r>
          </w:p>
          <w:p w:rsidR="00215B91" w:rsidRPr="0043547B" w:rsidRDefault="009D2838" w:rsidP="00DA30E7">
            <w:pPr>
              <w:spacing w:after="0" w:line="240" w:lineRule="auto"/>
              <w:jc w:val="both"/>
              <w:rPr>
                <w:rFonts w:cstheme="minorHAnsi"/>
                <w:sz w:val="24"/>
                <w:szCs w:val="24"/>
              </w:rPr>
            </w:pPr>
            <w:r w:rsidRPr="0043547B">
              <w:rPr>
                <w:rFonts w:ascii="Cambria Math" w:hAnsi="Cambria Math" w:cs="Cambria Math"/>
                <w:sz w:val="24"/>
                <w:szCs w:val="24"/>
              </w:rPr>
              <w:t>⎯</w:t>
            </w:r>
            <w:r w:rsidRPr="0043547B">
              <w:rPr>
                <w:rFonts w:cstheme="minorHAnsi"/>
                <w:sz w:val="24"/>
                <w:szCs w:val="24"/>
              </w:rPr>
              <w:t xml:space="preserve"> enfin d’établir le lien entre les normes NF EN Produits et les spécifications auxquelles doivent répondre les granulats pour certains usages, par exemple définies dans des guides d’application.</w:t>
            </w:r>
          </w:p>
          <w:p w:rsidR="00215B91" w:rsidRPr="0043547B" w:rsidRDefault="009D2838" w:rsidP="00215B91">
            <w:pPr>
              <w:spacing w:after="0" w:line="240" w:lineRule="auto"/>
              <w:jc w:val="both"/>
              <w:rPr>
                <w:rFonts w:cstheme="minorHAnsi"/>
                <w:sz w:val="24"/>
                <w:szCs w:val="24"/>
              </w:rPr>
            </w:pPr>
            <w:r w:rsidRPr="0043547B">
              <w:rPr>
                <w:rFonts w:cstheme="minorHAnsi"/>
                <w:sz w:val="24"/>
                <w:szCs w:val="24"/>
              </w:rPr>
              <w:t>Le rétablissement de ce lien repose sur la définition de codes regroupant en général plusieurs catégories européennes. Ces codes, définis dans le présent document, peuvent être utilisés pour spécifier ces catégories sous forme contractée.</w:t>
            </w:r>
          </w:p>
          <w:p w:rsidR="00215B91" w:rsidRPr="0043547B" w:rsidRDefault="009D2838" w:rsidP="00215B91">
            <w:pPr>
              <w:spacing w:after="0" w:line="240" w:lineRule="auto"/>
              <w:jc w:val="both"/>
              <w:rPr>
                <w:rFonts w:cstheme="minorHAnsi"/>
                <w:sz w:val="24"/>
                <w:szCs w:val="24"/>
              </w:rPr>
            </w:pPr>
            <w:r w:rsidRPr="0043547B">
              <w:rPr>
                <w:rFonts w:cstheme="minorHAnsi"/>
                <w:sz w:val="24"/>
                <w:szCs w:val="24"/>
              </w:rPr>
              <w:t>Toutefois, l’attention du lecteur est attirée sur le fait que certains codes intègrent des exigences additionnelles par rapport à celles fixées par les normes NF EN Produits. En référence à la Directive Produits de Construction et en particulier à l’Article 6, le recours à de tels codes ne saurait être systématique et devra faire l’objet d’une justification au cas par cas de la part des prescripteurs de marchés.</w:t>
            </w:r>
          </w:p>
          <w:p w:rsidR="009D2838" w:rsidRPr="0043547B" w:rsidRDefault="009D2838" w:rsidP="00215B91">
            <w:pPr>
              <w:spacing w:after="0" w:line="240" w:lineRule="auto"/>
              <w:jc w:val="both"/>
              <w:rPr>
                <w:rFonts w:cstheme="minorHAnsi"/>
                <w:sz w:val="24"/>
                <w:szCs w:val="24"/>
              </w:rPr>
            </w:pPr>
            <w:r w:rsidRPr="0043547B">
              <w:rPr>
                <w:rFonts w:cstheme="minorHAnsi"/>
                <w:sz w:val="24"/>
                <w:szCs w:val="24"/>
              </w:rPr>
              <w:t>La plupart du temps, le texte du présent document attire l’attention du lecteur aux endroits appropriés sur les codes intégrant des exigences additionnelles.</w:t>
            </w:r>
          </w:p>
        </w:tc>
      </w:tr>
      <w:tr w:rsidR="0043547B" w:rsidRPr="0043547B" w:rsidTr="00CB5DC0">
        <w:trPr>
          <w:trHeight w:val="383"/>
          <w:jc w:val="center"/>
        </w:trPr>
        <w:tc>
          <w:tcPr>
            <w:tcW w:w="1838" w:type="dxa"/>
            <w:tcBorders>
              <w:top w:val="nil"/>
              <w:left w:val="single" w:sz="18" w:space="0" w:color="auto"/>
              <w:bottom w:val="single" w:sz="18" w:space="0" w:color="auto"/>
              <w:right w:val="single" w:sz="4" w:space="0" w:color="auto"/>
            </w:tcBorders>
            <w:shd w:val="clear" w:color="auto" w:fill="B0CA7C"/>
            <w:vAlign w:val="center"/>
          </w:tcPr>
          <w:p w:rsidR="009D2838" w:rsidRPr="0043547B" w:rsidRDefault="009D2838" w:rsidP="002A0FF3">
            <w:pPr>
              <w:spacing w:after="0" w:line="240" w:lineRule="auto"/>
              <w:jc w:val="center"/>
              <w:rPr>
                <w:rFonts w:cstheme="minorHAnsi"/>
                <w:b/>
                <w:bCs/>
                <w:sz w:val="24"/>
                <w:szCs w:val="24"/>
              </w:rPr>
            </w:pPr>
            <w:r w:rsidRPr="0043547B">
              <w:rPr>
                <w:rFonts w:cstheme="minorHAnsi"/>
                <w:b/>
                <w:bCs/>
                <w:sz w:val="24"/>
                <w:szCs w:val="24"/>
              </w:rPr>
              <w:lastRenderedPageBreak/>
              <w:t>Code :</w:t>
            </w:r>
          </w:p>
        </w:tc>
        <w:tc>
          <w:tcPr>
            <w:tcW w:w="7938" w:type="dxa"/>
            <w:tcBorders>
              <w:left w:val="single" w:sz="4" w:space="0" w:color="auto"/>
              <w:bottom w:val="single" w:sz="18" w:space="0" w:color="auto"/>
              <w:right w:val="single" w:sz="18" w:space="0" w:color="auto"/>
            </w:tcBorders>
            <w:shd w:val="clear" w:color="auto" w:fill="B0CA7C"/>
            <w:vAlign w:val="center"/>
          </w:tcPr>
          <w:p w:rsidR="009D2838" w:rsidRPr="0043547B" w:rsidRDefault="009D2838" w:rsidP="002A0FF3">
            <w:pPr>
              <w:spacing w:after="0" w:line="240" w:lineRule="auto"/>
              <w:jc w:val="center"/>
              <w:rPr>
                <w:rFonts w:cstheme="minorHAnsi"/>
                <w:b/>
                <w:bCs/>
                <w:sz w:val="24"/>
                <w:szCs w:val="24"/>
              </w:rPr>
            </w:pPr>
            <w:r w:rsidRPr="0043547B">
              <w:rPr>
                <w:rFonts w:cstheme="minorHAnsi"/>
                <w:b/>
                <w:bCs/>
                <w:sz w:val="24"/>
                <w:szCs w:val="24"/>
              </w:rPr>
              <w:t>NM EN 13383-1</w:t>
            </w:r>
          </w:p>
        </w:tc>
      </w:tr>
      <w:tr w:rsidR="0043547B" w:rsidRPr="0043547B" w:rsidTr="00CB5DC0">
        <w:trPr>
          <w:trHeight w:val="417"/>
          <w:jc w:val="center"/>
        </w:trPr>
        <w:tc>
          <w:tcPr>
            <w:tcW w:w="1838" w:type="dxa"/>
            <w:tcBorders>
              <w:top w:val="single" w:sz="18" w:space="0" w:color="auto"/>
              <w:left w:val="single" w:sz="18" w:space="0" w:color="auto"/>
              <w:bottom w:val="single" w:sz="6" w:space="0" w:color="auto"/>
              <w:right w:val="single" w:sz="4" w:space="0" w:color="auto"/>
            </w:tcBorders>
            <w:shd w:val="clear" w:color="auto" w:fill="FFFF99"/>
            <w:vAlign w:val="center"/>
          </w:tcPr>
          <w:p w:rsidR="009D2838" w:rsidRPr="0043547B" w:rsidRDefault="009D2838" w:rsidP="002A0FF3">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6" w:space="0" w:color="auto"/>
              <w:right w:val="single" w:sz="18" w:space="0" w:color="auto"/>
            </w:tcBorders>
            <w:shd w:val="clear" w:color="auto" w:fill="FFFF99"/>
            <w:vAlign w:val="center"/>
          </w:tcPr>
          <w:p w:rsidR="009D2838" w:rsidRPr="0043547B" w:rsidRDefault="009D2838" w:rsidP="002A0FF3">
            <w:pPr>
              <w:spacing w:after="0" w:line="240" w:lineRule="auto"/>
              <w:jc w:val="center"/>
              <w:rPr>
                <w:rFonts w:cstheme="minorHAnsi"/>
                <w:b/>
                <w:bCs/>
                <w:sz w:val="24"/>
                <w:szCs w:val="24"/>
              </w:rPr>
            </w:pPr>
            <w:r w:rsidRPr="0043547B">
              <w:rPr>
                <w:rFonts w:cstheme="minorHAnsi"/>
                <w:b/>
                <w:bCs/>
                <w:sz w:val="24"/>
                <w:szCs w:val="24"/>
              </w:rPr>
              <w:t>EN 13383-1</w:t>
            </w:r>
          </w:p>
        </w:tc>
      </w:tr>
      <w:tr w:rsidR="0043547B" w:rsidRPr="0043547B" w:rsidTr="00CB5DC0">
        <w:trPr>
          <w:trHeight w:val="565"/>
          <w:jc w:val="center"/>
        </w:trPr>
        <w:tc>
          <w:tcPr>
            <w:tcW w:w="1838" w:type="dxa"/>
            <w:tcBorders>
              <w:top w:val="single" w:sz="6" w:space="0" w:color="auto"/>
              <w:left w:val="single" w:sz="18" w:space="0" w:color="auto"/>
              <w:bottom w:val="single" w:sz="6" w:space="0" w:color="auto"/>
              <w:right w:val="single" w:sz="4" w:space="0" w:color="auto"/>
            </w:tcBorders>
            <w:shd w:val="clear" w:color="auto" w:fill="95B3D7" w:themeFill="accent1" w:themeFillTint="99"/>
            <w:vAlign w:val="center"/>
          </w:tcPr>
          <w:p w:rsidR="009D2838" w:rsidRPr="0043547B" w:rsidRDefault="009D2838" w:rsidP="002A0FF3">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6" w:space="0" w:color="auto"/>
              <w:left w:val="single" w:sz="4" w:space="0" w:color="auto"/>
              <w:bottom w:val="single" w:sz="6" w:space="0" w:color="auto"/>
              <w:right w:val="single" w:sz="18" w:space="0" w:color="auto"/>
            </w:tcBorders>
            <w:shd w:val="clear" w:color="000000" w:fill="FFFFFF"/>
            <w:vAlign w:val="center"/>
          </w:tcPr>
          <w:p w:rsidR="009D2838" w:rsidRPr="0043547B" w:rsidRDefault="009D2838" w:rsidP="00487753">
            <w:pPr>
              <w:spacing w:after="0" w:line="240" w:lineRule="auto"/>
              <w:rPr>
                <w:rFonts w:cstheme="minorHAnsi"/>
                <w:sz w:val="24"/>
                <w:szCs w:val="24"/>
              </w:rPr>
            </w:pPr>
            <w:r w:rsidRPr="0043547B">
              <w:rPr>
                <w:rFonts w:cstheme="minorHAnsi"/>
                <w:sz w:val="24"/>
                <w:szCs w:val="24"/>
              </w:rPr>
              <w:t xml:space="preserve">Enrochements – Partie 1 : Spécifications ; (IC 10.1.200) </w:t>
            </w:r>
          </w:p>
        </w:tc>
      </w:tr>
      <w:tr w:rsidR="0043547B" w:rsidRPr="0043547B" w:rsidTr="00CB5DC0">
        <w:trPr>
          <w:trHeight w:val="1355"/>
          <w:jc w:val="center"/>
        </w:trPr>
        <w:tc>
          <w:tcPr>
            <w:tcW w:w="1838" w:type="dxa"/>
            <w:tcBorders>
              <w:top w:val="single" w:sz="6" w:space="0" w:color="auto"/>
              <w:left w:val="single" w:sz="18" w:space="0" w:color="auto"/>
              <w:bottom w:val="single" w:sz="18" w:space="0" w:color="auto"/>
              <w:right w:val="single" w:sz="4" w:space="0" w:color="auto"/>
            </w:tcBorders>
            <w:shd w:val="clear" w:color="000000" w:fill="D9D9D9"/>
            <w:vAlign w:val="center"/>
          </w:tcPr>
          <w:p w:rsidR="009D2838" w:rsidRPr="0043547B" w:rsidRDefault="009D2838" w:rsidP="002A0FF3">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6" w:space="0" w:color="auto"/>
              <w:left w:val="single" w:sz="4" w:space="0" w:color="auto"/>
              <w:bottom w:val="single" w:sz="18" w:space="0" w:color="auto"/>
              <w:right w:val="single" w:sz="18" w:space="0" w:color="auto"/>
            </w:tcBorders>
            <w:shd w:val="clear" w:color="000000" w:fill="FFFFFF"/>
            <w:vAlign w:val="bottom"/>
          </w:tcPr>
          <w:p w:rsidR="00487753" w:rsidRDefault="009D2838" w:rsidP="002A0FF3">
            <w:pPr>
              <w:spacing w:after="0" w:line="240" w:lineRule="auto"/>
              <w:jc w:val="both"/>
              <w:rPr>
                <w:rFonts w:cstheme="minorHAnsi"/>
                <w:sz w:val="24"/>
                <w:szCs w:val="24"/>
              </w:rPr>
            </w:pPr>
            <w:r w:rsidRPr="0043547B">
              <w:rPr>
                <w:rFonts w:cstheme="minorHAnsi"/>
                <w:sz w:val="24"/>
                <w:szCs w:val="24"/>
              </w:rPr>
              <w:t>La présente Norme européenne spécifie les caractéristiques des granulats naturels, artificiels et recyclés ou les mélanges de ces granulats destinés à être utilisés comme enrochement.</w:t>
            </w:r>
          </w:p>
          <w:p w:rsidR="002A0FF3" w:rsidRPr="0043547B" w:rsidRDefault="009D2838" w:rsidP="002A0FF3">
            <w:pPr>
              <w:spacing w:after="0" w:line="240" w:lineRule="auto"/>
              <w:jc w:val="both"/>
              <w:rPr>
                <w:rFonts w:cstheme="minorHAnsi"/>
                <w:sz w:val="24"/>
                <w:szCs w:val="24"/>
              </w:rPr>
            </w:pPr>
            <w:r w:rsidRPr="0043547B">
              <w:rPr>
                <w:rFonts w:cstheme="minorHAnsi"/>
                <w:sz w:val="24"/>
                <w:szCs w:val="24"/>
              </w:rPr>
              <w:t>Elle fournit les règles d’évaluation de la conformité des matériaux aux critères de la présente Norme européenne.</w:t>
            </w:r>
          </w:p>
          <w:p w:rsidR="002A0FF3" w:rsidRPr="00487753" w:rsidRDefault="009D2838" w:rsidP="002A0FF3">
            <w:pPr>
              <w:spacing w:after="0" w:line="240" w:lineRule="auto"/>
              <w:jc w:val="both"/>
              <w:rPr>
                <w:rFonts w:cstheme="minorHAnsi"/>
                <w:i/>
                <w:iCs/>
              </w:rPr>
            </w:pPr>
            <w:r w:rsidRPr="00487753">
              <w:rPr>
                <w:rFonts w:cstheme="minorHAnsi"/>
                <w:b/>
                <w:bCs/>
                <w:i/>
                <w:iCs/>
              </w:rPr>
              <w:t>NOTE 1</w:t>
            </w:r>
            <w:r w:rsidR="002A0FF3" w:rsidRPr="00487753">
              <w:rPr>
                <w:rFonts w:cstheme="minorHAnsi"/>
                <w:b/>
                <w:bCs/>
                <w:i/>
                <w:iCs/>
              </w:rPr>
              <w:t> :</w:t>
            </w:r>
            <w:r w:rsidRPr="00487753">
              <w:rPr>
                <w:rFonts w:cstheme="minorHAnsi"/>
                <w:i/>
                <w:iCs/>
              </w:rPr>
              <w:t xml:space="preserve"> Il convient que les enrochements utilisés dans la construction respectent toutes les prescriptions de la présente Norme européenne. Le mandat M/125 traite, outre des enrochements naturels et artificiels courants et traditionnels, des enrochements recyclés ainsi que de certains matériaux d’origine nouvelle ou moins courante. Les enrochements recyclés sont inclus dans la norme et de nouvelles méthodes d’essai, à un stade avancé d’élaboration, leur sont destinées. Le travail de normalisation ne fait en revanche que commencer pour des matériaux moins courants de source secondaire et davantage</w:t>
            </w:r>
            <w:r w:rsidR="002A0FF3" w:rsidRPr="00487753">
              <w:rPr>
                <w:rFonts w:cstheme="minorHAnsi"/>
                <w:i/>
                <w:iCs/>
              </w:rPr>
              <w:t xml:space="preserve"> </w:t>
            </w:r>
            <w:r w:rsidRPr="00487753">
              <w:rPr>
                <w:rFonts w:cstheme="minorHAnsi"/>
                <w:i/>
                <w:iCs/>
              </w:rPr>
              <w:t>de temps est nécessaire pour définir clairement l’origine et les caractéristiques de ces matériaux. Dans l’intervalle, ces matériaux moins connus, s’ils sont mis sur le marché, doivent respecter pleinement la présente norme et les réglementations nationales relatives aux substances dangereuses (voir l’annexe ZA de la norme) selon l’usage qui est fait d’eux. Des caractéristiques et des prescriptions complémentaires peuvent être spécifiées au cas par cas, en fonction de l’expérience acquise à l’usage du produit, et définies dans des documents contractuels spécifiques.»</w:t>
            </w:r>
          </w:p>
          <w:p w:rsidR="002A0FF3" w:rsidRPr="00487753" w:rsidRDefault="009D2838" w:rsidP="002A0FF3">
            <w:pPr>
              <w:spacing w:after="0" w:line="240" w:lineRule="auto"/>
              <w:jc w:val="both"/>
              <w:rPr>
                <w:rFonts w:cstheme="minorHAnsi"/>
                <w:i/>
                <w:iCs/>
              </w:rPr>
            </w:pPr>
            <w:r w:rsidRPr="00487753">
              <w:rPr>
                <w:rFonts w:cstheme="minorHAnsi"/>
                <w:b/>
                <w:bCs/>
                <w:i/>
                <w:iCs/>
              </w:rPr>
              <w:t>NOTE 2</w:t>
            </w:r>
            <w:r w:rsidR="002A0FF3" w:rsidRPr="00487753">
              <w:rPr>
                <w:rFonts w:cstheme="minorHAnsi"/>
                <w:b/>
                <w:bCs/>
                <w:i/>
                <w:iCs/>
              </w:rPr>
              <w:t> :</w:t>
            </w:r>
            <w:r w:rsidRPr="00487753">
              <w:rPr>
                <w:rFonts w:cstheme="minorHAnsi"/>
                <w:i/>
                <w:iCs/>
              </w:rPr>
              <w:t xml:space="preserve"> Des matériaux plus petits que ceux spécifiés dans la présente norme sont utilisés dans les structures hydrauliques.</w:t>
            </w:r>
          </w:p>
          <w:p w:rsidR="009D2838" w:rsidRPr="0043547B" w:rsidRDefault="009D2838" w:rsidP="002A0FF3">
            <w:pPr>
              <w:spacing w:after="0" w:line="240" w:lineRule="auto"/>
              <w:jc w:val="both"/>
              <w:rPr>
                <w:rFonts w:cstheme="minorHAnsi"/>
                <w:sz w:val="24"/>
                <w:szCs w:val="24"/>
              </w:rPr>
            </w:pPr>
            <w:r w:rsidRPr="00487753">
              <w:rPr>
                <w:rFonts w:cstheme="minorHAnsi"/>
              </w:rPr>
              <w:t>Dans ce cas, les normes européennes pour d’autres usages doivent être appliquées.</w:t>
            </w:r>
          </w:p>
        </w:tc>
      </w:tr>
      <w:tr w:rsidR="0043547B" w:rsidRPr="0043547B" w:rsidTr="00CB5DC0">
        <w:trPr>
          <w:trHeight w:val="408"/>
          <w:jc w:val="center"/>
        </w:trPr>
        <w:tc>
          <w:tcPr>
            <w:tcW w:w="1838" w:type="dxa"/>
            <w:tcBorders>
              <w:top w:val="nil"/>
              <w:left w:val="single" w:sz="18" w:space="0" w:color="auto"/>
              <w:bottom w:val="single" w:sz="18" w:space="0" w:color="auto"/>
              <w:right w:val="single" w:sz="4" w:space="0" w:color="auto"/>
            </w:tcBorders>
            <w:shd w:val="clear" w:color="auto" w:fill="B0CA7C"/>
            <w:vAlign w:val="center"/>
          </w:tcPr>
          <w:p w:rsidR="009D2838" w:rsidRPr="0043547B" w:rsidRDefault="009D2838" w:rsidP="002A0FF3">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left w:val="single" w:sz="4" w:space="0" w:color="auto"/>
              <w:bottom w:val="single" w:sz="18" w:space="0" w:color="auto"/>
              <w:right w:val="single" w:sz="18" w:space="0" w:color="auto"/>
            </w:tcBorders>
            <w:shd w:val="clear" w:color="auto" w:fill="B0CA7C"/>
            <w:vAlign w:val="center"/>
          </w:tcPr>
          <w:p w:rsidR="009D2838" w:rsidRPr="0043547B" w:rsidRDefault="009D2838" w:rsidP="002A0FF3">
            <w:pPr>
              <w:spacing w:after="0" w:line="240" w:lineRule="auto"/>
              <w:jc w:val="center"/>
              <w:rPr>
                <w:rFonts w:cstheme="minorHAnsi"/>
                <w:b/>
                <w:bCs/>
                <w:sz w:val="24"/>
                <w:szCs w:val="24"/>
              </w:rPr>
            </w:pPr>
            <w:r w:rsidRPr="0043547B">
              <w:rPr>
                <w:rFonts w:cstheme="minorHAnsi"/>
                <w:b/>
                <w:bCs/>
                <w:sz w:val="24"/>
                <w:szCs w:val="24"/>
              </w:rPr>
              <w:t>NM EN 13450</w:t>
            </w:r>
          </w:p>
        </w:tc>
      </w:tr>
      <w:tr w:rsidR="0043547B" w:rsidRPr="0043547B" w:rsidTr="00CB5DC0">
        <w:trPr>
          <w:trHeight w:val="443"/>
          <w:jc w:val="center"/>
        </w:trPr>
        <w:tc>
          <w:tcPr>
            <w:tcW w:w="1838" w:type="dxa"/>
            <w:tcBorders>
              <w:top w:val="single" w:sz="18" w:space="0" w:color="auto"/>
              <w:left w:val="single" w:sz="18" w:space="0" w:color="auto"/>
              <w:bottom w:val="single" w:sz="6" w:space="0" w:color="auto"/>
              <w:right w:val="single" w:sz="4" w:space="0" w:color="auto"/>
            </w:tcBorders>
            <w:shd w:val="clear" w:color="auto" w:fill="FFFF99"/>
            <w:vAlign w:val="center"/>
          </w:tcPr>
          <w:p w:rsidR="009D2838" w:rsidRPr="0043547B" w:rsidRDefault="009D2838" w:rsidP="002A0FF3">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6" w:space="0" w:color="auto"/>
              <w:right w:val="single" w:sz="18" w:space="0" w:color="auto"/>
            </w:tcBorders>
            <w:shd w:val="clear" w:color="auto" w:fill="FFFF99"/>
            <w:vAlign w:val="center"/>
          </w:tcPr>
          <w:p w:rsidR="009D2838" w:rsidRPr="0043547B" w:rsidRDefault="009D2838" w:rsidP="002A0FF3">
            <w:pPr>
              <w:spacing w:after="0" w:line="240" w:lineRule="auto"/>
              <w:jc w:val="center"/>
              <w:rPr>
                <w:rFonts w:cstheme="minorHAnsi"/>
                <w:b/>
                <w:bCs/>
                <w:sz w:val="24"/>
                <w:szCs w:val="24"/>
              </w:rPr>
            </w:pPr>
            <w:r w:rsidRPr="0043547B">
              <w:rPr>
                <w:rFonts w:cstheme="minorHAnsi"/>
                <w:b/>
                <w:bCs/>
                <w:sz w:val="24"/>
                <w:szCs w:val="24"/>
              </w:rPr>
              <w:t>EN 13450</w:t>
            </w:r>
          </w:p>
        </w:tc>
      </w:tr>
      <w:tr w:rsidR="0043547B" w:rsidRPr="0043547B" w:rsidTr="00CB5DC0">
        <w:trPr>
          <w:trHeight w:val="508"/>
          <w:jc w:val="center"/>
        </w:trPr>
        <w:tc>
          <w:tcPr>
            <w:tcW w:w="1838" w:type="dxa"/>
            <w:tcBorders>
              <w:top w:val="single" w:sz="6" w:space="0" w:color="auto"/>
              <w:left w:val="single" w:sz="18" w:space="0" w:color="auto"/>
              <w:bottom w:val="single" w:sz="6" w:space="0" w:color="auto"/>
              <w:right w:val="single" w:sz="4" w:space="0" w:color="auto"/>
            </w:tcBorders>
            <w:shd w:val="clear" w:color="auto" w:fill="95B3D7" w:themeFill="accent1" w:themeFillTint="99"/>
            <w:vAlign w:val="center"/>
          </w:tcPr>
          <w:p w:rsidR="009D2838" w:rsidRPr="0043547B" w:rsidRDefault="009D2838" w:rsidP="002A0FF3">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6" w:space="0" w:color="auto"/>
              <w:left w:val="single" w:sz="4" w:space="0" w:color="auto"/>
              <w:bottom w:val="single" w:sz="6" w:space="0" w:color="auto"/>
              <w:right w:val="single" w:sz="18" w:space="0" w:color="auto"/>
            </w:tcBorders>
            <w:shd w:val="clear" w:color="000000" w:fill="FFFFFF"/>
            <w:vAlign w:val="center"/>
          </w:tcPr>
          <w:p w:rsidR="009D2838" w:rsidRPr="0043547B" w:rsidRDefault="009D2838" w:rsidP="00487753">
            <w:pPr>
              <w:spacing w:after="0" w:line="240" w:lineRule="auto"/>
              <w:rPr>
                <w:rFonts w:cstheme="minorHAnsi"/>
                <w:sz w:val="24"/>
                <w:szCs w:val="24"/>
              </w:rPr>
            </w:pPr>
            <w:r w:rsidRPr="0043547B">
              <w:rPr>
                <w:rFonts w:cstheme="minorHAnsi"/>
                <w:sz w:val="24"/>
                <w:szCs w:val="24"/>
              </w:rPr>
              <w:t xml:space="preserve">Granulats pour ballasts de voies ferrées ; (IC 10.1.203) </w:t>
            </w:r>
          </w:p>
        </w:tc>
      </w:tr>
      <w:tr w:rsidR="0043547B" w:rsidRPr="0043547B" w:rsidTr="00CB5DC0">
        <w:trPr>
          <w:trHeight w:val="1355"/>
          <w:jc w:val="center"/>
        </w:trPr>
        <w:tc>
          <w:tcPr>
            <w:tcW w:w="1838" w:type="dxa"/>
            <w:tcBorders>
              <w:top w:val="single" w:sz="6" w:space="0" w:color="auto"/>
              <w:left w:val="single" w:sz="18" w:space="0" w:color="auto"/>
              <w:bottom w:val="single" w:sz="18" w:space="0" w:color="auto"/>
              <w:right w:val="single" w:sz="4" w:space="0" w:color="auto"/>
            </w:tcBorders>
            <w:shd w:val="clear" w:color="000000" w:fill="D9D9D9"/>
            <w:vAlign w:val="center"/>
          </w:tcPr>
          <w:p w:rsidR="009D2838" w:rsidRPr="0043547B" w:rsidRDefault="009D2838" w:rsidP="002A0FF3">
            <w:pPr>
              <w:spacing w:after="0" w:line="240" w:lineRule="auto"/>
              <w:jc w:val="center"/>
              <w:rPr>
                <w:rFonts w:cstheme="minorHAnsi"/>
                <w:b/>
                <w:bCs/>
                <w:sz w:val="24"/>
                <w:szCs w:val="24"/>
              </w:rPr>
            </w:pPr>
            <w:r w:rsidRPr="0043547B">
              <w:rPr>
                <w:rFonts w:cstheme="minorHAnsi"/>
                <w:b/>
                <w:bCs/>
                <w:sz w:val="24"/>
                <w:szCs w:val="24"/>
              </w:rPr>
              <w:lastRenderedPageBreak/>
              <w:t>Domaine d’application :</w:t>
            </w:r>
          </w:p>
        </w:tc>
        <w:tc>
          <w:tcPr>
            <w:tcW w:w="7938" w:type="dxa"/>
            <w:tcBorders>
              <w:top w:val="single" w:sz="6" w:space="0" w:color="auto"/>
              <w:left w:val="single" w:sz="4" w:space="0" w:color="auto"/>
              <w:bottom w:val="single" w:sz="18" w:space="0" w:color="auto"/>
              <w:right w:val="single" w:sz="18" w:space="0" w:color="auto"/>
            </w:tcBorders>
            <w:shd w:val="clear" w:color="000000" w:fill="FFFFFF"/>
            <w:vAlign w:val="bottom"/>
          </w:tcPr>
          <w:p w:rsidR="002A0FF3" w:rsidRPr="0043547B" w:rsidRDefault="009D2838" w:rsidP="00487753">
            <w:pPr>
              <w:spacing w:after="0" w:line="240" w:lineRule="auto"/>
              <w:jc w:val="both"/>
              <w:rPr>
                <w:rFonts w:cstheme="minorHAnsi"/>
                <w:sz w:val="24"/>
                <w:szCs w:val="24"/>
              </w:rPr>
            </w:pPr>
            <w:r w:rsidRPr="0043547B">
              <w:rPr>
                <w:rFonts w:cstheme="minorHAnsi"/>
                <w:sz w:val="24"/>
                <w:szCs w:val="24"/>
              </w:rPr>
              <w:t xml:space="preserve">La présente </w:t>
            </w:r>
            <w:r w:rsidR="00487753">
              <w:rPr>
                <w:rFonts w:cstheme="minorHAnsi"/>
                <w:sz w:val="24"/>
                <w:szCs w:val="24"/>
              </w:rPr>
              <w:t>n</w:t>
            </w:r>
            <w:r w:rsidRPr="0043547B">
              <w:rPr>
                <w:rFonts w:cstheme="minorHAnsi"/>
                <w:sz w:val="24"/>
                <w:szCs w:val="24"/>
              </w:rPr>
              <w:t>orme spécifie les caractéristiques des granulats obtenus par traitement de matériaux naturels ou artificiels ou de granulats recyclés concassés utilisés dans la construction de voies ferrées. Pour les besoins de la présente norme, les granulats sont appelés ballasts de voies ferrées.</w:t>
            </w:r>
          </w:p>
          <w:p w:rsidR="002A0FF3" w:rsidRPr="0043547B" w:rsidRDefault="009D2838" w:rsidP="002A0FF3">
            <w:pPr>
              <w:spacing w:after="0" w:line="240" w:lineRule="auto"/>
              <w:jc w:val="both"/>
              <w:rPr>
                <w:rFonts w:cstheme="minorHAnsi"/>
                <w:sz w:val="24"/>
                <w:szCs w:val="24"/>
              </w:rPr>
            </w:pPr>
            <w:r w:rsidRPr="0043547B">
              <w:rPr>
                <w:rFonts w:cstheme="minorHAnsi"/>
                <w:sz w:val="24"/>
                <w:szCs w:val="24"/>
              </w:rPr>
              <w:t>Elle fournit l’évaluation de conformité des produits.</w:t>
            </w:r>
          </w:p>
          <w:p w:rsidR="009D2838" w:rsidRPr="0043547B" w:rsidRDefault="009D2838" w:rsidP="002A0FF3">
            <w:pPr>
              <w:spacing w:after="0" w:line="240" w:lineRule="auto"/>
              <w:jc w:val="both"/>
              <w:rPr>
                <w:rFonts w:cstheme="minorHAnsi"/>
                <w:i/>
                <w:iCs/>
                <w:sz w:val="24"/>
                <w:szCs w:val="24"/>
              </w:rPr>
            </w:pPr>
            <w:r w:rsidRPr="00487753">
              <w:rPr>
                <w:rFonts w:cstheme="minorHAnsi"/>
                <w:b/>
                <w:bCs/>
                <w:i/>
                <w:iCs/>
              </w:rPr>
              <w:t>NOTE</w:t>
            </w:r>
            <w:r w:rsidR="002A0FF3" w:rsidRPr="00487753">
              <w:rPr>
                <w:rFonts w:cstheme="minorHAnsi"/>
                <w:b/>
                <w:bCs/>
                <w:i/>
                <w:iCs/>
              </w:rPr>
              <w:t> :</w:t>
            </w:r>
            <w:r w:rsidR="002A0FF3" w:rsidRPr="00487753">
              <w:rPr>
                <w:rFonts w:cstheme="minorHAnsi"/>
                <w:i/>
                <w:iCs/>
              </w:rPr>
              <w:t xml:space="preserve"> </w:t>
            </w:r>
            <w:r w:rsidRPr="00487753">
              <w:rPr>
                <w:rFonts w:cstheme="minorHAnsi"/>
                <w:i/>
                <w:iCs/>
              </w:rPr>
              <w:t>Il convient que les granulats utilisés dans la construction respectent toutes les prescriptions de la présente Norme européenne. Le mandat M/125 traite, outre des granulats naturels et artificiels courants et traditionnels, des granulats recyclés ainsi que de certains matériaux d’origine nouvelle ou moins courante. Les granulats recyclés sont inclus dans la norme et de nouvelles méthodes d’essai, à un stade avancé d’élaboration, leur sont destinées. Le travail de normalisation ne fait en revanche que commencer pour des matériaux moins courants de source secondaire et davantage de temps est nécessaire</w:t>
            </w:r>
            <w:r w:rsidR="002A0FF3" w:rsidRPr="00487753">
              <w:rPr>
                <w:rFonts w:cstheme="minorHAnsi"/>
                <w:i/>
                <w:iCs/>
              </w:rPr>
              <w:t xml:space="preserve"> </w:t>
            </w:r>
            <w:r w:rsidRPr="00487753">
              <w:rPr>
                <w:rFonts w:cstheme="minorHAnsi"/>
                <w:i/>
                <w:iCs/>
              </w:rPr>
              <w:t>pour définir clairement l’origine et les caractéristiques de ces matériaux. Dans l’intervalle, ces matériaux moins connus, s’ils sont mis sur le marché, doivent respecter pleinement la présente norme et les réglementations nationales relatives aux substances dangereuses (voir l’annexe ZA de la norme) selon l’usage qui est fait d’eux. Des caractéristiques et des prescriptions complémentaires peuvent être spécifiées au cas par cas, en fonction de l’expérience acquise à l’usage du produit, et définies dans des documents contractuels spécifiques.</w:t>
            </w:r>
          </w:p>
        </w:tc>
      </w:tr>
      <w:tr w:rsidR="00001B85" w:rsidRPr="0043547B" w:rsidTr="00DA30E7">
        <w:trPr>
          <w:trHeight w:val="385"/>
          <w:jc w:val="center"/>
        </w:trPr>
        <w:tc>
          <w:tcPr>
            <w:tcW w:w="1838" w:type="dxa"/>
            <w:tcBorders>
              <w:top w:val="single" w:sz="6" w:space="0" w:color="auto"/>
              <w:left w:val="single" w:sz="18" w:space="0" w:color="auto"/>
              <w:bottom w:val="single" w:sz="18" w:space="0" w:color="auto"/>
              <w:right w:val="single" w:sz="4" w:space="0" w:color="auto"/>
            </w:tcBorders>
            <w:shd w:val="clear" w:color="auto" w:fill="C2D69B" w:themeFill="accent3" w:themeFillTint="99"/>
            <w:vAlign w:val="center"/>
          </w:tcPr>
          <w:p w:rsidR="00001B85" w:rsidRPr="00DA30E7" w:rsidRDefault="00001B85" w:rsidP="00DA30E7">
            <w:pPr>
              <w:spacing w:after="0" w:line="240" w:lineRule="auto"/>
              <w:jc w:val="center"/>
              <w:rPr>
                <w:rFonts w:ascii="Calibri" w:hAnsi="Calibri" w:cs="Calibri"/>
                <w:b/>
                <w:bCs/>
                <w:sz w:val="24"/>
                <w:szCs w:val="24"/>
              </w:rPr>
            </w:pPr>
            <w:r w:rsidRPr="00DA30E7">
              <w:rPr>
                <w:rFonts w:ascii="Calibri" w:hAnsi="Calibri" w:cs="Calibri"/>
                <w:b/>
                <w:bCs/>
                <w:sz w:val="24"/>
                <w:szCs w:val="24"/>
              </w:rPr>
              <w:t>Code :</w:t>
            </w:r>
          </w:p>
        </w:tc>
        <w:tc>
          <w:tcPr>
            <w:tcW w:w="7938" w:type="dxa"/>
            <w:tcBorders>
              <w:top w:val="single" w:sz="6" w:space="0" w:color="auto"/>
              <w:left w:val="single" w:sz="4" w:space="0" w:color="auto"/>
              <w:bottom w:val="single" w:sz="18" w:space="0" w:color="auto"/>
              <w:right w:val="single" w:sz="18" w:space="0" w:color="auto"/>
            </w:tcBorders>
            <w:shd w:val="clear" w:color="auto" w:fill="C2D69B" w:themeFill="accent3" w:themeFillTint="99"/>
            <w:vAlign w:val="center"/>
          </w:tcPr>
          <w:p w:rsidR="00001B85" w:rsidRPr="00DA30E7" w:rsidRDefault="00001B85" w:rsidP="00DA30E7">
            <w:pPr>
              <w:spacing w:after="0" w:line="240" w:lineRule="auto"/>
              <w:jc w:val="center"/>
              <w:rPr>
                <w:rFonts w:ascii="Calibri" w:hAnsi="Calibri" w:cs="Calibri"/>
                <w:b/>
                <w:bCs/>
                <w:sz w:val="24"/>
                <w:szCs w:val="24"/>
              </w:rPr>
            </w:pPr>
            <w:r w:rsidRPr="00DA30E7">
              <w:rPr>
                <w:rFonts w:ascii="Calibri" w:hAnsi="Calibri" w:cs="Calibri"/>
                <w:b/>
                <w:bCs/>
                <w:sz w:val="24"/>
                <w:szCs w:val="24"/>
              </w:rPr>
              <w:t>NM EN 13055</w:t>
            </w:r>
          </w:p>
        </w:tc>
      </w:tr>
      <w:tr w:rsidR="00001B85" w:rsidRPr="0043547B" w:rsidTr="00DA30E7">
        <w:trPr>
          <w:trHeight w:val="394"/>
          <w:jc w:val="center"/>
        </w:trPr>
        <w:tc>
          <w:tcPr>
            <w:tcW w:w="1838" w:type="dxa"/>
            <w:tcBorders>
              <w:top w:val="single" w:sz="6" w:space="0" w:color="auto"/>
              <w:left w:val="single" w:sz="18" w:space="0" w:color="auto"/>
              <w:bottom w:val="single" w:sz="18" w:space="0" w:color="auto"/>
              <w:right w:val="single" w:sz="4" w:space="0" w:color="auto"/>
            </w:tcBorders>
            <w:shd w:val="clear" w:color="auto" w:fill="FFFFCC"/>
            <w:vAlign w:val="center"/>
          </w:tcPr>
          <w:p w:rsidR="00001B85" w:rsidRPr="00DA30E7" w:rsidRDefault="00001B85" w:rsidP="00DA30E7">
            <w:pPr>
              <w:spacing w:after="0" w:line="240" w:lineRule="auto"/>
              <w:jc w:val="center"/>
              <w:rPr>
                <w:rFonts w:ascii="Calibri" w:hAnsi="Calibri" w:cs="Calibri"/>
                <w:b/>
                <w:bCs/>
                <w:sz w:val="24"/>
                <w:szCs w:val="24"/>
              </w:rPr>
            </w:pPr>
            <w:r w:rsidRPr="00DA30E7">
              <w:rPr>
                <w:rFonts w:ascii="Calibri" w:hAnsi="Calibri" w:cs="Calibri"/>
                <w:b/>
                <w:bCs/>
                <w:sz w:val="24"/>
                <w:szCs w:val="24"/>
              </w:rPr>
              <w:t>Equivalence :</w:t>
            </w:r>
          </w:p>
        </w:tc>
        <w:tc>
          <w:tcPr>
            <w:tcW w:w="7938" w:type="dxa"/>
            <w:tcBorders>
              <w:top w:val="single" w:sz="6" w:space="0" w:color="auto"/>
              <w:left w:val="single" w:sz="4" w:space="0" w:color="auto"/>
              <w:bottom w:val="single" w:sz="18" w:space="0" w:color="auto"/>
              <w:right w:val="single" w:sz="18" w:space="0" w:color="auto"/>
            </w:tcBorders>
            <w:shd w:val="clear" w:color="auto" w:fill="FFFFCC"/>
            <w:vAlign w:val="center"/>
          </w:tcPr>
          <w:p w:rsidR="00001B85" w:rsidRPr="00DA30E7" w:rsidRDefault="00001B85" w:rsidP="00DA30E7">
            <w:pPr>
              <w:spacing w:after="0" w:line="240" w:lineRule="auto"/>
              <w:jc w:val="center"/>
              <w:rPr>
                <w:rFonts w:ascii="Calibri" w:hAnsi="Calibri" w:cs="Calibri"/>
                <w:b/>
                <w:bCs/>
                <w:sz w:val="24"/>
                <w:szCs w:val="24"/>
              </w:rPr>
            </w:pPr>
            <w:r w:rsidRPr="00DA30E7">
              <w:rPr>
                <w:rFonts w:ascii="Calibri" w:hAnsi="Calibri" w:cs="Calibri"/>
                <w:b/>
                <w:bCs/>
                <w:sz w:val="24"/>
                <w:szCs w:val="24"/>
              </w:rPr>
              <w:t>EN 13055</w:t>
            </w:r>
          </w:p>
        </w:tc>
      </w:tr>
      <w:tr w:rsidR="00001B85" w:rsidRPr="0043547B" w:rsidTr="00DA30E7">
        <w:trPr>
          <w:trHeight w:val="416"/>
          <w:jc w:val="center"/>
        </w:trPr>
        <w:tc>
          <w:tcPr>
            <w:tcW w:w="1838" w:type="dxa"/>
            <w:tcBorders>
              <w:top w:val="single" w:sz="18" w:space="0" w:color="auto"/>
              <w:left w:val="single" w:sz="18" w:space="0" w:color="auto"/>
              <w:bottom w:val="single" w:sz="4" w:space="0" w:color="auto"/>
              <w:right w:val="single" w:sz="4" w:space="0" w:color="auto"/>
            </w:tcBorders>
            <w:shd w:val="clear" w:color="auto" w:fill="95B3D7" w:themeFill="accent1" w:themeFillTint="99"/>
            <w:vAlign w:val="center"/>
          </w:tcPr>
          <w:p w:rsidR="00001B85" w:rsidRPr="00DA30E7" w:rsidRDefault="00001B85" w:rsidP="00DA30E7">
            <w:pPr>
              <w:spacing w:after="0" w:line="240" w:lineRule="auto"/>
              <w:jc w:val="center"/>
              <w:rPr>
                <w:rFonts w:ascii="Calibri" w:hAnsi="Calibri" w:cs="Calibri"/>
                <w:b/>
                <w:bCs/>
                <w:sz w:val="24"/>
                <w:szCs w:val="24"/>
              </w:rPr>
            </w:pPr>
            <w:r w:rsidRPr="00DA30E7">
              <w:rPr>
                <w:rFonts w:ascii="Calibri" w:hAnsi="Calibri" w:cs="Calibr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000000" w:fill="FFFFFF"/>
          </w:tcPr>
          <w:p w:rsidR="00001B85" w:rsidRPr="00DA30E7" w:rsidRDefault="00001B85" w:rsidP="00DA30E7">
            <w:pPr>
              <w:spacing w:after="0" w:line="240" w:lineRule="auto"/>
              <w:jc w:val="both"/>
              <w:rPr>
                <w:rFonts w:ascii="Calibri" w:hAnsi="Calibri" w:cs="Calibri"/>
                <w:sz w:val="24"/>
                <w:szCs w:val="24"/>
              </w:rPr>
            </w:pPr>
            <w:r w:rsidRPr="00DA30E7">
              <w:rPr>
                <w:rFonts w:ascii="Calibri" w:hAnsi="Calibri" w:cs="Calibri"/>
                <w:sz w:val="24"/>
                <w:szCs w:val="24"/>
              </w:rPr>
              <w:t>Granulats légers</w:t>
            </w:r>
          </w:p>
        </w:tc>
      </w:tr>
      <w:tr w:rsidR="00001B85" w:rsidRPr="0043547B" w:rsidTr="00DA30E7">
        <w:trPr>
          <w:trHeight w:val="1355"/>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001B85" w:rsidRPr="00DA30E7" w:rsidRDefault="00001B85" w:rsidP="00DA30E7">
            <w:pPr>
              <w:spacing w:after="0" w:line="240" w:lineRule="auto"/>
              <w:jc w:val="center"/>
              <w:rPr>
                <w:rFonts w:ascii="Calibri" w:hAnsi="Calibri" w:cs="Calibri"/>
                <w:b/>
                <w:bCs/>
                <w:sz w:val="24"/>
                <w:szCs w:val="24"/>
              </w:rPr>
            </w:pPr>
            <w:r w:rsidRPr="00DA30E7">
              <w:rPr>
                <w:rFonts w:ascii="Calibri" w:hAnsi="Calibri" w:cs="Calibr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000000" w:fill="FFFFFF"/>
            <w:vAlign w:val="bottom"/>
          </w:tcPr>
          <w:p w:rsidR="00DA30E7" w:rsidRDefault="00001B85" w:rsidP="00DA30E7">
            <w:pPr>
              <w:spacing w:after="0" w:line="240" w:lineRule="auto"/>
              <w:jc w:val="both"/>
              <w:rPr>
                <w:rFonts w:ascii="Calibri" w:hAnsi="Calibri" w:cs="Calibri"/>
                <w:sz w:val="24"/>
                <w:szCs w:val="24"/>
              </w:rPr>
            </w:pPr>
            <w:r w:rsidRPr="00DA30E7">
              <w:rPr>
                <w:rFonts w:ascii="Calibri" w:hAnsi="Calibri" w:cs="Calibri"/>
                <w:sz w:val="24"/>
                <w:szCs w:val="24"/>
              </w:rPr>
              <w:t>La présente Norme spécifie les exigences techniques relatives aux granulats légers (GL) et aux fillers qui en sont issus, élaborés à partir de matériaux naturels ou artificiels et des mélanges de ces granulats pour les applications béton, mortier, coulis, mélanges hydrocarbonés et traitements de surface et pour les matériaux traités et non traités aux liants hydrauliques pour les travaux de</w:t>
            </w:r>
            <w:r w:rsidRPr="00DA30E7">
              <w:rPr>
                <w:rFonts w:ascii="Calibri" w:hAnsi="Calibri" w:cs="Calibri"/>
                <w:sz w:val="24"/>
                <w:szCs w:val="24"/>
              </w:rPr>
              <w:br/>
              <w:t>construction.</w:t>
            </w:r>
            <w:r w:rsidRPr="00DA30E7">
              <w:rPr>
                <w:rFonts w:ascii="Calibri" w:hAnsi="Calibri" w:cs="Calibri"/>
                <w:sz w:val="24"/>
                <w:szCs w:val="24"/>
              </w:rPr>
              <w:br/>
              <w:t>La présente Norme européenne traite des granulats légers d’origine minérale ayant une masse volumique réelle maximale de 2000 kg/m3 (2,000 Mg/m3) ou une masse volumique en vrac maximale de 1200 kg/m3 (1,200 Mg/m3), y compris :</w:t>
            </w:r>
          </w:p>
          <w:p w:rsidR="00DA30E7" w:rsidRDefault="00001B85" w:rsidP="00DA30E7">
            <w:pPr>
              <w:spacing w:after="0" w:line="240" w:lineRule="auto"/>
              <w:jc w:val="both"/>
              <w:rPr>
                <w:rFonts w:ascii="Calibri" w:hAnsi="Calibri" w:cs="Calibri"/>
                <w:sz w:val="24"/>
                <w:szCs w:val="24"/>
              </w:rPr>
            </w:pPr>
            <w:r w:rsidRPr="00DA30E7">
              <w:rPr>
                <w:rFonts w:ascii="Calibri" w:hAnsi="Calibri" w:cs="Calibri"/>
                <w:sz w:val="24"/>
                <w:szCs w:val="24"/>
              </w:rPr>
              <w:t>a) les granulats naturels légers ;</w:t>
            </w:r>
          </w:p>
          <w:p w:rsidR="00DA30E7" w:rsidRDefault="00001B85" w:rsidP="00DA30E7">
            <w:pPr>
              <w:spacing w:after="0" w:line="240" w:lineRule="auto"/>
              <w:jc w:val="both"/>
              <w:rPr>
                <w:rFonts w:ascii="Calibri" w:hAnsi="Calibri" w:cs="Calibri"/>
                <w:sz w:val="24"/>
                <w:szCs w:val="24"/>
              </w:rPr>
            </w:pPr>
            <w:r w:rsidRPr="00DA30E7">
              <w:rPr>
                <w:rFonts w:ascii="Calibri" w:hAnsi="Calibri" w:cs="Calibri"/>
                <w:sz w:val="24"/>
                <w:szCs w:val="24"/>
              </w:rPr>
              <w:t>b) les granulats artificiels légers issus de matériaux naturels ;</w:t>
            </w:r>
          </w:p>
          <w:p w:rsidR="00DA30E7" w:rsidRDefault="00001B85" w:rsidP="00DA30E7">
            <w:pPr>
              <w:spacing w:after="0" w:line="240" w:lineRule="auto"/>
              <w:jc w:val="both"/>
              <w:rPr>
                <w:rFonts w:ascii="Calibri" w:hAnsi="Calibri" w:cs="Calibri"/>
                <w:sz w:val="24"/>
                <w:szCs w:val="24"/>
              </w:rPr>
            </w:pPr>
            <w:r w:rsidRPr="00DA30E7">
              <w:rPr>
                <w:rFonts w:ascii="Calibri" w:hAnsi="Calibri" w:cs="Calibri"/>
                <w:sz w:val="24"/>
                <w:szCs w:val="24"/>
              </w:rPr>
              <w:t>c) les granulats artificiels légers issus de résidus de processus industriels ou de matériaux recyclés ;</w:t>
            </w:r>
          </w:p>
          <w:p w:rsidR="00DA30E7" w:rsidRDefault="00001B85" w:rsidP="00DA30E7">
            <w:pPr>
              <w:spacing w:after="0" w:line="240" w:lineRule="auto"/>
              <w:jc w:val="both"/>
              <w:rPr>
                <w:rFonts w:ascii="Calibri" w:hAnsi="Calibri" w:cs="Calibri"/>
                <w:sz w:val="24"/>
                <w:szCs w:val="24"/>
              </w:rPr>
            </w:pPr>
            <w:r w:rsidRPr="00DA30E7">
              <w:rPr>
                <w:rFonts w:ascii="Calibri" w:hAnsi="Calibri" w:cs="Calibri"/>
                <w:sz w:val="24"/>
                <w:szCs w:val="24"/>
              </w:rPr>
              <w:t>d) les granulats légers comme résidus de processus industriels.</w:t>
            </w:r>
          </w:p>
          <w:p w:rsidR="00001B85" w:rsidRPr="00DA30E7" w:rsidRDefault="00001B85" w:rsidP="00DA30E7">
            <w:pPr>
              <w:spacing w:after="0" w:line="240" w:lineRule="auto"/>
              <w:jc w:val="both"/>
              <w:rPr>
                <w:rFonts w:ascii="Calibri" w:hAnsi="Calibri" w:cs="Calibri"/>
                <w:sz w:val="24"/>
                <w:szCs w:val="24"/>
              </w:rPr>
            </w:pPr>
            <w:r w:rsidRPr="00DA30E7">
              <w:rPr>
                <w:rFonts w:ascii="Calibri" w:hAnsi="Calibri" w:cs="Calibri"/>
                <w:sz w:val="24"/>
                <w:szCs w:val="24"/>
              </w:rPr>
              <w:t>Les exigences de la présente norme peuvent ne pas s’appliquer uniformément à tous les types de granulats légers. Les exigences et tolérances peuvent être adaptées à l’usage final pour l’application particulière considérée.</w:t>
            </w:r>
          </w:p>
        </w:tc>
      </w:tr>
      <w:tr w:rsidR="0043547B" w:rsidRPr="0043547B" w:rsidTr="00CB5DC0">
        <w:trPr>
          <w:trHeight w:val="288"/>
          <w:jc w:val="center"/>
        </w:trPr>
        <w:tc>
          <w:tcPr>
            <w:tcW w:w="1838" w:type="dxa"/>
            <w:tcBorders>
              <w:top w:val="nil"/>
              <w:left w:val="single" w:sz="18" w:space="0" w:color="auto"/>
              <w:bottom w:val="single" w:sz="18" w:space="0" w:color="auto"/>
              <w:right w:val="single" w:sz="4" w:space="0" w:color="auto"/>
            </w:tcBorders>
            <w:shd w:val="clear" w:color="auto" w:fill="B0CA7C"/>
            <w:vAlign w:val="center"/>
          </w:tcPr>
          <w:p w:rsidR="009D2838" w:rsidRPr="0043547B" w:rsidRDefault="009D2838" w:rsidP="002A0FF3">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left w:val="single" w:sz="4" w:space="0" w:color="auto"/>
              <w:bottom w:val="single" w:sz="18" w:space="0" w:color="auto"/>
              <w:right w:val="single" w:sz="18" w:space="0" w:color="auto"/>
            </w:tcBorders>
            <w:shd w:val="clear" w:color="auto" w:fill="B0CA7C"/>
            <w:vAlign w:val="center"/>
          </w:tcPr>
          <w:p w:rsidR="009D2838" w:rsidRPr="0043547B" w:rsidRDefault="009D2838" w:rsidP="002A0FF3">
            <w:pPr>
              <w:spacing w:after="0" w:line="240" w:lineRule="auto"/>
              <w:jc w:val="center"/>
              <w:rPr>
                <w:rFonts w:cstheme="minorHAnsi"/>
                <w:b/>
                <w:bCs/>
                <w:sz w:val="24"/>
                <w:szCs w:val="24"/>
              </w:rPr>
            </w:pPr>
            <w:r w:rsidRPr="0043547B">
              <w:rPr>
                <w:rFonts w:cstheme="minorHAnsi"/>
                <w:b/>
                <w:bCs/>
                <w:sz w:val="24"/>
                <w:szCs w:val="24"/>
              </w:rPr>
              <w:t>NM 10.1.276</w:t>
            </w:r>
          </w:p>
        </w:tc>
      </w:tr>
      <w:tr w:rsidR="0043547B" w:rsidRPr="0043547B" w:rsidTr="00CB5DC0">
        <w:trPr>
          <w:trHeight w:val="671"/>
          <w:jc w:val="center"/>
        </w:trPr>
        <w:tc>
          <w:tcPr>
            <w:tcW w:w="1838" w:type="dxa"/>
            <w:tcBorders>
              <w:top w:val="single" w:sz="6" w:space="0" w:color="auto"/>
              <w:left w:val="single" w:sz="18" w:space="0" w:color="auto"/>
              <w:bottom w:val="single" w:sz="6" w:space="0" w:color="auto"/>
              <w:right w:val="single" w:sz="4" w:space="0" w:color="auto"/>
            </w:tcBorders>
            <w:shd w:val="clear" w:color="auto" w:fill="95B3D7" w:themeFill="accent1" w:themeFillTint="99"/>
            <w:vAlign w:val="center"/>
          </w:tcPr>
          <w:p w:rsidR="009D2838" w:rsidRPr="0043547B" w:rsidRDefault="009D2838" w:rsidP="002A0FF3">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6" w:space="0" w:color="auto"/>
              <w:left w:val="single" w:sz="4" w:space="0" w:color="auto"/>
              <w:bottom w:val="single" w:sz="6" w:space="0" w:color="auto"/>
              <w:right w:val="single" w:sz="18" w:space="0" w:color="auto"/>
            </w:tcBorders>
            <w:shd w:val="clear" w:color="000000" w:fill="FFFFFF"/>
            <w:vAlign w:val="bottom"/>
          </w:tcPr>
          <w:p w:rsidR="009D2838" w:rsidRPr="0043547B" w:rsidRDefault="009D2838" w:rsidP="002A0FF3">
            <w:pPr>
              <w:spacing w:after="0" w:line="240" w:lineRule="auto"/>
              <w:rPr>
                <w:rFonts w:cstheme="minorHAnsi"/>
                <w:sz w:val="24"/>
                <w:szCs w:val="24"/>
              </w:rPr>
            </w:pPr>
            <w:r w:rsidRPr="0043547B">
              <w:rPr>
                <w:rFonts w:cstheme="minorHAnsi"/>
                <w:sz w:val="24"/>
                <w:szCs w:val="24"/>
              </w:rPr>
              <w:t xml:space="preserve">Granulats - Critères de qualification des granulats naturels pour béton hydraulique vis-à-vis de l'alcali-réaction ; </w:t>
            </w:r>
          </w:p>
        </w:tc>
      </w:tr>
      <w:tr w:rsidR="0043547B" w:rsidRPr="0043547B" w:rsidTr="00CB5DC0">
        <w:trPr>
          <w:trHeight w:val="1355"/>
          <w:jc w:val="center"/>
        </w:trPr>
        <w:tc>
          <w:tcPr>
            <w:tcW w:w="1838" w:type="dxa"/>
            <w:tcBorders>
              <w:top w:val="single" w:sz="6" w:space="0" w:color="auto"/>
              <w:left w:val="single" w:sz="18" w:space="0" w:color="auto"/>
              <w:bottom w:val="single" w:sz="18" w:space="0" w:color="auto"/>
              <w:right w:val="single" w:sz="4" w:space="0" w:color="auto"/>
            </w:tcBorders>
            <w:shd w:val="clear" w:color="000000" w:fill="D9D9D9"/>
            <w:vAlign w:val="center"/>
          </w:tcPr>
          <w:p w:rsidR="009D2838" w:rsidRPr="0043547B" w:rsidRDefault="009D2838" w:rsidP="002A0FF3">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6" w:space="0" w:color="auto"/>
              <w:left w:val="single" w:sz="4" w:space="0" w:color="auto"/>
              <w:bottom w:val="single" w:sz="18" w:space="0" w:color="auto"/>
              <w:right w:val="single" w:sz="18" w:space="0" w:color="auto"/>
            </w:tcBorders>
            <w:shd w:val="clear" w:color="000000" w:fill="FFFFFF"/>
            <w:vAlign w:val="bottom"/>
          </w:tcPr>
          <w:p w:rsidR="002A0FF3" w:rsidRPr="00273ED5" w:rsidRDefault="009D2838" w:rsidP="002A0FF3">
            <w:pPr>
              <w:spacing w:after="0" w:line="240" w:lineRule="auto"/>
              <w:jc w:val="both"/>
              <w:rPr>
                <w:rFonts w:cstheme="minorHAnsi"/>
              </w:rPr>
            </w:pPr>
            <w:r w:rsidRPr="00273ED5">
              <w:rPr>
                <w:rFonts w:cstheme="minorHAnsi"/>
              </w:rPr>
              <w:t>La norme NF P18-545 prévoit, dans son paragraphe 10.3.3, de désigner les granulats comme étant :</w:t>
            </w:r>
          </w:p>
          <w:p w:rsidR="002A0FF3" w:rsidRPr="00273ED5" w:rsidRDefault="009D2838" w:rsidP="002A0FF3">
            <w:pPr>
              <w:spacing w:after="0" w:line="240" w:lineRule="auto"/>
              <w:rPr>
                <w:rFonts w:cstheme="minorHAnsi"/>
              </w:rPr>
            </w:pPr>
            <w:r w:rsidRPr="00273ED5">
              <w:rPr>
                <w:rFonts w:cstheme="minorHAnsi"/>
              </w:rPr>
              <w:t>— s’ils ont été qualifiés :</w:t>
            </w:r>
            <w:r w:rsidRPr="00273ED5">
              <w:rPr>
                <w:rFonts w:cstheme="minorHAnsi"/>
              </w:rPr>
              <w:br/>
              <w:t>- Non Réactifs (NR),</w:t>
            </w:r>
            <w:r w:rsidRPr="00273ED5">
              <w:rPr>
                <w:rFonts w:cstheme="minorHAnsi"/>
              </w:rPr>
              <w:br/>
              <w:t>- Potentiellement Réactifs (PR),</w:t>
            </w:r>
            <w:r w:rsidRPr="00273ED5">
              <w:rPr>
                <w:rFonts w:cstheme="minorHAnsi"/>
              </w:rPr>
              <w:br/>
              <w:t>- Potentiellement Réactifs avec effet de Pessimum (PRP),</w:t>
            </w:r>
            <w:r w:rsidRPr="00273ED5">
              <w:rPr>
                <w:rFonts w:cstheme="minorHAnsi"/>
              </w:rPr>
              <w:br/>
            </w:r>
            <w:r w:rsidRPr="00273ED5">
              <w:rPr>
                <w:rFonts w:cstheme="minorHAnsi"/>
              </w:rPr>
              <w:lastRenderedPageBreak/>
              <w:t>— s’ils n’ont pas été qualifiés :</w:t>
            </w:r>
            <w:r w:rsidRPr="00273ED5">
              <w:rPr>
                <w:rFonts w:cstheme="minorHAnsi"/>
              </w:rPr>
              <w:br/>
              <w:t>- Non Qualifiés (NQ)</w:t>
            </w:r>
          </w:p>
          <w:p w:rsidR="002A0FF3" w:rsidRPr="00273ED5" w:rsidRDefault="009D2838" w:rsidP="002A0FF3">
            <w:pPr>
              <w:spacing w:after="0" w:line="240" w:lineRule="auto"/>
              <w:jc w:val="both"/>
              <w:rPr>
                <w:rFonts w:cstheme="minorHAnsi"/>
              </w:rPr>
            </w:pPr>
            <w:r w:rsidRPr="00273ED5">
              <w:rPr>
                <w:rFonts w:cstheme="minorHAnsi"/>
              </w:rPr>
              <w:t>Le présent document donne les moyens qui permettent de classer un granulat donné vis-à-vis de l'alcali-réaction.</w:t>
            </w:r>
          </w:p>
          <w:p w:rsidR="002A0FF3" w:rsidRPr="00273ED5" w:rsidRDefault="009D2838" w:rsidP="002A0FF3">
            <w:pPr>
              <w:spacing w:after="0" w:line="240" w:lineRule="auto"/>
              <w:jc w:val="both"/>
              <w:rPr>
                <w:rFonts w:cstheme="minorHAnsi"/>
              </w:rPr>
            </w:pPr>
            <w:r w:rsidRPr="00273ED5">
              <w:rPr>
                <w:rFonts w:cstheme="minorHAnsi"/>
              </w:rPr>
              <w:t>Il définit comment doivent être conduites les opérations de qualification d'un échantillon de granulat ou de roche vis-à-vis de l'alcali-réaction, en s'appuyant sur des analyses et des méthodes d'essais normalisées. Il donne, pour chacun des essais, les critères d'interprétation.</w:t>
            </w:r>
          </w:p>
          <w:p w:rsidR="002A0FF3" w:rsidRPr="00273ED5" w:rsidRDefault="009D2838" w:rsidP="002A0FF3">
            <w:pPr>
              <w:spacing w:after="0" w:line="240" w:lineRule="auto"/>
              <w:jc w:val="both"/>
              <w:rPr>
                <w:rFonts w:cstheme="minorHAnsi"/>
              </w:rPr>
            </w:pPr>
            <w:r w:rsidRPr="00273ED5">
              <w:rPr>
                <w:rFonts w:cstheme="minorHAnsi"/>
              </w:rPr>
              <w:t>La caractérisation des granulats vis-à-vis de l'alcali-réaction est faite sur des échantillons préparés conformément à la norme NF EN 932-2.</w:t>
            </w:r>
          </w:p>
          <w:p w:rsidR="002A0FF3" w:rsidRPr="00273ED5" w:rsidRDefault="009D2838" w:rsidP="002A0FF3">
            <w:pPr>
              <w:spacing w:after="0" w:line="240" w:lineRule="auto"/>
              <w:jc w:val="both"/>
              <w:rPr>
                <w:rFonts w:cstheme="minorHAnsi"/>
              </w:rPr>
            </w:pPr>
            <w:r w:rsidRPr="00273ED5">
              <w:rPr>
                <w:rFonts w:cstheme="minorHAnsi"/>
              </w:rPr>
              <w:t>La réactivité d’un granulat est jugée à partir d’essais décrits dans la norme NF P 18-594.</w:t>
            </w:r>
            <w:r w:rsidRPr="00273ED5">
              <w:rPr>
                <w:rFonts w:cstheme="minorHAnsi"/>
              </w:rPr>
              <w:br/>
              <w:t>Le présent document ne traite pas de la dédolomitisation, (mise en solution sans effet mécanique du carbonate de magnésium), pouvant se produire avec certaines roches dolomitiques. On ne connaît pas, à cette date, en France, de cas de ce type ayant entraîné des désordres.</w:t>
            </w:r>
          </w:p>
          <w:p w:rsidR="002A0FF3" w:rsidRPr="00273ED5" w:rsidRDefault="009D2838" w:rsidP="002A0FF3">
            <w:pPr>
              <w:spacing w:after="0" w:line="240" w:lineRule="auto"/>
              <w:jc w:val="both"/>
              <w:rPr>
                <w:rFonts w:cstheme="minorHAnsi"/>
              </w:rPr>
            </w:pPr>
            <w:r w:rsidRPr="00273ED5">
              <w:rPr>
                <w:rFonts w:cstheme="minorHAnsi"/>
              </w:rPr>
              <w:t>Chaque essai de la norme NF P 18-594 doit être utilisé strictement dans son domaine de validité. Ce dernier est défini pour chaque essai, et des précisions complémentaires figurent dans ce document.</w:t>
            </w:r>
          </w:p>
          <w:p w:rsidR="009D2838" w:rsidRPr="00273ED5" w:rsidRDefault="009D2838" w:rsidP="002A0FF3">
            <w:pPr>
              <w:spacing w:after="0" w:line="240" w:lineRule="auto"/>
              <w:jc w:val="both"/>
              <w:rPr>
                <w:rFonts w:cstheme="minorHAnsi"/>
              </w:rPr>
            </w:pPr>
            <w:r w:rsidRPr="00273ED5">
              <w:rPr>
                <w:rFonts w:cstheme="minorHAnsi"/>
              </w:rPr>
              <w:t>Le présent document permet de qualifier les granulats naturels légers de type LA1, et de granulats artificiels légers issus de matériaux naturels de type LB1, LB2 et LB3, au sens de l’Annexe A de la norme prNF EN 13055 et ne concerne pas les autres granulats artificiels. Les conditions de qualification de ces granulats légers sont spécifiées en 6.1.</w:t>
            </w:r>
          </w:p>
        </w:tc>
      </w:tr>
      <w:tr w:rsidR="0043547B" w:rsidRPr="0043547B" w:rsidTr="00CB5DC0">
        <w:trPr>
          <w:trHeight w:val="174"/>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bottom"/>
          </w:tcPr>
          <w:p w:rsidR="00904E52" w:rsidRPr="00273ED5" w:rsidRDefault="00904E52" w:rsidP="00904E52">
            <w:pPr>
              <w:spacing w:after="0" w:line="240" w:lineRule="auto"/>
              <w:jc w:val="center"/>
              <w:rPr>
                <w:rFonts w:cstheme="minorHAnsi"/>
              </w:rPr>
            </w:pPr>
            <w:r w:rsidRPr="00273ED5">
              <w:rPr>
                <w:rFonts w:eastAsia="Times New Roman" w:cstheme="minorHAnsi"/>
                <w:b/>
                <w:bCs/>
                <w:sz w:val="24"/>
                <w:szCs w:val="24"/>
                <w:lang w:eastAsia="fr-FR"/>
              </w:rPr>
              <w:t>NM 10.1.020</w:t>
            </w:r>
          </w:p>
        </w:tc>
      </w:tr>
      <w:tr w:rsidR="0043547B" w:rsidRPr="0043547B" w:rsidTr="00CB5DC0">
        <w:trPr>
          <w:trHeight w:val="70"/>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000000" w:fill="FFFFFF"/>
            <w:vAlign w:val="bottom"/>
          </w:tcPr>
          <w:p w:rsidR="00904E52" w:rsidRPr="00273ED5" w:rsidRDefault="00904E52" w:rsidP="00904E52">
            <w:pPr>
              <w:spacing w:after="0"/>
              <w:jc w:val="both"/>
              <w:rPr>
                <w:rFonts w:cstheme="minorHAnsi"/>
              </w:rPr>
            </w:pPr>
            <w:r w:rsidRPr="00273ED5">
              <w:rPr>
                <w:rFonts w:cstheme="minorHAnsi"/>
              </w:rPr>
              <w:t xml:space="preserve">Matériaux de construction - Granulométrie et granulats </w:t>
            </w:r>
          </w:p>
        </w:tc>
      </w:tr>
      <w:tr w:rsidR="0043547B" w:rsidRPr="0043547B" w:rsidTr="00CB5DC0">
        <w:trPr>
          <w:trHeight w:val="230"/>
          <w:jc w:val="center"/>
        </w:trPr>
        <w:tc>
          <w:tcPr>
            <w:tcW w:w="1838" w:type="dxa"/>
            <w:tcBorders>
              <w:top w:val="nil"/>
              <w:left w:val="single" w:sz="18" w:space="0" w:color="auto"/>
              <w:bottom w:val="single" w:sz="18" w:space="0" w:color="auto"/>
              <w:right w:val="single" w:sz="4" w:space="0" w:color="auto"/>
            </w:tcBorders>
            <w:shd w:val="clear" w:color="000000" w:fill="D9D9D9"/>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000000" w:fill="FFFFFF"/>
            <w:vAlign w:val="bottom"/>
          </w:tcPr>
          <w:p w:rsidR="00904E52" w:rsidRPr="00273ED5" w:rsidRDefault="00904E52" w:rsidP="00904E52">
            <w:pPr>
              <w:spacing w:after="0"/>
              <w:jc w:val="both"/>
              <w:rPr>
                <w:rFonts w:cstheme="minorHAnsi"/>
              </w:rPr>
            </w:pPr>
            <w:r w:rsidRPr="00273ED5">
              <w:rPr>
                <w:rFonts w:cstheme="minorHAnsi"/>
              </w:rPr>
              <w:t xml:space="preserve"> La présente norme s'applique aux granulats utilisés dans le bâtiment et les Travaux Publics, destinés notamment aux usages la granularité est déterminée par tamisage. </w:t>
            </w:r>
          </w:p>
        </w:tc>
      </w:tr>
      <w:tr w:rsidR="0043547B" w:rsidRPr="0043547B" w:rsidTr="00CB5DC0">
        <w:trPr>
          <w:trHeight w:val="70"/>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tcPr>
          <w:p w:rsidR="00146845" w:rsidRPr="0043547B" w:rsidRDefault="00146845" w:rsidP="00DA30E7">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tcPr>
          <w:p w:rsidR="00146845" w:rsidRPr="0043547B" w:rsidRDefault="00146845" w:rsidP="00D863F5">
            <w:pPr>
              <w:spacing w:after="0" w:line="240" w:lineRule="auto"/>
              <w:jc w:val="center"/>
              <w:rPr>
                <w:rFonts w:cstheme="minorHAnsi"/>
                <w:b/>
                <w:bCs/>
                <w:sz w:val="24"/>
                <w:szCs w:val="24"/>
              </w:rPr>
            </w:pPr>
            <w:r w:rsidRPr="0043547B">
              <w:rPr>
                <w:rFonts w:cstheme="minorHAnsi"/>
                <w:b/>
                <w:bCs/>
                <w:sz w:val="24"/>
                <w:szCs w:val="24"/>
              </w:rPr>
              <w:t>NM EN 459-1</w:t>
            </w:r>
          </w:p>
        </w:tc>
      </w:tr>
      <w:tr w:rsidR="0043547B" w:rsidRPr="0043547B" w:rsidTr="00CB5DC0">
        <w:trPr>
          <w:trHeight w:val="70"/>
          <w:jc w:val="center"/>
        </w:trPr>
        <w:tc>
          <w:tcPr>
            <w:tcW w:w="1838" w:type="dxa"/>
            <w:tcBorders>
              <w:top w:val="nil"/>
              <w:left w:val="single" w:sz="18" w:space="0" w:color="auto"/>
              <w:bottom w:val="single" w:sz="4" w:space="0" w:color="auto"/>
              <w:right w:val="single" w:sz="4" w:space="0" w:color="auto"/>
            </w:tcBorders>
            <w:shd w:val="clear" w:color="auto" w:fill="FDFBA9"/>
            <w:vAlign w:val="center"/>
          </w:tcPr>
          <w:p w:rsidR="00146845" w:rsidRPr="0043547B" w:rsidRDefault="00D863F5" w:rsidP="00146845">
            <w:pPr>
              <w:spacing w:after="0"/>
              <w:jc w:val="center"/>
              <w:rPr>
                <w:rFonts w:cstheme="minorHAnsi"/>
                <w:b/>
                <w:bCs/>
                <w:sz w:val="24"/>
                <w:szCs w:val="24"/>
              </w:rPr>
            </w:pPr>
            <w:r w:rsidRPr="0043547B">
              <w:rPr>
                <w:rFonts w:cstheme="minorHAnsi"/>
                <w:b/>
                <w:bCs/>
                <w:sz w:val="24"/>
                <w:szCs w:val="24"/>
              </w:rPr>
              <w:t>Equivalence :</w:t>
            </w:r>
          </w:p>
        </w:tc>
        <w:tc>
          <w:tcPr>
            <w:tcW w:w="7938" w:type="dxa"/>
            <w:tcBorders>
              <w:left w:val="single" w:sz="4" w:space="0" w:color="auto"/>
              <w:right w:val="single" w:sz="18" w:space="0" w:color="auto"/>
            </w:tcBorders>
            <w:shd w:val="clear" w:color="auto" w:fill="FDFBA9"/>
            <w:vAlign w:val="bottom"/>
          </w:tcPr>
          <w:p w:rsidR="00146845" w:rsidRPr="0043547B" w:rsidRDefault="00146845" w:rsidP="00D863F5">
            <w:pPr>
              <w:spacing w:after="0" w:line="240" w:lineRule="auto"/>
              <w:jc w:val="center"/>
              <w:rPr>
                <w:rFonts w:cstheme="minorHAnsi"/>
                <w:b/>
                <w:bCs/>
                <w:sz w:val="24"/>
                <w:szCs w:val="24"/>
              </w:rPr>
            </w:pPr>
            <w:r w:rsidRPr="0043547B">
              <w:rPr>
                <w:rFonts w:cstheme="minorHAnsi"/>
                <w:b/>
                <w:bCs/>
                <w:sz w:val="24"/>
                <w:szCs w:val="24"/>
              </w:rPr>
              <w:t>EN 459-1</w:t>
            </w:r>
          </w:p>
        </w:tc>
      </w:tr>
      <w:tr w:rsidR="0043547B" w:rsidRPr="0043547B" w:rsidTr="00CB5DC0">
        <w:trPr>
          <w:trHeight w:val="70"/>
          <w:jc w:val="center"/>
        </w:trPr>
        <w:tc>
          <w:tcPr>
            <w:tcW w:w="1838" w:type="dxa"/>
            <w:tcBorders>
              <w:top w:val="nil"/>
              <w:left w:val="single" w:sz="18" w:space="0" w:color="auto"/>
              <w:bottom w:val="single" w:sz="4" w:space="0" w:color="auto"/>
              <w:right w:val="single" w:sz="4" w:space="0" w:color="auto"/>
            </w:tcBorders>
            <w:shd w:val="clear" w:color="000000" w:fill="8DB4E2"/>
            <w:vAlign w:val="center"/>
          </w:tcPr>
          <w:p w:rsidR="00146845" w:rsidRPr="0043547B" w:rsidRDefault="00D863F5" w:rsidP="00146845">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000000" w:fill="FFFFFF"/>
          </w:tcPr>
          <w:p w:rsidR="00146845" w:rsidRPr="0043547B" w:rsidRDefault="00146845" w:rsidP="00D863F5">
            <w:pPr>
              <w:spacing w:after="0" w:line="240" w:lineRule="auto"/>
              <w:rPr>
                <w:rFonts w:cstheme="minorHAnsi"/>
                <w:sz w:val="24"/>
                <w:szCs w:val="24"/>
              </w:rPr>
            </w:pPr>
            <w:r w:rsidRPr="0043547B">
              <w:rPr>
                <w:rFonts w:cstheme="minorHAnsi"/>
                <w:sz w:val="24"/>
                <w:szCs w:val="24"/>
              </w:rPr>
              <w:t>Chaux de construction-Partie 1 : Définitions, spécifications et critères de conformité ;</w:t>
            </w:r>
          </w:p>
        </w:tc>
      </w:tr>
      <w:tr w:rsidR="0043547B" w:rsidRPr="0043547B" w:rsidTr="00CB5DC0">
        <w:trPr>
          <w:trHeight w:val="622"/>
          <w:jc w:val="center"/>
        </w:trPr>
        <w:tc>
          <w:tcPr>
            <w:tcW w:w="1838" w:type="dxa"/>
            <w:tcBorders>
              <w:top w:val="nil"/>
              <w:left w:val="single" w:sz="18" w:space="0" w:color="auto"/>
              <w:bottom w:val="single" w:sz="18" w:space="0" w:color="auto"/>
              <w:right w:val="single" w:sz="4" w:space="0" w:color="auto"/>
            </w:tcBorders>
            <w:shd w:val="clear" w:color="000000" w:fill="D9D9D9"/>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000000" w:fill="FFFFFF"/>
            <w:vAlign w:val="bottom"/>
          </w:tcPr>
          <w:p w:rsidR="00146845" w:rsidRPr="0043547B" w:rsidRDefault="00146845" w:rsidP="00D863F5">
            <w:pPr>
              <w:spacing w:after="0" w:line="240" w:lineRule="auto"/>
              <w:jc w:val="both"/>
              <w:rPr>
                <w:rFonts w:cstheme="minorHAnsi"/>
                <w:sz w:val="24"/>
                <w:szCs w:val="24"/>
              </w:rPr>
            </w:pPr>
            <w:r w:rsidRPr="0043547B">
              <w:rPr>
                <w:rFonts w:cstheme="minorHAnsi"/>
                <w:sz w:val="24"/>
                <w:szCs w:val="24"/>
              </w:rPr>
              <w:t>La présente Norme européenne s'applique à la chaux de construction utilisée pour :</w:t>
            </w:r>
          </w:p>
          <w:p w:rsidR="00146845" w:rsidRPr="0043547B" w:rsidRDefault="00D863F5" w:rsidP="00D863F5">
            <w:pPr>
              <w:spacing w:after="0" w:line="240" w:lineRule="auto"/>
              <w:jc w:val="both"/>
              <w:rPr>
                <w:rFonts w:cstheme="minorHAnsi"/>
                <w:sz w:val="24"/>
                <w:szCs w:val="24"/>
              </w:rPr>
            </w:pPr>
            <w:r w:rsidRPr="0043547B">
              <w:rPr>
                <w:rFonts w:cstheme="minorHAnsi"/>
                <w:sz w:val="24"/>
                <w:szCs w:val="24"/>
              </w:rPr>
              <w:t>-</w:t>
            </w:r>
            <w:r w:rsidR="00146845" w:rsidRPr="0043547B">
              <w:rPr>
                <w:rFonts w:cstheme="minorHAnsi"/>
                <w:sz w:val="24"/>
                <w:szCs w:val="24"/>
              </w:rPr>
              <w:t xml:space="preserve"> la préparation de liant pour mortier (par exemple, pour la maçonnerie, les enduits intérieurs et extérieurs) ;</w:t>
            </w:r>
          </w:p>
          <w:p w:rsidR="00146845" w:rsidRPr="0043547B" w:rsidRDefault="00D863F5" w:rsidP="00D863F5">
            <w:pPr>
              <w:spacing w:after="0" w:line="240" w:lineRule="auto"/>
              <w:jc w:val="both"/>
              <w:rPr>
                <w:rFonts w:cstheme="minorHAnsi"/>
                <w:sz w:val="24"/>
                <w:szCs w:val="24"/>
              </w:rPr>
            </w:pPr>
            <w:r w:rsidRPr="0043547B">
              <w:rPr>
                <w:rFonts w:cstheme="minorHAnsi"/>
                <w:sz w:val="24"/>
                <w:szCs w:val="24"/>
              </w:rPr>
              <w:t>-</w:t>
            </w:r>
            <w:r w:rsidR="00146845" w:rsidRPr="0043547B">
              <w:rPr>
                <w:rFonts w:cstheme="minorHAnsi"/>
                <w:sz w:val="24"/>
                <w:szCs w:val="24"/>
              </w:rPr>
              <w:t xml:space="preserve"> la fabrication d'autres produits de construction (par exemple, briques de silicates de calcium, béton cellulaire autoclavé, béton, etc.)</w:t>
            </w:r>
          </w:p>
          <w:p w:rsidR="00146845" w:rsidRPr="0043547B" w:rsidRDefault="00D863F5" w:rsidP="00D863F5">
            <w:pPr>
              <w:spacing w:after="0" w:line="240" w:lineRule="auto"/>
              <w:jc w:val="both"/>
              <w:rPr>
                <w:rFonts w:cstheme="minorHAnsi"/>
                <w:sz w:val="24"/>
                <w:szCs w:val="24"/>
              </w:rPr>
            </w:pPr>
            <w:r w:rsidRPr="0043547B">
              <w:rPr>
                <w:rFonts w:cstheme="minorHAnsi"/>
                <w:sz w:val="24"/>
                <w:szCs w:val="24"/>
              </w:rPr>
              <w:t>-</w:t>
            </w:r>
            <w:r w:rsidR="00146845" w:rsidRPr="0043547B">
              <w:rPr>
                <w:rFonts w:cstheme="minorHAnsi"/>
                <w:sz w:val="24"/>
                <w:szCs w:val="24"/>
              </w:rPr>
              <w:t xml:space="preserve"> des applications de génie civil (par exemple traitement des sols, mélange bitumineux à chaud, etc.).</w:t>
            </w:r>
          </w:p>
          <w:p w:rsidR="00146845" w:rsidRPr="0043547B" w:rsidRDefault="00146845" w:rsidP="00D863F5">
            <w:pPr>
              <w:spacing w:after="0" w:line="240" w:lineRule="auto"/>
              <w:jc w:val="both"/>
              <w:rPr>
                <w:rFonts w:cstheme="minorHAnsi"/>
                <w:sz w:val="24"/>
                <w:szCs w:val="24"/>
              </w:rPr>
            </w:pPr>
            <w:r w:rsidRPr="0043547B">
              <w:rPr>
                <w:rFonts w:cstheme="minorHAnsi"/>
                <w:sz w:val="24"/>
                <w:szCs w:val="24"/>
              </w:rPr>
              <w:t>Elle donne les définitions des différents types de chaux de construction et leur classification. Elle prescrit également des exigences concernant leurs propriétés chimiques et physiques, celles-ci étant fonction du type de chaux de construction, et spécifie les critères de conformité.</w:t>
            </w:r>
          </w:p>
          <w:p w:rsidR="00904E52" w:rsidRPr="0043547B" w:rsidRDefault="00146845" w:rsidP="00D863F5">
            <w:pPr>
              <w:spacing w:after="0" w:line="240" w:lineRule="auto"/>
              <w:jc w:val="both"/>
              <w:rPr>
                <w:rFonts w:cstheme="minorHAnsi"/>
                <w:sz w:val="24"/>
                <w:szCs w:val="24"/>
              </w:rPr>
            </w:pPr>
            <w:r w:rsidRPr="0043547B">
              <w:rPr>
                <w:rFonts w:cstheme="minorHAnsi"/>
                <w:sz w:val="24"/>
                <w:szCs w:val="24"/>
              </w:rPr>
              <w:t>Les modalités de mise à disposition ou autres conditions contractuelles faisant normalement partie des documents échangés entre fournisseur et acheteur de la chaux de construction, n'entrent pas dans le domaine d'application de la présente Norme européenne,</w:t>
            </w:r>
          </w:p>
        </w:tc>
      </w:tr>
    </w:tbl>
    <w:p w:rsidR="00904E52" w:rsidRPr="0043547B" w:rsidRDefault="00904E52" w:rsidP="00B905D3">
      <w:pPr>
        <w:pStyle w:val="Titre3"/>
        <w:numPr>
          <w:ilvl w:val="1"/>
          <w:numId w:val="2"/>
        </w:numPr>
        <w:ind w:left="0" w:firstLine="0"/>
        <w:rPr>
          <w:rFonts w:asciiTheme="minorHAnsi" w:hAnsiTheme="minorHAnsi" w:cstheme="minorHAnsi"/>
          <w:sz w:val="24"/>
          <w:szCs w:val="24"/>
          <w:u w:val="single"/>
        </w:rPr>
      </w:pPr>
      <w:bookmarkStart w:id="25" w:name="_Toc458606082"/>
      <w:r w:rsidRPr="0043547B">
        <w:rPr>
          <w:rFonts w:asciiTheme="minorHAnsi" w:hAnsiTheme="minorHAnsi" w:cstheme="minorHAnsi"/>
          <w:sz w:val="24"/>
          <w:szCs w:val="24"/>
          <w:u w:val="single"/>
        </w:rPr>
        <w:lastRenderedPageBreak/>
        <w:t>Lot N° 4 : Gros œuvres</w:t>
      </w:r>
      <w:bookmarkEnd w:id="25"/>
    </w:p>
    <w:p w:rsidR="00904E52" w:rsidRPr="0043547B" w:rsidRDefault="00904E52" w:rsidP="00AF178F">
      <w:pPr>
        <w:pStyle w:val="Titre4"/>
        <w:numPr>
          <w:ilvl w:val="2"/>
          <w:numId w:val="2"/>
        </w:numPr>
        <w:ind w:left="1418" w:hanging="579"/>
        <w:rPr>
          <w:rFonts w:cstheme="minorHAnsi"/>
          <w:b/>
          <w:bCs w:val="0"/>
          <w:iCs w:val="0"/>
          <w:color w:val="auto"/>
          <w:szCs w:val="24"/>
          <w:u w:val="single"/>
        </w:rPr>
      </w:pPr>
      <w:bookmarkStart w:id="26" w:name="_Toc458606083"/>
      <w:r w:rsidRPr="0043547B">
        <w:rPr>
          <w:rFonts w:cstheme="minorHAnsi"/>
          <w:b/>
          <w:bCs w:val="0"/>
          <w:iCs w:val="0"/>
          <w:color w:val="auto"/>
          <w:szCs w:val="24"/>
          <w:u w:val="single"/>
        </w:rPr>
        <w:t>Bétons, mortiers et produits dérivés</w:t>
      </w:r>
      <w:bookmarkEnd w:id="26"/>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8"/>
        <w:gridCol w:w="7938"/>
      </w:tblGrid>
      <w:tr w:rsidR="0043547B" w:rsidRPr="0043547B" w:rsidTr="00CB5DC0">
        <w:trPr>
          <w:trHeight w:val="129"/>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10.1.008</w:t>
            </w:r>
          </w:p>
        </w:tc>
      </w:tr>
      <w:tr w:rsidR="0043547B" w:rsidRPr="0043547B" w:rsidTr="00CB5DC0">
        <w:trPr>
          <w:trHeight w:val="232"/>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206-1 - A1 et A2</w:t>
            </w:r>
          </w:p>
        </w:tc>
      </w:tr>
      <w:tr w:rsidR="0043547B" w:rsidRPr="0043547B" w:rsidTr="00CB5DC0">
        <w:trPr>
          <w:trHeight w:val="19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Bétons - Spécification, performances, production et conformité </w:t>
            </w:r>
            <w:r w:rsidR="00077626" w:rsidRPr="0043547B">
              <w:rPr>
                <w:rFonts w:cstheme="minorHAnsi"/>
                <w:noProof/>
                <w:sz w:val="24"/>
                <w:szCs w:val="24"/>
                <w:lang w:eastAsia="fr-FR"/>
              </w:rPr>
              <w:drawing>
                <wp:inline distT="0" distB="0" distL="0" distR="0" wp14:anchorId="3489D3F1" wp14:editId="26949387">
                  <wp:extent cx="183515" cy="158750"/>
                  <wp:effectExtent l="0" t="0" r="6985" b="0"/>
                  <wp:docPr id="41" name="Image 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8" cstate="print"/>
                          <a:srcRect/>
                          <a:stretch>
                            <a:fillRect/>
                          </a:stretch>
                        </pic:blipFill>
                        <pic:spPr bwMode="auto">
                          <a:xfrm>
                            <a:off x="0" y="0"/>
                            <a:ext cx="185776" cy="160706"/>
                          </a:xfrm>
                          <a:prstGeom prst="rect">
                            <a:avLst/>
                          </a:prstGeom>
                          <a:noFill/>
                          <a:ln w="9525">
                            <a:noFill/>
                            <a:miter lim="800000"/>
                            <a:headEnd/>
                            <a:tailEnd/>
                          </a:ln>
                        </pic:spPr>
                      </pic:pic>
                    </a:graphicData>
                  </a:graphic>
                </wp:inline>
              </w:drawing>
            </w:r>
          </w:p>
        </w:tc>
      </w:tr>
      <w:tr w:rsidR="0043547B" w:rsidRPr="0043547B" w:rsidTr="00CB5DC0">
        <w:trPr>
          <w:trHeight w:val="1126"/>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aux bétons destinés aux structures coulées en place, aux structures préfabriquées, aux éléments de structure préfabriqués pour bâtiments et structures de génie civil.</w:t>
            </w:r>
          </w:p>
          <w:p w:rsidR="00487753" w:rsidRDefault="002A0FF3" w:rsidP="002A0FF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 béton peut être du béton fabriqué sur chantier, du béton prêt à l'emploi ou du béton fabriqué dans une usine de production de produits préfabriqués. Il doit être malaxé mécaniquement.</w:t>
            </w:r>
          </w:p>
          <w:p w:rsidR="002A0FF3" w:rsidRPr="0043547B" w:rsidRDefault="002A0FF3" w:rsidP="002A0FF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exigences applicables :</w:t>
            </w:r>
          </w:p>
          <w:p w:rsidR="00B0750A" w:rsidRDefault="002A0FF3" w:rsidP="002A0FF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au béton de masse volumique normale, au béton lourd et au béton léger.</w:t>
            </w:r>
          </w:p>
          <w:p w:rsidR="00904E52" w:rsidRPr="0043547B" w:rsidRDefault="002A0FF3" w:rsidP="002A0FF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Des exigences complémentaires ou différentes peuvent être données dans d'autres normes spécifiques.</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10.1.528</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998-2</w:t>
            </w:r>
          </w:p>
        </w:tc>
      </w:tr>
      <w:tr w:rsidR="0043547B" w:rsidRPr="0043547B" w:rsidTr="00CB5DC0">
        <w:trPr>
          <w:trHeight w:val="33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Définitions et spécifications des mortiers pour maçonnerie — Mortiers de montage des éléments de maçonnerie </w:t>
            </w:r>
          </w:p>
        </w:tc>
      </w:tr>
      <w:tr w:rsidR="0043547B" w:rsidRPr="0043547B" w:rsidTr="00CB5DC0">
        <w:trPr>
          <w:trHeight w:val="2637"/>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exigences applicables aux mortiers industriels (de montage, jointoiement et rebouchage) utilisés dans les murs, poteaux et cloisons en maçonnerie (par exemple, maçonnerie apparente ou à enduire, structures de maçonnerie porteuse ou non, destinés au bâtiment et au génie civil).</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Pour les mortiers frais, La norme définit les performances des propriétés relatives à la durée pratique d'utilisation, la teneur en chlorure, l'air occlus, la masse volumique et le temps ouvert (pour les mortiers de joints minces) et, pour les mortiers durcis, les performances des caractéristiques liées à la résistance à la compression, l'adhérence et la masse volumique.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traite également de l'évaluation de la conformité des produits à La norme ainsi que de leur marquage.</w:t>
            </w:r>
          </w:p>
        </w:tc>
      </w:tr>
      <w:tr w:rsidR="00FD6D95" w:rsidRPr="0043547B" w:rsidTr="00EF756D">
        <w:trPr>
          <w:trHeight w:val="352"/>
          <w:jc w:val="center"/>
        </w:trPr>
        <w:tc>
          <w:tcPr>
            <w:tcW w:w="1838" w:type="dxa"/>
            <w:tcBorders>
              <w:top w:val="nil"/>
              <w:left w:val="single" w:sz="18" w:space="0" w:color="auto"/>
              <w:bottom w:val="single" w:sz="18" w:space="0" w:color="auto"/>
              <w:right w:val="single" w:sz="4" w:space="0" w:color="auto"/>
            </w:tcBorders>
            <w:shd w:val="clear" w:color="auto" w:fill="D6E3BC" w:themeFill="accent3" w:themeFillTint="66"/>
            <w:vAlign w:val="center"/>
          </w:tcPr>
          <w:p w:rsidR="00FD6D95" w:rsidRPr="00273ED5" w:rsidRDefault="00FD6D95" w:rsidP="00273ED5">
            <w:pPr>
              <w:spacing w:after="0" w:line="240" w:lineRule="auto"/>
              <w:jc w:val="center"/>
              <w:rPr>
                <w:rFonts w:ascii="Calibri" w:hAnsi="Calibri" w:cs="Calibri"/>
                <w:b/>
                <w:bCs/>
              </w:rPr>
            </w:pPr>
            <w:r w:rsidRPr="00273ED5">
              <w:rPr>
                <w:rFonts w:ascii="Calibri" w:hAnsi="Calibri" w:cs="Calibri"/>
                <w:b/>
                <w:bCs/>
              </w:rPr>
              <w:t>Code</w:t>
            </w:r>
          </w:p>
        </w:tc>
        <w:tc>
          <w:tcPr>
            <w:tcW w:w="7938" w:type="dxa"/>
            <w:tcBorders>
              <w:left w:val="single" w:sz="4" w:space="0" w:color="auto"/>
              <w:bottom w:val="single" w:sz="18" w:space="0" w:color="auto"/>
              <w:right w:val="single" w:sz="18" w:space="0" w:color="auto"/>
            </w:tcBorders>
            <w:shd w:val="clear" w:color="auto" w:fill="D6E3BC" w:themeFill="accent3" w:themeFillTint="66"/>
          </w:tcPr>
          <w:p w:rsidR="00FD6D95" w:rsidRPr="00273ED5" w:rsidRDefault="00FD6D95" w:rsidP="00273ED5">
            <w:pPr>
              <w:spacing w:after="0" w:line="240" w:lineRule="auto"/>
              <w:jc w:val="center"/>
              <w:rPr>
                <w:rFonts w:ascii="Calibri" w:hAnsi="Calibri" w:cs="Calibri"/>
                <w:b/>
                <w:bCs/>
              </w:rPr>
            </w:pPr>
            <w:r w:rsidRPr="00273ED5">
              <w:rPr>
                <w:rFonts w:ascii="Calibri" w:hAnsi="Calibri" w:cs="Calibri"/>
                <w:b/>
                <w:bCs/>
                <w:sz w:val="24"/>
                <w:szCs w:val="24"/>
              </w:rPr>
              <w:t>NM EN 13978-1</w:t>
            </w:r>
          </w:p>
        </w:tc>
      </w:tr>
      <w:tr w:rsidR="00FD6D95" w:rsidRPr="0043547B" w:rsidTr="00EF756D">
        <w:trPr>
          <w:trHeight w:val="35"/>
          <w:jc w:val="center"/>
        </w:trPr>
        <w:tc>
          <w:tcPr>
            <w:tcW w:w="1838" w:type="dxa"/>
            <w:tcBorders>
              <w:top w:val="nil"/>
              <w:left w:val="single" w:sz="18" w:space="0" w:color="auto"/>
              <w:bottom w:val="single" w:sz="18" w:space="0" w:color="auto"/>
              <w:right w:val="single" w:sz="4" w:space="0" w:color="auto"/>
            </w:tcBorders>
            <w:shd w:val="clear" w:color="auto" w:fill="FFFF99"/>
            <w:vAlign w:val="center"/>
          </w:tcPr>
          <w:p w:rsidR="00FD6D95" w:rsidRDefault="00FD6D95" w:rsidP="00273ED5">
            <w:pPr>
              <w:spacing w:after="0" w:line="240" w:lineRule="auto"/>
              <w:jc w:val="center"/>
              <w:rPr>
                <w:rFonts w:ascii="Calibri" w:hAnsi="Calibri" w:cs="Calibri"/>
                <w:b/>
                <w:bCs/>
                <w:sz w:val="24"/>
                <w:szCs w:val="24"/>
              </w:rPr>
            </w:pPr>
            <w:r>
              <w:rPr>
                <w:rFonts w:ascii="Calibri" w:hAnsi="Calibri" w:cs="Calibri"/>
                <w:b/>
                <w:bCs/>
              </w:rPr>
              <w:t>Equivalence</w:t>
            </w:r>
          </w:p>
        </w:tc>
        <w:tc>
          <w:tcPr>
            <w:tcW w:w="7938" w:type="dxa"/>
            <w:tcBorders>
              <w:left w:val="single" w:sz="4" w:space="0" w:color="auto"/>
              <w:bottom w:val="single" w:sz="18" w:space="0" w:color="auto"/>
              <w:right w:val="single" w:sz="18" w:space="0" w:color="auto"/>
            </w:tcBorders>
            <w:shd w:val="clear" w:color="auto" w:fill="FFFF99"/>
            <w:vAlign w:val="center"/>
          </w:tcPr>
          <w:p w:rsidR="00FD6D95" w:rsidRPr="00273ED5" w:rsidRDefault="00FD6D95" w:rsidP="00273ED5">
            <w:pPr>
              <w:spacing w:after="0" w:line="240" w:lineRule="auto"/>
              <w:jc w:val="center"/>
              <w:rPr>
                <w:rFonts w:ascii="Calibri" w:hAnsi="Calibri" w:cs="Calibri"/>
                <w:b/>
                <w:bCs/>
              </w:rPr>
            </w:pPr>
            <w:r w:rsidRPr="00273ED5">
              <w:rPr>
                <w:rFonts w:ascii="Calibri" w:hAnsi="Calibri" w:cs="Calibri"/>
                <w:b/>
                <w:bCs/>
                <w:sz w:val="24"/>
                <w:szCs w:val="24"/>
              </w:rPr>
              <w:t>EN 13978-1</w:t>
            </w:r>
          </w:p>
        </w:tc>
      </w:tr>
      <w:tr w:rsidR="00FD6D95" w:rsidRPr="0043547B" w:rsidTr="00EF756D">
        <w:trPr>
          <w:trHeight w:val="887"/>
          <w:jc w:val="center"/>
        </w:trPr>
        <w:tc>
          <w:tcPr>
            <w:tcW w:w="1838" w:type="dxa"/>
            <w:tcBorders>
              <w:top w:val="single" w:sz="18" w:space="0" w:color="auto"/>
              <w:left w:val="single" w:sz="18" w:space="0" w:color="auto"/>
              <w:bottom w:val="single" w:sz="4" w:space="0" w:color="auto"/>
              <w:right w:val="single" w:sz="4" w:space="0" w:color="auto"/>
            </w:tcBorders>
            <w:shd w:val="clear" w:color="000000" w:fill="D9D9D9"/>
            <w:vAlign w:val="center"/>
          </w:tcPr>
          <w:p w:rsidR="00FD6D95" w:rsidRDefault="00FD6D95" w:rsidP="00273ED5">
            <w:pPr>
              <w:jc w:val="center"/>
              <w:rPr>
                <w:rFonts w:ascii="Calibri" w:hAnsi="Calibri" w:cs="Calibri"/>
                <w:b/>
                <w:bCs/>
                <w:sz w:val="24"/>
                <w:szCs w:val="24"/>
              </w:rPr>
            </w:pPr>
            <w:r>
              <w:rPr>
                <w:rFonts w:ascii="Calibri" w:hAnsi="Calibri" w:cs="Calibri"/>
                <w:b/>
                <w:bCs/>
              </w:rPr>
              <w:t>Intitulé</w:t>
            </w:r>
          </w:p>
        </w:tc>
        <w:tc>
          <w:tcPr>
            <w:tcW w:w="7938" w:type="dxa"/>
            <w:tcBorders>
              <w:top w:val="single" w:sz="18" w:space="0" w:color="auto"/>
              <w:left w:val="single" w:sz="4" w:space="0" w:color="auto"/>
              <w:bottom w:val="single" w:sz="4" w:space="0" w:color="auto"/>
              <w:right w:val="single" w:sz="18" w:space="0" w:color="auto"/>
            </w:tcBorders>
            <w:shd w:val="clear" w:color="auto" w:fill="auto"/>
          </w:tcPr>
          <w:p w:rsidR="00FD6D95" w:rsidRDefault="00FD6D95" w:rsidP="00273ED5">
            <w:pPr>
              <w:spacing w:after="0" w:line="240" w:lineRule="auto"/>
              <w:jc w:val="both"/>
              <w:rPr>
                <w:rFonts w:ascii="Calibri" w:hAnsi="Calibri" w:cs="Calibri"/>
              </w:rPr>
            </w:pPr>
            <w:r>
              <w:rPr>
                <w:rFonts w:ascii="Calibri" w:hAnsi="Calibri" w:cs="Calibri"/>
              </w:rPr>
              <w:t xml:space="preserve">Produits préfabriqués en béton - Garages préfabriqués en béton - Partie 1 : exigences pour garages en béton armé monolithiques ou composés d'éléments individuels de la dimension d'une pièce </w:t>
            </w:r>
          </w:p>
        </w:tc>
      </w:tr>
      <w:tr w:rsidR="00FD6D95" w:rsidRPr="0043547B" w:rsidTr="00EF756D">
        <w:trPr>
          <w:trHeight w:val="808"/>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FD6D95" w:rsidRDefault="00FD6D95" w:rsidP="00EF756D">
            <w:pPr>
              <w:jc w:val="center"/>
              <w:rPr>
                <w:rFonts w:ascii="Calibri" w:hAnsi="Calibri" w:cs="Calibri"/>
                <w:b/>
                <w:bCs/>
                <w:sz w:val="24"/>
                <w:szCs w:val="24"/>
              </w:rPr>
            </w:pPr>
            <w:r>
              <w:rPr>
                <w:rFonts w:ascii="Calibri" w:hAnsi="Calibri" w:cs="Calibri"/>
                <w:b/>
                <w:bCs/>
              </w:rPr>
              <w:t>Domaine d’application</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bottom"/>
          </w:tcPr>
          <w:p w:rsidR="00FD6D95" w:rsidRDefault="00EF756D" w:rsidP="00273ED5">
            <w:pPr>
              <w:spacing w:after="0" w:line="240" w:lineRule="auto"/>
              <w:jc w:val="both"/>
              <w:rPr>
                <w:rFonts w:ascii="Calibri" w:hAnsi="Calibri" w:cs="Calibri"/>
              </w:rPr>
            </w:pPr>
            <w:r>
              <w:rPr>
                <w:rFonts w:ascii="Calibri" w:hAnsi="Calibri" w:cs="Calibri"/>
              </w:rPr>
              <w:t xml:space="preserve">La présente Norme européenne porte sur les garages préfabriqués en béton armé, produits dans des usines fixes en tant qu'unités monolithiques ou sous forme de kits de construction constitués d'éléments individuels, de la dimension d'une pièce. Ces garages sont prévus pour être érigés sur des fondations conçues par des tiers et conformes au comportement des unités préfabriquées. Ils peuvent être auto-porteurs, remblayés sur certaines parois (remplissage de terre) ou recouverts de terre ou encore être construits avec une zone de stationnement sur le dessus ou avec un second étage de garages préfabriqués. La présente Norme européenne s'applique également aux unités supplémentaires, aux kits pour garages à double emplacement ou aux garages à stationnements multiples, ainsi qu'aux boxes pour garage en sous-sol à un niveau. Elle </w:t>
            </w:r>
            <w:r>
              <w:rPr>
                <w:rFonts w:ascii="Calibri" w:hAnsi="Calibri" w:cs="Calibri"/>
              </w:rPr>
              <w:lastRenderedPageBreak/>
              <w:t>ne s'applique pas aux éléments incorporés en tant que partie structurelle d'une structure supérieure, à moins qu'ils soient conçus conformément à l'EN 13369.</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10.1.527</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998-1</w:t>
            </w:r>
          </w:p>
        </w:tc>
      </w:tr>
      <w:tr w:rsidR="0043547B" w:rsidRPr="0043547B" w:rsidTr="00CB5DC0">
        <w:trPr>
          <w:trHeight w:val="33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Définitions et spécifications des mortiers pour maçonnerie — Mortiers d'enduits minéraux extérieurs et intérieurs </w:t>
            </w:r>
          </w:p>
        </w:tc>
      </w:tr>
      <w:tr w:rsidR="0043547B" w:rsidRPr="0043547B" w:rsidTr="00CB5DC0">
        <w:trPr>
          <w:trHeight w:val="902"/>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center"/>
            <w:hideMark/>
          </w:tcPr>
          <w:p w:rsidR="00904E52" w:rsidRPr="0043547B" w:rsidRDefault="00904E52" w:rsidP="00E80B3B">
            <w:pPr>
              <w:spacing w:after="0"/>
              <w:jc w:val="both"/>
              <w:rPr>
                <w:rFonts w:eastAsia="Times New Roman" w:cstheme="minorHAnsi"/>
                <w:sz w:val="24"/>
                <w:szCs w:val="24"/>
                <w:lang w:eastAsia="fr-FR"/>
              </w:rPr>
            </w:pPr>
            <w:r w:rsidRPr="0043547B">
              <w:rPr>
                <w:rFonts w:eastAsia="Times New Roman" w:cstheme="minorHAnsi"/>
                <w:sz w:val="24"/>
                <w:szCs w:val="24"/>
                <w:lang w:eastAsia="fr-FR"/>
              </w:rPr>
              <w:t>La norme est applicable aux mortiers industriels d'enduits extérieurs et intérieurs à base de liants minéraux utilisés sur les murs, plafonds, poteaux et cloisons. Elle contient des définitions et des spécifications de performances finales.</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10.1.353</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1008</w:t>
            </w:r>
          </w:p>
        </w:tc>
      </w:tr>
      <w:tr w:rsidR="0043547B" w:rsidRPr="0043547B" w:rsidTr="00CB5DC0">
        <w:trPr>
          <w:trHeight w:val="49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Eau de gâchage pour bétons – Spécifications d’échantillonnage, d’essais et d’évaluation de l’aptitude à l’emploi, y compris les eaux des processus de l’industrie du béton, telle que l’eau de gâchage pour béton </w:t>
            </w:r>
          </w:p>
        </w:tc>
      </w:tr>
      <w:tr w:rsidR="0043547B" w:rsidRPr="0043547B" w:rsidTr="00CB5DC0">
        <w:trPr>
          <w:trHeight w:val="615"/>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w w:val="95"/>
                <w:sz w:val="24"/>
                <w:szCs w:val="24"/>
                <w:lang w:eastAsia="fr-FR"/>
              </w:rPr>
            </w:pPr>
            <w:r w:rsidRPr="0043547B">
              <w:rPr>
                <w:rFonts w:eastAsia="Times New Roman" w:cstheme="minorHAnsi"/>
                <w:w w:val="95"/>
                <w:sz w:val="24"/>
                <w:szCs w:val="24"/>
                <w:lang w:eastAsia="fr-FR"/>
              </w:rPr>
              <w:t>La norme spécifie les prescriptions pour l'eau convenant à la production de béton conforme à la NM 10.1.005 et décrit les méthodes permettant d'apprécier son aptitude à l'emploi.</w:t>
            </w:r>
          </w:p>
        </w:tc>
      </w:tr>
      <w:tr w:rsidR="008375D5" w:rsidRPr="0043547B" w:rsidTr="00532DB7">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8375D5" w:rsidRPr="00DA30E7" w:rsidRDefault="008375D5" w:rsidP="00532DB7">
            <w:pPr>
              <w:spacing w:after="0" w:line="240" w:lineRule="auto"/>
              <w:jc w:val="center"/>
              <w:rPr>
                <w:rFonts w:ascii="Calibri" w:hAnsi="Calibri" w:cs="Calibri"/>
                <w:b/>
                <w:bCs/>
                <w:sz w:val="24"/>
                <w:szCs w:val="24"/>
              </w:rPr>
            </w:pPr>
            <w:r w:rsidRPr="00DA30E7">
              <w:rPr>
                <w:rFonts w:ascii="Calibri" w:hAnsi="Calibri" w:cs="Calibr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noWrap/>
            <w:vAlign w:val="center"/>
            <w:hideMark/>
          </w:tcPr>
          <w:p w:rsidR="008375D5" w:rsidRPr="00532DB7" w:rsidRDefault="008375D5" w:rsidP="00532DB7">
            <w:pPr>
              <w:spacing w:after="0" w:line="240" w:lineRule="auto"/>
              <w:jc w:val="center"/>
              <w:rPr>
                <w:rFonts w:ascii="Calibri" w:hAnsi="Calibri" w:cs="Calibri"/>
                <w:b/>
                <w:bCs/>
                <w:sz w:val="24"/>
                <w:szCs w:val="24"/>
              </w:rPr>
            </w:pPr>
            <w:r w:rsidRPr="00532DB7">
              <w:rPr>
                <w:rFonts w:ascii="Calibri" w:hAnsi="Calibri" w:cs="Calibri"/>
                <w:b/>
                <w:bCs/>
                <w:sz w:val="24"/>
                <w:szCs w:val="24"/>
              </w:rPr>
              <w:t>NM EN 14889-1</w:t>
            </w:r>
          </w:p>
        </w:tc>
      </w:tr>
      <w:tr w:rsidR="008375D5" w:rsidRPr="0043547B" w:rsidTr="00532DB7">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8375D5" w:rsidRPr="00DA30E7" w:rsidRDefault="008375D5" w:rsidP="00532DB7">
            <w:pPr>
              <w:spacing w:after="0" w:line="240" w:lineRule="auto"/>
              <w:jc w:val="center"/>
              <w:rPr>
                <w:rFonts w:ascii="Calibri" w:hAnsi="Calibri" w:cs="Calibri"/>
                <w:b/>
                <w:bCs/>
                <w:sz w:val="24"/>
                <w:szCs w:val="24"/>
              </w:rPr>
            </w:pPr>
            <w:r w:rsidRPr="00DA30E7">
              <w:rPr>
                <w:rFonts w:ascii="Calibri" w:hAnsi="Calibri" w:cs="Calibr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8375D5" w:rsidRPr="00532DB7" w:rsidRDefault="008375D5" w:rsidP="00532DB7">
            <w:pPr>
              <w:spacing w:after="0" w:line="240" w:lineRule="auto"/>
              <w:jc w:val="center"/>
              <w:rPr>
                <w:rFonts w:ascii="Calibri" w:hAnsi="Calibri" w:cs="Calibri"/>
                <w:b/>
                <w:bCs/>
                <w:sz w:val="24"/>
                <w:szCs w:val="24"/>
              </w:rPr>
            </w:pPr>
            <w:r w:rsidRPr="00532DB7">
              <w:rPr>
                <w:rFonts w:ascii="Calibri" w:hAnsi="Calibri" w:cs="Calibri"/>
                <w:b/>
                <w:bCs/>
                <w:sz w:val="24"/>
                <w:szCs w:val="24"/>
              </w:rPr>
              <w:t>EN 14889-1</w:t>
            </w:r>
          </w:p>
        </w:tc>
      </w:tr>
      <w:tr w:rsidR="008375D5" w:rsidRPr="0043547B" w:rsidTr="00532DB7">
        <w:trPr>
          <w:trHeight w:val="33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8375D5" w:rsidRPr="00DA30E7" w:rsidRDefault="008375D5" w:rsidP="00532DB7">
            <w:pPr>
              <w:spacing w:after="0" w:line="240" w:lineRule="auto"/>
              <w:jc w:val="center"/>
              <w:rPr>
                <w:rFonts w:ascii="Calibri" w:hAnsi="Calibri" w:cs="Calibri"/>
                <w:b/>
                <w:bCs/>
                <w:sz w:val="24"/>
                <w:szCs w:val="24"/>
              </w:rPr>
            </w:pPr>
            <w:r w:rsidRPr="00DA30E7">
              <w:rPr>
                <w:rFonts w:ascii="Calibri" w:hAnsi="Calibri" w:cs="Calibri"/>
                <w:b/>
                <w:bCs/>
                <w:sz w:val="24"/>
                <w:szCs w:val="24"/>
              </w:rPr>
              <w:t>Intitulé :</w:t>
            </w:r>
          </w:p>
        </w:tc>
        <w:tc>
          <w:tcPr>
            <w:tcW w:w="7938" w:type="dxa"/>
            <w:tcBorders>
              <w:left w:val="single" w:sz="4" w:space="0" w:color="auto"/>
              <w:right w:val="single" w:sz="18" w:space="0" w:color="auto"/>
            </w:tcBorders>
            <w:shd w:val="clear" w:color="auto" w:fill="auto"/>
            <w:vAlign w:val="center"/>
            <w:hideMark/>
          </w:tcPr>
          <w:p w:rsidR="008375D5" w:rsidRPr="00DA30E7" w:rsidRDefault="008375D5" w:rsidP="00532DB7">
            <w:pPr>
              <w:spacing w:after="0" w:line="240" w:lineRule="auto"/>
              <w:rPr>
                <w:rFonts w:ascii="Calibri" w:hAnsi="Calibri" w:cs="Calibri"/>
                <w:sz w:val="24"/>
                <w:szCs w:val="24"/>
              </w:rPr>
            </w:pPr>
            <w:r w:rsidRPr="00DA30E7">
              <w:rPr>
                <w:rFonts w:ascii="Calibri" w:hAnsi="Calibri" w:cs="Calibri"/>
                <w:sz w:val="24"/>
                <w:szCs w:val="24"/>
              </w:rPr>
              <w:t xml:space="preserve">Fibres pour béton - Partie 1 : Fibres d'acier - Définitions, spécifications et conformité </w:t>
            </w:r>
          </w:p>
        </w:tc>
      </w:tr>
      <w:tr w:rsidR="008375D5" w:rsidRPr="0043547B" w:rsidTr="00532DB7">
        <w:trPr>
          <w:trHeight w:val="1583"/>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8375D5" w:rsidRPr="00DA30E7" w:rsidRDefault="008375D5" w:rsidP="00532DB7">
            <w:pPr>
              <w:spacing w:after="0" w:line="240" w:lineRule="auto"/>
              <w:jc w:val="center"/>
              <w:rPr>
                <w:rFonts w:ascii="Calibri" w:hAnsi="Calibri" w:cs="Calibri"/>
                <w:b/>
                <w:bCs/>
                <w:sz w:val="24"/>
                <w:szCs w:val="24"/>
              </w:rPr>
            </w:pPr>
            <w:r w:rsidRPr="00DA30E7">
              <w:rPr>
                <w:rFonts w:ascii="Calibri" w:hAnsi="Calibri" w:cs="Calibr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center"/>
            <w:hideMark/>
          </w:tcPr>
          <w:p w:rsidR="00532DB7" w:rsidRDefault="008375D5" w:rsidP="00532DB7">
            <w:pPr>
              <w:spacing w:after="0" w:line="240" w:lineRule="auto"/>
              <w:jc w:val="both"/>
              <w:rPr>
                <w:rFonts w:ascii="Calibri" w:hAnsi="Calibri" w:cs="Calibri"/>
                <w:sz w:val="24"/>
                <w:szCs w:val="24"/>
              </w:rPr>
            </w:pPr>
            <w:r w:rsidRPr="00DA30E7">
              <w:rPr>
                <w:rFonts w:ascii="Calibri" w:hAnsi="Calibri" w:cs="Calibri"/>
                <w:sz w:val="24"/>
                <w:szCs w:val="24"/>
              </w:rPr>
              <w:t>La présente Partie 1 de l’EN 14889 spécifie les prescriptions relatives aux fibres d’acier pour une utilisation</w:t>
            </w:r>
            <w:r w:rsidR="00532DB7">
              <w:rPr>
                <w:rFonts w:ascii="Calibri" w:hAnsi="Calibri" w:cs="Calibri"/>
                <w:sz w:val="24"/>
                <w:szCs w:val="24"/>
              </w:rPr>
              <w:t xml:space="preserve"> </w:t>
            </w:r>
            <w:r w:rsidRPr="00DA30E7">
              <w:rPr>
                <w:rFonts w:ascii="Calibri" w:hAnsi="Calibri" w:cs="Calibri"/>
                <w:sz w:val="24"/>
                <w:szCs w:val="24"/>
              </w:rPr>
              <w:t>structurelle ou non structurelle dans le béton, le mortier ou le coulis.</w:t>
            </w:r>
          </w:p>
          <w:p w:rsidR="008375D5" w:rsidRPr="00532DB7" w:rsidRDefault="008375D5" w:rsidP="00532DB7">
            <w:pPr>
              <w:spacing w:after="0" w:line="240" w:lineRule="auto"/>
              <w:jc w:val="both"/>
              <w:rPr>
                <w:rFonts w:ascii="Calibri" w:hAnsi="Calibri" w:cs="Calibri"/>
                <w:i/>
                <w:iCs/>
                <w:sz w:val="24"/>
                <w:szCs w:val="24"/>
              </w:rPr>
            </w:pPr>
            <w:r w:rsidRPr="00532DB7">
              <w:rPr>
                <w:rFonts w:ascii="Calibri" w:hAnsi="Calibri" w:cs="Calibri"/>
                <w:b/>
                <w:bCs/>
                <w:i/>
                <w:iCs/>
              </w:rPr>
              <w:t>NOTE</w:t>
            </w:r>
            <w:r w:rsidRPr="00532DB7">
              <w:rPr>
                <w:rFonts w:ascii="Calibri" w:hAnsi="Calibri" w:cs="Calibri"/>
                <w:i/>
                <w:iCs/>
              </w:rPr>
              <w:t xml:space="preserve"> L’utilisation des fibres est structurelle si l’ajout de fibres est conçu pour contribuer à la capacité portante d’un élément</w:t>
            </w:r>
            <w:r w:rsidR="00532DB7" w:rsidRPr="00532DB7">
              <w:rPr>
                <w:rFonts w:ascii="Calibri" w:hAnsi="Calibri" w:cs="Calibri"/>
                <w:i/>
                <w:iCs/>
              </w:rPr>
              <w:t xml:space="preserve"> </w:t>
            </w:r>
            <w:r w:rsidRPr="00532DB7">
              <w:rPr>
                <w:rFonts w:ascii="Calibri" w:hAnsi="Calibri" w:cs="Calibri"/>
                <w:i/>
                <w:iCs/>
              </w:rPr>
              <w:t>en béton. La présente norme traite des fibres destinées à être utilisées dans tous les types de béton et de mortier, y compris</w:t>
            </w:r>
            <w:r w:rsidR="00532DB7" w:rsidRPr="00532DB7">
              <w:rPr>
                <w:rFonts w:ascii="Calibri" w:hAnsi="Calibri" w:cs="Calibri"/>
                <w:i/>
                <w:iCs/>
              </w:rPr>
              <w:t xml:space="preserve"> </w:t>
            </w:r>
            <w:r w:rsidRPr="00532DB7">
              <w:rPr>
                <w:rFonts w:ascii="Calibri" w:hAnsi="Calibri" w:cs="Calibri"/>
                <w:i/>
                <w:iCs/>
              </w:rPr>
              <w:t>le béton projeté, le béton pour dallage, le béton pour préfabrication, le béton coulé en place et le béton de réparation.</w:t>
            </w:r>
          </w:p>
        </w:tc>
      </w:tr>
      <w:tr w:rsidR="0043547B" w:rsidRPr="0043547B" w:rsidTr="00CB5DC0">
        <w:trPr>
          <w:trHeight w:val="298"/>
          <w:jc w:val="center"/>
        </w:trPr>
        <w:tc>
          <w:tcPr>
            <w:tcW w:w="1838" w:type="dxa"/>
            <w:tcBorders>
              <w:top w:val="nil"/>
              <w:left w:val="single" w:sz="18" w:space="0" w:color="auto"/>
              <w:bottom w:val="single" w:sz="18" w:space="0" w:color="auto"/>
              <w:right w:val="single" w:sz="4" w:space="0" w:color="auto"/>
            </w:tcBorders>
            <w:shd w:val="clear" w:color="auto" w:fill="ABC674"/>
            <w:vAlign w:val="center"/>
          </w:tcPr>
          <w:p w:rsidR="00F346FB" w:rsidRPr="0043547B" w:rsidRDefault="00F346FB" w:rsidP="00984EE9">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left w:val="single" w:sz="4" w:space="0" w:color="auto"/>
              <w:bottom w:val="single" w:sz="18" w:space="0" w:color="auto"/>
              <w:right w:val="single" w:sz="18" w:space="0" w:color="auto"/>
            </w:tcBorders>
            <w:shd w:val="clear" w:color="auto" w:fill="ABC674"/>
            <w:vAlign w:val="center"/>
          </w:tcPr>
          <w:p w:rsidR="00F346FB" w:rsidRPr="0043547B" w:rsidRDefault="00F346FB" w:rsidP="00984EE9">
            <w:pPr>
              <w:spacing w:after="0" w:line="240" w:lineRule="auto"/>
              <w:jc w:val="center"/>
              <w:rPr>
                <w:rFonts w:cstheme="minorHAnsi"/>
                <w:b/>
                <w:bCs/>
                <w:sz w:val="24"/>
                <w:szCs w:val="24"/>
              </w:rPr>
            </w:pPr>
            <w:r w:rsidRPr="0043547B">
              <w:rPr>
                <w:rFonts w:cstheme="minorHAnsi"/>
                <w:b/>
                <w:bCs/>
                <w:sz w:val="24"/>
                <w:szCs w:val="24"/>
              </w:rPr>
              <w:t>NM EN 1857</w:t>
            </w:r>
          </w:p>
        </w:tc>
      </w:tr>
      <w:tr w:rsidR="0043547B" w:rsidRPr="0043547B" w:rsidTr="00CB5DC0">
        <w:trPr>
          <w:trHeight w:val="172"/>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tcPr>
          <w:p w:rsidR="00F346FB" w:rsidRPr="0043547B" w:rsidRDefault="00F346FB" w:rsidP="00984EE9">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tcPr>
          <w:p w:rsidR="00F346FB" w:rsidRPr="0043547B" w:rsidRDefault="00F346FB" w:rsidP="00984EE9">
            <w:pPr>
              <w:spacing w:after="0" w:line="240" w:lineRule="auto"/>
              <w:jc w:val="center"/>
              <w:rPr>
                <w:rFonts w:cstheme="minorHAnsi"/>
                <w:b/>
                <w:bCs/>
                <w:sz w:val="24"/>
                <w:szCs w:val="24"/>
              </w:rPr>
            </w:pPr>
            <w:r w:rsidRPr="0043547B">
              <w:rPr>
                <w:rFonts w:cstheme="minorHAnsi"/>
                <w:b/>
                <w:bCs/>
                <w:sz w:val="24"/>
                <w:szCs w:val="24"/>
              </w:rPr>
              <w:t>EN 1857</w:t>
            </w:r>
          </w:p>
        </w:tc>
      </w:tr>
      <w:tr w:rsidR="0043547B" w:rsidRPr="0043547B" w:rsidTr="00CB5DC0">
        <w:trPr>
          <w:trHeight w:val="336"/>
          <w:jc w:val="center"/>
        </w:trPr>
        <w:tc>
          <w:tcPr>
            <w:tcW w:w="1838" w:type="dxa"/>
            <w:tcBorders>
              <w:top w:val="single" w:sz="4" w:space="0" w:color="auto"/>
              <w:left w:val="single" w:sz="18" w:space="0" w:color="auto"/>
              <w:bottom w:val="single" w:sz="4" w:space="0" w:color="auto"/>
              <w:right w:val="single" w:sz="4" w:space="0" w:color="auto"/>
            </w:tcBorders>
            <w:shd w:val="clear" w:color="auto" w:fill="8DB3E2" w:themeFill="text2" w:themeFillTint="66"/>
            <w:vAlign w:val="center"/>
          </w:tcPr>
          <w:p w:rsidR="00F346FB" w:rsidRPr="0043547B" w:rsidRDefault="00F346FB" w:rsidP="00766714">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auto"/>
          </w:tcPr>
          <w:p w:rsidR="00F346FB" w:rsidRPr="0043547B" w:rsidRDefault="00F346FB" w:rsidP="00B0750A">
            <w:pPr>
              <w:spacing w:after="0" w:line="240" w:lineRule="auto"/>
              <w:rPr>
                <w:rFonts w:cstheme="minorHAnsi"/>
                <w:sz w:val="24"/>
                <w:szCs w:val="24"/>
              </w:rPr>
            </w:pPr>
            <w:r w:rsidRPr="0043547B">
              <w:rPr>
                <w:rFonts w:cstheme="minorHAnsi"/>
                <w:sz w:val="24"/>
                <w:szCs w:val="24"/>
              </w:rPr>
              <w:t xml:space="preserve">Conduits de fumée - Composants - Conduits intérieurs en béton ; </w:t>
            </w:r>
            <w:r w:rsidR="00B0750A">
              <w:rPr>
                <w:rFonts w:cstheme="minorHAnsi"/>
                <w:sz w:val="24"/>
                <w:szCs w:val="24"/>
              </w:rPr>
              <w:t xml:space="preserve"> </w:t>
            </w:r>
          </w:p>
        </w:tc>
      </w:tr>
      <w:tr w:rsidR="0043547B" w:rsidRPr="0043547B" w:rsidTr="00CB5DC0">
        <w:trPr>
          <w:trHeight w:val="525"/>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F346FB" w:rsidRPr="0043547B" w:rsidRDefault="00F346FB" w:rsidP="00766714">
            <w:pPr>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tcPr>
          <w:p w:rsidR="00766714" w:rsidRPr="0043547B" w:rsidRDefault="00F346FB" w:rsidP="00766714">
            <w:pPr>
              <w:spacing w:after="0" w:line="240" w:lineRule="auto"/>
              <w:jc w:val="both"/>
              <w:rPr>
                <w:rFonts w:cstheme="minorHAnsi"/>
                <w:sz w:val="24"/>
                <w:szCs w:val="24"/>
              </w:rPr>
            </w:pPr>
            <w:r w:rsidRPr="0043547B">
              <w:rPr>
                <w:rFonts w:cstheme="minorHAnsi"/>
                <w:sz w:val="24"/>
                <w:szCs w:val="24"/>
              </w:rPr>
              <w:t>La présente Norme européenne spécifie les exigences relatives aux matériaux, aux dimensions et aux performances,</w:t>
            </w:r>
            <w:r w:rsidR="00766714" w:rsidRPr="0043547B">
              <w:rPr>
                <w:rFonts w:cstheme="minorHAnsi"/>
                <w:sz w:val="24"/>
                <w:szCs w:val="24"/>
              </w:rPr>
              <w:t xml:space="preserve"> </w:t>
            </w:r>
            <w:r w:rsidRPr="0043547B">
              <w:rPr>
                <w:rFonts w:cstheme="minorHAnsi"/>
                <w:sz w:val="24"/>
                <w:szCs w:val="24"/>
              </w:rPr>
              <w:t>ainsi que les méthodes d'essai, pour les conduits de fumée intérieurs et les accessoires préfabriqués en béton</w:t>
            </w:r>
            <w:r w:rsidR="00766714" w:rsidRPr="0043547B">
              <w:rPr>
                <w:rFonts w:cstheme="minorHAnsi"/>
                <w:sz w:val="24"/>
                <w:szCs w:val="24"/>
              </w:rPr>
              <w:t xml:space="preserve"> </w:t>
            </w:r>
            <w:r w:rsidRPr="0043547B">
              <w:rPr>
                <w:rFonts w:cstheme="minorHAnsi"/>
                <w:sz w:val="24"/>
                <w:szCs w:val="24"/>
              </w:rPr>
              <w:t>avec ou sans isolation destinés à la réalisation de conduits de fumée multiparois.</w:t>
            </w:r>
          </w:p>
          <w:p w:rsidR="00766714" w:rsidRPr="0043547B" w:rsidRDefault="00766714" w:rsidP="00766714">
            <w:pPr>
              <w:spacing w:after="0" w:line="240" w:lineRule="auto"/>
              <w:jc w:val="both"/>
              <w:rPr>
                <w:rFonts w:cstheme="minorHAnsi"/>
                <w:sz w:val="24"/>
                <w:szCs w:val="24"/>
              </w:rPr>
            </w:pPr>
            <w:r w:rsidRPr="0043547B">
              <w:rPr>
                <w:rFonts w:cstheme="minorHAnsi"/>
                <w:sz w:val="24"/>
                <w:szCs w:val="24"/>
              </w:rPr>
              <w:t>Le présent document ne couvre pas :</w:t>
            </w:r>
          </w:p>
          <w:p w:rsidR="00F346FB" w:rsidRPr="0043547B" w:rsidRDefault="00766714" w:rsidP="00766714">
            <w:pPr>
              <w:spacing w:after="0" w:line="240" w:lineRule="auto"/>
              <w:rPr>
                <w:rFonts w:cstheme="minorHAnsi"/>
                <w:sz w:val="24"/>
                <w:szCs w:val="24"/>
              </w:rPr>
            </w:pPr>
            <w:r w:rsidRPr="0043547B">
              <w:rPr>
                <w:rFonts w:cstheme="minorHAnsi"/>
                <w:sz w:val="24"/>
                <w:szCs w:val="24"/>
              </w:rPr>
              <w:t>— les produits désignés pour fonctionnement à haute pression positive (H) ;</w:t>
            </w:r>
            <w:r w:rsidRPr="0043547B">
              <w:rPr>
                <w:rFonts w:cstheme="minorHAnsi"/>
                <w:sz w:val="24"/>
                <w:szCs w:val="24"/>
              </w:rPr>
              <w:br/>
              <w:t>— les produits désignés pour fonctionnement en conditions humides (W) conjointement à la classe de corrosion 3.</w:t>
            </w:r>
            <w:r w:rsidRPr="0043547B">
              <w:rPr>
                <w:rFonts w:cstheme="minorHAnsi"/>
                <w:sz w:val="24"/>
                <w:szCs w:val="24"/>
              </w:rPr>
              <w:br/>
              <w:t>Le présent document couvre également les conduits intérieurs hauteur d'étage et les conduits intérieurs armés pour la manutention.</w:t>
            </w:r>
            <w:r w:rsidRPr="0043547B">
              <w:rPr>
                <w:rFonts w:cstheme="minorHAnsi"/>
                <w:sz w:val="24"/>
                <w:szCs w:val="24"/>
              </w:rPr>
              <w:br/>
            </w:r>
            <w:r w:rsidRPr="00B0750A">
              <w:rPr>
                <w:rFonts w:cstheme="minorHAnsi"/>
                <w:b/>
                <w:bCs/>
                <w:i/>
                <w:iCs/>
              </w:rPr>
              <w:t>NOTE 1</w:t>
            </w:r>
            <w:r w:rsidRPr="00B0750A">
              <w:rPr>
                <w:rFonts w:cstheme="minorHAnsi"/>
                <w:i/>
                <w:iCs/>
              </w:rPr>
              <w:t> : Toute référence au terme conduit intérieur implique l’ensemble des conduits intérieurs et leurs accessoires, sauf si indication différente.</w:t>
            </w:r>
            <w:r w:rsidRPr="00B0750A">
              <w:rPr>
                <w:rFonts w:cstheme="minorHAnsi"/>
                <w:i/>
                <w:iCs/>
              </w:rPr>
              <w:br/>
            </w:r>
            <w:r w:rsidRPr="00B0750A">
              <w:rPr>
                <w:rFonts w:cstheme="minorHAnsi"/>
                <w:b/>
                <w:bCs/>
                <w:i/>
                <w:iCs/>
              </w:rPr>
              <w:t>NOTE 2</w:t>
            </w:r>
            <w:r w:rsidRPr="00B0750A">
              <w:rPr>
                <w:rFonts w:cstheme="minorHAnsi"/>
                <w:i/>
                <w:iCs/>
              </w:rPr>
              <w:t> : Les classes de pression et les classes de corrosion sont définies dans la norme EN 1443.</w:t>
            </w:r>
          </w:p>
        </w:tc>
      </w:tr>
      <w:tr w:rsidR="0043547B" w:rsidRPr="0043547B" w:rsidTr="00CB5DC0">
        <w:trPr>
          <w:trHeight w:val="125"/>
          <w:jc w:val="center"/>
        </w:trPr>
        <w:tc>
          <w:tcPr>
            <w:tcW w:w="1838" w:type="dxa"/>
            <w:tcBorders>
              <w:top w:val="nil"/>
              <w:left w:val="single" w:sz="18" w:space="0" w:color="auto"/>
              <w:bottom w:val="single" w:sz="18" w:space="0" w:color="auto"/>
              <w:right w:val="single" w:sz="4" w:space="0" w:color="auto"/>
            </w:tcBorders>
            <w:shd w:val="clear" w:color="auto" w:fill="A1C064"/>
            <w:vAlign w:val="center"/>
          </w:tcPr>
          <w:p w:rsidR="00F346FB" w:rsidRPr="0043547B" w:rsidRDefault="00F346FB" w:rsidP="00F624A6">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left w:val="single" w:sz="4" w:space="0" w:color="auto"/>
              <w:bottom w:val="single" w:sz="18" w:space="0" w:color="auto"/>
              <w:right w:val="single" w:sz="18" w:space="0" w:color="auto"/>
            </w:tcBorders>
            <w:shd w:val="clear" w:color="auto" w:fill="A1C064"/>
            <w:vAlign w:val="bottom"/>
          </w:tcPr>
          <w:p w:rsidR="00F346FB" w:rsidRPr="00B0750A" w:rsidRDefault="00F346FB" w:rsidP="00F624A6">
            <w:pPr>
              <w:spacing w:after="0" w:line="240" w:lineRule="auto"/>
              <w:jc w:val="center"/>
              <w:rPr>
                <w:rFonts w:cstheme="minorHAnsi"/>
                <w:b/>
                <w:bCs/>
                <w:sz w:val="24"/>
                <w:szCs w:val="24"/>
              </w:rPr>
            </w:pPr>
            <w:r w:rsidRPr="00B0750A">
              <w:rPr>
                <w:rFonts w:cstheme="minorHAnsi"/>
                <w:b/>
                <w:bCs/>
                <w:sz w:val="24"/>
                <w:szCs w:val="24"/>
              </w:rPr>
              <w:t>NM EN 14989-1</w:t>
            </w:r>
          </w:p>
        </w:tc>
      </w:tr>
      <w:tr w:rsidR="0043547B" w:rsidRPr="0043547B" w:rsidTr="00CB5DC0">
        <w:trPr>
          <w:trHeight w:val="3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tcPr>
          <w:p w:rsidR="00F346FB" w:rsidRPr="0043547B" w:rsidRDefault="00F346FB" w:rsidP="00F624A6">
            <w:pPr>
              <w:spacing w:after="0" w:line="240" w:lineRule="auto"/>
              <w:jc w:val="center"/>
              <w:rPr>
                <w:rFonts w:cstheme="minorHAnsi"/>
                <w:b/>
                <w:bCs/>
                <w:sz w:val="24"/>
                <w:szCs w:val="24"/>
              </w:rPr>
            </w:pPr>
            <w:r w:rsidRPr="0043547B">
              <w:rPr>
                <w:rFonts w:cstheme="minorHAnsi"/>
                <w:b/>
                <w:bCs/>
                <w:sz w:val="24"/>
                <w:szCs w:val="24"/>
              </w:rPr>
              <w:lastRenderedPageBreak/>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tcPr>
          <w:p w:rsidR="00F346FB" w:rsidRPr="0043547B" w:rsidRDefault="00F346FB" w:rsidP="00F624A6">
            <w:pPr>
              <w:spacing w:after="0" w:line="240" w:lineRule="auto"/>
              <w:jc w:val="center"/>
              <w:rPr>
                <w:rFonts w:cstheme="minorHAnsi"/>
                <w:b/>
                <w:bCs/>
                <w:sz w:val="24"/>
                <w:szCs w:val="24"/>
              </w:rPr>
            </w:pPr>
            <w:r w:rsidRPr="0043547B">
              <w:rPr>
                <w:rFonts w:cstheme="minorHAnsi"/>
                <w:b/>
                <w:bCs/>
                <w:sz w:val="24"/>
                <w:szCs w:val="24"/>
              </w:rPr>
              <w:t>EN 14989-1</w:t>
            </w:r>
          </w:p>
        </w:tc>
      </w:tr>
      <w:tr w:rsidR="0043547B" w:rsidRPr="0043547B" w:rsidTr="00CB5DC0">
        <w:trPr>
          <w:trHeight w:val="1071"/>
          <w:jc w:val="center"/>
        </w:trPr>
        <w:tc>
          <w:tcPr>
            <w:tcW w:w="1838" w:type="dxa"/>
            <w:tcBorders>
              <w:top w:val="single" w:sz="4" w:space="0" w:color="auto"/>
              <w:left w:val="single" w:sz="18" w:space="0" w:color="auto"/>
              <w:bottom w:val="single" w:sz="4" w:space="0" w:color="auto"/>
              <w:right w:val="single" w:sz="4" w:space="0" w:color="auto"/>
            </w:tcBorders>
            <w:shd w:val="clear" w:color="auto" w:fill="8DB3E2" w:themeFill="text2" w:themeFillTint="66"/>
            <w:vAlign w:val="center"/>
          </w:tcPr>
          <w:p w:rsidR="00F346FB" w:rsidRPr="0043547B" w:rsidRDefault="00F346FB" w:rsidP="00F624A6">
            <w:pPr>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auto"/>
            <w:vAlign w:val="bottom"/>
          </w:tcPr>
          <w:p w:rsidR="00F346FB" w:rsidRPr="0043547B" w:rsidRDefault="00F346FB" w:rsidP="00B0750A">
            <w:pPr>
              <w:spacing w:after="0" w:line="240" w:lineRule="auto"/>
              <w:jc w:val="both"/>
              <w:rPr>
                <w:rFonts w:cstheme="minorHAnsi"/>
                <w:sz w:val="24"/>
                <w:szCs w:val="24"/>
              </w:rPr>
            </w:pPr>
            <w:r w:rsidRPr="0043547B">
              <w:rPr>
                <w:rFonts w:cstheme="minorHAnsi"/>
                <w:sz w:val="24"/>
                <w:szCs w:val="24"/>
              </w:rPr>
              <w:t xml:space="preserve">Conduits de fumée - Exigences et méthodes d'essais pour conduits de fumées métalliques et conduits d'alimentation en air pour tous matériaux pour des appareils de chauffages étanches - Partie 1 : Terminaux verticaux air/fumée pour appareils de type C6 ; </w:t>
            </w:r>
            <w:r w:rsidR="00B0750A">
              <w:rPr>
                <w:rFonts w:cstheme="minorHAnsi"/>
                <w:sz w:val="24"/>
                <w:szCs w:val="24"/>
              </w:rPr>
              <w:t xml:space="preserve"> </w:t>
            </w:r>
          </w:p>
        </w:tc>
      </w:tr>
      <w:tr w:rsidR="0043547B" w:rsidRPr="0043547B" w:rsidTr="00CB5DC0">
        <w:trPr>
          <w:trHeight w:val="701"/>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F346FB" w:rsidRPr="0043547B" w:rsidRDefault="00F346FB" w:rsidP="00F624A6">
            <w:pPr>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bottom"/>
          </w:tcPr>
          <w:p w:rsidR="00B0750A" w:rsidRDefault="00F346FB" w:rsidP="007526B2">
            <w:pPr>
              <w:spacing w:after="0" w:line="240" w:lineRule="auto"/>
              <w:jc w:val="both"/>
              <w:rPr>
                <w:rFonts w:cstheme="minorHAnsi"/>
                <w:sz w:val="24"/>
                <w:szCs w:val="24"/>
              </w:rPr>
            </w:pPr>
            <w:r w:rsidRPr="0043547B">
              <w:rPr>
                <w:rFonts w:cstheme="minorHAnsi"/>
                <w:sz w:val="24"/>
                <w:szCs w:val="24"/>
              </w:rPr>
              <w:t>La présente norme spécifie les exigences et les méthodes d’essai relatives aux terminaux verticaux air/fumée avec</w:t>
            </w:r>
            <w:r w:rsidR="00F624A6" w:rsidRPr="0043547B">
              <w:rPr>
                <w:rFonts w:cstheme="minorHAnsi"/>
                <w:sz w:val="24"/>
                <w:szCs w:val="24"/>
              </w:rPr>
              <w:t xml:space="preserve"> </w:t>
            </w:r>
            <w:r w:rsidRPr="0043547B">
              <w:rPr>
                <w:rFonts w:cstheme="minorHAnsi"/>
                <w:sz w:val="24"/>
                <w:szCs w:val="24"/>
              </w:rPr>
              <w:t>conduits de fumée métalliques fonctionnant sous pression positive destinés aux appareils à gaz de types C62 et C63</w:t>
            </w:r>
            <w:r w:rsidR="00F624A6" w:rsidRPr="0043547B">
              <w:rPr>
                <w:rFonts w:cstheme="minorHAnsi"/>
                <w:sz w:val="24"/>
                <w:szCs w:val="24"/>
              </w:rPr>
              <w:t xml:space="preserve"> </w:t>
            </w:r>
            <w:r w:rsidRPr="0043547B">
              <w:rPr>
                <w:rFonts w:cstheme="minorHAnsi"/>
                <w:sz w:val="24"/>
                <w:szCs w:val="24"/>
              </w:rPr>
              <w:t>qui acheminent l'air pour la combustion, et les produits de la combustion des appareils vers l'atmosphère extérieure.</w:t>
            </w:r>
          </w:p>
          <w:p w:rsidR="00F346FB" w:rsidRPr="0043547B" w:rsidRDefault="007526B2" w:rsidP="007526B2">
            <w:pPr>
              <w:spacing w:after="0" w:line="240" w:lineRule="auto"/>
              <w:jc w:val="both"/>
              <w:rPr>
                <w:rFonts w:cstheme="minorHAnsi"/>
                <w:sz w:val="24"/>
                <w:szCs w:val="24"/>
              </w:rPr>
            </w:pPr>
            <w:r w:rsidRPr="0043547B">
              <w:rPr>
                <w:rFonts w:cstheme="minorHAnsi"/>
                <w:sz w:val="24"/>
                <w:szCs w:val="24"/>
              </w:rPr>
              <w:t>Elle spécifie également les exigences relatives au marquage, aux instructions des fabricants, aux informations sur le produit et à l’évaluation de la conformité.</w:t>
            </w:r>
            <w:r w:rsidRPr="0043547B">
              <w:rPr>
                <w:rFonts w:cstheme="minorHAnsi"/>
                <w:sz w:val="24"/>
                <w:szCs w:val="24"/>
              </w:rPr>
              <w:br/>
            </w:r>
            <w:r w:rsidRPr="00B0750A">
              <w:rPr>
                <w:rFonts w:cstheme="minorHAnsi"/>
                <w:b/>
                <w:bCs/>
                <w:i/>
                <w:iCs/>
              </w:rPr>
              <w:t>NOTE :</w:t>
            </w:r>
            <w:r w:rsidRPr="00B0750A">
              <w:rPr>
                <w:rFonts w:cstheme="minorHAnsi"/>
                <w:i/>
                <w:iCs/>
              </w:rPr>
              <w:t xml:space="preserve"> La classification des appareils à gaz est conforme au CEN/TR 1749.</w:t>
            </w:r>
          </w:p>
        </w:tc>
      </w:tr>
      <w:tr w:rsidR="0043547B" w:rsidRPr="0043547B" w:rsidTr="00CB5DC0">
        <w:trPr>
          <w:trHeight w:val="125"/>
          <w:jc w:val="center"/>
        </w:trPr>
        <w:tc>
          <w:tcPr>
            <w:tcW w:w="1838" w:type="dxa"/>
            <w:tcBorders>
              <w:top w:val="nil"/>
              <w:left w:val="single" w:sz="18" w:space="0" w:color="auto"/>
              <w:bottom w:val="single" w:sz="18" w:space="0" w:color="auto"/>
              <w:right w:val="single" w:sz="4" w:space="0" w:color="auto"/>
            </w:tcBorders>
            <w:shd w:val="clear" w:color="auto" w:fill="A1C064"/>
            <w:vAlign w:val="center"/>
          </w:tcPr>
          <w:p w:rsidR="00F346FB" w:rsidRPr="0043547B" w:rsidRDefault="00F346FB" w:rsidP="00F624A6">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left w:val="single" w:sz="4" w:space="0" w:color="auto"/>
              <w:bottom w:val="single" w:sz="18" w:space="0" w:color="auto"/>
              <w:right w:val="single" w:sz="18" w:space="0" w:color="auto"/>
            </w:tcBorders>
            <w:shd w:val="clear" w:color="auto" w:fill="A1C064"/>
            <w:vAlign w:val="bottom"/>
          </w:tcPr>
          <w:p w:rsidR="00F346FB" w:rsidRPr="0043547B" w:rsidRDefault="00F346FB" w:rsidP="00F624A6">
            <w:pPr>
              <w:spacing w:after="0" w:line="240" w:lineRule="auto"/>
              <w:jc w:val="center"/>
              <w:rPr>
                <w:rFonts w:cstheme="minorHAnsi"/>
                <w:b/>
                <w:bCs/>
                <w:sz w:val="24"/>
                <w:szCs w:val="24"/>
              </w:rPr>
            </w:pPr>
            <w:r w:rsidRPr="0043547B">
              <w:rPr>
                <w:rFonts w:cstheme="minorHAnsi"/>
                <w:b/>
                <w:bCs/>
                <w:sz w:val="24"/>
                <w:szCs w:val="24"/>
              </w:rPr>
              <w:t>NM EN 14989-2</w:t>
            </w:r>
          </w:p>
        </w:tc>
      </w:tr>
      <w:tr w:rsidR="0043547B" w:rsidRPr="0043547B" w:rsidTr="00CB5DC0">
        <w:trPr>
          <w:trHeight w:val="3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tcPr>
          <w:p w:rsidR="00F346FB" w:rsidRPr="0043547B" w:rsidRDefault="00F346FB" w:rsidP="00F624A6">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tcPr>
          <w:p w:rsidR="00F346FB" w:rsidRPr="0043547B" w:rsidRDefault="00F346FB" w:rsidP="00F624A6">
            <w:pPr>
              <w:spacing w:after="0" w:line="240" w:lineRule="auto"/>
              <w:jc w:val="center"/>
              <w:rPr>
                <w:rFonts w:cstheme="minorHAnsi"/>
                <w:b/>
                <w:bCs/>
                <w:sz w:val="24"/>
                <w:szCs w:val="24"/>
              </w:rPr>
            </w:pPr>
            <w:r w:rsidRPr="0043547B">
              <w:rPr>
                <w:rFonts w:cstheme="minorHAnsi"/>
                <w:b/>
                <w:bCs/>
                <w:sz w:val="24"/>
                <w:szCs w:val="24"/>
              </w:rPr>
              <w:t>EN 14989-2</w:t>
            </w:r>
          </w:p>
        </w:tc>
      </w:tr>
      <w:tr w:rsidR="0043547B" w:rsidRPr="0043547B" w:rsidTr="00CB5DC0">
        <w:trPr>
          <w:trHeight w:val="140"/>
          <w:jc w:val="center"/>
        </w:trPr>
        <w:tc>
          <w:tcPr>
            <w:tcW w:w="1838" w:type="dxa"/>
            <w:tcBorders>
              <w:top w:val="single" w:sz="4" w:space="0" w:color="auto"/>
              <w:left w:val="single" w:sz="18" w:space="0" w:color="auto"/>
              <w:bottom w:val="single" w:sz="4" w:space="0" w:color="auto"/>
              <w:right w:val="single" w:sz="4" w:space="0" w:color="auto"/>
            </w:tcBorders>
            <w:shd w:val="clear" w:color="auto" w:fill="8DB3E2" w:themeFill="text2" w:themeFillTint="66"/>
            <w:vAlign w:val="center"/>
          </w:tcPr>
          <w:p w:rsidR="00F346FB" w:rsidRPr="0043547B" w:rsidRDefault="00F346FB" w:rsidP="00F624A6">
            <w:pPr>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auto"/>
            <w:vAlign w:val="bottom"/>
          </w:tcPr>
          <w:p w:rsidR="00F346FB" w:rsidRPr="0043547B" w:rsidRDefault="00F346FB" w:rsidP="00B0750A">
            <w:pPr>
              <w:spacing w:after="0" w:line="240" w:lineRule="auto"/>
              <w:jc w:val="both"/>
              <w:rPr>
                <w:rFonts w:cstheme="minorHAnsi"/>
                <w:sz w:val="24"/>
                <w:szCs w:val="24"/>
              </w:rPr>
            </w:pPr>
            <w:r w:rsidRPr="0043547B">
              <w:rPr>
                <w:rFonts w:cstheme="minorHAnsi"/>
                <w:sz w:val="24"/>
                <w:szCs w:val="24"/>
              </w:rPr>
              <w:t xml:space="preserve">Conduits de fumée - Exigences et méthodes d'essai pour conduits de fumée métalliques et conduits d'alimentation en air pour tous matériaux pour des appareils de chauffage étanches - Partie 2 : Conduits de fumée et d'alimentation en air pour appareils étanches ; </w:t>
            </w:r>
          </w:p>
        </w:tc>
      </w:tr>
      <w:tr w:rsidR="0043547B" w:rsidRPr="0043547B" w:rsidTr="00CB5DC0">
        <w:trPr>
          <w:trHeight w:val="2960"/>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F346FB" w:rsidRPr="0043547B" w:rsidRDefault="00F346FB" w:rsidP="00F624A6">
            <w:pPr>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bottom"/>
          </w:tcPr>
          <w:p w:rsidR="00F624A6" w:rsidRPr="0043547B" w:rsidRDefault="00F346FB" w:rsidP="00F624A6">
            <w:pPr>
              <w:spacing w:after="0" w:line="240" w:lineRule="auto"/>
              <w:jc w:val="both"/>
              <w:rPr>
                <w:rFonts w:cstheme="minorHAnsi"/>
                <w:sz w:val="24"/>
                <w:szCs w:val="24"/>
              </w:rPr>
            </w:pPr>
            <w:r w:rsidRPr="0043547B">
              <w:rPr>
                <w:rFonts w:cstheme="minorHAnsi"/>
                <w:sz w:val="24"/>
                <w:szCs w:val="24"/>
              </w:rPr>
              <w:t>La présente Norme européenne spécifie les exigences et les méthodes d’essai relatives aux conduits de fumée</w:t>
            </w:r>
            <w:r w:rsidR="00F624A6" w:rsidRPr="0043547B">
              <w:rPr>
                <w:rFonts w:cstheme="minorHAnsi"/>
                <w:sz w:val="24"/>
                <w:szCs w:val="24"/>
              </w:rPr>
              <w:t xml:space="preserve"> </w:t>
            </w:r>
            <w:r w:rsidRPr="0043547B">
              <w:rPr>
                <w:rFonts w:cstheme="minorHAnsi"/>
                <w:sz w:val="24"/>
                <w:szCs w:val="24"/>
              </w:rPr>
              <w:t>métalliques et conduits d'alimentation en air pour tous matériaux pour des appareils de chauffage étanches.</w:t>
            </w:r>
          </w:p>
          <w:p w:rsidR="00F624A6" w:rsidRPr="0043547B" w:rsidRDefault="00F346FB" w:rsidP="00F624A6">
            <w:pPr>
              <w:spacing w:after="0" w:line="240" w:lineRule="auto"/>
              <w:jc w:val="both"/>
              <w:rPr>
                <w:rFonts w:cstheme="minorHAnsi"/>
                <w:sz w:val="24"/>
                <w:szCs w:val="24"/>
              </w:rPr>
            </w:pPr>
            <w:r w:rsidRPr="0043547B">
              <w:rPr>
                <w:rFonts w:cstheme="minorHAnsi"/>
                <w:sz w:val="24"/>
                <w:szCs w:val="24"/>
              </w:rPr>
              <w:t>Il spécifie également les exigences relatives au marquage, aux instructions du fabricant, aux informations relatives</w:t>
            </w:r>
            <w:r w:rsidR="00F624A6" w:rsidRPr="0043547B">
              <w:rPr>
                <w:rFonts w:cstheme="minorHAnsi"/>
                <w:sz w:val="24"/>
                <w:szCs w:val="24"/>
              </w:rPr>
              <w:t xml:space="preserve"> </w:t>
            </w:r>
            <w:r w:rsidRPr="0043547B">
              <w:rPr>
                <w:rFonts w:cstheme="minorHAnsi"/>
                <w:sz w:val="24"/>
                <w:szCs w:val="24"/>
              </w:rPr>
              <w:t>au produit et à l’évaluation de la conformité.</w:t>
            </w:r>
          </w:p>
          <w:p w:rsidR="00F624A6" w:rsidRPr="00B0750A" w:rsidRDefault="00F346FB" w:rsidP="00F624A6">
            <w:pPr>
              <w:spacing w:after="0" w:line="240" w:lineRule="auto"/>
              <w:jc w:val="both"/>
              <w:rPr>
                <w:rFonts w:cstheme="minorHAnsi"/>
                <w:i/>
                <w:iCs/>
              </w:rPr>
            </w:pPr>
            <w:r w:rsidRPr="00B0750A">
              <w:rPr>
                <w:rFonts w:cstheme="minorHAnsi"/>
                <w:b/>
                <w:bCs/>
                <w:i/>
                <w:iCs/>
              </w:rPr>
              <w:t>NOTE 1</w:t>
            </w:r>
            <w:r w:rsidR="00F624A6" w:rsidRPr="00B0750A">
              <w:rPr>
                <w:rFonts w:cstheme="minorHAnsi"/>
                <w:i/>
                <w:iCs/>
              </w:rPr>
              <w:t> :</w:t>
            </w:r>
            <w:r w:rsidRPr="00B0750A">
              <w:rPr>
                <w:rFonts w:cstheme="minorHAnsi"/>
                <w:i/>
                <w:iCs/>
              </w:rPr>
              <w:t xml:space="preserve"> Les recommandations relatives aux dimensions préférentielles pour les produits sont données dans l’Annexe A</w:t>
            </w:r>
            <w:r w:rsidR="00F624A6" w:rsidRPr="00B0750A">
              <w:rPr>
                <w:rFonts w:cstheme="minorHAnsi"/>
                <w:i/>
                <w:iCs/>
              </w:rPr>
              <w:t xml:space="preserve"> </w:t>
            </w:r>
            <w:r w:rsidRPr="00B0750A">
              <w:rPr>
                <w:rFonts w:cstheme="minorHAnsi"/>
                <w:i/>
                <w:iCs/>
              </w:rPr>
              <w:t>(informative).</w:t>
            </w:r>
          </w:p>
          <w:p w:rsidR="00F346FB" w:rsidRPr="0043547B" w:rsidRDefault="00F346FB" w:rsidP="00F624A6">
            <w:pPr>
              <w:spacing w:after="0" w:line="240" w:lineRule="auto"/>
              <w:jc w:val="both"/>
              <w:rPr>
                <w:rFonts w:cstheme="minorHAnsi"/>
                <w:sz w:val="24"/>
                <w:szCs w:val="24"/>
              </w:rPr>
            </w:pPr>
            <w:r w:rsidRPr="00B0750A">
              <w:rPr>
                <w:rFonts w:cstheme="minorHAnsi"/>
                <w:b/>
                <w:bCs/>
                <w:i/>
                <w:iCs/>
              </w:rPr>
              <w:t>NOTE 2</w:t>
            </w:r>
            <w:r w:rsidR="00F624A6" w:rsidRPr="00B0750A">
              <w:rPr>
                <w:rFonts w:cstheme="minorHAnsi"/>
                <w:i/>
                <w:iCs/>
              </w:rPr>
              <w:t> :</w:t>
            </w:r>
            <w:r w:rsidRPr="00B0750A">
              <w:rPr>
                <w:rFonts w:cstheme="minorHAnsi"/>
                <w:i/>
                <w:iCs/>
              </w:rPr>
              <w:t xml:space="preserve"> Dans la présente Norme européenne, seules des exigences générales sont spécifiées pour les composants</w:t>
            </w:r>
            <w:r w:rsidR="00F624A6" w:rsidRPr="00B0750A">
              <w:rPr>
                <w:rFonts w:cstheme="minorHAnsi"/>
                <w:i/>
                <w:iCs/>
              </w:rPr>
              <w:t xml:space="preserve"> </w:t>
            </w:r>
            <w:r w:rsidRPr="00B0750A">
              <w:rPr>
                <w:rFonts w:cstheme="minorHAnsi"/>
                <w:i/>
                <w:iCs/>
              </w:rPr>
              <w:t>élastomères et en matière plastique. Les produits élastomères et en matière plastique utilisés dans les systèmes de conduits</w:t>
            </w:r>
            <w:r w:rsidR="00F624A6" w:rsidRPr="00B0750A">
              <w:rPr>
                <w:rFonts w:cstheme="minorHAnsi"/>
                <w:i/>
                <w:iCs/>
              </w:rPr>
              <w:t xml:space="preserve"> </w:t>
            </w:r>
            <w:r w:rsidRPr="00B0750A">
              <w:rPr>
                <w:rFonts w:cstheme="minorHAnsi"/>
                <w:i/>
                <w:iCs/>
              </w:rPr>
              <w:t>de fumée sont couverts par des normes distinctes, par exemples EN 14241-1 et EN 14471.</w:t>
            </w:r>
          </w:p>
        </w:tc>
      </w:tr>
      <w:tr w:rsidR="0043547B" w:rsidRPr="0043547B" w:rsidTr="00CB5DC0">
        <w:trPr>
          <w:trHeight w:val="374"/>
          <w:jc w:val="center"/>
        </w:trPr>
        <w:tc>
          <w:tcPr>
            <w:tcW w:w="1838" w:type="dxa"/>
            <w:tcBorders>
              <w:top w:val="nil"/>
              <w:left w:val="single" w:sz="18" w:space="0" w:color="auto"/>
              <w:bottom w:val="single" w:sz="18" w:space="0" w:color="auto"/>
              <w:right w:val="single" w:sz="4" w:space="0" w:color="auto"/>
            </w:tcBorders>
            <w:shd w:val="clear" w:color="auto" w:fill="A1C064"/>
            <w:vAlign w:val="center"/>
          </w:tcPr>
          <w:p w:rsidR="00F346FB" w:rsidRPr="0043547B" w:rsidRDefault="00F346FB" w:rsidP="00F624A6">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left w:val="single" w:sz="4" w:space="0" w:color="auto"/>
              <w:bottom w:val="single" w:sz="18" w:space="0" w:color="auto"/>
              <w:right w:val="single" w:sz="18" w:space="0" w:color="auto"/>
            </w:tcBorders>
            <w:shd w:val="clear" w:color="auto" w:fill="A1C064"/>
            <w:vAlign w:val="bottom"/>
          </w:tcPr>
          <w:p w:rsidR="00F346FB" w:rsidRPr="0043547B" w:rsidRDefault="00F346FB" w:rsidP="00723EE1">
            <w:pPr>
              <w:spacing w:after="0" w:line="240" w:lineRule="auto"/>
              <w:jc w:val="center"/>
              <w:rPr>
                <w:rFonts w:cstheme="minorHAnsi"/>
                <w:b/>
                <w:bCs/>
                <w:sz w:val="24"/>
                <w:szCs w:val="24"/>
              </w:rPr>
            </w:pPr>
            <w:r w:rsidRPr="0043547B">
              <w:rPr>
                <w:rFonts w:cstheme="minorHAnsi"/>
                <w:b/>
                <w:bCs/>
                <w:sz w:val="24"/>
                <w:szCs w:val="24"/>
              </w:rPr>
              <w:t>NM EN 13084-1</w:t>
            </w:r>
          </w:p>
        </w:tc>
      </w:tr>
      <w:tr w:rsidR="0043547B" w:rsidRPr="0043547B" w:rsidTr="00CB5DC0">
        <w:trPr>
          <w:trHeight w:val="380"/>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tcPr>
          <w:p w:rsidR="00F346FB" w:rsidRPr="0043547B" w:rsidRDefault="00F346FB" w:rsidP="00F624A6">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tcPr>
          <w:p w:rsidR="00F346FB" w:rsidRPr="0043547B" w:rsidRDefault="00F346FB" w:rsidP="00F624A6">
            <w:pPr>
              <w:spacing w:after="0" w:line="240" w:lineRule="auto"/>
              <w:jc w:val="center"/>
              <w:rPr>
                <w:rFonts w:cstheme="minorHAnsi"/>
                <w:b/>
                <w:bCs/>
                <w:sz w:val="24"/>
                <w:szCs w:val="24"/>
              </w:rPr>
            </w:pPr>
            <w:r w:rsidRPr="0043547B">
              <w:rPr>
                <w:rFonts w:cstheme="minorHAnsi"/>
                <w:b/>
                <w:bCs/>
                <w:sz w:val="24"/>
                <w:szCs w:val="24"/>
              </w:rPr>
              <w:t>EN 13084-1</w:t>
            </w:r>
          </w:p>
        </w:tc>
      </w:tr>
      <w:tr w:rsidR="0043547B" w:rsidRPr="0043547B" w:rsidTr="00CB5DC0">
        <w:trPr>
          <w:trHeight w:val="332"/>
          <w:jc w:val="center"/>
        </w:trPr>
        <w:tc>
          <w:tcPr>
            <w:tcW w:w="1838" w:type="dxa"/>
            <w:tcBorders>
              <w:top w:val="single" w:sz="4" w:space="0" w:color="auto"/>
              <w:left w:val="single" w:sz="18" w:space="0" w:color="auto"/>
              <w:bottom w:val="single" w:sz="4" w:space="0" w:color="auto"/>
              <w:right w:val="single" w:sz="4" w:space="0" w:color="auto"/>
            </w:tcBorders>
            <w:shd w:val="clear" w:color="auto" w:fill="8DB3E2" w:themeFill="text2" w:themeFillTint="66"/>
            <w:vAlign w:val="center"/>
          </w:tcPr>
          <w:p w:rsidR="00F346FB" w:rsidRPr="0043547B" w:rsidRDefault="00F346FB" w:rsidP="00F624A6">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auto"/>
          </w:tcPr>
          <w:p w:rsidR="00F346FB" w:rsidRPr="0043547B" w:rsidRDefault="00F346FB" w:rsidP="00B0750A">
            <w:pPr>
              <w:spacing w:after="0" w:line="240" w:lineRule="auto"/>
              <w:rPr>
                <w:rFonts w:cstheme="minorHAnsi"/>
                <w:sz w:val="24"/>
                <w:szCs w:val="24"/>
              </w:rPr>
            </w:pPr>
            <w:r w:rsidRPr="0043547B">
              <w:rPr>
                <w:rFonts w:cstheme="minorHAnsi"/>
                <w:sz w:val="24"/>
                <w:szCs w:val="24"/>
              </w:rPr>
              <w:t xml:space="preserve">Cheminées autoportantes - Partie 1 : Exigences générales ; </w:t>
            </w:r>
          </w:p>
        </w:tc>
      </w:tr>
      <w:tr w:rsidR="0043547B" w:rsidRPr="0043547B" w:rsidTr="00CB5DC0">
        <w:trPr>
          <w:trHeight w:val="1583"/>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F346FB" w:rsidRPr="0043547B" w:rsidRDefault="00F346FB" w:rsidP="00CF4EF6">
            <w:pPr>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bottom"/>
          </w:tcPr>
          <w:p w:rsidR="00CF4EF6" w:rsidRPr="0043547B" w:rsidRDefault="00F346FB" w:rsidP="00CF4EF6">
            <w:pPr>
              <w:spacing w:after="0" w:line="240" w:lineRule="auto"/>
              <w:jc w:val="both"/>
              <w:rPr>
                <w:rFonts w:cstheme="minorHAnsi"/>
                <w:sz w:val="24"/>
                <w:szCs w:val="24"/>
              </w:rPr>
            </w:pPr>
            <w:r w:rsidRPr="0043547B">
              <w:rPr>
                <w:rFonts w:cstheme="minorHAnsi"/>
                <w:sz w:val="24"/>
                <w:szCs w:val="24"/>
              </w:rPr>
              <w:t>La présente Norme européenne traite des exigences générales et des critères de performances fondamentaux</w:t>
            </w:r>
            <w:r w:rsidR="00F624A6" w:rsidRPr="0043547B">
              <w:rPr>
                <w:rFonts w:cstheme="minorHAnsi"/>
                <w:sz w:val="24"/>
                <w:szCs w:val="24"/>
              </w:rPr>
              <w:t xml:space="preserve"> </w:t>
            </w:r>
            <w:r w:rsidRPr="0043547B">
              <w:rPr>
                <w:rFonts w:cstheme="minorHAnsi"/>
                <w:sz w:val="24"/>
                <w:szCs w:val="24"/>
              </w:rPr>
              <w:t>concernant la conception et la réalisation de tous les types de cheminées autoportantes y compris leur paroi</w:t>
            </w:r>
            <w:r w:rsidR="00F624A6" w:rsidRPr="0043547B">
              <w:rPr>
                <w:rFonts w:cstheme="minorHAnsi"/>
                <w:sz w:val="24"/>
                <w:szCs w:val="24"/>
              </w:rPr>
              <w:t xml:space="preserve"> </w:t>
            </w:r>
            <w:r w:rsidRPr="0043547B">
              <w:rPr>
                <w:rFonts w:cstheme="minorHAnsi"/>
                <w:sz w:val="24"/>
                <w:szCs w:val="24"/>
              </w:rPr>
              <w:t>intérieure. Il est permis de considérer une cheminée comme étant autoportante si elle est haubanée ou soutenue ou</w:t>
            </w:r>
            <w:r w:rsidR="00F624A6" w:rsidRPr="0043547B">
              <w:rPr>
                <w:rFonts w:cstheme="minorHAnsi"/>
                <w:sz w:val="24"/>
                <w:szCs w:val="24"/>
              </w:rPr>
              <w:t xml:space="preserve"> </w:t>
            </w:r>
            <w:r w:rsidRPr="0043547B">
              <w:rPr>
                <w:rFonts w:cstheme="minorHAnsi"/>
                <w:sz w:val="24"/>
                <w:szCs w:val="24"/>
              </w:rPr>
              <w:t>si elle repose sur une autre structure.</w:t>
            </w:r>
          </w:p>
          <w:p w:rsidR="00CF4EF6" w:rsidRPr="0043547B" w:rsidRDefault="00F346FB" w:rsidP="00CF4EF6">
            <w:pPr>
              <w:spacing w:after="0" w:line="240" w:lineRule="auto"/>
              <w:jc w:val="both"/>
              <w:rPr>
                <w:rFonts w:cstheme="minorHAnsi"/>
                <w:sz w:val="24"/>
                <w:szCs w:val="24"/>
              </w:rPr>
            </w:pPr>
            <w:r w:rsidRPr="0043547B">
              <w:rPr>
                <w:rFonts w:cstheme="minorHAnsi"/>
                <w:sz w:val="24"/>
                <w:szCs w:val="24"/>
              </w:rPr>
              <w:t>Les cheminées attachées aux bâtiments doivent être considérées comme cheminées autoportantes si au moins un</w:t>
            </w:r>
            <w:r w:rsidR="00CF4EF6" w:rsidRPr="0043547B">
              <w:rPr>
                <w:rFonts w:cstheme="minorHAnsi"/>
                <w:sz w:val="24"/>
                <w:szCs w:val="24"/>
              </w:rPr>
              <w:t xml:space="preserve"> </w:t>
            </w:r>
            <w:r w:rsidRPr="0043547B">
              <w:rPr>
                <w:rFonts w:cstheme="minorHAnsi"/>
                <w:sz w:val="24"/>
                <w:szCs w:val="24"/>
              </w:rPr>
              <w:t>des critères suivants est satisfait :</w:t>
            </w:r>
          </w:p>
          <w:p w:rsidR="00CF4EF6" w:rsidRPr="0043547B" w:rsidRDefault="00F346FB" w:rsidP="00CF4EF6">
            <w:pPr>
              <w:spacing w:after="0" w:line="240" w:lineRule="auto"/>
              <w:rPr>
                <w:rFonts w:cstheme="minorHAnsi"/>
                <w:sz w:val="24"/>
                <w:szCs w:val="24"/>
              </w:rPr>
            </w:pPr>
            <w:r w:rsidRPr="0043547B">
              <w:rPr>
                <w:rFonts w:cstheme="minorHAnsi"/>
                <w:sz w:val="24"/>
                <w:szCs w:val="24"/>
              </w:rPr>
              <w:t>— la distance entre les supports latéraux est supérieure à 4 m ;</w:t>
            </w:r>
            <w:r w:rsidRPr="0043547B">
              <w:rPr>
                <w:rFonts w:cstheme="minorHAnsi"/>
                <w:sz w:val="24"/>
                <w:szCs w:val="24"/>
              </w:rPr>
              <w:br/>
              <w:t>— la hauteur autoportante au-dessus du support constructif est supérieure à 3 m ;</w:t>
            </w:r>
            <w:r w:rsidRPr="0043547B">
              <w:rPr>
                <w:rFonts w:cstheme="minorHAnsi"/>
                <w:sz w:val="24"/>
                <w:szCs w:val="24"/>
              </w:rPr>
              <w:br/>
              <w:t>— la hauteur autoportante au-dessus du support constructif des cheminées de section transversale rectangulaire est</w:t>
            </w:r>
            <w:r w:rsidR="00CF4EF6" w:rsidRPr="0043547B">
              <w:rPr>
                <w:rFonts w:cstheme="minorHAnsi"/>
                <w:sz w:val="24"/>
                <w:szCs w:val="24"/>
              </w:rPr>
              <w:t xml:space="preserve"> </w:t>
            </w:r>
            <w:r w:rsidRPr="0043547B">
              <w:rPr>
                <w:rFonts w:cstheme="minorHAnsi"/>
                <w:sz w:val="24"/>
                <w:szCs w:val="24"/>
              </w:rPr>
              <w:t>plus de cinq fois supérieure à la dimension extérieure la plus petite ;</w:t>
            </w:r>
            <w:r w:rsidRPr="0043547B">
              <w:rPr>
                <w:rFonts w:cstheme="minorHAnsi"/>
                <w:sz w:val="24"/>
                <w:szCs w:val="24"/>
              </w:rPr>
              <w:br/>
              <w:t>— la distance horizontale entre le bâtiment et la surface extérieure de la cheminée est supérieure à 1 m.</w:t>
            </w:r>
          </w:p>
          <w:p w:rsidR="00B0750A" w:rsidRDefault="00F346FB" w:rsidP="00CF4EF6">
            <w:pPr>
              <w:spacing w:after="0" w:line="240" w:lineRule="auto"/>
              <w:jc w:val="both"/>
              <w:rPr>
                <w:rFonts w:cstheme="minorHAnsi"/>
                <w:sz w:val="24"/>
                <w:szCs w:val="24"/>
              </w:rPr>
            </w:pPr>
            <w:r w:rsidRPr="0043547B">
              <w:rPr>
                <w:rFonts w:cstheme="minorHAnsi"/>
                <w:sz w:val="24"/>
                <w:szCs w:val="24"/>
              </w:rPr>
              <w:lastRenderedPageBreak/>
              <w:t>Les cheminées attachées aux poteaux autoportants sont considérées comme cheminées autoportantes.</w:t>
            </w:r>
          </w:p>
          <w:p w:rsidR="00CF4EF6" w:rsidRPr="0043547B" w:rsidRDefault="00F346FB" w:rsidP="00CF4EF6">
            <w:pPr>
              <w:spacing w:after="0" w:line="240" w:lineRule="auto"/>
              <w:jc w:val="both"/>
              <w:rPr>
                <w:rFonts w:cstheme="minorHAnsi"/>
                <w:sz w:val="24"/>
                <w:szCs w:val="24"/>
              </w:rPr>
            </w:pPr>
            <w:r w:rsidRPr="0043547B">
              <w:rPr>
                <w:rFonts w:cstheme="minorHAnsi"/>
                <w:sz w:val="24"/>
                <w:szCs w:val="24"/>
              </w:rPr>
              <w:t>Le calcul des cheminées autoportantes prend en considération les conditions d’opération et d’autres effets</w:t>
            </w:r>
            <w:r w:rsidR="00CF4EF6" w:rsidRPr="0043547B">
              <w:rPr>
                <w:rFonts w:cstheme="minorHAnsi"/>
                <w:sz w:val="24"/>
                <w:szCs w:val="24"/>
              </w:rPr>
              <w:t xml:space="preserve"> </w:t>
            </w:r>
            <w:r w:rsidRPr="0043547B">
              <w:rPr>
                <w:rFonts w:cstheme="minorHAnsi"/>
                <w:sz w:val="24"/>
                <w:szCs w:val="24"/>
              </w:rPr>
              <w:t>pour vérifier la résistance mécanique, la stabilité et la sécurité d’utilisation. Les exigences détaillées concernant les</w:t>
            </w:r>
            <w:r w:rsidR="00CF4EF6" w:rsidRPr="0043547B">
              <w:rPr>
                <w:rFonts w:cstheme="minorHAnsi"/>
                <w:sz w:val="24"/>
                <w:szCs w:val="24"/>
              </w:rPr>
              <w:t xml:space="preserve"> </w:t>
            </w:r>
            <w:r w:rsidRPr="0043547B">
              <w:rPr>
                <w:rFonts w:cstheme="minorHAnsi"/>
                <w:sz w:val="24"/>
                <w:szCs w:val="24"/>
              </w:rPr>
              <w:t xml:space="preserve">types de construction particuliers sont </w:t>
            </w:r>
            <w:r w:rsidR="00CF4EF6" w:rsidRPr="0043547B">
              <w:rPr>
                <w:rFonts w:cstheme="minorHAnsi"/>
                <w:sz w:val="24"/>
                <w:szCs w:val="24"/>
              </w:rPr>
              <w:t>donnés</w:t>
            </w:r>
            <w:r w:rsidRPr="0043547B">
              <w:rPr>
                <w:rFonts w:cstheme="minorHAnsi"/>
                <w:sz w:val="24"/>
                <w:szCs w:val="24"/>
              </w:rPr>
              <w:t xml:space="preserve"> dans les normes pour cheminées en béton, cheminées en acier et</w:t>
            </w:r>
            <w:r w:rsidR="00CF4EF6" w:rsidRPr="0043547B">
              <w:rPr>
                <w:rFonts w:cstheme="minorHAnsi"/>
                <w:sz w:val="24"/>
                <w:szCs w:val="24"/>
              </w:rPr>
              <w:t xml:space="preserve"> </w:t>
            </w:r>
            <w:r w:rsidRPr="0043547B">
              <w:rPr>
                <w:rFonts w:cstheme="minorHAnsi"/>
                <w:sz w:val="24"/>
                <w:szCs w:val="24"/>
              </w:rPr>
              <w:t>parois intérieures.</w:t>
            </w:r>
          </w:p>
          <w:p w:rsidR="00F346FB" w:rsidRPr="0043547B" w:rsidRDefault="00F346FB" w:rsidP="00CF4EF6">
            <w:pPr>
              <w:spacing w:after="0" w:line="240" w:lineRule="auto"/>
              <w:jc w:val="both"/>
              <w:rPr>
                <w:rFonts w:cstheme="minorHAnsi"/>
                <w:i/>
                <w:iCs/>
                <w:sz w:val="24"/>
                <w:szCs w:val="24"/>
              </w:rPr>
            </w:pPr>
            <w:r w:rsidRPr="00B0750A">
              <w:rPr>
                <w:rFonts w:cstheme="minorHAnsi"/>
                <w:b/>
                <w:bCs/>
                <w:i/>
                <w:iCs/>
              </w:rPr>
              <w:t>NOTE</w:t>
            </w:r>
            <w:r w:rsidR="00CF4EF6" w:rsidRPr="00B0750A">
              <w:rPr>
                <w:rFonts w:cstheme="minorHAnsi"/>
                <w:i/>
                <w:iCs/>
              </w:rPr>
              <w:t xml:space="preserve"> : </w:t>
            </w:r>
            <w:r w:rsidRPr="00B0750A">
              <w:rPr>
                <w:rFonts w:cstheme="minorHAnsi"/>
                <w:i/>
                <w:iCs/>
              </w:rPr>
              <w:t>Les règles pour l’utilisation des produits de cheminées selon l’EN 1443 (et les normes de produit respectives) dans</w:t>
            </w:r>
            <w:r w:rsidR="00CF4EF6" w:rsidRPr="00B0750A">
              <w:rPr>
                <w:rFonts w:cstheme="minorHAnsi"/>
                <w:i/>
                <w:iCs/>
              </w:rPr>
              <w:t xml:space="preserve"> </w:t>
            </w:r>
            <w:r w:rsidRPr="00B0750A">
              <w:rPr>
                <w:rFonts w:cstheme="minorHAnsi"/>
                <w:i/>
                <w:iCs/>
              </w:rPr>
              <w:t>les cheminées autoportantes seront données dans les autres parties de la série EN 13084.</w:t>
            </w:r>
          </w:p>
        </w:tc>
      </w:tr>
      <w:tr w:rsidR="0043547B" w:rsidRPr="0043547B" w:rsidTr="00CB5DC0">
        <w:trPr>
          <w:trHeight w:val="312"/>
          <w:jc w:val="center"/>
        </w:trPr>
        <w:tc>
          <w:tcPr>
            <w:tcW w:w="1838" w:type="dxa"/>
            <w:tcBorders>
              <w:top w:val="nil"/>
              <w:left w:val="single" w:sz="18" w:space="0" w:color="auto"/>
              <w:bottom w:val="single" w:sz="18" w:space="0" w:color="auto"/>
              <w:right w:val="single" w:sz="4" w:space="0" w:color="auto"/>
            </w:tcBorders>
            <w:shd w:val="clear" w:color="auto" w:fill="A1C064"/>
            <w:vAlign w:val="center"/>
          </w:tcPr>
          <w:p w:rsidR="00F346FB" w:rsidRPr="0043547B" w:rsidRDefault="00F346FB" w:rsidP="000D5721">
            <w:pPr>
              <w:spacing w:after="0" w:line="240" w:lineRule="auto"/>
              <w:jc w:val="center"/>
              <w:rPr>
                <w:rFonts w:cstheme="minorHAnsi"/>
                <w:b/>
                <w:bCs/>
                <w:sz w:val="24"/>
                <w:szCs w:val="24"/>
              </w:rPr>
            </w:pPr>
            <w:r w:rsidRPr="0043547B">
              <w:rPr>
                <w:rFonts w:cstheme="minorHAnsi"/>
                <w:b/>
                <w:bCs/>
                <w:sz w:val="24"/>
                <w:szCs w:val="24"/>
              </w:rPr>
              <w:lastRenderedPageBreak/>
              <w:t>Code</w:t>
            </w:r>
            <w:r w:rsidR="000D5721" w:rsidRPr="0043547B">
              <w:rPr>
                <w:rFonts w:cstheme="minorHAnsi"/>
                <w:b/>
                <w:bCs/>
                <w:sz w:val="24"/>
                <w:szCs w:val="24"/>
              </w:rPr>
              <w:t xml:space="preserve"> </w:t>
            </w:r>
            <w:r w:rsidRPr="0043547B">
              <w:rPr>
                <w:rFonts w:cstheme="minorHAnsi"/>
                <w:b/>
                <w:bCs/>
                <w:sz w:val="24"/>
                <w:szCs w:val="24"/>
              </w:rPr>
              <w:t>:</w:t>
            </w:r>
          </w:p>
        </w:tc>
        <w:tc>
          <w:tcPr>
            <w:tcW w:w="7938" w:type="dxa"/>
            <w:tcBorders>
              <w:left w:val="single" w:sz="4" w:space="0" w:color="auto"/>
              <w:bottom w:val="single" w:sz="18" w:space="0" w:color="auto"/>
              <w:right w:val="single" w:sz="18" w:space="0" w:color="auto"/>
            </w:tcBorders>
            <w:shd w:val="clear" w:color="auto" w:fill="A1C064"/>
            <w:vAlign w:val="bottom"/>
          </w:tcPr>
          <w:p w:rsidR="00F346FB" w:rsidRPr="0043547B" w:rsidRDefault="00F346FB" w:rsidP="000D5721">
            <w:pPr>
              <w:spacing w:after="0" w:line="240" w:lineRule="auto"/>
              <w:jc w:val="center"/>
              <w:rPr>
                <w:rFonts w:cstheme="minorHAnsi"/>
                <w:b/>
                <w:bCs/>
                <w:sz w:val="24"/>
                <w:szCs w:val="24"/>
              </w:rPr>
            </w:pPr>
            <w:r w:rsidRPr="0043547B">
              <w:rPr>
                <w:rFonts w:cstheme="minorHAnsi"/>
                <w:b/>
                <w:bCs/>
                <w:sz w:val="24"/>
                <w:szCs w:val="24"/>
              </w:rPr>
              <w:t>NM EN 13084-2</w:t>
            </w:r>
          </w:p>
        </w:tc>
      </w:tr>
      <w:tr w:rsidR="0043547B" w:rsidRPr="0043547B" w:rsidTr="00CB5DC0">
        <w:trPr>
          <w:trHeight w:val="3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tcPr>
          <w:p w:rsidR="00F346FB" w:rsidRPr="0043547B" w:rsidRDefault="00F346FB" w:rsidP="000D5721">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tcPr>
          <w:p w:rsidR="00F346FB" w:rsidRPr="0043547B" w:rsidRDefault="00F346FB" w:rsidP="000D5721">
            <w:pPr>
              <w:spacing w:after="0" w:line="240" w:lineRule="auto"/>
              <w:jc w:val="center"/>
              <w:rPr>
                <w:rFonts w:cstheme="minorHAnsi"/>
                <w:b/>
                <w:bCs/>
                <w:sz w:val="24"/>
                <w:szCs w:val="24"/>
              </w:rPr>
            </w:pPr>
            <w:r w:rsidRPr="0043547B">
              <w:rPr>
                <w:rFonts w:cstheme="minorHAnsi"/>
                <w:b/>
                <w:bCs/>
                <w:sz w:val="24"/>
                <w:szCs w:val="24"/>
              </w:rPr>
              <w:t>EN 13084-2</w:t>
            </w:r>
          </w:p>
        </w:tc>
      </w:tr>
      <w:tr w:rsidR="0043547B" w:rsidRPr="0043547B" w:rsidTr="00CB5DC0">
        <w:trPr>
          <w:trHeight w:val="383"/>
          <w:jc w:val="center"/>
        </w:trPr>
        <w:tc>
          <w:tcPr>
            <w:tcW w:w="1838" w:type="dxa"/>
            <w:tcBorders>
              <w:top w:val="single" w:sz="4" w:space="0" w:color="auto"/>
              <w:left w:val="single" w:sz="18" w:space="0" w:color="auto"/>
              <w:bottom w:val="single" w:sz="4" w:space="0" w:color="auto"/>
              <w:right w:val="single" w:sz="4" w:space="0" w:color="auto"/>
            </w:tcBorders>
            <w:shd w:val="clear" w:color="auto" w:fill="8DB3E2" w:themeFill="text2" w:themeFillTint="66"/>
            <w:vAlign w:val="center"/>
          </w:tcPr>
          <w:p w:rsidR="00F346FB" w:rsidRPr="0043547B" w:rsidRDefault="00F346FB" w:rsidP="000D5721">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auto"/>
            <w:vAlign w:val="bottom"/>
          </w:tcPr>
          <w:p w:rsidR="00F346FB" w:rsidRPr="0043547B" w:rsidRDefault="00F346FB" w:rsidP="00B0750A">
            <w:pPr>
              <w:spacing w:after="0" w:line="240" w:lineRule="auto"/>
              <w:rPr>
                <w:rFonts w:cstheme="minorHAnsi"/>
                <w:sz w:val="24"/>
                <w:szCs w:val="24"/>
              </w:rPr>
            </w:pPr>
            <w:r w:rsidRPr="0043547B">
              <w:rPr>
                <w:rFonts w:cstheme="minorHAnsi"/>
                <w:sz w:val="24"/>
                <w:szCs w:val="24"/>
              </w:rPr>
              <w:t xml:space="preserve">Cheminées autoportantes - Partie 2 : Cheminées en béton ; </w:t>
            </w:r>
            <w:r w:rsidR="00B0750A">
              <w:rPr>
                <w:rFonts w:cstheme="minorHAnsi"/>
                <w:sz w:val="24"/>
                <w:szCs w:val="24"/>
              </w:rPr>
              <w:t xml:space="preserve"> </w:t>
            </w:r>
          </w:p>
        </w:tc>
      </w:tr>
      <w:tr w:rsidR="0043547B" w:rsidRPr="0043547B" w:rsidTr="00CB5DC0">
        <w:trPr>
          <w:trHeight w:val="1583"/>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F346FB" w:rsidRPr="0043547B" w:rsidRDefault="00F346FB" w:rsidP="000D5721">
            <w:pPr>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bottom"/>
          </w:tcPr>
          <w:p w:rsidR="000D5721" w:rsidRPr="0043547B" w:rsidRDefault="00F346FB" w:rsidP="00B0750A">
            <w:pPr>
              <w:spacing w:after="0" w:line="240" w:lineRule="auto"/>
              <w:jc w:val="both"/>
              <w:rPr>
                <w:rFonts w:cstheme="minorHAnsi"/>
                <w:sz w:val="24"/>
                <w:szCs w:val="24"/>
              </w:rPr>
            </w:pPr>
            <w:r w:rsidRPr="0043547B">
              <w:rPr>
                <w:rFonts w:cstheme="minorHAnsi"/>
                <w:sz w:val="24"/>
                <w:szCs w:val="24"/>
              </w:rPr>
              <w:t>La présente Norme européenne spécifie les exigences particulières et les critères de performances relatifs à</w:t>
            </w:r>
            <w:r w:rsidR="000D5721" w:rsidRPr="0043547B">
              <w:rPr>
                <w:rFonts w:cstheme="minorHAnsi"/>
                <w:sz w:val="24"/>
                <w:szCs w:val="24"/>
              </w:rPr>
              <w:t xml:space="preserve"> </w:t>
            </w:r>
            <w:r w:rsidRPr="0043547B">
              <w:rPr>
                <w:rFonts w:cstheme="minorHAnsi"/>
                <w:sz w:val="24"/>
                <w:szCs w:val="24"/>
              </w:rPr>
              <w:t>la conception et à la construction des cheminées en béton coulé sur place et en béton préfabriqué. Elle identifie</w:t>
            </w:r>
            <w:r w:rsidR="000D5721" w:rsidRPr="0043547B">
              <w:rPr>
                <w:rFonts w:cstheme="minorHAnsi"/>
                <w:sz w:val="24"/>
                <w:szCs w:val="24"/>
              </w:rPr>
              <w:t xml:space="preserve"> </w:t>
            </w:r>
            <w:r w:rsidRPr="0043547B">
              <w:rPr>
                <w:rFonts w:cstheme="minorHAnsi"/>
                <w:sz w:val="24"/>
                <w:szCs w:val="24"/>
              </w:rPr>
              <w:t>les exigences permettant de garantir la résistance mécanique et la stabilité des cheminées en béton conformément</w:t>
            </w:r>
            <w:r w:rsidR="00B0750A">
              <w:rPr>
                <w:rFonts w:cstheme="minorHAnsi"/>
                <w:sz w:val="24"/>
                <w:szCs w:val="24"/>
              </w:rPr>
              <w:t xml:space="preserve"> </w:t>
            </w:r>
            <w:r w:rsidRPr="0043547B">
              <w:rPr>
                <w:rFonts w:cstheme="minorHAnsi"/>
                <w:sz w:val="24"/>
                <w:szCs w:val="24"/>
              </w:rPr>
              <w:t>aux exigences générales indiquées dans l’EN 13084-1.</w:t>
            </w:r>
          </w:p>
          <w:p w:rsidR="000D5721" w:rsidRPr="0043547B" w:rsidRDefault="00F346FB" w:rsidP="000D5721">
            <w:pPr>
              <w:spacing w:after="0" w:line="240" w:lineRule="auto"/>
              <w:jc w:val="both"/>
              <w:rPr>
                <w:rFonts w:cstheme="minorHAnsi"/>
                <w:sz w:val="24"/>
                <w:szCs w:val="24"/>
              </w:rPr>
            </w:pPr>
            <w:r w:rsidRPr="0043547B">
              <w:rPr>
                <w:rFonts w:cstheme="minorHAnsi"/>
                <w:sz w:val="24"/>
                <w:szCs w:val="24"/>
              </w:rPr>
              <w:t>En ce qui concerne les cheminées reliées aux bâtiments, les critères de l’Article 1 de l’EN 13084-1:2000 s’appliquent.</w:t>
            </w:r>
          </w:p>
          <w:p w:rsidR="00F346FB" w:rsidRPr="0043547B" w:rsidRDefault="00F346FB" w:rsidP="000D5721">
            <w:pPr>
              <w:spacing w:after="0" w:line="240" w:lineRule="auto"/>
              <w:jc w:val="both"/>
              <w:rPr>
                <w:rFonts w:cstheme="minorHAnsi"/>
                <w:sz w:val="24"/>
                <w:szCs w:val="24"/>
              </w:rPr>
            </w:pPr>
            <w:r w:rsidRPr="0043547B">
              <w:rPr>
                <w:rFonts w:cstheme="minorHAnsi"/>
                <w:sz w:val="24"/>
                <w:szCs w:val="24"/>
              </w:rPr>
              <w:t>Sauf indication contraire dans les articles suivants, la norme de base relative à la conception des structures en béton,</w:t>
            </w:r>
            <w:r w:rsidR="000D5721" w:rsidRPr="0043547B">
              <w:rPr>
                <w:rFonts w:cstheme="minorHAnsi"/>
                <w:sz w:val="24"/>
                <w:szCs w:val="24"/>
              </w:rPr>
              <w:t xml:space="preserve"> </w:t>
            </w:r>
            <w:r w:rsidRPr="0043547B">
              <w:rPr>
                <w:rFonts w:cstheme="minorHAnsi"/>
                <w:sz w:val="24"/>
                <w:szCs w:val="24"/>
              </w:rPr>
              <w:t>à savoir l’EN 1992-1-1, s’applique.</w:t>
            </w:r>
          </w:p>
        </w:tc>
      </w:tr>
      <w:tr w:rsidR="0043547B" w:rsidRPr="0043547B" w:rsidTr="00CB5DC0">
        <w:trPr>
          <w:trHeight w:val="35"/>
          <w:jc w:val="center"/>
        </w:trPr>
        <w:tc>
          <w:tcPr>
            <w:tcW w:w="1838" w:type="dxa"/>
            <w:tcBorders>
              <w:top w:val="nil"/>
              <w:left w:val="single" w:sz="18" w:space="0" w:color="auto"/>
              <w:bottom w:val="single" w:sz="18" w:space="0" w:color="auto"/>
              <w:right w:val="single" w:sz="4" w:space="0" w:color="auto"/>
            </w:tcBorders>
            <w:shd w:val="clear" w:color="auto" w:fill="A1C064"/>
            <w:vAlign w:val="center"/>
          </w:tcPr>
          <w:p w:rsidR="00F346FB" w:rsidRPr="0043547B" w:rsidRDefault="00F346FB" w:rsidP="000D5721">
            <w:pPr>
              <w:spacing w:after="0" w:line="240" w:lineRule="auto"/>
              <w:jc w:val="center"/>
              <w:rPr>
                <w:rFonts w:cstheme="minorHAnsi"/>
                <w:b/>
                <w:bCs/>
                <w:sz w:val="24"/>
                <w:szCs w:val="24"/>
              </w:rPr>
            </w:pPr>
            <w:r w:rsidRPr="0043547B">
              <w:rPr>
                <w:rFonts w:cstheme="minorHAnsi"/>
                <w:b/>
                <w:bCs/>
                <w:sz w:val="24"/>
                <w:szCs w:val="24"/>
              </w:rPr>
              <w:t>Code</w:t>
            </w:r>
            <w:r w:rsidR="000D5721" w:rsidRPr="0043547B">
              <w:rPr>
                <w:rFonts w:cstheme="minorHAnsi"/>
                <w:b/>
                <w:bCs/>
                <w:sz w:val="24"/>
                <w:szCs w:val="24"/>
              </w:rPr>
              <w:t xml:space="preserve"> </w:t>
            </w:r>
            <w:r w:rsidRPr="0043547B">
              <w:rPr>
                <w:rFonts w:cstheme="minorHAnsi"/>
                <w:b/>
                <w:bCs/>
                <w:sz w:val="24"/>
                <w:szCs w:val="24"/>
              </w:rPr>
              <w:t>:</w:t>
            </w:r>
          </w:p>
        </w:tc>
        <w:tc>
          <w:tcPr>
            <w:tcW w:w="7938" w:type="dxa"/>
            <w:tcBorders>
              <w:left w:val="single" w:sz="4" w:space="0" w:color="auto"/>
              <w:bottom w:val="single" w:sz="18" w:space="0" w:color="auto"/>
              <w:right w:val="single" w:sz="18" w:space="0" w:color="auto"/>
            </w:tcBorders>
            <w:shd w:val="clear" w:color="auto" w:fill="A1C064"/>
            <w:vAlign w:val="bottom"/>
          </w:tcPr>
          <w:p w:rsidR="00F346FB" w:rsidRPr="0043547B" w:rsidRDefault="00F346FB" w:rsidP="000D5721">
            <w:pPr>
              <w:spacing w:after="0" w:line="240" w:lineRule="auto"/>
              <w:jc w:val="center"/>
              <w:rPr>
                <w:rFonts w:cstheme="minorHAnsi"/>
                <w:b/>
                <w:bCs/>
                <w:sz w:val="24"/>
                <w:szCs w:val="24"/>
              </w:rPr>
            </w:pPr>
            <w:r w:rsidRPr="0043547B">
              <w:rPr>
                <w:rFonts w:cstheme="minorHAnsi"/>
                <w:b/>
                <w:bCs/>
                <w:sz w:val="24"/>
                <w:szCs w:val="24"/>
              </w:rPr>
              <w:t>NM EN 13084-6</w:t>
            </w:r>
          </w:p>
        </w:tc>
      </w:tr>
      <w:tr w:rsidR="0043547B" w:rsidRPr="0043547B" w:rsidTr="00CB5DC0">
        <w:trPr>
          <w:trHeight w:val="3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tcPr>
          <w:p w:rsidR="00F346FB" w:rsidRPr="0043547B" w:rsidRDefault="00F346FB" w:rsidP="000D5721">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tcPr>
          <w:p w:rsidR="00F346FB" w:rsidRPr="0043547B" w:rsidRDefault="00F346FB" w:rsidP="000D5721">
            <w:pPr>
              <w:spacing w:after="0" w:line="240" w:lineRule="auto"/>
              <w:jc w:val="center"/>
              <w:rPr>
                <w:rFonts w:cstheme="minorHAnsi"/>
                <w:b/>
                <w:bCs/>
                <w:sz w:val="24"/>
                <w:szCs w:val="24"/>
              </w:rPr>
            </w:pPr>
            <w:r w:rsidRPr="0043547B">
              <w:rPr>
                <w:rFonts w:cstheme="minorHAnsi"/>
                <w:b/>
                <w:bCs/>
                <w:sz w:val="24"/>
                <w:szCs w:val="24"/>
              </w:rPr>
              <w:t>EN 13084-6</w:t>
            </w:r>
          </w:p>
        </w:tc>
      </w:tr>
      <w:tr w:rsidR="0043547B" w:rsidRPr="0043547B" w:rsidTr="00CB5DC0">
        <w:trPr>
          <w:trHeight w:val="383"/>
          <w:jc w:val="center"/>
        </w:trPr>
        <w:tc>
          <w:tcPr>
            <w:tcW w:w="1838" w:type="dxa"/>
            <w:tcBorders>
              <w:top w:val="single" w:sz="4" w:space="0" w:color="auto"/>
              <w:left w:val="single" w:sz="18" w:space="0" w:color="auto"/>
              <w:bottom w:val="single" w:sz="4" w:space="0" w:color="auto"/>
              <w:right w:val="single" w:sz="4" w:space="0" w:color="auto"/>
            </w:tcBorders>
            <w:shd w:val="clear" w:color="auto" w:fill="95B3D7" w:themeFill="accent1" w:themeFillTint="99"/>
            <w:vAlign w:val="center"/>
          </w:tcPr>
          <w:p w:rsidR="00F346FB" w:rsidRPr="0043547B" w:rsidRDefault="00F346FB" w:rsidP="000D5721">
            <w:pPr>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auto"/>
            <w:vAlign w:val="bottom"/>
          </w:tcPr>
          <w:p w:rsidR="00F346FB" w:rsidRPr="0043547B" w:rsidRDefault="00F346FB" w:rsidP="00B0750A">
            <w:pPr>
              <w:spacing w:after="0" w:line="240" w:lineRule="auto"/>
              <w:rPr>
                <w:rFonts w:cstheme="minorHAnsi"/>
                <w:sz w:val="24"/>
                <w:szCs w:val="24"/>
              </w:rPr>
            </w:pPr>
            <w:r w:rsidRPr="0043547B">
              <w:rPr>
                <w:rFonts w:cstheme="minorHAnsi"/>
                <w:sz w:val="24"/>
                <w:szCs w:val="24"/>
              </w:rPr>
              <w:t xml:space="preserve">Cheminées autoportantes - Partie 6 : Parois intérieures en acier - Conception et mise en œuvre ; </w:t>
            </w:r>
            <w:r w:rsidR="00B0750A">
              <w:rPr>
                <w:rFonts w:cstheme="minorHAnsi"/>
                <w:sz w:val="24"/>
                <w:szCs w:val="24"/>
              </w:rPr>
              <w:t xml:space="preserve"> </w:t>
            </w:r>
          </w:p>
        </w:tc>
      </w:tr>
      <w:tr w:rsidR="0043547B" w:rsidRPr="0043547B" w:rsidTr="00CB5DC0">
        <w:trPr>
          <w:trHeight w:val="1583"/>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F346FB" w:rsidRPr="0043547B" w:rsidRDefault="00F346FB" w:rsidP="000D5721">
            <w:pPr>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tcPr>
          <w:p w:rsidR="00B0750A" w:rsidRDefault="00F346FB" w:rsidP="00B0750A">
            <w:pPr>
              <w:spacing w:after="0" w:line="240" w:lineRule="auto"/>
              <w:rPr>
                <w:rFonts w:cstheme="minorHAnsi"/>
                <w:sz w:val="24"/>
                <w:szCs w:val="24"/>
              </w:rPr>
            </w:pPr>
            <w:r w:rsidRPr="0043547B">
              <w:rPr>
                <w:rFonts w:cstheme="minorHAnsi"/>
                <w:sz w:val="24"/>
                <w:szCs w:val="24"/>
              </w:rPr>
              <w:t>La présente Norme européenne traite des prescriptions particulières et des critères de performances applicables</w:t>
            </w:r>
            <w:r w:rsidR="000D5721" w:rsidRPr="0043547B">
              <w:rPr>
                <w:rFonts w:cstheme="minorHAnsi"/>
                <w:sz w:val="24"/>
                <w:szCs w:val="24"/>
              </w:rPr>
              <w:t xml:space="preserve"> </w:t>
            </w:r>
            <w:r w:rsidRPr="0043547B">
              <w:rPr>
                <w:rFonts w:cstheme="minorHAnsi"/>
                <w:sz w:val="24"/>
                <w:szCs w:val="24"/>
              </w:rPr>
              <w:t>à la conception des parois intérieures en acier pour cheminées autoportantes. Elle définit les prescriptions relatives</w:t>
            </w:r>
            <w:r w:rsidR="000D5721" w:rsidRPr="0043547B">
              <w:rPr>
                <w:rFonts w:cstheme="minorHAnsi"/>
                <w:sz w:val="24"/>
                <w:szCs w:val="24"/>
              </w:rPr>
              <w:t xml:space="preserve"> </w:t>
            </w:r>
            <w:r w:rsidRPr="0043547B">
              <w:rPr>
                <w:rFonts w:cstheme="minorHAnsi"/>
                <w:sz w:val="24"/>
                <w:szCs w:val="24"/>
              </w:rPr>
              <w:t>aux parois cylindriques intérieures en acier données dans l’EN 13084-1.</w:t>
            </w:r>
            <w:r w:rsidR="00B0750A">
              <w:rPr>
                <w:rFonts w:cstheme="minorHAnsi"/>
                <w:sz w:val="24"/>
                <w:szCs w:val="24"/>
              </w:rPr>
              <w:t xml:space="preserve"> </w:t>
            </w:r>
          </w:p>
          <w:p w:rsidR="000D5721" w:rsidRPr="0043547B" w:rsidRDefault="00F346FB" w:rsidP="00B0750A">
            <w:pPr>
              <w:spacing w:after="0" w:line="240" w:lineRule="auto"/>
              <w:rPr>
                <w:rFonts w:cstheme="minorHAnsi"/>
                <w:sz w:val="24"/>
                <w:szCs w:val="24"/>
              </w:rPr>
            </w:pPr>
            <w:r w:rsidRPr="0043547B">
              <w:rPr>
                <w:rFonts w:cstheme="minorHAnsi"/>
                <w:sz w:val="24"/>
                <w:szCs w:val="24"/>
              </w:rPr>
              <w:t>Ce document couvre la conception des trois types de paroi de base situés dans la structure porteuse :</w:t>
            </w:r>
            <w:r w:rsidRPr="0043547B">
              <w:rPr>
                <w:rFonts w:cstheme="minorHAnsi"/>
                <w:sz w:val="24"/>
                <w:szCs w:val="24"/>
              </w:rPr>
              <w:br/>
              <w:t>a) paroi intérieure soutenue à la base ;</w:t>
            </w:r>
            <w:r w:rsidRPr="0043547B">
              <w:rPr>
                <w:rFonts w:cstheme="minorHAnsi"/>
                <w:sz w:val="24"/>
                <w:szCs w:val="24"/>
              </w:rPr>
              <w:br/>
              <w:t>b) paroi intérieure en tronçons ;</w:t>
            </w:r>
            <w:r w:rsidRPr="0043547B">
              <w:rPr>
                <w:rFonts w:cstheme="minorHAnsi"/>
                <w:sz w:val="24"/>
                <w:szCs w:val="24"/>
              </w:rPr>
              <w:br/>
              <w:t>c) paroi intérieure suspendue par le haut.</w:t>
            </w:r>
            <w:r w:rsidRPr="0043547B">
              <w:rPr>
                <w:rFonts w:cstheme="minorHAnsi"/>
                <w:sz w:val="24"/>
                <w:szCs w:val="24"/>
              </w:rPr>
              <w:br/>
              <w:t>De plus, ce document s’applique également aux cheminées à simple paroi dont la surface est en contact avec</w:t>
            </w:r>
            <w:r w:rsidR="000D5721" w:rsidRPr="0043547B">
              <w:rPr>
                <w:rFonts w:cstheme="minorHAnsi"/>
                <w:sz w:val="24"/>
                <w:szCs w:val="24"/>
              </w:rPr>
              <w:t xml:space="preserve"> </w:t>
            </w:r>
            <w:r w:rsidRPr="0043547B">
              <w:rPr>
                <w:rFonts w:cstheme="minorHAnsi"/>
                <w:sz w:val="24"/>
                <w:szCs w:val="24"/>
              </w:rPr>
              <w:t>les fumées.</w:t>
            </w:r>
          </w:p>
          <w:p w:rsidR="00F346FB" w:rsidRPr="0043547B" w:rsidRDefault="00F346FB" w:rsidP="00B0750A">
            <w:pPr>
              <w:spacing w:after="0" w:line="240" w:lineRule="auto"/>
              <w:rPr>
                <w:rFonts w:cstheme="minorHAnsi"/>
                <w:sz w:val="24"/>
                <w:szCs w:val="24"/>
              </w:rPr>
            </w:pPr>
            <w:r w:rsidRPr="0043547B">
              <w:rPr>
                <w:rFonts w:cstheme="minorHAnsi"/>
                <w:sz w:val="24"/>
                <w:szCs w:val="24"/>
              </w:rPr>
              <w:t>Les parois réalisées à partir de conduits métalliques préfabriqués conformément à l’EN 1856-1 et l’EN 1856-2 sont</w:t>
            </w:r>
            <w:r w:rsidR="000D5721" w:rsidRPr="0043547B">
              <w:rPr>
                <w:rFonts w:cstheme="minorHAnsi"/>
                <w:sz w:val="24"/>
                <w:szCs w:val="24"/>
              </w:rPr>
              <w:t xml:space="preserve"> </w:t>
            </w:r>
            <w:r w:rsidRPr="0043547B">
              <w:rPr>
                <w:rFonts w:cstheme="minorHAnsi"/>
                <w:sz w:val="24"/>
                <w:szCs w:val="24"/>
              </w:rPr>
              <w:t>installées comme parois intérieures soutenues à la base avec des supports et guides supplémentaires définis</w:t>
            </w:r>
            <w:r w:rsidR="000D5721" w:rsidRPr="0043547B">
              <w:rPr>
                <w:rFonts w:cstheme="minorHAnsi"/>
                <w:sz w:val="24"/>
                <w:szCs w:val="24"/>
              </w:rPr>
              <w:t xml:space="preserve"> </w:t>
            </w:r>
            <w:r w:rsidRPr="0043547B">
              <w:rPr>
                <w:rFonts w:cstheme="minorHAnsi"/>
                <w:sz w:val="24"/>
                <w:szCs w:val="24"/>
              </w:rPr>
              <w:t>dans le présent document.</w:t>
            </w:r>
          </w:p>
        </w:tc>
      </w:tr>
      <w:tr w:rsidR="0043547B" w:rsidRPr="0043547B" w:rsidTr="00CB5DC0">
        <w:trPr>
          <w:trHeight w:val="284"/>
          <w:jc w:val="center"/>
        </w:trPr>
        <w:tc>
          <w:tcPr>
            <w:tcW w:w="1838" w:type="dxa"/>
            <w:tcBorders>
              <w:top w:val="single" w:sz="18" w:space="0" w:color="auto"/>
              <w:left w:val="single" w:sz="18" w:space="0" w:color="auto"/>
              <w:bottom w:val="single" w:sz="18" w:space="0" w:color="auto"/>
              <w:right w:val="single" w:sz="4" w:space="0" w:color="auto"/>
            </w:tcBorders>
            <w:shd w:val="clear" w:color="auto" w:fill="A1C064"/>
            <w:vAlign w:val="center"/>
          </w:tcPr>
          <w:p w:rsidR="00F346FB" w:rsidRPr="0043547B" w:rsidRDefault="00F346FB" w:rsidP="000D5721">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A1C064"/>
            <w:vAlign w:val="bottom"/>
          </w:tcPr>
          <w:p w:rsidR="00F346FB" w:rsidRPr="0043547B" w:rsidRDefault="00F346FB" w:rsidP="000D5721">
            <w:pPr>
              <w:spacing w:after="0" w:line="240" w:lineRule="auto"/>
              <w:jc w:val="center"/>
              <w:rPr>
                <w:rFonts w:cstheme="minorHAnsi"/>
                <w:b/>
                <w:bCs/>
                <w:sz w:val="24"/>
                <w:szCs w:val="24"/>
              </w:rPr>
            </w:pPr>
            <w:r w:rsidRPr="0043547B">
              <w:rPr>
                <w:rFonts w:cstheme="minorHAnsi"/>
                <w:b/>
                <w:bCs/>
                <w:sz w:val="24"/>
                <w:szCs w:val="24"/>
              </w:rPr>
              <w:t>NM EN 13084-7</w:t>
            </w:r>
          </w:p>
        </w:tc>
      </w:tr>
      <w:tr w:rsidR="0043547B" w:rsidRPr="0043547B" w:rsidTr="00CB5DC0">
        <w:trPr>
          <w:trHeight w:val="3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tcPr>
          <w:p w:rsidR="00F346FB" w:rsidRPr="0043547B" w:rsidRDefault="00F346FB" w:rsidP="000D5721">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tcPr>
          <w:p w:rsidR="00F346FB" w:rsidRPr="0043547B" w:rsidRDefault="00F346FB" w:rsidP="000D5721">
            <w:pPr>
              <w:spacing w:after="0" w:line="240" w:lineRule="auto"/>
              <w:jc w:val="center"/>
              <w:rPr>
                <w:rFonts w:cstheme="minorHAnsi"/>
                <w:b/>
                <w:bCs/>
                <w:sz w:val="24"/>
                <w:szCs w:val="24"/>
              </w:rPr>
            </w:pPr>
            <w:r w:rsidRPr="0043547B">
              <w:rPr>
                <w:rFonts w:cstheme="minorHAnsi"/>
                <w:b/>
                <w:bCs/>
                <w:sz w:val="24"/>
                <w:szCs w:val="24"/>
              </w:rPr>
              <w:t>EN 13084-7</w:t>
            </w:r>
          </w:p>
        </w:tc>
      </w:tr>
      <w:tr w:rsidR="0043547B" w:rsidRPr="0043547B" w:rsidTr="00CB5DC0">
        <w:trPr>
          <w:trHeight w:val="186"/>
          <w:jc w:val="center"/>
        </w:trPr>
        <w:tc>
          <w:tcPr>
            <w:tcW w:w="1838" w:type="dxa"/>
            <w:tcBorders>
              <w:top w:val="single" w:sz="4" w:space="0" w:color="auto"/>
              <w:left w:val="single" w:sz="18" w:space="0" w:color="auto"/>
              <w:bottom w:val="single" w:sz="4" w:space="0" w:color="auto"/>
              <w:right w:val="single" w:sz="4" w:space="0" w:color="auto"/>
            </w:tcBorders>
            <w:shd w:val="clear" w:color="auto" w:fill="95B3D7" w:themeFill="accent1" w:themeFillTint="99"/>
            <w:vAlign w:val="center"/>
          </w:tcPr>
          <w:p w:rsidR="00F346FB" w:rsidRPr="0043547B" w:rsidRDefault="00F346FB" w:rsidP="000D5721">
            <w:pPr>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auto"/>
            <w:vAlign w:val="bottom"/>
          </w:tcPr>
          <w:p w:rsidR="00F346FB" w:rsidRPr="0043547B" w:rsidRDefault="00F346FB" w:rsidP="000D5721">
            <w:pPr>
              <w:spacing w:after="0" w:line="240" w:lineRule="auto"/>
              <w:jc w:val="both"/>
              <w:rPr>
                <w:rFonts w:cstheme="minorHAnsi"/>
                <w:sz w:val="24"/>
                <w:szCs w:val="24"/>
              </w:rPr>
            </w:pPr>
            <w:r w:rsidRPr="0043547B">
              <w:rPr>
                <w:rFonts w:cstheme="minorHAnsi"/>
                <w:sz w:val="24"/>
                <w:szCs w:val="24"/>
              </w:rPr>
              <w:t>Cheminées autoportantes - Partie 7 : Spécifications de produit applicables aux fabrications cylindriques en acier pour cheminées en acier à paroi simple et parois intérieures en acier. (IC 10.6.336)</w:t>
            </w:r>
          </w:p>
        </w:tc>
      </w:tr>
      <w:tr w:rsidR="0043547B" w:rsidRPr="0043547B" w:rsidTr="00CB5DC0">
        <w:trPr>
          <w:trHeight w:val="1583"/>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F346FB" w:rsidRPr="0043547B" w:rsidRDefault="00F346FB" w:rsidP="000D5721">
            <w:pPr>
              <w:jc w:val="center"/>
              <w:rPr>
                <w:rFonts w:cstheme="minorHAnsi"/>
                <w:b/>
                <w:bCs/>
                <w:sz w:val="24"/>
                <w:szCs w:val="24"/>
              </w:rPr>
            </w:pPr>
            <w:r w:rsidRPr="0043547B">
              <w:rPr>
                <w:rFonts w:cstheme="minorHAnsi"/>
                <w:b/>
                <w:bCs/>
                <w:sz w:val="24"/>
                <w:szCs w:val="24"/>
              </w:rPr>
              <w:lastRenderedPageBreak/>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bottom"/>
          </w:tcPr>
          <w:p w:rsidR="00F346FB" w:rsidRPr="0043547B" w:rsidRDefault="00F346FB" w:rsidP="000D5721">
            <w:pPr>
              <w:spacing w:after="0" w:line="240" w:lineRule="auto"/>
              <w:jc w:val="both"/>
              <w:rPr>
                <w:rFonts w:cstheme="minorHAnsi"/>
                <w:sz w:val="24"/>
                <w:szCs w:val="24"/>
              </w:rPr>
            </w:pPr>
            <w:r w:rsidRPr="0043547B">
              <w:rPr>
                <w:rFonts w:cstheme="minorHAnsi"/>
                <w:sz w:val="24"/>
                <w:szCs w:val="24"/>
              </w:rPr>
              <w:t>La présente Norme européenne traite des produits en acier pour les cheminées en acier à paroi simple et parois</w:t>
            </w:r>
            <w:r w:rsidR="000D5721" w:rsidRPr="0043547B">
              <w:rPr>
                <w:rFonts w:cstheme="minorHAnsi"/>
                <w:sz w:val="24"/>
                <w:szCs w:val="24"/>
              </w:rPr>
              <w:t xml:space="preserve"> </w:t>
            </w:r>
            <w:r w:rsidRPr="0043547B">
              <w:rPr>
                <w:rFonts w:cstheme="minorHAnsi"/>
                <w:sz w:val="24"/>
                <w:szCs w:val="24"/>
              </w:rPr>
              <w:t>intérieures en acier qui sont produites en série ou individuellement. Il s'agit d'une norme de produit qui spécifie les</w:t>
            </w:r>
            <w:r w:rsidR="000D5721" w:rsidRPr="0043547B">
              <w:rPr>
                <w:rFonts w:cstheme="minorHAnsi"/>
                <w:sz w:val="24"/>
                <w:szCs w:val="24"/>
              </w:rPr>
              <w:t xml:space="preserve"> </w:t>
            </w:r>
            <w:r w:rsidRPr="0043547B">
              <w:rPr>
                <w:rFonts w:cstheme="minorHAnsi"/>
                <w:sz w:val="24"/>
                <w:szCs w:val="24"/>
              </w:rPr>
              <w:t>performances relatives aux fabrications cylindriques en acier utilisées dans les cheminées en acier à paroi simple et</w:t>
            </w:r>
            <w:r w:rsidR="000D5721" w:rsidRPr="0043547B">
              <w:rPr>
                <w:rFonts w:cstheme="minorHAnsi"/>
                <w:sz w:val="24"/>
                <w:szCs w:val="24"/>
              </w:rPr>
              <w:t xml:space="preserve"> </w:t>
            </w:r>
            <w:r w:rsidRPr="0043547B">
              <w:rPr>
                <w:rFonts w:cstheme="minorHAnsi"/>
                <w:sz w:val="24"/>
                <w:szCs w:val="24"/>
              </w:rPr>
              <w:t>les parois intérieures en acier destinées aux cheminées autoportantes dont la fonction principale est d'acheminer les</w:t>
            </w:r>
            <w:r w:rsidR="000D5721" w:rsidRPr="0043547B">
              <w:rPr>
                <w:rFonts w:cstheme="minorHAnsi"/>
                <w:sz w:val="24"/>
                <w:szCs w:val="24"/>
              </w:rPr>
              <w:t xml:space="preserve"> </w:t>
            </w:r>
            <w:r w:rsidRPr="0043547B">
              <w:rPr>
                <w:rFonts w:cstheme="minorHAnsi"/>
                <w:sz w:val="24"/>
                <w:szCs w:val="24"/>
              </w:rPr>
              <w:t>fumées jusque dans l'atmosphère. Elle spécifie également les exigences relatives à l'isolation et au bardage équipant</w:t>
            </w:r>
            <w:r w:rsidR="000D5721" w:rsidRPr="0043547B">
              <w:rPr>
                <w:rFonts w:cstheme="minorHAnsi"/>
                <w:sz w:val="24"/>
                <w:szCs w:val="24"/>
              </w:rPr>
              <w:t xml:space="preserve"> </w:t>
            </w:r>
            <w:r w:rsidRPr="0043547B">
              <w:rPr>
                <w:rFonts w:cstheme="minorHAnsi"/>
                <w:sz w:val="24"/>
                <w:szCs w:val="24"/>
              </w:rPr>
              <w:t>la cheminée en acier à paroi simple et la paroi intérieure. Elle permet l'évaluation de la conformité des cheminées à</w:t>
            </w:r>
            <w:r w:rsidR="000D5721" w:rsidRPr="0043547B">
              <w:rPr>
                <w:rFonts w:cstheme="minorHAnsi"/>
                <w:sz w:val="24"/>
                <w:szCs w:val="24"/>
              </w:rPr>
              <w:t xml:space="preserve"> </w:t>
            </w:r>
            <w:r w:rsidRPr="0043547B">
              <w:rPr>
                <w:rFonts w:cstheme="minorHAnsi"/>
                <w:sz w:val="24"/>
                <w:szCs w:val="24"/>
              </w:rPr>
              <w:t>paroi simple et parois intérieures en acier à la présente Norme européenne.</w:t>
            </w:r>
          </w:p>
        </w:tc>
      </w:tr>
      <w:tr w:rsidR="008375D5" w:rsidRPr="0043547B" w:rsidTr="00532DB7">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8375D5" w:rsidRPr="00532DB7" w:rsidRDefault="00532DB7" w:rsidP="00532DB7">
            <w:pPr>
              <w:spacing w:after="0" w:line="240" w:lineRule="auto"/>
              <w:jc w:val="center"/>
              <w:rPr>
                <w:rFonts w:ascii="Calibri" w:hAnsi="Calibri" w:cs="Calibri"/>
                <w:b/>
                <w:bCs/>
                <w:sz w:val="24"/>
                <w:szCs w:val="24"/>
              </w:rPr>
            </w:pPr>
            <w:r>
              <w:rPr>
                <w:rFonts w:ascii="Calibri" w:hAnsi="Calibri" w:cs="Calibri"/>
                <w:b/>
                <w:bCs/>
                <w:color w:val="000000"/>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noWrap/>
            <w:vAlign w:val="center"/>
            <w:hideMark/>
          </w:tcPr>
          <w:p w:rsidR="008375D5" w:rsidRPr="00532DB7" w:rsidRDefault="008375D5" w:rsidP="00532DB7">
            <w:pPr>
              <w:spacing w:after="0" w:line="240" w:lineRule="auto"/>
              <w:jc w:val="center"/>
              <w:rPr>
                <w:rFonts w:ascii="Calibri" w:hAnsi="Calibri" w:cs="Calibri"/>
                <w:b/>
                <w:bCs/>
                <w:sz w:val="24"/>
                <w:szCs w:val="24"/>
              </w:rPr>
            </w:pPr>
            <w:r w:rsidRPr="00532DB7">
              <w:rPr>
                <w:rFonts w:ascii="Calibri" w:hAnsi="Calibri" w:cs="Calibri"/>
                <w:b/>
                <w:bCs/>
                <w:sz w:val="24"/>
                <w:szCs w:val="24"/>
              </w:rPr>
              <w:t>NM EN 14889-2</w:t>
            </w:r>
          </w:p>
        </w:tc>
      </w:tr>
      <w:tr w:rsidR="008375D5" w:rsidRPr="0043547B" w:rsidTr="00532DB7">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FFFF99"/>
            <w:vAlign w:val="center"/>
            <w:hideMark/>
          </w:tcPr>
          <w:p w:rsidR="008375D5" w:rsidRPr="00532DB7" w:rsidRDefault="00532DB7" w:rsidP="00532DB7">
            <w:pPr>
              <w:spacing w:after="0" w:line="240" w:lineRule="auto"/>
              <w:jc w:val="center"/>
              <w:rPr>
                <w:rFonts w:ascii="Calibri" w:hAnsi="Calibri" w:cs="Calibri"/>
                <w:b/>
                <w:bCs/>
                <w:sz w:val="24"/>
                <w:szCs w:val="24"/>
              </w:rPr>
            </w:pPr>
            <w:r w:rsidRPr="00532DB7">
              <w:rPr>
                <w:rFonts w:ascii="Calibri" w:hAnsi="Calibri" w:cs="Calibri"/>
                <w:b/>
                <w:bCs/>
                <w:sz w:val="24"/>
                <w:szCs w:val="24"/>
              </w:rPr>
              <w:t>Equivalence :</w:t>
            </w:r>
          </w:p>
        </w:tc>
        <w:tc>
          <w:tcPr>
            <w:tcW w:w="7938" w:type="dxa"/>
            <w:tcBorders>
              <w:top w:val="single" w:sz="18" w:space="0" w:color="auto"/>
              <w:left w:val="single" w:sz="4" w:space="0" w:color="auto"/>
              <w:bottom w:val="single" w:sz="18" w:space="0" w:color="auto"/>
              <w:right w:val="single" w:sz="18" w:space="0" w:color="auto"/>
            </w:tcBorders>
            <w:shd w:val="clear" w:color="auto" w:fill="FFFF99"/>
            <w:vAlign w:val="center"/>
            <w:hideMark/>
          </w:tcPr>
          <w:p w:rsidR="008375D5" w:rsidRPr="00532DB7" w:rsidRDefault="008375D5" w:rsidP="00532DB7">
            <w:pPr>
              <w:spacing w:after="0" w:line="240" w:lineRule="auto"/>
              <w:jc w:val="center"/>
              <w:rPr>
                <w:rFonts w:ascii="Calibri" w:hAnsi="Calibri" w:cs="Calibri"/>
                <w:b/>
                <w:bCs/>
                <w:sz w:val="24"/>
                <w:szCs w:val="24"/>
              </w:rPr>
            </w:pPr>
            <w:r w:rsidRPr="00532DB7">
              <w:rPr>
                <w:rFonts w:ascii="Calibri" w:hAnsi="Calibri" w:cs="Calibri"/>
                <w:b/>
                <w:bCs/>
                <w:sz w:val="24"/>
                <w:szCs w:val="24"/>
              </w:rPr>
              <w:t>EN 14889-2</w:t>
            </w:r>
          </w:p>
        </w:tc>
      </w:tr>
      <w:tr w:rsidR="008375D5" w:rsidRPr="0043547B" w:rsidTr="00532DB7">
        <w:trPr>
          <w:trHeight w:val="330"/>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8375D5" w:rsidRPr="00532DB7" w:rsidRDefault="00532DB7" w:rsidP="00532DB7">
            <w:pPr>
              <w:spacing w:after="0" w:line="240" w:lineRule="auto"/>
              <w:jc w:val="center"/>
              <w:rPr>
                <w:rFonts w:ascii="Calibri" w:hAnsi="Calibri" w:cs="Calibri"/>
                <w:b/>
                <w:bCs/>
                <w:sz w:val="24"/>
                <w:szCs w:val="24"/>
              </w:rPr>
            </w:pPr>
            <w:r w:rsidRPr="00532DB7">
              <w:rPr>
                <w:rFonts w:ascii="Calibri" w:hAnsi="Calibri" w:cs="Calibri"/>
                <w:b/>
                <w:bCs/>
                <w:sz w:val="24"/>
                <w:szCs w:val="24"/>
              </w:rPr>
              <w:t>Intitulé :</w:t>
            </w:r>
          </w:p>
        </w:tc>
        <w:tc>
          <w:tcPr>
            <w:tcW w:w="7938" w:type="dxa"/>
            <w:tcBorders>
              <w:top w:val="single" w:sz="18" w:space="0" w:color="auto"/>
              <w:left w:val="single" w:sz="4" w:space="0" w:color="auto"/>
              <w:right w:val="single" w:sz="18" w:space="0" w:color="auto"/>
            </w:tcBorders>
            <w:shd w:val="clear" w:color="auto" w:fill="auto"/>
            <w:vAlign w:val="center"/>
            <w:hideMark/>
          </w:tcPr>
          <w:p w:rsidR="008375D5" w:rsidRPr="00532DB7" w:rsidRDefault="008375D5" w:rsidP="00532DB7">
            <w:pPr>
              <w:spacing w:after="0" w:line="240" w:lineRule="auto"/>
              <w:rPr>
                <w:rFonts w:ascii="Calibri" w:hAnsi="Calibri" w:cs="Calibri"/>
                <w:sz w:val="24"/>
                <w:szCs w:val="24"/>
              </w:rPr>
            </w:pPr>
            <w:r w:rsidRPr="00532DB7">
              <w:rPr>
                <w:rFonts w:ascii="Calibri" w:hAnsi="Calibri" w:cs="Calibri"/>
                <w:sz w:val="24"/>
                <w:szCs w:val="24"/>
              </w:rPr>
              <w:t>Fibres pour béton - Partie 2 : Fibres de polymère - Définition, spécifications et conformité</w:t>
            </w:r>
          </w:p>
        </w:tc>
      </w:tr>
      <w:tr w:rsidR="008375D5" w:rsidRPr="0043547B" w:rsidTr="00532DB7">
        <w:trPr>
          <w:trHeight w:val="561"/>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8375D5" w:rsidRPr="00532DB7" w:rsidRDefault="00532DB7" w:rsidP="00532DB7">
            <w:pPr>
              <w:spacing w:after="0" w:line="240" w:lineRule="auto"/>
              <w:jc w:val="center"/>
              <w:rPr>
                <w:rFonts w:ascii="Calibri" w:hAnsi="Calibri" w:cs="Calibri"/>
                <w:b/>
                <w:bCs/>
                <w:sz w:val="24"/>
                <w:szCs w:val="24"/>
              </w:rPr>
            </w:pPr>
            <w:r w:rsidRPr="00532DB7">
              <w:rPr>
                <w:rFonts w:ascii="Calibri" w:hAnsi="Calibri" w:cs="Calibr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center"/>
            <w:hideMark/>
          </w:tcPr>
          <w:p w:rsidR="00532DB7" w:rsidRDefault="008375D5" w:rsidP="00532DB7">
            <w:pPr>
              <w:spacing w:after="0" w:line="240" w:lineRule="auto"/>
              <w:jc w:val="both"/>
              <w:rPr>
                <w:rFonts w:ascii="Calibri" w:hAnsi="Calibri" w:cs="Calibri"/>
                <w:sz w:val="24"/>
                <w:szCs w:val="24"/>
              </w:rPr>
            </w:pPr>
            <w:r w:rsidRPr="00532DB7">
              <w:rPr>
                <w:rFonts w:ascii="Calibri" w:hAnsi="Calibri" w:cs="Calibri"/>
                <w:sz w:val="24"/>
                <w:szCs w:val="24"/>
              </w:rPr>
              <w:t>La présente Partie 2 de l’EN 14889 spécifie les prescriptions relatives aux fibres de polymère pour une utilisation</w:t>
            </w:r>
            <w:r w:rsidR="00532DB7">
              <w:rPr>
                <w:rFonts w:ascii="Calibri" w:hAnsi="Calibri" w:cs="Calibri"/>
                <w:sz w:val="24"/>
                <w:szCs w:val="24"/>
              </w:rPr>
              <w:t xml:space="preserve"> </w:t>
            </w:r>
            <w:r w:rsidRPr="00532DB7">
              <w:rPr>
                <w:rFonts w:ascii="Calibri" w:hAnsi="Calibri" w:cs="Calibri"/>
                <w:sz w:val="24"/>
                <w:szCs w:val="24"/>
              </w:rPr>
              <w:t>structurelle ou non structurelle dans le béton, le mortier ou le coulis.</w:t>
            </w:r>
          </w:p>
          <w:p w:rsidR="008375D5" w:rsidRPr="00532DB7" w:rsidRDefault="008375D5" w:rsidP="00532DB7">
            <w:pPr>
              <w:spacing w:after="0" w:line="240" w:lineRule="auto"/>
              <w:jc w:val="both"/>
              <w:rPr>
                <w:rFonts w:ascii="Calibri" w:hAnsi="Calibri" w:cs="Calibri"/>
                <w:i/>
                <w:iCs/>
                <w:sz w:val="24"/>
                <w:szCs w:val="24"/>
              </w:rPr>
            </w:pPr>
            <w:r w:rsidRPr="00532DB7">
              <w:rPr>
                <w:rFonts w:ascii="Calibri" w:hAnsi="Calibri" w:cs="Calibri"/>
                <w:b/>
                <w:bCs/>
                <w:i/>
                <w:iCs/>
              </w:rPr>
              <w:t>NOTE</w:t>
            </w:r>
            <w:r w:rsidR="00532DB7">
              <w:rPr>
                <w:rFonts w:ascii="Calibri" w:hAnsi="Calibri" w:cs="Calibri"/>
                <w:i/>
                <w:iCs/>
              </w:rPr>
              <w:t xml:space="preserve"> </w:t>
            </w:r>
            <w:r w:rsidRPr="00532DB7">
              <w:rPr>
                <w:rFonts w:ascii="Calibri" w:hAnsi="Calibri" w:cs="Calibri"/>
                <w:i/>
                <w:iCs/>
              </w:rPr>
              <w:t xml:space="preserve"> L’utilisation des fibres est structurelle si l’ajout de fibres est conçu pour contribuer à la capacité portante d’un élément</w:t>
            </w:r>
            <w:r w:rsidR="00532DB7" w:rsidRPr="00532DB7">
              <w:rPr>
                <w:rFonts w:ascii="Calibri" w:hAnsi="Calibri" w:cs="Calibri"/>
                <w:i/>
                <w:iCs/>
              </w:rPr>
              <w:t xml:space="preserve"> </w:t>
            </w:r>
            <w:r w:rsidRPr="00532DB7">
              <w:rPr>
                <w:rFonts w:ascii="Calibri" w:hAnsi="Calibri" w:cs="Calibri"/>
                <w:i/>
                <w:iCs/>
              </w:rPr>
              <w:t>en béton. La présente norme traite des fibres destinées à être utilisées dans tous les types de béton et de mortier, y compris</w:t>
            </w:r>
            <w:r w:rsidR="00532DB7" w:rsidRPr="00532DB7">
              <w:rPr>
                <w:rFonts w:ascii="Calibri" w:hAnsi="Calibri" w:cs="Calibri"/>
                <w:i/>
                <w:iCs/>
              </w:rPr>
              <w:t xml:space="preserve"> </w:t>
            </w:r>
            <w:r w:rsidRPr="00532DB7">
              <w:rPr>
                <w:rFonts w:ascii="Calibri" w:hAnsi="Calibri" w:cs="Calibri"/>
                <w:i/>
                <w:iCs/>
              </w:rPr>
              <w:t>le béton projeté, le béton pour dallage, le béton pour préfabrication, le béton coulé en place et le béton de réparation.</w:t>
            </w:r>
          </w:p>
        </w:tc>
      </w:tr>
      <w:tr w:rsidR="008375D5" w:rsidRPr="0043547B" w:rsidTr="00532DB7">
        <w:trPr>
          <w:trHeight w:val="414"/>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8375D5" w:rsidRPr="00532DB7" w:rsidRDefault="008375D5" w:rsidP="00532DB7">
            <w:pPr>
              <w:spacing w:after="0" w:line="240" w:lineRule="auto"/>
              <w:jc w:val="center"/>
              <w:rPr>
                <w:rFonts w:ascii="Calibri" w:hAnsi="Calibri" w:cs="Calibri"/>
                <w:b/>
                <w:bCs/>
                <w:color w:val="000000"/>
                <w:sz w:val="24"/>
                <w:szCs w:val="24"/>
              </w:rPr>
            </w:pPr>
            <w:r w:rsidRPr="00532DB7">
              <w:rPr>
                <w:rFonts w:ascii="Calibri" w:hAnsi="Calibri" w:cs="Calibri"/>
                <w:b/>
                <w:bCs/>
                <w:color w:val="000000"/>
                <w:sz w:val="24"/>
                <w:szCs w:val="24"/>
              </w:rPr>
              <w:t>Code :</w:t>
            </w:r>
          </w:p>
        </w:tc>
        <w:tc>
          <w:tcPr>
            <w:tcW w:w="7938" w:type="dxa"/>
            <w:tcBorders>
              <w:left w:val="single" w:sz="4" w:space="0" w:color="auto"/>
              <w:bottom w:val="single" w:sz="18" w:space="0" w:color="auto"/>
              <w:right w:val="single" w:sz="18" w:space="0" w:color="auto"/>
            </w:tcBorders>
            <w:shd w:val="clear" w:color="auto" w:fill="C2D69B" w:themeFill="accent3" w:themeFillTint="99"/>
            <w:vAlign w:val="center"/>
          </w:tcPr>
          <w:p w:rsidR="008375D5" w:rsidRPr="00532DB7" w:rsidRDefault="008375D5" w:rsidP="00532DB7">
            <w:pPr>
              <w:spacing w:after="0" w:line="240" w:lineRule="auto"/>
              <w:jc w:val="center"/>
              <w:rPr>
                <w:rFonts w:ascii="Calibri" w:hAnsi="Calibri" w:cs="Calibri"/>
                <w:b/>
                <w:bCs/>
                <w:color w:val="000000"/>
                <w:sz w:val="24"/>
                <w:szCs w:val="24"/>
              </w:rPr>
            </w:pPr>
            <w:r w:rsidRPr="00532DB7">
              <w:rPr>
                <w:rFonts w:ascii="Calibri" w:hAnsi="Calibri" w:cs="Calibri"/>
                <w:b/>
                <w:bCs/>
                <w:color w:val="000000"/>
                <w:sz w:val="24"/>
                <w:szCs w:val="24"/>
              </w:rPr>
              <w:t>NM EN 934-1</w:t>
            </w:r>
          </w:p>
        </w:tc>
      </w:tr>
      <w:tr w:rsidR="008375D5" w:rsidRPr="0043547B" w:rsidTr="00532DB7">
        <w:trPr>
          <w:trHeight w:val="378"/>
          <w:jc w:val="center"/>
        </w:trPr>
        <w:tc>
          <w:tcPr>
            <w:tcW w:w="1838" w:type="dxa"/>
            <w:tcBorders>
              <w:top w:val="nil"/>
              <w:left w:val="single" w:sz="18" w:space="0" w:color="auto"/>
              <w:bottom w:val="single" w:sz="18" w:space="0" w:color="auto"/>
              <w:right w:val="single" w:sz="4" w:space="0" w:color="auto"/>
            </w:tcBorders>
            <w:shd w:val="clear" w:color="auto" w:fill="FFFFCC"/>
            <w:vAlign w:val="center"/>
          </w:tcPr>
          <w:p w:rsidR="008375D5" w:rsidRPr="00532DB7" w:rsidRDefault="008375D5" w:rsidP="00532DB7">
            <w:pPr>
              <w:spacing w:after="0" w:line="240" w:lineRule="auto"/>
              <w:jc w:val="center"/>
              <w:rPr>
                <w:rFonts w:ascii="Calibri" w:hAnsi="Calibri" w:cs="Calibri"/>
                <w:b/>
                <w:bCs/>
                <w:color w:val="000000"/>
                <w:sz w:val="24"/>
                <w:szCs w:val="24"/>
              </w:rPr>
            </w:pPr>
            <w:r w:rsidRPr="00532DB7">
              <w:rPr>
                <w:rFonts w:ascii="Calibri" w:hAnsi="Calibri" w:cs="Calibri"/>
                <w:b/>
                <w:bCs/>
                <w:color w:val="000000"/>
                <w:sz w:val="24"/>
                <w:szCs w:val="24"/>
              </w:rPr>
              <w:t>Equivalence :</w:t>
            </w:r>
          </w:p>
        </w:tc>
        <w:tc>
          <w:tcPr>
            <w:tcW w:w="7938" w:type="dxa"/>
            <w:tcBorders>
              <w:left w:val="single" w:sz="4" w:space="0" w:color="auto"/>
              <w:bottom w:val="single" w:sz="18" w:space="0" w:color="auto"/>
              <w:right w:val="single" w:sz="18" w:space="0" w:color="auto"/>
            </w:tcBorders>
            <w:shd w:val="clear" w:color="auto" w:fill="FFFFCC"/>
            <w:vAlign w:val="center"/>
          </w:tcPr>
          <w:p w:rsidR="008375D5" w:rsidRPr="00532DB7" w:rsidRDefault="008375D5" w:rsidP="00532DB7">
            <w:pPr>
              <w:spacing w:after="0" w:line="240" w:lineRule="auto"/>
              <w:jc w:val="center"/>
              <w:rPr>
                <w:rFonts w:ascii="Calibri" w:hAnsi="Calibri" w:cs="Calibri"/>
                <w:b/>
                <w:bCs/>
                <w:color w:val="000000"/>
                <w:sz w:val="24"/>
                <w:szCs w:val="24"/>
              </w:rPr>
            </w:pPr>
            <w:r w:rsidRPr="00532DB7">
              <w:rPr>
                <w:rFonts w:ascii="Calibri" w:hAnsi="Calibri" w:cs="Calibri"/>
                <w:b/>
                <w:bCs/>
                <w:color w:val="000000"/>
                <w:sz w:val="24"/>
                <w:szCs w:val="24"/>
              </w:rPr>
              <w:t>EN 934-1</w:t>
            </w:r>
          </w:p>
        </w:tc>
      </w:tr>
      <w:tr w:rsidR="008375D5" w:rsidRPr="0043547B" w:rsidTr="00532DB7">
        <w:trPr>
          <w:trHeight w:val="561"/>
          <w:jc w:val="center"/>
        </w:trPr>
        <w:tc>
          <w:tcPr>
            <w:tcW w:w="1838" w:type="dxa"/>
            <w:tcBorders>
              <w:top w:val="single" w:sz="18" w:space="0" w:color="auto"/>
              <w:left w:val="single" w:sz="18" w:space="0" w:color="auto"/>
              <w:bottom w:val="single" w:sz="4" w:space="0" w:color="auto"/>
              <w:right w:val="single" w:sz="4" w:space="0" w:color="auto"/>
            </w:tcBorders>
            <w:shd w:val="clear" w:color="auto" w:fill="95B3D7" w:themeFill="accent1" w:themeFillTint="99"/>
            <w:vAlign w:val="center"/>
          </w:tcPr>
          <w:p w:rsidR="008375D5" w:rsidRPr="00532DB7" w:rsidRDefault="008375D5" w:rsidP="00532DB7">
            <w:pPr>
              <w:spacing w:after="0" w:line="240" w:lineRule="auto"/>
              <w:jc w:val="center"/>
              <w:rPr>
                <w:rFonts w:ascii="Calibri" w:hAnsi="Calibri" w:cs="Calibri"/>
                <w:b/>
                <w:bCs/>
                <w:color w:val="000000"/>
                <w:sz w:val="24"/>
                <w:szCs w:val="24"/>
              </w:rPr>
            </w:pPr>
            <w:r w:rsidRPr="00532DB7">
              <w:rPr>
                <w:rFonts w:ascii="Calibri" w:hAnsi="Calibri" w:cs="Calibri"/>
                <w:b/>
                <w:bCs/>
                <w:color w:val="000000"/>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tcPr>
          <w:p w:rsidR="008375D5" w:rsidRPr="00532DB7" w:rsidRDefault="008375D5" w:rsidP="00532DB7">
            <w:pPr>
              <w:spacing w:after="0" w:line="240" w:lineRule="auto"/>
              <w:rPr>
                <w:rFonts w:ascii="Calibri" w:hAnsi="Calibri" w:cs="Calibri"/>
                <w:color w:val="000000"/>
                <w:sz w:val="24"/>
                <w:szCs w:val="24"/>
              </w:rPr>
            </w:pPr>
            <w:r w:rsidRPr="00532DB7">
              <w:rPr>
                <w:rFonts w:ascii="Calibri" w:hAnsi="Calibri" w:cs="Calibri"/>
                <w:color w:val="000000"/>
                <w:sz w:val="24"/>
                <w:szCs w:val="24"/>
              </w:rPr>
              <w:t xml:space="preserve">Adjuvants pour béton , mortier et coulis - Partie 1 : Exigences communes  </w:t>
            </w:r>
          </w:p>
        </w:tc>
      </w:tr>
      <w:tr w:rsidR="008375D5" w:rsidRPr="0043547B" w:rsidTr="00532DB7">
        <w:trPr>
          <w:trHeight w:val="561"/>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8375D5" w:rsidRPr="00532DB7" w:rsidRDefault="008375D5" w:rsidP="00532DB7">
            <w:pPr>
              <w:spacing w:after="0" w:line="240" w:lineRule="auto"/>
              <w:jc w:val="center"/>
              <w:rPr>
                <w:rFonts w:ascii="Calibri" w:hAnsi="Calibri" w:cs="Calibri"/>
                <w:b/>
                <w:bCs/>
                <w:sz w:val="24"/>
                <w:szCs w:val="24"/>
              </w:rPr>
            </w:pPr>
            <w:r w:rsidRPr="00532DB7">
              <w:rPr>
                <w:rFonts w:ascii="Calibri" w:hAnsi="Calibri" w:cs="Calibr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tcPr>
          <w:p w:rsidR="008375D5" w:rsidRPr="00532DB7" w:rsidRDefault="008375D5" w:rsidP="00BB13DE">
            <w:pPr>
              <w:spacing w:after="0" w:line="240" w:lineRule="auto"/>
              <w:jc w:val="both"/>
              <w:rPr>
                <w:rFonts w:ascii="Calibri" w:hAnsi="Calibri" w:cs="Calibri"/>
                <w:color w:val="000000"/>
                <w:sz w:val="24"/>
                <w:szCs w:val="24"/>
              </w:rPr>
            </w:pPr>
            <w:r w:rsidRPr="00532DB7">
              <w:rPr>
                <w:rFonts w:ascii="Calibri" w:hAnsi="Calibri" w:cs="Calibri"/>
                <w:color w:val="000000"/>
                <w:sz w:val="24"/>
                <w:szCs w:val="24"/>
              </w:rPr>
              <w:t>La présente Norme européenne spécifie les exigences qui sont communes à tous les adjuvants couverts par</w:t>
            </w:r>
            <w:r w:rsidR="00532DB7">
              <w:rPr>
                <w:rFonts w:ascii="Calibri" w:hAnsi="Calibri" w:cs="Calibri"/>
                <w:color w:val="000000"/>
                <w:sz w:val="24"/>
                <w:szCs w:val="24"/>
              </w:rPr>
              <w:t xml:space="preserve"> </w:t>
            </w:r>
            <w:r w:rsidRPr="00532DB7">
              <w:rPr>
                <w:rFonts w:ascii="Calibri" w:hAnsi="Calibri" w:cs="Calibri"/>
                <w:color w:val="000000"/>
                <w:sz w:val="24"/>
                <w:szCs w:val="24"/>
              </w:rPr>
              <w:t>l’EN 934-2, l’EN 934-3, l’EN 934-4 et l’EN 934-5 et qui incluent les exigences spécifiques applicables à chaque</w:t>
            </w:r>
            <w:r w:rsidR="00BB13DE">
              <w:rPr>
                <w:rFonts w:ascii="Calibri" w:hAnsi="Calibri" w:cs="Calibri"/>
                <w:color w:val="000000"/>
                <w:sz w:val="24"/>
                <w:szCs w:val="24"/>
              </w:rPr>
              <w:t xml:space="preserve"> </w:t>
            </w:r>
            <w:r w:rsidRPr="00532DB7">
              <w:rPr>
                <w:rFonts w:ascii="Calibri" w:hAnsi="Calibri" w:cs="Calibri"/>
                <w:color w:val="000000"/>
                <w:sz w:val="24"/>
                <w:szCs w:val="24"/>
              </w:rPr>
              <w:t>type d’adjuvant.</w:t>
            </w:r>
            <w:r w:rsidRPr="00532DB7">
              <w:rPr>
                <w:rFonts w:ascii="Calibri" w:hAnsi="Calibri" w:cs="Calibri"/>
                <w:color w:val="000000"/>
                <w:sz w:val="24"/>
                <w:szCs w:val="24"/>
              </w:rPr>
              <w:br/>
              <w:t>Les exigences en matière de comportement à la corrosion ne s’appliquent pas aux adjuvants à base de chlorure.</w:t>
            </w:r>
          </w:p>
        </w:tc>
      </w:tr>
      <w:tr w:rsidR="008375D5" w:rsidRPr="0043547B" w:rsidTr="00532DB7">
        <w:trPr>
          <w:trHeight w:val="365"/>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8375D5" w:rsidRPr="00532DB7" w:rsidRDefault="008375D5" w:rsidP="00532DB7">
            <w:pPr>
              <w:spacing w:after="0" w:line="240" w:lineRule="auto"/>
              <w:jc w:val="center"/>
              <w:rPr>
                <w:rFonts w:ascii="Calibri" w:hAnsi="Calibri" w:cs="Calibri"/>
                <w:b/>
                <w:bCs/>
                <w:color w:val="000000"/>
                <w:sz w:val="24"/>
                <w:szCs w:val="24"/>
              </w:rPr>
            </w:pPr>
            <w:r w:rsidRPr="00532DB7">
              <w:rPr>
                <w:rFonts w:ascii="Calibri" w:hAnsi="Calibri" w:cs="Calibri"/>
                <w:b/>
                <w:bCs/>
                <w:color w:val="000000"/>
                <w:sz w:val="24"/>
                <w:szCs w:val="24"/>
              </w:rPr>
              <w:t>Code :</w:t>
            </w:r>
          </w:p>
        </w:tc>
        <w:tc>
          <w:tcPr>
            <w:tcW w:w="7938" w:type="dxa"/>
            <w:tcBorders>
              <w:left w:val="single" w:sz="4" w:space="0" w:color="auto"/>
              <w:bottom w:val="single" w:sz="18" w:space="0" w:color="auto"/>
              <w:right w:val="single" w:sz="18" w:space="0" w:color="auto"/>
            </w:tcBorders>
            <w:shd w:val="clear" w:color="auto" w:fill="C2D69B" w:themeFill="accent3" w:themeFillTint="99"/>
            <w:vAlign w:val="center"/>
          </w:tcPr>
          <w:p w:rsidR="008375D5" w:rsidRPr="00BB13DE" w:rsidRDefault="008375D5" w:rsidP="00532DB7">
            <w:pPr>
              <w:spacing w:after="0" w:line="240" w:lineRule="auto"/>
              <w:jc w:val="center"/>
              <w:rPr>
                <w:rFonts w:ascii="Calibri" w:hAnsi="Calibri" w:cs="Calibri"/>
                <w:b/>
                <w:bCs/>
                <w:color w:val="000000"/>
                <w:sz w:val="24"/>
                <w:szCs w:val="24"/>
              </w:rPr>
            </w:pPr>
            <w:r w:rsidRPr="00BB13DE">
              <w:rPr>
                <w:rFonts w:ascii="Calibri" w:hAnsi="Calibri" w:cs="Calibri"/>
                <w:b/>
                <w:bCs/>
                <w:color w:val="000000"/>
                <w:sz w:val="24"/>
                <w:szCs w:val="24"/>
              </w:rPr>
              <w:t>NM EN 934-2</w:t>
            </w:r>
          </w:p>
        </w:tc>
      </w:tr>
      <w:tr w:rsidR="008375D5" w:rsidRPr="0043547B" w:rsidTr="00532DB7">
        <w:trPr>
          <w:trHeight w:val="386"/>
          <w:jc w:val="center"/>
        </w:trPr>
        <w:tc>
          <w:tcPr>
            <w:tcW w:w="1838" w:type="dxa"/>
            <w:tcBorders>
              <w:top w:val="nil"/>
              <w:left w:val="single" w:sz="18" w:space="0" w:color="auto"/>
              <w:bottom w:val="single" w:sz="18" w:space="0" w:color="auto"/>
              <w:right w:val="single" w:sz="4" w:space="0" w:color="auto"/>
            </w:tcBorders>
            <w:shd w:val="clear" w:color="auto" w:fill="FFFFCC"/>
            <w:vAlign w:val="center"/>
          </w:tcPr>
          <w:p w:rsidR="008375D5" w:rsidRPr="00532DB7" w:rsidRDefault="008375D5" w:rsidP="00532DB7">
            <w:pPr>
              <w:spacing w:after="0" w:line="240" w:lineRule="auto"/>
              <w:jc w:val="center"/>
              <w:rPr>
                <w:rFonts w:ascii="Calibri" w:hAnsi="Calibri" w:cs="Calibri"/>
                <w:b/>
                <w:bCs/>
                <w:color w:val="000000"/>
                <w:sz w:val="24"/>
                <w:szCs w:val="24"/>
              </w:rPr>
            </w:pPr>
            <w:r w:rsidRPr="00532DB7">
              <w:rPr>
                <w:rFonts w:ascii="Calibri" w:hAnsi="Calibri" w:cs="Calibri"/>
                <w:b/>
                <w:bCs/>
                <w:color w:val="000000"/>
                <w:sz w:val="24"/>
                <w:szCs w:val="24"/>
              </w:rPr>
              <w:t>Equivalence :</w:t>
            </w:r>
          </w:p>
        </w:tc>
        <w:tc>
          <w:tcPr>
            <w:tcW w:w="7938" w:type="dxa"/>
            <w:tcBorders>
              <w:left w:val="single" w:sz="4" w:space="0" w:color="auto"/>
              <w:bottom w:val="single" w:sz="18" w:space="0" w:color="auto"/>
              <w:right w:val="single" w:sz="18" w:space="0" w:color="auto"/>
            </w:tcBorders>
            <w:shd w:val="clear" w:color="auto" w:fill="FFFFCC"/>
            <w:vAlign w:val="center"/>
          </w:tcPr>
          <w:p w:rsidR="008375D5" w:rsidRPr="00BB13DE" w:rsidRDefault="008375D5" w:rsidP="00532DB7">
            <w:pPr>
              <w:spacing w:after="0" w:line="240" w:lineRule="auto"/>
              <w:jc w:val="center"/>
              <w:rPr>
                <w:rFonts w:ascii="Calibri" w:hAnsi="Calibri" w:cs="Calibri"/>
                <w:b/>
                <w:bCs/>
                <w:color w:val="000000"/>
                <w:sz w:val="24"/>
                <w:szCs w:val="24"/>
              </w:rPr>
            </w:pPr>
            <w:r w:rsidRPr="00BB13DE">
              <w:rPr>
                <w:rFonts w:ascii="Calibri" w:hAnsi="Calibri" w:cs="Calibri"/>
                <w:b/>
                <w:bCs/>
                <w:color w:val="000000"/>
                <w:sz w:val="24"/>
                <w:szCs w:val="24"/>
              </w:rPr>
              <w:t>EN 934-2</w:t>
            </w:r>
          </w:p>
        </w:tc>
      </w:tr>
      <w:tr w:rsidR="008375D5" w:rsidRPr="0043547B" w:rsidTr="00532DB7">
        <w:trPr>
          <w:trHeight w:val="561"/>
          <w:jc w:val="center"/>
        </w:trPr>
        <w:tc>
          <w:tcPr>
            <w:tcW w:w="1838" w:type="dxa"/>
            <w:tcBorders>
              <w:top w:val="single" w:sz="18" w:space="0" w:color="auto"/>
              <w:left w:val="single" w:sz="18" w:space="0" w:color="auto"/>
              <w:bottom w:val="single" w:sz="4" w:space="0" w:color="auto"/>
              <w:right w:val="single" w:sz="4" w:space="0" w:color="auto"/>
            </w:tcBorders>
            <w:shd w:val="clear" w:color="auto" w:fill="95B3D7" w:themeFill="accent1" w:themeFillTint="99"/>
            <w:vAlign w:val="center"/>
          </w:tcPr>
          <w:p w:rsidR="008375D5" w:rsidRPr="00532DB7" w:rsidRDefault="008375D5" w:rsidP="00532DB7">
            <w:pPr>
              <w:spacing w:after="0" w:line="240" w:lineRule="auto"/>
              <w:jc w:val="center"/>
              <w:rPr>
                <w:rFonts w:ascii="Calibri" w:hAnsi="Calibri" w:cs="Calibri"/>
                <w:b/>
                <w:bCs/>
                <w:color w:val="000000"/>
                <w:sz w:val="24"/>
                <w:szCs w:val="24"/>
              </w:rPr>
            </w:pPr>
            <w:r w:rsidRPr="00532DB7">
              <w:rPr>
                <w:rFonts w:ascii="Calibri" w:hAnsi="Calibri" w:cs="Calibri"/>
                <w:b/>
                <w:bCs/>
                <w:color w:val="000000"/>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tcPr>
          <w:p w:rsidR="008375D5" w:rsidRPr="00532DB7" w:rsidRDefault="008375D5" w:rsidP="00532DB7">
            <w:pPr>
              <w:spacing w:after="0" w:line="240" w:lineRule="auto"/>
              <w:rPr>
                <w:rFonts w:ascii="Calibri" w:hAnsi="Calibri" w:cs="Calibri"/>
                <w:color w:val="000000"/>
                <w:sz w:val="24"/>
                <w:szCs w:val="24"/>
              </w:rPr>
            </w:pPr>
            <w:r w:rsidRPr="00532DB7">
              <w:rPr>
                <w:rFonts w:ascii="Calibri" w:hAnsi="Calibri" w:cs="Calibri"/>
                <w:color w:val="000000"/>
                <w:sz w:val="24"/>
                <w:szCs w:val="24"/>
              </w:rPr>
              <w:t xml:space="preserve">Adjuvants pour bétons, mortier et coulis - Partie 2 : Adjuvants pour béton - Définitions, exigences, conformité, marquage et étiquetage </w:t>
            </w:r>
          </w:p>
        </w:tc>
      </w:tr>
      <w:tr w:rsidR="008375D5" w:rsidRPr="0043547B" w:rsidTr="00532DB7">
        <w:trPr>
          <w:trHeight w:val="561"/>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8375D5" w:rsidRPr="00532DB7" w:rsidRDefault="008375D5" w:rsidP="00532DB7">
            <w:pPr>
              <w:spacing w:after="0" w:line="240" w:lineRule="auto"/>
              <w:jc w:val="center"/>
              <w:rPr>
                <w:rFonts w:ascii="Calibri" w:hAnsi="Calibri" w:cs="Calibri"/>
                <w:b/>
                <w:bCs/>
                <w:color w:val="000000"/>
                <w:sz w:val="24"/>
                <w:szCs w:val="24"/>
              </w:rPr>
            </w:pPr>
            <w:r w:rsidRPr="00532DB7">
              <w:rPr>
                <w:rFonts w:ascii="Calibri" w:hAnsi="Calibri" w:cs="Calibri"/>
                <w:b/>
                <w:bCs/>
                <w:color w:val="000000"/>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tcPr>
          <w:p w:rsidR="00BB13DE" w:rsidRDefault="008375D5" w:rsidP="00BB13DE">
            <w:pPr>
              <w:spacing w:after="0" w:line="240" w:lineRule="auto"/>
              <w:jc w:val="both"/>
              <w:rPr>
                <w:rFonts w:ascii="Calibri" w:hAnsi="Calibri" w:cs="Calibri"/>
                <w:color w:val="000000"/>
                <w:sz w:val="24"/>
                <w:szCs w:val="24"/>
              </w:rPr>
            </w:pPr>
            <w:r w:rsidRPr="00532DB7">
              <w:rPr>
                <w:rFonts w:ascii="Calibri" w:hAnsi="Calibri" w:cs="Calibri"/>
                <w:color w:val="000000"/>
                <w:sz w:val="24"/>
                <w:szCs w:val="24"/>
              </w:rPr>
              <w:t>La présente Norme européenne fixe les définitions et les exigences pour les adjuvants utilisés dans les bétons.</w:t>
            </w:r>
          </w:p>
          <w:p w:rsidR="00BB13DE" w:rsidRDefault="008375D5" w:rsidP="00BB13DE">
            <w:pPr>
              <w:spacing w:after="0" w:line="240" w:lineRule="auto"/>
              <w:jc w:val="both"/>
              <w:rPr>
                <w:rFonts w:ascii="Calibri" w:hAnsi="Calibri" w:cs="Calibri"/>
                <w:color w:val="000000"/>
                <w:sz w:val="24"/>
                <w:szCs w:val="24"/>
              </w:rPr>
            </w:pPr>
            <w:r w:rsidRPr="00532DB7">
              <w:rPr>
                <w:rFonts w:ascii="Calibri" w:hAnsi="Calibri" w:cs="Calibri"/>
                <w:color w:val="000000"/>
                <w:sz w:val="24"/>
                <w:szCs w:val="24"/>
              </w:rPr>
              <w:t>Elle s'applique aux adjuvants pour bétons non armés, armés et précontraints utilisés dans les bétons fabriqués sur</w:t>
            </w:r>
            <w:r w:rsidR="00BB13DE">
              <w:rPr>
                <w:rFonts w:ascii="Calibri" w:hAnsi="Calibri" w:cs="Calibri"/>
                <w:color w:val="000000"/>
                <w:sz w:val="24"/>
                <w:szCs w:val="24"/>
              </w:rPr>
              <w:t xml:space="preserve"> </w:t>
            </w:r>
            <w:r w:rsidRPr="00532DB7">
              <w:rPr>
                <w:rFonts w:ascii="Calibri" w:hAnsi="Calibri" w:cs="Calibri"/>
                <w:color w:val="000000"/>
                <w:sz w:val="24"/>
                <w:szCs w:val="24"/>
              </w:rPr>
              <w:t>chantier, prêts à l'emploi et préfabriqués.</w:t>
            </w:r>
            <w:r w:rsidRPr="00532DB7">
              <w:rPr>
                <w:rFonts w:ascii="Calibri" w:hAnsi="Calibri" w:cs="Calibri"/>
                <w:color w:val="000000"/>
                <w:sz w:val="24"/>
                <w:szCs w:val="24"/>
              </w:rPr>
              <w:br/>
              <w:t>Dans cette norme, les exigences de performance s'appliquent aux adjuvants utilisés dans un béton de consistance</w:t>
            </w:r>
            <w:r w:rsidR="00BB13DE">
              <w:rPr>
                <w:rFonts w:ascii="Calibri" w:hAnsi="Calibri" w:cs="Calibri"/>
                <w:color w:val="000000"/>
                <w:sz w:val="24"/>
                <w:szCs w:val="24"/>
              </w:rPr>
              <w:t xml:space="preserve"> </w:t>
            </w:r>
            <w:r w:rsidRPr="00532DB7">
              <w:rPr>
                <w:rFonts w:ascii="Calibri" w:hAnsi="Calibri" w:cs="Calibri"/>
                <w:color w:val="000000"/>
                <w:sz w:val="24"/>
                <w:szCs w:val="24"/>
              </w:rPr>
              <w:t>normale. Elles peuvent ne pas être applicables aux adjuvants destinés à d'autres types de béton tels que des bétons</w:t>
            </w:r>
            <w:r w:rsidR="00BB13DE">
              <w:rPr>
                <w:rFonts w:ascii="Calibri" w:hAnsi="Calibri" w:cs="Calibri"/>
                <w:color w:val="000000"/>
                <w:sz w:val="24"/>
                <w:szCs w:val="24"/>
              </w:rPr>
              <w:t xml:space="preserve"> </w:t>
            </w:r>
            <w:r w:rsidRPr="00532DB7">
              <w:rPr>
                <w:rFonts w:ascii="Calibri" w:hAnsi="Calibri" w:cs="Calibri"/>
                <w:color w:val="000000"/>
                <w:sz w:val="24"/>
                <w:szCs w:val="24"/>
              </w:rPr>
              <w:t>à consistance terre humide.</w:t>
            </w:r>
          </w:p>
          <w:p w:rsidR="008375D5" w:rsidRDefault="008375D5" w:rsidP="00BB13DE">
            <w:pPr>
              <w:spacing w:after="0" w:line="240" w:lineRule="auto"/>
              <w:jc w:val="both"/>
              <w:rPr>
                <w:rFonts w:ascii="Calibri" w:hAnsi="Calibri" w:cs="Calibri"/>
                <w:color w:val="000000"/>
                <w:sz w:val="24"/>
                <w:szCs w:val="24"/>
              </w:rPr>
            </w:pPr>
            <w:r w:rsidRPr="00532DB7">
              <w:rPr>
                <w:rFonts w:ascii="Calibri" w:hAnsi="Calibri" w:cs="Calibri"/>
                <w:color w:val="000000"/>
                <w:sz w:val="24"/>
                <w:szCs w:val="24"/>
              </w:rPr>
              <w:t>Les dispositions qui régissent l'utilisation pratique des adjuvants dans la production de béton, telles que les exigences</w:t>
            </w:r>
            <w:r w:rsidR="00BB13DE">
              <w:rPr>
                <w:rFonts w:ascii="Calibri" w:hAnsi="Calibri" w:cs="Calibri"/>
                <w:color w:val="000000"/>
                <w:sz w:val="24"/>
                <w:szCs w:val="24"/>
              </w:rPr>
              <w:t xml:space="preserve"> </w:t>
            </w:r>
            <w:r w:rsidRPr="00532DB7">
              <w:rPr>
                <w:rFonts w:ascii="Calibri" w:hAnsi="Calibri" w:cs="Calibri"/>
                <w:color w:val="000000"/>
                <w:sz w:val="24"/>
                <w:szCs w:val="24"/>
              </w:rPr>
              <w:t>relatives à la composition, au malaxage, aux conditions de mise en oeuvre, à la cure, etc., du béton adjuvanté, ne sont</w:t>
            </w:r>
            <w:r w:rsidR="00BB13DE">
              <w:rPr>
                <w:rFonts w:ascii="Calibri" w:hAnsi="Calibri" w:cs="Calibri"/>
                <w:color w:val="000000"/>
                <w:sz w:val="24"/>
                <w:szCs w:val="24"/>
              </w:rPr>
              <w:t xml:space="preserve"> </w:t>
            </w:r>
            <w:r w:rsidRPr="00532DB7">
              <w:rPr>
                <w:rFonts w:ascii="Calibri" w:hAnsi="Calibri" w:cs="Calibri"/>
                <w:color w:val="000000"/>
                <w:sz w:val="24"/>
                <w:szCs w:val="24"/>
              </w:rPr>
              <w:t>pas traitées par la présente norme.</w:t>
            </w:r>
          </w:p>
          <w:p w:rsidR="00BB13DE" w:rsidRPr="00532DB7" w:rsidRDefault="00BB13DE" w:rsidP="00BB13DE">
            <w:pPr>
              <w:spacing w:after="0" w:line="240" w:lineRule="auto"/>
              <w:jc w:val="both"/>
              <w:rPr>
                <w:rFonts w:ascii="Calibri" w:hAnsi="Calibri" w:cs="Calibri"/>
                <w:color w:val="000000"/>
                <w:sz w:val="24"/>
                <w:szCs w:val="24"/>
              </w:rPr>
            </w:pPr>
          </w:p>
        </w:tc>
      </w:tr>
      <w:tr w:rsidR="008375D5" w:rsidRPr="0043547B" w:rsidTr="00BB13DE">
        <w:trPr>
          <w:trHeight w:val="400"/>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8375D5" w:rsidRPr="00BB13DE" w:rsidRDefault="008375D5" w:rsidP="00BB13DE">
            <w:pPr>
              <w:spacing w:after="0" w:line="240" w:lineRule="auto"/>
              <w:jc w:val="center"/>
              <w:rPr>
                <w:rFonts w:ascii="Calibri" w:hAnsi="Calibri" w:cs="Calibri"/>
                <w:b/>
                <w:bCs/>
                <w:color w:val="000000"/>
                <w:sz w:val="24"/>
                <w:szCs w:val="24"/>
              </w:rPr>
            </w:pPr>
            <w:r w:rsidRPr="00BB13DE">
              <w:rPr>
                <w:rFonts w:ascii="Calibri" w:hAnsi="Calibri" w:cs="Calibri"/>
                <w:b/>
                <w:bCs/>
                <w:color w:val="000000"/>
                <w:sz w:val="24"/>
                <w:szCs w:val="24"/>
              </w:rPr>
              <w:lastRenderedPageBreak/>
              <w:t>Code :</w:t>
            </w:r>
          </w:p>
        </w:tc>
        <w:tc>
          <w:tcPr>
            <w:tcW w:w="7938" w:type="dxa"/>
            <w:tcBorders>
              <w:left w:val="single" w:sz="4" w:space="0" w:color="auto"/>
              <w:bottom w:val="single" w:sz="18" w:space="0" w:color="auto"/>
              <w:right w:val="single" w:sz="18" w:space="0" w:color="auto"/>
            </w:tcBorders>
            <w:shd w:val="clear" w:color="auto" w:fill="C2D69B" w:themeFill="accent3" w:themeFillTint="99"/>
            <w:vAlign w:val="center"/>
          </w:tcPr>
          <w:p w:rsidR="008375D5" w:rsidRPr="00BB13DE" w:rsidRDefault="008375D5" w:rsidP="00BB13DE">
            <w:pPr>
              <w:spacing w:after="0" w:line="240" w:lineRule="auto"/>
              <w:jc w:val="center"/>
              <w:rPr>
                <w:rFonts w:ascii="Calibri" w:hAnsi="Calibri" w:cs="Calibri"/>
                <w:b/>
                <w:bCs/>
                <w:color w:val="000000"/>
                <w:sz w:val="24"/>
                <w:szCs w:val="24"/>
              </w:rPr>
            </w:pPr>
            <w:r w:rsidRPr="00BB13DE">
              <w:rPr>
                <w:rFonts w:ascii="Calibri" w:hAnsi="Calibri" w:cs="Calibri"/>
                <w:b/>
                <w:bCs/>
                <w:color w:val="000000"/>
                <w:sz w:val="24"/>
                <w:szCs w:val="24"/>
              </w:rPr>
              <w:t>NM EN 934-3</w:t>
            </w:r>
          </w:p>
        </w:tc>
      </w:tr>
      <w:tr w:rsidR="008375D5" w:rsidRPr="0043547B" w:rsidTr="00BB13DE">
        <w:trPr>
          <w:trHeight w:val="378"/>
          <w:jc w:val="center"/>
        </w:trPr>
        <w:tc>
          <w:tcPr>
            <w:tcW w:w="1838" w:type="dxa"/>
            <w:tcBorders>
              <w:top w:val="nil"/>
              <w:left w:val="single" w:sz="18" w:space="0" w:color="auto"/>
              <w:bottom w:val="single" w:sz="18" w:space="0" w:color="auto"/>
              <w:right w:val="single" w:sz="4" w:space="0" w:color="auto"/>
            </w:tcBorders>
            <w:shd w:val="clear" w:color="auto" w:fill="FFFFCC"/>
            <w:vAlign w:val="center"/>
          </w:tcPr>
          <w:p w:rsidR="008375D5" w:rsidRPr="00BB13DE" w:rsidRDefault="008375D5" w:rsidP="00BB13DE">
            <w:pPr>
              <w:spacing w:after="0" w:line="240" w:lineRule="auto"/>
              <w:jc w:val="center"/>
              <w:rPr>
                <w:rFonts w:ascii="Calibri" w:hAnsi="Calibri" w:cs="Calibri"/>
                <w:b/>
                <w:bCs/>
                <w:color w:val="000000"/>
                <w:sz w:val="24"/>
                <w:szCs w:val="24"/>
              </w:rPr>
            </w:pPr>
            <w:r w:rsidRPr="00BB13DE">
              <w:rPr>
                <w:rFonts w:ascii="Calibri" w:hAnsi="Calibri" w:cs="Calibri"/>
                <w:b/>
                <w:bCs/>
                <w:color w:val="000000"/>
                <w:sz w:val="24"/>
                <w:szCs w:val="24"/>
              </w:rPr>
              <w:t>Equivalence :</w:t>
            </w:r>
          </w:p>
        </w:tc>
        <w:tc>
          <w:tcPr>
            <w:tcW w:w="7938" w:type="dxa"/>
            <w:tcBorders>
              <w:left w:val="single" w:sz="4" w:space="0" w:color="auto"/>
              <w:bottom w:val="single" w:sz="18" w:space="0" w:color="auto"/>
              <w:right w:val="single" w:sz="18" w:space="0" w:color="auto"/>
            </w:tcBorders>
            <w:shd w:val="clear" w:color="auto" w:fill="FFFFCC"/>
            <w:vAlign w:val="center"/>
          </w:tcPr>
          <w:p w:rsidR="008375D5" w:rsidRPr="00BB13DE" w:rsidRDefault="008375D5" w:rsidP="00BB13DE">
            <w:pPr>
              <w:spacing w:after="0" w:line="240" w:lineRule="auto"/>
              <w:jc w:val="center"/>
              <w:rPr>
                <w:rFonts w:ascii="Calibri" w:hAnsi="Calibri" w:cs="Calibri"/>
                <w:b/>
                <w:bCs/>
                <w:color w:val="000000"/>
                <w:sz w:val="24"/>
                <w:szCs w:val="24"/>
              </w:rPr>
            </w:pPr>
            <w:r w:rsidRPr="00BB13DE">
              <w:rPr>
                <w:rFonts w:ascii="Calibri" w:hAnsi="Calibri" w:cs="Calibri"/>
                <w:b/>
                <w:bCs/>
                <w:color w:val="000000"/>
                <w:sz w:val="24"/>
                <w:szCs w:val="24"/>
              </w:rPr>
              <w:t>EN 934-3</w:t>
            </w:r>
          </w:p>
        </w:tc>
      </w:tr>
      <w:tr w:rsidR="008375D5" w:rsidRPr="0043547B" w:rsidTr="00BB13DE">
        <w:trPr>
          <w:trHeight w:val="561"/>
          <w:jc w:val="center"/>
        </w:trPr>
        <w:tc>
          <w:tcPr>
            <w:tcW w:w="1838" w:type="dxa"/>
            <w:tcBorders>
              <w:top w:val="nil"/>
              <w:left w:val="single" w:sz="18" w:space="0" w:color="auto"/>
              <w:bottom w:val="single" w:sz="18" w:space="0" w:color="auto"/>
              <w:right w:val="single" w:sz="4" w:space="0" w:color="auto"/>
            </w:tcBorders>
            <w:shd w:val="clear" w:color="auto" w:fill="B8CCE4" w:themeFill="accent1" w:themeFillTint="66"/>
            <w:vAlign w:val="center"/>
          </w:tcPr>
          <w:p w:rsidR="008375D5" w:rsidRPr="00BB13DE" w:rsidRDefault="008375D5" w:rsidP="00BB13DE">
            <w:pPr>
              <w:spacing w:after="0" w:line="240" w:lineRule="auto"/>
              <w:jc w:val="center"/>
              <w:rPr>
                <w:rFonts w:ascii="Calibri" w:hAnsi="Calibri" w:cs="Calibri"/>
                <w:b/>
                <w:bCs/>
                <w:color w:val="000000"/>
                <w:sz w:val="24"/>
                <w:szCs w:val="24"/>
              </w:rPr>
            </w:pPr>
            <w:r w:rsidRPr="00BB13DE">
              <w:rPr>
                <w:rFonts w:ascii="Calibri" w:hAnsi="Calibri" w:cs="Calibri"/>
                <w:b/>
                <w:bCs/>
                <w:color w:val="000000"/>
                <w:sz w:val="24"/>
                <w:szCs w:val="24"/>
              </w:rPr>
              <w:t>Intitulé :</w:t>
            </w:r>
          </w:p>
        </w:tc>
        <w:tc>
          <w:tcPr>
            <w:tcW w:w="7938" w:type="dxa"/>
            <w:tcBorders>
              <w:left w:val="single" w:sz="4" w:space="0" w:color="auto"/>
              <w:bottom w:val="single" w:sz="18" w:space="0" w:color="auto"/>
              <w:right w:val="single" w:sz="18" w:space="0" w:color="auto"/>
            </w:tcBorders>
            <w:shd w:val="clear" w:color="auto" w:fill="auto"/>
            <w:vAlign w:val="center"/>
          </w:tcPr>
          <w:p w:rsidR="008375D5" w:rsidRPr="00532DB7" w:rsidRDefault="008375D5" w:rsidP="00532DB7">
            <w:pPr>
              <w:spacing w:after="0" w:line="240" w:lineRule="auto"/>
              <w:rPr>
                <w:rFonts w:ascii="Calibri" w:hAnsi="Calibri" w:cs="Calibri"/>
                <w:color w:val="000000"/>
                <w:sz w:val="24"/>
                <w:szCs w:val="24"/>
              </w:rPr>
            </w:pPr>
            <w:r w:rsidRPr="00532DB7">
              <w:rPr>
                <w:rFonts w:ascii="Calibri" w:hAnsi="Calibri" w:cs="Calibri"/>
                <w:color w:val="000000"/>
                <w:sz w:val="24"/>
                <w:szCs w:val="24"/>
              </w:rPr>
              <w:t xml:space="preserve">Adjuvants pour béton, mortier et coulis - Partie 3 : Adjuvants pour mortier de montage - Définitions, exigences, conformité, marquage et étiquetage </w:t>
            </w:r>
          </w:p>
        </w:tc>
      </w:tr>
      <w:tr w:rsidR="008375D5" w:rsidRPr="0043547B" w:rsidTr="00BB13DE">
        <w:trPr>
          <w:trHeight w:val="561"/>
          <w:jc w:val="center"/>
        </w:trPr>
        <w:tc>
          <w:tcPr>
            <w:tcW w:w="1838" w:type="dxa"/>
            <w:tcBorders>
              <w:top w:val="nil"/>
              <w:left w:val="single" w:sz="18" w:space="0" w:color="auto"/>
              <w:bottom w:val="single" w:sz="18" w:space="0" w:color="auto"/>
              <w:right w:val="single" w:sz="4" w:space="0" w:color="auto"/>
            </w:tcBorders>
            <w:shd w:val="clear" w:color="000000" w:fill="D9D9D9"/>
            <w:vAlign w:val="center"/>
          </w:tcPr>
          <w:p w:rsidR="008375D5" w:rsidRPr="00BB13DE" w:rsidRDefault="008375D5" w:rsidP="00BB13DE">
            <w:pPr>
              <w:spacing w:after="0" w:line="240" w:lineRule="auto"/>
              <w:jc w:val="center"/>
              <w:rPr>
                <w:rFonts w:ascii="Calibri" w:hAnsi="Calibri" w:cs="Calibri"/>
                <w:b/>
                <w:bCs/>
                <w:color w:val="000000"/>
                <w:sz w:val="24"/>
                <w:szCs w:val="24"/>
              </w:rPr>
            </w:pPr>
            <w:r w:rsidRPr="00BB13DE">
              <w:rPr>
                <w:rFonts w:ascii="Calibri" w:hAnsi="Calibri" w:cs="Calibri"/>
                <w:b/>
                <w:bCs/>
                <w:color w:val="000000"/>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tcPr>
          <w:p w:rsidR="00BB13DE" w:rsidRDefault="008375D5" w:rsidP="00BB13DE">
            <w:pPr>
              <w:spacing w:after="0" w:line="240" w:lineRule="auto"/>
              <w:jc w:val="both"/>
              <w:rPr>
                <w:rFonts w:ascii="Calibri" w:hAnsi="Calibri" w:cs="Calibri"/>
                <w:color w:val="000000"/>
                <w:sz w:val="24"/>
                <w:szCs w:val="24"/>
              </w:rPr>
            </w:pPr>
            <w:r w:rsidRPr="00532DB7">
              <w:rPr>
                <w:rFonts w:ascii="Calibri" w:hAnsi="Calibri" w:cs="Calibri"/>
                <w:color w:val="000000"/>
                <w:sz w:val="24"/>
                <w:szCs w:val="24"/>
              </w:rPr>
              <w:t>La présente Norme européenne définit et précise les exigences et les critères de conformité pour les adjuvants</w:t>
            </w:r>
            <w:r w:rsidR="00BB13DE">
              <w:rPr>
                <w:rFonts w:ascii="Calibri" w:hAnsi="Calibri" w:cs="Calibri"/>
                <w:color w:val="000000"/>
                <w:sz w:val="24"/>
                <w:szCs w:val="24"/>
              </w:rPr>
              <w:t xml:space="preserve"> </w:t>
            </w:r>
            <w:r w:rsidRPr="00532DB7">
              <w:rPr>
                <w:rFonts w:ascii="Calibri" w:hAnsi="Calibri" w:cs="Calibri"/>
                <w:color w:val="000000"/>
                <w:sz w:val="24"/>
                <w:szCs w:val="24"/>
              </w:rPr>
              <w:t>utilisés dans le mortier à maçonner à base de ciments.</w:t>
            </w:r>
            <w:r w:rsidRPr="00532DB7">
              <w:rPr>
                <w:rFonts w:ascii="Calibri" w:hAnsi="Calibri" w:cs="Calibri"/>
                <w:color w:val="000000"/>
                <w:sz w:val="24"/>
                <w:szCs w:val="24"/>
              </w:rPr>
              <w:br/>
              <w:t>Il s'applique à deux types d'adjuvants, les adjuvants fortement retardateurs de prise et les adjuvants entraîneurs d'air</w:t>
            </w:r>
            <w:r w:rsidR="00BB13DE">
              <w:rPr>
                <w:rFonts w:ascii="Calibri" w:hAnsi="Calibri" w:cs="Calibri"/>
                <w:color w:val="000000"/>
                <w:sz w:val="24"/>
                <w:szCs w:val="24"/>
              </w:rPr>
              <w:t xml:space="preserve"> </w:t>
            </w:r>
            <w:r w:rsidRPr="00532DB7">
              <w:rPr>
                <w:rFonts w:ascii="Calibri" w:hAnsi="Calibri" w:cs="Calibri"/>
                <w:color w:val="000000"/>
                <w:sz w:val="24"/>
                <w:szCs w:val="24"/>
              </w:rPr>
              <w:t>/ plastifiants utilisés dans le mortier prêt à l'emploi ainsi que dans le mortier fabriqué sur chantier.</w:t>
            </w:r>
          </w:p>
          <w:p w:rsidR="008375D5" w:rsidRPr="00532DB7" w:rsidRDefault="008375D5" w:rsidP="00BB13DE">
            <w:pPr>
              <w:spacing w:after="0" w:line="240" w:lineRule="auto"/>
              <w:jc w:val="both"/>
              <w:rPr>
                <w:rFonts w:ascii="Calibri" w:hAnsi="Calibri" w:cs="Calibri"/>
                <w:color w:val="000000"/>
                <w:sz w:val="24"/>
                <w:szCs w:val="24"/>
              </w:rPr>
            </w:pPr>
            <w:r w:rsidRPr="00532DB7">
              <w:rPr>
                <w:rFonts w:ascii="Calibri" w:hAnsi="Calibri" w:cs="Calibri"/>
                <w:color w:val="000000"/>
                <w:sz w:val="24"/>
                <w:szCs w:val="24"/>
              </w:rPr>
              <w:t>Les dispositions relatives à l’utilisation d'adjuvants de mortier à maçonner ne font pas partie de la présente norme, mais de l’EN 998-1 et de l'EN 998-2.</w:t>
            </w:r>
          </w:p>
        </w:tc>
      </w:tr>
      <w:tr w:rsidR="008375D5" w:rsidRPr="0043547B" w:rsidTr="00BB13DE">
        <w:trPr>
          <w:trHeight w:val="383"/>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8375D5" w:rsidRPr="00BB13DE" w:rsidRDefault="008375D5" w:rsidP="00BB13DE">
            <w:pPr>
              <w:spacing w:after="0" w:line="240" w:lineRule="auto"/>
              <w:jc w:val="center"/>
              <w:rPr>
                <w:rFonts w:ascii="Calibri" w:hAnsi="Calibri" w:cs="Calibri"/>
                <w:b/>
                <w:bCs/>
                <w:color w:val="000000"/>
                <w:sz w:val="24"/>
                <w:szCs w:val="24"/>
              </w:rPr>
            </w:pPr>
            <w:r w:rsidRPr="00BB13DE">
              <w:rPr>
                <w:rFonts w:ascii="Calibri" w:hAnsi="Calibri" w:cs="Calibri"/>
                <w:b/>
                <w:bCs/>
                <w:color w:val="000000"/>
                <w:sz w:val="24"/>
                <w:szCs w:val="24"/>
              </w:rPr>
              <w:t>Code :</w:t>
            </w:r>
          </w:p>
        </w:tc>
        <w:tc>
          <w:tcPr>
            <w:tcW w:w="7938" w:type="dxa"/>
            <w:tcBorders>
              <w:left w:val="single" w:sz="4" w:space="0" w:color="auto"/>
              <w:bottom w:val="single" w:sz="18" w:space="0" w:color="auto"/>
              <w:right w:val="single" w:sz="18" w:space="0" w:color="auto"/>
            </w:tcBorders>
            <w:shd w:val="clear" w:color="auto" w:fill="C2D69B" w:themeFill="accent3" w:themeFillTint="99"/>
            <w:vAlign w:val="center"/>
          </w:tcPr>
          <w:p w:rsidR="008375D5" w:rsidRPr="00BB13DE" w:rsidRDefault="008375D5" w:rsidP="00BB13DE">
            <w:pPr>
              <w:spacing w:after="0" w:line="240" w:lineRule="auto"/>
              <w:jc w:val="center"/>
              <w:rPr>
                <w:rFonts w:ascii="Calibri" w:hAnsi="Calibri" w:cs="Calibri"/>
                <w:b/>
                <w:bCs/>
                <w:color w:val="000000"/>
                <w:sz w:val="24"/>
                <w:szCs w:val="24"/>
              </w:rPr>
            </w:pPr>
            <w:r w:rsidRPr="00BB13DE">
              <w:rPr>
                <w:rFonts w:ascii="Calibri" w:hAnsi="Calibri" w:cs="Calibri"/>
                <w:b/>
                <w:bCs/>
                <w:color w:val="000000"/>
                <w:sz w:val="24"/>
                <w:szCs w:val="24"/>
              </w:rPr>
              <w:t xml:space="preserve">NM </w:t>
            </w:r>
            <w:r w:rsidR="00BB13DE" w:rsidRPr="00BB13DE">
              <w:rPr>
                <w:rFonts w:ascii="Calibri" w:hAnsi="Calibri" w:cs="Calibri"/>
                <w:b/>
                <w:bCs/>
                <w:color w:val="000000"/>
                <w:sz w:val="24"/>
                <w:szCs w:val="24"/>
              </w:rPr>
              <w:t>EN 934</w:t>
            </w:r>
            <w:r w:rsidRPr="00BB13DE">
              <w:rPr>
                <w:rFonts w:ascii="Calibri" w:hAnsi="Calibri" w:cs="Calibri"/>
                <w:b/>
                <w:bCs/>
                <w:color w:val="000000"/>
                <w:sz w:val="24"/>
                <w:szCs w:val="24"/>
              </w:rPr>
              <w:t>-4</w:t>
            </w:r>
          </w:p>
        </w:tc>
      </w:tr>
      <w:tr w:rsidR="008375D5" w:rsidRPr="0043547B" w:rsidTr="00BB13DE">
        <w:trPr>
          <w:trHeight w:val="417"/>
          <w:jc w:val="center"/>
        </w:trPr>
        <w:tc>
          <w:tcPr>
            <w:tcW w:w="1838" w:type="dxa"/>
            <w:tcBorders>
              <w:top w:val="nil"/>
              <w:left w:val="single" w:sz="18" w:space="0" w:color="auto"/>
              <w:bottom w:val="single" w:sz="18" w:space="0" w:color="auto"/>
              <w:right w:val="single" w:sz="4" w:space="0" w:color="auto"/>
            </w:tcBorders>
            <w:shd w:val="clear" w:color="auto" w:fill="FFFFCC"/>
            <w:vAlign w:val="center"/>
          </w:tcPr>
          <w:p w:rsidR="008375D5" w:rsidRPr="00BB13DE" w:rsidRDefault="008375D5" w:rsidP="00BB13DE">
            <w:pPr>
              <w:spacing w:after="0" w:line="240" w:lineRule="auto"/>
              <w:jc w:val="center"/>
              <w:rPr>
                <w:rFonts w:ascii="Calibri" w:hAnsi="Calibri" w:cs="Calibri"/>
                <w:b/>
                <w:bCs/>
                <w:color w:val="000000"/>
                <w:sz w:val="24"/>
                <w:szCs w:val="24"/>
              </w:rPr>
            </w:pPr>
            <w:r w:rsidRPr="00BB13DE">
              <w:rPr>
                <w:rFonts w:ascii="Calibri" w:hAnsi="Calibri" w:cs="Calibri"/>
                <w:b/>
                <w:bCs/>
                <w:color w:val="000000"/>
                <w:sz w:val="24"/>
                <w:szCs w:val="24"/>
              </w:rPr>
              <w:t>Equivalence :</w:t>
            </w:r>
          </w:p>
        </w:tc>
        <w:tc>
          <w:tcPr>
            <w:tcW w:w="7938" w:type="dxa"/>
            <w:tcBorders>
              <w:left w:val="single" w:sz="4" w:space="0" w:color="auto"/>
              <w:bottom w:val="single" w:sz="18" w:space="0" w:color="auto"/>
              <w:right w:val="single" w:sz="18" w:space="0" w:color="auto"/>
            </w:tcBorders>
            <w:shd w:val="clear" w:color="auto" w:fill="FFFFCC"/>
            <w:vAlign w:val="center"/>
          </w:tcPr>
          <w:p w:rsidR="008375D5" w:rsidRPr="00BB13DE" w:rsidRDefault="00BB13DE" w:rsidP="00BB13DE">
            <w:pPr>
              <w:spacing w:after="0" w:line="240" w:lineRule="auto"/>
              <w:jc w:val="center"/>
              <w:rPr>
                <w:rFonts w:ascii="Calibri" w:hAnsi="Calibri" w:cs="Calibri"/>
                <w:b/>
                <w:bCs/>
                <w:color w:val="000000"/>
                <w:sz w:val="24"/>
                <w:szCs w:val="24"/>
              </w:rPr>
            </w:pPr>
            <w:r w:rsidRPr="00BB13DE">
              <w:rPr>
                <w:rFonts w:ascii="Calibri" w:hAnsi="Calibri" w:cs="Calibri"/>
                <w:b/>
                <w:bCs/>
                <w:color w:val="000000"/>
                <w:sz w:val="24"/>
                <w:szCs w:val="24"/>
              </w:rPr>
              <w:t>EN 934</w:t>
            </w:r>
            <w:r w:rsidR="008375D5" w:rsidRPr="00BB13DE">
              <w:rPr>
                <w:rFonts w:ascii="Calibri" w:hAnsi="Calibri" w:cs="Calibri"/>
                <w:b/>
                <w:bCs/>
                <w:color w:val="000000"/>
                <w:sz w:val="24"/>
                <w:szCs w:val="24"/>
              </w:rPr>
              <w:t>-4</w:t>
            </w:r>
          </w:p>
        </w:tc>
      </w:tr>
      <w:tr w:rsidR="008375D5" w:rsidRPr="0043547B" w:rsidTr="00BB13DE">
        <w:trPr>
          <w:trHeight w:val="561"/>
          <w:jc w:val="center"/>
        </w:trPr>
        <w:tc>
          <w:tcPr>
            <w:tcW w:w="1838" w:type="dxa"/>
            <w:tcBorders>
              <w:top w:val="nil"/>
              <w:left w:val="single" w:sz="18" w:space="0" w:color="auto"/>
              <w:bottom w:val="single" w:sz="18" w:space="0" w:color="auto"/>
              <w:right w:val="single" w:sz="4" w:space="0" w:color="auto"/>
            </w:tcBorders>
            <w:shd w:val="clear" w:color="auto" w:fill="B8CCE4" w:themeFill="accent1" w:themeFillTint="66"/>
            <w:vAlign w:val="center"/>
          </w:tcPr>
          <w:p w:rsidR="008375D5" w:rsidRPr="00BB13DE" w:rsidRDefault="008375D5" w:rsidP="00BB13DE">
            <w:pPr>
              <w:spacing w:after="0" w:line="240" w:lineRule="auto"/>
              <w:jc w:val="center"/>
              <w:rPr>
                <w:rFonts w:ascii="Calibri" w:hAnsi="Calibri" w:cs="Calibri"/>
                <w:b/>
                <w:bCs/>
                <w:color w:val="000000"/>
                <w:sz w:val="24"/>
                <w:szCs w:val="24"/>
              </w:rPr>
            </w:pPr>
            <w:r w:rsidRPr="00BB13DE">
              <w:rPr>
                <w:rFonts w:ascii="Calibri" w:hAnsi="Calibri" w:cs="Calibri"/>
                <w:b/>
                <w:bCs/>
                <w:color w:val="000000"/>
                <w:sz w:val="24"/>
                <w:szCs w:val="24"/>
              </w:rPr>
              <w:t>Intitulé :</w:t>
            </w:r>
          </w:p>
        </w:tc>
        <w:tc>
          <w:tcPr>
            <w:tcW w:w="7938" w:type="dxa"/>
            <w:tcBorders>
              <w:left w:val="single" w:sz="4" w:space="0" w:color="auto"/>
              <w:bottom w:val="single" w:sz="18" w:space="0" w:color="auto"/>
              <w:right w:val="single" w:sz="18" w:space="0" w:color="auto"/>
            </w:tcBorders>
            <w:shd w:val="clear" w:color="auto" w:fill="auto"/>
            <w:vAlign w:val="center"/>
          </w:tcPr>
          <w:p w:rsidR="008375D5" w:rsidRPr="00532DB7" w:rsidRDefault="008375D5" w:rsidP="00BB13DE">
            <w:pPr>
              <w:spacing w:after="0" w:line="240" w:lineRule="auto"/>
              <w:rPr>
                <w:rFonts w:ascii="Calibri" w:hAnsi="Calibri" w:cs="Calibri"/>
                <w:color w:val="000000"/>
                <w:sz w:val="24"/>
                <w:szCs w:val="24"/>
              </w:rPr>
            </w:pPr>
            <w:r w:rsidRPr="00532DB7">
              <w:rPr>
                <w:rFonts w:ascii="Calibri" w:hAnsi="Calibri" w:cs="Calibri"/>
                <w:color w:val="000000"/>
                <w:sz w:val="24"/>
                <w:szCs w:val="24"/>
              </w:rPr>
              <w:t xml:space="preserve">Adjuvants pour béton, mortier et coulis - Partie 4 : Adjuvants pour coulis de câble de précontrainte - Définitions, exigences, conformité, marquage et étiquetage </w:t>
            </w:r>
          </w:p>
        </w:tc>
      </w:tr>
      <w:tr w:rsidR="008375D5" w:rsidRPr="0043547B" w:rsidTr="00BB13DE">
        <w:trPr>
          <w:trHeight w:val="561"/>
          <w:jc w:val="center"/>
        </w:trPr>
        <w:tc>
          <w:tcPr>
            <w:tcW w:w="1838" w:type="dxa"/>
            <w:tcBorders>
              <w:top w:val="nil"/>
              <w:left w:val="single" w:sz="18" w:space="0" w:color="auto"/>
              <w:bottom w:val="single" w:sz="18" w:space="0" w:color="auto"/>
              <w:right w:val="single" w:sz="4" w:space="0" w:color="auto"/>
            </w:tcBorders>
            <w:shd w:val="clear" w:color="000000" w:fill="D9D9D9"/>
            <w:vAlign w:val="center"/>
          </w:tcPr>
          <w:p w:rsidR="008375D5" w:rsidRPr="00BB13DE" w:rsidRDefault="008375D5" w:rsidP="00BB13DE">
            <w:pPr>
              <w:spacing w:after="0" w:line="240" w:lineRule="auto"/>
              <w:jc w:val="center"/>
              <w:rPr>
                <w:rFonts w:ascii="Calibri" w:hAnsi="Calibri" w:cs="Calibri"/>
                <w:b/>
                <w:bCs/>
                <w:sz w:val="24"/>
                <w:szCs w:val="24"/>
              </w:rPr>
            </w:pPr>
            <w:r w:rsidRPr="00BB13DE">
              <w:rPr>
                <w:rFonts w:ascii="Calibri" w:hAnsi="Calibri" w:cs="Calibr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tcPr>
          <w:p w:rsidR="00BB13DE" w:rsidRDefault="008375D5" w:rsidP="00BB13DE">
            <w:pPr>
              <w:spacing w:after="0" w:line="240" w:lineRule="auto"/>
              <w:jc w:val="both"/>
              <w:rPr>
                <w:rFonts w:ascii="Calibri" w:hAnsi="Calibri" w:cs="Calibri"/>
                <w:color w:val="000000"/>
                <w:sz w:val="24"/>
                <w:szCs w:val="24"/>
              </w:rPr>
            </w:pPr>
            <w:r w:rsidRPr="00532DB7">
              <w:rPr>
                <w:rFonts w:ascii="Calibri" w:hAnsi="Calibri" w:cs="Calibri"/>
                <w:color w:val="000000"/>
                <w:sz w:val="24"/>
                <w:szCs w:val="24"/>
              </w:rPr>
              <w:t>La présente Norme Européenne définit et spécifie les exigences et les critères de conformité pour les adjuvants</w:t>
            </w:r>
            <w:r w:rsidR="00BB13DE">
              <w:rPr>
                <w:rFonts w:ascii="Calibri" w:hAnsi="Calibri" w:cs="Calibri"/>
                <w:color w:val="000000"/>
                <w:sz w:val="24"/>
                <w:szCs w:val="24"/>
              </w:rPr>
              <w:t xml:space="preserve"> </w:t>
            </w:r>
            <w:r w:rsidRPr="00532DB7">
              <w:rPr>
                <w:rFonts w:ascii="Calibri" w:hAnsi="Calibri" w:cs="Calibri"/>
                <w:color w:val="000000"/>
                <w:sz w:val="24"/>
                <w:szCs w:val="24"/>
              </w:rPr>
              <w:t>devant être utilisés dans les coulis pour câbles de précontrainte conformes à l'EN 447. Elle traite uniquement des</w:t>
            </w:r>
            <w:r w:rsidR="00BB13DE">
              <w:rPr>
                <w:rFonts w:ascii="Calibri" w:hAnsi="Calibri" w:cs="Calibri"/>
                <w:color w:val="000000"/>
                <w:sz w:val="24"/>
                <w:szCs w:val="24"/>
              </w:rPr>
              <w:t xml:space="preserve"> </w:t>
            </w:r>
            <w:r w:rsidRPr="00532DB7">
              <w:rPr>
                <w:rFonts w:ascii="Calibri" w:hAnsi="Calibri" w:cs="Calibri"/>
                <w:color w:val="000000"/>
                <w:sz w:val="24"/>
                <w:szCs w:val="24"/>
              </w:rPr>
              <w:t>adjuvants pour coulis fabriqué sur chantier 1).</w:t>
            </w:r>
          </w:p>
          <w:p w:rsidR="008375D5" w:rsidRPr="00532DB7" w:rsidRDefault="008375D5" w:rsidP="00BB13DE">
            <w:pPr>
              <w:spacing w:after="0" w:line="240" w:lineRule="auto"/>
              <w:jc w:val="both"/>
              <w:rPr>
                <w:rFonts w:ascii="Calibri" w:hAnsi="Calibri" w:cs="Calibri"/>
                <w:color w:val="000000"/>
                <w:sz w:val="24"/>
                <w:szCs w:val="24"/>
              </w:rPr>
            </w:pPr>
            <w:r w:rsidRPr="00532DB7">
              <w:rPr>
                <w:rFonts w:ascii="Calibri" w:hAnsi="Calibri" w:cs="Calibri"/>
                <w:color w:val="000000"/>
                <w:sz w:val="24"/>
                <w:szCs w:val="24"/>
              </w:rPr>
              <w:t>Les dispositions relatives à l'utilisation des adjuvants pour coulis ne font pas partie de la présente norme mais sont</w:t>
            </w:r>
            <w:r w:rsidR="00BB13DE">
              <w:rPr>
                <w:rFonts w:ascii="Calibri" w:hAnsi="Calibri" w:cs="Calibri"/>
                <w:color w:val="000000"/>
                <w:sz w:val="24"/>
                <w:szCs w:val="24"/>
              </w:rPr>
              <w:t xml:space="preserve"> </w:t>
            </w:r>
            <w:r w:rsidRPr="00532DB7">
              <w:rPr>
                <w:rFonts w:ascii="Calibri" w:hAnsi="Calibri" w:cs="Calibri"/>
                <w:color w:val="000000"/>
                <w:sz w:val="24"/>
                <w:szCs w:val="24"/>
              </w:rPr>
              <w:t>traitées dans l'EN 447.</w:t>
            </w:r>
          </w:p>
        </w:tc>
      </w:tr>
      <w:tr w:rsidR="008375D5" w:rsidRPr="0043547B" w:rsidTr="00BB13DE">
        <w:trPr>
          <w:trHeight w:val="475"/>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8375D5" w:rsidRPr="00BB13DE" w:rsidRDefault="008375D5" w:rsidP="00BB13DE">
            <w:pPr>
              <w:spacing w:after="0" w:line="240" w:lineRule="auto"/>
              <w:jc w:val="center"/>
              <w:rPr>
                <w:rFonts w:ascii="Calibri" w:hAnsi="Calibri" w:cs="Calibri"/>
                <w:b/>
                <w:bCs/>
                <w:color w:val="000000"/>
                <w:sz w:val="24"/>
                <w:szCs w:val="24"/>
              </w:rPr>
            </w:pPr>
            <w:r w:rsidRPr="00BB13DE">
              <w:rPr>
                <w:rFonts w:ascii="Calibri" w:hAnsi="Calibri" w:cs="Calibri"/>
                <w:b/>
                <w:bCs/>
                <w:color w:val="000000"/>
                <w:sz w:val="24"/>
                <w:szCs w:val="24"/>
              </w:rPr>
              <w:t>Code :</w:t>
            </w:r>
          </w:p>
        </w:tc>
        <w:tc>
          <w:tcPr>
            <w:tcW w:w="7938" w:type="dxa"/>
            <w:tcBorders>
              <w:left w:val="single" w:sz="4" w:space="0" w:color="auto"/>
              <w:bottom w:val="single" w:sz="18" w:space="0" w:color="auto"/>
              <w:right w:val="single" w:sz="18" w:space="0" w:color="auto"/>
            </w:tcBorders>
            <w:shd w:val="clear" w:color="auto" w:fill="C2D69B" w:themeFill="accent3" w:themeFillTint="99"/>
            <w:vAlign w:val="center"/>
          </w:tcPr>
          <w:p w:rsidR="008375D5" w:rsidRPr="00BB13DE" w:rsidRDefault="008375D5" w:rsidP="00BB13DE">
            <w:pPr>
              <w:spacing w:after="0" w:line="240" w:lineRule="auto"/>
              <w:jc w:val="center"/>
              <w:rPr>
                <w:rFonts w:ascii="Calibri" w:hAnsi="Calibri" w:cs="Calibri"/>
                <w:b/>
                <w:bCs/>
                <w:color w:val="000000"/>
                <w:sz w:val="24"/>
                <w:szCs w:val="24"/>
              </w:rPr>
            </w:pPr>
            <w:r w:rsidRPr="00BB13DE">
              <w:rPr>
                <w:rFonts w:ascii="Calibri" w:hAnsi="Calibri" w:cs="Calibri"/>
                <w:b/>
                <w:bCs/>
                <w:color w:val="000000"/>
                <w:sz w:val="24"/>
                <w:szCs w:val="24"/>
              </w:rPr>
              <w:t xml:space="preserve">NM </w:t>
            </w:r>
            <w:r w:rsidR="00BB13DE" w:rsidRPr="00BB13DE">
              <w:rPr>
                <w:rFonts w:ascii="Calibri" w:hAnsi="Calibri" w:cs="Calibri"/>
                <w:b/>
                <w:bCs/>
                <w:color w:val="000000"/>
                <w:sz w:val="24"/>
                <w:szCs w:val="24"/>
              </w:rPr>
              <w:t>EN 934</w:t>
            </w:r>
            <w:r w:rsidRPr="00BB13DE">
              <w:rPr>
                <w:rFonts w:ascii="Calibri" w:hAnsi="Calibri" w:cs="Calibri"/>
                <w:b/>
                <w:bCs/>
                <w:color w:val="000000"/>
                <w:sz w:val="24"/>
                <w:szCs w:val="24"/>
              </w:rPr>
              <w:t>-5</w:t>
            </w:r>
          </w:p>
        </w:tc>
      </w:tr>
      <w:tr w:rsidR="008375D5" w:rsidRPr="0043547B" w:rsidTr="00BB13DE">
        <w:trPr>
          <w:trHeight w:val="441"/>
          <w:jc w:val="center"/>
        </w:trPr>
        <w:tc>
          <w:tcPr>
            <w:tcW w:w="1838" w:type="dxa"/>
            <w:tcBorders>
              <w:top w:val="nil"/>
              <w:left w:val="single" w:sz="18" w:space="0" w:color="auto"/>
              <w:bottom w:val="single" w:sz="18" w:space="0" w:color="auto"/>
              <w:right w:val="single" w:sz="4" w:space="0" w:color="auto"/>
            </w:tcBorders>
            <w:shd w:val="clear" w:color="auto" w:fill="FFFFCC"/>
            <w:vAlign w:val="center"/>
          </w:tcPr>
          <w:p w:rsidR="008375D5" w:rsidRPr="00BB13DE" w:rsidRDefault="008375D5" w:rsidP="00BB13DE">
            <w:pPr>
              <w:spacing w:after="0" w:line="240" w:lineRule="auto"/>
              <w:jc w:val="center"/>
              <w:rPr>
                <w:rFonts w:ascii="Calibri" w:hAnsi="Calibri" w:cs="Calibri"/>
                <w:b/>
                <w:bCs/>
                <w:color w:val="000000"/>
                <w:sz w:val="24"/>
                <w:szCs w:val="24"/>
              </w:rPr>
            </w:pPr>
            <w:r w:rsidRPr="00BB13DE">
              <w:rPr>
                <w:rFonts w:ascii="Calibri" w:hAnsi="Calibri" w:cs="Calibri"/>
                <w:b/>
                <w:bCs/>
                <w:color w:val="000000"/>
                <w:sz w:val="24"/>
                <w:szCs w:val="24"/>
              </w:rPr>
              <w:t>Equivalence :</w:t>
            </w:r>
          </w:p>
        </w:tc>
        <w:tc>
          <w:tcPr>
            <w:tcW w:w="7938" w:type="dxa"/>
            <w:tcBorders>
              <w:left w:val="single" w:sz="4" w:space="0" w:color="auto"/>
              <w:bottom w:val="single" w:sz="18" w:space="0" w:color="auto"/>
              <w:right w:val="single" w:sz="18" w:space="0" w:color="auto"/>
            </w:tcBorders>
            <w:shd w:val="clear" w:color="auto" w:fill="FFFFCC"/>
            <w:vAlign w:val="center"/>
          </w:tcPr>
          <w:p w:rsidR="008375D5" w:rsidRPr="00BB13DE" w:rsidRDefault="00BB13DE" w:rsidP="00BB13DE">
            <w:pPr>
              <w:spacing w:after="0" w:line="240" w:lineRule="auto"/>
              <w:jc w:val="center"/>
              <w:rPr>
                <w:rFonts w:ascii="Calibri" w:hAnsi="Calibri" w:cs="Calibri"/>
                <w:b/>
                <w:bCs/>
                <w:color w:val="000000"/>
                <w:sz w:val="24"/>
                <w:szCs w:val="24"/>
              </w:rPr>
            </w:pPr>
            <w:r w:rsidRPr="00BB13DE">
              <w:rPr>
                <w:rFonts w:ascii="Calibri" w:hAnsi="Calibri" w:cs="Calibri"/>
                <w:b/>
                <w:bCs/>
                <w:color w:val="000000"/>
                <w:sz w:val="24"/>
                <w:szCs w:val="24"/>
              </w:rPr>
              <w:t>EN 934</w:t>
            </w:r>
            <w:r w:rsidR="008375D5" w:rsidRPr="00BB13DE">
              <w:rPr>
                <w:rFonts w:ascii="Calibri" w:hAnsi="Calibri" w:cs="Calibri"/>
                <w:b/>
                <w:bCs/>
                <w:color w:val="000000"/>
                <w:sz w:val="24"/>
                <w:szCs w:val="24"/>
              </w:rPr>
              <w:t>-5</w:t>
            </w:r>
          </w:p>
        </w:tc>
      </w:tr>
      <w:tr w:rsidR="008375D5" w:rsidRPr="0043547B" w:rsidTr="00BB13DE">
        <w:trPr>
          <w:trHeight w:val="561"/>
          <w:jc w:val="center"/>
        </w:trPr>
        <w:tc>
          <w:tcPr>
            <w:tcW w:w="1838" w:type="dxa"/>
            <w:tcBorders>
              <w:top w:val="single" w:sz="18" w:space="0" w:color="auto"/>
              <w:left w:val="single" w:sz="18" w:space="0" w:color="auto"/>
              <w:bottom w:val="single" w:sz="4" w:space="0" w:color="auto"/>
              <w:right w:val="single" w:sz="4" w:space="0" w:color="auto"/>
            </w:tcBorders>
            <w:shd w:val="clear" w:color="auto" w:fill="B8CCE4" w:themeFill="accent1" w:themeFillTint="66"/>
            <w:vAlign w:val="center"/>
          </w:tcPr>
          <w:p w:rsidR="008375D5" w:rsidRPr="00BB13DE" w:rsidRDefault="008375D5" w:rsidP="00BB13DE">
            <w:pPr>
              <w:spacing w:after="0" w:line="240" w:lineRule="auto"/>
              <w:jc w:val="center"/>
              <w:rPr>
                <w:rFonts w:ascii="Calibri" w:hAnsi="Calibri" w:cs="Calibri"/>
                <w:b/>
                <w:bCs/>
                <w:color w:val="000000"/>
                <w:sz w:val="24"/>
                <w:szCs w:val="24"/>
              </w:rPr>
            </w:pPr>
            <w:r w:rsidRPr="00BB13DE">
              <w:rPr>
                <w:rFonts w:ascii="Calibri" w:hAnsi="Calibri" w:cs="Calibri"/>
                <w:b/>
                <w:bCs/>
                <w:color w:val="000000"/>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tcPr>
          <w:p w:rsidR="008375D5" w:rsidRPr="00532DB7" w:rsidRDefault="008375D5" w:rsidP="00532DB7">
            <w:pPr>
              <w:spacing w:after="0" w:line="240" w:lineRule="auto"/>
              <w:rPr>
                <w:rFonts w:ascii="Calibri" w:hAnsi="Calibri" w:cs="Calibri"/>
                <w:color w:val="000000"/>
                <w:sz w:val="24"/>
                <w:szCs w:val="24"/>
              </w:rPr>
            </w:pPr>
            <w:r w:rsidRPr="00532DB7">
              <w:rPr>
                <w:rFonts w:ascii="Calibri" w:hAnsi="Calibri" w:cs="Calibri"/>
                <w:color w:val="000000"/>
                <w:sz w:val="24"/>
                <w:szCs w:val="24"/>
              </w:rPr>
              <w:t xml:space="preserve">Adjuvants pour béton, mortier et coulis - Partie 5 : Adjuvants pour bétons projetés - Définitions, exigences, conformité, marquage et étiquetage </w:t>
            </w:r>
          </w:p>
        </w:tc>
      </w:tr>
      <w:tr w:rsidR="008375D5" w:rsidRPr="0043547B" w:rsidTr="00BB13DE">
        <w:trPr>
          <w:trHeight w:val="561"/>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8375D5" w:rsidRPr="00BB13DE" w:rsidRDefault="008375D5" w:rsidP="00BB13DE">
            <w:pPr>
              <w:spacing w:after="0" w:line="240" w:lineRule="auto"/>
              <w:jc w:val="center"/>
              <w:rPr>
                <w:rFonts w:ascii="Calibri" w:hAnsi="Calibri" w:cs="Calibri"/>
                <w:b/>
                <w:bCs/>
                <w:color w:val="000000"/>
                <w:sz w:val="24"/>
                <w:szCs w:val="24"/>
              </w:rPr>
            </w:pPr>
            <w:r w:rsidRPr="00BB13DE">
              <w:rPr>
                <w:rFonts w:ascii="Calibri" w:hAnsi="Calibri" w:cs="Calibri"/>
                <w:b/>
                <w:bCs/>
                <w:color w:val="000000"/>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tcPr>
          <w:p w:rsidR="008375D5" w:rsidRPr="00532DB7" w:rsidRDefault="008375D5" w:rsidP="00BB13DE">
            <w:pPr>
              <w:spacing w:after="0" w:line="240" w:lineRule="auto"/>
              <w:rPr>
                <w:rFonts w:ascii="Calibri" w:hAnsi="Calibri" w:cs="Calibri"/>
                <w:color w:val="000000"/>
                <w:sz w:val="24"/>
                <w:szCs w:val="24"/>
              </w:rPr>
            </w:pPr>
            <w:r w:rsidRPr="00532DB7">
              <w:rPr>
                <w:rFonts w:ascii="Calibri" w:hAnsi="Calibri" w:cs="Calibri"/>
                <w:color w:val="000000"/>
                <w:sz w:val="24"/>
                <w:szCs w:val="24"/>
              </w:rPr>
              <w:t>La présente Norme européenne définit et spécifie les exigences relatives aux adjuvants destinés spécifiquement</w:t>
            </w:r>
            <w:r w:rsidR="00BB13DE">
              <w:rPr>
                <w:rFonts w:ascii="Calibri" w:hAnsi="Calibri" w:cs="Calibri"/>
                <w:color w:val="000000"/>
                <w:sz w:val="24"/>
                <w:szCs w:val="24"/>
              </w:rPr>
              <w:t xml:space="preserve"> </w:t>
            </w:r>
            <w:r w:rsidRPr="00532DB7">
              <w:rPr>
                <w:rFonts w:ascii="Calibri" w:hAnsi="Calibri" w:cs="Calibri"/>
                <w:color w:val="000000"/>
                <w:sz w:val="24"/>
                <w:szCs w:val="24"/>
              </w:rPr>
              <w:t>à être utilisés dans le béton projeté et leur conformité.</w:t>
            </w:r>
            <w:r w:rsidRPr="00532DB7">
              <w:rPr>
                <w:rFonts w:ascii="Calibri" w:hAnsi="Calibri" w:cs="Calibri"/>
                <w:color w:val="000000"/>
                <w:sz w:val="24"/>
                <w:szCs w:val="24"/>
              </w:rPr>
              <w:br/>
              <w:t>Les types d’adjuvants traités sont les suivants :</w:t>
            </w:r>
            <w:r w:rsidRPr="00532DB7">
              <w:rPr>
                <w:rFonts w:ascii="Calibri" w:hAnsi="Calibri" w:cs="Calibri"/>
                <w:color w:val="000000"/>
                <w:sz w:val="24"/>
                <w:szCs w:val="24"/>
              </w:rPr>
              <w:br/>
              <w:t>— accélérateurs de prise et accélérateurs de prise sans alcalins ;</w:t>
            </w:r>
            <w:r w:rsidRPr="00532DB7">
              <w:rPr>
                <w:rFonts w:ascii="Calibri" w:hAnsi="Calibri" w:cs="Calibri"/>
                <w:color w:val="000000"/>
                <w:sz w:val="24"/>
                <w:szCs w:val="24"/>
              </w:rPr>
              <w:br/>
              <w:t>— adjuvants témoins pour la consistance ;</w:t>
            </w:r>
            <w:r w:rsidRPr="00532DB7">
              <w:rPr>
                <w:rFonts w:ascii="Calibri" w:hAnsi="Calibri" w:cs="Calibri"/>
                <w:color w:val="000000"/>
                <w:sz w:val="24"/>
                <w:szCs w:val="24"/>
              </w:rPr>
              <w:br/>
              <w:t>— adjuvants améliorant l’adhérence.</w:t>
            </w:r>
            <w:r w:rsidRPr="00532DB7">
              <w:rPr>
                <w:rFonts w:ascii="Calibri" w:hAnsi="Calibri" w:cs="Calibri"/>
                <w:color w:val="000000"/>
                <w:sz w:val="24"/>
                <w:szCs w:val="24"/>
              </w:rPr>
              <w:br/>
              <w:t>La présente Norme ne comporte pas de dispositions régissant l’application pratique de ces adjuvants</w:t>
            </w:r>
            <w:r w:rsidR="00BB13DE">
              <w:rPr>
                <w:rFonts w:ascii="Calibri" w:hAnsi="Calibri" w:cs="Calibri"/>
                <w:color w:val="000000"/>
                <w:sz w:val="24"/>
                <w:szCs w:val="24"/>
              </w:rPr>
              <w:t xml:space="preserve"> </w:t>
            </w:r>
            <w:r w:rsidRPr="00532DB7">
              <w:rPr>
                <w:rFonts w:ascii="Calibri" w:hAnsi="Calibri" w:cs="Calibri"/>
                <w:color w:val="000000"/>
                <w:sz w:val="24"/>
                <w:szCs w:val="24"/>
              </w:rPr>
              <w:t>dans la production de béton projeté.</w:t>
            </w:r>
          </w:p>
        </w:tc>
      </w:tr>
      <w:tr w:rsidR="008375D5" w:rsidRPr="0043547B" w:rsidTr="00BB13DE">
        <w:trPr>
          <w:trHeight w:val="310"/>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8375D5" w:rsidRPr="00BB13DE" w:rsidRDefault="008375D5" w:rsidP="00BB13DE">
            <w:pPr>
              <w:spacing w:after="0" w:line="240" w:lineRule="auto"/>
              <w:jc w:val="center"/>
              <w:rPr>
                <w:rFonts w:ascii="Calibri" w:hAnsi="Calibri" w:cs="Calibri"/>
                <w:b/>
                <w:bCs/>
                <w:color w:val="000000"/>
                <w:sz w:val="24"/>
                <w:szCs w:val="24"/>
              </w:rPr>
            </w:pPr>
            <w:r w:rsidRPr="00BB13DE">
              <w:rPr>
                <w:rFonts w:ascii="Calibri" w:hAnsi="Calibri" w:cs="Calibri"/>
                <w:b/>
                <w:bCs/>
                <w:color w:val="000000"/>
                <w:sz w:val="24"/>
                <w:szCs w:val="24"/>
              </w:rPr>
              <w:t>Code :</w:t>
            </w:r>
          </w:p>
        </w:tc>
        <w:tc>
          <w:tcPr>
            <w:tcW w:w="7938" w:type="dxa"/>
            <w:tcBorders>
              <w:left w:val="single" w:sz="4" w:space="0" w:color="auto"/>
              <w:bottom w:val="single" w:sz="18" w:space="0" w:color="auto"/>
              <w:right w:val="single" w:sz="18" w:space="0" w:color="auto"/>
            </w:tcBorders>
            <w:shd w:val="clear" w:color="auto" w:fill="C2D69B" w:themeFill="accent3" w:themeFillTint="99"/>
            <w:vAlign w:val="center"/>
          </w:tcPr>
          <w:p w:rsidR="008375D5" w:rsidRPr="00BB13DE" w:rsidRDefault="008375D5" w:rsidP="00BB13DE">
            <w:pPr>
              <w:spacing w:after="0" w:line="240" w:lineRule="auto"/>
              <w:jc w:val="center"/>
              <w:rPr>
                <w:rFonts w:ascii="Calibri" w:hAnsi="Calibri" w:cs="Calibri"/>
                <w:b/>
                <w:bCs/>
                <w:color w:val="000000"/>
                <w:sz w:val="24"/>
                <w:szCs w:val="24"/>
              </w:rPr>
            </w:pPr>
            <w:r w:rsidRPr="00BB13DE">
              <w:rPr>
                <w:rFonts w:ascii="Calibri" w:hAnsi="Calibri" w:cs="Calibri"/>
                <w:b/>
                <w:bCs/>
                <w:color w:val="000000"/>
                <w:sz w:val="24"/>
                <w:szCs w:val="24"/>
              </w:rPr>
              <w:t xml:space="preserve">NM </w:t>
            </w:r>
            <w:r w:rsidR="00BB13DE" w:rsidRPr="00BB13DE">
              <w:rPr>
                <w:rFonts w:ascii="Calibri" w:hAnsi="Calibri" w:cs="Calibri"/>
                <w:b/>
                <w:bCs/>
                <w:color w:val="000000"/>
                <w:sz w:val="24"/>
                <w:szCs w:val="24"/>
              </w:rPr>
              <w:t>EN 934</w:t>
            </w:r>
            <w:r w:rsidRPr="00BB13DE">
              <w:rPr>
                <w:rFonts w:ascii="Calibri" w:hAnsi="Calibri" w:cs="Calibri"/>
                <w:b/>
                <w:bCs/>
                <w:color w:val="000000"/>
                <w:sz w:val="24"/>
                <w:szCs w:val="24"/>
              </w:rPr>
              <w:t>-6</w:t>
            </w:r>
          </w:p>
        </w:tc>
      </w:tr>
      <w:tr w:rsidR="008375D5" w:rsidRPr="0043547B" w:rsidTr="00BB13DE">
        <w:trPr>
          <w:trHeight w:val="372"/>
          <w:jc w:val="center"/>
        </w:trPr>
        <w:tc>
          <w:tcPr>
            <w:tcW w:w="1838" w:type="dxa"/>
            <w:tcBorders>
              <w:top w:val="nil"/>
              <w:left w:val="single" w:sz="18" w:space="0" w:color="auto"/>
              <w:bottom w:val="single" w:sz="18" w:space="0" w:color="auto"/>
              <w:right w:val="single" w:sz="4" w:space="0" w:color="auto"/>
            </w:tcBorders>
            <w:shd w:val="clear" w:color="auto" w:fill="FFFFCC"/>
            <w:vAlign w:val="center"/>
          </w:tcPr>
          <w:p w:rsidR="008375D5" w:rsidRPr="00BB13DE" w:rsidRDefault="008375D5" w:rsidP="00BB13DE">
            <w:pPr>
              <w:spacing w:after="0" w:line="240" w:lineRule="auto"/>
              <w:jc w:val="center"/>
              <w:rPr>
                <w:rFonts w:ascii="Calibri" w:hAnsi="Calibri" w:cs="Calibri"/>
                <w:b/>
                <w:bCs/>
                <w:color w:val="000000"/>
                <w:sz w:val="24"/>
                <w:szCs w:val="24"/>
              </w:rPr>
            </w:pPr>
            <w:r w:rsidRPr="00BB13DE">
              <w:rPr>
                <w:rFonts w:ascii="Calibri" w:hAnsi="Calibri" w:cs="Calibri"/>
                <w:b/>
                <w:bCs/>
                <w:color w:val="000000"/>
                <w:sz w:val="24"/>
                <w:szCs w:val="24"/>
              </w:rPr>
              <w:t>Equivalence :</w:t>
            </w:r>
          </w:p>
        </w:tc>
        <w:tc>
          <w:tcPr>
            <w:tcW w:w="7938" w:type="dxa"/>
            <w:tcBorders>
              <w:left w:val="single" w:sz="4" w:space="0" w:color="auto"/>
              <w:bottom w:val="single" w:sz="18" w:space="0" w:color="auto"/>
              <w:right w:val="single" w:sz="18" w:space="0" w:color="auto"/>
            </w:tcBorders>
            <w:shd w:val="clear" w:color="auto" w:fill="FFFFCC"/>
            <w:vAlign w:val="center"/>
          </w:tcPr>
          <w:p w:rsidR="008375D5" w:rsidRPr="00BB13DE" w:rsidRDefault="00BB13DE" w:rsidP="00BB13DE">
            <w:pPr>
              <w:spacing w:after="0" w:line="240" w:lineRule="auto"/>
              <w:jc w:val="center"/>
              <w:rPr>
                <w:rFonts w:ascii="Calibri" w:hAnsi="Calibri" w:cs="Calibri"/>
                <w:b/>
                <w:bCs/>
                <w:color w:val="000000"/>
                <w:sz w:val="24"/>
                <w:szCs w:val="24"/>
              </w:rPr>
            </w:pPr>
            <w:r w:rsidRPr="00BB13DE">
              <w:rPr>
                <w:rFonts w:ascii="Calibri" w:hAnsi="Calibri" w:cs="Calibri"/>
                <w:b/>
                <w:bCs/>
                <w:color w:val="000000"/>
                <w:sz w:val="24"/>
                <w:szCs w:val="24"/>
              </w:rPr>
              <w:t>EN 934</w:t>
            </w:r>
            <w:r w:rsidR="008375D5" w:rsidRPr="00BB13DE">
              <w:rPr>
                <w:rFonts w:ascii="Calibri" w:hAnsi="Calibri" w:cs="Calibri"/>
                <w:b/>
                <w:bCs/>
                <w:color w:val="000000"/>
                <w:sz w:val="24"/>
                <w:szCs w:val="24"/>
              </w:rPr>
              <w:t>-6</w:t>
            </w:r>
          </w:p>
        </w:tc>
      </w:tr>
      <w:tr w:rsidR="008375D5" w:rsidRPr="0043547B" w:rsidTr="00BB13DE">
        <w:trPr>
          <w:trHeight w:val="561"/>
          <w:jc w:val="center"/>
        </w:trPr>
        <w:tc>
          <w:tcPr>
            <w:tcW w:w="1838" w:type="dxa"/>
            <w:tcBorders>
              <w:top w:val="single" w:sz="18" w:space="0" w:color="auto"/>
              <w:left w:val="single" w:sz="18" w:space="0" w:color="auto"/>
              <w:bottom w:val="single" w:sz="4" w:space="0" w:color="auto"/>
              <w:right w:val="single" w:sz="4" w:space="0" w:color="auto"/>
            </w:tcBorders>
            <w:shd w:val="clear" w:color="auto" w:fill="B8CCE4" w:themeFill="accent1" w:themeFillTint="66"/>
            <w:vAlign w:val="center"/>
          </w:tcPr>
          <w:p w:rsidR="008375D5" w:rsidRPr="00BB13DE" w:rsidRDefault="008375D5" w:rsidP="00BB13DE">
            <w:pPr>
              <w:spacing w:after="0" w:line="240" w:lineRule="auto"/>
              <w:jc w:val="center"/>
              <w:rPr>
                <w:rFonts w:ascii="Calibri" w:hAnsi="Calibri" w:cs="Calibri"/>
                <w:b/>
                <w:bCs/>
                <w:color w:val="000000"/>
                <w:sz w:val="24"/>
                <w:szCs w:val="24"/>
              </w:rPr>
            </w:pPr>
            <w:r w:rsidRPr="00BB13DE">
              <w:rPr>
                <w:rFonts w:ascii="Calibri" w:hAnsi="Calibri" w:cs="Calibri"/>
                <w:b/>
                <w:bCs/>
                <w:color w:val="000000"/>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tcPr>
          <w:p w:rsidR="008375D5" w:rsidRPr="00532DB7" w:rsidRDefault="008375D5" w:rsidP="00532DB7">
            <w:pPr>
              <w:spacing w:after="0" w:line="240" w:lineRule="auto"/>
              <w:rPr>
                <w:rFonts w:ascii="Calibri" w:hAnsi="Calibri" w:cs="Calibri"/>
                <w:color w:val="000000"/>
                <w:sz w:val="24"/>
                <w:szCs w:val="24"/>
              </w:rPr>
            </w:pPr>
            <w:r w:rsidRPr="00532DB7">
              <w:rPr>
                <w:rFonts w:ascii="Calibri" w:hAnsi="Calibri" w:cs="Calibri"/>
                <w:color w:val="000000"/>
                <w:sz w:val="24"/>
                <w:szCs w:val="24"/>
              </w:rPr>
              <w:t xml:space="preserve">Adjuvants pour béton, mortier et coulis - Partie 6 : Echantillonnage, évaluation et vérification de la constance des performances </w:t>
            </w:r>
          </w:p>
        </w:tc>
      </w:tr>
      <w:tr w:rsidR="008375D5" w:rsidRPr="0043547B" w:rsidTr="00BB13DE">
        <w:trPr>
          <w:trHeight w:val="561"/>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8375D5" w:rsidRPr="00BB13DE" w:rsidRDefault="008375D5" w:rsidP="00BB13DE">
            <w:pPr>
              <w:spacing w:after="0" w:line="240" w:lineRule="auto"/>
              <w:jc w:val="center"/>
              <w:rPr>
                <w:rFonts w:ascii="Calibri" w:hAnsi="Calibri" w:cs="Calibri"/>
                <w:b/>
                <w:bCs/>
                <w:color w:val="000000"/>
                <w:sz w:val="24"/>
                <w:szCs w:val="24"/>
              </w:rPr>
            </w:pPr>
            <w:r w:rsidRPr="00BB13DE">
              <w:rPr>
                <w:rFonts w:ascii="Calibri" w:hAnsi="Calibri" w:cs="Calibri"/>
                <w:b/>
                <w:bCs/>
                <w:color w:val="000000"/>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center"/>
          </w:tcPr>
          <w:p w:rsidR="008375D5" w:rsidRPr="00532DB7" w:rsidRDefault="008375D5" w:rsidP="00532DB7">
            <w:pPr>
              <w:spacing w:after="0" w:line="240" w:lineRule="auto"/>
              <w:rPr>
                <w:rFonts w:ascii="Calibri" w:hAnsi="Calibri" w:cs="Calibri"/>
                <w:color w:val="000000"/>
                <w:sz w:val="24"/>
                <w:szCs w:val="24"/>
              </w:rPr>
            </w:pPr>
            <w:r w:rsidRPr="00532DB7">
              <w:rPr>
                <w:rFonts w:ascii="Calibri" w:hAnsi="Calibri" w:cs="Calibri"/>
                <w:color w:val="000000"/>
                <w:sz w:val="24"/>
                <w:szCs w:val="24"/>
              </w:rPr>
              <w:t>Le présent document spécifie les procédures d’échantillonnage, d’évaluation et de vérification de la</w:t>
            </w:r>
            <w:r w:rsidRPr="00532DB7">
              <w:rPr>
                <w:rFonts w:ascii="Calibri" w:hAnsi="Calibri" w:cs="Calibri"/>
                <w:color w:val="000000"/>
                <w:sz w:val="24"/>
                <w:szCs w:val="24"/>
              </w:rPr>
              <w:br/>
            </w:r>
            <w:r w:rsidRPr="00532DB7">
              <w:rPr>
                <w:rFonts w:ascii="Calibri" w:hAnsi="Calibri" w:cs="Calibri"/>
                <w:color w:val="000000"/>
                <w:sz w:val="24"/>
                <w:szCs w:val="24"/>
              </w:rPr>
              <w:lastRenderedPageBreak/>
              <w:t>constance des performances (EVCP) pour les adjuvants couverts par la série EN 934.</w:t>
            </w:r>
          </w:p>
        </w:tc>
      </w:tr>
      <w:tr w:rsidR="008375D5" w:rsidRPr="0043547B" w:rsidTr="00BB13DE">
        <w:trPr>
          <w:trHeight w:val="395"/>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8375D5" w:rsidRPr="00BB13DE" w:rsidRDefault="008375D5" w:rsidP="00BB13DE">
            <w:pPr>
              <w:spacing w:after="0" w:line="240" w:lineRule="auto"/>
              <w:jc w:val="center"/>
              <w:rPr>
                <w:rFonts w:ascii="Calibri" w:hAnsi="Calibri" w:cs="Calibri"/>
                <w:b/>
                <w:bCs/>
                <w:color w:val="000000"/>
                <w:sz w:val="24"/>
                <w:szCs w:val="24"/>
              </w:rPr>
            </w:pPr>
            <w:r w:rsidRPr="00BB13DE">
              <w:rPr>
                <w:rFonts w:ascii="Calibri" w:hAnsi="Calibri" w:cs="Calibri"/>
                <w:b/>
                <w:bCs/>
                <w:color w:val="000000"/>
                <w:sz w:val="24"/>
                <w:szCs w:val="24"/>
              </w:rPr>
              <w:lastRenderedPageBreak/>
              <w:t>Code :</w:t>
            </w:r>
          </w:p>
        </w:tc>
        <w:tc>
          <w:tcPr>
            <w:tcW w:w="7938" w:type="dxa"/>
            <w:tcBorders>
              <w:left w:val="single" w:sz="4" w:space="0" w:color="auto"/>
              <w:bottom w:val="single" w:sz="18" w:space="0" w:color="auto"/>
              <w:right w:val="single" w:sz="18" w:space="0" w:color="auto"/>
            </w:tcBorders>
            <w:shd w:val="clear" w:color="auto" w:fill="C2D69B" w:themeFill="accent3" w:themeFillTint="99"/>
            <w:vAlign w:val="center"/>
          </w:tcPr>
          <w:p w:rsidR="008375D5" w:rsidRPr="00BB13DE" w:rsidRDefault="008375D5" w:rsidP="00BB13DE">
            <w:pPr>
              <w:spacing w:after="0" w:line="240" w:lineRule="auto"/>
              <w:jc w:val="center"/>
              <w:rPr>
                <w:rFonts w:ascii="Calibri" w:hAnsi="Calibri" w:cs="Calibri"/>
                <w:b/>
                <w:bCs/>
                <w:color w:val="000000"/>
                <w:sz w:val="24"/>
                <w:szCs w:val="24"/>
              </w:rPr>
            </w:pPr>
            <w:r w:rsidRPr="00BB13DE">
              <w:rPr>
                <w:rFonts w:ascii="Calibri" w:hAnsi="Calibri" w:cs="Calibri"/>
                <w:b/>
                <w:bCs/>
                <w:color w:val="000000"/>
                <w:sz w:val="24"/>
                <w:szCs w:val="24"/>
              </w:rPr>
              <w:t>NM EN 14650</w:t>
            </w:r>
          </w:p>
        </w:tc>
      </w:tr>
      <w:tr w:rsidR="008375D5" w:rsidRPr="0043547B" w:rsidTr="00BB13DE">
        <w:trPr>
          <w:trHeight w:val="388"/>
          <w:jc w:val="center"/>
        </w:trPr>
        <w:tc>
          <w:tcPr>
            <w:tcW w:w="1838" w:type="dxa"/>
            <w:tcBorders>
              <w:top w:val="nil"/>
              <w:left w:val="single" w:sz="18" w:space="0" w:color="auto"/>
              <w:bottom w:val="single" w:sz="18" w:space="0" w:color="auto"/>
              <w:right w:val="single" w:sz="4" w:space="0" w:color="auto"/>
            </w:tcBorders>
            <w:shd w:val="clear" w:color="auto" w:fill="FFFFCC"/>
            <w:vAlign w:val="center"/>
          </w:tcPr>
          <w:p w:rsidR="008375D5" w:rsidRPr="00BB13DE" w:rsidRDefault="008375D5" w:rsidP="00BB13DE">
            <w:pPr>
              <w:spacing w:after="0" w:line="240" w:lineRule="auto"/>
              <w:jc w:val="center"/>
              <w:rPr>
                <w:rFonts w:ascii="Calibri" w:hAnsi="Calibri" w:cs="Calibri"/>
                <w:b/>
                <w:bCs/>
                <w:color w:val="000000"/>
                <w:sz w:val="24"/>
                <w:szCs w:val="24"/>
              </w:rPr>
            </w:pPr>
            <w:r w:rsidRPr="00BB13DE">
              <w:rPr>
                <w:rFonts w:ascii="Calibri" w:hAnsi="Calibri" w:cs="Calibri"/>
                <w:b/>
                <w:bCs/>
                <w:color w:val="000000"/>
                <w:sz w:val="24"/>
                <w:szCs w:val="24"/>
              </w:rPr>
              <w:t>Equivalence :</w:t>
            </w:r>
          </w:p>
        </w:tc>
        <w:tc>
          <w:tcPr>
            <w:tcW w:w="7938" w:type="dxa"/>
            <w:tcBorders>
              <w:left w:val="single" w:sz="4" w:space="0" w:color="auto"/>
              <w:bottom w:val="single" w:sz="18" w:space="0" w:color="auto"/>
              <w:right w:val="single" w:sz="18" w:space="0" w:color="auto"/>
            </w:tcBorders>
            <w:shd w:val="clear" w:color="auto" w:fill="FFFFCC"/>
            <w:vAlign w:val="center"/>
          </w:tcPr>
          <w:p w:rsidR="008375D5" w:rsidRPr="00BB13DE" w:rsidRDefault="008375D5" w:rsidP="00BB13DE">
            <w:pPr>
              <w:spacing w:after="0" w:line="240" w:lineRule="auto"/>
              <w:jc w:val="center"/>
              <w:rPr>
                <w:rFonts w:ascii="Calibri" w:hAnsi="Calibri" w:cs="Calibri"/>
                <w:b/>
                <w:bCs/>
                <w:color w:val="000000"/>
                <w:sz w:val="24"/>
                <w:szCs w:val="24"/>
              </w:rPr>
            </w:pPr>
            <w:r w:rsidRPr="00BB13DE">
              <w:rPr>
                <w:rFonts w:ascii="Calibri" w:hAnsi="Calibri" w:cs="Calibri"/>
                <w:b/>
                <w:bCs/>
                <w:color w:val="000000"/>
                <w:sz w:val="24"/>
                <w:szCs w:val="24"/>
              </w:rPr>
              <w:t>EN 14650</w:t>
            </w:r>
          </w:p>
        </w:tc>
      </w:tr>
      <w:tr w:rsidR="008375D5" w:rsidRPr="0043547B" w:rsidTr="00BB13DE">
        <w:trPr>
          <w:trHeight w:val="561"/>
          <w:jc w:val="center"/>
        </w:trPr>
        <w:tc>
          <w:tcPr>
            <w:tcW w:w="1838" w:type="dxa"/>
            <w:tcBorders>
              <w:top w:val="single" w:sz="18" w:space="0" w:color="auto"/>
              <w:left w:val="single" w:sz="18" w:space="0" w:color="auto"/>
              <w:bottom w:val="single" w:sz="4" w:space="0" w:color="auto"/>
              <w:right w:val="single" w:sz="4" w:space="0" w:color="auto"/>
            </w:tcBorders>
            <w:shd w:val="clear" w:color="auto" w:fill="B8CCE4" w:themeFill="accent1" w:themeFillTint="66"/>
            <w:vAlign w:val="center"/>
          </w:tcPr>
          <w:p w:rsidR="008375D5" w:rsidRPr="00BB13DE" w:rsidRDefault="008375D5" w:rsidP="00BB13DE">
            <w:pPr>
              <w:spacing w:after="0" w:line="240" w:lineRule="auto"/>
              <w:jc w:val="center"/>
              <w:rPr>
                <w:rFonts w:ascii="Calibri" w:hAnsi="Calibri" w:cs="Calibri"/>
                <w:b/>
                <w:bCs/>
                <w:color w:val="000000"/>
                <w:sz w:val="24"/>
                <w:szCs w:val="24"/>
              </w:rPr>
            </w:pPr>
            <w:r w:rsidRPr="00BB13DE">
              <w:rPr>
                <w:rFonts w:ascii="Calibri" w:hAnsi="Calibri" w:cs="Calibri"/>
                <w:b/>
                <w:bCs/>
                <w:color w:val="000000"/>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tcPr>
          <w:p w:rsidR="008375D5" w:rsidRPr="00532DB7" w:rsidRDefault="008375D5" w:rsidP="00A145FB">
            <w:pPr>
              <w:spacing w:after="0" w:line="240" w:lineRule="auto"/>
              <w:jc w:val="both"/>
              <w:rPr>
                <w:rFonts w:ascii="Calibri" w:hAnsi="Calibri" w:cs="Calibri"/>
                <w:color w:val="000000"/>
                <w:sz w:val="24"/>
                <w:szCs w:val="24"/>
              </w:rPr>
            </w:pPr>
            <w:r w:rsidRPr="00532DB7">
              <w:rPr>
                <w:rFonts w:ascii="Calibri" w:hAnsi="Calibri" w:cs="Calibri"/>
                <w:color w:val="000000"/>
                <w:sz w:val="24"/>
                <w:szCs w:val="24"/>
              </w:rPr>
              <w:t xml:space="preserve">Produits préfabriqués en béton - Règles générales pour le contrôle de la production en usine de béton de fibres métalliques  </w:t>
            </w:r>
          </w:p>
        </w:tc>
      </w:tr>
      <w:tr w:rsidR="008375D5" w:rsidRPr="0043547B" w:rsidTr="004F0BC9">
        <w:trPr>
          <w:trHeight w:val="1709"/>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8375D5" w:rsidRPr="00BB13DE" w:rsidRDefault="008375D5" w:rsidP="00BB13DE">
            <w:pPr>
              <w:spacing w:after="0" w:line="240" w:lineRule="auto"/>
              <w:jc w:val="center"/>
              <w:rPr>
                <w:rFonts w:ascii="Calibri" w:hAnsi="Calibri" w:cs="Calibri"/>
                <w:b/>
                <w:bCs/>
                <w:color w:val="000000"/>
                <w:sz w:val="24"/>
                <w:szCs w:val="24"/>
              </w:rPr>
            </w:pPr>
            <w:r w:rsidRPr="00BB13DE">
              <w:rPr>
                <w:rFonts w:ascii="Calibri" w:hAnsi="Calibri" w:cs="Calibri"/>
                <w:b/>
                <w:bCs/>
                <w:color w:val="000000"/>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tcPr>
          <w:p w:rsidR="00A145FB" w:rsidRDefault="008375D5" w:rsidP="00A145FB">
            <w:pPr>
              <w:spacing w:after="0" w:line="240" w:lineRule="auto"/>
              <w:jc w:val="both"/>
              <w:rPr>
                <w:rFonts w:ascii="Calibri" w:hAnsi="Calibri" w:cs="Calibri"/>
                <w:color w:val="000000"/>
                <w:sz w:val="24"/>
                <w:szCs w:val="24"/>
              </w:rPr>
            </w:pPr>
            <w:r w:rsidRPr="00532DB7">
              <w:rPr>
                <w:rFonts w:ascii="Calibri" w:hAnsi="Calibri" w:cs="Calibri"/>
                <w:color w:val="000000"/>
                <w:sz w:val="24"/>
                <w:szCs w:val="24"/>
              </w:rPr>
              <w:t>Le présent document définit les règles générales de contrôle de la production en usine de béton de fibres</w:t>
            </w:r>
            <w:r w:rsidR="00A145FB">
              <w:rPr>
                <w:rFonts w:ascii="Calibri" w:hAnsi="Calibri" w:cs="Calibri"/>
                <w:color w:val="000000"/>
                <w:sz w:val="24"/>
                <w:szCs w:val="24"/>
              </w:rPr>
              <w:t xml:space="preserve"> </w:t>
            </w:r>
            <w:r w:rsidRPr="00532DB7">
              <w:rPr>
                <w:rFonts w:ascii="Calibri" w:hAnsi="Calibri" w:cs="Calibri"/>
                <w:color w:val="000000"/>
                <w:sz w:val="24"/>
                <w:szCs w:val="24"/>
              </w:rPr>
              <w:t>métalliques.</w:t>
            </w:r>
          </w:p>
          <w:p w:rsidR="00A145FB" w:rsidRPr="00532DB7" w:rsidRDefault="00A145FB" w:rsidP="004F0BC9">
            <w:pPr>
              <w:spacing w:after="0" w:line="240" w:lineRule="auto"/>
              <w:jc w:val="both"/>
              <w:rPr>
                <w:rFonts w:ascii="Calibri" w:hAnsi="Calibri" w:cs="Calibri"/>
                <w:color w:val="000000"/>
                <w:sz w:val="24"/>
                <w:szCs w:val="24"/>
              </w:rPr>
            </w:pPr>
            <w:r>
              <w:rPr>
                <w:rFonts w:ascii="Calibri" w:hAnsi="Calibri" w:cs="Calibri"/>
                <w:color w:val="000000"/>
                <w:sz w:val="24"/>
                <w:szCs w:val="24"/>
              </w:rPr>
              <w:t>« </w:t>
            </w:r>
            <w:r w:rsidR="008375D5" w:rsidRPr="00532DB7">
              <w:rPr>
                <w:rFonts w:ascii="Calibri" w:hAnsi="Calibri" w:cs="Calibri"/>
                <w:color w:val="000000"/>
                <w:sz w:val="24"/>
                <w:szCs w:val="24"/>
              </w:rPr>
              <w:t>Le présent document ne précise pas la procédure de contrôle de conformité des produits finis en béton de fibres</w:t>
            </w:r>
            <w:r>
              <w:rPr>
                <w:rFonts w:ascii="Calibri" w:hAnsi="Calibri" w:cs="Calibri"/>
                <w:color w:val="000000"/>
                <w:sz w:val="24"/>
                <w:szCs w:val="24"/>
              </w:rPr>
              <w:t xml:space="preserve"> </w:t>
            </w:r>
            <w:r w:rsidR="008375D5" w:rsidRPr="00532DB7">
              <w:rPr>
                <w:rFonts w:ascii="Calibri" w:hAnsi="Calibri" w:cs="Calibri"/>
                <w:color w:val="000000"/>
                <w:sz w:val="24"/>
                <w:szCs w:val="24"/>
              </w:rPr>
              <w:t>métalliques, pour lesquels il convient de faire référence aux Normes européennes de produit ou, à défaut, aux</w:t>
            </w:r>
            <w:r w:rsidR="008375D5" w:rsidRPr="00532DB7">
              <w:rPr>
                <w:rFonts w:ascii="Calibri" w:hAnsi="Calibri" w:cs="Calibri"/>
                <w:color w:val="000000"/>
                <w:sz w:val="24"/>
                <w:szCs w:val="24"/>
              </w:rPr>
              <w:br/>
              <w:t>spécifications techniques définies en concertation entre le client et le fabricant.</w:t>
            </w:r>
          </w:p>
        </w:tc>
      </w:tr>
      <w:tr w:rsidR="008375D5" w:rsidRPr="0043547B" w:rsidTr="00A145FB">
        <w:trPr>
          <w:trHeight w:val="383"/>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8375D5" w:rsidRDefault="008375D5" w:rsidP="00A145FB">
            <w:pPr>
              <w:spacing w:after="0" w:line="240" w:lineRule="auto"/>
              <w:jc w:val="center"/>
              <w:rPr>
                <w:rFonts w:ascii="Calibri" w:hAnsi="Calibri" w:cs="Calibri"/>
                <w:b/>
                <w:bCs/>
                <w:color w:val="000000"/>
                <w:sz w:val="24"/>
                <w:szCs w:val="24"/>
              </w:rPr>
            </w:pPr>
            <w:r>
              <w:rPr>
                <w:rFonts w:ascii="Calibri" w:hAnsi="Calibri" w:cs="Calibri"/>
                <w:b/>
                <w:bCs/>
                <w:color w:val="000000"/>
              </w:rPr>
              <w:t>Code :</w:t>
            </w:r>
          </w:p>
        </w:tc>
        <w:tc>
          <w:tcPr>
            <w:tcW w:w="7938" w:type="dxa"/>
            <w:tcBorders>
              <w:left w:val="single" w:sz="4" w:space="0" w:color="auto"/>
              <w:bottom w:val="single" w:sz="18" w:space="0" w:color="auto"/>
              <w:right w:val="single" w:sz="18" w:space="0" w:color="auto"/>
            </w:tcBorders>
            <w:shd w:val="clear" w:color="auto" w:fill="C2D69B" w:themeFill="accent3" w:themeFillTint="99"/>
            <w:vAlign w:val="center"/>
          </w:tcPr>
          <w:p w:rsidR="008375D5" w:rsidRPr="00A145FB" w:rsidRDefault="008375D5" w:rsidP="00A145FB">
            <w:pPr>
              <w:spacing w:after="0" w:line="240" w:lineRule="auto"/>
              <w:jc w:val="center"/>
              <w:rPr>
                <w:rFonts w:ascii="Calibri" w:hAnsi="Calibri" w:cs="Calibri"/>
                <w:b/>
                <w:bCs/>
                <w:color w:val="000000"/>
                <w:sz w:val="24"/>
                <w:szCs w:val="24"/>
              </w:rPr>
            </w:pPr>
            <w:r w:rsidRPr="00A145FB">
              <w:rPr>
                <w:rFonts w:ascii="Calibri" w:hAnsi="Calibri" w:cs="Calibri"/>
                <w:b/>
                <w:bCs/>
                <w:color w:val="000000"/>
                <w:sz w:val="24"/>
                <w:szCs w:val="24"/>
              </w:rPr>
              <w:t>NM EN 14474</w:t>
            </w:r>
          </w:p>
        </w:tc>
      </w:tr>
      <w:tr w:rsidR="008375D5" w:rsidRPr="0043547B" w:rsidTr="00A145FB">
        <w:trPr>
          <w:trHeight w:val="377"/>
          <w:jc w:val="center"/>
        </w:trPr>
        <w:tc>
          <w:tcPr>
            <w:tcW w:w="1838" w:type="dxa"/>
            <w:tcBorders>
              <w:top w:val="nil"/>
              <w:left w:val="single" w:sz="18" w:space="0" w:color="auto"/>
              <w:bottom w:val="single" w:sz="18" w:space="0" w:color="auto"/>
              <w:right w:val="single" w:sz="4" w:space="0" w:color="auto"/>
            </w:tcBorders>
            <w:shd w:val="clear" w:color="auto" w:fill="FFFFCC"/>
            <w:vAlign w:val="center"/>
          </w:tcPr>
          <w:p w:rsidR="008375D5" w:rsidRDefault="008375D5" w:rsidP="00A145FB">
            <w:pPr>
              <w:spacing w:after="0" w:line="240" w:lineRule="auto"/>
              <w:jc w:val="center"/>
              <w:rPr>
                <w:rFonts w:ascii="Calibri" w:hAnsi="Calibri" w:cs="Calibri"/>
                <w:b/>
                <w:bCs/>
                <w:color w:val="000000"/>
                <w:sz w:val="24"/>
                <w:szCs w:val="24"/>
              </w:rPr>
            </w:pPr>
            <w:r>
              <w:rPr>
                <w:rFonts w:ascii="Calibri" w:hAnsi="Calibri" w:cs="Calibri"/>
                <w:b/>
                <w:bCs/>
                <w:color w:val="000000"/>
              </w:rPr>
              <w:t>Equivalence :</w:t>
            </w:r>
          </w:p>
        </w:tc>
        <w:tc>
          <w:tcPr>
            <w:tcW w:w="7938" w:type="dxa"/>
            <w:tcBorders>
              <w:left w:val="single" w:sz="4" w:space="0" w:color="auto"/>
              <w:bottom w:val="single" w:sz="18" w:space="0" w:color="auto"/>
              <w:right w:val="single" w:sz="18" w:space="0" w:color="auto"/>
            </w:tcBorders>
            <w:shd w:val="clear" w:color="auto" w:fill="FFFFCC"/>
            <w:vAlign w:val="center"/>
          </w:tcPr>
          <w:p w:rsidR="008375D5" w:rsidRPr="00A145FB" w:rsidRDefault="008375D5" w:rsidP="00A145FB">
            <w:pPr>
              <w:spacing w:after="0" w:line="240" w:lineRule="auto"/>
              <w:jc w:val="center"/>
              <w:rPr>
                <w:rFonts w:ascii="Calibri" w:hAnsi="Calibri" w:cs="Calibri"/>
                <w:b/>
                <w:bCs/>
                <w:color w:val="000000"/>
                <w:sz w:val="24"/>
                <w:szCs w:val="24"/>
              </w:rPr>
            </w:pPr>
            <w:r w:rsidRPr="00A145FB">
              <w:rPr>
                <w:rFonts w:ascii="Calibri" w:hAnsi="Calibri" w:cs="Calibri"/>
                <w:b/>
                <w:bCs/>
                <w:color w:val="000000"/>
                <w:sz w:val="24"/>
                <w:szCs w:val="24"/>
              </w:rPr>
              <w:t>EN 14474</w:t>
            </w:r>
          </w:p>
        </w:tc>
      </w:tr>
      <w:tr w:rsidR="008375D5" w:rsidRPr="0043547B" w:rsidTr="00A145FB">
        <w:trPr>
          <w:trHeight w:val="561"/>
          <w:jc w:val="center"/>
        </w:trPr>
        <w:tc>
          <w:tcPr>
            <w:tcW w:w="1838" w:type="dxa"/>
            <w:tcBorders>
              <w:top w:val="single" w:sz="18" w:space="0" w:color="auto"/>
              <w:left w:val="single" w:sz="18" w:space="0" w:color="auto"/>
              <w:bottom w:val="single" w:sz="4" w:space="0" w:color="auto"/>
              <w:right w:val="single" w:sz="4" w:space="0" w:color="auto"/>
            </w:tcBorders>
            <w:shd w:val="clear" w:color="auto" w:fill="B8CCE4" w:themeFill="accent1" w:themeFillTint="66"/>
            <w:vAlign w:val="center"/>
          </w:tcPr>
          <w:p w:rsidR="008375D5" w:rsidRDefault="008375D5" w:rsidP="00A145FB">
            <w:pPr>
              <w:spacing w:after="0" w:line="240" w:lineRule="auto"/>
              <w:jc w:val="center"/>
              <w:rPr>
                <w:rFonts w:ascii="Calibri" w:hAnsi="Calibri" w:cs="Calibri"/>
                <w:b/>
                <w:bCs/>
                <w:color w:val="000000"/>
                <w:sz w:val="24"/>
                <w:szCs w:val="24"/>
              </w:rPr>
            </w:pPr>
            <w:r>
              <w:rPr>
                <w:rFonts w:ascii="Calibri" w:hAnsi="Calibri" w:cs="Calibri"/>
                <w:b/>
                <w:bCs/>
                <w:color w:val="000000"/>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tcPr>
          <w:p w:rsidR="008375D5" w:rsidRPr="00532DB7" w:rsidRDefault="008375D5" w:rsidP="00532DB7">
            <w:pPr>
              <w:spacing w:after="0" w:line="240" w:lineRule="auto"/>
              <w:rPr>
                <w:rFonts w:ascii="Calibri" w:hAnsi="Calibri" w:cs="Calibri"/>
                <w:color w:val="000000"/>
                <w:sz w:val="24"/>
                <w:szCs w:val="24"/>
              </w:rPr>
            </w:pPr>
            <w:r w:rsidRPr="00532DB7">
              <w:rPr>
                <w:rFonts w:ascii="Calibri" w:hAnsi="Calibri" w:cs="Calibri"/>
                <w:color w:val="000000"/>
                <w:sz w:val="24"/>
                <w:szCs w:val="24"/>
              </w:rPr>
              <w:t xml:space="preserve">Produits préfabriqués en béton - Béton utilisant des copeaux de bois comme granulat - Exigences et méthodes d'essai </w:t>
            </w:r>
          </w:p>
        </w:tc>
      </w:tr>
      <w:tr w:rsidR="008375D5" w:rsidRPr="0043547B" w:rsidTr="00A145FB">
        <w:trPr>
          <w:trHeight w:val="561"/>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8375D5" w:rsidRDefault="008375D5" w:rsidP="00A145FB">
            <w:pPr>
              <w:spacing w:after="0" w:line="240" w:lineRule="auto"/>
              <w:jc w:val="center"/>
              <w:rPr>
                <w:rFonts w:ascii="Calibri" w:hAnsi="Calibri" w:cs="Calibri"/>
                <w:b/>
                <w:bCs/>
                <w:sz w:val="24"/>
                <w:szCs w:val="24"/>
              </w:rPr>
            </w:pPr>
            <w:r>
              <w:rPr>
                <w:rFonts w:ascii="Calibri" w:hAnsi="Calibri" w:cs="Calibri"/>
                <w:b/>
                <w:bCs/>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tcPr>
          <w:p w:rsidR="00A145FB" w:rsidRDefault="008375D5" w:rsidP="00A145FB">
            <w:pPr>
              <w:spacing w:after="0" w:line="240" w:lineRule="auto"/>
              <w:jc w:val="both"/>
              <w:rPr>
                <w:rFonts w:ascii="Calibri" w:hAnsi="Calibri" w:cs="Calibri"/>
                <w:color w:val="000000"/>
                <w:sz w:val="24"/>
                <w:szCs w:val="24"/>
              </w:rPr>
            </w:pPr>
            <w:r w:rsidRPr="00532DB7">
              <w:rPr>
                <w:rFonts w:ascii="Calibri" w:hAnsi="Calibri" w:cs="Calibri"/>
                <w:color w:val="000000"/>
                <w:sz w:val="24"/>
                <w:szCs w:val="24"/>
              </w:rPr>
              <w:t>Le présent document spécifie les prescriptions communes relatives au béton de bois utilisé dans les produits préfabriqués</w:t>
            </w:r>
            <w:r w:rsidR="00A145FB">
              <w:rPr>
                <w:rFonts w:ascii="Calibri" w:hAnsi="Calibri" w:cs="Calibri"/>
                <w:color w:val="000000"/>
                <w:sz w:val="24"/>
                <w:szCs w:val="24"/>
              </w:rPr>
              <w:t xml:space="preserve"> </w:t>
            </w:r>
            <w:r w:rsidRPr="00532DB7">
              <w:rPr>
                <w:rFonts w:ascii="Calibri" w:hAnsi="Calibri" w:cs="Calibri"/>
                <w:color w:val="000000"/>
                <w:sz w:val="24"/>
                <w:szCs w:val="24"/>
              </w:rPr>
              <w:t>en béton de bois. Il est destiné à être utilisé lors de la préparation des normes relatives aux produits</w:t>
            </w:r>
            <w:r w:rsidR="00A145FB">
              <w:rPr>
                <w:rFonts w:ascii="Calibri" w:hAnsi="Calibri" w:cs="Calibri"/>
                <w:color w:val="000000"/>
                <w:sz w:val="24"/>
                <w:szCs w:val="24"/>
              </w:rPr>
              <w:t xml:space="preserve"> </w:t>
            </w:r>
            <w:r w:rsidRPr="00532DB7">
              <w:rPr>
                <w:rFonts w:ascii="Calibri" w:hAnsi="Calibri" w:cs="Calibri"/>
                <w:color w:val="000000"/>
                <w:sz w:val="24"/>
                <w:szCs w:val="24"/>
              </w:rPr>
              <w:t>préfabriqués en béton de bois. Ces normes définiront des prescriptions spécifiques qui pourront s'ajouter à celles</w:t>
            </w:r>
            <w:r w:rsidR="00A145FB">
              <w:rPr>
                <w:rFonts w:ascii="Calibri" w:hAnsi="Calibri" w:cs="Calibri"/>
                <w:color w:val="000000"/>
                <w:sz w:val="24"/>
                <w:szCs w:val="24"/>
              </w:rPr>
              <w:t xml:space="preserve"> </w:t>
            </w:r>
            <w:r w:rsidRPr="00532DB7">
              <w:rPr>
                <w:rFonts w:ascii="Calibri" w:hAnsi="Calibri" w:cs="Calibri"/>
                <w:color w:val="000000"/>
                <w:sz w:val="24"/>
                <w:szCs w:val="24"/>
              </w:rPr>
              <w:t>énoncées dans le présent document. Les normes de produits énonceront les valeurs limites le cas échéant.</w:t>
            </w:r>
          </w:p>
          <w:p w:rsidR="00A145FB" w:rsidRDefault="008375D5" w:rsidP="00A145FB">
            <w:pPr>
              <w:spacing w:after="0" w:line="240" w:lineRule="auto"/>
              <w:jc w:val="both"/>
              <w:rPr>
                <w:rFonts w:ascii="Calibri" w:hAnsi="Calibri" w:cs="Calibri"/>
                <w:color w:val="000000"/>
                <w:sz w:val="24"/>
                <w:szCs w:val="24"/>
              </w:rPr>
            </w:pPr>
            <w:r w:rsidRPr="00532DB7">
              <w:rPr>
                <w:rFonts w:ascii="Calibri" w:hAnsi="Calibri" w:cs="Calibri"/>
                <w:color w:val="000000"/>
                <w:sz w:val="24"/>
                <w:szCs w:val="24"/>
              </w:rPr>
              <w:t>Exemples d'utilisation du béton de bois : Entrevous, blocs à bancher, dalles, éléments de parement, éléments de</w:t>
            </w:r>
            <w:r w:rsidR="00A145FB">
              <w:rPr>
                <w:rFonts w:ascii="Calibri" w:hAnsi="Calibri" w:cs="Calibri"/>
                <w:color w:val="000000"/>
                <w:sz w:val="24"/>
                <w:szCs w:val="24"/>
              </w:rPr>
              <w:t xml:space="preserve"> </w:t>
            </w:r>
            <w:r w:rsidRPr="00532DB7">
              <w:rPr>
                <w:rFonts w:ascii="Calibri" w:hAnsi="Calibri" w:cs="Calibri"/>
                <w:color w:val="000000"/>
                <w:sz w:val="24"/>
                <w:szCs w:val="24"/>
              </w:rPr>
              <w:t>parement acoustiques et/ou thermiques, éléments de cloisonnement, casiers à bouteilles, etc.</w:t>
            </w:r>
          </w:p>
          <w:p w:rsidR="008375D5" w:rsidRPr="00532DB7" w:rsidRDefault="008375D5" w:rsidP="00A145FB">
            <w:pPr>
              <w:spacing w:after="0" w:line="240" w:lineRule="auto"/>
              <w:jc w:val="both"/>
              <w:rPr>
                <w:rFonts w:ascii="Calibri" w:hAnsi="Calibri" w:cs="Calibri"/>
                <w:color w:val="000000"/>
                <w:sz w:val="24"/>
                <w:szCs w:val="24"/>
              </w:rPr>
            </w:pPr>
            <w:r w:rsidRPr="00532DB7">
              <w:rPr>
                <w:rFonts w:ascii="Calibri" w:hAnsi="Calibri" w:cs="Calibri"/>
                <w:color w:val="000000"/>
                <w:sz w:val="24"/>
                <w:szCs w:val="24"/>
              </w:rPr>
              <w:t>Le présent document n'est pas applicable aux bétons pour éléments de maçonnerie structuraux couverts par</w:t>
            </w:r>
            <w:r w:rsidR="00A145FB">
              <w:rPr>
                <w:rFonts w:ascii="Calibri" w:hAnsi="Calibri" w:cs="Calibri"/>
                <w:color w:val="000000"/>
                <w:sz w:val="24"/>
                <w:szCs w:val="24"/>
              </w:rPr>
              <w:t xml:space="preserve"> </w:t>
            </w:r>
            <w:r w:rsidRPr="00532DB7">
              <w:rPr>
                <w:rFonts w:ascii="Calibri" w:hAnsi="Calibri" w:cs="Calibri"/>
                <w:color w:val="000000"/>
                <w:sz w:val="24"/>
                <w:szCs w:val="24"/>
              </w:rPr>
              <w:t>l'EN 771-3 et leurs accessoires.</w:t>
            </w:r>
          </w:p>
        </w:tc>
      </w:tr>
      <w:tr w:rsidR="008375D5" w:rsidRPr="0043547B" w:rsidTr="00A145FB">
        <w:trPr>
          <w:trHeight w:val="412"/>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8375D5" w:rsidRDefault="008375D5" w:rsidP="00A145FB">
            <w:pPr>
              <w:spacing w:after="0" w:line="240" w:lineRule="auto"/>
              <w:jc w:val="center"/>
              <w:rPr>
                <w:rFonts w:ascii="Calibri" w:hAnsi="Calibri" w:cs="Calibri"/>
                <w:b/>
                <w:bCs/>
                <w:color w:val="000000"/>
                <w:sz w:val="24"/>
                <w:szCs w:val="24"/>
              </w:rPr>
            </w:pPr>
            <w:r>
              <w:rPr>
                <w:rFonts w:ascii="Calibri" w:hAnsi="Calibri" w:cs="Calibri"/>
                <w:b/>
                <w:bCs/>
                <w:color w:val="000000"/>
              </w:rPr>
              <w:t>Code :</w:t>
            </w:r>
          </w:p>
        </w:tc>
        <w:tc>
          <w:tcPr>
            <w:tcW w:w="7938" w:type="dxa"/>
            <w:tcBorders>
              <w:left w:val="single" w:sz="4" w:space="0" w:color="auto"/>
              <w:bottom w:val="single" w:sz="18" w:space="0" w:color="auto"/>
              <w:right w:val="single" w:sz="18" w:space="0" w:color="auto"/>
            </w:tcBorders>
            <w:shd w:val="clear" w:color="auto" w:fill="C2D69B" w:themeFill="accent3" w:themeFillTint="99"/>
            <w:vAlign w:val="center"/>
          </w:tcPr>
          <w:p w:rsidR="008375D5" w:rsidRPr="00A145FB" w:rsidRDefault="008375D5" w:rsidP="00A145FB">
            <w:pPr>
              <w:spacing w:after="0" w:line="240" w:lineRule="auto"/>
              <w:jc w:val="center"/>
              <w:rPr>
                <w:rFonts w:ascii="Calibri" w:hAnsi="Calibri" w:cs="Calibri"/>
                <w:b/>
                <w:bCs/>
                <w:color w:val="000000"/>
                <w:sz w:val="24"/>
                <w:szCs w:val="24"/>
              </w:rPr>
            </w:pPr>
            <w:r w:rsidRPr="00A145FB">
              <w:rPr>
                <w:rFonts w:ascii="Calibri" w:hAnsi="Calibri" w:cs="Calibri"/>
                <w:b/>
                <w:bCs/>
                <w:color w:val="000000"/>
                <w:sz w:val="24"/>
                <w:szCs w:val="24"/>
              </w:rPr>
              <w:t>NM EN 15191</w:t>
            </w:r>
          </w:p>
        </w:tc>
      </w:tr>
      <w:tr w:rsidR="008375D5" w:rsidRPr="0043547B" w:rsidTr="00A145FB">
        <w:trPr>
          <w:trHeight w:val="376"/>
          <w:jc w:val="center"/>
        </w:trPr>
        <w:tc>
          <w:tcPr>
            <w:tcW w:w="1838" w:type="dxa"/>
            <w:tcBorders>
              <w:top w:val="nil"/>
              <w:left w:val="single" w:sz="18" w:space="0" w:color="auto"/>
              <w:bottom w:val="single" w:sz="18" w:space="0" w:color="auto"/>
              <w:right w:val="single" w:sz="4" w:space="0" w:color="auto"/>
            </w:tcBorders>
            <w:shd w:val="clear" w:color="auto" w:fill="FFFFCC"/>
            <w:vAlign w:val="center"/>
          </w:tcPr>
          <w:p w:rsidR="008375D5" w:rsidRDefault="008375D5" w:rsidP="00A145FB">
            <w:pPr>
              <w:spacing w:after="0" w:line="240" w:lineRule="auto"/>
              <w:jc w:val="center"/>
              <w:rPr>
                <w:rFonts w:ascii="Calibri" w:hAnsi="Calibri" w:cs="Calibri"/>
                <w:b/>
                <w:bCs/>
                <w:color w:val="000000"/>
                <w:sz w:val="24"/>
                <w:szCs w:val="24"/>
              </w:rPr>
            </w:pPr>
            <w:r>
              <w:rPr>
                <w:rFonts w:ascii="Calibri" w:hAnsi="Calibri" w:cs="Calibri"/>
                <w:b/>
                <w:bCs/>
                <w:color w:val="000000"/>
              </w:rPr>
              <w:t>Equivalence :</w:t>
            </w:r>
          </w:p>
        </w:tc>
        <w:tc>
          <w:tcPr>
            <w:tcW w:w="7938" w:type="dxa"/>
            <w:tcBorders>
              <w:left w:val="single" w:sz="4" w:space="0" w:color="auto"/>
              <w:bottom w:val="single" w:sz="18" w:space="0" w:color="auto"/>
              <w:right w:val="single" w:sz="18" w:space="0" w:color="auto"/>
            </w:tcBorders>
            <w:shd w:val="clear" w:color="auto" w:fill="FFFFCC"/>
            <w:vAlign w:val="center"/>
          </w:tcPr>
          <w:p w:rsidR="008375D5" w:rsidRPr="00A145FB" w:rsidRDefault="008375D5" w:rsidP="00A145FB">
            <w:pPr>
              <w:spacing w:after="0" w:line="240" w:lineRule="auto"/>
              <w:jc w:val="center"/>
              <w:rPr>
                <w:rFonts w:ascii="Calibri" w:hAnsi="Calibri" w:cs="Calibri"/>
                <w:b/>
                <w:bCs/>
                <w:color w:val="000000"/>
                <w:sz w:val="24"/>
                <w:szCs w:val="24"/>
              </w:rPr>
            </w:pPr>
            <w:r w:rsidRPr="00A145FB">
              <w:rPr>
                <w:rFonts w:ascii="Calibri" w:hAnsi="Calibri" w:cs="Calibri"/>
                <w:b/>
                <w:bCs/>
                <w:color w:val="000000"/>
                <w:sz w:val="24"/>
                <w:szCs w:val="24"/>
              </w:rPr>
              <w:t>EN 15191</w:t>
            </w:r>
          </w:p>
        </w:tc>
      </w:tr>
      <w:tr w:rsidR="008375D5" w:rsidRPr="0043547B" w:rsidTr="00A145FB">
        <w:trPr>
          <w:trHeight w:val="561"/>
          <w:jc w:val="center"/>
        </w:trPr>
        <w:tc>
          <w:tcPr>
            <w:tcW w:w="1838" w:type="dxa"/>
            <w:tcBorders>
              <w:top w:val="single" w:sz="18" w:space="0" w:color="auto"/>
              <w:left w:val="single" w:sz="18" w:space="0" w:color="auto"/>
              <w:bottom w:val="single" w:sz="4" w:space="0" w:color="auto"/>
              <w:right w:val="single" w:sz="4" w:space="0" w:color="auto"/>
            </w:tcBorders>
            <w:shd w:val="clear" w:color="auto" w:fill="B8CCE4" w:themeFill="accent1" w:themeFillTint="66"/>
            <w:vAlign w:val="center"/>
          </w:tcPr>
          <w:p w:rsidR="008375D5" w:rsidRDefault="008375D5" w:rsidP="00A145FB">
            <w:pPr>
              <w:spacing w:after="0" w:line="240" w:lineRule="auto"/>
              <w:jc w:val="center"/>
              <w:rPr>
                <w:rFonts w:ascii="Calibri" w:hAnsi="Calibri" w:cs="Calibri"/>
                <w:b/>
                <w:bCs/>
                <w:color w:val="000000"/>
                <w:sz w:val="24"/>
                <w:szCs w:val="24"/>
              </w:rPr>
            </w:pPr>
            <w:r>
              <w:rPr>
                <w:rFonts w:ascii="Calibri" w:hAnsi="Calibri" w:cs="Calibri"/>
                <w:b/>
                <w:bCs/>
                <w:color w:val="000000"/>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tcPr>
          <w:p w:rsidR="008375D5" w:rsidRPr="00532DB7" w:rsidRDefault="008375D5" w:rsidP="00A145FB">
            <w:pPr>
              <w:spacing w:after="0" w:line="240" w:lineRule="auto"/>
              <w:jc w:val="both"/>
              <w:rPr>
                <w:rFonts w:ascii="Calibri" w:hAnsi="Calibri" w:cs="Calibri"/>
                <w:color w:val="000000"/>
                <w:sz w:val="24"/>
                <w:szCs w:val="24"/>
              </w:rPr>
            </w:pPr>
            <w:r w:rsidRPr="00532DB7">
              <w:rPr>
                <w:rFonts w:ascii="Calibri" w:hAnsi="Calibri" w:cs="Calibri"/>
                <w:color w:val="000000"/>
                <w:sz w:val="24"/>
                <w:szCs w:val="24"/>
              </w:rPr>
              <w:t>Produits préfabriqués en béton - Classification des performances des composites ciment-verre</w:t>
            </w:r>
          </w:p>
        </w:tc>
      </w:tr>
      <w:tr w:rsidR="008375D5" w:rsidRPr="0043547B" w:rsidTr="00A145FB">
        <w:trPr>
          <w:trHeight w:val="561"/>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8375D5" w:rsidRDefault="008375D5" w:rsidP="00A145FB">
            <w:pPr>
              <w:spacing w:after="0" w:line="240" w:lineRule="auto"/>
              <w:jc w:val="center"/>
              <w:rPr>
                <w:rFonts w:ascii="Calibri" w:hAnsi="Calibri" w:cs="Calibri"/>
                <w:b/>
                <w:bCs/>
                <w:color w:val="000000"/>
                <w:sz w:val="24"/>
                <w:szCs w:val="24"/>
              </w:rPr>
            </w:pPr>
            <w:r>
              <w:rPr>
                <w:rFonts w:ascii="Calibri" w:hAnsi="Calibri" w:cs="Calibri"/>
                <w:b/>
                <w:bCs/>
                <w:color w:val="000000"/>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tcPr>
          <w:p w:rsidR="00A145FB" w:rsidRDefault="008375D5" w:rsidP="00A145FB">
            <w:pPr>
              <w:spacing w:after="0" w:line="240" w:lineRule="auto"/>
              <w:jc w:val="both"/>
              <w:rPr>
                <w:rFonts w:ascii="Calibri" w:hAnsi="Calibri" w:cs="Calibri"/>
                <w:color w:val="000000"/>
                <w:sz w:val="24"/>
                <w:szCs w:val="24"/>
              </w:rPr>
            </w:pPr>
            <w:r w:rsidRPr="00532DB7">
              <w:rPr>
                <w:rFonts w:ascii="Calibri" w:hAnsi="Calibri" w:cs="Calibri"/>
                <w:color w:val="000000"/>
                <w:sz w:val="24"/>
                <w:szCs w:val="24"/>
              </w:rPr>
              <w:t>La présente Norme européenne traite de la classification des composites ciment-verre. Cette classification répond</w:t>
            </w:r>
            <w:r w:rsidR="00A145FB">
              <w:rPr>
                <w:rFonts w:ascii="Calibri" w:hAnsi="Calibri" w:cs="Calibri"/>
                <w:color w:val="000000"/>
                <w:sz w:val="24"/>
                <w:szCs w:val="24"/>
              </w:rPr>
              <w:t xml:space="preserve"> </w:t>
            </w:r>
            <w:r w:rsidRPr="00532DB7">
              <w:rPr>
                <w:rFonts w:ascii="Calibri" w:hAnsi="Calibri" w:cs="Calibri"/>
                <w:color w:val="000000"/>
                <w:sz w:val="24"/>
                <w:szCs w:val="24"/>
              </w:rPr>
              <w:t>aux besoins du processus de conception des éléments de composites ciment-ver</w:t>
            </w:r>
            <w:r w:rsidR="00A145FB">
              <w:rPr>
                <w:rFonts w:ascii="Calibri" w:hAnsi="Calibri" w:cs="Calibri"/>
                <w:color w:val="000000"/>
                <w:sz w:val="24"/>
                <w:szCs w:val="24"/>
              </w:rPr>
              <w:t xml:space="preserve">re. La présente Norme </w:t>
            </w:r>
            <w:r w:rsidRPr="00532DB7">
              <w:rPr>
                <w:rFonts w:ascii="Calibri" w:hAnsi="Calibri" w:cs="Calibri"/>
                <w:color w:val="000000"/>
                <w:sz w:val="24"/>
                <w:szCs w:val="24"/>
              </w:rPr>
              <w:t>s'applique uniquement si l’EN 1169 est respectée.</w:t>
            </w:r>
          </w:p>
          <w:p w:rsidR="008375D5" w:rsidRPr="00532DB7" w:rsidRDefault="008375D5" w:rsidP="00A145FB">
            <w:pPr>
              <w:spacing w:after="0" w:line="240" w:lineRule="auto"/>
              <w:jc w:val="both"/>
              <w:rPr>
                <w:rFonts w:ascii="Calibri" w:hAnsi="Calibri" w:cs="Calibri"/>
                <w:color w:val="000000"/>
                <w:sz w:val="24"/>
                <w:szCs w:val="24"/>
              </w:rPr>
            </w:pPr>
            <w:r w:rsidRPr="00532DB7">
              <w:rPr>
                <w:rFonts w:ascii="Calibri" w:hAnsi="Calibri" w:cs="Calibri"/>
                <w:color w:val="000000"/>
                <w:sz w:val="24"/>
                <w:szCs w:val="24"/>
              </w:rPr>
              <w:t>La présente norme ne traite pas des méthodes de calcul.</w:t>
            </w:r>
          </w:p>
        </w:tc>
      </w:tr>
      <w:tr w:rsidR="008375D5" w:rsidRPr="0043547B" w:rsidTr="00A145FB">
        <w:trPr>
          <w:trHeight w:val="450"/>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8375D5" w:rsidRPr="00A145FB" w:rsidRDefault="008375D5" w:rsidP="00A145FB">
            <w:pPr>
              <w:spacing w:after="0" w:line="240" w:lineRule="auto"/>
              <w:jc w:val="center"/>
              <w:rPr>
                <w:rFonts w:ascii="Calibri" w:hAnsi="Calibri" w:cs="Calibri"/>
                <w:b/>
                <w:bCs/>
                <w:color w:val="000000"/>
                <w:sz w:val="24"/>
                <w:szCs w:val="24"/>
              </w:rPr>
            </w:pPr>
            <w:r w:rsidRPr="00A145FB">
              <w:rPr>
                <w:rFonts w:ascii="Calibri" w:hAnsi="Calibri" w:cs="Calibri"/>
                <w:b/>
                <w:bCs/>
                <w:color w:val="000000"/>
                <w:sz w:val="24"/>
                <w:szCs w:val="24"/>
              </w:rPr>
              <w:t>Code :</w:t>
            </w:r>
          </w:p>
        </w:tc>
        <w:tc>
          <w:tcPr>
            <w:tcW w:w="7938" w:type="dxa"/>
            <w:tcBorders>
              <w:left w:val="single" w:sz="4" w:space="0" w:color="auto"/>
              <w:bottom w:val="single" w:sz="18" w:space="0" w:color="auto"/>
              <w:right w:val="single" w:sz="18" w:space="0" w:color="auto"/>
            </w:tcBorders>
            <w:shd w:val="clear" w:color="auto" w:fill="C2D69B" w:themeFill="accent3" w:themeFillTint="99"/>
            <w:vAlign w:val="center"/>
          </w:tcPr>
          <w:p w:rsidR="008375D5" w:rsidRPr="00A145FB" w:rsidRDefault="008375D5" w:rsidP="00A145FB">
            <w:pPr>
              <w:spacing w:after="0" w:line="240" w:lineRule="auto"/>
              <w:jc w:val="center"/>
              <w:rPr>
                <w:rFonts w:ascii="Calibri" w:hAnsi="Calibri" w:cs="Calibri"/>
                <w:b/>
                <w:bCs/>
                <w:color w:val="000000"/>
                <w:sz w:val="24"/>
                <w:szCs w:val="24"/>
              </w:rPr>
            </w:pPr>
            <w:r w:rsidRPr="00A145FB">
              <w:rPr>
                <w:rFonts w:ascii="Calibri" w:hAnsi="Calibri" w:cs="Calibri"/>
                <w:b/>
                <w:bCs/>
                <w:color w:val="000000"/>
                <w:sz w:val="24"/>
                <w:szCs w:val="24"/>
              </w:rPr>
              <w:t>NM EN 1340</w:t>
            </w:r>
          </w:p>
        </w:tc>
      </w:tr>
      <w:tr w:rsidR="008375D5" w:rsidRPr="0043547B" w:rsidTr="00A145FB">
        <w:trPr>
          <w:trHeight w:val="514"/>
          <w:jc w:val="center"/>
        </w:trPr>
        <w:tc>
          <w:tcPr>
            <w:tcW w:w="1838" w:type="dxa"/>
            <w:tcBorders>
              <w:top w:val="nil"/>
              <w:left w:val="single" w:sz="18" w:space="0" w:color="auto"/>
              <w:bottom w:val="single" w:sz="18" w:space="0" w:color="auto"/>
              <w:right w:val="single" w:sz="4" w:space="0" w:color="auto"/>
            </w:tcBorders>
            <w:shd w:val="clear" w:color="auto" w:fill="FFFFCC"/>
            <w:vAlign w:val="center"/>
          </w:tcPr>
          <w:p w:rsidR="008375D5" w:rsidRPr="00A145FB" w:rsidRDefault="008375D5" w:rsidP="00A145FB">
            <w:pPr>
              <w:spacing w:after="0" w:line="240" w:lineRule="auto"/>
              <w:jc w:val="center"/>
              <w:rPr>
                <w:rFonts w:ascii="Calibri" w:hAnsi="Calibri" w:cs="Calibri"/>
                <w:b/>
                <w:bCs/>
                <w:color w:val="000000"/>
                <w:sz w:val="24"/>
                <w:szCs w:val="24"/>
              </w:rPr>
            </w:pPr>
            <w:r w:rsidRPr="00A145FB">
              <w:rPr>
                <w:rFonts w:ascii="Calibri" w:hAnsi="Calibri" w:cs="Calibri"/>
                <w:b/>
                <w:bCs/>
                <w:color w:val="000000"/>
                <w:sz w:val="24"/>
                <w:szCs w:val="24"/>
              </w:rPr>
              <w:t>Equivalence :</w:t>
            </w:r>
          </w:p>
        </w:tc>
        <w:tc>
          <w:tcPr>
            <w:tcW w:w="7938" w:type="dxa"/>
            <w:tcBorders>
              <w:left w:val="single" w:sz="4" w:space="0" w:color="auto"/>
              <w:bottom w:val="single" w:sz="18" w:space="0" w:color="auto"/>
              <w:right w:val="single" w:sz="18" w:space="0" w:color="auto"/>
            </w:tcBorders>
            <w:shd w:val="clear" w:color="auto" w:fill="FFFFCC"/>
            <w:vAlign w:val="center"/>
          </w:tcPr>
          <w:p w:rsidR="008375D5" w:rsidRPr="00A145FB" w:rsidRDefault="008375D5" w:rsidP="00A145FB">
            <w:pPr>
              <w:spacing w:after="0" w:line="240" w:lineRule="auto"/>
              <w:jc w:val="center"/>
              <w:rPr>
                <w:rFonts w:ascii="Calibri" w:hAnsi="Calibri" w:cs="Calibri"/>
                <w:b/>
                <w:bCs/>
                <w:color w:val="000000"/>
                <w:sz w:val="24"/>
                <w:szCs w:val="24"/>
              </w:rPr>
            </w:pPr>
            <w:r w:rsidRPr="00A145FB">
              <w:rPr>
                <w:rFonts w:ascii="Calibri" w:hAnsi="Calibri" w:cs="Calibri"/>
                <w:b/>
                <w:bCs/>
                <w:color w:val="000000"/>
                <w:sz w:val="24"/>
                <w:szCs w:val="24"/>
              </w:rPr>
              <w:t>EN 1340</w:t>
            </w:r>
          </w:p>
        </w:tc>
      </w:tr>
      <w:tr w:rsidR="008375D5" w:rsidRPr="0043547B" w:rsidTr="00A145FB">
        <w:trPr>
          <w:trHeight w:val="561"/>
          <w:jc w:val="center"/>
        </w:trPr>
        <w:tc>
          <w:tcPr>
            <w:tcW w:w="1838" w:type="dxa"/>
            <w:tcBorders>
              <w:top w:val="single" w:sz="18" w:space="0" w:color="auto"/>
              <w:left w:val="single" w:sz="18" w:space="0" w:color="auto"/>
              <w:bottom w:val="single" w:sz="4" w:space="0" w:color="auto"/>
              <w:right w:val="single" w:sz="4" w:space="0" w:color="auto"/>
            </w:tcBorders>
            <w:shd w:val="clear" w:color="auto" w:fill="B8CCE4" w:themeFill="accent1" w:themeFillTint="66"/>
            <w:vAlign w:val="center"/>
          </w:tcPr>
          <w:p w:rsidR="008375D5" w:rsidRPr="00A145FB" w:rsidRDefault="008375D5" w:rsidP="00A145FB">
            <w:pPr>
              <w:spacing w:after="0" w:line="240" w:lineRule="auto"/>
              <w:jc w:val="center"/>
              <w:rPr>
                <w:rFonts w:ascii="Calibri" w:hAnsi="Calibri" w:cs="Calibri"/>
                <w:b/>
                <w:bCs/>
                <w:color w:val="000000"/>
                <w:sz w:val="24"/>
                <w:szCs w:val="24"/>
              </w:rPr>
            </w:pPr>
            <w:r w:rsidRPr="00A145FB">
              <w:rPr>
                <w:rFonts w:ascii="Calibri" w:hAnsi="Calibri" w:cs="Calibri"/>
                <w:b/>
                <w:bCs/>
                <w:color w:val="000000"/>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tcPr>
          <w:p w:rsidR="008375D5" w:rsidRPr="00532DB7" w:rsidRDefault="008375D5" w:rsidP="00532DB7">
            <w:pPr>
              <w:spacing w:after="0" w:line="240" w:lineRule="auto"/>
              <w:rPr>
                <w:rFonts w:ascii="Calibri" w:hAnsi="Calibri" w:cs="Calibri"/>
                <w:color w:val="000000"/>
                <w:sz w:val="24"/>
                <w:szCs w:val="24"/>
              </w:rPr>
            </w:pPr>
            <w:r w:rsidRPr="00532DB7">
              <w:rPr>
                <w:rFonts w:ascii="Calibri" w:hAnsi="Calibri" w:cs="Calibri"/>
                <w:color w:val="000000"/>
                <w:sz w:val="24"/>
                <w:szCs w:val="24"/>
              </w:rPr>
              <w:t xml:space="preserve">Éléments pour bordures de trottoir en béton - Prescriptions et méthodes d’essai </w:t>
            </w:r>
          </w:p>
        </w:tc>
      </w:tr>
      <w:tr w:rsidR="008375D5" w:rsidRPr="0043547B" w:rsidTr="00A145FB">
        <w:trPr>
          <w:trHeight w:val="561"/>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8375D5" w:rsidRPr="00A145FB" w:rsidRDefault="008375D5" w:rsidP="00A145FB">
            <w:pPr>
              <w:spacing w:after="0" w:line="240" w:lineRule="auto"/>
              <w:jc w:val="center"/>
              <w:rPr>
                <w:rFonts w:ascii="Calibri" w:hAnsi="Calibri" w:cs="Calibri"/>
                <w:b/>
                <w:bCs/>
                <w:color w:val="000000"/>
                <w:sz w:val="24"/>
                <w:szCs w:val="24"/>
              </w:rPr>
            </w:pPr>
            <w:r w:rsidRPr="00A145FB">
              <w:rPr>
                <w:rFonts w:ascii="Calibri" w:hAnsi="Calibri" w:cs="Calibri"/>
                <w:b/>
                <w:bCs/>
                <w:color w:val="000000"/>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tcPr>
          <w:p w:rsidR="00A145FB" w:rsidRDefault="008375D5" w:rsidP="00A145FB">
            <w:pPr>
              <w:spacing w:after="0" w:line="240" w:lineRule="auto"/>
              <w:jc w:val="both"/>
              <w:rPr>
                <w:rFonts w:ascii="Calibri" w:hAnsi="Calibri" w:cs="Calibri"/>
                <w:color w:val="000000"/>
                <w:sz w:val="24"/>
                <w:szCs w:val="24"/>
              </w:rPr>
            </w:pPr>
            <w:r w:rsidRPr="00532DB7">
              <w:rPr>
                <w:rFonts w:ascii="Calibri" w:hAnsi="Calibri" w:cs="Calibri"/>
                <w:color w:val="000000"/>
                <w:sz w:val="24"/>
                <w:szCs w:val="24"/>
              </w:rPr>
              <w:t>La présente Norme européenne spécifie les matériaux, les propriétés, les prescriptions et les méthodes d’essai</w:t>
            </w:r>
            <w:r w:rsidR="00A145FB">
              <w:rPr>
                <w:rFonts w:ascii="Calibri" w:hAnsi="Calibri" w:cs="Calibri"/>
                <w:color w:val="000000"/>
                <w:sz w:val="24"/>
                <w:szCs w:val="24"/>
              </w:rPr>
              <w:t xml:space="preserve"> </w:t>
            </w:r>
            <w:r w:rsidRPr="00532DB7">
              <w:rPr>
                <w:rFonts w:ascii="Calibri" w:hAnsi="Calibri" w:cs="Calibri"/>
                <w:color w:val="000000"/>
                <w:sz w:val="24"/>
                <w:szCs w:val="24"/>
              </w:rPr>
              <w:t>relatifs aux éléments de bordure ou de caniveaux préfabriqués, en béton non armé et à leurs pièces complémentaires,</w:t>
            </w:r>
            <w:r w:rsidRPr="00532DB7">
              <w:rPr>
                <w:rFonts w:ascii="Calibri" w:hAnsi="Calibri" w:cs="Calibri"/>
                <w:color w:val="000000"/>
                <w:sz w:val="24"/>
                <w:szCs w:val="24"/>
              </w:rPr>
              <w:br/>
            </w:r>
            <w:r w:rsidRPr="00532DB7">
              <w:rPr>
                <w:rFonts w:ascii="Calibri" w:hAnsi="Calibri" w:cs="Calibri"/>
                <w:color w:val="000000"/>
                <w:sz w:val="24"/>
                <w:szCs w:val="24"/>
              </w:rPr>
              <w:lastRenderedPageBreak/>
              <w:t>particulièrement destinés aux zones de circulation extérieures revêtues et aux produits de toiture.</w:t>
            </w:r>
          </w:p>
          <w:p w:rsidR="00A145FB" w:rsidRDefault="008375D5" w:rsidP="00A145FB">
            <w:pPr>
              <w:spacing w:after="0" w:line="240" w:lineRule="auto"/>
              <w:jc w:val="both"/>
              <w:rPr>
                <w:rFonts w:ascii="Calibri" w:hAnsi="Calibri" w:cs="Calibri"/>
                <w:color w:val="000000"/>
                <w:sz w:val="24"/>
                <w:szCs w:val="24"/>
              </w:rPr>
            </w:pPr>
            <w:r w:rsidRPr="00532DB7">
              <w:rPr>
                <w:rFonts w:ascii="Calibri" w:hAnsi="Calibri" w:cs="Calibri"/>
                <w:color w:val="000000"/>
                <w:sz w:val="24"/>
                <w:szCs w:val="24"/>
              </w:rPr>
              <w:t>Les éléments assurent l'une ou plusieurs des fonctions suivantes :</w:t>
            </w:r>
          </w:p>
          <w:p w:rsidR="00A145FB" w:rsidRDefault="008375D5" w:rsidP="00A145FB">
            <w:pPr>
              <w:spacing w:after="0" w:line="240" w:lineRule="auto"/>
              <w:jc w:val="both"/>
              <w:rPr>
                <w:rFonts w:ascii="Calibri" w:hAnsi="Calibri" w:cs="Calibri"/>
                <w:color w:val="000000"/>
                <w:sz w:val="24"/>
                <w:szCs w:val="24"/>
              </w:rPr>
            </w:pPr>
            <w:r w:rsidRPr="00532DB7">
              <w:rPr>
                <w:rFonts w:ascii="Calibri" w:hAnsi="Calibri" w:cs="Calibri"/>
                <w:color w:val="000000"/>
                <w:sz w:val="24"/>
                <w:szCs w:val="24"/>
              </w:rPr>
              <w:t>Séparation, délimitation physique ou visuelle, drainage ou butée de zones dallées ou d'autres revêtements.</w:t>
            </w:r>
          </w:p>
          <w:p w:rsidR="00A145FB" w:rsidRDefault="008375D5" w:rsidP="00A145FB">
            <w:pPr>
              <w:spacing w:after="0" w:line="240" w:lineRule="auto"/>
              <w:jc w:val="both"/>
              <w:rPr>
                <w:rFonts w:ascii="Calibri" w:hAnsi="Calibri" w:cs="Calibri"/>
                <w:color w:val="000000"/>
                <w:sz w:val="24"/>
                <w:szCs w:val="24"/>
              </w:rPr>
            </w:pPr>
            <w:r w:rsidRPr="00532DB7">
              <w:rPr>
                <w:rFonts w:ascii="Calibri" w:hAnsi="Calibri" w:cs="Calibri"/>
                <w:color w:val="000000"/>
                <w:sz w:val="24"/>
                <w:szCs w:val="24"/>
              </w:rPr>
              <w:t>En cas d'utilisation régulière de pneus cloutés, des prescriptions</w:t>
            </w:r>
            <w:r w:rsidR="00A145FB">
              <w:rPr>
                <w:rFonts w:ascii="Calibri" w:hAnsi="Calibri" w:cs="Calibri"/>
                <w:color w:val="000000"/>
                <w:sz w:val="24"/>
                <w:szCs w:val="24"/>
              </w:rPr>
              <w:t xml:space="preserve"> </w:t>
            </w:r>
            <w:r w:rsidRPr="00532DB7">
              <w:rPr>
                <w:rFonts w:ascii="Calibri" w:hAnsi="Calibri" w:cs="Calibri"/>
                <w:color w:val="000000"/>
                <w:sz w:val="24"/>
                <w:szCs w:val="24"/>
              </w:rPr>
              <w:t>supplémentaires sont parfois nécessaires.</w:t>
            </w:r>
          </w:p>
          <w:p w:rsidR="00A145FB" w:rsidRDefault="008375D5" w:rsidP="00A145FB">
            <w:pPr>
              <w:spacing w:after="0" w:line="240" w:lineRule="auto"/>
              <w:jc w:val="both"/>
              <w:rPr>
                <w:rFonts w:ascii="Calibri" w:hAnsi="Calibri" w:cs="Calibri"/>
                <w:color w:val="000000"/>
                <w:sz w:val="24"/>
                <w:szCs w:val="24"/>
              </w:rPr>
            </w:pPr>
            <w:r w:rsidRPr="00532DB7">
              <w:rPr>
                <w:rFonts w:ascii="Calibri" w:hAnsi="Calibri" w:cs="Calibri"/>
                <w:color w:val="000000"/>
                <w:sz w:val="24"/>
                <w:szCs w:val="24"/>
              </w:rPr>
              <w:t>La présente Norme définit le marquage du produit et l'évaluation de sa conformité à la présente Norme.</w:t>
            </w:r>
          </w:p>
          <w:p w:rsidR="007D197A" w:rsidRPr="00532DB7" w:rsidRDefault="008375D5" w:rsidP="004F0BC9">
            <w:pPr>
              <w:spacing w:after="0" w:line="240" w:lineRule="auto"/>
              <w:jc w:val="both"/>
              <w:rPr>
                <w:rFonts w:ascii="Calibri" w:hAnsi="Calibri" w:cs="Calibri"/>
                <w:color w:val="000000"/>
                <w:sz w:val="24"/>
                <w:szCs w:val="24"/>
              </w:rPr>
            </w:pPr>
            <w:r w:rsidRPr="00532DB7">
              <w:rPr>
                <w:rFonts w:ascii="Calibri" w:hAnsi="Calibri" w:cs="Calibri"/>
                <w:color w:val="000000"/>
                <w:sz w:val="24"/>
                <w:szCs w:val="24"/>
              </w:rPr>
              <w:t>À l’exception des prescriptions relatives aux tolérances, la présente norme ne comprend pas de prescriptions</w:t>
            </w:r>
            <w:r w:rsidR="00A145FB">
              <w:rPr>
                <w:rFonts w:ascii="Calibri" w:hAnsi="Calibri" w:cs="Calibri"/>
                <w:color w:val="000000"/>
                <w:sz w:val="24"/>
                <w:szCs w:val="24"/>
              </w:rPr>
              <w:t xml:space="preserve"> </w:t>
            </w:r>
            <w:r w:rsidRPr="00532DB7">
              <w:rPr>
                <w:rFonts w:ascii="Calibri" w:hAnsi="Calibri" w:cs="Calibri"/>
                <w:color w:val="000000"/>
                <w:sz w:val="24"/>
                <w:szCs w:val="24"/>
              </w:rPr>
              <w:t>applicables aux sections transversales, formes et dimensions.</w:t>
            </w:r>
            <w:r w:rsidRPr="00532DB7">
              <w:rPr>
                <w:rFonts w:ascii="Calibri" w:hAnsi="Calibri" w:cs="Calibri"/>
                <w:color w:val="000000"/>
                <w:sz w:val="24"/>
                <w:szCs w:val="24"/>
              </w:rPr>
              <w:br/>
              <w:t>La présente Norme ne traite pas de la perception visuelle ou tactile des bordures de trottoir.</w:t>
            </w:r>
          </w:p>
        </w:tc>
      </w:tr>
      <w:tr w:rsidR="008375D5" w:rsidRPr="0043547B" w:rsidTr="006E7127">
        <w:trPr>
          <w:trHeight w:val="241"/>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8375D5" w:rsidRPr="007D197A" w:rsidRDefault="008375D5" w:rsidP="007D197A">
            <w:pPr>
              <w:spacing w:after="0" w:line="240" w:lineRule="auto"/>
              <w:jc w:val="center"/>
              <w:rPr>
                <w:rFonts w:ascii="Calibri" w:hAnsi="Calibri" w:cs="Calibri"/>
                <w:b/>
                <w:bCs/>
                <w:color w:val="000000"/>
                <w:sz w:val="24"/>
                <w:szCs w:val="24"/>
              </w:rPr>
            </w:pPr>
            <w:r w:rsidRPr="007D197A">
              <w:rPr>
                <w:rFonts w:ascii="Calibri" w:hAnsi="Calibri" w:cs="Calibri"/>
                <w:b/>
                <w:bCs/>
                <w:color w:val="000000"/>
                <w:sz w:val="24"/>
                <w:szCs w:val="24"/>
              </w:rPr>
              <w:lastRenderedPageBreak/>
              <w:t>Code :</w:t>
            </w:r>
          </w:p>
        </w:tc>
        <w:tc>
          <w:tcPr>
            <w:tcW w:w="7938" w:type="dxa"/>
            <w:tcBorders>
              <w:left w:val="single" w:sz="4" w:space="0" w:color="auto"/>
              <w:bottom w:val="single" w:sz="18" w:space="0" w:color="auto"/>
              <w:right w:val="single" w:sz="18" w:space="0" w:color="auto"/>
            </w:tcBorders>
            <w:shd w:val="clear" w:color="auto" w:fill="C2D69B" w:themeFill="accent3" w:themeFillTint="99"/>
            <w:vAlign w:val="center"/>
          </w:tcPr>
          <w:p w:rsidR="008375D5" w:rsidRPr="007D197A" w:rsidRDefault="008375D5" w:rsidP="007D197A">
            <w:pPr>
              <w:spacing w:after="0" w:line="240" w:lineRule="auto"/>
              <w:jc w:val="center"/>
              <w:rPr>
                <w:rFonts w:ascii="Calibri" w:hAnsi="Calibri" w:cs="Calibri"/>
                <w:b/>
                <w:bCs/>
                <w:color w:val="000000"/>
                <w:sz w:val="24"/>
                <w:szCs w:val="24"/>
              </w:rPr>
            </w:pPr>
            <w:r w:rsidRPr="007D197A">
              <w:rPr>
                <w:rFonts w:ascii="Calibri" w:hAnsi="Calibri" w:cs="Calibri"/>
                <w:b/>
                <w:bCs/>
                <w:color w:val="000000"/>
                <w:sz w:val="24"/>
                <w:szCs w:val="24"/>
              </w:rPr>
              <w:t>NM EN 1504-2</w:t>
            </w:r>
          </w:p>
        </w:tc>
      </w:tr>
      <w:tr w:rsidR="008375D5" w:rsidRPr="0043547B" w:rsidTr="006E7127">
        <w:trPr>
          <w:trHeight w:val="359"/>
          <w:jc w:val="center"/>
        </w:trPr>
        <w:tc>
          <w:tcPr>
            <w:tcW w:w="1838" w:type="dxa"/>
            <w:tcBorders>
              <w:top w:val="nil"/>
              <w:left w:val="single" w:sz="18" w:space="0" w:color="auto"/>
              <w:bottom w:val="single" w:sz="18" w:space="0" w:color="auto"/>
              <w:right w:val="single" w:sz="4" w:space="0" w:color="auto"/>
            </w:tcBorders>
            <w:shd w:val="clear" w:color="auto" w:fill="FFFFCC"/>
            <w:vAlign w:val="center"/>
          </w:tcPr>
          <w:p w:rsidR="008375D5" w:rsidRPr="007D197A" w:rsidRDefault="008375D5" w:rsidP="007D197A">
            <w:pPr>
              <w:spacing w:after="0" w:line="240" w:lineRule="auto"/>
              <w:jc w:val="center"/>
              <w:rPr>
                <w:rFonts w:ascii="Calibri" w:hAnsi="Calibri" w:cs="Calibri"/>
                <w:b/>
                <w:bCs/>
                <w:color w:val="000000"/>
                <w:sz w:val="24"/>
                <w:szCs w:val="24"/>
              </w:rPr>
            </w:pPr>
            <w:r w:rsidRPr="007D197A">
              <w:rPr>
                <w:rFonts w:ascii="Calibri" w:hAnsi="Calibri" w:cs="Calibri"/>
                <w:b/>
                <w:bCs/>
                <w:color w:val="000000"/>
                <w:sz w:val="24"/>
                <w:szCs w:val="24"/>
              </w:rPr>
              <w:t>Equivalence :</w:t>
            </w:r>
          </w:p>
        </w:tc>
        <w:tc>
          <w:tcPr>
            <w:tcW w:w="7938" w:type="dxa"/>
            <w:tcBorders>
              <w:left w:val="single" w:sz="4" w:space="0" w:color="auto"/>
              <w:bottom w:val="single" w:sz="18" w:space="0" w:color="auto"/>
              <w:right w:val="single" w:sz="18" w:space="0" w:color="auto"/>
            </w:tcBorders>
            <w:shd w:val="clear" w:color="auto" w:fill="FFFFCC"/>
            <w:vAlign w:val="center"/>
          </w:tcPr>
          <w:p w:rsidR="008375D5" w:rsidRPr="007D197A" w:rsidRDefault="008375D5" w:rsidP="007D197A">
            <w:pPr>
              <w:spacing w:after="0" w:line="240" w:lineRule="auto"/>
              <w:jc w:val="center"/>
              <w:rPr>
                <w:rFonts w:ascii="Calibri" w:hAnsi="Calibri" w:cs="Calibri"/>
                <w:b/>
                <w:bCs/>
                <w:color w:val="000000"/>
                <w:sz w:val="24"/>
                <w:szCs w:val="24"/>
              </w:rPr>
            </w:pPr>
            <w:r w:rsidRPr="007D197A">
              <w:rPr>
                <w:rFonts w:ascii="Calibri" w:hAnsi="Calibri" w:cs="Calibri"/>
                <w:b/>
                <w:bCs/>
                <w:color w:val="000000"/>
                <w:sz w:val="24"/>
                <w:szCs w:val="24"/>
              </w:rPr>
              <w:t>EN 1504-2</w:t>
            </w:r>
          </w:p>
        </w:tc>
      </w:tr>
      <w:tr w:rsidR="008375D5" w:rsidRPr="0043547B" w:rsidTr="006E7127">
        <w:trPr>
          <w:trHeight w:val="561"/>
          <w:jc w:val="center"/>
        </w:trPr>
        <w:tc>
          <w:tcPr>
            <w:tcW w:w="1838" w:type="dxa"/>
            <w:tcBorders>
              <w:top w:val="single" w:sz="18" w:space="0" w:color="auto"/>
              <w:left w:val="single" w:sz="18" w:space="0" w:color="auto"/>
              <w:bottom w:val="single" w:sz="4" w:space="0" w:color="auto"/>
              <w:right w:val="single" w:sz="4" w:space="0" w:color="auto"/>
            </w:tcBorders>
            <w:shd w:val="clear" w:color="auto" w:fill="95B3D7" w:themeFill="accent1" w:themeFillTint="99"/>
            <w:vAlign w:val="center"/>
          </w:tcPr>
          <w:p w:rsidR="008375D5" w:rsidRPr="007D197A" w:rsidRDefault="008375D5" w:rsidP="007D197A">
            <w:pPr>
              <w:spacing w:after="0" w:line="240" w:lineRule="auto"/>
              <w:jc w:val="center"/>
              <w:rPr>
                <w:rFonts w:ascii="Calibri" w:hAnsi="Calibri" w:cs="Calibri"/>
                <w:b/>
                <w:bCs/>
                <w:color w:val="000000"/>
                <w:sz w:val="24"/>
                <w:szCs w:val="24"/>
              </w:rPr>
            </w:pPr>
            <w:r w:rsidRPr="007D197A">
              <w:rPr>
                <w:rFonts w:ascii="Calibri" w:hAnsi="Calibri" w:cs="Calibri"/>
                <w:b/>
                <w:bCs/>
                <w:color w:val="000000"/>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tcPr>
          <w:p w:rsidR="008375D5" w:rsidRPr="00532DB7" w:rsidRDefault="008375D5" w:rsidP="00532DB7">
            <w:pPr>
              <w:spacing w:after="0" w:line="240" w:lineRule="auto"/>
              <w:rPr>
                <w:rFonts w:ascii="Calibri" w:hAnsi="Calibri" w:cs="Calibri"/>
                <w:color w:val="000000"/>
                <w:sz w:val="24"/>
                <w:szCs w:val="24"/>
              </w:rPr>
            </w:pPr>
            <w:r w:rsidRPr="00532DB7">
              <w:rPr>
                <w:rFonts w:ascii="Calibri" w:hAnsi="Calibri" w:cs="Calibri"/>
                <w:color w:val="000000"/>
                <w:sz w:val="24"/>
                <w:szCs w:val="24"/>
              </w:rPr>
              <w:t xml:space="preserve">Produits et systèmes pour la protection et la réparation de structures en béton - Définitions, prescriptions, maîtrise de la qualité et évaluation de la conformité - Partie 2 : Systèmes de protection de surface pour le béton ; (IC 10.1.382)  (RMC)  </w:t>
            </w:r>
          </w:p>
        </w:tc>
      </w:tr>
      <w:tr w:rsidR="008375D5" w:rsidRPr="0043547B" w:rsidTr="006E7127">
        <w:trPr>
          <w:trHeight w:val="561"/>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8375D5" w:rsidRPr="007D197A" w:rsidRDefault="008375D5" w:rsidP="007D197A">
            <w:pPr>
              <w:spacing w:after="0" w:line="240" w:lineRule="auto"/>
              <w:jc w:val="center"/>
              <w:rPr>
                <w:rFonts w:ascii="Calibri" w:hAnsi="Calibri" w:cs="Calibri"/>
                <w:b/>
                <w:bCs/>
                <w:color w:val="000000"/>
                <w:sz w:val="24"/>
                <w:szCs w:val="24"/>
              </w:rPr>
            </w:pPr>
            <w:r w:rsidRPr="007D197A">
              <w:rPr>
                <w:rFonts w:ascii="Calibri" w:hAnsi="Calibri" w:cs="Calibri"/>
                <w:b/>
                <w:bCs/>
                <w:color w:val="000000"/>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tcPr>
          <w:p w:rsidR="007D197A" w:rsidRDefault="008375D5" w:rsidP="007D197A">
            <w:pPr>
              <w:spacing w:after="0" w:line="240" w:lineRule="auto"/>
              <w:jc w:val="both"/>
              <w:rPr>
                <w:rFonts w:ascii="Calibri" w:hAnsi="Calibri" w:cs="Calibri"/>
                <w:color w:val="000000"/>
                <w:sz w:val="24"/>
                <w:szCs w:val="24"/>
              </w:rPr>
            </w:pPr>
            <w:r w:rsidRPr="00532DB7">
              <w:rPr>
                <w:rFonts w:ascii="Calibri" w:hAnsi="Calibri" w:cs="Calibri"/>
                <w:color w:val="000000"/>
                <w:sz w:val="24"/>
                <w:szCs w:val="24"/>
              </w:rPr>
              <w:t>Le présent document spécifie les prescriptions pour l'identification, les performances (y compris les aspects de</w:t>
            </w:r>
            <w:r w:rsidR="007D197A">
              <w:rPr>
                <w:rFonts w:ascii="Calibri" w:hAnsi="Calibri" w:cs="Calibri"/>
                <w:color w:val="000000"/>
                <w:sz w:val="24"/>
                <w:szCs w:val="24"/>
              </w:rPr>
              <w:t xml:space="preserve"> </w:t>
            </w:r>
            <w:r w:rsidRPr="00532DB7">
              <w:rPr>
                <w:rFonts w:ascii="Calibri" w:hAnsi="Calibri" w:cs="Calibri"/>
                <w:color w:val="000000"/>
                <w:sz w:val="24"/>
                <w:szCs w:val="24"/>
              </w:rPr>
              <w:t>durabilité), la sécurité et l’évaluation de la conformité des produits et systèmes devant être utilisés pour la protection</w:t>
            </w:r>
            <w:r w:rsidRPr="00532DB7">
              <w:rPr>
                <w:rFonts w:ascii="Calibri" w:hAnsi="Calibri" w:cs="Calibri"/>
                <w:color w:val="000000"/>
                <w:sz w:val="24"/>
                <w:szCs w:val="24"/>
              </w:rPr>
              <w:br/>
              <w:t>de surface du béton, afin d’augmenter la durabilité du béton et des structures en béton armé, aussi bien pour</w:t>
            </w:r>
            <w:r w:rsidR="007D197A">
              <w:rPr>
                <w:rFonts w:ascii="Calibri" w:hAnsi="Calibri" w:cs="Calibri"/>
                <w:color w:val="000000"/>
                <w:sz w:val="24"/>
                <w:szCs w:val="24"/>
              </w:rPr>
              <w:t xml:space="preserve"> </w:t>
            </w:r>
            <w:r w:rsidRPr="00532DB7">
              <w:rPr>
                <w:rFonts w:ascii="Calibri" w:hAnsi="Calibri" w:cs="Calibri"/>
                <w:color w:val="000000"/>
                <w:sz w:val="24"/>
                <w:szCs w:val="24"/>
              </w:rPr>
              <w:t>un nouveau béton que pour des travaux de maintenance et réparation.</w:t>
            </w:r>
          </w:p>
          <w:p w:rsidR="008375D5" w:rsidRPr="00532DB7" w:rsidRDefault="008375D5" w:rsidP="007D197A">
            <w:pPr>
              <w:spacing w:after="0" w:line="240" w:lineRule="auto"/>
              <w:rPr>
                <w:rFonts w:ascii="Calibri" w:hAnsi="Calibri" w:cs="Calibri"/>
                <w:color w:val="000000"/>
                <w:sz w:val="24"/>
                <w:szCs w:val="24"/>
              </w:rPr>
            </w:pPr>
            <w:r w:rsidRPr="00532DB7">
              <w:rPr>
                <w:rFonts w:ascii="Calibri" w:hAnsi="Calibri" w:cs="Calibri"/>
                <w:color w:val="000000"/>
                <w:sz w:val="24"/>
                <w:szCs w:val="24"/>
              </w:rPr>
              <w:t>Les méthodes de protection de surface traitées dans le présent document sont les suivantes :</w:t>
            </w:r>
            <w:r w:rsidRPr="00532DB7">
              <w:rPr>
                <w:rFonts w:ascii="Calibri" w:hAnsi="Calibri" w:cs="Calibri"/>
                <w:color w:val="000000"/>
                <w:sz w:val="24"/>
                <w:szCs w:val="24"/>
              </w:rPr>
              <w:br/>
              <w:t>a) imprégnation hydrophobe ;</w:t>
            </w:r>
            <w:r w:rsidRPr="00532DB7">
              <w:rPr>
                <w:rFonts w:ascii="Calibri" w:hAnsi="Calibri" w:cs="Calibri"/>
                <w:color w:val="000000"/>
                <w:sz w:val="24"/>
                <w:szCs w:val="24"/>
              </w:rPr>
              <w:br/>
              <w:t>b) imprégnation ;</w:t>
            </w:r>
            <w:r w:rsidRPr="00532DB7">
              <w:rPr>
                <w:rFonts w:ascii="Calibri" w:hAnsi="Calibri" w:cs="Calibri"/>
                <w:color w:val="000000"/>
                <w:sz w:val="24"/>
                <w:szCs w:val="24"/>
              </w:rPr>
              <w:br/>
              <w:t>c) revêtement.</w:t>
            </w:r>
            <w:r w:rsidRPr="00532DB7">
              <w:rPr>
                <w:rFonts w:ascii="Calibri" w:hAnsi="Calibri" w:cs="Calibri"/>
                <w:color w:val="000000"/>
                <w:sz w:val="24"/>
                <w:szCs w:val="24"/>
              </w:rPr>
              <w:br/>
              <w:t>Les systèmes de revêtement dans les bâtiments qui ne servent pas à protéger ou rétablir l’intégrité d’une structure</w:t>
            </w:r>
            <w:r w:rsidR="007D197A">
              <w:rPr>
                <w:rFonts w:ascii="Calibri" w:hAnsi="Calibri" w:cs="Calibri"/>
                <w:color w:val="000000"/>
                <w:sz w:val="24"/>
                <w:szCs w:val="24"/>
              </w:rPr>
              <w:t xml:space="preserve"> </w:t>
            </w:r>
            <w:r w:rsidRPr="00532DB7">
              <w:rPr>
                <w:rFonts w:ascii="Calibri" w:hAnsi="Calibri" w:cs="Calibri"/>
                <w:color w:val="000000"/>
                <w:sz w:val="24"/>
                <w:szCs w:val="24"/>
              </w:rPr>
              <w:t>en béton sont normalisés dans l’EN 13813.</w:t>
            </w:r>
            <w:r w:rsidRPr="00532DB7">
              <w:rPr>
                <w:rFonts w:ascii="Calibri" w:hAnsi="Calibri" w:cs="Calibri"/>
                <w:color w:val="000000"/>
                <w:sz w:val="24"/>
                <w:szCs w:val="24"/>
              </w:rPr>
              <w:br/>
              <w:t>Lorsque des produits et systèmes conformes à la présente norme sont utilisés dans le cadre d’applications de</w:t>
            </w:r>
            <w:r w:rsidR="007D197A">
              <w:rPr>
                <w:rFonts w:ascii="Calibri" w:hAnsi="Calibri" w:cs="Calibri"/>
                <w:color w:val="000000"/>
                <w:sz w:val="24"/>
                <w:szCs w:val="24"/>
              </w:rPr>
              <w:t xml:space="preserve"> </w:t>
            </w:r>
            <w:r w:rsidRPr="00532DB7">
              <w:rPr>
                <w:rFonts w:ascii="Calibri" w:hAnsi="Calibri" w:cs="Calibri"/>
                <w:color w:val="000000"/>
                <w:sz w:val="24"/>
                <w:szCs w:val="24"/>
              </w:rPr>
              <w:t>revêtement impliquant une importante mise en charge mécanique, il convient qu’ils répondent également aux exigences</w:t>
            </w:r>
            <w:r w:rsidRPr="00532DB7">
              <w:rPr>
                <w:rFonts w:ascii="Calibri" w:hAnsi="Calibri" w:cs="Calibri"/>
                <w:color w:val="000000"/>
                <w:sz w:val="24"/>
                <w:szCs w:val="24"/>
              </w:rPr>
              <w:br/>
              <w:t>de l’EN 13813.</w:t>
            </w:r>
          </w:p>
        </w:tc>
      </w:tr>
      <w:tr w:rsidR="008375D5" w:rsidRPr="0043547B" w:rsidTr="006E7127">
        <w:trPr>
          <w:trHeight w:val="381"/>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8375D5" w:rsidRPr="007D197A" w:rsidRDefault="008375D5" w:rsidP="007D197A">
            <w:pPr>
              <w:spacing w:after="0" w:line="240" w:lineRule="auto"/>
              <w:jc w:val="center"/>
              <w:rPr>
                <w:rFonts w:ascii="Calibri" w:hAnsi="Calibri" w:cs="Calibri"/>
                <w:b/>
                <w:bCs/>
                <w:color w:val="000000"/>
                <w:sz w:val="24"/>
                <w:szCs w:val="24"/>
              </w:rPr>
            </w:pPr>
            <w:r w:rsidRPr="007D197A">
              <w:rPr>
                <w:rFonts w:ascii="Calibri" w:hAnsi="Calibri" w:cs="Calibri"/>
                <w:b/>
                <w:bCs/>
                <w:color w:val="000000"/>
                <w:sz w:val="24"/>
                <w:szCs w:val="24"/>
              </w:rPr>
              <w:t>Code :</w:t>
            </w:r>
          </w:p>
        </w:tc>
        <w:tc>
          <w:tcPr>
            <w:tcW w:w="7938" w:type="dxa"/>
            <w:tcBorders>
              <w:left w:val="single" w:sz="4" w:space="0" w:color="auto"/>
              <w:bottom w:val="single" w:sz="18" w:space="0" w:color="auto"/>
              <w:right w:val="single" w:sz="18" w:space="0" w:color="auto"/>
            </w:tcBorders>
            <w:shd w:val="clear" w:color="auto" w:fill="C2D69B" w:themeFill="accent3" w:themeFillTint="99"/>
            <w:vAlign w:val="center"/>
          </w:tcPr>
          <w:p w:rsidR="008375D5" w:rsidRPr="007D197A" w:rsidRDefault="008375D5" w:rsidP="007D197A">
            <w:pPr>
              <w:spacing w:after="0" w:line="240" w:lineRule="auto"/>
              <w:jc w:val="center"/>
              <w:rPr>
                <w:rFonts w:ascii="Calibri" w:hAnsi="Calibri" w:cs="Calibri"/>
                <w:b/>
                <w:bCs/>
                <w:color w:val="000000"/>
                <w:sz w:val="24"/>
                <w:szCs w:val="24"/>
              </w:rPr>
            </w:pPr>
            <w:r w:rsidRPr="007D197A">
              <w:rPr>
                <w:rFonts w:ascii="Calibri" w:hAnsi="Calibri" w:cs="Calibri"/>
                <w:b/>
                <w:bCs/>
                <w:color w:val="000000"/>
                <w:sz w:val="24"/>
                <w:szCs w:val="24"/>
              </w:rPr>
              <w:t>NM EN 1504-6</w:t>
            </w:r>
          </w:p>
        </w:tc>
      </w:tr>
      <w:tr w:rsidR="008375D5" w:rsidRPr="0043547B" w:rsidTr="006E7127">
        <w:trPr>
          <w:trHeight w:val="389"/>
          <w:jc w:val="center"/>
        </w:trPr>
        <w:tc>
          <w:tcPr>
            <w:tcW w:w="1838" w:type="dxa"/>
            <w:tcBorders>
              <w:top w:val="nil"/>
              <w:left w:val="single" w:sz="18" w:space="0" w:color="auto"/>
              <w:bottom w:val="single" w:sz="18" w:space="0" w:color="auto"/>
              <w:right w:val="single" w:sz="4" w:space="0" w:color="auto"/>
            </w:tcBorders>
            <w:shd w:val="clear" w:color="auto" w:fill="FFFFCC"/>
            <w:vAlign w:val="center"/>
          </w:tcPr>
          <w:p w:rsidR="008375D5" w:rsidRPr="007D197A" w:rsidRDefault="008375D5" w:rsidP="007D197A">
            <w:pPr>
              <w:spacing w:after="0" w:line="240" w:lineRule="auto"/>
              <w:jc w:val="center"/>
              <w:rPr>
                <w:rFonts w:ascii="Calibri" w:hAnsi="Calibri" w:cs="Calibri"/>
                <w:b/>
                <w:bCs/>
                <w:color w:val="000000"/>
                <w:sz w:val="24"/>
                <w:szCs w:val="24"/>
              </w:rPr>
            </w:pPr>
            <w:r w:rsidRPr="007D197A">
              <w:rPr>
                <w:rFonts w:ascii="Calibri" w:hAnsi="Calibri" w:cs="Calibri"/>
                <w:b/>
                <w:bCs/>
                <w:color w:val="000000"/>
                <w:sz w:val="24"/>
                <w:szCs w:val="24"/>
              </w:rPr>
              <w:t>Equivalence :</w:t>
            </w:r>
          </w:p>
        </w:tc>
        <w:tc>
          <w:tcPr>
            <w:tcW w:w="7938" w:type="dxa"/>
            <w:tcBorders>
              <w:left w:val="single" w:sz="4" w:space="0" w:color="auto"/>
              <w:bottom w:val="single" w:sz="18" w:space="0" w:color="auto"/>
              <w:right w:val="single" w:sz="18" w:space="0" w:color="auto"/>
            </w:tcBorders>
            <w:shd w:val="clear" w:color="auto" w:fill="FFFFCC"/>
            <w:vAlign w:val="center"/>
          </w:tcPr>
          <w:p w:rsidR="008375D5" w:rsidRPr="007D197A" w:rsidRDefault="008375D5" w:rsidP="007D197A">
            <w:pPr>
              <w:spacing w:after="0" w:line="240" w:lineRule="auto"/>
              <w:jc w:val="center"/>
              <w:rPr>
                <w:rFonts w:ascii="Calibri" w:hAnsi="Calibri" w:cs="Calibri"/>
                <w:b/>
                <w:bCs/>
                <w:color w:val="000000"/>
                <w:sz w:val="24"/>
                <w:szCs w:val="24"/>
              </w:rPr>
            </w:pPr>
            <w:r w:rsidRPr="007D197A">
              <w:rPr>
                <w:rFonts w:ascii="Calibri" w:hAnsi="Calibri" w:cs="Calibri"/>
                <w:b/>
                <w:bCs/>
                <w:color w:val="000000"/>
                <w:sz w:val="24"/>
                <w:szCs w:val="24"/>
              </w:rPr>
              <w:t>EN 1504-6</w:t>
            </w:r>
          </w:p>
        </w:tc>
      </w:tr>
      <w:tr w:rsidR="008375D5" w:rsidRPr="0043547B" w:rsidTr="006E7127">
        <w:trPr>
          <w:trHeight w:val="561"/>
          <w:jc w:val="center"/>
        </w:trPr>
        <w:tc>
          <w:tcPr>
            <w:tcW w:w="1838" w:type="dxa"/>
            <w:tcBorders>
              <w:top w:val="single" w:sz="18" w:space="0" w:color="auto"/>
              <w:left w:val="single" w:sz="18" w:space="0" w:color="auto"/>
              <w:bottom w:val="single" w:sz="4" w:space="0" w:color="auto"/>
              <w:right w:val="single" w:sz="4" w:space="0" w:color="auto"/>
            </w:tcBorders>
            <w:shd w:val="clear" w:color="auto" w:fill="95B3D7" w:themeFill="accent1" w:themeFillTint="99"/>
            <w:vAlign w:val="center"/>
          </w:tcPr>
          <w:p w:rsidR="008375D5" w:rsidRPr="007D197A" w:rsidRDefault="008375D5" w:rsidP="007D197A">
            <w:pPr>
              <w:spacing w:after="0" w:line="240" w:lineRule="auto"/>
              <w:jc w:val="center"/>
              <w:rPr>
                <w:rFonts w:ascii="Calibri" w:hAnsi="Calibri" w:cs="Calibri"/>
                <w:b/>
                <w:bCs/>
                <w:color w:val="000000"/>
                <w:sz w:val="24"/>
                <w:szCs w:val="24"/>
              </w:rPr>
            </w:pPr>
            <w:r w:rsidRPr="007D197A">
              <w:rPr>
                <w:rFonts w:ascii="Calibri" w:hAnsi="Calibri" w:cs="Calibri"/>
                <w:b/>
                <w:bCs/>
                <w:color w:val="000000"/>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tcPr>
          <w:p w:rsidR="008375D5" w:rsidRPr="00532DB7" w:rsidRDefault="008375D5" w:rsidP="006E7127">
            <w:pPr>
              <w:spacing w:after="0" w:line="240" w:lineRule="auto"/>
              <w:rPr>
                <w:rFonts w:ascii="Calibri" w:hAnsi="Calibri" w:cs="Calibri"/>
                <w:color w:val="000000"/>
                <w:sz w:val="24"/>
                <w:szCs w:val="24"/>
              </w:rPr>
            </w:pPr>
            <w:r w:rsidRPr="00532DB7">
              <w:rPr>
                <w:rFonts w:ascii="Calibri" w:hAnsi="Calibri" w:cs="Calibri"/>
                <w:color w:val="000000"/>
                <w:sz w:val="24"/>
                <w:szCs w:val="24"/>
              </w:rPr>
              <w:t xml:space="preserve">Produits et systèmes pour la protection et la réparation des structures en béton - Définitions, exigences, maîtrise de la qualité et évaluation de la conformité - Partie 6 : Ancrage de barres d'acier d'armature (RMC)  </w:t>
            </w:r>
          </w:p>
        </w:tc>
      </w:tr>
      <w:tr w:rsidR="008375D5" w:rsidRPr="0043547B" w:rsidTr="006E7127">
        <w:trPr>
          <w:trHeight w:val="561"/>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8375D5" w:rsidRPr="007D197A" w:rsidRDefault="008375D5" w:rsidP="007D197A">
            <w:pPr>
              <w:spacing w:after="0" w:line="240" w:lineRule="auto"/>
              <w:jc w:val="center"/>
              <w:rPr>
                <w:rFonts w:ascii="Calibri" w:hAnsi="Calibri" w:cs="Calibri"/>
                <w:b/>
                <w:bCs/>
                <w:color w:val="000000"/>
                <w:sz w:val="24"/>
                <w:szCs w:val="24"/>
              </w:rPr>
            </w:pPr>
            <w:r w:rsidRPr="007D197A">
              <w:rPr>
                <w:rFonts w:ascii="Calibri" w:hAnsi="Calibri" w:cs="Calibri"/>
                <w:b/>
                <w:bCs/>
                <w:color w:val="000000"/>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tcPr>
          <w:p w:rsidR="007D197A" w:rsidRDefault="008375D5" w:rsidP="007D197A">
            <w:pPr>
              <w:spacing w:after="0" w:line="240" w:lineRule="auto"/>
              <w:jc w:val="both"/>
              <w:rPr>
                <w:rFonts w:ascii="Calibri" w:hAnsi="Calibri" w:cs="Calibri"/>
                <w:color w:val="000000"/>
                <w:sz w:val="24"/>
                <w:szCs w:val="24"/>
              </w:rPr>
            </w:pPr>
            <w:r w:rsidRPr="00532DB7">
              <w:rPr>
                <w:rFonts w:ascii="Calibri" w:hAnsi="Calibri" w:cs="Calibri"/>
                <w:color w:val="000000"/>
                <w:sz w:val="24"/>
                <w:szCs w:val="24"/>
              </w:rPr>
              <w:t>La présente partie de l’EN 1504 spécifie les exigences relatives à l’identification, aux performances (y compris la</w:t>
            </w:r>
            <w:r w:rsidR="007D197A">
              <w:rPr>
                <w:rFonts w:ascii="Calibri" w:hAnsi="Calibri" w:cs="Calibri"/>
                <w:color w:val="000000"/>
                <w:sz w:val="24"/>
                <w:szCs w:val="24"/>
              </w:rPr>
              <w:t xml:space="preserve"> </w:t>
            </w:r>
            <w:r w:rsidRPr="00532DB7">
              <w:rPr>
                <w:rFonts w:ascii="Calibri" w:hAnsi="Calibri" w:cs="Calibri"/>
                <w:color w:val="000000"/>
                <w:sz w:val="24"/>
                <w:szCs w:val="24"/>
              </w:rPr>
              <w:t>durabilité) et à la sécurité des produits et systèmes d’ancrage des armatures en acier (barres) servant au</w:t>
            </w:r>
            <w:r w:rsidR="007D197A">
              <w:rPr>
                <w:rFonts w:ascii="Calibri" w:hAnsi="Calibri" w:cs="Calibri"/>
                <w:color w:val="000000"/>
                <w:sz w:val="24"/>
                <w:szCs w:val="24"/>
              </w:rPr>
              <w:t xml:space="preserve"> </w:t>
            </w:r>
            <w:r w:rsidRPr="00532DB7">
              <w:rPr>
                <w:rFonts w:ascii="Calibri" w:hAnsi="Calibri" w:cs="Calibri"/>
                <w:color w:val="000000"/>
                <w:sz w:val="24"/>
                <w:szCs w:val="24"/>
              </w:rPr>
              <w:t>renforcement structurel afin d’assurer la continuité des structures en béton armé.</w:t>
            </w:r>
            <w:r w:rsidRPr="00532DB7">
              <w:rPr>
                <w:rFonts w:ascii="Calibri" w:hAnsi="Calibri" w:cs="Calibri"/>
                <w:color w:val="000000"/>
                <w:sz w:val="24"/>
                <w:szCs w:val="24"/>
              </w:rPr>
              <w:br/>
              <w:t>La présente partie de l’EN 1504 couvre les champs d’application conformes aux méthodes de réparation du 4.2</w:t>
            </w:r>
            <w:r w:rsidR="007D197A">
              <w:rPr>
                <w:rFonts w:ascii="Calibri" w:hAnsi="Calibri" w:cs="Calibri"/>
                <w:color w:val="000000"/>
                <w:sz w:val="24"/>
                <w:szCs w:val="24"/>
              </w:rPr>
              <w:t xml:space="preserve"> </w:t>
            </w:r>
            <w:r w:rsidRPr="00532DB7">
              <w:rPr>
                <w:rFonts w:ascii="Calibri" w:hAnsi="Calibri" w:cs="Calibri"/>
                <w:color w:val="000000"/>
                <w:sz w:val="24"/>
                <w:szCs w:val="24"/>
              </w:rPr>
              <w:t>de l’ENV 1504-9:1997.</w:t>
            </w:r>
          </w:p>
          <w:p w:rsidR="008375D5" w:rsidRPr="007D197A" w:rsidRDefault="008375D5" w:rsidP="007D197A">
            <w:pPr>
              <w:spacing w:after="0" w:line="240" w:lineRule="auto"/>
              <w:jc w:val="both"/>
              <w:rPr>
                <w:rFonts w:ascii="Calibri" w:hAnsi="Calibri" w:cs="Calibri"/>
                <w:i/>
                <w:iCs/>
                <w:color w:val="000000"/>
                <w:sz w:val="24"/>
                <w:szCs w:val="24"/>
              </w:rPr>
            </w:pPr>
            <w:r w:rsidRPr="007D197A">
              <w:rPr>
                <w:rFonts w:ascii="Calibri" w:hAnsi="Calibri" w:cs="Calibri"/>
                <w:b/>
                <w:bCs/>
                <w:i/>
                <w:iCs/>
                <w:color w:val="000000"/>
              </w:rPr>
              <w:lastRenderedPageBreak/>
              <w:t>NOTE</w:t>
            </w:r>
            <w:r w:rsidRPr="007D197A">
              <w:rPr>
                <w:rFonts w:ascii="Calibri" w:hAnsi="Calibri" w:cs="Calibri"/>
                <w:i/>
                <w:iCs/>
                <w:color w:val="000000"/>
              </w:rPr>
              <w:t xml:space="preserve"> On suppose que des ingénieurs qualifiés effectuent une évaluation structurelle appropriée des éléments structuraux</w:t>
            </w:r>
            <w:r w:rsidR="007D197A" w:rsidRPr="007D197A">
              <w:rPr>
                <w:rFonts w:ascii="Calibri" w:hAnsi="Calibri" w:cs="Calibri"/>
                <w:i/>
                <w:iCs/>
                <w:color w:val="000000"/>
              </w:rPr>
              <w:t xml:space="preserve"> </w:t>
            </w:r>
            <w:r w:rsidRPr="007D197A">
              <w:rPr>
                <w:rFonts w:ascii="Calibri" w:hAnsi="Calibri" w:cs="Calibri"/>
                <w:i/>
                <w:iCs/>
                <w:color w:val="000000"/>
              </w:rPr>
              <w:t>à réparer et que le choix des produits et systèmes à utiliser ainsi que la conception reposent sur cette évaluation.</w:t>
            </w:r>
          </w:p>
        </w:tc>
      </w:tr>
      <w:tr w:rsidR="008375D5" w:rsidRPr="0043547B" w:rsidTr="006E7127">
        <w:trPr>
          <w:trHeight w:val="374"/>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8375D5" w:rsidRPr="007D197A" w:rsidRDefault="008375D5" w:rsidP="007D197A">
            <w:pPr>
              <w:spacing w:after="0" w:line="240" w:lineRule="auto"/>
              <w:jc w:val="center"/>
              <w:rPr>
                <w:rFonts w:ascii="Calibri" w:hAnsi="Calibri" w:cs="Calibri"/>
                <w:b/>
                <w:bCs/>
                <w:color w:val="000000"/>
                <w:sz w:val="24"/>
                <w:szCs w:val="24"/>
              </w:rPr>
            </w:pPr>
            <w:r w:rsidRPr="007D197A">
              <w:rPr>
                <w:rFonts w:ascii="Calibri" w:hAnsi="Calibri" w:cs="Calibri"/>
                <w:b/>
                <w:bCs/>
                <w:color w:val="000000"/>
                <w:sz w:val="24"/>
                <w:szCs w:val="24"/>
              </w:rPr>
              <w:lastRenderedPageBreak/>
              <w:t>Code :</w:t>
            </w:r>
          </w:p>
        </w:tc>
        <w:tc>
          <w:tcPr>
            <w:tcW w:w="7938" w:type="dxa"/>
            <w:tcBorders>
              <w:left w:val="single" w:sz="4" w:space="0" w:color="auto"/>
              <w:bottom w:val="single" w:sz="18" w:space="0" w:color="auto"/>
              <w:right w:val="single" w:sz="18" w:space="0" w:color="auto"/>
            </w:tcBorders>
            <w:shd w:val="clear" w:color="auto" w:fill="C2D69B" w:themeFill="accent3" w:themeFillTint="99"/>
            <w:vAlign w:val="center"/>
          </w:tcPr>
          <w:p w:rsidR="008375D5" w:rsidRPr="007D197A" w:rsidRDefault="008375D5" w:rsidP="007D197A">
            <w:pPr>
              <w:spacing w:after="0" w:line="240" w:lineRule="auto"/>
              <w:jc w:val="center"/>
              <w:rPr>
                <w:rFonts w:ascii="Calibri" w:hAnsi="Calibri" w:cs="Calibri"/>
                <w:b/>
                <w:bCs/>
                <w:color w:val="000000"/>
                <w:sz w:val="24"/>
                <w:szCs w:val="24"/>
              </w:rPr>
            </w:pPr>
            <w:r w:rsidRPr="007D197A">
              <w:rPr>
                <w:rFonts w:ascii="Calibri" w:hAnsi="Calibri" w:cs="Calibri"/>
                <w:b/>
                <w:bCs/>
                <w:color w:val="000000"/>
                <w:sz w:val="24"/>
                <w:szCs w:val="24"/>
              </w:rPr>
              <w:t>NM EN 1504-7</w:t>
            </w:r>
          </w:p>
        </w:tc>
      </w:tr>
      <w:tr w:rsidR="008375D5" w:rsidRPr="0043547B" w:rsidTr="006E7127">
        <w:trPr>
          <w:trHeight w:val="368"/>
          <w:jc w:val="center"/>
        </w:trPr>
        <w:tc>
          <w:tcPr>
            <w:tcW w:w="1838" w:type="dxa"/>
            <w:tcBorders>
              <w:top w:val="nil"/>
              <w:left w:val="single" w:sz="18" w:space="0" w:color="auto"/>
              <w:bottom w:val="single" w:sz="18" w:space="0" w:color="auto"/>
              <w:right w:val="single" w:sz="4" w:space="0" w:color="auto"/>
            </w:tcBorders>
            <w:shd w:val="clear" w:color="auto" w:fill="FFFFCC"/>
            <w:vAlign w:val="center"/>
          </w:tcPr>
          <w:p w:rsidR="008375D5" w:rsidRPr="007D197A" w:rsidRDefault="008375D5" w:rsidP="007D197A">
            <w:pPr>
              <w:spacing w:after="0" w:line="240" w:lineRule="auto"/>
              <w:jc w:val="center"/>
              <w:rPr>
                <w:rFonts w:ascii="Calibri" w:hAnsi="Calibri" w:cs="Calibri"/>
                <w:b/>
                <w:bCs/>
                <w:color w:val="000000"/>
                <w:sz w:val="24"/>
                <w:szCs w:val="24"/>
              </w:rPr>
            </w:pPr>
            <w:r w:rsidRPr="007D197A">
              <w:rPr>
                <w:rFonts w:ascii="Calibri" w:hAnsi="Calibri" w:cs="Calibri"/>
                <w:b/>
                <w:bCs/>
                <w:color w:val="000000"/>
                <w:sz w:val="24"/>
                <w:szCs w:val="24"/>
              </w:rPr>
              <w:t>Equivalence :</w:t>
            </w:r>
          </w:p>
        </w:tc>
        <w:tc>
          <w:tcPr>
            <w:tcW w:w="7938" w:type="dxa"/>
            <w:tcBorders>
              <w:left w:val="single" w:sz="4" w:space="0" w:color="auto"/>
              <w:bottom w:val="single" w:sz="18" w:space="0" w:color="auto"/>
              <w:right w:val="single" w:sz="18" w:space="0" w:color="auto"/>
            </w:tcBorders>
            <w:shd w:val="clear" w:color="auto" w:fill="FFFFCC"/>
            <w:vAlign w:val="center"/>
          </w:tcPr>
          <w:p w:rsidR="008375D5" w:rsidRPr="007D197A" w:rsidRDefault="008375D5" w:rsidP="007D197A">
            <w:pPr>
              <w:spacing w:after="0" w:line="240" w:lineRule="auto"/>
              <w:jc w:val="center"/>
              <w:rPr>
                <w:rFonts w:ascii="Calibri" w:hAnsi="Calibri" w:cs="Calibri"/>
                <w:b/>
                <w:bCs/>
                <w:color w:val="000000"/>
                <w:sz w:val="24"/>
                <w:szCs w:val="24"/>
              </w:rPr>
            </w:pPr>
            <w:r w:rsidRPr="007D197A">
              <w:rPr>
                <w:rFonts w:ascii="Calibri" w:hAnsi="Calibri" w:cs="Calibri"/>
                <w:b/>
                <w:bCs/>
                <w:color w:val="000000"/>
                <w:sz w:val="24"/>
                <w:szCs w:val="24"/>
              </w:rPr>
              <w:t>EN 1504-7</w:t>
            </w:r>
          </w:p>
        </w:tc>
      </w:tr>
      <w:tr w:rsidR="008375D5" w:rsidRPr="0043547B" w:rsidTr="006E7127">
        <w:trPr>
          <w:trHeight w:val="561"/>
          <w:jc w:val="center"/>
        </w:trPr>
        <w:tc>
          <w:tcPr>
            <w:tcW w:w="1838" w:type="dxa"/>
            <w:tcBorders>
              <w:top w:val="single" w:sz="18" w:space="0" w:color="auto"/>
              <w:left w:val="single" w:sz="18" w:space="0" w:color="auto"/>
              <w:bottom w:val="single" w:sz="4" w:space="0" w:color="auto"/>
              <w:right w:val="single" w:sz="4" w:space="0" w:color="auto"/>
            </w:tcBorders>
            <w:shd w:val="clear" w:color="auto" w:fill="95B3D7" w:themeFill="accent1" w:themeFillTint="99"/>
            <w:vAlign w:val="center"/>
          </w:tcPr>
          <w:p w:rsidR="008375D5" w:rsidRPr="007D197A" w:rsidRDefault="008375D5" w:rsidP="007D197A">
            <w:pPr>
              <w:spacing w:after="0" w:line="240" w:lineRule="auto"/>
              <w:jc w:val="center"/>
              <w:rPr>
                <w:rFonts w:ascii="Calibri" w:hAnsi="Calibri" w:cs="Calibri"/>
                <w:b/>
                <w:bCs/>
                <w:color w:val="000000"/>
                <w:sz w:val="24"/>
                <w:szCs w:val="24"/>
              </w:rPr>
            </w:pPr>
            <w:r w:rsidRPr="007D197A">
              <w:rPr>
                <w:rFonts w:ascii="Calibri" w:hAnsi="Calibri" w:cs="Calibri"/>
                <w:b/>
                <w:bCs/>
                <w:color w:val="000000"/>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tcPr>
          <w:p w:rsidR="008375D5" w:rsidRPr="00532DB7" w:rsidRDefault="008375D5" w:rsidP="006E7127">
            <w:pPr>
              <w:spacing w:after="0" w:line="240" w:lineRule="auto"/>
              <w:rPr>
                <w:rFonts w:ascii="Calibri" w:hAnsi="Calibri" w:cs="Calibri"/>
                <w:color w:val="000000"/>
                <w:sz w:val="24"/>
                <w:szCs w:val="24"/>
              </w:rPr>
            </w:pPr>
            <w:r w:rsidRPr="00532DB7">
              <w:rPr>
                <w:rFonts w:ascii="Calibri" w:hAnsi="Calibri" w:cs="Calibri"/>
                <w:color w:val="000000"/>
                <w:sz w:val="24"/>
                <w:szCs w:val="24"/>
              </w:rPr>
              <w:t xml:space="preserve">Produits et systèmes pour la protection et la réparation des structures en béton - Définitions, prescriptions, maîtrise de la qualité et évaluation de la conformité - Partie 7 : Protection contre la corrosion des armatures ; (RMC)  </w:t>
            </w:r>
          </w:p>
        </w:tc>
      </w:tr>
      <w:tr w:rsidR="008375D5" w:rsidRPr="0043547B" w:rsidTr="006E7127">
        <w:trPr>
          <w:trHeight w:val="561"/>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8375D5" w:rsidRPr="007D197A" w:rsidRDefault="008375D5" w:rsidP="007D197A">
            <w:pPr>
              <w:spacing w:after="0" w:line="240" w:lineRule="auto"/>
              <w:jc w:val="center"/>
              <w:rPr>
                <w:rFonts w:ascii="Calibri" w:hAnsi="Calibri" w:cs="Calibri"/>
                <w:b/>
                <w:bCs/>
                <w:sz w:val="24"/>
                <w:szCs w:val="24"/>
              </w:rPr>
            </w:pPr>
            <w:r w:rsidRPr="007D197A">
              <w:rPr>
                <w:rFonts w:ascii="Calibri" w:hAnsi="Calibri" w:cs="Calibr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tcPr>
          <w:p w:rsidR="006E7127" w:rsidRDefault="008375D5" w:rsidP="006E7127">
            <w:pPr>
              <w:spacing w:after="0" w:line="240" w:lineRule="auto"/>
              <w:jc w:val="both"/>
              <w:rPr>
                <w:rFonts w:ascii="Calibri" w:hAnsi="Calibri" w:cs="Calibri"/>
                <w:color w:val="000000"/>
                <w:sz w:val="24"/>
                <w:szCs w:val="24"/>
              </w:rPr>
            </w:pPr>
            <w:r w:rsidRPr="00532DB7">
              <w:rPr>
                <w:rFonts w:ascii="Calibri" w:hAnsi="Calibri" w:cs="Calibri"/>
                <w:color w:val="000000"/>
                <w:sz w:val="24"/>
                <w:szCs w:val="24"/>
              </w:rPr>
              <w:t>La présente partie de l’EN 1504 fixe les prescriptions relatives à l’identification et aux performances (y compris les</w:t>
            </w:r>
            <w:r w:rsidR="007D197A">
              <w:rPr>
                <w:rFonts w:ascii="Calibri" w:hAnsi="Calibri" w:cs="Calibri"/>
                <w:color w:val="000000"/>
                <w:sz w:val="24"/>
                <w:szCs w:val="24"/>
              </w:rPr>
              <w:t xml:space="preserve"> </w:t>
            </w:r>
            <w:r w:rsidRPr="00532DB7">
              <w:rPr>
                <w:rFonts w:ascii="Calibri" w:hAnsi="Calibri" w:cs="Calibri"/>
                <w:color w:val="000000"/>
                <w:sz w:val="24"/>
                <w:szCs w:val="24"/>
              </w:rPr>
              <w:t>aspects durabilité) des produits et systèmes des revêtements actifs et étanches pour la protection des armatures</w:t>
            </w:r>
            <w:r w:rsidRPr="00532DB7">
              <w:rPr>
                <w:rFonts w:ascii="Calibri" w:hAnsi="Calibri" w:cs="Calibri"/>
                <w:color w:val="000000"/>
                <w:sz w:val="24"/>
                <w:szCs w:val="24"/>
              </w:rPr>
              <w:br/>
              <w:t>métalliques existantes non revêtues et de l’acier noyé dans les structures en béton en cours de réparation.</w:t>
            </w:r>
          </w:p>
          <w:p w:rsidR="008375D5" w:rsidRPr="00532DB7" w:rsidRDefault="008375D5" w:rsidP="006E7127">
            <w:pPr>
              <w:spacing w:after="0" w:line="240" w:lineRule="auto"/>
              <w:jc w:val="both"/>
              <w:rPr>
                <w:rFonts w:ascii="Calibri" w:hAnsi="Calibri" w:cs="Calibri"/>
                <w:color w:val="000000"/>
                <w:sz w:val="24"/>
                <w:szCs w:val="24"/>
              </w:rPr>
            </w:pPr>
            <w:r w:rsidRPr="00532DB7">
              <w:rPr>
                <w:rFonts w:ascii="Calibri" w:hAnsi="Calibri" w:cs="Calibri"/>
                <w:color w:val="000000"/>
                <w:sz w:val="24"/>
                <w:szCs w:val="24"/>
              </w:rPr>
              <w:t>La présente norme ne traite pas des produits destinés à la protection contre la corrosion des aciers pré-contraints et</w:t>
            </w:r>
            <w:r w:rsidR="006E7127">
              <w:rPr>
                <w:rFonts w:ascii="Calibri" w:hAnsi="Calibri" w:cs="Calibri"/>
                <w:color w:val="000000"/>
                <w:sz w:val="24"/>
                <w:szCs w:val="24"/>
              </w:rPr>
              <w:t xml:space="preserve"> </w:t>
            </w:r>
            <w:r w:rsidRPr="00532DB7">
              <w:rPr>
                <w:rFonts w:ascii="Calibri" w:hAnsi="Calibri" w:cs="Calibri"/>
                <w:color w:val="000000"/>
                <w:sz w:val="24"/>
                <w:szCs w:val="24"/>
              </w:rPr>
              <w:t>des aciers inoxydables.</w:t>
            </w:r>
          </w:p>
        </w:tc>
      </w:tr>
      <w:tr w:rsidR="008375D5" w:rsidRPr="0043547B" w:rsidTr="006E7127">
        <w:trPr>
          <w:trHeight w:val="491"/>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8375D5" w:rsidRPr="006E7127" w:rsidRDefault="008375D5" w:rsidP="006E7127">
            <w:pPr>
              <w:spacing w:after="0" w:line="240" w:lineRule="auto"/>
              <w:jc w:val="center"/>
              <w:rPr>
                <w:rFonts w:ascii="Calibri" w:hAnsi="Calibri" w:cs="Calibri"/>
                <w:b/>
                <w:bCs/>
                <w:color w:val="000000"/>
                <w:sz w:val="24"/>
                <w:szCs w:val="24"/>
              </w:rPr>
            </w:pPr>
            <w:r w:rsidRPr="006E7127">
              <w:rPr>
                <w:rFonts w:ascii="Calibri" w:hAnsi="Calibri" w:cs="Calibri"/>
                <w:b/>
                <w:bCs/>
                <w:color w:val="000000"/>
                <w:sz w:val="24"/>
                <w:szCs w:val="24"/>
              </w:rPr>
              <w:t>Code :</w:t>
            </w:r>
          </w:p>
        </w:tc>
        <w:tc>
          <w:tcPr>
            <w:tcW w:w="7938" w:type="dxa"/>
            <w:tcBorders>
              <w:left w:val="single" w:sz="4" w:space="0" w:color="auto"/>
              <w:bottom w:val="single" w:sz="18" w:space="0" w:color="auto"/>
              <w:right w:val="single" w:sz="18" w:space="0" w:color="auto"/>
            </w:tcBorders>
            <w:shd w:val="clear" w:color="auto" w:fill="C2D69B" w:themeFill="accent3" w:themeFillTint="99"/>
            <w:vAlign w:val="center"/>
          </w:tcPr>
          <w:p w:rsidR="008375D5" w:rsidRPr="006E7127" w:rsidRDefault="008375D5" w:rsidP="006E7127">
            <w:pPr>
              <w:spacing w:after="0" w:line="240" w:lineRule="auto"/>
              <w:jc w:val="center"/>
              <w:rPr>
                <w:rFonts w:ascii="Calibri" w:hAnsi="Calibri" w:cs="Calibri"/>
                <w:b/>
                <w:bCs/>
                <w:color w:val="000000"/>
                <w:sz w:val="24"/>
                <w:szCs w:val="24"/>
              </w:rPr>
            </w:pPr>
            <w:r w:rsidRPr="006E7127">
              <w:rPr>
                <w:rFonts w:ascii="Calibri" w:hAnsi="Calibri" w:cs="Calibri"/>
                <w:b/>
                <w:bCs/>
                <w:color w:val="000000"/>
                <w:sz w:val="24"/>
                <w:szCs w:val="24"/>
              </w:rPr>
              <w:t>NM EN 13813</w:t>
            </w:r>
          </w:p>
        </w:tc>
      </w:tr>
      <w:tr w:rsidR="008375D5" w:rsidRPr="0043547B" w:rsidTr="006E7127">
        <w:trPr>
          <w:trHeight w:val="384"/>
          <w:jc w:val="center"/>
        </w:trPr>
        <w:tc>
          <w:tcPr>
            <w:tcW w:w="1838" w:type="dxa"/>
            <w:tcBorders>
              <w:top w:val="nil"/>
              <w:left w:val="single" w:sz="18" w:space="0" w:color="auto"/>
              <w:bottom w:val="single" w:sz="18" w:space="0" w:color="auto"/>
              <w:right w:val="single" w:sz="4" w:space="0" w:color="auto"/>
            </w:tcBorders>
            <w:shd w:val="clear" w:color="auto" w:fill="FFFFCC"/>
            <w:vAlign w:val="center"/>
          </w:tcPr>
          <w:p w:rsidR="008375D5" w:rsidRPr="006E7127" w:rsidRDefault="008375D5" w:rsidP="006E7127">
            <w:pPr>
              <w:spacing w:after="0" w:line="240" w:lineRule="auto"/>
              <w:jc w:val="center"/>
              <w:rPr>
                <w:rFonts w:ascii="Calibri" w:hAnsi="Calibri" w:cs="Calibri"/>
                <w:b/>
                <w:bCs/>
                <w:color w:val="000000"/>
                <w:sz w:val="24"/>
                <w:szCs w:val="24"/>
              </w:rPr>
            </w:pPr>
            <w:r w:rsidRPr="006E7127">
              <w:rPr>
                <w:rFonts w:ascii="Calibri" w:hAnsi="Calibri" w:cs="Calibri"/>
                <w:b/>
                <w:bCs/>
                <w:color w:val="000000"/>
                <w:sz w:val="24"/>
                <w:szCs w:val="24"/>
              </w:rPr>
              <w:t>Equivalence :</w:t>
            </w:r>
          </w:p>
        </w:tc>
        <w:tc>
          <w:tcPr>
            <w:tcW w:w="7938" w:type="dxa"/>
            <w:tcBorders>
              <w:left w:val="single" w:sz="4" w:space="0" w:color="auto"/>
              <w:bottom w:val="single" w:sz="18" w:space="0" w:color="auto"/>
              <w:right w:val="single" w:sz="18" w:space="0" w:color="auto"/>
            </w:tcBorders>
            <w:shd w:val="clear" w:color="auto" w:fill="FFFFCC"/>
            <w:vAlign w:val="center"/>
          </w:tcPr>
          <w:p w:rsidR="008375D5" w:rsidRPr="006E7127" w:rsidRDefault="008375D5" w:rsidP="006E7127">
            <w:pPr>
              <w:spacing w:after="0" w:line="240" w:lineRule="auto"/>
              <w:jc w:val="center"/>
              <w:rPr>
                <w:rFonts w:ascii="Calibri" w:hAnsi="Calibri" w:cs="Calibri"/>
                <w:b/>
                <w:bCs/>
                <w:color w:val="000000"/>
                <w:sz w:val="24"/>
                <w:szCs w:val="24"/>
              </w:rPr>
            </w:pPr>
            <w:r w:rsidRPr="006E7127">
              <w:rPr>
                <w:rFonts w:ascii="Calibri" w:hAnsi="Calibri" w:cs="Calibri"/>
                <w:b/>
                <w:bCs/>
                <w:color w:val="000000"/>
                <w:sz w:val="24"/>
                <w:szCs w:val="24"/>
              </w:rPr>
              <w:t>EN 13813</w:t>
            </w:r>
          </w:p>
        </w:tc>
      </w:tr>
      <w:tr w:rsidR="008375D5" w:rsidRPr="0043547B" w:rsidTr="006E7127">
        <w:trPr>
          <w:trHeight w:val="561"/>
          <w:jc w:val="center"/>
        </w:trPr>
        <w:tc>
          <w:tcPr>
            <w:tcW w:w="1838" w:type="dxa"/>
            <w:tcBorders>
              <w:top w:val="single" w:sz="18" w:space="0" w:color="auto"/>
              <w:left w:val="single" w:sz="18" w:space="0" w:color="auto"/>
              <w:bottom w:val="single" w:sz="4" w:space="0" w:color="auto"/>
              <w:right w:val="single" w:sz="4" w:space="0" w:color="auto"/>
            </w:tcBorders>
            <w:shd w:val="clear" w:color="auto" w:fill="95B3D7" w:themeFill="accent1" w:themeFillTint="99"/>
            <w:vAlign w:val="center"/>
          </w:tcPr>
          <w:p w:rsidR="008375D5" w:rsidRPr="006E7127" w:rsidRDefault="008375D5" w:rsidP="006E7127">
            <w:pPr>
              <w:spacing w:after="0" w:line="240" w:lineRule="auto"/>
              <w:jc w:val="center"/>
              <w:rPr>
                <w:rFonts w:ascii="Calibri" w:hAnsi="Calibri" w:cs="Calibri"/>
                <w:b/>
                <w:bCs/>
                <w:color w:val="000000"/>
                <w:sz w:val="24"/>
                <w:szCs w:val="24"/>
              </w:rPr>
            </w:pPr>
            <w:r w:rsidRPr="006E7127">
              <w:rPr>
                <w:rFonts w:ascii="Calibri" w:hAnsi="Calibri" w:cs="Calibri"/>
                <w:b/>
                <w:bCs/>
                <w:color w:val="000000"/>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tcPr>
          <w:p w:rsidR="008375D5" w:rsidRPr="00532DB7" w:rsidRDefault="008375D5" w:rsidP="00532DB7">
            <w:pPr>
              <w:spacing w:after="0" w:line="240" w:lineRule="auto"/>
              <w:rPr>
                <w:rFonts w:ascii="Calibri" w:hAnsi="Calibri" w:cs="Calibri"/>
                <w:color w:val="000000"/>
                <w:sz w:val="24"/>
                <w:szCs w:val="24"/>
              </w:rPr>
            </w:pPr>
            <w:r w:rsidRPr="00532DB7">
              <w:rPr>
                <w:rFonts w:ascii="Calibri" w:hAnsi="Calibri" w:cs="Calibri"/>
                <w:color w:val="000000"/>
                <w:sz w:val="24"/>
                <w:szCs w:val="24"/>
              </w:rPr>
              <w:t>Matériaux de chape et chapes - Matériaux de chapes - Proprié</w:t>
            </w:r>
            <w:r w:rsidR="006E7127">
              <w:rPr>
                <w:rFonts w:ascii="Calibri" w:hAnsi="Calibri" w:cs="Calibri"/>
                <w:color w:val="000000"/>
                <w:sz w:val="24"/>
                <w:szCs w:val="24"/>
              </w:rPr>
              <w:t xml:space="preserve">tés et exigences ; </w:t>
            </w:r>
            <w:r w:rsidRPr="00532DB7">
              <w:rPr>
                <w:rFonts w:ascii="Calibri" w:hAnsi="Calibri" w:cs="Calibri"/>
                <w:color w:val="000000"/>
                <w:sz w:val="24"/>
                <w:szCs w:val="24"/>
              </w:rPr>
              <w:t xml:space="preserve">  (RMC)  </w:t>
            </w:r>
          </w:p>
        </w:tc>
      </w:tr>
      <w:tr w:rsidR="008375D5" w:rsidRPr="0043547B" w:rsidTr="006E7127">
        <w:trPr>
          <w:trHeight w:val="561"/>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8375D5" w:rsidRPr="006E7127" w:rsidRDefault="008375D5" w:rsidP="006E7127">
            <w:pPr>
              <w:jc w:val="center"/>
              <w:rPr>
                <w:rFonts w:ascii="Calibri" w:hAnsi="Calibri" w:cs="Calibri"/>
                <w:b/>
                <w:bCs/>
                <w:color w:val="000000"/>
                <w:sz w:val="24"/>
                <w:szCs w:val="24"/>
              </w:rPr>
            </w:pPr>
            <w:r w:rsidRPr="006E7127">
              <w:rPr>
                <w:rFonts w:ascii="Calibri" w:hAnsi="Calibri" w:cs="Calibri"/>
                <w:b/>
                <w:bCs/>
                <w:color w:val="000000"/>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tcPr>
          <w:p w:rsidR="006E7127" w:rsidRDefault="008375D5" w:rsidP="006E7127">
            <w:pPr>
              <w:spacing w:after="0" w:line="240" w:lineRule="auto"/>
              <w:jc w:val="both"/>
              <w:rPr>
                <w:rFonts w:ascii="Calibri" w:hAnsi="Calibri" w:cs="Calibri"/>
                <w:color w:val="000000"/>
                <w:sz w:val="24"/>
                <w:szCs w:val="24"/>
              </w:rPr>
            </w:pPr>
            <w:r w:rsidRPr="00532DB7">
              <w:rPr>
                <w:rFonts w:ascii="Calibri" w:hAnsi="Calibri" w:cs="Calibri"/>
                <w:color w:val="000000"/>
                <w:sz w:val="24"/>
                <w:szCs w:val="24"/>
              </w:rPr>
              <w:t>Cette Norme spécifie les exigences applicables au matériau pour chape destiné à la construction de</w:t>
            </w:r>
            <w:r w:rsidR="006E7127">
              <w:rPr>
                <w:rFonts w:ascii="Calibri" w:hAnsi="Calibri" w:cs="Calibri"/>
                <w:color w:val="000000"/>
                <w:sz w:val="24"/>
                <w:szCs w:val="24"/>
              </w:rPr>
              <w:t xml:space="preserve"> </w:t>
            </w:r>
            <w:r w:rsidRPr="00532DB7">
              <w:rPr>
                <w:rFonts w:ascii="Calibri" w:hAnsi="Calibri" w:cs="Calibri"/>
                <w:color w:val="000000"/>
                <w:sz w:val="24"/>
                <w:szCs w:val="24"/>
              </w:rPr>
              <w:t>planchers en intérieur.</w:t>
            </w:r>
          </w:p>
          <w:p w:rsidR="006E7127" w:rsidRDefault="008375D5" w:rsidP="006E7127">
            <w:pPr>
              <w:spacing w:after="0" w:line="240" w:lineRule="auto"/>
              <w:jc w:val="both"/>
              <w:rPr>
                <w:rFonts w:ascii="Calibri" w:hAnsi="Calibri" w:cs="Calibri"/>
                <w:color w:val="000000"/>
                <w:sz w:val="24"/>
                <w:szCs w:val="24"/>
              </w:rPr>
            </w:pPr>
            <w:r w:rsidRPr="00532DB7">
              <w:rPr>
                <w:rFonts w:ascii="Calibri" w:hAnsi="Calibri" w:cs="Calibri"/>
                <w:color w:val="000000"/>
                <w:sz w:val="24"/>
                <w:szCs w:val="24"/>
              </w:rPr>
              <w:t>Pour faciliter la rédaction d'une norme liée aux performances, la présente norme ne concerne, dans toute la</w:t>
            </w:r>
            <w:r w:rsidR="006E7127">
              <w:rPr>
                <w:rFonts w:ascii="Calibri" w:hAnsi="Calibri" w:cs="Calibri"/>
                <w:color w:val="000000"/>
                <w:sz w:val="24"/>
                <w:szCs w:val="24"/>
              </w:rPr>
              <w:t xml:space="preserve"> </w:t>
            </w:r>
            <w:r w:rsidRPr="00532DB7">
              <w:rPr>
                <w:rFonts w:ascii="Calibri" w:hAnsi="Calibri" w:cs="Calibri"/>
                <w:color w:val="000000"/>
                <w:sz w:val="24"/>
                <w:szCs w:val="24"/>
              </w:rPr>
              <w:t>mesure du possible, que les propriétés du produit et non ses méthodes de fabrication sauf si cela est inévitable</w:t>
            </w:r>
            <w:r w:rsidR="006E7127">
              <w:rPr>
                <w:rFonts w:ascii="Calibri" w:hAnsi="Calibri" w:cs="Calibri"/>
                <w:color w:val="000000"/>
                <w:sz w:val="24"/>
                <w:szCs w:val="24"/>
              </w:rPr>
              <w:t xml:space="preserve"> </w:t>
            </w:r>
            <w:r w:rsidRPr="00532DB7">
              <w:rPr>
                <w:rFonts w:ascii="Calibri" w:hAnsi="Calibri" w:cs="Calibri"/>
                <w:color w:val="000000"/>
                <w:sz w:val="24"/>
                <w:szCs w:val="24"/>
              </w:rPr>
              <w:t>dans la description des caractéristiques du produit.</w:t>
            </w:r>
          </w:p>
          <w:p w:rsidR="006E7127" w:rsidRDefault="008375D5" w:rsidP="006E7127">
            <w:pPr>
              <w:spacing w:after="0" w:line="240" w:lineRule="auto"/>
              <w:jc w:val="both"/>
              <w:rPr>
                <w:rFonts w:ascii="Calibri" w:hAnsi="Calibri" w:cs="Calibri"/>
                <w:color w:val="000000"/>
                <w:sz w:val="24"/>
                <w:szCs w:val="24"/>
              </w:rPr>
            </w:pPr>
            <w:r w:rsidRPr="00532DB7">
              <w:rPr>
                <w:rFonts w:ascii="Calibri" w:hAnsi="Calibri" w:cs="Calibri"/>
                <w:color w:val="000000"/>
                <w:sz w:val="24"/>
                <w:szCs w:val="24"/>
              </w:rPr>
              <w:t>Pour le matériau pour chape frais, elle définit les performances liées au temps de mise en oeuvre, à la consistance,</w:t>
            </w:r>
            <w:r w:rsidR="006E7127">
              <w:rPr>
                <w:rFonts w:ascii="Calibri" w:hAnsi="Calibri" w:cs="Calibri"/>
                <w:color w:val="000000"/>
                <w:sz w:val="24"/>
                <w:szCs w:val="24"/>
              </w:rPr>
              <w:t xml:space="preserve"> </w:t>
            </w:r>
            <w:r w:rsidRPr="00532DB7">
              <w:rPr>
                <w:rFonts w:ascii="Calibri" w:hAnsi="Calibri" w:cs="Calibri"/>
                <w:color w:val="000000"/>
                <w:sz w:val="24"/>
                <w:szCs w:val="24"/>
              </w:rPr>
              <w:t>à la valeur du pH et, pour le matériau pour chape durci, à la résistance à la compression, à la résistance à la</w:t>
            </w:r>
            <w:r w:rsidR="006E7127">
              <w:rPr>
                <w:rFonts w:ascii="Calibri" w:hAnsi="Calibri" w:cs="Calibri"/>
                <w:color w:val="000000"/>
                <w:sz w:val="24"/>
                <w:szCs w:val="24"/>
              </w:rPr>
              <w:t xml:space="preserve"> </w:t>
            </w:r>
            <w:r w:rsidRPr="00532DB7">
              <w:rPr>
                <w:rFonts w:ascii="Calibri" w:hAnsi="Calibri" w:cs="Calibri"/>
                <w:color w:val="000000"/>
                <w:sz w:val="24"/>
                <w:szCs w:val="24"/>
              </w:rPr>
              <w:t>flexion, à la résistance à l'usure, à la dureté de surface, à la résistance à l’indexation, à la résistance au roulement,</w:t>
            </w:r>
            <w:r w:rsidR="006E7127">
              <w:rPr>
                <w:rFonts w:ascii="Calibri" w:hAnsi="Calibri" w:cs="Calibri"/>
                <w:color w:val="000000"/>
                <w:sz w:val="24"/>
                <w:szCs w:val="24"/>
              </w:rPr>
              <w:t xml:space="preserve"> </w:t>
            </w:r>
            <w:r w:rsidRPr="00532DB7">
              <w:rPr>
                <w:rFonts w:ascii="Calibri" w:hAnsi="Calibri" w:cs="Calibri"/>
                <w:color w:val="000000"/>
                <w:sz w:val="24"/>
                <w:szCs w:val="24"/>
              </w:rPr>
              <w:t>au retrait et au gonflement, au module d'élasticité, à la force d'adhérence, à la résistance à l’impact, à la réaction</w:t>
            </w:r>
            <w:r w:rsidR="006E7127">
              <w:rPr>
                <w:rFonts w:ascii="Calibri" w:hAnsi="Calibri" w:cs="Calibri"/>
                <w:color w:val="000000"/>
                <w:sz w:val="24"/>
                <w:szCs w:val="24"/>
              </w:rPr>
              <w:t xml:space="preserve"> </w:t>
            </w:r>
            <w:r w:rsidRPr="00532DB7">
              <w:rPr>
                <w:rFonts w:ascii="Calibri" w:hAnsi="Calibri" w:cs="Calibri"/>
                <w:color w:val="000000"/>
                <w:sz w:val="24"/>
                <w:szCs w:val="24"/>
              </w:rPr>
              <w:t>au feu, à la performance acoustique, à la résistance thermique et à la résistance chimique.</w:t>
            </w:r>
            <w:r w:rsidRPr="00532DB7">
              <w:rPr>
                <w:rFonts w:ascii="Calibri" w:hAnsi="Calibri" w:cs="Calibri"/>
                <w:color w:val="000000"/>
                <w:sz w:val="24"/>
                <w:szCs w:val="24"/>
              </w:rPr>
              <w:br/>
              <w:t>Elle permet l’évaluation de la conformité du produit par rapport à la présente Norme.</w:t>
            </w:r>
            <w:r w:rsidRPr="00532DB7">
              <w:rPr>
                <w:rFonts w:ascii="Calibri" w:hAnsi="Calibri" w:cs="Calibri"/>
                <w:color w:val="000000"/>
                <w:sz w:val="24"/>
                <w:szCs w:val="24"/>
              </w:rPr>
              <w:br/>
              <w:t>Cette norme couvre les matériaux pour chape comme défini dans l’EN 13318.</w:t>
            </w:r>
            <w:r w:rsidRPr="00532DB7">
              <w:rPr>
                <w:rFonts w:ascii="Calibri" w:hAnsi="Calibri" w:cs="Calibri"/>
                <w:color w:val="000000"/>
                <w:sz w:val="24"/>
                <w:szCs w:val="24"/>
              </w:rPr>
              <w:br/>
              <w:t>Les exigences de marquage des produits couverts p</w:t>
            </w:r>
            <w:r w:rsidR="006E7127">
              <w:rPr>
                <w:rFonts w:ascii="Calibri" w:hAnsi="Calibri" w:cs="Calibri"/>
                <w:color w:val="000000"/>
                <w:sz w:val="24"/>
                <w:szCs w:val="24"/>
              </w:rPr>
              <w:t xml:space="preserve">ar la présente Norme </w:t>
            </w:r>
            <w:r w:rsidRPr="00532DB7">
              <w:rPr>
                <w:rFonts w:ascii="Calibri" w:hAnsi="Calibri" w:cs="Calibri"/>
                <w:color w:val="000000"/>
                <w:sz w:val="24"/>
                <w:szCs w:val="24"/>
              </w:rPr>
              <w:t>sont incluses.</w:t>
            </w:r>
          </w:p>
          <w:p w:rsidR="006E7127" w:rsidRDefault="008375D5" w:rsidP="006E7127">
            <w:pPr>
              <w:spacing w:after="0" w:line="240" w:lineRule="auto"/>
              <w:jc w:val="both"/>
              <w:rPr>
                <w:rFonts w:ascii="Calibri" w:hAnsi="Calibri" w:cs="Calibri"/>
                <w:color w:val="000000"/>
                <w:sz w:val="24"/>
                <w:szCs w:val="24"/>
              </w:rPr>
            </w:pPr>
            <w:r w:rsidRPr="00532DB7">
              <w:rPr>
                <w:rFonts w:ascii="Calibri" w:hAnsi="Calibri" w:cs="Calibri"/>
                <w:color w:val="000000"/>
                <w:sz w:val="24"/>
                <w:szCs w:val="24"/>
              </w:rPr>
              <w:t>Les chapes structurales, c’est à dire qui contribuent à la capacité de résistance à la charge de la structure, sont</w:t>
            </w:r>
            <w:r w:rsidR="006E7127">
              <w:rPr>
                <w:rFonts w:ascii="Calibri" w:hAnsi="Calibri" w:cs="Calibri"/>
                <w:color w:val="000000"/>
                <w:sz w:val="24"/>
                <w:szCs w:val="24"/>
              </w:rPr>
              <w:t xml:space="preserve"> </w:t>
            </w:r>
            <w:r w:rsidRPr="00532DB7">
              <w:rPr>
                <w:rFonts w:ascii="Calibri" w:hAnsi="Calibri" w:cs="Calibri"/>
                <w:color w:val="000000"/>
                <w:sz w:val="24"/>
                <w:szCs w:val="24"/>
              </w:rPr>
              <w:t>exclues de cette norme.</w:t>
            </w:r>
          </w:p>
          <w:p w:rsidR="008375D5" w:rsidRPr="006E7127" w:rsidRDefault="008375D5" w:rsidP="006E7127">
            <w:pPr>
              <w:spacing w:after="0" w:line="240" w:lineRule="auto"/>
              <w:jc w:val="both"/>
              <w:rPr>
                <w:rFonts w:ascii="Calibri" w:hAnsi="Calibri" w:cs="Calibri"/>
                <w:i/>
                <w:iCs/>
                <w:color w:val="000000"/>
                <w:sz w:val="24"/>
                <w:szCs w:val="24"/>
              </w:rPr>
            </w:pPr>
            <w:r w:rsidRPr="006E7127">
              <w:rPr>
                <w:rFonts w:ascii="Calibri" w:hAnsi="Calibri" w:cs="Calibri"/>
                <w:b/>
                <w:bCs/>
                <w:i/>
                <w:iCs/>
                <w:color w:val="000000"/>
              </w:rPr>
              <w:t>NOTE</w:t>
            </w:r>
            <w:r w:rsidRPr="006E7127">
              <w:rPr>
                <w:rFonts w:ascii="Calibri" w:hAnsi="Calibri" w:cs="Calibri"/>
                <w:i/>
                <w:iCs/>
                <w:color w:val="000000"/>
              </w:rPr>
              <w:t xml:space="preserve"> Cette norme peut être utilisée en conjonction avec des cahiers de prescription et des spécifications nationales</w:t>
            </w:r>
            <w:r w:rsidR="006E7127" w:rsidRPr="006E7127">
              <w:rPr>
                <w:rFonts w:ascii="Calibri" w:hAnsi="Calibri" w:cs="Calibri"/>
                <w:i/>
                <w:iCs/>
                <w:color w:val="000000"/>
              </w:rPr>
              <w:t xml:space="preserve"> </w:t>
            </w:r>
            <w:r w:rsidRPr="006E7127">
              <w:rPr>
                <w:rFonts w:ascii="Calibri" w:hAnsi="Calibri" w:cs="Calibri"/>
                <w:i/>
                <w:iCs/>
                <w:color w:val="000000"/>
              </w:rPr>
              <w:t>pour du matériau pour chapes fabriqué sur le chantier et coulé par le même entrepreneur.</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10.1.301</w:t>
            </w:r>
          </w:p>
        </w:tc>
      </w:tr>
      <w:tr w:rsidR="0043547B" w:rsidRPr="0043547B" w:rsidTr="00CB5DC0">
        <w:trPr>
          <w:trHeight w:val="49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Ouvrage d’art – Réparation et renforcement des ouvrages en béton et en maçonnerie – Reprise du béton dégradé superficiellement – Spécifications relatives à la technique et aux matériaux utilisés  </w:t>
            </w:r>
          </w:p>
        </w:tc>
      </w:tr>
      <w:tr w:rsidR="0043547B" w:rsidRPr="0043547B" w:rsidTr="00CB5DC0">
        <w:trPr>
          <w:trHeight w:val="1215"/>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Domaine d’application :</w:t>
            </w:r>
          </w:p>
        </w:tc>
        <w:tc>
          <w:tcPr>
            <w:tcW w:w="7938" w:type="dxa"/>
            <w:tcBorders>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à tous les ouvrages et structures en béton non armé, armé ou précontraint, qui présentent des dégradations superficielles qu’ils présentent ou non des dégradations structurelles. Ces dernières sont traitées en particulier dans les normes NM 10.1.302 et NM 10.1.303.</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L'objet de La norme est de décrire les méthodes de réparation à effectuer.</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10.1.357</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12878</w:t>
            </w:r>
          </w:p>
        </w:tc>
      </w:tr>
      <w:tr w:rsidR="0043547B" w:rsidRPr="0043547B" w:rsidTr="00CB5DC0">
        <w:trPr>
          <w:trHeight w:val="368"/>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Pigments de coloration des matériaux de construction à base de ciment et/ou de chaux — Spécifications et méthodes d'essai ;</w:t>
            </w:r>
          </w:p>
        </w:tc>
      </w:tr>
      <w:tr w:rsidR="0043547B" w:rsidRPr="0043547B" w:rsidTr="006E7127">
        <w:trPr>
          <w:trHeight w:val="701"/>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w w:val="95"/>
                <w:sz w:val="24"/>
                <w:szCs w:val="24"/>
                <w:lang w:eastAsia="fr-FR"/>
              </w:rPr>
            </w:pPr>
            <w:r w:rsidRPr="0043547B">
              <w:rPr>
                <w:rFonts w:eastAsia="Times New Roman" w:cstheme="minorHAnsi"/>
                <w:w w:val="95"/>
                <w:sz w:val="24"/>
                <w:szCs w:val="24"/>
                <w:lang w:eastAsia="fr-FR"/>
              </w:rPr>
              <w:t>La norme spécifie les prescriptions et les méthodes d'essai qui s'appliquent aux pigments utilisés pour la coloration des matériaux de construction à base de ciment et de combinaisons ciment/chaux. Les pigments couverts par La norme peuvent également être utilisés dans du mortier de chaux pur. Les pigments destinés à cet usage peuvent être des pigments simples, des mélanges de pigments ou des mélanges de pigments et de matières de charge, sous forme de poudre, de granules ou de préparations aqueuses.</w:t>
            </w:r>
          </w:p>
        </w:tc>
      </w:tr>
      <w:tr w:rsidR="001868EF"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1868EF" w:rsidRPr="006E7127" w:rsidRDefault="001868EF" w:rsidP="00490503">
            <w:pPr>
              <w:spacing w:after="0" w:line="240" w:lineRule="auto"/>
              <w:jc w:val="center"/>
              <w:rPr>
                <w:rFonts w:ascii="Calibri" w:hAnsi="Calibri" w:cs="Calibri"/>
                <w:b/>
                <w:bCs/>
                <w:sz w:val="24"/>
                <w:szCs w:val="24"/>
              </w:rPr>
            </w:pPr>
            <w:r w:rsidRPr="006E7127">
              <w:rPr>
                <w:rFonts w:ascii="Calibri" w:hAnsi="Calibri" w:cs="Calibr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1868EF" w:rsidRPr="006E7127" w:rsidRDefault="001868EF" w:rsidP="00490503">
            <w:pPr>
              <w:spacing w:after="0" w:line="240" w:lineRule="auto"/>
              <w:jc w:val="center"/>
              <w:rPr>
                <w:rFonts w:ascii="Calibri" w:hAnsi="Calibri" w:cs="Calibri"/>
                <w:b/>
                <w:bCs/>
                <w:sz w:val="24"/>
                <w:szCs w:val="24"/>
              </w:rPr>
            </w:pPr>
            <w:r w:rsidRPr="006E7127">
              <w:rPr>
                <w:rFonts w:ascii="Calibri" w:hAnsi="Calibri" w:cs="Calibri"/>
                <w:b/>
                <w:bCs/>
                <w:sz w:val="24"/>
                <w:szCs w:val="24"/>
              </w:rPr>
              <w:t>NM EN 1504-5</w:t>
            </w:r>
          </w:p>
        </w:tc>
      </w:tr>
      <w:tr w:rsidR="001868EF" w:rsidRPr="0043547B" w:rsidTr="00490503">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FFFFCC"/>
            <w:vAlign w:val="center"/>
          </w:tcPr>
          <w:p w:rsidR="001868EF" w:rsidRPr="006E7127" w:rsidRDefault="001868EF" w:rsidP="00490503">
            <w:pPr>
              <w:spacing w:after="0" w:line="240" w:lineRule="auto"/>
              <w:jc w:val="center"/>
              <w:rPr>
                <w:rFonts w:ascii="Calibri" w:hAnsi="Calibri" w:cs="Calibri"/>
                <w:b/>
                <w:bCs/>
                <w:sz w:val="24"/>
                <w:szCs w:val="24"/>
              </w:rPr>
            </w:pPr>
            <w:r w:rsidRPr="006E7127">
              <w:rPr>
                <w:rFonts w:ascii="Calibri" w:hAnsi="Calibri" w:cs="Calibri"/>
                <w:b/>
                <w:bCs/>
                <w:sz w:val="24"/>
                <w:szCs w:val="24"/>
              </w:rPr>
              <w:t>Equivalence :</w:t>
            </w:r>
          </w:p>
        </w:tc>
        <w:tc>
          <w:tcPr>
            <w:tcW w:w="7938" w:type="dxa"/>
            <w:tcBorders>
              <w:top w:val="single" w:sz="18" w:space="0" w:color="auto"/>
              <w:left w:val="single" w:sz="4" w:space="0" w:color="auto"/>
              <w:bottom w:val="single" w:sz="18" w:space="0" w:color="auto"/>
              <w:right w:val="single" w:sz="18" w:space="0" w:color="auto"/>
            </w:tcBorders>
            <w:shd w:val="clear" w:color="auto" w:fill="FFFFCC"/>
            <w:vAlign w:val="center"/>
          </w:tcPr>
          <w:p w:rsidR="001868EF" w:rsidRPr="006E7127" w:rsidRDefault="001868EF" w:rsidP="00490503">
            <w:pPr>
              <w:spacing w:after="0" w:line="240" w:lineRule="auto"/>
              <w:jc w:val="center"/>
              <w:rPr>
                <w:rFonts w:ascii="Calibri" w:hAnsi="Calibri" w:cs="Calibri"/>
                <w:b/>
                <w:bCs/>
                <w:sz w:val="24"/>
                <w:szCs w:val="24"/>
              </w:rPr>
            </w:pPr>
            <w:r w:rsidRPr="006E7127">
              <w:rPr>
                <w:rFonts w:ascii="Calibri" w:hAnsi="Calibri" w:cs="Calibri"/>
                <w:b/>
                <w:bCs/>
                <w:sz w:val="24"/>
                <w:szCs w:val="24"/>
              </w:rPr>
              <w:t>EN 1504-5</w:t>
            </w:r>
          </w:p>
        </w:tc>
      </w:tr>
      <w:tr w:rsidR="001868EF" w:rsidRPr="0043547B" w:rsidTr="00490503">
        <w:trPr>
          <w:trHeight w:val="861"/>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1868EF" w:rsidRPr="006E7127" w:rsidRDefault="001868EF" w:rsidP="00490503">
            <w:pPr>
              <w:spacing w:after="0" w:line="240" w:lineRule="auto"/>
              <w:jc w:val="center"/>
              <w:rPr>
                <w:rFonts w:ascii="Calibri" w:hAnsi="Calibri" w:cs="Calibri"/>
                <w:b/>
                <w:bCs/>
                <w:sz w:val="24"/>
                <w:szCs w:val="24"/>
              </w:rPr>
            </w:pPr>
            <w:r w:rsidRPr="006E7127">
              <w:rPr>
                <w:rFonts w:ascii="Calibri" w:hAnsi="Calibri" w:cs="Calibri"/>
                <w:b/>
                <w:bCs/>
                <w:sz w:val="24"/>
                <w:szCs w:val="24"/>
              </w:rPr>
              <w:t>Intitulé :</w:t>
            </w:r>
          </w:p>
        </w:tc>
        <w:tc>
          <w:tcPr>
            <w:tcW w:w="7938" w:type="dxa"/>
            <w:tcBorders>
              <w:left w:val="single" w:sz="4" w:space="0" w:color="auto"/>
              <w:right w:val="single" w:sz="18" w:space="0" w:color="auto"/>
            </w:tcBorders>
            <w:shd w:val="clear" w:color="auto" w:fill="auto"/>
            <w:vAlign w:val="center"/>
            <w:hideMark/>
          </w:tcPr>
          <w:p w:rsidR="001868EF" w:rsidRPr="006E7127" w:rsidRDefault="001868EF" w:rsidP="00490503">
            <w:pPr>
              <w:spacing w:after="0" w:line="240" w:lineRule="auto"/>
              <w:rPr>
                <w:rFonts w:ascii="Calibri" w:hAnsi="Calibri" w:cs="Calibri"/>
                <w:sz w:val="24"/>
                <w:szCs w:val="24"/>
              </w:rPr>
            </w:pPr>
            <w:r w:rsidRPr="006E7127">
              <w:rPr>
                <w:rFonts w:ascii="Calibri" w:hAnsi="Calibri" w:cs="Calibri"/>
                <w:sz w:val="24"/>
                <w:szCs w:val="24"/>
              </w:rPr>
              <w:t xml:space="preserve">Produits et systèmes pour la protection et la réparation des structures en béton - Définitions, exigences, maîtrise de la qualité et évaluation de la conformité - Partie 5 : Produits et systèmes d'injection du béton (REV)  (RMC)  </w:t>
            </w:r>
          </w:p>
        </w:tc>
      </w:tr>
      <w:tr w:rsidR="001868EF" w:rsidRPr="0043547B" w:rsidTr="001868EF">
        <w:trPr>
          <w:trHeight w:val="1057"/>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1868EF" w:rsidRPr="006E7127" w:rsidRDefault="001868EF" w:rsidP="00490503">
            <w:pPr>
              <w:jc w:val="center"/>
              <w:rPr>
                <w:rFonts w:ascii="Calibri" w:hAnsi="Calibri" w:cs="Calibri"/>
                <w:b/>
                <w:bCs/>
                <w:sz w:val="24"/>
                <w:szCs w:val="24"/>
              </w:rPr>
            </w:pPr>
            <w:r w:rsidRPr="006E7127">
              <w:rPr>
                <w:rFonts w:ascii="Calibri" w:hAnsi="Calibri" w:cs="Calibr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hideMark/>
          </w:tcPr>
          <w:p w:rsidR="00490503" w:rsidRDefault="001868EF" w:rsidP="00490503">
            <w:pPr>
              <w:spacing w:after="0" w:line="240" w:lineRule="auto"/>
              <w:jc w:val="both"/>
              <w:rPr>
                <w:rFonts w:ascii="Calibri" w:hAnsi="Calibri" w:cs="Calibri"/>
                <w:sz w:val="24"/>
                <w:szCs w:val="24"/>
              </w:rPr>
            </w:pPr>
            <w:r w:rsidRPr="006E7127">
              <w:rPr>
                <w:rFonts w:ascii="Calibri" w:hAnsi="Calibri" w:cs="Calibri"/>
                <w:sz w:val="24"/>
                <w:szCs w:val="24"/>
              </w:rPr>
              <w:t>La présente Norme européenne spécifie des exigences et des critères de conformité pour l’identification,</w:t>
            </w:r>
            <w:r w:rsidR="006E7127">
              <w:rPr>
                <w:rFonts w:ascii="Calibri" w:hAnsi="Calibri" w:cs="Calibri"/>
                <w:sz w:val="24"/>
                <w:szCs w:val="24"/>
              </w:rPr>
              <w:t xml:space="preserve"> </w:t>
            </w:r>
            <w:r w:rsidRPr="006E7127">
              <w:rPr>
                <w:rFonts w:ascii="Calibri" w:hAnsi="Calibri" w:cs="Calibri"/>
                <w:sz w:val="24"/>
                <w:szCs w:val="24"/>
              </w:rPr>
              <w:t>les performances (y compris les aspects de durabilité) et la sécurité des produits et systèmes d’injection utilisés pour</w:t>
            </w:r>
            <w:r w:rsidRPr="006E7127">
              <w:rPr>
                <w:rFonts w:ascii="Calibri" w:hAnsi="Calibri" w:cs="Calibri"/>
                <w:sz w:val="24"/>
                <w:szCs w:val="24"/>
              </w:rPr>
              <w:br/>
              <w:t>la réparation et la protection des structures en béton et assurant :</w:t>
            </w:r>
          </w:p>
          <w:p w:rsidR="00490503" w:rsidRDefault="001868EF" w:rsidP="00490503">
            <w:pPr>
              <w:spacing w:after="0" w:line="240" w:lineRule="auto"/>
              <w:jc w:val="both"/>
              <w:rPr>
                <w:rFonts w:ascii="Calibri" w:hAnsi="Calibri" w:cs="Calibri"/>
                <w:sz w:val="24"/>
                <w:szCs w:val="24"/>
              </w:rPr>
            </w:pPr>
            <w:r w:rsidRPr="006E7127">
              <w:rPr>
                <w:rFonts w:ascii="Calibri" w:hAnsi="Calibri" w:cs="Calibri"/>
                <w:sz w:val="24"/>
                <w:szCs w:val="24"/>
              </w:rPr>
              <w:t>— le remplissage transmettant les efforts des fissures, vides et interstices dans le béton (classe F, voir 3.1) ;</w:t>
            </w:r>
          </w:p>
          <w:p w:rsidR="00490503" w:rsidRDefault="001868EF" w:rsidP="00490503">
            <w:pPr>
              <w:spacing w:after="0" w:line="240" w:lineRule="auto"/>
              <w:jc w:val="both"/>
              <w:rPr>
                <w:rFonts w:ascii="Calibri" w:hAnsi="Calibri" w:cs="Calibri"/>
                <w:sz w:val="24"/>
                <w:szCs w:val="24"/>
              </w:rPr>
            </w:pPr>
            <w:r w:rsidRPr="006E7127">
              <w:rPr>
                <w:rFonts w:ascii="Calibri" w:hAnsi="Calibri" w:cs="Calibri"/>
                <w:sz w:val="24"/>
                <w:szCs w:val="24"/>
              </w:rPr>
              <w:t>— le remplissage ductile des fissures, vides et interstices dans le béton (classe D, voir 3.1) ;</w:t>
            </w:r>
          </w:p>
          <w:p w:rsidR="00490503" w:rsidRDefault="001868EF" w:rsidP="00490503">
            <w:pPr>
              <w:spacing w:after="0" w:line="240" w:lineRule="auto"/>
              <w:jc w:val="both"/>
              <w:rPr>
                <w:rFonts w:ascii="Calibri" w:hAnsi="Calibri" w:cs="Calibri"/>
                <w:sz w:val="24"/>
                <w:szCs w:val="24"/>
              </w:rPr>
            </w:pPr>
            <w:r w:rsidRPr="006E7127">
              <w:rPr>
                <w:rFonts w:ascii="Calibri" w:hAnsi="Calibri" w:cs="Calibri"/>
                <w:sz w:val="24"/>
                <w:szCs w:val="24"/>
              </w:rPr>
              <w:t>— le remplissage expansif des fissures, vides et interstices dans le béton (classe S, voir 3.1).</w:t>
            </w:r>
          </w:p>
          <w:p w:rsidR="00490503" w:rsidRDefault="001868EF" w:rsidP="00490503">
            <w:pPr>
              <w:spacing w:after="0" w:line="240" w:lineRule="auto"/>
              <w:jc w:val="both"/>
              <w:rPr>
                <w:rFonts w:ascii="Calibri" w:hAnsi="Calibri" w:cs="Calibri"/>
                <w:sz w:val="24"/>
                <w:szCs w:val="24"/>
              </w:rPr>
            </w:pPr>
            <w:r w:rsidRPr="006E7127">
              <w:rPr>
                <w:rFonts w:ascii="Calibri" w:hAnsi="Calibri" w:cs="Calibri"/>
                <w:sz w:val="24"/>
                <w:szCs w:val="24"/>
              </w:rPr>
              <w:t>Les exigences de performance de la présente norme peuvent ne pas concerner des applications très spécialisées</w:t>
            </w:r>
            <w:r w:rsidR="00490503">
              <w:rPr>
                <w:rFonts w:ascii="Calibri" w:hAnsi="Calibri" w:cs="Calibri"/>
                <w:sz w:val="24"/>
                <w:szCs w:val="24"/>
              </w:rPr>
              <w:t xml:space="preserve"> </w:t>
            </w:r>
            <w:r w:rsidRPr="006E7127">
              <w:rPr>
                <w:rFonts w:ascii="Calibri" w:hAnsi="Calibri" w:cs="Calibri"/>
                <w:sz w:val="24"/>
                <w:szCs w:val="24"/>
              </w:rPr>
              <w:t>dans des conditions environnementales extrêmes, par exemple pour un usage cryogénique ; elles ne couvrent pas</w:t>
            </w:r>
            <w:r w:rsidRPr="006E7127">
              <w:rPr>
                <w:rFonts w:ascii="Calibri" w:hAnsi="Calibri" w:cs="Calibri"/>
                <w:sz w:val="24"/>
                <w:szCs w:val="24"/>
              </w:rPr>
              <w:br/>
              <w:t>non plus les circonstances particulières, telles qu’un choc accidentel dû par exemple à la circulation ou à la glace,</w:t>
            </w:r>
            <w:r w:rsidR="00490503">
              <w:rPr>
                <w:rFonts w:ascii="Calibri" w:hAnsi="Calibri" w:cs="Calibri"/>
                <w:sz w:val="24"/>
                <w:szCs w:val="24"/>
              </w:rPr>
              <w:t xml:space="preserve"> </w:t>
            </w:r>
            <w:r w:rsidRPr="006E7127">
              <w:rPr>
                <w:rFonts w:ascii="Calibri" w:hAnsi="Calibri" w:cs="Calibri"/>
                <w:sz w:val="24"/>
                <w:szCs w:val="24"/>
              </w:rPr>
              <w:t>ou encore à un séisme, pour lesquelles des exigences de performance spécifiques s’appliqueront.</w:t>
            </w:r>
          </w:p>
          <w:p w:rsidR="00490503" w:rsidRDefault="001868EF" w:rsidP="00490503">
            <w:pPr>
              <w:spacing w:after="0" w:line="240" w:lineRule="auto"/>
              <w:jc w:val="both"/>
              <w:rPr>
                <w:rFonts w:ascii="Calibri" w:hAnsi="Calibri" w:cs="Calibri"/>
                <w:sz w:val="24"/>
                <w:szCs w:val="24"/>
              </w:rPr>
            </w:pPr>
            <w:r w:rsidRPr="006E7127">
              <w:rPr>
                <w:rFonts w:ascii="Calibri" w:hAnsi="Calibri" w:cs="Calibri"/>
                <w:sz w:val="24"/>
                <w:szCs w:val="24"/>
              </w:rPr>
              <w:t>La présente Norme européenne ne couvre pas :</w:t>
            </w:r>
          </w:p>
          <w:p w:rsidR="00490503" w:rsidRDefault="001868EF" w:rsidP="00490503">
            <w:pPr>
              <w:spacing w:after="0" w:line="240" w:lineRule="auto"/>
              <w:jc w:val="both"/>
              <w:rPr>
                <w:rFonts w:ascii="Calibri" w:hAnsi="Calibri" w:cs="Calibri"/>
                <w:sz w:val="24"/>
                <w:szCs w:val="24"/>
              </w:rPr>
            </w:pPr>
            <w:r w:rsidRPr="006E7127">
              <w:rPr>
                <w:rFonts w:ascii="Calibri" w:hAnsi="Calibri" w:cs="Calibri"/>
                <w:sz w:val="24"/>
                <w:szCs w:val="24"/>
              </w:rPr>
              <w:t>— le traitement des fissures en les élargissant et en les scellant à l’aide d’un produit d’étanchéité élastomère ;</w:t>
            </w:r>
          </w:p>
          <w:p w:rsidR="00490503" w:rsidRDefault="001868EF" w:rsidP="00490503">
            <w:pPr>
              <w:spacing w:after="0" w:line="240" w:lineRule="auto"/>
              <w:jc w:val="both"/>
              <w:rPr>
                <w:rFonts w:ascii="Calibri" w:hAnsi="Calibri" w:cs="Calibri"/>
                <w:sz w:val="24"/>
                <w:szCs w:val="24"/>
              </w:rPr>
            </w:pPr>
            <w:r w:rsidRPr="006E7127">
              <w:rPr>
                <w:rFonts w:ascii="Calibri" w:hAnsi="Calibri" w:cs="Calibri"/>
                <w:sz w:val="24"/>
                <w:szCs w:val="24"/>
              </w:rPr>
              <w:t>— le remplissage externe des cavités, qui consiste à placer le produit à l’extérieur de la structure (en général dans</w:t>
            </w:r>
            <w:r w:rsidR="00490503">
              <w:rPr>
                <w:rFonts w:ascii="Calibri" w:hAnsi="Calibri" w:cs="Calibri"/>
                <w:sz w:val="24"/>
                <w:szCs w:val="24"/>
              </w:rPr>
              <w:t xml:space="preserve"> </w:t>
            </w:r>
            <w:r w:rsidRPr="006E7127">
              <w:rPr>
                <w:rFonts w:ascii="Calibri" w:hAnsi="Calibri" w:cs="Calibri"/>
                <w:sz w:val="24"/>
                <w:szCs w:val="24"/>
              </w:rPr>
              <w:t>les sols de fondation environnants ou à l’interface entre la structure et le sol) ; ceci est traité par l’EN 12715 [2],</w:t>
            </w:r>
            <w:r w:rsidR="00490503">
              <w:rPr>
                <w:rFonts w:ascii="Calibri" w:hAnsi="Calibri" w:cs="Calibri"/>
                <w:sz w:val="24"/>
                <w:szCs w:val="24"/>
              </w:rPr>
              <w:t xml:space="preserve"> </w:t>
            </w:r>
            <w:r w:rsidRPr="006E7127">
              <w:rPr>
                <w:rFonts w:ascii="Calibri" w:hAnsi="Calibri" w:cs="Calibri"/>
                <w:sz w:val="24"/>
                <w:szCs w:val="24"/>
              </w:rPr>
              <w:t>sous l’intitulé injection de contact ;</w:t>
            </w:r>
          </w:p>
          <w:p w:rsidR="001868EF" w:rsidRPr="006E7127" w:rsidRDefault="001868EF" w:rsidP="00490503">
            <w:pPr>
              <w:spacing w:after="0" w:line="240" w:lineRule="auto"/>
              <w:jc w:val="both"/>
              <w:rPr>
                <w:rFonts w:ascii="Calibri" w:hAnsi="Calibri" w:cs="Calibri"/>
                <w:sz w:val="24"/>
                <w:szCs w:val="24"/>
              </w:rPr>
            </w:pPr>
            <w:r w:rsidRPr="006E7127">
              <w:rPr>
                <w:rFonts w:ascii="Calibri" w:hAnsi="Calibri" w:cs="Calibri"/>
                <w:sz w:val="24"/>
                <w:szCs w:val="24"/>
              </w:rPr>
              <w:t>— les travaux d’injection préliminaires éventuels destinés à empêcher de façon temporaire le passage de l’eau</w:t>
            </w:r>
            <w:r w:rsidR="00490503">
              <w:rPr>
                <w:rFonts w:ascii="Calibri" w:hAnsi="Calibri" w:cs="Calibri"/>
                <w:sz w:val="24"/>
                <w:szCs w:val="24"/>
              </w:rPr>
              <w:t xml:space="preserve"> </w:t>
            </w:r>
            <w:r w:rsidRPr="006E7127">
              <w:rPr>
                <w:rFonts w:ascii="Calibri" w:hAnsi="Calibri" w:cs="Calibri"/>
                <w:sz w:val="24"/>
                <w:szCs w:val="24"/>
              </w:rPr>
              <w:t>pendant l’injection d’étanchéité.</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10.1.217</w:t>
            </w:r>
          </w:p>
        </w:tc>
      </w:tr>
      <w:tr w:rsidR="0043547B" w:rsidRPr="0043547B" w:rsidTr="00CB5DC0">
        <w:trPr>
          <w:trHeight w:val="49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Intitulé :</w:t>
            </w:r>
          </w:p>
        </w:tc>
        <w:tc>
          <w:tcPr>
            <w:tcW w:w="7938" w:type="dxa"/>
            <w:tcBorders>
              <w:left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Produits spéciaux destinés aux constructions en béton hydraulique – Produits de calage et scellement à base de liants hydrauliques – Caractères normalisés garantis </w:t>
            </w:r>
          </w:p>
        </w:tc>
      </w:tr>
      <w:tr w:rsidR="0043547B" w:rsidRPr="0043547B" w:rsidTr="00CB5DC0">
        <w:trPr>
          <w:trHeight w:val="559"/>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a pour objet de déterminer les caractères normalisés garantis des produits de calage et scellement à base de liants hydrauliques et de préciser les normes d’essais qui leur sont applicables.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référence à La norme comporte obligatoirement l'indication de la catégorie applicable au produit.</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10.1.218</w:t>
            </w:r>
          </w:p>
        </w:tc>
      </w:tr>
      <w:tr w:rsidR="0043547B" w:rsidRPr="0043547B" w:rsidTr="00CB5DC0">
        <w:trPr>
          <w:trHeight w:val="49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Produits spéciaux destinés aux constructions en béton hydraulique - Produits de calage et scellement à base de résines synthétiques - Caractères normalisés garantis </w:t>
            </w:r>
          </w:p>
        </w:tc>
      </w:tr>
      <w:tr w:rsidR="0043547B" w:rsidRPr="0043547B" w:rsidTr="00CB5DC0">
        <w:trPr>
          <w:trHeight w:val="915"/>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a pour objet de déterminer les caractères normalisés garantis des produits de calage et scellement à base de résines synthétiques et de préciser les normes d’essais qui leur sont applicables.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référence à La norme comporte obligatoirement l’indication de la catégorie applicable au produit.</w:t>
            </w:r>
          </w:p>
        </w:tc>
      </w:tr>
      <w:tr w:rsidR="001868EF" w:rsidRPr="0043547B" w:rsidTr="000344A4">
        <w:trPr>
          <w:trHeight w:val="318"/>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1868EF" w:rsidRPr="000344A4" w:rsidRDefault="001868EF" w:rsidP="000344A4">
            <w:pPr>
              <w:spacing w:after="0" w:line="240" w:lineRule="auto"/>
              <w:jc w:val="center"/>
              <w:rPr>
                <w:rFonts w:ascii="Calibri" w:hAnsi="Calibri" w:cs="Calibri"/>
                <w:b/>
                <w:bCs/>
                <w:sz w:val="24"/>
                <w:szCs w:val="24"/>
              </w:rPr>
            </w:pPr>
            <w:r w:rsidRPr="000344A4">
              <w:rPr>
                <w:rFonts w:ascii="Calibri" w:hAnsi="Calibri" w:cs="Calibr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1868EF" w:rsidRPr="000344A4" w:rsidRDefault="001868EF" w:rsidP="000344A4">
            <w:pPr>
              <w:spacing w:after="0" w:line="240" w:lineRule="auto"/>
              <w:jc w:val="center"/>
              <w:rPr>
                <w:rFonts w:ascii="Calibri" w:hAnsi="Calibri" w:cs="Calibri"/>
                <w:b/>
                <w:bCs/>
                <w:sz w:val="24"/>
                <w:szCs w:val="24"/>
              </w:rPr>
            </w:pPr>
            <w:r w:rsidRPr="000344A4">
              <w:rPr>
                <w:rFonts w:ascii="Calibri" w:hAnsi="Calibri" w:cs="Calibri"/>
                <w:b/>
                <w:bCs/>
                <w:sz w:val="24"/>
                <w:szCs w:val="24"/>
              </w:rPr>
              <w:t>NM EN 1504-3</w:t>
            </w:r>
          </w:p>
        </w:tc>
      </w:tr>
      <w:tr w:rsidR="001868EF" w:rsidRPr="0043547B" w:rsidTr="00F11468">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FFFFCC"/>
            <w:vAlign w:val="center"/>
          </w:tcPr>
          <w:p w:rsidR="001868EF" w:rsidRPr="000344A4" w:rsidRDefault="001868EF" w:rsidP="000344A4">
            <w:pPr>
              <w:spacing w:after="0" w:line="240" w:lineRule="auto"/>
              <w:jc w:val="center"/>
              <w:rPr>
                <w:rFonts w:ascii="Calibri" w:hAnsi="Calibri" w:cs="Calibri"/>
                <w:b/>
                <w:bCs/>
                <w:sz w:val="24"/>
                <w:szCs w:val="24"/>
              </w:rPr>
            </w:pPr>
            <w:r w:rsidRPr="000344A4">
              <w:rPr>
                <w:rFonts w:ascii="Calibri" w:hAnsi="Calibri" w:cs="Calibri"/>
                <w:b/>
                <w:bCs/>
                <w:sz w:val="24"/>
                <w:szCs w:val="24"/>
              </w:rPr>
              <w:t>Equivalence :</w:t>
            </w:r>
          </w:p>
        </w:tc>
        <w:tc>
          <w:tcPr>
            <w:tcW w:w="7938" w:type="dxa"/>
            <w:tcBorders>
              <w:top w:val="single" w:sz="18" w:space="0" w:color="auto"/>
              <w:left w:val="single" w:sz="4" w:space="0" w:color="auto"/>
              <w:bottom w:val="single" w:sz="18" w:space="0" w:color="auto"/>
              <w:right w:val="single" w:sz="18" w:space="0" w:color="auto"/>
            </w:tcBorders>
            <w:shd w:val="clear" w:color="auto" w:fill="FFFFCC"/>
            <w:vAlign w:val="center"/>
          </w:tcPr>
          <w:p w:rsidR="001868EF" w:rsidRPr="000344A4" w:rsidRDefault="001868EF" w:rsidP="000344A4">
            <w:pPr>
              <w:spacing w:after="0" w:line="240" w:lineRule="auto"/>
              <w:jc w:val="center"/>
              <w:rPr>
                <w:rFonts w:ascii="Calibri" w:hAnsi="Calibri" w:cs="Calibri"/>
                <w:b/>
                <w:bCs/>
                <w:sz w:val="24"/>
                <w:szCs w:val="24"/>
              </w:rPr>
            </w:pPr>
            <w:r w:rsidRPr="000344A4">
              <w:rPr>
                <w:rFonts w:ascii="Calibri" w:hAnsi="Calibri" w:cs="Calibri"/>
                <w:b/>
                <w:bCs/>
                <w:sz w:val="24"/>
                <w:szCs w:val="24"/>
              </w:rPr>
              <w:t>EN 1504-3</w:t>
            </w:r>
          </w:p>
        </w:tc>
      </w:tr>
      <w:tr w:rsidR="001868EF" w:rsidRPr="0043547B" w:rsidTr="00CB5DC0">
        <w:trPr>
          <w:trHeight w:val="49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1868EF" w:rsidRPr="000344A4" w:rsidRDefault="001868EF" w:rsidP="000344A4">
            <w:pPr>
              <w:spacing w:after="0" w:line="240" w:lineRule="auto"/>
              <w:jc w:val="center"/>
              <w:rPr>
                <w:rFonts w:ascii="Calibri" w:hAnsi="Calibri" w:cs="Calibri"/>
                <w:b/>
                <w:bCs/>
                <w:sz w:val="24"/>
                <w:szCs w:val="24"/>
              </w:rPr>
            </w:pPr>
            <w:r w:rsidRPr="000344A4">
              <w:rPr>
                <w:rFonts w:ascii="Calibri" w:hAnsi="Calibri" w:cs="Calibri"/>
                <w:b/>
                <w:bCs/>
                <w:sz w:val="24"/>
                <w:szCs w:val="24"/>
              </w:rPr>
              <w:t>Intitulé :</w:t>
            </w:r>
          </w:p>
        </w:tc>
        <w:tc>
          <w:tcPr>
            <w:tcW w:w="7938" w:type="dxa"/>
            <w:tcBorders>
              <w:top w:val="single" w:sz="18" w:space="0" w:color="auto"/>
              <w:left w:val="single" w:sz="4" w:space="0" w:color="auto"/>
              <w:right w:val="single" w:sz="18" w:space="0" w:color="auto"/>
            </w:tcBorders>
            <w:shd w:val="clear" w:color="auto" w:fill="auto"/>
            <w:vAlign w:val="center"/>
            <w:hideMark/>
          </w:tcPr>
          <w:p w:rsidR="001868EF" w:rsidRPr="000344A4" w:rsidRDefault="001868EF" w:rsidP="000344A4">
            <w:pPr>
              <w:spacing w:after="0" w:line="240" w:lineRule="auto"/>
              <w:rPr>
                <w:rFonts w:ascii="Calibri" w:hAnsi="Calibri" w:cs="Calibri"/>
                <w:sz w:val="24"/>
                <w:szCs w:val="24"/>
              </w:rPr>
            </w:pPr>
            <w:r w:rsidRPr="000344A4">
              <w:rPr>
                <w:rFonts w:ascii="Calibri" w:hAnsi="Calibri" w:cs="Calibri"/>
                <w:sz w:val="24"/>
                <w:szCs w:val="24"/>
              </w:rPr>
              <w:t xml:space="preserve">Produits et systèmes pour la protection et la réparation des structures en béton - Définitions, exigences, maîtrise de la qualité et évaluation de la conformité - Partie 3 : Réparation structurale et réparation non structurale ; (IC 10.1.383)  (REV)  (RMC)  </w:t>
            </w:r>
          </w:p>
        </w:tc>
      </w:tr>
      <w:tr w:rsidR="001868EF" w:rsidRPr="0043547B" w:rsidTr="001868EF">
        <w:trPr>
          <w:trHeight w:val="1815"/>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1868EF" w:rsidRPr="000344A4" w:rsidRDefault="001868EF" w:rsidP="000344A4">
            <w:pPr>
              <w:jc w:val="center"/>
              <w:rPr>
                <w:rFonts w:ascii="Calibri" w:hAnsi="Calibri" w:cs="Calibri"/>
                <w:b/>
                <w:bCs/>
                <w:sz w:val="24"/>
                <w:szCs w:val="24"/>
              </w:rPr>
            </w:pPr>
            <w:r w:rsidRPr="000344A4">
              <w:rPr>
                <w:rFonts w:ascii="Calibri" w:hAnsi="Calibri" w:cs="Calibr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hideMark/>
          </w:tcPr>
          <w:p w:rsidR="00F11468" w:rsidRDefault="001868EF" w:rsidP="00F11468">
            <w:pPr>
              <w:spacing w:after="0" w:line="240" w:lineRule="auto"/>
              <w:jc w:val="both"/>
              <w:rPr>
                <w:rFonts w:ascii="Calibri" w:hAnsi="Calibri" w:cs="Calibri"/>
                <w:sz w:val="24"/>
                <w:szCs w:val="24"/>
              </w:rPr>
            </w:pPr>
            <w:r w:rsidRPr="000344A4">
              <w:rPr>
                <w:rFonts w:ascii="Calibri" w:hAnsi="Calibri" w:cs="Calibri"/>
                <w:sz w:val="24"/>
                <w:szCs w:val="24"/>
              </w:rPr>
              <w:t>La présente Norme européenne définit les exigences d’identification, de performance (y compris la durabilité) et</w:t>
            </w:r>
            <w:r w:rsidR="000344A4">
              <w:rPr>
                <w:rFonts w:ascii="Calibri" w:hAnsi="Calibri" w:cs="Calibri"/>
                <w:sz w:val="24"/>
                <w:szCs w:val="24"/>
              </w:rPr>
              <w:t xml:space="preserve"> </w:t>
            </w:r>
            <w:r w:rsidRPr="000344A4">
              <w:rPr>
                <w:rFonts w:ascii="Calibri" w:hAnsi="Calibri" w:cs="Calibri"/>
                <w:sz w:val="24"/>
                <w:szCs w:val="24"/>
              </w:rPr>
              <w:t>la sécurité des produits et systèmes utilisés pour la réparation structurale et la réparation non-structurale des</w:t>
            </w:r>
            <w:r w:rsidRPr="000344A4">
              <w:rPr>
                <w:rFonts w:ascii="Calibri" w:hAnsi="Calibri" w:cs="Calibri"/>
                <w:sz w:val="24"/>
                <w:szCs w:val="24"/>
              </w:rPr>
              <w:br/>
              <w:t>structures en béton.</w:t>
            </w:r>
          </w:p>
          <w:p w:rsidR="00F11468" w:rsidRDefault="001868EF" w:rsidP="00F11468">
            <w:pPr>
              <w:spacing w:after="0" w:line="240" w:lineRule="auto"/>
              <w:jc w:val="both"/>
              <w:rPr>
                <w:rFonts w:ascii="Calibri" w:hAnsi="Calibri" w:cs="Calibri"/>
                <w:sz w:val="24"/>
                <w:szCs w:val="24"/>
              </w:rPr>
            </w:pPr>
            <w:r w:rsidRPr="000344A4">
              <w:rPr>
                <w:rFonts w:ascii="Calibri" w:hAnsi="Calibri" w:cs="Calibri"/>
                <w:sz w:val="24"/>
                <w:szCs w:val="24"/>
              </w:rPr>
              <w:t>La présente Norme couvre les mortiers et bétons de réparation utilisés, le cas échéant, conjointement</w:t>
            </w:r>
            <w:r w:rsidR="00F11468">
              <w:rPr>
                <w:rFonts w:ascii="Calibri" w:hAnsi="Calibri" w:cs="Calibri"/>
                <w:sz w:val="24"/>
                <w:szCs w:val="24"/>
              </w:rPr>
              <w:t xml:space="preserve"> </w:t>
            </w:r>
            <w:r w:rsidRPr="000344A4">
              <w:rPr>
                <w:rFonts w:ascii="Calibri" w:hAnsi="Calibri" w:cs="Calibri"/>
                <w:sz w:val="24"/>
                <w:szCs w:val="24"/>
              </w:rPr>
              <w:t>avec d'autres produits ou systèmes, afin de restaurer et/ou de remplacer un béton défectueux et de protéger les</w:t>
            </w:r>
            <w:r w:rsidR="00F11468">
              <w:rPr>
                <w:rFonts w:ascii="Calibri" w:hAnsi="Calibri" w:cs="Calibri"/>
                <w:sz w:val="24"/>
                <w:szCs w:val="24"/>
              </w:rPr>
              <w:t xml:space="preserve"> </w:t>
            </w:r>
            <w:r w:rsidRPr="000344A4">
              <w:rPr>
                <w:rFonts w:ascii="Calibri" w:hAnsi="Calibri" w:cs="Calibri"/>
                <w:sz w:val="24"/>
                <w:szCs w:val="24"/>
              </w:rPr>
              <w:t>armatures afin d’allonger la durée de service d'une structure en béton dégradée. Les champs d'application couverts</w:t>
            </w:r>
            <w:r w:rsidR="00F11468">
              <w:rPr>
                <w:rFonts w:ascii="Calibri" w:hAnsi="Calibri" w:cs="Calibri"/>
                <w:sz w:val="24"/>
                <w:szCs w:val="24"/>
              </w:rPr>
              <w:t xml:space="preserve"> </w:t>
            </w:r>
            <w:r w:rsidRPr="000344A4">
              <w:rPr>
                <w:rFonts w:ascii="Calibri" w:hAnsi="Calibri" w:cs="Calibri"/>
                <w:sz w:val="24"/>
                <w:szCs w:val="24"/>
              </w:rPr>
              <w:t>par la présente norme sont les suivants conformément à l'ENV 1504-9 : Principe 3 Restauration du béton Méthode 3.1 Application de mortier à la main</w:t>
            </w:r>
            <w:r w:rsidR="00F11468">
              <w:rPr>
                <w:rFonts w:ascii="Calibri" w:hAnsi="Calibri" w:cs="Calibri"/>
                <w:sz w:val="24"/>
                <w:szCs w:val="24"/>
              </w:rPr>
              <w:t xml:space="preserve"> </w:t>
            </w:r>
          </w:p>
          <w:p w:rsidR="00F11468" w:rsidRDefault="001868EF" w:rsidP="00F11468">
            <w:pPr>
              <w:spacing w:after="0" w:line="240" w:lineRule="auto"/>
              <w:jc w:val="both"/>
              <w:rPr>
                <w:rFonts w:ascii="Calibri" w:hAnsi="Calibri" w:cs="Calibri"/>
                <w:sz w:val="24"/>
                <w:szCs w:val="24"/>
              </w:rPr>
            </w:pPr>
            <w:r w:rsidRPr="000344A4">
              <w:rPr>
                <w:rFonts w:ascii="Calibri" w:hAnsi="Calibri" w:cs="Calibri"/>
                <w:sz w:val="24"/>
                <w:szCs w:val="24"/>
              </w:rPr>
              <w:t>Méthode 3.2 Nouveau coulage de béton</w:t>
            </w:r>
          </w:p>
          <w:p w:rsidR="00F11468" w:rsidRDefault="001868EF" w:rsidP="00F11468">
            <w:pPr>
              <w:spacing w:after="0" w:line="240" w:lineRule="auto"/>
              <w:jc w:val="both"/>
              <w:rPr>
                <w:rFonts w:ascii="Calibri" w:hAnsi="Calibri" w:cs="Calibri"/>
                <w:sz w:val="24"/>
                <w:szCs w:val="24"/>
              </w:rPr>
            </w:pPr>
            <w:r w:rsidRPr="000344A4">
              <w:rPr>
                <w:rFonts w:ascii="Calibri" w:hAnsi="Calibri" w:cs="Calibri"/>
                <w:sz w:val="24"/>
                <w:szCs w:val="24"/>
              </w:rPr>
              <w:t>Méthode 3.3 Projection de mortier ou de béton</w:t>
            </w:r>
          </w:p>
          <w:p w:rsidR="00F11468" w:rsidRDefault="001868EF" w:rsidP="00F11468">
            <w:pPr>
              <w:spacing w:after="0" w:line="240" w:lineRule="auto"/>
              <w:jc w:val="both"/>
              <w:rPr>
                <w:rFonts w:ascii="Calibri" w:hAnsi="Calibri" w:cs="Calibri"/>
                <w:sz w:val="24"/>
                <w:szCs w:val="24"/>
              </w:rPr>
            </w:pPr>
            <w:r w:rsidRPr="000344A4">
              <w:rPr>
                <w:rFonts w:ascii="Calibri" w:hAnsi="Calibri" w:cs="Calibri"/>
                <w:sz w:val="24"/>
                <w:szCs w:val="24"/>
              </w:rPr>
              <w:t>Principe 4 Renforcement structural Méthode 4.4 Ajout de mortier ou de béton</w:t>
            </w:r>
            <w:r w:rsidRPr="000344A4">
              <w:rPr>
                <w:rFonts w:ascii="Calibri" w:hAnsi="Calibri" w:cs="Calibri"/>
                <w:sz w:val="24"/>
                <w:szCs w:val="24"/>
              </w:rPr>
              <w:br/>
              <w:t>Principe 7 Préservation ou restauration</w:t>
            </w:r>
            <w:r w:rsidR="00F11468">
              <w:rPr>
                <w:rFonts w:ascii="Calibri" w:hAnsi="Calibri" w:cs="Calibri"/>
                <w:sz w:val="24"/>
                <w:szCs w:val="24"/>
              </w:rPr>
              <w:t xml:space="preserve"> </w:t>
            </w:r>
            <w:r w:rsidRPr="000344A4">
              <w:rPr>
                <w:rFonts w:ascii="Calibri" w:hAnsi="Calibri" w:cs="Calibri"/>
                <w:sz w:val="24"/>
                <w:szCs w:val="24"/>
              </w:rPr>
              <w:t>de la passivité</w:t>
            </w:r>
          </w:p>
          <w:p w:rsidR="00F11468" w:rsidRDefault="001868EF" w:rsidP="00F11468">
            <w:pPr>
              <w:spacing w:after="0" w:line="240" w:lineRule="auto"/>
              <w:jc w:val="both"/>
              <w:rPr>
                <w:rFonts w:ascii="Calibri" w:hAnsi="Calibri" w:cs="Calibri"/>
                <w:sz w:val="24"/>
                <w:szCs w:val="24"/>
              </w:rPr>
            </w:pPr>
            <w:r w:rsidRPr="000344A4">
              <w:rPr>
                <w:rFonts w:ascii="Calibri" w:hAnsi="Calibri" w:cs="Calibri"/>
                <w:sz w:val="24"/>
                <w:szCs w:val="24"/>
              </w:rPr>
              <w:t>Méthode 7.1 Augmentation de l'enrobage des armatures à</w:t>
            </w:r>
            <w:r w:rsidR="00F11468">
              <w:rPr>
                <w:rFonts w:ascii="Calibri" w:hAnsi="Calibri" w:cs="Calibri"/>
                <w:sz w:val="24"/>
                <w:szCs w:val="24"/>
              </w:rPr>
              <w:t xml:space="preserve"> </w:t>
            </w:r>
            <w:r w:rsidRPr="000344A4">
              <w:rPr>
                <w:rFonts w:ascii="Calibri" w:hAnsi="Calibri" w:cs="Calibri"/>
                <w:sz w:val="24"/>
                <w:szCs w:val="24"/>
              </w:rPr>
              <w:t>l’aide de mortier ou de béton</w:t>
            </w:r>
          </w:p>
          <w:p w:rsidR="001868EF" w:rsidRPr="000344A4" w:rsidRDefault="001868EF" w:rsidP="00F11468">
            <w:pPr>
              <w:spacing w:after="0" w:line="240" w:lineRule="auto"/>
              <w:jc w:val="both"/>
              <w:rPr>
                <w:rFonts w:ascii="Calibri" w:hAnsi="Calibri" w:cs="Calibri"/>
                <w:sz w:val="24"/>
                <w:szCs w:val="24"/>
              </w:rPr>
            </w:pPr>
            <w:r w:rsidRPr="000344A4">
              <w:rPr>
                <w:rFonts w:ascii="Calibri" w:hAnsi="Calibri" w:cs="Calibri"/>
                <w:sz w:val="24"/>
                <w:szCs w:val="24"/>
              </w:rPr>
              <w:t>Méthode 7.2 Remplacement du béton contaminé</w:t>
            </w:r>
          </w:p>
        </w:tc>
      </w:tr>
      <w:tr w:rsidR="001868EF" w:rsidRPr="0043547B" w:rsidTr="00F11468">
        <w:trPr>
          <w:trHeight w:val="463"/>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1868EF" w:rsidRPr="000344A4" w:rsidRDefault="001868EF" w:rsidP="00F11468">
            <w:pPr>
              <w:spacing w:after="0" w:line="240" w:lineRule="auto"/>
              <w:jc w:val="center"/>
              <w:rPr>
                <w:rFonts w:ascii="Calibri" w:hAnsi="Calibri" w:cs="Calibri"/>
                <w:b/>
                <w:bCs/>
                <w:sz w:val="24"/>
                <w:szCs w:val="24"/>
              </w:rPr>
            </w:pPr>
            <w:r w:rsidRPr="000344A4">
              <w:rPr>
                <w:rFonts w:ascii="Calibri" w:hAnsi="Calibri" w:cs="Calibr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1868EF" w:rsidRPr="00F11468" w:rsidRDefault="001868EF" w:rsidP="00F11468">
            <w:pPr>
              <w:spacing w:after="0" w:line="240" w:lineRule="auto"/>
              <w:jc w:val="center"/>
              <w:rPr>
                <w:rFonts w:ascii="Calibri" w:hAnsi="Calibri" w:cs="Calibri"/>
                <w:b/>
                <w:bCs/>
                <w:sz w:val="24"/>
                <w:szCs w:val="24"/>
              </w:rPr>
            </w:pPr>
            <w:r w:rsidRPr="00F11468">
              <w:rPr>
                <w:rFonts w:ascii="Calibri" w:hAnsi="Calibri" w:cs="Calibri"/>
                <w:b/>
                <w:bCs/>
                <w:sz w:val="24"/>
                <w:szCs w:val="24"/>
              </w:rPr>
              <w:t>NM EN 1504-4</w:t>
            </w:r>
          </w:p>
        </w:tc>
      </w:tr>
      <w:tr w:rsidR="001868EF" w:rsidRPr="0043547B" w:rsidTr="00F11468">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FFFFCC"/>
            <w:vAlign w:val="center"/>
          </w:tcPr>
          <w:p w:rsidR="001868EF" w:rsidRPr="000344A4" w:rsidRDefault="001868EF" w:rsidP="00F11468">
            <w:pPr>
              <w:spacing w:after="0" w:line="240" w:lineRule="auto"/>
              <w:jc w:val="center"/>
              <w:rPr>
                <w:rFonts w:ascii="Calibri" w:hAnsi="Calibri" w:cs="Calibri"/>
                <w:b/>
                <w:bCs/>
                <w:sz w:val="24"/>
                <w:szCs w:val="24"/>
              </w:rPr>
            </w:pPr>
            <w:r w:rsidRPr="000344A4">
              <w:rPr>
                <w:rFonts w:ascii="Calibri" w:hAnsi="Calibri" w:cs="Calibri"/>
                <w:b/>
                <w:bCs/>
                <w:sz w:val="24"/>
                <w:szCs w:val="24"/>
              </w:rPr>
              <w:t>Equivalence :</w:t>
            </w:r>
          </w:p>
        </w:tc>
        <w:tc>
          <w:tcPr>
            <w:tcW w:w="7938" w:type="dxa"/>
            <w:tcBorders>
              <w:top w:val="single" w:sz="18" w:space="0" w:color="auto"/>
              <w:left w:val="single" w:sz="4" w:space="0" w:color="auto"/>
              <w:bottom w:val="single" w:sz="18" w:space="0" w:color="auto"/>
              <w:right w:val="single" w:sz="18" w:space="0" w:color="auto"/>
            </w:tcBorders>
            <w:shd w:val="clear" w:color="auto" w:fill="FFFFCC"/>
            <w:vAlign w:val="center"/>
          </w:tcPr>
          <w:p w:rsidR="001868EF" w:rsidRPr="00F11468" w:rsidRDefault="001868EF" w:rsidP="00F11468">
            <w:pPr>
              <w:spacing w:after="0" w:line="240" w:lineRule="auto"/>
              <w:jc w:val="center"/>
              <w:rPr>
                <w:rFonts w:ascii="Calibri" w:hAnsi="Calibri" w:cs="Calibri"/>
                <w:b/>
                <w:bCs/>
                <w:sz w:val="24"/>
                <w:szCs w:val="24"/>
              </w:rPr>
            </w:pPr>
            <w:r w:rsidRPr="00F11468">
              <w:rPr>
                <w:rFonts w:ascii="Calibri" w:hAnsi="Calibri" w:cs="Calibri"/>
                <w:b/>
                <w:bCs/>
                <w:sz w:val="24"/>
                <w:szCs w:val="24"/>
              </w:rPr>
              <w:t>EN 1504-4</w:t>
            </w:r>
          </w:p>
        </w:tc>
      </w:tr>
      <w:tr w:rsidR="001868EF" w:rsidRPr="0043547B" w:rsidTr="00CB5DC0">
        <w:trPr>
          <w:trHeight w:val="49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1868EF" w:rsidRPr="000344A4" w:rsidRDefault="001868EF" w:rsidP="00F11468">
            <w:pPr>
              <w:spacing w:after="0" w:line="240" w:lineRule="auto"/>
              <w:jc w:val="center"/>
              <w:rPr>
                <w:rFonts w:ascii="Calibri" w:hAnsi="Calibri" w:cs="Calibri"/>
                <w:b/>
                <w:bCs/>
                <w:sz w:val="24"/>
                <w:szCs w:val="24"/>
              </w:rPr>
            </w:pPr>
            <w:r w:rsidRPr="000344A4">
              <w:rPr>
                <w:rFonts w:ascii="Calibri" w:hAnsi="Calibri" w:cs="Calibri"/>
                <w:b/>
                <w:bCs/>
                <w:sz w:val="24"/>
                <w:szCs w:val="24"/>
              </w:rPr>
              <w:t>Intitulé :</w:t>
            </w:r>
          </w:p>
        </w:tc>
        <w:tc>
          <w:tcPr>
            <w:tcW w:w="7938" w:type="dxa"/>
            <w:tcBorders>
              <w:top w:val="single" w:sz="18" w:space="0" w:color="auto"/>
              <w:left w:val="single" w:sz="4" w:space="0" w:color="auto"/>
              <w:right w:val="single" w:sz="18" w:space="0" w:color="auto"/>
            </w:tcBorders>
            <w:shd w:val="clear" w:color="auto" w:fill="auto"/>
            <w:vAlign w:val="center"/>
            <w:hideMark/>
          </w:tcPr>
          <w:p w:rsidR="001868EF" w:rsidRPr="000344A4" w:rsidRDefault="001868EF" w:rsidP="000344A4">
            <w:pPr>
              <w:spacing w:after="0" w:line="240" w:lineRule="auto"/>
              <w:rPr>
                <w:rFonts w:ascii="Calibri" w:hAnsi="Calibri" w:cs="Calibri"/>
                <w:sz w:val="24"/>
                <w:szCs w:val="24"/>
              </w:rPr>
            </w:pPr>
            <w:r w:rsidRPr="000344A4">
              <w:rPr>
                <w:rFonts w:ascii="Calibri" w:hAnsi="Calibri" w:cs="Calibri"/>
                <w:sz w:val="24"/>
                <w:szCs w:val="24"/>
              </w:rPr>
              <w:t xml:space="preserve">Produits et systèmes pour la protection et la réparation de structures en béton - Définitions, prescriptions, maîtrise de la qualité et évaluation de la conformité - Partie 4 : Collage structural ; (IC 10.1.384)  (REV)  (RMC)  </w:t>
            </w:r>
          </w:p>
        </w:tc>
      </w:tr>
      <w:tr w:rsidR="001868EF" w:rsidRPr="0043547B" w:rsidTr="00CB5DC0">
        <w:trPr>
          <w:trHeight w:val="1515"/>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1868EF" w:rsidRPr="000344A4" w:rsidRDefault="001868EF" w:rsidP="00F11468">
            <w:pPr>
              <w:spacing w:after="0" w:line="240" w:lineRule="auto"/>
              <w:jc w:val="center"/>
              <w:rPr>
                <w:rFonts w:ascii="Calibri" w:hAnsi="Calibri" w:cs="Calibri"/>
                <w:b/>
                <w:bCs/>
                <w:sz w:val="24"/>
                <w:szCs w:val="24"/>
              </w:rPr>
            </w:pPr>
            <w:r w:rsidRPr="000344A4">
              <w:rPr>
                <w:rFonts w:ascii="Calibri" w:hAnsi="Calibri" w:cs="Calibri"/>
                <w:b/>
                <w:bCs/>
                <w:sz w:val="24"/>
                <w:szCs w:val="24"/>
              </w:rPr>
              <w:lastRenderedPageBreak/>
              <w:t>Domaine d’application :</w:t>
            </w:r>
          </w:p>
        </w:tc>
        <w:tc>
          <w:tcPr>
            <w:tcW w:w="7938" w:type="dxa"/>
            <w:tcBorders>
              <w:left w:val="single" w:sz="4" w:space="0" w:color="auto"/>
              <w:bottom w:val="single" w:sz="18" w:space="0" w:color="auto"/>
              <w:right w:val="single" w:sz="18" w:space="0" w:color="auto"/>
            </w:tcBorders>
            <w:shd w:val="clear" w:color="auto" w:fill="auto"/>
            <w:vAlign w:val="center"/>
            <w:hideMark/>
          </w:tcPr>
          <w:p w:rsidR="00F11468" w:rsidRDefault="001868EF" w:rsidP="00F11468">
            <w:pPr>
              <w:spacing w:after="0" w:line="240" w:lineRule="auto"/>
              <w:jc w:val="both"/>
              <w:rPr>
                <w:rFonts w:ascii="Calibri" w:hAnsi="Calibri" w:cs="Calibri"/>
                <w:sz w:val="24"/>
                <w:szCs w:val="24"/>
              </w:rPr>
            </w:pPr>
            <w:r w:rsidRPr="000344A4">
              <w:rPr>
                <w:rFonts w:ascii="Calibri" w:hAnsi="Calibri" w:cs="Calibri"/>
                <w:sz w:val="24"/>
                <w:szCs w:val="24"/>
              </w:rPr>
              <w:t>La présente Partie 4 de l'EN 1504 spécifie les exigences relatives à l’identification, aux performances (y compris</w:t>
            </w:r>
            <w:r w:rsidR="00F11468">
              <w:rPr>
                <w:rFonts w:ascii="Calibri" w:hAnsi="Calibri" w:cs="Calibri"/>
                <w:sz w:val="24"/>
                <w:szCs w:val="24"/>
              </w:rPr>
              <w:t xml:space="preserve"> </w:t>
            </w:r>
            <w:r w:rsidRPr="000344A4">
              <w:rPr>
                <w:rFonts w:ascii="Calibri" w:hAnsi="Calibri" w:cs="Calibri"/>
                <w:sz w:val="24"/>
                <w:szCs w:val="24"/>
              </w:rPr>
              <w:t>les aspects de durabilité) et à la sécurité des produits et systèmes à utiliser pour le collage structural des matériaux</w:t>
            </w:r>
            <w:r w:rsidR="00F11468">
              <w:rPr>
                <w:rFonts w:ascii="Calibri" w:hAnsi="Calibri" w:cs="Calibri"/>
                <w:sz w:val="24"/>
                <w:szCs w:val="24"/>
              </w:rPr>
              <w:t xml:space="preserve"> </w:t>
            </w:r>
            <w:r w:rsidRPr="000344A4">
              <w:rPr>
                <w:rFonts w:ascii="Calibri" w:hAnsi="Calibri" w:cs="Calibri"/>
                <w:sz w:val="24"/>
                <w:szCs w:val="24"/>
              </w:rPr>
              <w:t>de renforcement d'une structure en béton existante, y compris :</w:t>
            </w:r>
          </w:p>
          <w:p w:rsidR="00F11468" w:rsidRDefault="001868EF" w:rsidP="00F11468">
            <w:pPr>
              <w:spacing w:after="0" w:line="240" w:lineRule="auto"/>
              <w:jc w:val="both"/>
              <w:rPr>
                <w:rFonts w:ascii="Calibri" w:hAnsi="Calibri" w:cs="Calibri"/>
                <w:sz w:val="24"/>
                <w:szCs w:val="24"/>
              </w:rPr>
            </w:pPr>
            <w:r w:rsidRPr="000344A4">
              <w:rPr>
                <w:rFonts w:ascii="Calibri" w:hAnsi="Calibri" w:cs="Calibri"/>
                <w:sz w:val="24"/>
                <w:szCs w:val="24"/>
              </w:rPr>
              <w:t>1) le collage des plaques extérieures en acier ou en tout autre matériau approprié (par exemple, composites</w:t>
            </w:r>
            <w:r w:rsidR="00F11468">
              <w:rPr>
                <w:rFonts w:ascii="Calibri" w:hAnsi="Calibri" w:cs="Calibri"/>
                <w:sz w:val="24"/>
                <w:szCs w:val="24"/>
              </w:rPr>
              <w:t xml:space="preserve"> </w:t>
            </w:r>
            <w:r w:rsidRPr="000344A4">
              <w:rPr>
                <w:rFonts w:ascii="Calibri" w:hAnsi="Calibri" w:cs="Calibri"/>
                <w:sz w:val="24"/>
                <w:szCs w:val="24"/>
              </w:rPr>
              <w:t>armés par des fibres) sur la surface de la structure en béton en vue de la renforcer, y compris la mise en place</w:t>
            </w:r>
            <w:r w:rsidR="00F11468">
              <w:rPr>
                <w:rFonts w:ascii="Calibri" w:hAnsi="Calibri" w:cs="Calibri"/>
                <w:sz w:val="24"/>
                <w:szCs w:val="24"/>
              </w:rPr>
              <w:t xml:space="preserve"> </w:t>
            </w:r>
            <w:r w:rsidRPr="000344A4">
              <w:rPr>
                <w:rFonts w:ascii="Calibri" w:hAnsi="Calibri" w:cs="Calibri"/>
                <w:sz w:val="24"/>
                <w:szCs w:val="24"/>
              </w:rPr>
              <w:t>des plaques dans de telles applications ;</w:t>
            </w:r>
          </w:p>
          <w:p w:rsidR="00F11468" w:rsidRDefault="001868EF" w:rsidP="00F11468">
            <w:pPr>
              <w:spacing w:after="0" w:line="240" w:lineRule="auto"/>
              <w:jc w:val="both"/>
              <w:rPr>
                <w:rFonts w:ascii="Calibri" w:hAnsi="Calibri" w:cs="Calibri"/>
                <w:sz w:val="24"/>
                <w:szCs w:val="24"/>
              </w:rPr>
            </w:pPr>
            <w:r w:rsidRPr="000344A4">
              <w:rPr>
                <w:rFonts w:ascii="Calibri" w:hAnsi="Calibri" w:cs="Calibri"/>
                <w:sz w:val="24"/>
                <w:szCs w:val="24"/>
              </w:rPr>
              <w:t>2) le collage de béton durci sur béton durci, généralement associé à l’utilisation d’éléments préfabriqués lors de</w:t>
            </w:r>
            <w:r w:rsidR="00F11468">
              <w:rPr>
                <w:rFonts w:ascii="Calibri" w:hAnsi="Calibri" w:cs="Calibri"/>
                <w:sz w:val="24"/>
                <w:szCs w:val="24"/>
              </w:rPr>
              <w:t xml:space="preserve"> </w:t>
            </w:r>
            <w:r w:rsidRPr="000344A4">
              <w:rPr>
                <w:rFonts w:ascii="Calibri" w:hAnsi="Calibri" w:cs="Calibri"/>
                <w:sz w:val="24"/>
                <w:szCs w:val="24"/>
              </w:rPr>
              <w:t>travaux de réparation et de renforcement ;</w:t>
            </w:r>
          </w:p>
          <w:p w:rsidR="00F11468" w:rsidRDefault="001868EF" w:rsidP="00F11468">
            <w:pPr>
              <w:spacing w:after="0" w:line="240" w:lineRule="auto"/>
              <w:jc w:val="both"/>
              <w:rPr>
                <w:rFonts w:ascii="Calibri" w:hAnsi="Calibri" w:cs="Calibri"/>
                <w:sz w:val="24"/>
                <w:szCs w:val="24"/>
              </w:rPr>
            </w:pPr>
            <w:r w:rsidRPr="000344A4">
              <w:rPr>
                <w:rFonts w:ascii="Calibri" w:hAnsi="Calibri" w:cs="Calibri"/>
                <w:sz w:val="24"/>
                <w:szCs w:val="24"/>
              </w:rPr>
              <w:t>3) le collage par coulage de béton frais sur du béton durci en utilisant un joint adhésif collé faisant partie intégrante</w:t>
            </w:r>
            <w:r w:rsidR="00F11468">
              <w:rPr>
                <w:rFonts w:ascii="Calibri" w:hAnsi="Calibri" w:cs="Calibri"/>
                <w:sz w:val="24"/>
                <w:szCs w:val="24"/>
              </w:rPr>
              <w:t xml:space="preserve"> </w:t>
            </w:r>
            <w:r w:rsidRPr="000344A4">
              <w:rPr>
                <w:rFonts w:ascii="Calibri" w:hAnsi="Calibri" w:cs="Calibri"/>
                <w:sz w:val="24"/>
                <w:szCs w:val="24"/>
              </w:rPr>
              <w:t>de la structure, les trois éléments constituant une nouvelle structure.</w:t>
            </w:r>
          </w:p>
          <w:p w:rsidR="001868EF" w:rsidRPr="000344A4" w:rsidRDefault="001868EF" w:rsidP="00F11468">
            <w:pPr>
              <w:spacing w:after="0" w:line="240" w:lineRule="auto"/>
              <w:jc w:val="both"/>
              <w:rPr>
                <w:rFonts w:ascii="Calibri" w:hAnsi="Calibri" w:cs="Calibri"/>
                <w:sz w:val="24"/>
                <w:szCs w:val="24"/>
              </w:rPr>
            </w:pPr>
            <w:r w:rsidRPr="000344A4">
              <w:rPr>
                <w:rFonts w:ascii="Calibri" w:hAnsi="Calibri" w:cs="Calibri"/>
                <w:sz w:val="24"/>
                <w:szCs w:val="24"/>
              </w:rPr>
              <w:t>Les exigences de performances spécifiées dans la présente partie de cette norme peuvent ne pas être valables</w:t>
            </w:r>
            <w:r w:rsidR="00F11468">
              <w:rPr>
                <w:rFonts w:ascii="Calibri" w:hAnsi="Calibri" w:cs="Calibri"/>
                <w:sz w:val="24"/>
                <w:szCs w:val="24"/>
              </w:rPr>
              <w:t xml:space="preserve"> </w:t>
            </w:r>
            <w:r w:rsidRPr="000344A4">
              <w:rPr>
                <w:rFonts w:ascii="Calibri" w:hAnsi="Calibri" w:cs="Calibri"/>
                <w:sz w:val="24"/>
                <w:szCs w:val="24"/>
              </w:rPr>
              <w:t>pour des applications hautement spécialisées, dans des conditions ambiantes extrêmes, par exemple, pour un</w:t>
            </w:r>
            <w:r w:rsidR="00F11468">
              <w:rPr>
                <w:rFonts w:ascii="Calibri" w:hAnsi="Calibri" w:cs="Calibri"/>
                <w:sz w:val="24"/>
                <w:szCs w:val="24"/>
              </w:rPr>
              <w:t xml:space="preserve"> </w:t>
            </w:r>
            <w:r w:rsidRPr="000344A4">
              <w:rPr>
                <w:rFonts w:ascii="Calibri" w:hAnsi="Calibri" w:cs="Calibri"/>
                <w:sz w:val="24"/>
                <w:szCs w:val="24"/>
              </w:rPr>
              <w:t>usage cryogénique ; elles ne concernent pas non plus des cas particuliers, tels qu’un choc accidentel, dû, par</w:t>
            </w:r>
            <w:r w:rsidR="00F11468">
              <w:rPr>
                <w:rFonts w:ascii="Calibri" w:hAnsi="Calibri" w:cs="Calibri"/>
                <w:sz w:val="24"/>
                <w:szCs w:val="24"/>
              </w:rPr>
              <w:t xml:space="preserve"> </w:t>
            </w:r>
            <w:r w:rsidRPr="000344A4">
              <w:rPr>
                <w:rFonts w:ascii="Calibri" w:hAnsi="Calibri" w:cs="Calibri"/>
                <w:sz w:val="24"/>
                <w:szCs w:val="24"/>
              </w:rPr>
              <w:t>exemple, à la circulation ou au gel ou encore à un séisme, cas dans lesquels des exigences de performances</w:t>
            </w:r>
            <w:r w:rsidR="00F11468">
              <w:rPr>
                <w:rFonts w:ascii="Calibri" w:hAnsi="Calibri" w:cs="Calibri"/>
                <w:sz w:val="24"/>
                <w:szCs w:val="24"/>
              </w:rPr>
              <w:t xml:space="preserve"> </w:t>
            </w:r>
            <w:r w:rsidRPr="000344A4">
              <w:rPr>
                <w:rFonts w:ascii="Calibri" w:hAnsi="Calibri" w:cs="Calibri"/>
                <w:sz w:val="24"/>
                <w:szCs w:val="24"/>
              </w:rPr>
              <w:t>spécifiques s’appliqueront.</w:t>
            </w:r>
          </w:p>
        </w:tc>
      </w:tr>
      <w:tr w:rsidR="00DA093A" w:rsidRPr="0043547B" w:rsidTr="00F11468">
        <w:trPr>
          <w:trHeight w:val="308"/>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DA093A" w:rsidRPr="000344A4" w:rsidRDefault="00DA093A" w:rsidP="00F11468">
            <w:pPr>
              <w:spacing w:after="0" w:line="240" w:lineRule="auto"/>
              <w:jc w:val="center"/>
              <w:rPr>
                <w:rFonts w:ascii="Calibri" w:hAnsi="Calibri" w:cs="Calibri"/>
                <w:b/>
                <w:bCs/>
                <w:sz w:val="24"/>
                <w:szCs w:val="24"/>
              </w:rPr>
            </w:pPr>
            <w:r w:rsidRPr="000344A4">
              <w:rPr>
                <w:rFonts w:ascii="Calibri" w:hAnsi="Calibri" w:cs="Calibr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DA093A" w:rsidRPr="00F11468" w:rsidRDefault="00DA093A" w:rsidP="00F11468">
            <w:pPr>
              <w:spacing w:after="0" w:line="240" w:lineRule="auto"/>
              <w:jc w:val="center"/>
              <w:rPr>
                <w:rFonts w:ascii="Calibri" w:hAnsi="Calibri" w:cs="Calibri"/>
                <w:b/>
                <w:bCs/>
                <w:sz w:val="24"/>
                <w:szCs w:val="24"/>
              </w:rPr>
            </w:pPr>
            <w:r w:rsidRPr="00F11468">
              <w:rPr>
                <w:rFonts w:ascii="Calibri" w:hAnsi="Calibri" w:cs="Calibri"/>
                <w:b/>
                <w:bCs/>
                <w:sz w:val="24"/>
                <w:szCs w:val="24"/>
              </w:rPr>
              <w:t>NM EN 1504-8</w:t>
            </w:r>
          </w:p>
        </w:tc>
      </w:tr>
      <w:tr w:rsidR="00DA093A" w:rsidRPr="0043547B" w:rsidTr="00F11468">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FFFFCC"/>
            <w:vAlign w:val="center"/>
          </w:tcPr>
          <w:p w:rsidR="00DA093A" w:rsidRPr="000344A4" w:rsidRDefault="00DA093A" w:rsidP="00F11468">
            <w:pPr>
              <w:spacing w:after="0" w:line="240" w:lineRule="auto"/>
              <w:jc w:val="center"/>
              <w:rPr>
                <w:rFonts w:ascii="Calibri" w:hAnsi="Calibri" w:cs="Calibri"/>
                <w:b/>
                <w:bCs/>
                <w:sz w:val="24"/>
                <w:szCs w:val="24"/>
              </w:rPr>
            </w:pPr>
            <w:r w:rsidRPr="000344A4">
              <w:rPr>
                <w:rFonts w:ascii="Calibri" w:hAnsi="Calibri" w:cs="Calibri"/>
                <w:b/>
                <w:bCs/>
                <w:sz w:val="24"/>
                <w:szCs w:val="24"/>
              </w:rPr>
              <w:t>Equivalence :</w:t>
            </w:r>
          </w:p>
        </w:tc>
        <w:tc>
          <w:tcPr>
            <w:tcW w:w="7938" w:type="dxa"/>
            <w:tcBorders>
              <w:top w:val="single" w:sz="18" w:space="0" w:color="auto"/>
              <w:left w:val="single" w:sz="4" w:space="0" w:color="auto"/>
              <w:bottom w:val="single" w:sz="18" w:space="0" w:color="auto"/>
              <w:right w:val="single" w:sz="18" w:space="0" w:color="auto"/>
            </w:tcBorders>
            <w:shd w:val="clear" w:color="auto" w:fill="FFFFCC"/>
            <w:vAlign w:val="center"/>
          </w:tcPr>
          <w:p w:rsidR="00DA093A" w:rsidRPr="00F11468" w:rsidRDefault="00DA093A" w:rsidP="00F11468">
            <w:pPr>
              <w:spacing w:after="0" w:line="240" w:lineRule="auto"/>
              <w:jc w:val="center"/>
              <w:rPr>
                <w:rFonts w:ascii="Calibri" w:hAnsi="Calibri" w:cs="Calibri"/>
                <w:b/>
                <w:bCs/>
                <w:sz w:val="24"/>
                <w:szCs w:val="24"/>
              </w:rPr>
            </w:pPr>
            <w:r w:rsidRPr="00F11468">
              <w:rPr>
                <w:rFonts w:ascii="Calibri" w:hAnsi="Calibri" w:cs="Calibri"/>
                <w:b/>
                <w:bCs/>
                <w:sz w:val="24"/>
                <w:szCs w:val="24"/>
              </w:rPr>
              <w:t>EN 1504-8</w:t>
            </w:r>
          </w:p>
        </w:tc>
      </w:tr>
      <w:tr w:rsidR="00DA093A" w:rsidRPr="0043547B" w:rsidTr="00CB5DC0">
        <w:trPr>
          <w:trHeight w:val="49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DA093A" w:rsidRPr="000344A4" w:rsidRDefault="00DA093A" w:rsidP="00F11468">
            <w:pPr>
              <w:spacing w:after="0" w:line="240" w:lineRule="auto"/>
              <w:jc w:val="center"/>
              <w:rPr>
                <w:rFonts w:ascii="Calibri" w:hAnsi="Calibri" w:cs="Calibri"/>
                <w:b/>
                <w:bCs/>
                <w:sz w:val="24"/>
                <w:szCs w:val="24"/>
              </w:rPr>
            </w:pPr>
            <w:r w:rsidRPr="000344A4">
              <w:rPr>
                <w:rFonts w:ascii="Calibri" w:hAnsi="Calibri" w:cs="Calibri"/>
                <w:b/>
                <w:bCs/>
                <w:sz w:val="24"/>
                <w:szCs w:val="24"/>
              </w:rPr>
              <w:t>Intitulé :</w:t>
            </w:r>
          </w:p>
        </w:tc>
        <w:tc>
          <w:tcPr>
            <w:tcW w:w="7938" w:type="dxa"/>
            <w:tcBorders>
              <w:top w:val="single" w:sz="18" w:space="0" w:color="auto"/>
              <w:left w:val="single" w:sz="4" w:space="0" w:color="auto"/>
              <w:right w:val="single" w:sz="18" w:space="0" w:color="auto"/>
            </w:tcBorders>
            <w:shd w:val="clear" w:color="auto" w:fill="auto"/>
            <w:vAlign w:val="center"/>
            <w:hideMark/>
          </w:tcPr>
          <w:p w:rsidR="00DA093A" w:rsidRPr="000344A4" w:rsidRDefault="00DA093A" w:rsidP="000344A4">
            <w:pPr>
              <w:spacing w:after="0" w:line="240" w:lineRule="auto"/>
              <w:rPr>
                <w:rFonts w:ascii="Calibri" w:hAnsi="Calibri" w:cs="Calibri"/>
                <w:sz w:val="24"/>
                <w:szCs w:val="24"/>
              </w:rPr>
            </w:pPr>
            <w:r w:rsidRPr="000344A4">
              <w:rPr>
                <w:rFonts w:ascii="Calibri" w:hAnsi="Calibri" w:cs="Calibri"/>
                <w:sz w:val="24"/>
                <w:szCs w:val="24"/>
              </w:rPr>
              <w:t xml:space="preserve">Produits et systèmes pour la protection et la réparation des structures en béton - Définitions, prescriptions, maîtrise de la qualité et évaluation de la conformité - Partie 8 : Maîtrise de la qualité et évaluation de la conformité ; (IC 10.1.388)  (REV)  </w:t>
            </w:r>
          </w:p>
        </w:tc>
      </w:tr>
      <w:tr w:rsidR="00DA093A" w:rsidRPr="0043547B" w:rsidTr="00CB5DC0">
        <w:trPr>
          <w:trHeight w:val="1162"/>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DA093A" w:rsidRPr="000344A4" w:rsidRDefault="00DA093A" w:rsidP="00F11468">
            <w:pPr>
              <w:spacing w:after="0" w:line="240" w:lineRule="auto"/>
              <w:jc w:val="center"/>
              <w:rPr>
                <w:rFonts w:ascii="Calibri" w:hAnsi="Calibri" w:cs="Calibri"/>
                <w:b/>
                <w:bCs/>
                <w:sz w:val="24"/>
                <w:szCs w:val="24"/>
              </w:rPr>
            </w:pPr>
            <w:r w:rsidRPr="000344A4">
              <w:rPr>
                <w:rFonts w:ascii="Calibri" w:hAnsi="Calibri" w:cs="Calibr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center"/>
            <w:hideMark/>
          </w:tcPr>
          <w:p w:rsidR="00DA093A" w:rsidRPr="000344A4" w:rsidRDefault="00DA093A" w:rsidP="00F11468">
            <w:pPr>
              <w:spacing w:after="0" w:line="240" w:lineRule="auto"/>
              <w:jc w:val="both"/>
              <w:rPr>
                <w:rFonts w:ascii="Calibri" w:hAnsi="Calibri" w:cs="Calibri"/>
                <w:sz w:val="24"/>
                <w:szCs w:val="24"/>
              </w:rPr>
            </w:pPr>
            <w:r w:rsidRPr="000344A4">
              <w:rPr>
                <w:rFonts w:ascii="Calibri" w:hAnsi="Calibri" w:cs="Calibri"/>
                <w:sz w:val="24"/>
                <w:szCs w:val="24"/>
              </w:rPr>
              <w:t>La présente partie de l'EN 1504 prescrit les modes opératoires d'échantillonnage, de maîtrise de la</w:t>
            </w:r>
            <w:r w:rsidR="00F11468">
              <w:rPr>
                <w:rFonts w:ascii="Calibri" w:hAnsi="Calibri" w:cs="Calibri"/>
                <w:sz w:val="24"/>
                <w:szCs w:val="24"/>
              </w:rPr>
              <w:t xml:space="preserve"> </w:t>
            </w:r>
            <w:r w:rsidRPr="000344A4">
              <w:rPr>
                <w:rFonts w:ascii="Calibri" w:hAnsi="Calibri" w:cs="Calibri"/>
                <w:sz w:val="24"/>
                <w:szCs w:val="24"/>
              </w:rPr>
              <w:t>qualité, de l'évaluation et de la vérification de la constance des performances (EVCP) y compris le</w:t>
            </w:r>
            <w:r w:rsidR="00F11468">
              <w:rPr>
                <w:rFonts w:ascii="Calibri" w:hAnsi="Calibri" w:cs="Calibri"/>
                <w:sz w:val="24"/>
                <w:szCs w:val="24"/>
              </w:rPr>
              <w:t xml:space="preserve"> </w:t>
            </w:r>
            <w:r w:rsidRPr="000344A4">
              <w:rPr>
                <w:rFonts w:ascii="Calibri" w:hAnsi="Calibri" w:cs="Calibri"/>
                <w:sz w:val="24"/>
                <w:szCs w:val="24"/>
              </w:rPr>
              <w:t>marquage et l'étiquetage des produits et systèmes de protection et de réparation du béton</w:t>
            </w:r>
            <w:r w:rsidR="00F11468">
              <w:rPr>
                <w:rFonts w:ascii="Calibri" w:hAnsi="Calibri" w:cs="Calibri"/>
                <w:sz w:val="24"/>
                <w:szCs w:val="24"/>
              </w:rPr>
              <w:t xml:space="preserve"> </w:t>
            </w:r>
            <w:r w:rsidRPr="000344A4">
              <w:rPr>
                <w:rFonts w:ascii="Calibri" w:hAnsi="Calibri" w:cs="Calibri"/>
                <w:sz w:val="24"/>
                <w:szCs w:val="24"/>
              </w:rPr>
              <w:t>conformément aux EN 1504-2 à EN 1504-7.</w:t>
            </w:r>
          </w:p>
        </w:tc>
      </w:tr>
      <w:tr w:rsidR="00DA093A" w:rsidRPr="0043547B" w:rsidTr="00F11468">
        <w:trPr>
          <w:trHeight w:val="441"/>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DA093A" w:rsidRPr="000344A4" w:rsidRDefault="00DA093A" w:rsidP="00F11468">
            <w:pPr>
              <w:spacing w:after="0" w:line="240" w:lineRule="auto"/>
              <w:jc w:val="center"/>
              <w:rPr>
                <w:rFonts w:ascii="Calibri" w:hAnsi="Calibri" w:cs="Calibri"/>
                <w:b/>
                <w:bCs/>
                <w:sz w:val="24"/>
                <w:szCs w:val="24"/>
              </w:rPr>
            </w:pPr>
            <w:r w:rsidRPr="000344A4">
              <w:rPr>
                <w:rFonts w:ascii="Calibri" w:hAnsi="Calibri" w:cs="Calibri"/>
                <w:b/>
                <w:bCs/>
                <w:sz w:val="24"/>
                <w:szCs w:val="24"/>
              </w:rPr>
              <w:t>Code :</w:t>
            </w:r>
          </w:p>
        </w:tc>
        <w:tc>
          <w:tcPr>
            <w:tcW w:w="7938" w:type="dxa"/>
            <w:tcBorders>
              <w:left w:val="single" w:sz="4" w:space="0" w:color="auto"/>
              <w:bottom w:val="single" w:sz="18" w:space="0" w:color="auto"/>
              <w:right w:val="single" w:sz="18" w:space="0" w:color="auto"/>
            </w:tcBorders>
            <w:shd w:val="clear" w:color="auto" w:fill="C2D69B" w:themeFill="accent3" w:themeFillTint="99"/>
            <w:vAlign w:val="center"/>
          </w:tcPr>
          <w:p w:rsidR="00DA093A" w:rsidRPr="00F11468" w:rsidRDefault="00DA093A" w:rsidP="00F11468">
            <w:pPr>
              <w:spacing w:after="0" w:line="240" w:lineRule="auto"/>
              <w:jc w:val="center"/>
              <w:rPr>
                <w:rFonts w:ascii="Calibri" w:hAnsi="Calibri" w:cs="Calibri"/>
                <w:b/>
                <w:bCs/>
                <w:sz w:val="24"/>
                <w:szCs w:val="24"/>
              </w:rPr>
            </w:pPr>
            <w:r w:rsidRPr="00F11468">
              <w:rPr>
                <w:rFonts w:ascii="Calibri" w:hAnsi="Calibri" w:cs="Calibri"/>
                <w:b/>
                <w:bCs/>
                <w:sz w:val="24"/>
                <w:szCs w:val="24"/>
              </w:rPr>
              <w:t>NM EN 1504-9</w:t>
            </w:r>
          </w:p>
        </w:tc>
      </w:tr>
      <w:tr w:rsidR="00DA093A" w:rsidRPr="0043547B" w:rsidTr="00F11468">
        <w:trPr>
          <w:trHeight w:val="421"/>
          <w:jc w:val="center"/>
        </w:trPr>
        <w:tc>
          <w:tcPr>
            <w:tcW w:w="1838" w:type="dxa"/>
            <w:tcBorders>
              <w:top w:val="nil"/>
              <w:left w:val="single" w:sz="18" w:space="0" w:color="auto"/>
              <w:bottom w:val="single" w:sz="18" w:space="0" w:color="auto"/>
              <w:right w:val="single" w:sz="4" w:space="0" w:color="auto"/>
            </w:tcBorders>
            <w:shd w:val="clear" w:color="auto" w:fill="FFFFCC"/>
            <w:vAlign w:val="center"/>
          </w:tcPr>
          <w:p w:rsidR="00DA093A" w:rsidRPr="000344A4" w:rsidRDefault="00DA093A" w:rsidP="00F11468">
            <w:pPr>
              <w:spacing w:after="0" w:line="240" w:lineRule="auto"/>
              <w:jc w:val="center"/>
              <w:rPr>
                <w:rFonts w:ascii="Calibri" w:hAnsi="Calibri" w:cs="Calibri"/>
                <w:b/>
                <w:bCs/>
                <w:sz w:val="24"/>
                <w:szCs w:val="24"/>
              </w:rPr>
            </w:pPr>
            <w:r w:rsidRPr="000344A4">
              <w:rPr>
                <w:rFonts w:ascii="Calibri" w:hAnsi="Calibri" w:cs="Calibri"/>
                <w:b/>
                <w:bCs/>
                <w:sz w:val="24"/>
                <w:szCs w:val="24"/>
              </w:rPr>
              <w:t>Equivalence :</w:t>
            </w:r>
          </w:p>
        </w:tc>
        <w:tc>
          <w:tcPr>
            <w:tcW w:w="7938" w:type="dxa"/>
            <w:tcBorders>
              <w:left w:val="single" w:sz="4" w:space="0" w:color="auto"/>
              <w:bottom w:val="single" w:sz="18" w:space="0" w:color="auto"/>
              <w:right w:val="single" w:sz="18" w:space="0" w:color="auto"/>
            </w:tcBorders>
            <w:shd w:val="clear" w:color="auto" w:fill="FFFFCC"/>
            <w:vAlign w:val="center"/>
          </w:tcPr>
          <w:p w:rsidR="00DA093A" w:rsidRPr="00F11468" w:rsidRDefault="00DA093A" w:rsidP="00F11468">
            <w:pPr>
              <w:spacing w:after="0" w:line="240" w:lineRule="auto"/>
              <w:jc w:val="center"/>
              <w:rPr>
                <w:rFonts w:ascii="Calibri" w:hAnsi="Calibri" w:cs="Calibri"/>
                <w:b/>
                <w:bCs/>
                <w:sz w:val="24"/>
                <w:szCs w:val="24"/>
              </w:rPr>
            </w:pPr>
            <w:r w:rsidRPr="00F11468">
              <w:rPr>
                <w:rFonts w:ascii="Calibri" w:hAnsi="Calibri" w:cs="Calibri"/>
                <w:b/>
                <w:bCs/>
                <w:sz w:val="24"/>
                <w:szCs w:val="24"/>
              </w:rPr>
              <w:t>EN 1504-9</w:t>
            </w:r>
          </w:p>
        </w:tc>
      </w:tr>
      <w:tr w:rsidR="00DA093A" w:rsidRPr="0043547B" w:rsidTr="00F11468">
        <w:trPr>
          <w:trHeight w:val="1162"/>
          <w:jc w:val="center"/>
        </w:trPr>
        <w:tc>
          <w:tcPr>
            <w:tcW w:w="1838" w:type="dxa"/>
            <w:tcBorders>
              <w:top w:val="nil"/>
              <w:left w:val="single" w:sz="18" w:space="0" w:color="auto"/>
              <w:bottom w:val="single" w:sz="18" w:space="0" w:color="auto"/>
              <w:right w:val="single" w:sz="4" w:space="0" w:color="auto"/>
            </w:tcBorders>
            <w:shd w:val="clear" w:color="auto" w:fill="95B3D7" w:themeFill="accent1" w:themeFillTint="99"/>
            <w:vAlign w:val="center"/>
          </w:tcPr>
          <w:p w:rsidR="00DA093A" w:rsidRPr="000344A4" w:rsidRDefault="00DA093A" w:rsidP="00F11468">
            <w:pPr>
              <w:spacing w:after="0" w:line="240" w:lineRule="auto"/>
              <w:jc w:val="center"/>
              <w:rPr>
                <w:rFonts w:ascii="Calibri" w:hAnsi="Calibri" w:cs="Calibri"/>
                <w:b/>
                <w:bCs/>
                <w:sz w:val="24"/>
                <w:szCs w:val="24"/>
              </w:rPr>
            </w:pPr>
            <w:r w:rsidRPr="000344A4">
              <w:rPr>
                <w:rFonts w:ascii="Calibri" w:hAnsi="Calibri" w:cs="Calibri"/>
                <w:b/>
                <w:bCs/>
                <w:sz w:val="24"/>
                <w:szCs w:val="24"/>
              </w:rPr>
              <w:t>Intitulé :</w:t>
            </w:r>
          </w:p>
        </w:tc>
        <w:tc>
          <w:tcPr>
            <w:tcW w:w="7938" w:type="dxa"/>
            <w:tcBorders>
              <w:left w:val="single" w:sz="4" w:space="0" w:color="auto"/>
              <w:bottom w:val="single" w:sz="18" w:space="0" w:color="auto"/>
              <w:right w:val="single" w:sz="18" w:space="0" w:color="auto"/>
            </w:tcBorders>
            <w:shd w:val="clear" w:color="auto" w:fill="auto"/>
            <w:vAlign w:val="center"/>
          </w:tcPr>
          <w:p w:rsidR="00DA093A" w:rsidRPr="000344A4" w:rsidRDefault="00DA093A" w:rsidP="000344A4">
            <w:pPr>
              <w:spacing w:after="0" w:line="240" w:lineRule="auto"/>
              <w:rPr>
                <w:rFonts w:ascii="Calibri" w:hAnsi="Calibri" w:cs="Calibri"/>
                <w:sz w:val="24"/>
                <w:szCs w:val="24"/>
              </w:rPr>
            </w:pPr>
            <w:r w:rsidRPr="000344A4">
              <w:rPr>
                <w:rFonts w:ascii="Calibri" w:hAnsi="Calibri" w:cs="Calibri"/>
                <w:sz w:val="24"/>
                <w:szCs w:val="24"/>
              </w:rPr>
              <w:t xml:space="preserve">Produits et systèmes pour la protection et la réparation de structures en béton - Définitions, exigences et maîtrise de la qualité et évaluation de la conformité - Partie 9 : Principes généraux d'utilisation des produits et systèmes ; (IC 10.1.389)  (REV)  </w:t>
            </w:r>
          </w:p>
        </w:tc>
      </w:tr>
      <w:tr w:rsidR="00DA093A" w:rsidRPr="0043547B" w:rsidTr="005D5DC7">
        <w:trPr>
          <w:trHeight w:val="1162"/>
          <w:jc w:val="center"/>
        </w:trPr>
        <w:tc>
          <w:tcPr>
            <w:tcW w:w="1838" w:type="dxa"/>
            <w:tcBorders>
              <w:top w:val="nil"/>
              <w:left w:val="single" w:sz="18" w:space="0" w:color="auto"/>
              <w:bottom w:val="single" w:sz="18" w:space="0" w:color="auto"/>
              <w:right w:val="single" w:sz="4" w:space="0" w:color="auto"/>
            </w:tcBorders>
            <w:shd w:val="clear" w:color="000000" w:fill="D9D9D9"/>
            <w:vAlign w:val="center"/>
          </w:tcPr>
          <w:p w:rsidR="00DA093A" w:rsidRPr="000344A4" w:rsidRDefault="00DA093A" w:rsidP="00F11468">
            <w:pPr>
              <w:spacing w:after="0" w:line="240" w:lineRule="auto"/>
              <w:jc w:val="center"/>
              <w:rPr>
                <w:rFonts w:ascii="Calibri" w:hAnsi="Calibri" w:cs="Calibri"/>
                <w:b/>
                <w:bCs/>
                <w:sz w:val="24"/>
                <w:szCs w:val="24"/>
              </w:rPr>
            </w:pPr>
            <w:r w:rsidRPr="000344A4">
              <w:rPr>
                <w:rFonts w:ascii="Calibri" w:hAnsi="Calibri" w:cs="Calibr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tcPr>
          <w:p w:rsidR="00F11468" w:rsidRDefault="00DA093A" w:rsidP="00F11468">
            <w:pPr>
              <w:spacing w:after="0" w:line="240" w:lineRule="auto"/>
              <w:jc w:val="both"/>
              <w:rPr>
                <w:rFonts w:ascii="Calibri" w:hAnsi="Calibri" w:cs="Calibri"/>
                <w:sz w:val="24"/>
                <w:szCs w:val="24"/>
              </w:rPr>
            </w:pPr>
            <w:r w:rsidRPr="000344A4">
              <w:rPr>
                <w:rFonts w:ascii="Calibri" w:hAnsi="Calibri" w:cs="Calibri"/>
                <w:sz w:val="24"/>
                <w:szCs w:val="24"/>
              </w:rPr>
              <w:t>La présente partie de l’EN 1504 définit les considérations de base relatives à la spécification de la protection et de la</w:t>
            </w:r>
            <w:r w:rsidR="00F11468">
              <w:rPr>
                <w:rFonts w:ascii="Calibri" w:hAnsi="Calibri" w:cs="Calibri"/>
                <w:sz w:val="24"/>
                <w:szCs w:val="24"/>
              </w:rPr>
              <w:t xml:space="preserve"> </w:t>
            </w:r>
            <w:r w:rsidRPr="000344A4">
              <w:rPr>
                <w:rFonts w:ascii="Calibri" w:hAnsi="Calibri" w:cs="Calibri"/>
                <w:sz w:val="24"/>
                <w:szCs w:val="24"/>
              </w:rPr>
              <w:t>réparation des structures en béton armé et non armé (y compris, par exemple, les chaussées, les pistes</w:t>
            </w:r>
            <w:r w:rsidR="00F11468">
              <w:rPr>
                <w:rFonts w:ascii="Calibri" w:hAnsi="Calibri" w:cs="Calibri"/>
                <w:sz w:val="24"/>
                <w:szCs w:val="24"/>
              </w:rPr>
              <w:t xml:space="preserve"> </w:t>
            </w:r>
            <w:r w:rsidRPr="000344A4">
              <w:rPr>
                <w:rFonts w:ascii="Calibri" w:hAnsi="Calibri" w:cs="Calibri"/>
                <w:sz w:val="24"/>
                <w:szCs w:val="24"/>
              </w:rPr>
              <w:t>d’atterrissage, les dalles de plancher et les structures précontraintes) qui utilisent des produits et systèmes spécifiés</w:t>
            </w:r>
            <w:r w:rsidR="00F11468">
              <w:rPr>
                <w:rFonts w:ascii="Calibri" w:hAnsi="Calibri" w:cs="Calibri"/>
                <w:sz w:val="24"/>
                <w:szCs w:val="24"/>
              </w:rPr>
              <w:t xml:space="preserve"> </w:t>
            </w:r>
            <w:r w:rsidRPr="000344A4">
              <w:rPr>
                <w:rFonts w:ascii="Calibri" w:hAnsi="Calibri" w:cs="Calibri"/>
                <w:sz w:val="24"/>
                <w:szCs w:val="24"/>
              </w:rPr>
              <w:t>dans d’autres parties de la série EN 1504 ou toute autre Norme européenne ou Approbation technique pertinente. La présente Norme européenne prend en compte les structures exposées à l’atmosphère, enterrées</w:t>
            </w:r>
            <w:r w:rsidR="00F11468">
              <w:rPr>
                <w:rFonts w:ascii="Calibri" w:hAnsi="Calibri" w:cs="Calibri"/>
                <w:sz w:val="24"/>
                <w:szCs w:val="24"/>
              </w:rPr>
              <w:t xml:space="preserve"> </w:t>
            </w:r>
            <w:r w:rsidRPr="000344A4">
              <w:rPr>
                <w:rFonts w:ascii="Calibri" w:hAnsi="Calibri" w:cs="Calibri"/>
                <w:sz w:val="24"/>
                <w:szCs w:val="24"/>
              </w:rPr>
              <w:t>et immergées.</w:t>
            </w:r>
          </w:p>
          <w:p w:rsidR="00F11468" w:rsidRDefault="00DA093A" w:rsidP="00F11468">
            <w:pPr>
              <w:spacing w:after="0" w:line="240" w:lineRule="auto"/>
              <w:rPr>
                <w:rFonts w:ascii="Calibri" w:hAnsi="Calibri" w:cs="Calibri"/>
                <w:sz w:val="24"/>
                <w:szCs w:val="24"/>
              </w:rPr>
            </w:pPr>
            <w:r w:rsidRPr="000344A4">
              <w:rPr>
                <w:rFonts w:ascii="Calibri" w:hAnsi="Calibri" w:cs="Calibri"/>
                <w:sz w:val="24"/>
                <w:szCs w:val="24"/>
              </w:rPr>
              <w:t>La présente Norme européenne comprend :</w:t>
            </w:r>
            <w:r w:rsidRPr="000344A4">
              <w:rPr>
                <w:rFonts w:ascii="Calibri" w:hAnsi="Calibri" w:cs="Calibri"/>
                <w:sz w:val="24"/>
                <w:szCs w:val="24"/>
              </w:rPr>
              <w:br/>
              <w:t>a) la nécessité d’inspection, d’essai et d’évaluation avant et après la réparation ;</w:t>
            </w:r>
            <w:r w:rsidRPr="000344A4">
              <w:rPr>
                <w:rFonts w:ascii="Calibri" w:hAnsi="Calibri" w:cs="Calibri"/>
                <w:sz w:val="24"/>
                <w:szCs w:val="24"/>
              </w:rPr>
              <w:br/>
              <w:t xml:space="preserve">b) la protection contre les causes des défauts et leur réparation au sein des </w:t>
            </w:r>
            <w:r w:rsidRPr="000344A4">
              <w:rPr>
                <w:rFonts w:ascii="Calibri" w:hAnsi="Calibri" w:cs="Calibri"/>
                <w:sz w:val="24"/>
                <w:szCs w:val="24"/>
              </w:rPr>
              <w:lastRenderedPageBreak/>
              <w:t>structures en béton. Les causes de tels</w:t>
            </w:r>
            <w:r w:rsidR="00F11468">
              <w:rPr>
                <w:rFonts w:ascii="Calibri" w:hAnsi="Calibri" w:cs="Calibri"/>
                <w:sz w:val="24"/>
                <w:szCs w:val="24"/>
              </w:rPr>
              <w:t xml:space="preserve"> </w:t>
            </w:r>
            <w:r w:rsidRPr="000344A4">
              <w:rPr>
                <w:rFonts w:ascii="Calibri" w:hAnsi="Calibri" w:cs="Calibri"/>
                <w:sz w:val="24"/>
                <w:szCs w:val="24"/>
              </w:rPr>
              <w:t>défauts peuvent inclure :</w:t>
            </w:r>
            <w:r w:rsidRPr="000344A4">
              <w:rPr>
                <w:rFonts w:ascii="Calibri" w:hAnsi="Calibri" w:cs="Calibri"/>
                <w:sz w:val="24"/>
                <w:szCs w:val="24"/>
              </w:rPr>
              <w:br/>
              <w:t>1) des actions mécaniques, par exemple choc, surcharge, déplacement causé par un tassement, explosion,</w:t>
            </w:r>
            <w:r w:rsidR="00F11468">
              <w:rPr>
                <w:rFonts w:ascii="Calibri" w:hAnsi="Calibri" w:cs="Calibri"/>
                <w:sz w:val="24"/>
                <w:szCs w:val="24"/>
              </w:rPr>
              <w:t xml:space="preserve"> </w:t>
            </w:r>
            <w:r w:rsidRPr="000344A4">
              <w:rPr>
                <w:rFonts w:ascii="Calibri" w:hAnsi="Calibri" w:cs="Calibri"/>
                <w:sz w:val="24"/>
                <w:szCs w:val="24"/>
              </w:rPr>
              <w:t>vibration et séismes ;</w:t>
            </w:r>
            <w:r w:rsidRPr="000344A4">
              <w:rPr>
                <w:rFonts w:ascii="Calibri" w:hAnsi="Calibri" w:cs="Calibri"/>
                <w:sz w:val="24"/>
                <w:szCs w:val="24"/>
              </w:rPr>
              <w:br/>
              <w:t>2) des actions chimiques et biologiques provenant des environnements, par exemple détérioration causée par les</w:t>
            </w:r>
            <w:r w:rsidR="00F11468">
              <w:rPr>
                <w:rFonts w:ascii="Calibri" w:hAnsi="Calibri" w:cs="Calibri"/>
                <w:sz w:val="24"/>
                <w:szCs w:val="24"/>
              </w:rPr>
              <w:t xml:space="preserve"> </w:t>
            </w:r>
            <w:r w:rsidRPr="000344A4">
              <w:rPr>
                <w:rFonts w:ascii="Calibri" w:hAnsi="Calibri" w:cs="Calibri"/>
                <w:sz w:val="24"/>
                <w:szCs w:val="24"/>
              </w:rPr>
              <w:t>sulfates, réaction alcaline des agrégats ;</w:t>
            </w:r>
            <w:r w:rsidRPr="000344A4">
              <w:rPr>
                <w:rFonts w:ascii="Calibri" w:hAnsi="Calibri" w:cs="Calibri"/>
                <w:sz w:val="24"/>
                <w:szCs w:val="24"/>
              </w:rPr>
              <w:br/>
              <w:t>3) des actions physiques, par exemple gel-dégel, fissuration thermique, migration de l’humidité, cristallisation</w:t>
            </w:r>
            <w:r w:rsidR="00F11468">
              <w:rPr>
                <w:rFonts w:ascii="Calibri" w:hAnsi="Calibri" w:cs="Calibri"/>
                <w:sz w:val="24"/>
                <w:szCs w:val="24"/>
              </w:rPr>
              <w:t xml:space="preserve"> </w:t>
            </w:r>
            <w:r w:rsidRPr="000344A4">
              <w:rPr>
                <w:rFonts w:ascii="Calibri" w:hAnsi="Calibri" w:cs="Calibri"/>
                <w:sz w:val="24"/>
                <w:szCs w:val="24"/>
              </w:rPr>
              <w:t>saline et érosion ;</w:t>
            </w:r>
            <w:r w:rsidRPr="000344A4">
              <w:rPr>
                <w:rFonts w:ascii="Calibri" w:hAnsi="Calibri" w:cs="Calibri"/>
                <w:sz w:val="24"/>
                <w:szCs w:val="24"/>
              </w:rPr>
              <w:br/>
              <w:t>4) les dommages causés par le feu ;</w:t>
            </w:r>
            <w:r w:rsidRPr="000344A4">
              <w:rPr>
                <w:rFonts w:ascii="Calibri" w:hAnsi="Calibri" w:cs="Calibri"/>
                <w:sz w:val="24"/>
                <w:szCs w:val="24"/>
              </w:rPr>
              <w:br/>
              <w:t>5) la corrosion de l’armature résultant :</w:t>
            </w:r>
            <w:r w:rsidRPr="000344A4">
              <w:rPr>
                <w:rFonts w:ascii="Calibri" w:hAnsi="Calibri" w:cs="Calibri"/>
                <w:sz w:val="24"/>
                <w:szCs w:val="24"/>
              </w:rPr>
              <w:br/>
              <w:t>i) de la perte physique de la couche de protection du béton ;</w:t>
            </w:r>
            <w:r w:rsidRPr="000344A4">
              <w:rPr>
                <w:rFonts w:ascii="Calibri" w:hAnsi="Calibri" w:cs="Calibri"/>
                <w:sz w:val="24"/>
                <w:szCs w:val="24"/>
              </w:rPr>
              <w:br/>
              <w:t>ii) de la perte chimique d’alcalinité de la couche de protection du béton du fait de la réaction avec le dioxyde</w:t>
            </w:r>
            <w:r w:rsidR="00F11468">
              <w:rPr>
                <w:rFonts w:ascii="Calibri" w:hAnsi="Calibri" w:cs="Calibri"/>
                <w:sz w:val="24"/>
                <w:szCs w:val="24"/>
              </w:rPr>
              <w:t xml:space="preserve"> </w:t>
            </w:r>
            <w:r w:rsidRPr="000344A4">
              <w:rPr>
                <w:rFonts w:ascii="Calibri" w:hAnsi="Calibri" w:cs="Calibri"/>
                <w:sz w:val="24"/>
                <w:szCs w:val="24"/>
              </w:rPr>
              <w:t>de carbone atmosphérique (carbonatation) ;</w:t>
            </w:r>
            <w:r w:rsidRPr="000344A4">
              <w:rPr>
                <w:rFonts w:ascii="Calibri" w:hAnsi="Calibri" w:cs="Calibri"/>
                <w:sz w:val="24"/>
                <w:szCs w:val="24"/>
              </w:rPr>
              <w:br/>
              <w:t>iii) de la pollution du béton par les chlorures (ou autres substances chimiques) ;</w:t>
            </w:r>
            <w:r w:rsidRPr="000344A4">
              <w:rPr>
                <w:rFonts w:ascii="Calibri" w:hAnsi="Calibri" w:cs="Calibri"/>
                <w:sz w:val="24"/>
                <w:szCs w:val="24"/>
              </w:rPr>
              <w:br/>
              <w:t>iv) des courants électriques parasites provenant des installations électriques voisines, conduits ou induits</w:t>
            </w:r>
            <w:r w:rsidR="00F11468">
              <w:rPr>
                <w:rFonts w:ascii="Calibri" w:hAnsi="Calibri" w:cs="Calibri"/>
                <w:sz w:val="24"/>
                <w:szCs w:val="24"/>
              </w:rPr>
              <w:t xml:space="preserve"> </w:t>
            </w:r>
            <w:r w:rsidRPr="000344A4">
              <w:rPr>
                <w:rFonts w:ascii="Calibri" w:hAnsi="Calibri" w:cs="Calibri"/>
                <w:sz w:val="24"/>
                <w:szCs w:val="24"/>
              </w:rPr>
              <w:t>dans l’armature.</w:t>
            </w:r>
            <w:r w:rsidRPr="000344A4">
              <w:rPr>
                <w:rFonts w:ascii="Calibri" w:hAnsi="Calibri" w:cs="Calibri"/>
                <w:sz w:val="24"/>
                <w:szCs w:val="24"/>
              </w:rPr>
              <w:br/>
              <w:t>c) la réparation des défauts causés par une conception, spécification ou construction inadaptée ou l‘utilisation de</w:t>
            </w:r>
            <w:r w:rsidR="00F11468">
              <w:rPr>
                <w:rFonts w:ascii="Calibri" w:hAnsi="Calibri" w:cs="Calibri"/>
                <w:sz w:val="24"/>
                <w:szCs w:val="24"/>
              </w:rPr>
              <w:t xml:space="preserve"> </w:t>
            </w:r>
            <w:r w:rsidRPr="000344A4">
              <w:rPr>
                <w:rFonts w:ascii="Calibri" w:hAnsi="Calibri" w:cs="Calibri"/>
                <w:sz w:val="24"/>
                <w:szCs w:val="24"/>
              </w:rPr>
              <w:t xml:space="preserve">matériaux de construction inappropriés ; </w:t>
            </w:r>
          </w:p>
          <w:p w:rsidR="00DA093A" w:rsidRPr="000344A4" w:rsidRDefault="00DA093A" w:rsidP="00F11468">
            <w:pPr>
              <w:spacing w:after="0" w:line="240" w:lineRule="auto"/>
              <w:rPr>
                <w:rFonts w:ascii="Calibri" w:hAnsi="Calibri" w:cs="Calibri"/>
                <w:sz w:val="24"/>
                <w:szCs w:val="24"/>
              </w:rPr>
            </w:pPr>
            <w:r w:rsidRPr="000344A4">
              <w:rPr>
                <w:rFonts w:ascii="Calibri" w:hAnsi="Calibri" w:cs="Calibri"/>
                <w:sz w:val="24"/>
                <w:szCs w:val="24"/>
              </w:rPr>
              <w:t>d) la fourniture de la capacité structurale requise par :</w:t>
            </w:r>
            <w:r w:rsidRPr="000344A4">
              <w:rPr>
                <w:rFonts w:ascii="Calibri" w:hAnsi="Calibri" w:cs="Calibri"/>
                <w:sz w:val="24"/>
                <w:szCs w:val="24"/>
              </w:rPr>
              <w:br/>
              <w:t>1) le replacement ou l’ajout d’armature intégrée ou externe ;</w:t>
            </w:r>
            <w:r w:rsidRPr="000344A4">
              <w:rPr>
                <w:rFonts w:ascii="Calibri" w:hAnsi="Calibri" w:cs="Calibri"/>
                <w:sz w:val="24"/>
                <w:szCs w:val="24"/>
              </w:rPr>
              <w:br/>
              <w:t>2) le remplissage des fissures et des vides dans ou entre les éléments afin d’assurer la continuité structurale ;</w:t>
            </w:r>
            <w:r w:rsidRPr="000344A4">
              <w:rPr>
                <w:rFonts w:ascii="Calibri" w:hAnsi="Calibri" w:cs="Calibri"/>
                <w:sz w:val="24"/>
                <w:szCs w:val="24"/>
              </w:rPr>
              <w:br/>
              <w:t>3) le replacement ou l’ajout de béton ou d’éléments entiers ;</w:t>
            </w:r>
            <w:r w:rsidRPr="000344A4">
              <w:rPr>
                <w:rFonts w:ascii="Calibri" w:hAnsi="Calibri" w:cs="Calibri"/>
                <w:sz w:val="24"/>
                <w:szCs w:val="24"/>
              </w:rPr>
              <w:br/>
              <w:t>e) l'imperméabilisation comme partie intégrante de la protection et de la réparation ;</w:t>
            </w:r>
            <w:r w:rsidRPr="000344A4">
              <w:rPr>
                <w:rFonts w:ascii="Calibri" w:hAnsi="Calibri" w:cs="Calibri"/>
                <w:sz w:val="24"/>
                <w:szCs w:val="24"/>
              </w:rPr>
              <w:br/>
              <w:t>f) les principes et les méthodes de protection et de réparation, par exemple ceux énumérés dans le Tableau 1.</w:t>
            </w:r>
            <w:r w:rsidRPr="000344A4">
              <w:rPr>
                <w:rFonts w:ascii="Calibri" w:hAnsi="Calibri" w:cs="Calibri"/>
                <w:sz w:val="24"/>
                <w:szCs w:val="24"/>
              </w:rPr>
              <w:br/>
              <w:t>La partie 10 de la présente Norme européenne traite de l’application sur site.</w:t>
            </w:r>
            <w:r w:rsidRPr="000344A4">
              <w:rPr>
                <w:rFonts w:ascii="Calibri" w:hAnsi="Calibri" w:cs="Calibri"/>
                <w:sz w:val="24"/>
                <w:szCs w:val="24"/>
              </w:rPr>
              <w:br/>
              <w:t xml:space="preserve">L’Annexe A (informative) de la présente Norme </w:t>
            </w:r>
            <w:r w:rsidR="00F11468">
              <w:rPr>
                <w:rFonts w:ascii="Calibri" w:hAnsi="Calibri" w:cs="Calibri"/>
                <w:sz w:val="24"/>
                <w:szCs w:val="24"/>
              </w:rPr>
              <w:t xml:space="preserve"> </w:t>
            </w:r>
            <w:r w:rsidRPr="000344A4">
              <w:rPr>
                <w:rFonts w:ascii="Calibri" w:hAnsi="Calibri" w:cs="Calibri"/>
                <w:sz w:val="24"/>
                <w:szCs w:val="24"/>
              </w:rPr>
              <w:t>donne plus d’informations de base relatives à son</w:t>
            </w:r>
            <w:r w:rsidR="00F11468">
              <w:rPr>
                <w:rFonts w:ascii="Calibri" w:hAnsi="Calibri" w:cs="Calibri"/>
                <w:sz w:val="24"/>
                <w:szCs w:val="24"/>
              </w:rPr>
              <w:t xml:space="preserve"> </w:t>
            </w:r>
            <w:r w:rsidRPr="000344A4">
              <w:rPr>
                <w:rFonts w:ascii="Calibri" w:hAnsi="Calibri" w:cs="Calibri"/>
                <w:sz w:val="24"/>
                <w:szCs w:val="24"/>
              </w:rPr>
              <w:t>domaine d’application.</w:t>
            </w:r>
          </w:p>
        </w:tc>
      </w:tr>
      <w:tr w:rsidR="008375D5" w:rsidRPr="0043547B" w:rsidTr="00F11468">
        <w:trPr>
          <w:trHeight w:val="482"/>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8375D5" w:rsidRPr="000344A4" w:rsidRDefault="008375D5" w:rsidP="00F11468">
            <w:pPr>
              <w:spacing w:after="0" w:line="240" w:lineRule="auto"/>
              <w:jc w:val="center"/>
              <w:rPr>
                <w:rFonts w:ascii="Calibri" w:hAnsi="Calibri" w:cs="Calibri"/>
                <w:b/>
                <w:bCs/>
                <w:sz w:val="24"/>
                <w:szCs w:val="24"/>
              </w:rPr>
            </w:pPr>
            <w:r w:rsidRPr="000344A4">
              <w:rPr>
                <w:rFonts w:ascii="Calibri" w:hAnsi="Calibri" w:cs="Calibri"/>
                <w:b/>
                <w:bCs/>
                <w:sz w:val="24"/>
                <w:szCs w:val="24"/>
              </w:rPr>
              <w:lastRenderedPageBreak/>
              <w:t>Code :</w:t>
            </w:r>
          </w:p>
        </w:tc>
        <w:tc>
          <w:tcPr>
            <w:tcW w:w="7938" w:type="dxa"/>
            <w:tcBorders>
              <w:left w:val="single" w:sz="4" w:space="0" w:color="auto"/>
              <w:bottom w:val="single" w:sz="18" w:space="0" w:color="auto"/>
              <w:right w:val="single" w:sz="18" w:space="0" w:color="auto"/>
            </w:tcBorders>
            <w:shd w:val="clear" w:color="auto" w:fill="C2D69B" w:themeFill="accent3" w:themeFillTint="99"/>
            <w:vAlign w:val="center"/>
          </w:tcPr>
          <w:p w:rsidR="008375D5" w:rsidRPr="00F11468" w:rsidRDefault="008375D5" w:rsidP="00F11468">
            <w:pPr>
              <w:spacing w:after="0" w:line="240" w:lineRule="auto"/>
              <w:jc w:val="center"/>
              <w:rPr>
                <w:rFonts w:ascii="Calibri" w:hAnsi="Calibri" w:cs="Calibri"/>
                <w:b/>
                <w:bCs/>
                <w:sz w:val="24"/>
                <w:szCs w:val="24"/>
              </w:rPr>
            </w:pPr>
            <w:r w:rsidRPr="00F11468">
              <w:rPr>
                <w:rFonts w:ascii="Calibri" w:hAnsi="Calibri" w:cs="Calibri"/>
                <w:b/>
                <w:bCs/>
                <w:sz w:val="24"/>
                <w:szCs w:val="24"/>
              </w:rPr>
              <w:t>NM EN 1504-10</w:t>
            </w:r>
          </w:p>
        </w:tc>
      </w:tr>
      <w:tr w:rsidR="008375D5" w:rsidRPr="0043547B" w:rsidTr="00F11468">
        <w:trPr>
          <w:trHeight w:val="476"/>
          <w:jc w:val="center"/>
        </w:trPr>
        <w:tc>
          <w:tcPr>
            <w:tcW w:w="1838" w:type="dxa"/>
            <w:tcBorders>
              <w:top w:val="nil"/>
              <w:left w:val="single" w:sz="18" w:space="0" w:color="auto"/>
              <w:bottom w:val="single" w:sz="18" w:space="0" w:color="auto"/>
              <w:right w:val="single" w:sz="4" w:space="0" w:color="auto"/>
            </w:tcBorders>
            <w:shd w:val="clear" w:color="auto" w:fill="FFFFCC"/>
            <w:vAlign w:val="center"/>
          </w:tcPr>
          <w:p w:rsidR="008375D5" w:rsidRPr="000344A4" w:rsidRDefault="008375D5" w:rsidP="00F11468">
            <w:pPr>
              <w:spacing w:after="0" w:line="240" w:lineRule="auto"/>
              <w:jc w:val="center"/>
              <w:rPr>
                <w:rFonts w:ascii="Calibri" w:hAnsi="Calibri" w:cs="Calibri"/>
                <w:b/>
                <w:bCs/>
                <w:sz w:val="24"/>
                <w:szCs w:val="24"/>
              </w:rPr>
            </w:pPr>
            <w:r w:rsidRPr="000344A4">
              <w:rPr>
                <w:rFonts w:ascii="Calibri" w:hAnsi="Calibri" w:cs="Calibri"/>
                <w:b/>
                <w:bCs/>
                <w:sz w:val="24"/>
                <w:szCs w:val="24"/>
              </w:rPr>
              <w:t>Equivalence :</w:t>
            </w:r>
          </w:p>
        </w:tc>
        <w:tc>
          <w:tcPr>
            <w:tcW w:w="7938" w:type="dxa"/>
            <w:tcBorders>
              <w:left w:val="single" w:sz="4" w:space="0" w:color="auto"/>
              <w:bottom w:val="single" w:sz="18" w:space="0" w:color="auto"/>
              <w:right w:val="single" w:sz="18" w:space="0" w:color="auto"/>
            </w:tcBorders>
            <w:shd w:val="clear" w:color="auto" w:fill="FFFFCC"/>
            <w:vAlign w:val="center"/>
          </w:tcPr>
          <w:p w:rsidR="008375D5" w:rsidRPr="00F11468" w:rsidRDefault="008375D5" w:rsidP="00F11468">
            <w:pPr>
              <w:spacing w:after="0" w:line="240" w:lineRule="auto"/>
              <w:jc w:val="center"/>
              <w:rPr>
                <w:rFonts w:ascii="Calibri" w:hAnsi="Calibri" w:cs="Calibri"/>
                <w:b/>
                <w:bCs/>
                <w:sz w:val="24"/>
                <w:szCs w:val="24"/>
              </w:rPr>
            </w:pPr>
            <w:r w:rsidRPr="00F11468">
              <w:rPr>
                <w:rFonts w:ascii="Calibri" w:hAnsi="Calibri" w:cs="Calibri"/>
                <w:b/>
                <w:bCs/>
                <w:sz w:val="24"/>
                <w:szCs w:val="24"/>
              </w:rPr>
              <w:t>EN 1504-10</w:t>
            </w:r>
          </w:p>
        </w:tc>
      </w:tr>
      <w:tr w:rsidR="008375D5" w:rsidRPr="0043547B" w:rsidTr="00F11468">
        <w:trPr>
          <w:trHeight w:val="1162"/>
          <w:jc w:val="center"/>
        </w:trPr>
        <w:tc>
          <w:tcPr>
            <w:tcW w:w="1838" w:type="dxa"/>
            <w:tcBorders>
              <w:top w:val="single" w:sz="18" w:space="0" w:color="auto"/>
              <w:left w:val="single" w:sz="18" w:space="0" w:color="auto"/>
              <w:bottom w:val="single" w:sz="4" w:space="0" w:color="auto"/>
              <w:right w:val="single" w:sz="4" w:space="0" w:color="auto"/>
            </w:tcBorders>
            <w:shd w:val="clear" w:color="auto" w:fill="95B3D7" w:themeFill="accent1" w:themeFillTint="99"/>
            <w:vAlign w:val="center"/>
          </w:tcPr>
          <w:p w:rsidR="008375D5" w:rsidRPr="000344A4" w:rsidRDefault="008375D5" w:rsidP="00F11468">
            <w:pPr>
              <w:spacing w:after="0" w:line="240" w:lineRule="auto"/>
              <w:jc w:val="center"/>
              <w:rPr>
                <w:rFonts w:ascii="Calibri" w:hAnsi="Calibri" w:cs="Calibri"/>
                <w:b/>
                <w:bCs/>
                <w:sz w:val="24"/>
                <w:szCs w:val="24"/>
              </w:rPr>
            </w:pPr>
            <w:r w:rsidRPr="000344A4">
              <w:rPr>
                <w:rFonts w:ascii="Calibri" w:hAnsi="Calibri" w:cs="Calibr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tcPr>
          <w:p w:rsidR="008375D5" w:rsidRPr="000344A4" w:rsidRDefault="008375D5" w:rsidP="00F11468">
            <w:pPr>
              <w:spacing w:after="0" w:line="240" w:lineRule="auto"/>
              <w:rPr>
                <w:rFonts w:ascii="Calibri" w:hAnsi="Calibri" w:cs="Calibri"/>
                <w:sz w:val="24"/>
                <w:szCs w:val="24"/>
              </w:rPr>
            </w:pPr>
            <w:r w:rsidRPr="000344A4">
              <w:rPr>
                <w:rFonts w:ascii="Calibri" w:hAnsi="Calibri" w:cs="Calibri"/>
                <w:sz w:val="24"/>
                <w:szCs w:val="24"/>
              </w:rPr>
              <w:t xml:space="preserve">Produits et systèmes pour la protection et la réparation des structures en béton - Définitions, exigences, maîtrise de la qualité et évaluation de la conformité - Partie 10 : Application sur site des produits et systèmes et contrôle de la qualité des travaux </w:t>
            </w:r>
            <w:r w:rsidR="00F11468">
              <w:rPr>
                <w:rFonts w:ascii="Calibri" w:hAnsi="Calibri" w:cs="Calibri"/>
                <w:sz w:val="24"/>
                <w:szCs w:val="24"/>
              </w:rPr>
              <w:t xml:space="preserve"> </w:t>
            </w:r>
            <w:r w:rsidRPr="000344A4">
              <w:rPr>
                <w:rFonts w:ascii="Calibri" w:hAnsi="Calibri" w:cs="Calibri"/>
                <w:sz w:val="24"/>
                <w:szCs w:val="24"/>
              </w:rPr>
              <w:t xml:space="preserve">(REV)  </w:t>
            </w:r>
          </w:p>
        </w:tc>
      </w:tr>
      <w:tr w:rsidR="008375D5" w:rsidRPr="0043547B" w:rsidTr="00F11468">
        <w:trPr>
          <w:trHeight w:val="1162"/>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8375D5" w:rsidRPr="000344A4" w:rsidRDefault="008375D5" w:rsidP="00F11468">
            <w:pPr>
              <w:spacing w:after="0" w:line="240" w:lineRule="auto"/>
              <w:jc w:val="center"/>
              <w:rPr>
                <w:rFonts w:ascii="Calibri" w:hAnsi="Calibri" w:cs="Calibri"/>
                <w:b/>
                <w:bCs/>
                <w:sz w:val="24"/>
                <w:szCs w:val="24"/>
              </w:rPr>
            </w:pPr>
            <w:r w:rsidRPr="000344A4">
              <w:rPr>
                <w:rFonts w:ascii="Calibri" w:hAnsi="Calibri" w:cs="Calibr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center"/>
          </w:tcPr>
          <w:p w:rsidR="008375D5" w:rsidRPr="000344A4" w:rsidRDefault="008375D5" w:rsidP="000344A4">
            <w:pPr>
              <w:spacing w:after="0" w:line="240" w:lineRule="auto"/>
              <w:rPr>
                <w:rFonts w:ascii="Calibri" w:hAnsi="Calibri" w:cs="Calibri"/>
                <w:sz w:val="24"/>
                <w:szCs w:val="24"/>
              </w:rPr>
            </w:pPr>
            <w:r w:rsidRPr="000344A4">
              <w:rPr>
                <w:rFonts w:ascii="Calibri" w:hAnsi="Calibri" w:cs="Calibri"/>
                <w:sz w:val="24"/>
                <w:szCs w:val="24"/>
              </w:rPr>
              <w:t>La présente partie de l’EN 1504 définit les exigences relatives :</w:t>
            </w:r>
            <w:r w:rsidRPr="000344A4">
              <w:rPr>
                <w:rFonts w:ascii="Calibri" w:hAnsi="Calibri" w:cs="Calibri"/>
                <w:sz w:val="24"/>
                <w:szCs w:val="24"/>
              </w:rPr>
              <w:br/>
              <w:t>— à l’état du support avant et pendant l’application des systèmes et des produits ;</w:t>
            </w:r>
            <w:r w:rsidRPr="000344A4">
              <w:rPr>
                <w:rFonts w:ascii="Calibri" w:hAnsi="Calibri" w:cs="Calibri"/>
                <w:sz w:val="24"/>
                <w:szCs w:val="24"/>
              </w:rPr>
              <w:br/>
              <w:t>— au stockage des systèmes et des produits ;</w:t>
            </w:r>
            <w:r w:rsidRPr="000344A4">
              <w:rPr>
                <w:rFonts w:ascii="Calibri" w:hAnsi="Calibri" w:cs="Calibri"/>
                <w:sz w:val="24"/>
                <w:szCs w:val="24"/>
              </w:rPr>
              <w:br/>
              <w:t>— à la stabilité structurale pendant la préparation, la protection et la réparation ;</w:t>
            </w:r>
            <w:r w:rsidRPr="000344A4">
              <w:rPr>
                <w:rFonts w:ascii="Calibri" w:hAnsi="Calibri" w:cs="Calibri"/>
                <w:sz w:val="24"/>
                <w:szCs w:val="24"/>
              </w:rPr>
              <w:br/>
              <w:t>— aux méthodes de protection et de réparation ;</w:t>
            </w:r>
            <w:r w:rsidRPr="000344A4">
              <w:rPr>
                <w:rFonts w:ascii="Calibri" w:hAnsi="Calibri" w:cs="Calibri"/>
                <w:sz w:val="24"/>
                <w:szCs w:val="24"/>
              </w:rPr>
              <w:br/>
              <w:t>— au contrôle de la qualité pour l’exécution des travaux ;</w:t>
            </w:r>
            <w:r w:rsidRPr="000344A4">
              <w:rPr>
                <w:rFonts w:ascii="Calibri" w:hAnsi="Calibri" w:cs="Calibri"/>
                <w:sz w:val="24"/>
                <w:szCs w:val="24"/>
              </w:rPr>
              <w:br/>
              <w:t>— à la maintenance de la structure.</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10.1.009</w:t>
            </w:r>
          </w:p>
        </w:tc>
      </w:tr>
      <w:tr w:rsidR="0043547B" w:rsidRPr="0043547B" w:rsidTr="00CB5DC0">
        <w:trPr>
          <w:trHeight w:val="330"/>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Intitulé :</w:t>
            </w:r>
          </w:p>
        </w:tc>
        <w:tc>
          <w:tcPr>
            <w:tcW w:w="7938" w:type="dxa"/>
            <w:tcBorders>
              <w:top w:val="single" w:sz="18" w:space="0" w:color="auto"/>
              <w:left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Spécifications pour éléments de maçonnerie - Éléments de maçonnerie en béton de granulats (granulats courants et légers)   </w:t>
            </w:r>
            <w:r w:rsidR="004D418F" w:rsidRPr="0043547B">
              <w:rPr>
                <w:rFonts w:cstheme="minorHAnsi"/>
                <w:noProof/>
                <w:sz w:val="24"/>
                <w:szCs w:val="24"/>
                <w:lang w:eastAsia="fr-FR"/>
              </w:rPr>
              <w:drawing>
                <wp:inline distT="0" distB="0" distL="0" distR="0" wp14:anchorId="11050628" wp14:editId="08C9DDD6">
                  <wp:extent cx="183515" cy="158750"/>
                  <wp:effectExtent l="0" t="0" r="6985" b="0"/>
                  <wp:docPr id="38" name="Image 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8" cstate="print"/>
                          <a:srcRect/>
                          <a:stretch>
                            <a:fillRect/>
                          </a:stretch>
                        </pic:blipFill>
                        <pic:spPr bwMode="auto">
                          <a:xfrm>
                            <a:off x="0" y="0"/>
                            <a:ext cx="185776" cy="160706"/>
                          </a:xfrm>
                          <a:prstGeom prst="rect">
                            <a:avLst/>
                          </a:prstGeom>
                          <a:noFill/>
                          <a:ln w="9525">
                            <a:noFill/>
                            <a:miter lim="800000"/>
                            <a:headEnd/>
                            <a:tailEnd/>
                          </a:ln>
                        </pic:spPr>
                      </pic:pic>
                    </a:graphicData>
                  </a:graphic>
                </wp:inline>
              </w:drawing>
            </w:r>
          </w:p>
        </w:tc>
      </w:tr>
      <w:tr w:rsidR="0043547B" w:rsidRPr="0043547B" w:rsidTr="006E7AC4">
        <w:trPr>
          <w:trHeight w:val="985"/>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Cette Norme  spécifie les caractéristiques et les exigences de performances des blocs en béton de granulats fabriqués à partir de granulats courants et légers ou une combinaison des deux, utilisés, exposés ou non, en maçonnerie courante ou de parement, porteuse ou de remplissage uniquement, dans des bâtiments ou des ouvrages de génie civil.</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blocs conviennent pour toutes les formes de murs, y compris les murs à simple ou double paroi, les conduits extérieurs de fumée, les cloisons, les murs de soutènement et de soubassement. Ils peuvent constituer une protection contre les incendies, une isolation thermique et acoustique et constituer une absorption acoustique.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Cette norme concerne également les éléments de maçonnerie en béton de granulats n'ayant pas une forme générale de parallélépipède rectangle, notamment sur les éléments de forme particulière et les accessoires</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10.1.184</w:t>
            </w:r>
          </w:p>
        </w:tc>
      </w:tr>
      <w:tr w:rsidR="0043547B" w:rsidRPr="0043547B" w:rsidTr="00CB5DC0">
        <w:trPr>
          <w:trHeight w:val="330"/>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Travaux de bâtiment - Exécution des ouvrages en béton - Cahier des clauses techniques </w:t>
            </w:r>
          </w:p>
        </w:tc>
      </w:tr>
      <w:tr w:rsidR="0043547B" w:rsidRPr="0043547B" w:rsidTr="00CB5DC0">
        <w:trPr>
          <w:trHeight w:val="559"/>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définit les conditions d'exécution des ouvrages en béton et en béton armé de granulats courants justifiables des règles de conception et de calcul aux états limites (RMBA 07) ou de normes faisant référence à la norme.</w:t>
            </w:r>
          </w:p>
          <w:p w:rsidR="00171CAE" w:rsidRPr="0043547B" w:rsidRDefault="00171CAE" w:rsidP="00171CAE">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Ces ouvrages ou éléments d'ouvrages peuvent être coulés en place ou préfabriqués sur le chantier ou en usine.</w:t>
            </w:r>
          </w:p>
          <w:p w:rsidR="00171CAE" w:rsidRPr="0043547B" w:rsidRDefault="00171CAE" w:rsidP="00171CAE">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traite de l'exécution des ouvrages réalisés dans des conditions climatiques courantes. Des dispositions complémentaires sont à prendre dans le cas de conditions climatiques différentes.</w:t>
            </w:r>
          </w:p>
          <w:p w:rsidR="00171CAE" w:rsidRPr="0043547B" w:rsidRDefault="00171CAE" w:rsidP="00171CAE">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aux ouvrages utilisant des bétons de résistance caractéristique à 28 jours inférieure ou égale à 80 MPa (B80).</w:t>
            </w:r>
          </w:p>
          <w:p w:rsidR="00171CAE" w:rsidRPr="0043547B" w:rsidRDefault="00171CAE" w:rsidP="00171CAE">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fixe les contrôles techniques minimaux qui incombent à l'entreprise.</w:t>
            </w:r>
          </w:p>
          <w:p w:rsidR="00904E52" w:rsidRPr="0043547B" w:rsidRDefault="00171CAE" w:rsidP="00171CAE">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 matériau béton doit être conforme à la norme NM 10.1.008.</w:t>
            </w:r>
          </w:p>
        </w:tc>
      </w:tr>
      <w:tr w:rsidR="0043547B" w:rsidRPr="0043547B" w:rsidTr="00CB5DC0">
        <w:trPr>
          <w:trHeight w:val="70"/>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NM 10.1.010</w:t>
            </w:r>
          </w:p>
        </w:tc>
      </w:tr>
      <w:tr w:rsidR="0043547B" w:rsidRPr="0043547B" w:rsidTr="00CB5DC0">
        <w:trPr>
          <w:trHeight w:val="70"/>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auto" w:fill="auto"/>
            <w:vAlign w:val="center"/>
          </w:tcPr>
          <w:p w:rsidR="00904E52" w:rsidRPr="0043547B" w:rsidRDefault="00904E52" w:rsidP="00904E52">
            <w:pPr>
              <w:spacing w:after="0"/>
              <w:jc w:val="both"/>
              <w:rPr>
                <w:rFonts w:cstheme="minorHAnsi"/>
                <w:sz w:val="24"/>
                <w:szCs w:val="24"/>
              </w:rPr>
            </w:pPr>
            <w:r w:rsidRPr="0043547B">
              <w:rPr>
                <w:rFonts w:cstheme="minorHAnsi"/>
                <w:sz w:val="24"/>
                <w:szCs w:val="24"/>
              </w:rPr>
              <w:t xml:space="preserve">Corps creux en béton pour planchers de béton armé </w:t>
            </w:r>
            <w:r w:rsidR="004D418F" w:rsidRPr="0043547B">
              <w:rPr>
                <w:rFonts w:cstheme="minorHAnsi"/>
                <w:noProof/>
                <w:sz w:val="24"/>
                <w:szCs w:val="24"/>
                <w:lang w:eastAsia="fr-FR"/>
              </w:rPr>
              <w:drawing>
                <wp:inline distT="0" distB="0" distL="0" distR="0" wp14:anchorId="43502226" wp14:editId="743AE99D">
                  <wp:extent cx="183515" cy="158750"/>
                  <wp:effectExtent l="0" t="0" r="6985" b="0"/>
                  <wp:docPr id="39" name="Image 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8" cstate="print"/>
                          <a:srcRect/>
                          <a:stretch>
                            <a:fillRect/>
                          </a:stretch>
                        </pic:blipFill>
                        <pic:spPr bwMode="auto">
                          <a:xfrm>
                            <a:off x="0" y="0"/>
                            <a:ext cx="185776" cy="160706"/>
                          </a:xfrm>
                          <a:prstGeom prst="rect">
                            <a:avLst/>
                          </a:prstGeom>
                          <a:noFill/>
                          <a:ln w="9525">
                            <a:noFill/>
                            <a:miter lim="800000"/>
                            <a:headEnd/>
                            <a:tailEnd/>
                          </a:ln>
                        </pic:spPr>
                      </pic:pic>
                    </a:graphicData>
                  </a:graphic>
                </wp:inline>
              </w:drawing>
            </w:r>
          </w:p>
        </w:tc>
      </w:tr>
      <w:tr w:rsidR="0043547B" w:rsidRPr="0043547B" w:rsidTr="00CB5DC0">
        <w:trPr>
          <w:trHeight w:val="794"/>
          <w:jc w:val="center"/>
        </w:trPr>
        <w:tc>
          <w:tcPr>
            <w:tcW w:w="1838" w:type="dxa"/>
            <w:tcBorders>
              <w:top w:val="nil"/>
              <w:left w:val="single" w:sz="18" w:space="0" w:color="auto"/>
              <w:bottom w:val="single" w:sz="18" w:space="0" w:color="auto"/>
              <w:right w:val="single" w:sz="4" w:space="0" w:color="auto"/>
            </w:tcBorders>
            <w:shd w:val="clear" w:color="000000" w:fill="D9D9D9"/>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center"/>
          </w:tcPr>
          <w:p w:rsidR="00904E52" w:rsidRPr="0043547B" w:rsidRDefault="00904E52" w:rsidP="00D336A0">
            <w:pPr>
              <w:spacing w:after="0" w:line="240" w:lineRule="auto"/>
              <w:jc w:val="both"/>
              <w:rPr>
                <w:rFonts w:cstheme="minorHAnsi"/>
                <w:sz w:val="24"/>
                <w:szCs w:val="24"/>
              </w:rPr>
            </w:pPr>
            <w:r w:rsidRPr="0043547B">
              <w:rPr>
                <w:rFonts w:cstheme="minorHAnsi"/>
                <w:sz w:val="24"/>
                <w:szCs w:val="24"/>
              </w:rPr>
              <w:t xml:space="preserve">La norme s'applique aux produits de béton homogène, non armé. de granulats lourds utilisés dans les poutrelles préfabriquées, Ces blocs constituent des plafonds plats. Ils </w:t>
            </w:r>
            <w:r w:rsidR="00D336A0" w:rsidRPr="0043547B">
              <w:rPr>
                <w:rFonts w:cstheme="minorHAnsi"/>
                <w:sz w:val="24"/>
                <w:szCs w:val="24"/>
              </w:rPr>
              <w:t>servent</w:t>
            </w:r>
            <w:r w:rsidRPr="0043547B">
              <w:rPr>
                <w:rFonts w:cstheme="minorHAnsi"/>
                <w:sz w:val="24"/>
                <w:szCs w:val="24"/>
              </w:rPr>
              <w:t xml:space="preserve"> de coffrage à la dalle de compression ou à l'ensemble de la dalle en béton armé et des nervures.</w:t>
            </w:r>
          </w:p>
        </w:tc>
      </w:tr>
      <w:tr w:rsidR="0043547B" w:rsidRPr="0043547B" w:rsidTr="00CB5DC0">
        <w:trPr>
          <w:trHeight w:val="34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tcPr>
          <w:p w:rsidR="00904E52" w:rsidRPr="0043547B" w:rsidRDefault="00904E52" w:rsidP="00904E52">
            <w:pPr>
              <w:spacing w:after="0"/>
              <w:jc w:val="center"/>
              <w:rPr>
                <w:rFonts w:cstheme="minorHAnsi"/>
                <w:sz w:val="24"/>
                <w:szCs w:val="24"/>
              </w:rPr>
            </w:pPr>
            <w:r w:rsidRPr="0043547B">
              <w:rPr>
                <w:rFonts w:cstheme="minorHAnsi"/>
                <w:b/>
                <w:bCs/>
                <w:sz w:val="24"/>
                <w:szCs w:val="24"/>
              </w:rPr>
              <w:t>NM 10.1.014</w:t>
            </w:r>
          </w:p>
        </w:tc>
      </w:tr>
      <w:tr w:rsidR="0043547B" w:rsidRPr="0043547B" w:rsidTr="00CB5DC0">
        <w:trPr>
          <w:trHeight w:val="473"/>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auto" w:fill="auto"/>
            <w:vAlign w:val="center"/>
          </w:tcPr>
          <w:p w:rsidR="00904E52" w:rsidRPr="0043547B" w:rsidRDefault="00904E52" w:rsidP="00D336A0">
            <w:pPr>
              <w:spacing w:after="0" w:line="240" w:lineRule="auto"/>
              <w:jc w:val="both"/>
              <w:rPr>
                <w:rFonts w:cstheme="minorHAnsi"/>
                <w:sz w:val="24"/>
                <w:szCs w:val="24"/>
              </w:rPr>
            </w:pPr>
            <w:r w:rsidRPr="0043547B">
              <w:rPr>
                <w:rFonts w:cstheme="minorHAnsi"/>
                <w:sz w:val="24"/>
                <w:szCs w:val="24"/>
              </w:rPr>
              <w:t xml:space="preserve">Pavés et bordures de trottoir en pierre taillée – Eléments préfabriqués en béton de ciment pour bordures de trottoir </w:t>
            </w:r>
          </w:p>
        </w:tc>
      </w:tr>
      <w:tr w:rsidR="0043547B" w:rsidRPr="0043547B" w:rsidTr="00CB5DC0">
        <w:trPr>
          <w:trHeight w:val="418"/>
          <w:jc w:val="center"/>
        </w:trPr>
        <w:tc>
          <w:tcPr>
            <w:tcW w:w="1838" w:type="dxa"/>
            <w:tcBorders>
              <w:top w:val="nil"/>
              <w:left w:val="single" w:sz="18" w:space="0" w:color="auto"/>
              <w:bottom w:val="single" w:sz="18" w:space="0" w:color="auto"/>
              <w:right w:val="single" w:sz="4" w:space="0" w:color="auto"/>
            </w:tcBorders>
            <w:shd w:val="clear" w:color="000000" w:fill="D9D9D9"/>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center"/>
          </w:tcPr>
          <w:p w:rsidR="00904E52" w:rsidRPr="0043547B" w:rsidRDefault="00904E52" w:rsidP="00D336A0">
            <w:pPr>
              <w:spacing w:after="0" w:line="240" w:lineRule="auto"/>
              <w:jc w:val="both"/>
              <w:rPr>
                <w:rFonts w:cstheme="minorHAnsi"/>
                <w:sz w:val="24"/>
                <w:szCs w:val="24"/>
              </w:rPr>
            </w:pPr>
            <w:r w:rsidRPr="0043547B">
              <w:rPr>
                <w:rFonts w:cstheme="minorHAnsi"/>
                <w:sz w:val="24"/>
                <w:szCs w:val="24"/>
              </w:rPr>
              <w:t>La norme a pour objet de définir les caractéristiques géométriques et dimensionnelles, les tolérances admises par rapport à ces caractéristiques, les caractéristiques physiques et mécaniques ainsi que la techniques des essais de réception des pavés en pierre taillée et les bordures de trottoir en béton et en pierre taillée, Les éléments visés par la norme concernant la construction et l'entretien des voies de traverse ou des voies urbaines des municipalités et des agglomérations.</w:t>
            </w:r>
          </w:p>
        </w:tc>
      </w:tr>
    </w:tbl>
    <w:p w:rsidR="00904E52" w:rsidRPr="0043547B" w:rsidRDefault="00904E52" w:rsidP="00883ABE">
      <w:pPr>
        <w:pStyle w:val="Titre4"/>
        <w:numPr>
          <w:ilvl w:val="2"/>
          <w:numId w:val="2"/>
        </w:numPr>
        <w:ind w:left="1418" w:hanging="567"/>
        <w:rPr>
          <w:rFonts w:cstheme="minorHAnsi"/>
          <w:b/>
          <w:bCs w:val="0"/>
          <w:iCs w:val="0"/>
          <w:color w:val="auto"/>
          <w:szCs w:val="24"/>
          <w:u w:val="single"/>
        </w:rPr>
      </w:pPr>
      <w:bookmarkStart w:id="27" w:name="_Toc458606084"/>
      <w:r w:rsidRPr="0043547B">
        <w:rPr>
          <w:rFonts w:cstheme="minorHAnsi"/>
          <w:b/>
          <w:bCs w:val="0"/>
          <w:iCs w:val="0"/>
          <w:color w:val="auto"/>
          <w:szCs w:val="24"/>
          <w:u w:val="single"/>
        </w:rPr>
        <w:lastRenderedPageBreak/>
        <w:t>Travaux de couverture et d’étanchéité</w:t>
      </w:r>
      <w:bookmarkEnd w:id="27"/>
      <w:r w:rsidRPr="0043547B">
        <w:rPr>
          <w:rFonts w:cstheme="minorHAnsi"/>
          <w:b/>
          <w:bCs w:val="0"/>
          <w:iCs w:val="0"/>
          <w:color w:val="auto"/>
          <w:szCs w:val="24"/>
          <w:u w:val="single"/>
        </w:rPr>
        <w:t xml:space="preserve"> </w:t>
      </w:r>
    </w:p>
    <w:tbl>
      <w:tblPr>
        <w:tblW w:w="9776" w:type="dxa"/>
        <w:jc w:val="center"/>
        <w:tblCellMar>
          <w:left w:w="70" w:type="dxa"/>
          <w:right w:w="70" w:type="dxa"/>
        </w:tblCellMar>
        <w:tblLook w:val="04A0" w:firstRow="1" w:lastRow="0" w:firstColumn="1" w:lastColumn="0" w:noHBand="0" w:noVBand="1"/>
      </w:tblPr>
      <w:tblGrid>
        <w:gridCol w:w="1838"/>
        <w:gridCol w:w="7938"/>
      </w:tblGrid>
      <w:tr w:rsidR="0043547B" w:rsidRPr="0043547B" w:rsidTr="001E0C3C">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13707</w:t>
            </w:r>
          </w:p>
        </w:tc>
      </w:tr>
      <w:tr w:rsidR="0043547B" w:rsidRPr="0043547B" w:rsidTr="001E0C3C">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13707 - A2</w:t>
            </w:r>
          </w:p>
        </w:tc>
      </w:tr>
      <w:tr w:rsidR="0043547B" w:rsidRPr="0043547B" w:rsidTr="001E0C3C">
        <w:trPr>
          <w:trHeight w:val="6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Feuilles souples d'étanchéité - Feuilles bitumineuses armées pour l'étanchéité de toiture - Définitions et caractéristiques </w:t>
            </w:r>
          </w:p>
        </w:tc>
      </w:tr>
      <w:tr w:rsidR="0043547B" w:rsidRPr="0043547B" w:rsidTr="001E0C3C">
        <w:trPr>
          <w:trHeight w:val="701"/>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591063" w:rsidRDefault="00904E52" w:rsidP="0059106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 présent document spécifie les définitions et les caractéristiques pour les feuilles bitumineuses souples armées, dont l'utilisation prévue est l'étanchéité de toiture. Ceci concerne des feuilles utilisées comme dernière couche, couche intermédiaire ou couche inférieure. Cette norme ne concerne pas les feuilles bitumineuses d’étanchéité armées, utilisées comme sous-couche ou écran de sous-toiture.</w:t>
            </w:r>
          </w:p>
          <w:p w:rsidR="00904E52" w:rsidRPr="0043547B" w:rsidRDefault="004A2107" w:rsidP="0059106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ne traite pas des feuilles d'étanchéité qui sont destinées à être posées en adhérence totale sous protection de surface en produits bitumineux (par exemple l’asphalte) directement mises en œuvre à  température élevée, spécifiées dans l’EN 14695.</w:t>
            </w:r>
          </w:p>
        </w:tc>
      </w:tr>
      <w:tr w:rsidR="004E002F" w:rsidRPr="0043547B" w:rsidTr="001E0C3C">
        <w:trPr>
          <w:trHeight w:val="442"/>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4E002F" w:rsidRDefault="004E002F" w:rsidP="00591063">
            <w:pPr>
              <w:spacing w:after="0" w:line="240" w:lineRule="auto"/>
              <w:jc w:val="center"/>
              <w:rPr>
                <w:rFonts w:ascii="Calibri" w:hAnsi="Calibri" w:cs="Calibri"/>
                <w:b/>
                <w:bCs/>
                <w:color w:val="000000"/>
              </w:rPr>
            </w:pPr>
            <w:r>
              <w:rPr>
                <w:rFonts w:ascii="Calibri" w:hAnsi="Calibri" w:cs="Calibri"/>
                <w:b/>
                <w:bCs/>
                <w:color w:val="000000"/>
              </w:rPr>
              <w:t>Code :</w:t>
            </w:r>
          </w:p>
        </w:tc>
        <w:tc>
          <w:tcPr>
            <w:tcW w:w="7938" w:type="dxa"/>
            <w:tcBorders>
              <w:top w:val="nil"/>
              <w:left w:val="single" w:sz="4" w:space="0" w:color="auto"/>
              <w:bottom w:val="single" w:sz="18" w:space="0" w:color="auto"/>
              <w:right w:val="single" w:sz="18" w:space="0" w:color="auto"/>
            </w:tcBorders>
            <w:shd w:val="clear" w:color="auto" w:fill="C2D69B" w:themeFill="accent3" w:themeFillTint="99"/>
            <w:vAlign w:val="center"/>
          </w:tcPr>
          <w:p w:rsidR="004E002F" w:rsidRPr="00591063" w:rsidRDefault="004E002F" w:rsidP="00591063">
            <w:pPr>
              <w:spacing w:after="0" w:line="240" w:lineRule="auto"/>
              <w:jc w:val="center"/>
              <w:rPr>
                <w:rFonts w:ascii="Calibri" w:hAnsi="Calibri" w:cs="Calibri"/>
                <w:b/>
                <w:bCs/>
                <w:sz w:val="18"/>
                <w:szCs w:val="18"/>
              </w:rPr>
            </w:pPr>
            <w:r w:rsidRPr="00591063">
              <w:rPr>
                <w:rFonts w:ascii="Calibri" w:hAnsi="Calibri" w:cs="Calibri"/>
                <w:b/>
                <w:bCs/>
                <w:sz w:val="24"/>
                <w:szCs w:val="24"/>
              </w:rPr>
              <w:t>NM 10.8.888</w:t>
            </w:r>
          </w:p>
        </w:tc>
      </w:tr>
      <w:tr w:rsidR="004E002F" w:rsidRPr="0043547B" w:rsidTr="001E0C3C">
        <w:trPr>
          <w:trHeight w:val="524"/>
          <w:jc w:val="center"/>
        </w:trPr>
        <w:tc>
          <w:tcPr>
            <w:tcW w:w="1838" w:type="dxa"/>
            <w:tcBorders>
              <w:top w:val="nil"/>
              <w:left w:val="single" w:sz="18" w:space="0" w:color="auto"/>
              <w:bottom w:val="single" w:sz="18" w:space="0" w:color="auto"/>
              <w:right w:val="single" w:sz="4" w:space="0" w:color="auto"/>
            </w:tcBorders>
            <w:shd w:val="clear" w:color="auto" w:fill="8DB3E2" w:themeFill="text2" w:themeFillTint="66"/>
            <w:vAlign w:val="center"/>
          </w:tcPr>
          <w:p w:rsidR="004E002F" w:rsidRDefault="004E002F" w:rsidP="00591063">
            <w:pPr>
              <w:spacing w:after="0" w:line="240" w:lineRule="auto"/>
              <w:jc w:val="center"/>
              <w:rPr>
                <w:rFonts w:ascii="Calibri" w:hAnsi="Calibri" w:cs="Calibri"/>
                <w:b/>
                <w:bCs/>
                <w:color w:val="000000"/>
                <w:sz w:val="24"/>
                <w:szCs w:val="24"/>
              </w:rPr>
            </w:pPr>
            <w:r>
              <w:rPr>
                <w:rFonts w:ascii="Calibri" w:hAnsi="Calibri" w:cs="Calibri"/>
                <w:b/>
                <w:bCs/>
                <w:color w:val="000000"/>
              </w:rPr>
              <w:t>Intitulé :</w:t>
            </w:r>
          </w:p>
        </w:tc>
        <w:tc>
          <w:tcPr>
            <w:tcW w:w="7938" w:type="dxa"/>
            <w:tcBorders>
              <w:top w:val="nil"/>
              <w:left w:val="single" w:sz="4" w:space="0" w:color="auto"/>
              <w:bottom w:val="single" w:sz="18" w:space="0" w:color="auto"/>
              <w:right w:val="single" w:sz="18" w:space="0" w:color="auto"/>
            </w:tcBorders>
            <w:shd w:val="clear" w:color="auto" w:fill="auto"/>
            <w:vAlign w:val="center"/>
          </w:tcPr>
          <w:p w:rsidR="004E002F" w:rsidRPr="00591063" w:rsidRDefault="004E002F" w:rsidP="00591063">
            <w:pPr>
              <w:spacing w:after="0" w:line="240" w:lineRule="auto"/>
              <w:jc w:val="both"/>
              <w:rPr>
                <w:rFonts w:ascii="Calibri" w:hAnsi="Calibri" w:cs="Calibri"/>
                <w:sz w:val="24"/>
                <w:szCs w:val="24"/>
              </w:rPr>
            </w:pPr>
            <w:r w:rsidRPr="00591063">
              <w:rPr>
                <w:rFonts w:ascii="Calibri" w:hAnsi="Calibri" w:cs="Calibri"/>
                <w:sz w:val="24"/>
                <w:szCs w:val="24"/>
              </w:rPr>
              <w:t xml:space="preserve">Roches, poudres et fines d'asphalte naturel </w:t>
            </w:r>
          </w:p>
        </w:tc>
      </w:tr>
      <w:tr w:rsidR="004E002F" w:rsidRPr="0043547B" w:rsidTr="001E0C3C">
        <w:trPr>
          <w:trHeight w:val="977"/>
          <w:jc w:val="center"/>
        </w:trPr>
        <w:tc>
          <w:tcPr>
            <w:tcW w:w="1838" w:type="dxa"/>
            <w:tcBorders>
              <w:top w:val="nil"/>
              <w:left w:val="single" w:sz="18" w:space="0" w:color="auto"/>
              <w:bottom w:val="single" w:sz="18" w:space="0" w:color="auto"/>
              <w:right w:val="single" w:sz="4" w:space="0" w:color="auto"/>
            </w:tcBorders>
            <w:shd w:val="clear" w:color="000000" w:fill="D9D9D9"/>
            <w:vAlign w:val="center"/>
          </w:tcPr>
          <w:p w:rsidR="004E002F" w:rsidRDefault="004E002F" w:rsidP="00591063">
            <w:pPr>
              <w:spacing w:after="0" w:line="240" w:lineRule="auto"/>
              <w:jc w:val="center"/>
              <w:rPr>
                <w:rFonts w:ascii="Calibri" w:hAnsi="Calibri" w:cs="Calibri"/>
                <w:b/>
                <w:bCs/>
                <w:sz w:val="24"/>
                <w:szCs w:val="24"/>
              </w:rPr>
            </w:pPr>
            <w:r>
              <w:rPr>
                <w:rFonts w:ascii="Calibri" w:hAnsi="Calibri" w:cs="Calibri"/>
                <w:b/>
                <w:bCs/>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tcPr>
          <w:p w:rsidR="004E002F" w:rsidRPr="00591063" w:rsidRDefault="004E002F" w:rsidP="00591063">
            <w:pPr>
              <w:spacing w:after="0" w:line="240" w:lineRule="auto"/>
              <w:jc w:val="both"/>
              <w:rPr>
                <w:rFonts w:ascii="Calibri" w:hAnsi="Calibri" w:cs="Calibri"/>
                <w:color w:val="000000"/>
                <w:sz w:val="24"/>
                <w:szCs w:val="24"/>
              </w:rPr>
            </w:pPr>
            <w:r w:rsidRPr="00591063">
              <w:rPr>
                <w:rFonts w:ascii="Calibri" w:hAnsi="Calibri" w:cs="Calibri"/>
                <w:color w:val="000000"/>
                <w:sz w:val="24"/>
                <w:szCs w:val="24"/>
              </w:rPr>
              <w:t xml:space="preserve">La présente norme s'applique aux productions des industries d'extraction et de broyage de la roche d'asphalte, utilisées en particulier pour les revêtements d'étanchéité, d'isolation et de circulation. </w:t>
            </w:r>
          </w:p>
        </w:tc>
      </w:tr>
      <w:tr w:rsidR="000555C5" w:rsidRPr="0043547B" w:rsidTr="001E0C3C">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0555C5" w:rsidRPr="004A2107" w:rsidRDefault="000555C5" w:rsidP="004A2107">
            <w:pPr>
              <w:spacing w:after="0" w:line="240" w:lineRule="auto"/>
              <w:jc w:val="center"/>
              <w:rPr>
                <w:rFonts w:ascii="Calibri" w:hAnsi="Calibri" w:cs="Calibri"/>
                <w:b/>
                <w:bCs/>
                <w:sz w:val="24"/>
                <w:szCs w:val="24"/>
              </w:rPr>
            </w:pPr>
            <w:r w:rsidRPr="004A2107">
              <w:rPr>
                <w:rFonts w:ascii="Calibri" w:hAnsi="Calibri" w:cs="Calibri"/>
                <w:b/>
                <w:bCs/>
                <w:sz w:val="24"/>
                <w:szCs w:val="24"/>
              </w:rPr>
              <w:t>Code</w:t>
            </w:r>
            <w:r w:rsidR="004A2107" w:rsidRPr="004A2107">
              <w:rPr>
                <w:rFonts w:ascii="Calibri" w:hAnsi="Calibri" w:cs="Calibri"/>
                <w:b/>
                <w:bCs/>
                <w:sz w:val="24"/>
                <w:szCs w:val="24"/>
              </w:rPr>
              <w:t xml:space="preserve"> </w:t>
            </w:r>
            <w:r w:rsidRPr="004A2107">
              <w:rPr>
                <w:rFonts w:ascii="Calibri" w:hAnsi="Calibri" w:cs="Calibri"/>
                <w:b/>
                <w:bCs/>
                <w:sz w:val="24"/>
                <w:szCs w:val="24"/>
              </w:rPr>
              <w:t>:</w:t>
            </w:r>
          </w:p>
        </w:tc>
        <w:tc>
          <w:tcPr>
            <w:tcW w:w="7938" w:type="dxa"/>
            <w:tcBorders>
              <w:top w:val="single" w:sz="18" w:space="0" w:color="auto"/>
              <w:left w:val="single" w:sz="4" w:space="0" w:color="auto"/>
              <w:bottom w:val="single" w:sz="18" w:space="0" w:color="auto"/>
              <w:right w:val="single" w:sz="18" w:space="0" w:color="auto"/>
            </w:tcBorders>
            <w:shd w:val="clear" w:color="auto" w:fill="B7CE88"/>
            <w:hideMark/>
          </w:tcPr>
          <w:p w:rsidR="000555C5" w:rsidRPr="004A2107" w:rsidRDefault="000555C5" w:rsidP="004A2107">
            <w:pPr>
              <w:spacing w:after="0" w:line="240" w:lineRule="auto"/>
              <w:rPr>
                <w:rFonts w:ascii="Calibri" w:hAnsi="Calibri" w:cs="Calibri"/>
                <w:sz w:val="24"/>
                <w:szCs w:val="24"/>
              </w:rPr>
            </w:pPr>
            <w:r w:rsidRPr="004A2107">
              <w:rPr>
                <w:rFonts w:ascii="Calibri" w:hAnsi="Calibri" w:cs="Calibri"/>
                <w:sz w:val="24"/>
                <w:szCs w:val="24"/>
              </w:rPr>
              <w:t xml:space="preserve"> NM EN 13970</w:t>
            </w:r>
          </w:p>
        </w:tc>
      </w:tr>
      <w:tr w:rsidR="000555C5" w:rsidRPr="0043547B" w:rsidTr="001E0C3C">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0555C5" w:rsidRPr="004A2107" w:rsidRDefault="000555C5" w:rsidP="004A2107">
            <w:pPr>
              <w:spacing w:after="0" w:line="240" w:lineRule="auto"/>
              <w:jc w:val="center"/>
              <w:rPr>
                <w:rFonts w:ascii="Calibri" w:hAnsi="Calibri" w:cs="Calibri"/>
                <w:b/>
                <w:bCs/>
                <w:sz w:val="24"/>
                <w:szCs w:val="24"/>
              </w:rPr>
            </w:pPr>
            <w:r w:rsidRPr="004A2107">
              <w:rPr>
                <w:rFonts w:ascii="Calibri" w:hAnsi="Calibri" w:cs="Calibr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hideMark/>
          </w:tcPr>
          <w:p w:rsidR="000555C5" w:rsidRPr="004A2107" w:rsidRDefault="000555C5" w:rsidP="004A2107">
            <w:pPr>
              <w:spacing w:after="0" w:line="240" w:lineRule="auto"/>
              <w:rPr>
                <w:rFonts w:ascii="Calibri" w:hAnsi="Calibri" w:cs="Calibri"/>
                <w:sz w:val="24"/>
                <w:szCs w:val="24"/>
              </w:rPr>
            </w:pPr>
            <w:r w:rsidRPr="004A2107">
              <w:rPr>
                <w:rFonts w:ascii="Calibri" w:hAnsi="Calibri" w:cs="Calibri"/>
                <w:sz w:val="24"/>
                <w:szCs w:val="24"/>
              </w:rPr>
              <w:t xml:space="preserve">  EN 13970</w:t>
            </w:r>
          </w:p>
        </w:tc>
      </w:tr>
      <w:tr w:rsidR="000555C5" w:rsidRPr="0043547B" w:rsidTr="001E0C3C">
        <w:trPr>
          <w:trHeight w:val="6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0555C5" w:rsidRPr="004A2107" w:rsidRDefault="000555C5" w:rsidP="004A2107">
            <w:pPr>
              <w:spacing w:after="0" w:line="240" w:lineRule="auto"/>
              <w:jc w:val="center"/>
              <w:rPr>
                <w:rFonts w:ascii="Calibri" w:hAnsi="Calibri" w:cs="Calibri"/>
                <w:b/>
                <w:bCs/>
                <w:sz w:val="24"/>
                <w:szCs w:val="24"/>
              </w:rPr>
            </w:pPr>
            <w:r w:rsidRPr="004A2107">
              <w:rPr>
                <w:rFonts w:ascii="Calibri" w:hAnsi="Calibri" w:cs="Calibr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hideMark/>
          </w:tcPr>
          <w:p w:rsidR="000555C5" w:rsidRPr="004A2107" w:rsidRDefault="000555C5" w:rsidP="004A2107">
            <w:pPr>
              <w:spacing w:after="0" w:line="240" w:lineRule="auto"/>
              <w:rPr>
                <w:rFonts w:ascii="Calibri" w:hAnsi="Calibri" w:cs="Calibri"/>
                <w:sz w:val="24"/>
                <w:szCs w:val="24"/>
              </w:rPr>
            </w:pPr>
            <w:r w:rsidRPr="004A2107">
              <w:rPr>
                <w:rFonts w:ascii="Calibri" w:hAnsi="Calibri" w:cs="Calibri"/>
                <w:sz w:val="24"/>
                <w:szCs w:val="24"/>
              </w:rPr>
              <w:t>Feuilles souples d'étanchéité - Feuilles bitumineuses utilisées comme pare-vapeur - Définitions et caractéristiques</w:t>
            </w:r>
          </w:p>
        </w:tc>
      </w:tr>
      <w:tr w:rsidR="000555C5" w:rsidRPr="0043547B" w:rsidTr="001E0C3C">
        <w:trPr>
          <w:trHeight w:val="963"/>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0555C5" w:rsidRPr="004A2107" w:rsidRDefault="000555C5" w:rsidP="004A2107">
            <w:pPr>
              <w:spacing w:after="0" w:line="240" w:lineRule="auto"/>
              <w:jc w:val="center"/>
              <w:rPr>
                <w:rFonts w:ascii="Calibri" w:hAnsi="Calibri" w:cs="Calibri"/>
                <w:b/>
                <w:bCs/>
                <w:sz w:val="24"/>
                <w:szCs w:val="24"/>
              </w:rPr>
            </w:pPr>
            <w:r w:rsidRPr="004A2107">
              <w:rPr>
                <w:rFonts w:ascii="Calibri" w:hAnsi="Calibri" w:cs="Calibr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hideMark/>
          </w:tcPr>
          <w:p w:rsidR="000555C5" w:rsidRPr="004A2107" w:rsidRDefault="000555C5" w:rsidP="004A2107">
            <w:pPr>
              <w:spacing w:after="0" w:line="240" w:lineRule="auto"/>
              <w:jc w:val="both"/>
              <w:rPr>
                <w:rFonts w:ascii="Calibri" w:hAnsi="Calibri" w:cs="Calibri"/>
                <w:sz w:val="24"/>
                <w:szCs w:val="24"/>
              </w:rPr>
            </w:pPr>
            <w:r w:rsidRPr="004A2107">
              <w:rPr>
                <w:rFonts w:ascii="Calibri" w:hAnsi="Calibri" w:cs="Calibri"/>
                <w:sz w:val="24"/>
                <w:szCs w:val="24"/>
              </w:rPr>
              <w:t>Le présent document spécifie des définitions et les caractéristiques des feuilles souples bitumineuses armées</w:t>
            </w:r>
            <w:r w:rsidR="004A2107">
              <w:rPr>
                <w:rFonts w:ascii="Calibri" w:hAnsi="Calibri" w:cs="Calibri"/>
                <w:sz w:val="24"/>
                <w:szCs w:val="24"/>
              </w:rPr>
              <w:t xml:space="preserve"> </w:t>
            </w:r>
            <w:r w:rsidRPr="004A2107">
              <w:rPr>
                <w:rFonts w:ascii="Calibri" w:hAnsi="Calibri" w:cs="Calibri"/>
                <w:sz w:val="24"/>
                <w:szCs w:val="24"/>
              </w:rPr>
              <w:t>utilisées comme pare-vapeur dans les bâtiments. Il spécifie les exigences et les méthodes d’essai et prévoit</w:t>
            </w:r>
            <w:r w:rsidR="004A2107">
              <w:rPr>
                <w:rFonts w:ascii="Calibri" w:hAnsi="Calibri" w:cs="Calibri"/>
                <w:sz w:val="24"/>
                <w:szCs w:val="24"/>
              </w:rPr>
              <w:t xml:space="preserve"> </w:t>
            </w:r>
            <w:r w:rsidRPr="004A2107">
              <w:rPr>
                <w:rFonts w:ascii="Calibri" w:hAnsi="Calibri" w:cs="Calibri"/>
                <w:sz w:val="24"/>
                <w:szCs w:val="24"/>
              </w:rPr>
              <w:t>l’évaluation de la conformité des produits aux exigences du présent document.</w:t>
            </w:r>
          </w:p>
        </w:tc>
      </w:tr>
      <w:tr w:rsidR="0043547B" w:rsidRPr="0043547B" w:rsidTr="001E0C3C">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534</w:t>
            </w:r>
          </w:p>
        </w:tc>
      </w:tr>
      <w:tr w:rsidR="0043547B" w:rsidRPr="0043547B" w:rsidTr="001E0C3C">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534</w:t>
            </w:r>
          </w:p>
        </w:tc>
      </w:tr>
      <w:tr w:rsidR="0043547B" w:rsidRPr="0043547B" w:rsidTr="001E0C3C">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Plaques ondulées bitumées - Spécifications des produits et méthodes d'essai ;</w:t>
            </w:r>
          </w:p>
        </w:tc>
      </w:tr>
      <w:tr w:rsidR="0043547B" w:rsidRPr="0043547B" w:rsidTr="001E0C3C">
        <w:trPr>
          <w:trHeight w:val="90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La norme spécifie les propriétés techniques ainsi que les méthodes d’essai et de contrôle portant sur le produit fini sorti d’usine. Elle prévoit également l’évaluation de la conformité des produits avec les exigences de la norme. </w:t>
            </w:r>
          </w:p>
        </w:tc>
      </w:tr>
      <w:tr w:rsidR="002952DD" w:rsidRPr="0043547B" w:rsidTr="001E0C3C">
        <w:trPr>
          <w:trHeight w:val="394"/>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2952DD" w:rsidRPr="004A2107" w:rsidRDefault="002952DD" w:rsidP="004A2107">
            <w:pPr>
              <w:spacing w:after="0" w:line="240" w:lineRule="auto"/>
              <w:jc w:val="center"/>
              <w:rPr>
                <w:rFonts w:ascii="Calibri" w:hAnsi="Calibri" w:cs="Calibri"/>
                <w:b/>
                <w:bCs/>
                <w:sz w:val="24"/>
                <w:szCs w:val="24"/>
              </w:rPr>
            </w:pPr>
            <w:r w:rsidRPr="004A2107">
              <w:rPr>
                <w:rFonts w:ascii="Calibri" w:hAnsi="Calibri" w:cs="Calibri"/>
                <w:b/>
                <w:bCs/>
                <w:sz w:val="24"/>
                <w:szCs w:val="24"/>
              </w:rPr>
              <w:t>Code :</w:t>
            </w:r>
          </w:p>
        </w:tc>
        <w:tc>
          <w:tcPr>
            <w:tcW w:w="7938" w:type="dxa"/>
            <w:tcBorders>
              <w:top w:val="nil"/>
              <w:left w:val="single" w:sz="4" w:space="0" w:color="auto"/>
              <w:bottom w:val="single" w:sz="18" w:space="0" w:color="auto"/>
              <w:right w:val="single" w:sz="18" w:space="0" w:color="auto"/>
            </w:tcBorders>
            <w:shd w:val="clear" w:color="auto" w:fill="C2D69B" w:themeFill="accent3" w:themeFillTint="99"/>
            <w:vAlign w:val="center"/>
          </w:tcPr>
          <w:p w:rsidR="002952DD" w:rsidRPr="004A2107" w:rsidRDefault="002952DD" w:rsidP="004A2107">
            <w:pPr>
              <w:spacing w:after="0" w:line="240" w:lineRule="auto"/>
              <w:jc w:val="center"/>
              <w:rPr>
                <w:rFonts w:ascii="Times New Roman" w:hAnsi="Times New Roman" w:cs="Times New Roman"/>
                <w:b/>
                <w:bCs/>
                <w:color w:val="000000"/>
                <w:sz w:val="24"/>
                <w:szCs w:val="24"/>
              </w:rPr>
            </w:pPr>
            <w:r w:rsidRPr="004A2107">
              <w:rPr>
                <w:b/>
                <w:bCs/>
                <w:color w:val="000000"/>
                <w:sz w:val="24"/>
                <w:szCs w:val="24"/>
              </w:rPr>
              <w:t>NM EN 14964</w:t>
            </w:r>
          </w:p>
        </w:tc>
      </w:tr>
      <w:tr w:rsidR="002952DD" w:rsidRPr="0043547B" w:rsidTr="001E0C3C">
        <w:trPr>
          <w:trHeight w:val="374"/>
          <w:jc w:val="center"/>
        </w:trPr>
        <w:tc>
          <w:tcPr>
            <w:tcW w:w="1838" w:type="dxa"/>
            <w:tcBorders>
              <w:top w:val="nil"/>
              <w:left w:val="single" w:sz="18" w:space="0" w:color="auto"/>
              <w:bottom w:val="single" w:sz="18" w:space="0" w:color="auto"/>
              <w:right w:val="single" w:sz="4" w:space="0" w:color="auto"/>
            </w:tcBorders>
            <w:shd w:val="clear" w:color="auto" w:fill="FFFFCC"/>
            <w:vAlign w:val="center"/>
          </w:tcPr>
          <w:p w:rsidR="002952DD" w:rsidRPr="004A2107" w:rsidRDefault="002952DD" w:rsidP="004A2107">
            <w:pPr>
              <w:spacing w:after="0" w:line="240" w:lineRule="auto"/>
              <w:jc w:val="center"/>
              <w:rPr>
                <w:rFonts w:ascii="Calibri" w:hAnsi="Calibri" w:cs="Calibri"/>
                <w:b/>
                <w:bCs/>
                <w:sz w:val="24"/>
                <w:szCs w:val="24"/>
              </w:rPr>
            </w:pPr>
            <w:r w:rsidRPr="004A2107">
              <w:rPr>
                <w:rFonts w:ascii="Calibri" w:hAnsi="Calibri" w:cs="Calibri"/>
                <w:b/>
                <w:bCs/>
                <w:sz w:val="24"/>
                <w:szCs w:val="24"/>
              </w:rPr>
              <w:t>Equivalence :</w:t>
            </w:r>
          </w:p>
        </w:tc>
        <w:tc>
          <w:tcPr>
            <w:tcW w:w="7938" w:type="dxa"/>
            <w:tcBorders>
              <w:top w:val="nil"/>
              <w:left w:val="single" w:sz="4" w:space="0" w:color="auto"/>
              <w:bottom w:val="single" w:sz="18" w:space="0" w:color="auto"/>
              <w:right w:val="single" w:sz="18" w:space="0" w:color="auto"/>
            </w:tcBorders>
            <w:shd w:val="clear" w:color="auto" w:fill="FFFFCC"/>
            <w:vAlign w:val="center"/>
          </w:tcPr>
          <w:p w:rsidR="002952DD" w:rsidRPr="004A2107" w:rsidRDefault="002952DD" w:rsidP="004A2107">
            <w:pPr>
              <w:spacing w:after="0" w:line="240" w:lineRule="auto"/>
              <w:jc w:val="center"/>
              <w:rPr>
                <w:rFonts w:ascii="Times New Roman" w:hAnsi="Times New Roman" w:cs="Times New Roman"/>
                <w:b/>
                <w:bCs/>
                <w:color w:val="000000"/>
                <w:sz w:val="24"/>
                <w:szCs w:val="24"/>
              </w:rPr>
            </w:pPr>
            <w:r w:rsidRPr="004A2107">
              <w:rPr>
                <w:b/>
                <w:bCs/>
                <w:color w:val="000000"/>
                <w:sz w:val="24"/>
                <w:szCs w:val="24"/>
              </w:rPr>
              <w:t>EN 14964</w:t>
            </w:r>
          </w:p>
        </w:tc>
      </w:tr>
      <w:tr w:rsidR="002952DD" w:rsidRPr="0043547B" w:rsidTr="001E0C3C">
        <w:trPr>
          <w:trHeight w:val="519"/>
          <w:jc w:val="center"/>
        </w:trPr>
        <w:tc>
          <w:tcPr>
            <w:tcW w:w="1838" w:type="dxa"/>
            <w:tcBorders>
              <w:top w:val="single" w:sz="18" w:space="0" w:color="auto"/>
              <w:left w:val="single" w:sz="18" w:space="0" w:color="auto"/>
              <w:bottom w:val="single" w:sz="4" w:space="0" w:color="auto"/>
              <w:right w:val="single" w:sz="4" w:space="0" w:color="auto"/>
            </w:tcBorders>
            <w:shd w:val="clear" w:color="auto" w:fill="95B3D7" w:themeFill="accent1" w:themeFillTint="99"/>
            <w:vAlign w:val="center"/>
          </w:tcPr>
          <w:p w:rsidR="002952DD" w:rsidRPr="004A2107" w:rsidRDefault="002952DD" w:rsidP="004A2107">
            <w:pPr>
              <w:spacing w:after="0" w:line="240" w:lineRule="auto"/>
              <w:jc w:val="center"/>
              <w:rPr>
                <w:rFonts w:ascii="Calibri" w:hAnsi="Calibri" w:cs="Calibri"/>
                <w:b/>
                <w:bCs/>
                <w:sz w:val="24"/>
                <w:szCs w:val="24"/>
              </w:rPr>
            </w:pPr>
            <w:r w:rsidRPr="004A2107">
              <w:rPr>
                <w:rFonts w:ascii="Calibri" w:hAnsi="Calibri" w:cs="Calibr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bottom"/>
          </w:tcPr>
          <w:p w:rsidR="002952DD" w:rsidRPr="004A2107" w:rsidRDefault="002952DD" w:rsidP="004A2107">
            <w:pPr>
              <w:spacing w:after="0" w:line="240" w:lineRule="auto"/>
              <w:jc w:val="both"/>
              <w:rPr>
                <w:rFonts w:ascii="Times New Roman" w:hAnsi="Times New Roman" w:cs="Times New Roman"/>
                <w:color w:val="000000"/>
                <w:sz w:val="24"/>
                <w:szCs w:val="24"/>
              </w:rPr>
            </w:pPr>
            <w:r w:rsidRPr="004A2107">
              <w:rPr>
                <w:color w:val="000000"/>
                <w:sz w:val="24"/>
                <w:szCs w:val="24"/>
              </w:rPr>
              <w:t xml:space="preserve">Écrans  rigides  sous-toiture  pour  pose  en  dis- continu  -  Définitions  et  caractéristiques </w:t>
            </w:r>
          </w:p>
        </w:tc>
      </w:tr>
      <w:tr w:rsidR="002952DD" w:rsidRPr="0043547B" w:rsidTr="001E0C3C">
        <w:trPr>
          <w:trHeight w:val="900"/>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2952DD" w:rsidRPr="004A2107" w:rsidRDefault="002952DD" w:rsidP="004A2107">
            <w:pPr>
              <w:spacing w:after="0" w:line="240" w:lineRule="auto"/>
              <w:jc w:val="center"/>
              <w:rPr>
                <w:rFonts w:ascii="Calibri" w:hAnsi="Calibri" w:cs="Calibri"/>
                <w:b/>
                <w:bCs/>
                <w:sz w:val="24"/>
                <w:szCs w:val="24"/>
              </w:rPr>
            </w:pPr>
            <w:r w:rsidRPr="004A2107">
              <w:rPr>
                <w:rFonts w:ascii="Calibri" w:hAnsi="Calibri" w:cs="Calibr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bottom"/>
          </w:tcPr>
          <w:p w:rsidR="004A2107" w:rsidRDefault="002952DD" w:rsidP="004A2107">
            <w:pPr>
              <w:spacing w:after="0" w:line="240" w:lineRule="auto"/>
              <w:jc w:val="both"/>
              <w:rPr>
                <w:color w:val="000000"/>
                <w:sz w:val="24"/>
                <w:szCs w:val="24"/>
              </w:rPr>
            </w:pPr>
            <w:r w:rsidRPr="004A2107">
              <w:rPr>
                <w:color w:val="000000"/>
                <w:sz w:val="24"/>
                <w:szCs w:val="24"/>
              </w:rPr>
              <w:t>La présente Norme européenne couvre les éléments d’habillage, les éléments individuels des ossatures, les</w:t>
            </w:r>
            <w:r w:rsidR="004A2107">
              <w:rPr>
                <w:color w:val="000000"/>
                <w:sz w:val="24"/>
                <w:szCs w:val="24"/>
              </w:rPr>
              <w:t xml:space="preserve"> </w:t>
            </w:r>
            <w:r w:rsidRPr="004A2107">
              <w:rPr>
                <w:color w:val="000000"/>
                <w:sz w:val="24"/>
                <w:szCs w:val="24"/>
              </w:rPr>
              <w:t>ossatures vendues sous forme de kits et les plafonds suspendus vendus sous forme de kits destinés à être</w:t>
            </w:r>
            <w:r w:rsidR="004A2107">
              <w:rPr>
                <w:color w:val="000000"/>
                <w:sz w:val="24"/>
                <w:szCs w:val="24"/>
              </w:rPr>
              <w:t xml:space="preserve"> </w:t>
            </w:r>
            <w:r w:rsidRPr="004A2107">
              <w:rPr>
                <w:color w:val="000000"/>
                <w:sz w:val="24"/>
                <w:szCs w:val="24"/>
              </w:rPr>
              <w:t>mis sur le marché. Elle couvre les plafonds suspendus vendus sous forme de kits complets, les ossatures</w:t>
            </w:r>
            <w:r w:rsidR="004A2107">
              <w:rPr>
                <w:color w:val="000000"/>
                <w:sz w:val="24"/>
                <w:szCs w:val="24"/>
              </w:rPr>
              <w:t xml:space="preserve"> </w:t>
            </w:r>
            <w:r w:rsidRPr="004A2107">
              <w:rPr>
                <w:color w:val="000000"/>
                <w:sz w:val="24"/>
                <w:szCs w:val="24"/>
              </w:rPr>
              <w:t>mises sur le marché sous forme de kits, les éléments (produits) individuels de ces ossatures et les éléments</w:t>
            </w:r>
            <w:r w:rsidR="004A2107">
              <w:rPr>
                <w:color w:val="000000"/>
                <w:sz w:val="24"/>
                <w:szCs w:val="24"/>
              </w:rPr>
              <w:t xml:space="preserve"> </w:t>
            </w:r>
            <w:r w:rsidRPr="004A2107">
              <w:rPr>
                <w:color w:val="000000"/>
                <w:sz w:val="24"/>
                <w:szCs w:val="24"/>
              </w:rPr>
              <w:t xml:space="preserve">d’habillage. Elle contient les </w:t>
            </w:r>
            <w:r w:rsidRPr="004A2107">
              <w:rPr>
                <w:color w:val="000000"/>
                <w:sz w:val="24"/>
                <w:szCs w:val="24"/>
              </w:rPr>
              <w:lastRenderedPageBreak/>
              <w:t>méthodes d'essai et d'évaluation ainsi que les dispositions relatives à l'évaluation</w:t>
            </w:r>
            <w:r w:rsidRPr="004A2107">
              <w:rPr>
                <w:color w:val="000000"/>
                <w:sz w:val="24"/>
                <w:szCs w:val="24"/>
              </w:rPr>
              <w:br/>
              <w:t>de la conformité et au marquage des produits aux exigences de la présente Norme.</w:t>
            </w:r>
          </w:p>
          <w:p w:rsidR="004A2107" w:rsidRDefault="002952DD" w:rsidP="004A2107">
            <w:pPr>
              <w:spacing w:after="0" w:line="240" w:lineRule="auto"/>
              <w:jc w:val="both"/>
              <w:rPr>
                <w:color w:val="000000"/>
                <w:sz w:val="24"/>
                <w:szCs w:val="24"/>
              </w:rPr>
            </w:pPr>
            <w:r w:rsidRPr="004A2107">
              <w:rPr>
                <w:color w:val="000000"/>
                <w:sz w:val="24"/>
                <w:szCs w:val="24"/>
              </w:rPr>
              <w:t>En l'absence de toute autre Norme européenne, la présente Norme européenne spécifie les dimensions, les</w:t>
            </w:r>
            <w:r w:rsidR="004A2107">
              <w:rPr>
                <w:color w:val="000000"/>
                <w:sz w:val="24"/>
                <w:szCs w:val="24"/>
              </w:rPr>
              <w:t xml:space="preserve"> </w:t>
            </w:r>
            <w:r w:rsidRPr="004A2107">
              <w:rPr>
                <w:color w:val="000000"/>
                <w:sz w:val="24"/>
                <w:szCs w:val="24"/>
              </w:rPr>
              <w:t>tolérances et, le cas échéant, les exigences de performance des ossatures de plafond et des éléments</w:t>
            </w:r>
            <w:r w:rsidR="004A2107">
              <w:rPr>
                <w:color w:val="000000"/>
                <w:sz w:val="24"/>
                <w:szCs w:val="24"/>
              </w:rPr>
              <w:t xml:space="preserve"> </w:t>
            </w:r>
            <w:r w:rsidRPr="004A2107">
              <w:rPr>
                <w:color w:val="000000"/>
                <w:sz w:val="24"/>
                <w:szCs w:val="24"/>
              </w:rPr>
              <w:t>d’habillage couramment disponibles.</w:t>
            </w:r>
            <w:r w:rsidRPr="004A2107">
              <w:rPr>
                <w:color w:val="000000"/>
                <w:sz w:val="24"/>
                <w:szCs w:val="24"/>
              </w:rPr>
              <w:br/>
              <w:t>La présente Norme européenne couvre les caractéristiques suivantes :</w:t>
            </w:r>
          </w:p>
          <w:p w:rsidR="004A2107" w:rsidRDefault="004A2107" w:rsidP="004A2107">
            <w:pPr>
              <w:spacing w:after="0" w:line="240" w:lineRule="auto"/>
              <w:jc w:val="both"/>
              <w:rPr>
                <w:color w:val="000000"/>
                <w:sz w:val="24"/>
                <w:szCs w:val="24"/>
              </w:rPr>
            </w:pPr>
            <w:r>
              <w:rPr>
                <w:color w:val="000000"/>
                <w:sz w:val="24"/>
                <w:szCs w:val="24"/>
              </w:rPr>
              <w:t xml:space="preserve">- </w:t>
            </w:r>
            <w:r w:rsidR="002952DD" w:rsidRPr="004A2107">
              <w:rPr>
                <w:color w:val="000000"/>
                <w:sz w:val="24"/>
                <w:szCs w:val="24"/>
              </w:rPr>
              <w:t>la réaction au feu ;</w:t>
            </w:r>
          </w:p>
          <w:p w:rsidR="004A2107" w:rsidRDefault="004A2107" w:rsidP="004A2107">
            <w:pPr>
              <w:spacing w:after="0" w:line="240" w:lineRule="auto"/>
              <w:jc w:val="both"/>
              <w:rPr>
                <w:color w:val="000000"/>
                <w:sz w:val="24"/>
                <w:szCs w:val="24"/>
              </w:rPr>
            </w:pPr>
            <w:r>
              <w:rPr>
                <w:color w:val="000000"/>
                <w:sz w:val="24"/>
                <w:szCs w:val="24"/>
              </w:rPr>
              <w:t>-</w:t>
            </w:r>
            <w:r w:rsidR="002952DD" w:rsidRPr="004A2107">
              <w:rPr>
                <w:color w:val="000000"/>
                <w:sz w:val="24"/>
                <w:szCs w:val="24"/>
              </w:rPr>
              <w:t xml:space="preserve"> la résistance au feu (kits de plafond suspendu uniquement) ;</w:t>
            </w:r>
          </w:p>
          <w:p w:rsidR="004A2107" w:rsidRDefault="004A2107" w:rsidP="004F0BC9">
            <w:pPr>
              <w:spacing w:after="0" w:line="240" w:lineRule="auto"/>
              <w:jc w:val="both"/>
              <w:rPr>
                <w:color w:val="000000"/>
                <w:sz w:val="24"/>
                <w:szCs w:val="24"/>
              </w:rPr>
            </w:pPr>
            <w:r>
              <w:rPr>
                <w:color w:val="000000"/>
                <w:sz w:val="24"/>
                <w:szCs w:val="24"/>
              </w:rPr>
              <w:t>-</w:t>
            </w:r>
            <w:r w:rsidR="002952DD" w:rsidRPr="004A2107">
              <w:rPr>
                <w:color w:val="000000"/>
                <w:sz w:val="24"/>
                <w:szCs w:val="24"/>
              </w:rPr>
              <w:t xml:space="preserve"> le rejet de substances dangereuses et/ou la teneur en substances dangereuses:</w:t>
            </w:r>
            <w:r w:rsidR="002952DD" w:rsidRPr="004A2107">
              <w:rPr>
                <w:color w:val="000000"/>
                <w:sz w:val="24"/>
                <w:szCs w:val="24"/>
              </w:rPr>
              <w:br/>
            </w:r>
            <w:r>
              <w:rPr>
                <w:color w:val="000000"/>
                <w:sz w:val="24"/>
                <w:szCs w:val="24"/>
              </w:rPr>
              <w:t>-</w:t>
            </w:r>
            <w:r w:rsidR="002952DD" w:rsidRPr="004A2107">
              <w:rPr>
                <w:color w:val="000000"/>
                <w:sz w:val="24"/>
                <w:szCs w:val="24"/>
              </w:rPr>
              <w:t xml:space="preserve"> rejet d'amiante (teneur) (kits de plafond suspendu et éléments d’habillage uniquement) ;</w:t>
            </w:r>
          </w:p>
          <w:p w:rsidR="004A2107" w:rsidRDefault="004A2107" w:rsidP="004A2107">
            <w:pPr>
              <w:spacing w:after="0" w:line="240" w:lineRule="auto"/>
              <w:jc w:val="both"/>
              <w:rPr>
                <w:color w:val="000000"/>
                <w:sz w:val="24"/>
                <w:szCs w:val="24"/>
              </w:rPr>
            </w:pPr>
            <w:r>
              <w:rPr>
                <w:color w:val="000000"/>
                <w:sz w:val="24"/>
                <w:szCs w:val="24"/>
              </w:rPr>
              <w:t>-</w:t>
            </w:r>
            <w:r w:rsidR="002952DD" w:rsidRPr="004A2107">
              <w:rPr>
                <w:color w:val="000000"/>
                <w:sz w:val="24"/>
                <w:szCs w:val="24"/>
              </w:rPr>
              <w:t xml:space="preserve"> rejet de formaldéhyde (kits de plafond suspendu et éléments d’habillage uniquement) ;</w:t>
            </w:r>
          </w:p>
          <w:p w:rsidR="004A2107" w:rsidRDefault="004A2107" w:rsidP="004A2107">
            <w:pPr>
              <w:spacing w:after="0" w:line="240" w:lineRule="auto"/>
              <w:jc w:val="both"/>
              <w:rPr>
                <w:color w:val="000000"/>
                <w:sz w:val="24"/>
                <w:szCs w:val="24"/>
              </w:rPr>
            </w:pPr>
            <w:r>
              <w:rPr>
                <w:color w:val="000000"/>
                <w:sz w:val="24"/>
                <w:szCs w:val="24"/>
              </w:rPr>
              <w:t>-</w:t>
            </w:r>
            <w:r w:rsidR="002952DD" w:rsidRPr="004A2107">
              <w:rPr>
                <w:color w:val="000000"/>
                <w:sz w:val="24"/>
                <w:szCs w:val="24"/>
              </w:rPr>
              <w:t xml:space="preserve"> autres substances dangereuses ;</w:t>
            </w:r>
          </w:p>
          <w:p w:rsidR="004A2107" w:rsidRDefault="004A2107" w:rsidP="004A2107">
            <w:pPr>
              <w:spacing w:after="0" w:line="240" w:lineRule="auto"/>
              <w:jc w:val="both"/>
              <w:rPr>
                <w:color w:val="000000"/>
                <w:sz w:val="24"/>
                <w:szCs w:val="24"/>
              </w:rPr>
            </w:pPr>
            <w:r>
              <w:rPr>
                <w:color w:val="000000"/>
                <w:sz w:val="24"/>
                <w:szCs w:val="24"/>
              </w:rPr>
              <w:t>-</w:t>
            </w:r>
            <w:r w:rsidR="002952DD" w:rsidRPr="004A2107">
              <w:rPr>
                <w:color w:val="000000"/>
                <w:sz w:val="24"/>
                <w:szCs w:val="24"/>
              </w:rPr>
              <w:t xml:space="preserve"> les caractéristiques de friabilité (sécurité en cas de bris)/résistance aux impacts (pour les plafonds</w:t>
            </w:r>
            <w:r>
              <w:rPr>
                <w:color w:val="000000"/>
                <w:sz w:val="24"/>
                <w:szCs w:val="24"/>
              </w:rPr>
              <w:t xml:space="preserve"> </w:t>
            </w:r>
            <w:r w:rsidR="002952DD" w:rsidRPr="004A2107">
              <w:rPr>
                <w:color w:val="000000"/>
                <w:sz w:val="24"/>
                <w:szCs w:val="24"/>
              </w:rPr>
              <w:t>suspendus vendus sous forme de kits et les éléments d’habillage en matériaux friables employés dans</w:t>
            </w:r>
            <w:r>
              <w:rPr>
                <w:color w:val="000000"/>
                <w:sz w:val="24"/>
                <w:szCs w:val="24"/>
              </w:rPr>
              <w:t xml:space="preserve"> </w:t>
            </w:r>
            <w:r w:rsidR="002952DD" w:rsidRPr="004A2107">
              <w:rPr>
                <w:color w:val="000000"/>
                <w:sz w:val="24"/>
                <w:szCs w:val="24"/>
              </w:rPr>
              <w:t>les kits de plafond suspendu uniquement) ;</w:t>
            </w:r>
          </w:p>
          <w:p w:rsidR="004A2107" w:rsidRDefault="004A2107" w:rsidP="004A2107">
            <w:pPr>
              <w:spacing w:after="0" w:line="240" w:lineRule="auto"/>
              <w:jc w:val="both"/>
              <w:rPr>
                <w:color w:val="000000"/>
                <w:sz w:val="24"/>
                <w:szCs w:val="24"/>
              </w:rPr>
            </w:pPr>
            <w:r>
              <w:rPr>
                <w:color w:val="000000"/>
                <w:sz w:val="24"/>
                <w:szCs w:val="24"/>
              </w:rPr>
              <w:t>-</w:t>
            </w:r>
            <w:r w:rsidR="002952DD" w:rsidRPr="004A2107">
              <w:rPr>
                <w:color w:val="000000"/>
                <w:sz w:val="24"/>
                <w:szCs w:val="24"/>
              </w:rPr>
              <w:t xml:space="preserve"> la résistance à la flexion ;</w:t>
            </w:r>
          </w:p>
          <w:p w:rsidR="004A2107" w:rsidRDefault="004A2107" w:rsidP="004A2107">
            <w:pPr>
              <w:spacing w:after="0" w:line="240" w:lineRule="auto"/>
              <w:jc w:val="both"/>
              <w:rPr>
                <w:color w:val="000000"/>
                <w:sz w:val="24"/>
                <w:szCs w:val="24"/>
              </w:rPr>
            </w:pPr>
            <w:r>
              <w:rPr>
                <w:color w:val="000000"/>
                <w:sz w:val="24"/>
                <w:szCs w:val="24"/>
              </w:rPr>
              <w:t>-</w:t>
            </w:r>
            <w:r w:rsidR="002952DD" w:rsidRPr="004A2107">
              <w:rPr>
                <w:color w:val="000000"/>
                <w:sz w:val="24"/>
                <w:szCs w:val="24"/>
              </w:rPr>
              <w:t xml:space="preserve"> la tenue sous charge, tolérances et dimensions ;</w:t>
            </w:r>
          </w:p>
          <w:p w:rsidR="004A2107" w:rsidRDefault="004A2107" w:rsidP="004A2107">
            <w:pPr>
              <w:spacing w:after="0" w:line="240" w:lineRule="auto"/>
              <w:jc w:val="both"/>
              <w:rPr>
                <w:color w:val="000000"/>
                <w:sz w:val="24"/>
                <w:szCs w:val="24"/>
              </w:rPr>
            </w:pPr>
            <w:r>
              <w:rPr>
                <w:color w:val="000000"/>
                <w:sz w:val="24"/>
                <w:szCs w:val="24"/>
              </w:rPr>
              <w:t>-</w:t>
            </w:r>
            <w:r w:rsidR="002952DD" w:rsidRPr="004A2107">
              <w:rPr>
                <w:color w:val="000000"/>
                <w:sz w:val="24"/>
                <w:szCs w:val="24"/>
              </w:rPr>
              <w:t xml:space="preserve"> la sécurité électrique (par exemple l'adéquation du produit à éviter une électrocution par des installations</w:t>
            </w:r>
            <w:r>
              <w:rPr>
                <w:color w:val="000000"/>
                <w:sz w:val="24"/>
                <w:szCs w:val="24"/>
              </w:rPr>
              <w:t xml:space="preserve"> </w:t>
            </w:r>
            <w:r w:rsidR="002952DD" w:rsidRPr="004A2107">
              <w:rPr>
                <w:color w:val="000000"/>
                <w:sz w:val="24"/>
                <w:szCs w:val="24"/>
              </w:rPr>
              <w:t>pouvant faire partie du plafond monté, utilisant l'électricité, par exemple les dispositifs de ventilation et</w:t>
            </w:r>
            <w:r w:rsidR="002952DD" w:rsidRPr="004A2107">
              <w:rPr>
                <w:color w:val="000000"/>
                <w:sz w:val="24"/>
                <w:szCs w:val="24"/>
              </w:rPr>
              <w:br/>
              <w:t>d'éclairage) ;</w:t>
            </w:r>
          </w:p>
          <w:p w:rsidR="004A2107" w:rsidRDefault="004A2107" w:rsidP="004A2107">
            <w:pPr>
              <w:spacing w:after="0" w:line="240" w:lineRule="auto"/>
              <w:jc w:val="both"/>
              <w:rPr>
                <w:color w:val="000000"/>
                <w:sz w:val="24"/>
                <w:szCs w:val="24"/>
              </w:rPr>
            </w:pPr>
            <w:r>
              <w:rPr>
                <w:color w:val="000000"/>
                <w:sz w:val="24"/>
                <w:szCs w:val="24"/>
              </w:rPr>
              <w:t>-</w:t>
            </w:r>
            <w:r w:rsidR="002952DD" w:rsidRPr="004A2107">
              <w:rPr>
                <w:color w:val="000000"/>
                <w:sz w:val="24"/>
                <w:szCs w:val="24"/>
              </w:rPr>
              <w:t xml:space="preserve"> l’isolation du bruit aérien direct (kits de plafond suspendu uniquement) ;</w:t>
            </w:r>
          </w:p>
          <w:p w:rsidR="004A2107" w:rsidRDefault="004A2107" w:rsidP="004A2107">
            <w:pPr>
              <w:spacing w:after="0" w:line="240" w:lineRule="auto"/>
              <w:jc w:val="both"/>
              <w:rPr>
                <w:color w:val="000000"/>
                <w:sz w:val="24"/>
                <w:szCs w:val="24"/>
              </w:rPr>
            </w:pPr>
            <w:r>
              <w:rPr>
                <w:color w:val="000000"/>
                <w:sz w:val="24"/>
                <w:szCs w:val="24"/>
              </w:rPr>
              <w:t>-</w:t>
            </w:r>
            <w:r w:rsidR="002952DD" w:rsidRPr="004A2107">
              <w:rPr>
                <w:color w:val="000000"/>
                <w:sz w:val="24"/>
                <w:szCs w:val="24"/>
              </w:rPr>
              <w:t xml:space="preserve"> l’absorption acoustique (kits de plafond suspendu et éléments d’habillage uniquement) ;</w:t>
            </w:r>
          </w:p>
          <w:p w:rsidR="004A2107" w:rsidRDefault="004A2107" w:rsidP="004A2107">
            <w:pPr>
              <w:spacing w:after="0" w:line="240" w:lineRule="auto"/>
              <w:jc w:val="both"/>
              <w:rPr>
                <w:color w:val="000000"/>
                <w:sz w:val="24"/>
                <w:szCs w:val="24"/>
              </w:rPr>
            </w:pPr>
            <w:r>
              <w:rPr>
                <w:color w:val="000000"/>
                <w:sz w:val="24"/>
                <w:szCs w:val="24"/>
              </w:rPr>
              <w:t>-</w:t>
            </w:r>
            <w:r w:rsidR="002952DD" w:rsidRPr="004A2107">
              <w:rPr>
                <w:color w:val="000000"/>
                <w:sz w:val="24"/>
                <w:szCs w:val="24"/>
              </w:rPr>
              <w:t xml:space="preserve"> la conductivité thermique (kits de plafond suspendu uniquement et éléments d’habillage uniquement) ;</w:t>
            </w:r>
          </w:p>
          <w:p w:rsidR="004A2107" w:rsidRDefault="004A2107" w:rsidP="004A2107">
            <w:pPr>
              <w:spacing w:after="0" w:line="240" w:lineRule="auto"/>
              <w:jc w:val="both"/>
              <w:rPr>
                <w:color w:val="000000"/>
                <w:sz w:val="24"/>
                <w:szCs w:val="24"/>
              </w:rPr>
            </w:pPr>
            <w:r>
              <w:rPr>
                <w:color w:val="000000"/>
                <w:sz w:val="24"/>
                <w:szCs w:val="24"/>
              </w:rPr>
              <w:t>-</w:t>
            </w:r>
            <w:r w:rsidR="002952DD" w:rsidRPr="004A2107">
              <w:rPr>
                <w:color w:val="000000"/>
                <w:sz w:val="24"/>
                <w:szCs w:val="24"/>
              </w:rPr>
              <w:t xml:space="preserve"> la susceptibilité au développement de micr</w:t>
            </w:r>
            <w:r>
              <w:rPr>
                <w:color w:val="000000"/>
                <w:sz w:val="24"/>
                <w:szCs w:val="24"/>
              </w:rPr>
              <w:t>o-organismes dangereux ;</w:t>
            </w:r>
          </w:p>
          <w:p w:rsidR="004A2107" w:rsidRDefault="004A2107" w:rsidP="004A2107">
            <w:pPr>
              <w:spacing w:after="0" w:line="240" w:lineRule="auto"/>
              <w:jc w:val="both"/>
              <w:rPr>
                <w:color w:val="000000"/>
                <w:sz w:val="24"/>
                <w:szCs w:val="24"/>
              </w:rPr>
            </w:pPr>
            <w:r>
              <w:rPr>
                <w:color w:val="000000"/>
                <w:sz w:val="24"/>
                <w:szCs w:val="24"/>
              </w:rPr>
              <w:t>-</w:t>
            </w:r>
            <w:r w:rsidR="002952DD" w:rsidRPr="004A2107">
              <w:rPr>
                <w:color w:val="000000"/>
                <w:sz w:val="24"/>
                <w:szCs w:val="24"/>
              </w:rPr>
              <w:t xml:space="preserve"> la résistance aux fixations (pour les é</w:t>
            </w:r>
            <w:r>
              <w:rPr>
                <w:color w:val="000000"/>
                <w:sz w:val="24"/>
                <w:szCs w:val="24"/>
              </w:rPr>
              <w:t>léments fixés mécaniquement) ;</w:t>
            </w:r>
          </w:p>
          <w:p w:rsidR="004A2107" w:rsidRDefault="004A2107" w:rsidP="004A2107">
            <w:pPr>
              <w:spacing w:after="0" w:line="240" w:lineRule="auto"/>
              <w:jc w:val="both"/>
              <w:rPr>
                <w:color w:val="000000"/>
                <w:sz w:val="24"/>
                <w:szCs w:val="24"/>
              </w:rPr>
            </w:pPr>
            <w:r>
              <w:rPr>
                <w:color w:val="000000"/>
                <w:sz w:val="24"/>
                <w:szCs w:val="24"/>
              </w:rPr>
              <w:t>-</w:t>
            </w:r>
            <w:r w:rsidR="002952DD" w:rsidRPr="004A2107">
              <w:rPr>
                <w:color w:val="000000"/>
                <w:sz w:val="24"/>
                <w:szCs w:val="24"/>
              </w:rPr>
              <w:t xml:space="preserve"> la durabilité de la résistance à la flexion et de la capacité sous charge en fonction de l'humidité.</w:t>
            </w:r>
          </w:p>
          <w:p w:rsidR="004A2107" w:rsidRDefault="002952DD" w:rsidP="004A2107">
            <w:pPr>
              <w:spacing w:after="0" w:line="240" w:lineRule="auto"/>
              <w:jc w:val="both"/>
              <w:rPr>
                <w:color w:val="000000"/>
                <w:sz w:val="24"/>
                <w:szCs w:val="24"/>
              </w:rPr>
            </w:pPr>
            <w:r w:rsidRPr="004A2107">
              <w:rPr>
                <w:color w:val="000000"/>
                <w:sz w:val="24"/>
                <w:szCs w:val="24"/>
              </w:rPr>
              <w:t xml:space="preserve">La présente Norme européenne couvre aussi les exigences </w:t>
            </w:r>
            <w:r w:rsidR="004A2107">
              <w:rPr>
                <w:color w:val="000000"/>
                <w:sz w:val="24"/>
                <w:szCs w:val="24"/>
              </w:rPr>
              <w:t>suivantes :</w:t>
            </w:r>
          </w:p>
          <w:p w:rsidR="004A2107" w:rsidRDefault="004A2107" w:rsidP="004A2107">
            <w:pPr>
              <w:spacing w:after="0" w:line="240" w:lineRule="auto"/>
              <w:jc w:val="both"/>
              <w:rPr>
                <w:color w:val="000000"/>
                <w:sz w:val="24"/>
                <w:szCs w:val="24"/>
              </w:rPr>
            </w:pPr>
            <w:r>
              <w:rPr>
                <w:color w:val="000000"/>
                <w:sz w:val="24"/>
                <w:szCs w:val="24"/>
              </w:rPr>
              <w:t>-</w:t>
            </w:r>
            <w:r w:rsidR="002952DD" w:rsidRPr="004A2107">
              <w:rPr>
                <w:color w:val="000000"/>
                <w:sz w:val="24"/>
                <w:szCs w:val="24"/>
              </w:rPr>
              <w:t xml:space="preserve"> la couleu</w:t>
            </w:r>
            <w:r>
              <w:rPr>
                <w:color w:val="000000"/>
                <w:sz w:val="24"/>
                <w:szCs w:val="24"/>
              </w:rPr>
              <w:t>r et le facteur de réflexion ;</w:t>
            </w:r>
          </w:p>
          <w:p w:rsidR="004A2107" w:rsidRDefault="004A2107" w:rsidP="004A2107">
            <w:pPr>
              <w:spacing w:after="0" w:line="240" w:lineRule="auto"/>
              <w:jc w:val="both"/>
              <w:rPr>
                <w:color w:val="000000"/>
                <w:sz w:val="24"/>
                <w:szCs w:val="24"/>
              </w:rPr>
            </w:pPr>
            <w:r>
              <w:rPr>
                <w:color w:val="000000"/>
                <w:sz w:val="24"/>
                <w:szCs w:val="24"/>
              </w:rPr>
              <w:t>-</w:t>
            </w:r>
            <w:r w:rsidR="002952DD" w:rsidRPr="004A2107">
              <w:rPr>
                <w:color w:val="000000"/>
                <w:sz w:val="24"/>
                <w:szCs w:val="24"/>
              </w:rPr>
              <w:t xml:space="preserve"> l’installation.</w:t>
            </w:r>
          </w:p>
          <w:p w:rsidR="004A2107" w:rsidRDefault="002952DD" w:rsidP="004A2107">
            <w:pPr>
              <w:spacing w:after="0" w:line="240" w:lineRule="auto"/>
              <w:jc w:val="both"/>
              <w:rPr>
                <w:color w:val="000000"/>
                <w:sz w:val="24"/>
                <w:szCs w:val="24"/>
              </w:rPr>
            </w:pPr>
            <w:r w:rsidRPr="004A2107">
              <w:rPr>
                <w:color w:val="000000"/>
                <w:sz w:val="24"/>
                <w:szCs w:val="24"/>
              </w:rPr>
              <w:t xml:space="preserve">La présente Norme </w:t>
            </w:r>
            <w:r w:rsidR="004A2107">
              <w:rPr>
                <w:color w:val="000000"/>
                <w:sz w:val="24"/>
                <w:szCs w:val="24"/>
              </w:rPr>
              <w:t xml:space="preserve"> </w:t>
            </w:r>
            <w:r w:rsidRPr="004A2107">
              <w:rPr>
                <w:color w:val="000000"/>
                <w:sz w:val="24"/>
                <w:szCs w:val="24"/>
              </w:rPr>
              <w:t>ne couvre pas les produits suivants :</w:t>
            </w:r>
          </w:p>
          <w:p w:rsidR="004A2107" w:rsidRDefault="004A2107" w:rsidP="004A2107">
            <w:pPr>
              <w:spacing w:after="0" w:line="240" w:lineRule="auto"/>
              <w:jc w:val="both"/>
              <w:rPr>
                <w:color w:val="000000"/>
                <w:sz w:val="24"/>
                <w:szCs w:val="24"/>
              </w:rPr>
            </w:pPr>
            <w:r>
              <w:rPr>
                <w:color w:val="000000"/>
                <w:sz w:val="24"/>
                <w:szCs w:val="24"/>
              </w:rPr>
              <w:t>-</w:t>
            </w:r>
            <w:r w:rsidR="002952DD" w:rsidRPr="004A2107">
              <w:rPr>
                <w:color w:val="000000"/>
                <w:sz w:val="24"/>
                <w:szCs w:val="24"/>
              </w:rPr>
              <w:t xml:space="preserve"> les ossatures et éléments d'habillage de plafonds couverts</w:t>
            </w:r>
            <w:r>
              <w:rPr>
                <w:color w:val="000000"/>
                <w:sz w:val="24"/>
                <w:szCs w:val="24"/>
              </w:rPr>
              <w:t xml:space="preserve"> par d'autres Normes </w:t>
            </w:r>
            <w:r w:rsidR="002952DD" w:rsidRPr="004A2107">
              <w:rPr>
                <w:color w:val="000000"/>
                <w:sz w:val="24"/>
                <w:szCs w:val="24"/>
              </w:rPr>
              <w:t>harmonisées, pour les plafonds formés in-situ, couverts par d’autres spécifications techniques</w:t>
            </w:r>
            <w:r>
              <w:rPr>
                <w:color w:val="000000"/>
                <w:sz w:val="24"/>
                <w:szCs w:val="24"/>
              </w:rPr>
              <w:t xml:space="preserve"> </w:t>
            </w:r>
            <w:r w:rsidR="002952DD" w:rsidRPr="004A2107">
              <w:rPr>
                <w:color w:val="000000"/>
                <w:sz w:val="24"/>
                <w:szCs w:val="24"/>
              </w:rPr>
              <w:t>européennes, pour lesquelles c’est l’installateur, et non le fabricant d’éléments, qui prend la</w:t>
            </w:r>
            <w:r>
              <w:rPr>
                <w:color w:val="000000"/>
                <w:sz w:val="24"/>
                <w:szCs w:val="24"/>
              </w:rPr>
              <w:t xml:space="preserve"> </w:t>
            </w:r>
            <w:r w:rsidR="002952DD" w:rsidRPr="004A2107">
              <w:rPr>
                <w:color w:val="000000"/>
                <w:sz w:val="24"/>
                <w:szCs w:val="24"/>
              </w:rPr>
              <w:t>responsabilité de s’assurer que le plafond suspendu complètement installé est conforme à toute exigence</w:t>
            </w:r>
            <w:r w:rsidR="002952DD" w:rsidRPr="004A2107">
              <w:rPr>
                <w:color w:val="000000"/>
                <w:sz w:val="24"/>
                <w:szCs w:val="24"/>
              </w:rPr>
              <w:br/>
              <w:t>réglementaire à laquelle il est soumis ;</w:t>
            </w:r>
          </w:p>
          <w:p w:rsidR="004A2107" w:rsidRDefault="004A2107" w:rsidP="004A2107">
            <w:pPr>
              <w:spacing w:after="0" w:line="240" w:lineRule="auto"/>
              <w:jc w:val="both"/>
              <w:rPr>
                <w:color w:val="000000"/>
                <w:sz w:val="24"/>
                <w:szCs w:val="24"/>
              </w:rPr>
            </w:pPr>
            <w:r>
              <w:rPr>
                <w:color w:val="000000"/>
                <w:sz w:val="24"/>
                <w:szCs w:val="24"/>
              </w:rPr>
              <w:t>-</w:t>
            </w:r>
            <w:r w:rsidR="002952DD" w:rsidRPr="004A2107">
              <w:rPr>
                <w:color w:val="000000"/>
                <w:sz w:val="24"/>
                <w:szCs w:val="24"/>
              </w:rPr>
              <w:t xml:space="preserve"> les plafonds tendus couverts par l’EN 14716 ;</w:t>
            </w:r>
          </w:p>
          <w:p w:rsidR="004A2107" w:rsidRDefault="004A2107" w:rsidP="004A2107">
            <w:pPr>
              <w:spacing w:after="0" w:line="240" w:lineRule="auto"/>
              <w:jc w:val="both"/>
              <w:rPr>
                <w:color w:val="000000"/>
                <w:sz w:val="24"/>
                <w:szCs w:val="24"/>
              </w:rPr>
            </w:pPr>
            <w:r>
              <w:rPr>
                <w:color w:val="000000"/>
                <w:sz w:val="24"/>
                <w:szCs w:val="24"/>
              </w:rPr>
              <w:t>-</w:t>
            </w:r>
            <w:r w:rsidR="002952DD" w:rsidRPr="004A2107">
              <w:rPr>
                <w:color w:val="000000"/>
                <w:sz w:val="24"/>
                <w:szCs w:val="24"/>
              </w:rPr>
              <w:t xml:space="preserve"> les plafonds installés dans des constructions mobiles, caravanes et autres formes de moyens de</w:t>
            </w:r>
            <w:r>
              <w:rPr>
                <w:color w:val="000000"/>
                <w:sz w:val="24"/>
                <w:szCs w:val="24"/>
              </w:rPr>
              <w:t xml:space="preserve"> </w:t>
            </w:r>
            <w:r w:rsidR="002952DD" w:rsidRPr="004A2107">
              <w:rPr>
                <w:color w:val="000000"/>
                <w:sz w:val="24"/>
                <w:szCs w:val="24"/>
              </w:rPr>
              <w:t>transport ;</w:t>
            </w:r>
          </w:p>
          <w:p w:rsidR="004A2107" w:rsidRDefault="004A2107" w:rsidP="004A2107">
            <w:pPr>
              <w:spacing w:after="0" w:line="240" w:lineRule="auto"/>
              <w:jc w:val="both"/>
              <w:rPr>
                <w:color w:val="000000"/>
                <w:sz w:val="24"/>
                <w:szCs w:val="24"/>
              </w:rPr>
            </w:pPr>
            <w:r>
              <w:rPr>
                <w:color w:val="000000"/>
                <w:sz w:val="24"/>
                <w:szCs w:val="24"/>
              </w:rPr>
              <w:lastRenderedPageBreak/>
              <w:t>-</w:t>
            </w:r>
            <w:r w:rsidR="002952DD" w:rsidRPr="004A2107">
              <w:rPr>
                <w:color w:val="000000"/>
                <w:sz w:val="24"/>
                <w:szCs w:val="24"/>
              </w:rPr>
              <w:t xml:space="preserve"> les caractéristiques nécessaires à des applications particulières devant respecter des caractéristiques</w:t>
            </w:r>
            <w:r>
              <w:rPr>
                <w:color w:val="000000"/>
                <w:sz w:val="24"/>
                <w:szCs w:val="24"/>
              </w:rPr>
              <w:t xml:space="preserve"> </w:t>
            </w:r>
            <w:r w:rsidR="002952DD" w:rsidRPr="004A2107">
              <w:rPr>
                <w:color w:val="000000"/>
                <w:sz w:val="24"/>
                <w:szCs w:val="24"/>
              </w:rPr>
              <w:t>supplémentaires autres que celles couvertes par la présente Norme ;</w:t>
            </w:r>
          </w:p>
          <w:p w:rsidR="004A2107" w:rsidRDefault="004A2107" w:rsidP="004A2107">
            <w:pPr>
              <w:spacing w:after="0" w:line="240" w:lineRule="auto"/>
              <w:jc w:val="both"/>
              <w:rPr>
                <w:color w:val="000000"/>
                <w:sz w:val="24"/>
                <w:szCs w:val="24"/>
              </w:rPr>
            </w:pPr>
            <w:r>
              <w:rPr>
                <w:color w:val="000000"/>
                <w:sz w:val="24"/>
                <w:szCs w:val="24"/>
              </w:rPr>
              <w:t>-</w:t>
            </w:r>
            <w:r w:rsidR="002952DD" w:rsidRPr="004A2107">
              <w:rPr>
                <w:color w:val="000000"/>
                <w:sz w:val="24"/>
                <w:szCs w:val="24"/>
              </w:rPr>
              <w:t xml:space="preserve"> les plafonds suspendus destinés à être utilisés comme plafonds soumis à des exigences en matière de</w:t>
            </w:r>
            <w:r>
              <w:rPr>
                <w:color w:val="000000"/>
                <w:sz w:val="24"/>
                <w:szCs w:val="24"/>
              </w:rPr>
              <w:t xml:space="preserve"> </w:t>
            </w:r>
            <w:r w:rsidR="002952DD" w:rsidRPr="004A2107">
              <w:rPr>
                <w:color w:val="000000"/>
                <w:sz w:val="24"/>
                <w:szCs w:val="24"/>
              </w:rPr>
              <w:t>pénétration de l'eau ;</w:t>
            </w:r>
          </w:p>
          <w:p w:rsidR="004A2107" w:rsidRDefault="004A2107" w:rsidP="004A2107">
            <w:pPr>
              <w:spacing w:after="0" w:line="240" w:lineRule="auto"/>
              <w:jc w:val="both"/>
              <w:rPr>
                <w:color w:val="000000"/>
                <w:sz w:val="24"/>
                <w:szCs w:val="24"/>
              </w:rPr>
            </w:pPr>
            <w:r>
              <w:rPr>
                <w:color w:val="000000"/>
                <w:sz w:val="24"/>
                <w:szCs w:val="24"/>
              </w:rPr>
              <w:t>-</w:t>
            </w:r>
            <w:r w:rsidR="002952DD" w:rsidRPr="004A2107">
              <w:rPr>
                <w:color w:val="000000"/>
                <w:sz w:val="24"/>
                <w:szCs w:val="24"/>
              </w:rPr>
              <w:t xml:space="preserve"> les plafonds utilisés en extérieur auxquels s'appliquent des exigences autres que celles couvertes par la</w:t>
            </w:r>
            <w:r>
              <w:rPr>
                <w:color w:val="000000"/>
                <w:sz w:val="24"/>
                <w:szCs w:val="24"/>
              </w:rPr>
              <w:t xml:space="preserve"> </w:t>
            </w:r>
            <w:r w:rsidR="002952DD" w:rsidRPr="004A2107">
              <w:rPr>
                <w:color w:val="000000"/>
                <w:sz w:val="24"/>
                <w:szCs w:val="24"/>
              </w:rPr>
              <w:t>présente norme (tunnels, auvents, stations-service, arcades, installations sportives en plein air, parcs de</w:t>
            </w:r>
            <w:r>
              <w:rPr>
                <w:color w:val="000000"/>
                <w:sz w:val="24"/>
                <w:szCs w:val="24"/>
              </w:rPr>
              <w:t xml:space="preserve"> </w:t>
            </w:r>
            <w:r w:rsidR="002952DD" w:rsidRPr="004A2107">
              <w:rPr>
                <w:color w:val="000000"/>
                <w:sz w:val="24"/>
                <w:szCs w:val="24"/>
              </w:rPr>
              <w:t>stationnement, etc.) ;</w:t>
            </w:r>
          </w:p>
          <w:p w:rsidR="004A2107" w:rsidRDefault="004A2107" w:rsidP="004A2107">
            <w:pPr>
              <w:spacing w:after="0" w:line="240" w:lineRule="auto"/>
              <w:jc w:val="both"/>
              <w:rPr>
                <w:color w:val="000000"/>
                <w:sz w:val="24"/>
                <w:szCs w:val="24"/>
              </w:rPr>
            </w:pPr>
            <w:r>
              <w:rPr>
                <w:color w:val="000000"/>
                <w:sz w:val="24"/>
                <w:szCs w:val="24"/>
              </w:rPr>
              <w:t>-</w:t>
            </w:r>
            <w:r w:rsidR="002952DD" w:rsidRPr="004A2107">
              <w:rPr>
                <w:color w:val="000000"/>
                <w:sz w:val="24"/>
                <w:szCs w:val="24"/>
              </w:rPr>
              <w:t xml:space="preserve"> les plafonds suspendus renforcés ou leur structure porteuse (par exemple des plafonds sur lesquels on</w:t>
            </w:r>
            <w:r>
              <w:rPr>
                <w:color w:val="000000"/>
                <w:sz w:val="24"/>
                <w:szCs w:val="24"/>
              </w:rPr>
              <w:t xml:space="preserve"> </w:t>
            </w:r>
            <w:r w:rsidR="002952DD" w:rsidRPr="004A2107">
              <w:rPr>
                <w:color w:val="000000"/>
                <w:sz w:val="24"/>
                <w:szCs w:val="24"/>
              </w:rPr>
              <w:t>peut marcher) ;</w:t>
            </w:r>
          </w:p>
          <w:p w:rsidR="004A2107" w:rsidRDefault="004A2107" w:rsidP="004A2107">
            <w:pPr>
              <w:spacing w:after="0" w:line="240" w:lineRule="auto"/>
              <w:jc w:val="both"/>
              <w:rPr>
                <w:color w:val="000000"/>
                <w:sz w:val="24"/>
                <w:szCs w:val="24"/>
              </w:rPr>
            </w:pPr>
            <w:r>
              <w:rPr>
                <w:color w:val="000000"/>
                <w:sz w:val="24"/>
                <w:szCs w:val="24"/>
              </w:rPr>
              <w:t>-</w:t>
            </w:r>
            <w:r w:rsidR="002952DD" w:rsidRPr="004A2107">
              <w:rPr>
                <w:color w:val="000000"/>
                <w:sz w:val="24"/>
                <w:szCs w:val="24"/>
              </w:rPr>
              <w:t xml:space="preserve"> les plafonds réalisés à partir de plaques de protection contre l'incendie ;</w:t>
            </w:r>
          </w:p>
          <w:p w:rsidR="004A2107" w:rsidRDefault="004A2107" w:rsidP="004A2107">
            <w:pPr>
              <w:spacing w:after="0" w:line="240" w:lineRule="auto"/>
              <w:jc w:val="both"/>
              <w:rPr>
                <w:color w:val="000000"/>
                <w:sz w:val="24"/>
                <w:szCs w:val="24"/>
              </w:rPr>
            </w:pPr>
            <w:r>
              <w:rPr>
                <w:color w:val="000000"/>
                <w:sz w:val="24"/>
                <w:szCs w:val="24"/>
              </w:rPr>
              <w:t>-</w:t>
            </w:r>
            <w:r w:rsidR="002952DD" w:rsidRPr="004A2107">
              <w:rPr>
                <w:color w:val="000000"/>
                <w:sz w:val="24"/>
                <w:szCs w:val="24"/>
              </w:rPr>
              <w:t xml:space="preserve"> les exigences de performance, de santé et de sécurité des luminaires et d'autres fonctionnalités, qui sont</w:t>
            </w:r>
            <w:r>
              <w:rPr>
                <w:color w:val="000000"/>
                <w:sz w:val="24"/>
                <w:szCs w:val="24"/>
              </w:rPr>
              <w:t xml:space="preserve"> </w:t>
            </w:r>
            <w:r w:rsidR="002952DD" w:rsidRPr="004A2107">
              <w:rPr>
                <w:color w:val="000000"/>
                <w:sz w:val="24"/>
                <w:szCs w:val="24"/>
              </w:rPr>
              <w:t>incluses en option dans le plafond suspendu ;</w:t>
            </w:r>
          </w:p>
          <w:p w:rsidR="004A2107" w:rsidRDefault="004A2107" w:rsidP="004A2107">
            <w:pPr>
              <w:spacing w:after="0" w:line="240" w:lineRule="auto"/>
              <w:jc w:val="both"/>
              <w:rPr>
                <w:color w:val="000000"/>
                <w:sz w:val="24"/>
                <w:szCs w:val="24"/>
              </w:rPr>
            </w:pPr>
            <w:r>
              <w:rPr>
                <w:color w:val="000000"/>
                <w:sz w:val="24"/>
                <w:szCs w:val="24"/>
              </w:rPr>
              <w:t>-</w:t>
            </w:r>
            <w:r w:rsidR="002952DD" w:rsidRPr="004A2107">
              <w:rPr>
                <w:color w:val="000000"/>
                <w:sz w:val="24"/>
                <w:szCs w:val="24"/>
              </w:rPr>
              <w:t xml:space="preserve"> les panneaux réalisés dans des matériaux couverts par d'autres Normes européennes harmonisées déjà</w:t>
            </w:r>
            <w:r>
              <w:rPr>
                <w:color w:val="000000"/>
                <w:sz w:val="24"/>
                <w:szCs w:val="24"/>
              </w:rPr>
              <w:t xml:space="preserve"> </w:t>
            </w:r>
            <w:r w:rsidR="002952DD" w:rsidRPr="004A2107">
              <w:rPr>
                <w:color w:val="000000"/>
                <w:sz w:val="24"/>
                <w:szCs w:val="24"/>
              </w:rPr>
              <w:t>élaborées par le CEN/TC 241 et le CEN/TC 112 (voir NOTE 2) ;</w:t>
            </w:r>
          </w:p>
          <w:p w:rsidR="004A2107" w:rsidRPr="004A2107" w:rsidRDefault="004A2107" w:rsidP="004A2107">
            <w:pPr>
              <w:spacing w:after="0" w:line="240" w:lineRule="auto"/>
              <w:jc w:val="both"/>
              <w:rPr>
                <w:i/>
                <w:iCs/>
                <w:color w:val="000000"/>
              </w:rPr>
            </w:pPr>
            <w:r>
              <w:rPr>
                <w:color w:val="000000"/>
                <w:sz w:val="24"/>
                <w:szCs w:val="24"/>
              </w:rPr>
              <w:t>-</w:t>
            </w:r>
            <w:r w:rsidR="002952DD" w:rsidRPr="004A2107">
              <w:rPr>
                <w:color w:val="000000"/>
                <w:sz w:val="24"/>
                <w:szCs w:val="24"/>
              </w:rPr>
              <w:t xml:space="preserve"> les ancrages couverts par d'autres spécifications techniques européennes.</w:t>
            </w:r>
            <w:r w:rsidR="002952DD" w:rsidRPr="004A2107">
              <w:rPr>
                <w:color w:val="000000"/>
                <w:sz w:val="24"/>
                <w:szCs w:val="24"/>
              </w:rPr>
              <w:br/>
            </w:r>
            <w:r w:rsidR="002952DD" w:rsidRPr="004A2107">
              <w:rPr>
                <w:b/>
                <w:bCs/>
                <w:i/>
                <w:iCs/>
                <w:color w:val="000000"/>
              </w:rPr>
              <w:t>NOTE 1</w:t>
            </w:r>
            <w:r w:rsidR="002952DD" w:rsidRPr="004A2107">
              <w:rPr>
                <w:i/>
                <w:iCs/>
                <w:color w:val="000000"/>
              </w:rPr>
              <w:t xml:space="preserve"> Ces normes ont été élaborées par le CEN/TC 241 selon le Mandat M/106 « Produits à base de plâtre » et par</w:t>
            </w:r>
            <w:r w:rsidRPr="004A2107">
              <w:rPr>
                <w:i/>
                <w:iCs/>
                <w:color w:val="000000"/>
              </w:rPr>
              <w:t xml:space="preserve"> </w:t>
            </w:r>
            <w:r w:rsidR="002952DD" w:rsidRPr="004A2107">
              <w:rPr>
                <w:i/>
                <w:iCs/>
                <w:color w:val="000000"/>
              </w:rPr>
              <w:t>le CEN/TC 112 selon le Mandat M/113 « Panneaux à base de bois ».</w:t>
            </w:r>
          </w:p>
          <w:p w:rsidR="004A2107" w:rsidRDefault="002952DD" w:rsidP="004A2107">
            <w:pPr>
              <w:spacing w:after="0" w:line="240" w:lineRule="auto"/>
              <w:jc w:val="both"/>
              <w:rPr>
                <w:color w:val="000000"/>
                <w:sz w:val="24"/>
                <w:szCs w:val="24"/>
              </w:rPr>
            </w:pPr>
            <w:r w:rsidRPr="004A2107">
              <w:rPr>
                <w:color w:val="000000"/>
                <w:sz w:val="24"/>
                <w:szCs w:val="24"/>
              </w:rPr>
              <w:t>La présente Norme européenne fournit également certaines spécifications relatives au système de plafond</w:t>
            </w:r>
            <w:r w:rsidR="004A2107">
              <w:rPr>
                <w:color w:val="000000"/>
                <w:sz w:val="24"/>
                <w:szCs w:val="24"/>
              </w:rPr>
              <w:t xml:space="preserve"> </w:t>
            </w:r>
            <w:r w:rsidRPr="004A2107">
              <w:rPr>
                <w:color w:val="000000"/>
                <w:sz w:val="24"/>
                <w:szCs w:val="24"/>
              </w:rPr>
              <w:t>suspendu installé (voir NOTE 1).</w:t>
            </w:r>
          </w:p>
          <w:p w:rsidR="000B014C" w:rsidRPr="000B014C" w:rsidRDefault="002952DD" w:rsidP="004A2107">
            <w:pPr>
              <w:spacing w:after="0" w:line="240" w:lineRule="auto"/>
              <w:jc w:val="both"/>
              <w:rPr>
                <w:i/>
                <w:iCs/>
                <w:color w:val="000000"/>
              </w:rPr>
            </w:pPr>
            <w:r w:rsidRPr="000B014C">
              <w:rPr>
                <w:b/>
                <w:bCs/>
                <w:i/>
                <w:iCs/>
                <w:color w:val="000000"/>
              </w:rPr>
              <w:t>NOTE 2</w:t>
            </w:r>
            <w:r w:rsidRPr="000B014C">
              <w:rPr>
                <w:i/>
                <w:iCs/>
                <w:color w:val="000000"/>
              </w:rPr>
              <w:t xml:space="preserve"> Il existe deux raisons pour cela :</w:t>
            </w:r>
          </w:p>
          <w:p w:rsidR="000B014C" w:rsidRPr="000B014C" w:rsidRDefault="000B014C" w:rsidP="000B014C">
            <w:pPr>
              <w:spacing w:after="0" w:line="240" w:lineRule="auto"/>
              <w:jc w:val="both"/>
              <w:rPr>
                <w:i/>
                <w:iCs/>
                <w:color w:val="000000"/>
              </w:rPr>
            </w:pPr>
            <w:r w:rsidRPr="000B014C">
              <w:rPr>
                <w:i/>
                <w:iCs/>
                <w:color w:val="000000"/>
              </w:rPr>
              <w:t>-</w:t>
            </w:r>
            <w:r w:rsidR="002952DD" w:rsidRPr="000B014C">
              <w:rPr>
                <w:i/>
                <w:iCs/>
                <w:color w:val="000000"/>
              </w:rPr>
              <w:t xml:space="preserve"> les éléments individuels et les kits peuvent devoir satisfaire à certaines exigences pour que le</w:t>
            </w:r>
            <w:r w:rsidRPr="000B014C">
              <w:rPr>
                <w:i/>
                <w:iCs/>
                <w:color w:val="000000"/>
              </w:rPr>
              <w:t xml:space="preserve"> </w:t>
            </w:r>
            <w:r w:rsidR="002952DD" w:rsidRPr="000B014C">
              <w:rPr>
                <w:i/>
                <w:iCs/>
                <w:color w:val="000000"/>
              </w:rPr>
              <w:t>système installé puisse être conforme à l'exigence une fois installé, et</w:t>
            </w:r>
            <w:r w:rsidRPr="000B014C">
              <w:rPr>
                <w:i/>
                <w:iCs/>
                <w:color w:val="000000"/>
              </w:rPr>
              <w:t xml:space="preserve"> </w:t>
            </w:r>
          </w:p>
          <w:p w:rsidR="000B014C" w:rsidRPr="000B014C" w:rsidRDefault="000B014C" w:rsidP="000B014C">
            <w:pPr>
              <w:spacing w:after="0" w:line="240" w:lineRule="auto"/>
              <w:jc w:val="both"/>
              <w:rPr>
                <w:i/>
                <w:iCs/>
                <w:color w:val="000000"/>
              </w:rPr>
            </w:pPr>
            <w:r w:rsidRPr="000B014C">
              <w:rPr>
                <w:i/>
                <w:iCs/>
                <w:color w:val="000000"/>
              </w:rPr>
              <w:t>-</w:t>
            </w:r>
            <w:r w:rsidR="002952DD" w:rsidRPr="000B014C">
              <w:rPr>
                <w:i/>
                <w:iCs/>
                <w:color w:val="000000"/>
              </w:rPr>
              <w:t xml:space="preserve"> pour faciliter le référencement, il est pertinent de fournir dans le même document aussi bien les</w:t>
            </w:r>
            <w:r w:rsidRPr="000B014C">
              <w:rPr>
                <w:i/>
                <w:iCs/>
                <w:color w:val="000000"/>
              </w:rPr>
              <w:t xml:space="preserve"> </w:t>
            </w:r>
            <w:r w:rsidR="002952DD" w:rsidRPr="000B014C">
              <w:rPr>
                <w:i/>
                <w:iCs/>
                <w:color w:val="000000"/>
              </w:rPr>
              <w:t>exigences relatives aux éléments/kits que celles relatives au système installé, compte tenu de la</w:t>
            </w:r>
            <w:r w:rsidRPr="000B014C">
              <w:rPr>
                <w:i/>
                <w:iCs/>
                <w:color w:val="000000"/>
              </w:rPr>
              <w:t xml:space="preserve"> </w:t>
            </w:r>
            <w:r w:rsidR="002952DD" w:rsidRPr="000B014C">
              <w:rPr>
                <w:i/>
                <w:iCs/>
                <w:color w:val="000000"/>
              </w:rPr>
              <w:t>relation qui existe entrent-elles.</w:t>
            </w:r>
          </w:p>
          <w:p w:rsidR="002952DD" w:rsidRPr="004A2107" w:rsidRDefault="002952DD" w:rsidP="000B014C">
            <w:pPr>
              <w:spacing w:after="0" w:line="240" w:lineRule="auto"/>
              <w:jc w:val="both"/>
              <w:rPr>
                <w:rFonts w:ascii="Times New Roman" w:hAnsi="Times New Roman" w:cs="Times New Roman"/>
                <w:color w:val="000000"/>
                <w:sz w:val="24"/>
                <w:szCs w:val="24"/>
              </w:rPr>
            </w:pPr>
            <w:r w:rsidRPr="004A2107">
              <w:rPr>
                <w:color w:val="000000"/>
                <w:sz w:val="24"/>
                <w:szCs w:val="24"/>
              </w:rPr>
              <w:t>La présente Norme européenne fournit des informations aux diverses parties chargées de la conception, de la</w:t>
            </w:r>
            <w:r w:rsidR="000B014C">
              <w:rPr>
                <w:color w:val="000000"/>
                <w:sz w:val="24"/>
                <w:szCs w:val="24"/>
              </w:rPr>
              <w:t xml:space="preserve"> </w:t>
            </w:r>
            <w:r w:rsidRPr="004A2107">
              <w:rPr>
                <w:color w:val="000000"/>
                <w:sz w:val="24"/>
                <w:szCs w:val="24"/>
              </w:rPr>
              <w:t>fabrication et de la spécification/sélection des plafonds suspendus utilisés pour des applications intérieures</w:t>
            </w:r>
            <w:r w:rsidR="000B014C">
              <w:rPr>
                <w:color w:val="000000"/>
                <w:sz w:val="24"/>
                <w:szCs w:val="24"/>
              </w:rPr>
              <w:t xml:space="preserve"> </w:t>
            </w:r>
            <w:r w:rsidRPr="004A2107">
              <w:rPr>
                <w:color w:val="000000"/>
                <w:sz w:val="24"/>
                <w:szCs w:val="24"/>
              </w:rPr>
              <w:t xml:space="preserve">dans les bâtiments et structures de génie civil.                                              </w:t>
            </w:r>
          </w:p>
        </w:tc>
      </w:tr>
      <w:tr w:rsidR="002952DD" w:rsidRPr="0043547B" w:rsidTr="001E0C3C">
        <w:trPr>
          <w:trHeight w:val="401"/>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2952DD" w:rsidRPr="004A2107" w:rsidRDefault="002952DD" w:rsidP="000B014C">
            <w:pPr>
              <w:spacing w:after="0" w:line="240" w:lineRule="auto"/>
              <w:jc w:val="center"/>
              <w:rPr>
                <w:rFonts w:ascii="Calibri" w:hAnsi="Calibri" w:cs="Calibri"/>
                <w:b/>
                <w:bCs/>
                <w:sz w:val="24"/>
                <w:szCs w:val="24"/>
              </w:rPr>
            </w:pPr>
            <w:r w:rsidRPr="004A2107">
              <w:rPr>
                <w:rFonts w:ascii="Calibri" w:hAnsi="Calibri" w:cs="Calibri"/>
                <w:b/>
                <w:bCs/>
                <w:sz w:val="24"/>
                <w:szCs w:val="24"/>
              </w:rPr>
              <w:lastRenderedPageBreak/>
              <w:t>Code :</w:t>
            </w:r>
          </w:p>
        </w:tc>
        <w:tc>
          <w:tcPr>
            <w:tcW w:w="7938" w:type="dxa"/>
            <w:tcBorders>
              <w:top w:val="nil"/>
              <w:left w:val="single" w:sz="4" w:space="0" w:color="auto"/>
              <w:bottom w:val="single" w:sz="18" w:space="0" w:color="auto"/>
              <w:right w:val="single" w:sz="18" w:space="0" w:color="auto"/>
            </w:tcBorders>
            <w:shd w:val="clear" w:color="auto" w:fill="C2D69B" w:themeFill="accent3" w:themeFillTint="99"/>
            <w:vAlign w:val="center"/>
          </w:tcPr>
          <w:p w:rsidR="002952DD" w:rsidRPr="000B014C" w:rsidRDefault="002952DD" w:rsidP="000B014C">
            <w:pPr>
              <w:spacing w:after="0" w:line="240" w:lineRule="auto"/>
              <w:jc w:val="center"/>
              <w:rPr>
                <w:rFonts w:ascii="Times New Roman" w:hAnsi="Times New Roman" w:cs="Times New Roman"/>
                <w:b/>
                <w:bCs/>
                <w:color w:val="000000"/>
                <w:sz w:val="24"/>
                <w:szCs w:val="24"/>
              </w:rPr>
            </w:pPr>
            <w:r w:rsidRPr="000B014C">
              <w:rPr>
                <w:b/>
                <w:bCs/>
                <w:color w:val="000000"/>
                <w:sz w:val="24"/>
                <w:szCs w:val="24"/>
              </w:rPr>
              <w:t>NM EN 845-1</w:t>
            </w:r>
          </w:p>
        </w:tc>
      </w:tr>
      <w:tr w:rsidR="002952DD" w:rsidRPr="0043547B" w:rsidTr="001E0C3C">
        <w:trPr>
          <w:trHeight w:val="379"/>
          <w:jc w:val="center"/>
        </w:trPr>
        <w:tc>
          <w:tcPr>
            <w:tcW w:w="1838" w:type="dxa"/>
            <w:tcBorders>
              <w:top w:val="nil"/>
              <w:left w:val="single" w:sz="18" w:space="0" w:color="auto"/>
              <w:bottom w:val="single" w:sz="18" w:space="0" w:color="auto"/>
              <w:right w:val="single" w:sz="4" w:space="0" w:color="auto"/>
            </w:tcBorders>
            <w:shd w:val="clear" w:color="auto" w:fill="FFFFCC"/>
            <w:vAlign w:val="center"/>
          </w:tcPr>
          <w:p w:rsidR="002952DD" w:rsidRPr="004A2107" w:rsidRDefault="002952DD" w:rsidP="000B014C">
            <w:pPr>
              <w:spacing w:after="0" w:line="240" w:lineRule="auto"/>
              <w:jc w:val="center"/>
              <w:rPr>
                <w:rFonts w:ascii="Calibri" w:hAnsi="Calibri" w:cs="Calibri"/>
                <w:b/>
                <w:bCs/>
                <w:sz w:val="24"/>
                <w:szCs w:val="24"/>
              </w:rPr>
            </w:pPr>
            <w:r w:rsidRPr="004A2107">
              <w:rPr>
                <w:rFonts w:ascii="Calibri" w:hAnsi="Calibri" w:cs="Calibri"/>
                <w:b/>
                <w:bCs/>
                <w:sz w:val="24"/>
                <w:szCs w:val="24"/>
              </w:rPr>
              <w:t>Equivalence :</w:t>
            </w:r>
          </w:p>
        </w:tc>
        <w:tc>
          <w:tcPr>
            <w:tcW w:w="7938" w:type="dxa"/>
            <w:tcBorders>
              <w:top w:val="nil"/>
              <w:left w:val="single" w:sz="4" w:space="0" w:color="auto"/>
              <w:bottom w:val="single" w:sz="18" w:space="0" w:color="auto"/>
              <w:right w:val="single" w:sz="18" w:space="0" w:color="auto"/>
            </w:tcBorders>
            <w:shd w:val="clear" w:color="auto" w:fill="FFFFCC"/>
            <w:vAlign w:val="center"/>
          </w:tcPr>
          <w:p w:rsidR="002952DD" w:rsidRPr="000B014C" w:rsidRDefault="002952DD" w:rsidP="000B014C">
            <w:pPr>
              <w:spacing w:after="0" w:line="240" w:lineRule="auto"/>
              <w:jc w:val="center"/>
              <w:rPr>
                <w:rFonts w:ascii="Times New Roman" w:hAnsi="Times New Roman" w:cs="Times New Roman"/>
                <w:b/>
                <w:bCs/>
                <w:color w:val="000000"/>
                <w:sz w:val="24"/>
                <w:szCs w:val="24"/>
              </w:rPr>
            </w:pPr>
            <w:r w:rsidRPr="000B014C">
              <w:rPr>
                <w:b/>
                <w:bCs/>
                <w:color w:val="000000"/>
                <w:sz w:val="24"/>
                <w:szCs w:val="24"/>
              </w:rPr>
              <w:t>EN 845-1</w:t>
            </w:r>
          </w:p>
        </w:tc>
      </w:tr>
      <w:tr w:rsidR="002952DD" w:rsidRPr="0043547B" w:rsidTr="001E0C3C">
        <w:trPr>
          <w:trHeight w:val="527"/>
          <w:jc w:val="center"/>
        </w:trPr>
        <w:tc>
          <w:tcPr>
            <w:tcW w:w="1838" w:type="dxa"/>
            <w:tcBorders>
              <w:top w:val="single" w:sz="18" w:space="0" w:color="auto"/>
              <w:left w:val="single" w:sz="18" w:space="0" w:color="auto"/>
              <w:bottom w:val="single" w:sz="4" w:space="0" w:color="auto"/>
              <w:right w:val="single" w:sz="4" w:space="0" w:color="auto"/>
            </w:tcBorders>
            <w:shd w:val="clear" w:color="auto" w:fill="95B3D7" w:themeFill="accent1" w:themeFillTint="99"/>
            <w:vAlign w:val="center"/>
          </w:tcPr>
          <w:p w:rsidR="002952DD" w:rsidRPr="004A2107" w:rsidRDefault="002952DD" w:rsidP="000B014C">
            <w:pPr>
              <w:spacing w:after="0" w:line="240" w:lineRule="auto"/>
              <w:jc w:val="center"/>
              <w:rPr>
                <w:rFonts w:ascii="Calibri" w:hAnsi="Calibri" w:cs="Calibri"/>
                <w:b/>
                <w:bCs/>
                <w:sz w:val="24"/>
                <w:szCs w:val="24"/>
              </w:rPr>
            </w:pPr>
            <w:r w:rsidRPr="004A2107">
              <w:rPr>
                <w:rFonts w:ascii="Calibri" w:hAnsi="Calibri" w:cs="Calibr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bottom"/>
          </w:tcPr>
          <w:p w:rsidR="002952DD" w:rsidRPr="004A2107" w:rsidRDefault="002952DD" w:rsidP="000B014C">
            <w:pPr>
              <w:spacing w:after="0" w:line="240" w:lineRule="auto"/>
              <w:jc w:val="both"/>
              <w:rPr>
                <w:rFonts w:ascii="Times New Roman" w:hAnsi="Times New Roman" w:cs="Times New Roman"/>
                <w:color w:val="000000"/>
                <w:sz w:val="24"/>
                <w:szCs w:val="24"/>
              </w:rPr>
            </w:pPr>
            <w:r w:rsidRPr="004A2107">
              <w:rPr>
                <w:color w:val="000000"/>
                <w:sz w:val="24"/>
                <w:szCs w:val="24"/>
              </w:rPr>
              <w:t xml:space="preserve">Spécification pour composants accessoires de maçonnerie  -  Partie  1 :  Attaches,  brides  de fixation, étriers de support et consoles </w:t>
            </w:r>
          </w:p>
        </w:tc>
      </w:tr>
      <w:tr w:rsidR="002952DD" w:rsidRPr="0043547B" w:rsidTr="001E0C3C">
        <w:trPr>
          <w:trHeight w:val="900"/>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2952DD" w:rsidRPr="004A2107" w:rsidRDefault="002952DD" w:rsidP="000B014C">
            <w:pPr>
              <w:spacing w:after="0" w:line="240" w:lineRule="auto"/>
              <w:jc w:val="center"/>
              <w:rPr>
                <w:rFonts w:ascii="Calibri" w:hAnsi="Calibri" w:cs="Calibri"/>
                <w:b/>
                <w:bCs/>
                <w:sz w:val="24"/>
                <w:szCs w:val="24"/>
              </w:rPr>
            </w:pPr>
            <w:r w:rsidRPr="004A2107">
              <w:rPr>
                <w:rFonts w:ascii="Calibri" w:hAnsi="Calibri" w:cs="Calibr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bottom"/>
          </w:tcPr>
          <w:p w:rsidR="000B014C" w:rsidRDefault="002952DD" w:rsidP="000B014C">
            <w:pPr>
              <w:spacing w:after="0" w:line="240" w:lineRule="auto"/>
              <w:jc w:val="both"/>
              <w:rPr>
                <w:color w:val="000000"/>
                <w:sz w:val="24"/>
                <w:szCs w:val="24"/>
              </w:rPr>
            </w:pPr>
            <w:r w:rsidRPr="004A2107">
              <w:rPr>
                <w:color w:val="000000"/>
                <w:sz w:val="24"/>
                <w:szCs w:val="24"/>
              </w:rPr>
              <w:t>La présente Norme européenne spécifie les exigences concernant les attaches murales, brides de fixation,</w:t>
            </w:r>
            <w:r w:rsidR="000B014C">
              <w:rPr>
                <w:color w:val="000000"/>
                <w:sz w:val="24"/>
                <w:szCs w:val="24"/>
              </w:rPr>
              <w:t xml:space="preserve"> </w:t>
            </w:r>
            <w:r w:rsidRPr="004A2107">
              <w:rPr>
                <w:color w:val="000000"/>
                <w:sz w:val="24"/>
                <w:szCs w:val="24"/>
              </w:rPr>
              <w:t>brides de suspension et consoles utilisées pour assurer les liaisons entre des maçonneries et les liaisons entre la</w:t>
            </w:r>
            <w:r w:rsidRPr="004A2107">
              <w:rPr>
                <w:color w:val="000000"/>
                <w:sz w:val="24"/>
                <w:szCs w:val="24"/>
              </w:rPr>
              <w:br/>
              <w:t>maçonnerie et d'autres parties de l'ouvrage ou de la construction, incluant les murs, planchers, poutres et poteaux.</w:t>
            </w:r>
          </w:p>
          <w:p w:rsidR="000B014C" w:rsidRDefault="002952DD" w:rsidP="000B014C">
            <w:pPr>
              <w:spacing w:after="0" w:line="240" w:lineRule="auto"/>
              <w:jc w:val="both"/>
              <w:rPr>
                <w:color w:val="000000"/>
                <w:sz w:val="24"/>
                <w:szCs w:val="24"/>
              </w:rPr>
            </w:pPr>
            <w:r w:rsidRPr="004A2107">
              <w:rPr>
                <w:color w:val="000000"/>
                <w:sz w:val="24"/>
                <w:szCs w:val="24"/>
              </w:rPr>
              <w:t>Lorsque des éléments d'ancrage ou de fixation sont fournis ou spécifiés comme partie intégrante d'un composant</w:t>
            </w:r>
            <w:r w:rsidR="000B014C">
              <w:rPr>
                <w:color w:val="000000"/>
                <w:sz w:val="24"/>
                <w:szCs w:val="24"/>
              </w:rPr>
              <w:t xml:space="preserve"> </w:t>
            </w:r>
            <w:r w:rsidRPr="004A2107">
              <w:rPr>
                <w:color w:val="000000"/>
                <w:sz w:val="24"/>
                <w:szCs w:val="24"/>
              </w:rPr>
              <w:t>accessoire, les exigences, y compris les exigences de performance, s'appliquent au produit complet.</w:t>
            </w:r>
          </w:p>
          <w:p w:rsidR="000B014C" w:rsidRDefault="002952DD" w:rsidP="000B014C">
            <w:pPr>
              <w:spacing w:after="0" w:line="240" w:lineRule="auto"/>
              <w:jc w:val="both"/>
              <w:rPr>
                <w:color w:val="000000"/>
                <w:sz w:val="24"/>
                <w:szCs w:val="24"/>
              </w:rPr>
            </w:pPr>
            <w:r w:rsidRPr="004A2107">
              <w:rPr>
                <w:color w:val="000000"/>
                <w:sz w:val="24"/>
                <w:szCs w:val="24"/>
              </w:rPr>
              <w:t>Les produits suivants ne sont pas couverts par la présente Norme :</w:t>
            </w:r>
          </w:p>
          <w:p w:rsidR="000B014C" w:rsidRDefault="002952DD" w:rsidP="000B014C">
            <w:pPr>
              <w:spacing w:after="0" w:line="240" w:lineRule="auto"/>
              <w:jc w:val="both"/>
              <w:rPr>
                <w:color w:val="000000"/>
                <w:sz w:val="24"/>
                <w:szCs w:val="24"/>
              </w:rPr>
            </w:pPr>
            <w:r w:rsidRPr="004A2107">
              <w:rPr>
                <w:color w:val="000000"/>
                <w:sz w:val="24"/>
                <w:szCs w:val="24"/>
              </w:rPr>
              <w:t>a) éléments d’ancrage et de fixation autres que ceux qui font partie intégrante d’un composant accessoire ;</w:t>
            </w:r>
          </w:p>
          <w:p w:rsidR="000B014C" w:rsidRDefault="002952DD" w:rsidP="000B014C">
            <w:pPr>
              <w:spacing w:after="0" w:line="240" w:lineRule="auto"/>
              <w:jc w:val="both"/>
              <w:rPr>
                <w:color w:val="000000"/>
                <w:sz w:val="24"/>
                <w:szCs w:val="24"/>
              </w:rPr>
            </w:pPr>
            <w:r w:rsidRPr="004A2107">
              <w:rPr>
                <w:color w:val="000000"/>
                <w:sz w:val="24"/>
                <w:szCs w:val="24"/>
              </w:rPr>
              <w:t>b) cornières supports ;</w:t>
            </w:r>
          </w:p>
          <w:p w:rsidR="000B014C" w:rsidRDefault="002952DD" w:rsidP="000B014C">
            <w:pPr>
              <w:spacing w:after="0" w:line="240" w:lineRule="auto"/>
              <w:jc w:val="both"/>
              <w:rPr>
                <w:color w:val="000000"/>
                <w:sz w:val="24"/>
                <w:szCs w:val="24"/>
              </w:rPr>
            </w:pPr>
            <w:r w:rsidRPr="004A2107">
              <w:rPr>
                <w:color w:val="000000"/>
                <w:sz w:val="24"/>
                <w:szCs w:val="24"/>
              </w:rPr>
              <w:lastRenderedPageBreak/>
              <w:t>c) plaques supports de mur destinées à assurer la fixation avec des murs existants;</w:t>
            </w:r>
            <w:r w:rsidRPr="004A2107">
              <w:rPr>
                <w:color w:val="000000"/>
                <w:sz w:val="24"/>
                <w:szCs w:val="24"/>
              </w:rPr>
              <w:br/>
              <w:t>d) produits composés de matériaux autres que les suivants :</w:t>
            </w:r>
          </w:p>
          <w:p w:rsidR="000B014C" w:rsidRDefault="002952DD" w:rsidP="000B014C">
            <w:pPr>
              <w:spacing w:after="0" w:line="240" w:lineRule="auto"/>
              <w:jc w:val="both"/>
              <w:rPr>
                <w:color w:val="000000"/>
                <w:sz w:val="24"/>
                <w:szCs w:val="24"/>
              </w:rPr>
            </w:pPr>
            <w:r w:rsidRPr="004A2107">
              <w:rPr>
                <w:color w:val="000000"/>
                <w:sz w:val="24"/>
                <w:szCs w:val="24"/>
              </w:rPr>
              <w:t>1) acier inoxydable austénitique (alliages molybdène chrome nickel ou alliages chrome nickel) ;</w:t>
            </w:r>
          </w:p>
          <w:p w:rsidR="000B014C" w:rsidRDefault="002952DD" w:rsidP="000B014C">
            <w:pPr>
              <w:spacing w:after="0" w:line="240" w:lineRule="auto"/>
              <w:jc w:val="both"/>
              <w:rPr>
                <w:color w:val="000000"/>
                <w:sz w:val="24"/>
                <w:szCs w:val="24"/>
              </w:rPr>
            </w:pPr>
            <w:r w:rsidRPr="004A2107">
              <w:rPr>
                <w:color w:val="000000"/>
                <w:sz w:val="24"/>
                <w:szCs w:val="24"/>
              </w:rPr>
              <w:t>2) acier inoxydable austéno-ferritique ;</w:t>
            </w:r>
          </w:p>
          <w:p w:rsidR="000B014C" w:rsidRDefault="002952DD" w:rsidP="000B014C">
            <w:pPr>
              <w:spacing w:after="0" w:line="240" w:lineRule="auto"/>
              <w:jc w:val="both"/>
              <w:rPr>
                <w:color w:val="000000"/>
                <w:sz w:val="24"/>
                <w:szCs w:val="24"/>
              </w:rPr>
            </w:pPr>
            <w:r w:rsidRPr="004A2107">
              <w:rPr>
                <w:color w:val="000000"/>
                <w:sz w:val="24"/>
                <w:szCs w:val="24"/>
              </w:rPr>
              <w:t>3) acier inoxydable ferritique ;</w:t>
            </w:r>
          </w:p>
          <w:p w:rsidR="000B014C" w:rsidRDefault="002952DD" w:rsidP="000B014C">
            <w:pPr>
              <w:spacing w:after="0" w:line="240" w:lineRule="auto"/>
              <w:jc w:val="both"/>
              <w:rPr>
                <w:color w:val="000000"/>
                <w:sz w:val="24"/>
                <w:szCs w:val="24"/>
              </w:rPr>
            </w:pPr>
            <w:r w:rsidRPr="004A2107">
              <w:rPr>
                <w:color w:val="000000"/>
                <w:sz w:val="24"/>
                <w:szCs w:val="24"/>
              </w:rPr>
              <w:t>4) cuivre ;</w:t>
            </w:r>
          </w:p>
          <w:p w:rsidR="000B014C" w:rsidRDefault="002952DD" w:rsidP="000B014C">
            <w:pPr>
              <w:spacing w:after="0" w:line="240" w:lineRule="auto"/>
              <w:jc w:val="both"/>
              <w:rPr>
                <w:color w:val="000000"/>
                <w:sz w:val="24"/>
                <w:szCs w:val="24"/>
              </w:rPr>
            </w:pPr>
            <w:r w:rsidRPr="004A2107">
              <w:rPr>
                <w:color w:val="000000"/>
                <w:sz w:val="24"/>
                <w:szCs w:val="24"/>
              </w:rPr>
              <w:t>5) bronze phosphoreux ;</w:t>
            </w:r>
          </w:p>
          <w:p w:rsidR="000B014C" w:rsidRDefault="002952DD" w:rsidP="000B014C">
            <w:pPr>
              <w:spacing w:after="0" w:line="240" w:lineRule="auto"/>
              <w:jc w:val="both"/>
              <w:rPr>
                <w:color w:val="000000"/>
                <w:sz w:val="24"/>
                <w:szCs w:val="24"/>
              </w:rPr>
            </w:pPr>
            <w:r w:rsidRPr="004A2107">
              <w:rPr>
                <w:color w:val="000000"/>
                <w:sz w:val="24"/>
                <w:szCs w:val="24"/>
              </w:rPr>
              <w:t>6) bronze d'aluminium ;</w:t>
            </w:r>
          </w:p>
          <w:p w:rsidR="000B014C" w:rsidRDefault="002952DD" w:rsidP="000B014C">
            <w:pPr>
              <w:spacing w:after="0" w:line="240" w:lineRule="auto"/>
              <w:jc w:val="both"/>
              <w:rPr>
                <w:color w:val="000000"/>
                <w:sz w:val="24"/>
                <w:szCs w:val="24"/>
              </w:rPr>
            </w:pPr>
            <w:r w:rsidRPr="004A2107">
              <w:rPr>
                <w:color w:val="000000"/>
                <w:sz w:val="24"/>
                <w:szCs w:val="24"/>
              </w:rPr>
              <w:t>7) acier galvanisé avec ou sans revêtement organique ;</w:t>
            </w:r>
          </w:p>
          <w:p w:rsidR="000B014C" w:rsidRDefault="002952DD" w:rsidP="000B014C">
            <w:pPr>
              <w:spacing w:after="0" w:line="240" w:lineRule="auto"/>
              <w:jc w:val="both"/>
              <w:rPr>
                <w:color w:val="000000"/>
                <w:sz w:val="24"/>
                <w:szCs w:val="24"/>
              </w:rPr>
            </w:pPr>
            <w:r w:rsidRPr="004A2107">
              <w:rPr>
                <w:color w:val="000000"/>
                <w:sz w:val="24"/>
                <w:szCs w:val="24"/>
              </w:rPr>
              <w:t>8) polypropylène ;</w:t>
            </w:r>
          </w:p>
          <w:p w:rsidR="000B014C" w:rsidRDefault="002952DD" w:rsidP="000B014C">
            <w:pPr>
              <w:spacing w:after="0" w:line="240" w:lineRule="auto"/>
              <w:jc w:val="both"/>
              <w:rPr>
                <w:color w:val="000000"/>
                <w:sz w:val="24"/>
                <w:szCs w:val="24"/>
              </w:rPr>
            </w:pPr>
            <w:r w:rsidRPr="004A2107">
              <w:rPr>
                <w:color w:val="000000"/>
                <w:sz w:val="24"/>
                <w:szCs w:val="24"/>
              </w:rPr>
              <w:t>9) polyamide (uniquement pour les chevilles à expansion).</w:t>
            </w:r>
          </w:p>
          <w:p w:rsidR="002952DD" w:rsidRPr="000B014C" w:rsidRDefault="002952DD" w:rsidP="000B014C">
            <w:pPr>
              <w:spacing w:after="0" w:line="240" w:lineRule="auto"/>
              <w:jc w:val="both"/>
              <w:rPr>
                <w:rFonts w:ascii="Times New Roman" w:hAnsi="Times New Roman" w:cs="Times New Roman"/>
                <w:i/>
                <w:iCs/>
                <w:color w:val="000000"/>
                <w:sz w:val="24"/>
                <w:szCs w:val="24"/>
              </w:rPr>
            </w:pPr>
            <w:r w:rsidRPr="000B014C">
              <w:rPr>
                <w:b/>
                <w:bCs/>
                <w:i/>
                <w:iCs/>
                <w:color w:val="000000"/>
              </w:rPr>
              <w:t>NOTE</w:t>
            </w:r>
            <w:r w:rsidRPr="000B014C">
              <w:rPr>
                <w:i/>
                <w:iCs/>
                <w:color w:val="000000"/>
              </w:rPr>
              <w:t xml:space="preserve"> La résistance au feu des produits inclus ci-après ne peut être évaluée séparément de l'élément de maçonnerie</w:t>
            </w:r>
            <w:r w:rsidR="000B014C" w:rsidRPr="000B014C">
              <w:rPr>
                <w:i/>
                <w:iCs/>
                <w:color w:val="000000"/>
              </w:rPr>
              <w:t xml:space="preserve"> </w:t>
            </w:r>
            <w:r w:rsidRPr="000B014C">
              <w:rPr>
                <w:i/>
                <w:iCs/>
                <w:color w:val="000000"/>
              </w:rPr>
              <w:t>dont ils font partie et n'est, par conséquent, pas couverte par le domaine d'application de la présente partie de la présente</w:t>
            </w:r>
            <w:r w:rsidR="000B014C" w:rsidRPr="000B014C">
              <w:rPr>
                <w:i/>
                <w:iCs/>
                <w:color w:val="000000"/>
              </w:rPr>
              <w:t xml:space="preserve"> </w:t>
            </w:r>
            <w:r w:rsidRPr="000B014C">
              <w:rPr>
                <w:i/>
                <w:iCs/>
                <w:color w:val="000000"/>
              </w:rPr>
              <w:t>Norme.</w:t>
            </w:r>
          </w:p>
        </w:tc>
      </w:tr>
      <w:tr w:rsidR="0043547B" w:rsidRPr="0043547B" w:rsidTr="001E0C3C">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10.8.912</w:t>
            </w:r>
          </w:p>
        </w:tc>
      </w:tr>
      <w:tr w:rsidR="0043547B" w:rsidRPr="0043547B" w:rsidTr="001E0C3C">
        <w:trPr>
          <w:trHeight w:val="600"/>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Plaques de bardeaux bitumes à armature en feutre cellulosique dites "bardeaux bitumes cellulosiques" – Spécifications </w:t>
            </w:r>
          </w:p>
        </w:tc>
      </w:tr>
      <w:tr w:rsidR="0043547B" w:rsidRPr="0043547B" w:rsidTr="001E0C3C">
        <w:trPr>
          <w:trHeight w:val="60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aux plaques de bardeaux bitumés destinées à la couverture et au bardage de bâtiments.</w:t>
            </w:r>
          </w:p>
        </w:tc>
      </w:tr>
      <w:tr w:rsidR="0043547B" w:rsidRPr="0043547B" w:rsidTr="001E0C3C">
        <w:trPr>
          <w:trHeight w:val="70"/>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tcPr>
          <w:p w:rsidR="00904E52" w:rsidRPr="0043547B" w:rsidRDefault="00904E52" w:rsidP="00591063">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tcPr>
          <w:p w:rsidR="00904E52" w:rsidRPr="0043547B" w:rsidRDefault="00904E52" w:rsidP="00904E52">
            <w:pPr>
              <w:spacing w:after="0" w:line="240" w:lineRule="auto"/>
              <w:jc w:val="center"/>
              <w:rPr>
                <w:rFonts w:cstheme="minorHAnsi"/>
                <w:sz w:val="24"/>
                <w:szCs w:val="24"/>
              </w:rPr>
            </w:pPr>
            <w:r w:rsidRPr="0043547B">
              <w:rPr>
                <w:rFonts w:eastAsia="Times New Roman" w:cstheme="minorHAnsi"/>
                <w:b/>
                <w:bCs/>
                <w:sz w:val="24"/>
                <w:szCs w:val="24"/>
                <w:lang w:eastAsia="fr-FR"/>
              </w:rPr>
              <w:t>NM 10.3.006</w:t>
            </w:r>
          </w:p>
        </w:tc>
      </w:tr>
      <w:tr w:rsidR="0043547B" w:rsidRPr="0043547B" w:rsidTr="001E0C3C">
        <w:trPr>
          <w:trHeight w:val="600"/>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tcPr>
          <w:p w:rsidR="00904E52" w:rsidRPr="0043547B" w:rsidRDefault="00904E52" w:rsidP="00904E52">
            <w:pPr>
              <w:spacing w:after="0"/>
              <w:jc w:val="both"/>
              <w:rPr>
                <w:rFonts w:cstheme="minorHAnsi"/>
                <w:sz w:val="24"/>
                <w:szCs w:val="24"/>
              </w:rPr>
            </w:pPr>
            <w:r w:rsidRPr="0043547B">
              <w:rPr>
                <w:rFonts w:cstheme="minorHAnsi"/>
                <w:sz w:val="24"/>
                <w:szCs w:val="24"/>
              </w:rPr>
              <w:t xml:space="preserve">Plaques ondulées grandes ondes et accessoires en amiante – Ciment pour couvertures et revêtements </w:t>
            </w:r>
          </w:p>
        </w:tc>
      </w:tr>
      <w:tr w:rsidR="0043547B" w:rsidRPr="0043547B" w:rsidTr="001E0C3C">
        <w:trPr>
          <w:trHeight w:val="600"/>
          <w:jc w:val="center"/>
        </w:trPr>
        <w:tc>
          <w:tcPr>
            <w:tcW w:w="1838" w:type="dxa"/>
            <w:tcBorders>
              <w:top w:val="nil"/>
              <w:left w:val="single" w:sz="18" w:space="0" w:color="auto"/>
              <w:bottom w:val="single" w:sz="18" w:space="0" w:color="auto"/>
              <w:right w:val="single" w:sz="4" w:space="0" w:color="auto"/>
            </w:tcBorders>
            <w:shd w:val="clear" w:color="000000" w:fill="D9D9D9"/>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tcPr>
          <w:p w:rsidR="00904E52" w:rsidRPr="0043547B" w:rsidRDefault="00904E52" w:rsidP="00904E52">
            <w:pPr>
              <w:spacing w:after="0"/>
              <w:jc w:val="both"/>
              <w:rPr>
                <w:rFonts w:cstheme="minorHAnsi"/>
                <w:w w:val="95"/>
                <w:sz w:val="24"/>
                <w:szCs w:val="24"/>
              </w:rPr>
            </w:pPr>
            <w:r w:rsidRPr="0043547B">
              <w:rPr>
                <w:rFonts w:cstheme="minorHAnsi"/>
                <w:w w:val="95"/>
                <w:sz w:val="24"/>
                <w:szCs w:val="24"/>
              </w:rPr>
              <w:t>La présente s'applique aux plaques ondulées et à leurs accessoires en amiante-ciment, sans armature métalliques, utilisés principalement comme matériaux de couverture, Les plaques conformes à la présente norme peuvent être utilisées, pour les bardages et revêtements.</w:t>
            </w:r>
          </w:p>
        </w:tc>
      </w:tr>
      <w:tr w:rsidR="0043547B" w:rsidRPr="0043547B" w:rsidTr="001E0C3C">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10.8.913</w:t>
            </w:r>
            <w:r w:rsidRPr="0043547B">
              <w:rPr>
                <w:rFonts w:eastAsia="Times New Roman" w:cstheme="minorHAnsi"/>
                <w:sz w:val="24"/>
                <w:szCs w:val="24"/>
                <w:lang w:eastAsia="fr-FR"/>
              </w:rPr>
              <w:t xml:space="preserve">  </w:t>
            </w:r>
          </w:p>
        </w:tc>
      </w:tr>
      <w:tr w:rsidR="00001B85" w:rsidRPr="0043547B" w:rsidTr="001E0C3C">
        <w:trPr>
          <w:trHeight w:val="600"/>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001B85" w:rsidRPr="00134B19" w:rsidRDefault="00001B85" w:rsidP="00134B19">
            <w:pPr>
              <w:spacing w:after="0" w:line="240" w:lineRule="auto"/>
              <w:jc w:val="center"/>
              <w:rPr>
                <w:rFonts w:ascii="Calibri" w:hAnsi="Calibri" w:cs="Calibri"/>
                <w:b/>
                <w:bCs/>
                <w:sz w:val="24"/>
                <w:szCs w:val="24"/>
              </w:rPr>
            </w:pPr>
            <w:r w:rsidRPr="00134B19">
              <w:rPr>
                <w:rFonts w:ascii="Calibri" w:hAnsi="Calibri" w:cs="Calibr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hideMark/>
          </w:tcPr>
          <w:p w:rsidR="00001B85" w:rsidRPr="00134B19" w:rsidRDefault="00001B85" w:rsidP="00134B19">
            <w:pPr>
              <w:spacing w:after="0" w:line="240" w:lineRule="auto"/>
              <w:jc w:val="both"/>
              <w:rPr>
                <w:rFonts w:ascii="Calibri" w:hAnsi="Calibri" w:cs="Calibri"/>
                <w:sz w:val="24"/>
                <w:szCs w:val="24"/>
              </w:rPr>
            </w:pPr>
            <w:r w:rsidRPr="00134B19">
              <w:rPr>
                <w:rFonts w:ascii="Calibri" w:hAnsi="Calibri" w:cs="Calibri"/>
                <w:sz w:val="24"/>
                <w:szCs w:val="24"/>
              </w:rPr>
              <w:t xml:space="preserve">Travaux de bâtiment - Etanchéité des toitures-terrasses et toitures inclinés avec éléments porteurs en maçonnerie ; </w:t>
            </w:r>
          </w:p>
        </w:tc>
      </w:tr>
      <w:tr w:rsidR="00001B85" w:rsidRPr="0043547B" w:rsidTr="001E0C3C">
        <w:trPr>
          <w:trHeight w:val="843"/>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001B85" w:rsidRPr="00134B19" w:rsidRDefault="00001B85" w:rsidP="00134B19">
            <w:pPr>
              <w:spacing w:after="0" w:line="240" w:lineRule="auto"/>
              <w:jc w:val="center"/>
              <w:rPr>
                <w:rFonts w:ascii="Calibri" w:hAnsi="Calibri" w:cs="Calibri"/>
                <w:b/>
                <w:bCs/>
                <w:sz w:val="24"/>
                <w:szCs w:val="24"/>
              </w:rPr>
            </w:pPr>
            <w:r w:rsidRPr="00134B19">
              <w:rPr>
                <w:rFonts w:ascii="Calibri" w:hAnsi="Calibri" w:cs="Calibr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hideMark/>
          </w:tcPr>
          <w:p w:rsidR="00134B19" w:rsidRDefault="00001B85" w:rsidP="00B841B8">
            <w:pPr>
              <w:spacing w:after="0" w:line="240" w:lineRule="auto"/>
              <w:jc w:val="both"/>
              <w:rPr>
                <w:rFonts w:ascii="Calibri" w:hAnsi="Calibri" w:cs="Calibri"/>
                <w:sz w:val="24"/>
                <w:szCs w:val="24"/>
              </w:rPr>
            </w:pPr>
            <w:r w:rsidRPr="00134B19">
              <w:rPr>
                <w:rFonts w:ascii="Calibri" w:hAnsi="Calibri" w:cs="Calibri"/>
                <w:sz w:val="24"/>
                <w:szCs w:val="24"/>
              </w:rPr>
              <w:t>La présente norme définit les modalités d’exécution des ouvrages d’étanchéité des toitures- terrasses (pente au</w:t>
            </w:r>
            <w:r w:rsidR="00134B19">
              <w:rPr>
                <w:rFonts w:ascii="Calibri" w:hAnsi="Calibri" w:cs="Calibri"/>
                <w:sz w:val="24"/>
                <w:szCs w:val="24"/>
              </w:rPr>
              <w:t xml:space="preserve"> </w:t>
            </w:r>
            <w:r w:rsidRPr="00134B19">
              <w:rPr>
                <w:rFonts w:ascii="Calibri" w:hAnsi="Calibri" w:cs="Calibri"/>
                <w:sz w:val="24"/>
                <w:szCs w:val="24"/>
              </w:rPr>
              <w:t>plus égale à 5 %) et de toitures inclinées (pentes supérieures à 5 %), établis sur éléments porteurs en maçonnerie</w:t>
            </w:r>
            <w:r w:rsidR="00B841B8">
              <w:rPr>
                <w:rFonts w:ascii="Calibri" w:hAnsi="Calibri" w:cs="Calibri"/>
                <w:sz w:val="24"/>
                <w:szCs w:val="24"/>
              </w:rPr>
              <w:t xml:space="preserve"> </w:t>
            </w:r>
            <w:r w:rsidRPr="00134B19">
              <w:rPr>
                <w:rFonts w:ascii="Calibri" w:hAnsi="Calibri" w:cs="Calibri"/>
                <w:sz w:val="24"/>
                <w:szCs w:val="24"/>
              </w:rPr>
              <w:t>en climat plaine.</w:t>
            </w:r>
          </w:p>
          <w:p w:rsidR="00134B19" w:rsidRDefault="00001B85" w:rsidP="00134B19">
            <w:pPr>
              <w:spacing w:after="0" w:line="240" w:lineRule="auto"/>
              <w:jc w:val="both"/>
              <w:rPr>
                <w:rFonts w:ascii="Calibri" w:hAnsi="Calibri" w:cs="Calibri"/>
                <w:sz w:val="24"/>
                <w:szCs w:val="24"/>
              </w:rPr>
            </w:pPr>
            <w:r w:rsidRPr="00134B19">
              <w:rPr>
                <w:rFonts w:ascii="Calibri" w:hAnsi="Calibri" w:cs="Calibri"/>
                <w:sz w:val="24"/>
                <w:szCs w:val="24"/>
              </w:rPr>
              <w:t>La présente norme s’applique uniquement aux travaux neufs</w:t>
            </w:r>
            <w:r w:rsidR="00134B19">
              <w:rPr>
                <w:rFonts w:ascii="Calibri" w:hAnsi="Calibri" w:cs="Calibri"/>
                <w:sz w:val="24"/>
                <w:szCs w:val="24"/>
              </w:rPr>
              <w:t>.</w:t>
            </w:r>
          </w:p>
          <w:p w:rsidR="00134B19" w:rsidRDefault="00001B85" w:rsidP="00134B19">
            <w:pPr>
              <w:spacing w:after="0" w:line="240" w:lineRule="auto"/>
              <w:jc w:val="both"/>
              <w:rPr>
                <w:rFonts w:ascii="Calibri" w:hAnsi="Calibri" w:cs="Calibri"/>
                <w:sz w:val="24"/>
                <w:szCs w:val="24"/>
              </w:rPr>
            </w:pPr>
            <w:r w:rsidRPr="00134B19">
              <w:rPr>
                <w:rFonts w:ascii="Calibri" w:hAnsi="Calibri" w:cs="Calibri"/>
                <w:sz w:val="24"/>
                <w:szCs w:val="24"/>
              </w:rPr>
              <w:t>La présente norme traite également les rampes, les escaliers, et les gradins. Les ouvrages d’étanchéité</w:t>
            </w:r>
            <w:r w:rsidR="00134B19">
              <w:rPr>
                <w:rFonts w:ascii="Calibri" w:hAnsi="Calibri" w:cs="Calibri"/>
                <w:sz w:val="24"/>
                <w:szCs w:val="24"/>
              </w:rPr>
              <w:t xml:space="preserve"> </w:t>
            </w:r>
            <w:r w:rsidRPr="00134B19">
              <w:rPr>
                <w:rFonts w:ascii="Calibri" w:hAnsi="Calibri" w:cs="Calibri"/>
                <w:sz w:val="24"/>
                <w:szCs w:val="24"/>
              </w:rPr>
              <w:t>comportent :</w:t>
            </w:r>
          </w:p>
          <w:p w:rsidR="00134B19" w:rsidRDefault="00001B85" w:rsidP="00134B19">
            <w:pPr>
              <w:spacing w:after="0" w:line="240" w:lineRule="auto"/>
              <w:jc w:val="both"/>
              <w:rPr>
                <w:rFonts w:ascii="Calibri" w:hAnsi="Calibri" w:cs="Calibri"/>
                <w:sz w:val="24"/>
                <w:szCs w:val="24"/>
              </w:rPr>
            </w:pPr>
            <w:r w:rsidRPr="00134B19">
              <w:rPr>
                <w:rFonts w:ascii="Calibri" w:hAnsi="Calibri" w:cs="Calibri"/>
                <w:sz w:val="24"/>
                <w:szCs w:val="24"/>
              </w:rPr>
              <w:t>– éventuellement un pare vapeur ;</w:t>
            </w:r>
          </w:p>
          <w:p w:rsidR="00134B19" w:rsidRDefault="00001B85" w:rsidP="00134B19">
            <w:pPr>
              <w:spacing w:after="0" w:line="240" w:lineRule="auto"/>
              <w:jc w:val="both"/>
              <w:rPr>
                <w:rFonts w:ascii="Calibri" w:hAnsi="Calibri" w:cs="Calibri"/>
                <w:sz w:val="24"/>
                <w:szCs w:val="24"/>
              </w:rPr>
            </w:pPr>
            <w:r w:rsidRPr="00134B19">
              <w:rPr>
                <w:rFonts w:ascii="Calibri" w:hAnsi="Calibri" w:cs="Calibri"/>
                <w:sz w:val="24"/>
                <w:szCs w:val="24"/>
              </w:rPr>
              <w:t>– éventuellement des panneaux isolants non porteurs ;</w:t>
            </w:r>
          </w:p>
          <w:p w:rsidR="00134B19" w:rsidRDefault="00001B85" w:rsidP="00134B19">
            <w:pPr>
              <w:spacing w:after="0" w:line="240" w:lineRule="auto"/>
              <w:jc w:val="both"/>
              <w:rPr>
                <w:rFonts w:ascii="Calibri" w:hAnsi="Calibri" w:cs="Calibri"/>
                <w:sz w:val="24"/>
                <w:szCs w:val="24"/>
              </w:rPr>
            </w:pPr>
            <w:r w:rsidRPr="00134B19">
              <w:rPr>
                <w:rFonts w:ascii="Calibri" w:hAnsi="Calibri" w:cs="Calibri"/>
                <w:sz w:val="24"/>
                <w:szCs w:val="24"/>
              </w:rPr>
              <w:t>– un revêtement d’étanchéité ;</w:t>
            </w:r>
          </w:p>
          <w:p w:rsidR="00134B19" w:rsidRDefault="00001B85" w:rsidP="00134B19">
            <w:pPr>
              <w:spacing w:after="0" w:line="240" w:lineRule="auto"/>
              <w:jc w:val="both"/>
              <w:rPr>
                <w:rFonts w:ascii="Calibri" w:hAnsi="Calibri" w:cs="Calibri"/>
                <w:sz w:val="24"/>
                <w:szCs w:val="24"/>
              </w:rPr>
            </w:pPr>
            <w:r w:rsidRPr="00134B19">
              <w:rPr>
                <w:rFonts w:ascii="Calibri" w:hAnsi="Calibri" w:cs="Calibri"/>
                <w:sz w:val="24"/>
                <w:szCs w:val="24"/>
              </w:rPr>
              <w:t>– éventuellement une protection lourde ;</w:t>
            </w:r>
          </w:p>
          <w:p w:rsidR="00134B19" w:rsidRDefault="00001B85" w:rsidP="00134B19">
            <w:pPr>
              <w:spacing w:after="0" w:line="240" w:lineRule="auto"/>
              <w:jc w:val="both"/>
              <w:rPr>
                <w:rFonts w:ascii="Calibri" w:hAnsi="Calibri" w:cs="Calibri"/>
                <w:sz w:val="24"/>
                <w:szCs w:val="24"/>
              </w:rPr>
            </w:pPr>
            <w:r w:rsidRPr="00134B19">
              <w:rPr>
                <w:rFonts w:ascii="Calibri" w:hAnsi="Calibri" w:cs="Calibri"/>
                <w:sz w:val="24"/>
                <w:szCs w:val="24"/>
              </w:rPr>
              <w:t xml:space="preserve">– des ouvrages particuliers </w:t>
            </w:r>
            <w:r w:rsidR="00134B19">
              <w:rPr>
                <w:rFonts w:ascii="Calibri" w:hAnsi="Calibri" w:cs="Calibri"/>
                <w:sz w:val="24"/>
                <w:szCs w:val="24"/>
              </w:rPr>
              <w:t>qui comprennent notamment noues</w:t>
            </w:r>
            <w:r w:rsidRPr="00134B19">
              <w:rPr>
                <w:rFonts w:ascii="Calibri" w:hAnsi="Calibri" w:cs="Calibri"/>
                <w:sz w:val="24"/>
                <w:szCs w:val="24"/>
              </w:rPr>
              <w:t>, relevés, retombées, dispositifs de collecte et</w:t>
            </w:r>
            <w:r w:rsidR="00134B19">
              <w:rPr>
                <w:rFonts w:ascii="Calibri" w:hAnsi="Calibri" w:cs="Calibri"/>
                <w:sz w:val="24"/>
                <w:szCs w:val="24"/>
              </w:rPr>
              <w:t xml:space="preserve"> </w:t>
            </w:r>
            <w:r w:rsidRPr="00134B19">
              <w:rPr>
                <w:rFonts w:ascii="Calibri" w:hAnsi="Calibri" w:cs="Calibri"/>
                <w:sz w:val="24"/>
                <w:szCs w:val="24"/>
              </w:rPr>
              <w:t>d’évacuation des eaux pluviales, joints de dilatation ; traversées de toiture et pénétrations, etc.</w:t>
            </w:r>
          </w:p>
          <w:p w:rsidR="00134B19" w:rsidRDefault="00001B85" w:rsidP="00134B19">
            <w:pPr>
              <w:spacing w:after="0" w:line="240" w:lineRule="auto"/>
              <w:jc w:val="both"/>
              <w:rPr>
                <w:rFonts w:ascii="Calibri" w:hAnsi="Calibri" w:cs="Calibri"/>
                <w:sz w:val="24"/>
                <w:szCs w:val="24"/>
              </w:rPr>
            </w:pPr>
            <w:r w:rsidRPr="00134B19">
              <w:rPr>
                <w:rFonts w:ascii="Calibri" w:hAnsi="Calibri" w:cs="Calibri"/>
                <w:sz w:val="24"/>
                <w:szCs w:val="24"/>
              </w:rPr>
              <w:t>Les dispositions de la présente norme sont valables pour les toitures des bâtiments d'usage courant (habitation</w:t>
            </w:r>
            <w:r w:rsidR="00134B19">
              <w:rPr>
                <w:rFonts w:ascii="Calibri" w:hAnsi="Calibri" w:cs="Calibri"/>
                <w:sz w:val="24"/>
                <w:szCs w:val="24"/>
              </w:rPr>
              <w:t xml:space="preserve"> </w:t>
            </w:r>
            <w:r w:rsidRPr="00134B19">
              <w:rPr>
                <w:rFonts w:ascii="Calibri" w:hAnsi="Calibri" w:cs="Calibri"/>
                <w:sz w:val="24"/>
                <w:szCs w:val="24"/>
              </w:rPr>
              <w:t>et/ou industriel) (hormis celles sur locaux à température contrôlée inférieure à 0 °C).</w:t>
            </w:r>
          </w:p>
          <w:p w:rsidR="00134B19" w:rsidRDefault="00001B85" w:rsidP="00134B19">
            <w:pPr>
              <w:spacing w:after="0" w:line="240" w:lineRule="auto"/>
              <w:jc w:val="both"/>
              <w:rPr>
                <w:rFonts w:ascii="Calibri" w:hAnsi="Calibri" w:cs="Calibri"/>
                <w:sz w:val="24"/>
                <w:szCs w:val="24"/>
              </w:rPr>
            </w:pPr>
            <w:r w:rsidRPr="00134B19">
              <w:rPr>
                <w:rFonts w:ascii="Calibri" w:hAnsi="Calibri" w:cs="Calibri"/>
                <w:sz w:val="24"/>
                <w:szCs w:val="24"/>
              </w:rPr>
              <w:lastRenderedPageBreak/>
              <w:t>Lorsque les ouvrages ne comportent pas de protection lourde, les dispositions de la présente norme sont valables</w:t>
            </w:r>
            <w:r w:rsidR="00134B19">
              <w:rPr>
                <w:rFonts w:ascii="Calibri" w:hAnsi="Calibri" w:cs="Calibri"/>
                <w:sz w:val="24"/>
                <w:szCs w:val="24"/>
              </w:rPr>
              <w:t xml:space="preserve"> </w:t>
            </w:r>
            <w:r w:rsidRPr="00134B19">
              <w:rPr>
                <w:rFonts w:ascii="Calibri" w:hAnsi="Calibri" w:cs="Calibri"/>
                <w:sz w:val="24"/>
                <w:szCs w:val="24"/>
              </w:rPr>
              <w:t>pour les toitures sur lesquelles l'action du vent n'est pas supérieure à 4 712 Pa.</w:t>
            </w:r>
          </w:p>
          <w:p w:rsidR="00001B85" w:rsidRPr="00134B19" w:rsidRDefault="00001B85" w:rsidP="00134B19">
            <w:pPr>
              <w:spacing w:after="0" w:line="240" w:lineRule="auto"/>
              <w:jc w:val="both"/>
              <w:rPr>
                <w:rFonts w:ascii="Calibri" w:hAnsi="Calibri" w:cs="Calibri"/>
                <w:sz w:val="24"/>
                <w:szCs w:val="24"/>
              </w:rPr>
            </w:pPr>
            <w:r w:rsidRPr="00134B19">
              <w:rPr>
                <w:rFonts w:ascii="Calibri" w:hAnsi="Calibri" w:cs="Calibri"/>
                <w:sz w:val="24"/>
                <w:szCs w:val="24"/>
              </w:rPr>
              <w:t>La destination des toitures est précisée au § 3.2, les pentes admises au § 5.1.</w:t>
            </w:r>
          </w:p>
        </w:tc>
      </w:tr>
      <w:tr w:rsidR="0043547B" w:rsidRPr="0043547B" w:rsidTr="001E0C3C">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1C09B6">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10.8.914</w:t>
            </w:r>
          </w:p>
        </w:tc>
      </w:tr>
      <w:tr w:rsidR="0043547B" w:rsidRPr="0043547B" w:rsidTr="001E0C3C">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Étanchéité - Chape souple de bitume armé à armature en tissu de verre (T.V.) </w:t>
            </w:r>
            <w:r w:rsidR="004D418F" w:rsidRPr="0043547B">
              <w:rPr>
                <w:rFonts w:cstheme="minorHAnsi"/>
                <w:noProof/>
                <w:sz w:val="24"/>
                <w:szCs w:val="24"/>
                <w:lang w:eastAsia="fr-FR"/>
              </w:rPr>
              <w:drawing>
                <wp:inline distT="0" distB="0" distL="0" distR="0" wp14:anchorId="132115C3" wp14:editId="774C98B4">
                  <wp:extent cx="183515" cy="158750"/>
                  <wp:effectExtent l="0" t="0" r="6985" b="0"/>
                  <wp:docPr id="7" name="Image 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8" cstate="print"/>
                          <a:srcRect/>
                          <a:stretch>
                            <a:fillRect/>
                          </a:stretch>
                        </pic:blipFill>
                        <pic:spPr bwMode="auto">
                          <a:xfrm>
                            <a:off x="0" y="0"/>
                            <a:ext cx="185776" cy="160706"/>
                          </a:xfrm>
                          <a:prstGeom prst="rect">
                            <a:avLst/>
                          </a:prstGeom>
                          <a:noFill/>
                          <a:ln w="9525">
                            <a:noFill/>
                            <a:miter lim="800000"/>
                            <a:headEnd/>
                            <a:tailEnd/>
                          </a:ln>
                        </pic:spPr>
                      </pic:pic>
                    </a:graphicData>
                  </a:graphic>
                </wp:inline>
              </w:drawing>
            </w:r>
          </w:p>
        </w:tc>
      </w:tr>
      <w:tr w:rsidR="0043547B" w:rsidRPr="0043547B" w:rsidTr="001E0C3C">
        <w:trPr>
          <w:trHeight w:val="869"/>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a pour objet de définir les produits dénommés «chape souple de bitume armé à armature en tissu de verre (T.V.)».</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en fixe la terminologie, la classification et les caractéristiques de base.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Ces produits sont destinés à être utilisés dans les ouvrages de bâtiment ou de génie civil.</w:t>
            </w:r>
          </w:p>
        </w:tc>
      </w:tr>
      <w:tr w:rsidR="0043547B" w:rsidRPr="0043547B" w:rsidTr="001E0C3C">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1C09B6">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10.8.915</w:t>
            </w:r>
          </w:p>
        </w:tc>
      </w:tr>
      <w:tr w:rsidR="0043547B" w:rsidRPr="0043547B" w:rsidTr="001E0C3C">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hideMark/>
          </w:tcPr>
          <w:p w:rsidR="004D418F" w:rsidRPr="0043547B" w:rsidRDefault="00904E52" w:rsidP="004D418F">
            <w:pPr>
              <w:spacing w:after="0" w:line="240" w:lineRule="auto"/>
              <w:rPr>
                <w:rFonts w:eastAsia="Times New Roman" w:cstheme="minorHAnsi"/>
                <w:w w:val="95"/>
                <w:sz w:val="24"/>
                <w:szCs w:val="24"/>
                <w:lang w:eastAsia="fr-FR"/>
              </w:rPr>
            </w:pPr>
            <w:r w:rsidRPr="0043547B">
              <w:rPr>
                <w:rFonts w:eastAsia="Times New Roman" w:cstheme="minorHAnsi"/>
                <w:w w:val="95"/>
                <w:sz w:val="24"/>
                <w:szCs w:val="24"/>
                <w:lang w:eastAsia="fr-FR"/>
              </w:rPr>
              <w:t>Étanchéité - Feutre bitume à armature en voile de verre à haute résistance (36 S V.V.-H.R.)</w:t>
            </w:r>
            <w:r w:rsidR="00730AD3" w:rsidRPr="0043547B">
              <w:rPr>
                <w:rFonts w:cstheme="minorHAnsi"/>
                <w:noProof/>
                <w:sz w:val="24"/>
                <w:szCs w:val="24"/>
                <w:lang w:eastAsia="fr-FR"/>
              </w:rPr>
              <w:t xml:space="preserve"> </w:t>
            </w:r>
            <w:r w:rsidR="00730AD3" w:rsidRPr="0043547B">
              <w:rPr>
                <w:rFonts w:cstheme="minorHAnsi"/>
                <w:noProof/>
                <w:sz w:val="24"/>
                <w:szCs w:val="24"/>
                <w:lang w:eastAsia="fr-FR"/>
              </w:rPr>
              <w:drawing>
                <wp:inline distT="0" distB="0" distL="0" distR="0" wp14:anchorId="508B1A70" wp14:editId="03822E02">
                  <wp:extent cx="183515" cy="158750"/>
                  <wp:effectExtent l="0" t="0" r="6985" b="0"/>
                  <wp:docPr id="1" name="Image 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8" cstate="print"/>
                          <a:srcRect/>
                          <a:stretch>
                            <a:fillRect/>
                          </a:stretch>
                        </pic:blipFill>
                        <pic:spPr bwMode="auto">
                          <a:xfrm>
                            <a:off x="0" y="0"/>
                            <a:ext cx="185776" cy="160706"/>
                          </a:xfrm>
                          <a:prstGeom prst="rect">
                            <a:avLst/>
                          </a:prstGeom>
                          <a:noFill/>
                          <a:ln w="9525">
                            <a:noFill/>
                            <a:miter lim="800000"/>
                            <a:headEnd/>
                            <a:tailEnd/>
                          </a:ln>
                        </pic:spPr>
                      </pic:pic>
                    </a:graphicData>
                  </a:graphic>
                </wp:inline>
              </w:drawing>
            </w:r>
          </w:p>
          <w:p w:rsidR="00904E52" w:rsidRPr="0043547B" w:rsidRDefault="00904E52" w:rsidP="004D418F">
            <w:pPr>
              <w:spacing w:after="0" w:line="240" w:lineRule="auto"/>
              <w:jc w:val="right"/>
              <w:rPr>
                <w:rFonts w:eastAsia="Times New Roman" w:cstheme="minorHAnsi"/>
                <w:w w:val="95"/>
                <w:sz w:val="24"/>
                <w:szCs w:val="24"/>
                <w:lang w:eastAsia="fr-FR"/>
              </w:rPr>
            </w:pPr>
            <w:r w:rsidRPr="0043547B">
              <w:rPr>
                <w:rFonts w:eastAsia="Times New Roman" w:cstheme="minorHAnsi"/>
                <w:w w:val="95"/>
                <w:sz w:val="24"/>
                <w:szCs w:val="24"/>
                <w:lang w:eastAsia="fr-FR"/>
              </w:rPr>
              <w:t> </w:t>
            </w:r>
          </w:p>
        </w:tc>
      </w:tr>
      <w:tr w:rsidR="0043547B" w:rsidRPr="0043547B" w:rsidTr="001E0C3C">
        <w:trPr>
          <w:trHeight w:val="90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730AD3"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a pour objet de définir le produit dénommé «Feutre bitumé à armature en voile de verre à haute résistance (36 S V.V. - H.R.)». Elle en fixe les caractéristiques de base.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 produit est destiné à être utilisé dans les ouvrages de bâtiment ou de génie civil.</w:t>
            </w:r>
          </w:p>
        </w:tc>
      </w:tr>
      <w:tr w:rsidR="0043547B" w:rsidRPr="0043547B" w:rsidTr="001E0C3C">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10.8.916</w:t>
            </w:r>
          </w:p>
        </w:tc>
      </w:tr>
      <w:tr w:rsidR="0043547B" w:rsidRPr="0043547B" w:rsidTr="001E0C3C">
        <w:trPr>
          <w:trHeight w:val="598"/>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hideMark/>
          </w:tcPr>
          <w:p w:rsidR="004D418F" w:rsidRPr="0043547B" w:rsidRDefault="00904E52" w:rsidP="00904E52">
            <w:pPr>
              <w:spacing w:after="0" w:line="240" w:lineRule="auto"/>
              <w:jc w:val="both"/>
              <w:rPr>
                <w:rFonts w:cstheme="minorHAnsi"/>
                <w:noProof/>
                <w:sz w:val="24"/>
                <w:szCs w:val="24"/>
                <w:lang w:eastAsia="fr-FR"/>
              </w:rPr>
            </w:pPr>
            <w:r w:rsidRPr="0043547B">
              <w:rPr>
                <w:rFonts w:eastAsia="Times New Roman" w:cstheme="minorHAnsi"/>
                <w:w w:val="95"/>
                <w:sz w:val="24"/>
                <w:szCs w:val="24"/>
                <w:lang w:eastAsia="fr-FR"/>
              </w:rPr>
              <w:t>Étanchéité - Feutre bitume à double armature en polyester et voile de verre (36 S P.Y.-V.V.)</w:t>
            </w:r>
            <w:r w:rsidR="00730AD3" w:rsidRPr="0043547B">
              <w:rPr>
                <w:rFonts w:cstheme="minorHAnsi"/>
                <w:noProof/>
                <w:sz w:val="24"/>
                <w:szCs w:val="24"/>
                <w:lang w:eastAsia="fr-FR"/>
              </w:rPr>
              <w:t xml:space="preserve"> </w:t>
            </w:r>
            <w:r w:rsidR="00730AD3" w:rsidRPr="0043547B">
              <w:rPr>
                <w:rFonts w:cstheme="minorHAnsi"/>
                <w:noProof/>
                <w:sz w:val="24"/>
                <w:szCs w:val="24"/>
                <w:lang w:eastAsia="fr-FR"/>
              </w:rPr>
              <w:drawing>
                <wp:inline distT="0" distB="0" distL="0" distR="0" wp14:anchorId="342BA4BF" wp14:editId="095BF8B3">
                  <wp:extent cx="183515" cy="158750"/>
                  <wp:effectExtent l="0" t="0" r="6985" b="0"/>
                  <wp:docPr id="9" name="Image 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8" cstate="print"/>
                          <a:srcRect/>
                          <a:stretch>
                            <a:fillRect/>
                          </a:stretch>
                        </pic:blipFill>
                        <pic:spPr bwMode="auto">
                          <a:xfrm>
                            <a:off x="0" y="0"/>
                            <a:ext cx="185776" cy="160706"/>
                          </a:xfrm>
                          <a:prstGeom prst="rect">
                            <a:avLst/>
                          </a:prstGeom>
                          <a:noFill/>
                          <a:ln w="9525">
                            <a:noFill/>
                            <a:miter lim="800000"/>
                            <a:headEnd/>
                            <a:tailEnd/>
                          </a:ln>
                        </pic:spPr>
                      </pic:pic>
                    </a:graphicData>
                  </a:graphic>
                </wp:inline>
              </w:drawing>
            </w:r>
          </w:p>
          <w:p w:rsidR="00904E52" w:rsidRPr="0043547B" w:rsidRDefault="00904E52" w:rsidP="004D418F">
            <w:pPr>
              <w:spacing w:after="0" w:line="240" w:lineRule="auto"/>
              <w:jc w:val="right"/>
              <w:rPr>
                <w:rFonts w:eastAsia="Times New Roman" w:cstheme="minorHAnsi"/>
                <w:w w:val="95"/>
                <w:sz w:val="24"/>
                <w:szCs w:val="24"/>
                <w:lang w:eastAsia="fr-FR"/>
              </w:rPr>
            </w:pPr>
            <w:r w:rsidRPr="0043547B">
              <w:rPr>
                <w:rFonts w:eastAsia="Times New Roman" w:cstheme="minorHAnsi"/>
                <w:w w:val="95"/>
                <w:sz w:val="24"/>
                <w:szCs w:val="24"/>
                <w:lang w:eastAsia="fr-FR"/>
              </w:rPr>
              <w:t> </w:t>
            </w:r>
          </w:p>
        </w:tc>
      </w:tr>
      <w:tr w:rsidR="0043547B" w:rsidRPr="0043547B" w:rsidTr="001E0C3C">
        <w:trPr>
          <w:trHeight w:val="90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3F409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a pour objet de définir le produit dénommé « Feutre bitumé à double armature en polyester et voile de verre (36 S PY-W) ». Elle en fixe les caractéristiques de base.</w:t>
            </w:r>
            <w:r w:rsidR="003F409D">
              <w:rPr>
                <w:rFonts w:eastAsia="Times New Roman" w:cstheme="minorHAnsi"/>
                <w:sz w:val="24"/>
                <w:szCs w:val="24"/>
                <w:lang w:eastAsia="fr-FR"/>
              </w:rPr>
              <w:t xml:space="preserve"> </w:t>
            </w:r>
            <w:r w:rsidRPr="0043547B">
              <w:rPr>
                <w:rFonts w:eastAsia="Times New Roman" w:cstheme="minorHAnsi"/>
                <w:sz w:val="24"/>
                <w:szCs w:val="24"/>
                <w:lang w:eastAsia="fr-FR"/>
              </w:rPr>
              <w:t>Ce produit est destiné à être utilisé dans les ouvrages de bâtiment ou de génie civil.</w:t>
            </w:r>
          </w:p>
        </w:tc>
      </w:tr>
      <w:tr w:rsidR="0043547B" w:rsidRPr="0043547B" w:rsidTr="001E0C3C">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13984</w:t>
            </w:r>
          </w:p>
        </w:tc>
      </w:tr>
      <w:tr w:rsidR="0043547B" w:rsidRPr="0043547B" w:rsidTr="001E0C3C">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13984 - A1</w:t>
            </w:r>
          </w:p>
        </w:tc>
      </w:tr>
      <w:tr w:rsidR="0043547B" w:rsidRPr="0043547B" w:rsidTr="001E0C3C">
        <w:trPr>
          <w:trHeight w:val="6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Feuilles souples d'étanchéité - Feuilles plastiques et élastomères utilisées comme pare-vapeur - Définitions et caractéristiques </w:t>
            </w:r>
          </w:p>
        </w:tc>
      </w:tr>
      <w:tr w:rsidR="0043547B" w:rsidRPr="0043547B" w:rsidTr="001E0C3C">
        <w:trPr>
          <w:trHeight w:val="85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 présent document spécifie les caractéristiques des feuilles plastiques et élastomères souples utilisées comme pare-vapeur dans les bâtiments et s’applique aux produits armés et non armés. Il spécifie les exigences et les méthodes d’essai et prévoit l’évaluation de la conformité des produits aux exigences du présent document.</w:t>
            </w:r>
          </w:p>
        </w:tc>
      </w:tr>
      <w:tr w:rsidR="0043547B" w:rsidRPr="0043547B" w:rsidTr="001E0C3C">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10.8.934</w:t>
            </w:r>
          </w:p>
        </w:tc>
      </w:tr>
      <w:tr w:rsidR="0043547B" w:rsidRPr="0043547B" w:rsidTr="001E0C3C">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Étanchéité - Feutre bitume à armature en carton feutre (C.F.) </w:t>
            </w:r>
            <w:r w:rsidR="004D418F" w:rsidRPr="0043547B">
              <w:rPr>
                <w:rFonts w:cstheme="minorHAnsi"/>
                <w:noProof/>
                <w:sz w:val="24"/>
                <w:szCs w:val="24"/>
                <w:lang w:eastAsia="fr-FR"/>
              </w:rPr>
              <w:drawing>
                <wp:inline distT="0" distB="0" distL="0" distR="0" wp14:anchorId="28609F2E" wp14:editId="1DC76B60">
                  <wp:extent cx="183515" cy="158750"/>
                  <wp:effectExtent l="0" t="0" r="6985" b="0"/>
                  <wp:docPr id="13" name="Image 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8" cstate="print"/>
                          <a:srcRect/>
                          <a:stretch>
                            <a:fillRect/>
                          </a:stretch>
                        </pic:blipFill>
                        <pic:spPr bwMode="auto">
                          <a:xfrm>
                            <a:off x="0" y="0"/>
                            <a:ext cx="185776" cy="160706"/>
                          </a:xfrm>
                          <a:prstGeom prst="rect">
                            <a:avLst/>
                          </a:prstGeom>
                          <a:noFill/>
                          <a:ln w="9525">
                            <a:noFill/>
                            <a:miter lim="800000"/>
                            <a:headEnd/>
                            <a:tailEnd/>
                          </a:ln>
                        </pic:spPr>
                      </pic:pic>
                    </a:graphicData>
                  </a:graphic>
                </wp:inline>
              </w:drawing>
            </w:r>
          </w:p>
        </w:tc>
      </w:tr>
      <w:tr w:rsidR="0043547B" w:rsidRPr="0043547B" w:rsidTr="001E0C3C">
        <w:trPr>
          <w:trHeight w:val="78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a pour objet de définir les produits dénommés « feutres bitumés imprégnés à armature en carton feutre » dits « feutres imprégnés » et « feutres bitumés surfacés à armature en carton feutre » dits « feutres surfacés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en fixe la terminologie, la classification et les caractéristiques de base. Ces produits sont destinés à être utilisés dans les ouvrages de bâtiment ou de génie civil.</w:t>
            </w:r>
          </w:p>
        </w:tc>
      </w:tr>
      <w:tr w:rsidR="0043547B" w:rsidRPr="0043547B" w:rsidTr="001E0C3C">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10.8.935</w:t>
            </w:r>
          </w:p>
        </w:tc>
      </w:tr>
      <w:tr w:rsidR="0043547B" w:rsidRPr="0043547B" w:rsidTr="001E0C3C">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Étanchéité - Barrière à la vapeur en aluminium bitumé </w:t>
            </w:r>
            <w:r w:rsidR="004D418F" w:rsidRPr="0043547B">
              <w:rPr>
                <w:rFonts w:cstheme="minorHAnsi"/>
                <w:noProof/>
                <w:sz w:val="24"/>
                <w:szCs w:val="24"/>
                <w:lang w:eastAsia="fr-FR"/>
              </w:rPr>
              <w:drawing>
                <wp:inline distT="0" distB="0" distL="0" distR="0" wp14:anchorId="066EF62E" wp14:editId="69E6EDF1">
                  <wp:extent cx="183515" cy="158750"/>
                  <wp:effectExtent l="0" t="0" r="6985" b="0"/>
                  <wp:docPr id="17" name="Image 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8" cstate="print"/>
                          <a:srcRect/>
                          <a:stretch>
                            <a:fillRect/>
                          </a:stretch>
                        </pic:blipFill>
                        <pic:spPr bwMode="auto">
                          <a:xfrm>
                            <a:off x="0" y="0"/>
                            <a:ext cx="185776" cy="160706"/>
                          </a:xfrm>
                          <a:prstGeom prst="rect">
                            <a:avLst/>
                          </a:prstGeom>
                          <a:noFill/>
                          <a:ln w="9525">
                            <a:noFill/>
                            <a:miter lim="800000"/>
                            <a:headEnd/>
                            <a:tailEnd/>
                          </a:ln>
                        </pic:spPr>
                      </pic:pic>
                    </a:graphicData>
                  </a:graphic>
                </wp:inline>
              </w:drawing>
            </w:r>
          </w:p>
        </w:tc>
      </w:tr>
      <w:tr w:rsidR="0043547B" w:rsidRPr="0043547B" w:rsidTr="001E0C3C">
        <w:trPr>
          <w:trHeight w:val="559"/>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a pour objet de définir les feuilles bitumées spécialement conçues pour empêcher la migration de la vapeur d'eau.</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en fixe la terminologie et les caractéristiques de base.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 produit est destiné à être utilisé dans les ouvrages de bâtiment ou de génie civil.</w:t>
            </w:r>
          </w:p>
        </w:tc>
      </w:tr>
      <w:tr w:rsidR="0043547B" w:rsidRPr="0043547B" w:rsidTr="001E0C3C">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10.8.965</w:t>
            </w:r>
          </w:p>
        </w:tc>
      </w:tr>
      <w:tr w:rsidR="0043547B" w:rsidRPr="0043547B" w:rsidTr="001E0C3C">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13967 - A1</w:t>
            </w:r>
          </w:p>
        </w:tc>
      </w:tr>
      <w:tr w:rsidR="0043547B" w:rsidRPr="0043547B" w:rsidTr="001E0C3C">
        <w:trPr>
          <w:trHeight w:val="6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Feuilles souples d'étanchéité - Feuilles plastiques et élastomères empêchant les remontées capillaires du sol - Définitions et caractéristiques </w:t>
            </w:r>
          </w:p>
        </w:tc>
      </w:tr>
      <w:tr w:rsidR="0043547B" w:rsidRPr="0043547B" w:rsidTr="001E0C3C">
        <w:trPr>
          <w:trHeight w:val="1535"/>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La norme spécifie les définitions et les caractéristiques des feuilles souples plastiques et élastomères dont l'usage prévu consiste à empêcher les remontées capillaires du sol dans les bâtiments. Elle spécifie les exigences et les méthodes d'essai et fournit des indications relatives à l'évaluation de la conformité des produits aux exigences de la norme. </w:t>
            </w:r>
          </w:p>
        </w:tc>
      </w:tr>
      <w:tr w:rsidR="000555C5" w:rsidRPr="0043547B" w:rsidTr="001E0C3C">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0555C5" w:rsidRPr="005A698F" w:rsidRDefault="000555C5" w:rsidP="005A698F">
            <w:pPr>
              <w:spacing w:after="0" w:line="240" w:lineRule="auto"/>
              <w:jc w:val="center"/>
              <w:rPr>
                <w:rFonts w:ascii="Calibri" w:hAnsi="Calibri" w:cs="Calibri"/>
                <w:b/>
                <w:bCs/>
              </w:rPr>
            </w:pPr>
            <w:r w:rsidRPr="005A698F">
              <w:rPr>
                <w:rFonts w:ascii="Calibri" w:hAnsi="Calibri" w:cs="Calibri"/>
                <w:b/>
                <w:bCs/>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hideMark/>
          </w:tcPr>
          <w:p w:rsidR="000555C5" w:rsidRPr="005A698F" w:rsidRDefault="000555C5" w:rsidP="005A698F">
            <w:pPr>
              <w:spacing w:after="0" w:line="240" w:lineRule="auto"/>
              <w:jc w:val="center"/>
              <w:rPr>
                <w:rFonts w:ascii="Calibri" w:hAnsi="Calibri" w:cs="Calibri"/>
                <w:b/>
                <w:bCs/>
                <w:sz w:val="24"/>
                <w:szCs w:val="24"/>
              </w:rPr>
            </w:pPr>
            <w:r w:rsidRPr="005A698F">
              <w:rPr>
                <w:rFonts w:ascii="Calibri" w:hAnsi="Calibri" w:cs="Calibri"/>
                <w:b/>
                <w:bCs/>
                <w:sz w:val="24"/>
                <w:szCs w:val="24"/>
              </w:rPr>
              <w:t>NM  EN 14909</w:t>
            </w:r>
          </w:p>
        </w:tc>
      </w:tr>
      <w:tr w:rsidR="000555C5" w:rsidRPr="0043547B" w:rsidTr="001E0C3C">
        <w:trPr>
          <w:trHeight w:val="412"/>
          <w:jc w:val="center"/>
        </w:trPr>
        <w:tc>
          <w:tcPr>
            <w:tcW w:w="1838" w:type="dxa"/>
            <w:tcBorders>
              <w:top w:val="single" w:sz="18" w:space="0" w:color="auto"/>
              <w:left w:val="single" w:sz="18" w:space="0" w:color="auto"/>
              <w:bottom w:val="single" w:sz="18" w:space="0" w:color="auto"/>
              <w:right w:val="single" w:sz="4" w:space="0" w:color="auto"/>
            </w:tcBorders>
            <w:shd w:val="clear" w:color="auto" w:fill="FFFF99"/>
            <w:vAlign w:val="center"/>
            <w:hideMark/>
          </w:tcPr>
          <w:p w:rsidR="000555C5" w:rsidRPr="005A698F" w:rsidRDefault="000555C5" w:rsidP="005A698F">
            <w:pPr>
              <w:spacing w:after="0" w:line="240" w:lineRule="auto"/>
              <w:jc w:val="center"/>
              <w:rPr>
                <w:rFonts w:ascii="Calibri" w:hAnsi="Calibri" w:cs="Calibri"/>
                <w:b/>
                <w:bCs/>
                <w:sz w:val="24"/>
                <w:szCs w:val="24"/>
              </w:rPr>
            </w:pPr>
            <w:r w:rsidRPr="005A698F">
              <w:rPr>
                <w:rFonts w:ascii="Calibri" w:hAnsi="Calibri" w:cs="Calibri"/>
                <w:b/>
                <w:bCs/>
              </w:rPr>
              <w:t>Equivalence :</w:t>
            </w:r>
          </w:p>
        </w:tc>
        <w:tc>
          <w:tcPr>
            <w:tcW w:w="7938" w:type="dxa"/>
            <w:tcBorders>
              <w:top w:val="single" w:sz="18" w:space="0" w:color="auto"/>
              <w:left w:val="single" w:sz="4" w:space="0" w:color="auto"/>
              <w:bottom w:val="single" w:sz="18" w:space="0" w:color="auto"/>
              <w:right w:val="single" w:sz="18" w:space="0" w:color="auto"/>
            </w:tcBorders>
            <w:shd w:val="clear" w:color="auto" w:fill="FFFF99"/>
            <w:hideMark/>
          </w:tcPr>
          <w:p w:rsidR="000555C5" w:rsidRPr="005A698F" w:rsidRDefault="000555C5" w:rsidP="005A698F">
            <w:pPr>
              <w:spacing w:after="0" w:line="240" w:lineRule="auto"/>
              <w:jc w:val="center"/>
              <w:rPr>
                <w:rFonts w:ascii="Calibri" w:hAnsi="Calibri" w:cs="Calibri"/>
                <w:b/>
                <w:bCs/>
                <w:sz w:val="24"/>
                <w:szCs w:val="24"/>
              </w:rPr>
            </w:pPr>
            <w:r w:rsidRPr="005A698F">
              <w:rPr>
                <w:rFonts w:ascii="Calibri" w:hAnsi="Calibri" w:cs="Calibri"/>
                <w:b/>
                <w:bCs/>
                <w:sz w:val="24"/>
                <w:szCs w:val="24"/>
              </w:rPr>
              <w:t>EN 14909</w:t>
            </w:r>
          </w:p>
        </w:tc>
      </w:tr>
      <w:tr w:rsidR="000555C5" w:rsidRPr="0043547B" w:rsidTr="001E0C3C">
        <w:trPr>
          <w:trHeight w:val="600"/>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0555C5" w:rsidRPr="005A698F" w:rsidRDefault="000555C5" w:rsidP="005A698F">
            <w:pPr>
              <w:spacing w:after="0" w:line="240" w:lineRule="auto"/>
              <w:jc w:val="center"/>
              <w:rPr>
                <w:rFonts w:ascii="Calibri" w:hAnsi="Calibri" w:cs="Calibri"/>
                <w:b/>
                <w:bCs/>
                <w:sz w:val="24"/>
                <w:szCs w:val="24"/>
              </w:rPr>
            </w:pPr>
            <w:r w:rsidRPr="005A698F">
              <w:rPr>
                <w:rFonts w:ascii="Calibri" w:hAnsi="Calibri" w:cs="Calibri"/>
                <w:b/>
                <w:bCs/>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hideMark/>
          </w:tcPr>
          <w:p w:rsidR="000555C5" w:rsidRPr="005A698F" w:rsidRDefault="000555C5" w:rsidP="005A698F">
            <w:pPr>
              <w:spacing w:after="0" w:line="240" w:lineRule="auto"/>
              <w:rPr>
                <w:rFonts w:ascii="Calibri" w:hAnsi="Calibri" w:cs="Calibri"/>
                <w:sz w:val="24"/>
                <w:szCs w:val="24"/>
              </w:rPr>
            </w:pPr>
            <w:r w:rsidRPr="005A698F">
              <w:rPr>
                <w:rFonts w:ascii="Calibri" w:hAnsi="Calibri" w:cs="Calibri"/>
                <w:sz w:val="24"/>
                <w:szCs w:val="24"/>
              </w:rPr>
              <w:t xml:space="preserve"> Feuilles souples d'étanchéité - Barrières d'étanchéité plastiques et élastomères contre les remontées capillaires dans les murs - Définitions et caractéristiques </w:t>
            </w:r>
          </w:p>
        </w:tc>
      </w:tr>
      <w:tr w:rsidR="000555C5" w:rsidRPr="0043547B" w:rsidTr="001E0C3C">
        <w:trPr>
          <w:trHeight w:val="1712"/>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0555C5" w:rsidRPr="005A698F" w:rsidRDefault="000555C5" w:rsidP="005A698F">
            <w:pPr>
              <w:spacing w:after="0" w:line="240" w:lineRule="auto"/>
              <w:jc w:val="center"/>
              <w:rPr>
                <w:rFonts w:ascii="Calibri" w:hAnsi="Calibri" w:cs="Calibri"/>
                <w:b/>
                <w:bCs/>
                <w:sz w:val="24"/>
                <w:szCs w:val="24"/>
              </w:rPr>
            </w:pPr>
            <w:r w:rsidRPr="005A698F">
              <w:rPr>
                <w:rFonts w:ascii="Calibri" w:hAnsi="Calibri" w:cs="Calibri"/>
                <w:b/>
                <w:bCs/>
              </w:rPr>
              <w:t>Domaine d’application :</w:t>
            </w:r>
          </w:p>
        </w:tc>
        <w:tc>
          <w:tcPr>
            <w:tcW w:w="7938" w:type="dxa"/>
            <w:tcBorders>
              <w:top w:val="nil"/>
              <w:left w:val="single" w:sz="4" w:space="0" w:color="auto"/>
              <w:bottom w:val="single" w:sz="18" w:space="0" w:color="auto"/>
              <w:right w:val="single" w:sz="18" w:space="0" w:color="auto"/>
            </w:tcBorders>
            <w:shd w:val="clear" w:color="auto" w:fill="auto"/>
            <w:hideMark/>
          </w:tcPr>
          <w:p w:rsidR="005A698F" w:rsidRDefault="000555C5" w:rsidP="005A698F">
            <w:pPr>
              <w:spacing w:after="0" w:line="240" w:lineRule="auto"/>
              <w:jc w:val="both"/>
              <w:rPr>
                <w:rFonts w:ascii="Calibri" w:hAnsi="Calibri" w:cs="Calibri"/>
                <w:sz w:val="24"/>
                <w:szCs w:val="24"/>
              </w:rPr>
            </w:pPr>
            <w:r w:rsidRPr="005A698F">
              <w:rPr>
                <w:rFonts w:ascii="Calibri" w:hAnsi="Calibri" w:cs="Calibri"/>
                <w:sz w:val="24"/>
                <w:szCs w:val="24"/>
              </w:rPr>
              <w:t>La présente Norme spécifie les caractéristiques des feuilles souples plastiques et élastomères destinées</w:t>
            </w:r>
            <w:r w:rsidR="00B841B8" w:rsidRPr="005A698F">
              <w:rPr>
                <w:rFonts w:ascii="Calibri" w:hAnsi="Calibri" w:cs="Calibri"/>
                <w:sz w:val="24"/>
                <w:szCs w:val="24"/>
              </w:rPr>
              <w:t xml:space="preserve"> </w:t>
            </w:r>
            <w:r w:rsidRPr="005A698F">
              <w:rPr>
                <w:rFonts w:ascii="Calibri" w:hAnsi="Calibri" w:cs="Calibri"/>
                <w:sz w:val="24"/>
                <w:szCs w:val="24"/>
              </w:rPr>
              <w:t>à être utilisées comme barrières d'étanchéité contre les remontées capillaires dans les murs de bâtiments.</w:t>
            </w:r>
          </w:p>
          <w:p w:rsidR="000555C5" w:rsidRPr="005A698F" w:rsidRDefault="000555C5" w:rsidP="005A698F">
            <w:pPr>
              <w:spacing w:after="0" w:line="240" w:lineRule="auto"/>
              <w:jc w:val="both"/>
              <w:rPr>
                <w:rFonts w:ascii="Calibri" w:hAnsi="Calibri" w:cs="Calibri"/>
                <w:sz w:val="24"/>
                <w:szCs w:val="24"/>
              </w:rPr>
            </w:pPr>
            <w:r w:rsidRPr="005A698F">
              <w:rPr>
                <w:rFonts w:ascii="Calibri" w:hAnsi="Calibri" w:cs="Calibri"/>
                <w:sz w:val="24"/>
                <w:szCs w:val="24"/>
              </w:rPr>
              <w:t>Elle précise les exigences et les méthodes d’essai et prévoit l’évaluation de la conformité de ces produits aux</w:t>
            </w:r>
            <w:r w:rsidR="00B841B8" w:rsidRPr="005A698F">
              <w:rPr>
                <w:rFonts w:ascii="Calibri" w:hAnsi="Calibri" w:cs="Calibri"/>
                <w:sz w:val="24"/>
                <w:szCs w:val="24"/>
              </w:rPr>
              <w:t xml:space="preserve"> </w:t>
            </w:r>
            <w:r w:rsidRPr="005A698F">
              <w:rPr>
                <w:rFonts w:ascii="Calibri" w:hAnsi="Calibri" w:cs="Calibri"/>
                <w:sz w:val="24"/>
                <w:szCs w:val="24"/>
              </w:rPr>
              <w:t>exigences de la présente Norme européenne.</w:t>
            </w:r>
            <w:r w:rsidRPr="005A698F">
              <w:rPr>
                <w:rFonts w:ascii="Calibri" w:hAnsi="Calibri" w:cs="Calibri"/>
                <w:sz w:val="24"/>
                <w:szCs w:val="24"/>
              </w:rPr>
              <w:br/>
              <w:t>La présente Norme ne porte pas sur des produits connexes tels que les feuilles gaufrées, plaques de</w:t>
            </w:r>
            <w:r w:rsidR="00B841B8" w:rsidRPr="005A698F">
              <w:rPr>
                <w:rFonts w:ascii="Calibri" w:hAnsi="Calibri" w:cs="Calibri"/>
                <w:sz w:val="24"/>
                <w:szCs w:val="24"/>
              </w:rPr>
              <w:t xml:space="preserve"> </w:t>
            </w:r>
            <w:r w:rsidRPr="005A698F">
              <w:rPr>
                <w:rFonts w:ascii="Calibri" w:hAnsi="Calibri" w:cs="Calibri"/>
                <w:sz w:val="24"/>
                <w:szCs w:val="24"/>
              </w:rPr>
              <w:t>couronnement et bandes solins préformées.</w:t>
            </w:r>
          </w:p>
        </w:tc>
      </w:tr>
      <w:tr w:rsidR="00D26BB4" w:rsidRPr="0043547B" w:rsidTr="001E0C3C">
        <w:trPr>
          <w:trHeight w:val="493"/>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D26BB4" w:rsidRPr="005A698F" w:rsidRDefault="00D26BB4" w:rsidP="005A698F">
            <w:pPr>
              <w:spacing w:after="0" w:line="240" w:lineRule="auto"/>
              <w:jc w:val="center"/>
              <w:rPr>
                <w:rFonts w:ascii="Calibri" w:hAnsi="Calibri" w:cs="Calibri"/>
                <w:b/>
                <w:bCs/>
                <w:sz w:val="24"/>
                <w:szCs w:val="24"/>
              </w:rPr>
            </w:pPr>
            <w:r w:rsidRPr="005A698F">
              <w:rPr>
                <w:rFonts w:ascii="Calibri" w:hAnsi="Calibri" w:cs="Calibri"/>
                <w:b/>
                <w:bCs/>
                <w:sz w:val="24"/>
                <w:szCs w:val="24"/>
              </w:rPr>
              <w:t>Code :</w:t>
            </w:r>
          </w:p>
        </w:tc>
        <w:tc>
          <w:tcPr>
            <w:tcW w:w="7938" w:type="dxa"/>
            <w:tcBorders>
              <w:top w:val="nil"/>
              <w:left w:val="single" w:sz="4" w:space="0" w:color="auto"/>
              <w:bottom w:val="single" w:sz="18" w:space="0" w:color="auto"/>
              <w:right w:val="single" w:sz="18" w:space="0" w:color="auto"/>
            </w:tcBorders>
            <w:shd w:val="clear" w:color="auto" w:fill="C2D69B" w:themeFill="accent3" w:themeFillTint="99"/>
            <w:vAlign w:val="center"/>
          </w:tcPr>
          <w:p w:rsidR="00D26BB4" w:rsidRPr="005A698F" w:rsidRDefault="00D26BB4" w:rsidP="005A698F">
            <w:pPr>
              <w:spacing w:after="0" w:line="240" w:lineRule="auto"/>
              <w:jc w:val="center"/>
              <w:rPr>
                <w:rFonts w:ascii="Times New Roman" w:hAnsi="Times New Roman" w:cs="Times New Roman"/>
                <w:b/>
                <w:bCs/>
                <w:color w:val="000000"/>
                <w:sz w:val="24"/>
                <w:szCs w:val="24"/>
              </w:rPr>
            </w:pPr>
            <w:r w:rsidRPr="005A698F">
              <w:rPr>
                <w:b/>
                <w:bCs/>
                <w:color w:val="000000"/>
                <w:sz w:val="24"/>
                <w:szCs w:val="24"/>
              </w:rPr>
              <w:t>NM EN 14964</w:t>
            </w:r>
          </w:p>
        </w:tc>
      </w:tr>
      <w:tr w:rsidR="00D26BB4" w:rsidRPr="0043547B" w:rsidTr="001E0C3C">
        <w:trPr>
          <w:trHeight w:val="359"/>
          <w:jc w:val="center"/>
        </w:trPr>
        <w:tc>
          <w:tcPr>
            <w:tcW w:w="1838" w:type="dxa"/>
            <w:tcBorders>
              <w:top w:val="nil"/>
              <w:left w:val="single" w:sz="18" w:space="0" w:color="auto"/>
              <w:bottom w:val="single" w:sz="18" w:space="0" w:color="auto"/>
              <w:right w:val="single" w:sz="4" w:space="0" w:color="auto"/>
            </w:tcBorders>
            <w:shd w:val="clear" w:color="auto" w:fill="FFFFCC"/>
            <w:vAlign w:val="center"/>
          </w:tcPr>
          <w:p w:rsidR="00D26BB4" w:rsidRPr="005A698F" w:rsidRDefault="00D26BB4" w:rsidP="005A698F">
            <w:pPr>
              <w:spacing w:after="0" w:line="240" w:lineRule="auto"/>
              <w:jc w:val="center"/>
              <w:rPr>
                <w:rFonts w:ascii="Calibri" w:hAnsi="Calibri" w:cs="Calibri"/>
                <w:b/>
                <w:bCs/>
                <w:sz w:val="24"/>
                <w:szCs w:val="24"/>
              </w:rPr>
            </w:pPr>
            <w:r w:rsidRPr="005A698F">
              <w:rPr>
                <w:rFonts w:ascii="Calibri" w:hAnsi="Calibri" w:cs="Calibri"/>
                <w:b/>
                <w:bCs/>
                <w:sz w:val="24"/>
                <w:szCs w:val="24"/>
              </w:rPr>
              <w:t>Equivalence :</w:t>
            </w:r>
          </w:p>
        </w:tc>
        <w:tc>
          <w:tcPr>
            <w:tcW w:w="7938" w:type="dxa"/>
            <w:tcBorders>
              <w:top w:val="nil"/>
              <w:left w:val="single" w:sz="4" w:space="0" w:color="auto"/>
              <w:bottom w:val="single" w:sz="18" w:space="0" w:color="auto"/>
              <w:right w:val="single" w:sz="18" w:space="0" w:color="auto"/>
            </w:tcBorders>
            <w:shd w:val="clear" w:color="auto" w:fill="FFFFCC"/>
            <w:vAlign w:val="center"/>
          </w:tcPr>
          <w:p w:rsidR="00D26BB4" w:rsidRPr="005A698F" w:rsidRDefault="00D26BB4" w:rsidP="005A698F">
            <w:pPr>
              <w:spacing w:after="0" w:line="240" w:lineRule="auto"/>
              <w:jc w:val="center"/>
              <w:rPr>
                <w:rFonts w:ascii="Times New Roman" w:hAnsi="Times New Roman" w:cs="Times New Roman"/>
                <w:b/>
                <w:bCs/>
                <w:color w:val="000000"/>
                <w:sz w:val="24"/>
                <w:szCs w:val="24"/>
              </w:rPr>
            </w:pPr>
            <w:r w:rsidRPr="005A698F">
              <w:rPr>
                <w:b/>
                <w:bCs/>
                <w:color w:val="000000"/>
                <w:sz w:val="24"/>
                <w:szCs w:val="24"/>
              </w:rPr>
              <w:t>EN 14964</w:t>
            </w:r>
          </w:p>
        </w:tc>
      </w:tr>
      <w:tr w:rsidR="00D26BB4" w:rsidRPr="0043547B" w:rsidTr="001E0C3C">
        <w:trPr>
          <w:trHeight w:val="414"/>
          <w:jc w:val="center"/>
        </w:trPr>
        <w:tc>
          <w:tcPr>
            <w:tcW w:w="1838" w:type="dxa"/>
            <w:tcBorders>
              <w:top w:val="single" w:sz="18" w:space="0" w:color="auto"/>
              <w:left w:val="single" w:sz="18" w:space="0" w:color="auto"/>
              <w:bottom w:val="single" w:sz="4" w:space="0" w:color="auto"/>
              <w:right w:val="single" w:sz="4" w:space="0" w:color="auto"/>
            </w:tcBorders>
            <w:shd w:val="clear" w:color="auto" w:fill="95B3D7" w:themeFill="accent1" w:themeFillTint="99"/>
            <w:vAlign w:val="center"/>
          </w:tcPr>
          <w:p w:rsidR="00D26BB4" w:rsidRPr="005A698F" w:rsidRDefault="00D26BB4" w:rsidP="005A698F">
            <w:pPr>
              <w:spacing w:after="0" w:line="240" w:lineRule="auto"/>
              <w:jc w:val="center"/>
              <w:rPr>
                <w:rFonts w:ascii="Calibri" w:hAnsi="Calibri" w:cs="Calibri"/>
                <w:b/>
                <w:bCs/>
                <w:sz w:val="24"/>
                <w:szCs w:val="24"/>
              </w:rPr>
            </w:pPr>
            <w:r w:rsidRPr="005A698F">
              <w:rPr>
                <w:rFonts w:ascii="Calibri" w:hAnsi="Calibri" w:cs="Calibr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bottom"/>
          </w:tcPr>
          <w:p w:rsidR="00D26BB4" w:rsidRPr="005A698F" w:rsidRDefault="00D26BB4" w:rsidP="005A698F">
            <w:pPr>
              <w:spacing w:after="0" w:line="240" w:lineRule="auto"/>
              <w:jc w:val="both"/>
              <w:rPr>
                <w:rFonts w:ascii="Times New Roman" w:hAnsi="Times New Roman" w:cs="Times New Roman"/>
                <w:color w:val="000000"/>
                <w:sz w:val="24"/>
                <w:szCs w:val="24"/>
              </w:rPr>
            </w:pPr>
            <w:r w:rsidRPr="005A698F">
              <w:rPr>
                <w:color w:val="000000"/>
                <w:sz w:val="24"/>
                <w:szCs w:val="24"/>
              </w:rPr>
              <w:t xml:space="preserve">Écrans  rigides  sous-toiture  pour  pose  en  dis- continu  -  Définitions  et  caractéristiques </w:t>
            </w:r>
          </w:p>
        </w:tc>
      </w:tr>
      <w:tr w:rsidR="00D26BB4" w:rsidRPr="0043547B" w:rsidTr="001E0C3C">
        <w:trPr>
          <w:trHeight w:val="1712"/>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D26BB4" w:rsidRPr="005A698F" w:rsidRDefault="00D26BB4" w:rsidP="005A698F">
            <w:pPr>
              <w:spacing w:after="0" w:line="240" w:lineRule="auto"/>
              <w:jc w:val="center"/>
              <w:rPr>
                <w:rFonts w:ascii="Calibri" w:hAnsi="Calibri" w:cs="Calibri"/>
                <w:b/>
                <w:bCs/>
                <w:sz w:val="24"/>
                <w:szCs w:val="24"/>
              </w:rPr>
            </w:pPr>
            <w:r w:rsidRPr="005A698F">
              <w:rPr>
                <w:rFonts w:ascii="Calibri" w:hAnsi="Calibri" w:cs="Calibr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bottom"/>
          </w:tcPr>
          <w:p w:rsidR="00B841B8" w:rsidRPr="005A698F" w:rsidRDefault="00D26BB4" w:rsidP="005A698F">
            <w:pPr>
              <w:spacing w:after="0" w:line="240" w:lineRule="auto"/>
              <w:jc w:val="both"/>
              <w:rPr>
                <w:color w:val="000000"/>
                <w:sz w:val="24"/>
                <w:szCs w:val="24"/>
              </w:rPr>
            </w:pPr>
            <w:r w:rsidRPr="005A698F">
              <w:rPr>
                <w:color w:val="000000"/>
                <w:sz w:val="24"/>
                <w:szCs w:val="24"/>
              </w:rPr>
              <w:t>La présente Norme couvre les éléments d’habillage, les éléments individuels des ossatures,</w:t>
            </w:r>
            <w:r w:rsidR="00B841B8" w:rsidRPr="005A698F">
              <w:rPr>
                <w:color w:val="000000"/>
                <w:sz w:val="24"/>
                <w:szCs w:val="24"/>
              </w:rPr>
              <w:t xml:space="preserve"> </w:t>
            </w:r>
            <w:r w:rsidRPr="005A698F">
              <w:rPr>
                <w:color w:val="000000"/>
                <w:sz w:val="24"/>
                <w:szCs w:val="24"/>
              </w:rPr>
              <w:t>les</w:t>
            </w:r>
            <w:r w:rsidR="00B841B8" w:rsidRPr="005A698F">
              <w:rPr>
                <w:color w:val="000000"/>
                <w:sz w:val="24"/>
                <w:szCs w:val="24"/>
              </w:rPr>
              <w:t xml:space="preserve"> </w:t>
            </w:r>
            <w:r w:rsidRPr="005A698F">
              <w:rPr>
                <w:color w:val="000000"/>
                <w:sz w:val="24"/>
                <w:szCs w:val="24"/>
              </w:rPr>
              <w:t>ossatures vendues sous forme de kits et les plafonds suspendus vendus sous forme de kits destinés à être</w:t>
            </w:r>
            <w:r w:rsidR="00B841B8" w:rsidRPr="005A698F">
              <w:rPr>
                <w:color w:val="000000"/>
                <w:sz w:val="24"/>
                <w:szCs w:val="24"/>
              </w:rPr>
              <w:t xml:space="preserve"> </w:t>
            </w:r>
            <w:r w:rsidRPr="005A698F">
              <w:rPr>
                <w:color w:val="000000"/>
                <w:sz w:val="24"/>
                <w:szCs w:val="24"/>
              </w:rPr>
              <w:t>mis sur le marché. Elle couvre les plafonds suspendus vendus sous forme de kits complets, les ossatures</w:t>
            </w:r>
            <w:r w:rsidR="00B841B8" w:rsidRPr="005A698F">
              <w:rPr>
                <w:color w:val="000000"/>
                <w:sz w:val="24"/>
                <w:szCs w:val="24"/>
              </w:rPr>
              <w:t xml:space="preserve"> </w:t>
            </w:r>
            <w:r w:rsidRPr="005A698F">
              <w:rPr>
                <w:color w:val="000000"/>
                <w:sz w:val="24"/>
                <w:szCs w:val="24"/>
              </w:rPr>
              <w:t>mises sur le marché sous forme de kits, les éléments (produits) individuels de ces ossatures et les éléments</w:t>
            </w:r>
            <w:r w:rsidR="00B841B8" w:rsidRPr="005A698F">
              <w:rPr>
                <w:color w:val="000000"/>
                <w:sz w:val="24"/>
                <w:szCs w:val="24"/>
              </w:rPr>
              <w:t xml:space="preserve"> </w:t>
            </w:r>
            <w:r w:rsidRPr="005A698F">
              <w:rPr>
                <w:color w:val="000000"/>
                <w:sz w:val="24"/>
                <w:szCs w:val="24"/>
              </w:rPr>
              <w:t>d’habillage. Elle contient les méthodes d'essai et d'évaluation ainsi que les dispositions relatives à l'évaluation</w:t>
            </w:r>
            <w:r w:rsidR="00B841B8" w:rsidRPr="005A698F">
              <w:rPr>
                <w:color w:val="000000"/>
                <w:sz w:val="24"/>
                <w:szCs w:val="24"/>
              </w:rPr>
              <w:t xml:space="preserve"> </w:t>
            </w:r>
            <w:r w:rsidRPr="005A698F">
              <w:rPr>
                <w:color w:val="000000"/>
                <w:sz w:val="24"/>
                <w:szCs w:val="24"/>
              </w:rPr>
              <w:t>de la conformité et au marquage des produits aux exigences de la présente Norme.</w:t>
            </w:r>
          </w:p>
          <w:p w:rsidR="00B841B8" w:rsidRPr="005A698F" w:rsidRDefault="00D26BB4" w:rsidP="005A698F">
            <w:pPr>
              <w:spacing w:after="0" w:line="240" w:lineRule="auto"/>
              <w:jc w:val="both"/>
              <w:rPr>
                <w:color w:val="000000"/>
                <w:sz w:val="24"/>
                <w:szCs w:val="24"/>
              </w:rPr>
            </w:pPr>
            <w:r w:rsidRPr="005A698F">
              <w:rPr>
                <w:color w:val="000000"/>
                <w:sz w:val="24"/>
                <w:szCs w:val="24"/>
              </w:rPr>
              <w:t>En l'absence de toute autre Norme européenne, la présente Norme européenne spécifie les dimensions,</w:t>
            </w:r>
            <w:r w:rsidR="00B841B8" w:rsidRPr="005A698F">
              <w:rPr>
                <w:color w:val="000000"/>
                <w:sz w:val="24"/>
                <w:szCs w:val="24"/>
              </w:rPr>
              <w:t xml:space="preserve"> </w:t>
            </w:r>
            <w:r w:rsidRPr="005A698F">
              <w:rPr>
                <w:color w:val="000000"/>
                <w:sz w:val="24"/>
                <w:szCs w:val="24"/>
              </w:rPr>
              <w:t>les</w:t>
            </w:r>
            <w:r w:rsidR="00B841B8" w:rsidRPr="005A698F">
              <w:rPr>
                <w:color w:val="000000"/>
                <w:sz w:val="24"/>
                <w:szCs w:val="24"/>
              </w:rPr>
              <w:t xml:space="preserve"> </w:t>
            </w:r>
            <w:r w:rsidRPr="005A698F">
              <w:rPr>
                <w:color w:val="000000"/>
                <w:sz w:val="24"/>
                <w:szCs w:val="24"/>
              </w:rPr>
              <w:t>tolérances et, le cas échéant, les exigences de performance des ossatures de plafond et des éléments</w:t>
            </w:r>
            <w:r w:rsidR="00B841B8" w:rsidRPr="005A698F">
              <w:rPr>
                <w:color w:val="000000"/>
                <w:sz w:val="24"/>
                <w:szCs w:val="24"/>
              </w:rPr>
              <w:t xml:space="preserve"> </w:t>
            </w:r>
            <w:r w:rsidRPr="005A698F">
              <w:rPr>
                <w:color w:val="000000"/>
                <w:sz w:val="24"/>
                <w:szCs w:val="24"/>
              </w:rPr>
              <w:t>d’habillage couramment disponibles.</w:t>
            </w:r>
          </w:p>
          <w:p w:rsidR="00B841B8" w:rsidRPr="005A698F" w:rsidRDefault="00D26BB4" w:rsidP="005A698F">
            <w:pPr>
              <w:spacing w:after="0" w:line="240" w:lineRule="auto"/>
              <w:jc w:val="both"/>
              <w:rPr>
                <w:color w:val="000000"/>
                <w:sz w:val="24"/>
                <w:szCs w:val="24"/>
              </w:rPr>
            </w:pPr>
            <w:r w:rsidRPr="005A698F">
              <w:rPr>
                <w:color w:val="000000"/>
                <w:sz w:val="24"/>
                <w:szCs w:val="24"/>
              </w:rPr>
              <w:t>La présente Norme européenne couvre les caractéristiques suivantes :</w:t>
            </w:r>
          </w:p>
          <w:p w:rsidR="00B841B8" w:rsidRPr="005A698F" w:rsidRDefault="005A698F" w:rsidP="005A698F">
            <w:pPr>
              <w:spacing w:after="0" w:line="240" w:lineRule="auto"/>
              <w:jc w:val="both"/>
              <w:rPr>
                <w:color w:val="000000"/>
                <w:sz w:val="24"/>
                <w:szCs w:val="24"/>
              </w:rPr>
            </w:pPr>
            <w:r>
              <w:rPr>
                <w:color w:val="000000"/>
                <w:sz w:val="24"/>
                <w:szCs w:val="24"/>
              </w:rPr>
              <w:t>-</w:t>
            </w:r>
            <w:r w:rsidR="00D26BB4" w:rsidRPr="005A698F">
              <w:rPr>
                <w:color w:val="000000"/>
                <w:sz w:val="24"/>
                <w:szCs w:val="24"/>
              </w:rPr>
              <w:t xml:space="preserve"> la réaction au feu ;</w:t>
            </w:r>
          </w:p>
          <w:p w:rsidR="00B841B8" w:rsidRPr="005A698F" w:rsidRDefault="005A698F" w:rsidP="005A698F">
            <w:pPr>
              <w:spacing w:after="0" w:line="240" w:lineRule="auto"/>
              <w:jc w:val="both"/>
              <w:rPr>
                <w:color w:val="000000"/>
                <w:sz w:val="24"/>
                <w:szCs w:val="24"/>
              </w:rPr>
            </w:pPr>
            <w:r>
              <w:rPr>
                <w:color w:val="000000"/>
                <w:sz w:val="24"/>
                <w:szCs w:val="24"/>
              </w:rPr>
              <w:t>-</w:t>
            </w:r>
            <w:r w:rsidR="00D26BB4" w:rsidRPr="005A698F">
              <w:rPr>
                <w:color w:val="000000"/>
                <w:sz w:val="24"/>
                <w:szCs w:val="24"/>
              </w:rPr>
              <w:t xml:space="preserve"> la résistance au feu (kits de plafond suspendu uniquement) ;</w:t>
            </w:r>
          </w:p>
          <w:p w:rsidR="00B841B8" w:rsidRPr="005A698F" w:rsidRDefault="005A698F" w:rsidP="005A698F">
            <w:pPr>
              <w:spacing w:after="0" w:line="240" w:lineRule="auto"/>
              <w:jc w:val="both"/>
              <w:rPr>
                <w:color w:val="000000"/>
                <w:sz w:val="24"/>
                <w:szCs w:val="24"/>
              </w:rPr>
            </w:pPr>
            <w:r>
              <w:rPr>
                <w:color w:val="000000"/>
                <w:sz w:val="24"/>
                <w:szCs w:val="24"/>
              </w:rPr>
              <w:t>-</w:t>
            </w:r>
            <w:r w:rsidR="00D26BB4" w:rsidRPr="005A698F">
              <w:rPr>
                <w:color w:val="000000"/>
                <w:sz w:val="24"/>
                <w:szCs w:val="24"/>
              </w:rPr>
              <w:t xml:space="preserve"> le rejet de substances dangereuses et/ou la teneur en substances dangereuses:</w:t>
            </w:r>
          </w:p>
          <w:p w:rsidR="00B841B8" w:rsidRPr="005A698F" w:rsidRDefault="005A698F" w:rsidP="005A698F">
            <w:pPr>
              <w:spacing w:after="0" w:line="240" w:lineRule="auto"/>
              <w:jc w:val="both"/>
              <w:rPr>
                <w:color w:val="000000"/>
                <w:sz w:val="24"/>
                <w:szCs w:val="24"/>
              </w:rPr>
            </w:pPr>
            <w:r>
              <w:rPr>
                <w:color w:val="000000"/>
                <w:sz w:val="24"/>
                <w:szCs w:val="24"/>
              </w:rPr>
              <w:lastRenderedPageBreak/>
              <w:t>-</w:t>
            </w:r>
            <w:r w:rsidR="00D26BB4" w:rsidRPr="005A698F">
              <w:rPr>
                <w:color w:val="000000"/>
                <w:sz w:val="24"/>
                <w:szCs w:val="24"/>
              </w:rPr>
              <w:t xml:space="preserve"> rejet d'amiante (teneur) (kits de plafond suspendu et éléments d’habillage uniquement) ;</w:t>
            </w:r>
          </w:p>
          <w:p w:rsidR="00B841B8" w:rsidRPr="005A698F" w:rsidRDefault="005A698F" w:rsidP="005A698F">
            <w:pPr>
              <w:spacing w:after="0" w:line="240" w:lineRule="auto"/>
              <w:jc w:val="both"/>
              <w:rPr>
                <w:color w:val="000000"/>
                <w:sz w:val="24"/>
                <w:szCs w:val="24"/>
              </w:rPr>
            </w:pPr>
            <w:r>
              <w:rPr>
                <w:color w:val="000000"/>
                <w:sz w:val="24"/>
                <w:szCs w:val="24"/>
              </w:rPr>
              <w:t>-</w:t>
            </w:r>
            <w:r w:rsidR="00D26BB4" w:rsidRPr="005A698F">
              <w:rPr>
                <w:color w:val="000000"/>
                <w:sz w:val="24"/>
                <w:szCs w:val="24"/>
              </w:rPr>
              <w:t xml:space="preserve"> rejet de formaldéhyde (kits de plafond suspendu et éléments d’habillage uniquement) ;</w:t>
            </w:r>
          </w:p>
          <w:p w:rsidR="00B841B8" w:rsidRPr="005A698F" w:rsidRDefault="005A698F" w:rsidP="005A698F">
            <w:pPr>
              <w:spacing w:after="0" w:line="240" w:lineRule="auto"/>
              <w:jc w:val="both"/>
              <w:rPr>
                <w:color w:val="000000"/>
                <w:sz w:val="24"/>
                <w:szCs w:val="24"/>
              </w:rPr>
            </w:pPr>
            <w:r>
              <w:rPr>
                <w:color w:val="000000"/>
                <w:sz w:val="24"/>
                <w:szCs w:val="24"/>
              </w:rPr>
              <w:t>-</w:t>
            </w:r>
            <w:r w:rsidR="00D26BB4" w:rsidRPr="005A698F">
              <w:rPr>
                <w:color w:val="000000"/>
                <w:sz w:val="24"/>
                <w:szCs w:val="24"/>
              </w:rPr>
              <w:t xml:space="preserve"> autres substances dangereuses ;</w:t>
            </w:r>
          </w:p>
          <w:p w:rsidR="00B841B8" w:rsidRPr="005A698F" w:rsidRDefault="005A698F" w:rsidP="005A698F">
            <w:pPr>
              <w:spacing w:after="0" w:line="240" w:lineRule="auto"/>
              <w:jc w:val="both"/>
              <w:rPr>
                <w:color w:val="000000"/>
                <w:sz w:val="24"/>
                <w:szCs w:val="24"/>
              </w:rPr>
            </w:pPr>
            <w:r>
              <w:rPr>
                <w:color w:val="000000"/>
                <w:sz w:val="24"/>
                <w:szCs w:val="24"/>
              </w:rPr>
              <w:t>-</w:t>
            </w:r>
            <w:r w:rsidR="00D26BB4" w:rsidRPr="005A698F">
              <w:rPr>
                <w:color w:val="000000"/>
                <w:sz w:val="24"/>
                <w:szCs w:val="24"/>
              </w:rPr>
              <w:t xml:space="preserve"> les caractéristiques de friabilité (sécurité en cas de bris)/résistance aux impacts (pour les plafonds</w:t>
            </w:r>
            <w:r w:rsidR="00B841B8" w:rsidRPr="005A698F">
              <w:rPr>
                <w:color w:val="000000"/>
                <w:sz w:val="24"/>
                <w:szCs w:val="24"/>
              </w:rPr>
              <w:t xml:space="preserve"> </w:t>
            </w:r>
            <w:r w:rsidR="00D26BB4" w:rsidRPr="005A698F">
              <w:rPr>
                <w:color w:val="000000"/>
                <w:sz w:val="24"/>
                <w:szCs w:val="24"/>
              </w:rPr>
              <w:t>suspendus vendus sous forme de kits et les éléments d’habillage en matériaux friables employés dans</w:t>
            </w:r>
            <w:r w:rsidR="00B841B8" w:rsidRPr="005A698F">
              <w:rPr>
                <w:color w:val="000000"/>
                <w:sz w:val="24"/>
                <w:szCs w:val="24"/>
              </w:rPr>
              <w:t xml:space="preserve"> </w:t>
            </w:r>
            <w:r w:rsidR="00D26BB4" w:rsidRPr="005A698F">
              <w:rPr>
                <w:color w:val="000000"/>
                <w:sz w:val="24"/>
                <w:szCs w:val="24"/>
              </w:rPr>
              <w:t>les kits de plafond suspendu uniquement) ;</w:t>
            </w:r>
          </w:p>
          <w:p w:rsidR="00B841B8" w:rsidRPr="005A698F" w:rsidRDefault="005A698F" w:rsidP="005A698F">
            <w:pPr>
              <w:spacing w:after="0" w:line="240" w:lineRule="auto"/>
              <w:jc w:val="both"/>
              <w:rPr>
                <w:color w:val="000000"/>
                <w:sz w:val="24"/>
                <w:szCs w:val="24"/>
              </w:rPr>
            </w:pPr>
            <w:r>
              <w:rPr>
                <w:color w:val="000000"/>
                <w:sz w:val="24"/>
                <w:szCs w:val="24"/>
              </w:rPr>
              <w:t>-</w:t>
            </w:r>
            <w:r w:rsidR="00D26BB4" w:rsidRPr="005A698F">
              <w:rPr>
                <w:color w:val="000000"/>
                <w:sz w:val="24"/>
                <w:szCs w:val="24"/>
              </w:rPr>
              <w:t xml:space="preserve"> la résistance à la flexion ;</w:t>
            </w:r>
          </w:p>
          <w:p w:rsidR="00B841B8" w:rsidRPr="005A698F" w:rsidRDefault="005A698F" w:rsidP="005A698F">
            <w:pPr>
              <w:spacing w:after="0" w:line="240" w:lineRule="auto"/>
              <w:jc w:val="both"/>
              <w:rPr>
                <w:color w:val="000000"/>
                <w:sz w:val="24"/>
                <w:szCs w:val="24"/>
              </w:rPr>
            </w:pPr>
            <w:r>
              <w:rPr>
                <w:color w:val="000000"/>
                <w:sz w:val="24"/>
                <w:szCs w:val="24"/>
              </w:rPr>
              <w:t xml:space="preserve">- </w:t>
            </w:r>
            <w:r w:rsidR="00D26BB4" w:rsidRPr="005A698F">
              <w:rPr>
                <w:color w:val="000000"/>
                <w:sz w:val="24"/>
                <w:szCs w:val="24"/>
              </w:rPr>
              <w:t>la tenue sous charge, tolérances et dimensions ;</w:t>
            </w:r>
          </w:p>
          <w:p w:rsidR="005A698F" w:rsidRPr="005A698F" w:rsidRDefault="005A698F" w:rsidP="005A698F">
            <w:pPr>
              <w:spacing w:after="0" w:line="240" w:lineRule="auto"/>
              <w:jc w:val="both"/>
              <w:rPr>
                <w:color w:val="000000"/>
                <w:sz w:val="24"/>
                <w:szCs w:val="24"/>
              </w:rPr>
            </w:pPr>
            <w:r>
              <w:rPr>
                <w:color w:val="000000"/>
                <w:sz w:val="24"/>
                <w:szCs w:val="24"/>
              </w:rPr>
              <w:t>-</w:t>
            </w:r>
            <w:r w:rsidR="00D26BB4" w:rsidRPr="005A698F">
              <w:rPr>
                <w:color w:val="000000"/>
                <w:sz w:val="24"/>
                <w:szCs w:val="24"/>
              </w:rPr>
              <w:t xml:space="preserve"> la sécurité électrique (par exemple l'adéquation du produit à éviter une électrocution par des installations</w:t>
            </w:r>
            <w:r w:rsidR="00B841B8" w:rsidRPr="005A698F">
              <w:rPr>
                <w:color w:val="000000"/>
                <w:sz w:val="24"/>
                <w:szCs w:val="24"/>
              </w:rPr>
              <w:t xml:space="preserve"> </w:t>
            </w:r>
            <w:r w:rsidR="00D26BB4" w:rsidRPr="005A698F">
              <w:rPr>
                <w:color w:val="000000"/>
                <w:sz w:val="24"/>
                <w:szCs w:val="24"/>
              </w:rPr>
              <w:t>pouvant faire partie du plafond monté, utilisant l'électricité, par exemple les dispositifs de ventilation et</w:t>
            </w:r>
            <w:r w:rsidR="00B841B8" w:rsidRPr="005A698F">
              <w:rPr>
                <w:color w:val="000000"/>
                <w:sz w:val="24"/>
                <w:szCs w:val="24"/>
              </w:rPr>
              <w:t xml:space="preserve"> </w:t>
            </w:r>
            <w:r w:rsidR="00D26BB4" w:rsidRPr="005A698F">
              <w:rPr>
                <w:color w:val="000000"/>
                <w:sz w:val="24"/>
                <w:szCs w:val="24"/>
              </w:rPr>
              <w:t>d'éclairage) ;</w:t>
            </w:r>
          </w:p>
          <w:p w:rsidR="005A698F" w:rsidRPr="005A698F" w:rsidRDefault="005A698F" w:rsidP="005A698F">
            <w:pPr>
              <w:spacing w:after="0" w:line="240" w:lineRule="auto"/>
              <w:jc w:val="both"/>
              <w:rPr>
                <w:color w:val="000000"/>
                <w:sz w:val="24"/>
                <w:szCs w:val="24"/>
              </w:rPr>
            </w:pPr>
            <w:r>
              <w:rPr>
                <w:color w:val="000000"/>
                <w:sz w:val="24"/>
                <w:szCs w:val="24"/>
              </w:rPr>
              <w:t>-</w:t>
            </w:r>
            <w:r w:rsidR="00D26BB4" w:rsidRPr="005A698F">
              <w:rPr>
                <w:color w:val="000000"/>
                <w:sz w:val="24"/>
                <w:szCs w:val="24"/>
              </w:rPr>
              <w:t xml:space="preserve"> l’isolation du bruit aérien direct (kits de plafond suspendu uniquement) ;</w:t>
            </w:r>
          </w:p>
          <w:p w:rsidR="005A698F" w:rsidRPr="005A698F" w:rsidRDefault="005A698F" w:rsidP="005A698F">
            <w:pPr>
              <w:spacing w:after="0" w:line="240" w:lineRule="auto"/>
              <w:jc w:val="both"/>
              <w:rPr>
                <w:color w:val="000000"/>
                <w:sz w:val="24"/>
                <w:szCs w:val="24"/>
              </w:rPr>
            </w:pPr>
            <w:r>
              <w:rPr>
                <w:color w:val="000000"/>
                <w:sz w:val="24"/>
                <w:szCs w:val="24"/>
              </w:rPr>
              <w:t>-</w:t>
            </w:r>
            <w:r w:rsidR="00D26BB4" w:rsidRPr="005A698F">
              <w:rPr>
                <w:color w:val="000000"/>
                <w:sz w:val="24"/>
                <w:szCs w:val="24"/>
              </w:rPr>
              <w:t xml:space="preserve"> l’absorption acoustique (kits de plafond suspendu et éléments d’habillage uniquement) ;</w:t>
            </w:r>
          </w:p>
          <w:p w:rsidR="005A698F" w:rsidRPr="005A698F" w:rsidRDefault="005A698F" w:rsidP="005A698F">
            <w:pPr>
              <w:spacing w:after="0" w:line="240" w:lineRule="auto"/>
              <w:jc w:val="both"/>
              <w:rPr>
                <w:color w:val="000000"/>
                <w:sz w:val="24"/>
                <w:szCs w:val="24"/>
              </w:rPr>
            </w:pPr>
            <w:r>
              <w:rPr>
                <w:color w:val="000000"/>
                <w:sz w:val="24"/>
                <w:szCs w:val="24"/>
              </w:rPr>
              <w:t>-</w:t>
            </w:r>
            <w:r w:rsidR="00D26BB4" w:rsidRPr="005A698F">
              <w:rPr>
                <w:color w:val="000000"/>
                <w:sz w:val="24"/>
                <w:szCs w:val="24"/>
              </w:rPr>
              <w:t xml:space="preserve"> la conductivité thermique (kits de plafond suspendu uniquement et éléments d’habillage uniquement) ;</w:t>
            </w:r>
          </w:p>
          <w:p w:rsidR="005A698F" w:rsidRPr="005A698F" w:rsidRDefault="005A698F" w:rsidP="005A698F">
            <w:pPr>
              <w:spacing w:after="0" w:line="240" w:lineRule="auto"/>
              <w:jc w:val="both"/>
              <w:rPr>
                <w:color w:val="000000"/>
                <w:sz w:val="24"/>
                <w:szCs w:val="24"/>
              </w:rPr>
            </w:pPr>
            <w:r>
              <w:rPr>
                <w:color w:val="000000"/>
                <w:sz w:val="24"/>
                <w:szCs w:val="24"/>
              </w:rPr>
              <w:t>-</w:t>
            </w:r>
            <w:r w:rsidR="00D26BB4" w:rsidRPr="005A698F">
              <w:rPr>
                <w:color w:val="000000"/>
                <w:sz w:val="24"/>
                <w:szCs w:val="24"/>
              </w:rPr>
              <w:t xml:space="preserve"> la susceptibilité au développement de micro-organismes dangereux ;</w:t>
            </w:r>
          </w:p>
          <w:p w:rsidR="005A698F" w:rsidRPr="005A698F" w:rsidRDefault="005A698F" w:rsidP="005A698F">
            <w:pPr>
              <w:spacing w:after="0" w:line="240" w:lineRule="auto"/>
              <w:jc w:val="both"/>
              <w:rPr>
                <w:color w:val="000000"/>
                <w:sz w:val="24"/>
                <w:szCs w:val="24"/>
              </w:rPr>
            </w:pPr>
            <w:r>
              <w:rPr>
                <w:color w:val="000000"/>
                <w:sz w:val="24"/>
                <w:szCs w:val="24"/>
              </w:rPr>
              <w:t>-</w:t>
            </w:r>
            <w:r w:rsidR="00D26BB4" w:rsidRPr="005A698F">
              <w:rPr>
                <w:color w:val="000000"/>
                <w:sz w:val="24"/>
                <w:szCs w:val="24"/>
              </w:rPr>
              <w:t xml:space="preserve"> la résistance aux fixations (pour les éléments fixés mécaniquement) ;</w:t>
            </w:r>
          </w:p>
          <w:p w:rsidR="005A698F" w:rsidRDefault="005A698F" w:rsidP="005A698F">
            <w:pPr>
              <w:spacing w:after="0" w:line="240" w:lineRule="auto"/>
              <w:jc w:val="both"/>
              <w:rPr>
                <w:color w:val="000000"/>
                <w:sz w:val="24"/>
                <w:szCs w:val="24"/>
              </w:rPr>
            </w:pPr>
            <w:r>
              <w:rPr>
                <w:color w:val="000000"/>
                <w:sz w:val="24"/>
                <w:szCs w:val="24"/>
              </w:rPr>
              <w:t>-</w:t>
            </w:r>
            <w:r w:rsidR="00D26BB4" w:rsidRPr="005A698F">
              <w:rPr>
                <w:color w:val="000000"/>
                <w:sz w:val="24"/>
                <w:szCs w:val="24"/>
              </w:rPr>
              <w:t xml:space="preserve"> la durabilité de la résistance à la flexion et de la capacité sous charge en fonction de l'humidité.</w:t>
            </w:r>
          </w:p>
          <w:p w:rsidR="005A698F" w:rsidRPr="005A698F" w:rsidRDefault="00D26BB4" w:rsidP="005A698F">
            <w:pPr>
              <w:spacing w:after="0" w:line="240" w:lineRule="auto"/>
              <w:jc w:val="both"/>
              <w:rPr>
                <w:color w:val="000000"/>
                <w:sz w:val="24"/>
                <w:szCs w:val="24"/>
              </w:rPr>
            </w:pPr>
            <w:r w:rsidRPr="005A698F">
              <w:rPr>
                <w:color w:val="000000"/>
                <w:sz w:val="24"/>
                <w:szCs w:val="24"/>
              </w:rPr>
              <w:t>La présente Norme couvre aussi les exigences suivantes :</w:t>
            </w:r>
          </w:p>
          <w:p w:rsidR="005A698F" w:rsidRPr="005A698F" w:rsidRDefault="005A698F" w:rsidP="005A698F">
            <w:pPr>
              <w:spacing w:after="0" w:line="240" w:lineRule="auto"/>
              <w:jc w:val="both"/>
              <w:rPr>
                <w:color w:val="000000"/>
                <w:sz w:val="24"/>
                <w:szCs w:val="24"/>
              </w:rPr>
            </w:pPr>
            <w:r>
              <w:rPr>
                <w:color w:val="000000"/>
                <w:sz w:val="24"/>
                <w:szCs w:val="24"/>
              </w:rPr>
              <w:t>-</w:t>
            </w:r>
            <w:r w:rsidR="00D26BB4" w:rsidRPr="005A698F">
              <w:rPr>
                <w:color w:val="000000"/>
                <w:sz w:val="24"/>
                <w:szCs w:val="24"/>
              </w:rPr>
              <w:t xml:space="preserve"> la couleur et le facteur de réflexion ;</w:t>
            </w:r>
          </w:p>
          <w:p w:rsidR="005A698F" w:rsidRPr="005A698F" w:rsidRDefault="005A698F" w:rsidP="005A698F">
            <w:pPr>
              <w:spacing w:after="0" w:line="240" w:lineRule="auto"/>
              <w:jc w:val="both"/>
              <w:rPr>
                <w:color w:val="000000"/>
                <w:sz w:val="24"/>
                <w:szCs w:val="24"/>
              </w:rPr>
            </w:pPr>
            <w:r>
              <w:rPr>
                <w:color w:val="000000"/>
                <w:sz w:val="24"/>
                <w:szCs w:val="24"/>
              </w:rPr>
              <w:t>-</w:t>
            </w:r>
            <w:r w:rsidR="00D26BB4" w:rsidRPr="005A698F">
              <w:rPr>
                <w:color w:val="000000"/>
                <w:sz w:val="24"/>
                <w:szCs w:val="24"/>
              </w:rPr>
              <w:t xml:space="preserve"> l’installation.</w:t>
            </w:r>
          </w:p>
          <w:p w:rsidR="005A698F" w:rsidRDefault="00D26BB4" w:rsidP="005A698F">
            <w:pPr>
              <w:spacing w:after="0" w:line="240" w:lineRule="auto"/>
              <w:jc w:val="both"/>
              <w:rPr>
                <w:color w:val="000000"/>
                <w:sz w:val="24"/>
                <w:szCs w:val="24"/>
              </w:rPr>
            </w:pPr>
            <w:r w:rsidRPr="005A698F">
              <w:rPr>
                <w:color w:val="000000"/>
                <w:sz w:val="24"/>
                <w:szCs w:val="24"/>
              </w:rPr>
              <w:t>La présente Norme européenne ne couvre pas les produits suivants :</w:t>
            </w:r>
          </w:p>
          <w:p w:rsidR="005A698F" w:rsidRDefault="005A698F" w:rsidP="005A698F">
            <w:pPr>
              <w:spacing w:after="0" w:line="240" w:lineRule="auto"/>
              <w:jc w:val="both"/>
              <w:rPr>
                <w:color w:val="000000"/>
                <w:sz w:val="24"/>
                <w:szCs w:val="24"/>
              </w:rPr>
            </w:pPr>
            <w:r>
              <w:rPr>
                <w:color w:val="000000"/>
                <w:sz w:val="24"/>
                <w:szCs w:val="24"/>
              </w:rPr>
              <w:t>-</w:t>
            </w:r>
            <w:r w:rsidR="00D26BB4" w:rsidRPr="005A698F">
              <w:rPr>
                <w:color w:val="000000"/>
                <w:sz w:val="24"/>
                <w:szCs w:val="24"/>
              </w:rPr>
              <w:t xml:space="preserve"> les ossatures et éléments d'habillage de plafonds couverts par d'autres Normes</w:t>
            </w:r>
            <w:r>
              <w:rPr>
                <w:color w:val="000000"/>
                <w:sz w:val="24"/>
                <w:szCs w:val="24"/>
              </w:rPr>
              <w:t xml:space="preserve"> </w:t>
            </w:r>
            <w:r w:rsidR="00D26BB4" w:rsidRPr="005A698F">
              <w:rPr>
                <w:color w:val="000000"/>
                <w:sz w:val="24"/>
                <w:szCs w:val="24"/>
              </w:rPr>
              <w:br/>
              <w:t>harmonisées, pour les plafonds formés in-situ, couverts par d’autres spécifications techniques</w:t>
            </w:r>
            <w:r>
              <w:rPr>
                <w:color w:val="000000"/>
                <w:sz w:val="24"/>
                <w:szCs w:val="24"/>
              </w:rPr>
              <w:t xml:space="preserve"> </w:t>
            </w:r>
            <w:r w:rsidR="00D26BB4" w:rsidRPr="005A698F">
              <w:rPr>
                <w:color w:val="000000"/>
                <w:sz w:val="24"/>
                <w:szCs w:val="24"/>
              </w:rPr>
              <w:t>européennes, pour lesquelles c’est l’installateur, et non le fabricant d’éléments, qui prend la</w:t>
            </w:r>
            <w:r>
              <w:rPr>
                <w:color w:val="000000"/>
                <w:sz w:val="24"/>
                <w:szCs w:val="24"/>
              </w:rPr>
              <w:t xml:space="preserve"> </w:t>
            </w:r>
            <w:r w:rsidR="00D26BB4" w:rsidRPr="005A698F">
              <w:rPr>
                <w:color w:val="000000"/>
                <w:sz w:val="24"/>
                <w:szCs w:val="24"/>
              </w:rPr>
              <w:t>responsabilité de s’assurer que le plafond suspendu complètement installé est conforme à toute exigence</w:t>
            </w:r>
            <w:r w:rsidR="00D26BB4" w:rsidRPr="005A698F">
              <w:rPr>
                <w:color w:val="000000"/>
                <w:sz w:val="24"/>
                <w:szCs w:val="24"/>
              </w:rPr>
              <w:br/>
              <w:t>réglementaire à laquelle il est soumis ;</w:t>
            </w:r>
          </w:p>
          <w:p w:rsidR="005A698F" w:rsidRDefault="005A698F" w:rsidP="005A698F">
            <w:pPr>
              <w:spacing w:after="0" w:line="240" w:lineRule="auto"/>
              <w:jc w:val="both"/>
              <w:rPr>
                <w:color w:val="000000"/>
                <w:sz w:val="24"/>
                <w:szCs w:val="24"/>
              </w:rPr>
            </w:pPr>
            <w:r>
              <w:rPr>
                <w:color w:val="000000"/>
                <w:sz w:val="24"/>
                <w:szCs w:val="24"/>
              </w:rPr>
              <w:t>-</w:t>
            </w:r>
            <w:r w:rsidR="00D26BB4" w:rsidRPr="005A698F">
              <w:rPr>
                <w:color w:val="000000"/>
                <w:sz w:val="24"/>
                <w:szCs w:val="24"/>
              </w:rPr>
              <w:t xml:space="preserve"> les plafonds tendus couverts par l’EN 14716 ;</w:t>
            </w:r>
          </w:p>
          <w:p w:rsidR="005A698F" w:rsidRDefault="005A698F" w:rsidP="005A698F">
            <w:pPr>
              <w:spacing w:after="0" w:line="240" w:lineRule="auto"/>
              <w:jc w:val="both"/>
              <w:rPr>
                <w:color w:val="000000"/>
                <w:sz w:val="24"/>
                <w:szCs w:val="24"/>
              </w:rPr>
            </w:pPr>
            <w:r>
              <w:rPr>
                <w:color w:val="000000"/>
                <w:sz w:val="24"/>
                <w:szCs w:val="24"/>
              </w:rPr>
              <w:t>-</w:t>
            </w:r>
            <w:r w:rsidR="00D26BB4" w:rsidRPr="005A698F">
              <w:rPr>
                <w:color w:val="000000"/>
                <w:sz w:val="24"/>
                <w:szCs w:val="24"/>
              </w:rPr>
              <w:t xml:space="preserve"> les plafonds installés dans des constructions mobiles, caravanes et autres formes de moyens de</w:t>
            </w:r>
            <w:r>
              <w:rPr>
                <w:color w:val="000000"/>
                <w:sz w:val="24"/>
                <w:szCs w:val="24"/>
              </w:rPr>
              <w:t xml:space="preserve"> </w:t>
            </w:r>
            <w:r w:rsidR="00D26BB4" w:rsidRPr="005A698F">
              <w:rPr>
                <w:color w:val="000000"/>
                <w:sz w:val="24"/>
                <w:szCs w:val="24"/>
              </w:rPr>
              <w:t>transport ;</w:t>
            </w:r>
          </w:p>
          <w:p w:rsidR="005A698F" w:rsidRDefault="005A698F" w:rsidP="005A698F">
            <w:pPr>
              <w:spacing w:after="0" w:line="240" w:lineRule="auto"/>
              <w:jc w:val="both"/>
              <w:rPr>
                <w:color w:val="000000"/>
                <w:sz w:val="24"/>
                <w:szCs w:val="24"/>
              </w:rPr>
            </w:pPr>
            <w:r>
              <w:rPr>
                <w:color w:val="000000"/>
                <w:sz w:val="24"/>
                <w:szCs w:val="24"/>
              </w:rPr>
              <w:t>-</w:t>
            </w:r>
            <w:r w:rsidR="00D26BB4" w:rsidRPr="005A698F">
              <w:rPr>
                <w:color w:val="000000"/>
                <w:sz w:val="24"/>
                <w:szCs w:val="24"/>
              </w:rPr>
              <w:t xml:space="preserve"> les caractéristiques nécessaires à des applications particulières devant respecter des caractéristiques</w:t>
            </w:r>
            <w:r>
              <w:rPr>
                <w:color w:val="000000"/>
                <w:sz w:val="24"/>
                <w:szCs w:val="24"/>
              </w:rPr>
              <w:t xml:space="preserve"> </w:t>
            </w:r>
            <w:r w:rsidR="00D26BB4" w:rsidRPr="005A698F">
              <w:rPr>
                <w:color w:val="000000"/>
                <w:sz w:val="24"/>
                <w:szCs w:val="24"/>
              </w:rPr>
              <w:t>supplémentaires autres que celles couvertes par la présente Norme européenne ;</w:t>
            </w:r>
          </w:p>
          <w:p w:rsidR="005A698F" w:rsidRDefault="005A698F" w:rsidP="005A698F">
            <w:pPr>
              <w:spacing w:after="0" w:line="240" w:lineRule="auto"/>
              <w:jc w:val="both"/>
              <w:rPr>
                <w:color w:val="000000"/>
                <w:sz w:val="24"/>
                <w:szCs w:val="24"/>
              </w:rPr>
            </w:pPr>
            <w:r>
              <w:rPr>
                <w:color w:val="000000"/>
                <w:sz w:val="24"/>
                <w:szCs w:val="24"/>
              </w:rPr>
              <w:t>-</w:t>
            </w:r>
            <w:r w:rsidR="00D26BB4" w:rsidRPr="005A698F">
              <w:rPr>
                <w:color w:val="000000"/>
                <w:sz w:val="24"/>
                <w:szCs w:val="24"/>
              </w:rPr>
              <w:t xml:space="preserve"> les plafonds suspendus destinés à être utilisés comme plafonds soumis à des exigences en matière de</w:t>
            </w:r>
            <w:r>
              <w:rPr>
                <w:color w:val="000000"/>
                <w:sz w:val="24"/>
                <w:szCs w:val="24"/>
              </w:rPr>
              <w:t xml:space="preserve"> </w:t>
            </w:r>
            <w:r w:rsidR="00D26BB4" w:rsidRPr="005A698F">
              <w:rPr>
                <w:color w:val="000000"/>
                <w:sz w:val="24"/>
                <w:szCs w:val="24"/>
              </w:rPr>
              <w:t>pénétration de l'eau ;</w:t>
            </w:r>
          </w:p>
          <w:p w:rsidR="005A698F" w:rsidRDefault="005A698F" w:rsidP="005A698F">
            <w:pPr>
              <w:spacing w:after="0" w:line="240" w:lineRule="auto"/>
              <w:jc w:val="both"/>
              <w:rPr>
                <w:color w:val="000000"/>
                <w:sz w:val="24"/>
                <w:szCs w:val="24"/>
              </w:rPr>
            </w:pPr>
            <w:r>
              <w:rPr>
                <w:color w:val="000000"/>
                <w:sz w:val="24"/>
                <w:szCs w:val="24"/>
              </w:rPr>
              <w:t>-</w:t>
            </w:r>
            <w:r w:rsidR="00D26BB4" w:rsidRPr="005A698F">
              <w:rPr>
                <w:color w:val="000000"/>
                <w:sz w:val="24"/>
                <w:szCs w:val="24"/>
              </w:rPr>
              <w:t xml:space="preserve"> les plafonds utilisés en extérieur auxquels s'appliquent des exigences autres que celles couvertes par la</w:t>
            </w:r>
            <w:r>
              <w:rPr>
                <w:color w:val="000000"/>
                <w:sz w:val="24"/>
                <w:szCs w:val="24"/>
              </w:rPr>
              <w:t xml:space="preserve"> </w:t>
            </w:r>
            <w:r w:rsidR="00D26BB4" w:rsidRPr="005A698F">
              <w:rPr>
                <w:color w:val="000000"/>
                <w:sz w:val="24"/>
                <w:szCs w:val="24"/>
              </w:rPr>
              <w:t>présente norme (tunnels, auvents, stations-service, arcades, installations sportives en plein air, parcs de</w:t>
            </w:r>
            <w:r>
              <w:rPr>
                <w:color w:val="000000"/>
                <w:sz w:val="24"/>
                <w:szCs w:val="24"/>
              </w:rPr>
              <w:t xml:space="preserve"> </w:t>
            </w:r>
            <w:r w:rsidR="00D26BB4" w:rsidRPr="005A698F">
              <w:rPr>
                <w:color w:val="000000"/>
                <w:sz w:val="24"/>
                <w:szCs w:val="24"/>
              </w:rPr>
              <w:t>stationnement, etc.) ;</w:t>
            </w:r>
          </w:p>
          <w:p w:rsidR="005A698F" w:rsidRDefault="005A698F" w:rsidP="005A698F">
            <w:pPr>
              <w:spacing w:after="0" w:line="240" w:lineRule="auto"/>
              <w:jc w:val="both"/>
              <w:rPr>
                <w:color w:val="000000"/>
                <w:sz w:val="24"/>
                <w:szCs w:val="24"/>
              </w:rPr>
            </w:pPr>
            <w:r>
              <w:rPr>
                <w:color w:val="000000"/>
                <w:sz w:val="24"/>
                <w:szCs w:val="24"/>
              </w:rPr>
              <w:t>-</w:t>
            </w:r>
            <w:r w:rsidR="00D26BB4" w:rsidRPr="005A698F">
              <w:rPr>
                <w:color w:val="000000"/>
                <w:sz w:val="24"/>
                <w:szCs w:val="24"/>
              </w:rPr>
              <w:t xml:space="preserve"> les plafonds suspendus renforcés ou leur structure porteuse (par exemple des plafonds sur lesquels on</w:t>
            </w:r>
            <w:r>
              <w:rPr>
                <w:color w:val="000000"/>
                <w:sz w:val="24"/>
                <w:szCs w:val="24"/>
              </w:rPr>
              <w:t xml:space="preserve"> </w:t>
            </w:r>
            <w:r w:rsidR="00D26BB4" w:rsidRPr="005A698F">
              <w:rPr>
                <w:color w:val="000000"/>
                <w:sz w:val="24"/>
                <w:szCs w:val="24"/>
              </w:rPr>
              <w:t>peut marcher) ;</w:t>
            </w:r>
          </w:p>
          <w:p w:rsidR="005A698F" w:rsidRDefault="005A698F" w:rsidP="005A698F">
            <w:pPr>
              <w:spacing w:after="0" w:line="240" w:lineRule="auto"/>
              <w:jc w:val="both"/>
              <w:rPr>
                <w:color w:val="000000"/>
                <w:sz w:val="24"/>
                <w:szCs w:val="24"/>
              </w:rPr>
            </w:pPr>
            <w:r>
              <w:rPr>
                <w:color w:val="000000"/>
                <w:sz w:val="24"/>
                <w:szCs w:val="24"/>
              </w:rPr>
              <w:t>-</w:t>
            </w:r>
            <w:r w:rsidR="00D26BB4" w:rsidRPr="005A698F">
              <w:rPr>
                <w:color w:val="000000"/>
                <w:sz w:val="24"/>
                <w:szCs w:val="24"/>
              </w:rPr>
              <w:t xml:space="preserve"> les plafonds réalisés à partir de plaques de protection contre l'incendie ;</w:t>
            </w:r>
          </w:p>
          <w:p w:rsidR="005A698F" w:rsidRDefault="005A698F" w:rsidP="005A698F">
            <w:pPr>
              <w:spacing w:after="0" w:line="240" w:lineRule="auto"/>
              <w:jc w:val="both"/>
              <w:rPr>
                <w:color w:val="000000"/>
                <w:sz w:val="24"/>
                <w:szCs w:val="24"/>
              </w:rPr>
            </w:pPr>
            <w:r>
              <w:rPr>
                <w:color w:val="000000"/>
                <w:sz w:val="24"/>
                <w:szCs w:val="24"/>
              </w:rPr>
              <w:t>-</w:t>
            </w:r>
            <w:r w:rsidR="00D26BB4" w:rsidRPr="005A698F">
              <w:rPr>
                <w:color w:val="000000"/>
                <w:sz w:val="24"/>
                <w:szCs w:val="24"/>
              </w:rPr>
              <w:t xml:space="preserve"> les exigences de performance, de santé et de sécurité des luminaires et d'autres fonctionnalités, qui sont</w:t>
            </w:r>
            <w:r>
              <w:rPr>
                <w:color w:val="000000"/>
                <w:sz w:val="24"/>
                <w:szCs w:val="24"/>
              </w:rPr>
              <w:t xml:space="preserve"> </w:t>
            </w:r>
            <w:r w:rsidR="00D26BB4" w:rsidRPr="005A698F">
              <w:rPr>
                <w:color w:val="000000"/>
                <w:sz w:val="24"/>
                <w:szCs w:val="24"/>
              </w:rPr>
              <w:t>incluses en option dans le plafond suspendu ;</w:t>
            </w:r>
          </w:p>
          <w:p w:rsidR="005A698F" w:rsidRDefault="005A698F" w:rsidP="005A698F">
            <w:pPr>
              <w:spacing w:after="0" w:line="240" w:lineRule="auto"/>
              <w:jc w:val="both"/>
              <w:rPr>
                <w:color w:val="000000"/>
                <w:sz w:val="24"/>
                <w:szCs w:val="24"/>
              </w:rPr>
            </w:pPr>
            <w:r>
              <w:rPr>
                <w:color w:val="000000"/>
                <w:sz w:val="24"/>
                <w:szCs w:val="24"/>
              </w:rPr>
              <w:lastRenderedPageBreak/>
              <w:t>-</w:t>
            </w:r>
            <w:r w:rsidR="00D26BB4" w:rsidRPr="005A698F">
              <w:rPr>
                <w:color w:val="000000"/>
                <w:sz w:val="24"/>
                <w:szCs w:val="24"/>
              </w:rPr>
              <w:t xml:space="preserve"> les panneaux réalisés dans des matériaux couverts par d'autres Normes européennes harmonisées déjà</w:t>
            </w:r>
            <w:r>
              <w:rPr>
                <w:color w:val="000000"/>
                <w:sz w:val="24"/>
                <w:szCs w:val="24"/>
              </w:rPr>
              <w:t xml:space="preserve"> </w:t>
            </w:r>
            <w:r w:rsidR="00D26BB4" w:rsidRPr="005A698F">
              <w:rPr>
                <w:color w:val="000000"/>
                <w:sz w:val="24"/>
                <w:szCs w:val="24"/>
              </w:rPr>
              <w:t>élaborées par le CEN/TC 241 et le CEN/TC 112 (voir NOTE 2) ;</w:t>
            </w:r>
          </w:p>
          <w:p w:rsidR="005A698F" w:rsidRPr="005A698F" w:rsidRDefault="005A698F" w:rsidP="005A698F">
            <w:pPr>
              <w:spacing w:after="0" w:line="240" w:lineRule="auto"/>
              <w:jc w:val="both"/>
              <w:rPr>
                <w:i/>
                <w:iCs/>
                <w:color w:val="000000"/>
              </w:rPr>
            </w:pPr>
            <w:r>
              <w:rPr>
                <w:color w:val="000000"/>
                <w:sz w:val="24"/>
                <w:szCs w:val="24"/>
              </w:rPr>
              <w:t>-</w:t>
            </w:r>
            <w:r w:rsidR="00D26BB4" w:rsidRPr="005A698F">
              <w:rPr>
                <w:color w:val="000000"/>
                <w:sz w:val="24"/>
                <w:szCs w:val="24"/>
              </w:rPr>
              <w:t xml:space="preserve"> les ancrages couverts par d'autres spécifications techniques européennes.</w:t>
            </w:r>
            <w:r w:rsidR="00D26BB4" w:rsidRPr="005A698F">
              <w:rPr>
                <w:color w:val="000000"/>
                <w:sz w:val="24"/>
                <w:szCs w:val="24"/>
              </w:rPr>
              <w:br/>
            </w:r>
            <w:r w:rsidR="00D26BB4" w:rsidRPr="005A698F">
              <w:rPr>
                <w:b/>
                <w:bCs/>
                <w:i/>
                <w:iCs/>
                <w:color w:val="000000"/>
              </w:rPr>
              <w:t>NOTE 1</w:t>
            </w:r>
            <w:r w:rsidR="00D26BB4" w:rsidRPr="005A698F">
              <w:rPr>
                <w:i/>
                <w:iCs/>
                <w:color w:val="000000"/>
              </w:rPr>
              <w:t xml:space="preserve"> Ces normes ont été élaborées par le CEN/TC 241 selon le Mandat M/106 « Produits à base de plâtre » et par</w:t>
            </w:r>
            <w:r w:rsidRPr="005A698F">
              <w:rPr>
                <w:i/>
                <w:iCs/>
                <w:color w:val="000000"/>
              </w:rPr>
              <w:t xml:space="preserve"> </w:t>
            </w:r>
            <w:r w:rsidR="00D26BB4" w:rsidRPr="005A698F">
              <w:rPr>
                <w:i/>
                <w:iCs/>
                <w:color w:val="000000"/>
              </w:rPr>
              <w:t>le CEN/TC 112 selon le Mandat M/113 « Panneaux à base de bois ».</w:t>
            </w:r>
          </w:p>
          <w:p w:rsidR="005A698F" w:rsidRDefault="00D26BB4" w:rsidP="005A698F">
            <w:pPr>
              <w:spacing w:after="0" w:line="240" w:lineRule="auto"/>
              <w:jc w:val="both"/>
              <w:rPr>
                <w:color w:val="000000"/>
                <w:sz w:val="24"/>
                <w:szCs w:val="24"/>
              </w:rPr>
            </w:pPr>
            <w:r w:rsidRPr="005A698F">
              <w:rPr>
                <w:color w:val="000000"/>
                <w:sz w:val="24"/>
                <w:szCs w:val="24"/>
              </w:rPr>
              <w:t>La présente Norme européenne fournit également certaines spécifications relatives au système de plafond</w:t>
            </w:r>
            <w:r w:rsidR="005A698F">
              <w:rPr>
                <w:color w:val="000000"/>
                <w:sz w:val="24"/>
                <w:szCs w:val="24"/>
              </w:rPr>
              <w:t xml:space="preserve"> </w:t>
            </w:r>
            <w:r w:rsidRPr="005A698F">
              <w:rPr>
                <w:color w:val="000000"/>
                <w:sz w:val="24"/>
                <w:szCs w:val="24"/>
              </w:rPr>
              <w:t>suspendu installé (voir NOTE 1).</w:t>
            </w:r>
          </w:p>
          <w:p w:rsidR="005A698F" w:rsidRPr="005A698F" w:rsidRDefault="00D26BB4" w:rsidP="005A698F">
            <w:pPr>
              <w:spacing w:after="0" w:line="240" w:lineRule="auto"/>
              <w:jc w:val="both"/>
              <w:rPr>
                <w:i/>
                <w:iCs/>
                <w:color w:val="000000"/>
              </w:rPr>
            </w:pPr>
            <w:r w:rsidRPr="005A698F">
              <w:rPr>
                <w:b/>
                <w:bCs/>
                <w:i/>
                <w:iCs/>
                <w:color w:val="000000"/>
              </w:rPr>
              <w:t>NOTE 2</w:t>
            </w:r>
            <w:r w:rsidRPr="005A698F">
              <w:rPr>
                <w:i/>
                <w:iCs/>
                <w:color w:val="000000"/>
              </w:rPr>
              <w:t xml:space="preserve"> </w:t>
            </w:r>
            <w:r w:rsidR="005A698F" w:rsidRPr="005A698F">
              <w:rPr>
                <w:i/>
                <w:iCs/>
                <w:color w:val="000000"/>
              </w:rPr>
              <w:t xml:space="preserve"> </w:t>
            </w:r>
            <w:r w:rsidRPr="005A698F">
              <w:rPr>
                <w:i/>
                <w:iCs/>
                <w:color w:val="000000"/>
              </w:rPr>
              <w:t>Il existe deux raisons pour cela :</w:t>
            </w:r>
          </w:p>
          <w:p w:rsidR="005A698F" w:rsidRPr="005A698F" w:rsidRDefault="005A698F" w:rsidP="005A698F">
            <w:pPr>
              <w:spacing w:after="0" w:line="240" w:lineRule="auto"/>
              <w:jc w:val="both"/>
              <w:rPr>
                <w:i/>
                <w:iCs/>
                <w:color w:val="000000"/>
              </w:rPr>
            </w:pPr>
            <w:r w:rsidRPr="005A698F">
              <w:rPr>
                <w:i/>
                <w:iCs/>
                <w:color w:val="000000"/>
              </w:rPr>
              <w:t>-</w:t>
            </w:r>
            <w:r w:rsidR="00D26BB4" w:rsidRPr="005A698F">
              <w:rPr>
                <w:i/>
                <w:iCs/>
                <w:color w:val="000000"/>
              </w:rPr>
              <w:t xml:space="preserve"> les éléments individuels et les kits peuvent devoir satisfaire à certaines exigences pour que le</w:t>
            </w:r>
            <w:r w:rsidRPr="005A698F">
              <w:rPr>
                <w:i/>
                <w:iCs/>
                <w:color w:val="000000"/>
              </w:rPr>
              <w:t xml:space="preserve"> </w:t>
            </w:r>
            <w:r w:rsidR="00D26BB4" w:rsidRPr="005A698F">
              <w:rPr>
                <w:i/>
                <w:iCs/>
                <w:color w:val="000000"/>
              </w:rPr>
              <w:t>système installé puisse être conforme à l'exigence une fois installé, et</w:t>
            </w:r>
          </w:p>
          <w:p w:rsidR="005A698F" w:rsidRPr="005A698F" w:rsidRDefault="005A698F" w:rsidP="005A698F">
            <w:pPr>
              <w:spacing w:after="0" w:line="240" w:lineRule="auto"/>
              <w:jc w:val="both"/>
              <w:rPr>
                <w:i/>
                <w:iCs/>
                <w:color w:val="000000"/>
              </w:rPr>
            </w:pPr>
            <w:r w:rsidRPr="005A698F">
              <w:rPr>
                <w:i/>
                <w:iCs/>
                <w:color w:val="000000"/>
              </w:rPr>
              <w:t>-</w:t>
            </w:r>
            <w:r w:rsidR="00D26BB4" w:rsidRPr="005A698F">
              <w:rPr>
                <w:i/>
                <w:iCs/>
                <w:color w:val="000000"/>
              </w:rPr>
              <w:t xml:space="preserve"> pour faciliter le référencement, il est pertinent de fournir dans le même document aussi bien les</w:t>
            </w:r>
            <w:r w:rsidRPr="005A698F">
              <w:rPr>
                <w:i/>
                <w:iCs/>
                <w:color w:val="000000"/>
              </w:rPr>
              <w:t xml:space="preserve"> </w:t>
            </w:r>
            <w:r w:rsidR="00D26BB4" w:rsidRPr="005A698F">
              <w:rPr>
                <w:i/>
                <w:iCs/>
                <w:color w:val="000000"/>
              </w:rPr>
              <w:t>exigences relatives aux éléments/kits que celles relatives au système installé, compte tenu de la</w:t>
            </w:r>
            <w:r w:rsidRPr="005A698F">
              <w:rPr>
                <w:i/>
                <w:iCs/>
                <w:color w:val="000000"/>
              </w:rPr>
              <w:t xml:space="preserve"> </w:t>
            </w:r>
            <w:r w:rsidR="00D26BB4" w:rsidRPr="005A698F">
              <w:rPr>
                <w:i/>
                <w:iCs/>
                <w:color w:val="000000"/>
              </w:rPr>
              <w:t>relation qui existe entrent-elles.</w:t>
            </w:r>
          </w:p>
          <w:p w:rsidR="00D26BB4" w:rsidRPr="005A698F" w:rsidRDefault="00D26BB4" w:rsidP="005A698F">
            <w:pPr>
              <w:spacing w:after="0" w:line="240" w:lineRule="auto"/>
              <w:jc w:val="both"/>
              <w:rPr>
                <w:color w:val="000000"/>
                <w:sz w:val="24"/>
                <w:szCs w:val="24"/>
              </w:rPr>
            </w:pPr>
            <w:r w:rsidRPr="005A698F">
              <w:rPr>
                <w:color w:val="000000"/>
                <w:sz w:val="24"/>
                <w:szCs w:val="24"/>
              </w:rPr>
              <w:t>La présente Norme européenne fournit des informations aux diverses parties chargées de la conception, de la</w:t>
            </w:r>
            <w:r w:rsidR="005A698F">
              <w:rPr>
                <w:color w:val="000000"/>
                <w:sz w:val="24"/>
                <w:szCs w:val="24"/>
              </w:rPr>
              <w:t xml:space="preserve"> </w:t>
            </w:r>
            <w:r w:rsidRPr="005A698F">
              <w:rPr>
                <w:color w:val="000000"/>
                <w:sz w:val="24"/>
                <w:szCs w:val="24"/>
              </w:rPr>
              <w:t>fabrication et de la spécification/sélection des plafonds suspendus utilisés pour des applications intérieures</w:t>
            </w:r>
            <w:r w:rsidR="005A698F">
              <w:rPr>
                <w:color w:val="000000"/>
                <w:sz w:val="24"/>
                <w:szCs w:val="24"/>
              </w:rPr>
              <w:t xml:space="preserve"> </w:t>
            </w:r>
            <w:r w:rsidRPr="005A698F">
              <w:rPr>
                <w:color w:val="000000"/>
                <w:sz w:val="24"/>
                <w:szCs w:val="24"/>
              </w:rPr>
              <w:t xml:space="preserve">dans les bâtiments et structures de génie civil.                                              </w:t>
            </w:r>
          </w:p>
        </w:tc>
      </w:tr>
      <w:tr w:rsidR="0043547B" w:rsidRPr="0043547B" w:rsidTr="001E0C3C">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10.8.987</w:t>
            </w:r>
          </w:p>
        </w:tc>
      </w:tr>
      <w:tr w:rsidR="0043547B" w:rsidRPr="0043547B" w:rsidTr="001E0C3C">
        <w:trPr>
          <w:trHeight w:val="600"/>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Etanchéité - Chape souple de bitume armé à double armature en tissu de verre et v</w:t>
            </w:r>
            <w:r w:rsidR="004D418F" w:rsidRPr="0043547B">
              <w:rPr>
                <w:rFonts w:eastAsia="Times New Roman" w:cstheme="minorHAnsi"/>
                <w:sz w:val="24"/>
                <w:szCs w:val="24"/>
                <w:lang w:eastAsia="fr-FR"/>
              </w:rPr>
              <w:t>oile de verre (40 T.V. – V.V.) </w:t>
            </w:r>
            <w:r w:rsidR="004D418F" w:rsidRPr="0043547B">
              <w:rPr>
                <w:rFonts w:cstheme="minorHAnsi"/>
                <w:noProof/>
                <w:sz w:val="24"/>
                <w:szCs w:val="24"/>
                <w:lang w:eastAsia="fr-FR"/>
              </w:rPr>
              <w:drawing>
                <wp:inline distT="0" distB="0" distL="0" distR="0" wp14:anchorId="5B432F55" wp14:editId="3B7BC897">
                  <wp:extent cx="183515" cy="158750"/>
                  <wp:effectExtent l="0" t="0" r="6985" b="0"/>
                  <wp:docPr id="22" name="Image 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8" cstate="print"/>
                          <a:srcRect/>
                          <a:stretch>
                            <a:fillRect/>
                          </a:stretch>
                        </pic:blipFill>
                        <pic:spPr bwMode="auto">
                          <a:xfrm>
                            <a:off x="0" y="0"/>
                            <a:ext cx="185776" cy="160706"/>
                          </a:xfrm>
                          <a:prstGeom prst="rect">
                            <a:avLst/>
                          </a:prstGeom>
                          <a:noFill/>
                          <a:ln w="9525">
                            <a:noFill/>
                            <a:miter lim="800000"/>
                            <a:headEnd/>
                            <a:tailEnd/>
                          </a:ln>
                        </pic:spPr>
                      </pic:pic>
                    </a:graphicData>
                  </a:graphic>
                </wp:inline>
              </w:drawing>
            </w:r>
          </w:p>
        </w:tc>
      </w:tr>
      <w:tr w:rsidR="0043547B" w:rsidRPr="0043547B" w:rsidTr="001E0C3C">
        <w:trPr>
          <w:trHeight w:val="1211"/>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a pour objet de définir le produit dénommé chape souple de bitume armé à double armature de tissu de verre et voile de verre, « 40 T.V. - V.V.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en fixe les caractéristiques de base.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 produit est destiné à être utilisé dans les ouvrages de bâtiment ou de génie civil.</w:t>
            </w:r>
          </w:p>
        </w:tc>
      </w:tr>
      <w:tr w:rsidR="0043547B" w:rsidRPr="0043547B" w:rsidTr="001E0C3C">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10.8.988</w:t>
            </w:r>
            <w:r w:rsidRPr="0043547B">
              <w:rPr>
                <w:rFonts w:eastAsia="Times New Roman" w:cstheme="minorHAnsi"/>
                <w:sz w:val="24"/>
                <w:szCs w:val="24"/>
                <w:lang w:eastAsia="fr-FR"/>
              </w:rPr>
              <w:t> </w:t>
            </w:r>
          </w:p>
        </w:tc>
      </w:tr>
      <w:tr w:rsidR="0043547B" w:rsidRPr="0043547B" w:rsidTr="001E0C3C">
        <w:trPr>
          <w:trHeight w:val="600"/>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Etanchéité - Chape souple de bitume armé à haute résistance à double armature en tissu de verre et voile de</w:t>
            </w:r>
            <w:r w:rsidR="004D418F" w:rsidRPr="0043547B">
              <w:rPr>
                <w:rFonts w:eastAsia="Times New Roman" w:cstheme="minorHAnsi"/>
                <w:sz w:val="24"/>
                <w:szCs w:val="24"/>
                <w:lang w:eastAsia="fr-FR"/>
              </w:rPr>
              <w:t xml:space="preserve"> verre (50 T.V. – V.V. – H.R.) </w:t>
            </w:r>
          </w:p>
        </w:tc>
      </w:tr>
      <w:tr w:rsidR="0043547B" w:rsidRPr="0043547B" w:rsidTr="001E0C3C">
        <w:trPr>
          <w:trHeight w:val="532"/>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a pour objet de définir le produit dénommé chape souple de bitume armé à haute résistance à double armature en tissu de verre et voile de verre « 50 T.V. - V.V. - H. R. ». Elle en fixe les caractéristiques de base.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 produit est destiné à être utilisé dans les ouvrages de bâtiment ou de génie civil.</w:t>
            </w:r>
          </w:p>
        </w:tc>
      </w:tr>
      <w:tr w:rsidR="0043547B" w:rsidRPr="0043547B" w:rsidTr="001E0C3C">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10.8.989</w:t>
            </w:r>
            <w:r w:rsidRPr="0043547B">
              <w:rPr>
                <w:rFonts w:eastAsia="Times New Roman" w:cstheme="minorHAnsi"/>
                <w:sz w:val="24"/>
                <w:szCs w:val="24"/>
                <w:lang w:eastAsia="fr-FR"/>
              </w:rPr>
              <w:t> </w:t>
            </w:r>
          </w:p>
        </w:tc>
      </w:tr>
      <w:tr w:rsidR="0043547B" w:rsidRPr="0043547B" w:rsidTr="001E0C3C">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Etanchéité - Chape souple de bitume armé à armatu</w:t>
            </w:r>
            <w:r w:rsidR="004D418F" w:rsidRPr="0043547B">
              <w:rPr>
                <w:rFonts w:eastAsia="Times New Roman" w:cstheme="minorHAnsi"/>
                <w:sz w:val="24"/>
                <w:szCs w:val="24"/>
                <w:lang w:eastAsia="fr-FR"/>
              </w:rPr>
              <w:t>re en voile de verre (40 V.V.) </w:t>
            </w:r>
            <w:r w:rsidR="004D418F" w:rsidRPr="0043547B">
              <w:rPr>
                <w:rFonts w:cstheme="minorHAnsi"/>
                <w:noProof/>
                <w:sz w:val="24"/>
                <w:szCs w:val="24"/>
                <w:lang w:eastAsia="fr-FR"/>
              </w:rPr>
              <w:drawing>
                <wp:inline distT="0" distB="0" distL="0" distR="0" wp14:anchorId="16CB143C" wp14:editId="07D4114D">
                  <wp:extent cx="183515" cy="158750"/>
                  <wp:effectExtent l="0" t="0" r="6985" b="0"/>
                  <wp:docPr id="36" name="Image 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8" cstate="print"/>
                          <a:srcRect/>
                          <a:stretch>
                            <a:fillRect/>
                          </a:stretch>
                        </pic:blipFill>
                        <pic:spPr bwMode="auto">
                          <a:xfrm>
                            <a:off x="0" y="0"/>
                            <a:ext cx="185776" cy="160706"/>
                          </a:xfrm>
                          <a:prstGeom prst="rect">
                            <a:avLst/>
                          </a:prstGeom>
                          <a:noFill/>
                          <a:ln w="9525">
                            <a:noFill/>
                            <a:miter lim="800000"/>
                            <a:headEnd/>
                            <a:tailEnd/>
                          </a:ln>
                        </pic:spPr>
                      </pic:pic>
                    </a:graphicData>
                  </a:graphic>
                </wp:inline>
              </w:drawing>
            </w:r>
          </w:p>
        </w:tc>
      </w:tr>
      <w:tr w:rsidR="0043547B" w:rsidRPr="0043547B" w:rsidTr="001E0C3C">
        <w:trPr>
          <w:trHeight w:val="1299"/>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a pour objet de définir le produit dénommé « chape souple de bitume armé à armature en voile de verre (40 V.V.)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en fixe les caractéristiques de base.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 produit est destiné à être utilisé dans les ouvrages de bâtiment ou de génie civil.</w:t>
            </w:r>
          </w:p>
        </w:tc>
      </w:tr>
      <w:tr w:rsidR="0043547B" w:rsidRPr="0043547B" w:rsidTr="001E0C3C">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10.8.992</w:t>
            </w:r>
            <w:r w:rsidRPr="0043547B">
              <w:rPr>
                <w:rFonts w:eastAsia="Times New Roman" w:cstheme="minorHAnsi"/>
                <w:sz w:val="24"/>
                <w:szCs w:val="24"/>
                <w:lang w:eastAsia="fr-FR"/>
              </w:rPr>
              <w:t> </w:t>
            </w:r>
          </w:p>
        </w:tc>
      </w:tr>
      <w:tr w:rsidR="0043547B" w:rsidRPr="0043547B" w:rsidTr="001E0C3C">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Etanchéité - Feutre bitumé à armatu</w:t>
            </w:r>
            <w:r w:rsidR="004D418F" w:rsidRPr="0043547B">
              <w:rPr>
                <w:rFonts w:eastAsia="Times New Roman" w:cstheme="minorHAnsi"/>
                <w:sz w:val="24"/>
                <w:szCs w:val="24"/>
                <w:lang w:eastAsia="fr-FR"/>
              </w:rPr>
              <w:t>re en voile de verre (36 S VV) </w:t>
            </w:r>
          </w:p>
        </w:tc>
      </w:tr>
      <w:tr w:rsidR="0043547B" w:rsidRPr="0043547B" w:rsidTr="001E0C3C">
        <w:trPr>
          <w:trHeight w:val="803"/>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a pour objet de définir le produit dénommé « Feutre bitumé à armature en voile de verre (36 S V.V.)».</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en fixe les caractéristiques de base.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lastRenderedPageBreak/>
              <w:t>Ce produit est destiné à être utilisé dans les ouvrages de bâtiment ou de génie civil.</w:t>
            </w:r>
          </w:p>
        </w:tc>
      </w:tr>
      <w:tr w:rsidR="0043547B" w:rsidRPr="0043547B" w:rsidTr="001E0C3C">
        <w:trPr>
          <w:trHeight w:val="6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NM EN 12326-1</w:t>
            </w:r>
          </w:p>
        </w:tc>
      </w:tr>
      <w:tr w:rsidR="0043547B" w:rsidRPr="0043547B" w:rsidTr="001E0C3C">
        <w:trPr>
          <w:trHeight w:val="1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EN 12326-1</w:t>
            </w:r>
          </w:p>
        </w:tc>
      </w:tr>
      <w:tr w:rsidR="0043547B" w:rsidRPr="0043547B" w:rsidTr="001E0C3C">
        <w:trPr>
          <w:trHeight w:val="218"/>
          <w:jc w:val="center"/>
        </w:trPr>
        <w:tc>
          <w:tcPr>
            <w:tcW w:w="1838" w:type="dxa"/>
            <w:tcBorders>
              <w:top w:val="nil"/>
              <w:left w:val="single" w:sz="18" w:space="0" w:color="auto"/>
              <w:bottom w:val="single" w:sz="4" w:space="0" w:color="auto"/>
              <w:right w:val="single" w:sz="4" w:space="0" w:color="auto"/>
            </w:tcBorders>
            <w:shd w:val="clear" w:color="000000" w:fill="8DB4E2"/>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auto"/>
            <w:vAlign w:val="center"/>
          </w:tcPr>
          <w:p w:rsidR="00904E52" w:rsidRPr="0043547B" w:rsidRDefault="00904E52" w:rsidP="00904E52">
            <w:pPr>
              <w:spacing w:after="0"/>
              <w:jc w:val="both"/>
              <w:rPr>
                <w:rFonts w:cstheme="minorHAnsi"/>
                <w:sz w:val="24"/>
                <w:szCs w:val="24"/>
              </w:rPr>
            </w:pPr>
            <w:r w:rsidRPr="0043547B">
              <w:rPr>
                <w:rFonts w:cstheme="minorHAnsi"/>
                <w:sz w:val="24"/>
                <w:szCs w:val="24"/>
              </w:rPr>
              <w:t xml:space="preserve">Ardoises et éléments en pierre pour toiture et bardage pour pose en discontinu – Partie 1 : Spécifications produit </w:t>
            </w:r>
          </w:p>
        </w:tc>
      </w:tr>
      <w:tr w:rsidR="0043547B" w:rsidRPr="0043547B" w:rsidTr="001E0C3C">
        <w:trPr>
          <w:trHeight w:val="1410"/>
          <w:jc w:val="center"/>
        </w:trPr>
        <w:tc>
          <w:tcPr>
            <w:tcW w:w="1838" w:type="dxa"/>
            <w:tcBorders>
              <w:top w:val="nil"/>
              <w:left w:val="single" w:sz="18" w:space="0" w:color="auto"/>
              <w:bottom w:val="single" w:sz="18" w:space="0" w:color="auto"/>
              <w:right w:val="single" w:sz="4" w:space="0" w:color="auto"/>
            </w:tcBorders>
            <w:shd w:val="clear" w:color="000000" w:fill="D9D9D9"/>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center"/>
          </w:tcPr>
          <w:p w:rsidR="00904E52" w:rsidRPr="0043547B" w:rsidRDefault="00904E52" w:rsidP="001C09B6">
            <w:pPr>
              <w:spacing w:after="0" w:line="240" w:lineRule="auto"/>
              <w:jc w:val="both"/>
              <w:rPr>
                <w:rFonts w:cstheme="minorHAnsi"/>
                <w:sz w:val="24"/>
                <w:szCs w:val="24"/>
              </w:rPr>
            </w:pPr>
            <w:r w:rsidRPr="0043547B">
              <w:rPr>
                <w:rFonts w:cstheme="minorHAnsi"/>
                <w:sz w:val="24"/>
                <w:szCs w:val="24"/>
              </w:rPr>
              <w:t>Le présent document spécifie les exigences relatives aux ardoises et éléments en pierre pour toiture et bardage des bâtiments, utilisés dans les toitures et le bardage pour pose en discontinu (hors bardage renforcé).</w:t>
            </w:r>
          </w:p>
          <w:p w:rsidR="00904E52" w:rsidRPr="0043547B" w:rsidRDefault="00904E52" w:rsidP="001C09B6">
            <w:pPr>
              <w:spacing w:after="0" w:line="240" w:lineRule="auto"/>
              <w:jc w:val="both"/>
              <w:rPr>
                <w:rFonts w:cstheme="minorHAnsi"/>
                <w:sz w:val="24"/>
                <w:szCs w:val="24"/>
              </w:rPr>
            </w:pPr>
            <w:r w:rsidRPr="0043547B">
              <w:rPr>
                <w:rFonts w:cstheme="minorHAnsi"/>
                <w:sz w:val="24"/>
                <w:szCs w:val="24"/>
              </w:rPr>
              <w:t>Il ne s'applique pas aux produits de toiture ou de bardage fabriqués dans les matériaux suivants :</w:t>
            </w:r>
          </w:p>
          <w:p w:rsidR="00904E52" w:rsidRPr="0043547B" w:rsidRDefault="00904E52" w:rsidP="00E10FBD">
            <w:pPr>
              <w:pStyle w:val="Paragraphedeliste"/>
              <w:numPr>
                <w:ilvl w:val="0"/>
                <w:numId w:val="29"/>
              </w:numPr>
              <w:spacing w:after="0" w:line="240" w:lineRule="auto"/>
              <w:ind w:left="337"/>
              <w:jc w:val="both"/>
              <w:rPr>
                <w:rFonts w:cstheme="minorHAnsi"/>
                <w:sz w:val="24"/>
                <w:szCs w:val="24"/>
              </w:rPr>
            </w:pPr>
            <w:r w:rsidRPr="0043547B">
              <w:rPr>
                <w:rFonts w:cstheme="minorHAnsi"/>
                <w:sz w:val="24"/>
                <w:szCs w:val="24"/>
              </w:rPr>
              <w:t>le béton ;</w:t>
            </w:r>
          </w:p>
          <w:p w:rsidR="00904E52" w:rsidRPr="0043547B" w:rsidRDefault="00904E52" w:rsidP="00E10FBD">
            <w:pPr>
              <w:pStyle w:val="Paragraphedeliste"/>
              <w:numPr>
                <w:ilvl w:val="0"/>
                <w:numId w:val="29"/>
              </w:numPr>
              <w:spacing w:after="0" w:line="240" w:lineRule="auto"/>
              <w:ind w:left="337"/>
              <w:jc w:val="both"/>
              <w:rPr>
                <w:rFonts w:cstheme="minorHAnsi"/>
                <w:sz w:val="24"/>
                <w:szCs w:val="24"/>
              </w:rPr>
            </w:pPr>
            <w:r w:rsidRPr="0043547B">
              <w:rPr>
                <w:rFonts w:cstheme="minorHAnsi"/>
                <w:sz w:val="24"/>
                <w:szCs w:val="24"/>
              </w:rPr>
              <w:t>les matériaux polymères ;</w:t>
            </w:r>
          </w:p>
          <w:p w:rsidR="00904E52" w:rsidRPr="0043547B" w:rsidRDefault="00904E52" w:rsidP="00E10FBD">
            <w:pPr>
              <w:pStyle w:val="Paragraphedeliste"/>
              <w:numPr>
                <w:ilvl w:val="0"/>
                <w:numId w:val="29"/>
              </w:numPr>
              <w:spacing w:after="0" w:line="240" w:lineRule="auto"/>
              <w:ind w:left="337"/>
              <w:jc w:val="both"/>
              <w:rPr>
                <w:rFonts w:cstheme="minorHAnsi"/>
                <w:sz w:val="24"/>
                <w:szCs w:val="24"/>
              </w:rPr>
            </w:pPr>
            <w:r w:rsidRPr="0043547B">
              <w:rPr>
                <w:rFonts w:cstheme="minorHAnsi"/>
                <w:sz w:val="24"/>
                <w:szCs w:val="24"/>
              </w:rPr>
              <w:t>le ciment renforcé par des fibres ;</w:t>
            </w:r>
          </w:p>
          <w:p w:rsidR="00904E52" w:rsidRPr="0043547B" w:rsidRDefault="00904E52" w:rsidP="00E10FBD">
            <w:pPr>
              <w:pStyle w:val="Paragraphedeliste"/>
              <w:numPr>
                <w:ilvl w:val="0"/>
                <w:numId w:val="29"/>
              </w:numPr>
              <w:spacing w:after="0" w:line="240" w:lineRule="auto"/>
              <w:ind w:left="337"/>
              <w:jc w:val="both"/>
              <w:rPr>
                <w:rFonts w:cstheme="minorHAnsi"/>
                <w:sz w:val="24"/>
                <w:szCs w:val="24"/>
              </w:rPr>
            </w:pPr>
            <w:r w:rsidRPr="0043547B">
              <w:rPr>
                <w:rFonts w:cstheme="minorHAnsi"/>
                <w:sz w:val="24"/>
                <w:szCs w:val="24"/>
              </w:rPr>
              <w:t>le métal ;</w:t>
            </w:r>
          </w:p>
          <w:p w:rsidR="00904E52" w:rsidRPr="0043547B" w:rsidRDefault="00904E52" w:rsidP="00E10FBD">
            <w:pPr>
              <w:pStyle w:val="Paragraphedeliste"/>
              <w:numPr>
                <w:ilvl w:val="0"/>
                <w:numId w:val="29"/>
              </w:numPr>
              <w:spacing w:after="0" w:line="240" w:lineRule="auto"/>
              <w:ind w:left="337"/>
              <w:jc w:val="both"/>
              <w:rPr>
                <w:rFonts w:cstheme="minorHAnsi"/>
                <w:sz w:val="24"/>
                <w:szCs w:val="24"/>
              </w:rPr>
            </w:pPr>
            <w:r w:rsidRPr="0043547B">
              <w:rPr>
                <w:rFonts w:cstheme="minorHAnsi"/>
                <w:sz w:val="24"/>
                <w:szCs w:val="24"/>
              </w:rPr>
              <w:t>l'argile.</w:t>
            </w:r>
          </w:p>
          <w:p w:rsidR="00904E52" w:rsidRPr="0043547B" w:rsidRDefault="00904E52" w:rsidP="001C09B6">
            <w:pPr>
              <w:spacing w:after="0" w:line="240" w:lineRule="auto"/>
              <w:jc w:val="both"/>
              <w:rPr>
                <w:rFonts w:cstheme="minorHAnsi"/>
                <w:sz w:val="24"/>
                <w:szCs w:val="24"/>
              </w:rPr>
            </w:pPr>
            <w:r w:rsidRPr="0043547B">
              <w:rPr>
                <w:rFonts w:cstheme="minorHAnsi"/>
                <w:sz w:val="24"/>
                <w:szCs w:val="24"/>
              </w:rPr>
              <w:t xml:space="preserve">Le présent document n'est pas applicable aux ardoises pour la toiture et le bardage en intérieur. </w:t>
            </w:r>
          </w:p>
          <w:p w:rsidR="00904E52" w:rsidRPr="0043547B" w:rsidRDefault="00904E52" w:rsidP="001C09B6">
            <w:pPr>
              <w:spacing w:after="0" w:line="240" w:lineRule="auto"/>
              <w:jc w:val="both"/>
              <w:rPr>
                <w:rFonts w:cstheme="minorHAnsi"/>
                <w:sz w:val="24"/>
                <w:szCs w:val="24"/>
              </w:rPr>
            </w:pPr>
            <w:r w:rsidRPr="0043547B">
              <w:rPr>
                <w:rFonts w:cstheme="minorHAnsi"/>
                <w:sz w:val="24"/>
                <w:szCs w:val="24"/>
              </w:rPr>
              <w:t xml:space="preserve">Les prescriptions relatives aux ardoises utilisées en revêtement mural sont spécifiées dans le </w:t>
            </w:r>
            <w:r w:rsidR="00160B21" w:rsidRPr="0043547B">
              <w:rPr>
                <w:rFonts w:cstheme="minorHAnsi"/>
                <w:sz w:val="24"/>
                <w:szCs w:val="24"/>
              </w:rPr>
              <w:t xml:space="preserve">NM </w:t>
            </w:r>
            <w:r w:rsidRPr="0043547B">
              <w:rPr>
                <w:rFonts w:cstheme="minorHAnsi"/>
                <w:sz w:val="24"/>
                <w:szCs w:val="24"/>
              </w:rPr>
              <w:t>EN 1469.</w:t>
            </w:r>
          </w:p>
          <w:p w:rsidR="00904E52" w:rsidRPr="0043547B" w:rsidRDefault="00904E52" w:rsidP="003F409D">
            <w:pPr>
              <w:spacing w:after="0" w:line="240" w:lineRule="auto"/>
              <w:jc w:val="both"/>
              <w:rPr>
                <w:rFonts w:cstheme="minorHAnsi"/>
                <w:sz w:val="24"/>
                <w:szCs w:val="24"/>
              </w:rPr>
            </w:pPr>
            <w:r w:rsidRPr="0043547B">
              <w:rPr>
                <w:rFonts w:cstheme="minorHAnsi"/>
                <w:sz w:val="24"/>
                <w:szCs w:val="24"/>
              </w:rPr>
              <w:t>Le présent document n'est pas applicable au bardage renforcé (bardage fixé par des adhésifs).</w:t>
            </w:r>
            <w:r w:rsidR="003F409D">
              <w:rPr>
                <w:rFonts w:cstheme="minorHAnsi"/>
                <w:sz w:val="24"/>
                <w:szCs w:val="24"/>
              </w:rPr>
              <w:t xml:space="preserve"> </w:t>
            </w:r>
            <w:r w:rsidRPr="0043547B">
              <w:rPr>
                <w:rFonts w:cstheme="minorHAnsi"/>
                <w:sz w:val="24"/>
                <w:szCs w:val="24"/>
              </w:rPr>
              <w:t>Pour les besoins du présent document, les ardoises de toiture et de bardage ont été classées selon le type de produit et la pierre dans laquelle elles sont extraites.</w:t>
            </w:r>
          </w:p>
        </w:tc>
      </w:tr>
      <w:tr w:rsidR="0043547B" w:rsidRPr="0043547B" w:rsidTr="001E0C3C">
        <w:trPr>
          <w:trHeight w:val="250"/>
          <w:jc w:val="center"/>
        </w:trPr>
        <w:tc>
          <w:tcPr>
            <w:tcW w:w="1838" w:type="dxa"/>
            <w:tcBorders>
              <w:top w:val="single" w:sz="18" w:space="0" w:color="auto"/>
              <w:left w:val="single" w:sz="18" w:space="0" w:color="auto"/>
              <w:bottom w:val="single" w:sz="18" w:space="0" w:color="auto"/>
              <w:right w:val="single" w:sz="4" w:space="0" w:color="auto"/>
            </w:tcBorders>
            <w:shd w:val="clear" w:color="auto" w:fill="97B953"/>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97B953"/>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NM ISO 3934</w:t>
            </w:r>
          </w:p>
        </w:tc>
      </w:tr>
      <w:tr w:rsidR="0043547B" w:rsidRPr="0043547B" w:rsidTr="001E0C3C">
        <w:trPr>
          <w:trHeight w:val="65"/>
          <w:jc w:val="center"/>
        </w:trPr>
        <w:tc>
          <w:tcPr>
            <w:tcW w:w="1838" w:type="dxa"/>
            <w:tcBorders>
              <w:top w:val="single" w:sz="18" w:space="0" w:color="auto"/>
              <w:left w:val="single" w:sz="18" w:space="0" w:color="auto"/>
              <w:bottom w:val="single" w:sz="4" w:space="0" w:color="auto"/>
              <w:right w:val="single" w:sz="4" w:space="0" w:color="auto"/>
            </w:tcBorders>
            <w:shd w:val="clear" w:color="auto" w:fill="FFFF7D"/>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7D"/>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ISO 3934</w:t>
            </w:r>
          </w:p>
        </w:tc>
      </w:tr>
      <w:tr w:rsidR="0043547B" w:rsidRPr="0043547B" w:rsidTr="001E0C3C">
        <w:trPr>
          <w:trHeight w:val="141"/>
          <w:jc w:val="center"/>
        </w:trPr>
        <w:tc>
          <w:tcPr>
            <w:tcW w:w="1838" w:type="dxa"/>
            <w:tcBorders>
              <w:top w:val="nil"/>
              <w:left w:val="single" w:sz="18" w:space="0" w:color="auto"/>
              <w:bottom w:val="single" w:sz="4" w:space="0" w:color="auto"/>
              <w:right w:val="single" w:sz="4" w:space="0" w:color="auto"/>
            </w:tcBorders>
            <w:shd w:val="clear" w:color="000000" w:fill="8DB4E2"/>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auto"/>
            <w:vAlign w:val="center"/>
          </w:tcPr>
          <w:p w:rsidR="00904E52" w:rsidRPr="0043547B" w:rsidRDefault="00904E52" w:rsidP="001C09B6">
            <w:pPr>
              <w:spacing w:after="0" w:line="240" w:lineRule="auto"/>
              <w:jc w:val="both"/>
              <w:rPr>
                <w:rFonts w:cstheme="minorHAnsi"/>
                <w:sz w:val="24"/>
                <w:szCs w:val="24"/>
              </w:rPr>
            </w:pPr>
            <w:r w:rsidRPr="0043547B">
              <w:rPr>
                <w:rFonts w:cstheme="minorHAnsi"/>
                <w:sz w:val="24"/>
                <w:szCs w:val="24"/>
              </w:rPr>
              <w:t>Caoutchouc vulcanisé et thermoplastique - Profilés d'étanchéité utilisés dans le bâtiment - Classification, spéci</w:t>
            </w:r>
            <w:r w:rsidR="004D418F" w:rsidRPr="0043547B">
              <w:rPr>
                <w:rFonts w:cstheme="minorHAnsi"/>
                <w:sz w:val="24"/>
                <w:szCs w:val="24"/>
              </w:rPr>
              <w:t>fications et méthodes d'essai </w:t>
            </w:r>
          </w:p>
        </w:tc>
      </w:tr>
      <w:tr w:rsidR="0043547B" w:rsidRPr="0043547B" w:rsidTr="001E0C3C">
        <w:trPr>
          <w:trHeight w:val="701"/>
          <w:jc w:val="center"/>
        </w:trPr>
        <w:tc>
          <w:tcPr>
            <w:tcW w:w="1838" w:type="dxa"/>
            <w:tcBorders>
              <w:top w:val="nil"/>
              <w:left w:val="single" w:sz="18" w:space="0" w:color="auto"/>
              <w:bottom w:val="single" w:sz="18" w:space="0" w:color="auto"/>
              <w:right w:val="single" w:sz="4" w:space="0" w:color="auto"/>
            </w:tcBorders>
            <w:shd w:val="clear" w:color="000000" w:fill="D9D9D9"/>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center"/>
          </w:tcPr>
          <w:p w:rsidR="00904E52" w:rsidRPr="0043547B" w:rsidRDefault="00904E52" w:rsidP="001C09B6">
            <w:pPr>
              <w:spacing w:after="0" w:line="240" w:lineRule="auto"/>
              <w:jc w:val="both"/>
              <w:rPr>
                <w:rFonts w:cstheme="minorHAnsi"/>
                <w:sz w:val="24"/>
                <w:szCs w:val="24"/>
              </w:rPr>
            </w:pPr>
            <w:r w:rsidRPr="0043547B">
              <w:rPr>
                <w:rFonts w:cstheme="minorHAnsi"/>
                <w:sz w:val="24"/>
                <w:szCs w:val="24"/>
              </w:rPr>
              <w:t>La norme spécifie un système de classification des matériaux utilisés dans les profilés d'étanchéité pour le bâtiment. Il s'applique aux produits suivants :</w:t>
            </w:r>
          </w:p>
          <w:p w:rsidR="00904E52" w:rsidRPr="0043547B" w:rsidRDefault="00904E52" w:rsidP="00E10FBD">
            <w:pPr>
              <w:pStyle w:val="Paragraphedeliste"/>
              <w:numPr>
                <w:ilvl w:val="0"/>
                <w:numId w:val="30"/>
              </w:numPr>
              <w:spacing w:after="0" w:line="240" w:lineRule="auto"/>
              <w:ind w:left="337"/>
              <w:jc w:val="both"/>
              <w:rPr>
                <w:rFonts w:cstheme="minorHAnsi"/>
                <w:sz w:val="24"/>
                <w:szCs w:val="24"/>
              </w:rPr>
            </w:pPr>
            <w:r w:rsidRPr="0043547B">
              <w:rPr>
                <w:rFonts w:cstheme="minorHAnsi"/>
                <w:sz w:val="24"/>
                <w:szCs w:val="24"/>
              </w:rPr>
              <w:t>profilés entre ouvrant et dormant (profilés dynamiques) ;</w:t>
            </w:r>
          </w:p>
          <w:p w:rsidR="00904E52" w:rsidRPr="0043547B" w:rsidRDefault="00904E52" w:rsidP="00E10FBD">
            <w:pPr>
              <w:pStyle w:val="Paragraphedeliste"/>
              <w:numPr>
                <w:ilvl w:val="0"/>
                <w:numId w:val="30"/>
              </w:numPr>
              <w:spacing w:after="0" w:line="240" w:lineRule="auto"/>
              <w:ind w:left="337"/>
              <w:jc w:val="both"/>
              <w:rPr>
                <w:rFonts w:cstheme="minorHAnsi"/>
                <w:sz w:val="24"/>
                <w:szCs w:val="24"/>
              </w:rPr>
            </w:pPr>
            <w:r w:rsidRPr="0043547B">
              <w:rPr>
                <w:rFonts w:cstheme="minorHAnsi"/>
                <w:sz w:val="24"/>
                <w:szCs w:val="24"/>
              </w:rPr>
              <w:t>profilés de vitrage (profilés statiques) ;</w:t>
            </w:r>
          </w:p>
          <w:p w:rsidR="00904E52" w:rsidRPr="0043547B" w:rsidRDefault="00904E52" w:rsidP="00E10FBD">
            <w:pPr>
              <w:pStyle w:val="Paragraphedeliste"/>
              <w:numPr>
                <w:ilvl w:val="0"/>
                <w:numId w:val="30"/>
              </w:numPr>
              <w:spacing w:after="0" w:line="240" w:lineRule="auto"/>
              <w:ind w:left="337"/>
              <w:jc w:val="both"/>
              <w:rPr>
                <w:rFonts w:cstheme="minorHAnsi"/>
                <w:sz w:val="24"/>
                <w:szCs w:val="24"/>
              </w:rPr>
            </w:pPr>
            <w:r w:rsidRPr="0043547B">
              <w:rPr>
                <w:rFonts w:cstheme="minorHAnsi"/>
                <w:sz w:val="24"/>
                <w:szCs w:val="24"/>
              </w:rPr>
              <w:t>profilés pour éléments de remplissage ;</w:t>
            </w:r>
          </w:p>
          <w:p w:rsidR="00904E52" w:rsidRPr="0043547B" w:rsidRDefault="00904E52" w:rsidP="00E10FBD">
            <w:pPr>
              <w:pStyle w:val="Paragraphedeliste"/>
              <w:numPr>
                <w:ilvl w:val="0"/>
                <w:numId w:val="30"/>
              </w:numPr>
              <w:spacing w:after="0" w:line="240" w:lineRule="auto"/>
              <w:ind w:left="337"/>
              <w:jc w:val="both"/>
              <w:rPr>
                <w:rFonts w:cstheme="minorHAnsi"/>
                <w:sz w:val="24"/>
                <w:szCs w:val="24"/>
              </w:rPr>
            </w:pPr>
            <w:r w:rsidRPr="0043547B">
              <w:rPr>
                <w:rFonts w:cstheme="minorHAnsi"/>
                <w:sz w:val="24"/>
                <w:szCs w:val="24"/>
              </w:rPr>
              <w:t>profilés entre éléments de façade ;</w:t>
            </w:r>
          </w:p>
          <w:p w:rsidR="00904E52" w:rsidRPr="0043547B" w:rsidRDefault="00904E52" w:rsidP="00E10FBD">
            <w:pPr>
              <w:pStyle w:val="Paragraphedeliste"/>
              <w:numPr>
                <w:ilvl w:val="0"/>
                <w:numId w:val="30"/>
              </w:numPr>
              <w:spacing w:after="0" w:line="240" w:lineRule="auto"/>
              <w:ind w:left="337"/>
              <w:jc w:val="both"/>
              <w:rPr>
                <w:rFonts w:cstheme="minorHAnsi"/>
                <w:sz w:val="24"/>
                <w:szCs w:val="24"/>
              </w:rPr>
            </w:pPr>
            <w:r w:rsidRPr="0043547B">
              <w:rPr>
                <w:rFonts w:cstheme="minorHAnsi"/>
                <w:sz w:val="24"/>
                <w:szCs w:val="24"/>
              </w:rPr>
              <w:t>profilés entre parois de maçonnerie.</w:t>
            </w:r>
          </w:p>
          <w:p w:rsidR="00904E52" w:rsidRPr="0043547B" w:rsidRDefault="00904E52" w:rsidP="001C09B6">
            <w:pPr>
              <w:spacing w:after="0" w:line="240" w:lineRule="auto"/>
              <w:jc w:val="both"/>
              <w:rPr>
                <w:rFonts w:cstheme="minorHAnsi"/>
                <w:sz w:val="24"/>
                <w:szCs w:val="24"/>
              </w:rPr>
            </w:pPr>
            <w:r w:rsidRPr="0043547B">
              <w:rPr>
                <w:rFonts w:cstheme="minorHAnsi"/>
                <w:sz w:val="24"/>
                <w:szCs w:val="24"/>
              </w:rPr>
              <w:t>Outre les caractéristiques requises pour les matériaux constitutifs, quelques essais fonctionnels réalisés sur profilés sont spécifiés. Les modes opératoires correspondants sont donnés dans les annexes.</w:t>
            </w:r>
          </w:p>
          <w:p w:rsidR="00904E52" w:rsidRPr="0043547B" w:rsidRDefault="00904E52" w:rsidP="001C09B6">
            <w:pPr>
              <w:spacing w:after="0" w:line="240" w:lineRule="auto"/>
              <w:jc w:val="both"/>
              <w:rPr>
                <w:rFonts w:cstheme="minorHAnsi"/>
                <w:sz w:val="24"/>
                <w:szCs w:val="24"/>
              </w:rPr>
            </w:pPr>
            <w:r w:rsidRPr="0043547B">
              <w:rPr>
                <w:rFonts w:cstheme="minorHAnsi"/>
                <w:sz w:val="24"/>
                <w:szCs w:val="24"/>
              </w:rPr>
              <w:t>La norme est applicable aux profilés en caoutchouc vulcanisé ou caoutchouc thermoplastique. Elle est également applicable aux profilés d'étanchéité en matériaux cellulaires conçus pour des utilisations à des températures comprises entre – 20 °C et + 55 °C (sollicitation thermique P1) et entre – 40 °C et + 70 °C (sollicitation thermique P3).</w:t>
            </w:r>
          </w:p>
        </w:tc>
      </w:tr>
      <w:tr w:rsidR="000555C5" w:rsidRPr="0043547B" w:rsidTr="001E0C3C">
        <w:trPr>
          <w:trHeight w:val="300"/>
          <w:jc w:val="center"/>
        </w:trPr>
        <w:tc>
          <w:tcPr>
            <w:tcW w:w="1838" w:type="dxa"/>
            <w:tcBorders>
              <w:top w:val="single" w:sz="18" w:space="0" w:color="auto"/>
              <w:left w:val="single" w:sz="18" w:space="0" w:color="auto"/>
              <w:bottom w:val="single" w:sz="18" w:space="0" w:color="auto"/>
              <w:right w:val="single" w:sz="4" w:space="0" w:color="auto"/>
            </w:tcBorders>
            <w:shd w:val="clear" w:color="auto" w:fill="97B953"/>
            <w:vAlign w:val="center"/>
          </w:tcPr>
          <w:p w:rsidR="000555C5" w:rsidRPr="005D29D1" w:rsidRDefault="000555C5" w:rsidP="005D29D1">
            <w:pPr>
              <w:spacing w:after="0" w:line="240" w:lineRule="auto"/>
              <w:jc w:val="center"/>
              <w:rPr>
                <w:rFonts w:ascii="Calibri" w:hAnsi="Calibri" w:cs="Calibri"/>
                <w:b/>
                <w:bCs/>
                <w:sz w:val="24"/>
                <w:szCs w:val="24"/>
              </w:rPr>
            </w:pPr>
            <w:r w:rsidRPr="005D29D1">
              <w:rPr>
                <w:rFonts w:ascii="Calibri" w:hAnsi="Calibri" w:cs="Calibri"/>
                <w:b/>
                <w:bCs/>
                <w:sz w:val="24"/>
                <w:szCs w:val="24"/>
              </w:rPr>
              <w:t>Code :</w:t>
            </w:r>
          </w:p>
        </w:tc>
        <w:tc>
          <w:tcPr>
            <w:tcW w:w="7938" w:type="dxa"/>
            <w:tcBorders>
              <w:top w:val="single" w:sz="4" w:space="0" w:color="auto"/>
              <w:left w:val="single" w:sz="4" w:space="0" w:color="auto"/>
              <w:bottom w:val="single" w:sz="18" w:space="0" w:color="auto"/>
              <w:right w:val="single" w:sz="18" w:space="0" w:color="auto"/>
            </w:tcBorders>
            <w:shd w:val="clear" w:color="auto" w:fill="97B953"/>
          </w:tcPr>
          <w:p w:rsidR="000555C5" w:rsidRPr="005D29D1" w:rsidRDefault="000555C5" w:rsidP="005D29D1">
            <w:pPr>
              <w:spacing w:after="0" w:line="240" w:lineRule="auto"/>
              <w:jc w:val="center"/>
              <w:rPr>
                <w:rFonts w:ascii="Calibri" w:hAnsi="Calibri" w:cs="Calibri"/>
                <w:b/>
                <w:bCs/>
                <w:sz w:val="24"/>
                <w:szCs w:val="24"/>
              </w:rPr>
            </w:pPr>
            <w:r w:rsidRPr="005D29D1">
              <w:rPr>
                <w:rFonts w:ascii="Calibri" w:hAnsi="Calibri" w:cs="Calibri"/>
                <w:b/>
                <w:bCs/>
                <w:sz w:val="24"/>
                <w:szCs w:val="24"/>
              </w:rPr>
              <w:t>NM EN 13969</w:t>
            </w:r>
          </w:p>
        </w:tc>
      </w:tr>
      <w:tr w:rsidR="000555C5" w:rsidRPr="0043547B" w:rsidTr="001E0C3C">
        <w:trPr>
          <w:trHeight w:val="368"/>
          <w:jc w:val="center"/>
        </w:trPr>
        <w:tc>
          <w:tcPr>
            <w:tcW w:w="1838" w:type="dxa"/>
            <w:tcBorders>
              <w:top w:val="single" w:sz="18" w:space="0" w:color="auto"/>
              <w:left w:val="single" w:sz="18" w:space="0" w:color="auto"/>
              <w:bottom w:val="single" w:sz="18" w:space="0" w:color="auto"/>
              <w:right w:val="single" w:sz="4" w:space="0" w:color="auto"/>
            </w:tcBorders>
            <w:shd w:val="clear" w:color="auto" w:fill="FFFF7D"/>
            <w:vAlign w:val="center"/>
          </w:tcPr>
          <w:p w:rsidR="000555C5" w:rsidRPr="005D29D1" w:rsidRDefault="000555C5" w:rsidP="005D29D1">
            <w:pPr>
              <w:spacing w:after="0" w:line="240" w:lineRule="auto"/>
              <w:jc w:val="center"/>
              <w:rPr>
                <w:rFonts w:ascii="Calibri" w:hAnsi="Calibri" w:cs="Calibri"/>
                <w:b/>
                <w:bCs/>
                <w:sz w:val="24"/>
                <w:szCs w:val="24"/>
              </w:rPr>
            </w:pPr>
            <w:r w:rsidRPr="005D29D1">
              <w:rPr>
                <w:rFonts w:ascii="Calibri" w:hAnsi="Calibri" w:cs="Calibri"/>
                <w:b/>
                <w:bCs/>
                <w:sz w:val="24"/>
                <w:szCs w:val="24"/>
              </w:rPr>
              <w:t>Equivalence :</w:t>
            </w:r>
          </w:p>
        </w:tc>
        <w:tc>
          <w:tcPr>
            <w:tcW w:w="7938" w:type="dxa"/>
            <w:tcBorders>
              <w:top w:val="single" w:sz="18" w:space="0" w:color="auto"/>
              <w:left w:val="single" w:sz="4" w:space="0" w:color="auto"/>
              <w:bottom w:val="single" w:sz="18" w:space="0" w:color="auto"/>
              <w:right w:val="single" w:sz="18" w:space="0" w:color="auto"/>
            </w:tcBorders>
            <w:shd w:val="clear" w:color="auto" w:fill="FFFF7D"/>
          </w:tcPr>
          <w:p w:rsidR="000555C5" w:rsidRPr="005D29D1" w:rsidRDefault="000555C5" w:rsidP="005D29D1">
            <w:pPr>
              <w:spacing w:after="0" w:line="240" w:lineRule="auto"/>
              <w:jc w:val="center"/>
              <w:rPr>
                <w:rFonts w:ascii="Calibri" w:hAnsi="Calibri" w:cs="Calibri"/>
                <w:b/>
                <w:bCs/>
                <w:sz w:val="24"/>
                <w:szCs w:val="24"/>
              </w:rPr>
            </w:pPr>
            <w:r w:rsidRPr="005D29D1">
              <w:rPr>
                <w:rFonts w:ascii="Calibri" w:hAnsi="Calibri" w:cs="Calibri"/>
                <w:b/>
                <w:bCs/>
                <w:sz w:val="24"/>
                <w:szCs w:val="24"/>
              </w:rPr>
              <w:t>EN 13969</w:t>
            </w:r>
          </w:p>
        </w:tc>
      </w:tr>
      <w:tr w:rsidR="000555C5" w:rsidRPr="0043547B" w:rsidTr="001E0C3C">
        <w:trPr>
          <w:trHeight w:val="249"/>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tcPr>
          <w:p w:rsidR="000555C5" w:rsidRPr="005D29D1" w:rsidRDefault="000555C5" w:rsidP="005D29D1">
            <w:pPr>
              <w:spacing w:after="0" w:line="240" w:lineRule="auto"/>
              <w:jc w:val="center"/>
              <w:rPr>
                <w:rFonts w:ascii="Calibri" w:hAnsi="Calibri" w:cs="Calibri"/>
                <w:b/>
                <w:bCs/>
                <w:sz w:val="24"/>
                <w:szCs w:val="24"/>
              </w:rPr>
            </w:pPr>
            <w:r w:rsidRPr="005D29D1">
              <w:rPr>
                <w:rFonts w:ascii="Calibri" w:hAnsi="Calibri" w:cs="Calibr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tcPr>
          <w:p w:rsidR="000555C5" w:rsidRPr="005D29D1" w:rsidRDefault="000555C5" w:rsidP="005D29D1">
            <w:pPr>
              <w:spacing w:after="0" w:line="240" w:lineRule="auto"/>
              <w:rPr>
                <w:rFonts w:ascii="Calibri" w:hAnsi="Calibri" w:cs="Calibri"/>
                <w:sz w:val="24"/>
                <w:szCs w:val="24"/>
              </w:rPr>
            </w:pPr>
            <w:r w:rsidRPr="005D29D1">
              <w:rPr>
                <w:rFonts w:ascii="Calibri" w:hAnsi="Calibri" w:cs="Calibri"/>
                <w:sz w:val="24"/>
                <w:szCs w:val="24"/>
              </w:rPr>
              <w:t>Feuilles souples d'étanchéité - Feuilles bitumineuses empêchant les remontées d'humidité du sol - Définitions et caractéristiques</w:t>
            </w:r>
          </w:p>
        </w:tc>
      </w:tr>
      <w:tr w:rsidR="000555C5" w:rsidRPr="0043547B" w:rsidTr="001E0C3C">
        <w:trPr>
          <w:trHeight w:val="374"/>
          <w:jc w:val="center"/>
        </w:trPr>
        <w:tc>
          <w:tcPr>
            <w:tcW w:w="1838" w:type="dxa"/>
            <w:tcBorders>
              <w:top w:val="nil"/>
              <w:left w:val="single" w:sz="18" w:space="0" w:color="auto"/>
              <w:bottom w:val="single" w:sz="18" w:space="0" w:color="auto"/>
              <w:right w:val="single" w:sz="4" w:space="0" w:color="auto"/>
            </w:tcBorders>
            <w:shd w:val="clear" w:color="000000" w:fill="D9D9D9"/>
            <w:vAlign w:val="center"/>
          </w:tcPr>
          <w:p w:rsidR="000555C5" w:rsidRPr="005D29D1" w:rsidRDefault="000555C5" w:rsidP="005D29D1">
            <w:pPr>
              <w:spacing w:after="0" w:line="240" w:lineRule="auto"/>
              <w:jc w:val="center"/>
              <w:rPr>
                <w:rFonts w:ascii="Calibri" w:hAnsi="Calibri" w:cs="Calibri"/>
                <w:b/>
                <w:bCs/>
                <w:sz w:val="24"/>
                <w:szCs w:val="24"/>
              </w:rPr>
            </w:pPr>
            <w:r w:rsidRPr="005D29D1">
              <w:rPr>
                <w:rFonts w:ascii="Calibri" w:hAnsi="Calibri" w:cs="Calibri"/>
                <w:b/>
                <w:bCs/>
                <w:sz w:val="24"/>
                <w:szCs w:val="24"/>
              </w:rPr>
              <w:lastRenderedPageBreak/>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tcPr>
          <w:p w:rsidR="000555C5" w:rsidRPr="005D29D1" w:rsidRDefault="000555C5" w:rsidP="005D29D1">
            <w:pPr>
              <w:spacing w:after="0" w:line="240" w:lineRule="auto"/>
              <w:jc w:val="both"/>
              <w:rPr>
                <w:rFonts w:ascii="Calibri" w:hAnsi="Calibri" w:cs="Calibri"/>
                <w:sz w:val="24"/>
                <w:szCs w:val="24"/>
              </w:rPr>
            </w:pPr>
            <w:r w:rsidRPr="005D29D1">
              <w:rPr>
                <w:rFonts w:ascii="Calibri" w:hAnsi="Calibri" w:cs="Calibri"/>
                <w:sz w:val="24"/>
                <w:szCs w:val="24"/>
              </w:rPr>
              <w:t>La présente Norme européenne spécifie les définitions et les caractéristiques pour les feuilles souples bitumineuses</w:t>
            </w:r>
            <w:r w:rsidR="005D29D1">
              <w:rPr>
                <w:rFonts w:ascii="Calibri" w:hAnsi="Calibri" w:cs="Calibri"/>
                <w:sz w:val="24"/>
                <w:szCs w:val="24"/>
              </w:rPr>
              <w:t xml:space="preserve"> </w:t>
            </w:r>
            <w:r w:rsidRPr="005D29D1">
              <w:rPr>
                <w:rFonts w:ascii="Calibri" w:hAnsi="Calibri" w:cs="Calibri"/>
                <w:sz w:val="24"/>
                <w:szCs w:val="24"/>
              </w:rPr>
              <w:t>armées destinées à empêcher les remontées d'humidité du sol pour les ouvrages de bâtiment y compris les</w:t>
            </w:r>
            <w:r w:rsidRPr="005D29D1">
              <w:rPr>
                <w:rFonts w:ascii="Calibri" w:hAnsi="Calibri" w:cs="Calibri"/>
                <w:sz w:val="24"/>
                <w:szCs w:val="24"/>
              </w:rPr>
              <w:br/>
              <w:t>étanchéités de cuvelages. Elle spécifie les exigences et les méthodes d'essai et fournit des indications relatives</w:t>
            </w:r>
            <w:r w:rsidR="005D29D1">
              <w:rPr>
                <w:rFonts w:ascii="Calibri" w:hAnsi="Calibri" w:cs="Calibri"/>
                <w:sz w:val="24"/>
                <w:szCs w:val="24"/>
              </w:rPr>
              <w:t xml:space="preserve"> </w:t>
            </w:r>
            <w:r w:rsidRPr="005D29D1">
              <w:rPr>
                <w:rFonts w:ascii="Calibri" w:hAnsi="Calibri" w:cs="Calibri"/>
                <w:sz w:val="24"/>
                <w:szCs w:val="24"/>
              </w:rPr>
              <w:t>à l'évaluation de la conformité des produits aux exigences de la présente norme.</w:t>
            </w:r>
          </w:p>
        </w:tc>
      </w:tr>
      <w:tr w:rsidR="0043547B" w:rsidRPr="0043547B" w:rsidTr="001E0C3C">
        <w:trPr>
          <w:trHeight w:val="25"/>
          <w:jc w:val="center"/>
        </w:trPr>
        <w:tc>
          <w:tcPr>
            <w:tcW w:w="1838" w:type="dxa"/>
            <w:tcBorders>
              <w:top w:val="single" w:sz="18" w:space="0" w:color="auto"/>
              <w:left w:val="single" w:sz="18" w:space="0" w:color="auto"/>
              <w:bottom w:val="single" w:sz="18" w:space="0" w:color="auto"/>
              <w:right w:val="single" w:sz="4" w:space="0" w:color="auto"/>
            </w:tcBorders>
            <w:shd w:val="clear" w:color="auto" w:fill="97B953"/>
            <w:vAlign w:val="center"/>
          </w:tcPr>
          <w:p w:rsidR="00883ABE" w:rsidRPr="0043547B" w:rsidRDefault="00883ABE" w:rsidP="00883ABE">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4" w:space="0" w:color="auto"/>
              <w:left w:val="single" w:sz="4" w:space="0" w:color="auto"/>
              <w:bottom w:val="single" w:sz="18" w:space="0" w:color="auto"/>
              <w:right w:val="single" w:sz="18" w:space="0" w:color="auto"/>
            </w:tcBorders>
            <w:shd w:val="clear" w:color="auto" w:fill="97B953"/>
            <w:vAlign w:val="center"/>
          </w:tcPr>
          <w:p w:rsidR="00883ABE" w:rsidRPr="0043547B" w:rsidRDefault="00883ABE" w:rsidP="00883ABE">
            <w:pPr>
              <w:spacing w:after="0" w:line="240" w:lineRule="auto"/>
              <w:jc w:val="center"/>
              <w:rPr>
                <w:rFonts w:cstheme="minorHAnsi"/>
                <w:b/>
                <w:bCs/>
                <w:sz w:val="24"/>
                <w:szCs w:val="24"/>
              </w:rPr>
            </w:pPr>
            <w:r w:rsidRPr="0043547B">
              <w:rPr>
                <w:rFonts w:cstheme="minorHAnsi"/>
                <w:b/>
                <w:bCs/>
                <w:sz w:val="24"/>
                <w:szCs w:val="24"/>
              </w:rPr>
              <w:t>NM 10.8.917</w:t>
            </w:r>
          </w:p>
        </w:tc>
      </w:tr>
      <w:tr w:rsidR="0043547B" w:rsidRPr="0043547B" w:rsidTr="001E0C3C">
        <w:trPr>
          <w:trHeight w:val="25"/>
          <w:jc w:val="center"/>
        </w:trPr>
        <w:tc>
          <w:tcPr>
            <w:tcW w:w="1838" w:type="dxa"/>
            <w:tcBorders>
              <w:top w:val="nil"/>
              <w:left w:val="single" w:sz="18" w:space="0" w:color="auto"/>
              <w:bottom w:val="single" w:sz="4" w:space="0" w:color="auto"/>
              <w:right w:val="single" w:sz="4" w:space="0" w:color="auto"/>
            </w:tcBorders>
            <w:shd w:val="clear" w:color="000000" w:fill="8DB4E2"/>
            <w:vAlign w:val="center"/>
          </w:tcPr>
          <w:p w:rsidR="00883ABE" w:rsidRPr="0043547B" w:rsidRDefault="00883ABE" w:rsidP="00883ABE">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auto"/>
            <w:vAlign w:val="center"/>
          </w:tcPr>
          <w:p w:rsidR="00883ABE" w:rsidRPr="0043547B" w:rsidRDefault="00883ABE" w:rsidP="00883ABE">
            <w:pPr>
              <w:spacing w:after="0" w:line="240" w:lineRule="auto"/>
              <w:jc w:val="both"/>
              <w:rPr>
                <w:rFonts w:cstheme="minorHAnsi"/>
                <w:sz w:val="24"/>
                <w:szCs w:val="24"/>
              </w:rPr>
            </w:pPr>
            <w:r w:rsidRPr="0043547B">
              <w:rPr>
                <w:rFonts w:cstheme="minorHAnsi"/>
                <w:sz w:val="24"/>
                <w:szCs w:val="24"/>
              </w:rPr>
              <w:t>Étanchéité - Chape souple de bitume armé à armature en tissu de verre auto protégé par feuille métallique thermostable (T.V. - th) </w:t>
            </w:r>
            <w:r w:rsidR="004D418F" w:rsidRPr="0043547B">
              <w:rPr>
                <w:rFonts w:cstheme="minorHAnsi"/>
                <w:noProof/>
                <w:sz w:val="24"/>
                <w:szCs w:val="24"/>
                <w:lang w:eastAsia="fr-FR"/>
              </w:rPr>
              <w:drawing>
                <wp:inline distT="0" distB="0" distL="0" distR="0" wp14:anchorId="6DA85FBB" wp14:editId="6F6D81F1">
                  <wp:extent cx="183515" cy="158750"/>
                  <wp:effectExtent l="0" t="0" r="6985" b="0"/>
                  <wp:docPr id="10" name="Image 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8" cstate="print"/>
                          <a:srcRect/>
                          <a:stretch>
                            <a:fillRect/>
                          </a:stretch>
                        </pic:blipFill>
                        <pic:spPr bwMode="auto">
                          <a:xfrm>
                            <a:off x="0" y="0"/>
                            <a:ext cx="185776" cy="160706"/>
                          </a:xfrm>
                          <a:prstGeom prst="rect">
                            <a:avLst/>
                          </a:prstGeom>
                          <a:noFill/>
                          <a:ln w="9525">
                            <a:noFill/>
                            <a:miter lim="800000"/>
                            <a:headEnd/>
                            <a:tailEnd/>
                          </a:ln>
                        </pic:spPr>
                      </pic:pic>
                    </a:graphicData>
                  </a:graphic>
                </wp:inline>
              </w:drawing>
            </w:r>
          </w:p>
        </w:tc>
      </w:tr>
      <w:tr w:rsidR="0043547B" w:rsidRPr="0043547B" w:rsidTr="001E0C3C">
        <w:trPr>
          <w:trHeight w:val="25"/>
          <w:jc w:val="center"/>
        </w:trPr>
        <w:tc>
          <w:tcPr>
            <w:tcW w:w="1838" w:type="dxa"/>
            <w:tcBorders>
              <w:top w:val="nil"/>
              <w:left w:val="single" w:sz="18" w:space="0" w:color="auto"/>
              <w:bottom w:val="single" w:sz="18" w:space="0" w:color="auto"/>
              <w:right w:val="single" w:sz="4" w:space="0" w:color="auto"/>
            </w:tcBorders>
            <w:shd w:val="clear" w:color="000000" w:fill="D9D9D9"/>
            <w:vAlign w:val="center"/>
          </w:tcPr>
          <w:p w:rsidR="00883ABE" w:rsidRPr="0043547B" w:rsidRDefault="00883ABE" w:rsidP="00883ABE">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center"/>
          </w:tcPr>
          <w:p w:rsidR="003442F3" w:rsidRPr="0043547B" w:rsidRDefault="00883ABE" w:rsidP="003442F3">
            <w:pPr>
              <w:spacing w:after="0" w:line="240" w:lineRule="auto"/>
              <w:jc w:val="both"/>
              <w:rPr>
                <w:rFonts w:cstheme="minorHAnsi"/>
                <w:sz w:val="24"/>
                <w:szCs w:val="24"/>
              </w:rPr>
            </w:pPr>
            <w:r w:rsidRPr="0043547B">
              <w:rPr>
                <w:rFonts w:cstheme="minorHAnsi"/>
                <w:sz w:val="24"/>
                <w:szCs w:val="24"/>
              </w:rPr>
              <w:t>La présente norme a pour objet de définir les produits dénommés «chape souple de bitume armé à armature en tissu de verre autoprotégé par feuille métallique thermostable (T.V. - th)».</w:t>
            </w:r>
          </w:p>
          <w:p w:rsidR="00883ABE" w:rsidRPr="0043547B" w:rsidRDefault="00883ABE" w:rsidP="003442F3">
            <w:pPr>
              <w:spacing w:after="0" w:line="240" w:lineRule="auto"/>
              <w:jc w:val="both"/>
              <w:rPr>
                <w:rFonts w:cstheme="minorHAnsi"/>
                <w:sz w:val="24"/>
                <w:szCs w:val="24"/>
              </w:rPr>
            </w:pPr>
            <w:r w:rsidRPr="0043547B">
              <w:rPr>
                <w:rFonts w:cstheme="minorHAnsi"/>
                <w:sz w:val="24"/>
                <w:szCs w:val="24"/>
              </w:rPr>
              <w:t>Elle en fixe la terminologie, la classification et les caractéristiques de base.</w:t>
            </w:r>
            <w:r w:rsidRPr="0043547B">
              <w:rPr>
                <w:rFonts w:cstheme="minorHAnsi"/>
                <w:sz w:val="24"/>
                <w:szCs w:val="24"/>
              </w:rPr>
              <w:br/>
              <w:t>Ces produits sont destinés à être utilisés dans les ouvrages de bâtiment ou de génie civil.</w:t>
            </w:r>
          </w:p>
        </w:tc>
      </w:tr>
      <w:tr w:rsidR="0043547B" w:rsidRPr="0043547B" w:rsidTr="001E0C3C">
        <w:trPr>
          <w:trHeight w:val="25"/>
          <w:jc w:val="center"/>
        </w:trPr>
        <w:tc>
          <w:tcPr>
            <w:tcW w:w="1838" w:type="dxa"/>
            <w:tcBorders>
              <w:top w:val="single" w:sz="18" w:space="0" w:color="auto"/>
              <w:left w:val="single" w:sz="18" w:space="0" w:color="auto"/>
              <w:bottom w:val="single" w:sz="18" w:space="0" w:color="auto"/>
              <w:right w:val="single" w:sz="4" w:space="0" w:color="auto"/>
            </w:tcBorders>
            <w:shd w:val="clear" w:color="auto" w:fill="97B953"/>
            <w:vAlign w:val="center"/>
          </w:tcPr>
          <w:p w:rsidR="00883ABE" w:rsidRPr="0043547B" w:rsidRDefault="00883ABE" w:rsidP="00883ABE">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4" w:space="0" w:color="auto"/>
              <w:left w:val="single" w:sz="4" w:space="0" w:color="auto"/>
              <w:bottom w:val="single" w:sz="18" w:space="0" w:color="auto"/>
              <w:right w:val="single" w:sz="18" w:space="0" w:color="auto"/>
            </w:tcBorders>
            <w:shd w:val="clear" w:color="auto" w:fill="97B953"/>
            <w:vAlign w:val="center"/>
          </w:tcPr>
          <w:p w:rsidR="00883ABE" w:rsidRPr="0043547B" w:rsidRDefault="00883ABE" w:rsidP="003442F3">
            <w:pPr>
              <w:spacing w:after="0" w:line="240" w:lineRule="auto"/>
              <w:jc w:val="center"/>
              <w:rPr>
                <w:rFonts w:cstheme="minorHAnsi"/>
                <w:b/>
                <w:bCs/>
                <w:sz w:val="24"/>
                <w:szCs w:val="24"/>
              </w:rPr>
            </w:pPr>
            <w:r w:rsidRPr="0043547B">
              <w:rPr>
                <w:rFonts w:cstheme="minorHAnsi"/>
                <w:b/>
                <w:bCs/>
                <w:sz w:val="24"/>
                <w:szCs w:val="24"/>
              </w:rPr>
              <w:t>NM 10.8.938</w:t>
            </w:r>
          </w:p>
        </w:tc>
      </w:tr>
      <w:tr w:rsidR="0043547B" w:rsidRPr="0043547B" w:rsidTr="001E0C3C">
        <w:trPr>
          <w:trHeight w:val="25"/>
          <w:jc w:val="center"/>
        </w:trPr>
        <w:tc>
          <w:tcPr>
            <w:tcW w:w="1838" w:type="dxa"/>
            <w:tcBorders>
              <w:top w:val="single" w:sz="18" w:space="0" w:color="auto"/>
              <w:left w:val="single" w:sz="18" w:space="0" w:color="auto"/>
              <w:bottom w:val="single" w:sz="4" w:space="0" w:color="auto"/>
              <w:right w:val="single" w:sz="4" w:space="0" w:color="auto"/>
            </w:tcBorders>
            <w:shd w:val="clear" w:color="auto" w:fill="FFFF7D"/>
            <w:vAlign w:val="center"/>
          </w:tcPr>
          <w:p w:rsidR="00883ABE" w:rsidRPr="0043547B" w:rsidRDefault="00883ABE" w:rsidP="00883ABE">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7D"/>
            <w:vAlign w:val="center"/>
          </w:tcPr>
          <w:p w:rsidR="00883ABE" w:rsidRPr="0043547B" w:rsidRDefault="00883ABE" w:rsidP="003442F3">
            <w:pPr>
              <w:spacing w:after="0" w:line="240" w:lineRule="auto"/>
              <w:jc w:val="center"/>
              <w:rPr>
                <w:rFonts w:cstheme="minorHAnsi"/>
                <w:b/>
                <w:bCs/>
                <w:sz w:val="24"/>
                <w:szCs w:val="24"/>
              </w:rPr>
            </w:pPr>
            <w:r w:rsidRPr="0043547B">
              <w:rPr>
                <w:rFonts w:cstheme="minorHAnsi"/>
                <w:b/>
                <w:bCs/>
                <w:sz w:val="24"/>
                <w:szCs w:val="24"/>
              </w:rPr>
              <w:t>EN 13416</w:t>
            </w:r>
          </w:p>
        </w:tc>
      </w:tr>
      <w:tr w:rsidR="0043547B" w:rsidRPr="0043547B" w:rsidTr="001E0C3C">
        <w:trPr>
          <w:trHeight w:val="25"/>
          <w:jc w:val="center"/>
        </w:trPr>
        <w:tc>
          <w:tcPr>
            <w:tcW w:w="1838" w:type="dxa"/>
            <w:tcBorders>
              <w:top w:val="nil"/>
              <w:left w:val="single" w:sz="18" w:space="0" w:color="auto"/>
              <w:bottom w:val="single" w:sz="4" w:space="0" w:color="auto"/>
              <w:right w:val="single" w:sz="4" w:space="0" w:color="auto"/>
            </w:tcBorders>
            <w:shd w:val="clear" w:color="000000" w:fill="8DB4E2"/>
            <w:vAlign w:val="center"/>
          </w:tcPr>
          <w:p w:rsidR="00883ABE" w:rsidRPr="0043547B" w:rsidRDefault="00883ABE" w:rsidP="00883ABE">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auto"/>
            <w:vAlign w:val="center"/>
          </w:tcPr>
          <w:p w:rsidR="00883ABE" w:rsidRPr="0043547B" w:rsidRDefault="00883ABE" w:rsidP="00883ABE">
            <w:pPr>
              <w:spacing w:after="0" w:line="240" w:lineRule="auto"/>
              <w:jc w:val="both"/>
              <w:rPr>
                <w:rFonts w:cstheme="minorHAnsi"/>
                <w:sz w:val="24"/>
                <w:szCs w:val="24"/>
              </w:rPr>
            </w:pPr>
            <w:r w:rsidRPr="0043547B">
              <w:rPr>
                <w:rFonts w:cstheme="minorHAnsi"/>
                <w:sz w:val="24"/>
                <w:szCs w:val="24"/>
              </w:rPr>
              <w:t>Feuilles souples d’étanchéité – Feuilles d’étanchéité de toiture bitumineuses, plastiques et élastomères – Règles d’échantillonnage </w:t>
            </w:r>
          </w:p>
        </w:tc>
      </w:tr>
      <w:tr w:rsidR="0043547B" w:rsidRPr="0043547B" w:rsidTr="001E0C3C">
        <w:trPr>
          <w:trHeight w:val="1934"/>
          <w:jc w:val="center"/>
        </w:trPr>
        <w:tc>
          <w:tcPr>
            <w:tcW w:w="1838" w:type="dxa"/>
            <w:tcBorders>
              <w:top w:val="nil"/>
              <w:left w:val="single" w:sz="18" w:space="0" w:color="auto"/>
              <w:bottom w:val="single" w:sz="18" w:space="0" w:color="auto"/>
              <w:right w:val="single" w:sz="4" w:space="0" w:color="auto"/>
            </w:tcBorders>
            <w:shd w:val="clear" w:color="000000" w:fill="D9D9D9"/>
            <w:vAlign w:val="center"/>
          </w:tcPr>
          <w:p w:rsidR="00883ABE" w:rsidRPr="0043547B" w:rsidRDefault="00883ABE" w:rsidP="00883ABE">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center"/>
          </w:tcPr>
          <w:p w:rsidR="00883ABE" w:rsidRPr="0043547B" w:rsidRDefault="00883ABE" w:rsidP="003F409D">
            <w:pPr>
              <w:spacing w:after="0" w:line="240" w:lineRule="auto"/>
              <w:jc w:val="both"/>
              <w:rPr>
                <w:rFonts w:cstheme="minorHAnsi"/>
                <w:sz w:val="24"/>
                <w:szCs w:val="24"/>
              </w:rPr>
            </w:pPr>
            <w:r w:rsidRPr="0043547B">
              <w:rPr>
                <w:rFonts w:cstheme="minorHAnsi"/>
                <w:sz w:val="24"/>
                <w:szCs w:val="24"/>
              </w:rPr>
              <w:t>Cette présente norme marocaine spécifie les règles générales s'appliquant au choix des échantillons de feuilles d'étanchéité de toiture bitumineuses, plastiques et élastomères d'où seront pris les prélèvements pour essais. Elle spécifie également les méthodes de conditionnement à suivre avant de découper les éprouvettes dans l’échantillon.</w:t>
            </w:r>
            <w:r w:rsidR="003F409D">
              <w:rPr>
                <w:rFonts w:cstheme="minorHAnsi"/>
                <w:sz w:val="24"/>
                <w:szCs w:val="24"/>
              </w:rPr>
              <w:t xml:space="preserve"> </w:t>
            </w:r>
            <w:r w:rsidRPr="0043547B">
              <w:rPr>
                <w:rFonts w:cstheme="minorHAnsi"/>
                <w:sz w:val="24"/>
                <w:szCs w:val="24"/>
              </w:rPr>
              <w:t xml:space="preserve">Cette présente norme marocaine est à utiliser en relation avec les caractéristiques des feuilles d'étanchéité bitumineuses, plastiques et élastomères, dans lesquelles sont pris les éprouvettes. </w:t>
            </w:r>
          </w:p>
        </w:tc>
      </w:tr>
      <w:tr w:rsidR="00FD6D95" w:rsidRPr="0043547B" w:rsidTr="00FD6D95">
        <w:trPr>
          <w:trHeight w:val="25"/>
          <w:jc w:val="center"/>
        </w:trPr>
        <w:tc>
          <w:tcPr>
            <w:tcW w:w="1838" w:type="dxa"/>
            <w:tcBorders>
              <w:top w:val="single" w:sz="18" w:space="0" w:color="auto"/>
              <w:left w:val="single" w:sz="18" w:space="0" w:color="auto"/>
              <w:bottom w:val="single" w:sz="18" w:space="0" w:color="auto"/>
              <w:right w:val="single" w:sz="4" w:space="0" w:color="auto"/>
            </w:tcBorders>
            <w:shd w:val="clear" w:color="auto" w:fill="97B953"/>
            <w:vAlign w:val="center"/>
          </w:tcPr>
          <w:p w:rsidR="00FD6D95" w:rsidRPr="0043547B" w:rsidRDefault="00FD6D95" w:rsidP="00FD6D95">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4" w:space="0" w:color="auto"/>
              <w:left w:val="single" w:sz="4" w:space="0" w:color="auto"/>
              <w:bottom w:val="single" w:sz="18" w:space="0" w:color="auto"/>
              <w:right w:val="single" w:sz="18" w:space="0" w:color="auto"/>
            </w:tcBorders>
            <w:shd w:val="clear" w:color="auto" w:fill="97B953"/>
          </w:tcPr>
          <w:p w:rsidR="00FD6D95" w:rsidRPr="004F0BC9" w:rsidRDefault="00FD6D95" w:rsidP="004F0BC9">
            <w:pPr>
              <w:spacing w:after="0" w:line="240" w:lineRule="auto"/>
              <w:jc w:val="center"/>
              <w:rPr>
                <w:rFonts w:ascii="Calibri" w:hAnsi="Calibri" w:cs="Calibri"/>
                <w:b/>
                <w:bCs/>
                <w:sz w:val="24"/>
                <w:szCs w:val="24"/>
              </w:rPr>
            </w:pPr>
            <w:r w:rsidRPr="004F0BC9">
              <w:rPr>
                <w:rFonts w:ascii="Calibri" w:hAnsi="Calibri" w:cs="Calibri"/>
                <w:b/>
                <w:bCs/>
                <w:sz w:val="24"/>
                <w:szCs w:val="24"/>
              </w:rPr>
              <w:t>NM EN 13859-1</w:t>
            </w:r>
          </w:p>
        </w:tc>
      </w:tr>
      <w:tr w:rsidR="00FD6D95" w:rsidRPr="0043547B" w:rsidTr="001E0C3C">
        <w:trPr>
          <w:trHeight w:val="25"/>
          <w:jc w:val="center"/>
        </w:trPr>
        <w:tc>
          <w:tcPr>
            <w:tcW w:w="1838" w:type="dxa"/>
            <w:tcBorders>
              <w:top w:val="single" w:sz="18" w:space="0" w:color="auto"/>
              <w:left w:val="single" w:sz="18" w:space="0" w:color="auto"/>
              <w:bottom w:val="single" w:sz="4" w:space="0" w:color="auto"/>
              <w:right w:val="single" w:sz="4" w:space="0" w:color="auto"/>
            </w:tcBorders>
            <w:shd w:val="clear" w:color="auto" w:fill="FFFF7D"/>
            <w:vAlign w:val="center"/>
          </w:tcPr>
          <w:p w:rsidR="00FD6D95" w:rsidRPr="0043547B" w:rsidRDefault="00FD6D95" w:rsidP="00FD6D95">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7D"/>
            <w:vAlign w:val="center"/>
          </w:tcPr>
          <w:p w:rsidR="00FD6D95" w:rsidRPr="004F0BC9" w:rsidRDefault="00FD6D95" w:rsidP="004F0BC9">
            <w:pPr>
              <w:spacing w:after="0" w:line="240" w:lineRule="auto"/>
              <w:jc w:val="center"/>
              <w:rPr>
                <w:rFonts w:ascii="Calibri" w:hAnsi="Calibri" w:cs="Calibri"/>
                <w:b/>
                <w:bCs/>
                <w:sz w:val="24"/>
                <w:szCs w:val="24"/>
              </w:rPr>
            </w:pPr>
            <w:r w:rsidRPr="004F0BC9">
              <w:rPr>
                <w:rFonts w:ascii="Calibri" w:hAnsi="Calibri" w:cs="Calibri"/>
                <w:b/>
                <w:bCs/>
                <w:sz w:val="24"/>
                <w:szCs w:val="24"/>
              </w:rPr>
              <w:t>EN 13859-1</w:t>
            </w:r>
          </w:p>
        </w:tc>
      </w:tr>
      <w:tr w:rsidR="00FD6D95" w:rsidRPr="0043547B" w:rsidTr="00FD6D95">
        <w:trPr>
          <w:trHeight w:val="25"/>
          <w:jc w:val="center"/>
        </w:trPr>
        <w:tc>
          <w:tcPr>
            <w:tcW w:w="1838" w:type="dxa"/>
            <w:tcBorders>
              <w:top w:val="nil"/>
              <w:left w:val="single" w:sz="18" w:space="0" w:color="auto"/>
              <w:bottom w:val="single" w:sz="4" w:space="0" w:color="auto"/>
              <w:right w:val="single" w:sz="4" w:space="0" w:color="auto"/>
            </w:tcBorders>
            <w:shd w:val="clear" w:color="000000" w:fill="8DB4E2"/>
            <w:vAlign w:val="center"/>
          </w:tcPr>
          <w:p w:rsidR="00FD6D95" w:rsidRPr="0043547B" w:rsidRDefault="00FD6D95" w:rsidP="00FD6D95">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auto"/>
          </w:tcPr>
          <w:p w:rsidR="00FD6D95" w:rsidRPr="004F0BC9" w:rsidRDefault="00FD6D95" w:rsidP="004F0BC9">
            <w:pPr>
              <w:spacing w:after="0" w:line="240" w:lineRule="auto"/>
              <w:jc w:val="both"/>
              <w:rPr>
                <w:rFonts w:ascii="Calibri" w:hAnsi="Calibri" w:cs="Calibri"/>
              </w:rPr>
            </w:pPr>
            <w:r w:rsidRPr="004F0BC9">
              <w:rPr>
                <w:rFonts w:ascii="Calibri" w:hAnsi="Calibri" w:cs="Calibri"/>
              </w:rPr>
              <w:t xml:space="preserve">Feuilles souples d'étanchéité - Définitions et caractéristiques des écrans souples - Partie 1 : écrans souples de sous-toiture pour couverture en petits éléments discontinus </w:t>
            </w:r>
          </w:p>
        </w:tc>
      </w:tr>
      <w:tr w:rsidR="00FD6D95" w:rsidRPr="0043547B" w:rsidTr="00FD6D95">
        <w:trPr>
          <w:trHeight w:val="1199"/>
          <w:jc w:val="center"/>
        </w:trPr>
        <w:tc>
          <w:tcPr>
            <w:tcW w:w="1838" w:type="dxa"/>
            <w:tcBorders>
              <w:top w:val="nil"/>
              <w:left w:val="single" w:sz="18" w:space="0" w:color="auto"/>
              <w:bottom w:val="single" w:sz="18" w:space="0" w:color="auto"/>
              <w:right w:val="single" w:sz="4" w:space="0" w:color="auto"/>
            </w:tcBorders>
            <w:shd w:val="clear" w:color="000000" w:fill="D9D9D9"/>
            <w:vAlign w:val="center"/>
          </w:tcPr>
          <w:p w:rsidR="00FD6D95" w:rsidRPr="0043547B" w:rsidRDefault="00FD6D95" w:rsidP="00FD6D95">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bottom"/>
          </w:tcPr>
          <w:p w:rsidR="00FD6D95" w:rsidRPr="004F0BC9" w:rsidRDefault="00FD6D95" w:rsidP="004F0BC9">
            <w:pPr>
              <w:spacing w:after="0" w:line="240" w:lineRule="auto"/>
              <w:jc w:val="both"/>
              <w:rPr>
                <w:rFonts w:ascii="Calibri" w:hAnsi="Calibri" w:cs="Calibri"/>
              </w:rPr>
            </w:pPr>
            <w:r w:rsidRPr="004F0BC9">
              <w:rPr>
                <w:rFonts w:ascii="Calibri" w:hAnsi="Calibri" w:cs="Calibri"/>
              </w:rPr>
              <w:t>La présente norme marocaine spécifie les caractéristiques des écrans souples de sous-toiture destinés à être utilisés sous les couvertures en petits éléments discontinus. Elle est limitée aux produits dont la caractéristique «réaction au feu» est revendiquée de classe E ou F selon la NM 21.9.361.</w:t>
            </w:r>
          </w:p>
        </w:tc>
      </w:tr>
      <w:tr w:rsidR="00FD6D95" w:rsidRPr="0043547B" w:rsidTr="00FD6D95">
        <w:trPr>
          <w:trHeight w:val="25"/>
          <w:jc w:val="center"/>
        </w:trPr>
        <w:tc>
          <w:tcPr>
            <w:tcW w:w="1838" w:type="dxa"/>
            <w:tcBorders>
              <w:top w:val="single" w:sz="18" w:space="0" w:color="auto"/>
              <w:left w:val="single" w:sz="18" w:space="0" w:color="auto"/>
              <w:bottom w:val="single" w:sz="18" w:space="0" w:color="auto"/>
              <w:right w:val="single" w:sz="4" w:space="0" w:color="auto"/>
            </w:tcBorders>
            <w:shd w:val="clear" w:color="auto" w:fill="97B953"/>
            <w:vAlign w:val="center"/>
          </w:tcPr>
          <w:p w:rsidR="00FD6D95" w:rsidRPr="0043547B" w:rsidRDefault="00FD6D95" w:rsidP="00FD6D95">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4" w:space="0" w:color="auto"/>
              <w:left w:val="single" w:sz="4" w:space="0" w:color="auto"/>
              <w:bottom w:val="single" w:sz="18" w:space="0" w:color="auto"/>
              <w:right w:val="single" w:sz="18" w:space="0" w:color="auto"/>
            </w:tcBorders>
            <w:shd w:val="clear" w:color="auto" w:fill="97B953"/>
          </w:tcPr>
          <w:p w:rsidR="00FD6D95" w:rsidRPr="004F0BC9" w:rsidRDefault="00FD6D95" w:rsidP="004F0BC9">
            <w:pPr>
              <w:spacing w:after="0" w:line="240" w:lineRule="auto"/>
              <w:jc w:val="center"/>
              <w:rPr>
                <w:rFonts w:ascii="Calibri" w:hAnsi="Calibri" w:cs="Calibri"/>
                <w:b/>
                <w:bCs/>
                <w:sz w:val="24"/>
                <w:szCs w:val="24"/>
              </w:rPr>
            </w:pPr>
            <w:r w:rsidRPr="004F0BC9">
              <w:rPr>
                <w:rFonts w:ascii="Calibri" w:hAnsi="Calibri" w:cs="Calibri"/>
                <w:b/>
                <w:bCs/>
                <w:sz w:val="24"/>
                <w:szCs w:val="24"/>
              </w:rPr>
              <w:t>NM EN 13859-2</w:t>
            </w:r>
          </w:p>
        </w:tc>
      </w:tr>
      <w:tr w:rsidR="00FD6D95" w:rsidRPr="0043547B" w:rsidTr="001E0C3C">
        <w:trPr>
          <w:trHeight w:val="25"/>
          <w:jc w:val="center"/>
        </w:trPr>
        <w:tc>
          <w:tcPr>
            <w:tcW w:w="1838" w:type="dxa"/>
            <w:tcBorders>
              <w:top w:val="single" w:sz="18" w:space="0" w:color="auto"/>
              <w:left w:val="single" w:sz="18" w:space="0" w:color="auto"/>
              <w:bottom w:val="single" w:sz="4" w:space="0" w:color="auto"/>
              <w:right w:val="single" w:sz="4" w:space="0" w:color="auto"/>
            </w:tcBorders>
            <w:shd w:val="clear" w:color="auto" w:fill="FFFF7D"/>
            <w:vAlign w:val="center"/>
          </w:tcPr>
          <w:p w:rsidR="00FD6D95" w:rsidRPr="0043547B" w:rsidRDefault="00FD6D95" w:rsidP="00FD6D95">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7D"/>
            <w:vAlign w:val="center"/>
          </w:tcPr>
          <w:p w:rsidR="00FD6D95" w:rsidRPr="004F0BC9" w:rsidRDefault="00FD6D95" w:rsidP="004F0BC9">
            <w:pPr>
              <w:spacing w:after="0" w:line="240" w:lineRule="auto"/>
              <w:jc w:val="center"/>
              <w:rPr>
                <w:rFonts w:ascii="Calibri" w:hAnsi="Calibri" w:cs="Calibri"/>
                <w:b/>
                <w:bCs/>
                <w:sz w:val="24"/>
                <w:szCs w:val="24"/>
              </w:rPr>
            </w:pPr>
            <w:r w:rsidRPr="004F0BC9">
              <w:rPr>
                <w:rFonts w:ascii="Calibri" w:hAnsi="Calibri" w:cs="Calibri"/>
                <w:b/>
                <w:bCs/>
                <w:sz w:val="24"/>
                <w:szCs w:val="24"/>
              </w:rPr>
              <w:t>EN 13859-2</w:t>
            </w:r>
          </w:p>
        </w:tc>
      </w:tr>
      <w:tr w:rsidR="00FD6D95" w:rsidRPr="0043547B" w:rsidTr="00FD6D95">
        <w:trPr>
          <w:trHeight w:val="90"/>
          <w:jc w:val="center"/>
        </w:trPr>
        <w:tc>
          <w:tcPr>
            <w:tcW w:w="1838" w:type="dxa"/>
            <w:tcBorders>
              <w:top w:val="nil"/>
              <w:left w:val="single" w:sz="18" w:space="0" w:color="auto"/>
              <w:bottom w:val="single" w:sz="4" w:space="0" w:color="auto"/>
              <w:right w:val="single" w:sz="4" w:space="0" w:color="auto"/>
            </w:tcBorders>
            <w:shd w:val="clear" w:color="000000" w:fill="8DB4E2"/>
            <w:vAlign w:val="center"/>
          </w:tcPr>
          <w:p w:rsidR="00FD6D95" w:rsidRPr="0043547B" w:rsidRDefault="00FD6D95" w:rsidP="00FD6D95">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auto"/>
          </w:tcPr>
          <w:p w:rsidR="00FD6D95" w:rsidRPr="004F0BC9" w:rsidRDefault="00FD6D95" w:rsidP="004F0BC9">
            <w:pPr>
              <w:spacing w:after="0" w:line="240" w:lineRule="auto"/>
              <w:jc w:val="both"/>
              <w:rPr>
                <w:rFonts w:ascii="Calibri" w:hAnsi="Calibri" w:cs="Calibri"/>
              </w:rPr>
            </w:pPr>
            <w:r w:rsidRPr="004F0BC9">
              <w:rPr>
                <w:rFonts w:ascii="Calibri" w:hAnsi="Calibri" w:cs="Calibri"/>
              </w:rPr>
              <w:t xml:space="preserve">Feuilles souples d'étanchéité - Définitions et caractéristiques des écrans souples - Partie 2 : écrans souples pour murs extérieurs </w:t>
            </w:r>
          </w:p>
        </w:tc>
      </w:tr>
      <w:tr w:rsidR="00FD6D95" w:rsidRPr="0043547B" w:rsidTr="00FD6D95">
        <w:trPr>
          <w:trHeight w:val="99"/>
          <w:jc w:val="center"/>
        </w:trPr>
        <w:tc>
          <w:tcPr>
            <w:tcW w:w="1838" w:type="dxa"/>
            <w:tcBorders>
              <w:top w:val="nil"/>
              <w:left w:val="single" w:sz="18" w:space="0" w:color="auto"/>
              <w:bottom w:val="single" w:sz="18" w:space="0" w:color="auto"/>
              <w:right w:val="single" w:sz="4" w:space="0" w:color="auto"/>
            </w:tcBorders>
            <w:shd w:val="clear" w:color="000000" w:fill="D9D9D9"/>
            <w:vAlign w:val="center"/>
          </w:tcPr>
          <w:p w:rsidR="00FD6D95" w:rsidRPr="0043547B" w:rsidRDefault="00FD6D95" w:rsidP="00FD6D95">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bottom"/>
          </w:tcPr>
          <w:p w:rsidR="00FD6D95" w:rsidRPr="004F0BC9" w:rsidRDefault="00FD6D95" w:rsidP="004F0BC9">
            <w:pPr>
              <w:spacing w:after="0" w:line="240" w:lineRule="auto"/>
              <w:jc w:val="both"/>
              <w:rPr>
                <w:rFonts w:ascii="Calibri" w:hAnsi="Calibri" w:cs="Calibri"/>
              </w:rPr>
            </w:pPr>
            <w:r w:rsidRPr="004F0BC9">
              <w:rPr>
                <w:rFonts w:ascii="Calibri" w:hAnsi="Calibri" w:cs="Calibri"/>
              </w:rPr>
              <w:t>La présente norme marocaine spécifie les caractéristiques des écrans souples pare-pluie, destinés à être utilisés derrière l’habillage des murs extérieur, afin</w:t>
            </w:r>
            <w:r w:rsidRPr="004F0BC9">
              <w:rPr>
                <w:rFonts w:ascii="Calibri" w:hAnsi="Calibri" w:cs="Calibri"/>
              </w:rPr>
              <w:br/>
              <w:t>161</w:t>
            </w:r>
            <w:r w:rsidRPr="004F0BC9">
              <w:rPr>
                <w:rFonts w:ascii="Calibri" w:hAnsi="Calibri" w:cs="Calibri"/>
              </w:rPr>
              <w:br/>
              <w:t>d’éviter la pénétration du vent et de l’eau venant de l’extérieur. Elle exprime les spécifications et les méthodes d’essai destinées à évaluer la conformité des produits avec les prescriptions du présent document.</w:t>
            </w:r>
          </w:p>
        </w:tc>
      </w:tr>
      <w:tr w:rsidR="0043547B" w:rsidRPr="0043547B" w:rsidTr="001E0C3C">
        <w:trPr>
          <w:trHeight w:val="25"/>
          <w:jc w:val="center"/>
        </w:trPr>
        <w:tc>
          <w:tcPr>
            <w:tcW w:w="1838" w:type="dxa"/>
            <w:tcBorders>
              <w:top w:val="single" w:sz="18" w:space="0" w:color="auto"/>
              <w:left w:val="single" w:sz="18" w:space="0" w:color="auto"/>
              <w:bottom w:val="single" w:sz="18" w:space="0" w:color="auto"/>
              <w:right w:val="single" w:sz="4" w:space="0" w:color="auto"/>
            </w:tcBorders>
            <w:shd w:val="clear" w:color="auto" w:fill="97B953"/>
            <w:vAlign w:val="center"/>
          </w:tcPr>
          <w:p w:rsidR="00883ABE" w:rsidRPr="0043547B" w:rsidRDefault="00883ABE" w:rsidP="00883ABE">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4" w:space="0" w:color="auto"/>
              <w:left w:val="single" w:sz="4" w:space="0" w:color="auto"/>
              <w:bottom w:val="single" w:sz="18" w:space="0" w:color="auto"/>
              <w:right w:val="single" w:sz="18" w:space="0" w:color="auto"/>
            </w:tcBorders>
            <w:shd w:val="clear" w:color="auto" w:fill="97B953"/>
            <w:vAlign w:val="center"/>
          </w:tcPr>
          <w:p w:rsidR="00883ABE" w:rsidRPr="0043547B" w:rsidRDefault="00883ABE" w:rsidP="008B1671">
            <w:pPr>
              <w:spacing w:after="0" w:line="240" w:lineRule="auto"/>
              <w:jc w:val="center"/>
              <w:rPr>
                <w:rFonts w:cstheme="minorHAnsi"/>
                <w:b/>
                <w:bCs/>
                <w:sz w:val="24"/>
                <w:szCs w:val="24"/>
              </w:rPr>
            </w:pPr>
            <w:r w:rsidRPr="0043547B">
              <w:rPr>
                <w:rFonts w:cstheme="minorHAnsi"/>
                <w:b/>
                <w:bCs/>
                <w:sz w:val="24"/>
                <w:szCs w:val="24"/>
              </w:rPr>
              <w:t>NM 10.8.964</w:t>
            </w:r>
          </w:p>
        </w:tc>
      </w:tr>
      <w:tr w:rsidR="0043547B" w:rsidRPr="0043547B" w:rsidTr="001E0C3C">
        <w:trPr>
          <w:trHeight w:val="90"/>
          <w:jc w:val="center"/>
        </w:trPr>
        <w:tc>
          <w:tcPr>
            <w:tcW w:w="1838" w:type="dxa"/>
            <w:tcBorders>
              <w:top w:val="single" w:sz="18" w:space="0" w:color="auto"/>
              <w:left w:val="single" w:sz="18" w:space="0" w:color="auto"/>
              <w:bottom w:val="single" w:sz="4" w:space="0" w:color="auto"/>
              <w:right w:val="single" w:sz="4" w:space="0" w:color="auto"/>
            </w:tcBorders>
            <w:shd w:val="clear" w:color="auto" w:fill="FFFF7D"/>
            <w:vAlign w:val="center"/>
          </w:tcPr>
          <w:p w:rsidR="00883ABE" w:rsidRPr="0043547B" w:rsidRDefault="00883ABE" w:rsidP="00883ABE">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7D"/>
            <w:vAlign w:val="center"/>
          </w:tcPr>
          <w:p w:rsidR="00883ABE" w:rsidRPr="0043547B" w:rsidRDefault="00883ABE" w:rsidP="008B1671">
            <w:pPr>
              <w:spacing w:after="0" w:line="240" w:lineRule="auto"/>
              <w:jc w:val="center"/>
              <w:rPr>
                <w:rFonts w:cstheme="minorHAnsi"/>
                <w:b/>
                <w:bCs/>
                <w:sz w:val="24"/>
                <w:szCs w:val="24"/>
              </w:rPr>
            </w:pPr>
            <w:r w:rsidRPr="0043547B">
              <w:rPr>
                <w:rFonts w:cstheme="minorHAnsi"/>
                <w:b/>
                <w:bCs/>
                <w:sz w:val="24"/>
                <w:szCs w:val="24"/>
              </w:rPr>
              <w:t>EN 13956</w:t>
            </w:r>
          </w:p>
        </w:tc>
      </w:tr>
      <w:tr w:rsidR="0043547B" w:rsidRPr="0043547B" w:rsidTr="001E0C3C">
        <w:trPr>
          <w:trHeight w:val="25"/>
          <w:jc w:val="center"/>
        </w:trPr>
        <w:tc>
          <w:tcPr>
            <w:tcW w:w="1838" w:type="dxa"/>
            <w:tcBorders>
              <w:top w:val="nil"/>
              <w:left w:val="single" w:sz="18" w:space="0" w:color="auto"/>
              <w:bottom w:val="single" w:sz="4" w:space="0" w:color="auto"/>
              <w:right w:val="single" w:sz="4" w:space="0" w:color="auto"/>
            </w:tcBorders>
            <w:shd w:val="clear" w:color="000000" w:fill="8DB4E2"/>
            <w:vAlign w:val="center"/>
          </w:tcPr>
          <w:p w:rsidR="00883ABE" w:rsidRPr="0043547B" w:rsidRDefault="00883ABE" w:rsidP="00883ABE">
            <w:pPr>
              <w:spacing w:after="0"/>
              <w:jc w:val="center"/>
              <w:rPr>
                <w:rFonts w:cstheme="minorHAnsi"/>
                <w:b/>
                <w:bCs/>
                <w:sz w:val="24"/>
                <w:szCs w:val="24"/>
              </w:rPr>
            </w:pPr>
            <w:r w:rsidRPr="0043547B">
              <w:rPr>
                <w:rFonts w:cstheme="minorHAnsi"/>
                <w:b/>
                <w:bCs/>
                <w:sz w:val="24"/>
                <w:szCs w:val="24"/>
              </w:rPr>
              <w:lastRenderedPageBreak/>
              <w:t>Intitulé :</w:t>
            </w:r>
          </w:p>
        </w:tc>
        <w:tc>
          <w:tcPr>
            <w:tcW w:w="7938" w:type="dxa"/>
            <w:tcBorders>
              <w:top w:val="single" w:sz="4" w:space="0" w:color="auto"/>
              <w:left w:val="single" w:sz="4" w:space="0" w:color="auto"/>
              <w:bottom w:val="single" w:sz="4" w:space="0" w:color="auto"/>
              <w:right w:val="single" w:sz="18" w:space="0" w:color="auto"/>
            </w:tcBorders>
            <w:shd w:val="clear" w:color="auto" w:fill="auto"/>
            <w:vAlign w:val="center"/>
          </w:tcPr>
          <w:p w:rsidR="00883ABE" w:rsidRPr="0043547B" w:rsidRDefault="00883ABE" w:rsidP="00883ABE">
            <w:pPr>
              <w:spacing w:after="0" w:line="240" w:lineRule="auto"/>
              <w:jc w:val="both"/>
              <w:rPr>
                <w:rFonts w:cstheme="minorHAnsi"/>
                <w:sz w:val="24"/>
                <w:szCs w:val="24"/>
              </w:rPr>
            </w:pPr>
            <w:r w:rsidRPr="0043547B">
              <w:rPr>
                <w:rFonts w:cstheme="minorHAnsi"/>
                <w:sz w:val="24"/>
                <w:szCs w:val="24"/>
              </w:rPr>
              <w:t>Feuilles souples d'étanchéité - Feuilles d'étanchéité de toiture plastiques et élastomères - Définitions et caractéristiques </w:t>
            </w:r>
          </w:p>
        </w:tc>
      </w:tr>
      <w:tr w:rsidR="0043547B" w:rsidRPr="0043547B" w:rsidTr="001E0C3C">
        <w:trPr>
          <w:trHeight w:val="675"/>
          <w:jc w:val="center"/>
        </w:trPr>
        <w:tc>
          <w:tcPr>
            <w:tcW w:w="1838" w:type="dxa"/>
            <w:tcBorders>
              <w:top w:val="nil"/>
              <w:left w:val="single" w:sz="18" w:space="0" w:color="auto"/>
              <w:bottom w:val="single" w:sz="18" w:space="0" w:color="auto"/>
              <w:right w:val="single" w:sz="4" w:space="0" w:color="auto"/>
            </w:tcBorders>
            <w:shd w:val="clear" w:color="000000" w:fill="D9D9D9"/>
            <w:vAlign w:val="center"/>
          </w:tcPr>
          <w:p w:rsidR="00883ABE" w:rsidRPr="0043547B" w:rsidRDefault="00883ABE" w:rsidP="00883ABE">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center"/>
          </w:tcPr>
          <w:p w:rsidR="00883ABE" w:rsidRPr="0043547B" w:rsidRDefault="00883ABE" w:rsidP="00883ABE">
            <w:pPr>
              <w:spacing w:after="0" w:line="240" w:lineRule="auto"/>
              <w:jc w:val="both"/>
              <w:rPr>
                <w:rFonts w:cstheme="minorHAnsi"/>
                <w:sz w:val="24"/>
                <w:szCs w:val="24"/>
              </w:rPr>
            </w:pPr>
            <w:r w:rsidRPr="0043547B">
              <w:rPr>
                <w:rFonts w:cstheme="minorHAnsi"/>
                <w:sz w:val="24"/>
                <w:szCs w:val="24"/>
              </w:rPr>
              <w:t>La présente norme marocaine spécifie les définitions et caractéristiques des feuilles plastiques et élastomères, y compris les feuilles composées de mélanges de plastiques et d’élastomères (caoutchouc thermoplastique) dont l’utilisation prévue est l’étanchéité des toitures. Elle spécifie les exigences et les méthodes d’essais et prévoit le cadre d’évaluation de la conformité des produits aux exigences de la présente norme.</w:t>
            </w:r>
          </w:p>
        </w:tc>
      </w:tr>
      <w:tr w:rsidR="000555C5" w:rsidRPr="0043547B" w:rsidTr="001E0C3C">
        <w:trPr>
          <w:trHeight w:val="25"/>
          <w:jc w:val="center"/>
        </w:trPr>
        <w:tc>
          <w:tcPr>
            <w:tcW w:w="1838" w:type="dxa"/>
            <w:tcBorders>
              <w:top w:val="single" w:sz="18" w:space="0" w:color="auto"/>
              <w:left w:val="single" w:sz="18" w:space="0" w:color="auto"/>
              <w:bottom w:val="single" w:sz="18" w:space="0" w:color="auto"/>
              <w:right w:val="single" w:sz="4" w:space="0" w:color="auto"/>
            </w:tcBorders>
            <w:shd w:val="clear" w:color="auto" w:fill="97B953"/>
            <w:vAlign w:val="center"/>
          </w:tcPr>
          <w:p w:rsidR="000555C5" w:rsidRPr="00BD4AA0" w:rsidRDefault="000555C5" w:rsidP="00BD4AA0">
            <w:pPr>
              <w:spacing w:after="0" w:line="240" w:lineRule="auto"/>
              <w:jc w:val="center"/>
              <w:rPr>
                <w:rFonts w:ascii="Calibri" w:hAnsi="Calibri" w:cs="Calibri"/>
                <w:b/>
                <w:bCs/>
                <w:sz w:val="24"/>
                <w:szCs w:val="24"/>
              </w:rPr>
            </w:pPr>
            <w:r w:rsidRPr="00BD4AA0">
              <w:rPr>
                <w:rFonts w:ascii="Calibri" w:hAnsi="Calibri" w:cs="Calibr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97B953"/>
          </w:tcPr>
          <w:p w:rsidR="000555C5" w:rsidRPr="00BD4AA0" w:rsidRDefault="000555C5" w:rsidP="00BD4AA0">
            <w:pPr>
              <w:spacing w:after="0" w:line="240" w:lineRule="auto"/>
              <w:jc w:val="center"/>
              <w:rPr>
                <w:rFonts w:ascii="Calibri" w:hAnsi="Calibri" w:cs="Calibri"/>
                <w:b/>
                <w:bCs/>
                <w:sz w:val="24"/>
                <w:szCs w:val="24"/>
              </w:rPr>
            </w:pPr>
            <w:r w:rsidRPr="00BD4AA0">
              <w:rPr>
                <w:rFonts w:ascii="Calibri" w:hAnsi="Calibri" w:cs="Calibri"/>
                <w:b/>
                <w:bCs/>
                <w:sz w:val="24"/>
                <w:szCs w:val="24"/>
              </w:rPr>
              <w:t>NM  EN 14967</w:t>
            </w:r>
          </w:p>
        </w:tc>
      </w:tr>
      <w:tr w:rsidR="000555C5" w:rsidRPr="0043547B" w:rsidTr="001E0C3C">
        <w:trPr>
          <w:trHeight w:val="25"/>
          <w:jc w:val="center"/>
        </w:trPr>
        <w:tc>
          <w:tcPr>
            <w:tcW w:w="1838" w:type="dxa"/>
            <w:tcBorders>
              <w:top w:val="single" w:sz="18" w:space="0" w:color="auto"/>
              <w:left w:val="single" w:sz="18" w:space="0" w:color="auto"/>
              <w:bottom w:val="single" w:sz="4" w:space="0" w:color="auto"/>
              <w:right w:val="single" w:sz="4" w:space="0" w:color="auto"/>
            </w:tcBorders>
            <w:shd w:val="clear" w:color="auto" w:fill="FFFF7D"/>
            <w:vAlign w:val="center"/>
          </w:tcPr>
          <w:p w:rsidR="000555C5" w:rsidRPr="00BD4AA0" w:rsidRDefault="000555C5" w:rsidP="00BD4AA0">
            <w:pPr>
              <w:spacing w:after="0" w:line="240" w:lineRule="auto"/>
              <w:jc w:val="center"/>
              <w:rPr>
                <w:rFonts w:ascii="Calibri" w:hAnsi="Calibri" w:cs="Calibri"/>
                <w:b/>
                <w:bCs/>
                <w:sz w:val="24"/>
                <w:szCs w:val="24"/>
              </w:rPr>
            </w:pPr>
            <w:r w:rsidRPr="00BD4AA0">
              <w:rPr>
                <w:rFonts w:ascii="Calibri" w:hAnsi="Calibri" w:cs="Calibr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7D"/>
          </w:tcPr>
          <w:p w:rsidR="000555C5" w:rsidRPr="00BD4AA0" w:rsidRDefault="000555C5" w:rsidP="00BD4AA0">
            <w:pPr>
              <w:spacing w:after="0" w:line="240" w:lineRule="auto"/>
              <w:jc w:val="center"/>
              <w:rPr>
                <w:rFonts w:ascii="Calibri" w:hAnsi="Calibri" w:cs="Calibri"/>
                <w:b/>
                <w:bCs/>
                <w:sz w:val="24"/>
                <w:szCs w:val="24"/>
              </w:rPr>
            </w:pPr>
            <w:r w:rsidRPr="00BD4AA0">
              <w:rPr>
                <w:rFonts w:ascii="Calibri" w:hAnsi="Calibri" w:cs="Calibri"/>
                <w:b/>
                <w:bCs/>
                <w:sz w:val="24"/>
                <w:szCs w:val="24"/>
              </w:rPr>
              <w:t>EN 14967</w:t>
            </w:r>
          </w:p>
        </w:tc>
      </w:tr>
      <w:tr w:rsidR="000555C5" w:rsidRPr="0043547B" w:rsidTr="001E0C3C">
        <w:trPr>
          <w:trHeight w:val="391"/>
          <w:jc w:val="center"/>
        </w:trPr>
        <w:tc>
          <w:tcPr>
            <w:tcW w:w="1838" w:type="dxa"/>
            <w:tcBorders>
              <w:top w:val="nil"/>
              <w:left w:val="single" w:sz="18" w:space="0" w:color="auto"/>
              <w:bottom w:val="single" w:sz="4" w:space="0" w:color="auto"/>
              <w:right w:val="single" w:sz="4" w:space="0" w:color="auto"/>
            </w:tcBorders>
            <w:shd w:val="clear" w:color="000000" w:fill="8DB4E2"/>
            <w:vAlign w:val="center"/>
          </w:tcPr>
          <w:p w:rsidR="000555C5" w:rsidRPr="00BD4AA0" w:rsidRDefault="000555C5" w:rsidP="00BD4AA0">
            <w:pPr>
              <w:spacing w:after="0" w:line="240" w:lineRule="auto"/>
              <w:jc w:val="center"/>
              <w:rPr>
                <w:rFonts w:ascii="Calibri" w:hAnsi="Calibri" w:cs="Calibri"/>
                <w:b/>
                <w:bCs/>
                <w:sz w:val="24"/>
                <w:szCs w:val="24"/>
              </w:rPr>
            </w:pPr>
            <w:r w:rsidRPr="00BD4AA0">
              <w:rPr>
                <w:rFonts w:ascii="Calibri" w:hAnsi="Calibri" w:cs="Calibr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auto"/>
          </w:tcPr>
          <w:p w:rsidR="000555C5" w:rsidRPr="00BD4AA0" w:rsidRDefault="000555C5" w:rsidP="00BD4AA0">
            <w:pPr>
              <w:spacing w:after="0" w:line="240" w:lineRule="auto"/>
              <w:rPr>
                <w:rFonts w:ascii="Calibri" w:hAnsi="Calibri" w:cs="Calibri"/>
                <w:sz w:val="24"/>
                <w:szCs w:val="24"/>
              </w:rPr>
            </w:pPr>
            <w:r w:rsidRPr="00BD4AA0">
              <w:rPr>
                <w:rFonts w:ascii="Calibri" w:hAnsi="Calibri" w:cs="Calibri"/>
                <w:sz w:val="24"/>
                <w:szCs w:val="24"/>
              </w:rPr>
              <w:t xml:space="preserve">Feuilles souples d'étanchéité - Feuilles bitumineuses contre les remontées capillaires dans les murs - Définitions et caractéristiques </w:t>
            </w:r>
          </w:p>
        </w:tc>
      </w:tr>
      <w:tr w:rsidR="000555C5" w:rsidRPr="0043547B" w:rsidTr="001E0C3C">
        <w:trPr>
          <w:trHeight w:val="799"/>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0555C5" w:rsidRPr="00BD4AA0" w:rsidRDefault="000555C5" w:rsidP="00BD4AA0">
            <w:pPr>
              <w:spacing w:after="0" w:line="240" w:lineRule="auto"/>
              <w:jc w:val="center"/>
              <w:rPr>
                <w:rFonts w:ascii="Calibri" w:hAnsi="Calibri" w:cs="Calibri"/>
                <w:b/>
                <w:bCs/>
                <w:sz w:val="24"/>
                <w:szCs w:val="24"/>
              </w:rPr>
            </w:pPr>
            <w:r w:rsidRPr="00BD4AA0">
              <w:rPr>
                <w:rFonts w:ascii="Calibri" w:hAnsi="Calibri" w:cs="Calibr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tcPr>
          <w:p w:rsidR="000555C5" w:rsidRPr="00BD4AA0" w:rsidRDefault="000555C5" w:rsidP="00BD4AA0">
            <w:pPr>
              <w:spacing w:after="0" w:line="240" w:lineRule="auto"/>
              <w:jc w:val="both"/>
              <w:rPr>
                <w:rFonts w:ascii="Calibri" w:hAnsi="Calibri" w:cs="Calibri"/>
                <w:sz w:val="24"/>
                <w:szCs w:val="24"/>
              </w:rPr>
            </w:pPr>
            <w:r w:rsidRPr="00BD4AA0">
              <w:rPr>
                <w:rFonts w:ascii="Calibri" w:hAnsi="Calibri" w:cs="Calibri"/>
                <w:sz w:val="24"/>
                <w:szCs w:val="24"/>
              </w:rPr>
              <w:t>La présente Norme européenne spécifie les caractéristiques des feuilles souples bitumineuses destinées à être</w:t>
            </w:r>
            <w:r w:rsidR="00BD4AA0">
              <w:rPr>
                <w:rFonts w:ascii="Calibri" w:hAnsi="Calibri" w:cs="Calibri"/>
                <w:sz w:val="24"/>
                <w:szCs w:val="24"/>
              </w:rPr>
              <w:t xml:space="preserve"> </w:t>
            </w:r>
            <w:r w:rsidRPr="00BD4AA0">
              <w:rPr>
                <w:rFonts w:ascii="Calibri" w:hAnsi="Calibri" w:cs="Calibri"/>
                <w:sz w:val="24"/>
                <w:szCs w:val="24"/>
              </w:rPr>
              <w:t>utilisées dans les murs de bâtiments contre les remontées capillaires. Elle précise les exigences et les méthodes</w:t>
            </w:r>
            <w:r w:rsidR="00BD4AA0">
              <w:rPr>
                <w:rFonts w:ascii="Calibri" w:hAnsi="Calibri" w:cs="Calibri"/>
                <w:sz w:val="24"/>
                <w:szCs w:val="24"/>
              </w:rPr>
              <w:t xml:space="preserve"> </w:t>
            </w:r>
            <w:r w:rsidRPr="00BD4AA0">
              <w:rPr>
                <w:rFonts w:ascii="Calibri" w:hAnsi="Calibri" w:cs="Calibri"/>
                <w:sz w:val="24"/>
                <w:szCs w:val="24"/>
              </w:rPr>
              <w:t>d’essais et spécifie un système d’attestation de conformité de ces produits à cette Norme européenne.</w:t>
            </w:r>
            <w:r w:rsidRPr="00BD4AA0">
              <w:rPr>
                <w:rFonts w:ascii="Calibri" w:hAnsi="Calibri" w:cs="Calibri"/>
                <w:sz w:val="24"/>
                <w:szCs w:val="24"/>
              </w:rPr>
              <w:br/>
              <w:t>La présente norme ne porte pas sur des produits connexes tels que les feuilles gaufrées, plaques de</w:t>
            </w:r>
            <w:r w:rsidR="00BD4AA0">
              <w:rPr>
                <w:rFonts w:ascii="Calibri" w:hAnsi="Calibri" w:cs="Calibri"/>
                <w:sz w:val="24"/>
                <w:szCs w:val="24"/>
              </w:rPr>
              <w:t xml:space="preserve"> </w:t>
            </w:r>
            <w:r w:rsidRPr="00BD4AA0">
              <w:rPr>
                <w:rFonts w:ascii="Calibri" w:hAnsi="Calibri" w:cs="Calibri"/>
                <w:sz w:val="24"/>
                <w:szCs w:val="24"/>
              </w:rPr>
              <w:t>couronnement et bandes solins préformés.</w:t>
            </w:r>
          </w:p>
        </w:tc>
      </w:tr>
      <w:tr w:rsidR="00921C0A" w:rsidRPr="0043547B" w:rsidTr="001E0C3C">
        <w:trPr>
          <w:trHeight w:val="454"/>
          <w:jc w:val="center"/>
        </w:trPr>
        <w:tc>
          <w:tcPr>
            <w:tcW w:w="1838" w:type="dxa"/>
            <w:tcBorders>
              <w:top w:val="single" w:sz="18" w:space="0" w:color="auto"/>
              <w:left w:val="single" w:sz="18" w:space="0" w:color="auto"/>
              <w:bottom w:val="single" w:sz="18" w:space="0" w:color="auto"/>
              <w:right w:val="single" w:sz="18" w:space="0" w:color="auto"/>
            </w:tcBorders>
            <w:shd w:val="clear" w:color="auto" w:fill="C2D69B" w:themeFill="accent3" w:themeFillTint="99"/>
            <w:vAlign w:val="center"/>
          </w:tcPr>
          <w:p w:rsidR="00921C0A" w:rsidRPr="00BD4AA0" w:rsidRDefault="00921C0A" w:rsidP="00BD4AA0">
            <w:pPr>
              <w:spacing w:after="0" w:line="240" w:lineRule="auto"/>
              <w:jc w:val="center"/>
              <w:rPr>
                <w:rFonts w:ascii="Calibri" w:hAnsi="Calibri" w:cs="Calibri"/>
                <w:b/>
                <w:bCs/>
                <w:sz w:val="24"/>
                <w:szCs w:val="24"/>
              </w:rPr>
            </w:pPr>
            <w:r w:rsidRPr="00BD4AA0">
              <w:rPr>
                <w:rFonts w:ascii="Calibri" w:hAnsi="Calibri" w:cs="Calibri"/>
                <w:b/>
                <w:bCs/>
                <w:sz w:val="24"/>
                <w:szCs w:val="24"/>
              </w:rPr>
              <w:t>Code :</w:t>
            </w:r>
          </w:p>
        </w:tc>
        <w:tc>
          <w:tcPr>
            <w:tcW w:w="7938" w:type="dxa"/>
            <w:tcBorders>
              <w:top w:val="single" w:sz="18" w:space="0" w:color="auto"/>
              <w:left w:val="single" w:sz="18" w:space="0" w:color="auto"/>
              <w:bottom w:val="single" w:sz="18" w:space="0" w:color="auto"/>
              <w:right w:val="single" w:sz="18" w:space="0" w:color="auto"/>
            </w:tcBorders>
            <w:shd w:val="clear" w:color="auto" w:fill="C2D69B" w:themeFill="accent3" w:themeFillTint="99"/>
            <w:vAlign w:val="center"/>
          </w:tcPr>
          <w:p w:rsidR="00921C0A" w:rsidRPr="00BD4AA0" w:rsidRDefault="00921C0A" w:rsidP="00BD4AA0">
            <w:pPr>
              <w:spacing w:after="0" w:line="240" w:lineRule="auto"/>
              <w:jc w:val="center"/>
              <w:rPr>
                <w:rFonts w:ascii="Times New Roman" w:hAnsi="Times New Roman" w:cs="Times New Roman"/>
                <w:b/>
                <w:bCs/>
                <w:sz w:val="24"/>
                <w:szCs w:val="24"/>
              </w:rPr>
            </w:pPr>
            <w:r w:rsidRPr="00BD4AA0">
              <w:rPr>
                <w:b/>
                <w:bCs/>
                <w:sz w:val="24"/>
                <w:szCs w:val="24"/>
              </w:rPr>
              <w:t>NM EN 12326-1</w:t>
            </w:r>
          </w:p>
        </w:tc>
      </w:tr>
      <w:tr w:rsidR="00921C0A" w:rsidRPr="0043547B" w:rsidTr="001E0C3C">
        <w:trPr>
          <w:trHeight w:val="373"/>
          <w:jc w:val="center"/>
        </w:trPr>
        <w:tc>
          <w:tcPr>
            <w:tcW w:w="1838" w:type="dxa"/>
            <w:tcBorders>
              <w:top w:val="single" w:sz="18" w:space="0" w:color="auto"/>
              <w:left w:val="single" w:sz="18" w:space="0" w:color="auto"/>
              <w:bottom w:val="single" w:sz="18" w:space="0" w:color="auto"/>
              <w:right w:val="single" w:sz="18" w:space="0" w:color="auto"/>
            </w:tcBorders>
            <w:shd w:val="clear" w:color="auto" w:fill="FFFFCC"/>
            <w:vAlign w:val="center"/>
          </w:tcPr>
          <w:p w:rsidR="00921C0A" w:rsidRPr="00BD4AA0" w:rsidRDefault="00921C0A" w:rsidP="00BD4AA0">
            <w:pPr>
              <w:spacing w:after="0" w:line="240" w:lineRule="auto"/>
              <w:jc w:val="center"/>
              <w:rPr>
                <w:rFonts w:ascii="Calibri" w:hAnsi="Calibri" w:cs="Calibri"/>
                <w:b/>
                <w:bCs/>
                <w:sz w:val="24"/>
                <w:szCs w:val="24"/>
              </w:rPr>
            </w:pPr>
            <w:r w:rsidRPr="00BD4AA0">
              <w:rPr>
                <w:rFonts w:ascii="Calibri" w:hAnsi="Calibri" w:cs="Calibri"/>
                <w:b/>
                <w:bCs/>
                <w:sz w:val="24"/>
                <w:szCs w:val="24"/>
              </w:rPr>
              <w:t>Equivalence :</w:t>
            </w:r>
          </w:p>
        </w:tc>
        <w:tc>
          <w:tcPr>
            <w:tcW w:w="7938" w:type="dxa"/>
            <w:tcBorders>
              <w:top w:val="single" w:sz="18" w:space="0" w:color="auto"/>
              <w:left w:val="single" w:sz="18" w:space="0" w:color="auto"/>
              <w:bottom w:val="single" w:sz="18" w:space="0" w:color="auto"/>
              <w:right w:val="single" w:sz="18" w:space="0" w:color="auto"/>
            </w:tcBorders>
            <w:shd w:val="clear" w:color="auto" w:fill="FFFFCC"/>
            <w:vAlign w:val="center"/>
          </w:tcPr>
          <w:p w:rsidR="00921C0A" w:rsidRPr="00BD4AA0" w:rsidRDefault="00921C0A" w:rsidP="00BD4AA0">
            <w:pPr>
              <w:spacing w:after="0" w:line="240" w:lineRule="auto"/>
              <w:jc w:val="center"/>
              <w:rPr>
                <w:rFonts w:ascii="Times New Roman" w:hAnsi="Times New Roman" w:cs="Times New Roman"/>
                <w:b/>
                <w:bCs/>
                <w:sz w:val="24"/>
                <w:szCs w:val="24"/>
              </w:rPr>
            </w:pPr>
            <w:r w:rsidRPr="00BD4AA0">
              <w:rPr>
                <w:b/>
                <w:bCs/>
                <w:sz w:val="24"/>
                <w:szCs w:val="24"/>
              </w:rPr>
              <w:t>EN 12326-1</w:t>
            </w:r>
          </w:p>
        </w:tc>
      </w:tr>
      <w:tr w:rsidR="00921C0A" w:rsidRPr="0043547B" w:rsidTr="001E0C3C">
        <w:trPr>
          <w:trHeight w:val="651"/>
          <w:jc w:val="center"/>
        </w:trPr>
        <w:tc>
          <w:tcPr>
            <w:tcW w:w="1838" w:type="dxa"/>
            <w:tcBorders>
              <w:top w:val="single" w:sz="18" w:space="0" w:color="auto"/>
              <w:left w:val="single" w:sz="18" w:space="0" w:color="auto"/>
              <w:bottom w:val="single" w:sz="4" w:space="0" w:color="auto"/>
              <w:right w:val="single" w:sz="4" w:space="0" w:color="auto"/>
            </w:tcBorders>
            <w:shd w:val="clear" w:color="auto" w:fill="95B3D7" w:themeFill="accent1" w:themeFillTint="99"/>
            <w:vAlign w:val="center"/>
          </w:tcPr>
          <w:p w:rsidR="00921C0A" w:rsidRPr="00BD4AA0" w:rsidRDefault="00921C0A" w:rsidP="00BD4AA0">
            <w:pPr>
              <w:spacing w:after="0" w:line="240" w:lineRule="auto"/>
              <w:jc w:val="center"/>
              <w:rPr>
                <w:rFonts w:ascii="Calibri" w:hAnsi="Calibri" w:cs="Calibri"/>
                <w:b/>
                <w:bCs/>
                <w:sz w:val="24"/>
                <w:szCs w:val="24"/>
              </w:rPr>
            </w:pPr>
            <w:r w:rsidRPr="00BD4AA0">
              <w:rPr>
                <w:rFonts w:ascii="Calibri" w:hAnsi="Calibri" w:cs="Calibr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bottom"/>
          </w:tcPr>
          <w:p w:rsidR="00921C0A" w:rsidRPr="00BD4AA0" w:rsidRDefault="00921C0A" w:rsidP="00BD4AA0">
            <w:pPr>
              <w:spacing w:after="0" w:line="240" w:lineRule="auto"/>
              <w:jc w:val="both"/>
              <w:rPr>
                <w:rFonts w:ascii="Times New Roman" w:hAnsi="Times New Roman" w:cs="Times New Roman"/>
                <w:sz w:val="24"/>
                <w:szCs w:val="24"/>
              </w:rPr>
            </w:pPr>
            <w:r w:rsidRPr="00BD4AA0">
              <w:rPr>
                <w:sz w:val="24"/>
                <w:szCs w:val="24"/>
              </w:rPr>
              <w:t xml:space="preserve">Ardoises et éléments en pierre pour toiture et bardage pour pose en discontinu - Partie 1 : Spécifications produit </w:t>
            </w:r>
          </w:p>
        </w:tc>
      </w:tr>
      <w:tr w:rsidR="00921C0A" w:rsidRPr="0043547B" w:rsidTr="001E0C3C">
        <w:trPr>
          <w:trHeight w:val="799"/>
          <w:jc w:val="center"/>
        </w:trPr>
        <w:tc>
          <w:tcPr>
            <w:tcW w:w="1838" w:type="dxa"/>
            <w:tcBorders>
              <w:top w:val="single" w:sz="4" w:space="0" w:color="auto"/>
              <w:left w:val="single" w:sz="18" w:space="0" w:color="auto"/>
              <w:bottom w:val="single" w:sz="18" w:space="0" w:color="auto"/>
              <w:right w:val="single" w:sz="18" w:space="0" w:color="auto"/>
            </w:tcBorders>
            <w:shd w:val="clear" w:color="000000" w:fill="D9D9D9"/>
            <w:vAlign w:val="center"/>
          </w:tcPr>
          <w:p w:rsidR="00921C0A" w:rsidRPr="00BD4AA0" w:rsidRDefault="00921C0A" w:rsidP="00BD4AA0">
            <w:pPr>
              <w:jc w:val="center"/>
              <w:rPr>
                <w:rFonts w:ascii="Calibri" w:hAnsi="Calibri" w:cs="Calibri"/>
                <w:b/>
                <w:bCs/>
                <w:sz w:val="24"/>
                <w:szCs w:val="24"/>
              </w:rPr>
            </w:pPr>
            <w:r w:rsidRPr="00BD4AA0">
              <w:rPr>
                <w:rFonts w:ascii="Calibri" w:hAnsi="Calibri" w:cs="Calibri"/>
                <w:b/>
                <w:bCs/>
                <w:sz w:val="24"/>
                <w:szCs w:val="24"/>
              </w:rPr>
              <w:t>Domaine d’application :</w:t>
            </w:r>
          </w:p>
        </w:tc>
        <w:tc>
          <w:tcPr>
            <w:tcW w:w="7938" w:type="dxa"/>
            <w:tcBorders>
              <w:top w:val="single" w:sz="4" w:space="0" w:color="auto"/>
              <w:left w:val="single" w:sz="18" w:space="0" w:color="auto"/>
              <w:bottom w:val="single" w:sz="18" w:space="0" w:color="auto"/>
              <w:right w:val="single" w:sz="18" w:space="0" w:color="auto"/>
            </w:tcBorders>
            <w:shd w:val="clear" w:color="auto" w:fill="auto"/>
            <w:vAlign w:val="bottom"/>
          </w:tcPr>
          <w:p w:rsidR="00815F54" w:rsidRDefault="00921C0A" w:rsidP="00BD4AA0">
            <w:pPr>
              <w:spacing w:after="0" w:line="240" w:lineRule="auto"/>
              <w:jc w:val="both"/>
              <w:rPr>
                <w:sz w:val="24"/>
                <w:szCs w:val="24"/>
              </w:rPr>
            </w:pPr>
            <w:r w:rsidRPr="00BD4AA0">
              <w:rPr>
                <w:sz w:val="24"/>
                <w:szCs w:val="24"/>
              </w:rPr>
              <w:t>La présente Norme européenne spécifie les exigences relatives aux ardoises et ardoises carbonatées pour toiture et</w:t>
            </w:r>
            <w:r w:rsidR="00BD4AA0">
              <w:rPr>
                <w:sz w:val="24"/>
                <w:szCs w:val="24"/>
              </w:rPr>
              <w:t xml:space="preserve"> </w:t>
            </w:r>
            <w:r w:rsidRPr="00BD4AA0">
              <w:rPr>
                <w:sz w:val="24"/>
                <w:szCs w:val="24"/>
              </w:rPr>
              <w:t>bardage extérieur pour pose en discontinu, telles que définies en 3.1 et 3.2, utilisées pour la toiture et le bardage</w:t>
            </w:r>
            <w:r w:rsidRPr="00BD4AA0">
              <w:rPr>
                <w:sz w:val="24"/>
                <w:szCs w:val="24"/>
              </w:rPr>
              <w:br/>
              <w:t>extérieur pour pose en discontinu.</w:t>
            </w:r>
          </w:p>
          <w:p w:rsidR="00815F54" w:rsidRDefault="00921C0A" w:rsidP="00BD4AA0">
            <w:pPr>
              <w:spacing w:after="0" w:line="240" w:lineRule="auto"/>
              <w:jc w:val="both"/>
              <w:rPr>
                <w:sz w:val="24"/>
                <w:szCs w:val="24"/>
              </w:rPr>
            </w:pPr>
            <w:r w:rsidRPr="00BD4AA0">
              <w:rPr>
                <w:sz w:val="24"/>
                <w:szCs w:val="24"/>
              </w:rPr>
              <w:t>Pour les besoins de la présente Norme européenne, les ardoises et ardoises carbonatées ont été classées.</w:t>
            </w:r>
          </w:p>
          <w:p w:rsidR="00815F54" w:rsidRDefault="00921C0A" w:rsidP="00815F54">
            <w:pPr>
              <w:spacing w:after="0" w:line="240" w:lineRule="auto"/>
              <w:jc w:val="both"/>
              <w:rPr>
                <w:sz w:val="24"/>
                <w:szCs w:val="24"/>
              </w:rPr>
            </w:pPr>
            <w:r w:rsidRPr="00BD4AA0">
              <w:rPr>
                <w:sz w:val="24"/>
                <w:szCs w:val="24"/>
              </w:rPr>
              <w:t>La présente Norme européenne ne s’applique pas aux produits de toiture ou de bardage extérieur fabriqués dans les</w:t>
            </w:r>
            <w:r w:rsidR="00815F54">
              <w:rPr>
                <w:sz w:val="24"/>
                <w:szCs w:val="24"/>
              </w:rPr>
              <w:t xml:space="preserve"> </w:t>
            </w:r>
            <w:r w:rsidRPr="00BD4AA0">
              <w:rPr>
                <w:sz w:val="24"/>
                <w:szCs w:val="24"/>
              </w:rPr>
              <w:t>matériaux suivants :</w:t>
            </w:r>
          </w:p>
          <w:p w:rsidR="00815F54" w:rsidRDefault="00921C0A" w:rsidP="00815F54">
            <w:pPr>
              <w:spacing w:after="0" w:line="240" w:lineRule="auto"/>
              <w:jc w:val="both"/>
              <w:rPr>
                <w:sz w:val="24"/>
                <w:szCs w:val="24"/>
              </w:rPr>
            </w:pPr>
            <w:r w:rsidRPr="00BD4AA0">
              <w:rPr>
                <w:sz w:val="24"/>
                <w:szCs w:val="24"/>
              </w:rPr>
              <w:t>a) les pierres autres que celles définies en 3.1 et 3.2 ;</w:t>
            </w:r>
          </w:p>
          <w:p w:rsidR="00815F54" w:rsidRDefault="00921C0A" w:rsidP="00815F54">
            <w:pPr>
              <w:spacing w:after="0" w:line="240" w:lineRule="auto"/>
              <w:jc w:val="both"/>
              <w:rPr>
                <w:sz w:val="24"/>
                <w:szCs w:val="24"/>
              </w:rPr>
            </w:pPr>
            <w:r w:rsidRPr="00BD4AA0">
              <w:rPr>
                <w:sz w:val="24"/>
                <w:szCs w:val="24"/>
              </w:rPr>
              <w:t>b) le béton ;</w:t>
            </w:r>
          </w:p>
          <w:p w:rsidR="00815F54" w:rsidRDefault="00921C0A" w:rsidP="00815F54">
            <w:pPr>
              <w:spacing w:after="0" w:line="240" w:lineRule="auto"/>
              <w:jc w:val="both"/>
              <w:rPr>
                <w:sz w:val="24"/>
                <w:szCs w:val="24"/>
              </w:rPr>
            </w:pPr>
            <w:r w:rsidRPr="00BD4AA0">
              <w:rPr>
                <w:sz w:val="24"/>
                <w:szCs w:val="24"/>
              </w:rPr>
              <w:t>c) les matériaux polymères ;</w:t>
            </w:r>
          </w:p>
          <w:p w:rsidR="00815F54" w:rsidRDefault="00921C0A" w:rsidP="00815F54">
            <w:pPr>
              <w:spacing w:after="0" w:line="240" w:lineRule="auto"/>
              <w:jc w:val="both"/>
              <w:rPr>
                <w:sz w:val="24"/>
                <w:szCs w:val="24"/>
              </w:rPr>
            </w:pPr>
            <w:r w:rsidRPr="00BD4AA0">
              <w:rPr>
                <w:sz w:val="24"/>
                <w:szCs w:val="24"/>
              </w:rPr>
              <w:t>d) le ciment renforcé par des fibres ;</w:t>
            </w:r>
          </w:p>
          <w:p w:rsidR="00815F54" w:rsidRDefault="00921C0A" w:rsidP="00815F54">
            <w:pPr>
              <w:spacing w:after="0" w:line="240" w:lineRule="auto"/>
              <w:jc w:val="both"/>
              <w:rPr>
                <w:sz w:val="24"/>
                <w:szCs w:val="24"/>
              </w:rPr>
            </w:pPr>
            <w:r w:rsidRPr="00BD4AA0">
              <w:rPr>
                <w:sz w:val="24"/>
                <w:szCs w:val="24"/>
              </w:rPr>
              <w:t>e) le métal ;</w:t>
            </w:r>
          </w:p>
          <w:p w:rsidR="00815F54" w:rsidRDefault="00921C0A" w:rsidP="00815F54">
            <w:pPr>
              <w:spacing w:after="0" w:line="240" w:lineRule="auto"/>
              <w:jc w:val="both"/>
              <w:rPr>
                <w:sz w:val="24"/>
                <w:szCs w:val="24"/>
              </w:rPr>
            </w:pPr>
            <w:r w:rsidRPr="00BD4AA0">
              <w:rPr>
                <w:sz w:val="24"/>
                <w:szCs w:val="24"/>
              </w:rPr>
              <w:t>f) l’argile.</w:t>
            </w:r>
          </w:p>
          <w:p w:rsidR="00815F54" w:rsidRDefault="00921C0A" w:rsidP="00815F54">
            <w:pPr>
              <w:spacing w:after="0" w:line="240" w:lineRule="auto"/>
              <w:jc w:val="both"/>
              <w:rPr>
                <w:sz w:val="24"/>
                <w:szCs w:val="24"/>
              </w:rPr>
            </w:pPr>
            <w:r w:rsidRPr="00BD4AA0">
              <w:rPr>
                <w:sz w:val="24"/>
                <w:szCs w:val="24"/>
              </w:rPr>
              <w:t>La présente Norme européenne n’est pas applicable aux ardoises pour la toiture et le bardage en intérieur.</w:t>
            </w:r>
          </w:p>
          <w:p w:rsidR="00815F54" w:rsidRPr="00815F54" w:rsidRDefault="00921C0A" w:rsidP="00815F54">
            <w:pPr>
              <w:spacing w:after="0" w:line="240" w:lineRule="auto"/>
              <w:jc w:val="both"/>
              <w:rPr>
                <w:i/>
                <w:iCs/>
              </w:rPr>
            </w:pPr>
            <w:r w:rsidRPr="00BD4AA0">
              <w:rPr>
                <w:sz w:val="24"/>
                <w:szCs w:val="24"/>
              </w:rPr>
              <w:t>La présente Norme européenne n’est pas applicable au bardage renforcé (bardage fixé par des adhésifs) et au</w:t>
            </w:r>
            <w:r w:rsidR="00815F54">
              <w:rPr>
                <w:sz w:val="24"/>
                <w:szCs w:val="24"/>
              </w:rPr>
              <w:t xml:space="preserve"> </w:t>
            </w:r>
            <w:r w:rsidRPr="00BD4AA0">
              <w:rPr>
                <w:sz w:val="24"/>
                <w:szCs w:val="24"/>
              </w:rPr>
              <w:t>bardage fixé par des goujons et des crampons.</w:t>
            </w:r>
            <w:r w:rsidRPr="00BD4AA0">
              <w:rPr>
                <w:sz w:val="24"/>
                <w:szCs w:val="24"/>
              </w:rPr>
              <w:br/>
            </w:r>
            <w:r w:rsidRPr="00815F54">
              <w:rPr>
                <w:b/>
                <w:bCs/>
                <w:i/>
                <w:iCs/>
              </w:rPr>
              <w:t>NOTE 1</w:t>
            </w:r>
            <w:r w:rsidRPr="00815F54">
              <w:rPr>
                <w:i/>
                <w:iCs/>
              </w:rPr>
              <w:t xml:space="preserve"> Les exigences relatives aux ardoises utilisées en revêtement mural sont spécifiées dans l’EN 1469.</w:t>
            </w:r>
          </w:p>
          <w:p w:rsidR="00815F54" w:rsidRPr="00815F54" w:rsidRDefault="00921C0A" w:rsidP="00815F54">
            <w:pPr>
              <w:spacing w:after="0" w:line="240" w:lineRule="auto"/>
              <w:jc w:val="both"/>
              <w:rPr>
                <w:i/>
                <w:iCs/>
              </w:rPr>
            </w:pPr>
            <w:r w:rsidRPr="00815F54">
              <w:rPr>
                <w:i/>
                <w:iCs/>
              </w:rPr>
              <w:t>Le présent document ne comprend pas d’exigences relatives à l’aspect.</w:t>
            </w:r>
            <w:r w:rsidRPr="00815F54">
              <w:rPr>
                <w:i/>
                <w:iCs/>
              </w:rPr>
              <w:br/>
            </w:r>
            <w:r w:rsidRPr="00815F54">
              <w:rPr>
                <w:b/>
                <w:bCs/>
                <w:i/>
                <w:iCs/>
              </w:rPr>
              <w:t>NOTE 2</w:t>
            </w:r>
            <w:r w:rsidRPr="00815F54">
              <w:rPr>
                <w:i/>
                <w:iCs/>
              </w:rPr>
              <w:t xml:space="preserve"> Des informations générales sur l’aspect des ardoises figurent à l’Annexe A.</w:t>
            </w:r>
            <w:r w:rsidRPr="00815F54">
              <w:rPr>
                <w:i/>
                <w:iCs/>
              </w:rPr>
              <w:br/>
              <w:t>La présente Norme européenne ne comprend pas de règles d’installation relatives aux ardoises.</w:t>
            </w:r>
          </w:p>
          <w:p w:rsidR="00815F54" w:rsidRDefault="00921C0A" w:rsidP="00815F54">
            <w:pPr>
              <w:spacing w:after="0" w:line="240" w:lineRule="auto"/>
              <w:jc w:val="both"/>
              <w:rPr>
                <w:i/>
                <w:iCs/>
              </w:rPr>
            </w:pPr>
            <w:r w:rsidRPr="00815F54">
              <w:rPr>
                <w:b/>
                <w:bCs/>
                <w:i/>
                <w:iCs/>
              </w:rPr>
              <w:lastRenderedPageBreak/>
              <w:t>NOTE 3</w:t>
            </w:r>
            <w:r w:rsidRPr="00815F54">
              <w:rPr>
                <w:i/>
                <w:iCs/>
              </w:rPr>
              <w:t xml:space="preserve"> Des références à des recommandations nationales sur les méthodes de construction des toitures en ardoise</w:t>
            </w:r>
            <w:r w:rsidR="00815F54" w:rsidRPr="00815F54">
              <w:rPr>
                <w:i/>
                <w:iCs/>
              </w:rPr>
              <w:t xml:space="preserve"> </w:t>
            </w:r>
            <w:r w:rsidRPr="00815F54">
              <w:rPr>
                <w:i/>
                <w:iCs/>
              </w:rPr>
              <w:t>figurent dans l’Annexe C.</w:t>
            </w:r>
          </w:p>
          <w:p w:rsidR="00921C0A" w:rsidRPr="00BD4AA0" w:rsidRDefault="00921C0A" w:rsidP="00815F54">
            <w:pPr>
              <w:spacing w:after="0" w:line="240" w:lineRule="auto"/>
              <w:jc w:val="both"/>
              <w:rPr>
                <w:rFonts w:ascii="Times New Roman" w:hAnsi="Times New Roman" w:cs="Times New Roman"/>
                <w:sz w:val="24"/>
                <w:szCs w:val="24"/>
              </w:rPr>
            </w:pPr>
            <w:r w:rsidRPr="00815F54">
              <w:rPr>
                <w:i/>
                <w:iCs/>
              </w:rPr>
              <w:t>NOTE 4 Sauf indication contraire, lorsque le terme « ardoises » est utilisé dans le présent document, il désigne les ardoises</w:t>
            </w:r>
            <w:r w:rsidR="00815F54" w:rsidRPr="00815F54">
              <w:rPr>
                <w:i/>
                <w:iCs/>
              </w:rPr>
              <w:t xml:space="preserve"> </w:t>
            </w:r>
            <w:r w:rsidRPr="00815F54">
              <w:rPr>
                <w:i/>
                <w:iCs/>
              </w:rPr>
              <w:t>et les ardoises carbonatées.</w:t>
            </w:r>
          </w:p>
        </w:tc>
      </w:tr>
      <w:tr w:rsidR="00921C0A" w:rsidRPr="0043547B" w:rsidTr="001E0C3C">
        <w:trPr>
          <w:trHeight w:val="340"/>
          <w:jc w:val="center"/>
        </w:trPr>
        <w:tc>
          <w:tcPr>
            <w:tcW w:w="1838" w:type="dxa"/>
            <w:tcBorders>
              <w:top w:val="single" w:sz="18" w:space="0" w:color="auto"/>
              <w:left w:val="single" w:sz="18" w:space="0" w:color="auto"/>
              <w:bottom w:val="single" w:sz="18" w:space="0" w:color="auto"/>
              <w:right w:val="single" w:sz="18" w:space="0" w:color="auto"/>
            </w:tcBorders>
            <w:shd w:val="clear" w:color="auto" w:fill="C2D69B" w:themeFill="accent3" w:themeFillTint="99"/>
            <w:vAlign w:val="center"/>
          </w:tcPr>
          <w:p w:rsidR="00921C0A" w:rsidRPr="00BD4AA0" w:rsidRDefault="00921C0A" w:rsidP="00C47FA7">
            <w:pPr>
              <w:spacing w:after="0" w:line="240" w:lineRule="auto"/>
              <w:jc w:val="center"/>
              <w:rPr>
                <w:rFonts w:ascii="Calibri" w:hAnsi="Calibri" w:cs="Calibri"/>
                <w:b/>
                <w:bCs/>
                <w:sz w:val="24"/>
                <w:szCs w:val="24"/>
              </w:rPr>
            </w:pPr>
            <w:r w:rsidRPr="00BD4AA0">
              <w:rPr>
                <w:rFonts w:ascii="Calibri" w:hAnsi="Calibri" w:cs="Calibri"/>
                <w:b/>
                <w:bCs/>
                <w:sz w:val="24"/>
                <w:szCs w:val="24"/>
              </w:rPr>
              <w:lastRenderedPageBreak/>
              <w:t>Code :</w:t>
            </w:r>
          </w:p>
        </w:tc>
        <w:tc>
          <w:tcPr>
            <w:tcW w:w="7938" w:type="dxa"/>
            <w:tcBorders>
              <w:top w:val="single" w:sz="18" w:space="0" w:color="auto"/>
              <w:left w:val="single" w:sz="18" w:space="0" w:color="auto"/>
              <w:bottom w:val="single" w:sz="18" w:space="0" w:color="auto"/>
              <w:right w:val="single" w:sz="18" w:space="0" w:color="auto"/>
            </w:tcBorders>
            <w:shd w:val="clear" w:color="auto" w:fill="C2D69B" w:themeFill="accent3" w:themeFillTint="99"/>
            <w:vAlign w:val="center"/>
          </w:tcPr>
          <w:p w:rsidR="00921C0A" w:rsidRPr="00C47FA7" w:rsidRDefault="00921C0A" w:rsidP="00C47FA7">
            <w:pPr>
              <w:spacing w:after="0" w:line="240" w:lineRule="auto"/>
              <w:jc w:val="center"/>
              <w:rPr>
                <w:rFonts w:ascii="Times New Roman" w:hAnsi="Times New Roman" w:cs="Times New Roman"/>
                <w:b/>
                <w:bCs/>
                <w:sz w:val="24"/>
                <w:szCs w:val="24"/>
              </w:rPr>
            </w:pPr>
            <w:r w:rsidRPr="00C47FA7">
              <w:rPr>
                <w:b/>
                <w:bCs/>
                <w:sz w:val="24"/>
                <w:szCs w:val="24"/>
              </w:rPr>
              <w:t>NM EN 492</w:t>
            </w:r>
          </w:p>
        </w:tc>
      </w:tr>
      <w:tr w:rsidR="00921C0A" w:rsidRPr="0043547B" w:rsidTr="001E0C3C">
        <w:trPr>
          <w:trHeight w:val="320"/>
          <w:jc w:val="center"/>
        </w:trPr>
        <w:tc>
          <w:tcPr>
            <w:tcW w:w="1838" w:type="dxa"/>
            <w:tcBorders>
              <w:top w:val="single" w:sz="18" w:space="0" w:color="auto"/>
              <w:left w:val="single" w:sz="18" w:space="0" w:color="auto"/>
              <w:bottom w:val="single" w:sz="18" w:space="0" w:color="auto"/>
              <w:right w:val="single" w:sz="18" w:space="0" w:color="auto"/>
            </w:tcBorders>
            <w:shd w:val="clear" w:color="auto" w:fill="FFFFCC"/>
            <w:vAlign w:val="center"/>
          </w:tcPr>
          <w:p w:rsidR="00921C0A" w:rsidRPr="00BD4AA0" w:rsidRDefault="00921C0A" w:rsidP="00C47FA7">
            <w:pPr>
              <w:spacing w:after="0" w:line="240" w:lineRule="auto"/>
              <w:jc w:val="center"/>
              <w:rPr>
                <w:rFonts w:ascii="Calibri" w:hAnsi="Calibri" w:cs="Calibri"/>
                <w:b/>
                <w:bCs/>
                <w:sz w:val="24"/>
                <w:szCs w:val="24"/>
              </w:rPr>
            </w:pPr>
            <w:r w:rsidRPr="00BD4AA0">
              <w:rPr>
                <w:rFonts w:ascii="Calibri" w:hAnsi="Calibri" w:cs="Calibri"/>
                <w:b/>
                <w:bCs/>
                <w:sz w:val="24"/>
                <w:szCs w:val="24"/>
              </w:rPr>
              <w:t>Equivalence :</w:t>
            </w:r>
          </w:p>
        </w:tc>
        <w:tc>
          <w:tcPr>
            <w:tcW w:w="7938" w:type="dxa"/>
            <w:tcBorders>
              <w:top w:val="single" w:sz="18" w:space="0" w:color="auto"/>
              <w:left w:val="single" w:sz="18" w:space="0" w:color="auto"/>
              <w:bottom w:val="single" w:sz="18" w:space="0" w:color="auto"/>
              <w:right w:val="single" w:sz="18" w:space="0" w:color="auto"/>
            </w:tcBorders>
            <w:shd w:val="clear" w:color="auto" w:fill="FFFFCC"/>
            <w:vAlign w:val="center"/>
          </w:tcPr>
          <w:p w:rsidR="00921C0A" w:rsidRPr="00C47FA7" w:rsidRDefault="00921C0A" w:rsidP="00C47FA7">
            <w:pPr>
              <w:spacing w:after="0" w:line="240" w:lineRule="auto"/>
              <w:jc w:val="center"/>
              <w:rPr>
                <w:rFonts w:ascii="Times New Roman" w:hAnsi="Times New Roman" w:cs="Times New Roman"/>
                <w:b/>
                <w:bCs/>
                <w:sz w:val="24"/>
                <w:szCs w:val="24"/>
              </w:rPr>
            </w:pPr>
            <w:r w:rsidRPr="00C47FA7">
              <w:rPr>
                <w:b/>
                <w:bCs/>
                <w:sz w:val="24"/>
                <w:szCs w:val="24"/>
              </w:rPr>
              <w:t>EN 492</w:t>
            </w:r>
          </w:p>
        </w:tc>
      </w:tr>
      <w:tr w:rsidR="00921C0A" w:rsidRPr="0043547B" w:rsidTr="001E0C3C">
        <w:trPr>
          <w:trHeight w:val="591"/>
          <w:jc w:val="center"/>
        </w:trPr>
        <w:tc>
          <w:tcPr>
            <w:tcW w:w="1838" w:type="dxa"/>
            <w:tcBorders>
              <w:top w:val="single" w:sz="18" w:space="0" w:color="auto"/>
              <w:left w:val="single" w:sz="18" w:space="0" w:color="auto"/>
              <w:bottom w:val="single" w:sz="18" w:space="0" w:color="auto"/>
              <w:right w:val="single" w:sz="18" w:space="0" w:color="auto"/>
            </w:tcBorders>
            <w:shd w:val="clear" w:color="auto" w:fill="95B3D7" w:themeFill="accent1" w:themeFillTint="99"/>
            <w:vAlign w:val="center"/>
          </w:tcPr>
          <w:p w:rsidR="00921C0A" w:rsidRPr="00BD4AA0" w:rsidRDefault="00921C0A" w:rsidP="00C47FA7">
            <w:pPr>
              <w:spacing w:after="0" w:line="240" w:lineRule="auto"/>
              <w:jc w:val="center"/>
              <w:rPr>
                <w:rFonts w:ascii="Calibri" w:hAnsi="Calibri" w:cs="Calibri"/>
                <w:b/>
                <w:bCs/>
                <w:sz w:val="24"/>
                <w:szCs w:val="24"/>
              </w:rPr>
            </w:pPr>
            <w:r w:rsidRPr="00BD4AA0">
              <w:rPr>
                <w:rFonts w:ascii="Calibri" w:hAnsi="Calibri" w:cs="Calibri"/>
                <w:b/>
                <w:bCs/>
                <w:sz w:val="24"/>
                <w:szCs w:val="24"/>
              </w:rPr>
              <w:t>Intitulé :</w:t>
            </w:r>
          </w:p>
        </w:tc>
        <w:tc>
          <w:tcPr>
            <w:tcW w:w="7938" w:type="dxa"/>
            <w:tcBorders>
              <w:top w:val="single" w:sz="18" w:space="0" w:color="auto"/>
              <w:left w:val="single" w:sz="18" w:space="0" w:color="auto"/>
              <w:bottom w:val="single" w:sz="18" w:space="0" w:color="auto"/>
              <w:right w:val="single" w:sz="18" w:space="0" w:color="auto"/>
            </w:tcBorders>
            <w:shd w:val="clear" w:color="auto" w:fill="auto"/>
          </w:tcPr>
          <w:p w:rsidR="00921C0A" w:rsidRPr="00BD4AA0" w:rsidRDefault="00921C0A" w:rsidP="00C47FA7">
            <w:pPr>
              <w:spacing w:after="0" w:line="240" w:lineRule="auto"/>
              <w:rPr>
                <w:rFonts w:ascii="Times New Roman" w:hAnsi="Times New Roman" w:cs="Times New Roman"/>
                <w:sz w:val="24"/>
                <w:szCs w:val="24"/>
              </w:rPr>
            </w:pPr>
            <w:r w:rsidRPr="00BD4AA0">
              <w:rPr>
                <w:sz w:val="24"/>
                <w:szCs w:val="24"/>
              </w:rPr>
              <w:t xml:space="preserve">Ardoises en fibres-ciment et leurs accessoires en fibres-ciment - Spécification du </w:t>
            </w:r>
            <w:r w:rsidR="00C47FA7" w:rsidRPr="00BD4AA0">
              <w:rPr>
                <w:sz w:val="24"/>
                <w:szCs w:val="24"/>
              </w:rPr>
              <w:t>produit et</w:t>
            </w:r>
            <w:r w:rsidRPr="00BD4AA0">
              <w:rPr>
                <w:sz w:val="24"/>
                <w:szCs w:val="24"/>
              </w:rPr>
              <w:t xml:space="preserve"> méthodes d’essai </w:t>
            </w:r>
          </w:p>
        </w:tc>
      </w:tr>
      <w:tr w:rsidR="00921C0A" w:rsidRPr="0043547B" w:rsidTr="001E0C3C">
        <w:trPr>
          <w:trHeight w:val="799"/>
          <w:jc w:val="center"/>
        </w:trPr>
        <w:tc>
          <w:tcPr>
            <w:tcW w:w="1838" w:type="dxa"/>
            <w:tcBorders>
              <w:top w:val="single" w:sz="18" w:space="0" w:color="auto"/>
              <w:left w:val="single" w:sz="18" w:space="0" w:color="auto"/>
              <w:bottom w:val="single" w:sz="18" w:space="0" w:color="auto"/>
              <w:right w:val="single" w:sz="18" w:space="0" w:color="auto"/>
            </w:tcBorders>
            <w:shd w:val="clear" w:color="000000" w:fill="D9D9D9"/>
            <w:vAlign w:val="center"/>
          </w:tcPr>
          <w:p w:rsidR="00921C0A" w:rsidRPr="00BD4AA0" w:rsidRDefault="00921C0A" w:rsidP="00C47FA7">
            <w:pPr>
              <w:jc w:val="center"/>
              <w:rPr>
                <w:rFonts w:ascii="Calibri" w:hAnsi="Calibri" w:cs="Calibri"/>
                <w:b/>
                <w:bCs/>
                <w:sz w:val="24"/>
                <w:szCs w:val="24"/>
              </w:rPr>
            </w:pPr>
            <w:r w:rsidRPr="00BD4AA0">
              <w:rPr>
                <w:rFonts w:ascii="Calibri" w:hAnsi="Calibri" w:cs="Calibri"/>
                <w:b/>
                <w:bCs/>
                <w:sz w:val="24"/>
                <w:szCs w:val="24"/>
              </w:rPr>
              <w:t>Domaine d’application :</w:t>
            </w:r>
          </w:p>
        </w:tc>
        <w:tc>
          <w:tcPr>
            <w:tcW w:w="7938" w:type="dxa"/>
            <w:tcBorders>
              <w:top w:val="single" w:sz="18" w:space="0" w:color="auto"/>
              <w:left w:val="single" w:sz="18" w:space="0" w:color="auto"/>
              <w:bottom w:val="single" w:sz="18" w:space="0" w:color="auto"/>
              <w:right w:val="single" w:sz="18" w:space="0" w:color="auto"/>
            </w:tcBorders>
            <w:shd w:val="clear" w:color="auto" w:fill="auto"/>
            <w:vAlign w:val="bottom"/>
          </w:tcPr>
          <w:p w:rsidR="00C47FA7" w:rsidRDefault="00921C0A" w:rsidP="00C47FA7">
            <w:pPr>
              <w:spacing w:after="0" w:line="240" w:lineRule="auto"/>
              <w:jc w:val="both"/>
              <w:rPr>
                <w:sz w:val="24"/>
                <w:szCs w:val="24"/>
              </w:rPr>
            </w:pPr>
            <w:r w:rsidRPr="00BD4AA0">
              <w:rPr>
                <w:sz w:val="24"/>
                <w:szCs w:val="24"/>
              </w:rPr>
              <w:t>La présente Norme européenne spécifie les exigences techniques et établit les méthodes de contrôle et</w:t>
            </w:r>
            <w:r w:rsidR="00C47FA7">
              <w:rPr>
                <w:sz w:val="24"/>
                <w:szCs w:val="24"/>
              </w:rPr>
              <w:t xml:space="preserve"> </w:t>
            </w:r>
            <w:r w:rsidRPr="00BD4AA0">
              <w:rPr>
                <w:sz w:val="24"/>
                <w:szCs w:val="24"/>
              </w:rPr>
              <w:t>d'essai ainsi que les conditions de réception des ardoises en fibres-ciment et de leurs accessoires en</w:t>
            </w:r>
            <w:r w:rsidR="00C47FA7">
              <w:rPr>
                <w:sz w:val="24"/>
                <w:szCs w:val="24"/>
              </w:rPr>
              <w:t xml:space="preserve"> </w:t>
            </w:r>
            <w:r w:rsidRPr="00BD4AA0">
              <w:rPr>
                <w:sz w:val="24"/>
                <w:szCs w:val="24"/>
              </w:rPr>
              <w:t>fibres-ciment utilisés pour un ou plusieurs des usages suivants :</w:t>
            </w:r>
          </w:p>
          <w:p w:rsidR="00C47FA7" w:rsidRDefault="00C47FA7" w:rsidP="00C47FA7">
            <w:pPr>
              <w:spacing w:after="0" w:line="240" w:lineRule="auto"/>
              <w:jc w:val="both"/>
              <w:rPr>
                <w:sz w:val="24"/>
                <w:szCs w:val="24"/>
              </w:rPr>
            </w:pPr>
            <w:r>
              <w:rPr>
                <w:sz w:val="24"/>
                <w:szCs w:val="24"/>
              </w:rPr>
              <w:t>-</w:t>
            </w:r>
            <w:r w:rsidR="00921C0A" w:rsidRPr="00BD4AA0">
              <w:rPr>
                <w:sz w:val="24"/>
                <w:szCs w:val="24"/>
              </w:rPr>
              <w:t xml:space="preserve"> la toiture ;</w:t>
            </w:r>
          </w:p>
          <w:p w:rsidR="00C47FA7" w:rsidRDefault="00C47FA7" w:rsidP="00C47FA7">
            <w:pPr>
              <w:spacing w:after="0" w:line="240" w:lineRule="auto"/>
              <w:jc w:val="both"/>
              <w:rPr>
                <w:sz w:val="24"/>
                <w:szCs w:val="24"/>
              </w:rPr>
            </w:pPr>
            <w:r>
              <w:rPr>
                <w:sz w:val="24"/>
                <w:szCs w:val="24"/>
              </w:rPr>
              <w:t>-</w:t>
            </w:r>
            <w:r w:rsidR="00921C0A" w:rsidRPr="00BD4AA0">
              <w:rPr>
                <w:sz w:val="24"/>
                <w:szCs w:val="24"/>
              </w:rPr>
              <w:t xml:space="preserve"> la finition des murs intérieurs ;</w:t>
            </w:r>
          </w:p>
          <w:p w:rsidR="00C47FA7" w:rsidRDefault="00C47FA7" w:rsidP="00C47FA7">
            <w:pPr>
              <w:spacing w:after="0" w:line="240" w:lineRule="auto"/>
              <w:jc w:val="both"/>
              <w:rPr>
                <w:sz w:val="24"/>
                <w:szCs w:val="24"/>
              </w:rPr>
            </w:pPr>
            <w:r>
              <w:rPr>
                <w:sz w:val="24"/>
                <w:szCs w:val="24"/>
              </w:rPr>
              <w:t>-</w:t>
            </w:r>
            <w:r w:rsidR="00921C0A" w:rsidRPr="00BD4AA0">
              <w:rPr>
                <w:sz w:val="24"/>
                <w:szCs w:val="24"/>
              </w:rPr>
              <w:t xml:space="preserve"> les revêtements extérieurs pour murs et plafonds.</w:t>
            </w:r>
          </w:p>
          <w:p w:rsidR="00C47FA7" w:rsidRDefault="00921C0A" w:rsidP="00C47FA7">
            <w:pPr>
              <w:spacing w:after="0" w:line="240" w:lineRule="auto"/>
              <w:jc w:val="both"/>
              <w:rPr>
                <w:sz w:val="24"/>
                <w:szCs w:val="24"/>
              </w:rPr>
            </w:pPr>
            <w:r w:rsidRPr="00BD4AA0">
              <w:rPr>
                <w:sz w:val="24"/>
                <w:szCs w:val="24"/>
              </w:rPr>
              <w:t>La présente Norme européenne s'applique aux ardoises en fibres-ciment dont la hauteur h (voir</w:t>
            </w:r>
            <w:r w:rsidR="00C47FA7">
              <w:rPr>
                <w:sz w:val="24"/>
                <w:szCs w:val="24"/>
              </w:rPr>
              <w:t xml:space="preserve"> </w:t>
            </w:r>
            <w:r w:rsidRPr="00BD4AA0">
              <w:rPr>
                <w:sz w:val="24"/>
                <w:szCs w:val="24"/>
              </w:rPr>
              <w:t>Article 4) ne dépasse pas 850 mm pour une pose avec recouvrement. Pour les besoins de la présente</w:t>
            </w:r>
            <w:r w:rsidR="00C47FA7">
              <w:rPr>
                <w:sz w:val="24"/>
                <w:szCs w:val="24"/>
              </w:rPr>
              <w:t xml:space="preserve"> </w:t>
            </w:r>
            <w:r w:rsidRPr="00BD4AA0">
              <w:rPr>
                <w:sz w:val="24"/>
                <w:szCs w:val="24"/>
              </w:rPr>
              <w:t>Norme européenne, les ardoises en fibres-ciment ont été classées en fonction de leur moment de</w:t>
            </w:r>
            <w:r w:rsidR="00C47FA7">
              <w:rPr>
                <w:sz w:val="24"/>
                <w:szCs w:val="24"/>
              </w:rPr>
              <w:t xml:space="preserve"> </w:t>
            </w:r>
            <w:r w:rsidRPr="00BD4AA0">
              <w:rPr>
                <w:sz w:val="24"/>
                <w:szCs w:val="24"/>
              </w:rPr>
              <w:t>flexion.</w:t>
            </w:r>
          </w:p>
          <w:p w:rsidR="00C47FA7" w:rsidRDefault="00921C0A" w:rsidP="00C47FA7">
            <w:pPr>
              <w:spacing w:after="0" w:line="240" w:lineRule="auto"/>
              <w:jc w:val="both"/>
              <w:rPr>
                <w:sz w:val="24"/>
                <w:szCs w:val="24"/>
              </w:rPr>
            </w:pPr>
            <w:r w:rsidRPr="00BD4AA0">
              <w:rPr>
                <w:sz w:val="24"/>
                <w:szCs w:val="24"/>
              </w:rPr>
              <w:t xml:space="preserve">La présente </w:t>
            </w:r>
            <w:r w:rsidR="00C47FA7" w:rsidRPr="00BD4AA0">
              <w:rPr>
                <w:sz w:val="24"/>
                <w:szCs w:val="24"/>
              </w:rPr>
              <w:t xml:space="preserve">Norme </w:t>
            </w:r>
            <w:r w:rsidR="00C47FA7">
              <w:rPr>
                <w:sz w:val="24"/>
                <w:szCs w:val="24"/>
              </w:rPr>
              <w:t>s’applique</w:t>
            </w:r>
            <w:r w:rsidRPr="00BD4AA0">
              <w:rPr>
                <w:sz w:val="24"/>
                <w:szCs w:val="24"/>
              </w:rPr>
              <w:t xml:space="preserve"> aux ardoises en fibres-ciment renforcées à l'aide de fibres de</w:t>
            </w:r>
            <w:r w:rsidR="00C47FA7">
              <w:rPr>
                <w:sz w:val="24"/>
                <w:szCs w:val="24"/>
              </w:rPr>
              <w:t xml:space="preserve"> </w:t>
            </w:r>
            <w:r w:rsidRPr="00BD4AA0">
              <w:rPr>
                <w:sz w:val="24"/>
                <w:szCs w:val="24"/>
              </w:rPr>
              <w:t>types différents, comme spécifié en 5.1.1.</w:t>
            </w:r>
          </w:p>
          <w:p w:rsidR="00921C0A" w:rsidRPr="00BD4AA0" w:rsidRDefault="00921C0A" w:rsidP="00C47FA7">
            <w:pPr>
              <w:spacing w:after="0" w:line="240" w:lineRule="auto"/>
              <w:jc w:val="both"/>
              <w:rPr>
                <w:rFonts w:ascii="Times New Roman" w:hAnsi="Times New Roman" w:cs="Times New Roman"/>
                <w:sz w:val="24"/>
                <w:szCs w:val="24"/>
              </w:rPr>
            </w:pPr>
            <w:r w:rsidRPr="00BD4AA0">
              <w:rPr>
                <w:sz w:val="24"/>
                <w:szCs w:val="24"/>
              </w:rPr>
              <w:t>La présente Norme européenne n'inclut pas les calculs relatifs aux travaux, aux exigences de</w:t>
            </w:r>
            <w:r w:rsidR="00C47FA7">
              <w:rPr>
                <w:sz w:val="24"/>
                <w:szCs w:val="24"/>
              </w:rPr>
              <w:t xml:space="preserve"> </w:t>
            </w:r>
            <w:r w:rsidRPr="00BD4AA0">
              <w:rPr>
                <w:sz w:val="24"/>
                <w:szCs w:val="24"/>
              </w:rPr>
              <w:t>conception, aux techniques de pose, aux soulèvements par le vent ou à l'étanchéité à la pluie des</w:t>
            </w:r>
            <w:r w:rsidR="00C47FA7">
              <w:rPr>
                <w:sz w:val="24"/>
                <w:szCs w:val="24"/>
              </w:rPr>
              <w:t xml:space="preserve"> </w:t>
            </w:r>
            <w:r w:rsidRPr="00BD4AA0">
              <w:rPr>
                <w:sz w:val="24"/>
                <w:szCs w:val="24"/>
              </w:rPr>
              <w:t>produits déjà posés.</w:t>
            </w:r>
          </w:p>
        </w:tc>
      </w:tr>
      <w:tr w:rsidR="00921C0A" w:rsidRPr="0043547B" w:rsidTr="001E0C3C">
        <w:trPr>
          <w:trHeight w:val="361"/>
          <w:jc w:val="center"/>
        </w:trPr>
        <w:tc>
          <w:tcPr>
            <w:tcW w:w="1838" w:type="dxa"/>
            <w:tcBorders>
              <w:top w:val="single" w:sz="18" w:space="0" w:color="auto"/>
              <w:left w:val="single" w:sz="18" w:space="0" w:color="auto"/>
              <w:bottom w:val="single" w:sz="18" w:space="0" w:color="auto"/>
              <w:right w:val="single" w:sz="18" w:space="0" w:color="auto"/>
            </w:tcBorders>
            <w:shd w:val="clear" w:color="auto" w:fill="C2D69B" w:themeFill="accent3" w:themeFillTint="99"/>
            <w:vAlign w:val="center"/>
          </w:tcPr>
          <w:p w:rsidR="00921C0A" w:rsidRPr="00BD4AA0" w:rsidRDefault="00921C0A" w:rsidP="00C47FA7">
            <w:pPr>
              <w:spacing w:after="0" w:line="240" w:lineRule="auto"/>
              <w:jc w:val="center"/>
              <w:rPr>
                <w:rFonts w:ascii="Calibri" w:hAnsi="Calibri" w:cs="Calibri"/>
                <w:b/>
                <w:bCs/>
                <w:sz w:val="24"/>
                <w:szCs w:val="24"/>
              </w:rPr>
            </w:pPr>
            <w:r w:rsidRPr="00BD4AA0">
              <w:rPr>
                <w:rFonts w:ascii="Calibri" w:hAnsi="Calibri" w:cs="Calibri"/>
                <w:b/>
                <w:bCs/>
                <w:sz w:val="24"/>
                <w:szCs w:val="24"/>
              </w:rPr>
              <w:t>Code</w:t>
            </w:r>
            <w:r w:rsidR="00C47FA7">
              <w:rPr>
                <w:rFonts w:ascii="Calibri" w:hAnsi="Calibri" w:cs="Calibri"/>
                <w:b/>
                <w:bCs/>
                <w:sz w:val="24"/>
                <w:szCs w:val="24"/>
              </w:rPr>
              <w:t xml:space="preserve"> </w:t>
            </w:r>
            <w:r w:rsidRPr="00BD4AA0">
              <w:rPr>
                <w:rFonts w:ascii="Calibri" w:hAnsi="Calibri" w:cs="Calibri"/>
                <w:b/>
                <w:bCs/>
                <w:sz w:val="24"/>
                <w:szCs w:val="24"/>
              </w:rPr>
              <w:t>:</w:t>
            </w:r>
          </w:p>
        </w:tc>
        <w:tc>
          <w:tcPr>
            <w:tcW w:w="7938" w:type="dxa"/>
            <w:tcBorders>
              <w:top w:val="single" w:sz="18" w:space="0" w:color="auto"/>
              <w:left w:val="single" w:sz="18" w:space="0" w:color="auto"/>
              <w:bottom w:val="single" w:sz="18" w:space="0" w:color="auto"/>
              <w:right w:val="single" w:sz="18" w:space="0" w:color="auto"/>
            </w:tcBorders>
            <w:shd w:val="clear" w:color="auto" w:fill="C2D69B" w:themeFill="accent3" w:themeFillTint="99"/>
            <w:vAlign w:val="center"/>
          </w:tcPr>
          <w:p w:rsidR="00921C0A" w:rsidRPr="00C47FA7" w:rsidRDefault="00921C0A" w:rsidP="00C47FA7">
            <w:pPr>
              <w:spacing w:after="0" w:line="240" w:lineRule="auto"/>
              <w:jc w:val="center"/>
              <w:rPr>
                <w:rFonts w:ascii="Times New Roman" w:hAnsi="Times New Roman" w:cs="Times New Roman"/>
                <w:b/>
                <w:bCs/>
                <w:sz w:val="24"/>
                <w:szCs w:val="24"/>
              </w:rPr>
            </w:pPr>
            <w:r w:rsidRPr="00C47FA7">
              <w:rPr>
                <w:b/>
                <w:bCs/>
                <w:sz w:val="24"/>
                <w:szCs w:val="24"/>
              </w:rPr>
              <w:t>NM EN 494</w:t>
            </w:r>
          </w:p>
        </w:tc>
      </w:tr>
      <w:tr w:rsidR="00921C0A" w:rsidRPr="0043547B" w:rsidTr="001E0C3C">
        <w:trPr>
          <w:trHeight w:val="382"/>
          <w:jc w:val="center"/>
        </w:trPr>
        <w:tc>
          <w:tcPr>
            <w:tcW w:w="1838" w:type="dxa"/>
            <w:tcBorders>
              <w:top w:val="single" w:sz="18" w:space="0" w:color="auto"/>
              <w:left w:val="single" w:sz="18" w:space="0" w:color="auto"/>
              <w:bottom w:val="single" w:sz="18" w:space="0" w:color="auto"/>
              <w:right w:val="single" w:sz="18" w:space="0" w:color="auto"/>
            </w:tcBorders>
            <w:shd w:val="clear" w:color="auto" w:fill="FFFFCC"/>
            <w:vAlign w:val="center"/>
          </w:tcPr>
          <w:p w:rsidR="00921C0A" w:rsidRPr="00BD4AA0" w:rsidRDefault="00921C0A" w:rsidP="00C47FA7">
            <w:pPr>
              <w:spacing w:after="0" w:line="240" w:lineRule="auto"/>
              <w:jc w:val="center"/>
              <w:rPr>
                <w:rFonts w:ascii="Calibri" w:hAnsi="Calibri" w:cs="Calibri"/>
                <w:b/>
                <w:bCs/>
                <w:sz w:val="24"/>
                <w:szCs w:val="24"/>
              </w:rPr>
            </w:pPr>
            <w:r w:rsidRPr="00BD4AA0">
              <w:rPr>
                <w:rFonts w:ascii="Calibri" w:hAnsi="Calibri" w:cs="Calibri"/>
                <w:b/>
                <w:bCs/>
                <w:sz w:val="24"/>
                <w:szCs w:val="24"/>
              </w:rPr>
              <w:t>Equivalence :</w:t>
            </w:r>
          </w:p>
        </w:tc>
        <w:tc>
          <w:tcPr>
            <w:tcW w:w="7938" w:type="dxa"/>
            <w:tcBorders>
              <w:top w:val="single" w:sz="18" w:space="0" w:color="auto"/>
              <w:left w:val="single" w:sz="18" w:space="0" w:color="auto"/>
              <w:bottom w:val="single" w:sz="18" w:space="0" w:color="auto"/>
              <w:right w:val="single" w:sz="18" w:space="0" w:color="auto"/>
            </w:tcBorders>
            <w:shd w:val="clear" w:color="auto" w:fill="FFFFCC"/>
            <w:vAlign w:val="center"/>
          </w:tcPr>
          <w:p w:rsidR="00921C0A" w:rsidRPr="00C47FA7" w:rsidRDefault="00921C0A" w:rsidP="00C47FA7">
            <w:pPr>
              <w:spacing w:after="0" w:line="240" w:lineRule="auto"/>
              <w:jc w:val="center"/>
              <w:rPr>
                <w:rFonts w:ascii="Times New Roman" w:hAnsi="Times New Roman" w:cs="Times New Roman"/>
                <w:b/>
                <w:bCs/>
                <w:sz w:val="24"/>
                <w:szCs w:val="24"/>
              </w:rPr>
            </w:pPr>
            <w:r w:rsidRPr="00C47FA7">
              <w:rPr>
                <w:b/>
                <w:bCs/>
                <w:sz w:val="24"/>
                <w:szCs w:val="24"/>
              </w:rPr>
              <w:t>EN 494</w:t>
            </w:r>
          </w:p>
        </w:tc>
      </w:tr>
      <w:tr w:rsidR="00921C0A" w:rsidRPr="0043547B" w:rsidTr="001E0C3C">
        <w:trPr>
          <w:trHeight w:val="561"/>
          <w:jc w:val="center"/>
        </w:trPr>
        <w:tc>
          <w:tcPr>
            <w:tcW w:w="1838" w:type="dxa"/>
            <w:tcBorders>
              <w:top w:val="single" w:sz="18" w:space="0" w:color="auto"/>
              <w:left w:val="single" w:sz="18" w:space="0" w:color="auto"/>
              <w:bottom w:val="single" w:sz="18" w:space="0" w:color="auto"/>
              <w:right w:val="single" w:sz="18" w:space="0" w:color="auto"/>
            </w:tcBorders>
            <w:shd w:val="clear" w:color="auto" w:fill="95B3D7" w:themeFill="accent1" w:themeFillTint="99"/>
            <w:vAlign w:val="center"/>
          </w:tcPr>
          <w:p w:rsidR="00921C0A" w:rsidRPr="00BD4AA0" w:rsidRDefault="00921C0A" w:rsidP="00C47FA7">
            <w:pPr>
              <w:spacing w:after="0" w:line="240" w:lineRule="auto"/>
              <w:jc w:val="center"/>
              <w:rPr>
                <w:rFonts w:ascii="Calibri" w:hAnsi="Calibri" w:cs="Calibri"/>
                <w:b/>
                <w:bCs/>
                <w:sz w:val="24"/>
                <w:szCs w:val="24"/>
              </w:rPr>
            </w:pPr>
            <w:r w:rsidRPr="00BD4AA0">
              <w:rPr>
                <w:rFonts w:ascii="Calibri" w:hAnsi="Calibri" w:cs="Calibri"/>
                <w:b/>
                <w:bCs/>
                <w:sz w:val="24"/>
                <w:szCs w:val="24"/>
              </w:rPr>
              <w:t>Intitulé :</w:t>
            </w:r>
          </w:p>
        </w:tc>
        <w:tc>
          <w:tcPr>
            <w:tcW w:w="7938" w:type="dxa"/>
            <w:tcBorders>
              <w:top w:val="single" w:sz="18" w:space="0" w:color="auto"/>
              <w:left w:val="single" w:sz="18" w:space="0" w:color="auto"/>
              <w:bottom w:val="single" w:sz="18" w:space="0" w:color="auto"/>
              <w:right w:val="single" w:sz="18" w:space="0" w:color="auto"/>
            </w:tcBorders>
            <w:shd w:val="clear" w:color="auto" w:fill="auto"/>
          </w:tcPr>
          <w:p w:rsidR="00921C0A" w:rsidRPr="00BD4AA0" w:rsidRDefault="00921C0A" w:rsidP="00C47FA7">
            <w:pPr>
              <w:spacing w:after="0" w:line="240" w:lineRule="auto"/>
              <w:rPr>
                <w:rFonts w:ascii="Times New Roman" w:hAnsi="Times New Roman" w:cs="Times New Roman"/>
                <w:sz w:val="24"/>
                <w:szCs w:val="24"/>
              </w:rPr>
            </w:pPr>
            <w:r w:rsidRPr="00BD4AA0">
              <w:rPr>
                <w:sz w:val="24"/>
                <w:szCs w:val="24"/>
              </w:rPr>
              <w:t>Plaques profilées en fibres-ciment et  accessoires - Spécifications du produit et méthodes d’essai</w:t>
            </w:r>
          </w:p>
        </w:tc>
      </w:tr>
      <w:tr w:rsidR="00921C0A" w:rsidRPr="0043547B" w:rsidTr="001E0C3C">
        <w:trPr>
          <w:trHeight w:val="799"/>
          <w:jc w:val="center"/>
        </w:trPr>
        <w:tc>
          <w:tcPr>
            <w:tcW w:w="1838" w:type="dxa"/>
            <w:tcBorders>
              <w:top w:val="single" w:sz="18" w:space="0" w:color="auto"/>
              <w:left w:val="single" w:sz="18" w:space="0" w:color="auto"/>
              <w:bottom w:val="single" w:sz="18" w:space="0" w:color="auto"/>
              <w:right w:val="single" w:sz="18" w:space="0" w:color="auto"/>
            </w:tcBorders>
            <w:shd w:val="clear" w:color="000000" w:fill="D9D9D9"/>
            <w:vAlign w:val="center"/>
          </w:tcPr>
          <w:p w:rsidR="00921C0A" w:rsidRPr="00BD4AA0" w:rsidRDefault="00921C0A" w:rsidP="00C47FA7">
            <w:pPr>
              <w:jc w:val="center"/>
              <w:rPr>
                <w:rFonts w:ascii="Calibri" w:hAnsi="Calibri" w:cs="Calibri"/>
                <w:b/>
                <w:bCs/>
                <w:sz w:val="24"/>
                <w:szCs w:val="24"/>
              </w:rPr>
            </w:pPr>
            <w:r w:rsidRPr="00BD4AA0">
              <w:rPr>
                <w:rFonts w:ascii="Calibri" w:hAnsi="Calibri" w:cs="Calibri"/>
                <w:b/>
                <w:bCs/>
                <w:sz w:val="24"/>
                <w:szCs w:val="24"/>
              </w:rPr>
              <w:t>Domaine d’application :</w:t>
            </w:r>
          </w:p>
        </w:tc>
        <w:tc>
          <w:tcPr>
            <w:tcW w:w="7938" w:type="dxa"/>
            <w:tcBorders>
              <w:top w:val="single" w:sz="18" w:space="0" w:color="auto"/>
              <w:left w:val="single" w:sz="18" w:space="0" w:color="auto"/>
              <w:bottom w:val="single" w:sz="18" w:space="0" w:color="auto"/>
              <w:right w:val="single" w:sz="18" w:space="0" w:color="auto"/>
            </w:tcBorders>
            <w:shd w:val="clear" w:color="auto" w:fill="auto"/>
            <w:vAlign w:val="bottom"/>
          </w:tcPr>
          <w:p w:rsidR="00C47FA7" w:rsidRDefault="00921C0A" w:rsidP="00C47FA7">
            <w:pPr>
              <w:spacing w:after="0" w:line="240" w:lineRule="auto"/>
              <w:jc w:val="both"/>
              <w:rPr>
                <w:sz w:val="24"/>
                <w:szCs w:val="24"/>
              </w:rPr>
            </w:pPr>
            <w:r w:rsidRPr="00BD4AA0">
              <w:rPr>
                <w:sz w:val="24"/>
                <w:szCs w:val="24"/>
              </w:rPr>
              <w:t>La présente Norme Européenne spécifie les exigences techniques et établit les méthodes de contrôle et d'essai ainsi</w:t>
            </w:r>
            <w:r w:rsidR="00C47FA7">
              <w:rPr>
                <w:sz w:val="24"/>
                <w:szCs w:val="24"/>
              </w:rPr>
              <w:t xml:space="preserve"> </w:t>
            </w:r>
            <w:r w:rsidRPr="00BD4AA0">
              <w:rPr>
                <w:sz w:val="24"/>
                <w:szCs w:val="24"/>
              </w:rPr>
              <w:t>que les conditions de réception des plaques profilées en fibres-ciment et de leurs accessoires en fibres-ciment utilisés</w:t>
            </w:r>
            <w:r w:rsidRPr="00BD4AA0">
              <w:rPr>
                <w:sz w:val="24"/>
                <w:szCs w:val="24"/>
              </w:rPr>
              <w:br/>
              <w:t>pour un ou plusieurs usages suivants :</w:t>
            </w:r>
          </w:p>
          <w:p w:rsidR="00C47FA7" w:rsidRDefault="00921C0A" w:rsidP="00C47FA7">
            <w:pPr>
              <w:spacing w:after="0" w:line="240" w:lineRule="auto"/>
              <w:jc w:val="both"/>
              <w:rPr>
                <w:sz w:val="24"/>
                <w:szCs w:val="24"/>
              </w:rPr>
            </w:pPr>
            <w:r w:rsidRPr="00BD4AA0">
              <w:rPr>
                <w:sz w:val="24"/>
                <w:szCs w:val="24"/>
              </w:rPr>
              <w:t>— la toiture ;</w:t>
            </w:r>
          </w:p>
          <w:p w:rsidR="00C47FA7" w:rsidRDefault="00921C0A" w:rsidP="00C47FA7">
            <w:pPr>
              <w:spacing w:after="0" w:line="240" w:lineRule="auto"/>
              <w:jc w:val="both"/>
              <w:rPr>
                <w:sz w:val="24"/>
                <w:szCs w:val="24"/>
              </w:rPr>
            </w:pPr>
            <w:r w:rsidRPr="00BD4AA0">
              <w:rPr>
                <w:sz w:val="24"/>
                <w:szCs w:val="24"/>
              </w:rPr>
              <w:t>— la finition des murs intérieurs ;</w:t>
            </w:r>
          </w:p>
          <w:p w:rsidR="00C47FA7" w:rsidRDefault="00921C0A" w:rsidP="00C47FA7">
            <w:pPr>
              <w:spacing w:after="0" w:line="240" w:lineRule="auto"/>
              <w:jc w:val="both"/>
              <w:rPr>
                <w:sz w:val="24"/>
                <w:szCs w:val="24"/>
              </w:rPr>
            </w:pPr>
            <w:r w:rsidRPr="00BD4AA0">
              <w:rPr>
                <w:sz w:val="24"/>
                <w:szCs w:val="24"/>
              </w:rPr>
              <w:t>— la finition des murs extérieurs et des plafonds.</w:t>
            </w:r>
          </w:p>
          <w:p w:rsidR="00C47FA7" w:rsidRDefault="00921C0A" w:rsidP="00C47FA7">
            <w:pPr>
              <w:spacing w:after="0" w:line="240" w:lineRule="auto"/>
              <w:jc w:val="both"/>
              <w:rPr>
                <w:sz w:val="24"/>
                <w:szCs w:val="24"/>
              </w:rPr>
            </w:pPr>
            <w:r w:rsidRPr="00BD4AA0">
              <w:rPr>
                <w:sz w:val="24"/>
                <w:szCs w:val="24"/>
              </w:rPr>
              <w:t>Pour les besoins de la présente Norme Européenne, les plaques profilées en fibres-ciment ont été classées en</w:t>
            </w:r>
            <w:r w:rsidR="00C47FA7">
              <w:rPr>
                <w:sz w:val="24"/>
                <w:szCs w:val="24"/>
              </w:rPr>
              <w:t xml:space="preserve"> </w:t>
            </w:r>
            <w:r w:rsidRPr="00BD4AA0">
              <w:rPr>
                <w:sz w:val="24"/>
                <w:szCs w:val="24"/>
              </w:rPr>
              <w:t>fonction de leur hauteur d'onde et de leurs caractéristiques mécaniques.</w:t>
            </w:r>
          </w:p>
          <w:p w:rsidR="00C47FA7" w:rsidRDefault="00921C0A" w:rsidP="00C47FA7">
            <w:pPr>
              <w:spacing w:after="0" w:line="240" w:lineRule="auto"/>
              <w:jc w:val="both"/>
              <w:rPr>
                <w:sz w:val="24"/>
                <w:szCs w:val="24"/>
              </w:rPr>
            </w:pPr>
            <w:r w:rsidRPr="00BD4AA0">
              <w:rPr>
                <w:sz w:val="24"/>
                <w:szCs w:val="24"/>
              </w:rPr>
              <w:t>La présente Norme s'applique aux plaques profilées en fibres-ciment renforcées à l'aide de fibres de</w:t>
            </w:r>
            <w:r w:rsidR="00C47FA7">
              <w:rPr>
                <w:sz w:val="24"/>
                <w:szCs w:val="24"/>
              </w:rPr>
              <w:t xml:space="preserve"> </w:t>
            </w:r>
            <w:r w:rsidRPr="00BD4AA0">
              <w:rPr>
                <w:sz w:val="24"/>
                <w:szCs w:val="24"/>
              </w:rPr>
              <w:t>types différents, telles que spécifiées en 5.1.1, avec ou sans revêtement appliqué en usine.</w:t>
            </w:r>
          </w:p>
          <w:p w:rsidR="00C47FA7" w:rsidRDefault="00921C0A" w:rsidP="00C47FA7">
            <w:pPr>
              <w:spacing w:after="0" w:line="240" w:lineRule="auto"/>
              <w:jc w:val="both"/>
              <w:rPr>
                <w:sz w:val="24"/>
                <w:szCs w:val="24"/>
              </w:rPr>
            </w:pPr>
            <w:r w:rsidRPr="00BD4AA0">
              <w:rPr>
                <w:sz w:val="24"/>
                <w:szCs w:val="24"/>
              </w:rPr>
              <w:t>La présente Norme Européenne n'inclut pas les calculs relatifs aux travaux, aux exigences de conception,</w:t>
            </w:r>
            <w:r w:rsidR="00C47FA7">
              <w:rPr>
                <w:sz w:val="24"/>
                <w:szCs w:val="24"/>
              </w:rPr>
              <w:t xml:space="preserve"> </w:t>
            </w:r>
            <w:r w:rsidRPr="00BD4AA0">
              <w:rPr>
                <w:sz w:val="24"/>
                <w:szCs w:val="24"/>
              </w:rPr>
              <w:t>aux techniques de pose, aux soulèvements par le vent ou à l'étanchéité à la pluie des produits déjà posés.</w:t>
            </w:r>
          </w:p>
          <w:p w:rsidR="00921C0A" w:rsidRPr="00C47FA7" w:rsidRDefault="00921C0A" w:rsidP="00C47FA7">
            <w:pPr>
              <w:spacing w:after="0" w:line="240" w:lineRule="auto"/>
              <w:jc w:val="both"/>
              <w:rPr>
                <w:rFonts w:ascii="Times New Roman" w:hAnsi="Times New Roman" w:cs="Times New Roman"/>
                <w:i/>
                <w:iCs/>
                <w:sz w:val="24"/>
                <w:szCs w:val="24"/>
              </w:rPr>
            </w:pPr>
            <w:r w:rsidRPr="00C47FA7">
              <w:rPr>
                <w:b/>
                <w:bCs/>
                <w:i/>
                <w:iCs/>
              </w:rPr>
              <w:t>NOTE</w:t>
            </w:r>
            <w:r w:rsidRPr="00C47FA7">
              <w:rPr>
                <w:i/>
                <w:iCs/>
              </w:rPr>
              <w:t xml:space="preserve"> Certaines de ces exigences peuvent être appliquées, après accord, aux plaques cintrées pour applications</w:t>
            </w:r>
            <w:r w:rsidR="00C47FA7" w:rsidRPr="00C47FA7">
              <w:rPr>
                <w:i/>
                <w:iCs/>
              </w:rPr>
              <w:t xml:space="preserve"> </w:t>
            </w:r>
            <w:r w:rsidRPr="00C47FA7">
              <w:rPr>
                <w:i/>
                <w:iCs/>
              </w:rPr>
              <w:t>spécifiques.</w:t>
            </w:r>
          </w:p>
        </w:tc>
      </w:tr>
      <w:tr w:rsidR="00921C0A" w:rsidRPr="0043547B" w:rsidTr="001E0C3C">
        <w:trPr>
          <w:trHeight w:val="288"/>
          <w:jc w:val="center"/>
        </w:trPr>
        <w:tc>
          <w:tcPr>
            <w:tcW w:w="1838" w:type="dxa"/>
            <w:tcBorders>
              <w:top w:val="single" w:sz="18" w:space="0" w:color="auto"/>
              <w:left w:val="single" w:sz="18" w:space="0" w:color="auto"/>
              <w:bottom w:val="single" w:sz="18" w:space="0" w:color="auto"/>
              <w:right w:val="single" w:sz="18" w:space="0" w:color="auto"/>
            </w:tcBorders>
            <w:shd w:val="clear" w:color="auto" w:fill="C2D69B" w:themeFill="accent3" w:themeFillTint="99"/>
            <w:vAlign w:val="center"/>
          </w:tcPr>
          <w:p w:rsidR="00921C0A" w:rsidRPr="00BD4AA0" w:rsidRDefault="00921C0A" w:rsidP="00C47FA7">
            <w:pPr>
              <w:spacing w:after="0" w:line="240" w:lineRule="auto"/>
              <w:jc w:val="center"/>
              <w:rPr>
                <w:rFonts w:ascii="Calibri" w:hAnsi="Calibri" w:cs="Calibri"/>
                <w:b/>
                <w:bCs/>
                <w:sz w:val="24"/>
                <w:szCs w:val="24"/>
              </w:rPr>
            </w:pPr>
            <w:r w:rsidRPr="00BD4AA0">
              <w:rPr>
                <w:rFonts w:ascii="Calibri" w:hAnsi="Calibri" w:cs="Calibri"/>
                <w:b/>
                <w:bCs/>
                <w:sz w:val="24"/>
                <w:szCs w:val="24"/>
              </w:rPr>
              <w:t>Code :</w:t>
            </w:r>
          </w:p>
        </w:tc>
        <w:tc>
          <w:tcPr>
            <w:tcW w:w="7938" w:type="dxa"/>
            <w:tcBorders>
              <w:top w:val="single" w:sz="18" w:space="0" w:color="auto"/>
              <w:left w:val="single" w:sz="18" w:space="0" w:color="auto"/>
              <w:bottom w:val="single" w:sz="18" w:space="0" w:color="auto"/>
              <w:right w:val="single" w:sz="18" w:space="0" w:color="auto"/>
            </w:tcBorders>
            <w:shd w:val="clear" w:color="auto" w:fill="C2D69B" w:themeFill="accent3" w:themeFillTint="99"/>
            <w:vAlign w:val="center"/>
          </w:tcPr>
          <w:p w:rsidR="00921C0A" w:rsidRPr="00C47FA7" w:rsidRDefault="00921C0A" w:rsidP="00C47FA7">
            <w:pPr>
              <w:spacing w:after="0" w:line="240" w:lineRule="auto"/>
              <w:jc w:val="center"/>
              <w:rPr>
                <w:rFonts w:ascii="Times New Roman" w:hAnsi="Times New Roman" w:cs="Times New Roman"/>
                <w:b/>
                <w:bCs/>
                <w:sz w:val="24"/>
                <w:szCs w:val="24"/>
              </w:rPr>
            </w:pPr>
            <w:r w:rsidRPr="00C47FA7">
              <w:rPr>
                <w:b/>
                <w:bCs/>
                <w:sz w:val="24"/>
                <w:szCs w:val="24"/>
              </w:rPr>
              <w:t>NM EN 520</w:t>
            </w:r>
          </w:p>
        </w:tc>
      </w:tr>
      <w:tr w:rsidR="00921C0A" w:rsidRPr="0043547B" w:rsidTr="001E0C3C">
        <w:trPr>
          <w:trHeight w:val="170"/>
          <w:jc w:val="center"/>
        </w:trPr>
        <w:tc>
          <w:tcPr>
            <w:tcW w:w="1838" w:type="dxa"/>
            <w:tcBorders>
              <w:top w:val="single" w:sz="18" w:space="0" w:color="auto"/>
              <w:left w:val="single" w:sz="18" w:space="0" w:color="auto"/>
              <w:bottom w:val="single" w:sz="18" w:space="0" w:color="auto"/>
              <w:right w:val="single" w:sz="18" w:space="0" w:color="auto"/>
            </w:tcBorders>
            <w:shd w:val="clear" w:color="auto" w:fill="FFFF66"/>
            <w:vAlign w:val="center"/>
          </w:tcPr>
          <w:p w:rsidR="00921C0A" w:rsidRPr="00BD4AA0" w:rsidRDefault="00921C0A" w:rsidP="00075E4C">
            <w:pPr>
              <w:spacing w:after="0" w:line="240" w:lineRule="auto"/>
              <w:jc w:val="center"/>
              <w:rPr>
                <w:rFonts w:ascii="Calibri" w:hAnsi="Calibri" w:cs="Calibri"/>
                <w:b/>
                <w:bCs/>
                <w:sz w:val="24"/>
                <w:szCs w:val="24"/>
              </w:rPr>
            </w:pPr>
            <w:r w:rsidRPr="00BD4AA0">
              <w:rPr>
                <w:rFonts w:ascii="Calibri" w:hAnsi="Calibri" w:cs="Calibri"/>
                <w:b/>
                <w:bCs/>
                <w:sz w:val="24"/>
                <w:szCs w:val="24"/>
              </w:rPr>
              <w:t>Equivalence :</w:t>
            </w:r>
          </w:p>
        </w:tc>
        <w:tc>
          <w:tcPr>
            <w:tcW w:w="7938" w:type="dxa"/>
            <w:tcBorders>
              <w:top w:val="single" w:sz="18" w:space="0" w:color="auto"/>
              <w:left w:val="single" w:sz="18" w:space="0" w:color="auto"/>
              <w:bottom w:val="single" w:sz="18" w:space="0" w:color="auto"/>
              <w:right w:val="single" w:sz="18" w:space="0" w:color="auto"/>
            </w:tcBorders>
            <w:shd w:val="clear" w:color="auto" w:fill="FFFF66"/>
            <w:vAlign w:val="center"/>
          </w:tcPr>
          <w:p w:rsidR="00921C0A" w:rsidRPr="00C47FA7" w:rsidRDefault="00921C0A" w:rsidP="00C47FA7">
            <w:pPr>
              <w:spacing w:after="0" w:line="240" w:lineRule="auto"/>
              <w:jc w:val="center"/>
              <w:rPr>
                <w:rFonts w:ascii="Times New Roman" w:hAnsi="Times New Roman" w:cs="Times New Roman"/>
                <w:b/>
                <w:bCs/>
                <w:sz w:val="24"/>
                <w:szCs w:val="24"/>
              </w:rPr>
            </w:pPr>
            <w:r w:rsidRPr="00C47FA7">
              <w:rPr>
                <w:b/>
                <w:bCs/>
                <w:sz w:val="24"/>
                <w:szCs w:val="24"/>
              </w:rPr>
              <w:t>EN 520</w:t>
            </w:r>
          </w:p>
        </w:tc>
      </w:tr>
      <w:tr w:rsidR="00921C0A" w:rsidRPr="0043547B" w:rsidTr="001E0C3C">
        <w:trPr>
          <w:trHeight w:val="433"/>
          <w:jc w:val="center"/>
        </w:trPr>
        <w:tc>
          <w:tcPr>
            <w:tcW w:w="1838" w:type="dxa"/>
            <w:tcBorders>
              <w:top w:val="single" w:sz="18" w:space="0" w:color="auto"/>
              <w:left w:val="single" w:sz="18" w:space="0" w:color="auto"/>
              <w:bottom w:val="single" w:sz="4" w:space="0" w:color="auto"/>
              <w:right w:val="single" w:sz="18" w:space="0" w:color="auto"/>
            </w:tcBorders>
            <w:shd w:val="clear" w:color="auto" w:fill="95B3D7" w:themeFill="accent1" w:themeFillTint="99"/>
            <w:vAlign w:val="center"/>
          </w:tcPr>
          <w:p w:rsidR="00921C0A" w:rsidRPr="00BD4AA0" w:rsidRDefault="00921C0A" w:rsidP="00075E4C">
            <w:pPr>
              <w:spacing w:after="0" w:line="240" w:lineRule="auto"/>
              <w:jc w:val="center"/>
              <w:rPr>
                <w:rFonts w:ascii="Calibri" w:hAnsi="Calibri" w:cs="Calibri"/>
                <w:b/>
                <w:bCs/>
                <w:sz w:val="24"/>
                <w:szCs w:val="24"/>
              </w:rPr>
            </w:pPr>
            <w:r w:rsidRPr="00BD4AA0">
              <w:rPr>
                <w:rFonts w:ascii="Calibri" w:hAnsi="Calibri" w:cs="Calibri"/>
                <w:b/>
                <w:bCs/>
                <w:sz w:val="24"/>
                <w:szCs w:val="24"/>
              </w:rPr>
              <w:lastRenderedPageBreak/>
              <w:t>Intitulé :</w:t>
            </w:r>
          </w:p>
        </w:tc>
        <w:tc>
          <w:tcPr>
            <w:tcW w:w="7938" w:type="dxa"/>
            <w:tcBorders>
              <w:top w:val="single" w:sz="18" w:space="0" w:color="auto"/>
              <w:left w:val="single" w:sz="18" w:space="0" w:color="auto"/>
              <w:bottom w:val="single" w:sz="4" w:space="0" w:color="auto"/>
              <w:right w:val="single" w:sz="18" w:space="0" w:color="auto"/>
            </w:tcBorders>
            <w:shd w:val="clear" w:color="auto" w:fill="auto"/>
          </w:tcPr>
          <w:p w:rsidR="00921C0A" w:rsidRPr="00BD4AA0" w:rsidRDefault="00921C0A" w:rsidP="00C47FA7">
            <w:pPr>
              <w:spacing w:after="0" w:line="240" w:lineRule="auto"/>
              <w:rPr>
                <w:rFonts w:ascii="Times New Roman" w:hAnsi="Times New Roman" w:cs="Times New Roman"/>
                <w:sz w:val="24"/>
                <w:szCs w:val="24"/>
              </w:rPr>
            </w:pPr>
            <w:r w:rsidRPr="00BD4AA0">
              <w:rPr>
                <w:sz w:val="24"/>
                <w:szCs w:val="24"/>
              </w:rPr>
              <w:t xml:space="preserve">Plaques de plâtre - Définitions, spécifications et méthodes d’essai </w:t>
            </w:r>
          </w:p>
        </w:tc>
      </w:tr>
      <w:tr w:rsidR="00921C0A" w:rsidRPr="0043547B" w:rsidTr="001E0C3C">
        <w:trPr>
          <w:trHeight w:val="799"/>
          <w:jc w:val="center"/>
        </w:trPr>
        <w:tc>
          <w:tcPr>
            <w:tcW w:w="1838" w:type="dxa"/>
            <w:tcBorders>
              <w:top w:val="single" w:sz="4" w:space="0" w:color="auto"/>
              <w:left w:val="single" w:sz="18" w:space="0" w:color="auto"/>
              <w:bottom w:val="single" w:sz="18" w:space="0" w:color="auto"/>
              <w:right w:val="single" w:sz="18" w:space="0" w:color="auto"/>
            </w:tcBorders>
            <w:shd w:val="clear" w:color="000000" w:fill="D9D9D9"/>
            <w:vAlign w:val="center"/>
          </w:tcPr>
          <w:p w:rsidR="00921C0A" w:rsidRPr="00BD4AA0" w:rsidRDefault="00921C0A" w:rsidP="00075E4C">
            <w:pPr>
              <w:spacing w:after="0" w:line="240" w:lineRule="auto"/>
              <w:jc w:val="center"/>
              <w:rPr>
                <w:rFonts w:ascii="Calibri" w:hAnsi="Calibri" w:cs="Calibri"/>
                <w:b/>
                <w:bCs/>
                <w:sz w:val="24"/>
                <w:szCs w:val="24"/>
              </w:rPr>
            </w:pPr>
            <w:r w:rsidRPr="00BD4AA0">
              <w:rPr>
                <w:rFonts w:ascii="Calibri" w:hAnsi="Calibri" w:cs="Calibri"/>
                <w:b/>
                <w:bCs/>
                <w:sz w:val="24"/>
                <w:szCs w:val="24"/>
              </w:rPr>
              <w:t>Domaine d’application :</w:t>
            </w:r>
          </w:p>
        </w:tc>
        <w:tc>
          <w:tcPr>
            <w:tcW w:w="7938" w:type="dxa"/>
            <w:tcBorders>
              <w:top w:val="single" w:sz="4" w:space="0" w:color="auto"/>
              <w:left w:val="single" w:sz="18" w:space="0" w:color="auto"/>
              <w:bottom w:val="single" w:sz="18" w:space="0" w:color="auto"/>
              <w:right w:val="single" w:sz="18" w:space="0" w:color="auto"/>
            </w:tcBorders>
            <w:shd w:val="clear" w:color="auto" w:fill="auto"/>
            <w:vAlign w:val="bottom"/>
          </w:tcPr>
          <w:p w:rsidR="00075E4C" w:rsidRDefault="00921C0A" w:rsidP="00075E4C">
            <w:pPr>
              <w:spacing w:after="0" w:line="240" w:lineRule="auto"/>
              <w:jc w:val="both"/>
              <w:rPr>
                <w:sz w:val="24"/>
                <w:szCs w:val="24"/>
              </w:rPr>
            </w:pPr>
            <w:r w:rsidRPr="00BD4AA0">
              <w:rPr>
                <w:sz w:val="24"/>
                <w:szCs w:val="24"/>
              </w:rPr>
              <w:t>Le présent document définit les caractéristiques et les performances des plaques de plâtre conçues pour être</w:t>
            </w:r>
            <w:r w:rsidR="00075E4C">
              <w:rPr>
                <w:sz w:val="24"/>
                <w:szCs w:val="24"/>
              </w:rPr>
              <w:t xml:space="preserve"> </w:t>
            </w:r>
            <w:r w:rsidRPr="00BD4AA0">
              <w:rPr>
                <w:sz w:val="24"/>
                <w:szCs w:val="24"/>
              </w:rPr>
              <w:t>utilisées dans des ouvrages de construction, y</w:t>
            </w:r>
            <w:r w:rsidR="00075E4C">
              <w:rPr>
                <w:sz w:val="24"/>
                <w:szCs w:val="24"/>
              </w:rPr>
              <w:t xml:space="preserve"> </w:t>
            </w:r>
            <w:r w:rsidRPr="00BD4AA0">
              <w:rPr>
                <w:sz w:val="24"/>
                <w:szCs w:val="24"/>
              </w:rPr>
              <w:t>compris celles conçues pour des opérations de fabrication</w:t>
            </w:r>
            <w:r w:rsidR="00075E4C">
              <w:rPr>
                <w:sz w:val="24"/>
                <w:szCs w:val="24"/>
              </w:rPr>
              <w:t xml:space="preserve"> </w:t>
            </w:r>
            <w:r w:rsidRPr="00BD4AA0">
              <w:rPr>
                <w:sz w:val="24"/>
                <w:szCs w:val="24"/>
              </w:rPr>
              <w:t>secondaires. Il inclut les plaques destinées à recevoir directement une finition sur leur face ou un enduit au plâtre.</w:t>
            </w:r>
          </w:p>
          <w:p w:rsidR="00075E4C" w:rsidRDefault="00921C0A" w:rsidP="00075E4C">
            <w:pPr>
              <w:spacing w:after="0" w:line="240" w:lineRule="auto"/>
              <w:jc w:val="both"/>
              <w:rPr>
                <w:sz w:val="24"/>
                <w:szCs w:val="24"/>
              </w:rPr>
            </w:pPr>
            <w:r w:rsidRPr="00BD4AA0">
              <w:rPr>
                <w:sz w:val="24"/>
                <w:szCs w:val="24"/>
              </w:rPr>
              <w:t>Le présent document couvre les caractéristiques de performance suivantes du produit : réaction au feu, perméabilité</w:t>
            </w:r>
            <w:r w:rsidR="00075E4C">
              <w:rPr>
                <w:sz w:val="24"/>
                <w:szCs w:val="24"/>
              </w:rPr>
              <w:t xml:space="preserve"> </w:t>
            </w:r>
            <w:r w:rsidRPr="00BD4AA0">
              <w:rPr>
                <w:sz w:val="24"/>
                <w:szCs w:val="24"/>
              </w:rPr>
              <w:t>à la vapeur d'eau, résistance à la flexion (charge de rupture), résistance aux chocs et résistance thermique.</w:t>
            </w:r>
          </w:p>
          <w:p w:rsidR="00075E4C" w:rsidRDefault="00921C0A" w:rsidP="00075E4C">
            <w:pPr>
              <w:spacing w:after="0" w:line="240" w:lineRule="auto"/>
              <w:jc w:val="both"/>
              <w:rPr>
                <w:sz w:val="24"/>
                <w:szCs w:val="24"/>
              </w:rPr>
            </w:pPr>
            <w:r w:rsidRPr="00BD4AA0">
              <w:rPr>
                <w:sz w:val="24"/>
                <w:szCs w:val="24"/>
              </w:rPr>
              <w:t>Les caractéristiques de performances suivantes sont liées à des systèmes assemblés avec des plaques de plâtre :</w:t>
            </w:r>
          </w:p>
          <w:p w:rsidR="00075E4C" w:rsidRDefault="00921C0A" w:rsidP="00075E4C">
            <w:pPr>
              <w:spacing w:after="0" w:line="240" w:lineRule="auto"/>
              <w:jc w:val="both"/>
              <w:rPr>
                <w:sz w:val="24"/>
                <w:szCs w:val="24"/>
              </w:rPr>
            </w:pPr>
            <w:r w:rsidRPr="00BD4AA0">
              <w:rPr>
                <w:sz w:val="24"/>
                <w:szCs w:val="24"/>
              </w:rPr>
              <w:t>résistance au cisaillement, résistance au feu, résistance aux impacts, isolation acoustique aux bruits aériens,</w:t>
            </w:r>
            <w:r w:rsidR="00075E4C">
              <w:rPr>
                <w:sz w:val="24"/>
                <w:szCs w:val="24"/>
              </w:rPr>
              <w:t xml:space="preserve"> </w:t>
            </w:r>
            <w:r w:rsidRPr="00BD4AA0">
              <w:rPr>
                <w:sz w:val="24"/>
                <w:szCs w:val="24"/>
              </w:rPr>
              <w:t>absorption acoustique, qui doivent être mesurées conformément aux méthodes d'essai européennes</w:t>
            </w:r>
            <w:r w:rsidR="00075E4C">
              <w:rPr>
                <w:sz w:val="24"/>
                <w:szCs w:val="24"/>
              </w:rPr>
              <w:t xml:space="preserve"> </w:t>
            </w:r>
            <w:r w:rsidRPr="00BD4AA0">
              <w:rPr>
                <w:sz w:val="24"/>
                <w:szCs w:val="24"/>
              </w:rPr>
              <w:t>correspondantes. Au besoin, il convient d’effectuer des essais sur des systèmes assemblés qui simulent les</w:t>
            </w:r>
            <w:r w:rsidRPr="00BD4AA0">
              <w:rPr>
                <w:sz w:val="24"/>
                <w:szCs w:val="24"/>
              </w:rPr>
              <w:br/>
              <w:t>conditions d'utilisation finale.</w:t>
            </w:r>
          </w:p>
          <w:p w:rsidR="00075E4C" w:rsidRDefault="00921C0A" w:rsidP="00075E4C">
            <w:pPr>
              <w:spacing w:after="0" w:line="240" w:lineRule="auto"/>
              <w:jc w:val="both"/>
              <w:rPr>
                <w:sz w:val="24"/>
                <w:szCs w:val="24"/>
              </w:rPr>
            </w:pPr>
            <w:r w:rsidRPr="00BD4AA0">
              <w:rPr>
                <w:sz w:val="24"/>
                <w:szCs w:val="24"/>
              </w:rPr>
              <w:t>Le présent document couvre également les caractéristiques techniques supplémentaires qui ont une incidence sur</w:t>
            </w:r>
            <w:r w:rsidR="00075E4C">
              <w:rPr>
                <w:sz w:val="24"/>
                <w:szCs w:val="24"/>
              </w:rPr>
              <w:t xml:space="preserve"> </w:t>
            </w:r>
            <w:r w:rsidRPr="00BD4AA0">
              <w:rPr>
                <w:sz w:val="24"/>
                <w:szCs w:val="24"/>
              </w:rPr>
              <w:t>l'utilisation et la réception du produit par l'Industrie du Bâtiment et sur les essais de référence de ces caractéristiques.</w:t>
            </w:r>
          </w:p>
          <w:p w:rsidR="00921C0A" w:rsidRPr="00BD4AA0" w:rsidRDefault="00921C0A" w:rsidP="00075E4C">
            <w:pPr>
              <w:spacing w:after="0" w:line="240" w:lineRule="auto"/>
              <w:jc w:val="both"/>
              <w:rPr>
                <w:rFonts w:ascii="Times New Roman" w:hAnsi="Times New Roman" w:cs="Times New Roman"/>
                <w:sz w:val="24"/>
                <w:szCs w:val="24"/>
              </w:rPr>
            </w:pPr>
            <w:r w:rsidRPr="00BD4AA0">
              <w:rPr>
                <w:sz w:val="24"/>
                <w:szCs w:val="24"/>
              </w:rPr>
              <w:t>Elle permet l'évaluation de la conformité du produit au présent document.</w:t>
            </w:r>
            <w:r w:rsidRPr="00BD4AA0">
              <w:rPr>
                <w:sz w:val="24"/>
                <w:szCs w:val="24"/>
              </w:rPr>
              <w:br/>
              <w:t>Le présent document ne couvre pas les plaques de plâtre qui ont subi des opérations de transformation secondaires</w:t>
            </w:r>
            <w:r w:rsidR="00075E4C">
              <w:rPr>
                <w:sz w:val="24"/>
                <w:szCs w:val="24"/>
              </w:rPr>
              <w:t xml:space="preserve"> </w:t>
            </w:r>
            <w:r w:rsidRPr="00BD4AA0">
              <w:rPr>
                <w:sz w:val="24"/>
                <w:szCs w:val="24"/>
              </w:rPr>
              <w:t>diverses (par exemple, les complexes d'isolation, les plaques avec revêtements minces, etc.)</w:t>
            </w:r>
          </w:p>
        </w:tc>
      </w:tr>
      <w:tr w:rsidR="00921C0A" w:rsidRPr="0043547B" w:rsidTr="001E0C3C">
        <w:trPr>
          <w:trHeight w:val="361"/>
          <w:jc w:val="center"/>
        </w:trPr>
        <w:tc>
          <w:tcPr>
            <w:tcW w:w="1838" w:type="dxa"/>
            <w:tcBorders>
              <w:top w:val="single" w:sz="18" w:space="0" w:color="auto"/>
              <w:left w:val="single" w:sz="18" w:space="0" w:color="auto"/>
              <w:bottom w:val="single" w:sz="18" w:space="0" w:color="auto"/>
              <w:right w:val="single" w:sz="18" w:space="0" w:color="auto"/>
            </w:tcBorders>
            <w:shd w:val="clear" w:color="auto" w:fill="C2D69B" w:themeFill="accent3" w:themeFillTint="99"/>
            <w:vAlign w:val="center"/>
          </w:tcPr>
          <w:p w:rsidR="00921C0A" w:rsidRPr="00BD4AA0" w:rsidRDefault="00921C0A" w:rsidP="00075E4C">
            <w:pPr>
              <w:spacing w:after="0" w:line="240" w:lineRule="auto"/>
              <w:jc w:val="center"/>
              <w:rPr>
                <w:rFonts w:ascii="Calibri" w:hAnsi="Calibri" w:cs="Calibri"/>
                <w:b/>
                <w:bCs/>
                <w:sz w:val="24"/>
                <w:szCs w:val="24"/>
              </w:rPr>
            </w:pPr>
            <w:r w:rsidRPr="00BD4AA0">
              <w:rPr>
                <w:rFonts w:ascii="Calibri" w:hAnsi="Calibri" w:cs="Calibri"/>
                <w:b/>
                <w:bCs/>
                <w:sz w:val="24"/>
                <w:szCs w:val="24"/>
              </w:rPr>
              <w:t>Code :</w:t>
            </w:r>
          </w:p>
        </w:tc>
        <w:tc>
          <w:tcPr>
            <w:tcW w:w="7938" w:type="dxa"/>
            <w:tcBorders>
              <w:top w:val="single" w:sz="18" w:space="0" w:color="auto"/>
              <w:left w:val="single" w:sz="18" w:space="0" w:color="auto"/>
              <w:bottom w:val="single" w:sz="18" w:space="0" w:color="auto"/>
              <w:right w:val="single" w:sz="18" w:space="0" w:color="auto"/>
            </w:tcBorders>
            <w:shd w:val="clear" w:color="auto" w:fill="C2D69B" w:themeFill="accent3" w:themeFillTint="99"/>
            <w:vAlign w:val="center"/>
          </w:tcPr>
          <w:p w:rsidR="00921C0A" w:rsidRPr="00075E4C" w:rsidRDefault="00921C0A" w:rsidP="00075E4C">
            <w:pPr>
              <w:spacing w:after="0" w:line="240" w:lineRule="auto"/>
              <w:jc w:val="center"/>
              <w:rPr>
                <w:rFonts w:ascii="Times New Roman" w:hAnsi="Times New Roman" w:cs="Times New Roman"/>
                <w:b/>
                <w:bCs/>
                <w:sz w:val="24"/>
                <w:szCs w:val="24"/>
              </w:rPr>
            </w:pPr>
            <w:r w:rsidRPr="00075E4C">
              <w:rPr>
                <w:b/>
                <w:bCs/>
                <w:sz w:val="24"/>
                <w:szCs w:val="24"/>
              </w:rPr>
              <w:t>NM EN 1013</w:t>
            </w:r>
          </w:p>
        </w:tc>
      </w:tr>
      <w:tr w:rsidR="00921C0A" w:rsidRPr="0043547B" w:rsidTr="001E0C3C">
        <w:trPr>
          <w:trHeight w:val="341"/>
          <w:jc w:val="center"/>
        </w:trPr>
        <w:tc>
          <w:tcPr>
            <w:tcW w:w="1838" w:type="dxa"/>
            <w:tcBorders>
              <w:top w:val="single" w:sz="18" w:space="0" w:color="auto"/>
              <w:left w:val="single" w:sz="18" w:space="0" w:color="auto"/>
              <w:bottom w:val="single" w:sz="18" w:space="0" w:color="auto"/>
              <w:right w:val="single" w:sz="18" w:space="0" w:color="auto"/>
            </w:tcBorders>
            <w:shd w:val="clear" w:color="auto" w:fill="FFFF66"/>
            <w:vAlign w:val="center"/>
          </w:tcPr>
          <w:p w:rsidR="00921C0A" w:rsidRPr="00BD4AA0" w:rsidRDefault="00921C0A" w:rsidP="00075E4C">
            <w:pPr>
              <w:spacing w:after="0" w:line="240" w:lineRule="auto"/>
              <w:jc w:val="center"/>
              <w:rPr>
                <w:rFonts w:ascii="Calibri" w:hAnsi="Calibri" w:cs="Calibri"/>
                <w:b/>
                <w:bCs/>
                <w:sz w:val="24"/>
                <w:szCs w:val="24"/>
              </w:rPr>
            </w:pPr>
            <w:r w:rsidRPr="00BD4AA0">
              <w:rPr>
                <w:rFonts w:ascii="Calibri" w:hAnsi="Calibri" w:cs="Calibri"/>
                <w:b/>
                <w:bCs/>
                <w:sz w:val="24"/>
                <w:szCs w:val="24"/>
              </w:rPr>
              <w:t>Equivalence :</w:t>
            </w:r>
          </w:p>
        </w:tc>
        <w:tc>
          <w:tcPr>
            <w:tcW w:w="7938" w:type="dxa"/>
            <w:tcBorders>
              <w:top w:val="single" w:sz="18" w:space="0" w:color="auto"/>
              <w:left w:val="single" w:sz="18" w:space="0" w:color="auto"/>
              <w:bottom w:val="single" w:sz="18" w:space="0" w:color="auto"/>
              <w:right w:val="single" w:sz="18" w:space="0" w:color="auto"/>
            </w:tcBorders>
            <w:shd w:val="clear" w:color="auto" w:fill="FFFF66"/>
            <w:vAlign w:val="center"/>
          </w:tcPr>
          <w:p w:rsidR="00921C0A" w:rsidRPr="00075E4C" w:rsidRDefault="00921C0A" w:rsidP="00075E4C">
            <w:pPr>
              <w:spacing w:after="0" w:line="240" w:lineRule="auto"/>
              <w:jc w:val="center"/>
              <w:rPr>
                <w:rFonts w:ascii="Times New Roman" w:hAnsi="Times New Roman" w:cs="Times New Roman"/>
                <w:b/>
                <w:bCs/>
                <w:sz w:val="24"/>
                <w:szCs w:val="24"/>
              </w:rPr>
            </w:pPr>
            <w:r w:rsidRPr="00075E4C">
              <w:rPr>
                <w:b/>
                <w:bCs/>
                <w:sz w:val="24"/>
                <w:szCs w:val="24"/>
              </w:rPr>
              <w:t>EN 1013</w:t>
            </w:r>
          </w:p>
        </w:tc>
      </w:tr>
      <w:tr w:rsidR="00921C0A" w:rsidRPr="0043547B" w:rsidTr="001E0C3C">
        <w:trPr>
          <w:trHeight w:val="799"/>
          <w:jc w:val="center"/>
        </w:trPr>
        <w:tc>
          <w:tcPr>
            <w:tcW w:w="1838" w:type="dxa"/>
            <w:tcBorders>
              <w:top w:val="single" w:sz="18" w:space="0" w:color="auto"/>
              <w:left w:val="single" w:sz="18" w:space="0" w:color="auto"/>
              <w:bottom w:val="single" w:sz="4" w:space="0" w:color="auto"/>
              <w:right w:val="single" w:sz="18" w:space="0" w:color="auto"/>
            </w:tcBorders>
            <w:shd w:val="clear" w:color="auto" w:fill="95B3D7" w:themeFill="accent1" w:themeFillTint="99"/>
            <w:vAlign w:val="center"/>
          </w:tcPr>
          <w:p w:rsidR="00921C0A" w:rsidRPr="00BD4AA0" w:rsidRDefault="00921C0A" w:rsidP="00075E4C">
            <w:pPr>
              <w:spacing w:after="0" w:line="240" w:lineRule="auto"/>
              <w:jc w:val="center"/>
              <w:rPr>
                <w:rFonts w:ascii="Calibri" w:hAnsi="Calibri" w:cs="Calibri"/>
                <w:b/>
                <w:bCs/>
                <w:sz w:val="24"/>
                <w:szCs w:val="24"/>
              </w:rPr>
            </w:pPr>
            <w:r w:rsidRPr="00BD4AA0">
              <w:rPr>
                <w:rFonts w:ascii="Calibri" w:hAnsi="Calibri" w:cs="Calibri"/>
                <w:b/>
                <w:bCs/>
                <w:sz w:val="24"/>
                <w:szCs w:val="24"/>
              </w:rPr>
              <w:t>Intitulé :</w:t>
            </w:r>
          </w:p>
        </w:tc>
        <w:tc>
          <w:tcPr>
            <w:tcW w:w="7938" w:type="dxa"/>
            <w:tcBorders>
              <w:top w:val="single" w:sz="18" w:space="0" w:color="auto"/>
              <w:left w:val="single" w:sz="18" w:space="0" w:color="auto"/>
              <w:bottom w:val="single" w:sz="4" w:space="0" w:color="auto"/>
              <w:right w:val="single" w:sz="18" w:space="0" w:color="auto"/>
            </w:tcBorders>
            <w:shd w:val="clear" w:color="auto" w:fill="auto"/>
            <w:vAlign w:val="bottom"/>
          </w:tcPr>
          <w:p w:rsidR="00921C0A" w:rsidRPr="00BD4AA0" w:rsidRDefault="00921C0A" w:rsidP="00BD4AA0">
            <w:pPr>
              <w:spacing w:after="0" w:line="240" w:lineRule="auto"/>
              <w:jc w:val="both"/>
              <w:rPr>
                <w:rFonts w:ascii="Times New Roman" w:hAnsi="Times New Roman" w:cs="Times New Roman"/>
                <w:sz w:val="24"/>
                <w:szCs w:val="24"/>
              </w:rPr>
            </w:pPr>
            <w:r w:rsidRPr="00BD4AA0">
              <w:rPr>
                <w:sz w:val="24"/>
                <w:szCs w:val="24"/>
              </w:rPr>
              <w:t>Plaques d’éclairement profilées, simple paroi, en matière plastique, pour toitures, bardages et plafonds intérieurs et extérieurs - Exigences et</w:t>
            </w:r>
            <w:r w:rsidRPr="00BD4AA0">
              <w:rPr>
                <w:sz w:val="24"/>
                <w:szCs w:val="24"/>
              </w:rPr>
              <w:br/>
              <w:t xml:space="preserve">méthodes d’essai </w:t>
            </w:r>
          </w:p>
        </w:tc>
      </w:tr>
      <w:tr w:rsidR="00921C0A" w:rsidRPr="0043547B" w:rsidTr="001E0C3C">
        <w:trPr>
          <w:trHeight w:val="799"/>
          <w:jc w:val="center"/>
        </w:trPr>
        <w:tc>
          <w:tcPr>
            <w:tcW w:w="1838" w:type="dxa"/>
            <w:tcBorders>
              <w:top w:val="single" w:sz="4" w:space="0" w:color="auto"/>
              <w:left w:val="single" w:sz="18" w:space="0" w:color="auto"/>
              <w:bottom w:val="single" w:sz="18" w:space="0" w:color="auto"/>
              <w:right w:val="single" w:sz="18" w:space="0" w:color="auto"/>
            </w:tcBorders>
            <w:shd w:val="clear" w:color="000000" w:fill="D9D9D9"/>
            <w:vAlign w:val="center"/>
          </w:tcPr>
          <w:p w:rsidR="00921C0A" w:rsidRPr="00BD4AA0" w:rsidRDefault="00921C0A" w:rsidP="00075E4C">
            <w:pPr>
              <w:jc w:val="center"/>
              <w:rPr>
                <w:rFonts w:ascii="Calibri" w:hAnsi="Calibri" w:cs="Calibri"/>
                <w:b/>
                <w:bCs/>
                <w:sz w:val="24"/>
                <w:szCs w:val="24"/>
              </w:rPr>
            </w:pPr>
            <w:r w:rsidRPr="00BD4AA0">
              <w:rPr>
                <w:rFonts w:ascii="Calibri" w:hAnsi="Calibri" w:cs="Calibri"/>
                <w:b/>
                <w:bCs/>
                <w:sz w:val="24"/>
                <w:szCs w:val="24"/>
              </w:rPr>
              <w:t>Domaine d’application :</w:t>
            </w:r>
          </w:p>
        </w:tc>
        <w:tc>
          <w:tcPr>
            <w:tcW w:w="7938" w:type="dxa"/>
            <w:tcBorders>
              <w:top w:val="single" w:sz="4" w:space="0" w:color="auto"/>
              <w:left w:val="single" w:sz="18" w:space="0" w:color="auto"/>
              <w:bottom w:val="single" w:sz="18" w:space="0" w:color="auto"/>
              <w:right w:val="single" w:sz="18" w:space="0" w:color="auto"/>
            </w:tcBorders>
            <w:shd w:val="clear" w:color="auto" w:fill="auto"/>
            <w:vAlign w:val="bottom"/>
          </w:tcPr>
          <w:p w:rsidR="00921C0A" w:rsidRPr="00BD4AA0" w:rsidRDefault="00921C0A" w:rsidP="00075E4C">
            <w:pPr>
              <w:spacing w:after="0" w:line="240" w:lineRule="auto"/>
              <w:jc w:val="both"/>
              <w:rPr>
                <w:rFonts w:ascii="Times New Roman" w:hAnsi="Times New Roman" w:cs="Times New Roman"/>
                <w:sz w:val="24"/>
                <w:szCs w:val="24"/>
              </w:rPr>
            </w:pPr>
            <w:r w:rsidRPr="00BD4AA0">
              <w:rPr>
                <w:sz w:val="24"/>
                <w:szCs w:val="24"/>
              </w:rPr>
              <w:t>La présente Norme européenne spécifie les exigences relatives aux plaques d'éclairement profilées, simple paroi,</w:t>
            </w:r>
            <w:r w:rsidR="00075E4C">
              <w:rPr>
                <w:sz w:val="24"/>
                <w:szCs w:val="24"/>
              </w:rPr>
              <w:t xml:space="preserve"> </w:t>
            </w:r>
            <w:r w:rsidRPr="00BD4AA0">
              <w:rPr>
                <w:sz w:val="24"/>
                <w:szCs w:val="24"/>
              </w:rPr>
              <w:t>en matière plastique pour toitures, bardages et plafonds, intérieurs et extérieurs. Elle est applicable aux plaques</w:t>
            </w:r>
            <w:r w:rsidRPr="00BD4AA0">
              <w:rPr>
                <w:sz w:val="24"/>
                <w:szCs w:val="24"/>
              </w:rPr>
              <w:br/>
              <w:t xml:space="preserve">simple paroi qui sont mise en </w:t>
            </w:r>
            <w:r w:rsidR="00075E4C" w:rsidRPr="00BD4AA0">
              <w:rPr>
                <w:sz w:val="24"/>
                <w:szCs w:val="24"/>
              </w:rPr>
              <w:t>œuvre</w:t>
            </w:r>
            <w:r w:rsidRPr="00BD4AA0">
              <w:rPr>
                <w:sz w:val="24"/>
                <w:szCs w:val="24"/>
              </w:rPr>
              <w:t xml:space="preserve"> sous forme d'une couche unique ou assemblées pour former une construction</w:t>
            </w:r>
            <w:r w:rsidR="00075E4C">
              <w:rPr>
                <w:sz w:val="24"/>
                <w:szCs w:val="24"/>
              </w:rPr>
              <w:t xml:space="preserve"> </w:t>
            </w:r>
            <w:r w:rsidRPr="00BD4AA0">
              <w:rPr>
                <w:sz w:val="24"/>
                <w:szCs w:val="24"/>
              </w:rPr>
              <w:t>à plusieurs couches.</w:t>
            </w:r>
            <w:r w:rsidRPr="00BD4AA0">
              <w:rPr>
                <w:sz w:val="24"/>
                <w:szCs w:val="24"/>
              </w:rPr>
              <w:br/>
              <w:t>Elle spécifie également les méthodes d'essai ainsi que l'évaluation de la conformité et le marquage des plaques.</w:t>
            </w:r>
          </w:p>
        </w:tc>
      </w:tr>
      <w:tr w:rsidR="00921C0A" w:rsidRPr="0043547B" w:rsidTr="001E0C3C">
        <w:trPr>
          <w:trHeight w:val="302"/>
          <w:jc w:val="center"/>
        </w:trPr>
        <w:tc>
          <w:tcPr>
            <w:tcW w:w="1838" w:type="dxa"/>
            <w:tcBorders>
              <w:top w:val="single" w:sz="18" w:space="0" w:color="auto"/>
              <w:left w:val="single" w:sz="18" w:space="0" w:color="auto"/>
              <w:bottom w:val="single" w:sz="18" w:space="0" w:color="auto"/>
              <w:right w:val="single" w:sz="18" w:space="0" w:color="auto"/>
            </w:tcBorders>
            <w:shd w:val="clear" w:color="auto" w:fill="C2D69B" w:themeFill="accent3" w:themeFillTint="99"/>
            <w:vAlign w:val="center"/>
          </w:tcPr>
          <w:p w:rsidR="00921C0A" w:rsidRPr="00BD4AA0" w:rsidRDefault="00921C0A" w:rsidP="00075E4C">
            <w:pPr>
              <w:spacing w:after="0" w:line="240" w:lineRule="auto"/>
              <w:jc w:val="center"/>
              <w:rPr>
                <w:rFonts w:ascii="Calibri" w:hAnsi="Calibri" w:cs="Calibri"/>
                <w:b/>
                <w:bCs/>
                <w:sz w:val="24"/>
                <w:szCs w:val="24"/>
              </w:rPr>
            </w:pPr>
            <w:r w:rsidRPr="00BD4AA0">
              <w:rPr>
                <w:rFonts w:ascii="Calibri" w:hAnsi="Calibri" w:cs="Calibri"/>
                <w:b/>
                <w:bCs/>
                <w:sz w:val="24"/>
                <w:szCs w:val="24"/>
              </w:rPr>
              <w:t>Code :</w:t>
            </w:r>
          </w:p>
        </w:tc>
        <w:tc>
          <w:tcPr>
            <w:tcW w:w="7938" w:type="dxa"/>
            <w:tcBorders>
              <w:top w:val="single" w:sz="18" w:space="0" w:color="auto"/>
              <w:left w:val="single" w:sz="18" w:space="0" w:color="auto"/>
              <w:bottom w:val="single" w:sz="18" w:space="0" w:color="auto"/>
              <w:right w:val="single" w:sz="18" w:space="0" w:color="auto"/>
            </w:tcBorders>
            <w:shd w:val="clear" w:color="auto" w:fill="C2D69B" w:themeFill="accent3" w:themeFillTint="99"/>
            <w:vAlign w:val="center"/>
          </w:tcPr>
          <w:p w:rsidR="00921C0A" w:rsidRPr="00075E4C" w:rsidRDefault="00921C0A" w:rsidP="00075E4C">
            <w:pPr>
              <w:spacing w:after="0" w:line="240" w:lineRule="auto"/>
              <w:jc w:val="center"/>
              <w:rPr>
                <w:rFonts w:ascii="Times New Roman" w:hAnsi="Times New Roman" w:cs="Times New Roman"/>
                <w:b/>
                <w:bCs/>
                <w:sz w:val="24"/>
                <w:szCs w:val="24"/>
              </w:rPr>
            </w:pPr>
            <w:r w:rsidRPr="00075E4C">
              <w:rPr>
                <w:b/>
                <w:bCs/>
                <w:sz w:val="24"/>
                <w:szCs w:val="24"/>
              </w:rPr>
              <w:t>NM EN 12467</w:t>
            </w:r>
          </w:p>
        </w:tc>
      </w:tr>
      <w:tr w:rsidR="00921C0A" w:rsidRPr="0043547B" w:rsidTr="001E0C3C">
        <w:trPr>
          <w:trHeight w:val="424"/>
          <w:jc w:val="center"/>
        </w:trPr>
        <w:tc>
          <w:tcPr>
            <w:tcW w:w="1838" w:type="dxa"/>
            <w:tcBorders>
              <w:top w:val="single" w:sz="18" w:space="0" w:color="auto"/>
              <w:left w:val="single" w:sz="18" w:space="0" w:color="auto"/>
              <w:bottom w:val="single" w:sz="18" w:space="0" w:color="auto"/>
              <w:right w:val="single" w:sz="18" w:space="0" w:color="auto"/>
            </w:tcBorders>
            <w:shd w:val="clear" w:color="auto" w:fill="FFFF66"/>
            <w:vAlign w:val="center"/>
          </w:tcPr>
          <w:p w:rsidR="00921C0A" w:rsidRPr="00BD4AA0" w:rsidRDefault="00921C0A" w:rsidP="00075E4C">
            <w:pPr>
              <w:spacing w:after="0" w:line="240" w:lineRule="auto"/>
              <w:jc w:val="center"/>
              <w:rPr>
                <w:rFonts w:ascii="Calibri" w:hAnsi="Calibri" w:cs="Calibri"/>
                <w:b/>
                <w:bCs/>
                <w:sz w:val="24"/>
                <w:szCs w:val="24"/>
              </w:rPr>
            </w:pPr>
            <w:r w:rsidRPr="00BD4AA0">
              <w:rPr>
                <w:rFonts w:ascii="Calibri" w:hAnsi="Calibri" w:cs="Calibri"/>
                <w:b/>
                <w:bCs/>
                <w:sz w:val="24"/>
                <w:szCs w:val="24"/>
              </w:rPr>
              <w:t>Equivalence :</w:t>
            </w:r>
          </w:p>
        </w:tc>
        <w:tc>
          <w:tcPr>
            <w:tcW w:w="7938" w:type="dxa"/>
            <w:tcBorders>
              <w:top w:val="single" w:sz="18" w:space="0" w:color="auto"/>
              <w:left w:val="single" w:sz="18" w:space="0" w:color="auto"/>
              <w:bottom w:val="single" w:sz="18" w:space="0" w:color="auto"/>
              <w:right w:val="single" w:sz="18" w:space="0" w:color="auto"/>
            </w:tcBorders>
            <w:shd w:val="clear" w:color="auto" w:fill="FFFF66"/>
            <w:vAlign w:val="center"/>
          </w:tcPr>
          <w:p w:rsidR="00921C0A" w:rsidRPr="00075E4C" w:rsidRDefault="00921C0A" w:rsidP="00075E4C">
            <w:pPr>
              <w:spacing w:after="0" w:line="240" w:lineRule="auto"/>
              <w:jc w:val="center"/>
              <w:rPr>
                <w:rFonts w:ascii="Times New Roman" w:hAnsi="Times New Roman" w:cs="Times New Roman"/>
                <w:b/>
                <w:bCs/>
                <w:sz w:val="24"/>
                <w:szCs w:val="24"/>
              </w:rPr>
            </w:pPr>
            <w:r w:rsidRPr="00075E4C">
              <w:rPr>
                <w:b/>
                <w:bCs/>
                <w:sz w:val="24"/>
                <w:szCs w:val="24"/>
              </w:rPr>
              <w:t>EN 12467</w:t>
            </w:r>
          </w:p>
        </w:tc>
      </w:tr>
      <w:tr w:rsidR="00921C0A" w:rsidRPr="0043547B" w:rsidTr="001E0C3C">
        <w:trPr>
          <w:trHeight w:val="341"/>
          <w:jc w:val="center"/>
        </w:trPr>
        <w:tc>
          <w:tcPr>
            <w:tcW w:w="1838" w:type="dxa"/>
            <w:tcBorders>
              <w:top w:val="single" w:sz="18" w:space="0" w:color="auto"/>
              <w:left w:val="single" w:sz="18" w:space="0" w:color="auto"/>
              <w:bottom w:val="single" w:sz="4" w:space="0" w:color="auto"/>
              <w:right w:val="single" w:sz="18" w:space="0" w:color="auto"/>
            </w:tcBorders>
            <w:shd w:val="clear" w:color="auto" w:fill="95B3D7" w:themeFill="accent1" w:themeFillTint="99"/>
            <w:vAlign w:val="center"/>
          </w:tcPr>
          <w:p w:rsidR="00921C0A" w:rsidRPr="00BD4AA0" w:rsidRDefault="00921C0A" w:rsidP="00075E4C">
            <w:pPr>
              <w:spacing w:after="0" w:line="240" w:lineRule="auto"/>
              <w:jc w:val="center"/>
              <w:rPr>
                <w:rFonts w:ascii="Calibri" w:hAnsi="Calibri" w:cs="Calibri"/>
                <w:b/>
                <w:bCs/>
                <w:sz w:val="24"/>
                <w:szCs w:val="24"/>
              </w:rPr>
            </w:pPr>
            <w:r w:rsidRPr="00BD4AA0">
              <w:rPr>
                <w:rFonts w:ascii="Calibri" w:hAnsi="Calibri" w:cs="Calibri"/>
                <w:b/>
                <w:bCs/>
                <w:sz w:val="24"/>
                <w:szCs w:val="24"/>
              </w:rPr>
              <w:t>Intitulé :</w:t>
            </w:r>
          </w:p>
        </w:tc>
        <w:tc>
          <w:tcPr>
            <w:tcW w:w="7938" w:type="dxa"/>
            <w:tcBorders>
              <w:top w:val="single" w:sz="18" w:space="0" w:color="auto"/>
              <w:left w:val="single" w:sz="18" w:space="0" w:color="auto"/>
              <w:bottom w:val="single" w:sz="4" w:space="0" w:color="auto"/>
              <w:right w:val="single" w:sz="18" w:space="0" w:color="auto"/>
            </w:tcBorders>
            <w:shd w:val="clear" w:color="auto" w:fill="auto"/>
          </w:tcPr>
          <w:p w:rsidR="00921C0A" w:rsidRPr="00BD4AA0" w:rsidRDefault="00921C0A" w:rsidP="00075E4C">
            <w:pPr>
              <w:spacing w:after="0" w:line="240" w:lineRule="auto"/>
              <w:rPr>
                <w:rFonts w:ascii="Times New Roman" w:hAnsi="Times New Roman" w:cs="Times New Roman"/>
                <w:sz w:val="24"/>
                <w:szCs w:val="24"/>
              </w:rPr>
            </w:pPr>
            <w:r w:rsidRPr="00BD4AA0">
              <w:rPr>
                <w:sz w:val="24"/>
                <w:szCs w:val="24"/>
              </w:rPr>
              <w:t xml:space="preserve">Plaques planes en fibres-ciment - Spécifications du produit et méthodes d’essai </w:t>
            </w:r>
          </w:p>
        </w:tc>
      </w:tr>
      <w:tr w:rsidR="00921C0A" w:rsidRPr="0043547B" w:rsidTr="001E0C3C">
        <w:trPr>
          <w:trHeight w:val="799"/>
          <w:jc w:val="center"/>
        </w:trPr>
        <w:tc>
          <w:tcPr>
            <w:tcW w:w="1838" w:type="dxa"/>
            <w:tcBorders>
              <w:top w:val="single" w:sz="4" w:space="0" w:color="auto"/>
              <w:left w:val="single" w:sz="18" w:space="0" w:color="auto"/>
              <w:bottom w:val="single" w:sz="18" w:space="0" w:color="auto"/>
              <w:right w:val="single" w:sz="18" w:space="0" w:color="auto"/>
            </w:tcBorders>
            <w:shd w:val="clear" w:color="000000" w:fill="D9D9D9"/>
            <w:vAlign w:val="center"/>
          </w:tcPr>
          <w:p w:rsidR="00921C0A" w:rsidRPr="00BD4AA0" w:rsidRDefault="00921C0A" w:rsidP="00075E4C">
            <w:pPr>
              <w:spacing w:after="0" w:line="240" w:lineRule="auto"/>
              <w:jc w:val="center"/>
              <w:rPr>
                <w:rFonts w:ascii="Calibri" w:hAnsi="Calibri" w:cs="Calibri"/>
                <w:b/>
                <w:bCs/>
                <w:sz w:val="24"/>
                <w:szCs w:val="24"/>
              </w:rPr>
            </w:pPr>
            <w:r w:rsidRPr="00BD4AA0">
              <w:rPr>
                <w:rFonts w:ascii="Calibri" w:hAnsi="Calibri" w:cs="Calibri"/>
                <w:b/>
                <w:bCs/>
                <w:sz w:val="24"/>
                <w:szCs w:val="24"/>
              </w:rPr>
              <w:t>Domaine d’application :</w:t>
            </w:r>
          </w:p>
        </w:tc>
        <w:tc>
          <w:tcPr>
            <w:tcW w:w="7938" w:type="dxa"/>
            <w:tcBorders>
              <w:top w:val="single" w:sz="4" w:space="0" w:color="auto"/>
              <w:left w:val="single" w:sz="18" w:space="0" w:color="auto"/>
              <w:bottom w:val="single" w:sz="18" w:space="0" w:color="auto"/>
              <w:right w:val="single" w:sz="18" w:space="0" w:color="auto"/>
            </w:tcBorders>
            <w:shd w:val="clear" w:color="auto" w:fill="auto"/>
            <w:vAlign w:val="bottom"/>
          </w:tcPr>
          <w:p w:rsidR="00075E4C" w:rsidRDefault="00921C0A" w:rsidP="00075E4C">
            <w:pPr>
              <w:spacing w:after="0" w:line="240" w:lineRule="auto"/>
              <w:jc w:val="both"/>
              <w:rPr>
                <w:sz w:val="24"/>
                <w:szCs w:val="24"/>
              </w:rPr>
            </w:pPr>
            <w:r w:rsidRPr="00BD4AA0">
              <w:rPr>
                <w:sz w:val="24"/>
                <w:szCs w:val="24"/>
              </w:rPr>
              <w:t>La présente Norme européenne spécifie les exigences techniques et détermine les méthodes de contrôle</w:t>
            </w:r>
            <w:r w:rsidR="00075E4C">
              <w:rPr>
                <w:sz w:val="24"/>
                <w:szCs w:val="24"/>
              </w:rPr>
              <w:t xml:space="preserve"> </w:t>
            </w:r>
            <w:r w:rsidRPr="00BD4AA0">
              <w:rPr>
                <w:sz w:val="24"/>
                <w:szCs w:val="24"/>
              </w:rPr>
              <w:t>et d'essai ainsi que les conditions d'acceptation pour les plaques planes en fibres- ciment, bardeaux et</w:t>
            </w:r>
            <w:r w:rsidR="00075E4C">
              <w:rPr>
                <w:sz w:val="24"/>
                <w:szCs w:val="24"/>
              </w:rPr>
              <w:t xml:space="preserve"> </w:t>
            </w:r>
            <w:r w:rsidRPr="00BD4AA0">
              <w:rPr>
                <w:sz w:val="24"/>
                <w:szCs w:val="24"/>
              </w:rPr>
              <w:t>clins (dénommés ci-après « plaques ») pour une ou plusieurs des applications suivantes :</w:t>
            </w:r>
          </w:p>
          <w:p w:rsidR="00075E4C" w:rsidRDefault="00075E4C" w:rsidP="00075E4C">
            <w:pPr>
              <w:spacing w:after="0" w:line="240" w:lineRule="auto"/>
              <w:jc w:val="both"/>
              <w:rPr>
                <w:sz w:val="24"/>
                <w:szCs w:val="24"/>
              </w:rPr>
            </w:pPr>
            <w:r>
              <w:rPr>
                <w:sz w:val="24"/>
                <w:szCs w:val="24"/>
              </w:rPr>
              <w:t>-</w:t>
            </w:r>
            <w:r w:rsidR="00921C0A" w:rsidRPr="00BD4AA0">
              <w:rPr>
                <w:sz w:val="24"/>
                <w:szCs w:val="24"/>
              </w:rPr>
              <w:t xml:space="preserve"> revêtements inté</w:t>
            </w:r>
            <w:r>
              <w:rPr>
                <w:sz w:val="24"/>
                <w:szCs w:val="24"/>
              </w:rPr>
              <w:t>rieurs pour murs et plafonds ;</w:t>
            </w:r>
          </w:p>
          <w:p w:rsidR="00075E4C" w:rsidRDefault="00075E4C" w:rsidP="00075E4C">
            <w:pPr>
              <w:spacing w:after="0" w:line="240" w:lineRule="auto"/>
              <w:jc w:val="both"/>
              <w:rPr>
                <w:sz w:val="24"/>
                <w:szCs w:val="24"/>
              </w:rPr>
            </w:pPr>
            <w:r>
              <w:rPr>
                <w:sz w:val="24"/>
                <w:szCs w:val="24"/>
              </w:rPr>
              <w:t>-</w:t>
            </w:r>
            <w:r w:rsidR="00921C0A" w:rsidRPr="00BD4AA0">
              <w:rPr>
                <w:sz w:val="24"/>
                <w:szCs w:val="24"/>
              </w:rPr>
              <w:t xml:space="preserve"> revêtements extérieurs pour murs et plafonds.</w:t>
            </w:r>
          </w:p>
          <w:p w:rsidR="00075E4C" w:rsidRDefault="00921C0A" w:rsidP="00075E4C">
            <w:pPr>
              <w:spacing w:after="0" w:line="240" w:lineRule="auto"/>
              <w:jc w:val="both"/>
              <w:rPr>
                <w:sz w:val="24"/>
                <w:szCs w:val="24"/>
              </w:rPr>
            </w:pPr>
            <w:r w:rsidRPr="00BD4AA0">
              <w:rPr>
                <w:sz w:val="24"/>
                <w:szCs w:val="24"/>
              </w:rPr>
              <w:t>Les produits couverts par la présente Norme européenne peuvent être utilisés pour d'autres</w:t>
            </w:r>
            <w:r w:rsidR="00075E4C">
              <w:rPr>
                <w:sz w:val="24"/>
                <w:szCs w:val="24"/>
              </w:rPr>
              <w:t xml:space="preserve"> </w:t>
            </w:r>
            <w:r w:rsidRPr="00BD4AA0">
              <w:rPr>
                <w:sz w:val="24"/>
                <w:szCs w:val="24"/>
              </w:rPr>
              <w:t>applications à la condition que celles-ci soient conformes à la norme, par exemple comme substrats</w:t>
            </w:r>
            <w:r w:rsidR="00075E4C">
              <w:rPr>
                <w:sz w:val="24"/>
                <w:szCs w:val="24"/>
              </w:rPr>
              <w:t xml:space="preserve"> </w:t>
            </w:r>
            <w:r w:rsidRPr="00BD4AA0">
              <w:rPr>
                <w:sz w:val="24"/>
                <w:szCs w:val="24"/>
              </w:rPr>
              <w:t>rigides.</w:t>
            </w:r>
          </w:p>
          <w:p w:rsidR="00075E4C" w:rsidRDefault="00921C0A" w:rsidP="00075E4C">
            <w:pPr>
              <w:spacing w:after="0" w:line="240" w:lineRule="auto"/>
              <w:jc w:val="both"/>
              <w:rPr>
                <w:sz w:val="24"/>
                <w:szCs w:val="24"/>
              </w:rPr>
            </w:pPr>
            <w:r w:rsidRPr="00BD4AA0">
              <w:rPr>
                <w:sz w:val="24"/>
                <w:szCs w:val="24"/>
              </w:rPr>
              <w:lastRenderedPageBreak/>
              <w:t>La présente Norme européenne s'applique aux plaques renforcées par des fibres de différents types</w:t>
            </w:r>
            <w:r w:rsidR="00075E4C">
              <w:rPr>
                <w:sz w:val="24"/>
                <w:szCs w:val="24"/>
              </w:rPr>
              <w:t xml:space="preserve"> </w:t>
            </w:r>
            <w:r w:rsidRPr="00BD4AA0">
              <w:rPr>
                <w:sz w:val="24"/>
                <w:szCs w:val="24"/>
              </w:rPr>
              <w:t>comme spécifié en 5.1.1.</w:t>
            </w:r>
          </w:p>
          <w:p w:rsidR="00075E4C" w:rsidRDefault="00921C0A" w:rsidP="00075E4C">
            <w:pPr>
              <w:spacing w:after="0" w:line="240" w:lineRule="auto"/>
              <w:jc w:val="both"/>
              <w:rPr>
                <w:sz w:val="24"/>
                <w:szCs w:val="24"/>
              </w:rPr>
            </w:pPr>
            <w:r w:rsidRPr="00BD4AA0">
              <w:rPr>
                <w:sz w:val="24"/>
                <w:szCs w:val="24"/>
              </w:rPr>
              <w:t>La présente Norme européenne ne s'applique pas aux plaques conçues pour la protection contre le feu.</w:t>
            </w:r>
          </w:p>
          <w:p w:rsidR="00921C0A" w:rsidRPr="00BD4AA0" w:rsidRDefault="00921C0A" w:rsidP="00075E4C">
            <w:pPr>
              <w:spacing w:after="0" w:line="240" w:lineRule="auto"/>
              <w:jc w:val="both"/>
              <w:rPr>
                <w:rFonts w:ascii="Times New Roman" w:hAnsi="Times New Roman" w:cs="Times New Roman"/>
                <w:sz w:val="24"/>
                <w:szCs w:val="24"/>
              </w:rPr>
            </w:pPr>
            <w:r w:rsidRPr="00BD4AA0">
              <w:rPr>
                <w:sz w:val="24"/>
                <w:szCs w:val="24"/>
              </w:rPr>
              <w:t>La présente Norme européenne n'inclut pas les calculs relatifs aux travaux, aux exigences de</w:t>
            </w:r>
            <w:r w:rsidR="00075E4C">
              <w:rPr>
                <w:sz w:val="24"/>
                <w:szCs w:val="24"/>
              </w:rPr>
              <w:t xml:space="preserve"> </w:t>
            </w:r>
            <w:r w:rsidRPr="00BD4AA0">
              <w:rPr>
                <w:sz w:val="24"/>
                <w:szCs w:val="24"/>
              </w:rPr>
              <w:t>conception, aux techniques de pose, aux soulèvements par le vent ou à l'étanchéité à la pluie des</w:t>
            </w:r>
            <w:r w:rsidR="00075E4C">
              <w:rPr>
                <w:sz w:val="24"/>
                <w:szCs w:val="24"/>
              </w:rPr>
              <w:t xml:space="preserve"> </w:t>
            </w:r>
            <w:r w:rsidRPr="00BD4AA0">
              <w:rPr>
                <w:sz w:val="24"/>
                <w:szCs w:val="24"/>
              </w:rPr>
              <w:t>produits déjà posés.</w:t>
            </w:r>
          </w:p>
        </w:tc>
      </w:tr>
      <w:tr w:rsidR="00921C0A" w:rsidRPr="0043547B" w:rsidTr="001E0C3C">
        <w:trPr>
          <w:trHeight w:val="358"/>
          <w:jc w:val="center"/>
        </w:trPr>
        <w:tc>
          <w:tcPr>
            <w:tcW w:w="1838" w:type="dxa"/>
            <w:tcBorders>
              <w:top w:val="single" w:sz="18" w:space="0" w:color="auto"/>
              <w:left w:val="single" w:sz="18" w:space="0" w:color="auto"/>
              <w:bottom w:val="single" w:sz="18" w:space="0" w:color="auto"/>
              <w:right w:val="single" w:sz="18" w:space="0" w:color="auto"/>
            </w:tcBorders>
            <w:shd w:val="clear" w:color="auto" w:fill="C2D69B" w:themeFill="accent3" w:themeFillTint="99"/>
            <w:vAlign w:val="center"/>
          </w:tcPr>
          <w:p w:rsidR="00921C0A" w:rsidRPr="00BD4AA0" w:rsidRDefault="00921C0A" w:rsidP="00075E4C">
            <w:pPr>
              <w:spacing w:after="0" w:line="240" w:lineRule="auto"/>
              <w:jc w:val="center"/>
              <w:rPr>
                <w:rFonts w:ascii="Calibri" w:hAnsi="Calibri" w:cs="Calibri"/>
                <w:b/>
                <w:bCs/>
                <w:sz w:val="24"/>
                <w:szCs w:val="24"/>
              </w:rPr>
            </w:pPr>
            <w:r w:rsidRPr="00BD4AA0">
              <w:rPr>
                <w:rFonts w:ascii="Calibri" w:hAnsi="Calibri" w:cs="Calibri"/>
                <w:b/>
                <w:bCs/>
                <w:sz w:val="24"/>
                <w:szCs w:val="24"/>
              </w:rPr>
              <w:lastRenderedPageBreak/>
              <w:t>Code</w:t>
            </w:r>
            <w:r w:rsidR="00075E4C">
              <w:rPr>
                <w:rFonts w:ascii="Calibri" w:hAnsi="Calibri" w:cs="Calibri"/>
                <w:b/>
                <w:bCs/>
                <w:sz w:val="24"/>
                <w:szCs w:val="24"/>
              </w:rPr>
              <w:t xml:space="preserve"> </w:t>
            </w:r>
            <w:r w:rsidRPr="00BD4AA0">
              <w:rPr>
                <w:rFonts w:ascii="Calibri" w:hAnsi="Calibri" w:cs="Calibri"/>
                <w:b/>
                <w:bCs/>
                <w:sz w:val="24"/>
                <w:szCs w:val="24"/>
              </w:rPr>
              <w:t>:</w:t>
            </w:r>
          </w:p>
        </w:tc>
        <w:tc>
          <w:tcPr>
            <w:tcW w:w="7938" w:type="dxa"/>
            <w:tcBorders>
              <w:top w:val="single" w:sz="18" w:space="0" w:color="auto"/>
              <w:left w:val="single" w:sz="18" w:space="0" w:color="auto"/>
              <w:bottom w:val="single" w:sz="18" w:space="0" w:color="auto"/>
              <w:right w:val="single" w:sz="18" w:space="0" w:color="auto"/>
            </w:tcBorders>
            <w:shd w:val="clear" w:color="auto" w:fill="C2D69B" w:themeFill="accent3" w:themeFillTint="99"/>
            <w:vAlign w:val="center"/>
          </w:tcPr>
          <w:p w:rsidR="00921C0A" w:rsidRPr="00075E4C" w:rsidRDefault="00921C0A" w:rsidP="00075E4C">
            <w:pPr>
              <w:spacing w:after="0" w:line="240" w:lineRule="auto"/>
              <w:jc w:val="center"/>
              <w:rPr>
                <w:rFonts w:ascii="Times New Roman" w:hAnsi="Times New Roman" w:cs="Times New Roman"/>
                <w:b/>
                <w:bCs/>
                <w:sz w:val="24"/>
                <w:szCs w:val="24"/>
              </w:rPr>
            </w:pPr>
            <w:r w:rsidRPr="00075E4C">
              <w:rPr>
                <w:b/>
                <w:bCs/>
                <w:sz w:val="24"/>
                <w:szCs w:val="24"/>
              </w:rPr>
              <w:t>NM EN 13815</w:t>
            </w:r>
          </w:p>
        </w:tc>
      </w:tr>
      <w:tr w:rsidR="00921C0A" w:rsidRPr="0043547B" w:rsidTr="001E0C3C">
        <w:trPr>
          <w:trHeight w:val="241"/>
          <w:jc w:val="center"/>
        </w:trPr>
        <w:tc>
          <w:tcPr>
            <w:tcW w:w="1838" w:type="dxa"/>
            <w:tcBorders>
              <w:top w:val="single" w:sz="18" w:space="0" w:color="auto"/>
              <w:left w:val="single" w:sz="18" w:space="0" w:color="auto"/>
              <w:bottom w:val="single" w:sz="18" w:space="0" w:color="auto"/>
              <w:right w:val="single" w:sz="18" w:space="0" w:color="auto"/>
            </w:tcBorders>
            <w:shd w:val="clear" w:color="auto" w:fill="FFFF66"/>
            <w:vAlign w:val="center"/>
          </w:tcPr>
          <w:p w:rsidR="00921C0A" w:rsidRPr="00BD4AA0" w:rsidRDefault="00921C0A" w:rsidP="00075E4C">
            <w:pPr>
              <w:spacing w:after="0" w:line="240" w:lineRule="auto"/>
              <w:jc w:val="center"/>
              <w:rPr>
                <w:rFonts w:ascii="Calibri" w:hAnsi="Calibri" w:cs="Calibri"/>
                <w:b/>
                <w:bCs/>
                <w:sz w:val="24"/>
                <w:szCs w:val="24"/>
              </w:rPr>
            </w:pPr>
            <w:r w:rsidRPr="00BD4AA0">
              <w:rPr>
                <w:rFonts w:ascii="Calibri" w:hAnsi="Calibri" w:cs="Calibri"/>
                <w:b/>
                <w:bCs/>
                <w:sz w:val="24"/>
                <w:szCs w:val="24"/>
              </w:rPr>
              <w:t>Equivalence :</w:t>
            </w:r>
          </w:p>
        </w:tc>
        <w:tc>
          <w:tcPr>
            <w:tcW w:w="7938" w:type="dxa"/>
            <w:tcBorders>
              <w:top w:val="single" w:sz="18" w:space="0" w:color="auto"/>
              <w:left w:val="single" w:sz="18" w:space="0" w:color="auto"/>
              <w:bottom w:val="single" w:sz="18" w:space="0" w:color="auto"/>
              <w:right w:val="single" w:sz="18" w:space="0" w:color="auto"/>
            </w:tcBorders>
            <w:shd w:val="clear" w:color="auto" w:fill="FFFF66"/>
            <w:vAlign w:val="center"/>
          </w:tcPr>
          <w:p w:rsidR="00921C0A" w:rsidRPr="00075E4C" w:rsidRDefault="00921C0A" w:rsidP="00075E4C">
            <w:pPr>
              <w:spacing w:after="0" w:line="240" w:lineRule="auto"/>
              <w:jc w:val="center"/>
              <w:rPr>
                <w:rFonts w:ascii="Times New Roman" w:hAnsi="Times New Roman" w:cs="Times New Roman"/>
                <w:b/>
                <w:bCs/>
                <w:sz w:val="24"/>
                <w:szCs w:val="24"/>
              </w:rPr>
            </w:pPr>
            <w:r w:rsidRPr="00075E4C">
              <w:rPr>
                <w:b/>
                <w:bCs/>
                <w:sz w:val="24"/>
                <w:szCs w:val="24"/>
              </w:rPr>
              <w:t>EN 13815</w:t>
            </w:r>
          </w:p>
        </w:tc>
      </w:tr>
      <w:tr w:rsidR="00921C0A" w:rsidRPr="0043547B" w:rsidTr="001E0C3C">
        <w:trPr>
          <w:trHeight w:val="524"/>
          <w:jc w:val="center"/>
        </w:trPr>
        <w:tc>
          <w:tcPr>
            <w:tcW w:w="1838" w:type="dxa"/>
            <w:tcBorders>
              <w:top w:val="single" w:sz="18" w:space="0" w:color="auto"/>
              <w:left w:val="single" w:sz="18" w:space="0" w:color="auto"/>
              <w:bottom w:val="single" w:sz="4" w:space="0" w:color="auto"/>
              <w:right w:val="single" w:sz="18" w:space="0" w:color="auto"/>
            </w:tcBorders>
            <w:shd w:val="clear" w:color="auto" w:fill="95B3D7" w:themeFill="accent1" w:themeFillTint="99"/>
            <w:vAlign w:val="center"/>
          </w:tcPr>
          <w:p w:rsidR="00921C0A" w:rsidRPr="00BD4AA0" w:rsidRDefault="00921C0A" w:rsidP="00075E4C">
            <w:pPr>
              <w:spacing w:after="0" w:line="240" w:lineRule="auto"/>
              <w:jc w:val="center"/>
              <w:rPr>
                <w:rFonts w:ascii="Calibri" w:hAnsi="Calibri" w:cs="Calibri"/>
                <w:b/>
                <w:bCs/>
                <w:sz w:val="24"/>
                <w:szCs w:val="24"/>
              </w:rPr>
            </w:pPr>
            <w:r w:rsidRPr="00BD4AA0">
              <w:rPr>
                <w:rFonts w:ascii="Calibri" w:hAnsi="Calibri" w:cs="Calibri"/>
                <w:b/>
                <w:bCs/>
                <w:sz w:val="24"/>
                <w:szCs w:val="24"/>
              </w:rPr>
              <w:t>Intitulé :</w:t>
            </w:r>
          </w:p>
        </w:tc>
        <w:tc>
          <w:tcPr>
            <w:tcW w:w="7938" w:type="dxa"/>
            <w:tcBorders>
              <w:top w:val="single" w:sz="18" w:space="0" w:color="auto"/>
              <w:left w:val="single" w:sz="18" w:space="0" w:color="auto"/>
              <w:bottom w:val="single" w:sz="4" w:space="0" w:color="auto"/>
              <w:right w:val="single" w:sz="18" w:space="0" w:color="auto"/>
            </w:tcBorders>
            <w:shd w:val="clear" w:color="auto" w:fill="auto"/>
          </w:tcPr>
          <w:p w:rsidR="00921C0A" w:rsidRPr="00BD4AA0" w:rsidRDefault="00921C0A" w:rsidP="00075E4C">
            <w:pPr>
              <w:spacing w:after="0" w:line="240" w:lineRule="auto"/>
              <w:rPr>
                <w:rFonts w:ascii="Times New Roman" w:hAnsi="Times New Roman" w:cs="Times New Roman"/>
                <w:sz w:val="24"/>
                <w:szCs w:val="24"/>
              </w:rPr>
            </w:pPr>
            <w:r w:rsidRPr="00BD4AA0">
              <w:rPr>
                <w:sz w:val="24"/>
                <w:szCs w:val="24"/>
              </w:rPr>
              <w:t xml:space="preserve">Produits en staff - Définitions, prescriptions et méthodes d’essai </w:t>
            </w:r>
          </w:p>
        </w:tc>
      </w:tr>
      <w:tr w:rsidR="00921C0A" w:rsidRPr="0043547B" w:rsidTr="001E0C3C">
        <w:trPr>
          <w:trHeight w:val="799"/>
          <w:jc w:val="center"/>
        </w:trPr>
        <w:tc>
          <w:tcPr>
            <w:tcW w:w="1838" w:type="dxa"/>
            <w:tcBorders>
              <w:top w:val="single" w:sz="4" w:space="0" w:color="auto"/>
              <w:left w:val="single" w:sz="18" w:space="0" w:color="auto"/>
              <w:bottom w:val="single" w:sz="18" w:space="0" w:color="auto"/>
              <w:right w:val="single" w:sz="18" w:space="0" w:color="auto"/>
            </w:tcBorders>
            <w:shd w:val="clear" w:color="000000" w:fill="D9D9D9"/>
            <w:vAlign w:val="center"/>
          </w:tcPr>
          <w:p w:rsidR="00921C0A" w:rsidRPr="00BD4AA0" w:rsidRDefault="00921C0A" w:rsidP="00075E4C">
            <w:pPr>
              <w:jc w:val="center"/>
              <w:rPr>
                <w:rFonts w:ascii="Calibri" w:hAnsi="Calibri" w:cs="Calibri"/>
                <w:b/>
                <w:bCs/>
                <w:sz w:val="24"/>
                <w:szCs w:val="24"/>
              </w:rPr>
            </w:pPr>
            <w:r w:rsidRPr="00BD4AA0">
              <w:rPr>
                <w:rFonts w:ascii="Calibri" w:hAnsi="Calibri" w:cs="Calibri"/>
                <w:b/>
                <w:bCs/>
                <w:sz w:val="24"/>
                <w:szCs w:val="24"/>
              </w:rPr>
              <w:t>Domaine d’application :</w:t>
            </w:r>
          </w:p>
        </w:tc>
        <w:tc>
          <w:tcPr>
            <w:tcW w:w="7938" w:type="dxa"/>
            <w:tcBorders>
              <w:top w:val="single" w:sz="4" w:space="0" w:color="auto"/>
              <w:left w:val="single" w:sz="18" w:space="0" w:color="auto"/>
              <w:bottom w:val="single" w:sz="18" w:space="0" w:color="auto"/>
              <w:right w:val="single" w:sz="18" w:space="0" w:color="auto"/>
            </w:tcBorders>
            <w:shd w:val="clear" w:color="auto" w:fill="auto"/>
            <w:vAlign w:val="bottom"/>
          </w:tcPr>
          <w:p w:rsidR="00075E4C" w:rsidRDefault="00921C0A" w:rsidP="00075E4C">
            <w:pPr>
              <w:spacing w:after="0" w:line="240" w:lineRule="auto"/>
              <w:jc w:val="both"/>
              <w:rPr>
                <w:sz w:val="24"/>
                <w:szCs w:val="24"/>
              </w:rPr>
            </w:pPr>
            <w:r w:rsidRPr="00BD4AA0">
              <w:rPr>
                <w:sz w:val="24"/>
                <w:szCs w:val="24"/>
              </w:rPr>
              <w:t>La présente Norme européenne spécifie les caractéristiques et les performances requises pour les moulages —</w:t>
            </w:r>
            <w:r w:rsidR="00075E4C">
              <w:rPr>
                <w:sz w:val="24"/>
                <w:szCs w:val="24"/>
              </w:rPr>
              <w:t xml:space="preserve"> </w:t>
            </w:r>
            <w:r w:rsidRPr="00BD4AA0">
              <w:rPr>
                <w:sz w:val="24"/>
                <w:szCs w:val="24"/>
              </w:rPr>
              <w:t>éléments, plaques rigides et dalles — en staff fabriqués selon différentes techniques, dans des usines ou des ateliers.</w:t>
            </w:r>
          </w:p>
          <w:p w:rsidR="00075E4C" w:rsidRDefault="00921C0A" w:rsidP="00075E4C">
            <w:pPr>
              <w:spacing w:after="0" w:line="240" w:lineRule="auto"/>
              <w:jc w:val="both"/>
              <w:rPr>
                <w:sz w:val="24"/>
                <w:szCs w:val="24"/>
              </w:rPr>
            </w:pPr>
            <w:r w:rsidRPr="00BD4AA0">
              <w:rPr>
                <w:sz w:val="24"/>
                <w:szCs w:val="24"/>
              </w:rPr>
              <w:t>La présente Norme européenne s’applique :</w:t>
            </w:r>
          </w:p>
          <w:p w:rsidR="00075E4C" w:rsidRDefault="00921C0A" w:rsidP="00075E4C">
            <w:pPr>
              <w:spacing w:after="0" w:line="240" w:lineRule="auto"/>
              <w:jc w:val="both"/>
              <w:rPr>
                <w:sz w:val="24"/>
                <w:szCs w:val="24"/>
              </w:rPr>
            </w:pPr>
            <w:r w:rsidRPr="00BD4AA0">
              <w:rPr>
                <w:sz w:val="24"/>
                <w:szCs w:val="24"/>
              </w:rPr>
              <w:t>— aux moulages fabriqués en série conventionnelle ;</w:t>
            </w:r>
          </w:p>
          <w:p w:rsidR="00075E4C" w:rsidRDefault="00921C0A" w:rsidP="00075E4C">
            <w:pPr>
              <w:spacing w:after="0" w:line="240" w:lineRule="auto"/>
              <w:jc w:val="both"/>
              <w:rPr>
                <w:sz w:val="24"/>
                <w:szCs w:val="24"/>
              </w:rPr>
            </w:pPr>
            <w:r w:rsidRPr="00BD4AA0">
              <w:rPr>
                <w:sz w:val="24"/>
                <w:szCs w:val="24"/>
              </w:rPr>
              <w:t>— aux moulages fabriqués en série présentant différentes caractéristiques ;</w:t>
            </w:r>
          </w:p>
          <w:p w:rsidR="00075E4C" w:rsidRDefault="00921C0A" w:rsidP="00075E4C">
            <w:pPr>
              <w:spacing w:after="0" w:line="240" w:lineRule="auto"/>
              <w:jc w:val="both"/>
              <w:rPr>
                <w:sz w:val="24"/>
                <w:szCs w:val="24"/>
              </w:rPr>
            </w:pPr>
            <w:r w:rsidRPr="00BD4AA0">
              <w:rPr>
                <w:sz w:val="24"/>
                <w:szCs w:val="24"/>
              </w:rPr>
              <w:t>— aux moulages fabriqués à la pièce (et non pas en série), dans la mesure où le marquage CE est nécessaire.</w:t>
            </w:r>
          </w:p>
          <w:p w:rsidR="00075E4C" w:rsidRDefault="00921C0A" w:rsidP="00075E4C">
            <w:pPr>
              <w:spacing w:after="0" w:line="240" w:lineRule="auto"/>
              <w:jc w:val="both"/>
              <w:rPr>
                <w:sz w:val="24"/>
                <w:szCs w:val="24"/>
              </w:rPr>
            </w:pPr>
            <w:r w:rsidRPr="00BD4AA0">
              <w:rPr>
                <w:sz w:val="24"/>
                <w:szCs w:val="24"/>
              </w:rPr>
              <w:t>Voir le paragraphe 4.1 et l’Annexe D relative à la classification des moulages en staff.</w:t>
            </w:r>
            <w:r w:rsidRPr="00BD4AA0">
              <w:rPr>
                <w:sz w:val="24"/>
                <w:szCs w:val="24"/>
              </w:rPr>
              <w:br/>
              <w:t>La présente Norme européenne couvre les caractéristiques de performance suivantes des moulages en staff :</w:t>
            </w:r>
          </w:p>
          <w:p w:rsidR="00075E4C" w:rsidRDefault="00921C0A" w:rsidP="00075E4C">
            <w:pPr>
              <w:spacing w:after="0" w:line="240" w:lineRule="auto"/>
              <w:jc w:val="both"/>
              <w:rPr>
                <w:sz w:val="24"/>
                <w:szCs w:val="24"/>
              </w:rPr>
            </w:pPr>
            <w:r w:rsidRPr="00BD4AA0">
              <w:rPr>
                <w:sz w:val="24"/>
                <w:szCs w:val="24"/>
              </w:rPr>
              <w:t>réaction au feu, résistance thermique, ainsi que résistance à l’impact d’une corps dur et cohésion.</w:t>
            </w:r>
          </w:p>
          <w:p w:rsidR="00075E4C" w:rsidRDefault="00921C0A" w:rsidP="00075E4C">
            <w:pPr>
              <w:spacing w:after="0" w:line="240" w:lineRule="auto"/>
              <w:jc w:val="both"/>
              <w:rPr>
                <w:sz w:val="24"/>
                <w:szCs w:val="24"/>
              </w:rPr>
            </w:pPr>
            <w:r w:rsidRPr="00BD4AA0">
              <w:rPr>
                <w:sz w:val="24"/>
                <w:szCs w:val="24"/>
              </w:rPr>
              <w:t>Les caractéristiques et les performances suivantes sont déterminées sur des systèmes assemblés de moulages en</w:t>
            </w:r>
            <w:r w:rsidR="00075E4C">
              <w:rPr>
                <w:sz w:val="24"/>
                <w:szCs w:val="24"/>
              </w:rPr>
              <w:t xml:space="preserve"> </w:t>
            </w:r>
            <w:r w:rsidRPr="00BD4AA0">
              <w:rPr>
                <w:sz w:val="24"/>
                <w:szCs w:val="24"/>
              </w:rPr>
              <w:t>staff : résistance au feu, résistance au choc, isolation acoustique contre les bruits aériens directs, absorption</w:t>
            </w:r>
            <w:r w:rsidRPr="00BD4AA0">
              <w:rPr>
                <w:sz w:val="24"/>
                <w:szCs w:val="24"/>
              </w:rPr>
              <w:br/>
              <w:t>acoustique à mesurer conformément aux méthodes d’essai européennes correspondantes. Si nécessaire, des</w:t>
            </w:r>
            <w:r w:rsidR="00075E4C">
              <w:rPr>
                <w:sz w:val="24"/>
                <w:szCs w:val="24"/>
              </w:rPr>
              <w:t xml:space="preserve"> </w:t>
            </w:r>
            <w:r w:rsidRPr="00BD4AA0">
              <w:rPr>
                <w:sz w:val="24"/>
                <w:szCs w:val="24"/>
              </w:rPr>
              <w:t>essais doivent être réalisés sur les systèmes assemblés en simulant les conditions d’utilisation finale.</w:t>
            </w:r>
          </w:p>
          <w:p w:rsidR="00075E4C" w:rsidRDefault="00921C0A" w:rsidP="00075E4C">
            <w:pPr>
              <w:spacing w:after="0" w:line="240" w:lineRule="auto"/>
              <w:jc w:val="both"/>
              <w:rPr>
                <w:sz w:val="24"/>
                <w:szCs w:val="24"/>
              </w:rPr>
            </w:pPr>
            <w:r w:rsidRPr="00BD4AA0">
              <w:rPr>
                <w:sz w:val="24"/>
                <w:szCs w:val="24"/>
              </w:rPr>
              <w:t>La présente Norme européenne décrit les méthodes d’essai de référence de ces spécifications techniques.</w:t>
            </w:r>
          </w:p>
          <w:p w:rsidR="00075E4C" w:rsidRDefault="00921C0A" w:rsidP="00075E4C">
            <w:pPr>
              <w:spacing w:after="0" w:line="240" w:lineRule="auto"/>
              <w:jc w:val="both"/>
              <w:rPr>
                <w:sz w:val="24"/>
                <w:szCs w:val="24"/>
              </w:rPr>
            </w:pPr>
            <w:r w:rsidRPr="00BD4AA0">
              <w:rPr>
                <w:sz w:val="24"/>
                <w:szCs w:val="24"/>
              </w:rPr>
              <w:t>La présente Norme couvre également les caractéristiques techniques additionnelles des moulages en</w:t>
            </w:r>
            <w:r w:rsidR="00075E4C">
              <w:rPr>
                <w:sz w:val="24"/>
                <w:szCs w:val="24"/>
              </w:rPr>
              <w:t xml:space="preserve"> </w:t>
            </w:r>
            <w:r w:rsidRPr="00BD4AA0">
              <w:rPr>
                <w:sz w:val="24"/>
                <w:szCs w:val="24"/>
              </w:rPr>
              <w:t>staff qui sont importantes pour l’utilisation et la réception du produit par l’industrie du bâtiment ainsi que les essais de</w:t>
            </w:r>
            <w:r w:rsidRPr="00BD4AA0">
              <w:rPr>
                <w:sz w:val="24"/>
                <w:szCs w:val="24"/>
              </w:rPr>
              <w:br/>
              <w:t>référence de ces caractéristiques.</w:t>
            </w:r>
          </w:p>
          <w:p w:rsidR="00075E4C" w:rsidRDefault="00921C0A" w:rsidP="00075E4C">
            <w:pPr>
              <w:spacing w:after="0" w:line="240" w:lineRule="auto"/>
              <w:jc w:val="both"/>
              <w:rPr>
                <w:sz w:val="24"/>
                <w:szCs w:val="24"/>
              </w:rPr>
            </w:pPr>
            <w:r w:rsidRPr="00BD4AA0">
              <w:rPr>
                <w:sz w:val="24"/>
                <w:szCs w:val="24"/>
              </w:rPr>
              <w:t>Elle prévoit l’évaluation de la conformité des produits aux prescriptions qu’elle contient.</w:t>
            </w:r>
            <w:r w:rsidRPr="00BD4AA0">
              <w:rPr>
                <w:sz w:val="24"/>
                <w:szCs w:val="24"/>
              </w:rPr>
              <w:br/>
              <w:t>La présente norme ne s'applique pas :</w:t>
            </w:r>
          </w:p>
          <w:p w:rsidR="00812DD6" w:rsidRDefault="00921C0A" w:rsidP="00075E4C">
            <w:pPr>
              <w:spacing w:after="0" w:line="240" w:lineRule="auto"/>
              <w:jc w:val="both"/>
              <w:rPr>
                <w:sz w:val="24"/>
                <w:szCs w:val="24"/>
              </w:rPr>
            </w:pPr>
            <w:r w:rsidRPr="00BD4AA0">
              <w:rPr>
                <w:sz w:val="24"/>
                <w:szCs w:val="24"/>
              </w:rPr>
              <w:t>i) aux plaques de plâtre armé de fibres (voir le prEN 15283) ;</w:t>
            </w:r>
          </w:p>
          <w:p w:rsidR="00812DD6" w:rsidRDefault="00921C0A" w:rsidP="00075E4C">
            <w:pPr>
              <w:spacing w:after="0" w:line="240" w:lineRule="auto"/>
              <w:jc w:val="both"/>
              <w:rPr>
                <w:sz w:val="24"/>
                <w:szCs w:val="24"/>
              </w:rPr>
            </w:pPr>
            <w:r w:rsidRPr="00BD4AA0">
              <w:rPr>
                <w:sz w:val="24"/>
                <w:szCs w:val="24"/>
              </w:rPr>
              <w:t>ii) aux éléments en plâtre pour plafonds suspendus (voir l’EN 14246) ;</w:t>
            </w:r>
          </w:p>
          <w:p w:rsidR="00812DD6" w:rsidRDefault="00921C0A" w:rsidP="00075E4C">
            <w:pPr>
              <w:spacing w:after="0" w:line="240" w:lineRule="auto"/>
              <w:jc w:val="both"/>
              <w:rPr>
                <w:sz w:val="24"/>
                <w:szCs w:val="24"/>
              </w:rPr>
            </w:pPr>
            <w:r w:rsidRPr="00BD4AA0">
              <w:rPr>
                <w:sz w:val="24"/>
                <w:szCs w:val="24"/>
              </w:rPr>
              <w:t>iii) aux moulages en plâtre non armés ;</w:t>
            </w:r>
          </w:p>
          <w:p w:rsidR="00812DD6" w:rsidRDefault="00921C0A" w:rsidP="00075E4C">
            <w:pPr>
              <w:spacing w:after="0" w:line="240" w:lineRule="auto"/>
              <w:jc w:val="both"/>
              <w:rPr>
                <w:sz w:val="24"/>
                <w:szCs w:val="24"/>
              </w:rPr>
            </w:pPr>
            <w:r w:rsidRPr="00BD4AA0">
              <w:rPr>
                <w:sz w:val="24"/>
                <w:szCs w:val="24"/>
              </w:rPr>
              <w:t>iv) aux éléments en plâtre traînés au calibre en place ;</w:t>
            </w:r>
          </w:p>
          <w:p w:rsidR="00812DD6" w:rsidRDefault="00921C0A" w:rsidP="00075E4C">
            <w:pPr>
              <w:spacing w:after="0" w:line="240" w:lineRule="auto"/>
              <w:jc w:val="both"/>
              <w:rPr>
                <w:sz w:val="24"/>
                <w:szCs w:val="24"/>
              </w:rPr>
            </w:pPr>
            <w:r w:rsidRPr="00BD4AA0">
              <w:rPr>
                <w:sz w:val="24"/>
                <w:szCs w:val="24"/>
              </w:rPr>
              <w:t>v) aux moulages en stuc à base de plâtre et décors en carton-pierre ou résine ;</w:t>
            </w:r>
          </w:p>
          <w:p w:rsidR="00812DD6" w:rsidRDefault="00921C0A" w:rsidP="00075E4C">
            <w:pPr>
              <w:spacing w:after="0" w:line="240" w:lineRule="auto"/>
              <w:jc w:val="both"/>
              <w:rPr>
                <w:sz w:val="24"/>
                <w:szCs w:val="24"/>
              </w:rPr>
            </w:pPr>
            <w:r w:rsidRPr="00BD4AA0">
              <w:rPr>
                <w:sz w:val="24"/>
                <w:szCs w:val="24"/>
              </w:rPr>
              <w:t>vi) aux moules, modèles et maquettes en staff ;</w:t>
            </w:r>
          </w:p>
          <w:p w:rsidR="00812DD6" w:rsidRDefault="00921C0A" w:rsidP="00812DD6">
            <w:pPr>
              <w:spacing w:after="0" w:line="240" w:lineRule="auto"/>
              <w:jc w:val="both"/>
              <w:rPr>
                <w:sz w:val="24"/>
                <w:szCs w:val="24"/>
              </w:rPr>
            </w:pPr>
            <w:r w:rsidRPr="00BD4AA0">
              <w:rPr>
                <w:sz w:val="24"/>
                <w:szCs w:val="24"/>
              </w:rPr>
              <w:t>vii) aux moulages en staff qui par nature ne seraient pas destinés à être incorporés par fixation définitive dans</w:t>
            </w:r>
            <w:r w:rsidR="00812DD6">
              <w:rPr>
                <w:sz w:val="24"/>
                <w:szCs w:val="24"/>
              </w:rPr>
              <w:t xml:space="preserve"> </w:t>
            </w:r>
            <w:r w:rsidRPr="00BD4AA0">
              <w:rPr>
                <w:sz w:val="24"/>
                <w:szCs w:val="24"/>
              </w:rPr>
              <w:t>la construction ;</w:t>
            </w:r>
          </w:p>
          <w:p w:rsidR="00812DD6" w:rsidRDefault="00921C0A" w:rsidP="00812DD6">
            <w:pPr>
              <w:spacing w:after="0" w:line="240" w:lineRule="auto"/>
              <w:jc w:val="both"/>
              <w:rPr>
                <w:sz w:val="24"/>
                <w:szCs w:val="24"/>
              </w:rPr>
            </w:pPr>
            <w:r w:rsidRPr="00BD4AA0">
              <w:rPr>
                <w:sz w:val="24"/>
                <w:szCs w:val="24"/>
              </w:rPr>
              <w:t>viii) aux moulages en staff pour décors (théâtre, cinéma, télévision) ;</w:t>
            </w:r>
          </w:p>
          <w:p w:rsidR="00921C0A" w:rsidRPr="00BD4AA0" w:rsidRDefault="00921C0A" w:rsidP="00812DD6">
            <w:pPr>
              <w:spacing w:after="0" w:line="240" w:lineRule="auto"/>
              <w:rPr>
                <w:rFonts w:ascii="Times New Roman" w:hAnsi="Times New Roman" w:cs="Times New Roman"/>
                <w:sz w:val="24"/>
                <w:szCs w:val="24"/>
              </w:rPr>
            </w:pPr>
            <w:r w:rsidRPr="00BD4AA0">
              <w:rPr>
                <w:sz w:val="24"/>
                <w:szCs w:val="24"/>
              </w:rPr>
              <w:lastRenderedPageBreak/>
              <w:t xml:space="preserve">ix) aux moulages et décors en staff, lorsqu’ils sont destinés à être appliqués directement sur </w:t>
            </w:r>
            <w:r w:rsidR="00812DD6" w:rsidRPr="00812DD6">
              <w:rPr>
                <w:sz w:val="24"/>
                <w:szCs w:val="24"/>
              </w:rPr>
              <w:t>des parois — en</w:t>
            </w:r>
            <w:r w:rsidR="00812DD6">
              <w:rPr>
                <w:sz w:val="24"/>
                <w:szCs w:val="24"/>
              </w:rPr>
              <w:t xml:space="preserve"> </w:t>
            </w:r>
            <w:r w:rsidR="00812DD6" w:rsidRPr="00812DD6">
              <w:rPr>
                <w:sz w:val="24"/>
                <w:szCs w:val="24"/>
              </w:rPr>
              <w:t>élévation ou en plafond — existants ou créés, dans des applications uniquement décoratives.</w:t>
            </w:r>
            <w:r w:rsidR="00075E4C">
              <w:rPr>
                <w:sz w:val="24"/>
                <w:szCs w:val="24"/>
              </w:rPr>
              <w:t xml:space="preserve"> </w:t>
            </w:r>
          </w:p>
        </w:tc>
      </w:tr>
      <w:tr w:rsidR="00921C0A" w:rsidRPr="0043547B" w:rsidTr="001E0C3C">
        <w:trPr>
          <w:trHeight w:val="270"/>
          <w:jc w:val="center"/>
        </w:trPr>
        <w:tc>
          <w:tcPr>
            <w:tcW w:w="1838" w:type="dxa"/>
            <w:tcBorders>
              <w:top w:val="single" w:sz="18" w:space="0" w:color="auto"/>
              <w:left w:val="single" w:sz="18" w:space="0" w:color="auto"/>
              <w:bottom w:val="single" w:sz="18" w:space="0" w:color="auto"/>
              <w:right w:val="single" w:sz="18" w:space="0" w:color="auto"/>
            </w:tcBorders>
            <w:shd w:val="clear" w:color="auto" w:fill="C2D69B" w:themeFill="accent3" w:themeFillTint="99"/>
            <w:vAlign w:val="center"/>
          </w:tcPr>
          <w:p w:rsidR="00921C0A" w:rsidRPr="00BD4AA0" w:rsidRDefault="00921C0A" w:rsidP="00812DD6">
            <w:pPr>
              <w:spacing w:after="0" w:line="240" w:lineRule="auto"/>
              <w:jc w:val="center"/>
              <w:rPr>
                <w:rFonts w:ascii="Calibri" w:hAnsi="Calibri" w:cs="Calibri"/>
                <w:b/>
                <w:bCs/>
                <w:sz w:val="24"/>
                <w:szCs w:val="24"/>
              </w:rPr>
            </w:pPr>
            <w:r w:rsidRPr="00BD4AA0">
              <w:rPr>
                <w:rFonts w:ascii="Calibri" w:hAnsi="Calibri" w:cs="Calibri"/>
                <w:b/>
                <w:bCs/>
                <w:sz w:val="24"/>
                <w:szCs w:val="24"/>
              </w:rPr>
              <w:lastRenderedPageBreak/>
              <w:t>Code :</w:t>
            </w:r>
          </w:p>
        </w:tc>
        <w:tc>
          <w:tcPr>
            <w:tcW w:w="7938" w:type="dxa"/>
            <w:tcBorders>
              <w:top w:val="single" w:sz="18" w:space="0" w:color="auto"/>
              <w:left w:val="single" w:sz="18" w:space="0" w:color="auto"/>
              <w:bottom w:val="single" w:sz="18" w:space="0" w:color="auto"/>
              <w:right w:val="single" w:sz="18" w:space="0" w:color="auto"/>
            </w:tcBorders>
            <w:shd w:val="clear" w:color="auto" w:fill="C2D69B" w:themeFill="accent3" w:themeFillTint="99"/>
            <w:vAlign w:val="center"/>
          </w:tcPr>
          <w:p w:rsidR="00921C0A" w:rsidRPr="00812DD6" w:rsidRDefault="00921C0A" w:rsidP="00812DD6">
            <w:pPr>
              <w:spacing w:after="0" w:line="240" w:lineRule="auto"/>
              <w:jc w:val="center"/>
              <w:rPr>
                <w:rFonts w:ascii="Times New Roman" w:hAnsi="Times New Roman" w:cs="Times New Roman"/>
                <w:b/>
                <w:bCs/>
                <w:sz w:val="24"/>
                <w:szCs w:val="24"/>
              </w:rPr>
            </w:pPr>
            <w:r w:rsidRPr="00812DD6">
              <w:rPr>
                <w:b/>
                <w:bCs/>
                <w:sz w:val="24"/>
                <w:szCs w:val="24"/>
              </w:rPr>
              <w:t>NM EN 13915</w:t>
            </w:r>
          </w:p>
        </w:tc>
      </w:tr>
      <w:tr w:rsidR="00921C0A" w:rsidRPr="0043547B" w:rsidTr="001E0C3C">
        <w:trPr>
          <w:trHeight w:val="250"/>
          <w:jc w:val="center"/>
        </w:trPr>
        <w:tc>
          <w:tcPr>
            <w:tcW w:w="1838" w:type="dxa"/>
            <w:tcBorders>
              <w:top w:val="single" w:sz="18" w:space="0" w:color="auto"/>
              <w:left w:val="single" w:sz="18" w:space="0" w:color="auto"/>
              <w:bottom w:val="single" w:sz="18" w:space="0" w:color="auto"/>
              <w:right w:val="single" w:sz="18" w:space="0" w:color="auto"/>
            </w:tcBorders>
            <w:shd w:val="clear" w:color="auto" w:fill="FFFF66"/>
            <w:vAlign w:val="center"/>
          </w:tcPr>
          <w:p w:rsidR="00921C0A" w:rsidRPr="00BD4AA0" w:rsidRDefault="00921C0A" w:rsidP="00812DD6">
            <w:pPr>
              <w:spacing w:after="0" w:line="240" w:lineRule="auto"/>
              <w:jc w:val="center"/>
              <w:rPr>
                <w:rFonts w:ascii="Calibri" w:hAnsi="Calibri" w:cs="Calibri"/>
                <w:b/>
                <w:bCs/>
                <w:sz w:val="24"/>
                <w:szCs w:val="24"/>
              </w:rPr>
            </w:pPr>
            <w:r w:rsidRPr="00BD4AA0">
              <w:rPr>
                <w:rFonts w:ascii="Calibri" w:hAnsi="Calibri" w:cs="Calibri"/>
                <w:b/>
                <w:bCs/>
                <w:sz w:val="24"/>
                <w:szCs w:val="24"/>
              </w:rPr>
              <w:t>Equivalence :</w:t>
            </w:r>
          </w:p>
        </w:tc>
        <w:tc>
          <w:tcPr>
            <w:tcW w:w="7938" w:type="dxa"/>
            <w:tcBorders>
              <w:top w:val="single" w:sz="18" w:space="0" w:color="auto"/>
              <w:left w:val="single" w:sz="18" w:space="0" w:color="auto"/>
              <w:bottom w:val="single" w:sz="18" w:space="0" w:color="auto"/>
              <w:right w:val="single" w:sz="18" w:space="0" w:color="auto"/>
            </w:tcBorders>
            <w:shd w:val="clear" w:color="auto" w:fill="FFFF66"/>
            <w:vAlign w:val="center"/>
          </w:tcPr>
          <w:p w:rsidR="00921C0A" w:rsidRPr="00812DD6" w:rsidRDefault="00921C0A" w:rsidP="00812DD6">
            <w:pPr>
              <w:spacing w:after="0" w:line="240" w:lineRule="auto"/>
              <w:jc w:val="center"/>
              <w:rPr>
                <w:rFonts w:ascii="Times New Roman" w:hAnsi="Times New Roman" w:cs="Times New Roman"/>
                <w:b/>
                <w:bCs/>
                <w:sz w:val="24"/>
                <w:szCs w:val="24"/>
              </w:rPr>
            </w:pPr>
            <w:r w:rsidRPr="00812DD6">
              <w:rPr>
                <w:b/>
                <w:bCs/>
                <w:sz w:val="24"/>
                <w:szCs w:val="24"/>
              </w:rPr>
              <w:t>EN 13915</w:t>
            </w:r>
          </w:p>
        </w:tc>
      </w:tr>
      <w:tr w:rsidR="00921C0A" w:rsidRPr="0043547B" w:rsidTr="001E0C3C">
        <w:trPr>
          <w:trHeight w:val="577"/>
          <w:jc w:val="center"/>
        </w:trPr>
        <w:tc>
          <w:tcPr>
            <w:tcW w:w="1838" w:type="dxa"/>
            <w:tcBorders>
              <w:top w:val="single" w:sz="18" w:space="0" w:color="auto"/>
              <w:left w:val="single" w:sz="18" w:space="0" w:color="auto"/>
              <w:bottom w:val="single" w:sz="4" w:space="0" w:color="auto"/>
              <w:right w:val="single" w:sz="18" w:space="0" w:color="auto"/>
            </w:tcBorders>
            <w:shd w:val="clear" w:color="auto" w:fill="95B3D7" w:themeFill="accent1" w:themeFillTint="99"/>
            <w:vAlign w:val="center"/>
          </w:tcPr>
          <w:p w:rsidR="00921C0A" w:rsidRPr="00BD4AA0" w:rsidRDefault="00921C0A" w:rsidP="00812DD6">
            <w:pPr>
              <w:spacing w:after="0" w:line="240" w:lineRule="auto"/>
              <w:jc w:val="center"/>
              <w:rPr>
                <w:rFonts w:ascii="Calibri" w:hAnsi="Calibri" w:cs="Calibri"/>
                <w:b/>
                <w:bCs/>
                <w:sz w:val="24"/>
                <w:szCs w:val="24"/>
              </w:rPr>
            </w:pPr>
            <w:r w:rsidRPr="00BD4AA0">
              <w:rPr>
                <w:rFonts w:ascii="Calibri" w:hAnsi="Calibri" w:cs="Calibri"/>
                <w:b/>
                <w:bCs/>
                <w:sz w:val="24"/>
                <w:szCs w:val="24"/>
              </w:rPr>
              <w:t>Intitulé :</w:t>
            </w:r>
          </w:p>
        </w:tc>
        <w:tc>
          <w:tcPr>
            <w:tcW w:w="7938" w:type="dxa"/>
            <w:tcBorders>
              <w:top w:val="single" w:sz="18" w:space="0" w:color="auto"/>
              <w:left w:val="single" w:sz="18" w:space="0" w:color="auto"/>
              <w:bottom w:val="single" w:sz="4" w:space="0" w:color="auto"/>
              <w:right w:val="single" w:sz="18" w:space="0" w:color="auto"/>
            </w:tcBorders>
            <w:shd w:val="clear" w:color="auto" w:fill="auto"/>
          </w:tcPr>
          <w:p w:rsidR="00921C0A" w:rsidRPr="00BD4AA0" w:rsidRDefault="00921C0A" w:rsidP="00812DD6">
            <w:pPr>
              <w:spacing w:after="0" w:line="240" w:lineRule="auto"/>
              <w:rPr>
                <w:rFonts w:ascii="Times New Roman" w:hAnsi="Times New Roman" w:cs="Times New Roman"/>
                <w:sz w:val="24"/>
                <w:szCs w:val="24"/>
              </w:rPr>
            </w:pPr>
            <w:r w:rsidRPr="00BD4AA0">
              <w:rPr>
                <w:sz w:val="24"/>
                <w:szCs w:val="24"/>
              </w:rPr>
              <w:t xml:space="preserve">Panneaux de cloison préfabriqués en plaques de plâtre à âme </w:t>
            </w:r>
            <w:r w:rsidR="00812DD6" w:rsidRPr="00BD4AA0">
              <w:rPr>
                <w:sz w:val="24"/>
                <w:szCs w:val="24"/>
              </w:rPr>
              <w:t>cellulaire en carton -</w:t>
            </w:r>
            <w:r w:rsidRPr="00BD4AA0">
              <w:rPr>
                <w:sz w:val="24"/>
                <w:szCs w:val="24"/>
              </w:rPr>
              <w:t xml:space="preserve">  Définitions, prescriptions et méthodes d’essai </w:t>
            </w:r>
          </w:p>
        </w:tc>
      </w:tr>
      <w:tr w:rsidR="00921C0A" w:rsidRPr="0043547B" w:rsidTr="001E0C3C">
        <w:trPr>
          <w:trHeight w:val="799"/>
          <w:jc w:val="center"/>
        </w:trPr>
        <w:tc>
          <w:tcPr>
            <w:tcW w:w="1838" w:type="dxa"/>
            <w:tcBorders>
              <w:top w:val="single" w:sz="4" w:space="0" w:color="auto"/>
              <w:left w:val="single" w:sz="18" w:space="0" w:color="auto"/>
              <w:bottom w:val="single" w:sz="18" w:space="0" w:color="auto"/>
              <w:right w:val="single" w:sz="18" w:space="0" w:color="auto"/>
            </w:tcBorders>
            <w:shd w:val="clear" w:color="000000" w:fill="D9D9D9"/>
            <w:vAlign w:val="center"/>
          </w:tcPr>
          <w:p w:rsidR="00921C0A" w:rsidRPr="00BD4AA0" w:rsidRDefault="00921C0A" w:rsidP="00812DD6">
            <w:pPr>
              <w:spacing w:after="0" w:line="240" w:lineRule="auto"/>
              <w:jc w:val="center"/>
              <w:rPr>
                <w:rFonts w:ascii="Calibri" w:hAnsi="Calibri" w:cs="Calibri"/>
                <w:b/>
                <w:bCs/>
                <w:sz w:val="24"/>
                <w:szCs w:val="24"/>
              </w:rPr>
            </w:pPr>
            <w:r w:rsidRPr="00BD4AA0">
              <w:rPr>
                <w:rFonts w:ascii="Calibri" w:hAnsi="Calibri" w:cs="Calibri"/>
                <w:b/>
                <w:bCs/>
                <w:sz w:val="24"/>
                <w:szCs w:val="24"/>
              </w:rPr>
              <w:t>Domaine d’application :</w:t>
            </w:r>
          </w:p>
        </w:tc>
        <w:tc>
          <w:tcPr>
            <w:tcW w:w="7938" w:type="dxa"/>
            <w:tcBorders>
              <w:top w:val="single" w:sz="4" w:space="0" w:color="auto"/>
              <w:left w:val="single" w:sz="18" w:space="0" w:color="auto"/>
              <w:bottom w:val="single" w:sz="18" w:space="0" w:color="auto"/>
              <w:right w:val="single" w:sz="18" w:space="0" w:color="auto"/>
            </w:tcBorders>
            <w:shd w:val="clear" w:color="auto" w:fill="auto"/>
            <w:vAlign w:val="bottom"/>
          </w:tcPr>
          <w:p w:rsidR="00812DD6" w:rsidRDefault="00921C0A" w:rsidP="00812DD6">
            <w:pPr>
              <w:spacing w:after="0" w:line="240" w:lineRule="auto"/>
              <w:jc w:val="both"/>
              <w:rPr>
                <w:sz w:val="24"/>
                <w:szCs w:val="24"/>
              </w:rPr>
            </w:pPr>
            <w:r w:rsidRPr="00BD4AA0">
              <w:rPr>
                <w:sz w:val="24"/>
                <w:szCs w:val="24"/>
              </w:rPr>
              <w:t>La présente Norme européenne définit les caractéristiques et les performances des panneaux de cloison</w:t>
            </w:r>
            <w:r w:rsidR="00812DD6">
              <w:rPr>
                <w:sz w:val="24"/>
                <w:szCs w:val="24"/>
              </w:rPr>
              <w:t xml:space="preserve"> </w:t>
            </w:r>
            <w:r w:rsidRPr="00BD4AA0">
              <w:rPr>
                <w:sz w:val="24"/>
                <w:szCs w:val="24"/>
              </w:rPr>
              <w:t>préfabriqués composés de parements en plaques de plâtre conformes à l’EN 520 avec une âme cellulaire</w:t>
            </w:r>
            <w:r w:rsidR="00812DD6">
              <w:rPr>
                <w:sz w:val="24"/>
                <w:szCs w:val="24"/>
              </w:rPr>
              <w:t xml:space="preserve"> </w:t>
            </w:r>
            <w:r w:rsidRPr="00BD4AA0">
              <w:rPr>
                <w:sz w:val="24"/>
                <w:szCs w:val="24"/>
              </w:rPr>
              <w:t>en carton, conçus pour être utilisés comme cloison légère, revêtement ou enrobage à usage général dans</w:t>
            </w:r>
            <w:r w:rsidRPr="00BD4AA0">
              <w:rPr>
                <w:sz w:val="24"/>
                <w:szCs w:val="24"/>
              </w:rPr>
              <w:br/>
              <w:t>les bâtiments.</w:t>
            </w:r>
          </w:p>
          <w:p w:rsidR="00812DD6" w:rsidRDefault="00921C0A" w:rsidP="00812DD6">
            <w:pPr>
              <w:spacing w:after="0" w:line="240" w:lineRule="auto"/>
              <w:jc w:val="both"/>
              <w:rPr>
                <w:sz w:val="24"/>
                <w:szCs w:val="24"/>
              </w:rPr>
            </w:pPr>
            <w:r w:rsidRPr="00BD4AA0">
              <w:rPr>
                <w:sz w:val="24"/>
                <w:szCs w:val="24"/>
              </w:rPr>
              <w:t>La présente norme couvre les caractéristiques suivantes : réaction au feu, perméabilité à la vapeur d’eau,</w:t>
            </w:r>
            <w:r w:rsidR="00812DD6">
              <w:rPr>
                <w:sz w:val="24"/>
                <w:szCs w:val="24"/>
              </w:rPr>
              <w:t xml:space="preserve"> </w:t>
            </w:r>
            <w:r w:rsidRPr="00BD4AA0">
              <w:rPr>
                <w:sz w:val="24"/>
                <w:szCs w:val="24"/>
              </w:rPr>
              <w:t>résistance à la flexion (charge de rupture) et résistance thermique à mesurer conformément aux</w:t>
            </w:r>
            <w:r w:rsidR="00812DD6">
              <w:rPr>
                <w:sz w:val="24"/>
                <w:szCs w:val="24"/>
              </w:rPr>
              <w:t xml:space="preserve"> </w:t>
            </w:r>
            <w:r w:rsidRPr="00BD4AA0">
              <w:rPr>
                <w:sz w:val="24"/>
                <w:szCs w:val="24"/>
              </w:rPr>
              <w:t>méthodes d’essai européennes correspondantes.</w:t>
            </w:r>
          </w:p>
          <w:p w:rsidR="00812DD6" w:rsidRDefault="00921C0A" w:rsidP="00812DD6">
            <w:pPr>
              <w:spacing w:after="0" w:line="240" w:lineRule="auto"/>
              <w:jc w:val="both"/>
              <w:rPr>
                <w:sz w:val="24"/>
                <w:szCs w:val="24"/>
              </w:rPr>
            </w:pPr>
            <w:r w:rsidRPr="00BD4AA0">
              <w:rPr>
                <w:sz w:val="24"/>
                <w:szCs w:val="24"/>
              </w:rPr>
              <w:t>La présente norme couvre uniquement les panneaux de cloison préfabriqués installés de sorte que l’âme</w:t>
            </w:r>
            <w:r w:rsidR="00812DD6">
              <w:rPr>
                <w:sz w:val="24"/>
                <w:szCs w:val="24"/>
              </w:rPr>
              <w:t xml:space="preserve"> </w:t>
            </w:r>
            <w:r w:rsidRPr="00BD4AA0">
              <w:rPr>
                <w:sz w:val="24"/>
                <w:szCs w:val="24"/>
              </w:rPr>
              <w:t>n’est pas exposée.</w:t>
            </w:r>
          </w:p>
          <w:p w:rsidR="00812DD6" w:rsidRDefault="00921C0A" w:rsidP="00812DD6">
            <w:pPr>
              <w:spacing w:after="0" w:line="240" w:lineRule="auto"/>
              <w:jc w:val="both"/>
              <w:rPr>
                <w:sz w:val="24"/>
                <w:szCs w:val="24"/>
              </w:rPr>
            </w:pPr>
            <w:r w:rsidRPr="00BD4AA0">
              <w:rPr>
                <w:sz w:val="24"/>
                <w:szCs w:val="24"/>
              </w:rPr>
              <w:t>Les caractéristiques de performance suivantes sont liées aux systèmes assemblés avec des panneaux de</w:t>
            </w:r>
            <w:r w:rsidR="00812DD6">
              <w:rPr>
                <w:sz w:val="24"/>
                <w:szCs w:val="24"/>
              </w:rPr>
              <w:t xml:space="preserve"> </w:t>
            </w:r>
            <w:r w:rsidRPr="00BD4AA0">
              <w:rPr>
                <w:sz w:val="24"/>
                <w:szCs w:val="24"/>
              </w:rPr>
              <w:t>cloison préfabriqués composés de parements en plaques de plâtre avec une âme cellulaire en carton :</w:t>
            </w:r>
          </w:p>
          <w:p w:rsidR="00812DD6" w:rsidRDefault="00921C0A" w:rsidP="00812DD6">
            <w:pPr>
              <w:spacing w:after="0" w:line="240" w:lineRule="auto"/>
              <w:jc w:val="both"/>
              <w:rPr>
                <w:sz w:val="24"/>
                <w:szCs w:val="24"/>
              </w:rPr>
            </w:pPr>
            <w:r w:rsidRPr="00BD4AA0">
              <w:rPr>
                <w:sz w:val="24"/>
                <w:szCs w:val="24"/>
              </w:rPr>
              <w:t>résistance au cisaillement, résistance au feu, isolation acoustique aux bruits aériens, absorption</w:t>
            </w:r>
            <w:r w:rsidR="00812DD6">
              <w:rPr>
                <w:sz w:val="24"/>
                <w:szCs w:val="24"/>
              </w:rPr>
              <w:t xml:space="preserve"> </w:t>
            </w:r>
            <w:r w:rsidRPr="00BD4AA0">
              <w:rPr>
                <w:sz w:val="24"/>
                <w:szCs w:val="24"/>
              </w:rPr>
              <w:t>acoustique et perméabilité à l’air, qui doivent être mesurées conformément aux méthodes d’essai</w:t>
            </w:r>
            <w:r w:rsidR="00812DD6">
              <w:rPr>
                <w:sz w:val="24"/>
                <w:szCs w:val="24"/>
              </w:rPr>
              <w:t xml:space="preserve"> </w:t>
            </w:r>
            <w:r w:rsidRPr="00BD4AA0">
              <w:rPr>
                <w:sz w:val="24"/>
                <w:szCs w:val="24"/>
              </w:rPr>
              <w:t>européennes correspondantes. Au besoin, il convient d’effectuer des essais sur des systèmes assemblés</w:t>
            </w:r>
            <w:r w:rsidR="00812DD6">
              <w:rPr>
                <w:sz w:val="24"/>
                <w:szCs w:val="24"/>
              </w:rPr>
              <w:t xml:space="preserve"> </w:t>
            </w:r>
            <w:r w:rsidRPr="00BD4AA0">
              <w:rPr>
                <w:sz w:val="24"/>
                <w:szCs w:val="24"/>
              </w:rPr>
              <w:t>qui simulent les conditions d’utilisation finale.</w:t>
            </w:r>
          </w:p>
          <w:p w:rsidR="00812DD6" w:rsidRDefault="00921C0A" w:rsidP="00812DD6">
            <w:pPr>
              <w:spacing w:after="0" w:line="240" w:lineRule="auto"/>
              <w:jc w:val="both"/>
              <w:rPr>
                <w:sz w:val="24"/>
                <w:szCs w:val="24"/>
              </w:rPr>
            </w:pPr>
            <w:r w:rsidRPr="00BD4AA0">
              <w:rPr>
                <w:sz w:val="24"/>
                <w:szCs w:val="24"/>
              </w:rPr>
              <w:t>Le présent document couvre également les caractéristiques techniques supplémentaires qui ont une</w:t>
            </w:r>
            <w:r w:rsidR="00812DD6">
              <w:rPr>
                <w:sz w:val="24"/>
                <w:szCs w:val="24"/>
              </w:rPr>
              <w:t xml:space="preserve"> </w:t>
            </w:r>
            <w:r w:rsidRPr="00BD4AA0">
              <w:rPr>
                <w:sz w:val="24"/>
                <w:szCs w:val="24"/>
              </w:rPr>
              <w:t>incidence sur l’utilisation et la réception du produit par l’Industrie du Bâtiment.</w:t>
            </w:r>
          </w:p>
          <w:p w:rsidR="00921C0A" w:rsidRPr="00BD4AA0" w:rsidRDefault="00921C0A" w:rsidP="00812DD6">
            <w:pPr>
              <w:spacing w:after="0" w:line="240" w:lineRule="auto"/>
              <w:jc w:val="both"/>
              <w:rPr>
                <w:rFonts w:ascii="Times New Roman" w:hAnsi="Times New Roman" w:cs="Times New Roman"/>
                <w:sz w:val="24"/>
                <w:szCs w:val="24"/>
              </w:rPr>
            </w:pPr>
            <w:r w:rsidRPr="00BD4AA0">
              <w:rPr>
                <w:sz w:val="24"/>
                <w:szCs w:val="24"/>
              </w:rPr>
              <w:t>Elle spécifie l’évaluation et la vérification de la constance des performances des produits.</w:t>
            </w:r>
          </w:p>
        </w:tc>
      </w:tr>
      <w:tr w:rsidR="00921C0A" w:rsidRPr="0043547B" w:rsidTr="001E0C3C">
        <w:trPr>
          <w:trHeight w:val="442"/>
          <w:jc w:val="center"/>
        </w:trPr>
        <w:tc>
          <w:tcPr>
            <w:tcW w:w="1838" w:type="dxa"/>
            <w:tcBorders>
              <w:top w:val="single" w:sz="18" w:space="0" w:color="auto"/>
              <w:left w:val="single" w:sz="18" w:space="0" w:color="auto"/>
              <w:bottom w:val="single" w:sz="18" w:space="0" w:color="auto"/>
              <w:right w:val="single" w:sz="18" w:space="0" w:color="auto"/>
            </w:tcBorders>
            <w:shd w:val="clear" w:color="auto" w:fill="C2D69B" w:themeFill="accent3" w:themeFillTint="99"/>
            <w:vAlign w:val="center"/>
          </w:tcPr>
          <w:p w:rsidR="00921C0A" w:rsidRPr="00BD4AA0" w:rsidRDefault="00921C0A" w:rsidP="00812DD6">
            <w:pPr>
              <w:spacing w:after="0" w:line="240" w:lineRule="auto"/>
              <w:jc w:val="center"/>
              <w:rPr>
                <w:rFonts w:ascii="Calibri" w:hAnsi="Calibri" w:cs="Calibri"/>
                <w:b/>
                <w:bCs/>
                <w:sz w:val="24"/>
                <w:szCs w:val="24"/>
              </w:rPr>
            </w:pPr>
            <w:r w:rsidRPr="00BD4AA0">
              <w:rPr>
                <w:rFonts w:ascii="Calibri" w:hAnsi="Calibri" w:cs="Calibri"/>
                <w:b/>
                <w:bCs/>
                <w:sz w:val="24"/>
                <w:szCs w:val="24"/>
              </w:rPr>
              <w:t>Code :</w:t>
            </w:r>
          </w:p>
        </w:tc>
        <w:tc>
          <w:tcPr>
            <w:tcW w:w="7938" w:type="dxa"/>
            <w:tcBorders>
              <w:top w:val="single" w:sz="18" w:space="0" w:color="auto"/>
              <w:left w:val="single" w:sz="18" w:space="0" w:color="auto"/>
              <w:bottom w:val="single" w:sz="18" w:space="0" w:color="auto"/>
              <w:right w:val="single" w:sz="18" w:space="0" w:color="auto"/>
            </w:tcBorders>
            <w:shd w:val="clear" w:color="auto" w:fill="C2D69B" w:themeFill="accent3" w:themeFillTint="99"/>
            <w:vAlign w:val="center"/>
          </w:tcPr>
          <w:p w:rsidR="00921C0A" w:rsidRPr="00812DD6" w:rsidRDefault="00921C0A" w:rsidP="00812DD6">
            <w:pPr>
              <w:spacing w:after="0" w:line="240" w:lineRule="auto"/>
              <w:jc w:val="center"/>
              <w:rPr>
                <w:rFonts w:ascii="Times New Roman" w:hAnsi="Times New Roman" w:cs="Times New Roman"/>
                <w:b/>
                <w:bCs/>
                <w:sz w:val="24"/>
                <w:szCs w:val="24"/>
              </w:rPr>
            </w:pPr>
            <w:r w:rsidRPr="00812DD6">
              <w:rPr>
                <w:b/>
                <w:bCs/>
                <w:sz w:val="24"/>
                <w:szCs w:val="24"/>
              </w:rPr>
              <w:t>NM EN 13963</w:t>
            </w:r>
          </w:p>
        </w:tc>
      </w:tr>
      <w:tr w:rsidR="00921C0A" w:rsidRPr="0043547B" w:rsidTr="001E0C3C">
        <w:trPr>
          <w:trHeight w:val="436"/>
          <w:jc w:val="center"/>
        </w:trPr>
        <w:tc>
          <w:tcPr>
            <w:tcW w:w="1838" w:type="dxa"/>
            <w:tcBorders>
              <w:top w:val="single" w:sz="18" w:space="0" w:color="auto"/>
              <w:left w:val="single" w:sz="18" w:space="0" w:color="auto"/>
              <w:bottom w:val="single" w:sz="18" w:space="0" w:color="auto"/>
              <w:right w:val="single" w:sz="18" w:space="0" w:color="auto"/>
            </w:tcBorders>
            <w:shd w:val="clear" w:color="auto" w:fill="FFFF99"/>
            <w:vAlign w:val="center"/>
          </w:tcPr>
          <w:p w:rsidR="00921C0A" w:rsidRPr="00BD4AA0" w:rsidRDefault="00921C0A" w:rsidP="00812DD6">
            <w:pPr>
              <w:spacing w:after="0" w:line="240" w:lineRule="auto"/>
              <w:jc w:val="center"/>
              <w:rPr>
                <w:rFonts w:ascii="Calibri" w:hAnsi="Calibri" w:cs="Calibri"/>
                <w:b/>
                <w:bCs/>
                <w:sz w:val="24"/>
                <w:szCs w:val="24"/>
              </w:rPr>
            </w:pPr>
            <w:r w:rsidRPr="00BD4AA0">
              <w:rPr>
                <w:rFonts w:ascii="Calibri" w:hAnsi="Calibri" w:cs="Calibri"/>
                <w:b/>
                <w:bCs/>
                <w:sz w:val="24"/>
                <w:szCs w:val="24"/>
              </w:rPr>
              <w:t>Equivalence :</w:t>
            </w:r>
          </w:p>
        </w:tc>
        <w:tc>
          <w:tcPr>
            <w:tcW w:w="7938" w:type="dxa"/>
            <w:tcBorders>
              <w:top w:val="single" w:sz="18" w:space="0" w:color="auto"/>
              <w:left w:val="single" w:sz="18" w:space="0" w:color="auto"/>
              <w:bottom w:val="single" w:sz="18" w:space="0" w:color="auto"/>
              <w:right w:val="single" w:sz="18" w:space="0" w:color="auto"/>
            </w:tcBorders>
            <w:shd w:val="clear" w:color="auto" w:fill="FFFF99"/>
            <w:vAlign w:val="center"/>
          </w:tcPr>
          <w:p w:rsidR="00921C0A" w:rsidRPr="00812DD6" w:rsidRDefault="00921C0A" w:rsidP="00812DD6">
            <w:pPr>
              <w:spacing w:after="0" w:line="240" w:lineRule="auto"/>
              <w:jc w:val="center"/>
              <w:rPr>
                <w:rFonts w:ascii="Times New Roman" w:hAnsi="Times New Roman" w:cs="Times New Roman"/>
                <w:b/>
                <w:bCs/>
                <w:sz w:val="24"/>
                <w:szCs w:val="24"/>
              </w:rPr>
            </w:pPr>
            <w:r w:rsidRPr="00812DD6">
              <w:rPr>
                <w:b/>
                <w:bCs/>
                <w:sz w:val="24"/>
                <w:szCs w:val="24"/>
              </w:rPr>
              <w:t>EN 13963</w:t>
            </w:r>
          </w:p>
        </w:tc>
      </w:tr>
      <w:tr w:rsidR="00921C0A" w:rsidRPr="0043547B" w:rsidTr="001E0C3C">
        <w:trPr>
          <w:trHeight w:val="626"/>
          <w:jc w:val="center"/>
        </w:trPr>
        <w:tc>
          <w:tcPr>
            <w:tcW w:w="1838" w:type="dxa"/>
            <w:tcBorders>
              <w:top w:val="single" w:sz="18" w:space="0" w:color="auto"/>
              <w:left w:val="single" w:sz="18" w:space="0" w:color="auto"/>
              <w:bottom w:val="single" w:sz="4" w:space="0" w:color="auto"/>
              <w:right w:val="single" w:sz="18" w:space="0" w:color="auto"/>
            </w:tcBorders>
            <w:shd w:val="clear" w:color="auto" w:fill="95B3D7" w:themeFill="accent1" w:themeFillTint="99"/>
            <w:vAlign w:val="center"/>
          </w:tcPr>
          <w:p w:rsidR="00921C0A" w:rsidRPr="00BD4AA0" w:rsidRDefault="00921C0A" w:rsidP="00812DD6">
            <w:pPr>
              <w:spacing w:after="0" w:line="240" w:lineRule="auto"/>
              <w:jc w:val="center"/>
              <w:rPr>
                <w:rFonts w:ascii="Calibri" w:hAnsi="Calibri" w:cs="Calibri"/>
                <w:b/>
                <w:bCs/>
                <w:sz w:val="24"/>
                <w:szCs w:val="24"/>
              </w:rPr>
            </w:pPr>
            <w:r w:rsidRPr="00BD4AA0">
              <w:rPr>
                <w:rFonts w:ascii="Calibri" w:hAnsi="Calibri" w:cs="Calibri"/>
                <w:b/>
                <w:bCs/>
                <w:sz w:val="24"/>
                <w:szCs w:val="24"/>
              </w:rPr>
              <w:t>Intitulé :</w:t>
            </w:r>
          </w:p>
        </w:tc>
        <w:tc>
          <w:tcPr>
            <w:tcW w:w="7938" w:type="dxa"/>
            <w:tcBorders>
              <w:top w:val="single" w:sz="18" w:space="0" w:color="auto"/>
              <w:left w:val="single" w:sz="18" w:space="0" w:color="auto"/>
              <w:bottom w:val="single" w:sz="4" w:space="0" w:color="auto"/>
              <w:right w:val="single" w:sz="18" w:space="0" w:color="auto"/>
            </w:tcBorders>
            <w:shd w:val="clear" w:color="auto" w:fill="auto"/>
          </w:tcPr>
          <w:p w:rsidR="00921C0A" w:rsidRPr="00BD4AA0" w:rsidRDefault="00921C0A" w:rsidP="00812DD6">
            <w:pPr>
              <w:spacing w:after="0" w:line="240" w:lineRule="auto"/>
              <w:rPr>
                <w:rFonts w:ascii="Times New Roman" w:hAnsi="Times New Roman" w:cs="Times New Roman"/>
                <w:sz w:val="24"/>
                <w:szCs w:val="24"/>
              </w:rPr>
            </w:pPr>
            <w:r w:rsidRPr="00BD4AA0">
              <w:rPr>
                <w:sz w:val="24"/>
                <w:szCs w:val="24"/>
              </w:rPr>
              <w:t xml:space="preserve">Matériaux  de  jointoiement  pour  plaques  de plâtre  -  Définitions,  exigences  et  méthodes </w:t>
            </w:r>
          </w:p>
        </w:tc>
      </w:tr>
      <w:tr w:rsidR="00921C0A" w:rsidRPr="0043547B" w:rsidTr="001E0C3C">
        <w:trPr>
          <w:trHeight w:val="799"/>
          <w:jc w:val="center"/>
        </w:trPr>
        <w:tc>
          <w:tcPr>
            <w:tcW w:w="1838" w:type="dxa"/>
            <w:tcBorders>
              <w:top w:val="single" w:sz="4" w:space="0" w:color="auto"/>
              <w:left w:val="single" w:sz="18" w:space="0" w:color="auto"/>
              <w:bottom w:val="single" w:sz="18" w:space="0" w:color="auto"/>
              <w:right w:val="single" w:sz="18" w:space="0" w:color="auto"/>
            </w:tcBorders>
            <w:shd w:val="clear" w:color="000000" w:fill="D9D9D9"/>
            <w:vAlign w:val="center"/>
          </w:tcPr>
          <w:p w:rsidR="00921C0A" w:rsidRPr="00BD4AA0" w:rsidRDefault="00921C0A" w:rsidP="00812DD6">
            <w:pPr>
              <w:jc w:val="center"/>
              <w:rPr>
                <w:rFonts w:ascii="Calibri" w:hAnsi="Calibri" w:cs="Calibri"/>
                <w:b/>
                <w:bCs/>
                <w:sz w:val="24"/>
                <w:szCs w:val="24"/>
              </w:rPr>
            </w:pPr>
            <w:r w:rsidRPr="00BD4AA0">
              <w:rPr>
                <w:rFonts w:ascii="Calibri" w:hAnsi="Calibri" w:cs="Calibri"/>
                <w:b/>
                <w:bCs/>
                <w:sz w:val="24"/>
                <w:szCs w:val="24"/>
              </w:rPr>
              <w:t>Domaine d’application :</w:t>
            </w:r>
          </w:p>
        </w:tc>
        <w:tc>
          <w:tcPr>
            <w:tcW w:w="7938" w:type="dxa"/>
            <w:tcBorders>
              <w:top w:val="single" w:sz="4" w:space="0" w:color="auto"/>
              <w:left w:val="single" w:sz="18" w:space="0" w:color="auto"/>
              <w:bottom w:val="single" w:sz="18" w:space="0" w:color="auto"/>
              <w:right w:val="single" w:sz="18" w:space="0" w:color="auto"/>
            </w:tcBorders>
            <w:shd w:val="clear" w:color="auto" w:fill="auto"/>
            <w:vAlign w:val="bottom"/>
          </w:tcPr>
          <w:p w:rsidR="00812DD6" w:rsidRDefault="00921C0A" w:rsidP="00812DD6">
            <w:pPr>
              <w:spacing w:after="0" w:line="240" w:lineRule="auto"/>
              <w:jc w:val="both"/>
              <w:rPr>
                <w:sz w:val="24"/>
                <w:szCs w:val="24"/>
              </w:rPr>
            </w:pPr>
            <w:r w:rsidRPr="00BD4AA0">
              <w:rPr>
                <w:sz w:val="24"/>
                <w:szCs w:val="24"/>
              </w:rPr>
              <w:t>La présente Norme européenne spécifie les exigences relatives aux enduits de jointoiement et aux bandes à joint</w:t>
            </w:r>
            <w:r w:rsidR="00812DD6">
              <w:rPr>
                <w:sz w:val="24"/>
                <w:szCs w:val="24"/>
              </w:rPr>
              <w:t xml:space="preserve"> </w:t>
            </w:r>
            <w:r w:rsidRPr="00BD4AA0">
              <w:rPr>
                <w:sz w:val="24"/>
                <w:szCs w:val="24"/>
              </w:rPr>
              <w:t>papier utilisés pour le remplissage et la finition des joints formés aux bords et aux extrémités de plaques de plâtre</w:t>
            </w:r>
            <w:r w:rsidRPr="00BD4AA0">
              <w:rPr>
                <w:sz w:val="24"/>
                <w:szCs w:val="24"/>
              </w:rPr>
              <w:br/>
              <w:t>conformes à l’EN 520, de produits issus d’un traitement secondaire conformes à l’EN 14190, de panneaux de cloison</w:t>
            </w:r>
            <w:r w:rsidR="00812DD6">
              <w:rPr>
                <w:sz w:val="24"/>
                <w:szCs w:val="24"/>
              </w:rPr>
              <w:t xml:space="preserve"> </w:t>
            </w:r>
            <w:r w:rsidRPr="00BD4AA0">
              <w:rPr>
                <w:sz w:val="24"/>
                <w:szCs w:val="24"/>
              </w:rPr>
              <w:t>préfabriqués en plaques de plâtre à âme cellulaire en carton conformes à l’EN 13915, de complexes d’isolation</w:t>
            </w:r>
            <w:r w:rsidRPr="00BD4AA0">
              <w:rPr>
                <w:sz w:val="24"/>
                <w:szCs w:val="24"/>
              </w:rPr>
              <w:br/>
              <w:t>thermique/acoustique conformes à l’EN 13950, de corniches préformées en plâtre conformes à l’EN 14209 et de</w:t>
            </w:r>
            <w:r w:rsidR="00812DD6">
              <w:rPr>
                <w:sz w:val="24"/>
                <w:szCs w:val="24"/>
              </w:rPr>
              <w:t xml:space="preserve"> </w:t>
            </w:r>
            <w:r w:rsidRPr="00BD4AA0">
              <w:rPr>
                <w:sz w:val="24"/>
                <w:szCs w:val="24"/>
              </w:rPr>
              <w:t>plaques de plâtre armées de fibres conformes à l’EN 15283-1 et l’EN 15283-2.</w:t>
            </w:r>
          </w:p>
          <w:p w:rsidR="00921C0A" w:rsidRPr="00BD4AA0" w:rsidRDefault="00921C0A" w:rsidP="00812DD6">
            <w:pPr>
              <w:spacing w:after="0" w:line="240" w:lineRule="auto"/>
              <w:jc w:val="both"/>
              <w:rPr>
                <w:rFonts w:ascii="Times New Roman" w:hAnsi="Times New Roman" w:cs="Times New Roman"/>
                <w:sz w:val="24"/>
                <w:szCs w:val="24"/>
              </w:rPr>
            </w:pPr>
            <w:r w:rsidRPr="00BD4AA0">
              <w:rPr>
                <w:sz w:val="24"/>
                <w:szCs w:val="24"/>
              </w:rPr>
              <w:t>La présente Norme européenne ne couvre pas les bandes qui ne sont pas en papier.</w:t>
            </w:r>
            <w:r w:rsidRPr="00BD4AA0">
              <w:rPr>
                <w:sz w:val="24"/>
                <w:szCs w:val="24"/>
              </w:rPr>
              <w:br/>
              <w:t xml:space="preserve">La présente Norme européenne couvre les caractéristiques suivantes : la </w:t>
            </w:r>
            <w:r w:rsidRPr="00BD4AA0">
              <w:rPr>
                <w:sz w:val="24"/>
                <w:szCs w:val="24"/>
              </w:rPr>
              <w:lastRenderedPageBreak/>
              <w:t>réaction au feu et la résistance à la flexion,</w:t>
            </w:r>
            <w:r w:rsidR="00812DD6">
              <w:rPr>
                <w:sz w:val="24"/>
                <w:szCs w:val="24"/>
              </w:rPr>
              <w:t xml:space="preserve"> </w:t>
            </w:r>
            <w:r w:rsidRPr="00BD4AA0">
              <w:rPr>
                <w:sz w:val="24"/>
                <w:szCs w:val="24"/>
              </w:rPr>
              <w:t>qui doivent être mesurées conformément aux méthodes d’essai applicables dans le présent document.</w:t>
            </w:r>
          </w:p>
        </w:tc>
      </w:tr>
      <w:tr w:rsidR="00921C0A" w:rsidRPr="0043547B" w:rsidTr="001E0C3C">
        <w:trPr>
          <w:trHeight w:val="368"/>
          <w:jc w:val="center"/>
        </w:trPr>
        <w:tc>
          <w:tcPr>
            <w:tcW w:w="1838" w:type="dxa"/>
            <w:tcBorders>
              <w:top w:val="single" w:sz="18" w:space="0" w:color="auto"/>
              <w:left w:val="single" w:sz="18" w:space="0" w:color="auto"/>
              <w:bottom w:val="single" w:sz="18" w:space="0" w:color="auto"/>
              <w:right w:val="single" w:sz="18" w:space="0" w:color="auto"/>
            </w:tcBorders>
            <w:shd w:val="clear" w:color="auto" w:fill="C2D69B" w:themeFill="accent3" w:themeFillTint="99"/>
            <w:vAlign w:val="center"/>
          </w:tcPr>
          <w:p w:rsidR="00921C0A" w:rsidRPr="00BD4AA0" w:rsidRDefault="00921C0A" w:rsidP="00812DD6">
            <w:pPr>
              <w:spacing w:after="0" w:line="240" w:lineRule="auto"/>
              <w:jc w:val="center"/>
              <w:rPr>
                <w:rFonts w:ascii="Calibri" w:hAnsi="Calibri" w:cs="Calibri"/>
                <w:b/>
                <w:bCs/>
                <w:sz w:val="24"/>
                <w:szCs w:val="24"/>
              </w:rPr>
            </w:pPr>
            <w:r w:rsidRPr="00BD4AA0">
              <w:rPr>
                <w:rFonts w:ascii="Calibri" w:hAnsi="Calibri" w:cs="Calibri"/>
                <w:b/>
                <w:bCs/>
                <w:sz w:val="24"/>
                <w:szCs w:val="24"/>
              </w:rPr>
              <w:lastRenderedPageBreak/>
              <w:t>Code :</w:t>
            </w:r>
          </w:p>
        </w:tc>
        <w:tc>
          <w:tcPr>
            <w:tcW w:w="7938" w:type="dxa"/>
            <w:tcBorders>
              <w:top w:val="single" w:sz="18" w:space="0" w:color="auto"/>
              <w:left w:val="single" w:sz="18" w:space="0" w:color="auto"/>
              <w:bottom w:val="single" w:sz="18" w:space="0" w:color="auto"/>
              <w:right w:val="single" w:sz="18" w:space="0" w:color="auto"/>
            </w:tcBorders>
            <w:shd w:val="clear" w:color="auto" w:fill="C2D69B" w:themeFill="accent3" w:themeFillTint="99"/>
            <w:vAlign w:val="center"/>
          </w:tcPr>
          <w:p w:rsidR="00921C0A" w:rsidRPr="00812DD6" w:rsidRDefault="00921C0A" w:rsidP="00812DD6">
            <w:pPr>
              <w:spacing w:after="0" w:line="240" w:lineRule="auto"/>
              <w:jc w:val="center"/>
              <w:rPr>
                <w:rFonts w:ascii="Times New Roman" w:hAnsi="Times New Roman" w:cs="Times New Roman"/>
                <w:b/>
                <w:bCs/>
                <w:sz w:val="24"/>
                <w:szCs w:val="24"/>
              </w:rPr>
            </w:pPr>
            <w:r w:rsidRPr="00812DD6">
              <w:rPr>
                <w:b/>
                <w:bCs/>
                <w:sz w:val="24"/>
                <w:szCs w:val="24"/>
              </w:rPr>
              <w:t>NM EN 14190</w:t>
            </w:r>
          </w:p>
        </w:tc>
      </w:tr>
      <w:tr w:rsidR="00921C0A" w:rsidRPr="0043547B" w:rsidTr="001E0C3C">
        <w:trPr>
          <w:trHeight w:val="362"/>
          <w:jc w:val="center"/>
        </w:trPr>
        <w:tc>
          <w:tcPr>
            <w:tcW w:w="1838" w:type="dxa"/>
            <w:tcBorders>
              <w:top w:val="single" w:sz="18" w:space="0" w:color="auto"/>
              <w:left w:val="single" w:sz="18" w:space="0" w:color="auto"/>
              <w:bottom w:val="single" w:sz="18" w:space="0" w:color="auto"/>
              <w:right w:val="single" w:sz="18" w:space="0" w:color="auto"/>
            </w:tcBorders>
            <w:shd w:val="clear" w:color="auto" w:fill="FFFF99"/>
            <w:vAlign w:val="center"/>
          </w:tcPr>
          <w:p w:rsidR="00921C0A" w:rsidRPr="00BD4AA0" w:rsidRDefault="00921C0A" w:rsidP="00812DD6">
            <w:pPr>
              <w:spacing w:after="0" w:line="240" w:lineRule="auto"/>
              <w:jc w:val="center"/>
              <w:rPr>
                <w:rFonts w:ascii="Calibri" w:hAnsi="Calibri" w:cs="Calibri"/>
                <w:b/>
                <w:bCs/>
                <w:sz w:val="24"/>
                <w:szCs w:val="24"/>
              </w:rPr>
            </w:pPr>
            <w:r w:rsidRPr="00BD4AA0">
              <w:rPr>
                <w:rFonts w:ascii="Calibri" w:hAnsi="Calibri" w:cs="Calibri"/>
                <w:b/>
                <w:bCs/>
                <w:sz w:val="24"/>
                <w:szCs w:val="24"/>
              </w:rPr>
              <w:t>Equivalence :</w:t>
            </w:r>
          </w:p>
        </w:tc>
        <w:tc>
          <w:tcPr>
            <w:tcW w:w="7938" w:type="dxa"/>
            <w:tcBorders>
              <w:top w:val="single" w:sz="18" w:space="0" w:color="auto"/>
              <w:left w:val="single" w:sz="18" w:space="0" w:color="auto"/>
              <w:bottom w:val="single" w:sz="18" w:space="0" w:color="auto"/>
              <w:right w:val="single" w:sz="18" w:space="0" w:color="auto"/>
            </w:tcBorders>
            <w:shd w:val="clear" w:color="auto" w:fill="FFFF99"/>
            <w:vAlign w:val="center"/>
          </w:tcPr>
          <w:p w:rsidR="00921C0A" w:rsidRPr="00812DD6" w:rsidRDefault="00921C0A" w:rsidP="00812DD6">
            <w:pPr>
              <w:spacing w:after="0" w:line="240" w:lineRule="auto"/>
              <w:jc w:val="center"/>
              <w:rPr>
                <w:rFonts w:ascii="Times New Roman" w:hAnsi="Times New Roman" w:cs="Times New Roman"/>
                <w:b/>
                <w:bCs/>
                <w:sz w:val="24"/>
                <w:szCs w:val="24"/>
              </w:rPr>
            </w:pPr>
            <w:r w:rsidRPr="00812DD6">
              <w:rPr>
                <w:b/>
                <w:bCs/>
                <w:sz w:val="24"/>
                <w:szCs w:val="24"/>
              </w:rPr>
              <w:t>EN 14190</w:t>
            </w:r>
          </w:p>
        </w:tc>
      </w:tr>
      <w:tr w:rsidR="00921C0A" w:rsidRPr="0043547B" w:rsidTr="001E0C3C">
        <w:trPr>
          <w:trHeight w:val="535"/>
          <w:jc w:val="center"/>
        </w:trPr>
        <w:tc>
          <w:tcPr>
            <w:tcW w:w="1838" w:type="dxa"/>
            <w:tcBorders>
              <w:top w:val="single" w:sz="18" w:space="0" w:color="auto"/>
              <w:left w:val="single" w:sz="18" w:space="0" w:color="auto"/>
              <w:bottom w:val="single" w:sz="4" w:space="0" w:color="auto"/>
              <w:right w:val="single" w:sz="18" w:space="0" w:color="auto"/>
            </w:tcBorders>
            <w:shd w:val="clear" w:color="auto" w:fill="95B3D7" w:themeFill="accent1" w:themeFillTint="99"/>
            <w:vAlign w:val="center"/>
          </w:tcPr>
          <w:p w:rsidR="00921C0A" w:rsidRPr="00BD4AA0" w:rsidRDefault="00921C0A" w:rsidP="00812DD6">
            <w:pPr>
              <w:spacing w:after="0" w:line="240" w:lineRule="auto"/>
              <w:jc w:val="center"/>
              <w:rPr>
                <w:rFonts w:ascii="Calibri" w:hAnsi="Calibri" w:cs="Calibri"/>
                <w:b/>
                <w:bCs/>
                <w:sz w:val="24"/>
                <w:szCs w:val="24"/>
              </w:rPr>
            </w:pPr>
            <w:r w:rsidRPr="00BD4AA0">
              <w:rPr>
                <w:rFonts w:ascii="Calibri" w:hAnsi="Calibri" w:cs="Calibri"/>
                <w:b/>
                <w:bCs/>
                <w:sz w:val="24"/>
                <w:szCs w:val="24"/>
              </w:rPr>
              <w:t>Intitulé :</w:t>
            </w:r>
          </w:p>
        </w:tc>
        <w:tc>
          <w:tcPr>
            <w:tcW w:w="7938" w:type="dxa"/>
            <w:tcBorders>
              <w:top w:val="single" w:sz="18" w:space="0" w:color="auto"/>
              <w:left w:val="single" w:sz="18" w:space="0" w:color="auto"/>
              <w:bottom w:val="single" w:sz="4" w:space="0" w:color="auto"/>
              <w:right w:val="single" w:sz="18" w:space="0" w:color="auto"/>
            </w:tcBorders>
            <w:shd w:val="clear" w:color="auto" w:fill="auto"/>
          </w:tcPr>
          <w:p w:rsidR="00921C0A" w:rsidRPr="00BD4AA0" w:rsidRDefault="00921C0A" w:rsidP="00812DD6">
            <w:pPr>
              <w:spacing w:after="0" w:line="240" w:lineRule="auto"/>
              <w:rPr>
                <w:rFonts w:ascii="Times New Roman" w:hAnsi="Times New Roman" w:cs="Times New Roman"/>
                <w:sz w:val="24"/>
                <w:szCs w:val="24"/>
              </w:rPr>
            </w:pPr>
            <w:r w:rsidRPr="00BD4AA0">
              <w:rPr>
                <w:sz w:val="24"/>
                <w:szCs w:val="24"/>
              </w:rPr>
              <w:t xml:space="preserve">Produits de transformation secondaire de plaques de  plâtre  -  Définitions,  spécifications  et  méthodes  d’essai </w:t>
            </w:r>
          </w:p>
        </w:tc>
      </w:tr>
      <w:tr w:rsidR="00921C0A" w:rsidRPr="0043547B" w:rsidTr="001E0C3C">
        <w:trPr>
          <w:trHeight w:val="799"/>
          <w:jc w:val="center"/>
        </w:trPr>
        <w:tc>
          <w:tcPr>
            <w:tcW w:w="1838" w:type="dxa"/>
            <w:tcBorders>
              <w:top w:val="single" w:sz="4" w:space="0" w:color="auto"/>
              <w:left w:val="single" w:sz="18" w:space="0" w:color="auto"/>
              <w:bottom w:val="single" w:sz="18" w:space="0" w:color="auto"/>
              <w:right w:val="single" w:sz="18" w:space="0" w:color="auto"/>
            </w:tcBorders>
            <w:shd w:val="clear" w:color="000000" w:fill="D9D9D9"/>
            <w:vAlign w:val="center"/>
          </w:tcPr>
          <w:p w:rsidR="00921C0A" w:rsidRPr="00BD4AA0" w:rsidRDefault="00921C0A" w:rsidP="00812DD6">
            <w:pPr>
              <w:spacing w:after="0" w:line="240" w:lineRule="auto"/>
              <w:jc w:val="center"/>
              <w:rPr>
                <w:rFonts w:ascii="Calibri" w:hAnsi="Calibri" w:cs="Calibri"/>
                <w:b/>
                <w:bCs/>
                <w:sz w:val="24"/>
                <w:szCs w:val="24"/>
              </w:rPr>
            </w:pPr>
            <w:r w:rsidRPr="00BD4AA0">
              <w:rPr>
                <w:rFonts w:ascii="Calibri" w:hAnsi="Calibri" w:cs="Calibri"/>
                <w:b/>
                <w:bCs/>
                <w:sz w:val="24"/>
                <w:szCs w:val="24"/>
              </w:rPr>
              <w:t>Domaine d’application :</w:t>
            </w:r>
          </w:p>
        </w:tc>
        <w:tc>
          <w:tcPr>
            <w:tcW w:w="7938" w:type="dxa"/>
            <w:tcBorders>
              <w:top w:val="single" w:sz="4" w:space="0" w:color="auto"/>
              <w:left w:val="single" w:sz="18" w:space="0" w:color="auto"/>
              <w:bottom w:val="single" w:sz="18" w:space="0" w:color="auto"/>
              <w:right w:val="single" w:sz="18" w:space="0" w:color="auto"/>
            </w:tcBorders>
            <w:shd w:val="clear" w:color="auto" w:fill="auto"/>
            <w:vAlign w:val="bottom"/>
          </w:tcPr>
          <w:p w:rsidR="00812DD6" w:rsidRDefault="00921C0A" w:rsidP="00812DD6">
            <w:pPr>
              <w:spacing w:after="0" w:line="240" w:lineRule="auto"/>
              <w:jc w:val="both"/>
              <w:rPr>
                <w:sz w:val="24"/>
                <w:szCs w:val="24"/>
              </w:rPr>
            </w:pPr>
            <w:r w:rsidRPr="00BD4AA0">
              <w:rPr>
                <w:sz w:val="24"/>
                <w:szCs w:val="24"/>
              </w:rPr>
              <w:t>La présente Norme européenne spécifie les caractéristiques et les performances des produits élaborés par</w:t>
            </w:r>
            <w:r w:rsidR="00812DD6">
              <w:rPr>
                <w:sz w:val="24"/>
                <w:szCs w:val="24"/>
              </w:rPr>
              <w:t xml:space="preserve"> </w:t>
            </w:r>
            <w:r w:rsidRPr="00BD4AA0">
              <w:rPr>
                <w:sz w:val="24"/>
                <w:szCs w:val="24"/>
              </w:rPr>
              <w:t>transformation secondaire de plaques de plâtre fabriquées selon l’EN 520, l’EN 15283-1 et l’EN 15283-2.</w:t>
            </w:r>
          </w:p>
          <w:p w:rsidR="00353524" w:rsidRDefault="00921C0A" w:rsidP="00353524">
            <w:pPr>
              <w:spacing w:after="0" w:line="240" w:lineRule="auto"/>
              <w:jc w:val="both"/>
              <w:rPr>
                <w:sz w:val="24"/>
                <w:szCs w:val="24"/>
              </w:rPr>
            </w:pPr>
            <w:r w:rsidRPr="00BD4AA0">
              <w:rPr>
                <w:sz w:val="24"/>
                <w:szCs w:val="24"/>
              </w:rPr>
              <w:t>La transformation secondaire peut inclure la découpe, la perforation, le profilage des bords, la décoration et</w:t>
            </w:r>
            <w:r w:rsidR="00812DD6">
              <w:rPr>
                <w:sz w:val="24"/>
                <w:szCs w:val="24"/>
              </w:rPr>
              <w:t xml:space="preserve"> </w:t>
            </w:r>
            <w:r w:rsidRPr="00BD4AA0">
              <w:rPr>
                <w:sz w:val="24"/>
                <w:szCs w:val="24"/>
              </w:rPr>
              <w:t>l’adjonction de revêtements minces faits à l’aide d’autres matériaux à des fins fonctionnelles ou décoratives, la pose</w:t>
            </w:r>
            <w:r w:rsidR="00812DD6">
              <w:rPr>
                <w:sz w:val="24"/>
                <w:szCs w:val="24"/>
              </w:rPr>
              <w:t xml:space="preserve"> </w:t>
            </w:r>
            <w:r w:rsidRPr="00BD4AA0">
              <w:rPr>
                <w:sz w:val="24"/>
                <w:szCs w:val="24"/>
              </w:rPr>
              <w:t>de fixations, y compris, par exemple, les supports de panneaux de cloison. Des exemples d’opérations de</w:t>
            </w:r>
            <w:r w:rsidR="00353524">
              <w:rPr>
                <w:sz w:val="24"/>
                <w:szCs w:val="24"/>
              </w:rPr>
              <w:t xml:space="preserve"> </w:t>
            </w:r>
            <w:r w:rsidRPr="00BD4AA0">
              <w:rPr>
                <w:sz w:val="24"/>
                <w:szCs w:val="24"/>
              </w:rPr>
              <w:t>transformation secondaire sont donnés dans l’Annexe B.</w:t>
            </w:r>
          </w:p>
          <w:p w:rsidR="00353524" w:rsidRDefault="00921C0A" w:rsidP="00353524">
            <w:pPr>
              <w:spacing w:after="0" w:line="240" w:lineRule="auto"/>
              <w:jc w:val="both"/>
              <w:rPr>
                <w:sz w:val="24"/>
                <w:szCs w:val="24"/>
              </w:rPr>
            </w:pPr>
            <w:r w:rsidRPr="00BD4AA0">
              <w:rPr>
                <w:sz w:val="24"/>
                <w:szCs w:val="24"/>
              </w:rPr>
              <w:t>Ces produits sont destinés à être utilisés pour le revêtement des murs, des plafonds et des sols, sur lesquels ils</w:t>
            </w:r>
            <w:r w:rsidR="00353524">
              <w:rPr>
                <w:sz w:val="24"/>
                <w:szCs w:val="24"/>
              </w:rPr>
              <w:t xml:space="preserve"> </w:t>
            </w:r>
            <w:r w:rsidRPr="00BD4AA0">
              <w:rPr>
                <w:sz w:val="24"/>
                <w:szCs w:val="24"/>
              </w:rPr>
              <w:t>peuvent être fixés directement, ou dans des systèmes assemblés aux éléments structuraux pour former des</w:t>
            </w:r>
            <w:r w:rsidR="00353524">
              <w:rPr>
                <w:sz w:val="24"/>
                <w:szCs w:val="24"/>
              </w:rPr>
              <w:t xml:space="preserve"> </w:t>
            </w:r>
            <w:r w:rsidRPr="00BD4AA0">
              <w:rPr>
                <w:sz w:val="24"/>
                <w:szCs w:val="24"/>
              </w:rPr>
              <w:t>revêtements séparés ou suspendus. Ils peuvent être personnalisés pour répondre à l’application prévue en offrant</w:t>
            </w:r>
            <w:r w:rsidR="00353524">
              <w:rPr>
                <w:sz w:val="24"/>
                <w:szCs w:val="24"/>
              </w:rPr>
              <w:t xml:space="preserve"> </w:t>
            </w:r>
            <w:r w:rsidRPr="00BD4AA0">
              <w:rPr>
                <w:sz w:val="24"/>
                <w:szCs w:val="24"/>
              </w:rPr>
              <w:t>un large éventail de solutions esthétiques, fonctionnelles et décoratives de conception modulaire ou non.</w:t>
            </w:r>
          </w:p>
          <w:p w:rsidR="00921C0A" w:rsidRPr="00BD4AA0" w:rsidRDefault="00921C0A" w:rsidP="00353524">
            <w:pPr>
              <w:spacing w:after="0" w:line="240" w:lineRule="auto"/>
              <w:jc w:val="both"/>
              <w:rPr>
                <w:rFonts w:ascii="Times New Roman" w:hAnsi="Times New Roman" w:cs="Times New Roman"/>
                <w:sz w:val="24"/>
                <w:szCs w:val="24"/>
              </w:rPr>
            </w:pPr>
            <w:r w:rsidRPr="00BD4AA0">
              <w:rPr>
                <w:sz w:val="24"/>
                <w:szCs w:val="24"/>
              </w:rPr>
              <w:t>La présente Norme européenne ne couvre ni les complexes d’isolation thermique/acoustique en plaques de plâtre</w:t>
            </w:r>
            <w:r w:rsidR="00353524">
              <w:rPr>
                <w:sz w:val="24"/>
                <w:szCs w:val="24"/>
              </w:rPr>
              <w:t xml:space="preserve"> </w:t>
            </w:r>
            <w:r w:rsidRPr="00BD4AA0">
              <w:rPr>
                <w:sz w:val="24"/>
                <w:szCs w:val="24"/>
              </w:rPr>
              <w:t>décrits dans l’EN 13950, ni les panneaux de cloison préfabriqués en plaques de plâtre à âme cellulaire en carton</w:t>
            </w:r>
            <w:r w:rsidRPr="00BD4AA0">
              <w:rPr>
                <w:sz w:val="24"/>
                <w:szCs w:val="24"/>
              </w:rPr>
              <w:br/>
              <w:t>décrits dans l’EN 13915.</w:t>
            </w:r>
          </w:p>
        </w:tc>
      </w:tr>
      <w:tr w:rsidR="00921C0A" w:rsidRPr="0043547B" w:rsidTr="001E0C3C">
        <w:trPr>
          <w:trHeight w:val="360"/>
          <w:jc w:val="center"/>
        </w:trPr>
        <w:tc>
          <w:tcPr>
            <w:tcW w:w="1838" w:type="dxa"/>
            <w:tcBorders>
              <w:top w:val="single" w:sz="18" w:space="0" w:color="auto"/>
              <w:left w:val="single" w:sz="18" w:space="0" w:color="auto"/>
              <w:bottom w:val="single" w:sz="18" w:space="0" w:color="auto"/>
              <w:right w:val="single" w:sz="18" w:space="0" w:color="auto"/>
            </w:tcBorders>
            <w:shd w:val="clear" w:color="auto" w:fill="C2D69B" w:themeFill="accent3" w:themeFillTint="99"/>
            <w:vAlign w:val="center"/>
          </w:tcPr>
          <w:p w:rsidR="00921C0A" w:rsidRPr="00BD4AA0" w:rsidRDefault="00921C0A" w:rsidP="00353524">
            <w:pPr>
              <w:spacing w:after="0" w:line="240" w:lineRule="auto"/>
              <w:jc w:val="center"/>
              <w:rPr>
                <w:rFonts w:ascii="Calibri" w:hAnsi="Calibri" w:cs="Calibri"/>
                <w:b/>
                <w:bCs/>
                <w:sz w:val="24"/>
                <w:szCs w:val="24"/>
              </w:rPr>
            </w:pPr>
            <w:r w:rsidRPr="00BD4AA0">
              <w:rPr>
                <w:rFonts w:ascii="Calibri" w:hAnsi="Calibri" w:cs="Calibri"/>
                <w:b/>
                <w:bCs/>
                <w:sz w:val="24"/>
                <w:szCs w:val="24"/>
              </w:rPr>
              <w:t>Code :</w:t>
            </w:r>
          </w:p>
        </w:tc>
        <w:tc>
          <w:tcPr>
            <w:tcW w:w="7938" w:type="dxa"/>
            <w:tcBorders>
              <w:top w:val="single" w:sz="18" w:space="0" w:color="auto"/>
              <w:left w:val="single" w:sz="18" w:space="0" w:color="auto"/>
              <w:bottom w:val="single" w:sz="18" w:space="0" w:color="auto"/>
              <w:right w:val="single" w:sz="18" w:space="0" w:color="auto"/>
            </w:tcBorders>
            <w:shd w:val="clear" w:color="auto" w:fill="C2D69B" w:themeFill="accent3" w:themeFillTint="99"/>
            <w:vAlign w:val="center"/>
          </w:tcPr>
          <w:p w:rsidR="00921C0A" w:rsidRPr="00353524" w:rsidRDefault="00921C0A" w:rsidP="00353524">
            <w:pPr>
              <w:spacing w:after="0" w:line="240" w:lineRule="auto"/>
              <w:jc w:val="center"/>
              <w:rPr>
                <w:rFonts w:ascii="Times New Roman" w:hAnsi="Times New Roman" w:cs="Times New Roman"/>
                <w:b/>
                <w:bCs/>
                <w:sz w:val="24"/>
                <w:szCs w:val="24"/>
              </w:rPr>
            </w:pPr>
            <w:r w:rsidRPr="00353524">
              <w:rPr>
                <w:b/>
                <w:bCs/>
                <w:sz w:val="24"/>
                <w:szCs w:val="24"/>
              </w:rPr>
              <w:t>NM EN 14209</w:t>
            </w:r>
          </w:p>
        </w:tc>
      </w:tr>
      <w:tr w:rsidR="00921C0A" w:rsidRPr="0043547B" w:rsidTr="001E0C3C">
        <w:trPr>
          <w:trHeight w:val="354"/>
          <w:jc w:val="center"/>
        </w:trPr>
        <w:tc>
          <w:tcPr>
            <w:tcW w:w="1838" w:type="dxa"/>
            <w:tcBorders>
              <w:top w:val="single" w:sz="18" w:space="0" w:color="auto"/>
              <w:left w:val="single" w:sz="18" w:space="0" w:color="auto"/>
              <w:bottom w:val="single" w:sz="18" w:space="0" w:color="auto"/>
              <w:right w:val="single" w:sz="18" w:space="0" w:color="auto"/>
            </w:tcBorders>
            <w:shd w:val="clear" w:color="auto" w:fill="FFFF99"/>
            <w:vAlign w:val="center"/>
          </w:tcPr>
          <w:p w:rsidR="00921C0A" w:rsidRPr="00BD4AA0" w:rsidRDefault="00921C0A" w:rsidP="00353524">
            <w:pPr>
              <w:spacing w:after="0" w:line="240" w:lineRule="auto"/>
              <w:jc w:val="center"/>
              <w:rPr>
                <w:rFonts w:ascii="Calibri" w:hAnsi="Calibri" w:cs="Calibri"/>
                <w:b/>
                <w:bCs/>
                <w:sz w:val="24"/>
                <w:szCs w:val="24"/>
              </w:rPr>
            </w:pPr>
            <w:r w:rsidRPr="00BD4AA0">
              <w:rPr>
                <w:rFonts w:ascii="Calibri" w:hAnsi="Calibri" w:cs="Calibri"/>
                <w:b/>
                <w:bCs/>
                <w:sz w:val="24"/>
                <w:szCs w:val="24"/>
              </w:rPr>
              <w:t>Equivalence :</w:t>
            </w:r>
          </w:p>
        </w:tc>
        <w:tc>
          <w:tcPr>
            <w:tcW w:w="7938" w:type="dxa"/>
            <w:tcBorders>
              <w:top w:val="single" w:sz="18" w:space="0" w:color="auto"/>
              <w:left w:val="single" w:sz="18" w:space="0" w:color="auto"/>
              <w:bottom w:val="single" w:sz="18" w:space="0" w:color="auto"/>
              <w:right w:val="single" w:sz="18" w:space="0" w:color="auto"/>
            </w:tcBorders>
            <w:shd w:val="clear" w:color="auto" w:fill="FFFF99"/>
            <w:vAlign w:val="center"/>
          </w:tcPr>
          <w:p w:rsidR="00921C0A" w:rsidRPr="00353524" w:rsidRDefault="00921C0A" w:rsidP="00353524">
            <w:pPr>
              <w:spacing w:after="0" w:line="240" w:lineRule="auto"/>
              <w:jc w:val="center"/>
              <w:rPr>
                <w:rFonts w:ascii="Times New Roman" w:hAnsi="Times New Roman" w:cs="Times New Roman"/>
                <w:b/>
                <w:bCs/>
                <w:sz w:val="24"/>
                <w:szCs w:val="24"/>
              </w:rPr>
            </w:pPr>
            <w:r w:rsidRPr="00353524">
              <w:rPr>
                <w:b/>
                <w:bCs/>
                <w:sz w:val="24"/>
                <w:szCs w:val="24"/>
              </w:rPr>
              <w:t>EN 14209</w:t>
            </w:r>
          </w:p>
        </w:tc>
      </w:tr>
      <w:tr w:rsidR="00921C0A" w:rsidRPr="0043547B" w:rsidTr="001E0C3C">
        <w:trPr>
          <w:trHeight w:val="697"/>
          <w:jc w:val="center"/>
        </w:trPr>
        <w:tc>
          <w:tcPr>
            <w:tcW w:w="1838" w:type="dxa"/>
            <w:tcBorders>
              <w:top w:val="single" w:sz="18" w:space="0" w:color="auto"/>
              <w:left w:val="single" w:sz="18" w:space="0" w:color="auto"/>
              <w:bottom w:val="single" w:sz="4" w:space="0" w:color="auto"/>
              <w:right w:val="single" w:sz="18" w:space="0" w:color="auto"/>
            </w:tcBorders>
            <w:shd w:val="clear" w:color="auto" w:fill="95B3D7" w:themeFill="accent1" w:themeFillTint="99"/>
            <w:vAlign w:val="center"/>
          </w:tcPr>
          <w:p w:rsidR="00921C0A" w:rsidRPr="00BD4AA0" w:rsidRDefault="00921C0A" w:rsidP="00353524">
            <w:pPr>
              <w:spacing w:after="0" w:line="240" w:lineRule="auto"/>
              <w:jc w:val="center"/>
              <w:rPr>
                <w:rFonts w:ascii="Calibri" w:hAnsi="Calibri" w:cs="Calibri"/>
                <w:b/>
                <w:bCs/>
                <w:sz w:val="24"/>
                <w:szCs w:val="24"/>
              </w:rPr>
            </w:pPr>
            <w:r w:rsidRPr="00BD4AA0">
              <w:rPr>
                <w:rFonts w:ascii="Calibri" w:hAnsi="Calibri" w:cs="Calibri"/>
                <w:b/>
                <w:bCs/>
                <w:sz w:val="24"/>
                <w:szCs w:val="24"/>
              </w:rPr>
              <w:t>Intitulé :</w:t>
            </w:r>
          </w:p>
        </w:tc>
        <w:tc>
          <w:tcPr>
            <w:tcW w:w="7938" w:type="dxa"/>
            <w:tcBorders>
              <w:top w:val="single" w:sz="18" w:space="0" w:color="auto"/>
              <w:left w:val="single" w:sz="18" w:space="0" w:color="auto"/>
              <w:bottom w:val="single" w:sz="4" w:space="0" w:color="auto"/>
              <w:right w:val="single" w:sz="18" w:space="0" w:color="auto"/>
            </w:tcBorders>
            <w:shd w:val="clear" w:color="auto" w:fill="auto"/>
          </w:tcPr>
          <w:p w:rsidR="00921C0A" w:rsidRPr="00BD4AA0" w:rsidRDefault="00921C0A" w:rsidP="00353524">
            <w:pPr>
              <w:spacing w:after="0" w:line="240" w:lineRule="auto"/>
              <w:rPr>
                <w:rFonts w:ascii="Times New Roman" w:hAnsi="Times New Roman" w:cs="Times New Roman"/>
                <w:sz w:val="24"/>
                <w:szCs w:val="24"/>
              </w:rPr>
            </w:pPr>
            <w:r w:rsidRPr="00BD4AA0">
              <w:rPr>
                <w:sz w:val="24"/>
                <w:szCs w:val="24"/>
              </w:rPr>
              <w:t xml:space="preserve">Corniches   préformées   en   plâtre   revêtues   de carton   -   Définitions,   exigences   et   méthodes d’essai ; </w:t>
            </w:r>
          </w:p>
        </w:tc>
      </w:tr>
      <w:tr w:rsidR="00921C0A" w:rsidRPr="0043547B" w:rsidTr="001E0C3C">
        <w:trPr>
          <w:trHeight w:val="799"/>
          <w:jc w:val="center"/>
        </w:trPr>
        <w:tc>
          <w:tcPr>
            <w:tcW w:w="1838" w:type="dxa"/>
            <w:tcBorders>
              <w:top w:val="single" w:sz="4" w:space="0" w:color="auto"/>
              <w:left w:val="single" w:sz="18" w:space="0" w:color="auto"/>
              <w:bottom w:val="single" w:sz="18" w:space="0" w:color="auto"/>
              <w:right w:val="single" w:sz="18" w:space="0" w:color="auto"/>
            </w:tcBorders>
            <w:shd w:val="clear" w:color="000000" w:fill="D9D9D9"/>
            <w:vAlign w:val="center"/>
          </w:tcPr>
          <w:p w:rsidR="00921C0A" w:rsidRPr="00BD4AA0" w:rsidRDefault="00921C0A" w:rsidP="00353524">
            <w:pPr>
              <w:spacing w:after="0" w:line="240" w:lineRule="auto"/>
              <w:jc w:val="center"/>
              <w:rPr>
                <w:rFonts w:ascii="Calibri" w:hAnsi="Calibri" w:cs="Calibri"/>
                <w:b/>
                <w:bCs/>
                <w:sz w:val="24"/>
                <w:szCs w:val="24"/>
              </w:rPr>
            </w:pPr>
            <w:r w:rsidRPr="00BD4AA0">
              <w:rPr>
                <w:rFonts w:ascii="Calibri" w:hAnsi="Calibri" w:cs="Calibri"/>
                <w:b/>
                <w:bCs/>
                <w:sz w:val="24"/>
                <w:szCs w:val="24"/>
              </w:rPr>
              <w:t>Domaine d’application :</w:t>
            </w:r>
          </w:p>
        </w:tc>
        <w:tc>
          <w:tcPr>
            <w:tcW w:w="7938" w:type="dxa"/>
            <w:tcBorders>
              <w:top w:val="single" w:sz="4" w:space="0" w:color="auto"/>
              <w:left w:val="single" w:sz="18" w:space="0" w:color="auto"/>
              <w:bottom w:val="single" w:sz="18" w:space="0" w:color="auto"/>
              <w:right w:val="single" w:sz="18" w:space="0" w:color="auto"/>
            </w:tcBorders>
            <w:shd w:val="clear" w:color="auto" w:fill="auto"/>
            <w:vAlign w:val="bottom"/>
          </w:tcPr>
          <w:p w:rsidR="00353524" w:rsidRDefault="00921C0A" w:rsidP="00353524">
            <w:pPr>
              <w:spacing w:after="0" w:line="240" w:lineRule="auto"/>
              <w:jc w:val="both"/>
              <w:rPr>
                <w:sz w:val="24"/>
                <w:szCs w:val="24"/>
              </w:rPr>
            </w:pPr>
            <w:r w:rsidRPr="00BD4AA0">
              <w:rPr>
                <w:sz w:val="24"/>
                <w:szCs w:val="24"/>
              </w:rPr>
              <w:t>La présente Norme définit les caractéristiques et les performances des corniches préformées</w:t>
            </w:r>
            <w:r w:rsidR="00353524">
              <w:rPr>
                <w:sz w:val="24"/>
                <w:szCs w:val="24"/>
              </w:rPr>
              <w:t xml:space="preserve"> </w:t>
            </w:r>
            <w:r w:rsidRPr="00BD4AA0">
              <w:rPr>
                <w:sz w:val="24"/>
                <w:szCs w:val="24"/>
              </w:rPr>
              <w:t>en plâtre revêtues de carton destinées à être utilisées dans les ouvrages de construction, soit</w:t>
            </w:r>
            <w:r w:rsidR="00353524">
              <w:rPr>
                <w:sz w:val="24"/>
                <w:szCs w:val="24"/>
              </w:rPr>
              <w:t xml:space="preserve"> </w:t>
            </w:r>
            <w:r w:rsidRPr="00BD4AA0">
              <w:rPr>
                <w:sz w:val="24"/>
                <w:szCs w:val="24"/>
              </w:rPr>
              <w:t>conformément au cahier des charges lui-même, soit postérieurement, en vue d’embellir la décoration</w:t>
            </w:r>
            <w:r w:rsidR="00353524">
              <w:rPr>
                <w:sz w:val="24"/>
                <w:szCs w:val="24"/>
              </w:rPr>
              <w:t xml:space="preserve"> </w:t>
            </w:r>
            <w:r w:rsidRPr="00BD4AA0">
              <w:rPr>
                <w:sz w:val="24"/>
                <w:szCs w:val="24"/>
              </w:rPr>
              <w:t>intérieure des pièces au droit des angles formés par les murs et les plafonds.</w:t>
            </w:r>
          </w:p>
          <w:p w:rsidR="00353524" w:rsidRDefault="00921C0A" w:rsidP="00353524">
            <w:pPr>
              <w:spacing w:after="0" w:line="240" w:lineRule="auto"/>
              <w:jc w:val="both"/>
              <w:rPr>
                <w:sz w:val="24"/>
                <w:szCs w:val="24"/>
              </w:rPr>
            </w:pPr>
            <w:r w:rsidRPr="00BD4AA0">
              <w:rPr>
                <w:sz w:val="24"/>
                <w:szCs w:val="24"/>
              </w:rPr>
              <w:t>La présente norme couvre les caractéristiques de performance suivantes :</w:t>
            </w:r>
          </w:p>
          <w:p w:rsidR="00353524" w:rsidRDefault="00921C0A" w:rsidP="00353524">
            <w:pPr>
              <w:spacing w:after="0" w:line="240" w:lineRule="auto"/>
              <w:jc w:val="both"/>
              <w:rPr>
                <w:sz w:val="24"/>
                <w:szCs w:val="24"/>
              </w:rPr>
            </w:pPr>
            <w:r w:rsidRPr="00BD4AA0">
              <w:rPr>
                <w:sz w:val="24"/>
                <w:szCs w:val="24"/>
              </w:rPr>
              <w:t>réaction au feu et résistance à</w:t>
            </w:r>
            <w:r w:rsidR="00353524">
              <w:rPr>
                <w:sz w:val="24"/>
                <w:szCs w:val="24"/>
              </w:rPr>
              <w:t xml:space="preserve"> </w:t>
            </w:r>
            <w:r w:rsidRPr="00BD4AA0">
              <w:rPr>
                <w:sz w:val="24"/>
                <w:szCs w:val="24"/>
              </w:rPr>
              <w:t>la flexion.</w:t>
            </w:r>
          </w:p>
          <w:p w:rsidR="00353524" w:rsidRDefault="00921C0A" w:rsidP="00353524">
            <w:pPr>
              <w:spacing w:after="0" w:line="240" w:lineRule="auto"/>
              <w:jc w:val="both"/>
              <w:rPr>
                <w:sz w:val="24"/>
                <w:szCs w:val="24"/>
              </w:rPr>
            </w:pPr>
            <w:r w:rsidRPr="00BD4AA0">
              <w:rPr>
                <w:sz w:val="24"/>
                <w:szCs w:val="24"/>
              </w:rPr>
              <w:t>La présente Norme couvre également des caractéristiques techniques complémentaires qui</w:t>
            </w:r>
            <w:r w:rsidR="00353524">
              <w:rPr>
                <w:sz w:val="24"/>
                <w:szCs w:val="24"/>
              </w:rPr>
              <w:t xml:space="preserve"> </w:t>
            </w:r>
            <w:r w:rsidRPr="00BD4AA0">
              <w:rPr>
                <w:sz w:val="24"/>
                <w:szCs w:val="24"/>
              </w:rPr>
              <w:t>revêtent une importance pour l’utilisation et l’acceptation du produit par l’industrie de la construction,</w:t>
            </w:r>
            <w:r w:rsidR="00353524">
              <w:rPr>
                <w:sz w:val="24"/>
                <w:szCs w:val="24"/>
              </w:rPr>
              <w:t xml:space="preserve"> </w:t>
            </w:r>
            <w:r w:rsidRPr="00BD4AA0">
              <w:rPr>
                <w:sz w:val="24"/>
                <w:szCs w:val="24"/>
              </w:rPr>
              <w:t>ainsi que les essais de référence pour ces caractéristiques.</w:t>
            </w:r>
          </w:p>
          <w:p w:rsidR="00353524" w:rsidRDefault="00921C0A" w:rsidP="00353524">
            <w:pPr>
              <w:spacing w:after="0" w:line="240" w:lineRule="auto"/>
              <w:jc w:val="both"/>
              <w:rPr>
                <w:sz w:val="24"/>
                <w:szCs w:val="24"/>
              </w:rPr>
            </w:pPr>
            <w:r w:rsidRPr="00BD4AA0">
              <w:rPr>
                <w:sz w:val="24"/>
                <w:szCs w:val="24"/>
              </w:rPr>
              <w:t>La présente norme spécifie l'évaluation et la vérification de la constance des performances des produits.</w:t>
            </w:r>
          </w:p>
          <w:p w:rsidR="00921C0A" w:rsidRPr="00BD4AA0" w:rsidRDefault="00921C0A" w:rsidP="00353524">
            <w:pPr>
              <w:spacing w:after="0" w:line="240" w:lineRule="auto"/>
              <w:jc w:val="both"/>
              <w:rPr>
                <w:rFonts w:ascii="Times New Roman" w:hAnsi="Times New Roman" w:cs="Times New Roman"/>
                <w:sz w:val="24"/>
                <w:szCs w:val="24"/>
              </w:rPr>
            </w:pPr>
            <w:r w:rsidRPr="00BD4AA0">
              <w:rPr>
                <w:sz w:val="24"/>
                <w:szCs w:val="24"/>
              </w:rPr>
              <w:t>Elle ne s’applique pas aux corniches qui ne sont pas revêtues de carton ni aux corniches en staff.</w:t>
            </w:r>
          </w:p>
        </w:tc>
      </w:tr>
      <w:tr w:rsidR="00921C0A" w:rsidRPr="0043547B" w:rsidTr="001E0C3C">
        <w:trPr>
          <w:trHeight w:val="374"/>
          <w:jc w:val="center"/>
        </w:trPr>
        <w:tc>
          <w:tcPr>
            <w:tcW w:w="1838" w:type="dxa"/>
            <w:tcBorders>
              <w:top w:val="single" w:sz="18" w:space="0" w:color="auto"/>
              <w:left w:val="single" w:sz="18" w:space="0" w:color="auto"/>
              <w:bottom w:val="single" w:sz="18" w:space="0" w:color="auto"/>
              <w:right w:val="single" w:sz="18" w:space="0" w:color="auto"/>
            </w:tcBorders>
            <w:shd w:val="clear" w:color="auto" w:fill="C2D69B" w:themeFill="accent3" w:themeFillTint="99"/>
            <w:vAlign w:val="center"/>
          </w:tcPr>
          <w:p w:rsidR="00921C0A" w:rsidRPr="00BD4AA0" w:rsidRDefault="00921C0A" w:rsidP="00353524">
            <w:pPr>
              <w:spacing w:after="0" w:line="240" w:lineRule="auto"/>
              <w:jc w:val="center"/>
              <w:rPr>
                <w:rFonts w:ascii="Calibri" w:hAnsi="Calibri" w:cs="Calibri"/>
                <w:b/>
                <w:bCs/>
                <w:sz w:val="24"/>
                <w:szCs w:val="24"/>
              </w:rPr>
            </w:pPr>
            <w:r w:rsidRPr="00BD4AA0">
              <w:rPr>
                <w:rFonts w:ascii="Calibri" w:hAnsi="Calibri" w:cs="Calibri"/>
                <w:b/>
                <w:bCs/>
                <w:sz w:val="24"/>
                <w:szCs w:val="24"/>
              </w:rPr>
              <w:t>Code :</w:t>
            </w:r>
          </w:p>
        </w:tc>
        <w:tc>
          <w:tcPr>
            <w:tcW w:w="7938" w:type="dxa"/>
            <w:tcBorders>
              <w:top w:val="single" w:sz="18" w:space="0" w:color="auto"/>
              <w:left w:val="single" w:sz="18" w:space="0" w:color="auto"/>
              <w:bottom w:val="single" w:sz="18" w:space="0" w:color="auto"/>
              <w:right w:val="single" w:sz="18" w:space="0" w:color="auto"/>
            </w:tcBorders>
            <w:shd w:val="clear" w:color="auto" w:fill="C2D69B" w:themeFill="accent3" w:themeFillTint="99"/>
            <w:vAlign w:val="center"/>
          </w:tcPr>
          <w:p w:rsidR="00921C0A" w:rsidRPr="00353524" w:rsidRDefault="00921C0A" w:rsidP="00353524">
            <w:pPr>
              <w:spacing w:after="0" w:line="240" w:lineRule="auto"/>
              <w:jc w:val="center"/>
              <w:rPr>
                <w:rFonts w:ascii="Times New Roman" w:hAnsi="Times New Roman" w:cs="Times New Roman"/>
                <w:b/>
                <w:bCs/>
                <w:sz w:val="24"/>
                <w:szCs w:val="24"/>
              </w:rPr>
            </w:pPr>
            <w:r w:rsidRPr="00353524">
              <w:rPr>
                <w:b/>
                <w:bCs/>
                <w:sz w:val="24"/>
                <w:szCs w:val="24"/>
              </w:rPr>
              <w:t>NM EN 14246</w:t>
            </w:r>
          </w:p>
        </w:tc>
      </w:tr>
      <w:tr w:rsidR="00921C0A" w:rsidRPr="0043547B" w:rsidTr="001E0C3C">
        <w:trPr>
          <w:trHeight w:val="380"/>
          <w:jc w:val="center"/>
        </w:trPr>
        <w:tc>
          <w:tcPr>
            <w:tcW w:w="1838" w:type="dxa"/>
            <w:tcBorders>
              <w:top w:val="single" w:sz="18" w:space="0" w:color="auto"/>
              <w:left w:val="single" w:sz="18" w:space="0" w:color="auto"/>
              <w:bottom w:val="single" w:sz="18" w:space="0" w:color="auto"/>
              <w:right w:val="single" w:sz="18" w:space="0" w:color="auto"/>
            </w:tcBorders>
            <w:shd w:val="clear" w:color="auto" w:fill="FFFF99"/>
            <w:vAlign w:val="center"/>
          </w:tcPr>
          <w:p w:rsidR="00921C0A" w:rsidRPr="00BD4AA0" w:rsidRDefault="00921C0A" w:rsidP="00353524">
            <w:pPr>
              <w:spacing w:after="0" w:line="240" w:lineRule="auto"/>
              <w:jc w:val="center"/>
              <w:rPr>
                <w:rFonts w:ascii="Calibri" w:hAnsi="Calibri" w:cs="Calibri"/>
                <w:b/>
                <w:bCs/>
                <w:sz w:val="24"/>
                <w:szCs w:val="24"/>
              </w:rPr>
            </w:pPr>
            <w:r w:rsidRPr="00BD4AA0">
              <w:rPr>
                <w:rFonts w:ascii="Calibri" w:hAnsi="Calibri" w:cs="Calibri"/>
                <w:b/>
                <w:bCs/>
                <w:sz w:val="24"/>
                <w:szCs w:val="24"/>
              </w:rPr>
              <w:t>Equivalence :</w:t>
            </w:r>
          </w:p>
        </w:tc>
        <w:tc>
          <w:tcPr>
            <w:tcW w:w="7938" w:type="dxa"/>
            <w:tcBorders>
              <w:top w:val="single" w:sz="18" w:space="0" w:color="auto"/>
              <w:left w:val="single" w:sz="18" w:space="0" w:color="auto"/>
              <w:bottom w:val="single" w:sz="18" w:space="0" w:color="auto"/>
              <w:right w:val="single" w:sz="18" w:space="0" w:color="auto"/>
            </w:tcBorders>
            <w:shd w:val="clear" w:color="auto" w:fill="FFFF99"/>
            <w:vAlign w:val="center"/>
          </w:tcPr>
          <w:p w:rsidR="00921C0A" w:rsidRPr="00353524" w:rsidRDefault="00921C0A" w:rsidP="00353524">
            <w:pPr>
              <w:spacing w:after="0" w:line="240" w:lineRule="auto"/>
              <w:jc w:val="center"/>
              <w:rPr>
                <w:rFonts w:ascii="Times New Roman" w:hAnsi="Times New Roman" w:cs="Times New Roman"/>
                <w:b/>
                <w:bCs/>
                <w:sz w:val="24"/>
                <w:szCs w:val="24"/>
              </w:rPr>
            </w:pPr>
            <w:r w:rsidRPr="00353524">
              <w:rPr>
                <w:b/>
                <w:bCs/>
                <w:sz w:val="24"/>
                <w:szCs w:val="24"/>
              </w:rPr>
              <w:t>EN 14246</w:t>
            </w:r>
          </w:p>
        </w:tc>
      </w:tr>
      <w:tr w:rsidR="00921C0A" w:rsidRPr="0043547B" w:rsidTr="001E0C3C">
        <w:trPr>
          <w:trHeight w:val="614"/>
          <w:jc w:val="center"/>
        </w:trPr>
        <w:tc>
          <w:tcPr>
            <w:tcW w:w="1838" w:type="dxa"/>
            <w:tcBorders>
              <w:top w:val="single" w:sz="18" w:space="0" w:color="auto"/>
              <w:left w:val="single" w:sz="18" w:space="0" w:color="auto"/>
              <w:bottom w:val="single" w:sz="4" w:space="0" w:color="auto"/>
              <w:right w:val="single" w:sz="18" w:space="0" w:color="auto"/>
            </w:tcBorders>
            <w:shd w:val="clear" w:color="auto" w:fill="95B3D7" w:themeFill="accent1" w:themeFillTint="99"/>
            <w:vAlign w:val="center"/>
          </w:tcPr>
          <w:p w:rsidR="00921C0A" w:rsidRPr="00BD4AA0" w:rsidRDefault="00921C0A" w:rsidP="00353524">
            <w:pPr>
              <w:spacing w:after="0" w:line="240" w:lineRule="auto"/>
              <w:jc w:val="center"/>
              <w:rPr>
                <w:rFonts w:ascii="Calibri" w:hAnsi="Calibri" w:cs="Calibri"/>
                <w:b/>
                <w:bCs/>
                <w:sz w:val="24"/>
                <w:szCs w:val="24"/>
              </w:rPr>
            </w:pPr>
            <w:r w:rsidRPr="00BD4AA0">
              <w:rPr>
                <w:rFonts w:ascii="Calibri" w:hAnsi="Calibri" w:cs="Calibri"/>
                <w:b/>
                <w:bCs/>
                <w:sz w:val="24"/>
                <w:szCs w:val="24"/>
              </w:rPr>
              <w:lastRenderedPageBreak/>
              <w:t>Intitulé :</w:t>
            </w:r>
          </w:p>
        </w:tc>
        <w:tc>
          <w:tcPr>
            <w:tcW w:w="7938" w:type="dxa"/>
            <w:tcBorders>
              <w:top w:val="single" w:sz="18" w:space="0" w:color="auto"/>
              <w:left w:val="single" w:sz="18" w:space="0" w:color="auto"/>
              <w:bottom w:val="single" w:sz="4" w:space="0" w:color="auto"/>
              <w:right w:val="single" w:sz="18" w:space="0" w:color="auto"/>
            </w:tcBorders>
            <w:shd w:val="clear" w:color="auto" w:fill="auto"/>
          </w:tcPr>
          <w:p w:rsidR="00921C0A" w:rsidRPr="00BD4AA0" w:rsidRDefault="00921C0A" w:rsidP="00353524">
            <w:pPr>
              <w:spacing w:after="0" w:line="240" w:lineRule="auto"/>
              <w:rPr>
                <w:rFonts w:ascii="Times New Roman" w:hAnsi="Times New Roman" w:cs="Times New Roman"/>
                <w:sz w:val="24"/>
                <w:szCs w:val="24"/>
              </w:rPr>
            </w:pPr>
            <w:r w:rsidRPr="00BD4AA0">
              <w:rPr>
                <w:sz w:val="24"/>
                <w:szCs w:val="24"/>
              </w:rPr>
              <w:t xml:space="preserve">Éléments en plâtre pour plafonds suspendus - Définitions, spécifications et méthodes </w:t>
            </w:r>
          </w:p>
        </w:tc>
      </w:tr>
      <w:tr w:rsidR="00921C0A" w:rsidRPr="0043547B" w:rsidTr="001E0C3C">
        <w:trPr>
          <w:trHeight w:val="799"/>
          <w:jc w:val="center"/>
        </w:trPr>
        <w:tc>
          <w:tcPr>
            <w:tcW w:w="1838" w:type="dxa"/>
            <w:tcBorders>
              <w:top w:val="single" w:sz="4" w:space="0" w:color="auto"/>
              <w:left w:val="single" w:sz="18" w:space="0" w:color="auto"/>
              <w:bottom w:val="single" w:sz="18" w:space="0" w:color="auto"/>
              <w:right w:val="single" w:sz="18" w:space="0" w:color="auto"/>
            </w:tcBorders>
            <w:shd w:val="clear" w:color="000000" w:fill="D9D9D9"/>
            <w:vAlign w:val="center"/>
          </w:tcPr>
          <w:p w:rsidR="00921C0A" w:rsidRPr="00BD4AA0" w:rsidRDefault="00921C0A" w:rsidP="00353524">
            <w:pPr>
              <w:jc w:val="center"/>
              <w:rPr>
                <w:rFonts w:ascii="Calibri" w:hAnsi="Calibri" w:cs="Calibri"/>
                <w:b/>
                <w:bCs/>
                <w:sz w:val="24"/>
                <w:szCs w:val="24"/>
              </w:rPr>
            </w:pPr>
            <w:r w:rsidRPr="00BD4AA0">
              <w:rPr>
                <w:rFonts w:ascii="Calibri" w:hAnsi="Calibri" w:cs="Calibri"/>
                <w:b/>
                <w:bCs/>
                <w:sz w:val="24"/>
                <w:szCs w:val="24"/>
              </w:rPr>
              <w:t>Domaine d’application :</w:t>
            </w:r>
          </w:p>
        </w:tc>
        <w:tc>
          <w:tcPr>
            <w:tcW w:w="7938" w:type="dxa"/>
            <w:tcBorders>
              <w:top w:val="single" w:sz="4" w:space="0" w:color="auto"/>
              <w:left w:val="single" w:sz="18" w:space="0" w:color="auto"/>
              <w:bottom w:val="single" w:sz="18" w:space="0" w:color="auto"/>
              <w:right w:val="single" w:sz="18" w:space="0" w:color="auto"/>
            </w:tcBorders>
            <w:shd w:val="clear" w:color="auto" w:fill="auto"/>
            <w:vAlign w:val="bottom"/>
          </w:tcPr>
          <w:p w:rsidR="00353524" w:rsidRDefault="00353524" w:rsidP="00353524">
            <w:pPr>
              <w:spacing w:after="0" w:line="240" w:lineRule="auto"/>
              <w:jc w:val="both"/>
              <w:rPr>
                <w:sz w:val="24"/>
                <w:szCs w:val="24"/>
              </w:rPr>
            </w:pPr>
            <w:r>
              <w:rPr>
                <w:sz w:val="24"/>
                <w:szCs w:val="24"/>
              </w:rPr>
              <w:t xml:space="preserve">La présente Norme </w:t>
            </w:r>
            <w:r w:rsidR="00921C0A" w:rsidRPr="00BD4AA0">
              <w:rPr>
                <w:sz w:val="24"/>
                <w:szCs w:val="24"/>
              </w:rPr>
              <w:t>définit les caractéristiques et les performances des éléments en plâtre fabriqués</w:t>
            </w:r>
            <w:r>
              <w:rPr>
                <w:sz w:val="24"/>
                <w:szCs w:val="24"/>
              </w:rPr>
              <w:t xml:space="preserve"> </w:t>
            </w:r>
            <w:r w:rsidR="00921C0A" w:rsidRPr="00BD4AA0">
              <w:rPr>
                <w:sz w:val="24"/>
                <w:szCs w:val="24"/>
              </w:rPr>
              <w:t>en usine et destinés principalement à réaliser des plafonds suspendus sous des substrats universels.</w:t>
            </w:r>
          </w:p>
          <w:p w:rsidR="00353524" w:rsidRDefault="00921C0A" w:rsidP="00353524">
            <w:pPr>
              <w:spacing w:after="0" w:line="240" w:lineRule="auto"/>
              <w:jc w:val="both"/>
              <w:rPr>
                <w:sz w:val="24"/>
                <w:szCs w:val="24"/>
              </w:rPr>
            </w:pPr>
            <w:r w:rsidRPr="00BD4AA0">
              <w:rPr>
                <w:sz w:val="24"/>
                <w:szCs w:val="24"/>
              </w:rPr>
              <w:t>Elle couvre les caractéristiques de performance suivantes : la réaction au feu, la perméabilité à la vapeur d’eau,</w:t>
            </w:r>
            <w:r w:rsidR="00353524">
              <w:rPr>
                <w:sz w:val="24"/>
                <w:szCs w:val="24"/>
              </w:rPr>
              <w:t xml:space="preserve"> </w:t>
            </w:r>
            <w:r w:rsidRPr="00BD4AA0">
              <w:rPr>
                <w:sz w:val="24"/>
                <w:szCs w:val="24"/>
              </w:rPr>
              <w:t>la résistance à la flexion (exprimée en terme de charge de rupture) et la résistance thermique (exprimée en terme</w:t>
            </w:r>
            <w:r w:rsidR="00353524">
              <w:rPr>
                <w:sz w:val="24"/>
                <w:szCs w:val="24"/>
              </w:rPr>
              <w:t xml:space="preserve"> </w:t>
            </w:r>
            <w:r w:rsidRPr="00BD4AA0">
              <w:rPr>
                <w:sz w:val="24"/>
                <w:szCs w:val="24"/>
              </w:rPr>
              <w:t>de conductibilité thermique).</w:t>
            </w:r>
          </w:p>
          <w:p w:rsidR="00353524" w:rsidRDefault="00921C0A" w:rsidP="00353524">
            <w:pPr>
              <w:spacing w:after="0" w:line="240" w:lineRule="auto"/>
              <w:jc w:val="both"/>
              <w:rPr>
                <w:sz w:val="24"/>
                <w:szCs w:val="24"/>
              </w:rPr>
            </w:pPr>
            <w:r w:rsidRPr="00BD4AA0">
              <w:rPr>
                <w:sz w:val="24"/>
                <w:szCs w:val="24"/>
              </w:rPr>
              <w:t>Les caractéristiques de performance suivantes sont liées aux systèmes assemblés à l’aide d’éléments en plâtre</w:t>
            </w:r>
            <w:r w:rsidR="00353524">
              <w:rPr>
                <w:sz w:val="24"/>
                <w:szCs w:val="24"/>
              </w:rPr>
              <w:t xml:space="preserve"> </w:t>
            </w:r>
            <w:r w:rsidRPr="00BD4AA0">
              <w:rPr>
                <w:sz w:val="24"/>
                <w:szCs w:val="24"/>
              </w:rPr>
              <w:t>pour plafonds suspendus : la résistance au feu, l’isolation acoustique contre les bruits aériens directs et</w:t>
            </w:r>
            <w:r w:rsidR="00353524">
              <w:rPr>
                <w:sz w:val="24"/>
                <w:szCs w:val="24"/>
              </w:rPr>
              <w:t xml:space="preserve"> </w:t>
            </w:r>
            <w:r w:rsidRPr="00BD4AA0">
              <w:rPr>
                <w:sz w:val="24"/>
                <w:szCs w:val="24"/>
              </w:rPr>
              <w:t>l’absorption acoustique à mesurer conformément aux méthodes d’essai européennes correspondantes. Si</w:t>
            </w:r>
            <w:r w:rsidR="00353524">
              <w:rPr>
                <w:sz w:val="24"/>
                <w:szCs w:val="24"/>
              </w:rPr>
              <w:t xml:space="preserve"> </w:t>
            </w:r>
            <w:r w:rsidRPr="00BD4AA0">
              <w:rPr>
                <w:sz w:val="24"/>
                <w:szCs w:val="24"/>
              </w:rPr>
              <w:t>nécessaire, il convient de soumettre à essai le système assemblé en simulant les conditions d’utilisation finale.</w:t>
            </w:r>
          </w:p>
          <w:p w:rsidR="00353524" w:rsidRDefault="00921C0A" w:rsidP="00353524">
            <w:pPr>
              <w:spacing w:after="0" w:line="240" w:lineRule="auto"/>
              <w:jc w:val="both"/>
              <w:rPr>
                <w:sz w:val="24"/>
                <w:szCs w:val="24"/>
              </w:rPr>
            </w:pPr>
            <w:r w:rsidRPr="00BD4AA0">
              <w:rPr>
                <w:sz w:val="24"/>
                <w:szCs w:val="24"/>
              </w:rPr>
              <w:t>La présente Norme décrit les essais de référence de ces spécifications techniques.</w:t>
            </w:r>
            <w:r w:rsidRPr="00BD4AA0">
              <w:rPr>
                <w:sz w:val="24"/>
                <w:szCs w:val="24"/>
              </w:rPr>
              <w:br/>
              <w:t>Elle couvre également les caractéristiques techniques supplémentaires qui sont importantes en vue l’utilisation et</w:t>
            </w:r>
            <w:r w:rsidR="00353524">
              <w:rPr>
                <w:sz w:val="24"/>
                <w:szCs w:val="24"/>
              </w:rPr>
              <w:t xml:space="preserve"> </w:t>
            </w:r>
            <w:r w:rsidRPr="00BD4AA0">
              <w:rPr>
                <w:sz w:val="24"/>
                <w:szCs w:val="24"/>
              </w:rPr>
              <w:t>de l’acceptation du produit par l’industrie du bâtiment ainsi que les essais de référence de ces caractéristiques.</w:t>
            </w:r>
          </w:p>
          <w:p w:rsidR="00353524" w:rsidRDefault="00921C0A" w:rsidP="00353524">
            <w:pPr>
              <w:spacing w:after="0" w:line="240" w:lineRule="auto"/>
              <w:jc w:val="both"/>
              <w:rPr>
                <w:sz w:val="24"/>
                <w:szCs w:val="24"/>
              </w:rPr>
            </w:pPr>
            <w:r w:rsidRPr="00BD4AA0">
              <w:rPr>
                <w:sz w:val="24"/>
                <w:szCs w:val="24"/>
              </w:rPr>
              <w:t>La présente Norme européenne prévoit l’évaluation de la conformité des produits à la présente norme.</w:t>
            </w:r>
          </w:p>
          <w:p w:rsidR="00921C0A" w:rsidRPr="00BD4AA0" w:rsidRDefault="00921C0A" w:rsidP="00353524">
            <w:pPr>
              <w:spacing w:after="0" w:line="240" w:lineRule="auto"/>
              <w:jc w:val="both"/>
              <w:rPr>
                <w:rFonts w:ascii="Times New Roman" w:hAnsi="Times New Roman" w:cs="Times New Roman"/>
                <w:sz w:val="24"/>
                <w:szCs w:val="24"/>
              </w:rPr>
            </w:pPr>
            <w:r w:rsidRPr="00BD4AA0">
              <w:rPr>
                <w:sz w:val="24"/>
                <w:szCs w:val="24"/>
              </w:rPr>
              <w:t>Elle ne couvre pas les ossatures métalliques pour plafonds ni les plaques de plâtre.</w:t>
            </w:r>
            <w:r w:rsidRPr="00BD4AA0">
              <w:rPr>
                <w:sz w:val="24"/>
                <w:szCs w:val="24"/>
              </w:rPr>
              <w:br/>
              <w:t>En sont également exclues les applications destinées au raidissement des fermes de charpentes en bois.</w:t>
            </w:r>
          </w:p>
        </w:tc>
      </w:tr>
      <w:tr w:rsidR="00921C0A" w:rsidRPr="0043547B" w:rsidTr="001E0C3C">
        <w:trPr>
          <w:trHeight w:val="360"/>
          <w:jc w:val="center"/>
        </w:trPr>
        <w:tc>
          <w:tcPr>
            <w:tcW w:w="1838" w:type="dxa"/>
            <w:tcBorders>
              <w:top w:val="single" w:sz="18" w:space="0" w:color="auto"/>
              <w:left w:val="single" w:sz="18" w:space="0" w:color="auto"/>
              <w:bottom w:val="single" w:sz="18" w:space="0" w:color="auto"/>
              <w:right w:val="single" w:sz="18" w:space="0" w:color="auto"/>
            </w:tcBorders>
            <w:shd w:val="clear" w:color="auto" w:fill="C2D69B" w:themeFill="accent3" w:themeFillTint="99"/>
            <w:vAlign w:val="center"/>
          </w:tcPr>
          <w:p w:rsidR="00921C0A" w:rsidRPr="00BD4AA0" w:rsidRDefault="00921C0A" w:rsidP="00353524">
            <w:pPr>
              <w:spacing w:after="0" w:line="240" w:lineRule="auto"/>
              <w:jc w:val="center"/>
              <w:rPr>
                <w:rFonts w:ascii="Calibri" w:hAnsi="Calibri" w:cs="Calibri"/>
                <w:b/>
                <w:bCs/>
                <w:sz w:val="24"/>
                <w:szCs w:val="24"/>
              </w:rPr>
            </w:pPr>
            <w:r w:rsidRPr="00BD4AA0">
              <w:rPr>
                <w:rFonts w:ascii="Calibri" w:hAnsi="Calibri" w:cs="Calibri"/>
                <w:b/>
                <w:bCs/>
                <w:sz w:val="24"/>
                <w:szCs w:val="24"/>
              </w:rPr>
              <w:t>Code :</w:t>
            </w:r>
          </w:p>
        </w:tc>
        <w:tc>
          <w:tcPr>
            <w:tcW w:w="7938" w:type="dxa"/>
            <w:tcBorders>
              <w:top w:val="single" w:sz="18" w:space="0" w:color="auto"/>
              <w:left w:val="single" w:sz="18" w:space="0" w:color="auto"/>
              <w:bottom w:val="single" w:sz="18" w:space="0" w:color="auto"/>
              <w:right w:val="single" w:sz="18" w:space="0" w:color="auto"/>
            </w:tcBorders>
            <w:shd w:val="clear" w:color="auto" w:fill="C2D69B" w:themeFill="accent3" w:themeFillTint="99"/>
            <w:vAlign w:val="center"/>
          </w:tcPr>
          <w:p w:rsidR="00921C0A" w:rsidRPr="00353524" w:rsidRDefault="00921C0A" w:rsidP="00353524">
            <w:pPr>
              <w:spacing w:after="0" w:line="240" w:lineRule="auto"/>
              <w:jc w:val="center"/>
              <w:rPr>
                <w:rFonts w:ascii="Times New Roman" w:hAnsi="Times New Roman" w:cs="Times New Roman"/>
                <w:b/>
                <w:bCs/>
                <w:sz w:val="24"/>
                <w:szCs w:val="24"/>
              </w:rPr>
            </w:pPr>
            <w:r w:rsidRPr="00353524">
              <w:rPr>
                <w:b/>
                <w:bCs/>
                <w:sz w:val="24"/>
                <w:szCs w:val="24"/>
              </w:rPr>
              <w:t>NM EN 14353</w:t>
            </w:r>
          </w:p>
        </w:tc>
      </w:tr>
      <w:tr w:rsidR="00921C0A" w:rsidRPr="0043547B" w:rsidTr="001E0C3C">
        <w:trPr>
          <w:trHeight w:val="354"/>
          <w:jc w:val="center"/>
        </w:trPr>
        <w:tc>
          <w:tcPr>
            <w:tcW w:w="1838" w:type="dxa"/>
            <w:tcBorders>
              <w:top w:val="single" w:sz="18" w:space="0" w:color="auto"/>
              <w:left w:val="single" w:sz="18" w:space="0" w:color="auto"/>
              <w:bottom w:val="single" w:sz="18" w:space="0" w:color="auto"/>
              <w:right w:val="single" w:sz="18" w:space="0" w:color="auto"/>
            </w:tcBorders>
            <w:shd w:val="clear" w:color="auto" w:fill="FFFF99"/>
            <w:vAlign w:val="center"/>
          </w:tcPr>
          <w:p w:rsidR="00921C0A" w:rsidRPr="00BD4AA0" w:rsidRDefault="00921C0A" w:rsidP="00353524">
            <w:pPr>
              <w:spacing w:after="0" w:line="240" w:lineRule="auto"/>
              <w:jc w:val="center"/>
              <w:rPr>
                <w:rFonts w:ascii="Calibri" w:hAnsi="Calibri" w:cs="Calibri"/>
                <w:b/>
                <w:bCs/>
                <w:sz w:val="24"/>
                <w:szCs w:val="24"/>
              </w:rPr>
            </w:pPr>
            <w:r w:rsidRPr="00BD4AA0">
              <w:rPr>
                <w:rFonts w:ascii="Calibri" w:hAnsi="Calibri" w:cs="Calibri"/>
                <w:b/>
                <w:bCs/>
                <w:sz w:val="24"/>
                <w:szCs w:val="24"/>
              </w:rPr>
              <w:t>Equivalence :</w:t>
            </w:r>
          </w:p>
        </w:tc>
        <w:tc>
          <w:tcPr>
            <w:tcW w:w="7938" w:type="dxa"/>
            <w:tcBorders>
              <w:top w:val="single" w:sz="18" w:space="0" w:color="auto"/>
              <w:left w:val="single" w:sz="18" w:space="0" w:color="auto"/>
              <w:bottom w:val="single" w:sz="18" w:space="0" w:color="auto"/>
              <w:right w:val="single" w:sz="18" w:space="0" w:color="auto"/>
            </w:tcBorders>
            <w:shd w:val="clear" w:color="auto" w:fill="FFFF99"/>
            <w:vAlign w:val="center"/>
          </w:tcPr>
          <w:p w:rsidR="00921C0A" w:rsidRPr="00353524" w:rsidRDefault="00921C0A" w:rsidP="00353524">
            <w:pPr>
              <w:spacing w:after="0" w:line="240" w:lineRule="auto"/>
              <w:jc w:val="center"/>
              <w:rPr>
                <w:rFonts w:ascii="Times New Roman" w:hAnsi="Times New Roman" w:cs="Times New Roman"/>
                <w:b/>
                <w:bCs/>
                <w:sz w:val="24"/>
                <w:szCs w:val="24"/>
              </w:rPr>
            </w:pPr>
            <w:r w:rsidRPr="00353524">
              <w:rPr>
                <w:b/>
                <w:bCs/>
                <w:sz w:val="24"/>
                <w:szCs w:val="24"/>
              </w:rPr>
              <w:t>EN 14353</w:t>
            </w:r>
          </w:p>
        </w:tc>
      </w:tr>
      <w:tr w:rsidR="00921C0A" w:rsidRPr="0043547B" w:rsidTr="001E0C3C">
        <w:trPr>
          <w:trHeight w:val="697"/>
          <w:jc w:val="center"/>
        </w:trPr>
        <w:tc>
          <w:tcPr>
            <w:tcW w:w="1838" w:type="dxa"/>
            <w:tcBorders>
              <w:top w:val="single" w:sz="18" w:space="0" w:color="auto"/>
              <w:left w:val="single" w:sz="18" w:space="0" w:color="auto"/>
              <w:bottom w:val="single" w:sz="4" w:space="0" w:color="auto"/>
              <w:right w:val="single" w:sz="18" w:space="0" w:color="auto"/>
            </w:tcBorders>
            <w:shd w:val="clear" w:color="auto" w:fill="95B3D7" w:themeFill="accent1" w:themeFillTint="99"/>
            <w:vAlign w:val="center"/>
          </w:tcPr>
          <w:p w:rsidR="00921C0A" w:rsidRPr="00BD4AA0" w:rsidRDefault="00921C0A" w:rsidP="00353524">
            <w:pPr>
              <w:spacing w:after="0" w:line="240" w:lineRule="auto"/>
              <w:jc w:val="center"/>
              <w:rPr>
                <w:rFonts w:ascii="Calibri" w:hAnsi="Calibri" w:cs="Calibri"/>
                <w:b/>
                <w:bCs/>
                <w:sz w:val="24"/>
                <w:szCs w:val="24"/>
              </w:rPr>
            </w:pPr>
            <w:r w:rsidRPr="00BD4AA0">
              <w:rPr>
                <w:rFonts w:ascii="Calibri" w:hAnsi="Calibri" w:cs="Calibri"/>
                <w:b/>
                <w:bCs/>
                <w:sz w:val="24"/>
                <w:szCs w:val="24"/>
              </w:rPr>
              <w:t>Intitulé :</w:t>
            </w:r>
          </w:p>
        </w:tc>
        <w:tc>
          <w:tcPr>
            <w:tcW w:w="7938" w:type="dxa"/>
            <w:tcBorders>
              <w:top w:val="single" w:sz="18" w:space="0" w:color="auto"/>
              <w:left w:val="single" w:sz="18" w:space="0" w:color="auto"/>
              <w:bottom w:val="single" w:sz="4" w:space="0" w:color="auto"/>
              <w:right w:val="single" w:sz="18" w:space="0" w:color="auto"/>
            </w:tcBorders>
            <w:shd w:val="clear" w:color="auto" w:fill="auto"/>
          </w:tcPr>
          <w:p w:rsidR="00921C0A" w:rsidRPr="00BD4AA0" w:rsidRDefault="00921C0A" w:rsidP="00353524">
            <w:pPr>
              <w:spacing w:after="0" w:line="240" w:lineRule="auto"/>
              <w:rPr>
                <w:rFonts w:ascii="Times New Roman" w:hAnsi="Times New Roman" w:cs="Times New Roman"/>
                <w:sz w:val="24"/>
                <w:szCs w:val="24"/>
              </w:rPr>
            </w:pPr>
            <w:r w:rsidRPr="00BD4AA0">
              <w:rPr>
                <w:sz w:val="24"/>
                <w:szCs w:val="24"/>
              </w:rPr>
              <w:t xml:space="preserve">Cornières et profilés métalliques pour plaques de plâtre - Définitions, spécifications et méthodes d’essai </w:t>
            </w:r>
          </w:p>
        </w:tc>
      </w:tr>
      <w:tr w:rsidR="00921C0A" w:rsidRPr="0043547B" w:rsidTr="001E0C3C">
        <w:trPr>
          <w:trHeight w:val="799"/>
          <w:jc w:val="center"/>
        </w:trPr>
        <w:tc>
          <w:tcPr>
            <w:tcW w:w="1838" w:type="dxa"/>
            <w:tcBorders>
              <w:top w:val="single" w:sz="4" w:space="0" w:color="auto"/>
              <w:left w:val="single" w:sz="18" w:space="0" w:color="auto"/>
              <w:bottom w:val="single" w:sz="18" w:space="0" w:color="auto"/>
              <w:right w:val="single" w:sz="18" w:space="0" w:color="auto"/>
            </w:tcBorders>
            <w:shd w:val="clear" w:color="000000" w:fill="D9D9D9"/>
            <w:vAlign w:val="center"/>
          </w:tcPr>
          <w:p w:rsidR="00921C0A" w:rsidRPr="00BD4AA0" w:rsidRDefault="00921C0A" w:rsidP="00353524">
            <w:pPr>
              <w:spacing w:after="0" w:line="240" w:lineRule="auto"/>
              <w:jc w:val="center"/>
              <w:rPr>
                <w:rFonts w:ascii="Calibri" w:hAnsi="Calibri" w:cs="Calibri"/>
                <w:b/>
                <w:bCs/>
                <w:sz w:val="24"/>
                <w:szCs w:val="24"/>
              </w:rPr>
            </w:pPr>
            <w:r w:rsidRPr="00BD4AA0">
              <w:rPr>
                <w:rFonts w:ascii="Calibri" w:hAnsi="Calibri" w:cs="Calibri"/>
                <w:b/>
                <w:bCs/>
                <w:sz w:val="24"/>
                <w:szCs w:val="24"/>
              </w:rPr>
              <w:t>Domaine d’application :</w:t>
            </w:r>
          </w:p>
        </w:tc>
        <w:tc>
          <w:tcPr>
            <w:tcW w:w="7938" w:type="dxa"/>
            <w:tcBorders>
              <w:top w:val="single" w:sz="4" w:space="0" w:color="auto"/>
              <w:left w:val="single" w:sz="18" w:space="0" w:color="auto"/>
              <w:bottom w:val="single" w:sz="18" w:space="0" w:color="auto"/>
              <w:right w:val="single" w:sz="18" w:space="0" w:color="auto"/>
            </w:tcBorders>
            <w:shd w:val="clear" w:color="auto" w:fill="auto"/>
            <w:vAlign w:val="bottom"/>
          </w:tcPr>
          <w:p w:rsidR="00353524" w:rsidRDefault="00921C0A" w:rsidP="00353524">
            <w:pPr>
              <w:spacing w:after="0" w:line="240" w:lineRule="auto"/>
              <w:jc w:val="both"/>
              <w:rPr>
                <w:sz w:val="24"/>
                <w:szCs w:val="24"/>
              </w:rPr>
            </w:pPr>
            <w:r w:rsidRPr="00BD4AA0">
              <w:rPr>
                <w:sz w:val="24"/>
                <w:szCs w:val="24"/>
              </w:rPr>
              <w:t>La présente Norme spécifie les caractéristiques et les performances requises pour les</w:t>
            </w:r>
            <w:r w:rsidR="00353524">
              <w:rPr>
                <w:sz w:val="24"/>
                <w:szCs w:val="24"/>
              </w:rPr>
              <w:t xml:space="preserve"> </w:t>
            </w:r>
            <w:r w:rsidRPr="00BD4AA0">
              <w:rPr>
                <w:sz w:val="24"/>
                <w:szCs w:val="24"/>
              </w:rPr>
              <w:t>cornières métalliques, les cornières métalliques comportant des bandes de papier et les profilés</w:t>
            </w:r>
            <w:r w:rsidR="00353524">
              <w:rPr>
                <w:sz w:val="24"/>
                <w:szCs w:val="24"/>
              </w:rPr>
              <w:t xml:space="preserve"> </w:t>
            </w:r>
            <w:r w:rsidRPr="00BD4AA0">
              <w:rPr>
                <w:sz w:val="24"/>
                <w:szCs w:val="24"/>
              </w:rPr>
              <w:t>métalliques destinés à être utilisés dans les ouvrages en plaques de plâtre selon l’EN 520, les plaques de</w:t>
            </w:r>
            <w:r w:rsidR="00353524">
              <w:rPr>
                <w:sz w:val="24"/>
                <w:szCs w:val="24"/>
              </w:rPr>
              <w:t xml:space="preserve"> </w:t>
            </w:r>
            <w:r w:rsidRPr="00BD4AA0">
              <w:rPr>
                <w:sz w:val="24"/>
                <w:szCs w:val="24"/>
              </w:rPr>
              <w:t>plâtre armées de fibres selon l’EN 15283-1 et l’EN 15283-2 et les produits de transformation secondaire</w:t>
            </w:r>
            <w:r w:rsidR="00353524">
              <w:rPr>
                <w:sz w:val="24"/>
                <w:szCs w:val="24"/>
              </w:rPr>
              <w:t xml:space="preserve"> </w:t>
            </w:r>
            <w:r w:rsidRPr="00BD4AA0">
              <w:rPr>
                <w:sz w:val="24"/>
                <w:szCs w:val="24"/>
              </w:rPr>
              <w:t>selon l’EN 14190, les complexes d’isolation thermique/acoustique en plaques de plâtre et isolant selon</w:t>
            </w:r>
            <w:r w:rsidR="00353524">
              <w:rPr>
                <w:sz w:val="24"/>
                <w:szCs w:val="24"/>
              </w:rPr>
              <w:t xml:space="preserve"> </w:t>
            </w:r>
            <w:r w:rsidRPr="00BD4AA0">
              <w:rPr>
                <w:sz w:val="24"/>
                <w:szCs w:val="24"/>
              </w:rPr>
              <w:t>l’EN 13950 et les panneaux de cloison préfabriqués en plaques de plâtre à âme cellulaire en carton</w:t>
            </w:r>
            <w:r w:rsidR="00353524">
              <w:rPr>
                <w:sz w:val="24"/>
                <w:szCs w:val="24"/>
              </w:rPr>
              <w:t xml:space="preserve"> </w:t>
            </w:r>
            <w:r w:rsidRPr="00BD4AA0">
              <w:rPr>
                <w:sz w:val="24"/>
                <w:szCs w:val="24"/>
              </w:rPr>
              <w:t>selon l’EN 13915, destinés à être utilisés dans des ouvrages de construction. Selon leur matériau de</w:t>
            </w:r>
            <w:r w:rsidR="00353524">
              <w:rPr>
                <w:sz w:val="24"/>
                <w:szCs w:val="24"/>
              </w:rPr>
              <w:t xml:space="preserve"> </w:t>
            </w:r>
            <w:r w:rsidRPr="00BD4AA0">
              <w:rPr>
                <w:sz w:val="24"/>
                <w:szCs w:val="24"/>
              </w:rPr>
              <w:t>composition et leur type, les cornières et les profilés métalliques peuvent être décorés ou non décorés</w:t>
            </w:r>
            <w:r w:rsidR="00353524">
              <w:rPr>
                <w:sz w:val="24"/>
                <w:szCs w:val="24"/>
              </w:rPr>
              <w:t xml:space="preserve"> </w:t>
            </w:r>
            <w:r w:rsidRPr="00BD4AA0">
              <w:rPr>
                <w:sz w:val="24"/>
                <w:szCs w:val="24"/>
              </w:rPr>
              <w:t>ou revêtus par des enduits de joint avant décoration.</w:t>
            </w:r>
          </w:p>
          <w:p w:rsidR="00353524" w:rsidRDefault="00921C0A" w:rsidP="00353524">
            <w:pPr>
              <w:spacing w:after="0" w:line="240" w:lineRule="auto"/>
              <w:jc w:val="both"/>
              <w:rPr>
                <w:sz w:val="24"/>
                <w:szCs w:val="24"/>
              </w:rPr>
            </w:pPr>
            <w:r w:rsidRPr="00BD4AA0">
              <w:rPr>
                <w:sz w:val="24"/>
                <w:szCs w:val="24"/>
              </w:rPr>
              <w:t>Elle couvre les caractéristiques de performance suivantes : la réaction au feu et la résistance à la flexion</w:t>
            </w:r>
            <w:r w:rsidR="00353524">
              <w:rPr>
                <w:sz w:val="24"/>
                <w:szCs w:val="24"/>
              </w:rPr>
              <w:t xml:space="preserve"> </w:t>
            </w:r>
            <w:r w:rsidRPr="00BD4AA0">
              <w:rPr>
                <w:sz w:val="24"/>
                <w:szCs w:val="24"/>
              </w:rPr>
              <w:t>(comportement en flexion) qui doivent être mesurées selon les méthodes d’essai</w:t>
            </w:r>
            <w:r w:rsidR="00353524">
              <w:rPr>
                <w:sz w:val="24"/>
                <w:szCs w:val="24"/>
              </w:rPr>
              <w:t xml:space="preserve"> </w:t>
            </w:r>
            <w:r w:rsidRPr="00BD4AA0">
              <w:rPr>
                <w:sz w:val="24"/>
                <w:szCs w:val="24"/>
              </w:rPr>
              <w:t>correspondantes.</w:t>
            </w:r>
          </w:p>
          <w:p w:rsidR="00921C0A" w:rsidRPr="00BD4AA0" w:rsidRDefault="00921C0A" w:rsidP="00353524">
            <w:pPr>
              <w:spacing w:after="0" w:line="240" w:lineRule="auto"/>
              <w:jc w:val="both"/>
              <w:rPr>
                <w:rFonts w:ascii="Times New Roman" w:hAnsi="Times New Roman" w:cs="Times New Roman"/>
                <w:sz w:val="24"/>
                <w:szCs w:val="24"/>
              </w:rPr>
            </w:pPr>
            <w:r w:rsidRPr="00BD4AA0">
              <w:rPr>
                <w:sz w:val="24"/>
                <w:szCs w:val="24"/>
              </w:rPr>
              <w:t>Elle spécifie l'évaluation et la vérification de la constance des performances des produits.</w:t>
            </w:r>
            <w:r w:rsidRPr="00BD4AA0">
              <w:rPr>
                <w:sz w:val="24"/>
                <w:szCs w:val="24"/>
              </w:rPr>
              <w:br/>
              <w:t xml:space="preserve">Elle couvre également les caractéristiques techniques supplémentaires qui sont </w:t>
            </w:r>
            <w:r w:rsidRPr="00BD4AA0">
              <w:rPr>
                <w:sz w:val="24"/>
                <w:szCs w:val="24"/>
              </w:rPr>
              <w:lastRenderedPageBreak/>
              <w:t>importantes en vue de</w:t>
            </w:r>
            <w:r w:rsidR="00353524">
              <w:rPr>
                <w:sz w:val="24"/>
                <w:szCs w:val="24"/>
              </w:rPr>
              <w:t xml:space="preserve"> </w:t>
            </w:r>
            <w:r w:rsidRPr="00BD4AA0">
              <w:rPr>
                <w:sz w:val="24"/>
                <w:szCs w:val="24"/>
              </w:rPr>
              <w:t>l’utilisation et de l’acceptation du produit par l’industrie du bâtiment ainsi que les essais de référence de</w:t>
            </w:r>
            <w:r w:rsidR="00353524">
              <w:rPr>
                <w:sz w:val="24"/>
                <w:szCs w:val="24"/>
              </w:rPr>
              <w:t xml:space="preserve"> </w:t>
            </w:r>
            <w:r w:rsidRPr="00BD4AA0">
              <w:rPr>
                <w:sz w:val="24"/>
                <w:szCs w:val="24"/>
              </w:rPr>
              <w:t>ces caractéristiques.</w:t>
            </w:r>
          </w:p>
        </w:tc>
      </w:tr>
      <w:tr w:rsidR="00921C0A" w:rsidRPr="0043547B" w:rsidTr="001E0C3C">
        <w:trPr>
          <w:trHeight w:val="334"/>
          <w:jc w:val="center"/>
        </w:trPr>
        <w:tc>
          <w:tcPr>
            <w:tcW w:w="1838" w:type="dxa"/>
            <w:tcBorders>
              <w:top w:val="single" w:sz="18" w:space="0" w:color="auto"/>
              <w:left w:val="single" w:sz="18" w:space="0" w:color="auto"/>
              <w:bottom w:val="single" w:sz="18" w:space="0" w:color="auto"/>
              <w:right w:val="single" w:sz="18" w:space="0" w:color="auto"/>
            </w:tcBorders>
            <w:shd w:val="clear" w:color="auto" w:fill="C2D69B" w:themeFill="accent3" w:themeFillTint="99"/>
            <w:vAlign w:val="center"/>
          </w:tcPr>
          <w:p w:rsidR="00921C0A" w:rsidRPr="00BD4AA0" w:rsidRDefault="00921C0A" w:rsidP="00353524">
            <w:pPr>
              <w:spacing w:after="0" w:line="240" w:lineRule="auto"/>
              <w:jc w:val="center"/>
              <w:rPr>
                <w:rFonts w:ascii="Calibri" w:hAnsi="Calibri" w:cs="Calibri"/>
                <w:b/>
                <w:bCs/>
                <w:sz w:val="24"/>
                <w:szCs w:val="24"/>
              </w:rPr>
            </w:pPr>
            <w:r w:rsidRPr="00BD4AA0">
              <w:rPr>
                <w:rFonts w:ascii="Calibri" w:hAnsi="Calibri" w:cs="Calibri"/>
                <w:b/>
                <w:bCs/>
                <w:sz w:val="24"/>
                <w:szCs w:val="24"/>
              </w:rPr>
              <w:lastRenderedPageBreak/>
              <w:t>Code :</w:t>
            </w:r>
          </w:p>
        </w:tc>
        <w:tc>
          <w:tcPr>
            <w:tcW w:w="7938" w:type="dxa"/>
            <w:tcBorders>
              <w:top w:val="single" w:sz="18" w:space="0" w:color="auto"/>
              <w:left w:val="single" w:sz="18" w:space="0" w:color="auto"/>
              <w:bottom w:val="single" w:sz="18" w:space="0" w:color="auto"/>
              <w:right w:val="single" w:sz="18" w:space="0" w:color="auto"/>
            </w:tcBorders>
            <w:shd w:val="clear" w:color="auto" w:fill="C2D69B" w:themeFill="accent3" w:themeFillTint="99"/>
            <w:vAlign w:val="center"/>
          </w:tcPr>
          <w:p w:rsidR="00921C0A" w:rsidRPr="00353524" w:rsidRDefault="00921C0A" w:rsidP="00353524">
            <w:pPr>
              <w:spacing w:after="0" w:line="240" w:lineRule="auto"/>
              <w:jc w:val="center"/>
              <w:rPr>
                <w:rFonts w:ascii="Times New Roman" w:hAnsi="Times New Roman" w:cs="Times New Roman"/>
                <w:b/>
                <w:bCs/>
                <w:sz w:val="24"/>
                <w:szCs w:val="24"/>
              </w:rPr>
            </w:pPr>
            <w:r w:rsidRPr="00353524">
              <w:rPr>
                <w:b/>
                <w:bCs/>
                <w:sz w:val="24"/>
                <w:szCs w:val="24"/>
              </w:rPr>
              <w:t>NM EN 15283-1</w:t>
            </w:r>
          </w:p>
        </w:tc>
      </w:tr>
      <w:tr w:rsidR="00921C0A" w:rsidRPr="0043547B" w:rsidTr="001E0C3C">
        <w:trPr>
          <w:trHeight w:val="314"/>
          <w:jc w:val="center"/>
        </w:trPr>
        <w:tc>
          <w:tcPr>
            <w:tcW w:w="1838" w:type="dxa"/>
            <w:tcBorders>
              <w:top w:val="single" w:sz="18" w:space="0" w:color="auto"/>
              <w:left w:val="single" w:sz="18" w:space="0" w:color="auto"/>
              <w:bottom w:val="single" w:sz="18" w:space="0" w:color="auto"/>
              <w:right w:val="single" w:sz="18" w:space="0" w:color="auto"/>
            </w:tcBorders>
            <w:shd w:val="clear" w:color="auto" w:fill="FFFF99"/>
            <w:vAlign w:val="center"/>
          </w:tcPr>
          <w:p w:rsidR="00921C0A" w:rsidRPr="00BD4AA0" w:rsidRDefault="00921C0A" w:rsidP="00353524">
            <w:pPr>
              <w:spacing w:after="0" w:line="240" w:lineRule="auto"/>
              <w:jc w:val="center"/>
              <w:rPr>
                <w:rFonts w:ascii="Calibri" w:hAnsi="Calibri" w:cs="Calibri"/>
                <w:b/>
                <w:bCs/>
                <w:sz w:val="24"/>
                <w:szCs w:val="24"/>
              </w:rPr>
            </w:pPr>
            <w:r w:rsidRPr="00BD4AA0">
              <w:rPr>
                <w:rFonts w:ascii="Calibri" w:hAnsi="Calibri" w:cs="Calibri"/>
                <w:b/>
                <w:bCs/>
                <w:sz w:val="24"/>
                <w:szCs w:val="24"/>
              </w:rPr>
              <w:t>Equivalence :</w:t>
            </w:r>
          </w:p>
        </w:tc>
        <w:tc>
          <w:tcPr>
            <w:tcW w:w="7938" w:type="dxa"/>
            <w:tcBorders>
              <w:top w:val="single" w:sz="18" w:space="0" w:color="auto"/>
              <w:left w:val="single" w:sz="18" w:space="0" w:color="auto"/>
              <w:bottom w:val="single" w:sz="18" w:space="0" w:color="auto"/>
              <w:right w:val="single" w:sz="18" w:space="0" w:color="auto"/>
            </w:tcBorders>
            <w:shd w:val="clear" w:color="auto" w:fill="FFFF99"/>
            <w:vAlign w:val="center"/>
          </w:tcPr>
          <w:p w:rsidR="00921C0A" w:rsidRPr="00353524" w:rsidRDefault="00921C0A" w:rsidP="00353524">
            <w:pPr>
              <w:spacing w:after="0" w:line="240" w:lineRule="auto"/>
              <w:jc w:val="center"/>
              <w:rPr>
                <w:rFonts w:ascii="Times New Roman" w:hAnsi="Times New Roman" w:cs="Times New Roman"/>
                <w:b/>
                <w:bCs/>
                <w:sz w:val="24"/>
                <w:szCs w:val="24"/>
              </w:rPr>
            </w:pPr>
            <w:r w:rsidRPr="00353524">
              <w:rPr>
                <w:b/>
                <w:bCs/>
                <w:sz w:val="24"/>
                <w:szCs w:val="24"/>
              </w:rPr>
              <w:t>EN 15283-1</w:t>
            </w:r>
          </w:p>
        </w:tc>
      </w:tr>
      <w:tr w:rsidR="00921C0A" w:rsidRPr="0043547B" w:rsidTr="001E0C3C">
        <w:trPr>
          <w:trHeight w:val="586"/>
          <w:jc w:val="center"/>
        </w:trPr>
        <w:tc>
          <w:tcPr>
            <w:tcW w:w="1838" w:type="dxa"/>
            <w:tcBorders>
              <w:top w:val="single" w:sz="18" w:space="0" w:color="auto"/>
              <w:left w:val="single" w:sz="18" w:space="0" w:color="auto"/>
              <w:bottom w:val="single" w:sz="4" w:space="0" w:color="auto"/>
              <w:right w:val="single" w:sz="18" w:space="0" w:color="auto"/>
            </w:tcBorders>
            <w:shd w:val="clear" w:color="auto" w:fill="95B3D7" w:themeFill="accent1" w:themeFillTint="99"/>
            <w:vAlign w:val="center"/>
          </w:tcPr>
          <w:p w:rsidR="00921C0A" w:rsidRPr="00BD4AA0" w:rsidRDefault="00921C0A" w:rsidP="00353524">
            <w:pPr>
              <w:spacing w:after="0" w:line="240" w:lineRule="auto"/>
              <w:jc w:val="center"/>
              <w:rPr>
                <w:rFonts w:ascii="Calibri" w:hAnsi="Calibri" w:cs="Calibri"/>
                <w:b/>
                <w:bCs/>
                <w:sz w:val="24"/>
                <w:szCs w:val="24"/>
              </w:rPr>
            </w:pPr>
            <w:r w:rsidRPr="00BD4AA0">
              <w:rPr>
                <w:rFonts w:ascii="Calibri" w:hAnsi="Calibri" w:cs="Calibri"/>
                <w:b/>
                <w:bCs/>
                <w:sz w:val="24"/>
                <w:szCs w:val="24"/>
              </w:rPr>
              <w:t>Intitulé :</w:t>
            </w:r>
          </w:p>
        </w:tc>
        <w:tc>
          <w:tcPr>
            <w:tcW w:w="7938" w:type="dxa"/>
            <w:tcBorders>
              <w:top w:val="single" w:sz="18" w:space="0" w:color="auto"/>
              <w:left w:val="single" w:sz="18" w:space="0" w:color="auto"/>
              <w:bottom w:val="single" w:sz="4" w:space="0" w:color="auto"/>
              <w:right w:val="single" w:sz="18" w:space="0" w:color="auto"/>
            </w:tcBorders>
            <w:shd w:val="clear" w:color="auto" w:fill="auto"/>
          </w:tcPr>
          <w:p w:rsidR="00921C0A" w:rsidRPr="00BD4AA0" w:rsidRDefault="00921C0A" w:rsidP="00353524">
            <w:pPr>
              <w:spacing w:after="0" w:line="240" w:lineRule="auto"/>
              <w:rPr>
                <w:rFonts w:ascii="Times New Roman" w:hAnsi="Times New Roman" w:cs="Times New Roman"/>
                <w:sz w:val="24"/>
                <w:szCs w:val="24"/>
              </w:rPr>
            </w:pPr>
            <w:r w:rsidRPr="00BD4AA0">
              <w:rPr>
                <w:sz w:val="24"/>
                <w:szCs w:val="24"/>
              </w:rPr>
              <w:t xml:space="preserve">Plaques de plâtre armées de fibres - Définitions, </w:t>
            </w:r>
            <w:r w:rsidR="00353524" w:rsidRPr="00BD4AA0">
              <w:rPr>
                <w:sz w:val="24"/>
                <w:szCs w:val="24"/>
              </w:rPr>
              <w:t>spécifications et méthodes d’essai - Partie 1</w:t>
            </w:r>
            <w:r w:rsidRPr="00BD4AA0">
              <w:rPr>
                <w:sz w:val="24"/>
                <w:szCs w:val="24"/>
              </w:rPr>
              <w:t xml:space="preserve">: Plaques de plâtre armées d’un tissu </w:t>
            </w:r>
          </w:p>
        </w:tc>
      </w:tr>
      <w:tr w:rsidR="00921C0A" w:rsidRPr="0043547B" w:rsidTr="001E0C3C">
        <w:trPr>
          <w:trHeight w:val="799"/>
          <w:jc w:val="center"/>
        </w:trPr>
        <w:tc>
          <w:tcPr>
            <w:tcW w:w="1838" w:type="dxa"/>
            <w:tcBorders>
              <w:top w:val="single" w:sz="4" w:space="0" w:color="auto"/>
              <w:left w:val="single" w:sz="18" w:space="0" w:color="auto"/>
              <w:bottom w:val="single" w:sz="18" w:space="0" w:color="auto"/>
              <w:right w:val="single" w:sz="18" w:space="0" w:color="auto"/>
            </w:tcBorders>
            <w:shd w:val="clear" w:color="000000" w:fill="D9D9D9"/>
            <w:vAlign w:val="center"/>
          </w:tcPr>
          <w:p w:rsidR="00921C0A" w:rsidRPr="00BD4AA0" w:rsidRDefault="00921C0A" w:rsidP="00353524">
            <w:pPr>
              <w:spacing w:after="0" w:line="240" w:lineRule="auto"/>
              <w:jc w:val="center"/>
              <w:rPr>
                <w:rFonts w:ascii="Calibri" w:hAnsi="Calibri" w:cs="Calibri"/>
                <w:b/>
                <w:bCs/>
                <w:sz w:val="24"/>
                <w:szCs w:val="24"/>
              </w:rPr>
            </w:pPr>
            <w:r w:rsidRPr="00BD4AA0">
              <w:rPr>
                <w:rFonts w:ascii="Calibri" w:hAnsi="Calibri" w:cs="Calibri"/>
                <w:b/>
                <w:bCs/>
                <w:sz w:val="24"/>
                <w:szCs w:val="24"/>
              </w:rPr>
              <w:t>Domaine d’application :</w:t>
            </w:r>
          </w:p>
        </w:tc>
        <w:tc>
          <w:tcPr>
            <w:tcW w:w="7938" w:type="dxa"/>
            <w:tcBorders>
              <w:top w:val="single" w:sz="4" w:space="0" w:color="auto"/>
              <w:left w:val="single" w:sz="18" w:space="0" w:color="auto"/>
              <w:bottom w:val="single" w:sz="18" w:space="0" w:color="auto"/>
              <w:right w:val="single" w:sz="18" w:space="0" w:color="auto"/>
            </w:tcBorders>
            <w:shd w:val="clear" w:color="auto" w:fill="auto"/>
            <w:vAlign w:val="bottom"/>
          </w:tcPr>
          <w:p w:rsidR="00353524" w:rsidRDefault="00921C0A" w:rsidP="00353524">
            <w:pPr>
              <w:spacing w:after="0" w:line="240" w:lineRule="auto"/>
              <w:jc w:val="both"/>
              <w:rPr>
                <w:sz w:val="24"/>
                <w:szCs w:val="24"/>
              </w:rPr>
            </w:pPr>
            <w:r w:rsidRPr="00BD4AA0">
              <w:rPr>
                <w:sz w:val="24"/>
                <w:szCs w:val="24"/>
              </w:rPr>
              <w:t>La présente Norme spécifie les caractéristiques et performances des plaques de plâtre armées de tissu</w:t>
            </w:r>
            <w:r w:rsidR="00353524">
              <w:rPr>
                <w:sz w:val="24"/>
                <w:szCs w:val="24"/>
              </w:rPr>
              <w:t xml:space="preserve"> </w:t>
            </w:r>
            <w:r w:rsidRPr="00BD4AA0">
              <w:rPr>
                <w:sz w:val="24"/>
                <w:szCs w:val="24"/>
              </w:rPr>
              <w:t>conçues pour être utilisées dans des ouvrages de construction, y compris dans des opérations de fabrication</w:t>
            </w:r>
            <w:r w:rsidR="00353524">
              <w:rPr>
                <w:sz w:val="24"/>
                <w:szCs w:val="24"/>
              </w:rPr>
              <w:t xml:space="preserve"> </w:t>
            </w:r>
            <w:r w:rsidRPr="00BD4AA0">
              <w:rPr>
                <w:sz w:val="24"/>
                <w:szCs w:val="24"/>
              </w:rPr>
              <w:t>secondaires. Il inclut les plaques destinées à recevoir directement une finition sur leur face ou un enduit au plâtre.</w:t>
            </w:r>
          </w:p>
          <w:p w:rsidR="00353524" w:rsidRDefault="00921C0A" w:rsidP="00353524">
            <w:pPr>
              <w:spacing w:after="0" w:line="240" w:lineRule="auto"/>
              <w:jc w:val="both"/>
              <w:rPr>
                <w:sz w:val="24"/>
                <w:szCs w:val="24"/>
              </w:rPr>
            </w:pPr>
            <w:r w:rsidRPr="00BD4AA0">
              <w:rPr>
                <w:sz w:val="24"/>
                <w:szCs w:val="24"/>
              </w:rPr>
              <w:t>Les plaques de plâtre sont sélectionnées pour leur utilisation conformément à leur type, taille, épaisseur et profil des</w:t>
            </w:r>
            <w:r w:rsidR="00353524">
              <w:rPr>
                <w:sz w:val="24"/>
                <w:szCs w:val="24"/>
              </w:rPr>
              <w:t xml:space="preserve"> </w:t>
            </w:r>
            <w:r w:rsidRPr="00BD4AA0">
              <w:rPr>
                <w:sz w:val="24"/>
                <w:szCs w:val="24"/>
              </w:rPr>
              <w:t>bords. Les plaques peuvent être utilisées par exemple pour créer une finition par habillage des murs, des plafonds</w:t>
            </w:r>
            <w:r w:rsidRPr="00BD4AA0">
              <w:rPr>
                <w:sz w:val="24"/>
                <w:szCs w:val="24"/>
              </w:rPr>
              <w:br/>
              <w:t>fixes et suspendus, des cloisons, ou pour la protection et l’habillage des poteaux et des poutres. Elles peuvent par</w:t>
            </w:r>
            <w:r w:rsidR="00353524">
              <w:rPr>
                <w:sz w:val="24"/>
                <w:szCs w:val="24"/>
              </w:rPr>
              <w:t xml:space="preserve"> </w:t>
            </w:r>
            <w:r w:rsidRPr="00BD4AA0">
              <w:rPr>
                <w:sz w:val="24"/>
                <w:szCs w:val="24"/>
              </w:rPr>
              <w:t>ailleurs être utilisées pour les sols, la ventilation et les conduits de désenfumage, les chemins de câble et la pose</w:t>
            </w:r>
            <w:r w:rsidRPr="00BD4AA0">
              <w:rPr>
                <w:sz w:val="24"/>
                <w:szCs w:val="24"/>
              </w:rPr>
              <w:br/>
              <w:t>sous bardage.</w:t>
            </w:r>
          </w:p>
          <w:p w:rsidR="001E0C3C" w:rsidRDefault="00921C0A" w:rsidP="00353524">
            <w:pPr>
              <w:spacing w:after="0" w:line="240" w:lineRule="auto"/>
              <w:jc w:val="both"/>
              <w:rPr>
                <w:sz w:val="24"/>
                <w:szCs w:val="24"/>
              </w:rPr>
            </w:pPr>
            <w:r w:rsidRPr="00BD4AA0">
              <w:rPr>
                <w:sz w:val="24"/>
                <w:szCs w:val="24"/>
              </w:rPr>
              <w:t>La présente Norme couvre les caractéristiques de performance suivantes :</w:t>
            </w:r>
          </w:p>
          <w:p w:rsidR="001E0C3C" w:rsidRDefault="00921C0A" w:rsidP="001E0C3C">
            <w:pPr>
              <w:spacing w:after="0" w:line="240" w:lineRule="auto"/>
              <w:jc w:val="both"/>
              <w:rPr>
                <w:sz w:val="24"/>
                <w:szCs w:val="24"/>
              </w:rPr>
            </w:pPr>
            <w:r w:rsidRPr="00BD4AA0">
              <w:rPr>
                <w:sz w:val="24"/>
                <w:szCs w:val="24"/>
              </w:rPr>
              <w:t>réaction au feu, perméabilité</w:t>
            </w:r>
            <w:r w:rsidR="001E0C3C">
              <w:rPr>
                <w:sz w:val="24"/>
                <w:szCs w:val="24"/>
              </w:rPr>
              <w:t xml:space="preserve"> </w:t>
            </w:r>
            <w:r w:rsidRPr="00BD4AA0">
              <w:rPr>
                <w:sz w:val="24"/>
                <w:szCs w:val="24"/>
              </w:rPr>
              <w:t>à la vapeur d’eau, résistance à la flexion et résistance thermique.</w:t>
            </w:r>
          </w:p>
          <w:p w:rsidR="001E0C3C" w:rsidRDefault="00921C0A" w:rsidP="001E0C3C">
            <w:pPr>
              <w:spacing w:after="0" w:line="240" w:lineRule="auto"/>
              <w:jc w:val="both"/>
              <w:rPr>
                <w:sz w:val="24"/>
                <w:szCs w:val="24"/>
              </w:rPr>
            </w:pPr>
            <w:r w:rsidRPr="00BD4AA0">
              <w:rPr>
                <w:sz w:val="24"/>
                <w:szCs w:val="24"/>
              </w:rPr>
              <w:t>Les caractéristiques de performance suivantes sont liées aux systèmes assemblés à l’aide de plaques de plâtre</w:t>
            </w:r>
            <w:r w:rsidR="001E0C3C">
              <w:rPr>
                <w:sz w:val="24"/>
                <w:szCs w:val="24"/>
              </w:rPr>
              <w:t xml:space="preserve"> </w:t>
            </w:r>
            <w:r w:rsidRPr="00BD4AA0">
              <w:rPr>
                <w:sz w:val="24"/>
                <w:szCs w:val="24"/>
              </w:rPr>
              <w:t>armées de tissu : résistance au cisaillement, au choc, isolation acoustique aux bruits aériens, absorption acoustique.</w:t>
            </w:r>
          </w:p>
          <w:p w:rsidR="001E0C3C" w:rsidRDefault="00921C0A" w:rsidP="001E0C3C">
            <w:pPr>
              <w:spacing w:after="0" w:line="240" w:lineRule="auto"/>
              <w:jc w:val="both"/>
              <w:rPr>
                <w:sz w:val="24"/>
                <w:szCs w:val="24"/>
              </w:rPr>
            </w:pPr>
            <w:r w:rsidRPr="00BD4AA0">
              <w:rPr>
                <w:sz w:val="24"/>
                <w:szCs w:val="24"/>
              </w:rPr>
              <w:t>Au besoin, il convient d’effectuer des essais selon les méthodes d'essai européennes correspondantes sur</w:t>
            </w:r>
            <w:r w:rsidR="001E0C3C">
              <w:rPr>
                <w:sz w:val="24"/>
                <w:szCs w:val="24"/>
              </w:rPr>
              <w:t xml:space="preserve"> </w:t>
            </w:r>
            <w:r w:rsidRPr="00BD4AA0">
              <w:rPr>
                <w:sz w:val="24"/>
                <w:szCs w:val="24"/>
              </w:rPr>
              <w:t>des systèmes assemblés qui simulent les conditions d'utilisation finale.</w:t>
            </w:r>
          </w:p>
          <w:p w:rsidR="001E0C3C" w:rsidRDefault="00921C0A" w:rsidP="001E0C3C">
            <w:pPr>
              <w:spacing w:after="0" w:line="240" w:lineRule="auto"/>
              <w:jc w:val="both"/>
              <w:rPr>
                <w:sz w:val="24"/>
                <w:szCs w:val="24"/>
              </w:rPr>
            </w:pPr>
            <w:r w:rsidRPr="00BD4AA0">
              <w:rPr>
                <w:sz w:val="24"/>
                <w:szCs w:val="24"/>
              </w:rPr>
              <w:t>Elle couvre également les caractéristiques techniques supplémentaires qui sont importantes en vue de l’utilisation</w:t>
            </w:r>
            <w:r w:rsidR="001E0C3C">
              <w:rPr>
                <w:sz w:val="24"/>
                <w:szCs w:val="24"/>
              </w:rPr>
              <w:t xml:space="preserve"> </w:t>
            </w:r>
            <w:r w:rsidRPr="00BD4AA0">
              <w:rPr>
                <w:sz w:val="24"/>
                <w:szCs w:val="24"/>
              </w:rPr>
              <w:t>et de l’acceptation du produit ainsi que les essais de référence de ces caractéristiques. Elle traite de l’évaluation de la</w:t>
            </w:r>
            <w:r w:rsidRPr="00BD4AA0">
              <w:rPr>
                <w:sz w:val="24"/>
                <w:szCs w:val="24"/>
              </w:rPr>
              <w:br/>
              <w:t>conformité des produits à la présente Norme.</w:t>
            </w:r>
          </w:p>
          <w:p w:rsidR="001E0C3C" w:rsidRDefault="00921C0A" w:rsidP="001E0C3C">
            <w:pPr>
              <w:spacing w:after="0" w:line="240" w:lineRule="auto"/>
              <w:jc w:val="both"/>
              <w:rPr>
                <w:sz w:val="24"/>
                <w:szCs w:val="24"/>
              </w:rPr>
            </w:pPr>
            <w:r w:rsidRPr="00BD4AA0">
              <w:rPr>
                <w:sz w:val="24"/>
                <w:szCs w:val="24"/>
              </w:rPr>
              <w:t xml:space="preserve">La présente </w:t>
            </w:r>
            <w:r w:rsidR="001E0C3C" w:rsidRPr="00BD4AA0">
              <w:rPr>
                <w:sz w:val="24"/>
                <w:szCs w:val="24"/>
              </w:rPr>
              <w:t xml:space="preserve">Norme </w:t>
            </w:r>
            <w:r w:rsidR="001E0C3C">
              <w:rPr>
                <w:sz w:val="24"/>
                <w:szCs w:val="24"/>
              </w:rPr>
              <w:t>ne</w:t>
            </w:r>
            <w:r w:rsidRPr="00BD4AA0">
              <w:rPr>
                <w:sz w:val="24"/>
                <w:szCs w:val="24"/>
              </w:rPr>
              <w:t xml:space="preserve"> couvre pas les plaques de plâtre armées de tissu qui ont subi des opérations</w:t>
            </w:r>
            <w:r w:rsidR="001E0C3C">
              <w:rPr>
                <w:sz w:val="24"/>
                <w:szCs w:val="24"/>
              </w:rPr>
              <w:t xml:space="preserve"> </w:t>
            </w:r>
            <w:r w:rsidRPr="00BD4AA0">
              <w:rPr>
                <w:sz w:val="24"/>
                <w:szCs w:val="24"/>
              </w:rPr>
              <w:t>de transformation secondaires (par exemple les complexes d'isolation, les plaques avec revêtements minces, etc.).</w:t>
            </w:r>
          </w:p>
          <w:p w:rsidR="00921C0A" w:rsidRPr="00BD4AA0" w:rsidRDefault="00921C0A" w:rsidP="001E0C3C">
            <w:pPr>
              <w:spacing w:after="0" w:line="240" w:lineRule="auto"/>
              <w:jc w:val="both"/>
              <w:rPr>
                <w:rFonts w:ascii="Times New Roman" w:hAnsi="Times New Roman" w:cs="Times New Roman"/>
                <w:sz w:val="24"/>
                <w:szCs w:val="24"/>
              </w:rPr>
            </w:pPr>
            <w:r w:rsidRPr="00BD4AA0">
              <w:rPr>
                <w:sz w:val="24"/>
                <w:szCs w:val="24"/>
              </w:rPr>
              <w:t>Les produits traités par l’EN 520 ou l’EN 13815 sont exclus.</w:t>
            </w:r>
          </w:p>
        </w:tc>
      </w:tr>
      <w:tr w:rsidR="00921C0A" w:rsidRPr="0043547B" w:rsidTr="001E0C3C">
        <w:trPr>
          <w:trHeight w:val="425"/>
          <w:jc w:val="center"/>
        </w:trPr>
        <w:tc>
          <w:tcPr>
            <w:tcW w:w="1838" w:type="dxa"/>
            <w:tcBorders>
              <w:top w:val="single" w:sz="18" w:space="0" w:color="auto"/>
              <w:left w:val="single" w:sz="18" w:space="0" w:color="auto"/>
              <w:bottom w:val="single" w:sz="18" w:space="0" w:color="auto"/>
              <w:right w:val="single" w:sz="18" w:space="0" w:color="auto"/>
            </w:tcBorders>
            <w:shd w:val="clear" w:color="auto" w:fill="C2D69B" w:themeFill="accent3" w:themeFillTint="99"/>
            <w:vAlign w:val="center"/>
          </w:tcPr>
          <w:p w:rsidR="00921C0A" w:rsidRPr="00BD4AA0" w:rsidRDefault="00921C0A" w:rsidP="001E0C3C">
            <w:pPr>
              <w:spacing w:after="0" w:line="240" w:lineRule="auto"/>
              <w:jc w:val="center"/>
              <w:rPr>
                <w:rFonts w:ascii="Calibri" w:hAnsi="Calibri" w:cs="Calibri"/>
                <w:b/>
                <w:bCs/>
                <w:sz w:val="24"/>
                <w:szCs w:val="24"/>
              </w:rPr>
            </w:pPr>
            <w:r w:rsidRPr="00BD4AA0">
              <w:rPr>
                <w:rFonts w:ascii="Calibri" w:hAnsi="Calibri" w:cs="Calibri"/>
                <w:b/>
                <w:bCs/>
                <w:sz w:val="24"/>
                <w:szCs w:val="24"/>
              </w:rPr>
              <w:t>Code :</w:t>
            </w:r>
          </w:p>
        </w:tc>
        <w:tc>
          <w:tcPr>
            <w:tcW w:w="7938" w:type="dxa"/>
            <w:tcBorders>
              <w:top w:val="single" w:sz="18" w:space="0" w:color="auto"/>
              <w:left w:val="single" w:sz="18" w:space="0" w:color="auto"/>
              <w:bottom w:val="single" w:sz="18" w:space="0" w:color="auto"/>
              <w:right w:val="single" w:sz="18" w:space="0" w:color="auto"/>
            </w:tcBorders>
            <w:shd w:val="clear" w:color="auto" w:fill="C2D69B" w:themeFill="accent3" w:themeFillTint="99"/>
            <w:vAlign w:val="center"/>
          </w:tcPr>
          <w:p w:rsidR="00921C0A" w:rsidRPr="001E0C3C" w:rsidRDefault="00921C0A" w:rsidP="001E0C3C">
            <w:pPr>
              <w:spacing w:after="0" w:line="240" w:lineRule="auto"/>
              <w:jc w:val="center"/>
              <w:rPr>
                <w:rFonts w:ascii="Times New Roman" w:hAnsi="Times New Roman" w:cs="Times New Roman"/>
                <w:b/>
                <w:bCs/>
                <w:sz w:val="24"/>
                <w:szCs w:val="24"/>
              </w:rPr>
            </w:pPr>
            <w:r w:rsidRPr="001E0C3C">
              <w:rPr>
                <w:b/>
                <w:bCs/>
                <w:sz w:val="24"/>
                <w:szCs w:val="24"/>
              </w:rPr>
              <w:t>NM EN 15283-2</w:t>
            </w:r>
          </w:p>
        </w:tc>
      </w:tr>
      <w:tr w:rsidR="00921C0A" w:rsidRPr="0043547B" w:rsidTr="001E0C3C">
        <w:trPr>
          <w:trHeight w:val="405"/>
          <w:jc w:val="center"/>
        </w:trPr>
        <w:tc>
          <w:tcPr>
            <w:tcW w:w="1838" w:type="dxa"/>
            <w:tcBorders>
              <w:top w:val="single" w:sz="18" w:space="0" w:color="auto"/>
              <w:left w:val="single" w:sz="18" w:space="0" w:color="auto"/>
              <w:bottom w:val="single" w:sz="18" w:space="0" w:color="auto"/>
              <w:right w:val="single" w:sz="18" w:space="0" w:color="auto"/>
            </w:tcBorders>
            <w:shd w:val="clear" w:color="auto" w:fill="FFFF99"/>
            <w:vAlign w:val="center"/>
          </w:tcPr>
          <w:p w:rsidR="00921C0A" w:rsidRPr="00BD4AA0" w:rsidRDefault="00921C0A" w:rsidP="001E0C3C">
            <w:pPr>
              <w:spacing w:after="0" w:line="240" w:lineRule="auto"/>
              <w:jc w:val="center"/>
              <w:rPr>
                <w:rFonts w:ascii="Calibri" w:hAnsi="Calibri" w:cs="Calibri"/>
                <w:b/>
                <w:bCs/>
                <w:sz w:val="24"/>
                <w:szCs w:val="24"/>
              </w:rPr>
            </w:pPr>
            <w:r w:rsidRPr="00BD4AA0">
              <w:rPr>
                <w:rFonts w:ascii="Calibri" w:hAnsi="Calibri" w:cs="Calibri"/>
                <w:b/>
                <w:bCs/>
                <w:sz w:val="24"/>
                <w:szCs w:val="24"/>
              </w:rPr>
              <w:t>Equivalence :</w:t>
            </w:r>
          </w:p>
        </w:tc>
        <w:tc>
          <w:tcPr>
            <w:tcW w:w="7938" w:type="dxa"/>
            <w:tcBorders>
              <w:top w:val="single" w:sz="18" w:space="0" w:color="auto"/>
              <w:left w:val="single" w:sz="18" w:space="0" w:color="auto"/>
              <w:bottom w:val="single" w:sz="18" w:space="0" w:color="auto"/>
              <w:right w:val="single" w:sz="18" w:space="0" w:color="auto"/>
            </w:tcBorders>
            <w:shd w:val="clear" w:color="auto" w:fill="FFFF99"/>
            <w:vAlign w:val="center"/>
          </w:tcPr>
          <w:p w:rsidR="00921C0A" w:rsidRPr="001E0C3C" w:rsidRDefault="00921C0A" w:rsidP="001E0C3C">
            <w:pPr>
              <w:spacing w:after="0" w:line="240" w:lineRule="auto"/>
              <w:jc w:val="center"/>
              <w:rPr>
                <w:rFonts w:ascii="Times New Roman" w:hAnsi="Times New Roman" w:cs="Times New Roman"/>
                <w:b/>
                <w:bCs/>
                <w:sz w:val="24"/>
                <w:szCs w:val="24"/>
              </w:rPr>
            </w:pPr>
            <w:r w:rsidRPr="001E0C3C">
              <w:rPr>
                <w:b/>
                <w:bCs/>
                <w:sz w:val="24"/>
                <w:szCs w:val="24"/>
              </w:rPr>
              <w:t>EN 15283-2</w:t>
            </w:r>
          </w:p>
        </w:tc>
      </w:tr>
      <w:tr w:rsidR="00921C0A" w:rsidRPr="0043547B" w:rsidTr="001E0C3C">
        <w:trPr>
          <w:trHeight w:val="541"/>
          <w:jc w:val="center"/>
        </w:trPr>
        <w:tc>
          <w:tcPr>
            <w:tcW w:w="1838" w:type="dxa"/>
            <w:tcBorders>
              <w:top w:val="single" w:sz="18" w:space="0" w:color="auto"/>
              <w:left w:val="single" w:sz="18" w:space="0" w:color="auto"/>
              <w:bottom w:val="single" w:sz="4" w:space="0" w:color="auto"/>
              <w:right w:val="single" w:sz="18" w:space="0" w:color="auto"/>
            </w:tcBorders>
            <w:shd w:val="clear" w:color="auto" w:fill="95B3D7" w:themeFill="accent1" w:themeFillTint="99"/>
            <w:vAlign w:val="center"/>
          </w:tcPr>
          <w:p w:rsidR="00921C0A" w:rsidRPr="00BD4AA0" w:rsidRDefault="00921C0A" w:rsidP="001E0C3C">
            <w:pPr>
              <w:spacing w:after="0" w:line="240" w:lineRule="auto"/>
              <w:jc w:val="center"/>
              <w:rPr>
                <w:rFonts w:ascii="Calibri" w:hAnsi="Calibri" w:cs="Calibri"/>
                <w:b/>
                <w:bCs/>
                <w:sz w:val="24"/>
                <w:szCs w:val="24"/>
              </w:rPr>
            </w:pPr>
            <w:r w:rsidRPr="00BD4AA0">
              <w:rPr>
                <w:rFonts w:ascii="Calibri" w:hAnsi="Calibri" w:cs="Calibri"/>
                <w:b/>
                <w:bCs/>
                <w:sz w:val="24"/>
                <w:szCs w:val="24"/>
              </w:rPr>
              <w:t>Intitulé :</w:t>
            </w:r>
          </w:p>
        </w:tc>
        <w:tc>
          <w:tcPr>
            <w:tcW w:w="7938" w:type="dxa"/>
            <w:tcBorders>
              <w:top w:val="single" w:sz="18" w:space="0" w:color="auto"/>
              <w:left w:val="single" w:sz="18" w:space="0" w:color="auto"/>
              <w:bottom w:val="single" w:sz="4" w:space="0" w:color="auto"/>
              <w:right w:val="single" w:sz="18" w:space="0" w:color="auto"/>
            </w:tcBorders>
            <w:shd w:val="clear" w:color="auto" w:fill="auto"/>
          </w:tcPr>
          <w:p w:rsidR="00921C0A" w:rsidRPr="00BD4AA0" w:rsidRDefault="00921C0A" w:rsidP="001E0C3C">
            <w:pPr>
              <w:spacing w:after="0" w:line="240" w:lineRule="auto"/>
              <w:rPr>
                <w:rFonts w:ascii="Times New Roman" w:hAnsi="Times New Roman" w:cs="Times New Roman"/>
                <w:sz w:val="24"/>
                <w:szCs w:val="24"/>
              </w:rPr>
            </w:pPr>
            <w:r w:rsidRPr="00BD4AA0">
              <w:rPr>
                <w:sz w:val="24"/>
                <w:szCs w:val="24"/>
              </w:rPr>
              <w:t xml:space="preserve">Plaques de plâtre armées de fibres - Définitions, spécifications  et  méthodes  d’essai  -  Partie  2 : Plaques de plâtre fibrées ; </w:t>
            </w:r>
          </w:p>
        </w:tc>
      </w:tr>
      <w:tr w:rsidR="00921C0A" w:rsidRPr="0043547B" w:rsidTr="001E0C3C">
        <w:trPr>
          <w:trHeight w:val="799"/>
          <w:jc w:val="center"/>
        </w:trPr>
        <w:tc>
          <w:tcPr>
            <w:tcW w:w="1838" w:type="dxa"/>
            <w:tcBorders>
              <w:top w:val="single" w:sz="4" w:space="0" w:color="auto"/>
              <w:left w:val="single" w:sz="18" w:space="0" w:color="auto"/>
              <w:bottom w:val="single" w:sz="18" w:space="0" w:color="auto"/>
              <w:right w:val="single" w:sz="18" w:space="0" w:color="auto"/>
            </w:tcBorders>
            <w:shd w:val="clear" w:color="000000" w:fill="D9D9D9"/>
            <w:vAlign w:val="center"/>
          </w:tcPr>
          <w:p w:rsidR="00921C0A" w:rsidRPr="00BD4AA0" w:rsidRDefault="00921C0A" w:rsidP="001E0C3C">
            <w:pPr>
              <w:spacing w:after="0" w:line="240" w:lineRule="auto"/>
              <w:jc w:val="center"/>
              <w:rPr>
                <w:rFonts w:ascii="Calibri" w:hAnsi="Calibri" w:cs="Calibri"/>
                <w:b/>
                <w:bCs/>
                <w:sz w:val="24"/>
                <w:szCs w:val="24"/>
              </w:rPr>
            </w:pPr>
            <w:r w:rsidRPr="00BD4AA0">
              <w:rPr>
                <w:rFonts w:ascii="Calibri" w:hAnsi="Calibri" w:cs="Calibri"/>
                <w:b/>
                <w:bCs/>
                <w:sz w:val="24"/>
                <w:szCs w:val="24"/>
              </w:rPr>
              <w:t>Domaine d’application :</w:t>
            </w:r>
          </w:p>
        </w:tc>
        <w:tc>
          <w:tcPr>
            <w:tcW w:w="7938" w:type="dxa"/>
            <w:tcBorders>
              <w:top w:val="single" w:sz="4" w:space="0" w:color="auto"/>
              <w:left w:val="single" w:sz="18" w:space="0" w:color="auto"/>
              <w:bottom w:val="single" w:sz="18" w:space="0" w:color="auto"/>
              <w:right w:val="single" w:sz="18" w:space="0" w:color="auto"/>
            </w:tcBorders>
            <w:shd w:val="clear" w:color="auto" w:fill="auto"/>
            <w:vAlign w:val="bottom"/>
          </w:tcPr>
          <w:p w:rsidR="001E0C3C" w:rsidRDefault="00921C0A" w:rsidP="001E0C3C">
            <w:pPr>
              <w:spacing w:after="0" w:line="240" w:lineRule="auto"/>
              <w:jc w:val="both"/>
              <w:rPr>
                <w:sz w:val="24"/>
                <w:szCs w:val="24"/>
              </w:rPr>
            </w:pPr>
            <w:r w:rsidRPr="00BD4AA0">
              <w:rPr>
                <w:sz w:val="24"/>
                <w:szCs w:val="24"/>
              </w:rPr>
              <w:t>La présente Norme européenne spécifie les caractéristiques et les performances des plaques de plâtre fibrées</w:t>
            </w:r>
            <w:r w:rsidR="001E0C3C">
              <w:rPr>
                <w:sz w:val="24"/>
                <w:szCs w:val="24"/>
              </w:rPr>
              <w:t xml:space="preserve"> </w:t>
            </w:r>
            <w:r w:rsidRPr="00BD4AA0">
              <w:rPr>
                <w:sz w:val="24"/>
                <w:szCs w:val="24"/>
              </w:rPr>
              <w:t>conçues pour être utilisées dans des ouvrages de construction y compris celles conçues pour des opérations de</w:t>
            </w:r>
            <w:r w:rsidR="001E0C3C">
              <w:rPr>
                <w:sz w:val="24"/>
                <w:szCs w:val="24"/>
              </w:rPr>
              <w:t xml:space="preserve"> </w:t>
            </w:r>
            <w:r w:rsidRPr="00BD4AA0">
              <w:rPr>
                <w:sz w:val="24"/>
                <w:szCs w:val="24"/>
              </w:rPr>
              <w:t>fabrication secondaires. Elle inclut les plaques destinées à recevoir directement une finition sur leur surface ou un</w:t>
            </w:r>
            <w:r w:rsidR="001E0C3C">
              <w:rPr>
                <w:sz w:val="24"/>
                <w:szCs w:val="24"/>
              </w:rPr>
              <w:t xml:space="preserve"> </w:t>
            </w:r>
            <w:r w:rsidRPr="00BD4AA0">
              <w:rPr>
                <w:sz w:val="24"/>
                <w:szCs w:val="24"/>
              </w:rPr>
              <w:t>enduit au plâtre.</w:t>
            </w:r>
          </w:p>
          <w:p w:rsidR="001E0C3C" w:rsidRDefault="00921C0A" w:rsidP="001E0C3C">
            <w:pPr>
              <w:spacing w:after="0" w:line="240" w:lineRule="auto"/>
              <w:jc w:val="both"/>
              <w:rPr>
                <w:sz w:val="24"/>
                <w:szCs w:val="24"/>
              </w:rPr>
            </w:pPr>
            <w:r w:rsidRPr="00BD4AA0">
              <w:rPr>
                <w:sz w:val="24"/>
                <w:szCs w:val="24"/>
              </w:rPr>
              <w:t>Les plaques de plâtre fibrées sont sélectionnées pour leur utilisation conformément à leur type, à leur taille et à leur</w:t>
            </w:r>
            <w:r w:rsidR="001E0C3C">
              <w:rPr>
                <w:sz w:val="24"/>
                <w:szCs w:val="24"/>
              </w:rPr>
              <w:t xml:space="preserve"> </w:t>
            </w:r>
            <w:r w:rsidRPr="00BD4AA0">
              <w:rPr>
                <w:sz w:val="24"/>
                <w:szCs w:val="24"/>
              </w:rPr>
              <w:t>épaisseur, ainsi qu’au profil des bords. Les plaques peuvent être utilisées par exemple pour créer une finition par</w:t>
            </w:r>
            <w:r w:rsidRPr="00BD4AA0">
              <w:rPr>
                <w:sz w:val="24"/>
                <w:szCs w:val="24"/>
              </w:rPr>
              <w:br/>
            </w:r>
            <w:r w:rsidRPr="00BD4AA0">
              <w:rPr>
                <w:sz w:val="24"/>
                <w:szCs w:val="24"/>
              </w:rPr>
              <w:lastRenderedPageBreak/>
              <w:t>habillage des murs, des plafonds fixes et suspendus, des cloisons, ou pour la protection et l’habillage des poteaux et</w:t>
            </w:r>
            <w:r w:rsidR="001E0C3C">
              <w:rPr>
                <w:sz w:val="24"/>
                <w:szCs w:val="24"/>
              </w:rPr>
              <w:t xml:space="preserve"> </w:t>
            </w:r>
            <w:r w:rsidRPr="00BD4AA0">
              <w:rPr>
                <w:sz w:val="24"/>
                <w:szCs w:val="24"/>
              </w:rPr>
              <w:t>des poutres. Elles peuvent également être utilisées pour la pose en sous bardage.</w:t>
            </w:r>
          </w:p>
          <w:p w:rsidR="001E0C3C" w:rsidRDefault="00921C0A" w:rsidP="001E0C3C">
            <w:pPr>
              <w:spacing w:after="0" w:line="240" w:lineRule="auto"/>
              <w:jc w:val="both"/>
              <w:rPr>
                <w:sz w:val="24"/>
                <w:szCs w:val="24"/>
              </w:rPr>
            </w:pPr>
            <w:r w:rsidRPr="00BD4AA0">
              <w:rPr>
                <w:sz w:val="24"/>
                <w:szCs w:val="24"/>
              </w:rPr>
              <w:t>La présente Norme européenne couvre les caractéristiques de performance suivantes du produit : réaction au feu,</w:t>
            </w:r>
            <w:r w:rsidR="001E0C3C">
              <w:rPr>
                <w:sz w:val="24"/>
                <w:szCs w:val="24"/>
              </w:rPr>
              <w:t xml:space="preserve"> </w:t>
            </w:r>
            <w:r w:rsidRPr="00BD4AA0">
              <w:rPr>
                <w:sz w:val="24"/>
                <w:szCs w:val="24"/>
              </w:rPr>
              <w:t>perméabilité à la vapeur d’eau, résistance à la flexion et résistance thermique.</w:t>
            </w:r>
          </w:p>
          <w:p w:rsidR="001E0C3C" w:rsidRDefault="00921C0A" w:rsidP="001E0C3C">
            <w:pPr>
              <w:spacing w:after="0" w:line="240" w:lineRule="auto"/>
              <w:jc w:val="both"/>
              <w:rPr>
                <w:sz w:val="24"/>
                <w:szCs w:val="24"/>
              </w:rPr>
            </w:pPr>
            <w:r w:rsidRPr="00BD4AA0">
              <w:rPr>
                <w:sz w:val="24"/>
                <w:szCs w:val="24"/>
              </w:rPr>
              <w:t>Les caractéristiques de performance suivantes sont liées à des systèmes assemblés avec des plaques de plâtre</w:t>
            </w:r>
            <w:r w:rsidR="001E0C3C">
              <w:rPr>
                <w:sz w:val="24"/>
                <w:szCs w:val="24"/>
              </w:rPr>
              <w:t xml:space="preserve"> </w:t>
            </w:r>
            <w:r w:rsidRPr="00BD4AA0">
              <w:rPr>
                <w:sz w:val="24"/>
                <w:szCs w:val="24"/>
              </w:rPr>
              <w:t>fibrées : résistance au cisaillement, résistance au feu, résistance aux chocs, isolation acoustique aux bruits aériens,</w:t>
            </w:r>
            <w:r w:rsidRPr="00BD4AA0">
              <w:rPr>
                <w:sz w:val="24"/>
                <w:szCs w:val="24"/>
              </w:rPr>
              <w:br/>
              <w:t>absorption acoustique. Au besoin, des essais doivent être effectués conformément aux méthodes d'essai</w:t>
            </w:r>
            <w:r w:rsidR="001E0C3C">
              <w:rPr>
                <w:sz w:val="24"/>
                <w:szCs w:val="24"/>
              </w:rPr>
              <w:t xml:space="preserve"> </w:t>
            </w:r>
            <w:r w:rsidRPr="00BD4AA0">
              <w:rPr>
                <w:sz w:val="24"/>
                <w:szCs w:val="24"/>
              </w:rPr>
              <w:t>européennes correspondantes sur des systèmes assemblés qui simulent les conditions d'utilisation finale.</w:t>
            </w:r>
          </w:p>
          <w:p w:rsidR="001E0C3C" w:rsidRDefault="00921C0A" w:rsidP="001E0C3C">
            <w:pPr>
              <w:spacing w:after="0" w:line="240" w:lineRule="auto"/>
              <w:jc w:val="both"/>
              <w:rPr>
                <w:sz w:val="24"/>
                <w:szCs w:val="24"/>
              </w:rPr>
            </w:pPr>
            <w:r w:rsidRPr="00BD4AA0">
              <w:rPr>
                <w:sz w:val="24"/>
                <w:szCs w:val="24"/>
              </w:rPr>
              <w:t>La présente norme couvre également les caractéristiques techniques supplémentaires qui ont une</w:t>
            </w:r>
            <w:r w:rsidR="001E0C3C">
              <w:rPr>
                <w:sz w:val="24"/>
                <w:szCs w:val="24"/>
              </w:rPr>
              <w:t xml:space="preserve"> </w:t>
            </w:r>
            <w:r w:rsidRPr="00BD4AA0">
              <w:rPr>
                <w:sz w:val="24"/>
                <w:szCs w:val="24"/>
              </w:rPr>
              <w:t>incidence sur l’utilisation et la réception du produit, ainsi que les essais de référence de ces caractéristiques.</w:t>
            </w:r>
          </w:p>
          <w:p w:rsidR="001E0C3C" w:rsidRDefault="00921C0A" w:rsidP="001E0C3C">
            <w:pPr>
              <w:spacing w:after="0" w:line="240" w:lineRule="auto"/>
              <w:jc w:val="both"/>
              <w:rPr>
                <w:sz w:val="24"/>
                <w:szCs w:val="24"/>
              </w:rPr>
            </w:pPr>
            <w:r w:rsidRPr="00BD4AA0">
              <w:rPr>
                <w:sz w:val="24"/>
                <w:szCs w:val="24"/>
              </w:rPr>
              <w:t>Elle permet l’évaluation de la conformité du produit à la présente EN.</w:t>
            </w:r>
          </w:p>
          <w:p w:rsidR="001E0C3C" w:rsidRDefault="00921C0A" w:rsidP="001E0C3C">
            <w:pPr>
              <w:spacing w:after="0" w:line="240" w:lineRule="auto"/>
              <w:jc w:val="both"/>
              <w:rPr>
                <w:sz w:val="24"/>
                <w:szCs w:val="24"/>
              </w:rPr>
            </w:pPr>
            <w:r w:rsidRPr="00BD4AA0">
              <w:rPr>
                <w:sz w:val="24"/>
                <w:szCs w:val="24"/>
              </w:rPr>
              <w:t>La présente Norme européenne ne couvre pas les plaques de plâtre fibrées qui ont subi des opérations</w:t>
            </w:r>
            <w:r w:rsidR="001E0C3C">
              <w:rPr>
                <w:sz w:val="24"/>
                <w:szCs w:val="24"/>
              </w:rPr>
              <w:t xml:space="preserve"> </w:t>
            </w:r>
            <w:r w:rsidRPr="00BD4AA0">
              <w:rPr>
                <w:sz w:val="24"/>
                <w:szCs w:val="24"/>
              </w:rPr>
              <w:t>de transformation secondaires diverses (par exemple les complexes d’isolation, les plaques avec revêtements</w:t>
            </w:r>
            <w:r w:rsidR="001E0C3C">
              <w:rPr>
                <w:sz w:val="24"/>
                <w:szCs w:val="24"/>
              </w:rPr>
              <w:t xml:space="preserve"> </w:t>
            </w:r>
            <w:r w:rsidRPr="00BD4AA0">
              <w:rPr>
                <w:sz w:val="24"/>
                <w:szCs w:val="24"/>
              </w:rPr>
              <w:t>minces, etc.).</w:t>
            </w:r>
          </w:p>
          <w:p w:rsidR="00921C0A" w:rsidRPr="00BD4AA0" w:rsidRDefault="00921C0A" w:rsidP="001E0C3C">
            <w:pPr>
              <w:spacing w:after="0" w:line="240" w:lineRule="auto"/>
              <w:jc w:val="both"/>
              <w:rPr>
                <w:rFonts w:ascii="Times New Roman" w:hAnsi="Times New Roman" w:cs="Times New Roman"/>
                <w:sz w:val="24"/>
                <w:szCs w:val="24"/>
              </w:rPr>
            </w:pPr>
            <w:r w:rsidRPr="00BD4AA0">
              <w:rPr>
                <w:sz w:val="24"/>
                <w:szCs w:val="24"/>
              </w:rPr>
              <w:t>Les produits couverts par l’EN 520 et l’EN 13815 ne font pas partie du domaine d’application de la présente norme</w:t>
            </w:r>
          </w:p>
        </w:tc>
      </w:tr>
      <w:tr w:rsidR="00921C0A" w:rsidRPr="0043547B" w:rsidTr="001E0C3C">
        <w:trPr>
          <w:trHeight w:val="434"/>
          <w:jc w:val="center"/>
        </w:trPr>
        <w:tc>
          <w:tcPr>
            <w:tcW w:w="1838" w:type="dxa"/>
            <w:tcBorders>
              <w:top w:val="single" w:sz="18" w:space="0" w:color="auto"/>
              <w:left w:val="single" w:sz="18" w:space="0" w:color="auto"/>
              <w:bottom w:val="single" w:sz="18" w:space="0" w:color="auto"/>
              <w:right w:val="single" w:sz="18" w:space="0" w:color="auto"/>
            </w:tcBorders>
            <w:shd w:val="clear" w:color="auto" w:fill="C2D69B" w:themeFill="accent3" w:themeFillTint="99"/>
            <w:vAlign w:val="center"/>
          </w:tcPr>
          <w:p w:rsidR="00921C0A" w:rsidRPr="00BD4AA0" w:rsidRDefault="00921C0A" w:rsidP="001E0C3C">
            <w:pPr>
              <w:spacing w:after="0" w:line="240" w:lineRule="auto"/>
              <w:jc w:val="center"/>
              <w:rPr>
                <w:rFonts w:ascii="Calibri" w:hAnsi="Calibri" w:cs="Calibri"/>
                <w:b/>
                <w:bCs/>
                <w:sz w:val="24"/>
                <w:szCs w:val="24"/>
              </w:rPr>
            </w:pPr>
            <w:r w:rsidRPr="00BD4AA0">
              <w:rPr>
                <w:rFonts w:ascii="Calibri" w:hAnsi="Calibri" w:cs="Calibri"/>
                <w:b/>
                <w:bCs/>
                <w:sz w:val="24"/>
                <w:szCs w:val="24"/>
              </w:rPr>
              <w:lastRenderedPageBreak/>
              <w:t>Code :</w:t>
            </w:r>
          </w:p>
        </w:tc>
        <w:tc>
          <w:tcPr>
            <w:tcW w:w="7938" w:type="dxa"/>
            <w:tcBorders>
              <w:top w:val="single" w:sz="18" w:space="0" w:color="auto"/>
              <w:left w:val="single" w:sz="18" w:space="0" w:color="auto"/>
              <w:bottom w:val="single" w:sz="18" w:space="0" w:color="auto"/>
              <w:right w:val="single" w:sz="18" w:space="0" w:color="auto"/>
            </w:tcBorders>
            <w:shd w:val="clear" w:color="auto" w:fill="C2D69B" w:themeFill="accent3" w:themeFillTint="99"/>
            <w:vAlign w:val="center"/>
          </w:tcPr>
          <w:p w:rsidR="00921C0A" w:rsidRPr="001E0C3C" w:rsidRDefault="00921C0A" w:rsidP="001E0C3C">
            <w:pPr>
              <w:spacing w:after="0" w:line="240" w:lineRule="auto"/>
              <w:jc w:val="center"/>
              <w:rPr>
                <w:rFonts w:ascii="Times New Roman" w:hAnsi="Times New Roman" w:cs="Times New Roman"/>
                <w:b/>
                <w:bCs/>
                <w:sz w:val="24"/>
                <w:szCs w:val="24"/>
              </w:rPr>
            </w:pPr>
            <w:r w:rsidRPr="001E0C3C">
              <w:rPr>
                <w:b/>
                <w:bCs/>
                <w:sz w:val="24"/>
                <w:szCs w:val="24"/>
              </w:rPr>
              <w:t>NM EN 16153</w:t>
            </w:r>
          </w:p>
        </w:tc>
      </w:tr>
      <w:tr w:rsidR="00921C0A" w:rsidRPr="0043547B" w:rsidTr="001E0C3C">
        <w:trPr>
          <w:trHeight w:val="414"/>
          <w:jc w:val="center"/>
        </w:trPr>
        <w:tc>
          <w:tcPr>
            <w:tcW w:w="1838" w:type="dxa"/>
            <w:tcBorders>
              <w:top w:val="single" w:sz="18" w:space="0" w:color="auto"/>
              <w:left w:val="single" w:sz="18" w:space="0" w:color="auto"/>
              <w:bottom w:val="single" w:sz="18" w:space="0" w:color="auto"/>
              <w:right w:val="single" w:sz="18" w:space="0" w:color="auto"/>
            </w:tcBorders>
            <w:shd w:val="clear" w:color="auto" w:fill="FFFF99"/>
            <w:vAlign w:val="center"/>
          </w:tcPr>
          <w:p w:rsidR="00921C0A" w:rsidRPr="00BD4AA0" w:rsidRDefault="00921C0A" w:rsidP="001E0C3C">
            <w:pPr>
              <w:spacing w:after="0" w:line="240" w:lineRule="auto"/>
              <w:jc w:val="center"/>
              <w:rPr>
                <w:rFonts w:ascii="Calibri" w:hAnsi="Calibri" w:cs="Calibri"/>
                <w:b/>
                <w:bCs/>
                <w:sz w:val="24"/>
                <w:szCs w:val="24"/>
              </w:rPr>
            </w:pPr>
            <w:r w:rsidRPr="00BD4AA0">
              <w:rPr>
                <w:rFonts w:ascii="Calibri" w:hAnsi="Calibri" w:cs="Calibri"/>
                <w:b/>
                <w:bCs/>
                <w:sz w:val="24"/>
                <w:szCs w:val="24"/>
              </w:rPr>
              <w:t>Equivalence :</w:t>
            </w:r>
          </w:p>
        </w:tc>
        <w:tc>
          <w:tcPr>
            <w:tcW w:w="7938" w:type="dxa"/>
            <w:tcBorders>
              <w:top w:val="single" w:sz="18" w:space="0" w:color="auto"/>
              <w:left w:val="single" w:sz="18" w:space="0" w:color="auto"/>
              <w:bottom w:val="single" w:sz="18" w:space="0" w:color="auto"/>
              <w:right w:val="single" w:sz="18" w:space="0" w:color="auto"/>
            </w:tcBorders>
            <w:shd w:val="clear" w:color="auto" w:fill="FFFF99"/>
            <w:vAlign w:val="center"/>
          </w:tcPr>
          <w:p w:rsidR="00921C0A" w:rsidRPr="001E0C3C" w:rsidRDefault="00921C0A" w:rsidP="001E0C3C">
            <w:pPr>
              <w:spacing w:after="0" w:line="240" w:lineRule="auto"/>
              <w:jc w:val="center"/>
              <w:rPr>
                <w:rFonts w:ascii="Times New Roman" w:hAnsi="Times New Roman" w:cs="Times New Roman"/>
                <w:b/>
                <w:bCs/>
                <w:sz w:val="24"/>
                <w:szCs w:val="24"/>
              </w:rPr>
            </w:pPr>
            <w:r w:rsidRPr="001E0C3C">
              <w:rPr>
                <w:b/>
                <w:bCs/>
                <w:sz w:val="24"/>
                <w:szCs w:val="24"/>
              </w:rPr>
              <w:t>EN 16153</w:t>
            </w:r>
          </w:p>
        </w:tc>
      </w:tr>
      <w:tr w:rsidR="00921C0A" w:rsidRPr="0043547B" w:rsidTr="001E0C3C">
        <w:trPr>
          <w:trHeight w:val="394"/>
          <w:jc w:val="center"/>
        </w:trPr>
        <w:tc>
          <w:tcPr>
            <w:tcW w:w="1838" w:type="dxa"/>
            <w:tcBorders>
              <w:top w:val="single" w:sz="18" w:space="0" w:color="auto"/>
              <w:left w:val="single" w:sz="18" w:space="0" w:color="auto"/>
              <w:bottom w:val="single" w:sz="4" w:space="0" w:color="auto"/>
              <w:right w:val="single" w:sz="18" w:space="0" w:color="auto"/>
            </w:tcBorders>
            <w:shd w:val="clear" w:color="auto" w:fill="95B3D7" w:themeFill="accent1" w:themeFillTint="99"/>
            <w:vAlign w:val="center"/>
          </w:tcPr>
          <w:p w:rsidR="00921C0A" w:rsidRPr="00BD4AA0" w:rsidRDefault="00921C0A" w:rsidP="001E0C3C">
            <w:pPr>
              <w:spacing w:after="0" w:line="240" w:lineRule="auto"/>
              <w:jc w:val="center"/>
              <w:rPr>
                <w:rFonts w:ascii="Calibri" w:hAnsi="Calibri" w:cs="Calibri"/>
                <w:b/>
                <w:bCs/>
                <w:sz w:val="24"/>
                <w:szCs w:val="24"/>
              </w:rPr>
            </w:pPr>
            <w:r w:rsidRPr="00BD4AA0">
              <w:rPr>
                <w:rFonts w:ascii="Calibri" w:hAnsi="Calibri" w:cs="Calibri"/>
                <w:b/>
                <w:bCs/>
                <w:sz w:val="24"/>
                <w:szCs w:val="24"/>
              </w:rPr>
              <w:t>Intitulé :</w:t>
            </w:r>
          </w:p>
        </w:tc>
        <w:tc>
          <w:tcPr>
            <w:tcW w:w="7938" w:type="dxa"/>
            <w:tcBorders>
              <w:top w:val="single" w:sz="18" w:space="0" w:color="auto"/>
              <w:left w:val="single" w:sz="18" w:space="0" w:color="auto"/>
              <w:bottom w:val="single" w:sz="4" w:space="0" w:color="auto"/>
              <w:right w:val="single" w:sz="18" w:space="0" w:color="auto"/>
            </w:tcBorders>
            <w:shd w:val="clear" w:color="auto" w:fill="auto"/>
            <w:vAlign w:val="bottom"/>
          </w:tcPr>
          <w:p w:rsidR="00921C0A" w:rsidRPr="00BD4AA0" w:rsidRDefault="001E0C3C" w:rsidP="00BD4AA0">
            <w:pPr>
              <w:spacing w:after="0" w:line="240" w:lineRule="auto"/>
              <w:jc w:val="both"/>
              <w:rPr>
                <w:rFonts w:ascii="Times New Roman" w:hAnsi="Times New Roman" w:cs="Times New Roman"/>
                <w:sz w:val="24"/>
                <w:szCs w:val="24"/>
              </w:rPr>
            </w:pPr>
            <w:r w:rsidRPr="00BD4AA0">
              <w:rPr>
                <w:sz w:val="24"/>
                <w:szCs w:val="24"/>
              </w:rPr>
              <w:t>Plaques d’éclairement multiparois et planes</w:t>
            </w:r>
            <w:r w:rsidR="00921C0A" w:rsidRPr="00BD4AA0">
              <w:rPr>
                <w:sz w:val="24"/>
                <w:szCs w:val="24"/>
              </w:rPr>
              <w:t xml:space="preserve">  en polycarbonate   (PC)   pour   usage   intérieur   ou extérieur dans les toitures, bardages et plafonds - Exigences et méthodes d’essai </w:t>
            </w:r>
          </w:p>
        </w:tc>
      </w:tr>
      <w:tr w:rsidR="00921C0A" w:rsidRPr="0043547B" w:rsidTr="001E0C3C">
        <w:trPr>
          <w:trHeight w:val="799"/>
          <w:jc w:val="center"/>
        </w:trPr>
        <w:tc>
          <w:tcPr>
            <w:tcW w:w="1838" w:type="dxa"/>
            <w:tcBorders>
              <w:top w:val="single" w:sz="4" w:space="0" w:color="auto"/>
              <w:left w:val="single" w:sz="18" w:space="0" w:color="auto"/>
              <w:bottom w:val="single" w:sz="18" w:space="0" w:color="auto"/>
              <w:right w:val="single" w:sz="18" w:space="0" w:color="auto"/>
            </w:tcBorders>
            <w:shd w:val="clear" w:color="000000" w:fill="D9D9D9"/>
            <w:vAlign w:val="center"/>
          </w:tcPr>
          <w:p w:rsidR="00921C0A" w:rsidRPr="00BD4AA0" w:rsidRDefault="00921C0A" w:rsidP="001E0C3C">
            <w:pPr>
              <w:spacing w:after="0" w:line="240" w:lineRule="auto"/>
              <w:jc w:val="center"/>
              <w:rPr>
                <w:rFonts w:ascii="Calibri" w:hAnsi="Calibri" w:cs="Calibri"/>
                <w:b/>
                <w:bCs/>
                <w:sz w:val="24"/>
                <w:szCs w:val="24"/>
              </w:rPr>
            </w:pPr>
            <w:r w:rsidRPr="00BD4AA0">
              <w:rPr>
                <w:rFonts w:ascii="Calibri" w:hAnsi="Calibri" w:cs="Calibri"/>
                <w:b/>
                <w:bCs/>
                <w:sz w:val="24"/>
                <w:szCs w:val="24"/>
              </w:rPr>
              <w:t>Domaine d’application :</w:t>
            </w:r>
          </w:p>
        </w:tc>
        <w:tc>
          <w:tcPr>
            <w:tcW w:w="7938" w:type="dxa"/>
            <w:tcBorders>
              <w:top w:val="single" w:sz="4" w:space="0" w:color="auto"/>
              <w:left w:val="single" w:sz="18" w:space="0" w:color="auto"/>
              <w:bottom w:val="single" w:sz="18" w:space="0" w:color="auto"/>
              <w:right w:val="single" w:sz="18" w:space="0" w:color="auto"/>
            </w:tcBorders>
            <w:shd w:val="clear" w:color="auto" w:fill="auto"/>
            <w:vAlign w:val="bottom"/>
          </w:tcPr>
          <w:p w:rsidR="001E0C3C" w:rsidRDefault="00921C0A" w:rsidP="001E0C3C">
            <w:pPr>
              <w:spacing w:after="0" w:line="240" w:lineRule="auto"/>
              <w:jc w:val="both"/>
              <w:rPr>
                <w:sz w:val="24"/>
                <w:szCs w:val="24"/>
              </w:rPr>
            </w:pPr>
            <w:r w:rsidRPr="00BD4AA0">
              <w:rPr>
                <w:sz w:val="24"/>
                <w:szCs w:val="24"/>
              </w:rPr>
              <w:t>La présente Norme spécifie les exigences relatives aux plaques d'éclairement planes multi-parois en</w:t>
            </w:r>
            <w:r w:rsidR="001E0C3C">
              <w:rPr>
                <w:sz w:val="24"/>
                <w:szCs w:val="24"/>
              </w:rPr>
              <w:t xml:space="preserve"> </w:t>
            </w:r>
            <w:r w:rsidRPr="00BD4AA0">
              <w:rPr>
                <w:sz w:val="24"/>
                <w:szCs w:val="24"/>
              </w:rPr>
              <w:t>polycarbonate (PC) destinées à un usage intérieur ou extérieur dans les bardages, toitures et plafonds.</w:t>
            </w:r>
          </w:p>
          <w:p w:rsidR="001E0C3C" w:rsidRDefault="00921C0A" w:rsidP="001E0C3C">
            <w:pPr>
              <w:spacing w:after="0" w:line="240" w:lineRule="auto"/>
              <w:jc w:val="both"/>
              <w:rPr>
                <w:sz w:val="24"/>
                <w:szCs w:val="24"/>
              </w:rPr>
            </w:pPr>
            <w:r w:rsidRPr="00BD4AA0">
              <w:rPr>
                <w:sz w:val="24"/>
                <w:szCs w:val="24"/>
              </w:rPr>
              <w:t>La présente Norme s'applique aux plaques d'éclairement planes multi-parois extrudées en PC, avec ou</w:t>
            </w:r>
            <w:r w:rsidR="001E0C3C">
              <w:rPr>
                <w:sz w:val="24"/>
                <w:szCs w:val="24"/>
              </w:rPr>
              <w:t xml:space="preserve"> </w:t>
            </w:r>
            <w:r w:rsidRPr="00BD4AA0">
              <w:rPr>
                <w:sz w:val="24"/>
                <w:szCs w:val="24"/>
              </w:rPr>
              <w:t>sans couches fonctionnelles (par exemple, revêtement, couche co-extrudée) en matériaux à base de PC ou autres</w:t>
            </w:r>
            <w:r w:rsidR="001E0C3C">
              <w:rPr>
                <w:sz w:val="24"/>
                <w:szCs w:val="24"/>
              </w:rPr>
              <w:t xml:space="preserve"> </w:t>
            </w:r>
            <w:r w:rsidRPr="00BD4AA0">
              <w:rPr>
                <w:sz w:val="24"/>
                <w:szCs w:val="24"/>
              </w:rPr>
              <w:t>matériaux, sans matériaux de remplissage.</w:t>
            </w:r>
          </w:p>
          <w:p w:rsidR="00921C0A" w:rsidRPr="00BD4AA0" w:rsidRDefault="00921C0A" w:rsidP="001E0C3C">
            <w:pPr>
              <w:spacing w:after="0" w:line="240" w:lineRule="auto"/>
              <w:jc w:val="both"/>
              <w:rPr>
                <w:rFonts w:ascii="Times New Roman" w:hAnsi="Times New Roman" w:cs="Times New Roman"/>
                <w:sz w:val="24"/>
                <w:szCs w:val="24"/>
              </w:rPr>
            </w:pPr>
            <w:r w:rsidRPr="00BD4AA0">
              <w:rPr>
                <w:sz w:val="24"/>
                <w:szCs w:val="24"/>
              </w:rPr>
              <w:t>Elle spécifie également les méthodes d'essai nécessaires pour l'évaluation de la conformité ainsi que le marquage</w:t>
            </w:r>
            <w:r w:rsidR="001E0C3C">
              <w:rPr>
                <w:sz w:val="24"/>
                <w:szCs w:val="24"/>
              </w:rPr>
              <w:t xml:space="preserve"> </w:t>
            </w:r>
            <w:r w:rsidRPr="00BD4AA0">
              <w:rPr>
                <w:sz w:val="24"/>
                <w:szCs w:val="24"/>
              </w:rPr>
              <w:t>des plaques.</w:t>
            </w:r>
          </w:p>
        </w:tc>
      </w:tr>
      <w:tr w:rsidR="00921C0A" w:rsidRPr="0043547B" w:rsidTr="001E0C3C">
        <w:trPr>
          <w:trHeight w:val="456"/>
          <w:jc w:val="center"/>
        </w:trPr>
        <w:tc>
          <w:tcPr>
            <w:tcW w:w="1838" w:type="dxa"/>
            <w:tcBorders>
              <w:top w:val="single" w:sz="18" w:space="0" w:color="auto"/>
              <w:left w:val="single" w:sz="18" w:space="0" w:color="auto"/>
              <w:bottom w:val="single" w:sz="18" w:space="0" w:color="auto"/>
              <w:right w:val="single" w:sz="18" w:space="0" w:color="auto"/>
            </w:tcBorders>
            <w:shd w:val="clear" w:color="auto" w:fill="C2D69B" w:themeFill="accent3" w:themeFillTint="99"/>
            <w:vAlign w:val="center"/>
          </w:tcPr>
          <w:p w:rsidR="00921C0A" w:rsidRPr="00BD4AA0" w:rsidRDefault="00921C0A" w:rsidP="001E0C3C">
            <w:pPr>
              <w:spacing w:after="0" w:line="240" w:lineRule="auto"/>
              <w:jc w:val="center"/>
              <w:rPr>
                <w:rFonts w:ascii="Calibri" w:hAnsi="Calibri" w:cs="Calibri"/>
                <w:b/>
                <w:bCs/>
                <w:sz w:val="24"/>
                <w:szCs w:val="24"/>
              </w:rPr>
            </w:pPr>
            <w:r w:rsidRPr="00BD4AA0">
              <w:rPr>
                <w:rFonts w:ascii="Calibri" w:hAnsi="Calibri" w:cs="Calibri"/>
                <w:b/>
                <w:bCs/>
                <w:sz w:val="24"/>
                <w:szCs w:val="24"/>
              </w:rPr>
              <w:t>Code :</w:t>
            </w:r>
          </w:p>
        </w:tc>
        <w:tc>
          <w:tcPr>
            <w:tcW w:w="7938" w:type="dxa"/>
            <w:tcBorders>
              <w:top w:val="single" w:sz="18" w:space="0" w:color="auto"/>
              <w:left w:val="single" w:sz="18" w:space="0" w:color="auto"/>
              <w:bottom w:val="single" w:sz="18" w:space="0" w:color="auto"/>
              <w:right w:val="single" w:sz="18" w:space="0" w:color="auto"/>
            </w:tcBorders>
            <w:shd w:val="clear" w:color="auto" w:fill="C2D69B" w:themeFill="accent3" w:themeFillTint="99"/>
            <w:vAlign w:val="center"/>
          </w:tcPr>
          <w:p w:rsidR="00921C0A" w:rsidRPr="001E0C3C" w:rsidRDefault="00921C0A" w:rsidP="001E0C3C">
            <w:pPr>
              <w:spacing w:after="0" w:line="240" w:lineRule="auto"/>
              <w:jc w:val="center"/>
              <w:rPr>
                <w:rFonts w:ascii="Calibri" w:hAnsi="Calibri" w:cs="Calibri"/>
                <w:b/>
                <w:bCs/>
                <w:sz w:val="24"/>
                <w:szCs w:val="24"/>
              </w:rPr>
            </w:pPr>
            <w:r w:rsidRPr="001E0C3C">
              <w:rPr>
                <w:rFonts w:ascii="Calibri" w:hAnsi="Calibri" w:cs="Calibri"/>
                <w:b/>
                <w:bCs/>
                <w:sz w:val="24"/>
                <w:szCs w:val="24"/>
              </w:rPr>
              <w:t>NM EN 16240</w:t>
            </w:r>
          </w:p>
        </w:tc>
      </w:tr>
      <w:tr w:rsidR="00921C0A" w:rsidRPr="0043547B" w:rsidTr="001E0C3C">
        <w:trPr>
          <w:trHeight w:val="436"/>
          <w:jc w:val="center"/>
        </w:trPr>
        <w:tc>
          <w:tcPr>
            <w:tcW w:w="1838" w:type="dxa"/>
            <w:tcBorders>
              <w:top w:val="single" w:sz="18" w:space="0" w:color="auto"/>
              <w:left w:val="single" w:sz="18" w:space="0" w:color="auto"/>
              <w:bottom w:val="single" w:sz="18" w:space="0" w:color="auto"/>
              <w:right w:val="single" w:sz="18" w:space="0" w:color="auto"/>
            </w:tcBorders>
            <w:shd w:val="clear" w:color="auto" w:fill="FFFF99"/>
            <w:vAlign w:val="center"/>
          </w:tcPr>
          <w:p w:rsidR="00921C0A" w:rsidRPr="00BD4AA0" w:rsidRDefault="00921C0A" w:rsidP="001E0C3C">
            <w:pPr>
              <w:spacing w:after="0" w:line="240" w:lineRule="auto"/>
              <w:jc w:val="center"/>
              <w:rPr>
                <w:rFonts w:ascii="Calibri" w:hAnsi="Calibri" w:cs="Calibri"/>
                <w:b/>
                <w:bCs/>
                <w:sz w:val="24"/>
                <w:szCs w:val="24"/>
              </w:rPr>
            </w:pPr>
            <w:r w:rsidRPr="00BD4AA0">
              <w:rPr>
                <w:rFonts w:ascii="Calibri" w:hAnsi="Calibri" w:cs="Calibri"/>
                <w:b/>
                <w:bCs/>
                <w:sz w:val="24"/>
                <w:szCs w:val="24"/>
              </w:rPr>
              <w:t>Equivalence :</w:t>
            </w:r>
          </w:p>
        </w:tc>
        <w:tc>
          <w:tcPr>
            <w:tcW w:w="7938" w:type="dxa"/>
            <w:tcBorders>
              <w:top w:val="single" w:sz="18" w:space="0" w:color="auto"/>
              <w:left w:val="single" w:sz="18" w:space="0" w:color="auto"/>
              <w:bottom w:val="single" w:sz="18" w:space="0" w:color="auto"/>
              <w:right w:val="single" w:sz="18" w:space="0" w:color="auto"/>
            </w:tcBorders>
            <w:shd w:val="clear" w:color="auto" w:fill="FFFF99"/>
            <w:vAlign w:val="center"/>
          </w:tcPr>
          <w:p w:rsidR="00921C0A" w:rsidRPr="001E0C3C" w:rsidRDefault="00921C0A" w:rsidP="001E0C3C">
            <w:pPr>
              <w:spacing w:after="0" w:line="240" w:lineRule="auto"/>
              <w:jc w:val="center"/>
              <w:rPr>
                <w:rFonts w:ascii="Calibri" w:hAnsi="Calibri" w:cs="Calibri"/>
                <w:b/>
                <w:bCs/>
                <w:sz w:val="24"/>
                <w:szCs w:val="24"/>
              </w:rPr>
            </w:pPr>
            <w:r w:rsidRPr="001E0C3C">
              <w:rPr>
                <w:rFonts w:ascii="Calibri" w:hAnsi="Calibri" w:cs="Calibri"/>
                <w:b/>
                <w:bCs/>
                <w:sz w:val="24"/>
                <w:szCs w:val="24"/>
              </w:rPr>
              <w:t>EN 16240</w:t>
            </w:r>
          </w:p>
        </w:tc>
      </w:tr>
      <w:tr w:rsidR="00921C0A" w:rsidRPr="0043547B" w:rsidTr="001E0C3C">
        <w:trPr>
          <w:trHeight w:val="799"/>
          <w:jc w:val="center"/>
        </w:trPr>
        <w:tc>
          <w:tcPr>
            <w:tcW w:w="1838" w:type="dxa"/>
            <w:tcBorders>
              <w:top w:val="single" w:sz="18" w:space="0" w:color="auto"/>
              <w:left w:val="single" w:sz="18" w:space="0" w:color="auto"/>
              <w:bottom w:val="single" w:sz="4" w:space="0" w:color="auto"/>
              <w:right w:val="single" w:sz="18" w:space="0" w:color="auto"/>
            </w:tcBorders>
            <w:shd w:val="clear" w:color="auto" w:fill="95B3D7" w:themeFill="accent1" w:themeFillTint="99"/>
            <w:vAlign w:val="center"/>
          </w:tcPr>
          <w:p w:rsidR="00921C0A" w:rsidRPr="00BD4AA0" w:rsidRDefault="00921C0A" w:rsidP="001E0C3C">
            <w:pPr>
              <w:spacing w:after="0" w:line="240" w:lineRule="auto"/>
              <w:jc w:val="center"/>
              <w:rPr>
                <w:rFonts w:ascii="Calibri" w:hAnsi="Calibri" w:cs="Calibri"/>
                <w:b/>
                <w:bCs/>
                <w:sz w:val="24"/>
                <w:szCs w:val="24"/>
              </w:rPr>
            </w:pPr>
            <w:r w:rsidRPr="00BD4AA0">
              <w:rPr>
                <w:rFonts w:ascii="Calibri" w:hAnsi="Calibri" w:cs="Calibri"/>
                <w:b/>
                <w:bCs/>
                <w:sz w:val="24"/>
                <w:szCs w:val="24"/>
              </w:rPr>
              <w:t>Intitulé :</w:t>
            </w:r>
          </w:p>
        </w:tc>
        <w:tc>
          <w:tcPr>
            <w:tcW w:w="7938" w:type="dxa"/>
            <w:tcBorders>
              <w:top w:val="single" w:sz="18" w:space="0" w:color="auto"/>
              <w:left w:val="single" w:sz="18" w:space="0" w:color="auto"/>
              <w:bottom w:val="single" w:sz="4" w:space="0" w:color="auto"/>
              <w:right w:val="single" w:sz="18" w:space="0" w:color="auto"/>
            </w:tcBorders>
            <w:shd w:val="clear" w:color="auto" w:fill="auto"/>
            <w:vAlign w:val="bottom"/>
          </w:tcPr>
          <w:p w:rsidR="00921C0A" w:rsidRPr="00BD4AA0" w:rsidRDefault="00921C0A" w:rsidP="00BD4AA0">
            <w:pPr>
              <w:spacing w:after="0" w:line="240" w:lineRule="auto"/>
              <w:rPr>
                <w:rFonts w:ascii="Calibri" w:hAnsi="Calibri" w:cs="Calibri"/>
                <w:sz w:val="24"/>
                <w:szCs w:val="24"/>
              </w:rPr>
            </w:pPr>
            <w:r w:rsidRPr="00BD4AA0">
              <w:rPr>
                <w:rFonts w:ascii="Calibri" w:hAnsi="Calibri" w:cs="Calibri"/>
                <w:sz w:val="24"/>
                <w:szCs w:val="24"/>
              </w:rPr>
              <w:t xml:space="preserve">Plaques d’éclairement pleines planes en polycarbonate (PC) pour usage intérieur ou extérieur </w:t>
            </w:r>
            <w:r w:rsidR="001E0C3C" w:rsidRPr="00BD4AA0">
              <w:rPr>
                <w:rFonts w:ascii="Calibri" w:hAnsi="Calibri" w:cs="Calibri"/>
                <w:sz w:val="24"/>
                <w:szCs w:val="24"/>
              </w:rPr>
              <w:t>dans les toitures, bardages et plafonds - Exigences</w:t>
            </w:r>
            <w:r w:rsidRPr="00BD4AA0">
              <w:rPr>
                <w:rFonts w:ascii="Calibri" w:hAnsi="Calibri" w:cs="Calibri"/>
                <w:sz w:val="24"/>
                <w:szCs w:val="24"/>
              </w:rPr>
              <w:t xml:space="preserve"> et méthodes d’essai </w:t>
            </w:r>
          </w:p>
        </w:tc>
      </w:tr>
      <w:tr w:rsidR="00921C0A" w:rsidRPr="0043547B" w:rsidTr="001E0C3C">
        <w:trPr>
          <w:trHeight w:val="799"/>
          <w:jc w:val="center"/>
        </w:trPr>
        <w:tc>
          <w:tcPr>
            <w:tcW w:w="1838" w:type="dxa"/>
            <w:tcBorders>
              <w:top w:val="single" w:sz="4" w:space="0" w:color="auto"/>
              <w:left w:val="single" w:sz="18" w:space="0" w:color="auto"/>
              <w:bottom w:val="single" w:sz="18" w:space="0" w:color="auto"/>
              <w:right w:val="single" w:sz="18" w:space="0" w:color="auto"/>
            </w:tcBorders>
            <w:shd w:val="clear" w:color="000000" w:fill="D9D9D9"/>
            <w:vAlign w:val="center"/>
          </w:tcPr>
          <w:p w:rsidR="00921C0A" w:rsidRPr="00BD4AA0" w:rsidRDefault="00921C0A" w:rsidP="001E0C3C">
            <w:pPr>
              <w:spacing w:after="0" w:line="240" w:lineRule="auto"/>
              <w:jc w:val="center"/>
              <w:rPr>
                <w:rFonts w:ascii="Calibri" w:hAnsi="Calibri" w:cs="Calibri"/>
                <w:b/>
                <w:bCs/>
                <w:sz w:val="24"/>
                <w:szCs w:val="24"/>
              </w:rPr>
            </w:pPr>
            <w:r w:rsidRPr="00BD4AA0">
              <w:rPr>
                <w:rFonts w:ascii="Calibri" w:hAnsi="Calibri" w:cs="Calibri"/>
                <w:b/>
                <w:bCs/>
                <w:sz w:val="24"/>
                <w:szCs w:val="24"/>
              </w:rPr>
              <w:t>Domaine d’application :</w:t>
            </w:r>
          </w:p>
        </w:tc>
        <w:tc>
          <w:tcPr>
            <w:tcW w:w="7938" w:type="dxa"/>
            <w:tcBorders>
              <w:top w:val="single" w:sz="4" w:space="0" w:color="auto"/>
              <w:left w:val="single" w:sz="18" w:space="0" w:color="auto"/>
              <w:bottom w:val="single" w:sz="18" w:space="0" w:color="auto"/>
              <w:right w:val="single" w:sz="18" w:space="0" w:color="auto"/>
            </w:tcBorders>
            <w:shd w:val="clear" w:color="auto" w:fill="auto"/>
            <w:vAlign w:val="bottom"/>
          </w:tcPr>
          <w:p w:rsidR="001E0C3C" w:rsidRDefault="00921C0A" w:rsidP="0084472F">
            <w:pPr>
              <w:spacing w:after="0" w:line="240" w:lineRule="auto"/>
              <w:jc w:val="both"/>
              <w:rPr>
                <w:rFonts w:ascii="Calibri" w:hAnsi="Calibri" w:cs="Calibri"/>
                <w:sz w:val="24"/>
                <w:szCs w:val="24"/>
              </w:rPr>
            </w:pPr>
            <w:r w:rsidRPr="00BD4AA0">
              <w:rPr>
                <w:rFonts w:ascii="Calibri" w:hAnsi="Calibri" w:cs="Calibri"/>
                <w:sz w:val="24"/>
                <w:szCs w:val="24"/>
              </w:rPr>
              <w:t>La présente Norme spécifie les exigences relatives aux plaques d'éclairement pleines planes en</w:t>
            </w:r>
            <w:r w:rsidR="001E0C3C">
              <w:rPr>
                <w:rFonts w:ascii="Calibri" w:hAnsi="Calibri" w:cs="Calibri"/>
                <w:sz w:val="24"/>
                <w:szCs w:val="24"/>
              </w:rPr>
              <w:t xml:space="preserve"> </w:t>
            </w:r>
            <w:r w:rsidRPr="00BD4AA0">
              <w:rPr>
                <w:rFonts w:ascii="Calibri" w:hAnsi="Calibri" w:cs="Calibri"/>
                <w:sz w:val="24"/>
                <w:szCs w:val="24"/>
              </w:rPr>
              <w:t>polycarbonate (PC) pour usage intérieur ou extérieur dans les toitures, bardages et plafonds.</w:t>
            </w:r>
          </w:p>
          <w:p w:rsidR="001E0C3C" w:rsidRDefault="00921C0A" w:rsidP="0084472F">
            <w:pPr>
              <w:spacing w:after="0" w:line="240" w:lineRule="auto"/>
              <w:jc w:val="both"/>
              <w:rPr>
                <w:rFonts w:ascii="Calibri" w:hAnsi="Calibri" w:cs="Calibri"/>
                <w:sz w:val="24"/>
                <w:szCs w:val="24"/>
              </w:rPr>
            </w:pPr>
            <w:r w:rsidRPr="00BD4AA0">
              <w:rPr>
                <w:rFonts w:ascii="Calibri" w:hAnsi="Calibri" w:cs="Calibri"/>
                <w:sz w:val="24"/>
                <w:szCs w:val="24"/>
              </w:rPr>
              <w:t>La présente Norme s'applique aux plaques d'éclairement pleines planes extrudées en PC d'une</w:t>
            </w:r>
            <w:r w:rsidR="001E0C3C">
              <w:rPr>
                <w:rFonts w:ascii="Calibri" w:hAnsi="Calibri" w:cs="Calibri"/>
                <w:sz w:val="24"/>
                <w:szCs w:val="24"/>
              </w:rPr>
              <w:t xml:space="preserve"> </w:t>
            </w:r>
            <w:r w:rsidRPr="00BD4AA0">
              <w:rPr>
                <w:rFonts w:ascii="Calibri" w:hAnsi="Calibri" w:cs="Calibri"/>
                <w:sz w:val="24"/>
                <w:szCs w:val="24"/>
              </w:rPr>
              <w:t>épaisseur minimale de 2 mm, avec ou sans couches fonctionnelles uniformes (par exemple, revêtement,</w:t>
            </w:r>
            <w:r w:rsidR="001E0C3C">
              <w:rPr>
                <w:rFonts w:ascii="Calibri" w:hAnsi="Calibri" w:cs="Calibri"/>
                <w:sz w:val="24"/>
                <w:szCs w:val="24"/>
              </w:rPr>
              <w:t xml:space="preserve"> </w:t>
            </w:r>
            <w:r w:rsidRPr="00BD4AA0">
              <w:rPr>
                <w:rFonts w:ascii="Calibri" w:hAnsi="Calibri" w:cs="Calibri"/>
                <w:sz w:val="24"/>
                <w:szCs w:val="24"/>
              </w:rPr>
              <w:t>couche co-extrudée) en matériaux à base de PC ou autres matières plastiques.</w:t>
            </w:r>
          </w:p>
          <w:p w:rsidR="00921C0A" w:rsidRPr="00BD4AA0" w:rsidRDefault="00921C0A" w:rsidP="001E0C3C">
            <w:pPr>
              <w:spacing w:after="0" w:line="240" w:lineRule="auto"/>
              <w:jc w:val="both"/>
              <w:rPr>
                <w:rFonts w:ascii="Calibri" w:hAnsi="Calibri" w:cs="Calibri"/>
                <w:sz w:val="24"/>
                <w:szCs w:val="24"/>
              </w:rPr>
            </w:pPr>
            <w:r w:rsidRPr="00BD4AA0">
              <w:rPr>
                <w:rFonts w:ascii="Calibri" w:hAnsi="Calibri" w:cs="Calibri"/>
                <w:sz w:val="24"/>
                <w:szCs w:val="24"/>
              </w:rPr>
              <w:lastRenderedPageBreak/>
              <w:t>Elle spécifie également les méthodes d'essai nécessaires pour l'évaluation de la conformité ainsi que le</w:t>
            </w:r>
            <w:r w:rsidR="001E0C3C">
              <w:rPr>
                <w:rFonts w:ascii="Calibri" w:hAnsi="Calibri" w:cs="Calibri"/>
                <w:sz w:val="24"/>
                <w:szCs w:val="24"/>
              </w:rPr>
              <w:t xml:space="preserve"> </w:t>
            </w:r>
            <w:r w:rsidRPr="00BD4AA0">
              <w:rPr>
                <w:rFonts w:ascii="Calibri" w:hAnsi="Calibri" w:cs="Calibri"/>
                <w:sz w:val="24"/>
                <w:szCs w:val="24"/>
              </w:rPr>
              <w:t>marquage des plaques.</w:t>
            </w:r>
          </w:p>
        </w:tc>
      </w:tr>
    </w:tbl>
    <w:p w:rsidR="00904E52" w:rsidRPr="0043547B" w:rsidRDefault="00904E52" w:rsidP="006019E6">
      <w:pPr>
        <w:pStyle w:val="Titre4"/>
        <w:numPr>
          <w:ilvl w:val="2"/>
          <w:numId w:val="2"/>
        </w:numPr>
        <w:ind w:left="1418" w:hanging="579"/>
        <w:rPr>
          <w:rFonts w:cstheme="minorHAnsi"/>
          <w:b/>
          <w:bCs w:val="0"/>
          <w:iCs w:val="0"/>
          <w:color w:val="auto"/>
          <w:szCs w:val="24"/>
          <w:u w:val="single"/>
        </w:rPr>
      </w:pPr>
      <w:bookmarkStart w:id="28" w:name="_Toc458606085"/>
      <w:r w:rsidRPr="0043547B">
        <w:rPr>
          <w:rFonts w:cstheme="minorHAnsi"/>
          <w:b/>
          <w:bCs w:val="0"/>
          <w:iCs w:val="0"/>
          <w:color w:val="auto"/>
          <w:szCs w:val="24"/>
          <w:u w:val="single"/>
        </w:rPr>
        <w:lastRenderedPageBreak/>
        <w:t>Chaudronnerie et menuiserie métalliques</w:t>
      </w:r>
      <w:bookmarkEnd w:id="28"/>
    </w:p>
    <w:tbl>
      <w:tblPr>
        <w:tblW w:w="9776" w:type="dxa"/>
        <w:jc w:val="cente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1838"/>
        <w:gridCol w:w="7938"/>
      </w:tblGrid>
      <w:tr w:rsidR="0043547B" w:rsidRPr="0043547B" w:rsidTr="00CB5DC0">
        <w:trPr>
          <w:trHeight w:val="315"/>
          <w:jc w:val="center"/>
        </w:trPr>
        <w:tc>
          <w:tcPr>
            <w:tcW w:w="1838" w:type="dxa"/>
            <w:tcBorders>
              <w:top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5817</w:t>
            </w:r>
          </w:p>
        </w:tc>
      </w:tr>
      <w:tr w:rsidR="0043547B" w:rsidRPr="0043547B" w:rsidTr="00CB5DC0">
        <w:trPr>
          <w:trHeight w:val="315"/>
          <w:jc w:val="center"/>
        </w:trPr>
        <w:tc>
          <w:tcPr>
            <w:tcW w:w="1838" w:type="dxa"/>
            <w:tcBorders>
              <w:top w:val="single" w:sz="18"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5817</w:t>
            </w:r>
          </w:p>
        </w:tc>
      </w:tr>
      <w:tr w:rsidR="0043547B" w:rsidRPr="0043547B" w:rsidTr="00CB5DC0">
        <w:trPr>
          <w:trHeight w:val="330"/>
          <w:jc w:val="center"/>
        </w:trPr>
        <w:tc>
          <w:tcPr>
            <w:tcW w:w="1838" w:type="dxa"/>
            <w:tcBorders>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Assemblages en acier soudé à l’arc - guide des niveaux d’acceptation des défauts </w:t>
            </w:r>
          </w:p>
        </w:tc>
      </w:tr>
      <w:tr w:rsidR="0043547B" w:rsidRPr="0043547B" w:rsidTr="00591063">
        <w:trPr>
          <w:trHeight w:val="706"/>
          <w:jc w:val="center"/>
        </w:trPr>
        <w:tc>
          <w:tcPr>
            <w:tcW w:w="1838" w:type="dxa"/>
            <w:tcBorders>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constitue un guide d’évaluation des niveaux des défauts dans les assemblages en acier soudés à l’arc. Elle prévoit trois niveaux de façon à être applicable à un</w:t>
            </w:r>
            <w:r w:rsidR="001C09B6" w:rsidRPr="0043547B">
              <w:rPr>
                <w:rFonts w:eastAsia="Times New Roman" w:cstheme="minorHAnsi"/>
                <w:sz w:val="24"/>
                <w:szCs w:val="24"/>
                <w:lang w:eastAsia="fr-FR"/>
              </w:rPr>
              <w:t>e large gamme de fabrications mécano-soudées</w:t>
            </w:r>
            <w:r w:rsidRPr="0043547B">
              <w:rPr>
                <w:rFonts w:eastAsia="Times New Roman" w:cstheme="minorHAnsi"/>
                <w:sz w:val="24"/>
                <w:szCs w:val="24"/>
                <w:lang w:eastAsia="fr-FR"/>
              </w:rPr>
              <w:t>. Ces niveaux se rapportent à la qualité au sortir de l’atelier et non à l’aptitude à l’emploi du produit (voir 3.1).</w:t>
            </w:r>
          </w:p>
          <w:p w:rsidR="001C09B6" w:rsidRPr="0043547B" w:rsidRDefault="001C09B6" w:rsidP="001C09B6">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w:t>
            </w:r>
          </w:p>
          <w:p w:rsidR="001C09B6" w:rsidRPr="0043547B" w:rsidRDefault="001C09B6" w:rsidP="001C09B6">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aux aciers alliés et non alliés ;</w:t>
            </w:r>
          </w:p>
          <w:p w:rsidR="001C09B6" w:rsidRPr="0043547B" w:rsidRDefault="001C09B6" w:rsidP="001C09B6">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aux procédés de soudage suivants et à leurs sous-catégories définies dans I’ISO 4063:</w:t>
            </w:r>
            <w:r w:rsidRPr="0043547B">
              <w:rPr>
                <w:rFonts w:eastAsia="Times New Roman" w:cstheme="minorHAnsi"/>
                <w:sz w:val="24"/>
                <w:szCs w:val="24"/>
                <w:lang w:eastAsia="fr-FR"/>
              </w:rPr>
              <w:br/>
              <w:t>11 soudage à l’arc avec fil-électrode sans protection gazeuse, 12 soudage à l’arc sous flux, 13 soudage à l’arc sous protection gazeuse, 14 soudage à l’arc sous protection gazeuse avec électrode réfractaire, 15 soudage à l’arc plasma ;</w:t>
            </w:r>
          </w:p>
          <w:p w:rsidR="001C09B6" w:rsidRPr="0043547B" w:rsidRDefault="001C09B6" w:rsidP="001C09B6">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aux procédés manuels mécanisés et automatiques ;</w:t>
            </w:r>
          </w:p>
          <w:p w:rsidR="001C09B6" w:rsidRPr="0043547B" w:rsidRDefault="001C09B6" w:rsidP="001C09B6">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à toutes les positions de soudage ;</w:t>
            </w:r>
          </w:p>
          <w:p w:rsidR="001C09B6" w:rsidRPr="0043547B" w:rsidRDefault="001C09B6" w:rsidP="001C09B6">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aux assemblages par soudures bout à bout, d’angle et piquages ;</w:t>
            </w:r>
          </w:p>
          <w:p w:rsidR="001C09B6" w:rsidRPr="0043547B" w:rsidRDefault="001C09B6" w:rsidP="001C09B6">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aux matériaux d’épaisseur comprise entre 3 mm et 63 mm.</w:t>
            </w:r>
          </w:p>
          <w:p w:rsidR="001C09B6" w:rsidRPr="0043547B" w:rsidRDefault="001C09B6" w:rsidP="001C09B6">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Pour tout écart significatif dans la géométrie ou les dimensions de l’assemblage décrit dans La norme apparaissant sur le produit soudé, il sera nécessaire d’évaluer dans quelle mesure les dispositions de cette norme restent applicables.</w:t>
            </w:r>
          </w:p>
          <w:p w:rsidR="00904E52" w:rsidRPr="0043547B" w:rsidRDefault="001C09B6" w:rsidP="001C09B6">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ne traite pas des aspects métallurgiques et de leurs conséquences, à savoir, grosseur de grain ou duret</w:t>
            </w:r>
          </w:p>
        </w:tc>
      </w:tr>
      <w:tr w:rsidR="00181E36" w:rsidRPr="0043547B" w:rsidTr="004F0BC9">
        <w:trPr>
          <w:trHeight w:val="377"/>
          <w:jc w:val="center"/>
        </w:trPr>
        <w:tc>
          <w:tcPr>
            <w:tcW w:w="1838" w:type="dxa"/>
            <w:tcBorders>
              <w:bottom w:val="single" w:sz="18" w:space="0" w:color="auto"/>
              <w:right w:val="single" w:sz="4" w:space="0" w:color="auto"/>
            </w:tcBorders>
            <w:shd w:val="clear" w:color="auto" w:fill="C2D69B" w:themeFill="accent3" w:themeFillTint="99"/>
            <w:vAlign w:val="center"/>
          </w:tcPr>
          <w:p w:rsidR="00181E36" w:rsidRDefault="00181E36" w:rsidP="004F0BC9">
            <w:pPr>
              <w:spacing w:after="0" w:line="240" w:lineRule="auto"/>
              <w:jc w:val="center"/>
              <w:rPr>
                <w:rFonts w:ascii="Calibri" w:hAnsi="Calibri" w:cs="Calibri"/>
                <w:b/>
                <w:bCs/>
              </w:rPr>
            </w:pPr>
            <w:r>
              <w:rPr>
                <w:rFonts w:ascii="Calibri" w:hAnsi="Calibri" w:cs="Calibri"/>
                <w:b/>
                <w:bCs/>
              </w:rPr>
              <w:t xml:space="preserve">Code </w:t>
            </w:r>
          </w:p>
        </w:tc>
        <w:tc>
          <w:tcPr>
            <w:tcW w:w="7938" w:type="dxa"/>
            <w:tcBorders>
              <w:left w:val="single" w:sz="4" w:space="0" w:color="auto"/>
              <w:bottom w:val="single" w:sz="18" w:space="0" w:color="auto"/>
            </w:tcBorders>
            <w:shd w:val="clear" w:color="auto" w:fill="C2D69B" w:themeFill="accent3" w:themeFillTint="99"/>
            <w:vAlign w:val="center"/>
          </w:tcPr>
          <w:p w:rsidR="00181E36" w:rsidRDefault="00181E36" w:rsidP="004F0BC9">
            <w:pPr>
              <w:spacing w:after="0" w:line="240" w:lineRule="auto"/>
              <w:jc w:val="center"/>
              <w:rPr>
                <w:rFonts w:ascii="Calibri" w:hAnsi="Calibri" w:cs="Calibri"/>
                <w:b/>
                <w:bCs/>
                <w:color w:val="000000"/>
                <w:sz w:val="24"/>
                <w:szCs w:val="24"/>
              </w:rPr>
            </w:pPr>
            <w:r>
              <w:rPr>
                <w:rFonts w:ascii="Calibri" w:hAnsi="Calibri" w:cs="Calibri"/>
                <w:b/>
                <w:bCs/>
                <w:color w:val="000000"/>
              </w:rPr>
              <w:t>NM ISO 2560 </w:t>
            </w:r>
          </w:p>
        </w:tc>
      </w:tr>
      <w:tr w:rsidR="00181E36" w:rsidRPr="004F0BC9" w:rsidTr="004F0BC9">
        <w:trPr>
          <w:trHeight w:val="384"/>
          <w:jc w:val="center"/>
        </w:trPr>
        <w:tc>
          <w:tcPr>
            <w:tcW w:w="1838" w:type="dxa"/>
            <w:tcBorders>
              <w:bottom w:val="single" w:sz="18" w:space="0" w:color="auto"/>
              <w:right w:val="single" w:sz="4" w:space="0" w:color="auto"/>
            </w:tcBorders>
            <w:shd w:val="clear" w:color="auto" w:fill="FFFF99"/>
            <w:vAlign w:val="center"/>
          </w:tcPr>
          <w:p w:rsidR="00181E36" w:rsidRDefault="00181E36" w:rsidP="004F0BC9">
            <w:pPr>
              <w:spacing w:after="0" w:line="240" w:lineRule="auto"/>
              <w:jc w:val="center"/>
              <w:rPr>
                <w:rFonts w:ascii="Calibri" w:hAnsi="Calibri" w:cs="Calibri"/>
                <w:b/>
                <w:bCs/>
              </w:rPr>
            </w:pPr>
            <w:r>
              <w:rPr>
                <w:rFonts w:ascii="Calibri" w:hAnsi="Calibri" w:cs="Calibri"/>
                <w:b/>
                <w:bCs/>
              </w:rPr>
              <w:t xml:space="preserve">Equivalence </w:t>
            </w:r>
          </w:p>
        </w:tc>
        <w:tc>
          <w:tcPr>
            <w:tcW w:w="7938" w:type="dxa"/>
            <w:tcBorders>
              <w:left w:val="single" w:sz="4" w:space="0" w:color="auto"/>
              <w:bottom w:val="single" w:sz="18" w:space="0" w:color="auto"/>
            </w:tcBorders>
            <w:shd w:val="clear" w:color="auto" w:fill="FFFF99"/>
            <w:vAlign w:val="center"/>
          </w:tcPr>
          <w:p w:rsidR="00181E36" w:rsidRPr="004F0BC9" w:rsidRDefault="00181E36" w:rsidP="004F0BC9">
            <w:pPr>
              <w:spacing w:after="0" w:line="240" w:lineRule="auto"/>
              <w:jc w:val="center"/>
              <w:rPr>
                <w:rFonts w:ascii="Calibri" w:hAnsi="Calibri" w:cs="Calibri"/>
                <w:b/>
                <w:bCs/>
              </w:rPr>
            </w:pPr>
            <w:r>
              <w:rPr>
                <w:rFonts w:ascii="Calibri" w:hAnsi="Calibri" w:cs="Calibri"/>
                <w:b/>
                <w:bCs/>
              </w:rPr>
              <w:t>ISO 2560 </w:t>
            </w:r>
          </w:p>
        </w:tc>
      </w:tr>
      <w:tr w:rsidR="00181E36" w:rsidRPr="004F0BC9" w:rsidTr="004F0BC9">
        <w:trPr>
          <w:trHeight w:val="518"/>
          <w:jc w:val="center"/>
        </w:trPr>
        <w:tc>
          <w:tcPr>
            <w:tcW w:w="1838" w:type="dxa"/>
            <w:tcBorders>
              <w:top w:val="single" w:sz="18" w:space="0" w:color="auto"/>
              <w:bottom w:val="single" w:sz="4" w:space="0" w:color="auto"/>
              <w:right w:val="single" w:sz="4" w:space="0" w:color="auto"/>
            </w:tcBorders>
            <w:shd w:val="clear" w:color="auto" w:fill="B8CCE4" w:themeFill="accent1" w:themeFillTint="66"/>
            <w:vAlign w:val="center"/>
          </w:tcPr>
          <w:p w:rsidR="00181E36" w:rsidRDefault="00181E36" w:rsidP="004F0BC9">
            <w:pPr>
              <w:spacing w:after="0" w:line="240" w:lineRule="auto"/>
              <w:jc w:val="center"/>
              <w:rPr>
                <w:rFonts w:ascii="Calibri" w:hAnsi="Calibri" w:cs="Calibri"/>
                <w:b/>
                <w:bCs/>
              </w:rPr>
            </w:pPr>
            <w:r>
              <w:rPr>
                <w:rFonts w:ascii="Calibri" w:hAnsi="Calibri" w:cs="Calibri"/>
                <w:b/>
                <w:bCs/>
              </w:rPr>
              <w:t xml:space="preserve">Intitulé </w:t>
            </w:r>
          </w:p>
        </w:tc>
        <w:tc>
          <w:tcPr>
            <w:tcW w:w="7938" w:type="dxa"/>
            <w:tcBorders>
              <w:top w:val="single" w:sz="18" w:space="0" w:color="auto"/>
              <w:left w:val="single" w:sz="4" w:space="0" w:color="auto"/>
              <w:bottom w:val="single" w:sz="4" w:space="0" w:color="auto"/>
            </w:tcBorders>
            <w:shd w:val="clear" w:color="auto" w:fill="auto"/>
          </w:tcPr>
          <w:p w:rsidR="00181E36" w:rsidRPr="004F0BC9" w:rsidRDefault="00181E36" w:rsidP="004F0BC9">
            <w:pPr>
              <w:spacing w:after="0" w:line="240" w:lineRule="auto"/>
              <w:jc w:val="both"/>
              <w:rPr>
                <w:rFonts w:ascii="Calibri" w:hAnsi="Calibri" w:cs="Calibri"/>
              </w:rPr>
            </w:pPr>
            <w:r w:rsidRPr="004F0BC9">
              <w:rPr>
                <w:rFonts w:ascii="Calibri" w:hAnsi="Calibri" w:cs="Calibri"/>
              </w:rPr>
              <w:t>Produits consommables pour le soudage — Électrodes enrobées pour le soudage manuel à l'arc des aciers non alliés et des Aciers à grains fins — classification </w:t>
            </w:r>
          </w:p>
        </w:tc>
      </w:tr>
      <w:tr w:rsidR="00181E36" w:rsidRPr="004F0BC9" w:rsidTr="004F0BC9">
        <w:trPr>
          <w:trHeight w:val="706"/>
          <w:jc w:val="center"/>
        </w:trPr>
        <w:tc>
          <w:tcPr>
            <w:tcW w:w="1838" w:type="dxa"/>
            <w:tcBorders>
              <w:top w:val="single" w:sz="4" w:space="0" w:color="auto"/>
              <w:bottom w:val="single" w:sz="18" w:space="0" w:color="auto"/>
              <w:right w:val="single" w:sz="4" w:space="0" w:color="auto"/>
            </w:tcBorders>
            <w:shd w:val="clear" w:color="000000" w:fill="D9D9D9"/>
            <w:vAlign w:val="center"/>
          </w:tcPr>
          <w:p w:rsidR="00181E36" w:rsidRDefault="00181E36" w:rsidP="004F0BC9">
            <w:pPr>
              <w:spacing w:after="0" w:line="240" w:lineRule="auto"/>
              <w:jc w:val="center"/>
              <w:rPr>
                <w:rFonts w:ascii="Calibri" w:hAnsi="Calibri" w:cs="Calibri"/>
                <w:b/>
                <w:bCs/>
              </w:rPr>
            </w:pPr>
            <w:r>
              <w:rPr>
                <w:rFonts w:ascii="Calibri" w:hAnsi="Calibri" w:cs="Calibri"/>
                <w:b/>
                <w:bCs/>
              </w:rPr>
              <w:t xml:space="preserve">Domaine d’application </w:t>
            </w:r>
          </w:p>
        </w:tc>
        <w:tc>
          <w:tcPr>
            <w:tcW w:w="7938" w:type="dxa"/>
            <w:tcBorders>
              <w:top w:val="single" w:sz="4" w:space="0" w:color="auto"/>
              <w:left w:val="single" w:sz="4" w:space="0" w:color="auto"/>
              <w:bottom w:val="single" w:sz="18" w:space="0" w:color="auto"/>
            </w:tcBorders>
            <w:shd w:val="clear" w:color="auto" w:fill="auto"/>
          </w:tcPr>
          <w:p w:rsidR="004F0BC9" w:rsidRDefault="00181E36" w:rsidP="004F0BC9">
            <w:pPr>
              <w:spacing w:after="0" w:line="240" w:lineRule="auto"/>
              <w:jc w:val="both"/>
              <w:rPr>
                <w:rFonts w:ascii="Calibri" w:hAnsi="Calibri" w:cs="Calibri"/>
              </w:rPr>
            </w:pPr>
            <w:r w:rsidRPr="004F0BC9">
              <w:rPr>
                <w:rFonts w:ascii="Calibri" w:hAnsi="Calibri" w:cs="Calibri"/>
              </w:rPr>
              <w:t>Le présent document spécifie les exigences relatives à la classification des électrodes enrobées et du métal déposé à l'état brut de soudage ou traité thermiquement après soudage, en soudage manuel à l'arc des aciers non alliés et des aciers à grains fins ayant une limite d'élasticité minimale pouvant atteindre 500 MPa ou une résistance à la traction minimale pouvant atteindre 570 MPa.</w:t>
            </w:r>
          </w:p>
          <w:p w:rsidR="004F0BC9" w:rsidRDefault="00181E36" w:rsidP="004F0BC9">
            <w:pPr>
              <w:spacing w:after="0" w:line="240" w:lineRule="auto"/>
              <w:jc w:val="both"/>
              <w:rPr>
                <w:rFonts w:ascii="Calibri" w:hAnsi="Calibri" w:cs="Calibri"/>
              </w:rPr>
            </w:pPr>
            <w:r w:rsidRPr="004F0BC9">
              <w:rPr>
                <w:rFonts w:ascii="Calibri" w:hAnsi="Calibri" w:cs="Calibri"/>
              </w:rPr>
              <w:t>Le présent document propose une spécification mixte permettant une classification utilisant un système basé soit sur la limite d'élasticité et l'énergie de rupture moyenne de 47 J pour le métal fondu hors dilution, soit sur la résistance à la traction et l'énergie de rupture moyenne de 27 J pour le métal fondu hors dilution.</w:t>
            </w:r>
          </w:p>
          <w:p w:rsidR="004F0BC9" w:rsidRDefault="00181E36" w:rsidP="004F0BC9">
            <w:pPr>
              <w:spacing w:after="0" w:line="240" w:lineRule="auto"/>
              <w:jc w:val="both"/>
              <w:rPr>
                <w:rFonts w:ascii="Calibri" w:hAnsi="Calibri" w:cs="Calibri"/>
              </w:rPr>
            </w:pPr>
            <w:r w:rsidRPr="004F0BC9">
              <w:rPr>
                <w:rFonts w:ascii="Calibri" w:hAnsi="Calibri" w:cs="Calibri"/>
              </w:rPr>
              <w:t>a) Les articles, les paragraphes et les tableaux portant le suffixe «A» sont applicables uniquement aux électrodes enrobées classifiées d'après le système basé sur la limite d'élasticité et l'énergie de rupture moyenne de 47 J pour le métal fondu hors dilution dans le présent document.</w:t>
            </w:r>
          </w:p>
          <w:p w:rsidR="004F0BC9" w:rsidRDefault="00181E36" w:rsidP="004F0BC9">
            <w:pPr>
              <w:spacing w:after="0" w:line="240" w:lineRule="auto"/>
              <w:jc w:val="both"/>
              <w:rPr>
                <w:rFonts w:ascii="Calibri" w:hAnsi="Calibri" w:cs="Calibri"/>
              </w:rPr>
            </w:pPr>
            <w:r w:rsidRPr="004F0BC9">
              <w:rPr>
                <w:rFonts w:ascii="Calibri" w:hAnsi="Calibri" w:cs="Calibri"/>
              </w:rPr>
              <w:t>b) Les articles, les paragraphes et les tableaux portant le suffixe «B» sont applicables uniquement aux électrodes enrobées classifiées d'après le système basé sur la résistance à la traction et l'énergie de rupture moyenne de 27 J pour le métal fondu hors dilution dans le présent document.</w:t>
            </w:r>
          </w:p>
          <w:p w:rsidR="00181E36" w:rsidRPr="004F0BC9" w:rsidRDefault="00181E36" w:rsidP="004F0BC9">
            <w:pPr>
              <w:spacing w:after="0" w:line="240" w:lineRule="auto"/>
              <w:jc w:val="both"/>
              <w:rPr>
                <w:rFonts w:ascii="Calibri" w:hAnsi="Calibri" w:cs="Calibri"/>
              </w:rPr>
            </w:pPr>
            <w:r w:rsidRPr="004F0BC9">
              <w:rPr>
                <w:rFonts w:ascii="Calibri" w:hAnsi="Calibri" w:cs="Calibri"/>
              </w:rPr>
              <w:lastRenderedPageBreak/>
              <w:t>c) Les articles, les paragraphes et les tableaux ne comportant ni le suffixe «A» ni le suffixe «B» sont applicables à toutes les électrodes enrobées classifiées conformément au présent document.</w:t>
            </w:r>
          </w:p>
        </w:tc>
      </w:tr>
      <w:tr w:rsidR="0043547B" w:rsidRPr="0043547B" w:rsidTr="00CB5DC0">
        <w:trPr>
          <w:trHeight w:val="315"/>
          <w:jc w:val="center"/>
        </w:trPr>
        <w:tc>
          <w:tcPr>
            <w:tcW w:w="1838" w:type="dxa"/>
            <w:tcBorders>
              <w:top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tcBorders>
            <w:shd w:val="clear" w:color="auto" w:fill="B7CE88"/>
            <w:noWrap/>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3834-1</w:t>
            </w:r>
          </w:p>
        </w:tc>
      </w:tr>
      <w:tr w:rsidR="0043547B" w:rsidRPr="0043547B" w:rsidTr="00CB5DC0">
        <w:trPr>
          <w:trHeight w:val="315"/>
          <w:jc w:val="center"/>
        </w:trPr>
        <w:tc>
          <w:tcPr>
            <w:tcW w:w="1838" w:type="dxa"/>
            <w:tcBorders>
              <w:top w:val="single" w:sz="18"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3834-1</w:t>
            </w:r>
          </w:p>
        </w:tc>
      </w:tr>
      <w:tr w:rsidR="0043547B" w:rsidRPr="0043547B" w:rsidTr="00CB5DC0">
        <w:trPr>
          <w:trHeight w:val="495"/>
          <w:jc w:val="center"/>
        </w:trPr>
        <w:tc>
          <w:tcPr>
            <w:tcW w:w="1838" w:type="dxa"/>
            <w:tcBorders>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Exigences de qualité en soudage par fusion des matériaux métalliques - Partie 1: Critères pour la sélection du niveau approprié d'exigences de qualité ;</w:t>
            </w:r>
          </w:p>
        </w:tc>
      </w:tr>
      <w:tr w:rsidR="0043547B" w:rsidRPr="0043547B" w:rsidTr="00CB5DC0">
        <w:trPr>
          <w:trHeight w:val="883"/>
          <w:jc w:val="center"/>
        </w:trPr>
        <w:tc>
          <w:tcPr>
            <w:tcW w:w="1838" w:type="dxa"/>
            <w:tcBorders>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partie de l'ISO 3834 fournit un aperçu général de l'ISO 3834 et les critères à prendre en compte pour la sélection d'un niveau approprié d'exigences de qualité en soudage par fusion des matériaux métalliques, parmi les trois niveaux spécifiés dans l'ISO 3834-2 [3], l'ISO 3834-3 [4] et l'ISO 3834-4 [5]. Elle est applicable pour la fabrication aussi bien en atelier que sur les sites de montage.</w:t>
            </w:r>
          </w:p>
        </w:tc>
      </w:tr>
      <w:tr w:rsidR="0043547B" w:rsidRPr="0043547B" w:rsidTr="00CB5DC0">
        <w:trPr>
          <w:trHeight w:val="315"/>
          <w:jc w:val="center"/>
        </w:trPr>
        <w:tc>
          <w:tcPr>
            <w:tcW w:w="1838" w:type="dxa"/>
            <w:tcBorders>
              <w:top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tcBorders>
            <w:shd w:val="clear" w:color="auto" w:fill="B7CE88"/>
            <w:noWrap/>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3834-2</w:t>
            </w:r>
          </w:p>
        </w:tc>
      </w:tr>
      <w:tr w:rsidR="0043547B" w:rsidRPr="0043547B" w:rsidTr="00CB5DC0">
        <w:trPr>
          <w:trHeight w:val="315"/>
          <w:jc w:val="center"/>
        </w:trPr>
        <w:tc>
          <w:tcPr>
            <w:tcW w:w="1838" w:type="dxa"/>
            <w:tcBorders>
              <w:top w:val="single" w:sz="18"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3834-2</w:t>
            </w:r>
          </w:p>
        </w:tc>
      </w:tr>
      <w:tr w:rsidR="0043547B" w:rsidRPr="0043547B" w:rsidTr="00CB5DC0">
        <w:trPr>
          <w:trHeight w:val="330"/>
          <w:jc w:val="center"/>
        </w:trPr>
        <w:tc>
          <w:tcPr>
            <w:tcW w:w="1838" w:type="dxa"/>
            <w:tcBorders>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Exigences de qualité en soudage par fusion des matériaux métalliques - Partie 2: Exigences de qualité complète ;</w:t>
            </w:r>
          </w:p>
        </w:tc>
      </w:tr>
      <w:tr w:rsidR="0043547B" w:rsidRPr="0043547B" w:rsidTr="00CB5DC0">
        <w:trPr>
          <w:trHeight w:val="615"/>
          <w:jc w:val="center"/>
        </w:trPr>
        <w:tc>
          <w:tcPr>
            <w:tcW w:w="1838" w:type="dxa"/>
            <w:tcBorders>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partie de l’ISO 3834 définit les exigences de qualité complète pour le soudage par fusion des matériaux métalliques, aussi bien en atelier que sur les sites de montage.</w:t>
            </w:r>
          </w:p>
        </w:tc>
      </w:tr>
      <w:tr w:rsidR="0043547B" w:rsidRPr="0043547B" w:rsidTr="00CB5DC0">
        <w:trPr>
          <w:trHeight w:val="315"/>
          <w:jc w:val="center"/>
        </w:trPr>
        <w:tc>
          <w:tcPr>
            <w:tcW w:w="1838" w:type="dxa"/>
            <w:tcBorders>
              <w:top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tcBorders>
            <w:shd w:val="clear" w:color="auto" w:fill="B7CE88"/>
            <w:vAlign w:val="center"/>
            <w:hideMark/>
          </w:tcPr>
          <w:p w:rsidR="00904E52" w:rsidRPr="0043547B" w:rsidRDefault="001B60A2" w:rsidP="00904E52">
            <w:pPr>
              <w:spacing w:after="0" w:line="240" w:lineRule="auto"/>
              <w:jc w:val="center"/>
              <w:rPr>
                <w:rFonts w:eastAsia="Times New Roman" w:cstheme="minorHAnsi"/>
                <w:b/>
                <w:bCs/>
                <w:sz w:val="24"/>
                <w:szCs w:val="24"/>
                <w:lang w:eastAsia="fr-FR"/>
              </w:rPr>
            </w:pPr>
            <w:hyperlink r:id="rId20" w:tooltip="http://pod.iso.ch/stadist/documentlist.xsql?csnumber=35146" w:history="1">
              <w:r w:rsidR="00904E52" w:rsidRPr="0043547B">
                <w:rPr>
                  <w:rFonts w:eastAsia="Times New Roman" w:cstheme="minorHAnsi"/>
                  <w:b/>
                  <w:bCs/>
                  <w:sz w:val="24"/>
                  <w:szCs w:val="24"/>
                  <w:lang w:eastAsia="fr-FR"/>
                </w:rPr>
                <w:t>NM ISO 3834-3</w:t>
              </w:r>
            </w:hyperlink>
          </w:p>
        </w:tc>
      </w:tr>
      <w:tr w:rsidR="0043547B" w:rsidRPr="0043547B" w:rsidTr="00CB5DC0">
        <w:trPr>
          <w:trHeight w:val="315"/>
          <w:jc w:val="center"/>
        </w:trPr>
        <w:tc>
          <w:tcPr>
            <w:tcW w:w="1838" w:type="dxa"/>
            <w:tcBorders>
              <w:top w:val="single" w:sz="18"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 xml:space="preserve"> ISO 3834-3</w:t>
            </w:r>
          </w:p>
        </w:tc>
      </w:tr>
      <w:tr w:rsidR="0043547B" w:rsidRPr="0043547B" w:rsidTr="00CB5DC0">
        <w:trPr>
          <w:trHeight w:val="330"/>
          <w:jc w:val="center"/>
        </w:trPr>
        <w:tc>
          <w:tcPr>
            <w:tcW w:w="1838" w:type="dxa"/>
            <w:tcBorders>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Exigences de qualité en soudage par fusion des matériaux métalliques - Partie 3: Exigences de qualité normale ; </w:t>
            </w:r>
          </w:p>
        </w:tc>
      </w:tr>
      <w:tr w:rsidR="0043547B" w:rsidRPr="0043547B" w:rsidTr="00CB5DC0">
        <w:trPr>
          <w:trHeight w:val="615"/>
          <w:jc w:val="center"/>
        </w:trPr>
        <w:tc>
          <w:tcPr>
            <w:tcW w:w="1838" w:type="dxa"/>
            <w:tcBorders>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partie de l’ISO 3834 définit les exigences de qualité normale pour le soudage par fusion des matériaux métalliques, aussi bien en atelier que sur les sites de montage.</w:t>
            </w:r>
          </w:p>
        </w:tc>
      </w:tr>
      <w:tr w:rsidR="0043547B" w:rsidRPr="0043547B" w:rsidTr="00CB5DC0">
        <w:trPr>
          <w:trHeight w:val="475"/>
          <w:jc w:val="center"/>
        </w:trPr>
        <w:tc>
          <w:tcPr>
            <w:tcW w:w="1838" w:type="dxa"/>
            <w:tcBorders>
              <w:bottom w:val="single" w:sz="18" w:space="0" w:color="auto"/>
              <w:right w:val="single" w:sz="4" w:space="0" w:color="auto"/>
            </w:tcBorders>
            <w:shd w:val="clear" w:color="auto" w:fill="C2D69B" w:themeFill="accent3" w:themeFillTint="99"/>
            <w:vAlign w:val="center"/>
          </w:tcPr>
          <w:p w:rsidR="00C6339E" w:rsidRPr="0043547B" w:rsidRDefault="00C6339E" w:rsidP="00730AD3">
            <w:pPr>
              <w:spacing w:after="0"/>
              <w:jc w:val="center"/>
              <w:rPr>
                <w:rFonts w:cstheme="minorHAnsi"/>
                <w:b/>
                <w:bCs/>
                <w:sz w:val="24"/>
                <w:szCs w:val="24"/>
              </w:rPr>
            </w:pPr>
            <w:r w:rsidRPr="0043547B">
              <w:rPr>
                <w:rFonts w:cstheme="minorHAnsi"/>
                <w:b/>
                <w:bCs/>
                <w:sz w:val="24"/>
                <w:szCs w:val="24"/>
              </w:rPr>
              <w:t>Code :</w:t>
            </w:r>
          </w:p>
        </w:tc>
        <w:tc>
          <w:tcPr>
            <w:tcW w:w="7938" w:type="dxa"/>
            <w:tcBorders>
              <w:left w:val="single" w:sz="4" w:space="0" w:color="auto"/>
              <w:bottom w:val="single" w:sz="18" w:space="0" w:color="auto"/>
            </w:tcBorders>
            <w:shd w:val="clear" w:color="auto" w:fill="C2D69B" w:themeFill="accent3" w:themeFillTint="99"/>
            <w:vAlign w:val="bottom"/>
          </w:tcPr>
          <w:p w:rsidR="00C6339E" w:rsidRPr="0043547B" w:rsidRDefault="00160B21" w:rsidP="00D863F5">
            <w:pPr>
              <w:spacing w:after="0"/>
              <w:jc w:val="center"/>
              <w:rPr>
                <w:rFonts w:cstheme="minorHAnsi"/>
                <w:b/>
                <w:bCs/>
                <w:sz w:val="24"/>
                <w:szCs w:val="24"/>
              </w:rPr>
            </w:pPr>
            <w:r w:rsidRPr="0043547B">
              <w:rPr>
                <w:rFonts w:cstheme="minorHAnsi"/>
                <w:b/>
                <w:bCs/>
                <w:sz w:val="24"/>
                <w:szCs w:val="24"/>
              </w:rPr>
              <w:t xml:space="preserve">NM </w:t>
            </w:r>
            <w:r w:rsidR="00C6339E" w:rsidRPr="0043547B">
              <w:rPr>
                <w:rFonts w:cstheme="minorHAnsi"/>
                <w:b/>
                <w:bCs/>
                <w:sz w:val="24"/>
                <w:szCs w:val="24"/>
              </w:rPr>
              <w:t>ISO 1071 </w:t>
            </w:r>
          </w:p>
        </w:tc>
      </w:tr>
      <w:tr w:rsidR="0043547B" w:rsidRPr="0043547B" w:rsidTr="00730AD3">
        <w:trPr>
          <w:trHeight w:val="242"/>
          <w:jc w:val="center"/>
        </w:trPr>
        <w:tc>
          <w:tcPr>
            <w:tcW w:w="1838" w:type="dxa"/>
            <w:tcBorders>
              <w:top w:val="single" w:sz="18" w:space="0" w:color="auto"/>
              <w:bottom w:val="single" w:sz="4" w:space="0" w:color="auto"/>
              <w:right w:val="single" w:sz="4" w:space="0" w:color="auto"/>
            </w:tcBorders>
            <w:shd w:val="clear" w:color="auto" w:fill="FDFBA9"/>
            <w:vAlign w:val="center"/>
          </w:tcPr>
          <w:p w:rsidR="00C6339E" w:rsidRPr="0043547B" w:rsidRDefault="00C6339E" w:rsidP="00D863F5">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tcBorders>
            <w:shd w:val="clear" w:color="auto" w:fill="FDFBA9"/>
            <w:vAlign w:val="bottom"/>
          </w:tcPr>
          <w:p w:rsidR="00C6339E" w:rsidRPr="0043547B" w:rsidRDefault="00C6339E" w:rsidP="00D863F5">
            <w:pPr>
              <w:spacing w:after="0"/>
              <w:jc w:val="center"/>
              <w:rPr>
                <w:rFonts w:cstheme="minorHAnsi"/>
                <w:b/>
                <w:bCs/>
                <w:sz w:val="24"/>
                <w:szCs w:val="24"/>
              </w:rPr>
            </w:pPr>
            <w:r w:rsidRPr="0043547B">
              <w:rPr>
                <w:rFonts w:cstheme="minorHAnsi"/>
                <w:b/>
                <w:bCs/>
                <w:sz w:val="24"/>
                <w:szCs w:val="24"/>
              </w:rPr>
              <w:t xml:space="preserve"> ISO 1071 </w:t>
            </w:r>
          </w:p>
        </w:tc>
      </w:tr>
      <w:tr w:rsidR="0043547B" w:rsidRPr="0043547B" w:rsidTr="00730AD3">
        <w:trPr>
          <w:trHeight w:val="615"/>
          <w:jc w:val="center"/>
        </w:trPr>
        <w:tc>
          <w:tcPr>
            <w:tcW w:w="1838" w:type="dxa"/>
            <w:tcBorders>
              <w:top w:val="single" w:sz="4" w:space="0" w:color="auto"/>
              <w:bottom w:val="single" w:sz="4" w:space="0" w:color="auto"/>
              <w:right w:val="single" w:sz="4" w:space="0" w:color="auto"/>
            </w:tcBorders>
            <w:shd w:val="clear" w:color="auto" w:fill="B8CCE4" w:themeFill="accent1" w:themeFillTint="66"/>
            <w:vAlign w:val="center"/>
          </w:tcPr>
          <w:p w:rsidR="00C6339E" w:rsidRPr="0043547B" w:rsidRDefault="00C6339E" w:rsidP="00D863F5">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tcBorders>
            <w:shd w:val="clear" w:color="auto" w:fill="auto"/>
            <w:vAlign w:val="bottom"/>
          </w:tcPr>
          <w:p w:rsidR="00C6339E" w:rsidRPr="0043547B" w:rsidRDefault="00C6339E" w:rsidP="00D863F5">
            <w:pPr>
              <w:spacing w:after="0"/>
              <w:rPr>
                <w:rFonts w:cstheme="minorHAnsi"/>
                <w:sz w:val="24"/>
                <w:szCs w:val="24"/>
              </w:rPr>
            </w:pPr>
            <w:r w:rsidRPr="0043547B">
              <w:rPr>
                <w:rFonts w:cstheme="minorHAnsi"/>
                <w:sz w:val="24"/>
                <w:szCs w:val="24"/>
              </w:rPr>
              <w:t>Produits consommables pour le soudage - Electrodes enrobées, fils d'apport, baguettes et fils fourrés pour le soudage par fusion de la fonte – Classification </w:t>
            </w:r>
          </w:p>
        </w:tc>
      </w:tr>
      <w:tr w:rsidR="0043547B" w:rsidRPr="0043547B" w:rsidTr="00CB5DC0">
        <w:trPr>
          <w:trHeight w:val="2602"/>
          <w:jc w:val="center"/>
        </w:trPr>
        <w:tc>
          <w:tcPr>
            <w:tcW w:w="1838" w:type="dxa"/>
            <w:tcBorders>
              <w:top w:val="single" w:sz="4" w:space="0" w:color="auto"/>
              <w:bottom w:val="single" w:sz="18" w:space="0" w:color="auto"/>
              <w:right w:val="single" w:sz="4" w:space="0" w:color="auto"/>
            </w:tcBorders>
            <w:shd w:val="clear" w:color="000000" w:fill="D9D9D9"/>
            <w:vAlign w:val="center"/>
          </w:tcPr>
          <w:p w:rsidR="00C6339E" w:rsidRPr="0043547B" w:rsidRDefault="00C6339E" w:rsidP="00D863F5">
            <w:pPr>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tcBorders>
            <w:shd w:val="clear" w:color="auto" w:fill="auto"/>
            <w:vAlign w:val="bottom"/>
          </w:tcPr>
          <w:p w:rsidR="00C6339E" w:rsidRPr="0043547B" w:rsidRDefault="00C6339E" w:rsidP="00730AD3">
            <w:pPr>
              <w:spacing w:after="0" w:line="240" w:lineRule="auto"/>
              <w:jc w:val="both"/>
              <w:rPr>
                <w:rFonts w:cstheme="minorHAnsi"/>
                <w:sz w:val="24"/>
                <w:szCs w:val="24"/>
              </w:rPr>
            </w:pPr>
            <w:r w:rsidRPr="0043547B">
              <w:rPr>
                <w:rFonts w:cstheme="minorHAnsi"/>
                <w:sz w:val="24"/>
                <w:szCs w:val="24"/>
              </w:rPr>
              <w:t>La présente Norme internationale européenne spécifie les exigences pour la classification des électrodes enrobées utilisées en soudage manuel à l’arc avec électrode enrobée, des fils-électrodes utilisés en</w:t>
            </w:r>
            <w:r w:rsidR="00D863F5" w:rsidRPr="0043547B">
              <w:rPr>
                <w:rFonts w:cstheme="minorHAnsi"/>
                <w:sz w:val="24"/>
                <w:szCs w:val="24"/>
              </w:rPr>
              <w:t xml:space="preserve"> </w:t>
            </w:r>
            <w:r w:rsidRPr="0043547B">
              <w:rPr>
                <w:rFonts w:cstheme="minorHAnsi"/>
                <w:sz w:val="24"/>
                <w:szCs w:val="24"/>
              </w:rPr>
              <w:t>soudage à l’arc avec électrode fusible, des fils fourrés utilisés en soudage à l’arc avec électrode fusible (avec et sans gaz de protection), des baguettes utilisées pour le soudage TIG et des baguettes utilisées</w:t>
            </w:r>
            <w:r w:rsidR="00D863F5" w:rsidRPr="0043547B">
              <w:rPr>
                <w:rFonts w:cstheme="minorHAnsi"/>
                <w:sz w:val="24"/>
                <w:szCs w:val="24"/>
              </w:rPr>
              <w:t xml:space="preserve"> </w:t>
            </w:r>
            <w:r w:rsidRPr="0043547B">
              <w:rPr>
                <w:rFonts w:cstheme="minorHAnsi"/>
                <w:sz w:val="24"/>
                <w:szCs w:val="24"/>
              </w:rPr>
              <w:t>pour le soudage oxygaz des fontes non alliées. La classification est basée sur la composition chimique des fils et des baguettes et sur le dépôt de métal fondu hors dilution dans le cas des fils fourrés et des</w:t>
            </w:r>
            <w:r w:rsidR="00D863F5" w:rsidRPr="0043547B">
              <w:rPr>
                <w:rFonts w:cstheme="minorHAnsi"/>
                <w:sz w:val="24"/>
                <w:szCs w:val="24"/>
              </w:rPr>
              <w:t xml:space="preserve"> </w:t>
            </w:r>
            <w:r w:rsidRPr="0043547B">
              <w:rPr>
                <w:rFonts w:cstheme="minorHAnsi"/>
                <w:sz w:val="24"/>
                <w:szCs w:val="24"/>
              </w:rPr>
              <w:t>électrodes enrobées.</w:t>
            </w:r>
          </w:p>
        </w:tc>
      </w:tr>
      <w:tr w:rsidR="0043547B" w:rsidRPr="0043547B" w:rsidTr="00CB5DC0">
        <w:trPr>
          <w:trHeight w:val="342"/>
          <w:jc w:val="center"/>
        </w:trPr>
        <w:tc>
          <w:tcPr>
            <w:tcW w:w="1838" w:type="dxa"/>
            <w:tcBorders>
              <w:bottom w:val="single" w:sz="18" w:space="0" w:color="auto"/>
              <w:right w:val="single" w:sz="4" w:space="0" w:color="auto"/>
            </w:tcBorders>
            <w:shd w:val="clear" w:color="auto" w:fill="C2D69B" w:themeFill="accent3" w:themeFillTint="99"/>
            <w:vAlign w:val="center"/>
          </w:tcPr>
          <w:p w:rsidR="00C6339E" w:rsidRPr="008A369B" w:rsidRDefault="00C6339E" w:rsidP="00730AD3">
            <w:pPr>
              <w:spacing w:after="0" w:line="240" w:lineRule="auto"/>
              <w:jc w:val="center"/>
              <w:rPr>
                <w:rFonts w:cstheme="minorHAnsi"/>
                <w:b/>
                <w:bCs/>
                <w:sz w:val="24"/>
                <w:szCs w:val="24"/>
              </w:rPr>
            </w:pPr>
            <w:r w:rsidRPr="008A369B">
              <w:rPr>
                <w:rFonts w:cstheme="minorHAnsi"/>
                <w:b/>
                <w:bCs/>
                <w:sz w:val="24"/>
                <w:szCs w:val="24"/>
              </w:rPr>
              <w:t>Code :</w:t>
            </w:r>
          </w:p>
        </w:tc>
        <w:tc>
          <w:tcPr>
            <w:tcW w:w="7938" w:type="dxa"/>
            <w:tcBorders>
              <w:left w:val="single" w:sz="4" w:space="0" w:color="auto"/>
              <w:bottom w:val="single" w:sz="18" w:space="0" w:color="auto"/>
            </w:tcBorders>
            <w:shd w:val="clear" w:color="auto" w:fill="C2D69B" w:themeFill="accent3" w:themeFillTint="99"/>
            <w:vAlign w:val="center"/>
          </w:tcPr>
          <w:p w:rsidR="00C6339E" w:rsidRPr="008A369B" w:rsidRDefault="00160B21" w:rsidP="00D863F5">
            <w:pPr>
              <w:spacing w:after="0" w:line="240" w:lineRule="auto"/>
              <w:jc w:val="center"/>
              <w:rPr>
                <w:rFonts w:cstheme="minorHAnsi"/>
                <w:b/>
                <w:bCs/>
                <w:sz w:val="24"/>
                <w:szCs w:val="24"/>
              </w:rPr>
            </w:pPr>
            <w:r w:rsidRPr="008A369B">
              <w:rPr>
                <w:rFonts w:cstheme="minorHAnsi"/>
                <w:b/>
                <w:bCs/>
                <w:sz w:val="24"/>
                <w:szCs w:val="24"/>
              </w:rPr>
              <w:t xml:space="preserve">NM </w:t>
            </w:r>
            <w:r w:rsidR="00C6339E" w:rsidRPr="008A369B">
              <w:rPr>
                <w:rFonts w:cstheme="minorHAnsi"/>
                <w:b/>
                <w:bCs/>
                <w:sz w:val="24"/>
                <w:szCs w:val="24"/>
              </w:rPr>
              <w:t>ISO 525</w:t>
            </w:r>
          </w:p>
        </w:tc>
      </w:tr>
      <w:tr w:rsidR="0043547B" w:rsidRPr="0043547B" w:rsidTr="00730AD3">
        <w:trPr>
          <w:trHeight w:val="376"/>
          <w:jc w:val="center"/>
        </w:trPr>
        <w:tc>
          <w:tcPr>
            <w:tcW w:w="1838" w:type="dxa"/>
            <w:tcBorders>
              <w:top w:val="single" w:sz="18" w:space="0" w:color="auto"/>
              <w:bottom w:val="single" w:sz="4" w:space="0" w:color="auto"/>
              <w:right w:val="single" w:sz="4" w:space="0" w:color="auto"/>
            </w:tcBorders>
            <w:shd w:val="clear" w:color="auto" w:fill="FDFBA9"/>
            <w:vAlign w:val="center"/>
          </w:tcPr>
          <w:p w:rsidR="00C6339E" w:rsidRPr="008A369B" w:rsidRDefault="00C6339E" w:rsidP="00D863F5">
            <w:pPr>
              <w:spacing w:after="0" w:line="240" w:lineRule="auto"/>
              <w:jc w:val="center"/>
              <w:rPr>
                <w:rFonts w:cstheme="minorHAnsi"/>
                <w:b/>
                <w:bCs/>
                <w:sz w:val="24"/>
                <w:szCs w:val="24"/>
              </w:rPr>
            </w:pPr>
            <w:r w:rsidRPr="008A369B">
              <w:rPr>
                <w:rFonts w:cstheme="minorHAnsi"/>
                <w:b/>
                <w:bCs/>
                <w:sz w:val="24"/>
                <w:szCs w:val="24"/>
              </w:rPr>
              <w:t>Equivalence :</w:t>
            </w:r>
          </w:p>
        </w:tc>
        <w:tc>
          <w:tcPr>
            <w:tcW w:w="7938" w:type="dxa"/>
            <w:tcBorders>
              <w:top w:val="single" w:sz="18" w:space="0" w:color="auto"/>
              <w:left w:val="single" w:sz="4" w:space="0" w:color="auto"/>
              <w:bottom w:val="single" w:sz="4" w:space="0" w:color="auto"/>
            </w:tcBorders>
            <w:shd w:val="clear" w:color="auto" w:fill="FDFBA9"/>
            <w:vAlign w:val="center"/>
          </w:tcPr>
          <w:p w:rsidR="00C6339E" w:rsidRPr="008A369B" w:rsidRDefault="00C6339E" w:rsidP="00D863F5">
            <w:pPr>
              <w:spacing w:after="0" w:line="240" w:lineRule="auto"/>
              <w:jc w:val="center"/>
              <w:rPr>
                <w:rFonts w:cstheme="minorHAnsi"/>
                <w:b/>
                <w:bCs/>
                <w:sz w:val="24"/>
                <w:szCs w:val="24"/>
              </w:rPr>
            </w:pPr>
            <w:r w:rsidRPr="008A369B">
              <w:rPr>
                <w:rFonts w:cstheme="minorHAnsi"/>
                <w:b/>
                <w:bCs/>
                <w:sz w:val="24"/>
                <w:szCs w:val="24"/>
              </w:rPr>
              <w:t>ISO 525</w:t>
            </w:r>
          </w:p>
        </w:tc>
      </w:tr>
      <w:tr w:rsidR="0043547B" w:rsidRPr="0043547B" w:rsidTr="00730AD3">
        <w:trPr>
          <w:trHeight w:val="381"/>
          <w:jc w:val="center"/>
        </w:trPr>
        <w:tc>
          <w:tcPr>
            <w:tcW w:w="1838" w:type="dxa"/>
            <w:tcBorders>
              <w:top w:val="single" w:sz="4" w:space="0" w:color="auto"/>
              <w:bottom w:val="single" w:sz="4" w:space="0" w:color="auto"/>
              <w:right w:val="single" w:sz="4" w:space="0" w:color="auto"/>
            </w:tcBorders>
            <w:shd w:val="clear" w:color="auto" w:fill="B8CCE4" w:themeFill="accent1" w:themeFillTint="66"/>
            <w:vAlign w:val="center"/>
          </w:tcPr>
          <w:p w:rsidR="00C6339E" w:rsidRPr="008A369B" w:rsidRDefault="00C6339E" w:rsidP="00D863F5">
            <w:pPr>
              <w:spacing w:after="0" w:line="240" w:lineRule="auto"/>
              <w:jc w:val="center"/>
              <w:rPr>
                <w:rFonts w:cstheme="minorHAnsi"/>
                <w:b/>
                <w:bCs/>
                <w:sz w:val="24"/>
                <w:szCs w:val="24"/>
              </w:rPr>
            </w:pPr>
            <w:r w:rsidRPr="008A369B">
              <w:rPr>
                <w:rFonts w:cstheme="minorHAnsi"/>
                <w:b/>
                <w:bCs/>
                <w:sz w:val="24"/>
                <w:szCs w:val="24"/>
              </w:rPr>
              <w:t>Intitulé :</w:t>
            </w:r>
          </w:p>
        </w:tc>
        <w:tc>
          <w:tcPr>
            <w:tcW w:w="7938" w:type="dxa"/>
            <w:tcBorders>
              <w:top w:val="single" w:sz="4" w:space="0" w:color="auto"/>
              <w:left w:val="single" w:sz="4" w:space="0" w:color="auto"/>
              <w:bottom w:val="single" w:sz="4" w:space="0" w:color="auto"/>
            </w:tcBorders>
            <w:shd w:val="clear" w:color="auto" w:fill="auto"/>
            <w:vAlign w:val="center"/>
          </w:tcPr>
          <w:p w:rsidR="00C6339E" w:rsidRPr="0043547B" w:rsidRDefault="00C6339E" w:rsidP="00D863F5">
            <w:pPr>
              <w:spacing w:after="0" w:line="240" w:lineRule="auto"/>
              <w:rPr>
                <w:rFonts w:cstheme="minorHAnsi"/>
                <w:sz w:val="24"/>
                <w:szCs w:val="24"/>
              </w:rPr>
            </w:pPr>
            <w:r w:rsidRPr="0043547B">
              <w:rPr>
                <w:rFonts w:cstheme="minorHAnsi"/>
                <w:sz w:val="24"/>
                <w:szCs w:val="24"/>
              </w:rPr>
              <w:t>Produits abrasifs agglomérés - Exigences générales</w:t>
            </w:r>
          </w:p>
        </w:tc>
      </w:tr>
      <w:tr w:rsidR="0043547B" w:rsidRPr="0043547B" w:rsidTr="00CB5DC0">
        <w:trPr>
          <w:trHeight w:val="615"/>
          <w:jc w:val="center"/>
        </w:trPr>
        <w:tc>
          <w:tcPr>
            <w:tcW w:w="1838" w:type="dxa"/>
            <w:tcBorders>
              <w:top w:val="single" w:sz="4" w:space="0" w:color="auto"/>
              <w:bottom w:val="single" w:sz="18" w:space="0" w:color="auto"/>
              <w:right w:val="single" w:sz="4" w:space="0" w:color="auto"/>
            </w:tcBorders>
            <w:shd w:val="clear" w:color="000000" w:fill="D9D9D9"/>
            <w:vAlign w:val="center"/>
          </w:tcPr>
          <w:p w:rsidR="00C6339E" w:rsidRPr="0043547B" w:rsidRDefault="00C6339E" w:rsidP="00D863F5">
            <w:pPr>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tcBorders>
            <w:shd w:val="clear" w:color="auto" w:fill="auto"/>
            <w:vAlign w:val="bottom"/>
          </w:tcPr>
          <w:p w:rsidR="00C6339E" w:rsidRPr="0043547B" w:rsidRDefault="00C6339E" w:rsidP="00D863F5">
            <w:pPr>
              <w:spacing w:after="0" w:line="240" w:lineRule="auto"/>
              <w:rPr>
                <w:rFonts w:cstheme="minorHAnsi"/>
                <w:sz w:val="24"/>
                <w:szCs w:val="24"/>
              </w:rPr>
            </w:pPr>
            <w:r w:rsidRPr="0043547B">
              <w:rPr>
                <w:rFonts w:cstheme="minorHAnsi"/>
                <w:sz w:val="24"/>
                <w:szCs w:val="24"/>
              </w:rPr>
              <w:t>La présente Norme internationale est applicable aux produits abrasifs agglomérés en général (par exemple: meules, segments, bâtons rodoirs et pierres à main), à l’exclusion des produits super abrasifs</w:t>
            </w:r>
            <w:r w:rsidRPr="0043547B">
              <w:rPr>
                <w:rFonts w:cstheme="minorHAnsi"/>
                <w:sz w:val="24"/>
                <w:szCs w:val="24"/>
              </w:rPr>
              <w:br/>
            </w:r>
            <w:r w:rsidRPr="0043547B">
              <w:rPr>
                <w:rFonts w:cstheme="minorHAnsi"/>
                <w:sz w:val="24"/>
                <w:szCs w:val="24"/>
              </w:rPr>
              <w:lastRenderedPageBreak/>
              <w:t>et des produits abrasifs appliqués.</w:t>
            </w:r>
            <w:r w:rsidRPr="0043547B">
              <w:rPr>
                <w:rFonts w:cstheme="minorHAnsi"/>
                <w:sz w:val="24"/>
                <w:szCs w:val="24"/>
              </w:rPr>
              <w:br/>
              <w:t>La présente Norme internationale spécifie:</w:t>
            </w:r>
            <w:r w:rsidRPr="0043547B">
              <w:rPr>
                <w:rFonts w:cstheme="minorHAnsi"/>
                <w:sz w:val="24"/>
                <w:szCs w:val="24"/>
              </w:rPr>
              <w:br/>
              <w:t>a) le numéro de type ISO et la forme;</w:t>
            </w:r>
            <w:r w:rsidRPr="0043547B">
              <w:rPr>
                <w:rFonts w:cstheme="minorHAnsi"/>
                <w:sz w:val="24"/>
                <w:szCs w:val="24"/>
              </w:rPr>
              <w:br/>
              <w:t>b) les symboles dimensionnels;</w:t>
            </w:r>
            <w:r w:rsidRPr="0043547B">
              <w:rPr>
                <w:rFonts w:cstheme="minorHAnsi"/>
                <w:sz w:val="24"/>
                <w:szCs w:val="24"/>
              </w:rPr>
              <w:br/>
              <w:t>c) les profils normalisés;</w:t>
            </w:r>
            <w:r w:rsidRPr="0043547B">
              <w:rPr>
                <w:rFonts w:cstheme="minorHAnsi"/>
                <w:sz w:val="24"/>
                <w:szCs w:val="24"/>
              </w:rPr>
              <w:br/>
              <w:t>d) les exigences de dimensions, les écarts limites et les tolérances aussi bien que le balourd admissible;</w:t>
            </w:r>
            <w:r w:rsidRPr="0043547B">
              <w:rPr>
                <w:rFonts w:cstheme="minorHAnsi"/>
                <w:sz w:val="24"/>
                <w:szCs w:val="24"/>
              </w:rPr>
              <w:br/>
              <w:t>e) la marque de spécification;</w:t>
            </w:r>
            <w:r w:rsidRPr="0043547B">
              <w:rPr>
                <w:rFonts w:cstheme="minorHAnsi"/>
                <w:sz w:val="24"/>
                <w:szCs w:val="24"/>
              </w:rPr>
              <w:br/>
              <w:t>f) les exigences de marquage.</w:t>
            </w:r>
            <w:r w:rsidRPr="0043547B">
              <w:rPr>
                <w:rFonts w:cstheme="minorHAnsi"/>
                <w:sz w:val="24"/>
                <w:szCs w:val="24"/>
              </w:rPr>
              <w:br/>
            </w:r>
            <w:r w:rsidRPr="00730AD3">
              <w:rPr>
                <w:rFonts w:cstheme="minorHAnsi"/>
                <w:b/>
                <w:bCs/>
                <w:i/>
                <w:iCs/>
              </w:rPr>
              <w:t>NOTE</w:t>
            </w:r>
            <w:r w:rsidR="00730AD3" w:rsidRPr="00730AD3">
              <w:rPr>
                <w:rFonts w:cstheme="minorHAnsi"/>
                <w:b/>
                <w:bCs/>
                <w:i/>
                <w:iCs/>
              </w:rPr>
              <w:t> :</w:t>
            </w:r>
            <w:r w:rsidR="00730AD3" w:rsidRPr="00730AD3">
              <w:rPr>
                <w:rFonts w:cstheme="minorHAnsi"/>
                <w:i/>
                <w:iCs/>
              </w:rPr>
              <w:t xml:space="preserve"> </w:t>
            </w:r>
            <w:r w:rsidRPr="00730AD3">
              <w:rPr>
                <w:rFonts w:cstheme="minorHAnsi"/>
                <w:i/>
                <w:iCs/>
              </w:rPr>
              <w:t>La présente Norme internationale traite des généralités et elle est complétée par la série ISO 603, l’ISO 6103 et l’ISO 13942.</w:t>
            </w:r>
          </w:p>
        </w:tc>
      </w:tr>
      <w:tr w:rsidR="0043547B" w:rsidRPr="0043547B" w:rsidTr="00CB5DC0">
        <w:trPr>
          <w:trHeight w:val="400"/>
          <w:jc w:val="center"/>
        </w:trPr>
        <w:tc>
          <w:tcPr>
            <w:tcW w:w="1838" w:type="dxa"/>
            <w:tcBorders>
              <w:bottom w:val="single" w:sz="18" w:space="0" w:color="auto"/>
              <w:right w:val="single" w:sz="4" w:space="0" w:color="auto"/>
            </w:tcBorders>
            <w:shd w:val="clear" w:color="auto" w:fill="C2D69B" w:themeFill="accent3" w:themeFillTint="99"/>
            <w:vAlign w:val="center"/>
          </w:tcPr>
          <w:p w:rsidR="00C6339E" w:rsidRPr="0043547B" w:rsidRDefault="00C6339E" w:rsidP="00730AD3">
            <w:pPr>
              <w:spacing w:after="0" w:line="240" w:lineRule="auto"/>
              <w:jc w:val="center"/>
              <w:rPr>
                <w:rFonts w:cstheme="minorHAnsi"/>
                <w:b/>
                <w:bCs/>
                <w:sz w:val="24"/>
                <w:szCs w:val="24"/>
              </w:rPr>
            </w:pPr>
            <w:r w:rsidRPr="0043547B">
              <w:rPr>
                <w:rFonts w:cstheme="minorHAnsi"/>
                <w:b/>
                <w:bCs/>
                <w:sz w:val="24"/>
                <w:szCs w:val="24"/>
              </w:rPr>
              <w:lastRenderedPageBreak/>
              <w:t>Code :</w:t>
            </w:r>
          </w:p>
        </w:tc>
        <w:tc>
          <w:tcPr>
            <w:tcW w:w="7938" w:type="dxa"/>
            <w:tcBorders>
              <w:left w:val="single" w:sz="4" w:space="0" w:color="auto"/>
              <w:bottom w:val="single" w:sz="18" w:space="0" w:color="auto"/>
            </w:tcBorders>
            <w:shd w:val="clear" w:color="auto" w:fill="C2D69B" w:themeFill="accent3" w:themeFillTint="99"/>
            <w:vAlign w:val="center"/>
          </w:tcPr>
          <w:p w:rsidR="00C6339E" w:rsidRPr="008A369B" w:rsidRDefault="00160B21" w:rsidP="00D863F5">
            <w:pPr>
              <w:spacing w:after="0" w:line="240" w:lineRule="auto"/>
              <w:jc w:val="center"/>
              <w:rPr>
                <w:rFonts w:cstheme="minorHAnsi"/>
                <w:b/>
                <w:bCs/>
                <w:sz w:val="24"/>
                <w:szCs w:val="24"/>
              </w:rPr>
            </w:pPr>
            <w:r w:rsidRPr="008A369B">
              <w:rPr>
                <w:rFonts w:cstheme="minorHAnsi"/>
                <w:b/>
                <w:bCs/>
                <w:sz w:val="24"/>
                <w:szCs w:val="24"/>
              </w:rPr>
              <w:t xml:space="preserve">NM </w:t>
            </w:r>
            <w:r w:rsidR="00C6339E" w:rsidRPr="008A369B">
              <w:rPr>
                <w:rFonts w:cstheme="minorHAnsi"/>
                <w:b/>
                <w:bCs/>
                <w:sz w:val="24"/>
                <w:szCs w:val="24"/>
              </w:rPr>
              <w:t>ISO 6103</w:t>
            </w:r>
          </w:p>
        </w:tc>
      </w:tr>
      <w:tr w:rsidR="0043547B" w:rsidRPr="0043547B" w:rsidTr="00730AD3">
        <w:trPr>
          <w:trHeight w:val="451"/>
          <w:jc w:val="center"/>
        </w:trPr>
        <w:tc>
          <w:tcPr>
            <w:tcW w:w="1838" w:type="dxa"/>
            <w:tcBorders>
              <w:top w:val="single" w:sz="18" w:space="0" w:color="auto"/>
              <w:bottom w:val="single" w:sz="4" w:space="0" w:color="auto"/>
              <w:right w:val="single" w:sz="4" w:space="0" w:color="auto"/>
            </w:tcBorders>
            <w:shd w:val="clear" w:color="auto" w:fill="FDFBA9"/>
            <w:vAlign w:val="center"/>
          </w:tcPr>
          <w:p w:rsidR="00C6339E" w:rsidRPr="0043547B" w:rsidRDefault="00C6339E" w:rsidP="00D863F5">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tcBorders>
            <w:shd w:val="clear" w:color="auto" w:fill="FDFBA9"/>
            <w:vAlign w:val="center"/>
          </w:tcPr>
          <w:p w:rsidR="00C6339E" w:rsidRPr="008A369B" w:rsidRDefault="00C6339E" w:rsidP="00D863F5">
            <w:pPr>
              <w:spacing w:after="0" w:line="240" w:lineRule="auto"/>
              <w:jc w:val="center"/>
              <w:rPr>
                <w:rFonts w:cstheme="minorHAnsi"/>
                <w:b/>
                <w:bCs/>
                <w:sz w:val="24"/>
                <w:szCs w:val="24"/>
              </w:rPr>
            </w:pPr>
            <w:r w:rsidRPr="008A369B">
              <w:rPr>
                <w:rFonts w:cstheme="minorHAnsi"/>
                <w:b/>
                <w:bCs/>
                <w:sz w:val="24"/>
                <w:szCs w:val="24"/>
              </w:rPr>
              <w:t>ISO 6103</w:t>
            </w:r>
          </w:p>
        </w:tc>
      </w:tr>
      <w:tr w:rsidR="0043547B" w:rsidRPr="0043547B" w:rsidTr="00730AD3">
        <w:trPr>
          <w:trHeight w:val="615"/>
          <w:jc w:val="center"/>
        </w:trPr>
        <w:tc>
          <w:tcPr>
            <w:tcW w:w="1838" w:type="dxa"/>
            <w:tcBorders>
              <w:top w:val="single" w:sz="4" w:space="0" w:color="auto"/>
              <w:bottom w:val="single" w:sz="4" w:space="0" w:color="auto"/>
              <w:right w:val="single" w:sz="4" w:space="0" w:color="auto"/>
            </w:tcBorders>
            <w:shd w:val="clear" w:color="auto" w:fill="B8CCE4" w:themeFill="accent1" w:themeFillTint="66"/>
            <w:vAlign w:val="center"/>
          </w:tcPr>
          <w:p w:rsidR="00C6339E" w:rsidRPr="0043547B" w:rsidRDefault="00C6339E" w:rsidP="000A4A0B">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tcBorders>
            <w:shd w:val="clear" w:color="auto" w:fill="auto"/>
            <w:vAlign w:val="bottom"/>
          </w:tcPr>
          <w:p w:rsidR="00C6339E" w:rsidRPr="0043547B" w:rsidRDefault="00C6339E" w:rsidP="00D863F5">
            <w:pPr>
              <w:spacing w:after="0" w:line="240" w:lineRule="auto"/>
              <w:rPr>
                <w:rFonts w:cstheme="minorHAnsi"/>
                <w:sz w:val="24"/>
                <w:szCs w:val="24"/>
              </w:rPr>
            </w:pPr>
            <w:r w:rsidRPr="0043547B">
              <w:rPr>
                <w:rFonts w:cstheme="minorHAnsi"/>
                <w:sz w:val="24"/>
                <w:szCs w:val="24"/>
              </w:rPr>
              <w:t>Produits abrasifs agglomérés - Déséquilibre admissible des meules en état de livraison - Contrôle </w:t>
            </w:r>
          </w:p>
        </w:tc>
      </w:tr>
      <w:tr w:rsidR="0043547B" w:rsidRPr="0043547B" w:rsidTr="00CB5DC0">
        <w:trPr>
          <w:trHeight w:val="615"/>
          <w:jc w:val="center"/>
        </w:trPr>
        <w:tc>
          <w:tcPr>
            <w:tcW w:w="1838" w:type="dxa"/>
            <w:tcBorders>
              <w:top w:val="single" w:sz="4" w:space="0" w:color="auto"/>
              <w:bottom w:val="single" w:sz="18" w:space="0" w:color="auto"/>
              <w:right w:val="single" w:sz="4" w:space="0" w:color="auto"/>
            </w:tcBorders>
            <w:shd w:val="clear" w:color="000000" w:fill="D9D9D9"/>
            <w:vAlign w:val="center"/>
          </w:tcPr>
          <w:p w:rsidR="00C6339E" w:rsidRPr="0043547B" w:rsidRDefault="00C6339E" w:rsidP="000A4A0B">
            <w:pPr>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tcBorders>
            <w:shd w:val="clear" w:color="auto" w:fill="auto"/>
            <w:vAlign w:val="bottom"/>
          </w:tcPr>
          <w:p w:rsidR="00730AD3" w:rsidRDefault="00C6339E" w:rsidP="00730AD3">
            <w:pPr>
              <w:spacing w:after="0" w:line="240" w:lineRule="auto"/>
              <w:jc w:val="both"/>
              <w:rPr>
                <w:rFonts w:cstheme="minorHAnsi"/>
                <w:sz w:val="24"/>
                <w:szCs w:val="24"/>
              </w:rPr>
            </w:pPr>
            <w:r w:rsidRPr="0043547B">
              <w:rPr>
                <w:rFonts w:cstheme="minorHAnsi"/>
                <w:sz w:val="24"/>
                <w:szCs w:val="24"/>
              </w:rPr>
              <w:t>La présente Norme internationale spécifie les valeurs maximales admissibles des balourds pour les meules à base d’abrasif aggloméré de diamètre extérieur D ≥ 125 mm et de vitesse maximale de</w:t>
            </w:r>
            <w:r w:rsidR="00730AD3">
              <w:rPr>
                <w:rFonts w:cstheme="minorHAnsi"/>
                <w:sz w:val="24"/>
                <w:szCs w:val="24"/>
              </w:rPr>
              <w:t xml:space="preserve"> </w:t>
            </w:r>
            <w:r w:rsidRPr="0043547B">
              <w:rPr>
                <w:rFonts w:cstheme="minorHAnsi"/>
                <w:sz w:val="24"/>
                <w:szCs w:val="24"/>
              </w:rPr>
              <w:t>fonctionnement vs ≥ 16 m/s, dans l’état de livraison.</w:t>
            </w:r>
            <w:r w:rsidRPr="0043547B">
              <w:rPr>
                <w:rFonts w:cstheme="minorHAnsi"/>
                <w:sz w:val="24"/>
                <w:szCs w:val="24"/>
              </w:rPr>
              <w:br/>
              <w:t>Elle spécifie également la méthode de mesurage du balourd et la méthode pratique pour vérifier si une meule est acceptable ou non.</w:t>
            </w:r>
          </w:p>
          <w:p w:rsidR="00730AD3" w:rsidRDefault="00C6339E" w:rsidP="00730AD3">
            <w:pPr>
              <w:spacing w:after="0" w:line="240" w:lineRule="auto"/>
              <w:jc w:val="both"/>
              <w:rPr>
                <w:rFonts w:cstheme="minorHAnsi"/>
                <w:sz w:val="24"/>
                <w:szCs w:val="24"/>
              </w:rPr>
            </w:pPr>
            <w:r w:rsidRPr="0043547B">
              <w:rPr>
                <w:rFonts w:cstheme="minorHAnsi"/>
                <w:sz w:val="24"/>
                <w:szCs w:val="24"/>
              </w:rPr>
              <w:t>La présente Norme internationale est applicable aux meules à base d’abrasif aggloméré dans l’état de livraison.</w:t>
            </w:r>
          </w:p>
          <w:p w:rsidR="00730AD3" w:rsidRDefault="00C6339E" w:rsidP="00730AD3">
            <w:pPr>
              <w:spacing w:after="0" w:line="240" w:lineRule="auto"/>
              <w:jc w:val="both"/>
              <w:rPr>
                <w:rFonts w:cstheme="minorHAnsi"/>
                <w:sz w:val="24"/>
                <w:szCs w:val="24"/>
              </w:rPr>
            </w:pPr>
            <w:r w:rsidRPr="0043547B">
              <w:rPr>
                <w:rFonts w:cstheme="minorHAnsi"/>
                <w:sz w:val="24"/>
                <w:szCs w:val="24"/>
              </w:rPr>
              <w:t>La présente Norme internationale n’est pas applicable</w:t>
            </w:r>
            <w:r w:rsidR="00730AD3">
              <w:rPr>
                <w:rFonts w:cstheme="minorHAnsi"/>
                <w:sz w:val="24"/>
                <w:szCs w:val="24"/>
              </w:rPr>
              <w:t xml:space="preserve"> </w:t>
            </w:r>
            <w:r w:rsidRPr="0043547B">
              <w:rPr>
                <w:rFonts w:cstheme="minorHAnsi"/>
                <w:sz w:val="24"/>
                <w:szCs w:val="24"/>
              </w:rPr>
              <w:t>:</w:t>
            </w:r>
          </w:p>
          <w:p w:rsidR="00730AD3" w:rsidRDefault="00C6339E" w:rsidP="00730AD3">
            <w:pPr>
              <w:spacing w:after="0" w:line="240" w:lineRule="auto"/>
              <w:jc w:val="both"/>
              <w:rPr>
                <w:rFonts w:cstheme="minorHAnsi"/>
                <w:sz w:val="24"/>
                <w:szCs w:val="24"/>
              </w:rPr>
            </w:pPr>
            <w:r w:rsidRPr="0043547B">
              <w:rPr>
                <w:rFonts w:cstheme="minorHAnsi"/>
                <w:sz w:val="24"/>
                <w:szCs w:val="24"/>
              </w:rPr>
              <w:t>— aux meules à base de diamant, de nitrure de bore cubique, ou en pierre naturelle, ou</w:t>
            </w:r>
          </w:p>
          <w:p w:rsidR="00730AD3" w:rsidRDefault="00C6339E" w:rsidP="00730AD3">
            <w:pPr>
              <w:spacing w:after="0" w:line="240" w:lineRule="auto"/>
              <w:jc w:val="both"/>
              <w:rPr>
                <w:rFonts w:cstheme="minorHAnsi"/>
                <w:sz w:val="24"/>
                <w:szCs w:val="24"/>
              </w:rPr>
            </w:pPr>
            <w:r w:rsidRPr="0043547B">
              <w:rPr>
                <w:rFonts w:cstheme="minorHAnsi"/>
                <w:sz w:val="24"/>
                <w:szCs w:val="24"/>
              </w:rPr>
              <w:t>— aux meules d’entraînement sans centre, aux disques et lapidaires de rodage, aux meules à billes ou aux meules pour le travail du verre.</w:t>
            </w:r>
          </w:p>
          <w:p w:rsidR="00730AD3" w:rsidRPr="00730AD3" w:rsidRDefault="00C6339E" w:rsidP="00730AD3">
            <w:pPr>
              <w:spacing w:after="0" w:line="240" w:lineRule="auto"/>
              <w:jc w:val="both"/>
              <w:rPr>
                <w:rFonts w:cstheme="minorHAnsi"/>
                <w:i/>
                <w:iCs/>
              </w:rPr>
            </w:pPr>
            <w:r w:rsidRPr="00730AD3">
              <w:rPr>
                <w:rFonts w:cstheme="minorHAnsi"/>
                <w:b/>
                <w:bCs/>
                <w:i/>
                <w:iCs/>
              </w:rPr>
              <w:t>NOTE 1</w:t>
            </w:r>
            <w:r w:rsidR="00730AD3">
              <w:rPr>
                <w:rFonts w:cstheme="minorHAnsi"/>
                <w:i/>
                <w:iCs/>
              </w:rPr>
              <w:t> :</w:t>
            </w:r>
            <w:r w:rsidR="000A4A0B" w:rsidRPr="00730AD3">
              <w:rPr>
                <w:rFonts w:cstheme="minorHAnsi"/>
                <w:i/>
                <w:iCs/>
              </w:rPr>
              <w:t xml:space="preserve"> </w:t>
            </w:r>
            <w:r w:rsidRPr="00730AD3">
              <w:rPr>
                <w:rFonts w:cstheme="minorHAnsi"/>
                <w:i/>
                <w:iCs/>
              </w:rPr>
              <w:t>Les valeurs données se réfèrent à la meule elle-même, indépendamment du balourd pouvant exister dans l’arbre d’équilibrage ou dans le mode de fixation à cet arbre. Ces divers éléments ainsi que les flasques ou moyeux flasques sont supposés être équilibrés, homogènes et sans défauts géométriques.</w:t>
            </w:r>
          </w:p>
          <w:p w:rsidR="00730AD3" w:rsidRPr="00730AD3" w:rsidRDefault="00C6339E" w:rsidP="00730AD3">
            <w:pPr>
              <w:spacing w:after="0" w:line="240" w:lineRule="auto"/>
              <w:jc w:val="both"/>
              <w:rPr>
                <w:rFonts w:cstheme="minorHAnsi"/>
                <w:i/>
                <w:iCs/>
              </w:rPr>
            </w:pPr>
            <w:r w:rsidRPr="00730AD3">
              <w:rPr>
                <w:rFonts w:cstheme="minorHAnsi"/>
                <w:b/>
                <w:bCs/>
                <w:i/>
                <w:iCs/>
              </w:rPr>
              <w:t>NOTE 2</w:t>
            </w:r>
            <w:r w:rsidR="00730AD3">
              <w:rPr>
                <w:rFonts w:cstheme="minorHAnsi"/>
                <w:i/>
                <w:iCs/>
              </w:rPr>
              <w:t> :</w:t>
            </w:r>
            <w:r w:rsidR="000A4A0B" w:rsidRPr="00730AD3">
              <w:rPr>
                <w:rFonts w:cstheme="minorHAnsi"/>
                <w:i/>
                <w:iCs/>
              </w:rPr>
              <w:t xml:space="preserve"> </w:t>
            </w:r>
            <w:r w:rsidRPr="00730AD3">
              <w:rPr>
                <w:rFonts w:cstheme="minorHAnsi"/>
                <w:i/>
                <w:iCs/>
              </w:rPr>
              <w:t>Les effets du balourd sont essentiellement :</w:t>
            </w:r>
          </w:p>
          <w:p w:rsidR="00730AD3" w:rsidRPr="00730AD3" w:rsidRDefault="00C6339E" w:rsidP="00730AD3">
            <w:pPr>
              <w:spacing w:after="0" w:line="240" w:lineRule="auto"/>
              <w:jc w:val="both"/>
              <w:rPr>
                <w:rFonts w:cstheme="minorHAnsi"/>
                <w:i/>
                <w:iCs/>
              </w:rPr>
            </w:pPr>
            <w:r w:rsidRPr="00730AD3">
              <w:rPr>
                <w:rFonts w:cstheme="minorHAnsi"/>
                <w:i/>
                <w:iCs/>
              </w:rPr>
              <w:t>— des contraintes supplémentaires sur l’arbre, la machine et son support,</w:t>
            </w:r>
          </w:p>
          <w:p w:rsidR="00730AD3" w:rsidRPr="00730AD3" w:rsidRDefault="00C6339E" w:rsidP="00730AD3">
            <w:pPr>
              <w:spacing w:after="0" w:line="240" w:lineRule="auto"/>
              <w:jc w:val="both"/>
              <w:rPr>
                <w:rFonts w:cstheme="minorHAnsi"/>
                <w:i/>
                <w:iCs/>
              </w:rPr>
            </w:pPr>
            <w:r w:rsidRPr="00730AD3">
              <w:rPr>
                <w:rFonts w:cstheme="minorHAnsi"/>
                <w:i/>
                <w:iCs/>
              </w:rPr>
              <w:t>— une usure anormale des paliers,</w:t>
            </w:r>
          </w:p>
          <w:p w:rsidR="00C6339E" w:rsidRPr="0043547B" w:rsidRDefault="00C6339E" w:rsidP="00730AD3">
            <w:pPr>
              <w:spacing w:after="0" w:line="240" w:lineRule="auto"/>
              <w:jc w:val="both"/>
              <w:rPr>
                <w:rFonts w:cstheme="minorHAnsi"/>
                <w:sz w:val="24"/>
                <w:szCs w:val="24"/>
              </w:rPr>
            </w:pPr>
            <w:r w:rsidRPr="00730AD3">
              <w:rPr>
                <w:rFonts w:cstheme="minorHAnsi"/>
                <w:i/>
                <w:iCs/>
              </w:rPr>
              <w:t>— des vibrations nuisant à la qualité d’usinage et provoquant un accroissement des contraintes internes de la meule, et une fatigue accrue pour l’utilisateur</w:t>
            </w:r>
            <w:r w:rsidRPr="0043547B">
              <w:rPr>
                <w:rFonts w:cstheme="minorHAnsi"/>
                <w:i/>
                <w:iCs/>
                <w:sz w:val="24"/>
                <w:szCs w:val="24"/>
              </w:rPr>
              <w:t>.</w:t>
            </w:r>
          </w:p>
        </w:tc>
      </w:tr>
      <w:tr w:rsidR="0043547B" w:rsidRPr="0043547B" w:rsidTr="00CB5DC0">
        <w:trPr>
          <w:trHeight w:val="287"/>
          <w:jc w:val="center"/>
        </w:trPr>
        <w:tc>
          <w:tcPr>
            <w:tcW w:w="1838" w:type="dxa"/>
            <w:tcBorders>
              <w:bottom w:val="single" w:sz="18" w:space="0" w:color="auto"/>
              <w:right w:val="single" w:sz="4" w:space="0" w:color="auto"/>
            </w:tcBorders>
            <w:shd w:val="clear" w:color="auto" w:fill="C2D69B" w:themeFill="accent3" w:themeFillTint="99"/>
            <w:vAlign w:val="center"/>
          </w:tcPr>
          <w:p w:rsidR="00C6339E" w:rsidRPr="0043547B" w:rsidRDefault="00C6339E" w:rsidP="00730AD3">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left w:val="single" w:sz="4" w:space="0" w:color="auto"/>
              <w:bottom w:val="single" w:sz="18" w:space="0" w:color="auto"/>
            </w:tcBorders>
            <w:shd w:val="clear" w:color="auto" w:fill="C2D69B" w:themeFill="accent3" w:themeFillTint="99"/>
            <w:vAlign w:val="center"/>
          </w:tcPr>
          <w:p w:rsidR="00C6339E" w:rsidRPr="0043547B" w:rsidRDefault="00160B21" w:rsidP="00730AD3">
            <w:pPr>
              <w:spacing w:after="0" w:line="240" w:lineRule="auto"/>
              <w:jc w:val="center"/>
              <w:rPr>
                <w:rFonts w:cstheme="minorHAnsi"/>
                <w:b/>
                <w:bCs/>
                <w:sz w:val="24"/>
                <w:szCs w:val="24"/>
              </w:rPr>
            </w:pPr>
            <w:r w:rsidRPr="0043547B">
              <w:rPr>
                <w:rFonts w:cstheme="minorHAnsi"/>
                <w:b/>
                <w:bCs/>
                <w:sz w:val="24"/>
                <w:szCs w:val="24"/>
              </w:rPr>
              <w:t xml:space="preserve">NM </w:t>
            </w:r>
            <w:r w:rsidR="00C6339E" w:rsidRPr="0043547B">
              <w:rPr>
                <w:rFonts w:cstheme="minorHAnsi"/>
                <w:b/>
                <w:bCs/>
                <w:sz w:val="24"/>
                <w:szCs w:val="24"/>
              </w:rPr>
              <w:t>ISO 2553</w:t>
            </w:r>
          </w:p>
        </w:tc>
      </w:tr>
      <w:tr w:rsidR="0043547B" w:rsidRPr="0043547B" w:rsidTr="00730AD3">
        <w:trPr>
          <w:trHeight w:val="383"/>
          <w:jc w:val="center"/>
        </w:trPr>
        <w:tc>
          <w:tcPr>
            <w:tcW w:w="1838" w:type="dxa"/>
            <w:tcBorders>
              <w:top w:val="single" w:sz="18" w:space="0" w:color="auto"/>
              <w:bottom w:val="single" w:sz="4" w:space="0" w:color="auto"/>
              <w:right w:val="single" w:sz="4" w:space="0" w:color="auto"/>
            </w:tcBorders>
            <w:shd w:val="clear" w:color="auto" w:fill="FDFBA9"/>
            <w:vAlign w:val="center"/>
          </w:tcPr>
          <w:p w:rsidR="00C6339E" w:rsidRPr="0043547B" w:rsidRDefault="00C6339E" w:rsidP="000A4A0B">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tcBorders>
            <w:shd w:val="clear" w:color="auto" w:fill="FDFBA9"/>
            <w:vAlign w:val="center"/>
          </w:tcPr>
          <w:p w:rsidR="00C6339E" w:rsidRPr="0043547B" w:rsidRDefault="00C6339E" w:rsidP="000A4A0B">
            <w:pPr>
              <w:spacing w:after="0" w:line="240" w:lineRule="auto"/>
              <w:jc w:val="center"/>
              <w:rPr>
                <w:rFonts w:cstheme="minorHAnsi"/>
                <w:b/>
                <w:bCs/>
                <w:sz w:val="24"/>
                <w:szCs w:val="24"/>
              </w:rPr>
            </w:pPr>
            <w:r w:rsidRPr="0043547B">
              <w:rPr>
                <w:rFonts w:cstheme="minorHAnsi"/>
                <w:b/>
                <w:bCs/>
                <w:sz w:val="24"/>
                <w:szCs w:val="24"/>
              </w:rPr>
              <w:t>ISO 2553</w:t>
            </w:r>
          </w:p>
        </w:tc>
      </w:tr>
      <w:tr w:rsidR="0043547B" w:rsidRPr="0043547B" w:rsidTr="00730AD3">
        <w:trPr>
          <w:trHeight w:val="361"/>
          <w:jc w:val="center"/>
        </w:trPr>
        <w:tc>
          <w:tcPr>
            <w:tcW w:w="1838" w:type="dxa"/>
            <w:tcBorders>
              <w:top w:val="single" w:sz="4" w:space="0" w:color="auto"/>
              <w:bottom w:val="single" w:sz="4" w:space="0" w:color="auto"/>
              <w:right w:val="single" w:sz="4" w:space="0" w:color="auto"/>
            </w:tcBorders>
            <w:shd w:val="clear" w:color="auto" w:fill="95B3D7" w:themeFill="accent1" w:themeFillTint="99"/>
            <w:vAlign w:val="center"/>
          </w:tcPr>
          <w:p w:rsidR="00C6339E" w:rsidRPr="0043547B" w:rsidRDefault="00C6339E" w:rsidP="000A4A0B">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tcBorders>
            <w:shd w:val="clear" w:color="auto" w:fill="auto"/>
            <w:vAlign w:val="bottom"/>
          </w:tcPr>
          <w:p w:rsidR="00C6339E" w:rsidRPr="0043547B" w:rsidRDefault="00C6339E" w:rsidP="000A4A0B">
            <w:pPr>
              <w:spacing w:after="0" w:line="240" w:lineRule="auto"/>
              <w:rPr>
                <w:rFonts w:cstheme="minorHAnsi"/>
                <w:sz w:val="24"/>
                <w:szCs w:val="24"/>
              </w:rPr>
            </w:pPr>
            <w:r w:rsidRPr="0043547B">
              <w:rPr>
                <w:rFonts w:cstheme="minorHAnsi"/>
                <w:sz w:val="24"/>
                <w:szCs w:val="24"/>
              </w:rPr>
              <w:t xml:space="preserve">Joints soudés et brasés – Représentations symboliques sur les dessins </w:t>
            </w:r>
          </w:p>
        </w:tc>
      </w:tr>
      <w:tr w:rsidR="0043547B" w:rsidRPr="0043547B" w:rsidTr="00CB5DC0">
        <w:trPr>
          <w:trHeight w:val="615"/>
          <w:jc w:val="center"/>
        </w:trPr>
        <w:tc>
          <w:tcPr>
            <w:tcW w:w="1838" w:type="dxa"/>
            <w:tcBorders>
              <w:top w:val="single" w:sz="4" w:space="0" w:color="auto"/>
              <w:bottom w:val="single" w:sz="18" w:space="0" w:color="auto"/>
              <w:right w:val="single" w:sz="4" w:space="0" w:color="auto"/>
            </w:tcBorders>
            <w:shd w:val="clear" w:color="000000" w:fill="D9D9D9"/>
            <w:vAlign w:val="center"/>
          </w:tcPr>
          <w:p w:rsidR="00C6339E" w:rsidRPr="0043547B" w:rsidRDefault="00C6339E" w:rsidP="000A4A0B">
            <w:pPr>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tcBorders>
            <w:shd w:val="clear" w:color="auto" w:fill="auto"/>
            <w:vAlign w:val="bottom"/>
          </w:tcPr>
          <w:p w:rsidR="00730AD3" w:rsidRDefault="00C6339E" w:rsidP="00730AD3">
            <w:pPr>
              <w:spacing w:after="0" w:line="240" w:lineRule="auto"/>
              <w:jc w:val="both"/>
              <w:rPr>
                <w:rFonts w:cstheme="minorHAnsi"/>
                <w:sz w:val="24"/>
                <w:szCs w:val="24"/>
              </w:rPr>
            </w:pPr>
            <w:r w:rsidRPr="0043547B">
              <w:rPr>
                <w:rFonts w:cstheme="minorHAnsi"/>
                <w:sz w:val="24"/>
                <w:szCs w:val="24"/>
              </w:rPr>
              <w:t>La présente Norme internationale définit les règles à suivre pour représenter symboliquement les joints soudés sur les dessins techniques. Cela peut inclure des informations sur la géométrie, la fabrication, la</w:t>
            </w:r>
            <w:r w:rsidR="003F409D">
              <w:rPr>
                <w:rFonts w:cstheme="minorHAnsi"/>
                <w:sz w:val="24"/>
                <w:szCs w:val="24"/>
              </w:rPr>
              <w:t xml:space="preserve"> </w:t>
            </w:r>
            <w:r w:rsidRPr="0043547B">
              <w:rPr>
                <w:rFonts w:cstheme="minorHAnsi"/>
                <w:sz w:val="24"/>
                <w:szCs w:val="24"/>
              </w:rPr>
              <w:t>qualité et les essais des soudures. Les principes de la présente Norme internationale peuvent également être appliqués aux joints soudés et brasés.</w:t>
            </w:r>
          </w:p>
          <w:p w:rsidR="00730AD3" w:rsidRDefault="00C6339E" w:rsidP="00730AD3">
            <w:pPr>
              <w:spacing w:after="0" w:line="240" w:lineRule="auto"/>
              <w:jc w:val="both"/>
              <w:rPr>
                <w:rFonts w:cstheme="minorHAnsi"/>
                <w:sz w:val="24"/>
                <w:szCs w:val="24"/>
              </w:rPr>
            </w:pPr>
            <w:r w:rsidRPr="0043547B">
              <w:rPr>
                <w:rFonts w:cstheme="minorHAnsi"/>
                <w:sz w:val="24"/>
                <w:szCs w:val="24"/>
              </w:rPr>
              <w:t>La présente Norme internationale reconnaît qu’il existe deux méthodes différentes sur le marché mondial pour désigner le côté ligne repère et le côté opposé à la ligne repère sur les dessins. Il convient</w:t>
            </w:r>
            <w:r w:rsidR="003F409D">
              <w:rPr>
                <w:rFonts w:cstheme="minorHAnsi"/>
                <w:sz w:val="24"/>
                <w:szCs w:val="24"/>
              </w:rPr>
              <w:t xml:space="preserve"> </w:t>
            </w:r>
            <w:r w:rsidRPr="0043547B">
              <w:rPr>
                <w:rFonts w:cstheme="minorHAnsi"/>
                <w:sz w:val="24"/>
                <w:szCs w:val="24"/>
              </w:rPr>
              <w:t>de noter que</w:t>
            </w:r>
            <w:r w:rsidR="00730AD3">
              <w:rPr>
                <w:rFonts w:cstheme="minorHAnsi"/>
                <w:sz w:val="24"/>
                <w:szCs w:val="24"/>
              </w:rPr>
              <w:t xml:space="preserve"> </w:t>
            </w:r>
            <w:r w:rsidRPr="0043547B">
              <w:rPr>
                <w:rFonts w:cstheme="minorHAnsi"/>
                <w:sz w:val="24"/>
                <w:szCs w:val="24"/>
              </w:rPr>
              <w:t>:</w:t>
            </w:r>
          </w:p>
          <w:p w:rsidR="00730AD3" w:rsidRDefault="00C6339E" w:rsidP="00730AD3">
            <w:pPr>
              <w:spacing w:after="0" w:line="240" w:lineRule="auto"/>
              <w:jc w:val="both"/>
              <w:rPr>
                <w:rFonts w:cstheme="minorHAnsi"/>
                <w:sz w:val="24"/>
                <w:szCs w:val="24"/>
              </w:rPr>
            </w:pPr>
            <w:r w:rsidRPr="0043547B">
              <w:rPr>
                <w:rFonts w:cstheme="minorHAnsi"/>
                <w:sz w:val="24"/>
                <w:szCs w:val="24"/>
              </w:rPr>
              <w:lastRenderedPageBreak/>
              <w:t>— les articles, tableaux et figures qui portent le suffixe «A» sont applicables uniquement au système de représentation symbolique fondé sur un double trait de référence</w:t>
            </w:r>
            <w:r w:rsidR="00730AD3">
              <w:rPr>
                <w:rFonts w:cstheme="minorHAnsi"/>
                <w:sz w:val="24"/>
                <w:szCs w:val="24"/>
              </w:rPr>
              <w:t xml:space="preserve"> </w:t>
            </w:r>
            <w:r w:rsidRPr="0043547B">
              <w:rPr>
                <w:rFonts w:cstheme="minorHAnsi"/>
                <w:sz w:val="24"/>
                <w:szCs w:val="24"/>
              </w:rPr>
              <w:t>;</w:t>
            </w:r>
          </w:p>
          <w:p w:rsidR="00730AD3" w:rsidRDefault="00C6339E" w:rsidP="00730AD3">
            <w:pPr>
              <w:spacing w:after="0" w:line="240" w:lineRule="auto"/>
              <w:jc w:val="both"/>
              <w:rPr>
                <w:rFonts w:cstheme="minorHAnsi"/>
                <w:sz w:val="24"/>
                <w:szCs w:val="24"/>
              </w:rPr>
            </w:pPr>
            <w:r w:rsidRPr="0043547B">
              <w:rPr>
                <w:rFonts w:cstheme="minorHAnsi"/>
                <w:sz w:val="24"/>
                <w:szCs w:val="24"/>
              </w:rPr>
              <w:t>— les articles, tableaux et figures qui portent le suffixe «B» sont applicables uniquement au système de représentation symbolique fondé sur un trait de référence simple</w:t>
            </w:r>
            <w:r w:rsidR="00730AD3">
              <w:rPr>
                <w:rFonts w:cstheme="minorHAnsi"/>
                <w:sz w:val="24"/>
                <w:szCs w:val="24"/>
              </w:rPr>
              <w:t xml:space="preserve"> </w:t>
            </w:r>
            <w:r w:rsidRPr="0043547B">
              <w:rPr>
                <w:rFonts w:cstheme="minorHAnsi"/>
                <w:sz w:val="24"/>
                <w:szCs w:val="24"/>
              </w:rPr>
              <w:t>;</w:t>
            </w:r>
          </w:p>
          <w:p w:rsidR="00730AD3" w:rsidRDefault="00C6339E" w:rsidP="00730AD3">
            <w:pPr>
              <w:spacing w:after="0" w:line="240" w:lineRule="auto"/>
              <w:jc w:val="both"/>
              <w:rPr>
                <w:rFonts w:cstheme="minorHAnsi"/>
                <w:sz w:val="24"/>
                <w:szCs w:val="24"/>
              </w:rPr>
            </w:pPr>
            <w:r w:rsidRPr="0043547B">
              <w:rPr>
                <w:rFonts w:cstheme="minorHAnsi"/>
                <w:sz w:val="24"/>
                <w:szCs w:val="24"/>
              </w:rPr>
              <w:t>— les articles, tableaux et figures qui ne portent ni le suffixe «A» ni le suffixe «B» sont applicables aux deux systèmes.</w:t>
            </w:r>
          </w:p>
          <w:p w:rsidR="00730AD3" w:rsidRDefault="00C6339E" w:rsidP="00730AD3">
            <w:pPr>
              <w:spacing w:after="0" w:line="240" w:lineRule="auto"/>
              <w:jc w:val="both"/>
              <w:rPr>
                <w:rFonts w:cstheme="minorHAnsi"/>
                <w:sz w:val="24"/>
                <w:szCs w:val="24"/>
              </w:rPr>
            </w:pPr>
            <w:r w:rsidRPr="0043547B">
              <w:rPr>
                <w:rFonts w:cstheme="minorHAnsi"/>
                <w:sz w:val="24"/>
                <w:szCs w:val="24"/>
              </w:rPr>
              <w:t>Les symboles donnés dans la présente Norme internationale peuvent être combinés à d’autres symboles utilisés sur les dessins techniques, par exemple pour indiquer les exigences de finition de surface.</w:t>
            </w:r>
            <w:r w:rsidR="00730AD3">
              <w:rPr>
                <w:rFonts w:cstheme="minorHAnsi"/>
                <w:sz w:val="24"/>
                <w:szCs w:val="24"/>
              </w:rPr>
              <w:t xml:space="preserve"> </w:t>
            </w:r>
          </w:p>
          <w:p w:rsidR="00C6339E" w:rsidRPr="0043547B" w:rsidRDefault="00C6339E" w:rsidP="00730AD3">
            <w:pPr>
              <w:spacing w:after="0" w:line="240" w:lineRule="auto"/>
              <w:jc w:val="both"/>
              <w:rPr>
                <w:rFonts w:cstheme="minorHAnsi"/>
                <w:sz w:val="24"/>
                <w:szCs w:val="24"/>
              </w:rPr>
            </w:pPr>
            <w:r w:rsidRPr="0043547B">
              <w:rPr>
                <w:rFonts w:cstheme="minorHAnsi"/>
                <w:sz w:val="24"/>
                <w:szCs w:val="24"/>
              </w:rPr>
              <w:t>Une autre méthode de désignation est donnée. Elle peut être utilisée pour représenter des joints soudés sur les dessins en spécifiant les informations essentielles de conception, tels que les dimensions de la</w:t>
            </w:r>
            <w:r w:rsidR="003F409D">
              <w:rPr>
                <w:rFonts w:cstheme="minorHAnsi"/>
                <w:sz w:val="24"/>
                <w:szCs w:val="24"/>
              </w:rPr>
              <w:t xml:space="preserve"> </w:t>
            </w:r>
            <w:r w:rsidRPr="0043547B">
              <w:rPr>
                <w:rFonts w:cstheme="minorHAnsi"/>
                <w:sz w:val="24"/>
                <w:szCs w:val="24"/>
              </w:rPr>
              <w:t>soudure, le niveau de qualité, etc. La préparation du joint et le(s) procédé(s) de soudage sont ensuite déterminés par l’unité de production afin de satisfaire aux exigences spécifiées.</w:t>
            </w:r>
            <w:r w:rsidRPr="0043547B">
              <w:rPr>
                <w:rFonts w:cstheme="minorHAnsi"/>
                <w:sz w:val="24"/>
                <w:szCs w:val="24"/>
              </w:rPr>
              <w:br/>
            </w:r>
            <w:r w:rsidRPr="00730AD3">
              <w:rPr>
                <w:rFonts w:cstheme="minorHAnsi"/>
                <w:b/>
                <w:bCs/>
                <w:i/>
                <w:iCs/>
              </w:rPr>
              <w:t>NOTE</w:t>
            </w:r>
            <w:r w:rsidR="00730AD3">
              <w:rPr>
                <w:rFonts w:cstheme="minorHAnsi"/>
                <w:i/>
                <w:iCs/>
              </w:rPr>
              <w:t> :</w:t>
            </w:r>
            <w:r w:rsidR="000A4A0B" w:rsidRPr="00730AD3">
              <w:rPr>
                <w:rFonts w:cstheme="minorHAnsi"/>
                <w:i/>
                <w:iCs/>
              </w:rPr>
              <w:t xml:space="preserve"> </w:t>
            </w:r>
            <w:r w:rsidRPr="00730AD3">
              <w:rPr>
                <w:rFonts w:cstheme="minorHAnsi"/>
                <w:i/>
                <w:iCs/>
              </w:rPr>
              <w:t>Les exemples de la présente Norme internationale, y compris les dimensions, ne sont donnés qu’à titre d’illustration et sont destinés à montrer l’application appropriée des principes. Ils n’ont pas pour but de représenter les bonnes pratiques de conception ni de remplacer les exigences d’un code ou d’une spécification.</w:t>
            </w:r>
          </w:p>
        </w:tc>
      </w:tr>
      <w:tr w:rsidR="0043547B" w:rsidRPr="0043547B" w:rsidTr="00CB5DC0">
        <w:trPr>
          <w:trHeight w:val="315"/>
          <w:jc w:val="center"/>
        </w:trPr>
        <w:tc>
          <w:tcPr>
            <w:tcW w:w="1838" w:type="dxa"/>
            <w:tcBorders>
              <w:top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tcBorders>
            <w:shd w:val="clear" w:color="auto" w:fill="B7CE88"/>
            <w:noWrap/>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3834-4</w:t>
            </w:r>
          </w:p>
        </w:tc>
      </w:tr>
      <w:tr w:rsidR="0043547B" w:rsidRPr="0043547B" w:rsidTr="00CB5DC0">
        <w:trPr>
          <w:trHeight w:val="315"/>
          <w:jc w:val="center"/>
        </w:trPr>
        <w:tc>
          <w:tcPr>
            <w:tcW w:w="1838" w:type="dxa"/>
            <w:tcBorders>
              <w:top w:val="single" w:sz="18"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 xml:space="preserve"> ISO 3834-4</w:t>
            </w:r>
          </w:p>
        </w:tc>
      </w:tr>
      <w:tr w:rsidR="0043547B" w:rsidRPr="0043547B" w:rsidTr="00CB5DC0">
        <w:trPr>
          <w:trHeight w:val="330"/>
          <w:jc w:val="center"/>
        </w:trPr>
        <w:tc>
          <w:tcPr>
            <w:tcW w:w="1838" w:type="dxa"/>
            <w:tcBorders>
              <w:right w:val="single" w:sz="4" w:space="0" w:color="auto"/>
            </w:tcBorders>
            <w:shd w:val="clear" w:color="auto" w:fill="8DB3E2" w:themeFill="text2" w:themeFillTint="66"/>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Exigences de qualité en soudage par fusion des matériaux métalliques - Partie 4: Exigences de qualité élémentaire ;</w:t>
            </w:r>
          </w:p>
        </w:tc>
      </w:tr>
      <w:tr w:rsidR="0043547B" w:rsidRPr="0043547B" w:rsidTr="00CB5DC0">
        <w:trPr>
          <w:trHeight w:val="357"/>
          <w:jc w:val="center"/>
        </w:trPr>
        <w:tc>
          <w:tcPr>
            <w:tcW w:w="1838" w:type="dxa"/>
            <w:tcBorders>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partie de l’ISO 3834 définit les exigences de qualité élémentaire pour le soudage par fusion des matériaux métalliques, aussi bien en atelier que sur les sites de montage.</w:t>
            </w:r>
          </w:p>
        </w:tc>
      </w:tr>
      <w:tr w:rsidR="0043547B" w:rsidRPr="0043547B" w:rsidTr="00CB5DC0">
        <w:trPr>
          <w:trHeight w:val="315"/>
          <w:jc w:val="center"/>
        </w:trPr>
        <w:tc>
          <w:tcPr>
            <w:tcW w:w="1838" w:type="dxa"/>
            <w:tcBorders>
              <w:top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10042</w:t>
            </w:r>
          </w:p>
        </w:tc>
      </w:tr>
      <w:tr w:rsidR="0043547B" w:rsidRPr="0043547B" w:rsidTr="00CB5DC0">
        <w:trPr>
          <w:trHeight w:val="315"/>
          <w:jc w:val="center"/>
        </w:trPr>
        <w:tc>
          <w:tcPr>
            <w:tcW w:w="1838" w:type="dxa"/>
            <w:tcBorders>
              <w:top w:val="single" w:sz="18"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10042 - Cor1</w:t>
            </w:r>
          </w:p>
        </w:tc>
      </w:tr>
      <w:tr w:rsidR="0043547B" w:rsidRPr="0043547B" w:rsidTr="00CB5DC0">
        <w:trPr>
          <w:trHeight w:val="495"/>
          <w:jc w:val="center"/>
        </w:trPr>
        <w:tc>
          <w:tcPr>
            <w:tcW w:w="1838" w:type="dxa"/>
            <w:tcBorders>
              <w:right w:val="single" w:sz="4" w:space="0" w:color="auto"/>
            </w:tcBorders>
            <w:shd w:val="clear" w:color="auto" w:fill="8DB3E2" w:themeFill="text2" w:themeFillTint="66"/>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Soudage - Assemblages en aluminium et alliages d'aluminium soudés à l'arc - Niveaux de qualité par rapport aux défauts ; </w:t>
            </w:r>
          </w:p>
        </w:tc>
      </w:tr>
      <w:tr w:rsidR="0043547B" w:rsidRPr="0043547B" w:rsidTr="00CB5DC0">
        <w:trPr>
          <w:trHeight w:val="425"/>
          <w:jc w:val="center"/>
        </w:trPr>
        <w:tc>
          <w:tcPr>
            <w:tcW w:w="1838" w:type="dxa"/>
            <w:tcBorders>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fournit des niveaux de qualité par rapport aux défauts dans les assemblages en aluminium et alliages d'aluminium soudés à l'arc. Elle s'applique à des épaisseurs de matériau supérieures à 0,5 mm. Elle couvre les soudures bout à bout à pleine pénétration et toutes les soudures d'angle. Les principes de La norme peuvent aussi s'appliquer aux soudures bout à bout à pénétration partielle.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niveaux de qualité pour les assemblages soudés par faisceau sont présentés dans l'ISO 13919-2.</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Trois niveaux de qualité sont donnés dans le but de permettre son application à une large gamme de fabrications soudées. Ils sont désignés par les symboles B, C et D. Le niveau de qualité B correspond à l'exigence la plus élevée pour la soudure terminée. Les niveaux de qualité se rapportent à la qualité de la fabrication et non à l'aptitude à l'emploi (voir 3.2) du produit fini.</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ascii="Cambria Math" w:eastAsia="Times New Roman" w:hAnsi="Cambria Math" w:cs="Cambria Math"/>
                <w:sz w:val="24"/>
                <w:szCs w:val="24"/>
                <w:lang w:eastAsia="fr-FR"/>
              </w:rPr>
              <w:t>⎯</w:t>
            </w:r>
            <w:r w:rsidRPr="0043547B">
              <w:rPr>
                <w:rFonts w:eastAsia="Times New Roman" w:cstheme="minorHAnsi"/>
                <w:sz w:val="24"/>
                <w:szCs w:val="24"/>
                <w:lang w:eastAsia="fr-FR"/>
              </w:rPr>
              <w:t xml:space="preserve"> à tous les types de soudures, par exemple soudures bout à bout, soudures d'angle et piquages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ascii="Cambria Math" w:eastAsia="Times New Roman" w:hAnsi="Cambria Math" w:cs="Cambria Math"/>
                <w:sz w:val="24"/>
                <w:szCs w:val="24"/>
                <w:lang w:eastAsia="fr-FR"/>
              </w:rPr>
              <w:t>⎯</w:t>
            </w:r>
            <w:r w:rsidRPr="0043547B">
              <w:rPr>
                <w:rFonts w:eastAsia="Times New Roman" w:cstheme="minorHAnsi"/>
                <w:sz w:val="24"/>
                <w:szCs w:val="24"/>
                <w:lang w:eastAsia="fr-FR"/>
              </w:rPr>
              <w:t xml:space="preserve"> aux procédés de soudage suivants et à leurs sous-catégories définies dans l'ISO 4063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lastRenderedPageBreak/>
              <w:t xml:space="preserve">   </w:t>
            </w:r>
            <w:r w:rsidRPr="0043547B">
              <w:rPr>
                <w:rFonts w:ascii="Cambria Math" w:eastAsia="Times New Roman" w:hAnsi="Cambria Math" w:cs="Cambria Math"/>
                <w:sz w:val="24"/>
                <w:szCs w:val="24"/>
                <w:lang w:eastAsia="fr-FR"/>
              </w:rPr>
              <w:t>⎯</w:t>
            </w:r>
            <w:r w:rsidRPr="0043547B">
              <w:rPr>
                <w:rFonts w:eastAsia="Times New Roman" w:cstheme="minorHAnsi"/>
                <w:sz w:val="24"/>
                <w:szCs w:val="24"/>
                <w:lang w:eastAsia="fr-FR"/>
              </w:rPr>
              <w:t xml:space="preserve"> 131, soudage à l'arc en atmosphère inerte avec fil électrode (MIG) ;</w:t>
            </w:r>
          </w:p>
          <w:p w:rsidR="00904E52" w:rsidRPr="0043547B" w:rsidRDefault="00904E52" w:rsidP="00730AD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   </w:t>
            </w:r>
            <w:r w:rsidRPr="0043547B">
              <w:rPr>
                <w:rFonts w:ascii="Cambria Math" w:eastAsia="Times New Roman" w:hAnsi="Cambria Math" w:cs="Cambria Math"/>
                <w:sz w:val="24"/>
                <w:szCs w:val="24"/>
                <w:lang w:eastAsia="fr-FR"/>
              </w:rPr>
              <w:t>⎯</w:t>
            </w:r>
            <w:r w:rsidRPr="0043547B">
              <w:rPr>
                <w:rFonts w:eastAsia="Times New Roman" w:cstheme="minorHAnsi"/>
                <w:sz w:val="24"/>
                <w:szCs w:val="24"/>
                <w:lang w:eastAsia="fr-FR"/>
              </w:rPr>
              <w:t xml:space="preserve"> 141, soudage à l'arc en atmosphère inerte avec électrode de tungstène (TIG);</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   </w:t>
            </w:r>
            <w:r w:rsidRPr="0043547B">
              <w:rPr>
                <w:rFonts w:ascii="Cambria Math" w:eastAsia="Times New Roman" w:hAnsi="Cambria Math" w:cs="Cambria Math"/>
                <w:sz w:val="24"/>
                <w:szCs w:val="24"/>
                <w:lang w:eastAsia="fr-FR"/>
              </w:rPr>
              <w:t>⎯</w:t>
            </w:r>
            <w:r w:rsidRPr="0043547B">
              <w:rPr>
                <w:rFonts w:eastAsia="Times New Roman" w:cstheme="minorHAnsi"/>
                <w:sz w:val="24"/>
                <w:szCs w:val="24"/>
                <w:lang w:eastAsia="fr-FR"/>
              </w:rPr>
              <w:t xml:space="preserve"> 15, soudage à l'arc au plasma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   </w:t>
            </w:r>
            <w:r w:rsidRPr="0043547B">
              <w:rPr>
                <w:rFonts w:ascii="Cambria Math" w:eastAsia="Times New Roman" w:hAnsi="Cambria Math" w:cs="Cambria Math"/>
                <w:sz w:val="24"/>
                <w:szCs w:val="24"/>
                <w:lang w:eastAsia="fr-FR"/>
              </w:rPr>
              <w:t>⎯</w:t>
            </w:r>
            <w:r w:rsidRPr="0043547B">
              <w:rPr>
                <w:rFonts w:eastAsia="Times New Roman" w:cstheme="minorHAnsi"/>
                <w:sz w:val="24"/>
                <w:szCs w:val="24"/>
                <w:lang w:eastAsia="fr-FR"/>
              </w:rPr>
              <w:t xml:space="preserve"> au soudage manuel, mécanisé et automatique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   </w:t>
            </w:r>
            <w:r w:rsidRPr="0043547B">
              <w:rPr>
                <w:rFonts w:ascii="Cambria Math" w:eastAsia="Times New Roman" w:hAnsi="Cambria Math" w:cs="Cambria Math"/>
                <w:sz w:val="24"/>
                <w:szCs w:val="24"/>
                <w:lang w:eastAsia="fr-FR"/>
              </w:rPr>
              <w:t>⎯</w:t>
            </w:r>
            <w:r w:rsidRPr="0043547B">
              <w:rPr>
                <w:rFonts w:eastAsia="Times New Roman" w:cstheme="minorHAnsi"/>
                <w:sz w:val="24"/>
                <w:szCs w:val="24"/>
                <w:lang w:eastAsia="fr-FR"/>
              </w:rPr>
              <w:t xml:space="preserve"> à toutes les positions de soudage.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ne traite pas des aspects métallurgiques, par exemple la grosseur de grain ou la dureté.</w:t>
            </w:r>
          </w:p>
        </w:tc>
      </w:tr>
      <w:tr w:rsidR="0043547B" w:rsidRPr="0043547B" w:rsidTr="00CB5DC0">
        <w:trPr>
          <w:trHeight w:val="315"/>
          <w:jc w:val="center"/>
        </w:trPr>
        <w:tc>
          <w:tcPr>
            <w:tcW w:w="1838" w:type="dxa"/>
            <w:tcBorders>
              <w:top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5182</w:t>
            </w:r>
          </w:p>
        </w:tc>
      </w:tr>
      <w:tr w:rsidR="0043547B" w:rsidRPr="0043547B" w:rsidTr="00CB5DC0">
        <w:trPr>
          <w:trHeight w:val="315"/>
          <w:jc w:val="center"/>
        </w:trPr>
        <w:tc>
          <w:tcPr>
            <w:tcW w:w="1838" w:type="dxa"/>
            <w:tcBorders>
              <w:top w:val="single" w:sz="18"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tcBorders>
            <w:shd w:val="clear" w:color="auto" w:fill="FFFF99"/>
            <w:noWrap/>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5182</w:t>
            </w:r>
          </w:p>
        </w:tc>
      </w:tr>
      <w:tr w:rsidR="0043547B" w:rsidRPr="0043547B" w:rsidTr="00CB5DC0">
        <w:trPr>
          <w:trHeight w:val="330"/>
          <w:jc w:val="center"/>
        </w:trPr>
        <w:tc>
          <w:tcPr>
            <w:tcW w:w="1838" w:type="dxa"/>
            <w:tcBorders>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Soudage par résistance - Matériaux pour électrodes et équipements annexes </w:t>
            </w:r>
          </w:p>
        </w:tc>
      </w:tr>
      <w:tr w:rsidR="0043547B" w:rsidRPr="0043547B" w:rsidTr="00CB5DC0">
        <w:trPr>
          <w:trHeight w:val="629"/>
          <w:jc w:val="center"/>
        </w:trPr>
        <w:tc>
          <w:tcPr>
            <w:tcW w:w="1838" w:type="dxa"/>
            <w:tcBorders>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caractéristiques des matériaux pour électrodes de soudage par résistance et équipements annexes utilisés pour le transport du courant et la transmission de l'effort de soudage.</w:t>
            </w:r>
          </w:p>
        </w:tc>
      </w:tr>
      <w:tr w:rsidR="0043547B" w:rsidRPr="0043547B" w:rsidTr="00CB5DC0">
        <w:trPr>
          <w:trHeight w:val="320"/>
          <w:jc w:val="center"/>
        </w:trPr>
        <w:tc>
          <w:tcPr>
            <w:tcW w:w="1838" w:type="dxa"/>
            <w:tcBorders>
              <w:bottom w:val="single" w:sz="18" w:space="0" w:color="auto"/>
              <w:right w:val="single" w:sz="4" w:space="0" w:color="auto"/>
            </w:tcBorders>
            <w:shd w:val="clear" w:color="auto" w:fill="ACC777"/>
            <w:vAlign w:val="center"/>
          </w:tcPr>
          <w:p w:rsidR="00E90383" w:rsidRPr="0043547B" w:rsidRDefault="00E90383" w:rsidP="007840E0">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left w:val="single" w:sz="4" w:space="0" w:color="auto"/>
              <w:bottom w:val="single" w:sz="18" w:space="0" w:color="auto"/>
            </w:tcBorders>
            <w:shd w:val="clear" w:color="auto" w:fill="ACC777"/>
            <w:vAlign w:val="center"/>
          </w:tcPr>
          <w:p w:rsidR="00E90383" w:rsidRPr="0043547B" w:rsidRDefault="00E90383" w:rsidP="007840E0">
            <w:pPr>
              <w:spacing w:after="0" w:line="240" w:lineRule="auto"/>
              <w:jc w:val="center"/>
              <w:rPr>
                <w:rFonts w:cstheme="minorHAnsi"/>
                <w:b/>
                <w:bCs/>
                <w:sz w:val="24"/>
                <w:szCs w:val="24"/>
              </w:rPr>
            </w:pPr>
            <w:r w:rsidRPr="0043547B">
              <w:rPr>
                <w:rFonts w:cstheme="minorHAnsi"/>
                <w:b/>
                <w:bCs/>
                <w:sz w:val="24"/>
                <w:szCs w:val="24"/>
              </w:rPr>
              <w:t>NM EN 12810-1</w:t>
            </w:r>
          </w:p>
        </w:tc>
      </w:tr>
      <w:tr w:rsidR="0043547B" w:rsidRPr="0043547B" w:rsidTr="00CB5DC0">
        <w:trPr>
          <w:trHeight w:val="368"/>
          <w:jc w:val="center"/>
        </w:trPr>
        <w:tc>
          <w:tcPr>
            <w:tcW w:w="1838" w:type="dxa"/>
            <w:tcBorders>
              <w:top w:val="single" w:sz="18" w:space="0" w:color="auto"/>
              <w:bottom w:val="single" w:sz="4" w:space="0" w:color="auto"/>
              <w:right w:val="single" w:sz="4" w:space="0" w:color="auto"/>
            </w:tcBorders>
            <w:shd w:val="clear" w:color="auto" w:fill="FFFF99"/>
            <w:vAlign w:val="center"/>
          </w:tcPr>
          <w:p w:rsidR="00E90383" w:rsidRPr="0043547B" w:rsidRDefault="00E90383" w:rsidP="00D36C06">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tcBorders>
            <w:shd w:val="clear" w:color="auto" w:fill="FFFF99"/>
            <w:vAlign w:val="center"/>
          </w:tcPr>
          <w:p w:rsidR="00E90383" w:rsidRPr="0043547B" w:rsidRDefault="00E90383" w:rsidP="00D36C06">
            <w:pPr>
              <w:spacing w:after="0" w:line="240" w:lineRule="auto"/>
              <w:jc w:val="center"/>
              <w:rPr>
                <w:rFonts w:cstheme="minorHAnsi"/>
                <w:b/>
                <w:bCs/>
                <w:sz w:val="24"/>
                <w:szCs w:val="24"/>
              </w:rPr>
            </w:pPr>
            <w:r w:rsidRPr="0043547B">
              <w:rPr>
                <w:rFonts w:cstheme="minorHAnsi"/>
                <w:b/>
                <w:bCs/>
                <w:sz w:val="24"/>
                <w:szCs w:val="24"/>
              </w:rPr>
              <w:t>EN 12810-1</w:t>
            </w:r>
          </w:p>
        </w:tc>
      </w:tr>
      <w:tr w:rsidR="0043547B" w:rsidRPr="0043547B" w:rsidTr="00CB5DC0">
        <w:trPr>
          <w:trHeight w:val="564"/>
          <w:jc w:val="center"/>
        </w:trPr>
        <w:tc>
          <w:tcPr>
            <w:tcW w:w="1838" w:type="dxa"/>
            <w:tcBorders>
              <w:top w:val="single" w:sz="4" w:space="0" w:color="auto"/>
              <w:bottom w:val="single" w:sz="4" w:space="0" w:color="auto"/>
              <w:right w:val="single" w:sz="4" w:space="0" w:color="auto"/>
            </w:tcBorders>
            <w:shd w:val="clear" w:color="auto" w:fill="8DB3E2" w:themeFill="text2" w:themeFillTint="66"/>
            <w:vAlign w:val="center"/>
          </w:tcPr>
          <w:p w:rsidR="00E90383" w:rsidRPr="0043547B" w:rsidRDefault="00E90383" w:rsidP="00D36C06">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tcBorders>
            <w:shd w:val="clear" w:color="auto" w:fill="auto"/>
          </w:tcPr>
          <w:p w:rsidR="00E90383" w:rsidRPr="0043547B" w:rsidRDefault="00E90383" w:rsidP="00D36C06">
            <w:pPr>
              <w:spacing w:after="0" w:line="240" w:lineRule="auto"/>
              <w:rPr>
                <w:rFonts w:cstheme="minorHAnsi"/>
                <w:sz w:val="24"/>
                <w:szCs w:val="24"/>
              </w:rPr>
            </w:pPr>
            <w:r w:rsidRPr="0043547B">
              <w:rPr>
                <w:rFonts w:cstheme="minorHAnsi"/>
                <w:sz w:val="24"/>
                <w:szCs w:val="24"/>
              </w:rPr>
              <w:t>Échafaudages de façade à composants préfabriqués - Partie 1 : Spécifications des produits </w:t>
            </w:r>
          </w:p>
        </w:tc>
      </w:tr>
      <w:tr w:rsidR="0043547B" w:rsidRPr="0043547B" w:rsidTr="00CB5DC0">
        <w:trPr>
          <w:trHeight w:val="629"/>
          <w:jc w:val="center"/>
        </w:trPr>
        <w:tc>
          <w:tcPr>
            <w:tcW w:w="1838" w:type="dxa"/>
            <w:tcBorders>
              <w:top w:val="single" w:sz="4" w:space="0" w:color="auto"/>
              <w:bottom w:val="single" w:sz="18" w:space="0" w:color="auto"/>
              <w:right w:val="single" w:sz="4" w:space="0" w:color="auto"/>
            </w:tcBorders>
            <w:shd w:val="clear" w:color="000000" w:fill="D9D9D9"/>
            <w:vAlign w:val="center"/>
          </w:tcPr>
          <w:p w:rsidR="00E90383" w:rsidRPr="0043547B" w:rsidRDefault="00E90383" w:rsidP="00D36C06">
            <w:pPr>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tcBorders>
            <w:shd w:val="clear" w:color="auto" w:fill="auto"/>
          </w:tcPr>
          <w:p w:rsidR="00D36C06" w:rsidRPr="0043547B" w:rsidRDefault="00E90383" w:rsidP="00730AD3">
            <w:pPr>
              <w:spacing w:after="0" w:line="240" w:lineRule="auto"/>
              <w:jc w:val="both"/>
              <w:rPr>
                <w:rFonts w:cstheme="minorHAnsi"/>
                <w:sz w:val="24"/>
                <w:szCs w:val="24"/>
              </w:rPr>
            </w:pPr>
            <w:r w:rsidRPr="0043547B">
              <w:rPr>
                <w:rFonts w:cstheme="minorHAnsi"/>
                <w:sz w:val="24"/>
                <w:szCs w:val="24"/>
              </w:rPr>
              <w:t xml:space="preserve">La présente Norme européenne spécifie les exigences de performance et les </w:t>
            </w:r>
            <w:r w:rsidR="00D36C06" w:rsidRPr="0043547B">
              <w:rPr>
                <w:rFonts w:cstheme="minorHAnsi"/>
                <w:sz w:val="24"/>
                <w:szCs w:val="24"/>
              </w:rPr>
              <w:t>e</w:t>
            </w:r>
            <w:r w:rsidRPr="0043547B">
              <w:rPr>
                <w:rFonts w:cstheme="minorHAnsi"/>
                <w:sz w:val="24"/>
                <w:szCs w:val="24"/>
              </w:rPr>
              <w:t>xigences générales relatives à la</w:t>
            </w:r>
            <w:r w:rsidR="00D36C06" w:rsidRPr="0043547B">
              <w:rPr>
                <w:rFonts w:cstheme="minorHAnsi"/>
                <w:sz w:val="24"/>
                <w:szCs w:val="24"/>
              </w:rPr>
              <w:t xml:space="preserve"> </w:t>
            </w:r>
            <w:r w:rsidRPr="0043547B">
              <w:rPr>
                <w:rFonts w:cstheme="minorHAnsi"/>
                <w:sz w:val="24"/>
                <w:szCs w:val="24"/>
              </w:rPr>
              <w:t>conception des structures et à l'évaluation des systèmes d'échafaudages de façade à composants préfabriqués.</w:t>
            </w:r>
          </w:p>
          <w:p w:rsidR="00D36C06" w:rsidRPr="0043547B" w:rsidRDefault="00E90383" w:rsidP="00730AD3">
            <w:pPr>
              <w:spacing w:after="0" w:line="240" w:lineRule="auto"/>
              <w:jc w:val="both"/>
              <w:rPr>
                <w:rFonts w:cstheme="minorHAnsi"/>
                <w:sz w:val="24"/>
                <w:szCs w:val="24"/>
              </w:rPr>
            </w:pPr>
            <w:r w:rsidRPr="0043547B">
              <w:rPr>
                <w:rFonts w:cstheme="minorHAnsi"/>
                <w:sz w:val="24"/>
                <w:szCs w:val="24"/>
              </w:rPr>
              <w:t>Les échafaudages de façade sont destinés à être utilisés tout en étant fixés à la façade à l'aide d'éléments d’amarrage.</w:t>
            </w:r>
          </w:p>
          <w:p w:rsidR="00D36C06" w:rsidRPr="0043547B" w:rsidRDefault="00E90383" w:rsidP="00730AD3">
            <w:pPr>
              <w:spacing w:after="0" w:line="240" w:lineRule="auto"/>
              <w:jc w:val="both"/>
              <w:rPr>
                <w:rFonts w:cstheme="minorHAnsi"/>
                <w:sz w:val="24"/>
                <w:szCs w:val="24"/>
              </w:rPr>
            </w:pPr>
            <w:r w:rsidRPr="0043547B">
              <w:rPr>
                <w:rFonts w:cstheme="minorHAnsi"/>
                <w:sz w:val="24"/>
                <w:szCs w:val="24"/>
              </w:rPr>
              <w:t>Les systèmes d'échafaudages sont classés selon six critères, voir Tableau 1.</w:t>
            </w:r>
          </w:p>
          <w:p w:rsidR="00D36C06" w:rsidRPr="0043547B" w:rsidRDefault="00E90383" w:rsidP="00730AD3">
            <w:pPr>
              <w:spacing w:after="0" w:line="240" w:lineRule="auto"/>
              <w:jc w:val="both"/>
              <w:rPr>
                <w:rFonts w:cstheme="minorHAnsi"/>
                <w:sz w:val="24"/>
                <w:szCs w:val="24"/>
              </w:rPr>
            </w:pPr>
            <w:r w:rsidRPr="0043547B">
              <w:rPr>
                <w:rFonts w:cstheme="minorHAnsi"/>
                <w:sz w:val="24"/>
                <w:szCs w:val="24"/>
              </w:rPr>
              <w:t>Elle se limite aux systèmes d'échafaudages de façade disposant de montants en acier ou en alliage d'aluminium</w:t>
            </w:r>
            <w:r w:rsidR="00D36C06" w:rsidRPr="0043547B">
              <w:rPr>
                <w:rFonts w:cstheme="minorHAnsi"/>
                <w:sz w:val="24"/>
                <w:szCs w:val="24"/>
              </w:rPr>
              <w:t xml:space="preserve"> </w:t>
            </w:r>
            <w:r w:rsidRPr="0043547B">
              <w:rPr>
                <w:rFonts w:cstheme="minorHAnsi"/>
                <w:sz w:val="24"/>
                <w:szCs w:val="24"/>
              </w:rPr>
              <w:t>ainsi que d'autres composants fabriqués à partir de ces matériaux ou de matériaux à base de bois.</w:t>
            </w:r>
          </w:p>
          <w:p w:rsidR="00D36C06" w:rsidRPr="0043547B" w:rsidRDefault="00E90383" w:rsidP="00730AD3">
            <w:pPr>
              <w:spacing w:after="0" w:line="240" w:lineRule="auto"/>
              <w:jc w:val="both"/>
              <w:rPr>
                <w:rFonts w:cstheme="minorHAnsi"/>
                <w:sz w:val="24"/>
                <w:szCs w:val="24"/>
              </w:rPr>
            </w:pPr>
            <w:r w:rsidRPr="0043547B">
              <w:rPr>
                <w:rFonts w:cstheme="minorHAnsi"/>
                <w:sz w:val="24"/>
                <w:szCs w:val="24"/>
              </w:rPr>
              <w:t>Elle définit un ensemble type de configurations du système selon lequel est réalisée la conception des structures.</w:t>
            </w:r>
          </w:p>
          <w:p w:rsidR="00D36C06" w:rsidRPr="0043547B" w:rsidRDefault="00E90383" w:rsidP="00730AD3">
            <w:pPr>
              <w:spacing w:after="0" w:line="240" w:lineRule="auto"/>
              <w:jc w:val="both"/>
              <w:rPr>
                <w:rFonts w:cstheme="minorHAnsi"/>
                <w:sz w:val="24"/>
                <w:szCs w:val="24"/>
              </w:rPr>
            </w:pPr>
            <w:r w:rsidRPr="0043547B">
              <w:rPr>
                <w:rFonts w:cstheme="minorHAnsi"/>
                <w:sz w:val="24"/>
                <w:szCs w:val="24"/>
              </w:rPr>
              <w:t>D'autres configurations peuvent être possibles avec certains systèmes, mais celles-ci ne relèvent pas du domaine</w:t>
            </w:r>
            <w:r w:rsidR="00D36C06" w:rsidRPr="0043547B">
              <w:rPr>
                <w:rFonts w:cstheme="minorHAnsi"/>
                <w:sz w:val="24"/>
                <w:szCs w:val="24"/>
              </w:rPr>
              <w:t xml:space="preserve"> </w:t>
            </w:r>
            <w:r w:rsidRPr="0043547B">
              <w:rPr>
                <w:rFonts w:cstheme="minorHAnsi"/>
                <w:sz w:val="24"/>
                <w:szCs w:val="24"/>
              </w:rPr>
              <w:t>d'application concerné.</w:t>
            </w:r>
          </w:p>
          <w:p w:rsidR="00D36C06" w:rsidRPr="0043547B" w:rsidRDefault="00E90383" w:rsidP="00730AD3">
            <w:pPr>
              <w:spacing w:after="0" w:line="240" w:lineRule="auto"/>
              <w:jc w:val="both"/>
              <w:rPr>
                <w:rFonts w:cstheme="minorHAnsi"/>
                <w:sz w:val="24"/>
                <w:szCs w:val="24"/>
              </w:rPr>
            </w:pPr>
            <w:r w:rsidRPr="0043547B">
              <w:rPr>
                <w:rFonts w:cstheme="minorHAnsi"/>
                <w:sz w:val="24"/>
                <w:szCs w:val="24"/>
              </w:rPr>
              <w:t>Il convient de consulter la présente norme en liaison avec l’EN 12811-1, le prEN 12811-2, l'EN 12811-3</w:t>
            </w:r>
            <w:r w:rsidR="00D36C06" w:rsidRPr="0043547B">
              <w:rPr>
                <w:rFonts w:cstheme="minorHAnsi"/>
                <w:sz w:val="24"/>
                <w:szCs w:val="24"/>
              </w:rPr>
              <w:t xml:space="preserve"> </w:t>
            </w:r>
            <w:r w:rsidRPr="0043547B">
              <w:rPr>
                <w:rFonts w:cstheme="minorHAnsi"/>
                <w:sz w:val="24"/>
                <w:szCs w:val="24"/>
              </w:rPr>
              <w:t>et l’EN 12810-2 qui spécifient certaines exigences.</w:t>
            </w:r>
          </w:p>
          <w:p w:rsidR="00D36C06" w:rsidRPr="0043547B" w:rsidRDefault="00E90383" w:rsidP="00730AD3">
            <w:pPr>
              <w:spacing w:after="0" w:line="240" w:lineRule="auto"/>
              <w:jc w:val="both"/>
              <w:rPr>
                <w:rFonts w:cstheme="minorHAnsi"/>
                <w:sz w:val="24"/>
                <w:szCs w:val="24"/>
              </w:rPr>
            </w:pPr>
            <w:r w:rsidRPr="0043547B">
              <w:rPr>
                <w:rFonts w:cstheme="minorHAnsi"/>
                <w:sz w:val="24"/>
                <w:szCs w:val="24"/>
              </w:rPr>
              <w:t>La présente norme ne spécifie pas les exigences relatives aux auvents de protection.</w:t>
            </w:r>
          </w:p>
          <w:p w:rsidR="00D36C06" w:rsidRPr="0043547B" w:rsidRDefault="00E90383" w:rsidP="00730AD3">
            <w:pPr>
              <w:spacing w:after="0" w:line="240" w:lineRule="auto"/>
              <w:jc w:val="both"/>
              <w:rPr>
                <w:rFonts w:cstheme="minorHAnsi"/>
                <w:sz w:val="24"/>
                <w:szCs w:val="24"/>
              </w:rPr>
            </w:pPr>
            <w:r w:rsidRPr="0043547B">
              <w:rPr>
                <w:rFonts w:cstheme="minorHAnsi"/>
                <w:sz w:val="24"/>
                <w:szCs w:val="24"/>
              </w:rPr>
              <w:t>Elle ne fournit aucune information</w:t>
            </w:r>
            <w:r w:rsidR="00D36C06" w:rsidRPr="0043547B">
              <w:rPr>
                <w:rFonts w:cstheme="minorHAnsi"/>
                <w:sz w:val="24"/>
                <w:szCs w:val="24"/>
              </w:rPr>
              <w:t xml:space="preserve"> </w:t>
            </w:r>
            <w:r w:rsidRPr="0043547B">
              <w:rPr>
                <w:rFonts w:cstheme="minorHAnsi"/>
                <w:sz w:val="24"/>
                <w:szCs w:val="24"/>
              </w:rPr>
              <w:t>concernant le montage, l'utilisation, le démontage ou la maintenance.</w:t>
            </w:r>
          </w:p>
        </w:tc>
      </w:tr>
      <w:tr w:rsidR="0043547B" w:rsidRPr="0043547B" w:rsidTr="00CB5DC0">
        <w:trPr>
          <w:trHeight w:val="366"/>
          <w:jc w:val="center"/>
        </w:trPr>
        <w:tc>
          <w:tcPr>
            <w:tcW w:w="1838" w:type="dxa"/>
            <w:tcBorders>
              <w:bottom w:val="single" w:sz="18" w:space="0" w:color="auto"/>
              <w:right w:val="single" w:sz="4" w:space="0" w:color="auto"/>
            </w:tcBorders>
            <w:shd w:val="clear" w:color="auto" w:fill="ACC777"/>
            <w:vAlign w:val="center"/>
          </w:tcPr>
          <w:p w:rsidR="00E90383" w:rsidRPr="0043547B" w:rsidRDefault="00E90383" w:rsidP="00D36C06">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left w:val="single" w:sz="4" w:space="0" w:color="auto"/>
              <w:bottom w:val="single" w:sz="18" w:space="0" w:color="auto"/>
            </w:tcBorders>
            <w:shd w:val="clear" w:color="auto" w:fill="ACC777"/>
          </w:tcPr>
          <w:p w:rsidR="00E90383" w:rsidRPr="0043547B" w:rsidRDefault="00E90383" w:rsidP="00D36C06">
            <w:pPr>
              <w:spacing w:after="0" w:line="240" w:lineRule="auto"/>
              <w:jc w:val="center"/>
              <w:rPr>
                <w:rFonts w:cstheme="minorHAnsi"/>
                <w:b/>
                <w:bCs/>
                <w:sz w:val="24"/>
                <w:szCs w:val="24"/>
              </w:rPr>
            </w:pPr>
            <w:r w:rsidRPr="0043547B">
              <w:rPr>
                <w:rFonts w:cstheme="minorHAnsi"/>
                <w:b/>
                <w:bCs/>
                <w:sz w:val="24"/>
                <w:szCs w:val="24"/>
              </w:rPr>
              <w:t>NM EN 12810-2</w:t>
            </w:r>
          </w:p>
        </w:tc>
      </w:tr>
      <w:tr w:rsidR="0043547B" w:rsidRPr="0043547B" w:rsidTr="00CB5DC0">
        <w:trPr>
          <w:trHeight w:val="374"/>
          <w:jc w:val="center"/>
        </w:trPr>
        <w:tc>
          <w:tcPr>
            <w:tcW w:w="1838" w:type="dxa"/>
            <w:tcBorders>
              <w:top w:val="single" w:sz="18" w:space="0" w:color="auto"/>
              <w:bottom w:val="single" w:sz="4" w:space="0" w:color="auto"/>
              <w:right w:val="single" w:sz="4" w:space="0" w:color="auto"/>
            </w:tcBorders>
            <w:shd w:val="clear" w:color="auto" w:fill="FFFF99"/>
            <w:vAlign w:val="center"/>
          </w:tcPr>
          <w:p w:rsidR="00E90383" w:rsidRPr="0043547B" w:rsidRDefault="00E90383" w:rsidP="00D36C06">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tcBorders>
            <w:shd w:val="clear" w:color="auto" w:fill="FFFF99"/>
            <w:vAlign w:val="bottom"/>
          </w:tcPr>
          <w:p w:rsidR="00E90383" w:rsidRPr="0043547B" w:rsidRDefault="00E90383" w:rsidP="00D36C06">
            <w:pPr>
              <w:spacing w:after="0" w:line="240" w:lineRule="auto"/>
              <w:jc w:val="center"/>
              <w:rPr>
                <w:rFonts w:cstheme="minorHAnsi"/>
                <w:b/>
                <w:bCs/>
                <w:sz w:val="24"/>
                <w:szCs w:val="24"/>
              </w:rPr>
            </w:pPr>
            <w:r w:rsidRPr="0043547B">
              <w:rPr>
                <w:rFonts w:cstheme="minorHAnsi"/>
                <w:b/>
                <w:bCs/>
                <w:sz w:val="24"/>
                <w:szCs w:val="24"/>
              </w:rPr>
              <w:t>EN 12810-2</w:t>
            </w:r>
          </w:p>
        </w:tc>
      </w:tr>
      <w:tr w:rsidR="0043547B" w:rsidRPr="0043547B" w:rsidTr="00CB5DC0">
        <w:trPr>
          <w:trHeight w:val="555"/>
          <w:jc w:val="center"/>
        </w:trPr>
        <w:tc>
          <w:tcPr>
            <w:tcW w:w="1838" w:type="dxa"/>
            <w:tcBorders>
              <w:top w:val="single" w:sz="4" w:space="0" w:color="auto"/>
              <w:bottom w:val="single" w:sz="4" w:space="0" w:color="auto"/>
              <w:right w:val="single" w:sz="4" w:space="0" w:color="auto"/>
            </w:tcBorders>
            <w:shd w:val="clear" w:color="auto" w:fill="8DB3E2" w:themeFill="text2" w:themeFillTint="66"/>
            <w:vAlign w:val="center"/>
          </w:tcPr>
          <w:p w:rsidR="00E90383" w:rsidRPr="0043547B" w:rsidRDefault="00E90383" w:rsidP="00D36C06">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tcBorders>
            <w:shd w:val="clear" w:color="auto" w:fill="auto"/>
          </w:tcPr>
          <w:p w:rsidR="00E90383" w:rsidRPr="0043547B" w:rsidRDefault="00E90383" w:rsidP="00D36C06">
            <w:pPr>
              <w:spacing w:after="0" w:line="240" w:lineRule="auto"/>
              <w:rPr>
                <w:rFonts w:cstheme="minorHAnsi"/>
                <w:sz w:val="24"/>
                <w:szCs w:val="24"/>
              </w:rPr>
            </w:pPr>
            <w:r w:rsidRPr="0043547B">
              <w:rPr>
                <w:rFonts w:cstheme="minorHAnsi"/>
                <w:sz w:val="24"/>
                <w:szCs w:val="24"/>
              </w:rPr>
              <w:t>Échafaudages de façade à composants préfabriqués - Partie 2 : Méthodes particulières de calcul des structures </w:t>
            </w:r>
          </w:p>
        </w:tc>
      </w:tr>
      <w:tr w:rsidR="0043547B" w:rsidRPr="0043547B" w:rsidTr="00CB5DC0">
        <w:trPr>
          <w:trHeight w:val="629"/>
          <w:jc w:val="center"/>
        </w:trPr>
        <w:tc>
          <w:tcPr>
            <w:tcW w:w="1838" w:type="dxa"/>
            <w:tcBorders>
              <w:top w:val="single" w:sz="4" w:space="0" w:color="auto"/>
              <w:bottom w:val="single" w:sz="18" w:space="0" w:color="auto"/>
              <w:right w:val="single" w:sz="4" w:space="0" w:color="auto"/>
            </w:tcBorders>
            <w:shd w:val="clear" w:color="000000" w:fill="D9D9D9"/>
            <w:vAlign w:val="center"/>
          </w:tcPr>
          <w:p w:rsidR="00E90383" w:rsidRPr="0043547B" w:rsidRDefault="00E90383" w:rsidP="00D36C06">
            <w:pPr>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tcBorders>
            <w:shd w:val="clear" w:color="auto" w:fill="auto"/>
            <w:vAlign w:val="bottom"/>
          </w:tcPr>
          <w:p w:rsidR="00D36C06" w:rsidRPr="0043547B" w:rsidRDefault="00E90383" w:rsidP="00D36C06">
            <w:pPr>
              <w:spacing w:after="0" w:line="240" w:lineRule="auto"/>
              <w:jc w:val="both"/>
              <w:rPr>
                <w:rFonts w:cstheme="minorHAnsi"/>
                <w:sz w:val="24"/>
                <w:szCs w:val="24"/>
              </w:rPr>
            </w:pPr>
            <w:r w:rsidRPr="0043547B">
              <w:rPr>
                <w:rFonts w:cstheme="minorHAnsi"/>
                <w:sz w:val="24"/>
                <w:szCs w:val="24"/>
              </w:rPr>
              <w:t>La présente Norme européenne s’applique aux systèmes d'échafaudages de façade conformes au prEN 12810-1.</w:t>
            </w:r>
          </w:p>
          <w:p w:rsidR="00D36C06" w:rsidRPr="0043547B" w:rsidRDefault="00E90383" w:rsidP="00D36C06">
            <w:pPr>
              <w:spacing w:after="0" w:line="240" w:lineRule="auto"/>
              <w:jc w:val="both"/>
              <w:rPr>
                <w:rFonts w:cstheme="minorHAnsi"/>
                <w:sz w:val="24"/>
                <w:szCs w:val="24"/>
              </w:rPr>
            </w:pPr>
            <w:r w:rsidRPr="0043547B">
              <w:rPr>
                <w:rFonts w:cstheme="minorHAnsi"/>
                <w:sz w:val="24"/>
                <w:szCs w:val="24"/>
              </w:rPr>
              <w:t>Elle définit les règles relatives à l’analyse et la conception des structures desdits systèmes par calcul et essais, outre</w:t>
            </w:r>
            <w:r w:rsidR="00D36C06" w:rsidRPr="0043547B">
              <w:rPr>
                <w:rFonts w:cstheme="minorHAnsi"/>
                <w:sz w:val="24"/>
                <w:szCs w:val="24"/>
              </w:rPr>
              <w:t xml:space="preserve"> </w:t>
            </w:r>
            <w:r w:rsidRPr="0043547B">
              <w:rPr>
                <w:rFonts w:cstheme="minorHAnsi"/>
                <w:sz w:val="24"/>
                <w:szCs w:val="24"/>
              </w:rPr>
              <w:t>celles données dans le EN 12811-1, le EN 12811-2, l’EN 12811-3 et le EN 12810-1.</w:t>
            </w:r>
          </w:p>
          <w:p w:rsidR="00D36C06" w:rsidRPr="0043547B" w:rsidRDefault="00E90383" w:rsidP="00F422A4">
            <w:pPr>
              <w:spacing w:after="0" w:line="240" w:lineRule="auto"/>
              <w:jc w:val="both"/>
              <w:rPr>
                <w:rFonts w:cstheme="minorHAnsi"/>
                <w:sz w:val="24"/>
                <w:szCs w:val="24"/>
              </w:rPr>
            </w:pPr>
            <w:r w:rsidRPr="0043547B">
              <w:rPr>
                <w:rFonts w:cstheme="minorHAnsi"/>
                <w:sz w:val="24"/>
                <w:szCs w:val="24"/>
              </w:rPr>
              <w:t>Les exigences fondamentales sont données dans l’ENV 1993 et l’ENV 1999.</w:t>
            </w:r>
          </w:p>
        </w:tc>
      </w:tr>
      <w:tr w:rsidR="0043547B" w:rsidRPr="0043547B" w:rsidTr="00CB5DC0">
        <w:trPr>
          <w:trHeight w:val="383"/>
          <w:jc w:val="center"/>
        </w:trPr>
        <w:tc>
          <w:tcPr>
            <w:tcW w:w="1838" w:type="dxa"/>
            <w:tcBorders>
              <w:bottom w:val="single" w:sz="18" w:space="0" w:color="auto"/>
              <w:right w:val="single" w:sz="4" w:space="0" w:color="auto"/>
            </w:tcBorders>
            <w:shd w:val="clear" w:color="auto" w:fill="ACC777"/>
            <w:vAlign w:val="center"/>
          </w:tcPr>
          <w:p w:rsidR="00E90383" w:rsidRPr="0043547B" w:rsidRDefault="00E90383" w:rsidP="00D36C06">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left w:val="single" w:sz="4" w:space="0" w:color="auto"/>
              <w:bottom w:val="single" w:sz="18" w:space="0" w:color="auto"/>
            </w:tcBorders>
            <w:shd w:val="clear" w:color="auto" w:fill="ACC777"/>
            <w:vAlign w:val="center"/>
          </w:tcPr>
          <w:p w:rsidR="00E90383" w:rsidRPr="0043547B" w:rsidRDefault="00E90383" w:rsidP="00D36C06">
            <w:pPr>
              <w:spacing w:after="0" w:line="240" w:lineRule="auto"/>
              <w:jc w:val="center"/>
              <w:rPr>
                <w:rFonts w:cstheme="minorHAnsi"/>
                <w:b/>
                <w:bCs/>
                <w:sz w:val="24"/>
                <w:szCs w:val="24"/>
              </w:rPr>
            </w:pPr>
            <w:r w:rsidRPr="0043547B">
              <w:rPr>
                <w:rFonts w:cstheme="minorHAnsi"/>
                <w:b/>
                <w:bCs/>
                <w:sz w:val="24"/>
                <w:szCs w:val="24"/>
              </w:rPr>
              <w:t>NM EN 12811-1</w:t>
            </w:r>
          </w:p>
        </w:tc>
      </w:tr>
      <w:tr w:rsidR="0043547B" w:rsidRPr="0043547B" w:rsidTr="00CB5DC0">
        <w:trPr>
          <w:trHeight w:val="383"/>
          <w:jc w:val="center"/>
        </w:trPr>
        <w:tc>
          <w:tcPr>
            <w:tcW w:w="1838" w:type="dxa"/>
            <w:tcBorders>
              <w:top w:val="single" w:sz="18" w:space="0" w:color="auto"/>
              <w:bottom w:val="single" w:sz="4" w:space="0" w:color="auto"/>
              <w:right w:val="single" w:sz="4" w:space="0" w:color="auto"/>
            </w:tcBorders>
            <w:shd w:val="clear" w:color="auto" w:fill="FFFF99"/>
            <w:vAlign w:val="center"/>
          </w:tcPr>
          <w:p w:rsidR="00E90383" w:rsidRPr="0043547B" w:rsidRDefault="00E90383" w:rsidP="00D36C06">
            <w:pPr>
              <w:spacing w:after="0" w:line="240" w:lineRule="auto"/>
              <w:jc w:val="center"/>
              <w:rPr>
                <w:rFonts w:cstheme="minorHAnsi"/>
                <w:b/>
                <w:bCs/>
                <w:sz w:val="24"/>
                <w:szCs w:val="24"/>
              </w:rPr>
            </w:pPr>
            <w:r w:rsidRPr="0043547B">
              <w:rPr>
                <w:rFonts w:cstheme="minorHAnsi"/>
                <w:b/>
                <w:bCs/>
                <w:sz w:val="24"/>
                <w:szCs w:val="24"/>
              </w:rPr>
              <w:lastRenderedPageBreak/>
              <w:t>Equivalence :</w:t>
            </w:r>
          </w:p>
        </w:tc>
        <w:tc>
          <w:tcPr>
            <w:tcW w:w="7938" w:type="dxa"/>
            <w:tcBorders>
              <w:top w:val="single" w:sz="18" w:space="0" w:color="auto"/>
              <w:left w:val="single" w:sz="4" w:space="0" w:color="auto"/>
              <w:bottom w:val="single" w:sz="4" w:space="0" w:color="auto"/>
            </w:tcBorders>
            <w:shd w:val="clear" w:color="auto" w:fill="FFFF99"/>
            <w:vAlign w:val="bottom"/>
          </w:tcPr>
          <w:p w:rsidR="00E90383" w:rsidRPr="0043547B" w:rsidRDefault="00E90383" w:rsidP="00D36C06">
            <w:pPr>
              <w:spacing w:after="0" w:line="240" w:lineRule="auto"/>
              <w:jc w:val="center"/>
              <w:rPr>
                <w:rFonts w:cstheme="minorHAnsi"/>
                <w:b/>
                <w:bCs/>
                <w:sz w:val="24"/>
                <w:szCs w:val="24"/>
              </w:rPr>
            </w:pPr>
            <w:r w:rsidRPr="0043547B">
              <w:rPr>
                <w:rFonts w:cstheme="minorHAnsi"/>
                <w:b/>
                <w:bCs/>
                <w:sz w:val="24"/>
                <w:szCs w:val="24"/>
              </w:rPr>
              <w:t>EN 12811-1</w:t>
            </w:r>
          </w:p>
        </w:tc>
      </w:tr>
      <w:tr w:rsidR="0043547B" w:rsidRPr="0043547B" w:rsidTr="00CB5DC0">
        <w:trPr>
          <w:trHeight w:val="629"/>
          <w:jc w:val="center"/>
        </w:trPr>
        <w:tc>
          <w:tcPr>
            <w:tcW w:w="1838" w:type="dxa"/>
            <w:tcBorders>
              <w:top w:val="single" w:sz="4" w:space="0" w:color="auto"/>
              <w:bottom w:val="single" w:sz="4" w:space="0" w:color="auto"/>
              <w:right w:val="single" w:sz="4" w:space="0" w:color="auto"/>
            </w:tcBorders>
            <w:shd w:val="clear" w:color="auto" w:fill="8DB3E2" w:themeFill="text2" w:themeFillTint="66"/>
            <w:vAlign w:val="center"/>
          </w:tcPr>
          <w:p w:rsidR="00E90383" w:rsidRPr="0043547B" w:rsidRDefault="00E90383" w:rsidP="00D36C06">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tcBorders>
            <w:shd w:val="clear" w:color="auto" w:fill="auto"/>
            <w:vAlign w:val="bottom"/>
          </w:tcPr>
          <w:p w:rsidR="00E90383" w:rsidRPr="0043547B" w:rsidRDefault="00E90383" w:rsidP="00D36C06">
            <w:pPr>
              <w:spacing w:after="0" w:line="240" w:lineRule="auto"/>
              <w:jc w:val="both"/>
              <w:rPr>
                <w:rFonts w:cstheme="minorHAnsi"/>
                <w:sz w:val="24"/>
                <w:szCs w:val="24"/>
              </w:rPr>
            </w:pPr>
            <w:r w:rsidRPr="0043547B">
              <w:rPr>
                <w:rFonts w:cstheme="minorHAnsi"/>
                <w:sz w:val="24"/>
                <w:szCs w:val="24"/>
              </w:rPr>
              <w:t>Équipements temporaires de chantiers - Partie 1 : Echafaudages - Exigences de performance et étude, en général </w:t>
            </w:r>
          </w:p>
        </w:tc>
      </w:tr>
      <w:tr w:rsidR="0043547B" w:rsidRPr="0043547B" w:rsidTr="00CB5DC0">
        <w:trPr>
          <w:trHeight w:val="629"/>
          <w:jc w:val="center"/>
        </w:trPr>
        <w:tc>
          <w:tcPr>
            <w:tcW w:w="1838" w:type="dxa"/>
            <w:tcBorders>
              <w:top w:val="single" w:sz="4" w:space="0" w:color="auto"/>
              <w:bottom w:val="single" w:sz="18" w:space="0" w:color="auto"/>
              <w:right w:val="single" w:sz="4" w:space="0" w:color="auto"/>
            </w:tcBorders>
            <w:shd w:val="clear" w:color="000000" w:fill="D9D9D9"/>
            <w:vAlign w:val="center"/>
          </w:tcPr>
          <w:p w:rsidR="00E90383" w:rsidRPr="0043547B" w:rsidRDefault="00E90383" w:rsidP="00F422A4">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tcBorders>
            <w:shd w:val="clear" w:color="auto" w:fill="auto"/>
            <w:vAlign w:val="bottom"/>
          </w:tcPr>
          <w:p w:rsidR="00D36C06" w:rsidRPr="0043547B" w:rsidRDefault="00E90383" w:rsidP="00F422A4">
            <w:pPr>
              <w:spacing w:after="0" w:line="240" w:lineRule="auto"/>
              <w:jc w:val="both"/>
              <w:rPr>
                <w:rFonts w:cstheme="minorHAnsi"/>
                <w:sz w:val="24"/>
                <w:szCs w:val="24"/>
              </w:rPr>
            </w:pPr>
            <w:r w:rsidRPr="0043547B">
              <w:rPr>
                <w:rFonts w:cstheme="minorHAnsi"/>
                <w:sz w:val="24"/>
                <w:szCs w:val="24"/>
              </w:rPr>
              <w:t>La présente Norme européenne spécifie des exigences de performance et des méthodes d’étude et de</w:t>
            </w:r>
            <w:r w:rsidR="00D36C06" w:rsidRPr="0043547B">
              <w:rPr>
                <w:rFonts w:cstheme="minorHAnsi"/>
                <w:sz w:val="24"/>
                <w:szCs w:val="24"/>
              </w:rPr>
              <w:t xml:space="preserve"> </w:t>
            </w:r>
            <w:r w:rsidRPr="0043547B">
              <w:rPr>
                <w:rFonts w:cstheme="minorHAnsi"/>
                <w:sz w:val="24"/>
                <w:szCs w:val="24"/>
              </w:rPr>
              <w:t>dimensionnement des structures des échafaudages d’accès et de service, désignés ci-après par «échafaudages</w:t>
            </w:r>
            <w:r w:rsidR="00D36C06" w:rsidRPr="0043547B">
              <w:rPr>
                <w:rFonts w:cstheme="minorHAnsi"/>
                <w:sz w:val="24"/>
                <w:szCs w:val="24"/>
              </w:rPr>
              <w:t xml:space="preserve"> </w:t>
            </w:r>
            <w:r w:rsidRPr="0043547B">
              <w:rPr>
                <w:rFonts w:cstheme="minorHAnsi"/>
                <w:sz w:val="24"/>
                <w:szCs w:val="24"/>
              </w:rPr>
              <w:t>de service». Les exigences données concernent les structures des échafaudages qui s’appuient sur les structures</w:t>
            </w:r>
            <w:r w:rsidR="00D36C06" w:rsidRPr="0043547B">
              <w:rPr>
                <w:rFonts w:cstheme="minorHAnsi"/>
                <w:sz w:val="24"/>
                <w:szCs w:val="24"/>
              </w:rPr>
              <w:t xml:space="preserve"> </w:t>
            </w:r>
            <w:r w:rsidRPr="0043547B">
              <w:rPr>
                <w:rFonts w:cstheme="minorHAnsi"/>
                <w:sz w:val="24"/>
                <w:szCs w:val="24"/>
              </w:rPr>
              <w:t>adjacentes pour leur stabilité. En général, ces exigences s’appliquent également à d’autres types d’échafaudages</w:t>
            </w:r>
            <w:r w:rsidR="00D36C06" w:rsidRPr="0043547B">
              <w:rPr>
                <w:rFonts w:cstheme="minorHAnsi"/>
                <w:sz w:val="24"/>
                <w:szCs w:val="24"/>
              </w:rPr>
              <w:t xml:space="preserve"> </w:t>
            </w:r>
            <w:r w:rsidRPr="0043547B">
              <w:rPr>
                <w:rFonts w:cstheme="minorHAnsi"/>
                <w:sz w:val="24"/>
                <w:szCs w:val="24"/>
              </w:rPr>
              <w:t>de service. Outre les exigences courantes, des dispositions relatives à des cas particuliers sont également</w:t>
            </w:r>
            <w:r w:rsidR="00D36C06" w:rsidRPr="0043547B">
              <w:rPr>
                <w:rFonts w:cstheme="minorHAnsi"/>
                <w:sz w:val="24"/>
                <w:szCs w:val="24"/>
              </w:rPr>
              <w:t xml:space="preserve"> </w:t>
            </w:r>
            <w:r w:rsidRPr="0043547B">
              <w:rPr>
                <w:rFonts w:cstheme="minorHAnsi"/>
                <w:sz w:val="24"/>
                <w:szCs w:val="24"/>
              </w:rPr>
              <w:t>présentées.</w:t>
            </w:r>
          </w:p>
          <w:p w:rsidR="00D36C06" w:rsidRPr="0043547B" w:rsidRDefault="00E90383" w:rsidP="00F422A4">
            <w:pPr>
              <w:spacing w:after="0" w:line="240" w:lineRule="auto"/>
              <w:jc w:val="both"/>
              <w:rPr>
                <w:rFonts w:cstheme="minorHAnsi"/>
                <w:sz w:val="24"/>
                <w:szCs w:val="24"/>
              </w:rPr>
            </w:pPr>
            <w:r w:rsidRPr="0043547B">
              <w:rPr>
                <w:rFonts w:cstheme="minorHAnsi"/>
                <w:sz w:val="24"/>
                <w:szCs w:val="24"/>
              </w:rPr>
              <w:t>La présente Norme européenne spécifie également des règles relatives au calcul des structures, lorsque certains</w:t>
            </w:r>
            <w:r w:rsidR="00D36C06" w:rsidRPr="0043547B">
              <w:rPr>
                <w:rFonts w:cstheme="minorHAnsi"/>
                <w:sz w:val="24"/>
                <w:szCs w:val="24"/>
              </w:rPr>
              <w:t xml:space="preserve"> </w:t>
            </w:r>
            <w:r w:rsidRPr="0043547B">
              <w:rPr>
                <w:rFonts w:cstheme="minorHAnsi"/>
                <w:sz w:val="24"/>
                <w:szCs w:val="24"/>
              </w:rPr>
              <w:t xml:space="preserve">matériaux sont mis en </w:t>
            </w:r>
            <w:r w:rsidR="00F422A4" w:rsidRPr="0043547B">
              <w:rPr>
                <w:rFonts w:cstheme="minorHAnsi"/>
                <w:sz w:val="24"/>
                <w:szCs w:val="24"/>
              </w:rPr>
              <w:t>œuvre</w:t>
            </w:r>
            <w:r w:rsidRPr="0043547B">
              <w:rPr>
                <w:rFonts w:cstheme="minorHAnsi"/>
                <w:sz w:val="24"/>
                <w:szCs w:val="24"/>
              </w:rPr>
              <w:t>, et des règles générales destinées aux équipements à composants préfabriqués.</w:t>
            </w:r>
          </w:p>
          <w:p w:rsidR="00D36C06" w:rsidRPr="0043547B" w:rsidRDefault="00E90383" w:rsidP="00F422A4">
            <w:pPr>
              <w:spacing w:after="0" w:line="240" w:lineRule="auto"/>
              <w:jc w:val="both"/>
              <w:rPr>
                <w:rFonts w:cstheme="minorHAnsi"/>
                <w:sz w:val="24"/>
                <w:szCs w:val="24"/>
              </w:rPr>
            </w:pPr>
            <w:r w:rsidRPr="0043547B">
              <w:rPr>
                <w:rFonts w:cstheme="minorHAnsi"/>
                <w:sz w:val="24"/>
                <w:szCs w:val="24"/>
              </w:rPr>
              <w:t>La norme ne s’intéresse pas aux :</w:t>
            </w:r>
          </w:p>
          <w:p w:rsidR="00F422A4" w:rsidRPr="0043547B" w:rsidRDefault="00E90383" w:rsidP="00F422A4">
            <w:pPr>
              <w:spacing w:after="0" w:line="240" w:lineRule="auto"/>
              <w:jc w:val="both"/>
              <w:rPr>
                <w:rFonts w:cstheme="minorHAnsi"/>
                <w:sz w:val="24"/>
                <w:szCs w:val="24"/>
              </w:rPr>
            </w:pPr>
            <w:r w:rsidRPr="0043547B">
              <w:rPr>
                <w:rFonts w:cstheme="minorHAnsi"/>
                <w:sz w:val="24"/>
                <w:szCs w:val="24"/>
              </w:rPr>
              <w:t>— plates-formes suspendues par des filins, qu’ils soient fixes ou mobiles ;</w:t>
            </w:r>
          </w:p>
          <w:p w:rsidR="00F422A4" w:rsidRPr="0043547B" w:rsidRDefault="00E90383" w:rsidP="00F422A4">
            <w:pPr>
              <w:spacing w:after="0" w:line="240" w:lineRule="auto"/>
              <w:jc w:val="both"/>
              <w:rPr>
                <w:rFonts w:cstheme="minorHAnsi"/>
                <w:sz w:val="24"/>
                <w:szCs w:val="24"/>
              </w:rPr>
            </w:pPr>
            <w:r w:rsidRPr="0043547B">
              <w:rPr>
                <w:rFonts w:cstheme="minorHAnsi"/>
                <w:sz w:val="24"/>
                <w:szCs w:val="24"/>
              </w:rPr>
              <w:t>— plates-formes à déplacement horizontal, y compris les Tours d’Accès mobiles (TAM) ;</w:t>
            </w:r>
          </w:p>
          <w:p w:rsidR="00F422A4" w:rsidRPr="0043547B" w:rsidRDefault="00E90383" w:rsidP="00F422A4">
            <w:pPr>
              <w:spacing w:after="0" w:line="240" w:lineRule="auto"/>
              <w:jc w:val="both"/>
              <w:rPr>
                <w:rFonts w:cstheme="minorHAnsi"/>
                <w:sz w:val="24"/>
                <w:szCs w:val="24"/>
              </w:rPr>
            </w:pPr>
            <w:r w:rsidRPr="0043547B">
              <w:rPr>
                <w:rFonts w:cstheme="minorHAnsi"/>
                <w:sz w:val="24"/>
                <w:szCs w:val="24"/>
              </w:rPr>
              <w:t>— plates-formes à commande mécanique ;</w:t>
            </w:r>
          </w:p>
          <w:p w:rsidR="00F422A4" w:rsidRPr="0043547B" w:rsidRDefault="00E90383" w:rsidP="00F422A4">
            <w:pPr>
              <w:spacing w:after="0" w:line="240" w:lineRule="auto"/>
              <w:jc w:val="both"/>
              <w:rPr>
                <w:rFonts w:cstheme="minorHAnsi"/>
                <w:sz w:val="24"/>
                <w:szCs w:val="24"/>
              </w:rPr>
            </w:pPr>
            <w:r w:rsidRPr="0043547B">
              <w:rPr>
                <w:rFonts w:cstheme="minorHAnsi"/>
                <w:sz w:val="24"/>
                <w:szCs w:val="24"/>
              </w:rPr>
              <w:t>— échafaudages utilisés en tant que moyen de protection pour travaux de toiture ;</w:t>
            </w:r>
          </w:p>
          <w:p w:rsidR="00E90383" w:rsidRPr="0043547B" w:rsidRDefault="00E90383" w:rsidP="00F422A4">
            <w:pPr>
              <w:spacing w:after="0" w:line="240" w:lineRule="auto"/>
              <w:jc w:val="both"/>
              <w:rPr>
                <w:rFonts w:cstheme="minorHAnsi"/>
                <w:sz w:val="24"/>
                <w:szCs w:val="24"/>
              </w:rPr>
            </w:pPr>
            <w:r w:rsidRPr="0043547B">
              <w:rPr>
                <w:rFonts w:cstheme="minorHAnsi"/>
                <w:sz w:val="24"/>
                <w:szCs w:val="24"/>
              </w:rPr>
              <w:t>— couvertures provisoires.</w:t>
            </w:r>
          </w:p>
        </w:tc>
      </w:tr>
      <w:tr w:rsidR="00D76221" w:rsidRPr="0043547B" w:rsidTr="004F0BC9">
        <w:trPr>
          <w:trHeight w:val="392"/>
          <w:jc w:val="center"/>
        </w:trPr>
        <w:tc>
          <w:tcPr>
            <w:tcW w:w="1838" w:type="dxa"/>
            <w:tcBorders>
              <w:top w:val="single" w:sz="4" w:space="0" w:color="auto"/>
              <w:bottom w:val="single" w:sz="18" w:space="0" w:color="auto"/>
              <w:right w:val="single" w:sz="4" w:space="0" w:color="auto"/>
            </w:tcBorders>
            <w:shd w:val="clear" w:color="auto" w:fill="C2D69B" w:themeFill="accent3" w:themeFillTint="99"/>
            <w:vAlign w:val="center"/>
          </w:tcPr>
          <w:p w:rsidR="00D76221" w:rsidRDefault="00D76221" w:rsidP="004F0BC9">
            <w:pPr>
              <w:spacing w:after="0" w:line="240" w:lineRule="auto"/>
              <w:jc w:val="center"/>
              <w:rPr>
                <w:rFonts w:ascii="Calibri" w:hAnsi="Calibri" w:cs="Calibri"/>
                <w:b/>
                <w:bCs/>
              </w:rPr>
            </w:pPr>
            <w:r>
              <w:rPr>
                <w:rFonts w:ascii="Calibri" w:hAnsi="Calibri" w:cs="Calibri"/>
                <w:b/>
                <w:bCs/>
              </w:rPr>
              <w:t xml:space="preserve">Code </w:t>
            </w:r>
            <w:r w:rsidR="004F0BC9">
              <w:rPr>
                <w:rFonts w:ascii="Calibri" w:hAnsi="Calibri" w:cs="Calibri"/>
                <w:b/>
                <w:bCs/>
              </w:rPr>
              <w:t xml:space="preserve"> </w:t>
            </w:r>
          </w:p>
        </w:tc>
        <w:tc>
          <w:tcPr>
            <w:tcW w:w="7938" w:type="dxa"/>
            <w:tcBorders>
              <w:top w:val="single" w:sz="4" w:space="0" w:color="auto"/>
              <w:left w:val="single" w:sz="4" w:space="0" w:color="auto"/>
              <w:bottom w:val="single" w:sz="18" w:space="0" w:color="auto"/>
            </w:tcBorders>
            <w:shd w:val="clear" w:color="auto" w:fill="C2D69B" w:themeFill="accent3" w:themeFillTint="99"/>
            <w:vAlign w:val="center"/>
          </w:tcPr>
          <w:p w:rsidR="00D76221" w:rsidRPr="004F0BC9" w:rsidRDefault="00D76221" w:rsidP="004F0BC9">
            <w:pPr>
              <w:spacing w:after="0" w:line="240" w:lineRule="auto"/>
              <w:jc w:val="center"/>
              <w:rPr>
                <w:rFonts w:ascii="Calibri" w:hAnsi="Calibri" w:cs="Calibri"/>
                <w:b/>
                <w:bCs/>
                <w:color w:val="000000"/>
                <w:sz w:val="24"/>
                <w:szCs w:val="24"/>
              </w:rPr>
            </w:pPr>
            <w:r w:rsidRPr="004F0BC9">
              <w:rPr>
                <w:rFonts w:ascii="Calibri" w:hAnsi="Calibri" w:cs="Calibri"/>
                <w:b/>
                <w:bCs/>
                <w:color w:val="000000"/>
                <w:sz w:val="24"/>
                <w:szCs w:val="24"/>
              </w:rPr>
              <w:t>NM EN 12285-1</w:t>
            </w:r>
          </w:p>
        </w:tc>
      </w:tr>
      <w:tr w:rsidR="00D76221" w:rsidRPr="004F0BC9" w:rsidTr="004F0BC9">
        <w:trPr>
          <w:trHeight w:val="383"/>
          <w:jc w:val="center"/>
        </w:trPr>
        <w:tc>
          <w:tcPr>
            <w:tcW w:w="1838" w:type="dxa"/>
            <w:tcBorders>
              <w:top w:val="single" w:sz="4" w:space="0" w:color="auto"/>
              <w:bottom w:val="single" w:sz="18" w:space="0" w:color="auto"/>
              <w:right w:val="single" w:sz="4" w:space="0" w:color="auto"/>
            </w:tcBorders>
            <w:shd w:val="clear" w:color="auto" w:fill="FFFF99"/>
            <w:vAlign w:val="center"/>
          </w:tcPr>
          <w:p w:rsidR="00D76221" w:rsidRDefault="00D76221" w:rsidP="004F0BC9">
            <w:pPr>
              <w:spacing w:after="0" w:line="240" w:lineRule="auto"/>
              <w:jc w:val="center"/>
              <w:rPr>
                <w:rFonts w:ascii="Calibri" w:hAnsi="Calibri" w:cs="Calibri"/>
                <w:b/>
                <w:bCs/>
              </w:rPr>
            </w:pPr>
            <w:r>
              <w:rPr>
                <w:rFonts w:ascii="Calibri" w:hAnsi="Calibri" w:cs="Calibri"/>
                <w:b/>
                <w:bCs/>
              </w:rPr>
              <w:t xml:space="preserve">Equivalence </w:t>
            </w:r>
          </w:p>
        </w:tc>
        <w:tc>
          <w:tcPr>
            <w:tcW w:w="7938" w:type="dxa"/>
            <w:tcBorders>
              <w:top w:val="single" w:sz="4" w:space="0" w:color="auto"/>
              <w:left w:val="single" w:sz="4" w:space="0" w:color="auto"/>
              <w:bottom w:val="single" w:sz="18" w:space="0" w:color="auto"/>
            </w:tcBorders>
            <w:shd w:val="clear" w:color="auto" w:fill="FFFF99"/>
            <w:vAlign w:val="center"/>
          </w:tcPr>
          <w:p w:rsidR="00D76221" w:rsidRPr="004F0BC9" w:rsidRDefault="00D76221" w:rsidP="004F0BC9">
            <w:pPr>
              <w:spacing w:after="0" w:line="240" w:lineRule="auto"/>
              <w:jc w:val="center"/>
              <w:rPr>
                <w:rFonts w:ascii="Calibri" w:hAnsi="Calibri" w:cs="Calibri"/>
                <w:b/>
                <w:bCs/>
              </w:rPr>
            </w:pPr>
            <w:r w:rsidRPr="004F0BC9">
              <w:rPr>
                <w:rFonts w:ascii="Calibri" w:hAnsi="Calibri" w:cs="Calibri"/>
                <w:b/>
                <w:bCs/>
                <w:sz w:val="24"/>
                <w:szCs w:val="24"/>
              </w:rPr>
              <w:t>EN 12285-1</w:t>
            </w:r>
          </w:p>
        </w:tc>
      </w:tr>
      <w:tr w:rsidR="00D76221" w:rsidRPr="004F0BC9" w:rsidTr="004F0BC9">
        <w:trPr>
          <w:trHeight w:val="629"/>
          <w:jc w:val="center"/>
        </w:trPr>
        <w:tc>
          <w:tcPr>
            <w:tcW w:w="1838" w:type="dxa"/>
            <w:tcBorders>
              <w:top w:val="single" w:sz="18" w:space="0" w:color="auto"/>
              <w:bottom w:val="single" w:sz="4" w:space="0" w:color="auto"/>
              <w:right w:val="single" w:sz="4" w:space="0" w:color="auto"/>
            </w:tcBorders>
            <w:shd w:val="clear" w:color="auto" w:fill="B8CCE4" w:themeFill="accent1" w:themeFillTint="66"/>
            <w:vAlign w:val="center"/>
          </w:tcPr>
          <w:p w:rsidR="00D76221" w:rsidRDefault="00D76221" w:rsidP="004F0BC9">
            <w:pPr>
              <w:spacing w:after="0" w:line="240" w:lineRule="auto"/>
              <w:jc w:val="center"/>
              <w:rPr>
                <w:rFonts w:ascii="Calibri" w:hAnsi="Calibri" w:cs="Calibri"/>
                <w:b/>
                <w:bCs/>
              </w:rPr>
            </w:pPr>
            <w:r>
              <w:rPr>
                <w:rFonts w:ascii="Calibri" w:hAnsi="Calibri" w:cs="Calibri"/>
                <w:b/>
                <w:bCs/>
              </w:rPr>
              <w:t xml:space="preserve">Intitulé </w:t>
            </w:r>
          </w:p>
        </w:tc>
        <w:tc>
          <w:tcPr>
            <w:tcW w:w="7938" w:type="dxa"/>
            <w:tcBorders>
              <w:top w:val="single" w:sz="18" w:space="0" w:color="auto"/>
              <w:left w:val="single" w:sz="4" w:space="0" w:color="auto"/>
              <w:bottom w:val="single" w:sz="4" w:space="0" w:color="auto"/>
            </w:tcBorders>
            <w:shd w:val="clear" w:color="auto" w:fill="auto"/>
          </w:tcPr>
          <w:p w:rsidR="00D76221" w:rsidRPr="004F0BC9" w:rsidRDefault="00D76221" w:rsidP="004F0BC9">
            <w:pPr>
              <w:spacing w:after="0" w:line="240" w:lineRule="auto"/>
              <w:jc w:val="both"/>
              <w:rPr>
                <w:rFonts w:ascii="Calibri" w:hAnsi="Calibri" w:cs="Calibri"/>
              </w:rPr>
            </w:pPr>
            <w:r w:rsidRPr="004F0BC9">
              <w:rPr>
                <w:rFonts w:ascii="Calibri" w:hAnsi="Calibri" w:cs="Calibri"/>
              </w:rPr>
              <w:t>Réservoirs en acier fabriqués en atelier —Partie 1 : Réservoirs horizontaux cylindriques à simple ou double paroi pour le stockage enterré de liquides inflammables et non inflammables polluant l'eau en dehors du chauffage et du refroidissement des bâtiments</w:t>
            </w:r>
          </w:p>
        </w:tc>
      </w:tr>
      <w:tr w:rsidR="00D76221" w:rsidRPr="004F0BC9" w:rsidTr="004F0BC9">
        <w:trPr>
          <w:trHeight w:val="629"/>
          <w:jc w:val="center"/>
        </w:trPr>
        <w:tc>
          <w:tcPr>
            <w:tcW w:w="1838" w:type="dxa"/>
            <w:tcBorders>
              <w:top w:val="single" w:sz="4" w:space="0" w:color="auto"/>
              <w:bottom w:val="single" w:sz="18" w:space="0" w:color="auto"/>
              <w:right w:val="single" w:sz="4" w:space="0" w:color="auto"/>
            </w:tcBorders>
            <w:shd w:val="clear" w:color="000000" w:fill="D9D9D9"/>
            <w:vAlign w:val="center"/>
          </w:tcPr>
          <w:p w:rsidR="00D76221" w:rsidRDefault="00D76221" w:rsidP="004F0BC9">
            <w:pPr>
              <w:spacing w:after="0" w:line="240" w:lineRule="auto"/>
              <w:jc w:val="center"/>
              <w:rPr>
                <w:rFonts w:ascii="Calibri" w:hAnsi="Calibri" w:cs="Calibri"/>
                <w:b/>
                <w:bCs/>
              </w:rPr>
            </w:pPr>
            <w:r>
              <w:rPr>
                <w:rFonts w:ascii="Calibri" w:hAnsi="Calibri" w:cs="Calibri"/>
                <w:b/>
                <w:bCs/>
              </w:rPr>
              <w:t xml:space="preserve">Domaine d’application </w:t>
            </w:r>
          </w:p>
        </w:tc>
        <w:tc>
          <w:tcPr>
            <w:tcW w:w="7938" w:type="dxa"/>
            <w:tcBorders>
              <w:top w:val="single" w:sz="4" w:space="0" w:color="auto"/>
              <w:left w:val="single" w:sz="4" w:space="0" w:color="auto"/>
              <w:bottom w:val="single" w:sz="18" w:space="0" w:color="auto"/>
            </w:tcBorders>
            <w:shd w:val="clear" w:color="auto" w:fill="auto"/>
          </w:tcPr>
          <w:p w:rsidR="004F0BC9" w:rsidRDefault="00D76221" w:rsidP="004F0BC9">
            <w:pPr>
              <w:spacing w:after="0" w:line="240" w:lineRule="auto"/>
              <w:jc w:val="both"/>
              <w:rPr>
                <w:rFonts w:ascii="Calibri" w:hAnsi="Calibri" w:cs="Calibri"/>
              </w:rPr>
            </w:pPr>
            <w:r w:rsidRPr="004F0BC9">
              <w:rPr>
                <w:rFonts w:ascii="Calibri" w:hAnsi="Calibri" w:cs="Calibri"/>
              </w:rPr>
              <w:t>Le présent document définit les caractéristiques du produit et les méthodes d'essai pour les réservoirs en acier horizontaux cylindriques, fabriqués en atelier, à simple (type S) et double paroi (type D), destinés à être utilisés pour le stockage enterré de liquides polluant l'eau (inflammables et non inflammables) et installés dans des procédés industriels ou dans des stations-service dans des conditions normales de températures ambiantes (−20 °C à +50 °C), et compris dans les limites suivantes :</w:t>
            </w:r>
          </w:p>
          <w:p w:rsidR="004F0BC9" w:rsidRDefault="00D76221" w:rsidP="004F0BC9">
            <w:pPr>
              <w:spacing w:after="0" w:line="240" w:lineRule="auto"/>
              <w:jc w:val="both"/>
              <w:rPr>
                <w:rFonts w:ascii="Calibri" w:hAnsi="Calibri" w:cs="Calibri"/>
              </w:rPr>
            </w:pPr>
            <w:r w:rsidRPr="004F0BC9">
              <w:rPr>
                <w:rFonts w:ascii="Calibri" w:hAnsi="Calibri" w:cs="Calibri"/>
              </w:rPr>
              <w:t>— diamètre nominal compris entre 800 mm et 3 000 mm ;</w:t>
            </w:r>
          </w:p>
          <w:p w:rsidR="004F0BC9" w:rsidRDefault="00D76221" w:rsidP="004F0BC9">
            <w:pPr>
              <w:spacing w:after="0" w:line="240" w:lineRule="auto"/>
              <w:jc w:val="both"/>
              <w:rPr>
                <w:rFonts w:ascii="Calibri" w:hAnsi="Calibri" w:cs="Calibri"/>
              </w:rPr>
            </w:pPr>
            <w:r w:rsidRPr="004F0BC9">
              <w:rPr>
                <w:rFonts w:ascii="Calibri" w:hAnsi="Calibri" w:cs="Calibri"/>
              </w:rPr>
              <w:t>— longueur maximale d'encombrement égale à 6 fois le diamètre nominal ;</w:t>
            </w:r>
          </w:p>
          <w:p w:rsidR="004F0BC9" w:rsidRDefault="00D76221" w:rsidP="004F0BC9">
            <w:pPr>
              <w:spacing w:after="0" w:line="240" w:lineRule="auto"/>
              <w:jc w:val="both"/>
              <w:rPr>
                <w:rFonts w:ascii="Calibri" w:hAnsi="Calibri" w:cs="Calibri"/>
              </w:rPr>
            </w:pPr>
            <w:r w:rsidRPr="004F0BC9">
              <w:rPr>
                <w:rFonts w:ascii="Calibri" w:hAnsi="Calibri" w:cs="Calibri"/>
              </w:rPr>
              <w:t>— avec une pression de service (Po) maximale de 50 kPa (0,5 bar(g)) et une pression de service minimale de – 5 kPa (– 50 mbar(g)) ; et</w:t>
            </w:r>
          </w:p>
          <w:p w:rsidR="004F0BC9" w:rsidRDefault="00D76221" w:rsidP="004F0BC9">
            <w:pPr>
              <w:spacing w:after="0" w:line="240" w:lineRule="auto"/>
              <w:jc w:val="both"/>
              <w:rPr>
                <w:rFonts w:ascii="Calibri" w:hAnsi="Calibri" w:cs="Calibri"/>
              </w:rPr>
            </w:pPr>
            <w:r w:rsidRPr="004F0BC9">
              <w:rPr>
                <w:rFonts w:ascii="Calibri" w:hAnsi="Calibri" w:cs="Calibri"/>
              </w:rPr>
              <w:t>— pour des réservoirs à double paroi munis d'un système de détection de fuites du vide, la viscosité ne doit pas être supérieure à 5 × 10−3 m2/s.</w:t>
            </w:r>
          </w:p>
          <w:p w:rsidR="004F0BC9" w:rsidRDefault="00D76221" w:rsidP="004F0BC9">
            <w:pPr>
              <w:spacing w:after="0" w:line="240" w:lineRule="auto"/>
              <w:jc w:val="both"/>
              <w:rPr>
                <w:rFonts w:ascii="Calibri" w:hAnsi="Calibri" w:cs="Calibri"/>
              </w:rPr>
            </w:pPr>
            <w:r w:rsidRPr="004F0BC9">
              <w:rPr>
                <w:rFonts w:ascii="Calibri" w:hAnsi="Calibri" w:cs="Calibri"/>
              </w:rPr>
              <w:t>Les réservoirs conçus conformément à la présente norme supportent une hauteur de remblai de 1,5 m. En cas de charges induites par la circulation ou de hauteur de remblai plus élevée, il convient d’effectuer un calcul.</w:t>
            </w:r>
          </w:p>
          <w:p w:rsidR="004F0BC9" w:rsidRDefault="00D76221" w:rsidP="004F0BC9">
            <w:pPr>
              <w:spacing w:after="0" w:line="240" w:lineRule="auto"/>
              <w:jc w:val="both"/>
              <w:rPr>
                <w:rFonts w:ascii="Calibri" w:hAnsi="Calibri" w:cs="Calibri"/>
              </w:rPr>
            </w:pPr>
            <w:r w:rsidRPr="004F0BC9">
              <w:rPr>
                <w:rFonts w:ascii="Calibri" w:hAnsi="Calibri" w:cs="Calibri"/>
              </w:rPr>
              <w:t>Le présent document ne s'applique pas aux réservoirs utilisés pour le stockage et/ou l'alimentation en combustible/gaz des systèmes de chauffage/refroidissement des bâtiments, et en eau chaude ou froide non destinée à la consommation humaine, ni aux charges et mesures spéciales nécessaires dans les zones exposées à un risque sismique.</w:t>
            </w:r>
            <w:r w:rsidRPr="004F0BC9">
              <w:rPr>
                <w:rFonts w:ascii="Calibri" w:hAnsi="Calibri" w:cs="Calibri"/>
              </w:rPr>
              <w:br/>
              <w:t>Des lignes directrices concernant l'installation des réservoirs sont données à l'Annexe A, qui ne contient pas de mesures spéciales pouvant s'avérer nécessaires dans les zones exposées aux inondations.</w:t>
            </w:r>
          </w:p>
          <w:p w:rsidR="00D76221" w:rsidRPr="004F0BC9" w:rsidRDefault="00D76221" w:rsidP="004F0BC9">
            <w:pPr>
              <w:spacing w:after="0" w:line="240" w:lineRule="auto"/>
              <w:jc w:val="both"/>
              <w:rPr>
                <w:rFonts w:ascii="Calibri" w:hAnsi="Calibri" w:cs="Calibri"/>
              </w:rPr>
            </w:pPr>
            <w:r w:rsidRPr="004F0BC9">
              <w:rPr>
                <w:rFonts w:ascii="Calibri" w:hAnsi="Calibri" w:cs="Calibri"/>
              </w:rPr>
              <w:lastRenderedPageBreak/>
              <w:t>Le présent document ne s'applique pas au stockage de liquides relevant des classes de matières dangereuses énumérées au Tableau 1, en raison des dangers spécifiques pouvant être engendrés.</w:t>
            </w:r>
          </w:p>
        </w:tc>
      </w:tr>
      <w:tr w:rsidR="00D76221" w:rsidRPr="004F0BC9" w:rsidTr="004F0BC9">
        <w:trPr>
          <w:trHeight w:val="422"/>
          <w:jc w:val="center"/>
        </w:trPr>
        <w:tc>
          <w:tcPr>
            <w:tcW w:w="1838" w:type="dxa"/>
            <w:tcBorders>
              <w:top w:val="single" w:sz="4" w:space="0" w:color="auto"/>
              <w:bottom w:val="single" w:sz="18" w:space="0" w:color="auto"/>
              <w:right w:val="single" w:sz="4" w:space="0" w:color="auto"/>
            </w:tcBorders>
            <w:shd w:val="clear" w:color="auto" w:fill="C2D69B" w:themeFill="accent3" w:themeFillTint="99"/>
            <w:vAlign w:val="center"/>
          </w:tcPr>
          <w:p w:rsidR="00D76221" w:rsidRDefault="00D76221" w:rsidP="004F0BC9">
            <w:pPr>
              <w:spacing w:after="0" w:line="240" w:lineRule="auto"/>
              <w:jc w:val="center"/>
              <w:rPr>
                <w:rFonts w:ascii="Calibri" w:hAnsi="Calibri" w:cs="Calibri"/>
                <w:b/>
                <w:bCs/>
              </w:rPr>
            </w:pPr>
            <w:r>
              <w:rPr>
                <w:rFonts w:ascii="Calibri" w:hAnsi="Calibri" w:cs="Calibri"/>
                <w:b/>
                <w:bCs/>
              </w:rPr>
              <w:lastRenderedPageBreak/>
              <w:t xml:space="preserve">Code </w:t>
            </w:r>
            <w:r w:rsidR="004F0BC9">
              <w:rPr>
                <w:rFonts w:ascii="Calibri" w:hAnsi="Calibri" w:cs="Calibri"/>
                <w:b/>
                <w:bCs/>
              </w:rPr>
              <w:t xml:space="preserve"> </w:t>
            </w:r>
          </w:p>
        </w:tc>
        <w:tc>
          <w:tcPr>
            <w:tcW w:w="7938" w:type="dxa"/>
            <w:tcBorders>
              <w:top w:val="single" w:sz="4" w:space="0" w:color="auto"/>
              <w:left w:val="single" w:sz="4" w:space="0" w:color="auto"/>
              <w:bottom w:val="single" w:sz="18" w:space="0" w:color="auto"/>
            </w:tcBorders>
            <w:shd w:val="clear" w:color="auto" w:fill="C2D69B" w:themeFill="accent3" w:themeFillTint="99"/>
            <w:vAlign w:val="center"/>
          </w:tcPr>
          <w:p w:rsidR="00D76221" w:rsidRPr="004F0BC9" w:rsidRDefault="00D76221" w:rsidP="004F0BC9">
            <w:pPr>
              <w:spacing w:after="0" w:line="240" w:lineRule="auto"/>
              <w:jc w:val="center"/>
              <w:rPr>
                <w:rFonts w:ascii="Calibri" w:hAnsi="Calibri" w:cs="Calibri"/>
                <w:b/>
                <w:bCs/>
              </w:rPr>
            </w:pPr>
            <w:r w:rsidRPr="004F0BC9">
              <w:rPr>
                <w:rFonts w:ascii="Calibri" w:hAnsi="Calibri" w:cs="Calibri"/>
                <w:b/>
                <w:bCs/>
              </w:rPr>
              <w:t>NM EN 12285-2</w:t>
            </w:r>
          </w:p>
        </w:tc>
      </w:tr>
      <w:tr w:rsidR="00D76221" w:rsidRPr="004F0BC9" w:rsidTr="004F0BC9">
        <w:trPr>
          <w:trHeight w:val="357"/>
          <w:jc w:val="center"/>
        </w:trPr>
        <w:tc>
          <w:tcPr>
            <w:tcW w:w="1838" w:type="dxa"/>
            <w:tcBorders>
              <w:top w:val="single" w:sz="4" w:space="0" w:color="auto"/>
              <w:bottom w:val="single" w:sz="18" w:space="0" w:color="auto"/>
              <w:right w:val="single" w:sz="4" w:space="0" w:color="auto"/>
            </w:tcBorders>
            <w:shd w:val="clear" w:color="auto" w:fill="FFFF99"/>
            <w:vAlign w:val="center"/>
          </w:tcPr>
          <w:p w:rsidR="00D76221" w:rsidRDefault="00D76221" w:rsidP="004F0BC9">
            <w:pPr>
              <w:spacing w:after="0" w:line="240" w:lineRule="auto"/>
              <w:jc w:val="center"/>
              <w:rPr>
                <w:rFonts w:ascii="Calibri" w:hAnsi="Calibri" w:cs="Calibri"/>
                <w:b/>
                <w:bCs/>
              </w:rPr>
            </w:pPr>
            <w:r>
              <w:rPr>
                <w:rFonts w:ascii="Calibri" w:hAnsi="Calibri" w:cs="Calibri"/>
                <w:b/>
                <w:bCs/>
              </w:rPr>
              <w:t xml:space="preserve">Equivalence </w:t>
            </w:r>
          </w:p>
        </w:tc>
        <w:tc>
          <w:tcPr>
            <w:tcW w:w="7938" w:type="dxa"/>
            <w:tcBorders>
              <w:top w:val="single" w:sz="4" w:space="0" w:color="auto"/>
              <w:left w:val="single" w:sz="4" w:space="0" w:color="auto"/>
              <w:bottom w:val="single" w:sz="18" w:space="0" w:color="auto"/>
            </w:tcBorders>
            <w:shd w:val="clear" w:color="auto" w:fill="FFFF99"/>
            <w:vAlign w:val="center"/>
          </w:tcPr>
          <w:p w:rsidR="00D76221" w:rsidRPr="004F0BC9" w:rsidRDefault="00D76221" w:rsidP="004F0BC9">
            <w:pPr>
              <w:spacing w:after="0" w:line="240" w:lineRule="auto"/>
              <w:jc w:val="center"/>
              <w:rPr>
                <w:rFonts w:ascii="Calibri" w:hAnsi="Calibri" w:cs="Calibri"/>
                <w:b/>
                <w:bCs/>
              </w:rPr>
            </w:pPr>
            <w:r>
              <w:rPr>
                <w:rFonts w:ascii="Calibri" w:hAnsi="Calibri" w:cs="Calibri"/>
                <w:b/>
                <w:bCs/>
              </w:rPr>
              <w:t>EN 12285-2</w:t>
            </w:r>
          </w:p>
        </w:tc>
      </w:tr>
      <w:tr w:rsidR="00D76221" w:rsidRPr="004F0BC9" w:rsidTr="004F0BC9">
        <w:trPr>
          <w:trHeight w:val="629"/>
          <w:jc w:val="center"/>
        </w:trPr>
        <w:tc>
          <w:tcPr>
            <w:tcW w:w="1838" w:type="dxa"/>
            <w:tcBorders>
              <w:top w:val="single" w:sz="18" w:space="0" w:color="auto"/>
              <w:bottom w:val="single" w:sz="4" w:space="0" w:color="auto"/>
              <w:right w:val="single" w:sz="4" w:space="0" w:color="auto"/>
            </w:tcBorders>
            <w:shd w:val="clear" w:color="auto" w:fill="95B3D7" w:themeFill="accent1" w:themeFillTint="99"/>
            <w:vAlign w:val="center"/>
          </w:tcPr>
          <w:p w:rsidR="00D76221" w:rsidRDefault="00D76221" w:rsidP="004F0BC9">
            <w:pPr>
              <w:spacing w:after="0" w:line="240" w:lineRule="auto"/>
              <w:jc w:val="center"/>
              <w:rPr>
                <w:rFonts w:ascii="Calibri" w:hAnsi="Calibri" w:cs="Calibri"/>
                <w:b/>
                <w:bCs/>
              </w:rPr>
            </w:pPr>
            <w:r>
              <w:rPr>
                <w:rFonts w:ascii="Calibri" w:hAnsi="Calibri" w:cs="Calibri"/>
                <w:b/>
                <w:bCs/>
              </w:rPr>
              <w:t xml:space="preserve">Intitulé </w:t>
            </w:r>
          </w:p>
        </w:tc>
        <w:tc>
          <w:tcPr>
            <w:tcW w:w="7938" w:type="dxa"/>
            <w:tcBorders>
              <w:top w:val="single" w:sz="18" w:space="0" w:color="auto"/>
              <w:left w:val="single" w:sz="4" w:space="0" w:color="auto"/>
              <w:bottom w:val="single" w:sz="4" w:space="0" w:color="auto"/>
            </w:tcBorders>
            <w:shd w:val="clear" w:color="auto" w:fill="auto"/>
          </w:tcPr>
          <w:p w:rsidR="00D76221" w:rsidRPr="004F0BC9" w:rsidRDefault="00D76221" w:rsidP="004F0BC9">
            <w:pPr>
              <w:spacing w:after="0" w:line="240" w:lineRule="auto"/>
              <w:jc w:val="both"/>
              <w:rPr>
                <w:rFonts w:ascii="Calibri" w:hAnsi="Calibri" w:cs="Calibri"/>
              </w:rPr>
            </w:pPr>
            <w:r w:rsidRPr="004F0BC9">
              <w:rPr>
                <w:rFonts w:ascii="Calibri" w:hAnsi="Calibri" w:cs="Calibri"/>
              </w:rPr>
              <w:t>Réservoirs en acier fabriqués en atelier -Partie 2 : Réservoirs horizontaux cylindriques à simple et double paroi pour le stockage aérien de liquides inflammables et non inflammables polluant l'eau ; (IC 01.4.021)</w:t>
            </w:r>
          </w:p>
        </w:tc>
      </w:tr>
      <w:tr w:rsidR="00D76221" w:rsidRPr="004F0BC9" w:rsidTr="004F0BC9">
        <w:trPr>
          <w:trHeight w:val="629"/>
          <w:jc w:val="center"/>
        </w:trPr>
        <w:tc>
          <w:tcPr>
            <w:tcW w:w="1838" w:type="dxa"/>
            <w:tcBorders>
              <w:top w:val="single" w:sz="4" w:space="0" w:color="auto"/>
              <w:bottom w:val="single" w:sz="18" w:space="0" w:color="auto"/>
              <w:right w:val="single" w:sz="4" w:space="0" w:color="auto"/>
            </w:tcBorders>
            <w:shd w:val="clear" w:color="000000" w:fill="D9D9D9"/>
            <w:vAlign w:val="center"/>
          </w:tcPr>
          <w:p w:rsidR="00D76221" w:rsidRDefault="00D76221" w:rsidP="004F0BC9">
            <w:pPr>
              <w:spacing w:after="0" w:line="240" w:lineRule="auto"/>
              <w:jc w:val="center"/>
              <w:rPr>
                <w:rFonts w:ascii="Calibri" w:hAnsi="Calibri" w:cs="Calibri"/>
                <w:b/>
                <w:bCs/>
              </w:rPr>
            </w:pPr>
            <w:r>
              <w:rPr>
                <w:rFonts w:ascii="Calibri" w:hAnsi="Calibri" w:cs="Calibri"/>
                <w:b/>
                <w:bCs/>
              </w:rPr>
              <w:t xml:space="preserve">Domaine d’application </w:t>
            </w:r>
          </w:p>
        </w:tc>
        <w:tc>
          <w:tcPr>
            <w:tcW w:w="7938" w:type="dxa"/>
            <w:tcBorders>
              <w:top w:val="single" w:sz="4" w:space="0" w:color="auto"/>
              <w:left w:val="single" w:sz="4" w:space="0" w:color="auto"/>
              <w:bottom w:val="single" w:sz="18" w:space="0" w:color="auto"/>
            </w:tcBorders>
            <w:shd w:val="clear" w:color="auto" w:fill="auto"/>
            <w:vAlign w:val="bottom"/>
          </w:tcPr>
          <w:tbl>
            <w:tblPr>
              <w:tblW w:w="0" w:type="auto"/>
              <w:tblCellSpacing w:w="0" w:type="dxa"/>
              <w:tblCellMar>
                <w:left w:w="0" w:type="dxa"/>
                <w:right w:w="0" w:type="dxa"/>
              </w:tblCellMar>
              <w:tblLook w:val="04A0" w:firstRow="1" w:lastRow="0" w:firstColumn="1" w:lastColumn="0" w:noHBand="0" w:noVBand="1"/>
            </w:tblPr>
            <w:tblGrid>
              <w:gridCol w:w="7798"/>
            </w:tblGrid>
            <w:tr w:rsidR="00D76221" w:rsidRPr="004F0BC9" w:rsidTr="004F0BC9">
              <w:trPr>
                <w:trHeight w:val="8190"/>
                <w:tblCellSpacing w:w="0" w:type="dxa"/>
              </w:trPr>
              <w:tc>
                <w:tcPr>
                  <w:tcW w:w="7798" w:type="dxa"/>
                  <w:tcBorders>
                    <w:top w:val="nil"/>
                    <w:left w:val="nil"/>
                    <w:bottom w:val="nil"/>
                    <w:right w:val="nil"/>
                  </w:tcBorders>
                  <w:shd w:val="clear" w:color="auto" w:fill="auto"/>
                  <w:hideMark/>
                </w:tcPr>
                <w:p w:rsidR="004F0BC9" w:rsidRDefault="00D76221" w:rsidP="004F0BC9">
                  <w:pPr>
                    <w:spacing w:after="0" w:line="240" w:lineRule="auto"/>
                    <w:jc w:val="both"/>
                    <w:rPr>
                      <w:rFonts w:ascii="Calibri" w:hAnsi="Calibri" w:cs="Calibri"/>
                    </w:rPr>
                  </w:pPr>
                  <w:r w:rsidRPr="004F0BC9">
                    <w:rPr>
                      <w:rFonts w:ascii="Calibri" w:hAnsi="Calibri" w:cs="Calibri"/>
                    </w:rPr>
                    <w:t>Le présent document spécifie les exigences applicables aux réservoirs en aciers, cylindriques, horizontaux, fabriqués en atelier, à simple et double paroi, pour le stockage aérien de liquides polluant l'eau (inflammables et non inflammables), et compris dans les limites suivantes :</w:t>
                  </w:r>
                </w:p>
                <w:p w:rsidR="004F0BC9" w:rsidRDefault="00D76221" w:rsidP="004F0BC9">
                  <w:pPr>
                    <w:spacing w:after="0" w:line="240" w:lineRule="auto"/>
                    <w:jc w:val="both"/>
                    <w:rPr>
                      <w:rFonts w:ascii="Calibri" w:hAnsi="Calibri" w:cs="Calibri"/>
                    </w:rPr>
                  </w:pPr>
                  <w:r w:rsidRPr="004F0BC9">
                    <w:rPr>
                      <w:rFonts w:ascii="Calibri" w:hAnsi="Calibri" w:cs="Calibri"/>
                    </w:rPr>
                    <w:t>— diamètre nominal compris entre 800 mm et 3 000 mm ;</w:t>
                  </w:r>
                </w:p>
                <w:p w:rsidR="004F0BC9" w:rsidRDefault="00D76221" w:rsidP="004F0BC9">
                  <w:pPr>
                    <w:spacing w:after="0" w:line="240" w:lineRule="auto"/>
                    <w:jc w:val="both"/>
                    <w:rPr>
                      <w:rFonts w:ascii="Calibri" w:hAnsi="Calibri" w:cs="Calibri"/>
                    </w:rPr>
                  </w:pPr>
                  <w:r w:rsidRPr="004F0BC9">
                    <w:rPr>
                      <w:rFonts w:ascii="Calibri" w:hAnsi="Calibri" w:cs="Calibri"/>
                    </w:rPr>
                    <w:t>— longueur maximale d'encombrement égale à 6 fois le diamètre nominal ;</w:t>
                  </w:r>
                </w:p>
                <w:p w:rsidR="004F0BC9" w:rsidRDefault="00D76221" w:rsidP="004F0BC9">
                  <w:pPr>
                    <w:spacing w:after="0" w:line="240" w:lineRule="auto"/>
                    <w:jc w:val="both"/>
                    <w:rPr>
                      <w:rFonts w:ascii="Calibri" w:hAnsi="Calibri" w:cs="Calibri"/>
                    </w:rPr>
                  </w:pPr>
                  <w:r w:rsidRPr="004F0BC9">
                    <w:rPr>
                      <w:rFonts w:ascii="Calibri" w:hAnsi="Calibri" w:cs="Calibri"/>
                    </w:rPr>
                    <w:t>— pour les liquides présentant une masse volumique maximale égale à 1,9 kg/l ;</w:t>
                  </w:r>
                </w:p>
                <w:p w:rsidR="004F0BC9" w:rsidRDefault="00D76221" w:rsidP="004F0BC9">
                  <w:pPr>
                    <w:spacing w:after="0" w:line="240" w:lineRule="auto"/>
                    <w:jc w:val="both"/>
                    <w:rPr>
                      <w:rFonts w:ascii="Calibri" w:hAnsi="Calibri" w:cs="Calibri"/>
                    </w:rPr>
                  </w:pPr>
                  <w:r w:rsidRPr="004F0BC9">
                    <w:rPr>
                      <w:rFonts w:ascii="Calibri" w:hAnsi="Calibri" w:cs="Calibri"/>
                    </w:rPr>
                    <w:t>— avec une pression de service (po) maximale de 1,5 bar (absolue) ; et</w:t>
                  </w:r>
                </w:p>
                <w:p w:rsidR="004F0BC9" w:rsidRDefault="00D76221" w:rsidP="004F0BC9">
                  <w:pPr>
                    <w:spacing w:after="0" w:line="240" w:lineRule="auto"/>
                    <w:jc w:val="both"/>
                    <w:rPr>
                      <w:rFonts w:ascii="Calibri" w:hAnsi="Calibri" w:cs="Calibri"/>
                    </w:rPr>
                  </w:pPr>
                  <w:r w:rsidRPr="004F0BC9">
                    <w:rPr>
                      <w:rFonts w:ascii="Calibri" w:hAnsi="Calibri" w:cs="Calibri"/>
                    </w:rPr>
                    <w:t>— lorsque des réservoirs à double paroi, munis d'un système de détection de fuites du vide, sont utilisés, la viscosité des liquides stockés ne doit pas être supérieure à 5 × 10-3 m2/s.</w:t>
                  </w:r>
                  <w:r w:rsidRPr="004F0BC9">
                    <w:rPr>
                      <w:rFonts w:ascii="Calibri" w:hAnsi="Calibri" w:cs="Calibri"/>
                    </w:rPr>
                    <w:br/>
                    <w:t>Le présent document s'applique dans des conditions normales de température ambiante (– 20 °C à + 50 °C).</w:t>
                  </w:r>
                </w:p>
                <w:p w:rsidR="004F0BC9" w:rsidRDefault="00D76221" w:rsidP="004F0BC9">
                  <w:pPr>
                    <w:spacing w:after="0" w:line="240" w:lineRule="auto"/>
                    <w:jc w:val="both"/>
                    <w:rPr>
                      <w:rFonts w:ascii="Calibri" w:hAnsi="Calibri" w:cs="Calibri"/>
                    </w:rPr>
                  </w:pPr>
                  <w:r w:rsidRPr="004F0BC9">
                    <w:rPr>
                      <w:rFonts w:ascii="Calibri" w:hAnsi="Calibri" w:cs="Calibri"/>
                    </w:rPr>
                    <w:t>Lorsque des températures sont en dehors de cette plage, il convient que des exigences complémentaires soient considérées.</w:t>
                  </w:r>
                </w:p>
                <w:p w:rsidR="004F0BC9" w:rsidRDefault="00D76221" w:rsidP="004F0BC9">
                  <w:pPr>
                    <w:spacing w:after="0" w:line="240" w:lineRule="auto"/>
                    <w:jc w:val="both"/>
                    <w:rPr>
                      <w:rFonts w:ascii="Calibri" w:hAnsi="Calibri" w:cs="Calibri"/>
                    </w:rPr>
                  </w:pPr>
                  <w:r w:rsidRPr="004F0BC9">
                    <w:rPr>
                      <w:rFonts w:ascii="Calibri" w:hAnsi="Calibri" w:cs="Calibri"/>
                    </w:rPr>
                    <w:t xml:space="preserve">Ce document ne s'applique pas au stockage de liquides appartenant aux classes de matières dangereuses énumérées au Tableau 1, en raison des dangers spécifiques engendrés.                                                                                                                                             </w:t>
                  </w:r>
                </w:p>
                <w:p w:rsidR="004F0BC9" w:rsidRPr="004F0BC9" w:rsidRDefault="00D76221" w:rsidP="004F0BC9">
                  <w:pPr>
                    <w:spacing w:after="0" w:line="240" w:lineRule="auto"/>
                    <w:jc w:val="both"/>
                    <w:rPr>
                      <w:rFonts w:ascii="Calibri" w:hAnsi="Calibri" w:cs="Calibri"/>
                      <w:i/>
                      <w:iCs/>
                      <w:sz w:val="20"/>
                      <w:szCs w:val="20"/>
                    </w:rPr>
                  </w:pPr>
                  <w:r w:rsidRPr="004F0BC9">
                    <w:rPr>
                      <w:rFonts w:ascii="Calibri" w:hAnsi="Calibri" w:cs="Calibri"/>
                      <w:b/>
                      <w:bCs/>
                      <w:i/>
                      <w:iCs/>
                      <w:sz w:val="20"/>
                      <w:szCs w:val="20"/>
                    </w:rPr>
                    <w:t>NOTE</w:t>
                  </w:r>
                  <w:r w:rsidR="004F0BC9" w:rsidRPr="004F0BC9">
                    <w:rPr>
                      <w:rFonts w:ascii="Calibri" w:hAnsi="Calibri" w:cs="Calibri"/>
                      <w:b/>
                      <w:bCs/>
                      <w:i/>
                      <w:iCs/>
                      <w:sz w:val="20"/>
                      <w:szCs w:val="20"/>
                    </w:rPr>
                    <w:t> </w:t>
                  </w:r>
                  <w:r w:rsidR="004F0BC9" w:rsidRPr="004F0BC9">
                    <w:rPr>
                      <w:rFonts w:ascii="Calibri" w:hAnsi="Calibri" w:cs="Calibri"/>
                      <w:i/>
                      <w:iCs/>
                      <w:sz w:val="20"/>
                      <w:szCs w:val="20"/>
                    </w:rPr>
                    <w:t xml:space="preserve">: </w:t>
                  </w:r>
                  <w:r w:rsidRPr="004F0BC9">
                    <w:rPr>
                      <w:rFonts w:ascii="Calibri" w:hAnsi="Calibri" w:cs="Calibri"/>
                      <w:i/>
                      <w:iCs/>
                      <w:sz w:val="20"/>
                      <w:szCs w:val="20"/>
                    </w:rPr>
                    <w:t>Les classifications données ci-dessus sont celles adoptées par le comité d'experts des Nations Unies pour le transport des matières dangereuses (elles ne doivent pas être interprétées comme les classes de réservoirs décrites au 3.1.4).</w:t>
                  </w:r>
                </w:p>
                <w:p w:rsidR="004F0BC9" w:rsidRDefault="00D76221" w:rsidP="004F0BC9">
                  <w:pPr>
                    <w:spacing w:after="0" w:line="240" w:lineRule="auto"/>
                    <w:jc w:val="both"/>
                    <w:rPr>
                      <w:rFonts w:ascii="Calibri" w:hAnsi="Calibri" w:cs="Calibri"/>
                    </w:rPr>
                  </w:pPr>
                  <w:r w:rsidRPr="004F0BC9">
                    <w:rPr>
                      <w:rFonts w:ascii="Calibri" w:hAnsi="Calibri" w:cs="Calibri"/>
                    </w:rPr>
                    <w:t xml:space="preserve">Le présent document ne traite pas de l’installation de réservoirs pouvant faire l’objet de réglementations locales en matière de lutte anti-pollution.     </w:t>
                  </w:r>
                </w:p>
                <w:p w:rsidR="004F0BC9" w:rsidRPr="004F0BC9" w:rsidRDefault="004F0BC9" w:rsidP="004F0BC9">
                  <w:pPr>
                    <w:spacing w:after="0" w:line="240" w:lineRule="auto"/>
                    <w:jc w:val="center"/>
                    <w:rPr>
                      <w:rFonts w:ascii="Calibri" w:hAnsi="Calibri" w:cs="Calibri"/>
                      <w:b/>
                      <w:bCs/>
                    </w:rPr>
                  </w:pPr>
                  <w:r w:rsidRPr="004F0BC9">
                    <w:rPr>
                      <w:rFonts w:ascii="Calibri" w:hAnsi="Calibri" w:cs="Calibri"/>
                      <w:b/>
                      <w:bCs/>
                    </w:rPr>
                    <w:t xml:space="preserve">Tableau 1 — Liste des matières dangereuses non prises en considération </w:t>
                  </w:r>
                  <w:r>
                    <w:rPr>
                      <w:rFonts w:ascii="Calibri" w:hAnsi="Calibri" w:cs="Calibri"/>
                      <w:b/>
                      <w:bCs/>
                    </w:rPr>
                    <w:t xml:space="preserve">                     </w:t>
                  </w:r>
                  <w:r w:rsidRPr="004F0BC9">
                    <w:rPr>
                      <w:rFonts w:ascii="Calibri" w:hAnsi="Calibri" w:cs="Calibri"/>
                      <w:b/>
                      <w:bCs/>
                    </w:rPr>
                    <w:t>par le présent document</w:t>
                  </w:r>
                </w:p>
                <w:p w:rsidR="004F0BC9" w:rsidRDefault="001B60A2" w:rsidP="004F0BC9">
                  <w:pPr>
                    <w:spacing w:after="0" w:line="240" w:lineRule="auto"/>
                    <w:jc w:val="both"/>
                    <w:rPr>
                      <w:rFonts w:ascii="Calibri" w:hAnsi="Calibri" w:cs="Calibri"/>
                    </w:rPr>
                  </w:pPr>
                  <w:r>
                    <w:rPr>
                      <w:rFonts w:ascii="Calibri" w:hAnsi="Calibri" w:cs="Calibri"/>
                    </w:rPr>
                    <w:pict w14:anchorId="3988F7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6" type="#_x0000_t75" style="position:absolute;left:0;text-align:left;margin-left:44.7pt;margin-top:13.85pt;width:322.2pt;height:112.2pt;z-index:251711488;visibility:visible;mso-position-horizontal-relative:text;mso-position-vertical-relative:text" o:gfxdata="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">
                        <v:imagedata r:id="rId21" o:title=""/>
                      </v:shape>
                    </w:pict>
                  </w:r>
                </w:p>
                <w:p w:rsidR="004F0BC9" w:rsidRDefault="004F0BC9" w:rsidP="004F0BC9">
                  <w:pPr>
                    <w:spacing w:after="0" w:line="240" w:lineRule="auto"/>
                    <w:jc w:val="both"/>
                    <w:rPr>
                      <w:rFonts w:ascii="Calibri" w:hAnsi="Calibri" w:cs="Calibri"/>
                    </w:rPr>
                  </w:pPr>
                </w:p>
                <w:p w:rsidR="004F0BC9" w:rsidRDefault="004F0BC9" w:rsidP="004F0BC9">
                  <w:pPr>
                    <w:spacing w:after="0" w:line="240" w:lineRule="auto"/>
                    <w:jc w:val="both"/>
                    <w:rPr>
                      <w:rFonts w:ascii="Calibri" w:hAnsi="Calibri" w:cs="Calibri"/>
                    </w:rPr>
                  </w:pPr>
                </w:p>
                <w:p w:rsidR="004F0BC9" w:rsidRDefault="004F0BC9" w:rsidP="004F0BC9">
                  <w:pPr>
                    <w:spacing w:after="0" w:line="240" w:lineRule="auto"/>
                    <w:jc w:val="both"/>
                    <w:rPr>
                      <w:rFonts w:ascii="Calibri" w:hAnsi="Calibri" w:cs="Calibri"/>
                    </w:rPr>
                  </w:pPr>
                </w:p>
                <w:p w:rsidR="004F0BC9" w:rsidRDefault="004F0BC9" w:rsidP="004F0BC9">
                  <w:pPr>
                    <w:spacing w:after="0" w:line="240" w:lineRule="auto"/>
                    <w:jc w:val="both"/>
                    <w:rPr>
                      <w:rFonts w:ascii="Calibri" w:hAnsi="Calibri" w:cs="Calibri"/>
                    </w:rPr>
                  </w:pPr>
                </w:p>
                <w:p w:rsidR="004F0BC9" w:rsidRDefault="004F0BC9" w:rsidP="004F0BC9">
                  <w:pPr>
                    <w:spacing w:after="0" w:line="240" w:lineRule="auto"/>
                    <w:jc w:val="both"/>
                    <w:rPr>
                      <w:rFonts w:ascii="Calibri" w:hAnsi="Calibri" w:cs="Calibri"/>
                    </w:rPr>
                  </w:pPr>
                </w:p>
                <w:p w:rsidR="004F0BC9" w:rsidRDefault="004F0BC9" w:rsidP="004F0BC9">
                  <w:pPr>
                    <w:spacing w:after="0" w:line="240" w:lineRule="auto"/>
                    <w:jc w:val="both"/>
                    <w:rPr>
                      <w:rFonts w:ascii="Calibri" w:hAnsi="Calibri" w:cs="Calibri"/>
                    </w:rPr>
                  </w:pPr>
                </w:p>
                <w:p w:rsidR="004F0BC9" w:rsidRDefault="004F0BC9" w:rsidP="004F0BC9">
                  <w:pPr>
                    <w:spacing w:after="0" w:line="240" w:lineRule="auto"/>
                    <w:jc w:val="both"/>
                    <w:rPr>
                      <w:rFonts w:ascii="Calibri" w:hAnsi="Calibri" w:cs="Calibri"/>
                    </w:rPr>
                  </w:pPr>
                </w:p>
                <w:p w:rsidR="004F0BC9" w:rsidRDefault="004F0BC9" w:rsidP="004F0BC9">
                  <w:pPr>
                    <w:spacing w:after="0" w:line="240" w:lineRule="auto"/>
                    <w:jc w:val="both"/>
                    <w:rPr>
                      <w:rFonts w:ascii="Calibri" w:hAnsi="Calibri" w:cs="Calibri"/>
                    </w:rPr>
                  </w:pPr>
                </w:p>
                <w:p w:rsidR="00D76221" w:rsidRPr="004F0BC9" w:rsidRDefault="00D76221" w:rsidP="004F0BC9">
                  <w:pPr>
                    <w:spacing w:after="0" w:line="240" w:lineRule="auto"/>
                    <w:jc w:val="both"/>
                    <w:rPr>
                      <w:rFonts w:ascii="Calibri" w:hAnsi="Calibri" w:cs="Calibri"/>
                    </w:rPr>
                  </w:pPr>
                  <w:r w:rsidRPr="004F0BC9">
                    <w:rPr>
                      <w:rFonts w:ascii="Calibri" w:hAnsi="Calibri" w:cs="Calibri"/>
                    </w:rPr>
                    <w:t xml:space="preserve">                                                                      </w:t>
                  </w:r>
                </w:p>
              </w:tc>
            </w:tr>
          </w:tbl>
          <w:p w:rsidR="00D76221" w:rsidRPr="004F0BC9" w:rsidRDefault="00D76221" w:rsidP="004F0BC9">
            <w:pPr>
              <w:spacing w:after="0" w:line="240" w:lineRule="auto"/>
              <w:jc w:val="both"/>
              <w:rPr>
                <w:rFonts w:ascii="Calibri" w:hAnsi="Calibri" w:cs="Calibri"/>
              </w:rPr>
            </w:pPr>
          </w:p>
        </w:tc>
      </w:tr>
      <w:tr w:rsidR="00D76221" w:rsidRPr="00DE59C3" w:rsidTr="00DE59C3">
        <w:trPr>
          <w:trHeight w:val="424"/>
          <w:jc w:val="center"/>
        </w:trPr>
        <w:tc>
          <w:tcPr>
            <w:tcW w:w="1838" w:type="dxa"/>
            <w:tcBorders>
              <w:top w:val="single" w:sz="4" w:space="0" w:color="auto"/>
              <w:bottom w:val="single" w:sz="18" w:space="0" w:color="auto"/>
              <w:right w:val="single" w:sz="4" w:space="0" w:color="auto"/>
            </w:tcBorders>
            <w:shd w:val="clear" w:color="auto" w:fill="D6E3BC" w:themeFill="accent3" w:themeFillTint="66"/>
            <w:vAlign w:val="center"/>
          </w:tcPr>
          <w:p w:rsidR="00D76221" w:rsidRDefault="00D76221" w:rsidP="00DE59C3">
            <w:pPr>
              <w:spacing w:after="0" w:line="240" w:lineRule="auto"/>
              <w:jc w:val="center"/>
              <w:rPr>
                <w:rFonts w:ascii="Calibri" w:hAnsi="Calibri" w:cs="Calibri"/>
                <w:b/>
                <w:bCs/>
              </w:rPr>
            </w:pPr>
            <w:r>
              <w:rPr>
                <w:rFonts w:ascii="Calibri" w:hAnsi="Calibri" w:cs="Calibri"/>
                <w:b/>
                <w:bCs/>
              </w:rPr>
              <w:t xml:space="preserve">Code </w:t>
            </w:r>
          </w:p>
        </w:tc>
        <w:tc>
          <w:tcPr>
            <w:tcW w:w="7938" w:type="dxa"/>
            <w:tcBorders>
              <w:top w:val="single" w:sz="4" w:space="0" w:color="auto"/>
              <w:left w:val="single" w:sz="4" w:space="0" w:color="auto"/>
              <w:bottom w:val="single" w:sz="18" w:space="0" w:color="auto"/>
            </w:tcBorders>
            <w:shd w:val="clear" w:color="auto" w:fill="D6E3BC" w:themeFill="accent3" w:themeFillTint="66"/>
            <w:vAlign w:val="center"/>
          </w:tcPr>
          <w:p w:rsidR="00D76221" w:rsidRPr="00DE59C3" w:rsidRDefault="00D76221" w:rsidP="00DE59C3">
            <w:pPr>
              <w:spacing w:after="0" w:line="240" w:lineRule="auto"/>
              <w:jc w:val="center"/>
              <w:rPr>
                <w:rFonts w:ascii="Calibri" w:hAnsi="Calibri" w:cs="Calibri"/>
                <w:b/>
                <w:bCs/>
              </w:rPr>
            </w:pPr>
            <w:r w:rsidRPr="00DE59C3">
              <w:rPr>
                <w:rFonts w:ascii="Calibri" w:hAnsi="Calibri" w:cs="Calibri"/>
                <w:b/>
                <w:bCs/>
              </w:rPr>
              <w:t>NM EN 12285-3</w:t>
            </w:r>
          </w:p>
        </w:tc>
      </w:tr>
      <w:tr w:rsidR="00D76221" w:rsidRPr="00DE59C3" w:rsidTr="00DE59C3">
        <w:trPr>
          <w:trHeight w:val="360"/>
          <w:jc w:val="center"/>
        </w:trPr>
        <w:tc>
          <w:tcPr>
            <w:tcW w:w="1838" w:type="dxa"/>
            <w:tcBorders>
              <w:top w:val="single" w:sz="4" w:space="0" w:color="auto"/>
              <w:bottom w:val="single" w:sz="18" w:space="0" w:color="auto"/>
              <w:right w:val="single" w:sz="4" w:space="0" w:color="auto"/>
            </w:tcBorders>
            <w:shd w:val="clear" w:color="auto" w:fill="FFFF99"/>
            <w:vAlign w:val="center"/>
          </w:tcPr>
          <w:p w:rsidR="00D76221" w:rsidRDefault="00D76221" w:rsidP="00DE59C3">
            <w:pPr>
              <w:spacing w:after="0" w:line="240" w:lineRule="auto"/>
              <w:jc w:val="center"/>
              <w:rPr>
                <w:rFonts w:ascii="Calibri" w:hAnsi="Calibri" w:cs="Calibri"/>
                <w:b/>
                <w:bCs/>
              </w:rPr>
            </w:pPr>
            <w:r>
              <w:rPr>
                <w:rFonts w:ascii="Calibri" w:hAnsi="Calibri" w:cs="Calibri"/>
                <w:b/>
                <w:bCs/>
              </w:rPr>
              <w:t xml:space="preserve">Equivalence </w:t>
            </w:r>
          </w:p>
        </w:tc>
        <w:tc>
          <w:tcPr>
            <w:tcW w:w="7938" w:type="dxa"/>
            <w:tcBorders>
              <w:top w:val="single" w:sz="4" w:space="0" w:color="auto"/>
              <w:left w:val="single" w:sz="4" w:space="0" w:color="auto"/>
              <w:bottom w:val="single" w:sz="18" w:space="0" w:color="auto"/>
            </w:tcBorders>
            <w:shd w:val="clear" w:color="auto" w:fill="FFFF99"/>
            <w:vAlign w:val="center"/>
          </w:tcPr>
          <w:p w:rsidR="00D76221" w:rsidRPr="00DE59C3" w:rsidRDefault="00D76221" w:rsidP="00DE59C3">
            <w:pPr>
              <w:spacing w:after="0" w:line="240" w:lineRule="auto"/>
              <w:jc w:val="center"/>
              <w:rPr>
                <w:rFonts w:ascii="Calibri" w:hAnsi="Calibri" w:cs="Calibri"/>
                <w:b/>
                <w:bCs/>
              </w:rPr>
            </w:pPr>
            <w:r>
              <w:rPr>
                <w:rFonts w:ascii="Calibri" w:hAnsi="Calibri" w:cs="Calibri"/>
                <w:b/>
                <w:bCs/>
              </w:rPr>
              <w:t>EN 12285-3</w:t>
            </w:r>
          </w:p>
        </w:tc>
      </w:tr>
      <w:tr w:rsidR="00D76221" w:rsidRPr="00DE59C3" w:rsidTr="00DE59C3">
        <w:trPr>
          <w:trHeight w:val="629"/>
          <w:jc w:val="center"/>
        </w:trPr>
        <w:tc>
          <w:tcPr>
            <w:tcW w:w="1838" w:type="dxa"/>
            <w:tcBorders>
              <w:top w:val="single" w:sz="4" w:space="0" w:color="auto"/>
              <w:bottom w:val="single" w:sz="18" w:space="0" w:color="auto"/>
              <w:right w:val="single" w:sz="4" w:space="0" w:color="auto"/>
            </w:tcBorders>
            <w:shd w:val="clear" w:color="auto" w:fill="B8CCE4" w:themeFill="accent1" w:themeFillTint="66"/>
            <w:vAlign w:val="center"/>
          </w:tcPr>
          <w:p w:rsidR="00D76221" w:rsidRDefault="00D76221" w:rsidP="00DE59C3">
            <w:pPr>
              <w:spacing w:after="0" w:line="240" w:lineRule="auto"/>
              <w:jc w:val="center"/>
              <w:rPr>
                <w:rFonts w:ascii="Calibri" w:hAnsi="Calibri" w:cs="Calibri"/>
                <w:b/>
                <w:bCs/>
              </w:rPr>
            </w:pPr>
            <w:r>
              <w:rPr>
                <w:rFonts w:ascii="Calibri" w:hAnsi="Calibri" w:cs="Calibri"/>
                <w:b/>
                <w:bCs/>
              </w:rPr>
              <w:t xml:space="preserve">Intitulé </w:t>
            </w:r>
          </w:p>
        </w:tc>
        <w:tc>
          <w:tcPr>
            <w:tcW w:w="7938" w:type="dxa"/>
            <w:tcBorders>
              <w:top w:val="single" w:sz="4" w:space="0" w:color="auto"/>
              <w:left w:val="single" w:sz="4" w:space="0" w:color="auto"/>
              <w:bottom w:val="single" w:sz="18" w:space="0" w:color="auto"/>
            </w:tcBorders>
            <w:shd w:val="clear" w:color="auto" w:fill="auto"/>
          </w:tcPr>
          <w:p w:rsidR="00D76221" w:rsidRPr="00DE59C3" w:rsidRDefault="00D76221" w:rsidP="00DE59C3">
            <w:pPr>
              <w:spacing w:after="0" w:line="240" w:lineRule="auto"/>
              <w:jc w:val="both"/>
              <w:rPr>
                <w:rFonts w:ascii="Calibri" w:hAnsi="Calibri" w:cs="Calibri"/>
              </w:rPr>
            </w:pPr>
            <w:r w:rsidRPr="00DE59C3">
              <w:rPr>
                <w:rFonts w:ascii="Calibri" w:hAnsi="Calibri" w:cs="Calibri"/>
              </w:rPr>
              <w:t>Réservoirs en acier fabriqués en atelier — Partie 3 : Réservoirs horizontaux cylindriques</w:t>
            </w:r>
            <w:r w:rsidRPr="00DE59C3">
              <w:rPr>
                <w:rFonts w:ascii="Calibri" w:hAnsi="Calibri" w:cs="Calibri"/>
              </w:rPr>
              <w:br/>
              <w:t>à simple et double paroi pour le stockage enterré de liquides inflammables et non inflammables</w:t>
            </w:r>
            <w:r w:rsidR="00DE59C3">
              <w:rPr>
                <w:rFonts w:ascii="Calibri" w:hAnsi="Calibri" w:cs="Calibri"/>
              </w:rPr>
              <w:t xml:space="preserve"> </w:t>
            </w:r>
            <w:r w:rsidRPr="00DE59C3">
              <w:rPr>
                <w:rFonts w:ascii="Calibri" w:hAnsi="Calibri" w:cs="Calibri"/>
              </w:rPr>
              <w:t xml:space="preserve">polluant l'eau pour le chauffage et le refroidissement des bâtiments </w:t>
            </w:r>
          </w:p>
        </w:tc>
      </w:tr>
      <w:tr w:rsidR="00D76221" w:rsidRPr="00DE59C3" w:rsidTr="00D76221">
        <w:trPr>
          <w:trHeight w:val="629"/>
          <w:jc w:val="center"/>
        </w:trPr>
        <w:tc>
          <w:tcPr>
            <w:tcW w:w="1838" w:type="dxa"/>
            <w:tcBorders>
              <w:top w:val="single" w:sz="4" w:space="0" w:color="auto"/>
              <w:bottom w:val="single" w:sz="18" w:space="0" w:color="auto"/>
              <w:right w:val="single" w:sz="4" w:space="0" w:color="auto"/>
            </w:tcBorders>
            <w:shd w:val="clear" w:color="000000" w:fill="D9D9D9"/>
            <w:vAlign w:val="center"/>
          </w:tcPr>
          <w:p w:rsidR="00D76221" w:rsidRDefault="00D76221" w:rsidP="00DE59C3">
            <w:pPr>
              <w:spacing w:after="0" w:line="240" w:lineRule="auto"/>
              <w:jc w:val="center"/>
              <w:rPr>
                <w:rFonts w:ascii="Calibri" w:hAnsi="Calibri" w:cs="Calibri"/>
                <w:b/>
                <w:bCs/>
              </w:rPr>
            </w:pPr>
            <w:r>
              <w:rPr>
                <w:rFonts w:ascii="Calibri" w:hAnsi="Calibri" w:cs="Calibri"/>
                <w:b/>
                <w:bCs/>
              </w:rPr>
              <w:t xml:space="preserve">Domaine d’application </w:t>
            </w:r>
          </w:p>
        </w:tc>
        <w:tc>
          <w:tcPr>
            <w:tcW w:w="7938" w:type="dxa"/>
            <w:tcBorders>
              <w:top w:val="single" w:sz="4" w:space="0" w:color="auto"/>
              <w:left w:val="single" w:sz="4" w:space="0" w:color="auto"/>
              <w:bottom w:val="single" w:sz="18" w:space="0" w:color="auto"/>
            </w:tcBorders>
            <w:shd w:val="clear" w:color="auto" w:fill="auto"/>
          </w:tcPr>
          <w:p w:rsidR="00DE59C3" w:rsidRDefault="00D76221" w:rsidP="00DE59C3">
            <w:pPr>
              <w:spacing w:after="0" w:line="240" w:lineRule="auto"/>
              <w:jc w:val="both"/>
              <w:rPr>
                <w:rFonts w:ascii="Calibri" w:hAnsi="Calibri" w:cs="Calibri"/>
              </w:rPr>
            </w:pPr>
            <w:r w:rsidRPr="00DE59C3">
              <w:rPr>
                <w:rFonts w:ascii="Calibri" w:hAnsi="Calibri" w:cs="Calibri"/>
              </w:rPr>
              <w:t xml:space="preserve">Le présent document définit les caractéristiques de produit et les méthodes d'essai/ évaluation pour les réservoirs en acier horizontaux cylindriques, fabriqués en atelier, à simple paroi (type S) et double paroi (type D), destinés à être utilisés pour le stockage </w:t>
            </w:r>
            <w:r w:rsidRPr="00DE59C3">
              <w:rPr>
                <w:rFonts w:ascii="Calibri" w:hAnsi="Calibri" w:cs="Calibri"/>
              </w:rPr>
              <w:lastRenderedPageBreak/>
              <w:t>enterré de liquides polluant l'eau (inflammables et non inflammables), spécifiquement utilisés pour le stockage et/ou l'alimentation en combustible des systèmes de chauffage/ refroidissement des bâtiments, et en eau chaude ou froide non destinée à la</w:t>
            </w:r>
            <w:r w:rsidRPr="00DE59C3">
              <w:rPr>
                <w:rFonts w:ascii="Calibri" w:hAnsi="Calibri" w:cs="Calibri"/>
              </w:rPr>
              <w:br/>
              <w:t>consommation humaine dans des conditions normales de températures ambiantes (−20 °C à +50 °C), et compris dans les limites suivantes :</w:t>
            </w:r>
          </w:p>
          <w:p w:rsidR="00DE59C3" w:rsidRDefault="00DE59C3" w:rsidP="00DE59C3">
            <w:pPr>
              <w:spacing w:after="0" w:line="240" w:lineRule="auto"/>
              <w:jc w:val="both"/>
              <w:rPr>
                <w:rFonts w:ascii="Calibri" w:hAnsi="Calibri" w:cs="Calibri"/>
              </w:rPr>
            </w:pPr>
            <w:r>
              <w:rPr>
                <w:rFonts w:ascii="Calibri" w:hAnsi="Calibri" w:cs="Calibri"/>
              </w:rPr>
              <w:t>-</w:t>
            </w:r>
            <w:r w:rsidR="00D76221" w:rsidRPr="00DE59C3">
              <w:rPr>
                <w:rFonts w:ascii="Calibri" w:hAnsi="Calibri" w:cs="Calibri"/>
              </w:rPr>
              <w:t xml:space="preserve"> diamètre nominal compris entre 800 mm et 3 000 mm ;</w:t>
            </w:r>
          </w:p>
          <w:p w:rsidR="00DE59C3" w:rsidRDefault="00DE59C3" w:rsidP="00DE59C3">
            <w:pPr>
              <w:spacing w:after="0" w:line="240" w:lineRule="auto"/>
              <w:jc w:val="both"/>
              <w:rPr>
                <w:rFonts w:ascii="Calibri" w:hAnsi="Calibri" w:cs="Calibri"/>
              </w:rPr>
            </w:pPr>
            <w:r>
              <w:rPr>
                <w:rFonts w:ascii="Calibri" w:hAnsi="Calibri" w:cs="Calibri"/>
              </w:rPr>
              <w:t>-</w:t>
            </w:r>
            <w:r w:rsidR="00D76221" w:rsidRPr="00DE59C3">
              <w:rPr>
                <w:rFonts w:ascii="Calibri" w:hAnsi="Calibri" w:cs="Calibri"/>
              </w:rPr>
              <w:t xml:space="preserve"> longueur maximale d'encombrement égale à 6 fois le diamètre nominal ;</w:t>
            </w:r>
          </w:p>
          <w:p w:rsidR="00DE59C3" w:rsidRDefault="00DE59C3" w:rsidP="00DE59C3">
            <w:pPr>
              <w:spacing w:after="0" w:line="240" w:lineRule="auto"/>
              <w:jc w:val="both"/>
              <w:rPr>
                <w:rFonts w:ascii="Calibri" w:hAnsi="Calibri" w:cs="Calibri"/>
              </w:rPr>
            </w:pPr>
            <w:r>
              <w:rPr>
                <w:rFonts w:ascii="Calibri" w:hAnsi="Calibri" w:cs="Calibri"/>
              </w:rPr>
              <w:t>-</w:t>
            </w:r>
            <w:r w:rsidR="00D76221" w:rsidRPr="00DE59C3">
              <w:rPr>
                <w:rFonts w:ascii="Calibri" w:hAnsi="Calibri" w:cs="Calibri"/>
              </w:rPr>
              <w:t xml:space="preserve"> pour les liquides présentant une masse volumique maximale égale à 1,1 kg/l ;</w:t>
            </w:r>
          </w:p>
          <w:p w:rsidR="00DE59C3" w:rsidRDefault="00DE59C3" w:rsidP="00DE59C3">
            <w:pPr>
              <w:spacing w:after="0" w:line="240" w:lineRule="auto"/>
              <w:jc w:val="both"/>
              <w:rPr>
                <w:rFonts w:ascii="Calibri" w:hAnsi="Calibri" w:cs="Calibri"/>
              </w:rPr>
            </w:pPr>
            <w:r>
              <w:rPr>
                <w:rFonts w:ascii="Calibri" w:hAnsi="Calibri" w:cs="Calibri"/>
              </w:rPr>
              <w:t>-</w:t>
            </w:r>
            <w:r w:rsidR="00D76221" w:rsidRPr="00DE59C3">
              <w:rPr>
                <w:rFonts w:ascii="Calibri" w:hAnsi="Calibri" w:cs="Calibri"/>
              </w:rPr>
              <w:t xml:space="preserve"> avec une pression de service (Po) maximale de 50 kPa (0,5 bar (g)) et une pression de service minimale de – 5 kPa (– 50 mbar(g)) ; et</w:t>
            </w:r>
          </w:p>
          <w:p w:rsidR="00DE59C3" w:rsidRDefault="00DE59C3" w:rsidP="00DE59C3">
            <w:pPr>
              <w:spacing w:after="0" w:line="240" w:lineRule="auto"/>
              <w:jc w:val="both"/>
              <w:rPr>
                <w:rFonts w:ascii="Calibri" w:hAnsi="Calibri" w:cs="Calibri"/>
              </w:rPr>
            </w:pPr>
            <w:r>
              <w:rPr>
                <w:rFonts w:ascii="Calibri" w:hAnsi="Calibri" w:cs="Calibri"/>
              </w:rPr>
              <w:t>-</w:t>
            </w:r>
            <w:r w:rsidR="00D76221" w:rsidRPr="00DE59C3">
              <w:rPr>
                <w:rFonts w:ascii="Calibri" w:hAnsi="Calibri" w:cs="Calibri"/>
              </w:rPr>
              <w:t xml:space="preserve"> pour des réservoirs à double paroi munis d'un système de détection de fuites du vide où la viscosité cinématique n’excède pas 5 × 10−3 m</w:t>
            </w:r>
            <w:r w:rsidR="00D76221" w:rsidRPr="00DE59C3">
              <w:rPr>
                <w:rFonts w:ascii="Calibri" w:hAnsi="Calibri" w:cs="Calibri"/>
                <w:vertAlign w:val="superscript"/>
              </w:rPr>
              <w:t>2</w:t>
            </w:r>
            <w:r w:rsidR="00D76221" w:rsidRPr="00DE59C3">
              <w:rPr>
                <w:rFonts w:ascii="Calibri" w:hAnsi="Calibri" w:cs="Calibri"/>
              </w:rPr>
              <w:t>/s.</w:t>
            </w:r>
          </w:p>
          <w:p w:rsidR="00DE59C3" w:rsidRDefault="00D76221" w:rsidP="00DE59C3">
            <w:pPr>
              <w:spacing w:after="0" w:line="240" w:lineRule="auto"/>
              <w:jc w:val="both"/>
              <w:rPr>
                <w:rFonts w:ascii="Calibri" w:hAnsi="Calibri" w:cs="Calibri"/>
              </w:rPr>
            </w:pPr>
            <w:r w:rsidRPr="00DE59C3">
              <w:rPr>
                <w:rFonts w:ascii="Calibri" w:hAnsi="Calibri" w:cs="Calibri"/>
              </w:rPr>
              <w:t>Deux types de réservoirs se distinguent :</w:t>
            </w:r>
          </w:p>
          <w:p w:rsidR="00DE59C3" w:rsidRDefault="00DE59C3" w:rsidP="00DE59C3">
            <w:pPr>
              <w:spacing w:after="0" w:line="240" w:lineRule="auto"/>
              <w:jc w:val="both"/>
              <w:rPr>
                <w:rFonts w:ascii="Calibri" w:hAnsi="Calibri" w:cs="Calibri"/>
              </w:rPr>
            </w:pPr>
            <w:r>
              <w:rPr>
                <w:rFonts w:ascii="Calibri" w:hAnsi="Calibri" w:cs="Calibri"/>
              </w:rPr>
              <w:t>-</w:t>
            </w:r>
            <w:r w:rsidR="00D76221" w:rsidRPr="00DE59C3">
              <w:rPr>
                <w:rFonts w:ascii="Calibri" w:hAnsi="Calibri" w:cs="Calibri"/>
              </w:rPr>
              <w:t xml:space="preserve"> Type S : réservoir à simple paroi ;</w:t>
            </w:r>
          </w:p>
          <w:p w:rsidR="00DE59C3" w:rsidRDefault="00DE59C3" w:rsidP="00DE59C3">
            <w:pPr>
              <w:spacing w:after="0" w:line="240" w:lineRule="auto"/>
              <w:jc w:val="both"/>
              <w:rPr>
                <w:rFonts w:ascii="Calibri" w:hAnsi="Calibri" w:cs="Calibri"/>
              </w:rPr>
            </w:pPr>
            <w:r>
              <w:rPr>
                <w:rFonts w:ascii="Calibri" w:hAnsi="Calibri" w:cs="Calibri"/>
              </w:rPr>
              <w:t>-</w:t>
            </w:r>
            <w:r w:rsidR="00D76221" w:rsidRPr="00DE59C3">
              <w:rPr>
                <w:rFonts w:ascii="Calibri" w:hAnsi="Calibri" w:cs="Calibri"/>
              </w:rPr>
              <w:t xml:space="preserve"> Type D : réservoir à double paroi.</w:t>
            </w:r>
          </w:p>
          <w:p w:rsidR="00DE59C3" w:rsidRDefault="00D76221" w:rsidP="00DE59C3">
            <w:pPr>
              <w:spacing w:after="0" w:line="240" w:lineRule="auto"/>
              <w:jc w:val="both"/>
              <w:rPr>
                <w:rFonts w:ascii="Calibri" w:hAnsi="Calibri" w:cs="Calibri"/>
              </w:rPr>
            </w:pPr>
            <w:r w:rsidRPr="00DE59C3">
              <w:rPr>
                <w:rFonts w:ascii="Calibri" w:hAnsi="Calibri" w:cs="Calibri"/>
              </w:rPr>
              <w:t>Les réservoirs conçus conformément au présent document supportent une hauteur de remblai de 1,5 m.</w:t>
            </w:r>
          </w:p>
          <w:p w:rsidR="00DE59C3" w:rsidRDefault="00D76221" w:rsidP="00DE59C3">
            <w:pPr>
              <w:spacing w:after="0" w:line="240" w:lineRule="auto"/>
              <w:jc w:val="both"/>
              <w:rPr>
                <w:rFonts w:ascii="Calibri" w:hAnsi="Calibri" w:cs="Calibri"/>
              </w:rPr>
            </w:pPr>
            <w:r w:rsidRPr="00DE59C3">
              <w:rPr>
                <w:rFonts w:ascii="Calibri" w:hAnsi="Calibri" w:cs="Calibri"/>
              </w:rPr>
              <w:t>En cas de charges induites par la circulation ou de hauteur de remblai plus élevée, un calcul est nécessaire.</w:t>
            </w:r>
          </w:p>
          <w:p w:rsidR="00D76221" w:rsidRPr="00DE59C3" w:rsidRDefault="00D76221" w:rsidP="00DE59C3">
            <w:pPr>
              <w:spacing w:after="0" w:line="240" w:lineRule="auto"/>
              <w:jc w:val="both"/>
              <w:rPr>
                <w:rFonts w:ascii="Calibri" w:hAnsi="Calibri" w:cs="Calibri"/>
              </w:rPr>
            </w:pPr>
            <w:r w:rsidRPr="00DE59C3">
              <w:rPr>
                <w:rFonts w:ascii="Calibri" w:hAnsi="Calibri" w:cs="Calibri"/>
              </w:rPr>
              <w:t>Le présent document ne s'applique pas aux réservoirs installés dans des procédés industriels ou dans des stations-service, ni aux charges et mesures spéciales nécessaires dans les zones exposées à un risque sismique et/ou aux inondations.</w:t>
            </w:r>
          </w:p>
        </w:tc>
      </w:tr>
      <w:tr w:rsidR="00D76221" w:rsidRPr="00DE59C3" w:rsidTr="00DE59C3">
        <w:trPr>
          <w:trHeight w:val="409"/>
          <w:jc w:val="center"/>
        </w:trPr>
        <w:tc>
          <w:tcPr>
            <w:tcW w:w="1838" w:type="dxa"/>
            <w:tcBorders>
              <w:top w:val="single" w:sz="4" w:space="0" w:color="auto"/>
              <w:bottom w:val="single" w:sz="18" w:space="0" w:color="auto"/>
              <w:right w:val="single" w:sz="4" w:space="0" w:color="auto"/>
            </w:tcBorders>
            <w:shd w:val="clear" w:color="auto" w:fill="D6E3BC" w:themeFill="accent3" w:themeFillTint="66"/>
            <w:vAlign w:val="center"/>
          </w:tcPr>
          <w:p w:rsidR="00D76221" w:rsidRDefault="00D76221" w:rsidP="00DE59C3">
            <w:pPr>
              <w:spacing w:after="0" w:line="240" w:lineRule="auto"/>
              <w:jc w:val="center"/>
              <w:rPr>
                <w:rFonts w:ascii="Calibri" w:hAnsi="Calibri" w:cs="Calibri"/>
                <w:b/>
                <w:bCs/>
              </w:rPr>
            </w:pPr>
            <w:r>
              <w:rPr>
                <w:rFonts w:ascii="Calibri" w:hAnsi="Calibri" w:cs="Calibri"/>
                <w:b/>
                <w:bCs/>
              </w:rPr>
              <w:lastRenderedPageBreak/>
              <w:t xml:space="preserve">Code </w:t>
            </w:r>
          </w:p>
        </w:tc>
        <w:tc>
          <w:tcPr>
            <w:tcW w:w="7938" w:type="dxa"/>
            <w:tcBorders>
              <w:top w:val="single" w:sz="4" w:space="0" w:color="auto"/>
              <w:left w:val="single" w:sz="4" w:space="0" w:color="auto"/>
              <w:bottom w:val="single" w:sz="18" w:space="0" w:color="auto"/>
            </w:tcBorders>
            <w:shd w:val="clear" w:color="auto" w:fill="D6E3BC" w:themeFill="accent3" w:themeFillTint="66"/>
            <w:vAlign w:val="center"/>
          </w:tcPr>
          <w:p w:rsidR="00D76221" w:rsidRPr="00DE59C3" w:rsidRDefault="00D76221" w:rsidP="00DE59C3">
            <w:pPr>
              <w:spacing w:after="0" w:line="240" w:lineRule="auto"/>
              <w:jc w:val="center"/>
              <w:rPr>
                <w:rFonts w:ascii="Calibri" w:hAnsi="Calibri" w:cs="Calibri"/>
                <w:b/>
                <w:bCs/>
              </w:rPr>
            </w:pPr>
            <w:r w:rsidRPr="00DE59C3">
              <w:rPr>
                <w:rFonts w:ascii="Calibri" w:hAnsi="Calibri" w:cs="Calibri"/>
                <w:b/>
                <w:bCs/>
              </w:rPr>
              <w:t>NM EN 12542</w:t>
            </w:r>
          </w:p>
        </w:tc>
      </w:tr>
      <w:tr w:rsidR="00D76221" w:rsidRPr="00DE59C3" w:rsidTr="00DE59C3">
        <w:trPr>
          <w:trHeight w:val="374"/>
          <w:jc w:val="center"/>
        </w:trPr>
        <w:tc>
          <w:tcPr>
            <w:tcW w:w="1838" w:type="dxa"/>
            <w:tcBorders>
              <w:top w:val="single" w:sz="4" w:space="0" w:color="auto"/>
              <w:bottom w:val="single" w:sz="18" w:space="0" w:color="auto"/>
              <w:right w:val="single" w:sz="4" w:space="0" w:color="auto"/>
            </w:tcBorders>
            <w:shd w:val="clear" w:color="auto" w:fill="FFFF99"/>
            <w:vAlign w:val="center"/>
          </w:tcPr>
          <w:p w:rsidR="00D76221" w:rsidRDefault="00D76221" w:rsidP="00DE59C3">
            <w:pPr>
              <w:spacing w:after="0" w:line="240" w:lineRule="auto"/>
              <w:jc w:val="center"/>
              <w:rPr>
                <w:rFonts w:ascii="Calibri" w:hAnsi="Calibri" w:cs="Calibri"/>
                <w:b/>
                <w:bCs/>
              </w:rPr>
            </w:pPr>
            <w:r>
              <w:rPr>
                <w:rFonts w:ascii="Calibri" w:hAnsi="Calibri" w:cs="Calibri"/>
                <w:b/>
                <w:bCs/>
              </w:rPr>
              <w:t xml:space="preserve">Equivalence </w:t>
            </w:r>
          </w:p>
        </w:tc>
        <w:tc>
          <w:tcPr>
            <w:tcW w:w="7938" w:type="dxa"/>
            <w:tcBorders>
              <w:top w:val="single" w:sz="4" w:space="0" w:color="auto"/>
              <w:left w:val="single" w:sz="4" w:space="0" w:color="auto"/>
              <w:bottom w:val="single" w:sz="18" w:space="0" w:color="auto"/>
            </w:tcBorders>
            <w:shd w:val="clear" w:color="auto" w:fill="FFFF99"/>
            <w:vAlign w:val="center"/>
          </w:tcPr>
          <w:p w:rsidR="00D76221" w:rsidRPr="00DE59C3" w:rsidRDefault="00D76221" w:rsidP="00DE59C3">
            <w:pPr>
              <w:spacing w:after="0" w:line="240" w:lineRule="auto"/>
              <w:jc w:val="center"/>
              <w:rPr>
                <w:rFonts w:ascii="Calibri" w:hAnsi="Calibri" w:cs="Calibri"/>
                <w:b/>
                <w:bCs/>
              </w:rPr>
            </w:pPr>
            <w:r>
              <w:rPr>
                <w:rFonts w:ascii="Calibri" w:hAnsi="Calibri" w:cs="Calibri"/>
                <w:b/>
                <w:bCs/>
              </w:rPr>
              <w:t>EN 12542</w:t>
            </w:r>
          </w:p>
        </w:tc>
      </w:tr>
      <w:tr w:rsidR="00D76221" w:rsidRPr="00DE59C3" w:rsidTr="00DE59C3">
        <w:trPr>
          <w:trHeight w:val="629"/>
          <w:jc w:val="center"/>
        </w:trPr>
        <w:tc>
          <w:tcPr>
            <w:tcW w:w="1838" w:type="dxa"/>
            <w:tcBorders>
              <w:top w:val="single" w:sz="18" w:space="0" w:color="auto"/>
              <w:bottom w:val="single" w:sz="4" w:space="0" w:color="auto"/>
              <w:right w:val="single" w:sz="4" w:space="0" w:color="auto"/>
            </w:tcBorders>
            <w:shd w:val="clear" w:color="auto" w:fill="B8CCE4" w:themeFill="accent1" w:themeFillTint="66"/>
            <w:vAlign w:val="center"/>
          </w:tcPr>
          <w:p w:rsidR="00D76221" w:rsidRDefault="00D76221" w:rsidP="00DE59C3">
            <w:pPr>
              <w:spacing w:after="0" w:line="240" w:lineRule="auto"/>
              <w:jc w:val="center"/>
              <w:rPr>
                <w:rFonts w:ascii="Calibri" w:hAnsi="Calibri" w:cs="Calibri"/>
                <w:b/>
                <w:bCs/>
              </w:rPr>
            </w:pPr>
            <w:r>
              <w:rPr>
                <w:rFonts w:ascii="Calibri" w:hAnsi="Calibri" w:cs="Calibri"/>
                <w:b/>
                <w:bCs/>
              </w:rPr>
              <w:t xml:space="preserve">Intitulé </w:t>
            </w:r>
          </w:p>
        </w:tc>
        <w:tc>
          <w:tcPr>
            <w:tcW w:w="7938" w:type="dxa"/>
            <w:tcBorders>
              <w:top w:val="single" w:sz="18" w:space="0" w:color="auto"/>
              <w:left w:val="single" w:sz="4" w:space="0" w:color="auto"/>
              <w:bottom w:val="single" w:sz="4" w:space="0" w:color="auto"/>
            </w:tcBorders>
            <w:shd w:val="clear" w:color="auto" w:fill="auto"/>
          </w:tcPr>
          <w:p w:rsidR="00D76221" w:rsidRPr="00DE59C3" w:rsidRDefault="00D76221" w:rsidP="00DE59C3">
            <w:pPr>
              <w:spacing w:after="0" w:line="240" w:lineRule="auto"/>
              <w:jc w:val="both"/>
              <w:rPr>
                <w:rFonts w:ascii="Calibri" w:hAnsi="Calibri" w:cs="Calibri"/>
              </w:rPr>
            </w:pPr>
            <w:r w:rsidRPr="00DE59C3">
              <w:rPr>
                <w:rFonts w:ascii="Calibri" w:hAnsi="Calibri" w:cs="Calibri"/>
              </w:rPr>
              <w:t xml:space="preserve">Équipements pour gaz de pétrole liquéfié et leurs accessoires — Réservoirs cylindriques fixes, aériens, en acier soudé, fabriqués en série pour le stockage de gaz de pétrole liquéfié (GPL) ayant un volume inférieur ou égal à 13 m³ — Conception et fabrication  </w:t>
            </w:r>
          </w:p>
        </w:tc>
      </w:tr>
      <w:tr w:rsidR="00D76221" w:rsidRPr="00DE59C3" w:rsidTr="00DE59C3">
        <w:trPr>
          <w:trHeight w:val="629"/>
          <w:jc w:val="center"/>
        </w:trPr>
        <w:tc>
          <w:tcPr>
            <w:tcW w:w="1838" w:type="dxa"/>
            <w:tcBorders>
              <w:top w:val="single" w:sz="4" w:space="0" w:color="auto"/>
              <w:bottom w:val="single" w:sz="18" w:space="0" w:color="auto"/>
              <w:right w:val="single" w:sz="4" w:space="0" w:color="auto"/>
            </w:tcBorders>
            <w:shd w:val="clear" w:color="000000" w:fill="D9D9D9"/>
            <w:vAlign w:val="center"/>
          </w:tcPr>
          <w:p w:rsidR="00D76221" w:rsidRDefault="00D76221" w:rsidP="00DE59C3">
            <w:pPr>
              <w:spacing w:after="0" w:line="240" w:lineRule="auto"/>
              <w:jc w:val="center"/>
              <w:rPr>
                <w:rFonts w:ascii="Calibri" w:hAnsi="Calibri" w:cs="Calibri"/>
                <w:b/>
                <w:bCs/>
              </w:rPr>
            </w:pPr>
            <w:r>
              <w:rPr>
                <w:rFonts w:ascii="Calibri" w:hAnsi="Calibri" w:cs="Calibri"/>
                <w:b/>
                <w:bCs/>
              </w:rPr>
              <w:t xml:space="preserve">Domaine d’application </w:t>
            </w:r>
          </w:p>
        </w:tc>
        <w:tc>
          <w:tcPr>
            <w:tcW w:w="7938" w:type="dxa"/>
            <w:tcBorders>
              <w:top w:val="single" w:sz="4" w:space="0" w:color="auto"/>
              <w:left w:val="single" w:sz="4" w:space="0" w:color="auto"/>
              <w:bottom w:val="single" w:sz="18" w:space="0" w:color="auto"/>
            </w:tcBorders>
            <w:shd w:val="clear" w:color="auto" w:fill="auto"/>
          </w:tcPr>
          <w:p w:rsidR="00D76221" w:rsidRPr="00DE59C3" w:rsidRDefault="00D76221" w:rsidP="00DE59C3">
            <w:pPr>
              <w:spacing w:after="0" w:line="240" w:lineRule="auto"/>
              <w:jc w:val="both"/>
              <w:rPr>
                <w:rFonts w:ascii="Calibri" w:hAnsi="Calibri" w:cs="Calibri"/>
              </w:rPr>
            </w:pPr>
            <w:r w:rsidRPr="00DE59C3">
              <w:rPr>
                <w:rFonts w:ascii="Calibri" w:hAnsi="Calibri" w:cs="Calibri"/>
              </w:rPr>
              <w:t>Le présent document spécifie les exigences pour la conception et la fabrication en série des récipients sous pression cylindriques fixes, en acier soudé, d'un volume inférieur ou égal à 13 m3, destinés au stockage aérien ou enterré de gaz de pétrole liquéfié (GPL).</w:t>
            </w:r>
          </w:p>
        </w:tc>
      </w:tr>
      <w:tr w:rsidR="00D76221" w:rsidRPr="00DE59C3" w:rsidTr="00DE59C3">
        <w:trPr>
          <w:trHeight w:val="390"/>
          <w:jc w:val="center"/>
        </w:trPr>
        <w:tc>
          <w:tcPr>
            <w:tcW w:w="1838" w:type="dxa"/>
            <w:tcBorders>
              <w:top w:val="single" w:sz="4" w:space="0" w:color="auto"/>
              <w:bottom w:val="single" w:sz="18" w:space="0" w:color="auto"/>
              <w:right w:val="single" w:sz="4" w:space="0" w:color="auto"/>
            </w:tcBorders>
            <w:shd w:val="clear" w:color="auto" w:fill="D6E3BC" w:themeFill="accent3" w:themeFillTint="66"/>
            <w:vAlign w:val="center"/>
          </w:tcPr>
          <w:p w:rsidR="00D76221" w:rsidRDefault="00D76221" w:rsidP="00DE59C3">
            <w:pPr>
              <w:spacing w:after="0" w:line="240" w:lineRule="auto"/>
              <w:jc w:val="center"/>
              <w:rPr>
                <w:rFonts w:ascii="Calibri" w:hAnsi="Calibri" w:cs="Calibri"/>
                <w:b/>
                <w:bCs/>
              </w:rPr>
            </w:pPr>
            <w:r>
              <w:rPr>
                <w:rFonts w:ascii="Calibri" w:hAnsi="Calibri" w:cs="Calibri"/>
                <w:b/>
                <w:bCs/>
              </w:rPr>
              <w:t xml:space="preserve">Code </w:t>
            </w:r>
            <w:r w:rsidR="00DE59C3">
              <w:rPr>
                <w:rFonts w:ascii="Calibri" w:hAnsi="Calibri" w:cs="Calibri"/>
                <w:b/>
                <w:bCs/>
              </w:rPr>
              <w:t xml:space="preserve"> </w:t>
            </w:r>
            <w:r>
              <w:rPr>
                <w:rFonts w:ascii="Calibri" w:hAnsi="Calibri" w:cs="Calibri"/>
                <w:b/>
                <w:bCs/>
              </w:rPr>
              <w:t xml:space="preserve"> </w:t>
            </w:r>
          </w:p>
        </w:tc>
        <w:tc>
          <w:tcPr>
            <w:tcW w:w="7938" w:type="dxa"/>
            <w:tcBorders>
              <w:top w:val="single" w:sz="4" w:space="0" w:color="auto"/>
              <w:left w:val="single" w:sz="4" w:space="0" w:color="auto"/>
              <w:bottom w:val="single" w:sz="18" w:space="0" w:color="auto"/>
            </w:tcBorders>
            <w:shd w:val="clear" w:color="auto" w:fill="D6E3BC" w:themeFill="accent3" w:themeFillTint="66"/>
            <w:vAlign w:val="center"/>
          </w:tcPr>
          <w:p w:rsidR="00D76221" w:rsidRPr="00DE59C3" w:rsidRDefault="00D76221" w:rsidP="00DE59C3">
            <w:pPr>
              <w:spacing w:after="0" w:line="240" w:lineRule="auto"/>
              <w:jc w:val="center"/>
              <w:rPr>
                <w:rFonts w:ascii="Calibri" w:hAnsi="Calibri" w:cs="Calibri"/>
                <w:b/>
                <w:bCs/>
              </w:rPr>
            </w:pPr>
            <w:r w:rsidRPr="00DE59C3">
              <w:rPr>
                <w:rFonts w:ascii="Calibri" w:hAnsi="Calibri" w:cs="Calibri"/>
                <w:b/>
                <w:bCs/>
              </w:rPr>
              <w:t>NM EN 14015</w:t>
            </w:r>
          </w:p>
        </w:tc>
      </w:tr>
      <w:tr w:rsidR="00D76221" w:rsidRPr="00DE59C3" w:rsidTr="00DE59C3">
        <w:trPr>
          <w:trHeight w:val="366"/>
          <w:jc w:val="center"/>
        </w:trPr>
        <w:tc>
          <w:tcPr>
            <w:tcW w:w="1838" w:type="dxa"/>
            <w:tcBorders>
              <w:top w:val="single" w:sz="4" w:space="0" w:color="auto"/>
              <w:bottom w:val="single" w:sz="18" w:space="0" w:color="auto"/>
              <w:right w:val="single" w:sz="4" w:space="0" w:color="auto"/>
            </w:tcBorders>
            <w:shd w:val="clear" w:color="auto" w:fill="FFFF99"/>
            <w:vAlign w:val="center"/>
          </w:tcPr>
          <w:p w:rsidR="00D76221" w:rsidRDefault="00D76221" w:rsidP="00DE59C3">
            <w:pPr>
              <w:spacing w:after="0" w:line="240" w:lineRule="auto"/>
              <w:jc w:val="center"/>
              <w:rPr>
                <w:rFonts w:ascii="Calibri" w:hAnsi="Calibri" w:cs="Calibri"/>
                <w:b/>
                <w:bCs/>
              </w:rPr>
            </w:pPr>
            <w:r>
              <w:rPr>
                <w:rFonts w:ascii="Calibri" w:hAnsi="Calibri" w:cs="Calibri"/>
                <w:b/>
                <w:bCs/>
              </w:rPr>
              <w:t xml:space="preserve">Equivalence </w:t>
            </w:r>
          </w:p>
        </w:tc>
        <w:tc>
          <w:tcPr>
            <w:tcW w:w="7938" w:type="dxa"/>
            <w:tcBorders>
              <w:top w:val="single" w:sz="4" w:space="0" w:color="auto"/>
              <w:left w:val="single" w:sz="4" w:space="0" w:color="auto"/>
              <w:bottom w:val="single" w:sz="18" w:space="0" w:color="auto"/>
            </w:tcBorders>
            <w:shd w:val="clear" w:color="auto" w:fill="FFFF99"/>
            <w:vAlign w:val="center"/>
          </w:tcPr>
          <w:p w:rsidR="00D76221" w:rsidRPr="00DE59C3" w:rsidRDefault="00D76221" w:rsidP="00DE59C3">
            <w:pPr>
              <w:spacing w:after="0" w:line="240" w:lineRule="auto"/>
              <w:jc w:val="center"/>
              <w:rPr>
                <w:rFonts w:ascii="Calibri" w:hAnsi="Calibri" w:cs="Calibri"/>
                <w:b/>
                <w:bCs/>
              </w:rPr>
            </w:pPr>
            <w:r>
              <w:rPr>
                <w:rFonts w:ascii="Calibri" w:hAnsi="Calibri" w:cs="Calibri"/>
                <w:b/>
                <w:bCs/>
              </w:rPr>
              <w:t>EN 14015</w:t>
            </w:r>
          </w:p>
        </w:tc>
      </w:tr>
      <w:tr w:rsidR="00D76221" w:rsidRPr="00DE59C3" w:rsidTr="00DE59C3">
        <w:trPr>
          <w:trHeight w:val="629"/>
          <w:jc w:val="center"/>
        </w:trPr>
        <w:tc>
          <w:tcPr>
            <w:tcW w:w="1838" w:type="dxa"/>
            <w:tcBorders>
              <w:top w:val="single" w:sz="18" w:space="0" w:color="auto"/>
              <w:bottom w:val="single" w:sz="4" w:space="0" w:color="auto"/>
              <w:right w:val="single" w:sz="4" w:space="0" w:color="auto"/>
            </w:tcBorders>
            <w:shd w:val="clear" w:color="auto" w:fill="B8CCE4" w:themeFill="accent1" w:themeFillTint="66"/>
            <w:vAlign w:val="center"/>
          </w:tcPr>
          <w:p w:rsidR="00D76221" w:rsidRDefault="00D76221" w:rsidP="00DE59C3">
            <w:pPr>
              <w:spacing w:after="0" w:line="240" w:lineRule="auto"/>
              <w:jc w:val="center"/>
              <w:rPr>
                <w:rFonts w:ascii="Calibri" w:hAnsi="Calibri" w:cs="Calibri"/>
                <w:b/>
                <w:bCs/>
              </w:rPr>
            </w:pPr>
            <w:r>
              <w:rPr>
                <w:rFonts w:ascii="Calibri" w:hAnsi="Calibri" w:cs="Calibri"/>
                <w:b/>
                <w:bCs/>
              </w:rPr>
              <w:t xml:space="preserve">Intitulé </w:t>
            </w:r>
          </w:p>
        </w:tc>
        <w:tc>
          <w:tcPr>
            <w:tcW w:w="7938" w:type="dxa"/>
            <w:tcBorders>
              <w:top w:val="single" w:sz="18" w:space="0" w:color="auto"/>
              <w:left w:val="single" w:sz="4" w:space="0" w:color="auto"/>
              <w:bottom w:val="single" w:sz="4" w:space="0" w:color="auto"/>
            </w:tcBorders>
            <w:shd w:val="clear" w:color="auto" w:fill="auto"/>
          </w:tcPr>
          <w:p w:rsidR="00D76221" w:rsidRPr="00DE59C3" w:rsidRDefault="00D76221" w:rsidP="00DE59C3">
            <w:pPr>
              <w:spacing w:after="0" w:line="240" w:lineRule="auto"/>
              <w:jc w:val="both"/>
              <w:rPr>
                <w:rFonts w:ascii="Calibri" w:hAnsi="Calibri" w:cs="Calibri"/>
              </w:rPr>
            </w:pPr>
            <w:r w:rsidRPr="00DE59C3">
              <w:rPr>
                <w:rFonts w:ascii="Calibri" w:hAnsi="Calibri" w:cs="Calibri"/>
              </w:rPr>
              <w:t xml:space="preserve">Spécification pour la conception et la fabrication de réservoirs en acier, soudés, aériens, à fond plat, cylindriques, verticaux, construits sur site destinés au stockage des liquides à la température ambiante ou supérieure </w:t>
            </w:r>
          </w:p>
        </w:tc>
      </w:tr>
      <w:tr w:rsidR="00D76221" w:rsidRPr="00DE59C3" w:rsidTr="00DE59C3">
        <w:trPr>
          <w:trHeight w:val="629"/>
          <w:jc w:val="center"/>
        </w:trPr>
        <w:tc>
          <w:tcPr>
            <w:tcW w:w="1838" w:type="dxa"/>
            <w:tcBorders>
              <w:top w:val="single" w:sz="4" w:space="0" w:color="auto"/>
              <w:bottom w:val="single" w:sz="18" w:space="0" w:color="auto"/>
              <w:right w:val="single" w:sz="4" w:space="0" w:color="auto"/>
            </w:tcBorders>
            <w:shd w:val="clear" w:color="000000" w:fill="D9D9D9"/>
            <w:vAlign w:val="center"/>
          </w:tcPr>
          <w:p w:rsidR="00D76221" w:rsidRDefault="00D76221" w:rsidP="00DE59C3">
            <w:pPr>
              <w:spacing w:after="0" w:line="240" w:lineRule="auto"/>
              <w:jc w:val="center"/>
              <w:rPr>
                <w:rFonts w:ascii="Calibri" w:hAnsi="Calibri" w:cs="Calibri"/>
                <w:b/>
                <w:bCs/>
              </w:rPr>
            </w:pPr>
            <w:r>
              <w:rPr>
                <w:rFonts w:ascii="Calibri" w:hAnsi="Calibri" w:cs="Calibri"/>
                <w:b/>
                <w:bCs/>
              </w:rPr>
              <w:t xml:space="preserve">Domaine d’application </w:t>
            </w:r>
          </w:p>
        </w:tc>
        <w:tc>
          <w:tcPr>
            <w:tcW w:w="7938" w:type="dxa"/>
            <w:tcBorders>
              <w:top w:val="single" w:sz="4" w:space="0" w:color="auto"/>
              <w:left w:val="single" w:sz="4" w:space="0" w:color="auto"/>
              <w:bottom w:val="single" w:sz="18" w:space="0" w:color="auto"/>
            </w:tcBorders>
            <w:shd w:val="clear" w:color="auto" w:fill="auto"/>
          </w:tcPr>
          <w:p w:rsidR="00DE59C3" w:rsidRDefault="00D76221" w:rsidP="00DE59C3">
            <w:pPr>
              <w:spacing w:after="0" w:line="240" w:lineRule="auto"/>
              <w:jc w:val="both"/>
              <w:rPr>
                <w:rFonts w:ascii="Calibri" w:hAnsi="Calibri" w:cs="Calibri"/>
              </w:rPr>
            </w:pPr>
            <w:r w:rsidRPr="00DE59C3">
              <w:rPr>
                <w:rFonts w:ascii="Calibri" w:hAnsi="Calibri" w:cs="Calibri"/>
              </w:rPr>
              <w:t>1.1 Le présent document spécifie les exigences relatives aux matériaux, à la conception, à la fabrication, au montage, au contrôle et à l'inspection des réservoirs en acier verticaux cylindriques à fond plat, de construction soudée, aériens et montés sur chantier, destinés au stockage de liquides à température ambiante et au-delà (voir Annexe A).</w:t>
            </w:r>
          </w:p>
          <w:p w:rsidR="00DE59C3" w:rsidRDefault="00D76221" w:rsidP="00DE59C3">
            <w:pPr>
              <w:spacing w:after="0" w:line="240" w:lineRule="auto"/>
              <w:jc w:val="both"/>
              <w:rPr>
                <w:rFonts w:ascii="Calibri" w:hAnsi="Calibri" w:cs="Calibri"/>
              </w:rPr>
            </w:pPr>
            <w:r w:rsidRPr="00DE59C3">
              <w:rPr>
                <w:rFonts w:ascii="Calibri" w:hAnsi="Calibri" w:cs="Calibri"/>
              </w:rPr>
              <w:t>Le présent document ne s'applique pas aux réservoirs dans lesquels le produit est réfrigéré pour être maintenu à l'état liquide à la pression atmosphérique. (Voir prEN 14620).</w:t>
            </w:r>
            <w:r w:rsidRPr="00DE59C3">
              <w:rPr>
                <w:rFonts w:ascii="Calibri" w:hAnsi="Calibri" w:cs="Calibri"/>
              </w:rPr>
              <w:br/>
              <w:t>Le présent document traite de l'intégrité de la structure de base des réservoirs de stockage et ne définit pas les exigences relatives à la démarche de conception, au fonctionnement, à la sécurité, à la protection incendie, à l'inspection en service, à la maintenance ou la réparation. Ces aspects sont traités en détail dans d'autres documents</w:t>
            </w:r>
            <w:r w:rsidR="00DE59C3">
              <w:rPr>
                <w:rFonts w:ascii="Calibri" w:hAnsi="Calibri" w:cs="Calibri"/>
              </w:rPr>
              <w:t xml:space="preserve"> </w:t>
            </w:r>
            <w:r w:rsidRPr="00DE59C3">
              <w:rPr>
                <w:rFonts w:ascii="Calibri" w:hAnsi="Calibri" w:cs="Calibri"/>
              </w:rPr>
              <w:t>professionnels (voir Annexe B).</w:t>
            </w:r>
          </w:p>
          <w:p w:rsidR="00DE59C3" w:rsidRDefault="00D76221" w:rsidP="00DE59C3">
            <w:pPr>
              <w:spacing w:after="0" w:line="240" w:lineRule="auto"/>
              <w:jc w:val="both"/>
              <w:rPr>
                <w:rFonts w:ascii="Calibri" w:hAnsi="Calibri" w:cs="Calibri"/>
              </w:rPr>
            </w:pPr>
            <w:r w:rsidRPr="00DE59C3">
              <w:rPr>
                <w:rFonts w:ascii="Calibri" w:hAnsi="Calibri" w:cs="Calibri"/>
              </w:rPr>
              <w:t>1.2 Le présent document s'applique aux réservoirs à toit fixe, avec et sans écran flottant interne (voir Annexe C), et aux cuves avec et sans toit flottant (voir Annexes D et E). Elle ne s'applique pas aux gazomètres à cloche.</w:t>
            </w:r>
          </w:p>
          <w:p w:rsidR="00DE59C3" w:rsidRDefault="00D76221" w:rsidP="00DE59C3">
            <w:pPr>
              <w:spacing w:after="0" w:line="240" w:lineRule="auto"/>
              <w:jc w:val="both"/>
              <w:rPr>
                <w:rFonts w:ascii="Calibri" w:hAnsi="Calibri" w:cs="Calibri"/>
              </w:rPr>
            </w:pPr>
            <w:r w:rsidRPr="00DE59C3">
              <w:rPr>
                <w:rFonts w:ascii="Calibri" w:hAnsi="Calibri" w:cs="Calibri"/>
              </w:rPr>
              <w:lastRenderedPageBreak/>
              <w:t>1.3 Le présent document s'applique aux réservoirs de stockage présentant les caractéristiques suivantes :</w:t>
            </w:r>
          </w:p>
          <w:p w:rsidR="00DE59C3" w:rsidRDefault="00D76221" w:rsidP="00DE59C3">
            <w:pPr>
              <w:spacing w:after="0" w:line="240" w:lineRule="auto"/>
              <w:jc w:val="both"/>
              <w:rPr>
                <w:rFonts w:ascii="Calibri" w:hAnsi="Calibri" w:cs="Calibri"/>
              </w:rPr>
            </w:pPr>
            <w:r w:rsidRPr="00DE59C3">
              <w:rPr>
                <w:rFonts w:ascii="Calibri" w:hAnsi="Calibri" w:cs="Calibri"/>
              </w:rPr>
              <w:t>a) pression d'étude inférieure à 500 mbar 1) et pression intérieure négative d'étude non inférieure à 20 mbar</w:t>
            </w:r>
            <w:r w:rsidR="00DE59C3">
              <w:rPr>
                <w:rFonts w:ascii="Calibri" w:hAnsi="Calibri" w:cs="Calibri"/>
              </w:rPr>
              <w:t xml:space="preserve"> </w:t>
            </w:r>
            <w:r w:rsidRPr="00DE59C3">
              <w:rPr>
                <w:rFonts w:ascii="Calibri" w:hAnsi="Calibri" w:cs="Calibri"/>
              </w:rPr>
              <w:t>(voir 5.1 pour les limites de pression) ;</w:t>
            </w:r>
          </w:p>
          <w:p w:rsidR="00DE59C3" w:rsidRDefault="00D76221" w:rsidP="00DE59C3">
            <w:pPr>
              <w:spacing w:after="0" w:line="240" w:lineRule="auto"/>
              <w:jc w:val="both"/>
              <w:rPr>
                <w:rFonts w:ascii="Calibri" w:hAnsi="Calibri" w:cs="Calibri"/>
              </w:rPr>
            </w:pPr>
            <w:r w:rsidRPr="00DE59C3">
              <w:rPr>
                <w:rFonts w:ascii="Calibri" w:hAnsi="Calibri" w:cs="Calibri"/>
              </w:rPr>
              <w:t>b) température d'étude du métal supérieure ou égale à – 40 °C et n'excédant pas + 300 °C (voir 5.2.2) ;</w:t>
            </w:r>
          </w:p>
          <w:p w:rsidR="00DE59C3" w:rsidRDefault="00D76221" w:rsidP="00DE59C3">
            <w:pPr>
              <w:spacing w:after="0" w:line="240" w:lineRule="auto"/>
              <w:jc w:val="both"/>
              <w:rPr>
                <w:rFonts w:ascii="Calibri" w:hAnsi="Calibri" w:cs="Calibri"/>
              </w:rPr>
            </w:pPr>
            <w:r w:rsidRPr="00DE59C3">
              <w:rPr>
                <w:rFonts w:ascii="Calibri" w:hAnsi="Calibri" w:cs="Calibri"/>
              </w:rPr>
              <w:t>c) niveau d'étude maximal du liquide ne dépassant pas le sommet de la robe cylindrique.</w:t>
            </w:r>
          </w:p>
          <w:p w:rsidR="00DE59C3" w:rsidRDefault="00D76221" w:rsidP="00DE59C3">
            <w:pPr>
              <w:spacing w:after="0" w:line="240" w:lineRule="auto"/>
              <w:jc w:val="both"/>
              <w:rPr>
                <w:rFonts w:ascii="Calibri" w:hAnsi="Calibri" w:cs="Calibri"/>
              </w:rPr>
            </w:pPr>
            <w:r w:rsidRPr="00DE59C3">
              <w:rPr>
                <w:rFonts w:ascii="Calibri" w:hAnsi="Calibri" w:cs="Calibri"/>
              </w:rPr>
              <w:t>1.4 Les limites relatives à l'application du présent document sont les suivantes.</w:t>
            </w:r>
          </w:p>
          <w:p w:rsidR="00DE59C3" w:rsidRDefault="00D76221" w:rsidP="00DE59C3">
            <w:pPr>
              <w:spacing w:after="0" w:line="240" w:lineRule="auto"/>
              <w:jc w:val="both"/>
              <w:rPr>
                <w:rFonts w:ascii="Calibri" w:hAnsi="Calibri" w:cs="Calibri"/>
              </w:rPr>
            </w:pPr>
            <w:r w:rsidRPr="00DE59C3">
              <w:rPr>
                <w:rFonts w:ascii="Calibri" w:hAnsi="Calibri" w:cs="Calibri"/>
              </w:rPr>
              <w:t>— la face de la première bride dans un raccord à bride boulonnée ;</w:t>
            </w:r>
          </w:p>
          <w:p w:rsidR="00DE59C3" w:rsidRDefault="00D76221" w:rsidP="00DE59C3">
            <w:pPr>
              <w:spacing w:after="0" w:line="240" w:lineRule="auto"/>
              <w:jc w:val="both"/>
              <w:rPr>
                <w:rFonts w:ascii="Calibri" w:hAnsi="Calibri" w:cs="Calibri"/>
              </w:rPr>
            </w:pPr>
            <w:r w:rsidRPr="00DE59C3">
              <w:rPr>
                <w:rFonts w:ascii="Calibri" w:hAnsi="Calibri" w:cs="Calibri"/>
              </w:rPr>
              <w:t>— le premier raccord fileté sur le tuyau ou le manchon à l'extérieur de la robe, du toit ou du fond du réservoir ;</w:t>
            </w:r>
          </w:p>
          <w:p w:rsidR="00DE59C3" w:rsidRDefault="00D76221" w:rsidP="00DE59C3">
            <w:pPr>
              <w:spacing w:after="0" w:line="240" w:lineRule="auto"/>
              <w:jc w:val="both"/>
              <w:rPr>
                <w:rFonts w:ascii="Calibri" w:hAnsi="Calibri" w:cs="Calibri"/>
              </w:rPr>
            </w:pPr>
            <w:r w:rsidRPr="00DE59C3">
              <w:rPr>
                <w:rFonts w:ascii="Calibri" w:hAnsi="Calibri" w:cs="Calibri"/>
              </w:rPr>
              <w:t>— le premier joint circonférentiel dans un tuyau ne comportant pas de raccord à bride.</w:t>
            </w:r>
            <w:r w:rsidRPr="00DE59C3">
              <w:rPr>
                <w:rFonts w:ascii="Calibri" w:hAnsi="Calibri" w:cs="Calibri"/>
              </w:rPr>
              <w:br/>
              <w:t>1.5 Le présent document s'applique aux réservoirs en acier dont la contrainte de calcul admissible maximale doit être au plus égale à 260 N/mm</w:t>
            </w:r>
            <w:r w:rsidRPr="00DE59C3">
              <w:rPr>
                <w:rFonts w:ascii="Calibri" w:hAnsi="Calibri" w:cs="Calibri"/>
                <w:vertAlign w:val="superscript"/>
              </w:rPr>
              <w:t>2</w:t>
            </w:r>
            <w:r w:rsidRPr="00DE59C3">
              <w:rPr>
                <w:rFonts w:ascii="Calibri" w:hAnsi="Calibri" w:cs="Calibri"/>
              </w:rPr>
              <w:t>.</w:t>
            </w:r>
          </w:p>
          <w:p w:rsidR="00D76221" w:rsidRPr="00DE59C3" w:rsidRDefault="00D76221" w:rsidP="00DE59C3">
            <w:pPr>
              <w:spacing w:after="0" w:line="240" w:lineRule="auto"/>
              <w:jc w:val="both"/>
              <w:rPr>
                <w:rFonts w:ascii="Calibri" w:hAnsi="Calibri" w:cs="Calibri"/>
              </w:rPr>
            </w:pPr>
            <w:r w:rsidRPr="00DE59C3">
              <w:rPr>
                <w:rFonts w:ascii="Calibri" w:hAnsi="Calibri" w:cs="Calibri"/>
              </w:rPr>
              <w:t>1.6 En complément aux exigences finales, le présent document implique de documenter les détails demandés par l’Annexe A. Pour être conformes à cet présent document, il faut que les exigences finales et celles requises par l’Article 4 soient satisfaites.</w:t>
            </w:r>
          </w:p>
        </w:tc>
      </w:tr>
      <w:tr w:rsidR="00D76221" w:rsidRPr="00DE59C3" w:rsidTr="00DE59C3">
        <w:trPr>
          <w:trHeight w:val="476"/>
          <w:jc w:val="center"/>
        </w:trPr>
        <w:tc>
          <w:tcPr>
            <w:tcW w:w="1838" w:type="dxa"/>
            <w:tcBorders>
              <w:top w:val="single" w:sz="4" w:space="0" w:color="auto"/>
              <w:bottom w:val="single" w:sz="18" w:space="0" w:color="auto"/>
              <w:right w:val="single" w:sz="4" w:space="0" w:color="auto"/>
            </w:tcBorders>
            <w:shd w:val="clear" w:color="auto" w:fill="C2D69B" w:themeFill="accent3" w:themeFillTint="99"/>
            <w:vAlign w:val="center"/>
          </w:tcPr>
          <w:p w:rsidR="00D76221" w:rsidRDefault="00D76221" w:rsidP="00DE59C3">
            <w:pPr>
              <w:spacing w:after="0" w:line="240" w:lineRule="auto"/>
              <w:jc w:val="center"/>
              <w:rPr>
                <w:rFonts w:ascii="Calibri" w:hAnsi="Calibri" w:cs="Calibri"/>
                <w:b/>
                <w:bCs/>
              </w:rPr>
            </w:pPr>
            <w:r>
              <w:rPr>
                <w:rFonts w:ascii="Calibri" w:hAnsi="Calibri" w:cs="Calibri"/>
                <w:b/>
                <w:bCs/>
              </w:rPr>
              <w:lastRenderedPageBreak/>
              <w:t xml:space="preserve">Code </w:t>
            </w:r>
            <w:r w:rsidR="00DE59C3">
              <w:rPr>
                <w:rFonts w:ascii="Calibri" w:hAnsi="Calibri" w:cs="Calibri"/>
                <w:b/>
                <w:bCs/>
              </w:rPr>
              <w:t xml:space="preserve"> </w:t>
            </w:r>
          </w:p>
        </w:tc>
        <w:tc>
          <w:tcPr>
            <w:tcW w:w="7938" w:type="dxa"/>
            <w:tcBorders>
              <w:top w:val="single" w:sz="4" w:space="0" w:color="auto"/>
              <w:left w:val="single" w:sz="4" w:space="0" w:color="auto"/>
              <w:bottom w:val="single" w:sz="18" w:space="0" w:color="auto"/>
            </w:tcBorders>
            <w:shd w:val="clear" w:color="auto" w:fill="C2D69B" w:themeFill="accent3" w:themeFillTint="99"/>
            <w:vAlign w:val="center"/>
          </w:tcPr>
          <w:p w:rsidR="00D76221" w:rsidRPr="00DE59C3" w:rsidRDefault="00D76221" w:rsidP="00DE59C3">
            <w:pPr>
              <w:spacing w:after="0" w:line="240" w:lineRule="auto"/>
              <w:jc w:val="center"/>
              <w:rPr>
                <w:rFonts w:ascii="Calibri" w:hAnsi="Calibri" w:cs="Calibri"/>
                <w:b/>
                <w:bCs/>
                <w:sz w:val="24"/>
                <w:szCs w:val="24"/>
              </w:rPr>
            </w:pPr>
            <w:r w:rsidRPr="00DE59C3">
              <w:rPr>
                <w:rFonts w:ascii="Calibri" w:hAnsi="Calibri" w:cs="Calibri"/>
                <w:b/>
                <w:bCs/>
                <w:sz w:val="24"/>
                <w:szCs w:val="24"/>
              </w:rPr>
              <w:t>NM EN 14620-1</w:t>
            </w:r>
          </w:p>
        </w:tc>
      </w:tr>
      <w:tr w:rsidR="00D76221" w:rsidRPr="00DE59C3" w:rsidTr="00DE59C3">
        <w:trPr>
          <w:trHeight w:val="384"/>
          <w:jc w:val="center"/>
        </w:trPr>
        <w:tc>
          <w:tcPr>
            <w:tcW w:w="1838" w:type="dxa"/>
            <w:tcBorders>
              <w:top w:val="single" w:sz="4" w:space="0" w:color="auto"/>
              <w:bottom w:val="single" w:sz="18" w:space="0" w:color="auto"/>
              <w:right w:val="single" w:sz="4" w:space="0" w:color="auto"/>
            </w:tcBorders>
            <w:shd w:val="clear" w:color="auto" w:fill="FFFF99"/>
            <w:vAlign w:val="center"/>
          </w:tcPr>
          <w:p w:rsidR="00D76221" w:rsidRDefault="00D76221" w:rsidP="00DE59C3">
            <w:pPr>
              <w:spacing w:after="0" w:line="240" w:lineRule="auto"/>
              <w:jc w:val="center"/>
              <w:rPr>
                <w:rFonts w:ascii="Calibri" w:hAnsi="Calibri" w:cs="Calibri"/>
                <w:b/>
                <w:bCs/>
              </w:rPr>
            </w:pPr>
            <w:r>
              <w:rPr>
                <w:rFonts w:ascii="Calibri" w:hAnsi="Calibri" w:cs="Calibri"/>
                <w:b/>
                <w:bCs/>
              </w:rPr>
              <w:t xml:space="preserve">Equivalence </w:t>
            </w:r>
          </w:p>
        </w:tc>
        <w:tc>
          <w:tcPr>
            <w:tcW w:w="7938" w:type="dxa"/>
            <w:tcBorders>
              <w:top w:val="single" w:sz="4" w:space="0" w:color="auto"/>
              <w:left w:val="single" w:sz="4" w:space="0" w:color="auto"/>
              <w:bottom w:val="single" w:sz="18" w:space="0" w:color="auto"/>
            </w:tcBorders>
            <w:shd w:val="clear" w:color="auto" w:fill="FFFF99"/>
            <w:vAlign w:val="center"/>
          </w:tcPr>
          <w:p w:rsidR="00D76221" w:rsidRPr="00DE59C3" w:rsidRDefault="00D76221" w:rsidP="00DE59C3">
            <w:pPr>
              <w:spacing w:after="0" w:line="240" w:lineRule="auto"/>
              <w:jc w:val="center"/>
              <w:rPr>
                <w:rFonts w:ascii="Calibri" w:hAnsi="Calibri" w:cs="Calibri"/>
                <w:b/>
                <w:bCs/>
                <w:sz w:val="24"/>
                <w:szCs w:val="24"/>
              </w:rPr>
            </w:pPr>
            <w:r w:rsidRPr="00DE59C3">
              <w:rPr>
                <w:rFonts w:ascii="Calibri" w:hAnsi="Calibri" w:cs="Calibri"/>
                <w:b/>
                <w:bCs/>
                <w:sz w:val="24"/>
                <w:szCs w:val="24"/>
              </w:rPr>
              <w:t>EN 14620-1</w:t>
            </w:r>
          </w:p>
        </w:tc>
      </w:tr>
      <w:tr w:rsidR="00D76221" w:rsidRPr="00DE59C3" w:rsidTr="00DE59C3">
        <w:trPr>
          <w:trHeight w:val="629"/>
          <w:jc w:val="center"/>
        </w:trPr>
        <w:tc>
          <w:tcPr>
            <w:tcW w:w="1838" w:type="dxa"/>
            <w:tcBorders>
              <w:top w:val="single" w:sz="18" w:space="0" w:color="auto"/>
              <w:bottom w:val="single" w:sz="4" w:space="0" w:color="auto"/>
              <w:right w:val="single" w:sz="4" w:space="0" w:color="auto"/>
            </w:tcBorders>
            <w:shd w:val="clear" w:color="auto" w:fill="B8CCE4" w:themeFill="accent1" w:themeFillTint="66"/>
            <w:vAlign w:val="center"/>
          </w:tcPr>
          <w:p w:rsidR="00D76221" w:rsidRDefault="00D76221" w:rsidP="00DE59C3">
            <w:pPr>
              <w:spacing w:after="0" w:line="240" w:lineRule="auto"/>
              <w:jc w:val="center"/>
              <w:rPr>
                <w:rFonts w:ascii="Calibri" w:hAnsi="Calibri" w:cs="Calibri"/>
                <w:b/>
                <w:bCs/>
              </w:rPr>
            </w:pPr>
            <w:r>
              <w:rPr>
                <w:rFonts w:ascii="Calibri" w:hAnsi="Calibri" w:cs="Calibri"/>
                <w:b/>
                <w:bCs/>
              </w:rPr>
              <w:t xml:space="preserve">Intitulé </w:t>
            </w:r>
          </w:p>
        </w:tc>
        <w:tc>
          <w:tcPr>
            <w:tcW w:w="7938" w:type="dxa"/>
            <w:tcBorders>
              <w:top w:val="single" w:sz="18" w:space="0" w:color="auto"/>
              <w:left w:val="single" w:sz="4" w:space="0" w:color="auto"/>
              <w:bottom w:val="single" w:sz="4" w:space="0" w:color="auto"/>
            </w:tcBorders>
            <w:shd w:val="clear" w:color="auto" w:fill="auto"/>
          </w:tcPr>
          <w:p w:rsidR="00D76221" w:rsidRPr="00DE59C3" w:rsidRDefault="00D76221" w:rsidP="00DE59C3">
            <w:pPr>
              <w:spacing w:after="0" w:line="240" w:lineRule="auto"/>
              <w:jc w:val="both"/>
              <w:rPr>
                <w:rFonts w:ascii="Calibri" w:hAnsi="Calibri" w:cs="Calibri"/>
              </w:rPr>
            </w:pPr>
            <w:r w:rsidRPr="00DE59C3">
              <w:rPr>
                <w:rFonts w:ascii="Calibri" w:hAnsi="Calibri" w:cs="Calibri"/>
              </w:rPr>
              <w:t xml:space="preserve">Conception et fabrication de réservoirs en acier à fond plat, verticaux, cylindriques, construits sur site, destinés au stockage de gaz réfrigérés, liquéfiés, dont les températures de service sont comprises entre 0 °C et – 165 °C - Partie 1 : Généralités  </w:t>
            </w:r>
          </w:p>
        </w:tc>
      </w:tr>
      <w:tr w:rsidR="00D76221" w:rsidRPr="00DE59C3" w:rsidTr="00DE59C3">
        <w:trPr>
          <w:trHeight w:val="629"/>
          <w:jc w:val="center"/>
        </w:trPr>
        <w:tc>
          <w:tcPr>
            <w:tcW w:w="1838" w:type="dxa"/>
            <w:tcBorders>
              <w:top w:val="single" w:sz="4" w:space="0" w:color="auto"/>
              <w:bottom w:val="single" w:sz="18" w:space="0" w:color="auto"/>
              <w:right w:val="single" w:sz="4" w:space="0" w:color="auto"/>
            </w:tcBorders>
            <w:shd w:val="clear" w:color="000000" w:fill="D9D9D9"/>
            <w:vAlign w:val="center"/>
          </w:tcPr>
          <w:p w:rsidR="00D76221" w:rsidRDefault="00D76221" w:rsidP="00DE59C3">
            <w:pPr>
              <w:spacing w:after="0" w:line="240" w:lineRule="auto"/>
              <w:jc w:val="center"/>
              <w:rPr>
                <w:rFonts w:ascii="Calibri" w:hAnsi="Calibri" w:cs="Calibri"/>
                <w:b/>
                <w:bCs/>
              </w:rPr>
            </w:pPr>
            <w:r>
              <w:rPr>
                <w:rFonts w:ascii="Calibri" w:hAnsi="Calibri" w:cs="Calibri"/>
                <w:b/>
                <w:bCs/>
              </w:rPr>
              <w:t xml:space="preserve">Domaine d’application </w:t>
            </w:r>
          </w:p>
        </w:tc>
        <w:tc>
          <w:tcPr>
            <w:tcW w:w="7938" w:type="dxa"/>
            <w:tcBorders>
              <w:top w:val="single" w:sz="4" w:space="0" w:color="auto"/>
              <w:left w:val="single" w:sz="4" w:space="0" w:color="auto"/>
              <w:bottom w:val="single" w:sz="18" w:space="0" w:color="auto"/>
            </w:tcBorders>
            <w:shd w:val="clear" w:color="auto" w:fill="auto"/>
          </w:tcPr>
          <w:p w:rsidR="00DE59C3" w:rsidRDefault="00D76221" w:rsidP="00DE59C3">
            <w:pPr>
              <w:spacing w:after="0" w:line="240" w:lineRule="auto"/>
              <w:jc w:val="both"/>
              <w:rPr>
                <w:rFonts w:ascii="Calibri" w:hAnsi="Calibri" w:cs="Calibri"/>
              </w:rPr>
            </w:pPr>
            <w:r w:rsidRPr="00DE59C3">
              <w:rPr>
                <w:rFonts w:ascii="Calibri" w:hAnsi="Calibri" w:cs="Calibri"/>
              </w:rPr>
              <w:t>La présente Norme européenne spécifie les exigences relatives aux réservoirs verticaux, cylindriques, construits sur site, situés au dessus du sol et dont la cuve primaire est en acier. La cuve secondaire, le cas échéant, peut être en acier, en béton ou mixte. La présente norme ne s'applique pas aux réservoirs dans lesquels la cuve interne est</w:t>
            </w:r>
            <w:r w:rsidRPr="00DE59C3">
              <w:rPr>
                <w:rFonts w:ascii="Calibri" w:hAnsi="Calibri" w:cs="Calibri"/>
              </w:rPr>
              <w:br/>
              <w:t>en béton précontraint.</w:t>
            </w:r>
          </w:p>
          <w:p w:rsidR="00DE59C3" w:rsidRDefault="00D76221" w:rsidP="00DE59C3">
            <w:pPr>
              <w:spacing w:after="0" w:line="240" w:lineRule="auto"/>
              <w:jc w:val="both"/>
              <w:rPr>
                <w:rFonts w:ascii="Calibri" w:hAnsi="Calibri" w:cs="Calibri"/>
              </w:rPr>
            </w:pPr>
            <w:r w:rsidRPr="00DE59C3">
              <w:rPr>
                <w:rFonts w:ascii="Calibri" w:hAnsi="Calibri" w:cs="Calibri"/>
              </w:rPr>
              <w:t>La présente Norme européenne présente des principes et des règles d'application pour la conception de la structure du «confinement» lors de la construction, des essais, de la mise en service, du fonctionnement (y compris en cas d'accident) et de la mise hors service. Elle n'aborde pas les exigences relatives aux équipements auxiliaires, tels que les pompes, les puits de pompe, les vannes, les tuyauteries, l'instrumentation, les cages d'escalier, etc.</w:t>
            </w:r>
          </w:p>
          <w:p w:rsidR="00DE59C3" w:rsidRDefault="00D76221" w:rsidP="00DE59C3">
            <w:pPr>
              <w:spacing w:after="0" w:line="240" w:lineRule="auto"/>
              <w:jc w:val="both"/>
              <w:rPr>
                <w:rFonts w:ascii="Calibri" w:hAnsi="Calibri" w:cs="Calibri"/>
              </w:rPr>
            </w:pPr>
            <w:r w:rsidRPr="00DE59C3">
              <w:rPr>
                <w:rFonts w:ascii="Calibri" w:hAnsi="Calibri" w:cs="Calibri"/>
              </w:rPr>
              <w:t>La présente Norme européenne s'applique aux réservoirs de stockage de produits dont le point d'ébullition atmosphérique est inférieur à la température ambiante en phase double, c'est-à-dire, liquide et gazeuse, l'équilibre entre les phases liquide et vapeur étant maintenu par mise en froid du produit à une température égale ou légèrement inférieure à son point d'ébullition atmosphérique, associée à une légère surpression dans le réservoir de stockage.</w:t>
            </w:r>
          </w:p>
          <w:p w:rsidR="00DE59C3" w:rsidRDefault="00D76221" w:rsidP="00DE59C3">
            <w:pPr>
              <w:spacing w:after="0" w:line="240" w:lineRule="auto"/>
              <w:jc w:val="both"/>
              <w:rPr>
                <w:rFonts w:ascii="Calibri" w:hAnsi="Calibri" w:cs="Calibri"/>
              </w:rPr>
            </w:pPr>
            <w:r w:rsidRPr="00DE59C3">
              <w:rPr>
                <w:rFonts w:ascii="Calibri" w:hAnsi="Calibri" w:cs="Calibri"/>
              </w:rPr>
              <w:t>La pression maximale de calcul des réservoirs couverts par la présente Norme européenne est limitée à 500 mbarg.</w:t>
            </w:r>
          </w:p>
          <w:p w:rsidR="00DE59C3" w:rsidRDefault="00D76221" w:rsidP="00DE59C3">
            <w:pPr>
              <w:spacing w:after="0" w:line="240" w:lineRule="auto"/>
              <w:jc w:val="both"/>
              <w:rPr>
                <w:rFonts w:ascii="Calibri" w:hAnsi="Calibri" w:cs="Calibri"/>
              </w:rPr>
            </w:pPr>
            <w:r w:rsidRPr="00DE59C3">
              <w:rPr>
                <w:rFonts w:ascii="Calibri" w:hAnsi="Calibri" w:cs="Calibri"/>
              </w:rPr>
              <w:t>Pour des pressions supérieures, il est possible de consulter l'EN 13445, Parties 1 à 5.</w:t>
            </w:r>
            <w:r w:rsidRPr="00DE59C3">
              <w:rPr>
                <w:rFonts w:ascii="Calibri" w:hAnsi="Calibri" w:cs="Calibri"/>
              </w:rPr>
              <w:br/>
              <w:t>La plage de fonctionnement, correspondant au gaz devant être stocké, est entre 0 °C et – 165 °C. Les réservoirs de stockage pour l'oxygène, l'azote et l'argon liquéfiés sont exclus.</w:t>
            </w:r>
            <w:r w:rsidRPr="00DE59C3">
              <w:rPr>
                <w:rFonts w:ascii="Calibri" w:hAnsi="Calibri" w:cs="Calibri"/>
              </w:rPr>
              <w:br/>
              <w:t>Les réservoirs sont utilisés pour le stockage de grands volumes de produits hydrocarbonés et d'ammoniac se vaporisant à basse température, généralement appelés «Gaz liquéfiés réfrigérés» (GLR). Les produits types stockés dans les réservoirs sont : le méthane, l'éthane, le propane, le butane, l'éthylène, le propylène, le butadiène (cette gamme de produits incluant les GNL et les GPL).</w:t>
            </w:r>
          </w:p>
          <w:p w:rsidR="00DE59C3" w:rsidRPr="00DE59C3" w:rsidRDefault="00D76221" w:rsidP="00DE59C3">
            <w:pPr>
              <w:spacing w:after="0" w:line="240" w:lineRule="auto"/>
              <w:jc w:val="both"/>
              <w:rPr>
                <w:rFonts w:ascii="Calibri" w:hAnsi="Calibri" w:cs="Calibri"/>
                <w:i/>
                <w:iCs/>
                <w:sz w:val="20"/>
                <w:szCs w:val="20"/>
              </w:rPr>
            </w:pPr>
            <w:r w:rsidRPr="00DE59C3">
              <w:rPr>
                <w:rFonts w:ascii="Calibri" w:hAnsi="Calibri" w:cs="Calibri"/>
                <w:b/>
                <w:bCs/>
                <w:i/>
                <w:iCs/>
                <w:sz w:val="20"/>
                <w:szCs w:val="20"/>
              </w:rPr>
              <w:t>NOTE</w:t>
            </w:r>
            <w:r w:rsidR="00DE59C3">
              <w:rPr>
                <w:rFonts w:ascii="Calibri" w:hAnsi="Calibri" w:cs="Calibri"/>
                <w:i/>
                <w:iCs/>
                <w:sz w:val="20"/>
                <w:szCs w:val="20"/>
              </w:rPr>
              <w:t xml:space="preserve"> : </w:t>
            </w:r>
            <w:r w:rsidRPr="00DE59C3">
              <w:rPr>
                <w:rFonts w:ascii="Calibri" w:hAnsi="Calibri" w:cs="Calibri"/>
                <w:i/>
                <w:iCs/>
                <w:sz w:val="20"/>
                <w:szCs w:val="20"/>
              </w:rPr>
              <w:t>Les propriétés des gaz sont données dans l'Annexe A.</w:t>
            </w:r>
          </w:p>
          <w:p w:rsidR="00DE59C3" w:rsidRDefault="00D76221" w:rsidP="00DE59C3">
            <w:pPr>
              <w:spacing w:after="0" w:line="240" w:lineRule="auto"/>
              <w:jc w:val="both"/>
              <w:rPr>
                <w:rFonts w:ascii="Calibri" w:hAnsi="Calibri" w:cs="Calibri"/>
              </w:rPr>
            </w:pPr>
            <w:r w:rsidRPr="00DE59C3">
              <w:rPr>
                <w:rFonts w:ascii="Calibri" w:hAnsi="Calibri" w:cs="Calibri"/>
              </w:rPr>
              <w:t xml:space="preserve">Les exigences de la présente Norme européenne ne peuvent aborder tous les détails de conception et de construction en raison de la variété des dimensions et des </w:t>
            </w:r>
            <w:r w:rsidRPr="00DE59C3">
              <w:rPr>
                <w:rFonts w:ascii="Calibri" w:hAnsi="Calibri" w:cs="Calibri"/>
              </w:rPr>
              <w:lastRenderedPageBreak/>
              <w:t>configurations possibles. À défaut d'exigences complètes relatives à une conception spécifique, il s'agit pour le concepteur, soumis à l'approbation du représentant autorisé de l'acheteur, de fournir une conception et des détails de même niveau de sécurité que ceux prévus dans la présente</w:t>
            </w:r>
            <w:r w:rsidR="00DE59C3">
              <w:rPr>
                <w:rFonts w:ascii="Calibri" w:hAnsi="Calibri" w:cs="Calibri"/>
              </w:rPr>
              <w:t xml:space="preserve"> </w:t>
            </w:r>
            <w:r w:rsidRPr="00DE59C3">
              <w:rPr>
                <w:rFonts w:ascii="Calibri" w:hAnsi="Calibri" w:cs="Calibri"/>
              </w:rPr>
              <w:t>Norme européenne.</w:t>
            </w:r>
          </w:p>
          <w:p w:rsidR="00D76221" w:rsidRPr="00DE59C3" w:rsidRDefault="00D76221" w:rsidP="00DE59C3">
            <w:pPr>
              <w:spacing w:after="0" w:line="240" w:lineRule="auto"/>
              <w:jc w:val="both"/>
              <w:rPr>
                <w:rFonts w:ascii="Calibri" w:hAnsi="Calibri" w:cs="Calibri"/>
              </w:rPr>
            </w:pPr>
            <w:r w:rsidRPr="00DE59C3">
              <w:rPr>
                <w:rFonts w:ascii="Calibri" w:hAnsi="Calibri" w:cs="Calibri"/>
              </w:rPr>
              <w:t>La présente norme européenne spécifie les exigences générales pour la conception, le choix et la méthode</w:t>
            </w:r>
            <w:r w:rsidR="00DE59C3">
              <w:rPr>
                <w:rFonts w:ascii="Calibri" w:hAnsi="Calibri" w:cs="Calibri"/>
              </w:rPr>
              <w:t xml:space="preserve"> </w:t>
            </w:r>
            <w:r w:rsidRPr="00DE59C3">
              <w:rPr>
                <w:rFonts w:ascii="Calibri" w:hAnsi="Calibri" w:cs="Calibri"/>
              </w:rPr>
              <w:t>de dimensionnement du réservoir.</w:t>
            </w:r>
          </w:p>
        </w:tc>
      </w:tr>
      <w:tr w:rsidR="00D76221" w:rsidRPr="00DE59C3" w:rsidTr="00DE59C3">
        <w:trPr>
          <w:trHeight w:val="462"/>
          <w:jc w:val="center"/>
        </w:trPr>
        <w:tc>
          <w:tcPr>
            <w:tcW w:w="1838" w:type="dxa"/>
            <w:tcBorders>
              <w:top w:val="single" w:sz="4" w:space="0" w:color="auto"/>
              <w:bottom w:val="single" w:sz="18" w:space="0" w:color="auto"/>
              <w:right w:val="single" w:sz="4" w:space="0" w:color="auto"/>
            </w:tcBorders>
            <w:shd w:val="clear" w:color="auto" w:fill="C2D69B" w:themeFill="accent3" w:themeFillTint="99"/>
            <w:vAlign w:val="center"/>
          </w:tcPr>
          <w:p w:rsidR="00D76221" w:rsidRDefault="00D76221" w:rsidP="00DE59C3">
            <w:pPr>
              <w:spacing w:after="0" w:line="240" w:lineRule="auto"/>
              <w:jc w:val="center"/>
              <w:rPr>
                <w:rFonts w:ascii="Calibri" w:hAnsi="Calibri" w:cs="Calibri"/>
                <w:b/>
                <w:bCs/>
              </w:rPr>
            </w:pPr>
            <w:r>
              <w:rPr>
                <w:rFonts w:ascii="Calibri" w:hAnsi="Calibri" w:cs="Calibri"/>
                <w:b/>
                <w:bCs/>
              </w:rPr>
              <w:lastRenderedPageBreak/>
              <w:t xml:space="preserve">Code </w:t>
            </w:r>
          </w:p>
        </w:tc>
        <w:tc>
          <w:tcPr>
            <w:tcW w:w="7938" w:type="dxa"/>
            <w:tcBorders>
              <w:top w:val="single" w:sz="4" w:space="0" w:color="auto"/>
              <w:left w:val="single" w:sz="4" w:space="0" w:color="auto"/>
              <w:bottom w:val="single" w:sz="18" w:space="0" w:color="auto"/>
            </w:tcBorders>
            <w:shd w:val="clear" w:color="auto" w:fill="C2D69B" w:themeFill="accent3" w:themeFillTint="99"/>
            <w:vAlign w:val="center"/>
          </w:tcPr>
          <w:p w:rsidR="00D76221" w:rsidRPr="00DE59C3" w:rsidRDefault="00D76221" w:rsidP="00DE59C3">
            <w:pPr>
              <w:spacing w:after="0" w:line="240" w:lineRule="auto"/>
              <w:jc w:val="center"/>
              <w:rPr>
                <w:rFonts w:ascii="Calibri" w:hAnsi="Calibri" w:cs="Calibri"/>
                <w:b/>
                <w:bCs/>
                <w:sz w:val="24"/>
                <w:szCs w:val="24"/>
              </w:rPr>
            </w:pPr>
            <w:r w:rsidRPr="00DE59C3">
              <w:rPr>
                <w:rFonts w:ascii="Calibri" w:hAnsi="Calibri" w:cs="Calibri"/>
                <w:b/>
                <w:bCs/>
                <w:sz w:val="24"/>
                <w:szCs w:val="24"/>
              </w:rPr>
              <w:t>NM EN 14620-5</w:t>
            </w:r>
          </w:p>
        </w:tc>
      </w:tr>
      <w:tr w:rsidR="00D76221" w:rsidRPr="00DE59C3" w:rsidTr="00D73A51">
        <w:trPr>
          <w:trHeight w:val="370"/>
          <w:jc w:val="center"/>
        </w:trPr>
        <w:tc>
          <w:tcPr>
            <w:tcW w:w="1838" w:type="dxa"/>
            <w:tcBorders>
              <w:top w:val="single" w:sz="4" w:space="0" w:color="auto"/>
              <w:bottom w:val="single" w:sz="18" w:space="0" w:color="auto"/>
              <w:right w:val="single" w:sz="4" w:space="0" w:color="auto"/>
            </w:tcBorders>
            <w:shd w:val="clear" w:color="auto" w:fill="FFFF99"/>
            <w:vAlign w:val="center"/>
          </w:tcPr>
          <w:p w:rsidR="00D76221" w:rsidRDefault="00D76221" w:rsidP="00DE59C3">
            <w:pPr>
              <w:spacing w:after="0" w:line="240" w:lineRule="auto"/>
              <w:jc w:val="center"/>
              <w:rPr>
                <w:rFonts w:ascii="Calibri" w:hAnsi="Calibri" w:cs="Calibri"/>
                <w:b/>
                <w:bCs/>
              </w:rPr>
            </w:pPr>
            <w:r>
              <w:rPr>
                <w:rFonts w:ascii="Calibri" w:hAnsi="Calibri" w:cs="Calibri"/>
                <w:b/>
                <w:bCs/>
              </w:rPr>
              <w:t xml:space="preserve">Equivalence </w:t>
            </w:r>
          </w:p>
        </w:tc>
        <w:tc>
          <w:tcPr>
            <w:tcW w:w="7938" w:type="dxa"/>
            <w:tcBorders>
              <w:top w:val="single" w:sz="4" w:space="0" w:color="auto"/>
              <w:left w:val="single" w:sz="4" w:space="0" w:color="auto"/>
              <w:bottom w:val="single" w:sz="18" w:space="0" w:color="auto"/>
            </w:tcBorders>
            <w:shd w:val="clear" w:color="auto" w:fill="FFFF99"/>
            <w:vAlign w:val="center"/>
          </w:tcPr>
          <w:p w:rsidR="00D76221" w:rsidRPr="00DE59C3" w:rsidRDefault="00D76221" w:rsidP="00DE59C3">
            <w:pPr>
              <w:spacing w:after="0" w:line="240" w:lineRule="auto"/>
              <w:jc w:val="center"/>
              <w:rPr>
                <w:rFonts w:ascii="Calibri" w:hAnsi="Calibri" w:cs="Calibri"/>
                <w:b/>
                <w:bCs/>
                <w:sz w:val="24"/>
                <w:szCs w:val="24"/>
              </w:rPr>
            </w:pPr>
            <w:r w:rsidRPr="00DE59C3">
              <w:rPr>
                <w:rFonts w:ascii="Calibri" w:hAnsi="Calibri" w:cs="Calibri"/>
                <w:b/>
                <w:bCs/>
                <w:sz w:val="24"/>
                <w:szCs w:val="24"/>
              </w:rPr>
              <w:t>EN 14620-5</w:t>
            </w:r>
          </w:p>
        </w:tc>
      </w:tr>
      <w:tr w:rsidR="00D76221" w:rsidRPr="00DE59C3" w:rsidTr="00D73A51">
        <w:trPr>
          <w:trHeight w:val="629"/>
          <w:jc w:val="center"/>
        </w:trPr>
        <w:tc>
          <w:tcPr>
            <w:tcW w:w="1838" w:type="dxa"/>
            <w:tcBorders>
              <w:top w:val="single" w:sz="18" w:space="0" w:color="auto"/>
              <w:bottom w:val="single" w:sz="4" w:space="0" w:color="auto"/>
              <w:right w:val="single" w:sz="4" w:space="0" w:color="auto"/>
            </w:tcBorders>
            <w:shd w:val="clear" w:color="auto" w:fill="B8CCE4" w:themeFill="accent1" w:themeFillTint="66"/>
            <w:vAlign w:val="center"/>
          </w:tcPr>
          <w:p w:rsidR="00D76221" w:rsidRDefault="00D76221" w:rsidP="00DE59C3">
            <w:pPr>
              <w:spacing w:after="0" w:line="240" w:lineRule="auto"/>
              <w:jc w:val="center"/>
              <w:rPr>
                <w:rFonts w:ascii="Calibri" w:hAnsi="Calibri" w:cs="Calibri"/>
                <w:b/>
                <w:bCs/>
              </w:rPr>
            </w:pPr>
            <w:r>
              <w:rPr>
                <w:rFonts w:ascii="Calibri" w:hAnsi="Calibri" w:cs="Calibri"/>
                <w:b/>
                <w:bCs/>
              </w:rPr>
              <w:t xml:space="preserve">Intitulé </w:t>
            </w:r>
          </w:p>
        </w:tc>
        <w:tc>
          <w:tcPr>
            <w:tcW w:w="7938" w:type="dxa"/>
            <w:tcBorders>
              <w:top w:val="single" w:sz="18" w:space="0" w:color="auto"/>
              <w:left w:val="single" w:sz="4" w:space="0" w:color="auto"/>
              <w:bottom w:val="single" w:sz="4" w:space="0" w:color="auto"/>
            </w:tcBorders>
            <w:shd w:val="clear" w:color="auto" w:fill="auto"/>
          </w:tcPr>
          <w:p w:rsidR="00D76221" w:rsidRPr="00DE59C3" w:rsidRDefault="00D76221" w:rsidP="00DE59C3">
            <w:pPr>
              <w:spacing w:after="0" w:line="240" w:lineRule="auto"/>
              <w:jc w:val="both"/>
              <w:rPr>
                <w:rFonts w:ascii="Calibri" w:hAnsi="Calibri" w:cs="Calibri"/>
              </w:rPr>
            </w:pPr>
            <w:r w:rsidRPr="00DE59C3">
              <w:rPr>
                <w:rFonts w:ascii="Calibri" w:hAnsi="Calibri" w:cs="Calibri"/>
              </w:rPr>
              <w:t xml:space="preserve">Conception et fabrication de réservoirs en acier à fond plat, verticaux, cylindriques, construits sur site, destinés au stockage des gaz réfrigérés, liquéfiés, dont les températures de service sont comprises entre 0 °C et – 165 °C - Partie 5 : Essais, séchage, inertage et mise en froid </w:t>
            </w:r>
          </w:p>
        </w:tc>
      </w:tr>
      <w:tr w:rsidR="00D76221" w:rsidRPr="00DE59C3" w:rsidTr="00D73A51">
        <w:trPr>
          <w:trHeight w:val="629"/>
          <w:jc w:val="center"/>
        </w:trPr>
        <w:tc>
          <w:tcPr>
            <w:tcW w:w="1838" w:type="dxa"/>
            <w:tcBorders>
              <w:top w:val="single" w:sz="4" w:space="0" w:color="auto"/>
              <w:bottom w:val="single" w:sz="18" w:space="0" w:color="auto"/>
              <w:right w:val="single" w:sz="4" w:space="0" w:color="auto"/>
            </w:tcBorders>
            <w:shd w:val="clear" w:color="000000" w:fill="D9D9D9"/>
            <w:vAlign w:val="center"/>
          </w:tcPr>
          <w:p w:rsidR="00D76221" w:rsidRDefault="00D76221" w:rsidP="00DE59C3">
            <w:pPr>
              <w:spacing w:after="0" w:line="240" w:lineRule="auto"/>
              <w:jc w:val="center"/>
              <w:rPr>
                <w:rFonts w:ascii="Calibri" w:hAnsi="Calibri" w:cs="Calibri"/>
                <w:b/>
                <w:bCs/>
              </w:rPr>
            </w:pPr>
            <w:r>
              <w:rPr>
                <w:rFonts w:ascii="Calibri" w:hAnsi="Calibri" w:cs="Calibri"/>
                <w:b/>
                <w:bCs/>
              </w:rPr>
              <w:t xml:space="preserve">Domaine d’application </w:t>
            </w:r>
          </w:p>
        </w:tc>
        <w:tc>
          <w:tcPr>
            <w:tcW w:w="7938" w:type="dxa"/>
            <w:tcBorders>
              <w:top w:val="single" w:sz="4" w:space="0" w:color="auto"/>
              <w:left w:val="single" w:sz="4" w:space="0" w:color="auto"/>
              <w:bottom w:val="single" w:sz="18" w:space="0" w:color="auto"/>
            </w:tcBorders>
            <w:shd w:val="clear" w:color="auto" w:fill="auto"/>
          </w:tcPr>
          <w:p w:rsidR="00D76221" w:rsidRPr="00DE59C3" w:rsidRDefault="00D76221" w:rsidP="00DE59C3">
            <w:pPr>
              <w:spacing w:after="0" w:line="240" w:lineRule="auto"/>
              <w:jc w:val="both"/>
              <w:rPr>
                <w:rFonts w:ascii="Calibri" w:hAnsi="Calibri" w:cs="Calibri"/>
              </w:rPr>
            </w:pPr>
            <w:r w:rsidRPr="00DE59C3">
              <w:rPr>
                <w:rFonts w:ascii="Calibri" w:hAnsi="Calibri" w:cs="Calibri"/>
              </w:rPr>
              <w:t>La présente Norme européenne spécifie les exigences relatives aux essais, séchage, inertage et mise en froid des réservoirs de stockage de gaz liquéfiés réfrigérés.</w:t>
            </w:r>
            <w:r w:rsidRPr="00DE59C3">
              <w:rPr>
                <w:rFonts w:ascii="Calibri" w:hAnsi="Calibri" w:cs="Calibri"/>
              </w:rPr>
              <w:br/>
              <w:t>La présente Norme européenne présente la conception et fabrication de réservoirs en acier à fond plat, verticaux, cylindriques, construits sur site, destinés au stockage des gaz réfrigérés, liquéfiés, dont les températures de service sont comprises entre 0 °C et – 165 °C.</w:t>
            </w:r>
          </w:p>
        </w:tc>
      </w:tr>
      <w:tr w:rsidR="00D76221" w:rsidRPr="00DE59C3" w:rsidTr="00D73A51">
        <w:trPr>
          <w:trHeight w:val="443"/>
          <w:jc w:val="center"/>
        </w:trPr>
        <w:tc>
          <w:tcPr>
            <w:tcW w:w="1838" w:type="dxa"/>
            <w:tcBorders>
              <w:top w:val="single" w:sz="4" w:space="0" w:color="auto"/>
              <w:bottom w:val="single" w:sz="18" w:space="0" w:color="auto"/>
              <w:right w:val="single" w:sz="4" w:space="0" w:color="auto"/>
            </w:tcBorders>
            <w:shd w:val="clear" w:color="auto" w:fill="C2D69B" w:themeFill="accent3" w:themeFillTint="99"/>
            <w:vAlign w:val="center"/>
          </w:tcPr>
          <w:p w:rsidR="00D76221" w:rsidRDefault="00D76221" w:rsidP="00DE59C3">
            <w:pPr>
              <w:spacing w:after="0" w:line="240" w:lineRule="auto"/>
              <w:jc w:val="center"/>
              <w:rPr>
                <w:rFonts w:ascii="Calibri" w:hAnsi="Calibri" w:cs="Calibri"/>
                <w:b/>
                <w:bCs/>
              </w:rPr>
            </w:pPr>
            <w:r>
              <w:rPr>
                <w:rFonts w:ascii="Calibri" w:hAnsi="Calibri" w:cs="Calibri"/>
                <w:b/>
                <w:bCs/>
              </w:rPr>
              <w:t xml:space="preserve">Code </w:t>
            </w:r>
            <w:r w:rsidR="00DE59C3">
              <w:rPr>
                <w:rFonts w:ascii="Calibri" w:hAnsi="Calibri" w:cs="Calibri"/>
                <w:b/>
                <w:bCs/>
              </w:rPr>
              <w:t xml:space="preserve"> </w:t>
            </w:r>
          </w:p>
        </w:tc>
        <w:tc>
          <w:tcPr>
            <w:tcW w:w="7938" w:type="dxa"/>
            <w:tcBorders>
              <w:top w:val="single" w:sz="4" w:space="0" w:color="auto"/>
              <w:left w:val="single" w:sz="4" w:space="0" w:color="auto"/>
              <w:bottom w:val="single" w:sz="18" w:space="0" w:color="auto"/>
            </w:tcBorders>
            <w:shd w:val="clear" w:color="auto" w:fill="C2D69B" w:themeFill="accent3" w:themeFillTint="99"/>
            <w:vAlign w:val="center"/>
          </w:tcPr>
          <w:p w:rsidR="00D76221" w:rsidRPr="00D73A51" w:rsidRDefault="00D76221" w:rsidP="00DE59C3">
            <w:pPr>
              <w:spacing w:after="0" w:line="240" w:lineRule="auto"/>
              <w:jc w:val="center"/>
              <w:rPr>
                <w:rFonts w:ascii="Calibri" w:hAnsi="Calibri" w:cs="Calibri"/>
                <w:b/>
                <w:bCs/>
                <w:sz w:val="24"/>
                <w:szCs w:val="24"/>
              </w:rPr>
            </w:pPr>
            <w:r w:rsidRPr="00D73A51">
              <w:rPr>
                <w:rFonts w:ascii="Calibri" w:hAnsi="Calibri" w:cs="Calibri"/>
                <w:b/>
                <w:bCs/>
                <w:sz w:val="24"/>
                <w:szCs w:val="24"/>
              </w:rPr>
              <w:t>NM EN 14620-3</w:t>
            </w:r>
          </w:p>
        </w:tc>
      </w:tr>
      <w:tr w:rsidR="00D76221" w:rsidRPr="00DE59C3" w:rsidTr="00D73A51">
        <w:trPr>
          <w:trHeight w:val="408"/>
          <w:jc w:val="center"/>
        </w:trPr>
        <w:tc>
          <w:tcPr>
            <w:tcW w:w="1838" w:type="dxa"/>
            <w:tcBorders>
              <w:top w:val="single" w:sz="4" w:space="0" w:color="auto"/>
              <w:bottom w:val="single" w:sz="18" w:space="0" w:color="auto"/>
              <w:right w:val="single" w:sz="4" w:space="0" w:color="auto"/>
            </w:tcBorders>
            <w:shd w:val="clear" w:color="auto" w:fill="FFFF99"/>
            <w:vAlign w:val="center"/>
          </w:tcPr>
          <w:p w:rsidR="00D76221" w:rsidRDefault="00D76221" w:rsidP="00DE59C3">
            <w:pPr>
              <w:spacing w:after="0" w:line="240" w:lineRule="auto"/>
              <w:jc w:val="center"/>
              <w:rPr>
                <w:rFonts w:ascii="Calibri" w:hAnsi="Calibri" w:cs="Calibri"/>
                <w:b/>
                <w:bCs/>
              </w:rPr>
            </w:pPr>
            <w:r>
              <w:rPr>
                <w:rFonts w:ascii="Calibri" w:hAnsi="Calibri" w:cs="Calibri"/>
                <w:b/>
                <w:bCs/>
              </w:rPr>
              <w:t xml:space="preserve">Equivalence </w:t>
            </w:r>
          </w:p>
        </w:tc>
        <w:tc>
          <w:tcPr>
            <w:tcW w:w="7938" w:type="dxa"/>
            <w:tcBorders>
              <w:top w:val="single" w:sz="4" w:space="0" w:color="auto"/>
              <w:left w:val="single" w:sz="4" w:space="0" w:color="auto"/>
              <w:bottom w:val="single" w:sz="18" w:space="0" w:color="auto"/>
            </w:tcBorders>
            <w:shd w:val="clear" w:color="auto" w:fill="FFFF99"/>
            <w:vAlign w:val="center"/>
          </w:tcPr>
          <w:p w:rsidR="00D76221" w:rsidRPr="00D73A51" w:rsidRDefault="00D76221" w:rsidP="00DE59C3">
            <w:pPr>
              <w:spacing w:after="0" w:line="240" w:lineRule="auto"/>
              <w:jc w:val="center"/>
              <w:rPr>
                <w:rFonts w:ascii="Calibri" w:hAnsi="Calibri" w:cs="Calibri"/>
                <w:b/>
                <w:bCs/>
                <w:sz w:val="24"/>
                <w:szCs w:val="24"/>
              </w:rPr>
            </w:pPr>
            <w:r w:rsidRPr="00D73A51">
              <w:rPr>
                <w:rFonts w:ascii="Calibri" w:hAnsi="Calibri" w:cs="Calibri"/>
                <w:b/>
                <w:bCs/>
                <w:sz w:val="24"/>
                <w:szCs w:val="24"/>
              </w:rPr>
              <w:t>EN 14620-3</w:t>
            </w:r>
          </w:p>
        </w:tc>
      </w:tr>
      <w:tr w:rsidR="00D76221" w:rsidRPr="00DE59C3" w:rsidTr="00D73A51">
        <w:trPr>
          <w:trHeight w:val="629"/>
          <w:jc w:val="center"/>
        </w:trPr>
        <w:tc>
          <w:tcPr>
            <w:tcW w:w="1838" w:type="dxa"/>
            <w:tcBorders>
              <w:top w:val="single" w:sz="18" w:space="0" w:color="auto"/>
              <w:bottom w:val="single" w:sz="4" w:space="0" w:color="auto"/>
              <w:right w:val="single" w:sz="4" w:space="0" w:color="auto"/>
            </w:tcBorders>
            <w:shd w:val="clear" w:color="auto" w:fill="B8CCE4" w:themeFill="accent1" w:themeFillTint="66"/>
            <w:vAlign w:val="center"/>
          </w:tcPr>
          <w:p w:rsidR="00D76221" w:rsidRDefault="00D76221" w:rsidP="00DE59C3">
            <w:pPr>
              <w:spacing w:after="0" w:line="240" w:lineRule="auto"/>
              <w:jc w:val="center"/>
              <w:rPr>
                <w:rFonts w:ascii="Calibri" w:hAnsi="Calibri" w:cs="Calibri"/>
                <w:b/>
                <w:bCs/>
              </w:rPr>
            </w:pPr>
            <w:r>
              <w:rPr>
                <w:rFonts w:ascii="Calibri" w:hAnsi="Calibri" w:cs="Calibri"/>
                <w:b/>
                <w:bCs/>
              </w:rPr>
              <w:t xml:space="preserve">Intitulé </w:t>
            </w:r>
          </w:p>
        </w:tc>
        <w:tc>
          <w:tcPr>
            <w:tcW w:w="7938" w:type="dxa"/>
            <w:tcBorders>
              <w:top w:val="single" w:sz="18" w:space="0" w:color="auto"/>
              <w:left w:val="single" w:sz="4" w:space="0" w:color="auto"/>
              <w:bottom w:val="single" w:sz="4" w:space="0" w:color="auto"/>
            </w:tcBorders>
            <w:shd w:val="clear" w:color="auto" w:fill="auto"/>
          </w:tcPr>
          <w:p w:rsidR="00D76221" w:rsidRPr="00DE59C3" w:rsidRDefault="00D76221" w:rsidP="00DE59C3">
            <w:pPr>
              <w:spacing w:after="0" w:line="240" w:lineRule="auto"/>
              <w:jc w:val="both"/>
              <w:rPr>
                <w:rFonts w:ascii="Calibri" w:hAnsi="Calibri" w:cs="Calibri"/>
              </w:rPr>
            </w:pPr>
            <w:r w:rsidRPr="00DE59C3">
              <w:rPr>
                <w:rFonts w:ascii="Calibri" w:hAnsi="Calibri" w:cs="Calibri"/>
              </w:rPr>
              <w:t xml:space="preserve">Conception et fabrication de réservoirs en acier à fond plat, verticaux, cylindriques, construits sur site, destinés au stockage des gaz réfrigérés, liquéfiés, dont les températures de service sont comprises entre 0 °C et – 165 °C - Partie 3 : Constituants béton </w:t>
            </w:r>
          </w:p>
        </w:tc>
      </w:tr>
      <w:tr w:rsidR="00D76221" w:rsidRPr="00DE59C3" w:rsidTr="00D73A51">
        <w:trPr>
          <w:trHeight w:val="629"/>
          <w:jc w:val="center"/>
        </w:trPr>
        <w:tc>
          <w:tcPr>
            <w:tcW w:w="1838" w:type="dxa"/>
            <w:tcBorders>
              <w:top w:val="single" w:sz="4" w:space="0" w:color="auto"/>
              <w:bottom w:val="single" w:sz="18" w:space="0" w:color="auto"/>
              <w:right w:val="single" w:sz="4" w:space="0" w:color="auto"/>
            </w:tcBorders>
            <w:shd w:val="clear" w:color="000000" w:fill="D9D9D9"/>
            <w:vAlign w:val="center"/>
          </w:tcPr>
          <w:p w:rsidR="00D76221" w:rsidRDefault="00D76221" w:rsidP="00DE59C3">
            <w:pPr>
              <w:spacing w:after="0" w:line="240" w:lineRule="auto"/>
              <w:jc w:val="center"/>
              <w:rPr>
                <w:rFonts w:ascii="Calibri" w:hAnsi="Calibri" w:cs="Calibri"/>
                <w:b/>
                <w:bCs/>
              </w:rPr>
            </w:pPr>
            <w:r>
              <w:rPr>
                <w:rFonts w:ascii="Calibri" w:hAnsi="Calibri" w:cs="Calibri"/>
                <w:b/>
                <w:bCs/>
              </w:rPr>
              <w:t xml:space="preserve">Domaine d’application </w:t>
            </w:r>
          </w:p>
        </w:tc>
        <w:tc>
          <w:tcPr>
            <w:tcW w:w="7938" w:type="dxa"/>
            <w:tcBorders>
              <w:top w:val="single" w:sz="4" w:space="0" w:color="auto"/>
              <w:left w:val="single" w:sz="4" w:space="0" w:color="auto"/>
              <w:bottom w:val="single" w:sz="18" w:space="0" w:color="auto"/>
            </w:tcBorders>
            <w:shd w:val="clear" w:color="auto" w:fill="auto"/>
          </w:tcPr>
          <w:p w:rsidR="00D73A51" w:rsidRDefault="00D76221" w:rsidP="00DE59C3">
            <w:pPr>
              <w:spacing w:after="0" w:line="240" w:lineRule="auto"/>
              <w:jc w:val="both"/>
              <w:rPr>
                <w:rFonts w:ascii="Calibri" w:hAnsi="Calibri" w:cs="Calibri"/>
              </w:rPr>
            </w:pPr>
            <w:r w:rsidRPr="00DE59C3">
              <w:rPr>
                <w:rFonts w:ascii="Calibri" w:hAnsi="Calibri" w:cs="Calibri"/>
              </w:rPr>
              <w:t>La présente Norme européenne spécifie les exigences générales relatives aux matériaux, à la conception et à la construction des constituants de l'enceinte extérieure béton des réservoirs de stockage des gaz réfrigérés liquéfiés.</w:t>
            </w:r>
          </w:p>
          <w:p w:rsidR="00D76221" w:rsidRPr="00DE59C3" w:rsidRDefault="00D76221" w:rsidP="00DE59C3">
            <w:pPr>
              <w:spacing w:after="0" w:line="240" w:lineRule="auto"/>
              <w:jc w:val="both"/>
              <w:rPr>
                <w:rFonts w:ascii="Calibri" w:hAnsi="Calibri" w:cs="Calibri"/>
              </w:rPr>
            </w:pPr>
            <w:r w:rsidRPr="00DE59C3">
              <w:rPr>
                <w:rFonts w:ascii="Calibri" w:hAnsi="Calibri" w:cs="Calibri"/>
              </w:rPr>
              <w:t>La présente Norme européenne présente la conception et fabrication de réservoirs en acier à fond plat, verticaux, cylindriques, construits sur site, destinés au stockage des gaz réfrigérés, liquéfiés, dont les températures de service sont comprises entre 0 °C et – 165 °C.</w:t>
            </w:r>
          </w:p>
        </w:tc>
      </w:tr>
      <w:tr w:rsidR="00D76221" w:rsidRPr="00D73A51" w:rsidTr="00D73A51">
        <w:trPr>
          <w:trHeight w:val="485"/>
          <w:jc w:val="center"/>
        </w:trPr>
        <w:tc>
          <w:tcPr>
            <w:tcW w:w="1838" w:type="dxa"/>
            <w:tcBorders>
              <w:top w:val="single" w:sz="4" w:space="0" w:color="auto"/>
              <w:bottom w:val="single" w:sz="18" w:space="0" w:color="auto"/>
              <w:right w:val="single" w:sz="4" w:space="0" w:color="auto"/>
            </w:tcBorders>
            <w:shd w:val="clear" w:color="auto" w:fill="C2D69B" w:themeFill="accent3" w:themeFillTint="99"/>
            <w:vAlign w:val="center"/>
          </w:tcPr>
          <w:p w:rsidR="00D76221" w:rsidRDefault="00D76221" w:rsidP="00D73A51">
            <w:pPr>
              <w:spacing w:after="0" w:line="240" w:lineRule="auto"/>
              <w:jc w:val="center"/>
              <w:rPr>
                <w:rFonts w:ascii="Calibri" w:hAnsi="Calibri" w:cs="Calibri"/>
                <w:b/>
                <w:bCs/>
              </w:rPr>
            </w:pPr>
            <w:r>
              <w:rPr>
                <w:rFonts w:ascii="Calibri" w:hAnsi="Calibri" w:cs="Calibri"/>
                <w:b/>
                <w:bCs/>
              </w:rPr>
              <w:t xml:space="preserve">Code </w:t>
            </w:r>
            <w:r w:rsidR="00DE59C3">
              <w:rPr>
                <w:rFonts w:ascii="Calibri" w:hAnsi="Calibri" w:cs="Calibri"/>
                <w:b/>
                <w:bCs/>
              </w:rPr>
              <w:t xml:space="preserve"> </w:t>
            </w:r>
          </w:p>
        </w:tc>
        <w:tc>
          <w:tcPr>
            <w:tcW w:w="7938" w:type="dxa"/>
            <w:tcBorders>
              <w:top w:val="single" w:sz="4" w:space="0" w:color="auto"/>
              <w:left w:val="single" w:sz="4" w:space="0" w:color="auto"/>
              <w:bottom w:val="single" w:sz="18" w:space="0" w:color="auto"/>
            </w:tcBorders>
            <w:shd w:val="clear" w:color="auto" w:fill="C2D69B" w:themeFill="accent3" w:themeFillTint="99"/>
            <w:vAlign w:val="center"/>
          </w:tcPr>
          <w:p w:rsidR="00D76221" w:rsidRPr="00D73A51" w:rsidRDefault="00D76221" w:rsidP="00D73A51">
            <w:pPr>
              <w:spacing w:after="0" w:line="240" w:lineRule="auto"/>
              <w:jc w:val="center"/>
              <w:rPr>
                <w:rFonts w:ascii="Calibri" w:hAnsi="Calibri" w:cs="Calibri"/>
                <w:b/>
                <w:bCs/>
                <w:sz w:val="24"/>
                <w:szCs w:val="24"/>
              </w:rPr>
            </w:pPr>
            <w:r w:rsidRPr="00D73A51">
              <w:rPr>
                <w:rFonts w:ascii="Calibri" w:hAnsi="Calibri" w:cs="Calibri"/>
                <w:b/>
                <w:bCs/>
                <w:sz w:val="24"/>
                <w:szCs w:val="24"/>
              </w:rPr>
              <w:t>NM EN 15635</w:t>
            </w:r>
          </w:p>
        </w:tc>
      </w:tr>
      <w:tr w:rsidR="00D76221" w:rsidRPr="00D73A51" w:rsidTr="00D73A51">
        <w:trPr>
          <w:trHeight w:val="368"/>
          <w:jc w:val="center"/>
        </w:trPr>
        <w:tc>
          <w:tcPr>
            <w:tcW w:w="1838" w:type="dxa"/>
            <w:tcBorders>
              <w:top w:val="single" w:sz="4" w:space="0" w:color="auto"/>
              <w:bottom w:val="single" w:sz="18" w:space="0" w:color="auto"/>
              <w:right w:val="single" w:sz="4" w:space="0" w:color="auto"/>
            </w:tcBorders>
            <w:shd w:val="clear" w:color="auto" w:fill="FFFF99"/>
            <w:vAlign w:val="center"/>
          </w:tcPr>
          <w:p w:rsidR="00D76221" w:rsidRDefault="00D76221" w:rsidP="00D73A51">
            <w:pPr>
              <w:spacing w:after="0" w:line="240" w:lineRule="auto"/>
              <w:jc w:val="center"/>
              <w:rPr>
                <w:rFonts w:ascii="Calibri" w:hAnsi="Calibri" w:cs="Calibri"/>
                <w:b/>
                <w:bCs/>
              </w:rPr>
            </w:pPr>
            <w:r>
              <w:rPr>
                <w:rFonts w:ascii="Calibri" w:hAnsi="Calibri" w:cs="Calibri"/>
                <w:b/>
                <w:bCs/>
              </w:rPr>
              <w:t xml:space="preserve">Equivalence </w:t>
            </w:r>
          </w:p>
        </w:tc>
        <w:tc>
          <w:tcPr>
            <w:tcW w:w="7938" w:type="dxa"/>
            <w:tcBorders>
              <w:top w:val="single" w:sz="4" w:space="0" w:color="auto"/>
              <w:left w:val="single" w:sz="4" w:space="0" w:color="auto"/>
              <w:bottom w:val="single" w:sz="18" w:space="0" w:color="auto"/>
            </w:tcBorders>
            <w:shd w:val="clear" w:color="auto" w:fill="FFFF99"/>
            <w:vAlign w:val="center"/>
          </w:tcPr>
          <w:p w:rsidR="00D76221" w:rsidRPr="00D73A51" w:rsidRDefault="00D76221" w:rsidP="00D73A51">
            <w:pPr>
              <w:spacing w:after="0" w:line="240" w:lineRule="auto"/>
              <w:jc w:val="center"/>
              <w:rPr>
                <w:rFonts w:ascii="Calibri" w:hAnsi="Calibri" w:cs="Calibri"/>
                <w:b/>
                <w:bCs/>
                <w:sz w:val="24"/>
                <w:szCs w:val="24"/>
              </w:rPr>
            </w:pPr>
            <w:r w:rsidRPr="00D73A51">
              <w:rPr>
                <w:rFonts w:ascii="Calibri" w:hAnsi="Calibri" w:cs="Calibri"/>
                <w:b/>
                <w:bCs/>
                <w:sz w:val="24"/>
                <w:szCs w:val="24"/>
              </w:rPr>
              <w:t>EN 15635</w:t>
            </w:r>
          </w:p>
        </w:tc>
      </w:tr>
      <w:tr w:rsidR="00D76221" w:rsidRPr="0043547B" w:rsidTr="00D73A51">
        <w:trPr>
          <w:trHeight w:val="585"/>
          <w:jc w:val="center"/>
        </w:trPr>
        <w:tc>
          <w:tcPr>
            <w:tcW w:w="1838" w:type="dxa"/>
            <w:tcBorders>
              <w:top w:val="single" w:sz="18" w:space="0" w:color="auto"/>
              <w:bottom w:val="single" w:sz="4" w:space="0" w:color="auto"/>
              <w:right w:val="single" w:sz="4" w:space="0" w:color="auto"/>
            </w:tcBorders>
            <w:shd w:val="clear" w:color="000000" w:fill="D9D9D9"/>
            <w:vAlign w:val="center"/>
          </w:tcPr>
          <w:p w:rsidR="00D76221" w:rsidRDefault="00D76221" w:rsidP="00D76221">
            <w:pPr>
              <w:jc w:val="center"/>
              <w:rPr>
                <w:rFonts w:ascii="Calibri" w:hAnsi="Calibri" w:cs="Calibri"/>
                <w:b/>
                <w:bCs/>
              </w:rPr>
            </w:pPr>
            <w:r>
              <w:rPr>
                <w:rFonts w:ascii="Calibri" w:hAnsi="Calibri" w:cs="Calibri"/>
                <w:b/>
                <w:bCs/>
              </w:rPr>
              <w:t>Inti</w:t>
            </w:r>
            <w:r w:rsidRPr="00D73A51">
              <w:rPr>
                <w:rFonts w:ascii="Calibri" w:hAnsi="Calibri" w:cs="Calibri"/>
                <w:b/>
                <w:bCs/>
                <w:shd w:val="clear" w:color="auto" w:fill="B8CCE4" w:themeFill="accent1" w:themeFillTint="66"/>
              </w:rPr>
              <w:t>t</w:t>
            </w:r>
            <w:r>
              <w:rPr>
                <w:rFonts w:ascii="Calibri" w:hAnsi="Calibri" w:cs="Calibri"/>
                <w:b/>
                <w:bCs/>
              </w:rPr>
              <w:t xml:space="preserve">ulé </w:t>
            </w:r>
          </w:p>
        </w:tc>
        <w:tc>
          <w:tcPr>
            <w:tcW w:w="7938" w:type="dxa"/>
            <w:tcBorders>
              <w:top w:val="single" w:sz="18" w:space="0" w:color="auto"/>
              <w:left w:val="single" w:sz="4" w:space="0" w:color="auto"/>
              <w:bottom w:val="single" w:sz="4" w:space="0" w:color="auto"/>
            </w:tcBorders>
            <w:shd w:val="clear" w:color="auto" w:fill="auto"/>
          </w:tcPr>
          <w:p w:rsidR="00D76221" w:rsidRDefault="00D76221" w:rsidP="00D73A51">
            <w:pPr>
              <w:spacing w:after="0" w:line="240" w:lineRule="auto"/>
              <w:jc w:val="both"/>
              <w:rPr>
                <w:rFonts w:ascii="Calibri" w:hAnsi="Calibri" w:cs="Calibri"/>
                <w:color w:val="000000"/>
              </w:rPr>
            </w:pPr>
            <w:r>
              <w:rPr>
                <w:rFonts w:ascii="Calibri" w:hAnsi="Calibri" w:cs="Calibri"/>
                <w:color w:val="000000"/>
              </w:rPr>
              <w:t xml:space="preserve">Systèmes de stockage statiques en acier Utilisation et maintenance de système de stockage  </w:t>
            </w:r>
          </w:p>
        </w:tc>
      </w:tr>
      <w:tr w:rsidR="00D76221" w:rsidRPr="0043547B" w:rsidTr="00D73A51">
        <w:trPr>
          <w:trHeight w:val="629"/>
          <w:jc w:val="center"/>
        </w:trPr>
        <w:tc>
          <w:tcPr>
            <w:tcW w:w="1838" w:type="dxa"/>
            <w:tcBorders>
              <w:top w:val="single" w:sz="4" w:space="0" w:color="auto"/>
              <w:bottom w:val="single" w:sz="18" w:space="0" w:color="auto"/>
              <w:right w:val="single" w:sz="4" w:space="0" w:color="auto"/>
            </w:tcBorders>
            <w:shd w:val="clear" w:color="000000" w:fill="D9D9D9"/>
            <w:vAlign w:val="center"/>
          </w:tcPr>
          <w:p w:rsidR="00D76221" w:rsidRDefault="00D76221" w:rsidP="00D76221">
            <w:pPr>
              <w:jc w:val="center"/>
              <w:rPr>
                <w:rFonts w:ascii="Calibri" w:hAnsi="Calibri" w:cs="Calibri"/>
                <w:b/>
                <w:bCs/>
              </w:rPr>
            </w:pPr>
            <w:r>
              <w:rPr>
                <w:rFonts w:ascii="Calibri" w:hAnsi="Calibri" w:cs="Calibri"/>
                <w:b/>
                <w:bCs/>
              </w:rPr>
              <w:t xml:space="preserve">Domaine d’application </w:t>
            </w:r>
          </w:p>
        </w:tc>
        <w:tc>
          <w:tcPr>
            <w:tcW w:w="7938" w:type="dxa"/>
            <w:tcBorders>
              <w:top w:val="single" w:sz="4" w:space="0" w:color="auto"/>
              <w:left w:val="single" w:sz="4" w:space="0" w:color="auto"/>
              <w:bottom w:val="single" w:sz="18" w:space="0" w:color="auto"/>
            </w:tcBorders>
            <w:shd w:val="clear" w:color="auto" w:fill="auto"/>
          </w:tcPr>
          <w:p w:rsidR="00D73A51" w:rsidRDefault="00D76221" w:rsidP="00D73A51">
            <w:pPr>
              <w:spacing w:after="0" w:line="240" w:lineRule="auto"/>
              <w:jc w:val="both"/>
              <w:rPr>
                <w:rFonts w:ascii="Calibri" w:hAnsi="Calibri" w:cs="Calibri"/>
                <w:color w:val="000000"/>
              </w:rPr>
            </w:pPr>
            <w:r>
              <w:rPr>
                <w:rFonts w:ascii="Calibri" w:hAnsi="Calibri" w:cs="Calibri"/>
                <w:color w:val="000000"/>
              </w:rPr>
              <w:t>La présente Norme fournit des lignes directrices concernant les aspects opérationnels applicables à la sécurité structurelle des systèmes de stockage. Ces systèmes sont associés à des appareils de manutention mécanique lourds fonctionnant à proximité des systèmes de stockage statiques. La présente Norme réduit le plus possible le risque et les conséquences d’un fonctionnement dangereux ou d’un dommage causé à la structure. D’autres types de systèmes de stockage sont uniquement couverts de façon partielle et des considérations</w:t>
            </w:r>
            <w:r w:rsidR="00D73A51">
              <w:rPr>
                <w:rFonts w:ascii="Calibri" w:hAnsi="Calibri" w:cs="Calibri"/>
                <w:color w:val="000000"/>
              </w:rPr>
              <w:t xml:space="preserve"> </w:t>
            </w:r>
            <w:r>
              <w:rPr>
                <w:rFonts w:ascii="Calibri" w:hAnsi="Calibri" w:cs="Calibri"/>
                <w:color w:val="000000"/>
              </w:rPr>
              <w:t>supplémentaires en dehors du domaine d’application de la présente Norme peuvent être requises.</w:t>
            </w:r>
          </w:p>
          <w:p w:rsidR="00D76221" w:rsidRDefault="00D76221" w:rsidP="00D73A51">
            <w:pPr>
              <w:spacing w:after="0" w:line="240" w:lineRule="auto"/>
              <w:jc w:val="both"/>
              <w:rPr>
                <w:rFonts w:ascii="Calibri" w:hAnsi="Calibri" w:cs="Calibri"/>
                <w:color w:val="000000"/>
              </w:rPr>
            </w:pPr>
            <w:r>
              <w:rPr>
                <w:rFonts w:ascii="Calibri" w:hAnsi="Calibri" w:cs="Calibri"/>
                <w:color w:val="000000"/>
              </w:rPr>
              <w:t>La présente Norme européenne fournit des lignes directrices conjointement avec le prEN 15512, l’EN 15620 et l’EN 15629 afin de s’assurer que le rédacteur des spécifications, l’utilisateur et le concepteur soient informés des contraintes existant dans les domaines de chacun pour permettre une bonne conception des structures.</w:t>
            </w:r>
            <w:r>
              <w:rPr>
                <w:rFonts w:ascii="Calibri" w:hAnsi="Calibri" w:cs="Calibri"/>
                <w:color w:val="000000"/>
              </w:rPr>
              <w:br/>
              <w:t xml:space="preserve">La présente Norme européenne ne couvre ni les systèmes de stockage fabriqués à partir </w:t>
            </w:r>
            <w:r>
              <w:rPr>
                <w:rFonts w:ascii="Calibri" w:hAnsi="Calibri" w:cs="Calibri"/>
                <w:color w:val="000000"/>
              </w:rPr>
              <w:lastRenderedPageBreak/>
              <w:t>des matériaux autres que l’acier (à l’exception de certains accessoires) ni les équipements de stockage à usage domestique.</w:t>
            </w:r>
          </w:p>
        </w:tc>
      </w:tr>
      <w:tr w:rsidR="00D76221" w:rsidRPr="00D73A51" w:rsidTr="00D73A51">
        <w:trPr>
          <w:trHeight w:val="435"/>
          <w:jc w:val="center"/>
        </w:trPr>
        <w:tc>
          <w:tcPr>
            <w:tcW w:w="1838" w:type="dxa"/>
            <w:tcBorders>
              <w:top w:val="single" w:sz="4" w:space="0" w:color="auto"/>
              <w:bottom w:val="single" w:sz="18" w:space="0" w:color="auto"/>
              <w:right w:val="single" w:sz="4" w:space="0" w:color="auto"/>
            </w:tcBorders>
            <w:shd w:val="clear" w:color="auto" w:fill="D6E3BC" w:themeFill="accent3" w:themeFillTint="66"/>
            <w:vAlign w:val="center"/>
          </w:tcPr>
          <w:p w:rsidR="00D76221" w:rsidRDefault="00D76221" w:rsidP="00D73A51">
            <w:pPr>
              <w:spacing w:after="0" w:line="240" w:lineRule="auto"/>
              <w:jc w:val="center"/>
              <w:rPr>
                <w:rFonts w:ascii="Calibri" w:hAnsi="Calibri" w:cs="Calibri"/>
                <w:b/>
                <w:bCs/>
              </w:rPr>
            </w:pPr>
            <w:r>
              <w:rPr>
                <w:rFonts w:ascii="Calibri" w:hAnsi="Calibri" w:cs="Calibri"/>
                <w:b/>
                <w:bCs/>
              </w:rPr>
              <w:lastRenderedPageBreak/>
              <w:t xml:space="preserve">Code </w:t>
            </w:r>
          </w:p>
        </w:tc>
        <w:tc>
          <w:tcPr>
            <w:tcW w:w="7938" w:type="dxa"/>
            <w:tcBorders>
              <w:top w:val="single" w:sz="4" w:space="0" w:color="auto"/>
              <w:left w:val="single" w:sz="4" w:space="0" w:color="auto"/>
              <w:bottom w:val="single" w:sz="18" w:space="0" w:color="auto"/>
            </w:tcBorders>
            <w:shd w:val="clear" w:color="auto" w:fill="D6E3BC" w:themeFill="accent3" w:themeFillTint="66"/>
            <w:vAlign w:val="center"/>
          </w:tcPr>
          <w:p w:rsidR="00D76221" w:rsidRPr="00D73A51" w:rsidRDefault="00D76221" w:rsidP="00D73A51">
            <w:pPr>
              <w:spacing w:after="0" w:line="240" w:lineRule="auto"/>
              <w:jc w:val="center"/>
              <w:rPr>
                <w:rFonts w:ascii="Calibri" w:hAnsi="Calibri" w:cs="Calibri"/>
                <w:b/>
                <w:bCs/>
              </w:rPr>
            </w:pPr>
            <w:r w:rsidRPr="00D73A51">
              <w:rPr>
                <w:rFonts w:ascii="Calibri" w:hAnsi="Calibri" w:cs="Calibri"/>
                <w:b/>
                <w:bCs/>
              </w:rPr>
              <w:t>NM EN 10334</w:t>
            </w:r>
          </w:p>
        </w:tc>
      </w:tr>
      <w:tr w:rsidR="00D76221" w:rsidRPr="00D73A51" w:rsidTr="00D73A51">
        <w:trPr>
          <w:trHeight w:val="384"/>
          <w:jc w:val="center"/>
        </w:trPr>
        <w:tc>
          <w:tcPr>
            <w:tcW w:w="1838" w:type="dxa"/>
            <w:tcBorders>
              <w:top w:val="single" w:sz="4" w:space="0" w:color="auto"/>
              <w:bottom w:val="single" w:sz="18" w:space="0" w:color="auto"/>
              <w:right w:val="single" w:sz="4" w:space="0" w:color="auto"/>
            </w:tcBorders>
            <w:shd w:val="clear" w:color="auto" w:fill="FFFF99"/>
            <w:vAlign w:val="center"/>
          </w:tcPr>
          <w:p w:rsidR="00D76221" w:rsidRDefault="00D76221" w:rsidP="00D73A51">
            <w:pPr>
              <w:spacing w:after="0" w:line="240" w:lineRule="auto"/>
              <w:jc w:val="center"/>
              <w:rPr>
                <w:rFonts w:ascii="Calibri" w:hAnsi="Calibri" w:cs="Calibri"/>
                <w:b/>
                <w:bCs/>
              </w:rPr>
            </w:pPr>
            <w:r>
              <w:rPr>
                <w:rFonts w:ascii="Calibri" w:hAnsi="Calibri" w:cs="Calibri"/>
                <w:b/>
                <w:bCs/>
              </w:rPr>
              <w:t xml:space="preserve">Equivalence </w:t>
            </w:r>
          </w:p>
        </w:tc>
        <w:tc>
          <w:tcPr>
            <w:tcW w:w="7938" w:type="dxa"/>
            <w:tcBorders>
              <w:top w:val="single" w:sz="4" w:space="0" w:color="auto"/>
              <w:left w:val="single" w:sz="4" w:space="0" w:color="auto"/>
              <w:bottom w:val="single" w:sz="18" w:space="0" w:color="auto"/>
            </w:tcBorders>
            <w:shd w:val="clear" w:color="auto" w:fill="FFFF99"/>
            <w:vAlign w:val="center"/>
          </w:tcPr>
          <w:p w:rsidR="00D76221" w:rsidRPr="00D73A51" w:rsidRDefault="00D76221" w:rsidP="00D73A51">
            <w:pPr>
              <w:spacing w:after="0" w:line="240" w:lineRule="auto"/>
              <w:jc w:val="center"/>
              <w:rPr>
                <w:rFonts w:ascii="Calibri" w:hAnsi="Calibri" w:cs="Calibri"/>
                <w:b/>
                <w:bCs/>
              </w:rPr>
            </w:pPr>
            <w:r>
              <w:rPr>
                <w:rFonts w:ascii="Calibri" w:hAnsi="Calibri" w:cs="Calibri"/>
                <w:b/>
                <w:bCs/>
              </w:rPr>
              <w:t>EN 10334</w:t>
            </w:r>
          </w:p>
        </w:tc>
      </w:tr>
      <w:tr w:rsidR="00D76221" w:rsidRPr="00D73A51" w:rsidTr="00D73A51">
        <w:trPr>
          <w:trHeight w:val="629"/>
          <w:jc w:val="center"/>
        </w:trPr>
        <w:tc>
          <w:tcPr>
            <w:tcW w:w="1838" w:type="dxa"/>
            <w:tcBorders>
              <w:top w:val="single" w:sz="18" w:space="0" w:color="auto"/>
              <w:bottom w:val="single" w:sz="4" w:space="0" w:color="auto"/>
              <w:right w:val="single" w:sz="4" w:space="0" w:color="auto"/>
            </w:tcBorders>
            <w:shd w:val="clear" w:color="auto" w:fill="B8CCE4" w:themeFill="accent1" w:themeFillTint="66"/>
            <w:vAlign w:val="center"/>
          </w:tcPr>
          <w:p w:rsidR="00D76221" w:rsidRDefault="00D76221" w:rsidP="00D73A51">
            <w:pPr>
              <w:spacing w:after="0" w:line="240" w:lineRule="auto"/>
              <w:jc w:val="center"/>
              <w:rPr>
                <w:rFonts w:ascii="Calibri" w:hAnsi="Calibri" w:cs="Calibri"/>
                <w:b/>
                <w:bCs/>
              </w:rPr>
            </w:pPr>
            <w:r>
              <w:rPr>
                <w:rFonts w:ascii="Calibri" w:hAnsi="Calibri" w:cs="Calibri"/>
                <w:b/>
                <w:bCs/>
              </w:rPr>
              <w:t xml:space="preserve">Intitulé </w:t>
            </w:r>
          </w:p>
        </w:tc>
        <w:tc>
          <w:tcPr>
            <w:tcW w:w="7938" w:type="dxa"/>
            <w:tcBorders>
              <w:top w:val="single" w:sz="18" w:space="0" w:color="auto"/>
              <w:left w:val="single" w:sz="4" w:space="0" w:color="auto"/>
              <w:bottom w:val="single" w:sz="4" w:space="0" w:color="auto"/>
            </w:tcBorders>
            <w:shd w:val="clear" w:color="auto" w:fill="auto"/>
          </w:tcPr>
          <w:p w:rsidR="00D76221" w:rsidRPr="00D73A51" w:rsidRDefault="00D76221" w:rsidP="00D73A51">
            <w:pPr>
              <w:spacing w:after="0" w:line="240" w:lineRule="auto"/>
              <w:jc w:val="both"/>
              <w:rPr>
                <w:rFonts w:ascii="Calibri" w:hAnsi="Calibri" w:cs="Calibri"/>
              </w:rPr>
            </w:pPr>
            <w:r w:rsidRPr="00D73A51">
              <w:rPr>
                <w:rFonts w:ascii="Calibri" w:hAnsi="Calibri" w:cs="Calibri"/>
              </w:rPr>
              <w:t xml:space="preserve">Acier pour emballage - Produits plats en acier destiné à entrer au contact des denrées, produits et boissons pour l'alimentation de l'homme et des animaux - Acier non revêtu (fer noir) </w:t>
            </w:r>
          </w:p>
        </w:tc>
      </w:tr>
      <w:tr w:rsidR="00D76221" w:rsidRPr="00D73A51" w:rsidTr="00D73A51">
        <w:trPr>
          <w:trHeight w:val="629"/>
          <w:jc w:val="center"/>
        </w:trPr>
        <w:tc>
          <w:tcPr>
            <w:tcW w:w="1838" w:type="dxa"/>
            <w:tcBorders>
              <w:top w:val="single" w:sz="4" w:space="0" w:color="auto"/>
              <w:bottom w:val="single" w:sz="18" w:space="0" w:color="auto"/>
              <w:right w:val="single" w:sz="4" w:space="0" w:color="auto"/>
            </w:tcBorders>
            <w:shd w:val="clear" w:color="000000" w:fill="D9D9D9"/>
            <w:vAlign w:val="center"/>
          </w:tcPr>
          <w:p w:rsidR="00D76221" w:rsidRDefault="00D76221" w:rsidP="00D73A51">
            <w:pPr>
              <w:spacing w:after="0" w:line="240" w:lineRule="auto"/>
              <w:jc w:val="center"/>
              <w:rPr>
                <w:rFonts w:ascii="Calibri" w:hAnsi="Calibri" w:cs="Calibri"/>
                <w:b/>
                <w:bCs/>
              </w:rPr>
            </w:pPr>
            <w:r>
              <w:rPr>
                <w:rFonts w:ascii="Calibri" w:hAnsi="Calibri" w:cs="Calibri"/>
                <w:b/>
                <w:bCs/>
              </w:rPr>
              <w:t xml:space="preserve">Domaine d’application </w:t>
            </w:r>
          </w:p>
        </w:tc>
        <w:tc>
          <w:tcPr>
            <w:tcW w:w="7938" w:type="dxa"/>
            <w:tcBorders>
              <w:top w:val="single" w:sz="4" w:space="0" w:color="auto"/>
              <w:left w:val="single" w:sz="4" w:space="0" w:color="auto"/>
              <w:bottom w:val="single" w:sz="18" w:space="0" w:color="auto"/>
            </w:tcBorders>
            <w:shd w:val="clear" w:color="auto" w:fill="auto"/>
          </w:tcPr>
          <w:p w:rsidR="00D73A51" w:rsidRDefault="00D76221" w:rsidP="00D73A51">
            <w:pPr>
              <w:spacing w:after="0" w:line="240" w:lineRule="auto"/>
              <w:jc w:val="both"/>
              <w:rPr>
                <w:rFonts w:ascii="Calibri" w:hAnsi="Calibri" w:cs="Calibri"/>
              </w:rPr>
            </w:pPr>
            <w:r w:rsidRPr="00D73A51">
              <w:rPr>
                <w:rFonts w:ascii="Calibri" w:hAnsi="Calibri" w:cs="Calibri"/>
              </w:rPr>
              <w:t>La présente norme spécifie les teneurs maximales en éléments d’addition et résiduels présents dans l’acier (généralement appelé fer noir) servant à la fabrication d’emballages et éléments d’emballages ou d’acier revêtus qui, à l’état de produits finis, sont destinés à entrer en contact direct avec des denrées, produits et boissons pour l’alimentation</w:t>
            </w:r>
            <w:r w:rsidRPr="00D73A51">
              <w:rPr>
                <w:rFonts w:ascii="Calibri" w:hAnsi="Calibri" w:cs="Calibri"/>
              </w:rPr>
              <w:br/>
              <w:t>de l’homme et des animaux. L’usage du fer noir non revêtu doit être limité aux contacts gras ou secs.</w:t>
            </w:r>
          </w:p>
          <w:p w:rsidR="00D73A51" w:rsidRDefault="00D76221" w:rsidP="00D73A51">
            <w:pPr>
              <w:spacing w:after="0" w:line="240" w:lineRule="auto"/>
              <w:jc w:val="both"/>
              <w:rPr>
                <w:rFonts w:ascii="Calibri" w:hAnsi="Calibri" w:cs="Calibri"/>
              </w:rPr>
            </w:pPr>
            <w:r w:rsidRPr="00D73A51">
              <w:rPr>
                <w:rFonts w:ascii="Calibri" w:hAnsi="Calibri" w:cs="Calibri"/>
              </w:rPr>
              <w:t>Les principaux exemples d’application sont les suivants :</w:t>
            </w:r>
          </w:p>
          <w:p w:rsidR="00D73A51" w:rsidRDefault="00D76221" w:rsidP="00D73A51">
            <w:pPr>
              <w:spacing w:after="0" w:line="240" w:lineRule="auto"/>
              <w:jc w:val="both"/>
              <w:rPr>
                <w:rFonts w:ascii="Calibri" w:hAnsi="Calibri" w:cs="Calibri"/>
              </w:rPr>
            </w:pPr>
            <w:r w:rsidRPr="00D73A51">
              <w:rPr>
                <w:rFonts w:ascii="Calibri" w:hAnsi="Calibri" w:cs="Calibri"/>
              </w:rPr>
              <w:t>— fer noir pour la fabrication de fer blanc et fer chromé destiné à la fabrication de boîtes alimentaires ;</w:t>
            </w:r>
          </w:p>
          <w:p w:rsidR="00D73A51" w:rsidRDefault="00D76221" w:rsidP="00D73A51">
            <w:pPr>
              <w:spacing w:after="0" w:line="240" w:lineRule="auto"/>
              <w:jc w:val="both"/>
              <w:rPr>
                <w:rFonts w:ascii="Calibri" w:hAnsi="Calibri" w:cs="Calibri"/>
              </w:rPr>
            </w:pPr>
            <w:r w:rsidRPr="00D73A51">
              <w:rPr>
                <w:rFonts w:ascii="Calibri" w:hAnsi="Calibri" w:cs="Calibri"/>
              </w:rPr>
              <w:t>— boîtes de conditionnement de produits alimentaires (sucre, thé, gâteaux, chocolat, pâtes, etc.) ;</w:t>
            </w:r>
          </w:p>
          <w:p w:rsidR="00D73A51" w:rsidRDefault="00D76221" w:rsidP="00D73A51">
            <w:pPr>
              <w:spacing w:after="0" w:line="240" w:lineRule="auto"/>
              <w:jc w:val="both"/>
              <w:rPr>
                <w:rFonts w:ascii="Calibri" w:hAnsi="Calibri" w:cs="Calibri"/>
              </w:rPr>
            </w:pPr>
            <w:r w:rsidRPr="00D73A51">
              <w:rPr>
                <w:rFonts w:ascii="Calibri" w:hAnsi="Calibri" w:cs="Calibri"/>
              </w:rPr>
              <w:t>— bidons d’huile, tonnelets, fûts.</w:t>
            </w:r>
          </w:p>
          <w:p w:rsidR="00D73A51" w:rsidRDefault="00D76221" w:rsidP="00D73A51">
            <w:pPr>
              <w:spacing w:after="0" w:line="240" w:lineRule="auto"/>
              <w:jc w:val="both"/>
              <w:rPr>
                <w:rFonts w:ascii="Calibri" w:hAnsi="Calibri" w:cs="Calibri"/>
              </w:rPr>
            </w:pPr>
            <w:r w:rsidRPr="00D73A51">
              <w:rPr>
                <w:rFonts w:ascii="Calibri" w:hAnsi="Calibri" w:cs="Calibri"/>
              </w:rPr>
              <w:t>Le choix du matériau doit être en adéquation avec les conditions d’emploi.</w:t>
            </w:r>
          </w:p>
          <w:p w:rsidR="00D73A51" w:rsidRDefault="00D76221" w:rsidP="00D73A51">
            <w:pPr>
              <w:spacing w:after="0" w:line="240" w:lineRule="auto"/>
              <w:jc w:val="both"/>
              <w:rPr>
                <w:rFonts w:ascii="Calibri" w:hAnsi="Calibri" w:cs="Calibri"/>
              </w:rPr>
            </w:pPr>
            <w:r w:rsidRPr="00D73A51">
              <w:rPr>
                <w:rFonts w:ascii="Calibri" w:hAnsi="Calibri" w:cs="Calibri"/>
              </w:rPr>
              <w:t>La présente norme s’applique aux bandes laminées à froid.</w:t>
            </w:r>
          </w:p>
          <w:p w:rsidR="00D76221" w:rsidRPr="00D73A51" w:rsidRDefault="00D76221" w:rsidP="00D73A51">
            <w:pPr>
              <w:spacing w:after="0" w:line="240" w:lineRule="auto"/>
              <w:jc w:val="both"/>
              <w:rPr>
                <w:rFonts w:ascii="Calibri" w:hAnsi="Calibri" w:cs="Calibri"/>
              </w:rPr>
            </w:pPr>
            <w:r w:rsidRPr="00D73A51">
              <w:rPr>
                <w:rFonts w:ascii="Calibri" w:hAnsi="Calibri" w:cs="Calibri"/>
              </w:rPr>
              <w:t>La présente norme ne s’applique pas aux catégories d’aciers hors emballages destinés à entrer en contact avec des denrées, produits et boissons pour l’alimentation de l’homme et des animaux.</w:t>
            </w:r>
          </w:p>
        </w:tc>
      </w:tr>
      <w:tr w:rsidR="00D76221" w:rsidRPr="00D73A51" w:rsidTr="00D73A51">
        <w:trPr>
          <w:trHeight w:val="500"/>
          <w:jc w:val="center"/>
        </w:trPr>
        <w:tc>
          <w:tcPr>
            <w:tcW w:w="1838" w:type="dxa"/>
            <w:tcBorders>
              <w:top w:val="single" w:sz="4" w:space="0" w:color="auto"/>
              <w:bottom w:val="single" w:sz="18" w:space="0" w:color="auto"/>
              <w:right w:val="single" w:sz="4" w:space="0" w:color="auto"/>
            </w:tcBorders>
            <w:shd w:val="clear" w:color="auto" w:fill="D6E3BC" w:themeFill="accent3" w:themeFillTint="66"/>
            <w:vAlign w:val="center"/>
          </w:tcPr>
          <w:p w:rsidR="00D76221" w:rsidRDefault="00D76221" w:rsidP="00D73A51">
            <w:pPr>
              <w:spacing w:after="0" w:line="240" w:lineRule="auto"/>
              <w:jc w:val="center"/>
              <w:rPr>
                <w:rFonts w:ascii="Calibri" w:hAnsi="Calibri" w:cs="Calibri"/>
                <w:b/>
                <w:bCs/>
              </w:rPr>
            </w:pPr>
            <w:r>
              <w:rPr>
                <w:rFonts w:ascii="Calibri" w:hAnsi="Calibri" w:cs="Calibri"/>
                <w:b/>
                <w:bCs/>
              </w:rPr>
              <w:t xml:space="preserve">Code </w:t>
            </w:r>
          </w:p>
        </w:tc>
        <w:tc>
          <w:tcPr>
            <w:tcW w:w="7938" w:type="dxa"/>
            <w:tcBorders>
              <w:top w:val="single" w:sz="4" w:space="0" w:color="auto"/>
              <w:left w:val="single" w:sz="4" w:space="0" w:color="auto"/>
              <w:bottom w:val="single" w:sz="18" w:space="0" w:color="auto"/>
            </w:tcBorders>
            <w:shd w:val="clear" w:color="auto" w:fill="D6E3BC" w:themeFill="accent3" w:themeFillTint="66"/>
            <w:vAlign w:val="center"/>
          </w:tcPr>
          <w:p w:rsidR="00D76221" w:rsidRPr="00D73A51" w:rsidRDefault="00D76221" w:rsidP="00D73A51">
            <w:pPr>
              <w:spacing w:after="0" w:line="240" w:lineRule="auto"/>
              <w:jc w:val="center"/>
              <w:rPr>
                <w:rFonts w:ascii="Calibri" w:hAnsi="Calibri" w:cs="Calibri"/>
                <w:b/>
                <w:bCs/>
              </w:rPr>
            </w:pPr>
            <w:r w:rsidRPr="00D73A51">
              <w:rPr>
                <w:rFonts w:ascii="Calibri" w:hAnsi="Calibri" w:cs="Calibri"/>
                <w:b/>
                <w:bCs/>
              </w:rPr>
              <w:t>NM EN 10335</w:t>
            </w:r>
          </w:p>
        </w:tc>
      </w:tr>
      <w:tr w:rsidR="00D76221" w:rsidRPr="00D73A51" w:rsidTr="00D73A51">
        <w:trPr>
          <w:trHeight w:val="394"/>
          <w:jc w:val="center"/>
        </w:trPr>
        <w:tc>
          <w:tcPr>
            <w:tcW w:w="1838" w:type="dxa"/>
            <w:tcBorders>
              <w:top w:val="single" w:sz="4" w:space="0" w:color="auto"/>
              <w:bottom w:val="single" w:sz="18" w:space="0" w:color="auto"/>
              <w:right w:val="single" w:sz="4" w:space="0" w:color="auto"/>
            </w:tcBorders>
            <w:shd w:val="clear" w:color="auto" w:fill="FFFF99"/>
            <w:vAlign w:val="center"/>
          </w:tcPr>
          <w:p w:rsidR="00D76221" w:rsidRDefault="00D76221" w:rsidP="00D73A51">
            <w:pPr>
              <w:spacing w:after="0" w:line="240" w:lineRule="auto"/>
              <w:jc w:val="center"/>
              <w:rPr>
                <w:rFonts w:ascii="Calibri" w:hAnsi="Calibri" w:cs="Calibri"/>
                <w:b/>
                <w:bCs/>
              </w:rPr>
            </w:pPr>
            <w:r>
              <w:rPr>
                <w:rFonts w:ascii="Calibri" w:hAnsi="Calibri" w:cs="Calibri"/>
                <w:b/>
                <w:bCs/>
              </w:rPr>
              <w:t xml:space="preserve">Equivalence </w:t>
            </w:r>
          </w:p>
        </w:tc>
        <w:tc>
          <w:tcPr>
            <w:tcW w:w="7938" w:type="dxa"/>
            <w:tcBorders>
              <w:top w:val="single" w:sz="4" w:space="0" w:color="auto"/>
              <w:left w:val="single" w:sz="4" w:space="0" w:color="auto"/>
              <w:bottom w:val="single" w:sz="18" w:space="0" w:color="auto"/>
            </w:tcBorders>
            <w:shd w:val="clear" w:color="auto" w:fill="FFFF99"/>
            <w:vAlign w:val="center"/>
          </w:tcPr>
          <w:p w:rsidR="00D76221" w:rsidRPr="00D73A51" w:rsidRDefault="00D76221" w:rsidP="00D73A51">
            <w:pPr>
              <w:spacing w:after="0" w:line="240" w:lineRule="auto"/>
              <w:jc w:val="center"/>
              <w:rPr>
                <w:rFonts w:ascii="Calibri" w:hAnsi="Calibri" w:cs="Calibri"/>
                <w:b/>
                <w:bCs/>
              </w:rPr>
            </w:pPr>
            <w:r>
              <w:rPr>
                <w:rFonts w:ascii="Calibri" w:hAnsi="Calibri" w:cs="Calibri"/>
                <w:b/>
                <w:bCs/>
              </w:rPr>
              <w:t>EN 10335</w:t>
            </w:r>
          </w:p>
        </w:tc>
      </w:tr>
      <w:tr w:rsidR="00D76221" w:rsidRPr="00D73A51" w:rsidTr="00D73A51">
        <w:trPr>
          <w:trHeight w:val="629"/>
          <w:jc w:val="center"/>
        </w:trPr>
        <w:tc>
          <w:tcPr>
            <w:tcW w:w="1838" w:type="dxa"/>
            <w:tcBorders>
              <w:top w:val="single" w:sz="18" w:space="0" w:color="auto"/>
              <w:bottom w:val="single" w:sz="4" w:space="0" w:color="auto"/>
              <w:right w:val="single" w:sz="4" w:space="0" w:color="auto"/>
            </w:tcBorders>
            <w:shd w:val="clear" w:color="auto" w:fill="B8CCE4" w:themeFill="accent1" w:themeFillTint="66"/>
            <w:vAlign w:val="center"/>
          </w:tcPr>
          <w:p w:rsidR="00D76221" w:rsidRDefault="00D76221" w:rsidP="00D73A51">
            <w:pPr>
              <w:spacing w:after="0" w:line="240" w:lineRule="auto"/>
              <w:jc w:val="center"/>
              <w:rPr>
                <w:rFonts w:ascii="Calibri" w:hAnsi="Calibri" w:cs="Calibri"/>
                <w:b/>
                <w:bCs/>
              </w:rPr>
            </w:pPr>
            <w:r>
              <w:rPr>
                <w:rFonts w:ascii="Calibri" w:hAnsi="Calibri" w:cs="Calibri"/>
                <w:b/>
                <w:bCs/>
              </w:rPr>
              <w:t xml:space="preserve">Intitulé </w:t>
            </w:r>
          </w:p>
        </w:tc>
        <w:tc>
          <w:tcPr>
            <w:tcW w:w="7938" w:type="dxa"/>
            <w:tcBorders>
              <w:top w:val="single" w:sz="18" w:space="0" w:color="auto"/>
              <w:left w:val="single" w:sz="4" w:space="0" w:color="auto"/>
              <w:bottom w:val="single" w:sz="4" w:space="0" w:color="auto"/>
            </w:tcBorders>
            <w:shd w:val="clear" w:color="auto" w:fill="auto"/>
          </w:tcPr>
          <w:p w:rsidR="00D76221" w:rsidRPr="00D73A51" w:rsidRDefault="00D76221" w:rsidP="00D73A51">
            <w:pPr>
              <w:spacing w:after="0" w:line="240" w:lineRule="auto"/>
              <w:jc w:val="both"/>
              <w:rPr>
                <w:rFonts w:ascii="Calibri" w:hAnsi="Calibri" w:cs="Calibri"/>
              </w:rPr>
            </w:pPr>
            <w:r w:rsidRPr="00D73A51">
              <w:rPr>
                <w:rFonts w:ascii="Calibri" w:hAnsi="Calibri" w:cs="Calibri"/>
              </w:rPr>
              <w:t xml:space="preserve">Acier pour emballage - Produits plats en acier destiné à entrer au contact des denrées, produits et boissons pour l'alimentation de l'homme et des animaux - Acier non allié revêtu de chrome </w:t>
            </w:r>
          </w:p>
        </w:tc>
      </w:tr>
      <w:tr w:rsidR="00D76221" w:rsidRPr="00D73A51" w:rsidTr="00D73A51">
        <w:trPr>
          <w:trHeight w:val="629"/>
          <w:jc w:val="center"/>
        </w:trPr>
        <w:tc>
          <w:tcPr>
            <w:tcW w:w="1838" w:type="dxa"/>
            <w:tcBorders>
              <w:top w:val="single" w:sz="4" w:space="0" w:color="auto"/>
              <w:bottom w:val="single" w:sz="18" w:space="0" w:color="auto"/>
              <w:right w:val="single" w:sz="4" w:space="0" w:color="auto"/>
            </w:tcBorders>
            <w:shd w:val="clear" w:color="000000" w:fill="D9D9D9"/>
            <w:vAlign w:val="center"/>
          </w:tcPr>
          <w:p w:rsidR="00D76221" w:rsidRDefault="00D76221" w:rsidP="00D73A51">
            <w:pPr>
              <w:spacing w:after="0" w:line="240" w:lineRule="auto"/>
              <w:jc w:val="center"/>
              <w:rPr>
                <w:rFonts w:ascii="Calibri" w:hAnsi="Calibri" w:cs="Calibri"/>
                <w:b/>
                <w:bCs/>
              </w:rPr>
            </w:pPr>
            <w:r>
              <w:rPr>
                <w:rFonts w:ascii="Calibri" w:hAnsi="Calibri" w:cs="Calibri"/>
                <w:b/>
                <w:bCs/>
              </w:rPr>
              <w:t xml:space="preserve">Domaine d’application </w:t>
            </w:r>
          </w:p>
        </w:tc>
        <w:tc>
          <w:tcPr>
            <w:tcW w:w="7938" w:type="dxa"/>
            <w:tcBorders>
              <w:top w:val="single" w:sz="4" w:space="0" w:color="auto"/>
              <w:left w:val="single" w:sz="4" w:space="0" w:color="auto"/>
              <w:bottom w:val="single" w:sz="18" w:space="0" w:color="auto"/>
            </w:tcBorders>
            <w:shd w:val="clear" w:color="auto" w:fill="auto"/>
          </w:tcPr>
          <w:p w:rsidR="00D73A51" w:rsidRDefault="00D76221" w:rsidP="00D73A51">
            <w:pPr>
              <w:spacing w:after="0" w:line="240" w:lineRule="auto"/>
              <w:jc w:val="both"/>
              <w:rPr>
                <w:rFonts w:ascii="Calibri" w:hAnsi="Calibri" w:cs="Calibri"/>
              </w:rPr>
            </w:pPr>
            <w:r w:rsidRPr="00D73A51">
              <w:rPr>
                <w:rFonts w:ascii="Calibri" w:hAnsi="Calibri" w:cs="Calibri"/>
              </w:rPr>
              <w:t>La présente norme spécifie l’acier à utiliser et la composition du revêtement métallique servant à la fabrication de fer chromé verni et d’objets qui à l’état de produit fini sont destinés à entrer en contact direct avec des denrées, et produits pour l’alimentation de l’homme et des animaux.</w:t>
            </w:r>
          </w:p>
          <w:p w:rsidR="00D73A51" w:rsidRDefault="00D76221" w:rsidP="00D73A51">
            <w:pPr>
              <w:spacing w:after="0" w:line="240" w:lineRule="auto"/>
              <w:jc w:val="both"/>
              <w:rPr>
                <w:rFonts w:ascii="Calibri" w:hAnsi="Calibri" w:cs="Calibri"/>
              </w:rPr>
            </w:pPr>
            <w:r w:rsidRPr="00D73A51">
              <w:rPr>
                <w:rFonts w:ascii="Calibri" w:hAnsi="Calibri" w:cs="Calibri"/>
              </w:rPr>
              <w:t>Les principaux exemples d’application sont les suivants :</w:t>
            </w:r>
          </w:p>
          <w:p w:rsidR="00D73A51" w:rsidRDefault="00D76221" w:rsidP="00D73A51">
            <w:pPr>
              <w:spacing w:after="0" w:line="240" w:lineRule="auto"/>
              <w:jc w:val="both"/>
              <w:rPr>
                <w:rFonts w:ascii="Calibri" w:hAnsi="Calibri" w:cs="Calibri"/>
              </w:rPr>
            </w:pPr>
            <w:r w:rsidRPr="00D73A51">
              <w:rPr>
                <w:rFonts w:ascii="Calibri" w:hAnsi="Calibri" w:cs="Calibri"/>
              </w:rPr>
              <w:t>— boîtes boissons ;</w:t>
            </w:r>
          </w:p>
          <w:p w:rsidR="00D73A51" w:rsidRDefault="00D76221" w:rsidP="00D73A51">
            <w:pPr>
              <w:spacing w:after="0" w:line="240" w:lineRule="auto"/>
              <w:jc w:val="both"/>
              <w:rPr>
                <w:rFonts w:ascii="Calibri" w:hAnsi="Calibri" w:cs="Calibri"/>
              </w:rPr>
            </w:pPr>
            <w:r w:rsidRPr="00D73A51">
              <w:rPr>
                <w:rFonts w:ascii="Calibri" w:hAnsi="Calibri" w:cs="Calibri"/>
              </w:rPr>
              <w:t>— boîtes pour conserves alimentaires ;</w:t>
            </w:r>
          </w:p>
          <w:p w:rsidR="00D73A51" w:rsidRDefault="00D76221" w:rsidP="00D73A51">
            <w:pPr>
              <w:spacing w:after="0" w:line="240" w:lineRule="auto"/>
              <w:jc w:val="both"/>
              <w:rPr>
                <w:rFonts w:ascii="Calibri" w:hAnsi="Calibri" w:cs="Calibri"/>
              </w:rPr>
            </w:pPr>
            <w:r w:rsidRPr="00D73A51">
              <w:rPr>
                <w:rFonts w:ascii="Calibri" w:hAnsi="Calibri" w:cs="Calibri"/>
              </w:rPr>
              <w:t>— capsules et couvercles.</w:t>
            </w:r>
          </w:p>
          <w:p w:rsidR="00D76221" w:rsidRPr="00D73A51" w:rsidRDefault="00D76221" w:rsidP="00D73A51">
            <w:pPr>
              <w:spacing w:after="0" w:line="240" w:lineRule="auto"/>
              <w:jc w:val="both"/>
              <w:rPr>
                <w:rFonts w:ascii="Calibri" w:hAnsi="Calibri" w:cs="Calibri"/>
              </w:rPr>
            </w:pPr>
            <w:r w:rsidRPr="00D73A51">
              <w:rPr>
                <w:rFonts w:ascii="Calibri" w:hAnsi="Calibri" w:cs="Calibri"/>
              </w:rPr>
              <w:t>Le choix du matériau doit être en adéquation avec les conditions d’emploi.</w:t>
            </w:r>
            <w:r w:rsidRPr="00D73A51">
              <w:rPr>
                <w:rFonts w:ascii="Calibri" w:hAnsi="Calibri" w:cs="Calibri"/>
              </w:rPr>
              <w:br/>
              <w:t>La présente norme ne s’applique pas aux catégories d’aciers hors emballages destinés à entrer en contact avec des denrées, produits et boissons pour l’alimentation de l’homme et des animaux.</w:t>
            </w:r>
          </w:p>
        </w:tc>
      </w:tr>
      <w:tr w:rsidR="00D76221" w:rsidRPr="0043547B" w:rsidTr="00D73A51">
        <w:trPr>
          <w:trHeight w:val="502"/>
          <w:jc w:val="center"/>
        </w:trPr>
        <w:tc>
          <w:tcPr>
            <w:tcW w:w="1838" w:type="dxa"/>
            <w:tcBorders>
              <w:top w:val="single" w:sz="4" w:space="0" w:color="auto"/>
              <w:bottom w:val="single" w:sz="18" w:space="0" w:color="auto"/>
              <w:right w:val="single" w:sz="4" w:space="0" w:color="auto"/>
            </w:tcBorders>
            <w:shd w:val="clear" w:color="auto" w:fill="D6E3BC" w:themeFill="accent3" w:themeFillTint="66"/>
            <w:vAlign w:val="center"/>
          </w:tcPr>
          <w:p w:rsidR="00D76221" w:rsidRDefault="00D76221" w:rsidP="00D73A51">
            <w:pPr>
              <w:spacing w:after="0" w:line="240" w:lineRule="auto"/>
              <w:jc w:val="center"/>
              <w:rPr>
                <w:rFonts w:ascii="Calibri" w:hAnsi="Calibri" w:cs="Calibri"/>
                <w:b/>
                <w:bCs/>
              </w:rPr>
            </w:pPr>
            <w:r>
              <w:rPr>
                <w:rFonts w:ascii="Calibri" w:hAnsi="Calibri" w:cs="Calibri"/>
                <w:b/>
                <w:bCs/>
              </w:rPr>
              <w:t xml:space="preserve">Code  </w:t>
            </w:r>
          </w:p>
        </w:tc>
        <w:tc>
          <w:tcPr>
            <w:tcW w:w="7938" w:type="dxa"/>
            <w:tcBorders>
              <w:top w:val="single" w:sz="4" w:space="0" w:color="auto"/>
              <w:left w:val="single" w:sz="4" w:space="0" w:color="auto"/>
              <w:bottom w:val="single" w:sz="18" w:space="0" w:color="auto"/>
            </w:tcBorders>
            <w:shd w:val="clear" w:color="auto" w:fill="D6E3BC" w:themeFill="accent3" w:themeFillTint="66"/>
            <w:vAlign w:val="center"/>
          </w:tcPr>
          <w:p w:rsidR="00D76221" w:rsidRDefault="00D76221" w:rsidP="00D73A51">
            <w:pPr>
              <w:spacing w:after="0" w:line="240" w:lineRule="auto"/>
              <w:jc w:val="center"/>
              <w:rPr>
                <w:rFonts w:ascii="Calibri" w:hAnsi="Calibri" w:cs="Calibri"/>
                <w:b/>
                <w:bCs/>
                <w:color w:val="000000"/>
                <w:sz w:val="24"/>
                <w:szCs w:val="24"/>
              </w:rPr>
            </w:pPr>
            <w:r>
              <w:rPr>
                <w:rFonts w:ascii="Calibri" w:hAnsi="Calibri" w:cs="Calibri"/>
                <w:b/>
                <w:bCs/>
                <w:color w:val="000000"/>
              </w:rPr>
              <w:t>NM 01.4.030</w:t>
            </w:r>
          </w:p>
        </w:tc>
      </w:tr>
      <w:tr w:rsidR="00D76221" w:rsidRPr="0043547B" w:rsidTr="00D73A51">
        <w:trPr>
          <w:trHeight w:val="410"/>
          <w:jc w:val="center"/>
        </w:trPr>
        <w:tc>
          <w:tcPr>
            <w:tcW w:w="1838" w:type="dxa"/>
            <w:tcBorders>
              <w:top w:val="single" w:sz="4" w:space="0" w:color="auto"/>
              <w:bottom w:val="single" w:sz="18" w:space="0" w:color="auto"/>
              <w:right w:val="single" w:sz="4" w:space="0" w:color="auto"/>
            </w:tcBorders>
            <w:shd w:val="clear" w:color="auto" w:fill="FFFF99"/>
            <w:vAlign w:val="center"/>
          </w:tcPr>
          <w:p w:rsidR="00D76221" w:rsidRDefault="00D76221" w:rsidP="00D73A51">
            <w:pPr>
              <w:spacing w:after="0" w:line="240" w:lineRule="auto"/>
              <w:jc w:val="center"/>
              <w:rPr>
                <w:rFonts w:ascii="Calibri" w:hAnsi="Calibri" w:cs="Calibri"/>
                <w:b/>
                <w:bCs/>
              </w:rPr>
            </w:pPr>
            <w:r>
              <w:rPr>
                <w:rFonts w:ascii="Calibri" w:hAnsi="Calibri" w:cs="Calibri"/>
                <w:b/>
                <w:bCs/>
              </w:rPr>
              <w:t xml:space="preserve">Equivalence </w:t>
            </w:r>
          </w:p>
        </w:tc>
        <w:tc>
          <w:tcPr>
            <w:tcW w:w="7938" w:type="dxa"/>
            <w:tcBorders>
              <w:top w:val="single" w:sz="4" w:space="0" w:color="auto"/>
              <w:left w:val="single" w:sz="4" w:space="0" w:color="auto"/>
              <w:bottom w:val="single" w:sz="18" w:space="0" w:color="auto"/>
            </w:tcBorders>
            <w:shd w:val="clear" w:color="auto" w:fill="FFFF99"/>
            <w:vAlign w:val="center"/>
          </w:tcPr>
          <w:p w:rsidR="00D76221" w:rsidRDefault="00D76221" w:rsidP="00D73A51">
            <w:pPr>
              <w:spacing w:after="0" w:line="240" w:lineRule="auto"/>
              <w:jc w:val="center"/>
              <w:rPr>
                <w:rFonts w:ascii="Calibri" w:hAnsi="Calibri" w:cs="Calibri"/>
                <w:b/>
                <w:bCs/>
                <w:sz w:val="24"/>
                <w:szCs w:val="24"/>
              </w:rPr>
            </w:pPr>
            <w:r>
              <w:rPr>
                <w:rFonts w:ascii="Calibri" w:hAnsi="Calibri" w:cs="Calibri"/>
                <w:b/>
                <w:bCs/>
              </w:rPr>
              <w:t>NF H 00-061</w:t>
            </w:r>
          </w:p>
        </w:tc>
      </w:tr>
      <w:tr w:rsidR="00D76221" w:rsidRPr="0043547B" w:rsidTr="00D73A51">
        <w:trPr>
          <w:trHeight w:val="629"/>
          <w:jc w:val="center"/>
        </w:trPr>
        <w:tc>
          <w:tcPr>
            <w:tcW w:w="1838" w:type="dxa"/>
            <w:tcBorders>
              <w:top w:val="single" w:sz="18" w:space="0" w:color="auto"/>
              <w:bottom w:val="single" w:sz="4" w:space="0" w:color="auto"/>
              <w:right w:val="single" w:sz="4" w:space="0" w:color="auto"/>
            </w:tcBorders>
            <w:shd w:val="clear" w:color="auto" w:fill="B8CCE4" w:themeFill="accent1" w:themeFillTint="66"/>
            <w:vAlign w:val="center"/>
          </w:tcPr>
          <w:p w:rsidR="00D76221" w:rsidRDefault="00D76221" w:rsidP="00D73A51">
            <w:pPr>
              <w:spacing w:after="0" w:line="240" w:lineRule="auto"/>
              <w:jc w:val="center"/>
              <w:rPr>
                <w:rFonts w:ascii="Calibri" w:hAnsi="Calibri" w:cs="Calibri"/>
                <w:b/>
                <w:bCs/>
              </w:rPr>
            </w:pPr>
            <w:r>
              <w:rPr>
                <w:rFonts w:ascii="Calibri" w:hAnsi="Calibri" w:cs="Calibri"/>
                <w:b/>
                <w:bCs/>
              </w:rPr>
              <w:t xml:space="preserve">Intitulé </w:t>
            </w:r>
          </w:p>
        </w:tc>
        <w:tc>
          <w:tcPr>
            <w:tcW w:w="7938" w:type="dxa"/>
            <w:tcBorders>
              <w:top w:val="single" w:sz="18" w:space="0" w:color="auto"/>
              <w:left w:val="single" w:sz="4" w:space="0" w:color="auto"/>
              <w:bottom w:val="single" w:sz="4" w:space="0" w:color="auto"/>
            </w:tcBorders>
            <w:shd w:val="clear" w:color="auto" w:fill="auto"/>
          </w:tcPr>
          <w:p w:rsidR="00D76221" w:rsidRDefault="00D76221" w:rsidP="00D73A51">
            <w:pPr>
              <w:spacing w:after="0" w:line="240" w:lineRule="auto"/>
              <w:jc w:val="both"/>
              <w:rPr>
                <w:rFonts w:ascii="Calibri" w:hAnsi="Calibri" w:cs="Calibri"/>
                <w:color w:val="000000"/>
              </w:rPr>
            </w:pPr>
            <w:r>
              <w:rPr>
                <w:rFonts w:ascii="Calibri" w:hAnsi="Calibri" w:cs="Calibri"/>
                <w:color w:val="000000"/>
              </w:rPr>
              <w:t>Emballages-Emballages pour certains produits alimentaires préemballés-capacités des récipients en verre et métalliques ;</w:t>
            </w:r>
          </w:p>
        </w:tc>
      </w:tr>
      <w:tr w:rsidR="00D76221" w:rsidRPr="0043547B" w:rsidTr="00D73A51">
        <w:trPr>
          <w:trHeight w:val="629"/>
          <w:jc w:val="center"/>
        </w:trPr>
        <w:tc>
          <w:tcPr>
            <w:tcW w:w="1838" w:type="dxa"/>
            <w:tcBorders>
              <w:top w:val="single" w:sz="4" w:space="0" w:color="auto"/>
              <w:bottom w:val="single" w:sz="18" w:space="0" w:color="auto"/>
              <w:right w:val="single" w:sz="4" w:space="0" w:color="auto"/>
            </w:tcBorders>
            <w:shd w:val="clear" w:color="000000" w:fill="D9D9D9"/>
            <w:vAlign w:val="center"/>
          </w:tcPr>
          <w:p w:rsidR="00D76221" w:rsidRDefault="00D76221" w:rsidP="00D76221">
            <w:pPr>
              <w:jc w:val="center"/>
              <w:rPr>
                <w:rFonts w:ascii="Calibri" w:hAnsi="Calibri" w:cs="Calibri"/>
                <w:b/>
                <w:bCs/>
              </w:rPr>
            </w:pPr>
            <w:r>
              <w:rPr>
                <w:rFonts w:ascii="Calibri" w:hAnsi="Calibri" w:cs="Calibri"/>
                <w:b/>
                <w:bCs/>
              </w:rPr>
              <w:lastRenderedPageBreak/>
              <w:t xml:space="preserve">Domaine d’application </w:t>
            </w:r>
          </w:p>
        </w:tc>
        <w:tc>
          <w:tcPr>
            <w:tcW w:w="7938" w:type="dxa"/>
            <w:tcBorders>
              <w:top w:val="single" w:sz="4" w:space="0" w:color="auto"/>
              <w:left w:val="single" w:sz="4" w:space="0" w:color="auto"/>
              <w:bottom w:val="single" w:sz="18" w:space="0" w:color="auto"/>
            </w:tcBorders>
            <w:shd w:val="clear" w:color="auto" w:fill="auto"/>
          </w:tcPr>
          <w:p w:rsidR="00D76221" w:rsidRDefault="00D76221" w:rsidP="00D73A51">
            <w:pPr>
              <w:spacing w:after="0" w:line="240" w:lineRule="auto"/>
              <w:jc w:val="both"/>
              <w:rPr>
                <w:rFonts w:ascii="Calibri" w:hAnsi="Calibri" w:cs="Calibri"/>
                <w:color w:val="000000"/>
              </w:rPr>
            </w:pPr>
            <w:r>
              <w:rPr>
                <w:rFonts w:ascii="Calibri" w:hAnsi="Calibri" w:cs="Calibri"/>
                <w:color w:val="000000"/>
              </w:rPr>
              <w:t xml:space="preserve">La présente norme européenne spécifie les capacités des récipients en verre et métalliques ronds pour l'emballage des produits végétaux conservés (*) (et semi-conservés) (fruits, légumes, tomates, pommes de terre) destinés à la consommation humaine. </w:t>
            </w:r>
            <w:r>
              <w:rPr>
                <w:rFonts w:ascii="Calibri" w:hAnsi="Calibri" w:cs="Calibri"/>
                <w:color w:val="000000"/>
              </w:rPr>
              <w:br/>
              <w:t>Sont exclus de la présente norme les récipients préemballés destinés aux confitures, marmelades, purée de marrons, soupes, sauces, aliments infantiles, jus de fruits et végétaux et tous les produits végétaux gelés et déshydratés. Sont aussi exclus les récipients métalliques venthole et à décollage.</w:t>
            </w:r>
          </w:p>
        </w:tc>
      </w:tr>
      <w:tr w:rsidR="00D76221" w:rsidRPr="00D73A51" w:rsidTr="00D73A51">
        <w:trPr>
          <w:trHeight w:val="342"/>
          <w:jc w:val="center"/>
        </w:trPr>
        <w:tc>
          <w:tcPr>
            <w:tcW w:w="1838" w:type="dxa"/>
            <w:tcBorders>
              <w:top w:val="single" w:sz="4" w:space="0" w:color="auto"/>
              <w:bottom w:val="single" w:sz="18" w:space="0" w:color="auto"/>
              <w:right w:val="single" w:sz="4" w:space="0" w:color="auto"/>
            </w:tcBorders>
            <w:shd w:val="clear" w:color="auto" w:fill="D6E3BC" w:themeFill="accent3" w:themeFillTint="66"/>
            <w:vAlign w:val="center"/>
          </w:tcPr>
          <w:p w:rsidR="00D76221" w:rsidRDefault="00D76221" w:rsidP="00D73A51">
            <w:pPr>
              <w:spacing w:after="0" w:line="240" w:lineRule="auto"/>
              <w:jc w:val="center"/>
              <w:rPr>
                <w:rFonts w:ascii="Calibri" w:hAnsi="Calibri" w:cs="Calibri"/>
                <w:b/>
                <w:bCs/>
              </w:rPr>
            </w:pPr>
            <w:r>
              <w:rPr>
                <w:rFonts w:ascii="Calibri" w:hAnsi="Calibri" w:cs="Calibri"/>
                <w:b/>
                <w:bCs/>
              </w:rPr>
              <w:t xml:space="preserve">Code </w:t>
            </w:r>
          </w:p>
        </w:tc>
        <w:tc>
          <w:tcPr>
            <w:tcW w:w="7938" w:type="dxa"/>
            <w:tcBorders>
              <w:top w:val="single" w:sz="4" w:space="0" w:color="auto"/>
              <w:left w:val="single" w:sz="4" w:space="0" w:color="auto"/>
              <w:bottom w:val="single" w:sz="18" w:space="0" w:color="auto"/>
            </w:tcBorders>
            <w:shd w:val="clear" w:color="auto" w:fill="D6E3BC" w:themeFill="accent3" w:themeFillTint="66"/>
            <w:vAlign w:val="center"/>
          </w:tcPr>
          <w:p w:rsidR="00D76221" w:rsidRPr="00D73A51" w:rsidRDefault="00D76221" w:rsidP="00D73A51">
            <w:pPr>
              <w:spacing w:after="0" w:line="240" w:lineRule="auto"/>
              <w:jc w:val="center"/>
              <w:rPr>
                <w:rFonts w:ascii="Calibri" w:hAnsi="Calibri" w:cs="Calibri"/>
                <w:b/>
                <w:bCs/>
                <w:sz w:val="24"/>
                <w:szCs w:val="24"/>
              </w:rPr>
            </w:pPr>
            <w:r w:rsidRPr="00D73A51">
              <w:rPr>
                <w:rFonts w:ascii="Calibri" w:hAnsi="Calibri" w:cs="Calibri"/>
                <w:b/>
                <w:bCs/>
                <w:sz w:val="24"/>
                <w:szCs w:val="24"/>
              </w:rPr>
              <w:t>NM 01.4.031</w:t>
            </w:r>
          </w:p>
        </w:tc>
      </w:tr>
      <w:tr w:rsidR="00D76221" w:rsidRPr="00D73A51" w:rsidTr="00D73A51">
        <w:trPr>
          <w:trHeight w:val="378"/>
          <w:jc w:val="center"/>
        </w:trPr>
        <w:tc>
          <w:tcPr>
            <w:tcW w:w="1838" w:type="dxa"/>
            <w:tcBorders>
              <w:top w:val="single" w:sz="4" w:space="0" w:color="auto"/>
              <w:bottom w:val="single" w:sz="18" w:space="0" w:color="auto"/>
              <w:right w:val="single" w:sz="4" w:space="0" w:color="auto"/>
            </w:tcBorders>
            <w:shd w:val="clear" w:color="auto" w:fill="FFFF99"/>
            <w:vAlign w:val="center"/>
          </w:tcPr>
          <w:p w:rsidR="00D76221" w:rsidRDefault="00D76221" w:rsidP="00D73A51">
            <w:pPr>
              <w:spacing w:after="0" w:line="240" w:lineRule="auto"/>
              <w:jc w:val="center"/>
              <w:rPr>
                <w:rFonts w:ascii="Calibri" w:hAnsi="Calibri" w:cs="Calibri"/>
                <w:b/>
                <w:bCs/>
              </w:rPr>
            </w:pPr>
            <w:r>
              <w:rPr>
                <w:rFonts w:ascii="Calibri" w:hAnsi="Calibri" w:cs="Calibri"/>
                <w:b/>
                <w:bCs/>
              </w:rPr>
              <w:t xml:space="preserve">Equivalence </w:t>
            </w:r>
          </w:p>
        </w:tc>
        <w:tc>
          <w:tcPr>
            <w:tcW w:w="7938" w:type="dxa"/>
            <w:tcBorders>
              <w:top w:val="single" w:sz="4" w:space="0" w:color="auto"/>
              <w:left w:val="single" w:sz="4" w:space="0" w:color="auto"/>
              <w:bottom w:val="single" w:sz="18" w:space="0" w:color="auto"/>
            </w:tcBorders>
            <w:shd w:val="clear" w:color="auto" w:fill="FFFF99"/>
            <w:vAlign w:val="center"/>
          </w:tcPr>
          <w:p w:rsidR="00D76221" w:rsidRPr="00D73A51" w:rsidRDefault="00D76221" w:rsidP="00D73A51">
            <w:pPr>
              <w:spacing w:after="0" w:line="240" w:lineRule="auto"/>
              <w:jc w:val="center"/>
              <w:rPr>
                <w:rFonts w:ascii="Calibri" w:hAnsi="Calibri" w:cs="Calibri"/>
                <w:b/>
                <w:bCs/>
                <w:sz w:val="24"/>
                <w:szCs w:val="24"/>
              </w:rPr>
            </w:pPr>
            <w:r w:rsidRPr="00D73A51">
              <w:rPr>
                <w:rFonts w:ascii="Calibri" w:hAnsi="Calibri" w:cs="Calibri"/>
                <w:b/>
                <w:bCs/>
                <w:sz w:val="24"/>
                <w:szCs w:val="24"/>
              </w:rPr>
              <w:t>NF H 33-507</w:t>
            </w:r>
          </w:p>
        </w:tc>
      </w:tr>
      <w:tr w:rsidR="00D76221" w:rsidRPr="00D73A51" w:rsidTr="00D73A51">
        <w:trPr>
          <w:trHeight w:val="629"/>
          <w:jc w:val="center"/>
        </w:trPr>
        <w:tc>
          <w:tcPr>
            <w:tcW w:w="1838" w:type="dxa"/>
            <w:tcBorders>
              <w:top w:val="single" w:sz="18" w:space="0" w:color="auto"/>
              <w:bottom w:val="single" w:sz="4" w:space="0" w:color="auto"/>
              <w:right w:val="single" w:sz="4" w:space="0" w:color="auto"/>
            </w:tcBorders>
            <w:shd w:val="clear" w:color="auto" w:fill="B8CCE4" w:themeFill="accent1" w:themeFillTint="66"/>
            <w:vAlign w:val="center"/>
          </w:tcPr>
          <w:p w:rsidR="00D76221" w:rsidRDefault="00D76221" w:rsidP="00D73A51">
            <w:pPr>
              <w:spacing w:after="0" w:line="240" w:lineRule="auto"/>
              <w:jc w:val="center"/>
              <w:rPr>
                <w:rFonts w:ascii="Calibri" w:hAnsi="Calibri" w:cs="Calibri"/>
                <w:b/>
                <w:bCs/>
              </w:rPr>
            </w:pPr>
            <w:r>
              <w:rPr>
                <w:rFonts w:ascii="Calibri" w:hAnsi="Calibri" w:cs="Calibri"/>
                <w:b/>
                <w:bCs/>
              </w:rPr>
              <w:t xml:space="preserve">Intitulé </w:t>
            </w:r>
          </w:p>
        </w:tc>
        <w:tc>
          <w:tcPr>
            <w:tcW w:w="7938" w:type="dxa"/>
            <w:tcBorders>
              <w:top w:val="single" w:sz="18" w:space="0" w:color="auto"/>
              <w:left w:val="single" w:sz="4" w:space="0" w:color="auto"/>
              <w:bottom w:val="single" w:sz="4" w:space="0" w:color="auto"/>
            </w:tcBorders>
            <w:shd w:val="clear" w:color="auto" w:fill="auto"/>
          </w:tcPr>
          <w:p w:rsidR="00D76221" w:rsidRPr="00D73A51" w:rsidRDefault="00D76221" w:rsidP="00D73A51">
            <w:pPr>
              <w:spacing w:after="0" w:line="240" w:lineRule="auto"/>
              <w:jc w:val="both"/>
              <w:rPr>
                <w:rFonts w:ascii="Calibri" w:hAnsi="Calibri" w:cs="Calibri"/>
              </w:rPr>
            </w:pPr>
            <w:r w:rsidRPr="00D73A51">
              <w:rPr>
                <w:rFonts w:ascii="Calibri" w:hAnsi="Calibri" w:cs="Calibri"/>
              </w:rPr>
              <w:t>Emballages métalliques – boites dites « Tines » pour produits de biscuiterie ;</w:t>
            </w:r>
          </w:p>
        </w:tc>
      </w:tr>
      <w:tr w:rsidR="00D76221" w:rsidRPr="00D73A51" w:rsidTr="00D73A51">
        <w:trPr>
          <w:trHeight w:val="629"/>
          <w:jc w:val="center"/>
        </w:trPr>
        <w:tc>
          <w:tcPr>
            <w:tcW w:w="1838" w:type="dxa"/>
            <w:tcBorders>
              <w:top w:val="single" w:sz="4" w:space="0" w:color="auto"/>
              <w:bottom w:val="single" w:sz="18" w:space="0" w:color="auto"/>
              <w:right w:val="single" w:sz="4" w:space="0" w:color="auto"/>
            </w:tcBorders>
            <w:shd w:val="clear" w:color="000000" w:fill="D9D9D9"/>
            <w:vAlign w:val="center"/>
          </w:tcPr>
          <w:p w:rsidR="00D76221" w:rsidRDefault="00D76221" w:rsidP="00D73A51">
            <w:pPr>
              <w:spacing w:after="0" w:line="240" w:lineRule="auto"/>
              <w:jc w:val="center"/>
              <w:rPr>
                <w:rFonts w:ascii="Calibri" w:hAnsi="Calibri" w:cs="Calibri"/>
                <w:b/>
                <w:bCs/>
              </w:rPr>
            </w:pPr>
            <w:r>
              <w:rPr>
                <w:rFonts w:ascii="Calibri" w:hAnsi="Calibri" w:cs="Calibri"/>
                <w:b/>
                <w:bCs/>
              </w:rPr>
              <w:t xml:space="preserve">Domaine d’application </w:t>
            </w:r>
          </w:p>
        </w:tc>
        <w:tc>
          <w:tcPr>
            <w:tcW w:w="7938" w:type="dxa"/>
            <w:tcBorders>
              <w:top w:val="single" w:sz="4" w:space="0" w:color="auto"/>
              <w:left w:val="single" w:sz="4" w:space="0" w:color="auto"/>
              <w:bottom w:val="single" w:sz="18" w:space="0" w:color="auto"/>
            </w:tcBorders>
            <w:shd w:val="clear" w:color="auto" w:fill="auto"/>
          </w:tcPr>
          <w:p w:rsidR="00D76221" w:rsidRPr="00D73A51" w:rsidRDefault="00D76221" w:rsidP="00D73A51">
            <w:pPr>
              <w:spacing w:after="0" w:line="240" w:lineRule="auto"/>
              <w:jc w:val="both"/>
              <w:rPr>
                <w:rFonts w:ascii="Calibri" w:hAnsi="Calibri" w:cs="Calibri"/>
              </w:rPr>
            </w:pPr>
            <w:r w:rsidRPr="00D73A51">
              <w:rPr>
                <w:rFonts w:ascii="Calibri" w:hAnsi="Calibri" w:cs="Calibri"/>
              </w:rPr>
              <w:t>La présente norme a pour objet de fixer les caractéristiques dimensionnelles des tines pour produits de biscuiterie.</w:t>
            </w:r>
          </w:p>
        </w:tc>
      </w:tr>
      <w:tr w:rsidR="00D76221" w:rsidRPr="00D73A51" w:rsidTr="00D73A51">
        <w:trPr>
          <w:trHeight w:val="448"/>
          <w:jc w:val="center"/>
        </w:trPr>
        <w:tc>
          <w:tcPr>
            <w:tcW w:w="1838" w:type="dxa"/>
            <w:tcBorders>
              <w:top w:val="single" w:sz="4" w:space="0" w:color="auto"/>
              <w:bottom w:val="single" w:sz="18" w:space="0" w:color="auto"/>
              <w:right w:val="single" w:sz="4" w:space="0" w:color="auto"/>
            </w:tcBorders>
            <w:shd w:val="clear" w:color="auto" w:fill="D6E3BC" w:themeFill="accent3" w:themeFillTint="66"/>
            <w:vAlign w:val="center"/>
          </w:tcPr>
          <w:p w:rsidR="00D76221" w:rsidRDefault="00D76221" w:rsidP="00D73A51">
            <w:pPr>
              <w:spacing w:after="0" w:line="240" w:lineRule="auto"/>
              <w:jc w:val="center"/>
              <w:rPr>
                <w:rFonts w:ascii="Calibri" w:hAnsi="Calibri" w:cs="Calibri"/>
                <w:b/>
                <w:bCs/>
              </w:rPr>
            </w:pPr>
            <w:r>
              <w:rPr>
                <w:rFonts w:ascii="Calibri" w:hAnsi="Calibri" w:cs="Calibri"/>
                <w:b/>
                <w:bCs/>
              </w:rPr>
              <w:t xml:space="preserve">Code </w:t>
            </w:r>
            <w:r w:rsidR="00D73A51">
              <w:rPr>
                <w:rFonts w:ascii="Calibri" w:hAnsi="Calibri" w:cs="Calibri"/>
                <w:b/>
                <w:bCs/>
              </w:rPr>
              <w:t xml:space="preserve"> </w:t>
            </w:r>
            <w:r>
              <w:rPr>
                <w:rFonts w:ascii="Calibri" w:hAnsi="Calibri" w:cs="Calibri"/>
                <w:b/>
                <w:bCs/>
              </w:rPr>
              <w:t xml:space="preserve"> </w:t>
            </w:r>
          </w:p>
        </w:tc>
        <w:tc>
          <w:tcPr>
            <w:tcW w:w="7938" w:type="dxa"/>
            <w:tcBorders>
              <w:top w:val="single" w:sz="4" w:space="0" w:color="auto"/>
              <w:left w:val="single" w:sz="4" w:space="0" w:color="auto"/>
              <w:bottom w:val="single" w:sz="18" w:space="0" w:color="auto"/>
            </w:tcBorders>
            <w:shd w:val="clear" w:color="auto" w:fill="D6E3BC" w:themeFill="accent3" w:themeFillTint="66"/>
            <w:vAlign w:val="center"/>
          </w:tcPr>
          <w:p w:rsidR="00D76221" w:rsidRPr="00D73A51" w:rsidRDefault="00D76221" w:rsidP="00D73A51">
            <w:pPr>
              <w:spacing w:after="0" w:line="240" w:lineRule="auto"/>
              <w:jc w:val="center"/>
              <w:rPr>
                <w:rFonts w:ascii="Calibri" w:hAnsi="Calibri" w:cs="Calibri"/>
                <w:b/>
                <w:bCs/>
              </w:rPr>
            </w:pPr>
            <w:r w:rsidRPr="00D73A51">
              <w:rPr>
                <w:rFonts w:ascii="Calibri" w:hAnsi="Calibri" w:cs="Calibri"/>
                <w:b/>
                <w:bCs/>
              </w:rPr>
              <w:t>NM EN 14620-2</w:t>
            </w:r>
          </w:p>
        </w:tc>
      </w:tr>
      <w:tr w:rsidR="00D76221" w:rsidRPr="00D73A51" w:rsidTr="00D73A51">
        <w:trPr>
          <w:trHeight w:val="384"/>
          <w:jc w:val="center"/>
        </w:trPr>
        <w:tc>
          <w:tcPr>
            <w:tcW w:w="1838" w:type="dxa"/>
            <w:tcBorders>
              <w:top w:val="single" w:sz="4" w:space="0" w:color="auto"/>
              <w:bottom w:val="single" w:sz="18" w:space="0" w:color="auto"/>
              <w:right w:val="single" w:sz="4" w:space="0" w:color="auto"/>
            </w:tcBorders>
            <w:shd w:val="clear" w:color="auto" w:fill="FFFF99"/>
            <w:vAlign w:val="center"/>
          </w:tcPr>
          <w:p w:rsidR="00D76221" w:rsidRDefault="00D76221" w:rsidP="00D73A51">
            <w:pPr>
              <w:spacing w:after="0" w:line="240" w:lineRule="auto"/>
              <w:jc w:val="center"/>
              <w:rPr>
                <w:rFonts w:ascii="Calibri" w:hAnsi="Calibri" w:cs="Calibri"/>
                <w:b/>
                <w:bCs/>
              </w:rPr>
            </w:pPr>
            <w:r>
              <w:rPr>
                <w:rFonts w:ascii="Calibri" w:hAnsi="Calibri" w:cs="Calibri"/>
                <w:b/>
                <w:bCs/>
              </w:rPr>
              <w:t xml:space="preserve">Equivalence </w:t>
            </w:r>
          </w:p>
        </w:tc>
        <w:tc>
          <w:tcPr>
            <w:tcW w:w="7938" w:type="dxa"/>
            <w:tcBorders>
              <w:top w:val="single" w:sz="4" w:space="0" w:color="auto"/>
              <w:left w:val="single" w:sz="4" w:space="0" w:color="auto"/>
              <w:bottom w:val="single" w:sz="18" w:space="0" w:color="auto"/>
            </w:tcBorders>
            <w:shd w:val="clear" w:color="auto" w:fill="FFFF99"/>
            <w:vAlign w:val="center"/>
          </w:tcPr>
          <w:p w:rsidR="00D76221" w:rsidRPr="00D73A51" w:rsidRDefault="00D76221" w:rsidP="00D73A51">
            <w:pPr>
              <w:spacing w:after="0" w:line="240" w:lineRule="auto"/>
              <w:jc w:val="center"/>
              <w:rPr>
                <w:rFonts w:ascii="Calibri" w:hAnsi="Calibri" w:cs="Calibri"/>
                <w:b/>
                <w:bCs/>
              </w:rPr>
            </w:pPr>
            <w:r>
              <w:rPr>
                <w:rFonts w:ascii="Calibri" w:hAnsi="Calibri" w:cs="Calibri"/>
                <w:b/>
                <w:bCs/>
              </w:rPr>
              <w:t>EN 14620-2</w:t>
            </w:r>
          </w:p>
        </w:tc>
      </w:tr>
      <w:tr w:rsidR="00D76221" w:rsidRPr="00D73A51" w:rsidTr="00D73A51">
        <w:trPr>
          <w:trHeight w:val="629"/>
          <w:jc w:val="center"/>
        </w:trPr>
        <w:tc>
          <w:tcPr>
            <w:tcW w:w="1838" w:type="dxa"/>
            <w:tcBorders>
              <w:top w:val="single" w:sz="18" w:space="0" w:color="auto"/>
              <w:bottom w:val="single" w:sz="4" w:space="0" w:color="auto"/>
              <w:right w:val="single" w:sz="4" w:space="0" w:color="auto"/>
            </w:tcBorders>
            <w:shd w:val="clear" w:color="auto" w:fill="B8CCE4" w:themeFill="accent1" w:themeFillTint="66"/>
            <w:vAlign w:val="center"/>
          </w:tcPr>
          <w:p w:rsidR="00D76221" w:rsidRDefault="00D76221" w:rsidP="00D73A51">
            <w:pPr>
              <w:spacing w:after="0" w:line="240" w:lineRule="auto"/>
              <w:jc w:val="center"/>
              <w:rPr>
                <w:rFonts w:ascii="Calibri" w:hAnsi="Calibri" w:cs="Calibri"/>
                <w:b/>
                <w:bCs/>
              </w:rPr>
            </w:pPr>
            <w:r>
              <w:rPr>
                <w:rFonts w:ascii="Calibri" w:hAnsi="Calibri" w:cs="Calibri"/>
                <w:b/>
                <w:bCs/>
              </w:rPr>
              <w:t xml:space="preserve">Intitulé </w:t>
            </w:r>
          </w:p>
        </w:tc>
        <w:tc>
          <w:tcPr>
            <w:tcW w:w="7938" w:type="dxa"/>
            <w:tcBorders>
              <w:top w:val="single" w:sz="18" w:space="0" w:color="auto"/>
              <w:left w:val="single" w:sz="4" w:space="0" w:color="auto"/>
              <w:bottom w:val="single" w:sz="4" w:space="0" w:color="auto"/>
            </w:tcBorders>
            <w:shd w:val="clear" w:color="auto" w:fill="auto"/>
          </w:tcPr>
          <w:p w:rsidR="00D76221" w:rsidRPr="00D73A51" w:rsidRDefault="00D76221" w:rsidP="00D73A51">
            <w:pPr>
              <w:spacing w:after="0" w:line="240" w:lineRule="auto"/>
              <w:jc w:val="both"/>
              <w:rPr>
                <w:rFonts w:ascii="Calibri" w:hAnsi="Calibri" w:cs="Calibri"/>
              </w:rPr>
            </w:pPr>
            <w:r w:rsidRPr="00D73A51">
              <w:rPr>
                <w:rFonts w:ascii="Calibri" w:hAnsi="Calibri" w:cs="Calibri"/>
              </w:rPr>
              <w:t xml:space="preserve">Conception et fabrication de réservoirs en acier à fond plat, verticaux, cylindriques, construits sur site, destinés au stockage des gaz réfrigérés, liquéfiés, dont les températures de service sont comprises entre 0 °C et – 165 °C - Partie 2 : Constituants métalliques </w:t>
            </w:r>
          </w:p>
        </w:tc>
      </w:tr>
      <w:tr w:rsidR="00D76221" w:rsidRPr="00D73A51" w:rsidTr="00D73A51">
        <w:trPr>
          <w:trHeight w:val="629"/>
          <w:jc w:val="center"/>
        </w:trPr>
        <w:tc>
          <w:tcPr>
            <w:tcW w:w="1838" w:type="dxa"/>
            <w:tcBorders>
              <w:top w:val="single" w:sz="4" w:space="0" w:color="auto"/>
              <w:bottom w:val="single" w:sz="18" w:space="0" w:color="auto"/>
              <w:right w:val="single" w:sz="4" w:space="0" w:color="auto"/>
            </w:tcBorders>
            <w:shd w:val="clear" w:color="000000" w:fill="D9D9D9"/>
            <w:vAlign w:val="center"/>
          </w:tcPr>
          <w:p w:rsidR="00D76221" w:rsidRDefault="00D76221" w:rsidP="00D73A51">
            <w:pPr>
              <w:spacing w:after="0" w:line="240" w:lineRule="auto"/>
              <w:jc w:val="center"/>
              <w:rPr>
                <w:rFonts w:ascii="Calibri" w:hAnsi="Calibri" w:cs="Calibri"/>
                <w:b/>
                <w:bCs/>
              </w:rPr>
            </w:pPr>
            <w:r>
              <w:rPr>
                <w:rFonts w:ascii="Calibri" w:hAnsi="Calibri" w:cs="Calibri"/>
                <w:b/>
                <w:bCs/>
              </w:rPr>
              <w:t xml:space="preserve">Domaine d’application </w:t>
            </w:r>
          </w:p>
        </w:tc>
        <w:tc>
          <w:tcPr>
            <w:tcW w:w="7938" w:type="dxa"/>
            <w:tcBorders>
              <w:top w:val="single" w:sz="4" w:space="0" w:color="auto"/>
              <w:left w:val="single" w:sz="4" w:space="0" w:color="auto"/>
              <w:bottom w:val="single" w:sz="18" w:space="0" w:color="auto"/>
            </w:tcBorders>
            <w:shd w:val="clear" w:color="auto" w:fill="auto"/>
          </w:tcPr>
          <w:p w:rsidR="00D73A51" w:rsidRDefault="00D76221" w:rsidP="00D73A51">
            <w:pPr>
              <w:spacing w:after="0" w:line="240" w:lineRule="auto"/>
              <w:jc w:val="both"/>
              <w:rPr>
                <w:rFonts w:ascii="Calibri" w:hAnsi="Calibri" w:cs="Calibri"/>
              </w:rPr>
            </w:pPr>
            <w:r w:rsidRPr="00D73A51">
              <w:rPr>
                <w:rFonts w:ascii="Calibri" w:hAnsi="Calibri" w:cs="Calibri"/>
              </w:rPr>
              <w:t>La présente Norme européenne spécifie les exigences générales relatives aux matériaux, à la conception, à la construction et à l’installation des constituants métalliques de réservoirs de stockage de gaz réfrigérés liquéfiés.</w:t>
            </w:r>
          </w:p>
          <w:p w:rsidR="00D76221" w:rsidRPr="00D73A51" w:rsidRDefault="00D76221" w:rsidP="00D73A51">
            <w:pPr>
              <w:spacing w:after="0" w:line="240" w:lineRule="auto"/>
              <w:jc w:val="both"/>
              <w:rPr>
                <w:rFonts w:ascii="Calibri" w:hAnsi="Calibri" w:cs="Calibri"/>
              </w:rPr>
            </w:pPr>
            <w:r w:rsidRPr="00D73A51">
              <w:rPr>
                <w:rFonts w:ascii="Calibri" w:hAnsi="Calibri" w:cs="Calibri"/>
              </w:rPr>
              <w:t>La présente Norme européenne traite de la conception et de la fabrication de réservoirs en acier à fond plat, verticaux, cylindriques, construits sur site, destinés au stockage de gaz réfrigérés, liquéfiés, dont les températures de service sont comprises entre 0 °C et – 165 °C.</w:t>
            </w:r>
          </w:p>
        </w:tc>
      </w:tr>
      <w:tr w:rsidR="0043547B" w:rsidRPr="0043547B" w:rsidTr="00D73A51">
        <w:trPr>
          <w:trHeight w:val="364"/>
          <w:jc w:val="center"/>
        </w:trPr>
        <w:tc>
          <w:tcPr>
            <w:tcW w:w="1838" w:type="dxa"/>
            <w:tcBorders>
              <w:bottom w:val="single" w:sz="18" w:space="0" w:color="auto"/>
              <w:right w:val="single" w:sz="4" w:space="0" w:color="auto"/>
            </w:tcBorders>
            <w:shd w:val="clear" w:color="auto" w:fill="ACC777"/>
            <w:vAlign w:val="center"/>
          </w:tcPr>
          <w:p w:rsidR="00E90383" w:rsidRPr="0043547B" w:rsidRDefault="00E90383" w:rsidP="00F422A4">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left w:val="single" w:sz="4" w:space="0" w:color="auto"/>
              <w:bottom w:val="single" w:sz="18" w:space="0" w:color="auto"/>
            </w:tcBorders>
            <w:shd w:val="clear" w:color="auto" w:fill="ACC777"/>
            <w:vAlign w:val="center"/>
          </w:tcPr>
          <w:p w:rsidR="00E90383" w:rsidRPr="0043547B" w:rsidRDefault="00E90383" w:rsidP="00F422A4">
            <w:pPr>
              <w:spacing w:after="0" w:line="240" w:lineRule="auto"/>
              <w:jc w:val="center"/>
              <w:rPr>
                <w:rFonts w:cstheme="minorHAnsi"/>
                <w:b/>
                <w:bCs/>
                <w:sz w:val="24"/>
                <w:szCs w:val="24"/>
              </w:rPr>
            </w:pPr>
            <w:r w:rsidRPr="0043547B">
              <w:rPr>
                <w:rFonts w:cstheme="minorHAnsi"/>
                <w:b/>
                <w:bCs/>
                <w:sz w:val="24"/>
                <w:szCs w:val="24"/>
              </w:rPr>
              <w:t>NM EN 12811-2</w:t>
            </w:r>
          </w:p>
        </w:tc>
      </w:tr>
      <w:tr w:rsidR="0043547B" w:rsidRPr="0043547B" w:rsidTr="00D73A51">
        <w:trPr>
          <w:trHeight w:val="384"/>
          <w:jc w:val="center"/>
        </w:trPr>
        <w:tc>
          <w:tcPr>
            <w:tcW w:w="1838" w:type="dxa"/>
            <w:tcBorders>
              <w:top w:val="single" w:sz="18" w:space="0" w:color="auto"/>
              <w:bottom w:val="single" w:sz="4" w:space="0" w:color="auto"/>
              <w:right w:val="single" w:sz="4" w:space="0" w:color="auto"/>
            </w:tcBorders>
            <w:shd w:val="clear" w:color="auto" w:fill="FFFF99"/>
            <w:vAlign w:val="center"/>
          </w:tcPr>
          <w:p w:rsidR="00E90383" w:rsidRPr="0043547B" w:rsidRDefault="00E90383" w:rsidP="00F422A4">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tcBorders>
            <w:shd w:val="clear" w:color="auto" w:fill="FFFF99"/>
            <w:vAlign w:val="center"/>
          </w:tcPr>
          <w:p w:rsidR="00E90383" w:rsidRPr="0043547B" w:rsidRDefault="00E90383" w:rsidP="00F422A4">
            <w:pPr>
              <w:spacing w:after="0" w:line="240" w:lineRule="auto"/>
              <w:jc w:val="center"/>
              <w:rPr>
                <w:rFonts w:cstheme="minorHAnsi"/>
                <w:b/>
                <w:bCs/>
                <w:sz w:val="24"/>
                <w:szCs w:val="24"/>
              </w:rPr>
            </w:pPr>
            <w:r w:rsidRPr="0043547B">
              <w:rPr>
                <w:rFonts w:cstheme="minorHAnsi"/>
                <w:b/>
                <w:bCs/>
                <w:sz w:val="24"/>
                <w:szCs w:val="24"/>
              </w:rPr>
              <w:t>EN 12811-2</w:t>
            </w:r>
          </w:p>
        </w:tc>
      </w:tr>
      <w:tr w:rsidR="0043547B" w:rsidRPr="0043547B" w:rsidTr="00D73A51">
        <w:trPr>
          <w:trHeight w:val="629"/>
          <w:jc w:val="center"/>
        </w:trPr>
        <w:tc>
          <w:tcPr>
            <w:tcW w:w="1838" w:type="dxa"/>
            <w:tcBorders>
              <w:top w:val="single" w:sz="4" w:space="0" w:color="auto"/>
              <w:bottom w:val="single" w:sz="4" w:space="0" w:color="auto"/>
              <w:right w:val="single" w:sz="4" w:space="0" w:color="auto"/>
            </w:tcBorders>
            <w:shd w:val="clear" w:color="auto" w:fill="8DB3E2" w:themeFill="text2" w:themeFillTint="66"/>
            <w:vAlign w:val="center"/>
          </w:tcPr>
          <w:p w:rsidR="00E90383" w:rsidRPr="0043547B" w:rsidRDefault="00E90383" w:rsidP="00F422A4">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tcBorders>
            <w:shd w:val="clear" w:color="auto" w:fill="auto"/>
            <w:vAlign w:val="bottom"/>
          </w:tcPr>
          <w:p w:rsidR="00E90383" w:rsidRPr="0043547B" w:rsidRDefault="00E90383" w:rsidP="00F422A4">
            <w:pPr>
              <w:spacing w:after="0" w:line="240" w:lineRule="auto"/>
              <w:jc w:val="both"/>
              <w:rPr>
                <w:rFonts w:cstheme="minorHAnsi"/>
                <w:sz w:val="24"/>
                <w:szCs w:val="24"/>
              </w:rPr>
            </w:pPr>
            <w:r w:rsidRPr="0043547B">
              <w:rPr>
                <w:rFonts w:cstheme="minorHAnsi"/>
                <w:sz w:val="24"/>
                <w:szCs w:val="24"/>
              </w:rPr>
              <w:t>Équipements temporaires de chantiers - Partie 2 : Informations concernant les matériaux </w:t>
            </w:r>
          </w:p>
        </w:tc>
      </w:tr>
      <w:tr w:rsidR="0043547B" w:rsidRPr="0043547B" w:rsidTr="00CB5DC0">
        <w:trPr>
          <w:trHeight w:val="629"/>
          <w:jc w:val="center"/>
        </w:trPr>
        <w:tc>
          <w:tcPr>
            <w:tcW w:w="1838" w:type="dxa"/>
            <w:tcBorders>
              <w:top w:val="single" w:sz="4" w:space="0" w:color="auto"/>
              <w:bottom w:val="single" w:sz="18" w:space="0" w:color="auto"/>
              <w:right w:val="single" w:sz="4" w:space="0" w:color="auto"/>
            </w:tcBorders>
            <w:shd w:val="clear" w:color="000000" w:fill="D9D9D9"/>
            <w:vAlign w:val="center"/>
          </w:tcPr>
          <w:p w:rsidR="00E90383" w:rsidRPr="0043547B" w:rsidRDefault="00E90383" w:rsidP="00F422A4">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tcBorders>
            <w:shd w:val="clear" w:color="auto" w:fill="auto"/>
            <w:vAlign w:val="bottom"/>
          </w:tcPr>
          <w:p w:rsidR="00F422A4" w:rsidRPr="0043547B" w:rsidRDefault="00E90383" w:rsidP="00F422A4">
            <w:pPr>
              <w:spacing w:after="0" w:line="240" w:lineRule="auto"/>
              <w:jc w:val="both"/>
              <w:rPr>
                <w:rFonts w:cstheme="minorHAnsi"/>
                <w:sz w:val="24"/>
                <w:szCs w:val="24"/>
              </w:rPr>
            </w:pPr>
            <w:r w:rsidRPr="0043547B">
              <w:rPr>
                <w:rFonts w:cstheme="minorHAnsi"/>
                <w:sz w:val="24"/>
                <w:szCs w:val="24"/>
              </w:rPr>
              <w:t>Cette Norme européenne fournit des indications pour rechercher des informations sur les matériaux souvent utilisés</w:t>
            </w:r>
            <w:r w:rsidR="00F422A4" w:rsidRPr="0043547B">
              <w:rPr>
                <w:rFonts w:cstheme="minorHAnsi"/>
                <w:sz w:val="24"/>
                <w:szCs w:val="24"/>
              </w:rPr>
              <w:t xml:space="preserve"> </w:t>
            </w:r>
            <w:r w:rsidRPr="0043547B">
              <w:rPr>
                <w:rFonts w:cstheme="minorHAnsi"/>
                <w:sz w:val="24"/>
                <w:szCs w:val="24"/>
              </w:rPr>
              <w:t>dans les travaux temporaires. Elle attire l’attention sur un certain nombre de points qu’un concepteur doit</w:t>
            </w:r>
            <w:r w:rsidR="00F422A4" w:rsidRPr="0043547B">
              <w:rPr>
                <w:rFonts w:cstheme="minorHAnsi"/>
                <w:sz w:val="24"/>
                <w:szCs w:val="24"/>
              </w:rPr>
              <w:t xml:space="preserve"> </w:t>
            </w:r>
            <w:r w:rsidRPr="0043547B">
              <w:rPr>
                <w:rFonts w:cstheme="minorHAnsi"/>
                <w:sz w:val="24"/>
                <w:szCs w:val="24"/>
              </w:rPr>
              <w:t>prendre en compte.</w:t>
            </w:r>
          </w:p>
          <w:p w:rsidR="00F422A4" w:rsidRPr="0043547B" w:rsidRDefault="00E90383" w:rsidP="00F422A4">
            <w:pPr>
              <w:spacing w:after="0" w:line="240" w:lineRule="auto"/>
              <w:jc w:val="both"/>
              <w:rPr>
                <w:rFonts w:cstheme="minorHAnsi"/>
                <w:sz w:val="24"/>
                <w:szCs w:val="24"/>
              </w:rPr>
            </w:pPr>
            <w:r w:rsidRPr="0043547B">
              <w:rPr>
                <w:rFonts w:cstheme="minorHAnsi"/>
                <w:sz w:val="24"/>
                <w:szCs w:val="24"/>
              </w:rPr>
              <w:t>L’information donnée se limite aux matériaux couramment utilisés, acier, alliages d’aluminium, fonte, bois et à</w:t>
            </w:r>
            <w:r w:rsidR="00F422A4" w:rsidRPr="0043547B">
              <w:rPr>
                <w:rFonts w:cstheme="minorHAnsi"/>
                <w:sz w:val="24"/>
                <w:szCs w:val="24"/>
              </w:rPr>
              <w:t xml:space="preserve"> </w:t>
            </w:r>
            <w:r w:rsidRPr="0043547B">
              <w:rPr>
                <w:rFonts w:cstheme="minorHAnsi"/>
                <w:sz w:val="24"/>
                <w:szCs w:val="24"/>
              </w:rPr>
              <w:t>base de bois.</w:t>
            </w:r>
          </w:p>
          <w:p w:rsidR="00F422A4" w:rsidRPr="0043547B" w:rsidRDefault="00E90383" w:rsidP="00F422A4">
            <w:pPr>
              <w:spacing w:after="0" w:line="240" w:lineRule="auto"/>
              <w:jc w:val="both"/>
              <w:rPr>
                <w:rFonts w:cstheme="minorHAnsi"/>
                <w:sz w:val="24"/>
                <w:szCs w:val="24"/>
              </w:rPr>
            </w:pPr>
            <w:r w:rsidRPr="0043547B">
              <w:rPr>
                <w:rFonts w:cstheme="minorHAnsi"/>
                <w:sz w:val="24"/>
                <w:szCs w:val="24"/>
              </w:rPr>
              <w:t>Il couvre aussi les exigences relatives au soudage, à la protection contre la corrosion et d’autres détériorations.</w:t>
            </w:r>
          </w:p>
          <w:p w:rsidR="00E90383" w:rsidRPr="0043547B" w:rsidRDefault="00E90383" w:rsidP="00F422A4">
            <w:pPr>
              <w:spacing w:after="0" w:line="240" w:lineRule="auto"/>
              <w:jc w:val="both"/>
              <w:rPr>
                <w:rFonts w:cstheme="minorHAnsi"/>
                <w:sz w:val="24"/>
                <w:szCs w:val="24"/>
              </w:rPr>
            </w:pPr>
            <w:r w:rsidRPr="0043547B">
              <w:rPr>
                <w:rFonts w:cstheme="minorHAnsi"/>
                <w:sz w:val="24"/>
                <w:szCs w:val="24"/>
              </w:rPr>
              <w:t>Il se limite aux types et aux qualités de matériaux répertoriés dans les normes citées, qui sont des Normes ISO</w:t>
            </w:r>
            <w:r w:rsidR="00F422A4" w:rsidRPr="0043547B">
              <w:rPr>
                <w:rFonts w:cstheme="minorHAnsi"/>
                <w:sz w:val="24"/>
                <w:szCs w:val="24"/>
              </w:rPr>
              <w:t xml:space="preserve"> </w:t>
            </w:r>
            <w:r w:rsidRPr="0043547B">
              <w:rPr>
                <w:rFonts w:cstheme="minorHAnsi"/>
                <w:sz w:val="24"/>
                <w:szCs w:val="24"/>
              </w:rPr>
              <w:t>ou EN.</w:t>
            </w:r>
          </w:p>
        </w:tc>
      </w:tr>
      <w:tr w:rsidR="0043547B" w:rsidRPr="0043547B" w:rsidTr="00CB5DC0">
        <w:trPr>
          <w:trHeight w:val="434"/>
          <w:jc w:val="center"/>
        </w:trPr>
        <w:tc>
          <w:tcPr>
            <w:tcW w:w="1838" w:type="dxa"/>
            <w:tcBorders>
              <w:bottom w:val="single" w:sz="18" w:space="0" w:color="auto"/>
              <w:right w:val="single" w:sz="4" w:space="0" w:color="auto"/>
            </w:tcBorders>
            <w:shd w:val="clear" w:color="auto" w:fill="ACC777"/>
            <w:vAlign w:val="center"/>
          </w:tcPr>
          <w:p w:rsidR="00E90383" w:rsidRPr="0043547B" w:rsidRDefault="00E90383" w:rsidP="00F422A4">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left w:val="single" w:sz="4" w:space="0" w:color="auto"/>
              <w:bottom w:val="single" w:sz="18" w:space="0" w:color="auto"/>
            </w:tcBorders>
            <w:shd w:val="clear" w:color="auto" w:fill="ACC777"/>
            <w:vAlign w:val="center"/>
          </w:tcPr>
          <w:p w:rsidR="00E90383" w:rsidRPr="0043547B" w:rsidRDefault="00E90383" w:rsidP="00F422A4">
            <w:pPr>
              <w:spacing w:after="0" w:line="240" w:lineRule="auto"/>
              <w:jc w:val="center"/>
              <w:rPr>
                <w:rFonts w:cstheme="minorHAnsi"/>
                <w:b/>
                <w:bCs/>
                <w:sz w:val="24"/>
                <w:szCs w:val="24"/>
              </w:rPr>
            </w:pPr>
            <w:r w:rsidRPr="0043547B">
              <w:rPr>
                <w:rFonts w:cstheme="minorHAnsi"/>
                <w:b/>
                <w:bCs/>
                <w:sz w:val="24"/>
                <w:szCs w:val="24"/>
              </w:rPr>
              <w:t>NM EN 12811-3</w:t>
            </w:r>
          </w:p>
        </w:tc>
      </w:tr>
      <w:tr w:rsidR="0043547B" w:rsidRPr="0043547B" w:rsidTr="00CB5DC0">
        <w:trPr>
          <w:trHeight w:val="370"/>
          <w:jc w:val="center"/>
        </w:trPr>
        <w:tc>
          <w:tcPr>
            <w:tcW w:w="1838" w:type="dxa"/>
            <w:tcBorders>
              <w:top w:val="single" w:sz="18" w:space="0" w:color="auto"/>
              <w:bottom w:val="single" w:sz="4" w:space="0" w:color="auto"/>
              <w:right w:val="single" w:sz="4" w:space="0" w:color="auto"/>
            </w:tcBorders>
            <w:shd w:val="clear" w:color="auto" w:fill="FFFF99"/>
            <w:vAlign w:val="center"/>
          </w:tcPr>
          <w:p w:rsidR="00E90383" w:rsidRPr="0043547B" w:rsidRDefault="00E90383" w:rsidP="00F422A4">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tcBorders>
            <w:shd w:val="clear" w:color="auto" w:fill="FFFF99"/>
            <w:vAlign w:val="center"/>
          </w:tcPr>
          <w:p w:rsidR="00E90383" w:rsidRPr="0043547B" w:rsidRDefault="00E90383" w:rsidP="00F422A4">
            <w:pPr>
              <w:spacing w:after="0" w:line="240" w:lineRule="auto"/>
              <w:jc w:val="center"/>
              <w:rPr>
                <w:rFonts w:cstheme="minorHAnsi"/>
                <w:b/>
                <w:bCs/>
                <w:sz w:val="24"/>
                <w:szCs w:val="24"/>
              </w:rPr>
            </w:pPr>
            <w:r w:rsidRPr="0043547B">
              <w:rPr>
                <w:rFonts w:cstheme="minorHAnsi"/>
                <w:b/>
                <w:bCs/>
                <w:sz w:val="24"/>
                <w:szCs w:val="24"/>
              </w:rPr>
              <w:t>EN 12811-3</w:t>
            </w:r>
          </w:p>
        </w:tc>
      </w:tr>
      <w:tr w:rsidR="0043547B" w:rsidRPr="0043547B" w:rsidTr="00CB5DC0">
        <w:trPr>
          <w:trHeight w:val="308"/>
          <w:jc w:val="center"/>
        </w:trPr>
        <w:tc>
          <w:tcPr>
            <w:tcW w:w="1838" w:type="dxa"/>
            <w:tcBorders>
              <w:top w:val="single" w:sz="4" w:space="0" w:color="auto"/>
              <w:bottom w:val="single" w:sz="4" w:space="0" w:color="auto"/>
              <w:right w:val="single" w:sz="4" w:space="0" w:color="auto"/>
            </w:tcBorders>
            <w:shd w:val="clear" w:color="auto" w:fill="8DB3E2" w:themeFill="text2" w:themeFillTint="66"/>
            <w:vAlign w:val="center"/>
          </w:tcPr>
          <w:p w:rsidR="00E90383" w:rsidRPr="0043547B" w:rsidRDefault="00E90383" w:rsidP="00A12AD2">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tcBorders>
            <w:shd w:val="clear" w:color="auto" w:fill="auto"/>
            <w:vAlign w:val="bottom"/>
          </w:tcPr>
          <w:p w:rsidR="00E90383" w:rsidRPr="0043547B" w:rsidRDefault="00E90383" w:rsidP="00A12AD2">
            <w:pPr>
              <w:spacing w:after="0" w:line="240" w:lineRule="auto"/>
              <w:jc w:val="both"/>
              <w:rPr>
                <w:rFonts w:cstheme="minorHAnsi"/>
                <w:sz w:val="24"/>
                <w:szCs w:val="24"/>
              </w:rPr>
            </w:pPr>
            <w:r w:rsidRPr="0043547B">
              <w:rPr>
                <w:rFonts w:cstheme="minorHAnsi"/>
                <w:sz w:val="24"/>
                <w:szCs w:val="24"/>
              </w:rPr>
              <w:t>Équipements temporaires de chantiers - Partie 3 : Essais de charges </w:t>
            </w:r>
          </w:p>
        </w:tc>
      </w:tr>
      <w:tr w:rsidR="0043547B" w:rsidRPr="0043547B" w:rsidTr="00CB5DC0">
        <w:trPr>
          <w:trHeight w:val="881"/>
          <w:jc w:val="center"/>
        </w:trPr>
        <w:tc>
          <w:tcPr>
            <w:tcW w:w="1838" w:type="dxa"/>
            <w:tcBorders>
              <w:top w:val="single" w:sz="4" w:space="0" w:color="auto"/>
              <w:bottom w:val="single" w:sz="18" w:space="0" w:color="auto"/>
              <w:right w:val="single" w:sz="4" w:space="0" w:color="auto"/>
            </w:tcBorders>
            <w:shd w:val="clear" w:color="000000" w:fill="D9D9D9"/>
            <w:vAlign w:val="center"/>
          </w:tcPr>
          <w:p w:rsidR="00E90383" w:rsidRPr="0043547B" w:rsidRDefault="00E90383" w:rsidP="00A12AD2">
            <w:pPr>
              <w:spacing w:after="0" w:line="240" w:lineRule="auto"/>
              <w:jc w:val="center"/>
              <w:rPr>
                <w:rFonts w:cstheme="minorHAnsi"/>
                <w:b/>
                <w:bCs/>
                <w:sz w:val="24"/>
                <w:szCs w:val="24"/>
              </w:rPr>
            </w:pPr>
            <w:r w:rsidRPr="0043547B">
              <w:rPr>
                <w:rFonts w:cstheme="minorHAnsi"/>
                <w:b/>
                <w:bCs/>
                <w:sz w:val="24"/>
                <w:szCs w:val="24"/>
              </w:rPr>
              <w:lastRenderedPageBreak/>
              <w:t>Domaine d’application :</w:t>
            </w:r>
          </w:p>
        </w:tc>
        <w:tc>
          <w:tcPr>
            <w:tcW w:w="7938" w:type="dxa"/>
            <w:tcBorders>
              <w:top w:val="single" w:sz="4" w:space="0" w:color="auto"/>
              <w:left w:val="single" w:sz="4" w:space="0" w:color="auto"/>
              <w:bottom w:val="single" w:sz="18" w:space="0" w:color="auto"/>
            </w:tcBorders>
            <w:shd w:val="clear" w:color="auto" w:fill="auto"/>
            <w:vAlign w:val="bottom"/>
          </w:tcPr>
          <w:p w:rsidR="00E90383" w:rsidRPr="0043547B" w:rsidRDefault="00E90383" w:rsidP="00A12AD2">
            <w:pPr>
              <w:spacing w:after="0" w:line="240" w:lineRule="auto"/>
              <w:jc w:val="both"/>
              <w:rPr>
                <w:rFonts w:cstheme="minorHAnsi"/>
                <w:sz w:val="24"/>
                <w:szCs w:val="24"/>
              </w:rPr>
            </w:pPr>
            <w:r w:rsidRPr="0043547B">
              <w:rPr>
                <w:rFonts w:cstheme="minorHAnsi"/>
                <w:sz w:val="24"/>
                <w:szCs w:val="24"/>
              </w:rPr>
              <w:t>Cette Norme européenne précise les règles à appliquer pour les essais de charge effectués sur les équipements</w:t>
            </w:r>
            <w:r w:rsidR="00A12AD2" w:rsidRPr="0043547B">
              <w:rPr>
                <w:rFonts w:cstheme="minorHAnsi"/>
                <w:sz w:val="24"/>
                <w:szCs w:val="24"/>
              </w:rPr>
              <w:t xml:space="preserve"> </w:t>
            </w:r>
            <w:r w:rsidRPr="0043547B">
              <w:rPr>
                <w:rFonts w:cstheme="minorHAnsi"/>
                <w:sz w:val="24"/>
                <w:szCs w:val="24"/>
              </w:rPr>
              <w:t>temporaires de chantier de nature non-mécanique, ainsi que pour la documentation et l'évaluation des résultats</w:t>
            </w:r>
            <w:r w:rsidR="00A12AD2" w:rsidRPr="0043547B">
              <w:rPr>
                <w:rFonts w:cstheme="minorHAnsi"/>
                <w:sz w:val="24"/>
                <w:szCs w:val="24"/>
              </w:rPr>
              <w:t xml:space="preserve"> </w:t>
            </w:r>
            <w:r w:rsidRPr="0043547B">
              <w:rPr>
                <w:rFonts w:cstheme="minorHAnsi"/>
                <w:sz w:val="24"/>
                <w:szCs w:val="24"/>
              </w:rPr>
              <w:t>de ces essais.</w:t>
            </w:r>
          </w:p>
        </w:tc>
      </w:tr>
      <w:tr w:rsidR="0043547B" w:rsidRPr="0043547B" w:rsidTr="00CB5DC0">
        <w:trPr>
          <w:trHeight w:val="310"/>
          <w:jc w:val="center"/>
        </w:trPr>
        <w:tc>
          <w:tcPr>
            <w:tcW w:w="1838" w:type="dxa"/>
            <w:tcBorders>
              <w:bottom w:val="single" w:sz="18" w:space="0" w:color="auto"/>
              <w:right w:val="single" w:sz="4" w:space="0" w:color="auto"/>
            </w:tcBorders>
            <w:shd w:val="clear" w:color="auto" w:fill="ACC777"/>
            <w:vAlign w:val="center"/>
          </w:tcPr>
          <w:p w:rsidR="00E90383" w:rsidRPr="0043547B" w:rsidRDefault="00E90383" w:rsidP="00A12AD2">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left w:val="single" w:sz="4" w:space="0" w:color="auto"/>
              <w:bottom w:val="single" w:sz="18" w:space="0" w:color="auto"/>
            </w:tcBorders>
            <w:shd w:val="clear" w:color="auto" w:fill="ACC777"/>
            <w:vAlign w:val="center"/>
          </w:tcPr>
          <w:p w:rsidR="00E90383" w:rsidRPr="0043547B" w:rsidRDefault="00E90383" w:rsidP="00A12AD2">
            <w:pPr>
              <w:spacing w:after="0" w:line="240" w:lineRule="auto"/>
              <w:jc w:val="center"/>
              <w:rPr>
                <w:rFonts w:cstheme="minorHAnsi"/>
                <w:b/>
                <w:bCs/>
                <w:sz w:val="24"/>
                <w:szCs w:val="24"/>
              </w:rPr>
            </w:pPr>
            <w:r w:rsidRPr="0043547B">
              <w:rPr>
                <w:rFonts w:cstheme="minorHAnsi"/>
                <w:b/>
                <w:bCs/>
                <w:sz w:val="24"/>
                <w:szCs w:val="24"/>
              </w:rPr>
              <w:t>NM EN 1004</w:t>
            </w:r>
          </w:p>
        </w:tc>
      </w:tr>
      <w:tr w:rsidR="0043547B" w:rsidRPr="0043547B" w:rsidTr="00CB5DC0">
        <w:trPr>
          <w:trHeight w:val="374"/>
          <w:jc w:val="center"/>
        </w:trPr>
        <w:tc>
          <w:tcPr>
            <w:tcW w:w="1838" w:type="dxa"/>
            <w:tcBorders>
              <w:top w:val="single" w:sz="18" w:space="0" w:color="auto"/>
              <w:bottom w:val="single" w:sz="4" w:space="0" w:color="auto"/>
              <w:right w:val="single" w:sz="4" w:space="0" w:color="auto"/>
            </w:tcBorders>
            <w:shd w:val="clear" w:color="auto" w:fill="FFFF99"/>
            <w:vAlign w:val="center"/>
          </w:tcPr>
          <w:p w:rsidR="00E90383" w:rsidRPr="0043547B" w:rsidRDefault="00E90383" w:rsidP="003F5DCB">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tcBorders>
            <w:shd w:val="clear" w:color="auto" w:fill="FFFF99"/>
            <w:vAlign w:val="center"/>
          </w:tcPr>
          <w:p w:rsidR="00E90383" w:rsidRPr="0043547B" w:rsidRDefault="00E90383" w:rsidP="003F5DCB">
            <w:pPr>
              <w:spacing w:after="0" w:line="240" w:lineRule="auto"/>
              <w:jc w:val="center"/>
              <w:rPr>
                <w:rFonts w:cstheme="minorHAnsi"/>
                <w:b/>
                <w:bCs/>
                <w:sz w:val="24"/>
                <w:szCs w:val="24"/>
              </w:rPr>
            </w:pPr>
            <w:r w:rsidRPr="0043547B">
              <w:rPr>
                <w:rFonts w:cstheme="minorHAnsi"/>
                <w:b/>
                <w:bCs/>
                <w:sz w:val="24"/>
                <w:szCs w:val="24"/>
              </w:rPr>
              <w:t>EN 1004</w:t>
            </w:r>
          </w:p>
        </w:tc>
      </w:tr>
      <w:tr w:rsidR="0043547B" w:rsidRPr="0043547B" w:rsidTr="00CB5DC0">
        <w:trPr>
          <w:trHeight w:val="629"/>
          <w:jc w:val="center"/>
        </w:trPr>
        <w:tc>
          <w:tcPr>
            <w:tcW w:w="1838" w:type="dxa"/>
            <w:tcBorders>
              <w:top w:val="single" w:sz="4" w:space="0" w:color="auto"/>
              <w:bottom w:val="single" w:sz="4" w:space="0" w:color="auto"/>
              <w:right w:val="single" w:sz="4" w:space="0" w:color="auto"/>
            </w:tcBorders>
            <w:shd w:val="clear" w:color="auto" w:fill="8DB3E2" w:themeFill="text2" w:themeFillTint="66"/>
            <w:vAlign w:val="center"/>
          </w:tcPr>
          <w:p w:rsidR="00E90383" w:rsidRPr="0043547B" w:rsidRDefault="00E90383" w:rsidP="003F5DCB">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tcBorders>
            <w:shd w:val="clear" w:color="auto" w:fill="auto"/>
            <w:vAlign w:val="bottom"/>
          </w:tcPr>
          <w:p w:rsidR="00E90383" w:rsidRPr="0043547B" w:rsidRDefault="00E90383" w:rsidP="003F5DCB">
            <w:pPr>
              <w:spacing w:after="0" w:line="240" w:lineRule="auto"/>
              <w:jc w:val="both"/>
              <w:rPr>
                <w:rFonts w:cstheme="minorHAnsi"/>
                <w:sz w:val="24"/>
                <w:szCs w:val="24"/>
              </w:rPr>
            </w:pPr>
            <w:r w:rsidRPr="0043547B">
              <w:rPr>
                <w:rFonts w:cstheme="minorHAnsi"/>
                <w:sz w:val="24"/>
                <w:szCs w:val="24"/>
              </w:rPr>
              <w:t>Échafaudages roulants de service en éléments préfabriqués - Matériaux, dimensions, charges de calcul et exigences de sécurité </w:t>
            </w:r>
          </w:p>
        </w:tc>
      </w:tr>
      <w:tr w:rsidR="0043547B" w:rsidRPr="0043547B" w:rsidTr="00CB5DC0">
        <w:trPr>
          <w:trHeight w:val="629"/>
          <w:jc w:val="center"/>
        </w:trPr>
        <w:tc>
          <w:tcPr>
            <w:tcW w:w="1838" w:type="dxa"/>
            <w:tcBorders>
              <w:top w:val="single" w:sz="4" w:space="0" w:color="auto"/>
              <w:bottom w:val="single" w:sz="18" w:space="0" w:color="auto"/>
              <w:right w:val="single" w:sz="4" w:space="0" w:color="auto"/>
            </w:tcBorders>
            <w:shd w:val="clear" w:color="000000" w:fill="D9D9D9"/>
            <w:vAlign w:val="center"/>
          </w:tcPr>
          <w:p w:rsidR="00E90383" w:rsidRPr="0043547B" w:rsidRDefault="00E90383" w:rsidP="003F5DCB">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tcBorders>
            <w:shd w:val="clear" w:color="auto" w:fill="auto"/>
            <w:vAlign w:val="bottom"/>
          </w:tcPr>
          <w:p w:rsidR="003F5DCB" w:rsidRPr="0043547B" w:rsidRDefault="00E90383" w:rsidP="003F5DCB">
            <w:pPr>
              <w:spacing w:after="0" w:line="240" w:lineRule="auto"/>
              <w:jc w:val="both"/>
              <w:rPr>
                <w:rFonts w:cstheme="minorHAnsi"/>
                <w:sz w:val="24"/>
                <w:szCs w:val="24"/>
              </w:rPr>
            </w:pPr>
            <w:r w:rsidRPr="0043547B">
              <w:rPr>
                <w:rFonts w:cstheme="minorHAnsi"/>
                <w:sz w:val="24"/>
                <w:szCs w:val="24"/>
              </w:rPr>
              <w:t>Ce document porte sur la conception des échafaudages roulants de service constitués d'éléments préfabriqués</w:t>
            </w:r>
            <w:r w:rsidR="003F5DCB" w:rsidRPr="0043547B">
              <w:rPr>
                <w:rFonts w:cstheme="minorHAnsi"/>
                <w:sz w:val="24"/>
                <w:szCs w:val="24"/>
              </w:rPr>
              <w:t xml:space="preserve"> </w:t>
            </w:r>
            <w:r w:rsidRPr="0043547B">
              <w:rPr>
                <w:rFonts w:cstheme="minorHAnsi"/>
                <w:sz w:val="24"/>
                <w:szCs w:val="24"/>
              </w:rPr>
              <w:t>et présentant une hauteur comprise entre 2,5 m et 12,0 m (pour usage à l'intérieur) et entre 2,5 m et 8,0 m (pour</w:t>
            </w:r>
            <w:r w:rsidR="003F5DCB" w:rsidRPr="0043547B">
              <w:rPr>
                <w:rFonts w:cstheme="minorHAnsi"/>
                <w:sz w:val="24"/>
                <w:szCs w:val="24"/>
              </w:rPr>
              <w:t xml:space="preserve"> </w:t>
            </w:r>
            <w:r w:rsidRPr="0043547B">
              <w:rPr>
                <w:rFonts w:cstheme="minorHAnsi"/>
                <w:sz w:val="24"/>
                <w:szCs w:val="24"/>
              </w:rPr>
              <w:t>usage à l'extérieur).</w:t>
            </w:r>
          </w:p>
          <w:p w:rsidR="003F5DCB" w:rsidRPr="0043547B" w:rsidRDefault="00E90383" w:rsidP="003F5DCB">
            <w:pPr>
              <w:spacing w:after="0" w:line="240" w:lineRule="auto"/>
              <w:jc w:val="both"/>
              <w:rPr>
                <w:rFonts w:cstheme="minorHAnsi"/>
                <w:sz w:val="24"/>
                <w:szCs w:val="24"/>
              </w:rPr>
            </w:pPr>
            <w:r w:rsidRPr="0043547B">
              <w:rPr>
                <w:rFonts w:cstheme="minorHAnsi"/>
                <w:sz w:val="24"/>
                <w:szCs w:val="24"/>
              </w:rPr>
              <w:t>Ce document :</w:t>
            </w:r>
          </w:p>
          <w:p w:rsidR="003F5DCB" w:rsidRPr="0043547B" w:rsidRDefault="00E90383" w:rsidP="003F5DCB">
            <w:pPr>
              <w:spacing w:after="0" w:line="240" w:lineRule="auto"/>
              <w:jc w:val="both"/>
              <w:rPr>
                <w:rFonts w:cstheme="minorHAnsi"/>
                <w:sz w:val="24"/>
                <w:szCs w:val="24"/>
              </w:rPr>
            </w:pPr>
            <w:r w:rsidRPr="0043547B">
              <w:rPr>
                <w:rFonts w:cstheme="minorHAnsi"/>
                <w:sz w:val="24"/>
                <w:szCs w:val="24"/>
              </w:rPr>
              <w:t>— vise à orienter le choix des dimensions principales et des méthodes de stabilisation ;</w:t>
            </w:r>
          </w:p>
          <w:p w:rsidR="003F5DCB" w:rsidRPr="0043547B" w:rsidRDefault="00E90383" w:rsidP="003F5DCB">
            <w:pPr>
              <w:spacing w:after="0" w:line="240" w:lineRule="auto"/>
              <w:jc w:val="both"/>
              <w:rPr>
                <w:rFonts w:cstheme="minorHAnsi"/>
                <w:sz w:val="24"/>
                <w:szCs w:val="24"/>
              </w:rPr>
            </w:pPr>
            <w:r w:rsidRPr="0043547B">
              <w:rPr>
                <w:rFonts w:cstheme="minorHAnsi"/>
                <w:sz w:val="24"/>
                <w:szCs w:val="24"/>
              </w:rPr>
              <w:t>— définit les exigences de sécurité ; de performance et</w:t>
            </w:r>
          </w:p>
          <w:p w:rsidR="00E90383" w:rsidRPr="0043547B" w:rsidRDefault="00E90383" w:rsidP="003F5DCB">
            <w:pPr>
              <w:spacing w:after="0" w:line="240" w:lineRule="auto"/>
              <w:jc w:val="both"/>
              <w:rPr>
                <w:rFonts w:cstheme="minorHAnsi"/>
                <w:sz w:val="24"/>
                <w:szCs w:val="24"/>
              </w:rPr>
            </w:pPr>
            <w:r w:rsidRPr="0043547B">
              <w:rPr>
                <w:rFonts w:cstheme="minorHAnsi"/>
                <w:sz w:val="24"/>
                <w:szCs w:val="24"/>
              </w:rPr>
              <w:t xml:space="preserve">— donne un certain nombre d'informations concernant </w:t>
            </w:r>
            <w:r w:rsidR="003F5DCB" w:rsidRPr="0043547B">
              <w:rPr>
                <w:rFonts w:cstheme="minorHAnsi"/>
                <w:sz w:val="24"/>
                <w:szCs w:val="24"/>
              </w:rPr>
              <w:t>les tours complètes</w:t>
            </w:r>
          </w:p>
        </w:tc>
      </w:tr>
      <w:tr w:rsidR="0043547B" w:rsidRPr="0043547B" w:rsidTr="00CB5DC0">
        <w:trPr>
          <w:trHeight w:val="284"/>
          <w:jc w:val="center"/>
        </w:trPr>
        <w:tc>
          <w:tcPr>
            <w:tcW w:w="1838" w:type="dxa"/>
            <w:tcBorders>
              <w:bottom w:val="single" w:sz="18" w:space="0" w:color="auto"/>
              <w:right w:val="single" w:sz="4" w:space="0" w:color="auto"/>
            </w:tcBorders>
            <w:shd w:val="clear" w:color="auto" w:fill="ACC777"/>
            <w:vAlign w:val="center"/>
          </w:tcPr>
          <w:p w:rsidR="00E90383" w:rsidRPr="0043547B" w:rsidRDefault="00E90383" w:rsidP="003F5DCB">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left w:val="single" w:sz="4" w:space="0" w:color="auto"/>
              <w:bottom w:val="single" w:sz="18" w:space="0" w:color="auto"/>
            </w:tcBorders>
            <w:shd w:val="clear" w:color="auto" w:fill="ACC777"/>
            <w:vAlign w:val="bottom"/>
          </w:tcPr>
          <w:p w:rsidR="00E90383" w:rsidRPr="0043547B" w:rsidRDefault="00E90383" w:rsidP="003F5DCB">
            <w:pPr>
              <w:spacing w:after="0" w:line="240" w:lineRule="auto"/>
              <w:jc w:val="center"/>
              <w:rPr>
                <w:rFonts w:cstheme="minorHAnsi"/>
                <w:b/>
                <w:bCs/>
                <w:sz w:val="24"/>
                <w:szCs w:val="24"/>
              </w:rPr>
            </w:pPr>
            <w:r w:rsidRPr="0043547B">
              <w:rPr>
                <w:rFonts w:cstheme="minorHAnsi"/>
                <w:b/>
                <w:bCs/>
                <w:sz w:val="24"/>
                <w:szCs w:val="24"/>
              </w:rPr>
              <w:t>NM 01.8.606</w:t>
            </w:r>
          </w:p>
        </w:tc>
      </w:tr>
      <w:tr w:rsidR="0043547B" w:rsidRPr="0043547B" w:rsidTr="00CB5DC0">
        <w:trPr>
          <w:trHeight w:val="629"/>
          <w:jc w:val="center"/>
        </w:trPr>
        <w:tc>
          <w:tcPr>
            <w:tcW w:w="1838" w:type="dxa"/>
            <w:tcBorders>
              <w:top w:val="single" w:sz="4" w:space="0" w:color="auto"/>
              <w:bottom w:val="single" w:sz="4" w:space="0" w:color="auto"/>
              <w:right w:val="single" w:sz="4" w:space="0" w:color="auto"/>
            </w:tcBorders>
            <w:shd w:val="clear" w:color="auto" w:fill="8DB3E2" w:themeFill="text2" w:themeFillTint="66"/>
            <w:vAlign w:val="center"/>
          </w:tcPr>
          <w:p w:rsidR="00E90383" w:rsidRPr="0043547B" w:rsidRDefault="00E90383" w:rsidP="003F5DCB">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tcBorders>
            <w:shd w:val="clear" w:color="auto" w:fill="auto"/>
            <w:vAlign w:val="bottom"/>
          </w:tcPr>
          <w:p w:rsidR="00E90383" w:rsidRPr="0043547B" w:rsidRDefault="00E90383" w:rsidP="003F5DCB">
            <w:pPr>
              <w:spacing w:after="0" w:line="240" w:lineRule="auto"/>
              <w:jc w:val="both"/>
              <w:rPr>
                <w:rFonts w:cstheme="minorHAnsi"/>
                <w:sz w:val="24"/>
                <w:szCs w:val="24"/>
              </w:rPr>
            </w:pPr>
            <w:r w:rsidRPr="0043547B">
              <w:rPr>
                <w:rFonts w:cstheme="minorHAnsi"/>
                <w:sz w:val="24"/>
                <w:szCs w:val="24"/>
              </w:rPr>
              <w:t>Équipements de chantier - Plate-forme individuelle roulante - Spécifications, essais et contrôle </w:t>
            </w:r>
          </w:p>
        </w:tc>
      </w:tr>
      <w:tr w:rsidR="0043547B" w:rsidRPr="0043547B" w:rsidTr="00CB5DC0">
        <w:trPr>
          <w:trHeight w:val="629"/>
          <w:jc w:val="center"/>
        </w:trPr>
        <w:tc>
          <w:tcPr>
            <w:tcW w:w="1838" w:type="dxa"/>
            <w:tcBorders>
              <w:top w:val="single" w:sz="4" w:space="0" w:color="auto"/>
              <w:bottom w:val="single" w:sz="18" w:space="0" w:color="auto"/>
              <w:right w:val="single" w:sz="4" w:space="0" w:color="auto"/>
            </w:tcBorders>
            <w:shd w:val="clear" w:color="000000" w:fill="D9D9D9"/>
            <w:vAlign w:val="center"/>
          </w:tcPr>
          <w:p w:rsidR="00E90383" w:rsidRPr="0043547B" w:rsidRDefault="00E90383" w:rsidP="00D953AD">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tcBorders>
            <w:shd w:val="clear" w:color="auto" w:fill="auto"/>
            <w:vAlign w:val="bottom"/>
          </w:tcPr>
          <w:p w:rsidR="003F5DCB" w:rsidRPr="0043547B" w:rsidRDefault="00E90383" w:rsidP="00D953AD">
            <w:pPr>
              <w:spacing w:after="0" w:line="240" w:lineRule="auto"/>
              <w:jc w:val="both"/>
              <w:rPr>
                <w:rFonts w:cstheme="minorHAnsi"/>
                <w:sz w:val="24"/>
                <w:szCs w:val="24"/>
              </w:rPr>
            </w:pPr>
            <w:r w:rsidRPr="0043547B">
              <w:rPr>
                <w:rFonts w:cstheme="minorHAnsi"/>
                <w:sz w:val="24"/>
                <w:szCs w:val="24"/>
              </w:rPr>
              <w:t>Le présent document a pour objet de définir les caractéristiques des plates-formes individuelles roulantes (PIR),</w:t>
            </w:r>
            <w:r w:rsidR="003F5DCB" w:rsidRPr="0043547B">
              <w:rPr>
                <w:rFonts w:cstheme="minorHAnsi"/>
                <w:sz w:val="24"/>
                <w:szCs w:val="24"/>
              </w:rPr>
              <w:t xml:space="preserve"> </w:t>
            </w:r>
            <w:r w:rsidRPr="0043547B">
              <w:rPr>
                <w:rFonts w:cstheme="minorHAnsi"/>
                <w:sz w:val="24"/>
                <w:szCs w:val="24"/>
              </w:rPr>
              <w:t>utilisées en général pour les travaux en hauteur, ainsi que les essais destinés à contrôler leur résistance, leurs</w:t>
            </w:r>
            <w:r w:rsidR="003F5DCB" w:rsidRPr="0043547B">
              <w:rPr>
                <w:rFonts w:cstheme="minorHAnsi"/>
                <w:sz w:val="24"/>
                <w:szCs w:val="24"/>
              </w:rPr>
              <w:t xml:space="preserve"> </w:t>
            </w:r>
            <w:r w:rsidRPr="0043547B">
              <w:rPr>
                <w:rFonts w:cstheme="minorHAnsi"/>
                <w:sz w:val="24"/>
                <w:szCs w:val="24"/>
              </w:rPr>
              <w:t>déformations et leur stabilité.</w:t>
            </w:r>
          </w:p>
          <w:p w:rsidR="003F5DCB" w:rsidRPr="0043547B" w:rsidRDefault="00E90383" w:rsidP="00D953AD">
            <w:pPr>
              <w:spacing w:after="0" w:line="240" w:lineRule="auto"/>
              <w:jc w:val="both"/>
              <w:rPr>
                <w:rFonts w:cstheme="minorHAnsi"/>
                <w:sz w:val="24"/>
                <w:szCs w:val="24"/>
              </w:rPr>
            </w:pPr>
            <w:r w:rsidRPr="0043547B">
              <w:rPr>
                <w:rFonts w:cstheme="minorHAnsi"/>
                <w:sz w:val="24"/>
                <w:szCs w:val="24"/>
              </w:rPr>
              <w:t>Le présent document s'applique aux PIR manutentionnables à la grue et/ou portables utilisées dans les travaux du</w:t>
            </w:r>
            <w:r w:rsidR="003F5DCB" w:rsidRPr="0043547B">
              <w:rPr>
                <w:rFonts w:cstheme="minorHAnsi"/>
                <w:sz w:val="24"/>
                <w:szCs w:val="24"/>
              </w:rPr>
              <w:t xml:space="preserve"> </w:t>
            </w:r>
            <w:r w:rsidRPr="0043547B">
              <w:rPr>
                <w:rFonts w:cstheme="minorHAnsi"/>
                <w:sz w:val="24"/>
                <w:szCs w:val="24"/>
              </w:rPr>
              <w:t>bâtiment par un seul opérateur travaillant sur un plancher à une hauteur maximale de 2,50 m au-dessus du sol.</w:t>
            </w:r>
          </w:p>
          <w:p w:rsidR="003F5DCB" w:rsidRPr="0043547B" w:rsidRDefault="00E90383" w:rsidP="00D953AD">
            <w:pPr>
              <w:spacing w:after="0" w:line="240" w:lineRule="auto"/>
              <w:jc w:val="both"/>
              <w:rPr>
                <w:rFonts w:cstheme="minorHAnsi"/>
                <w:sz w:val="24"/>
                <w:szCs w:val="24"/>
              </w:rPr>
            </w:pPr>
            <w:r w:rsidRPr="0043547B">
              <w:rPr>
                <w:rFonts w:cstheme="minorHAnsi"/>
                <w:sz w:val="24"/>
                <w:szCs w:val="24"/>
              </w:rPr>
              <w:t>Elles possèdent un moyen de déplacement, un moyen d'immobilisation et un moyen d'accès au poste de travail.</w:t>
            </w:r>
          </w:p>
          <w:p w:rsidR="00E90383" w:rsidRPr="0043547B" w:rsidRDefault="00E90383" w:rsidP="00D953AD">
            <w:pPr>
              <w:spacing w:after="0" w:line="240" w:lineRule="auto"/>
              <w:jc w:val="both"/>
              <w:rPr>
                <w:rFonts w:cstheme="minorHAnsi"/>
                <w:sz w:val="24"/>
                <w:szCs w:val="24"/>
              </w:rPr>
            </w:pPr>
            <w:r w:rsidRPr="0043547B">
              <w:rPr>
                <w:rFonts w:cstheme="minorHAnsi"/>
                <w:sz w:val="24"/>
                <w:szCs w:val="24"/>
              </w:rPr>
              <w:t>Ce document ne s’applique pas aux plates-formes individuelles roulantes légères (P.I.R.L) (voir NF P 93-353) ni</w:t>
            </w:r>
            <w:r w:rsidR="00D953AD" w:rsidRPr="0043547B">
              <w:rPr>
                <w:rFonts w:cstheme="minorHAnsi"/>
                <w:sz w:val="24"/>
                <w:szCs w:val="24"/>
              </w:rPr>
              <w:t xml:space="preserve"> </w:t>
            </w:r>
            <w:r w:rsidRPr="0043547B">
              <w:rPr>
                <w:rFonts w:cstheme="minorHAnsi"/>
                <w:sz w:val="24"/>
                <w:szCs w:val="24"/>
              </w:rPr>
              <w:t>aux échafaudages roulants de service en éléments préfabriqués (voir NF EN 1004) ni aux échafaudages roulants</w:t>
            </w:r>
            <w:r w:rsidR="00D953AD" w:rsidRPr="0043547B">
              <w:rPr>
                <w:rFonts w:cstheme="minorHAnsi"/>
                <w:sz w:val="24"/>
                <w:szCs w:val="24"/>
              </w:rPr>
              <w:t xml:space="preserve"> </w:t>
            </w:r>
            <w:r w:rsidRPr="0043547B">
              <w:rPr>
                <w:rFonts w:cstheme="minorHAnsi"/>
                <w:sz w:val="24"/>
                <w:szCs w:val="24"/>
              </w:rPr>
              <w:t>préfabriqués de faible hauteur (voir NF P 93-520).</w:t>
            </w:r>
          </w:p>
        </w:tc>
      </w:tr>
      <w:tr w:rsidR="0043547B" w:rsidRPr="0043547B" w:rsidTr="00CB5DC0">
        <w:trPr>
          <w:trHeight w:val="406"/>
          <w:jc w:val="center"/>
        </w:trPr>
        <w:tc>
          <w:tcPr>
            <w:tcW w:w="1838" w:type="dxa"/>
            <w:tcBorders>
              <w:bottom w:val="single" w:sz="18" w:space="0" w:color="auto"/>
              <w:right w:val="single" w:sz="4" w:space="0" w:color="auto"/>
            </w:tcBorders>
            <w:shd w:val="clear" w:color="auto" w:fill="ACC777"/>
            <w:vAlign w:val="center"/>
          </w:tcPr>
          <w:p w:rsidR="00E90383" w:rsidRPr="0043547B" w:rsidRDefault="00E90383" w:rsidP="00D953AD">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left w:val="single" w:sz="4" w:space="0" w:color="auto"/>
              <w:bottom w:val="single" w:sz="18" w:space="0" w:color="auto"/>
            </w:tcBorders>
            <w:shd w:val="clear" w:color="auto" w:fill="ACC777"/>
            <w:vAlign w:val="center"/>
          </w:tcPr>
          <w:p w:rsidR="00E90383" w:rsidRPr="0043547B" w:rsidRDefault="00E90383" w:rsidP="00D953AD">
            <w:pPr>
              <w:spacing w:after="0" w:line="240" w:lineRule="auto"/>
              <w:jc w:val="center"/>
              <w:rPr>
                <w:rFonts w:cstheme="minorHAnsi"/>
                <w:b/>
                <w:bCs/>
                <w:sz w:val="24"/>
                <w:szCs w:val="24"/>
              </w:rPr>
            </w:pPr>
            <w:r w:rsidRPr="0043547B">
              <w:rPr>
                <w:rFonts w:cstheme="minorHAnsi"/>
                <w:b/>
                <w:bCs/>
                <w:sz w:val="24"/>
                <w:szCs w:val="24"/>
              </w:rPr>
              <w:t>NM 01.8.607</w:t>
            </w:r>
          </w:p>
        </w:tc>
      </w:tr>
      <w:tr w:rsidR="0043547B" w:rsidRPr="0043547B" w:rsidTr="00CB5DC0">
        <w:trPr>
          <w:trHeight w:val="578"/>
          <w:jc w:val="center"/>
        </w:trPr>
        <w:tc>
          <w:tcPr>
            <w:tcW w:w="1838" w:type="dxa"/>
            <w:tcBorders>
              <w:top w:val="single" w:sz="4" w:space="0" w:color="auto"/>
              <w:bottom w:val="single" w:sz="4" w:space="0" w:color="auto"/>
              <w:right w:val="single" w:sz="4" w:space="0" w:color="auto"/>
            </w:tcBorders>
            <w:shd w:val="clear" w:color="auto" w:fill="8DB3E2" w:themeFill="text2" w:themeFillTint="66"/>
            <w:vAlign w:val="center"/>
          </w:tcPr>
          <w:p w:rsidR="00E90383" w:rsidRPr="0043547B" w:rsidRDefault="00E90383" w:rsidP="00D953AD">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tcBorders>
            <w:shd w:val="clear" w:color="auto" w:fill="auto"/>
            <w:vAlign w:val="bottom"/>
          </w:tcPr>
          <w:p w:rsidR="00E90383" w:rsidRPr="0043547B" w:rsidRDefault="00E90383" w:rsidP="00D953AD">
            <w:pPr>
              <w:spacing w:after="0" w:line="240" w:lineRule="auto"/>
              <w:jc w:val="both"/>
              <w:rPr>
                <w:rFonts w:cstheme="minorHAnsi"/>
                <w:sz w:val="24"/>
                <w:szCs w:val="24"/>
              </w:rPr>
            </w:pPr>
            <w:r w:rsidRPr="0043547B">
              <w:rPr>
                <w:rFonts w:cstheme="minorHAnsi"/>
                <w:sz w:val="24"/>
                <w:szCs w:val="24"/>
              </w:rPr>
              <w:t>Equipements de chantier – Plate-forme individuelle roulante légère - Spécifications, essais et contrôle </w:t>
            </w:r>
          </w:p>
        </w:tc>
      </w:tr>
      <w:tr w:rsidR="0043547B" w:rsidRPr="0043547B" w:rsidTr="00CB5DC0">
        <w:trPr>
          <w:trHeight w:val="629"/>
          <w:jc w:val="center"/>
        </w:trPr>
        <w:tc>
          <w:tcPr>
            <w:tcW w:w="1838" w:type="dxa"/>
            <w:tcBorders>
              <w:top w:val="single" w:sz="4" w:space="0" w:color="auto"/>
              <w:bottom w:val="single" w:sz="18" w:space="0" w:color="auto"/>
              <w:right w:val="single" w:sz="4" w:space="0" w:color="auto"/>
            </w:tcBorders>
            <w:shd w:val="clear" w:color="000000" w:fill="D9D9D9"/>
            <w:vAlign w:val="center"/>
          </w:tcPr>
          <w:p w:rsidR="00E90383" w:rsidRPr="0043547B" w:rsidRDefault="00E90383" w:rsidP="00D953AD">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tcBorders>
            <w:shd w:val="clear" w:color="auto" w:fill="auto"/>
            <w:vAlign w:val="bottom"/>
          </w:tcPr>
          <w:p w:rsidR="00D953AD" w:rsidRPr="0043547B" w:rsidRDefault="00E90383" w:rsidP="00D953AD">
            <w:pPr>
              <w:spacing w:after="0" w:line="240" w:lineRule="auto"/>
              <w:jc w:val="both"/>
              <w:rPr>
                <w:rFonts w:cstheme="minorHAnsi"/>
                <w:sz w:val="24"/>
                <w:szCs w:val="24"/>
              </w:rPr>
            </w:pPr>
            <w:r w:rsidRPr="0043547B">
              <w:rPr>
                <w:rFonts w:cstheme="minorHAnsi"/>
                <w:sz w:val="24"/>
                <w:szCs w:val="24"/>
              </w:rPr>
              <w:t>Ce document a pour objet de définir les caractéristiques minimales des plates-formes individuelles roulantes</w:t>
            </w:r>
            <w:r w:rsidR="00D953AD" w:rsidRPr="0043547B">
              <w:rPr>
                <w:rFonts w:cstheme="minorHAnsi"/>
                <w:sz w:val="24"/>
                <w:szCs w:val="24"/>
              </w:rPr>
              <w:t xml:space="preserve"> </w:t>
            </w:r>
            <w:r w:rsidRPr="0043547B">
              <w:rPr>
                <w:rFonts w:cstheme="minorHAnsi"/>
                <w:sz w:val="24"/>
                <w:szCs w:val="24"/>
              </w:rPr>
              <w:t>légères (P.I.R.L.), ainsi que les essais, destinés à contrôler leur résistance, leurs déformations et leur stabilité.</w:t>
            </w:r>
          </w:p>
          <w:p w:rsidR="00D953AD" w:rsidRPr="0043547B" w:rsidRDefault="00E90383" w:rsidP="00730AD3">
            <w:pPr>
              <w:spacing w:after="0" w:line="240" w:lineRule="auto"/>
              <w:jc w:val="both"/>
              <w:rPr>
                <w:rFonts w:cstheme="minorHAnsi"/>
                <w:sz w:val="24"/>
                <w:szCs w:val="24"/>
              </w:rPr>
            </w:pPr>
            <w:r w:rsidRPr="0043547B">
              <w:rPr>
                <w:rFonts w:cstheme="minorHAnsi"/>
                <w:sz w:val="24"/>
                <w:szCs w:val="24"/>
              </w:rPr>
              <w:t>Ce document s’applique aux P.I.R.L manutentionnables à la grue et/ou portables, utilisées dans les travaux des</w:t>
            </w:r>
            <w:r w:rsidR="00D953AD" w:rsidRPr="0043547B">
              <w:rPr>
                <w:rFonts w:cstheme="minorHAnsi"/>
                <w:sz w:val="24"/>
                <w:szCs w:val="24"/>
              </w:rPr>
              <w:t xml:space="preserve"> </w:t>
            </w:r>
            <w:r w:rsidRPr="0043547B">
              <w:rPr>
                <w:rFonts w:cstheme="minorHAnsi"/>
                <w:sz w:val="24"/>
                <w:szCs w:val="24"/>
              </w:rPr>
              <w:t>bâtiments par un seul opérateur travaillant sur un plancher à une hauteur maximale de 1,50 m au-dessus du sol et</w:t>
            </w:r>
            <w:r w:rsidR="00D953AD" w:rsidRPr="0043547B">
              <w:rPr>
                <w:rFonts w:cstheme="minorHAnsi"/>
                <w:sz w:val="24"/>
                <w:szCs w:val="24"/>
              </w:rPr>
              <w:t xml:space="preserve"> </w:t>
            </w:r>
            <w:r w:rsidRPr="0043547B">
              <w:rPr>
                <w:rFonts w:cstheme="minorHAnsi"/>
                <w:sz w:val="24"/>
                <w:szCs w:val="24"/>
              </w:rPr>
              <w:t>pour une charge nominale de service maximale de 1 500 N. Elles possèdent un moyen de déplacement, un moyen</w:t>
            </w:r>
            <w:r w:rsidR="00730AD3">
              <w:rPr>
                <w:rFonts w:cstheme="minorHAnsi"/>
                <w:sz w:val="24"/>
                <w:szCs w:val="24"/>
              </w:rPr>
              <w:t xml:space="preserve"> </w:t>
            </w:r>
            <w:r w:rsidRPr="0043547B">
              <w:rPr>
                <w:rFonts w:cstheme="minorHAnsi"/>
                <w:sz w:val="24"/>
                <w:szCs w:val="24"/>
              </w:rPr>
              <w:t>d’immobilisation et un moyen d’accès au poste de travail.</w:t>
            </w:r>
          </w:p>
          <w:p w:rsidR="00D953AD" w:rsidRPr="0043547B" w:rsidRDefault="00E90383" w:rsidP="00D953AD">
            <w:pPr>
              <w:spacing w:after="0" w:line="240" w:lineRule="auto"/>
              <w:jc w:val="both"/>
              <w:rPr>
                <w:rFonts w:cstheme="minorHAnsi"/>
                <w:sz w:val="24"/>
                <w:szCs w:val="24"/>
              </w:rPr>
            </w:pPr>
            <w:r w:rsidRPr="0043547B">
              <w:rPr>
                <w:rFonts w:cstheme="minorHAnsi"/>
                <w:sz w:val="24"/>
                <w:szCs w:val="24"/>
              </w:rPr>
              <w:t>Ce document s’applique aux P.I.R.L. dont l’ossature est démontable ou pliante ; elles comportent au moins deux</w:t>
            </w:r>
            <w:r w:rsidR="00D953AD" w:rsidRPr="0043547B">
              <w:rPr>
                <w:rFonts w:cstheme="minorHAnsi"/>
                <w:sz w:val="24"/>
                <w:szCs w:val="24"/>
              </w:rPr>
              <w:t xml:space="preserve"> </w:t>
            </w:r>
            <w:r w:rsidRPr="0043547B">
              <w:rPr>
                <w:rFonts w:cstheme="minorHAnsi"/>
                <w:sz w:val="24"/>
                <w:szCs w:val="24"/>
              </w:rPr>
              <w:t>roues.</w:t>
            </w:r>
          </w:p>
          <w:p w:rsidR="00E90383" w:rsidRPr="0043547B" w:rsidRDefault="00E90383" w:rsidP="00D953AD">
            <w:pPr>
              <w:spacing w:after="0" w:line="240" w:lineRule="auto"/>
              <w:jc w:val="both"/>
              <w:rPr>
                <w:rFonts w:cstheme="minorHAnsi"/>
                <w:sz w:val="24"/>
                <w:szCs w:val="24"/>
              </w:rPr>
            </w:pPr>
            <w:r w:rsidRPr="0043547B">
              <w:rPr>
                <w:rFonts w:cstheme="minorHAnsi"/>
                <w:sz w:val="24"/>
                <w:szCs w:val="24"/>
              </w:rPr>
              <w:lastRenderedPageBreak/>
              <w:t>Ce document ne s’applique pas aux plates-formes individuelles roulantes (P.I.R) (voir NF P 93-352) ni aux</w:t>
            </w:r>
            <w:r w:rsidR="00D953AD" w:rsidRPr="0043547B">
              <w:rPr>
                <w:rFonts w:cstheme="minorHAnsi"/>
                <w:sz w:val="24"/>
                <w:szCs w:val="24"/>
              </w:rPr>
              <w:t xml:space="preserve"> </w:t>
            </w:r>
            <w:r w:rsidRPr="0043547B">
              <w:rPr>
                <w:rFonts w:cstheme="minorHAnsi"/>
                <w:sz w:val="24"/>
                <w:szCs w:val="24"/>
              </w:rPr>
              <w:t>échafaudages roulants de service en éléments préfabriqués (voir NF EN 1004) ni aux échafaudages roulants</w:t>
            </w:r>
            <w:r w:rsidR="00D953AD" w:rsidRPr="0043547B">
              <w:rPr>
                <w:rFonts w:cstheme="minorHAnsi"/>
                <w:sz w:val="24"/>
                <w:szCs w:val="24"/>
              </w:rPr>
              <w:t xml:space="preserve"> </w:t>
            </w:r>
            <w:r w:rsidRPr="0043547B">
              <w:rPr>
                <w:rFonts w:cstheme="minorHAnsi"/>
                <w:sz w:val="24"/>
                <w:szCs w:val="24"/>
              </w:rPr>
              <w:t>préfabriqués de faible hauteur (voir NF P 93-520).</w:t>
            </w:r>
          </w:p>
        </w:tc>
      </w:tr>
      <w:tr w:rsidR="0043547B" w:rsidRPr="0043547B" w:rsidTr="00CB5DC0">
        <w:trPr>
          <w:trHeight w:val="400"/>
          <w:jc w:val="center"/>
        </w:trPr>
        <w:tc>
          <w:tcPr>
            <w:tcW w:w="1838" w:type="dxa"/>
            <w:tcBorders>
              <w:bottom w:val="single" w:sz="18" w:space="0" w:color="auto"/>
              <w:right w:val="single" w:sz="4" w:space="0" w:color="auto"/>
            </w:tcBorders>
            <w:shd w:val="clear" w:color="auto" w:fill="ACC777"/>
            <w:vAlign w:val="center"/>
          </w:tcPr>
          <w:p w:rsidR="00E90383" w:rsidRPr="0043547B" w:rsidRDefault="00E90383" w:rsidP="00D953AD">
            <w:pPr>
              <w:spacing w:after="0" w:line="240" w:lineRule="auto"/>
              <w:jc w:val="center"/>
              <w:rPr>
                <w:rFonts w:cstheme="minorHAnsi"/>
                <w:b/>
                <w:bCs/>
                <w:sz w:val="24"/>
                <w:szCs w:val="24"/>
              </w:rPr>
            </w:pPr>
            <w:r w:rsidRPr="0043547B">
              <w:rPr>
                <w:rFonts w:cstheme="minorHAnsi"/>
                <w:b/>
                <w:bCs/>
                <w:sz w:val="24"/>
                <w:szCs w:val="24"/>
              </w:rPr>
              <w:lastRenderedPageBreak/>
              <w:t>Code</w:t>
            </w:r>
            <w:r w:rsidR="00D953AD" w:rsidRPr="0043547B">
              <w:rPr>
                <w:rFonts w:cstheme="minorHAnsi"/>
                <w:b/>
                <w:bCs/>
                <w:sz w:val="24"/>
                <w:szCs w:val="24"/>
              </w:rPr>
              <w:t xml:space="preserve"> </w:t>
            </w:r>
            <w:r w:rsidRPr="0043547B">
              <w:rPr>
                <w:rFonts w:cstheme="minorHAnsi"/>
                <w:b/>
                <w:bCs/>
                <w:sz w:val="24"/>
                <w:szCs w:val="24"/>
              </w:rPr>
              <w:t>:</w:t>
            </w:r>
          </w:p>
        </w:tc>
        <w:tc>
          <w:tcPr>
            <w:tcW w:w="7938" w:type="dxa"/>
            <w:tcBorders>
              <w:left w:val="single" w:sz="4" w:space="0" w:color="auto"/>
              <w:bottom w:val="single" w:sz="18" w:space="0" w:color="auto"/>
            </w:tcBorders>
            <w:shd w:val="clear" w:color="auto" w:fill="ACC777"/>
            <w:vAlign w:val="center"/>
          </w:tcPr>
          <w:p w:rsidR="00E90383" w:rsidRPr="0043547B" w:rsidRDefault="00E90383" w:rsidP="00D953AD">
            <w:pPr>
              <w:spacing w:after="0" w:line="240" w:lineRule="auto"/>
              <w:jc w:val="center"/>
              <w:rPr>
                <w:rFonts w:cstheme="minorHAnsi"/>
                <w:b/>
                <w:bCs/>
                <w:sz w:val="24"/>
                <w:szCs w:val="24"/>
              </w:rPr>
            </w:pPr>
            <w:r w:rsidRPr="0043547B">
              <w:rPr>
                <w:rFonts w:cstheme="minorHAnsi"/>
                <w:b/>
                <w:bCs/>
                <w:sz w:val="24"/>
                <w:szCs w:val="24"/>
              </w:rPr>
              <w:t>NM 01.8.608</w:t>
            </w:r>
          </w:p>
        </w:tc>
      </w:tr>
      <w:tr w:rsidR="0043547B" w:rsidRPr="0043547B" w:rsidTr="00CB5DC0">
        <w:trPr>
          <w:trHeight w:val="415"/>
          <w:jc w:val="center"/>
        </w:trPr>
        <w:tc>
          <w:tcPr>
            <w:tcW w:w="1838" w:type="dxa"/>
            <w:tcBorders>
              <w:top w:val="single" w:sz="4" w:space="0" w:color="auto"/>
              <w:bottom w:val="single" w:sz="4" w:space="0" w:color="auto"/>
              <w:right w:val="single" w:sz="4" w:space="0" w:color="auto"/>
            </w:tcBorders>
            <w:shd w:val="clear" w:color="auto" w:fill="8DB3E2" w:themeFill="text2" w:themeFillTint="66"/>
            <w:vAlign w:val="center"/>
          </w:tcPr>
          <w:p w:rsidR="00E90383" w:rsidRPr="0043547B" w:rsidRDefault="00E90383" w:rsidP="00D953AD">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tcBorders>
            <w:shd w:val="clear" w:color="auto" w:fill="auto"/>
          </w:tcPr>
          <w:p w:rsidR="00E90383" w:rsidRPr="0043547B" w:rsidRDefault="00E90383" w:rsidP="00D953AD">
            <w:pPr>
              <w:spacing w:after="0" w:line="240" w:lineRule="auto"/>
              <w:rPr>
                <w:rFonts w:cstheme="minorHAnsi"/>
                <w:sz w:val="24"/>
                <w:szCs w:val="24"/>
              </w:rPr>
            </w:pPr>
            <w:r w:rsidRPr="0043547B">
              <w:rPr>
                <w:rFonts w:cstheme="minorHAnsi"/>
                <w:sz w:val="24"/>
                <w:szCs w:val="24"/>
              </w:rPr>
              <w:t>Équipement de chantier - Échafaudages roulants préfabriqués de faible hauteur </w:t>
            </w:r>
          </w:p>
        </w:tc>
      </w:tr>
      <w:tr w:rsidR="0043547B" w:rsidRPr="0043547B" w:rsidTr="00CB5DC0">
        <w:trPr>
          <w:trHeight w:val="629"/>
          <w:jc w:val="center"/>
        </w:trPr>
        <w:tc>
          <w:tcPr>
            <w:tcW w:w="1838" w:type="dxa"/>
            <w:tcBorders>
              <w:top w:val="single" w:sz="4" w:space="0" w:color="auto"/>
              <w:bottom w:val="single" w:sz="18" w:space="0" w:color="auto"/>
              <w:right w:val="single" w:sz="4" w:space="0" w:color="auto"/>
            </w:tcBorders>
            <w:shd w:val="clear" w:color="000000" w:fill="D9D9D9"/>
            <w:vAlign w:val="center"/>
          </w:tcPr>
          <w:p w:rsidR="00E90383" w:rsidRPr="0043547B" w:rsidRDefault="00E90383" w:rsidP="00D953AD">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tcBorders>
            <w:shd w:val="clear" w:color="auto" w:fill="auto"/>
            <w:vAlign w:val="bottom"/>
          </w:tcPr>
          <w:p w:rsidR="00D953AD" w:rsidRPr="0043547B" w:rsidRDefault="00E90383" w:rsidP="00D953AD">
            <w:pPr>
              <w:spacing w:after="0" w:line="240" w:lineRule="auto"/>
              <w:jc w:val="both"/>
              <w:rPr>
                <w:rFonts w:cstheme="minorHAnsi"/>
                <w:sz w:val="24"/>
                <w:szCs w:val="24"/>
              </w:rPr>
            </w:pPr>
            <w:r w:rsidRPr="0043547B">
              <w:rPr>
                <w:rFonts w:cstheme="minorHAnsi"/>
                <w:sz w:val="24"/>
                <w:szCs w:val="24"/>
              </w:rPr>
              <w:t>Le présent document a pour objet de définir la conception et les caractéristiques minimales des échafaudages</w:t>
            </w:r>
            <w:r w:rsidR="00D953AD" w:rsidRPr="0043547B">
              <w:rPr>
                <w:rFonts w:cstheme="minorHAnsi"/>
                <w:sz w:val="24"/>
                <w:szCs w:val="24"/>
              </w:rPr>
              <w:t xml:space="preserve"> </w:t>
            </w:r>
            <w:r w:rsidRPr="0043547B">
              <w:rPr>
                <w:rFonts w:cstheme="minorHAnsi"/>
                <w:sz w:val="24"/>
                <w:szCs w:val="24"/>
              </w:rPr>
              <w:t>roulants préfabriqués de faible hauteur, ainsi que les essais, destinés à contrôler leur résistance,</w:t>
            </w:r>
            <w:r w:rsidR="00D953AD" w:rsidRPr="0043547B">
              <w:rPr>
                <w:rFonts w:cstheme="minorHAnsi"/>
                <w:sz w:val="24"/>
                <w:szCs w:val="24"/>
              </w:rPr>
              <w:t xml:space="preserve"> </w:t>
            </w:r>
            <w:r w:rsidRPr="0043547B">
              <w:rPr>
                <w:rFonts w:cstheme="minorHAnsi"/>
                <w:sz w:val="24"/>
                <w:szCs w:val="24"/>
              </w:rPr>
              <w:t>leurs déformations et leur stabilité.</w:t>
            </w:r>
            <w:r w:rsidRPr="0043547B">
              <w:rPr>
                <w:rFonts w:cstheme="minorHAnsi"/>
                <w:sz w:val="24"/>
                <w:szCs w:val="24"/>
              </w:rPr>
              <w:br/>
              <w:t>Le présent document s'applique aux échafaudages roulants préfabriqués de faible hauteur, d'une hauteur</w:t>
            </w:r>
            <w:r w:rsidR="00D953AD" w:rsidRPr="0043547B">
              <w:rPr>
                <w:rFonts w:cstheme="minorHAnsi"/>
                <w:sz w:val="24"/>
                <w:szCs w:val="24"/>
              </w:rPr>
              <w:t xml:space="preserve"> </w:t>
            </w:r>
            <w:r w:rsidRPr="0043547B">
              <w:rPr>
                <w:rFonts w:cstheme="minorHAnsi"/>
                <w:sz w:val="24"/>
                <w:szCs w:val="24"/>
              </w:rPr>
              <w:t xml:space="preserve">de plancher inférieure à 2,50 m et utilisés plus particulièrement dans les travaux du second </w:t>
            </w:r>
            <w:r w:rsidR="00D953AD" w:rsidRPr="0043547B">
              <w:rPr>
                <w:rFonts w:cstheme="minorHAnsi"/>
                <w:sz w:val="24"/>
                <w:szCs w:val="24"/>
              </w:rPr>
              <w:t>œuvre</w:t>
            </w:r>
            <w:r w:rsidRPr="0043547B">
              <w:rPr>
                <w:rFonts w:cstheme="minorHAnsi"/>
                <w:sz w:val="24"/>
                <w:szCs w:val="24"/>
              </w:rPr>
              <w:t xml:space="preserve"> et</w:t>
            </w:r>
            <w:r w:rsidR="00D953AD" w:rsidRPr="0043547B">
              <w:rPr>
                <w:rFonts w:cstheme="minorHAnsi"/>
                <w:sz w:val="24"/>
                <w:szCs w:val="24"/>
              </w:rPr>
              <w:t xml:space="preserve"> </w:t>
            </w:r>
            <w:r w:rsidRPr="0043547B">
              <w:rPr>
                <w:rFonts w:cstheme="minorHAnsi"/>
                <w:sz w:val="24"/>
                <w:szCs w:val="24"/>
              </w:rPr>
              <w:t>d'équipement.</w:t>
            </w:r>
          </w:p>
          <w:p w:rsidR="00E90383" w:rsidRPr="0043547B" w:rsidRDefault="00E90383" w:rsidP="00D953AD">
            <w:pPr>
              <w:spacing w:after="0" w:line="240" w:lineRule="auto"/>
              <w:jc w:val="both"/>
              <w:rPr>
                <w:rFonts w:cstheme="minorHAnsi"/>
                <w:sz w:val="24"/>
                <w:szCs w:val="24"/>
              </w:rPr>
            </w:pPr>
            <w:r w:rsidRPr="0043547B">
              <w:rPr>
                <w:rFonts w:cstheme="minorHAnsi"/>
                <w:sz w:val="24"/>
                <w:szCs w:val="24"/>
              </w:rPr>
              <w:t>Le présent document ne s'applique pas aux plates-formes individuelles roulantes d'une hauteur inférieure</w:t>
            </w:r>
            <w:r w:rsidR="00D953AD" w:rsidRPr="0043547B">
              <w:rPr>
                <w:rFonts w:cstheme="minorHAnsi"/>
                <w:sz w:val="24"/>
                <w:szCs w:val="24"/>
              </w:rPr>
              <w:t xml:space="preserve"> </w:t>
            </w:r>
            <w:r w:rsidRPr="0043547B">
              <w:rPr>
                <w:rFonts w:cstheme="minorHAnsi"/>
                <w:sz w:val="24"/>
                <w:szCs w:val="24"/>
              </w:rPr>
              <w:t>ou égale à 2,50 m (norme NF P 93-352), aux échafaudages roulants de service en éléments préfabriqués</w:t>
            </w:r>
            <w:r w:rsidR="00D953AD" w:rsidRPr="0043547B">
              <w:rPr>
                <w:rFonts w:cstheme="minorHAnsi"/>
                <w:sz w:val="24"/>
                <w:szCs w:val="24"/>
              </w:rPr>
              <w:t xml:space="preserve"> </w:t>
            </w:r>
            <w:r w:rsidRPr="0043547B">
              <w:rPr>
                <w:rFonts w:cstheme="minorHAnsi"/>
                <w:sz w:val="24"/>
                <w:szCs w:val="24"/>
              </w:rPr>
              <w:t>d'une hauteur de plus de 2,50 m (NF HD 1004), aux plates-formes individuelles roulantes légères d'une</w:t>
            </w:r>
            <w:r w:rsidR="00D953AD" w:rsidRPr="0043547B">
              <w:rPr>
                <w:rFonts w:cstheme="minorHAnsi"/>
                <w:sz w:val="24"/>
                <w:szCs w:val="24"/>
              </w:rPr>
              <w:t xml:space="preserve"> </w:t>
            </w:r>
            <w:r w:rsidRPr="0043547B">
              <w:rPr>
                <w:rFonts w:cstheme="minorHAnsi"/>
                <w:sz w:val="24"/>
                <w:szCs w:val="24"/>
              </w:rPr>
              <w:t>hauteur inférieure ou égale à 1,00 m (NF P 93-353).</w:t>
            </w:r>
          </w:p>
        </w:tc>
      </w:tr>
      <w:tr w:rsidR="0043547B" w:rsidRPr="0043547B" w:rsidTr="00CB5DC0">
        <w:trPr>
          <w:trHeight w:val="383"/>
          <w:jc w:val="center"/>
        </w:trPr>
        <w:tc>
          <w:tcPr>
            <w:tcW w:w="1838" w:type="dxa"/>
            <w:tcBorders>
              <w:bottom w:val="single" w:sz="18" w:space="0" w:color="auto"/>
              <w:right w:val="single" w:sz="4" w:space="0" w:color="auto"/>
            </w:tcBorders>
            <w:shd w:val="clear" w:color="auto" w:fill="ACC777"/>
            <w:vAlign w:val="center"/>
          </w:tcPr>
          <w:p w:rsidR="00E90383" w:rsidRPr="0043547B" w:rsidRDefault="00E90383" w:rsidP="00F722EA">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left w:val="single" w:sz="4" w:space="0" w:color="auto"/>
              <w:bottom w:val="single" w:sz="18" w:space="0" w:color="auto"/>
            </w:tcBorders>
            <w:shd w:val="clear" w:color="auto" w:fill="ACC777"/>
            <w:vAlign w:val="center"/>
          </w:tcPr>
          <w:p w:rsidR="00E90383" w:rsidRPr="0043547B" w:rsidRDefault="00E90383" w:rsidP="00F722EA">
            <w:pPr>
              <w:spacing w:after="0" w:line="240" w:lineRule="auto"/>
              <w:jc w:val="center"/>
              <w:rPr>
                <w:rFonts w:cstheme="minorHAnsi"/>
                <w:b/>
                <w:bCs/>
                <w:sz w:val="24"/>
                <w:szCs w:val="24"/>
              </w:rPr>
            </w:pPr>
            <w:r w:rsidRPr="0043547B">
              <w:rPr>
                <w:rFonts w:cstheme="minorHAnsi"/>
                <w:b/>
                <w:bCs/>
                <w:sz w:val="24"/>
                <w:szCs w:val="24"/>
              </w:rPr>
              <w:t>NM EN 131-1</w:t>
            </w:r>
          </w:p>
        </w:tc>
      </w:tr>
      <w:tr w:rsidR="0043547B" w:rsidRPr="0043547B" w:rsidTr="00CB5DC0">
        <w:trPr>
          <w:trHeight w:val="345"/>
          <w:jc w:val="center"/>
        </w:trPr>
        <w:tc>
          <w:tcPr>
            <w:tcW w:w="1838" w:type="dxa"/>
            <w:tcBorders>
              <w:top w:val="single" w:sz="18" w:space="0" w:color="auto"/>
              <w:bottom w:val="single" w:sz="2" w:space="0" w:color="auto"/>
              <w:right w:val="single" w:sz="4" w:space="0" w:color="auto"/>
            </w:tcBorders>
            <w:shd w:val="clear" w:color="auto" w:fill="FFFF99"/>
            <w:vAlign w:val="center"/>
          </w:tcPr>
          <w:p w:rsidR="00E90383" w:rsidRPr="0043547B" w:rsidRDefault="00E90383" w:rsidP="00F722EA">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2" w:space="0" w:color="auto"/>
            </w:tcBorders>
            <w:shd w:val="clear" w:color="auto" w:fill="FFFF99"/>
            <w:vAlign w:val="center"/>
          </w:tcPr>
          <w:p w:rsidR="00E90383" w:rsidRPr="0043547B" w:rsidRDefault="00E90383" w:rsidP="00F722EA">
            <w:pPr>
              <w:spacing w:after="0" w:line="240" w:lineRule="auto"/>
              <w:jc w:val="center"/>
              <w:rPr>
                <w:rFonts w:cstheme="minorHAnsi"/>
                <w:b/>
                <w:bCs/>
                <w:sz w:val="24"/>
                <w:szCs w:val="24"/>
              </w:rPr>
            </w:pPr>
            <w:r w:rsidRPr="0043547B">
              <w:rPr>
                <w:rFonts w:cstheme="minorHAnsi"/>
                <w:b/>
                <w:bCs/>
                <w:sz w:val="24"/>
                <w:szCs w:val="24"/>
              </w:rPr>
              <w:t>EN 131-1</w:t>
            </w:r>
          </w:p>
        </w:tc>
      </w:tr>
      <w:tr w:rsidR="0043547B" w:rsidRPr="0043547B" w:rsidTr="00CB5DC0">
        <w:trPr>
          <w:trHeight w:val="629"/>
          <w:jc w:val="center"/>
        </w:trPr>
        <w:tc>
          <w:tcPr>
            <w:tcW w:w="1838" w:type="dxa"/>
            <w:tcBorders>
              <w:top w:val="single" w:sz="2" w:space="0" w:color="auto"/>
              <w:bottom w:val="single" w:sz="2" w:space="0" w:color="auto"/>
              <w:right w:val="single" w:sz="4" w:space="0" w:color="auto"/>
            </w:tcBorders>
            <w:shd w:val="clear" w:color="auto" w:fill="8DB3E2" w:themeFill="text2" w:themeFillTint="66"/>
            <w:vAlign w:val="center"/>
          </w:tcPr>
          <w:p w:rsidR="00E90383" w:rsidRPr="0043547B" w:rsidRDefault="00E90383" w:rsidP="00F722EA">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2" w:space="0" w:color="auto"/>
              <w:left w:val="single" w:sz="4" w:space="0" w:color="auto"/>
              <w:bottom w:val="single" w:sz="2" w:space="0" w:color="auto"/>
            </w:tcBorders>
            <w:shd w:val="clear" w:color="auto" w:fill="auto"/>
            <w:vAlign w:val="center"/>
          </w:tcPr>
          <w:p w:rsidR="00E90383" w:rsidRPr="0043547B" w:rsidRDefault="00E90383" w:rsidP="00F722EA">
            <w:pPr>
              <w:spacing w:after="0" w:line="240" w:lineRule="auto"/>
              <w:rPr>
                <w:rFonts w:cstheme="minorHAnsi"/>
                <w:sz w:val="24"/>
                <w:szCs w:val="24"/>
              </w:rPr>
            </w:pPr>
            <w:r w:rsidRPr="0043547B">
              <w:rPr>
                <w:rFonts w:cstheme="minorHAnsi"/>
                <w:sz w:val="24"/>
                <w:szCs w:val="24"/>
              </w:rPr>
              <w:t>Échelles - Partie 1 : Terminologie, types, dimensions fonctionnelles</w:t>
            </w:r>
          </w:p>
        </w:tc>
      </w:tr>
      <w:tr w:rsidR="0043547B" w:rsidRPr="0043547B" w:rsidTr="00CB5DC0">
        <w:trPr>
          <w:trHeight w:val="1302"/>
          <w:jc w:val="center"/>
        </w:trPr>
        <w:tc>
          <w:tcPr>
            <w:tcW w:w="1838" w:type="dxa"/>
            <w:tcBorders>
              <w:top w:val="single" w:sz="2" w:space="0" w:color="auto"/>
              <w:bottom w:val="single" w:sz="18" w:space="0" w:color="auto"/>
              <w:right w:val="single" w:sz="4" w:space="0" w:color="auto"/>
            </w:tcBorders>
            <w:shd w:val="clear" w:color="000000" w:fill="D9D9D9"/>
            <w:vAlign w:val="center"/>
          </w:tcPr>
          <w:p w:rsidR="00E90383" w:rsidRPr="0043547B" w:rsidRDefault="00E90383" w:rsidP="00F722EA">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2" w:space="0" w:color="auto"/>
              <w:left w:val="single" w:sz="4" w:space="0" w:color="auto"/>
              <w:bottom w:val="single" w:sz="18" w:space="0" w:color="auto"/>
            </w:tcBorders>
            <w:shd w:val="clear" w:color="auto" w:fill="auto"/>
            <w:vAlign w:val="bottom"/>
          </w:tcPr>
          <w:p w:rsidR="00F722EA" w:rsidRPr="0043547B" w:rsidRDefault="00E90383" w:rsidP="00F722EA">
            <w:pPr>
              <w:spacing w:after="0" w:line="240" w:lineRule="auto"/>
              <w:jc w:val="both"/>
              <w:rPr>
                <w:rFonts w:cstheme="minorHAnsi"/>
                <w:sz w:val="24"/>
                <w:szCs w:val="24"/>
              </w:rPr>
            </w:pPr>
            <w:r w:rsidRPr="0043547B">
              <w:rPr>
                <w:rFonts w:cstheme="minorHAnsi"/>
                <w:sz w:val="24"/>
                <w:szCs w:val="24"/>
              </w:rPr>
              <w:t>La présente Norme européenne définit les termes et spécifie les caractéristiques générales de conception des</w:t>
            </w:r>
            <w:r w:rsidR="00F722EA" w:rsidRPr="0043547B">
              <w:rPr>
                <w:rFonts w:cstheme="minorHAnsi"/>
                <w:sz w:val="24"/>
                <w:szCs w:val="24"/>
              </w:rPr>
              <w:t xml:space="preserve"> </w:t>
            </w:r>
            <w:r w:rsidRPr="0043547B">
              <w:rPr>
                <w:rFonts w:cstheme="minorHAnsi"/>
                <w:sz w:val="24"/>
                <w:szCs w:val="24"/>
              </w:rPr>
              <w:t>échelles.</w:t>
            </w:r>
          </w:p>
          <w:p w:rsidR="00F722EA" w:rsidRPr="0043547B" w:rsidRDefault="00E90383" w:rsidP="00F722EA">
            <w:pPr>
              <w:spacing w:after="0" w:line="240" w:lineRule="auto"/>
              <w:jc w:val="both"/>
              <w:rPr>
                <w:rFonts w:cstheme="minorHAnsi"/>
                <w:sz w:val="24"/>
                <w:szCs w:val="24"/>
              </w:rPr>
            </w:pPr>
            <w:r w:rsidRPr="0043547B">
              <w:rPr>
                <w:rFonts w:cstheme="minorHAnsi"/>
                <w:sz w:val="24"/>
                <w:szCs w:val="24"/>
              </w:rPr>
              <w:t>Elle s’applique aux échelles portables.</w:t>
            </w:r>
          </w:p>
          <w:p w:rsidR="003C42B0" w:rsidRPr="0043547B" w:rsidRDefault="00E90383" w:rsidP="004B0064">
            <w:pPr>
              <w:spacing w:after="0" w:line="240" w:lineRule="auto"/>
              <w:jc w:val="both"/>
              <w:rPr>
                <w:rFonts w:cstheme="minorHAnsi"/>
                <w:sz w:val="24"/>
                <w:szCs w:val="24"/>
              </w:rPr>
            </w:pPr>
            <w:r w:rsidRPr="0043547B">
              <w:rPr>
                <w:rFonts w:cstheme="minorHAnsi"/>
                <w:sz w:val="24"/>
                <w:szCs w:val="24"/>
              </w:rPr>
              <w:t>Elle ne s’applique pas aux échelles à usage professionnel spécifique telles que les échelles de pompiers, de couvreurs</w:t>
            </w:r>
            <w:r w:rsidR="00F722EA" w:rsidRPr="0043547B">
              <w:rPr>
                <w:rFonts w:cstheme="minorHAnsi"/>
                <w:sz w:val="24"/>
                <w:szCs w:val="24"/>
              </w:rPr>
              <w:t xml:space="preserve"> </w:t>
            </w:r>
            <w:r w:rsidRPr="0043547B">
              <w:rPr>
                <w:rFonts w:cstheme="minorHAnsi"/>
                <w:sz w:val="24"/>
                <w:szCs w:val="24"/>
              </w:rPr>
              <w:t>ardoisiers</w:t>
            </w:r>
            <w:r w:rsidR="00F722EA" w:rsidRPr="0043547B">
              <w:rPr>
                <w:rFonts w:cstheme="minorHAnsi"/>
                <w:sz w:val="24"/>
                <w:szCs w:val="24"/>
              </w:rPr>
              <w:t xml:space="preserve"> </w:t>
            </w:r>
            <w:r w:rsidRPr="0043547B">
              <w:rPr>
                <w:rFonts w:cstheme="minorHAnsi"/>
                <w:sz w:val="24"/>
                <w:szCs w:val="24"/>
              </w:rPr>
              <w:t>et les échelles remorquables.</w:t>
            </w:r>
          </w:p>
        </w:tc>
      </w:tr>
      <w:tr w:rsidR="0043547B" w:rsidRPr="0043547B" w:rsidTr="00CB5DC0">
        <w:trPr>
          <w:trHeight w:val="338"/>
          <w:jc w:val="center"/>
        </w:trPr>
        <w:tc>
          <w:tcPr>
            <w:tcW w:w="1838" w:type="dxa"/>
            <w:tcBorders>
              <w:bottom w:val="single" w:sz="18" w:space="0" w:color="auto"/>
              <w:right w:val="single" w:sz="4" w:space="0" w:color="auto"/>
            </w:tcBorders>
            <w:shd w:val="clear" w:color="auto" w:fill="ACC777"/>
            <w:vAlign w:val="center"/>
          </w:tcPr>
          <w:p w:rsidR="00E90383" w:rsidRPr="0043547B" w:rsidRDefault="00E90383" w:rsidP="003C42B0">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left w:val="single" w:sz="4" w:space="0" w:color="auto"/>
              <w:bottom w:val="single" w:sz="18" w:space="0" w:color="auto"/>
            </w:tcBorders>
            <w:shd w:val="clear" w:color="auto" w:fill="ACC777"/>
            <w:vAlign w:val="center"/>
          </w:tcPr>
          <w:p w:rsidR="00E90383" w:rsidRPr="0043547B" w:rsidRDefault="00E90383" w:rsidP="003C42B0">
            <w:pPr>
              <w:spacing w:after="0" w:line="240" w:lineRule="auto"/>
              <w:jc w:val="center"/>
              <w:rPr>
                <w:rFonts w:cstheme="minorHAnsi"/>
                <w:b/>
                <w:bCs/>
                <w:sz w:val="24"/>
                <w:szCs w:val="24"/>
              </w:rPr>
            </w:pPr>
            <w:r w:rsidRPr="0043547B">
              <w:rPr>
                <w:rFonts w:cstheme="minorHAnsi"/>
                <w:b/>
                <w:bCs/>
                <w:sz w:val="24"/>
                <w:szCs w:val="24"/>
              </w:rPr>
              <w:t>NM EN 131-2</w:t>
            </w:r>
          </w:p>
        </w:tc>
      </w:tr>
      <w:tr w:rsidR="0043547B" w:rsidRPr="0043547B" w:rsidTr="00CB5DC0">
        <w:trPr>
          <w:trHeight w:val="346"/>
          <w:jc w:val="center"/>
        </w:trPr>
        <w:tc>
          <w:tcPr>
            <w:tcW w:w="1838" w:type="dxa"/>
            <w:tcBorders>
              <w:top w:val="single" w:sz="18" w:space="0" w:color="auto"/>
              <w:bottom w:val="single" w:sz="4" w:space="0" w:color="auto"/>
              <w:right w:val="single" w:sz="4" w:space="0" w:color="auto"/>
            </w:tcBorders>
            <w:shd w:val="clear" w:color="auto" w:fill="FFFF99"/>
            <w:vAlign w:val="center"/>
          </w:tcPr>
          <w:p w:rsidR="00E90383" w:rsidRPr="0043547B" w:rsidRDefault="00E90383" w:rsidP="003C42B0">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tcBorders>
            <w:shd w:val="clear" w:color="auto" w:fill="FFFF99"/>
            <w:vAlign w:val="center"/>
          </w:tcPr>
          <w:p w:rsidR="00E90383" w:rsidRPr="0043547B" w:rsidRDefault="00E90383" w:rsidP="003C42B0">
            <w:pPr>
              <w:spacing w:after="0" w:line="240" w:lineRule="auto"/>
              <w:jc w:val="center"/>
              <w:rPr>
                <w:rFonts w:cstheme="minorHAnsi"/>
                <w:b/>
                <w:bCs/>
                <w:sz w:val="24"/>
                <w:szCs w:val="24"/>
              </w:rPr>
            </w:pPr>
            <w:r w:rsidRPr="0043547B">
              <w:rPr>
                <w:rFonts w:cstheme="minorHAnsi"/>
                <w:b/>
                <w:bCs/>
                <w:sz w:val="24"/>
                <w:szCs w:val="24"/>
              </w:rPr>
              <w:t>EN 131-2</w:t>
            </w:r>
          </w:p>
        </w:tc>
      </w:tr>
      <w:tr w:rsidR="0043547B" w:rsidRPr="0043547B" w:rsidTr="00CB5DC0">
        <w:trPr>
          <w:trHeight w:val="405"/>
          <w:jc w:val="center"/>
        </w:trPr>
        <w:tc>
          <w:tcPr>
            <w:tcW w:w="1838" w:type="dxa"/>
            <w:tcBorders>
              <w:top w:val="single" w:sz="4" w:space="0" w:color="auto"/>
              <w:bottom w:val="single" w:sz="4" w:space="0" w:color="auto"/>
              <w:right w:val="single" w:sz="4" w:space="0" w:color="auto"/>
            </w:tcBorders>
            <w:shd w:val="clear" w:color="auto" w:fill="8DB3E2" w:themeFill="text2" w:themeFillTint="66"/>
            <w:vAlign w:val="center"/>
          </w:tcPr>
          <w:p w:rsidR="00E90383" w:rsidRPr="0043547B" w:rsidRDefault="00E90383" w:rsidP="003C42B0">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tcBorders>
            <w:shd w:val="clear" w:color="auto" w:fill="auto"/>
            <w:vAlign w:val="center"/>
          </w:tcPr>
          <w:p w:rsidR="00E90383" w:rsidRPr="0043547B" w:rsidRDefault="00E90383" w:rsidP="003C42B0">
            <w:pPr>
              <w:spacing w:after="0" w:line="240" w:lineRule="auto"/>
              <w:rPr>
                <w:rFonts w:cstheme="minorHAnsi"/>
                <w:sz w:val="24"/>
                <w:szCs w:val="24"/>
              </w:rPr>
            </w:pPr>
            <w:r w:rsidRPr="0043547B">
              <w:rPr>
                <w:rFonts w:cstheme="minorHAnsi"/>
                <w:sz w:val="24"/>
                <w:szCs w:val="24"/>
              </w:rPr>
              <w:t>Échelles - Partie 2 : Exigences, essais, marquage </w:t>
            </w:r>
          </w:p>
        </w:tc>
      </w:tr>
      <w:tr w:rsidR="0043547B" w:rsidRPr="0043547B" w:rsidTr="00CB5DC0">
        <w:trPr>
          <w:trHeight w:val="629"/>
          <w:jc w:val="center"/>
        </w:trPr>
        <w:tc>
          <w:tcPr>
            <w:tcW w:w="1838" w:type="dxa"/>
            <w:tcBorders>
              <w:top w:val="single" w:sz="4" w:space="0" w:color="auto"/>
              <w:bottom w:val="single" w:sz="18" w:space="0" w:color="auto"/>
              <w:right w:val="single" w:sz="4" w:space="0" w:color="auto"/>
            </w:tcBorders>
            <w:shd w:val="clear" w:color="000000" w:fill="D9D9D9"/>
            <w:vAlign w:val="center"/>
          </w:tcPr>
          <w:p w:rsidR="00E90383" w:rsidRPr="0043547B" w:rsidRDefault="00E90383" w:rsidP="003C42B0">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tcBorders>
            <w:shd w:val="clear" w:color="auto" w:fill="auto"/>
            <w:vAlign w:val="bottom"/>
          </w:tcPr>
          <w:p w:rsidR="003C42B0" w:rsidRPr="0043547B" w:rsidRDefault="00E90383" w:rsidP="003C42B0">
            <w:pPr>
              <w:spacing w:after="0" w:line="240" w:lineRule="auto"/>
              <w:jc w:val="both"/>
              <w:rPr>
                <w:rFonts w:cstheme="minorHAnsi"/>
                <w:sz w:val="24"/>
                <w:szCs w:val="24"/>
              </w:rPr>
            </w:pPr>
            <w:r w:rsidRPr="0043547B">
              <w:rPr>
                <w:rFonts w:cstheme="minorHAnsi"/>
                <w:sz w:val="24"/>
                <w:szCs w:val="24"/>
              </w:rPr>
              <w:t>La présente Norme européenne spécifie les caractéristiques générales de conception, les exigences et les méthodes</w:t>
            </w:r>
            <w:r w:rsidR="003C42B0" w:rsidRPr="0043547B">
              <w:rPr>
                <w:rFonts w:cstheme="minorHAnsi"/>
                <w:sz w:val="24"/>
                <w:szCs w:val="24"/>
              </w:rPr>
              <w:t xml:space="preserve"> </w:t>
            </w:r>
            <w:r w:rsidRPr="0043547B">
              <w:rPr>
                <w:rFonts w:cstheme="minorHAnsi"/>
                <w:sz w:val="24"/>
                <w:szCs w:val="24"/>
              </w:rPr>
              <w:t>d’essai applicables aux échelles portables.</w:t>
            </w:r>
          </w:p>
          <w:p w:rsidR="003C42B0" w:rsidRPr="0043547B" w:rsidRDefault="00E90383" w:rsidP="003C42B0">
            <w:pPr>
              <w:spacing w:after="0" w:line="240" w:lineRule="auto"/>
              <w:jc w:val="both"/>
              <w:rPr>
                <w:rFonts w:cstheme="minorHAnsi"/>
                <w:sz w:val="24"/>
                <w:szCs w:val="24"/>
              </w:rPr>
            </w:pPr>
            <w:r w:rsidRPr="0043547B">
              <w:rPr>
                <w:rFonts w:cstheme="minorHAnsi"/>
                <w:sz w:val="24"/>
                <w:szCs w:val="24"/>
              </w:rPr>
              <w:t>Elle ne s’applique pas aux marchepieds ou aux échelles à usage professionnel spécifique tels que les échelles</w:t>
            </w:r>
            <w:r w:rsidR="003C42B0" w:rsidRPr="0043547B">
              <w:rPr>
                <w:rFonts w:cstheme="minorHAnsi"/>
                <w:sz w:val="24"/>
                <w:szCs w:val="24"/>
              </w:rPr>
              <w:t xml:space="preserve"> </w:t>
            </w:r>
            <w:r w:rsidRPr="0043547B">
              <w:rPr>
                <w:rFonts w:cstheme="minorHAnsi"/>
                <w:sz w:val="24"/>
                <w:szCs w:val="24"/>
              </w:rPr>
              <w:t>à incendie, les échelles de toit et les échelles escamotables.</w:t>
            </w:r>
          </w:p>
          <w:p w:rsidR="003C42B0" w:rsidRPr="0043547B" w:rsidRDefault="00E90383" w:rsidP="003C42B0">
            <w:pPr>
              <w:spacing w:after="0" w:line="240" w:lineRule="auto"/>
              <w:jc w:val="both"/>
              <w:rPr>
                <w:rFonts w:cstheme="minorHAnsi"/>
                <w:sz w:val="24"/>
                <w:szCs w:val="24"/>
              </w:rPr>
            </w:pPr>
            <w:r w:rsidRPr="0043547B">
              <w:rPr>
                <w:rFonts w:cstheme="minorHAnsi"/>
                <w:sz w:val="24"/>
                <w:szCs w:val="24"/>
              </w:rPr>
              <w:t>Elle ne s’applique pas aux échelles utilisées pour effectuer des travaux sur des installations électriques ou à proximité</w:t>
            </w:r>
            <w:r w:rsidR="003C42B0" w:rsidRPr="0043547B">
              <w:rPr>
                <w:rFonts w:cstheme="minorHAnsi"/>
                <w:sz w:val="24"/>
                <w:szCs w:val="24"/>
              </w:rPr>
              <w:t xml:space="preserve"> </w:t>
            </w:r>
            <w:r w:rsidRPr="0043547B">
              <w:rPr>
                <w:rFonts w:cstheme="minorHAnsi"/>
                <w:sz w:val="24"/>
                <w:szCs w:val="24"/>
              </w:rPr>
              <w:t>de circuits électriques sous tension. À cet effet, l’EN 61478 s’applique.</w:t>
            </w:r>
          </w:p>
          <w:p w:rsidR="003C42B0" w:rsidRPr="00730AD3" w:rsidRDefault="00E90383" w:rsidP="003C42B0">
            <w:pPr>
              <w:spacing w:after="0" w:line="240" w:lineRule="auto"/>
              <w:jc w:val="both"/>
              <w:rPr>
                <w:rFonts w:cstheme="minorHAnsi"/>
                <w:i/>
                <w:iCs/>
              </w:rPr>
            </w:pPr>
            <w:r w:rsidRPr="00730AD3">
              <w:rPr>
                <w:rFonts w:cstheme="minorHAnsi"/>
                <w:b/>
                <w:bCs/>
                <w:i/>
                <w:iCs/>
              </w:rPr>
              <w:t>NOTE</w:t>
            </w:r>
            <w:r w:rsidR="003C42B0" w:rsidRPr="00730AD3">
              <w:rPr>
                <w:rFonts w:cstheme="minorHAnsi"/>
                <w:b/>
                <w:bCs/>
                <w:i/>
                <w:iCs/>
              </w:rPr>
              <w:t> :</w:t>
            </w:r>
            <w:r w:rsidR="003C42B0" w:rsidRPr="00730AD3">
              <w:rPr>
                <w:rFonts w:cstheme="minorHAnsi"/>
                <w:i/>
                <w:iCs/>
              </w:rPr>
              <w:t xml:space="preserve"> </w:t>
            </w:r>
            <w:r w:rsidRPr="00730AD3">
              <w:rPr>
                <w:rFonts w:cstheme="minorHAnsi"/>
                <w:i/>
                <w:iCs/>
              </w:rPr>
              <w:t>Pour les échelles à caractères isolants (une tension inférieure à 1 000 V c.a. ou à 1 500 V c.c.), l’EN 50528</w:t>
            </w:r>
            <w:r w:rsidR="003C42B0" w:rsidRPr="00730AD3">
              <w:rPr>
                <w:rFonts w:cstheme="minorHAnsi"/>
                <w:i/>
                <w:iCs/>
              </w:rPr>
              <w:t xml:space="preserve"> </w:t>
            </w:r>
            <w:r w:rsidRPr="00730AD3">
              <w:rPr>
                <w:rFonts w:cstheme="minorHAnsi"/>
                <w:i/>
                <w:iCs/>
              </w:rPr>
              <w:t>est en préparation.</w:t>
            </w:r>
          </w:p>
          <w:p w:rsidR="003C42B0" w:rsidRPr="0043547B" w:rsidRDefault="00E90383" w:rsidP="003C42B0">
            <w:pPr>
              <w:spacing w:after="0" w:line="240" w:lineRule="auto"/>
              <w:jc w:val="both"/>
              <w:rPr>
                <w:rFonts w:cstheme="minorHAnsi"/>
                <w:sz w:val="24"/>
                <w:szCs w:val="24"/>
              </w:rPr>
            </w:pPr>
            <w:r w:rsidRPr="0043547B">
              <w:rPr>
                <w:rFonts w:cstheme="minorHAnsi"/>
                <w:sz w:val="24"/>
                <w:szCs w:val="24"/>
              </w:rPr>
              <w:t>La présente norme doit être utilisée conjointement avec l’EN 131-1.</w:t>
            </w:r>
          </w:p>
          <w:p w:rsidR="003C42B0" w:rsidRPr="0043547B" w:rsidRDefault="00E90383" w:rsidP="004B0064">
            <w:pPr>
              <w:spacing w:after="0" w:line="240" w:lineRule="auto"/>
              <w:jc w:val="both"/>
              <w:rPr>
                <w:rFonts w:cstheme="minorHAnsi"/>
                <w:sz w:val="24"/>
                <w:szCs w:val="24"/>
              </w:rPr>
            </w:pPr>
            <w:r w:rsidRPr="0043547B">
              <w:rPr>
                <w:rFonts w:cstheme="minorHAnsi"/>
                <w:sz w:val="24"/>
                <w:szCs w:val="24"/>
              </w:rPr>
              <w:t>Pour les échelles articulées à articulations simple et multiple, l’EN 131-4 s’applique</w:t>
            </w:r>
            <w:r w:rsidR="003C42B0" w:rsidRPr="0043547B">
              <w:rPr>
                <w:rFonts w:cstheme="minorHAnsi"/>
                <w:sz w:val="24"/>
                <w:szCs w:val="24"/>
              </w:rPr>
              <w:t>.</w:t>
            </w:r>
          </w:p>
        </w:tc>
      </w:tr>
      <w:tr w:rsidR="0043547B" w:rsidRPr="0043547B" w:rsidTr="00CB5DC0">
        <w:trPr>
          <w:trHeight w:val="467"/>
          <w:jc w:val="center"/>
        </w:trPr>
        <w:tc>
          <w:tcPr>
            <w:tcW w:w="1838" w:type="dxa"/>
            <w:tcBorders>
              <w:bottom w:val="single" w:sz="18" w:space="0" w:color="auto"/>
              <w:right w:val="single" w:sz="4" w:space="0" w:color="auto"/>
            </w:tcBorders>
            <w:shd w:val="clear" w:color="auto" w:fill="ACC777"/>
            <w:vAlign w:val="center"/>
          </w:tcPr>
          <w:p w:rsidR="00E90383" w:rsidRPr="0043547B" w:rsidRDefault="00E90383" w:rsidP="003C42B0">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left w:val="single" w:sz="4" w:space="0" w:color="auto"/>
              <w:bottom w:val="single" w:sz="18" w:space="0" w:color="auto"/>
            </w:tcBorders>
            <w:shd w:val="clear" w:color="auto" w:fill="ACC777"/>
            <w:vAlign w:val="center"/>
          </w:tcPr>
          <w:p w:rsidR="00E90383" w:rsidRPr="0043547B" w:rsidRDefault="00E90383" w:rsidP="003C42B0">
            <w:pPr>
              <w:spacing w:after="0" w:line="240" w:lineRule="auto"/>
              <w:jc w:val="center"/>
              <w:rPr>
                <w:rFonts w:cstheme="minorHAnsi"/>
                <w:b/>
                <w:bCs/>
                <w:sz w:val="24"/>
                <w:szCs w:val="24"/>
              </w:rPr>
            </w:pPr>
            <w:r w:rsidRPr="0043547B">
              <w:rPr>
                <w:rFonts w:cstheme="minorHAnsi"/>
                <w:b/>
                <w:bCs/>
                <w:sz w:val="24"/>
                <w:szCs w:val="24"/>
              </w:rPr>
              <w:t>NM EN 1298</w:t>
            </w:r>
          </w:p>
        </w:tc>
      </w:tr>
      <w:tr w:rsidR="0043547B" w:rsidRPr="0043547B" w:rsidTr="00CB5DC0">
        <w:trPr>
          <w:trHeight w:val="389"/>
          <w:jc w:val="center"/>
        </w:trPr>
        <w:tc>
          <w:tcPr>
            <w:tcW w:w="1838" w:type="dxa"/>
            <w:tcBorders>
              <w:top w:val="single" w:sz="18" w:space="0" w:color="auto"/>
              <w:bottom w:val="single" w:sz="4" w:space="0" w:color="auto"/>
              <w:right w:val="single" w:sz="4" w:space="0" w:color="auto"/>
            </w:tcBorders>
            <w:shd w:val="clear" w:color="auto" w:fill="FFFF99"/>
            <w:vAlign w:val="center"/>
          </w:tcPr>
          <w:p w:rsidR="00E90383" w:rsidRPr="0043547B" w:rsidRDefault="00E90383" w:rsidP="003C42B0">
            <w:pPr>
              <w:spacing w:after="0" w:line="240" w:lineRule="auto"/>
              <w:jc w:val="center"/>
              <w:rPr>
                <w:rFonts w:cstheme="minorHAnsi"/>
                <w:b/>
                <w:bCs/>
                <w:sz w:val="24"/>
                <w:szCs w:val="24"/>
              </w:rPr>
            </w:pPr>
            <w:r w:rsidRPr="0043547B">
              <w:rPr>
                <w:rFonts w:cstheme="minorHAnsi"/>
                <w:b/>
                <w:bCs/>
                <w:sz w:val="24"/>
                <w:szCs w:val="24"/>
              </w:rPr>
              <w:lastRenderedPageBreak/>
              <w:t>Equivalence :</w:t>
            </w:r>
          </w:p>
        </w:tc>
        <w:tc>
          <w:tcPr>
            <w:tcW w:w="7938" w:type="dxa"/>
            <w:tcBorders>
              <w:top w:val="single" w:sz="18" w:space="0" w:color="auto"/>
              <w:left w:val="single" w:sz="4" w:space="0" w:color="auto"/>
              <w:bottom w:val="single" w:sz="4" w:space="0" w:color="auto"/>
            </w:tcBorders>
            <w:shd w:val="clear" w:color="auto" w:fill="FFFF99"/>
            <w:vAlign w:val="center"/>
          </w:tcPr>
          <w:p w:rsidR="00E90383" w:rsidRPr="0043547B" w:rsidRDefault="00E90383" w:rsidP="003C42B0">
            <w:pPr>
              <w:spacing w:after="0" w:line="240" w:lineRule="auto"/>
              <w:jc w:val="center"/>
              <w:rPr>
                <w:rFonts w:cstheme="minorHAnsi"/>
                <w:b/>
                <w:bCs/>
                <w:sz w:val="24"/>
                <w:szCs w:val="24"/>
              </w:rPr>
            </w:pPr>
            <w:r w:rsidRPr="0043547B">
              <w:rPr>
                <w:rFonts w:cstheme="minorHAnsi"/>
                <w:b/>
                <w:bCs/>
                <w:sz w:val="24"/>
                <w:szCs w:val="24"/>
              </w:rPr>
              <w:t>EN 1298</w:t>
            </w:r>
          </w:p>
        </w:tc>
      </w:tr>
      <w:tr w:rsidR="0043547B" w:rsidRPr="0043547B" w:rsidTr="00CB5DC0">
        <w:trPr>
          <w:trHeight w:val="629"/>
          <w:jc w:val="center"/>
        </w:trPr>
        <w:tc>
          <w:tcPr>
            <w:tcW w:w="1838" w:type="dxa"/>
            <w:tcBorders>
              <w:top w:val="single" w:sz="4" w:space="0" w:color="auto"/>
              <w:bottom w:val="single" w:sz="4" w:space="0" w:color="auto"/>
              <w:right w:val="single" w:sz="4" w:space="0" w:color="auto"/>
            </w:tcBorders>
            <w:shd w:val="clear" w:color="auto" w:fill="8DB3E2" w:themeFill="text2" w:themeFillTint="66"/>
            <w:vAlign w:val="center"/>
          </w:tcPr>
          <w:p w:rsidR="00E90383" w:rsidRPr="0043547B" w:rsidRDefault="00E90383" w:rsidP="003C42B0">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tcBorders>
            <w:shd w:val="clear" w:color="auto" w:fill="auto"/>
            <w:vAlign w:val="bottom"/>
          </w:tcPr>
          <w:p w:rsidR="00E90383" w:rsidRPr="0043547B" w:rsidRDefault="00E90383" w:rsidP="003C42B0">
            <w:pPr>
              <w:spacing w:after="0" w:line="240" w:lineRule="auto"/>
              <w:jc w:val="both"/>
              <w:rPr>
                <w:rFonts w:cstheme="minorHAnsi"/>
                <w:sz w:val="24"/>
                <w:szCs w:val="24"/>
              </w:rPr>
            </w:pPr>
            <w:r w:rsidRPr="0043547B">
              <w:rPr>
                <w:rFonts w:cstheme="minorHAnsi"/>
                <w:sz w:val="24"/>
                <w:szCs w:val="24"/>
              </w:rPr>
              <w:t xml:space="preserve">Échafaudages roulants de service - Règles et grandes lignes pour la préparation d'un manuel d'opération </w:t>
            </w:r>
          </w:p>
        </w:tc>
      </w:tr>
      <w:tr w:rsidR="0043547B" w:rsidRPr="0043547B" w:rsidTr="00CB5DC0">
        <w:trPr>
          <w:trHeight w:val="922"/>
          <w:jc w:val="center"/>
        </w:trPr>
        <w:tc>
          <w:tcPr>
            <w:tcW w:w="1838" w:type="dxa"/>
            <w:tcBorders>
              <w:top w:val="single" w:sz="4" w:space="0" w:color="auto"/>
              <w:bottom w:val="single" w:sz="18" w:space="0" w:color="auto"/>
              <w:right w:val="single" w:sz="4" w:space="0" w:color="auto"/>
            </w:tcBorders>
            <w:shd w:val="clear" w:color="000000" w:fill="D9D9D9"/>
            <w:vAlign w:val="center"/>
          </w:tcPr>
          <w:p w:rsidR="00E90383" w:rsidRPr="0043547B" w:rsidRDefault="00E90383" w:rsidP="003C42B0">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tcBorders>
            <w:shd w:val="clear" w:color="auto" w:fill="auto"/>
            <w:vAlign w:val="bottom"/>
          </w:tcPr>
          <w:p w:rsidR="003C42B0" w:rsidRPr="0043547B" w:rsidRDefault="00E90383" w:rsidP="004B0064">
            <w:pPr>
              <w:spacing w:after="0" w:line="240" w:lineRule="auto"/>
              <w:jc w:val="both"/>
              <w:rPr>
                <w:rFonts w:cstheme="minorHAnsi"/>
                <w:sz w:val="24"/>
                <w:szCs w:val="24"/>
              </w:rPr>
            </w:pPr>
            <w:r w:rsidRPr="0043547B">
              <w:rPr>
                <w:rFonts w:cstheme="minorHAnsi"/>
                <w:sz w:val="24"/>
                <w:szCs w:val="24"/>
              </w:rPr>
              <w:t xml:space="preserve">Donne des </w:t>
            </w:r>
            <w:r w:rsidR="003C42B0" w:rsidRPr="0043547B">
              <w:rPr>
                <w:rFonts w:cstheme="minorHAnsi"/>
                <w:sz w:val="24"/>
                <w:szCs w:val="24"/>
              </w:rPr>
              <w:t>règles</w:t>
            </w:r>
            <w:r w:rsidRPr="0043547B">
              <w:rPr>
                <w:rFonts w:cstheme="minorHAnsi"/>
                <w:sz w:val="24"/>
                <w:szCs w:val="24"/>
              </w:rPr>
              <w:t xml:space="preserve"> et de grandes lignes pour la préparation des manuels d'instruction des </w:t>
            </w:r>
            <w:r w:rsidR="003C42B0" w:rsidRPr="0043547B">
              <w:rPr>
                <w:rFonts w:cstheme="minorHAnsi"/>
                <w:sz w:val="24"/>
                <w:szCs w:val="24"/>
              </w:rPr>
              <w:t>échafaudages</w:t>
            </w:r>
            <w:r w:rsidRPr="0043547B">
              <w:rPr>
                <w:rFonts w:cstheme="minorHAnsi"/>
                <w:sz w:val="24"/>
                <w:szCs w:val="24"/>
              </w:rPr>
              <w:t xml:space="preserve"> roulants </w:t>
            </w:r>
            <w:r w:rsidR="003C42B0" w:rsidRPr="0043547B">
              <w:rPr>
                <w:rFonts w:cstheme="minorHAnsi"/>
                <w:sz w:val="24"/>
                <w:szCs w:val="24"/>
              </w:rPr>
              <w:t>conformes à</w:t>
            </w:r>
            <w:r w:rsidRPr="0043547B">
              <w:rPr>
                <w:rFonts w:cstheme="minorHAnsi"/>
                <w:sz w:val="24"/>
                <w:szCs w:val="24"/>
              </w:rPr>
              <w:t xml:space="preserve"> HD 1004</w:t>
            </w:r>
            <w:r w:rsidR="003C42B0" w:rsidRPr="0043547B">
              <w:rPr>
                <w:rFonts w:cstheme="minorHAnsi"/>
                <w:sz w:val="24"/>
                <w:szCs w:val="24"/>
              </w:rPr>
              <w:t>, un</w:t>
            </w:r>
            <w:r w:rsidRPr="0043547B">
              <w:rPr>
                <w:rFonts w:cstheme="minorHAnsi"/>
                <w:sz w:val="24"/>
                <w:szCs w:val="24"/>
              </w:rPr>
              <w:t xml:space="preserve"> </w:t>
            </w:r>
            <w:r w:rsidR="003C42B0" w:rsidRPr="0043547B">
              <w:rPr>
                <w:rFonts w:cstheme="minorHAnsi"/>
                <w:sz w:val="24"/>
                <w:szCs w:val="24"/>
              </w:rPr>
              <w:t>échafaudage</w:t>
            </w:r>
            <w:r w:rsidRPr="0043547B">
              <w:rPr>
                <w:rFonts w:cstheme="minorHAnsi"/>
                <w:sz w:val="24"/>
                <w:szCs w:val="24"/>
              </w:rPr>
              <w:t xml:space="preserve"> roulant n'est pas destiné à l'utilisation comme tout escalier donn</w:t>
            </w:r>
            <w:r w:rsidR="003C42B0" w:rsidRPr="0043547B">
              <w:rPr>
                <w:rFonts w:cstheme="minorHAnsi"/>
                <w:sz w:val="24"/>
                <w:szCs w:val="24"/>
              </w:rPr>
              <w:t xml:space="preserve">e </w:t>
            </w:r>
            <w:r w:rsidRPr="0043547B">
              <w:rPr>
                <w:rFonts w:cstheme="minorHAnsi"/>
                <w:sz w:val="24"/>
                <w:szCs w:val="24"/>
              </w:rPr>
              <w:t>accés à d'autres structures</w:t>
            </w:r>
          </w:p>
        </w:tc>
      </w:tr>
      <w:tr w:rsidR="0043547B" w:rsidRPr="0043547B" w:rsidTr="00CB5DC0">
        <w:trPr>
          <w:trHeight w:val="376"/>
          <w:jc w:val="center"/>
        </w:trPr>
        <w:tc>
          <w:tcPr>
            <w:tcW w:w="1838" w:type="dxa"/>
            <w:tcBorders>
              <w:bottom w:val="single" w:sz="18" w:space="0" w:color="auto"/>
              <w:right w:val="single" w:sz="4" w:space="0" w:color="auto"/>
            </w:tcBorders>
            <w:shd w:val="clear" w:color="auto" w:fill="ACC777"/>
            <w:vAlign w:val="center"/>
          </w:tcPr>
          <w:p w:rsidR="00E90383" w:rsidRPr="0043547B" w:rsidRDefault="003C42B0" w:rsidP="003C42B0">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left w:val="single" w:sz="4" w:space="0" w:color="auto"/>
              <w:bottom w:val="single" w:sz="18" w:space="0" w:color="auto"/>
            </w:tcBorders>
            <w:shd w:val="clear" w:color="auto" w:fill="ACC777"/>
            <w:vAlign w:val="center"/>
          </w:tcPr>
          <w:p w:rsidR="00E90383" w:rsidRPr="0043547B" w:rsidRDefault="00E90383" w:rsidP="003C42B0">
            <w:pPr>
              <w:spacing w:after="0" w:line="240" w:lineRule="auto"/>
              <w:jc w:val="center"/>
              <w:rPr>
                <w:rFonts w:cstheme="minorHAnsi"/>
                <w:b/>
                <w:bCs/>
                <w:sz w:val="24"/>
                <w:szCs w:val="24"/>
              </w:rPr>
            </w:pPr>
            <w:r w:rsidRPr="0043547B">
              <w:rPr>
                <w:rFonts w:cstheme="minorHAnsi"/>
                <w:b/>
                <w:bCs/>
                <w:sz w:val="24"/>
                <w:szCs w:val="24"/>
              </w:rPr>
              <w:t>NM EN 1263-1</w:t>
            </w:r>
          </w:p>
        </w:tc>
      </w:tr>
      <w:tr w:rsidR="0043547B" w:rsidRPr="0043547B" w:rsidTr="00CB5DC0">
        <w:trPr>
          <w:trHeight w:val="512"/>
          <w:jc w:val="center"/>
        </w:trPr>
        <w:tc>
          <w:tcPr>
            <w:tcW w:w="1838" w:type="dxa"/>
            <w:tcBorders>
              <w:top w:val="single" w:sz="18" w:space="0" w:color="auto"/>
              <w:bottom w:val="single" w:sz="4" w:space="0" w:color="auto"/>
              <w:right w:val="single" w:sz="4" w:space="0" w:color="auto"/>
            </w:tcBorders>
            <w:shd w:val="clear" w:color="auto" w:fill="FFFF99"/>
            <w:vAlign w:val="center"/>
          </w:tcPr>
          <w:p w:rsidR="00E90383" w:rsidRPr="0043547B" w:rsidRDefault="00E90383" w:rsidP="003C42B0">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tcBorders>
            <w:shd w:val="clear" w:color="auto" w:fill="FFFF99"/>
            <w:vAlign w:val="center"/>
          </w:tcPr>
          <w:p w:rsidR="00E90383" w:rsidRPr="0043547B" w:rsidRDefault="003C42B0" w:rsidP="003C42B0">
            <w:pPr>
              <w:spacing w:after="0" w:line="240" w:lineRule="auto"/>
              <w:jc w:val="center"/>
              <w:rPr>
                <w:rFonts w:cstheme="minorHAnsi"/>
                <w:b/>
                <w:bCs/>
                <w:sz w:val="24"/>
                <w:szCs w:val="24"/>
              </w:rPr>
            </w:pPr>
            <w:r w:rsidRPr="0043547B">
              <w:rPr>
                <w:rFonts w:cstheme="minorHAnsi"/>
                <w:b/>
                <w:bCs/>
                <w:sz w:val="24"/>
                <w:szCs w:val="24"/>
              </w:rPr>
              <w:t>EN 1263-1</w:t>
            </w:r>
          </w:p>
        </w:tc>
      </w:tr>
      <w:tr w:rsidR="0043547B" w:rsidRPr="0043547B" w:rsidTr="00CB5DC0">
        <w:trPr>
          <w:trHeight w:val="534"/>
          <w:jc w:val="center"/>
        </w:trPr>
        <w:tc>
          <w:tcPr>
            <w:tcW w:w="1838" w:type="dxa"/>
            <w:tcBorders>
              <w:top w:val="single" w:sz="4" w:space="0" w:color="auto"/>
              <w:bottom w:val="single" w:sz="4" w:space="0" w:color="auto"/>
              <w:right w:val="single" w:sz="4" w:space="0" w:color="auto"/>
            </w:tcBorders>
            <w:shd w:val="clear" w:color="auto" w:fill="8DB3E2" w:themeFill="text2" w:themeFillTint="66"/>
            <w:vAlign w:val="center"/>
          </w:tcPr>
          <w:p w:rsidR="00E90383" w:rsidRPr="0043547B" w:rsidRDefault="00E90383" w:rsidP="003C42B0">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tcBorders>
            <w:shd w:val="clear" w:color="auto" w:fill="auto"/>
            <w:vAlign w:val="center"/>
          </w:tcPr>
          <w:p w:rsidR="00E90383" w:rsidRPr="0043547B" w:rsidRDefault="00E90383" w:rsidP="003C42B0">
            <w:pPr>
              <w:spacing w:after="0" w:line="240" w:lineRule="auto"/>
              <w:rPr>
                <w:rFonts w:cstheme="minorHAnsi"/>
                <w:sz w:val="24"/>
                <w:szCs w:val="24"/>
              </w:rPr>
            </w:pPr>
            <w:r w:rsidRPr="0043547B">
              <w:rPr>
                <w:rFonts w:cstheme="minorHAnsi"/>
                <w:sz w:val="24"/>
                <w:szCs w:val="24"/>
              </w:rPr>
              <w:t>Équipements temporaires de chantiers - Filets de sécurité - Partie 1 : Exigences de sécurité, méthodes d'essai </w:t>
            </w:r>
          </w:p>
        </w:tc>
      </w:tr>
      <w:tr w:rsidR="0043547B" w:rsidRPr="0043547B" w:rsidTr="00CB5DC0">
        <w:trPr>
          <w:trHeight w:val="629"/>
          <w:jc w:val="center"/>
        </w:trPr>
        <w:tc>
          <w:tcPr>
            <w:tcW w:w="1838" w:type="dxa"/>
            <w:tcBorders>
              <w:top w:val="single" w:sz="4" w:space="0" w:color="auto"/>
              <w:bottom w:val="single" w:sz="18" w:space="0" w:color="auto"/>
              <w:right w:val="single" w:sz="4" w:space="0" w:color="auto"/>
            </w:tcBorders>
            <w:shd w:val="clear" w:color="000000" w:fill="D9D9D9"/>
            <w:vAlign w:val="center"/>
          </w:tcPr>
          <w:p w:rsidR="00E90383" w:rsidRPr="0043547B" w:rsidRDefault="00E90383" w:rsidP="003C42B0">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tcBorders>
            <w:shd w:val="clear" w:color="auto" w:fill="auto"/>
            <w:vAlign w:val="bottom"/>
          </w:tcPr>
          <w:p w:rsidR="004B0064" w:rsidRPr="0043547B" w:rsidRDefault="00E90383" w:rsidP="00730AD3">
            <w:pPr>
              <w:spacing w:after="0" w:line="240" w:lineRule="auto"/>
              <w:jc w:val="both"/>
              <w:rPr>
                <w:rFonts w:cstheme="minorHAnsi"/>
                <w:sz w:val="24"/>
                <w:szCs w:val="24"/>
              </w:rPr>
            </w:pPr>
            <w:r w:rsidRPr="0043547B">
              <w:rPr>
                <w:rFonts w:cstheme="minorHAnsi"/>
                <w:sz w:val="24"/>
                <w:szCs w:val="24"/>
              </w:rPr>
              <w:t>La présente Norme européenne s'applique aux filets de sécurité et à leurs accessoires utilisés dans les travaux de</w:t>
            </w:r>
            <w:r w:rsidR="003C42B0" w:rsidRPr="0043547B">
              <w:rPr>
                <w:rFonts w:cstheme="minorHAnsi"/>
                <w:sz w:val="24"/>
                <w:szCs w:val="24"/>
              </w:rPr>
              <w:t xml:space="preserve"> </w:t>
            </w:r>
            <w:r w:rsidRPr="0043547B">
              <w:rPr>
                <w:rFonts w:cstheme="minorHAnsi"/>
                <w:sz w:val="24"/>
                <w:szCs w:val="24"/>
              </w:rPr>
              <w:t>construction et d'assemblage pour protéger contre des chutes de hauteurs conséquentes. Elle spécifie les exigences</w:t>
            </w:r>
            <w:r w:rsidR="003C42B0" w:rsidRPr="0043547B">
              <w:rPr>
                <w:rFonts w:cstheme="minorHAnsi"/>
                <w:sz w:val="24"/>
                <w:szCs w:val="24"/>
              </w:rPr>
              <w:t xml:space="preserve"> </w:t>
            </w:r>
            <w:r w:rsidRPr="0043547B">
              <w:rPr>
                <w:rFonts w:cstheme="minorHAnsi"/>
                <w:sz w:val="24"/>
                <w:szCs w:val="24"/>
              </w:rPr>
              <w:t>de sécurité et les méthodes d'essai et est fondée sur les caractéristiques de performance des fibres de polypropène</w:t>
            </w:r>
            <w:r w:rsidR="000906B1">
              <w:rPr>
                <w:rFonts w:cstheme="minorHAnsi"/>
                <w:sz w:val="24"/>
                <w:szCs w:val="24"/>
              </w:rPr>
              <w:t xml:space="preserve"> </w:t>
            </w:r>
            <w:r w:rsidRPr="0043547B">
              <w:rPr>
                <w:rFonts w:cstheme="minorHAnsi"/>
                <w:sz w:val="24"/>
                <w:szCs w:val="24"/>
              </w:rPr>
              <w:t>et de polyamide. Il convient que les matériaux utilisés pour la fabrication des filets ne présentent pas de réduction</w:t>
            </w:r>
            <w:r w:rsidR="003C42B0" w:rsidRPr="0043547B">
              <w:rPr>
                <w:rFonts w:cstheme="minorHAnsi"/>
                <w:sz w:val="24"/>
                <w:szCs w:val="24"/>
              </w:rPr>
              <w:t xml:space="preserve"> </w:t>
            </w:r>
            <w:r w:rsidRPr="0043547B">
              <w:rPr>
                <w:rFonts w:cstheme="minorHAnsi"/>
                <w:sz w:val="24"/>
                <w:szCs w:val="24"/>
              </w:rPr>
              <w:t>significative de leurs caractéristiques mécaniques dans une plage de températures comprises entre – 10 °C</w:t>
            </w:r>
            <w:r w:rsidR="003C42B0" w:rsidRPr="0043547B">
              <w:rPr>
                <w:rFonts w:cstheme="minorHAnsi"/>
                <w:sz w:val="24"/>
                <w:szCs w:val="24"/>
              </w:rPr>
              <w:t xml:space="preserve"> </w:t>
            </w:r>
            <w:r w:rsidRPr="0043547B">
              <w:rPr>
                <w:rFonts w:cstheme="minorHAnsi"/>
                <w:sz w:val="24"/>
                <w:szCs w:val="24"/>
              </w:rPr>
              <w:t>et + 40 °C.</w:t>
            </w:r>
            <w:r w:rsidR="003C42B0" w:rsidRPr="0043547B">
              <w:rPr>
                <w:rFonts w:cstheme="minorHAnsi"/>
                <w:sz w:val="24"/>
                <w:szCs w:val="24"/>
              </w:rPr>
              <w:t xml:space="preserve"> </w:t>
            </w:r>
            <w:r w:rsidRPr="0043547B">
              <w:rPr>
                <w:rFonts w:cstheme="minorHAnsi"/>
                <w:sz w:val="24"/>
                <w:szCs w:val="24"/>
              </w:rPr>
              <w:t>Cette norme européenne ne couvre pas la pose des filets de sécurité. Pour une Norme européenne couvrant la pose</w:t>
            </w:r>
            <w:r w:rsidR="000906B1">
              <w:rPr>
                <w:rFonts w:cstheme="minorHAnsi"/>
                <w:sz w:val="24"/>
                <w:szCs w:val="24"/>
              </w:rPr>
              <w:t xml:space="preserve"> </w:t>
            </w:r>
            <w:r w:rsidRPr="0043547B">
              <w:rPr>
                <w:rFonts w:cstheme="minorHAnsi"/>
                <w:sz w:val="24"/>
                <w:szCs w:val="24"/>
              </w:rPr>
              <w:t>des filets de sécurité, se reporter à l'EN 1263-2</w:t>
            </w:r>
            <w:r w:rsidR="00730AD3">
              <w:rPr>
                <w:rFonts w:cstheme="minorHAnsi"/>
                <w:sz w:val="24"/>
                <w:szCs w:val="24"/>
              </w:rPr>
              <w:t>.</w:t>
            </w:r>
          </w:p>
        </w:tc>
      </w:tr>
      <w:tr w:rsidR="0043547B" w:rsidRPr="0043547B" w:rsidTr="00CB5DC0">
        <w:trPr>
          <w:trHeight w:val="383"/>
          <w:jc w:val="center"/>
        </w:trPr>
        <w:tc>
          <w:tcPr>
            <w:tcW w:w="1838" w:type="dxa"/>
            <w:tcBorders>
              <w:bottom w:val="single" w:sz="18" w:space="0" w:color="auto"/>
              <w:right w:val="single" w:sz="4" w:space="0" w:color="auto"/>
            </w:tcBorders>
            <w:shd w:val="clear" w:color="auto" w:fill="ACC777"/>
            <w:vAlign w:val="center"/>
          </w:tcPr>
          <w:p w:rsidR="00E90383" w:rsidRPr="0043547B" w:rsidRDefault="00E90383" w:rsidP="003C42B0">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left w:val="single" w:sz="4" w:space="0" w:color="auto"/>
              <w:bottom w:val="single" w:sz="18" w:space="0" w:color="auto"/>
            </w:tcBorders>
            <w:shd w:val="clear" w:color="auto" w:fill="ACC777"/>
            <w:vAlign w:val="center"/>
          </w:tcPr>
          <w:p w:rsidR="00E90383" w:rsidRPr="0043547B" w:rsidRDefault="00E90383" w:rsidP="003C42B0">
            <w:pPr>
              <w:spacing w:after="0" w:line="240" w:lineRule="auto"/>
              <w:jc w:val="center"/>
              <w:rPr>
                <w:rFonts w:cstheme="minorHAnsi"/>
                <w:b/>
                <w:bCs/>
                <w:sz w:val="24"/>
                <w:szCs w:val="24"/>
              </w:rPr>
            </w:pPr>
            <w:r w:rsidRPr="0043547B">
              <w:rPr>
                <w:rFonts w:cstheme="minorHAnsi"/>
                <w:b/>
                <w:bCs/>
                <w:sz w:val="24"/>
                <w:szCs w:val="24"/>
              </w:rPr>
              <w:t>NM EN 1263-2</w:t>
            </w:r>
          </w:p>
        </w:tc>
      </w:tr>
      <w:tr w:rsidR="0043547B" w:rsidRPr="0043547B" w:rsidTr="00CB5DC0">
        <w:trPr>
          <w:trHeight w:val="361"/>
          <w:jc w:val="center"/>
        </w:trPr>
        <w:tc>
          <w:tcPr>
            <w:tcW w:w="1838" w:type="dxa"/>
            <w:tcBorders>
              <w:top w:val="single" w:sz="18" w:space="0" w:color="auto"/>
              <w:bottom w:val="single" w:sz="4" w:space="0" w:color="auto"/>
              <w:right w:val="single" w:sz="4" w:space="0" w:color="auto"/>
            </w:tcBorders>
            <w:shd w:val="clear" w:color="auto" w:fill="FFFF99"/>
            <w:vAlign w:val="center"/>
          </w:tcPr>
          <w:p w:rsidR="00E90383" w:rsidRPr="0043547B" w:rsidRDefault="00E90383" w:rsidP="003C42B0">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tcBorders>
            <w:shd w:val="clear" w:color="auto" w:fill="FFFF99"/>
            <w:vAlign w:val="center"/>
          </w:tcPr>
          <w:p w:rsidR="00E90383" w:rsidRPr="0043547B" w:rsidRDefault="00E90383" w:rsidP="003C42B0">
            <w:pPr>
              <w:spacing w:after="0" w:line="240" w:lineRule="auto"/>
              <w:jc w:val="center"/>
              <w:rPr>
                <w:rFonts w:cstheme="minorHAnsi"/>
                <w:b/>
                <w:bCs/>
                <w:sz w:val="24"/>
                <w:szCs w:val="24"/>
              </w:rPr>
            </w:pPr>
            <w:r w:rsidRPr="0043547B">
              <w:rPr>
                <w:rFonts w:cstheme="minorHAnsi"/>
                <w:b/>
                <w:bCs/>
                <w:sz w:val="24"/>
                <w:szCs w:val="24"/>
              </w:rPr>
              <w:t>EN 1263-2</w:t>
            </w:r>
          </w:p>
        </w:tc>
      </w:tr>
      <w:tr w:rsidR="0043547B" w:rsidRPr="0043547B" w:rsidTr="00CB5DC0">
        <w:trPr>
          <w:trHeight w:val="545"/>
          <w:jc w:val="center"/>
        </w:trPr>
        <w:tc>
          <w:tcPr>
            <w:tcW w:w="1838" w:type="dxa"/>
            <w:tcBorders>
              <w:top w:val="single" w:sz="4" w:space="0" w:color="auto"/>
              <w:bottom w:val="single" w:sz="4" w:space="0" w:color="auto"/>
              <w:right w:val="single" w:sz="4" w:space="0" w:color="auto"/>
            </w:tcBorders>
            <w:shd w:val="clear" w:color="000000" w:fill="D9D9D9"/>
            <w:vAlign w:val="center"/>
          </w:tcPr>
          <w:p w:rsidR="00E90383" w:rsidRPr="0043547B" w:rsidRDefault="00E90383" w:rsidP="003C42B0">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tcBorders>
            <w:shd w:val="clear" w:color="auto" w:fill="auto"/>
            <w:vAlign w:val="bottom"/>
          </w:tcPr>
          <w:p w:rsidR="00E90383" w:rsidRPr="0043547B" w:rsidRDefault="00E90383" w:rsidP="003C42B0">
            <w:pPr>
              <w:spacing w:after="0" w:line="240" w:lineRule="auto"/>
              <w:jc w:val="both"/>
              <w:rPr>
                <w:rFonts w:cstheme="minorHAnsi"/>
                <w:sz w:val="24"/>
                <w:szCs w:val="24"/>
              </w:rPr>
            </w:pPr>
            <w:r w:rsidRPr="0043547B">
              <w:rPr>
                <w:rFonts w:cstheme="minorHAnsi"/>
                <w:sz w:val="24"/>
                <w:szCs w:val="24"/>
              </w:rPr>
              <w:t>Équipements temporaires de chantiers - Filets de sécurité - Partie 2 : Exigences de sécurité concernant les limites de montage </w:t>
            </w:r>
          </w:p>
        </w:tc>
      </w:tr>
      <w:tr w:rsidR="0043547B" w:rsidRPr="0043547B" w:rsidTr="00CB5DC0">
        <w:trPr>
          <w:trHeight w:val="2075"/>
          <w:jc w:val="center"/>
        </w:trPr>
        <w:tc>
          <w:tcPr>
            <w:tcW w:w="1838" w:type="dxa"/>
            <w:tcBorders>
              <w:top w:val="single" w:sz="4" w:space="0" w:color="auto"/>
              <w:bottom w:val="single" w:sz="18" w:space="0" w:color="auto"/>
              <w:right w:val="single" w:sz="4" w:space="0" w:color="auto"/>
            </w:tcBorders>
            <w:shd w:val="clear" w:color="000000" w:fill="D9D9D9"/>
            <w:vAlign w:val="center"/>
          </w:tcPr>
          <w:p w:rsidR="00E90383" w:rsidRPr="0043547B" w:rsidRDefault="00E90383" w:rsidP="003C42B0">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tcBorders>
            <w:shd w:val="clear" w:color="auto" w:fill="auto"/>
            <w:vAlign w:val="bottom"/>
          </w:tcPr>
          <w:p w:rsidR="003C42B0" w:rsidRPr="0043547B" w:rsidRDefault="00E90383" w:rsidP="003C42B0">
            <w:pPr>
              <w:spacing w:after="0" w:line="240" w:lineRule="auto"/>
              <w:jc w:val="both"/>
              <w:rPr>
                <w:rFonts w:cstheme="minorHAnsi"/>
                <w:sz w:val="24"/>
                <w:szCs w:val="24"/>
              </w:rPr>
            </w:pPr>
            <w:r w:rsidRPr="0043547B">
              <w:rPr>
                <w:rFonts w:cstheme="minorHAnsi"/>
                <w:sz w:val="24"/>
                <w:szCs w:val="24"/>
              </w:rPr>
              <w:t>La présente Norme européenne spécifie les exigences de sécurité relatives au montage des filets de sécurité</w:t>
            </w:r>
            <w:r w:rsidR="003C42B0" w:rsidRPr="0043547B">
              <w:rPr>
                <w:rFonts w:cstheme="minorHAnsi"/>
                <w:sz w:val="24"/>
                <w:szCs w:val="24"/>
              </w:rPr>
              <w:t xml:space="preserve"> </w:t>
            </w:r>
            <w:r w:rsidRPr="0043547B">
              <w:rPr>
                <w:rFonts w:cstheme="minorHAnsi"/>
                <w:sz w:val="24"/>
                <w:szCs w:val="24"/>
              </w:rPr>
              <w:t>conformément au manuel d'instructions du fabricant et aux spécifications du produit, ainsi qu’à la réalisation des</w:t>
            </w:r>
            <w:r w:rsidR="003C42B0" w:rsidRPr="0043547B">
              <w:rPr>
                <w:rFonts w:cstheme="minorHAnsi"/>
                <w:sz w:val="24"/>
                <w:szCs w:val="24"/>
              </w:rPr>
              <w:t xml:space="preserve"> </w:t>
            </w:r>
            <w:r w:rsidRPr="0043547B">
              <w:rPr>
                <w:rFonts w:cstheme="minorHAnsi"/>
                <w:sz w:val="24"/>
                <w:szCs w:val="24"/>
              </w:rPr>
              <w:t>essais sur les filets de sécurité de système S, T, U et V conformément à l'EN 1263-1.</w:t>
            </w:r>
          </w:p>
          <w:p w:rsidR="00E90383" w:rsidRPr="0043547B" w:rsidRDefault="00E90383" w:rsidP="003C42B0">
            <w:pPr>
              <w:spacing w:after="0" w:line="240" w:lineRule="auto"/>
              <w:jc w:val="both"/>
              <w:rPr>
                <w:rFonts w:cstheme="minorHAnsi"/>
                <w:sz w:val="24"/>
                <w:szCs w:val="24"/>
              </w:rPr>
            </w:pPr>
            <w:r w:rsidRPr="0043547B">
              <w:rPr>
                <w:rFonts w:cstheme="minorHAnsi"/>
                <w:sz w:val="24"/>
                <w:szCs w:val="24"/>
              </w:rPr>
              <w:t>Les filets de sécurité de petite taille de système S selon l’EN 1263-1 (plus petits que 35 m2 et 5,0 m du côté le plus</w:t>
            </w:r>
            <w:r w:rsidR="003C42B0" w:rsidRPr="0043547B">
              <w:rPr>
                <w:rFonts w:cstheme="minorHAnsi"/>
                <w:sz w:val="24"/>
                <w:szCs w:val="24"/>
              </w:rPr>
              <w:t xml:space="preserve"> </w:t>
            </w:r>
            <w:r w:rsidRPr="0043547B">
              <w:rPr>
                <w:rFonts w:cstheme="minorHAnsi"/>
                <w:sz w:val="24"/>
                <w:szCs w:val="24"/>
              </w:rPr>
              <w:t xml:space="preserve">court) ne sont pas traités dans la présente </w:t>
            </w:r>
            <w:r w:rsidR="003C42B0" w:rsidRPr="0043547B">
              <w:rPr>
                <w:rFonts w:cstheme="minorHAnsi"/>
                <w:sz w:val="24"/>
                <w:szCs w:val="24"/>
              </w:rPr>
              <w:t>n</w:t>
            </w:r>
            <w:r w:rsidRPr="0043547B">
              <w:rPr>
                <w:rFonts w:cstheme="minorHAnsi"/>
                <w:sz w:val="24"/>
                <w:szCs w:val="24"/>
              </w:rPr>
              <w:t>orme européenne.</w:t>
            </w:r>
          </w:p>
        </w:tc>
      </w:tr>
      <w:tr w:rsidR="0043547B" w:rsidRPr="0043547B" w:rsidTr="00CB5DC0">
        <w:trPr>
          <w:trHeight w:val="224"/>
          <w:jc w:val="center"/>
        </w:trPr>
        <w:tc>
          <w:tcPr>
            <w:tcW w:w="1838" w:type="dxa"/>
            <w:tcBorders>
              <w:top w:val="single" w:sz="18" w:space="0" w:color="auto"/>
              <w:bottom w:val="single" w:sz="18" w:space="0" w:color="auto"/>
              <w:right w:val="single" w:sz="4" w:space="0" w:color="auto"/>
            </w:tcBorders>
            <w:shd w:val="clear" w:color="auto" w:fill="B7CE88"/>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tcBorders>
            <w:shd w:val="clear" w:color="auto" w:fill="B7CE88"/>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NM 05.2.215</w:t>
            </w:r>
          </w:p>
        </w:tc>
      </w:tr>
      <w:tr w:rsidR="0043547B" w:rsidRPr="0043547B" w:rsidTr="00CB5DC0">
        <w:trPr>
          <w:trHeight w:val="65"/>
          <w:jc w:val="center"/>
        </w:trPr>
        <w:tc>
          <w:tcPr>
            <w:tcW w:w="1838" w:type="dxa"/>
            <w:tcBorders>
              <w:right w:val="single" w:sz="4" w:space="0" w:color="auto"/>
            </w:tcBorders>
            <w:shd w:val="clear" w:color="000000" w:fill="8DB4E2"/>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tcBorders>
            <w:shd w:val="clear" w:color="auto" w:fill="auto"/>
            <w:vAlign w:val="center"/>
          </w:tcPr>
          <w:p w:rsidR="00904E52" w:rsidRPr="0043547B" w:rsidRDefault="00904E52" w:rsidP="00904E52">
            <w:pPr>
              <w:spacing w:after="0"/>
              <w:jc w:val="both"/>
              <w:rPr>
                <w:rFonts w:cstheme="minorHAnsi"/>
                <w:sz w:val="24"/>
                <w:szCs w:val="24"/>
              </w:rPr>
            </w:pPr>
            <w:r w:rsidRPr="0043547B">
              <w:rPr>
                <w:rFonts w:cstheme="minorHAnsi"/>
                <w:sz w:val="24"/>
                <w:szCs w:val="24"/>
              </w:rPr>
              <w:t xml:space="preserve">Appareils d’appui en caoutchouc – Spécifications </w:t>
            </w:r>
          </w:p>
        </w:tc>
      </w:tr>
      <w:tr w:rsidR="0043547B" w:rsidRPr="0043547B" w:rsidTr="00CB5DC0">
        <w:trPr>
          <w:trHeight w:val="629"/>
          <w:jc w:val="center"/>
        </w:trPr>
        <w:tc>
          <w:tcPr>
            <w:tcW w:w="1838" w:type="dxa"/>
            <w:tcBorders>
              <w:bottom w:val="single" w:sz="18" w:space="0" w:color="auto"/>
              <w:right w:val="single" w:sz="4" w:space="0" w:color="auto"/>
            </w:tcBorders>
            <w:shd w:val="clear" w:color="000000" w:fill="D9D9D9"/>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tcBorders>
            <w:shd w:val="clear" w:color="auto" w:fill="auto"/>
            <w:vAlign w:val="center"/>
          </w:tcPr>
          <w:p w:rsidR="00904E52" w:rsidRPr="0043547B" w:rsidRDefault="00904E52" w:rsidP="00904E52">
            <w:pPr>
              <w:spacing w:after="0"/>
              <w:jc w:val="both"/>
              <w:rPr>
                <w:rFonts w:cstheme="minorHAnsi"/>
                <w:sz w:val="24"/>
                <w:szCs w:val="24"/>
              </w:rPr>
            </w:pPr>
            <w:r w:rsidRPr="0043547B">
              <w:rPr>
                <w:rFonts w:cstheme="minorHAnsi"/>
                <w:sz w:val="24"/>
                <w:szCs w:val="24"/>
              </w:rPr>
              <w:t>La norme a pour objet de définir les caractéristiques géométriques, mécaniques et de tenue à l’environnement que doivent présenter les appareils d’appui en caoutchouc.</w:t>
            </w:r>
          </w:p>
          <w:p w:rsidR="00904E52" w:rsidRPr="0043547B" w:rsidRDefault="00904E52" w:rsidP="00904E52">
            <w:pPr>
              <w:spacing w:after="0"/>
              <w:jc w:val="both"/>
              <w:rPr>
                <w:rFonts w:cstheme="minorHAnsi"/>
                <w:sz w:val="24"/>
                <w:szCs w:val="24"/>
              </w:rPr>
            </w:pPr>
            <w:r w:rsidRPr="0043547B">
              <w:rPr>
                <w:rFonts w:cstheme="minorHAnsi"/>
                <w:sz w:val="24"/>
                <w:szCs w:val="24"/>
              </w:rPr>
              <w:t>Elle est applicable aux appareils d’appui en caoutchouc fretté dont les frettes sont adhérisées aux feuillets au moment de leur vulcanisation.</w:t>
            </w:r>
          </w:p>
          <w:p w:rsidR="00904E52" w:rsidRPr="0043547B" w:rsidRDefault="00904E52" w:rsidP="00904E52">
            <w:pPr>
              <w:spacing w:after="0"/>
              <w:jc w:val="both"/>
              <w:rPr>
                <w:rFonts w:cstheme="minorHAnsi"/>
                <w:sz w:val="24"/>
                <w:szCs w:val="24"/>
              </w:rPr>
            </w:pPr>
            <w:r w:rsidRPr="0043547B">
              <w:rPr>
                <w:rFonts w:cstheme="minorHAnsi"/>
                <w:sz w:val="24"/>
                <w:szCs w:val="24"/>
              </w:rPr>
              <w:t>Sont exclus de cette norme les appareils d’appui dont les frettes ne sont pas adhérisées par vulcanisation.</w:t>
            </w:r>
          </w:p>
        </w:tc>
      </w:tr>
    </w:tbl>
    <w:p w:rsidR="00904E52" w:rsidRPr="0043547B" w:rsidRDefault="00904E52" w:rsidP="00B905D3">
      <w:pPr>
        <w:pStyle w:val="Titre3"/>
        <w:numPr>
          <w:ilvl w:val="1"/>
          <w:numId w:val="2"/>
        </w:numPr>
        <w:rPr>
          <w:rFonts w:asciiTheme="minorHAnsi" w:hAnsiTheme="minorHAnsi" w:cstheme="minorHAnsi"/>
          <w:sz w:val="24"/>
          <w:szCs w:val="24"/>
          <w:u w:val="single"/>
        </w:rPr>
      </w:pPr>
      <w:bookmarkStart w:id="29" w:name="_Toc458606086"/>
      <w:r w:rsidRPr="0043547B">
        <w:rPr>
          <w:rFonts w:asciiTheme="minorHAnsi" w:hAnsiTheme="minorHAnsi" w:cstheme="minorHAnsi"/>
          <w:sz w:val="24"/>
          <w:szCs w:val="24"/>
          <w:u w:val="single"/>
        </w:rPr>
        <w:lastRenderedPageBreak/>
        <w:t>Lot N° 5 : Seconds œuvres</w:t>
      </w:r>
      <w:bookmarkEnd w:id="29"/>
    </w:p>
    <w:p w:rsidR="00904E52" w:rsidRPr="0043547B" w:rsidRDefault="00904E52" w:rsidP="006019E6">
      <w:pPr>
        <w:pStyle w:val="Titre4"/>
        <w:numPr>
          <w:ilvl w:val="2"/>
          <w:numId w:val="2"/>
        </w:numPr>
        <w:ind w:left="1418" w:hanging="579"/>
        <w:rPr>
          <w:rFonts w:cstheme="minorHAnsi"/>
          <w:b/>
          <w:bCs w:val="0"/>
          <w:iCs w:val="0"/>
          <w:color w:val="auto"/>
          <w:szCs w:val="24"/>
          <w:u w:val="single"/>
        </w:rPr>
      </w:pPr>
      <w:bookmarkStart w:id="30" w:name="_Toc458606087"/>
      <w:r w:rsidRPr="0043547B">
        <w:rPr>
          <w:rFonts w:cstheme="minorHAnsi"/>
          <w:b/>
          <w:bCs w:val="0"/>
          <w:iCs w:val="0"/>
          <w:color w:val="auto"/>
          <w:szCs w:val="24"/>
          <w:u w:val="single"/>
        </w:rPr>
        <w:t>Plomberie</w:t>
      </w:r>
      <w:bookmarkEnd w:id="30"/>
    </w:p>
    <w:tbl>
      <w:tblPr>
        <w:tblW w:w="9776" w:type="dxa"/>
        <w:jc w:val="center"/>
        <w:tblCellMar>
          <w:left w:w="70" w:type="dxa"/>
          <w:right w:w="70" w:type="dxa"/>
        </w:tblCellMar>
        <w:tblLook w:val="04A0" w:firstRow="1" w:lastRow="0" w:firstColumn="1" w:lastColumn="0" w:noHBand="0" w:noVBand="1"/>
      </w:tblPr>
      <w:tblGrid>
        <w:gridCol w:w="1838"/>
        <w:gridCol w:w="7938"/>
      </w:tblGrid>
      <w:tr w:rsidR="0043547B" w:rsidRPr="0043547B" w:rsidTr="00CB5DC0">
        <w:trPr>
          <w:trHeight w:val="300"/>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435069" w:rsidRPr="0043547B" w:rsidRDefault="00435069" w:rsidP="004B0064">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435069" w:rsidRPr="0043547B" w:rsidRDefault="00435069" w:rsidP="004B0064">
            <w:pPr>
              <w:spacing w:after="0" w:line="240" w:lineRule="auto"/>
              <w:jc w:val="center"/>
              <w:rPr>
                <w:rFonts w:cstheme="minorHAnsi"/>
                <w:b/>
                <w:bCs/>
                <w:sz w:val="24"/>
                <w:szCs w:val="24"/>
              </w:rPr>
            </w:pPr>
            <w:r w:rsidRPr="0043547B">
              <w:rPr>
                <w:rFonts w:cstheme="minorHAnsi"/>
                <w:b/>
                <w:bCs/>
                <w:sz w:val="24"/>
                <w:szCs w:val="24"/>
              </w:rPr>
              <w:t>NM ISO 15877-3</w:t>
            </w:r>
          </w:p>
        </w:tc>
      </w:tr>
      <w:tr w:rsidR="0043547B" w:rsidRPr="0043547B" w:rsidTr="00CB5DC0">
        <w:trPr>
          <w:trHeight w:val="300"/>
          <w:jc w:val="center"/>
        </w:trPr>
        <w:tc>
          <w:tcPr>
            <w:tcW w:w="1838" w:type="dxa"/>
            <w:tcBorders>
              <w:top w:val="single" w:sz="18" w:space="0" w:color="auto"/>
              <w:left w:val="single" w:sz="18" w:space="0" w:color="auto"/>
              <w:bottom w:val="single" w:sz="6" w:space="0" w:color="auto"/>
              <w:right w:val="single" w:sz="4" w:space="0" w:color="auto"/>
            </w:tcBorders>
            <w:shd w:val="clear" w:color="auto" w:fill="FFFF99"/>
            <w:vAlign w:val="center"/>
          </w:tcPr>
          <w:p w:rsidR="00435069" w:rsidRPr="0043547B" w:rsidRDefault="00435069" w:rsidP="004B0064">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6" w:space="0" w:color="auto"/>
              <w:right w:val="single" w:sz="18" w:space="0" w:color="auto"/>
            </w:tcBorders>
            <w:shd w:val="clear" w:color="auto" w:fill="FFFF99"/>
            <w:vAlign w:val="bottom"/>
          </w:tcPr>
          <w:p w:rsidR="00435069" w:rsidRPr="0043547B" w:rsidRDefault="00435069" w:rsidP="004B0064">
            <w:pPr>
              <w:spacing w:after="0" w:line="240" w:lineRule="auto"/>
              <w:jc w:val="center"/>
              <w:rPr>
                <w:rFonts w:cstheme="minorHAnsi"/>
                <w:b/>
                <w:bCs/>
                <w:sz w:val="24"/>
                <w:szCs w:val="24"/>
              </w:rPr>
            </w:pPr>
            <w:r w:rsidRPr="0043547B">
              <w:rPr>
                <w:rFonts w:cstheme="minorHAnsi"/>
                <w:b/>
                <w:bCs/>
                <w:sz w:val="24"/>
                <w:szCs w:val="24"/>
              </w:rPr>
              <w:t>ISO 15877-3</w:t>
            </w:r>
          </w:p>
        </w:tc>
      </w:tr>
      <w:tr w:rsidR="0043547B" w:rsidRPr="0043547B" w:rsidTr="00CB5DC0">
        <w:trPr>
          <w:trHeight w:val="706"/>
          <w:jc w:val="center"/>
        </w:trPr>
        <w:tc>
          <w:tcPr>
            <w:tcW w:w="1838" w:type="dxa"/>
            <w:tcBorders>
              <w:top w:val="single" w:sz="6" w:space="0" w:color="auto"/>
              <w:left w:val="single" w:sz="18" w:space="0" w:color="auto"/>
              <w:bottom w:val="single" w:sz="6" w:space="0" w:color="auto"/>
              <w:right w:val="single" w:sz="4" w:space="0" w:color="auto"/>
            </w:tcBorders>
            <w:shd w:val="clear" w:color="000000" w:fill="8DB4E2"/>
            <w:vAlign w:val="center"/>
            <w:hideMark/>
          </w:tcPr>
          <w:p w:rsidR="00435069" w:rsidRPr="0043547B" w:rsidRDefault="00435069" w:rsidP="004B0064">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6" w:space="0" w:color="auto"/>
              <w:left w:val="single" w:sz="4" w:space="0" w:color="auto"/>
              <w:bottom w:val="single" w:sz="6" w:space="0" w:color="auto"/>
              <w:right w:val="single" w:sz="18" w:space="0" w:color="auto"/>
            </w:tcBorders>
            <w:shd w:val="clear" w:color="auto" w:fill="auto"/>
            <w:vAlign w:val="center"/>
            <w:hideMark/>
          </w:tcPr>
          <w:p w:rsidR="00435069" w:rsidRPr="0043547B" w:rsidRDefault="00435069" w:rsidP="004B0064">
            <w:pPr>
              <w:spacing w:after="0" w:line="240" w:lineRule="auto"/>
              <w:rPr>
                <w:rFonts w:cstheme="minorHAnsi"/>
                <w:sz w:val="24"/>
                <w:szCs w:val="24"/>
              </w:rPr>
            </w:pPr>
            <w:r w:rsidRPr="0043547B">
              <w:rPr>
                <w:rFonts w:cstheme="minorHAnsi"/>
                <w:sz w:val="24"/>
                <w:szCs w:val="24"/>
              </w:rPr>
              <w:t>Systèmes de canalisations en plastique pour les installations d'eau chaude et froide - Poly (chlorure de vinyle) chloré (PVC-C) - Partie 3 : Raccords ; (IC 05.2.233) (OBL)</w:t>
            </w:r>
          </w:p>
        </w:tc>
      </w:tr>
      <w:tr w:rsidR="0043547B" w:rsidRPr="0043547B" w:rsidTr="00CB5DC0">
        <w:trPr>
          <w:trHeight w:val="555"/>
          <w:jc w:val="center"/>
        </w:trPr>
        <w:tc>
          <w:tcPr>
            <w:tcW w:w="1838" w:type="dxa"/>
            <w:tcBorders>
              <w:top w:val="single" w:sz="6" w:space="0" w:color="auto"/>
              <w:left w:val="single" w:sz="18" w:space="0" w:color="auto"/>
              <w:bottom w:val="single" w:sz="18" w:space="0" w:color="auto"/>
              <w:right w:val="single" w:sz="4" w:space="0" w:color="auto"/>
            </w:tcBorders>
            <w:shd w:val="clear" w:color="000000" w:fill="D9D9D9"/>
            <w:vAlign w:val="center"/>
            <w:hideMark/>
          </w:tcPr>
          <w:p w:rsidR="00435069" w:rsidRPr="0043547B" w:rsidRDefault="00435069" w:rsidP="004B0064">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6" w:space="0" w:color="auto"/>
              <w:left w:val="single" w:sz="4" w:space="0" w:color="auto"/>
              <w:bottom w:val="single" w:sz="18" w:space="0" w:color="auto"/>
              <w:right w:val="single" w:sz="18" w:space="0" w:color="auto"/>
            </w:tcBorders>
            <w:shd w:val="clear" w:color="auto" w:fill="auto"/>
            <w:vAlign w:val="bottom"/>
            <w:hideMark/>
          </w:tcPr>
          <w:p w:rsidR="00730AD3" w:rsidRPr="0043547B" w:rsidRDefault="00435069" w:rsidP="00730AD3">
            <w:pPr>
              <w:spacing w:after="0" w:line="240" w:lineRule="auto"/>
              <w:jc w:val="both"/>
              <w:rPr>
                <w:rFonts w:cstheme="minorHAnsi"/>
                <w:sz w:val="24"/>
                <w:szCs w:val="24"/>
              </w:rPr>
            </w:pPr>
            <w:r w:rsidRPr="0043547B">
              <w:rPr>
                <w:rFonts w:cstheme="minorHAnsi"/>
                <w:sz w:val="24"/>
                <w:szCs w:val="24"/>
              </w:rPr>
              <w:t xml:space="preserve">La présente partie de l'ISO 15877 spécifie les caractéristiques des raccords en poly(chlorure de vinyle) chloré (PVC-C) pour les systèmes de canalisations destinés aux installations d'eau chaude et froide à l'intérieur des bâtiments pour </w:t>
            </w:r>
          </w:p>
          <w:p w:rsidR="00730AD3" w:rsidRPr="0043547B" w:rsidRDefault="00730AD3" w:rsidP="00730AD3">
            <w:pPr>
              <w:spacing w:after="0" w:line="240" w:lineRule="auto"/>
              <w:jc w:val="both"/>
              <w:rPr>
                <w:rFonts w:cstheme="minorHAnsi"/>
                <w:sz w:val="24"/>
                <w:szCs w:val="24"/>
              </w:rPr>
            </w:pPr>
            <w:r w:rsidRPr="0043547B">
              <w:rPr>
                <w:rFonts w:cstheme="minorHAnsi"/>
                <w:sz w:val="24"/>
                <w:szCs w:val="24"/>
              </w:rPr>
              <w:t>le transport de l'eau, destinée ou non à la consommation humaine (systèmes domestiques) et aux systèmes de chauffage, à des pressions et à des températures de service correspondant à la classe d'application (voir l'ISO 15877-1:2009, Tableau 1).</w:t>
            </w:r>
          </w:p>
          <w:p w:rsidR="00730AD3" w:rsidRPr="0043547B" w:rsidRDefault="00730AD3" w:rsidP="00730AD3">
            <w:pPr>
              <w:spacing w:after="0" w:line="240" w:lineRule="auto"/>
              <w:jc w:val="both"/>
              <w:rPr>
                <w:rFonts w:cstheme="minorHAnsi"/>
                <w:sz w:val="24"/>
                <w:szCs w:val="24"/>
              </w:rPr>
            </w:pPr>
            <w:r w:rsidRPr="0043547B">
              <w:rPr>
                <w:rFonts w:cstheme="minorHAnsi"/>
                <w:sz w:val="24"/>
                <w:szCs w:val="24"/>
              </w:rPr>
              <w:t>La présente partie de l'ISO 15877 couvre une gamme de conditions de service (classes d'application) et de pression de service. Lorsque les valeurs de TD, Tmax et Tmal dépassent celles données dans l'ISO 15877-1:2009, Tableau 1, la présente partie de l'ISO 15877 ne s'applique pas.</w:t>
            </w:r>
          </w:p>
          <w:p w:rsidR="00730AD3" w:rsidRPr="00730AD3" w:rsidRDefault="00730AD3" w:rsidP="00730AD3">
            <w:pPr>
              <w:spacing w:after="0" w:line="240" w:lineRule="auto"/>
              <w:jc w:val="both"/>
              <w:rPr>
                <w:rFonts w:cstheme="minorHAnsi"/>
                <w:i/>
                <w:iCs/>
              </w:rPr>
            </w:pPr>
            <w:r w:rsidRPr="00730AD3">
              <w:rPr>
                <w:rFonts w:cstheme="minorHAnsi"/>
                <w:b/>
                <w:bCs/>
                <w:i/>
                <w:iCs/>
              </w:rPr>
              <w:t>NOTE 1 :</w:t>
            </w:r>
            <w:r w:rsidRPr="00730AD3">
              <w:rPr>
                <w:rFonts w:cstheme="minorHAnsi"/>
                <w:i/>
                <w:iCs/>
              </w:rPr>
              <w:t xml:space="preserve"> L'acheteur a la responsabilité de réaliser une sélection convenable de ces aspects, en prenant en compte les exigences particulières et les règles d'installation des réglementations nationales.</w:t>
            </w:r>
          </w:p>
          <w:p w:rsidR="00730AD3" w:rsidRPr="0043547B" w:rsidRDefault="00730AD3" w:rsidP="00730AD3">
            <w:pPr>
              <w:spacing w:after="0" w:line="240" w:lineRule="auto"/>
              <w:jc w:val="both"/>
              <w:rPr>
                <w:rFonts w:cstheme="minorHAnsi"/>
                <w:i/>
                <w:iCs/>
                <w:sz w:val="24"/>
                <w:szCs w:val="24"/>
              </w:rPr>
            </w:pPr>
            <w:r w:rsidRPr="0043547B">
              <w:rPr>
                <w:rFonts w:cstheme="minorHAnsi"/>
                <w:i/>
                <w:iCs/>
                <w:sz w:val="24"/>
                <w:szCs w:val="24"/>
              </w:rPr>
              <w:t>Elle spécifie également les paramètres d'essai pour les méthodes d'essai auxquelles il est fait référence dans la présente partie de l'ISO 15877.</w:t>
            </w:r>
          </w:p>
          <w:p w:rsidR="00730AD3" w:rsidRPr="0043547B" w:rsidRDefault="00730AD3" w:rsidP="00730AD3">
            <w:pPr>
              <w:spacing w:after="0" w:line="240" w:lineRule="auto"/>
              <w:jc w:val="both"/>
              <w:rPr>
                <w:rFonts w:cstheme="minorHAnsi"/>
                <w:i/>
                <w:iCs/>
                <w:sz w:val="24"/>
                <w:szCs w:val="24"/>
              </w:rPr>
            </w:pPr>
            <w:r w:rsidRPr="0043547B">
              <w:rPr>
                <w:rFonts w:cstheme="minorHAnsi"/>
                <w:i/>
                <w:iCs/>
                <w:sz w:val="24"/>
                <w:szCs w:val="24"/>
              </w:rPr>
              <w:t>Conjointement avec les autres parties de l'ISO 15877, elle s'applique aux raccords en PVC-C, à leurs assemblages et aux assemblages avec des composants faits en PVC-C ou en d'autres matériaux, plastiques ou non plastiques, pouvant être utilisés pour des installations d'eau chaude et froide.</w:t>
            </w:r>
          </w:p>
          <w:p w:rsidR="00730AD3" w:rsidRPr="0043547B" w:rsidRDefault="00730AD3" w:rsidP="00730AD3">
            <w:pPr>
              <w:spacing w:after="0" w:line="240" w:lineRule="auto"/>
              <w:jc w:val="both"/>
              <w:rPr>
                <w:rFonts w:cstheme="minorHAnsi"/>
                <w:i/>
                <w:iCs/>
                <w:sz w:val="24"/>
                <w:szCs w:val="24"/>
              </w:rPr>
            </w:pPr>
            <w:r w:rsidRPr="0043547B">
              <w:rPr>
                <w:rFonts w:cstheme="minorHAnsi"/>
                <w:i/>
                <w:iCs/>
                <w:sz w:val="24"/>
                <w:szCs w:val="24"/>
              </w:rPr>
              <w:t>La présente partie de l'ISO 15877 s'applique aux raccords répondant aux types suivants :</w:t>
            </w:r>
          </w:p>
          <w:p w:rsidR="00730AD3" w:rsidRPr="0043547B" w:rsidRDefault="00730AD3" w:rsidP="00730AD3">
            <w:pPr>
              <w:spacing w:after="0" w:line="240" w:lineRule="auto"/>
              <w:rPr>
                <w:rFonts w:cstheme="minorHAnsi"/>
                <w:i/>
                <w:iCs/>
                <w:sz w:val="24"/>
                <w:szCs w:val="24"/>
              </w:rPr>
            </w:pPr>
            <w:r w:rsidRPr="0043547B">
              <w:rPr>
                <w:rFonts w:ascii="Cambria Math" w:hAnsi="Cambria Math" w:cs="Cambria Math"/>
                <w:i/>
                <w:iCs/>
                <w:sz w:val="24"/>
                <w:szCs w:val="24"/>
              </w:rPr>
              <w:t>⎯</w:t>
            </w:r>
            <w:r w:rsidRPr="0043547B">
              <w:rPr>
                <w:rFonts w:cstheme="minorHAnsi"/>
                <w:i/>
                <w:iCs/>
                <w:sz w:val="24"/>
                <w:szCs w:val="24"/>
              </w:rPr>
              <w:t xml:space="preserve"> raccords pour assemblages collés au solvant ;</w:t>
            </w:r>
            <w:r w:rsidRPr="0043547B">
              <w:rPr>
                <w:rFonts w:cstheme="minorHAnsi"/>
                <w:i/>
                <w:iCs/>
                <w:sz w:val="24"/>
                <w:szCs w:val="24"/>
              </w:rPr>
              <w:br/>
            </w:r>
            <w:r w:rsidRPr="0043547B">
              <w:rPr>
                <w:rFonts w:ascii="Cambria Math" w:hAnsi="Cambria Math" w:cs="Cambria Math"/>
                <w:i/>
                <w:iCs/>
                <w:sz w:val="24"/>
                <w:szCs w:val="24"/>
              </w:rPr>
              <w:t>⎯</w:t>
            </w:r>
            <w:r w:rsidRPr="0043547B">
              <w:rPr>
                <w:rFonts w:cstheme="minorHAnsi"/>
                <w:i/>
                <w:iCs/>
                <w:sz w:val="24"/>
                <w:szCs w:val="24"/>
              </w:rPr>
              <w:t xml:space="preserve"> raccords mécaniques;</w:t>
            </w:r>
            <w:r w:rsidRPr="0043547B">
              <w:rPr>
                <w:rFonts w:cstheme="minorHAnsi"/>
                <w:i/>
                <w:iCs/>
                <w:sz w:val="24"/>
                <w:szCs w:val="24"/>
              </w:rPr>
              <w:br/>
            </w:r>
            <w:r w:rsidRPr="0043547B">
              <w:rPr>
                <w:rFonts w:ascii="Cambria Math" w:hAnsi="Cambria Math" w:cs="Cambria Math"/>
                <w:i/>
                <w:iCs/>
                <w:sz w:val="24"/>
                <w:szCs w:val="24"/>
              </w:rPr>
              <w:t>⎯</w:t>
            </w:r>
            <w:r w:rsidRPr="0043547B">
              <w:rPr>
                <w:rFonts w:cstheme="minorHAnsi"/>
                <w:i/>
                <w:iCs/>
                <w:sz w:val="24"/>
                <w:szCs w:val="24"/>
              </w:rPr>
              <w:t xml:space="preserve"> raccords avec inserts incorporés.</w:t>
            </w:r>
          </w:p>
          <w:p w:rsidR="00435069" w:rsidRPr="0043547B" w:rsidRDefault="00730AD3" w:rsidP="00730AD3">
            <w:pPr>
              <w:spacing w:after="0" w:line="240" w:lineRule="auto"/>
              <w:jc w:val="both"/>
              <w:rPr>
                <w:rFonts w:cstheme="minorHAnsi"/>
                <w:sz w:val="24"/>
                <w:szCs w:val="24"/>
              </w:rPr>
            </w:pPr>
            <w:r w:rsidRPr="00730AD3">
              <w:rPr>
                <w:rFonts w:cstheme="minorHAnsi"/>
                <w:b/>
                <w:bCs/>
                <w:i/>
                <w:iCs/>
              </w:rPr>
              <w:t>NOTE 2 :</w:t>
            </w:r>
            <w:r w:rsidRPr="00730AD3">
              <w:rPr>
                <w:rFonts w:cstheme="minorHAnsi"/>
                <w:i/>
                <w:iCs/>
              </w:rPr>
              <w:t xml:space="preserve"> Les raccords en PVC-C sont fabriqués par moulage par injection.</w:t>
            </w:r>
          </w:p>
        </w:tc>
      </w:tr>
      <w:tr w:rsidR="0043547B" w:rsidRPr="0043547B" w:rsidTr="00CB5DC0">
        <w:trPr>
          <w:trHeight w:val="300"/>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F7337A" w:rsidRPr="0043547B" w:rsidRDefault="00F7337A" w:rsidP="004B0064">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F7337A" w:rsidRPr="0043547B" w:rsidRDefault="00F7337A" w:rsidP="004B0064">
            <w:pPr>
              <w:spacing w:after="0" w:line="240" w:lineRule="auto"/>
              <w:jc w:val="center"/>
              <w:rPr>
                <w:rFonts w:cstheme="minorHAnsi"/>
                <w:b/>
                <w:bCs/>
                <w:sz w:val="24"/>
                <w:szCs w:val="24"/>
              </w:rPr>
            </w:pPr>
            <w:r w:rsidRPr="0043547B">
              <w:rPr>
                <w:rFonts w:cstheme="minorHAnsi"/>
                <w:b/>
                <w:bCs/>
                <w:sz w:val="24"/>
                <w:szCs w:val="24"/>
              </w:rPr>
              <w:t>NM ISO 15877-2</w:t>
            </w:r>
          </w:p>
        </w:tc>
      </w:tr>
      <w:tr w:rsidR="0043547B" w:rsidRPr="0043547B" w:rsidTr="00CB5DC0">
        <w:trPr>
          <w:trHeight w:val="300"/>
          <w:jc w:val="center"/>
        </w:trPr>
        <w:tc>
          <w:tcPr>
            <w:tcW w:w="1838" w:type="dxa"/>
            <w:tcBorders>
              <w:top w:val="single" w:sz="18" w:space="0" w:color="auto"/>
              <w:left w:val="single" w:sz="18" w:space="0" w:color="auto"/>
              <w:bottom w:val="single" w:sz="6" w:space="0" w:color="auto"/>
              <w:right w:val="single" w:sz="4" w:space="0" w:color="auto"/>
            </w:tcBorders>
            <w:shd w:val="clear" w:color="auto" w:fill="FFFF99"/>
            <w:vAlign w:val="center"/>
          </w:tcPr>
          <w:p w:rsidR="00F7337A" w:rsidRPr="0043547B" w:rsidRDefault="00F7337A" w:rsidP="004B0064">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6" w:space="0" w:color="auto"/>
              <w:right w:val="single" w:sz="18" w:space="0" w:color="auto"/>
            </w:tcBorders>
            <w:shd w:val="clear" w:color="auto" w:fill="FFFF99"/>
            <w:vAlign w:val="bottom"/>
          </w:tcPr>
          <w:p w:rsidR="00F7337A" w:rsidRPr="0043547B" w:rsidRDefault="00F7337A" w:rsidP="004B0064">
            <w:pPr>
              <w:spacing w:after="0" w:line="240" w:lineRule="auto"/>
              <w:jc w:val="center"/>
              <w:rPr>
                <w:rFonts w:cstheme="minorHAnsi"/>
                <w:b/>
                <w:bCs/>
                <w:sz w:val="24"/>
                <w:szCs w:val="24"/>
              </w:rPr>
            </w:pPr>
            <w:r w:rsidRPr="0043547B">
              <w:rPr>
                <w:rFonts w:cstheme="minorHAnsi"/>
                <w:b/>
                <w:bCs/>
                <w:sz w:val="24"/>
                <w:szCs w:val="24"/>
              </w:rPr>
              <w:t>ISO 15877-2</w:t>
            </w:r>
          </w:p>
        </w:tc>
      </w:tr>
      <w:tr w:rsidR="0043547B" w:rsidRPr="0043547B" w:rsidTr="00CB5DC0">
        <w:trPr>
          <w:trHeight w:val="600"/>
          <w:jc w:val="center"/>
        </w:trPr>
        <w:tc>
          <w:tcPr>
            <w:tcW w:w="1838" w:type="dxa"/>
            <w:tcBorders>
              <w:top w:val="single" w:sz="6" w:space="0" w:color="auto"/>
              <w:left w:val="single" w:sz="18" w:space="0" w:color="auto"/>
              <w:bottom w:val="single" w:sz="6" w:space="0" w:color="auto"/>
              <w:right w:val="single" w:sz="4" w:space="0" w:color="auto"/>
            </w:tcBorders>
            <w:shd w:val="clear" w:color="000000" w:fill="8DB4E2"/>
            <w:vAlign w:val="center"/>
            <w:hideMark/>
          </w:tcPr>
          <w:p w:rsidR="00F7337A" w:rsidRPr="0043547B" w:rsidRDefault="00F7337A" w:rsidP="004B0064">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6" w:space="0" w:color="auto"/>
              <w:left w:val="single" w:sz="4" w:space="0" w:color="auto"/>
              <w:bottom w:val="single" w:sz="6" w:space="0" w:color="auto"/>
              <w:right w:val="single" w:sz="18" w:space="0" w:color="auto"/>
            </w:tcBorders>
            <w:shd w:val="clear" w:color="auto" w:fill="auto"/>
            <w:vAlign w:val="center"/>
            <w:hideMark/>
          </w:tcPr>
          <w:p w:rsidR="00F7337A" w:rsidRPr="0043547B" w:rsidRDefault="00F7337A" w:rsidP="004B0064">
            <w:pPr>
              <w:spacing w:after="0" w:line="240" w:lineRule="auto"/>
              <w:rPr>
                <w:rFonts w:cstheme="minorHAnsi"/>
                <w:sz w:val="24"/>
                <w:szCs w:val="24"/>
              </w:rPr>
            </w:pPr>
            <w:r w:rsidRPr="0043547B">
              <w:rPr>
                <w:rFonts w:cstheme="minorHAnsi"/>
                <w:sz w:val="24"/>
                <w:szCs w:val="24"/>
              </w:rPr>
              <w:t>Systèmes de canalisations en plastique pour les installations d'eau chaude et froide - Poly(chlorure de vinyle) chloré (PVC-C) - Partie 2 : Tubes ; (IC 05.2.232) (OBL)</w:t>
            </w:r>
          </w:p>
        </w:tc>
      </w:tr>
      <w:tr w:rsidR="0043547B" w:rsidRPr="0043547B" w:rsidTr="00591063">
        <w:trPr>
          <w:trHeight w:val="554"/>
          <w:jc w:val="center"/>
        </w:trPr>
        <w:tc>
          <w:tcPr>
            <w:tcW w:w="1838" w:type="dxa"/>
            <w:tcBorders>
              <w:top w:val="single" w:sz="6" w:space="0" w:color="auto"/>
              <w:left w:val="single" w:sz="18" w:space="0" w:color="auto"/>
              <w:bottom w:val="single" w:sz="18" w:space="0" w:color="auto"/>
              <w:right w:val="single" w:sz="4" w:space="0" w:color="auto"/>
            </w:tcBorders>
            <w:shd w:val="clear" w:color="000000" w:fill="D9D9D9"/>
            <w:vAlign w:val="center"/>
            <w:hideMark/>
          </w:tcPr>
          <w:p w:rsidR="00F7337A" w:rsidRPr="0043547B" w:rsidRDefault="00F7337A" w:rsidP="004B0064">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6" w:space="0" w:color="auto"/>
              <w:left w:val="single" w:sz="4" w:space="0" w:color="auto"/>
              <w:bottom w:val="single" w:sz="18" w:space="0" w:color="auto"/>
              <w:right w:val="single" w:sz="18" w:space="0" w:color="auto"/>
            </w:tcBorders>
            <w:shd w:val="clear" w:color="auto" w:fill="auto"/>
            <w:vAlign w:val="bottom"/>
            <w:hideMark/>
          </w:tcPr>
          <w:p w:rsidR="004B0064" w:rsidRPr="0043547B" w:rsidRDefault="00F7337A" w:rsidP="000906B1">
            <w:pPr>
              <w:spacing w:after="0" w:line="240" w:lineRule="auto"/>
              <w:jc w:val="both"/>
              <w:rPr>
                <w:rFonts w:cstheme="minorHAnsi"/>
                <w:sz w:val="24"/>
                <w:szCs w:val="24"/>
              </w:rPr>
            </w:pPr>
            <w:r w:rsidRPr="0043547B">
              <w:rPr>
                <w:rFonts w:cstheme="minorHAnsi"/>
                <w:sz w:val="24"/>
                <w:szCs w:val="24"/>
              </w:rPr>
              <w:t>La présente partie de l'ISO 15877 spécifie les exigences des tubes en poly(chlorure de vinyle) chloré (PVC-C) pour les systèmes de canalisations destinés aux installations d'eau chaude et froide à l'intérieur des bâtiments pour le transport de l'eau, destinée ou non à la consommation humaine (systèmes domestiques) et aux systèmes de chauffage, à des pressions et des températures de service correspondant à la classe</w:t>
            </w:r>
            <w:r w:rsidR="000906B1">
              <w:rPr>
                <w:rFonts w:cstheme="minorHAnsi"/>
                <w:sz w:val="24"/>
                <w:szCs w:val="24"/>
              </w:rPr>
              <w:t xml:space="preserve"> </w:t>
            </w:r>
            <w:r w:rsidRPr="0043547B">
              <w:rPr>
                <w:rFonts w:cstheme="minorHAnsi"/>
                <w:sz w:val="24"/>
                <w:szCs w:val="24"/>
              </w:rPr>
              <w:t>d'application (voir l'ISO 15877-1:2009, Tableau 1).</w:t>
            </w:r>
          </w:p>
          <w:p w:rsidR="00591063" w:rsidRPr="0043547B" w:rsidRDefault="00591063" w:rsidP="00591063">
            <w:pPr>
              <w:spacing w:after="0" w:line="240" w:lineRule="auto"/>
              <w:jc w:val="both"/>
              <w:rPr>
                <w:rFonts w:cstheme="minorHAnsi"/>
                <w:sz w:val="24"/>
                <w:szCs w:val="24"/>
              </w:rPr>
            </w:pPr>
            <w:r w:rsidRPr="0043547B">
              <w:rPr>
                <w:rFonts w:cstheme="minorHAnsi"/>
                <w:sz w:val="24"/>
                <w:szCs w:val="24"/>
              </w:rPr>
              <w:t xml:space="preserve">La présente partie de l'ISO 15877 couvre une gamme de conditions de service (classes d'application), de pressions de service et de séries de tubes. Lorsque les </w:t>
            </w:r>
            <w:r w:rsidRPr="0043547B">
              <w:rPr>
                <w:rFonts w:cstheme="minorHAnsi"/>
                <w:sz w:val="24"/>
                <w:szCs w:val="24"/>
              </w:rPr>
              <w:lastRenderedPageBreak/>
              <w:t>valeurs de TD, Tmax et Tmal dépassent celles de l'ISO 15877-1:2009, Tableau 1, la présente partie de l'ISO 15877 ne s'applique pas.</w:t>
            </w:r>
          </w:p>
          <w:p w:rsidR="00591063" w:rsidRPr="00730AD3" w:rsidRDefault="00591063" w:rsidP="00591063">
            <w:pPr>
              <w:spacing w:after="0" w:line="240" w:lineRule="auto"/>
              <w:jc w:val="both"/>
              <w:rPr>
                <w:rFonts w:cstheme="minorHAnsi"/>
                <w:i/>
                <w:iCs/>
              </w:rPr>
            </w:pPr>
            <w:r w:rsidRPr="00730AD3">
              <w:rPr>
                <w:rFonts w:cstheme="minorHAnsi"/>
                <w:b/>
                <w:bCs/>
                <w:i/>
                <w:iCs/>
              </w:rPr>
              <w:t>NOTE :</w:t>
            </w:r>
            <w:r w:rsidRPr="00730AD3">
              <w:rPr>
                <w:rFonts w:cstheme="minorHAnsi"/>
                <w:i/>
                <w:iCs/>
              </w:rPr>
              <w:t xml:space="preserve"> L'acheteur a la responsabilité de réaliser une sélection convenable de ces aspects, en prenant en compte les exigences particulières et les règles d'installation des réglementations nationales. </w:t>
            </w:r>
          </w:p>
          <w:p w:rsidR="00591063" w:rsidRPr="0043547B" w:rsidRDefault="00591063" w:rsidP="00591063">
            <w:pPr>
              <w:spacing w:after="0" w:line="240" w:lineRule="auto"/>
              <w:jc w:val="both"/>
              <w:rPr>
                <w:rFonts w:cstheme="minorHAnsi"/>
                <w:sz w:val="24"/>
                <w:szCs w:val="24"/>
              </w:rPr>
            </w:pPr>
            <w:r w:rsidRPr="0043547B">
              <w:rPr>
                <w:rFonts w:cstheme="minorHAnsi"/>
                <w:sz w:val="24"/>
                <w:szCs w:val="24"/>
              </w:rPr>
              <w:t>Elle spécifie également les paramètres d'essai pour les méthodes d'essai auxquelles il est fait référence dans la présente partie de l'ISO 15877.</w:t>
            </w:r>
          </w:p>
          <w:p w:rsidR="00E90D64" w:rsidRPr="0043547B" w:rsidRDefault="00591063" w:rsidP="00591063">
            <w:pPr>
              <w:spacing w:after="0" w:line="240" w:lineRule="auto"/>
              <w:jc w:val="both"/>
              <w:rPr>
                <w:rFonts w:cstheme="minorHAnsi"/>
                <w:sz w:val="24"/>
                <w:szCs w:val="24"/>
              </w:rPr>
            </w:pPr>
            <w:r w:rsidRPr="0043547B">
              <w:rPr>
                <w:rFonts w:cstheme="minorHAnsi"/>
                <w:sz w:val="24"/>
                <w:szCs w:val="24"/>
              </w:rPr>
              <w:t>Conjointement avec les autres parties de l'ISO 15877, elle s'applique aux tubes en PVC-C, aux raccords, à leurs assemblages et aux assemblages avec des composants faits en d'autres matériaux, plastiques ou non plastiques, pouvant être utilisés avec des installations d'eau chaude et froide.</w:t>
            </w:r>
          </w:p>
        </w:tc>
      </w:tr>
      <w:tr w:rsidR="000E7FF2" w:rsidRPr="0043547B" w:rsidTr="00414EBB">
        <w:trPr>
          <w:trHeight w:val="379"/>
          <w:jc w:val="center"/>
        </w:trPr>
        <w:tc>
          <w:tcPr>
            <w:tcW w:w="1838" w:type="dxa"/>
            <w:tcBorders>
              <w:top w:val="single" w:sz="6" w:space="0" w:color="auto"/>
              <w:left w:val="single" w:sz="18" w:space="0" w:color="auto"/>
              <w:bottom w:val="single" w:sz="18" w:space="0" w:color="auto"/>
              <w:right w:val="single" w:sz="4" w:space="0" w:color="auto"/>
            </w:tcBorders>
            <w:shd w:val="clear" w:color="auto" w:fill="C2D69B" w:themeFill="accent3" w:themeFillTint="99"/>
            <w:vAlign w:val="center"/>
          </w:tcPr>
          <w:p w:rsidR="000E7FF2" w:rsidRPr="00414EBB" w:rsidRDefault="000E7FF2" w:rsidP="00414EBB">
            <w:pPr>
              <w:spacing w:after="0" w:line="240" w:lineRule="auto"/>
              <w:jc w:val="center"/>
              <w:rPr>
                <w:rFonts w:ascii="Calibri" w:hAnsi="Calibri" w:cs="Calibri"/>
                <w:b/>
                <w:bCs/>
                <w:sz w:val="24"/>
                <w:szCs w:val="24"/>
              </w:rPr>
            </w:pPr>
            <w:r w:rsidRPr="00414EBB">
              <w:rPr>
                <w:rFonts w:ascii="Calibri" w:hAnsi="Calibri" w:cs="Calibri"/>
                <w:b/>
                <w:bCs/>
                <w:sz w:val="24"/>
                <w:szCs w:val="24"/>
              </w:rPr>
              <w:lastRenderedPageBreak/>
              <w:t>Code :</w:t>
            </w:r>
          </w:p>
        </w:tc>
        <w:tc>
          <w:tcPr>
            <w:tcW w:w="7938" w:type="dxa"/>
            <w:tcBorders>
              <w:top w:val="single" w:sz="6" w:space="0" w:color="auto"/>
              <w:left w:val="single" w:sz="4" w:space="0" w:color="auto"/>
              <w:bottom w:val="single" w:sz="18" w:space="0" w:color="auto"/>
              <w:right w:val="single" w:sz="18" w:space="0" w:color="auto"/>
            </w:tcBorders>
            <w:shd w:val="clear" w:color="auto" w:fill="C2D69B" w:themeFill="accent3" w:themeFillTint="99"/>
            <w:vAlign w:val="center"/>
          </w:tcPr>
          <w:p w:rsidR="000E7FF2" w:rsidRPr="00414EBB" w:rsidRDefault="000E7FF2" w:rsidP="00414EBB">
            <w:pPr>
              <w:spacing w:after="0" w:line="240" w:lineRule="auto"/>
              <w:jc w:val="center"/>
              <w:rPr>
                <w:rFonts w:ascii="Times New Roman" w:hAnsi="Times New Roman" w:cs="Times New Roman"/>
                <w:b/>
                <w:bCs/>
                <w:color w:val="000000"/>
                <w:sz w:val="24"/>
                <w:szCs w:val="24"/>
              </w:rPr>
            </w:pPr>
            <w:r w:rsidRPr="00414EBB">
              <w:rPr>
                <w:b/>
                <w:bCs/>
                <w:color w:val="000000"/>
                <w:sz w:val="24"/>
                <w:szCs w:val="24"/>
              </w:rPr>
              <w:t>NM EN 15651-3</w:t>
            </w:r>
          </w:p>
        </w:tc>
      </w:tr>
      <w:tr w:rsidR="000E7FF2" w:rsidRPr="0043547B" w:rsidTr="00414EBB">
        <w:trPr>
          <w:trHeight w:val="386"/>
          <w:jc w:val="center"/>
        </w:trPr>
        <w:tc>
          <w:tcPr>
            <w:tcW w:w="1838" w:type="dxa"/>
            <w:tcBorders>
              <w:top w:val="single" w:sz="6" w:space="0" w:color="auto"/>
              <w:left w:val="single" w:sz="18" w:space="0" w:color="auto"/>
              <w:bottom w:val="single" w:sz="18" w:space="0" w:color="auto"/>
              <w:right w:val="single" w:sz="4" w:space="0" w:color="auto"/>
            </w:tcBorders>
            <w:shd w:val="clear" w:color="auto" w:fill="FFFF99"/>
            <w:vAlign w:val="center"/>
          </w:tcPr>
          <w:p w:rsidR="000E7FF2" w:rsidRPr="00414EBB" w:rsidRDefault="000E7FF2" w:rsidP="00414EBB">
            <w:pPr>
              <w:spacing w:after="0" w:line="240" w:lineRule="auto"/>
              <w:jc w:val="center"/>
              <w:rPr>
                <w:rFonts w:ascii="Calibri" w:hAnsi="Calibri" w:cs="Calibri"/>
                <w:b/>
                <w:bCs/>
                <w:sz w:val="24"/>
                <w:szCs w:val="24"/>
              </w:rPr>
            </w:pPr>
            <w:r w:rsidRPr="00414EBB">
              <w:rPr>
                <w:rFonts w:ascii="Calibri" w:hAnsi="Calibri" w:cs="Calibri"/>
                <w:b/>
                <w:bCs/>
                <w:sz w:val="24"/>
                <w:szCs w:val="24"/>
              </w:rPr>
              <w:t>Equivalence :</w:t>
            </w:r>
          </w:p>
        </w:tc>
        <w:tc>
          <w:tcPr>
            <w:tcW w:w="7938" w:type="dxa"/>
            <w:tcBorders>
              <w:top w:val="single" w:sz="6" w:space="0" w:color="auto"/>
              <w:left w:val="single" w:sz="4" w:space="0" w:color="auto"/>
              <w:bottom w:val="single" w:sz="18" w:space="0" w:color="auto"/>
              <w:right w:val="single" w:sz="18" w:space="0" w:color="auto"/>
            </w:tcBorders>
            <w:shd w:val="clear" w:color="auto" w:fill="FFFF99"/>
            <w:vAlign w:val="center"/>
          </w:tcPr>
          <w:p w:rsidR="000E7FF2" w:rsidRPr="00414EBB" w:rsidRDefault="000E7FF2" w:rsidP="00414EBB">
            <w:pPr>
              <w:spacing w:after="0" w:line="240" w:lineRule="auto"/>
              <w:jc w:val="center"/>
              <w:rPr>
                <w:rFonts w:ascii="Times New Roman" w:hAnsi="Times New Roman" w:cs="Times New Roman"/>
                <w:b/>
                <w:bCs/>
                <w:color w:val="000000"/>
                <w:sz w:val="24"/>
                <w:szCs w:val="24"/>
              </w:rPr>
            </w:pPr>
            <w:r w:rsidRPr="00414EBB">
              <w:rPr>
                <w:b/>
                <w:bCs/>
                <w:color w:val="000000"/>
                <w:sz w:val="24"/>
                <w:szCs w:val="24"/>
              </w:rPr>
              <w:t>EN 15651-3</w:t>
            </w:r>
          </w:p>
        </w:tc>
      </w:tr>
      <w:tr w:rsidR="000E7FF2" w:rsidRPr="0043547B" w:rsidTr="00414EBB">
        <w:trPr>
          <w:trHeight w:val="595"/>
          <w:jc w:val="center"/>
        </w:trPr>
        <w:tc>
          <w:tcPr>
            <w:tcW w:w="1838" w:type="dxa"/>
            <w:tcBorders>
              <w:top w:val="single" w:sz="18" w:space="0" w:color="auto"/>
              <w:left w:val="single" w:sz="18" w:space="0" w:color="auto"/>
              <w:bottom w:val="single" w:sz="4" w:space="0" w:color="auto"/>
              <w:right w:val="single" w:sz="4" w:space="0" w:color="auto"/>
            </w:tcBorders>
            <w:shd w:val="clear" w:color="auto" w:fill="95B3D7" w:themeFill="accent1" w:themeFillTint="99"/>
            <w:vAlign w:val="center"/>
          </w:tcPr>
          <w:p w:rsidR="000E7FF2" w:rsidRPr="00414EBB" w:rsidRDefault="000E7FF2" w:rsidP="00414EBB">
            <w:pPr>
              <w:spacing w:after="0" w:line="240" w:lineRule="auto"/>
              <w:jc w:val="center"/>
              <w:rPr>
                <w:rFonts w:ascii="Calibri" w:hAnsi="Calibri" w:cs="Calibri"/>
                <w:b/>
                <w:bCs/>
                <w:sz w:val="24"/>
                <w:szCs w:val="24"/>
              </w:rPr>
            </w:pPr>
            <w:r w:rsidRPr="00414EBB">
              <w:rPr>
                <w:rFonts w:ascii="Calibri" w:hAnsi="Calibri" w:cs="Calibr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bottom"/>
          </w:tcPr>
          <w:p w:rsidR="000E7FF2" w:rsidRPr="00414EBB" w:rsidRDefault="000E7FF2" w:rsidP="00414EBB">
            <w:pPr>
              <w:spacing w:after="0" w:line="240" w:lineRule="auto"/>
              <w:jc w:val="both"/>
              <w:rPr>
                <w:rFonts w:ascii="Times New Roman" w:hAnsi="Times New Roman" w:cs="Times New Roman"/>
                <w:color w:val="000000"/>
                <w:sz w:val="24"/>
                <w:szCs w:val="24"/>
              </w:rPr>
            </w:pPr>
            <w:r w:rsidRPr="00414EBB">
              <w:rPr>
                <w:color w:val="000000"/>
                <w:sz w:val="24"/>
                <w:szCs w:val="24"/>
              </w:rPr>
              <w:t xml:space="preserve">Mastics pour joints pour des usages non structuraux dans les constructions immobilières et pour chemins piétonniers - Partie 3 : Mastics sanitaires </w:t>
            </w:r>
          </w:p>
        </w:tc>
      </w:tr>
      <w:tr w:rsidR="000E7FF2" w:rsidRPr="0043547B" w:rsidTr="00414EBB">
        <w:trPr>
          <w:trHeight w:val="554"/>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0E7FF2" w:rsidRPr="00414EBB" w:rsidRDefault="000E7FF2" w:rsidP="00414EBB">
            <w:pPr>
              <w:spacing w:after="0" w:line="240" w:lineRule="auto"/>
              <w:jc w:val="center"/>
              <w:rPr>
                <w:rFonts w:ascii="Calibri" w:hAnsi="Calibri" w:cs="Calibri"/>
                <w:b/>
                <w:bCs/>
                <w:sz w:val="24"/>
                <w:szCs w:val="24"/>
              </w:rPr>
            </w:pPr>
            <w:r w:rsidRPr="00414EBB">
              <w:rPr>
                <w:rFonts w:ascii="Calibri" w:hAnsi="Calibri" w:cs="Calibr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bottom"/>
          </w:tcPr>
          <w:p w:rsidR="00414EBB" w:rsidRDefault="000E7FF2" w:rsidP="00414EBB">
            <w:pPr>
              <w:spacing w:after="0" w:line="240" w:lineRule="auto"/>
              <w:jc w:val="both"/>
              <w:rPr>
                <w:color w:val="000000"/>
                <w:sz w:val="24"/>
                <w:szCs w:val="24"/>
              </w:rPr>
            </w:pPr>
            <w:r w:rsidRPr="00414EBB">
              <w:rPr>
                <w:color w:val="000000"/>
                <w:sz w:val="24"/>
                <w:szCs w:val="24"/>
              </w:rPr>
              <w:t>La présente Norme spécifie les définitions et les exigences relatives aux mastics utilisés pour</w:t>
            </w:r>
            <w:r w:rsidR="00414EBB">
              <w:rPr>
                <w:color w:val="000000"/>
                <w:sz w:val="24"/>
                <w:szCs w:val="24"/>
              </w:rPr>
              <w:t xml:space="preserve"> </w:t>
            </w:r>
            <w:r w:rsidRPr="00414EBB">
              <w:rPr>
                <w:color w:val="000000"/>
                <w:sz w:val="24"/>
                <w:szCs w:val="24"/>
              </w:rPr>
              <w:t>calfeutrer des joints exposés à une eau n'étant pas sous pression dans les zones sanitaires à l'intérieur</w:t>
            </w:r>
            <w:r w:rsidR="00414EBB">
              <w:rPr>
                <w:color w:val="000000"/>
                <w:sz w:val="24"/>
                <w:szCs w:val="24"/>
              </w:rPr>
              <w:t xml:space="preserve"> </w:t>
            </w:r>
            <w:r w:rsidRPr="00414EBB">
              <w:rPr>
                <w:color w:val="000000"/>
                <w:sz w:val="24"/>
                <w:szCs w:val="24"/>
              </w:rPr>
              <w:t>des bâtiments.</w:t>
            </w:r>
          </w:p>
          <w:p w:rsidR="00414EBB" w:rsidRDefault="000E7FF2" w:rsidP="00414EBB">
            <w:pPr>
              <w:spacing w:after="0" w:line="240" w:lineRule="auto"/>
              <w:jc w:val="both"/>
              <w:rPr>
                <w:color w:val="000000"/>
                <w:sz w:val="24"/>
                <w:szCs w:val="24"/>
              </w:rPr>
            </w:pPr>
            <w:r w:rsidRPr="00414EBB">
              <w:rPr>
                <w:color w:val="000000"/>
                <w:sz w:val="24"/>
                <w:szCs w:val="24"/>
              </w:rPr>
              <w:t>Elle traite des joints dans :</w:t>
            </w:r>
          </w:p>
          <w:p w:rsidR="00414EBB" w:rsidRDefault="000E7FF2" w:rsidP="00414EBB">
            <w:pPr>
              <w:spacing w:after="0" w:line="240" w:lineRule="auto"/>
              <w:jc w:val="both"/>
              <w:rPr>
                <w:color w:val="000000"/>
                <w:sz w:val="24"/>
                <w:szCs w:val="24"/>
              </w:rPr>
            </w:pPr>
            <w:r w:rsidRPr="00414EBB">
              <w:rPr>
                <w:color w:val="000000"/>
                <w:sz w:val="24"/>
                <w:szCs w:val="24"/>
              </w:rPr>
              <w:t>— les salles de bain ;</w:t>
            </w:r>
          </w:p>
          <w:p w:rsidR="00414EBB" w:rsidRDefault="000E7FF2" w:rsidP="00414EBB">
            <w:pPr>
              <w:spacing w:after="0" w:line="240" w:lineRule="auto"/>
              <w:jc w:val="both"/>
              <w:rPr>
                <w:color w:val="000000"/>
                <w:sz w:val="24"/>
                <w:szCs w:val="24"/>
              </w:rPr>
            </w:pPr>
            <w:r w:rsidRPr="00414EBB">
              <w:rPr>
                <w:color w:val="000000"/>
                <w:sz w:val="24"/>
                <w:szCs w:val="24"/>
              </w:rPr>
              <w:t>— les toilettes ;</w:t>
            </w:r>
          </w:p>
          <w:p w:rsidR="00414EBB" w:rsidRDefault="000E7FF2" w:rsidP="00414EBB">
            <w:pPr>
              <w:spacing w:after="0" w:line="240" w:lineRule="auto"/>
              <w:jc w:val="both"/>
              <w:rPr>
                <w:color w:val="000000"/>
                <w:sz w:val="24"/>
                <w:szCs w:val="24"/>
              </w:rPr>
            </w:pPr>
            <w:r w:rsidRPr="00414EBB">
              <w:rPr>
                <w:color w:val="000000"/>
                <w:sz w:val="24"/>
                <w:szCs w:val="24"/>
              </w:rPr>
              <w:t>— les douches ;</w:t>
            </w:r>
          </w:p>
          <w:p w:rsidR="00414EBB" w:rsidRDefault="000E7FF2" w:rsidP="00414EBB">
            <w:pPr>
              <w:spacing w:after="0" w:line="240" w:lineRule="auto"/>
              <w:jc w:val="both"/>
              <w:rPr>
                <w:color w:val="000000"/>
                <w:sz w:val="24"/>
                <w:szCs w:val="24"/>
              </w:rPr>
            </w:pPr>
            <w:r w:rsidRPr="00414EBB">
              <w:rPr>
                <w:color w:val="000000"/>
                <w:sz w:val="24"/>
                <w:szCs w:val="24"/>
              </w:rPr>
              <w:t>— les cuisines domestiques ;</w:t>
            </w:r>
          </w:p>
          <w:p w:rsidR="00414EBB" w:rsidRDefault="000E7FF2" w:rsidP="00414EBB">
            <w:pPr>
              <w:spacing w:after="0" w:line="240" w:lineRule="auto"/>
              <w:jc w:val="both"/>
              <w:rPr>
                <w:color w:val="000000"/>
                <w:sz w:val="24"/>
                <w:szCs w:val="24"/>
              </w:rPr>
            </w:pPr>
            <w:r w:rsidRPr="00414EBB">
              <w:rPr>
                <w:color w:val="000000"/>
                <w:sz w:val="24"/>
                <w:szCs w:val="24"/>
              </w:rPr>
              <w:t>— les éléments préfabriqués dans les zones sanitaires (par exemple, cabines de douche).</w:t>
            </w:r>
            <w:r w:rsidRPr="00414EBB">
              <w:rPr>
                <w:color w:val="000000"/>
                <w:sz w:val="24"/>
                <w:szCs w:val="24"/>
              </w:rPr>
              <w:br/>
              <w:t>Les applications industrielles liées à l'eau potable, sous l'eau (piscines, systèmes d'égout, etc.) ou</w:t>
            </w:r>
            <w:r w:rsidR="00414EBB">
              <w:rPr>
                <w:color w:val="000000"/>
                <w:sz w:val="24"/>
                <w:szCs w:val="24"/>
              </w:rPr>
              <w:t xml:space="preserve"> </w:t>
            </w:r>
            <w:r w:rsidRPr="00414EBB">
              <w:rPr>
                <w:color w:val="000000"/>
                <w:sz w:val="24"/>
                <w:szCs w:val="24"/>
              </w:rPr>
              <w:t>impliquant un contact avec les aliments et le calfeutrement de surfaces de cuisson en vitrocéramique</w:t>
            </w:r>
            <w:r w:rsidR="00414EBB">
              <w:rPr>
                <w:color w:val="000000"/>
                <w:sz w:val="24"/>
                <w:szCs w:val="24"/>
              </w:rPr>
              <w:t xml:space="preserve"> </w:t>
            </w:r>
            <w:r w:rsidRPr="00414EBB">
              <w:rPr>
                <w:color w:val="000000"/>
                <w:sz w:val="24"/>
                <w:szCs w:val="24"/>
              </w:rPr>
              <w:t>(tables de cuisson, plaque vitrocéramique) sont exclus du domaine d'application.</w:t>
            </w:r>
          </w:p>
          <w:p w:rsidR="00414EBB" w:rsidRPr="00414EBB" w:rsidRDefault="000E7FF2" w:rsidP="00414EBB">
            <w:pPr>
              <w:spacing w:after="0" w:line="240" w:lineRule="auto"/>
              <w:jc w:val="both"/>
              <w:rPr>
                <w:i/>
                <w:iCs/>
                <w:color w:val="000000"/>
              </w:rPr>
            </w:pPr>
            <w:r w:rsidRPr="00414EBB">
              <w:rPr>
                <w:color w:val="000000"/>
                <w:sz w:val="24"/>
                <w:szCs w:val="24"/>
              </w:rPr>
              <w:t>Cette Norme ne fournit pas de critères ou de recommandations pour la conception des joints</w:t>
            </w:r>
            <w:r w:rsidR="00414EBB">
              <w:rPr>
                <w:color w:val="000000"/>
                <w:sz w:val="24"/>
                <w:szCs w:val="24"/>
              </w:rPr>
              <w:t xml:space="preserve"> </w:t>
            </w:r>
            <w:r w:rsidRPr="00414EBB">
              <w:rPr>
                <w:color w:val="000000"/>
                <w:sz w:val="24"/>
                <w:szCs w:val="24"/>
              </w:rPr>
              <w:t xml:space="preserve">et la mise en </w:t>
            </w:r>
            <w:r w:rsidR="00414EBB" w:rsidRPr="00414EBB">
              <w:rPr>
                <w:color w:val="000000"/>
                <w:sz w:val="24"/>
                <w:szCs w:val="24"/>
              </w:rPr>
              <w:t>œuvre</w:t>
            </w:r>
            <w:r w:rsidRPr="00414EBB">
              <w:rPr>
                <w:color w:val="000000"/>
                <w:sz w:val="24"/>
                <w:szCs w:val="24"/>
              </w:rPr>
              <w:t xml:space="preserve"> des mastics dans les applications sanitaires.</w:t>
            </w:r>
            <w:r w:rsidRPr="00414EBB">
              <w:rPr>
                <w:color w:val="000000"/>
                <w:sz w:val="24"/>
                <w:szCs w:val="24"/>
              </w:rPr>
              <w:br/>
            </w:r>
            <w:r w:rsidRPr="00414EBB">
              <w:rPr>
                <w:i/>
                <w:iCs/>
                <w:color w:val="000000"/>
              </w:rPr>
              <w:t>NOTE Les dispositions concernant l'évaluation et la vérification de la constance des performances, ou EVCP, (à</w:t>
            </w:r>
            <w:r w:rsidR="00414EBB" w:rsidRPr="00414EBB">
              <w:rPr>
                <w:i/>
                <w:iCs/>
                <w:color w:val="000000"/>
              </w:rPr>
              <w:t xml:space="preserve"> </w:t>
            </w:r>
            <w:r w:rsidRPr="00414EBB">
              <w:rPr>
                <w:i/>
                <w:iCs/>
                <w:color w:val="000000"/>
              </w:rPr>
              <w:t>savoir la détermination du type de produit et le contrôle de la production en usine) et le marquage de ces produits</w:t>
            </w:r>
            <w:r w:rsidR="00414EBB">
              <w:rPr>
                <w:i/>
                <w:iCs/>
                <w:color w:val="000000"/>
              </w:rPr>
              <w:t xml:space="preserve"> </w:t>
            </w:r>
            <w:r w:rsidRPr="00414EBB">
              <w:rPr>
                <w:i/>
                <w:iCs/>
                <w:color w:val="000000"/>
              </w:rPr>
              <w:t>sont données dans l'EN 15651-5.</w:t>
            </w:r>
          </w:p>
          <w:p w:rsidR="00414EBB" w:rsidRPr="00414EBB" w:rsidRDefault="000E7FF2" w:rsidP="00414EBB">
            <w:pPr>
              <w:spacing w:after="0" w:line="240" w:lineRule="auto"/>
              <w:jc w:val="both"/>
              <w:rPr>
                <w:rFonts w:ascii="Times New Roman" w:hAnsi="Times New Roman" w:cs="Times New Roman"/>
                <w:color w:val="000000"/>
                <w:sz w:val="24"/>
                <w:szCs w:val="24"/>
              </w:rPr>
            </w:pPr>
            <w:r w:rsidRPr="00414EBB">
              <w:rPr>
                <w:color w:val="000000"/>
                <w:sz w:val="24"/>
                <w:szCs w:val="24"/>
              </w:rPr>
              <w:t xml:space="preserve">La présente </w:t>
            </w:r>
            <w:r w:rsidR="00414EBB" w:rsidRPr="00414EBB">
              <w:rPr>
                <w:color w:val="000000"/>
                <w:sz w:val="24"/>
                <w:szCs w:val="24"/>
              </w:rPr>
              <w:t xml:space="preserve">Norme </w:t>
            </w:r>
            <w:r w:rsidR="00414EBB">
              <w:rPr>
                <w:color w:val="000000"/>
                <w:sz w:val="24"/>
                <w:szCs w:val="24"/>
              </w:rPr>
              <w:t>ne</w:t>
            </w:r>
            <w:r w:rsidRPr="00414EBB">
              <w:rPr>
                <w:color w:val="000000"/>
                <w:sz w:val="24"/>
                <w:szCs w:val="24"/>
              </w:rPr>
              <w:t xml:space="preserve"> s'applique pas aux produits pour joints non structuraux sous une</w:t>
            </w:r>
            <w:r w:rsidR="00414EBB">
              <w:rPr>
                <w:color w:val="000000"/>
                <w:sz w:val="24"/>
                <w:szCs w:val="24"/>
              </w:rPr>
              <w:t xml:space="preserve"> </w:t>
            </w:r>
            <w:r w:rsidRPr="00414EBB">
              <w:rPr>
                <w:color w:val="000000"/>
                <w:sz w:val="24"/>
                <w:szCs w:val="24"/>
              </w:rPr>
              <w:t>autre forme que pâteuse utilisés dans les joints sanitaires, ni aux mastics à base d'huile.</w:t>
            </w:r>
          </w:p>
        </w:tc>
      </w:tr>
      <w:tr w:rsidR="0043547B" w:rsidRPr="0043547B" w:rsidTr="00CB5DC0">
        <w:trPr>
          <w:trHeight w:val="300"/>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435069" w:rsidRPr="0043547B" w:rsidRDefault="00435069" w:rsidP="004B0064">
            <w:pPr>
              <w:spacing w:after="0" w:line="240" w:lineRule="auto"/>
              <w:jc w:val="center"/>
              <w:rPr>
                <w:rFonts w:cstheme="minorHAnsi"/>
                <w:b/>
                <w:bCs/>
                <w:sz w:val="24"/>
                <w:szCs w:val="24"/>
              </w:rPr>
            </w:pPr>
            <w:r w:rsidRPr="0043547B">
              <w:rPr>
                <w:rFonts w:cstheme="minorHAnsi"/>
                <w:b/>
                <w:bCs/>
                <w:sz w:val="24"/>
                <w:szCs w:val="24"/>
              </w:rPr>
              <w:t>Code</w:t>
            </w:r>
            <w:r w:rsidR="004B0064" w:rsidRPr="0043547B">
              <w:rPr>
                <w:rFonts w:cstheme="minorHAnsi"/>
                <w:b/>
                <w:bCs/>
                <w:sz w:val="24"/>
                <w:szCs w:val="24"/>
              </w:rPr>
              <w:t xml:space="preserve"> </w:t>
            </w:r>
            <w:r w:rsidRPr="0043547B">
              <w:rPr>
                <w:rFonts w:cstheme="minorHAnsi"/>
                <w:b/>
                <w:bCs/>
                <w:sz w:val="24"/>
                <w:szCs w:val="24"/>
              </w:rPr>
              <w:t>:</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435069" w:rsidRPr="0043547B" w:rsidRDefault="00435069" w:rsidP="004B0064">
            <w:pPr>
              <w:spacing w:after="0" w:line="240" w:lineRule="auto"/>
              <w:jc w:val="center"/>
              <w:rPr>
                <w:rFonts w:cstheme="minorHAnsi"/>
                <w:b/>
                <w:bCs/>
                <w:sz w:val="24"/>
                <w:szCs w:val="24"/>
              </w:rPr>
            </w:pPr>
            <w:r w:rsidRPr="0043547B">
              <w:rPr>
                <w:rFonts w:cstheme="minorHAnsi"/>
                <w:b/>
                <w:bCs/>
                <w:sz w:val="24"/>
                <w:szCs w:val="24"/>
              </w:rPr>
              <w:t>NM ISO 1452-2</w:t>
            </w:r>
          </w:p>
        </w:tc>
      </w:tr>
      <w:tr w:rsidR="0043547B" w:rsidRPr="0043547B" w:rsidTr="00CB5DC0">
        <w:trPr>
          <w:trHeight w:val="300"/>
          <w:jc w:val="center"/>
        </w:trPr>
        <w:tc>
          <w:tcPr>
            <w:tcW w:w="1838" w:type="dxa"/>
            <w:tcBorders>
              <w:top w:val="single" w:sz="18" w:space="0" w:color="auto"/>
              <w:left w:val="single" w:sz="18" w:space="0" w:color="auto"/>
              <w:bottom w:val="single" w:sz="18" w:space="0" w:color="auto"/>
              <w:right w:val="single" w:sz="4" w:space="0" w:color="auto"/>
            </w:tcBorders>
            <w:shd w:val="clear" w:color="auto" w:fill="FFFF99"/>
            <w:vAlign w:val="center"/>
          </w:tcPr>
          <w:p w:rsidR="00435069" w:rsidRPr="0043547B" w:rsidRDefault="00435069" w:rsidP="004B0064">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18" w:space="0" w:color="auto"/>
              <w:right w:val="single" w:sz="18" w:space="0" w:color="auto"/>
            </w:tcBorders>
            <w:shd w:val="clear" w:color="auto" w:fill="FFFF99"/>
            <w:vAlign w:val="bottom"/>
          </w:tcPr>
          <w:p w:rsidR="00435069" w:rsidRPr="0043547B" w:rsidRDefault="00435069" w:rsidP="004B0064">
            <w:pPr>
              <w:spacing w:after="0" w:line="240" w:lineRule="auto"/>
              <w:jc w:val="center"/>
              <w:rPr>
                <w:rFonts w:cstheme="minorHAnsi"/>
                <w:b/>
                <w:bCs/>
                <w:sz w:val="24"/>
                <w:szCs w:val="24"/>
              </w:rPr>
            </w:pPr>
            <w:r w:rsidRPr="0043547B">
              <w:rPr>
                <w:rFonts w:cstheme="minorHAnsi"/>
                <w:b/>
                <w:bCs/>
                <w:sz w:val="24"/>
                <w:szCs w:val="24"/>
              </w:rPr>
              <w:t>ISO 1452-2</w:t>
            </w:r>
          </w:p>
        </w:tc>
      </w:tr>
      <w:tr w:rsidR="0043547B" w:rsidRPr="0043547B" w:rsidTr="00CB5DC0">
        <w:trPr>
          <w:trHeight w:val="6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435069" w:rsidRPr="0043547B" w:rsidRDefault="00435069" w:rsidP="004B0064">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435069" w:rsidRPr="0043547B" w:rsidRDefault="00435069" w:rsidP="004B0064">
            <w:pPr>
              <w:spacing w:after="0" w:line="240" w:lineRule="auto"/>
              <w:rPr>
                <w:rFonts w:cstheme="minorHAnsi"/>
                <w:sz w:val="24"/>
                <w:szCs w:val="24"/>
              </w:rPr>
            </w:pPr>
            <w:r w:rsidRPr="0043547B">
              <w:rPr>
                <w:rFonts w:cstheme="minorHAnsi"/>
                <w:sz w:val="24"/>
                <w:szCs w:val="24"/>
              </w:rPr>
              <w:t>Systèmes de canalisations en plastique pour l'alimentation en eau, pour branchements et collecteurs d'assainissement enterrés et aériens avec pression - Poly (chlorure de vinyle) non plastifié (PVC-U) - Partie 2 : tubes. (IC 05.6.046) (OBL)</w:t>
            </w:r>
          </w:p>
        </w:tc>
      </w:tr>
      <w:tr w:rsidR="0043547B" w:rsidRPr="0043547B" w:rsidTr="00CB5DC0">
        <w:trPr>
          <w:trHeight w:val="1268"/>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435069" w:rsidRPr="0043547B" w:rsidRDefault="00435069" w:rsidP="004B0064">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bottom"/>
            <w:hideMark/>
          </w:tcPr>
          <w:p w:rsidR="00E90D64" w:rsidRPr="0043547B" w:rsidRDefault="00435069" w:rsidP="00E90D64">
            <w:pPr>
              <w:spacing w:after="0" w:line="240" w:lineRule="auto"/>
              <w:jc w:val="both"/>
              <w:rPr>
                <w:rFonts w:cstheme="minorHAnsi"/>
                <w:sz w:val="24"/>
                <w:szCs w:val="24"/>
              </w:rPr>
            </w:pPr>
            <w:r w:rsidRPr="0043547B">
              <w:rPr>
                <w:rFonts w:cstheme="minorHAnsi"/>
                <w:sz w:val="24"/>
                <w:szCs w:val="24"/>
              </w:rPr>
              <w:t>La présente partie de l'ISO 1452 spécifie les caractéristiques des tubes à paroi compacte en poly(chlorure de vinyle) non plastifié (PVC-U) pour les systèmes de canalisations destinés à l'alimentation en eau et pour les collecteurs d'assainissement enterrés et aériens avec pression.</w:t>
            </w:r>
          </w:p>
          <w:p w:rsidR="00E90D64" w:rsidRPr="0043547B" w:rsidRDefault="00435069" w:rsidP="00E90D64">
            <w:pPr>
              <w:spacing w:after="0" w:line="240" w:lineRule="auto"/>
              <w:jc w:val="both"/>
              <w:rPr>
                <w:rFonts w:cstheme="minorHAnsi"/>
                <w:sz w:val="24"/>
                <w:szCs w:val="24"/>
              </w:rPr>
            </w:pPr>
            <w:r w:rsidRPr="0043547B">
              <w:rPr>
                <w:rFonts w:cstheme="minorHAnsi"/>
                <w:sz w:val="24"/>
                <w:szCs w:val="24"/>
              </w:rPr>
              <w:lastRenderedPageBreak/>
              <w:t>Elle spécifie également les paramètres d'essai pour les méthodes d'essai auxquelles il est fait référence dans la présente partie de l'ISO 1452.</w:t>
            </w:r>
          </w:p>
          <w:p w:rsidR="00E90D64" w:rsidRPr="0043547B" w:rsidRDefault="00435069" w:rsidP="00E90D64">
            <w:pPr>
              <w:spacing w:after="0" w:line="240" w:lineRule="auto"/>
              <w:jc w:val="both"/>
              <w:rPr>
                <w:rFonts w:cstheme="minorHAnsi"/>
                <w:sz w:val="24"/>
                <w:szCs w:val="24"/>
              </w:rPr>
            </w:pPr>
            <w:r w:rsidRPr="0043547B">
              <w:rPr>
                <w:rFonts w:cstheme="minorHAnsi"/>
                <w:sz w:val="24"/>
                <w:szCs w:val="24"/>
              </w:rPr>
              <w:t>Conjointement à l'ISO 1452-1 et à l'ISO 1452-5, elle s'applique aux tubes extrudés en PVC-U sans emboîture et aux tubes avec emboîture (intégrée ou non), destinés aux usages suivants</w:t>
            </w:r>
            <w:r w:rsidR="00E90D64" w:rsidRPr="0043547B">
              <w:rPr>
                <w:rFonts w:cstheme="minorHAnsi"/>
                <w:sz w:val="24"/>
                <w:szCs w:val="24"/>
              </w:rPr>
              <w:t xml:space="preserve"> </w:t>
            </w:r>
            <w:r w:rsidRPr="0043547B">
              <w:rPr>
                <w:rFonts w:cstheme="minorHAnsi"/>
                <w:sz w:val="24"/>
                <w:szCs w:val="24"/>
              </w:rPr>
              <w:t>:</w:t>
            </w:r>
          </w:p>
          <w:p w:rsidR="00730AD3" w:rsidRPr="00730AD3" w:rsidRDefault="00435069" w:rsidP="00730AD3">
            <w:pPr>
              <w:spacing w:after="0" w:line="240" w:lineRule="auto"/>
              <w:rPr>
                <w:rFonts w:cstheme="minorHAnsi"/>
                <w:sz w:val="6"/>
                <w:szCs w:val="6"/>
              </w:rPr>
            </w:pPr>
            <w:r w:rsidRPr="0043547B">
              <w:rPr>
                <w:rFonts w:cstheme="minorHAnsi"/>
                <w:sz w:val="24"/>
                <w:szCs w:val="24"/>
              </w:rPr>
              <w:t>a) conduites principales et branchements enterrés</w:t>
            </w:r>
            <w:r w:rsidR="00E90D64" w:rsidRPr="0043547B">
              <w:rPr>
                <w:rFonts w:cstheme="minorHAnsi"/>
                <w:sz w:val="24"/>
                <w:szCs w:val="24"/>
              </w:rPr>
              <w:t xml:space="preserve"> </w:t>
            </w:r>
            <w:r w:rsidRPr="0043547B">
              <w:rPr>
                <w:rFonts w:cstheme="minorHAnsi"/>
                <w:sz w:val="24"/>
                <w:szCs w:val="24"/>
              </w:rPr>
              <w:t>;</w:t>
            </w:r>
            <w:r w:rsidRPr="0043547B">
              <w:rPr>
                <w:rFonts w:cstheme="minorHAnsi"/>
                <w:sz w:val="24"/>
                <w:szCs w:val="24"/>
              </w:rPr>
              <w:br/>
              <w:t>b) transport de l'eau en aérien, à l'extérieur et à l'intérieur des bâtiments</w:t>
            </w:r>
            <w:r w:rsidR="00E90D64" w:rsidRPr="0043547B">
              <w:rPr>
                <w:rFonts w:cstheme="minorHAnsi"/>
                <w:sz w:val="24"/>
                <w:szCs w:val="24"/>
              </w:rPr>
              <w:t xml:space="preserve"> </w:t>
            </w:r>
            <w:r w:rsidRPr="0043547B">
              <w:rPr>
                <w:rFonts w:cstheme="minorHAnsi"/>
                <w:sz w:val="24"/>
                <w:szCs w:val="24"/>
              </w:rPr>
              <w:t>;</w:t>
            </w:r>
            <w:r w:rsidRPr="0043547B">
              <w:rPr>
                <w:rFonts w:cstheme="minorHAnsi"/>
                <w:sz w:val="24"/>
                <w:szCs w:val="24"/>
              </w:rPr>
              <w:br/>
              <w:t>c) collecteurs d'assainissement enterrés et aériens avec pression.</w:t>
            </w:r>
            <w:r w:rsidRPr="0043547B">
              <w:rPr>
                <w:rFonts w:cstheme="minorHAnsi"/>
                <w:sz w:val="24"/>
                <w:szCs w:val="24"/>
              </w:rPr>
              <w:br/>
            </w:r>
          </w:p>
          <w:p w:rsidR="00E90D64" w:rsidRPr="0043547B" w:rsidRDefault="00435069" w:rsidP="00730AD3">
            <w:pPr>
              <w:spacing w:after="0" w:line="240" w:lineRule="auto"/>
              <w:jc w:val="both"/>
              <w:rPr>
                <w:rFonts w:cstheme="minorHAnsi"/>
                <w:sz w:val="24"/>
                <w:szCs w:val="24"/>
              </w:rPr>
            </w:pPr>
            <w:r w:rsidRPr="0043547B">
              <w:rPr>
                <w:rFonts w:cstheme="minorHAnsi"/>
                <w:sz w:val="24"/>
                <w:szCs w:val="24"/>
              </w:rPr>
              <w:t>Elle s'applique aux systèmes de canalisations destinés à l'alimentation en eau sous pression jusqu'à 25 °C (eau froide) compris, destinée à la consommation humaine et pour les besoins généraux aussi bien que les eaux usées sous pression.</w:t>
            </w:r>
            <w:r w:rsidRPr="0043547B">
              <w:rPr>
                <w:rFonts w:cstheme="minorHAnsi"/>
                <w:sz w:val="24"/>
                <w:szCs w:val="24"/>
              </w:rPr>
              <w:br/>
              <w:t>La présente partie de l'ISO 1452 s'applique également aux tubes pour le transport de l'eau jusqu'à 45 °C inclus. Pour des températures comprises entre 20 °C et 45 °C, la Figure A.1 s'applique.</w:t>
            </w:r>
          </w:p>
          <w:p w:rsidR="00E90D64" w:rsidRPr="00730AD3" w:rsidRDefault="00435069" w:rsidP="00E90D64">
            <w:pPr>
              <w:spacing w:after="0" w:line="240" w:lineRule="auto"/>
              <w:jc w:val="both"/>
              <w:rPr>
                <w:rFonts w:cstheme="minorHAnsi"/>
                <w:i/>
                <w:iCs/>
              </w:rPr>
            </w:pPr>
            <w:r w:rsidRPr="00730AD3">
              <w:rPr>
                <w:rFonts w:cstheme="minorHAnsi"/>
                <w:b/>
                <w:bCs/>
                <w:i/>
                <w:iCs/>
              </w:rPr>
              <w:t>NOTE 1</w:t>
            </w:r>
            <w:r w:rsidR="00E90D64" w:rsidRPr="00730AD3">
              <w:rPr>
                <w:rFonts w:cstheme="minorHAnsi"/>
                <w:b/>
                <w:bCs/>
                <w:i/>
                <w:iCs/>
              </w:rPr>
              <w:t> :</w:t>
            </w:r>
            <w:r w:rsidR="00E90D64" w:rsidRPr="00730AD3">
              <w:rPr>
                <w:rFonts w:cstheme="minorHAnsi"/>
                <w:i/>
                <w:iCs/>
              </w:rPr>
              <w:t xml:space="preserve"> </w:t>
            </w:r>
            <w:r w:rsidRPr="00730AD3">
              <w:rPr>
                <w:rFonts w:cstheme="minorHAnsi"/>
                <w:i/>
                <w:iCs/>
              </w:rPr>
              <w:t>Les possibilités d'utilisation pour les températures supérieures à 45 °C peuvent faire l'accord entre le fabricant et l'utilisateur final au cas par cas.</w:t>
            </w:r>
          </w:p>
          <w:p w:rsidR="00E90D64" w:rsidRPr="00730AD3" w:rsidRDefault="00435069" w:rsidP="00E90D64">
            <w:pPr>
              <w:spacing w:after="0" w:line="240" w:lineRule="auto"/>
              <w:jc w:val="both"/>
              <w:rPr>
                <w:rFonts w:cstheme="minorHAnsi"/>
                <w:i/>
                <w:iCs/>
              </w:rPr>
            </w:pPr>
            <w:r w:rsidRPr="00730AD3">
              <w:rPr>
                <w:rFonts w:cstheme="minorHAnsi"/>
                <w:i/>
                <w:iCs/>
              </w:rPr>
              <w:t>La présente partie de l'ISO 1452 concerne une série de dimensions de tubes et de classes de pression et donne des exigences pour les couleurs.</w:t>
            </w:r>
          </w:p>
          <w:p w:rsidR="00435069" w:rsidRPr="0043547B" w:rsidRDefault="00435069" w:rsidP="00E90D64">
            <w:pPr>
              <w:spacing w:after="0" w:line="240" w:lineRule="auto"/>
              <w:jc w:val="both"/>
              <w:rPr>
                <w:rFonts w:cstheme="minorHAnsi"/>
                <w:sz w:val="24"/>
                <w:szCs w:val="24"/>
              </w:rPr>
            </w:pPr>
            <w:r w:rsidRPr="00730AD3">
              <w:rPr>
                <w:rFonts w:cstheme="minorHAnsi"/>
                <w:b/>
                <w:bCs/>
                <w:i/>
                <w:iCs/>
              </w:rPr>
              <w:t>NOTE 2</w:t>
            </w:r>
            <w:r w:rsidR="00E90D64" w:rsidRPr="00730AD3">
              <w:rPr>
                <w:rFonts w:cstheme="minorHAnsi"/>
                <w:b/>
                <w:bCs/>
                <w:i/>
                <w:iCs/>
              </w:rPr>
              <w:t> :</w:t>
            </w:r>
            <w:r w:rsidR="00E90D64" w:rsidRPr="00730AD3">
              <w:rPr>
                <w:rFonts w:cstheme="minorHAnsi"/>
                <w:i/>
                <w:iCs/>
              </w:rPr>
              <w:t xml:space="preserve"> </w:t>
            </w:r>
            <w:r w:rsidRPr="00730AD3">
              <w:rPr>
                <w:rFonts w:cstheme="minorHAnsi"/>
                <w:i/>
                <w:iCs/>
              </w:rPr>
              <w:t>Il incombe à l'acheteur ou au rédacteur des spécifications de faire le choix approprié à partir de ces éléments en tenant compte de leurs exigences particulières, des éventuelles réglementations nationales et des usages pour l'installation ou des codes.</w:t>
            </w:r>
          </w:p>
        </w:tc>
      </w:tr>
      <w:tr w:rsidR="0043547B" w:rsidRPr="0043547B" w:rsidTr="00CB5DC0">
        <w:trPr>
          <w:trHeight w:val="300"/>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2E5578">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15877-1</w:t>
            </w:r>
          </w:p>
        </w:tc>
      </w:tr>
      <w:tr w:rsidR="0043547B" w:rsidRPr="0043547B" w:rsidTr="00CB5DC0">
        <w:trPr>
          <w:trHeight w:val="300"/>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2E5578">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15877-1 - A1</w:t>
            </w:r>
          </w:p>
        </w:tc>
      </w:tr>
      <w:tr w:rsidR="0043547B" w:rsidRPr="0043547B" w:rsidTr="00CB5DC0">
        <w:trPr>
          <w:trHeight w:val="6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Systèmes de canalisations en plastique pour les installations d'eau chaude et froide - Poly (chlorure de vinyle) chloré (PVC-C) - Partie 1 : Généralité ;   </w:t>
            </w:r>
            <w:r w:rsidRPr="0043547B">
              <w:rPr>
                <w:rFonts w:eastAsia="Times New Roman" w:cstheme="minorHAnsi"/>
                <w:b/>
                <w:bCs/>
                <w:sz w:val="24"/>
                <w:szCs w:val="24"/>
                <w:lang w:eastAsia="fr-FR"/>
              </w:rPr>
              <w:t xml:space="preserve"> </w:t>
            </w:r>
          </w:p>
        </w:tc>
      </w:tr>
      <w:tr w:rsidR="0043547B" w:rsidRPr="0043547B" w:rsidTr="00CB5DC0">
        <w:trPr>
          <w:trHeight w:val="270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exigences générales des systèmes de canalisations en poly(chlorure de vinyle) chloré (PVC-C) destinés aux installations d'eau chaude et froide à l'intérieur des bâtiments pour le transport de l'eau, destinée ou non à la consommation humaine (systèmes domestiques) et aux systèmes de chauffage, à des pressions et à des températures de service correspondant à la classe d'application.</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couvre une gamme de conditions de service (classes d'application), de pressions de service et de classes de dimension du tube.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L'acheteur a la responsabilité de réaliser une sélection convenable de ces aspects, en prenant en compte les exigences particulières et les règles d'installation des réglementations nationales.</w:t>
            </w:r>
          </w:p>
        </w:tc>
      </w:tr>
      <w:tr w:rsidR="0043547B" w:rsidRPr="0043547B" w:rsidTr="00CB5DC0">
        <w:trPr>
          <w:trHeight w:val="300"/>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15877-5</w:t>
            </w:r>
          </w:p>
        </w:tc>
      </w:tr>
      <w:tr w:rsidR="0043547B" w:rsidRPr="0043547B" w:rsidTr="00CB5DC0">
        <w:trPr>
          <w:trHeight w:val="300"/>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15877-5</w:t>
            </w:r>
          </w:p>
        </w:tc>
      </w:tr>
      <w:tr w:rsidR="0043547B" w:rsidRPr="0043547B" w:rsidTr="00CB5DC0">
        <w:trPr>
          <w:trHeight w:val="6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Systèmes de canalisations en plastique pour les installations d'eau chaude et froide - Poly (chlorure de vinyle) chloré (PVC-C) - Partie 5 : Aptitude à l'emploi du système ;  </w:t>
            </w:r>
          </w:p>
        </w:tc>
      </w:tr>
      <w:tr w:rsidR="0043547B" w:rsidRPr="0043547B" w:rsidTr="00CB5DC0">
        <w:trPr>
          <w:trHeight w:val="843"/>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730AD3" w:rsidRDefault="00904E52" w:rsidP="00E90D64">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La norme spécifie les caractéristiques d'aptitude à l'emploi des systèmes de canalisations en  poly(chlorure de vinyle) (PVC-C) destinés à des installations d'eau </w:t>
            </w:r>
            <w:r w:rsidR="00E90D64" w:rsidRPr="0043547B">
              <w:rPr>
                <w:rFonts w:eastAsia="Times New Roman" w:cstheme="minorHAnsi"/>
                <w:sz w:val="24"/>
                <w:szCs w:val="24"/>
                <w:lang w:eastAsia="fr-FR"/>
              </w:rPr>
              <w:t>chaude et froide à l'intérieur des bâtiments pour le transport de l'eau, destinée ou non à la consommation humaine (systèmes domestiques) et aux systèmes de chauffage, à des pressions et des températures de service correspondant à la classe d'application.</w:t>
            </w:r>
          </w:p>
          <w:p w:rsidR="00904E52" w:rsidRPr="0043547B" w:rsidRDefault="00E90D64" w:rsidP="00E90D64">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lastRenderedPageBreak/>
              <w:t>Elle couvre une gamme de conditions de service (classes d'application) et de classes de pression de service.  L'acheteur a la responsabilité de réaliser une sélection convenable de ces aspects, en prenant en compte les exigences particulières et les règles d'installation des réglementations nationales.</w:t>
            </w:r>
          </w:p>
        </w:tc>
      </w:tr>
      <w:tr w:rsidR="0043547B" w:rsidRPr="0043547B" w:rsidTr="00CB5DC0">
        <w:trPr>
          <w:trHeight w:val="300"/>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ISO/TS 15877-7</w:t>
            </w:r>
          </w:p>
        </w:tc>
      </w:tr>
      <w:tr w:rsidR="0043547B" w:rsidRPr="0043547B" w:rsidTr="00CB5DC0">
        <w:trPr>
          <w:trHeight w:val="300"/>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ISO/TS 15877-7</w:t>
            </w:r>
          </w:p>
        </w:tc>
      </w:tr>
      <w:tr w:rsidR="0043547B" w:rsidRPr="0043547B" w:rsidTr="00CB5DC0">
        <w:trPr>
          <w:trHeight w:val="6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Systèmes de canalisations en plastique pour les installations d'eau chaude et froide – Poly(chlorure de vinyle) chloré (PVC-C) - Partie 7 : Guide pour l'évaluation de la conformité ;  </w:t>
            </w:r>
          </w:p>
        </w:tc>
      </w:tr>
      <w:tr w:rsidR="0043547B" w:rsidRPr="0043547B" w:rsidTr="00CB5DC0">
        <w:trPr>
          <w:trHeight w:val="3673"/>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E90D64">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Spécification technique est un guide pour l'évaluation de la conformité, inclus dans le plan qualité du fabricant dans le cadre de son système qualité.</w:t>
            </w:r>
          </w:p>
          <w:p w:rsidR="00904E52" w:rsidRPr="0043547B" w:rsidRDefault="00904E52" w:rsidP="00E90D64">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Spécification technique comporte ceci :</w:t>
            </w:r>
          </w:p>
          <w:p w:rsidR="00904E52" w:rsidRPr="0043547B" w:rsidRDefault="00904E52" w:rsidP="00E90D64">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a) les exigences relatives aux matières, aux composants, aux assemblages et aux montages,</w:t>
            </w:r>
          </w:p>
          <w:p w:rsidR="00904E52" w:rsidRPr="0043547B" w:rsidRDefault="00904E52" w:rsidP="00730AD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b) les exigences relatives au système qualité du fabricant, qui peut être conforme à</w:t>
            </w:r>
            <w:r w:rsidR="00730AD3">
              <w:rPr>
                <w:rFonts w:eastAsia="Times New Roman" w:cstheme="minorHAnsi"/>
                <w:sz w:val="24"/>
                <w:szCs w:val="24"/>
                <w:lang w:eastAsia="fr-FR"/>
              </w:rPr>
              <w:t xml:space="preserve"> </w:t>
            </w:r>
            <w:r w:rsidRPr="0043547B">
              <w:rPr>
                <w:rFonts w:eastAsia="Times New Roman" w:cstheme="minorHAnsi"/>
                <w:sz w:val="24"/>
                <w:szCs w:val="24"/>
                <w:lang w:eastAsia="fr-FR"/>
              </w:rPr>
              <w:t>NM ISO 9001 ;</w:t>
            </w:r>
          </w:p>
          <w:p w:rsidR="00904E52" w:rsidRPr="0043547B" w:rsidRDefault="00904E52" w:rsidP="00730AD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 les définitions et procédures appliquées en cas de certification par tierce partie;</w:t>
            </w:r>
          </w:p>
          <w:p w:rsidR="00904E52" w:rsidRPr="0043547B" w:rsidRDefault="00904E52" w:rsidP="00E90D64">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Spécification technique est applicable aux systèmes de canalisations en poly(chlorure de vinyle) chloré (PVC-C) destinés aux installations d'eau chaude et froide pour le transport de l'eau dans les bâtiments, que l'eau soit ou non destinée à la consommation humaine (systèmes domestiques), à des pressions et des températures de calcul correspondant à la classe d'application.</w:t>
            </w:r>
          </w:p>
        </w:tc>
      </w:tr>
      <w:tr w:rsidR="0043547B" w:rsidRPr="0043547B" w:rsidTr="00CB5DC0">
        <w:trPr>
          <w:trHeight w:val="242"/>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853530" w:rsidRPr="0043547B" w:rsidRDefault="00853530" w:rsidP="001A3987">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853530" w:rsidRPr="008A369B" w:rsidRDefault="00160B21" w:rsidP="00730AD3">
            <w:pPr>
              <w:spacing w:after="0" w:line="240" w:lineRule="auto"/>
              <w:jc w:val="center"/>
              <w:rPr>
                <w:rFonts w:cstheme="minorHAnsi"/>
                <w:b/>
                <w:bCs/>
                <w:sz w:val="24"/>
                <w:szCs w:val="24"/>
              </w:rPr>
            </w:pPr>
            <w:r w:rsidRPr="008A369B">
              <w:rPr>
                <w:rFonts w:cstheme="minorHAnsi"/>
                <w:b/>
                <w:bCs/>
                <w:sz w:val="24"/>
                <w:szCs w:val="24"/>
              </w:rPr>
              <w:t xml:space="preserve">NM </w:t>
            </w:r>
            <w:r w:rsidR="00853530" w:rsidRPr="008A369B">
              <w:rPr>
                <w:rFonts w:cstheme="minorHAnsi"/>
                <w:b/>
                <w:bCs/>
                <w:sz w:val="24"/>
                <w:szCs w:val="24"/>
              </w:rPr>
              <w:t>ISO 15876-1</w:t>
            </w:r>
          </w:p>
        </w:tc>
      </w:tr>
      <w:tr w:rsidR="0043547B" w:rsidRPr="0043547B" w:rsidTr="00CB5DC0">
        <w:trPr>
          <w:trHeight w:val="236"/>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853530" w:rsidRPr="0043547B" w:rsidRDefault="00853530" w:rsidP="001A3987">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bottom"/>
            <w:hideMark/>
          </w:tcPr>
          <w:p w:rsidR="00853530" w:rsidRPr="008A369B" w:rsidRDefault="00853530" w:rsidP="00730AD3">
            <w:pPr>
              <w:spacing w:after="0" w:line="240" w:lineRule="auto"/>
              <w:jc w:val="center"/>
              <w:rPr>
                <w:rFonts w:cstheme="minorHAnsi"/>
                <w:b/>
                <w:bCs/>
                <w:sz w:val="24"/>
                <w:szCs w:val="24"/>
              </w:rPr>
            </w:pPr>
            <w:r w:rsidRPr="008A369B">
              <w:rPr>
                <w:rFonts w:cstheme="minorHAnsi"/>
                <w:b/>
                <w:bCs/>
                <w:sz w:val="24"/>
                <w:szCs w:val="24"/>
              </w:rPr>
              <w:t>ISO 15876-1</w:t>
            </w:r>
          </w:p>
        </w:tc>
      </w:tr>
      <w:tr w:rsidR="0043547B" w:rsidRPr="0043547B" w:rsidTr="00CB5DC0">
        <w:trPr>
          <w:trHeight w:val="109"/>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853530" w:rsidRPr="0043547B" w:rsidRDefault="00853530" w:rsidP="001A3987">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853530" w:rsidRPr="0043547B" w:rsidRDefault="00853530" w:rsidP="00F4550C">
            <w:pPr>
              <w:spacing w:after="0" w:line="240" w:lineRule="auto"/>
              <w:rPr>
                <w:rFonts w:cstheme="minorHAnsi"/>
                <w:sz w:val="24"/>
                <w:szCs w:val="24"/>
              </w:rPr>
            </w:pPr>
            <w:r w:rsidRPr="0043547B">
              <w:rPr>
                <w:rFonts w:cstheme="minorHAnsi"/>
                <w:sz w:val="24"/>
                <w:szCs w:val="24"/>
              </w:rPr>
              <w:t xml:space="preserve">Systèmes de canalisations en plastique pour les installations d'eau chaude et froide - Polybutène (PB) - Partie 1 : généralités ; </w:t>
            </w:r>
            <w:r w:rsidR="00F4550C">
              <w:rPr>
                <w:rFonts w:cstheme="minorHAnsi"/>
                <w:sz w:val="24"/>
                <w:szCs w:val="24"/>
              </w:rPr>
              <w:t xml:space="preserve"> </w:t>
            </w:r>
            <w:r w:rsidRPr="0043547B">
              <w:rPr>
                <w:rFonts w:cstheme="minorHAnsi"/>
                <w:sz w:val="24"/>
                <w:szCs w:val="24"/>
              </w:rPr>
              <w:t xml:space="preserve"> </w:t>
            </w:r>
          </w:p>
        </w:tc>
      </w:tr>
      <w:tr w:rsidR="0043547B" w:rsidRPr="0043547B" w:rsidTr="00CB5DC0">
        <w:trPr>
          <w:trHeight w:val="843"/>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853530" w:rsidRPr="0043547B" w:rsidRDefault="00853530" w:rsidP="00853530">
            <w:pPr>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hideMark/>
          </w:tcPr>
          <w:p w:rsidR="001A3987" w:rsidRDefault="00853530" w:rsidP="001A3987">
            <w:pPr>
              <w:spacing w:after="0" w:line="240" w:lineRule="auto"/>
              <w:jc w:val="both"/>
              <w:rPr>
                <w:rFonts w:cstheme="minorHAnsi"/>
                <w:sz w:val="24"/>
                <w:szCs w:val="24"/>
              </w:rPr>
            </w:pPr>
            <w:r w:rsidRPr="0043547B">
              <w:rPr>
                <w:rFonts w:cstheme="minorHAnsi"/>
                <w:sz w:val="24"/>
                <w:szCs w:val="24"/>
              </w:rPr>
              <w:t>Le présent document spécifie les aspects généraux des systèmes de canalisations en polybutène-1 (PB-1), conçus pour être utilisés dans des installations d’eau chaude et froide à l’intérieur des bâtiments,</w:t>
            </w:r>
            <w:r w:rsidR="000906B1">
              <w:rPr>
                <w:rFonts w:cstheme="minorHAnsi"/>
                <w:sz w:val="24"/>
                <w:szCs w:val="24"/>
              </w:rPr>
              <w:t xml:space="preserve"> </w:t>
            </w:r>
            <w:r w:rsidRPr="0043547B">
              <w:rPr>
                <w:rFonts w:cstheme="minorHAnsi"/>
                <w:sz w:val="24"/>
                <w:szCs w:val="24"/>
              </w:rPr>
              <w:t>pour le transport de l’eau destinée ou non à la consommation humaine (systèmes domestiques), et dans des installations de chauffage, à des pressions et des températures de service correspondant à leur classe d’application (voir le Tableau 1).</w:t>
            </w:r>
          </w:p>
          <w:p w:rsidR="001A3987" w:rsidRDefault="00853530" w:rsidP="001A3987">
            <w:pPr>
              <w:spacing w:after="0" w:line="240" w:lineRule="auto"/>
              <w:jc w:val="both"/>
              <w:rPr>
                <w:rFonts w:cstheme="minorHAnsi"/>
                <w:sz w:val="24"/>
                <w:szCs w:val="24"/>
              </w:rPr>
            </w:pPr>
            <w:r w:rsidRPr="0043547B">
              <w:rPr>
                <w:rFonts w:cstheme="minorHAnsi"/>
                <w:sz w:val="24"/>
                <w:szCs w:val="24"/>
              </w:rPr>
              <w:t>La désignation polybutène est utilisée conjointement avec l’abréviation PB dans l’ensemble du présent document.</w:t>
            </w:r>
          </w:p>
          <w:p w:rsidR="001A3987" w:rsidRDefault="00853530" w:rsidP="001A3987">
            <w:pPr>
              <w:spacing w:after="0" w:line="240" w:lineRule="auto"/>
              <w:jc w:val="both"/>
              <w:rPr>
                <w:rFonts w:cstheme="minorHAnsi"/>
                <w:i/>
                <w:iCs/>
                <w:sz w:val="24"/>
                <w:szCs w:val="24"/>
              </w:rPr>
            </w:pPr>
            <w:r w:rsidRPr="0043547B">
              <w:rPr>
                <w:rFonts w:cstheme="minorHAnsi"/>
                <w:sz w:val="24"/>
                <w:szCs w:val="24"/>
              </w:rPr>
              <w:t>Le présent document couvre une gamme de conditions de service (classes d’application) et de classes de pressions de service et de dimensions des tubes. Les valeurs TD, Tmax et Tmal dépassant celles du Tableau 1 ne s’appliquent pas.</w:t>
            </w:r>
            <w:r w:rsidRPr="0043547B">
              <w:rPr>
                <w:rFonts w:cstheme="minorHAnsi"/>
                <w:sz w:val="24"/>
                <w:szCs w:val="24"/>
              </w:rPr>
              <w:br/>
            </w:r>
            <w:r w:rsidRPr="001A3987">
              <w:rPr>
                <w:rFonts w:cstheme="minorHAnsi"/>
                <w:b/>
                <w:bCs/>
                <w:i/>
                <w:iCs/>
              </w:rPr>
              <w:t>NOTE</w:t>
            </w:r>
            <w:r w:rsidRPr="001A3987">
              <w:rPr>
                <w:rFonts w:cstheme="minorHAnsi"/>
                <w:i/>
                <w:iCs/>
              </w:rPr>
              <w:t xml:space="preserve"> : Il est de la responsabilité de l’acheteur ou du prescripteur de sélectionner convenablement ces aspects, en tenant compte des exigences particulières et des éventuelles règles nationales et pratiques ou codes de pose appropriés.</w:t>
            </w:r>
          </w:p>
          <w:p w:rsidR="001A3987" w:rsidRDefault="00853530" w:rsidP="001A3987">
            <w:pPr>
              <w:spacing w:after="0" w:line="240" w:lineRule="auto"/>
              <w:jc w:val="both"/>
              <w:rPr>
                <w:rFonts w:cstheme="minorHAnsi"/>
                <w:sz w:val="24"/>
                <w:szCs w:val="24"/>
              </w:rPr>
            </w:pPr>
            <w:r w:rsidRPr="0043547B">
              <w:rPr>
                <w:rFonts w:cstheme="minorHAnsi"/>
                <w:sz w:val="24"/>
                <w:szCs w:val="24"/>
              </w:rPr>
              <w:t>Il spécifie également les paramètres d’essai pour les méthodes d’essai auxquelles il est fait référence dans le présent document.</w:t>
            </w:r>
          </w:p>
          <w:p w:rsidR="00853530" w:rsidRPr="0043547B" w:rsidRDefault="00853530" w:rsidP="001A3987">
            <w:pPr>
              <w:spacing w:after="0" w:line="240" w:lineRule="auto"/>
              <w:jc w:val="both"/>
              <w:rPr>
                <w:rFonts w:cstheme="minorHAnsi"/>
                <w:sz w:val="24"/>
                <w:szCs w:val="24"/>
              </w:rPr>
            </w:pPr>
            <w:r w:rsidRPr="0043547B">
              <w:rPr>
                <w:rFonts w:cstheme="minorHAnsi"/>
                <w:sz w:val="24"/>
                <w:szCs w:val="24"/>
              </w:rPr>
              <w:t>Avec les autres parties de l’ISO 15876, le présent document s’applique aux tubes et aux raccords en PB, à leurs assemblages et aux assemblages avec des composants fabriqués à partir d’autres matériaux, plastiques ou non plastiques, destinés à des installations d’eau chaude et froide.</w:t>
            </w:r>
          </w:p>
        </w:tc>
      </w:tr>
      <w:tr w:rsidR="008A369B" w:rsidRPr="0043547B" w:rsidTr="00CB5DC0">
        <w:trPr>
          <w:trHeight w:val="486"/>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8A369B" w:rsidRPr="0043547B" w:rsidRDefault="008A369B" w:rsidP="00F4550C">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nil"/>
              <w:left w:val="single" w:sz="4" w:space="0" w:color="auto"/>
              <w:bottom w:val="single" w:sz="18" w:space="0" w:color="auto"/>
              <w:right w:val="single" w:sz="18" w:space="0" w:color="auto"/>
            </w:tcBorders>
            <w:shd w:val="clear" w:color="auto" w:fill="C2D69B" w:themeFill="accent3" w:themeFillTint="99"/>
            <w:vAlign w:val="center"/>
          </w:tcPr>
          <w:p w:rsidR="008A369B" w:rsidRPr="008A369B" w:rsidRDefault="008A369B" w:rsidP="00F4550C">
            <w:pPr>
              <w:spacing w:after="0" w:line="240" w:lineRule="auto"/>
              <w:jc w:val="center"/>
              <w:rPr>
                <w:rFonts w:cstheme="minorHAnsi"/>
                <w:b/>
                <w:bCs/>
                <w:sz w:val="24"/>
                <w:szCs w:val="24"/>
              </w:rPr>
            </w:pPr>
            <w:r w:rsidRPr="008A369B">
              <w:rPr>
                <w:rFonts w:cstheme="minorHAnsi"/>
                <w:b/>
                <w:bCs/>
                <w:sz w:val="24"/>
                <w:szCs w:val="24"/>
              </w:rPr>
              <w:t>NM ISO 15876-2</w:t>
            </w:r>
          </w:p>
        </w:tc>
      </w:tr>
      <w:tr w:rsidR="008A369B" w:rsidRPr="0043547B" w:rsidTr="00F4550C">
        <w:trPr>
          <w:trHeight w:val="23"/>
          <w:jc w:val="center"/>
        </w:trPr>
        <w:tc>
          <w:tcPr>
            <w:tcW w:w="1838" w:type="dxa"/>
            <w:tcBorders>
              <w:top w:val="single" w:sz="18" w:space="0" w:color="auto"/>
              <w:left w:val="single" w:sz="18" w:space="0" w:color="auto"/>
              <w:bottom w:val="single" w:sz="4" w:space="0" w:color="auto"/>
              <w:right w:val="single" w:sz="4" w:space="0" w:color="auto"/>
            </w:tcBorders>
            <w:shd w:val="clear" w:color="auto" w:fill="FDFBA9"/>
            <w:vAlign w:val="center"/>
          </w:tcPr>
          <w:p w:rsidR="008A369B" w:rsidRPr="0043547B" w:rsidRDefault="008A369B" w:rsidP="00F4550C">
            <w:pPr>
              <w:spacing w:after="0" w:line="240" w:lineRule="auto"/>
              <w:jc w:val="center"/>
              <w:rPr>
                <w:rFonts w:cstheme="minorHAnsi"/>
                <w:b/>
                <w:bCs/>
                <w:sz w:val="24"/>
                <w:szCs w:val="24"/>
              </w:rPr>
            </w:pPr>
            <w:r w:rsidRPr="0043547B">
              <w:rPr>
                <w:rFonts w:cstheme="minorHAnsi"/>
                <w:b/>
                <w:bCs/>
                <w:sz w:val="24"/>
                <w:szCs w:val="24"/>
              </w:rPr>
              <w:lastRenderedPageBreak/>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DFBA9"/>
            <w:vAlign w:val="bottom"/>
          </w:tcPr>
          <w:p w:rsidR="008A369B" w:rsidRPr="008A369B" w:rsidRDefault="008A369B" w:rsidP="00F4550C">
            <w:pPr>
              <w:spacing w:after="0" w:line="240" w:lineRule="auto"/>
              <w:jc w:val="center"/>
              <w:rPr>
                <w:rFonts w:cstheme="minorHAnsi"/>
                <w:b/>
                <w:bCs/>
                <w:sz w:val="24"/>
                <w:szCs w:val="24"/>
              </w:rPr>
            </w:pPr>
            <w:r w:rsidRPr="008A369B">
              <w:rPr>
                <w:rFonts w:cstheme="minorHAnsi"/>
                <w:b/>
                <w:bCs/>
                <w:sz w:val="24"/>
                <w:szCs w:val="24"/>
              </w:rPr>
              <w:t>ISO 15876-2</w:t>
            </w:r>
          </w:p>
        </w:tc>
      </w:tr>
      <w:tr w:rsidR="008A369B" w:rsidRPr="0043547B" w:rsidTr="00F4550C">
        <w:trPr>
          <w:trHeight w:val="23"/>
          <w:jc w:val="center"/>
        </w:trPr>
        <w:tc>
          <w:tcPr>
            <w:tcW w:w="1838" w:type="dxa"/>
            <w:tcBorders>
              <w:top w:val="single" w:sz="4" w:space="0" w:color="auto"/>
              <w:left w:val="single" w:sz="18" w:space="0" w:color="auto"/>
              <w:bottom w:val="single" w:sz="4" w:space="0" w:color="auto"/>
              <w:right w:val="single" w:sz="4" w:space="0" w:color="auto"/>
            </w:tcBorders>
            <w:shd w:val="clear" w:color="auto" w:fill="95B3D7" w:themeFill="accent1" w:themeFillTint="99"/>
            <w:vAlign w:val="center"/>
          </w:tcPr>
          <w:p w:rsidR="008A369B" w:rsidRPr="0043547B" w:rsidRDefault="008A369B" w:rsidP="00F4550C">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auto"/>
            <w:vAlign w:val="center"/>
          </w:tcPr>
          <w:p w:rsidR="008A369B" w:rsidRPr="0043547B" w:rsidRDefault="008A369B" w:rsidP="00F4550C">
            <w:pPr>
              <w:spacing w:after="0" w:line="240" w:lineRule="auto"/>
              <w:rPr>
                <w:rFonts w:cstheme="minorHAnsi"/>
                <w:sz w:val="24"/>
                <w:szCs w:val="24"/>
              </w:rPr>
            </w:pPr>
            <w:r w:rsidRPr="0043547B">
              <w:rPr>
                <w:rFonts w:cstheme="minorHAnsi"/>
                <w:sz w:val="24"/>
                <w:szCs w:val="24"/>
              </w:rPr>
              <w:t xml:space="preserve">Systèmes de canalisations en plastique pour les installations d'eau chaude et froide - Polybutène (PB) - Partie 2 : tubes  ; </w:t>
            </w:r>
            <w:r w:rsidR="00F4550C">
              <w:rPr>
                <w:rFonts w:cstheme="minorHAnsi"/>
                <w:sz w:val="24"/>
                <w:szCs w:val="24"/>
              </w:rPr>
              <w:t xml:space="preserve"> </w:t>
            </w:r>
            <w:r w:rsidRPr="0043547B">
              <w:rPr>
                <w:rFonts w:cstheme="minorHAnsi"/>
                <w:sz w:val="24"/>
                <w:szCs w:val="24"/>
              </w:rPr>
              <w:t xml:space="preserve">  (OBL)</w:t>
            </w:r>
          </w:p>
        </w:tc>
      </w:tr>
      <w:tr w:rsidR="008A369B" w:rsidRPr="0043547B" w:rsidTr="00CB5DC0">
        <w:trPr>
          <w:trHeight w:val="843"/>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8A369B" w:rsidRPr="0043547B" w:rsidRDefault="008A369B" w:rsidP="00F4550C">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tcPr>
          <w:p w:rsidR="00F4550C" w:rsidRDefault="008A369B" w:rsidP="00F4550C">
            <w:pPr>
              <w:spacing w:after="0" w:line="240" w:lineRule="auto"/>
              <w:jc w:val="both"/>
              <w:rPr>
                <w:rFonts w:cstheme="minorHAnsi"/>
                <w:sz w:val="24"/>
                <w:szCs w:val="24"/>
              </w:rPr>
            </w:pPr>
            <w:r w:rsidRPr="0043547B">
              <w:rPr>
                <w:rFonts w:cstheme="minorHAnsi"/>
                <w:sz w:val="24"/>
                <w:szCs w:val="24"/>
              </w:rPr>
              <w:t>Le présent document spécifie les caractéristiques des tubes des systèmes de canalisations en polybutène-1 (PB-1), conçus pour être utilisés dans des installations d’eau chaude et froide à l’intérieur des bâtiments, pour le transport de l’eau destinée ou non à la consommation humaine (systèmes domestiques), et dans des installations de chauffage, à des pressions et des températures de service</w:t>
            </w:r>
            <w:r w:rsidR="000906B1">
              <w:rPr>
                <w:rFonts w:cstheme="minorHAnsi"/>
                <w:sz w:val="24"/>
                <w:szCs w:val="24"/>
              </w:rPr>
              <w:t xml:space="preserve"> </w:t>
            </w:r>
            <w:r w:rsidRPr="0043547B">
              <w:rPr>
                <w:rFonts w:cstheme="minorHAnsi"/>
                <w:sz w:val="24"/>
                <w:szCs w:val="24"/>
              </w:rPr>
              <w:t>adaptées à leur classe d’application (voir l’ISO 15876-1).</w:t>
            </w:r>
          </w:p>
          <w:p w:rsidR="00F4550C" w:rsidRDefault="008A369B" w:rsidP="00F4550C">
            <w:pPr>
              <w:spacing w:after="0" w:line="240" w:lineRule="auto"/>
              <w:jc w:val="both"/>
              <w:rPr>
                <w:rFonts w:cstheme="minorHAnsi"/>
                <w:sz w:val="24"/>
                <w:szCs w:val="24"/>
              </w:rPr>
            </w:pPr>
            <w:r w:rsidRPr="0043547B">
              <w:rPr>
                <w:rFonts w:cstheme="minorHAnsi"/>
                <w:sz w:val="24"/>
                <w:szCs w:val="24"/>
              </w:rPr>
              <w:t>La désignation polybutène est utilisée conjointement avec l’abréviation PB dans l’ensemble du présent document.</w:t>
            </w:r>
          </w:p>
          <w:p w:rsidR="00F4550C" w:rsidRDefault="008A369B" w:rsidP="00F4550C">
            <w:pPr>
              <w:spacing w:after="0" w:line="240" w:lineRule="auto"/>
              <w:jc w:val="both"/>
              <w:rPr>
                <w:rFonts w:cstheme="minorHAnsi"/>
                <w:sz w:val="24"/>
                <w:szCs w:val="24"/>
              </w:rPr>
            </w:pPr>
            <w:r w:rsidRPr="0043547B">
              <w:rPr>
                <w:rFonts w:cstheme="minorHAnsi"/>
                <w:sz w:val="24"/>
                <w:szCs w:val="24"/>
              </w:rPr>
              <w:t>Le présent document couvre une gamme de conditions de service (classes d’application) et de classes de pressions de service et de dimensions des tubes.</w:t>
            </w:r>
          </w:p>
          <w:p w:rsidR="00F4550C" w:rsidRDefault="008A369B" w:rsidP="00F4550C">
            <w:pPr>
              <w:spacing w:after="0" w:line="240" w:lineRule="auto"/>
              <w:jc w:val="both"/>
              <w:rPr>
                <w:rFonts w:cstheme="minorHAnsi"/>
                <w:sz w:val="24"/>
                <w:szCs w:val="24"/>
              </w:rPr>
            </w:pPr>
            <w:r w:rsidRPr="0043547B">
              <w:rPr>
                <w:rFonts w:cstheme="minorHAnsi"/>
                <w:sz w:val="24"/>
                <w:szCs w:val="24"/>
              </w:rPr>
              <w:t>Pour les valeurs TD, Tmax et Tmal dépassant celles de l’ISO 15876-1, le présent document ne s’applique pas.</w:t>
            </w:r>
          </w:p>
          <w:p w:rsidR="00F4550C" w:rsidRDefault="008A369B" w:rsidP="00F4550C">
            <w:pPr>
              <w:spacing w:after="0" w:line="240" w:lineRule="auto"/>
              <w:jc w:val="both"/>
              <w:rPr>
                <w:rFonts w:cstheme="minorHAnsi"/>
                <w:i/>
                <w:iCs/>
                <w:sz w:val="24"/>
                <w:szCs w:val="24"/>
              </w:rPr>
            </w:pPr>
            <w:r w:rsidRPr="00F4550C">
              <w:rPr>
                <w:rFonts w:cstheme="minorHAnsi"/>
                <w:b/>
                <w:bCs/>
                <w:i/>
                <w:iCs/>
              </w:rPr>
              <w:t>NOTE 1</w:t>
            </w:r>
            <w:r w:rsidRPr="00F4550C">
              <w:rPr>
                <w:rFonts w:cstheme="minorHAnsi"/>
                <w:i/>
                <w:iCs/>
              </w:rPr>
              <w:t xml:space="preserve"> : Il est de la responsabilité de l’acheteur ou du prescripteur de sélectionner convenablement ces aspects, en tenant compte des exigences particulières et des éventuelles règles nationales et pratiques ou codes de pose appropriés</w:t>
            </w:r>
            <w:r w:rsidRPr="0043547B">
              <w:rPr>
                <w:rFonts w:cstheme="minorHAnsi"/>
                <w:i/>
                <w:iCs/>
                <w:sz w:val="24"/>
                <w:szCs w:val="24"/>
              </w:rPr>
              <w:t>.</w:t>
            </w:r>
          </w:p>
          <w:p w:rsidR="00F4550C" w:rsidRDefault="008A369B" w:rsidP="00F4550C">
            <w:pPr>
              <w:spacing w:after="0" w:line="240" w:lineRule="auto"/>
              <w:jc w:val="both"/>
              <w:rPr>
                <w:rFonts w:cstheme="minorHAnsi"/>
                <w:sz w:val="24"/>
                <w:szCs w:val="24"/>
              </w:rPr>
            </w:pPr>
            <w:r w:rsidRPr="0043547B">
              <w:rPr>
                <w:rFonts w:cstheme="minorHAnsi"/>
                <w:sz w:val="24"/>
                <w:szCs w:val="24"/>
              </w:rPr>
              <w:t>Il spécifie également les paramètres d’essai pour les méthodes d’essai auxquelles il est fait référence dans le présent document.</w:t>
            </w:r>
          </w:p>
          <w:p w:rsidR="00F4550C" w:rsidRDefault="008A369B" w:rsidP="00F4550C">
            <w:pPr>
              <w:spacing w:after="0" w:line="240" w:lineRule="auto"/>
              <w:jc w:val="both"/>
              <w:rPr>
                <w:rFonts w:cstheme="minorHAnsi"/>
                <w:sz w:val="24"/>
                <w:szCs w:val="24"/>
              </w:rPr>
            </w:pPr>
            <w:r w:rsidRPr="0043547B">
              <w:rPr>
                <w:rFonts w:cstheme="minorHAnsi"/>
                <w:sz w:val="24"/>
                <w:szCs w:val="24"/>
              </w:rPr>
              <w:t>Avec les autres parties de l’ISO 15876, le présent document s’applique aux tubes en PB, à leurs assemblages et aux assemblages avec des composants fabriqués en PB et en d’autres matériaux, plastiques ou non plastiques, destinés à des installations d’eau chaude et froide.</w:t>
            </w:r>
          </w:p>
          <w:p w:rsidR="00F4550C" w:rsidRDefault="008A369B" w:rsidP="00F4550C">
            <w:pPr>
              <w:spacing w:after="0" w:line="240" w:lineRule="auto"/>
              <w:jc w:val="both"/>
              <w:rPr>
                <w:rFonts w:cstheme="minorHAnsi"/>
                <w:sz w:val="24"/>
                <w:szCs w:val="24"/>
              </w:rPr>
            </w:pPr>
            <w:r w:rsidRPr="0043547B">
              <w:rPr>
                <w:rFonts w:cstheme="minorHAnsi"/>
                <w:sz w:val="24"/>
                <w:szCs w:val="24"/>
              </w:rPr>
              <w:t>Il s’applique aux tubes avec ou sans couche(s) barrière.</w:t>
            </w:r>
          </w:p>
          <w:p w:rsidR="008A369B" w:rsidRPr="0043547B" w:rsidRDefault="008A369B" w:rsidP="00F4550C">
            <w:pPr>
              <w:spacing w:after="0" w:line="240" w:lineRule="auto"/>
              <w:jc w:val="both"/>
              <w:rPr>
                <w:rFonts w:cstheme="minorHAnsi"/>
                <w:sz w:val="24"/>
                <w:szCs w:val="24"/>
              </w:rPr>
            </w:pPr>
            <w:r w:rsidRPr="00F4550C">
              <w:rPr>
                <w:rFonts w:cstheme="minorHAnsi"/>
                <w:b/>
                <w:bCs/>
                <w:i/>
                <w:iCs/>
              </w:rPr>
              <w:t xml:space="preserve">NOTE 2 </w:t>
            </w:r>
            <w:r w:rsidR="00F4550C" w:rsidRPr="00F4550C">
              <w:rPr>
                <w:rFonts w:cstheme="minorHAnsi"/>
                <w:b/>
                <w:bCs/>
                <w:i/>
                <w:iCs/>
              </w:rPr>
              <w:t xml:space="preserve">: </w:t>
            </w:r>
            <w:r w:rsidR="00F4550C" w:rsidRPr="00F4550C">
              <w:rPr>
                <w:rFonts w:cstheme="minorHAnsi"/>
                <w:i/>
                <w:iCs/>
              </w:rPr>
              <w:t>Dans</w:t>
            </w:r>
            <w:r w:rsidRPr="00F4550C">
              <w:rPr>
                <w:rFonts w:cstheme="minorHAnsi"/>
                <w:i/>
                <w:iCs/>
              </w:rPr>
              <w:t xml:space="preserve"> le cas des tubes plastiques pourvus d’une fine couche barrière, par exemple, pour éviter ou diminuer fortement la diffusion de gaz et la transmission de la lumière dans ou à travers la paroi du tube, les exigences relatives à la contrainte de dimensionnement sont totalement satisfaites par le polymère de base (PB).</w:t>
            </w:r>
          </w:p>
        </w:tc>
      </w:tr>
      <w:tr w:rsidR="002E3AA9" w:rsidRPr="0043547B" w:rsidTr="00CB5DC0">
        <w:trPr>
          <w:trHeight w:val="23"/>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2E3AA9" w:rsidRPr="0043547B" w:rsidRDefault="002E3AA9" w:rsidP="00F4550C">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nil"/>
              <w:left w:val="single" w:sz="4" w:space="0" w:color="auto"/>
              <w:bottom w:val="single" w:sz="18" w:space="0" w:color="auto"/>
              <w:right w:val="single" w:sz="18" w:space="0" w:color="auto"/>
            </w:tcBorders>
            <w:shd w:val="clear" w:color="auto" w:fill="C2D69B" w:themeFill="accent3" w:themeFillTint="99"/>
            <w:vAlign w:val="center"/>
          </w:tcPr>
          <w:p w:rsidR="002E3AA9" w:rsidRPr="002E3AA9" w:rsidRDefault="002E3AA9" w:rsidP="00F4550C">
            <w:pPr>
              <w:spacing w:after="0" w:line="240" w:lineRule="auto"/>
              <w:jc w:val="center"/>
              <w:rPr>
                <w:rFonts w:cstheme="minorHAnsi"/>
                <w:b/>
                <w:bCs/>
                <w:sz w:val="24"/>
                <w:szCs w:val="24"/>
              </w:rPr>
            </w:pPr>
            <w:r w:rsidRPr="002E3AA9">
              <w:rPr>
                <w:rFonts w:cstheme="minorHAnsi"/>
                <w:b/>
                <w:bCs/>
                <w:sz w:val="24"/>
                <w:szCs w:val="24"/>
              </w:rPr>
              <w:t>NM ISO 15876-3</w:t>
            </w:r>
          </w:p>
        </w:tc>
      </w:tr>
      <w:tr w:rsidR="002E3AA9" w:rsidRPr="0043547B" w:rsidTr="00F4550C">
        <w:trPr>
          <w:trHeight w:val="419"/>
          <w:jc w:val="center"/>
        </w:trPr>
        <w:tc>
          <w:tcPr>
            <w:tcW w:w="1838" w:type="dxa"/>
            <w:tcBorders>
              <w:top w:val="single" w:sz="18" w:space="0" w:color="auto"/>
              <w:left w:val="single" w:sz="18" w:space="0" w:color="auto"/>
              <w:bottom w:val="single" w:sz="4" w:space="0" w:color="auto"/>
              <w:right w:val="single" w:sz="4" w:space="0" w:color="auto"/>
            </w:tcBorders>
            <w:shd w:val="clear" w:color="auto" w:fill="FDFBA9"/>
            <w:vAlign w:val="center"/>
          </w:tcPr>
          <w:p w:rsidR="002E3AA9" w:rsidRPr="002E3AA9" w:rsidRDefault="002E3AA9" w:rsidP="00F4550C">
            <w:pPr>
              <w:spacing w:after="0" w:line="240" w:lineRule="auto"/>
              <w:jc w:val="center"/>
              <w:rPr>
                <w:rFonts w:cstheme="minorHAnsi"/>
                <w:b/>
                <w:bCs/>
                <w:sz w:val="24"/>
                <w:szCs w:val="24"/>
              </w:rPr>
            </w:pPr>
            <w:r w:rsidRPr="002E3AA9">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DFBA9"/>
            <w:vAlign w:val="center"/>
          </w:tcPr>
          <w:p w:rsidR="002E3AA9" w:rsidRPr="002E3AA9" w:rsidRDefault="002E3AA9" w:rsidP="00F4550C">
            <w:pPr>
              <w:spacing w:after="0" w:line="240" w:lineRule="auto"/>
              <w:jc w:val="center"/>
              <w:rPr>
                <w:rFonts w:cstheme="minorHAnsi"/>
                <w:b/>
                <w:bCs/>
                <w:sz w:val="24"/>
                <w:szCs w:val="24"/>
              </w:rPr>
            </w:pPr>
            <w:r w:rsidRPr="002E3AA9">
              <w:rPr>
                <w:rFonts w:cstheme="minorHAnsi"/>
                <w:b/>
                <w:bCs/>
                <w:sz w:val="24"/>
                <w:szCs w:val="24"/>
              </w:rPr>
              <w:t>ISO 15876-3</w:t>
            </w:r>
          </w:p>
        </w:tc>
      </w:tr>
      <w:tr w:rsidR="002E3AA9" w:rsidRPr="0043547B" w:rsidTr="00F4550C">
        <w:trPr>
          <w:trHeight w:val="560"/>
          <w:jc w:val="center"/>
        </w:trPr>
        <w:tc>
          <w:tcPr>
            <w:tcW w:w="1838" w:type="dxa"/>
            <w:tcBorders>
              <w:top w:val="single" w:sz="4" w:space="0" w:color="auto"/>
              <w:left w:val="single" w:sz="18" w:space="0" w:color="auto"/>
              <w:bottom w:val="single" w:sz="4" w:space="0" w:color="auto"/>
              <w:right w:val="single" w:sz="4" w:space="0" w:color="auto"/>
            </w:tcBorders>
            <w:shd w:val="clear" w:color="auto" w:fill="95B3D7" w:themeFill="accent1" w:themeFillTint="99"/>
            <w:vAlign w:val="center"/>
          </w:tcPr>
          <w:p w:rsidR="002E3AA9" w:rsidRPr="0043547B" w:rsidRDefault="002E3AA9" w:rsidP="00F4550C">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auto"/>
            <w:vAlign w:val="center"/>
          </w:tcPr>
          <w:p w:rsidR="002E3AA9" w:rsidRPr="0043547B" w:rsidRDefault="002E3AA9" w:rsidP="00F4550C">
            <w:pPr>
              <w:spacing w:after="0" w:line="240" w:lineRule="auto"/>
              <w:rPr>
                <w:rFonts w:cstheme="minorHAnsi"/>
                <w:sz w:val="24"/>
                <w:szCs w:val="24"/>
              </w:rPr>
            </w:pPr>
            <w:r w:rsidRPr="0043547B">
              <w:rPr>
                <w:rFonts w:cstheme="minorHAnsi"/>
                <w:sz w:val="24"/>
                <w:szCs w:val="24"/>
              </w:rPr>
              <w:t xml:space="preserve">Systèmes de canalisations en plastique pour les installations d'eau chaude et froide - Polybutène (PB) - Partie 3 : raccords  ; </w:t>
            </w:r>
            <w:r w:rsidR="00F4550C">
              <w:rPr>
                <w:rFonts w:cstheme="minorHAnsi"/>
                <w:sz w:val="24"/>
                <w:szCs w:val="24"/>
              </w:rPr>
              <w:t xml:space="preserve"> </w:t>
            </w:r>
            <w:r w:rsidRPr="0043547B">
              <w:rPr>
                <w:rFonts w:cstheme="minorHAnsi"/>
                <w:sz w:val="24"/>
                <w:szCs w:val="24"/>
              </w:rPr>
              <w:t xml:space="preserve">  </w:t>
            </w:r>
          </w:p>
        </w:tc>
      </w:tr>
      <w:tr w:rsidR="002E3AA9" w:rsidRPr="0043547B" w:rsidTr="00CB5DC0">
        <w:trPr>
          <w:trHeight w:val="843"/>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2E3AA9" w:rsidRPr="0043547B" w:rsidRDefault="002E3AA9" w:rsidP="002E3AA9">
            <w:pPr>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tcPr>
          <w:p w:rsidR="00F4550C" w:rsidRDefault="002E3AA9" w:rsidP="00F4550C">
            <w:pPr>
              <w:spacing w:after="0" w:line="240" w:lineRule="auto"/>
              <w:jc w:val="both"/>
              <w:rPr>
                <w:rFonts w:cstheme="minorHAnsi"/>
                <w:sz w:val="24"/>
                <w:szCs w:val="24"/>
              </w:rPr>
            </w:pPr>
            <w:r w:rsidRPr="0043547B">
              <w:rPr>
                <w:rFonts w:cstheme="minorHAnsi"/>
                <w:sz w:val="24"/>
                <w:szCs w:val="24"/>
              </w:rPr>
              <w:t>Le présent document spécifie les caractéristiques des raccords des systèmes de canalisations en polybutène-1 (PB-1), conçus pour être utilisés dans des installations d’eau chaude et froide à l’intérieur des bâtiments, pour le transport de l’eau destinée ou non à la consommation humaine (systèmes domestiques), et dans des installations de chauffage, à des pressions et des températures de service</w:t>
            </w:r>
            <w:r w:rsidR="000906B1">
              <w:rPr>
                <w:rFonts w:cstheme="minorHAnsi"/>
                <w:sz w:val="24"/>
                <w:szCs w:val="24"/>
              </w:rPr>
              <w:t xml:space="preserve"> </w:t>
            </w:r>
            <w:r w:rsidRPr="0043547B">
              <w:rPr>
                <w:rFonts w:cstheme="minorHAnsi"/>
                <w:sz w:val="24"/>
                <w:szCs w:val="24"/>
              </w:rPr>
              <w:t>correspondant à leur classe d’application (voir l’ISO 15876-1).</w:t>
            </w:r>
          </w:p>
          <w:p w:rsidR="00F4550C" w:rsidRDefault="002E3AA9" w:rsidP="00F4550C">
            <w:pPr>
              <w:spacing w:after="0" w:line="240" w:lineRule="auto"/>
              <w:jc w:val="both"/>
              <w:rPr>
                <w:rFonts w:cstheme="minorHAnsi"/>
                <w:sz w:val="24"/>
                <w:szCs w:val="24"/>
              </w:rPr>
            </w:pPr>
            <w:r w:rsidRPr="0043547B">
              <w:rPr>
                <w:rFonts w:cstheme="minorHAnsi"/>
                <w:sz w:val="24"/>
                <w:szCs w:val="24"/>
              </w:rPr>
              <w:t>La désignation polybutène est utilisée conjointement avec l’abréviation PB dans l’ensemble du présent document.</w:t>
            </w:r>
          </w:p>
          <w:p w:rsidR="00F4550C" w:rsidRDefault="002E3AA9" w:rsidP="00F4550C">
            <w:pPr>
              <w:spacing w:after="0" w:line="240" w:lineRule="auto"/>
              <w:jc w:val="both"/>
              <w:rPr>
                <w:rFonts w:cstheme="minorHAnsi"/>
                <w:sz w:val="24"/>
                <w:szCs w:val="24"/>
              </w:rPr>
            </w:pPr>
            <w:r w:rsidRPr="0043547B">
              <w:rPr>
                <w:rFonts w:cstheme="minorHAnsi"/>
                <w:sz w:val="24"/>
                <w:szCs w:val="24"/>
              </w:rPr>
              <w:t>Le présent document couvre une gamme de conditions de service (classes d’application) et de classes de pressions de service. Pour les valeurs TD, Tmax et Tmal dépassant celles de l’ISO 15876-1:2016, Tableau 1, le présent document ne s’applique pas.</w:t>
            </w:r>
          </w:p>
          <w:p w:rsidR="00F4550C" w:rsidRPr="00F4550C" w:rsidRDefault="002E3AA9" w:rsidP="00F4550C">
            <w:pPr>
              <w:spacing w:after="0" w:line="240" w:lineRule="auto"/>
              <w:jc w:val="both"/>
              <w:rPr>
                <w:rFonts w:cstheme="minorHAnsi"/>
                <w:i/>
                <w:iCs/>
              </w:rPr>
            </w:pPr>
            <w:r w:rsidRPr="00F4550C">
              <w:rPr>
                <w:rFonts w:cstheme="minorHAnsi"/>
                <w:b/>
                <w:bCs/>
                <w:i/>
                <w:iCs/>
              </w:rPr>
              <w:t>NOTE :</w:t>
            </w:r>
            <w:r w:rsidRPr="00F4550C">
              <w:rPr>
                <w:rFonts w:cstheme="minorHAnsi"/>
                <w:i/>
                <w:iCs/>
              </w:rPr>
              <w:t xml:space="preserve"> Il est de la responsabilité de l’acheteur ou du prescripteur de sélectionner convenablement ces aspects, en tenant compte des exigences particulières et des éventuelles règles nationales et pratiques ou codes de pose appropriés.</w:t>
            </w:r>
          </w:p>
          <w:p w:rsidR="00F4550C" w:rsidRDefault="002E3AA9" w:rsidP="00F4550C">
            <w:pPr>
              <w:spacing w:after="0" w:line="240" w:lineRule="auto"/>
              <w:jc w:val="both"/>
              <w:rPr>
                <w:rFonts w:cstheme="minorHAnsi"/>
                <w:i/>
                <w:iCs/>
                <w:sz w:val="24"/>
                <w:szCs w:val="24"/>
              </w:rPr>
            </w:pPr>
            <w:r w:rsidRPr="0043547B">
              <w:rPr>
                <w:rFonts w:cstheme="minorHAnsi"/>
                <w:i/>
                <w:iCs/>
                <w:sz w:val="24"/>
                <w:szCs w:val="24"/>
              </w:rPr>
              <w:lastRenderedPageBreak/>
              <w:t>Il spécifie également les paramètres pour les méthodes d’essai auxquelles il est fait référence dans le présent document.</w:t>
            </w:r>
          </w:p>
          <w:p w:rsidR="00F4550C" w:rsidRDefault="002E3AA9" w:rsidP="00F4550C">
            <w:pPr>
              <w:spacing w:after="0" w:line="240" w:lineRule="auto"/>
              <w:jc w:val="both"/>
              <w:rPr>
                <w:rFonts w:cstheme="minorHAnsi"/>
                <w:sz w:val="24"/>
                <w:szCs w:val="24"/>
              </w:rPr>
            </w:pPr>
            <w:r w:rsidRPr="0043547B">
              <w:rPr>
                <w:rFonts w:cstheme="minorHAnsi"/>
                <w:sz w:val="24"/>
                <w:szCs w:val="24"/>
              </w:rPr>
              <w:t>Avec les autres parties de l’ISO 15876, le présent document s’applique aux raccords en PB et aux raccords fabriqués dans d’autres matériaux, destinés à être assemblés avec des tubes conformes à l’ISO 15876-2 pour des installations d’eau chaude et froide, les assemblages étant conformes aux exigences de l’ISO 15876-5.</w:t>
            </w:r>
            <w:r w:rsidRPr="0043547B">
              <w:rPr>
                <w:rFonts w:cstheme="minorHAnsi"/>
                <w:sz w:val="24"/>
                <w:szCs w:val="24"/>
              </w:rPr>
              <w:br/>
              <w:t>Le présent document s’applique aux types de raccords suivants</w:t>
            </w:r>
            <w:r w:rsidR="00F4550C">
              <w:rPr>
                <w:rFonts w:cstheme="minorHAnsi"/>
                <w:sz w:val="24"/>
                <w:szCs w:val="24"/>
              </w:rPr>
              <w:t xml:space="preserve"> </w:t>
            </w:r>
            <w:r w:rsidRPr="0043547B">
              <w:rPr>
                <w:rFonts w:cstheme="minorHAnsi"/>
                <w:sz w:val="24"/>
                <w:szCs w:val="24"/>
              </w:rPr>
              <w:t>:</w:t>
            </w:r>
          </w:p>
          <w:p w:rsidR="00F4550C" w:rsidRDefault="002E3AA9" w:rsidP="00F4550C">
            <w:pPr>
              <w:spacing w:after="0" w:line="240" w:lineRule="auto"/>
              <w:rPr>
                <w:rFonts w:cstheme="minorHAnsi"/>
                <w:sz w:val="24"/>
                <w:szCs w:val="24"/>
              </w:rPr>
            </w:pPr>
            <w:r w:rsidRPr="0043547B">
              <w:rPr>
                <w:rFonts w:cstheme="minorHAnsi"/>
                <w:sz w:val="24"/>
                <w:szCs w:val="24"/>
              </w:rPr>
              <w:t>— raccords à emboîture à souder</w:t>
            </w:r>
            <w:r w:rsidR="00F4550C">
              <w:rPr>
                <w:rFonts w:cstheme="minorHAnsi"/>
                <w:sz w:val="24"/>
                <w:szCs w:val="24"/>
              </w:rPr>
              <w:t xml:space="preserve"> </w:t>
            </w:r>
            <w:r w:rsidRPr="0043547B">
              <w:rPr>
                <w:rFonts w:cstheme="minorHAnsi"/>
                <w:sz w:val="24"/>
                <w:szCs w:val="24"/>
              </w:rPr>
              <w:t>;</w:t>
            </w:r>
            <w:r w:rsidRPr="0043547B">
              <w:rPr>
                <w:rFonts w:cstheme="minorHAnsi"/>
                <w:sz w:val="24"/>
                <w:szCs w:val="24"/>
              </w:rPr>
              <w:br/>
              <w:t>— raccords électrosoudables</w:t>
            </w:r>
            <w:r w:rsidR="00F4550C">
              <w:rPr>
                <w:rFonts w:cstheme="minorHAnsi"/>
                <w:sz w:val="24"/>
                <w:szCs w:val="24"/>
              </w:rPr>
              <w:t xml:space="preserve"> </w:t>
            </w:r>
            <w:r w:rsidRPr="0043547B">
              <w:rPr>
                <w:rFonts w:cstheme="minorHAnsi"/>
                <w:sz w:val="24"/>
                <w:szCs w:val="24"/>
              </w:rPr>
              <w:t>;</w:t>
            </w:r>
            <w:r w:rsidRPr="0043547B">
              <w:rPr>
                <w:rFonts w:cstheme="minorHAnsi"/>
                <w:sz w:val="24"/>
                <w:szCs w:val="24"/>
              </w:rPr>
              <w:br/>
              <w:t>— raccords mécaniques;</w:t>
            </w:r>
            <w:r w:rsidRPr="0043547B">
              <w:rPr>
                <w:rFonts w:cstheme="minorHAnsi"/>
                <w:sz w:val="24"/>
                <w:szCs w:val="24"/>
              </w:rPr>
              <w:br/>
              <w:t>— raccords avec inserts incorporés.</w:t>
            </w:r>
          </w:p>
          <w:p w:rsidR="002E3AA9" w:rsidRPr="0043547B" w:rsidRDefault="002E3AA9" w:rsidP="00F4550C">
            <w:pPr>
              <w:spacing w:after="0" w:line="240" w:lineRule="auto"/>
              <w:jc w:val="both"/>
              <w:rPr>
                <w:rFonts w:cstheme="minorHAnsi"/>
                <w:sz w:val="24"/>
                <w:szCs w:val="24"/>
              </w:rPr>
            </w:pPr>
            <w:r w:rsidRPr="0043547B">
              <w:rPr>
                <w:rFonts w:cstheme="minorHAnsi"/>
                <w:sz w:val="24"/>
                <w:szCs w:val="24"/>
              </w:rPr>
              <w:t>Il s’applique également aux raccords fabriqués dans d’autres matériaux qui, lorsqu’ils sont assemblés aux tubes conformes à l’ISO 15876-2, satisfont aux exigences de l’ISO 15876-5.</w:t>
            </w:r>
          </w:p>
        </w:tc>
      </w:tr>
      <w:tr w:rsidR="002E3AA9" w:rsidRPr="0043547B" w:rsidTr="00CB5DC0">
        <w:trPr>
          <w:trHeight w:val="300"/>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2E3AA9" w:rsidRPr="0043547B" w:rsidRDefault="002E3AA9" w:rsidP="002E3AA9">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2E3AA9" w:rsidRPr="002E3AA9" w:rsidRDefault="002E3AA9" w:rsidP="00F4550C">
            <w:pPr>
              <w:spacing w:after="0" w:line="240" w:lineRule="auto"/>
              <w:jc w:val="center"/>
              <w:rPr>
                <w:rFonts w:cstheme="minorHAnsi"/>
                <w:b/>
                <w:bCs/>
                <w:sz w:val="24"/>
                <w:szCs w:val="24"/>
              </w:rPr>
            </w:pPr>
            <w:r w:rsidRPr="002E3AA9">
              <w:rPr>
                <w:rFonts w:cstheme="minorHAnsi"/>
                <w:b/>
                <w:bCs/>
                <w:sz w:val="24"/>
                <w:szCs w:val="24"/>
              </w:rPr>
              <w:t>NM ISO 15876-5</w:t>
            </w:r>
          </w:p>
        </w:tc>
      </w:tr>
      <w:tr w:rsidR="002E3AA9" w:rsidRPr="0043547B" w:rsidTr="00CB5DC0">
        <w:trPr>
          <w:trHeight w:val="300"/>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2E3AA9" w:rsidRPr="0043547B" w:rsidRDefault="002E3AA9" w:rsidP="002E3AA9">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bottom"/>
            <w:hideMark/>
          </w:tcPr>
          <w:p w:rsidR="002E3AA9" w:rsidRPr="002E3AA9" w:rsidRDefault="002E3AA9" w:rsidP="00F4550C">
            <w:pPr>
              <w:spacing w:after="0" w:line="240" w:lineRule="auto"/>
              <w:jc w:val="center"/>
              <w:rPr>
                <w:rFonts w:cstheme="minorHAnsi"/>
                <w:b/>
                <w:bCs/>
                <w:sz w:val="24"/>
                <w:szCs w:val="24"/>
              </w:rPr>
            </w:pPr>
            <w:r w:rsidRPr="002E3AA9">
              <w:rPr>
                <w:rFonts w:cstheme="minorHAnsi"/>
                <w:b/>
                <w:bCs/>
                <w:sz w:val="24"/>
                <w:szCs w:val="24"/>
              </w:rPr>
              <w:t>ISO 15876-5</w:t>
            </w:r>
          </w:p>
        </w:tc>
      </w:tr>
      <w:tr w:rsidR="002E3AA9" w:rsidRPr="0043547B" w:rsidTr="00CB5DC0">
        <w:trPr>
          <w:trHeight w:val="6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2E3AA9" w:rsidRPr="0043547B" w:rsidRDefault="002E3AA9" w:rsidP="002E3AA9">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2E3AA9" w:rsidRPr="0043547B" w:rsidRDefault="002E3AA9" w:rsidP="008A7A06">
            <w:pPr>
              <w:spacing w:after="0" w:line="240" w:lineRule="auto"/>
              <w:rPr>
                <w:rFonts w:cstheme="minorHAnsi"/>
                <w:sz w:val="24"/>
                <w:szCs w:val="24"/>
              </w:rPr>
            </w:pPr>
            <w:r w:rsidRPr="0043547B">
              <w:rPr>
                <w:rFonts w:cstheme="minorHAnsi"/>
                <w:sz w:val="24"/>
                <w:szCs w:val="24"/>
              </w:rPr>
              <w:t xml:space="preserve">Systèmes de canalisations en plastique pour les installations d'eau chaude et froide - Polybutène (PB) - Partie 5 : aptitude à l'emploi du système. </w:t>
            </w:r>
          </w:p>
        </w:tc>
      </w:tr>
      <w:tr w:rsidR="002E3AA9" w:rsidRPr="0043547B" w:rsidTr="00CB5DC0">
        <w:trPr>
          <w:trHeight w:val="701"/>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2E3AA9" w:rsidRPr="0043547B" w:rsidRDefault="002E3AA9" w:rsidP="002E3AA9">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hideMark/>
          </w:tcPr>
          <w:p w:rsidR="00F4550C" w:rsidRDefault="002E3AA9" w:rsidP="00F4550C">
            <w:pPr>
              <w:spacing w:after="0" w:line="240" w:lineRule="auto"/>
              <w:jc w:val="both"/>
              <w:rPr>
                <w:rFonts w:cstheme="minorHAnsi"/>
                <w:sz w:val="24"/>
                <w:szCs w:val="24"/>
              </w:rPr>
            </w:pPr>
            <w:r w:rsidRPr="0043547B">
              <w:rPr>
                <w:rFonts w:cstheme="minorHAnsi"/>
                <w:sz w:val="24"/>
                <w:szCs w:val="24"/>
              </w:rPr>
              <w:t>Le présent document spécifie les caractéristiques d’aptitude à l’emploi des systèmes de canalisations en polybutène-1 (PB-1), conçus pour être utilisés dans des installations d’eau chaude et froide à l’intérieur des bâtiments, pour le transport de l’eau destinée ou non à la consommation humaine (systèmes domestiques), et dans des installations de chauffage, à des pressions et des températures de service</w:t>
            </w:r>
            <w:r w:rsidR="000906B1">
              <w:rPr>
                <w:rFonts w:cstheme="minorHAnsi"/>
                <w:sz w:val="24"/>
                <w:szCs w:val="24"/>
              </w:rPr>
              <w:t xml:space="preserve"> </w:t>
            </w:r>
            <w:r w:rsidRPr="0043547B">
              <w:rPr>
                <w:rFonts w:cstheme="minorHAnsi"/>
                <w:sz w:val="24"/>
                <w:szCs w:val="24"/>
              </w:rPr>
              <w:t>correspondant à leur classe d’application (voir l’ISO 15876-1).</w:t>
            </w:r>
            <w:r w:rsidRPr="0043547B">
              <w:rPr>
                <w:rFonts w:cstheme="minorHAnsi"/>
                <w:sz w:val="24"/>
                <w:szCs w:val="24"/>
              </w:rPr>
              <w:br/>
              <w:t>La désignation polybutène est utilisée conjointement avec l’abréviation PB dans l’ensemble du présent document.</w:t>
            </w:r>
          </w:p>
          <w:p w:rsidR="00F4550C" w:rsidRDefault="002E3AA9" w:rsidP="00F4550C">
            <w:pPr>
              <w:spacing w:after="0" w:line="240" w:lineRule="auto"/>
              <w:jc w:val="both"/>
              <w:rPr>
                <w:rFonts w:cstheme="minorHAnsi"/>
                <w:sz w:val="24"/>
                <w:szCs w:val="24"/>
              </w:rPr>
            </w:pPr>
            <w:r w:rsidRPr="0043547B">
              <w:rPr>
                <w:rFonts w:cstheme="minorHAnsi"/>
                <w:sz w:val="24"/>
                <w:szCs w:val="24"/>
              </w:rPr>
              <w:t>Le présent document couvre une gamme de conditions de service (classes d’application) et de classes de pressions de service. Pour les valeurs TD, Tmax et Tmal dépassant celles de l’ISO 15876-1, Tableau 1, le présent document ne s’applique pas.</w:t>
            </w:r>
          </w:p>
          <w:p w:rsidR="00F4550C" w:rsidRPr="00F4550C" w:rsidRDefault="002E3AA9" w:rsidP="00F4550C">
            <w:pPr>
              <w:spacing w:after="0" w:line="240" w:lineRule="auto"/>
              <w:jc w:val="both"/>
              <w:rPr>
                <w:rFonts w:cstheme="minorHAnsi"/>
                <w:i/>
                <w:iCs/>
              </w:rPr>
            </w:pPr>
            <w:r w:rsidRPr="00F4550C">
              <w:rPr>
                <w:rFonts w:cstheme="minorHAnsi"/>
                <w:b/>
                <w:bCs/>
                <w:i/>
                <w:iCs/>
              </w:rPr>
              <w:t xml:space="preserve">NOTE : </w:t>
            </w:r>
            <w:r w:rsidRPr="00F4550C">
              <w:rPr>
                <w:rFonts w:cstheme="minorHAnsi"/>
                <w:i/>
                <w:iCs/>
              </w:rPr>
              <w:t>Il est de la responsabilité de l’acheteur ou du prescripteur de sélectionner convenablement ces aspects, en tenant compte des exigences particulières et des éventuelles règles nationales et pratiques ou codes de pose appropriés.</w:t>
            </w:r>
          </w:p>
          <w:p w:rsidR="00F4550C" w:rsidRDefault="002E3AA9" w:rsidP="00F4550C">
            <w:pPr>
              <w:spacing w:after="0" w:line="240" w:lineRule="auto"/>
              <w:jc w:val="both"/>
              <w:rPr>
                <w:rFonts w:cstheme="minorHAnsi"/>
                <w:sz w:val="24"/>
                <w:szCs w:val="24"/>
              </w:rPr>
            </w:pPr>
            <w:r w:rsidRPr="0043547B">
              <w:rPr>
                <w:rFonts w:cstheme="minorHAnsi"/>
                <w:sz w:val="24"/>
                <w:szCs w:val="24"/>
              </w:rPr>
              <w:t>Il spécifie également les paramètres d’essai pour les méthodes d’essai auxquelles il est fait référence dans le présent document.</w:t>
            </w:r>
          </w:p>
          <w:p w:rsidR="002E3AA9" w:rsidRPr="0043547B" w:rsidRDefault="002E3AA9" w:rsidP="00F4550C">
            <w:pPr>
              <w:spacing w:after="0" w:line="240" w:lineRule="auto"/>
              <w:jc w:val="both"/>
              <w:rPr>
                <w:rFonts w:cstheme="minorHAnsi"/>
                <w:sz w:val="24"/>
                <w:szCs w:val="24"/>
              </w:rPr>
            </w:pPr>
            <w:r w:rsidRPr="0043547B">
              <w:rPr>
                <w:rFonts w:cstheme="minorHAnsi"/>
                <w:sz w:val="24"/>
                <w:szCs w:val="24"/>
              </w:rPr>
              <w:t>Avec les autres parties de l’ISO 15876, il s’applique aux tubes et aux raccords en PB, à leurs assemblages et aux assemblages avec des composants fabriqués dans d’autres matériaux, plastiques ou non plastiques, destinés à des installations d’eau chaude et froide.</w:t>
            </w:r>
          </w:p>
        </w:tc>
      </w:tr>
      <w:tr w:rsidR="002E3AA9" w:rsidRPr="0043547B" w:rsidTr="00CB5DC0">
        <w:trPr>
          <w:trHeight w:val="300"/>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2E3AA9" w:rsidRPr="0043547B" w:rsidRDefault="002E3AA9" w:rsidP="002E3AA9">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2E3AA9" w:rsidRPr="0043547B" w:rsidRDefault="002E3AA9" w:rsidP="002E3AA9">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15875-1</w:t>
            </w:r>
          </w:p>
        </w:tc>
      </w:tr>
      <w:tr w:rsidR="002E3AA9" w:rsidRPr="0043547B" w:rsidTr="00CB5DC0">
        <w:trPr>
          <w:trHeight w:val="300"/>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2E3AA9" w:rsidRPr="0043547B" w:rsidRDefault="002E3AA9" w:rsidP="002E3AA9">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2E3AA9" w:rsidRPr="0043547B" w:rsidRDefault="002E3AA9" w:rsidP="002E3AA9">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15875-1 - A1</w:t>
            </w:r>
          </w:p>
        </w:tc>
      </w:tr>
      <w:tr w:rsidR="002E3AA9" w:rsidRPr="0043547B" w:rsidTr="00CB5DC0">
        <w:trPr>
          <w:trHeight w:val="6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2E3AA9" w:rsidRPr="0043547B" w:rsidRDefault="002E3AA9" w:rsidP="002E3AA9">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2E3AA9" w:rsidRPr="0043547B" w:rsidRDefault="002E3AA9" w:rsidP="002E3AA9">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Systèmes de canalisations en plastique pour les installations d'eau chaude et froide - Polyéthylène réticulé (PE-X) - Partie 1 : Généralités  </w:t>
            </w:r>
          </w:p>
        </w:tc>
      </w:tr>
      <w:tr w:rsidR="002E3AA9" w:rsidRPr="0043547B" w:rsidTr="00CB5DC0">
        <w:trPr>
          <w:trHeight w:val="1129"/>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2E3AA9" w:rsidRPr="0043547B" w:rsidRDefault="002E3AA9" w:rsidP="002E3AA9">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2E3AA9" w:rsidRPr="0043547B" w:rsidRDefault="002E3AA9" w:rsidP="002E3AA9">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La norme spécifie les aspects généraux des systèmes de canalisations en polyéthylène réticulé (PE-X) destinés à des installations d'eau chaude et froide à l'intérieur des bâtiments ainsi qu'au transport de l'eau, destinée ou non à la </w:t>
            </w:r>
            <w:r w:rsidRPr="0043547B">
              <w:rPr>
                <w:rFonts w:eastAsia="Times New Roman" w:cstheme="minorHAnsi"/>
                <w:sz w:val="24"/>
                <w:szCs w:val="24"/>
                <w:lang w:eastAsia="fr-FR"/>
              </w:rPr>
              <w:lastRenderedPageBreak/>
              <w:t>consommation humaine (systèmes domestiques) et aux installations de chauffage à des pressions et des températures de service correspondant à la classe d'application.</w:t>
            </w:r>
          </w:p>
          <w:p w:rsidR="002E3AA9" w:rsidRPr="0043547B" w:rsidRDefault="002E3AA9" w:rsidP="002E3AA9">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couvre une gamme de conditions de service, de pressions de service et de classes de dimension du tube.</w:t>
            </w:r>
          </w:p>
          <w:p w:rsidR="002E3AA9" w:rsidRPr="0043547B" w:rsidRDefault="002E3AA9" w:rsidP="002E3AA9">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Il est de la responsabilité de l’acheteur de réaliser une sélection convenable de ces aspects, en prenant en compte les exigences particulières et les règles d’installation des réglementations nationales.</w:t>
            </w:r>
          </w:p>
        </w:tc>
      </w:tr>
      <w:tr w:rsidR="002E3AA9" w:rsidRPr="0043547B" w:rsidTr="00CB5DC0">
        <w:trPr>
          <w:trHeight w:val="300"/>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2E3AA9" w:rsidRPr="0043547B" w:rsidRDefault="002E3AA9" w:rsidP="002E3AA9">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2E3AA9" w:rsidRPr="0043547B" w:rsidRDefault="002E3AA9" w:rsidP="002E3AA9">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15875-5</w:t>
            </w:r>
          </w:p>
        </w:tc>
      </w:tr>
      <w:tr w:rsidR="002E3AA9" w:rsidRPr="0043547B" w:rsidTr="00CB5DC0">
        <w:trPr>
          <w:trHeight w:val="300"/>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2E3AA9" w:rsidRPr="0043547B" w:rsidRDefault="002E3AA9" w:rsidP="002E3AA9">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2E3AA9" w:rsidRPr="0043547B" w:rsidRDefault="002E3AA9" w:rsidP="002E3AA9">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15875-5 - RT1</w:t>
            </w:r>
          </w:p>
        </w:tc>
      </w:tr>
      <w:tr w:rsidR="002E3AA9" w:rsidRPr="0043547B" w:rsidTr="00CB5DC0">
        <w:trPr>
          <w:trHeight w:val="6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2E3AA9" w:rsidRPr="0043547B" w:rsidRDefault="002E3AA9" w:rsidP="002E3AA9">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2E3AA9" w:rsidRPr="0043547B" w:rsidRDefault="002E3AA9" w:rsidP="002E3AA9">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Systèmes de canalisations en plastique pour les installations d'eau chaude et froide - Polyéthylène réticulé (PE-X) - Partie 5 : Aptitude à l'emploi du système ;</w:t>
            </w:r>
          </w:p>
        </w:tc>
      </w:tr>
      <w:tr w:rsidR="002E3AA9" w:rsidRPr="0043547B" w:rsidTr="00CB5DC0">
        <w:trPr>
          <w:trHeight w:val="985"/>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2E3AA9" w:rsidRPr="0043547B" w:rsidRDefault="002E3AA9" w:rsidP="002E3AA9">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2E3AA9" w:rsidRPr="0043547B" w:rsidRDefault="002E3AA9" w:rsidP="002E3AA9">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caractéristiques d’aptitude à l’emploi des systèmes de canalisations en polyéthylène réticulé (PE-X) destiné à des installations d'eau chaude et froide à l'intérieur des bâtiments ainsi qu'au transport de l'eau, destinée ou non à la consommation humaine (systèmes domestiques) et aux installations de chauffage à des pressions et des températures de service correspondant à la classe d'application.</w:t>
            </w:r>
          </w:p>
          <w:p w:rsidR="002E3AA9" w:rsidRPr="0043547B" w:rsidRDefault="002E3AA9" w:rsidP="002E3AA9">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couvre une gamme de conditions de service (classes d’application) et de classes de pression de service.</w:t>
            </w:r>
          </w:p>
          <w:p w:rsidR="002E3AA9" w:rsidRPr="0043547B" w:rsidRDefault="002E3AA9" w:rsidP="002E3AA9">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Il est de la responsabilité de l’acheteur de réaliser une sélection convenable de ces aspects, en tenant compte des exigences particulières et des règles d’installation des réglementations nationales.</w:t>
            </w:r>
          </w:p>
        </w:tc>
      </w:tr>
      <w:tr w:rsidR="002E3AA9" w:rsidRPr="0043547B" w:rsidTr="00CB5DC0">
        <w:trPr>
          <w:trHeight w:val="300"/>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2E3AA9" w:rsidRPr="0043547B" w:rsidRDefault="002E3AA9" w:rsidP="002E3AA9">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2E3AA9" w:rsidRPr="0043547B" w:rsidRDefault="002E3AA9" w:rsidP="002E3AA9">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ISO 15875-7</w:t>
            </w:r>
          </w:p>
        </w:tc>
      </w:tr>
      <w:tr w:rsidR="002E3AA9" w:rsidRPr="0043547B" w:rsidTr="00CB5DC0">
        <w:trPr>
          <w:trHeight w:val="300"/>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2E3AA9" w:rsidRPr="0043547B" w:rsidRDefault="002E3AA9" w:rsidP="002E3AA9">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2E3AA9" w:rsidRPr="0043547B" w:rsidRDefault="002E3AA9" w:rsidP="002E3AA9">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15875-7</w:t>
            </w:r>
          </w:p>
        </w:tc>
      </w:tr>
      <w:tr w:rsidR="002E3AA9" w:rsidRPr="0043547B" w:rsidTr="00CB5DC0">
        <w:trPr>
          <w:trHeight w:val="6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2E3AA9" w:rsidRPr="0043547B" w:rsidRDefault="002E3AA9" w:rsidP="002E3AA9">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2E3AA9" w:rsidRPr="0043547B" w:rsidRDefault="002E3AA9" w:rsidP="002E3AA9">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Systèmes de canalisations en plastique pour les installations d'eau chaude et froide - Polyéthylène réticulé (PE-X) - Partie 7 : Guide pour l'évaluation de la conformité ;</w:t>
            </w:r>
          </w:p>
        </w:tc>
      </w:tr>
      <w:tr w:rsidR="002E3AA9" w:rsidRPr="0043547B" w:rsidTr="00CB5DC0">
        <w:trPr>
          <w:trHeight w:val="7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2E3AA9" w:rsidRPr="0043547B" w:rsidRDefault="002E3AA9" w:rsidP="002E3AA9">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2E3AA9" w:rsidRPr="0043547B" w:rsidRDefault="002E3AA9" w:rsidP="002E3AA9">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Spécification Technique donne un guide pour l'évaluation de la conformité, à inclure dans le plan qualité du fabricant, dans le cadre de son système qualité.</w:t>
            </w:r>
          </w:p>
          <w:p w:rsidR="00F4550C" w:rsidRPr="0043547B" w:rsidRDefault="00F4550C" w:rsidP="00F4550C">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Cette Spécification Technique comporte :</w:t>
            </w:r>
          </w:p>
          <w:p w:rsidR="00F4550C" w:rsidRPr="0043547B" w:rsidRDefault="00F4550C" w:rsidP="00F4550C">
            <w:pPr>
              <w:pStyle w:val="Paragraphedeliste"/>
              <w:numPr>
                <w:ilvl w:val="0"/>
                <w:numId w:val="31"/>
              </w:num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exigences relatives aux matières, composants, assemblages et montages, énoncées dans les normes applicables ;</w:t>
            </w:r>
          </w:p>
          <w:p w:rsidR="00F4550C" w:rsidRPr="0043547B" w:rsidRDefault="00F4550C" w:rsidP="00F4550C">
            <w:pPr>
              <w:pStyle w:val="Paragraphedeliste"/>
              <w:numPr>
                <w:ilvl w:val="0"/>
                <w:numId w:val="31"/>
              </w:num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exigences relatives au système qualité du fabricant. Il est recommandé que le système qualité soit conforme à NM ISO 9001.</w:t>
            </w:r>
          </w:p>
          <w:p w:rsidR="002E3AA9" w:rsidRPr="0043547B" w:rsidRDefault="00F4550C" w:rsidP="00F4550C">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Cette Spécification Technique est applicable aux systèmes de canalisations en polyéthylène réticulé (PE-X) destinés aux installations d’eau chaude et froide pour le transport de l’eau dans les bâtiments, qu’elle soit ou non destinée à la consommation humaine (systèmes domestiques), et pour les systèmes de chauffage, à des pressions et des températures de calcul correspondant à la classe d’application</w:t>
            </w:r>
          </w:p>
        </w:tc>
      </w:tr>
      <w:tr w:rsidR="002E3AA9" w:rsidRPr="0043547B" w:rsidTr="00CB5DC0">
        <w:trPr>
          <w:trHeight w:val="477"/>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2E3AA9" w:rsidRPr="0043547B" w:rsidRDefault="002E3AA9" w:rsidP="002E3AA9">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2E3AA9" w:rsidRPr="0043547B" w:rsidRDefault="002E3AA9" w:rsidP="002E3AA9">
            <w:pPr>
              <w:spacing w:after="0" w:line="240" w:lineRule="auto"/>
              <w:jc w:val="center"/>
              <w:rPr>
                <w:rFonts w:cstheme="minorHAnsi"/>
                <w:b/>
                <w:bCs/>
                <w:sz w:val="24"/>
                <w:szCs w:val="24"/>
              </w:rPr>
            </w:pPr>
            <w:r w:rsidRPr="0043547B">
              <w:rPr>
                <w:rFonts w:cstheme="minorHAnsi"/>
                <w:b/>
                <w:bCs/>
                <w:sz w:val="24"/>
                <w:szCs w:val="24"/>
              </w:rPr>
              <w:t>NM ISO 15874-1</w:t>
            </w:r>
          </w:p>
        </w:tc>
      </w:tr>
      <w:tr w:rsidR="002E3AA9" w:rsidRPr="0043547B" w:rsidTr="00CB5DC0">
        <w:trPr>
          <w:trHeight w:val="300"/>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2E3AA9" w:rsidRPr="0043547B" w:rsidRDefault="002E3AA9" w:rsidP="002E3AA9">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2E3AA9" w:rsidRPr="0043547B" w:rsidRDefault="002E3AA9" w:rsidP="002E3AA9">
            <w:pPr>
              <w:spacing w:after="0" w:line="240" w:lineRule="auto"/>
              <w:jc w:val="center"/>
              <w:rPr>
                <w:rFonts w:cstheme="minorHAnsi"/>
                <w:b/>
                <w:bCs/>
                <w:sz w:val="24"/>
                <w:szCs w:val="24"/>
              </w:rPr>
            </w:pPr>
            <w:r w:rsidRPr="0043547B">
              <w:rPr>
                <w:rFonts w:cstheme="minorHAnsi"/>
                <w:b/>
                <w:bCs/>
                <w:sz w:val="24"/>
                <w:szCs w:val="24"/>
              </w:rPr>
              <w:t>ISO 15874-1</w:t>
            </w:r>
          </w:p>
        </w:tc>
      </w:tr>
      <w:tr w:rsidR="002E3AA9" w:rsidRPr="0043547B" w:rsidTr="00CB5DC0">
        <w:trPr>
          <w:trHeight w:val="6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2E3AA9" w:rsidRPr="0043547B" w:rsidRDefault="002E3AA9" w:rsidP="002E3AA9">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2E3AA9" w:rsidRPr="0043547B" w:rsidRDefault="002E3AA9" w:rsidP="002E3AA9">
            <w:pPr>
              <w:spacing w:after="0" w:line="240" w:lineRule="auto"/>
              <w:rPr>
                <w:rFonts w:cstheme="minorHAnsi"/>
                <w:sz w:val="24"/>
                <w:szCs w:val="24"/>
              </w:rPr>
            </w:pPr>
            <w:r w:rsidRPr="0043547B">
              <w:rPr>
                <w:rFonts w:cstheme="minorHAnsi"/>
                <w:sz w:val="24"/>
                <w:szCs w:val="24"/>
              </w:rPr>
              <w:t xml:space="preserve">Systèmes de canalisations en plastique pour les installations d'eau chaude et froide - Polypropylène (PP) - Partie 1: Généralités (IC 05.6.410) </w:t>
            </w:r>
          </w:p>
        </w:tc>
      </w:tr>
      <w:tr w:rsidR="002E3AA9" w:rsidRPr="0043547B" w:rsidTr="00CB5DC0">
        <w:trPr>
          <w:trHeight w:val="240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2E3AA9" w:rsidRPr="0043547B" w:rsidRDefault="002E3AA9" w:rsidP="002E3AA9">
            <w:pPr>
              <w:spacing w:after="0" w:line="240" w:lineRule="auto"/>
              <w:jc w:val="center"/>
              <w:rPr>
                <w:rFonts w:cstheme="minorHAnsi"/>
                <w:b/>
                <w:bCs/>
                <w:sz w:val="24"/>
                <w:szCs w:val="24"/>
              </w:rPr>
            </w:pPr>
            <w:r w:rsidRPr="0043547B">
              <w:rPr>
                <w:rFonts w:cstheme="minorHAnsi"/>
                <w:b/>
                <w:bCs/>
                <w:sz w:val="24"/>
                <w:szCs w:val="24"/>
              </w:rPr>
              <w:lastRenderedPageBreak/>
              <w:t>Domaine d’application :</w:t>
            </w:r>
          </w:p>
        </w:tc>
        <w:tc>
          <w:tcPr>
            <w:tcW w:w="7938" w:type="dxa"/>
            <w:tcBorders>
              <w:top w:val="nil"/>
              <w:left w:val="single" w:sz="4" w:space="0" w:color="auto"/>
              <w:bottom w:val="single" w:sz="18" w:space="0" w:color="auto"/>
              <w:right w:val="single" w:sz="18" w:space="0" w:color="auto"/>
            </w:tcBorders>
            <w:shd w:val="clear" w:color="auto" w:fill="auto"/>
            <w:vAlign w:val="bottom"/>
            <w:hideMark/>
          </w:tcPr>
          <w:p w:rsidR="002E3AA9" w:rsidRPr="0043547B" w:rsidRDefault="002E3AA9" w:rsidP="002E3AA9">
            <w:pPr>
              <w:spacing w:after="0" w:line="240" w:lineRule="auto"/>
              <w:jc w:val="both"/>
              <w:rPr>
                <w:rFonts w:cstheme="minorHAnsi"/>
                <w:sz w:val="24"/>
                <w:szCs w:val="24"/>
              </w:rPr>
            </w:pPr>
            <w:r w:rsidRPr="0043547B">
              <w:rPr>
                <w:rFonts w:cstheme="minorHAnsi"/>
                <w:sz w:val="24"/>
                <w:szCs w:val="24"/>
              </w:rPr>
              <w:t>La présente partie de l’ISO 15874 spécifie les aspects généraux des systèmes de canalisations en polypropylène (PP) destinés aux installations d’eau chaude et froide à l’intérieur de bâtiments pour le transport de l’eau, que celleci soit destinée ou non à la consommation humaine (systèmes domestiques), et aux installations de chauffage à des pressions et des températures de service correspondant à la classe d’application (voir Tableau 1).</w:t>
            </w:r>
          </w:p>
          <w:p w:rsidR="002E3AA9" w:rsidRPr="0043547B" w:rsidRDefault="002E3AA9" w:rsidP="002E3AA9">
            <w:pPr>
              <w:spacing w:after="0" w:line="240" w:lineRule="auto"/>
              <w:jc w:val="both"/>
              <w:rPr>
                <w:rFonts w:cstheme="minorHAnsi"/>
                <w:sz w:val="24"/>
                <w:szCs w:val="24"/>
              </w:rPr>
            </w:pPr>
            <w:r w:rsidRPr="0043547B">
              <w:rPr>
                <w:rFonts w:cstheme="minorHAnsi"/>
                <w:sz w:val="24"/>
                <w:szCs w:val="24"/>
              </w:rPr>
              <w:t>La présente partie de l’ISO 15874 couvre une gamme de conditions de service (classes d’application), de pressions de service et de classes de dimensions du tube. Lorsque les valeurs de TD, Tmax et Tmal dépassent celles du Tableau 1, la présente partie de l’ISO 15874 ne s’applique pas.</w:t>
            </w:r>
          </w:p>
          <w:p w:rsidR="002E3AA9" w:rsidRPr="00BD3BD1" w:rsidRDefault="002E3AA9" w:rsidP="002E3AA9">
            <w:pPr>
              <w:spacing w:after="0" w:line="240" w:lineRule="auto"/>
              <w:jc w:val="both"/>
              <w:rPr>
                <w:rFonts w:cstheme="minorHAnsi"/>
                <w:i/>
                <w:iCs/>
              </w:rPr>
            </w:pPr>
            <w:r w:rsidRPr="00BD3BD1">
              <w:rPr>
                <w:rFonts w:cstheme="minorHAnsi"/>
                <w:b/>
                <w:bCs/>
                <w:i/>
                <w:iCs/>
              </w:rPr>
              <w:t>NOTE :</w:t>
            </w:r>
            <w:r w:rsidRPr="00BD3BD1">
              <w:rPr>
                <w:rFonts w:cstheme="minorHAnsi"/>
                <w:i/>
                <w:iCs/>
              </w:rPr>
              <w:t xml:space="preserve"> Il est de la responsabilité de l’acheteur ou du prescripteur de réaliser une sélection convenable à partir de ces aspects, en tenant compte des exigences particulières ainsi que des règles nationales et des pratiques ou codes d’installation en usage dans son pays.</w:t>
            </w:r>
          </w:p>
          <w:p w:rsidR="002E3AA9" w:rsidRPr="0043547B" w:rsidRDefault="002E3AA9" w:rsidP="002E3AA9">
            <w:pPr>
              <w:spacing w:after="0" w:line="240" w:lineRule="auto"/>
              <w:jc w:val="both"/>
              <w:rPr>
                <w:rFonts w:cstheme="minorHAnsi"/>
                <w:sz w:val="24"/>
                <w:szCs w:val="24"/>
              </w:rPr>
            </w:pPr>
            <w:r w:rsidRPr="0043547B">
              <w:rPr>
                <w:rFonts w:cstheme="minorHAnsi"/>
                <w:sz w:val="24"/>
                <w:szCs w:val="24"/>
              </w:rPr>
              <w:t>Elle spécifie aussi les paramètres d’essai pour les méthodes d’essai auxquelles il est fait référence dans la présente partie de l’ISO 15874.</w:t>
            </w:r>
          </w:p>
          <w:p w:rsidR="002E3AA9" w:rsidRPr="0043547B" w:rsidRDefault="002E3AA9" w:rsidP="002E3AA9">
            <w:pPr>
              <w:spacing w:after="0" w:line="240" w:lineRule="auto"/>
              <w:jc w:val="both"/>
              <w:rPr>
                <w:rFonts w:cstheme="minorHAnsi"/>
                <w:sz w:val="24"/>
                <w:szCs w:val="24"/>
              </w:rPr>
            </w:pPr>
            <w:r w:rsidRPr="0043547B">
              <w:rPr>
                <w:rFonts w:cstheme="minorHAnsi"/>
                <w:sz w:val="24"/>
                <w:szCs w:val="24"/>
              </w:rPr>
              <w:t>Conjointement avec les autres parties de l’ISO 15874, la présente partie de l’ISO 15874 s’applique aux tubes en PP, aux raccords, à leurs assemblages et aux assemblages avec des composants faits en d’autres matières, plastiques et non plastiques, destinés aux installations d’eau chaude et froide.</w:t>
            </w:r>
          </w:p>
        </w:tc>
      </w:tr>
      <w:tr w:rsidR="002E3AA9" w:rsidRPr="0043547B" w:rsidTr="00CB5DC0">
        <w:trPr>
          <w:trHeight w:val="454"/>
          <w:jc w:val="center"/>
        </w:trPr>
        <w:tc>
          <w:tcPr>
            <w:tcW w:w="1838" w:type="dxa"/>
            <w:tcBorders>
              <w:top w:val="nil"/>
              <w:left w:val="single" w:sz="18" w:space="0" w:color="auto"/>
              <w:bottom w:val="single" w:sz="18" w:space="0" w:color="auto"/>
              <w:right w:val="single" w:sz="4" w:space="0" w:color="auto"/>
            </w:tcBorders>
            <w:shd w:val="clear" w:color="auto" w:fill="B0CA7C"/>
            <w:vAlign w:val="center"/>
          </w:tcPr>
          <w:p w:rsidR="002E3AA9" w:rsidRPr="0043547B" w:rsidRDefault="002E3AA9" w:rsidP="002E3AA9">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nil"/>
              <w:left w:val="single" w:sz="4" w:space="0" w:color="auto"/>
              <w:bottom w:val="single" w:sz="18" w:space="0" w:color="auto"/>
              <w:right w:val="single" w:sz="18" w:space="0" w:color="auto"/>
            </w:tcBorders>
            <w:shd w:val="clear" w:color="auto" w:fill="B0CA7C"/>
            <w:vAlign w:val="center"/>
          </w:tcPr>
          <w:p w:rsidR="002E3AA9" w:rsidRPr="0043547B" w:rsidRDefault="002E3AA9" w:rsidP="002E3AA9">
            <w:pPr>
              <w:spacing w:after="0" w:line="240" w:lineRule="auto"/>
              <w:jc w:val="center"/>
              <w:rPr>
                <w:rFonts w:cstheme="minorHAnsi"/>
                <w:b/>
                <w:bCs/>
                <w:sz w:val="24"/>
                <w:szCs w:val="24"/>
              </w:rPr>
            </w:pPr>
            <w:r w:rsidRPr="0043547B">
              <w:rPr>
                <w:rFonts w:cstheme="minorHAnsi"/>
                <w:b/>
                <w:bCs/>
                <w:sz w:val="24"/>
                <w:szCs w:val="24"/>
              </w:rPr>
              <w:t>NM ISO 21003-2</w:t>
            </w:r>
          </w:p>
        </w:tc>
      </w:tr>
      <w:tr w:rsidR="002E3AA9" w:rsidRPr="0043547B" w:rsidTr="00CB5DC0">
        <w:trPr>
          <w:trHeight w:val="429"/>
          <w:jc w:val="center"/>
        </w:trPr>
        <w:tc>
          <w:tcPr>
            <w:tcW w:w="1838" w:type="dxa"/>
            <w:tcBorders>
              <w:top w:val="nil"/>
              <w:left w:val="single" w:sz="18" w:space="0" w:color="auto"/>
              <w:bottom w:val="single" w:sz="18" w:space="0" w:color="auto"/>
              <w:right w:val="single" w:sz="4" w:space="0" w:color="auto"/>
            </w:tcBorders>
            <w:shd w:val="clear" w:color="auto" w:fill="FFFF99"/>
            <w:vAlign w:val="center"/>
          </w:tcPr>
          <w:p w:rsidR="002E3AA9" w:rsidRPr="0043547B" w:rsidRDefault="002E3AA9" w:rsidP="002E3AA9">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nil"/>
              <w:left w:val="single" w:sz="4" w:space="0" w:color="auto"/>
              <w:bottom w:val="single" w:sz="18" w:space="0" w:color="auto"/>
              <w:right w:val="single" w:sz="18" w:space="0" w:color="auto"/>
            </w:tcBorders>
            <w:shd w:val="clear" w:color="auto" w:fill="FFFF99"/>
            <w:vAlign w:val="center"/>
          </w:tcPr>
          <w:p w:rsidR="002E3AA9" w:rsidRPr="0043547B" w:rsidRDefault="002E3AA9" w:rsidP="002E3AA9">
            <w:pPr>
              <w:spacing w:after="0" w:line="240" w:lineRule="auto"/>
              <w:jc w:val="center"/>
              <w:rPr>
                <w:rFonts w:cstheme="minorHAnsi"/>
                <w:b/>
                <w:bCs/>
                <w:sz w:val="24"/>
                <w:szCs w:val="24"/>
              </w:rPr>
            </w:pPr>
            <w:r w:rsidRPr="0043547B">
              <w:rPr>
                <w:rFonts w:cstheme="minorHAnsi"/>
                <w:b/>
                <w:bCs/>
                <w:sz w:val="24"/>
                <w:szCs w:val="24"/>
              </w:rPr>
              <w:t>ISO 21003-2</w:t>
            </w:r>
          </w:p>
        </w:tc>
      </w:tr>
      <w:tr w:rsidR="002E3AA9" w:rsidRPr="0043547B" w:rsidTr="00CB5DC0">
        <w:trPr>
          <w:trHeight w:val="659"/>
          <w:jc w:val="center"/>
        </w:trPr>
        <w:tc>
          <w:tcPr>
            <w:tcW w:w="1838" w:type="dxa"/>
            <w:tcBorders>
              <w:top w:val="nil"/>
              <w:left w:val="single" w:sz="18" w:space="0" w:color="auto"/>
              <w:bottom w:val="single" w:sz="18" w:space="0" w:color="auto"/>
              <w:right w:val="single" w:sz="4" w:space="0" w:color="auto"/>
            </w:tcBorders>
            <w:shd w:val="clear" w:color="auto" w:fill="8DB3E2" w:themeFill="text2" w:themeFillTint="66"/>
            <w:vAlign w:val="center"/>
          </w:tcPr>
          <w:p w:rsidR="002E3AA9" w:rsidRPr="0043547B" w:rsidRDefault="002E3AA9" w:rsidP="002E3AA9">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18" w:space="0" w:color="auto"/>
              <w:right w:val="single" w:sz="18" w:space="0" w:color="auto"/>
            </w:tcBorders>
            <w:shd w:val="clear" w:color="auto" w:fill="auto"/>
            <w:vAlign w:val="center"/>
          </w:tcPr>
          <w:p w:rsidR="002E3AA9" w:rsidRPr="0043547B" w:rsidRDefault="002E3AA9" w:rsidP="002E3AA9">
            <w:pPr>
              <w:spacing w:after="0" w:line="240" w:lineRule="auto"/>
              <w:rPr>
                <w:rFonts w:cstheme="minorHAnsi"/>
                <w:sz w:val="24"/>
                <w:szCs w:val="24"/>
              </w:rPr>
            </w:pPr>
            <w:r w:rsidRPr="0043547B">
              <w:rPr>
                <w:rFonts w:cstheme="minorHAnsi"/>
                <w:sz w:val="24"/>
                <w:szCs w:val="24"/>
              </w:rPr>
              <w:t>Systèmes de canalisations multicouches pour installations d'eau chaude et froide à l'intérieur des bâtiments - Partie 2 : tubes ; (IC 05.5.212) (OBL)</w:t>
            </w:r>
          </w:p>
        </w:tc>
      </w:tr>
      <w:tr w:rsidR="002E3AA9" w:rsidRPr="0043547B" w:rsidTr="00CB5DC0">
        <w:trPr>
          <w:trHeight w:val="1375"/>
          <w:jc w:val="center"/>
        </w:trPr>
        <w:tc>
          <w:tcPr>
            <w:tcW w:w="1838" w:type="dxa"/>
            <w:tcBorders>
              <w:top w:val="nil"/>
              <w:left w:val="single" w:sz="18" w:space="0" w:color="auto"/>
              <w:bottom w:val="single" w:sz="18" w:space="0" w:color="auto"/>
              <w:right w:val="single" w:sz="4" w:space="0" w:color="auto"/>
            </w:tcBorders>
            <w:shd w:val="clear" w:color="000000" w:fill="D9D9D9"/>
            <w:vAlign w:val="center"/>
          </w:tcPr>
          <w:p w:rsidR="002E3AA9" w:rsidRPr="0043547B" w:rsidRDefault="002E3AA9" w:rsidP="002E3AA9">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bottom"/>
          </w:tcPr>
          <w:p w:rsidR="002E3AA9" w:rsidRPr="0043547B" w:rsidRDefault="002E3AA9" w:rsidP="002E3AA9">
            <w:pPr>
              <w:spacing w:after="0" w:line="240" w:lineRule="auto"/>
              <w:jc w:val="both"/>
              <w:rPr>
                <w:rFonts w:cstheme="minorHAnsi"/>
                <w:sz w:val="24"/>
                <w:szCs w:val="24"/>
              </w:rPr>
            </w:pPr>
            <w:r w:rsidRPr="0043547B">
              <w:rPr>
                <w:rFonts w:cstheme="minorHAnsi"/>
                <w:sz w:val="24"/>
                <w:szCs w:val="24"/>
              </w:rPr>
              <w:t>La présente partie de l'ISO 21003 spécifie les caractéristiques des tubes pour les systèmes de canalisations multicouches destinés aux installations d'eau chaude et froide à l'intérieur des bâtiments pour le transport de l'eau, destinée ou non à la consommation humaine (systèmes domestiques) et aux installations de chauffage, à des pressions et des températures correspondant à la classe d'application (voir l'ISO 21003-1:2008, Tableau 1).</w:t>
            </w:r>
          </w:p>
          <w:p w:rsidR="002E3AA9" w:rsidRPr="0043547B" w:rsidRDefault="002E3AA9" w:rsidP="002E3AA9">
            <w:pPr>
              <w:spacing w:after="0" w:line="240" w:lineRule="auto"/>
              <w:jc w:val="both"/>
              <w:rPr>
                <w:rFonts w:cstheme="minorHAnsi"/>
                <w:sz w:val="24"/>
                <w:szCs w:val="24"/>
              </w:rPr>
            </w:pPr>
            <w:r w:rsidRPr="0043547B">
              <w:rPr>
                <w:rFonts w:cstheme="minorHAnsi"/>
                <w:sz w:val="24"/>
                <w:szCs w:val="24"/>
              </w:rPr>
              <w:t>Elle spécifie aussi les paramètres d'essai pour les méthodes d'essai auxquelles il est fait référence dans la présente partie de l'ISO 21003.</w:t>
            </w:r>
          </w:p>
          <w:p w:rsidR="002E3AA9" w:rsidRPr="0043547B" w:rsidRDefault="002E3AA9" w:rsidP="002E3AA9">
            <w:pPr>
              <w:spacing w:after="0" w:line="240" w:lineRule="auto"/>
              <w:jc w:val="both"/>
              <w:rPr>
                <w:rFonts w:cstheme="minorHAnsi"/>
                <w:sz w:val="24"/>
                <w:szCs w:val="24"/>
              </w:rPr>
            </w:pPr>
            <w:r w:rsidRPr="0043547B">
              <w:rPr>
                <w:rFonts w:cstheme="minorHAnsi"/>
                <w:sz w:val="24"/>
                <w:szCs w:val="24"/>
              </w:rPr>
              <w:t>L'ISO 21003 est une norme de produits de référence. Elle s'applique aux tubes, aux raccords, à leurs assemblages et aux assemblages avec des composants d'autres matières plastiques et non plastiques destinés aux installations d'eau chaude et froide.</w:t>
            </w:r>
          </w:p>
          <w:p w:rsidR="002E3AA9" w:rsidRPr="0043547B" w:rsidRDefault="002E3AA9" w:rsidP="002E3AA9">
            <w:pPr>
              <w:spacing w:after="0" w:line="240" w:lineRule="auto"/>
              <w:jc w:val="both"/>
              <w:rPr>
                <w:rFonts w:cstheme="minorHAnsi"/>
                <w:sz w:val="24"/>
                <w:szCs w:val="24"/>
              </w:rPr>
            </w:pPr>
            <w:r w:rsidRPr="0043547B">
              <w:rPr>
                <w:rFonts w:cstheme="minorHAnsi"/>
                <w:sz w:val="24"/>
                <w:szCs w:val="24"/>
              </w:rPr>
              <w:t>La présente partie de l'ISO 21003 est censée être utilisée uniquement conjointement avec toutes les autres parties de l'ISO 21003.</w:t>
            </w:r>
          </w:p>
          <w:p w:rsidR="002E3AA9" w:rsidRPr="0043547B" w:rsidRDefault="002E3AA9" w:rsidP="002E3AA9">
            <w:pPr>
              <w:spacing w:after="0" w:line="240" w:lineRule="auto"/>
              <w:jc w:val="both"/>
              <w:rPr>
                <w:rFonts w:cstheme="minorHAnsi"/>
                <w:sz w:val="24"/>
                <w:szCs w:val="24"/>
              </w:rPr>
            </w:pPr>
            <w:r w:rsidRPr="0043547B">
              <w:rPr>
                <w:rFonts w:cstheme="minorHAnsi"/>
                <w:sz w:val="24"/>
                <w:szCs w:val="24"/>
              </w:rPr>
              <w:t>Elle couvre une gamme de conditions de service (classes d'application) et de classes de pression de service.</w:t>
            </w:r>
          </w:p>
          <w:p w:rsidR="002E3AA9" w:rsidRPr="0043547B" w:rsidRDefault="002E3AA9" w:rsidP="002E3AA9">
            <w:pPr>
              <w:spacing w:after="0" w:line="240" w:lineRule="auto"/>
              <w:jc w:val="both"/>
              <w:rPr>
                <w:rFonts w:cstheme="minorHAnsi"/>
                <w:sz w:val="24"/>
                <w:szCs w:val="24"/>
              </w:rPr>
            </w:pPr>
            <w:r w:rsidRPr="0043547B">
              <w:rPr>
                <w:rFonts w:cstheme="minorHAnsi"/>
                <w:sz w:val="24"/>
                <w:szCs w:val="24"/>
              </w:rPr>
              <w:t>Elle ne s'applique pas aux valeurs de la température de service, TD, de la température maximale de service, Tmax, et de la température de dysfonctionnement, Tmal, supérieures à celles indiquées dans l'ISO 21003-1:2008, Tableau 1.</w:t>
            </w:r>
          </w:p>
          <w:p w:rsidR="002E3AA9" w:rsidRPr="00BD3BD1" w:rsidRDefault="002E3AA9" w:rsidP="002E3AA9">
            <w:pPr>
              <w:spacing w:after="0" w:line="240" w:lineRule="auto"/>
              <w:jc w:val="both"/>
              <w:rPr>
                <w:rFonts w:cstheme="minorHAnsi"/>
                <w:i/>
                <w:iCs/>
              </w:rPr>
            </w:pPr>
            <w:r w:rsidRPr="00BD3BD1">
              <w:rPr>
                <w:rFonts w:cstheme="minorHAnsi"/>
                <w:b/>
                <w:bCs/>
                <w:i/>
                <w:iCs/>
              </w:rPr>
              <w:t>NOTE 1 :</w:t>
            </w:r>
            <w:r w:rsidRPr="00BD3BD1">
              <w:rPr>
                <w:rFonts w:cstheme="minorHAnsi"/>
                <w:i/>
                <w:iCs/>
              </w:rPr>
              <w:t xml:space="preserve"> Il est de la responsabilité de l'acheteur de réaliser une sélection convenable de ces aspects, en prenant en compte les exigences particulières et les règles d'installation des réglementations nationales. </w:t>
            </w:r>
          </w:p>
          <w:p w:rsidR="00BD3BD1" w:rsidRDefault="002E3AA9" w:rsidP="002E3AA9">
            <w:pPr>
              <w:spacing w:after="0" w:line="240" w:lineRule="auto"/>
              <w:jc w:val="both"/>
              <w:rPr>
                <w:rFonts w:cstheme="minorHAnsi"/>
                <w:sz w:val="24"/>
                <w:szCs w:val="24"/>
              </w:rPr>
            </w:pPr>
            <w:r w:rsidRPr="0043547B">
              <w:rPr>
                <w:rFonts w:cstheme="minorHAnsi"/>
                <w:sz w:val="24"/>
                <w:szCs w:val="24"/>
              </w:rPr>
              <w:lastRenderedPageBreak/>
              <w:t>Les matières polymères utilisées pour les couches soumises à contrainte sont les suivantes : polybutène (PB), polyéthylène de meilleure résistance à la température (PE-RT), polyéthylène réticulé (PE-X), polypropylène (PP) et poly(chlorure de vinyle) chloré (PVC-C).</w:t>
            </w:r>
          </w:p>
          <w:p w:rsidR="002E3AA9" w:rsidRPr="0043547B" w:rsidRDefault="002E3AA9" w:rsidP="002E3AA9">
            <w:pPr>
              <w:spacing w:after="0" w:line="240" w:lineRule="auto"/>
              <w:jc w:val="both"/>
              <w:rPr>
                <w:rFonts w:cstheme="minorHAnsi"/>
                <w:sz w:val="24"/>
                <w:szCs w:val="24"/>
              </w:rPr>
            </w:pPr>
            <w:r w:rsidRPr="0043547B">
              <w:rPr>
                <w:rFonts w:cstheme="minorHAnsi"/>
                <w:sz w:val="24"/>
                <w:szCs w:val="24"/>
              </w:rPr>
              <w:t>Le PE-X utilisé doit être obtenu par réticulation et doit être conforme aux exigences de la norme de produits de référence correspondante (ISO 15875).</w:t>
            </w:r>
          </w:p>
          <w:p w:rsidR="002E3AA9" w:rsidRPr="00BD3BD1" w:rsidRDefault="002E3AA9" w:rsidP="002E3AA9">
            <w:pPr>
              <w:spacing w:after="0" w:line="240" w:lineRule="auto"/>
              <w:jc w:val="both"/>
              <w:rPr>
                <w:rFonts w:cstheme="minorHAnsi"/>
                <w:i/>
                <w:iCs/>
              </w:rPr>
            </w:pPr>
            <w:r w:rsidRPr="00BD3BD1">
              <w:rPr>
                <w:rFonts w:cstheme="minorHAnsi"/>
                <w:b/>
                <w:bCs/>
                <w:i/>
                <w:iCs/>
              </w:rPr>
              <w:t>NOTE 2 :</w:t>
            </w:r>
            <w:r w:rsidRPr="00BD3BD1">
              <w:rPr>
                <w:rFonts w:cstheme="minorHAnsi"/>
                <w:i/>
                <w:iCs/>
              </w:rPr>
              <w:t xml:space="preserve"> Pour les besoins de l'ISO 21003, le polyéthylène réticulé (PE-X) et les adhésifs sont à assimiler aux matières thermoplastiques.</w:t>
            </w:r>
          </w:p>
          <w:p w:rsidR="002E3AA9" w:rsidRPr="0043547B" w:rsidRDefault="002E3AA9" w:rsidP="002E3AA9">
            <w:pPr>
              <w:spacing w:after="0" w:line="240" w:lineRule="auto"/>
              <w:jc w:val="both"/>
              <w:rPr>
                <w:rFonts w:cstheme="minorHAnsi"/>
                <w:sz w:val="24"/>
                <w:szCs w:val="24"/>
              </w:rPr>
            </w:pPr>
            <w:r w:rsidRPr="0043547B">
              <w:rPr>
                <w:rFonts w:cstheme="minorHAnsi"/>
                <w:sz w:val="24"/>
                <w:szCs w:val="24"/>
              </w:rPr>
              <w:t>Les tubes à paroi avec de fines couches externes (par exemple une couche de protection ou une couche barrière) ne sont pas couverts par l'ISO 21003, mais sont spécifiés dans les amendements de l'ISO 15874-2, de l'ISO 15875-2 et de l'ISO 15876-2. L'épaisseur totale de ce type de couches externes, y compris l'épaisseur des adhésifs utilisés, doit être u 0,4 mm.</w:t>
            </w:r>
          </w:p>
        </w:tc>
      </w:tr>
      <w:tr w:rsidR="002E3AA9" w:rsidRPr="0043547B" w:rsidTr="00CB5DC0">
        <w:trPr>
          <w:trHeight w:val="4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2E3AA9" w:rsidRPr="0043547B" w:rsidRDefault="002E3AA9" w:rsidP="002E3AA9">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2E3AA9" w:rsidRPr="0043547B" w:rsidRDefault="002E3AA9" w:rsidP="002E3AA9">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15874-5</w:t>
            </w:r>
          </w:p>
        </w:tc>
      </w:tr>
      <w:tr w:rsidR="002E3AA9" w:rsidRPr="0043547B" w:rsidTr="00CB5DC0">
        <w:trPr>
          <w:trHeight w:val="300"/>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2E3AA9" w:rsidRPr="0043547B" w:rsidRDefault="002E3AA9" w:rsidP="002E3AA9">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2E3AA9" w:rsidRPr="0043547B" w:rsidRDefault="002E3AA9" w:rsidP="002E3AA9">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15874-5</w:t>
            </w:r>
          </w:p>
        </w:tc>
      </w:tr>
      <w:tr w:rsidR="002E3AA9" w:rsidRPr="0043547B" w:rsidTr="00CB5DC0">
        <w:trPr>
          <w:trHeight w:val="6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2E3AA9" w:rsidRPr="0043547B" w:rsidRDefault="002E3AA9" w:rsidP="002E3AA9">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2E3AA9" w:rsidRPr="0043547B" w:rsidRDefault="002E3AA9" w:rsidP="002E3AA9">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Systèmes de canalisations en plastique pour les installations d'eau chaude et froide - Polypropylène (PP) - Partie 5 : Aptitude à l’emploi du système ; </w:t>
            </w:r>
          </w:p>
        </w:tc>
      </w:tr>
      <w:tr w:rsidR="002E3AA9" w:rsidRPr="0043547B" w:rsidTr="00CB5DC0">
        <w:trPr>
          <w:trHeight w:val="270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2E3AA9" w:rsidRPr="0043547B" w:rsidRDefault="002E3AA9" w:rsidP="002E3AA9">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2E3AA9" w:rsidRPr="0043547B" w:rsidRDefault="002E3AA9" w:rsidP="002E3AA9">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caractéristiques d’aptitude à l’emploi des systèmes de canalisations en polypropylène (PP) destiné à des installations d'eau chaude et froide à l'intérieur des bâtiments ainsi qu'au transport de l'eau, destinée ou non à la consommation humaine (systèmes domestiques) et aux installations de chauffage à des pressions et des températures de service correspondant à la classe d'application.</w:t>
            </w:r>
          </w:p>
          <w:p w:rsidR="002E3AA9" w:rsidRPr="0043547B" w:rsidRDefault="002E3AA9" w:rsidP="002E3AA9">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couvre une gamme de conditions de service (classes d’application) et de classes de pression de service.</w:t>
            </w:r>
          </w:p>
          <w:p w:rsidR="002E3AA9" w:rsidRPr="0043547B" w:rsidRDefault="002E3AA9" w:rsidP="002E3AA9">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Il est de la responsabilité de l’acheteur de réaliser une sélection convenable de ces aspects, en tenant compte des exigences particulières et des règles d’installation des réglementations nationales.</w:t>
            </w:r>
          </w:p>
        </w:tc>
      </w:tr>
      <w:tr w:rsidR="002E3AA9" w:rsidRPr="0043547B" w:rsidTr="00CB5DC0">
        <w:trPr>
          <w:trHeight w:val="445"/>
          <w:jc w:val="center"/>
        </w:trPr>
        <w:tc>
          <w:tcPr>
            <w:tcW w:w="1838" w:type="dxa"/>
            <w:tcBorders>
              <w:top w:val="nil"/>
              <w:left w:val="single" w:sz="18" w:space="0" w:color="auto"/>
              <w:bottom w:val="single" w:sz="18" w:space="0" w:color="auto"/>
              <w:right w:val="single" w:sz="4" w:space="0" w:color="auto"/>
            </w:tcBorders>
            <w:shd w:val="clear" w:color="auto" w:fill="B0CA7C"/>
            <w:vAlign w:val="center"/>
          </w:tcPr>
          <w:p w:rsidR="002E3AA9" w:rsidRPr="0043547B" w:rsidRDefault="002E3AA9" w:rsidP="002E3AA9">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nil"/>
              <w:left w:val="single" w:sz="4" w:space="0" w:color="auto"/>
              <w:bottom w:val="single" w:sz="18" w:space="0" w:color="auto"/>
              <w:right w:val="single" w:sz="18" w:space="0" w:color="auto"/>
            </w:tcBorders>
            <w:shd w:val="clear" w:color="auto" w:fill="B0CA7C"/>
            <w:vAlign w:val="center"/>
          </w:tcPr>
          <w:p w:rsidR="002E3AA9" w:rsidRPr="00D73A51" w:rsidRDefault="002E3AA9" w:rsidP="00D73A51">
            <w:pPr>
              <w:spacing w:after="0" w:line="240" w:lineRule="auto"/>
              <w:jc w:val="center"/>
              <w:rPr>
                <w:rFonts w:cstheme="minorHAnsi"/>
                <w:b/>
                <w:bCs/>
                <w:sz w:val="24"/>
                <w:szCs w:val="24"/>
              </w:rPr>
            </w:pPr>
            <w:r w:rsidRPr="00D73A51">
              <w:rPr>
                <w:rFonts w:cstheme="minorHAnsi"/>
                <w:b/>
                <w:bCs/>
                <w:sz w:val="24"/>
                <w:szCs w:val="24"/>
              </w:rPr>
              <w:t>NM ISO 15874-2</w:t>
            </w:r>
          </w:p>
        </w:tc>
      </w:tr>
      <w:tr w:rsidR="002E3AA9" w:rsidRPr="0043547B" w:rsidTr="00CB5DC0">
        <w:trPr>
          <w:trHeight w:val="368"/>
          <w:jc w:val="center"/>
        </w:trPr>
        <w:tc>
          <w:tcPr>
            <w:tcW w:w="1838" w:type="dxa"/>
            <w:tcBorders>
              <w:top w:val="single" w:sz="18" w:space="0" w:color="auto"/>
              <w:left w:val="single" w:sz="18" w:space="0" w:color="auto"/>
              <w:bottom w:val="single" w:sz="6" w:space="0" w:color="auto"/>
              <w:right w:val="single" w:sz="4" w:space="0" w:color="auto"/>
            </w:tcBorders>
            <w:shd w:val="clear" w:color="auto" w:fill="FFFF99"/>
            <w:vAlign w:val="center"/>
          </w:tcPr>
          <w:p w:rsidR="002E3AA9" w:rsidRPr="0043547B" w:rsidRDefault="002E3AA9" w:rsidP="002E3AA9">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6" w:space="0" w:color="auto"/>
              <w:right w:val="single" w:sz="18" w:space="0" w:color="auto"/>
            </w:tcBorders>
            <w:shd w:val="clear" w:color="auto" w:fill="FFFF99"/>
            <w:vAlign w:val="bottom"/>
          </w:tcPr>
          <w:p w:rsidR="002E3AA9" w:rsidRPr="00D73A51" w:rsidRDefault="002E3AA9" w:rsidP="00D73A51">
            <w:pPr>
              <w:spacing w:after="0" w:line="240" w:lineRule="auto"/>
              <w:jc w:val="center"/>
              <w:rPr>
                <w:rFonts w:cstheme="minorHAnsi"/>
                <w:b/>
                <w:bCs/>
                <w:sz w:val="24"/>
                <w:szCs w:val="24"/>
              </w:rPr>
            </w:pPr>
            <w:r w:rsidRPr="00D73A51">
              <w:rPr>
                <w:rFonts w:cstheme="minorHAnsi"/>
                <w:b/>
                <w:bCs/>
                <w:sz w:val="24"/>
                <w:szCs w:val="24"/>
              </w:rPr>
              <w:t>ISO 15874-2</w:t>
            </w:r>
          </w:p>
        </w:tc>
      </w:tr>
      <w:tr w:rsidR="00E33F03" w:rsidRPr="0043547B" w:rsidTr="00CB5DC0">
        <w:trPr>
          <w:trHeight w:val="389"/>
          <w:jc w:val="center"/>
        </w:trPr>
        <w:tc>
          <w:tcPr>
            <w:tcW w:w="1838" w:type="dxa"/>
            <w:tcBorders>
              <w:top w:val="single" w:sz="6" w:space="0" w:color="auto"/>
              <w:left w:val="single" w:sz="18" w:space="0" w:color="auto"/>
              <w:bottom w:val="single" w:sz="6" w:space="0" w:color="auto"/>
              <w:right w:val="single" w:sz="4" w:space="0" w:color="auto"/>
            </w:tcBorders>
            <w:shd w:val="clear" w:color="auto" w:fill="8DB3E2" w:themeFill="text2" w:themeFillTint="66"/>
            <w:vAlign w:val="center"/>
          </w:tcPr>
          <w:p w:rsidR="00E33F03" w:rsidRPr="0043547B" w:rsidRDefault="00E33F03" w:rsidP="00E33F03">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6" w:space="0" w:color="auto"/>
              <w:left w:val="single" w:sz="4" w:space="0" w:color="auto"/>
              <w:bottom w:val="single" w:sz="6" w:space="0" w:color="auto"/>
              <w:right w:val="single" w:sz="18" w:space="0" w:color="auto"/>
            </w:tcBorders>
            <w:shd w:val="clear" w:color="auto" w:fill="auto"/>
            <w:vAlign w:val="center"/>
          </w:tcPr>
          <w:p w:rsidR="00E33F03" w:rsidRPr="00D73A51" w:rsidRDefault="00E33F03" w:rsidP="00D73A51">
            <w:pPr>
              <w:spacing w:after="0" w:line="240" w:lineRule="auto"/>
              <w:jc w:val="both"/>
              <w:rPr>
                <w:rFonts w:ascii="Calibri" w:hAnsi="Calibri" w:cs="Calibri"/>
                <w:sz w:val="20"/>
                <w:szCs w:val="20"/>
              </w:rPr>
            </w:pPr>
            <w:r w:rsidRPr="00D73A51">
              <w:rPr>
                <w:rFonts w:ascii="Calibri" w:hAnsi="Calibri" w:cs="Calibri"/>
              </w:rPr>
              <w:t>Systèmes de canalisations en plastique pour les installations d'eau chaude et froide - Polyprop</w:t>
            </w:r>
            <w:r w:rsidR="00D73A51">
              <w:rPr>
                <w:rFonts w:ascii="Calibri" w:hAnsi="Calibri" w:cs="Calibri"/>
              </w:rPr>
              <w:t xml:space="preserve">ylène (PP) - Partie 2 : Tubes </w:t>
            </w:r>
          </w:p>
        </w:tc>
      </w:tr>
      <w:tr w:rsidR="00E33F03" w:rsidRPr="0043547B" w:rsidTr="00CB5DC0">
        <w:trPr>
          <w:trHeight w:val="950"/>
          <w:jc w:val="center"/>
        </w:trPr>
        <w:tc>
          <w:tcPr>
            <w:tcW w:w="1838" w:type="dxa"/>
            <w:tcBorders>
              <w:top w:val="single" w:sz="6" w:space="0" w:color="auto"/>
              <w:left w:val="single" w:sz="18" w:space="0" w:color="auto"/>
              <w:bottom w:val="single" w:sz="18" w:space="0" w:color="auto"/>
              <w:right w:val="single" w:sz="4" w:space="0" w:color="auto"/>
            </w:tcBorders>
            <w:shd w:val="clear" w:color="000000" w:fill="D9D9D9"/>
            <w:vAlign w:val="center"/>
          </w:tcPr>
          <w:p w:rsidR="00E33F03" w:rsidRPr="0043547B" w:rsidRDefault="00E33F03" w:rsidP="00E33F03">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6" w:space="0" w:color="auto"/>
              <w:left w:val="single" w:sz="4" w:space="0" w:color="auto"/>
              <w:bottom w:val="single" w:sz="18" w:space="0" w:color="auto"/>
              <w:right w:val="single" w:sz="18" w:space="0" w:color="auto"/>
            </w:tcBorders>
            <w:shd w:val="clear" w:color="auto" w:fill="auto"/>
            <w:vAlign w:val="bottom"/>
          </w:tcPr>
          <w:p w:rsidR="00D73A51" w:rsidRDefault="00E33F03" w:rsidP="00D73A51">
            <w:pPr>
              <w:spacing w:after="0" w:line="240" w:lineRule="auto"/>
              <w:jc w:val="both"/>
              <w:rPr>
                <w:rFonts w:ascii="Calibri" w:hAnsi="Calibri" w:cs="Calibri"/>
              </w:rPr>
            </w:pPr>
            <w:r w:rsidRPr="00D73A51">
              <w:rPr>
                <w:rFonts w:ascii="Calibri" w:hAnsi="Calibri" w:cs="Calibri"/>
              </w:rPr>
              <w:t>La présente partie de l’ISO 15874 spécifie les caractéristiques des tubes en polypropylène (PP) pour les</w:t>
            </w:r>
            <w:r w:rsidR="00D73A51">
              <w:rPr>
                <w:rFonts w:ascii="Calibri" w:hAnsi="Calibri" w:cs="Calibri"/>
              </w:rPr>
              <w:t xml:space="preserve"> </w:t>
            </w:r>
            <w:r w:rsidRPr="00D73A51">
              <w:rPr>
                <w:rFonts w:ascii="Calibri" w:hAnsi="Calibri" w:cs="Calibri"/>
              </w:rPr>
              <w:t>systèmes de canalisations destinés aux installations d’eau chaude et froide à l’intérieur des bâtiments pour</w:t>
            </w:r>
            <w:r w:rsidR="00D73A51">
              <w:rPr>
                <w:rFonts w:ascii="Calibri" w:hAnsi="Calibri" w:cs="Calibri"/>
              </w:rPr>
              <w:t xml:space="preserve"> </w:t>
            </w:r>
            <w:r w:rsidRPr="00D73A51">
              <w:rPr>
                <w:rFonts w:ascii="Calibri" w:hAnsi="Calibri" w:cs="Calibri"/>
              </w:rPr>
              <w:t>le transport de l’eau, que celle-ci soit destinée ou non à la consommation humaine (systèmes domestiques),</w:t>
            </w:r>
            <w:r w:rsidR="00D73A51">
              <w:rPr>
                <w:rFonts w:ascii="Calibri" w:hAnsi="Calibri" w:cs="Calibri"/>
              </w:rPr>
              <w:t xml:space="preserve"> </w:t>
            </w:r>
            <w:r w:rsidRPr="00D73A51">
              <w:rPr>
                <w:rFonts w:ascii="Calibri" w:hAnsi="Calibri" w:cs="Calibri"/>
              </w:rPr>
              <w:t>et aux installations de chauffage à des pressions et des températures de service correspondant à la classe</w:t>
            </w:r>
            <w:r w:rsidR="00D73A51">
              <w:rPr>
                <w:rFonts w:ascii="Calibri" w:hAnsi="Calibri" w:cs="Calibri"/>
              </w:rPr>
              <w:t xml:space="preserve"> </w:t>
            </w:r>
            <w:r w:rsidRPr="00D73A51">
              <w:rPr>
                <w:rFonts w:ascii="Calibri" w:hAnsi="Calibri" w:cs="Calibri"/>
              </w:rPr>
              <w:t>d’application (voir l’ISO 15874-1:2013, Tableau 1).</w:t>
            </w:r>
          </w:p>
          <w:p w:rsidR="00D73A51" w:rsidRDefault="00E33F03" w:rsidP="00D73A51">
            <w:pPr>
              <w:spacing w:after="0" w:line="240" w:lineRule="auto"/>
              <w:jc w:val="both"/>
              <w:rPr>
                <w:rFonts w:ascii="Calibri" w:hAnsi="Calibri" w:cs="Calibri"/>
              </w:rPr>
            </w:pPr>
            <w:r w:rsidRPr="00D73A51">
              <w:rPr>
                <w:rFonts w:ascii="Calibri" w:hAnsi="Calibri" w:cs="Calibri"/>
              </w:rPr>
              <w:t>La présente partie de l’ISO 15874 couvre une gamme de conditions de service (classes d’application), de</w:t>
            </w:r>
            <w:r w:rsidR="00D73A51">
              <w:rPr>
                <w:rFonts w:ascii="Calibri" w:hAnsi="Calibri" w:cs="Calibri"/>
              </w:rPr>
              <w:t xml:space="preserve"> </w:t>
            </w:r>
            <w:r w:rsidRPr="00D73A51">
              <w:rPr>
                <w:rFonts w:ascii="Calibri" w:hAnsi="Calibri" w:cs="Calibri"/>
              </w:rPr>
              <w:t>pressions de service et de classes de dimensions du tube. Lorsque les valeurs de TD, Tmax and Tmal dépassent</w:t>
            </w:r>
            <w:r w:rsidR="00D73A51">
              <w:rPr>
                <w:rFonts w:ascii="Calibri" w:hAnsi="Calibri" w:cs="Calibri"/>
              </w:rPr>
              <w:t xml:space="preserve"> </w:t>
            </w:r>
            <w:r w:rsidRPr="00D73A51">
              <w:rPr>
                <w:rFonts w:ascii="Calibri" w:hAnsi="Calibri" w:cs="Calibri"/>
              </w:rPr>
              <w:t>celles de l’ISO 15874-1:2013, Tableau 1, la présente partie de l’ISO 15874 ne s’applique pas.</w:t>
            </w:r>
          </w:p>
          <w:p w:rsidR="00D73A51" w:rsidRDefault="00E33F03" w:rsidP="00D73A51">
            <w:pPr>
              <w:spacing w:after="0" w:line="240" w:lineRule="auto"/>
              <w:jc w:val="both"/>
              <w:rPr>
                <w:rFonts w:ascii="Calibri" w:hAnsi="Calibri" w:cs="Calibri"/>
              </w:rPr>
            </w:pPr>
            <w:r w:rsidRPr="00D73A51">
              <w:rPr>
                <w:rFonts w:ascii="Calibri" w:hAnsi="Calibri" w:cs="Calibri"/>
              </w:rPr>
              <w:t>NOTE 1 Il est de la responsabilité de l’acheteur ou du prescripteur de réaliser une sélection convenable à partir de</w:t>
            </w:r>
            <w:r w:rsidR="00D73A51">
              <w:rPr>
                <w:rFonts w:ascii="Calibri" w:hAnsi="Calibri" w:cs="Calibri"/>
              </w:rPr>
              <w:t xml:space="preserve"> </w:t>
            </w:r>
            <w:r w:rsidRPr="00D73A51">
              <w:rPr>
                <w:rFonts w:ascii="Calibri" w:hAnsi="Calibri" w:cs="Calibri"/>
              </w:rPr>
              <w:t>ces aspects, en tenant compte des exigences particulières ainsi que des règles nationales et des pratiques ou codes</w:t>
            </w:r>
            <w:r w:rsidR="00D73A51">
              <w:rPr>
                <w:rFonts w:ascii="Calibri" w:hAnsi="Calibri" w:cs="Calibri"/>
              </w:rPr>
              <w:t xml:space="preserve"> </w:t>
            </w:r>
            <w:r w:rsidRPr="00D73A51">
              <w:rPr>
                <w:rFonts w:ascii="Calibri" w:hAnsi="Calibri" w:cs="Calibri"/>
              </w:rPr>
              <w:t>d’installation en usage dans son pays.</w:t>
            </w:r>
          </w:p>
          <w:p w:rsidR="00D73A51" w:rsidRDefault="00E33F03" w:rsidP="00D73A51">
            <w:pPr>
              <w:spacing w:after="0" w:line="240" w:lineRule="auto"/>
              <w:jc w:val="both"/>
              <w:rPr>
                <w:rFonts w:ascii="Calibri" w:hAnsi="Calibri" w:cs="Calibri"/>
              </w:rPr>
            </w:pPr>
            <w:r w:rsidRPr="00D73A51">
              <w:rPr>
                <w:rFonts w:ascii="Calibri" w:hAnsi="Calibri" w:cs="Calibri"/>
              </w:rPr>
              <w:t>Elle spécifie aussi les paramètres d’essai pour les méthodes d’essai auxquelles il est fait référence dans la</w:t>
            </w:r>
            <w:r w:rsidR="00D73A51">
              <w:rPr>
                <w:rFonts w:ascii="Calibri" w:hAnsi="Calibri" w:cs="Calibri"/>
              </w:rPr>
              <w:t xml:space="preserve"> </w:t>
            </w:r>
            <w:r w:rsidRPr="00D73A51">
              <w:rPr>
                <w:rFonts w:ascii="Calibri" w:hAnsi="Calibri" w:cs="Calibri"/>
              </w:rPr>
              <w:t>présente partie de l’ISO 15874.</w:t>
            </w:r>
          </w:p>
          <w:p w:rsidR="00D73A51" w:rsidRDefault="00E33F03" w:rsidP="00D73A51">
            <w:pPr>
              <w:spacing w:after="0" w:line="240" w:lineRule="auto"/>
              <w:jc w:val="both"/>
              <w:rPr>
                <w:rFonts w:ascii="Calibri" w:hAnsi="Calibri" w:cs="Calibri"/>
              </w:rPr>
            </w:pPr>
            <w:r w:rsidRPr="00D73A51">
              <w:rPr>
                <w:rFonts w:ascii="Calibri" w:hAnsi="Calibri" w:cs="Calibri"/>
              </w:rPr>
              <w:lastRenderedPageBreak/>
              <w:t>Conjointement avec les autres parties de l’ISO 15874, la présente partie de l’ISO 15874 s’applique aux tubes</w:t>
            </w:r>
            <w:r w:rsidR="00D73A51">
              <w:rPr>
                <w:rFonts w:ascii="Calibri" w:hAnsi="Calibri" w:cs="Calibri"/>
              </w:rPr>
              <w:t xml:space="preserve"> </w:t>
            </w:r>
            <w:r w:rsidRPr="00D73A51">
              <w:rPr>
                <w:rFonts w:ascii="Calibri" w:hAnsi="Calibri" w:cs="Calibri"/>
              </w:rPr>
              <w:t>en polypropylène (PP), à leurs assemblages et aux assemblages avec des composants en polypropylène, en</w:t>
            </w:r>
            <w:r w:rsidR="00D73A51">
              <w:rPr>
                <w:rFonts w:ascii="Calibri" w:hAnsi="Calibri" w:cs="Calibri"/>
              </w:rPr>
              <w:t xml:space="preserve"> </w:t>
            </w:r>
            <w:r w:rsidRPr="00D73A51">
              <w:rPr>
                <w:rFonts w:ascii="Calibri" w:hAnsi="Calibri" w:cs="Calibri"/>
              </w:rPr>
              <w:t>d’autres matières plastiques et non plastiques, destinés à des installations d’eau chaude et froide.</w:t>
            </w:r>
          </w:p>
          <w:p w:rsidR="00D73A51" w:rsidRDefault="00E33F03" w:rsidP="00D73A51">
            <w:pPr>
              <w:spacing w:after="0" w:line="240" w:lineRule="auto"/>
              <w:jc w:val="both"/>
              <w:rPr>
                <w:rFonts w:ascii="Calibri" w:hAnsi="Calibri" w:cs="Calibri"/>
              </w:rPr>
            </w:pPr>
            <w:r w:rsidRPr="00D73A51">
              <w:rPr>
                <w:rFonts w:ascii="Calibri" w:hAnsi="Calibri" w:cs="Calibri"/>
              </w:rPr>
              <w:t>Elle s’applique aux tubes avec ou sans couche(s) barrière(s).</w:t>
            </w:r>
          </w:p>
          <w:p w:rsidR="00E33F03" w:rsidRPr="00D73A51" w:rsidRDefault="00E33F03" w:rsidP="00D73A51">
            <w:pPr>
              <w:spacing w:after="0" w:line="240" w:lineRule="auto"/>
              <w:jc w:val="both"/>
              <w:rPr>
                <w:rFonts w:ascii="Calibri" w:hAnsi="Calibri" w:cs="Calibri"/>
              </w:rPr>
            </w:pPr>
            <w:r w:rsidRPr="00D73A51">
              <w:rPr>
                <w:rFonts w:ascii="Calibri" w:hAnsi="Calibri" w:cs="Calibri"/>
              </w:rPr>
              <w:t>NOTE 2 Dans le cas des tubes plastiques pourvus d’une fine couche barrière, par exemple pour éviter ou diminuer</w:t>
            </w:r>
            <w:r w:rsidR="00D73A51">
              <w:rPr>
                <w:rFonts w:ascii="Calibri" w:hAnsi="Calibri" w:cs="Calibri"/>
              </w:rPr>
              <w:t xml:space="preserve"> </w:t>
            </w:r>
            <w:r w:rsidRPr="00D73A51">
              <w:rPr>
                <w:rFonts w:ascii="Calibri" w:hAnsi="Calibri" w:cs="Calibri"/>
              </w:rPr>
              <w:t>fortement la diffusion de gaz et la transmission de la lumière dans ou à travers la paroi du tube, les exigences de contraintes</w:t>
            </w:r>
            <w:r w:rsidRPr="00D73A51">
              <w:rPr>
                <w:rFonts w:ascii="Calibri" w:hAnsi="Calibri" w:cs="Calibri"/>
              </w:rPr>
              <w:br/>
              <w:t>de dimensionnement sont totalement satisfaites par le polymère de base (PP).</w:t>
            </w:r>
          </w:p>
        </w:tc>
      </w:tr>
      <w:tr w:rsidR="002E3AA9" w:rsidRPr="0043547B" w:rsidTr="00CB5DC0">
        <w:trPr>
          <w:trHeight w:val="300"/>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2E3AA9" w:rsidRPr="0043547B" w:rsidRDefault="002E3AA9" w:rsidP="002E3AA9">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2E3AA9" w:rsidRPr="0043547B" w:rsidRDefault="002E3AA9" w:rsidP="002E3AA9">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15874-7</w:t>
            </w:r>
          </w:p>
        </w:tc>
      </w:tr>
      <w:tr w:rsidR="002E3AA9" w:rsidRPr="0043547B" w:rsidTr="00CB5DC0">
        <w:trPr>
          <w:trHeight w:val="300"/>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2E3AA9" w:rsidRPr="0043547B" w:rsidRDefault="002E3AA9" w:rsidP="002E3AA9">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2E3AA9" w:rsidRPr="0043547B" w:rsidRDefault="002E3AA9" w:rsidP="002E3AA9">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15874-7</w:t>
            </w:r>
          </w:p>
        </w:tc>
      </w:tr>
      <w:tr w:rsidR="002E3AA9" w:rsidRPr="0043547B" w:rsidTr="00CB5DC0">
        <w:trPr>
          <w:trHeight w:val="6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2E3AA9" w:rsidRPr="0043547B" w:rsidRDefault="002E3AA9" w:rsidP="002E3AA9">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2E3AA9" w:rsidRPr="0043547B" w:rsidRDefault="002E3AA9" w:rsidP="002E3AA9">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Systèmes de canalisations en plastique pour les installations d'eau chaude et froide - Polypropylène (PP) - Partie 7 : Guide pour l’évaluation de la conformité ;</w:t>
            </w:r>
          </w:p>
        </w:tc>
      </w:tr>
      <w:tr w:rsidR="002E3AA9" w:rsidRPr="0043547B" w:rsidTr="00CB5DC0">
        <w:trPr>
          <w:trHeight w:val="1552"/>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2E3AA9" w:rsidRPr="0043547B" w:rsidRDefault="002E3AA9" w:rsidP="002E3AA9">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2E3AA9" w:rsidRPr="0043547B" w:rsidRDefault="002E3AA9" w:rsidP="002E3AA9">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Spécification Technique donne un guide pour l'évaluation de la conformité, à inclure dans le plan qualité du fabricant, dans le cadre de son système qualité.</w:t>
            </w:r>
          </w:p>
          <w:p w:rsidR="002E3AA9" w:rsidRPr="0043547B" w:rsidRDefault="002E3AA9" w:rsidP="002E3AA9">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Cette Spécification Technique comporte :</w:t>
            </w:r>
          </w:p>
          <w:p w:rsidR="002E3AA9" w:rsidRPr="0043547B" w:rsidRDefault="002E3AA9" w:rsidP="002E3AA9">
            <w:pPr>
              <w:pStyle w:val="Paragraphedeliste"/>
              <w:numPr>
                <w:ilvl w:val="0"/>
                <w:numId w:val="32"/>
              </w:num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exigences relatives aux matières, composants, assemblages et montages, énoncées dans les normes applicables ;</w:t>
            </w:r>
          </w:p>
          <w:p w:rsidR="002E3AA9" w:rsidRPr="0043547B" w:rsidRDefault="002E3AA9" w:rsidP="002E3AA9">
            <w:pPr>
              <w:pStyle w:val="Paragraphedeliste"/>
              <w:numPr>
                <w:ilvl w:val="0"/>
                <w:numId w:val="32"/>
              </w:num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exigences relatives au système qualité du fabricant. Il est recommandé que le système qualité soit conforme à NM ISO 9001 ;</w:t>
            </w:r>
          </w:p>
          <w:p w:rsidR="002E3AA9" w:rsidRPr="0043547B" w:rsidRDefault="002E3AA9" w:rsidP="002E3AA9">
            <w:pPr>
              <w:pStyle w:val="Paragraphedeliste"/>
              <w:numPr>
                <w:ilvl w:val="0"/>
                <w:numId w:val="32"/>
              </w:num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définitions et procédures à appliquer en cas de certification par tierce partie.</w:t>
            </w:r>
          </w:p>
          <w:p w:rsidR="002E3AA9" w:rsidRPr="0043547B" w:rsidRDefault="002E3AA9" w:rsidP="000906B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Cette Spécification Technique est applicable aux systèmes de canalisations en polypropylène (PP) destinés aux installations d’eau chaude et froide pour le transport de l’eau dans les bâtiments, qu’elle soit ou non destinée à la consommation humaine (systèmes domestiques), et pour les systèmes de chauffage, à des pressions et des</w:t>
            </w:r>
            <w:r w:rsidR="000906B1">
              <w:rPr>
                <w:rFonts w:eastAsia="Times New Roman" w:cstheme="minorHAnsi"/>
                <w:sz w:val="24"/>
                <w:szCs w:val="24"/>
                <w:lang w:eastAsia="fr-FR"/>
              </w:rPr>
              <w:t xml:space="preserve"> </w:t>
            </w:r>
            <w:r w:rsidRPr="0043547B">
              <w:rPr>
                <w:rFonts w:eastAsia="Times New Roman" w:cstheme="minorHAnsi"/>
                <w:sz w:val="24"/>
                <w:szCs w:val="24"/>
                <w:lang w:eastAsia="fr-FR"/>
              </w:rPr>
              <w:t>températures de calcul correspondant à la classe d’application.</w:t>
            </w:r>
          </w:p>
        </w:tc>
      </w:tr>
      <w:tr w:rsidR="002E3AA9" w:rsidRPr="0043547B" w:rsidTr="00CB5DC0">
        <w:trPr>
          <w:trHeight w:val="432"/>
          <w:jc w:val="center"/>
        </w:trPr>
        <w:tc>
          <w:tcPr>
            <w:tcW w:w="1838" w:type="dxa"/>
            <w:tcBorders>
              <w:top w:val="nil"/>
              <w:left w:val="single" w:sz="18" w:space="0" w:color="auto"/>
              <w:bottom w:val="single" w:sz="18" w:space="0" w:color="auto"/>
              <w:right w:val="single" w:sz="4" w:space="0" w:color="auto"/>
            </w:tcBorders>
            <w:shd w:val="clear" w:color="auto" w:fill="B0CA7C"/>
            <w:vAlign w:val="center"/>
          </w:tcPr>
          <w:p w:rsidR="002E3AA9" w:rsidRPr="0043547B" w:rsidRDefault="002E3AA9" w:rsidP="002E3AA9">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nil"/>
              <w:left w:val="single" w:sz="4" w:space="0" w:color="auto"/>
              <w:bottom w:val="single" w:sz="18" w:space="0" w:color="auto"/>
              <w:right w:val="single" w:sz="18" w:space="0" w:color="auto"/>
            </w:tcBorders>
            <w:shd w:val="clear" w:color="auto" w:fill="B0CA7C"/>
            <w:vAlign w:val="center"/>
          </w:tcPr>
          <w:p w:rsidR="002E3AA9" w:rsidRPr="0043547B" w:rsidRDefault="002E3AA9" w:rsidP="002E3AA9">
            <w:pPr>
              <w:spacing w:after="0" w:line="240" w:lineRule="auto"/>
              <w:jc w:val="center"/>
              <w:rPr>
                <w:rFonts w:cstheme="minorHAnsi"/>
                <w:b/>
                <w:bCs/>
                <w:sz w:val="24"/>
                <w:szCs w:val="24"/>
              </w:rPr>
            </w:pPr>
            <w:r w:rsidRPr="0043547B">
              <w:rPr>
                <w:rFonts w:cstheme="minorHAnsi"/>
                <w:b/>
                <w:bCs/>
                <w:sz w:val="24"/>
                <w:szCs w:val="24"/>
              </w:rPr>
              <w:t>NM ISO 15874-3</w:t>
            </w:r>
          </w:p>
        </w:tc>
      </w:tr>
      <w:tr w:rsidR="002E3AA9" w:rsidRPr="0043547B" w:rsidTr="00CB5DC0">
        <w:trPr>
          <w:trHeight w:val="298"/>
          <w:jc w:val="center"/>
        </w:trPr>
        <w:tc>
          <w:tcPr>
            <w:tcW w:w="1838" w:type="dxa"/>
            <w:tcBorders>
              <w:top w:val="single" w:sz="18" w:space="0" w:color="auto"/>
              <w:left w:val="single" w:sz="18" w:space="0" w:color="auto"/>
              <w:bottom w:val="single" w:sz="6" w:space="0" w:color="auto"/>
              <w:right w:val="single" w:sz="4" w:space="0" w:color="auto"/>
            </w:tcBorders>
            <w:shd w:val="clear" w:color="auto" w:fill="FFFF99"/>
            <w:vAlign w:val="center"/>
          </w:tcPr>
          <w:p w:rsidR="002E3AA9" w:rsidRPr="0043547B" w:rsidRDefault="002E3AA9" w:rsidP="002E3AA9">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6" w:space="0" w:color="auto"/>
              <w:right w:val="single" w:sz="18" w:space="0" w:color="auto"/>
            </w:tcBorders>
            <w:shd w:val="clear" w:color="auto" w:fill="FFFF99"/>
            <w:vAlign w:val="bottom"/>
          </w:tcPr>
          <w:p w:rsidR="002E3AA9" w:rsidRPr="0043547B" w:rsidRDefault="002E3AA9" w:rsidP="002E3AA9">
            <w:pPr>
              <w:spacing w:after="0" w:line="240" w:lineRule="auto"/>
              <w:jc w:val="center"/>
              <w:rPr>
                <w:rFonts w:cstheme="minorHAnsi"/>
                <w:b/>
                <w:bCs/>
                <w:sz w:val="24"/>
                <w:szCs w:val="24"/>
              </w:rPr>
            </w:pPr>
            <w:r w:rsidRPr="0043547B">
              <w:rPr>
                <w:rFonts w:cstheme="minorHAnsi"/>
                <w:b/>
                <w:bCs/>
                <w:sz w:val="24"/>
                <w:szCs w:val="24"/>
              </w:rPr>
              <w:t>ISO 15874-3</w:t>
            </w:r>
          </w:p>
        </w:tc>
      </w:tr>
      <w:tr w:rsidR="00E33F03" w:rsidRPr="0043547B" w:rsidTr="00CB5DC0">
        <w:trPr>
          <w:trHeight w:val="589"/>
          <w:jc w:val="center"/>
        </w:trPr>
        <w:tc>
          <w:tcPr>
            <w:tcW w:w="1838" w:type="dxa"/>
            <w:tcBorders>
              <w:top w:val="single" w:sz="6" w:space="0" w:color="auto"/>
              <w:left w:val="single" w:sz="18" w:space="0" w:color="auto"/>
              <w:bottom w:val="single" w:sz="6" w:space="0" w:color="auto"/>
              <w:right w:val="single" w:sz="4" w:space="0" w:color="auto"/>
            </w:tcBorders>
            <w:shd w:val="clear" w:color="auto" w:fill="8DB3E2" w:themeFill="text2" w:themeFillTint="66"/>
            <w:vAlign w:val="center"/>
          </w:tcPr>
          <w:p w:rsidR="00E33F03" w:rsidRPr="0043547B" w:rsidRDefault="00E33F03" w:rsidP="00E33F03">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6" w:space="0" w:color="auto"/>
              <w:left w:val="single" w:sz="4" w:space="0" w:color="auto"/>
              <w:bottom w:val="single" w:sz="6" w:space="0" w:color="auto"/>
              <w:right w:val="single" w:sz="18" w:space="0" w:color="auto"/>
            </w:tcBorders>
            <w:shd w:val="clear" w:color="auto" w:fill="auto"/>
            <w:vAlign w:val="center"/>
          </w:tcPr>
          <w:p w:rsidR="00E33F03" w:rsidRPr="00D73A51" w:rsidRDefault="00E33F03" w:rsidP="00D73A51">
            <w:pPr>
              <w:spacing w:after="0" w:line="240" w:lineRule="auto"/>
              <w:jc w:val="both"/>
              <w:rPr>
                <w:rFonts w:ascii="Calibri" w:hAnsi="Calibri" w:cs="Calibri"/>
              </w:rPr>
            </w:pPr>
            <w:r w:rsidRPr="00D73A51">
              <w:rPr>
                <w:rFonts w:ascii="Calibri" w:hAnsi="Calibri" w:cs="Calibri"/>
              </w:rPr>
              <w:t xml:space="preserve">Systèmes de canalisations en plastique pour les installations d'eau chaude et froide - Polypropylène (PP) - Partie 3 : Raccords </w:t>
            </w:r>
            <w:r w:rsidR="00D73A51">
              <w:rPr>
                <w:rFonts w:ascii="Calibri" w:hAnsi="Calibri" w:cs="Calibri"/>
              </w:rPr>
              <w:t xml:space="preserve"> </w:t>
            </w:r>
          </w:p>
        </w:tc>
      </w:tr>
      <w:tr w:rsidR="00E33F03" w:rsidRPr="0043547B" w:rsidTr="00CB5DC0">
        <w:trPr>
          <w:trHeight w:val="129"/>
          <w:jc w:val="center"/>
        </w:trPr>
        <w:tc>
          <w:tcPr>
            <w:tcW w:w="1838" w:type="dxa"/>
            <w:tcBorders>
              <w:top w:val="single" w:sz="6" w:space="0" w:color="auto"/>
              <w:left w:val="single" w:sz="18" w:space="0" w:color="auto"/>
              <w:bottom w:val="single" w:sz="18" w:space="0" w:color="auto"/>
              <w:right w:val="single" w:sz="4" w:space="0" w:color="auto"/>
            </w:tcBorders>
            <w:shd w:val="clear" w:color="000000" w:fill="D9D9D9"/>
            <w:vAlign w:val="center"/>
          </w:tcPr>
          <w:p w:rsidR="00E33F03" w:rsidRPr="0043547B" w:rsidRDefault="00E33F03" w:rsidP="00E33F03">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6" w:space="0" w:color="auto"/>
              <w:left w:val="single" w:sz="4" w:space="0" w:color="auto"/>
              <w:bottom w:val="single" w:sz="18" w:space="0" w:color="auto"/>
              <w:right w:val="single" w:sz="18" w:space="0" w:color="auto"/>
            </w:tcBorders>
            <w:shd w:val="clear" w:color="auto" w:fill="auto"/>
            <w:vAlign w:val="bottom"/>
          </w:tcPr>
          <w:p w:rsidR="00E70D5B" w:rsidRDefault="00E33F03" w:rsidP="00E70D5B">
            <w:pPr>
              <w:spacing w:after="0" w:line="240" w:lineRule="auto"/>
              <w:jc w:val="both"/>
              <w:rPr>
                <w:rFonts w:ascii="Calibri" w:hAnsi="Calibri" w:cs="Calibri"/>
              </w:rPr>
            </w:pPr>
            <w:r w:rsidRPr="00D73A51">
              <w:rPr>
                <w:rFonts w:ascii="Calibri" w:hAnsi="Calibri" w:cs="Calibri"/>
              </w:rPr>
              <w:t>La présente partie de l’ISO 15874 spécifie les caractéristiques des raccords pour les systèmes de canalisations</w:t>
            </w:r>
            <w:r w:rsidR="00D73A51">
              <w:rPr>
                <w:rFonts w:ascii="Calibri" w:hAnsi="Calibri" w:cs="Calibri"/>
              </w:rPr>
              <w:t xml:space="preserve"> </w:t>
            </w:r>
            <w:r w:rsidRPr="00D73A51">
              <w:rPr>
                <w:rFonts w:ascii="Calibri" w:hAnsi="Calibri" w:cs="Calibri"/>
              </w:rPr>
              <w:t>en polypropylène (PP) destinés aux installations d’eau chaude et froide à l’intérieur des bâtiments pour le</w:t>
            </w:r>
            <w:r w:rsidR="00D73A51">
              <w:rPr>
                <w:rFonts w:ascii="Calibri" w:hAnsi="Calibri" w:cs="Calibri"/>
              </w:rPr>
              <w:t xml:space="preserve"> </w:t>
            </w:r>
            <w:r w:rsidRPr="00D73A51">
              <w:rPr>
                <w:rFonts w:ascii="Calibri" w:hAnsi="Calibri" w:cs="Calibri"/>
              </w:rPr>
              <w:t>transport de l’eau, que celle-ci soit destinée ou non à la consommation humaine (systèmes domestiques), ainsi</w:t>
            </w:r>
            <w:r w:rsidR="00E70D5B">
              <w:rPr>
                <w:rFonts w:ascii="Calibri" w:hAnsi="Calibri" w:cs="Calibri"/>
              </w:rPr>
              <w:t xml:space="preserve"> </w:t>
            </w:r>
            <w:r w:rsidRPr="00D73A51">
              <w:rPr>
                <w:rFonts w:ascii="Calibri" w:hAnsi="Calibri" w:cs="Calibri"/>
              </w:rPr>
              <w:t>qu’aux installations de chauffage à des pressions et des températures de service correspondant à la classe</w:t>
            </w:r>
            <w:r w:rsidR="00D73A51">
              <w:rPr>
                <w:rFonts w:ascii="Calibri" w:hAnsi="Calibri" w:cs="Calibri"/>
              </w:rPr>
              <w:t xml:space="preserve"> </w:t>
            </w:r>
            <w:r w:rsidRPr="00D73A51">
              <w:rPr>
                <w:rFonts w:ascii="Calibri" w:hAnsi="Calibri" w:cs="Calibri"/>
              </w:rPr>
              <w:t>d’application ( voir l’ISO 15874-1:2013, Tableau 1).</w:t>
            </w:r>
          </w:p>
          <w:p w:rsidR="00D73A51" w:rsidRPr="00D73A51" w:rsidRDefault="00E33F03" w:rsidP="00E70D5B">
            <w:pPr>
              <w:spacing w:after="0" w:line="240" w:lineRule="auto"/>
              <w:jc w:val="both"/>
              <w:rPr>
                <w:rFonts w:ascii="Calibri" w:hAnsi="Calibri" w:cs="Calibri"/>
                <w:i/>
                <w:iCs/>
                <w:sz w:val="20"/>
                <w:szCs w:val="20"/>
              </w:rPr>
            </w:pPr>
            <w:r w:rsidRPr="00D73A51">
              <w:rPr>
                <w:rFonts w:ascii="Calibri" w:hAnsi="Calibri" w:cs="Calibri"/>
              </w:rPr>
              <w:t>La présente partie de l’ISO 15874 couvre une gamme de conditions de service (classes d’application) et de</w:t>
            </w:r>
            <w:r w:rsidR="00D73A51">
              <w:rPr>
                <w:rFonts w:ascii="Calibri" w:hAnsi="Calibri" w:cs="Calibri"/>
              </w:rPr>
              <w:t xml:space="preserve"> </w:t>
            </w:r>
            <w:r w:rsidRPr="00D73A51">
              <w:rPr>
                <w:rFonts w:ascii="Calibri" w:hAnsi="Calibri" w:cs="Calibri"/>
              </w:rPr>
              <w:t>classes de pression de service. Lorsque les valeurs de TD, Tmax and Tmal dépassent celles de l’ISO 15874</w:t>
            </w:r>
            <w:r w:rsidRPr="00D73A51">
              <w:rPr>
                <w:rFonts w:ascii="Calibri" w:hAnsi="Calibri" w:cs="Calibri"/>
              </w:rPr>
              <w:noBreakHyphen/>
              <w:t>1:2013,</w:t>
            </w:r>
            <w:r w:rsidR="00D73A51">
              <w:rPr>
                <w:rFonts w:ascii="Calibri" w:hAnsi="Calibri" w:cs="Calibri"/>
              </w:rPr>
              <w:t xml:space="preserve"> </w:t>
            </w:r>
            <w:r w:rsidRPr="00D73A51">
              <w:rPr>
                <w:rFonts w:ascii="Calibri" w:hAnsi="Calibri" w:cs="Calibri"/>
              </w:rPr>
              <w:t>Tableau 1, elle ne s’applique pas.</w:t>
            </w:r>
            <w:r w:rsidRPr="00D73A51">
              <w:rPr>
                <w:rFonts w:ascii="Calibri" w:hAnsi="Calibri" w:cs="Calibri"/>
              </w:rPr>
              <w:br/>
            </w:r>
            <w:r w:rsidRPr="00D73A51">
              <w:rPr>
                <w:rFonts w:ascii="Calibri" w:hAnsi="Calibri" w:cs="Calibri"/>
                <w:b/>
                <w:bCs/>
                <w:i/>
                <w:iCs/>
                <w:sz w:val="20"/>
                <w:szCs w:val="20"/>
              </w:rPr>
              <w:t>NOTE</w:t>
            </w:r>
            <w:r w:rsidR="00D73A51" w:rsidRPr="00D73A51">
              <w:rPr>
                <w:rFonts w:ascii="Calibri" w:hAnsi="Calibri" w:cs="Calibri"/>
                <w:i/>
                <w:iCs/>
                <w:sz w:val="20"/>
                <w:szCs w:val="20"/>
              </w:rPr>
              <w:t xml:space="preserve"> : </w:t>
            </w:r>
            <w:r w:rsidRPr="00D73A51">
              <w:rPr>
                <w:rFonts w:ascii="Calibri" w:hAnsi="Calibri" w:cs="Calibri"/>
                <w:i/>
                <w:iCs/>
                <w:sz w:val="20"/>
                <w:szCs w:val="20"/>
              </w:rPr>
              <w:t>Il est de la responsabilité de l’acheteur ou du prescripteur de réaliser une sélection convenable à partir de</w:t>
            </w:r>
            <w:r w:rsidR="00D73A51" w:rsidRPr="00D73A51">
              <w:rPr>
                <w:rFonts w:ascii="Calibri" w:hAnsi="Calibri" w:cs="Calibri"/>
                <w:i/>
                <w:iCs/>
                <w:sz w:val="20"/>
                <w:szCs w:val="20"/>
              </w:rPr>
              <w:t xml:space="preserve"> </w:t>
            </w:r>
            <w:r w:rsidRPr="00D73A51">
              <w:rPr>
                <w:rFonts w:ascii="Calibri" w:hAnsi="Calibri" w:cs="Calibri"/>
                <w:i/>
                <w:iCs/>
                <w:sz w:val="20"/>
                <w:szCs w:val="20"/>
              </w:rPr>
              <w:t>ces aspects, en tenant compte des exigences particulières ainsi que des règles nationales et des pratiques et codes</w:t>
            </w:r>
            <w:r w:rsidR="00D73A51" w:rsidRPr="00D73A51">
              <w:rPr>
                <w:rFonts w:ascii="Calibri" w:hAnsi="Calibri" w:cs="Calibri"/>
                <w:i/>
                <w:iCs/>
                <w:sz w:val="20"/>
                <w:szCs w:val="20"/>
              </w:rPr>
              <w:t xml:space="preserve"> </w:t>
            </w:r>
            <w:r w:rsidRPr="00D73A51">
              <w:rPr>
                <w:rFonts w:ascii="Calibri" w:hAnsi="Calibri" w:cs="Calibri"/>
                <w:i/>
                <w:iCs/>
                <w:sz w:val="20"/>
                <w:szCs w:val="20"/>
              </w:rPr>
              <w:t>d’installation applicables dans son pays.</w:t>
            </w:r>
          </w:p>
          <w:p w:rsidR="00D73A51" w:rsidRDefault="00E33F03" w:rsidP="00D73A51">
            <w:pPr>
              <w:spacing w:after="0" w:line="240" w:lineRule="auto"/>
              <w:jc w:val="both"/>
              <w:rPr>
                <w:rFonts w:ascii="Calibri" w:hAnsi="Calibri" w:cs="Calibri"/>
              </w:rPr>
            </w:pPr>
            <w:r w:rsidRPr="00D73A51">
              <w:rPr>
                <w:rFonts w:ascii="Calibri" w:hAnsi="Calibri" w:cs="Calibri"/>
              </w:rPr>
              <w:t>Elle spécifie aussi les paramètres d’essai pour les méthodes d’essai auxquelles il est fait référence dans la</w:t>
            </w:r>
            <w:r w:rsidR="00D73A51">
              <w:rPr>
                <w:rFonts w:ascii="Calibri" w:hAnsi="Calibri" w:cs="Calibri"/>
              </w:rPr>
              <w:t xml:space="preserve"> </w:t>
            </w:r>
            <w:r w:rsidRPr="00D73A51">
              <w:rPr>
                <w:rFonts w:ascii="Calibri" w:hAnsi="Calibri" w:cs="Calibri"/>
              </w:rPr>
              <w:t>présente partie de l’ISO 15874.</w:t>
            </w:r>
          </w:p>
          <w:p w:rsidR="00E70D5B" w:rsidRDefault="00E33F03" w:rsidP="00D73A51">
            <w:pPr>
              <w:spacing w:after="0" w:line="240" w:lineRule="auto"/>
              <w:jc w:val="both"/>
              <w:rPr>
                <w:rFonts w:ascii="Calibri" w:hAnsi="Calibri" w:cs="Calibri"/>
              </w:rPr>
            </w:pPr>
            <w:r w:rsidRPr="00D73A51">
              <w:rPr>
                <w:rFonts w:ascii="Calibri" w:hAnsi="Calibri" w:cs="Calibri"/>
              </w:rPr>
              <w:t>Conjointement avec les autres parties de l’ISO 15874, elle s’applique aux raccords en polypropylène (PP) et</w:t>
            </w:r>
            <w:r w:rsidR="00D73A51">
              <w:rPr>
                <w:rFonts w:ascii="Calibri" w:hAnsi="Calibri" w:cs="Calibri"/>
              </w:rPr>
              <w:t xml:space="preserve"> </w:t>
            </w:r>
            <w:r w:rsidRPr="00D73A51">
              <w:rPr>
                <w:rFonts w:ascii="Calibri" w:hAnsi="Calibri" w:cs="Calibri"/>
              </w:rPr>
              <w:t>aux raccords fabriqués dans d’autres matières qui sont destinés à être assemblés à des tubes conformes à</w:t>
            </w:r>
            <w:r w:rsidR="00D73A51">
              <w:rPr>
                <w:rFonts w:ascii="Calibri" w:hAnsi="Calibri" w:cs="Calibri"/>
              </w:rPr>
              <w:t xml:space="preserve"> </w:t>
            </w:r>
            <w:r w:rsidRPr="00D73A51">
              <w:rPr>
                <w:rFonts w:ascii="Calibri" w:hAnsi="Calibri" w:cs="Calibri"/>
              </w:rPr>
              <w:t>l’ISO 15874</w:t>
            </w:r>
            <w:r w:rsidRPr="00D73A51">
              <w:rPr>
                <w:rFonts w:ascii="Calibri" w:hAnsi="Calibri" w:cs="Calibri"/>
              </w:rPr>
              <w:noBreakHyphen/>
              <w:t>2 pour les installations d’eau chaude et froide et où les assemblages sont conformes aux exigences</w:t>
            </w:r>
            <w:r w:rsidR="00D73A51">
              <w:rPr>
                <w:rFonts w:ascii="Calibri" w:hAnsi="Calibri" w:cs="Calibri"/>
              </w:rPr>
              <w:t xml:space="preserve"> </w:t>
            </w:r>
            <w:r w:rsidRPr="00D73A51">
              <w:rPr>
                <w:rFonts w:ascii="Calibri" w:hAnsi="Calibri" w:cs="Calibri"/>
              </w:rPr>
              <w:t>de l’ISO 15874</w:t>
            </w:r>
            <w:r w:rsidRPr="00D73A51">
              <w:rPr>
                <w:rFonts w:ascii="Calibri" w:hAnsi="Calibri" w:cs="Calibri"/>
              </w:rPr>
              <w:noBreakHyphen/>
              <w:t>5.</w:t>
            </w:r>
            <w:r w:rsidRPr="00D73A51">
              <w:rPr>
                <w:rFonts w:ascii="Calibri" w:hAnsi="Calibri" w:cs="Calibri"/>
              </w:rPr>
              <w:br/>
              <w:t xml:space="preserve">Elle s’applique aussi aux raccords faits en d’autres matières qui, lorsqu’ils sont assemblés </w:t>
            </w:r>
            <w:r w:rsidRPr="00D73A51">
              <w:rPr>
                <w:rFonts w:ascii="Calibri" w:hAnsi="Calibri" w:cs="Calibri"/>
              </w:rPr>
              <w:lastRenderedPageBreak/>
              <w:t>à des tubes</w:t>
            </w:r>
            <w:r w:rsidR="00D73A51">
              <w:rPr>
                <w:rFonts w:ascii="Calibri" w:hAnsi="Calibri" w:cs="Calibri"/>
              </w:rPr>
              <w:t xml:space="preserve"> </w:t>
            </w:r>
            <w:r w:rsidRPr="00D73A51">
              <w:rPr>
                <w:rFonts w:ascii="Calibri" w:hAnsi="Calibri" w:cs="Calibri"/>
              </w:rPr>
              <w:t>conformes à l’ISO 15874-2, satisfont aux exigences de l’ISO 15874-5.</w:t>
            </w:r>
            <w:r w:rsidRPr="00D73A51">
              <w:rPr>
                <w:rFonts w:ascii="Calibri" w:hAnsi="Calibri" w:cs="Calibri"/>
              </w:rPr>
              <w:br/>
              <w:t>La présente partie de l’ISO 15874 s’applique aux raccords répondant aux types suivants:</w:t>
            </w:r>
          </w:p>
          <w:p w:rsidR="00E70D5B" w:rsidRDefault="00E33F03" w:rsidP="00D73A51">
            <w:pPr>
              <w:spacing w:after="0" w:line="240" w:lineRule="auto"/>
              <w:jc w:val="both"/>
              <w:rPr>
                <w:rFonts w:ascii="Calibri" w:hAnsi="Calibri" w:cs="Calibri"/>
              </w:rPr>
            </w:pPr>
            <w:r w:rsidRPr="00D73A51">
              <w:rPr>
                <w:rFonts w:ascii="Calibri" w:hAnsi="Calibri" w:cs="Calibri"/>
              </w:rPr>
              <w:t>— raccords à emboîture soudable</w:t>
            </w:r>
            <w:r w:rsidR="00E70D5B">
              <w:rPr>
                <w:rFonts w:ascii="Calibri" w:hAnsi="Calibri" w:cs="Calibri"/>
              </w:rPr>
              <w:t xml:space="preserve"> </w:t>
            </w:r>
            <w:r w:rsidRPr="00D73A51">
              <w:rPr>
                <w:rFonts w:ascii="Calibri" w:hAnsi="Calibri" w:cs="Calibri"/>
              </w:rPr>
              <w:t>;</w:t>
            </w:r>
          </w:p>
          <w:p w:rsidR="00E70D5B" w:rsidRDefault="00E33F03" w:rsidP="00D73A51">
            <w:pPr>
              <w:spacing w:after="0" w:line="240" w:lineRule="auto"/>
              <w:jc w:val="both"/>
              <w:rPr>
                <w:rFonts w:ascii="Calibri" w:hAnsi="Calibri" w:cs="Calibri"/>
              </w:rPr>
            </w:pPr>
            <w:r w:rsidRPr="00D73A51">
              <w:rPr>
                <w:rFonts w:ascii="Calibri" w:hAnsi="Calibri" w:cs="Calibri"/>
              </w:rPr>
              <w:t>— raccords électrosoudables</w:t>
            </w:r>
            <w:r w:rsidR="00E70D5B">
              <w:rPr>
                <w:rFonts w:ascii="Calibri" w:hAnsi="Calibri" w:cs="Calibri"/>
              </w:rPr>
              <w:t xml:space="preserve"> </w:t>
            </w:r>
            <w:r w:rsidRPr="00D73A51">
              <w:rPr>
                <w:rFonts w:ascii="Calibri" w:hAnsi="Calibri" w:cs="Calibri"/>
              </w:rPr>
              <w:t>;</w:t>
            </w:r>
          </w:p>
          <w:p w:rsidR="00E70D5B" w:rsidRDefault="00E33F03" w:rsidP="00D73A51">
            <w:pPr>
              <w:spacing w:after="0" w:line="240" w:lineRule="auto"/>
              <w:jc w:val="both"/>
              <w:rPr>
                <w:rFonts w:ascii="Calibri" w:hAnsi="Calibri" w:cs="Calibri"/>
              </w:rPr>
            </w:pPr>
            <w:r w:rsidRPr="00D73A51">
              <w:rPr>
                <w:rFonts w:ascii="Calibri" w:hAnsi="Calibri" w:cs="Calibri"/>
              </w:rPr>
              <w:t>— raccords mécaniques</w:t>
            </w:r>
            <w:r w:rsidR="00E70D5B">
              <w:rPr>
                <w:rFonts w:ascii="Calibri" w:hAnsi="Calibri" w:cs="Calibri"/>
              </w:rPr>
              <w:t xml:space="preserve"> </w:t>
            </w:r>
            <w:r w:rsidRPr="00D73A51">
              <w:rPr>
                <w:rFonts w:ascii="Calibri" w:hAnsi="Calibri" w:cs="Calibri"/>
              </w:rPr>
              <w:t>;</w:t>
            </w:r>
          </w:p>
          <w:p w:rsidR="00E33F03" w:rsidRPr="00D73A51" w:rsidRDefault="00E33F03" w:rsidP="00D73A51">
            <w:pPr>
              <w:spacing w:after="0" w:line="240" w:lineRule="auto"/>
              <w:jc w:val="both"/>
              <w:rPr>
                <w:rFonts w:ascii="Calibri" w:hAnsi="Calibri" w:cs="Calibri"/>
              </w:rPr>
            </w:pPr>
            <w:r w:rsidRPr="00D73A51">
              <w:rPr>
                <w:rFonts w:ascii="Calibri" w:hAnsi="Calibri" w:cs="Calibri"/>
              </w:rPr>
              <w:t>— raccords avec inserts incorporés.</w:t>
            </w:r>
          </w:p>
        </w:tc>
      </w:tr>
      <w:tr w:rsidR="002E3AA9" w:rsidRPr="0043547B" w:rsidTr="00CB5DC0">
        <w:trPr>
          <w:trHeight w:val="300"/>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2E3AA9" w:rsidRPr="0043547B" w:rsidRDefault="002E3AA9" w:rsidP="002E3AA9">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2E3AA9" w:rsidRPr="0043547B" w:rsidRDefault="002E3AA9" w:rsidP="002E3AA9">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ISO/TS 15876-7</w:t>
            </w:r>
          </w:p>
        </w:tc>
      </w:tr>
      <w:tr w:rsidR="002E3AA9" w:rsidRPr="0043547B" w:rsidTr="00CB5DC0">
        <w:trPr>
          <w:trHeight w:val="300"/>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2E3AA9" w:rsidRPr="0043547B" w:rsidRDefault="002E3AA9" w:rsidP="002E3AA9">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2E3AA9" w:rsidRPr="0043547B" w:rsidRDefault="002E3AA9" w:rsidP="002E3AA9">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ISO/TS 15876-7</w:t>
            </w:r>
          </w:p>
        </w:tc>
      </w:tr>
      <w:tr w:rsidR="002E3AA9" w:rsidRPr="0043547B" w:rsidTr="00CB5DC0">
        <w:trPr>
          <w:trHeight w:val="6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2E3AA9" w:rsidRPr="0043547B" w:rsidRDefault="002E3AA9" w:rsidP="002E3AA9">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2E3AA9" w:rsidRPr="0043547B" w:rsidRDefault="002E3AA9" w:rsidP="002E3AA9">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Systèmes de canalisations en plastiques d'eau chaude et froide - Polybutène (PB) -Partie 7 : Guide pour l'évaluation de la conformité ;  </w:t>
            </w:r>
          </w:p>
        </w:tc>
      </w:tr>
      <w:tr w:rsidR="002E3AA9" w:rsidRPr="0043547B" w:rsidTr="00CB5DC0">
        <w:trPr>
          <w:trHeight w:val="3388"/>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2E3AA9" w:rsidRPr="0043547B" w:rsidRDefault="002E3AA9" w:rsidP="002E3AA9">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2E3AA9" w:rsidRPr="0043547B" w:rsidRDefault="002E3AA9" w:rsidP="002E3AA9">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Spécification Technique donne un guide pour l'évaluation de la conformité, à inclure dans le plan qualité du fabricant, dans le cadre de son système qualité.</w:t>
            </w:r>
          </w:p>
          <w:p w:rsidR="002E3AA9" w:rsidRPr="0043547B" w:rsidRDefault="002E3AA9" w:rsidP="002E3AA9">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Cette Spécification Technique comporte :</w:t>
            </w:r>
          </w:p>
          <w:p w:rsidR="002E3AA9" w:rsidRPr="0043547B" w:rsidRDefault="002E3AA9" w:rsidP="002E3AA9">
            <w:pPr>
              <w:pStyle w:val="Paragraphedeliste"/>
              <w:numPr>
                <w:ilvl w:val="0"/>
                <w:numId w:val="33"/>
              </w:num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exigences relatives aux matières, composants, assemblages et montages, énoncées dans les normes applicables ;</w:t>
            </w:r>
          </w:p>
          <w:p w:rsidR="002E3AA9" w:rsidRPr="0043547B" w:rsidRDefault="002E3AA9" w:rsidP="002E3AA9">
            <w:pPr>
              <w:pStyle w:val="Paragraphedeliste"/>
              <w:numPr>
                <w:ilvl w:val="0"/>
                <w:numId w:val="33"/>
              </w:num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exigences relatives au système qualité du fabricant ; Il est recommandé que le système qualité soit conforme à NM ISO 9001 ;</w:t>
            </w:r>
          </w:p>
          <w:p w:rsidR="002E3AA9" w:rsidRPr="0043547B" w:rsidRDefault="002E3AA9" w:rsidP="002E3AA9">
            <w:pPr>
              <w:pStyle w:val="Paragraphedeliste"/>
              <w:numPr>
                <w:ilvl w:val="0"/>
                <w:numId w:val="33"/>
              </w:num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définitions et procédures à appliquer en cas de certification par tierce Partie.</w:t>
            </w:r>
          </w:p>
          <w:p w:rsidR="002E3AA9" w:rsidRPr="0043547B" w:rsidRDefault="002E3AA9" w:rsidP="002E3AA9">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Cette Spécification Technique est applicable aux systèmes de canalisations en polybutène (PB) destinés aux installations d’eau chaude et froide pour le transport de l’eau dans les bâtiments, qu’elle soit ou non destinée à la consommation humaine (systèmes domestiques), et pour les systèmes de chauffage, à des pressions et des températures de calcul correspondant à la classe d’application.</w:t>
            </w:r>
          </w:p>
        </w:tc>
      </w:tr>
      <w:tr w:rsidR="002E3AA9" w:rsidRPr="0043547B" w:rsidTr="00CB5DC0">
        <w:trPr>
          <w:trHeight w:val="300"/>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2E3AA9" w:rsidRPr="0043547B" w:rsidRDefault="002E3AA9" w:rsidP="002E3AA9">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2E3AA9" w:rsidRPr="0043547B" w:rsidRDefault="002E3AA9" w:rsidP="002E3AA9">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CEN/TS 12201-7</w:t>
            </w:r>
          </w:p>
        </w:tc>
      </w:tr>
      <w:tr w:rsidR="002E3AA9" w:rsidRPr="0043547B" w:rsidTr="00CB5DC0">
        <w:trPr>
          <w:trHeight w:val="300"/>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2E3AA9" w:rsidRPr="0043547B" w:rsidRDefault="002E3AA9" w:rsidP="002E3AA9">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2E3AA9" w:rsidRPr="0043547B" w:rsidRDefault="002E3AA9" w:rsidP="002E3AA9">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CEN/TS 12201-7</w:t>
            </w:r>
          </w:p>
        </w:tc>
      </w:tr>
      <w:tr w:rsidR="002E3AA9" w:rsidRPr="0043547B" w:rsidTr="00CB5DC0">
        <w:trPr>
          <w:trHeight w:val="6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2E3AA9" w:rsidRPr="0043547B" w:rsidRDefault="002E3AA9" w:rsidP="002E3AA9">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2E3AA9" w:rsidRPr="0043547B" w:rsidRDefault="002E3AA9" w:rsidP="002E3AA9">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Systèmes de canalisations en plastiques pour alimentation en eau - Polyéthylène (PE) - Partie 7 : Guide pour l'évaluation de la conformité ; </w:t>
            </w:r>
          </w:p>
        </w:tc>
      </w:tr>
      <w:tr w:rsidR="002E3AA9" w:rsidRPr="0043547B" w:rsidTr="00CB5DC0">
        <w:trPr>
          <w:trHeight w:val="418"/>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2E3AA9" w:rsidRPr="0043547B" w:rsidRDefault="002E3AA9" w:rsidP="002E3AA9">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2E3AA9" w:rsidRPr="0043547B" w:rsidRDefault="002E3AA9" w:rsidP="002E3AA9">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donne un guide pour l'évaluation de la conformité à inclure dans le plan qualité du fabricant, en tant que partie de son système qualité.</w:t>
            </w:r>
          </w:p>
          <w:p w:rsidR="00BD3BD1" w:rsidRPr="0043547B" w:rsidRDefault="00BD3BD1" w:rsidP="00BD3BD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Spécification technique comprend :</w:t>
            </w:r>
          </w:p>
          <w:p w:rsidR="00BD3BD1" w:rsidRPr="0043547B" w:rsidRDefault="00BD3BD1" w:rsidP="00BD3BD1">
            <w:pPr>
              <w:pStyle w:val="Paragraphedeliste"/>
              <w:numPr>
                <w:ilvl w:val="0"/>
                <w:numId w:val="34"/>
              </w:num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exigences pour les matières, les composants et les assemblages, données dans les normes applicables ;</w:t>
            </w:r>
          </w:p>
          <w:p w:rsidR="00BD3BD1" w:rsidRPr="0043547B" w:rsidRDefault="00BD3BD1" w:rsidP="00BD3BD1">
            <w:pPr>
              <w:pStyle w:val="Paragraphedeliste"/>
              <w:numPr>
                <w:ilvl w:val="0"/>
                <w:numId w:val="34"/>
              </w:num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exigences pour le système qualité du fabricant ; Il est recommandé que le système qualité réponde à NM ISO 9001.</w:t>
            </w:r>
          </w:p>
          <w:p w:rsidR="00BD3BD1" w:rsidRPr="0043547B" w:rsidRDefault="00BD3BD1" w:rsidP="00BD3BD1">
            <w:pPr>
              <w:pStyle w:val="Paragraphedeliste"/>
              <w:numPr>
                <w:ilvl w:val="0"/>
                <w:numId w:val="34"/>
              </w:num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définitions et les procédures à appliquer si une certification par tierce partie est prise en compte.</w:t>
            </w:r>
          </w:p>
          <w:p w:rsidR="002E3AA9" w:rsidRPr="0043547B" w:rsidRDefault="00BD3BD1" w:rsidP="00BD3BD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s'applique aux tubes, raccords et robinets en PE, leurs assemblages, et leurs assemblages avec des composants en d'autres matières, destiné à l'alimentation en eau pour la consommation humaine, y compris le transport des eaux brutes avant traitement.</w:t>
            </w:r>
          </w:p>
        </w:tc>
      </w:tr>
      <w:tr w:rsidR="002E3AA9" w:rsidRPr="0043547B" w:rsidTr="00CB5DC0">
        <w:trPr>
          <w:trHeight w:val="300"/>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2E3AA9" w:rsidRPr="0043547B" w:rsidRDefault="002E3AA9" w:rsidP="002E3AA9">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2E3AA9" w:rsidRPr="0043547B" w:rsidRDefault="002E3AA9" w:rsidP="002E3AA9">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21003-1</w:t>
            </w:r>
          </w:p>
        </w:tc>
      </w:tr>
      <w:tr w:rsidR="002E3AA9" w:rsidRPr="0043547B" w:rsidTr="00CB5DC0">
        <w:trPr>
          <w:trHeight w:val="300"/>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2E3AA9" w:rsidRPr="0043547B" w:rsidRDefault="002E3AA9" w:rsidP="002E3AA9">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2E3AA9" w:rsidRPr="0043547B" w:rsidRDefault="002E3AA9" w:rsidP="002E3AA9">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21003-1</w:t>
            </w:r>
          </w:p>
        </w:tc>
      </w:tr>
      <w:tr w:rsidR="002E3AA9" w:rsidRPr="0043547B" w:rsidTr="00CB5DC0">
        <w:trPr>
          <w:trHeight w:val="54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2E3AA9" w:rsidRPr="0043547B" w:rsidRDefault="002E3AA9" w:rsidP="002E3AA9">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2E3AA9" w:rsidRPr="0043547B" w:rsidRDefault="002E3AA9" w:rsidP="002E3AA9">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Systèmes de canalisations multicouches pour installations d'eau chaude et froide à l'intérieur des bâtiments - Partie 1 : généralités</w:t>
            </w:r>
          </w:p>
        </w:tc>
      </w:tr>
      <w:tr w:rsidR="002E3AA9" w:rsidRPr="0043547B" w:rsidTr="00CB5DC0">
        <w:trPr>
          <w:trHeight w:val="1126"/>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2E3AA9" w:rsidRPr="0043547B" w:rsidRDefault="002E3AA9" w:rsidP="002E3AA9">
            <w:pPr>
              <w:spacing w:after="0"/>
              <w:jc w:val="center"/>
              <w:rPr>
                <w:rFonts w:cstheme="minorHAnsi"/>
                <w:b/>
                <w:bCs/>
                <w:sz w:val="24"/>
                <w:szCs w:val="24"/>
              </w:rPr>
            </w:pPr>
            <w:r w:rsidRPr="0043547B">
              <w:rPr>
                <w:rFonts w:cstheme="minorHAnsi"/>
                <w:b/>
                <w:bCs/>
                <w:sz w:val="24"/>
                <w:szCs w:val="24"/>
              </w:rPr>
              <w:lastRenderedPageBreak/>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2E3AA9" w:rsidRPr="0043547B" w:rsidRDefault="002E3AA9" w:rsidP="002E3AA9">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aspects généraux des systèmes de canalisations multicouches destinés à des installations d'eau chaude et froide à l'intérieur des bâtiments pour le transport de l'eau, destinée ou non à la consommation humaine (systèmes domestiques) et aux installations de chauffage, à des pressions et à des températures correspondant à la classe d'application.</w:t>
            </w:r>
          </w:p>
          <w:p w:rsidR="002E3AA9" w:rsidRPr="0043547B" w:rsidRDefault="002E3AA9" w:rsidP="002E3AA9">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Elle s'applique aux tubes, aux raccords, à leurs assemblages et aux assemblages avec des composants d'autres matières plastiques et non plastiques destinés aux installations d'eau chaude et froide.  </w:t>
            </w:r>
          </w:p>
          <w:p w:rsidR="002E3AA9" w:rsidRPr="0043547B" w:rsidRDefault="002E3AA9" w:rsidP="002E3AA9">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est censée être utilisée conjointement avec toutes les autres normes de l'ISO 21003.</w:t>
            </w:r>
          </w:p>
          <w:p w:rsidR="002E3AA9" w:rsidRPr="0043547B" w:rsidRDefault="002E3AA9" w:rsidP="002E3AA9">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s'applique seulement aux tubes multicouches constitués d'une couche interne en plastique. Elle couvre une gamme de conditions de service (classes d'application) et de classes de pression de service.</w:t>
            </w:r>
          </w:p>
          <w:p w:rsidR="002E3AA9" w:rsidRPr="0043547B" w:rsidRDefault="002E3AA9" w:rsidP="002E3AA9">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Il est de la responsabilité de l'acheteur de réaliser une sélection convenable de ces aspects, en prenant en compte les exigences particulières et les règles d'installation des réglementations nationales.</w:t>
            </w:r>
          </w:p>
          <w:p w:rsidR="002E3AA9" w:rsidRPr="0043547B" w:rsidRDefault="002E3AA9" w:rsidP="002E3AA9">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matières polymères utilisées pour les couches soumises à contrainte sont les suivantes :</w:t>
            </w:r>
          </w:p>
          <w:p w:rsidR="002E3AA9" w:rsidRPr="0043547B" w:rsidRDefault="002E3AA9" w:rsidP="002E3AA9">
            <w:pPr>
              <w:pStyle w:val="Paragraphedeliste"/>
              <w:numPr>
                <w:ilvl w:val="0"/>
                <w:numId w:val="5"/>
              </w:num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polybutène (PB),</w:t>
            </w:r>
          </w:p>
          <w:p w:rsidR="002E3AA9" w:rsidRPr="0043547B" w:rsidRDefault="002E3AA9" w:rsidP="002E3AA9">
            <w:pPr>
              <w:pStyle w:val="Paragraphedeliste"/>
              <w:numPr>
                <w:ilvl w:val="0"/>
                <w:numId w:val="5"/>
              </w:num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polyéthylène de meilleure résistance à la température (PE-RT),</w:t>
            </w:r>
          </w:p>
          <w:p w:rsidR="002E3AA9" w:rsidRPr="0043547B" w:rsidRDefault="002E3AA9" w:rsidP="002E3AA9">
            <w:pPr>
              <w:pStyle w:val="Paragraphedeliste"/>
              <w:numPr>
                <w:ilvl w:val="0"/>
                <w:numId w:val="5"/>
              </w:num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polyéthylène réticulé (PE-X),</w:t>
            </w:r>
          </w:p>
          <w:p w:rsidR="002E3AA9" w:rsidRPr="0043547B" w:rsidRDefault="002E3AA9" w:rsidP="002E3AA9">
            <w:pPr>
              <w:pStyle w:val="Paragraphedeliste"/>
              <w:numPr>
                <w:ilvl w:val="0"/>
                <w:numId w:val="5"/>
              </w:num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polypropylène (PP) et poly(chlorure de vinyle) chloré (PVC-C).</w:t>
            </w:r>
          </w:p>
          <w:p w:rsidR="002E3AA9" w:rsidRPr="0043547B" w:rsidRDefault="002E3AA9" w:rsidP="002E3AA9">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 PE-X utilisé doit être obtenu par réticulation et doit être conforme aux exigences de la norme de produits de référence correspondante (ISO 15875).</w:t>
            </w:r>
          </w:p>
          <w:p w:rsidR="002E3AA9" w:rsidRPr="0043547B" w:rsidRDefault="002E3AA9" w:rsidP="002E3AA9">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L'épaisseur totale de ce type de couches externes, y compris l'épaisseur des adhésifs utilisés, doit être u 0,4 mm.</w:t>
            </w:r>
          </w:p>
        </w:tc>
      </w:tr>
      <w:tr w:rsidR="002E3AA9" w:rsidRPr="0043547B" w:rsidTr="00CB5DC0">
        <w:trPr>
          <w:trHeight w:val="300"/>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2E3AA9" w:rsidRPr="0043547B" w:rsidRDefault="002E3AA9" w:rsidP="002E3AA9">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2E3AA9" w:rsidRPr="0043547B" w:rsidRDefault="002E3AA9" w:rsidP="002E3AA9">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21003-5</w:t>
            </w:r>
          </w:p>
        </w:tc>
      </w:tr>
      <w:tr w:rsidR="002E3AA9" w:rsidRPr="0043547B" w:rsidTr="00CB5DC0">
        <w:trPr>
          <w:trHeight w:val="300"/>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2E3AA9" w:rsidRPr="0043547B" w:rsidRDefault="002E3AA9" w:rsidP="002E3AA9">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2E3AA9" w:rsidRPr="0043547B" w:rsidRDefault="002E3AA9" w:rsidP="002E3AA9">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21003-5</w:t>
            </w:r>
          </w:p>
        </w:tc>
      </w:tr>
      <w:tr w:rsidR="002E3AA9" w:rsidRPr="0043547B" w:rsidTr="00CB5DC0">
        <w:trPr>
          <w:trHeight w:val="432"/>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2E3AA9" w:rsidRPr="0043547B" w:rsidRDefault="002E3AA9" w:rsidP="002E3AA9">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2E3AA9" w:rsidRPr="0043547B" w:rsidRDefault="002E3AA9" w:rsidP="002E3AA9">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Systèmes de canalisations multicouches pour installations d'eau chaude et froide à l'intérieur des bâtiments - Partie 5 : aptitude à l'emploi du système</w:t>
            </w:r>
          </w:p>
        </w:tc>
      </w:tr>
      <w:tr w:rsidR="002E3AA9" w:rsidRPr="0043547B" w:rsidTr="00CB5DC0">
        <w:trPr>
          <w:trHeight w:val="173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2E3AA9" w:rsidRPr="0043547B" w:rsidRDefault="002E3AA9" w:rsidP="002E3AA9">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2E3AA9" w:rsidRPr="0043547B" w:rsidRDefault="002E3AA9" w:rsidP="002E3AA9">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caractéristiques d'aptitude à l'emploi des canalisations multicouches destinés aux installations d'eau chaude et froide à l'intérieur des bâtiments pour le transport de l'eau, destinée ou non à la consommation humaine (systèmes domestiques) et aux installations de chauffage, à des pressions et des températures correspondant à la classe d'application. Elle spécifie aussi les paramètres d'essai pour les méthodes d'essai auxquelles il est fait référence.</w:t>
            </w:r>
          </w:p>
        </w:tc>
      </w:tr>
      <w:tr w:rsidR="002E3AA9" w:rsidRPr="0043547B" w:rsidTr="00CB5DC0">
        <w:trPr>
          <w:trHeight w:val="23"/>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2E3AA9" w:rsidRPr="0043547B" w:rsidRDefault="002E3AA9" w:rsidP="00BD3BD1">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nil"/>
              <w:left w:val="single" w:sz="4" w:space="0" w:color="auto"/>
              <w:bottom w:val="single" w:sz="18" w:space="0" w:color="auto"/>
              <w:right w:val="single" w:sz="18" w:space="0" w:color="auto"/>
            </w:tcBorders>
            <w:shd w:val="clear" w:color="auto" w:fill="C2D69B" w:themeFill="accent3" w:themeFillTint="99"/>
            <w:vAlign w:val="center"/>
          </w:tcPr>
          <w:p w:rsidR="002E3AA9" w:rsidRPr="00BD3BD1" w:rsidRDefault="002E3AA9" w:rsidP="00BD3BD1">
            <w:pPr>
              <w:spacing w:after="0" w:line="240" w:lineRule="auto"/>
              <w:jc w:val="center"/>
              <w:rPr>
                <w:rFonts w:cstheme="minorHAnsi"/>
                <w:b/>
                <w:bCs/>
                <w:sz w:val="24"/>
                <w:szCs w:val="24"/>
              </w:rPr>
            </w:pPr>
            <w:r w:rsidRPr="00BD3BD1">
              <w:rPr>
                <w:rFonts w:cstheme="minorHAnsi"/>
                <w:b/>
                <w:bCs/>
                <w:sz w:val="24"/>
                <w:szCs w:val="24"/>
              </w:rPr>
              <w:t>NM ISO 727-1</w:t>
            </w:r>
          </w:p>
        </w:tc>
      </w:tr>
      <w:tr w:rsidR="002E3AA9" w:rsidRPr="0043547B" w:rsidTr="00BD3BD1">
        <w:trPr>
          <w:trHeight w:val="23"/>
          <w:jc w:val="center"/>
        </w:trPr>
        <w:tc>
          <w:tcPr>
            <w:tcW w:w="1838" w:type="dxa"/>
            <w:tcBorders>
              <w:top w:val="single" w:sz="18" w:space="0" w:color="auto"/>
              <w:left w:val="single" w:sz="18" w:space="0" w:color="auto"/>
              <w:bottom w:val="single" w:sz="4" w:space="0" w:color="auto"/>
              <w:right w:val="single" w:sz="4" w:space="0" w:color="auto"/>
            </w:tcBorders>
            <w:shd w:val="clear" w:color="auto" w:fill="FDFBA9"/>
            <w:vAlign w:val="center"/>
          </w:tcPr>
          <w:p w:rsidR="002E3AA9" w:rsidRPr="0043547B" w:rsidRDefault="002E3AA9" w:rsidP="00BD3BD1">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DFBA9"/>
            <w:vAlign w:val="bottom"/>
          </w:tcPr>
          <w:p w:rsidR="002E3AA9" w:rsidRPr="00BD3BD1" w:rsidRDefault="002E3AA9" w:rsidP="00BD3BD1">
            <w:pPr>
              <w:spacing w:after="0" w:line="240" w:lineRule="auto"/>
              <w:jc w:val="center"/>
              <w:rPr>
                <w:rFonts w:cstheme="minorHAnsi"/>
                <w:b/>
                <w:bCs/>
                <w:sz w:val="24"/>
                <w:szCs w:val="24"/>
              </w:rPr>
            </w:pPr>
            <w:r w:rsidRPr="00BD3BD1">
              <w:rPr>
                <w:rFonts w:cstheme="minorHAnsi"/>
                <w:b/>
                <w:bCs/>
                <w:sz w:val="24"/>
                <w:szCs w:val="24"/>
              </w:rPr>
              <w:t>ISO 727-1</w:t>
            </w:r>
          </w:p>
        </w:tc>
      </w:tr>
      <w:tr w:rsidR="002E3AA9" w:rsidRPr="0043547B" w:rsidTr="00BD3BD1">
        <w:trPr>
          <w:trHeight w:val="938"/>
          <w:jc w:val="center"/>
        </w:trPr>
        <w:tc>
          <w:tcPr>
            <w:tcW w:w="1838" w:type="dxa"/>
            <w:tcBorders>
              <w:top w:val="single" w:sz="4" w:space="0" w:color="auto"/>
              <w:left w:val="single" w:sz="18" w:space="0" w:color="auto"/>
              <w:bottom w:val="single" w:sz="4" w:space="0" w:color="auto"/>
              <w:right w:val="single" w:sz="4" w:space="0" w:color="auto"/>
            </w:tcBorders>
            <w:shd w:val="clear" w:color="auto" w:fill="95B3D7" w:themeFill="accent1" w:themeFillTint="99"/>
            <w:vAlign w:val="center"/>
          </w:tcPr>
          <w:p w:rsidR="002E3AA9" w:rsidRPr="0043547B" w:rsidRDefault="002E3AA9" w:rsidP="00BD3BD1">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auto"/>
          </w:tcPr>
          <w:p w:rsidR="002E3AA9" w:rsidRPr="0043547B" w:rsidRDefault="002E3AA9" w:rsidP="00BD3BD1">
            <w:pPr>
              <w:spacing w:after="0" w:line="240" w:lineRule="auto"/>
              <w:jc w:val="both"/>
              <w:rPr>
                <w:rFonts w:cstheme="minorHAnsi"/>
                <w:sz w:val="24"/>
                <w:szCs w:val="24"/>
              </w:rPr>
            </w:pPr>
            <w:r w:rsidRPr="0043547B">
              <w:rPr>
                <w:rFonts w:cstheme="minorHAnsi"/>
                <w:sz w:val="24"/>
                <w:szCs w:val="24"/>
              </w:rPr>
              <w:t xml:space="preserve">Raccords en poly(chlorure de vinyle) non plastifié (PVC-U), en poly(chlorure de vinyle) chloré (PVC-C) ou en acrylonitrile/butadiène/styrène (ABS), à emboîtements lisses pour tubes sous pression - Partie 1: Série métrique ; </w:t>
            </w:r>
          </w:p>
        </w:tc>
      </w:tr>
      <w:tr w:rsidR="002E3AA9" w:rsidRPr="0043547B" w:rsidTr="00E70D5B">
        <w:trPr>
          <w:trHeight w:val="843"/>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2E3AA9" w:rsidRPr="0043547B" w:rsidRDefault="002E3AA9" w:rsidP="00BD3BD1">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tcPr>
          <w:p w:rsidR="00BD3BD1" w:rsidRDefault="002E3AA9" w:rsidP="00BD3BD1">
            <w:pPr>
              <w:spacing w:after="0" w:line="240" w:lineRule="auto"/>
              <w:jc w:val="both"/>
              <w:rPr>
                <w:rFonts w:cstheme="minorHAnsi"/>
                <w:sz w:val="24"/>
                <w:szCs w:val="24"/>
              </w:rPr>
            </w:pPr>
            <w:r w:rsidRPr="0043547B">
              <w:rPr>
                <w:rFonts w:cstheme="minorHAnsi"/>
                <w:sz w:val="24"/>
                <w:szCs w:val="24"/>
              </w:rPr>
              <w:t>La présente partie de l'ISO 727 spécifie les dimensions des emboîtements lisses (cylindriques et coniques) de raccords en poly(chlorure de vinyle) non plastifié (PVC-U), en poly(chlorure de vinyle) chloré (PVC-C) ou en</w:t>
            </w:r>
            <w:r w:rsidR="000906B1">
              <w:rPr>
                <w:rFonts w:cstheme="minorHAnsi"/>
                <w:sz w:val="24"/>
                <w:szCs w:val="24"/>
              </w:rPr>
              <w:t xml:space="preserve"> </w:t>
            </w:r>
            <w:r w:rsidRPr="0043547B">
              <w:rPr>
                <w:rFonts w:cstheme="minorHAnsi"/>
                <w:sz w:val="24"/>
                <w:szCs w:val="24"/>
              </w:rPr>
              <w:t>acrylonitrile/</w:t>
            </w:r>
            <w:r w:rsidR="00BD3BD1">
              <w:rPr>
                <w:rFonts w:cstheme="minorHAnsi"/>
                <w:sz w:val="24"/>
                <w:szCs w:val="24"/>
              </w:rPr>
              <w:t xml:space="preserve"> </w:t>
            </w:r>
            <w:r w:rsidRPr="0043547B">
              <w:rPr>
                <w:rFonts w:cstheme="minorHAnsi"/>
                <w:sz w:val="24"/>
                <w:szCs w:val="24"/>
              </w:rPr>
              <w:t>butadiène/styrène (ABS), destinés à être assemblés par collage par solvant aux tubes sous pression en</w:t>
            </w:r>
            <w:r w:rsidR="000906B1">
              <w:rPr>
                <w:rFonts w:cstheme="minorHAnsi"/>
                <w:sz w:val="24"/>
                <w:szCs w:val="24"/>
              </w:rPr>
              <w:t xml:space="preserve"> </w:t>
            </w:r>
            <w:r w:rsidRPr="0043547B">
              <w:rPr>
                <w:rFonts w:cstheme="minorHAnsi"/>
                <w:sz w:val="24"/>
                <w:szCs w:val="24"/>
              </w:rPr>
              <w:t>matières correspondantes. Cet assemblage n'exige aucun accrochage mécanique.</w:t>
            </w:r>
          </w:p>
          <w:p w:rsidR="002E3AA9" w:rsidRPr="00BD3BD1" w:rsidRDefault="002E3AA9" w:rsidP="00BD3BD1">
            <w:pPr>
              <w:spacing w:after="0" w:line="240" w:lineRule="auto"/>
              <w:jc w:val="both"/>
              <w:rPr>
                <w:rFonts w:cstheme="minorHAnsi"/>
                <w:i/>
                <w:iCs/>
                <w:sz w:val="24"/>
                <w:szCs w:val="24"/>
              </w:rPr>
            </w:pPr>
            <w:r w:rsidRPr="00BD3BD1">
              <w:rPr>
                <w:rFonts w:cstheme="minorHAnsi"/>
                <w:b/>
                <w:bCs/>
                <w:i/>
                <w:iCs/>
              </w:rPr>
              <w:lastRenderedPageBreak/>
              <w:t>NOTE</w:t>
            </w:r>
            <w:r w:rsidR="00BD3BD1" w:rsidRPr="00BD3BD1">
              <w:rPr>
                <w:rFonts w:cstheme="minorHAnsi"/>
                <w:b/>
                <w:bCs/>
                <w:i/>
                <w:iCs/>
              </w:rPr>
              <w:t> :</w:t>
            </w:r>
            <w:r w:rsidR="00BD3BD1" w:rsidRPr="00BD3BD1">
              <w:rPr>
                <w:rFonts w:cstheme="minorHAnsi"/>
                <w:i/>
                <w:iCs/>
              </w:rPr>
              <w:t xml:space="preserve"> </w:t>
            </w:r>
            <w:r w:rsidRPr="00BD3BD1">
              <w:rPr>
                <w:rFonts w:cstheme="minorHAnsi"/>
                <w:i/>
                <w:iCs/>
              </w:rPr>
              <w:t>Il est fortement recommandé de solliciter l'avis du fabricant de raccords pour sélectionner un type approprié de solvant, selon que des raccords de type cylindrique ou conique sont utilisés pour une installation particulière.</w:t>
            </w:r>
          </w:p>
        </w:tc>
      </w:tr>
      <w:tr w:rsidR="002E3AA9" w:rsidRPr="0043547B" w:rsidTr="00CB5DC0">
        <w:trPr>
          <w:trHeight w:val="23"/>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2E3AA9" w:rsidRPr="0043547B" w:rsidRDefault="002E3AA9" w:rsidP="00BD3BD1">
            <w:pPr>
              <w:spacing w:after="0" w:line="240" w:lineRule="auto"/>
              <w:jc w:val="center"/>
              <w:rPr>
                <w:rFonts w:cstheme="minorHAnsi"/>
                <w:b/>
                <w:bCs/>
                <w:sz w:val="24"/>
                <w:szCs w:val="24"/>
              </w:rPr>
            </w:pPr>
            <w:r w:rsidRPr="0043547B">
              <w:rPr>
                <w:rFonts w:cstheme="minorHAnsi"/>
                <w:b/>
                <w:bCs/>
                <w:sz w:val="24"/>
                <w:szCs w:val="24"/>
              </w:rPr>
              <w:lastRenderedPageBreak/>
              <w:t>Code :</w:t>
            </w:r>
          </w:p>
        </w:tc>
        <w:tc>
          <w:tcPr>
            <w:tcW w:w="7938" w:type="dxa"/>
            <w:tcBorders>
              <w:top w:val="nil"/>
              <w:left w:val="single" w:sz="4" w:space="0" w:color="auto"/>
              <w:bottom w:val="single" w:sz="18" w:space="0" w:color="auto"/>
              <w:right w:val="single" w:sz="18" w:space="0" w:color="auto"/>
            </w:tcBorders>
            <w:shd w:val="clear" w:color="auto" w:fill="C2D69B" w:themeFill="accent3" w:themeFillTint="99"/>
            <w:vAlign w:val="center"/>
          </w:tcPr>
          <w:p w:rsidR="002E3AA9" w:rsidRPr="00BD3BD1" w:rsidRDefault="002E3AA9" w:rsidP="00BD3BD1">
            <w:pPr>
              <w:spacing w:after="0" w:line="240" w:lineRule="auto"/>
              <w:jc w:val="center"/>
              <w:rPr>
                <w:rFonts w:cstheme="minorHAnsi"/>
                <w:b/>
                <w:bCs/>
                <w:sz w:val="24"/>
                <w:szCs w:val="24"/>
              </w:rPr>
            </w:pPr>
            <w:r w:rsidRPr="00BD3BD1">
              <w:rPr>
                <w:rFonts w:cstheme="minorHAnsi"/>
                <w:b/>
                <w:bCs/>
                <w:sz w:val="24"/>
                <w:szCs w:val="24"/>
              </w:rPr>
              <w:t>NM ISO 727-2</w:t>
            </w:r>
          </w:p>
        </w:tc>
      </w:tr>
      <w:tr w:rsidR="002E3AA9" w:rsidRPr="0043547B" w:rsidTr="00BD3BD1">
        <w:trPr>
          <w:trHeight w:val="23"/>
          <w:jc w:val="center"/>
        </w:trPr>
        <w:tc>
          <w:tcPr>
            <w:tcW w:w="1838" w:type="dxa"/>
            <w:tcBorders>
              <w:top w:val="single" w:sz="18" w:space="0" w:color="auto"/>
              <w:left w:val="single" w:sz="18" w:space="0" w:color="auto"/>
              <w:bottom w:val="single" w:sz="4" w:space="0" w:color="auto"/>
              <w:right w:val="single" w:sz="4" w:space="0" w:color="auto"/>
            </w:tcBorders>
            <w:shd w:val="clear" w:color="auto" w:fill="FDFBA9"/>
            <w:vAlign w:val="center"/>
          </w:tcPr>
          <w:p w:rsidR="002E3AA9" w:rsidRPr="0043547B" w:rsidRDefault="002E3AA9" w:rsidP="00BD3BD1">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DFBA9"/>
            <w:vAlign w:val="bottom"/>
          </w:tcPr>
          <w:p w:rsidR="002E3AA9" w:rsidRPr="00BD3BD1" w:rsidRDefault="002E3AA9" w:rsidP="00BD3BD1">
            <w:pPr>
              <w:spacing w:after="0" w:line="240" w:lineRule="auto"/>
              <w:jc w:val="center"/>
              <w:rPr>
                <w:rFonts w:cstheme="minorHAnsi"/>
                <w:b/>
                <w:bCs/>
                <w:sz w:val="24"/>
                <w:szCs w:val="24"/>
              </w:rPr>
            </w:pPr>
            <w:r w:rsidRPr="00BD3BD1">
              <w:rPr>
                <w:rFonts w:cstheme="minorHAnsi"/>
                <w:b/>
                <w:bCs/>
                <w:sz w:val="24"/>
                <w:szCs w:val="24"/>
              </w:rPr>
              <w:t>ISO 727-2</w:t>
            </w:r>
          </w:p>
        </w:tc>
      </w:tr>
      <w:tr w:rsidR="002E3AA9" w:rsidRPr="0043547B" w:rsidTr="00BD3BD1">
        <w:trPr>
          <w:trHeight w:val="1033"/>
          <w:jc w:val="center"/>
        </w:trPr>
        <w:tc>
          <w:tcPr>
            <w:tcW w:w="1838" w:type="dxa"/>
            <w:tcBorders>
              <w:top w:val="single" w:sz="4" w:space="0" w:color="auto"/>
              <w:left w:val="single" w:sz="18" w:space="0" w:color="auto"/>
              <w:bottom w:val="single" w:sz="4" w:space="0" w:color="auto"/>
              <w:right w:val="single" w:sz="4" w:space="0" w:color="auto"/>
            </w:tcBorders>
            <w:shd w:val="clear" w:color="auto" w:fill="95B3D7" w:themeFill="accent1" w:themeFillTint="99"/>
            <w:vAlign w:val="center"/>
          </w:tcPr>
          <w:p w:rsidR="002E3AA9" w:rsidRPr="0043547B" w:rsidRDefault="002E3AA9" w:rsidP="00BD3BD1">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auto"/>
            <w:vAlign w:val="center"/>
          </w:tcPr>
          <w:p w:rsidR="002E3AA9" w:rsidRPr="0043547B" w:rsidRDefault="002E3AA9" w:rsidP="00BD3BD1">
            <w:pPr>
              <w:spacing w:after="0" w:line="240" w:lineRule="auto"/>
              <w:jc w:val="both"/>
              <w:rPr>
                <w:rFonts w:cstheme="minorHAnsi"/>
                <w:sz w:val="24"/>
                <w:szCs w:val="24"/>
              </w:rPr>
            </w:pPr>
            <w:r w:rsidRPr="0043547B">
              <w:rPr>
                <w:rFonts w:cstheme="minorHAnsi"/>
                <w:sz w:val="24"/>
                <w:szCs w:val="24"/>
              </w:rPr>
              <w:t xml:space="preserve">Raccords en poly(chlorure de vinyle) non plastifié (PVC-U), en poly(chlorure de vinyle) chloré (PVC-C) ou en acrylonitrile/butadiène/styrène (ABS), à emboîtements lisses pour tubes sous pression - Partie 2: Série basée sur les inches ; (IC 05.6.035) </w:t>
            </w:r>
          </w:p>
        </w:tc>
      </w:tr>
      <w:tr w:rsidR="002E3AA9" w:rsidRPr="0043547B" w:rsidTr="00CB5DC0">
        <w:trPr>
          <w:trHeight w:val="1730"/>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2E3AA9" w:rsidRPr="0043547B" w:rsidRDefault="002E3AA9" w:rsidP="00BD3BD1">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tcPr>
          <w:p w:rsidR="002E3AA9" w:rsidRPr="0043547B" w:rsidRDefault="002E3AA9" w:rsidP="00BD3BD1">
            <w:pPr>
              <w:spacing w:after="0" w:line="240" w:lineRule="auto"/>
              <w:jc w:val="both"/>
              <w:rPr>
                <w:rFonts w:cstheme="minorHAnsi"/>
                <w:sz w:val="24"/>
                <w:szCs w:val="24"/>
              </w:rPr>
            </w:pPr>
            <w:r w:rsidRPr="0043547B">
              <w:rPr>
                <w:rFonts w:cstheme="minorHAnsi"/>
                <w:sz w:val="24"/>
                <w:szCs w:val="24"/>
              </w:rPr>
              <w:t>La présente partie de l'ISO 727 spécifie les dimensions, en millimètres, des emboîtements lisses (cylindriques et coniques), basées sur la série de tubes en inches, de raccords en poly(chlorure de vinyle) non plastifié (PVC-U), en poly(chlorure de vinyle) chloré (PVC-C) ou en acrylonitrile/butadiène/styrène (ABS), destinés à être assemblés par collage par solvant aux tubes sous pression en matières correspondantes. Cet assemblage n'exige aucun accrochage mécanique.</w:t>
            </w:r>
          </w:p>
        </w:tc>
      </w:tr>
      <w:tr w:rsidR="002E3AA9" w:rsidRPr="0043547B" w:rsidTr="00CB5DC0">
        <w:trPr>
          <w:trHeight w:val="70"/>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tcPr>
          <w:p w:rsidR="002E3AA9" w:rsidRPr="0043547B" w:rsidRDefault="002E3AA9" w:rsidP="002E3AA9">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tcPr>
          <w:p w:rsidR="002E3AA9" w:rsidRPr="0043547B" w:rsidRDefault="002E3AA9" w:rsidP="002E3AA9">
            <w:pPr>
              <w:spacing w:after="0" w:line="240" w:lineRule="auto"/>
              <w:jc w:val="center"/>
              <w:rPr>
                <w:rFonts w:cstheme="minorHAnsi"/>
                <w:sz w:val="24"/>
                <w:szCs w:val="24"/>
              </w:rPr>
            </w:pPr>
            <w:r w:rsidRPr="0043547B">
              <w:rPr>
                <w:rFonts w:eastAsia="Times New Roman" w:cstheme="minorHAnsi"/>
                <w:b/>
                <w:bCs/>
                <w:sz w:val="24"/>
                <w:szCs w:val="24"/>
                <w:lang w:eastAsia="fr-FR"/>
              </w:rPr>
              <w:t>NM 10.1.026</w:t>
            </w:r>
          </w:p>
        </w:tc>
      </w:tr>
      <w:tr w:rsidR="002E3AA9" w:rsidRPr="0043547B" w:rsidTr="00CB5DC0">
        <w:trPr>
          <w:trHeight w:val="70"/>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tcPr>
          <w:p w:rsidR="002E3AA9" w:rsidRPr="0043547B" w:rsidRDefault="002E3AA9" w:rsidP="002E3AA9">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tcPr>
          <w:p w:rsidR="002E3AA9" w:rsidRPr="0043547B" w:rsidRDefault="002E3AA9" w:rsidP="002E3AA9">
            <w:pPr>
              <w:spacing w:after="0"/>
              <w:jc w:val="both"/>
              <w:rPr>
                <w:rFonts w:cstheme="minorHAnsi"/>
                <w:sz w:val="24"/>
                <w:szCs w:val="24"/>
              </w:rPr>
            </w:pPr>
            <w:r w:rsidRPr="0043547B">
              <w:rPr>
                <w:rFonts w:cstheme="minorHAnsi"/>
                <w:sz w:val="24"/>
                <w:szCs w:val="24"/>
              </w:rPr>
              <w:t xml:space="preserve">Tuyaux et joints en amiante - Ciment pour canalisation avec pression </w:t>
            </w:r>
          </w:p>
        </w:tc>
      </w:tr>
      <w:tr w:rsidR="002E3AA9" w:rsidRPr="0043547B" w:rsidTr="00CB5DC0">
        <w:trPr>
          <w:trHeight w:val="828"/>
          <w:jc w:val="center"/>
        </w:trPr>
        <w:tc>
          <w:tcPr>
            <w:tcW w:w="1838" w:type="dxa"/>
            <w:tcBorders>
              <w:top w:val="nil"/>
              <w:left w:val="single" w:sz="18" w:space="0" w:color="auto"/>
              <w:bottom w:val="single" w:sz="18" w:space="0" w:color="auto"/>
              <w:right w:val="single" w:sz="4" w:space="0" w:color="auto"/>
            </w:tcBorders>
            <w:shd w:val="clear" w:color="000000" w:fill="D9D9D9"/>
            <w:vAlign w:val="center"/>
          </w:tcPr>
          <w:p w:rsidR="002E3AA9" w:rsidRPr="0043547B" w:rsidRDefault="002E3AA9" w:rsidP="002E3AA9">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tcPr>
          <w:p w:rsidR="002E3AA9" w:rsidRPr="0043547B" w:rsidRDefault="002E3AA9" w:rsidP="002E3AA9">
            <w:pPr>
              <w:spacing w:after="0" w:line="240" w:lineRule="auto"/>
              <w:jc w:val="both"/>
              <w:rPr>
                <w:rFonts w:cstheme="minorHAnsi"/>
                <w:w w:val="98"/>
                <w:sz w:val="24"/>
                <w:szCs w:val="24"/>
              </w:rPr>
            </w:pPr>
            <w:r w:rsidRPr="0043547B">
              <w:rPr>
                <w:rFonts w:cstheme="minorHAnsi"/>
                <w:w w:val="98"/>
                <w:sz w:val="24"/>
                <w:szCs w:val="24"/>
              </w:rPr>
              <w:t>La présente s'applique aux tuyaux en Amiante-Ciment et aux joints utilisés dans les canalisations avec pression. Elle définit certaines conditions de fabrication, la classification, les caractéristiques et les épreuves de réception applicables à ces produits.</w:t>
            </w:r>
          </w:p>
        </w:tc>
      </w:tr>
      <w:tr w:rsidR="002E3AA9" w:rsidRPr="0043547B" w:rsidTr="00CB5DC0">
        <w:trPr>
          <w:trHeight w:val="300"/>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2E3AA9" w:rsidRPr="0043547B" w:rsidRDefault="002E3AA9" w:rsidP="002E3AA9">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2E3AA9" w:rsidRPr="0043547B" w:rsidRDefault="002E3AA9" w:rsidP="002E3AA9">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01.4.033</w:t>
            </w:r>
          </w:p>
        </w:tc>
      </w:tr>
      <w:tr w:rsidR="002E3AA9" w:rsidRPr="0043547B" w:rsidTr="00CB5DC0">
        <w:trPr>
          <w:trHeight w:val="300"/>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2E3AA9" w:rsidRPr="0043547B" w:rsidRDefault="002E3AA9" w:rsidP="002E3AA9">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FFFFFF" w:themeFill="background1"/>
            <w:vAlign w:val="center"/>
            <w:hideMark/>
          </w:tcPr>
          <w:p w:rsidR="002E3AA9" w:rsidRPr="0043547B" w:rsidRDefault="002E3AA9" w:rsidP="002E3AA9">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Tubes en acier - Conditions techniques générales de livraison</w:t>
            </w:r>
          </w:p>
        </w:tc>
      </w:tr>
      <w:tr w:rsidR="002E3AA9" w:rsidRPr="0043547B" w:rsidTr="00CB5DC0">
        <w:trPr>
          <w:trHeight w:val="1006"/>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2E3AA9" w:rsidRPr="0043547B" w:rsidRDefault="002E3AA9" w:rsidP="002E3AA9">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FFFFFF" w:themeFill="background1"/>
            <w:vAlign w:val="center"/>
            <w:hideMark/>
          </w:tcPr>
          <w:p w:rsidR="002E3AA9" w:rsidRPr="0043547B" w:rsidRDefault="002E3AA9" w:rsidP="002E3AA9">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La norme traite des conditions techniques générales à appliquer par le fournisseur et l’acheteur lors de leurs transactions en vue de la livraison de tubes et d’accessoires tubulaires en acier. </w:t>
            </w:r>
          </w:p>
        </w:tc>
      </w:tr>
      <w:tr w:rsidR="002E3AA9" w:rsidRPr="0043547B" w:rsidTr="00CB5DC0">
        <w:trPr>
          <w:trHeight w:val="300"/>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2E3AA9" w:rsidRPr="0043547B" w:rsidRDefault="002E3AA9" w:rsidP="002E3AA9">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2E3AA9" w:rsidRPr="0043547B" w:rsidRDefault="002E3AA9" w:rsidP="002E3AA9">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10312</w:t>
            </w:r>
          </w:p>
        </w:tc>
      </w:tr>
      <w:tr w:rsidR="002E3AA9" w:rsidRPr="0043547B" w:rsidTr="00CB5DC0">
        <w:trPr>
          <w:trHeight w:val="300"/>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2E3AA9" w:rsidRPr="0043547B" w:rsidRDefault="002E3AA9" w:rsidP="002E3AA9">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2E3AA9" w:rsidRPr="0043547B" w:rsidRDefault="002E3AA9" w:rsidP="002E3AA9">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10312 - A1</w:t>
            </w:r>
          </w:p>
        </w:tc>
      </w:tr>
      <w:tr w:rsidR="002E3AA9" w:rsidRPr="0043547B" w:rsidTr="00CB5DC0">
        <w:trPr>
          <w:trHeight w:val="6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2E3AA9" w:rsidRPr="0043547B" w:rsidRDefault="002E3AA9" w:rsidP="002E3AA9">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2E3AA9" w:rsidRPr="0043547B" w:rsidRDefault="002E3AA9" w:rsidP="002E3AA9">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Tubes soudés en acier inoxydable pour le transport d'eau et d'autres liquides aqueux - Conditions techniques de livraison </w:t>
            </w:r>
          </w:p>
        </w:tc>
      </w:tr>
      <w:tr w:rsidR="002E3AA9" w:rsidRPr="0043547B" w:rsidTr="00CB5DC0">
        <w:trPr>
          <w:trHeight w:val="559"/>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2E3AA9" w:rsidRPr="0043547B" w:rsidRDefault="002E3AA9" w:rsidP="002E3AA9">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2E3AA9" w:rsidRPr="0043547B" w:rsidRDefault="002E3AA9" w:rsidP="00AF30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conditions techniques de livraison de tubes en acier inoxydable</w:t>
            </w:r>
            <w:r w:rsidR="00AF3052">
              <w:rPr>
                <w:rFonts w:eastAsia="Times New Roman" w:cstheme="minorHAnsi"/>
                <w:sz w:val="24"/>
                <w:szCs w:val="24"/>
                <w:lang w:eastAsia="fr-FR"/>
              </w:rPr>
              <w:t xml:space="preserve"> </w:t>
            </w:r>
            <w:r w:rsidRPr="0043547B">
              <w:rPr>
                <w:rFonts w:eastAsia="Times New Roman" w:cstheme="minorHAnsi"/>
                <w:sz w:val="24"/>
                <w:szCs w:val="24"/>
                <w:lang w:eastAsia="fr-FR"/>
              </w:rPr>
              <w:t>soudés de faible épaisseur, utilisés principalement pour le transport de l'eau, y compris l'eau destinée à la consommation humaine, fournis en longueurs droites et appropriés pour une utilisation avec des raccords à compression ou des raccords par emmanchement ou pour un raccordement par collage, brasage à l’argent ou</w:t>
            </w:r>
            <w:r w:rsidR="00AF3052">
              <w:rPr>
                <w:rFonts w:eastAsia="Times New Roman" w:cstheme="minorHAnsi"/>
                <w:sz w:val="24"/>
                <w:szCs w:val="24"/>
                <w:lang w:eastAsia="fr-FR"/>
              </w:rPr>
              <w:t xml:space="preserve"> </w:t>
            </w:r>
            <w:r w:rsidRPr="0043547B">
              <w:rPr>
                <w:rFonts w:eastAsia="Times New Roman" w:cstheme="minorHAnsi"/>
                <w:sz w:val="24"/>
                <w:szCs w:val="24"/>
                <w:lang w:eastAsia="fr-FR"/>
              </w:rPr>
              <w:t>soudage sous gaz inerte de raccords capillaires. La norme est applicable à la gamme de diamètres extérieurs compris entre 6 mm et 267 mm, pour des nuances d'acier inoxydable de l'EN 10088-2 (à l’exception des aciers martensitiques et à durcissement par précipitation).</w:t>
            </w:r>
          </w:p>
        </w:tc>
      </w:tr>
      <w:tr w:rsidR="002E3AA9" w:rsidRPr="0043547B" w:rsidTr="00CB5DC0">
        <w:trPr>
          <w:trHeight w:val="300"/>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2E3AA9" w:rsidRPr="0043547B" w:rsidRDefault="002E3AA9" w:rsidP="002E3AA9">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2E3AA9" w:rsidRPr="0043547B" w:rsidRDefault="002E3AA9" w:rsidP="002E3AA9">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01.4.189</w:t>
            </w:r>
          </w:p>
        </w:tc>
      </w:tr>
      <w:tr w:rsidR="002E3AA9" w:rsidRPr="0043547B" w:rsidTr="00CB5DC0">
        <w:trPr>
          <w:trHeight w:val="95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2E3AA9" w:rsidRPr="0043547B" w:rsidRDefault="002E3AA9" w:rsidP="002E3AA9">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2E3AA9" w:rsidRPr="0043547B" w:rsidRDefault="002E3AA9" w:rsidP="002E3AA9">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Tubes en acier - Tubes soudés longitudinalement par pression à extrémités lisses finis à chaud - Diamètres 13.5 à 168.3 mm avec caractéristiques garanties à température ambiante et conditions particulières de livraison - Dimensions - Conditions techniques de livraison</w:t>
            </w:r>
          </w:p>
        </w:tc>
      </w:tr>
      <w:tr w:rsidR="002E3AA9" w:rsidRPr="0043547B" w:rsidTr="00CB5DC0">
        <w:trPr>
          <w:trHeight w:val="711"/>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2E3AA9" w:rsidRPr="0043547B" w:rsidRDefault="002E3AA9" w:rsidP="002E3AA9">
            <w:pPr>
              <w:spacing w:after="0"/>
              <w:jc w:val="center"/>
              <w:rPr>
                <w:rFonts w:cstheme="minorHAnsi"/>
                <w:b/>
                <w:bCs/>
                <w:sz w:val="24"/>
                <w:szCs w:val="24"/>
              </w:rPr>
            </w:pPr>
            <w:r w:rsidRPr="0043547B">
              <w:rPr>
                <w:rFonts w:cstheme="minorHAnsi"/>
                <w:b/>
                <w:bCs/>
                <w:sz w:val="24"/>
                <w:szCs w:val="24"/>
              </w:rPr>
              <w:lastRenderedPageBreak/>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2E3AA9" w:rsidRPr="0043547B" w:rsidRDefault="002E3AA9" w:rsidP="002E3AA9">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concerne des tubes soudés longitudinalement par pression de</w:t>
            </w:r>
            <w:r w:rsidRPr="0043547B">
              <w:rPr>
                <w:rFonts w:eastAsia="Times New Roman" w:cstheme="minorHAnsi"/>
                <w:sz w:val="24"/>
                <w:szCs w:val="24"/>
                <w:lang w:eastAsia="fr-FR"/>
              </w:rPr>
              <w:br/>
              <w:t>section circulaire, à extrémités lisses, en acier non allié, livrés bruts de fabrication à chaud ou traités thermiquement.</w:t>
            </w:r>
          </w:p>
          <w:p w:rsidR="002E3AA9" w:rsidRPr="0043547B" w:rsidRDefault="002E3AA9" w:rsidP="002E3AA9">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conditions techniques générales de livraison et les documents de contrôle associés à ces tubes sont définis par les normes NM 01.4.033 et NM 01.4.034.</w:t>
            </w:r>
          </w:p>
        </w:tc>
      </w:tr>
      <w:tr w:rsidR="002E3AA9" w:rsidRPr="0043547B" w:rsidTr="00CB5DC0">
        <w:trPr>
          <w:trHeight w:val="300"/>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2E3AA9" w:rsidRPr="0043547B" w:rsidRDefault="002E3AA9" w:rsidP="002E3AA9">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2E3AA9" w:rsidRPr="0043547B" w:rsidRDefault="002E3AA9" w:rsidP="002E3AA9">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01.4.036</w:t>
            </w:r>
          </w:p>
        </w:tc>
      </w:tr>
      <w:tr w:rsidR="002E3AA9" w:rsidRPr="0043547B" w:rsidTr="00CB5DC0">
        <w:trPr>
          <w:trHeight w:val="400"/>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2E3AA9" w:rsidRPr="0043547B" w:rsidRDefault="002E3AA9" w:rsidP="002E3AA9">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hideMark/>
          </w:tcPr>
          <w:p w:rsidR="002E3AA9" w:rsidRPr="0043547B" w:rsidRDefault="002E3AA9" w:rsidP="002E3AA9">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Tubes en acier - Tubes soudés à extrémités lisses du commerce pour usages généraux à moyenne pression  </w:t>
            </w:r>
          </w:p>
        </w:tc>
      </w:tr>
      <w:tr w:rsidR="002E3AA9" w:rsidRPr="0043547B" w:rsidTr="00CB5DC0">
        <w:trPr>
          <w:trHeight w:val="1942"/>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2E3AA9" w:rsidRPr="0043547B" w:rsidRDefault="002E3AA9" w:rsidP="002E3AA9">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2E3AA9" w:rsidRPr="0043547B" w:rsidRDefault="002E3AA9" w:rsidP="002E3AA9">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concerne les tubes ronds, à extrémités lisses, soudés, pour usages</w:t>
            </w:r>
            <w:r w:rsidRPr="0043547B">
              <w:rPr>
                <w:rFonts w:eastAsia="Times New Roman" w:cstheme="minorHAnsi"/>
                <w:sz w:val="24"/>
                <w:szCs w:val="24"/>
                <w:lang w:eastAsia="fr-FR"/>
              </w:rPr>
              <w:br/>
              <w:t>généraux, en acier non allié, dans des diamètres extérieurs compris entre 26,9 mm et 168,3 mm. Ces tubes sont utilisés en moyenne pression pour le transport des fluides et les usages généraux.</w:t>
            </w:r>
          </w:p>
          <w:p w:rsidR="002E3AA9" w:rsidRPr="0043547B" w:rsidRDefault="002E3AA9" w:rsidP="002E3AA9">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En ce qui concerne les conditions techniques générales de livraison il y a lieu de se référer à la norme NM 01.4.033.</w:t>
            </w:r>
          </w:p>
        </w:tc>
      </w:tr>
      <w:tr w:rsidR="002E3AA9" w:rsidRPr="0043547B" w:rsidTr="00CB5DC0">
        <w:trPr>
          <w:trHeight w:val="300"/>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2E3AA9" w:rsidRPr="0043547B" w:rsidRDefault="002E3AA9" w:rsidP="002E3AA9">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2E3AA9" w:rsidRPr="0043547B" w:rsidRDefault="002E3AA9" w:rsidP="002E3AA9">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01.4.037</w:t>
            </w:r>
          </w:p>
        </w:tc>
      </w:tr>
      <w:tr w:rsidR="002E3AA9" w:rsidRPr="0043547B" w:rsidTr="00CB5DC0">
        <w:trPr>
          <w:trHeight w:val="600"/>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2E3AA9" w:rsidRPr="0043547B" w:rsidRDefault="002E3AA9" w:rsidP="002E3AA9">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hideMark/>
          </w:tcPr>
          <w:p w:rsidR="002E3AA9" w:rsidRPr="0043547B" w:rsidRDefault="002E3AA9" w:rsidP="002E3AA9">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Tubes en acier - Tubes soudés longitudinalement de 168,3 mm en acier non allies à extrémités lisses avec conditions particulières de livraison - Dimensions - Conditions techniques de livraison -</w:t>
            </w:r>
          </w:p>
        </w:tc>
      </w:tr>
      <w:tr w:rsidR="002E3AA9" w:rsidRPr="0043547B" w:rsidTr="00CB5DC0">
        <w:trPr>
          <w:trHeight w:val="7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2E3AA9" w:rsidRPr="0043547B" w:rsidRDefault="002E3AA9" w:rsidP="002E3AA9">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2E3AA9" w:rsidRPr="0043547B" w:rsidRDefault="002E3AA9" w:rsidP="002E3AA9">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concerne les tubes ronds, en acier non alliés, soudés longitudinalement de diamètre inférieur ou égal à 168,3 mm à extrémités lisses avec conditions particulières de livraison. Elle en fixe les dimensions, les masses linéiques, les caractéristiques chimiques, mécaniques et physiques.</w:t>
            </w:r>
          </w:p>
          <w:p w:rsidR="002E3AA9" w:rsidRPr="0043547B" w:rsidRDefault="002E3AA9" w:rsidP="002E3AA9">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Ces tubes sont destinés au transport des fluides et aux usages généraux.</w:t>
            </w:r>
          </w:p>
          <w:p w:rsidR="002E3AA9" w:rsidRPr="0043547B" w:rsidRDefault="002E3AA9" w:rsidP="002E3AA9">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En ce qui concerne les conditions techniques générales de livraison et les documents de contrôles il y a lieu de référer aux normes NM 01.4.033 et NM 01.4.034.</w:t>
            </w:r>
          </w:p>
          <w:p w:rsidR="002E3AA9" w:rsidRPr="0043547B" w:rsidRDefault="002E3AA9" w:rsidP="002E3AA9">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Pour les tubes destinés aux chaudières ainsi qu'aux tuyauteries et appareils à pression sortant des limites d'utilisation de La norme (dimension, pression et température), il convient de se reporter aux normes définissant ces produits.</w:t>
            </w:r>
          </w:p>
        </w:tc>
      </w:tr>
    </w:tbl>
    <w:p w:rsidR="002E5578" w:rsidRPr="0043547B" w:rsidRDefault="002E5578" w:rsidP="00904E52">
      <w:pPr>
        <w:rPr>
          <w:rFonts w:cstheme="minorHAnsi"/>
          <w:sz w:val="24"/>
          <w:szCs w:val="24"/>
        </w:rPr>
      </w:pPr>
    </w:p>
    <w:p w:rsidR="00904E52" w:rsidRPr="0043547B" w:rsidRDefault="00904E52" w:rsidP="006019E6">
      <w:pPr>
        <w:pStyle w:val="Titre4"/>
        <w:numPr>
          <w:ilvl w:val="2"/>
          <w:numId w:val="2"/>
        </w:numPr>
        <w:ind w:left="1418" w:hanging="579"/>
        <w:rPr>
          <w:rFonts w:cstheme="minorHAnsi"/>
          <w:b/>
          <w:bCs w:val="0"/>
          <w:iCs w:val="0"/>
          <w:color w:val="auto"/>
          <w:szCs w:val="24"/>
          <w:u w:val="single"/>
        </w:rPr>
      </w:pPr>
      <w:bookmarkStart w:id="31" w:name="_Toc458606088"/>
      <w:r w:rsidRPr="0043547B">
        <w:rPr>
          <w:rFonts w:cstheme="minorHAnsi"/>
          <w:b/>
          <w:bCs w:val="0"/>
          <w:iCs w:val="0"/>
          <w:color w:val="auto"/>
          <w:szCs w:val="24"/>
          <w:u w:val="single"/>
        </w:rPr>
        <w:t>Isolation thermique</w:t>
      </w:r>
      <w:bookmarkEnd w:id="31"/>
    </w:p>
    <w:tbl>
      <w:tblPr>
        <w:tblW w:w="9776" w:type="dxa"/>
        <w:jc w:val="center"/>
        <w:tblCellMar>
          <w:left w:w="70" w:type="dxa"/>
          <w:right w:w="70" w:type="dxa"/>
        </w:tblCellMar>
        <w:tblLook w:val="04A0" w:firstRow="1" w:lastRow="0" w:firstColumn="1" w:lastColumn="0" w:noHBand="0" w:noVBand="1"/>
      </w:tblPr>
      <w:tblGrid>
        <w:gridCol w:w="1838"/>
        <w:gridCol w:w="7938"/>
      </w:tblGrid>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19.7.003</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13163</w:t>
            </w:r>
          </w:p>
        </w:tc>
      </w:tr>
      <w:tr w:rsidR="0043547B" w:rsidRPr="0043547B" w:rsidTr="00CB5DC0">
        <w:trPr>
          <w:trHeight w:val="6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Produits isolants thermiques pour le bâtiment - Produits manufacturés en polystyrène expansé (EPS) – Spécifications </w:t>
            </w:r>
          </w:p>
        </w:tc>
      </w:tr>
      <w:tr w:rsidR="0043547B" w:rsidRPr="0043547B" w:rsidTr="00E70D5B">
        <w:trPr>
          <w:trHeight w:val="1627"/>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exigences auxquelles doivent satisfaire les produits manufacturés en polystyrène expansé, avec ou sans parements ou revêtements, utilisés pour l'isolation thermique des bâtiments.</w:t>
            </w:r>
          </w:p>
          <w:p w:rsidR="00904E52" w:rsidRDefault="00904E52" w:rsidP="00E70D5B">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produits sont fabriqués sous forme de panneaux ou de rouleaux ou toute autre présentation préformée.</w:t>
            </w:r>
          </w:p>
          <w:p w:rsidR="00E70D5B" w:rsidRPr="0043547B" w:rsidRDefault="00E70D5B" w:rsidP="00E70D5B">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décrit les caractéristiques du produit et inclut les procédures d'essai, d’évaluation de conformité, de marquage et d'étiquetage.</w:t>
            </w:r>
          </w:p>
          <w:p w:rsidR="00E70D5B" w:rsidRPr="0043547B" w:rsidRDefault="00E70D5B" w:rsidP="00E70D5B">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produits du domaine d'application de La norme sont également utilisés pour l’isolation acoustique dans des systèmes d'isolation thermique et des panneaux composites préfabriqués ; la performance des systèmes dans lesquels entrent ces produits n'est pas définis.</w:t>
            </w:r>
          </w:p>
          <w:p w:rsidR="00E70D5B" w:rsidRPr="0043547B" w:rsidRDefault="00E70D5B" w:rsidP="00E70D5B">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lastRenderedPageBreak/>
              <w:t>La norme ne spécifie pas, pour une propriété donnée, la classe ou le niveau que doit atteindre un produit pour démontrer son aptitude à l'emploi dans une application précise. Les classes et niveaux requis pour une application donnée figurent dans les réglementations ou normes non conflictuelles.</w:t>
            </w:r>
          </w:p>
          <w:p w:rsidR="00E70D5B" w:rsidRPr="0043547B" w:rsidRDefault="00E70D5B" w:rsidP="00E70D5B">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produits dont la résistance thermique déclarée à une température de 10 °C est inférieure à 0,25 m</w:t>
            </w:r>
            <w:r w:rsidRPr="0043547B">
              <w:rPr>
                <w:rFonts w:eastAsia="Times New Roman" w:cstheme="minorHAnsi"/>
                <w:sz w:val="24"/>
                <w:szCs w:val="24"/>
                <w:vertAlign w:val="superscript"/>
                <w:lang w:eastAsia="fr-FR"/>
              </w:rPr>
              <w:t>2</w:t>
            </w:r>
            <w:r w:rsidRPr="0043547B">
              <w:rPr>
                <w:rFonts w:eastAsia="Times New Roman" w:cstheme="minorHAnsi"/>
                <w:sz w:val="24"/>
                <w:szCs w:val="24"/>
                <w:lang w:eastAsia="fr-FR"/>
              </w:rPr>
              <w:t>.K/W ou dont la conductivité thermique déclarée à une température de 10 °C est supérieure à 0,060 W/(m</w:t>
            </w:r>
            <w:r w:rsidRPr="0043547B">
              <w:rPr>
                <w:rFonts w:ascii="Cambria Math" w:eastAsia="Times New Roman" w:hAnsi="Cambria Math" w:cs="Cambria Math"/>
                <w:sz w:val="24"/>
                <w:szCs w:val="24"/>
                <w:lang w:eastAsia="fr-FR"/>
              </w:rPr>
              <w:t>⋅</w:t>
            </w:r>
            <w:r w:rsidRPr="0043547B">
              <w:rPr>
                <w:rFonts w:eastAsia="Times New Roman" w:cstheme="minorHAnsi"/>
                <w:sz w:val="24"/>
                <w:szCs w:val="24"/>
                <w:lang w:eastAsia="fr-FR"/>
              </w:rPr>
              <w:t>K) ne sont pas du domaine d'application de la norme.</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3908FE" w:rsidRPr="0043547B" w:rsidRDefault="003908FE" w:rsidP="006B7ED2">
            <w:pPr>
              <w:spacing w:after="0" w:line="240" w:lineRule="auto"/>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hideMark/>
          </w:tcPr>
          <w:p w:rsidR="003908FE" w:rsidRPr="002E3AA9" w:rsidRDefault="003908FE" w:rsidP="006B7ED2">
            <w:pPr>
              <w:spacing w:after="0" w:line="240" w:lineRule="auto"/>
              <w:jc w:val="center"/>
              <w:rPr>
                <w:rFonts w:cstheme="minorHAnsi"/>
                <w:b/>
                <w:bCs/>
                <w:sz w:val="24"/>
                <w:szCs w:val="24"/>
              </w:rPr>
            </w:pPr>
            <w:r w:rsidRPr="002E3AA9">
              <w:rPr>
                <w:rFonts w:cstheme="minorHAnsi"/>
                <w:b/>
                <w:bCs/>
                <w:sz w:val="24"/>
                <w:szCs w:val="24"/>
              </w:rPr>
              <w:t>NM EN 13164</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3908FE" w:rsidRPr="0043547B" w:rsidRDefault="003908FE" w:rsidP="006B7ED2">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3908FE" w:rsidRPr="002E3AA9" w:rsidRDefault="003908FE" w:rsidP="006B7ED2">
            <w:pPr>
              <w:spacing w:after="0" w:line="240" w:lineRule="auto"/>
              <w:jc w:val="center"/>
              <w:rPr>
                <w:rFonts w:cstheme="minorHAnsi"/>
                <w:b/>
                <w:bCs/>
                <w:sz w:val="24"/>
                <w:szCs w:val="24"/>
              </w:rPr>
            </w:pPr>
            <w:r w:rsidRPr="002E3AA9">
              <w:rPr>
                <w:rFonts w:cstheme="minorHAnsi"/>
                <w:b/>
                <w:bCs/>
                <w:sz w:val="24"/>
                <w:szCs w:val="24"/>
              </w:rPr>
              <w:t>EN 13164</w:t>
            </w:r>
          </w:p>
        </w:tc>
      </w:tr>
      <w:tr w:rsidR="0043547B" w:rsidRPr="0043547B" w:rsidTr="00CB5DC0">
        <w:trPr>
          <w:trHeight w:val="6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3908FE" w:rsidRPr="0043547B" w:rsidRDefault="003908FE" w:rsidP="006B7ED2">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hideMark/>
          </w:tcPr>
          <w:p w:rsidR="003908FE" w:rsidRPr="0043547B" w:rsidRDefault="003908FE" w:rsidP="006B7ED2">
            <w:pPr>
              <w:spacing w:after="0" w:line="240" w:lineRule="auto"/>
              <w:rPr>
                <w:rFonts w:cstheme="minorHAnsi"/>
                <w:sz w:val="24"/>
                <w:szCs w:val="24"/>
              </w:rPr>
            </w:pPr>
            <w:r w:rsidRPr="0043547B">
              <w:rPr>
                <w:rFonts w:cstheme="minorHAnsi"/>
                <w:sz w:val="24"/>
                <w:szCs w:val="24"/>
              </w:rPr>
              <w:t xml:space="preserve">Produits isolants thermiques pour le bâtiment - Produits manufacturés en mousse de polystyrène extrudé (XPS) - Spécification </w:t>
            </w:r>
          </w:p>
        </w:tc>
      </w:tr>
      <w:tr w:rsidR="0043547B" w:rsidRPr="0043547B" w:rsidTr="00CB5DC0">
        <w:trPr>
          <w:trHeight w:val="2544"/>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3908FE" w:rsidRPr="0043547B" w:rsidRDefault="003908FE" w:rsidP="006B7ED2">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hideMark/>
          </w:tcPr>
          <w:p w:rsidR="006B7ED2" w:rsidRDefault="003908FE" w:rsidP="006B7ED2">
            <w:pPr>
              <w:spacing w:after="0" w:line="240" w:lineRule="auto"/>
              <w:jc w:val="both"/>
              <w:rPr>
                <w:rFonts w:cstheme="minorHAnsi"/>
                <w:sz w:val="24"/>
                <w:szCs w:val="24"/>
              </w:rPr>
            </w:pPr>
            <w:r w:rsidRPr="0043547B">
              <w:rPr>
                <w:rFonts w:cstheme="minorHAnsi"/>
                <w:sz w:val="24"/>
                <w:szCs w:val="24"/>
              </w:rPr>
              <w:t>La présente Norme européenne spécifie les exigences auxquelles doivent satisfaire les produits manufacturés</w:t>
            </w:r>
            <w:r w:rsidR="00AF3052">
              <w:rPr>
                <w:rFonts w:cstheme="minorHAnsi"/>
                <w:sz w:val="24"/>
                <w:szCs w:val="24"/>
              </w:rPr>
              <w:t xml:space="preserve"> </w:t>
            </w:r>
            <w:r w:rsidRPr="0043547B">
              <w:rPr>
                <w:rFonts w:cstheme="minorHAnsi"/>
                <w:sz w:val="24"/>
                <w:szCs w:val="24"/>
              </w:rPr>
              <w:t>en mousse de polystyrène extrudé, avec ou sans parements ou enduits de finition, utilisés pour l'isolation thermique des bâtiments. Les produits sont fabriqués sous forme de panneaux qui sont également disponibles avec traitement spécial de leurs chants et surfaces (tenon et mortaise, feuillure, etc.).</w:t>
            </w:r>
          </w:p>
          <w:p w:rsidR="006B7ED2" w:rsidRDefault="003908FE" w:rsidP="006B7ED2">
            <w:pPr>
              <w:spacing w:after="0" w:line="240" w:lineRule="auto"/>
              <w:jc w:val="both"/>
              <w:rPr>
                <w:rFonts w:cstheme="minorHAnsi"/>
                <w:sz w:val="24"/>
                <w:szCs w:val="24"/>
              </w:rPr>
            </w:pPr>
            <w:r w:rsidRPr="0043547B">
              <w:rPr>
                <w:rFonts w:cstheme="minorHAnsi"/>
                <w:sz w:val="24"/>
                <w:szCs w:val="24"/>
              </w:rPr>
              <w:t>La présente norme inclut les panneaux isolants XPS multicouches dont les couches sont perpendiculaires aux chants du panneau, c'est-à-dire parallèles à la surface du panneau final.</w:t>
            </w:r>
          </w:p>
          <w:p w:rsidR="006B7ED2" w:rsidRDefault="003908FE" w:rsidP="006B7ED2">
            <w:pPr>
              <w:spacing w:after="0" w:line="240" w:lineRule="auto"/>
              <w:jc w:val="both"/>
              <w:rPr>
                <w:rFonts w:cstheme="minorHAnsi"/>
                <w:sz w:val="24"/>
                <w:szCs w:val="24"/>
              </w:rPr>
            </w:pPr>
            <w:r w:rsidRPr="0043547B">
              <w:rPr>
                <w:rFonts w:cstheme="minorHAnsi"/>
                <w:sz w:val="24"/>
                <w:szCs w:val="24"/>
              </w:rPr>
              <w:t>Les produits couverts par la présente norme sont également utilisés dans des systèmes d'isolation thermique et</w:t>
            </w:r>
            <w:r w:rsidR="00AF3052">
              <w:rPr>
                <w:rFonts w:cstheme="minorHAnsi"/>
                <w:sz w:val="24"/>
                <w:szCs w:val="24"/>
              </w:rPr>
              <w:t xml:space="preserve"> </w:t>
            </w:r>
            <w:r w:rsidRPr="0043547B">
              <w:rPr>
                <w:rFonts w:cstheme="minorHAnsi"/>
                <w:sz w:val="24"/>
                <w:szCs w:val="24"/>
              </w:rPr>
              <w:t>dans des panneaux composites préfabriqués ; les performances des systèmes incorporant ces produits ne sont</w:t>
            </w:r>
            <w:r w:rsidR="00AF3052">
              <w:rPr>
                <w:rFonts w:cstheme="minorHAnsi"/>
                <w:sz w:val="24"/>
                <w:szCs w:val="24"/>
              </w:rPr>
              <w:t xml:space="preserve"> </w:t>
            </w:r>
            <w:r w:rsidRPr="0043547B">
              <w:rPr>
                <w:rFonts w:cstheme="minorHAnsi"/>
                <w:sz w:val="24"/>
                <w:szCs w:val="24"/>
              </w:rPr>
              <w:t>pas définies.</w:t>
            </w:r>
            <w:r w:rsidRPr="0043547B">
              <w:rPr>
                <w:rFonts w:cstheme="minorHAnsi"/>
                <w:sz w:val="24"/>
                <w:szCs w:val="24"/>
              </w:rPr>
              <w:br/>
              <w:t>La présente norme décrit les caractéristiques des produits et contient des modes opératoires d'essai, d'évaluation de la conformité, de marquage et d'étiquetage. La présente norme ne spécifie pas, pour une propriété donnée, le niveau exigé que doit atteindre un produit pour démontrer son aptitude à l'emploi dans une application particulière.</w:t>
            </w:r>
          </w:p>
          <w:p w:rsidR="006B7ED2" w:rsidRDefault="003908FE" w:rsidP="006B7ED2">
            <w:pPr>
              <w:spacing w:after="0" w:line="240" w:lineRule="auto"/>
              <w:jc w:val="both"/>
              <w:rPr>
                <w:rFonts w:cstheme="minorHAnsi"/>
                <w:sz w:val="24"/>
                <w:szCs w:val="24"/>
              </w:rPr>
            </w:pPr>
            <w:r w:rsidRPr="0043547B">
              <w:rPr>
                <w:rFonts w:cstheme="minorHAnsi"/>
                <w:sz w:val="24"/>
                <w:szCs w:val="24"/>
              </w:rPr>
              <w:t>Les niveaux requis pour une application donnée figurent dans les réglementations ou normes non contradictoires.</w:t>
            </w:r>
          </w:p>
          <w:p w:rsidR="006B7ED2" w:rsidRDefault="003908FE" w:rsidP="006B7ED2">
            <w:pPr>
              <w:spacing w:after="0" w:line="240" w:lineRule="auto"/>
              <w:jc w:val="both"/>
              <w:rPr>
                <w:rFonts w:cstheme="minorHAnsi"/>
                <w:sz w:val="24"/>
                <w:szCs w:val="24"/>
              </w:rPr>
            </w:pPr>
            <w:r w:rsidRPr="0043547B">
              <w:rPr>
                <w:rFonts w:cstheme="minorHAnsi"/>
                <w:sz w:val="24"/>
                <w:szCs w:val="24"/>
              </w:rPr>
              <w:t>Les produits dont la résistance thermique déclarée à une température de 10 °C est inférieure à 0,25 m2 K/W ou dont la conductivité thermique déclarée à une température de 10 °C est supérieure à 0,060 W/(m×K) ne relèvent pas du domaine d'application de la présente norme.</w:t>
            </w:r>
          </w:p>
          <w:p w:rsidR="003908FE" w:rsidRPr="0043547B" w:rsidRDefault="003908FE" w:rsidP="006B7ED2">
            <w:pPr>
              <w:spacing w:after="0" w:line="240" w:lineRule="auto"/>
              <w:jc w:val="both"/>
              <w:rPr>
                <w:rFonts w:cstheme="minorHAnsi"/>
                <w:sz w:val="24"/>
                <w:szCs w:val="24"/>
              </w:rPr>
            </w:pPr>
            <w:r w:rsidRPr="0043547B">
              <w:rPr>
                <w:rFonts w:cstheme="minorHAnsi"/>
                <w:sz w:val="24"/>
                <w:szCs w:val="24"/>
              </w:rPr>
              <w:t>Les produits isolants mis en oeuvre in situ, ceux destinés à être utilisés pour l'isolation des équipements du bâtiment et des installations industrielles (couverts par l’EN 14307) ou ceux destinés à des applications de génie civil (couverts par l’EN 14934) ne relèvent pas du domaine d'application de la présente norme.</w:t>
            </w:r>
          </w:p>
        </w:tc>
      </w:tr>
      <w:tr w:rsidR="000555C5" w:rsidRPr="0043547B" w:rsidTr="008A7A06">
        <w:trPr>
          <w:trHeight w:val="434"/>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0555C5" w:rsidRDefault="000555C5" w:rsidP="008A7A06">
            <w:pPr>
              <w:spacing w:after="0" w:line="240" w:lineRule="auto"/>
              <w:jc w:val="center"/>
              <w:rPr>
                <w:rFonts w:ascii="Calibri" w:hAnsi="Calibri" w:cs="Calibri"/>
                <w:b/>
                <w:bCs/>
                <w:color w:val="000000"/>
              </w:rPr>
            </w:pPr>
            <w:r>
              <w:rPr>
                <w:rFonts w:ascii="Calibri" w:hAnsi="Calibri" w:cs="Calibri"/>
                <w:b/>
                <w:bCs/>
                <w:color w:val="000000"/>
              </w:rPr>
              <w:t>Code :</w:t>
            </w:r>
          </w:p>
        </w:tc>
        <w:tc>
          <w:tcPr>
            <w:tcW w:w="7938" w:type="dxa"/>
            <w:tcBorders>
              <w:top w:val="nil"/>
              <w:left w:val="single" w:sz="4" w:space="0" w:color="auto"/>
              <w:bottom w:val="single" w:sz="18" w:space="0" w:color="auto"/>
              <w:right w:val="single" w:sz="18" w:space="0" w:color="auto"/>
            </w:tcBorders>
            <w:shd w:val="clear" w:color="auto" w:fill="C2D69B" w:themeFill="accent3" w:themeFillTint="99"/>
            <w:vAlign w:val="center"/>
          </w:tcPr>
          <w:p w:rsidR="000555C5" w:rsidRPr="008A7A06" w:rsidRDefault="000555C5" w:rsidP="008A7A06">
            <w:pPr>
              <w:spacing w:after="0" w:line="240" w:lineRule="auto"/>
              <w:jc w:val="center"/>
              <w:rPr>
                <w:rFonts w:ascii="Calibri" w:hAnsi="Calibri" w:cs="Calibri"/>
                <w:b/>
                <w:bCs/>
                <w:color w:val="000000"/>
                <w:sz w:val="24"/>
                <w:szCs w:val="24"/>
              </w:rPr>
            </w:pPr>
            <w:r w:rsidRPr="008A7A06">
              <w:rPr>
                <w:rFonts w:ascii="Calibri" w:hAnsi="Calibri" w:cs="Calibri"/>
                <w:b/>
                <w:bCs/>
                <w:color w:val="000000"/>
                <w:sz w:val="24"/>
                <w:szCs w:val="24"/>
              </w:rPr>
              <w:t>NM ISO 12575-1</w:t>
            </w:r>
          </w:p>
        </w:tc>
      </w:tr>
      <w:tr w:rsidR="000555C5" w:rsidRPr="0043547B" w:rsidTr="008A7A06">
        <w:trPr>
          <w:trHeight w:val="512"/>
          <w:jc w:val="center"/>
        </w:trPr>
        <w:tc>
          <w:tcPr>
            <w:tcW w:w="1838" w:type="dxa"/>
            <w:tcBorders>
              <w:top w:val="nil"/>
              <w:left w:val="single" w:sz="18" w:space="0" w:color="auto"/>
              <w:bottom w:val="single" w:sz="18" w:space="0" w:color="auto"/>
              <w:right w:val="single" w:sz="4" w:space="0" w:color="auto"/>
            </w:tcBorders>
            <w:shd w:val="clear" w:color="auto" w:fill="FFFF99"/>
            <w:vAlign w:val="center"/>
          </w:tcPr>
          <w:p w:rsidR="000555C5" w:rsidRDefault="000555C5" w:rsidP="008A7A06">
            <w:pPr>
              <w:spacing w:after="0" w:line="240" w:lineRule="auto"/>
              <w:jc w:val="center"/>
              <w:rPr>
                <w:rFonts w:ascii="Calibri" w:hAnsi="Calibri" w:cs="Calibri"/>
                <w:b/>
                <w:bCs/>
                <w:color w:val="000000"/>
                <w:sz w:val="24"/>
                <w:szCs w:val="24"/>
              </w:rPr>
            </w:pPr>
            <w:r>
              <w:rPr>
                <w:rFonts w:ascii="Calibri" w:hAnsi="Calibri" w:cs="Calibri"/>
                <w:b/>
                <w:bCs/>
                <w:color w:val="000000"/>
              </w:rPr>
              <w:t>Equivalence :</w:t>
            </w:r>
          </w:p>
        </w:tc>
        <w:tc>
          <w:tcPr>
            <w:tcW w:w="7938" w:type="dxa"/>
            <w:tcBorders>
              <w:top w:val="nil"/>
              <w:left w:val="single" w:sz="4" w:space="0" w:color="auto"/>
              <w:bottom w:val="single" w:sz="18" w:space="0" w:color="auto"/>
              <w:right w:val="single" w:sz="18" w:space="0" w:color="auto"/>
            </w:tcBorders>
            <w:shd w:val="clear" w:color="auto" w:fill="FFFF99"/>
            <w:vAlign w:val="center"/>
          </w:tcPr>
          <w:p w:rsidR="000555C5" w:rsidRPr="008A7A06" w:rsidRDefault="000555C5" w:rsidP="008A7A06">
            <w:pPr>
              <w:spacing w:after="0" w:line="240" w:lineRule="auto"/>
              <w:jc w:val="center"/>
              <w:rPr>
                <w:rFonts w:ascii="Calibri" w:hAnsi="Calibri" w:cs="Calibri"/>
                <w:b/>
                <w:bCs/>
                <w:color w:val="000000"/>
                <w:sz w:val="24"/>
                <w:szCs w:val="24"/>
              </w:rPr>
            </w:pPr>
            <w:r w:rsidRPr="008A7A06">
              <w:rPr>
                <w:rFonts w:ascii="Calibri" w:hAnsi="Calibri" w:cs="Calibri"/>
                <w:b/>
                <w:bCs/>
                <w:color w:val="000000"/>
                <w:sz w:val="24"/>
                <w:szCs w:val="24"/>
              </w:rPr>
              <w:t>ISO 12575-1</w:t>
            </w:r>
          </w:p>
        </w:tc>
      </w:tr>
      <w:tr w:rsidR="000555C5" w:rsidRPr="0043547B" w:rsidTr="008A7A06">
        <w:trPr>
          <w:trHeight w:val="166"/>
          <w:jc w:val="center"/>
        </w:trPr>
        <w:tc>
          <w:tcPr>
            <w:tcW w:w="1838" w:type="dxa"/>
            <w:tcBorders>
              <w:top w:val="single" w:sz="18" w:space="0" w:color="auto"/>
              <w:left w:val="single" w:sz="18" w:space="0" w:color="auto"/>
              <w:bottom w:val="single" w:sz="4" w:space="0" w:color="auto"/>
              <w:right w:val="single" w:sz="4" w:space="0" w:color="auto"/>
            </w:tcBorders>
            <w:shd w:val="clear" w:color="auto" w:fill="95B3D7" w:themeFill="accent1" w:themeFillTint="99"/>
            <w:vAlign w:val="center"/>
          </w:tcPr>
          <w:p w:rsidR="000555C5" w:rsidRDefault="000555C5" w:rsidP="008A7A06">
            <w:pPr>
              <w:spacing w:after="0" w:line="240" w:lineRule="auto"/>
              <w:jc w:val="center"/>
              <w:rPr>
                <w:rFonts w:ascii="Calibri" w:hAnsi="Calibri" w:cs="Calibri"/>
                <w:b/>
                <w:bCs/>
                <w:color w:val="000000"/>
                <w:sz w:val="24"/>
                <w:szCs w:val="24"/>
              </w:rPr>
            </w:pPr>
            <w:r>
              <w:rPr>
                <w:rFonts w:ascii="Calibri" w:hAnsi="Calibri" w:cs="Calibri"/>
                <w:b/>
                <w:bCs/>
                <w:color w:val="000000"/>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tcPr>
          <w:p w:rsidR="000555C5" w:rsidRPr="008A7A06" w:rsidRDefault="000555C5" w:rsidP="008A7A06">
            <w:pPr>
              <w:spacing w:after="0" w:line="240" w:lineRule="auto"/>
              <w:rPr>
                <w:rFonts w:ascii="Calibri" w:hAnsi="Calibri" w:cs="Calibri"/>
                <w:color w:val="000000"/>
                <w:sz w:val="24"/>
                <w:szCs w:val="24"/>
              </w:rPr>
            </w:pPr>
            <w:r w:rsidRPr="008A7A06">
              <w:rPr>
                <w:rFonts w:ascii="Calibri" w:hAnsi="Calibri" w:cs="Calibri"/>
                <w:color w:val="000000"/>
                <w:sz w:val="24"/>
                <w:szCs w:val="24"/>
              </w:rPr>
              <w:t xml:space="preserve">Produits isolants thermiques - Applications externes aux murs des fondations - Partie 1: Spécification des matériaux </w:t>
            </w:r>
          </w:p>
        </w:tc>
      </w:tr>
      <w:tr w:rsidR="000555C5" w:rsidRPr="0043547B" w:rsidTr="008A7A06">
        <w:trPr>
          <w:trHeight w:val="2544"/>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0555C5" w:rsidRDefault="000555C5" w:rsidP="008A7A06">
            <w:pPr>
              <w:spacing w:after="0" w:line="240" w:lineRule="auto"/>
              <w:jc w:val="center"/>
              <w:rPr>
                <w:rFonts w:ascii="Calibri" w:hAnsi="Calibri" w:cs="Calibri"/>
                <w:b/>
                <w:bCs/>
                <w:sz w:val="24"/>
                <w:szCs w:val="24"/>
              </w:rPr>
            </w:pPr>
            <w:r>
              <w:rPr>
                <w:rFonts w:ascii="Calibri" w:hAnsi="Calibri" w:cs="Calibri"/>
                <w:b/>
                <w:bCs/>
              </w:rPr>
              <w:lastRenderedPageBreak/>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tcPr>
          <w:p w:rsidR="008A7A06" w:rsidRDefault="000555C5" w:rsidP="008A7A06">
            <w:pPr>
              <w:spacing w:after="0" w:line="240" w:lineRule="auto"/>
              <w:jc w:val="both"/>
              <w:rPr>
                <w:rFonts w:ascii="Calibri" w:hAnsi="Calibri" w:cs="Calibri"/>
                <w:color w:val="000000"/>
                <w:sz w:val="24"/>
                <w:szCs w:val="24"/>
              </w:rPr>
            </w:pPr>
            <w:r w:rsidRPr="008A7A06">
              <w:rPr>
                <w:rFonts w:ascii="Calibri" w:hAnsi="Calibri" w:cs="Calibri"/>
                <w:color w:val="000000"/>
                <w:sz w:val="24"/>
                <w:szCs w:val="24"/>
              </w:rPr>
              <w:t>La présente partie de l’ISO 12575 spécifie les exigences de performance de base pour les matériaux isolants</w:t>
            </w:r>
            <w:r w:rsidR="008A7A06">
              <w:rPr>
                <w:rFonts w:ascii="Calibri" w:hAnsi="Calibri" w:cs="Calibri"/>
                <w:color w:val="000000"/>
                <w:sz w:val="24"/>
                <w:szCs w:val="24"/>
              </w:rPr>
              <w:t xml:space="preserve"> </w:t>
            </w:r>
            <w:r w:rsidRPr="008A7A06">
              <w:rPr>
                <w:rFonts w:ascii="Calibri" w:hAnsi="Calibri" w:cs="Calibri"/>
                <w:color w:val="000000"/>
                <w:sz w:val="24"/>
                <w:szCs w:val="24"/>
              </w:rPr>
              <w:t>faisant partie des systèmes d’isolation appliqués de manière externe des murs des fondations et des dalles</w:t>
            </w:r>
            <w:r w:rsidR="008A7A06">
              <w:rPr>
                <w:rFonts w:ascii="Calibri" w:hAnsi="Calibri" w:cs="Calibri"/>
                <w:color w:val="000000"/>
                <w:sz w:val="24"/>
                <w:szCs w:val="24"/>
              </w:rPr>
              <w:t xml:space="preserve"> </w:t>
            </w:r>
            <w:r w:rsidRPr="008A7A06">
              <w:rPr>
                <w:rFonts w:ascii="Calibri" w:hAnsi="Calibri" w:cs="Calibri"/>
                <w:color w:val="000000"/>
                <w:sz w:val="24"/>
                <w:szCs w:val="24"/>
              </w:rPr>
              <w:t>lorsque l’isolation est en contact direct avec le sol. La présente partie de l’ISO 12575 ne traite pas des systèmes</w:t>
            </w:r>
            <w:r w:rsidR="008A7A06">
              <w:rPr>
                <w:rFonts w:ascii="Calibri" w:hAnsi="Calibri" w:cs="Calibri"/>
                <w:color w:val="000000"/>
                <w:sz w:val="24"/>
                <w:szCs w:val="24"/>
              </w:rPr>
              <w:t xml:space="preserve"> </w:t>
            </w:r>
            <w:r w:rsidRPr="008A7A06">
              <w:rPr>
                <w:rFonts w:ascii="Calibri" w:hAnsi="Calibri" w:cs="Calibri"/>
                <w:color w:val="000000"/>
                <w:sz w:val="24"/>
                <w:szCs w:val="24"/>
              </w:rPr>
              <w:t>d’isolation externe des fondations immergées en permanence dans l’eau.</w:t>
            </w:r>
            <w:r w:rsidRPr="008A7A06">
              <w:rPr>
                <w:rFonts w:ascii="Calibri" w:hAnsi="Calibri" w:cs="Calibri"/>
                <w:color w:val="000000"/>
                <w:sz w:val="24"/>
                <w:szCs w:val="24"/>
              </w:rPr>
              <w:br/>
              <w:t>Le concepteur doit consulter les réglementations nationales en vigueur ainsi que les spécifications d’applications</w:t>
            </w:r>
            <w:r w:rsidR="008A7A06">
              <w:rPr>
                <w:rFonts w:ascii="Calibri" w:hAnsi="Calibri" w:cs="Calibri"/>
                <w:color w:val="000000"/>
                <w:sz w:val="24"/>
                <w:szCs w:val="24"/>
              </w:rPr>
              <w:t xml:space="preserve"> </w:t>
            </w:r>
            <w:r w:rsidRPr="008A7A06">
              <w:rPr>
                <w:rFonts w:ascii="Calibri" w:hAnsi="Calibri" w:cs="Calibri"/>
                <w:color w:val="000000"/>
                <w:sz w:val="24"/>
                <w:szCs w:val="24"/>
              </w:rPr>
              <w:t>relatives aux exigences minimales.</w:t>
            </w:r>
          </w:p>
          <w:p w:rsidR="008A7A06" w:rsidRDefault="000555C5" w:rsidP="008A7A06">
            <w:pPr>
              <w:spacing w:after="0" w:line="240" w:lineRule="auto"/>
              <w:jc w:val="both"/>
              <w:rPr>
                <w:rFonts w:ascii="Calibri" w:hAnsi="Calibri" w:cs="Calibri"/>
                <w:color w:val="000000"/>
                <w:sz w:val="24"/>
                <w:szCs w:val="24"/>
              </w:rPr>
            </w:pPr>
            <w:r w:rsidRPr="008A7A06">
              <w:rPr>
                <w:rFonts w:ascii="Calibri" w:hAnsi="Calibri" w:cs="Calibri"/>
                <w:color w:val="000000"/>
                <w:sz w:val="24"/>
                <w:szCs w:val="24"/>
              </w:rPr>
              <w:t>Le concepteur choisit le matériau réel conformément à la présente partie de l’ISO 12575 pour le type de</w:t>
            </w:r>
            <w:r w:rsidR="008A7A06">
              <w:rPr>
                <w:rFonts w:ascii="Calibri" w:hAnsi="Calibri" w:cs="Calibri"/>
                <w:color w:val="000000"/>
                <w:sz w:val="24"/>
                <w:szCs w:val="24"/>
              </w:rPr>
              <w:t xml:space="preserve"> </w:t>
            </w:r>
            <w:r w:rsidRPr="008A7A06">
              <w:rPr>
                <w:rFonts w:ascii="Calibri" w:hAnsi="Calibri" w:cs="Calibri"/>
                <w:color w:val="000000"/>
                <w:sz w:val="24"/>
                <w:szCs w:val="24"/>
              </w:rPr>
              <w:t>système considéré. Le concepteur consulte également la norme correspondante relative au matériau ainsi</w:t>
            </w:r>
            <w:r w:rsidR="008A7A06">
              <w:rPr>
                <w:rFonts w:ascii="Calibri" w:hAnsi="Calibri" w:cs="Calibri"/>
                <w:color w:val="000000"/>
                <w:sz w:val="24"/>
                <w:szCs w:val="24"/>
              </w:rPr>
              <w:t xml:space="preserve"> </w:t>
            </w:r>
            <w:r w:rsidRPr="008A7A06">
              <w:rPr>
                <w:rFonts w:ascii="Calibri" w:hAnsi="Calibri" w:cs="Calibri"/>
                <w:color w:val="000000"/>
                <w:sz w:val="24"/>
                <w:szCs w:val="24"/>
              </w:rPr>
              <w:t>que les réglementations nationales applicables pour le produit choisi afin de prendre connaissance des</w:t>
            </w:r>
            <w:r w:rsidR="008A7A06">
              <w:rPr>
                <w:rFonts w:ascii="Calibri" w:hAnsi="Calibri" w:cs="Calibri"/>
                <w:color w:val="000000"/>
                <w:sz w:val="24"/>
                <w:szCs w:val="24"/>
              </w:rPr>
              <w:t xml:space="preserve"> </w:t>
            </w:r>
            <w:r w:rsidRPr="008A7A06">
              <w:rPr>
                <w:rFonts w:ascii="Calibri" w:hAnsi="Calibri" w:cs="Calibri"/>
                <w:color w:val="000000"/>
                <w:sz w:val="24"/>
                <w:szCs w:val="24"/>
              </w:rPr>
              <w:t>caractéristiques supplémentaires qui ne sont pas spécifiées dans la présente partie de l’ISO 12575.</w:t>
            </w:r>
          </w:p>
          <w:p w:rsidR="000555C5" w:rsidRPr="008A7A06" w:rsidRDefault="000555C5" w:rsidP="008A7A06">
            <w:pPr>
              <w:spacing w:after="0" w:line="240" w:lineRule="auto"/>
              <w:jc w:val="both"/>
              <w:rPr>
                <w:rFonts w:ascii="Calibri" w:hAnsi="Calibri" w:cs="Calibri"/>
                <w:i/>
                <w:iCs/>
                <w:color w:val="000000"/>
                <w:sz w:val="24"/>
                <w:szCs w:val="24"/>
              </w:rPr>
            </w:pPr>
            <w:r w:rsidRPr="008A7A06">
              <w:rPr>
                <w:rFonts w:ascii="Calibri" w:hAnsi="Calibri" w:cs="Calibri"/>
                <w:b/>
                <w:bCs/>
                <w:i/>
                <w:iCs/>
                <w:color w:val="000000"/>
              </w:rPr>
              <w:t>NOTE</w:t>
            </w:r>
            <w:r w:rsidRPr="008A7A06">
              <w:rPr>
                <w:rFonts w:ascii="Calibri" w:hAnsi="Calibri" w:cs="Calibri"/>
                <w:i/>
                <w:iCs/>
                <w:color w:val="000000"/>
              </w:rPr>
              <w:t xml:space="preserve"> La présente partie de l’ISO 12575 nécessite l’utilisation d’autres normes internationales spécifiques aux</w:t>
            </w:r>
            <w:r w:rsidR="008A7A06" w:rsidRPr="008A7A06">
              <w:rPr>
                <w:rFonts w:ascii="Calibri" w:hAnsi="Calibri" w:cs="Calibri"/>
                <w:i/>
                <w:iCs/>
                <w:color w:val="000000"/>
              </w:rPr>
              <w:t xml:space="preserve"> </w:t>
            </w:r>
            <w:r w:rsidRPr="008A7A06">
              <w:rPr>
                <w:rFonts w:ascii="Calibri" w:hAnsi="Calibri" w:cs="Calibri"/>
                <w:i/>
                <w:iCs/>
                <w:color w:val="000000"/>
              </w:rPr>
              <w:t>matériaux d’isolation thermique.</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3908FE" w:rsidRPr="0043547B" w:rsidRDefault="003908FE" w:rsidP="006B7ED2">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hideMark/>
          </w:tcPr>
          <w:p w:rsidR="003908FE" w:rsidRPr="002E3AA9" w:rsidRDefault="003908FE" w:rsidP="006B7ED2">
            <w:pPr>
              <w:spacing w:after="0" w:line="240" w:lineRule="auto"/>
              <w:jc w:val="center"/>
              <w:rPr>
                <w:rFonts w:cstheme="minorHAnsi"/>
                <w:b/>
                <w:bCs/>
                <w:sz w:val="24"/>
                <w:szCs w:val="24"/>
              </w:rPr>
            </w:pPr>
            <w:r w:rsidRPr="002E3AA9">
              <w:rPr>
                <w:rFonts w:cstheme="minorHAnsi"/>
                <w:b/>
                <w:bCs/>
                <w:sz w:val="24"/>
                <w:szCs w:val="24"/>
              </w:rPr>
              <w:t>NM EN 13165</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3908FE" w:rsidRPr="0043547B" w:rsidRDefault="003908FE" w:rsidP="006B7ED2">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3908FE" w:rsidRPr="002E3AA9" w:rsidRDefault="003908FE" w:rsidP="006B7ED2">
            <w:pPr>
              <w:spacing w:after="0" w:line="240" w:lineRule="auto"/>
              <w:jc w:val="center"/>
              <w:rPr>
                <w:rFonts w:cstheme="minorHAnsi"/>
                <w:b/>
                <w:bCs/>
                <w:sz w:val="24"/>
                <w:szCs w:val="24"/>
              </w:rPr>
            </w:pPr>
            <w:r w:rsidRPr="002E3AA9">
              <w:rPr>
                <w:rFonts w:cstheme="minorHAnsi"/>
                <w:b/>
                <w:bCs/>
                <w:sz w:val="24"/>
                <w:szCs w:val="24"/>
              </w:rPr>
              <w:t>EN 13165</w:t>
            </w:r>
          </w:p>
        </w:tc>
      </w:tr>
      <w:tr w:rsidR="0043547B" w:rsidRPr="0043547B" w:rsidTr="00CB5DC0">
        <w:trPr>
          <w:trHeight w:val="283"/>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3908FE" w:rsidRPr="0043547B" w:rsidRDefault="003908FE" w:rsidP="006B7ED2">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hideMark/>
          </w:tcPr>
          <w:p w:rsidR="003908FE" w:rsidRPr="0043547B" w:rsidRDefault="003908FE" w:rsidP="006B7ED2">
            <w:pPr>
              <w:spacing w:after="0" w:line="240" w:lineRule="auto"/>
              <w:jc w:val="both"/>
              <w:rPr>
                <w:rFonts w:cstheme="minorHAnsi"/>
                <w:sz w:val="24"/>
                <w:szCs w:val="24"/>
              </w:rPr>
            </w:pPr>
            <w:r w:rsidRPr="0043547B">
              <w:rPr>
                <w:rFonts w:cstheme="minorHAnsi"/>
                <w:sz w:val="24"/>
                <w:szCs w:val="24"/>
              </w:rPr>
              <w:t xml:space="preserve">Produits isolants thermiques pour le bâtiment - Produits manufacturés en mousse rigide de polyuréthane (PU) - Spécification ; (IC 19.7.005)   </w:t>
            </w:r>
          </w:p>
        </w:tc>
      </w:tr>
      <w:tr w:rsidR="0043547B" w:rsidRPr="0043547B" w:rsidTr="00CB5DC0">
        <w:trPr>
          <w:trHeight w:val="701"/>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3908FE" w:rsidRPr="0043547B" w:rsidRDefault="003908FE" w:rsidP="006B7ED2">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hideMark/>
          </w:tcPr>
          <w:p w:rsidR="006B7ED2" w:rsidRDefault="003908FE" w:rsidP="006B7ED2">
            <w:pPr>
              <w:spacing w:after="0" w:line="240" w:lineRule="auto"/>
              <w:jc w:val="both"/>
              <w:rPr>
                <w:rFonts w:cstheme="minorHAnsi"/>
                <w:sz w:val="24"/>
                <w:szCs w:val="24"/>
              </w:rPr>
            </w:pPr>
            <w:r w:rsidRPr="0043547B">
              <w:rPr>
                <w:rFonts w:cstheme="minorHAnsi"/>
                <w:sz w:val="24"/>
                <w:szCs w:val="24"/>
              </w:rPr>
              <w:t>La présente Norme européenne spécifie les exigences auxquelles doivent satisfaire les produits manufacturés en mousse rigide de polyuréthanne (PU), avec ou sans parements ou enduits de finition, utilisés pour l'isolation</w:t>
            </w:r>
            <w:r w:rsidRPr="0043547B">
              <w:rPr>
                <w:rFonts w:cstheme="minorHAnsi"/>
                <w:sz w:val="24"/>
                <w:szCs w:val="24"/>
              </w:rPr>
              <w:br/>
              <w:t>thermique des bâtiments. Le PU comprend les produits PIR et PUR. Les produits sont fabriqués sous forme</w:t>
            </w:r>
            <w:r w:rsidR="00AF3052">
              <w:rPr>
                <w:rFonts w:cstheme="minorHAnsi"/>
                <w:sz w:val="24"/>
                <w:szCs w:val="24"/>
              </w:rPr>
              <w:t xml:space="preserve"> </w:t>
            </w:r>
            <w:r w:rsidRPr="0043547B">
              <w:rPr>
                <w:rFonts w:cstheme="minorHAnsi"/>
                <w:sz w:val="24"/>
                <w:szCs w:val="24"/>
              </w:rPr>
              <w:t>de panneaux.</w:t>
            </w:r>
          </w:p>
          <w:p w:rsidR="006B7ED2" w:rsidRDefault="003908FE" w:rsidP="006B7ED2">
            <w:pPr>
              <w:spacing w:after="0" w:line="240" w:lineRule="auto"/>
              <w:jc w:val="both"/>
              <w:rPr>
                <w:rFonts w:cstheme="minorHAnsi"/>
                <w:sz w:val="24"/>
                <w:szCs w:val="24"/>
              </w:rPr>
            </w:pPr>
            <w:r w:rsidRPr="0043547B">
              <w:rPr>
                <w:rFonts w:cstheme="minorHAnsi"/>
                <w:sz w:val="24"/>
                <w:szCs w:val="24"/>
              </w:rPr>
              <w:t>!La présente Norme européenne inclut les produits isolants PU multicouches, voir l'Annexe D."</w:t>
            </w:r>
          </w:p>
          <w:p w:rsidR="006B7ED2" w:rsidRDefault="003908FE" w:rsidP="006B7ED2">
            <w:pPr>
              <w:spacing w:after="0" w:line="240" w:lineRule="auto"/>
              <w:jc w:val="both"/>
              <w:rPr>
                <w:rFonts w:cstheme="minorHAnsi"/>
                <w:sz w:val="24"/>
                <w:szCs w:val="24"/>
              </w:rPr>
            </w:pPr>
            <w:r w:rsidRPr="0043547B">
              <w:rPr>
                <w:rFonts w:cstheme="minorHAnsi"/>
                <w:sz w:val="24"/>
                <w:szCs w:val="24"/>
              </w:rPr>
              <w:t>Les produits couverts par la présente norme sont également utilisés dans des systèmes d'isolation thermique et</w:t>
            </w:r>
            <w:r w:rsidR="00AF3052">
              <w:rPr>
                <w:rFonts w:cstheme="minorHAnsi"/>
                <w:sz w:val="24"/>
                <w:szCs w:val="24"/>
              </w:rPr>
              <w:t xml:space="preserve"> </w:t>
            </w:r>
            <w:r w:rsidRPr="0043547B">
              <w:rPr>
                <w:rFonts w:cstheme="minorHAnsi"/>
                <w:sz w:val="24"/>
                <w:szCs w:val="24"/>
              </w:rPr>
              <w:t>dans des !produits isolants composites" préfabriqués ; les performances des systèmes incorporant ces produits</w:t>
            </w:r>
            <w:r w:rsidRPr="0043547B">
              <w:rPr>
                <w:rFonts w:cstheme="minorHAnsi"/>
                <w:sz w:val="24"/>
                <w:szCs w:val="24"/>
              </w:rPr>
              <w:br/>
              <w:t>ne sont pas définies.</w:t>
            </w:r>
          </w:p>
          <w:p w:rsidR="006B7ED2" w:rsidRDefault="003908FE" w:rsidP="006B7ED2">
            <w:pPr>
              <w:spacing w:after="0" w:line="240" w:lineRule="auto"/>
              <w:jc w:val="both"/>
              <w:rPr>
                <w:rFonts w:cstheme="minorHAnsi"/>
                <w:sz w:val="24"/>
                <w:szCs w:val="24"/>
              </w:rPr>
            </w:pPr>
            <w:r w:rsidRPr="0043547B">
              <w:rPr>
                <w:rFonts w:cstheme="minorHAnsi"/>
                <w:sz w:val="24"/>
                <w:szCs w:val="24"/>
              </w:rPr>
              <w:t>La présente norme décrit les caractéristiques des produits et contient des modes opératoires d'essai, d'évaluation de la conformité, de marquage et d'étiquetage.</w:t>
            </w:r>
          </w:p>
          <w:p w:rsidR="006B7ED2" w:rsidRDefault="003908FE" w:rsidP="006B7ED2">
            <w:pPr>
              <w:spacing w:after="0" w:line="240" w:lineRule="auto"/>
              <w:jc w:val="both"/>
              <w:rPr>
                <w:rFonts w:cstheme="minorHAnsi"/>
                <w:sz w:val="24"/>
                <w:szCs w:val="24"/>
              </w:rPr>
            </w:pPr>
            <w:r w:rsidRPr="0043547B">
              <w:rPr>
                <w:rFonts w:cstheme="minorHAnsi"/>
                <w:sz w:val="24"/>
                <w:szCs w:val="24"/>
              </w:rPr>
              <w:t>La présente norme ne spécifie pas, pour une propriété donnée, le niveau exigé que doit atteindre un produit pour démontrer son aptitude à l'emploi dans une application particulière. Les niveaux requis pour une application donnée figurent dans les réglementations ou normes non conflictuelles.</w:t>
            </w:r>
          </w:p>
          <w:p w:rsidR="006B7ED2" w:rsidRDefault="003908FE" w:rsidP="006B7ED2">
            <w:pPr>
              <w:spacing w:after="0" w:line="240" w:lineRule="auto"/>
              <w:jc w:val="both"/>
              <w:rPr>
                <w:rFonts w:cstheme="minorHAnsi"/>
                <w:sz w:val="24"/>
                <w:szCs w:val="24"/>
              </w:rPr>
            </w:pPr>
            <w:r w:rsidRPr="0043547B">
              <w:rPr>
                <w:rFonts w:cstheme="minorHAnsi"/>
                <w:sz w:val="24"/>
                <w:szCs w:val="24"/>
              </w:rPr>
              <w:t>Les produits dont la résistance thermique déclarée à une température de 10 °C est inférieure à 0,25 m2·K/W ou dont la conductivité thermique déclarée à une température de 10 °C est supérieure à 0,060 W/(m·K) ne relèvent pas du domaine d'application de la présente Norme européenne.</w:t>
            </w:r>
          </w:p>
          <w:p w:rsidR="003908FE" w:rsidRPr="0043547B" w:rsidRDefault="003908FE" w:rsidP="006B7ED2">
            <w:pPr>
              <w:spacing w:after="0" w:line="240" w:lineRule="auto"/>
              <w:jc w:val="both"/>
              <w:rPr>
                <w:rFonts w:cstheme="minorHAnsi"/>
                <w:sz w:val="24"/>
                <w:szCs w:val="24"/>
              </w:rPr>
            </w:pPr>
            <w:r w:rsidRPr="0043547B">
              <w:rPr>
                <w:rFonts w:cstheme="minorHAnsi"/>
                <w:sz w:val="24"/>
                <w:szCs w:val="24"/>
              </w:rPr>
              <w:t xml:space="preserve">Les produits isolants mis en </w:t>
            </w:r>
            <w:r w:rsidR="006B7ED2" w:rsidRPr="0043547B">
              <w:rPr>
                <w:rFonts w:cstheme="minorHAnsi"/>
                <w:sz w:val="24"/>
                <w:szCs w:val="24"/>
              </w:rPr>
              <w:t>œuvre</w:t>
            </w:r>
            <w:r w:rsidRPr="0043547B">
              <w:rPr>
                <w:rFonts w:cstheme="minorHAnsi"/>
                <w:sz w:val="24"/>
                <w:szCs w:val="24"/>
              </w:rPr>
              <w:t xml:space="preserve"> in situ et les produits destinés à être utilisés pour l'isolation des équipements du bâtiment et des installations industrielles ne relèvent pas du domaine d'application de la présente norme (couverts par l’EN 14308).</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3908FE" w:rsidRPr="0043547B" w:rsidRDefault="003908FE" w:rsidP="006B7ED2">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hideMark/>
          </w:tcPr>
          <w:p w:rsidR="003908FE" w:rsidRPr="002E3AA9" w:rsidRDefault="003908FE" w:rsidP="006B7ED2">
            <w:pPr>
              <w:spacing w:after="0" w:line="240" w:lineRule="auto"/>
              <w:jc w:val="center"/>
              <w:rPr>
                <w:rFonts w:cstheme="minorHAnsi"/>
                <w:b/>
                <w:bCs/>
                <w:sz w:val="24"/>
                <w:szCs w:val="24"/>
              </w:rPr>
            </w:pPr>
            <w:r w:rsidRPr="002E3AA9">
              <w:rPr>
                <w:rFonts w:cstheme="minorHAnsi"/>
                <w:b/>
                <w:bCs/>
                <w:sz w:val="24"/>
                <w:szCs w:val="24"/>
              </w:rPr>
              <w:t>NM EN 13166</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3908FE" w:rsidRPr="0043547B" w:rsidRDefault="003908FE" w:rsidP="006B7ED2">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3908FE" w:rsidRPr="002E3AA9" w:rsidRDefault="003908FE" w:rsidP="006B7ED2">
            <w:pPr>
              <w:spacing w:after="0" w:line="240" w:lineRule="auto"/>
              <w:jc w:val="center"/>
              <w:rPr>
                <w:rFonts w:cstheme="minorHAnsi"/>
                <w:b/>
                <w:bCs/>
                <w:sz w:val="24"/>
                <w:szCs w:val="24"/>
              </w:rPr>
            </w:pPr>
            <w:r w:rsidRPr="002E3AA9">
              <w:rPr>
                <w:rFonts w:cstheme="minorHAnsi"/>
                <w:b/>
                <w:bCs/>
                <w:sz w:val="24"/>
                <w:szCs w:val="24"/>
              </w:rPr>
              <w:t>EN 13166</w:t>
            </w:r>
          </w:p>
        </w:tc>
      </w:tr>
      <w:tr w:rsidR="0043547B" w:rsidRPr="0043547B" w:rsidTr="00CB5DC0">
        <w:trPr>
          <w:trHeight w:val="6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3908FE" w:rsidRPr="0043547B" w:rsidRDefault="003908FE" w:rsidP="006B7ED2">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hideMark/>
          </w:tcPr>
          <w:p w:rsidR="003908FE" w:rsidRPr="0043547B" w:rsidRDefault="003908FE" w:rsidP="006B7ED2">
            <w:pPr>
              <w:spacing w:after="0" w:line="240" w:lineRule="auto"/>
              <w:rPr>
                <w:rFonts w:cstheme="minorHAnsi"/>
                <w:sz w:val="24"/>
                <w:szCs w:val="24"/>
              </w:rPr>
            </w:pPr>
            <w:r w:rsidRPr="0043547B">
              <w:rPr>
                <w:rFonts w:cstheme="minorHAnsi"/>
                <w:sz w:val="24"/>
                <w:szCs w:val="24"/>
              </w:rPr>
              <w:t>Produits isolants thermiques pour le bâtiment - Produits manufacturés en mousse phénolique (PF) - Spécification</w:t>
            </w:r>
          </w:p>
        </w:tc>
      </w:tr>
      <w:tr w:rsidR="0043547B" w:rsidRPr="0043547B" w:rsidTr="00CB5DC0">
        <w:trPr>
          <w:trHeight w:val="843"/>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3908FE" w:rsidRPr="0043547B" w:rsidRDefault="003908FE" w:rsidP="003908FE">
            <w:pPr>
              <w:spacing w:after="0"/>
              <w:jc w:val="center"/>
              <w:rPr>
                <w:rFonts w:cstheme="minorHAnsi"/>
                <w:b/>
                <w:bCs/>
                <w:sz w:val="24"/>
                <w:szCs w:val="24"/>
              </w:rPr>
            </w:pPr>
            <w:r w:rsidRPr="0043547B">
              <w:rPr>
                <w:rFonts w:cstheme="minorHAnsi"/>
                <w:b/>
                <w:bCs/>
                <w:sz w:val="24"/>
                <w:szCs w:val="24"/>
              </w:rPr>
              <w:lastRenderedPageBreak/>
              <w:t>Domaine d’application :</w:t>
            </w:r>
          </w:p>
        </w:tc>
        <w:tc>
          <w:tcPr>
            <w:tcW w:w="7938" w:type="dxa"/>
            <w:tcBorders>
              <w:top w:val="nil"/>
              <w:left w:val="single" w:sz="4" w:space="0" w:color="auto"/>
              <w:bottom w:val="single" w:sz="18" w:space="0" w:color="auto"/>
              <w:right w:val="single" w:sz="18" w:space="0" w:color="auto"/>
            </w:tcBorders>
            <w:shd w:val="clear" w:color="auto" w:fill="auto"/>
            <w:hideMark/>
          </w:tcPr>
          <w:p w:rsidR="00316D6F" w:rsidRDefault="003908FE" w:rsidP="008A7A06">
            <w:pPr>
              <w:spacing w:after="0" w:line="240" w:lineRule="auto"/>
              <w:jc w:val="both"/>
              <w:rPr>
                <w:rFonts w:cstheme="minorHAnsi"/>
                <w:sz w:val="24"/>
                <w:szCs w:val="24"/>
              </w:rPr>
            </w:pPr>
            <w:r w:rsidRPr="0043547B">
              <w:rPr>
                <w:rFonts w:cstheme="minorHAnsi"/>
                <w:sz w:val="24"/>
                <w:szCs w:val="24"/>
              </w:rPr>
              <w:t>La présente Norme européenne spécifie les exigences auxquelles doivent satisfaire les produits manufacturés en mousse phénolique, avec ou sans parements ou enduits de finition, utilisés pour l'isolation thermique des bâtiments.</w:t>
            </w:r>
            <w:r w:rsidRPr="0043547B">
              <w:rPr>
                <w:rFonts w:cstheme="minorHAnsi"/>
                <w:sz w:val="24"/>
                <w:szCs w:val="24"/>
              </w:rPr>
              <w:br/>
            </w:r>
            <w:r w:rsidR="00316D6F" w:rsidRPr="0043547B">
              <w:rPr>
                <w:rFonts w:cstheme="minorHAnsi"/>
                <w:sz w:val="24"/>
                <w:szCs w:val="24"/>
              </w:rPr>
              <w:t>Les produits sont fabriqués sous forme de panneaux et de produits feuilletés.</w:t>
            </w:r>
            <w:r w:rsidR="00316D6F" w:rsidRPr="0043547B">
              <w:rPr>
                <w:rFonts w:cstheme="minorHAnsi"/>
                <w:sz w:val="24"/>
                <w:szCs w:val="24"/>
              </w:rPr>
              <w:br/>
              <w:t>Les produits couverts par la présente norme sont également utilisés dans des systèmes d'isolation thermique et</w:t>
            </w:r>
            <w:r w:rsidR="00316D6F">
              <w:rPr>
                <w:rFonts w:cstheme="minorHAnsi"/>
                <w:sz w:val="24"/>
                <w:szCs w:val="24"/>
              </w:rPr>
              <w:t xml:space="preserve"> </w:t>
            </w:r>
            <w:r w:rsidR="00316D6F" w:rsidRPr="0043547B">
              <w:rPr>
                <w:rFonts w:cstheme="minorHAnsi"/>
                <w:sz w:val="24"/>
                <w:szCs w:val="24"/>
              </w:rPr>
              <w:t>dans des panneaux composites préfabriqués ; les performances des systèmes incorporant ces produits ne sont</w:t>
            </w:r>
            <w:r w:rsidR="008A7A06">
              <w:rPr>
                <w:rFonts w:cstheme="minorHAnsi"/>
                <w:sz w:val="24"/>
                <w:szCs w:val="24"/>
              </w:rPr>
              <w:t xml:space="preserve"> </w:t>
            </w:r>
            <w:r w:rsidR="00316D6F" w:rsidRPr="0043547B">
              <w:rPr>
                <w:rFonts w:cstheme="minorHAnsi"/>
                <w:sz w:val="24"/>
                <w:szCs w:val="24"/>
              </w:rPr>
              <w:t>pas définies.</w:t>
            </w:r>
          </w:p>
          <w:p w:rsidR="00316D6F" w:rsidRDefault="00316D6F" w:rsidP="00316D6F">
            <w:pPr>
              <w:spacing w:after="0" w:line="240" w:lineRule="auto"/>
              <w:jc w:val="both"/>
              <w:rPr>
                <w:rFonts w:cstheme="minorHAnsi"/>
                <w:sz w:val="24"/>
                <w:szCs w:val="24"/>
              </w:rPr>
            </w:pPr>
            <w:r w:rsidRPr="0043547B">
              <w:rPr>
                <w:rFonts w:cstheme="minorHAnsi"/>
                <w:sz w:val="24"/>
                <w:szCs w:val="24"/>
              </w:rPr>
              <w:t>La présente norme décrit les caractéristiques des produits et contient des modes opératoires d'essai, d'évaluation de la conformité, de marquage et d'étiquetage.</w:t>
            </w:r>
            <w:r w:rsidRPr="0043547B">
              <w:rPr>
                <w:rFonts w:cstheme="minorHAnsi"/>
                <w:sz w:val="24"/>
                <w:szCs w:val="24"/>
              </w:rPr>
              <w:br/>
              <w:t>La présente norme ne spécifie pas, pour une propriété donnée, le niveau exigé que doit atteindre un produit</w:t>
            </w:r>
            <w:r>
              <w:rPr>
                <w:rFonts w:cstheme="minorHAnsi"/>
                <w:sz w:val="24"/>
                <w:szCs w:val="24"/>
              </w:rPr>
              <w:t xml:space="preserve"> </w:t>
            </w:r>
            <w:r w:rsidRPr="0043547B">
              <w:rPr>
                <w:rFonts w:cstheme="minorHAnsi"/>
                <w:sz w:val="24"/>
                <w:szCs w:val="24"/>
              </w:rPr>
              <w:t>pour démontrer son aptitude à l'emploi dans une application particulière. Les niveaux requis pour une application donnée figurent dans les réglementations ou normes non conflictuelles.</w:t>
            </w:r>
          </w:p>
          <w:p w:rsidR="00316D6F" w:rsidRDefault="00316D6F" w:rsidP="00316D6F">
            <w:pPr>
              <w:spacing w:after="0" w:line="240" w:lineRule="auto"/>
              <w:jc w:val="both"/>
              <w:rPr>
                <w:rFonts w:cstheme="minorHAnsi"/>
                <w:sz w:val="24"/>
                <w:szCs w:val="24"/>
              </w:rPr>
            </w:pPr>
            <w:r w:rsidRPr="0043547B">
              <w:rPr>
                <w:rFonts w:cstheme="minorHAnsi"/>
                <w:sz w:val="24"/>
                <w:szCs w:val="24"/>
              </w:rPr>
              <w:t>Les produits dont la résistance thermique déclarée à une température de 10 °C est inférieure à 0,40 m2·K/W ou dont la conductivité thermique déclarée à une température de 10 °C est supérieure à 0,050 W/(m·K) ne relèvent pas du domaine d'application de la présente norme.</w:t>
            </w:r>
          </w:p>
          <w:p w:rsidR="003908FE" w:rsidRPr="0043547B" w:rsidRDefault="00316D6F" w:rsidP="00316D6F">
            <w:pPr>
              <w:spacing w:after="0" w:line="240" w:lineRule="auto"/>
              <w:jc w:val="both"/>
              <w:rPr>
                <w:rFonts w:cstheme="minorHAnsi"/>
                <w:sz w:val="24"/>
                <w:szCs w:val="24"/>
              </w:rPr>
            </w:pPr>
            <w:r w:rsidRPr="0043547B">
              <w:rPr>
                <w:rFonts w:cstheme="minorHAnsi"/>
                <w:sz w:val="24"/>
                <w:szCs w:val="24"/>
              </w:rPr>
              <w:t>Les produits isolants thermiques mis en oeuvre in situ et les produits destinés à être utilisés pour l'isolation thermique des équipements du bâtiment et des installations industrielles ne relèvent pas du domaine d'application de la présente norme (couvert par l’EN 14314 [3]).</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3908FE" w:rsidRPr="0043547B" w:rsidRDefault="003908FE" w:rsidP="009E0DB9">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hideMark/>
          </w:tcPr>
          <w:p w:rsidR="003908FE" w:rsidRPr="002E3AA9" w:rsidRDefault="003908FE" w:rsidP="009E0DB9">
            <w:pPr>
              <w:spacing w:after="0" w:line="240" w:lineRule="auto"/>
              <w:jc w:val="center"/>
              <w:rPr>
                <w:rFonts w:cstheme="minorHAnsi"/>
                <w:b/>
                <w:bCs/>
                <w:sz w:val="24"/>
                <w:szCs w:val="24"/>
              </w:rPr>
            </w:pPr>
            <w:r w:rsidRPr="002E3AA9">
              <w:rPr>
                <w:rFonts w:cstheme="minorHAnsi"/>
                <w:b/>
                <w:bCs/>
                <w:sz w:val="24"/>
                <w:szCs w:val="24"/>
              </w:rPr>
              <w:t>NM EN 13167</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3908FE" w:rsidRPr="0043547B" w:rsidRDefault="003908FE" w:rsidP="009E0DB9">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3908FE" w:rsidRPr="002E3AA9" w:rsidRDefault="003908FE" w:rsidP="009E0DB9">
            <w:pPr>
              <w:spacing w:after="0" w:line="240" w:lineRule="auto"/>
              <w:jc w:val="center"/>
              <w:rPr>
                <w:rFonts w:cstheme="minorHAnsi"/>
                <w:b/>
                <w:bCs/>
                <w:sz w:val="24"/>
                <w:szCs w:val="24"/>
              </w:rPr>
            </w:pPr>
            <w:r w:rsidRPr="002E3AA9">
              <w:rPr>
                <w:rFonts w:cstheme="minorHAnsi"/>
                <w:b/>
                <w:bCs/>
                <w:sz w:val="24"/>
                <w:szCs w:val="24"/>
              </w:rPr>
              <w:t>EN 13167</w:t>
            </w:r>
          </w:p>
        </w:tc>
      </w:tr>
      <w:tr w:rsidR="0043547B" w:rsidRPr="0043547B" w:rsidTr="00CB5DC0">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3908FE" w:rsidRPr="0043547B" w:rsidRDefault="003908FE" w:rsidP="009E0DB9">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hideMark/>
          </w:tcPr>
          <w:p w:rsidR="003908FE" w:rsidRPr="0043547B" w:rsidRDefault="003908FE" w:rsidP="009E0DB9">
            <w:pPr>
              <w:spacing w:after="0" w:line="240" w:lineRule="auto"/>
              <w:rPr>
                <w:rFonts w:cstheme="minorHAnsi"/>
                <w:sz w:val="24"/>
                <w:szCs w:val="24"/>
              </w:rPr>
            </w:pPr>
            <w:r w:rsidRPr="0043547B">
              <w:rPr>
                <w:rFonts w:cstheme="minorHAnsi"/>
                <w:sz w:val="24"/>
                <w:szCs w:val="24"/>
              </w:rPr>
              <w:t xml:space="preserve">Produits isolants thermiques pour le bâtiment - Produits manufacturés en verre cellulaire (CG) - Spécification </w:t>
            </w:r>
          </w:p>
        </w:tc>
      </w:tr>
      <w:tr w:rsidR="0043547B" w:rsidRPr="0043547B" w:rsidTr="00CB5DC0">
        <w:trPr>
          <w:trHeight w:val="5655"/>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3908FE" w:rsidRPr="0043547B" w:rsidRDefault="003908FE" w:rsidP="009E0DB9">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hideMark/>
          </w:tcPr>
          <w:p w:rsidR="009E0DB9" w:rsidRDefault="003908FE" w:rsidP="009E0DB9">
            <w:pPr>
              <w:spacing w:after="0" w:line="240" w:lineRule="auto"/>
              <w:jc w:val="both"/>
              <w:rPr>
                <w:rFonts w:cstheme="minorHAnsi"/>
                <w:sz w:val="24"/>
                <w:szCs w:val="24"/>
              </w:rPr>
            </w:pPr>
            <w:r w:rsidRPr="0043547B">
              <w:rPr>
                <w:rFonts w:cstheme="minorHAnsi"/>
                <w:sz w:val="24"/>
                <w:szCs w:val="24"/>
              </w:rPr>
              <w:t>La présente Norme européenne spécifie les exigences auxquelles doivent satisfaire les produits manufacturés en verre cellulaire (CG), avec ou sans parements ou enduits de finition, utilisés pour l'isolation thermique des bâtiments.</w:t>
            </w:r>
            <w:r w:rsidRPr="0043547B">
              <w:rPr>
                <w:rFonts w:cstheme="minorHAnsi"/>
                <w:sz w:val="24"/>
                <w:szCs w:val="24"/>
              </w:rPr>
              <w:br/>
              <w:t>Les produits sont fabriqués sous forme de panneaux ou plaques.</w:t>
            </w:r>
          </w:p>
          <w:p w:rsidR="009E0DB9" w:rsidRDefault="003908FE" w:rsidP="009E0DB9">
            <w:pPr>
              <w:spacing w:after="0" w:line="240" w:lineRule="auto"/>
              <w:jc w:val="both"/>
              <w:rPr>
                <w:rFonts w:cstheme="minorHAnsi"/>
                <w:sz w:val="24"/>
                <w:szCs w:val="24"/>
              </w:rPr>
            </w:pPr>
            <w:r w:rsidRPr="0043547B">
              <w:rPr>
                <w:rFonts w:cstheme="minorHAnsi"/>
                <w:sz w:val="24"/>
                <w:szCs w:val="24"/>
              </w:rPr>
              <w:t>Les produits couverts par la présente norme sont également utilisés dans des systèmes d'isolation thermique et</w:t>
            </w:r>
            <w:r w:rsidR="00AF3052">
              <w:rPr>
                <w:rFonts w:cstheme="minorHAnsi"/>
                <w:sz w:val="24"/>
                <w:szCs w:val="24"/>
              </w:rPr>
              <w:t xml:space="preserve"> </w:t>
            </w:r>
            <w:r w:rsidRPr="0043547B">
              <w:rPr>
                <w:rFonts w:cstheme="minorHAnsi"/>
                <w:sz w:val="24"/>
                <w:szCs w:val="24"/>
              </w:rPr>
              <w:t>dans des panneaux composites préfabriqués ; les performances des systèmes incorporant ces produits ne sont</w:t>
            </w:r>
            <w:r w:rsidR="00AF3052">
              <w:rPr>
                <w:rFonts w:cstheme="minorHAnsi"/>
                <w:sz w:val="24"/>
                <w:szCs w:val="24"/>
              </w:rPr>
              <w:t xml:space="preserve"> </w:t>
            </w:r>
            <w:r w:rsidRPr="0043547B">
              <w:rPr>
                <w:rFonts w:cstheme="minorHAnsi"/>
                <w:sz w:val="24"/>
                <w:szCs w:val="24"/>
              </w:rPr>
              <w:t>pas définies.</w:t>
            </w:r>
            <w:r w:rsidRPr="0043547B">
              <w:rPr>
                <w:rFonts w:cstheme="minorHAnsi"/>
                <w:sz w:val="24"/>
                <w:szCs w:val="24"/>
              </w:rPr>
              <w:br/>
              <w:t>La présente norme décrit les caractéristiques des produits et contient des modes opératoires d'essai, d'évaluation de la conformité, de marquage et d'étiquetage.</w:t>
            </w:r>
            <w:r w:rsidRPr="0043547B">
              <w:rPr>
                <w:rFonts w:cstheme="minorHAnsi"/>
                <w:sz w:val="24"/>
                <w:szCs w:val="24"/>
              </w:rPr>
              <w:br/>
              <w:t>La présente norme ne spécifie pas, pour une propriété donnée, le niveau exigé que doit atteindre un produit pour démontrer son aptitude à l'emploi dans une application particulière. Les niveaux requis pour une application donnée figurent dans les réglementations ou les normes non conflictuelles.</w:t>
            </w:r>
          </w:p>
          <w:p w:rsidR="009E0DB9" w:rsidRDefault="003908FE" w:rsidP="009E0DB9">
            <w:pPr>
              <w:spacing w:after="0" w:line="240" w:lineRule="auto"/>
              <w:jc w:val="both"/>
              <w:rPr>
                <w:rFonts w:cstheme="minorHAnsi"/>
                <w:sz w:val="24"/>
                <w:szCs w:val="24"/>
              </w:rPr>
            </w:pPr>
            <w:r w:rsidRPr="0043547B">
              <w:rPr>
                <w:rFonts w:cstheme="minorHAnsi"/>
                <w:sz w:val="24"/>
                <w:szCs w:val="24"/>
              </w:rPr>
              <w:t>Les produits dont la résistance thermique déclarée à une température de 10 °C est inférieure à 0,50 m2·K/W ou dont la conductivité thermique déclarée à une température de 10 °C est supérieure à 0,065 W/(m·K) ne relèvent pas du domaine d'application de la présente norme.</w:t>
            </w:r>
          </w:p>
          <w:p w:rsidR="003908FE" w:rsidRPr="0043547B" w:rsidRDefault="003908FE" w:rsidP="009E0DB9">
            <w:pPr>
              <w:spacing w:after="0" w:line="240" w:lineRule="auto"/>
              <w:jc w:val="both"/>
              <w:rPr>
                <w:rFonts w:cstheme="minorHAnsi"/>
                <w:sz w:val="24"/>
                <w:szCs w:val="24"/>
              </w:rPr>
            </w:pPr>
            <w:r w:rsidRPr="0043547B">
              <w:rPr>
                <w:rFonts w:cstheme="minorHAnsi"/>
                <w:sz w:val="24"/>
                <w:szCs w:val="24"/>
              </w:rPr>
              <w:t>Les produits isolants mis en oeuvre in situ et les produits destinés à être utilisés pour l'isolation des équipements du bâtiment et des installations industrielles ne relèvent pas du domaine d'application de la présente norme (couverts par l’EN 14305).</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3908FE" w:rsidRPr="0043547B" w:rsidRDefault="003908FE" w:rsidP="009E0DB9">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hideMark/>
          </w:tcPr>
          <w:p w:rsidR="003908FE" w:rsidRPr="002E3AA9" w:rsidRDefault="003908FE" w:rsidP="009E0DB9">
            <w:pPr>
              <w:spacing w:after="0" w:line="240" w:lineRule="auto"/>
              <w:jc w:val="center"/>
              <w:rPr>
                <w:rFonts w:cstheme="minorHAnsi"/>
                <w:b/>
                <w:bCs/>
                <w:sz w:val="24"/>
                <w:szCs w:val="24"/>
              </w:rPr>
            </w:pPr>
            <w:r w:rsidRPr="002E3AA9">
              <w:rPr>
                <w:rFonts w:cstheme="minorHAnsi"/>
                <w:b/>
                <w:bCs/>
                <w:sz w:val="24"/>
                <w:szCs w:val="24"/>
              </w:rPr>
              <w:t>NM EN 13168</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3908FE" w:rsidRPr="0043547B" w:rsidRDefault="003908FE" w:rsidP="009E0DB9">
            <w:pPr>
              <w:spacing w:after="0" w:line="240" w:lineRule="auto"/>
              <w:jc w:val="center"/>
              <w:rPr>
                <w:rFonts w:cstheme="minorHAnsi"/>
                <w:b/>
                <w:bCs/>
                <w:sz w:val="24"/>
                <w:szCs w:val="24"/>
              </w:rPr>
            </w:pPr>
            <w:r w:rsidRPr="0043547B">
              <w:rPr>
                <w:rFonts w:cstheme="minorHAnsi"/>
                <w:b/>
                <w:bCs/>
                <w:sz w:val="24"/>
                <w:szCs w:val="24"/>
              </w:rPr>
              <w:lastRenderedPageBreak/>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3908FE" w:rsidRPr="002E3AA9" w:rsidRDefault="003908FE" w:rsidP="009E0DB9">
            <w:pPr>
              <w:spacing w:after="0" w:line="240" w:lineRule="auto"/>
              <w:jc w:val="center"/>
              <w:rPr>
                <w:rFonts w:cstheme="minorHAnsi"/>
                <w:b/>
                <w:bCs/>
                <w:sz w:val="24"/>
                <w:szCs w:val="24"/>
              </w:rPr>
            </w:pPr>
            <w:r w:rsidRPr="002E3AA9">
              <w:rPr>
                <w:rFonts w:cstheme="minorHAnsi"/>
                <w:b/>
                <w:bCs/>
                <w:sz w:val="24"/>
                <w:szCs w:val="24"/>
              </w:rPr>
              <w:t>EN 13168</w:t>
            </w:r>
          </w:p>
        </w:tc>
      </w:tr>
      <w:tr w:rsidR="0043547B" w:rsidRPr="0043547B" w:rsidTr="00CB5DC0">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3908FE" w:rsidRPr="0043547B" w:rsidRDefault="003908FE" w:rsidP="009E0DB9">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hideMark/>
          </w:tcPr>
          <w:p w:rsidR="003908FE" w:rsidRPr="0043547B" w:rsidRDefault="003908FE" w:rsidP="009E0DB9">
            <w:pPr>
              <w:spacing w:after="0" w:line="240" w:lineRule="auto"/>
              <w:rPr>
                <w:rFonts w:cstheme="minorHAnsi"/>
                <w:sz w:val="24"/>
                <w:szCs w:val="24"/>
              </w:rPr>
            </w:pPr>
            <w:r w:rsidRPr="0043547B">
              <w:rPr>
                <w:rFonts w:cstheme="minorHAnsi"/>
                <w:sz w:val="24"/>
                <w:szCs w:val="24"/>
              </w:rPr>
              <w:t xml:space="preserve">Produits isolants thermiques pour le bâtiment - Produits manufacturés en laine de bois (WW) - Spécification </w:t>
            </w:r>
          </w:p>
        </w:tc>
      </w:tr>
      <w:tr w:rsidR="0043547B" w:rsidRPr="0043547B" w:rsidTr="00CB5DC0">
        <w:trPr>
          <w:trHeight w:val="56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3908FE" w:rsidRPr="0043547B" w:rsidRDefault="003908FE" w:rsidP="009E0DB9">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hideMark/>
          </w:tcPr>
          <w:p w:rsidR="00054614" w:rsidRDefault="003908FE" w:rsidP="00054614">
            <w:pPr>
              <w:spacing w:after="0" w:line="240" w:lineRule="auto"/>
              <w:jc w:val="both"/>
              <w:rPr>
                <w:rFonts w:cstheme="minorHAnsi"/>
                <w:sz w:val="24"/>
                <w:szCs w:val="24"/>
              </w:rPr>
            </w:pPr>
            <w:r w:rsidRPr="0043547B">
              <w:rPr>
                <w:rFonts w:cstheme="minorHAnsi"/>
                <w:sz w:val="24"/>
                <w:szCs w:val="24"/>
              </w:rPr>
              <w:t xml:space="preserve">La présente Norme européenne spécifie les exigences auxquelles doivent satisfaire les produits manufacturés en laine de bois (WW), avec ou sans </w:t>
            </w:r>
            <w:r w:rsidR="00054614" w:rsidRPr="0043547B">
              <w:rPr>
                <w:rFonts w:cstheme="minorHAnsi"/>
                <w:sz w:val="24"/>
                <w:szCs w:val="24"/>
              </w:rPr>
              <w:t>parements ou enduits de finition, utilisés pour l'isolation thermique des bâtiments.</w:t>
            </w:r>
            <w:r w:rsidR="00054614" w:rsidRPr="0043547B">
              <w:rPr>
                <w:rFonts w:cstheme="minorHAnsi"/>
                <w:sz w:val="24"/>
                <w:szCs w:val="24"/>
              </w:rPr>
              <w:br/>
              <w:t>Les produits sont fabriqués sous forme de panneaux ou plaques.</w:t>
            </w:r>
            <w:r w:rsidR="00054614" w:rsidRPr="0043547B">
              <w:rPr>
                <w:rFonts w:cstheme="minorHAnsi"/>
                <w:sz w:val="24"/>
                <w:szCs w:val="24"/>
              </w:rPr>
              <w:br/>
              <w:t>La présente Norme européenne spécifie également les exigences relatives aux produits composites manufacturés à base de laine de bois en combinaison avec d'autres matériaux isolants.</w:t>
            </w:r>
          </w:p>
          <w:p w:rsidR="00054614" w:rsidRDefault="00054614" w:rsidP="00054614">
            <w:pPr>
              <w:spacing w:after="0" w:line="240" w:lineRule="auto"/>
              <w:jc w:val="both"/>
              <w:rPr>
                <w:rFonts w:cstheme="minorHAnsi"/>
                <w:sz w:val="24"/>
                <w:szCs w:val="24"/>
              </w:rPr>
            </w:pPr>
            <w:r w:rsidRPr="0043547B">
              <w:rPr>
                <w:rFonts w:cstheme="minorHAnsi"/>
                <w:sz w:val="24"/>
                <w:szCs w:val="24"/>
              </w:rPr>
              <w:t>La présente norme inclut les produits isolants WW multicouches. Les instructions de l'Annexe C doivent être suivies.</w:t>
            </w:r>
          </w:p>
          <w:p w:rsidR="00054614" w:rsidRDefault="00054614" w:rsidP="00054614">
            <w:pPr>
              <w:spacing w:after="0" w:line="240" w:lineRule="auto"/>
              <w:jc w:val="both"/>
              <w:rPr>
                <w:rFonts w:cstheme="minorHAnsi"/>
                <w:sz w:val="24"/>
                <w:szCs w:val="24"/>
              </w:rPr>
            </w:pPr>
            <w:r w:rsidRPr="0043547B">
              <w:rPr>
                <w:rFonts w:cstheme="minorHAnsi"/>
                <w:sz w:val="24"/>
                <w:szCs w:val="24"/>
              </w:rPr>
              <w:t>La présente Norme européenne décrit les caractéristiques de ces produits et comporte des modes</w:t>
            </w:r>
            <w:r>
              <w:rPr>
                <w:rFonts w:cstheme="minorHAnsi"/>
                <w:sz w:val="24"/>
                <w:szCs w:val="24"/>
              </w:rPr>
              <w:t xml:space="preserve"> </w:t>
            </w:r>
            <w:r w:rsidRPr="0043547B">
              <w:rPr>
                <w:rFonts w:cstheme="minorHAnsi"/>
                <w:sz w:val="24"/>
                <w:szCs w:val="24"/>
              </w:rPr>
              <w:t>opératoires d’essai, d’évaluation de conformité, de marquage et d’étiquetage.</w:t>
            </w:r>
          </w:p>
          <w:p w:rsidR="00054614" w:rsidRDefault="00054614" w:rsidP="00B874C5">
            <w:pPr>
              <w:spacing w:after="0" w:line="240" w:lineRule="auto"/>
              <w:jc w:val="both"/>
              <w:rPr>
                <w:rFonts w:cstheme="minorHAnsi"/>
                <w:sz w:val="24"/>
                <w:szCs w:val="24"/>
              </w:rPr>
            </w:pPr>
            <w:r w:rsidRPr="0043547B">
              <w:rPr>
                <w:rFonts w:cstheme="minorHAnsi"/>
                <w:sz w:val="24"/>
                <w:szCs w:val="24"/>
              </w:rPr>
              <w:t>Les produits couverts par la présente Norme européenne sont également utilisés dans des systèmes d’isolation</w:t>
            </w:r>
            <w:r>
              <w:rPr>
                <w:rFonts w:cstheme="minorHAnsi"/>
                <w:sz w:val="24"/>
                <w:szCs w:val="24"/>
              </w:rPr>
              <w:t xml:space="preserve"> </w:t>
            </w:r>
            <w:r w:rsidRPr="0043547B">
              <w:rPr>
                <w:rFonts w:cstheme="minorHAnsi"/>
                <w:sz w:val="24"/>
                <w:szCs w:val="24"/>
              </w:rPr>
              <w:t>thermique et dans des panneaux composites préfabriqués ; la performance des systèmes incorporant ces produits n’y est pas définie.</w:t>
            </w:r>
            <w:r w:rsidRPr="0043547B">
              <w:rPr>
                <w:rFonts w:cstheme="minorHAnsi"/>
                <w:sz w:val="24"/>
                <w:szCs w:val="24"/>
              </w:rPr>
              <w:br/>
              <w:t>La présente norme ne spécifie pas, pour une propriété donnée, le niveau exigé que doit atteindre un produit pour démontrer son aptitude à l'emploi dans une application</w:t>
            </w:r>
            <w:r w:rsidR="00B874C5">
              <w:rPr>
                <w:rFonts w:cstheme="minorHAnsi"/>
                <w:sz w:val="24"/>
                <w:szCs w:val="24"/>
              </w:rPr>
              <w:t xml:space="preserve"> </w:t>
            </w:r>
            <w:r w:rsidRPr="0043547B">
              <w:rPr>
                <w:rFonts w:cstheme="minorHAnsi"/>
                <w:sz w:val="24"/>
                <w:szCs w:val="24"/>
              </w:rPr>
              <w:t>particulière.</w:t>
            </w:r>
            <w:r w:rsidR="00B874C5">
              <w:rPr>
                <w:rFonts w:cstheme="minorHAnsi"/>
                <w:sz w:val="24"/>
                <w:szCs w:val="24"/>
              </w:rPr>
              <w:t xml:space="preserve"> </w:t>
            </w:r>
            <w:r w:rsidRPr="0043547B">
              <w:rPr>
                <w:rFonts w:cstheme="minorHAnsi"/>
                <w:sz w:val="24"/>
                <w:szCs w:val="24"/>
              </w:rPr>
              <w:t>Les niveaux et classes requis pour une</w:t>
            </w:r>
            <w:r w:rsidRPr="0043547B">
              <w:rPr>
                <w:rFonts w:cstheme="minorHAnsi"/>
                <w:sz w:val="24"/>
                <w:szCs w:val="24"/>
              </w:rPr>
              <w:br/>
              <w:t>application donnée figurent dans les réglementations ou normes non conflictuelles.</w:t>
            </w:r>
            <w:r w:rsidRPr="0043547B">
              <w:rPr>
                <w:rFonts w:cstheme="minorHAnsi"/>
                <w:sz w:val="24"/>
                <w:szCs w:val="24"/>
              </w:rPr>
              <w:br/>
              <w:t>Les produits dont la résistance thermique déclarée à une température de 10 °C est inférieure à 0,15 m2·K/W ou dont la conductivité thermique déclarée à une température de 10 °C est supérieure à 0,100 W/(m·K) ne relèvent pas du domaine d'application de la présente norme.</w:t>
            </w:r>
          </w:p>
          <w:p w:rsidR="003908FE" w:rsidRPr="0043547B" w:rsidRDefault="00054614" w:rsidP="00054614">
            <w:pPr>
              <w:spacing w:after="0" w:line="240" w:lineRule="auto"/>
              <w:jc w:val="both"/>
              <w:rPr>
                <w:rFonts w:cstheme="minorHAnsi"/>
                <w:sz w:val="24"/>
                <w:szCs w:val="24"/>
              </w:rPr>
            </w:pPr>
            <w:r w:rsidRPr="0043547B">
              <w:rPr>
                <w:rFonts w:cstheme="minorHAnsi"/>
                <w:sz w:val="24"/>
                <w:szCs w:val="24"/>
              </w:rPr>
              <w:t>Les produits isolants mis en oeuvre in situ et les produits destinés à être utilisés pour l'isolation des équipements du bâtiment et des installations industrielles ne relèvent pas du domaine d'application de la présente Norme européenne.</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5D1071" w:rsidRPr="0043547B" w:rsidRDefault="005D1071" w:rsidP="00F8783B">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hideMark/>
          </w:tcPr>
          <w:p w:rsidR="005D1071" w:rsidRPr="002E3AA9" w:rsidRDefault="005D1071" w:rsidP="00F8783B">
            <w:pPr>
              <w:spacing w:after="0" w:line="240" w:lineRule="auto"/>
              <w:jc w:val="center"/>
              <w:rPr>
                <w:rFonts w:cstheme="minorHAnsi"/>
                <w:b/>
                <w:bCs/>
                <w:sz w:val="24"/>
                <w:szCs w:val="24"/>
              </w:rPr>
            </w:pPr>
            <w:r w:rsidRPr="002E3AA9">
              <w:rPr>
                <w:rFonts w:cstheme="minorHAnsi"/>
                <w:b/>
                <w:bCs/>
                <w:sz w:val="24"/>
                <w:szCs w:val="24"/>
              </w:rPr>
              <w:t>NM EN 13169</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5D1071" w:rsidRPr="0043547B" w:rsidRDefault="005D1071" w:rsidP="00F8783B">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5D1071" w:rsidRPr="002E3AA9" w:rsidRDefault="005D1071" w:rsidP="00F8783B">
            <w:pPr>
              <w:spacing w:after="0" w:line="240" w:lineRule="auto"/>
              <w:jc w:val="center"/>
              <w:rPr>
                <w:rFonts w:cstheme="minorHAnsi"/>
                <w:b/>
                <w:bCs/>
                <w:sz w:val="24"/>
                <w:szCs w:val="24"/>
              </w:rPr>
            </w:pPr>
            <w:r w:rsidRPr="002E3AA9">
              <w:rPr>
                <w:rFonts w:cstheme="minorHAnsi"/>
                <w:b/>
                <w:bCs/>
                <w:sz w:val="24"/>
                <w:szCs w:val="24"/>
              </w:rPr>
              <w:t>EN 13169</w:t>
            </w:r>
          </w:p>
        </w:tc>
      </w:tr>
      <w:tr w:rsidR="0043547B" w:rsidRPr="0043547B" w:rsidTr="00CB5DC0">
        <w:trPr>
          <w:trHeight w:val="579"/>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5D1071" w:rsidRPr="0043547B" w:rsidRDefault="005D1071" w:rsidP="00F8783B">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hideMark/>
          </w:tcPr>
          <w:p w:rsidR="005D1071" w:rsidRPr="0043547B" w:rsidRDefault="005D1071" w:rsidP="00F8783B">
            <w:pPr>
              <w:spacing w:after="0" w:line="240" w:lineRule="auto"/>
              <w:rPr>
                <w:rFonts w:cstheme="minorHAnsi"/>
                <w:sz w:val="24"/>
                <w:szCs w:val="24"/>
              </w:rPr>
            </w:pPr>
            <w:r w:rsidRPr="0043547B">
              <w:rPr>
                <w:rFonts w:cstheme="minorHAnsi"/>
                <w:sz w:val="24"/>
                <w:szCs w:val="24"/>
              </w:rPr>
              <w:t xml:space="preserve">Produits isolants thermiques pour le bâtiment - Produits manufacturés en panneaux de perlite expansée (EPB) - Spécification </w:t>
            </w:r>
          </w:p>
        </w:tc>
      </w:tr>
      <w:tr w:rsidR="0043547B" w:rsidRPr="0043547B" w:rsidTr="00CB5DC0">
        <w:trPr>
          <w:trHeight w:val="7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5D1071" w:rsidRPr="0043547B" w:rsidRDefault="005D1071" w:rsidP="00F8783B">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hideMark/>
          </w:tcPr>
          <w:p w:rsidR="00025F1F" w:rsidRDefault="005D1071" w:rsidP="00025F1F">
            <w:pPr>
              <w:spacing w:after="0" w:line="240" w:lineRule="auto"/>
              <w:jc w:val="both"/>
              <w:rPr>
                <w:rFonts w:cstheme="minorHAnsi"/>
                <w:sz w:val="24"/>
                <w:szCs w:val="24"/>
              </w:rPr>
            </w:pPr>
            <w:r w:rsidRPr="0043547B">
              <w:rPr>
                <w:rFonts w:cstheme="minorHAnsi"/>
                <w:sz w:val="24"/>
                <w:szCs w:val="24"/>
              </w:rPr>
              <w:t>La présente Norme européenne spécifie les exigences auxquelles doivent satisfaire les produits manufacturés</w:t>
            </w:r>
            <w:r w:rsidR="00AF3052">
              <w:rPr>
                <w:rFonts w:cstheme="minorHAnsi"/>
                <w:sz w:val="24"/>
                <w:szCs w:val="24"/>
              </w:rPr>
              <w:t xml:space="preserve"> </w:t>
            </w:r>
            <w:r w:rsidRPr="0043547B">
              <w:rPr>
                <w:rFonts w:cstheme="minorHAnsi"/>
                <w:sz w:val="24"/>
                <w:szCs w:val="24"/>
              </w:rPr>
              <w:t>en panneaux de perlite expansée, avec ou sans parements ou enduits de finition, utilisés pour l'isolation thermique des bâtiments. Les produits sont fabriqués sous forme de panneaux ou de produits d'isolation multicouches ou composites.</w:t>
            </w:r>
          </w:p>
          <w:p w:rsidR="00025F1F" w:rsidRDefault="005D1071" w:rsidP="00025F1F">
            <w:pPr>
              <w:spacing w:after="0" w:line="240" w:lineRule="auto"/>
              <w:jc w:val="both"/>
              <w:rPr>
                <w:rFonts w:cstheme="minorHAnsi"/>
                <w:sz w:val="24"/>
                <w:szCs w:val="24"/>
              </w:rPr>
            </w:pPr>
            <w:r w:rsidRPr="0043547B">
              <w:rPr>
                <w:rFonts w:cstheme="minorHAnsi"/>
                <w:sz w:val="24"/>
                <w:szCs w:val="24"/>
              </w:rPr>
              <w:t>La présente norme concerne également les produits d'isolation composites, voir Annexe E.</w:t>
            </w:r>
          </w:p>
          <w:p w:rsidR="00025F1F" w:rsidRDefault="005D1071" w:rsidP="00025F1F">
            <w:pPr>
              <w:spacing w:after="0" w:line="240" w:lineRule="auto"/>
              <w:jc w:val="both"/>
              <w:rPr>
                <w:rFonts w:cstheme="minorHAnsi"/>
                <w:sz w:val="24"/>
                <w:szCs w:val="24"/>
              </w:rPr>
            </w:pPr>
            <w:r w:rsidRPr="0043547B">
              <w:rPr>
                <w:rFonts w:cstheme="minorHAnsi"/>
                <w:sz w:val="24"/>
                <w:szCs w:val="24"/>
              </w:rPr>
              <w:t>Les produits couverts par la présente norme sont également utilisés dans les systèmes d'isolation thermique</w:t>
            </w:r>
            <w:r w:rsidR="00AF3052">
              <w:rPr>
                <w:rFonts w:cstheme="minorHAnsi"/>
                <w:sz w:val="24"/>
                <w:szCs w:val="24"/>
              </w:rPr>
              <w:t xml:space="preserve"> </w:t>
            </w:r>
            <w:r w:rsidRPr="0043547B">
              <w:rPr>
                <w:rFonts w:cstheme="minorHAnsi"/>
                <w:sz w:val="24"/>
                <w:szCs w:val="24"/>
              </w:rPr>
              <w:t>préfabriqués et les panneaux composites ; les performances des systèmes incorporant ces produits ne sont pas</w:t>
            </w:r>
            <w:r w:rsidRPr="0043547B">
              <w:rPr>
                <w:rFonts w:cstheme="minorHAnsi"/>
                <w:sz w:val="24"/>
                <w:szCs w:val="24"/>
              </w:rPr>
              <w:br/>
              <w:t>traitées.</w:t>
            </w:r>
            <w:r w:rsidRPr="0043547B">
              <w:rPr>
                <w:rFonts w:cstheme="minorHAnsi"/>
                <w:sz w:val="24"/>
                <w:szCs w:val="24"/>
              </w:rPr>
              <w:br/>
              <w:t>La présente norme décrit les caractéristiques des produits et contient des modes opératoires d'essai, d'évaluation de la conformité, de marquage et d'étiquetage.</w:t>
            </w:r>
            <w:r w:rsidRPr="0043547B">
              <w:rPr>
                <w:rFonts w:cstheme="minorHAnsi"/>
                <w:sz w:val="24"/>
                <w:szCs w:val="24"/>
              </w:rPr>
              <w:br/>
            </w:r>
            <w:r w:rsidRPr="0043547B">
              <w:rPr>
                <w:rFonts w:cstheme="minorHAnsi"/>
                <w:sz w:val="24"/>
                <w:szCs w:val="24"/>
              </w:rPr>
              <w:lastRenderedPageBreak/>
              <w:t>La présente norme ne spécifie pas, pour une propriété donnée, le niveau exigé que doit atteindre un produit pour démontrer son aptitude à l'emploi dans une application particulière. Les niveaux requis pour une application donnée figurent dans les réglementations ou normes non conflictuelles.</w:t>
            </w:r>
          </w:p>
          <w:p w:rsidR="00025F1F" w:rsidRDefault="005D1071" w:rsidP="00025F1F">
            <w:pPr>
              <w:spacing w:after="0" w:line="240" w:lineRule="auto"/>
              <w:jc w:val="both"/>
              <w:rPr>
                <w:rFonts w:cstheme="minorHAnsi"/>
                <w:sz w:val="24"/>
                <w:szCs w:val="24"/>
              </w:rPr>
            </w:pPr>
            <w:r w:rsidRPr="0043547B">
              <w:rPr>
                <w:rFonts w:cstheme="minorHAnsi"/>
                <w:sz w:val="24"/>
                <w:szCs w:val="24"/>
              </w:rPr>
              <w:t>Les produits dont la résistance thermique déclarée à une température de 10 °C est inférieure à 0,15 m2·K/W ou dont la conductivité thermique déclarée à une température de 10 °C est supérieure à 0,070 W/(m·K) ne relèvent pas du domaine d'application de la présente norme.</w:t>
            </w:r>
          </w:p>
          <w:p w:rsidR="005D1071" w:rsidRPr="0043547B" w:rsidRDefault="005D1071" w:rsidP="00025F1F">
            <w:pPr>
              <w:spacing w:after="0" w:line="240" w:lineRule="auto"/>
              <w:jc w:val="both"/>
              <w:rPr>
                <w:rFonts w:cstheme="minorHAnsi"/>
                <w:sz w:val="24"/>
                <w:szCs w:val="24"/>
              </w:rPr>
            </w:pPr>
            <w:r w:rsidRPr="0043547B">
              <w:rPr>
                <w:rFonts w:cstheme="minorHAnsi"/>
                <w:sz w:val="24"/>
                <w:szCs w:val="24"/>
              </w:rPr>
              <w:t>Les produits isolants mis en oeuvre in situ et les produits destinés à être utilisés pour l'isolation des équipements du bâtiment et des installations industrielles ne relèvent pas du domaine d'application de la présente norme.</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870625" w:rsidRPr="0043547B" w:rsidRDefault="00870625" w:rsidP="00025F1F">
            <w:pPr>
              <w:spacing w:after="0" w:line="240" w:lineRule="auto"/>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hideMark/>
          </w:tcPr>
          <w:p w:rsidR="00870625" w:rsidRPr="002E3AA9" w:rsidRDefault="00870625" w:rsidP="00025F1F">
            <w:pPr>
              <w:spacing w:after="0" w:line="240" w:lineRule="auto"/>
              <w:jc w:val="center"/>
              <w:rPr>
                <w:rFonts w:cstheme="minorHAnsi"/>
                <w:b/>
                <w:bCs/>
                <w:sz w:val="24"/>
                <w:szCs w:val="24"/>
              </w:rPr>
            </w:pPr>
            <w:r w:rsidRPr="002E3AA9">
              <w:rPr>
                <w:rFonts w:cstheme="minorHAnsi"/>
                <w:b/>
                <w:bCs/>
                <w:sz w:val="24"/>
                <w:szCs w:val="24"/>
              </w:rPr>
              <w:t>NM EN 14316-1</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870625" w:rsidRPr="0043547B" w:rsidRDefault="00870625" w:rsidP="00025F1F">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870625" w:rsidRPr="002E3AA9" w:rsidRDefault="00870625" w:rsidP="00025F1F">
            <w:pPr>
              <w:spacing w:after="0" w:line="240" w:lineRule="auto"/>
              <w:jc w:val="center"/>
              <w:rPr>
                <w:rFonts w:cstheme="minorHAnsi"/>
                <w:b/>
                <w:bCs/>
                <w:sz w:val="24"/>
                <w:szCs w:val="24"/>
              </w:rPr>
            </w:pPr>
            <w:r w:rsidRPr="002E3AA9">
              <w:rPr>
                <w:rFonts w:cstheme="minorHAnsi"/>
                <w:b/>
                <w:bCs/>
                <w:sz w:val="24"/>
                <w:szCs w:val="24"/>
              </w:rPr>
              <w:t>EN 14316-1</w:t>
            </w:r>
          </w:p>
        </w:tc>
      </w:tr>
      <w:tr w:rsidR="0043547B" w:rsidRPr="0043547B" w:rsidTr="00CB5DC0">
        <w:trPr>
          <w:trHeight w:val="6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870625" w:rsidRPr="0043547B" w:rsidRDefault="00870625" w:rsidP="00025F1F">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hideMark/>
          </w:tcPr>
          <w:p w:rsidR="00870625" w:rsidRPr="0043547B" w:rsidRDefault="00870625" w:rsidP="00025F1F">
            <w:pPr>
              <w:spacing w:after="0" w:line="240" w:lineRule="auto"/>
              <w:rPr>
                <w:rFonts w:cstheme="minorHAnsi"/>
                <w:sz w:val="24"/>
                <w:szCs w:val="24"/>
              </w:rPr>
            </w:pPr>
            <w:r w:rsidRPr="0043547B">
              <w:rPr>
                <w:rFonts w:cstheme="minorHAnsi"/>
                <w:sz w:val="24"/>
                <w:szCs w:val="24"/>
              </w:rPr>
              <w:t xml:space="preserve">Produits isolants thermiques pour le bâtiment - Isolation thermique formée en place à base de produits de perlite expansée (EP) – Partie 1 : Spécifications des produits liés et en vrac avant la mise en place   </w:t>
            </w:r>
          </w:p>
        </w:tc>
      </w:tr>
      <w:tr w:rsidR="0043547B" w:rsidRPr="0043547B" w:rsidTr="00CB5DC0">
        <w:trPr>
          <w:trHeight w:val="58"/>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870625" w:rsidRPr="0043547B" w:rsidRDefault="00870625" w:rsidP="00025F1F">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hideMark/>
          </w:tcPr>
          <w:p w:rsidR="00025F1F" w:rsidRDefault="00870625" w:rsidP="00025F1F">
            <w:pPr>
              <w:spacing w:after="0" w:line="240" w:lineRule="auto"/>
              <w:jc w:val="both"/>
              <w:rPr>
                <w:rFonts w:cstheme="minorHAnsi"/>
                <w:sz w:val="24"/>
                <w:szCs w:val="24"/>
              </w:rPr>
            </w:pPr>
            <w:r w:rsidRPr="0043547B">
              <w:rPr>
                <w:rFonts w:cstheme="minorHAnsi"/>
                <w:sz w:val="24"/>
                <w:szCs w:val="24"/>
              </w:rPr>
              <w:t>Le présent document spécifie les exigences concernant les quatre types de produits de perlite expansée : granulats de perlite (EPA), perlite enrobée (EPC), perlite hydrophobe (EPH) et perlite prémélangée (EPM), contenant moins de 1 % de matériaux organiques selon la définition de l’Annexe D, destinés à l’isolation in situ des toitures, des plafonds, des murs et des planchers.</w:t>
            </w:r>
          </w:p>
          <w:p w:rsidR="00025F1F" w:rsidRDefault="00870625" w:rsidP="00025F1F">
            <w:pPr>
              <w:spacing w:after="0" w:line="240" w:lineRule="auto"/>
              <w:jc w:val="both"/>
              <w:rPr>
                <w:rFonts w:cstheme="minorHAnsi"/>
                <w:sz w:val="24"/>
                <w:szCs w:val="24"/>
              </w:rPr>
            </w:pPr>
            <w:r w:rsidRPr="0043547B">
              <w:rPr>
                <w:rFonts w:cstheme="minorHAnsi"/>
                <w:sz w:val="24"/>
                <w:szCs w:val="24"/>
              </w:rPr>
              <w:t>Le présent document est une spécification pour les isolants avant installation.</w:t>
            </w:r>
          </w:p>
          <w:p w:rsidR="00025F1F" w:rsidRDefault="00870625" w:rsidP="00025F1F">
            <w:pPr>
              <w:spacing w:after="0" w:line="240" w:lineRule="auto"/>
              <w:jc w:val="both"/>
              <w:rPr>
                <w:rFonts w:cstheme="minorHAnsi"/>
                <w:sz w:val="24"/>
                <w:szCs w:val="24"/>
              </w:rPr>
            </w:pPr>
            <w:r w:rsidRPr="0043547B">
              <w:rPr>
                <w:rFonts w:cstheme="minorHAnsi"/>
                <w:sz w:val="24"/>
                <w:szCs w:val="24"/>
              </w:rPr>
              <w:t>Le présent document décrit les caractéristiques du produit et comprend les procédures pour l’essai, l’évaluation de la conformité, le marquage et l’étiquetage.</w:t>
            </w:r>
            <w:r w:rsidRPr="0043547B">
              <w:rPr>
                <w:rFonts w:cstheme="minorHAnsi"/>
                <w:sz w:val="24"/>
                <w:szCs w:val="24"/>
              </w:rPr>
              <w:br/>
              <w:t>Le présent document ne spécifie pas le niveau requis d’une propriété donnée devant être atteint par un produit pour en démontrer l’aptitude à la fonction dans une application particulière. Les niveaux requis pour une application particulière sont à trouver dans les réglementations ou dans des normes non contradictoires.</w:t>
            </w:r>
            <w:r w:rsidRPr="0043547B">
              <w:rPr>
                <w:rFonts w:cstheme="minorHAnsi"/>
                <w:sz w:val="24"/>
                <w:szCs w:val="24"/>
              </w:rPr>
              <w:br/>
              <w:t>La présente norme européenne ne couvre pas les isolants manufacturés préformés et panneaux en perlite expansée ni les produits formés in situ destinés à l’isolation d’équipements de bâtiments et d’installations industrielles.</w:t>
            </w:r>
          </w:p>
          <w:p w:rsidR="00870625" w:rsidRPr="0043547B" w:rsidRDefault="00870625" w:rsidP="00025F1F">
            <w:pPr>
              <w:spacing w:after="0" w:line="240" w:lineRule="auto"/>
              <w:jc w:val="both"/>
              <w:rPr>
                <w:rFonts w:cstheme="minorHAnsi"/>
                <w:sz w:val="24"/>
                <w:szCs w:val="24"/>
              </w:rPr>
            </w:pPr>
            <w:r w:rsidRPr="0043547B">
              <w:rPr>
                <w:rFonts w:cstheme="minorHAnsi"/>
                <w:sz w:val="24"/>
                <w:szCs w:val="24"/>
              </w:rPr>
              <w:t>Le présent document ne spécifie pas d’exigences de performance pour les applications d’isolement aux bruits</w:t>
            </w:r>
            <w:r w:rsidR="00AF3052">
              <w:rPr>
                <w:rFonts w:cstheme="minorHAnsi"/>
                <w:sz w:val="24"/>
                <w:szCs w:val="24"/>
              </w:rPr>
              <w:t xml:space="preserve"> </w:t>
            </w:r>
            <w:r w:rsidRPr="0043547B">
              <w:rPr>
                <w:rFonts w:cstheme="minorHAnsi"/>
                <w:sz w:val="24"/>
                <w:szCs w:val="24"/>
              </w:rPr>
              <w:t>aériens et d’absorption acoustique.</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870625" w:rsidRPr="0043547B" w:rsidRDefault="00870625" w:rsidP="00025F1F">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hideMark/>
          </w:tcPr>
          <w:p w:rsidR="00870625" w:rsidRPr="002E3AA9" w:rsidRDefault="00870625" w:rsidP="00025F1F">
            <w:pPr>
              <w:spacing w:after="0" w:line="240" w:lineRule="auto"/>
              <w:jc w:val="center"/>
              <w:rPr>
                <w:rFonts w:cstheme="minorHAnsi"/>
                <w:b/>
                <w:bCs/>
                <w:sz w:val="24"/>
                <w:szCs w:val="24"/>
              </w:rPr>
            </w:pPr>
            <w:r w:rsidRPr="002E3AA9">
              <w:rPr>
                <w:rFonts w:cstheme="minorHAnsi"/>
                <w:b/>
                <w:bCs/>
                <w:sz w:val="24"/>
                <w:szCs w:val="24"/>
              </w:rPr>
              <w:t>NM EN 14316-2</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870625" w:rsidRPr="0043547B" w:rsidRDefault="00870625" w:rsidP="00025F1F">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870625" w:rsidRPr="002E3AA9" w:rsidRDefault="00870625" w:rsidP="00025F1F">
            <w:pPr>
              <w:spacing w:after="0" w:line="240" w:lineRule="auto"/>
              <w:jc w:val="center"/>
              <w:rPr>
                <w:rFonts w:cstheme="minorHAnsi"/>
                <w:b/>
                <w:bCs/>
                <w:sz w:val="24"/>
                <w:szCs w:val="24"/>
              </w:rPr>
            </w:pPr>
            <w:r w:rsidRPr="002E3AA9">
              <w:rPr>
                <w:rFonts w:cstheme="minorHAnsi"/>
                <w:b/>
                <w:bCs/>
                <w:sz w:val="24"/>
                <w:szCs w:val="24"/>
              </w:rPr>
              <w:t>EN 14316-2</w:t>
            </w:r>
          </w:p>
        </w:tc>
      </w:tr>
      <w:tr w:rsidR="0043547B" w:rsidRPr="0043547B" w:rsidTr="00CB5DC0">
        <w:trPr>
          <w:trHeight w:val="6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870625" w:rsidRPr="0043547B" w:rsidRDefault="00870625" w:rsidP="00025F1F">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hideMark/>
          </w:tcPr>
          <w:p w:rsidR="00870625" w:rsidRPr="0043547B" w:rsidRDefault="00870625" w:rsidP="00025F1F">
            <w:pPr>
              <w:spacing w:after="0" w:line="240" w:lineRule="auto"/>
              <w:rPr>
                <w:rFonts w:cstheme="minorHAnsi"/>
                <w:sz w:val="24"/>
                <w:szCs w:val="24"/>
              </w:rPr>
            </w:pPr>
            <w:r w:rsidRPr="0043547B">
              <w:rPr>
                <w:rFonts w:cstheme="minorHAnsi"/>
                <w:sz w:val="24"/>
                <w:szCs w:val="24"/>
              </w:rPr>
              <w:t>Produits isolants thermiques pour le bâtiment - Isolation thermique formée en place à base de produits de perlite expansée (EP) – Partie 2 : Spécifications des produits mis en place</w:t>
            </w:r>
          </w:p>
        </w:tc>
      </w:tr>
      <w:tr w:rsidR="0043547B" w:rsidRPr="0043547B" w:rsidTr="00CB5DC0">
        <w:trPr>
          <w:trHeight w:val="127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870625" w:rsidRPr="0043547B" w:rsidRDefault="00870625" w:rsidP="00025F1F">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hideMark/>
          </w:tcPr>
          <w:p w:rsidR="00025F1F" w:rsidRDefault="00870625" w:rsidP="00025F1F">
            <w:pPr>
              <w:spacing w:after="0" w:line="240" w:lineRule="auto"/>
              <w:jc w:val="both"/>
              <w:rPr>
                <w:rFonts w:cstheme="minorHAnsi"/>
                <w:sz w:val="24"/>
                <w:szCs w:val="24"/>
              </w:rPr>
            </w:pPr>
            <w:r w:rsidRPr="0043547B">
              <w:rPr>
                <w:rFonts w:cstheme="minorHAnsi"/>
                <w:sz w:val="24"/>
                <w:szCs w:val="24"/>
              </w:rPr>
              <w:t>La présente Norme européenne spécifie les exigences concernant quatre types de produits à base de perlite expansée : granulats de perlite (EPA), perlite enrobée (EPC), perlite hydrophobe (EPH) et perlite prémélangée (EPM), contenant moins de 1 % de matériaux organiques selon la définition de l’Annexe D de l’EN 14316-1:2004, et destinés à l’isolation en place des toitures, des plafonds, des murs et des planchers.</w:t>
            </w:r>
          </w:p>
          <w:p w:rsidR="00025F1F" w:rsidRDefault="00870625" w:rsidP="00025F1F">
            <w:pPr>
              <w:spacing w:after="0" w:line="240" w:lineRule="auto"/>
              <w:jc w:val="both"/>
              <w:rPr>
                <w:rFonts w:cstheme="minorHAnsi"/>
                <w:sz w:val="24"/>
                <w:szCs w:val="24"/>
              </w:rPr>
            </w:pPr>
            <w:r w:rsidRPr="0043547B">
              <w:rPr>
                <w:rFonts w:cstheme="minorHAnsi"/>
                <w:sz w:val="24"/>
                <w:szCs w:val="24"/>
              </w:rPr>
              <w:t>Le présent document est une spécification applicable aux produits installés.</w:t>
            </w:r>
          </w:p>
          <w:p w:rsidR="00025F1F" w:rsidRDefault="00870625" w:rsidP="00025F1F">
            <w:pPr>
              <w:spacing w:after="0" w:line="240" w:lineRule="auto"/>
              <w:jc w:val="both"/>
              <w:rPr>
                <w:rFonts w:cstheme="minorHAnsi"/>
                <w:sz w:val="24"/>
                <w:szCs w:val="24"/>
              </w:rPr>
            </w:pPr>
            <w:r w:rsidRPr="0043547B">
              <w:rPr>
                <w:rFonts w:cstheme="minorHAnsi"/>
                <w:sz w:val="24"/>
                <w:szCs w:val="24"/>
              </w:rPr>
              <w:t>Le présent document décrit les vérifications et les modes opératoires d’essai à appliquer pour la déclaration faite par l’installateur du produit.</w:t>
            </w:r>
          </w:p>
          <w:p w:rsidR="00870625" w:rsidRPr="0043547B" w:rsidRDefault="00870625" w:rsidP="00025F1F">
            <w:pPr>
              <w:spacing w:after="0" w:line="240" w:lineRule="auto"/>
              <w:jc w:val="both"/>
              <w:rPr>
                <w:rFonts w:cstheme="minorHAnsi"/>
                <w:sz w:val="24"/>
                <w:szCs w:val="24"/>
              </w:rPr>
            </w:pPr>
            <w:r w:rsidRPr="0043547B">
              <w:rPr>
                <w:rFonts w:cstheme="minorHAnsi"/>
                <w:sz w:val="24"/>
                <w:szCs w:val="24"/>
              </w:rPr>
              <w:lastRenderedPageBreak/>
              <w:t>La présente Norme européenne ne spécifie pas le niveau requis de toutes les propriétés qui doivent être satisfaites par un produit pour démontrer son aptitude à l’emploi dans une application particulière. Les niveaux requis peuvent être consignés dans des réglementations ou dans des normes divergentes.</w:t>
            </w:r>
            <w:r w:rsidRPr="0043547B">
              <w:rPr>
                <w:rFonts w:cstheme="minorHAnsi"/>
                <w:sz w:val="24"/>
                <w:szCs w:val="24"/>
              </w:rPr>
              <w:br/>
              <w:t>La présente Norme européenne ne couvre pas des produits d’isolation formés fabriqués en usine ni des panneaux à base de perlite expansée ou des produits formés en place, destinés à l’isolation d’équipements de bâtiments et d’installations industrielles.</w:t>
            </w:r>
            <w:r w:rsidRPr="0043547B">
              <w:rPr>
                <w:rFonts w:cstheme="minorHAnsi"/>
                <w:sz w:val="24"/>
                <w:szCs w:val="24"/>
              </w:rPr>
              <w:br/>
              <w:t>La présente Norme européenne ne spécifie pas d’exigences de performance pour les applications d’isolement aux bruits aériens et d’absorption acoustique.</w:t>
            </w:r>
          </w:p>
        </w:tc>
      </w:tr>
      <w:tr w:rsidR="0043547B" w:rsidRPr="0043547B" w:rsidTr="00CB5DC0">
        <w:trPr>
          <w:trHeight w:val="433"/>
          <w:jc w:val="center"/>
        </w:trPr>
        <w:tc>
          <w:tcPr>
            <w:tcW w:w="1838" w:type="dxa"/>
            <w:tcBorders>
              <w:top w:val="nil"/>
              <w:left w:val="single" w:sz="18" w:space="0" w:color="auto"/>
              <w:bottom w:val="single" w:sz="18" w:space="0" w:color="auto"/>
              <w:right w:val="single" w:sz="4" w:space="0" w:color="auto"/>
            </w:tcBorders>
            <w:shd w:val="clear" w:color="auto" w:fill="B0CA7C"/>
            <w:vAlign w:val="center"/>
          </w:tcPr>
          <w:p w:rsidR="00435069" w:rsidRPr="0043547B" w:rsidRDefault="00435069" w:rsidP="00ED7DF1">
            <w:pPr>
              <w:spacing w:after="0" w:line="240" w:lineRule="auto"/>
              <w:jc w:val="center"/>
              <w:rPr>
                <w:rFonts w:cstheme="minorHAnsi"/>
                <w:b/>
                <w:bCs/>
                <w:sz w:val="24"/>
                <w:szCs w:val="24"/>
              </w:rPr>
            </w:pPr>
            <w:r w:rsidRPr="0043547B">
              <w:rPr>
                <w:rFonts w:cstheme="minorHAnsi"/>
                <w:b/>
                <w:bCs/>
                <w:sz w:val="24"/>
                <w:szCs w:val="24"/>
              </w:rPr>
              <w:lastRenderedPageBreak/>
              <w:t>Code :</w:t>
            </w:r>
          </w:p>
        </w:tc>
        <w:tc>
          <w:tcPr>
            <w:tcW w:w="7938" w:type="dxa"/>
            <w:tcBorders>
              <w:top w:val="nil"/>
              <w:left w:val="single" w:sz="4" w:space="0" w:color="auto"/>
              <w:bottom w:val="single" w:sz="18" w:space="0" w:color="auto"/>
              <w:right w:val="single" w:sz="18" w:space="0" w:color="auto"/>
            </w:tcBorders>
            <w:shd w:val="clear" w:color="auto" w:fill="B0CA7C"/>
            <w:vAlign w:val="center"/>
          </w:tcPr>
          <w:p w:rsidR="00435069" w:rsidRPr="0043547B" w:rsidRDefault="00435069" w:rsidP="00ED7DF1">
            <w:pPr>
              <w:spacing w:after="0" w:line="240" w:lineRule="auto"/>
              <w:jc w:val="center"/>
              <w:rPr>
                <w:rFonts w:cstheme="minorHAnsi"/>
                <w:b/>
                <w:bCs/>
                <w:sz w:val="24"/>
                <w:szCs w:val="24"/>
              </w:rPr>
            </w:pPr>
            <w:r w:rsidRPr="0043547B">
              <w:rPr>
                <w:rFonts w:cstheme="minorHAnsi"/>
                <w:b/>
                <w:bCs/>
                <w:sz w:val="24"/>
                <w:szCs w:val="24"/>
              </w:rPr>
              <w:t>NM ISO 14631</w:t>
            </w:r>
          </w:p>
        </w:tc>
      </w:tr>
      <w:tr w:rsidR="0043547B" w:rsidRPr="0043547B" w:rsidTr="00CB5DC0">
        <w:trPr>
          <w:trHeight w:val="384"/>
          <w:jc w:val="center"/>
        </w:trPr>
        <w:tc>
          <w:tcPr>
            <w:tcW w:w="1838" w:type="dxa"/>
            <w:tcBorders>
              <w:top w:val="single" w:sz="18" w:space="0" w:color="auto"/>
              <w:left w:val="single" w:sz="18" w:space="0" w:color="auto"/>
              <w:bottom w:val="single" w:sz="6" w:space="0" w:color="auto"/>
              <w:right w:val="single" w:sz="4" w:space="0" w:color="auto"/>
            </w:tcBorders>
            <w:shd w:val="clear" w:color="auto" w:fill="FFFF99"/>
            <w:vAlign w:val="center"/>
          </w:tcPr>
          <w:p w:rsidR="00435069" w:rsidRPr="0043547B" w:rsidRDefault="00435069" w:rsidP="00ED7DF1">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6" w:space="0" w:color="auto"/>
              <w:right w:val="single" w:sz="18" w:space="0" w:color="auto"/>
            </w:tcBorders>
            <w:shd w:val="clear" w:color="auto" w:fill="FFFF99"/>
            <w:vAlign w:val="center"/>
          </w:tcPr>
          <w:p w:rsidR="00435069" w:rsidRPr="0043547B" w:rsidRDefault="00435069" w:rsidP="00ED7DF1">
            <w:pPr>
              <w:spacing w:after="0" w:line="240" w:lineRule="auto"/>
              <w:jc w:val="center"/>
              <w:rPr>
                <w:rFonts w:cstheme="minorHAnsi"/>
                <w:b/>
                <w:bCs/>
                <w:sz w:val="24"/>
                <w:szCs w:val="24"/>
              </w:rPr>
            </w:pPr>
            <w:r w:rsidRPr="0043547B">
              <w:rPr>
                <w:rFonts w:cstheme="minorHAnsi"/>
                <w:b/>
                <w:bCs/>
                <w:sz w:val="24"/>
                <w:szCs w:val="24"/>
              </w:rPr>
              <w:t>ISO 14631</w:t>
            </w:r>
          </w:p>
        </w:tc>
      </w:tr>
      <w:tr w:rsidR="0043547B" w:rsidRPr="0043547B" w:rsidTr="00CB5DC0">
        <w:trPr>
          <w:trHeight w:val="666"/>
          <w:jc w:val="center"/>
        </w:trPr>
        <w:tc>
          <w:tcPr>
            <w:tcW w:w="1838" w:type="dxa"/>
            <w:tcBorders>
              <w:top w:val="single" w:sz="6" w:space="0" w:color="auto"/>
              <w:left w:val="single" w:sz="18" w:space="0" w:color="auto"/>
              <w:bottom w:val="single" w:sz="4" w:space="0" w:color="auto"/>
              <w:right w:val="single" w:sz="4" w:space="0" w:color="auto"/>
            </w:tcBorders>
            <w:shd w:val="clear" w:color="auto" w:fill="8DB3E2" w:themeFill="text2" w:themeFillTint="66"/>
            <w:vAlign w:val="center"/>
          </w:tcPr>
          <w:p w:rsidR="00435069" w:rsidRPr="0043547B" w:rsidRDefault="00435069" w:rsidP="00ED7DF1">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6" w:space="0" w:color="auto"/>
              <w:left w:val="single" w:sz="4" w:space="0" w:color="auto"/>
              <w:bottom w:val="single" w:sz="4" w:space="0" w:color="auto"/>
              <w:right w:val="single" w:sz="18" w:space="0" w:color="auto"/>
            </w:tcBorders>
            <w:shd w:val="clear" w:color="auto" w:fill="auto"/>
            <w:vAlign w:val="center"/>
          </w:tcPr>
          <w:p w:rsidR="00435069" w:rsidRPr="0043547B" w:rsidRDefault="00435069" w:rsidP="00ED7DF1">
            <w:pPr>
              <w:spacing w:after="0" w:line="240" w:lineRule="auto"/>
              <w:rPr>
                <w:rFonts w:cstheme="minorHAnsi"/>
                <w:sz w:val="24"/>
                <w:szCs w:val="24"/>
              </w:rPr>
            </w:pPr>
            <w:r w:rsidRPr="0043547B">
              <w:rPr>
                <w:rFonts w:cstheme="minorHAnsi"/>
                <w:sz w:val="24"/>
                <w:szCs w:val="24"/>
              </w:rPr>
              <w:t>Plaques extrudées en polystyrène résistant au choc (PS-I) - Prescriptions et méthodes d'essai ; (IC 05.6.494)</w:t>
            </w:r>
          </w:p>
        </w:tc>
      </w:tr>
      <w:tr w:rsidR="0043547B" w:rsidRPr="0043547B" w:rsidTr="00CB5DC0">
        <w:trPr>
          <w:trHeight w:val="1270"/>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435069" w:rsidRPr="0043547B" w:rsidRDefault="00435069" w:rsidP="00ED7DF1">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bottom"/>
          </w:tcPr>
          <w:p w:rsidR="00435069" w:rsidRPr="0043547B" w:rsidRDefault="00435069" w:rsidP="00ED7DF1">
            <w:pPr>
              <w:spacing w:after="0" w:line="240" w:lineRule="auto"/>
              <w:jc w:val="both"/>
              <w:rPr>
                <w:rFonts w:cstheme="minorHAnsi"/>
                <w:sz w:val="24"/>
                <w:szCs w:val="24"/>
              </w:rPr>
            </w:pPr>
            <w:r w:rsidRPr="0043547B">
              <w:rPr>
                <w:rFonts w:cstheme="minorHAnsi"/>
                <w:sz w:val="24"/>
                <w:szCs w:val="24"/>
              </w:rPr>
              <w:t>La présente norme définit les prescriptions et les méthodes d'essai pour les plaques extrudées massives et planes en polystyrène modifié résistant au choc (PS-I1) sans adjonction de charges ou de renforts. Elle s'applique exclusivement aux plaques de 0,25 mm à 20,0 mm d'épaisseur en conformité avec l’article 3. Cette norme est également valable pour les plaques en PS-I enroulées en bobines.</w:t>
            </w:r>
          </w:p>
        </w:tc>
      </w:tr>
      <w:tr w:rsidR="0043547B" w:rsidRPr="0043547B" w:rsidTr="00CB5DC0">
        <w:trPr>
          <w:trHeight w:val="443"/>
          <w:jc w:val="center"/>
        </w:trPr>
        <w:tc>
          <w:tcPr>
            <w:tcW w:w="1838" w:type="dxa"/>
            <w:tcBorders>
              <w:top w:val="nil"/>
              <w:left w:val="single" w:sz="18" w:space="0" w:color="auto"/>
              <w:bottom w:val="single" w:sz="18" w:space="0" w:color="auto"/>
              <w:right w:val="single" w:sz="4" w:space="0" w:color="auto"/>
            </w:tcBorders>
            <w:shd w:val="clear" w:color="auto" w:fill="B0CA7C"/>
            <w:vAlign w:val="center"/>
          </w:tcPr>
          <w:p w:rsidR="00435069" w:rsidRPr="0043547B" w:rsidRDefault="00435069" w:rsidP="00ED7DF1">
            <w:pPr>
              <w:spacing w:after="0" w:line="240" w:lineRule="auto"/>
              <w:jc w:val="center"/>
              <w:rPr>
                <w:rFonts w:cstheme="minorHAnsi"/>
                <w:b/>
                <w:bCs/>
                <w:sz w:val="24"/>
                <w:szCs w:val="24"/>
              </w:rPr>
            </w:pPr>
            <w:r w:rsidRPr="0043547B">
              <w:rPr>
                <w:rFonts w:cstheme="minorHAnsi"/>
                <w:b/>
                <w:bCs/>
                <w:sz w:val="24"/>
                <w:szCs w:val="24"/>
              </w:rPr>
              <w:t>Code</w:t>
            </w:r>
            <w:r w:rsidR="00ED7DF1" w:rsidRPr="0043547B">
              <w:rPr>
                <w:rFonts w:cstheme="minorHAnsi"/>
                <w:b/>
                <w:bCs/>
                <w:sz w:val="24"/>
                <w:szCs w:val="24"/>
              </w:rPr>
              <w:t xml:space="preserve"> </w:t>
            </w:r>
            <w:r w:rsidRPr="0043547B">
              <w:rPr>
                <w:rFonts w:cstheme="minorHAnsi"/>
                <w:b/>
                <w:bCs/>
                <w:sz w:val="24"/>
                <w:szCs w:val="24"/>
              </w:rPr>
              <w:t>:</w:t>
            </w:r>
          </w:p>
        </w:tc>
        <w:tc>
          <w:tcPr>
            <w:tcW w:w="7938" w:type="dxa"/>
            <w:tcBorders>
              <w:top w:val="nil"/>
              <w:left w:val="single" w:sz="4" w:space="0" w:color="auto"/>
              <w:bottom w:val="single" w:sz="18" w:space="0" w:color="auto"/>
              <w:right w:val="single" w:sz="18" w:space="0" w:color="auto"/>
            </w:tcBorders>
            <w:shd w:val="clear" w:color="auto" w:fill="B0CA7C"/>
            <w:vAlign w:val="center"/>
          </w:tcPr>
          <w:p w:rsidR="00435069" w:rsidRPr="0043547B" w:rsidRDefault="00435069" w:rsidP="00ED7DF1">
            <w:pPr>
              <w:spacing w:after="0" w:line="240" w:lineRule="auto"/>
              <w:jc w:val="center"/>
              <w:rPr>
                <w:rFonts w:cstheme="minorHAnsi"/>
                <w:b/>
                <w:bCs/>
                <w:sz w:val="24"/>
                <w:szCs w:val="24"/>
              </w:rPr>
            </w:pPr>
            <w:r w:rsidRPr="0043547B">
              <w:rPr>
                <w:rFonts w:cstheme="minorHAnsi"/>
                <w:b/>
                <w:bCs/>
                <w:sz w:val="24"/>
                <w:szCs w:val="24"/>
              </w:rPr>
              <w:t>NM ISO 14632</w:t>
            </w:r>
          </w:p>
        </w:tc>
      </w:tr>
      <w:tr w:rsidR="0043547B" w:rsidRPr="0043547B" w:rsidTr="00CB5DC0">
        <w:trPr>
          <w:trHeight w:val="394"/>
          <w:jc w:val="center"/>
        </w:trPr>
        <w:tc>
          <w:tcPr>
            <w:tcW w:w="1838" w:type="dxa"/>
            <w:tcBorders>
              <w:top w:val="single" w:sz="18" w:space="0" w:color="auto"/>
              <w:left w:val="single" w:sz="18" w:space="0" w:color="auto"/>
              <w:bottom w:val="single" w:sz="6" w:space="0" w:color="auto"/>
              <w:right w:val="single" w:sz="4" w:space="0" w:color="auto"/>
            </w:tcBorders>
            <w:shd w:val="clear" w:color="auto" w:fill="FFFF99"/>
            <w:vAlign w:val="center"/>
          </w:tcPr>
          <w:p w:rsidR="00435069" w:rsidRPr="0043547B" w:rsidRDefault="00435069" w:rsidP="00ED7DF1">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6" w:space="0" w:color="auto"/>
              <w:right w:val="single" w:sz="18" w:space="0" w:color="auto"/>
            </w:tcBorders>
            <w:shd w:val="clear" w:color="auto" w:fill="FFFF99"/>
            <w:vAlign w:val="center"/>
          </w:tcPr>
          <w:p w:rsidR="00435069" w:rsidRPr="0043547B" w:rsidRDefault="00435069" w:rsidP="00ED7DF1">
            <w:pPr>
              <w:spacing w:after="0" w:line="240" w:lineRule="auto"/>
              <w:jc w:val="center"/>
              <w:rPr>
                <w:rFonts w:cstheme="minorHAnsi"/>
                <w:b/>
                <w:bCs/>
                <w:sz w:val="24"/>
                <w:szCs w:val="24"/>
              </w:rPr>
            </w:pPr>
            <w:r w:rsidRPr="0043547B">
              <w:rPr>
                <w:rFonts w:cstheme="minorHAnsi"/>
                <w:b/>
                <w:bCs/>
                <w:sz w:val="24"/>
                <w:szCs w:val="24"/>
              </w:rPr>
              <w:t>ISO 14632</w:t>
            </w:r>
          </w:p>
        </w:tc>
      </w:tr>
      <w:tr w:rsidR="0043547B" w:rsidRPr="0043547B" w:rsidTr="00CB5DC0">
        <w:trPr>
          <w:trHeight w:val="669"/>
          <w:jc w:val="center"/>
        </w:trPr>
        <w:tc>
          <w:tcPr>
            <w:tcW w:w="1838" w:type="dxa"/>
            <w:tcBorders>
              <w:top w:val="single" w:sz="6" w:space="0" w:color="auto"/>
              <w:left w:val="single" w:sz="18" w:space="0" w:color="auto"/>
              <w:bottom w:val="single" w:sz="6" w:space="0" w:color="auto"/>
              <w:right w:val="single" w:sz="4" w:space="0" w:color="auto"/>
            </w:tcBorders>
            <w:shd w:val="clear" w:color="auto" w:fill="8DB3E2" w:themeFill="text2" w:themeFillTint="66"/>
            <w:vAlign w:val="center"/>
          </w:tcPr>
          <w:p w:rsidR="00435069" w:rsidRPr="0043547B" w:rsidRDefault="00435069" w:rsidP="00ED7DF1">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6" w:space="0" w:color="auto"/>
              <w:left w:val="single" w:sz="4" w:space="0" w:color="auto"/>
              <w:bottom w:val="single" w:sz="6" w:space="0" w:color="auto"/>
              <w:right w:val="single" w:sz="18" w:space="0" w:color="auto"/>
            </w:tcBorders>
            <w:shd w:val="clear" w:color="auto" w:fill="auto"/>
            <w:vAlign w:val="center"/>
          </w:tcPr>
          <w:p w:rsidR="00435069" w:rsidRPr="0043547B" w:rsidRDefault="00435069" w:rsidP="00ED7DF1">
            <w:pPr>
              <w:spacing w:after="0" w:line="240" w:lineRule="auto"/>
              <w:rPr>
                <w:rFonts w:cstheme="minorHAnsi"/>
                <w:sz w:val="24"/>
                <w:szCs w:val="24"/>
              </w:rPr>
            </w:pPr>
            <w:r w:rsidRPr="0043547B">
              <w:rPr>
                <w:rFonts w:cstheme="minorHAnsi"/>
                <w:sz w:val="24"/>
                <w:szCs w:val="24"/>
              </w:rPr>
              <w:t>Plaques extrudées en polyéthylène (PE-HD) - Prescriptions et méthodes d'essai ; (IC 05.6.495)</w:t>
            </w:r>
          </w:p>
        </w:tc>
      </w:tr>
      <w:tr w:rsidR="0043547B" w:rsidRPr="0043547B" w:rsidTr="00CB5DC0">
        <w:trPr>
          <w:trHeight w:val="1270"/>
          <w:jc w:val="center"/>
        </w:trPr>
        <w:tc>
          <w:tcPr>
            <w:tcW w:w="1838" w:type="dxa"/>
            <w:tcBorders>
              <w:top w:val="single" w:sz="6" w:space="0" w:color="auto"/>
              <w:left w:val="single" w:sz="18" w:space="0" w:color="auto"/>
              <w:bottom w:val="single" w:sz="18" w:space="0" w:color="auto"/>
              <w:right w:val="single" w:sz="4" w:space="0" w:color="auto"/>
            </w:tcBorders>
            <w:shd w:val="clear" w:color="000000" w:fill="D9D9D9"/>
            <w:vAlign w:val="center"/>
          </w:tcPr>
          <w:p w:rsidR="00435069" w:rsidRPr="0043547B" w:rsidRDefault="00435069" w:rsidP="00ED7DF1">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6" w:space="0" w:color="auto"/>
              <w:left w:val="single" w:sz="4" w:space="0" w:color="auto"/>
              <w:bottom w:val="single" w:sz="18" w:space="0" w:color="auto"/>
              <w:right w:val="single" w:sz="18" w:space="0" w:color="auto"/>
            </w:tcBorders>
            <w:shd w:val="clear" w:color="auto" w:fill="auto"/>
            <w:vAlign w:val="bottom"/>
          </w:tcPr>
          <w:p w:rsidR="00435069" w:rsidRPr="0043547B" w:rsidRDefault="00435069" w:rsidP="00ED7DF1">
            <w:pPr>
              <w:spacing w:after="0" w:line="240" w:lineRule="auto"/>
              <w:jc w:val="both"/>
              <w:rPr>
                <w:rFonts w:cstheme="minorHAnsi"/>
                <w:sz w:val="24"/>
                <w:szCs w:val="24"/>
              </w:rPr>
            </w:pPr>
            <w:r w:rsidRPr="0043547B">
              <w:rPr>
                <w:rFonts w:cstheme="minorHAnsi"/>
                <w:sz w:val="24"/>
                <w:szCs w:val="24"/>
              </w:rPr>
              <w:t>La présente norme définit les prescriptions et les méthodes d'essai pour des plaques massives et planes, extrudées en homopolymères de polyéthylène (PE- HD) sans adjonction de charges ou de renforts. Cette norme s'applique exclusivement aux plaques d'épaisseur 0,5 mm à 40 mm. Cette norme s'applique également aux feuilles de PE- HD en bobines.</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870625" w:rsidRPr="0043547B" w:rsidRDefault="00870625" w:rsidP="00025F1F">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hideMark/>
          </w:tcPr>
          <w:p w:rsidR="00870625" w:rsidRPr="002E3AA9" w:rsidRDefault="00870625" w:rsidP="00025F1F">
            <w:pPr>
              <w:spacing w:after="0" w:line="240" w:lineRule="auto"/>
              <w:jc w:val="center"/>
              <w:rPr>
                <w:rFonts w:cstheme="minorHAnsi"/>
                <w:b/>
                <w:bCs/>
                <w:sz w:val="24"/>
                <w:szCs w:val="24"/>
              </w:rPr>
            </w:pPr>
            <w:r w:rsidRPr="002E3AA9">
              <w:rPr>
                <w:rFonts w:cstheme="minorHAnsi"/>
                <w:b/>
                <w:bCs/>
                <w:sz w:val="24"/>
                <w:szCs w:val="24"/>
              </w:rPr>
              <w:t>NM EN 13170</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870625" w:rsidRPr="0043547B" w:rsidRDefault="00870625" w:rsidP="00025F1F">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hideMark/>
          </w:tcPr>
          <w:p w:rsidR="00870625" w:rsidRPr="002E3AA9" w:rsidRDefault="00870625" w:rsidP="00025F1F">
            <w:pPr>
              <w:spacing w:after="0" w:line="240" w:lineRule="auto"/>
              <w:jc w:val="center"/>
              <w:rPr>
                <w:rFonts w:cstheme="minorHAnsi"/>
                <w:b/>
                <w:bCs/>
                <w:sz w:val="24"/>
                <w:szCs w:val="24"/>
              </w:rPr>
            </w:pPr>
            <w:r w:rsidRPr="002E3AA9">
              <w:rPr>
                <w:rFonts w:cstheme="minorHAnsi"/>
                <w:b/>
                <w:bCs/>
                <w:sz w:val="24"/>
                <w:szCs w:val="24"/>
              </w:rPr>
              <w:t>EN 13170</w:t>
            </w:r>
          </w:p>
        </w:tc>
      </w:tr>
      <w:tr w:rsidR="0043547B" w:rsidRPr="0043547B" w:rsidTr="00CB5DC0">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870625" w:rsidRPr="0043547B" w:rsidRDefault="00870625" w:rsidP="00025F1F">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870625" w:rsidRPr="0043547B" w:rsidRDefault="00870625" w:rsidP="00025F1F">
            <w:pPr>
              <w:spacing w:after="0" w:line="240" w:lineRule="auto"/>
              <w:rPr>
                <w:rFonts w:cstheme="minorHAnsi"/>
                <w:sz w:val="24"/>
                <w:szCs w:val="24"/>
              </w:rPr>
            </w:pPr>
            <w:r w:rsidRPr="0043547B">
              <w:rPr>
                <w:rFonts w:cstheme="minorHAnsi"/>
                <w:sz w:val="24"/>
                <w:szCs w:val="24"/>
              </w:rPr>
              <w:t xml:space="preserve">Produits isolants thermiques pour le bâtiment - Produits manufacturés en liège expansé (ICB) - Spécification   </w:t>
            </w:r>
          </w:p>
        </w:tc>
      </w:tr>
      <w:tr w:rsidR="0043547B" w:rsidRPr="0043547B" w:rsidTr="00E70D5B">
        <w:trPr>
          <w:trHeight w:val="1268"/>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870625" w:rsidRPr="0043547B" w:rsidRDefault="00870625" w:rsidP="00025F1F">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hideMark/>
          </w:tcPr>
          <w:p w:rsidR="00025F1F" w:rsidRDefault="00870625" w:rsidP="00025F1F">
            <w:pPr>
              <w:spacing w:after="0" w:line="240" w:lineRule="auto"/>
              <w:jc w:val="both"/>
              <w:rPr>
                <w:rFonts w:cstheme="minorHAnsi"/>
                <w:sz w:val="24"/>
                <w:szCs w:val="24"/>
              </w:rPr>
            </w:pPr>
            <w:r w:rsidRPr="0043547B">
              <w:rPr>
                <w:rFonts w:cstheme="minorHAnsi"/>
                <w:sz w:val="24"/>
                <w:szCs w:val="24"/>
              </w:rPr>
              <w:t>La présente Norme européenne spécifie les exigences auxquelles doivent satisfaire les produits manufacturés en liège expansé utilisés pour l'isolation thermique des bâtiments. Les produits sont agglomérés sans addition de liants et sont livrés sous forme de panneaux, avec ou sans parements.</w:t>
            </w:r>
            <w:r w:rsidRPr="0043547B">
              <w:rPr>
                <w:rFonts w:cstheme="minorHAnsi"/>
                <w:sz w:val="24"/>
                <w:szCs w:val="24"/>
              </w:rPr>
              <w:br/>
              <w:t>Les produits couverts par la présente norme sont également utilisés dans des systèmes d'isolation thermique et dans des panneaux composites préfabriqués ; les performances des systèmes incorporant ces produits ne sont pas définies.</w:t>
            </w:r>
          </w:p>
          <w:p w:rsidR="00E70D5B" w:rsidRDefault="00E70D5B" w:rsidP="00E70D5B">
            <w:pPr>
              <w:spacing w:after="0" w:line="240" w:lineRule="auto"/>
              <w:jc w:val="both"/>
              <w:rPr>
                <w:rFonts w:cstheme="minorHAnsi"/>
                <w:sz w:val="24"/>
                <w:szCs w:val="24"/>
              </w:rPr>
            </w:pPr>
            <w:r w:rsidRPr="0043547B">
              <w:rPr>
                <w:rFonts w:cstheme="minorHAnsi"/>
                <w:sz w:val="24"/>
                <w:szCs w:val="24"/>
              </w:rPr>
              <w:t>La présente norme décrit les caractéristiques des produits et contient des modes opératoires d'essai, d'évaluation de la conformité, de marquage et d'étiquetage.</w:t>
            </w:r>
            <w:r w:rsidRPr="0043547B">
              <w:rPr>
                <w:rFonts w:cstheme="minorHAnsi"/>
                <w:sz w:val="24"/>
                <w:szCs w:val="24"/>
              </w:rPr>
              <w:br/>
              <w:t>La présente norme ne spécifie pas, pour une propriété donnée, le niveau exigé que doit atteindre un produit pour démontrer son aptitude à l'emploi dans une application particulière. Les niveaux requis pour une application donnée figurent dans les réglementations ou normes non conflictuelles.</w:t>
            </w:r>
          </w:p>
          <w:p w:rsidR="00870625" w:rsidRPr="0043547B" w:rsidRDefault="00E70D5B" w:rsidP="00E70D5B">
            <w:pPr>
              <w:spacing w:after="0" w:line="240" w:lineRule="auto"/>
              <w:jc w:val="both"/>
              <w:rPr>
                <w:rFonts w:cstheme="minorHAnsi"/>
                <w:sz w:val="24"/>
                <w:szCs w:val="24"/>
              </w:rPr>
            </w:pPr>
            <w:r w:rsidRPr="0043547B">
              <w:rPr>
                <w:rFonts w:cstheme="minorHAnsi"/>
                <w:sz w:val="24"/>
                <w:szCs w:val="24"/>
              </w:rPr>
              <w:lastRenderedPageBreak/>
              <w:t>Les produits dont la résistance thermique déclarée à une température de 10 °C est inférieure à 0,25 m2·K/W ou dont la conductivité thermique déclarée à une température de 10 °C est supérieure à 0,060 W/(m·K) ne relèvent pas du domaine d'application de la présente Norme européenne.</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870625" w:rsidRPr="0043547B" w:rsidRDefault="00870625" w:rsidP="00025F1F">
            <w:pPr>
              <w:spacing w:after="0" w:line="240" w:lineRule="auto"/>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hideMark/>
          </w:tcPr>
          <w:p w:rsidR="00870625" w:rsidRPr="002E3AA9" w:rsidRDefault="00870625" w:rsidP="00025F1F">
            <w:pPr>
              <w:spacing w:after="0" w:line="240" w:lineRule="auto"/>
              <w:jc w:val="center"/>
              <w:rPr>
                <w:rFonts w:cstheme="minorHAnsi"/>
                <w:b/>
                <w:bCs/>
                <w:sz w:val="24"/>
                <w:szCs w:val="24"/>
              </w:rPr>
            </w:pPr>
            <w:r w:rsidRPr="002E3AA9">
              <w:rPr>
                <w:rFonts w:cstheme="minorHAnsi"/>
                <w:b/>
                <w:bCs/>
                <w:sz w:val="24"/>
                <w:szCs w:val="24"/>
              </w:rPr>
              <w:t>NM EN 13171</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870625" w:rsidRPr="0043547B" w:rsidRDefault="00870625" w:rsidP="00025F1F">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hideMark/>
          </w:tcPr>
          <w:p w:rsidR="00870625" w:rsidRPr="002E3AA9" w:rsidRDefault="00870625" w:rsidP="00025F1F">
            <w:pPr>
              <w:spacing w:after="0" w:line="240" w:lineRule="auto"/>
              <w:jc w:val="center"/>
              <w:rPr>
                <w:rFonts w:cstheme="minorHAnsi"/>
                <w:b/>
                <w:bCs/>
                <w:sz w:val="24"/>
                <w:szCs w:val="24"/>
              </w:rPr>
            </w:pPr>
            <w:r w:rsidRPr="002E3AA9">
              <w:rPr>
                <w:rFonts w:cstheme="minorHAnsi"/>
                <w:b/>
                <w:bCs/>
                <w:sz w:val="24"/>
                <w:szCs w:val="24"/>
              </w:rPr>
              <w:t>EN 13171</w:t>
            </w:r>
          </w:p>
        </w:tc>
      </w:tr>
      <w:tr w:rsidR="0043547B" w:rsidRPr="0043547B" w:rsidTr="00CB5DC0">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870625" w:rsidRPr="0043547B" w:rsidRDefault="00870625" w:rsidP="00025F1F">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870625" w:rsidRPr="0043547B" w:rsidRDefault="00870625" w:rsidP="00025F1F">
            <w:pPr>
              <w:spacing w:after="0" w:line="240" w:lineRule="auto"/>
              <w:rPr>
                <w:rFonts w:cstheme="minorHAnsi"/>
                <w:sz w:val="24"/>
                <w:szCs w:val="24"/>
              </w:rPr>
            </w:pPr>
            <w:r w:rsidRPr="0043547B">
              <w:rPr>
                <w:rFonts w:cstheme="minorHAnsi"/>
                <w:sz w:val="24"/>
                <w:szCs w:val="24"/>
              </w:rPr>
              <w:t xml:space="preserve">Produits isolants thermiques pour le bâtiment - Produits manufacturés en fibres de bois (WF) - Spécification   </w:t>
            </w:r>
          </w:p>
        </w:tc>
      </w:tr>
      <w:tr w:rsidR="0043547B" w:rsidRPr="0043547B" w:rsidTr="005368DD">
        <w:trPr>
          <w:trHeight w:val="1552"/>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870625" w:rsidRPr="0043547B" w:rsidRDefault="00870625" w:rsidP="00025F1F">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hideMark/>
          </w:tcPr>
          <w:p w:rsidR="00025F1F" w:rsidRDefault="00870625" w:rsidP="00025F1F">
            <w:pPr>
              <w:spacing w:after="0" w:line="240" w:lineRule="auto"/>
              <w:jc w:val="both"/>
              <w:rPr>
                <w:rFonts w:cstheme="minorHAnsi"/>
                <w:sz w:val="24"/>
                <w:szCs w:val="24"/>
              </w:rPr>
            </w:pPr>
            <w:r w:rsidRPr="0043547B">
              <w:rPr>
                <w:rFonts w:cstheme="minorHAnsi"/>
                <w:sz w:val="24"/>
                <w:szCs w:val="24"/>
              </w:rPr>
              <w:t>La présente Norme européenne spécifie les exigences auxquelles doivent satisfaire les produits manufacturés en fibres de bois, avec ou sans parements ou enduits de finition, utilisés pour l'isolation thermique des bâtiments 1).</w:t>
            </w:r>
          </w:p>
          <w:p w:rsidR="00025F1F" w:rsidRDefault="00870625" w:rsidP="00025F1F">
            <w:pPr>
              <w:spacing w:after="0" w:line="240" w:lineRule="auto"/>
              <w:jc w:val="both"/>
              <w:rPr>
                <w:rFonts w:cstheme="minorHAnsi"/>
                <w:sz w:val="24"/>
                <w:szCs w:val="24"/>
              </w:rPr>
            </w:pPr>
            <w:r w:rsidRPr="0043547B">
              <w:rPr>
                <w:rFonts w:cstheme="minorHAnsi"/>
                <w:sz w:val="24"/>
                <w:szCs w:val="24"/>
              </w:rPr>
              <w:t>Les produits sont fabriqués sous forme de rouleaux, bandes, feutres, panneaux ou plaques.</w:t>
            </w:r>
          </w:p>
          <w:p w:rsidR="00025F1F" w:rsidRDefault="00870625" w:rsidP="00025F1F">
            <w:pPr>
              <w:spacing w:after="0" w:line="240" w:lineRule="auto"/>
              <w:jc w:val="both"/>
              <w:rPr>
                <w:rFonts w:cstheme="minorHAnsi"/>
                <w:sz w:val="24"/>
                <w:szCs w:val="24"/>
              </w:rPr>
            </w:pPr>
            <w:r w:rsidRPr="0043547B">
              <w:rPr>
                <w:rFonts w:cstheme="minorHAnsi"/>
                <w:sz w:val="24"/>
                <w:szCs w:val="24"/>
              </w:rPr>
              <w:t>Les produits couverts par la présente norme sont également utilisés dans des systèmes d'isolation thermique et dans des panneaux composites préfabriqués ; les performances des systèmes incorporant ces produits ne sont pas définies.</w:t>
            </w:r>
            <w:r w:rsidRPr="0043547B">
              <w:rPr>
                <w:rFonts w:cstheme="minorHAnsi"/>
                <w:sz w:val="24"/>
                <w:szCs w:val="24"/>
              </w:rPr>
              <w:br/>
              <w:t>La présente norme décrit les caractéristiques des produits et contient des modes opératoires d'essai, d'évaluation de la conformité, de marquage et d'étiquetage.</w:t>
            </w:r>
          </w:p>
          <w:p w:rsidR="00025F1F" w:rsidRDefault="00870625" w:rsidP="00025F1F">
            <w:pPr>
              <w:spacing w:after="0" w:line="240" w:lineRule="auto"/>
              <w:jc w:val="both"/>
              <w:rPr>
                <w:rFonts w:cstheme="minorHAnsi"/>
                <w:sz w:val="24"/>
                <w:szCs w:val="24"/>
              </w:rPr>
            </w:pPr>
            <w:r w:rsidRPr="0043547B">
              <w:rPr>
                <w:rFonts w:cstheme="minorHAnsi"/>
                <w:sz w:val="24"/>
                <w:szCs w:val="24"/>
              </w:rPr>
              <w:t>La présente norme ne spécifie pas, pour une propriété donnée, le niveau exigé que doit atteindre un produit pour démontrer son aptitude à l'emploi dans une application particulière. Les classes et niveaux requis pour une application donnée figurent dans les réglementations ou normes non conflictuelles.</w:t>
            </w:r>
            <w:r w:rsidRPr="0043547B">
              <w:rPr>
                <w:rFonts w:cstheme="minorHAnsi"/>
                <w:sz w:val="24"/>
                <w:szCs w:val="24"/>
              </w:rPr>
              <w:br/>
              <w:t>Les produits dont la résistance thermique déclarée à une température de 10 °C est inférieure à 0,20 m2·K/W ou dont la conductivité thermique déclarée à une température de 10 °C est supérieure à 0,070 W/(m·K) ne relèvent pas du domaine d'application de la présente norme.</w:t>
            </w:r>
          </w:p>
          <w:p w:rsidR="00870625" w:rsidRPr="0043547B" w:rsidRDefault="00870625" w:rsidP="00025F1F">
            <w:pPr>
              <w:spacing w:after="0" w:line="240" w:lineRule="auto"/>
              <w:jc w:val="both"/>
              <w:rPr>
                <w:rFonts w:cstheme="minorHAnsi"/>
                <w:sz w:val="24"/>
                <w:szCs w:val="24"/>
              </w:rPr>
            </w:pPr>
            <w:r w:rsidRPr="0043547B">
              <w:rPr>
                <w:rFonts w:cstheme="minorHAnsi"/>
                <w:sz w:val="24"/>
                <w:szCs w:val="24"/>
              </w:rPr>
              <w:t xml:space="preserve">Les produits isolants mis en </w:t>
            </w:r>
            <w:r w:rsidR="00025F1F" w:rsidRPr="0043547B">
              <w:rPr>
                <w:rFonts w:cstheme="minorHAnsi"/>
                <w:sz w:val="24"/>
                <w:szCs w:val="24"/>
              </w:rPr>
              <w:t>œuvre</w:t>
            </w:r>
            <w:r w:rsidRPr="0043547B">
              <w:rPr>
                <w:rFonts w:cstheme="minorHAnsi"/>
                <w:sz w:val="24"/>
                <w:szCs w:val="24"/>
              </w:rPr>
              <w:t xml:space="preserve"> in situ et les produits destinés à être utilisés pour l'isolation des équipements du bâtiment et des installations industrielles ne relèvent pas du domaine d'application de la présente norme.</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13499</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13499</w:t>
            </w:r>
          </w:p>
        </w:tc>
      </w:tr>
      <w:tr w:rsidR="0043547B" w:rsidRPr="0043547B" w:rsidTr="00CB5DC0">
        <w:trPr>
          <w:trHeight w:val="6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Produits isolants thermiques pour bâtiments - Systèmes composites d'isolation thermique par l'extérieur à base de polystyrène expansé (ETICS) – Spécification</w:t>
            </w:r>
          </w:p>
        </w:tc>
      </w:tr>
      <w:tr w:rsidR="0043547B" w:rsidRPr="0043547B" w:rsidTr="00E70D5B">
        <w:trPr>
          <w:trHeight w:val="559"/>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606FAD" w:rsidRPr="0043547B" w:rsidRDefault="00606FAD" w:rsidP="00606FA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décrit les caractéristiques des produits et comprend les modes opératoires d'essai, de marquage et d'étiquetage.</w:t>
            </w:r>
          </w:p>
          <w:p w:rsidR="00606FAD" w:rsidRPr="0043547B" w:rsidRDefault="00606FAD" w:rsidP="00606FA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ETICS sont appliqués sur les surfaces extérieures des parois et/ou soffites, neufs ou existants, afin d'améliorer leur isolation thermique. Les ETICS comportent des raccords spécifiques (profilés de base, profilés d'angle, etc.) afin de les relier aux éléments de construction adjacents (ouvertures, retours d'angle, garde-corps, etc.). Ils assurent une protection contre les intempéries et améliorent l'aspect des bâtiments. Ces systèmes ne contribuent pas à la stabilité des parois et/ou soffites sur lesquelles ils sont installés.</w:t>
            </w:r>
          </w:p>
          <w:p w:rsidR="00606FAD" w:rsidRPr="0043547B" w:rsidRDefault="00606FAD" w:rsidP="00606FA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traite des systèmes où le matériau isolant thermique est prévu pour le transfert de la charge vers le support.</w:t>
            </w:r>
          </w:p>
          <w:p w:rsidR="00606FAD" w:rsidRPr="0043547B" w:rsidRDefault="00606FAD" w:rsidP="00606FA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Cette norme traite des systèmes dont la résistance thermique déclarée est supérieure ou égale à 1 m</w:t>
            </w:r>
            <w:r w:rsidRPr="0043547B">
              <w:rPr>
                <w:rFonts w:eastAsia="Times New Roman" w:cstheme="minorHAnsi"/>
                <w:sz w:val="24"/>
                <w:szCs w:val="24"/>
                <w:vertAlign w:val="superscript"/>
                <w:lang w:eastAsia="fr-FR"/>
              </w:rPr>
              <w:t>2</w:t>
            </w:r>
            <w:r w:rsidRPr="0043547B">
              <w:rPr>
                <w:rFonts w:eastAsia="Times New Roman" w:cstheme="minorHAnsi"/>
                <w:sz w:val="24"/>
                <w:szCs w:val="24"/>
                <w:lang w:eastAsia="fr-FR"/>
              </w:rPr>
              <w:t>.K/W.</w:t>
            </w:r>
          </w:p>
          <w:p w:rsidR="00606FAD" w:rsidRPr="0043547B" w:rsidRDefault="00606FAD" w:rsidP="00606FA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Il convient de prendre en compte les exigences des réglementations nationales concernant la résistance mécanique et la stabilité des ETICS.</w:t>
            </w:r>
          </w:p>
          <w:p w:rsidR="00904E52" w:rsidRPr="0043547B" w:rsidRDefault="00606FAD" w:rsidP="00606FA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lastRenderedPageBreak/>
              <w:t>La norme ne traite pas de la résistance aux efforts exercés par l'ETICS sur la surface du bâtiment sur lequel il doit être fixé, c’est-à-dire le support.</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14317-1</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14317-1</w:t>
            </w:r>
          </w:p>
        </w:tc>
      </w:tr>
      <w:tr w:rsidR="0043547B" w:rsidRPr="0043547B" w:rsidTr="00CB5DC0">
        <w:trPr>
          <w:trHeight w:val="6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Produits isolants thermiques pour le bâtiment - Produits d'isolation thermique à base de vermiculite exfoliée formés en place - Partie 1</w:t>
            </w:r>
            <w:r w:rsidR="00606FAD" w:rsidRPr="0043547B">
              <w:rPr>
                <w:rFonts w:eastAsia="Times New Roman" w:cstheme="minorHAnsi"/>
                <w:sz w:val="24"/>
                <w:szCs w:val="24"/>
                <w:lang w:eastAsia="fr-FR"/>
              </w:rPr>
              <w:t xml:space="preserve"> </w:t>
            </w:r>
            <w:r w:rsidRPr="0043547B">
              <w:rPr>
                <w:rFonts w:eastAsia="Times New Roman" w:cstheme="minorHAnsi"/>
                <w:sz w:val="24"/>
                <w:szCs w:val="24"/>
                <w:lang w:eastAsia="fr-FR"/>
              </w:rPr>
              <w:t>: spécifications relatives aux produits en vrac ou agglomérés avant mise en œuvre </w:t>
            </w:r>
          </w:p>
        </w:tc>
      </w:tr>
      <w:tr w:rsidR="0043547B" w:rsidRPr="0043547B" w:rsidTr="005368DD">
        <w:trPr>
          <w:trHeight w:val="701"/>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 présent document spécifie les exigences concernant les quatre types de produits en vermiculite exfoliée : granulats de vermiculite (EVA), vermiculite enrobée (EVC), vermiculite hydrophobe (EVH) et vermiculite prémélangée (EVM), contenant moins de 1 % de matériaux organiques selon la définition de l’Annexe D concernant l’isolation in situ des toitures, des combles, des murs et des planchers.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 présent document est une spécification pour les isolants avant mise en œuvre.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 présent document décrit les caractéristiques du produit et comprend les procédures d’essai, d’évaluation de la conformité, de marquage et d’étiquetage.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 présent document ne spécifie pas, pour une propriété donnée, le niveau exigé que doit atteindre un produit pour démontrer son aptitude à la fonction dans une application particulière. Les niveaux requis pour une application donnée sont à trouver dans les réglementations ou dans des normes non contradictoires.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 présent document ne couvre pas les isolants manufacturés préformés et panneaux en vermiculite exfoliée ni les produits formés en place destinés à l’isolation d’équipements de bâtiments et d’installations industrielles.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 présent document ne spécifie pas d’exigences de performance pour les applications concernant l’isolation aux bruits aériens et l’absorption acoustique.</w:t>
            </w:r>
          </w:p>
        </w:tc>
      </w:tr>
      <w:tr w:rsidR="0043547B" w:rsidRPr="0043547B" w:rsidTr="00CB5DC0">
        <w:trPr>
          <w:trHeight w:val="23"/>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870625" w:rsidRPr="002E3AA9" w:rsidRDefault="00870625" w:rsidP="00025F1F">
            <w:pPr>
              <w:spacing w:after="0" w:line="240" w:lineRule="auto"/>
              <w:jc w:val="center"/>
              <w:rPr>
                <w:rFonts w:cstheme="minorHAnsi"/>
                <w:b/>
                <w:bCs/>
                <w:sz w:val="24"/>
                <w:szCs w:val="24"/>
              </w:rPr>
            </w:pPr>
            <w:r w:rsidRPr="002E3AA9">
              <w:rPr>
                <w:rFonts w:cstheme="minorHAnsi"/>
                <w:b/>
                <w:bCs/>
                <w:sz w:val="24"/>
                <w:szCs w:val="24"/>
              </w:rPr>
              <w:t>Code :</w:t>
            </w:r>
          </w:p>
        </w:tc>
        <w:tc>
          <w:tcPr>
            <w:tcW w:w="7938" w:type="dxa"/>
            <w:tcBorders>
              <w:top w:val="nil"/>
              <w:left w:val="single" w:sz="4" w:space="0" w:color="auto"/>
              <w:bottom w:val="single" w:sz="18" w:space="0" w:color="auto"/>
              <w:right w:val="single" w:sz="18" w:space="0" w:color="auto"/>
            </w:tcBorders>
            <w:shd w:val="clear" w:color="auto" w:fill="C2D69B" w:themeFill="accent3" w:themeFillTint="99"/>
          </w:tcPr>
          <w:p w:rsidR="00870625" w:rsidRPr="002E3AA9" w:rsidRDefault="00870625" w:rsidP="00025F1F">
            <w:pPr>
              <w:spacing w:after="0" w:line="240" w:lineRule="auto"/>
              <w:jc w:val="center"/>
              <w:rPr>
                <w:rFonts w:cstheme="minorHAnsi"/>
                <w:b/>
                <w:bCs/>
                <w:sz w:val="24"/>
                <w:szCs w:val="24"/>
              </w:rPr>
            </w:pPr>
            <w:r w:rsidRPr="002E3AA9">
              <w:rPr>
                <w:rFonts w:cstheme="minorHAnsi"/>
                <w:b/>
                <w:bCs/>
                <w:sz w:val="24"/>
                <w:szCs w:val="24"/>
              </w:rPr>
              <w:t>NM ISO 6781-3</w:t>
            </w:r>
          </w:p>
        </w:tc>
      </w:tr>
      <w:tr w:rsidR="0043547B" w:rsidRPr="0043547B" w:rsidTr="00025F1F">
        <w:trPr>
          <w:trHeight w:val="23"/>
          <w:jc w:val="center"/>
        </w:trPr>
        <w:tc>
          <w:tcPr>
            <w:tcW w:w="1838" w:type="dxa"/>
            <w:tcBorders>
              <w:top w:val="single" w:sz="18" w:space="0" w:color="auto"/>
              <w:left w:val="single" w:sz="18" w:space="0" w:color="auto"/>
              <w:bottom w:val="single" w:sz="4" w:space="0" w:color="auto"/>
              <w:right w:val="single" w:sz="4" w:space="0" w:color="auto"/>
            </w:tcBorders>
            <w:shd w:val="clear" w:color="auto" w:fill="FDFBA9"/>
            <w:vAlign w:val="center"/>
          </w:tcPr>
          <w:p w:rsidR="00870625" w:rsidRPr="002E3AA9" w:rsidRDefault="00870625" w:rsidP="00025F1F">
            <w:pPr>
              <w:spacing w:after="0" w:line="240" w:lineRule="auto"/>
              <w:jc w:val="center"/>
              <w:rPr>
                <w:rFonts w:cstheme="minorHAnsi"/>
                <w:b/>
                <w:bCs/>
                <w:sz w:val="24"/>
                <w:szCs w:val="24"/>
              </w:rPr>
            </w:pPr>
            <w:r w:rsidRPr="002E3AA9">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DFBA9"/>
            <w:vAlign w:val="center"/>
          </w:tcPr>
          <w:p w:rsidR="00870625" w:rsidRPr="002E3AA9" w:rsidRDefault="00870625" w:rsidP="00025F1F">
            <w:pPr>
              <w:spacing w:after="0" w:line="240" w:lineRule="auto"/>
              <w:jc w:val="center"/>
              <w:rPr>
                <w:rFonts w:cstheme="minorHAnsi"/>
                <w:b/>
                <w:bCs/>
                <w:sz w:val="24"/>
                <w:szCs w:val="24"/>
              </w:rPr>
            </w:pPr>
            <w:r w:rsidRPr="002E3AA9">
              <w:rPr>
                <w:rFonts w:cstheme="minorHAnsi"/>
                <w:b/>
                <w:bCs/>
                <w:sz w:val="24"/>
                <w:szCs w:val="24"/>
              </w:rPr>
              <w:t>ISO 6781-3</w:t>
            </w:r>
          </w:p>
        </w:tc>
      </w:tr>
      <w:tr w:rsidR="0043547B" w:rsidRPr="0043547B" w:rsidTr="00025F1F">
        <w:trPr>
          <w:trHeight w:val="606"/>
          <w:jc w:val="center"/>
        </w:trPr>
        <w:tc>
          <w:tcPr>
            <w:tcW w:w="1838" w:type="dxa"/>
            <w:tcBorders>
              <w:top w:val="single" w:sz="4" w:space="0" w:color="auto"/>
              <w:left w:val="single" w:sz="18" w:space="0" w:color="auto"/>
              <w:bottom w:val="single" w:sz="4" w:space="0" w:color="auto"/>
              <w:right w:val="single" w:sz="4" w:space="0" w:color="auto"/>
            </w:tcBorders>
            <w:shd w:val="clear" w:color="auto" w:fill="95B3D7" w:themeFill="accent1" w:themeFillTint="99"/>
            <w:vAlign w:val="center"/>
          </w:tcPr>
          <w:p w:rsidR="00870625" w:rsidRPr="0043547B" w:rsidRDefault="00870625" w:rsidP="00025F1F">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auto"/>
          </w:tcPr>
          <w:p w:rsidR="00870625" w:rsidRPr="0043547B" w:rsidRDefault="00870625" w:rsidP="00025F1F">
            <w:pPr>
              <w:spacing w:after="0" w:line="240" w:lineRule="auto"/>
              <w:rPr>
                <w:rFonts w:cstheme="minorHAnsi"/>
                <w:sz w:val="24"/>
                <w:szCs w:val="24"/>
              </w:rPr>
            </w:pPr>
            <w:r w:rsidRPr="0043547B">
              <w:rPr>
                <w:rFonts w:cstheme="minorHAnsi"/>
                <w:sz w:val="24"/>
                <w:szCs w:val="24"/>
              </w:rPr>
              <w:t xml:space="preserve">Performance des bâtiments - Détection d'irrégularités de chaleur, air et humidité dans les bâtiments par des méthodes infrarouges - Partie 3 : Qualification des opérateurs de l'équipement, des analystes de données et des rédacteurs de rapports  </w:t>
            </w:r>
          </w:p>
        </w:tc>
      </w:tr>
      <w:tr w:rsidR="0043547B" w:rsidRPr="0043547B" w:rsidTr="00CB5DC0">
        <w:trPr>
          <w:trHeight w:val="3296"/>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870625" w:rsidRPr="0043547B" w:rsidRDefault="00870625" w:rsidP="00025F1F">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tcPr>
          <w:p w:rsidR="00025F1F" w:rsidRDefault="00870625" w:rsidP="00025F1F">
            <w:pPr>
              <w:spacing w:after="0" w:line="240" w:lineRule="auto"/>
              <w:jc w:val="both"/>
              <w:rPr>
                <w:rFonts w:cstheme="minorHAnsi"/>
                <w:sz w:val="24"/>
                <w:szCs w:val="24"/>
              </w:rPr>
            </w:pPr>
            <w:r w:rsidRPr="0043547B">
              <w:rPr>
                <w:rFonts w:cstheme="minorHAnsi"/>
                <w:sz w:val="24"/>
                <w:szCs w:val="24"/>
              </w:rPr>
              <w:t>La présente partie de l’ISO 6781 spécifie les qualifications et compétences requises pour le personnel</w:t>
            </w:r>
            <w:r w:rsidR="002E3AA9">
              <w:rPr>
                <w:rFonts w:cstheme="minorHAnsi"/>
                <w:sz w:val="24"/>
                <w:szCs w:val="24"/>
              </w:rPr>
              <w:t xml:space="preserve"> </w:t>
            </w:r>
            <w:r w:rsidRPr="0043547B">
              <w:rPr>
                <w:rFonts w:cstheme="minorHAnsi"/>
                <w:sz w:val="24"/>
                <w:szCs w:val="24"/>
              </w:rPr>
              <w:t>qui (i) réalise des études thermographiques de bâtiments, (ii) interprète les données issues des études</w:t>
            </w:r>
            <w:r w:rsidR="002E3AA9">
              <w:rPr>
                <w:rFonts w:cstheme="minorHAnsi"/>
                <w:sz w:val="24"/>
                <w:szCs w:val="24"/>
              </w:rPr>
              <w:t xml:space="preserve"> </w:t>
            </w:r>
            <w:r w:rsidRPr="0043547B">
              <w:rPr>
                <w:rFonts w:cstheme="minorHAnsi"/>
                <w:sz w:val="24"/>
                <w:szCs w:val="24"/>
              </w:rPr>
              <w:t>thermographiques et (iii) établit des rapports sur la base des résultats des études thermographiques.</w:t>
            </w:r>
            <w:r w:rsidRPr="0043547B">
              <w:rPr>
                <w:rFonts w:cstheme="minorHAnsi"/>
                <w:sz w:val="24"/>
                <w:szCs w:val="24"/>
              </w:rPr>
              <w:br/>
              <w:t>La présente partie de l’ISO 6781 sert de base à une déclaration de conformité, en trois classes, des</w:t>
            </w:r>
            <w:r w:rsidR="002E3AA9">
              <w:rPr>
                <w:rFonts w:cstheme="minorHAnsi"/>
                <w:sz w:val="24"/>
                <w:szCs w:val="24"/>
              </w:rPr>
              <w:t xml:space="preserve"> </w:t>
            </w:r>
            <w:r w:rsidRPr="0043547B">
              <w:rPr>
                <w:rFonts w:cstheme="minorHAnsi"/>
                <w:sz w:val="24"/>
                <w:szCs w:val="24"/>
              </w:rPr>
              <w:t>connaissances, des savoir-faire et des aptitudes des individus chargés de réaliser des mesurages</w:t>
            </w:r>
            <w:r w:rsidR="002E3AA9">
              <w:rPr>
                <w:rFonts w:cstheme="minorHAnsi"/>
                <w:sz w:val="24"/>
                <w:szCs w:val="24"/>
              </w:rPr>
              <w:t xml:space="preserve"> </w:t>
            </w:r>
            <w:r w:rsidRPr="0043547B">
              <w:rPr>
                <w:rFonts w:cstheme="minorHAnsi"/>
                <w:sz w:val="24"/>
                <w:szCs w:val="24"/>
              </w:rPr>
              <w:t>thermographiques, une analyse des résultats et les rapports correspondants pour les petits bâtiments,</w:t>
            </w:r>
            <w:r w:rsidR="00025F1F">
              <w:rPr>
                <w:rFonts w:cstheme="minorHAnsi"/>
                <w:sz w:val="24"/>
                <w:szCs w:val="24"/>
              </w:rPr>
              <w:t xml:space="preserve"> </w:t>
            </w:r>
            <w:r w:rsidRPr="0043547B">
              <w:rPr>
                <w:rFonts w:cstheme="minorHAnsi"/>
                <w:sz w:val="24"/>
                <w:szCs w:val="24"/>
              </w:rPr>
              <w:t>les bâtiments résidentiels, commerciaux et institutionnels.</w:t>
            </w:r>
          </w:p>
          <w:p w:rsidR="00870625" w:rsidRPr="0043547B" w:rsidRDefault="00870625" w:rsidP="00025F1F">
            <w:pPr>
              <w:spacing w:after="0" w:line="240" w:lineRule="auto"/>
              <w:jc w:val="both"/>
              <w:rPr>
                <w:rFonts w:cstheme="minorHAnsi"/>
                <w:sz w:val="24"/>
                <w:szCs w:val="24"/>
              </w:rPr>
            </w:pPr>
            <w:r w:rsidRPr="0043547B">
              <w:rPr>
                <w:rFonts w:cstheme="minorHAnsi"/>
                <w:sz w:val="24"/>
                <w:szCs w:val="24"/>
              </w:rPr>
              <w:t>Un équipement spécial ou d’autres situations spécifiques ne sont pas couverts par la présente partie</w:t>
            </w:r>
            <w:r w:rsidR="002E3AA9">
              <w:rPr>
                <w:rFonts w:cstheme="minorHAnsi"/>
                <w:sz w:val="24"/>
                <w:szCs w:val="24"/>
              </w:rPr>
              <w:t xml:space="preserve"> </w:t>
            </w:r>
            <w:r w:rsidRPr="0043547B">
              <w:rPr>
                <w:rFonts w:cstheme="minorHAnsi"/>
                <w:sz w:val="24"/>
                <w:szCs w:val="24"/>
              </w:rPr>
              <w:t>de l’ISO 6781.</w:t>
            </w:r>
          </w:p>
        </w:tc>
      </w:tr>
      <w:tr w:rsidR="0043547B" w:rsidRPr="0043547B" w:rsidTr="00CB5DC0">
        <w:trPr>
          <w:trHeight w:val="23"/>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870625" w:rsidRPr="002E3AA9" w:rsidRDefault="00870625" w:rsidP="00025F1F">
            <w:pPr>
              <w:spacing w:after="0" w:line="240" w:lineRule="auto"/>
              <w:jc w:val="center"/>
              <w:rPr>
                <w:rFonts w:cstheme="minorHAnsi"/>
                <w:b/>
                <w:bCs/>
                <w:sz w:val="24"/>
                <w:szCs w:val="24"/>
              </w:rPr>
            </w:pPr>
            <w:r w:rsidRPr="002E3AA9">
              <w:rPr>
                <w:rFonts w:cstheme="minorHAnsi"/>
                <w:b/>
                <w:bCs/>
                <w:sz w:val="24"/>
                <w:szCs w:val="24"/>
              </w:rPr>
              <w:t>Code :</w:t>
            </w:r>
          </w:p>
        </w:tc>
        <w:tc>
          <w:tcPr>
            <w:tcW w:w="7938" w:type="dxa"/>
            <w:tcBorders>
              <w:top w:val="nil"/>
              <w:left w:val="single" w:sz="4" w:space="0" w:color="auto"/>
              <w:bottom w:val="single" w:sz="18" w:space="0" w:color="auto"/>
              <w:right w:val="single" w:sz="18" w:space="0" w:color="auto"/>
            </w:tcBorders>
            <w:shd w:val="clear" w:color="auto" w:fill="C2D69B" w:themeFill="accent3" w:themeFillTint="99"/>
          </w:tcPr>
          <w:p w:rsidR="00870625" w:rsidRPr="002E3AA9" w:rsidRDefault="00870625" w:rsidP="00025F1F">
            <w:pPr>
              <w:spacing w:after="0" w:line="240" w:lineRule="auto"/>
              <w:jc w:val="center"/>
              <w:rPr>
                <w:rFonts w:cstheme="minorHAnsi"/>
                <w:b/>
                <w:bCs/>
                <w:sz w:val="24"/>
                <w:szCs w:val="24"/>
              </w:rPr>
            </w:pPr>
            <w:r w:rsidRPr="002E3AA9">
              <w:rPr>
                <w:rFonts w:cstheme="minorHAnsi"/>
                <w:b/>
                <w:bCs/>
                <w:sz w:val="24"/>
                <w:szCs w:val="24"/>
              </w:rPr>
              <w:t>NM ISO 8990</w:t>
            </w:r>
          </w:p>
        </w:tc>
      </w:tr>
      <w:tr w:rsidR="0043547B" w:rsidRPr="0043547B" w:rsidTr="00025F1F">
        <w:trPr>
          <w:trHeight w:val="23"/>
          <w:jc w:val="center"/>
        </w:trPr>
        <w:tc>
          <w:tcPr>
            <w:tcW w:w="1838" w:type="dxa"/>
            <w:tcBorders>
              <w:top w:val="single" w:sz="18" w:space="0" w:color="auto"/>
              <w:left w:val="single" w:sz="18" w:space="0" w:color="auto"/>
              <w:bottom w:val="single" w:sz="4" w:space="0" w:color="auto"/>
              <w:right w:val="single" w:sz="4" w:space="0" w:color="auto"/>
            </w:tcBorders>
            <w:shd w:val="clear" w:color="auto" w:fill="FDFBA9"/>
            <w:vAlign w:val="center"/>
          </w:tcPr>
          <w:p w:rsidR="00870625" w:rsidRPr="002E3AA9" w:rsidRDefault="00870625" w:rsidP="00025F1F">
            <w:pPr>
              <w:spacing w:after="0" w:line="240" w:lineRule="auto"/>
              <w:jc w:val="center"/>
              <w:rPr>
                <w:rFonts w:cstheme="minorHAnsi"/>
                <w:b/>
                <w:bCs/>
                <w:sz w:val="24"/>
                <w:szCs w:val="24"/>
              </w:rPr>
            </w:pPr>
            <w:r w:rsidRPr="002E3AA9">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DFBA9"/>
            <w:vAlign w:val="center"/>
          </w:tcPr>
          <w:p w:rsidR="00870625" w:rsidRPr="002E3AA9" w:rsidRDefault="00870625" w:rsidP="00025F1F">
            <w:pPr>
              <w:spacing w:after="0" w:line="240" w:lineRule="auto"/>
              <w:jc w:val="center"/>
              <w:rPr>
                <w:rFonts w:cstheme="minorHAnsi"/>
                <w:b/>
                <w:bCs/>
                <w:sz w:val="24"/>
                <w:szCs w:val="24"/>
              </w:rPr>
            </w:pPr>
            <w:r w:rsidRPr="002E3AA9">
              <w:rPr>
                <w:rFonts w:cstheme="minorHAnsi"/>
                <w:b/>
                <w:bCs/>
                <w:sz w:val="24"/>
                <w:szCs w:val="24"/>
              </w:rPr>
              <w:t xml:space="preserve"> ISO 8990</w:t>
            </w:r>
          </w:p>
        </w:tc>
      </w:tr>
      <w:tr w:rsidR="0043547B" w:rsidRPr="0043547B" w:rsidTr="00025F1F">
        <w:trPr>
          <w:trHeight w:val="480"/>
          <w:jc w:val="center"/>
        </w:trPr>
        <w:tc>
          <w:tcPr>
            <w:tcW w:w="1838" w:type="dxa"/>
            <w:tcBorders>
              <w:top w:val="single" w:sz="4" w:space="0" w:color="auto"/>
              <w:left w:val="single" w:sz="18" w:space="0" w:color="auto"/>
              <w:bottom w:val="single" w:sz="4" w:space="0" w:color="auto"/>
              <w:right w:val="single" w:sz="4" w:space="0" w:color="auto"/>
            </w:tcBorders>
            <w:shd w:val="clear" w:color="auto" w:fill="95B3D7" w:themeFill="accent1" w:themeFillTint="99"/>
            <w:vAlign w:val="center"/>
          </w:tcPr>
          <w:p w:rsidR="00870625" w:rsidRPr="0043547B" w:rsidRDefault="00870625" w:rsidP="00025F1F">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auto"/>
          </w:tcPr>
          <w:p w:rsidR="00870625" w:rsidRPr="0043547B" w:rsidRDefault="00870625" w:rsidP="00025F1F">
            <w:pPr>
              <w:spacing w:after="0" w:line="240" w:lineRule="auto"/>
              <w:rPr>
                <w:rFonts w:cstheme="minorHAnsi"/>
                <w:sz w:val="24"/>
                <w:szCs w:val="24"/>
              </w:rPr>
            </w:pPr>
            <w:r w:rsidRPr="0043547B">
              <w:rPr>
                <w:rFonts w:cstheme="minorHAnsi"/>
                <w:sz w:val="24"/>
                <w:szCs w:val="24"/>
              </w:rPr>
              <w:t xml:space="preserve">Isolation thermique - Détermination des propriétés de transmission thermique en régime stationnaire - Méthodes à la boîte chaude gardée et calibrée   </w:t>
            </w:r>
          </w:p>
        </w:tc>
      </w:tr>
      <w:tr w:rsidR="0043547B" w:rsidRPr="0043547B" w:rsidTr="00CB5DC0">
        <w:trPr>
          <w:trHeight w:val="1091"/>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870625" w:rsidRPr="0043547B" w:rsidRDefault="00870625" w:rsidP="00025F1F">
            <w:pPr>
              <w:spacing w:after="0" w:line="240" w:lineRule="auto"/>
              <w:jc w:val="center"/>
              <w:rPr>
                <w:rFonts w:cstheme="minorHAnsi"/>
                <w:b/>
                <w:bCs/>
                <w:sz w:val="24"/>
                <w:szCs w:val="24"/>
              </w:rPr>
            </w:pPr>
            <w:r w:rsidRPr="0043547B">
              <w:rPr>
                <w:rFonts w:cstheme="minorHAnsi"/>
                <w:b/>
                <w:bCs/>
                <w:sz w:val="24"/>
                <w:szCs w:val="24"/>
              </w:rPr>
              <w:lastRenderedPageBreak/>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tcPr>
          <w:p w:rsidR="00025F1F" w:rsidRDefault="00870625" w:rsidP="00025F1F">
            <w:pPr>
              <w:spacing w:after="0" w:line="240" w:lineRule="auto"/>
              <w:jc w:val="both"/>
              <w:rPr>
                <w:rFonts w:cstheme="minorHAnsi"/>
                <w:sz w:val="24"/>
                <w:szCs w:val="24"/>
              </w:rPr>
            </w:pPr>
            <w:r w:rsidRPr="0043547B">
              <w:rPr>
                <w:rFonts w:cstheme="minorHAnsi"/>
                <w:sz w:val="24"/>
                <w:szCs w:val="24"/>
              </w:rPr>
              <w:t xml:space="preserve">La présente norme établit les principes de conception de l'appareillage et donne les critères minimaux à suivre pour déterminer en laboratoire les propriétés de transmission thermique en régime </w:t>
            </w:r>
            <w:r w:rsidR="00025F1F" w:rsidRPr="0043547B">
              <w:rPr>
                <w:rFonts w:cstheme="minorHAnsi"/>
                <w:sz w:val="24"/>
                <w:szCs w:val="24"/>
              </w:rPr>
              <w:t>stationnaire</w:t>
            </w:r>
            <w:r w:rsidRPr="0043547B">
              <w:rPr>
                <w:rFonts w:cstheme="minorHAnsi"/>
                <w:sz w:val="24"/>
                <w:szCs w:val="24"/>
              </w:rPr>
              <w:t xml:space="preserve">, les composants de bâtiment et les composants similaires à usage industriel. Elle ne spécifié cependant pas de conception particulière, étant donné que les exigences variant, particulièrement les dimensions, et, dans une moindre mesure, les conditions de fonctionnement.                                                                                                                                                                                                                                                                                                                                    La présente norme décrit également l'appareillage, la technique de </w:t>
            </w:r>
            <w:r w:rsidR="00025F1F" w:rsidRPr="0043547B">
              <w:rPr>
                <w:rFonts w:cstheme="minorHAnsi"/>
                <w:sz w:val="24"/>
                <w:szCs w:val="24"/>
              </w:rPr>
              <w:t>mesurage</w:t>
            </w:r>
            <w:r w:rsidRPr="0043547B">
              <w:rPr>
                <w:rFonts w:cstheme="minorHAnsi"/>
                <w:sz w:val="24"/>
                <w:szCs w:val="24"/>
              </w:rPr>
              <w:t xml:space="preserve"> et la </w:t>
            </w:r>
            <w:r w:rsidR="00025F1F" w:rsidRPr="0043547B">
              <w:rPr>
                <w:rFonts w:cstheme="minorHAnsi"/>
                <w:sz w:val="24"/>
                <w:szCs w:val="24"/>
              </w:rPr>
              <w:t>consignation</w:t>
            </w:r>
            <w:r w:rsidRPr="0043547B">
              <w:rPr>
                <w:rFonts w:cstheme="minorHAnsi"/>
                <w:sz w:val="24"/>
                <w:szCs w:val="24"/>
              </w:rPr>
              <w:t xml:space="preserve"> des données nécessaires. Les composants spéciaux, par exemple les fenêtres, nécessitent des procédures supplémentaires qui ne sont pas incluses dans la présente norme. Sont également exclus les mesurages de l'effet du transfert ou de la </w:t>
            </w:r>
            <w:r w:rsidR="00025F1F" w:rsidRPr="0043547B">
              <w:rPr>
                <w:rFonts w:cstheme="minorHAnsi"/>
                <w:sz w:val="24"/>
                <w:szCs w:val="24"/>
              </w:rPr>
              <w:t>redistribution</w:t>
            </w:r>
            <w:r w:rsidRPr="0043547B">
              <w:rPr>
                <w:rFonts w:cstheme="minorHAnsi"/>
                <w:sz w:val="24"/>
                <w:szCs w:val="24"/>
              </w:rPr>
              <w:t xml:space="preserve"> de l'humidité sur le flux thermique, mais il faut tenir compte dans la conception et le fonctionnement de l'équipement, de l'effet possible du transfert d'humidité sur l'</w:t>
            </w:r>
            <w:r w:rsidR="00025F1F" w:rsidRPr="0043547B">
              <w:rPr>
                <w:rFonts w:cstheme="minorHAnsi"/>
                <w:sz w:val="24"/>
                <w:szCs w:val="24"/>
              </w:rPr>
              <w:t>exactitude</w:t>
            </w:r>
            <w:r w:rsidRPr="0043547B">
              <w:rPr>
                <w:rFonts w:cstheme="minorHAnsi"/>
                <w:sz w:val="24"/>
                <w:szCs w:val="24"/>
              </w:rPr>
              <w:t xml:space="preserve">, de l'effet possible du transfert d'humidité sur l'exactitude de la pertinence des résultats d'essai. Les propriétés que l'on peut mesurer sont le coefficient de transmission possible sont spécifiées, à savoir la méthode de la boite chaude gardée et la méthode de la boite chaude calibrée. Ces deux méthodes conviennent à des </w:t>
            </w:r>
            <w:r w:rsidR="00025F1F" w:rsidRPr="0043547B">
              <w:rPr>
                <w:rFonts w:cstheme="minorHAnsi"/>
                <w:sz w:val="24"/>
                <w:szCs w:val="24"/>
              </w:rPr>
              <w:t>éprouvettes</w:t>
            </w:r>
            <w:r w:rsidRPr="0043547B">
              <w:rPr>
                <w:rFonts w:cstheme="minorHAnsi"/>
                <w:sz w:val="24"/>
                <w:szCs w:val="24"/>
              </w:rPr>
              <w:t xml:space="preserve"> horizontales telle que des plafonds et planchers. L'appareillage peut être suffisamment grand pour étudier des composants à l'échelle réelle.                                                                                                                                                                           Les méthodes sont initialement prévues pour des mesurages en laboratoire de grandes éprouvettes non homogènes ; des éprouvettes homogènes peuvent bien entendu aussi être essayées, et sont nécessaires pour l'étalonnage et la validation.                                                                                                                                                                         L'expérience montre que pour des essais effectués sur des éprouvettes homogènes conformément à la présente norme, l'exactitude se situe dans la fourchette de + 5 %. Toutefois, l'exactitude d'un appareillage particulier doit être évaluée en se référant à des éprouvettes homogènes de conductance thermique portant sur l'intervalle à mesurer au moyen de l'</w:t>
            </w:r>
            <w:r w:rsidR="00025F1F" w:rsidRPr="0043547B">
              <w:rPr>
                <w:rFonts w:cstheme="minorHAnsi"/>
                <w:sz w:val="24"/>
                <w:szCs w:val="24"/>
              </w:rPr>
              <w:t>appareillage</w:t>
            </w:r>
            <w:r w:rsidRPr="0043547B">
              <w:rPr>
                <w:rFonts w:cstheme="minorHAnsi"/>
                <w:sz w:val="24"/>
                <w:szCs w:val="24"/>
              </w:rPr>
              <w:t>.</w:t>
            </w:r>
          </w:p>
          <w:p w:rsidR="00AF3052" w:rsidRPr="0043547B" w:rsidRDefault="00870625" w:rsidP="00025F1F">
            <w:pPr>
              <w:spacing w:after="0" w:line="240" w:lineRule="auto"/>
              <w:jc w:val="both"/>
              <w:rPr>
                <w:rFonts w:cstheme="minorHAnsi"/>
                <w:sz w:val="24"/>
                <w:szCs w:val="24"/>
              </w:rPr>
            </w:pPr>
            <w:r w:rsidRPr="0043547B">
              <w:rPr>
                <w:rFonts w:cstheme="minorHAnsi"/>
                <w:sz w:val="24"/>
                <w:szCs w:val="24"/>
              </w:rPr>
              <w:t xml:space="preserve">Pour les essais effectués sur des éprouvettes qui ne sont pas homogènes, l'évaluation d'exactitude sera plus complexe et impliquera une analyse du mécanisme du flux thermique dans les types particuliers d'éprouvettes non homogènes soumises à l'essai. De telles analyses n'entrent pas dans </w:t>
            </w:r>
            <w:r w:rsidR="00025F1F">
              <w:rPr>
                <w:rFonts w:cstheme="minorHAnsi"/>
                <w:sz w:val="24"/>
                <w:szCs w:val="24"/>
              </w:rPr>
              <w:t xml:space="preserve">le cadre de la présente norme. </w:t>
            </w:r>
            <w:r w:rsidRPr="0043547B">
              <w:rPr>
                <w:rFonts w:cstheme="minorHAnsi"/>
                <w:sz w:val="24"/>
                <w:szCs w:val="24"/>
              </w:rPr>
              <w:t>La méthode ne fournit pas d'éléments de mesure lorsqu'il se produit un transfert de masse à travers l'éprouvette pendant l'essai.</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14317-2</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14317-2</w:t>
            </w:r>
          </w:p>
        </w:tc>
      </w:tr>
      <w:tr w:rsidR="0043547B" w:rsidRPr="0043547B" w:rsidTr="00CB5DC0">
        <w:trPr>
          <w:trHeight w:val="6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Produits isolants thermiques pour le bâtiment - Produits d'isolation thermique à base de vermiculite exfoliée (EV) formés en place - Partie 2 : spécification des produits mis en place</w:t>
            </w:r>
          </w:p>
        </w:tc>
      </w:tr>
      <w:tr w:rsidR="0043547B" w:rsidRPr="0043547B" w:rsidTr="00CB5DC0">
        <w:trPr>
          <w:trHeight w:val="559"/>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7F63D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exigences concernant quatre types de produits à base de vermiculite exfoliée : les granulats de vermiculite (EVA), la vermiculite enrobée (EVC), la vermiculite hydrophobe (EVH) et la vermiculite prémélangée (EVM), contenant moins de 1 % de matériaux organiques selon la définition de l’Annexe D de l’EN 14317-1</w:t>
            </w:r>
            <w:r w:rsidR="00606FAD" w:rsidRPr="0043547B">
              <w:rPr>
                <w:rFonts w:eastAsia="Times New Roman" w:cstheme="minorHAnsi"/>
                <w:sz w:val="24"/>
                <w:szCs w:val="24"/>
                <w:lang w:eastAsia="fr-FR"/>
              </w:rPr>
              <w:t xml:space="preserve"> </w:t>
            </w:r>
            <w:r w:rsidRPr="0043547B">
              <w:rPr>
                <w:rFonts w:eastAsia="Times New Roman" w:cstheme="minorHAnsi"/>
                <w:sz w:val="24"/>
                <w:szCs w:val="24"/>
                <w:lang w:eastAsia="fr-FR"/>
              </w:rPr>
              <w:t>:</w:t>
            </w:r>
            <w:r w:rsidR="00606FAD" w:rsidRPr="0043547B">
              <w:rPr>
                <w:rFonts w:eastAsia="Times New Roman" w:cstheme="minorHAnsi"/>
                <w:sz w:val="24"/>
                <w:szCs w:val="24"/>
                <w:lang w:eastAsia="fr-FR"/>
              </w:rPr>
              <w:t xml:space="preserve"> </w:t>
            </w:r>
            <w:r w:rsidRPr="0043547B">
              <w:rPr>
                <w:rFonts w:eastAsia="Times New Roman" w:cstheme="minorHAnsi"/>
                <w:sz w:val="24"/>
                <w:szCs w:val="24"/>
                <w:lang w:eastAsia="fr-FR"/>
              </w:rPr>
              <w:t>2004, et destinés à l’isolation en place des toitures, des plafonds, des murs et des planchers.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 présent document est une spécification applicable aux produits installés.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Il décrit également les vérifications et les modes opératoires d’essai nécessaires pour la déclaration de l’installateur du produit.</w:t>
            </w:r>
          </w:p>
          <w:p w:rsidR="00025F1F"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lastRenderedPageBreak/>
              <w:t>La norme ne spécifie pas le niveau requis de toutes les propriétés requises pour qu’un produit démontre son aptitude à l’emploi dans une application particulière. Les niveaux requis peuvent être trouvés dans des réglementations ou dans des normes non-divergentes.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n’inclut pas des produits d’isolation formés fabriqués en usine ni les panneaux à base de vermiculite exfoliée ou les produits formés en place, destinés à l’isolation d’équipements de bâtiments et d’installations industrielles.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 présent document ne spécifie pas d’exigences de performance pour les applications d’isolement aux bruits aériens et d’absorption acoustique.</w:t>
            </w:r>
          </w:p>
        </w:tc>
      </w:tr>
      <w:tr w:rsidR="004E002F"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4E002F" w:rsidRPr="0043547B" w:rsidRDefault="004E002F" w:rsidP="004E002F">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4E002F" w:rsidRPr="00591063" w:rsidRDefault="004E002F" w:rsidP="00591063">
            <w:pPr>
              <w:spacing w:after="0" w:line="240" w:lineRule="auto"/>
              <w:jc w:val="center"/>
              <w:rPr>
                <w:rFonts w:ascii="Calibri" w:hAnsi="Calibri" w:cs="Calibri"/>
                <w:b/>
                <w:bCs/>
                <w:sz w:val="24"/>
                <w:szCs w:val="24"/>
              </w:rPr>
            </w:pPr>
            <w:r w:rsidRPr="00591063">
              <w:rPr>
                <w:rFonts w:ascii="Calibri" w:hAnsi="Calibri" w:cs="Calibri"/>
                <w:b/>
                <w:bCs/>
                <w:sz w:val="24"/>
                <w:szCs w:val="24"/>
              </w:rPr>
              <w:t>NM ISO 2219</w:t>
            </w:r>
          </w:p>
        </w:tc>
      </w:tr>
      <w:tr w:rsidR="004E002F" w:rsidRPr="0043547B" w:rsidTr="004E002F">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4E002F" w:rsidRPr="0043547B" w:rsidRDefault="004E002F" w:rsidP="004E002F">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bottom"/>
            <w:hideMark/>
          </w:tcPr>
          <w:p w:rsidR="004E002F" w:rsidRPr="00591063" w:rsidRDefault="004E002F" w:rsidP="00591063">
            <w:pPr>
              <w:spacing w:after="0" w:line="240" w:lineRule="auto"/>
              <w:jc w:val="center"/>
              <w:rPr>
                <w:rFonts w:ascii="Calibri" w:hAnsi="Calibri" w:cs="Calibri"/>
                <w:b/>
                <w:bCs/>
                <w:sz w:val="24"/>
                <w:szCs w:val="24"/>
              </w:rPr>
            </w:pPr>
            <w:r w:rsidRPr="00591063">
              <w:rPr>
                <w:rFonts w:ascii="Calibri" w:hAnsi="Calibri" w:cs="Calibri"/>
                <w:b/>
                <w:bCs/>
                <w:sz w:val="24"/>
                <w:szCs w:val="24"/>
              </w:rPr>
              <w:t>ISO 2219</w:t>
            </w:r>
          </w:p>
        </w:tc>
      </w:tr>
      <w:tr w:rsidR="004E002F" w:rsidRPr="0043547B" w:rsidTr="00CB5DC0">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4E002F" w:rsidRPr="0043547B" w:rsidRDefault="004E002F" w:rsidP="004E002F">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4E002F" w:rsidRPr="00591063" w:rsidRDefault="004E002F" w:rsidP="00591063">
            <w:pPr>
              <w:spacing w:after="0" w:line="240" w:lineRule="auto"/>
              <w:rPr>
                <w:rFonts w:ascii="Calibri" w:hAnsi="Calibri" w:cs="Calibri"/>
                <w:sz w:val="20"/>
                <w:szCs w:val="20"/>
              </w:rPr>
            </w:pPr>
            <w:r w:rsidRPr="00591063">
              <w:rPr>
                <w:rFonts w:ascii="Calibri" w:hAnsi="Calibri" w:cs="Calibri"/>
                <w:sz w:val="20"/>
                <w:szCs w:val="20"/>
              </w:rPr>
              <w:t xml:space="preserve">Produits isolants thermiques pour le bâtiment - Produits manufacturés en liège expansé (ICB) - Spécification ; </w:t>
            </w:r>
          </w:p>
        </w:tc>
      </w:tr>
      <w:tr w:rsidR="004E002F" w:rsidRPr="0043547B" w:rsidTr="004E002F">
        <w:trPr>
          <w:trHeight w:val="65"/>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4E002F" w:rsidRPr="0043547B" w:rsidRDefault="004E002F" w:rsidP="004E002F">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hideMark/>
          </w:tcPr>
          <w:p w:rsidR="00591063" w:rsidRDefault="004E002F" w:rsidP="00591063">
            <w:pPr>
              <w:spacing w:after="0" w:line="240" w:lineRule="auto"/>
              <w:jc w:val="both"/>
              <w:rPr>
                <w:rFonts w:ascii="Calibri" w:hAnsi="Calibri" w:cs="Calibri"/>
              </w:rPr>
            </w:pPr>
            <w:r w:rsidRPr="00591063">
              <w:rPr>
                <w:rFonts w:ascii="Calibri" w:hAnsi="Calibri" w:cs="Calibri"/>
              </w:rPr>
              <w:t>La présente Norme internationale spécifie les exigences auxquelles doivent satisfaire les produits</w:t>
            </w:r>
            <w:r w:rsidR="00591063">
              <w:rPr>
                <w:rFonts w:ascii="Calibri" w:hAnsi="Calibri" w:cs="Calibri"/>
              </w:rPr>
              <w:t xml:space="preserve"> </w:t>
            </w:r>
            <w:r w:rsidRPr="00591063">
              <w:rPr>
                <w:rFonts w:ascii="Calibri" w:hAnsi="Calibri" w:cs="Calibri"/>
              </w:rPr>
              <w:t>manufacturés en liège expansé utilisés pour l'isolation thermique des bâtiments. Les produits sont fabriqués</w:t>
            </w:r>
            <w:r w:rsidR="00591063">
              <w:rPr>
                <w:rFonts w:ascii="Calibri" w:hAnsi="Calibri" w:cs="Calibri"/>
              </w:rPr>
              <w:t xml:space="preserve"> </w:t>
            </w:r>
            <w:r w:rsidRPr="00591063">
              <w:rPr>
                <w:rFonts w:ascii="Calibri" w:hAnsi="Calibri" w:cs="Calibri"/>
              </w:rPr>
              <w:t>avec du liège granulé, aggloméré sans addition de liants et sont livrés sous forme de panneaux, sans</w:t>
            </w:r>
            <w:r w:rsidR="00591063">
              <w:rPr>
                <w:rFonts w:ascii="Calibri" w:hAnsi="Calibri" w:cs="Calibri"/>
              </w:rPr>
              <w:t xml:space="preserve"> </w:t>
            </w:r>
            <w:r w:rsidRPr="00591063">
              <w:rPr>
                <w:rFonts w:ascii="Calibri" w:hAnsi="Calibri" w:cs="Calibri"/>
              </w:rPr>
              <w:t>parements.</w:t>
            </w:r>
          </w:p>
          <w:p w:rsidR="00591063" w:rsidRDefault="004E002F" w:rsidP="00591063">
            <w:pPr>
              <w:spacing w:after="0" w:line="240" w:lineRule="auto"/>
              <w:jc w:val="both"/>
              <w:rPr>
                <w:rFonts w:ascii="Calibri" w:hAnsi="Calibri" w:cs="Calibri"/>
              </w:rPr>
            </w:pPr>
            <w:r w:rsidRPr="00591063">
              <w:rPr>
                <w:rFonts w:ascii="Calibri" w:hAnsi="Calibri" w:cs="Calibri"/>
              </w:rPr>
              <w:t>La présente Norme internationale décrit les caractéristiques des produits et inclut les modes opératoires</w:t>
            </w:r>
            <w:r w:rsidR="00591063">
              <w:rPr>
                <w:rFonts w:ascii="Calibri" w:hAnsi="Calibri" w:cs="Calibri"/>
              </w:rPr>
              <w:t xml:space="preserve"> </w:t>
            </w:r>
            <w:r w:rsidRPr="00591063">
              <w:rPr>
                <w:rFonts w:ascii="Calibri" w:hAnsi="Calibri" w:cs="Calibri"/>
              </w:rPr>
              <w:t>d'essai, d'évaluation de la conformité, de marquage, d'étiquetage et d'emballage.</w:t>
            </w:r>
            <w:r w:rsidRPr="00591063">
              <w:rPr>
                <w:rFonts w:ascii="Calibri" w:hAnsi="Calibri" w:cs="Calibri"/>
              </w:rPr>
              <w:br/>
              <w:t>Les produits couverts par la présente Norme internationale sont également utilisés dans des systèmes</w:t>
            </w:r>
            <w:r w:rsidR="00591063">
              <w:rPr>
                <w:rFonts w:ascii="Calibri" w:hAnsi="Calibri" w:cs="Calibri"/>
              </w:rPr>
              <w:t xml:space="preserve"> </w:t>
            </w:r>
            <w:r w:rsidRPr="00591063">
              <w:rPr>
                <w:rFonts w:ascii="Calibri" w:hAnsi="Calibri" w:cs="Calibri"/>
              </w:rPr>
              <w:t>d'isolation thermique et dans des panneaux composites préfabriqués; la performance des systèmes</w:t>
            </w:r>
            <w:r w:rsidR="00591063">
              <w:rPr>
                <w:rFonts w:ascii="Calibri" w:hAnsi="Calibri" w:cs="Calibri"/>
              </w:rPr>
              <w:t xml:space="preserve"> </w:t>
            </w:r>
            <w:r w:rsidRPr="00591063">
              <w:rPr>
                <w:rFonts w:ascii="Calibri" w:hAnsi="Calibri" w:cs="Calibri"/>
              </w:rPr>
              <w:t>incorporant ces produits n'est pas traitée.</w:t>
            </w:r>
          </w:p>
          <w:p w:rsidR="00591063" w:rsidRDefault="004E002F" w:rsidP="00591063">
            <w:pPr>
              <w:spacing w:after="0" w:line="240" w:lineRule="auto"/>
              <w:jc w:val="both"/>
              <w:rPr>
                <w:rFonts w:ascii="Calibri" w:hAnsi="Calibri" w:cs="Calibri"/>
              </w:rPr>
            </w:pPr>
            <w:r w:rsidRPr="00591063">
              <w:rPr>
                <w:rFonts w:ascii="Calibri" w:hAnsi="Calibri" w:cs="Calibri"/>
              </w:rPr>
              <w:t>La présente Norme internationale ne spécifie pas, pour une propriété donnée, le niveau exigé que doit</w:t>
            </w:r>
            <w:r w:rsidR="00591063">
              <w:rPr>
                <w:rFonts w:ascii="Calibri" w:hAnsi="Calibri" w:cs="Calibri"/>
              </w:rPr>
              <w:t xml:space="preserve"> </w:t>
            </w:r>
            <w:r w:rsidRPr="00591063">
              <w:rPr>
                <w:rFonts w:ascii="Calibri" w:hAnsi="Calibri" w:cs="Calibri"/>
              </w:rPr>
              <w:t>atteindre un produit pour démontrer son aptitude à l'emploi dans une application particulière. Les niveaux</w:t>
            </w:r>
            <w:r w:rsidR="00591063">
              <w:rPr>
                <w:rFonts w:ascii="Calibri" w:hAnsi="Calibri" w:cs="Calibri"/>
              </w:rPr>
              <w:t xml:space="preserve"> </w:t>
            </w:r>
            <w:r w:rsidRPr="00591063">
              <w:rPr>
                <w:rFonts w:ascii="Calibri" w:hAnsi="Calibri" w:cs="Calibri"/>
              </w:rPr>
              <w:t>requis pour une application donnée figurent dans les réglementations ou normes non conflictuelles.</w:t>
            </w:r>
          </w:p>
          <w:p w:rsidR="004E002F" w:rsidRPr="00591063" w:rsidRDefault="004E002F" w:rsidP="00591063">
            <w:pPr>
              <w:spacing w:after="0" w:line="240" w:lineRule="auto"/>
              <w:jc w:val="both"/>
              <w:rPr>
                <w:rFonts w:ascii="Calibri" w:hAnsi="Calibri" w:cs="Calibri"/>
              </w:rPr>
            </w:pPr>
            <w:r w:rsidRPr="00591063">
              <w:rPr>
                <w:rFonts w:ascii="Calibri" w:hAnsi="Calibri" w:cs="Calibri"/>
              </w:rPr>
              <w:t>Les produits dont la résistance thermique déclarée est inférieure à 0,25 m2·K/W à une température de 10 °C,</w:t>
            </w:r>
            <w:r w:rsidR="00591063">
              <w:rPr>
                <w:rFonts w:ascii="Calibri" w:hAnsi="Calibri" w:cs="Calibri"/>
              </w:rPr>
              <w:t xml:space="preserve"> </w:t>
            </w:r>
            <w:r w:rsidRPr="00591063">
              <w:rPr>
                <w:rFonts w:ascii="Calibri" w:hAnsi="Calibri" w:cs="Calibri"/>
              </w:rPr>
              <w:t>ou dont la conductivité thermique déclarée est supérieure à 0,060 W/(m</w:t>
            </w:r>
            <w:r w:rsidRPr="00591063">
              <w:rPr>
                <w:rFonts w:ascii="Cambria Math" w:hAnsi="Cambria Math" w:cs="Cambria Math"/>
              </w:rPr>
              <w:t>⋅</w:t>
            </w:r>
            <w:r w:rsidRPr="00591063">
              <w:rPr>
                <w:rFonts w:ascii="Calibri" w:hAnsi="Calibri" w:cs="Calibri"/>
              </w:rPr>
              <w:t>K) à une température de 10 °C, ne</w:t>
            </w:r>
            <w:r w:rsidR="00591063">
              <w:rPr>
                <w:rFonts w:ascii="Calibri" w:hAnsi="Calibri" w:cs="Calibri"/>
              </w:rPr>
              <w:t xml:space="preserve"> </w:t>
            </w:r>
            <w:r w:rsidRPr="00591063">
              <w:rPr>
                <w:rFonts w:ascii="Calibri" w:hAnsi="Calibri" w:cs="Calibri"/>
              </w:rPr>
              <w:t>sont pas pris en compte par la présente Norme internationale.</w:t>
            </w:r>
          </w:p>
        </w:tc>
      </w:tr>
      <w:tr w:rsidR="004E002F" w:rsidRPr="0043547B" w:rsidTr="00591063">
        <w:trPr>
          <w:trHeight w:val="65"/>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4E002F" w:rsidRPr="00591063" w:rsidRDefault="004E002F" w:rsidP="00591063">
            <w:pPr>
              <w:spacing w:after="0" w:line="240" w:lineRule="auto"/>
              <w:jc w:val="center"/>
              <w:rPr>
                <w:rFonts w:ascii="Calibri" w:hAnsi="Calibri" w:cs="Calibri"/>
                <w:b/>
                <w:bCs/>
              </w:rPr>
            </w:pPr>
            <w:r w:rsidRPr="00591063">
              <w:rPr>
                <w:rFonts w:ascii="Calibri" w:hAnsi="Calibri" w:cs="Calibri"/>
                <w:b/>
                <w:bCs/>
              </w:rPr>
              <w:t>Code :</w:t>
            </w:r>
          </w:p>
        </w:tc>
        <w:tc>
          <w:tcPr>
            <w:tcW w:w="7938" w:type="dxa"/>
            <w:tcBorders>
              <w:top w:val="nil"/>
              <w:left w:val="single" w:sz="4" w:space="0" w:color="auto"/>
              <w:bottom w:val="single" w:sz="18" w:space="0" w:color="auto"/>
              <w:right w:val="single" w:sz="18" w:space="0" w:color="auto"/>
            </w:tcBorders>
            <w:shd w:val="clear" w:color="auto" w:fill="C2D69B" w:themeFill="accent3" w:themeFillTint="99"/>
            <w:vAlign w:val="center"/>
          </w:tcPr>
          <w:p w:rsidR="004E002F" w:rsidRPr="00591063" w:rsidRDefault="004E002F" w:rsidP="00591063">
            <w:pPr>
              <w:spacing w:after="0" w:line="240" w:lineRule="auto"/>
              <w:jc w:val="center"/>
              <w:rPr>
                <w:rFonts w:ascii="Calibri" w:hAnsi="Calibri" w:cs="Calibri"/>
                <w:b/>
                <w:bCs/>
                <w:sz w:val="24"/>
                <w:szCs w:val="24"/>
              </w:rPr>
            </w:pPr>
            <w:r w:rsidRPr="00591063">
              <w:rPr>
                <w:rFonts w:ascii="Calibri" w:hAnsi="Calibri" w:cs="Calibri"/>
                <w:b/>
                <w:bCs/>
                <w:sz w:val="24"/>
                <w:szCs w:val="24"/>
              </w:rPr>
              <w:t>NM EN 13172</w:t>
            </w:r>
          </w:p>
        </w:tc>
      </w:tr>
      <w:tr w:rsidR="004E002F" w:rsidRPr="0043547B" w:rsidTr="00591063">
        <w:trPr>
          <w:trHeight w:val="65"/>
          <w:jc w:val="center"/>
        </w:trPr>
        <w:tc>
          <w:tcPr>
            <w:tcW w:w="1838" w:type="dxa"/>
            <w:tcBorders>
              <w:top w:val="nil"/>
              <w:left w:val="single" w:sz="18" w:space="0" w:color="auto"/>
              <w:bottom w:val="single" w:sz="18" w:space="0" w:color="auto"/>
              <w:right w:val="single" w:sz="4" w:space="0" w:color="auto"/>
            </w:tcBorders>
            <w:shd w:val="clear" w:color="auto" w:fill="FFFF99"/>
            <w:vAlign w:val="center"/>
          </w:tcPr>
          <w:p w:rsidR="004E002F" w:rsidRPr="00591063" w:rsidRDefault="004E002F" w:rsidP="00591063">
            <w:pPr>
              <w:spacing w:after="0" w:line="240" w:lineRule="auto"/>
              <w:jc w:val="center"/>
              <w:rPr>
                <w:rFonts w:ascii="Calibri" w:hAnsi="Calibri" w:cs="Calibri"/>
                <w:b/>
                <w:bCs/>
                <w:sz w:val="24"/>
                <w:szCs w:val="24"/>
              </w:rPr>
            </w:pPr>
            <w:r w:rsidRPr="00591063">
              <w:rPr>
                <w:rFonts w:ascii="Calibri" w:hAnsi="Calibri" w:cs="Calibri"/>
                <w:b/>
                <w:bCs/>
              </w:rPr>
              <w:t>Equivalence :</w:t>
            </w:r>
          </w:p>
        </w:tc>
        <w:tc>
          <w:tcPr>
            <w:tcW w:w="7938" w:type="dxa"/>
            <w:tcBorders>
              <w:top w:val="nil"/>
              <w:left w:val="single" w:sz="4" w:space="0" w:color="auto"/>
              <w:bottom w:val="single" w:sz="18" w:space="0" w:color="auto"/>
              <w:right w:val="single" w:sz="18" w:space="0" w:color="auto"/>
            </w:tcBorders>
            <w:shd w:val="clear" w:color="auto" w:fill="FFFF99"/>
            <w:vAlign w:val="center"/>
          </w:tcPr>
          <w:p w:rsidR="004E002F" w:rsidRPr="00591063" w:rsidRDefault="004E002F" w:rsidP="00591063">
            <w:pPr>
              <w:spacing w:after="0" w:line="240" w:lineRule="auto"/>
              <w:jc w:val="center"/>
              <w:rPr>
                <w:rFonts w:ascii="Calibri" w:hAnsi="Calibri" w:cs="Calibri"/>
                <w:b/>
                <w:bCs/>
                <w:sz w:val="24"/>
                <w:szCs w:val="24"/>
              </w:rPr>
            </w:pPr>
            <w:r w:rsidRPr="00591063">
              <w:rPr>
                <w:rFonts w:ascii="Calibri" w:hAnsi="Calibri" w:cs="Calibri"/>
                <w:b/>
                <w:bCs/>
                <w:sz w:val="24"/>
                <w:szCs w:val="24"/>
              </w:rPr>
              <w:t>EN 13172</w:t>
            </w:r>
          </w:p>
        </w:tc>
      </w:tr>
      <w:tr w:rsidR="004E002F" w:rsidRPr="0043547B" w:rsidTr="00591063">
        <w:trPr>
          <w:trHeight w:val="65"/>
          <w:jc w:val="center"/>
        </w:trPr>
        <w:tc>
          <w:tcPr>
            <w:tcW w:w="1838" w:type="dxa"/>
            <w:tcBorders>
              <w:top w:val="nil"/>
              <w:left w:val="single" w:sz="18" w:space="0" w:color="auto"/>
              <w:bottom w:val="single" w:sz="18" w:space="0" w:color="auto"/>
              <w:right w:val="single" w:sz="4" w:space="0" w:color="auto"/>
            </w:tcBorders>
            <w:shd w:val="clear" w:color="auto" w:fill="8DB3E2" w:themeFill="text2" w:themeFillTint="66"/>
            <w:vAlign w:val="center"/>
          </w:tcPr>
          <w:p w:rsidR="004E002F" w:rsidRPr="00591063" w:rsidRDefault="004E002F" w:rsidP="00591063">
            <w:pPr>
              <w:spacing w:after="0" w:line="240" w:lineRule="auto"/>
              <w:jc w:val="center"/>
              <w:rPr>
                <w:rFonts w:ascii="Calibri" w:hAnsi="Calibri" w:cs="Calibri"/>
                <w:b/>
                <w:bCs/>
                <w:sz w:val="24"/>
                <w:szCs w:val="24"/>
              </w:rPr>
            </w:pPr>
            <w:r w:rsidRPr="00591063">
              <w:rPr>
                <w:rFonts w:ascii="Calibri" w:hAnsi="Calibri" w:cs="Calibri"/>
                <w:b/>
                <w:bCs/>
              </w:rPr>
              <w:t>Intitulé :</w:t>
            </w:r>
          </w:p>
        </w:tc>
        <w:tc>
          <w:tcPr>
            <w:tcW w:w="7938" w:type="dxa"/>
            <w:tcBorders>
              <w:top w:val="nil"/>
              <w:left w:val="single" w:sz="4" w:space="0" w:color="auto"/>
              <w:bottom w:val="single" w:sz="18" w:space="0" w:color="auto"/>
              <w:right w:val="single" w:sz="18" w:space="0" w:color="auto"/>
            </w:tcBorders>
            <w:shd w:val="clear" w:color="auto" w:fill="auto"/>
            <w:vAlign w:val="center"/>
          </w:tcPr>
          <w:p w:rsidR="004E002F" w:rsidRPr="00591063" w:rsidRDefault="004E002F" w:rsidP="00591063">
            <w:pPr>
              <w:spacing w:after="0" w:line="240" w:lineRule="auto"/>
              <w:rPr>
                <w:rFonts w:ascii="Calibri" w:hAnsi="Calibri" w:cs="Calibri"/>
                <w:sz w:val="20"/>
                <w:szCs w:val="20"/>
              </w:rPr>
            </w:pPr>
            <w:r w:rsidRPr="00591063">
              <w:rPr>
                <w:rFonts w:ascii="Calibri" w:hAnsi="Calibri" w:cs="Calibri"/>
                <w:sz w:val="20"/>
                <w:szCs w:val="20"/>
              </w:rPr>
              <w:t xml:space="preserve">Produits isolants thermiques - Évaluation de la conformité ; </w:t>
            </w:r>
          </w:p>
        </w:tc>
      </w:tr>
      <w:tr w:rsidR="004E002F" w:rsidRPr="0043547B" w:rsidTr="00591063">
        <w:trPr>
          <w:trHeight w:val="65"/>
          <w:jc w:val="center"/>
        </w:trPr>
        <w:tc>
          <w:tcPr>
            <w:tcW w:w="1838" w:type="dxa"/>
            <w:tcBorders>
              <w:top w:val="nil"/>
              <w:left w:val="single" w:sz="18" w:space="0" w:color="auto"/>
              <w:bottom w:val="single" w:sz="18" w:space="0" w:color="auto"/>
              <w:right w:val="single" w:sz="4" w:space="0" w:color="auto"/>
            </w:tcBorders>
            <w:shd w:val="clear" w:color="000000" w:fill="D9D9D9"/>
            <w:vAlign w:val="center"/>
          </w:tcPr>
          <w:p w:rsidR="004E002F" w:rsidRPr="00591063" w:rsidRDefault="004E002F" w:rsidP="00591063">
            <w:pPr>
              <w:spacing w:after="0" w:line="240" w:lineRule="auto"/>
              <w:jc w:val="center"/>
              <w:rPr>
                <w:rFonts w:ascii="Calibri" w:hAnsi="Calibri" w:cs="Calibri"/>
                <w:b/>
                <w:bCs/>
                <w:sz w:val="24"/>
                <w:szCs w:val="24"/>
              </w:rPr>
            </w:pPr>
            <w:r w:rsidRPr="00591063">
              <w:rPr>
                <w:rFonts w:ascii="Calibri" w:hAnsi="Calibri" w:cs="Calibri"/>
                <w:b/>
                <w:bCs/>
              </w:rPr>
              <w:t>Domaine d’application :</w:t>
            </w:r>
          </w:p>
        </w:tc>
        <w:tc>
          <w:tcPr>
            <w:tcW w:w="7938" w:type="dxa"/>
            <w:tcBorders>
              <w:top w:val="nil"/>
              <w:left w:val="single" w:sz="4" w:space="0" w:color="auto"/>
              <w:bottom w:val="single" w:sz="18" w:space="0" w:color="auto"/>
              <w:right w:val="single" w:sz="18" w:space="0" w:color="auto"/>
            </w:tcBorders>
            <w:shd w:val="clear" w:color="auto" w:fill="auto"/>
          </w:tcPr>
          <w:p w:rsidR="00591063" w:rsidRDefault="004E002F" w:rsidP="00591063">
            <w:pPr>
              <w:spacing w:after="0" w:line="240" w:lineRule="auto"/>
              <w:jc w:val="both"/>
              <w:rPr>
                <w:rFonts w:ascii="Calibri" w:hAnsi="Calibri" w:cs="Calibri"/>
              </w:rPr>
            </w:pPr>
            <w:r w:rsidRPr="00591063">
              <w:rPr>
                <w:rFonts w:ascii="Calibri" w:hAnsi="Calibri" w:cs="Calibri"/>
              </w:rPr>
              <w:t>La présente Norme européenne spécifie les procédures et les critères pour l’évaluation de la conformité d’un produit</w:t>
            </w:r>
            <w:r w:rsidR="00591063">
              <w:rPr>
                <w:rFonts w:ascii="Calibri" w:hAnsi="Calibri" w:cs="Calibri"/>
              </w:rPr>
              <w:t xml:space="preserve"> </w:t>
            </w:r>
            <w:r w:rsidRPr="00591063">
              <w:rPr>
                <w:rFonts w:ascii="Calibri" w:hAnsi="Calibri" w:cs="Calibri"/>
              </w:rPr>
              <w:t>isolant thermique aux spécifications européennes du produit correspondant.</w:t>
            </w:r>
          </w:p>
          <w:p w:rsidR="004E002F" w:rsidRPr="00591063" w:rsidRDefault="004E002F" w:rsidP="00591063">
            <w:pPr>
              <w:spacing w:after="0" w:line="240" w:lineRule="auto"/>
              <w:jc w:val="both"/>
              <w:rPr>
                <w:rFonts w:ascii="Calibri" w:hAnsi="Calibri" w:cs="Calibri"/>
              </w:rPr>
            </w:pPr>
            <w:r w:rsidRPr="00591063">
              <w:rPr>
                <w:rFonts w:ascii="Calibri" w:hAnsi="Calibri" w:cs="Calibri"/>
              </w:rPr>
              <w:t>La présente Norme européenne s’applique aux produits manufacturés pour le bâtiment, aux produits manufacturés</w:t>
            </w:r>
            <w:r w:rsidR="00591063">
              <w:rPr>
                <w:rFonts w:ascii="Calibri" w:hAnsi="Calibri" w:cs="Calibri"/>
              </w:rPr>
              <w:t xml:space="preserve"> </w:t>
            </w:r>
            <w:r w:rsidRPr="00591063">
              <w:rPr>
                <w:rFonts w:ascii="Calibri" w:hAnsi="Calibri" w:cs="Calibri"/>
              </w:rPr>
              <w:t xml:space="preserve">pour l’équipement du bâtiment et les installations industrielles, aux produits mis en </w:t>
            </w:r>
            <w:r w:rsidR="00591063" w:rsidRPr="00591063">
              <w:rPr>
                <w:rFonts w:ascii="Calibri" w:hAnsi="Calibri" w:cs="Calibri"/>
              </w:rPr>
              <w:t>œuvre</w:t>
            </w:r>
            <w:r w:rsidRPr="00591063">
              <w:rPr>
                <w:rFonts w:ascii="Calibri" w:hAnsi="Calibri" w:cs="Calibri"/>
              </w:rPr>
              <w:t xml:space="preserve"> in situ pour le bâtiment,</w:t>
            </w:r>
            <w:r w:rsidR="00591063">
              <w:rPr>
                <w:rFonts w:ascii="Calibri" w:hAnsi="Calibri" w:cs="Calibri"/>
              </w:rPr>
              <w:t xml:space="preserve"> </w:t>
            </w:r>
            <w:r w:rsidRPr="00591063">
              <w:rPr>
                <w:rFonts w:ascii="Calibri" w:hAnsi="Calibri" w:cs="Calibri"/>
              </w:rPr>
              <w:t xml:space="preserve">aux produits mis en </w:t>
            </w:r>
            <w:r w:rsidR="00591063" w:rsidRPr="00591063">
              <w:rPr>
                <w:rFonts w:ascii="Calibri" w:hAnsi="Calibri" w:cs="Calibri"/>
              </w:rPr>
              <w:t>œuvre</w:t>
            </w:r>
            <w:r w:rsidRPr="00591063">
              <w:rPr>
                <w:rFonts w:ascii="Calibri" w:hAnsi="Calibri" w:cs="Calibri"/>
              </w:rPr>
              <w:t xml:space="preserve"> in situ pour l’équipement du bâtiment et les installations industrielles et aux systèmes</w:t>
            </w:r>
            <w:r w:rsidR="00591063">
              <w:rPr>
                <w:rFonts w:ascii="Calibri" w:hAnsi="Calibri" w:cs="Calibri"/>
              </w:rPr>
              <w:t xml:space="preserve"> </w:t>
            </w:r>
            <w:r w:rsidRPr="00591063">
              <w:rPr>
                <w:rFonts w:ascii="Calibri" w:hAnsi="Calibri" w:cs="Calibri"/>
              </w:rPr>
              <w:t>composites pour l’isolation thermique par l’extérieur.</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ISO 8142</w:t>
            </w:r>
            <w:r w:rsidRPr="0043547B">
              <w:rPr>
                <w:rFonts w:eastAsia="Times New Roman" w:cstheme="minorHAnsi"/>
                <w:sz w:val="24"/>
                <w:szCs w:val="24"/>
                <w:lang w:eastAsia="fr-FR"/>
              </w:rPr>
              <w:t> </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ISO 8142</w:t>
            </w:r>
          </w:p>
        </w:tc>
      </w:tr>
      <w:tr w:rsidR="0043547B" w:rsidRPr="0043547B" w:rsidTr="00CB5DC0">
        <w:trPr>
          <w:trHeight w:val="34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Isolation thermique - Isolations de tuyaux en fibres minérales manufacturées préformées encollées – Spécification </w:t>
            </w:r>
          </w:p>
        </w:tc>
      </w:tr>
      <w:tr w:rsidR="0043547B" w:rsidRPr="0043547B" w:rsidTr="00CB5DC0">
        <w:trPr>
          <w:trHeight w:val="476"/>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prescrit les propriétés des isolations de tuyaux en fibres minérales manufacturées préformées encollées, ainsi que des méthodes d’essai de ces isolations.</w:t>
            </w:r>
          </w:p>
          <w:p w:rsidR="00472578" w:rsidRPr="0043547B" w:rsidRDefault="00472578" w:rsidP="00904E52">
            <w:pPr>
              <w:spacing w:after="0" w:line="240" w:lineRule="auto"/>
              <w:jc w:val="both"/>
              <w:rPr>
                <w:rFonts w:eastAsia="Times New Roman" w:cstheme="minorHAnsi"/>
                <w:sz w:val="24"/>
                <w:szCs w:val="24"/>
                <w:lang w:eastAsia="fr-FR"/>
              </w:rPr>
            </w:pP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ISO 8144-1</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ISO 8144-1</w:t>
            </w:r>
          </w:p>
        </w:tc>
      </w:tr>
      <w:tr w:rsidR="0043547B" w:rsidRPr="0043547B" w:rsidTr="00CB5DC0">
        <w:trPr>
          <w:trHeight w:val="6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Isolation thermique - Feutres en laine minérale pour sous-toitures ventilées -Partie 1: Spécifications pour application dans des conditions de ventilation restreinte  ; </w:t>
            </w:r>
          </w:p>
        </w:tc>
      </w:tr>
      <w:tr w:rsidR="0043547B" w:rsidRPr="0043547B" w:rsidTr="00CB5DC0">
        <w:trPr>
          <w:trHeight w:val="1835"/>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partie de I’ISO 8144 prescrit les propriétés et les tolérances acceptables pour des feutres ensimés isolants en laine minérale synthétique (panneaux et rouleaux). Les feutres spécifiés dans la partie de I’ISO 8144 sont destinés à l’isolation des sous-toitures ventilées des bâtiments d’habitation où la ventilation indispensable de la sous-toiture pourrait être réduite du fait de l’épaisseur excessive de la feuille de protection de l’isolant. [Voir l’annexe E et I’ISO/TR 9774:1990 (figure 1, schémas 1 et 5) pour les différents types d’emplacement.] Ils peuvent être délivrés sous forme soit de panneaux, soit de panneaux pliés, soit de rouleaux.</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propriétés que doit déclarer le fabricant au moment de la livraison y sont spécifiées ainsi que quelques méthodes d’essai relatives à leur détermination.</w:t>
            </w:r>
          </w:p>
          <w:p w:rsidR="00025F1F"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Ces propriétés, ainsi que les dimensions des feutres sont stables et indépendantes de la température et de l’humidité pour les conditions généralement rencontrées dans les combles.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partie de I’ISO 8144 fournit des valeurs limites pour la plupart de ces propriétés. Ces valeurs limites ne doivent servir qu’aux fins de spécifications; on peut obtenir des valeurs de calcul à partir de ces valeurs limites en tenant compte des facteurs environnementaux influant sur la performance thermique du produit, de l’influence des propriétés du produit sur l’installation, et de l’effet du soin apporté à la fabrication sur la performance thermique. Pour convertir les valeurs déclarées de R ou Â. en valeurs de calcul, voir par exemple I’ISO 10456.</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feutres peuvent être délivrés avec un surfaçage qui leur est associé lors de la fabrication, mais ces surfaçages ne font pas l’objet de la partie de I’ISO 8144.</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En général, les feutres ne sont pas conçus pour supporter une quelconque contrainte. Pour cette raison, seules les propriétés mécaniques relatives à leur manutention pendant l’application sont spécifiées.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procédures d’échantillonnage et de contrôle de conformité décrites dans l’annexe D, et la procédure de certification décrite dans l’annexe F, doivent être considérées uniquement comme des recommandations.</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606FAD">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8144-2</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606FAD">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8144-2</w:t>
            </w:r>
          </w:p>
        </w:tc>
      </w:tr>
      <w:tr w:rsidR="0043547B" w:rsidRPr="0043547B" w:rsidTr="00CB5DC0">
        <w:trPr>
          <w:trHeight w:val="6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Isolation thermique - Feutres en laine minérale pour sous-toitures Ventilées - Partie 2 : Spécifications pour application horizontale avec ventilation libre </w:t>
            </w:r>
          </w:p>
        </w:tc>
      </w:tr>
      <w:tr w:rsidR="0043547B" w:rsidRPr="0043547B" w:rsidTr="00CB5DC0">
        <w:trPr>
          <w:trHeight w:val="1552"/>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partie de I’ISO 8144 prescrit les caractéristiques et les tolérances acceptables pour des feutres ensimés isolants en laine minérale synthétique (panneaux et rouleaux). Les feutres spécifiés dans la partie de I’ISO 8144 sont uniquement destinés à être utilisés dans des applications horizontales avec ventilation libre où tout excès de reprise d’épaisseur du feutre isolant n’aura aucune conséquence quant à la limitation de l’espace de ventilation L’isolation des espaces sous-toitures exige que la ventilation de l’espace soit garantie. Selon I ’emplacement de l’isolant, l’épaisseur du produit peut interférer avec cette exigence.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lastRenderedPageBreak/>
              <w:t>Les feutres en laine minérale qui sont spécifiés dans I’ISO 8144-l : 1995 sont essentiellement destinés à être utilisés dans des applications où tout excès d’épaisseur doit être limité.</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partie de I’ISO 8144 fournit des valeurs limites pour la plupart de ces propriétés. Ces valeurs limites ne doivent servir qu’aux fins de spécifications; on peut obtenir des valeurs de calcul à partir de ces valeurs limites en tenant compte des facteurs environnementaux influant sur la performance thermique du produit, de l’influence des propriétés du produit sur l’installation, et de l’effet du soin apporté à la fabrication sur la performance thermique. Pour convertir les valeurs déclarées de R, en valeurs de calcul, voir par exemple I’ISO 10456.</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feutres peuvent être délivrés avec un surfaçage qui leur est associé lors de la fabrication, mais ces surfaçages ne font pas l’objet de la partie de I’ISO 8144.</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8145 </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8145 </w:t>
            </w:r>
          </w:p>
        </w:tc>
      </w:tr>
      <w:tr w:rsidR="0043547B" w:rsidRPr="0043547B" w:rsidTr="00CB5DC0">
        <w:trPr>
          <w:trHeight w:val="6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Isolation thermique - Panneaux rigides en laine minérale pour l’isolation par l’extérieur des toitures-terrasses – Spécifications </w:t>
            </w:r>
          </w:p>
        </w:tc>
      </w:tr>
      <w:tr w:rsidR="0043547B" w:rsidRPr="0043547B" w:rsidTr="005368DD">
        <w:trPr>
          <w:trHeight w:val="559"/>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7F63D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prescrit les propriétés et les tolérances acceptables pour des panneaux rigides ensimes isolants en laine minérale synthétique destinés à l’isolation des toitures des bâtiments d’habitation sur lesquelles seul le personnel d’entretien est appelé à se déplacer.</w:t>
            </w:r>
            <w:r w:rsidR="007F63D3">
              <w:rPr>
                <w:rFonts w:eastAsia="Times New Roman" w:cstheme="minorHAnsi"/>
                <w:sz w:val="24"/>
                <w:szCs w:val="24"/>
                <w:lang w:eastAsia="fr-FR"/>
              </w:rPr>
              <w:t xml:space="preserve"> </w:t>
            </w:r>
            <w:r w:rsidRPr="0043547B">
              <w:rPr>
                <w:rFonts w:eastAsia="Times New Roman" w:cstheme="minorHAnsi"/>
                <w:sz w:val="24"/>
                <w:szCs w:val="24"/>
                <w:lang w:eastAsia="fr-FR"/>
              </w:rPr>
              <w:t>Les caractéristiques que doit déclarer le fabricant au moment de la livraison y sont spécifiées ainsi que quelques méthodes d’essais relatives à leur détermination.</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fournit des valeurs limites pour la plupart de ces propriétés. Ces valeurs limites ne doivent servir qu’aux fins des spécifications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s’applique aux panneaux rigides revêtus ou non d’un surfaçage, destines à l’isolation des surfaces supérieures des toitures, sous dispositif d’étanchéité à l’eau. Les propriétés de ces surfaçages ne sont pas décrites. Lorsque les panneaux rigides sont délivrés avec un revêtement, celui-ci n’est pas destiné à assurer l’étanchéité à l’eau.</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9165</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9165</w:t>
            </w:r>
          </w:p>
        </w:tc>
      </w:tr>
      <w:tr w:rsidR="0043547B" w:rsidRPr="0043547B" w:rsidTr="00CB5DC0">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Caractéristiques thermiques utiles des matériaux et des produits de construction ; </w:t>
            </w:r>
          </w:p>
        </w:tc>
      </w:tr>
      <w:tr w:rsidR="0043547B" w:rsidRPr="0043547B" w:rsidTr="00CB5DC0">
        <w:trPr>
          <w:trHeight w:val="1462"/>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 présent Rapport technique traite uniquement des caractéristiques thermiques des matériaux et des produits de construction exprimées en termes de conductivité thermique ou de résistance thermique. II donne le mode opératoire nécessaire pour ramener des valeurs de tests de laboratoire à des valeurs utiles de matériaux ou de produits de construction.</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valeurs thermiques utiles sont nécessaires pour le calcul des propriétés thermiques des composants de construction, mais il se peut que les procédures citées dans ce rapport ne soient pas applicables à des structures en matériaux composites.</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9288</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9288</w:t>
            </w:r>
          </w:p>
        </w:tc>
      </w:tr>
      <w:tr w:rsidR="0043547B" w:rsidRPr="0043547B" w:rsidTr="00CB5DC0">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Isolation thermique – Transfert de chaleur par rayonnement – Grandeurs physiques et définitions ; </w:t>
            </w:r>
          </w:p>
        </w:tc>
      </w:tr>
      <w:tr w:rsidR="0043547B" w:rsidRPr="0043547B" w:rsidTr="00CB5DC0">
        <w:trPr>
          <w:trHeight w:val="305"/>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définit des grandeurs physiques et d’autres termes du domaine de l’isolation thermique liés au transfert de chaleur par rayonnement.</w:t>
            </w:r>
          </w:p>
        </w:tc>
      </w:tr>
      <w:tr w:rsidR="00BA42AD" w:rsidRPr="0043547B" w:rsidTr="00BA42AD">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BA42AD" w:rsidRPr="0043547B" w:rsidRDefault="00BA42AD" w:rsidP="00BA42AD">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hideMark/>
          </w:tcPr>
          <w:p w:rsidR="00BA42AD" w:rsidRPr="00472578" w:rsidRDefault="00BA42AD" w:rsidP="00472578">
            <w:pPr>
              <w:spacing w:after="0" w:line="240" w:lineRule="auto"/>
              <w:jc w:val="center"/>
              <w:rPr>
                <w:rFonts w:ascii="Calibri" w:hAnsi="Calibri" w:cs="Calibri"/>
                <w:b/>
                <w:bCs/>
                <w:sz w:val="24"/>
                <w:szCs w:val="24"/>
              </w:rPr>
            </w:pPr>
            <w:r w:rsidRPr="00472578">
              <w:rPr>
                <w:rFonts w:ascii="Calibri" w:hAnsi="Calibri" w:cs="Calibri"/>
                <w:b/>
                <w:bCs/>
                <w:sz w:val="24"/>
                <w:szCs w:val="24"/>
              </w:rPr>
              <w:t>NM ISO 9346</w:t>
            </w:r>
          </w:p>
        </w:tc>
      </w:tr>
      <w:tr w:rsidR="00BA42AD"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BA42AD" w:rsidRPr="0043547B" w:rsidRDefault="00BA42AD" w:rsidP="00BA42AD">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BA42AD" w:rsidRPr="00472578" w:rsidRDefault="00BA42AD" w:rsidP="00472578">
            <w:pPr>
              <w:spacing w:after="0" w:line="240" w:lineRule="auto"/>
              <w:jc w:val="center"/>
              <w:rPr>
                <w:rFonts w:ascii="Calibri" w:hAnsi="Calibri" w:cs="Calibri"/>
                <w:b/>
                <w:bCs/>
                <w:sz w:val="24"/>
                <w:szCs w:val="24"/>
              </w:rPr>
            </w:pPr>
            <w:r w:rsidRPr="00472578">
              <w:rPr>
                <w:rFonts w:ascii="Calibri" w:hAnsi="Calibri" w:cs="Calibri"/>
                <w:b/>
                <w:bCs/>
                <w:sz w:val="24"/>
                <w:szCs w:val="24"/>
              </w:rPr>
              <w:t>ISO 9346</w:t>
            </w:r>
          </w:p>
        </w:tc>
      </w:tr>
      <w:tr w:rsidR="00BA42AD" w:rsidRPr="0043547B" w:rsidTr="00BA42AD">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BA42AD" w:rsidRPr="0043547B" w:rsidRDefault="00BA42AD" w:rsidP="00BA42AD">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hideMark/>
          </w:tcPr>
          <w:p w:rsidR="00BA42AD" w:rsidRPr="00472578" w:rsidRDefault="00BA42AD" w:rsidP="00472578">
            <w:pPr>
              <w:spacing w:after="0" w:line="240" w:lineRule="auto"/>
              <w:jc w:val="both"/>
              <w:rPr>
                <w:rFonts w:ascii="Calibri" w:hAnsi="Calibri" w:cs="Calibri"/>
              </w:rPr>
            </w:pPr>
            <w:r w:rsidRPr="00472578">
              <w:rPr>
                <w:rFonts w:ascii="Calibri" w:hAnsi="Calibri" w:cs="Calibri"/>
              </w:rPr>
              <w:t xml:space="preserve">Performance hygrothermique des bâtiments et des matériaux pour le bâtiment - Grandeurs physiques pour le transfert de masse - Vocabulaire </w:t>
            </w:r>
          </w:p>
        </w:tc>
      </w:tr>
      <w:tr w:rsidR="00BA42AD" w:rsidRPr="0043547B" w:rsidTr="00BA42AD">
        <w:trPr>
          <w:trHeight w:val="60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BA42AD" w:rsidRPr="0043547B" w:rsidRDefault="00BA42AD" w:rsidP="00BA42AD">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bottom"/>
            <w:hideMark/>
          </w:tcPr>
          <w:p w:rsidR="00BA42AD" w:rsidRPr="00472578" w:rsidRDefault="00BA42AD" w:rsidP="00472578">
            <w:pPr>
              <w:spacing w:after="0" w:line="240" w:lineRule="auto"/>
              <w:jc w:val="both"/>
              <w:rPr>
                <w:rFonts w:ascii="Calibri" w:hAnsi="Calibri" w:cs="Calibri"/>
              </w:rPr>
            </w:pPr>
            <w:r w:rsidRPr="00472578">
              <w:rPr>
                <w:rFonts w:ascii="Calibri" w:hAnsi="Calibri" w:cs="Calibri"/>
              </w:rPr>
              <w:t>La norme définit les grandeurs physiques et autres termes dans le domaine du transfert de masse dans les systèmes d’isolation thermique et donne les symboles et unités correspondants</w:t>
            </w:r>
          </w:p>
        </w:tc>
      </w:tr>
      <w:tr w:rsidR="00BA42AD" w:rsidRPr="0043547B" w:rsidTr="00BA42AD">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BA42AD" w:rsidRPr="0043547B" w:rsidRDefault="00BA42AD" w:rsidP="00BA42AD">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hideMark/>
          </w:tcPr>
          <w:p w:rsidR="00BA42AD" w:rsidRPr="00472578" w:rsidRDefault="00BA42AD" w:rsidP="00472578">
            <w:pPr>
              <w:spacing w:after="0" w:line="240" w:lineRule="auto"/>
              <w:jc w:val="center"/>
              <w:rPr>
                <w:rFonts w:ascii="Calibri" w:hAnsi="Calibri" w:cs="Calibri"/>
                <w:b/>
                <w:bCs/>
                <w:sz w:val="24"/>
                <w:szCs w:val="24"/>
              </w:rPr>
            </w:pPr>
            <w:r w:rsidRPr="00472578">
              <w:rPr>
                <w:rFonts w:ascii="Calibri" w:hAnsi="Calibri" w:cs="Calibri"/>
                <w:b/>
                <w:bCs/>
                <w:sz w:val="24"/>
                <w:szCs w:val="24"/>
              </w:rPr>
              <w:t>NM ISO 12572</w:t>
            </w:r>
          </w:p>
        </w:tc>
      </w:tr>
      <w:tr w:rsidR="00BA42AD"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BA42AD" w:rsidRPr="0043547B" w:rsidRDefault="00BA42AD" w:rsidP="00BA42AD">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BA42AD" w:rsidRPr="00472578" w:rsidRDefault="00BA42AD" w:rsidP="00472578">
            <w:pPr>
              <w:spacing w:after="0" w:line="240" w:lineRule="auto"/>
              <w:jc w:val="center"/>
              <w:rPr>
                <w:rFonts w:ascii="Calibri" w:hAnsi="Calibri" w:cs="Calibri"/>
                <w:b/>
                <w:bCs/>
                <w:sz w:val="24"/>
                <w:szCs w:val="24"/>
              </w:rPr>
            </w:pPr>
            <w:r w:rsidRPr="00472578">
              <w:rPr>
                <w:rFonts w:ascii="Calibri" w:hAnsi="Calibri" w:cs="Calibri"/>
                <w:b/>
                <w:bCs/>
                <w:sz w:val="24"/>
                <w:szCs w:val="24"/>
              </w:rPr>
              <w:t>ISO 12572</w:t>
            </w:r>
          </w:p>
        </w:tc>
      </w:tr>
      <w:tr w:rsidR="00BA42AD" w:rsidRPr="0043547B" w:rsidTr="00BA42AD">
        <w:trPr>
          <w:trHeight w:val="6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BA42AD" w:rsidRPr="0043547B" w:rsidRDefault="00BA42AD" w:rsidP="00BA42AD">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hideMark/>
          </w:tcPr>
          <w:p w:rsidR="00BA42AD" w:rsidRPr="00472578" w:rsidRDefault="00BA42AD" w:rsidP="00472578">
            <w:pPr>
              <w:spacing w:after="0" w:line="240" w:lineRule="auto"/>
              <w:jc w:val="both"/>
              <w:rPr>
                <w:rFonts w:ascii="Calibri" w:hAnsi="Calibri" w:cs="Calibri"/>
              </w:rPr>
            </w:pPr>
            <w:r w:rsidRPr="00472578">
              <w:rPr>
                <w:rFonts w:ascii="Calibri" w:hAnsi="Calibri" w:cs="Calibri"/>
              </w:rPr>
              <w:t>Performance hygrothermique des matériaux et produits pour le bâtiment - Détermination des propriétés de transmission de la vapeur d'eau</w:t>
            </w:r>
          </w:p>
        </w:tc>
      </w:tr>
      <w:tr w:rsidR="00BA42AD" w:rsidRPr="0043547B" w:rsidTr="00BA42AD">
        <w:trPr>
          <w:trHeight w:val="240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BA42AD" w:rsidRPr="0043547B" w:rsidRDefault="00BA42AD" w:rsidP="00BA42AD">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bottom"/>
            <w:hideMark/>
          </w:tcPr>
          <w:p w:rsidR="00472578" w:rsidRDefault="00BA42AD" w:rsidP="00472578">
            <w:pPr>
              <w:spacing w:after="0" w:line="240" w:lineRule="auto"/>
              <w:jc w:val="both"/>
              <w:rPr>
                <w:rFonts w:ascii="Calibri" w:hAnsi="Calibri" w:cs="Calibri"/>
              </w:rPr>
            </w:pPr>
            <w:r w:rsidRPr="00472578">
              <w:rPr>
                <w:rFonts w:ascii="Calibri" w:hAnsi="Calibri" w:cs="Calibri"/>
              </w:rPr>
              <w:t>La norme spécifie une méthode basée sur des essais en coupelle pour déterminer la perméance à la vapeur d'eau des produits pour le bâtiment ainsi que la perméabilité à la vapeur d'eau des matériaux pour le bâtiment dans des conditions isothermes.</w:t>
            </w:r>
            <w:r w:rsidRPr="00472578">
              <w:rPr>
                <w:rFonts w:ascii="Calibri" w:hAnsi="Calibri" w:cs="Calibri"/>
              </w:rPr>
              <w:br/>
              <w:t>Différentes séries de conditions d'essai sont spécifiées.</w:t>
            </w:r>
          </w:p>
          <w:p w:rsidR="00BA42AD" w:rsidRPr="00472578" w:rsidRDefault="00BA42AD" w:rsidP="00472578">
            <w:pPr>
              <w:spacing w:after="0" w:line="240" w:lineRule="auto"/>
              <w:jc w:val="both"/>
              <w:rPr>
                <w:rFonts w:ascii="Calibri" w:hAnsi="Calibri" w:cs="Calibri"/>
              </w:rPr>
            </w:pPr>
            <w:r w:rsidRPr="00472578">
              <w:rPr>
                <w:rFonts w:ascii="Calibri" w:hAnsi="Calibri" w:cs="Calibri"/>
              </w:rPr>
              <w:t>Les principes généraux sont applicables à tous les matériaux et produits de bâtiment hygroscopiques et non hygroscopiques, y compris ceux qui possèdent des parements et des revêtements intégrés. La norme ne s’applique pas dans le cas d’éprouvettes dont l’épaisseur d’air équivalente pour la diffusion de la vapeur d’eau est inférieure à 0,1 m, du fait de l’incertitude croissante sur les résultats de mesure. Si l’épaisseur d’air équivalente mesurée est supérieure à 1500 m, le matériau peut être considéré comme imperméable.</w:t>
            </w:r>
          </w:p>
        </w:tc>
      </w:tr>
      <w:tr w:rsidR="000555C5" w:rsidRPr="0043547B" w:rsidTr="005368DD">
        <w:trPr>
          <w:trHeight w:val="448"/>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0555C5" w:rsidRPr="005368DD" w:rsidRDefault="000555C5" w:rsidP="005368DD">
            <w:pPr>
              <w:spacing w:after="0" w:line="240" w:lineRule="auto"/>
              <w:jc w:val="center"/>
              <w:rPr>
                <w:rFonts w:ascii="Calibri" w:hAnsi="Calibri" w:cs="Calibri"/>
                <w:b/>
                <w:bCs/>
                <w:color w:val="000000"/>
                <w:sz w:val="24"/>
                <w:szCs w:val="24"/>
              </w:rPr>
            </w:pPr>
            <w:r w:rsidRPr="005368DD">
              <w:rPr>
                <w:rFonts w:ascii="Calibri" w:hAnsi="Calibri" w:cs="Calibri"/>
                <w:b/>
                <w:bCs/>
                <w:color w:val="000000"/>
                <w:sz w:val="24"/>
                <w:szCs w:val="24"/>
              </w:rPr>
              <w:t>Code :</w:t>
            </w:r>
          </w:p>
        </w:tc>
        <w:tc>
          <w:tcPr>
            <w:tcW w:w="7938" w:type="dxa"/>
            <w:tcBorders>
              <w:top w:val="nil"/>
              <w:left w:val="single" w:sz="4" w:space="0" w:color="auto"/>
              <w:bottom w:val="single" w:sz="18" w:space="0" w:color="auto"/>
              <w:right w:val="single" w:sz="18" w:space="0" w:color="auto"/>
            </w:tcBorders>
            <w:shd w:val="clear" w:color="auto" w:fill="C2D69B" w:themeFill="accent3" w:themeFillTint="99"/>
            <w:vAlign w:val="center"/>
          </w:tcPr>
          <w:p w:rsidR="000555C5" w:rsidRPr="005368DD" w:rsidRDefault="000555C5" w:rsidP="005368DD">
            <w:pPr>
              <w:spacing w:after="0" w:line="240" w:lineRule="auto"/>
              <w:jc w:val="center"/>
              <w:rPr>
                <w:rFonts w:ascii="Calibri" w:hAnsi="Calibri" w:cs="Calibri"/>
                <w:b/>
                <w:bCs/>
                <w:color w:val="000000"/>
                <w:sz w:val="24"/>
                <w:szCs w:val="24"/>
              </w:rPr>
            </w:pPr>
            <w:r w:rsidRPr="005368DD">
              <w:rPr>
                <w:rFonts w:ascii="Calibri" w:hAnsi="Calibri" w:cs="Calibri"/>
                <w:b/>
                <w:bCs/>
                <w:color w:val="000000"/>
                <w:sz w:val="24"/>
                <w:szCs w:val="24"/>
              </w:rPr>
              <w:t>NM ISO 15927-5</w:t>
            </w:r>
          </w:p>
        </w:tc>
      </w:tr>
      <w:tr w:rsidR="000555C5" w:rsidRPr="0043547B" w:rsidTr="005368DD">
        <w:trPr>
          <w:trHeight w:val="383"/>
          <w:jc w:val="center"/>
        </w:trPr>
        <w:tc>
          <w:tcPr>
            <w:tcW w:w="1838" w:type="dxa"/>
            <w:tcBorders>
              <w:top w:val="nil"/>
              <w:left w:val="single" w:sz="18" w:space="0" w:color="auto"/>
              <w:bottom w:val="single" w:sz="18" w:space="0" w:color="auto"/>
              <w:right w:val="single" w:sz="4" w:space="0" w:color="auto"/>
            </w:tcBorders>
            <w:shd w:val="clear" w:color="auto" w:fill="FFFF99"/>
            <w:vAlign w:val="center"/>
          </w:tcPr>
          <w:p w:rsidR="000555C5" w:rsidRPr="005368DD" w:rsidRDefault="000555C5" w:rsidP="005368DD">
            <w:pPr>
              <w:spacing w:after="0" w:line="240" w:lineRule="auto"/>
              <w:jc w:val="center"/>
              <w:rPr>
                <w:rFonts w:ascii="Calibri" w:hAnsi="Calibri" w:cs="Calibri"/>
                <w:b/>
                <w:bCs/>
                <w:color w:val="000000"/>
                <w:sz w:val="24"/>
                <w:szCs w:val="24"/>
              </w:rPr>
            </w:pPr>
            <w:r w:rsidRPr="005368DD">
              <w:rPr>
                <w:rFonts w:ascii="Calibri" w:hAnsi="Calibri" w:cs="Calibri"/>
                <w:b/>
                <w:bCs/>
                <w:color w:val="000000"/>
                <w:sz w:val="24"/>
                <w:szCs w:val="24"/>
              </w:rPr>
              <w:t>Equivalence :</w:t>
            </w:r>
          </w:p>
        </w:tc>
        <w:tc>
          <w:tcPr>
            <w:tcW w:w="7938" w:type="dxa"/>
            <w:tcBorders>
              <w:top w:val="nil"/>
              <w:left w:val="single" w:sz="4" w:space="0" w:color="auto"/>
              <w:bottom w:val="single" w:sz="18" w:space="0" w:color="auto"/>
              <w:right w:val="single" w:sz="18" w:space="0" w:color="auto"/>
            </w:tcBorders>
            <w:shd w:val="clear" w:color="auto" w:fill="FFFF99"/>
            <w:vAlign w:val="center"/>
          </w:tcPr>
          <w:p w:rsidR="000555C5" w:rsidRPr="005368DD" w:rsidRDefault="000555C5" w:rsidP="005368DD">
            <w:pPr>
              <w:spacing w:after="0" w:line="240" w:lineRule="auto"/>
              <w:jc w:val="center"/>
              <w:rPr>
                <w:rFonts w:ascii="Calibri" w:hAnsi="Calibri" w:cs="Calibri"/>
                <w:b/>
                <w:bCs/>
                <w:color w:val="000000"/>
                <w:sz w:val="24"/>
                <w:szCs w:val="24"/>
              </w:rPr>
            </w:pPr>
            <w:r w:rsidRPr="005368DD">
              <w:rPr>
                <w:rFonts w:ascii="Calibri" w:hAnsi="Calibri" w:cs="Calibri"/>
                <w:b/>
                <w:bCs/>
                <w:color w:val="000000"/>
                <w:sz w:val="24"/>
                <w:szCs w:val="24"/>
              </w:rPr>
              <w:t>ISO 15927-5</w:t>
            </w:r>
          </w:p>
        </w:tc>
      </w:tr>
      <w:tr w:rsidR="000555C5" w:rsidRPr="0043547B" w:rsidTr="005368DD">
        <w:trPr>
          <w:trHeight w:val="525"/>
          <w:jc w:val="center"/>
        </w:trPr>
        <w:tc>
          <w:tcPr>
            <w:tcW w:w="1838" w:type="dxa"/>
            <w:tcBorders>
              <w:top w:val="single" w:sz="18" w:space="0" w:color="auto"/>
              <w:left w:val="single" w:sz="18" w:space="0" w:color="auto"/>
              <w:bottom w:val="single" w:sz="4" w:space="0" w:color="auto"/>
              <w:right w:val="single" w:sz="4" w:space="0" w:color="auto"/>
            </w:tcBorders>
            <w:shd w:val="clear" w:color="auto" w:fill="95B3D7" w:themeFill="accent1" w:themeFillTint="99"/>
            <w:vAlign w:val="center"/>
          </w:tcPr>
          <w:p w:rsidR="000555C5" w:rsidRPr="005368DD" w:rsidRDefault="000555C5" w:rsidP="005368DD">
            <w:pPr>
              <w:spacing w:after="0" w:line="240" w:lineRule="auto"/>
              <w:jc w:val="center"/>
              <w:rPr>
                <w:rFonts w:ascii="Calibri" w:hAnsi="Calibri" w:cs="Calibri"/>
                <w:b/>
                <w:bCs/>
                <w:color w:val="000000"/>
                <w:sz w:val="24"/>
                <w:szCs w:val="24"/>
              </w:rPr>
            </w:pPr>
            <w:r w:rsidRPr="005368DD">
              <w:rPr>
                <w:rFonts w:ascii="Calibri" w:hAnsi="Calibri" w:cs="Calibri"/>
                <w:b/>
                <w:bCs/>
                <w:color w:val="000000"/>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tcPr>
          <w:p w:rsidR="000555C5" w:rsidRPr="005368DD" w:rsidRDefault="000555C5" w:rsidP="005368DD">
            <w:pPr>
              <w:spacing w:after="0" w:line="240" w:lineRule="auto"/>
              <w:rPr>
                <w:rFonts w:ascii="Calibri" w:hAnsi="Calibri" w:cs="Calibri"/>
                <w:color w:val="000000"/>
                <w:sz w:val="24"/>
                <w:szCs w:val="24"/>
              </w:rPr>
            </w:pPr>
            <w:r w:rsidRPr="005368DD">
              <w:rPr>
                <w:rFonts w:ascii="Calibri" w:hAnsi="Calibri" w:cs="Calibri"/>
                <w:color w:val="000000"/>
                <w:sz w:val="24"/>
                <w:szCs w:val="24"/>
              </w:rPr>
              <w:t>Performance hygrothermique des bâtiments - Calcul et présentation des données climatiques - Partie 5 : Données pour la charge calorifique de conception pour le chauffage des locaux </w:t>
            </w:r>
          </w:p>
        </w:tc>
      </w:tr>
      <w:tr w:rsidR="000555C5" w:rsidRPr="0043547B" w:rsidTr="005368DD">
        <w:trPr>
          <w:trHeight w:val="2400"/>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0555C5" w:rsidRPr="005368DD" w:rsidRDefault="000555C5" w:rsidP="005368DD">
            <w:pPr>
              <w:spacing w:after="0" w:line="240" w:lineRule="auto"/>
              <w:jc w:val="center"/>
              <w:rPr>
                <w:rFonts w:ascii="Calibri" w:hAnsi="Calibri" w:cs="Calibri"/>
                <w:b/>
                <w:bCs/>
                <w:color w:val="000000"/>
                <w:sz w:val="24"/>
                <w:szCs w:val="24"/>
              </w:rPr>
            </w:pPr>
            <w:r w:rsidRPr="005368DD">
              <w:rPr>
                <w:rFonts w:ascii="Calibri" w:hAnsi="Calibri" w:cs="Calibri"/>
                <w:b/>
                <w:bCs/>
                <w:color w:val="000000"/>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tcPr>
          <w:p w:rsidR="005368DD" w:rsidRDefault="000555C5" w:rsidP="005368DD">
            <w:pPr>
              <w:spacing w:after="0" w:line="240" w:lineRule="auto"/>
              <w:jc w:val="both"/>
              <w:rPr>
                <w:rFonts w:ascii="Calibri" w:hAnsi="Calibri" w:cs="Calibri"/>
                <w:color w:val="000000"/>
                <w:sz w:val="24"/>
                <w:szCs w:val="24"/>
              </w:rPr>
            </w:pPr>
            <w:r w:rsidRPr="005368DD">
              <w:rPr>
                <w:rFonts w:ascii="Calibri" w:hAnsi="Calibri" w:cs="Calibri"/>
                <w:color w:val="000000"/>
                <w:sz w:val="24"/>
                <w:szCs w:val="24"/>
              </w:rPr>
              <w:t>La présente partie de l'ISO 15927 spécifie la définition ainsi que les méthodes de calcul et de présentation</w:t>
            </w:r>
            <w:r w:rsidR="005368DD">
              <w:rPr>
                <w:rFonts w:ascii="Calibri" w:hAnsi="Calibri" w:cs="Calibri"/>
                <w:color w:val="000000"/>
                <w:sz w:val="24"/>
                <w:szCs w:val="24"/>
              </w:rPr>
              <w:t xml:space="preserve"> </w:t>
            </w:r>
            <w:r w:rsidRPr="005368DD">
              <w:rPr>
                <w:rFonts w:ascii="Calibri" w:hAnsi="Calibri" w:cs="Calibri"/>
                <w:color w:val="000000"/>
                <w:sz w:val="24"/>
                <w:szCs w:val="24"/>
              </w:rPr>
              <w:t>des données climatiques nécessaires à la détermination de la charge thermique nominale pour le chauffage</w:t>
            </w:r>
            <w:r w:rsidR="005368DD">
              <w:rPr>
                <w:rFonts w:ascii="Calibri" w:hAnsi="Calibri" w:cs="Calibri"/>
                <w:color w:val="000000"/>
                <w:sz w:val="24"/>
                <w:szCs w:val="24"/>
              </w:rPr>
              <w:t xml:space="preserve"> </w:t>
            </w:r>
            <w:r w:rsidRPr="005368DD">
              <w:rPr>
                <w:rFonts w:ascii="Calibri" w:hAnsi="Calibri" w:cs="Calibri"/>
                <w:color w:val="000000"/>
                <w:sz w:val="24"/>
                <w:szCs w:val="24"/>
              </w:rPr>
              <w:t>des locaux dans les bâtiments. Ces données</w:t>
            </w:r>
            <w:r w:rsidR="005368DD">
              <w:rPr>
                <w:rFonts w:ascii="Calibri" w:hAnsi="Calibri" w:cs="Calibri"/>
                <w:color w:val="000000"/>
                <w:sz w:val="24"/>
                <w:szCs w:val="24"/>
              </w:rPr>
              <w:t xml:space="preserve"> comprennent :</w:t>
            </w:r>
          </w:p>
          <w:p w:rsidR="005368DD" w:rsidRDefault="005368DD" w:rsidP="005368DD">
            <w:pPr>
              <w:spacing w:after="0" w:line="240" w:lineRule="auto"/>
              <w:jc w:val="both"/>
              <w:rPr>
                <w:rFonts w:ascii="Calibri" w:hAnsi="Calibri" w:cs="Calibri"/>
                <w:color w:val="000000"/>
                <w:sz w:val="24"/>
                <w:szCs w:val="24"/>
              </w:rPr>
            </w:pPr>
            <w:r>
              <w:rPr>
                <w:rFonts w:ascii="Calibri" w:hAnsi="Calibri" w:cs="Calibri"/>
                <w:color w:val="000000"/>
                <w:sz w:val="24"/>
                <w:szCs w:val="24"/>
              </w:rPr>
              <w:t>-</w:t>
            </w:r>
            <w:r w:rsidR="000555C5" w:rsidRPr="005368DD">
              <w:rPr>
                <w:rFonts w:ascii="Calibri" w:hAnsi="Calibri" w:cs="Calibri"/>
                <w:color w:val="000000"/>
                <w:sz w:val="24"/>
                <w:szCs w:val="24"/>
              </w:rPr>
              <w:t xml:space="preserve"> la température extérieure hivernale</w:t>
            </w:r>
            <w:r>
              <w:rPr>
                <w:rFonts w:ascii="Calibri" w:hAnsi="Calibri" w:cs="Calibri"/>
                <w:color w:val="000000"/>
                <w:sz w:val="24"/>
                <w:szCs w:val="24"/>
              </w:rPr>
              <w:t xml:space="preserve"> de dimensionnement thermique ;</w:t>
            </w:r>
          </w:p>
          <w:p w:rsidR="005368DD" w:rsidRDefault="005368DD" w:rsidP="005368DD">
            <w:pPr>
              <w:spacing w:after="0" w:line="240" w:lineRule="auto"/>
              <w:jc w:val="both"/>
              <w:rPr>
                <w:rFonts w:ascii="Calibri" w:hAnsi="Calibri" w:cs="Calibri"/>
                <w:color w:val="000000"/>
                <w:sz w:val="24"/>
                <w:szCs w:val="24"/>
              </w:rPr>
            </w:pPr>
            <w:r>
              <w:rPr>
                <w:rFonts w:ascii="Calibri" w:hAnsi="Calibri" w:cs="Calibri"/>
                <w:color w:val="000000"/>
                <w:sz w:val="24"/>
                <w:szCs w:val="24"/>
              </w:rPr>
              <w:t>-</w:t>
            </w:r>
            <w:r w:rsidR="000555C5" w:rsidRPr="005368DD">
              <w:rPr>
                <w:rFonts w:ascii="Calibri" w:hAnsi="Calibri" w:cs="Calibri"/>
                <w:color w:val="000000"/>
                <w:sz w:val="24"/>
                <w:szCs w:val="24"/>
              </w:rPr>
              <w:t xml:space="preserve"> la vitesse et la direction appropriées du vent, selon le cas.</w:t>
            </w:r>
          </w:p>
          <w:p w:rsidR="000555C5" w:rsidRPr="005368DD" w:rsidRDefault="000555C5" w:rsidP="005368DD">
            <w:pPr>
              <w:spacing w:after="0" w:line="240" w:lineRule="auto"/>
              <w:jc w:val="both"/>
              <w:rPr>
                <w:rFonts w:ascii="Calibri" w:hAnsi="Calibri" w:cs="Calibri"/>
                <w:color w:val="000000"/>
                <w:sz w:val="24"/>
                <w:szCs w:val="24"/>
              </w:rPr>
            </w:pPr>
            <w:r w:rsidRPr="005368DD">
              <w:rPr>
                <w:rFonts w:ascii="Calibri" w:hAnsi="Calibri" w:cs="Calibri"/>
                <w:color w:val="000000"/>
                <w:sz w:val="24"/>
                <w:szCs w:val="24"/>
              </w:rPr>
              <w:t>La perte calorifique par le sol qui contribue également à la charge thermique des bâtiments dépend des</w:t>
            </w:r>
            <w:r w:rsidR="005368DD">
              <w:rPr>
                <w:rFonts w:ascii="Calibri" w:hAnsi="Calibri" w:cs="Calibri"/>
                <w:color w:val="000000"/>
                <w:sz w:val="24"/>
                <w:szCs w:val="24"/>
              </w:rPr>
              <w:t xml:space="preserve"> </w:t>
            </w:r>
            <w:r w:rsidRPr="005368DD">
              <w:rPr>
                <w:rFonts w:ascii="Calibri" w:hAnsi="Calibri" w:cs="Calibri"/>
                <w:color w:val="000000"/>
                <w:sz w:val="24"/>
                <w:szCs w:val="24"/>
              </w:rPr>
              <w:t>changements de température à plus long terme. Les méthodes de calcul de la perte calorifique par le sol sont</w:t>
            </w:r>
            <w:r w:rsidR="005368DD">
              <w:rPr>
                <w:rFonts w:ascii="Calibri" w:hAnsi="Calibri" w:cs="Calibri"/>
                <w:color w:val="000000"/>
                <w:sz w:val="24"/>
                <w:szCs w:val="24"/>
              </w:rPr>
              <w:t xml:space="preserve"> </w:t>
            </w:r>
            <w:r w:rsidRPr="005368DD">
              <w:rPr>
                <w:rFonts w:ascii="Calibri" w:hAnsi="Calibri" w:cs="Calibri"/>
                <w:color w:val="000000"/>
                <w:sz w:val="24"/>
                <w:szCs w:val="24"/>
              </w:rPr>
              <w:t>données dans l'ISO 133701).</w:t>
            </w:r>
          </w:p>
        </w:tc>
      </w:tr>
      <w:tr w:rsidR="00BA42AD" w:rsidRPr="0043547B" w:rsidTr="00BA42AD">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BA42AD" w:rsidRPr="0043547B" w:rsidRDefault="00BA42AD" w:rsidP="00BA42AD">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hideMark/>
          </w:tcPr>
          <w:p w:rsidR="00BA42AD" w:rsidRPr="00472578" w:rsidRDefault="00BA42AD" w:rsidP="00472578">
            <w:pPr>
              <w:spacing w:after="0" w:line="240" w:lineRule="auto"/>
              <w:jc w:val="center"/>
              <w:rPr>
                <w:rFonts w:ascii="Calibri" w:hAnsi="Calibri" w:cs="Calibri"/>
                <w:b/>
                <w:bCs/>
                <w:sz w:val="24"/>
                <w:szCs w:val="24"/>
              </w:rPr>
            </w:pPr>
            <w:r w:rsidRPr="00472578">
              <w:rPr>
                <w:rFonts w:ascii="Calibri" w:hAnsi="Calibri" w:cs="Calibri"/>
                <w:b/>
                <w:bCs/>
                <w:sz w:val="24"/>
                <w:szCs w:val="24"/>
              </w:rPr>
              <w:t>NM ISO 7345</w:t>
            </w:r>
          </w:p>
        </w:tc>
      </w:tr>
      <w:tr w:rsidR="00BA42AD"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BA42AD" w:rsidRPr="0043547B" w:rsidRDefault="00BA42AD" w:rsidP="00BA42AD">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BA42AD" w:rsidRPr="00472578" w:rsidRDefault="00BA42AD" w:rsidP="00472578">
            <w:pPr>
              <w:spacing w:after="0" w:line="240" w:lineRule="auto"/>
              <w:jc w:val="center"/>
              <w:rPr>
                <w:rFonts w:ascii="Calibri" w:hAnsi="Calibri" w:cs="Calibri"/>
                <w:b/>
                <w:bCs/>
                <w:sz w:val="24"/>
                <w:szCs w:val="24"/>
              </w:rPr>
            </w:pPr>
            <w:r w:rsidRPr="00472578">
              <w:rPr>
                <w:rFonts w:ascii="Calibri" w:hAnsi="Calibri" w:cs="Calibri"/>
                <w:b/>
                <w:bCs/>
                <w:sz w:val="24"/>
                <w:szCs w:val="24"/>
              </w:rPr>
              <w:t>ISO 7345</w:t>
            </w:r>
          </w:p>
        </w:tc>
      </w:tr>
      <w:tr w:rsidR="00BA42AD" w:rsidRPr="0043547B" w:rsidTr="00BA42AD">
        <w:trPr>
          <w:trHeight w:val="278"/>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BA42AD" w:rsidRPr="0043547B" w:rsidRDefault="00BA42AD" w:rsidP="00BA42AD">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hideMark/>
          </w:tcPr>
          <w:p w:rsidR="00BA42AD" w:rsidRPr="00472578" w:rsidRDefault="00BA42AD" w:rsidP="00472578">
            <w:pPr>
              <w:spacing w:after="0" w:line="240" w:lineRule="auto"/>
              <w:jc w:val="both"/>
              <w:rPr>
                <w:rFonts w:ascii="Calibri" w:hAnsi="Calibri" w:cs="Calibri"/>
              </w:rPr>
            </w:pPr>
            <w:r w:rsidRPr="00472578">
              <w:rPr>
                <w:rFonts w:ascii="Calibri" w:hAnsi="Calibri" w:cs="Calibri"/>
              </w:rPr>
              <w:t>Isolation thermique - Grandeurs physiques et définitions</w:t>
            </w:r>
          </w:p>
        </w:tc>
      </w:tr>
      <w:tr w:rsidR="00BA42AD" w:rsidRPr="0043547B" w:rsidTr="00BA42AD">
        <w:trPr>
          <w:trHeight w:val="423"/>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BA42AD" w:rsidRPr="0043547B" w:rsidRDefault="00BA42AD" w:rsidP="00BA42AD">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bottom"/>
            <w:hideMark/>
          </w:tcPr>
          <w:p w:rsidR="00BA42AD" w:rsidRPr="00472578" w:rsidRDefault="00BA42AD" w:rsidP="00472578">
            <w:pPr>
              <w:spacing w:after="0" w:line="240" w:lineRule="auto"/>
              <w:jc w:val="both"/>
              <w:rPr>
                <w:rFonts w:ascii="Calibri" w:hAnsi="Calibri" w:cs="Calibri"/>
              </w:rPr>
            </w:pPr>
            <w:r w:rsidRPr="00472578">
              <w:rPr>
                <w:rFonts w:ascii="Calibri" w:hAnsi="Calibri" w:cs="Calibri"/>
              </w:rPr>
              <w:t>La norme définit les grandeurs physiques utilisées dans le domaine de l’isolation thermique, et donne les unités et symboles correspondants.</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13793</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13793</w:t>
            </w:r>
          </w:p>
        </w:tc>
      </w:tr>
      <w:tr w:rsidR="0043547B" w:rsidRPr="0043547B" w:rsidTr="00CB5DC0">
        <w:trPr>
          <w:trHeight w:val="6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Performance thermique des bâtiments - Conception thermique des fondations pour éviter les poussées dues au gel ;</w:t>
            </w:r>
          </w:p>
        </w:tc>
      </w:tr>
      <w:tr w:rsidR="0043547B" w:rsidRPr="0043547B" w:rsidTr="00CB5DC0">
        <w:trPr>
          <w:trHeight w:val="1128"/>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donne des règles simplifiées pour la conception thermique des fondations des bâtiments en vue d’éviter l’apparition de poussées dues au gel.</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s'applique aux fondations construites sur des terrains sensibles au gel et inclut les bâtiments avec planchers sur terre-plein et sur vide sanitaire.</w:t>
            </w:r>
          </w:p>
          <w:p w:rsidR="00606FAD"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w w:val="90"/>
                <w:sz w:val="24"/>
                <w:szCs w:val="24"/>
                <w:lang w:eastAsia="fr-FR"/>
              </w:rPr>
              <w:t>Elle s'applique aux bâtiments chauffés ou non chauffés, mais ne concerne pas les autres ouvrages devant être protégées du gel (par exemple les routes, les canalisations d'eau enterrées).</w:t>
            </w:r>
            <w:r w:rsidRPr="0043547B">
              <w:rPr>
                <w:rFonts w:eastAsia="Times New Roman" w:cstheme="minorHAnsi"/>
                <w:sz w:val="24"/>
                <w:szCs w:val="24"/>
                <w:lang w:eastAsia="fr-FR"/>
              </w:rPr>
              <w:br/>
              <w:t>La norme ne s'applique pas aux entrepôts frigorifiques ni aux patinoires.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concerne les climats où la moyenne annuelle de la température de l'air est supérieure à 0 °C, mais ne s'applique pas aux zones permagel où la moyenne annuelle de la température de l'air est inférieure à 0 °C.</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1946-1</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1946-1</w:t>
            </w:r>
          </w:p>
        </w:tc>
      </w:tr>
      <w:tr w:rsidR="0043547B" w:rsidRPr="0043547B" w:rsidTr="00CB5DC0">
        <w:trPr>
          <w:trHeight w:val="6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606FA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Performance thermique des produits et composants pour le bâtiment - Critères particuliers pour l’évaluation des laboratoires mesurant les propriétés de transmission thermique - Partie 1 : Critères communs </w:t>
            </w:r>
            <w:r w:rsidR="00606FAD" w:rsidRPr="0043547B">
              <w:rPr>
                <w:rFonts w:eastAsia="Times New Roman" w:cstheme="minorHAnsi"/>
                <w:sz w:val="24"/>
                <w:szCs w:val="24"/>
                <w:lang w:eastAsia="fr-FR"/>
              </w:rPr>
              <w:t xml:space="preserve"> </w:t>
            </w:r>
            <w:r w:rsidRPr="0043547B">
              <w:rPr>
                <w:rFonts w:eastAsia="Times New Roman" w:cstheme="minorHAnsi"/>
                <w:sz w:val="24"/>
                <w:szCs w:val="24"/>
                <w:lang w:eastAsia="fr-FR"/>
              </w:rPr>
              <w:t xml:space="preserve">  </w:t>
            </w:r>
          </w:p>
        </w:tc>
      </w:tr>
      <w:tr w:rsidR="0043547B" w:rsidRPr="0043547B" w:rsidTr="005368DD">
        <w:trPr>
          <w:trHeight w:val="141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025F1F" w:rsidRDefault="00904E52" w:rsidP="007F63D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donne les critères techniques particuliers à utiliser dans le cadre des critères généraux donnés dans l’EN 45001 et l’EN 45002 pour l’évaluation des laboratoires effectuant le mesurage des propriétés de transmission thermique de produits et composants pour le bâtiment selon des méthodes d'essai normalisées. Elle</w:t>
            </w:r>
            <w:r w:rsidR="007F63D3">
              <w:rPr>
                <w:rFonts w:eastAsia="Times New Roman" w:cstheme="minorHAnsi"/>
                <w:sz w:val="24"/>
                <w:szCs w:val="24"/>
                <w:lang w:eastAsia="fr-FR"/>
              </w:rPr>
              <w:t xml:space="preserve"> </w:t>
            </w:r>
            <w:r w:rsidRPr="0043547B">
              <w:rPr>
                <w:rFonts w:eastAsia="Times New Roman" w:cstheme="minorHAnsi"/>
                <w:sz w:val="24"/>
                <w:szCs w:val="24"/>
                <w:lang w:eastAsia="fr-FR"/>
              </w:rPr>
              <w:t>s'applique aussi bien aux évaluations menées en interne qu’à celles effectuées officiellement par un organisme d’accréditation. Elle est utilisable par toutes les parties concernées.</w:t>
            </w:r>
          </w:p>
          <w:p w:rsidR="005368DD" w:rsidRPr="0043547B" w:rsidRDefault="005368DD" w:rsidP="005368D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indique le contenu de la documentation exigée par EN 45001 et les procédures pour l’évaluation de l’exactitude de l’équipement et le contrôle des performances. Toutes les autres exigences concernant les laboratoires effectuant le mesurage des propriétés de transmission thermique se trouvent dans les normes de la série EN 45000.</w:t>
            </w:r>
          </w:p>
          <w:p w:rsidR="00904E52" w:rsidRPr="0043547B" w:rsidRDefault="005368DD" w:rsidP="005368D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première partie de cette norme donne les exigences pour l’évaluation communes aux différentes méthodes d’essai ; les parties suivantes donnent les exigences pour l’évaluation propres à chaque méthode d’essai. L’application de cette norme suppose un niveau de compétence suffisant du personnel concerné.</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15732</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15732</w:t>
            </w:r>
          </w:p>
        </w:tc>
      </w:tr>
      <w:tr w:rsidR="0043547B" w:rsidRPr="0043547B" w:rsidTr="00CB5DC0">
        <w:trPr>
          <w:trHeight w:val="6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Matériaux de remplissage légers et produits isolants thermiques pour les applications du génie civil - Produits à base de granulats légers d'argile expansée ;   </w:t>
            </w:r>
          </w:p>
        </w:tc>
      </w:tr>
      <w:tr w:rsidR="0043547B" w:rsidRPr="0043547B" w:rsidTr="00472578">
        <w:trPr>
          <w:trHeight w:val="756"/>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décrit les caractéristiques des produits et contient des modes opératoires d'essai, de marquage et d'étiquetage.</w:t>
            </w:r>
          </w:p>
          <w:p w:rsidR="00472578" w:rsidRPr="0043547B" w:rsidRDefault="00472578" w:rsidP="00472578">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exigences concernant les produits en vrac à base de granulats légers d'argile expansée pour les applications en génie civil, à l'exclusion de l'utilisation comme isolant thermique dans et sous les bâtiments qui est traitée par l’EN 14063-1. La norme traite de l'utilisation de granulats légers d'argile expansée comme matériau de remplissage léger et matériau isolant dans les remblais pour les chaussées, les voies ferrées et d'autres zones de circulation et comme remblai léger pour les structures.</w:t>
            </w:r>
          </w:p>
          <w:p w:rsidR="00472578" w:rsidRPr="0043547B" w:rsidRDefault="00472578" w:rsidP="00472578">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lastRenderedPageBreak/>
              <w:t>La norme ne spécifie pas le niveau requis d'une propriété donnée devant être atteint par un produit pour en démontrer l'aptitude à l'emploi dans une application particulière.</w:t>
            </w:r>
          </w:p>
          <w:p w:rsidR="00904E52" w:rsidRPr="0043547B" w:rsidRDefault="00472578" w:rsidP="00472578">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niveaux requis pour une application particulière figurent dans les réglementations ou dans des normes non contradictoires.</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14318-1</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14318-1</w:t>
            </w:r>
          </w:p>
        </w:tc>
      </w:tr>
      <w:tr w:rsidR="0043547B" w:rsidRPr="0043547B" w:rsidTr="00CB5DC0">
        <w:trPr>
          <w:trHeight w:val="9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w w:val="95"/>
                <w:sz w:val="24"/>
                <w:szCs w:val="24"/>
                <w:lang w:eastAsia="fr-FR"/>
              </w:rPr>
            </w:pPr>
            <w:r w:rsidRPr="0043547B">
              <w:rPr>
                <w:rFonts w:eastAsia="Times New Roman" w:cstheme="minorHAnsi"/>
                <w:w w:val="95"/>
                <w:sz w:val="24"/>
                <w:szCs w:val="24"/>
                <w:lang w:eastAsia="fr-FR"/>
              </w:rPr>
              <w:t>Produits isolants thermiques destinés aux applications du bâtiment - Produits en mousse rigide de polyuréthanne (PUR) ou de polyisocyanurate (PIR) injectée, formés en place - Partie 1 : Spécifications relatives aux systèmes d'injection de mouss</w:t>
            </w:r>
            <w:r w:rsidR="00606FAD" w:rsidRPr="0043547B">
              <w:rPr>
                <w:rFonts w:eastAsia="Times New Roman" w:cstheme="minorHAnsi"/>
                <w:w w:val="95"/>
                <w:sz w:val="24"/>
                <w:szCs w:val="24"/>
                <w:lang w:eastAsia="fr-FR"/>
              </w:rPr>
              <w:t>e rigide avant mise en œuvre </w:t>
            </w:r>
          </w:p>
        </w:tc>
      </w:tr>
      <w:tr w:rsidR="0043547B" w:rsidRPr="0043547B" w:rsidTr="00CB5DC0">
        <w:trPr>
          <w:trHeight w:val="56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exigences relatives aux produits en mousse rigide de polyuréthanne (PUR) et de polyisocyanurate (PIR) injectée, formés en place, lorsqu’ils sont mis en œuvre dans des murs creux.</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Partie 1 de La norme est une spécification relative aux systèmes d’injection de mousse rigide avant mise en œuvre.</w:t>
            </w:r>
          </w:p>
          <w:p w:rsidR="003D453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Partie 1 de La norme décrit les caractéristiques des produits et contient des modes opératoires d’essai, de marquage et d’étiquetage ainsi que les règles d’évaluation de la conformité.</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ne spécifie pas les niveaux exigés de toutes les propriétés que doit présenter un produit pour démontrer son aptitude à l’emploi dans le cadre d’une application finale particulière. Les niveaux exigés figurent dans les réglementations ou dans les normes non contradictoires.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ne traite pas des produits isolants en mousse rigide de polyuréthanne (PUR) ou de polyisocyanurate (PIR) fabriqués en usine, ni des produits formés en place destinés à être utilisés pour l’isolation des équipements de bâtiment et des installations industrielles.</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14315-1</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14315-1</w:t>
            </w:r>
          </w:p>
        </w:tc>
      </w:tr>
      <w:tr w:rsidR="0043547B" w:rsidRPr="0043547B" w:rsidTr="00CB5DC0">
        <w:trPr>
          <w:trHeight w:val="9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Produits isolants thermiques destinés aux applications du bâtiment - Produits en mousse rigide de polyuréthanne (PUR) ou de polyisocyanurate (PIR) projetée, formés en place - Partie 1 : Spécifications relatives aux systèmes de projection de mousse rigide avant mise en œuvre ;   </w:t>
            </w:r>
          </w:p>
        </w:tc>
      </w:tr>
      <w:tr w:rsidR="0043547B" w:rsidRPr="0043547B" w:rsidTr="00CB5DC0">
        <w:trPr>
          <w:trHeight w:val="418"/>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exigences relatives aux produits en mousse rigide de polyuréthanne (PUR) et de polyisocyanurate (PIR) projetée, formés en place, lorsqu'ils sont mis en œuvre sur des murs, des plafonds, des toitures, des plafonds suspendus et des planchers.</w:t>
            </w:r>
          </w:p>
          <w:p w:rsidR="003D453B" w:rsidRPr="0043547B" w:rsidRDefault="003D453B" w:rsidP="003D453B">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Partie 1 de La norme est une spécification relative aux systèmes de projection de mousse rigide avant mise en œuvre.</w:t>
            </w:r>
          </w:p>
          <w:p w:rsidR="003D453B" w:rsidRDefault="003D453B" w:rsidP="003D453B">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Partie 1 de La norme décrit les caractéristiques du produit et contient des modes opératoires d'essai, de marquage et d'étiquetage ainsi que les règles d'évaluation de la conformité.</w:t>
            </w:r>
          </w:p>
          <w:p w:rsidR="003D453B" w:rsidRPr="0043547B" w:rsidRDefault="003D453B" w:rsidP="003D453B">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ne spécifie pas les niveaux exigés de toutes les propriétés que doit présenter un produit pour démontrer son aptitude à l’emploi dans le cadre d’une application finale particulière. Les niveaux exigés figurent dans les réglementations ou dans les normes non contradictoires.</w:t>
            </w:r>
          </w:p>
          <w:p w:rsidR="00904E52" w:rsidRPr="0043547B" w:rsidRDefault="003D453B" w:rsidP="003D453B">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La norme ne traite pas des produits isolants en mousse rigide de polyuréthanne (PUR) ou de polyisocyanurate (PIR) fabriqués en usine, ni des produits formés en </w:t>
            </w:r>
            <w:r w:rsidRPr="0043547B">
              <w:rPr>
                <w:rFonts w:eastAsia="Times New Roman" w:cstheme="minorHAnsi"/>
                <w:sz w:val="24"/>
                <w:szCs w:val="24"/>
                <w:lang w:eastAsia="fr-FR"/>
              </w:rPr>
              <w:lastRenderedPageBreak/>
              <w:t>place destinés à être utilisés pour l’isolation des équipements de bâtiment et des installations industrielles.</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14319-1</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14319-1</w:t>
            </w:r>
          </w:p>
        </w:tc>
      </w:tr>
      <w:tr w:rsidR="0043547B" w:rsidRPr="0043547B" w:rsidTr="00CB5DC0">
        <w:trPr>
          <w:trHeight w:val="12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Produits isolants thermiques destinés aux équipements de bâtiment et aux installations industrielles - Produits en mousse rigide de polyuréthanne (PUR) et de polyisocyanurates (PIR) injectée, formés en place - Partie 1 : Spécifications relatives aux systèmes d'injection du polyuréthanne et du polyisocyanurate rigide avant mise en œuvre ;   </w:t>
            </w:r>
          </w:p>
        </w:tc>
      </w:tr>
      <w:tr w:rsidR="0043547B" w:rsidRPr="0043547B" w:rsidTr="005368DD">
        <w:trPr>
          <w:trHeight w:val="1835"/>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3D453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exigences relatives aux produits en mousse rigide de polyuréthanne (PUR) et de polyisocyanurate (PIR) formés en place destinés à l'isolation des équipements dans les bâtiments et installations industrielles, par exemple les cuves de stockage industrielles, les tuyauteries et conduits utilisés pour l'alimentation en carburant, huile, autres liquides, eau chaude et froide, air et autres gaz.</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Selon le type de produits en mousse conformes à la norme, leurs plages de températures de service peuvent se trouver dans les limites de ± 200 °C.</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Partie 1 de La norme est une spécification relative aux systèmes de mousse rigide avant mise en œuvre.</w:t>
            </w:r>
          </w:p>
          <w:p w:rsidR="003D453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Partie 1 de La norme décrit les caractéristiques du produit et contient des modes opératoires d'essai, de marquage et d'étiquetage ainsi que les règles d'évaluation de la conformité.</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ne spécifie pas les niveaux exigés de toutes les propriétés que doit présenter un produit pour démontrer son aptitude à l’emploi dans le cadre d’une application finale particulière. Les niveaux exigés figurent dans les réglementations ou dans les normes non contradictoires.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ne traite pas des produits isolants en mousse rigide de polyuréthanne ou de polyisocyanurate (PIR) manufacturés, fabriqués en usine, ni des produits formés en place destinés à être utilisés pour l’isolation des équipements de bâtiment et des installations industrielles.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ne spécifie pas les exigences relatives à la performance des applications d'isolation directe des bruits aériens et d'absorption acoustique.</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14934</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14934</w:t>
            </w:r>
          </w:p>
        </w:tc>
      </w:tr>
      <w:tr w:rsidR="0043547B" w:rsidRPr="0043547B" w:rsidTr="00CB5DC0">
        <w:trPr>
          <w:trHeight w:val="531"/>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Produits isolants thermiques et de remblayage pour les applications de génie civil - Produits manufacturés en mousse de polystyrène extrudé (XPS) - Spécification ;  </w:t>
            </w:r>
          </w:p>
        </w:tc>
      </w:tr>
      <w:tr w:rsidR="0043547B" w:rsidRPr="0043547B" w:rsidTr="00472578">
        <w:trPr>
          <w:trHeight w:val="2261"/>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exigences auxquelles doivent satisfaire les produits manufacturés en mousse de polystyrène extrudé utilisés pour l'isolation thermique des routes, des chemins de fer et des zones de circulation ainsi que les remblais allégés pour la réduction de la poussée verticale et horizontale des terres et autres applications du génie civil.</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produits sont fabriqués sous forme de panneaux qui sont également disponibles avec usinage spécial de leurs chants et surfaces (tenon et mortaise, feuillure, etc.). La norme porte également sur les panneaux multicouches d'isolation.</w:t>
            </w:r>
          </w:p>
          <w:p w:rsidR="00472578" w:rsidRPr="0043547B" w:rsidRDefault="00904E52" w:rsidP="00472578">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 </w:t>
            </w:r>
            <w:r w:rsidR="00472578" w:rsidRPr="0043547B">
              <w:rPr>
                <w:rFonts w:eastAsia="Times New Roman" w:cstheme="minorHAnsi"/>
                <w:sz w:val="24"/>
                <w:szCs w:val="24"/>
                <w:lang w:eastAsia="fr-FR"/>
              </w:rPr>
              <w:t>La norme décrit les caractéristiques du produit et contient les procédures d'essai, d'évaluation de la conformité, de marquage et d'étiquetage.</w:t>
            </w:r>
          </w:p>
          <w:p w:rsidR="00472578" w:rsidRPr="0043547B" w:rsidRDefault="00472578" w:rsidP="00472578">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lastRenderedPageBreak/>
              <w:t>La norme ne spécifie pas, pour une propriété donnée, le niveau exigé que doit atteindre un produit pour démontrer son aptitude à l'emploi dans une application particulière. Les classes et niveaux requis pour une application donnée figurent dans les réglementations, ou normes non-conflictuelles.</w:t>
            </w:r>
          </w:p>
          <w:p w:rsidR="00904E52" w:rsidRPr="0043547B" w:rsidRDefault="00472578" w:rsidP="00472578">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Pour les applications devant faire l'objet d'une résistance thermique, les produits dont la résistance thermique déclarée est inférieure à 0,25 m</w:t>
            </w:r>
            <w:r w:rsidRPr="0043547B">
              <w:rPr>
                <w:rFonts w:eastAsia="Times New Roman" w:cstheme="minorHAnsi"/>
                <w:sz w:val="24"/>
                <w:szCs w:val="24"/>
                <w:vertAlign w:val="superscript"/>
                <w:lang w:eastAsia="fr-FR"/>
              </w:rPr>
              <w:t>2</w:t>
            </w:r>
            <w:r w:rsidRPr="0043547B">
              <w:rPr>
                <w:rFonts w:ascii="Cambria Math" w:eastAsia="Times New Roman" w:hAnsi="Cambria Math" w:cs="Cambria Math"/>
                <w:sz w:val="24"/>
                <w:szCs w:val="24"/>
                <w:lang w:eastAsia="fr-FR"/>
              </w:rPr>
              <w:t>⋅</w:t>
            </w:r>
            <w:r w:rsidRPr="0043547B">
              <w:rPr>
                <w:rFonts w:eastAsia="Times New Roman" w:cstheme="minorHAnsi"/>
                <w:sz w:val="24"/>
                <w:szCs w:val="24"/>
                <w:lang w:eastAsia="fr-FR"/>
              </w:rPr>
              <w:t>K/W ou dont la conductivité thermique déclarée est supérieure à 0,060 W/(m</w:t>
            </w:r>
            <w:r w:rsidRPr="0043547B">
              <w:rPr>
                <w:rFonts w:ascii="Cambria Math" w:eastAsia="Times New Roman" w:hAnsi="Cambria Math" w:cs="Cambria Math"/>
                <w:sz w:val="24"/>
                <w:szCs w:val="24"/>
                <w:lang w:eastAsia="fr-FR"/>
              </w:rPr>
              <w:t>⋅</w:t>
            </w:r>
            <w:r w:rsidRPr="0043547B">
              <w:rPr>
                <w:rFonts w:eastAsia="Times New Roman" w:cstheme="minorHAnsi"/>
                <w:sz w:val="24"/>
                <w:szCs w:val="24"/>
                <w:lang w:eastAsia="fr-FR"/>
              </w:rPr>
              <w:t>K) ne sont pas du domaine d'application de la norme. Les produits d'isolation mis en œuvre in situ, ceux destinés à être utilisés pour l'isolation des bâtiments, de leurs équipements et des installations industrielles ou ceux destinés à l'isolation acoustique ne sont pas du domaine d'application de la norme.</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14933</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14933</w:t>
            </w:r>
          </w:p>
        </w:tc>
      </w:tr>
      <w:tr w:rsidR="0043547B" w:rsidRPr="0043547B" w:rsidTr="00CB5DC0">
        <w:trPr>
          <w:trHeight w:val="55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Produits isolants thermiques et de remblayage pour les applications de génie civil - Produits manufacturés en polystyrène expansé (EPS) – Spécification ; </w:t>
            </w:r>
          </w:p>
        </w:tc>
      </w:tr>
      <w:tr w:rsidR="0043547B" w:rsidRPr="0043547B" w:rsidTr="005368DD">
        <w:trPr>
          <w:trHeight w:val="1268"/>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exigences auxquelles doivent satisfaire les exigences des produits manufacturés en polystyrène expansé utilisés pour l'isolation thermique des routes, des chemins de fer, des zones à forte circulation, des remblais allégés pour la réduction de la poussée verticale et horizontale des terres et autres applications du génie civil.</w:t>
            </w:r>
          </w:p>
          <w:p w:rsidR="005368DD" w:rsidRPr="0043547B" w:rsidRDefault="00904E52" w:rsidP="005368D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 </w:t>
            </w:r>
            <w:r w:rsidR="005368DD" w:rsidRPr="0043547B">
              <w:rPr>
                <w:rFonts w:eastAsia="Times New Roman" w:cstheme="minorHAnsi"/>
                <w:sz w:val="24"/>
                <w:szCs w:val="24"/>
                <w:lang w:eastAsia="fr-FR"/>
              </w:rPr>
              <w:t>Les produits sont fabriqués sous la forme de panneaux ou de blocs. La norme couvre également les panneaux ou bloc spécialement découpés.</w:t>
            </w:r>
          </w:p>
          <w:p w:rsidR="005368DD" w:rsidRPr="0043547B" w:rsidRDefault="005368DD" w:rsidP="005368D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décrit les caractéristiques du produit et contient les procédures d'essai, d'évaluation de la conformité, de marquage et d'étiquetage.</w:t>
            </w:r>
          </w:p>
          <w:p w:rsidR="005368DD" w:rsidRPr="0043547B" w:rsidRDefault="005368DD" w:rsidP="005368D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ne spécifie pas, pour une propriété donnée, la classe ou le niveau exigé que doit atteindre un produit pour démontrer son aptitude à l'emploi dans une application particulière. Les classes et niveaux requis pour une application donnée figurent dans les réglementations ou normes non-conflictuelles.</w:t>
            </w:r>
          </w:p>
          <w:p w:rsidR="00904E52" w:rsidRPr="0043547B" w:rsidRDefault="005368DD" w:rsidP="005368D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Pour les applications devant faire l'objet d'une résistance thermique, les produits dont la résistance thermique déclarée est inférieure à 0,25 m2 K/W ou dont la conductivité thermique déclarée est supérieure à 0,060 W/(m</w:t>
            </w:r>
            <w:r w:rsidRPr="0043547B">
              <w:rPr>
                <w:rFonts w:ascii="Cambria Math" w:eastAsia="Times New Roman" w:hAnsi="Cambria Math" w:cs="Cambria Math"/>
                <w:sz w:val="24"/>
                <w:szCs w:val="24"/>
                <w:lang w:eastAsia="fr-FR"/>
              </w:rPr>
              <w:t>⋅</w:t>
            </w:r>
            <w:r w:rsidRPr="0043547B">
              <w:rPr>
                <w:rFonts w:eastAsia="Times New Roman" w:cstheme="minorHAnsi"/>
                <w:sz w:val="24"/>
                <w:szCs w:val="24"/>
                <w:lang w:eastAsia="fr-FR"/>
              </w:rPr>
              <w:t>K) ne sont pas du domaine d'application de la norme. La norme ne couvre pas les produits d'isolation in situ et les produits destinés à l'isolation des bâtiments, de leurs équipements, des installations industrielles ou à l'isolation acoustique.</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15599-1</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15599-1</w:t>
            </w:r>
          </w:p>
        </w:tc>
      </w:tr>
      <w:tr w:rsidR="0043547B" w:rsidRPr="0043547B" w:rsidTr="00CB5DC0">
        <w:trPr>
          <w:trHeight w:val="9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606FA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Produits isolants thermiques pour l'équipement du bâtiment et les installations industrielles - Isolation thermique formée en place à base de granulats légers de Perlite expansée (EP) - Partie 1 : Spécification de produits liés et en vrac avant mise en œuvre </w:t>
            </w:r>
            <w:r w:rsidR="00606FAD" w:rsidRPr="0043547B">
              <w:rPr>
                <w:rFonts w:eastAsia="Times New Roman" w:cstheme="minorHAnsi"/>
                <w:sz w:val="24"/>
                <w:szCs w:val="24"/>
                <w:lang w:eastAsia="fr-FR"/>
              </w:rPr>
              <w:t xml:space="preserve"> </w:t>
            </w:r>
            <w:r w:rsidRPr="0043547B">
              <w:rPr>
                <w:rFonts w:eastAsia="Times New Roman" w:cstheme="minorHAnsi"/>
                <w:sz w:val="24"/>
                <w:szCs w:val="24"/>
                <w:lang w:eastAsia="fr-FR"/>
              </w:rPr>
              <w:t xml:space="preserve">   </w:t>
            </w:r>
          </w:p>
        </w:tc>
      </w:tr>
      <w:tr w:rsidR="0043547B" w:rsidRPr="0043547B" w:rsidTr="00472578">
        <w:trPr>
          <w:trHeight w:val="843"/>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exigences relatives aux produits en perlite expansée utilisés pour l'isolation thermique de l'équipement du bâtiment et des installations industrielles, dont la température de service se situe entre – 270 °C et + 650 °C environ.</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La norme spécifie les exigences relatives aux quatre types de produits en perlite expansée, à savoir les granulats de perlite expansée (EPA), la perlite enrobée (EPC), la perlite hydrophobe (EPH) et la perlite prémélangée (EPM), contenant </w:t>
            </w:r>
            <w:r w:rsidRPr="0043547B">
              <w:rPr>
                <w:rFonts w:eastAsia="Times New Roman" w:cstheme="minorHAnsi"/>
                <w:sz w:val="24"/>
                <w:szCs w:val="24"/>
                <w:lang w:eastAsia="fr-FR"/>
              </w:rPr>
              <w:lastRenderedPageBreak/>
              <w:t>moins de 1 % en masse de substances organiques, tel que déterminé à l'Annexe C.</w:t>
            </w:r>
          </w:p>
          <w:p w:rsidR="00472578" w:rsidRPr="0043547B" w:rsidRDefault="00904E52" w:rsidP="00472578">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 </w:t>
            </w:r>
            <w:r w:rsidR="00472578" w:rsidRPr="0043547B">
              <w:rPr>
                <w:rFonts w:eastAsia="Times New Roman" w:cstheme="minorHAnsi"/>
                <w:sz w:val="24"/>
                <w:szCs w:val="24"/>
                <w:lang w:eastAsia="fr-FR"/>
              </w:rPr>
              <w:t>La norme est une spécification relative aux produits d'isolation avant mise en œuvre.</w:t>
            </w:r>
          </w:p>
          <w:p w:rsidR="00472578" w:rsidRPr="0043547B" w:rsidRDefault="00472578" w:rsidP="00472578">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décrit les caractéristiques des produits et contient des modes opératoires d'essai, d'évaluation de conformité, de marquage et d'étiquetage.</w:t>
            </w:r>
          </w:p>
          <w:p w:rsidR="00472578" w:rsidRPr="0043547B" w:rsidRDefault="00472578" w:rsidP="00472578">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ne spécifie pas, pour une propriété donnée, le niveau exigé que doit atteindre un produit pour démontrer son aptitude à l'emploi dans une application particulière. Les niveaux requis pour une application donnée figurent dans les réglementations ou normes non contradictoires.</w:t>
            </w:r>
          </w:p>
          <w:p w:rsidR="00472578" w:rsidRPr="0043547B" w:rsidRDefault="00472578" w:rsidP="00472578">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ne couvre pas les produits isolants manufacturés sous forme de profils et de panneaux en perlite expansée et ne couvre pas les produits destinés à être utilisés pour l'isolation des bâtiments.</w:t>
            </w:r>
          </w:p>
          <w:p w:rsidR="00904E52" w:rsidRPr="0043547B" w:rsidRDefault="00472578" w:rsidP="00472578">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produits couverts par La norme ne sont pas destinés à être utilisés principalement pour des applications d'isolation au bruit aérien ou d'absorption acoustique, bien qu'ils puissent améliorer les performances de l'installation à ces égards lorsqu'ils sont mis en œuvre pour leur principal usage prévu d'isolation.</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15600-1</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15600-1</w:t>
            </w:r>
          </w:p>
        </w:tc>
      </w:tr>
      <w:tr w:rsidR="0043547B" w:rsidRPr="0043547B" w:rsidTr="00CB5DC0">
        <w:trPr>
          <w:trHeight w:val="9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Produits isolants thermiques pour l'équipement du bâtiment et les installations industrielles - Isolation thermique formée en place à base de granulats légers de vermiculite exfoliée (EV) - Partie 1 : Spécification de produits liés et en vrac avant mise en œuvre ;   </w:t>
            </w:r>
          </w:p>
        </w:tc>
      </w:tr>
      <w:tr w:rsidR="0043547B" w:rsidRPr="0043547B" w:rsidTr="00CB5DC0">
        <w:trPr>
          <w:trHeight w:val="418"/>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exigences relatives aux produits en vermiculite exfoliée utilisés pour l'isolation thermique de l'équipement du bâtiment et des installations industrielles, dont la température de service se situe entre – 40 °C et + 1 050 °C environ.</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exigences relatives aux quatre types de produits en vermiculite exfoliée, à savoir les granulats de vermiculite exfoliée (EVA), la vermiculite enrobée (EVC), la vermiculite hydrophobe (EVH) et la vermiculite prémélangée (EVM), contenant moins de 1 % en masse de substances organiques, tel que déterminé à l'Annexe C.</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est une spécification relative aux produits d'isolation avant mise en œuvre.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décrit les caractéristiques des produits et contient des modes opératoires d'essai, d'évaluation de conformité, de marquage et d'étiquetage.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ne spécifie pas, pour une propriété donnée, le niveau exigé que doit atteindre un produit pour démontrer son aptitude à l'emploi dans une application particulière. Les niveaux requis pour une application donnée figurent dans les réglementations ou normes non contradictoires.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ne couvre pas les produits isolants manufacturés sous forme de profils et de panneaux en vermiculite exfoliée et ne couvre pas les produits destinés à être utilisés pour l'isolation des bâtiments.</w:t>
            </w:r>
          </w:p>
          <w:p w:rsidR="00904E52"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produits couverts par La norme ne sont pas destinés à être utilisés principalement pour des applications d'isolation au bruit aérien ou d'absorption acoustique, bien qu'ils puissent améliorer les performances des installations à ces égards lorsqu'ils sont mis en œuvre pour leur principal usage prévu d'isolation.</w:t>
            </w:r>
          </w:p>
          <w:p w:rsidR="00472578" w:rsidRPr="0043547B" w:rsidRDefault="00472578" w:rsidP="00904E52">
            <w:pPr>
              <w:spacing w:after="0" w:line="240" w:lineRule="auto"/>
              <w:jc w:val="both"/>
              <w:rPr>
                <w:rFonts w:eastAsia="Times New Roman" w:cstheme="minorHAnsi"/>
                <w:sz w:val="24"/>
                <w:szCs w:val="24"/>
                <w:lang w:eastAsia="fr-FR"/>
              </w:rPr>
            </w:pP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14320-1</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14320-1</w:t>
            </w:r>
          </w:p>
        </w:tc>
      </w:tr>
      <w:tr w:rsidR="0043547B" w:rsidRPr="0043547B" w:rsidTr="00CB5DC0">
        <w:trPr>
          <w:trHeight w:val="56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Produits isolants thermiques pour l'équipement du bâtiment et les installations industrielles - Produits en mousse rigide de polyuréthanne (PUR) ou de polyisocyanurate (PIR) projetée, formés en place - Partie 1 : Spécifications relatives aux systèmes de projection de la mousse rigide avant mise en œuvre ;  </w:t>
            </w:r>
          </w:p>
        </w:tc>
      </w:tr>
      <w:tr w:rsidR="0043547B" w:rsidRPr="0043547B" w:rsidTr="00CB5DC0">
        <w:trPr>
          <w:trHeight w:val="694"/>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exigences relatives aux produits en mousse rigide de polyuréthanne (PUR) et de polyisocyanurate (PIR) projetée, formés en place et utilisés pour l’isolation des équipements de bâtiment et des installations industrielles, par exemple cuves de stockage et conduites d’alimentation en carburant, huile, autres liquides, eau chaude et froide, air et autres gaz.</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Selon leur type, les produits en mousse conformes à La norme peuvent avoir des gammes de températures de service situées dans les limites de ± 200 °C.</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Partie 1 de La norme est une spécification relative aux systèmes de mousse rigide avant mise en œuvre.</w:t>
            </w:r>
          </w:p>
          <w:p w:rsidR="005368DD"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Partie 1 de La norme décrit les caractéristiques du produit et contient des modes opératoires d’essai, de marquage et d’étiquetage ainsi que les règles d’évaluation de la conformité.</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ne spécifie pas les niveaux exigés de toutes les propriétés que doit présenter un produit pour démontrer son aptitude à l’emploi dans le cadre d’une application finale particulière. Les niveaux exigés figurent dans les réglementations ou dans les normes non contradictoires.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ne traite pas des produits isolants en mousse rigide de polyuréthanne (PUR) ou de polyisocyanurate (PIR) fabriqués en usine, ni des produits formés en place destinés à être utilisés pour l’isolation des bâtiments.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La norme ne spécifie pas d’exigences de performance pour les applications d’isolation au bruit aérien direct et d’absorption acoustique. </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14303+A1</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14303+A1</w:t>
            </w:r>
          </w:p>
        </w:tc>
      </w:tr>
      <w:tr w:rsidR="0043547B" w:rsidRPr="0043547B" w:rsidTr="00CB5DC0">
        <w:trPr>
          <w:trHeight w:val="46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Produits isolants thermiques pour l'équipement du bâtiment et les installations industrielles - Produits manufacturés à base de laines minérales (MW) – Spécification ;   </w:t>
            </w:r>
          </w:p>
        </w:tc>
      </w:tr>
      <w:tr w:rsidR="0043547B" w:rsidRPr="0043547B" w:rsidTr="00B874C5">
        <w:trPr>
          <w:trHeight w:val="701"/>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exigences relatives aux produits manufacturés à base de laines minérales, utilisés pour l’isolation thermique de l’équipement du bâtiment et des installations industrielles, dont la température de service est approximativement comprise entre 0 °C et + 800 °C.</w:t>
            </w:r>
          </w:p>
          <w:p w:rsidR="00B874C5" w:rsidRPr="0043547B" w:rsidRDefault="00B874C5" w:rsidP="00B874C5">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décrit les caractéristiques de ces produits et comporte des modes opératoires d’essai, d’évaluation de conformité, de marquage et d’étiquetage.</w:t>
            </w:r>
          </w:p>
          <w:p w:rsidR="00B874C5" w:rsidRPr="0043547B" w:rsidRDefault="00B874C5" w:rsidP="00B874C5">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produits couverts par La norme sont également utilisés dans les systèmes d’isolation thermique préfabriqués et les panneaux composites ; les performances des systèmes incorporant ces produits ne sont pas traitées.</w:t>
            </w:r>
          </w:p>
          <w:p w:rsidR="00B874C5" w:rsidRPr="0043547B" w:rsidRDefault="00B874C5" w:rsidP="00B874C5">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ne spécifie pas le niveau requis pour une propriété donnée que doit posséder un produit pour démontrer son aptitude à une application particulière. Les niveaux requis pour une application donnée peuvent être trouvés dans les réglementations et les appels d’offre.</w:t>
            </w:r>
          </w:p>
          <w:p w:rsidR="00B874C5" w:rsidRPr="0043547B" w:rsidRDefault="00B874C5" w:rsidP="00B874C5">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produits dont la conductivité thermique déclarée est supérieure à 0,065 W/(m·K) à 10 °C ne sont pas couverts par la norme.</w:t>
            </w:r>
          </w:p>
          <w:p w:rsidR="00B874C5" w:rsidRPr="0043547B" w:rsidRDefault="00B874C5" w:rsidP="00B874C5">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lastRenderedPageBreak/>
              <w:t>La norme ne couvre ni les produits pour l’isolation in situ (soufflage ou déversement) ni les produits pour l’isolation des structures de bâtiments.</w:t>
            </w:r>
          </w:p>
          <w:p w:rsidR="00904E52" w:rsidRPr="0043547B" w:rsidRDefault="00B874C5" w:rsidP="00B874C5">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La norme ne couvre pas les critères acoustiques suivants : isolation contre le bruit aérien direct et indice de transmission du bruit d’impact. </w:t>
            </w:r>
            <w:r w:rsidR="00904E52" w:rsidRPr="0043547B">
              <w:rPr>
                <w:rFonts w:eastAsia="Times New Roman" w:cstheme="minorHAnsi"/>
                <w:sz w:val="24"/>
                <w:szCs w:val="24"/>
                <w:lang w:eastAsia="fr-FR"/>
              </w:rPr>
              <w:t xml:space="preserve"> </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14307+A1</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14307+A1</w:t>
            </w:r>
          </w:p>
        </w:tc>
      </w:tr>
      <w:tr w:rsidR="0043547B" w:rsidRPr="0043547B" w:rsidTr="00CB5DC0">
        <w:trPr>
          <w:trHeight w:val="6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Produits isolants thermiques pour l'équipement du bâtiment et les installations industrielles - Produits manufacturés en mousse de polystyrène extrudé (XPS) – Spécification ; </w:t>
            </w:r>
          </w:p>
        </w:tc>
      </w:tr>
      <w:tr w:rsidR="0043547B" w:rsidRPr="0043547B" w:rsidTr="00951E4D">
        <w:trPr>
          <w:trHeight w:val="559"/>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exigences relatives aux produits manufacturés en mousse de polystyrène extrudé, utilisés pour l’isolation thermique de l’équipement du bâtiment et des installations industrielles, dont la température de service est approximativement comprise entre – 180 °C et + 75 °C.</w:t>
            </w:r>
          </w:p>
          <w:p w:rsidR="00904E52" w:rsidRPr="0043547B" w:rsidRDefault="00904E52" w:rsidP="00904E52">
            <w:pPr>
              <w:spacing w:after="0" w:line="240" w:lineRule="auto"/>
              <w:jc w:val="both"/>
              <w:rPr>
                <w:rFonts w:eastAsia="Times New Roman" w:cstheme="minorHAnsi"/>
                <w:i/>
                <w:iCs/>
                <w:sz w:val="24"/>
                <w:szCs w:val="24"/>
                <w:lang w:eastAsia="fr-FR"/>
              </w:rPr>
            </w:pPr>
            <w:r w:rsidRPr="0043547B">
              <w:rPr>
                <w:rFonts w:eastAsia="Times New Roman" w:cstheme="minorHAnsi"/>
                <w:b/>
                <w:bCs/>
                <w:i/>
                <w:iCs/>
                <w:sz w:val="24"/>
                <w:szCs w:val="24"/>
                <w:lang w:eastAsia="fr-FR"/>
              </w:rPr>
              <w:t>N</w:t>
            </w:r>
            <w:r w:rsidR="00606FAD" w:rsidRPr="0043547B">
              <w:rPr>
                <w:rFonts w:eastAsia="Times New Roman" w:cstheme="minorHAnsi"/>
                <w:b/>
                <w:bCs/>
                <w:i/>
                <w:iCs/>
                <w:sz w:val="24"/>
                <w:szCs w:val="24"/>
                <w:lang w:eastAsia="fr-FR"/>
              </w:rPr>
              <w:t>ote</w:t>
            </w:r>
            <w:r w:rsidR="00606FAD" w:rsidRPr="0043547B">
              <w:rPr>
                <w:rFonts w:eastAsia="Times New Roman" w:cstheme="minorHAnsi"/>
                <w:i/>
                <w:iCs/>
                <w:sz w:val="24"/>
                <w:szCs w:val="24"/>
                <w:lang w:eastAsia="fr-FR"/>
              </w:rPr>
              <w:t xml:space="preserve"> - </w:t>
            </w:r>
            <w:r w:rsidRPr="0043547B">
              <w:rPr>
                <w:rFonts w:eastAsia="Times New Roman" w:cstheme="minorHAnsi"/>
                <w:i/>
                <w:iCs/>
                <w:sz w:val="24"/>
                <w:szCs w:val="24"/>
                <w:lang w:eastAsia="fr-FR"/>
              </w:rPr>
              <w:t>Pour une température de service inférieure à – 50 °C, des essais particuliers sont recommandés pour s'assurer de l'aptitude à l'emploi du produit dans l'application visée (p.ex. liquéfaction de l'oxygène). Il convient de se référer systématiquement aux conseils du fabricant.</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produits sont manufacturés sous forme de panneaux, coquilles, segments et articles préfabriqués, avec ou sans parement.</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décrit les caractéristiques des produits et comporte des modes opératoires d’essai, d’évaluation de conformité, de marquage et d’étiquetage.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produits couverts par La norme sont également utilisés dans les systèmes d’isolation thermique préfabriqués et les panneaux composites ; les performances des systèmes incorporant ces produits ne sont pas traitées.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ne spécifie pas le niveau requis pour une propriété donnée que doit posséder un produit pour démontrer son aptitude à une application particulière. Les niveaux requis pour une application donnée peuvent être trouvés dans les réglementations et les appels d’offre.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produits dont la conductivité thermique déclarée est supérieure à 0,060 W/(m·K) à une température moyenne de 10 °C ne sont pas couverts par la norme.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La norme ne couvre ni les produits destinés à l’isolation des structures de bâtiment ni les produits d’isolation acoustique. </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14304+A1</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14304+A1</w:t>
            </w:r>
          </w:p>
        </w:tc>
      </w:tr>
      <w:tr w:rsidR="0043547B" w:rsidRPr="0043547B" w:rsidTr="00CB5DC0">
        <w:trPr>
          <w:trHeight w:val="6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Produits isolants thermiques pour l'équipement du bâtiment et les installations industrielles - Produits manufacturés en mousse élastomère flexible (FEF) – Spécification ; </w:t>
            </w:r>
          </w:p>
        </w:tc>
      </w:tr>
      <w:tr w:rsidR="0043547B" w:rsidRPr="0043547B" w:rsidTr="00472578">
        <w:trPr>
          <w:trHeight w:val="1127"/>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exigences relatives aux produits manufacturés en mousse élastomère flexible, utilisés pour l’isolation thermique de l’équipement du bâtiment et des installations industrielles, dont la température de service est approximativement comprise entre – 200 °C et + 175 °C.</w:t>
            </w:r>
          </w:p>
          <w:p w:rsidR="00472578" w:rsidRPr="0043547B" w:rsidRDefault="00472578" w:rsidP="00472578">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décrit les caractéristiques de ces produits et comporte des modes opératoires d’essai, d’évaluation de conformité, de marquage et d’étiquetage.</w:t>
            </w:r>
          </w:p>
          <w:p w:rsidR="00472578" w:rsidRPr="0043547B" w:rsidRDefault="00472578" w:rsidP="00472578">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produits couverts par La norme sont également utilisés dans les systèmes d’isolation thermique préfabriqués et les panneaux composites ; les performances des systèmes incorporant ces produits ne sont pas traitées.</w:t>
            </w:r>
          </w:p>
          <w:p w:rsidR="00472578" w:rsidRPr="0043547B" w:rsidRDefault="00472578" w:rsidP="00472578">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La norme ne spécifie pas le niveau requis pour une propriété donnée que doit posséder un produit pour démontrer son aptitude à une application particulière. </w:t>
            </w:r>
            <w:r w:rsidRPr="0043547B">
              <w:rPr>
                <w:rFonts w:eastAsia="Times New Roman" w:cstheme="minorHAnsi"/>
                <w:sz w:val="24"/>
                <w:szCs w:val="24"/>
                <w:lang w:eastAsia="fr-FR"/>
              </w:rPr>
              <w:lastRenderedPageBreak/>
              <w:t>Les niveaux requis pour une application donnée peuvent être trouvés dans les réglementations et les appels d’offre.</w:t>
            </w:r>
          </w:p>
          <w:p w:rsidR="00472578" w:rsidRPr="0043547B" w:rsidRDefault="00472578" w:rsidP="00472578">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produits dont la conductivité thermique déclarée est supérieure à 0,050 W/(m·K) à 10 °C ne sont pas couverts par la norme.</w:t>
            </w:r>
          </w:p>
          <w:p w:rsidR="00472578" w:rsidRPr="0043547B" w:rsidRDefault="00472578" w:rsidP="00472578">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ne couvre pas les produits pour l’isolation des structures de bâtiments.</w:t>
            </w:r>
          </w:p>
          <w:p w:rsidR="00904E52" w:rsidRPr="0043547B" w:rsidRDefault="00472578" w:rsidP="00472578">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partie normative de La norme ne couvre pas la contrainte en compression.</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14314+A1</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14314+A1</w:t>
            </w:r>
          </w:p>
        </w:tc>
      </w:tr>
      <w:tr w:rsidR="0043547B" w:rsidRPr="0043547B" w:rsidTr="00CB5DC0">
        <w:trPr>
          <w:trHeight w:val="6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Produits isolants thermiques pour l'équipement du bâtiment et les installations industrielles - Produits manufacturés en mousse phénolique (PF) – Spécification ;  </w:t>
            </w:r>
          </w:p>
        </w:tc>
      </w:tr>
      <w:tr w:rsidR="0043547B" w:rsidRPr="0043547B" w:rsidTr="00CB5DC0">
        <w:trPr>
          <w:trHeight w:val="127"/>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exigences relatives aux produits manufacturés en mousse phénolique utilisés pour l'isolation thermique de l’équipement du bâtiment et des installations industrielles, dont la température de service se situe entre – 200 °C et + 120 °C environ.</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l'aptitude à l'emploi du produit dans l'application visée (p.ex. liquéfaction de l'oxygène).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Il convient de se référer systématiquement aux conseils du fabricant.</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décrit les caractéristiques des produits et comporte des modes opératoires d’essai, d'évaluation de conformité, de marquage et d’étiquetage.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produits couverts par La norme sont également utilisés dans les systèmes d'isolation thermique préfabriqués et les panneaux composites ; les performances des systèmes incorporant ces produits ne sont pas traitées.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ne spécifie pas le niveau requis pour une propriété donnée que doit posséder un produit pour démontrer sa convenance à une application particulière. Les niveaux requis pour une application donnée peuvent être trouvés dans les réglementations et les appels d'offres.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produits dont la conductivité thermique déclarée est supérieure à 0,050 W/(m·K) à 10 °C ne sont pas couverts par la norme.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ne couvre pas les produits pour isolation in situ (pulvérisation ou dispersion) ni ceux destinés à l’isolation de la structure du bâtiment.</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ne couvre pas les aspects acoustiques suivants : isolement direct aux bruits aériens et indice de transmission des bruits d'impact.</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14308+A1</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14308+A1</w:t>
            </w:r>
          </w:p>
        </w:tc>
      </w:tr>
      <w:tr w:rsidR="0043547B" w:rsidRPr="0043547B" w:rsidTr="00CB5DC0">
        <w:trPr>
          <w:trHeight w:val="6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Produits isolants thermiques pour l'équipement du bâtiment et les installations industrielles - Produits manufacturés en mousse rigide de polyuréthane (PUR) et en mousse polyisocyanurate (PIR) – Spécification ;  </w:t>
            </w:r>
          </w:p>
        </w:tc>
      </w:tr>
      <w:tr w:rsidR="0043547B" w:rsidRPr="0043547B" w:rsidTr="00CB5DC0">
        <w:trPr>
          <w:trHeight w:val="985"/>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exigences relatives aux produits manufacturés en mousse rigide de polyuréthane (PUR) et en mousse polyisocyanurate (PIR), ayant au moins 90 % de cellules fermées, avec ou sans parements, utilisés pour l'isolation thermique de l’équipement du bâtiment et des installations industrielles, dont la température de service se situe environ entre – 200 °C et + 200 °C.</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décrit les caractéristiques des produits et comporte des modes opératoires d’essai, d'évaluation de conformité, de marquage et d’étiquetage.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produits couverts par La norme sont également utilisés dans les systèmes d'isolation thermique préfabriqués et les panneaux composites ; les performances des systèmes incorporant ces produits ne sont pas traitées.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lastRenderedPageBreak/>
              <w:t>La norme ne spécifie pas le niveau requis pour une propriété donnée que doit posséder un produit pour démontrer son aptitude à une application particulière. Les niveaux requis pour une application donnée peuvent être trouvés dans les réglementations et les appels d’offre.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produits dont la conductivité thermique déclarée est supérieure à 0,100 W/(m·K) à 10 °C ne sont pas couverts par la norme.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ne couvre pas les produits pour isolation in situ (pulvérisation ou dispersion) ni ceux destinés à l’isolation de la structure du bâtiment.</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ne couvre pas les aspects acoustiques suivants : isolement direct aux bruits aériens et indice de transmission des bruits d'impact.</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14309+A1</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14309+A1</w:t>
            </w:r>
          </w:p>
        </w:tc>
      </w:tr>
      <w:tr w:rsidR="0043547B" w:rsidRPr="0043547B" w:rsidTr="00CB5DC0">
        <w:trPr>
          <w:trHeight w:val="6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Produits isolants thermiques pour l'équipement du bâtiment et les installations industrielles - Produits manufacturés en polystyrène expansé (PSE) – Spécification ;  </w:t>
            </w:r>
          </w:p>
        </w:tc>
      </w:tr>
      <w:tr w:rsidR="0043547B" w:rsidRPr="0043547B" w:rsidTr="00951E4D">
        <w:trPr>
          <w:trHeight w:val="1268"/>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51E4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exigences relatives aux produits manufacturés en polystyrène expansé utilisés pour l'isolation thermique de l’équipement du bâtiment et des installations industrielles dont la température de service se situe entre – 180 °C et + 80 °C environ. Des polymères modifiés de polystyrène expansé ayant une résistance accrue à la température sont également couverts par la norme.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décrit les caractéristiques des produits et comporte des modes opératoires d'essai, d'évaluation de conformité, de marquage et d’étiquetage.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produits couverts par La norme sont également utilisés dans des systèmes préfabriqués d'isolation thermique et dans des panneaux composites ; les performances des systèmes incorporant ces produits ne sont pas traitées.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ne spécifie pas le niveau ou la classe requis pour une propriété donnée que doit posséder un produit pour démontrer son aptitude à une application particulière.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classes ou niveaux requis pour une application particulière peuvent être trouvés dans les réglementations et les appels d'offres.</w:t>
            </w:r>
          </w:p>
          <w:p w:rsidR="00904E52" w:rsidRPr="0043547B" w:rsidRDefault="00904E52" w:rsidP="003D453B">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Les produits dont la conductivité thermique déclarée supérieure à 0,060 W/(m.K) à </w:t>
            </w:r>
            <w:r w:rsidR="003D453B">
              <w:rPr>
                <w:rFonts w:eastAsia="Times New Roman" w:cstheme="minorHAnsi"/>
                <w:sz w:val="24"/>
                <w:szCs w:val="24"/>
                <w:lang w:eastAsia="fr-FR"/>
              </w:rPr>
              <w:t xml:space="preserve"> </w:t>
            </w:r>
            <w:r w:rsidRPr="0043547B">
              <w:rPr>
                <w:rFonts w:eastAsia="Times New Roman" w:cstheme="minorHAnsi"/>
                <w:sz w:val="24"/>
                <w:szCs w:val="24"/>
                <w:lang w:eastAsia="fr-FR"/>
              </w:rPr>
              <w:t>10 °C ne sont pas couverts par la norme.</w:t>
            </w:r>
          </w:p>
          <w:p w:rsidR="003D453B" w:rsidRPr="0043547B" w:rsidRDefault="00904E52" w:rsidP="00951E4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ne couvre pas les produits pour isolation in situ (en vrac ou par déversement) ni ceux destinés à l’isolation de la structure du bâtiment.</w:t>
            </w:r>
            <w:r w:rsidR="00951E4D">
              <w:rPr>
                <w:rFonts w:eastAsia="Times New Roman" w:cstheme="minorHAnsi"/>
                <w:sz w:val="24"/>
                <w:szCs w:val="24"/>
                <w:lang w:eastAsia="fr-FR"/>
              </w:rPr>
              <w:t xml:space="preserve"> </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14306+A1</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14306+A1</w:t>
            </w:r>
          </w:p>
        </w:tc>
      </w:tr>
      <w:tr w:rsidR="0043547B" w:rsidRPr="0043547B" w:rsidTr="00CB5DC0">
        <w:trPr>
          <w:trHeight w:val="6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Produits isolants thermiques pour l'équipement du bâtiment et les installations industrielles - Produits manufacturés en silicate de calcium (CS) – Spécification ;   </w:t>
            </w:r>
          </w:p>
        </w:tc>
      </w:tr>
      <w:tr w:rsidR="0043547B" w:rsidRPr="0043547B" w:rsidTr="00CB5DC0">
        <w:trPr>
          <w:trHeight w:val="2544"/>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exigences relatives aux produits manufacturés en silicate de calcium, utilisés pour l’isolation thermique de l’équipement du bâtiment et des installations industrielles, dont la température de service est approximativement comprise entre – 170 °C et + 1 100 °C.</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produits sont manufacturés sous la forme de panneaux, de coquilles, de segments et de pièces préfabriquées.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décrit les caractéristiques des produits et comporte des modes opératoires d’essai, d’évaluation de conformité, de marquage et d’étiquetage.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lastRenderedPageBreak/>
              <w:t>Les produits couverts par La norme sont également utilisés dans les systèmes d’isolation thermique préfabriqués et les panneaux composites ; les performances structurelles des systèmes incorporant ces produits ne sont pas traitées.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ne spécifie pas la classe ou le niveau requis pour une propriété donnée que doit posséder un produit pour démontrer son aptitude à une application particulière.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niveaux requis pour une application donnée peuvent être trouvés dans les réglementations et les appels d’offre.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produits dont la conductivité thermique déclarée est supérieur</w:t>
            </w:r>
            <w:r w:rsidR="007F63D3">
              <w:rPr>
                <w:rFonts w:eastAsia="Times New Roman" w:cstheme="minorHAnsi"/>
                <w:sz w:val="24"/>
                <w:szCs w:val="24"/>
                <w:lang w:eastAsia="fr-FR"/>
              </w:rPr>
              <w:t>e à 0,6 W/(m·K) à</w:t>
            </w:r>
            <w:r w:rsidRPr="0043547B">
              <w:rPr>
                <w:rFonts w:eastAsia="Times New Roman" w:cstheme="minorHAnsi"/>
                <w:sz w:val="24"/>
                <w:szCs w:val="24"/>
                <w:lang w:eastAsia="fr-FR"/>
              </w:rPr>
              <w:t xml:space="preserve"> 10 °C ne sont pas couverts par la norme.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ne couvre pas les produits destinés à être utilisés pour l’isolation de la structure des bâtiments.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ne couvre pas les critères acoustiques suivants : isolation contre le bruit aérien direct et indice de transmission du bruit d’impact.</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14305+A1</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14305+A1</w:t>
            </w:r>
          </w:p>
        </w:tc>
      </w:tr>
      <w:tr w:rsidR="0043547B" w:rsidRPr="0043547B" w:rsidTr="00CB5DC0">
        <w:trPr>
          <w:trHeight w:val="6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Produits isolants thermiques pour l'équipement du bâtiment et les installations industrielles - Produits manufacturés en verre cellulaire (CG) – Spécification ;  </w:t>
            </w:r>
          </w:p>
        </w:tc>
      </w:tr>
      <w:tr w:rsidR="0043547B" w:rsidRPr="0043547B" w:rsidTr="00951E4D">
        <w:trPr>
          <w:trHeight w:val="559"/>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exigences relatives aux produits manufacturés en verre cellulaire utilisés pour l'isolation thermique des équipements de bâtiments et des installations industrielles dont la température de service se situe entre – 265 °C et + 430 °C environ.</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produits couverts par La norme sont également utilisés dans des systèmes préfabriqués d'isolation thermique et dans des panneaux composites ; la performance des systèmes incorporant ces produits n'est pas traitée.</w:t>
            </w:r>
          </w:p>
          <w:p w:rsidR="00904E52" w:rsidRPr="0043547B" w:rsidRDefault="00904E52" w:rsidP="00C83F7F">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ne spécifie pas le niveau requis pour une propriété donnée que doit posséder un produit pour démontrer son aptitude à une application particulière. Les niveaux requis pour une application donnée peuvent être trouvés dans les réglementations et les appels d’offre.</w:t>
            </w:r>
            <w:r w:rsidR="00C83F7F" w:rsidRPr="0043547B">
              <w:rPr>
                <w:rFonts w:eastAsia="Times New Roman" w:cstheme="minorHAnsi"/>
                <w:sz w:val="24"/>
                <w:szCs w:val="24"/>
                <w:lang w:eastAsia="fr-FR"/>
              </w:rPr>
              <w:t xml:space="preserve"> </w:t>
            </w:r>
            <w:r w:rsidRPr="0043547B">
              <w:rPr>
                <w:rFonts w:eastAsia="Times New Roman" w:cstheme="minorHAnsi"/>
                <w:sz w:val="24"/>
                <w:szCs w:val="24"/>
                <w:lang w:eastAsia="fr-FR"/>
              </w:rPr>
              <w:t>Les produits ayant une conductivité thermique déclarée supérieure à 0,065 W/(m·K) à 10 °C ne sont pas couverts par la norme.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ne couvre pas les produits destinés à l'isolation de la structure du bâtiment.</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14509</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14509</w:t>
            </w:r>
          </w:p>
        </w:tc>
      </w:tr>
      <w:tr w:rsidR="0043547B" w:rsidRPr="0043547B" w:rsidTr="00CB5DC0">
        <w:trPr>
          <w:trHeight w:val="6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606FA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Panneaux sandwiches autoportants, isolants, double peau à parements métalliques - Produits manufacturés – Spécifications </w:t>
            </w:r>
            <w:r w:rsidR="00606FAD" w:rsidRPr="0043547B">
              <w:rPr>
                <w:rFonts w:eastAsia="Times New Roman" w:cstheme="minorHAnsi"/>
                <w:sz w:val="24"/>
                <w:szCs w:val="24"/>
                <w:lang w:eastAsia="fr-FR"/>
              </w:rPr>
              <w:t xml:space="preserve"> </w:t>
            </w:r>
            <w:r w:rsidRPr="0043547B">
              <w:rPr>
                <w:rFonts w:eastAsia="Times New Roman" w:cstheme="minorHAnsi"/>
                <w:sz w:val="24"/>
                <w:szCs w:val="24"/>
                <w:lang w:eastAsia="fr-FR"/>
              </w:rPr>
              <w:t xml:space="preserve">  </w:t>
            </w:r>
          </w:p>
        </w:tc>
      </w:tr>
      <w:tr w:rsidR="0043547B" w:rsidRPr="0043547B" w:rsidTr="00CB5DC0">
        <w:trPr>
          <w:trHeight w:val="276"/>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exigences applicables aux panneaux sandwiches manufacturés, autoportants, isolants, à deux parements métalliques, utilisés pour la pose en discontinu dans les cas suivants :</w:t>
            </w:r>
          </w:p>
          <w:p w:rsidR="00904E52" w:rsidRPr="0043547B" w:rsidRDefault="00904E52" w:rsidP="00E10FBD">
            <w:pPr>
              <w:pStyle w:val="Paragraphedeliste"/>
              <w:numPr>
                <w:ilvl w:val="0"/>
                <w:numId w:val="35"/>
              </w:numPr>
              <w:spacing w:after="0" w:line="240" w:lineRule="auto"/>
              <w:ind w:left="337" w:hanging="283"/>
              <w:jc w:val="both"/>
              <w:rPr>
                <w:rFonts w:eastAsia="Times New Roman" w:cstheme="minorHAnsi"/>
                <w:sz w:val="24"/>
                <w:szCs w:val="24"/>
                <w:lang w:eastAsia="fr-FR"/>
              </w:rPr>
            </w:pPr>
            <w:r w:rsidRPr="0043547B">
              <w:rPr>
                <w:rFonts w:eastAsia="Times New Roman" w:cstheme="minorHAnsi"/>
                <w:sz w:val="24"/>
                <w:szCs w:val="24"/>
                <w:lang w:eastAsia="fr-FR"/>
              </w:rPr>
              <w:t>couvertures et bardages ;</w:t>
            </w:r>
          </w:p>
          <w:p w:rsidR="00904E52" w:rsidRPr="0043547B" w:rsidRDefault="00904E52" w:rsidP="00E10FBD">
            <w:pPr>
              <w:pStyle w:val="Paragraphedeliste"/>
              <w:numPr>
                <w:ilvl w:val="0"/>
                <w:numId w:val="35"/>
              </w:numPr>
              <w:spacing w:after="0" w:line="240" w:lineRule="auto"/>
              <w:ind w:left="337" w:hanging="283"/>
              <w:jc w:val="both"/>
              <w:rPr>
                <w:rFonts w:eastAsia="Times New Roman" w:cstheme="minorHAnsi"/>
                <w:sz w:val="24"/>
                <w:szCs w:val="24"/>
                <w:lang w:eastAsia="fr-FR"/>
              </w:rPr>
            </w:pPr>
            <w:r w:rsidRPr="0043547B">
              <w:rPr>
                <w:rFonts w:eastAsia="Times New Roman" w:cstheme="minorHAnsi"/>
                <w:sz w:val="24"/>
                <w:szCs w:val="24"/>
                <w:lang w:eastAsia="fr-FR"/>
              </w:rPr>
              <w:t>parois extérieures et bardages de parois ;</w:t>
            </w:r>
          </w:p>
          <w:p w:rsidR="00904E52" w:rsidRPr="0043547B" w:rsidRDefault="00904E52" w:rsidP="00E10FBD">
            <w:pPr>
              <w:pStyle w:val="Paragraphedeliste"/>
              <w:numPr>
                <w:ilvl w:val="0"/>
                <w:numId w:val="35"/>
              </w:numPr>
              <w:spacing w:after="0" w:line="240" w:lineRule="auto"/>
              <w:ind w:left="337" w:hanging="283"/>
              <w:jc w:val="both"/>
              <w:rPr>
                <w:rFonts w:eastAsia="Times New Roman" w:cstheme="minorHAnsi"/>
                <w:sz w:val="24"/>
                <w:szCs w:val="24"/>
                <w:lang w:eastAsia="fr-FR"/>
              </w:rPr>
            </w:pPr>
            <w:r w:rsidRPr="0043547B">
              <w:rPr>
                <w:rFonts w:eastAsia="Times New Roman" w:cstheme="minorHAnsi"/>
                <w:sz w:val="24"/>
                <w:szCs w:val="24"/>
                <w:lang w:eastAsia="fr-FR"/>
              </w:rPr>
              <w:t>parois (y compris cloisons) et plafonds dans l’enveloppe du bâtiment.</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matériaux d'âme isolante couverts par La norme sont : le polyuréthane rigide, le polystyrène expansé, la mousse de polystyrène extrudé, la mousse phénolique, le verre cellulaire et la laine minérale.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lastRenderedPageBreak/>
              <w:t>La norme inclut les panneaux dont les chants sont en matériaux autres que le matériau d'âme isolant principal.</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inclut également l</w:t>
            </w:r>
            <w:r w:rsidR="00C83F7F" w:rsidRPr="0043547B">
              <w:rPr>
                <w:rFonts w:eastAsia="Times New Roman" w:cstheme="minorHAnsi"/>
                <w:sz w:val="24"/>
                <w:szCs w:val="24"/>
                <w:lang w:eastAsia="fr-FR"/>
              </w:rPr>
              <w:t>es panneaux utilisés dans des a</w:t>
            </w:r>
            <w:r w:rsidRPr="0043547B">
              <w:rPr>
                <w:rFonts w:eastAsia="Times New Roman" w:cstheme="minorHAnsi"/>
                <w:sz w:val="24"/>
                <w:szCs w:val="24"/>
                <w:lang w:eastAsia="fr-FR"/>
              </w:rPr>
              <w:t>plications pour chambres froides.</w:t>
            </w:r>
          </w:p>
          <w:p w:rsidR="00904E52" w:rsidRPr="0043547B" w:rsidRDefault="00904E52" w:rsidP="00606FA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panneaux, mis sur le marché en tant que composant de chambre d'entreposage frigorifique, de bâtiment et/ou d'équipements d'enveloppe de bâtiment, font l'objet du guide 021 de l'ETA « Equipements de locaux d'entreposage</w:t>
            </w:r>
            <w:r w:rsidR="00606FAD" w:rsidRPr="0043547B">
              <w:rPr>
                <w:rFonts w:eastAsia="Times New Roman" w:cstheme="minorHAnsi"/>
                <w:sz w:val="24"/>
                <w:szCs w:val="24"/>
                <w:lang w:eastAsia="fr-FR"/>
              </w:rPr>
              <w:t xml:space="preserve"> </w:t>
            </w:r>
            <w:r w:rsidRPr="0043547B">
              <w:rPr>
                <w:rFonts w:eastAsia="Times New Roman" w:cstheme="minorHAnsi"/>
                <w:sz w:val="24"/>
                <w:szCs w:val="24"/>
                <w:lang w:eastAsia="fr-FR"/>
              </w:rPr>
              <w:t>frigorifique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ne couvre pas ce qui suit :</w:t>
            </w:r>
          </w:p>
          <w:p w:rsidR="00904E52" w:rsidRPr="0043547B" w:rsidRDefault="00904E52" w:rsidP="00E10FBD">
            <w:pPr>
              <w:pStyle w:val="Paragraphedeliste"/>
              <w:numPr>
                <w:ilvl w:val="0"/>
                <w:numId w:val="36"/>
              </w:numPr>
              <w:spacing w:after="0" w:line="240" w:lineRule="auto"/>
              <w:ind w:left="337" w:hanging="284"/>
              <w:jc w:val="both"/>
              <w:rPr>
                <w:rFonts w:eastAsia="Times New Roman" w:cstheme="minorHAnsi"/>
                <w:sz w:val="24"/>
                <w:szCs w:val="24"/>
                <w:lang w:eastAsia="fr-FR"/>
              </w:rPr>
            </w:pPr>
            <w:r w:rsidRPr="0043547B">
              <w:rPr>
                <w:rFonts w:eastAsia="Times New Roman" w:cstheme="minorHAnsi"/>
                <w:sz w:val="24"/>
                <w:szCs w:val="24"/>
                <w:lang w:eastAsia="fr-FR"/>
              </w:rPr>
              <w:t>les panneaux sandwiches dont la conductivité thermique déclarée de l’âme isolante est supérieure à 0,06 W/m·K à 10°C ;</w:t>
            </w:r>
          </w:p>
          <w:p w:rsidR="00904E52" w:rsidRPr="0043547B" w:rsidRDefault="00904E52" w:rsidP="00E10FBD">
            <w:pPr>
              <w:pStyle w:val="Paragraphedeliste"/>
              <w:numPr>
                <w:ilvl w:val="0"/>
                <w:numId w:val="36"/>
              </w:numPr>
              <w:spacing w:after="0" w:line="240" w:lineRule="auto"/>
              <w:ind w:left="337" w:hanging="284"/>
              <w:jc w:val="both"/>
              <w:rPr>
                <w:rFonts w:eastAsia="Times New Roman" w:cstheme="minorHAnsi"/>
                <w:sz w:val="24"/>
                <w:szCs w:val="24"/>
                <w:lang w:eastAsia="fr-FR"/>
              </w:rPr>
            </w:pPr>
            <w:r w:rsidRPr="0043547B">
              <w:rPr>
                <w:rFonts w:eastAsia="Times New Roman" w:cstheme="minorHAnsi"/>
                <w:sz w:val="24"/>
                <w:szCs w:val="24"/>
                <w:lang w:eastAsia="fr-FR"/>
              </w:rPr>
              <w:t>les produits comportant deux ou plusieurs couches clairement définies de différents matériaux d’âme isolante (multicouches) ;</w:t>
            </w:r>
          </w:p>
          <w:p w:rsidR="00904E52" w:rsidRPr="0043547B" w:rsidRDefault="00904E52" w:rsidP="00E10FBD">
            <w:pPr>
              <w:pStyle w:val="Paragraphedeliste"/>
              <w:numPr>
                <w:ilvl w:val="0"/>
                <w:numId w:val="36"/>
              </w:numPr>
              <w:spacing w:after="0" w:line="240" w:lineRule="auto"/>
              <w:ind w:left="337" w:hanging="284"/>
              <w:jc w:val="both"/>
              <w:rPr>
                <w:rFonts w:eastAsia="Times New Roman" w:cstheme="minorHAnsi"/>
                <w:sz w:val="24"/>
                <w:szCs w:val="24"/>
                <w:lang w:eastAsia="fr-FR"/>
              </w:rPr>
            </w:pPr>
            <w:r w:rsidRPr="0043547B">
              <w:rPr>
                <w:rFonts w:eastAsia="Times New Roman" w:cstheme="minorHAnsi"/>
                <w:sz w:val="24"/>
                <w:szCs w:val="24"/>
                <w:lang w:eastAsia="fr-FR"/>
              </w:rPr>
              <w:t>les panneaux à parement(s) perforé(s) ;</w:t>
            </w:r>
          </w:p>
          <w:p w:rsidR="00904E52" w:rsidRPr="0043547B" w:rsidRDefault="00904E52" w:rsidP="00E10FBD">
            <w:pPr>
              <w:pStyle w:val="Paragraphedeliste"/>
              <w:numPr>
                <w:ilvl w:val="0"/>
                <w:numId w:val="36"/>
              </w:numPr>
              <w:spacing w:after="0" w:line="240" w:lineRule="auto"/>
              <w:ind w:left="337" w:hanging="284"/>
              <w:jc w:val="both"/>
              <w:rPr>
                <w:rFonts w:eastAsia="Times New Roman" w:cstheme="minorHAnsi"/>
                <w:sz w:val="24"/>
                <w:szCs w:val="24"/>
                <w:lang w:eastAsia="fr-FR"/>
              </w:rPr>
            </w:pPr>
            <w:r w:rsidRPr="0043547B">
              <w:rPr>
                <w:rFonts w:eastAsia="Times New Roman" w:cstheme="minorHAnsi"/>
                <w:sz w:val="24"/>
                <w:szCs w:val="24"/>
                <w:lang w:eastAsia="fr-FR"/>
              </w:rPr>
              <w:t>les panneaux incurvés</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14313</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14313</w:t>
            </w:r>
          </w:p>
        </w:tc>
      </w:tr>
      <w:tr w:rsidR="0043547B" w:rsidRPr="0043547B" w:rsidTr="00CB5DC0">
        <w:trPr>
          <w:trHeight w:val="6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Produits isolants thermiques pour l’équipement du bâtiment et les installations industrielles - Produits manufacturés en mousse de polyéthylène (PEF) – Spécification ;   </w:t>
            </w:r>
          </w:p>
        </w:tc>
      </w:tr>
      <w:tr w:rsidR="0043547B" w:rsidRPr="0043547B" w:rsidTr="00CB5DC0">
        <w:trPr>
          <w:trHeight w:val="845"/>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exigences relatives aux produits manufacturés en mousse de polyéthylène souple, utilisés pour l’isolation thermique de l’équipement du bâtiment et des installations industrielles, dont la température de service est approximativement comprise entre – 80 °C et + 150 °C.</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produits sont manufacturés sous la forme de tubes, de profilés, de feuilles, de rouleaux et de rubans, avec ou sans enduit de finition et/ou envers autocollant et/ou différents systèmes de fermeture.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décrit les caractéristiques des produits et comporte des modes opératoires d’essai, d’évaluation de conformité, de marquage et d’étiquetage.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produits couverts par La norme sont également utilisés dans les systèmes d’isolation thermique préfabriqués et les panneaux composites ; les performances des systèmes incorporant ces produits ne sont pas traitées.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ne spécifie pas le niveau requis pour une propriété donnée que doit posséder un produit pour démontrer son aptitude à une application particulière. Les niveaux requis pour une application donnée peuvent être trouvés dans les réglementations et les appels d’offre.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produits dont la conductivité thermique déclarée est supérieure à 0,050 W/(m·K) à 10 °C ne sont pas couverts par la norme.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ne couvre pas les produits destinés à être utilisés pour l’isolation de la structure des bâtiments.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partie normative de La norme ne traite pas de la contrainte en compression.</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14063-1</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14063-1</w:t>
            </w:r>
          </w:p>
        </w:tc>
      </w:tr>
      <w:tr w:rsidR="0043547B" w:rsidRPr="0043547B" w:rsidTr="00CB5DC0">
        <w:trPr>
          <w:trHeight w:val="6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Produits isolants thermiques pour le bâtiment - Isolation thermique formée en place à base de granulats légers d'argile expansée - Partie 1 : Spécification des produits en vrac avant la mise en place ;   </w:t>
            </w:r>
          </w:p>
        </w:tc>
      </w:tr>
      <w:tr w:rsidR="0043547B" w:rsidRPr="0043547B" w:rsidTr="00CB5DC0">
        <w:trPr>
          <w:trHeight w:val="333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 présent document spécifie les exigences concernant les produits en vrac de granulats légers d’argile expansée destinés à être installés dans les toitures, plafonds et planchers y compris sur terre-plein.</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 présent document est une spécification pour les produits d’isolation avant installation.</w:t>
            </w:r>
            <w:r w:rsidRPr="0043547B">
              <w:rPr>
                <w:rFonts w:eastAsia="Times New Roman" w:cstheme="minorHAnsi"/>
                <w:sz w:val="24"/>
                <w:szCs w:val="24"/>
                <w:lang w:eastAsia="fr-FR"/>
              </w:rPr>
              <w:br/>
              <w:t>Le présent document décrit également les caractéristiques du produit et comprend les procédures pour l’essai, le marquage et l’étiquetage.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 présent document ne spécifie pas le niveau requis d’une propriété donnée devant être atteint par un produit pour en démontrer l’aptitude à la fonction dans une application particulière. Les niveaux requis pour une application particulière sont à trouver dans les réglementations ou dans des normes non contradictoires.</w:t>
            </w:r>
            <w:r w:rsidRPr="0043547B">
              <w:rPr>
                <w:rFonts w:eastAsia="Times New Roman" w:cstheme="minorHAnsi"/>
                <w:sz w:val="24"/>
                <w:szCs w:val="24"/>
                <w:lang w:eastAsia="fr-FR"/>
              </w:rPr>
              <w:br/>
              <w:t>Le présent document ne spécifie pas d’exigences de performance pour les applications d’isolement aux bruits aériens et d’absorption acoustique.</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14064-1</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14064-1</w:t>
            </w:r>
          </w:p>
        </w:tc>
      </w:tr>
      <w:tr w:rsidR="0043547B" w:rsidRPr="0043547B" w:rsidTr="00CB5DC0">
        <w:trPr>
          <w:trHeight w:val="6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Produits isolants thermiques pour le bâtiment - Isolation thermique formée sur chantier à base de laine minérale (MW) - Partie 1 : Spécification des produits en vrac avant l'installation ;  </w:t>
            </w:r>
          </w:p>
        </w:tc>
      </w:tr>
      <w:tr w:rsidR="0043547B" w:rsidRPr="0043547B" w:rsidTr="00CB5DC0">
        <w:trPr>
          <w:trHeight w:val="843"/>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exigences concernant les produits de laine minérale en vrac destinés à être installés par soufflage dans les combles, les murs en maçonnerie à double paroi et les constructions à ossature.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Cette norme est une spécification pour les produits isolants avant installation. Elle décrit les caractéristiques du produit et comprend des modes opératoires d'essai, de marquage et d'étiquetage.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 document ne spécifie pas le niveau requis d'une propriété donnée devant être atteint par un produit pour en démontrer l'aptitude à la fonction dans une application particulière. Les niveaux requis pour une application particulière sont à trouver dans les réglementations ou dans des normes non contradictoires.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 document ne couvre pas les produits isolants en laine minérale (MW) manufacturés ou les produits en place conçus pour être utilisés pour l'isolation de l'équipement et des installations industrielles.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produits dont la résistance thermique déclarée est inférieure à 0,25 m2·K/W dont la conductivité thermique déclarée à 10 °C dépasse 0,060 W/(m·K) ne sont pas couverts par ce document.</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 document ne couvre pas les produits ayant pour fonction l'isolement aux bruits aériens et l'absorption acoustique.</w:t>
            </w:r>
          </w:p>
        </w:tc>
      </w:tr>
      <w:tr w:rsidR="001868EF" w:rsidRPr="0043547B" w:rsidTr="00951E4D">
        <w:trPr>
          <w:trHeight w:val="460"/>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1868EF" w:rsidRPr="00951E4D" w:rsidRDefault="001868EF" w:rsidP="00951E4D">
            <w:pPr>
              <w:spacing w:after="0" w:line="240" w:lineRule="auto"/>
              <w:jc w:val="center"/>
              <w:rPr>
                <w:rFonts w:ascii="Calibri" w:hAnsi="Calibri" w:cs="Calibri"/>
                <w:b/>
                <w:bCs/>
                <w:color w:val="000000"/>
                <w:sz w:val="24"/>
                <w:szCs w:val="24"/>
              </w:rPr>
            </w:pPr>
            <w:r w:rsidRPr="00951E4D">
              <w:rPr>
                <w:rFonts w:ascii="Calibri" w:hAnsi="Calibri" w:cs="Calibri"/>
                <w:b/>
                <w:bCs/>
                <w:color w:val="000000"/>
                <w:sz w:val="24"/>
                <w:szCs w:val="24"/>
              </w:rPr>
              <w:t>Code :</w:t>
            </w:r>
          </w:p>
        </w:tc>
        <w:tc>
          <w:tcPr>
            <w:tcW w:w="7938" w:type="dxa"/>
            <w:tcBorders>
              <w:top w:val="nil"/>
              <w:left w:val="single" w:sz="4" w:space="0" w:color="auto"/>
              <w:bottom w:val="single" w:sz="18" w:space="0" w:color="auto"/>
              <w:right w:val="single" w:sz="18" w:space="0" w:color="auto"/>
            </w:tcBorders>
            <w:shd w:val="clear" w:color="auto" w:fill="C2D69B" w:themeFill="accent3" w:themeFillTint="99"/>
            <w:vAlign w:val="center"/>
          </w:tcPr>
          <w:p w:rsidR="001868EF" w:rsidRPr="00951E4D" w:rsidRDefault="001868EF" w:rsidP="00951E4D">
            <w:pPr>
              <w:spacing w:after="0" w:line="240" w:lineRule="auto"/>
              <w:jc w:val="center"/>
              <w:rPr>
                <w:rFonts w:ascii="Calibri" w:hAnsi="Calibri" w:cs="Calibri"/>
                <w:b/>
                <w:bCs/>
                <w:color w:val="000000"/>
                <w:sz w:val="24"/>
                <w:szCs w:val="24"/>
              </w:rPr>
            </w:pPr>
            <w:r w:rsidRPr="00951E4D">
              <w:rPr>
                <w:rFonts w:ascii="Calibri" w:hAnsi="Calibri" w:cs="Calibri"/>
                <w:b/>
                <w:bCs/>
                <w:color w:val="000000"/>
                <w:sz w:val="24"/>
                <w:szCs w:val="24"/>
              </w:rPr>
              <w:t>NM EN 13162</w:t>
            </w:r>
          </w:p>
        </w:tc>
      </w:tr>
      <w:tr w:rsidR="001868EF" w:rsidRPr="0043547B" w:rsidTr="00951E4D">
        <w:trPr>
          <w:trHeight w:val="395"/>
          <w:jc w:val="center"/>
        </w:trPr>
        <w:tc>
          <w:tcPr>
            <w:tcW w:w="1838" w:type="dxa"/>
            <w:tcBorders>
              <w:top w:val="nil"/>
              <w:left w:val="single" w:sz="18" w:space="0" w:color="auto"/>
              <w:bottom w:val="single" w:sz="18" w:space="0" w:color="auto"/>
              <w:right w:val="single" w:sz="4" w:space="0" w:color="auto"/>
            </w:tcBorders>
            <w:shd w:val="clear" w:color="auto" w:fill="FFFF99"/>
            <w:vAlign w:val="center"/>
          </w:tcPr>
          <w:p w:rsidR="001868EF" w:rsidRPr="00951E4D" w:rsidRDefault="001868EF" w:rsidP="00951E4D">
            <w:pPr>
              <w:spacing w:after="0" w:line="240" w:lineRule="auto"/>
              <w:jc w:val="center"/>
              <w:rPr>
                <w:rFonts w:ascii="Calibri" w:hAnsi="Calibri" w:cs="Calibri"/>
                <w:b/>
                <w:bCs/>
                <w:color w:val="000000"/>
                <w:sz w:val="24"/>
                <w:szCs w:val="24"/>
              </w:rPr>
            </w:pPr>
            <w:r w:rsidRPr="00951E4D">
              <w:rPr>
                <w:rFonts w:ascii="Calibri" w:hAnsi="Calibri" w:cs="Calibri"/>
                <w:b/>
                <w:bCs/>
                <w:color w:val="000000"/>
                <w:sz w:val="24"/>
                <w:szCs w:val="24"/>
              </w:rPr>
              <w:t>Equivalence :</w:t>
            </w:r>
          </w:p>
        </w:tc>
        <w:tc>
          <w:tcPr>
            <w:tcW w:w="7938" w:type="dxa"/>
            <w:tcBorders>
              <w:top w:val="nil"/>
              <w:left w:val="single" w:sz="4" w:space="0" w:color="auto"/>
              <w:bottom w:val="single" w:sz="18" w:space="0" w:color="auto"/>
              <w:right w:val="single" w:sz="18" w:space="0" w:color="auto"/>
            </w:tcBorders>
            <w:shd w:val="clear" w:color="auto" w:fill="FFFF99"/>
            <w:vAlign w:val="center"/>
          </w:tcPr>
          <w:p w:rsidR="001868EF" w:rsidRPr="00951E4D" w:rsidRDefault="001868EF" w:rsidP="00951E4D">
            <w:pPr>
              <w:spacing w:after="0" w:line="240" w:lineRule="auto"/>
              <w:jc w:val="center"/>
              <w:rPr>
                <w:rFonts w:ascii="Calibri" w:hAnsi="Calibri" w:cs="Calibri"/>
                <w:b/>
                <w:bCs/>
                <w:color w:val="000000"/>
                <w:sz w:val="24"/>
                <w:szCs w:val="24"/>
              </w:rPr>
            </w:pPr>
            <w:r w:rsidRPr="00951E4D">
              <w:rPr>
                <w:rFonts w:ascii="Calibri" w:hAnsi="Calibri" w:cs="Calibri"/>
                <w:b/>
                <w:bCs/>
                <w:color w:val="000000"/>
                <w:sz w:val="24"/>
                <w:szCs w:val="24"/>
              </w:rPr>
              <w:t>EN 13162</w:t>
            </w:r>
          </w:p>
        </w:tc>
      </w:tr>
      <w:tr w:rsidR="001868EF" w:rsidRPr="0043547B" w:rsidTr="00951E4D">
        <w:trPr>
          <w:trHeight w:val="660"/>
          <w:jc w:val="center"/>
        </w:trPr>
        <w:tc>
          <w:tcPr>
            <w:tcW w:w="1838" w:type="dxa"/>
            <w:tcBorders>
              <w:top w:val="single" w:sz="18" w:space="0" w:color="auto"/>
              <w:left w:val="single" w:sz="18" w:space="0" w:color="auto"/>
              <w:bottom w:val="single" w:sz="4" w:space="0" w:color="auto"/>
              <w:right w:val="single" w:sz="4" w:space="0" w:color="auto"/>
            </w:tcBorders>
            <w:shd w:val="clear" w:color="auto" w:fill="95B3D7" w:themeFill="accent1" w:themeFillTint="99"/>
            <w:vAlign w:val="center"/>
          </w:tcPr>
          <w:p w:rsidR="001868EF" w:rsidRPr="00951E4D" w:rsidRDefault="001868EF" w:rsidP="00951E4D">
            <w:pPr>
              <w:spacing w:after="0" w:line="240" w:lineRule="auto"/>
              <w:jc w:val="center"/>
              <w:rPr>
                <w:rFonts w:ascii="Calibri" w:hAnsi="Calibri" w:cs="Calibri"/>
                <w:b/>
                <w:bCs/>
                <w:color w:val="000000"/>
                <w:sz w:val="24"/>
                <w:szCs w:val="24"/>
              </w:rPr>
            </w:pPr>
            <w:r w:rsidRPr="00951E4D">
              <w:rPr>
                <w:rFonts w:ascii="Calibri" w:hAnsi="Calibri" w:cs="Calibri"/>
                <w:b/>
                <w:bCs/>
                <w:color w:val="000000"/>
                <w:sz w:val="24"/>
                <w:szCs w:val="24"/>
              </w:rPr>
              <w:t>Intit</w:t>
            </w:r>
            <w:r w:rsidRPr="00951E4D">
              <w:rPr>
                <w:rFonts w:ascii="Calibri" w:hAnsi="Calibri" w:cs="Calibri"/>
                <w:b/>
                <w:bCs/>
                <w:color w:val="000000"/>
                <w:sz w:val="24"/>
                <w:szCs w:val="24"/>
                <w:shd w:val="clear" w:color="auto" w:fill="95B3D7" w:themeFill="accent1" w:themeFillTint="99"/>
              </w:rPr>
              <w:t>u</w:t>
            </w:r>
            <w:r w:rsidRPr="00951E4D">
              <w:rPr>
                <w:rFonts w:ascii="Calibri" w:hAnsi="Calibri" w:cs="Calibri"/>
                <w:b/>
                <w:bCs/>
                <w:color w:val="000000"/>
                <w:sz w:val="24"/>
                <w:szCs w:val="24"/>
              </w:rPr>
              <w:t>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tcPr>
          <w:p w:rsidR="001868EF" w:rsidRPr="00951E4D" w:rsidRDefault="001868EF" w:rsidP="00951E4D">
            <w:pPr>
              <w:spacing w:after="0" w:line="240" w:lineRule="auto"/>
              <w:rPr>
                <w:rFonts w:ascii="Calibri" w:hAnsi="Calibri" w:cs="Calibri"/>
                <w:color w:val="000000"/>
                <w:sz w:val="24"/>
                <w:szCs w:val="24"/>
              </w:rPr>
            </w:pPr>
            <w:r w:rsidRPr="00951E4D">
              <w:rPr>
                <w:rFonts w:ascii="Calibri" w:hAnsi="Calibri" w:cs="Calibri"/>
                <w:color w:val="000000"/>
                <w:sz w:val="24"/>
                <w:szCs w:val="24"/>
              </w:rPr>
              <w:t xml:space="preserve">Produits isolants thermiques pour le bâtiment - Produits manufacturés en laine minérale (MW) - Spécification </w:t>
            </w:r>
          </w:p>
        </w:tc>
      </w:tr>
      <w:tr w:rsidR="001868EF" w:rsidRPr="0043547B" w:rsidTr="00951E4D">
        <w:trPr>
          <w:trHeight w:val="843"/>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1868EF" w:rsidRPr="00951E4D" w:rsidRDefault="001868EF" w:rsidP="00951E4D">
            <w:pPr>
              <w:spacing w:after="0" w:line="240" w:lineRule="auto"/>
              <w:jc w:val="center"/>
              <w:rPr>
                <w:rFonts w:ascii="Calibri" w:hAnsi="Calibri" w:cs="Calibri"/>
                <w:b/>
                <w:bCs/>
                <w:sz w:val="24"/>
                <w:szCs w:val="24"/>
              </w:rPr>
            </w:pPr>
            <w:r w:rsidRPr="00951E4D">
              <w:rPr>
                <w:rFonts w:ascii="Calibri" w:hAnsi="Calibri" w:cs="Calibr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tcPr>
          <w:p w:rsidR="00951E4D" w:rsidRDefault="001868EF" w:rsidP="00951E4D">
            <w:pPr>
              <w:spacing w:after="0" w:line="240" w:lineRule="auto"/>
              <w:jc w:val="both"/>
              <w:rPr>
                <w:rFonts w:ascii="Calibri" w:hAnsi="Calibri" w:cs="Calibri"/>
                <w:color w:val="000000"/>
                <w:sz w:val="24"/>
                <w:szCs w:val="24"/>
              </w:rPr>
            </w:pPr>
            <w:r w:rsidRPr="00951E4D">
              <w:rPr>
                <w:rFonts w:ascii="Calibri" w:hAnsi="Calibri" w:cs="Calibri"/>
                <w:color w:val="000000"/>
                <w:sz w:val="24"/>
                <w:szCs w:val="24"/>
              </w:rPr>
              <w:t xml:space="preserve">La présente </w:t>
            </w:r>
            <w:r w:rsidR="00951E4D" w:rsidRPr="00951E4D">
              <w:rPr>
                <w:rFonts w:ascii="Calibri" w:hAnsi="Calibri" w:cs="Calibri"/>
                <w:color w:val="000000"/>
                <w:sz w:val="24"/>
                <w:szCs w:val="24"/>
              </w:rPr>
              <w:t xml:space="preserve">Norme </w:t>
            </w:r>
            <w:r w:rsidR="00951E4D">
              <w:rPr>
                <w:rFonts w:ascii="Calibri" w:hAnsi="Calibri" w:cs="Calibri"/>
                <w:color w:val="000000"/>
                <w:sz w:val="24"/>
                <w:szCs w:val="24"/>
              </w:rPr>
              <w:t>spécifie</w:t>
            </w:r>
            <w:r w:rsidRPr="00951E4D">
              <w:rPr>
                <w:rFonts w:ascii="Calibri" w:hAnsi="Calibri" w:cs="Calibri"/>
                <w:color w:val="000000"/>
                <w:sz w:val="24"/>
                <w:szCs w:val="24"/>
              </w:rPr>
              <w:t xml:space="preserve"> les exigences auxquelles doivent satisfaire les produits manufacturés en</w:t>
            </w:r>
            <w:r w:rsidR="00951E4D">
              <w:rPr>
                <w:rFonts w:ascii="Calibri" w:hAnsi="Calibri" w:cs="Calibri"/>
                <w:color w:val="000000"/>
                <w:sz w:val="24"/>
                <w:szCs w:val="24"/>
              </w:rPr>
              <w:t xml:space="preserve"> </w:t>
            </w:r>
            <w:r w:rsidRPr="00951E4D">
              <w:rPr>
                <w:rFonts w:ascii="Calibri" w:hAnsi="Calibri" w:cs="Calibri"/>
                <w:color w:val="000000"/>
                <w:sz w:val="24"/>
                <w:szCs w:val="24"/>
              </w:rPr>
              <w:t>laine minérale, avec ou sans parements ou enduits de finition, utilisés pour l'isolation thermique des bâtiments.</w:t>
            </w:r>
          </w:p>
          <w:p w:rsidR="00951E4D" w:rsidRDefault="001868EF" w:rsidP="00951E4D">
            <w:pPr>
              <w:spacing w:after="0" w:line="240" w:lineRule="auto"/>
              <w:jc w:val="both"/>
              <w:rPr>
                <w:rFonts w:ascii="Calibri" w:hAnsi="Calibri" w:cs="Calibri"/>
                <w:color w:val="000000"/>
                <w:sz w:val="24"/>
                <w:szCs w:val="24"/>
              </w:rPr>
            </w:pPr>
            <w:r w:rsidRPr="00951E4D">
              <w:rPr>
                <w:rFonts w:ascii="Calibri" w:hAnsi="Calibri" w:cs="Calibri"/>
                <w:color w:val="000000"/>
                <w:sz w:val="24"/>
                <w:szCs w:val="24"/>
              </w:rPr>
              <w:t>Les produits sont fabriqués sous forme de feutres, panneaux ou plaques.</w:t>
            </w:r>
          </w:p>
          <w:p w:rsidR="00951E4D" w:rsidRDefault="001868EF" w:rsidP="00951E4D">
            <w:pPr>
              <w:spacing w:after="0" w:line="240" w:lineRule="auto"/>
              <w:jc w:val="both"/>
              <w:rPr>
                <w:rFonts w:ascii="Calibri" w:hAnsi="Calibri" w:cs="Calibri"/>
                <w:color w:val="000000"/>
                <w:sz w:val="24"/>
                <w:szCs w:val="24"/>
              </w:rPr>
            </w:pPr>
            <w:r w:rsidRPr="00951E4D">
              <w:rPr>
                <w:rFonts w:ascii="Calibri" w:hAnsi="Calibri" w:cs="Calibri"/>
                <w:color w:val="000000"/>
                <w:sz w:val="24"/>
                <w:szCs w:val="24"/>
              </w:rPr>
              <w:t>Les produits couverts par la présente norme sont également utilisés dans des systèmes d'isolation thermique et</w:t>
            </w:r>
            <w:r w:rsidR="00951E4D">
              <w:rPr>
                <w:rFonts w:ascii="Calibri" w:hAnsi="Calibri" w:cs="Calibri"/>
                <w:color w:val="000000"/>
                <w:sz w:val="24"/>
                <w:szCs w:val="24"/>
              </w:rPr>
              <w:t xml:space="preserve"> </w:t>
            </w:r>
            <w:r w:rsidRPr="00951E4D">
              <w:rPr>
                <w:rFonts w:ascii="Calibri" w:hAnsi="Calibri" w:cs="Calibri"/>
                <w:color w:val="000000"/>
                <w:sz w:val="24"/>
                <w:szCs w:val="24"/>
              </w:rPr>
              <w:t>dans des panneaux composites préfabriqués ;</w:t>
            </w:r>
          </w:p>
          <w:p w:rsidR="00951E4D" w:rsidRDefault="001868EF" w:rsidP="00951E4D">
            <w:pPr>
              <w:spacing w:after="0" w:line="240" w:lineRule="auto"/>
              <w:jc w:val="both"/>
              <w:rPr>
                <w:rFonts w:ascii="Calibri" w:hAnsi="Calibri" w:cs="Calibri"/>
                <w:color w:val="000000"/>
                <w:sz w:val="24"/>
                <w:szCs w:val="24"/>
              </w:rPr>
            </w:pPr>
            <w:r w:rsidRPr="00951E4D">
              <w:rPr>
                <w:rFonts w:ascii="Calibri" w:hAnsi="Calibri" w:cs="Calibri"/>
                <w:color w:val="000000"/>
                <w:sz w:val="24"/>
                <w:szCs w:val="24"/>
              </w:rPr>
              <w:lastRenderedPageBreak/>
              <w:t>les performances des systèmes incorporant ces produits ne sont</w:t>
            </w:r>
            <w:r w:rsidR="00951E4D">
              <w:rPr>
                <w:rFonts w:ascii="Calibri" w:hAnsi="Calibri" w:cs="Calibri"/>
                <w:color w:val="000000"/>
                <w:sz w:val="24"/>
                <w:szCs w:val="24"/>
              </w:rPr>
              <w:t xml:space="preserve"> </w:t>
            </w:r>
            <w:r w:rsidRPr="00951E4D">
              <w:rPr>
                <w:rFonts w:ascii="Calibri" w:hAnsi="Calibri" w:cs="Calibri"/>
                <w:color w:val="000000"/>
                <w:sz w:val="24"/>
                <w:szCs w:val="24"/>
              </w:rPr>
              <w:t>pas définies.</w:t>
            </w:r>
          </w:p>
          <w:p w:rsidR="00951E4D" w:rsidRDefault="001868EF" w:rsidP="00951E4D">
            <w:pPr>
              <w:spacing w:after="0" w:line="240" w:lineRule="auto"/>
              <w:jc w:val="both"/>
              <w:rPr>
                <w:rFonts w:ascii="Calibri" w:hAnsi="Calibri" w:cs="Calibri"/>
                <w:color w:val="000000"/>
                <w:sz w:val="24"/>
                <w:szCs w:val="24"/>
              </w:rPr>
            </w:pPr>
            <w:r w:rsidRPr="00951E4D">
              <w:rPr>
                <w:rFonts w:ascii="Calibri" w:hAnsi="Calibri" w:cs="Calibri"/>
                <w:color w:val="000000"/>
                <w:sz w:val="24"/>
                <w:szCs w:val="24"/>
              </w:rPr>
              <w:t>La présente norme décrit les caractéristiques des produits et contient des modes opératoires d'essai, d'évaluation</w:t>
            </w:r>
            <w:r w:rsidR="00951E4D">
              <w:rPr>
                <w:rFonts w:ascii="Calibri" w:hAnsi="Calibri" w:cs="Calibri"/>
                <w:color w:val="000000"/>
                <w:sz w:val="24"/>
                <w:szCs w:val="24"/>
              </w:rPr>
              <w:t xml:space="preserve"> </w:t>
            </w:r>
            <w:r w:rsidRPr="00951E4D">
              <w:rPr>
                <w:rFonts w:ascii="Calibri" w:hAnsi="Calibri" w:cs="Calibri"/>
                <w:color w:val="000000"/>
                <w:sz w:val="24"/>
                <w:szCs w:val="24"/>
              </w:rPr>
              <w:t>de la conformité, de marquage et d'étiquetage.</w:t>
            </w:r>
            <w:r w:rsidRPr="00951E4D">
              <w:rPr>
                <w:rFonts w:ascii="Calibri" w:hAnsi="Calibri" w:cs="Calibri"/>
                <w:color w:val="000000"/>
                <w:sz w:val="24"/>
                <w:szCs w:val="24"/>
              </w:rPr>
              <w:br/>
              <w:t>La présente norme ne spécifie pas, pour une propriété donnée, le niveau exigé que doit atteindre un produit pour</w:t>
            </w:r>
            <w:r w:rsidR="00951E4D">
              <w:rPr>
                <w:rFonts w:ascii="Calibri" w:hAnsi="Calibri" w:cs="Calibri"/>
                <w:color w:val="000000"/>
                <w:sz w:val="24"/>
                <w:szCs w:val="24"/>
              </w:rPr>
              <w:t xml:space="preserve"> </w:t>
            </w:r>
            <w:r w:rsidRPr="00951E4D">
              <w:rPr>
                <w:rFonts w:ascii="Calibri" w:hAnsi="Calibri" w:cs="Calibri"/>
                <w:color w:val="000000"/>
                <w:sz w:val="24"/>
                <w:szCs w:val="24"/>
              </w:rPr>
              <w:t>démontrer son aptitude à l'emploi dans une application particulière. Les niveaux requis pour une application donnée</w:t>
            </w:r>
            <w:r w:rsidRPr="00951E4D">
              <w:rPr>
                <w:rFonts w:ascii="Calibri" w:hAnsi="Calibri" w:cs="Calibri"/>
                <w:color w:val="000000"/>
                <w:sz w:val="24"/>
                <w:szCs w:val="24"/>
              </w:rPr>
              <w:br/>
              <w:t>figurent dans les réglementations ou les normes non conflictuelles.</w:t>
            </w:r>
          </w:p>
          <w:p w:rsidR="00951E4D" w:rsidRDefault="001868EF" w:rsidP="00951E4D">
            <w:pPr>
              <w:spacing w:after="0" w:line="240" w:lineRule="auto"/>
              <w:jc w:val="both"/>
              <w:rPr>
                <w:rFonts w:ascii="Calibri" w:hAnsi="Calibri" w:cs="Calibri"/>
                <w:color w:val="000000"/>
                <w:sz w:val="24"/>
                <w:szCs w:val="24"/>
              </w:rPr>
            </w:pPr>
            <w:r w:rsidRPr="00951E4D">
              <w:rPr>
                <w:rFonts w:ascii="Calibri" w:hAnsi="Calibri" w:cs="Calibri"/>
                <w:color w:val="000000"/>
                <w:sz w:val="24"/>
                <w:szCs w:val="24"/>
              </w:rPr>
              <w:t>Les produits dont la résistance thermique déclarée à une température de 10 °C est inférieure à 0,25 m2·K/W ou dont</w:t>
            </w:r>
            <w:r w:rsidR="00951E4D">
              <w:rPr>
                <w:rFonts w:ascii="Calibri" w:hAnsi="Calibri" w:cs="Calibri"/>
                <w:color w:val="000000"/>
                <w:sz w:val="24"/>
                <w:szCs w:val="24"/>
              </w:rPr>
              <w:t xml:space="preserve"> </w:t>
            </w:r>
            <w:r w:rsidRPr="00951E4D">
              <w:rPr>
                <w:rFonts w:ascii="Calibri" w:hAnsi="Calibri" w:cs="Calibri"/>
                <w:color w:val="000000"/>
                <w:sz w:val="24"/>
                <w:szCs w:val="24"/>
              </w:rPr>
              <w:t>la conductivité thermique déclarée à une température de 10 °C est supérieure à 0,060 W/(m ´ K) ne relèvent pas du</w:t>
            </w:r>
            <w:r w:rsidRPr="00951E4D">
              <w:rPr>
                <w:rFonts w:ascii="Calibri" w:hAnsi="Calibri" w:cs="Calibri"/>
                <w:color w:val="000000"/>
                <w:sz w:val="24"/>
                <w:szCs w:val="24"/>
              </w:rPr>
              <w:br/>
              <w:t>domaine d'application de la présente norme.</w:t>
            </w:r>
          </w:p>
          <w:p w:rsidR="001868EF" w:rsidRPr="00951E4D" w:rsidRDefault="001868EF" w:rsidP="00951E4D">
            <w:pPr>
              <w:spacing w:after="0" w:line="240" w:lineRule="auto"/>
              <w:jc w:val="both"/>
              <w:rPr>
                <w:rFonts w:ascii="Calibri" w:hAnsi="Calibri" w:cs="Calibri"/>
                <w:color w:val="000000"/>
                <w:sz w:val="24"/>
                <w:szCs w:val="24"/>
              </w:rPr>
            </w:pPr>
            <w:r w:rsidRPr="00951E4D">
              <w:rPr>
                <w:rFonts w:ascii="Calibri" w:hAnsi="Calibri" w:cs="Calibri"/>
                <w:color w:val="000000"/>
                <w:sz w:val="24"/>
                <w:szCs w:val="24"/>
              </w:rPr>
              <w:t xml:space="preserve">Les produits isolants mis en </w:t>
            </w:r>
            <w:r w:rsidR="00951E4D" w:rsidRPr="00951E4D">
              <w:rPr>
                <w:rFonts w:ascii="Calibri" w:hAnsi="Calibri" w:cs="Calibri"/>
                <w:color w:val="000000"/>
                <w:sz w:val="24"/>
                <w:szCs w:val="24"/>
              </w:rPr>
              <w:t>œuvre</w:t>
            </w:r>
            <w:r w:rsidRPr="00951E4D">
              <w:rPr>
                <w:rFonts w:ascii="Calibri" w:hAnsi="Calibri" w:cs="Calibri"/>
                <w:color w:val="000000"/>
                <w:sz w:val="24"/>
                <w:szCs w:val="24"/>
              </w:rPr>
              <w:t xml:space="preserve"> in situ (couverts par les parties 1 et 2 de l’EN 14604) et les produits destinés à être</w:t>
            </w:r>
            <w:r w:rsidR="00951E4D">
              <w:rPr>
                <w:rFonts w:ascii="Calibri" w:hAnsi="Calibri" w:cs="Calibri"/>
                <w:color w:val="000000"/>
                <w:sz w:val="24"/>
                <w:szCs w:val="24"/>
              </w:rPr>
              <w:t xml:space="preserve"> </w:t>
            </w:r>
            <w:r w:rsidRPr="00951E4D">
              <w:rPr>
                <w:rFonts w:ascii="Calibri" w:hAnsi="Calibri" w:cs="Calibri"/>
                <w:color w:val="000000"/>
                <w:sz w:val="24"/>
                <w:szCs w:val="24"/>
              </w:rPr>
              <w:t>utilisés pour l'isolation des équipements du bâtiment et des installations industrielles (couverts par l’EN 14303)</w:t>
            </w:r>
            <w:r w:rsidR="00951E4D">
              <w:rPr>
                <w:rFonts w:ascii="Calibri" w:hAnsi="Calibri" w:cs="Calibri"/>
                <w:color w:val="000000"/>
                <w:sz w:val="24"/>
                <w:szCs w:val="24"/>
              </w:rPr>
              <w:t xml:space="preserve"> </w:t>
            </w:r>
            <w:r w:rsidRPr="00951E4D">
              <w:rPr>
                <w:rFonts w:ascii="Calibri" w:hAnsi="Calibri" w:cs="Calibri"/>
                <w:color w:val="000000"/>
                <w:sz w:val="24"/>
                <w:szCs w:val="24"/>
              </w:rPr>
              <w:t>ne relèvent pas du domaine d'application de la présente norme.</w:t>
            </w:r>
          </w:p>
        </w:tc>
      </w:tr>
      <w:tr w:rsidR="001868EF" w:rsidRPr="0043547B" w:rsidTr="00951E4D">
        <w:trPr>
          <w:trHeight w:val="457"/>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1868EF" w:rsidRPr="00951E4D" w:rsidRDefault="001868EF" w:rsidP="00951E4D">
            <w:pPr>
              <w:spacing w:after="0" w:line="240" w:lineRule="auto"/>
              <w:jc w:val="center"/>
              <w:rPr>
                <w:rFonts w:ascii="Calibri" w:hAnsi="Calibri" w:cs="Calibri"/>
                <w:b/>
                <w:bCs/>
                <w:color w:val="000000"/>
                <w:sz w:val="24"/>
                <w:szCs w:val="24"/>
              </w:rPr>
            </w:pPr>
            <w:r w:rsidRPr="00951E4D">
              <w:rPr>
                <w:rFonts w:ascii="Calibri" w:hAnsi="Calibri" w:cs="Calibri"/>
                <w:b/>
                <w:bCs/>
                <w:color w:val="000000"/>
                <w:sz w:val="24"/>
                <w:szCs w:val="24"/>
              </w:rPr>
              <w:lastRenderedPageBreak/>
              <w:t>Code</w:t>
            </w:r>
            <w:r w:rsidR="00951E4D">
              <w:rPr>
                <w:rFonts w:ascii="Calibri" w:hAnsi="Calibri" w:cs="Calibri"/>
                <w:b/>
                <w:bCs/>
                <w:color w:val="000000"/>
                <w:sz w:val="24"/>
                <w:szCs w:val="24"/>
              </w:rPr>
              <w:t xml:space="preserve"> </w:t>
            </w:r>
            <w:r w:rsidRPr="00951E4D">
              <w:rPr>
                <w:rFonts w:ascii="Calibri" w:hAnsi="Calibri" w:cs="Calibri"/>
                <w:b/>
                <w:bCs/>
                <w:color w:val="000000"/>
                <w:sz w:val="24"/>
                <w:szCs w:val="24"/>
              </w:rPr>
              <w:t>:</w:t>
            </w:r>
          </w:p>
        </w:tc>
        <w:tc>
          <w:tcPr>
            <w:tcW w:w="7938" w:type="dxa"/>
            <w:tcBorders>
              <w:top w:val="nil"/>
              <w:left w:val="single" w:sz="4" w:space="0" w:color="auto"/>
              <w:bottom w:val="single" w:sz="18" w:space="0" w:color="auto"/>
              <w:right w:val="single" w:sz="18" w:space="0" w:color="auto"/>
            </w:tcBorders>
            <w:shd w:val="clear" w:color="auto" w:fill="C2D69B" w:themeFill="accent3" w:themeFillTint="99"/>
            <w:vAlign w:val="center"/>
          </w:tcPr>
          <w:p w:rsidR="001868EF" w:rsidRPr="00951E4D" w:rsidRDefault="001868EF" w:rsidP="00951E4D">
            <w:pPr>
              <w:spacing w:after="0" w:line="240" w:lineRule="auto"/>
              <w:jc w:val="center"/>
              <w:rPr>
                <w:rFonts w:ascii="Calibri" w:hAnsi="Calibri" w:cs="Calibri"/>
                <w:b/>
                <w:bCs/>
                <w:color w:val="000000"/>
                <w:sz w:val="24"/>
                <w:szCs w:val="24"/>
              </w:rPr>
            </w:pPr>
            <w:r w:rsidRPr="00951E4D">
              <w:rPr>
                <w:rFonts w:ascii="Calibri" w:hAnsi="Calibri" w:cs="Calibri"/>
                <w:b/>
                <w:bCs/>
                <w:color w:val="000000"/>
                <w:sz w:val="24"/>
                <w:szCs w:val="24"/>
              </w:rPr>
              <w:t>NM EN 14496</w:t>
            </w:r>
          </w:p>
        </w:tc>
      </w:tr>
      <w:tr w:rsidR="001868EF" w:rsidRPr="0043547B" w:rsidTr="00951E4D">
        <w:trPr>
          <w:trHeight w:val="521"/>
          <w:jc w:val="center"/>
        </w:trPr>
        <w:tc>
          <w:tcPr>
            <w:tcW w:w="1838" w:type="dxa"/>
            <w:tcBorders>
              <w:top w:val="nil"/>
              <w:left w:val="single" w:sz="18" w:space="0" w:color="auto"/>
              <w:bottom w:val="single" w:sz="18" w:space="0" w:color="auto"/>
              <w:right w:val="single" w:sz="4" w:space="0" w:color="auto"/>
            </w:tcBorders>
            <w:shd w:val="clear" w:color="auto" w:fill="FFFF99"/>
            <w:vAlign w:val="center"/>
          </w:tcPr>
          <w:p w:rsidR="001868EF" w:rsidRPr="00951E4D" w:rsidRDefault="001868EF" w:rsidP="00951E4D">
            <w:pPr>
              <w:spacing w:after="0" w:line="240" w:lineRule="auto"/>
              <w:jc w:val="center"/>
              <w:rPr>
                <w:rFonts w:ascii="Calibri" w:hAnsi="Calibri" w:cs="Calibri"/>
                <w:b/>
                <w:bCs/>
                <w:color w:val="000000"/>
                <w:sz w:val="24"/>
                <w:szCs w:val="24"/>
              </w:rPr>
            </w:pPr>
            <w:r w:rsidRPr="00951E4D">
              <w:rPr>
                <w:rFonts w:ascii="Calibri" w:hAnsi="Calibri" w:cs="Calibri"/>
                <w:b/>
                <w:bCs/>
                <w:color w:val="000000"/>
                <w:sz w:val="24"/>
                <w:szCs w:val="24"/>
              </w:rPr>
              <w:t>Equivalence :</w:t>
            </w:r>
          </w:p>
        </w:tc>
        <w:tc>
          <w:tcPr>
            <w:tcW w:w="7938" w:type="dxa"/>
            <w:tcBorders>
              <w:top w:val="nil"/>
              <w:left w:val="single" w:sz="4" w:space="0" w:color="auto"/>
              <w:bottom w:val="single" w:sz="18" w:space="0" w:color="auto"/>
              <w:right w:val="single" w:sz="18" w:space="0" w:color="auto"/>
            </w:tcBorders>
            <w:shd w:val="clear" w:color="auto" w:fill="FFFF99"/>
            <w:vAlign w:val="center"/>
          </w:tcPr>
          <w:p w:rsidR="001868EF" w:rsidRPr="00951E4D" w:rsidRDefault="001868EF" w:rsidP="00951E4D">
            <w:pPr>
              <w:spacing w:after="0" w:line="240" w:lineRule="auto"/>
              <w:jc w:val="center"/>
              <w:rPr>
                <w:rFonts w:ascii="Calibri" w:hAnsi="Calibri" w:cs="Calibri"/>
                <w:b/>
                <w:bCs/>
                <w:color w:val="000000"/>
                <w:sz w:val="24"/>
                <w:szCs w:val="24"/>
              </w:rPr>
            </w:pPr>
            <w:r w:rsidRPr="00951E4D">
              <w:rPr>
                <w:rFonts w:ascii="Calibri" w:hAnsi="Calibri" w:cs="Calibri"/>
                <w:b/>
                <w:bCs/>
                <w:color w:val="000000"/>
                <w:sz w:val="24"/>
                <w:szCs w:val="24"/>
              </w:rPr>
              <w:t>EN 14496</w:t>
            </w:r>
          </w:p>
        </w:tc>
      </w:tr>
      <w:tr w:rsidR="001868EF" w:rsidRPr="0043547B" w:rsidTr="00951E4D">
        <w:trPr>
          <w:trHeight w:val="657"/>
          <w:jc w:val="center"/>
        </w:trPr>
        <w:tc>
          <w:tcPr>
            <w:tcW w:w="1838" w:type="dxa"/>
            <w:tcBorders>
              <w:top w:val="single" w:sz="18" w:space="0" w:color="auto"/>
              <w:left w:val="single" w:sz="18" w:space="0" w:color="auto"/>
              <w:bottom w:val="single" w:sz="4" w:space="0" w:color="auto"/>
              <w:right w:val="single" w:sz="4" w:space="0" w:color="auto"/>
            </w:tcBorders>
            <w:shd w:val="clear" w:color="auto" w:fill="95B3D7" w:themeFill="accent1" w:themeFillTint="99"/>
            <w:vAlign w:val="center"/>
          </w:tcPr>
          <w:p w:rsidR="001868EF" w:rsidRPr="00951E4D" w:rsidRDefault="001868EF" w:rsidP="00951E4D">
            <w:pPr>
              <w:spacing w:after="0" w:line="240" w:lineRule="auto"/>
              <w:jc w:val="center"/>
              <w:rPr>
                <w:rFonts w:ascii="Calibri" w:hAnsi="Calibri" w:cs="Calibri"/>
                <w:b/>
                <w:bCs/>
                <w:color w:val="000000"/>
                <w:sz w:val="24"/>
                <w:szCs w:val="24"/>
              </w:rPr>
            </w:pPr>
            <w:r w:rsidRPr="00951E4D">
              <w:rPr>
                <w:rFonts w:ascii="Calibri" w:hAnsi="Calibri" w:cs="Calibri"/>
                <w:b/>
                <w:bCs/>
                <w:color w:val="000000"/>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tcPr>
          <w:p w:rsidR="001868EF" w:rsidRPr="00951E4D" w:rsidRDefault="001868EF" w:rsidP="00951E4D">
            <w:pPr>
              <w:spacing w:after="0" w:line="240" w:lineRule="auto"/>
              <w:rPr>
                <w:rFonts w:ascii="Calibri" w:hAnsi="Calibri" w:cs="Calibri"/>
                <w:color w:val="000000"/>
                <w:sz w:val="24"/>
                <w:szCs w:val="24"/>
              </w:rPr>
            </w:pPr>
            <w:r w:rsidRPr="00951E4D">
              <w:rPr>
                <w:rFonts w:ascii="Calibri" w:hAnsi="Calibri" w:cs="Calibri"/>
                <w:color w:val="000000"/>
                <w:sz w:val="24"/>
                <w:szCs w:val="24"/>
              </w:rPr>
              <w:t>Adhésifs à base de plâtre pour complexes d'isolation thermique/acoustique en plaques de plâtre et isolant - Définitions, exigences et méthodes d'essai</w:t>
            </w:r>
          </w:p>
        </w:tc>
      </w:tr>
      <w:tr w:rsidR="001868EF" w:rsidRPr="0043547B" w:rsidTr="00951E4D">
        <w:trPr>
          <w:trHeight w:val="843"/>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1868EF" w:rsidRPr="00951E4D" w:rsidRDefault="001868EF" w:rsidP="00951E4D">
            <w:pPr>
              <w:spacing w:after="0" w:line="240" w:lineRule="auto"/>
              <w:jc w:val="center"/>
              <w:rPr>
                <w:rFonts w:ascii="Calibri" w:hAnsi="Calibri" w:cs="Calibri"/>
                <w:b/>
                <w:bCs/>
                <w:color w:val="000000"/>
                <w:sz w:val="24"/>
                <w:szCs w:val="24"/>
              </w:rPr>
            </w:pPr>
            <w:r w:rsidRPr="00951E4D">
              <w:rPr>
                <w:rFonts w:ascii="Calibri" w:hAnsi="Calibri" w:cs="Calibri"/>
                <w:b/>
                <w:bCs/>
                <w:color w:val="000000"/>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tcPr>
          <w:p w:rsidR="00F5536B" w:rsidRDefault="001868EF" w:rsidP="00F5536B">
            <w:pPr>
              <w:spacing w:after="0" w:line="240" w:lineRule="auto"/>
              <w:jc w:val="both"/>
              <w:rPr>
                <w:rFonts w:ascii="Calibri" w:hAnsi="Calibri" w:cs="Calibri"/>
                <w:color w:val="000000"/>
                <w:sz w:val="24"/>
                <w:szCs w:val="24"/>
              </w:rPr>
            </w:pPr>
            <w:r w:rsidRPr="00951E4D">
              <w:rPr>
                <w:rFonts w:ascii="Calibri" w:hAnsi="Calibri" w:cs="Calibri"/>
                <w:color w:val="000000"/>
                <w:sz w:val="24"/>
                <w:szCs w:val="24"/>
              </w:rPr>
              <w:t>La présente Norme européenne définit les caractéristiques et les performances des adhésifs à base de</w:t>
            </w:r>
            <w:r w:rsidR="00951E4D">
              <w:rPr>
                <w:rFonts w:ascii="Calibri" w:hAnsi="Calibri" w:cs="Calibri"/>
                <w:color w:val="000000"/>
                <w:sz w:val="24"/>
                <w:szCs w:val="24"/>
              </w:rPr>
              <w:t xml:space="preserve"> </w:t>
            </w:r>
            <w:r w:rsidRPr="00951E4D">
              <w:rPr>
                <w:rFonts w:ascii="Calibri" w:hAnsi="Calibri" w:cs="Calibri"/>
                <w:color w:val="000000"/>
                <w:sz w:val="24"/>
                <w:szCs w:val="24"/>
              </w:rPr>
              <w:t>plâtre qui sont constitués de plâtres tels que définis par l’EN 13279-1 et d’additifs. Ces adhésifs sont</w:t>
            </w:r>
            <w:r w:rsidR="00951E4D">
              <w:rPr>
                <w:rFonts w:ascii="Calibri" w:hAnsi="Calibri" w:cs="Calibri"/>
                <w:color w:val="000000"/>
                <w:sz w:val="24"/>
                <w:szCs w:val="24"/>
              </w:rPr>
              <w:t xml:space="preserve"> </w:t>
            </w:r>
            <w:r w:rsidRPr="00951E4D">
              <w:rPr>
                <w:rFonts w:ascii="Calibri" w:hAnsi="Calibri" w:cs="Calibri"/>
                <w:color w:val="000000"/>
                <w:sz w:val="24"/>
                <w:szCs w:val="24"/>
              </w:rPr>
              <w:t>destinés au collage sur les murs et sur les cloisons de complexes d’isolation thermique/acoustique en</w:t>
            </w:r>
            <w:r w:rsidR="00951E4D">
              <w:rPr>
                <w:rFonts w:ascii="Calibri" w:hAnsi="Calibri" w:cs="Calibri"/>
                <w:color w:val="000000"/>
                <w:sz w:val="24"/>
                <w:szCs w:val="24"/>
              </w:rPr>
              <w:t xml:space="preserve"> </w:t>
            </w:r>
            <w:r w:rsidRPr="00951E4D">
              <w:rPr>
                <w:rFonts w:ascii="Calibri" w:hAnsi="Calibri" w:cs="Calibri"/>
                <w:color w:val="000000"/>
                <w:sz w:val="24"/>
                <w:szCs w:val="24"/>
              </w:rPr>
              <w:t>plaques de plâtre et isolant selon l’EN 13950, de plaques de plâtre selon l’EN 520, de plaques de plâtre</w:t>
            </w:r>
            <w:r w:rsidR="00951E4D">
              <w:rPr>
                <w:rFonts w:ascii="Calibri" w:hAnsi="Calibri" w:cs="Calibri"/>
                <w:color w:val="000000"/>
                <w:sz w:val="24"/>
                <w:szCs w:val="24"/>
              </w:rPr>
              <w:t xml:space="preserve"> </w:t>
            </w:r>
            <w:r w:rsidRPr="00951E4D">
              <w:rPr>
                <w:rFonts w:ascii="Calibri" w:hAnsi="Calibri" w:cs="Calibri"/>
                <w:color w:val="000000"/>
                <w:sz w:val="24"/>
                <w:szCs w:val="24"/>
              </w:rPr>
              <w:t>armées d’un tissu selon l’EN 15283-1, de plaques de plâtre fibrées selon l’EN 15283-2 et d’autres</w:t>
            </w:r>
            <w:r w:rsidR="00951E4D">
              <w:rPr>
                <w:rFonts w:ascii="Calibri" w:hAnsi="Calibri" w:cs="Calibri"/>
                <w:color w:val="000000"/>
                <w:sz w:val="24"/>
                <w:szCs w:val="24"/>
              </w:rPr>
              <w:t xml:space="preserve"> </w:t>
            </w:r>
            <w:r w:rsidRPr="00951E4D">
              <w:rPr>
                <w:rFonts w:ascii="Calibri" w:hAnsi="Calibri" w:cs="Calibri"/>
                <w:color w:val="000000"/>
                <w:sz w:val="24"/>
                <w:szCs w:val="24"/>
              </w:rPr>
              <w:t>produits appropriés, comme les produits de transformation secondaire de plaques de plâtre selon</w:t>
            </w:r>
            <w:r w:rsidR="00951E4D">
              <w:rPr>
                <w:rFonts w:ascii="Calibri" w:hAnsi="Calibri" w:cs="Calibri"/>
                <w:color w:val="000000"/>
                <w:sz w:val="24"/>
                <w:szCs w:val="24"/>
              </w:rPr>
              <w:t xml:space="preserve"> </w:t>
            </w:r>
            <w:r w:rsidRPr="00951E4D">
              <w:rPr>
                <w:rFonts w:ascii="Calibri" w:hAnsi="Calibri" w:cs="Calibri"/>
                <w:color w:val="000000"/>
                <w:sz w:val="24"/>
                <w:szCs w:val="24"/>
              </w:rPr>
              <w:t>l’EN 14190 et les corniches selon l’EN 14209. Ils participent à la construction de systèmes assurant des</w:t>
            </w:r>
            <w:r w:rsidR="00951E4D">
              <w:rPr>
                <w:rFonts w:ascii="Calibri" w:hAnsi="Calibri" w:cs="Calibri"/>
                <w:color w:val="000000"/>
                <w:sz w:val="24"/>
                <w:szCs w:val="24"/>
              </w:rPr>
              <w:t xml:space="preserve"> </w:t>
            </w:r>
            <w:r w:rsidRPr="00951E4D">
              <w:rPr>
                <w:rFonts w:ascii="Calibri" w:hAnsi="Calibri" w:cs="Calibri"/>
                <w:color w:val="000000"/>
                <w:sz w:val="24"/>
                <w:szCs w:val="24"/>
              </w:rPr>
              <w:t>performances thermiques et acoustiques.</w:t>
            </w:r>
          </w:p>
          <w:p w:rsidR="00F5536B" w:rsidRDefault="001868EF" w:rsidP="00F5536B">
            <w:pPr>
              <w:spacing w:after="0" w:line="240" w:lineRule="auto"/>
              <w:jc w:val="both"/>
              <w:rPr>
                <w:rFonts w:ascii="Calibri" w:hAnsi="Calibri" w:cs="Calibri"/>
                <w:color w:val="000000"/>
                <w:sz w:val="24"/>
                <w:szCs w:val="24"/>
              </w:rPr>
            </w:pPr>
            <w:r w:rsidRPr="00951E4D">
              <w:rPr>
                <w:rFonts w:ascii="Calibri" w:hAnsi="Calibri" w:cs="Calibri"/>
                <w:color w:val="000000"/>
                <w:sz w:val="24"/>
                <w:szCs w:val="24"/>
              </w:rPr>
              <w:t>Elle couvre les caractéristiques de performance suivantes : la réaction au feu, la résistance au feu et</w:t>
            </w:r>
            <w:r w:rsidR="00951E4D">
              <w:rPr>
                <w:rFonts w:ascii="Calibri" w:hAnsi="Calibri" w:cs="Calibri"/>
                <w:color w:val="000000"/>
                <w:sz w:val="24"/>
                <w:szCs w:val="24"/>
              </w:rPr>
              <w:t xml:space="preserve"> </w:t>
            </w:r>
            <w:r w:rsidRPr="00951E4D">
              <w:rPr>
                <w:rFonts w:ascii="Calibri" w:hAnsi="Calibri" w:cs="Calibri"/>
                <w:color w:val="000000"/>
                <w:sz w:val="24"/>
                <w:szCs w:val="24"/>
              </w:rPr>
              <w:t>l’adhérence qui doivent être mesurées selon les méthodes d’essai européennes correspondantes.</w:t>
            </w:r>
          </w:p>
          <w:p w:rsidR="001868EF" w:rsidRPr="00951E4D" w:rsidRDefault="001868EF" w:rsidP="00F5536B">
            <w:pPr>
              <w:spacing w:after="0" w:line="240" w:lineRule="auto"/>
              <w:jc w:val="both"/>
              <w:rPr>
                <w:rFonts w:ascii="Calibri" w:hAnsi="Calibri" w:cs="Calibri"/>
                <w:color w:val="000000"/>
                <w:sz w:val="24"/>
                <w:szCs w:val="24"/>
              </w:rPr>
            </w:pPr>
            <w:r w:rsidRPr="00951E4D">
              <w:rPr>
                <w:rFonts w:ascii="Calibri" w:hAnsi="Calibri" w:cs="Calibri"/>
                <w:color w:val="000000"/>
                <w:sz w:val="24"/>
                <w:szCs w:val="24"/>
              </w:rPr>
              <w:t>Elle spécifie l'évaluation et la vérification de la constance des performances des produits.</w:t>
            </w:r>
            <w:r w:rsidRPr="00951E4D">
              <w:rPr>
                <w:rFonts w:ascii="Calibri" w:hAnsi="Calibri" w:cs="Calibri"/>
                <w:color w:val="000000"/>
                <w:sz w:val="24"/>
                <w:szCs w:val="24"/>
              </w:rPr>
              <w:br/>
              <w:t>La présente Norme traite également des caractéristiques techniques</w:t>
            </w:r>
            <w:r w:rsidR="00F5536B">
              <w:rPr>
                <w:rFonts w:ascii="Calibri" w:hAnsi="Calibri" w:cs="Calibri"/>
                <w:color w:val="000000"/>
                <w:sz w:val="24"/>
                <w:szCs w:val="24"/>
              </w:rPr>
              <w:t xml:space="preserve"> </w:t>
            </w:r>
            <w:r w:rsidRPr="00951E4D">
              <w:rPr>
                <w:rFonts w:ascii="Calibri" w:hAnsi="Calibri" w:cs="Calibri"/>
                <w:color w:val="000000"/>
                <w:sz w:val="24"/>
                <w:szCs w:val="24"/>
              </w:rPr>
              <w:t>supplémentaires qui</w:t>
            </w:r>
            <w:r w:rsidR="00951E4D">
              <w:rPr>
                <w:rFonts w:ascii="Calibri" w:hAnsi="Calibri" w:cs="Calibri"/>
                <w:color w:val="000000"/>
                <w:sz w:val="24"/>
                <w:szCs w:val="24"/>
              </w:rPr>
              <w:t xml:space="preserve"> </w:t>
            </w:r>
            <w:r w:rsidRPr="00951E4D">
              <w:rPr>
                <w:rFonts w:ascii="Calibri" w:hAnsi="Calibri" w:cs="Calibri"/>
                <w:color w:val="000000"/>
                <w:sz w:val="24"/>
                <w:szCs w:val="24"/>
              </w:rPr>
              <w:t>revêtent une importance vis-à-vis de l’utilisation et de la réception du produit par l’industrie du</w:t>
            </w:r>
            <w:r w:rsidR="00951E4D">
              <w:rPr>
                <w:rFonts w:ascii="Calibri" w:hAnsi="Calibri" w:cs="Calibri"/>
                <w:color w:val="000000"/>
                <w:sz w:val="24"/>
                <w:szCs w:val="24"/>
              </w:rPr>
              <w:t xml:space="preserve"> </w:t>
            </w:r>
            <w:r w:rsidRPr="00951E4D">
              <w:rPr>
                <w:rFonts w:ascii="Calibri" w:hAnsi="Calibri" w:cs="Calibri"/>
                <w:color w:val="000000"/>
                <w:sz w:val="24"/>
                <w:szCs w:val="24"/>
              </w:rPr>
              <w:t>bâtiment ainsi que des essais de références pour ces caractéristiques.</w:t>
            </w:r>
          </w:p>
        </w:tc>
      </w:tr>
      <w:tr w:rsidR="001868EF" w:rsidRPr="0043547B" w:rsidTr="00CD59EE">
        <w:trPr>
          <w:trHeight w:val="434"/>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1868EF" w:rsidRPr="00F5536B" w:rsidRDefault="001868EF" w:rsidP="00F5536B">
            <w:pPr>
              <w:spacing w:after="0" w:line="240" w:lineRule="auto"/>
              <w:jc w:val="center"/>
              <w:rPr>
                <w:rFonts w:ascii="Calibri" w:hAnsi="Calibri" w:cs="Calibri"/>
                <w:b/>
                <w:bCs/>
                <w:color w:val="000000"/>
                <w:sz w:val="24"/>
                <w:szCs w:val="24"/>
              </w:rPr>
            </w:pPr>
            <w:r w:rsidRPr="00F5536B">
              <w:rPr>
                <w:rFonts w:ascii="Calibri" w:hAnsi="Calibri" w:cs="Calibri"/>
                <w:b/>
                <w:bCs/>
                <w:color w:val="000000"/>
                <w:sz w:val="24"/>
                <w:szCs w:val="24"/>
              </w:rPr>
              <w:t>Code :</w:t>
            </w:r>
          </w:p>
        </w:tc>
        <w:tc>
          <w:tcPr>
            <w:tcW w:w="7938" w:type="dxa"/>
            <w:tcBorders>
              <w:top w:val="nil"/>
              <w:left w:val="single" w:sz="4" w:space="0" w:color="auto"/>
              <w:bottom w:val="single" w:sz="18" w:space="0" w:color="auto"/>
              <w:right w:val="single" w:sz="18" w:space="0" w:color="auto"/>
            </w:tcBorders>
            <w:shd w:val="clear" w:color="auto" w:fill="C2D69B" w:themeFill="accent3" w:themeFillTint="99"/>
            <w:vAlign w:val="center"/>
          </w:tcPr>
          <w:p w:rsidR="001868EF" w:rsidRPr="00F5536B" w:rsidRDefault="001868EF" w:rsidP="00F5536B">
            <w:pPr>
              <w:spacing w:after="0" w:line="240" w:lineRule="auto"/>
              <w:jc w:val="center"/>
              <w:rPr>
                <w:rFonts w:ascii="Calibri" w:hAnsi="Calibri" w:cs="Calibri"/>
                <w:b/>
                <w:bCs/>
                <w:color w:val="000000"/>
                <w:sz w:val="24"/>
                <w:szCs w:val="24"/>
              </w:rPr>
            </w:pPr>
            <w:r w:rsidRPr="00F5536B">
              <w:rPr>
                <w:rFonts w:ascii="Calibri" w:hAnsi="Calibri" w:cs="Calibri"/>
                <w:b/>
                <w:bCs/>
                <w:color w:val="000000"/>
                <w:sz w:val="24"/>
                <w:szCs w:val="24"/>
              </w:rPr>
              <w:t>NM EN 15501</w:t>
            </w:r>
          </w:p>
        </w:tc>
      </w:tr>
      <w:tr w:rsidR="001868EF" w:rsidRPr="0043547B" w:rsidTr="00CD59EE">
        <w:trPr>
          <w:trHeight w:val="370"/>
          <w:jc w:val="center"/>
        </w:trPr>
        <w:tc>
          <w:tcPr>
            <w:tcW w:w="1838" w:type="dxa"/>
            <w:tcBorders>
              <w:top w:val="nil"/>
              <w:left w:val="single" w:sz="18" w:space="0" w:color="auto"/>
              <w:bottom w:val="single" w:sz="18" w:space="0" w:color="auto"/>
              <w:right w:val="single" w:sz="4" w:space="0" w:color="auto"/>
            </w:tcBorders>
            <w:shd w:val="clear" w:color="auto" w:fill="FFFF99"/>
            <w:vAlign w:val="center"/>
          </w:tcPr>
          <w:p w:rsidR="001868EF" w:rsidRPr="00F5536B" w:rsidRDefault="001868EF" w:rsidP="00F5536B">
            <w:pPr>
              <w:spacing w:after="0" w:line="240" w:lineRule="auto"/>
              <w:jc w:val="center"/>
              <w:rPr>
                <w:rFonts w:ascii="Calibri" w:hAnsi="Calibri" w:cs="Calibri"/>
                <w:b/>
                <w:bCs/>
                <w:color w:val="000000"/>
                <w:sz w:val="24"/>
                <w:szCs w:val="24"/>
              </w:rPr>
            </w:pPr>
            <w:r w:rsidRPr="00F5536B">
              <w:rPr>
                <w:rFonts w:ascii="Calibri" w:hAnsi="Calibri" w:cs="Calibri"/>
                <w:b/>
                <w:bCs/>
                <w:color w:val="000000"/>
                <w:sz w:val="24"/>
                <w:szCs w:val="24"/>
              </w:rPr>
              <w:t>Equivalence :</w:t>
            </w:r>
          </w:p>
        </w:tc>
        <w:tc>
          <w:tcPr>
            <w:tcW w:w="7938" w:type="dxa"/>
            <w:tcBorders>
              <w:top w:val="nil"/>
              <w:left w:val="single" w:sz="4" w:space="0" w:color="auto"/>
              <w:bottom w:val="single" w:sz="18" w:space="0" w:color="auto"/>
              <w:right w:val="single" w:sz="18" w:space="0" w:color="auto"/>
            </w:tcBorders>
            <w:shd w:val="clear" w:color="auto" w:fill="FFFF99"/>
            <w:vAlign w:val="center"/>
          </w:tcPr>
          <w:p w:rsidR="001868EF" w:rsidRPr="00F5536B" w:rsidRDefault="001868EF" w:rsidP="00F5536B">
            <w:pPr>
              <w:spacing w:after="0" w:line="240" w:lineRule="auto"/>
              <w:jc w:val="center"/>
              <w:rPr>
                <w:rFonts w:ascii="Calibri" w:hAnsi="Calibri" w:cs="Calibri"/>
                <w:b/>
                <w:bCs/>
                <w:color w:val="000000"/>
                <w:sz w:val="24"/>
                <w:szCs w:val="24"/>
              </w:rPr>
            </w:pPr>
            <w:r w:rsidRPr="00F5536B">
              <w:rPr>
                <w:rFonts w:ascii="Calibri" w:hAnsi="Calibri" w:cs="Calibri"/>
                <w:b/>
                <w:bCs/>
                <w:color w:val="000000"/>
                <w:sz w:val="24"/>
                <w:szCs w:val="24"/>
              </w:rPr>
              <w:t>EN 15501</w:t>
            </w:r>
          </w:p>
        </w:tc>
      </w:tr>
      <w:tr w:rsidR="001868EF" w:rsidRPr="0043547B" w:rsidTr="00CD59EE">
        <w:trPr>
          <w:trHeight w:val="843"/>
          <w:jc w:val="center"/>
        </w:trPr>
        <w:tc>
          <w:tcPr>
            <w:tcW w:w="1838" w:type="dxa"/>
            <w:tcBorders>
              <w:top w:val="single" w:sz="18" w:space="0" w:color="auto"/>
              <w:left w:val="single" w:sz="18" w:space="0" w:color="auto"/>
              <w:bottom w:val="single" w:sz="4" w:space="0" w:color="auto"/>
              <w:right w:val="single" w:sz="4" w:space="0" w:color="auto"/>
            </w:tcBorders>
            <w:shd w:val="clear" w:color="auto" w:fill="95B3D7" w:themeFill="accent1" w:themeFillTint="99"/>
            <w:vAlign w:val="center"/>
          </w:tcPr>
          <w:p w:rsidR="001868EF" w:rsidRPr="00F5536B" w:rsidRDefault="001868EF" w:rsidP="00F5536B">
            <w:pPr>
              <w:spacing w:after="0" w:line="240" w:lineRule="auto"/>
              <w:jc w:val="center"/>
              <w:rPr>
                <w:rFonts w:ascii="Calibri" w:hAnsi="Calibri" w:cs="Calibri"/>
                <w:b/>
                <w:bCs/>
                <w:color w:val="000000"/>
                <w:sz w:val="24"/>
                <w:szCs w:val="24"/>
              </w:rPr>
            </w:pPr>
            <w:r w:rsidRPr="00F5536B">
              <w:rPr>
                <w:rFonts w:ascii="Calibri" w:hAnsi="Calibri" w:cs="Calibri"/>
                <w:b/>
                <w:bCs/>
                <w:color w:val="000000"/>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tcPr>
          <w:p w:rsidR="001868EF" w:rsidRPr="00F5536B" w:rsidRDefault="001868EF" w:rsidP="00F5536B">
            <w:pPr>
              <w:spacing w:after="0" w:line="240" w:lineRule="auto"/>
              <w:rPr>
                <w:rFonts w:ascii="Calibri" w:hAnsi="Calibri" w:cs="Calibri"/>
                <w:color w:val="000000"/>
                <w:sz w:val="24"/>
                <w:szCs w:val="24"/>
              </w:rPr>
            </w:pPr>
            <w:r w:rsidRPr="00F5536B">
              <w:rPr>
                <w:rFonts w:ascii="Calibri" w:hAnsi="Calibri" w:cs="Calibri"/>
                <w:color w:val="000000"/>
                <w:sz w:val="24"/>
                <w:szCs w:val="24"/>
              </w:rPr>
              <w:t xml:space="preserve">Produits isolants thermiques pour l'équipement du bâtiment et les installations industrielles - Produits manufacturés en perlite expansée (EP) et à base de vermiculite exfoliée (EV) - Spécification </w:t>
            </w:r>
          </w:p>
        </w:tc>
      </w:tr>
      <w:tr w:rsidR="001868EF" w:rsidRPr="0043547B" w:rsidTr="00CD59EE">
        <w:trPr>
          <w:trHeight w:val="843"/>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1868EF" w:rsidRPr="00F5536B" w:rsidRDefault="001868EF" w:rsidP="00F5536B">
            <w:pPr>
              <w:spacing w:after="0" w:line="240" w:lineRule="auto"/>
              <w:jc w:val="center"/>
              <w:rPr>
                <w:rFonts w:ascii="Calibri" w:hAnsi="Calibri" w:cs="Calibri"/>
                <w:b/>
                <w:bCs/>
                <w:color w:val="000000"/>
                <w:sz w:val="24"/>
                <w:szCs w:val="24"/>
              </w:rPr>
            </w:pPr>
            <w:r w:rsidRPr="00F5536B">
              <w:rPr>
                <w:rFonts w:ascii="Calibri" w:hAnsi="Calibri" w:cs="Calibri"/>
                <w:b/>
                <w:bCs/>
                <w:color w:val="000000"/>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center"/>
          </w:tcPr>
          <w:p w:rsidR="00F5536B" w:rsidRDefault="001868EF" w:rsidP="00F5536B">
            <w:pPr>
              <w:spacing w:after="0" w:line="240" w:lineRule="auto"/>
              <w:jc w:val="both"/>
              <w:rPr>
                <w:rFonts w:ascii="Calibri" w:hAnsi="Calibri" w:cs="Calibri"/>
                <w:color w:val="000000"/>
                <w:sz w:val="24"/>
                <w:szCs w:val="24"/>
              </w:rPr>
            </w:pPr>
            <w:r w:rsidRPr="00F5536B">
              <w:rPr>
                <w:rFonts w:ascii="Calibri" w:hAnsi="Calibri" w:cs="Calibri"/>
                <w:color w:val="000000"/>
                <w:sz w:val="24"/>
                <w:szCs w:val="24"/>
              </w:rPr>
              <w:t>La présente Norme spécifie les exigences relatives aux produits manufacturés en perlite</w:t>
            </w:r>
            <w:r w:rsidR="00F5536B">
              <w:rPr>
                <w:rFonts w:ascii="Calibri" w:hAnsi="Calibri" w:cs="Calibri"/>
                <w:color w:val="000000"/>
                <w:sz w:val="24"/>
                <w:szCs w:val="24"/>
              </w:rPr>
              <w:t xml:space="preserve"> </w:t>
            </w:r>
            <w:r w:rsidRPr="00F5536B">
              <w:rPr>
                <w:rFonts w:ascii="Calibri" w:hAnsi="Calibri" w:cs="Calibri"/>
                <w:color w:val="000000"/>
                <w:sz w:val="24"/>
                <w:szCs w:val="24"/>
              </w:rPr>
              <w:t>expansée et en vermiculite exfoliée, utilisés pour l’isolation thermique de l’équipement du bâtiment et</w:t>
            </w:r>
            <w:r w:rsidR="00F5536B">
              <w:rPr>
                <w:rFonts w:ascii="Calibri" w:hAnsi="Calibri" w:cs="Calibri"/>
                <w:color w:val="000000"/>
                <w:sz w:val="24"/>
                <w:szCs w:val="24"/>
              </w:rPr>
              <w:t xml:space="preserve"> </w:t>
            </w:r>
            <w:r w:rsidRPr="00F5536B">
              <w:rPr>
                <w:rFonts w:ascii="Calibri" w:hAnsi="Calibri" w:cs="Calibri"/>
                <w:color w:val="000000"/>
                <w:sz w:val="24"/>
                <w:szCs w:val="24"/>
              </w:rPr>
              <w:t xml:space="preserve">des installations industrielles, dont la température </w:t>
            </w:r>
            <w:r w:rsidRPr="00F5536B">
              <w:rPr>
                <w:rFonts w:ascii="Calibri" w:hAnsi="Calibri" w:cs="Calibri"/>
                <w:color w:val="000000"/>
                <w:sz w:val="24"/>
                <w:szCs w:val="24"/>
              </w:rPr>
              <w:lastRenderedPageBreak/>
              <w:t>de service est approximativement comprise entre</w:t>
            </w:r>
            <w:r w:rsidR="00F5536B">
              <w:rPr>
                <w:rFonts w:ascii="Calibri" w:hAnsi="Calibri" w:cs="Calibri"/>
                <w:color w:val="000000"/>
                <w:sz w:val="24"/>
                <w:szCs w:val="24"/>
              </w:rPr>
              <w:t xml:space="preserve"> </w:t>
            </w:r>
            <w:r w:rsidRPr="00F5536B">
              <w:rPr>
                <w:rFonts w:ascii="Calibri" w:hAnsi="Calibri" w:cs="Calibri"/>
                <w:color w:val="000000"/>
                <w:sz w:val="24"/>
                <w:szCs w:val="24"/>
              </w:rPr>
              <w:t>0 °C et + 1 100 °C.</w:t>
            </w:r>
            <w:r w:rsidRPr="00F5536B">
              <w:rPr>
                <w:rFonts w:ascii="Calibri" w:hAnsi="Calibri" w:cs="Calibri"/>
                <w:color w:val="000000"/>
                <w:sz w:val="24"/>
                <w:szCs w:val="24"/>
              </w:rPr>
              <w:br/>
              <w:t>Les produits en perlite expansée et en vermiculite exfoliée peuvent être utilisés en dessous de 0 °C, mais</w:t>
            </w:r>
            <w:r w:rsidR="00F5536B">
              <w:rPr>
                <w:rFonts w:ascii="Calibri" w:hAnsi="Calibri" w:cs="Calibri"/>
                <w:color w:val="000000"/>
                <w:sz w:val="24"/>
                <w:szCs w:val="24"/>
              </w:rPr>
              <w:t xml:space="preserve"> </w:t>
            </w:r>
            <w:r w:rsidRPr="00F5536B">
              <w:rPr>
                <w:rFonts w:ascii="Calibri" w:hAnsi="Calibri" w:cs="Calibri"/>
                <w:color w:val="000000"/>
                <w:sz w:val="24"/>
                <w:szCs w:val="24"/>
              </w:rPr>
              <w:t>des essais particuliers sont recommandés pour s'assurer de l'aptitude à l'emploi du produit dans</w:t>
            </w:r>
            <w:r w:rsidR="00F5536B">
              <w:rPr>
                <w:rFonts w:ascii="Calibri" w:hAnsi="Calibri" w:cs="Calibri"/>
                <w:color w:val="000000"/>
                <w:sz w:val="24"/>
                <w:szCs w:val="24"/>
              </w:rPr>
              <w:t xml:space="preserve"> </w:t>
            </w:r>
            <w:r w:rsidRPr="00F5536B">
              <w:rPr>
                <w:rFonts w:ascii="Calibri" w:hAnsi="Calibri" w:cs="Calibri"/>
                <w:color w:val="000000"/>
                <w:sz w:val="24"/>
                <w:szCs w:val="24"/>
              </w:rPr>
              <w:t>l'application visée (par exemple, liquéfaction de l'oxygène). Il convient de se référer systématiquement</w:t>
            </w:r>
            <w:r w:rsidRPr="00F5536B">
              <w:rPr>
                <w:rFonts w:ascii="Calibri" w:hAnsi="Calibri" w:cs="Calibri"/>
                <w:color w:val="000000"/>
                <w:sz w:val="24"/>
                <w:szCs w:val="24"/>
              </w:rPr>
              <w:br/>
              <w:t>aux conseils du fabricant.</w:t>
            </w:r>
          </w:p>
          <w:p w:rsidR="00F5536B" w:rsidRDefault="001868EF" w:rsidP="00F5536B">
            <w:pPr>
              <w:spacing w:after="0" w:line="240" w:lineRule="auto"/>
              <w:jc w:val="both"/>
              <w:rPr>
                <w:rFonts w:ascii="Calibri" w:hAnsi="Calibri" w:cs="Calibri"/>
                <w:color w:val="000000"/>
                <w:sz w:val="24"/>
                <w:szCs w:val="24"/>
              </w:rPr>
            </w:pPr>
            <w:r w:rsidRPr="00F5536B">
              <w:rPr>
                <w:rFonts w:ascii="Calibri" w:hAnsi="Calibri" w:cs="Calibri"/>
                <w:color w:val="000000"/>
                <w:sz w:val="24"/>
                <w:szCs w:val="24"/>
              </w:rPr>
              <w:t>Les produits sont manufacturés sous la forme de panneaux, de coquilles, de segments, de pièces</w:t>
            </w:r>
            <w:r w:rsidR="00F5536B">
              <w:rPr>
                <w:rFonts w:ascii="Calibri" w:hAnsi="Calibri" w:cs="Calibri"/>
                <w:color w:val="000000"/>
                <w:sz w:val="24"/>
                <w:szCs w:val="24"/>
              </w:rPr>
              <w:t xml:space="preserve"> </w:t>
            </w:r>
            <w:r w:rsidRPr="00F5536B">
              <w:rPr>
                <w:rFonts w:ascii="Calibri" w:hAnsi="Calibri" w:cs="Calibri"/>
                <w:color w:val="000000"/>
                <w:sz w:val="24"/>
                <w:szCs w:val="24"/>
              </w:rPr>
              <w:t>préfabriquées et spécifiques.</w:t>
            </w:r>
          </w:p>
          <w:p w:rsidR="00F5536B" w:rsidRDefault="001868EF" w:rsidP="00CD59EE">
            <w:pPr>
              <w:spacing w:after="0" w:line="240" w:lineRule="auto"/>
              <w:jc w:val="both"/>
              <w:rPr>
                <w:rFonts w:ascii="Calibri" w:hAnsi="Calibri" w:cs="Calibri"/>
                <w:color w:val="000000"/>
                <w:sz w:val="24"/>
                <w:szCs w:val="24"/>
              </w:rPr>
            </w:pPr>
            <w:r w:rsidRPr="00F5536B">
              <w:rPr>
                <w:rFonts w:ascii="Calibri" w:hAnsi="Calibri" w:cs="Calibri"/>
                <w:color w:val="000000"/>
                <w:sz w:val="24"/>
                <w:szCs w:val="24"/>
              </w:rPr>
              <w:t>La présente Norme décrit les caractéristiques de ces produits et comporte des modes</w:t>
            </w:r>
            <w:r w:rsidR="00F5536B">
              <w:rPr>
                <w:rFonts w:ascii="Calibri" w:hAnsi="Calibri" w:cs="Calibri"/>
                <w:color w:val="000000"/>
                <w:sz w:val="24"/>
                <w:szCs w:val="24"/>
              </w:rPr>
              <w:t xml:space="preserve"> </w:t>
            </w:r>
            <w:r w:rsidRPr="00F5536B">
              <w:rPr>
                <w:rFonts w:ascii="Calibri" w:hAnsi="Calibri" w:cs="Calibri"/>
                <w:color w:val="000000"/>
                <w:sz w:val="24"/>
                <w:szCs w:val="24"/>
              </w:rPr>
              <w:t>opératoires d’essai, d’évaluation de conformité, de marquage et d’étiquetage.</w:t>
            </w:r>
            <w:r w:rsidRPr="00F5536B">
              <w:rPr>
                <w:rFonts w:ascii="Calibri" w:hAnsi="Calibri" w:cs="Calibri"/>
                <w:color w:val="000000"/>
                <w:sz w:val="24"/>
                <w:szCs w:val="24"/>
              </w:rPr>
              <w:br/>
              <w:t xml:space="preserve">Les produits couverts par la présente </w:t>
            </w:r>
            <w:r w:rsidR="00F5536B">
              <w:rPr>
                <w:rFonts w:ascii="Calibri" w:hAnsi="Calibri" w:cs="Calibri"/>
                <w:color w:val="000000"/>
                <w:sz w:val="24"/>
                <w:szCs w:val="24"/>
              </w:rPr>
              <w:t>n</w:t>
            </w:r>
            <w:r w:rsidRPr="00F5536B">
              <w:rPr>
                <w:rFonts w:ascii="Calibri" w:hAnsi="Calibri" w:cs="Calibri"/>
                <w:color w:val="000000"/>
                <w:sz w:val="24"/>
                <w:szCs w:val="24"/>
              </w:rPr>
              <w:t>orme sont également utilisés dans les systèmes</w:t>
            </w:r>
            <w:r w:rsidR="00F5536B">
              <w:rPr>
                <w:rFonts w:ascii="Calibri" w:hAnsi="Calibri" w:cs="Calibri"/>
                <w:color w:val="000000"/>
                <w:sz w:val="24"/>
                <w:szCs w:val="24"/>
              </w:rPr>
              <w:t xml:space="preserve"> </w:t>
            </w:r>
            <w:r w:rsidRPr="00F5536B">
              <w:rPr>
                <w:rFonts w:ascii="Calibri" w:hAnsi="Calibri" w:cs="Calibri"/>
                <w:color w:val="000000"/>
                <w:sz w:val="24"/>
                <w:szCs w:val="24"/>
              </w:rPr>
              <w:t>d’isolation thermique préfabriqués et les panneaux composites ; les performances structurelles des</w:t>
            </w:r>
            <w:r w:rsidR="00F5536B">
              <w:rPr>
                <w:rFonts w:ascii="Calibri" w:hAnsi="Calibri" w:cs="Calibri"/>
                <w:color w:val="000000"/>
                <w:sz w:val="24"/>
                <w:szCs w:val="24"/>
              </w:rPr>
              <w:t xml:space="preserve"> </w:t>
            </w:r>
            <w:r w:rsidRPr="00F5536B">
              <w:rPr>
                <w:rFonts w:ascii="Calibri" w:hAnsi="Calibri" w:cs="Calibri"/>
                <w:color w:val="000000"/>
                <w:sz w:val="24"/>
                <w:szCs w:val="24"/>
              </w:rPr>
              <w:t>systèmes incorporant ces produits ne sont pas traitées.</w:t>
            </w:r>
            <w:r w:rsidRPr="00F5536B">
              <w:rPr>
                <w:rFonts w:ascii="Calibri" w:hAnsi="Calibri" w:cs="Calibri"/>
                <w:color w:val="000000"/>
                <w:sz w:val="24"/>
                <w:szCs w:val="24"/>
              </w:rPr>
              <w:br/>
              <w:t>La présente Norme ne spécifie pas le niveau requis pour une propriété donnée d'un produit</w:t>
            </w:r>
            <w:r w:rsidR="00F5536B">
              <w:rPr>
                <w:rFonts w:ascii="Calibri" w:hAnsi="Calibri" w:cs="Calibri"/>
                <w:color w:val="000000"/>
                <w:sz w:val="24"/>
                <w:szCs w:val="24"/>
              </w:rPr>
              <w:t xml:space="preserve"> </w:t>
            </w:r>
            <w:r w:rsidRPr="00F5536B">
              <w:rPr>
                <w:rFonts w:ascii="Calibri" w:hAnsi="Calibri" w:cs="Calibri"/>
                <w:color w:val="000000"/>
                <w:sz w:val="24"/>
                <w:szCs w:val="24"/>
              </w:rPr>
              <w:t>pour démontrer son aptitude à une application particulière. Les niveaux requis pour une application</w:t>
            </w:r>
            <w:r w:rsidR="00F5536B">
              <w:rPr>
                <w:rFonts w:ascii="Calibri" w:hAnsi="Calibri" w:cs="Calibri"/>
                <w:color w:val="000000"/>
                <w:sz w:val="24"/>
                <w:szCs w:val="24"/>
              </w:rPr>
              <w:t xml:space="preserve"> </w:t>
            </w:r>
            <w:r w:rsidRPr="00F5536B">
              <w:rPr>
                <w:rFonts w:ascii="Calibri" w:hAnsi="Calibri" w:cs="Calibri"/>
                <w:color w:val="000000"/>
                <w:sz w:val="24"/>
                <w:szCs w:val="24"/>
              </w:rPr>
              <w:t>donnée peuvent être trouvés dans les réglementations et les appels d’offre.</w:t>
            </w:r>
          </w:p>
          <w:p w:rsidR="00F5536B" w:rsidRDefault="001868EF" w:rsidP="00F5536B">
            <w:pPr>
              <w:spacing w:after="0" w:line="240" w:lineRule="auto"/>
              <w:jc w:val="both"/>
              <w:rPr>
                <w:rFonts w:ascii="Calibri" w:hAnsi="Calibri" w:cs="Calibri"/>
                <w:color w:val="000000"/>
                <w:sz w:val="24"/>
                <w:szCs w:val="24"/>
              </w:rPr>
            </w:pPr>
            <w:r w:rsidRPr="00F5536B">
              <w:rPr>
                <w:rFonts w:ascii="Calibri" w:hAnsi="Calibri" w:cs="Calibri"/>
                <w:color w:val="000000"/>
                <w:sz w:val="24"/>
                <w:szCs w:val="24"/>
              </w:rPr>
              <w:t>Les produits dont la conductivité thermique déclarée est supérieure à 0,6 W/(m·K) à 10 °C ne sont pas</w:t>
            </w:r>
            <w:r w:rsidR="00F5536B">
              <w:rPr>
                <w:rFonts w:ascii="Calibri" w:hAnsi="Calibri" w:cs="Calibri"/>
                <w:color w:val="000000"/>
                <w:sz w:val="24"/>
                <w:szCs w:val="24"/>
              </w:rPr>
              <w:t xml:space="preserve"> </w:t>
            </w:r>
            <w:r w:rsidRPr="00F5536B">
              <w:rPr>
                <w:rFonts w:ascii="Calibri" w:hAnsi="Calibri" w:cs="Calibri"/>
                <w:color w:val="000000"/>
                <w:sz w:val="24"/>
                <w:szCs w:val="24"/>
              </w:rPr>
              <w:t>couverts par la présente Norme européenne.</w:t>
            </w:r>
            <w:r w:rsidRPr="00F5536B">
              <w:rPr>
                <w:rFonts w:ascii="Calibri" w:hAnsi="Calibri" w:cs="Calibri"/>
                <w:color w:val="000000"/>
                <w:sz w:val="24"/>
                <w:szCs w:val="24"/>
              </w:rPr>
              <w:br/>
              <w:t>La présente Norme ne couvre pas les produits destinés à être utilisés pour l’isolation de la</w:t>
            </w:r>
            <w:r w:rsidR="00F5536B">
              <w:rPr>
                <w:rFonts w:ascii="Calibri" w:hAnsi="Calibri" w:cs="Calibri"/>
                <w:color w:val="000000"/>
                <w:sz w:val="24"/>
                <w:szCs w:val="24"/>
              </w:rPr>
              <w:t xml:space="preserve"> </w:t>
            </w:r>
            <w:r w:rsidRPr="00F5536B">
              <w:rPr>
                <w:rFonts w:ascii="Calibri" w:hAnsi="Calibri" w:cs="Calibri"/>
                <w:color w:val="000000"/>
                <w:sz w:val="24"/>
                <w:szCs w:val="24"/>
              </w:rPr>
              <w:t>structure des bâtiments.</w:t>
            </w:r>
          </w:p>
          <w:p w:rsidR="001868EF" w:rsidRPr="00F5536B" w:rsidRDefault="001868EF" w:rsidP="00F5536B">
            <w:pPr>
              <w:spacing w:after="0" w:line="240" w:lineRule="auto"/>
              <w:jc w:val="both"/>
              <w:rPr>
                <w:rFonts w:ascii="Calibri" w:hAnsi="Calibri" w:cs="Calibri"/>
                <w:color w:val="000000"/>
                <w:sz w:val="24"/>
                <w:szCs w:val="24"/>
              </w:rPr>
            </w:pPr>
            <w:r w:rsidRPr="00F5536B">
              <w:rPr>
                <w:rFonts w:ascii="Calibri" w:hAnsi="Calibri" w:cs="Calibri"/>
                <w:color w:val="000000"/>
                <w:sz w:val="24"/>
                <w:szCs w:val="24"/>
              </w:rPr>
              <w:t>La présente Norme ne couvre pas les critères acoustiques suivants : isolation contre le</w:t>
            </w:r>
            <w:r w:rsidR="00F5536B">
              <w:rPr>
                <w:rFonts w:ascii="Calibri" w:hAnsi="Calibri" w:cs="Calibri"/>
                <w:color w:val="000000"/>
                <w:sz w:val="24"/>
                <w:szCs w:val="24"/>
              </w:rPr>
              <w:t xml:space="preserve"> </w:t>
            </w:r>
            <w:r w:rsidRPr="00F5536B">
              <w:rPr>
                <w:rFonts w:ascii="Calibri" w:hAnsi="Calibri" w:cs="Calibri"/>
                <w:color w:val="000000"/>
                <w:sz w:val="24"/>
                <w:szCs w:val="24"/>
              </w:rPr>
              <w:t>bruit aérien direct et indice de transmission du bruit d’impact.</w:t>
            </w:r>
          </w:p>
        </w:tc>
      </w:tr>
      <w:tr w:rsidR="001868EF" w:rsidRPr="0043547B" w:rsidTr="00CD59EE">
        <w:trPr>
          <w:trHeight w:val="463"/>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1868EF" w:rsidRPr="00CD59EE" w:rsidRDefault="001868EF" w:rsidP="00CD59EE">
            <w:pPr>
              <w:spacing w:after="0" w:line="240" w:lineRule="auto"/>
              <w:jc w:val="center"/>
              <w:rPr>
                <w:rFonts w:ascii="Calibri" w:hAnsi="Calibri" w:cs="Calibri"/>
                <w:b/>
                <w:bCs/>
                <w:color w:val="000000"/>
                <w:sz w:val="24"/>
                <w:szCs w:val="24"/>
              </w:rPr>
            </w:pPr>
            <w:r w:rsidRPr="00CD59EE">
              <w:rPr>
                <w:rFonts w:ascii="Calibri" w:hAnsi="Calibri" w:cs="Calibri"/>
                <w:b/>
                <w:bCs/>
                <w:color w:val="000000"/>
                <w:sz w:val="24"/>
                <w:szCs w:val="24"/>
              </w:rPr>
              <w:lastRenderedPageBreak/>
              <w:t>Code :</w:t>
            </w:r>
          </w:p>
        </w:tc>
        <w:tc>
          <w:tcPr>
            <w:tcW w:w="7938" w:type="dxa"/>
            <w:tcBorders>
              <w:top w:val="nil"/>
              <w:left w:val="single" w:sz="4" w:space="0" w:color="auto"/>
              <w:bottom w:val="single" w:sz="18" w:space="0" w:color="auto"/>
              <w:right w:val="single" w:sz="18" w:space="0" w:color="auto"/>
            </w:tcBorders>
            <w:shd w:val="clear" w:color="auto" w:fill="C2D69B" w:themeFill="accent3" w:themeFillTint="99"/>
            <w:vAlign w:val="center"/>
          </w:tcPr>
          <w:p w:rsidR="001868EF" w:rsidRPr="00CD59EE" w:rsidRDefault="001868EF" w:rsidP="00CD59EE">
            <w:pPr>
              <w:spacing w:after="0" w:line="240" w:lineRule="auto"/>
              <w:jc w:val="center"/>
              <w:rPr>
                <w:rFonts w:ascii="Calibri" w:hAnsi="Calibri" w:cs="Calibri"/>
                <w:b/>
                <w:bCs/>
                <w:color w:val="000000"/>
                <w:sz w:val="24"/>
                <w:szCs w:val="24"/>
              </w:rPr>
            </w:pPr>
            <w:r w:rsidRPr="00CD59EE">
              <w:rPr>
                <w:rFonts w:ascii="Calibri" w:hAnsi="Calibri" w:cs="Calibri"/>
                <w:b/>
                <w:bCs/>
                <w:color w:val="000000"/>
                <w:sz w:val="24"/>
                <w:szCs w:val="24"/>
              </w:rPr>
              <w:t>NM EN 16069</w:t>
            </w:r>
          </w:p>
        </w:tc>
      </w:tr>
      <w:tr w:rsidR="001868EF" w:rsidRPr="0043547B" w:rsidTr="00CD59EE">
        <w:trPr>
          <w:trHeight w:val="513"/>
          <w:jc w:val="center"/>
        </w:trPr>
        <w:tc>
          <w:tcPr>
            <w:tcW w:w="1838" w:type="dxa"/>
            <w:tcBorders>
              <w:top w:val="nil"/>
              <w:left w:val="single" w:sz="18" w:space="0" w:color="auto"/>
              <w:bottom w:val="single" w:sz="18" w:space="0" w:color="auto"/>
              <w:right w:val="single" w:sz="4" w:space="0" w:color="auto"/>
            </w:tcBorders>
            <w:shd w:val="clear" w:color="auto" w:fill="FFFF99"/>
            <w:vAlign w:val="center"/>
          </w:tcPr>
          <w:p w:rsidR="001868EF" w:rsidRPr="00CD59EE" w:rsidRDefault="001868EF" w:rsidP="00CD59EE">
            <w:pPr>
              <w:spacing w:after="0" w:line="240" w:lineRule="auto"/>
              <w:jc w:val="center"/>
              <w:rPr>
                <w:rFonts w:ascii="Calibri" w:hAnsi="Calibri" w:cs="Calibri"/>
                <w:b/>
                <w:bCs/>
                <w:color w:val="000000"/>
                <w:sz w:val="24"/>
                <w:szCs w:val="24"/>
              </w:rPr>
            </w:pPr>
            <w:r w:rsidRPr="00CD59EE">
              <w:rPr>
                <w:rFonts w:ascii="Calibri" w:hAnsi="Calibri" w:cs="Calibri"/>
                <w:b/>
                <w:bCs/>
                <w:color w:val="000000"/>
                <w:sz w:val="24"/>
                <w:szCs w:val="24"/>
              </w:rPr>
              <w:t>Equivalence :</w:t>
            </w:r>
          </w:p>
        </w:tc>
        <w:tc>
          <w:tcPr>
            <w:tcW w:w="7938" w:type="dxa"/>
            <w:tcBorders>
              <w:top w:val="nil"/>
              <w:left w:val="single" w:sz="4" w:space="0" w:color="auto"/>
              <w:bottom w:val="single" w:sz="18" w:space="0" w:color="auto"/>
              <w:right w:val="single" w:sz="18" w:space="0" w:color="auto"/>
            </w:tcBorders>
            <w:shd w:val="clear" w:color="auto" w:fill="FFFF99"/>
            <w:vAlign w:val="center"/>
          </w:tcPr>
          <w:p w:rsidR="001868EF" w:rsidRPr="00CD59EE" w:rsidRDefault="001868EF" w:rsidP="00CD59EE">
            <w:pPr>
              <w:spacing w:after="0" w:line="240" w:lineRule="auto"/>
              <w:jc w:val="center"/>
              <w:rPr>
                <w:rFonts w:ascii="Calibri" w:hAnsi="Calibri" w:cs="Calibri"/>
                <w:b/>
                <w:bCs/>
                <w:color w:val="000000"/>
                <w:sz w:val="24"/>
                <w:szCs w:val="24"/>
              </w:rPr>
            </w:pPr>
            <w:r w:rsidRPr="00CD59EE">
              <w:rPr>
                <w:rFonts w:ascii="Calibri" w:hAnsi="Calibri" w:cs="Calibri"/>
                <w:b/>
                <w:bCs/>
                <w:color w:val="000000"/>
                <w:sz w:val="24"/>
                <w:szCs w:val="24"/>
              </w:rPr>
              <w:t>EN 16069</w:t>
            </w:r>
          </w:p>
        </w:tc>
      </w:tr>
      <w:tr w:rsidR="001868EF" w:rsidRPr="0043547B" w:rsidTr="00CD59EE">
        <w:trPr>
          <w:trHeight w:val="525"/>
          <w:jc w:val="center"/>
        </w:trPr>
        <w:tc>
          <w:tcPr>
            <w:tcW w:w="1838" w:type="dxa"/>
            <w:tcBorders>
              <w:top w:val="single" w:sz="18" w:space="0" w:color="auto"/>
              <w:left w:val="single" w:sz="18" w:space="0" w:color="auto"/>
              <w:bottom w:val="single" w:sz="4" w:space="0" w:color="auto"/>
              <w:right w:val="single" w:sz="4" w:space="0" w:color="auto"/>
            </w:tcBorders>
            <w:shd w:val="clear" w:color="auto" w:fill="95B3D7" w:themeFill="accent1" w:themeFillTint="99"/>
            <w:vAlign w:val="center"/>
          </w:tcPr>
          <w:p w:rsidR="001868EF" w:rsidRPr="00CD59EE" w:rsidRDefault="001868EF" w:rsidP="00CD59EE">
            <w:pPr>
              <w:spacing w:after="0" w:line="240" w:lineRule="auto"/>
              <w:jc w:val="center"/>
              <w:rPr>
                <w:rFonts w:ascii="Calibri" w:hAnsi="Calibri" w:cs="Calibri"/>
                <w:b/>
                <w:bCs/>
                <w:color w:val="000000"/>
                <w:sz w:val="24"/>
                <w:szCs w:val="24"/>
              </w:rPr>
            </w:pPr>
            <w:r w:rsidRPr="00CD59EE">
              <w:rPr>
                <w:rFonts w:ascii="Calibri" w:hAnsi="Calibri" w:cs="Calibri"/>
                <w:b/>
                <w:bCs/>
                <w:color w:val="000000"/>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tcPr>
          <w:p w:rsidR="001868EF" w:rsidRPr="00CD59EE" w:rsidRDefault="001868EF" w:rsidP="00CD59EE">
            <w:pPr>
              <w:spacing w:after="0" w:line="240" w:lineRule="auto"/>
              <w:jc w:val="both"/>
              <w:rPr>
                <w:rFonts w:ascii="Times New Roman" w:hAnsi="Times New Roman" w:cs="Times New Roman"/>
                <w:color w:val="000000"/>
                <w:sz w:val="24"/>
                <w:szCs w:val="24"/>
              </w:rPr>
            </w:pPr>
            <w:r w:rsidRPr="00CD59EE">
              <w:rPr>
                <w:color w:val="000000"/>
                <w:sz w:val="24"/>
                <w:szCs w:val="24"/>
              </w:rPr>
              <w:t xml:space="preserve">Produits isolants thermiques pour le bâtiment - Produits manufacturés en mousse de polyéthylène (PEF) - Spécification </w:t>
            </w:r>
          </w:p>
        </w:tc>
      </w:tr>
      <w:tr w:rsidR="001868EF" w:rsidRPr="0043547B" w:rsidTr="00CD59EE">
        <w:trPr>
          <w:trHeight w:val="843"/>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1868EF" w:rsidRPr="00CD59EE" w:rsidRDefault="001868EF" w:rsidP="00CD59EE">
            <w:pPr>
              <w:spacing w:after="0" w:line="240" w:lineRule="auto"/>
              <w:jc w:val="center"/>
              <w:rPr>
                <w:rFonts w:ascii="Calibri" w:hAnsi="Calibri" w:cs="Calibri"/>
                <w:b/>
                <w:bCs/>
                <w:color w:val="000000"/>
                <w:sz w:val="24"/>
                <w:szCs w:val="24"/>
              </w:rPr>
            </w:pPr>
            <w:r w:rsidRPr="00CD59EE">
              <w:rPr>
                <w:rFonts w:ascii="Calibri" w:hAnsi="Calibri" w:cs="Calibri"/>
                <w:b/>
                <w:bCs/>
                <w:color w:val="000000"/>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tcPr>
          <w:p w:rsidR="00CD59EE" w:rsidRDefault="001868EF" w:rsidP="00CD59EE">
            <w:pPr>
              <w:spacing w:after="0" w:line="240" w:lineRule="auto"/>
              <w:jc w:val="both"/>
              <w:rPr>
                <w:rFonts w:ascii="Calibri" w:hAnsi="Calibri" w:cs="Calibri"/>
                <w:color w:val="000000"/>
                <w:sz w:val="24"/>
                <w:szCs w:val="24"/>
              </w:rPr>
            </w:pPr>
            <w:r w:rsidRPr="00CD59EE">
              <w:rPr>
                <w:rFonts w:ascii="Calibri" w:hAnsi="Calibri" w:cs="Calibri"/>
                <w:color w:val="000000"/>
                <w:sz w:val="24"/>
                <w:szCs w:val="24"/>
              </w:rPr>
              <w:t>La présente Norme spécifie les exigences auxquelles doivent satisfaire les produits manufacturés en</w:t>
            </w:r>
            <w:r w:rsidR="00CD59EE">
              <w:rPr>
                <w:rFonts w:ascii="Calibri" w:hAnsi="Calibri" w:cs="Calibri"/>
                <w:color w:val="000000"/>
                <w:sz w:val="24"/>
                <w:szCs w:val="24"/>
              </w:rPr>
              <w:t xml:space="preserve"> </w:t>
            </w:r>
            <w:r w:rsidRPr="00CD59EE">
              <w:rPr>
                <w:rFonts w:ascii="Calibri" w:hAnsi="Calibri" w:cs="Calibri"/>
                <w:color w:val="000000"/>
                <w:sz w:val="24"/>
                <w:szCs w:val="24"/>
              </w:rPr>
              <w:t>mousse de polyéthylène (PEF), avec ou sans parements ou enduits de finition, utilisés pour l'isolation thermique des</w:t>
            </w:r>
            <w:r w:rsidRPr="00CD59EE">
              <w:rPr>
                <w:rFonts w:ascii="Calibri" w:hAnsi="Calibri" w:cs="Calibri"/>
                <w:color w:val="000000"/>
                <w:sz w:val="24"/>
                <w:szCs w:val="24"/>
              </w:rPr>
              <w:br/>
              <w:t>bâtiments. Les produits sont fabriqués sous forme de panneaux, de rouleaux ou autre produit préformé.</w:t>
            </w:r>
          </w:p>
          <w:p w:rsidR="00CD59EE" w:rsidRDefault="001868EF" w:rsidP="00CD59EE">
            <w:pPr>
              <w:spacing w:after="0" w:line="240" w:lineRule="auto"/>
              <w:jc w:val="both"/>
              <w:rPr>
                <w:rFonts w:ascii="Calibri" w:hAnsi="Calibri" w:cs="Calibri"/>
                <w:color w:val="000000"/>
                <w:sz w:val="24"/>
                <w:szCs w:val="24"/>
              </w:rPr>
            </w:pPr>
            <w:r w:rsidRPr="00CD59EE">
              <w:rPr>
                <w:rFonts w:ascii="Calibri" w:hAnsi="Calibri" w:cs="Calibri"/>
                <w:color w:val="000000"/>
                <w:sz w:val="24"/>
                <w:szCs w:val="24"/>
              </w:rPr>
              <w:t>La présente norme décrit les caractéristiques des produits et contient des modes opératoires d'essai, d'évaluation de</w:t>
            </w:r>
            <w:r w:rsidR="00CD59EE">
              <w:rPr>
                <w:rFonts w:ascii="Calibri" w:hAnsi="Calibri" w:cs="Calibri"/>
                <w:color w:val="000000"/>
                <w:sz w:val="24"/>
                <w:szCs w:val="24"/>
              </w:rPr>
              <w:t xml:space="preserve"> </w:t>
            </w:r>
            <w:r w:rsidRPr="00CD59EE">
              <w:rPr>
                <w:rFonts w:ascii="Calibri" w:hAnsi="Calibri" w:cs="Calibri"/>
                <w:color w:val="000000"/>
                <w:sz w:val="24"/>
                <w:szCs w:val="24"/>
              </w:rPr>
              <w:t>la conformité, de marquage et d'étiquetage.</w:t>
            </w:r>
            <w:r w:rsidRPr="00CD59EE">
              <w:rPr>
                <w:rFonts w:ascii="Calibri" w:hAnsi="Calibri" w:cs="Calibri"/>
                <w:color w:val="000000"/>
                <w:sz w:val="24"/>
                <w:szCs w:val="24"/>
              </w:rPr>
              <w:br/>
              <w:t>Les produits couverts par la présente norme sont également utilisés dans les systèmes d'isolation thermique</w:t>
            </w:r>
            <w:r w:rsidR="00CD59EE">
              <w:rPr>
                <w:rFonts w:ascii="Calibri" w:hAnsi="Calibri" w:cs="Calibri"/>
                <w:color w:val="000000"/>
                <w:sz w:val="24"/>
                <w:szCs w:val="24"/>
              </w:rPr>
              <w:t xml:space="preserve"> </w:t>
            </w:r>
            <w:r w:rsidRPr="00CD59EE">
              <w:rPr>
                <w:rFonts w:ascii="Calibri" w:hAnsi="Calibri" w:cs="Calibri"/>
                <w:color w:val="000000"/>
                <w:sz w:val="24"/>
                <w:szCs w:val="24"/>
              </w:rPr>
              <w:t>préfabriqués et les panneaux composites ; les performances des systèmes incorporant ces produits ne sont pas</w:t>
            </w:r>
            <w:r w:rsidR="00CD59EE">
              <w:rPr>
                <w:rFonts w:ascii="Calibri" w:hAnsi="Calibri" w:cs="Calibri"/>
                <w:color w:val="000000"/>
                <w:sz w:val="24"/>
                <w:szCs w:val="24"/>
              </w:rPr>
              <w:t xml:space="preserve"> </w:t>
            </w:r>
            <w:r w:rsidRPr="00CD59EE">
              <w:rPr>
                <w:rFonts w:ascii="Calibri" w:hAnsi="Calibri" w:cs="Calibri"/>
                <w:color w:val="000000"/>
                <w:sz w:val="24"/>
                <w:szCs w:val="24"/>
              </w:rPr>
              <w:t>traitées.</w:t>
            </w:r>
            <w:r w:rsidRPr="00CD59EE">
              <w:rPr>
                <w:rFonts w:ascii="Calibri" w:hAnsi="Calibri" w:cs="Calibri"/>
                <w:color w:val="000000"/>
                <w:sz w:val="24"/>
                <w:szCs w:val="24"/>
              </w:rPr>
              <w:br/>
              <w:t>La présente norme ne spécifie pas, pour une propriété donnée, le niveau exigé que doit atteindre un produit pour</w:t>
            </w:r>
            <w:r w:rsidR="00CD59EE">
              <w:rPr>
                <w:rFonts w:ascii="Calibri" w:hAnsi="Calibri" w:cs="Calibri"/>
                <w:color w:val="000000"/>
                <w:sz w:val="24"/>
                <w:szCs w:val="24"/>
              </w:rPr>
              <w:t xml:space="preserve"> </w:t>
            </w:r>
            <w:r w:rsidRPr="00CD59EE">
              <w:rPr>
                <w:rFonts w:ascii="Calibri" w:hAnsi="Calibri" w:cs="Calibri"/>
                <w:color w:val="000000"/>
                <w:sz w:val="24"/>
                <w:szCs w:val="24"/>
              </w:rPr>
              <w:t>démontrer son aptitude à l’emploi dans une application particulière. Les niveaux requis pour une application donnée</w:t>
            </w:r>
            <w:r w:rsidRPr="00CD59EE">
              <w:rPr>
                <w:rFonts w:ascii="Calibri" w:hAnsi="Calibri" w:cs="Calibri"/>
                <w:color w:val="000000"/>
                <w:sz w:val="24"/>
                <w:szCs w:val="24"/>
              </w:rPr>
              <w:br/>
              <w:t>figurent dans les réglementations ou les normes non conflictuelles.</w:t>
            </w:r>
            <w:r w:rsidRPr="00CD59EE">
              <w:rPr>
                <w:rFonts w:ascii="Calibri" w:hAnsi="Calibri" w:cs="Calibri"/>
                <w:color w:val="000000"/>
                <w:sz w:val="24"/>
                <w:szCs w:val="24"/>
              </w:rPr>
              <w:br/>
              <w:t>Les produits dont la résistance thermique déclarée à une température de 10 °C est inférieure à 0,5 m2K/W ou dont</w:t>
            </w:r>
            <w:r w:rsidR="00CD59EE">
              <w:rPr>
                <w:rFonts w:ascii="Calibri" w:hAnsi="Calibri" w:cs="Calibri"/>
                <w:color w:val="000000"/>
                <w:sz w:val="24"/>
                <w:szCs w:val="24"/>
              </w:rPr>
              <w:t xml:space="preserve"> </w:t>
            </w:r>
            <w:r w:rsidRPr="00CD59EE">
              <w:rPr>
                <w:rFonts w:ascii="Calibri" w:hAnsi="Calibri" w:cs="Calibri"/>
                <w:color w:val="000000"/>
                <w:sz w:val="24"/>
                <w:szCs w:val="24"/>
              </w:rPr>
              <w:t>la conductivité thermique déclarée à une température de 10 °C est supérieure à 0,050 W/(m·K) ne relèvent pas du</w:t>
            </w:r>
            <w:r w:rsidRPr="00CD59EE">
              <w:rPr>
                <w:rFonts w:ascii="Calibri" w:hAnsi="Calibri" w:cs="Calibri"/>
                <w:color w:val="000000"/>
                <w:sz w:val="24"/>
                <w:szCs w:val="24"/>
              </w:rPr>
              <w:br/>
              <w:t>domaine d'application de la présente Norme.</w:t>
            </w:r>
          </w:p>
          <w:p w:rsidR="001868EF" w:rsidRPr="00CD59EE" w:rsidRDefault="001868EF" w:rsidP="00CD59EE">
            <w:pPr>
              <w:spacing w:after="0" w:line="240" w:lineRule="auto"/>
              <w:jc w:val="both"/>
              <w:rPr>
                <w:rFonts w:ascii="Calibri" w:hAnsi="Calibri" w:cs="Calibri"/>
                <w:color w:val="000000"/>
                <w:sz w:val="24"/>
                <w:szCs w:val="24"/>
              </w:rPr>
            </w:pPr>
            <w:r w:rsidRPr="00CD59EE">
              <w:rPr>
                <w:rFonts w:ascii="Calibri" w:hAnsi="Calibri" w:cs="Calibri"/>
                <w:color w:val="000000"/>
                <w:sz w:val="24"/>
                <w:szCs w:val="24"/>
              </w:rPr>
              <w:lastRenderedPageBreak/>
              <w:t>Les produits isolants mis en oeuvre in situ et les produits destinés à être utilisés pour l’isolation des équipements du</w:t>
            </w:r>
            <w:r w:rsidR="00CD59EE">
              <w:rPr>
                <w:rFonts w:ascii="Calibri" w:hAnsi="Calibri" w:cs="Calibri"/>
                <w:color w:val="000000"/>
                <w:sz w:val="24"/>
                <w:szCs w:val="24"/>
              </w:rPr>
              <w:t xml:space="preserve"> </w:t>
            </w:r>
            <w:r w:rsidRPr="00CD59EE">
              <w:rPr>
                <w:rFonts w:ascii="Calibri" w:hAnsi="Calibri" w:cs="Calibri"/>
                <w:color w:val="000000"/>
                <w:sz w:val="24"/>
                <w:szCs w:val="24"/>
              </w:rPr>
              <w:t>bâtiment et des installations industrielles (couverts par l’EN 14313) ne relèvent pas du domaine d’application de la</w:t>
            </w:r>
            <w:r w:rsidRPr="00CD59EE">
              <w:rPr>
                <w:rFonts w:ascii="Calibri" w:hAnsi="Calibri" w:cs="Calibri"/>
                <w:color w:val="000000"/>
                <w:sz w:val="24"/>
                <w:szCs w:val="24"/>
              </w:rPr>
              <w:br/>
              <w:t>présente norme. Les matériaux non alvéolaires, tels que les films à bulles, les feuilles, etc., sont également exclus.</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14782</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14782</w:t>
            </w:r>
          </w:p>
        </w:tc>
      </w:tr>
      <w:tr w:rsidR="0043547B" w:rsidRPr="0043547B" w:rsidTr="00CB5DC0">
        <w:trPr>
          <w:trHeight w:val="6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Plaques métalliques autoportantes pour couverture, bardages extérieur et intérieur et cloisons - Spécification de produit et exigences ;</w:t>
            </w:r>
          </w:p>
        </w:tc>
      </w:tr>
      <w:tr w:rsidR="0043547B" w:rsidRPr="0043547B" w:rsidTr="00CD59EE">
        <w:trPr>
          <w:trHeight w:val="843"/>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la terminologie, les prescriptions et les méthodes d’essai relatives aux plaques et tuiles métalliques autoportantes (pour applications non structurelles), fabriquées en usine, livrées sous la forme d’éléments préfabriqués pour couverture et bardages extérieur et intérieur.</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couvre également les applications en plafond (y compris les plaques métalliques intérieures) et en intrados et les plateaux (voir Figure 1).</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couvre les plaques autoportantes en cuivre, zinc, acier, aluminium et acier inoxydable avec ou sans revêtement, par exemple métallique, organique, inorganique ou multicouche (voir Annexe A). Une couche retenant l’humidité, destinée à réduire la chute de gouttes provenant de la condensation, peut être présente sur la face envers du produit.</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comporte également des règles pour le marquage, l’étiquetage et l’évaluation de la conformité.</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ne couvre pas les produits pour applications structurelles, c'est-à-dire elle ne couvre pas des produits destinés à contribuer à la stabilité globale ou partielle de la structure du bâtiment ou apportant un contreventement ou une résistance aux charges statiques permanentes (à l'exclusion du poids propre de la plaque métallique).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prescriptions relatives aux caractéristiques acoustiques et d’isolation thermique ne sont pas considérées dans la norme.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ne comporte aucune prescription relative au calcul ou à la conception de l’ouvrage, aux techniques d’exécution ou à la performance des produits installés.</w:t>
            </w:r>
          </w:p>
        </w:tc>
      </w:tr>
      <w:tr w:rsidR="00BA42AD" w:rsidRPr="0043547B" w:rsidTr="00BA42AD">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BA42AD" w:rsidRPr="00CD59EE" w:rsidRDefault="00BA42AD" w:rsidP="00BA42AD">
            <w:pPr>
              <w:spacing w:after="0" w:line="240" w:lineRule="auto"/>
              <w:jc w:val="center"/>
              <w:rPr>
                <w:rFonts w:ascii="Calibri" w:hAnsi="Calibri" w:cs="Calibri"/>
                <w:b/>
                <w:bCs/>
                <w:sz w:val="24"/>
                <w:szCs w:val="24"/>
              </w:rPr>
            </w:pPr>
            <w:r w:rsidRPr="00CD59EE">
              <w:rPr>
                <w:rFonts w:ascii="Calibri" w:hAnsi="Calibri" w:cs="Calibr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hideMark/>
          </w:tcPr>
          <w:p w:rsidR="00BA42AD" w:rsidRPr="00472578" w:rsidRDefault="00BA42AD" w:rsidP="00472578">
            <w:pPr>
              <w:spacing w:after="0" w:line="240" w:lineRule="auto"/>
              <w:jc w:val="center"/>
              <w:rPr>
                <w:rFonts w:ascii="Calibri" w:hAnsi="Calibri" w:cs="Calibri"/>
                <w:b/>
                <w:bCs/>
                <w:sz w:val="24"/>
                <w:szCs w:val="24"/>
              </w:rPr>
            </w:pPr>
            <w:r w:rsidRPr="00472578">
              <w:rPr>
                <w:rFonts w:ascii="Calibri" w:hAnsi="Calibri" w:cs="Calibri"/>
                <w:b/>
                <w:bCs/>
                <w:sz w:val="24"/>
                <w:szCs w:val="24"/>
              </w:rPr>
              <w:t>NM EN 13950</w:t>
            </w:r>
          </w:p>
        </w:tc>
      </w:tr>
      <w:tr w:rsidR="00BA42AD" w:rsidRPr="0043547B" w:rsidTr="00CD59EE">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BA42AD" w:rsidRPr="00CD59EE" w:rsidRDefault="00BA42AD" w:rsidP="00BA42AD">
            <w:pPr>
              <w:spacing w:after="0" w:line="240" w:lineRule="auto"/>
              <w:jc w:val="center"/>
              <w:rPr>
                <w:rFonts w:ascii="Calibri" w:hAnsi="Calibri" w:cs="Calibri"/>
                <w:b/>
                <w:bCs/>
                <w:sz w:val="24"/>
                <w:szCs w:val="24"/>
              </w:rPr>
            </w:pPr>
            <w:r w:rsidRPr="00CD59EE">
              <w:rPr>
                <w:rFonts w:ascii="Calibri" w:hAnsi="Calibri" w:cs="Calibr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BA42AD" w:rsidRPr="00472578" w:rsidRDefault="00BA42AD" w:rsidP="00472578">
            <w:pPr>
              <w:spacing w:after="0" w:line="240" w:lineRule="auto"/>
              <w:jc w:val="center"/>
              <w:rPr>
                <w:rFonts w:ascii="Calibri" w:hAnsi="Calibri" w:cs="Calibri"/>
                <w:b/>
                <w:bCs/>
                <w:sz w:val="24"/>
                <w:szCs w:val="24"/>
              </w:rPr>
            </w:pPr>
            <w:r w:rsidRPr="00472578">
              <w:rPr>
                <w:rFonts w:ascii="Calibri" w:hAnsi="Calibri" w:cs="Calibri"/>
                <w:b/>
                <w:bCs/>
                <w:sz w:val="24"/>
                <w:szCs w:val="24"/>
              </w:rPr>
              <w:t>EN 13950</w:t>
            </w:r>
          </w:p>
        </w:tc>
      </w:tr>
      <w:tr w:rsidR="00BA42AD" w:rsidRPr="0043547B" w:rsidTr="00BA42AD">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BA42AD" w:rsidRPr="00CD59EE" w:rsidRDefault="00BA42AD" w:rsidP="00BA42AD">
            <w:pPr>
              <w:spacing w:after="0" w:line="240" w:lineRule="auto"/>
              <w:jc w:val="center"/>
              <w:rPr>
                <w:rFonts w:ascii="Calibri" w:hAnsi="Calibri" w:cs="Calibri"/>
                <w:b/>
                <w:bCs/>
                <w:sz w:val="24"/>
                <w:szCs w:val="24"/>
              </w:rPr>
            </w:pPr>
            <w:r w:rsidRPr="00CD59EE">
              <w:rPr>
                <w:rFonts w:ascii="Calibri" w:hAnsi="Calibri" w:cs="Calibr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noWrap/>
            <w:hideMark/>
          </w:tcPr>
          <w:p w:rsidR="00BA42AD" w:rsidRPr="00472578" w:rsidRDefault="00BA42AD" w:rsidP="00472578">
            <w:pPr>
              <w:spacing w:after="0" w:line="240" w:lineRule="auto"/>
              <w:jc w:val="both"/>
              <w:rPr>
                <w:rFonts w:ascii="Calibri" w:hAnsi="Calibri" w:cs="Calibri"/>
              </w:rPr>
            </w:pPr>
            <w:r w:rsidRPr="00472578">
              <w:rPr>
                <w:rFonts w:ascii="Calibri" w:hAnsi="Calibri" w:cs="Calibri"/>
              </w:rPr>
              <w:t>Complexes d'isolation thermique/acoustique en plaques de plâtre - Définitions, exigences et méthodes d'essai</w:t>
            </w:r>
          </w:p>
        </w:tc>
      </w:tr>
      <w:tr w:rsidR="00BA42AD" w:rsidRPr="0043547B" w:rsidTr="00D2582B">
        <w:trPr>
          <w:trHeight w:val="701"/>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BA42AD" w:rsidRPr="00CD59EE" w:rsidRDefault="00BA42AD" w:rsidP="00BA42AD">
            <w:pPr>
              <w:spacing w:after="0" w:line="240" w:lineRule="auto"/>
              <w:jc w:val="center"/>
              <w:rPr>
                <w:rFonts w:ascii="Calibri" w:hAnsi="Calibri" w:cs="Calibri"/>
                <w:b/>
                <w:bCs/>
                <w:sz w:val="24"/>
                <w:szCs w:val="24"/>
              </w:rPr>
            </w:pPr>
            <w:r w:rsidRPr="00CD59EE">
              <w:rPr>
                <w:rFonts w:ascii="Calibri" w:hAnsi="Calibri" w:cs="Calibr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bottom"/>
            <w:hideMark/>
          </w:tcPr>
          <w:p w:rsidR="00472578" w:rsidRDefault="00BA42AD" w:rsidP="00472578">
            <w:pPr>
              <w:spacing w:after="0" w:line="240" w:lineRule="auto"/>
              <w:jc w:val="both"/>
              <w:rPr>
                <w:rFonts w:ascii="Calibri" w:hAnsi="Calibri" w:cs="Calibri"/>
              </w:rPr>
            </w:pPr>
            <w:r w:rsidRPr="00472578">
              <w:rPr>
                <w:rFonts w:ascii="Calibri" w:hAnsi="Calibri" w:cs="Calibri"/>
              </w:rPr>
              <w:t>La norme spécifie les caractéristiques et les performances des complexes d’isolation thermique/acoustique composés d’un matériau isolant contrecollé sur des plaques de plâtre, dont la principale application prévue est l’isolation intérieure (thermique et/ou acoustique) de murs. Ces complexes sont mis en oeuvre au moyen de colles ou par des fixations mécaniques sur des supports verticaux pleins et par des fixations mécaniques sur un bâti de bois ou une ossature métallique avec la surface de la plaque de plâtre exposée. La méthode de fixation et de jointoiement doit garantir que le matériau isolant n’est pas mis à nu pendant son application normale.</w:t>
            </w:r>
          </w:p>
          <w:p w:rsidR="00472578" w:rsidRDefault="00BA42AD" w:rsidP="00472578">
            <w:pPr>
              <w:spacing w:after="0" w:line="240" w:lineRule="auto"/>
              <w:jc w:val="both"/>
              <w:rPr>
                <w:rFonts w:ascii="Calibri" w:hAnsi="Calibri" w:cs="Calibri"/>
              </w:rPr>
            </w:pPr>
            <w:r w:rsidRPr="00472578">
              <w:rPr>
                <w:rFonts w:ascii="Calibri" w:hAnsi="Calibri" w:cs="Calibri"/>
              </w:rPr>
              <w:t>La norme couvre les caractéristiques de performance suivantes : la réaction au feu, la résistance au feu, la perméabilité à la vapeur d’eau, la résistance à la flexion, la résistance aux chocs, l’isolation aux bruits aériens directs et la résistance thermique qui doivent être mesurées conformément aux méthodes d’essai s correspondantes.</w:t>
            </w:r>
          </w:p>
          <w:p w:rsidR="00472578" w:rsidRDefault="00BA42AD" w:rsidP="00472578">
            <w:pPr>
              <w:spacing w:after="0" w:line="240" w:lineRule="auto"/>
              <w:jc w:val="both"/>
              <w:rPr>
                <w:rFonts w:ascii="Calibri" w:hAnsi="Calibri" w:cs="Calibri"/>
              </w:rPr>
            </w:pPr>
            <w:r w:rsidRPr="00472578">
              <w:rPr>
                <w:rFonts w:ascii="Calibri" w:hAnsi="Calibri" w:cs="Calibri"/>
              </w:rPr>
              <w:t>Elle permet l’évaluation de la conformité des produits à La norme.</w:t>
            </w:r>
          </w:p>
          <w:p w:rsidR="00BA42AD" w:rsidRPr="00472578" w:rsidRDefault="00BA42AD" w:rsidP="00472578">
            <w:pPr>
              <w:spacing w:after="0" w:line="240" w:lineRule="auto"/>
              <w:jc w:val="both"/>
              <w:rPr>
                <w:rFonts w:ascii="Calibri" w:hAnsi="Calibri" w:cs="Calibri"/>
              </w:rPr>
            </w:pPr>
            <w:r w:rsidRPr="00472578">
              <w:rPr>
                <w:rFonts w:ascii="Calibri" w:hAnsi="Calibri" w:cs="Calibri"/>
              </w:rPr>
              <w:lastRenderedPageBreak/>
              <w:t>La norme couvre également les caractéristiques techniques supplémentaires qui revêtent une importance pour l’utilisation et la réception du produit par l’industrie du bâtiment.</w:t>
            </w:r>
          </w:p>
        </w:tc>
      </w:tr>
      <w:tr w:rsidR="00BA42AD" w:rsidRPr="00472578" w:rsidTr="00D2582B">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D6E3BC" w:themeFill="accent3" w:themeFillTint="66"/>
            <w:vAlign w:val="center"/>
          </w:tcPr>
          <w:p w:rsidR="00BA42AD" w:rsidRPr="00472578" w:rsidRDefault="00BA42AD" w:rsidP="00472578">
            <w:pPr>
              <w:spacing w:after="0" w:line="240" w:lineRule="auto"/>
              <w:jc w:val="center"/>
              <w:rPr>
                <w:rFonts w:ascii="Calibri" w:hAnsi="Calibri" w:cs="Calibri"/>
                <w:b/>
                <w:bCs/>
              </w:rPr>
            </w:pPr>
            <w:r w:rsidRPr="00472578">
              <w:rPr>
                <w:rFonts w:ascii="Calibri" w:hAnsi="Calibri" w:cs="Calibri"/>
                <w:b/>
                <w:bCs/>
              </w:rPr>
              <w:lastRenderedPageBreak/>
              <w:t xml:space="preserve">Code </w:t>
            </w:r>
          </w:p>
        </w:tc>
        <w:tc>
          <w:tcPr>
            <w:tcW w:w="7938" w:type="dxa"/>
            <w:tcBorders>
              <w:top w:val="single" w:sz="18" w:space="0" w:color="auto"/>
              <w:left w:val="single" w:sz="4" w:space="0" w:color="auto"/>
              <w:bottom w:val="single" w:sz="18" w:space="0" w:color="auto"/>
              <w:right w:val="single" w:sz="18" w:space="0" w:color="auto"/>
            </w:tcBorders>
            <w:shd w:val="clear" w:color="auto" w:fill="D6E3BC" w:themeFill="accent3" w:themeFillTint="66"/>
            <w:vAlign w:val="center"/>
          </w:tcPr>
          <w:p w:rsidR="00BA42AD" w:rsidRPr="00472578" w:rsidRDefault="00BA42AD" w:rsidP="00472578">
            <w:pPr>
              <w:spacing w:after="0" w:line="240" w:lineRule="auto"/>
              <w:jc w:val="center"/>
              <w:rPr>
                <w:rFonts w:ascii="Calibri" w:hAnsi="Calibri" w:cs="Calibri"/>
                <w:b/>
                <w:bCs/>
                <w:sz w:val="24"/>
                <w:szCs w:val="24"/>
              </w:rPr>
            </w:pPr>
            <w:r w:rsidRPr="00472578">
              <w:rPr>
                <w:rFonts w:ascii="Calibri" w:hAnsi="Calibri" w:cs="Calibri"/>
                <w:b/>
                <w:bCs/>
                <w:sz w:val="24"/>
                <w:szCs w:val="24"/>
              </w:rPr>
              <w:t>NM ISO 12575-1</w:t>
            </w:r>
          </w:p>
        </w:tc>
      </w:tr>
      <w:tr w:rsidR="00BA42AD" w:rsidRPr="00472578" w:rsidTr="00D2582B">
        <w:trPr>
          <w:trHeight w:val="419"/>
          <w:jc w:val="center"/>
        </w:trPr>
        <w:tc>
          <w:tcPr>
            <w:tcW w:w="1838" w:type="dxa"/>
            <w:tcBorders>
              <w:top w:val="single" w:sz="18" w:space="0" w:color="auto"/>
              <w:left w:val="single" w:sz="18" w:space="0" w:color="auto"/>
              <w:bottom w:val="single" w:sz="18" w:space="0" w:color="auto"/>
              <w:right w:val="single" w:sz="4" w:space="0" w:color="auto"/>
            </w:tcBorders>
            <w:shd w:val="clear" w:color="auto" w:fill="FFFF99"/>
            <w:vAlign w:val="center"/>
          </w:tcPr>
          <w:p w:rsidR="00BA42AD" w:rsidRPr="00472578" w:rsidRDefault="00BA42AD" w:rsidP="00472578">
            <w:pPr>
              <w:spacing w:after="0" w:line="240" w:lineRule="auto"/>
              <w:jc w:val="center"/>
              <w:rPr>
                <w:rFonts w:ascii="Calibri" w:hAnsi="Calibri" w:cs="Calibri"/>
                <w:b/>
                <w:bCs/>
              </w:rPr>
            </w:pPr>
            <w:r w:rsidRPr="00472578">
              <w:rPr>
                <w:rFonts w:ascii="Calibri" w:hAnsi="Calibri" w:cs="Calibri"/>
                <w:b/>
                <w:bCs/>
              </w:rPr>
              <w:t>Equivalence :</w:t>
            </w:r>
          </w:p>
        </w:tc>
        <w:tc>
          <w:tcPr>
            <w:tcW w:w="7938" w:type="dxa"/>
            <w:tcBorders>
              <w:top w:val="single" w:sz="18" w:space="0" w:color="auto"/>
              <w:left w:val="single" w:sz="4" w:space="0" w:color="auto"/>
              <w:bottom w:val="single" w:sz="18" w:space="0" w:color="auto"/>
              <w:right w:val="single" w:sz="18" w:space="0" w:color="auto"/>
            </w:tcBorders>
            <w:shd w:val="clear" w:color="auto" w:fill="FFFF99"/>
            <w:vAlign w:val="center"/>
          </w:tcPr>
          <w:p w:rsidR="00BA42AD" w:rsidRPr="00472578" w:rsidRDefault="00BA42AD" w:rsidP="00472578">
            <w:pPr>
              <w:spacing w:after="0" w:line="240" w:lineRule="auto"/>
              <w:jc w:val="center"/>
              <w:rPr>
                <w:rFonts w:ascii="Calibri" w:hAnsi="Calibri" w:cs="Calibri"/>
                <w:b/>
                <w:bCs/>
                <w:sz w:val="24"/>
                <w:szCs w:val="24"/>
              </w:rPr>
            </w:pPr>
            <w:r w:rsidRPr="00472578">
              <w:rPr>
                <w:rFonts w:ascii="Calibri" w:hAnsi="Calibri" w:cs="Calibri"/>
                <w:b/>
                <w:bCs/>
                <w:sz w:val="24"/>
                <w:szCs w:val="24"/>
              </w:rPr>
              <w:t>ISO 12575-1</w:t>
            </w:r>
          </w:p>
        </w:tc>
      </w:tr>
      <w:tr w:rsidR="00BA42AD" w:rsidRPr="00472578" w:rsidTr="00D2582B">
        <w:trPr>
          <w:trHeight w:val="448"/>
          <w:jc w:val="center"/>
        </w:trPr>
        <w:tc>
          <w:tcPr>
            <w:tcW w:w="1838" w:type="dxa"/>
            <w:tcBorders>
              <w:top w:val="single" w:sz="18" w:space="0" w:color="auto"/>
              <w:left w:val="single" w:sz="18" w:space="0" w:color="auto"/>
              <w:bottom w:val="single" w:sz="4" w:space="0" w:color="auto"/>
              <w:right w:val="single" w:sz="4" w:space="0" w:color="auto"/>
            </w:tcBorders>
            <w:shd w:val="clear" w:color="auto" w:fill="B8CCE4" w:themeFill="accent1" w:themeFillTint="66"/>
            <w:vAlign w:val="center"/>
          </w:tcPr>
          <w:p w:rsidR="00BA42AD" w:rsidRPr="00472578" w:rsidRDefault="00BA42AD" w:rsidP="00472578">
            <w:pPr>
              <w:spacing w:after="0" w:line="240" w:lineRule="auto"/>
              <w:jc w:val="center"/>
              <w:rPr>
                <w:rFonts w:ascii="Calibri" w:hAnsi="Calibri" w:cs="Calibri"/>
                <w:b/>
                <w:bCs/>
              </w:rPr>
            </w:pPr>
            <w:r w:rsidRPr="00472578">
              <w:rPr>
                <w:rFonts w:ascii="Calibri" w:hAnsi="Calibri" w:cs="Calibri"/>
                <w:b/>
                <w:bCs/>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tcPr>
          <w:p w:rsidR="00BA42AD" w:rsidRPr="00472578" w:rsidRDefault="00BA42AD" w:rsidP="00472578">
            <w:pPr>
              <w:spacing w:after="0" w:line="240" w:lineRule="auto"/>
              <w:jc w:val="both"/>
              <w:rPr>
                <w:rFonts w:ascii="Calibri" w:hAnsi="Calibri" w:cs="Calibri"/>
              </w:rPr>
            </w:pPr>
            <w:r w:rsidRPr="00472578">
              <w:rPr>
                <w:rFonts w:ascii="Calibri" w:hAnsi="Calibri" w:cs="Calibri"/>
              </w:rPr>
              <w:t xml:space="preserve">Produits isolants thermiques - Applications externes aux murs des fondations - Partie 1: Spécification des matériaux </w:t>
            </w:r>
          </w:p>
        </w:tc>
      </w:tr>
      <w:tr w:rsidR="00BA42AD" w:rsidRPr="00472578" w:rsidTr="00472578">
        <w:trPr>
          <w:trHeight w:val="701"/>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BA42AD" w:rsidRPr="00472578" w:rsidRDefault="00BA42AD" w:rsidP="00472578">
            <w:pPr>
              <w:spacing w:after="0" w:line="240" w:lineRule="auto"/>
              <w:jc w:val="center"/>
              <w:rPr>
                <w:rFonts w:ascii="Calibri" w:hAnsi="Calibri" w:cs="Calibri"/>
                <w:b/>
                <w:bCs/>
              </w:rPr>
            </w:pPr>
            <w:r w:rsidRPr="00472578">
              <w:rPr>
                <w:rFonts w:ascii="Calibri" w:hAnsi="Calibri" w:cs="Calibri"/>
                <w:b/>
                <w:bCs/>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bottom"/>
          </w:tcPr>
          <w:p w:rsidR="00BA42AD" w:rsidRPr="00472578" w:rsidRDefault="00BA42AD" w:rsidP="00472578">
            <w:pPr>
              <w:spacing w:after="0" w:line="240" w:lineRule="auto"/>
              <w:jc w:val="both"/>
              <w:rPr>
                <w:rFonts w:ascii="Calibri" w:hAnsi="Calibri" w:cs="Calibri"/>
              </w:rPr>
            </w:pPr>
            <w:r w:rsidRPr="00472578">
              <w:rPr>
                <w:rFonts w:ascii="Calibri" w:hAnsi="Calibri" w:cs="Calibri"/>
              </w:rPr>
              <w:t>La NM ISO 12575-1 spécifie les exigences de performance de base pour les matériaux isolants faisant partie des systèmes d'isolation appliqués de manière externe des murs des fondations et des dalles lorsque l'isolation est en contact direct avec le sol. La présente norme ne traite pas des systèmes d'isolation externe des fondations immergées en permanence dans l'eau.</w:t>
            </w:r>
          </w:p>
        </w:tc>
      </w:tr>
    </w:tbl>
    <w:p w:rsidR="00904E52" w:rsidRPr="0043547B" w:rsidRDefault="00904E52" w:rsidP="006019E6">
      <w:pPr>
        <w:pStyle w:val="Titre4"/>
        <w:numPr>
          <w:ilvl w:val="2"/>
          <w:numId w:val="2"/>
        </w:numPr>
        <w:ind w:left="1418" w:hanging="579"/>
        <w:rPr>
          <w:rFonts w:cstheme="minorHAnsi"/>
          <w:b/>
          <w:bCs w:val="0"/>
          <w:iCs w:val="0"/>
          <w:color w:val="auto"/>
          <w:szCs w:val="24"/>
          <w:u w:val="single"/>
        </w:rPr>
      </w:pPr>
      <w:bookmarkStart w:id="32" w:name="_Toc458606089"/>
      <w:r w:rsidRPr="0043547B">
        <w:rPr>
          <w:rFonts w:cstheme="minorHAnsi"/>
          <w:b/>
          <w:bCs w:val="0"/>
          <w:iCs w:val="0"/>
          <w:color w:val="auto"/>
          <w:szCs w:val="24"/>
          <w:u w:val="single"/>
        </w:rPr>
        <w:t>Bois liège et produits dérivés</w:t>
      </w:r>
      <w:bookmarkEnd w:id="32"/>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8"/>
        <w:gridCol w:w="7938"/>
      </w:tblGrid>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14229</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14229</w:t>
            </w:r>
          </w:p>
        </w:tc>
      </w:tr>
      <w:tr w:rsidR="0043547B" w:rsidRPr="0043547B" w:rsidTr="00CB5DC0">
        <w:trPr>
          <w:trHeight w:val="199"/>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FFFFFF" w:themeFill="background1"/>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Bois de structure - Poteaux en bois pour lignes aériennes ;  </w:t>
            </w:r>
          </w:p>
        </w:tc>
      </w:tr>
      <w:tr w:rsidR="0043547B" w:rsidRPr="0043547B" w:rsidTr="00CB5DC0">
        <w:trPr>
          <w:trHeight w:val="843"/>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FFFFFF" w:themeFill="background1"/>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couvre les exigences pour les poteaux en bois simples destinés aux lignes aériennes traités ou non traités avec un produit de préservation, soumis à une charge en porte-à-faux ou à une charge en compression (elle ne s'applique pas aux poteaux utilisés comme poutres). Elle couvre les méthodes d'essai, la détermination des valeurs caractéristiques, les méthodes de spécification de la durabilité ainsi que les dimensions.</w:t>
            </w:r>
          </w:p>
          <w:p w:rsidR="00606FAD" w:rsidRPr="0043547B" w:rsidRDefault="00606FAD" w:rsidP="00606FA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fixe également les principes de classement visuel.</w:t>
            </w:r>
          </w:p>
          <w:p w:rsidR="00904E52" w:rsidRPr="0043547B" w:rsidRDefault="00606FAD" w:rsidP="00606FA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aussi bien aux poteaux en bois feuillus qu'en bois résineux. La norme spécifie l'évaluation des exigences de conformité et de marquage des poteaux en bois.</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5F7538" w:rsidRPr="0043547B" w:rsidRDefault="005F7538" w:rsidP="005F7538">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hideMark/>
          </w:tcPr>
          <w:p w:rsidR="005F7538" w:rsidRPr="0043547B" w:rsidRDefault="005F7538" w:rsidP="000A4A0B">
            <w:pPr>
              <w:spacing w:after="0" w:line="240" w:lineRule="auto"/>
              <w:jc w:val="center"/>
              <w:rPr>
                <w:rFonts w:cstheme="minorHAnsi"/>
                <w:b/>
                <w:bCs/>
                <w:sz w:val="24"/>
                <w:szCs w:val="24"/>
              </w:rPr>
            </w:pPr>
            <w:r w:rsidRPr="0043547B">
              <w:rPr>
                <w:rFonts w:cstheme="minorHAnsi"/>
                <w:b/>
                <w:bCs/>
                <w:sz w:val="24"/>
                <w:szCs w:val="24"/>
              </w:rPr>
              <w:t>NM EN 14915 (10.6.910)</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5F7538" w:rsidRPr="0043547B" w:rsidRDefault="005F7538" w:rsidP="005F7538">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5F7538" w:rsidRPr="0043547B" w:rsidRDefault="005F7538" w:rsidP="000A4A0B">
            <w:pPr>
              <w:spacing w:after="0" w:line="240" w:lineRule="auto"/>
              <w:jc w:val="center"/>
              <w:rPr>
                <w:rFonts w:cstheme="minorHAnsi"/>
                <w:b/>
                <w:bCs/>
                <w:sz w:val="24"/>
                <w:szCs w:val="24"/>
              </w:rPr>
            </w:pPr>
            <w:r w:rsidRPr="0043547B">
              <w:rPr>
                <w:rFonts w:cstheme="minorHAnsi"/>
                <w:b/>
                <w:bCs/>
                <w:sz w:val="24"/>
                <w:szCs w:val="24"/>
              </w:rPr>
              <w:t>EN 14915</w:t>
            </w:r>
          </w:p>
        </w:tc>
      </w:tr>
      <w:tr w:rsidR="0043547B" w:rsidRPr="0043547B" w:rsidTr="00CB5DC0">
        <w:trPr>
          <w:trHeight w:val="33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5F7538" w:rsidRPr="0043547B" w:rsidRDefault="005F7538" w:rsidP="005F7538">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FFFFFF" w:themeFill="background1"/>
            <w:hideMark/>
          </w:tcPr>
          <w:p w:rsidR="005F7538" w:rsidRPr="0043547B" w:rsidRDefault="005F7538" w:rsidP="000A4A0B">
            <w:pPr>
              <w:spacing w:after="0" w:line="240" w:lineRule="auto"/>
              <w:jc w:val="both"/>
              <w:rPr>
                <w:rFonts w:cstheme="minorHAnsi"/>
                <w:sz w:val="24"/>
                <w:szCs w:val="24"/>
              </w:rPr>
            </w:pPr>
            <w:r w:rsidRPr="0043547B">
              <w:rPr>
                <w:rFonts w:cstheme="minorHAnsi"/>
                <w:sz w:val="24"/>
                <w:szCs w:val="24"/>
              </w:rPr>
              <w:t>Lambris et bardages bois - Caractéristiques, évaluation de conformité et marquage</w:t>
            </w:r>
          </w:p>
        </w:tc>
      </w:tr>
      <w:tr w:rsidR="0043547B" w:rsidRPr="0043547B" w:rsidTr="00CB5DC0">
        <w:trPr>
          <w:trHeight w:val="58"/>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5F7538" w:rsidRPr="0043547B" w:rsidRDefault="005F7538" w:rsidP="005F7538">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FFFFFF" w:themeFill="background1"/>
            <w:vAlign w:val="bottom"/>
            <w:hideMark/>
          </w:tcPr>
          <w:p w:rsidR="005F7538" w:rsidRPr="0043547B" w:rsidRDefault="005F7538" w:rsidP="000A4A0B">
            <w:pPr>
              <w:spacing w:after="0" w:line="240" w:lineRule="auto"/>
              <w:rPr>
                <w:rFonts w:cstheme="minorHAnsi"/>
                <w:sz w:val="24"/>
                <w:szCs w:val="24"/>
              </w:rPr>
            </w:pPr>
            <w:r w:rsidRPr="0043547B">
              <w:rPr>
                <w:rFonts w:cstheme="minorHAnsi"/>
                <w:sz w:val="24"/>
                <w:szCs w:val="24"/>
              </w:rPr>
              <w:t>La présente Norme européenne définit et spécifie les caractéristiques pertinentes, ainsi que les méthodes d'essais appropriées, pour déterminer les caractéristiques des produits bois destinés à être utilisés en tant que lambris et bardages utilisés en :</w:t>
            </w:r>
            <w:r w:rsidRPr="0043547B">
              <w:rPr>
                <w:rFonts w:cstheme="minorHAnsi"/>
                <w:sz w:val="24"/>
                <w:szCs w:val="24"/>
              </w:rPr>
              <w:br/>
              <w:t>— ouvrage de revêtement de mur et de plafond pour usage intérieur (lambris) ;</w:t>
            </w:r>
            <w:r w:rsidRPr="0043547B">
              <w:rPr>
                <w:rFonts w:cstheme="minorHAnsi"/>
                <w:sz w:val="24"/>
                <w:szCs w:val="24"/>
              </w:rPr>
              <w:br/>
              <w:t>— ouvrage de revêtement de mur et de plafond abrité pour usage extérieur (bardages).</w:t>
            </w:r>
            <w:r w:rsidRPr="0043547B">
              <w:rPr>
                <w:rFonts w:cstheme="minorHAnsi"/>
                <w:sz w:val="24"/>
                <w:szCs w:val="24"/>
              </w:rPr>
              <w:br/>
              <w:t>Elle traite de l'évaluation de la conformité et des exigences concernant le marquage de ces produits.</w:t>
            </w:r>
            <w:r w:rsidRPr="0043547B">
              <w:rPr>
                <w:rFonts w:cstheme="minorHAnsi"/>
                <w:sz w:val="24"/>
                <w:szCs w:val="24"/>
              </w:rPr>
              <w:br/>
              <w:t>La présente Norme européenne ne s'applique pas aux panneaux destinés à être utilisés comme éléments raidisseurs.</w:t>
            </w:r>
            <w:r w:rsidRPr="0043547B">
              <w:rPr>
                <w:rFonts w:cstheme="minorHAnsi"/>
                <w:sz w:val="24"/>
                <w:szCs w:val="24"/>
              </w:rPr>
              <w:br/>
              <w:t>La présente Norme européenne ne s'applique pas aux plafonds suspendus en lambris et bardages en bois.</w:t>
            </w:r>
            <w:r w:rsidRPr="0043547B">
              <w:rPr>
                <w:rFonts w:cstheme="minorHAnsi"/>
                <w:sz w:val="24"/>
                <w:szCs w:val="24"/>
              </w:rPr>
              <w:br/>
              <w:t>La présente Norme européenne ne traite pas des procédés de traitement, de revêtement de surface ou de modification du bois.</w:t>
            </w:r>
            <w:r w:rsidRPr="0043547B">
              <w:rPr>
                <w:rFonts w:cstheme="minorHAnsi"/>
                <w:sz w:val="24"/>
                <w:szCs w:val="24"/>
              </w:rPr>
              <w:br/>
              <w:t>La présente Norme européenne ne s'applique pas aux produits qui proviennent de section lamellée.</w:t>
            </w:r>
            <w:r w:rsidRPr="0043547B">
              <w:rPr>
                <w:rFonts w:cstheme="minorHAnsi"/>
                <w:sz w:val="24"/>
                <w:szCs w:val="24"/>
              </w:rPr>
              <w:br/>
            </w:r>
            <w:r w:rsidRPr="0043547B">
              <w:rPr>
                <w:rFonts w:cstheme="minorHAnsi"/>
                <w:sz w:val="24"/>
                <w:szCs w:val="24"/>
              </w:rPr>
              <w:lastRenderedPageBreak/>
              <w:t>La présente Norme européenne s'applique aux produits traités, non traités et revêtus, y compris ceux fabriqués à partir de bois modifié chimiquement ou thermiquement, ainsi qu'aux produits aboutés et collés sur chant.</w:t>
            </w:r>
            <w:r w:rsidRPr="0043547B">
              <w:rPr>
                <w:rFonts w:cstheme="minorHAnsi"/>
                <w:sz w:val="24"/>
                <w:szCs w:val="24"/>
              </w:rPr>
              <w:br/>
              <w:t>NOTE Les prescriptions de finition et de traitement sont à rechercher dans les exigences prescrites pour le lieu d'utilisation La présente Norme européenne s'applique aux produits conformes à l'EN 14519, à l'EN 15146, et à l'EN 14951, ainsi qu'aux autres produits bois fabriqués en vue de la réalisation de lambris et de bardages.</w:t>
            </w:r>
          </w:p>
        </w:tc>
      </w:tr>
      <w:tr w:rsidR="0043547B" w:rsidRPr="0043547B" w:rsidTr="00CB5DC0">
        <w:trPr>
          <w:trHeight w:val="248"/>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160B21" w:rsidRPr="002342C4" w:rsidRDefault="00160B21" w:rsidP="003D453B">
            <w:pPr>
              <w:spacing w:after="0" w:line="240" w:lineRule="auto"/>
              <w:jc w:val="center"/>
              <w:rPr>
                <w:rFonts w:cstheme="minorHAnsi"/>
                <w:b/>
                <w:bCs/>
                <w:sz w:val="24"/>
                <w:szCs w:val="24"/>
              </w:rPr>
            </w:pPr>
            <w:r w:rsidRPr="002342C4">
              <w:rPr>
                <w:rFonts w:cstheme="minorHAnsi"/>
                <w:b/>
                <w:bCs/>
                <w:sz w:val="24"/>
                <w:szCs w:val="24"/>
              </w:rPr>
              <w:lastRenderedPageBreak/>
              <w:t>Code :</w:t>
            </w:r>
          </w:p>
        </w:tc>
        <w:tc>
          <w:tcPr>
            <w:tcW w:w="7938" w:type="dxa"/>
            <w:tcBorders>
              <w:left w:val="single" w:sz="4" w:space="0" w:color="auto"/>
              <w:bottom w:val="single" w:sz="18" w:space="0" w:color="auto"/>
              <w:right w:val="single" w:sz="18" w:space="0" w:color="auto"/>
            </w:tcBorders>
            <w:shd w:val="clear" w:color="auto" w:fill="C2D69B" w:themeFill="accent3" w:themeFillTint="99"/>
          </w:tcPr>
          <w:p w:rsidR="00160B21" w:rsidRPr="002342C4" w:rsidRDefault="00160B21" w:rsidP="003D453B">
            <w:pPr>
              <w:spacing w:after="0" w:line="240" w:lineRule="auto"/>
              <w:jc w:val="center"/>
              <w:rPr>
                <w:rFonts w:cstheme="minorHAnsi"/>
                <w:b/>
                <w:bCs/>
                <w:sz w:val="24"/>
                <w:szCs w:val="24"/>
              </w:rPr>
            </w:pPr>
            <w:r w:rsidRPr="002342C4">
              <w:rPr>
                <w:rFonts w:cstheme="minorHAnsi"/>
                <w:b/>
                <w:bCs/>
                <w:sz w:val="24"/>
                <w:szCs w:val="24"/>
              </w:rPr>
              <w:t>NM EN 633</w:t>
            </w:r>
          </w:p>
        </w:tc>
      </w:tr>
      <w:tr w:rsidR="0043547B" w:rsidRPr="0043547B" w:rsidTr="00CB5DC0">
        <w:trPr>
          <w:trHeight w:val="58"/>
          <w:jc w:val="center"/>
        </w:trPr>
        <w:tc>
          <w:tcPr>
            <w:tcW w:w="1838" w:type="dxa"/>
            <w:tcBorders>
              <w:top w:val="single" w:sz="18" w:space="0" w:color="auto"/>
              <w:left w:val="single" w:sz="18" w:space="0" w:color="auto"/>
              <w:bottom w:val="single" w:sz="4" w:space="0" w:color="auto"/>
              <w:right w:val="single" w:sz="4" w:space="0" w:color="auto"/>
            </w:tcBorders>
            <w:shd w:val="clear" w:color="auto" w:fill="FDFBA9"/>
            <w:vAlign w:val="center"/>
          </w:tcPr>
          <w:p w:rsidR="00160B21" w:rsidRPr="002342C4" w:rsidRDefault="00160B21" w:rsidP="003D453B">
            <w:pPr>
              <w:spacing w:after="0" w:line="240" w:lineRule="auto"/>
              <w:jc w:val="center"/>
              <w:rPr>
                <w:rFonts w:cstheme="minorHAnsi"/>
                <w:b/>
                <w:bCs/>
                <w:sz w:val="24"/>
                <w:szCs w:val="24"/>
              </w:rPr>
            </w:pPr>
            <w:r w:rsidRPr="002342C4">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DFBA9"/>
            <w:vAlign w:val="center"/>
          </w:tcPr>
          <w:p w:rsidR="00160B21" w:rsidRPr="002342C4" w:rsidRDefault="00160B21" w:rsidP="003D453B">
            <w:pPr>
              <w:spacing w:after="0" w:line="240" w:lineRule="auto"/>
              <w:jc w:val="center"/>
              <w:rPr>
                <w:rFonts w:cstheme="minorHAnsi"/>
                <w:b/>
                <w:bCs/>
                <w:sz w:val="24"/>
                <w:szCs w:val="24"/>
              </w:rPr>
            </w:pPr>
            <w:r w:rsidRPr="002342C4">
              <w:rPr>
                <w:rFonts w:cstheme="minorHAnsi"/>
                <w:b/>
                <w:bCs/>
                <w:sz w:val="24"/>
                <w:szCs w:val="24"/>
              </w:rPr>
              <w:t>EN 633</w:t>
            </w:r>
          </w:p>
        </w:tc>
      </w:tr>
      <w:tr w:rsidR="0043547B" w:rsidRPr="0043547B" w:rsidTr="00CB5DC0">
        <w:trPr>
          <w:trHeight w:val="58"/>
          <w:jc w:val="center"/>
        </w:trPr>
        <w:tc>
          <w:tcPr>
            <w:tcW w:w="1838" w:type="dxa"/>
            <w:tcBorders>
              <w:top w:val="single" w:sz="4" w:space="0" w:color="auto"/>
              <w:left w:val="single" w:sz="18" w:space="0" w:color="auto"/>
              <w:bottom w:val="single" w:sz="4" w:space="0" w:color="auto"/>
              <w:right w:val="single" w:sz="4" w:space="0" w:color="auto"/>
            </w:tcBorders>
            <w:shd w:val="clear" w:color="auto" w:fill="95B3D7" w:themeFill="accent1" w:themeFillTint="99"/>
            <w:vAlign w:val="center"/>
          </w:tcPr>
          <w:p w:rsidR="00160B21" w:rsidRPr="0043547B" w:rsidRDefault="00160B21" w:rsidP="003D453B">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FFFFFF" w:themeFill="background1"/>
          </w:tcPr>
          <w:p w:rsidR="00160B21" w:rsidRPr="0043547B" w:rsidRDefault="00160B21" w:rsidP="003D453B">
            <w:pPr>
              <w:spacing w:after="0" w:line="240" w:lineRule="auto"/>
              <w:jc w:val="both"/>
              <w:rPr>
                <w:rFonts w:cstheme="minorHAnsi"/>
                <w:sz w:val="24"/>
                <w:szCs w:val="24"/>
              </w:rPr>
            </w:pPr>
            <w:r w:rsidRPr="0043547B">
              <w:rPr>
                <w:rFonts w:cstheme="minorHAnsi"/>
                <w:sz w:val="24"/>
                <w:szCs w:val="24"/>
              </w:rPr>
              <w:t xml:space="preserve">Panneaux de particules liées au ciment - Définition et classification  </w:t>
            </w:r>
          </w:p>
        </w:tc>
      </w:tr>
      <w:tr w:rsidR="0043547B" w:rsidRPr="0043547B" w:rsidTr="00CB5DC0">
        <w:trPr>
          <w:trHeight w:val="58"/>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160B21" w:rsidRPr="0043547B" w:rsidRDefault="00160B21" w:rsidP="003D453B">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FFFFFF" w:themeFill="background1"/>
          </w:tcPr>
          <w:p w:rsidR="003D453B" w:rsidRDefault="00160B21" w:rsidP="003D453B">
            <w:pPr>
              <w:spacing w:after="0" w:line="240" w:lineRule="auto"/>
              <w:jc w:val="both"/>
              <w:rPr>
                <w:rFonts w:cstheme="minorHAnsi"/>
                <w:sz w:val="24"/>
                <w:szCs w:val="24"/>
              </w:rPr>
            </w:pPr>
            <w:r w:rsidRPr="0043547B">
              <w:rPr>
                <w:rFonts w:cstheme="minorHAnsi"/>
                <w:sz w:val="24"/>
                <w:szCs w:val="24"/>
              </w:rPr>
              <w:t>La présente norme donne une définition et une classification pour les panneaux de particules liées au ciment.</w:t>
            </w:r>
          </w:p>
          <w:p w:rsidR="00160B21" w:rsidRPr="0043547B" w:rsidRDefault="003D453B" w:rsidP="001914E3">
            <w:pPr>
              <w:spacing w:after="0" w:line="240" w:lineRule="auto"/>
              <w:jc w:val="both"/>
              <w:rPr>
                <w:rFonts w:cstheme="minorHAnsi"/>
                <w:sz w:val="24"/>
                <w:szCs w:val="24"/>
              </w:rPr>
            </w:pPr>
            <w:r>
              <w:rPr>
                <w:rFonts w:cstheme="minorHAnsi"/>
                <w:sz w:val="24"/>
                <w:szCs w:val="24"/>
              </w:rPr>
              <w:t>L</w:t>
            </w:r>
            <w:r w:rsidR="00160B21" w:rsidRPr="0043547B">
              <w:rPr>
                <w:rFonts w:cstheme="minorHAnsi"/>
                <w:sz w:val="24"/>
                <w:szCs w:val="24"/>
              </w:rPr>
              <w:t xml:space="preserve">es panneaux de particules fabriqués avec des liants organiques, et les panneaux de particules fabriqués avec un liant plâtre ne sont pas inclus ici.                            </w:t>
            </w:r>
            <w:r w:rsidR="001914E3">
              <w:rPr>
                <w:rFonts w:cstheme="minorHAnsi"/>
                <w:sz w:val="24"/>
                <w:szCs w:val="24"/>
              </w:rPr>
              <w:t xml:space="preserve">            </w:t>
            </w:r>
            <w:r w:rsidR="001914E3" w:rsidRPr="001914E3">
              <w:rPr>
                <w:rFonts w:cstheme="minorHAnsi"/>
                <w:b/>
                <w:bCs/>
                <w:i/>
                <w:iCs/>
              </w:rPr>
              <w:t>NOTE</w:t>
            </w:r>
            <w:r w:rsidR="00160B21" w:rsidRPr="001914E3">
              <w:rPr>
                <w:rFonts w:cstheme="minorHAnsi"/>
                <w:i/>
                <w:iCs/>
              </w:rPr>
              <w:t xml:space="preserve"> : Les panneaux de particules fabriqués avec des liants organiques sont définis et classés en EN 309:1992 "Panneaux de particules - Définition et classification".</w:t>
            </w:r>
          </w:p>
        </w:tc>
      </w:tr>
      <w:tr w:rsidR="0043547B" w:rsidRPr="0043547B" w:rsidTr="00CB5DC0">
        <w:trPr>
          <w:trHeight w:val="58"/>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160B21" w:rsidRPr="002342C4" w:rsidRDefault="00160B21" w:rsidP="001914E3">
            <w:pPr>
              <w:spacing w:after="0" w:line="240" w:lineRule="auto"/>
              <w:jc w:val="center"/>
              <w:rPr>
                <w:rFonts w:cstheme="minorHAnsi"/>
                <w:b/>
                <w:bCs/>
                <w:sz w:val="24"/>
                <w:szCs w:val="24"/>
              </w:rPr>
            </w:pPr>
            <w:r w:rsidRPr="002342C4">
              <w:rPr>
                <w:rFonts w:cstheme="minorHAnsi"/>
                <w:b/>
                <w:bCs/>
                <w:sz w:val="24"/>
                <w:szCs w:val="24"/>
              </w:rPr>
              <w:t>Code :</w:t>
            </w:r>
          </w:p>
        </w:tc>
        <w:tc>
          <w:tcPr>
            <w:tcW w:w="7938" w:type="dxa"/>
            <w:tcBorders>
              <w:left w:val="single" w:sz="4" w:space="0" w:color="auto"/>
              <w:bottom w:val="single" w:sz="18" w:space="0" w:color="auto"/>
              <w:right w:val="single" w:sz="18" w:space="0" w:color="auto"/>
            </w:tcBorders>
            <w:shd w:val="clear" w:color="auto" w:fill="C2D69B" w:themeFill="accent3" w:themeFillTint="99"/>
          </w:tcPr>
          <w:p w:rsidR="00160B21" w:rsidRPr="002342C4" w:rsidRDefault="00160B21" w:rsidP="001914E3">
            <w:pPr>
              <w:spacing w:after="0" w:line="240" w:lineRule="auto"/>
              <w:jc w:val="center"/>
              <w:rPr>
                <w:rFonts w:cstheme="minorHAnsi"/>
                <w:b/>
                <w:bCs/>
                <w:sz w:val="24"/>
                <w:szCs w:val="24"/>
              </w:rPr>
            </w:pPr>
            <w:r w:rsidRPr="002342C4">
              <w:rPr>
                <w:rFonts w:cstheme="minorHAnsi"/>
                <w:b/>
                <w:bCs/>
                <w:sz w:val="24"/>
                <w:szCs w:val="24"/>
              </w:rPr>
              <w:t>NM EN 14915</w:t>
            </w:r>
          </w:p>
        </w:tc>
      </w:tr>
      <w:tr w:rsidR="0043547B" w:rsidRPr="0043547B" w:rsidTr="001914E3">
        <w:trPr>
          <w:trHeight w:val="58"/>
          <w:jc w:val="center"/>
        </w:trPr>
        <w:tc>
          <w:tcPr>
            <w:tcW w:w="1838" w:type="dxa"/>
            <w:tcBorders>
              <w:top w:val="single" w:sz="18" w:space="0" w:color="auto"/>
              <w:left w:val="single" w:sz="18" w:space="0" w:color="auto"/>
              <w:bottom w:val="single" w:sz="4" w:space="0" w:color="auto"/>
              <w:right w:val="single" w:sz="4" w:space="0" w:color="auto"/>
            </w:tcBorders>
            <w:shd w:val="clear" w:color="auto" w:fill="FDFBA9"/>
            <w:vAlign w:val="center"/>
          </w:tcPr>
          <w:p w:rsidR="00160B21" w:rsidRPr="0043547B" w:rsidRDefault="00160B21" w:rsidP="001914E3">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DFBA9"/>
            <w:vAlign w:val="center"/>
          </w:tcPr>
          <w:p w:rsidR="00160B21" w:rsidRPr="0043547B" w:rsidRDefault="00160B21" w:rsidP="001914E3">
            <w:pPr>
              <w:spacing w:after="0" w:line="240" w:lineRule="auto"/>
              <w:jc w:val="center"/>
              <w:rPr>
                <w:rFonts w:cstheme="minorHAnsi"/>
                <w:sz w:val="24"/>
                <w:szCs w:val="24"/>
              </w:rPr>
            </w:pPr>
            <w:r w:rsidRPr="0043547B">
              <w:rPr>
                <w:rFonts w:cstheme="minorHAnsi"/>
                <w:sz w:val="24"/>
                <w:szCs w:val="24"/>
              </w:rPr>
              <w:t>EN 14915</w:t>
            </w:r>
          </w:p>
        </w:tc>
      </w:tr>
      <w:tr w:rsidR="0043547B" w:rsidRPr="0043547B" w:rsidTr="001914E3">
        <w:trPr>
          <w:trHeight w:val="58"/>
          <w:jc w:val="center"/>
        </w:trPr>
        <w:tc>
          <w:tcPr>
            <w:tcW w:w="1838" w:type="dxa"/>
            <w:tcBorders>
              <w:top w:val="single" w:sz="4" w:space="0" w:color="auto"/>
              <w:left w:val="single" w:sz="18" w:space="0" w:color="auto"/>
              <w:bottom w:val="single" w:sz="4" w:space="0" w:color="auto"/>
              <w:right w:val="single" w:sz="4" w:space="0" w:color="auto"/>
            </w:tcBorders>
            <w:shd w:val="clear" w:color="auto" w:fill="95B3D7" w:themeFill="accent1" w:themeFillTint="99"/>
            <w:vAlign w:val="center"/>
          </w:tcPr>
          <w:p w:rsidR="00160B21" w:rsidRPr="0043547B" w:rsidRDefault="00160B21" w:rsidP="001914E3">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FFFFFF" w:themeFill="background1"/>
          </w:tcPr>
          <w:p w:rsidR="00160B21" w:rsidRPr="0043547B" w:rsidRDefault="00160B21" w:rsidP="001914E3">
            <w:pPr>
              <w:spacing w:after="0" w:line="240" w:lineRule="auto"/>
              <w:jc w:val="both"/>
              <w:rPr>
                <w:rFonts w:cstheme="minorHAnsi"/>
                <w:sz w:val="24"/>
                <w:szCs w:val="24"/>
              </w:rPr>
            </w:pPr>
            <w:r w:rsidRPr="0043547B">
              <w:rPr>
                <w:rFonts w:cstheme="minorHAnsi"/>
                <w:sz w:val="24"/>
                <w:szCs w:val="24"/>
              </w:rPr>
              <w:t xml:space="preserve">Lambris et bardages bois - Caractéristiques, évaluation de conformité et marquage </w:t>
            </w:r>
          </w:p>
        </w:tc>
      </w:tr>
      <w:tr w:rsidR="0043547B" w:rsidRPr="0043547B" w:rsidTr="00CB5DC0">
        <w:trPr>
          <w:trHeight w:val="58"/>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160B21" w:rsidRPr="0043547B" w:rsidRDefault="00160B21" w:rsidP="001914E3">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FFFFFF" w:themeFill="background1"/>
          </w:tcPr>
          <w:p w:rsidR="001914E3" w:rsidRDefault="00160B21" w:rsidP="001914E3">
            <w:pPr>
              <w:spacing w:after="0" w:line="240" w:lineRule="auto"/>
              <w:jc w:val="both"/>
              <w:rPr>
                <w:rFonts w:cstheme="minorHAnsi"/>
                <w:sz w:val="24"/>
                <w:szCs w:val="24"/>
              </w:rPr>
            </w:pPr>
            <w:r w:rsidRPr="0043547B">
              <w:rPr>
                <w:rFonts w:cstheme="minorHAnsi"/>
                <w:sz w:val="24"/>
                <w:szCs w:val="24"/>
              </w:rPr>
              <w:t>La présente Norme européenne définit et spécifie les caractéristiques pertinentes, ainsi que les méthodes d'essais appropriées, pour déterminer les caractéristiques des produits bois destinés à être utilisés en tant que lambris et bardages utilisés en :</w:t>
            </w:r>
          </w:p>
          <w:p w:rsidR="001914E3" w:rsidRDefault="00160B21" w:rsidP="001914E3">
            <w:pPr>
              <w:spacing w:after="0" w:line="240" w:lineRule="auto"/>
              <w:jc w:val="both"/>
              <w:rPr>
                <w:rFonts w:cstheme="minorHAnsi"/>
                <w:sz w:val="24"/>
                <w:szCs w:val="24"/>
              </w:rPr>
            </w:pPr>
            <w:r w:rsidRPr="0043547B">
              <w:rPr>
                <w:rFonts w:cstheme="minorHAnsi"/>
                <w:sz w:val="24"/>
                <w:szCs w:val="24"/>
              </w:rPr>
              <w:t>— ouvrage de revêtement de mur et de plafond pour usage intérieur (lambris) ;</w:t>
            </w:r>
            <w:r w:rsidRPr="0043547B">
              <w:rPr>
                <w:rFonts w:cstheme="minorHAnsi"/>
                <w:sz w:val="24"/>
                <w:szCs w:val="24"/>
              </w:rPr>
              <w:br/>
              <w:t>— ouvrage de revêtement de mur et de plafond abrité pour usage extérieur (bardages).</w:t>
            </w:r>
            <w:r w:rsidRPr="0043547B">
              <w:rPr>
                <w:rFonts w:cstheme="minorHAnsi"/>
                <w:sz w:val="24"/>
                <w:szCs w:val="24"/>
              </w:rPr>
              <w:br/>
              <w:t>Elle traite de l'évaluation de la conformité et des exigences concernant le marquage de ces produits.</w:t>
            </w:r>
          </w:p>
          <w:p w:rsidR="001914E3" w:rsidRDefault="00160B21" w:rsidP="001914E3">
            <w:pPr>
              <w:spacing w:after="0" w:line="240" w:lineRule="auto"/>
              <w:jc w:val="both"/>
              <w:rPr>
                <w:rFonts w:cstheme="minorHAnsi"/>
                <w:sz w:val="24"/>
                <w:szCs w:val="24"/>
              </w:rPr>
            </w:pPr>
            <w:r w:rsidRPr="0043547B">
              <w:rPr>
                <w:rFonts w:cstheme="minorHAnsi"/>
                <w:sz w:val="24"/>
                <w:szCs w:val="24"/>
              </w:rPr>
              <w:t>La présente Norme européenne ne s'applique pas aux panneaux destinés à être utilisés comme éléments raidisseurs.</w:t>
            </w:r>
          </w:p>
          <w:p w:rsidR="001914E3" w:rsidRDefault="00160B21" w:rsidP="001914E3">
            <w:pPr>
              <w:spacing w:after="0" w:line="240" w:lineRule="auto"/>
              <w:jc w:val="both"/>
              <w:rPr>
                <w:rFonts w:cstheme="minorHAnsi"/>
                <w:sz w:val="24"/>
                <w:szCs w:val="24"/>
              </w:rPr>
            </w:pPr>
            <w:r w:rsidRPr="0043547B">
              <w:rPr>
                <w:rFonts w:cstheme="minorHAnsi"/>
                <w:sz w:val="24"/>
                <w:szCs w:val="24"/>
              </w:rPr>
              <w:t>La présente Norme européenne ne s'applique pas aux plafonds suspendus en lambris et bardages en bois.</w:t>
            </w:r>
          </w:p>
          <w:p w:rsidR="001914E3" w:rsidRDefault="00160B21" w:rsidP="001914E3">
            <w:pPr>
              <w:spacing w:after="0" w:line="240" w:lineRule="auto"/>
              <w:jc w:val="both"/>
              <w:rPr>
                <w:rFonts w:cstheme="minorHAnsi"/>
                <w:sz w:val="24"/>
                <w:szCs w:val="24"/>
              </w:rPr>
            </w:pPr>
            <w:r w:rsidRPr="0043547B">
              <w:rPr>
                <w:rFonts w:cstheme="minorHAnsi"/>
                <w:sz w:val="24"/>
                <w:szCs w:val="24"/>
              </w:rPr>
              <w:t>La présente Norme européenne ne traite pas des procédés de traitement, de revêtement de surface ou de modification du bois.</w:t>
            </w:r>
          </w:p>
          <w:p w:rsidR="001914E3" w:rsidRDefault="00160B21" w:rsidP="001914E3">
            <w:pPr>
              <w:spacing w:after="0" w:line="240" w:lineRule="auto"/>
              <w:jc w:val="both"/>
              <w:rPr>
                <w:rFonts w:cstheme="minorHAnsi"/>
                <w:sz w:val="24"/>
                <w:szCs w:val="24"/>
              </w:rPr>
            </w:pPr>
            <w:r w:rsidRPr="0043547B">
              <w:rPr>
                <w:rFonts w:cstheme="minorHAnsi"/>
                <w:sz w:val="24"/>
                <w:szCs w:val="24"/>
              </w:rPr>
              <w:t>La présente Norme européenne ne s'applique pas aux produits qui proviennent de section lamellée.</w:t>
            </w:r>
          </w:p>
          <w:p w:rsidR="001914E3" w:rsidRDefault="00160B21" w:rsidP="001914E3">
            <w:pPr>
              <w:spacing w:after="0" w:line="240" w:lineRule="auto"/>
              <w:jc w:val="both"/>
              <w:rPr>
                <w:rFonts w:cstheme="minorHAnsi"/>
                <w:sz w:val="24"/>
                <w:szCs w:val="24"/>
              </w:rPr>
            </w:pPr>
            <w:r w:rsidRPr="0043547B">
              <w:rPr>
                <w:rFonts w:cstheme="minorHAnsi"/>
                <w:sz w:val="24"/>
                <w:szCs w:val="24"/>
              </w:rPr>
              <w:t>La présente Norme européenne s'applique aux produits traités, non traités et revêtus, y compris ceux fabriqués à partir de bois modifié chimiquement ou thermiquement, ainsi qu'aux produits aboutés et collés sur chant.</w:t>
            </w:r>
          </w:p>
          <w:p w:rsidR="00160B21" w:rsidRPr="0043547B" w:rsidRDefault="00160B21" w:rsidP="001914E3">
            <w:pPr>
              <w:spacing w:after="0" w:line="240" w:lineRule="auto"/>
              <w:jc w:val="both"/>
              <w:rPr>
                <w:rFonts w:cstheme="minorHAnsi"/>
                <w:sz w:val="24"/>
                <w:szCs w:val="24"/>
              </w:rPr>
            </w:pPr>
            <w:r w:rsidRPr="001914E3">
              <w:rPr>
                <w:rFonts w:cstheme="minorHAnsi"/>
                <w:b/>
                <w:bCs/>
                <w:i/>
                <w:iCs/>
              </w:rPr>
              <w:t>NOTE :</w:t>
            </w:r>
            <w:r w:rsidRPr="001914E3">
              <w:rPr>
                <w:rFonts w:cstheme="minorHAnsi"/>
                <w:i/>
                <w:iCs/>
              </w:rPr>
              <w:t xml:space="preserve"> Les prescriptions de finition et de traitement sont à rechercher dans les exigences prescrites pour le lieu d'utilisation La présente Norme européenne s'applique aux produits conformes à l'EN 14519, à l'EN 15146, et à l'EN 14951, ainsi qu'aux autres produits bois fabriqués en vue de la réalisation de lambris et de bardages.</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14322</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14322</w:t>
            </w:r>
          </w:p>
        </w:tc>
      </w:tr>
      <w:tr w:rsidR="0043547B" w:rsidRPr="0043547B" w:rsidTr="00CB5DC0">
        <w:trPr>
          <w:trHeight w:val="33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FFFFFF" w:themeFill="background1"/>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Panneaux à base de bois - Panneaux surfacés mélaminés pour usages intérieurs - Définition, exigences et classification</w:t>
            </w:r>
          </w:p>
        </w:tc>
      </w:tr>
      <w:tr w:rsidR="0043547B" w:rsidRPr="0043547B" w:rsidTr="00CB5DC0">
        <w:trPr>
          <w:trHeight w:val="1215"/>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Domaine d’application :</w:t>
            </w:r>
          </w:p>
        </w:tc>
        <w:tc>
          <w:tcPr>
            <w:tcW w:w="7938" w:type="dxa"/>
            <w:tcBorders>
              <w:left w:val="single" w:sz="4" w:space="0" w:color="auto"/>
              <w:bottom w:val="single" w:sz="18" w:space="0" w:color="auto"/>
              <w:right w:val="single" w:sz="18" w:space="0" w:color="auto"/>
            </w:tcBorders>
            <w:shd w:val="clear" w:color="auto" w:fill="FFFFFF" w:themeFill="background1"/>
            <w:vAlign w:val="center"/>
            <w:hideMark/>
          </w:tcPr>
          <w:p w:rsidR="00904E52" w:rsidRPr="00ED0D29" w:rsidRDefault="00904E52" w:rsidP="00904E52">
            <w:pPr>
              <w:spacing w:after="0" w:line="240" w:lineRule="auto"/>
              <w:jc w:val="both"/>
              <w:rPr>
                <w:rFonts w:eastAsia="Times New Roman" w:cstheme="minorHAnsi"/>
                <w:lang w:eastAsia="fr-FR"/>
              </w:rPr>
            </w:pPr>
            <w:r w:rsidRPr="00ED0D29">
              <w:rPr>
                <w:rFonts w:eastAsia="Times New Roman" w:cstheme="minorHAnsi"/>
                <w:lang w:eastAsia="fr-FR"/>
              </w:rPr>
              <w:t>La norme indique les caractéristiques de surface et les tolérances dimensionnelles des panneaux surfacés mélaminés décoratifs pour usage en intérieur, qui sont communes aux panneaux de particules et aux panneaux de fibres.</w:t>
            </w:r>
          </w:p>
          <w:p w:rsidR="00904E52" w:rsidRPr="0043547B" w:rsidRDefault="00904E52" w:rsidP="00904E52">
            <w:pPr>
              <w:spacing w:after="0" w:line="240" w:lineRule="auto"/>
              <w:jc w:val="both"/>
              <w:rPr>
                <w:rFonts w:eastAsia="Times New Roman" w:cstheme="minorHAnsi"/>
                <w:sz w:val="24"/>
                <w:szCs w:val="24"/>
                <w:lang w:eastAsia="fr-FR"/>
              </w:rPr>
            </w:pPr>
            <w:r w:rsidRPr="00ED0D29">
              <w:rPr>
                <w:rFonts w:eastAsia="Times New Roman" w:cstheme="minorHAnsi"/>
                <w:lang w:eastAsia="fr-FR"/>
              </w:rPr>
              <w:t>Les panneaux à base de bois surfacés mélaminés conformes à cette norme peuvent être désignés MFB (PSM).</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13986</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13986</w:t>
            </w:r>
          </w:p>
        </w:tc>
      </w:tr>
      <w:tr w:rsidR="0043547B" w:rsidRPr="0043547B" w:rsidTr="00CB5DC0">
        <w:trPr>
          <w:trHeight w:val="33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6B6875" w:rsidRPr="0043547B" w:rsidRDefault="006B6875" w:rsidP="006B6875">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FFFFFF" w:themeFill="background1"/>
            <w:hideMark/>
          </w:tcPr>
          <w:p w:rsidR="006B6875" w:rsidRPr="0043547B" w:rsidRDefault="006B6875" w:rsidP="00585300">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Panneaux à base de bois destinés à la construction - Caractéristiques, évaluation de conformité et marquage </w:t>
            </w:r>
          </w:p>
        </w:tc>
      </w:tr>
      <w:tr w:rsidR="0043547B" w:rsidRPr="0043547B" w:rsidTr="00CB5DC0">
        <w:trPr>
          <w:trHeight w:val="141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6B6875" w:rsidRPr="0043547B" w:rsidRDefault="006B6875" w:rsidP="006B6875">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FFFFFF" w:themeFill="background1"/>
            <w:hideMark/>
          </w:tcPr>
          <w:p w:rsidR="00585300" w:rsidRPr="0043547B" w:rsidRDefault="006B6875" w:rsidP="00585300">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 présent document définit les panneaux à base de bois pour usage dans la construction et prescrit les caractéristiques pertinentes et méthodes d’essais appropriées pour la détermination des caractéristiques des panneaux à base de bois, bruts, recouverts, plaqués ou revêtus :</w:t>
            </w:r>
          </w:p>
          <w:p w:rsidR="00585300" w:rsidRPr="0043547B" w:rsidRDefault="006B6875" w:rsidP="001914E3">
            <w:pPr>
              <w:spacing w:after="0" w:line="240" w:lineRule="auto"/>
              <w:rPr>
                <w:rFonts w:eastAsia="Times New Roman" w:cstheme="minorHAnsi"/>
                <w:sz w:val="24"/>
                <w:szCs w:val="24"/>
                <w:lang w:eastAsia="fr-FR"/>
              </w:rPr>
            </w:pPr>
            <w:r w:rsidRPr="0043547B">
              <w:rPr>
                <w:rFonts w:eastAsia="Times New Roman" w:cstheme="minorHAnsi"/>
                <w:sz w:val="24"/>
                <w:szCs w:val="24"/>
                <w:lang w:eastAsia="fr-FR"/>
              </w:rPr>
              <w:t>• pour usage intérieur en milieu sec 1) en tant que composants structurels ;</w:t>
            </w:r>
            <w:r w:rsidRPr="0043547B">
              <w:rPr>
                <w:rFonts w:eastAsia="Times New Roman" w:cstheme="minorHAnsi"/>
                <w:sz w:val="24"/>
                <w:szCs w:val="24"/>
                <w:lang w:eastAsia="fr-FR"/>
              </w:rPr>
              <w:br/>
              <w:t>• pour usage intérieur en milieu humide 2) (ou en extérieur protégé) en tant que composants structurels ;</w:t>
            </w:r>
            <w:r w:rsidRPr="0043547B">
              <w:rPr>
                <w:rFonts w:eastAsia="Times New Roman" w:cstheme="minorHAnsi"/>
                <w:sz w:val="24"/>
                <w:szCs w:val="24"/>
                <w:lang w:eastAsia="fr-FR"/>
              </w:rPr>
              <w:br/>
              <w:t>• pour usage extérieur 3) en tant que composants structurels ;</w:t>
            </w:r>
            <w:r w:rsidRPr="0043547B">
              <w:rPr>
                <w:rFonts w:eastAsia="Times New Roman" w:cstheme="minorHAnsi"/>
                <w:sz w:val="24"/>
                <w:szCs w:val="24"/>
                <w:lang w:eastAsia="fr-FR"/>
              </w:rPr>
              <w:br/>
              <w:t xml:space="preserve">• pour usage intérieur en milieu sec 1) en tant que composants non structurels </w:t>
            </w:r>
            <w:r w:rsidRPr="0043547B">
              <w:rPr>
                <w:rFonts w:eastAsia="Times New Roman" w:cstheme="minorHAnsi"/>
                <w:sz w:val="24"/>
                <w:szCs w:val="24"/>
                <w:lang w:eastAsia="fr-FR"/>
              </w:rPr>
              <w:br/>
              <w:t>• pour usage intérieur en milieu humide 2) (ou en extérieur protégé) en tant que composants non structurels ;</w:t>
            </w:r>
            <w:r w:rsidRPr="0043547B">
              <w:rPr>
                <w:rFonts w:eastAsia="Times New Roman" w:cstheme="minorHAnsi"/>
                <w:sz w:val="24"/>
                <w:szCs w:val="24"/>
                <w:lang w:eastAsia="fr-FR"/>
              </w:rPr>
              <w:br/>
              <w:t>• pour usage extérieur 3) en tant que composants non structurels ;</w:t>
            </w:r>
            <w:r w:rsidRPr="0043547B">
              <w:rPr>
                <w:rFonts w:eastAsia="Times New Roman" w:cstheme="minorHAnsi"/>
                <w:sz w:val="24"/>
                <w:szCs w:val="24"/>
                <w:lang w:eastAsia="fr-FR"/>
              </w:rPr>
              <w:br/>
              <w:t>• pour usage en milieu sec 1) ou humide 2) ou extérieur 3) en tant que platelage de plancher structurel sur solives ;</w:t>
            </w:r>
            <w:r w:rsidRPr="0043547B">
              <w:rPr>
                <w:rFonts w:eastAsia="Times New Roman" w:cstheme="minorHAnsi"/>
                <w:sz w:val="24"/>
                <w:szCs w:val="24"/>
                <w:lang w:eastAsia="fr-FR"/>
              </w:rPr>
              <w:br/>
              <w:t>• pour usage en milieu sec 1) ou humide 2) ou extérieur 3) en tant que platelage de toiture structurel sur poutres ;</w:t>
            </w:r>
            <w:r w:rsidRPr="0043547B">
              <w:rPr>
                <w:rFonts w:eastAsia="Times New Roman" w:cstheme="minorHAnsi"/>
                <w:sz w:val="24"/>
                <w:szCs w:val="24"/>
                <w:lang w:eastAsia="fr-FR"/>
              </w:rPr>
              <w:br/>
              <w:t>• pour usage en milieu sec 1) ou humide 2) ou extérieur 3) en tant que paroi de mur structurel sur poteaux.</w:t>
            </w:r>
          </w:p>
          <w:p w:rsidR="004F78F6" w:rsidRPr="0043547B" w:rsidRDefault="006B6875" w:rsidP="007F63D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prévoit l’évaluation de la conformité et les exigences de marquage de ces produits.</w:t>
            </w:r>
            <w:r w:rsidR="007F63D3">
              <w:rPr>
                <w:rFonts w:eastAsia="Times New Roman" w:cstheme="minorHAnsi"/>
                <w:sz w:val="24"/>
                <w:szCs w:val="24"/>
                <w:lang w:eastAsia="fr-FR"/>
              </w:rPr>
              <w:t xml:space="preserve"> </w:t>
            </w:r>
            <w:r w:rsidRPr="0043547B">
              <w:rPr>
                <w:rFonts w:eastAsia="Times New Roman" w:cstheme="minorHAnsi"/>
                <w:sz w:val="24"/>
                <w:szCs w:val="24"/>
                <w:lang w:eastAsia="fr-FR"/>
              </w:rPr>
              <w:t>Ce document s’applique aux panneaux à base de bois sous forme de bois panneautés, lamibois 4), contreplaqué, OSB, et de panneaux de particules, soit des panneaux de particules liées au ciment ou à la résine et des panneaux de fibres obtenus par procédé humide (panneaux durs, panneaux mi-durs, panneaux isolants) et panneaux de fibres obtenus par procédé à sec (MDF) destinés à la construction. Ils peuvent contenir des agents chimiques en vue d’améliorer leur réaction au feu et résister aux attaques biologiques, par exemple celles des champignons et des insectes.</w:t>
            </w:r>
          </w:p>
          <w:p w:rsidR="006B6875" w:rsidRPr="0043547B" w:rsidRDefault="006B6875" w:rsidP="00585300">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 document n’est pas applicable aux panneaux à base de bois destinés à des usages autres que la construction.</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tcPr>
          <w:p w:rsidR="006B6875" w:rsidRPr="0043547B" w:rsidRDefault="006B6875" w:rsidP="00585300">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noWrap/>
          </w:tcPr>
          <w:p w:rsidR="006B6875" w:rsidRPr="0043547B" w:rsidRDefault="006B6875" w:rsidP="00585300">
            <w:pPr>
              <w:spacing w:after="0"/>
              <w:jc w:val="center"/>
              <w:rPr>
                <w:rFonts w:cstheme="minorHAnsi"/>
                <w:b/>
                <w:bCs/>
                <w:sz w:val="24"/>
                <w:szCs w:val="24"/>
              </w:rPr>
            </w:pPr>
            <w:r w:rsidRPr="0043547B">
              <w:rPr>
                <w:rFonts w:cstheme="minorHAnsi"/>
                <w:b/>
                <w:bCs/>
                <w:sz w:val="24"/>
                <w:szCs w:val="24"/>
              </w:rPr>
              <w:t>NM EN 300</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tcPr>
          <w:p w:rsidR="006B6875" w:rsidRPr="0043547B" w:rsidRDefault="006B6875" w:rsidP="00585300">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noWrap/>
            <w:vAlign w:val="center"/>
          </w:tcPr>
          <w:p w:rsidR="006B6875" w:rsidRPr="0043547B" w:rsidRDefault="006B6875" w:rsidP="00585300">
            <w:pPr>
              <w:spacing w:after="0"/>
              <w:jc w:val="center"/>
              <w:rPr>
                <w:rFonts w:cstheme="minorHAnsi"/>
                <w:b/>
                <w:bCs/>
                <w:sz w:val="24"/>
                <w:szCs w:val="24"/>
              </w:rPr>
            </w:pPr>
            <w:r w:rsidRPr="0043547B">
              <w:rPr>
                <w:rFonts w:cstheme="minorHAnsi"/>
                <w:b/>
                <w:bCs/>
                <w:sz w:val="24"/>
                <w:szCs w:val="24"/>
              </w:rPr>
              <w:t>EN 300</w:t>
            </w:r>
          </w:p>
        </w:tc>
      </w:tr>
      <w:tr w:rsidR="0043547B" w:rsidRPr="0043547B" w:rsidTr="00CB5DC0">
        <w:trPr>
          <w:trHeight w:val="315"/>
          <w:jc w:val="center"/>
        </w:trPr>
        <w:tc>
          <w:tcPr>
            <w:tcW w:w="1838" w:type="dxa"/>
            <w:tcBorders>
              <w:top w:val="single" w:sz="4" w:space="0" w:color="auto"/>
              <w:left w:val="single" w:sz="18" w:space="0" w:color="auto"/>
              <w:bottom w:val="single" w:sz="4" w:space="0" w:color="auto"/>
              <w:right w:val="single" w:sz="4" w:space="0" w:color="auto"/>
            </w:tcBorders>
            <w:shd w:val="clear" w:color="auto" w:fill="8DB3E2" w:themeFill="text2" w:themeFillTint="66"/>
            <w:vAlign w:val="center"/>
          </w:tcPr>
          <w:p w:rsidR="006B6875" w:rsidRPr="0043547B" w:rsidRDefault="006B6875" w:rsidP="00585300">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FFFFFF" w:themeFill="background1"/>
            <w:noWrap/>
          </w:tcPr>
          <w:p w:rsidR="006B6875" w:rsidRPr="0043547B" w:rsidRDefault="006B6875" w:rsidP="00585300">
            <w:pPr>
              <w:spacing w:after="0"/>
              <w:rPr>
                <w:rFonts w:eastAsia="Times New Roman" w:cstheme="minorHAnsi"/>
                <w:sz w:val="24"/>
                <w:szCs w:val="24"/>
                <w:lang w:eastAsia="fr-FR"/>
              </w:rPr>
            </w:pPr>
            <w:r w:rsidRPr="0043547B">
              <w:rPr>
                <w:rFonts w:eastAsia="Times New Roman" w:cstheme="minorHAnsi"/>
                <w:sz w:val="24"/>
                <w:szCs w:val="24"/>
                <w:lang w:eastAsia="fr-FR"/>
              </w:rPr>
              <w:t xml:space="preserve">Panneaux de lamelles minces, longues et orientées (OSB) - Définitions, classification et exigences </w:t>
            </w:r>
          </w:p>
        </w:tc>
      </w:tr>
      <w:tr w:rsidR="0043547B" w:rsidRPr="0043547B" w:rsidTr="00CB5DC0">
        <w:trPr>
          <w:trHeight w:val="315"/>
          <w:jc w:val="center"/>
        </w:trPr>
        <w:tc>
          <w:tcPr>
            <w:tcW w:w="1838" w:type="dxa"/>
            <w:tcBorders>
              <w:top w:val="single" w:sz="4" w:space="0" w:color="auto"/>
              <w:left w:val="single" w:sz="18" w:space="0" w:color="auto"/>
              <w:bottom w:val="single" w:sz="18" w:space="0" w:color="auto"/>
              <w:right w:val="single" w:sz="4" w:space="0" w:color="auto"/>
            </w:tcBorders>
            <w:shd w:val="clear" w:color="auto" w:fill="D9D9D9" w:themeFill="background1" w:themeFillShade="D9"/>
            <w:vAlign w:val="center"/>
          </w:tcPr>
          <w:p w:rsidR="006B6875" w:rsidRPr="0043547B" w:rsidRDefault="006B6875" w:rsidP="00585300">
            <w:pPr>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FFFFFF" w:themeFill="background1"/>
            <w:noWrap/>
          </w:tcPr>
          <w:p w:rsidR="00585300" w:rsidRPr="0045784D" w:rsidRDefault="006B6875" w:rsidP="00585300">
            <w:pPr>
              <w:spacing w:after="0" w:line="240" w:lineRule="auto"/>
              <w:jc w:val="both"/>
              <w:rPr>
                <w:rFonts w:eastAsia="Times New Roman" w:cstheme="minorHAnsi"/>
                <w:lang w:eastAsia="fr-FR"/>
              </w:rPr>
            </w:pPr>
            <w:r w:rsidRPr="0045784D">
              <w:rPr>
                <w:rFonts w:eastAsia="Times New Roman" w:cstheme="minorHAnsi"/>
                <w:lang w:eastAsia="fr-FR"/>
              </w:rPr>
              <w:t xml:space="preserve">La présente Norme </w:t>
            </w:r>
            <w:r w:rsidR="002532B1" w:rsidRPr="0045784D">
              <w:rPr>
                <w:rFonts w:eastAsia="Times New Roman" w:cstheme="minorHAnsi"/>
                <w:lang w:eastAsia="fr-FR"/>
              </w:rPr>
              <w:t>marocaine</w:t>
            </w:r>
            <w:r w:rsidRPr="0045784D">
              <w:rPr>
                <w:rFonts w:eastAsia="Times New Roman" w:cstheme="minorHAnsi"/>
                <w:lang w:eastAsia="fr-FR"/>
              </w:rPr>
              <w:t xml:space="preserve"> s’applique aux panneaux de lamelles minces, longues et orientées (OSB).</w:t>
            </w:r>
          </w:p>
          <w:p w:rsidR="00585300" w:rsidRPr="0045784D" w:rsidRDefault="006B6875" w:rsidP="00585300">
            <w:pPr>
              <w:spacing w:after="0" w:line="240" w:lineRule="auto"/>
              <w:jc w:val="both"/>
              <w:rPr>
                <w:rFonts w:eastAsia="Times New Roman" w:cstheme="minorHAnsi"/>
                <w:lang w:eastAsia="fr-FR"/>
              </w:rPr>
            </w:pPr>
            <w:r w:rsidRPr="0045784D">
              <w:rPr>
                <w:rFonts w:eastAsia="Times New Roman" w:cstheme="minorHAnsi"/>
                <w:lang w:eastAsia="fr-FR"/>
              </w:rPr>
              <w:t>Elle donne des définitions, établit une classification et prescrit les exigences des panneaux.</w:t>
            </w:r>
            <w:r w:rsidRPr="0045784D">
              <w:rPr>
                <w:rFonts w:eastAsia="Times New Roman" w:cstheme="minorHAnsi"/>
                <w:lang w:eastAsia="fr-FR"/>
              </w:rPr>
              <w:br/>
              <w:t xml:space="preserve">Les valeurs données dans la présente Norme </w:t>
            </w:r>
            <w:r w:rsidR="002532B1" w:rsidRPr="0045784D">
              <w:rPr>
                <w:rFonts w:eastAsia="Times New Roman" w:cstheme="minorHAnsi"/>
                <w:lang w:eastAsia="fr-FR"/>
              </w:rPr>
              <w:t>marocaine</w:t>
            </w:r>
            <w:r w:rsidRPr="0045784D">
              <w:rPr>
                <w:rFonts w:eastAsia="Times New Roman" w:cstheme="minorHAnsi"/>
                <w:lang w:eastAsia="fr-FR"/>
              </w:rPr>
              <w:t xml:space="preserve"> concernent les caractéristiques du produit mais ne sont pas les valeurs caractéristiques à utiliser dans les calculs de conception.</w:t>
            </w:r>
          </w:p>
          <w:p w:rsidR="00585300" w:rsidRPr="0045784D" w:rsidRDefault="006B6875" w:rsidP="00585300">
            <w:pPr>
              <w:spacing w:after="0" w:line="240" w:lineRule="auto"/>
              <w:jc w:val="both"/>
              <w:rPr>
                <w:rFonts w:eastAsia="Times New Roman" w:cstheme="minorHAnsi"/>
                <w:i/>
                <w:iCs/>
                <w:sz w:val="20"/>
                <w:szCs w:val="20"/>
                <w:lang w:eastAsia="fr-FR"/>
              </w:rPr>
            </w:pPr>
            <w:r w:rsidRPr="0045784D">
              <w:rPr>
                <w:rFonts w:eastAsia="Times New Roman" w:cstheme="minorHAnsi"/>
                <w:b/>
                <w:bCs/>
                <w:i/>
                <w:iCs/>
                <w:sz w:val="20"/>
                <w:szCs w:val="20"/>
                <w:lang w:eastAsia="fr-FR"/>
              </w:rPr>
              <w:lastRenderedPageBreak/>
              <w:t>NOTE</w:t>
            </w:r>
            <w:r w:rsidR="00585300" w:rsidRPr="0045784D">
              <w:rPr>
                <w:rFonts w:eastAsia="Times New Roman" w:cstheme="minorHAnsi"/>
                <w:i/>
                <w:iCs/>
                <w:sz w:val="20"/>
                <w:szCs w:val="20"/>
                <w:lang w:eastAsia="fr-FR"/>
              </w:rPr>
              <w:t> :</w:t>
            </w:r>
            <w:r w:rsidRPr="0045784D">
              <w:rPr>
                <w:rFonts w:eastAsia="Times New Roman" w:cstheme="minorHAnsi"/>
                <w:i/>
                <w:iCs/>
                <w:sz w:val="20"/>
                <w:szCs w:val="20"/>
                <w:lang w:eastAsia="fr-FR"/>
              </w:rPr>
              <w:t xml:space="preserve"> Les méthodes d’essai pour la détermination des caractéristiques mécaniques pour des emplois en structure sont données dans l’EN 789. La détermination des valeurs caractéristiques des caractéristiques mécaniques et de la masse volumique pour des emplois en structure est donnée dans l’EN 1058. Les valeurs caractéristiques de conception pour les panneaux OSB sont données dans l’EN 12369-1.</w:t>
            </w:r>
          </w:p>
          <w:p w:rsidR="006B6875" w:rsidRPr="0043547B" w:rsidRDefault="006B6875" w:rsidP="00585300">
            <w:pPr>
              <w:spacing w:after="0" w:line="240" w:lineRule="auto"/>
              <w:jc w:val="both"/>
              <w:rPr>
                <w:rFonts w:eastAsia="Times New Roman" w:cstheme="minorHAnsi"/>
                <w:sz w:val="24"/>
                <w:szCs w:val="24"/>
                <w:lang w:eastAsia="fr-FR"/>
              </w:rPr>
            </w:pPr>
            <w:r w:rsidRPr="0045784D">
              <w:rPr>
                <w:rFonts w:eastAsia="Times New Roman" w:cstheme="minorHAnsi"/>
                <w:lang w:eastAsia="fr-FR"/>
              </w:rPr>
              <w:t>Des informations sur des caractéristiques complémentaires sont données dans l’Annexe C</w:t>
            </w:r>
            <w:r w:rsidRPr="0045784D">
              <w:rPr>
                <w:rFonts w:eastAsia="Times New Roman" w:cstheme="minorHAnsi"/>
                <w:sz w:val="20"/>
                <w:szCs w:val="20"/>
                <w:lang w:eastAsia="fr-FR"/>
              </w:rPr>
              <w:t>.</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noWrap/>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622-1</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622-1</w:t>
            </w:r>
          </w:p>
        </w:tc>
      </w:tr>
      <w:tr w:rsidR="0043547B" w:rsidRPr="0043547B" w:rsidTr="00CB5DC0">
        <w:trPr>
          <w:trHeight w:val="132"/>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FFFFFF" w:themeFill="background1"/>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Panneaux de fibres - Exigences - Partie 1 : Exigences générales</w:t>
            </w:r>
          </w:p>
        </w:tc>
      </w:tr>
      <w:tr w:rsidR="0043547B" w:rsidRPr="0043547B" w:rsidTr="00CB5DC0">
        <w:trPr>
          <w:trHeight w:val="364"/>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FFFFFF" w:themeFill="background1"/>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prescrit des exigences pour quelques caractéristiques qui sont communes à tous les types de panneaux de fibres non revêtus selon NM EN 316.</w:t>
            </w:r>
          </w:p>
        </w:tc>
      </w:tr>
      <w:tr w:rsidR="0043547B" w:rsidRPr="0043547B" w:rsidTr="00CB5DC0">
        <w:trPr>
          <w:trHeight w:val="172"/>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noWrap/>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14755</w:t>
            </w:r>
          </w:p>
        </w:tc>
      </w:tr>
      <w:tr w:rsidR="0043547B" w:rsidRPr="0043547B" w:rsidTr="00CB5DC0">
        <w:trPr>
          <w:trHeight w:val="6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14755</w:t>
            </w:r>
          </w:p>
        </w:tc>
      </w:tr>
      <w:tr w:rsidR="0043547B" w:rsidRPr="0043547B" w:rsidTr="00CB5DC0">
        <w:trPr>
          <w:trHeight w:val="33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FFFFFF" w:themeFill="background1"/>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Panneaux de particules extrudés - Exigences</w:t>
            </w:r>
          </w:p>
        </w:tc>
      </w:tr>
      <w:tr w:rsidR="0043547B" w:rsidRPr="0043547B" w:rsidTr="00CB5DC0">
        <w:trPr>
          <w:trHeight w:val="1133"/>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FFFFFF" w:themeFill="background1"/>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prescrit les exigences des panneaux de particules extrudés non travaillants utilisés en milieu sec.</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 milieu sec est défini par la classe de service qui est caractérisé par une humidité dans le matériau qui correspond à une température de 20 °C et une humidité relative de l’air ambiant dépassant 65 % seulement quelques semaines par an.</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noWrap/>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312</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312</w:t>
            </w:r>
          </w:p>
        </w:tc>
      </w:tr>
      <w:tr w:rsidR="0043547B" w:rsidRPr="0043547B" w:rsidTr="00CB5DC0">
        <w:trPr>
          <w:trHeight w:val="33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FFFFFF" w:themeFill="background1"/>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Panneaux de particules - Exigences</w:t>
            </w:r>
          </w:p>
        </w:tc>
      </w:tr>
      <w:tr w:rsidR="0043547B" w:rsidRPr="0043547B" w:rsidTr="00CB5DC0">
        <w:trPr>
          <w:trHeight w:val="613"/>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FFFFFF" w:themeFill="background1"/>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prescrit les exigences pour les panneaux de particules non revêtus, pressés à plat ou par cylindre.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Des informations supplémentaires sur des caractéristiques complémentaires relatives à certaines applications sont également fournies.</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14342</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14342</w:t>
            </w:r>
          </w:p>
        </w:tc>
      </w:tr>
      <w:tr w:rsidR="0043547B" w:rsidRPr="0043547B" w:rsidTr="00CB5DC0">
        <w:trPr>
          <w:trHeight w:val="33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FFFFFF" w:themeFill="background1"/>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Planchers et parquet en bois - Caractéristiques, évaluation de conformité et marquage ; </w:t>
            </w:r>
          </w:p>
        </w:tc>
      </w:tr>
      <w:tr w:rsidR="0043547B" w:rsidRPr="0043547B" w:rsidTr="00275A41">
        <w:trPr>
          <w:trHeight w:val="701"/>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FFFFFF" w:themeFill="background1"/>
            <w:vAlign w:val="center"/>
            <w:hideMark/>
          </w:tcPr>
          <w:p w:rsidR="00275A41" w:rsidRDefault="00275A41" w:rsidP="00275A41">
            <w:pPr>
              <w:spacing w:after="0" w:line="240" w:lineRule="auto"/>
              <w:jc w:val="both"/>
              <w:rPr>
                <w:rFonts w:eastAsia="Times New Roman" w:cstheme="minorHAnsi"/>
                <w:w w:val="98"/>
                <w:sz w:val="24"/>
                <w:szCs w:val="24"/>
                <w:lang w:eastAsia="fr-FR"/>
              </w:rPr>
            </w:pPr>
            <w:r w:rsidRPr="0043547B">
              <w:rPr>
                <w:rFonts w:eastAsia="Times New Roman" w:cstheme="minorHAnsi"/>
                <w:w w:val="98"/>
                <w:sz w:val="24"/>
                <w:szCs w:val="24"/>
                <w:lang w:eastAsia="fr-FR"/>
              </w:rPr>
              <w:t>La norme peut également s’appliquer à d’autres produits de planchers et parquets en bois.</w:t>
            </w:r>
          </w:p>
          <w:p w:rsidR="00275A41" w:rsidRPr="0043547B" w:rsidRDefault="00275A41" w:rsidP="00275A4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traite également de l’évaluation de conformité et des exigences concernant le marquage des produits de planchers et parquets en bois.</w:t>
            </w:r>
          </w:p>
          <w:p w:rsidR="00275A41" w:rsidRPr="0043547B" w:rsidRDefault="00275A41" w:rsidP="00275A4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couvre les produits de planchers et parquets en bois qui peuvent être ou non traités afin d’améliorer leur performance en réaction au feu ou leur durabilité par rapport aux agents biologiques.</w:t>
            </w:r>
          </w:p>
          <w:p w:rsidR="00904E52" w:rsidRPr="0043547B" w:rsidRDefault="00275A41" w:rsidP="00275A4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Cette norme couvre les produits de planchers et parquets en bois avec ou sans peinture, vernis laque, cire, huile.</w:t>
            </w:r>
          </w:p>
        </w:tc>
      </w:tr>
      <w:tr w:rsidR="0043547B" w:rsidRPr="0043547B" w:rsidTr="00CB5DC0">
        <w:trPr>
          <w:trHeight w:val="338"/>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5F7538" w:rsidRPr="0043547B" w:rsidRDefault="005F7538" w:rsidP="00980756">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left w:val="single" w:sz="4" w:space="0" w:color="auto"/>
              <w:bottom w:val="single" w:sz="18" w:space="0" w:color="auto"/>
              <w:right w:val="single" w:sz="18" w:space="0" w:color="auto"/>
            </w:tcBorders>
            <w:shd w:val="clear" w:color="auto" w:fill="C2D69B" w:themeFill="accent3" w:themeFillTint="99"/>
            <w:vAlign w:val="center"/>
          </w:tcPr>
          <w:p w:rsidR="005F7538" w:rsidRPr="0043547B" w:rsidRDefault="005F7538" w:rsidP="002342C4">
            <w:pPr>
              <w:spacing w:after="0" w:line="240" w:lineRule="auto"/>
              <w:jc w:val="center"/>
              <w:rPr>
                <w:rFonts w:cstheme="minorHAnsi"/>
                <w:b/>
                <w:bCs/>
                <w:sz w:val="24"/>
                <w:szCs w:val="24"/>
              </w:rPr>
            </w:pPr>
            <w:r w:rsidRPr="0043547B">
              <w:rPr>
                <w:rFonts w:cstheme="minorHAnsi"/>
                <w:b/>
                <w:bCs/>
                <w:sz w:val="24"/>
                <w:szCs w:val="24"/>
              </w:rPr>
              <w:t xml:space="preserve">NM EN 633 </w:t>
            </w:r>
          </w:p>
        </w:tc>
      </w:tr>
      <w:tr w:rsidR="0043547B" w:rsidRPr="0043547B" w:rsidTr="00CB5DC0">
        <w:trPr>
          <w:trHeight w:val="23"/>
          <w:jc w:val="center"/>
        </w:trPr>
        <w:tc>
          <w:tcPr>
            <w:tcW w:w="1838" w:type="dxa"/>
            <w:tcBorders>
              <w:top w:val="single" w:sz="18" w:space="0" w:color="auto"/>
              <w:left w:val="single" w:sz="18" w:space="0" w:color="auto"/>
              <w:bottom w:val="single" w:sz="4" w:space="0" w:color="auto"/>
              <w:right w:val="single" w:sz="4" w:space="0" w:color="auto"/>
            </w:tcBorders>
            <w:shd w:val="clear" w:color="auto" w:fill="FDFBA9"/>
            <w:vAlign w:val="center"/>
          </w:tcPr>
          <w:p w:rsidR="005F7538" w:rsidRPr="0043547B" w:rsidRDefault="005F7538" w:rsidP="000A4A0B">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DFBA9"/>
            <w:vAlign w:val="center"/>
          </w:tcPr>
          <w:p w:rsidR="005F7538" w:rsidRPr="0043547B" w:rsidRDefault="005F7538" w:rsidP="000A4A0B">
            <w:pPr>
              <w:spacing w:after="0" w:line="240" w:lineRule="auto"/>
              <w:jc w:val="center"/>
              <w:rPr>
                <w:rFonts w:cstheme="minorHAnsi"/>
                <w:b/>
                <w:bCs/>
                <w:sz w:val="24"/>
                <w:szCs w:val="24"/>
              </w:rPr>
            </w:pPr>
            <w:r w:rsidRPr="0043547B">
              <w:rPr>
                <w:rFonts w:cstheme="minorHAnsi"/>
                <w:b/>
                <w:bCs/>
                <w:sz w:val="24"/>
                <w:szCs w:val="24"/>
              </w:rPr>
              <w:t>EN 633</w:t>
            </w:r>
          </w:p>
        </w:tc>
      </w:tr>
      <w:tr w:rsidR="0043547B" w:rsidRPr="0043547B" w:rsidTr="00CB5DC0">
        <w:trPr>
          <w:trHeight w:val="97"/>
          <w:jc w:val="center"/>
        </w:trPr>
        <w:tc>
          <w:tcPr>
            <w:tcW w:w="1838" w:type="dxa"/>
            <w:tcBorders>
              <w:top w:val="single" w:sz="4" w:space="0" w:color="auto"/>
              <w:left w:val="single" w:sz="18" w:space="0" w:color="auto"/>
              <w:bottom w:val="single" w:sz="4" w:space="0" w:color="auto"/>
              <w:right w:val="single" w:sz="4" w:space="0" w:color="auto"/>
            </w:tcBorders>
            <w:shd w:val="clear" w:color="auto" w:fill="95B3D7" w:themeFill="accent1" w:themeFillTint="99"/>
            <w:vAlign w:val="center"/>
          </w:tcPr>
          <w:p w:rsidR="005F7538" w:rsidRPr="0043547B" w:rsidRDefault="005F7538" w:rsidP="000A4A0B">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FFFFFF" w:themeFill="background1"/>
          </w:tcPr>
          <w:p w:rsidR="005F7538" w:rsidRPr="0043547B" w:rsidRDefault="005F7538" w:rsidP="000A4A0B">
            <w:pPr>
              <w:spacing w:after="0" w:line="240" w:lineRule="auto"/>
              <w:jc w:val="both"/>
              <w:rPr>
                <w:rFonts w:cstheme="minorHAnsi"/>
                <w:sz w:val="24"/>
                <w:szCs w:val="24"/>
              </w:rPr>
            </w:pPr>
            <w:r w:rsidRPr="0043547B">
              <w:rPr>
                <w:rFonts w:cstheme="minorHAnsi"/>
                <w:sz w:val="24"/>
                <w:szCs w:val="24"/>
              </w:rPr>
              <w:t>Panneaux de particules liées au ciment - Définition et classification</w:t>
            </w:r>
          </w:p>
        </w:tc>
      </w:tr>
      <w:tr w:rsidR="0043547B" w:rsidRPr="0043547B" w:rsidTr="00CB5DC0">
        <w:trPr>
          <w:trHeight w:val="381"/>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5F7538" w:rsidRPr="0043547B" w:rsidRDefault="005F7538" w:rsidP="000A4A0B">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FFFFFF" w:themeFill="background1"/>
            <w:vAlign w:val="bottom"/>
          </w:tcPr>
          <w:p w:rsidR="00980756" w:rsidRDefault="005F7538" w:rsidP="00980756">
            <w:pPr>
              <w:spacing w:after="0" w:line="240" w:lineRule="auto"/>
              <w:jc w:val="both"/>
              <w:rPr>
                <w:rFonts w:cstheme="minorHAnsi"/>
                <w:sz w:val="24"/>
                <w:szCs w:val="24"/>
              </w:rPr>
            </w:pPr>
            <w:r w:rsidRPr="0043547B">
              <w:rPr>
                <w:rFonts w:cstheme="minorHAnsi"/>
                <w:sz w:val="24"/>
                <w:szCs w:val="24"/>
              </w:rPr>
              <w:t>La présente norme donne und définition et une classification pour les panneaux de particules liées au ciment.</w:t>
            </w:r>
          </w:p>
          <w:p w:rsidR="00980756" w:rsidRDefault="005F7538" w:rsidP="00980756">
            <w:pPr>
              <w:spacing w:after="0" w:line="240" w:lineRule="auto"/>
              <w:jc w:val="both"/>
              <w:rPr>
                <w:rFonts w:cstheme="minorHAnsi"/>
                <w:sz w:val="24"/>
                <w:szCs w:val="24"/>
              </w:rPr>
            </w:pPr>
            <w:r w:rsidRPr="0043547B">
              <w:rPr>
                <w:rFonts w:cstheme="minorHAnsi"/>
                <w:sz w:val="24"/>
                <w:szCs w:val="24"/>
              </w:rPr>
              <w:lastRenderedPageBreak/>
              <w:t>Les panneaux de particules fabriqués avec des liants organiques, et les panneaux de perticules fabriqués avec un liant plâtre ne sont pas inclus ici.</w:t>
            </w:r>
          </w:p>
          <w:p w:rsidR="005F7538" w:rsidRPr="00980756" w:rsidRDefault="00980756" w:rsidP="00980756">
            <w:pPr>
              <w:spacing w:after="0" w:line="240" w:lineRule="auto"/>
              <w:jc w:val="both"/>
              <w:rPr>
                <w:rFonts w:cstheme="minorHAnsi"/>
                <w:i/>
                <w:iCs/>
                <w:sz w:val="24"/>
                <w:szCs w:val="24"/>
              </w:rPr>
            </w:pPr>
            <w:r w:rsidRPr="00980756">
              <w:rPr>
                <w:rFonts w:cstheme="minorHAnsi"/>
                <w:b/>
                <w:bCs/>
                <w:i/>
                <w:iCs/>
              </w:rPr>
              <w:t>NOTE</w:t>
            </w:r>
            <w:r w:rsidR="005F7538" w:rsidRPr="00980756">
              <w:rPr>
                <w:rFonts w:cstheme="minorHAnsi"/>
                <w:b/>
                <w:bCs/>
                <w:i/>
                <w:iCs/>
              </w:rPr>
              <w:t xml:space="preserve"> </w:t>
            </w:r>
            <w:r w:rsidR="005F7538" w:rsidRPr="00980756">
              <w:rPr>
                <w:rFonts w:cstheme="minorHAnsi"/>
                <w:i/>
                <w:iCs/>
              </w:rPr>
              <w:t>: Les panneaux de particules fabriqués avec des liants organiques sont définis et classés en EN 309:1992 "Panneaux de particules - Définition et classification",</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B60E10">
            <w:pPr>
              <w:spacing w:after="0" w:line="240" w:lineRule="auto"/>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B60E10">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14250</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B60E10">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904E52" w:rsidRPr="0043547B" w:rsidRDefault="00904E52" w:rsidP="00B60E10">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14250</w:t>
            </w:r>
          </w:p>
        </w:tc>
      </w:tr>
      <w:tr w:rsidR="0043547B" w:rsidRPr="0043547B" w:rsidTr="00644174">
        <w:trPr>
          <w:trHeight w:val="495"/>
          <w:jc w:val="center"/>
        </w:trPr>
        <w:tc>
          <w:tcPr>
            <w:tcW w:w="1838" w:type="dxa"/>
            <w:tcBorders>
              <w:top w:val="nil"/>
              <w:left w:val="single" w:sz="18" w:space="0" w:color="auto"/>
              <w:bottom w:val="single" w:sz="4" w:space="0" w:color="auto"/>
              <w:right w:val="single" w:sz="4" w:space="0" w:color="auto"/>
            </w:tcBorders>
            <w:shd w:val="clear" w:color="auto" w:fill="95B3D7" w:themeFill="accent1" w:themeFillTint="99"/>
            <w:vAlign w:val="center"/>
            <w:hideMark/>
          </w:tcPr>
          <w:p w:rsidR="00904E52" w:rsidRPr="0043547B" w:rsidRDefault="00904E52" w:rsidP="00B60E10">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vAlign w:val="center"/>
            <w:hideMark/>
          </w:tcPr>
          <w:p w:rsidR="00904E52" w:rsidRPr="0043547B" w:rsidRDefault="00904E52" w:rsidP="00B60E10">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Structure en bois - Exigences de produit relatives aux éléments de structures préfabriqués utilisant des connecteurs à plaque métallique emboutie ; </w:t>
            </w:r>
          </w:p>
        </w:tc>
      </w:tr>
      <w:tr w:rsidR="0043547B" w:rsidRPr="0043547B" w:rsidTr="00CB5DC0">
        <w:trPr>
          <w:trHeight w:val="1268"/>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B60E10">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FFFFFF" w:themeFill="background1"/>
            <w:vAlign w:val="center"/>
            <w:hideMark/>
          </w:tcPr>
          <w:p w:rsidR="00606FAD" w:rsidRPr="0043547B" w:rsidRDefault="00904E52" w:rsidP="00B60E10">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exigences de matériau, de produit et de documentation relatives aux éléments de structure préfabriqués (par exemple, fermes pour toits, murs et planchers, cadres, poutres et poutrelles composites) destinés à être utilisés dans des bâtiments fabriqués à partir d’éléments en bois de structure avec ou sans aboutages à entures multiples, assemblés au moyen de connecteurs à plaque métallique emboutie.</w:t>
            </w:r>
          </w:p>
          <w:p w:rsidR="00606FAD" w:rsidRPr="0043547B" w:rsidRDefault="00606FAD" w:rsidP="00B60E10">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 document est valable pour les fermes de longueur jusqu’à 35 m et pour d’autres éléments préfabriqués de structure avec des portées jusqu’à 12m.</w:t>
            </w:r>
          </w:p>
          <w:p w:rsidR="00904E52" w:rsidRPr="0043547B" w:rsidRDefault="00606FAD" w:rsidP="00B60E10">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Cette norme traite également des méthodes d’essai et/ou de calcul servant à l’évaluation de la conformité, des exigences pour le marquage de ces éléments, et des conditions extérieures.</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B60E10">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B60E10">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14081-1+A1</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B60E10">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904E52" w:rsidRPr="0043547B" w:rsidRDefault="00904E52" w:rsidP="00B60E10">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14081-1+A1</w:t>
            </w:r>
          </w:p>
        </w:tc>
      </w:tr>
      <w:tr w:rsidR="0043547B" w:rsidRPr="0043547B" w:rsidTr="0003675E">
        <w:trPr>
          <w:trHeight w:val="330"/>
          <w:jc w:val="center"/>
        </w:trPr>
        <w:tc>
          <w:tcPr>
            <w:tcW w:w="1838" w:type="dxa"/>
            <w:tcBorders>
              <w:top w:val="nil"/>
              <w:left w:val="single" w:sz="18" w:space="0" w:color="auto"/>
              <w:bottom w:val="single" w:sz="4" w:space="0" w:color="auto"/>
              <w:right w:val="single" w:sz="4" w:space="0" w:color="auto"/>
            </w:tcBorders>
            <w:shd w:val="clear" w:color="auto" w:fill="95B3D7" w:themeFill="accent1" w:themeFillTint="99"/>
            <w:vAlign w:val="center"/>
            <w:hideMark/>
          </w:tcPr>
          <w:p w:rsidR="00904E52" w:rsidRPr="0043547B" w:rsidRDefault="00904E52" w:rsidP="00B60E10">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vAlign w:val="center"/>
            <w:hideMark/>
          </w:tcPr>
          <w:p w:rsidR="00904E52" w:rsidRPr="0043547B" w:rsidRDefault="00904E52" w:rsidP="00B60E10">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Structures en bois - Bois de structure à section rectangulaire classé pour sa résistance - Partie 1 : Exigences générales ;  </w:t>
            </w:r>
          </w:p>
        </w:tc>
      </w:tr>
      <w:tr w:rsidR="0043547B" w:rsidRPr="0043547B" w:rsidTr="00275A41">
        <w:trPr>
          <w:trHeight w:val="701"/>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B60E10">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FFFFFF" w:themeFill="background1"/>
            <w:vAlign w:val="center"/>
            <w:hideMark/>
          </w:tcPr>
          <w:p w:rsidR="00904E52" w:rsidRPr="0043547B" w:rsidRDefault="00904E52" w:rsidP="00B60E10">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prescrit les exigences applicables au bois de structure de sections rectangulaires classé visuellement et par machine, profilé par sciage, rabotage ou d’autres méthodes, et dont les écarts par rapport aux dimensions cibles.</w:t>
            </w:r>
          </w:p>
          <w:p w:rsidR="00904E52" w:rsidRPr="0043547B" w:rsidRDefault="00904E52" w:rsidP="00B60E10">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couvre le bois de structure rectangulaire, non traité ou traité contre les attaques biologiques.</w:t>
            </w:r>
          </w:p>
          <w:p w:rsidR="00904E52" w:rsidRPr="0043547B" w:rsidRDefault="00904E52" w:rsidP="00B60E10">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identifie les caractéristiques pour lesquelles, au minimum, doivent être établies des limites dans les règles de classement visuel.</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B60E10">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B60E10">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14080</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B60E10">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904E52" w:rsidRPr="0043547B" w:rsidRDefault="00904E52" w:rsidP="00B60E10">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14080</w:t>
            </w:r>
          </w:p>
        </w:tc>
      </w:tr>
      <w:tr w:rsidR="0043547B" w:rsidRPr="0043547B" w:rsidTr="0003675E">
        <w:trPr>
          <w:trHeight w:val="330"/>
          <w:jc w:val="center"/>
        </w:trPr>
        <w:tc>
          <w:tcPr>
            <w:tcW w:w="1838" w:type="dxa"/>
            <w:tcBorders>
              <w:top w:val="nil"/>
              <w:left w:val="single" w:sz="18" w:space="0" w:color="auto"/>
              <w:bottom w:val="single" w:sz="4" w:space="0" w:color="auto"/>
              <w:right w:val="single" w:sz="4" w:space="0" w:color="auto"/>
            </w:tcBorders>
            <w:shd w:val="clear" w:color="auto" w:fill="95B3D7" w:themeFill="accent1" w:themeFillTint="99"/>
            <w:vAlign w:val="center"/>
            <w:hideMark/>
          </w:tcPr>
          <w:p w:rsidR="00904E52" w:rsidRPr="0043547B" w:rsidRDefault="00904E52" w:rsidP="00B60E10">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vAlign w:val="center"/>
            <w:hideMark/>
          </w:tcPr>
          <w:p w:rsidR="00904E52" w:rsidRPr="0043547B" w:rsidRDefault="00904E52" w:rsidP="00B60E10">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Structures en bois - Bois lamellé collé et bois massif reconstitué – Exigences ;  </w:t>
            </w:r>
          </w:p>
        </w:tc>
      </w:tr>
      <w:tr w:rsidR="0043547B" w:rsidRPr="0043547B" w:rsidTr="00CB5DC0">
        <w:trPr>
          <w:trHeight w:val="3015"/>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B60E10">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FFFFFF" w:themeFill="background1"/>
            <w:vAlign w:val="center"/>
            <w:hideMark/>
          </w:tcPr>
          <w:p w:rsidR="00904E52" w:rsidRPr="0043547B" w:rsidRDefault="00904E52" w:rsidP="00B60E10">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exigences de performance des produits en bois lamellés-collés suivants :</w:t>
            </w:r>
          </w:p>
          <w:p w:rsidR="00904E52" w:rsidRPr="0043547B" w:rsidRDefault="00904E52" w:rsidP="00B60E10">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bois lamellé-collé (BLC) ;</w:t>
            </w:r>
          </w:p>
          <w:p w:rsidR="00904E52" w:rsidRPr="0043547B" w:rsidRDefault="00904E52" w:rsidP="00B60E10">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bois massif reconstitué ;</w:t>
            </w:r>
          </w:p>
          <w:p w:rsidR="00904E52" w:rsidRPr="0043547B" w:rsidRDefault="00904E52" w:rsidP="00B60E10">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bois lamellé-collé avec aboutages à entures multiples de grandes dimensions ;</w:t>
            </w:r>
          </w:p>
          <w:p w:rsidR="00904E52" w:rsidRPr="0043547B" w:rsidRDefault="00904E52" w:rsidP="00B60E10">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bois lamellé-collé en bloc ;</w:t>
            </w:r>
          </w:p>
          <w:p w:rsidR="00904E52" w:rsidRPr="0043547B" w:rsidRDefault="00904E52" w:rsidP="00B60E10">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destinés à être utilisés dans les bâtiments et les ponts.</w:t>
            </w:r>
          </w:p>
          <w:p w:rsidR="00275A41" w:rsidRDefault="00904E52" w:rsidP="00B60E10">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spécifie également les exigences minimales de fabrication, ainsi que les dispositions relatives à l'évaluation et à l’attestation de la conformité et au marquage des produits lamellés-collés.</w:t>
            </w:r>
          </w:p>
          <w:p w:rsidR="00904E52" w:rsidRPr="0043547B" w:rsidRDefault="00904E52" w:rsidP="00B60E10">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La norme spécifie également les exigences relatives aux produits lamellés-collés traités contre les attaques biologiques. </w:t>
            </w:r>
          </w:p>
        </w:tc>
      </w:tr>
      <w:tr w:rsidR="004776C1" w:rsidRPr="0043547B" w:rsidTr="007B2835">
        <w:trPr>
          <w:trHeight w:val="350"/>
          <w:jc w:val="center"/>
        </w:trPr>
        <w:tc>
          <w:tcPr>
            <w:tcW w:w="1838" w:type="dxa"/>
            <w:tcBorders>
              <w:top w:val="nil"/>
              <w:left w:val="single" w:sz="18" w:space="0" w:color="auto"/>
              <w:bottom w:val="single" w:sz="18" w:space="0" w:color="auto"/>
              <w:right w:val="single" w:sz="4" w:space="0" w:color="auto"/>
            </w:tcBorders>
            <w:shd w:val="clear" w:color="auto" w:fill="9BBB59" w:themeFill="accent3"/>
            <w:vAlign w:val="center"/>
          </w:tcPr>
          <w:p w:rsidR="004776C1" w:rsidRPr="005A34FC" w:rsidRDefault="004776C1" w:rsidP="00B60E10">
            <w:pPr>
              <w:spacing w:after="0" w:line="240" w:lineRule="auto"/>
              <w:jc w:val="center"/>
              <w:rPr>
                <w:rFonts w:cstheme="minorHAnsi"/>
                <w:b/>
                <w:bCs/>
                <w:sz w:val="24"/>
                <w:szCs w:val="24"/>
              </w:rPr>
            </w:pPr>
            <w:r w:rsidRPr="005A34FC">
              <w:rPr>
                <w:rFonts w:cstheme="minorHAnsi"/>
                <w:b/>
                <w:bCs/>
                <w:sz w:val="24"/>
                <w:szCs w:val="24"/>
              </w:rPr>
              <w:t>Code :</w:t>
            </w:r>
          </w:p>
        </w:tc>
        <w:tc>
          <w:tcPr>
            <w:tcW w:w="7938" w:type="dxa"/>
            <w:tcBorders>
              <w:left w:val="single" w:sz="4" w:space="0" w:color="auto"/>
              <w:bottom w:val="single" w:sz="18" w:space="0" w:color="auto"/>
              <w:right w:val="single" w:sz="18" w:space="0" w:color="auto"/>
            </w:tcBorders>
            <w:shd w:val="clear" w:color="auto" w:fill="9BBB59" w:themeFill="accent3"/>
          </w:tcPr>
          <w:p w:rsidR="004776C1" w:rsidRPr="005A34FC" w:rsidRDefault="004776C1" w:rsidP="00B60E10">
            <w:pPr>
              <w:spacing w:after="0" w:line="240" w:lineRule="auto"/>
              <w:jc w:val="center"/>
              <w:rPr>
                <w:rFonts w:cstheme="minorHAnsi"/>
                <w:b/>
                <w:bCs/>
                <w:sz w:val="24"/>
                <w:szCs w:val="24"/>
              </w:rPr>
            </w:pPr>
            <w:r w:rsidRPr="002F2F5F">
              <w:rPr>
                <w:rFonts w:cstheme="minorHAnsi"/>
                <w:b/>
                <w:bCs/>
                <w:sz w:val="24"/>
                <w:szCs w:val="24"/>
              </w:rPr>
              <w:t>NM EN 599-2</w:t>
            </w:r>
          </w:p>
        </w:tc>
      </w:tr>
      <w:tr w:rsidR="004776C1" w:rsidRPr="0043547B" w:rsidTr="00151AC4">
        <w:trPr>
          <w:trHeight w:val="344"/>
          <w:jc w:val="center"/>
        </w:trPr>
        <w:tc>
          <w:tcPr>
            <w:tcW w:w="1838" w:type="dxa"/>
            <w:tcBorders>
              <w:top w:val="nil"/>
              <w:left w:val="single" w:sz="18" w:space="0" w:color="auto"/>
              <w:bottom w:val="single" w:sz="18" w:space="0" w:color="auto"/>
              <w:right w:val="single" w:sz="4" w:space="0" w:color="auto"/>
            </w:tcBorders>
            <w:shd w:val="clear" w:color="auto" w:fill="FFFF99"/>
            <w:vAlign w:val="center"/>
          </w:tcPr>
          <w:p w:rsidR="004776C1" w:rsidRPr="005A34FC" w:rsidRDefault="004776C1" w:rsidP="00B60E10">
            <w:pPr>
              <w:spacing w:after="0" w:line="240" w:lineRule="auto"/>
              <w:jc w:val="center"/>
              <w:rPr>
                <w:rFonts w:cstheme="minorHAnsi"/>
                <w:b/>
                <w:bCs/>
                <w:sz w:val="24"/>
                <w:szCs w:val="24"/>
              </w:rPr>
            </w:pPr>
            <w:r w:rsidRPr="005A34FC">
              <w:rPr>
                <w:rFonts w:cstheme="minorHAnsi"/>
                <w:b/>
                <w:bCs/>
                <w:sz w:val="24"/>
                <w:szCs w:val="24"/>
              </w:rPr>
              <w:t>Equivalence :</w:t>
            </w:r>
          </w:p>
        </w:tc>
        <w:tc>
          <w:tcPr>
            <w:tcW w:w="7938" w:type="dxa"/>
            <w:tcBorders>
              <w:left w:val="single" w:sz="4" w:space="0" w:color="auto"/>
              <w:bottom w:val="single" w:sz="18" w:space="0" w:color="auto"/>
              <w:right w:val="single" w:sz="18" w:space="0" w:color="auto"/>
            </w:tcBorders>
            <w:shd w:val="clear" w:color="auto" w:fill="FFFF99"/>
            <w:vAlign w:val="center"/>
          </w:tcPr>
          <w:p w:rsidR="004776C1" w:rsidRPr="005A34FC" w:rsidRDefault="004776C1" w:rsidP="00B60E10">
            <w:pPr>
              <w:spacing w:after="0" w:line="240" w:lineRule="auto"/>
              <w:jc w:val="center"/>
              <w:rPr>
                <w:rFonts w:cstheme="minorHAnsi"/>
                <w:b/>
                <w:bCs/>
                <w:sz w:val="24"/>
                <w:szCs w:val="24"/>
              </w:rPr>
            </w:pPr>
            <w:r w:rsidRPr="002F2F5F">
              <w:rPr>
                <w:rFonts w:cstheme="minorHAnsi"/>
                <w:b/>
                <w:bCs/>
                <w:sz w:val="24"/>
                <w:szCs w:val="24"/>
              </w:rPr>
              <w:t>EN 599-2</w:t>
            </w:r>
          </w:p>
        </w:tc>
      </w:tr>
      <w:tr w:rsidR="004776C1" w:rsidRPr="0043547B" w:rsidTr="0003675E">
        <w:trPr>
          <w:trHeight w:val="664"/>
          <w:jc w:val="center"/>
        </w:trPr>
        <w:tc>
          <w:tcPr>
            <w:tcW w:w="1838" w:type="dxa"/>
            <w:tcBorders>
              <w:top w:val="nil"/>
              <w:left w:val="single" w:sz="18" w:space="0" w:color="auto"/>
              <w:bottom w:val="single" w:sz="18" w:space="0" w:color="auto"/>
              <w:right w:val="single" w:sz="4" w:space="0" w:color="auto"/>
            </w:tcBorders>
            <w:shd w:val="clear" w:color="auto" w:fill="95B3D7" w:themeFill="accent1" w:themeFillTint="99"/>
            <w:vAlign w:val="center"/>
          </w:tcPr>
          <w:p w:rsidR="004776C1" w:rsidRPr="005A34FC" w:rsidRDefault="004776C1" w:rsidP="00B60E10">
            <w:pPr>
              <w:spacing w:after="0" w:line="240" w:lineRule="auto"/>
              <w:jc w:val="center"/>
              <w:rPr>
                <w:rFonts w:cstheme="minorHAnsi"/>
                <w:b/>
                <w:bCs/>
                <w:sz w:val="24"/>
                <w:szCs w:val="24"/>
              </w:rPr>
            </w:pPr>
            <w:r w:rsidRPr="005A34FC">
              <w:rPr>
                <w:rFonts w:cstheme="minorHAnsi"/>
                <w:b/>
                <w:bCs/>
                <w:sz w:val="24"/>
                <w:szCs w:val="24"/>
              </w:rPr>
              <w:lastRenderedPageBreak/>
              <w:t>Intitulé :</w:t>
            </w:r>
          </w:p>
        </w:tc>
        <w:tc>
          <w:tcPr>
            <w:tcW w:w="7938" w:type="dxa"/>
            <w:tcBorders>
              <w:left w:val="single" w:sz="4" w:space="0" w:color="auto"/>
              <w:bottom w:val="single" w:sz="18" w:space="0" w:color="auto"/>
              <w:right w:val="single" w:sz="18" w:space="0" w:color="auto"/>
            </w:tcBorders>
            <w:shd w:val="clear" w:color="auto" w:fill="auto"/>
          </w:tcPr>
          <w:p w:rsidR="004776C1" w:rsidRPr="002F2F5F" w:rsidRDefault="004776C1" w:rsidP="00B60E10">
            <w:pPr>
              <w:spacing w:after="0" w:line="240" w:lineRule="auto"/>
              <w:jc w:val="both"/>
              <w:rPr>
                <w:rFonts w:cstheme="minorHAnsi"/>
                <w:sz w:val="24"/>
                <w:szCs w:val="24"/>
              </w:rPr>
            </w:pPr>
            <w:r w:rsidRPr="002F2F5F">
              <w:rPr>
                <w:rFonts w:cstheme="minorHAnsi"/>
                <w:sz w:val="24"/>
                <w:szCs w:val="24"/>
              </w:rPr>
              <w:t>Durabilité du bois et des matériaux dérivés du bois - Efficacité des produits préventifs de préservation du bois établie par des essais biologiques - Partie 2 : Etiquetage</w:t>
            </w:r>
          </w:p>
        </w:tc>
      </w:tr>
      <w:tr w:rsidR="004776C1" w:rsidRPr="0043547B" w:rsidTr="004776C1">
        <w:trPr>
          <w:trHeight w:val="3015"/>
          <w:jc w:val="center"/>
        </w:trPr>
        <w:tc>
          <w:tcPr>
            <w:tcW w:w="1838" w:type="dxa"/>
            <w:tcBorders>
              <w:top w:val="nil"/>
              <w:left w:val="single" w:sz="18" w:space="0" w:color="auto"/>
              <w:bottom w:val="single" w:sz="18" w:space="0" w:color="auto"/>
              <w:right w:val="single" w:sz="4" w:space="0" w:color="auto"/>
            </w:tcBorders>
            <w:shd w:val="clear" w:color="000000" w:fill="D9D9D9"/>
            <w:vAlign w:val="center"/>
          </w:tcPr>
          <w:p w:rsidR="004776C1" w:rsidRDefault="004776C1" w:rsidP="00B60E10">
            <w:pPr>
              <w:spacing w:after="0" w:line="240" w:lineRule="auto"/>
              <w:jc w:val="center"/>
              <w:rPr>
                <w:rFonts w:ascii="Calibri" w:hAnsi="Calibri" w:cs="Calibri"/>
                <w:b/>
                <w:bCs/>
                <w:color w:val="000000"/>
                <w:sz w:val="24"/>
                <w:szCs w:val="24"/>
              </w:rPr>
            </w:pPr>
            <w:r>
              <w:rPr>
                <w:rFonts w:ascii="Calibri" w:hAnsi="Calibri" w:cstheme="minorHAnsi"/>
                <w:b/>
                <w:bCs/>
                <w:color w:val="000000"/>
              </w:rPr>
              <w:t>Domaine d’application :</w:t>
            </w:r>
          </w:p>
        </w:tc>
        <w:tc>
          <w:tcPr>
            <w:tcW w:w="7938" w:type="dxa"/>
            <w:tcBorders>
              <w:left w:val="single" w:sz="4" w:space="0" w:color="auto"/>
              <w:bottom w:val="single" w:sz="18" w:space="0" w:color="auto"/>
              <w:right w:val="single" w:sz="18" w:space="0" w:color="auto"/>
            </w:tcBorders>
            <w:shd w:val="clear" w:color="auto" w:fill="FFFFFF" w:themeFill="background1"/>
          </w:tcPr>
          <w:p w:rsidR="00B874C5" w:rsidRPr="00B874C5" w:rsidRDefault="004776C1" w:rsidP="00B874C5">
            <w:pPr>
              <w:spacing w:after="0" w:line="240" w:lineRule="auto"/>
              <w:jc w:val="both"/>
              <w:rPr>
                <w:rFonts w:ascii="Calibri" w:hAnsi="Calibri" w:cs="Calibri"/>
                <w:sz w:val="24"/>
                <w:szCs w:val="24"/>
              </w:rPr>
            </w:pPr>
            <w:r w:rsidRPr="00B874C5">
              <w:rPr>
                <w:rFonts w:ascii="Calibri" w:hAnsi="Calibri" w:cs="Calibri"/>
                <w:sz w:val="24"/>
                <w:szCs w:val="24"/>
              </w:rPr>
              <w:t>La présente partie de l'EN 599 spécifie des exigences relatives à l'étiquetage des produits de préservation du bois en fonction de leur efficacité et de leur aptitude à l'emploi, pour chacune des cinq classes d'emploi définies dans l'EN 335.</w:t>
            </w:r>
          </w:p>
          <w:p w:rsidR="00B874C5" w:rsidRPr="00B874C5" w:rsidRDefault="004776C1" w:rsidP="00B874C5">
            <w:pPr>
              <w:spacing w:after="0" w:line="240" w:lineRule="auto"/>
              <w:jc w:val="both"/>
              <w:rPr>
                <w:rFonts w:ascii="Calibri" w:hAnsi="Calibri" w:cs="Calibri"/>
                <w:sz w:val="24"/>
                <w:szCs w:val="24"/>
              </w:rPr>
            </w:pPr>
            <w:r w:rsidRPr="00B874C5">
              <w:rPr>
                <w:rFonts w:ascii="Calibri" w:hAnsi="Calibri" w:cs="Calibri"/>
                <w:sz w:val="24"/>
                <w:szCs w:val="24"/>
              </w:rPr>
              <w:t>La présente partie de l'EN 599 est applicable à tous les produits de préservation du bois destinés à être appliqués sous forme liquide pour le traitement préventif des bois (utilisés ou non en structure) contre les champignons dégradant le bois, les insectes xylophages et les térébrants marins, tels que décrits dans l'EN 1001-2 et l'EN 335. Elle est applicable aux produits de traitement préventif contre les champignons qui provoquent la discoloration (bleuissement) du bois en service uniquement si cela est inclus dans l'efficacité préventive globale du produit.</w:t>
            </w:r>
          </w:p>
          <w:p w:rsidR="004776C1" w:rsidRPr="00B874C5" w:rsidRDefault="004776C1" w:rsidP="00B874C5">
            <w:pPr>
              <w:spacing w:after="0" w:line="240" w:lineRule="auto"/>
              <w:jc w:val="both"/>
              <w:rPr>
                <w:rFonts w:ascii="Calibri" w:hAnsi="Calibri" w:cs="Calibri"/>
                <w:sz w:val="24"/>
                <w:szCs w:val="24"/>
              </w:rPr>
            </w:pPr>
            <w:r w:rsidRPr="00B874C5">
              <w:rPr>
                <w:rFonts w:ascii="Calibri" w:hAnsi="Calibri" w:cs="Calibri"/>
                <w:sz w:val="24"/>
                <w:szCs w:val="24"/>
              </w:rPr>
              <w:t>La présente partie de l'EN 599 n'est pas applicable aux produits de préservation du bois destinés à être appliqués à l'état de pâte, à l'état solide ou encapsulés, car il est impossible de soumettre à l'essai de tels produits selon les méthodes d'essais biologiques retenues dans la présente norme sans que celles-ci ne soient</w:t>
            </w:r>
            <w:r w:rsidRPr="00B874C5">
              <w:rPr>
                <w:rFonts w:ascii="Calibri" w:hAnsi="Calibri" w:cs="Calibri"/>
                <w:sz w:val="24"/>
                <w:szCs w:val="24"/>
              </w:rPr>
              <w:br/>
              <w:t>modifiées. La présente norme n'est applicable ni aux produits de préservation du bois pour traitements curatifs, ni à ceux appliqués en vue de protéger le bois frais (non séché) contre les champignons de bleuissement.</w:t>
            </w:r>
          </w:p>
        </w:tc>
      </w:tr>
      <w:tr w:rsidR="004776C1" w:rsidRPr="0043547B" w:rsidTr="007B2835">
        <w:trPr>
          <w:trHeight w:val="304"/>
          <w:jc w:val="center"/>
        </w:trPr>
        <w:tc>
          <w:tcPr>
            <w:tcW w:w="1838" w:type="dxa"/>
            <w:tcBorders>
              <w:top w:val="nil"/>
              <w:left w:val="single" w:sz="18" w:space="0" w:color="auto"/>
              <w:bottom w:val="single" w:sz="18" w:space="0" w:color="auto"/>
              <w:right w:val="single" w:sz="4" w:space="0" w:color="auto"/>
            </w:tcBorders>
            <w:shd w:val="clear" w:color="auto" w:fill="9BBB59" w:themeFill="accent3"/>
            <w:vAlign w:val="center"/>
          </w:tcPr>
          <w:p w:rsidR="004776C1" w:rsidRPr="001A375A" w:rsidRDefault="004776C1" w:rsidP="00B60E10">
            <w:pPr>
              <w:spacing w:after="0" w:line="240" w:lineRule="auto"/>
              <w:jc w:val="center"/>
              <w:rPr>
                <w:rFonts w:cstheme="minorHAnsi"/>
                <w:b/>
                <w:bCs/>
                <w:sz w:val="24"/>
                <w:szCs w:val="24"/>
              </w:rPr>
            </w:pPr>
            <w:r w:rsidRPr="001A375A">
              <w:rPr>
                <w:rFonts w:cstheme="minorHAnsi"/>
                <w:b/>
                <w:bCs/>
                <w:sz w:val="24"/>
                <w:szCs w:val="24"/>
              </w:rPr>
              <w:t>Code :</w:t>
            </w:r>
          </w:p>
        </w:tc>
        <w:tc>
          <w:tcPr>
            <w:tcW w:w="7938" w:type="dxa"/>
            <w:tcBorders>
              <w:left w:val="single" w:sz="4" w:space="0" w:color="auto"/>
              <w:bottom w:val="single" w:sz="18" w:space="0" w:color="auto"/>
              <w:right w:val="single" w:sz="18" w:space="0" w:color="auto"/>
            </w:tcBorders>
            <w:shd w:val="clear" w:color="auto" w:fill="9BBB59" w:themeFill="accent3"/>
          </w:tcPr>
          <w:p w:rsidR="004776C1" w:rsidRPr="00B874C5" w:rsidRDefault="004776C1" w:rsidP="00B60E10">
            <w:pPr>
              <w:spacing w:after="0" w:line="240" w:lineRule="auto"/>
              <w:jc w:val="center"/>
              <w:rPr>
                <w:rFonts w:cstheme="minorHAnsi"/>
                <w:b/>
                <w:bCs/>
                <w:sz w:val="24"/>
                <w:szCs w:val="24"/>
              </w:rPr>
            </w:pPr>
            <w:r w:rsidRPr="00B874C5">
              <w:rPr>
                <w:rFonts w:cstheme="minorHAnsi"/>
                <w:b/>
                <w:bCs/>
                <w:sz w:val="24"/>
                <w:szCs w:val="24"/>
              </w:rPr>
              <w:t>NM EN 13329</w:t>
            </w:r>
          </w:p>
        </w:tc>
      </w:tr>
      <w:tr w:rsidR="004776C1" w:rsidRPr="0043547B" w:rsidTr="0078726B">
        <w:trPr>
          <w:trHeight w:val="170"/>
          <w:jc w:val="center"/>
        </w:trPr>
        <w:tc>
          <w:tcPr>
            <w:tcW w:w="1838" w:type="dxa"/>
            <w:tcBorders>
              <w:top w:val="nil"/>
              <w:left w:val="single" w:sz="18" w:space="0" w:color="auto"/>
              <w:bottom w:val="single" w:sz="18" w:space="0" w:color="auto"/>
              <w:right w:val="single" w:sz="4" w:space="0" w:color="auto"/>
            </w:tcBorders>
            <w:shd w:val="clear" w:color="auto" w:fill="FFFF99"/>
            <w:vAlign w:val="center"/>
          </w:tcPr>
          <w:p w:rsidR="004776C1" w:rsidRPr="001A375A" w:rsidRDefault="004776C1" w:rsidP="00B60E10">
            <w:pPr>
              <w:spacing w:after="0" w:line="240" w:lineRule="auto"/>
              <w:jc w:val="center"/>
              <w:rPr>
                <w:rFonts w:cstheme="minorHAnsi"/>
                <w:b/>
                <w:bCs/>
                <w:sz w:val="24"/>
                <w:szCs w:val="24"/>
              </w:rPr>
            </w:pPr>
            <w:r w:rsidRPr="001A375A">
              <w:rPr>
                <w:rFonts w:cstheme="minorHAnsi"/>
                <w:b/>
                <w:bCs/>
                <w:sz w:val="24"/>
                <w:szCs w:val="24"/>
              </w:rPr>
              <w:t>Equivalence :</w:t>
            </w:r>
          </w:p>
        </w:tc>
        <w:tc>
          <w:tcPr>
            <w:tcW w:w="7938" w:type="dxa"/>
            <w:tcBorders>
              <w:left w:val="single" w:sz="4" w:space="0" w:color="auto"/>
              <w:bottom w:val="single" w:sz="18" w:space="0" w:color="auto"/>
              <w:right w:val="single" w:sz="18" w:space="0" w:color="auto"/>
            </w:tcBorders>
            <w:shd w:val="clear" w:color="auto" w:fill="FFFF99"/>
            <w:vAlign w:val="center"/>
          </w:tcPr>
          <w:p w:rsidR="004776C1" w:rsidRPr="00B874C5" w:rsidRDefault="004776C1" w:rsidP="00B60E10">
            <w:pPr>
              <w:spacing w:after="0" w:line="240" w:lineRule="auto"/>
              <w:jc w:val="center"/>
              <w:rPr>
                <w:rFonts w:cstheme="minorHAnsi"/>
                <w:b/>
                <w:bCs/>
                <w:sz w:val="24"/>
                <w:szCs w:val="24"/>
              </w:rPr>
            </w:pPr>
            <w:r w:rsidRPr="00B874C5">
              <w:rPr>
                <w:rFonts w:cstheme="minorHAnsi"/>
                <w:b/>
                <w:bCs/>
                <w:sz w:val="24"/>
                <w:szCs w:val="24"/>
              </w:rPr>
              <w:t>EN 13329</w:t>
            </w:r>
          </w:p>
        </w:tc>
      </w:tr>
      <w:tr w:rsidR="004776C1" w:rsidRPr="001826A4" w:rsidTr="0003675E">
        <w:trPr>
          <w:trHeight w:val="462"/>
          <w:jc w:val="center"/>
        </w:trPr>
        <w:tc>
          <w:tcPr>
            <w:tcW w:w="1838" w:type="dxa"/>
            <w:tcBorders>
              <w:top w:val="nil"/>
              <w:left w:val="single" w:sz="18" w:space="0" w:color="auto"/>
              <w:bottom w:val="single" w:sz="18" w:space="0" w:color="auto"/>
              <w:right w:val="single" w:sz="4" w:space="0" w:color="auto"/>
            </w:tcBorders>
            <w:shd w:val="clear" w:color="auto" w:fill="95B3D7" w:themeFill="accent1" w:themeFillTint="99"/>
            <w:vAlign w:val="center"/>
          </w:tcPr>
          <w:p w:rsidR="004776C1" w:rsidRPr="001A375A" w:rsidRDefault="004776C1" w:rsidP="00B60E10">
            <w:pPr>
              <w:spacing w:after="0" w:line="240" w:lineRule="auto"/>
              <w:jc w:val="center"/>
              <w:rPr>
                <w:rFonts w:cstheme="minorHAnsi"/>
                <w:b/>
                <w:bCs/>
                <w:sz w:val="24"/>
                <w:szCs w:val="24"/>
              </w:rPr>
            </w:pPr>
            <w:r w:rsidRPr="001A375A">
              <w:rPr>
                <w:rFonts w:cstheme="minorHAnsi"/>
                <w:b/>
                <w:bCs/>
                <w:sz w:val="24"/>
                <w:szCs w:val="24"/>
              </w:rPr>
              <w:t>Intitulé :</w:t>
            </w:r>
          </w:p>
        </w:tc>
        <w:tc>
          <w:tcPr>
            <w:tcW w:w="7938" w:type="dxa"/>
            <w:tcBorders>
              <w:left w:val="single" w:sz="4" w:space="0" w:color="auto"/>
              <w:bottom w:val="single" w:sz="18" w:space="0" w:color="auto"/>
              <w:right w:val="single" w:sz="18" w:space="0" w:color="auto"/>
            </w:tcBorders>
            <w:shd w:val="clear" w:color="auto" w:fill="auto"/>
          </w:tcPr>
          <w:p w:rsidR="004776C1" w:rsidRPr="00B874C5" w:rsidRDefault="004776C1" w:rsidP="00B60E10">
            <w:pPr>
              <w:spacing w:after="0" w:line="240" w:lineRule="auto"/>
              <w:jc w:val="both"/>
              <w:rPr>
                <w:rFonts w:cstheme="minorHAnsi"/>
                <w:sz w:val="24"/>
                <w:szCs w:val="24"/>
              </w:rPr>
            </w:pPr>
            <w:r w:rsidRPr="00B874C5">
              <w:rPr>
                <w:rFonts w:cstheme="minorHAnsi"/>
                <w:sz w:val="24"/>
                <w:szCs w:val="24"/>
              </w:rPr>
              <w:t xml:space="preserve">Revêtements  de  sol  stratifiés  -  Éléments  dont  la  surface  est  à  base  de  résines  aminoplastes thermodurcissables - Spécifications, exigences et méthodes d'essai </w:t>
            </w:r>
          </w:p>
        </w:tc>
      </w:tr>
      <w:tr w:rsidR="004776C1" w:rsidRPr="0043547B" w:rsidTr="000B0841">
        <w:trPr>
          <w:trHeight w:val="1091"/>
          <w:jc w:val="center"/>
        </w:trPr>
        <w:tc>
          <w:tcPr>
            <w:tcW w:w="1838" w:type="dxa"/>
            <w:tcBorders>
              <w:top w:val="nil"/>
              <w:left w:val="single" w:sz="18" w:space="0" w:color="auto"/>
              <w:bottom w:val="single" w:sz="18" w:space="0" w:color="auto"/>
              <w:right w:val="single" w:sz="4" w:space="0" w:color="auto"/>
            </w:tcBorders>
            <w:shd w:val="clear" w:color="000000" w:fill="D9D9D9"/>
            <w:vAlign w:val="center"/>
          </w:tcPr>
          <w:p w:rsidR="004776C1" w:rsidRDefault="004776C1" w:rsidP="00B60E10">
            <w:pPr>
              <w:spacing w:after="0" w:line="240" w:lineRule="auto"/>
              <w:jc w:val="center"/>
              <w:rPr>
                <w:rFonts w:ascii="Calibri" w:hAnsi="Calibri" w:cs="Calibri"/>
                <w:b/>
                <w:bCs/>
                <w:color w:val="000000"/>
                <w:sz w:val="24"/>
                <w:szCs w:val="24"/>
              </w:rPr>
            </w:pPr>
            <w:r>
              <w:rPr>
                <w:rFonts w:ascii="Calibri" w:hAnsi="Calibri" w:cstheme="minorHAnsi"/>
                <w:b/>
                <w:bCs/>
                <w:color w:val="000000"/>
              </w:rPr>
              <w:t>Domaine d’application :</w:t>
            </w:r>
          </w:p>
        </w:tc>
        <w:tc>
          <w:tcPr>
            <w:tcW w:w="7938" w:type="dxa"/>
            <w:tcBorders>
              <w:left w:val="single" w:sz="4" w:space="0" w:color="auto"/>
              <w:bottom w:val="single" w:sz="18" w:space="0" w:color="auto"/>
              <w:right w:val="single" w:sz="18" w:space="0" w:color="auto"/>
            </w:tcBorders>
            <w:shd w:val="clear" w:color="auto" w:fill="FFFFFF" w:themeFill="background1"/>
          </w:tcPr>
          <w:p w:rsidR="00B874C5" w:rsidRPr="00B874C5" w:rsidRDefault="004776C1" w:rsidP="00B874C5">
            <w:pPr>
              <w:spacing w:after="0" w:line="240" w:lineRule="auto"/>
              <w:jc w:val="both"/>
              <w:rPr>
                <w:rFonts w:ascii="Calibri" w:hAnsi="Calibri" w:cs="Calibri"/>
                <w:sz w:val="24"/>
                <w:szCs w:val="24"/>
              </w:rPr>
            </w:pPr>
            <w:r w:rsidRPr="00B874C5">
              <w:rPr>
                <w:rFonts w:ascii="Calibri" w:hAnsi="Calibri" w:cs="Calibri"/>
                <w:sz w:val="24"/>
                <w:szCs w:val="24"/>
              </w:rPr>
              <w:t>La présente Norme européenne spécifie les caractéristiques, les exigences et les méthodes d’essai pour les revêtements de sol stratifiés dont le parement est à base de résines aminoplastes thermodurcissables, tels que définis en 3.1 et 3.2. Elle spécifie également les exigences relatives au marquage et à l’emballage.</w:t>
            </w:r>
          </w:p>
          <w:p w:rsidR="000B0841" w:rsidRPr="00B874C5" w:rsidRDefault="000B0841" w:rsidP="000B0841">
            <w:pPr>
              <w:spacing w:after="0" w:line="240" w:lineRule="auto"/>
              <w:jc w:val="both"/>
              <w:rPr>
                <w:rFonts w:ascii="Calibri" w:hAnsi="Calibri" w:cs="Calibri"/>
                <w:sz w:val="24"/>
                <w:szCs w:val="24"/>
              </w:rPr>
            </w:pPr>
            <w:r w:rsidRPr="00B874C5">
              <w:rPr>
                <w:rFonts w:ascii="Calibri" w:hAnsi="Calibri" w:cs="Calibri"/>
                <w:sz w:val="24"/>
                <w:szCs w:val="24"/>
              </w:rPr>
              <w:t>Elle comporte un système de classification fondé sur l’EN ISO 10874, qui donne les exigences pratiques relatives aux zones et niveaux d’utilisation, afin d’indiquer les cas où les revêtements de sol stratifiés peuvent être utilisés de manière satisfaisante et favoriser ainsi un choix avisé du consommateur.</w:t>
            </w:r>
          </w:p>
          <w:p w:rsidR="004776C1" w:rsidRPr="00B874C5" w:rsidRDefault="000B0841" w:rsidP="000B0841">
            <w:pPr>
              <w:spacing w:after="0" w:line="240" w:lineRule="auto"/>
              <w:jc w:val="both"/>
              <w:rPr>
                <w:rFonts w:ascii="Calibri" w:hAnsi="Calibri" w:cs="Calibri"/>
                <w:sz w:val="24"/>
                <w:szCs w:val="24"/>
              </w:rPr>
            </w:pPr>
            <w:r w:rsidRPr="00B874C5">
              <w:rPr>
                <w:rFonts w:ascii="Calibri" w:hAnsi="Calibri" w:cs="Calibri"/>
                <w:sz w:val="24"/>
                <w:szCs w:val="24"/>
              </w:rPr>
              <w:t>Les revêtements de sol stratifiés sont destinés à des usages domestiques et commerciaux, notamment dans les cuisines domestiques. La présente norme ne spécifie pas les exigences relatives aux zones présentant un risque d’humidification fréquente comme les salles de bains, les buanderies ou les saunas.</w:t>
            </w:r>
          </w:p>
        </w:tc>
      </w:tr>
      <w:tr w:rsidR="004776C1" w:rsidRPr="0043547B" w:rsidTr="007B2835">
        <w:trPr>
          <w:trHeight w:val="338"/>
          <w:jc w:val="center"/>
        </w:trPr>
        <w:tc>
          <w:tcPr>
            <w:tcW w:w="1838" w:type="dxa"/>
            <w:tcBorders>
              <w:top w:val="nil"/>
              <w:left w:val="single" w:sz="18" w:space="0" w:color="auto"/>
              <w:bottom w:val="single" w:sz="18" w:space="0" w:color="auto"/>
              <w:right w:val="single" w:sz="4" w:space="0" w:color="auto"/>
            </w:tcBorders>
            <w:shd w:val="clear" w:color="auto" w:fill="9BBB59" w:themeFill="accent3"/>
            <w:vAlign w:val="center"/>
          </w:tcPr>
          <w:p w:rsidR="004776C1" w:rsidRPr="00B262B1" w:rsidRDefault="004776C1" w:rsidP="00B60E10">
            <w:pPr>
              <w:spacing w:after="0" w:line="240" w:lineRule="auto"/>
              <w:jc w:val="center"/>
              <w:rPr>
                <w:rFonts w:ascii="Calibri" w:hAnsi="Calibri" w:cs="Calibri"/>
                <w:b/>
                <w:bCs/>
                <w:color w:val="000000"/>
                <w:sz w:val="24"/>
                <w:szCs w:val="24"/>
              </w:rPr>
            </w:pPr>
            <w:r>
              <w:rPr>
                <w:rFonts w:ascii="Calibri" w:hAnsi="Calibri" w:cstheme="minorHAnsi"/>
                <w:b/>
                <w:bCs/>
                <w:color w:val="000000"/>
              </w:rPr>
              <w:t>Code :</w:t>
            </w:r>
          </w:p>
        </w:tc>
        <w:tc>
          <w:tcPr>
            <w:tcW w:w="7938" w:type="dxa"/>
            <w:tcBorders>
              <w:left w:val="single" w:sz="4" w:space="0" w:color="auto"/>
              <w:bottom w:val="single" w:sz="18" w:space="0" w:color="auto"/>
              <w:right w:val="single" w:sz="18" w:space="0" w:color="auto"/>
            </w:tcBorders>
            <w:shd w:val="clear" w:color="auto" w:fill="9BBB59" w:themeFill="accent3"/>
          </w:tcPr>
          <w:p w:rsidR="004776C1" w:rsidRPr="00B874C5" w:rsidRDefault="004776C1" w:rsidP="00B60E10">
            <w:pPr>
              <w:spacing w:after="0" w:line="240" w:lineRule="auto"/>
              <w:jc w:val="center"/>
              <w:rPr>
                <w:rFonts w:cstheme="minorHAnsi"/>
                <w:sz w:val="24"/>
                <w:szCs w:val="24"/>
              </w:rPr>
            </w:pPr>
            <w:r w:rsidRPr="00B874C5">
              <w:rPr>
                <w:rFonts w:cstheme="minorHAnsi"/>
                <w:b/>
                <w:bCs/>
                <w:sz w:val="24"/>
                <w:szCs w:val="24"/>
              </w:rPr>
              <w:t>NM 10.2.010</w:t>
            </w:r>
          </w:p>
        </w:tc>
      </w:tr>
      <w:tr w:rsidR="004776C1" w:rsidRPr="0043547B" w:rsidTr="00B262B1">
        <w:trPr>
          <w:trHeight w:val="381"/>
          <w:jc w:val="center"/>
        </w:trPr>
        <w:tc>
          <w:tcPr>
            <w:tcW w:w="1838" w:type="dxa"/>
            <w:tcBorders>
              <w:top w:val="nil"/>
              <w:left w:val="single" w:sz="18" w:space="0" w:color="auto"/>
              <w:bottom w:val="single" w:sz="18" w:space="0" w:color="auto"/>
              <w:right w:val="single" w:sz="4" w:space="0" w:color="auto"/>
            </w:tcBorders>
            <w:shd w:val="clear" w:color="auto" w:fill="FFFF99"/>
            <w:vAlign w:val="center"/>
          </w:tcPr>
          <w:p w:rsidR="004776C1" w:rsidRDefault="004776C1" w:rsidP="00B60E10">
            <w:pPr>
              <w:spacing w:after="0" w:line="240" w:lineRule="auto"/>
              <w:jc w:val="center"/>
              <w:rPr>
                <w:rFonts w:ascii="Calibri" w:hAnsi="Calibri" w:cs="Calibri"/>
                <w:b/>
                <w:bCs/>
                <w:color w:val="000000"/>
                <w:sz w:val="24"/>
                <w:szCs w:val="24"/>
              </w:rPr>
            </w:pPr>
            <w:r>
              <w:rPr>
                <w:rFonts w:ascii="Calibri" w:hAnsi="Calibri" w:cstheme="minorHAnsi"/>
                <w:b/>
                <w:bCs/>
                <w:color w:val="000000"/>
              </w:rPr>
              <w:t>Equivalence :</w:t>
            </w:r>
          </w:p>
        </w:tc>
        <w:tc>
          <w:tcPr>
            <w:tcW w:w="7938" w:type="dxa"/>
            <w:tcBorders>
              <w:left w:val="single" w:sz="4" w:space="0" w:color="auto"/>
              <w:bottom w:val="single" w:sz="18" w:space="0" w:color="auto"/>
              <w:right w:val="single" w:sz="18" w:space="0" w:color="auto"/>
            </w:tcBorders>
            <w:shd w:val="clear" w:color="auto" w:fill="FFFF99"/>
            <w:vAlign w:val="center"/>
          </w:tcPr>
          <w:p w:rsidR="004776C1" w:rsidRPr="00B874C5" w:rsidRDefault="004776C1" w:rsidP="00B60E10">
            <w:pPr>
              <w:spacing w:after="0" w:line="240" w:lineRule="auto"/>
              <w:jc w:val="center"/>
              <w:rPr>
                <w:rFonts w:cstheme="minorHAnsi"/>
                <w:b/>
                <w:bCs/>
                <w:sz w:val="24"/>
                <w:szCs w:val="24"/>
              </w:rPr>
            </w:pPr>
            <w:r w:rsidRPr="00B874C5">
              <w:rPr>
                <w:rFonts w:cstheme="minorHAnsi"/>
                <w:b/>
                <w:bCs/>
                <w:sz w:val="24"/>
                <w:szCs w:val="24"/>
              </w:rPr>
              <w:t>NF P63-203-1-1</w:t>
            </w:r>
          </w:p>
        </w:tc>
      </w:tr>
      <w:tr w:rsidR="004776C1" w:rsidRPr="0043547B" w:rsidTr="0003675E">
        <w:trPr>
          <w:trHeight w:val="609"/>
          <w:jc w:val="center"/>
        </w:trPr>
        <w:tc>
          <w:tcPr>
            <w:tcW w:w="1838" w:type="dxa"/>
            <w:tcBorders>
              <w:top w:val="nil"/>
              <w:left w:val="single" w:sz="18" w:space="0" w:color="auto"/>
              <w:bottom w:val="single" w:sz="18" w:space="0" w:color="auto"/>
              <w:right w:val="single" w:sz="4" w:space="0" w:color="auto"/>
            </w:tcBorders>
            <w:shd w:val="clear" w:color="auto" w:fill="95B3D7" w:themeFill="accent1" w:themeFillTint="99"/>
            <w:vAlign w:val="center"/>
          </w:tcPr>
          <w:p w:rsidR="004776C1" w:rsidRDefault="004776C1" w:rsidP="00B60E10">
            <w:pPr>
              <w:spacing w:after="0" w:line="240" w:lineRule="auto"/>
              <w:jc w:val="center"/>
              <w:rPr>
                <w:rFonts w:ascii="Calibri" w:hAnsi="Calibri" w:cs="Calibri"/>
                <w:b/>
                <w:bCs/>
                <w:color w:val="000000"/>
                <w:sz w:val="24"/>
                <w:szCs w:val="24"/>
              </w:rPr>
            </w:pPr>
            <w:r>
              <w:rPr>
                <w:rFonts w:ascii="Calibri" w:hAnsi="Calibri" w:cstheme="minorHAnsi"/>
                <w:b/>
                <w:bCs/>
                <w:color w:val="000000"/>
              </w:rPr>
              <w:t>Intitulé :</w:t>
            </w:r>
          </w:p>
        </w:tc>
        <w:tc>
          <w:tcPr>
            <w:tcW w:w="7938" w:type="dxa"/>
            <w:tcBorders>
              <w:left w:val="single" w:sz="4" w:space="0" w:color="auto"/>
              <w:bottom w:val="single" w:sz="18" w:space="0" w:color="auto"/>
              <w:right w:val="single" w:sz="18" w:space="0" w:color="auto"/>
            </w:tcBorders>
            <w:shd w:val="clear" w:color="auto" w:fill="auto"/>
          </w:tcPr>
          <w:p w:rsidR="004776C1" w:rsidRPr="00B874C5" w:rsidRDefault="004776C1" w:rsidP="00B60E10">
            <w:pPr>
              <w:spacing w:after="0" w:line="240" w:lineRule="auto"/>
              <w:jc w:val="both"/>
              <w:rPr>
                <w:rFonts w:ascii="Calibri" w:hAnsi="Calibri" w:cs="Calibri"/>
                <w:sz w:val="24"/>
                <w:szCs w:val="24"/>
              </w:rPr>
            </w:pPr>
            <w:r w:rsidRPr="00B874C5">
              <w:rPr>
                <w:rFonts w:ascii="Calibri" w:hAnsi="Calibri" w:cs="Calibri"/>
                <w:sz w:val="24"/>
                <w:szCs w:val="24"/>
              </w:rPr>
              <w:t>Travaux de bâtiment - Planchers en bois ou en panneaux à base de bois - Cahier des clauses techniques</w:t>
            </w:r>
          </w:p>
        </w:tc>
      </w:tr>
      <w:tr w:rsidR="004776C1" w:rsidRPr="0043547B" w:rsidTr="000B0841">
        <w:trPr>
          <w:trHeight w:val="808"/>
          <w:jc w:val="center"/>
        </w:trPr>
        <w:tc>
          <w:tcPr>
            <w:tcW w:w="1838" w:type="dxa"/>
            <w:tcBorders>
              <w:top w:val="nil"/>
              <w:left w:val="single" w:sz="18" w:space="0" w:color="auto"/>
              <w:bottom w:val="single" w:sz="18" w:space="0" w:color="auto"/>
              <w:right w:val="single" w:sz="4" w:space="0" w:color="auto"/>
            </w:tcBorders>
            <w:shd w:val="clear" w:color="000000" w:fill="D9D9D9"/>
            <w:vAlign w:val="center"/>
          </w:tcPr>
          <w:p w:rsidR="004776C1" w:rsidRDefault="004776C1" w:rsidP="00B60E10">
            <w:pPr>
              <w:spacing w:after="0" w:line="240" w:lineRule="auto"/>
              <w:jc w:val="center"/>
              <w:rPr>
                <w:rFonts w:ascii="Calibri" w:hAnsi="Calibri" w:cs="Calibri"/>
                <w:b/>
                <w:bCs/>
                <w:color w:val="000000"/>
                <w:sz w:val="24"/>
                <w:szCs w:val="24"/>
              </w:rPr>
            </w:pPr>
            <w:r>
              <w:rPr>
                <w:rFonts w:ascii="Calibri" w:hAnsi="Calibri" w:cstheme="minorHAnsi"/>
                <w:b/>
                <w:bCs/>
                <w:color w:val="000000"/>
              </w:rPr>
              <w:t>Domaine d’application :</w:t>
            </w:r>
          </w:p>
        </w:tc>
        <w:tc>
          <w:tcPr>
            <w:tcW w:w="7938" w:type="dxa"/>
            <w:tcBorders>
              <w:left w:val="single" w:sz="4" w:space="0" w:color="auto"/>
              <w:bottom w:val="single" w:sz="18" w:space="0" w:color="auto"/>
              <w:right w:val="single" w:sz="18" w:space="0" w:color="auto"/>
            </w:tcBorders>
            <w:shd w:val="clear" w:color="auto" w:fill="FFFFFF" w:themeFill="background1"/>
          </w:tcPr>
          <w:p w:rsidR="00B874C5" w:rsidRDefault="004776C1" w:rsidP="00B874C5">
            <w:pPr>
              <w:spacing w:after="0" w:line="240" w:lineRule="auto"/>
              <w:jc w:val="both"/>
              <w:rPr>
                <w:rFonts w:ascii="Calibri" w:hAnsi="Calibri" w:cs="Calibri"/>
                <w:sz w:val="24"/>
                <w:szCs w:val="24"/>
              </w:rPr>
            </w:pPr>
            <w:r w:rsidRPr="00B874C5">
              <w:rPr>
                <w:rFonts w:ascii="Calibri" w:hAnsi="Calibri" w:cs="Calibri"/>
                <w:sz w:val="24"/>
                <w:szCs w:val="24"/>
              </w:rPr>
              <w:t>Le présent Cahier des clauses techniques s’applique aux travaux de planchers en bois tels que définis en 3 ou en panneaux dérivés du bois, exécutés sur un ouvrage de structure.</w:t>
            </w:r>
          </w:p>
          <w:p w:rsidR="00B874C5" w:rsidRPr="00B874C5" w:rsidRDefault="004776C1" w:rsidP="00B874C5">
            <w:pPr>
              <w:spacing w:after="0" w:line="240" w:lineRule="auto"/>
              <w:jc w:val="both"/>
              <w:rPr>
                <w:rFonts w:ascii="Calibri" w:hAnsi="Calibri" w:cs="Calibri"/>
                <w:i/>
                <w:iCs/>
              </w:rPr>
            </w:pPr>
            <w:r w:rsidRPr="00B874C5">
              <w:rPr>
                <w:rFonts w:ascii="Calibri" w:hAnsi="Calibri" w:cs="Calibri"/>
                <w:b/>
                <w:bCs/>
                <w:i/>
                <w:iCs/>
              </w:rPr>
              <w:t>NOTE</w:t>
            </w:r>
            <w:r w:rsidR="00B874C5" w:rsidRPr="00B874C5">
              <w:rPr>
                <w:rFonts w:ascii="Calibri" w:hAnsi="Calibri" w:cs="Calibri"/>
                <w:i/>
                <w:iCs/>
              </w:rPr>
              <w:t> :</w:t>
            </w:r>
            <w:r w:rsidRPr="00B874C5">
              <w:rPr>
                <w:rFonts w:ascii="Calibri" w:hAnsi="Calibri" w:cs="Calibri"/>
                <w:i/>
                <w:iCs/>
              </w:rPr>
              <w:t xml:space="preserve"> Les éléments porteurs supportant le plancher ne font pas l’objet du présent document.</w:t>
            </w:r>
          </w:p>
          <w:p w:rsidR="00B874C5" w:rsidRPr="00B874C5" w:rsidRDefault="004776C1" w:rsidP="00B874C5">
            <w:pPr>
              <w:spacing w:after="0" w:line="240" w:lineRule="auto"/>
              <w:jc w:val="both"/>
              <w:rPr>
                <w:rFonts w:ascii="Calibri" w:hAnsi="Calibri" w:cs="Calibri"/>
                <w:i/>
                <w:iCs/>
              </w:rPr>
            </w:pPr>
            <w:r w:rsidRPr="00B874C5">
              <w:rPr>
                <w:rFonts w:ascii="Calibri" w:hAnsi="Calibri" w:cs="Calibri"/>
                <w:sz w:val="24"/>
                <w:szCs w:val="24"/>
              </w:rPr>
              <w:lastRenderedPageBreak/>
              <w:t>Ces planchers sont des ouvrages horizontaux plans et continus, porteurs ou non. Ils se distinguent des parquets qui sont des ouvrages porteurs ou non porteurs, mais qui remplissent un rôle décoratif et ne sont pas traités dans le présent document.</w:t>
            </w:r>
            <w:r w:rsidRPr="00B874C5">
              <w:rPr>
                <w:rFonts w:ascii="Calibri" w:hAnsi="Calibri" w:cs="Calibri"/>
                <w:sz w:val="24"/>
                <w:szCs w:val="24"/>
              </w:rPr>
              <w:br/>
            </w:r>
            <w:r w:rsidRPr="00B874C5">
              <w:rPr>
                <w:rFonts w:ascii="Calibri" w:hAnsi="Calibri" w:cs="Calibri"/>
                <w:b/>
                <w:bCs/>
                <w:i/>
                <w:iCs/>
              </w:rPr>
              <w:t>NOTE</w:t>
            </w:r>
            <w:r w:rsidR="00B874C5" w:rsidRPr="00B874C5">
              <w:rPr>
                <w:rFonts w:ascii="Calibri" w:hAnsi="Calibri" w:cs="Calibri"/>
                <w:i/>
                <w:iCs/>
              </w:rPr>
              <w:t xml:space="preserve"> : </w:t>
            </w:r>
            <w:r w:rsidRPr="00B874C5">
              <w:rPr>
                <w:rFonts w:ascii="Calibri" w:hAnsi="Calibri" w:cs="Calibri"/>
                <w:i/>
                <w:iCs/>
              </w:rPr>
              <w:t>Les «Travaux de parquets à clouer» font l’objet du DTU 51.1, les «Travaux de parquets collés» font l’objet du DTU 51.2 et les «Travaux de parquets flottants» font l’objet du DTU 51.11.</w:t>
            </w:r>
          </w:p>
          <w:p w:rsidR="00B874C5" w:rsidRDefault="004776C1" w:rsidP="00B874C5">
            <w:pPr>
              <w:spacing w:after="0" w:line="240" w:lineRule="auto"/>
              <w:jc w:val="both"/>
              <w:rPr>
                <w:rFonts w:ascii="Calibri" w:hAnsi="Calibri" w:cs="Calibri"/>
                <w:sz w:val="24"/>
                <w:szCs w:val="24"/>
              </w:rPr>
            </w:pPr>
            <w:r w:rsidRPr="00B874C5">
              <w:rPr>
                <w:rFonts w:ascii="Calibri" w:hAnsi="Calibri" w:cs="Calibri"/>
                <w:sz w:val="24"/>
                <w:szCs w:val="24"/>
              </w:rPr>
              <w:t>Ce Cahier des Clauses techniques concerne tous les travaux neufs ou de rénovation de planchers en lames de bois massif, ou en panneaux à base de bois, quel que soit le type de local où ils sont exécutés (habitation, locaux</w:t>
            </w:r>
            <w:r w:rsidRPr="00B874C5">
              <w:rPr>
                <w:rFonts w:ascii="Calibri" w:hAnsi="Calibri" w:cs="Calibri"/>
                <w:sz w:val="24"/>
                <w:szCs w:val="24"/>
              </w:rPr>
              <w:br/>
              <w:t>commerciaux, bureaux, entrepôts, usines, locaux de sport ou autres locaux recevant du public, etc.) qu’ils soient posés sur un support continu ou discontinu.</w:t>
            </w:r>
            <w:r w:rsidRPr="00B874C5">
              <w:rPr>
                <w:rFonts w:ascii="Calibri" w:hAnsi="Calibri" w:cs="Calibri"/>
                <w:sz w:val="24"/>
                <w:szCs w:val="24"/>
              </w:rPr>
              <w:br/>
              <w:t>Toutefois, sont exclus les locaux à très forte hygrométrie ou à risque important de ré-humidification.</w:t>
            </w:r>
          </w:p>
          <w:p w:rsidR="00B874C5" w:rsidRPr="00B874C5" w:rsidRDefault="004776C1" w:rsidP="00B874C5">
            <w:pPr>
              <w:spacing w:after="0" w:line="240" w:lineRule="auto"/>
              <w:jc w:val="both"/>
              <w:rPr>
                <w:rFonts w:ascii="Calibri" w:hAnsi="Calibri" w:cs="Calibri"/>
                <w:i/>
                <w:iCs/>
              </w:rPr>
            </w:pPr>
            <w:r w:rsidRPr="00B874C5">
              <w:rPr>
                <w:rFonts w:ascii="Calibri" w:hAnsi="Calibri" w:cs="Calibri"/>
                <w:b/>
                <w:bCs/>
                <w:i/>
                <w:iCs/>
              </w:rPr>
              <w:t>NOTE</w:t>
            </w:r>
            <w:r w:rsidR="00B874C5" w:rsidRPr="00B874C5">
              <w:rPr>
                <w:rFonts w:ascii="Calibri" w:hAnsi="Calibri" w:cs="Calibri"/>
                <w:i/>
                <w:iCs/>
              </w:rPr>
              <w:t xml:space="preserve"> : </w:t>
            </w:r>
            <w:r w:rsidRPr="00B874C5">
              <w:rPr>
                <w:rFonts w:ascii="Calibri" w:hAnsi="Calibri" w:cs="Calibri"/>
                <w:i/>
                <w:iCs/>
              </w:rPr>
              <w:t>Il faut tenir compte :</w:t>
            </w:r>
          </w:p>
          <w:p w:rsidR="00B874C5" w:rsidRPr="00B874C5" w:rsidRDefault="004776C1" w:rsidP="00B874C5">
            <w:pPr>
              <w:spacing w:after="0" w:line="240" w:lineRule="auto"/>
              <w:jc w:val="both"/>
              <w:rPr>
                <w:rFonts w:ascii="Calibri" w:hAnsi="Calibri" w:cs="Calibri"/>
                <w:i/>
                <w:iCs/>
              </w:rPr>
            </w:pPr>
            <w:r w:rsidRPr="00B874C5">
              <w:rPr>
                <w:rFonts w:ascii="Calibri" w:hAnsi="Calibri" w:cs="Calibri"/>
                <w:i/>
                <w:iCs/>
              </w:rPr>
              <w:t>— des conditions hygrométriques du local ou de celles des locaux adjacents. On appelle locaux à très forte hygrométrie les locaux dans lesquels le rapport W/n est supérieur à 7,5 g/m3, avec :</w:t>
            </w:r>
          </w:p>
          <w:p w:rsidR="00B874C5" w:rsidRPr="00B874C5" w:rsidRDefault="004776C1" w:rsidP="00B874C5">
            <w:pPr>
              <w:spacing w:after="0" w:line="240" w:lineRule="auto"/>
              <w:jc w:val="both"/>
              <w:rPr>
                <w:rFonts w:ascii="Calibri" w:hAnsi="Calibri" w:cs="Calibri"/>
                <w:i/>
                <w:iCs/>
              </w:rPr>
            </w:pPr>
            <w:r w:rsidRPr="00B874C5">
              <w:rPr>
                <w:rFonts w:ascii="Calibri" w:hAnsi="Calibri" w:cs="Calibri"/>
                <w:i/>
                <w:iCs/>
              </w:rPr>
              <w:t>W, la quantité de vapeur produite à l’intérieur du local par heure ;</w:t>
            </w:r>
          </w:p>
          <w:p w:rsidR="00B874C5" w:rsidRPr="00B874C5" w:rsidRDefault="004776C1" w:rsidP="00B874C5">
            <w:pPr>
              <w:spacing w:after="0" w:line="240" w:lineRule="auto"/>
              <w:jc w:val="both"/>
              <w:rPr>
                <w:rFonts w:ascii="Calibri" w:hAnsi="Calibri" w:cs="Calibri"/>
                <w:i/>
                <w:iCs/>
              </w:rPr>
            </w:pPr>
            <w:r w:rsidRPr="00B874C5">
              <w:rPr>
                <w:rFonts w:ascii="Calibri" w:hAnsi="Calibri" w:cs="Calibri"/>
                <w:i/>
                <w:iCs/>
              </w:rPr>
              <w:t>n, le taux horaire de renouvellement d’air.</w:t>
            </w:r>
          </w:p>
          <w:p w:rsidR="00B874C5" w:rsidRPr="00B874C5" w:rsidRDefault="004776C1" w:rsidP="00B874C5">
            <w:pPr>
              <w:spacing w:after="0" w:line="240" w:lineRule="auto"/>
              <w:jc w:val="both"/>
              <w:rPr>
                <w:rFonts w:ascii="Calibri" w:hAnsi="Calibri" w:cs="Calibri"/>
                <w:i/>
                <w:iCs/>
              </w:rPr>
            </w:pPr>
            <w:r w:rsidRPr="00B874C5">
              <w:rPr>
                <w:rFonts w:ascii="Calibri" w:hAnsi="Calibri" w:cs="Calibri"/>
                <w:i/>
                <w:iCs/>
              </w:rPr>
              <w:t>Par exemple, les locaux industriels nécessitant le maintien d’une humidité relative élevée et permanente, etc.</w:t>
            </w:r>
          </w:p>
          <w:p w:rsidR="00B874C5" w:rsidRPr="00B874C5" w:rsidRDefault="004776C1" w:rsidP="00B874C5">
            <w:pPr>
              <w:spacing w:after="0" w:line="240" w:lineRule="auto"/>
              <w:jc w:val="both"/>
              <w:rPr>
                <w:rFonts w:ascii="Calibri" w:hAnsi="Calibri" w:cs="Calibri"/>
                <w:i/>
                <w:iCs/>
              </w:rPr>
            </w:pPr>
            <w:r w:rsidRPr="00B874C5">
              <w:rPr>
                <w:rFonts w:ascii="Calibri" w:hAnsi="Calibri" w:cs="Calibri"/>
                <w:i/>
                <w:iCs/>
              </w:rPr>
              <w:t>— des conditions d’humidification. On appelle locaux à risque important de ré-humidification ceux dans lesquels existent</w:t>
            </w:r>
            <w:r w:rsidR="00B874C5" w:rsidRPr="00B874C5">
              <w:rPr>
                <w:rFonts w:ascii="Calibri" w:hAnsi="Calibri" w:cs="Calibri"/>
                <w:i/>
                <w:iCs/>
              </w:rPr>
              <w:t xml:space="preserve"> </w:t>
            </w:r>
            <w:r w:rsidRPr="00B874C5">
              <w:rPr>
                <w:rFonts w:ascii="Calibri" w:hAnsi="Calibri" w:cs="Calibri"/>
                <w:i/>
                <w:iCs/>
              </w:rPr>
              <w:t>des ruissellements systématiques et importants, tels que buanderie, locaux sanitaires de collectivité, etc.</w:t>
            </w:r>
          </w:p>
          <w:p w:rsidR="00B874C5" w:rsidRDefault="004776C1" w:rsidP="00B874C5">
            <w:pPr>
              <w:spacing w:after="0" w:line="240" w:lineRule="auto"/>
              <w:jc w:val="both"/>
              <w:rPr>
                <w:rFonts w:ascii="Calibri" w:hAnsi="Calibri" w:cs="Calibri"/>
                <w:sz w:val="24"/>
                <w:szCs w:val="24"/>
              </w:rPr>
            </w:pPr>
            <w:r w:rsidRPr="00B874C5">
              <w:rPr>
                <w:rFonts w:ascii="Calibri" w:hAnsi="Calibri" w:cs="Calibri"/>
                <w:sz w:val="24"/>
                <w:szCs w:val="24"/>
              </w:rPr>
              <w:t>Le présent document s’applique aux planchers laissés à l’état naturel ou devant recevoir</w:t>
            </w:r>
            <w:r w:rsidR="00B874C5">
              <w:rPr>
                <w:rFonts w:ascii="Calibri" w:hAnsi="Calibri" w:cs="Calibri"/>
                <w:sz w:val="24"/>
                <w:szCs w:val="24"/>
              </w:rPr>
              <w:t xml:space="preserve"> </w:t>
            </w:r>
            <w:r w:rsidRPr="00B874C5">
              <w:rPr>
                <w:rFonts w:ascii="Calibri" w:hAnsi="Calibri" w:cs="Calibri"/>
                <w:sz w:val="24"/>
                <w:szCs w:val="24"/>
              </w:rPr>
              <w:t>par la suite un revêtement</w:t>
            </w:r>
            <w:r w:rsidR="00B874C5">
              <w:rPr>
                <w:rFonts w:ascii="Calibri" w:hAnsi="Calibri" w:cs="Calibri"/>
                <w:sz w:val="24"/>
                <w:szCs w:val="24"/>
              </w:rPr>
              <w:t xml:space="preserve"> </w:t>
            </w:r>
            <w:r w:rsidRPr="00B874C5">
              <w:rPr>
                <w:rFonts w:ascii="Calibri" w:hAnsi="Calibri" w:cs="Calibri"/>
                <w:sz w:val="24"/>
                <w:szCs w:val="24"/>
              </w:rPr>
              <w:t>de sol ou une finition de surface.</w:t>
            </w:r>
          </w:p>
          <w:p w:rsidR="00B874C5" w:rsidRDefault="004776C1" w:rsidP="00B874C5">
            <w:pPr>
              <w:spacing w:after="0" w:line="240" w:lineRule="auto"/>
              <w:jc w:val="both"/>
              <w:rPr>
                <w:rFonts w:ascii="Calibri" w:hAnsi="Calibri" w:cs="Calibri"/>
                <w:sz w:val="24"/>
                <w:szCs w:val="24"/>
              </w:rPr>
            </w:pPr>
            <w:r w:rsidRPr="00B874C5">
              <w:rPr>
                <w:rFonts w:ascii="Calibri" w:hAnsi="Calibri" w:cs="Calibri"/>
                <w:sz w:val="24"/>
                <w:szCs w:val="24"/>
              </w:rPr>
              <w:t>Il ne s’applique pas aux planchers dont le mode de pose est différent de ceux décrits au chapitre 5. Il ne s’applique</w:t>
            </w:r>
            <w:r w:rsidR="00B874C5">
              <w:rPr>
                <w:rFonts w:ascii="Calibri" w:hAnsi="Calibri" w:cs="Calibri"/>
                <w:sz w:val="24"/>
                <w:szCs w:val="24"/>
              </w:rPr>
              <w:t xml:space="preserve"> </w:t>
            </w:r>
            <w:r w:rsidRPr="00B874C5">
              <w:rPr>
                <w:rFonts w:ascii="Calibri" w:hAnsi="Calibri" w:cs="Calibri"/>
                <w:sz w:val="24"/>
                <w:szCs w:val="24"/>
              </w:rPr>
              <w:t xml:space="preserve">pas non plus à la mise en </w:t>
            </w:r>
            <w:r w:rsidR="00B874C5" w:rsidRPr="00B874C5">
              <w:rPr>
                <w:rFonts w:ascii="Calibri" w:hAnsi="Calibri" w:cs="Calibri"/>
                <w:sz w:val="24"/>
                <w:szCs w:val="24"/>
              </w:rPr>
              <w:t>œuvre</w:t>
            </w:r>
            <w:r w:rsidRPr="00B874C5">
              <w:rPr>
                <w:rFonts w:ascii="Calibri" w:hAnsi="Calibri" w:cs="Calibri"/>
                <w:sz w:val="24"/>
                <w:szCs w:val="24"/>
              </w:rPr>
              <w:t xml:space="preserve"> des revêtements de sol ou à celle des finitions de surface.</w:t>
            </w:r>
          </w:p>
          <w:p w:rsidR="00B874C5" w:rsidRPr="00B874C5" w:rsidRDefault="004776C1" w:rsidP="00B874C5">
            <w:pPr>
              <w:spacing w:after="0" w:line="240" w:lineRule="auto"/>
              <w:jc w:val="both"/>
              <w:rPr>
                <w:rFonts w:ascii="Calibri" w:hAnsi="Calibri" w:cs="Calibri"/>
                <w:i/>
                <w:iCs/>
              </w:rPr>
            </w:pPr>
            <w:r w:rsidRPr="00B874C5">
              <w:rPr>
                <w:rFonts w:ascii="Calibri" w:hAnsi="Calibri" w:cs="Calibri"/>
                <w:b/>
                <w:bCs/>
                <w:i/>
                <w:iCs/>
              </w:rPr>
              <w:t>NOTE</w:t>
            </w:r>
            <w:r w:rsidR="00B874C5" w:rsidRPr="00B874C5">
              <w:rPr>
                <w:rFonts w:ascii="Calibri" w:hAnsi="Calibri" w:cs="Calibri"/>
                <w:i/>
                <w:iCs/>
              </w:rPr>
              <w:t> :</w:t>
            </w:r>
            <w:r w:rsidRPr="00B874C5">
              <w:rPr>
                <w:rFonts w:ascii="Calibri" w:hAnsi="Calibri" w:cs="Calibri"/>
                <w:i/>
                <w:iCs/>
              </w:rPr>
              <w:t xml:space="preserve"> Le choix de revêtement de sol dépend du type de plancher réalisé et du mode d’exploitation des locaux (voir</w:t>
            </w:r>
            <w:r w:rsidR="00B874C5" w:rsidRPr="00B874C5">
              <w:rPr>
                <w:rFonts w:ascii="Calibri" w:hAnsi="Calibri" w:cs="Calibri"/>
                <w:i/>
                <w:iCs/>
              </w:rPr>
              <w:t xml:space="preserve"> </w:t>
            </w:r>
            <w:r w:rsidRPr="00B874C5">
              <w:rPr>
                <w:rFonts w:ascii="Calibri" w:hAnsi="Calibri" w:cs="Calibri"/>
                <w:i/>
                <w:iCs/>
              </w:rPr>
              <w:t>Annexe B).</w:t>
            </w:r>
          </w:p>
          <w:p w:rsidR="00B874C5" w:rsidRDefault="004776C1" w:rsidP="00B874C5">
            <w:pPr>
              <w:spacing w:after="0" w:line="240" w:lineRule="auto"/>
              <w:jc w:val="both"/>
              <w:rPr>
                <w:rFonts w:ascii="Calibri" w:hAnsi="Calibri" w:cs="Calibri"/>
                <w:sz w:val="24"/>
                <w:szCs w:val="24"/>
              </w:rPr>
            </w:pPr>
            <w:r w:rsidRPr="00B874C5">
              <w:rPr>
                <w:rFonts w:ascii="Calibri" w:hAnsi="Calibri" w:cs="Calibri"/>
                <w:sz w:val="24"/>
                <w:szCs w:val="24"/>
              </w:rPr>
              <w:t>Les planchers en bois ou en panneaux à base de bois ne sont pas destinés à recevoir ultérieurement des ouvrages</w:t>
            </w:r>
            <w:r w:rsidR="00B874C5">
              <w:rPr>
                <w:rFonts w:ascii="Calibri" w:hAnsi="Calibri" w:cs="Calibri"/>
                <w:sz w:val="24"/>
                <w:szCs w:val="24"/>
              </w:rPr>
              <w:t xml:space="preserve"> </w:t>
            </w:r>
            <w:r w:rsidRPr="00B874C5">
              <w:rPr>
                <w:rFonts w:ascii="Calibri" w:hAnsi="Calibri" w:cs="Calibri"/>
                <w:sz w:val="24"/>
                <w:szCs w:val="24"/>
              </w:rPr>
              <w:t>verticaux en maçonnerie.</w:t>
            </w:r>
          </w:p>
          <w:p w:rsidR="004776C1" w:rsidRPr="00B874C5" w:rsidRDefault="004776C1" w:rsidP="00B874C5">
            <w:pPr>
              <w:spacing w:after="0" w:line="240" w:lineRule="auto"/>
              <w:jc w:val="both"/>
              <w:rPr>
                <w:rFonts w:ascii="Calibri" w:hAnsi="Calibri" w:cs="Calibri"/>
                <w:i/>
                <w:iCs/>
                <w:sz w:val="24"/>
                <w:szCs w:val="24"/>
              </w:rPr>
            </w:pPr>
            <w:r w:rsidRPr="00B874C5">
              <w:rPr>
                <w:rFonts w:ascii="Calibri" w:hAnsi="Calibri" w:cs="Calibri"/>
                <w:b/>
                <w:bCs/>
                <w:i/>
                <w:iCs/>
              </w:rPr>
              <w:t>NOTE</w:t>
            </w:r>
            <w:r w:rsidR="00B874C5" w:rsidRPr="00B874C5">
              <w:rPr>
                <w:rFonts w:ascii="Calibri" w:hAnsi="Calibri" w:cs="Calibri"/>
                <w:i/>
                <w:iCs/>
              </w:rPr>
              <w:t xml:space="preserve"> : </w:t>
            </w:r>
            <w:r w:rsidRPr="00B874C5">
              <w:rPr>
                <w:rFonts w:ascii="Calibri" w:hAnsi="Calibri" w:cs="Calibri"/>
                <w:i/>
                <w:iCs/>
              </w:rPr>
              <w:t>La réalisation d’ouvrage en maçonnerie nécessite un apport d’eau néfaste au bon comportement du plancher. De</w:t>
            </w:r>
            <w:r w:rsidR="00B874C5" w:rsidRPr="00B874C5">
              <w:rPr>
                <w:rFonts w:ascii="Calibri" w:hAnsi="Calibri" w:cs="Calibri"/>
                <w:i/>
                <w:iCs/>
              </w:rPr>
              <w:t xml:space="preserve"> </w:t>
            </w:r>
            <w:r w:rsidRPr="00B874C5">
              <w:rPr>
                <w:rFonts w:ascii="Calibri" w:hAnsi="Calibri" w:cs="Calibri"/>
                <w:i/>
                <w:iCs/>
              </w:rPr>
              <w:t>plus, ils sont d’une rigidité incompatible avec la flexibilité des planchers en bois ou panneaux dérivés du bois.</w:t>
            </w:r>
          </w:p>
        </w:tc>
      </w:tr>
      <w:tr w:rsidR="004776C1" w:rsidRPr="0043547B" w:rsidTr="007B2835">
        <w:trPr>
          <w:trHeight w:val="322"/>
          <w:jc w:val="center"/>
        </w:trPr>
        <w:tc>
          <w:tcPr>
            <w:tcW w:w="1838" w:type="dxa"/>
            <w:tcBorders>
              <w:top w:val="nil"/>
              <w:left w:val="single" w:sz="18" w:space="0" w:color="auto"/>
              <w:bottom w:val="single" w:sz="18" w:space="0" w:color="auto"/>
              <w:right w:val="single" w:sz="4" w:space="0" w:color="auto"/>
            </w:tcBorders>
            <w:shd w:val="clear" w:color="auto" w:fill="9BBB59" w:themeFill="accent3"/>
            <w:vAlign w:val="center"/>
          </w:tcPr>
          <w:p w:rsidR="004776C1" w:rsidRPr="009D1F22" w:rsidRDefault="004776C1" w:rsidP="00B60E10">
            <w:pPr>
              <w:spacing w:after="0" w:line="240" w:lineRule="auto"/>
              <w:jc w:val="center"/>
              <w:rPr>
                <w:rFonts w:cstheme="minorHAnsi"/>
                <w:b/>
                <w:bCs/>
                <w:sz w:val="24"/>
                <w:szCs w:val="24"/>
              </w:rPr>
            </w:pPr>
            <w:r w:rsidRPr="009D1F22">
              <w:rPr>
                <w:rFonts w:cstheme="minorHAnsi"/>
                <w:b/>
                <w:bCs/>
                <w:sz w:val="24"/>
                <w:szCs w:val="24"/>
              </w:rPr>
              <w:lastRenderedPageBreak/>
              <w:t>Code :</w:t>
            </w:r>
          </w:p>
        </w:tc>
        <w:tc>
          <w:tcPr>
            <w:tcW w:w="7938" w:type="dxa"/>
            <w:tcBorders>
              <w:left w:val="single" w:sz="4" w:space="0" w:color="auto"/>
              <w:bottom w:val="single" w:sz="18" w:space="0" w:color="auto"/>
              <w:right w:val="single" w:sz="18" w:space="0" w:color="auto"/>
            </w:tcBorders>
            <w:shd w:val="clear" w:color="auto" w:fill="9BBB59" w:themeFill="accent3"/>
          </w:tcPr>
          <w:p w:rsidR="004776C1" w:rsidRPr="00B874C5" w:rsidRDefault="004776C1" w:rsidP="00B60E10">
            <w:pPr>
              <w:spacing w:after="0" w:line="240" w:lineRule="auto"/>
              <w:jc w:val="center"/>
              <w:rPr>
                <w:rFonts w:cstheme="minorHAnsi"/>
                <w:b/>
                <w:bCs/>
                <w:sz w:val="24"/>
                <w:szCs w:val="24"/>
              </w:rPr>
            </w:pPr>
            <w:r w:rsidRPr="00B874C5">
              <w:rPr>
                <w:rFonts w:cstheme="minorHAnsi"/>
                <w:b/>
                <w:bCs/>
                <w:sz w:val="24"/>
                <w:szCs w:val="24"/>
              </w:rPr>
              <w:t>NM 13.6.498</w:t>
            </w:r>
          </w:p>
        </w:tc>
      </w:tr>
      <w:tr w:rsidR="004776C1" w:rsidRPr="0043547B" w:rsidTr="00506D8E">
        <w:trPr>
          <w:trHeight w:val="330"/>
          <w:jc w:val="center"/>
        </w:trPr>
        <w:tc>
          <w:tcPr>
            <w:tcW w:w="1838" w:type="dxa"/>
            <w:tcBorders>
              <w:top w:val="nil"/>
              <w:left w:val="single" w:sz="18" w:space="0" w:color="auto"/>
              <w:bottom w:val="single" w:sz="18" w:space="0" w:color="auto"/>
              <w:right w:val="single" w:sz="4" w:space="0" w:color="auto"/>
            </w:tcBorders>
            <w:shd w:val="clear" w:color="auto" w:fill="FFFF99"/>
            <w:vAlign w:val="center"/>
          </w:tcPr>
          <w:p w:rsidR="004776C1" w:rsidRPr="009D1F22" w:rsidRDefault="004776C1" w:rsidP="00B60E10">
            <w:pPr>
              <w:spacing w:after="0" w:line="240" w:lineRule="auto"/>
              <w:jc w:val="center"/>
              <w:rPr>
                <w:rFonts w:cstheme="minorHAnsi"/>
                <w:b/>
                <w:bCs/>
                <w:sz w:val="24"/>
                <w:szCs w:val="24"/>
              </w:rPr>
            </w:pPr>
            <w:r w:rsidRPr="009D1F22">
              <w:rPr>
                <w:rFonts w:cstheme="minorHAnsi"/>
                <w:b/>
                <w:bCs/>
                <w:sz w:val="24"/>
                <w:szCs w:val="24"/>
              </w:rPr>
              <w:t>Equivalence :</w:t>
            </w:r>
          </w:p>
        </w:tc>
        <w:tc>
          <w:tcPr>
            <w:tcW w:w="7938" w:type="dxa"/>
            <w:tcBorders>
              <w:left w:val="single" w:sz="4" w:space="0" w:color="auto"/>
              <w:bottom w:val="single" w:sz="18" w:space="0" w:color="auto"/>
              <w:right w:val="single" w:sz="18" w:space="0" w:color="auto"/>
            </w:tcBorders>
            <w:shd w:val="clear" w:color="auto" w:fill="FFFF99"/>
            <w:vAlign w:val="center"/>
          </w:tcPr>
          <w:p w:rsidR="004776C1" w:rsidRPr="00B874C5" w:rsidRDefault="004776C1" w:rsidP="00B60E10">
            <w:pPr>
              <w:spacing w:after="0" w:line="240" w:lineRule="auto"/>
              <w:jc w:val="center"/>
              <w:rPr>
                <w:rFonts w:cstheme="minorHAnsi"/>
                <w:b/>
                <w:bCs/>
                <w:sz w:val="24"/>
                <w:szCs w:val="24"/>
              </w:rPr>
            </w:pPr>
            <w:r w:rsidRPr="00B874C5">
              <w:rPr>
                <w:rFonts w:cstheme="minorHAnsi"/>
                <w:b/>
                <w:bCs/>
                <w:sz w:val="24"/>
                <w:szCs w:val="24"/>
              </w:rPr>
              <w:t>NF P63-203-1-2</w:t>
            </w:r>
          </w:p>
        </w:tc>
      </w:tr>
      <w:tr w:rsidR="004776C1" w:rsidRPr="0043547B" w:rsidTr="0003675E">
        <w:trPr>
          <w:trHeight w:val="635"/>
          <w:jc w:val="center"/>
        </w:trPr>
        <w:tc>
          <w:tcPr>
            <w:tcW w:w="1838" w:type="dxa"/>
            <w:tcBorders>
              <w:top w:val="nil"/>
              <w:left w:val="single" w:sz="18" w:space="0" w:color="auto"/>
              <w:bottom w:val="single" w:sz="18" w:space="0" w:color="auto"/>
              <w:right w:val="single" w:sz="4" w:space="0" w:color="auto"/>
            </w:tcBorders>
            <w:shd w:val="clear" w:color="auto" w:fill="95B3D7" w:themeFill="accent1" w:themeFillTint="99"/>
            <w:vAlign w:val="center"/>
          </w:tcPr>
          <w:p w:rsidR="004776C1" w:rsidRPr="009D1F22" w:rsidRDefault="004776C1" w:rsidP="00B60E10">
            <w:pPr>
              <w:spacing w:after="0" w:line="240" w:lineRule="auto"/>
              <w:jc w:val="center"/>
              <w:rPr>
                <w:rFonts w:cstheme="minorHAnsi"/>
                <w:b/>
                <w:bCs/>
                <w:sz w:val="24"/>
                <w:szCs w:val="24"/>
              </w:rPr>
            </w:pPr>
            <w:r w:rsidRPr="009D1F22">
              <w:rPr>
                <w:rFonts w:cstheme="minorHAnsi"/>
                <w:b/>
                <w:bCs/>
                <w:sz w:val="24"/>
                <w:szCs w:val="24"/>
              </w:rPr>
              <w:t>Intitulé :</w:t>
            </w:r>
          </w:p>
        </w:tc>
        <w:tc>
          <w:tcPr>
            <w:tcW w:w="7938" w:type="dxa"/>
            <w:tcBorders>
              <w:left w:val="single" w:sz="4" w:space="0" w:color="auto"/>
              <w:bottom w:val="single" w:sz="18" w:space="0" w:color="auto"/>
              <w:right w:val="single" w:sz="18" w:space="0" w:color="auto"/>
            </w:tcBorders>
            <w:shd w:val="clear" w:color="auto" w:fill="auto"/>
          </w:tcPr>
          <w:p w:rsidR="004776C1" w:rsidRPr="00B874C5" w:rsidRDefault="004776C1" w:rsidP="00B60E10">
            <w:pPr>
              <w:spacing w:after="0" w:line="240" w:lineRule="auto"/>
              <w:jc w:val="both"/>
              <w:rPr>
                <w:rFonts w:cstheme="minorHAnsi"/>
                <w:sz w:val="24"/>
                <w:szCs w:val="24"/>
              </w:rPr>
            </w:pPr>
            <w:r w:rsidRPr="00B874C5">
              <w:rPr>
                <w:rFonts w:cstheme="minorHAnsi"/>
                <w:sz w:val="24"/>
                <w:szCs w:val="24"/>
              </w:rPr>
              <w:t xml:space="preserve">Travaux de bâtiment - Plancher en bois ou en panneaux à base de bois - Critères généraux de choix des matériaux (CGM)  </w:t>
            </w:r>
          </w:p>
        </w:tc>
      </w:tr>
      <w:tr w:rsidR="004776C1" w:rsidRPr="0043547B" w:rsidTr="0003675E">
        <w:trPr>
          <w:trHeight w:val="536"/>
          <w:jc w:val="center"/>
        </w:trPr>
        <w:tc>
          <w:tcPr>
            <w:tcW w:w="1838" w:type="dxa"/>
            <w:tcBorders>
              <w:top w:val="nil"/>
              <w:left w:val="single" w:sz="18" w:space="0" w:color="auto"/>
              <w:bottom w:val="single" w:sz="18" w:space="0" w:color="auto"/>
              <w:right w:val="single" w:sz="4" w:space="0" w:color="auto"/>
            </w:tcBorders>
            <w:shd w:val="clear" w:color="000000" w:fill="D9D9D9"/>
            <w:vAlign w:val="center"/>
          </w:tcPr>
          <w:p w:rsidR="004776C1" w:rsidRDefault="004776C1" w:rsidP="00B60E10">
            <w:pPr>
              <w:spacing w:after="0" w:line="240" w:lineRule="auto"/>
              <w:jc w:val="center"/>
              <w:rPr>
                <w:rFonts w:ascii="Calibri" w:hAnsi="Calibri" w:cs="Calibri"/>
                <w:b/>
                <w:bCs/>
                <w:color w:val="000000"/>
                <w:sz w:val="24"/>
                <w:szCs w:val="24"/>
              </w:rPr>
            </w:pPr>
            <w:r>
              <w:rPr>
                <w:rFonts w:ascii="Calibri" w:hAnsi="Calibri" w:cstheme="minorHAnsi"/>
                <w:b/>
                <w:bCs/>
                <w:color w:val="000000"/>
              </w:rPr>
              <w:t>Domaine d’application :</w:t>
            </w:r>
          </w:p>
        </w:tc>
        <w:tc>
          <w:tcPr>
            <w:tcW w:w="7938" w:type="dxa"/>
            <w:tcBorders>
              <w:left w:val="single" w:sz="4" w:space="0" w:color="auto"/>
              <w:bottom w:val="single" w:sz="18" w:space="0" w:color="auto"/>
              <w:right w:val="single" w:sz="18" w:space="0" w:color="auto"/>
            </w:tcBorders>
            <w:shd w:val="clear" w:color="auto" w:fill="auto"/>
            <w:vAlign w:val="bottom"/>
          </w:tcPr>
          <w:p w:rsidR="004776C1" w:rsidRPr="00B874C5" w:rsidRDefault="004776C1" w:rsidP="00B60E10">
            <w:pPr>
              <w:spacing w:after="0" w:line="240" w:lineRule="auto"/>
              <w:rPr>
                <w:rFonts w:ascii="Calibri" w:hAnsi="Calibri" w:cs="Calibri"/>
                <w:sz w:val="24"/>
                <w:szCs w:val="24"/>
              </w:rPr>
            </w:pPr>
            <w:r w:rsidRPr="00B874C5">
              <w:rPr>
                <w:rFonts w:ascii="Calibri" w:hAnsi="Calibri" w:cs="Calibri"/>
                <w:sz w:val="24"/>
                <w:szCs w:val="24"/>
              </w:rPr>
              <w:t> </w:t>
            </w:r>
          </w:p>
        </w:tc>
      </w:tr>
      <w:tr w:rsidR="004776C1" w:rsidRPr="0043547B" w:rsidTr="007B2835">
        <w:trPr>
          <w:trHeight w:val="378"/>
          <w:jc w:val="center"/>
        </w:trPr>
        <w:tc>
          <w:tcPr>
            <w:tcW w:w="1838" w:type="dxa"/>
            <w:tcBorders>
              <w:top w:val="nil"/>
              <w:left w:val="single" w:sz="18" w:space="0" w:color="auto"/>
              <w:bottom w:val="single" w:sz="18" w:space="0" w:color="auto"/>
              <w:right w:val="single" w:sz="4" w:space="0" w:color="auto"/>
            </w:tcBorders>
            <w:shd w:val="clear" w:color="auto" w:fill="9BBB59" w:themeFill="accent3"/>
            <w:vAlign w:val="center"/>
          </w:tcPr>
          <w:p w:rsidR="004776C1" w:rsidRPr="005E3D67" w:rsidRDefault="004776C1" w:rsidP="00B60E10">
            <w:pPr>
              <w:spacing w:after="0" w:line="240" w:lineRule="auto"/>
              <w:jc w:val="center"/>
              <w:rPr>
                <w:rFonts w:cstheme="minorHAnsi"/>
                <w:b/>
                <w:bCs/>
                <w:sz w:val="24"/>
                <w:szCs w:val="24"/>
              </w:rPr>
            </w:pPr>
            <w:r w:rsidRPr="005E3D67">
              <w:rPr>
                <w:rFonts w:cstheme="minorHAnsi"/>
                <w:b/>
                <w:bCs/>
                <w:sz w:val="24"/>
                <w:szCs w:val="24"/>
              </w:rPr>
              <w:t>Code :</w:t>
            </w:r>
          </w:p>
        </w:tc>
        <w:tc>
          <w:tcPr>
            <w:tcW w:w="7938" w:type="dxa"/>
            <w:tcBorders>
              <w:left w:val="single" w:sz="4" w:space="0" w:color="auto"/>
              <w:bottom w:val="single" w:sz="18" w:space="0" w:color="auto"/>
              <w:right w:val="single" w:sz="18" w:space="0" w:color="auto"/>
            </w:tcBorders>
            <w:shd w:val="clear" w:color="auto" w:fill="9BBB59" w:themeFill="accent3"/>
            <w:vAlign w:val="bottom"/>
          </w:tcPr>
          <w:p w:rsidR="004776C1" w:rsidRPr="00B874C5" w:rsidRDefault="004776C1" w:rsidP="00B60E10">
            <w:pPr>
              <w:spacing w:after="0" w:line="240" w:lineRule="auto"/>
              <w:jc w:val="center"/>
              <w:rPr>
                <w:rFonts w:cstheme="minorHAnsi"/>
                <w:b/>
                <w:bCs/>
                <w:sz w:val="24"/>
                <w:szCs w:val="24"/>
              </w:rPr>
            </w:pPr>
            <w:r w:rsidRPr="00B874C5">
              <w:rPr>
                <w:rFonts w:cstheme="minorHAnsi"/>
                <w:b/>
                <w:bCs/>
                <w:sz w:val="24"/>
                <w:szCs w:val="24"/>
              </w:rPr>
              <w:t>NM ISO 13609</w:t>
            </w:r>
          </w:p>
        </w:tc>
      </w:tr>
      <w:tr w:rsidR="004776C1" w:rsidRPr="0043547B" w:rsidTr="00CF5109">
        <w:trPr>
          <w:trHeight w:val="384"/>
          <w:jc w:val="center"/>
        </w:trPr>
        <w:tc>
          <w:tcPr>
            <w:tcW w:w="1838" w:type="dxa"/>
            <w:tcBorders>
              <w:top w:val="nil"/>
              <w:left w:val="single" w:sz="18" w:space="0" w:color="auto"/>
              <w:bottom w:val="single" w:sz="18" w:space="0" w:color="auto"/>
              <w:right w:val="single" w:sz="4" w:space="0" w:color="auto"/>
            </w:tcBorders>
            <w:shd w:val="clear" w:color="auto" w:fill="FFFF99"/>
            <w:vAlign w:val="center"/>
          </w:tcPr>
          <w:p w:rsidR="004776C1" w:rsidRPr="005E3D67" w:rsidRDefault="004776C1" w:rsidP="00B60E10">
            <w:pPr>
              <w:spacing w:after="0" w:line="240" w:lineRule="auto"/>
              <w:jc w:val="center"/>
              <w:rPr>
                <w:rFonts w:cstheme="minorHAnsi"/>
                <w:b/>
                <w:bCs/>
                <w:sz w:val="24"/>
                <w:szCs w:val="24"/>
              </w:rPr>
            </w:pPr>
            <w:r w:rsidRPr="005E3D67">
              <w:rPr>
                <w:rFonts w:cstheme="minorHAnsi"/>
                <w:b/>
                <w:bCs/>
                <w:sz w:val="24"/>
                <w:szCs w:val="24"/>
              </w:rPr>
              <w:t>Equivalence :</w:t>
            </w:r>
          </w:p>
        </w:tc>
        <w:tc>
          <w:tcPr>
            <w:tcW w:w="7938" w:type="dxa"/>
            <w:tcBorders>
              <w:left w:val="single" w:sz="4" w:space="0" w:color="auto"/>
              <w:bottom w:val="single" w:sz="18" w:space="0" w:color="auto"/>
              <w:right w:val="single" w:sz="18" w:space="0" w:color="auto"/>
            </w:tcBorders>
            <w:shd w:val="clear" w:color="auto" w:fill="FFFF99"/>
            <w:vAlign w:val="center"/>
          </w:tcPr>
          <w:p w:rsidR="004776C1" w:rsidRPr="00B874C5" w:rsidRDefault="004776C1" w:rsidP="00B60E10">
            <w:pPr>
              <w:spacing w:after="0" w:line="240" w:lineRule="auto"/>
              <w:jc w:val="center"/>
              <w:rPr>
                <w:rFonts w:cstheme="minorHAnsi"/>
                <w:b/>
                <w:bCs/>
                <w:sz w:val="24"/>
                <w:szCs w:val="24"/>
              </w:rPr>
            </w:pPr>
            <w:r w:rsidRPr="00B874C5">
              <w:rPr>
                <w:rFonts w:cstheme="minorHAnsi"/>
                <w:b/>
                <w:bCs/>
                <w:sz w:val="24"/>
                <w:szCs w:val="24"/>
              </w:rPr>
              <w:t>ISO 13609</w:t>
            </w:r>
          </w:p>
        </w:tc>
      </w:tr>
      <w:tr w:rsidR="004776C1" w:rsidRPr="0043547B" w:rsidTr="0003675E">
        <w:trPr>
          <w:trHeight w:val="660"/>
          <w:jc w:val="center"/>
        </w:trPr>
        <w:tc>
          <w:tcPr>
            <w:tcW w:w="1838" w:type="dxa"/>
            <w:tcBorders>
              <w:top w:val="nil"/>
              <w:left w:val="single" w:sz="18" w:space="0" w:color="auto"/>
              <w:bottom w:val="single" w:sz="18" w:space="0" w:color="auto"/>
              <w:right w:val="single" w:sz="4" w:space="0" w:color="auto"/>
            </w:tcBorders>
            <w:shd w:val="clear" w:color="auto" w:fill="95B3D7" w:themeFill="accent1" w:themeFillTint="99"/>
            <w:vAlign w:val="center"/>
          </w:tcPr>
          <w:p w:rsidR="004776C1" w:rsidRPr="005E3D67" w:rsidRDefault="004776C1" w:rsidP="00B60E10">
            <w:pPr>
              <w:spacing w:after="0" w:line="240" w:lineRule="auto"/>
              <w:jc w:val="center"/>
              <w:rPr>
                <w:rFonts w:cstheme="minorHAnsi"/>
                <w:b/>
                <w:bCs/>
                <w:sz w:val="24"/>
                <w:szCs w:val="24"/>
              </w:rPr>
            </w:pPr>
            <w:r w:rsidRPr="005E3D67">
              <w:rPr>
                <w:rFonts w:cstheme="minorHAnsi"/>
                <w:b/>
                <w:bCs/>
                <w:sz w:val="24"/>
                <w:szCs w:val="24"/>
              </w:rPr>
              <w:t>Intitulé :</w:t>
            </w:r>
          </w:p>
        </w:tc>
        <w:tc>
          <w:tcPr>
            <w:tcW w:w="7938" w:type="dxa"/>
            <w:tcBorders>
              <w:left w:val="single" w:sz="4" w:space="0" w:color="auto"/>
              <w:bottom w:val="single" w:sz="18" w:space="0" w:color="auto"/>
              <w:right w:val="single" w:sz="18" w:space="0" w:color="auto"/>
            </w:tcBorders>
            <w:shd w:val="clear" w:color="auto" w:fill="auto"/>
          </w:tcPr>
          <w:p w:rsidR="004776C1" w:rsidRPr="00B874C5" w:rsidRDefault="004776C1" w:rsidP="00B60E10">
            <w:pPr>
              <w:spacing w:after="0" w:line="240" w:lineRule="auto"/>
              <w:jc w:val="both"/>
              <w:rPr>
                <w:rFonts w:ascii="Calibri" w:hAnsi="Calibri" w:cs="Calibri"/>
                <w:sz w:val="24"/>
                <w:szCs w:val="24"/>
              </w:rPr>
            </w:pPr>
            <w:r w:rsidRPr="00B874C5">
              <w:rPr>
                <w:rFonts w:ascii="Calibri" w:hAnsi="Calibri" w:cs="Calibri"/>
                <w:sz w:val="24"/>
                <w:szCs w:val="24"/>
              </w:rPr>
              <w:t xml:space="preserve">Panneaux à base de bois - Contreplaqués - Panneaux lattés avec lattes étroites et avec lattes larges </w:t>
            </w:r>
          </w:p>
        </w:tc>
      </w:tr>
      <w:tr w:rsidR="004776C1" w:rsidRPr="00335D7D" w:rsidTr="00B874C5">
        <w:trPr>
          <w:trHeight w:val="666"/>
          <w:jc w:val="center"/>
        </w:trPr>
        <w:tc>
          <w:tcPr>
            <w:tcW w:w="1838" w:type="dxa"/>
            <w:tcBorders>
              <w:top w:val="nil"/>
              <w:left w:val="single" w:sz="18" w:space="0" w:color="auto"/>
              <w:bottom w:val="single" w:sz="18" w:space="0" w:color="auto"/>
              <w:right w:val="single" w:sz="4" w:space="0" w:color="auto"/>
            </w:tcBorders>
            <w:shd w:val="clear" w:color="000000" w:fill="D9D9D9"/>
            <w:vAlign w:val="center"/>
          </w:tcPr>
          <w:p w:rsidR="004776C1" w:rsidRDefault="004776C1" w:rsidP="00B60E10">
            <w:pPr>
              <w:spacing w:after="0" w:line="240" w:lineRule="auto"/>
              <w:jc w:val="center"/>
              <w:rPr>
                <w:rFonts w:ascii="Calibri" w:hAnsi="Calibri" w:cs="Calibri"/>
                <w:b/>
                <w:bCs/>
                <w:color w:val="000000"/>
                <w:sz w:val="24"/>
                <w:szCs w:val="24"/>
              </w:rPr>
            </w:pPr>
            <w:r>
              <w:rPr>
                <w:rFonts w:ascii="Calibri" w:hAnsi="Calibri" w:cstheme="minorHAnsi"/>
                <w:b/>
                <w:bCs/>
                <w:color w:val="000000"/>
              </w:rPr>
              <w:t>Domaine d’application :</w:t>
            </w:r>
          </w:p>
        </w:tc>
        <w:tc>
          <w:tcPr>
            <w:tcW w:w="7938" w:type="dxa"/>
            <w:tcBorders>
              <w:left w:val="single" w:sz="4" w:space="0" w:color="auto"/>
              <w:bottom w:val="single" w:sz="18" w:space="0" w:color="auto"/>
              <w:right w:val="single" w:sz="18" w:space="0" w:color="auto"/>
            </w:tcBorders>
            <w:shd w:val="clear" w:color="auto" w:fill="FFFFFF" w:themeFill="background1"/>
            <w:vAlign w:val="bottom"/>
          </w:tcPr>
          <w:p w:rsidR="00B874C5" w:rsidRDefault="004776C1" w:rsidP="00B874C5">
            <w:pPr>
              <w:spacing w:after="0" w:line="240" w:lineRule="auto"/>
              <w:jc w:val="both"/>
              <w:rPr>
                <w:rFonts w:ascii="Calibri" w:hAnsi="Calibri" w:cs="Calibri"/>
                <w:sz w:val="24"/>
                <w:szCs w:val="24"/>
                <w:lang w:val="en-ZA"/>
              </w:rPr>
            </w:pPr>
            <w:r w:rsidRPr="00B874C5">
              <w:rPr>
                <w:rFonts w:ascii="Calibri" w:hAnsi="Calibri" w:cs="Calibri"/>
                <w:sz w:val="24"/>
                <w:szCs w:val="24"/>
                <w:lang w:val="en-ZA"/>
              </w:rPr>
              <w:t xml:space="preserve">This International Standard establishes requirements for the specifications of blockboards and battenboards for general use, in dry, tropic dry/humid, and </w:t>
            </w:r>
            <w:r w:rsidRPr="00B874C5">
              <w:rPr>
                <w:rFonts w:ascii="Calibri" w:hAnsi="Calibri" w:cs="Calibri"/>
                <w:sz w:val="24"/>
                <w:szCs w:val="24"/>
                <w:lang w:val="en-ZA"/>
              </w:rPr>
              <w:lastRenderedPageBreak/>
              <w:t>high-humid/exterior conditions. It includes requirements of materials, lay-up, physical and mechanical properties, bonding quality, formaldehyde release, conformity verification, and marking.</w:t>
            </w:r>
            <w:r w:rsidR="00B874C5">
              <w:rPr>
                <w:rFonts w:ascii="Calibri" w:hAnsi="Calibri" w:cs="Calibri"/>
                <w:sz w:val="24"/>
                <w:szCs w:val="24"/>
                <w:lang w:val="en-ZA"/>
              </w:rPr>
              <w:t xml:space="preserve"> </w:t>
            </w:r>
          </w:p>
          <w:p w:rsidR="004776C1" w:rsidRPr="00B874C5" w:rsidRDefault="00B874C5" w:rsidP="00B874C5">
            <w:pPr>
              <w:spacing w:after="0" w:line="240" w:lineRule="auto"/>
              <w:jc w:val="both"/>
              <w:rPr>
                <w:rFonts w:ascii="Calibri" w:hAnsi="Calibri" w:cs="Calibri"/>
                <w:sz w:val="24"/>
                <w:szCs w:val="24"/>
                <w:lang w:val="en-ZA"/>
              </w:rPr>
            </w:pPr>
            <w:r w:rsidRPr="00B874C5">
              <w:rPr>
                <w:rFonts w:ascii="Calibri" w:hAnsi="Calibri" w:cs="Calibri"/>
                <w:sz w:val="24"/>
                <w:szCs w:val="24"/>
                <w:lang w:val="en-ZA"/>
              </w:rPr>
              <w:t>The values listed in this International Standard relate to product properties, but they are not characteristic values to be used in design calculations.</w:t>
            </w:r>
          </w:p>
        </w:tc>
      </w:tr>
      <w:tr w:rsidR="004776C1" w:rsidRPr="0043547B" w:rsidTr="007B2835">
        <w:trPr>
          <w:trHeight w:val="370"/>
          <w:jc w:val="center"/>
        </w:trPr>
        <w:tc>
          <w:tcPr>
            <w:tcW w:w="1838" w:type="dxa"/>
            <w:tcBorders>
              <w:top w:val="nil"/>
              <w:left w:val="single" w:sz="18" w:space="0" w:color="auto"/>
              <w:bottom w:val="single" w:sz="18" w:space="0" w:color="auto"/>
              <w:right w:val="single" w:sz="4" w:space="0" w:color="auto"/>
            </w:tcBorders>
            <w:shd w:val="clear" w:color="auto" w:fill="9BBB59" w:themeFill="accent3"/>
            <w:vAlign w:val="center"/>
          </w:tcPr>
          <w:p w:rsidR="004776C1" w:rsidRPr="008F0793" w:rsidRDefault="004776C1" w:rsidP="00B60E10">
            <w:pPr>
              <w:spacing w:after="0" w:line="240" w:lineRule="auto"/>
              <w:jc w:val="center"/>
              <w:rPr>
                <w:rFonts w:cstheme="minorHAnsi"/>
                <w:b/>
                <w:bCs/>
                <w:sz w:val="24"/>
                <w:szCs w:val="24"/>
              </w:rPr>
            </w:pPr>
            <w:r w:rsidRPr="008F0793">
              <w:rPr>
                <w:rFonts w:cstheme="minorHAnsi"/>
                <w:b/>
                <w:bCs/>
                <w:sz w:val="24"/>
                <w:szCs w:val="24"/>
              </w:rPr>
              <w:lastRenderedPageBreak/>
              <w:t>Code :</w:t>
            </w:r>
          </w:p>
        </w:tc>
        <w:tc>
          <w:tcPr>
            <w:tcW w:w="7938" w:type="dxa"/>
            <w:tcBorders>
              <w:left w:val="single" w:sz="4" w:space="0" w:color="auto"/>
              <w:bottom w:val="single" w:sz="18" w:space="0" w:color="auto"/>
              <w:right w:val="single" w:sz="18" w:space="0" w:color="auto"/>
            </w:tcBorders>
            <w:shd w:val="clear" w:color="auto" w:fill="9BBB59" w:themeFill="accent3"/>
          </w:tcPr>
          <w:p w:rsidR="004776C1" w:rsidRPr="00523C76" w:rsidRDefault="004776C1" w:rsidP="00B60E10">
            <w:pPr>
              <w:spacing w:after="0" w:line="240" w:lineRule="auto"/>
              <w:jc w:val="center"/>
              <w:rPr>
                <w:rFonts w:cstheme="minorHAnsi"/>
                <w:b/>
                <w:bCs/>
                <w:sz w:val="24"/>
                <w:szCs w:val="24"/>
              </w:rPr>
            </w:pPr>
            <w:r w:rsidRPr="002F2F5F">
              <w:rPr>
                <w:rFonts w:cstheme="minorHAnsi"/>
                <w:b/>
                <w:bCs/>
                <w:sz w:val="24"/>
                <w:szCs w:val="24"/>
              </w:rPr>
              <w:t>NM EN 634-1</w:t>
            </w:r>
          </w:p>
        </w:tc>
      </w:tr>
      <w:tr w:rsidR="004776C1" w:rsidRPr="0043547B" w:rsidTr="0095742F">
        <w:trPr>
          <w:trHeight w:val="409"/>
          <w:jc w:val="center"/>
        </w:trPr>
        <w:tc>
          <w:tcPr>
            <w:tcW w:w="1838" w:type="dxa"/>
            <w:tcBorders>
              <w:top w:val="nil"/>
              <w:left w:val="single" w:sz="18" w:space="0" w:color="auto"/>
              <w:bottom w:val="single" w:sz="18" w:space="0" w:color="auto"/>
              <w:right w:val="single" w:sz="4" w:space="0" w:color="auto"/>
            </w:tcBorders>
            <w:shd w:val="clear" w:color="auto" w:fill="FFFF99"/>
            <w:vAlign w:val="center"/>
          </w:tcPr>
          <w:p w:rsidR="004776C1" w:rsidRPr="008F0793" w:rsidRDefault="004776C1" w:rsidP="00B60E10">
            <w:pPr>
              <w:spacing w:after="0" w:line="240" w:lineRule="auto"/>
              <w:jc w:val="center"/>
              <w:rPr>
                <w:rFonts w:cstheme="minorHAnsi"/>
                <w:b/>
                <w:bCs/>
                <w:sz w:val="24"/>
                <w:szCs w:val="24"/>
              </w:rPr>
            </w:pPr>
            <w:r w:rsidRPr="008F0793">
              <w:rPr>
                <w:rFonts w:cstheme="minorHAnsi"/>
                <w:b/>
                <w:bCs/>
                <w:sz w:val="24"/>
                <w:szCs w:val="24"/>
              </w:rPr>
              <w:t>Equivalence :</w:t>
            </w:r>
          </w:p>
        </w:tc>
        <w:tc>
          <w:tcPr>
            <w:tcW w:w="7938" w:type="dxa"/>
            <w:tcBorders>
              <w:left w:val="single" w:sz="4" w:space="0" w:color="auto"/>
              <w:bottom w:val="single" w:sz="18" w:space="0" w:color="auto"/>
              <w:right w:val="single" w:sz="18" w:space="0" w:color="auto"/>
            </w:tcBorders>
            <w:shd w:val="clear" w:color="auto" w:fill="FFFF99"/>
            <w:vAlign w:val="center"/>
          </w:tcPr>
          <w:p w:rsidR="004776C1" w:rsidRPr="002F2F5F" w:rsidRDefault="004776C1" w:rsidP="00B60E10">
            <w:pPr>
              <w:spacing w:after="0" w:line="240" w:lineRule="auto"/>
              <w:jc w:val="center"/>
              <w:rPr>
                <w:rFonts w:cstheme="minorHAnsi"/>
                <w:b/>
                <w:bCs/>
                <w:sz w:val="24"/>
                <w:szCs w:val="24"/>
              </w:rPr>
            </w:pPr>
            <w:r w:rsidRPr="002F2F5F">
              <w:rPr>
                <w:rFonts w:cstheme="minorHAnsi"/>
                <w:b/>
                <w:bCs/>
                <w:sz w:val="24"/>
                <w:szCs w:val="24"/>
              </w:rPr>
              <w:t>EN 634-1</w:t>
            </w:r>
          </w:p>
        </w:tc>
      </w:tr>
      <w:tr w:rsidR="004776C1" w:rsidRPr="0043547B" w:rsidTr="0003675E">
        <w:trPr>
          <w:trHeight w:val="664"/>
          <w:jc w:val="center"/>
        </w:trPr>
        <w:tc>
          <w:tcPr>
            <w:tcW w:w="1838" w:type="dxa"/>
            <w:tcBorders>
              <w:top w:val="nil"/>
              <w:left w:val="single" w:sz="18" w:space="0" w:color="auto"/>
              <w:bottom w:val="single" w:sz="18" w:space="0" w:color="auto"/>
              <w:right w:val="single" w:sz="4" w:space="0" w:color="auto"/>
            </w:tcBorders>
            <w:shd w:val="clear" w:color="auto" w:fill="95B3D7" w:themeFill="accent1" w:themeFillTint="99"/>
            <w:vAlign w:val="center"/>
          </w:tcPr>
          <w:p w:rsidR="004776C1" w:rsidRPr="008F0793" w:rsidRDefault="004776C1" w:rsidP="00B60E10">
            <w:pPr>
              <w:spacing w:after="0" w:line="240" w:lineRule="auto"/>
              <w:jc w:val="center"/>
              <w:rPr>
                <w:rFonts w:cstheme="minorHAnsi"/>
                <w:b/>
                <w:bCs/>
                <w:sz w:val="24"/>
                <w:szCs w:val="24"/>
              </w:rPr>
            </w:pPr>
            <w:r w:rsidRPr="008F0793">
              <w:rPr>
                <w:rFonts w:cstheme="minorHAnsi"/>
                <w:b/>
                <w:bCs/>
                <w:sz w:val="24"/>
                <w:szCs w:val="24"/>
              </w:rPr>
              <w:t>Intitulé :</w:t>
            </w:r>
          </w:p>
        </w:tc>
        <w:tc>
          <w:tcPr>
            <w:tcW w:w="7938" w:type="dxa"/>
            <w:tcBorders>
              <w:left w:val="single" w:sz="4" w:space="0" w:color="auto"/>
              <w:bottom w:val="single" w:sz="18" w:space="0" w:color="auto"/>
              <w:right w:val="single" w:sz="18" w:space="0" w:color="auto"/>
            </w:tcBorders>
            <w:shd w:val="clear" w:color="auto" w:fill="auto"/>
          </w:tcPr>
          <w:p w:rsidR="004776C1" w:rsidRPr="008F0793" w:rsidRDefault="004776C1" w:rsidP="00B60E10">
            <w:pPr>
              <w:spacing w:after="0" w:line="240" w:lineRule="auto"/>
              <w:jc w:val="both"/>
              <w:rPr>
                <w:rFonts w:cstheme="minorHAnsi"/>
                <w:sz w:val="24"/>
                <w:szCs w:val="24"/>
              </w:rPr>
            </w:pPr>
            <w:r w:rsidRPr="008F0793">
              <w:rPr>
                <w:rFonts w:cstheme="minorHAnsi"/>
                <w:sz w:val="24"/>
                <w:szCs w:val="24"/>
              </w:rPr>
              <w:t xml:space="preserve">Panneaux de particules liées au ciment - Exigences - Partie 1 : Exigences générales </w:t>
            </w:r>
          </w:p>
        </w:tc>
      </w:tr>
      <w:tr w:rsidR="004776C1" w:rsidRPr="0043547B" w:rsidTr="0086084D">
        <w:trPr>
          <w:trHeight w:val="829"/>
          <w:jc w:val="center"/>
        </w:trPr>
        <w:tc>
          <w:tcPr>
            <w:tcW w:w="1838" w:type="dxa"/>
            <w:tcBorders>
              <w:top w:val="nil"/>
              <w:left w:val="single" w:sz="18" w:space="0" w:color="auto"/>
              <w:bottom w:val="single" w:sz="18" w:space="0" w:color="auto"/>
              <w:right w:val="single" w:sz="4" w:space="0" w:color="auto"/>
            </w:tcBorders>
            <w:shd w:val="clear" w:color="000000" w:fill="D9D9D9"/>
            <w:vAlign w:val="center"/>
          </w:tcPr>
          <w:p w:rsidR="004776C1" w:rsidRDefault="004776C1" w:rsidP="00B60E10">
            <w:pPr>
              <w:spacing w:after="0" w:line="240" w:lineRule="auto"/>
              <w:jc w:val="center"/>
              <w:rPr>
                <w:rFonts w:ascii="Calibri" w:hAnsi="Calibri" w:cs="Calibri"/>
                <w:b/>
                <w:bCs/>
                <w:color w:val="000000"/>
                <w:sz w:val="24"/>
                <w:szCs w:val="24"/>
              </w:rPr>
            </w:pPr>
            <w:r>
              <w:rPr>
                <w:rFonts w:ascii="Calibri" w:hAnsi="Calibri" w:cstheme="minorHAnsi"/>
                <w:b/>
                <w:bCs/>
                <w:color w:val="000000"/>
              </w:rPr>
              <w:t>Domaine d’application :</w:t>
            </w:r>
          </w:p>
        </w:tc>
        <w:tc>
          <w:tcPr>
            <w:tcW w:w="7938" w:type="dxa"/>
            <w:tcBorders>
              <w:left w:val="single" w:sz="4" w:space="0" w:color="auto"/>
              <w:bottom w:val="single" w:sz="18" w:space="0" w:color="auto"/>
              <w:right w:val="single" w:sz="18" w:space="0" w:color="auto"/>
            </w:tcBorders>
            <w:shd w:val="clear" w:color="auto" w:fill="FFFFFF" w:themeFill="background1"/>
          </w:tcPr>
          <w:p w:rsidR="004776C1" w:rsidRPr="00B874C5" w:rsidRDefault="004776C1" w:rsidP="00B874C5">
            <w:pPr>
              <w:spacing w:after="0" w:line="240" w:lineRule="auto"/>
              <w:jc w:val="both"/>
              <w:rPr>
                <w:rFonts w:ascii="Calibri" w:hAnsi="Calibri" w:cs="Calibri"/>
                <w:sz w:val="24"/>
                <w:szCs w:val="24"/>
              </w:rPr>
            </w:pPr>
            <w:r w:rsidRPr="00B874C5">
              <w:rPr>
                <w:rFonts w:ascii="Calibri" w:hAnsi="Calibri" w:cs="Calibri"/>
                <w:sz w:val="24"/>
                <w:szCs w:val="24"/>
              </w:rPr>
              <w:t>La présente norme européenne prescrit les exigences générales pour les panneaux de particules liées au ciment. Les panneaux sont définis dans l'EN 633.</w:t>
            </w:r>
          </w:p>
        </w:tc>
      </w:tr>
      <w:tr w:rsidR="004776C1" w:rsidRPr="0043547B" w:rsidTr="007B2835">
        <w:trPr>
          <w:trHeight w:val="346"/>
          <w:jc w:val="center"/>
        </w:trPr>
        <w:tc>
          <w:tcPr>
            <w:tcW w:w="1838" w:type="dxa"/>
            <w:tcBorders>
              <w:top w:val="nil"/>
              <w:left w:val="single" w:sz="18" w:space="0" w:color="auto"/>
              <w:bottom w:val="single" w:sz="18" w:space="0" w:color="auto"/>
              <w:right w:val="single" w:sz="4" w:space="0" w:color="auto"/>
            </w:tcBorders>
            <w:shd w:val="clear" w:color="auto" w:fill="9BBB59" w:themeFill="accent3"/>
            <w:vAlign w:val="center"/>
          </w:tcPr>
          <w:p w:rsidR="004776C1" w:rsidRPr="0063382B" w:rsidRDefault="004776C1" w:rsidP="00B60E10">
            <w:pPr>
              <w:spacing w:after="0" w:line="240" w:lineRule="auto"/>
              <w:jc w:val="center"/>
              <w:rPr>
                <w:rFonts w:cstheme="minorHAnsi"/>
                <w:b/>
                <w:bCs/>
                <w:sz w:val="24"/>
                <w:szCs w:val="24"/>
              </w:rPr>
            </w:pPr>
            <w:r w:rsidRPr="0063382B">
              <w:rPr>
                <w:rFonts w:cstheme="minorHAnsi"/>
                <w:b/>
                <w:bCs/>
                <w:sz w:val="24"/>
                <w:szCs w:val="24"/>
              </w:rPr>
              <w:t>Code :</w:t>
            </w:r>
          </w:p>
        </w:tc>
        <w:tc>
          <w:tcPr>
            <w:tcW w:w="7938" w:type="dxa"/>
            <w:tcBorders>
              <w:left w:val="single" w:sz="4" w:space="0" w:color="auto"/>
              <w:bottom w:val="single" w:sz="18" w:space="0" w:color="auto"/>
              <w:right w:val="single" w:sz="18" w:space="0" w:color="auto"/>
            </w:tcBorders>
            <w:shd w:val="clear" w:color="auto" w:fill="9BBB59" w:themeFill="accent3"/>
          </w:tcPr>
          <w:p w:rsidR="004776C1" w:rsidRPr="002F2F5F" w:rsidRDefault="004776C1" w:rsidP="00B60E10">
            <w:pPr>
              <w:spacing w:after="0" w:line="240" w:lineRule="auto"/>
              <w:jc w:val="center"/>
              <w:rPr>
                <w:rFonts w:cstheme="minorHAnsi"/>
                <w:b/>
                <w:bCs/>
                <w:sz w:val="24"/>
                <w:szCs w:val="24"/>
              </w:rPr>
            </w:pPr>
            <w:r w:rsidRPr="002F2F5F">
              <w:rPr>
                <w:rFonts w:cstheme="minorHAnsi"/>
                <w:b/>
                <w:bCs/>
                <w:sz w:val="24"/>
                <w:szCs w:val="24"/>
              </w:rPr>
              <w:t>NM EN 634-2</w:t>
            </w:r>
          </w:p>
        </w:tc>
      </w:tr>
      <w:tr w:rsidR="004776C1" w:rsidRPr="0043547B" w:rsidTr="00A42686">
        <w:trPr>
          <w:trHeight w:val="232"/>
          <w:jc w:val="center"/>
        </w:trPr>
        <w:tc>
          <w:tcPr>
            <w:tcW w:w="1838" w:type="dxa"/>
            <w:tcBorders>
              <w:top w:val="nil"/>
              <w:left w:val="single" w:sz="18" w:space="0" w:color="auto"/>
              <w:bottom w:val="single" w:sz="18" w:space="0" w:color="auto"/>
              <w:right w:val="single" w:sz="4" w:space="0" w:color="auto"/>
            </w:tcBorders>
            <w:shd w:val="clear" w:color="auto" w:fill="FFFF99"/>
            <w:vAlign w:val="center"/>
          </w:tcPr>
          <w:p w:rsidR="004776C1" w:rsidRPr="0063382B" w:rsidRDefault="004776C1" w:rsidP="00B60E10">
            <w:pPr>
              <w:spacing w:after="0" w:line="240" w:lineRule="auto"/>
              <w:jc w:val="center"/>
              <w:rPr>
                <w:rFonts w:cstheme="minorHAnsi"/>
                <w:b/>
                <w:bCs/>
                <w:sz w:val="24"/>
                <w:szCs w:val="24"/>
              </w:rPr>
            </w:pPr>
            <w:r w:rsidRPr="0063382B">
              <w:rPr>
                <w:rFonts w:cstheme="minorHAnsi"/>
                <w:b/>
                <w:bCs/>
                <w:sz w:val="24"/>
                <w:szCs w:val="24"/>
              </w:rPr>
              <w:t>Equivalence :</w:t>
            </w:r>
          </w:p>
        </w:tc>
        <w:tc>
          <w:tcPr>
            <w:tcW w:w="7938" w:type="dxa"/>
            <w:tcBorders>
              <w:left w:val="single" w:sz="4" w:space="0" w:color="auto"/>
              <w:bottom w:val="single" w:sz="18" w:space="0" w:color="auto"/>
              <w:right w:val="single" w:sz="18" w:space="0" w:color="auto"/>
            </w:tcBorders>
            <w:shd w:val="clear" w:color="auto" w:fill="FFFF99"/>
            <w:vAlign w:val="center"/>
          </w:tcPr>
          <w:p w:rsidR="004776C1" w:rsidRPr="002F2F5F" w:rsidRDefault="004776C1" w:rsidP="00B60E10">
            <w:pPr>
              <w:spacing w:after="0" w:line="240" w:lineRule="auto"/>
              <w:jc w:val="center"/>
              <w:rPr>
                <w:rFonts w:cstheme="minorHAnsi"/>
                <w:b/>
                <w:bCs/>
                <w:sz w:val="24"/>
                <w:szCs w:val="24"/>
              </w:rPr>
            </w:pPr>
            <w:r w:rsidRPr="002F2F5F">
              <w:rPr>
                <w:rFonts w:cstheme="minorHAnsi"/>
                <w:b/>
                <w:bCs/>
                <w:sz w:val="24"/>
                <w:szCs w:val="24"/>
              </w:rPr>
              <w:t>EN 634-2</w:t>
            </w:r>
          </w:p>
        </w:tc>
      </w:tr>
      <w:tr w:rsidR="004776C1" w:rsidRPr="0043547B" w:rsidTr="0003675E">
        <w:trPr>
          <w:trHeight w:val="949"/>
          <w:jc w:val="center"/>
        </w:trPr>
        <w:tc>
          <w:tcPr>
            <w:tcW w:w="1838" w:type="dxa"/>
            <w:tcBorders>
              <w:top w:val="nil"/>
              <w:left w:val="single" w:sz="18" w:space="0" w:color="auto"/>
              <w:bottom w:val="single" w:sz="18" w:space="0" w:color="auto"/>
              <w:right w:val="single" w:sz="4" w:space="0" w:color="auto"/>
            </w:tcBorders>
            <w:shd w:val="clear" w:color="auto" w:fill="95B3D7" w:themeFill="accent1" w:themeFillTint="99"/>
            <w:vAlign w:val="center"/>
          </w:tcPr>
          <w:p w:rsidR="004776C1" w:rsidRPr="0063382B" w:rsidRDefault="004776C1" w:rsidP="00B60E10">
            <w:pPr>
              <w:spacing w:after="0" w:line="240" w:lineRule="auto"/>
              <w:jc w:val="center"/>
              <w:rPr>
                <w:rFonts w:cstheme="minorHAnsi"/>
                <w:b/>
                <w:bCs/>
                <w:sz w:val="24"/>
                <w:szCs w:val="24"/>
              </w:rPr>
            </w:pPr>
            <w:r w:rsidRPr="0063382B">
              <w:rPr>
                <w:rFonts w:cstheme="minorHAnsi"/>
                <w:b/>
                <w:bCs/>
                <w:sz w:val="24"/>
                <w:szCs w:val="24"/>
              </w:rPr>
              <w:t>Intitulé :</w:t>
            </w:r>
          </w:p>
        </w:tc>
        <w:tc>
          <w:tcPr>
            <w:tcW w:w="7938" w:type="dxa"/>
            <w:tcBorders>
              <w:left w:val="single" w:sz="4" w:space="0" w:color="auto"/>
              <w:bottom w:val="single" w:sz="18" w:space="0" w:color="auto"/>
              <w:right w:val="single" w:sz="18" w:space="0" w:color="auto"/>
            </w:tcBorders>
            <w:shd w:val="clear" w:color="auto" w:fill="auto"/>
          </w:tcPr>
          <w:p w:rsidR="004776C1" w:rsidRPr="0063382B" w:rsidRDefault="004776C1" w:rsidP="00B60E10">
            <w:pPr>
              <w:spacing w:after="0" w:line="240" w:lineRule="auto"/>
              <w:jc w:val="both"/>
              <w:rPr>
                <w:rFonts w:cstheme="minorHAnsi"/>
                <w:sz w:val="24"/>
                <w:szCs w:val="24"/>
              </w:rPr>
            </w:pPr>
            <w:r w:rsidRPr="0063382B">
              <w:rPr>
                <w:rFonts w:cstheme="minorHAnsi"/>
                <w:sz w:val="24"/>
                <w:szCs w:val="24"/>
              </w:rPr>
              <w:t xml:space="preserve">Panneaux de particules liées au ciment - Exigences - Partie 2 : Exigences pour les panneaux de particules liées au ciment Portland ordinaire utilisés en milieu sec, humide et extérieur </w:t>
            </w:r>
          </w:p>
        </w:tc>
      </w:tr>
      <w:tr w:rsidR="004776C1" w:rsidRPr="0043547B" w:rsidTr="0086084D">
        <w:trPr>
          <w:trHeight w:val="2769"/>
          <w:jc w:val="center"/>
        </w:trPr>
        <w:tc>
          <w:tcPr>
            <w:tcW w:w="1838" w:type="dxa"/>
            <w:tcBorders>
              <w:top w:val="nil"/>
              <w:left w:val="single" w:sz="18" w:space="0" w:color="auto"/>
              <w:bottom w:val="single" w:sz="18" w:space="0" w:color="auto"/>
              <w:right w:val="single" w:sz="4" w:space="0" w:color="auto"/>
            </w:tcBorders>
            <w:shd w:val="clear" w:color="000000" w:fill="D9D9D9"/>
            <w:vAlign w:val="center"/>
          </w:tcPr>
          <w:p w:rsidR="004776C1" w:rsidRDefault="004776C1" w:rsidP="00B60E10">
            <w:pPr>
              <w:spacing w:after="0" w:line="240" w:lineRule="auto"/>
              <w:jc w:val="center"/>
              <w:rPr>
                <w:rFonts w:ascii="Calibri" w:hAnsi="Calibri" w:cs="Calibri"/>
                <w:b/>
                <w:bCs/>
                <w:color w:val="000000"/>
                <w:sz w:val="24"/>
                <w:szCs w:val="24"/>
              </w:rPr>
            </w:pPr>
            <w:r>
              <w:rPr>
                <w:rFonts w:ascii="Calibri" w:hAnsi="Calibri" w:cstheme="minorHAnsi"/>
                <w:b/>
                <w:bCs/>
                <w:color w:val="000000"/>
              </w:rPr>
              <w:t>Domaine d’application :</w:t>
            </w:r>
          </w:p>
        </w:tc>
        <w:tc>
          <w:tcPr>
            <w:tcW w:w="7938" w:type="dxa"/>
            <w:tcBorders>
              <w:left w:val="single" w:sz="4" w:space="0" w:color="auto"/>
              <w:bottom w:val="single" w:sz="18" w:space="0" w:color="auto"/>
              <w:right w:val="single" w:sz="18" w:space="0" w:color="auto"/>
            </w:tcBorders>
            <w:shd w:val="clear" w:color="auto" w:fill="FFFFFF" w:themeFill="background1"/>
          </w:tcPr>
          <w:p w:rsidR="00B874C5" w:rsidRDefault="004776C1" w:rsidP="00B874C5">
            <w:pPr>
              <w:spacing w:after="0" w:line="240" w:lineRule="auto"/>
              <w:jc w:val="both"/>
              <w:rPr>
                <w:rFonts w:ascii="Calibri" w:hAnsi="Calibri" w:cs="Calibri"/>
                <w:sz w:val="24"/>
                <w:szCs w:val="24"/>
              </w:rPr>
            </w:pPr>
            <w:r w:rsidRPr="00B874C5">
              <w:rPr>
                <w:rFonts w:ascii="Calibri" w:hAnsi="Calibri" w:cs="Calibri"/>
                <w:sz w:val="24"/>
                <w:szCs w:val="24"/>
              </w:rPr>
              <w:t>La présente Norme européenne pour les panneaux de particules liées au ciment définit les exigences pour les panneaux de particules liées au ciment Portland ordinaire (OPC) utilisés en milieux sec, humide 1) et extérieur 2).</w:t>
            </w:r>
          </w:p>
          <w:p w:rsidR="00B874C5" w:rsidRDefault="004776C1" w:rsidP="00B874C5">
            <w:pPr>
              <w:spacing w:after="0" w:line="240" w:lineRule="auto"/>
              <w:jc w:val="both"/>
              <w:rPr>
                <w:rFonts w:ascii="Calibri" w:hAnsi="Calibri" w:cs="Calibri"/>
                <w:sz w:val="24"/>
                <w:szCs w:val="24"/>
              </w:rPr>
            </w:pPr>
            <w:r w:rsidRPr="00B874C5">
              <w:rPr>
                <w:rFonts w:ascii="Calibri" w:hAnsi="Calibri" w:cs="Calibri"/>
                <w:sz w:val="24"/>
                <w:szCs w:val="24"/>
              </w:rPr>
              <w:t>Des informations additionnelles sur les caractéristiques complémentaires pour certaines applications sont également données.</w:t>
            </w:r>
          </w:p>
          <w:p w:rsidR="006E615A" w:rsidRDefault="004776C1" w:rsidP="00B874C5">
            <w:pPr>
              <w:spacing w:after="0" w:line="240" w:lineRule="auto"/>
              <w:jc w:val="both"/>
              <w:rPr>
                <w:rFonts w:ascii="Calibri" w:hAnsi="Calibri" w:cs="Calibri"/>
                <w:i/>
                <w:iCs/>
              </w:rPr>
            </w:pPr>
            <w:r w:rsidRPr="006E615A">
              <w:rPr>
                <w:rFonts w:ascii="Calibri" w:hAnsi="Calibri" w:cs="Calibri"/>
                <w:b/>
                <w:bCs/>
                <w:i/>
                <w:iCs/>
              </w:rPr>
              <w:t>NOTE 1</w:t>
            </w:r>
            <w:r w:rsidR="006E615A" w:rsidRPr="006E615A">
              <w:rPr>
                <w:rFonts w:ascii="Calibri" w:hAnsi="Calibri" w:cs="Calibri"/>
                <w:i/>
                <w:iCs/>
              </w:rPr>
              <w:t> :</w:t>
            </w:r>
            <w:r w:rsidRPr="006E615A">
              <w:rPr>
                <w:rFonts w:ascii="Calibri" w:hAnsi="Calibri" w:cs="Calibri"/>
                <w:i/>
                <w:iCs/>
              </w:rPr>
              <w:t xml:space="preserve"> Les panneaux réalisés en ciment autre que le Ciment Portland ordinaire peuvent satisfaire à la présente norme si les valeurs d’essai sont déclarées selon EN 13686. Cependant, dans l’avenir d’autres parties </w:t>
            </w:r>
            <w:r w:rsidR="006E615A" w:rsidRPr="006E615A">
              <w:rPr>
                <w:rFonts w:ascii="Calibri" w:hAnsi="Calibri" w:cs="Calibri"/>
                <w:i/>
                <w:iCs/>
              </w:rPr>
              <w:t>d’EN</w:t>
            </w:r>
            <w:r w:rsidRPr="006E615A">
              <w:rPr>
                <w:rFonts w:ascii="Calibri" w:hAnsi="Calibri" w:cs="Calibri"/>
                <w:i/>
                <w:iCs/>
              </w:rPr>
              <w:t xml:space="preserve"> 634 peuvent être établies pour répondre à d’autres types de ciment ou à d’autres matériaux.</w:t>
            </w:r>
          </w:p>
          <w:p w:rsidR="004776C1" w:rsidRPr="006E615A" w:rsidRDefault="004776C1" w:rsidP="00B874C5">
            <w:pPr>
              <w:spacing w:after="0" w:line="240" w:lineRule="auto"/>
              <w:jc w:val="both"/>
              <w:rPr>
                <w:rFonts w:ascii="Calibri" w:hAnsi="Calibri" w:cs="Calibri"/>
                <w:i/>
                <w:iCs/>
              </w:rPr>
            </w:pPr>
            <w:r w:rsidRPr="006E615A">
              <w:rPr>
                <w:rFonts w:ascii="Calibri" w:hAnsi="Calibri" w:cs="Calibri"/>
                <w:b/>
                <w:bCs/>
                <w:i/>
                <w:iCs/>
              </w:rPr>
              <w:t>NOTE 2</w:t>
            </w:r>
            <w:r w:rsidR="006E615A" w:rsidRPr="006E615A">
              <w:rPr>
                <w:rFonts w:ascii="Calibri" w:hAnsi="Calibri" w:cs="Calibri"/>
                <w:i/>
                <w:iCs/>
              </w:rPr>
              <w:t xml:space="preserve"> : </w:t>
            </w:r>
            <w:r w:rsidRPr="006E615A">
              <w:rPr>
                <w:rFonts w:ascii="Calibri" w:hAnsi="Calibri" w:cs="Calibri"/>
                <w:i/>
                <w:iCs/>
              </w:rPr>
              <w:t>Le panneau de particules liées au ciment ne contient pas de fibre d’amiante.</w:t>
            </w:r>
          </w:p>
        </w:tc>
      </w:tr>
      <w:tr w:rsidR="004776C1" w:rsidRPr="0043547B" w:rsidTr="007B2835">
        <w:trPr>
          <w:trHeight w:val="417"/>
          <w:jc w:val="center"/>
        </w:trPr>
        <w:tc>
          <w:tcPr>
            <w:tcW w:w="1838" w:type="dxa"/>
            <w:tcBorders>
              <w:top w:val="nil"/>
              <w:left w:val="single" w:sz="18" w:space="0" w:color="auto"/>
              <w:bottom w:val="single" w:sz="18" w:space="0" w:color="auto"/>
              <w:right w:val="single" w:sz="4" w:space="0" w:color="auto"/>
            </w:tcBorders>
            <w:shd w:val="clear" w:color="auto" w:fill="9BBB59" w:themeFill="accent3"/>
            <w:vAlign w:val="center"/>
          </w:tcPr>
          <w:p w:rsidR="004776C1" w:rsidRDefault="004776C1" w:rsidP="00B60E10">
            <w:pPr>
              <w:spacing w:after="0" w:line="240" w:lineRule="auto"/>
              <w:jc w:val="center"/>
              <w:rPr>
                <w:rFonts w:ascii="Calibri" w:hAnsi="Calibri" w:cs="Calibri"/>
                <w:b/>
                <w:bCs/>
                <w:color w:val="000000"/>
                <w:sz w:val="24"/>
                <w:szCs w:val="24"/>
              </w:rPr>
            </w:pPr>
            <w:r w:rsidRPr="00E37725">
              <w:rPr>
                <w:rFonts w:cstheme="minorHAnsi"/>
                <w:b/>
                <w:bCs/>
                <w:sz w:val="24"/>
                <w:szCs w:val="24"/>
              </w:rPr>
              <w:t>Code :</w:t>
            </w:r>
          </w:p>
        </w:tc>
        <w:tc>
          <w:tcPr>
            <w:tcW w:w="7938" w:type="dxa"/>
            <w:tcBorders>
              <w:left w:val="single" w:sz="4" w:space="0" w:color="auto"/>
              <w:bottom w:val="single" w:sz="18" w:space="0" w:color="auto"/>
              <w:right w:val="single" w:sz="18" w:space="0" w:color="auto"/>
            </w:tcBorders>
            <w:shd w:val="clear" w:color="auto" w:fill="9BBB59" w:themeFill="accent3"/>
          </w:tcPr>
          <w:p w:rsidR="004776C1" w:rsidRPr="002F2F5F" w:rsidRDefault="004776C1" w:rsidP="00B60E10">
            <w:pPr>
              <w:spacing w:after="0" w:line="240" w:lineRule="auto"/>
              <w:jc w:val="center"/>
              <w:rPr>
                <w:rFonts w:cstheme="minorHAnsi"/>
                <w:b/>
                <w:bCs/>
                <w:sz w:val="24"/>
                <w:szCs w:val="24"/>
              </w:rPr>
            </w:pPr>
            <w:r w:rsidRPr="002F2F5F">
              <w:rPr>
                <w:rFonts w:cstheme="minorHAnsi"/>
                <w:b/>
                <w:bCs/>
                <w:sz w:val="24"/>
                <w:szCs w:val="24"/>
              </w:rPr>
              <w:t xml:space="preserve">NM EN 13810-1 </w:t>
            </w:r>
          </w:p>
        </w:tc>
      </w:tr>
      <w:tr w:rsidR="004776C1" w:rsidRPr="0043547B" w:rsidTr="004B70C8">
        <w:trPr>
          <w:trHeight w:val="396"/>
          <w:jc w:val="center"/>
        </w:trPr>
        <w:tc>
          <w:tcPr>
            <w:tcW w:w="1838" w:type="dxa"/>
            <w:tcBorders>
              <w:top w:val="nil"/>
              <w:left w:val="single" w:sz="18" w:space="0" w:color="auto"/>
              <w:bottom w:val="single" w:sz="18" w:space="0" w:color="auto"/>
              <w:right w:val="single" w:sz="4" w:space="0" w:color="auto"/>
            </w:tcBorders>
            <w:shd w:val="clear" w:color="auto" w:fill="FFFF99"/>
            <w:vAlign w:val="center"/>
          </w:tcPr>
          <w:p w:rsidR="004776C1" w:rsidRPr="00E37725" w:rsidRDefault="004776C1" w:rsidP="00B60E10">
            <w:pPr>
              <w:spacing w:after="0" w:line="240" w:lineRule="auto"/>
              <w:jc w:val="center"/>
              <w:rPr>
                <w:rFonts w:cstheme="minorHAnsi"/>
                <w:b/>
                <w:bCs/>
                <w:sz w:val="24"/>
                <w:szCs w:val="24"/>
              </w:rPr>
            </w:pPr>
            <w:r w:rsidRPr="00E37725">
              <w:rPr>
                <w:rFonts w:cstheme="minorHAnsi"/>
                <w:b/>
                <w:bCs/>
                <w:sz w:val="24"/>
                <w:szCs w:val="24"/>
              </w:rPr>
              <w:t>Equivalence :</w:t>
            </w:r>
          </w:p>
        </w:tc>
        <w:tc>
          <w:tcPr>
            <w:tcW w:w="7938" w:type="dxa"/>
            <w:tcBorders>
              <w:left w:val="single" w:sz="4" w:space="0" w:color="auto"/>
              <w:bottom w:val="single" w:sz="18" w:space="0" w:color="auto"/>
              <w:right w:val="single" w:sz="18" w:space="0" w:color="auto"/>
            </w:tcBorders>
            <w:shd w:val="clear" w:color="auto" w:fill="FFFF99"/>
            <w:vAlign w:val="center"/>
          </w:tcPr>
          <w:p w:rsidR="004776C1" w:rsidRPr="002F2F5F" w:rsidRDefault="004776C1" w:rsidP="00B60E10">
            <w:pPr>
              <w:spacing w:after="0" w:line="240" w:lineRule="auto"/>
              <w:jc w:val="center"/>
              <w:rPr>
                <w:rFonts w:cstheme="minorHAnsi"/>
                <w:b/>
                <w:bCs/>
                <w:sz w:val="24"/>
                <w:szCs w:val="24"/>
              </w:rPr>
            </w:pPr>
            <w:r w:rsidRPr="002F2F5F">
              <w:rPr>
                <w:rFonts w:cstheme="minorHAnsi"/>
                <w:b/>
                <w:bCs/>
                <w:sz w:val="24"/>
                <w:szCs w:val="24"/>
              </w:rPr>
              <w:t xml:space="preserve">EN 13810-1 </w:t>
            </w:r>
          </w:p>
        </w:tc>
      </w:tr>
      <w:tr w:rsidR="004776C1" w:rsidRPr="0043547B" w:rsidTr="0003675E">
        <w:trPr>
          <w:trHeight w:val="671"/>
          <w:jc w:val="center"/>
        </w:trPr>
        <w:tc>
          <w:tcPr>
            <w:tcW w:w="1838" w:type="dxa"/>
            <w:tcBorders>
              <w:top w:val="nil"/>
              <w:left w:val="single" w:sz="18" w:space="0" w:color="auto"/>
              <w:bottom w:val="single" w:sz="18" w:space="0" w:color="auto"/>
              <w:right w:val="single" w:sz="4" w:space="0" w:color="auto"/>
            </w:tcBorders>
            <w:shd w:val="clear" w:color="auto" w:fill="95B3D7" w:themeFill="accent1" w:themeFillTint="99"/>
            <w:vAlign w:val="center"/>
          </w:tcPr>
          <w:p w:rsidR="004776C1" w:rsidRPr="00E37725" w:rsidRDefault="004776C1" w:rsidP="00B60E10">
            <w:pPr>
              <w:spacing w:after="0" w:line="240" w:lineRule="auto"/>
              <w:jc w:val="center"/>
              <w:rPr>
                <w:rFonts w:cstheme="minorHAnsi"/>
                <w:b/>
                <w:bCs/>
                <w:sz w:val="24"/>
                <w:szCs w:val="24"/>
              </w:rPr>
            </w:pPr>
            <w:r w:rsidRPr="00E37725">
              <w:rPr>
                <w:rFonts w:cstheme="minorHAnsi"/>
                <w:b/>
                <w:bCs/>
                <w:sz w:val="24"/>
                <w:szCs w:val="24"/>
              </w:rPr>
              <w:t>Intitulé :</w:t>
            </w:r>
          </w:p>
        </w:tc>
        <w:tc>
          <w:tcPr>
            <w:tcW w:w="7938" w:type="dxa"/>
            <w:tcBorders>
              <w:left w:val="single" w:sz="4" w:space="0" w:color="auto"/>
              <w:bottom w:val="single" w:sz="18" w:space="0" w:color="auto"/>
              <w:right w:val="single" w:sz="18" w:space="0" w:color="auto"/>
            </w:tcBorders>
            <w:shd w:val="clear" w:color="auto" w:fill="auto"/>
          </w:tcPr>
          <w:p w:rsidR="004776C1" w:rsidRPr="006E615A" w:rsidRDefault="004776C1" w:rsidP="00B60E10">
            <w:pPr>
              <w:spacing w:after="0" w:line="240" w:lineRule="auto"/>
              <w:jc w:val="both"/>
              <w:rPr>
                <w:rFonts w:ascii="Calibri" w:hAnsi="Calibri" w:cs="Calibri"/>
                <w:sz w:val="24"/>
                <w:szCs w:val="24"/>
              </w:rPr>
            </w:pPr>
            <w:r w:rsidRPr="006E615A">
              <w:rPr>
                <w:rFonts w:ascii="Calibri" w:hAnsi="Calibri" w:cs="Calibri"/>
                <w:sz w:val="24"/>
                <w:szCs w:val="24"/>
              </w:rPr>
              <w:t xml:space="preserve">Panneaux à base de bois - Planchers flottants - Partie 1 : Exigences et spécifications fonctionnelles </w:t>
            </w:r>
          </w:p>
        </w:tc>
      </w:tr>
      <w:tr w:rsidR="004776C1" w:rsidRPr="0043547B" w:rsidTr="00DB38CD">
        <w:trPr>
          <w:trHeight w:val="806"/>
          <w:jc w:val="center"/>
        </w:trPr>
        <w:tc>
          <w:tcPr>
            <w:tcW w:w="1838" w:type="dxa"/>
            <w:tcBorders>
              <w:top w:val="nil"/>
              <w:left w:val="single" w:sz="18" w:space="0" w:color="auto"/>
              <w:bottom w:val="single" w:sz="18" w:space="0" w:color="auto"/>
              <w:right w:val="single" w:sz="4" w:space="0" w:color="auto"/>
            </w:tcBorders>
            <w:shd w:val="clear" w:color="000000" w:fill="D9D9D9"/>
            <w:vAlign w:val="center"/>
          </w:tcPr>
          <w:p w:rsidR="004776C1" w:rsidRDefault="004776C1" w:rsidP="00B60E10">
            <w:pPr>
              <w:spacing w:after="0" w:line="240" w:lineRule="auto"/>
              <w:jc w:val="center"/>
              <w:rPr>
                <w:rFonts w:ascii="Calibri" w:hAnsi="Calibri" w:cs="Calibri"/>
                <w:b/>
                <w:bCs/>
                <w:color w:val="000000"/>
                <w:sz w:val="24"/>
                <w:szCs w:val="24"/>
              </w:rPr>
            </w:pPr>
            <w:r>
              <w:rPr>
                <w:rFonts w:ascii="Calibri" w:hAnsi="Calibri" w:cstheme="minorHAnsi"/>
                <w:b/>
                <w:bCs/>
                <w:color w:val="000000"/>
              </w:rPr>
              <w:t>Domaine d’application :</w:t>
            </w:r>
          </w:p>
        </w:tc>
        <w:tc>
          <w:tcPr>
            <w:tcW w:w="7938" w:type="dxa"/>
            <w:tcBorders>
              <w:left w:val="single" w:sz="4" w:space="0" w:color="auto"/>
              <w:bottom w:val="single" w:sz="18" w:space="0" w:color="auto"/>
              <w:right w:val="single" w:sz="18" w:space="0" w:color="auto"/>
            </w:tcBorders>
            <w:shd w:val="clear" w:color="auto" w:fill="FFFFFF" w:themeFill="background1"/>
            <w:vAlign w:val="bottom"/>
          </w:tcPr>
          <w:p w:rsidR="004776C1" w:rsidRPr="006E615A" w:rsidRDefault="004776C1" w:rsidP="006E615A">
            <w:pPr>
              <w:spacing w:after="0" w:line="240" w:lineRule="auto"/>
              <w:jc w:val="both"/>
              <w:rPr>
                <w:rFonts w:ascii="Calibri" w:hAnsi="Calibri" w:cs="Calibri"/>
                <w:sz w:val="24"/>
                <w:szCs w:val="24"/>
              </w:rPr>
            </w:pPr>
            <w:r w:rsidRPr="006E615A">
              <w:rPr>
                <w:rFonts w:ascii="Calibri" w:hAnsi="Calibri" w:cs="Calibri"/>
                <w:sz w:val="24"/>
                <w:szCs w:val="24"/>
              </w:rPr>
              <w:t>La présente Norme européenne présente les spécifications et les exigences fonctionnelles des panneaux à base de bois utilisés en planchers flottants non structurels sous charge permanente.</w:t>
            </w:r>
          </w:p>
        </w:tc>
      </w:tr>
      <w:tr w:rsidR="004776C1" w:rsidRPr="0043547B" w:rsidTr="007B2835">
        <w:trPr>
          <w:trHeight w:val="223"/>
          <w:jc w:val="center"/>
        </w:trPr>
        <w:tc>
          <w:tcPr>
            <w:tcW w:w="1838" w:type="dxa"/>
            <w:tcBorders>
              <w:top w:val="nil"/>
              <w:left w:val="single" w:sz="18" w:space="0" w:color="auto"/>
              <w:bottom w:val="single" w:sz="18" w:space="0" w:color="auto"/>
              <w:right w:val="single" w:sz="4" w:space="0" w:color="auto"/>
            </w:tcBorders>
            <w:shd w:val="clear" w:color="auto" w:fill="9BBB59" w:themeFill="accent3"/>
            <w:vAlign w:val="center"/>
          </w:tcPr>
          <w:p w:rsidR="004776C1" w:rsidRPr="006129FD" w:rsidRDefault="004776C1" w:rsidP="00B60E10">
            <w:pPr>
              <w:spacing w:after="0" w:line="240" w:lineRule="auto"/>
              <w:jc w:val="center"/>
              <w:rPr>
                <w:rFonts w:cstheme="minorHAnsi"/>
                <w:b/>
                <w:bCs/>
                <w:sz w:val="24"/>
                <w:szCs w:val="24"/>
              </w:rPr>
            </w:pPr>
            <w:r w:rsidRPr="006129FD">
              <w:rPr>
                <w:rFonts w:cstheme="minorHAnsi"/>
                <w:b/>
                <w:bCs/>
                <w:sz w:val="24"/>
                <w:szCs w:val="24"/>
              </w:rPr>
              <w:t>Code :</w:t>
            </w:r>
          </w:p>
        </w:tc>
        <w:tc>
          <w:tcPr>
            <w:tcW w:w="7938" w:type="dxa"/>
            <w:tcBorders>
              <w:left w:val="single" w:sz="4" w:space="0" w:color="auto"/>
              <w:bottom w:val="single" w:sz="18" w:space="0" w:color="auto"/>
              <w:right w:val="single" w:sz="18" w:space="0" w:color="auto"/>
            </w:tcBorders>
            <w:shd w:val="clear" w:color="auto" w:fill="9BBB59" w:themeFill="accent3"/>
          </w:tcPr>
          <w:p w:rsidR="004776C1" w:rsidRPr="002F2F5F" w:rsidRDefault="004776C1" w:rsidP="00B60E10">
            <w:pPr>
              <w:spacing w:after="0" w:line="240" w:lineRule="auto"/>
              <w:jc w:val="center"/>
              <w:rPr>
                <w:rFonts w:cstheme="minorHAnsi"/>
                <w:b/>
                <w:bCs/>
                <w:sz w:val="24"/>
                <w:szCs w:val="24"/>
              </w:rPr>
            </w:pPr>
            <w:r w:rsidRPr="002F2F5F">
              <w:rPr>
                <w:rFonts w:cstheme="minorHAnsi"/>
                <w:b/>
                <w:bCs/>
                <w:sz w:val="24"/>
                <w:szCs w:val="24"/>
              </w:rPr>
              <w:t>NM EN 14293</w:t>
            </w:r>
          </w:p>
        </w:tc>
      </w:tr>
      <w:tr w:rsidR="004776C1" w:rsidRPr="0043547B" w:rsidTr="00470357">
        <w:trPr>
          <w:trHeight w:val="397"/>
          <w:jc w:val="center"/>
        </w:trPr>
        <w:tc>
          <w:tcPr>
            <w:tcW w:w="1838" w:type="dxa"/>
            <w:tcBorders>
              <w:top w:val="nil"/>
              <w:left w:val="single" w:sz="18" w:space="0" w:color="auto"/>
              <w:bottom w:val="single" w:sz="18" w:space="0" w:color="auto"/>
              <w:right w:val="single" w:sz="4" w:space="0" w:color="auto"/>
            </w:tcBorders>
            <w:shd w:val="clear" w:color="auto" w:fill="FFFF99"/>
            <w:vAlign w:val="center"/>
          </w:tcPr>
          <w:p w:rsidR="004776C1" w:rsidRDefault="004776C1" w:rsidP="00B60E10">
            <w:pPr>
              <w:spacing w:after="0" w:line="240" w:lineRule="auto"/>
              <w:jc w:val="center"/>
              <w:rPr>
                <w:rFonts w:ascii="Calibri" w:hAnsi="Calibri" w:cs="Calibri"/>
                <w:b/>
                <w:bCs/>
                <w:color w:val="000000"/>
                <w:sz w:val="24"/>
                <w:szCs w:val="24"/>
              </w:rPr>
            </w:pPr>
            <w:r w:rsidRPr="006129FD">
              <w:rPr>
                <w:rFonts w:cstheme="minorHAnsi"/>
                <w:b/>
                <w:bCs/>
                <w:sz w:val="24"/>
                <w:szCs w:val="24"/>
              </w:rPr>
              <w:t>Equivalence :</w:t>
            </w:r>
          </w:p>
        </w:tc>
        <w:tc>
          <w:tcPr>
            <w:tcW w:w="7938" w:type="dxa"/>
            <w:tcBorders>
              <w:left w:val="single" w:sz="4" w:space="0" w:color="auto"/>
              <w:bottom w:val="single" w:sz="18" w:space="0" w:color="auto"/>
              <w:right w:val="single" w:sz="18" w:space="0" w:color="auto"/>
            </w:tcBorders>
            <w:shd w:val="clear" w:color="auto" w:fill="FFFF99"/>
            <w:vAlign w:val="center"/>
          </w:tcPr>
          <w:p w:rsidR="004776C1" w:rsidRPr="002F2F5F" w:rsidRDefault="004776C1" w:rsidP="00B60E10">
            <w:pPr>
              <w:spacing w:after="0" w:line="240" w:lineRule="auto"/>
              <w:jc w:val="center"/>
              <w:rPr>
                <w:rFonts w:cstheme="minorHAnsi"/>
                <w:b/>
                <w:bCs/>
                <w:sz w:val="24"/>
                <w:szCs w:val="24"/>
              </w:rPr>
            </w:pPr>
            <w:r w:rsidRPr="002F2F5F">
              <w:rPr>
                <w:rFonts w:cstheme="minorHAnsi"/>
                <w:b/>
                <w:bCs/>
                <w:sz w:val="24"/>
                <w:szCs w:val="24"/>
              </w:rPr>
              <w:t>EN 14293</w:t>
            </w:r>
          </w:p>
        </w:tc>
      </w:tr>
      <w:tr w:rsidR="004776C1" w:rsidRPr="0043547B" w:rsidTr="0003675E">
        <w:trPr>
          <w:trHeight w:val="673"/>
          <w:jc w:val="center"/>
        </w:trPr>
        <w:tc>
          <w:tcPr>
            <w:tcW w:w="1838" w:type="dxa"/>
            <w:tcBorders>
              <w:top w:val="nil"/>
              <w:left w:val="single" w:sz="18" w:space="0" w:color="auto"/>
              <w:bottom w:val="single" w:sz="18" w:space="0" w:color="auto"/>
              <w:right w:val="single" w:sz="4" w:space="0" w:color="auto"/>
            </w:tcBorders>
            <w:shd w:val="clear" w:color="auto" w:fill="95B3D7" w:themeFill="accent1" w:themeFillTint="99"/>
            <w:vAlign w:val="center"/>
          </w:tcPr>
          <w:p w:rsidR="004776C1" w:rsidRDefault="004776C1" w:rsidP="00B60E10">
            <w:pPr>
              <w:spacing w:after="0" w:line="240" w:lineRule="auto"/>
              <w:jc w:val="center"/>
              <w:rPr>
                <w:rFonts w:ascii="Calibri" w:hAnsi="Calibri" w:cs="Calibri"/>
                <w:b/>
                <w:bCs/>
                <w:color w:val="000000"/>
                <w:sz w:val="24"/>
                <w:szCs w:val="24"/>
              </w:rPr>
            </w:pPr>
            <w:r w:rsidRPr="006129FD">
              <w:rPr>
                <w:rFonts w:cstheme="minorHAnsi"/>
                <w:b/>
                <w:bCs/>
                <w:sz w:val="24"/>
                <w:szCs w:val="24"/>
              </w:rPr>
              <w:t>Intitulé :</w:t>
            </w:r>
          </w:p>
        </w:tc>
        <w:tc>
          <w:tcPr>
            <w:tcW w:w="7938" w:type="dxa"/>
            <w:tcBorders>
              <w:left w:val="single" w:sz="4" w:space="0" w:color="auto"/>
              <w:bottom w:val="single" w:sz="18" w:space="0" w:color="auto"/>
              <w:right w:val="single" w:sz="18" w:space="0" w:color="auto"/>
            </w:tcBorders>
            <w:shd w:val="clear" w:color="auto" w:fill="auto"/>
            <w:vAlign w:val="bottom"/>
          </w:tcPr>
          <w:p w:rsidR="004776C1" w:rsidRPr="006E615A" w:rsidRDefault="004776C1" w:rsidP="006E615A">
            <w:pPr>
              <w:spacing w:after="0" w:line="240" w:lineRule="auto"/>
              <w:jc w:val="both"/>
              <w:rPr>
                <w:rFonts w:ascii="Calibri" w:hAnsi="Calibri" w:cs="Calibri"/>
                <w:color w:val="000000"/>
                <w:sz w:val="24"/>
                <w:szCs w:val="24"/>
              </w:rPr>
            </w:pPr>
            <w:r w:rsidRPr="006E615A">
              <w:rPr>
                <w:rFonts w:ascii="Calibri" w:hAnsi="Calibri" w:cs="Calibri"/>
                <w:color w:val="000000"/>
                <w:sz w:val="24"/>
                <w:szCs w:val="24"/>
              </w:rPr>
              <w:t>Adhésifs - Adhésifs pour le collage de parquet au sol - Méthodes d'essai et exigences minimales en matière de résistance au cisaillement et à la traction</w:t>
            </w:r>
          </w:p>
        </w:tc>
      </w:tr>
      <w:tr w:rsidR="004776C1" w:rsidRPr="0043547B" w:rsidTr="0086084D">
        <w:trPr>
          <w:trHeight w:val="2649"/>
          <w:jc w:val="center"/>
        </w:trPr>
        <w:tc>
          <w:tcPr>
            <w:tcW w:w="1838" w:type="dxa"/>
            <w:tcBorders>
              <w:top w:val="nil"/>
              <w:left w:val="single" w:sz="18" w:space="0" w:color="auto"/>
              <w:bottom w:val="single" w:sz="18" w:space="0" w:color="auto"/>
              <w:right w:val="single" w:sz="4" w:space="0" w:color="auto"/>
            </w:tcBorders>
            <w:shd w:val="clear" w:color="000000" w:fill="D9D9D9"/>
            <w:vAlign w:val="center"/>
          </w:tcPr>
          <w:p w:rsidR="004776C1" w:rsidRDefault="004776C1" w:rsidP="00B60E10">
            <w:pPr>
              <w:spacing w:after="0" w:line="240" w:lineRule="auto"/>
              <w:jc w:val="center"/>
              <w:rPr>
                <w:rFonts w:ascii="Calibri" w:hAnsi="Calibri" w:cs="Calibri"/>
                <w:b/>
                <w:bCs/>
                <w:color w:val="000000"/>
                <w:sz w:val="24"/>
                <w:szCs w:val="24"/>
              </w:rPr>
            </w:pPr>
            <w:r>
              <w:rPr>
                <w:rFonts w:ascii="Calibri" w:hAnsi="Calibri" w:cstheme="minorHAnsi"/>
                <w:b/>
                <w:bCs/>
                <w:color w:val="000000"/>
              </w:rPr>
              <w:lastRenderedPageBreak/>
              <w:t>Domaine d’application :</w:t>
            </w:r>
          </w:p>
        </w:tc>
        <w:tc>
          <w:tcPr>
            <w:tcW w:w="7938" w:type="dxa"/>
            <w:tcBorders>
              <w:left w:val="single" w:sz="4" w:space="0" w:color="auto"/>
              <w:bottom w:val="single" w:sz="18" w:space="0" w:color="auto"/>
              <w:right w:val="single" w:sz="18" w:space="0" w:color="auto"/>
            </w:tcBorders>
            <w:shd w:val="clear" w:color="auto" w:fill="FFFFFF" w:themeFill="background1"/>
          </w:tcPr>
          <w:p w:rsidR="006E615A" w:rsidRDefault="004776C1" w:rsidP="006E615A">
            <w:pPr>
              <w:spacing w:after="0" w:line="240" w:lineRule="auto"/>
              <w:jc w:val="both"/>
              <w:rPr>
                <w:rFonts w:ascii="Calibri" w:hAnsi="Calibri" w:cs="Calibri"/>
                <w:sz w:val="24"/>
                <w:szCs w:val="24"/>
              </w:rPr>
            </w:pPr>
            <w:r w:rsidRPr="006E615A">
              <w:rPr>
                <w:rFonts w:ascii="Calibri" w:hAnsi="Calibri" w:cs="Calibri"/>
                <w:sz w:val="24"/>
                <w:szCs w:val="24"/>
              </w:rPr>
              <w:t>La présente Norme européenne spécifie des méthodes d’essai relatives aux adhésifs utilisés pour le collage au sol de parquet et de revêtements en bois similaire. Elle spécifie également les exigences minimales que doivent</w:t>
            </w:r>
            <w:r w:rsidRPr="006E615A">
              <w:rPr>
                <w:rFonts w:ascii="Calibri" w:hAnsi="Calibri" w:cs="Calibri"/>
                <w:sz w:val="24"/>
                <w:szCs w:val="24"/>
              </w:rPr>
              <w:br/>
              <w:t>satisfaire ces adhésifs en matière de résistance au cisaillement et à la traction, ainsi qu’une méthode de détermination du temps ouvert. En ce qui concerne la détermination de la résistance au cisaillement, deux méthodes d’essai et des exigences minimales différentes sont fournies pour distinguer les adhésifs rigides et les adhésifs souples.</w:t>
            </w:r>
          </w:p>
          <w:p w:rsidR="004776C1" w:rsidRPr="006E615A" w:rsidRDefault="004776C1" w:rsidP="006E615A">
            <w:pPr>
              <w:spacing w:after="0" w:line="240" w:lineRule="auto"/>
              <w:jc w:val="both"/>
              <w:rPr>
                <w:rFonts w:ascii="Calibri" w:hAnsi="Calibri" w:cs="Calibri"/>
                <w:sz w:val="24"/>
                <w:szCs w:val="24"/>
              </w:rPr>
            </w:pPr>
            <w:r w:rsidRPr="006E615A">
              <w:rPr>
                <w:rFonts w:ascii="Calibri" w:hAnsi="Calibri" w:cs="Calibri"/>
                <w:sz w:val="24"/>
                <w:szCs w:val="24"/>
              </w:rPr>
              <w:t>La présente norme ne traite pas de la sélection, ni de la pose des parquets.</w:t>
            </w:r>
          </w:p>
        </w:tc>
      </w:tr>
      <w:tr w:rsidR="004776C1" w:rsidRPr="0043547B" w:rsidTr="007B2835">
        <w:trPr>
          <w:trHeight w:val="282"/>
          <w:jc w:val="center"/>
        </w:trPr>
        <w:tc>
          <w:tcPr>
            <w:tcW w:w="1838" w:type="dxa"/>
            <w:tcBorders>
              <w:top w:val="nil"/>
              <w:left w:val="single" w:sz="18" w:space="0" w:color="auto"/>
              <w:bottom w:val="single" w:sz="18" w:space="0" w:color="auto"/>
              <w:right w:val="single" w:sz="4" w:space="0" w:color="auto"/>
            </w:tcBorders>
            <w:shd w:val="clear" w:color="auto" w:fill="9BBB59" w:themeFill="accent3"/>
            <w:vAlign w:val="center"/>
          </w:tcPr>
          <w:p w:rsidR="004776C1" w:rsidRPr="001810EA" w:rsidRDefault="004776C1" w:rsidP="00B60E10">
            <w:pPr>
              <w:spacing w:after="0" w:line="240" w:lineRule="auto"/>
              <w:jc w:val="center"/>
              <w:rPr>
                <w:rFonts w:cstheme="minorHAnsi"/>
                <w:b/>
                <w:bCs/>
                <w:sz w:val="24"/>
                <w:szCs w:val="24"/>
              </w:rPr>
            </w:pPr>
            <w:r w:rsidRPr="001810EA">
              <w:rPr>
                <w:rFonts w:cstheme="minorHAnsi"/>
                <w:b/>
                <w:bCs/>
                <w:sz w:val="24"/>
                <w:szCs w:val="24"/>
              </w:rPr>
              <w:t>Code :</w:t>
            </w:r>
          </w:p>
        </w:tc>
        <w:tc>
          <w:tcPr>
            <w:tcW w:w="7938" w:type="dxa"/>
            <w:tcBorders>
              <w:left w:val="single" w:sz="4" w:space="0" w:color="auto"/>
              <w:bottom w:val="single" w:sz="18" w:space="0" w:color="auto"/>
              <w:right w:val="single" w:sz="18" w:space="0" w:color="auto"/>
            </w:tcBorders>
            <w:shd w:val="clear" w:color="auto" w:fill="9BBB59" w:themeFill="accent3"/>
          </w:tcPr>
          <w:p w:rsidR="004776C1" w:rsidRPr="002F2F5F" w:rsidRDefault="004776C1" w:rsidP="00B60E10">
            <w:pPr>
              <w:spacing w:after="0" w:line="240" w:lineRule="auto"/>
              <w:jc w:val="center"/>
              <w:rPr>
                <w:rFonts w:cstheme="minorHAnsi"/>
                <w:b/>
                <w:bCs/>
                <w:sz w:val="24"/>
                <w:szCs w:val="24"/>
              </w:rPr>
            </w:pPr>
            <w:r w:rsidRPr="002F2F5F">
              <w:rPr>
                <w:rFonts w:cstheme="minorHAnsi"/>
                <w:b/>
                <w:bCs/>
                <w:sz w:val="24"/>
                <w:szCs w:val="24"/>
              </w:rPr>
              <w:t>NM 13.6.520</w:t>
            </w:r>
          </w:p>
        </w:tc>
      </w:tr>
      <w:tr w:rsidR="004776C1" w:rsidRPr="0043547B" w:rsidTr="005124A1">
        <w:trPr>
          <w:trHeight w:val="334"/>
          <w:jc w:val="center"/>
        </w:trPr>
        <w:tc>
          <w:tcPr>
            <w:tcW w:w="1838" w:type="dxa"/>
            <w:tcBorders>
              <w:top w:val="nil"/>
              <w:left w:val="single" w:sz="18" w:space="0" w:color="auto"/>
              <w:bottom w:val="single" w:sz="18" w:space="0" w:color="auto"/>
              <w:right w:val="single" w:sz="4" w:space="0" w:color="auto"/>
            </w:tcBorders>
            <w:shd w:val="clear" w:color="auto" w:fill="FFFF99"/>
            <w:vAlign w:val="center"/>
          </w:tcPr>
          <w:p w:rsidR="004776C1" w:rsidRPr="001810EA" w:rsidRDefault="004776C1" w:rsidP="00B60E10">
            <w:pPr>
              <w:spacing w:after="0" w:line="240" w:lineRule="auto"/>
              <w:jc w:val="center"/>
              <w:rPr>
                <w:rFonts w:cstheme="minorHAnsi"/>
                <w:b/>
                <w:bCs/>
                <w:sz w:val="24"/>
                <w:szCs w:val="24"/>
              </w:rPr>
            </w:pPr>
            <w:r w:rsidRPr="001810EA">
              <w:rPr>
                <w:rFonts w:cstheme="minorHAnsi"/>
                <w:b/>
                <w:bCs/>
                <w:sz w:val="24"/>
                <w:szCs w:val="24"/>
              </w:rPr>
              <w:t>Equivalence :</w:t>
            </w:r>
          </w:p>
        </w:tc>
        <w:tc>
          <w:tcPr>
            <w:tcW w:w="7938" w:type="dxa"/>
            <w:tcBorders>
              <w:left w:val="single" w:sz="4" w:space="0" w:color="auto"/>
              <w:bottom w:val="single" w:sz="18" w:space="0" w:color="auto"/>
              <w:right w:val="single" w:sz="18" w:space="0" w:color="auto"/>
            </w:tcBorders>
            <w:shd w:val="clear" w:color="auto" w:fill="FFFF99"/>
            <w:vAlign w:val="center"/>
          </w:tcPr>
          <w:p w:rsidR="004776C1" w:rsidRPr="002F2F5F" w:rsidRDefault="004776C1" w:rsidP="00B60E10">
            <w:pPr>
              <w:spacing w:after="0" w:line="240" w:lineRule="auto"/>
              <w:jc w:val="center"/>
              <w:rPr>
                <w:rFonts w:cstheme="minorHAnsi"/>
                <w:b/>
                <w:bCs/>
                <w:sz w:val="24"/>
                <w:szCs w:val="24"/>
              </w:rPr>
            </w:pPr>
            <w:r w:rsidRPr="002F2F5F">
              <w:rPr>
                <w:rFonts w:cstheme="minorHAnsi"/>
                <w:b/>
                <w:bCs/>
                <w:sz w:val="24"/>
                <w:szCs w:val="24"/>
              </w:rPr>
              <w:t>NF B52-001-2</w:t>
            </w:r>
          </w:p>
        </w:tc>
      </w:tr>
      <w:tr w:rsidR="004776C1" w:rsidRPr="0043547B" w:rsidTr="0003675E">
        <w:trPr>
          <w:trHeight w:val="1050"/>
          <w:jc w:val="center"/>
        </w:trPr>
        <w:tc>
          <w:tcPr>
            <w:tcW w:w="1838" w:type="dxa"/>
            <w:tcBorders>
              <w:top w:val="nil"/>
              <w:left w:val="single" w:sz="18" w:space="0" w:color="auto"/>
              <w:bottom w:val="single" w:sz="18" w:space="0" w:color="auto"/>
              <w:right w:val="single" w:sz="4" w:space="0" w:color="auto"/>
            </w:tcBorders>
            <w:shd w:val="clear" w:color="auto" w:fill="95B3D7" w:themeFill="accent1" w:themeFillTint="99"/>
            <w:vAlign w:val="center"/>
          </w:tcPr>
          <w:p w:rsidR="004776C1" w:rsidRPr="001810EA" w:rsidRDefault="004776C1" w:rsidP="00B60E10">
            <w:pPr>
              <w:spacing w:after="0" w:line="240" w:lineRule="auto"/>
              <w:jc w:val="center"/>
              <w:rPr>
                <w:rFonts w:cstheme="minorHAnsi"/>
                <w:b/>
                <w:bCs/>
                <w:sz w:val="24"/>
                <w:szCs w:val="24"/>
              </w:rPr>
            </w:pPr>
            <w:r w:rsidRPr="001810EA">
              <w:rPr>
                <w:rFonts w:cstheme="minorHAnsi"/>
                <w:b/>
                <w:bCs/>
                <w:sz w:val="24"/>
                <w:szCs w:val="24"/>
              </w:rPr>
              <w:t>Intitulé :</w:t>
            </w:r>
          </w:p>
        </w:tc>
        <w:tc>
          <w:tcPr>
            <w:tcW w:w="7938" w:type="dxa"/>
            <w:tcBorders>
              <w:left w:val="single" w:sz="4" w:space="0" w:color="auto"/>
              <w:bottom w:val="single" w:sz="18" w:space="0" w:color="auto"/>
              <w:right w:val="single" w:sz="18" w:space="0" w:color="auto"/>
            </w:tcBorders>
            <w:shd w:val="clear" w:color="auto" w:fill="auto"/>
          </w:tcPr>
          <w:p w:rsidR="004776C1" w:rsidRPr="001810EA" w:rsidRDefault="004776C1" w:rsidP="00B60E10">
            <w:pPr>
              <w:spacing w:after="0" w:line="240" w:lineRule="auto"/>
              <w:jc w:val="both"/>
              <w:rPr>
                <w:rFonts w:cstheme="minorHAnsi"/>
                <w:sz w:val="24"/>
                <w:szCs w:val="24"/>
              </w:rPr>
            </w:pPr>
            <w:r w:rsidRPr="001810EA">
              <w:rPr>
                <w:rFonts w:cstheme="minorHAnsi"/>
                <w:sz w:val="24"/>
                <w:szCs w:val="24"/>
              </w:rPr>
              <w:t>Règles d'utilisation du bois dans la construction - Classement visuel pour l'emploi en structures des bois sciés résineux et feuillus - Méthode alternative pour le bois massif entrant dans la fabrication de bois lamellé collé BLC et bois massif reconstitué BMR</w:t>
            </w:r>
          </w:p>
        </w:tc>
      </w:tr>
      <w:tr w:rsidR="004776C1" w:rsidRPr="0043547B" w:rsidTr="004776C1">
        <w:trPr>
          <w:trHeight w:val="3015"/>
          <w:jc w:val="center"/>
        </w:trPr>
        <w:tc>
          <w:tcPr>
            <w:tcW w:w="1838" w:type="dxa"/>
            <w:tcBorders>
              <w:top w:val="nil"/>
              <w:left w:val="single" w:sz="18" w:space="0" w:color="auto"/>
              <w:bottom w:val="single" w:sz="18" w:space="0" w:color="auto"/>
              <w:right w:val="single" w:sz="4" w:space="0" w:color="auto"/>
            </w:tcBorders>
            <w:shd w:val="clear" w:color="000000" w:fill="D9D9D9"/>
            <w:vAlign w:val="center"/>
          </w:tcPr>
          <w:p w:rsidR="004776C1" w:rsidRDefault="004776C1" w:rsidP="00B60E10">
            <w:pPr>
              <w:spacing w:after="0" w:line="240" w:lineRule="auto"/>
              <w:jc w:val="center"/>
              <w:rPr>
                <w:rFonts w:ascii="Calibri" w:hAnsi="Calibri" w:cs="Calibri"/>
                <w:b/>
                <w:bCs/>
                <w:color w:val="000000"/>
                <w:sz w:val="24"/>
                <w:szCs w:val="24"/>
              </w:rPr>
            </w:pPr>
            <w:r>
              <w:rPr>
                <w:rFonts w:ascii="Calibri" w:hAnsi="Calibri" w:cstheme="minorHAnsi"/>
                <w:b/>
                <w:bCs/>
                <w:color w:val="000000"/>
              </w:rPr>
              <w:t>Domaine d’application :</w:t>
            </w:r>
          </w:p>
        </w:tc>
        <w:tc>
          <w:tcPr>
            <w:tcW w:w="7938" w:type="dxa"/>
            <w:tcBorders>
              <w:left w:val="single" w:sz="4" w:space="0" w:color="auto"/>
              <w:bottom w:val="single" w:sz="18" w:space="0" w:color="auto"/>
              <w:right w:val="single" w:sz="18" w:space="0" w:color="auto"/>
            </w:tcBorders>
            <w:shd w:val="clear" w:color="auto" w:fill="FFFFFF" w:themeFill="background1"/>
            <w:vAlign w:val="bottom"/>
          </w:tcPr>
          <w:p w:rsidR="006E615A" w:rsidRDefault="004776C1" w:rsidP="006E615A">
            <w:pPr>
              <w:spacing w:after="0" w:line="240" w:lineRule="auto"/>
              <w:jc w:val="both"/>
              <w:rPr>
                <w:rFonts w:ascii="Calibri" w:hAnsi="Calibri" w:cs="Calibri"/>
                <w:sz w:val="24"/>
                <w:szCs w:val="24"/>
              </w:rPr>
            </w:pPr>
            <w:r w:rsidRPr="006E615A">
              <w:rPr>
                <w:rFonts w:ascii="Calibri" w:hAnsi="Calibri" w:cs="Calibri"/>
                <w:sz w:val="24"/>
                <w:szCs w:val="24"/>
              </w:rPr>
              <w:t>Le présent document a pour objet de définir une méthode alternative à la NF B 52-001-1 pour le classement visuel des bois sciés résineux et feuillus provenant de forêts françaises et destinés à une utilisation en structure sous forme de bois lamellé collé BLC ou en bois massif reconstitué BMR.</w:t>
            </w:r>
          </w:p>
          <w:p w:rsidR="006E615A" w:rsidRDefault="004776C1" w:rsidP="006E615A">
            <w:pPr>
              <w:spacing w:after="0" w:line="240" w:lineRule="auto"/>
              <w:jc w:val="both"/>
              <w:rPr>
                <w:rFonts w:ascii="Calibri" w:hAnsi="Calibri" w:cs="Calibri"/>
                <w:sz w:val="24"/>
                <w:szCs w:val="24"/>
              </w:rPr>
            </w:pPr>
            <w:r w:rsidRPr="006E615A">
              <w:rPr>
                <w:rFonts w:ascii="Calibri" w:hAnsi="Calibri" w:cs="Calibri"/>
                <w:sz w:val="24"/>
                <w:szCs w:val="24"/>
              </w:rPr>
              <w:t>Il ne s’applique pas aux bois importés.</w:t>
            </w:r>
          </w:p>
          <w:p w:rsidR="006E615A" w:rsidRDefault="004776C1" w:rsidP="006E615A">
            <w:pPr>
              <w:spacing w:after="0" w:line="240" w:lineRule="auto"/>
              <w:jc w:val="both"/>
              <w:rPr>
                <w:rFonts w:ascii="Calibri" w:hAnsi="Calibri" w:cs="Calibri"/>
                <w:i/>
                <w:iCs/>
              </w:rPr>
            </w:pPr>
            <w:r w:rsidRPr="006E615A">
              <w:rPr>
                <w:rFonts w:ascii="Calibri" w:hAnsi="Calibri" w:cs="Calibri"/>
                <w:b/>
                <w:bCs/>
                <w:i/>
                <w:iCs/>
              </w:rPr>
              <w:t>NOTE</w:t>
            </w:r>
            <w:r w:rsidR="006E615A" w:rsidRPr="006E615A">
              <w:rPr>
                <w:rFonts w:ascii="Calibri" w:hAnsi="Calibri" w:cs="Calibri"/>
                <w:i/>
                <w:iCs/>
              </w:rPr>
              <w:t xml:space="preserve"> : </w:t>
            </w:r>
            <w:r w:rsidRPr="006E615A">
              <w:rPr>
                <w:rFonts w:ascii="Calibri" w:hAnsi="Calibri" w:cs="Calibri"/>
                <w:i/>
                <w:iCs/>
              </w:rPr>
              <w:t>Tous les sciages importés sont classés selon les référentiels des pays d’origine des bois et le marquage de la classe est celui du pays d’où vient le bois. L’acheteur se reporte à la norme NF EN 1912 pour établir la correspondance entre le code de la qualité du bois importé et son besoin spécifique en résistance mécanique.</w:t>
            </w:r>
          </w:p>
          <w:p w:rsidR="004776C1" w:rsidRDefault="004776C1" w:rsidP="006E615A">
            <w:pPr>
              <w:spacing w:after="0" w:line="240" w:lineRule="auto"/>
              <w:rPr>
                <w:rFonts w:ascii="Calibri" w:hAnsi="Calibri" w:cs="Calibri"/>
              </w:rPr>
            </w:pPr>
            <w:r w:rsidRPr="006E615A">
              <w:rPr>
                <w:rFonts w:ascii="Calibri" w:hAnsi="Calibri" w:cs="Calibri"/>
                <w:sz w:val="24"/>
                <w:szCs w:val="24"/>
              </w:rPr>
              <w:t>Il s'applique aux essences suivantes :</w:t>
            </w:r>
            <w:r w:rsidRPr="006E615A">
              <w:rPr>
                <w:rFonts w:ascii="Calibri" w:hAnsi="Calibri" w:cs="Calibri"/>
                <w:sz w:val="24"/>
                <w:szCs w:val="24"/>
              </w:rPr>
              <w:br/>
              <w:t>— Douglas (Pseudotsuga menziesii Franco) ;</w:t>
            </w:r>
            <w:r w:rsidRPr="006E615A">
              <w:rPr>
                <w:rFonts w:ascii="Calibri" w:hAnsi="Calibri" w:cs="Calibri"/>
                <w:sz w:val="24"/>
                <w:szCs w:val="24"/>
              </w:rPr>
              <w:br/>
              <w:t>— Pins sylvestre, noir, laricio, et maritime (Pinus sylvestris, nigra, pinaster) ;</w:t>
            </w:r>
            <w:r w:rsidRPr="006E615A">
              <w:rPr>
                <w:rFonts w:ascii="Calibri" w:hAnsi="Calibri" w:cs="Calibri"/>
                <w:sz w:val="24"/>
                <w:szCs w:val="24"/>
              </w:rPr>
              <w:br/>
              <w:t>— Mélèze (Larix decidua Miller) ;</w:t>
            </w:r>
            <w:r w:rsidRPr="006E615A">
              <w:rPr>
                <w:rFonts w:ascii="Calibri" w:hAnsi="Calibri" w:cs="Calibri"/>
                <w:sz w:val="24"/>
                <w:szCs w:val="24"/>
              </w:rPr>
              <w:br/>
              <w:t>— Sapin et épicéa ( Abies alba – Picea abies) ;</w:t>
            </w:r>
            <w:r w:rsidRPr="006E615A">
              <w:rPr>
                <w:rFonts w:ascii="Calibri" w:hAnsi="Calibri" w:cs="Calibri"/>
                <w:sz w:val="24"/>
                <w:szCs w:val="24"/>
              </w:rPr>
              <w:br/>
              <w:t>— Hêtre ( Fagus sylvatica).</w:t>
            </w:r>
            <w:r w:rsidRPr="006E615A">
              <w:rPr>
                <w:rFonts w:ascii="Calibri" w:hAnsi="Calibri" w:cs="Calibri"/>
                <w:sz w:val="24"/>
                <w:szCs w:val="24"/>
              </w:rPr>
              <w:br/>
              <w:t>Le présent document comporte une annexe.</w:t>
            </w:r>
            <w:r w:rsidRPr="006E615A">
              <w:rPr>
                <w:rFonts w:ascii="Calibri" w:hAnsi="Calibri" w:cs="Calibri"/>
                <w:sz w:val="24"/>
                <w:szCs w:val="24"/>
              </w:rPr>
              <w:br/>
              <w:t>L’Annexe A (normative) précise la correspondance entre les catégories de classement visuel selon la résistance mécanique et les classes de résistance.</w:t>
            </w:r>
          </w:p>
        </w:tc>
      </w:tr>
      <w:tr w:rsidR="004776C1" w:rsidRPr="0043547B" w:rsidTr="007B2835">
        <w:trPr>
          <w:trHeight w:val="382"/>
          <w:jc w:val="center"/>
        </w:trPr>
        <w:tc>
          <w:tcPr>
            <w:tcW w:w="1838" w:type="dxa"/>
            <w:tcBorders>
              <w:top w:val="nil"/>
              <w:left w:val="single" w:sz="18" w:space="0" w:color="auto"/>
              <w:bottom w:val="single" w:sz="18" w:space="0" w:color="auto"/>
              <w:right w:val="single" w:sz="4" w:space="0" w:color="auto"/>
            </w:tcBorders>
            <w:shd w:val="clear" w:color="auto" w:fill="9BBB59" w:themeFill="accent3"/>
            <w:vAlign w:val="center"/>
          </w:tcPr>
          <w:p w:rsidR="004776C1" w:rsidRPr="00A40889" w:rsidRDefault="004776C1" w:rsidP="00B60E10">
            <w:pPr>
              <w:spacing w:after="0" w:line="240" w:lineRule="auto"/>
              <w:jc w:val="center"/>
              <w:rPr>
                <w:rFonts w:cstheme="minorHAnsi"/>
                <w:b/>
                <w:bCs/>
                <w:sz w:val="24"/>
                <w:szCs w:val="24"/>
              </w:rPr>
            </w:pPr>
            <w:r w:rsidRPr="00A40889">
              <w:rPr>
                <w:rFonts w:cstheme="minorHAnsi"/>
                <w:b/>
                <w:bCs/>
                <w:sz w:val="24"/>
                <w:szCs w:val="24"/>
              </w:rPr>
              <w:t>Code :</w:t>
            </w:r>
          </w:p>
        </w:tc>
        <w:tc>
          <w:tcPr>
            <w:tcW w:w="7938" w:type="dxa"/>
            <w:tcBorders>
              <w:left w:val="single" w:sz="4" w:space="0" w:color="auto"/>
              <w:bottom w:val="single" w:sz="18" w:space="0" w:color="auto"/>
              <w:right w:val="single" w:sz="18" w:space="0" w:color="auto"/>
            </w:tcBorders>
            <w:shd w:val="clear" w:color="auto" w:fill="9BBB59" w:themeFill="accent3"/>
          </w:tcPr>
          <w:p w:rsidR="004776C1" w:rsidRPr="002F2F5F" w:rsidRDefault="004776C1" w:rsidP="00B60E10">
            <w:pPr>
              <w:spacing w:after="0" w:line="240" w:lineRule="auto"/>
              <w:jc w:val="center"/>
              <w:rPr>
                <w:rFonts w:cstheme="minorHAnsi"/>
                <w:b/>
                <w:bCs/>
                <w:sz w:val="24"/>
                <w:szCs w:val="24"/>
              </w:rPr>
            </w:pPr>
            <w:r w:rsidRPr="002F2F5F">
              <w:rPr>
                <w:rFonts w:cstheme="minorHAnsi"/>
                <w:b/>
                <w:bCs/>
                <w:sz w:val="24"/>
                <w:szCs w:val="24"/>
              </w:rPr>
              <w:t xml:space="preserve">NM EN 338 </w:t>
            </w:r>
          </w:p>
        </w:tc>
      </w:tr>
      <w:tr w:rsidR="004776C1" w:rsidRPr="0043547B" w:rsidTr="00A40889">
        <w:trPr>
          <w:trHeight w:val="376"/>
          <w:jc w:val="center"/>
        </w:trPr>
        <w:tc>
          <w:tcPr>
            <w:tcW w:w="1838" w:type="dxa"/>
            <w:tcBorders>
              <w:top w:val="nil"/>
              <w:left w:val="single" w:sz="18" w:space="0" w:color="auto"/>
              <w:bottom w:val="single" w:sz="18" w:space="0" w:color="auto"/>
              <w:right w:val="single" w:sz="4" w:space="0" w:color="auto"/>
            </w:tcBorders>
            <w:shd w:val="clear" w:color="auto" w:fill="FFFF99"/>
            <w:vAlign w:val="center"/>
          </w:tcPr>
          <w:p w:rsidR="004776C1" w:rsidRDefault="004776C1" w:rsidP="00B60E10">
            <w:pPr>
              <w:spacing w:after="0" w:line="240" w:lineRule="auto"/>
              <w:jc w:val="center"/>
              <w:rPr>
                <w:rFonts w:ascii="Calibri" w:hAnsi="Calibri" w:cs="Calibri"/>
                <w:b/>
                <w:bCs/>
                <w:color w:val="000000"/>
                <w:sz w:val="24"/>
                <w:szCs w:val="24"/>
              </w:rPr>
            </w:pPr>
            <w:r w:rsidRPr="00A40889">
              <w:rPr>
                <w:rFonts w:cstheme="minorHAnsi"/>
                <w:b/>
                <w:bCs/>
                <w:sz w:val="24"/>
                <w:szCs w:val="24"/>
              </w:rPr>
              <w:t>Equivalence :</w:t>
            </w:r>
          </w:p>
        </w:tc>
        <w:tc>
          <w:tcPr>
            <w:tcW w:w="7938" w:type="dxa"/>
            <w:tcBorders>
              <w:left w:val="single" w:sz="4" w:space="0" w:color="auto"/>
              <w:bottom w:val="single" w:sz="18" w:space="0" w:color="auto"/>
              <w:right w:val="single" w:sz="18" w:space="0" w:color="auto"/>
            </w:tcBorders>
            <w:shd w:val="clear" w:color="auto" w:fill="FFFF99"/>
            <w:vAlign w:val="center"/>
          </w:tcPr>
          <w:p w:rsidR="004776C1" w:rsidRPr="002F2F5F" w:rsidRDefault="004776C1" w:rsidP="00B60E10">
            <w:pPr>
              <w:spacing w:after="0" w:line="240" w:lineRule="auto"/>
              <w:jc w:val="center"/>
              <w:rPr>
                <w:rFonts w:cstheme="minorHAnsi"/>
                <w:b/>
                <w:bCs/>
                <w:sz w:val="24"/>
                <w:szCs w:val="24"/>
              </w:rPr>
            </w:pPr>
            <w:r w:rsidRPr="002F2F5F">
              <w:rPr>
                <w:rFonts w:cstheme="minorHAnsi"/>
                <w:b/>
                <w:bCs/>
                <w:sz w:val="24"/>
                <w:szCs w:val="24"/>
              </w:rPr>
              <w:t xml:space="preserve">EN 338 </w:t>
            </w:r>
          </w:p>
        </w:tc>
      </w:tr>
      <w:tr w:rsidR="004776C1" w:rsidRPr="0043547B" w:rsidTr="0003675E">
        <w:trPr>
          <w:trHeight w:val="252"/>
          <w:jc w:val="center"/>
        </w:trPr>
        <w:tc>
          <w:tcPr>
            <w:tcW w:w="1838" w:type="dxa"/>
            <w:tcBorders>
              <w:top w:val="nil"/>
              <w:left w:val="single" w:sz="18" w:space="0" w:color="auto"/>
              <w:bottom w:val="single" w:sz="18" w:space="0" w:color="auto"/>
              <w:right w:val="single" w:sz="4" w:space="0" w:color="auto"/>
            </w:tcBorders>
            <w:shd w:val="clear" w:color="auto" w:fill="95B3D7" w:themeFill="accent1" w:themeFillTint="99"/>
            <w:vAlign w:val="center"/>
          </w:tcPr>
          <w:p w:rsidR="004776C1" w:rsidRDefault="004776C1" w:rsidP="00B60E10">
            <w:pPr>
              <w:spacing w:after="0" w:line="240" w:lineRule="auto"/>
              <w:jc w:val="center"/>
              <w:rPr>
                <w:rFonts w:ascii="Calibri" w:hAnsi="Calibri" w:cs="Calibri"/>
                <w:b/>
                <w:bCs/>
                <w:color w:val="000000"/>
                <w:sz w:val="24"/>
                <w:szCs w:val="24"/>
              </w:rPr>
            </w:pPr>
            <w:r w:rsidRPr="00A40889">
              <w:rPr>
                <w:rFonts w:cstheme="minorHAnsi"/>
                <w:b/>
                <w:bCs/>
                <w:sz w:val="24"/>
                <w:szCs w:val="24"/>
              </w:rPr>
              <w:t>Intitulé :</w:t>
            </w:r>
          </w:p>
        </w:tc>
        <w:tc>
          <w:tcPr>
            <w:tcW w:w="7938" w:type="dxa"/>
            <w:tcBorders>
              <w:left w:val="single" w:sz="4" w:space="0" w:color="auto"/>
              <w:bottom w:val="single" w:sz="18" w:space="0" w:color="auto"/>
              <w:right w:val="single" w:sz="18" w:space="0" w:color="auto"/>
            </w:tcBorders>
            <w:shd w:val="clear" w:color="auto" w:fill="auto"/>
          </w:tcPr>
          <w:p w:rsidR="004776C1" w:rsidRPr="006E615A" w:rsidRDefault="004776C1" w:rsidP="006E615A">
            <w:pPr>
              <w:spacing w:after="0" w:line="240" w:lineRule="auto"/>
              <w:jc w:val="both"/>
              <w:rPr>
                <w:rFonts w:ascii="Calibri" w:hAnsi="Calibri" w:cs="Calibri"/>
                <w:sz w:val="24"/>
                <w:szCs w:val="24"/>
              </w:rPr>
            </w:pPr>
            <w:r w:rsidRPr="006E615A">
              <w:rPr>
                <w:rFonts w:ascii="Calibri" w:hAnsi="Calibri" w:cs="Calibri"/>
                <w:sz w:val="24"/>
                <w:szCs w:val="24"/>
              </w:rPr>
              <w:t>Bois de structure - Classes de résistance</w:t>
            </w:r>
          </w:p>
        </w:tc>
      </w:tr>
      <w:tr w:rsidR="004776C1" w:rsidRPr="0043547B" w:rsidTr="0086084D">
        <w:trPr>
          <w:trHeight w:val="2037"/>
          <w:jc w:val="center"/>
        </w:trPr>
        <w:tc>
          <w:tcPr>
            <w:tcW w:w="1838" w:type="dxa"/>
            <w:tcBorders>
              <w:top w:val="nil"/>
              <w:left w:val="single" w:sz="18" w:space="0" w:color="auto"/>
              <w:bottom w:val="single" w:sz="18" w:space="0" w:color="auto"/>
              <w:right w:val="single" w:sz="4" w:space="0" w:color="auto"/>
            </w:tcBorders>
            <w:shd w:val="clear" w:color="000000" w:fill="D9D9D9"/>
            <w:vAlign w:val="center"/>
          </w:tcPr>
          <w:p w:rsidR="004776C1" w:rsidRDefault="004776C1" w:rsidP="00B60E10">
            <w:pPr>
              <w:spacing w:after="0" w:line="240" w:lineRule="auto"/>
              <w:jc w:val="center"/>
              <w:rPr>
                <w:rFonts w:ascii="Calibri" w:hAnsi="Calibri" w:cs="Calibri"/>
                <w:b/>
                <w:bCs/>
                <w:color w:val="000000"/>
                <w:sz w:val="24"/>
                <w:szCs w:val="24"/>
              </w:rPr>
            </w:pPr>
            <w:r>
              <w:rPr>
                <w:rFonts w:ascii="Calibri" w:hAnsi="Calibri" w:cstheme="minorHAnsi"/>
                <w:b/>
                <w:bCs/>
                <w:color w:val="000000"/>
              </w:rPr>
              <w:t>Domaine d’application :</w:t>
            </w:r>
          </w:p>
        </w:tc>
        <w:tc>
          <w:tcPr>
            <w:tcW w:w="7938" w:type="dxa"/>
            <w:tcBorders>
              <w:left w:val="single" w:sz="4" w:space="0" w:color="auto"/>
              <w:bottom w:val="single" w:sz="18" w:space="0" w:color="auto"/>
              <w:right w:val="single" w:sz="18" w:space="0" w:color="auto"/>
            </w:tcBorders>
            <w:shd w:val="clear" w:color="auto" w:fill="FFFFFF" w:themeFill="background1"/>
          </w:tcPr>
          <w:p w:rsidR="006E615A" w:rsidRDefault="004776C1" w:rsidP="006E615A">
            <w:pPr>
              <w:spacing w:after="0" w:line="240" w:lineRule="auto"/>
              <w:jc w:val="both"/>
              <w:rPr>
                <w:rFonts w:ascii="Calibri" w:hAnsi="Calibri" w:cs="Calibri"/>
                <w:sz w:val="24"/>
                <w:szCs w:val="24"/>
              </w:rPr>
            </w:pPr>
            <w:r w:rsidRPr="006E615A">
              <w:rPr>
                <w:rFonts w:ascii="Calibri" w:hAnsi="Calibri" w:cs="Calibri"/>
                <w:sz w:val="24"/>
                <w:szCs w:val="24"/>
              </w:rPr>
              <w:t>La présente Norme européenne établit un système de classes de résistance d'utilisation générale pour les codes de calcul de structures.</w:t>
            </w:r>
          </w:p>
          <w:p w:rsidR="006E615A" w:rsidRDefault="004776C1" w:rsidP="006E615A">
            <w:pPr>
              <w:spacing w:after="0" w:line="240" w:lineRule="auto"/>
              <w:jc w:val="both"/>
              <w:rPr>
                <w:rFonts w:ascii="Calibri" w:hAnsi="Calibri" w:cs="Calibri"/>
                <w:sz w:val="24"/>
                <w:szCs w:val="24"/>
              </w:rPr>
            </w:pPr>
            <w:r w:rsidRPr="006E615A">
              <w:rPr>
                <w:rFonts w:ascii="Calibri" w:hAnsi="Calibri" w:cs="Calibri"/>
                <w:sz w:val="24"/>
                <w:szCs w:val="24"/>
              </w:rPr>
              <w:t>Elle donne, pour chaque classe référencée dans l'EN 14081-1, les valeurs caractéristiques des propriétés de résistance et de rigidité, et les valeurs de masse volumique.</w:t>
            </w:r>
          </w:p>
          <w:p w:rsidR="004776C1" w:rsidRPr="006E615A" w:rsidRDefault="004776C1" w:rsidP="006E615A">
            <w:pPr>
              <w:spacing w:after="0" w:line="240" w:lineRule="auto"/>
              <w:jc w:val="both"/>
              <w:rPr>
                <w:rFonts w:ascii="Calibri" w:hAnsi="Calibri" w:cs="Calibri"/>
                <w:sz w:val="24"/>
                <w:szCs w:val="24"/>
              </w:rPr>
            </w:pPr>
            <w:r w:rsidRPr="006E615A">
              <w:rPr>
                <w:rFonts w:ascii="Calibri" w:hAnsi="Calibri" w:cs="Calibri"/>
                <w:sz w:val="24"/>
                <w:szCs w:val="24"/>
              </w:rPr>
              <w:t>La présente norme s'applique à tous les bois résineux et feuillus à usage structurel, selon le domaine d’application de la norme EN 14081-1.</w:t>
            </w:r>
          </w:p>
        </w:tc>
      </w:tr>
      <w:tr w:rsidR="004776C1" w:rsidRPr="0043547B" w:rsidTr="007B2835">
        <w:trPr>
          <w:trHeight w:val="270"/>
          <w:jc w:val="center"/>
        </w:trPr>
        <w:tc>
          <w:tcPr>
            <w:tcW w:w="1838" w:type="dxa"/>
            <w:tcBorders>
              <w:top w:val="nil"/>
              <w:left w:val="single" w:sz="18" w:space="0" w:color="auto"/>
              <w:bottom w:val="single" w:sz="18" w:space="0" w:color="auto"/>
              <w:right w:val="single" w:sz="4" w:space="0" w:color="auto"/>
            </w:tcBorders>
            <w:shd w:val="clear" w:color="auto" w:fill="9BBB59" w:themeFill="accent3"/>
            <w:vAlign w:val="center"/>
          </w:tcPr>
          <w:p w:rsidR="004776C1" w:rsidRPr="00796DFF" w:rsidRDefault="004776C1" w:rsidP="00B60E10">
            <w:pPr>
              <w:spacing w:after="0" w:line="240" w:lineRule="auto"/>
              <w:jc w:val="center"/>
              <w:rPr>
                <w:rFonts w:cstheme="minorHAnsi"/>
                <w:b/>
                <w:bCs/>
                <w:sz w:val="24"/>
                <w:szCs w:val="24"/>
              </w:rPr>
            </w:pPr>
            <w:r w:rsidRPr="00796DFF">
              <w:rPr>
                <w:rFonts w:cstheme="minorHAnsi"/>
                <w:b/>
                <w:bCs/>
                <w:sz w:val="24"/>
                <w:szCs w:val="24"/>
              </w:rPr>
              <w:t>Code :</w:t>
            </w:r>
          </w:p>
        </w:tc>
        <w:tc>
          <w:tcPr>
            <w:tcW w:w="7938" w:type="dxa"/>
            <w:tcBorders>
              <w:left w:val="single" w:sz="4" w:space="0" w:color="auto"/>
              <w:bottom w:val="single" w:sz="18" w:space="0" w:color="auto"/>
              <w:right w:val="single" w:sz="18" w:space="0" w:color="auto"/>
            </w:tcBorders>
            <w:shd w:val="clear" w:color="auto" w:fill="9BBB59" w:themeFill="accent3"/>
          </w:tcPr>
          <w:p w:rsidR="004776C1" w:rsidRPr="00796DFF" w:rsidRDefault="004776C1" w:rsidP="00B60E10">
            <w:pPr>
              <w:spacing w:after="0" w:line="240" w:lineRule="auto"/>
              <w:jc w:val="center"/>
              <w:rPr>
                <w:rFonts w:eastAsia="Times New Roman" w:cstheme="minorHAnsi"/>
                <w:b/>
                <w:bCs/>
                <w:sz w:val="24"/>
                <w:szCs w:val="24"/>
                <w:lang w:eastAsia="fr-FR"/>
              </w:rPr>
            </w:pPr>
            <w:r w:rsidRPr="00796DFF">
              <w:rPr>
                <w:rFonts w:eastAsia="Times New Roman" w:cstheme="minorHAnsi"/>
                <w:b/>
                <w:bCs/>
                <w:sz w:val="24"/>
                <w:szCs w:val="24"/>
                <w:lang w:eastAsia="fr-FR"/>
              </w:rPr>
              <w:t>NM EN 15497</w:t>
            </w:r>
          </w:p>
        </w:tc>
      </w:tr>
      <w:tr w:rsidR="004776C1" w:rsidRPr="0043547B" w:rsidTr="00D43B34">
        <w:trPr>
          <w:trHeight w:val="312"/>
          <w:jc w:val="center"/>
        </w:trPr>
        <w:tc>
          <w:tcPr>
            <w:tcW w:w="1838" w:type="dxa"/>
            <w:tcBorders>
              <w:top w:val="nil"/>
              <w:left w:val="single" w:sz="18" w:space="0" w:color="auto"/>
              <w:bottom w:val="single" w:sz="18" w:space="0" w:color="auto"/>
              <w:right w:val="single" w:sz="4" w:space="0" w:color="auto"/>
            </w:tcBorders>
            <w:shd w:val="clear" w:color="auto" w:fill="FFFF99"/>
            <w:vAlign w:val="center"/>
          </w:tcPr>
          <w:p w:rsidR="004776C1" w:rsidRPr="00796DFF" w:rsidRDefault="004776C1" w:rsidP="00B60E10">
            <w:pPr>
              <w:spacing w:after="0" w:line="240" w:lineRule="auto"/>
              <w:jc w:val="center"/>
              <w:rPr>
                <w:rFonts w:cstheme="minorHAnsi"/>
                <w:b/>
                <w:bCs/>
                <w:sz w:val="24"/>
                <w:szCs w:val="24"/>
              </w:rPr>
            </w:pPr>
            <w:r w:rsidRPr="00796DFF">
              <w:rPr>
                <w:rFonts w:cstheme="minorHAnsi"/>
                <w:b/>
                <w:bCs/>
                <w:sz w:val="24"/>
                <w:szCs w:val="24"/>
              </w:rPr>
              <w:t>Equivalence :</w:t>
            </w:r>
          </w:p>
        </w:tc>
        <w:tc>
          <w:tcPr>
            <w:tcW w:w="7938" w:type="dxa"/>
            <w:tcBorders>
              <w:left w:val="single" w:sz="4" w:space="0" w:color="auto"/>
              <w:bottom w:val="single" w:sz="18" w:space="0" w:color="auto"/>
              <w:right w:val="single" w:sz="18" w:space="0" w:color="auto"/>
            </w:tcBorders>
            <w:shd w:val="clear" w:color="auto" w:fill="FFFF99"/>
            <w:vAlign w:val="center"/>
          </w:tcPr>
          <w:p w:rsidR="004776C1" w:rsidRPr="002F2F5F" w:rsidRDefault="004776C1" w:rsidP="00B60E10">
            <w:pPr>
              <w:spacing w:after="0" w:line="240" w:lineRule="auto"/>
              <w:jc w:val="center"/>
              <w:rPr>
                <w:rFonts w:cstheme="minorHAnsi"/>
                <w:b/>
                <w:bCs/>
                <w:sz w:val="24"/>
                <w:szCs w:val="24"/>
              </w:rPr>
            </w:pPr>
            <w:r w:rsidRPr="002F2F5F">
              <w:rPr>
                <w:rFonts w:cstheme="minorHAnsi"/>
                <w:b/>
                <w:bCs/>
                <w:sz w:val="24"/>
                <w:szCs w:val="24"/>
              </w:rPr>
              <w:t>EN 15497</w:t>
            </w:r>
          </w:p>
        </w:tc>
      </w:tr>
      <w:tr w:rsidR="004776C1" w:rsidRPr="0043547B" w:rsidTr="0003675E">
        <w:trPr>
          <w:trHeight w:val="603"/>
          <w:jc w:val="center"/>
        </w:trPr>
        <w:tc>
          <w:tcPr>
            <w:tcW w:w="1838" w:type="dxa"/>
            <w:tcBorders>
              <w:top w:val="nil"/>
              <w:left w:val="single" w:sz="18" w:space="0" w:color="auto"/>
              <w:bottom w:val="single" w:sz="18" w:space="0" w:color="auto"/>
              <w:right w:val="single" w:sz="4" w:space="0" w:color="auto"/>
            </w:tcBorders>
            <w:shd w:val="clear" w:color="auto" w:fill="95B3D7" w:themeFill="accent1" w:themeFillTint="99"/>
            <w:vAlign w:val="center"/>
          </w:tcPr>
          <w:p w:rsidR="004776C1" w:rsidRPr="00796DFF" w:rsidRDefault="004776C1" w:rsidP="00B60E10">
            <w:pPr>
              <w:spacing w:after="0" w:line="240" w:lineRule="auto"/>
              <w:jc w:val="center"/>
              <w:rPr>
                <w:rFonts w:cstheme="minorHAnsi"/>
                <w:b/>
                <w:bCs/>
                <w:sz w:val="24"/>
                <w:szCs w:val="24"/>
              </w:rPr>
            </w:pPr>
            <w:r w:rsidRPr="00796DFF">
              <w:rPr>
                <w:rFonts w:cstheme="minorHAnsi"/>
                <w:b/>
                <w:bCs/>
                <w:sz w:val="24"/>
                <w:szCs w:val="24"/>
              </w:rPr>
              <w:t>Intitulé :</w:t>
            </w:r>
          </w:p>
        </w:tc>
        <w:tc>
          <w:tcPr>
            <w:tcW w:w="7938" w:type="dxa"/>
            <w:tcBorders>
              <w:left w:val="single" w:sz="4" w:space="0" w:color="auto"/>
              <w:bottom w:val="single" w:sz="18" w:space="0" w:color="auto"/>
              <w:right w:val="single" w:sz="18" w:space="0" w:color="auto"/>
            </w:tcBorders>
            <w:shd w:val="clear" w:color="auto" w:fill="auto"/>
          </w:tcPr>
          <w:p w:rsidR="004776C1" w:rsidRPr="00796DFF" w:rsidRDefault="004776C1" w:rsidP="00B60E10">
            <w:pPr>
              <w:spacing w:after="0" w:line="240" w:lineRule="auto"/>
              <w:jc w:val="both"/>
              <w:rPr>
                <w:rFonts w:cstheme="minorHAnsi"/>
                <w:sz w:val="24"/>
                <w:szCs w:val="24"/>
              </w:rPr>
            </w:pPr>
            <w:r w:rsidRPr="00796DFF">
              <w:rPr>
                <w:rFonts w:cstheme="minorHAnsi"/>
                <w:sz w:val="24"/>
                <w:szCs w:val="24"/>
              </w:rPr>
              <w:t xml:space="preserve">Bois massif de structure à entures multiples - Exigences de performances et exigences minimales de fabrication </w:t>
            </w:r>
          </w:p>
        </w:tc>
      </w:tr>
      <w:tr w:rsidR="004776C1" w:rsidRPr="0043547B" w:rsidTr="002D2CB0">
        <w:trPr>
          <w:trHeight w:val="1233"/>
          <w:jc w:val="center"/>
        </w:trPr>
        <w:tc>
          <w:tcPr>
            <w:tcW w:w="1838" w:type="dxa"/>
            <w:tcBorders>
              <w:top w:val="nil"/>
              <w:left w:val="single" w:sz="18" w:space="0" w:color="auto"/>
              <w:bottom w:val="single" w:sz="18" w:space="0" w:color="auto"/>
              <w:right w:val="single" w:sz="4" w:space="0" w:color="auto"/>
            </w:tcBorders>
            <w:shd w:val="clear" w:color="000000" w:fill="D9D9D9"/>
            <w:vAlign w:val="center"/>
          </w:tcPr>
          <w:p w:rsidR="004776C1" w:rsidRDefault="004776C1" w:rsidP="00B60E10">
            <w:pPr>
              <w:spacing w:after="0" w:line="240" w:lineRule="auto"/>
              <w:jc w:val="center"/>
              <w:rPr>
                <w:rFonts w:ascii="Calibri" w:hAnsi="Calibri" w:cs="Calibri"/>
                <w:b/>
                <w:bCs/>
                <w:color w:val="000000"/>
                <w:sz w:val="24"/>
                <w:szCs w:val="24"/>
              </w:rPr>
            </w:pPr>
            <w:r>
              <w:rPr>
                <w:rFonts w:ascii="Calibri" w:hAnsi="Calibri" w:cstheme="minorHAnsi"/>
                <w:b/>
                <w:bCs/>
                <w:color w:val="000000"/>
              </w:rPr>
              <w:lastRenderedPageBreak/>
              <w:t>Domaine d’application :</w:t>
            </w:r>
          </w:p>
        </w:tc>
        <w:tc>
          <w:tcPr>
            <w:tcW w:w="7938" w:type="dxa"/>
            <w:tcBorders>
              <w:left w:val="single" w:sz="4" w:space="0" w:color="auto"/>
              <w:bottom w:val="single" w:sz="18" w:space="0" w:color="auto"/>
              <w:right w:val="single" w:sz="18" w:space="0" w:color="auto"/>
            </w:tcBorders>
            <w:shd w:val="clear" w:color="auto" w:fill="FFFFFF" w:themeFill="background1"/>
          </w:tcPr>
          <w:p w:rsidR="006E615A" w:rsidRDefault="004776C1" w:rsidP="006E615A">
            <w:pPr>
              <w:spacing w:after="0" w:line="240" w:lineRule="auto"/>
              <w:jc w:val="both"/>
              <w:rPr>
                <w:rFonts w:ascii="Calibri" w:hAnsi="Calibri" w:cs="Calibri"/>
                <w:color w:val="000000"/>
                <w:sz w:val="24"/>
                <w:szCs w:val="24"/>
              </w:rPr>
            </w:pPr>
            <w:r w:rsidRPr="006E615A">
              <w:rPr>
                <w:rFonts w:ascii="Calibri" w:hAnsi="Calibri" w:cs="Calibri"/>
                <w:color w:val="000000"/>
                <w:sz w:val="24"/>
                <w:szCs w:val="24"/>
              </w:rPr>
              <w:t>La présente Norme Européenne spécifie les exigences concernant les caractéristiques de performance du bois de structure avec aboutages à entures multiples de section rectangulaire destiné à être utilisé dans les bâtiments et</w:t>
            </w:r>
            <w:r w:rsidRPr="006E615A">
              <w:rPr>
                <w:rFonts w:ascii="Calibri" w:hAnsi="Calibri" w:cs="Calibri"/>
                <w:color w:val="000000"/>
                <w:sz w:val="24"/>
                <w:szCs w:val="24"/>
              </w:rPr>
              <w:br/>
              <w:t>les ponts.</w:t>
            </w:r>
          </w:p>
          <w:p w:rsidR="002D2CB0" w:rsidRDefault="002D2CB0" w:rsidP="002D2CB0">
            <w:pPr>
              <w:spacing w:after="0" w:line="240" w:lineRule="auto"/>
              <w:jc w:val="both"/>
              <w:rPr>
                <w:rFonts w:ascii="Calibri" w:hAnsi="Calibri" w:cs="Calibri"/>
                <w:color w:val="000000"/>
                <w:sz w:val="24"/>
                <w:szCs w:val="24"/>
              </w:rPr>
            </w:pPr>
            <w:r w:rsidRPr="006E615A">
              <w:rPr>
                <w:rFonts w:ascii="Calibri" w:hAnsi="Calibri" w:cs="Calibri"/>
                <w:color w:val="000000"/>
                <w:sz w:val="24"/>
                <w:szCs w:val="24"/>
              </w:rPr>
              <w:t>Dans certains États Membres, l'utilisation de bois de structure avec aboutages à entures multiples peut être limitée à certaines classes de service.</w:t>
            </w:r>
          </w:p>
          <w:p w:rsidR="002D2CB0" w:rsidRDefault="002D2CB0" w:rsidP="002D2CB0">
            <w:pPr>
              <w:spacing w:after="0" w:line="240" w:lineRule="auto"/>
              <w:jc w:val="both"/>
              <w:rPr>
                <w:rFonts w:ascii="Calibri" w:hAnsi="Calibri" w:cs="Calibri"/>
                <w:color w:val="000000"/>
                <w:sz w:val="24"/>
                <w:szCs w:val="24"/>
              </w:rPr>
            </w:pPr>
            <w:r w:rsidRPr="006E615A">
              <w:rPr>
                <w:rFonts w:ascii="Calibri" w:hAnsi="Calibri" w:cs="Calibri"/>
                <w:color w:val="000000"/>
                <w:sz w:val="24"/>
                <w:szCs w:val="24"/>
              </w:rPr>
              <w:t>Elle spécifie également les exigences minimales relatives à la fabrication ainsi que les procédures d'évaluation et de vérification de la constance des performances du bois de structure avec aboutages à entures multiples.</w:t>
            </w:r>
          </w:p>
          <w:p w:rsidR="002D2CB0" w:rsidRDefault="002D2CB0" w:rsidP="002D2CB0">
            <w:pPr>
              <w:spacing w:after="0" w:line="240" w:lineRule="auto"/>
              <w:jc w:val="both"/>
              <w:rPr>
                <w:rFonts w:ascii="Calibri" w:hAnsi="Calibri" w:cs="Calibri"/>
                <w:color w:val="000000"/>
                <w:sz w:val="24"/>
                <w:szCs w:val="24"/>
              </w:rPr>
            </w:pPr>
            <w:r w:rsidRPr="006E615A">
              <w:rPr>
                <w:rFonts w:ascii="Calibri" w:hAnsi="Calibri" w:cs="Calibri"/>
                <w:color w:val="000000"/>
                <w:sz w:val="24"/>
                <w:szCs w:val="24"/>
              </w:rPr>
              <w:t>La présente Norme Européenne s'applique au bois de structure avec aboutages à entures multiples fabriqué à partir des essences de bois de résineux énumérées dans la présente Norme ou de peuplier.</w:t>
            </w:r>
          </w:p>
          <w:p w:rsidR="002D2CB0" w:rsidRPr="002D2CB0" w:rsidRDefault="002D2CB0" w:rsidP="002D2CB0">
            <w:pPr>
              <w:spacing w:after="0" w:line="240" w:lineRule="auto"/>
              <w:jc w:val="both"/>
              <w:rPr>
                <w:rFonts w:ascii="Calibri" w:hAnsi="Calibri" w:cs="Calibri"/>
                <w:i/>
                <w:iCs/>
                <w:color w:val="000000"/>
              </w:rPr>
            </w:pPr>
            <w:r w:rsidRPr="002D2CB0">
              <w:rPr>
                <w:rFonts w:ascii="Calibri" w:hAnsi="Calibri" w:cs="Calibri"/>
                <w:b/>
                <w:bCs/>
                <w:i/>
                <w:iCs/>
                <w:color w:val="000000"/>
              </w:rPr>
              <w:t>NOTE </w:t>
            </w:r>
            <w:r w:rsidRPr="002D2CB0">
              <w:rPr>
                <w:rFonts w:ascii="Calibri" w:hAnsi="Calibri" w:cs="Calibri"/>
                <w:i/>
                <w:iCs/>
                <w:color w:val="000000"/>
              </w:rPr>
              <w:t>: Bien qu'il puisse être possible de fabriquer du bois de structure avec aboutages à entures multiples à partir d'essences de bois feuillus spécifiques en se basant sur certaines</w:t>
            </w:r>
            <w:r>
              <w:rPr>
                <w:rFonts w:ascii="Calibri" w:hAnsi="Calibri" w:cs="Calibri"/>
                <w:i/>
                <w:iCs/>
                <w:color w:val="000000"/>
              </w:rPr>
              <w:t xml:space="preserve"> </w:t>
            </w:r>
            <w:r w:rsidRPr="002D2CB0">
              <w:rPr>
                <w:rFonts w:ascii="Calibri" w:hAnsi="Calibri" w:cs="Calibri"/>
                <w:i/>
                <w:iCs/>
                <w:color w:val="000000"/>
              </w:rPr>
              <w:t>exigences</w:t>
            </w:r>
            <w:r>
              <w:rPr>
                <w:rFonts w:ascii="Calibri" w:hAnsi="Calibri" w:cs="Calibri"/>
                <w:i/>
                <w:iCs/>
                <w:color w:val="000000"/>
              </w:rPr>
              <w:t xml:space="preserve"> </w:t>
            </w:r>
            <w:r w:rsidRPr="002D2CB0">
              <w:rPr>
                <w:rFonts w:ascii="Calibri" w:hAnsi="Calibri" w:cs="Calibri"/>
                <w:i/>
                <w:iCs/>
                <w:color w:val="000000"/>
              </w:rPr>
              <w:t>de la présente Norme Européenne, celle-ci ne</w:t>
            </w:r>
            <w:r>
              <w:rPr>
                <w:rFonts w:ascii="Calibri" w:hAnsi="Calibri" w:cs="Calibri"/>
                <w:i/>
                <w:iCs/>
                <w:color w:val="000000"/>
              </w:rPr>
              <w:t xml:space="preserve"> </w:t>
            </w:r>
            <w:r w:rsidRPr="002D2CB0">
              <w:rPr>
                <w:rFonts w:ascii="Calibri" w:hAnsi="Calibri" w:cs="Calibri"/>
                <w:i/>
                <w:iCs/>
                <w:color w:val="000000"/>
              </w:rPr>
              <w:t>s'applique pas à ces produits.</w:t>
            </w:r>
          </w:p>
          <w:p w:rsidR="002D2CB0" w:rsidRDefault="002D2CB0" w:rsidP="002D2CB0">
            <w:pPr>
              <w:spacing w:after="0" w:line="240" w:lineRule="auto"/>
              <w:jc w:val="both"/>
              <w:rPr>
                <w:rFonts w:ascii="Calibri" w:hAnsi="Calibri" w:cs="Calibri"/>
                <w:color w:val="000000"/>
                <w:sz w:val="24"/>
                <w:szCs w:val="24"/>
              </w:rPr>
            </w:pPr>
            <w:r w:rsidRPr="006E615A">
              <w:rPr>
                <w:rFonts w:ascii="Calibri" w:hAnsi="Calibri" w:cs="Calibri"/>
                <w:color w:val="000000"/>
                <w:sz w:val="24"/>
                <w:szCs w:val="24"/>
              </w:rPr>
              <w:t>La présente Norme Européenne s'applique uniquement aux aboutages à entures multiples entre des profilés en bois de même essence.</w:t>
            </w:r>
          </w:p>
          <w:p w:rsidR="002D2CB0" w:rsidRDefault="002D2CB0" w:rsidP="002D2CB0">
            <w:pPr>
              <w:spacing w:after="0" w:line="240" w:lineRule="auto"/>
              <w:jc w:val="both"/>
              <w:rPr>
                <w:rFonts w:ascii="Calibri" w:hAnsi="Calibri" w:cs="Calibri"/>
                <w:color w:val="000000"/>
                <w:sz w:val="24"/>
                <w:szCs w:val="24"/>
              </w:rPr>
            </w:pPr>
            <w:r w:rsidRPr="006E615A">
              <w:rPr>
                <w:rFonts w:ascii="Calibri" w:hAnsi="Calibri" w:cs="Calibri"/>
                <w:color w:val="000000"/>
                <w:sz w:val="24"/>
                <w:szCs w:val="24"/>
              </w:rPr>
              <w:t>La présente Norme Européenne ne traite pas des aboutages emboutis.</w:t>
            </w:r>
          </w:p>
          <w:p w:rsidR="004776C1" w:rsidRDefault="002D2CB0" w:rsidP="002D2CB0">
            <w:pPr>
              <w:spacing w:after="0" w:line="240" w:lineRule="auto"/>
              <w:jc w:val="both"/>
              <w:rPr>
                <w:rFonts w:ascii="Calibri" w:hAnsi="Calibri" w:cs="Calibri"/>
                <w:color w:val="000000"/>
              </w:rPr>
            </w:pPr>
            <w:r w:rsidRPr="006E615A">
              <w:rPr>
                <w:rFonts w:ascii="Calibri" w:hAnsi="Calibri" w:cs="Calibri"/>
                <w:color w:val="000000"/>
                <w:sz w:val="24"/>
                <w:szCs w:val="24"/>
              </w:rPr>
              <w:t>La présente Norme Européenne s'applique au bois de structure avec aboutages à entures multiples non traité ou traité contre les attaques biologiques. Le bois de structure avec aboutages à entures multiples traité par des produits</w:t>
            </w:r>
            <w:r w:rsidRPr="006E615A">
              <w:rPr>
                <w:rFonts w:ascii="Calibri" w:hAnsi="Calibri" w:cs="Calibri"/>
                <w:color w:val="000000"/>
                <w:sz w:val="24"/>
                <w:szCs w:val="24"/>
              </w:rPr>
              <w:br/>
              <w:t>ignifuges n'est pas couvert.</w:t>
            </w:r>
          </w:p>
        </w:tc>
      </w:tr>
      <w:tr w:rsidR="0043547B" w:rsidRPr="0043547B" w:rsidTr="007B2835">
        <w:trPr>
          <w:trHeight w:val="115"/>
          <w:jc w:val="center"/>
        </w:trPr>
        <w:tc>
          <w:tcPr>
            <w:tcW w:w="1838" w:type="dxa"/>
            <w:tcBorders>
              <w:top w:val="single" w:sz="18" w:space="0" w:color="auto"/>
              <w:left w:val="single" w:sz="18" w:space="0" w:color="auto"/>
              <w:bottom w:val="single" w:sz="18" w:space="0" w:color="auto"/>
              <w:right w:val="single" w:sz="4" w:space="0" w:color="auto"/>
            </w:tcBorders>
            <w:shd w:val="clear" w:color="auto" w:fill="9BBB59" w:themeFill="accent3"/>
            <w:vAlign w:val="center"/>
            <w:hideMark/>
          </w:tcPr>
          <w:p w:rsidR="00904E52" w:rsidRPr="0043547B" w:rsidRDefault="00904E52" w:rsidP="00B60E10">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9BBB59" w:themeFill="accent3"/>
            <w:vAlign w:val="center"/>
            <w:hideMark/>
          </w:tcPr>
          <w:p w:rsidR="00904E52" w:rsidRPr="0043547B" w:rsidRDefault="00904E52" w:rsidP="00B60E10">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14545</w:t>
            </w:r>
          </w:p>
        </w:tc>
      </w:tr>
      <w:tr w:rsidR="0043547B" w:rsidRPr="0043547B" w:rsidTr="00CB5DC0">
        <w:trPr>
          <w:trHeight w:val="218"/>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B60E10">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904E52" w:rsidRPr="0043547B" w:rsidRDefault="00904E52" w:rsidP="00B60E10">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14545</w:t>
            </w:r>
          </w:p>
        </w:tc>
      </w:tr>
      <w:tr w:rsidR="0043547B" w:rsidRPr="0043547B" w:rsidTr="0003675E">
        <w:trPr>
          <w:trHeight w:val="330"/>
          <w:jc w:val="center"/>
        </w:trPr>
        <w:tc>
          <w:tcPr>
            <w:tcW w:w="1838" w:type="dxa"/>
            <w:tcBorders>
              <w:top w:val="nil"/>
              <w:left w:val="single" w:sz="18" w:space="0" w:color="auto"/>
              <w:bottom w:val="single" w:sz="4" w:space="0" w:color="auto"/>
              <w:right w:val="single" w:sz="4" w:space="0" w:color="auto"/>
            </w:tcBorders>
            <w:shd w:val="clear" w:color="auto" w:fill="95B3D7" w:themeFill="accent1" w:themeFillTint="99"/>
            <w:vAlign w:val="center"/>
            <w:hideMark/>
          </w:tcPr>
          <w:p w:rsidR="00904E52" w:rsidRPr="0043547B" w:rsidRDefault="00904E52" w:rsidP="00B60E10">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vAlign w:val="center"/>
            <w:hideMark/>
          </w:tcPr>
          <w:p w:rsidR="00904E52" w:rsidRPr="0043547B" w:rsidRDefault="00904E52" w:rsidP="00B60E10">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Structures en bois - Connecteurs – Exigences ;  </w:t>
            </w:r>
          </w:p>
        </w:tc>
      </w:tr>
      <w:tr w:rsidR="0043547B" w:rsidRPr="0043547B" w:rsidTr="00CB5DC0">
        <w:trPr>
          <w:trHeight w:val="2315"/>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B60E10">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FFFFFF" w:themeFill="background1"/>
            <w:vAlign w:val="center"/>
            <w:hideMark/>
          </w:tcPr>
          <w:p w:rsidR="004F78F6" w:rsidRPr="0043547B" w:rsidRDefault="00904E52" w:rsidP="00B60E10">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exigences et méthodes d’essai concernant les matériaux, la géométrie, la résistance, la rigidité la durabilité (par exemple protection contre la corrosion) des connecteurs utilisés dans des structures porteuses en bois.</w:t>
            </w:r>
          </w:p>
          <w:p w:rsidR="004F78F6" w:rsidRPr="0043547B" w:rsidRDefault="00904E52" w:rsidP="00B60E10">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Seuls les connecteurs fabriqués en acier sont couverts par La norme, comme les plaques de cisaillement, les anneaux, les crampons, les connecteurs à plaque métallique emboutie ainsi que les plaques à clouer.</w:t>
            </w:r>
          </w:p>
          <w:p w:rsidR="00904E52" w:rsidRPr="0043547B" w:rsidRDefault="00904E52" w:rsidP="00B60E10">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également les modes opératoires permettant d’évaluer la conformité et comprend les exigences en matière de marquage de ces produits.</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B60E10">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B60E10">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14374</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B60E10">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904E52" w:rsidRPr="0043547B" w:rsidRDefault="00904E52" w:rsidP="00B60E10">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14374</w:t>
            </w:r>
          </w:p>
        </w:tc>
      </w:tr>
      <w:tr w:rsidR="0043547B" w:rsidRPr="0043547B" w:rsidTr="0003675E">
        <w:trPr>
          <w:trHeight w:val="330"/>
          <w:jc w:val="center"/>
        </w:trPr>
        <w:tc>
          <w:tcPr>
            <w:tcW w:w="1838" w:type="dxa"/>
            <w:tcBorders>
              <w:top w:val="nil"/>
              <w:left w:val="single" w:sz="18" w:space="0" w:color="auto"/>
              <w:bottom w:val="single" w:sz="4" w:space="0" w:color="auto"/>
              <w:right w:val="single" w:sz="4" w:space="0" w:color="auto"/>
            </w:tcBorders>
            <w:shd w:val="clear" w:color="auto" w:fill="95B3D7" w:themeFill="accent1" w:themeFillTint="99"/>
            <w:vAlign w:val="center"/>
            <w:hideMark/>
          </w:tcPr>
          <w:p w:rsidR="00904E52" w:rsidRPr="0043547B" w:rsidRDefault="00904E52" w:rsidP="00B60E10">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vAlign w:val="center"/>
            <w:hideMark/>
          </w:tcPr>
          <w:p w:rsidR="00904E52" w:rsidRPr="0043547B" w:rsidRDefault="00904E52" w:rsidP="00B60E10">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Structures en bois - LVL (Lamibois) – Exigences ;  </w:t>
            </w:r>
          </w:p>
        </w:tc>
      </w:tr>
      <w:tr w:rsidR="0043547B" w:rsidRPr="0043547B" w:rsidTr="00CB5DC0">
        <w:trPr>
          <w:trHeight w:val="1241"/>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B60E10">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FFFFFF" w:themeFill="background1"/>
            <w:vAlign w:val="center"/>
            <w:hideMark/>
          </w:tcPr>
          <w:p w:rsidR="00904E52" w:rsidRPr="0043547B" w:rsidRDefault="00904E52" w:rsidP="00B60E10">
            <w:pPr>
              <w:spacing w:after="0" w:line="240" w:lineRule="auto"/>
              <w:jc w:val="both"/>
              <w:rPr>
                <w:rFonts w:eastAsia="Times New Roman" w:cstheme="minorHAnsi"/>
                <w:sz w:val="24"/>
                <w:szCs w:val="24"/>
                <w:lang w:eastAsia="fr-FR"/>
              </w:rPr>
            </w:pPr>
            <w:r w:rsidRPr="00ED0D29">
              <w:rPr>
                <w:rFonts w:eastAsia="Times New Roman" w:cstheme="minorHAnsi"/>
                <w:lang w:eastAsia="fr-FR"/>
              </w:rPr>
              <w:t>Le présent document spécifie les exigences relatives au lamibois pour application en structure. Les essais à effectuer, les méthodes à utiliser pour évaluer la conformité et le contenu du marquage à appliquer sur le produit sont indiqués. La norme ne traite pas du lamibois traité contre les attaques biologiques ou le feu.</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B60E10">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B60E10">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13.6.116</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B60E10">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904E52" w:rsidRPr="0043547B" w:rsidRDefault="00904E52" w:rsidP="00B60E10">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636</w:t>
            </w:r>
          </w:p>
        </w:tc>
      </w:tr>
      <w:tr w:rsidR="0043547B" w:rsidRPr="0043547B" w:rsidTr="00CB5DC0">
        <w:trPr>
          <w:trHeight w:val="217"/>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B60E10">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FFFFFF" w:themeFill="background1"/>
            <w:vAlign w:val="center"/>
            <w:hideMark/>
          </w:tcPr>
          <w:p w:rsidR="00904E52" w:rsidRPr="0043547B" w:rsidRDefault="00904E52" w:rsidP="00B60E10">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Contreplaqué – Exigences. </w:t>
            </w:r>
          </w:p>
        </w:tc>
      </w:tr>
      <w:tr w:rsidR="0043547B" w:rsidRPr="0043547B" w:rsidTr="002D2CB0">
        <w:trPr>
          <w:trHeight w:val="956"/>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B60E10">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FFFFFF" w:themeFill="background1"/>
            <w:vAlign w:val="center"/>
            <w:hideMark/>
          </w:tcPr>
          <w:p w:rsidR="00266313" w:rsidRPr="0043547B" w:rsidRDefault="00904E52" w:rsidP="00B60E10">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prescrit les exigences des panneaux contreplaqués pour usage général ou application en structure utilisés en milieu sec, humide ou extérieur. Elle donne aussi un système de classification basé</w:t>
            </w:r>
            <w:r w:rsidR="002342C4">
              <w:rPr>
                <w:rFonts w:eastAsia="Times New Roman" w:cstheme="minorHAnsi"/>
                <w:sz w:val="24"/>
                <w:szCs w:val="24"/>
                <w:lang w:eastAsia="fr-FR"/>
              </w:rPr>
              <w:t xml:space="preserve"> sur les propriétés en flexion.</w:t>
            </w:r>
          </w:p>
          <w:p w:rsidR="00266313" w:rsidRPr="0043547B" w:rsidRDefault="00266313" w:rsidP="00B60E10">
            <w:pPr>
              <w:spacing w:after="0" w:line="240" w:lineRule="auto"/>
              <w:jc w:val="both"/>
              <w:rPr>
                <w:rFonts w:eastAsia="Times New Roman" w:cstheme="minorHAnsi"/>
                <w:sz w:val="24"/>
                <w:szCs w:val="24"/>
                <w:lang w:eastAsia="fr-FR"/>
              </w:rPr>
            </w:pP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B60E10">
            <w:pPr>
              <w:spacing w:after="0" w:line="240" w:lineRule="auto"/>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B60E10">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314-2</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B60E10">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904E52" w:rsidRPr="0043547B" w:rsidRDefault="00904E52" w:rsidP="00B60E10">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314-2</w:t>
            </w:r>
          </w:p>
        </w:tc>
      </w:tr>
      <w:tr w:rsidR="0043547B" w:rsidRPr="0043547B" w:rsidTr="00CB5DC0">
        <w:trPr>
          <w:trHeight w:val="9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B60E10">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bottom w:val="single" w:sz="4" w:space="0" w:color="auto"/>
              <w:right w:val="single" w:sz="18" w:space="0" w:color="auto"/>
            </w:tcBorders>
            <w:shd w:val="clear" w:color="auto" w:fill="FFFFFF" w:themeFill="background1"/>
            <w:vAlign w:val="center"/>
            <w:hideMark/>
          </w:tcPr>
          <w:p w:rsidR="00904E52" w:rsidRPr="0043547B" w:rsidRDefault="00904E52" w:rsidP="00B60E10">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Contreplaqué - Qualité du collage - Partie 2 : Exigences</w:t>
            </w:r>
          </w:p>
        </w:tc>
      </w:tr>
      <w:tr w:rsidR="0043547B" w:rsidRPr="0043547B" w:rsidTr="00CB5DC0">
        <w:trPr>
          <w:trHeight w:val="604"/>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B60E10">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FFFFFF" w:themeFill="background1"/>
            <w:vAlign w:val="center"/>
            <w:hideMark/>
          </w:tcPr>
          <w:p w:rsidR="00904E52" w:rsidRDefault="00904E52" w:rsidP="00B60E10">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prescrit les exigences pour les classes de collage des contreplaqués à plis en fonction de leurs utilisations finales. Les méthodes d'essai appropriées sont celles prescrites en EN 314-1.</w:t>
            </w:r>
          </w:p>
          <w:p w:rsidR="002D2CB0" w:rsidRPr="0043547B" w:rsidRDefault="002D2CB0" w:rsidP="00B60E10">
            <w:pPr>
              <w:spacing w:after="0" w:line="240" w:lineRule="auto"/>
              <w:jc w:val="both"/>
              <w:rPr>
                <w:rFonts w:eastAsia="Times New Roman" w:cstheme="minorHAnsi"/>
                <w:sz w:val="24"/>
                <w:szCs w:val="24"/>
                <w:lang w:eastAsia="fr-FR"/>
              </w:rPr>
            </w:pPr>
          </w:p>
        </w:tc>
      </w:tr>
      <w:tr w:rsidR="0043547B" w:rsidRPr="0043547B" w:rsidTr="00CB5DC0">
        <w:trPr>
          <w:trHeight w:val="395"/>
          <w:jc w:val="center"/>
        </w:trPr>
        <w:tc>
          <w:tcPr>
            <w:tcW w:w="1838" w:type="dxa"/>
            <w:tcBorders>
              <w:top w:val="single" w:sz="18" w:space="0" w:color="auto"/>
              <w:left w:val="single" w:sz="18" w:space="0" w:color="auto"/>
              <w:bottom w:val="single" w:sz="18" w:space="0" w:color="auto"/>
              <w:right w:val="single" w:sz="4" w:space="0" w:color="auto"/>
            </w:tcBorders>
            <w:shd w:val="clear" w:color="auto" w:fill="B0CA7C"/>
            <w:vAlign w:val="center"/>
          </w:tcPr>
          <w:p w:rsidR="00F752DB" w:rsidRPr="0043547B" w:rsidRDefault="00F752DB" w:rsidP="00B60E10">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0CA7C"/>
            <w:vAlign w:val="center"/>
          </w:tcPr>
          <w:p w:rsidR="00F752DB" w:rsidRPr="0043547B" w:rsidRDefault="00F752DB" w:rsidP="00B60E10">
            <w:pPr>
              <w:spacing w:after="0" w:line="240" w:lineRule="auto"/>
              <w:jc w:val="center"/>
              <w:rPr>
                <w:rFonts w:cstheme="minorHAnsi"/>
                <w:b/>
                <w:bCs/>
                <w:sz w:val="24"/>
                <w:szCs w:val="24"/>
              </w:rPr>
            </w:pPr>
            <w:r w:rsidRPr="0043547B">
              <w:rPr>
                <w:rFonts w:cstheme="minorHAnsi"/>
                <w:b/>
                <w:bCs/>
                <w:sz w:val="24"/>
                <w:szCs w:val="24"/>
              </w:rPr>
              <w:t>NM ISO 4714</w:t>
            </w:r>
          </w:p>
        </w:tc>
      </w:tr>
      <w:tr w:rsidR="0043547B" w:rsidRPr="0043547B" w:rsidTr="00CB5DC0">
        <w:trPr>
          <w:trHeight w:val="344"/>
          <w:jc w:val="center"/>
        </w:trPr>
        <w:tc>
          <w:tcPr>
            <w:tcW w:w="1838" w:type="dxa"/>
            <w:tcBorders>
              <w:top w:val="single" w:sz="18" w:space="0" w:color="auto"/>
              <w:left w:val="single" w:sz="18" w:space="0" w:color="auto"/>
              <w:bottom w:val="single" w:sz="18" w:space="0" w:color="auto"/>
              <w:right w:val="single" w:sz="4" w:space="0" w:color="auto"/>
            </w:tcBorders>
            <w:shd w:val="clear" w:color="auto" w:fill="FFFF99"/>
            <w:vAlign w:val="center"/>
          </w:tcPr>
          <w:p w:rsidR="00F752DB" w:rsidRPr="0043547B" w:rsidRDefault="00F752DB" w:rsidP="00B60E10">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18" w:space="0" w:color="auto"/>
              <w:right w:val="single" w:sz="18" w:space="0" w:color="auto"/>
            </w:tcBorders>
            <w:shd w:val="clear" w:color="auto" w:fill="FFFF99"/>
            <w:vAlign w:val="center"/>
          </w:tcPr>
          <w:p w:rsidR="00F752DB" w:rsidRPr="0043547B" w:rsidRDefault="00F752DB" w:rsidP="00B60E10">
            <w:pPr>
              <w:spacing w:after="0" w:line="240" w:lineRule="auto"/>
              <w:jc w:val="center"/>
              <w:rPr>
                <w:rFonts w:cstheme="minorHAnsi"/>
                <w:b/>
                <w:bCs/>
                <w:sz w:val="24"/>
                <w:szCs w:val="24"/>
              </w:rPr>
            </w:pPr>
            <w:r w:rsidRPr="0043547B">
              <w:rPr>
                <w:rFonts w:cstheme="minorHAnsi"/>
                <w:b/>
                <w:bCs/>
                <w:sz w:val="24"/>
                <w:szCs w:val="24"/>
              </w:rPr>
              <w:t>ISO 4714</w:t>
            </w:r>
          </w:p>
        </w:tc>
      </w:tr>
      <w:tr w:rsidR="0043547B" w:rsidRPr="0043547B" w:rsidTr="00CB5DC0">
        <w:trPr>
          <w:trHeight w:val="608"/>
          <w:jc w:val="center"/>
        </w:trPr>
        <w:tc>
          <w:tcPr>
            <w:tcW w:w="1838" w:type="dxa"/>
            <w:tcBorders>
              <w:top w:val="single" w:sz="18" w:space="0" w:color="auto"/>
              <w:left w:val="single" w:sz="18" w:space="0" w:color="auto"/>
              <w:bottom w:val="single" w:sz="6" w:space="0" w:color="auto"/>
              <w:right w:val="single" w:sz="4" w:space="0" w:color="auto"/>
            </w:tcBorders>
            <w:shd w:val="clear" w:color="auto" w:fill="8DB3E2" w:themeFill="text2" w:themeFillTint="66"/>
            <w:vAlign w:val="center"/>
          </w:tcPr>
          <w:p w:rsidR="00F752DB" w:rsidRPr="0043547B" w:rsidRDefault="00F752DB" w:rsidP="00B60E10">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6" w:space="0" w:color="auto"/>
              <w:right w:val="single" w:sz="18" w:space="0" w:color="auto"/>
            </w:tcBorders>
            <w:shd w:val="clear" w:color="auto" w:fill="FFFFFF" w:themeFill="background1"/>
            <w:vAlign w:val="bottom"/>
          </w:tcPr>
          <w:p w:rsidR="00F752DB" w:rsidRPr="0043547B" w:rsidRDefault="00F752DB" w:rsidP="00B60E10">
            <w:pPr>
              <w:spacing w:after="0" w:line="240" w:lineRule="auto"/>
              <w:rPr>
                <w:rFonts w:cstheme="minorHAnsi"/>
                <w:sz w:val="24"/>
                <w:szCs w:val="24"/>
              </w:rPr>
            </w:pPr>
            <w:r w:rsidRPr="0043547B">
              <w:rPr>
                <w:rFonts w:cstheme="minorHAnsi"/>
                <w:sz w:val="24"/>
                <w:szCs w:val="24"/>
              </w:rPr>
              <w:t>Aggloméré composé de liège - Spécifications, échantillo</w:t>
            </w:r>
            <w:r w:rsidR="00266313" w:rsidRPr="0043547B">
              <w:rPr>
                <w:rFonts w:cstheme="minorHAnsi"/>
                <w:sz w:val="24"/>
                <w:szCs w:val="24"/>
              </w:rPr>
              <w:t xml:space="preserve">nnage, emballage et marquage </w:t>
            </w:r>
          </w:p>
        </w:tc>
      </w:tr>
      <w:tr w:rsidR="0043547B" w:rsidRPr="0043547B" w:rsidTr="00CB5DC0">
        <w:trPr>
          <w:trHeight w:val="604"/>
          <w:jc w:val="center"/>
        </w:trPr>
        <w:tc>
          <w:tcPr>
            <w:tcW w:w="1838" w:type="dxa"/>
            <w:tcBorders>
              <w:top w:val="single" w:sz="6" w:space="0" w:color="auto"/>
              <w:left w:val="single" w:sz="18" w:space="0" w:color="auto"/>
              <w:bottom w:val="single" w:sz="18" w:space="0" w:color="auto"/>
              <w:right w:val="single" w:sz="4" w:space="0" w:color="auto"/>
            </w:tcBorders>
            <w:shd w:val="clear" w:color="000000" w:fill="D9D9D9"/>
            <w:vAlign w:val="center"/>
          </w:tcPr>
          <w:p w:rsidR="00F752DB" w:rsidRPr="0043547B" w:rsidRDefault="00F752DB" w:rsidP="00B60E10">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6" w:space="0" w:color="auto"/>
              <w:left w:val="single" w:sz="4" w:space="0" w:color="auto"/>
              <w:bottom w:val="single" w:sz="18" w:space="0" w:color="auto"/>
              <w:right w:val="single" w:sz="18" w:space="0" w:color="auto"/>
            </w:tcBorders>
            <w:shd w:val="clear" w:color="auto" w:fill="FFFFFF" w:themeFill="background1"/>
            <w:vAlign w:val="bottom"/>
          </w:tcPr>
          <w:p w:rsidR="00F752DB" w:rsidRPr="0043547B" w:rsidRDefault="00F752DB" w:rsidP="002D2CB0">
            <w:pPr>
              <w:spacing w:after="0" w:line="240" w:lineRule="auto"/>
              <w:jc w:val="both"/>
              <w:rPr>
                <w:rFonts w:cstheme="minorHAnsi"/>
                <w:sz w:val="24"/>
                <w:szCs w:val="24"/>
              </w:rPr>
            </w:pPr>
            <w:r w:rsidRPr="0043547B">
              <w:rPr>
                <w:rFonts w:cstheme="minorHAnsi"/>
                <w:sz w:val="24"/>
                <w:szCs w:val="24"/>
              </w:rPr>
              <w:t>La présente Norme internationale fixe les exigences minimales de l'aggloméré composé de liège sous forme de feuilles et spécifie les exigences concernant l'échantillonnage, l'emballage et le marquage.</w:t>
            </w:r>
          </w:p>
        </w:tc>
      </w:tr>
      <w:tr w:rsidR="0043547B" w:rsidRPr="0043547B" w:rsidTr="00CB5DC0">
        <w:trPr>
          <w:trHeight w:val="360"/>
          <w:jc w:val="center"/>
        </w:trPr>
        <w:tc>
          <w:tcPr>
            <w:tcW w:w="1838" w:type="dxa"/>
            <w:tcBorders>
              <w:top w:val="single" w:sz="18" w:space="0" w:color="auto"/>
              <w:left w:val="single" w:sz="18" w:space="0" w:color="auto"/>
              <w:bottom w:val="single" w:sz="18" w:space="0" w:color="auto"/>
              <w:right w:val="single" w:sz="4" w:space="0" w:color="auto"/>
            </w:tcBorders>
            <w:shd w:val="clear" w:color="auto" w:fill="B0CA7C"/>
            <w:vAlign w:val="center"/>
          </w:tcPr>
          <w:p w:rsidR="00F752DB" w:rsidRPr="0043547B" w:rsidRDefault="00F752DB" w:rsidP="00B60E10">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0CA7C"/>
            <w:vAlign w:val="center"/>
          </w:tcPr>
          <w:p w:rsidR="00F752DB" w:rsidRPr="0043547B" w:rsidRDefault="00F752DB" w:rsidP="00B60E10">
            <w:pPr>
              <w:spacing w:after="0" w:line="240" w:lineRule="auto"/>
              <w:jc w:val="center"/>
              <w:rPr>
                <w:rFonts w:cstheme="minorHAnsi"/>
                <w:b/>
                <w:bCs/>
                <w:sz w:val="24"/>
                <w:szCs w:val="24"/>
              </w:rPr>
            </w:pPr>
            <w:r w:rsidRPr="0043547B">
              <w:rPr>
                <w:rFonts w:cstheme="minorHAnsi"/>
                <w:b/>
                <w:bCs/>
                <w:sz w:val="24"/>
                <w:szCs w:val="24"/>
              </w:rPr>
              <w:t>NM ISO 4709</w:t>
            </w:r>
          </w:p>
        </w:tc>
      </w:tr>
      <w:tr w:rsidR="0043547B" w:rsidRPr="0043547B" w:rsidTr="00CB5DC0">
        <w:trPr>
          <w:trHeight w:val="237"/>
          <w:jc w:val="center"/>
        </w:trPr>
        <w:tc>
          <w:tcPr>
            <w:tcW w:w="1838" w:type="dxa"/>
            <w:tcBorders>
              <w:top w:val="single" w:sz="18" w:space="0" w:color="auto"/>
              <w:left w:val="single" w:sz="18" w:space="0" w:color="auto"/>
              <w:bottom w:val="single" w:sz="6" w:space="0" w:color="auto"/>
              <w:right w:val="single" w:sz="4" w:space="0" w:color="auto"/>
            </w:tcBorders>
            <w:shd w:val="clear" w:color="auto" w:fill="FFFF99"/>
            <w:vAlign w:val="center"/>
          </w:tcPr>
          <w:p w:rsidR="00F752DB" w:rsidRPr="0043547B" w:rsidRDefault="00F752DB" w:rsidP="00B60E10">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6" w:space="0" w:color="auto"/>
              <w:right w:val="single" w:sz="18" w:space="0" w:color="auto"/>
            </w:tcBorders>
            <w:shd w:val="clear" w:color="auto" w:fill="FFFF99"/>
            <w:vAlign w:val="center"/>
          </w:tcPr>
          <w:p w:rsidR="00F752DB" w:rsidRPr="0043547B" w:rsidRDefault="00F752DB" w:rsidP="00B60E10">
            <w:pPr>
              <w:spacing w:after="0" w:line="240" w:lineRule="auto"/>
              <w:jc w:val="center"/>
              <w:rPr>
                <w:rFonts w:cstheme="minorHAnsi"/>
                <w:b/>
                <w:bCs/>
                <w:sz w:val="24"/>
                <w:szCs w:val="24"/>
              </w:rPr>
            </w:pPr>
            <w:r w:rsidRPr="0043547B">
              <w:rPr>
                <w:rFonts w:cstheme="minorHAnsi"/>
                <w:b/>
                <w:bCs/>
                <w:sz w:val="24"/>
                <w:szCs w:val="24"/>
              </w:rPr>
              <w:t>ISO 4709</w:t>
            </w:r>
          </w:p>
        </w:tc>
      </w:tr>
      <w:tr w:rsidR="0043547B" w:rsidRPr="0043547B" w:rsidTr="00CB5DC0">
        <w:trPr>
          <w:trHeight w:val="604"/>
          <w:jc w:val="center"/>
        </w:trPr>
        <w:tc>
          <w:tcPr>
            <w:tcW w:w="1838" w:type="dxa"/>
            <w:tcBorders>
              <w:top w:val="single" w:sz="6" w:space="0" w:color="auto"/>
              <w:left w:val="single" w:sz="18" w:space="0" w:color="auto"/>
              <w:bottom w:val="single" w:sz="6" w:space="0" w:color="auto"/>
              <w:right w:val="single" w:sz="4" w:space="0" w:color="auto"/>
            </w:tcBorders>
            <w:shd w:val="clear" w:color="auto" w:fill="8DB3E2" w:themeFill="text2" w:themeFillTint="66"/>
            <w:vAlign w:val="center"/>
          </w:tcPr>
          <w:p w:rsidR="00F752DB" w:rsidRPr="0043547B" w:rsidRDefault="00F752DB" w:rsidP="00B60E10">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6" w:space="0" w:color="auto"/>
              <w:left w:val="single" w:sz="4" w:space="0" w:color="auto"/>
              <w:bottom w:val="single" w:sz="6" w:space="0" w:color="auto"/>
              <w:right w:val="single" w:sz="18" w:space="0" w:color="auto"/>
            </w:tcBorders>
            <w:shd w:val="clear" w:color="auto" w:fill="FFFFFF" w:themeFill="background1"/>
            <w:vAlign w:val="bottom"/>
          </w:tcPr>
          <w:p w:rsidR="00F752DB" w:rsidRPr="0043547B" w:rsidRDefault="00F752DB" w:rsidP="00B60E10">
            <w:pPr>
              <w:spacing w:after="0" w:line="240" w:lineRule="auto"/>
              <w:rPr>
                <w:rFonts w:cstheme="minorHAnsi"/>
                <w:sz w:val="24"/>
                <w:szCs w:val="24"/>
              </w:rPr>
            </w:pPr>
            <w:r w:rsidRPr="0043547B">
              <w:rPr>
                <w:rFonts w:cstheme="minorHAnsi"/>
                <w:sz w:val="24"/>
                <w:szCs w:val="24"/>
              </w:rPr>
              <w:t xml:space="preserve">Aggloméré composé de liège - Matériau pour joints pour industries mécaniques - Système de classification, exigences, échantillonnage, emballage et marquage </w:t>
            </w:r>
            <w:r w:rsidR="0003675E" w:rsidRPr="0043547B">
              <w:rPr>
                <w:rFonts w:cstheme="minorHAnsi"/>
                <w:sz w:val="24"/>
                <w:szCs w:val="24"/>
              </w:rPr>
              <w:t>; (</w:t>
            </w:r>
            <w:r w:rsidRPr="0043547B">
              <w:rPr>
                <w:rFonts w:cstheme="minorHAnsi"/>
                <w:sz w:val="24"/>
                <w:szCs w:val="24"/>
              </w:rPr>
              <w:t xml:space="preserve">IC 13.6.430)  </w:t>
            </w:r>
          </w:p>
        </w:tc>
      </w:tr>
      <w:tr w:rsidR="0043547B" w:rsidRPr="0043547B" w:rsidTr="00CB5DC0">
        <w:trPr>
          <w:trHeight w:val="604"/>
          <w:jc w:val="center"/>
        </w:trPr>
        <w:tc>
          <w:tcPr>
            <w:tcW w:w="1838" w:type="dxa"/>
            <w:tcBorders>
              <w:top w:val="single" w:sz="6" w:space="0" w:color="auto"/>
              <w:left w:val="single" w:sz="18" w:space="0" w:color="auto"/>
              <w:bottom w:val="single" w:sz="18" w:space="0" w:color="auto"/>
              <w:right w:val="single" w:sz="4" w:space="0" w:color="auto"/>
            </w:tcBorders>
            <w:shd w:val="clear" w:color="000000" w:fill="D9D9D9"/>
            <w:vAlign w:val="center"/>
          </w:tcPr>
          <w:p w:rsidR="00F752DB" w:rsidRPr="0043547B" w:rsidRDefault="00F752DB" w:rsidP="00B60E10">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6" w:space="0" w:color="auto"/>
              <w:left w:val="single" w:sz="4" w:space="0" w:color="auto"/>
              <w:bottom w:val="single" w:sz="18" w:space="0" w:color="auto"/>
              <w:right w:val="single" w:sz="18" w:space="0" w:color="auto"/>
            </w:tcBorders>
            <w:shd w:val="clear" w:color="auto" w:fill="FFFFFF" w:themeFill="background1"/>
            <w:vAlign w:val="bottom"/>
          </w:tcPr>
          <w:p w:rsidR="007F63D3" w:rsidRDefault="00F752DB" w:rsidP="00B60E10">
            <w:pPr>
              <w:spacing w:after="0" w:line="240" w:lineRule="auto"/>
              <w:jc w:val="both"/>
              <w:rPr>
                <w:rFonts w:cstheme="minorHAnsi"/>
                <w:sz w:val="24"/>
                <w:szCs w:val="24"/>
              </w:rPr>
            </w:pPr>
            <w:r w:rsidRPr="0043547B">
              <w:rPr>
                <w:rFonts w:cstheme="minorHAnsi"/>
                <w:sz w:val="24"/>
                <w:szCs w:val="24"/>
              </w:rPr>
              <w:t>Le présent document donne un système de classification pour l'aggloméré composé de liège destiné à la fabrication de joints pour les industries mécaniques. Elle constitue une aide pour la spécification ou la</w:t>
            </w:r>
            <w:r w:rsidR="002E2CA5" w:rsidRPr="0043547B">
              <w:rPr>
                <w:rFonts w:cstheme="minorHAnsi"/>
                <w:sz w:val="24"/>
                <w:szCs w:val="24"/>
              </w:rPr>
              <w:t xml:space="preserve"> </w:t>
            </w:r>
            <w:r w:rsidRPr="0043547B">
              <w:rPr>
                <w:rFonts w:cstheme="minorHAnsi"/>
                <w:sz w:val="24"/>
                <w:szCs w:val="24"/>
              </w:rPr>
              <w:t>description des propriétés qui s’y rapportent.</w:t>
            </w:r>
          </w:p>
          <w:p w:rsidR="00F752DB" w:rsidRPr="0043547B" w:rsidRDefault="00F752DB" w:rsidP="00B60E10">
            <w:pPr>
              <w:spacing w:after="0" w:line="240" w:lineRule="auto"/>
              <w:jc w:val="both"/>
              <w:rPr>
                <w:rFonts w:cstheme="minorHAnsi"/>
                <w:sz w:val="24"/>
                <w:szCs w:val="24"/>
              </w:rPr>
            </w:pPr>
            <w:r w:rsidRPr="0043547B">
              <w:rPr>
                <w:rFonts w:cstheme="minorHAnsi"/>
                <w:sz w:val="24"/>
                <w:szCs w:val="24"/>
              </w:rPr>
              <w:t>Étant donné que ce système de classification ne tient pas compte de toutes les propriétés qui contribuent à la performance des joints, son usage est limité à la sélection des matériaux selon des exigences</w:t>
            </w:r>
            <w:r w:rsidR="002E2CA5" w:rsidRPr="0043547B">
              <w:rPr>
                <w:rFonts w:cstheme="minorHAnsi"/>
                <w:sz w:val="24"/>
                <w:szCs w:val="24"/>
              </w:rPr>
              <w:t xml:space="preserve"> </w:t>
            </w:r>
            <w:r w:rsidRPr="0043547B">
              <w:rPr>
                <w:rFonts w:cstheme="minorHAnsi"/>
                <w:sz w:val="24"/>
                <w:szCs w:val="24"/>
              </w:rPr>
              <w:t>spécifiées.</w:t>
            </w:r>
          </w:p>
        </w:tc>
      </w:tr>
      <w:tr w:rsidR="0043547B" w:rsidRPr="0043547B" w:rsidTr="00CB5DC0">
        <w:trPr>
          <w:trHeight w:val="377"/>
          <w:jc w:val="center"/>
        </w:trPr>
        <w:tc>
          <w:tcPr>
            <w:tcW w:w="1838" w:type="dxa"/>
            <w:tcBorders>
              <w:top w:val="single" w:sz="18" w:space="0" w:color="auto"/>
              <w:left w:val="single" w:sz="18" w:space="0" w:color="auto"/>
              <w:bottom w:val="single" w:sz="18" w:space="0" w:color="auto"/>
              <w:right w:val="single" w:sz="4" w:space="0" w:color="auto"/>
            </w:tcBorders>
            <w:shd w:val="clear" w:color="auto" w:fill="B0CA7C"/>
            <w:vAlign w:val="center"/>
          </w:tcPr>
          <w:p w:rsidR="00F752DB" w:rsidRPr="0043547B" w:rsidRDefault="00F752DB" w:rsidP="00B60E10">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0CA7C"/>
            <w:vAlign w:val="center"/>
          </w:tcPr>
          <w:p w:rsidR="00F752DB" w:rsidRPr="0043547B" w:rsidRDefault="00F752DB" w:rsidP="00B60E10">
            <w:pPr>
              <w:spacing w:after="0" w:line="240" w:lineRule="auto"/>
              <w:jc w:val="center"/>
              <w:rPr>
                <w:rFonts w:cstheme="minorHAnsi"/>
                <w:b/>
                <w:bCs/>
                <w:sz w:val="24"/>
                <w:szCs w:val="24"/>
              </w:rPr>
            </w:pPr>
            <w:r w:rsidRPr="0043547B">
              <w:rPr>
                <w:rFonts w:cstheme="minorHAnsi"/>
                <w:b/>
                <w:bCs/>
                <w:sz w:val="24"/>
                <w:szCs w:val="24"/>
              </w:rPr>
              <w:t>NM ISO 1997</w:t>
            </w:r>
          </w:p>
        </w:tc>
      </w:tr>
      <w:tr w:rsidR="0043547B" w:rsidRPr="0043547B" w:rsidTr="00CB5DC0">
        <w:trPr>
          <w:trHeight w:val="329"/>
          <w:jc w:val="center"/>
        </w:trPr>
        <w:tc>
          <w:tcPr>
            <w:tcW w:w="1838" w:type="dxa"/>
            <w:tcBorders>
              <w:top w:val="single" w:sz="18" w:space="0" w:color="auto"/>
              <w:left w:val="single" w:sz="18" w:space="0" w:color="auto"/>
              <w:bottom w:val="single" w:sz="6" w:space="0" w:color="auto"/>
              <w:right w:val="single" w:sz="4" w:space="0" w:color="auto"/>
            </w:tcBorders>
            <w:shd w:val="clear" w:color="auto" w:fill="FFFF99"/>
            <w:vAlign w:val="center"/>
          </w:tcPr>
          <w:p w:rsidR="00F752DB" w:rsidRPr="0043547B" w:rsidRDefault="00F752DB" w:rsidP="00B60E10">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6" w:space="0" w:color="auto"/>
              <w:right w:val="single" w:sz="18" w:space="0" w:color="auto"/>
            </w:tcBorders>
            <w:shd w:val="clear" w:color="auto" w:fill="FFFF99"/>
            <w:vAlign w:val="center"/>
          </w:tcPr>
          <w:p w:rsidR="00F752DB" w:rsidRPr="0043547B" w:rsidRDefault="00F752DB" w:rsidP="00B60E10">
            <w:pPr>
              <w:spacing w:after="0" w:line="240" w:lineRule="auto"/>
              <w:jc w:val="center"/>
              <w:rPr>
                <w:rFonts w:cstheme="minorHAnsi"/>
                <w:b/>
                <w:bCs/>
                <w:sz w:val="24"/>
                <w:szCs w:val="24"/>
              </w:rPr>
            </w:pPr>
            <w:r w:rsidRPr="0043547B">
              <w:rPr>
                <w:rFonts w:cstheme="minorHAnsi"/>
                <w:b/>
                <w:bCs/>
                <w:sz w:val="24"/>
                <w:szCs w:val="24"/>
              </w:rPr>
              <w:t>ISO 1997</w:t>
            </w:r>
          </w:p>
        </w:tc>
      </w:tr>
      <w:tr w:rsidR="0043547B" w:rsidRPr="0043547B" w:rsidTr="00CB5DC0">
        <w:trPr>
          <w:trHeight w:val="604"/>
          <w:jc w:val="center"/>
        </w:trPr>
        <w:tc>
          <w:tcPr>
            <w:tcW w:w="1838" w:type="dxa"/>
            <w:tcBorders>
              <w:top w:val="single" w:sz="6" w:space="0" w:color="auto"/>
              <w:left w:val="single" w:sz="18" w:space="0" w:color="auto"/>
              <w:bottom w:val="single" w:sz="6" w:space="0" w:color="auto"/>
              <w:right w:val="single" w:sz="4" w:space="0" w:color="auto"/>
            </w:tcBorders>
            <w:shd w:val="clear" w:color="auto" w:fill="8DB3E2" w:themeFill="text2" w:themeFillTint="66"/>
            <w:vAlign w:val="center"/>
          </w:tcPr>
          <w:p w:rsidR="00F752DB" w:rsidRPr="0043547B" w:rsidRDefault="00F752DB" w:rsidP="002E2CA5">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6" w:space="0" w:color="auto"/>
              <w:left w:val="single" w:sz="4" w:space="0" w:color="auto"/>
              <w:bottom w:val="single" w:sz="6" w:space="0" w:color="auto"/>
              <w:right w:val="single" w:sz="18" w:space="0" w:color="auto"/>
            </w:tcBorders>
            <w:shd w:val="clear" w:color="auto" w:fill="FFFFFF" w:themeFill="background1"/>
            <w:vAlign w:val="bottom"/>
          </w:tcPr>
          <w:p w:rsidR="00F752DB" w:rsidRPr="0043547B" w:rsidRDefault="00F752DB" w:rsidP="002E2CA5">
            <w:pPr>
              <w:spacing w:after="0" w:line="240" w:lineRule="auto"/>
              <w:rPr>
                <w:rFonts w:cstheme="minorHAnsi"/>
                <w:sz w:val="24"/>
                <w:szCs w:val="24"/>
              </w:rPr>
            </w:pPr>
            <w:r w:rsidRPr="0043547B">
              <w:rPr>
                <w:rFonts w:cstheme="minorHAnsi"/>
                <w:sz w:val="24"/>
                <w:szCs w:val="24"/>
              </w:rPr>
              <w:t xml:space="preserve">Granulés crus et poudre de liège - Classification, caractéristiques et emballage ;  (IC 13.6.427)  </w:t>
            </w:r>
          </w:p>
        </w:tc>
      </w:tr>
      <w:tr w:rsidR="0043547B" w:rsidRPr="0043547B" w:rsidTr="00CB5DC0">
        <w:trPr>
          <w:trHeight w:val="604"/>
          <w:jc w:val="center"/>
        </w:trPr>
        <w:tc>
          <w:tcPr>
            <w:tcW w:w="1838" w:type="dxa"/>
            <w:tcBorders>
              <w:top w:val="single" w:sz="6" w:space="0" w:color="auto"/>
              <w:left w:val="single" w:sz="18" w:space="0" w:color="auto"/>
              <w:bottom w:val="single" w:sz="18" w:space="0" w:color="auto"/>
              <w:right w:val="single" w:sz="4" w:space="0" w:color="auto"/>
            </w:tcBorders>
            <w:shd w:val="clear" w:color="000000" w:fill="D9D9D9"/>
            <w:vAlign w:val="center"/>
          </w:tcPr>
          <w:p w:rsidR="00F752DB" w:rsidRPr="0043547B" w:rsidRDefault="00F752DB" w:rsidP="002E2CA5">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6" w:space="0" w:color="auto"/>
              <w:left w:val="single" w:sz="4" w:space="0" w:color="auto"/>
              <w:bottom w:val="single" w:sz="18" w:space="0" w:color="auto"/>
              <w:right w:val="single" w:sz="18" w:space="0" w:color="auto"/>
            </w:tcBorders>
            <w:shd w:val="clear" w:color="auto" w:fill="FFFFFF" w:themeFill="background1"/>
            <w:vAlign w:val="bottom"/>
          </w:tcPr>
          <w:p w:rsidR="00F752DB" w:rsidRPr="0043547B" w:rsidRDefault="00F752DB" w:rsidP="002D2CB0">
            <w:pPr>
              <w:spacing w:after="0" w:line="240" w:lineRule="auto"/>
              <w:jc w:val="both"/>
              <w:rPr>
                <w:rFonts w:cstheme="minorHAnsi"/>
                <w:sz w:val="24"/>
                <w:szCs w:val="24"/>
              </w:rPr>
            </w:pPr>
            <w:r w:rsidRPr="0043547B">
              <w:rPr>
                <w:rFonts w:cstheme="minorHAnsi"/>
                <w:sz w:val="24"/>
                <w:szCs w:val="24"/>
              </w:rPr>
              <w:t>La présente Norme internationale fixe la classification et les caractéristiques des granulés crus et de la poudre de liège, avant pressage, ainsi que les prescriptions relatives à leur emballage.</w:t>
            </w:r>
          </w:p>
        </w:tc>
      </w:tr>
      <w:tr w:rsidR="0043547B" w:rsidRPr="0043547B" w:rsidTr="00CB5DC0">
        <w:trPr>
          <w:trHeight w:val="351"/>
          <w:jc w:val="center"/>
        </w:trPr>
        <w:tc>
          <w:tcPr>
            <w:tcW w:w="1838" w:type="dxa"/>
            <w:tcBorders>
              <w:top w:val="single" w:sz="18" w:space="0" w:color="auto"/>
              <w:left w:val="single" w:sz="18" w:space="0" w:color="auto"/>
              <w:bottom w:val="single" w:sz="18" w:space="0" w:color="auto"/>
              <w:right w:val="single" w:sz="4" w:space="0" w:color="auto"/>
            </w:tcBorders>
            <w:shd w:val="clear" w:color="auto" w:fill="B0CA7C"/>
            <w:vAlign w:val="center"/>
          </w:tcPr>
          <w:p w:rsidR="00F752DB" w:rsidRPr="0043547B" w:rsidRDefault="00F752DB" w:rsidP="002E2CA5">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0CA7C"/>
            <w:vAlign w:val="center"/>
          </w:tcPr>
          <w:p w:rsidR="00F752DB" w:rsidRPr="0043547B" w:rsidRDefault="00F752DB" w:rsidP="002E2CA5">
            <w:pPr>
              <w:spacing w:after="0" w:line="240" w:lineRule="auto"/>
              <w:jc w:val="center"/>
              <w:rPr>
                <w:rFonts w:cstheme="minorHAnsi"/>
                <w:b/>
                <w:bCs/>
                <w:sz w:val="24"/>
                <w:szCs w:val="24"/>
              </w:rPr>
            </w:pPr>
            <w:r w:rsidRPr="0043547B">
              <w:rPr>
                <w:rFonts w:cstheme="minorHAnsi"/>
                <w:b/>
                <w:bCs/>
                <w:sz w:val="24"/>
                <w:szCs w:val="24"/>
              </w:rPr>
              <w:t>NM ISO 8724</w:t>
            </w:r>
          </w:p>
        </w:tc>
      </w:tr>
      <w:tr w:rsidR="0043547B" w:rsidRPr="0043547B" w:rsidTr="00CB5DC0">
        <w:trPr>
          <w:trHeight w:val="386"/>
          <w:jc w:val="center"/>
        </w:trPr>
        <w:tc>
          <w:tcPr>
            <w:tcW w:w="1838" w:type="dxa"/>
            <w:tcBorders>
              <w:top w:val="single" w:sz="18" w:space="0" w:color="auto"/>
              <w:left w:val="single" w:sz="18" w:space="0" w:color="auto"/>
              <w:bottom w:val="single" w:sz="6" w:space="0" w:color="auto"/>
              <w:right w:val="single" w:sz="4" w:space="0" w:color="auto"/>
            </w:tcBorders>
            <w:shd w:val="clear" w:color="auto" w:fill="FFFF99"/>
            <w:vAlign w:val="center"/>
          </w:tcPr>
          <w:p w:rsidR="00F752DB" w:rsidRPr="0043547B" w:rsidRDefault="00F752DB" w:rsidP="002E2CA5">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6" w:space="0" w:color="auto"/>
              <w:right w:val="single" w:sz="18" w:space="0" w:color="auto"/>
            </w:tcBorders>
            <w:shd w:val="clear" w:color="auto" w:fill="FFFF99"/>
            <w:vAlign w:val="center"/>
          </w:tcPr>
          <w:p w:rsidR="00F752DB" w:rsidRPr="0043547B" w:rsidRDefault="00F752DB" w:rsidP="002E2CA5">
            <w:pPr>
              <w:spacing w:after="0" w:line="240" w:lineRule="auto"/>
              <w:jc w:val="center"/>
              <w:rPr>
                <w:rFonts w:cstheme="minorHAnsi"/>
                <w:b/>
                <w:bCs/>
                <w:sz w:val="24"/>
                <w:szCs w:val="24"/>
              </w:rPr>
            </w:pPr>
            <w:r w:rsidRPr="0043547B">
              <w:rPr>
                <w:rFonts w:cstheme="minorHAnsi"/>
                <w:b/>
                <w:bCs/>
                <w:sz w:val="24"/>
                <w:szCs w:val="24"/>
              </w:rPr>
              <w:t>ISO 8724</w:t>
            </w:r>
          </w:p>
        </w:tc>
      </w:tr>
      <w:tr w:rsidR="0043547B" w:rsidRPr="0043547B" w:rsidTr="00CB5DC0">
        <w:trPr>
          <w:trHeight w:val="475"/>
          <w:jc w:val="center"/>
        </w:trPr>
        <w:tc>
          <w:tcPr>
            <w:tcW w:w="1838" w:type="dxa"/>
            <w:tcBorders>
              <w:top w:val="single" w:sz="6" w:space="0" w:color="auto"/>
              <w:left w:val="single" w:sz="18" w:space="0" w:color="auto"/>
              <w:bottom w:val="single" w:sz="6" w:space="0" w:color="auto"/>
              <w:right w:val="single" w:sz="4" w:space="0" w:color="auto"/>
            </w:tcBorders>
            <w:shd w:val="clear" w:color="auto" w:fill="8DB3E2" w:themeFill="text2" w:themeFillTint="66"/>
            <w:vAlign w:val="center"/>
          </w:tcPr>
          <w:p w:rsidR="00F752DB" w:rsidRPr="0043547B" w:rsidRDefault="00F752DB" w:rsidP="002E2CA5">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6" w:space="0" w:color="auto"/>
              <w:left w:val="single" w:sz="4" w:space="0" w:color="auto"/>
              <w:bottom w:val="single" w:sz="6" w:space="0" w:color="auto"/>
              <w:right w:val="single" w:sz="18" w:space="0" w:color="auto"/>
            </w:tcBorders>
            <w:shd w:val="clear" w:color="auto" w:fill="FFFFFF" w:themeFill="background1"/>
          </w:tcPr>
          <w:p w:rsidR="00F752DB" w:rsidRPr="0043547B" w:rsidRDefault="00F752DB" w:rsidP="002E2CA5">
            <w:pPr>
              <w:spacing w:after="0" w:line="240" w:lineRule="auto"/>
              <w:rPr>
                <w:rFonts w:cstheme="minorHAnsi"/>
                <w:sz w:val="24"/>
                <w:szCs w:val="24"/>
              </w:rPr>
            </w:pPr>
            <w:r w:rsidRPr="0043547B">
              <w:rPr>
                <w:rFonts w:cstheme="minorHAnsi"/>
                <w:sz w:val="24"/>
                <w:szCs w:val="24"/>
              </w:rPr>
              <w:t xml:space="preserve">Panneaux décoratifs à base de liège - Spécifications ;  (IC 13.6.437)  </w:t>
            </w:r>
          </w:p>
        </w:tc>
      </w:tr>
      <w:tr w:rsidR="0043547B" w:rsidRPr="0043547B" w:rsidTr="00CB5DC0">
        <w:trPr>
          <w:trHeight w:val="604"/>
          <w:jc w:val="center"/>
        </w:trPr>
        <w:tc>
          <w:tcPr>
            <w:tcW w:w="1838" w:type="dxa"/>
            <w:tcBorders>
              <w:top w:val="single" w:sz="6" w:space="0" w:color="auto"/>
              <w:left w:val="single" w:sz="18" w:space="0" w:color="auto"/>
              <w:bottom w:val="single" w:sz="18" w:space="0" w:color="auto"/>
              <w:right w:val="single" w:sz="4" w:space="0" w:color="auto"/>
            </w:tcBorders>
            <w:shd w:val="clear" w:color="000000" w:fill="D9D9D9"/>
            <w:vAlign w:val="center"/>
          </w:tcPr>
          <w:p w:rsidR="00F752DB" w:rsidRPr="0043547B" w:rsidRDefault="00F752DB" w:rsidP="002E2CA5">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6" w:space="0" w:color="auto"/>
              <w:left w:val="single" w:sz="4" w:space="0" w:color="auto"/>
              <w:bottom w:val="single" w:sz="18" w:space="0" w:color="auto"/>
              <w:right w:val="single" w:sz="18" w:space="0" w:color="auto"/>
            </w:tcBorders>
            <w:shd w:val="clear" w:color="auto" w:fill="FFFFFF" w:themeFill="background1"/>
            <w:vAlign w:val="bottom"/>
          </w:tcPr>
          <w:p w:rsidR="00F752DB" w:rsidRPr="0043547B" w:rsidRDefault="00F752DB" w:rsidP="002E2CA5">
            <w:pPr>
              <w:spacing w:after="0" w:line="240" w:lineRule="auto"/>
              <w:rPr>
                <w:rFonts w:cstheme="minorHAnsi"/>
                <w:sz w:val="24"/>
                <w:szCs w:val="24"/>
              </w:rPr>
            </w:pPr>
            <w:r w:rsidRPr="0043547B">
              <w:rPr>
                <w:rFonts w:cstheme="minorHAnsi"/>
                <w:sz w:val="24"/>
                <w:szCs w:val="24"/>
              </w:rPr>
              <w:t>La présente Norme internationale spécifie certaines caractéristiques des panneaux décoratifs à base de liège pour revêtements muraux intérieurs.</w:t>
            </w:r>
          </w:p>
        </w:tc>
      </w:tr>
      <w:tr w:rsidR="0043547B" w:rsidRPr="0043547B" w:rsidTr="00ED0D29">
        <w:trPr>
          <w:trHeight w:val="367"/>
          <w:jc w:val="center"/>
        </w:trPr>
        <w:tc>
          <w:tcPr>
            <w:tcW w:w="1838" w:type="dxa"/>
            <w:tcBorders>
              <w:top w:val="single" w:sz="18" w:space="0" w:color="auto"/>
              <w:left w:val="single" w:sz="18" w:space="0" w:color="auto"/>
              <w:bottom w:val="single" w:sz="18" w:space="0" w:color="auto"/>
              <w:right w:val="single" w:sz="4" w:space="0" w:color="auto"/>
            </w:tcBorders>
            <w:shd w:val="clear" w:color="auto" w:fill="B0CA7C"/>
            <w:vAlign w:val="center"/>
          </w:tcPr>
          <w:p w:rsidR="00F752DB" w:rsidRPr="0043547B" w:rsidRDefault="00F752DB" w:rsidP="002E2CA5">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0CA7C"/>
            <w:vAlign w:val="center"/>
          </w:tcPr>
          <w:p w:rsidR="00F752DB" w:rsidRPr="0043547B" w:rsidRDefault="00F752DB" w:rsidP="002E2CA5">
            <w:pPr>
              <w:spacing w:after="0" w:line="240" w:lineRule="auto"/>
              <w:jc w:val="center"/>
              <w:rPr>
                <w:rFonts w:cstheme="minorHAnsi"/>
                <w:b/>
                <w:bCs/>
                <w:sz w:val="24"/>
                <w:szCs w:val="24"/>
              </w:rPr>
            </w:pPr>
            <w:r w:rsidRPr="0043547B">
              <w:rPr>
                <w:rFonts w:cstheme="minorHAnsi"/>
                <w:b/>
                <w:bCs/>
                <w:sz w:val="24"/>
                <w:szCs w:val="24"/>
              </w:rPr>
              <w:t>NM ISO 3869</w:t>
            </w:r>
          </w:p>
        </w:tc>
      </w:tr>
      <w:tr w:rsidR="0043547B" w:rsidRPr="0043547B" w:rsidTr="00ED0D29">
        <w:trPr>
          <w:trHeight w:val="472"/>
          <w:jc w:val="center"/>
        </w:trPr>
        <w:tc>
          <w:tcPr>
            <w:tcW w:w="1838" w:type="dxa"/>
            <w:tcBorders>
              <w:top w:val="single" w:sz="18" w:space="0" w:color="auto"/>
              <w:left w:val="single" w:sz="18" w:space="0" w:color="auto"/>
              <w:bottom w:val="single" w:sz="18" w:space="0" w:color="auto"/>
              <w:right w:val="single" w:sz="4" w:space="0" w:color="auto"/>
            </w:tcBorders>
            <w:shd w:val="clear" w:color="auto" w:fill="FFFF99"/>
            <w:vAlign w:val="center"/>
          </w:tcPr>
          <w:p w:rsidR="00F752DB" w:rsidRPr="0043547B" w:rsidRDefault="00F752DB" w:rsidP="002E2CA5">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18" w:space="0" w:color="auto"/>
              <w:right w:val="single" w:sz="18" w:space="0" w:color="auto"/>
            </w:tcBorders>
            <w:shd w:val="clear" w:color="auto" w:fill="FFFF99"/>
            <w:vAlign w:val="center"/>
          </w:tcPr>
          <w:p w:rsidR="00F752DB" w:rsidRPr="0043547B" w:rsidRDefault="00F752DB" w:rsidP="002E2CA5">
            <w:pPr>
              <w:spacing w:after="0" w:line="240" w:lineRule="auto"/>
              <w:jc w:val="center"/>
              <w:rPr>
                <w:rFonts w:cstheme="minorHAnsi"/>
                <w:b/>
                <w:bCs/>
                <w:sz w:val="24"/>
                <w:szCs w:val="24"/>
              </w:rPr>
            </w:pPr>
            <w:r w:rsidRPr="0043547B">
              <w:rPr>
                <w:rFonts w:cstheme="minorHAnsi"/>
                <w:b/>
                <w:bCs/>
                <w:sz w:val="24"/>
                <w:szCs w:val="24"/>
              </w:rPr>
              <w:t>ISO 3869</w:t>
            </w:r>
          </w:p>
        </w:tc>
      </w:tr>
      <w:tr w:rsidR="0043547B" w:rsidRPr="0043547B" w:rsidTr="00ED0D29">
        <w:trPr>
          <w:trHeight w:val="701"/>
          <w:jc w:val="center"/>
        </w:trPr>
        <w:tc>
          <w:tcPr>
            <w:tcW w:w="1838" w:type="dxa"/>
            <w:tcBorders>
              <w:top w:val="single" w:sz="18" w:space="0" w:color="auto"/>
              <w:left w:val="single" w:sz="18" w:space="0" w:color="auto"/>
              <w:bottom w:val="single" w:sz="6" w:space="0" w:color="auto"/>
              <w:right w:val="single" w:sz="4" w:space="0" w:color="auto"/>
            </w:tcBorders>
            <w:shd w:val="clear" w:color="auto" w:fill="8DB3E2" w:themeFill="text2" w:themeFillTint="66"/>
            <w:vAlign w:val="center"/>
          </w:tcPr>
          <w:p w:rsidR="00F752DB" w:rsidRPr="0043547B" w:rsidRDefault="00F752DB" w:rsidP="002E2CA5">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6" w:space="0" w:color="auto"/>
              <w:right w:val="single" w:sz="18" w:space="0" w:color="auto"/>
            </w:tcBorders>
            <w:shd w:val="clear" w:color="auto" w:fill="FFFFFF" w:themeFill="background1"/>
            <w:vAlign w:val="bottom"/>
          </w:tcPr>
          <w:p w:rsidR="00F752DB" w:rsidRPr="0043547B" w:rsidRDefault="00F752DB" w:rsidP="002D2CB0">
            <w:pPr>
              <w:spacing w:after="0" w:line="240" w:lineRule="auto"/>
              <w:jc w:val="both"/>
              <w:rPr>
                <w:rFonts w:cstheme="minorHAnsi"/>
                <w:sz w:val="24"/>
                <w:szCs w:val="24"/>
              </w:rPr>
            </w:pPr>
            <w:r w:rsidRPr="0043547B">
              <w:rPr>
                <w:rFonts w:cstheme="minorHAnsi"/>
                <w:sz w:val="24"/>
                <w:szCs w:val="24"/>
              </w:rPr>
              <w:t xml:space="preserve">Aggloméré composé de liège - Matériau pour le remplissage de joints de dilatation - Spécifications, emballage et marquage ;  (IC 13.6.439)  </w:t>
            </w:r>
          </w:p>
        </w:tc>
      </w:tr>
      <w:tr w:rsidR="0043547B" w:rsidRPr="0043547B" w:rsidTr="00CB5DC0">
        <w:trPr>
          <w:trHeight w:val="604"/>
          <w:jc w:val="center"/>
        </w:trPr>
        <w:tc>
          <w:tcPr>
            <w:tcW w:w="1838" w:type="dxa"/>
            <w:tcBorders>
              <w:top w:val="single" w:sz="6" w:space="0" w:color="auto"/>
              <w:left w:val="single" w:sz="18" w:space="0" w:color="auto"/>
              <w:bottom w:val="single" w:sz="18" w:space="0" w:color="auto"/>
              <w:right w:val="single" w:sz="4" w:space="0" w:color="auto"/>
            </w:tcBorders>
            <w:shd w:val="clear" w:color="000000" w:fill="D9D9D9"/>
            <w:vAlign w:val="center"/>
          </w:tcPr>
          <w:p w:rsidR="00F752DB" w:rsidRPr="0043547B" w:rsidRDefault="00F752DB" w:rsidP="002E2CA5">
            <w:pPr>
              <w:spacing w:after="0" w:line="240" w:lineRule="auto"/>
              <w:jc w:val="center"/>
              <w:rPr>
                <w:rFonts w:cstheme="minorHAnsi"/>
                <w:b/>
                <w:bCs/>
                <w:sz w:val="24"/>
                <w:szCs w:val="24"/>
              </w:rPr>
            </w:pPr>
            <w:r w:rsidRPr="0043547B">
              <w:rPr>
                <w:rFonts w:cstheme="minorHAnsi"/>
                <w:b/>
                <w:bCs/>
                <w:sz w:val="24"/>
                <w:szCs w:val="24"/>
              </w:rPr>
              <w:lastRenderedPageBreak/>
              <w:t>Domaine d’application :</w:t>
            </w:r>
          </w:p>
        </w:tc>
        <w:tc>
          <w:tcPr>
            <w:tcW w:w="7938" w:type="dxa"/>
            <w:tcBorders>
              <w:top w:val="single" w:sz="6" w:space="0" w:color="auto"/>
              <w:left w:val="single" w:sz="4" w:space="0" w:color="auto"/>
              <w:bottom w:val="single" w:sz="18" w:space="0" w:color="auto"/>
              <w:right w:val="single" w:sz="18" w:space="0" w:color="auto"/>
            </w:tcBorders>
            <w:shd w:val="clear" w:color="auto" w:fill="FFFFFF" w:themeFill="background1"/>
            <w:vAlign w:val="bottom"/>
          </w:tcPr>
          <w:p w:rsidR="00F752DB" w:rsidRPr="0043547B" w:rsidRDefault="00F752DB" w:rsidP="002E2CA5">
            <w:pPr>
              <w:spacing w:after="0" w:line="240" w:lineRule="auto"/>
              <w:jc w:val="both"/>
              <w:rPr>
                <w:rFonts w:cstheme="minorHAnsi"/>
                <w:sz w:val="24"/>
                <w:szCs w:val="24"/>
              </w:rPr>
            </w:pPr>
            <w:r w:rsidRPr="0043547B">
              <w:rPr>
                <w:rFonts w:cstheme="minorHAnsi"/>
                <w:sz w:val="24"/>
                <w:szCs w:val="24"/>
              </w:rPr>
              <w:t>Le présent document spécifie les caractéristiques de l’aggloméré composé de liège utilisé en tant que matériau pour le remplissage de joints de dilatation entre éléments en béton ou d’autres matériaux de construction.</w:t>
            </w:r>
          </w:p>
        </w:tc>
      </w:tr>
    </w:tbl>
    <w:p w:rsidR="00904E52" w:rsidRPr="0043547B" w:rsidRDefault="00904E52" w:rsidP="00F26621">
      <w:pPr>
        <w:pStyle w:val="Titre4"/>
        <w:numPr>
          <w:ilvl w:val="2"/>
          <w:numId w:val="2"/>
        </w:numPr>
        <w:ind w:left="1418" w:hanging="579"/>
        <w:rPr>
          <w:rFonts w:cstheme="minorHAnsi"/>
          <w:b/>
          <w:bCs w:val="0"/>
          <w:iCs w:val="0"/>
          <w:color w:val="auto"/>
          <w:szCs w:val="24"/>
          <w:u w:val="single"/>
        </w:rPr>
      </w:pPr>
      <w:bookmarkStart w:id="33" w:name="_Toc458606090"/>
      <w:r w:rsidRPr="0043547B">
        <w:rPr>
          <w:rFonts w:cstheme="minorHAnsi"/>
          <w:b/>
          <w:bCs w:val="0"/>
          <w:iCs w:val="0"/>
          <w:color w:val="auto"/>
          <w:szCs w:val="24"/>
          <w:u w:val="single"/>
        </w:rPr>
        <w:t>Menuiserie des portes et fenêtres</w:t>
      </w:r>
      <w:bookmarkEnd w:id="33"/>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8"/>
        <w:gridCol w:w="7938"/>
      </w:tblGrid>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10.2.005</w:t>
            </w:r>
          </w:p>
        </w:tc>
      </w:tr>
      <w:tr w:rsidR="0043547B" w:rsidRPr="0043547B" w:rsidTr="00CB5DC0">
        <w:trPr>
          <w:trHeight w:val="488"/>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F30D25" w:rsidRPr="0043547B" w:rsidRDefault="00F30D25" w:rsidP="00980756">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auto" w:fill="auto"/>
            <w:hideMark/>
          </w:tcPr>
          <w:p w:rsidR="00F30D25" w:rsidRPr="0043547B" w:rsidRDefault="00F30D25" w:rsidP="00980756">
            <w:pPr>
              <w:spacing w:after="0" w:line="240" w:lineRule="auto"/>
              <w:jc w:val="both"/>
              <w:rPr>
                <w:rFonts w:cstheme="minorHAnsi"/>
                <w:sz w:val="24"/>
                <w:szCs w:val="24"/>
              </w:rPr>
            </w:pPr>
            <w:r w:rsidRPr="0043547B">
              <w:rPr>
                <w:rFonts w:cstheme="minorHAnsi"/>
                <w:sz w:val="24"/>
                <w:szCs w:val="24"/>
              </w:rPr>
              <w:t xml:space="preserve">Caractéristiques des fenêtres </w:t>
            </w:r>
          </w:p>
        </w:tc>
      </w:tr>
      <w:tr w:rsidR="0043547B" w:rsidRPr="0043547B" w:rsidTr="00CB5DC0">
        <w:trPr>
          <w:trHeight w:val="915"/>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F30D25" w:rsidRPr="0043547B" w:rsidRDefault="00F30D25" w:rsidP="00980756">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hideMark/>
          </w:tcPr>
          <w:p w:rsidR="00980756" w:rsidRDefault="00F30D25" w:rsidP="00980756">
            <w:pPr>
              <w:spacing w:after="0" w:line="240" w:lineRule="auto"/>
              <w:jc w:val="both"/>
              <w:rPr>
                <w:rFonts w:cstheme="minorHAnsi"/>
                <w:sz w:val="24"/>
                <w:szCs w:val="24"/>
              </w:rPr>
            </w:pPr>
            <w:r w:rsidRPr="0043547B">
              <w:rPr>
                <w:rFonts w:cstheme="minorHAnsi"/>
                <w:sz w:val="24"/>
                <w:szCs w:val="24"/>
              </w:rPr>
              <w:t>Le présent document a pour objet de fixer les classifications et les critères auxquels doivent répondre les fenêtres et portes fenêtres lorsqu’elles sont soumises aux essais définis dans la norme NM 10.2.006 et dans les normes</w:t>
            </w:r>
            <w:r w:rsidRPr="0043547B">
              <w:rPr>
                <w:rFonts w:cstheme="minorHAnsi"/>
                <w:sz w:val="24"/>
                <w:szCs w:val="24"/>
              </w:rPr>
              <w:br/>
              <w:t>marocaines correspondantes 1).</w:t>
            </w:r>
          </w:p>
          <w:p w:rsidR="00980756" w:rsidRDefault="00F30D25" w:rsidP="00980756">
            <w:pPr>
              <w:spacing w:after="0" w:line="240" w:lineRule="auto"/>
              <w:jc w:val="both"/>
              <w:rPr>
                <w:rFonts w:cstheme="minorHAnsi"/>
                <w:sz w:val="24"/>
                <w:szCs w:val="24"/>
              </w:rPr>
            </w:pPr>
            <w:r w:rsidRPr="0043547B">
              <w:rPr>
                <w:rFonts w:cstheme="minorHAnsi"/>
                <w:sz w:val="24"/>
                <w:szCs w:val="24"/>
              </w:rPr>
              <w:t>Le présent document s’applique à toutes les fenêtres telles que décrites dans la norme NM EN 14351-1.</w:t>
            </w:r>
          </w:p>
          <w:p w:rsidR="00F30D25" w:rsidRPr="0043547B" w:rsidRDefault="00F30D25" w:rsidP="00980756">
            <w:pPr>
              <w:spacing w:after="0" w:line="240" w:lineRule="auto"/>
              <w:jc w:val="both"/>
              <w:rPr>
                <w:rFonts w:cstheme="minorHAnsi"/>
                <w:sz w:val="24"/>
                <w:szCs w:val="24"/>
              </w:rPr>
            </w:pPr>
            <w:r w:rsidRPr="0043547B">
              <w:rPr>
                <w:rFonts w:cstheme="minorHAnsi"/>
                <w:sz w:val="24"/>
                <w:szCs w:val="24"/>
              </w:rPr>
              <w:t>Le présent document est scindé en deux parties, la première renvoyant aux classifications et critères fixés dans les normes marocaines parues ou à paraître et la seconde précisant les caractéristiques des fenêtres soumises à des essais additionnels non couverts par des normes marocaines.</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10.2.007</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Menuiseries métalliques - Profilés en aluminium à rupture de pont thermique en PA ou PU - Spécifications</w:t>
            </w:r>
          </w:p>
        </w:tc>
      </w:tr>
      <w:tr w:rsidR="0043547B" w:rsidRPr="0043547B" w:rsidTr="00CB5DC0">
        <w:trPr>
          <w:trHeight w:val="2728"/>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center"/>
            <w:hideMark/>
          </w:tcPr>
          <w:p w:rsidR="00980756" w:rsidRDefault="00904E52" w:rsidP="00904E52">
            <w:pPr>
              <w:spacing w:after="0" w:line="240" w:lineRule="auto"/>
              <w:jc w:val="both"/>
              <w:rPr>
                <w:rFonts w:eastAsia="Times New Roman" w:cstheme="minorHAnsi"/>
                <w:w w:val="95"/>
                <w:sz w:val="24"/>
                <w:szCs w:val="24"/>
                <w:lang w:eastAsia="fr-FR"/>
              </w:rPr>
            </w:pPr>
            <w:r w:rsidRPr="0043547B">
              <w:rPr>
                <w:rFonts w:eastAsia="Times New Roman" w:cstheme="minorHAnsi"/>
                <w:w w:val="95"/>
                <w:sz w:val="24"/>
                <w:szCs w:val="24"/>
                <w:lang w:eastAsia="fr-FR"/>
              </w:rPr>
              <w:t>Le présent document définit les spécifications techniques auxquelles doivent satisfaire les profilés en aluminium à rupture de pont thermique utilisés dans les menuiseries conformes à la norme NM 10.2.004, et ce, quelle que soit leur finition (brute, anodisée, laquée).</w:t>
            </w:r>
          </w:p>
          <w:p w:rsidR="00904E52" w:rsidRPr="0043547B" w:rsidRDefault="00904E52" w:rsidP="00904E52">
            <w:pPr>
              <w:spacing w:after="0" w:line="240" w:lineRule="auto"/>
              <w:jc w:val="both"/>
              <w:rPr>
                <w:rFonts w:eastAsia="Times New Roman" w:cstheme="minorHAnsi"/>
                <w:w w:val="95"/>
                <w:sz w:val="24"/>
                <w:szCs w:val="24"/>
                <w:lang w:eastAsia="fr-FR"/>
              </w:rPr>
            </w:pPr>
            <w:r w:rsidRPr="0043547B">
              <w:rPr>
                <w:rFonts w:eastAsia="Times New Roman" w:cstheme="minorHAnsi"/>
                <w:w w:val="95"/>
                <w:sz w:val="24"/>
                <w:szCs w:val="24"/>
                <w:lang w:eastAsia="fr-FR"/>
              </w:rPr>
              <w:t>Exclusivement deux familles de profilés à rupture de pont thermique sont visées par cette norme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celle où la coupure thermique est réalisée de façon continue par un système de résine polyuréthanne (PU) coulée dans une ou des cavités des profilés (avec enlèvement de certaines parties de matière aluminium par usinage)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celle où la coupure thermique est réalisée de façon continue par des profilés rigides en polyamide (PA) sertis sur les profilés en aluminium.</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10.2.008</w:t>
            </w:r>
          </w:p>
        </w:tc>
      </w:tr>
      <w:tr w:rsidR="0043547B" w:rsidRPr="0043547B" w:rsidTr="00CB5DC0">
        <w:trPr>
          <w:trHeight w:val="600"/>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Menuiseries métalliques - Menuiseries aluminium à Rupture de Pont - Thermique (RPT) en PA ou PU - Spécifications techniques</w:t>
            </w:r>
          </w:p>
        </w:tc>
      </w:tr>
      <w:tr w:rsidR="0043547B" w:rsidRPr="0043547B" w:rsidTr="00CB5DC0">
        <w:trPr>
          <w:trHeight w:val="56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 présent document a pour objet de définir les spécifications techniques minimales des menuiseries fabriquées avec des profilés aluminium à rupture de pont thermique répondant à la norme NM 10.2.007.</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Il s’applique à l’ensemble des menuiseries ainsi fabriquées, définies dans la norme NM 10.2.004. Cependant il ne s’applique ni aux panneaux de façades menuisés qui sont du domaine de la norme NM 10.2.210, ni aux structures de véranda.</w:t>
            </w:r>
          </w:p>
          <w:p w:rsidR="00606FAD" w:rsidRPr="0043547B" w:rsidRDefault="00606FAD" w:rsidP="00606FA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 document s’applique donc aux fenêtres et aux portes-fenêtres ainsi réalisées mais ne s’applique pas aux portes.</w:t>
            </w:r>
          </w:p>
          <w:p w:rsidR="00606FAD" w:rsidRPr="0043547B" w:rsidRDefault="00606FAD" w:rsidP="00606FA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Il s’applique aux menuiseries équipées de leurs accessoires, éventuellement de tapées et de coffre de volet roulant.</w:t>
            </w:r>
          </w:p>
          <w:p w:rsidR="00904E52" w:rsidRPr="0043547B" w:rsidRDefault="00606FAD" w:rsidP="00980756">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 document ne vise pas les menuiseries utilisant des techniques non traditionnelles.</w:t>
            </w:r>
            <w:r w:rsidRPr="0043547B">
              <w:rPr>
                <w:rFonts w:eastAsia="Times New Roman" w:cstheme="minorHAnsi"/>
                <w:sz w:val="24"/>
                <w:szCs w:val="24"/>
                <w:lang w:eastAsia="fr-FR"/>
              </w:rPr>
              <w:br/>
            </w:r>
            <w:r w:rsidRPr="0043547B">
              <w:rPr>
                <w:rFonts w:eastAsia="Times New Roman" w:cstheme="minorHAnsi"/>
                <w:b/>
                <w:bCs/>
                <w:i/>
                <w:iCs/>
                <w:sz w:val="24"/>
                <w:szCs w:val="24"/>
                <w:lang w:eastAsia="fr-FR"/>
              </w:rPr>
              <w:lastRenderedPageBreak/>
              <w:t>N</w:t>
            </w:r>
            <w:r w:rsidR="00980756">
              <w:rPr>
                <w:rFonts w:eastAsia="Times New Roman" w:cstheme="minorHAnsi"/>
                <w:b/>
                <w:bCs/>
                <w:i/>
                <w:iCs/>
                <w:sz w:val="24"/>
                <w:szCs w:val="24"/>
                <w:lang w:eastAsia="fr-FR"/>
              </w:rPr>
              <w:t xml:space="preserve">OTE </w:t>
            </w:r>
            <w:r w:rsidR="00980756">
              <w:rPr>
                <w:rFonts w:eastAsia="Times New Roman" w:cstheme="minorHAnsi"/>
                <w:i/>
                <w:iCs/>
                <w:sz w:val="24"/>
                <w:szCs w:val="24"/>
                <w:lang w:eastAsia="fr-FR"/>
              </w:rPr>
              <w:t>:</w:t>
            </w:r>
            <w:r w:rsidRPr="0043547B">
              <w:rPr>
                <w:rFonts w:eastAsia="Times New Roman" w:cstheme="minorHAnsi"/>
                <w:i/>
                <w:iCs/>
                <w:sz w:val="24"/>
                <w:szCs w:val="24"/>
                <w:lang w:eastAsia="fr-FR"/>
              </w:rPr>
              <w:t xml:space="preserve"> Actuellement sont non traditionnelles les menuiseries utilisant les techniques de coupure thermique ne répondant pas à la norme NM 10.2.007, les techniques du VEC ou des vitrages respirant.</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10.2.064</w:t>
            </w:r>
          </w:p>
        </w:tc>
      </w:tr>
      <w:tr w:rsidR="0043547B" w:rsidRPr="0043547B" w:rsidTr="00CB5DC0">
        <w:trPr>
          <w:trHeight w:val="420"/>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Spécifications de résistance à l’effraction par des moyens destructifs des blocs portes munis de leurs accessoires </w:t>
            </w:r>
          </w:p>
        </w:tc>
      </w:tr>
      <w:tr w:rsidR="0043547B" w:rsidRPr="0043547B" w:rsidTr="00CB5DC0">
        <w:trPr>
          <w:trHeight w:val="2913"/>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aux blocs-portes neufs complets à un ou deux vantaux tels qu’ils doivent être livrés sur chantier pour y être posés et comprenant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l’ouvrant (vantail ou vantaux)</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le dormant (bâti ou huisserie) et son système de liaison avec la structure porteuse,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la quincaillerie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système de fermeture,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système de pivotement,</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autre système particulier.</w:t>
            </w:r>
          </w:p>
          <w:p w:rsidR="00641951" w:rsidRPr="0043547B" w:rsidRDefault="00904E52" w:rsidP="00980756">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blocs-portes doivent par ailleurs répondre à l’usage auquel ils sont destinés</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10.2.150</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Menuiseries en bois - Blocs-portes pare-flamme et coupe-feu 1/4 d’heure</w:t>
            </w:r>
          </w:p>
        </w:tc>
      </w:tr>
      <w:tr w:rsidR="0043547B" w:rsidRPr="0043547B" w:rsidTr="00CB5DC0">
        <w:trPr>
          <w:trHeight w:val="120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Cette norme s'applique aux blocs portes en bois, ou à base de bois, comportant une huisserie ou un bâti, pouvant être en métal ou en bois, et un vantail plan quel que soit son profil (feuillure, recouvrement).</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S'agissant d'une norme descriptive, elle évite aux produits, répondant aux définitions figurant ci-après, de subir les essais selon NM 10.2.016.</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10.2.151</w:t>
            </w:r>
          </w:p>
        </w:tc>
      </w:tr>
      <w:tr w:rsidR="0043547B" w:rsidRPr="0043547B" w:rsidTr="00CB5DC0">
        <w:trPr>
          <w:trHeight w:val="116"/>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Menuiseries en bois - Blocs-portes pare-flamme et coupe-feu ½ heure </w:t>
            </w:r>
          </w:p>
        </w:tc>
      </w:tr>
      <w:tr w:rsidR="0043547B" w:rsidRPr="0043547B" w:rsidTr="00CB5DC0">
        <w:trPr>
          <w:trHeight w:val="943"/>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Cette norme s´applique aux blocs portes en bois, ou à base de bois, comportant une huisserie ou un bâti, pouvant être en bois ou en métal, et un vantail plan.</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ne s´applique pas aux blocs portes dont le vantail est à recouvrement.</w:t>
            </w:r>
          </w:p>
          <w:p w:rsidR="00641951" w:rsidRPr="0043547B" w:rsidRDefault="00904E52" w:rsidP="00980756">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S´agissant d´une norme descriptive, elle évite aux produits, répondant aux définitions figurant ci-après, de subir les essais selon NM 10.2.016.</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10.2.208</w:t>
            </w:r>
          </w:p>
        </w:tc>
      </w:tr>
      <w:tr w:rsidR="0043547B" w:rsidRPr="0043547B" w:rsidTr="00CB5DC0">
        <w:trPr>
          <w:trHeight w:val="600"/>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Menuiserie métallique - Fenêtres, façades rideaux, semi-rideaux, panneaux à ossature métallique - Protection contre la corrosion et préservation des états de surface</w:t>
            </w:r>
          </w:p>
        </w:tc>
      </w:tr>
      <w:tr w:rsidR="0043547B" w:rsidRPr="0043547B" w:rsidTr="00CB5DC0">
        <w:trPr>
          <w:trHeight w:val="708"/>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center"/>
            <w:hideMark/>
          </w:tcPr>
          <w:p w:rsidR="00904E52" w:rsidRPr="0043547B" w:rsidRDefault="00904E52" w:rsidP="00614766">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 présent document définit les différentes préparations et protections contre la corrosion et les dégradations des aspects des surfaces finies que doivent recevoir:</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les fenêtres métalliques relevant tant du domaine traditionnel et répondant à la norme NM 10.2.259 que du domaine non traditionnel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les fenêtres composées et ensembles composés à ossature métallique relevant tant du domaine traditionnel que du domaine non traditionnel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les façades rideaux, semi-rideaux et panneaux du domaine d'application de la norme NM 10.2.210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ainsi que les accessoires ou articles divers faisant partie des produits ci-dessus tels que précadres, encadrements de baies, bâtis, cadres, tapées, caissons, coffres de volets roulants réalisés en métal. Il s'agit de protection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contre la corrosion pour les métaux susceptibles de s'oxyder, par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lastRenderedPageBreak/>
              <w:t>- métallisation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galvanisation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électrodéposition par cataphorèse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contre les dégradations éventuelles que peuvent subir les aspects de surface de certains métaux, par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peinture de finition dans le cas des métaux ferreux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oxydation anodique, thermolaquage pour les alliages d'aluminium.</w:t>
            </w:r>
          </w:p>
          <w:p w:rsidR="00641951" w:rsidRPr="0043547B" w:rsidRDefault="00904E52" w:rsidP="00980756">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Par contre, le présent document ne s'applique pas aux travaux de rénovation.</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2776</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2776</w:t>
            </w:r>
          </w:p>
        </w:tc>
      </w:tr>
      <w:tr w:rsidR="0043547B" w:rsidRPr="0043547B" w:rsidTr="00CB5DC0">
        <w:trPr>
          <w:trHeight w:val="36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Coordination modulaire – Dimensions de coordination des portes extérieures et intérieures</w:t>
            </w:r>
          </w:p>
        </w:tc>
      </w:tr>
      <w:tr w:rsidR="0043547B" w:rsidRPr="0043547B" w:rsidTr="00CB5DC0">
        <w:trPr>
          <w:trHeight w:val="254"/>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aux portes extérieures et intérieures utilisées dans la construction de bâtiments de tous genres.</w:t>
            </w:r>
          </w:p>
        </w:tc>
      </w:tr>
      <w:tr w:rsidR="0043547B" w:rsidRPr="0043547B" w:rsidTr="00CB5DC0">
        <w:trPr>
          <w:trHeight w:val="254"/>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tcPr>
          <w:p w:rsidR="00D54A5C" w:rsidRPr="0043547B" w:rsidRDefault="00D54A5C" w:rsidP="00D54A5C">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tcPr>
          <w:p w:rsidR="00D54A5C" w:rsidRPr="0043547B" w:rsidRDefault="00D54A5C" w:rsidP="00D54A5C">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10.2.268</w:t>
            </w:r>
          </w:p>
        </w:tc>
      </w:tr>
      <w:tr w:rsidR="0043547B" w:rsidRPr="0043547B" w:rsidTr="00CB5DC0">
        <w:trPr>
          <w:trHeight w:val="254"/>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tcPr>
          <w:p w:rsidR="00D54A5C" w:rsidRPr="0043547B" w:rsidRDefault="00D54A5C" w:rsidP="00D54A5C">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tcPr>
          <w:p w:rsidR="00D54A5C" w:rsidRPr="0043547B" w:rsidRDefault="00D54A5C" w:rsidP="00D54A5C">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12154</w:t>
            </w:r>
          </w:p>
        </w:tc>
      </w:tr>
      <w:tr w:rsidR="0043547B" w:rsidRPr="0043547B" w:rsidTr="00CB5DC0">
        <w:trPr>
          <w:trHeight w:val="254"/>
          <w:jc w:val="center"/>
        </w:trPr>
        <w:tc>
          <w:tcPr>
            <w:tcW w:w="1838" w:type="dxa"/>
            <w:tcBorders>
              <w:top w:val="nil"/>
              <w:left w:val="single" w:sz="18" w:space="0" w:color="auto"/>
              <w:bottom w:val="single" w:sz="4" w:space="0" w:color="auto"/>
              <w:right w:val="single" w:sz="4" w:space="0" w:color="auto"/>
            </w:tcBorders>
            <w:shd w:val="clear" w:color="000000" w:fill="8DB4E2"/>
            <w:vAlign w:val="center"/>
          </w:tcPr>
          <w:p w:rsidR="00D54A5C" w:rsidRPr="0043547B" w:rsidRDefault="00D54A5C" w:rsidP="00D54A5C">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tcPr>
          <w:p w:rsidR="00D54A5C" w:rsidRPr="0043547B" w:rsidRDefault="00D54A5C" w:rsidP="00D54A5C">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Façades rideaux – Etanchéité à l’eau – Exigences de performance et classification </w:t>
            </w:r>
          </w:p>
        </w:tc>
      </w:tr>
      <w:tr w:rsidR="0043547B" w:rsidRPr="0043547B" w:rsidTr="00CB5DC0">
        <w:trPr>
          <w:trHeight w:val="254"/>
          <w:jc w:val="center"/>
        </w:trPr>
        <w:tc>
          <w:tcPr>
            <w:tcW w:w="1838" w:type="dxa"/>
            <w:tcBorders>
              <w:top w:val="nil"/>
              <w:left w:val="single" w:sz="18" w:space="0" w:color="auto"/>
              <w:bottom w:val="single" w:sz="18" w:space="0" w:color="auto"/>
              <w:right w:val="single" w:sz="4" w:space="0" w:color="auto"/>
            </w:tcBorders>
            <w:shd w:val="clear" w:color="000000" w:fill="D9D9D9"/>
            <w:vAlign w:val="center"/>
          </w:tcPr>
          <w:p w:rsidR="00D54A5C" w:rsidRPr="0043547B" w:rsidRDefault="00D54A5C" w:rsidP="00D54A5C">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tcPr>
          <w:p w:rsidR="002F5EDC" w:rsidRDefault="00D54A5C" w:rsidP="00D54A5C">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définit les exigences et la classification des performances d'étanchéité à l'eau tant des parties fixes que mobiles d'une façade rideau sous pression d'air statique positive.</w:t>
            </w:r>
          </w:p>
          <w:p w:rsidR="00D54A5C" w:rsidRPr="0043547B" w:rsidRDefault="00D54A5C" w:rsidP="002F5EDC">
            <w:pPr>
              <w:spacing w:after="0" w:line="240" w:lineRule="auto"/>
              <w:jc w:val="both"/>
              <w:rPr>
                <w:rFonts w:eastAsia="Times New Roman" w:cstheme="minorHAnsi"/>
                <w:sz w:val="24"/>
                <w:szCs w:val="24"/>
                <w:lang w:eastAsia="fr-FR"/>
              </w:rPr>
            </w:pPr>
            <w:r w:rsidRPr="002F5EDC">
              <w:rPr>
                <w:rFonts w:eastAsia="Times New Roman" w:cstheme="minorHAnsi"/>
                <w:b/>
                <w:bCs/>
                <w:i/>
                <w:iCs/>
                <w:lang w:eastAsia="fr-FR"/>
              </w:rPr>
              <w:t>N</w:t>
            </w:r>
            <w:r w:rsidR="002F5EDC" w:rsidRPr="002F5EDC">
              <w:rPr>
                <w:rFonts w:eastAsia="Times New Roman" w:cstheme="minorHAnsi"/>
                <w:b/>
                <w:bCs/>
                <w:i/>
                <w:iCs/>
                <w:lang w:eastAsia="fr-FR"/>
              </w:rPr>
              <w:t xml:space="preserve">OTE : </w:t>
            </w:r>
            <w:r w:rsidRPr="002F5EDC">
              <w:rPr>
                <w:rFonts w:eastAsia="Times New Roman" w:cstheme="minorHAnsi"/>
                <w:i/>
                <w:iCs/>
                <w:lang w:eastAsia="fr-FR"/>
              </w:rPr>
              <w:t>La norme s'applique aux façades rideaux conformément à la NM 10.2.410.</w:t>
            </w:r>
          </w:p>
        </w:tc>
      </w:tr>
      <w:tr w:rsidR="000E7FF2" w:rsidRPr="0043547B" w:rsidTr="00383D5A">
        <w:trPr>
          <w:trHeight w:val="254"/>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0E7FF2" w:rsidRPr="00383D5A" w:rsidRDefault="000E7FF2" w:rsidP="00383D5A">
            <w:pPr>
              <w:spacing w:after="0" w:line="240" w:lineRule="auto"/>
              <w:jc w:val="center"/>
              <w:rPr>
                <w:rFonts w:ascii="Calibri" w:hAnsi="Calibri" w:cs="Calibri"/>
                <w:b/>
                <w:bCs/>
                <w:sz w:val="24"/>
                <w:szCs w:val="24"/>
              </w:rPr>
            </w:pPr>
            <w:r w:rsidRPr="00383D5A">
              <w:rPr>
                <w:rFonts w:ascii="Calibri" w:hAnsi="Calibri" w:cs="Calibri"/>
                <w:b/>
                <w:bCs/>
                <w:sz w:val="24"/>
                <w:szCs w:val="24"/>
              </w:rPr>
              <w:t>Code :</w:t>
            </w:r>
          </w:p>
        </w:tc>
        <w:tc>
          <w:tcPr>
            <w:tcW w:w="7938" w:type="dxa"/>
            <w:tcBorders>
              <w:top w:val="nil"/>
              <w:left w:val="single" w:sz="4" w:space="0" w:color="auto"/>
              <w:bottom w:val="single" w:sz="18" w:space="0" w:color="auto"/>
              <w:right w:val="single" w:sz="18" w:space="0" w:color="auto"/>
            </w:tcBorders>
            <w:shd w:val="clear" w:color="auto" w:fill="C2D69B" w:themeFill="accent3" w:themeFillTint="99"/>
            <w:vAlign w:val="center"/>
          </w:tcPr>
          <w:p w:rsidR="000E7FF2" w:rsidRPr="00383D5A" w:rsidRDefault="000E7FF2" w:rsidP="00383D5A">
            <w:pPr>
              <w:spacing w:after="0" w:line="240" w:lineRule="auto"/>
              <w:jc w:val="center"/>
              <w:rPr>
                <w:rFonts w:ascii="Times New Roman" w:hAnsi="Times New Roman" w:cs="Times New Roman"/>
                <w:b/>
                <w:bCs/>
                <w:color w:val="000000"/>
                <w:sz w:val="24"/>
                <w:szCs w:val="24"/>
              </w:rPr>
            </w:pPr>
            <w:r w:rsidRPr="00383D5A">
              <w:rPr>
                <w:b/>
                <w:bCs/>
                <w:color w:val="000000"/>
                <w:sz w:val="24"/>
                <w:szCs w:val="24"/>
              </w:rPr>
              <w:t>NM EN 15651-1</w:t>
            </w:r>
          </w:p>
        </w:tc>
      </w:tr>
      <w:tr w:rsidR="000E7FF2" w:rsidRPr="0043547B" w:rsidTr="00383D5A">
        <w:trPr>
          <w:trHeight w:val="254"/>
          <w:jc w:val="center"/>
        </w:trPr>
        <w:tc>
          <w:tcPr>
            <w:tcW w:w="1838" w:type="dxa"/>
            <w:tcBorders>
              <w:top w:val="nil"/>
              <w:left w:val="single" w:sz="18" w:space="0" w:color="auto"/>
              <w:bottom w:val="single" w:sz="18" w:space="0" w:color="auto"/>
              <w:right w:val="single" w:sz="4" w:space="0" w:color="auto"/>
            </w:tcBorders>
            <w:shd w:val="clear" w:color="auto" w:fill="FFFF99"/>
            <w:vAlign w:val="center"/>
          </w:tcPr>
          <w:p w:rsidR="000E7FF2" w:rsidRPr="00383D5A" w:rsidRDefault="000E7FF2" w:rsidP="00383D5A">
            <w:pPr>
              <w:spacing w:after="0" w:line="240" w:lineRule="auto"/>
              <w:jc w:val="center"/>
              <w:rPr>
                <w:rFonts w:ascii="Calibri" w:hAnsi="Calibri" w:cs="Calibri"/>
                <w:b/>
                <w:bCs/>
                <w:sz w:val="24"/>
                <w:szCs w:val="24"/>
              </w:rPr>
            </w:pPr>
            <w:r w:rsidRPr="00383D5A">
              <w:rPr>
                <w:rFonts w:ascii="Calibri" w:hAnsi="Calibri" w:cs="Calibri"/>
                <w:b/>
                <w:bCs/>
                <w:sz w:val="24"/>
                <w:szCs w:val="24"/>
              </w:rPr>
              <w:t>Equivalence :</w:t>
            </w:r>
          </w:p>
        </w:tc>
        <w:tc>
          <w:tcPr>
            <w:tcW w:w="7938" w:type="dxa"/>
            <w:tcBorders>
              <w:top w:val="nil"/>
              <w:left w:val="single" w:sz="4" w:space="0" w:color="auto"/>
              <w:bottom w:val="single" w:sz="18" w:space="0" w:color="auto"/>
              <w:right w:val="single" w:sz="18" w:space="0" w:color="auto"/>
            </w:tcBorders>
            <w:shd w:val="clear" w:color="auto" w:fill="FFFF99"/>
            <w:vAlign w:val="center"/>
          </w:tcPr>
          <w:p w:rsidR="000E7FF2" w:rsidRPr="00383D5A" w:rsidRDefault="000E7FF2" w:rsidP="00383D5A">
            <w:pPr>
              <w:spacing w:after="0" w:line="240" w:lineRule="auto"/>
              <w:jc w:val="center"/>
              <w:rPr>
                <w:rFonts w:ascii="Times New Roman" w:hAnsi="Times New Roman" w:cs="Times New Roman"/>
                <w:b/>
                <w:bCs/>
                <w:color w:val="000000"/>
                <w:sz w:val="24"/>
                <w:szCs w:val="24"/>
              </w:rPr>
            </w:pPr>
            <w:r w:rsidRPr="00383D5A">
              <w:rPr>
                <w:b/>
                <w:bCs/>
                <w:color w:val="000000"/>
                <w:sz w:val="24"/>
                <w:szCs w:val="24"/>
              </w:rPr>
              <w:t>EN 15651-1</w:t>
            </w:r>
          </w:p>
        </w:tc>
      </w:tr>
      <w:tr w:rsidR="000E7FF2" w:rsidRPr="0043547B" w:rsidTr="00383D5A">
        <w:trPr>
          <w:trHeight w:val="254"/>
          <w:jc w:val="center"/>
        </w:trPr>
        <w:tc>
          <w:tcPr>
            <w:tcW w:w="1838" w:type="dxa"/>
            <w:tcBorders>
              <w:top w:val="single" w:sz="18" w:space="0" w:color="auto"/>
              <w:left w:val="single" w:sz="18" w:space="0" w:color="auto"/>
              <w:bottom w:val="single" w:sz="4" w:space="0" w:color="auto"/>
              <w:right w:val="single" w:sz="4" w:space="0" w:color="auto"/>
            </w:tcBorders>
            <w:shd w:val="clear" w:color="auto" w:fill="95B3D7" w:themeFill="accent1" w:themeFillTint="99"/>
            <w:vAlign w:val="center"/>
          </w:tcPr>
          <w:p w:rsidR="000E7FF2" w:rsidRPr="00383D5A" w:rsidRDefault="000E7FF2" w:rsidP="00383D5A">
            <w:pPr>
              <w:spacing w:after="0" w:line="240" w:lineRule="auto"/>
              <w:jc w:val="center"/>
              <w:rPr>
                <w:rFonts w:ascii="Calibri" w:hAnsi="Calibri" w:cs="Calibri"/>
                <w:b/>
                <w:bCs/>
                <w:sz w:val="24"/>
                <w:szCs w:val="24"/>
              </w:rPr>
            </w:pPr>
            <w:r w:rsidRPr="00383D5A">
              <w:rPr>
                <w:rFonts w:ascii="Calibri" w:hAnsi="Calibri" w:cs="Calibr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bottom"/>
          </w:tcPr>
          <w:p w:rsidR="000E7FF2" w:rsidRPr="00383D5A" w:rsidRDefault="000E7FF2" w:rsidP="00383D5A">
            <w:pPr>
              <w:spacing w:after="0" w:line="240" w:lineRule="auto"/>
              <w:jc w:val="both"/>
              <w:rPr>
                <w:rFonts w:ascii="Times New Roman" w:hAnsi="Times New Roman" w:cs="Times New Roman"/>
                <w:color w:val="000000"/>
                <w:sz w:val="24"/>
                <w:szCs w:val="24"/>
              </w:rPr>
            </w:pPr>
            <w:r w:rsidRPr="00383D5A">
              <w:rPr>
                <w:color w:val="000000"/>
                <w:sz w:val="24"/>
                <w:szCs w:val="24"/>
              </w:rPr>
              <w:t xml:space="preserve">Mastics pour joints pour des usages non structuraux dans les constructions immobilières et pour chemins piétonniers - Partie 1 : Mastics pour éléments de façade </w:t>
            </w:r>
          </w:p>
        </w:tc>
      </w:tr>
      <w:tr w:rsidR="000E7FF2" w:rsidRPr="0043547B" w:rsidTr="00383D5A">
        <w:trPr>
          <w:trHeight w:val="254"/>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0E7FF2" w:rsidRPr="00383D5A" w:rsidRDefault="000E7FF2" w:rsidP="00383D5A">
            <w:pPr>
              <w:spacing w:after="0" w:line="240" w:lineRule="auto"/>
              <w:jc w:val="center"/>
              <w:rPr>
                <w:rFonts w:ascii="Calibri" w:hAnsi="Calibri" w:cs="Calibri"/>
                <w:b/>
                <w:bCs/>
                <w:sz w:val="24"/>
                <w:szCs w:val="24"/>
              </w:rPr>
            </w:pPr>
            <w:r w:rsidRPr="00383D5A">
              <w:rPr>
                <w:rFonts w:ascii="Calibri" w:hAnsi="Calibri" w:cs="Calibr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bottom"/>
          </w:tcPr>
          <w:p w:rsidR="00383D5A" w:rsidRDefault="000E7FF2" w:rsidP="00383D5A">
            <w:pPr>
              <w:spacing w:after="0" w:line="240" w:lineRule="auto"/>
              <w:jc w:val="both"/>
              <w:rPr>
                <w:color w:val="000000"/>
                <w:sz w:val="24"/>
                <w:szCs w:val="24"/>
              </w:rPr>
            </w:pPr>
            <w:r w:rsidRPr="00383D5A">
              <w:rPr>
                <w:color w:val="000000"/>
                <w:sz w:val="24"/>
                <w:szCs w:val="24"/>
              </w:rPr>
              <w:t>La présente Norme européenne spécifie les définitions et les exigences relatives aux mastics pour joints</w:t>
            </w:r>
            <w:r w:rsidR="00383D5A">
              <w:rPr>
                <w:color w:val="000000"/>
                <w:sz w:val="24"/>
                <w:szCs w:val="24"/>
              </w:rPr>
              <w:t xml:space="preserve"> </w:t>
            </w:r>
            <w:r w:rsidRPr="00383D5A">
              <w:rPr>
                <w:color w:val="000000"/>
                <w:sz w:val="24"/>
                <w:szCs w:val="24"/>
              </w:rPr>
              <w:t>de façade non structuraux destinés à calfeutrer des joints de murs extérieurs et des joints au périmètre</w:t>
            </w:r>
            <w:r w:rsidR="00383D5A">
              <w:rPr>
                <w:color w:val="000000"/>
                <w:sz w:val="24"/>
                <w:szCs w:val="24"/>
              </w:rPr>
              <w:t xml:space="preserve"> </w:t>
            </w:r>
            <w:r w:rsidRPr="00383D5A">
              <w:rPr>
                <w:color w:val="000000"/>
                <w:sz w:val="24"/>
                <w:szCs w:val="24"/>
              </w:rPr>
              <w:t>de fenêtres et de portes dans la construction immobilière, y compris la face intérieure.</w:t>
            </w:r>
          </w:p>
          <w:p w:rsidR="00383D5A" w:rsidRPr="00383D5A" w:rsidRDefault="000E7FF2" w:rsidP="00383D5A">
            <w:pPr>
              <w:spacing w:after="0" w:line="240" w:lineRule="auto"/>
              <w:jc w:val="both"/>
              <w:rPr>
                <w:i/>
                <w:iCs/>
                <w:color w:val="000000"/>
              </w:rPr>
            </w:pPr>
            <w:r w:rsidRPr="00383D5A">
              <w:rPr>
                <w:b/>
                <w:bCs/>
                <w:i/>
                <w:iCs/>
                <w:color w:val="000000"/>
              </w:rPr>
              <w:t>NOTE</w:t>
            </w:r>
            <w:r w:rsidRPr="00383D5A">
              <w:rPr>
                <w:i/>
                <w:iCs/>
                <w:color w:val="000000"/>
              </w:rPr>
              <w:t xml:space="preserve"> Les dispositions concernant l'évaluation et la vérification de la constance des performances, ou EVCP, (à</w:t>
            </w:r>
            <w:r w:rsidR="00383D5A" w:rsidRPr="00383D5A">
              <w:rPr>
                <w:i/>
                <w:iCs/>
                <w:color w:val="000000"/>
              </w:rPr>
              <w:t xml:space="preserve"> </w:t>
            </w:r>
            <w:r w:rsidRPr="00383D5A">
              <w:rPr>
                <w:i/>
                <w:iCs/>
                <w:color w:val="000000"/>
              </w:rPr>
              <w:t>savoir la détermination du type de produit et le contrôle de la production en usine) et le marquage de ces produits</w:t>
            </w:r>
            <w:r w:rsidR="00383D5A">
              <w:rPr>
                <w:i/>
                <w:iCs/>
                <w:color w:val="000000"/>
              </w:rPr>
              <w:t xml:space="preserve"> </w:t>
            </w:r>
            <w:r w:rsidRPr="00383D5A">
              <w:rPr>
                <w:i/>
                <w:iCs/>
                <w:color w:val="000000"/>
              </w:rPr>
              <w:t>sont données dans l'EN 15651-5.</w:t>
            </w:r>
          </w:p>
          <w:p w:rsidR="000E7FF2" w:rsidRDefault="000E7FF2" w:rsidP="00383D5A">
            <w:pPr>
              <w:spacing w:after="0" w:line="240" w:lineRule="auto"/>
              <w:jc w:val="both"/>
              <w:rPr>
                <w:color w:val="000000"/>
                <w:sz w:val="24"/>
                <w:szCs w:val="24"/>
              </w:rPr>
            </w:pPr>
            <w:r w:rsidRPr="00383D5A">
              <w:rPr>
                <w:color w:val="000000"/>
                <w:sz w:val="24"/>
                <w:szCs w:val="24"/>
              </w:rPr>
              <w:t>La présente Norme européenne ne s’applique pas aux produits pour joints non structuraux sous une</w:t>
            </w:r>
            <w:r w:rsidR="00383D5A">
              <w:rPr>
                <w:color w:val="000000"/>
                <w:sz w:val="24"/>
                <w:szCs w:val="24"/>
              </w:rPr>
              <w:t xml:space="preserve"> </w:t>
            </w:r>
            <w:r w:rsidRPr="00383D5A">
              <w:rPr>
                <w:color w:val="000000"/>
                <w:sz w:val="24"/>
                <w:szCs w:val="24"/>
              </w:rPr>
              <w:t>autre forme que pâteuse utilisés pour les murs et/ou les cloisons intérieurs, ni aux mastics à base d'huile.</w:t>
            </w:r>
          </w:p>
          <w:p w:rsidR="00383D5A" w:rsidRDefault="00383D5A" w:rsidP="00383D5A">
            <w:pPr>
              <w:spacing w:after="0" w:line="240" w:lineRule="auto"/>
              <w:jc w:val="both"/>
              <w:rPr>
                <w:color w:val="000000"/>
                <w:sz w:val="24"/>
                <w:szCs w:val="24"/>
              </w:rPr>
            </w:pPr>
          </w:p>
          <w:p w:rsidR="00383D5A" w:rsidRPr="00383D5A" w:rsidRDefault="00383D5A" w:rsidP="00383D5A">
            <w:pPr>
              <w:spacing w:after="0" w:line="240" w:lineRule="auto"/>
              <w:jc w:val="both"/>
              <w:rPr>
                <w:rFonts w:ascii="Times New Roman" w:hAnsi="Times New Roman" w:cs="Times New Roman"/>
                <w:color w:val="000000"/>
                <w:sz w:val="24"/>
                <w:szCs w:val="24"/>
              </w:rPr>
            </w:pPr>
          </w:p>
        </w:tc>
      </w:tr>
      <w:tr w:rsidR="000E7FF2" w:rsidRPr="0043547B" w:rsidTr="00383D5A">
        <w:trPr>
          <w:trHeight w:val="383"/>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0E7FF2" w:rsidRPr="00383D5A" w:rsidRDefault="000E7FF2" w:rsidP="00383D5A">
            <w:pPr>
              <w:spacing w:after="0" w:line="240" w:lineRule="auto"/>
              <w:jc w:val="center"/>
              <w:rPr>
                <w:rFonts w:ascii="Calibri" w:hAnsi="Calibri" w:cs="Calibri"/>
                <w:b/>
                <w:bCs/>
                <w:sz w:val="24"/>
                <w:szCs w:val="24"/>
              </w:rPr>
            </w:pPr>
            <w:r w:rsidRPr="00383D5A">
              <w:rPr>
                <w:rFonts w:ascii="Calibri" w:hAnsi="Calibri" w:cs="Calibri"/>
                <w:b/>
                <w:bCs/>
                <w:sz w:val="24"/>
                <w:szCs w:val="24"/>
              </w:rPr>
              <w:t>Code :</w:t>
            </w:r>
          </w:p>
        </w:tc>
        <w:tc>
          <w:tcPr>
            <w:tcW w:w="7938" w:type="dxa"/>
            <w:tcBorders>
              <w:top w:val="nil"/>
              <w:left w:val="single" w:sz="4" w:space="0" w:color="auto"/>
              <w:bottom w:val="single" w:sz="18" w:space="0" w:color="auto"/>
              <w:right w:val="single" w:sz="18" w:space="0" w:color="auto"/>
            </w:tcBorders>
            <w:shd w:val="clear" w:color="auto" w:fill="C2D69B" w:themeFill="accent3" w:themeFillTint="99"/>
            <w:vAlign w:val="center"/>
          </w:tcPr>
          <w:p w:rsidR="000E7FF2" w:rsidRPr="00383D5A" w:rsidRDefault="000E7FF2" w:rsidP="00383D5A">
            <w:pPr>
              <w:spacing w:after="0" w:line="240" w:lineRule="auto"/>
              <w:jc w:val="center"/>
              <w:rPr>
                <w:rFonts w:ascii="Times New Roman" w:hAnsi="Times New Roman" w:cs="Times New Roman"/>
                <w:b/>
                <w:bCs/>
                <w:color w:val="000000"/>
                <w:sz w:val="24"/>
                <w:szCs w:val="24"/>
              </w:rPr>
            </w:pPr>
            <w:r w:rsidRPr="00383D5A">
              <w:rPr>
                <w:b/>
                <w:bCs/>
                <w:color w:val="000000"/>
                <w:sz w:val="24"/>
                <w:szCs w:val="24"/>
              </w:rPr>
              <w:t>NM EN 15651-2</w:t>
            </w:r>
          </w:p>
        </w:tc>
      </w:tr>
      <w:tr w:rsidR="000E7FF2" w:rsidRPr="0043547B" w:rsidTr="00383D5A">
        <w:trPr>
          <w:trHeight w:val="501"/>
          <w:jc w:val="center"/>
        </w:trPr>
        <w:tc>
          <w:tcPr>
            <w:tcW w:w="1838" w:type="dxa"/>
            <w:tcBorders>
              <w:top w:val="nil"/>
              <w:left w:val="single" w:sz="18" w:space="0" w:color="auto"/>
              <w:bottom w:val="single" w:sz="18" w:space="0" w:color="auto"/>
              <w:right w:val="single" w:sz="4" w:space="0" w:color="auto"/>
            </w:tcBorders>
            <w:shd w:val="clear" w:color="auto" w:fill="FFFF99"/>
            <w:vAlign w:val="center"/>
          </w:tcPr>
          <w:p w:rsidR="000E7FF2" w:rsidRPr="00383D5A" w:rsidRDefault="000E7FF2" w:rsidP="00383D5A">
            <w:pPr>
              <w:spacing w:after="0" w:line="240" w:lineRule="auto"/>
              <w:jc w:val="center"/>
              <w:rPr>
                <w:rFonts w:ascii="Calibri" w:hAnsi="Calibri" w:cs="Calibri"/>
                <w:b/>
                <w:bCs/>
                <w:sz w:val="24"/>
                <w:szCs w:val="24"/>
              </w:rPr>
            </w:pPr>
            <w:r w:rsidRPr="00383D5A">
              <w:rPr>
                <w:rFonts w:ascii="Calibri" w:hAnsi="Calibri" w:cs="Calibri"/>
                <w:b/>
                <w:bCs/>
                <w:sz w:val="24"/>
                <w:szCs w:val="24"/>
              </w:rPr>
              <w:t>Equivalence :</w:t>
            </w:r>
          </w:p>
        </w:tc>
        <w:tc>
          <w:tcPr>
            <w:tcW w:w="7938" w:type="dxa"/>
            <w:tcBorders>
              <w:top w:val="nil"/>
              <w:left w:val="single" w:sz="4" w:space="0" w:color="auto"/>
              <w:bottom w:val="single" w:sz="18" w:space="0" w:color="auto"/>
              <w:right w:val="single" w:sz="18" w:space="0" w:color="auto"/>
            </w:tcBorders>
            <w:shd w:val="clear" w:color="auto" w:fill="FFFF99"/>
            <w:vAlign w:val="center"/>
          </w:tcPr>
          <w:p w:rsidR="000E7FF2" w:rsidRPr="00383D5A" w:rsidRDefault="000E7FF2" w:rsidP="00383D5A">
            <w:pPr>
              <w:spacing w:after="0" w:line="240" w:lineRule="auto"/>
              <w:jc w:val="center"/>
              <w:rPr>
                <w:rFonts w:ascii="Times New Roman" w:hAnsi="Times New Roman" w:cs="Times New Roman"/>
                <w:b/>
                <w:bCs/>
                <w:color w:val="000000"/>
                <w:sz w:val="24"/>
                <w:szCs w:val="24"/>
              </w:rPr>
            </w:pPr>
            <w:r w:rsidRPr="00383D5A">
              <w:rPr>
                <w:b/>
                <w:bCs/>
                <w:color w:val="000000"/>
                <w:sz w:val="24"/>
                <w:szCs w:val="24"/>
              </w:rPr>
              <w:t>EN 15651-2</w:t>
            </w:r>
          </w:p>
        </w:tc>
      </w:tr>
      <w:tr w:rsidR="000E7FF2" w:rsidRPr="0043547B" w:rsidTr="00383D5A">
        <w:trPr>
          <w:trHeight w:val="254"/>
          <w:jc w:val="center"/>
        </w:trPr>
        <w:tc>
          <w:tcPr>
            <w:tcW w:w="1838" w:type="dxa"/>
            <w:tcBorders>
              <w:top w:val="nil"/>
              <w:left w:val="single" w:sz="18" w:space="0" w:color="auto"/>
              <w:bottom w:val="single" w:sz="18" w:space="0" w:color="auto"/>
              <w:right w:val="single" w:sz="4" w:space="0" w:color="auto"/>
            </w:tcBorders>
            <w:shd w:val="clear" w:color="auto" w:fill="95B3D7" w:themeFill="accent1" w:themeFillTint="99"/>
            <w:vAlign w:val="center"/>
          </w:tcPr>
          <w:p w:rsidR="000E7FF2" w:rsidRPr="00383D5A" w:rsidRDefault="000E7FF2" w:rsidP="00383D5A">
            <w:pPr>
              <w:spacing w:after="0" w:line="240" w:lineRule="auto"/>
              <w:jc w:val="center"/>
              <w:rPr>
                <w:rFonts w:ascii="Calibri" w:hAnsi="Calibri" w:cs="Calibri"/>
                <w:b/>
                <w:bCs/>
                <w:sz w:val="24"/>
                <w:szCs w:val="24"/>
              </w:rPr>
            </w:pPr>
            <w:r w:rsidRPr="00383D5A">
              <w:rPr>
                <w:rFonts w:ascii="Calibri" w:hAnsi="Calibri" w:cs="Calibri"/>
                <w:b/>
                <w:bCs/>
                <w:sz w:val="24"/>
                <w:szCs w:val="24"/>
              </w:rPr>
              <w:t>Intitulé :</w:t>
            </w:r>
          </w:p>
        </w:tc>
        <w:tc>
          <w:tcPr>
            <w:tcW w:w="7938" w:type="dxa"/>
            <w:tcBorders>
              <w:top w:val="nil"/>
              <w:left w:val="single" w:sz="4" w:space="0" w:color="auto"/>
              <w:bottom w:val="single" w:sz="18" w:space="0" w:color="auto"/>
              <w:right w:val="single" w:sz="18" w:space="0" w:color="auto"/>
            </w:tcBorders>
            <w:shd w:val="clear" w:color="auto" w:fill="auto"/>
            <w:vAlign w:val="bottom"/>
          </w:tcPr>
          <w:p w:rsidR="000E7FF2" w:rsidRPr="00383D5A" w:rsidRDefault="000E7FF2" w:rsidP="00383D5A">
            <w:pPr>
              <w:spacing w:after="0" w:line="240" w:lineRule="auto"/>
              <w:jc w:val="both"/>
              <w:rPr>
                <w:rFonts w:ascii="Times New Roman" w:hAnsi="Times New Roman" w:cs="Times New Roman"/>
                <w:color w:val="000000"/>
                <w:sz w:val="24"/>
                <w:szCs w:val="24"/>
              </w:rPr>
            </w:pPr>
            <w:r w:rsidRPr="00383D5A">
              <w:rPr>
                <w:color w:val="000000"/>
                <w:sz w:val="24"/>
                <w:szCs w:val="24"/>
              </w:rPr>
              <w:t xml:space="preserve">Mastics pour joints pour des usages non structuraux dans les constructions immobilières et pour chemins piétonniers - Partie 2 : Mastics pour vitrage ; </w:t>
            </w:r>
          </w:p>
        </w:tc>
      </w:tr>
      <w:tr w:rsidR="000E7FF2" w:rsidRPr="0043547B" w:rsidTr="00383D5A">
        <w:trPr>
          <w:trHeight w:val="254"/>
          <w:jc w:val="center"/>
        </w:trPr>
        <w:tc>
          <w:tcPr>
            <w:tcW w:w="1838" w:type="dxa"/>
            <w:tcBorders>
              <w:top w:val="nil"/>
              <w:left w:val="single" w:sz="18" w:space="0" w:color="auto"/>
              <w:bottom w:val="single" w:sz="18" w:space="0" w:color="auto"/>
              <w:right w:val="single" w:sz="4" w:space="0" w:color="auto"/>
            </w:tcBorders>
            <w:shd w:val="clear" w:color="000000" w:fill="D9D9D9"/>
            <w:vAlign w:val="center"/>
          </w:tcPr>
          <w:p w:rsidR="000E7FF2" w:rsidRPr="00383D5A" w:rsidRDefault="000E7FF2" w:rsidP="00383D5A">
            <w:pPr>
              <w:spacing w:after="0" w:line="240" w:lineRule="auto"/>
              <w:jc w:val="center"/>
              <w:rPr>
                <w:rFonts w:ascii="Calibri" w:hAnsi="Calibri" w:cs="Calibri"/>
                <w:b/>
                <w:bCs/>
                <w:sz w:val="24"/>
                <w:szCs w:val="24"/>
              </w:rPr>
            </w:pPr>
            <w:r w:rsidRPr="00383D5A">
              <w:rPr>
                <w:rFonts w:ascii="Calibri" w:hAnsi="Calibri" w:cs="Calibr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bottom"/>
          </w:tcPr>
          <w:p w:rsidR="00383D5A" w:rsidRDefault="000E7FF2" w:rsidP="00383D5A">
            <w:pPr>
              <w:spacing w:after="0" w:line="240" w:lineRule="auto"/>
              <w:jc w:val="both"/>
              <w:rPr>
                <w:color w:val="000000"/>
                <w:sz w:val="24"/>
                <w:szCs w:val="24"/>
              </w:rPr>
            </w:pPr>
            <w:r w:rsidRPr="00383D5A">
              <w:rPr>
                <w:color w:val="000000"/>
                <w:sz w:val="24"/>
                <w:szCs w:val="24"/>
              </w:rPr>
              <w:t>La présente Norme européenne spécifie des définitions et des exigences relatives aux mastics élastiques</w:t>
            </w:r>
            <w:r w:rsidR="00383D5A">
              <w:rPr>
                <w:color w:val="000000"/>
                <w:sz w:val="24"/>
                <w:szCs w:val="24"/>
              </w:rPr>
              <w:t xml:space="preserve"> </w:t>
            </w:r>
            <w:r w:rsidRPr="00383D5A">
              <w:rPr>
                <w:color w:val="000000"/>
                <w:sz w:val="24"/>
                <w:szCs w:val="24"/>
              </w:rPr>
              <w:t>non structuraux utilisés pour le vitrage dans la construction immobilière.</w:t>
            </w:r>
          </w:p>
          <w:p w:rsidR="00383D5A" w:rsidRDefault="000E7FF2" w:rsidP="00383D5A">
            <w:pPr>
              <w:spacing w:after="0" w:line="240" w:lineRule="auto"/>
              <w:jc w:val="both"/>
              <w:rPr>
                <w:color w:val="000000"/>
                <w:sz w:val="24"/>
                <w:szCs w:val="24"/>
              </w:rPr>
            </w:pPr>
            <w:r w:rsidRPr="00383D5A">
              <w:rPr>
                <w:color w:val="000000"/>
                <w:sz w:val="24"/>
                <w:szCs w:val="24"/>
              </w:rPr>
              <w:lastRenderedPageBreak/>
              <w:t>Elle traite des joints pour vitrages au-delà de 7° par rapport à l'horizontale. Les principaux domaines</w:t>
            </w:r>
            <w:r w:rsidR="00383D5A">
              <w:rPr>
                <w:color w:val="000000"/>
                <w:sz w:val="24"/>
                <w:szCs w:val="24"/>
              </w:rPr>
              <w:t xml:space="preserve"> </w:t>
            </w:r>
            <w:r w:rsidRPr="00383D5A">
              <w:rPr>
                <w:color w:val="000000"/>
                <w:sz w:val="24"/>
                <w:szCs w:val="24"/>
              </w:rPr>
              <w:t>d'application sont les suivants :</w:t>
            </w:r>
          </w:p>
          <w:p w:rsidR="00383D5A" w:rsidRDefault="000E7FF2" w:rsidP="00383D5A">
            <w:pPr>
              <w:spacing w:after="0" w:line="240" w:lineRule="auto"/>
              <w:jc w:val="both"/>
              <w:rPr>
                <w:color w:val="000000"/>
                <w:sz w:val="24"/>
                <w:szCs w:val="24"/>
              </w:rPr>
            </w:pPr>
            <w:r w:rsidRPr="00383D5A">
              <w:rPr>
                <w:color w:val="000000"/>
                <w:sz w:val="24"/>
                <w:szCs w:val="24"/>
              </w:rPr>
              <w:t>— verre sur verre ;</w:t>
            </w:r>
          </w:p>
          <w:p w:rsidR="00383D5A" w:rsidRDefault="000E7FF2" w:rsidP="00383D5A">
            <w:pPr>
              <w:spacing w:after="0" w:line="240" w:lineRule="auto"/>
              <w:jc w:val="both"/>
              <w:rPr>
                <w:color w:val="000000"/>
                <w:sz w:val="24"/>
                <w:szCs w:val="24"/>
              </w:rPr>
            </w:pPr>
            <w:r w:rsidRPr="00383D5A">
              <w:rPr>
                <w:color w:val="000000"/>
                <w:sz w:val="24"/>
                <w:szCs w:val="24"/>
              </w:rPr>
              <w:t>— verre sur châssis ;</w:t>
            </w:r>
          </w:p>
          <w:p w:rsidR="00383D5A" w:rsidRDefault="000E7FF2" w:rsidP="00383D5A">
            <w:pPr>
              <w:spacing w:after="0" w:line="240" w:lineRule="auto"/>
              <w:jc w:val="both"/>
              <w:rPr>
                <w:color w:val="000000"/>
                <w:sz w:val="24"/>
                <w:szCs w:val="24"/>
              </w:rPr>
            </w:pPr>
            <w:r w:rsidRPr="00383D5A">
              <w:rPr>
                <w:color w:val="000000"/>
                <w:sz w:val="24"/>
                <w:szCs w:val="24"/>
              </w:rPr>
              <w:t>— verre sur supports poreux.</w:t>
            </w:r>
          </w:p>
          <w:p w:rsidR="00383D5A" w:rsidRDefault="000E7FF2" w:rsidP="00383D5A">
            <w:pPr>
              <w:spacing w:after="0" w:line="240" w:lineRule="auto"/>
              <w:jc w:val="both"/>
              <w:rPr>
                <w:color w:val="000000"/>
                <w:sz w:val="24"/>
                <w:szCs w:val="24"/>
              </w:rPr>
            </w:pPr>
            <w:r w:rsidRPr="00383D5A">
              <w:rPr>
                <w:color w:val="000000"/>
                <w:sz w:val="24"/>
                <w:szCs w:val="24"/>
              </w:rPr>
              <w:t>Sont exclus les aquariums, les vitrages extérieurs collés, les mastics de scellement des vitrages isolants,</w:t>
            </w:r>
            <w:r w:rsidR="00383D5A">
              <w:rPr>
                <w:color w:val="000000"/>
                <w:sz w:val="24"/>
                <w:szCs w:val="24"/>
              </w:rPr>
              <w:t xml:space="preserve"> </w:t>
            </w:r>
            <w:r w:rsidRPr="00383D5A">
              <w:rPr>
                <w:color w:val="000000"/>
                <w:sz w:val="24"/>
                <w:szCs w:val="24"/>
              </w:rPr>
              <w:t>les vitrages horizontaux (jusqu'à 7°), le verre organique (par exemple, polycarbonate, PMMA, etc.).</w:t>
            </w:r>
          </w:p>
          <w:p w:rsidR="000E7FF2" w:rsidRPr="00AD3C7F" w:rsidRDefault="000E7FF2" w:rsidP="00AD3C7F">
            <w:pPr>
              <w:spacing w:after="0" w:line="240" w:lineRule="auto"/>
              <w:jc w:val="both"/>
              <w:rPr>
                <w:rFonts w:ascii="Times New Roman" w:hAnsi="Times New Roman" w:cs="Times New Roman"/>
                <w:i/>
                <w:iCs/>
                <w:color w:val="000000"/>
                <w:sz w:val="24"/>
                <w:szCs w:val="24"/>
              </w:rPr>
            </w:pPr>
            <w:r w:rsidRPr="00AD3C7F">
              <w:rPr>
                <w:b/>
                <w:bCs/>
                <w:i/>
                <w:iCs/>
                <w:color w:val="000000"/>
              </w:rPr>
              <w:t>NOTE</w:t>
            </w:r>
            <w:r w:rsidRPr="00AD3C7F">
              <w:rPr>
                <w:i/>
                <w:iCs/>
                <w:color w:val="000000"/>
              </w:rPr>
              <w:t xml:space="preserve"> Les dispositions concernant l'évaluation et la vérification de la constance des performances, ou EVCP, (à</w:t>
            </w:r>
            <w:r w:rsidR="00383D5A" w:rsidRPr="00AD3C7F">
              <w:rPr>
                <w:i/>
                <w:iCs/>
                <w:color w:val="000000"/>
              </w:rPr>
              <w:t xml:space="preserve"> </w:t>
            </w:r>
            <w:r w:rsidRPr="00AD3C7F">
              <w:rPr>
                <w:i/>
                <w:iCs/>
                <w:color w:val="000000"/>
              </w:rPr>
              <w:t>savoir la détermination du type de produit et le contrôle de la production en usine) et le marquage de ces produits</w:t>
            </w:r>
            <w:r w:rsidR="00AD3C7F">
              <w:rPr>
                <w:i/>
                <w:iCs/>
                <w:color w:val="000000"/>
              </w:rPr>
              <w:t xml:space="preserve"> </w:t>
            </w:r>
            <w:r w:rsidRPr="00AD3C7F">
              <w:rPr>
                <w:i/>
                <w:iCs/>
                <w:color w:val="000000"/>
              </w:rPr>
              <w:t>sont données dans l'EN 15651-5.</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160B21" w:rsidRPr="0043547B" w:rsidRDefault="00160B21" w:rsidP="00614766">
            <w:pPr>
              <w:spacing w:after="0" w:line="240" w:lineRule="auto"/>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bottom"/>
            <w:hideMark/>
          </w:tcPr>
          <w:p w:rsidR="00160B21" w:rsidRPr="002342C4" w:rsidRDefault="00160B21" w:rsidP="00614766">
            <w:pPr>
              <w:spacing w:after="0" w:line="240" w:lineRule="auto"/>
              <w:jc w:val="center"/>
              <w:rPr>
                <w:rFonts w:cstheme="minorHAnsi"/>
                <w:b/>
                <w:bCs/>
                <w:sz w:val="24"/>
                <w:szCs w:val="24"/>
              </w:rPr>
            </w:pPr>
            <w:r w:rsidRPr="002342C4">
              <w:rPr>
                <w:rFonts w:cstheme="minorHAnsi"/>
                <w:b/>
                <w:bCs/>
                <w:sz w:val="24"/>
                <w:szCs w:val="24"/>
              </w:rPr>
              <w:t>NM EN 12207</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160B21" w:rsidRPr="0043547B" w:rsidRDefault="00160B21" w:rsidP="00614766">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160B21" w:rsidRPr="002342C4" w:rsidRDefault="00160B21" w:rsidP="00614766">
            <w:pPr>
              <w:spacing w:after="0" w:line="240" w:lineRule="auto"/>
              <w:jc w:val="center"/>
              <w:rPr>
                <w:rFonts w:cstheme="minorHAnsi"/>
                <w:b/>
                <w:bCs/>
                <w:sz w:val="24"/>
                <w:szCs w:val="24"/>
              </w:rPr>
            </w:pPr>
            <w:r w:rsidRPr="002342C4">
              <w:rPr>
                <w:rFonts w:cstheme="minorHAnsi"/>
                <w:b/>
                <w:bCs/>
                <w:sz w:val="24"/>
                <w:szCs w:val="24"/>
              </w:rPr>
              <w:t>EN 12207</w:t>
            </w:r>
          </w:p>
        </w:tc>
      </w:tr>
      <w:tr w:rsidR="0043547B" w:rsidRPr="0043547B" w:rsidTr="00CB5DC0">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160B21" w:rsidRPr="0043547B" w:rsidRDefault="00160B21" w:rsidP="00614766">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hideMark/>
          </w:tcPr>
          <w:p w:rsidR="00160B21" w:rsidRPr="0043547B" w:rsidRDefault="00160B21" w:rsidP="00614766">
            <w:pPr>
              <w:spacing w:after="0" w:line="240" w:lineRule="auto"/>
              <w:jc w:val="both"/>
              <w:rPr>
                <w:rFonts w:cstheme="minorHAnsi"/>
                <w:sz w:val="24"/>
                <w:szCs w:val="24"/>
              </w:rPr>
            </w:pPr>
            <w:r w:rsidRPr="0043547B">
              <w:rPr>
                <w:rFonts w:cstheme="minorHAnsi"/>
                <w:sz w:val="24"/>
                <w:szCs w:val="24"/>
              </w:rPr>
              <w:t xml:space="preserve">Fenêtres et portes - Perméabilité à l'air - Classification  </w:t>
            </w:r>
          </w:p>
        </w:tc>
      </w:tr>
      <w:tr w:rsidR="0043547B" w:rsidRPr="0043547B" w:rsidTr="00CB5DC0">
        <w:trPr>
          <w:trHeight w:val="5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160B21" w:rsidRPr="0043547B" w:rsidRDefault="00160B21" w:rsidP="00614766">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hideMark/>
          </w:tcPr>
          <w:p w:rsidR="00614766" w:rsidRDefault="00160B21" w:rsidP="00AD3C7F">
            <w:pPr>
              <w:spacing w:after="0" w:line="240" w:lineRule="auto"/>
              <w:jc w:val="both"/>
              <w:rPr>
                <w:rFonts w:cstheme="minorHAnsi"/>
                <w:sz w:val="24"/>
                <w:szCs w:val="24"/>
              </w:rPr>
            </w:pPr>
            <w:r w:rsidRPr="0043547B">
              <w:rPr>
                <w:rFonts w:cstheme="minorHAnsi"/>
                <w:sz w:val="24"/>
                <w:szCs w:val="24"/>
              </w:rPr>
              <w:t>La présente norme définit la classification des résultats pour :</w:t>
            </w:r>
          </w:p>
          <w:p w:rsidR="00614766" w:rsidRDefault="00160B21" w:rsidP="00614766">
            <w:pPr>
              <w:spacing w:after="0" w:line="240" w:lineRule="auto"/>
              <w:jc w:val="both"/>
              <w:rPr>
                <w:rFonts w:cstheme="minorHAnsi"/>
                <w:sz w:val="24"/>
                <w:szCs w:val="24"/>
              </w:rPr>
            </w:pPr>
            <w:r w:rsidRPr="0043547B">
              <w:rPr>
                <w:rFonts w:cstheme="minorHAnsi"/>
                <w:sz w:val="24"/>
                <w:szCs w:val="24"/>
              </w:rPr>
              <w:t>— les fenêtres ; et</w:t>
            </w:r>
          </w:p>
          <w:p w:rsidR="00614766" w:rsidRDefault="00160B21" w:rsidP="00614766">
            <w:pPr>
              <w:spacing w:after="0" w:line="240" w:lineRule="auto"/>
              <w:jc w:val="both"/>
              <w:rPr>
                <w:rFonts w:cstheme="minorHAnsi"/>
                <w:sz w:val="24"/>
                <w:szCs w:val="24"/>
              </w:rPr>
            </w:pPr>
            <w:r w:rsidRPr="0043547B">
              <w:rPr>
                <w:rFonts w:cstheme="minorHAnsi"/>
                <w:sz w:val="24"/>
                <w:szCs w:val="24"/>
              </w:rPr>
              <w:t>— les blocs-portes extérieurs et intérieurs pour piétons ;</w:t>
            </w:r>
          </w:p>
          <w:p w:rsidR="00160B21" w:rsidRPr="0043547B" w:rsidRDefault="00160B21" w:rsidP="00614766">
            <w:pPr>
              <w:spacing w:after="0" w:line="240" w:lineRule="auto"/>
              <w:jc w:val="both"/>
              <w:rPr>
                <w:rFonts w:cstheme="minorHAnsi"/>
                <w:sz w:val="24"/>
                <w:szCs w:val="24"/>
              </w:rPr>
            </w:pPr>
            <w:r w:rsidRPr="0043547B">
              <w:rPr>
                <w:rFonts w:cstheme="minorHAnsi"/>
                <w:sz w:val="24"/>
                <w:szCs w:val="24"/>
              </w:rPr>
              <w:t>entièrement assemblé, quels que soient leurs matériaux constitutifs, après essai réalisé conformément à l’EN 1026.</w:t>
            </w:r>
          </w:p>
        </w:tc>
      </w:tr>
      <w:tr w:rsidR="0043547B" w:rsidRPr="0043547B" w:rsidTr="00CB5DC0">
        <w:trPr>
          <w:trHeight w:val="50"/>
          <w:jc w:val="center"/>
        </w:trPr>
        <w:tc>
          <w:tcPr>
            <w:tcW w:w="1838" w:type="dxa"/>
            <w:tcBorders>
              <w:top w:val="nil"/>
              <w:left w:val="single" w:sz="18" w:space="0" w:color="auto"/>
              <w:bottom w:val="single" w:sz="18" w:space="0" w:color="auto"/>
              <w:right w:val="single" w:sz="4" w:space="0" w:color="auto"/>
            </w:tcBorders>
            <w:shd w:val="clear" w:color="auto" w:fill="D6E3BC" w:themeFill="accent3" w:themeFillTint="66"/>
            <w:vAlign w:val="center"/>
          </w:tcPr>
          <w:p w:rsidR="005F7538" w:rsidRPr="0043547B" w:rsidRDefault="005F7538" w:rsidP="00614766">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left w:val="single" w:sz="4" w:space="0" w:color="auto"/>
              <w:bottom w:val="single" w:sz="18" w:space="0" w:color="auto"/>
              <w:right w:val="single" w:sz="18" w:space="0" w:color="auto"/>
            </w:tcBorders>
            <w:shd w:val="clear" w:color="auto" w:fill="D6E3BC" w:themeFill="accent3" w:themeFillTint="66"/>
            <w:vAlign w:val="center"/>
          </w:tcPr>
          <w:p w:rsidR="005F7538" w:rsidRPr="0043547B" w:rsidRDefault="00E3541F" w:rsidP="000A4A0B">
            <w:pPr>
              <w:spacing w:after="0" w:line="240" w:lineRule="auto"/>
              <w:jc w:val="center"/>
              <w:rPr>
                <w:rFonts w:cstheme="minorHAnsi"/>
                <w:b/>
                <w:bCs/>
                <w:sz w:val="24"/>
                <w:szCs w:val="24"/>
              </w:rPr>
            </w:pPr>
            <w:r w:rsidRPr="0043547B">
              <w:rPr>
                <w:rFonts w:cstheme="minorHAnsi"/>
                <w:b/>
                <w:bCs/>
                <w:sz w:val="24"/>
                <w:szCs w:val="24"/>
              </w:rPr>
              <w:t>NM EN 942</w:t>
            </w:r>
          </w:p>
        </w:tc>
      </w:tr>
      <w:tr w:rsidR="0043547B" w:rsidRPr="0043547B" w:rsidTr="00614766">
        <w:trPr>
          <w:trHeight w:val="50"/>
          <w:jc w:val="center"/>
        </w:trPr>
        <w:tc>
          <w:tcPr>
            <w:tcW w:w="1838" w:type="dxa"/>
            <w:tcBorders>
              <w:top w:val="single" w:sz="18" w:space="0" w:color="auto"/>
              <w:left w:val="single" w:sz="18" w:space="0" w:color="auto"/>
              <w:bottom w:val="single" w:sz="4" w:space="0" w:color="auto"/>
              <w:right w:val="single" w:sz="4" w:space="0" w:color="auto"/>
            </w:tcBorders>
            <w:shd w:val="clear" w:color="auto" w:fill="FDFBA9"/>
            <w:vAlign w:val="center"/>
          </w:tcPr>
          <w:p w:rsidR="005F7538" w:rsidRPr="0043547B" w:rsidRDefault="005F7538" w:rsidP="000A4A0B">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DFBA9"/>
            <w:vAlign w:val="center"/>
          </w:tcPr>
          <w:p w:rsidR="005F7538" w:rsidRPr="0043547B" w:rsidRDefault="005F7538" w:rsidP="000A4A0B">
            <w:pPr>
              <w:spacing w:after="0" w:line="240" w:lineRule="auto"/>
              <w:jc w:val="center"/>
              <w:rPr>
                <w:rFonts w:cstheme="minorHAnsi"/>
                <w:b/>
                <w:bCs/>
                <w:sz w:val="24"/>
                <w:szCs w:val="24"/>
              </w:rPr>
            </w:pPr>
            <w:r w:rsidRPr="0043547B">
              <w:rPr>
                <w:rFonts w:cstheme="minorHAnsi"/>
                <w:b/>
                <w:bCs/>
                <w:sz w:val="24"/>
                <w:szCs w:val="24"/>
              </w:rPr>
              <w:t>EN 942</w:t>
            </w:r>
          </w:p>
        </w:tc>
      </w:tr>
      <w:tr w:rsidR="0043547B" w:rsidRPr="0043547B" w:rsidTr="00614766">
        <w:trPr>
          <w:trHeight w:val="50"/>
          <w:jc w:val="center"/>
        </w:trPr>
        <w:tc>
          <w:tcPr>
            <w:tcW w:w="1838" w:type="dxa"/>
            <w:tcBorders>
              <w:top w:val="single" w:sz="4" w:space="0" w:color="auto"/>
              <w:left w:val="single" w:sz="18" w:space="0" w:color="auto"/>
              <w:bottom w:val="single" w:sz="4" w:space="0" w:color="auto"/>
              <w:right w:val="single" w:sz="4" w:space="0" w:color="auto"/>
            </w:tcBorders>
            <w:shd w:val="clear" w:color="auto" w:fill="B8CCE4" w:themeFill="accent1" w:themeFillTint="66"/>
            <w:vAlign w:val="center"/>
          </w:tcPr>
          <w:p w:rsidR="005F7538" w:rsidRPr="0043547B" w:rsidRDefault="005F7538" w:rsidP="000A4A0B">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auto"/>
            <w:vAlign w:val="bottom"/>
          </w:tcPr>
          <w:p w:rsidR="005F7538" w:rsidRPr="0043547B" w:rsidRDefault="005F7538" w:rsidP="000A4A0B">
            <w:pPr>
              <w:spacing w:after="0" w:line="240" w:lineRule="auto"/>
              <w:rPr>
                <w:rFonts w:cstheme="minorHAnsi"/>
                <w:sz w:val="24"/>
                <w:szCs w:val="24"/>
              </w:rPr>
            </w:pPr>
            <w:r w:rsidRPr="0043547B">
              <w:rPr>
                <w:rFonts w:cstheme="minorHAnsi"/>
                <w:sz w:val="24"/>
                <w:szCs w:val="24"/>
              </w:rPr>
              <w:t>Bois dans les menuiseries - Exigences générales</w:t>
            </w:r>
          </w:p>
        </w:tc>
      </w:tr>
      <w:tr w:rsidR="0043547B" w:rsidRPr="0043547B" w:rsidTr="00CB5DC0">
        <w:trPr>
          <w:trHeight w:val="50"/>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5F7538" w:rsidRPr="0043547B" w:rsidRDefault="005F7538" w:rsidP="00614766">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bottom"/>
          </w:tcPr>
          <w:p w:rsidR="00614766" w:rsidRDefault="005F7538" w:rsidP="00614766">
            <w:pPr>
              <w:spacing w:after="0" w:line="240" w:lineRule="auto"/>
              <w:jc w:val="both"/>
              <w:rPr>
                <w:rFonts w:cstheme="minorHAnsi"/>
                <w:sz w:val="24"/>
                <w:szCs w:val="24"/>
              </w:rPr>
            </w:pPr>
            <w:r w:rsidRPr="0043547B">
              <w:rPr>
                <w:rFonts w:cstheme="minorHAnsi"/>
                <w:sz w:val="24"/>
                <w:szCs w:val="24"/>
              </w:rPr>
              <w:t>La présente Norme européenne prescrit les exigences générales dont, en particulier, le classement et la classification selon l’aspect de la qualité du bois utilisé dans les produits de menuiserie ou les parties individuelles de la menuiserie.</w:t>
            </w:r>
            <w:r w:rsidRPr="0043547B">
              <w:rPr>
                <w:rFonts w:cstheme="minorHAnsi"/>
                <w:sz w:val="24"/>
                <w:szCs w:val="24"/>
              </w:rPr>
              <w:br/>
              <w:t>La présente Norme européenne est destinée à être utilisée au moment de la fabrication d’un produit. Cependant, la présente norme peut être utilisée pour évaluer des produits à une étape ultérieure, mais les conditions de stockage et de service, suivant la fabrication, doivent être prises en compte (gerces superficielles).</w:t>
            </w:r>
            <w:r w:rsidRPr="0043547B">
              <w:rPr>
                <w:rFonts w:cstheme="minorHAnsi"/>
                <w:sz w:val="24"/>
                <w:szCs w:val="24"/>
              </w:rPr>
              <w:br/>
              <w:t>À moins qu’une autre spécification soit justifiée et identifiée dans l’Annexe D, les exigences du bois contenues dans les normes européennes de produits prévalent. Si l’on se réfère à la présente norme européenne, il est nécessaire d’identifier la classe et les exigences.</w:t>
            </w:r>
          </w:p>
          <w:p w:rsidR="00614766" w:rsidRDefault="005F7538" w:rsidP="00614766">
            <w:pPr>
              <w:spacing w:after="0" w:line="240" w:lineRule="auto"/>
              <w:jc w:val="both"/>
              <w:rPr>
                <w:rFonts w:cstheme="minorHAnsi"/>
                <w:sz w:val="24"/>
                <w:szCs w:val="24"/>
              </w:rPr>
            </w:pPr>
            <w:r w:rsidRPr="0043547B">
              <w:rPr>
                <w:rFonts w:cstheme="minorHAnsi"/>
                <w:sz w:val="24"/>
                <w:szCs w:val="24"/>
              </w:rPr>
              <w:t>La présente Norme européenne couvre les produits en bois massif, en bois abouté, jointé sur chant et lamellé.</w:t>
            </w:r>
          </w:p>
          <w:p w:rsidR="005F7538" w:rsidRPr="0043547B" w:rsidRDefault="005F7538" w:rsidP="00614766">
            <w:pPr>
              <w:spacing w:after="0" w:line="240" w:lineRule="auto"/>
              <w:jc w:val="both"/>
              <w:rPr>
                <w:rFonts w:cstheme="minorHAnsi"/>
                <w:sz w:val="24"/>
                <w:szCs w:val="24"/>
              </w:rPr>
            </w:pPr>
            <w:r w:rsidRPr="0043547B">
              <w:rPr>
                <w:rFonts w:cstheme="minorHAnsi"/>
                <w:sz w:val="24"/>
                <w:szCs w:val="24"/>
              </w:rPr>
              <w:t>Les questions relatives à l’influence des caractéristiques du bois sur la résistance et la durabilité ne sont pas couvertes par la présente norme.</w:t>
            </w:r>
          </w:p>
        </w:tc>
      </w:tr>
      <w:tr w:rsidR="0043547B" w:rsidRPr="0043547B" w:rsidTr="00CB5DC0">
        <w:trPr>
          <w:trHeight w:val="50"/>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160B21" w:rsidRPr="0043547B" w:rsidRDefault="00160B21" w:rsidP="00614766">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left w:val="single" w:sz="4" w:space="0" w:color="auto"/>
              <w:bottom w:val="single" w:sz="18" w:space="0" w:color="auto"/>
              <w:right w:val="single" w:sz="18" w:space="0" w:color="auto"/>
            </w:tcBorders>
            <w:shd w:val="clear" w:color="auto" w:fill="C2D69B" w:themeFill="accent3" w:themeFillTint="99"/>
          </w:tcPr>
          <w:p w:rsidR="00160B21" w:rsidRPr="002342C4" w:rsidRDefault="00160B21" w:rsidP="00614766">
            <w:pPr>
              <w:spacing w:after="0" w:line="240" w:lineRule="auto"/>
              <w:jc w:val="center"/>
              <w:rPr>
                <w:rFonts w:cstheme="minorHAnsi"/>
                <w:b/>
                <w:bCs/>
                <w:sz w:val="24"/>
                <w:szCs w:val="24"/>
              </w:rPr>
            </w:pPr>
            <w:r w:rsidRPr="002342C4">
              <w:rPr>
                <w:rFonts w:cstheme="minorHAnsi"/>
                <w:b/>
                <w:bCs/>
                <w:sz w:val="24"/>
                <w:szCs w:val="24"/>
              </w:rPr>
              <w:t>NM EN 942</w:t>
            </w:r>
          </w:p>
        </w:tc>
      </w:tr>
      <w:tr w:rsidR="0043547B" w:rsidRPr="0043547B" w:rsidTr="00614766">
        <w:trPr>
          <w:trHeight w:val="50"/>
          <w:jc w:val="center"/>
        </w:trPr>
        <w:tc>
          <w:tcPr>
            <w:tcW w:w="1838" w:type="dxa"/>
            <w:tcBorders>
              <w:top w:val="single" w:sz="18" w:space="0" w:color="auto"/>
              <w:left w:val="single" w:sz="18" w:space="0" w:color="auto"/>
              <w:bottom w:val="single" w:sz="4" w:space="0" w:color="auto"/>
              <w:right w:val="single" w:sz="4" w:space="0" w:color="auto"/>
            </w:tcBorders>
            <w:shd w:val="clear" w:color="auto" w:fill="FDFBA9"/>
            <w:vAlign w:val="center"/>
          </w:tcPr>
          <w:p w:rsidR="00160B21" w:rsidRPr="0043547B" w:rsidRDefault="00160B21" w:rsidP="00614766">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DFBA9"/>
            <w:vAlign w:val="bottom"/>
          </w:tcPr>
          <w:p w:rsidR="00160B21" w:rsidRPr="002342C4" w:rsidRDefault="00160B21" w:rsidP="00614766">
            <w:pPr>
              <w:spacing w:after="0" w:line="240" w:lineRule="auto"/>
              <w:jc w:val="center"/>
              <w:rPr>
                <w:rFonts w:cstheme="minorHAnsi"/>
                <w:b/>
                <w:bCs/>
                <w:sz w:val="24"/>
                <w:szCs w:val="24"/>
              </w:rPr>
            </w:pPr>
            <w:r w:rsidRPr="002342C4">
              <w:rPr>
                <w:rFonts w:cstheme="minorHAnsi"/>
                <w:b/>
                <w:bCs/>
                <w:sz w:val="24"/>
                <w:szCs w:val="24"/>
              </w:rPr>
              <w:t>EN 942</w:t>
            </w:r>
          </w:p>
        </w:tc>
      </w:tr>
      <w:tr w:rsidR="0043547B" w:rsidRPr="0043547B" w:rsidTr="00614766">
        <w:trPr>
          <w:trHeight w:val="50"/>
          <w:jc w:val="center"/>
        </w:trPr>
        <w:tc>
          <w:tcPr>
            <w:tcW w:w="1838" w:type="dxa"/>
            <w:tcBorders>
              <w:top w:val="single" w:sz="4" w:space="0" w:color="auto"/>
              <w:left w:val="single" w:sz="18" w:space="0" w:color="auto"/>
              <w:bottom w:val="single" w:sz="4" w:space="0" w:color="auto"/>
              <w:right w:val="single" w:sz="4" w:space="0" w:color="auto"/>
            </w:tcBorders>
            <w:shd w:val="clear" w:color="auto" w:fill="95B3D7" w:themeFill="accent1" w:themeFillTint="99"/>
            <w:vAlign w:val="center"/>
          </w:tcPr>
          <w:p w:rsidR="00160B21" w:rsidRPr="0043547B" w:rsidRDefault="00160B21" w:rsidP="00614766">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auto"/>
          </w:tcPr>
          <w:p w:rsidR="00160B21" w:rsidRPr="0043547B" w:rsidRDefault="00160B21" w:rsidP="00614766">
            <w:pPr>
              <w:spacing w:after="0" w:line="240" w:lineRule="auto"/>
              <w:jc w:val="both"/>
              <w:rPr>
                <w:rFonts w:cstheme="minorHAnsi"/>
                <w:sz w:val="24"/>
                <w:szCs w:val="24"/>
              </w:rPr>
            </w:pPr>
            <w:r w:rsidRPr="0043547B">
              <w:rPr>
                <w:rFonts w:cstheme="minorHAnsi"/>
                <w:sz w:val="24"/>
                <w:szCs w:val="24"/>
              </w:rPr>
              <w:t xml:space="preserve">Bois dans les menuiseries - Exigences générales  </w:t>
            </w:r>
          </w:p>
        </w:tc>
      </w:tr>
      <w:tr w:rsidR="0043547B" w:rsidRPr="0043547B" w:rsidTr="00CB5DC0">
        <w:trPr>
          <w:trHeight w:val="50"/>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160B21" w:rsidRPr="0043547B" w:rsidRDefault="00160B21" w:rsidP="00614766">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tcPr>
          <w:p w:rsidR="00614766" w:rsidRDefault="00160B21" w:rsidP="00614766">
            <w:pPr>
              <w:spacing w:after="0" w:line="240" w:lineRule="auto"/>
              <w:jc w:val="both"/>
              <w:rPr>
                <w:rFonts w:cstheme="minorHAnsi"/>
                <w:sz w:val="24"/>
                <w:szCs w:val="24"/>
              </w:rPr>
            </w:pPr>
            <w:r w:rsidRPr="0043547B">
              <w:rPr>
                <w:rFonts w:cstheme="minorHAnsi"/>
                <w:sz w:val="24"/>
                <w:szCs w:val="24"/>
              </w:rPr>
              <w:t>La présente Norme européenne prescrit les exigences générales dont, en particulier, le classement et la classification selon l’aspect de la qualité du bois utilisé dans les produits de menuiserie ou les parties individuelles de la menuiserie.</w:t>
            </w:r>
            <w:r w:rsidRPr="0043547B">
              <w:rPr>
                <w:rFonts w:cstheme="minorHAnsi"/>
                <w:sz w:val="24"/>
                <w:szCs w:val="24"/>
              </w:rPr>
              <w:br/>
              <w:t>La présente Norme européenne est destinée à être utilisée au moment de la fabrication d’un produit. Cependant, la présente norme peut être utilisée pour évaluer des produits à une étape ultérieure, mais les conditions de stockage</w:t>
            </w:r>
            <w:r w:rsidRPr="0043547B">
              <w:rPr>
                <w:rFonts w:cstheme="minorHAnsi"/>
                <w:sz w:val="24"/>
                <w:szCs w:val="24"/>
              </w:rPr>
              <w:br/>
            </w:r>
            <w:r w:rsidRPr="0043547B">
              <w:rPr>
                <w:rFonts w:cstheme="minorHAnsi"/>
                <w:sz w:val="24"/>
                <w:szCs w:val="24"/>
              </w:rPr>
              <w:lastRenderedPageBreak/>
              <w:t>et de service, suivant la fabrication, doivent être prises en compte (gerces superficielles).</w:t>
            </w:r>
            <w:r w:rsidRPr="0043547B">
              <w:rPr>
                <w:rFonts w:cstheme="minorHAnsi"/>
                <w:sz w:val="24"/>
                <w:szCs w:val="24"/>
              </w:rPr>
              <w:br/>
              <w:t>À moins qu’une autre spécification soit justifiée et identifiée dans l’Annexe D, les exigences du bois contenues dans les normes européennes de produits prévalent. Si l’on se réfère à la présente norme européenne, il est nécessaire d’identifier la classe et les exigences.</w:t>
            </w:r>
          </w:p>
          <w:p w:rsidR="00614766" w:rsidRDefault="00160B21" w:rsidP="00614766">
            <w:pPr>
              <w:spacing w:after="0" w:line="240" w:lineRule="auto"/>
              <w:jc w:val="both"/>
              <w:rPr>
                <w:rFonts w:cstheme="minorHAnsi"/>
                <w:sz w:val="24"/>
                <w:szCs w:val="24"/>
              </w:rPr>
            </w:pPr>
            <w:r w:rsidRPr="0043547B">
              <w:rPr>
                <w:rFonts w:cstheme="minorHAnsi"/>
                <w:sz w:val="24"/>
                <w:szCs w:val="24"/>
              </w:rPr>
              <w:t>La présente Norme européenne couvre les produits en bois massif, en bois abouté, jointé sur chant et lamellé.</w:t>
            </w:r>
          </w:p>
          <w:p w:rsidR="00160B21" w:rsidRPr="0043547B" w:rsidRDefault="00160B21" w:rsidP="00614766">
            <w:pPr>
              <w:spacing w:after="0" w:line="240" w:lineRule="auto"/>
              <w:jc w:val="both"/>
              <w:rPr>
                <w:rFonts w:cstheme="minorHAnsi"/>
                <w:sz w:val="24"/>
                <w:szCs w:val="24"/>
              </w:rPr>
            </w:pPr>
            <w:r w:rsidRPr="0043547B">
              <w:rPr>
                <w:rFonts w:cstheme="minorHAnsi"/>
                <w:sz w:val="24"/>
                <w:szCs w:val="24"/>
              </w:rPr>
              <w:t>Les questions relatives à l’influence des caractéristiques du bois sur la résistance et la durabilité ne sont pas couvertes par la présente norme.</w:t>
            </w:r>
          </w:p>
        </w:tc>
      </w:tr>
      <w:tr w:rsidR="0043547B" w:rsidRPr="0043547B" w:rsidTr="00CB5DC0">
        <w:trPr>
          <w:trHeight w:val="50"/>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160B21" w:rsidRPr="0043547B" w:rsidRDefault="00160B21" w:rsidP="00614766">
            <w:pPr>
              <w:spacing w:after="0" w:line="240" w:lineRule="auto"/>
              <w:jc w:val="center"/>
              <w:rPr>
                <w:rFonts w:cstheme="minorHAnsi"/>
                <w:b/>
                <w:bCs/>
                <w:sz w:val="24"/>
                <w:szCs w:val="24"/>
              </w:rPr>
            </w:pPr>
            <w:r w:rsidRPr="0043547B">
              <w:rPr>
                <w:rFonts w:cstheme="minorHAnsi"/>
                <w:b/>
                <w:bCs/>
                <w:sz w:val="24"/>
                <w:szCs w:val="24"/>
              </w:rPr>
              <w:lastRenderedPageBreak/>
              <w:t>Code :</w:t>
            </w:r>
          </w:p>
        </w:tc>
        <w:tc>
          <w:tcPr>
            <w:tcW w:w="7938" w:type="dxa"/>
            <w:tcBorders>
              <w:left w:val="single" w:sz="4" w:space="0" w:color="auto"/>
              <w:bottom w:val="single" w:sz="18" w:space="0" w:color="auto"/>
              <w:right w:val="single" w:sz="18" w:space="0" w:color="auto"/>
            </w:tcBorders>
            <w:shd w:val="clear" w:color="auto" w:fill="C2D69B" w:themeFill="accent3" w:themeFillTint="99"/>
            <w:vAlign w:val="bottom"/>
          </w:tcPr>
          <w:p w:rsidR="00160B21" w:rsidRPr="002342C4" w:rsidRDefault="00160B21" w:rsidP="00614766">
            <w:pPr>
              <w:spacing w:after="0" w:line="240" w:lineRule="auto"/>
              <w:jc w:val="center"/>
              <w:rPr>
                <w:rFonts w:cstheme="minorHAnsi"/>
                <w:b/>
                <w:bCs/>
                <w:sz w:val="24"/>
                <w:szCs w:val="24"/>
              </w:rPr>
            </w:pPr>
            <w:r w:rsidRPr="002342C4">
              <w:rPr>
                <w:rFonts w:cstheme="minorHAnsi"/>
                <w:b/>
                <w:bCs/>
                <w:sz w:val="24"/>
                <w:szCs w:val="24"/>
              </w:rPr>
              <w:t>NM EN 12152</w:t>
            </w:r>
          </w:p>
        </w:tc>
      </w:tr>
      <w:tr w:rsidR="0043547B" w:rsidRPr="0043547B" w:rsidTr="00614766">
        <w:trPr>
          <w:trHeight w:val="50"/>
          <w:jc w:val="center"/>
        </w:trPr>
        <w:tc>
          <w:tcPr>
            <w:tcW w:w="1838" w:type="dxa"/>
            <w:tcBorders>
              <w:top w:val="single" w:sz="18" w:space="0" w:color="auto"/>
              <w:left w:val="single" w:sz="18" w:space="0" w:color="auto"/>
              <w:bottom w:val="single" w:sz="4" w:space="0" w:color="auto"/>
              <w:right w:val="single" w:sz="4" w:space="0" w:color="auto"/>
            </w:tcBorders>
            <w:shd w:val="clear" w:color="auto" w:fill="FDFBA9"/>
            <w:vAlign w:val="center"/>
          </w:tcPr>
          <w:p w:rsidR="00160B21" w:rsidRPr="0043547B" w:rsidRDefault="00160B21" w:rsidP="00614766">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DFBA9"/>
            <w:vAlign w:val="bottom"/>
          </w:tcPr>
          <w:p w:rsidR="00160B21" w:rsidRPr="002342C4" w:rsidRDefault="00160B21" w:rsidP="00614766">
            <w:pPr>
              <w:spacing w:after="0" w:line="240" w:lineRule="auto"/>
              <w:jc w:val="center"/>
              <w:rPr>
                <w:rFonts w:cstheme="minorHAnsi"/>
                <w:b/>
                <w:bCs/>
                <w:sz w:val="24"/>
                <w:szCs w:val="24"/>
              </w:rPr>
            </w:pPr>
            <w:r w:rsidRPr="002342C4">
              <w:rPr>
                <w:rFonts w:cstheme="minorHAnsi"/>
                <w:b/>
                <w:bCs/>
                <w:sz w:val="24"/>
                <w:szCs w:val="24"/>
              </w:rPr>
              <w:t>EN 12152</w:t>
            </w:r>
          </w:p>
        </w:tc>
      </w:tr>
      <w:tr w:rsidR="0043547B" w:rsidRPr="0043547B" w:rsidTr="00614766">
        <w:trPr>
          <w:trHeight w:val="50"/>
          <w:jc w:val="center"/>
        </w:trPr>
        <w:tc>
          <w:tcPr>
            <w:tcW w:w="1838" w:type="dxa"/>
            <w:tcBorders>
              <w:top w:val="single" w:sz="4" w:space="0" w:color="auto"/>
              <w:left w:val="single" w:sz="18" w:space="0" w:color="auto"/>
              <w:bottom w:val="single" w:sz="4" w:space="0" w:color="auto"/>
              <w:right w:val="single" w:sz="4" w:space="0" w:color="auto"/>
            </w:tcBorders>
            <w:shd w:val="clear" w:color="auto" w:fill="95B3D7" w:themeFill="accent1" w:themeFillTint="99"/>
            <w:vAlign w:val="center"/>
          </w:tcPr>
          <w:p w:rsidR="00160B21" w:rsidRPr="0043547B" w:rsidRDefault="00160B21" w:rsidP="00614766">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auto"/>
          </w:tcPr>
          <w:p w:rsidR="00160B21" w:rsidRPr="0043547B" w:rsidRDefault="00160B21" w:rsidP="00614766">
            <w:pPr>
              <w:spacing w:after="0" w:line="240" w:lineRule="auto"/>
              <w:jc w:val="both"/>
              <w:rPr>
                <w:rFonts w:cstheme="minorHAnsi"/>
                <w:sz w:val="24"/>
                <w:szCs w:val="24"/>
              </w:rPr>
            </w:pPr>
            <w:r w:rsidRPr="0043547B">
              <w:rPr>
                <w:rFonts w:cstheme="minorHAnsi"/>
                <w:sz w:val="24"/>
                <w:szCs w:val="24"/>
              </w:rPr>
              <w:t xml:space="preserve">Façades rideaux - Perméabilité à l'air - Exigences de performance et classification </w:t>
            </w:r>
          </w:p>
        </w:tc>
      </w:tr>
      <w:tr w:rsidR="0043547B" w:rsidRPr="0043547B" w:rsidTr="00CB5DC0">
        <w:trPr>
          <w:trHeight w:val="50"/>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160B21" w:rsidRPr="0043547B" w:rsidRDefault="00160B21" w:rsidP="00614766">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tcPr>
          <w:p w:rsidR="00614766" w:rsidRDefault="00160B21" w:rsidP="00614766">
            <w:pPr>
              <w:spacing w:after="0" w:line="240" w:lineRule="auto"/>
              <w:jc w:val="both"/>
              <w:rPr>
                <w:rFonts w:cstheme="minorHAnsi"/>
                <w:sz w:val="24"/>
                <w:szCs w:val="24"/>
              </w:rPr>
            </w:pPr>
            <w:r w:rsidRPr="0043547B">
              <w:rPr>
                <w:rFonts w:cstheme="minorHAnsi"/>
                <w:sz w:val="24"/>
                <w:szCs w:val="24"/>
              </w:rPr>
              <w:t>La présente norme européenne définit les exigences et la classification de la perméabilité à l’air des éléments tant fixes que mobiles d’une façade rideau soumise à une pression d’air statique positive ou négative.</w:t>
            </w:r>
          </w:p>
          <w:p w:rsidR="00160B21" w:rsidRPr="0043547B" w:rsidRDefault="00160B21" w:rsidP="00614766">
            <w:pPr>
              <w:spacing w:after="0" w:line="240" w:lineRule="auto"/>
              <w:jc w:val="both"/>
              <w:rPr>
                <w:rFonts w:cstheme="minorHAnsi"/>
                <w:sz w:val="24"/>
                <w:szCs w:val="24"/>
              </w:rPr>
            </w:pPr>
            <w:r w:rsidRPr="00614766">
              <w:rPr>
                <w:rFonts w:cstheme="minorHAnsi"/>
                <w:b/>
                <w:bCs/>
                <w:i/>
                <w:iCs/>
              </w:rPr>
              <w:t>NOTE :</w:t>
            </w:r>
            <w:r w:rsidRPr="00614766">
              <w:rPr>
                <w:rFonts w:cstheme="minorHAnsi"/>
                <w:i/>
                <w:iCs/>
              </w:rPr>
              <w:t xml:space="preserve"> La présente norme s’applique aux façades rideaux définies dans le prEN 13830.</w:t>
            </w:r>
          </w:p>
        </w:tc>
      </w:tr>
      <w:tr w:rsidR="0043547B" w:rsidRPr="0043547B" w:rsidTr="00CB5DC0">
        <w:trPr>
          <w:trHeight w:val="50"/>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160B21" w:rsidRPr="0043547B" w:rsidRDefault="00160B21" w:rsidP="00614766">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left w:val="single" w:sz="4" w:space="0" w:color="auto"/>
              <w:bottom w:val="single" w:sz="18" w:space="0" w:color="auto"/>
              <w:right w:val="single" w:sz="18" w:space="0" w:color="auto"/>
            </w:tcBorders>
            <w:shd w:val="clear" w:color="auto" w:fill="C2D69B" w:themeFill="accent3" w:themeFillTint="99"/>
            <w:vAlign w:val="bottom"/>
          </w:tcPr>
          <w:p w:rsidR="00160B21" w:rsidRPr="002342C4" w:rsidRDefault="00160B21" w:rsidP="00614766">
            <w:pPr>
              <w:spacing w:after="0" w:line="240" w:lineRule="auto"/>
              <w:jc w:val="center"/>
              <w:rPr>
                <w:rFonts w:cstheme="minorHAnsi"/>
                <w:b/>
                <w:bCs/>
                <w:sz w:val="24"/>
                <w:szCs w:val="24"/>
              </w:rPr>
            </w:pPr>
            <w:r w:rsidRPr="002342C4">
              <w:rPr>
                <w:rFonts w:cstheme="minorHAnsi"/>
                <w:b/>
                <w:bCs/>
                <w:sz w:val="24"/>
                <w:szCs w:val="24"/>
              </w:rPr>
              <w:t>NM EN 13116</w:t>
            </w:r>
          </w:p>
        </w:tc>
      </w:tr>
      <w:tr w:rsidR="0043547B" w:rsidRPr="0043547B" w:rsidTr="00614766">
        <w:trPr>
          <w:trHeight w:val="50"/>
          <w:jc w:val="center"/>
        </w:trPr>
        <w:tc>
          <w:tcPr>
            <w:tcW w:w="1838" w:type="dxa"/>
            <w:tcBorders>
              <w:top w:val="single" w:sz="18" w:space="0" w:color="auto"/>
              <w:left w:val="single" w:sz="18" w:space="0" w:color="auto"/>
              <w:bottom w:val="single" w:sz="4" w:space="0" w:color="auto"/>
              <w:right w:val="single" w:sz="4" w:space="0" w:color="auto"/>
            </w:tcBorders>
            <w:shd w:val="clear" w:color="auto" w:fill="FDFBA9"/>
            <w:vAlign w:val="center"/>
          </w:tcPr>
          <w:p w:rsidR="00160B21" w:rsidRPr="0043547B" w:rsidRDefault="00160B21" w:rsidP="00614766">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DFBA9"/>
            <w:vAlign w:val="bottom"/>
          </w:tcPr>
          <w:p w:rsidR="00160B21" w:rsidRPr="002342C4" w:rsidRDefault="00160B21" w:rsidP="00614766">
            <w:pPr>
              <w:spacing w:after="0" w:line="240" w:lineRule="auto"/>
              <w:jc w:val="center"/>
              <w:rPr>
                <w:rFonts w:cstheme="minorHAnsi"/>
                <w:b/>
                <w:bCs/>
                <w:sz w:val="24"/>
                <w:szCs w:val="24"/>
              </w:rPr>
            </w:pPr>
            <w:r w:rsidRPr="002342C4">
              <w:rPr>
                <w:rFonts w:cstheme="minorHAnsi"/>
                <w:b/>
                <w:bCs/>
                <w:sz w:val="24"/>
                <w:szCs w:val="24"/>
              </w:rPr>
              <w:t>EN 13116</w:t>
            </w:r>
          </w:p>
        </w:tc>
      </w:tr>
      <w:tr w:rsidR="0043547B" w:rsidRPr="0043547B" w:rsidTr="00614766">
        <w:trPr>
          <w:trHeight w:val="50"/>
          <w:jc w:val="center"/>
        </w:trPr>
        <w:tc>
          <w:tcPr>
            <w:tcW w:w="1838" w:type="dxa"/>
            <w:tcBorders>
              <w:top w:val="single" w:sz="4" w:space="0" w:color="auto"/>
              <w:left w:val="single" w:sz="18" w:space="0" w:color="auto"/>
              <w:bottom w:val="single" w:sz="4" w:space="0" w:color="auto"/>
              <w:right w:val="single" w:sz="4" w:space="0" w:color="auto"/>
            </w:tcBorders>
            <w:shd w:val="clear" w:color="auto" w:fill="95B3D7" w:themeFill="accent1" w:themeFillTint="99"/>
            <w:vAlign w:val="center"/>
          </w:tcPr>
          <w:p w:rsidR="00160B21" w:rsidRPr="0043547B" w:rsidRDefault="00160B21" w:rsidP="00614766">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auto"/>
          </w:tcPr>
          <w:p w:rsidR="00160B21" w:rsidRPr="0043547B" w:rsidRDefault="00160B21" w:rsidP="00614766">
            <w:pPr>
              <w:spacing w:after="0" w:line="240" w:lineRule="auto"/>
              <w:jc w:val="both"/>
              <w:rPr>
                <w:rFonts w:cstheme="minorHAnsi"/>
                <w:sz w:val="24"/>
                <w:szCs w:val="24"/>
              </w:rPr>
            </w:pPr>
            <w:r w:rsidRPr="0043547B">
              <w:rPr>
                <w:rFonts w:cstheme="minorHAnsi"/>
                <w:sz w:val="24"/>
                <w:szCs w:val="24"/>
              </w:rPr>
              <w:t xml:space="preserve">Façades rideaux - Résistance structurelle au vent - Prescriptions de performance  </w:t>
            </w:r>
          </w:p>
        </w:tc>
      </w:tr>
      <w:tr w:rsidR="0043547B" w:rsidRPr="0043547B" w:rsidTr="00CB5DC0">
        <w:trPr>
          <w:trHeight w:val="50"/>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160B21" w:rsidRPr="0043547B" w:rsidRDefault="00160B21" w:rsidP="00614766">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tcPr>
          <w:p w:rsidR="00614766" w:rsidRDefault="00160B21" w:rsidP="00614766">
            <w:pPr>
              <w:spacing w:after="0" w:line="240" w:lineRule="auto"/>
              <w:jc w:val="both"/>
              <w:rPr>
                <w:rFonts w:cstheme="minorHAnsi"/>
                <w:sz w:val="24"/>
                <w:szCs w:val="24"/>
              </w:rPr>
            </w:pPr>
            <w:r w:rsidRPr="0043547B">
              <w:rPr>
                <w:rFonts w:cstheme="minorHAnsi"/>
                <w:sz w:val="24"/>
                <w:szCs w:val="24"/>
              </w:rPr>
              <w:t>La présente norme définit les prescriptions de performance structurelle des façades rideaux sous la charge du vent, pour les parties fixes et ouvrantes, sous une pression d'air statique positive et négative.</w:t>
            </w:r>
          </w:p>
          <w:p w:rsidR="00160B21" w:rsidRPr="0043547B" w:rsidRDefault="00160B21" w:rsidP="00614766">
            <w:pPr>
              <w:spacing w:after="0" w:line="240" w:lineRule="auto"/>
              <w:jc w:val="both"/>
              <w:rPr>
                <w:rFonts w:cstheme="minorHAnsi"/>
                <w:sz w:val="24"/>
                <w:szCs w:val="24"/>
              </w:rPr>
            </w:pPr>
            <w:r w:rsidRPr="0043547B">
              <w:rPr>
                <w:rFonts w:cstheme="minorHAnsi"/>
                <w:sz w:val="24"/>
                <w:szCs w:val="24"/>
              </w:rPr>
              <w:t>Cette norme s'applique à tous les produits de façades rideaux suivant la définition donnée dans le prEN 13830.</w:t>
            </w:r>
          </w:p>
        </w:tc>
      </w:tr>
      <w:tr w:rsidR="0043547B" w:rsidRPr="0043547B" w:rsidTr="00CB5DC0">
        <w:trPr>
          <w:trHeight w:val="50"/>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160B21" w:rsidRPr="0043547B" w:rsidRDefault="00160B21" w:rsidP="00614766">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left w:val="single" w:sz="4" w:space="0" w:color="auto"/>
              <w:bottom w:val="single" w:sz="18" w:space="0" w:color="auto"/>
              <w:right w:val="single" w:sz="18" w:space="0" w:color="auto"/>
            </w:tcBorders>
            <w:shd w:val="clear" w:color="auto" w:fill="C2D69B" w:themeFill="accent3" w:themeFillTint="99"/>
            <w:vAlign w:val="bottom"/>
          </w:tcPr>
          <w:p w:rsidR="00160B21" w:rsidRPr="002342C4" w:rsidRDefault="00160B21" w:rsidP="00614766">
            <w:pPr>
              <w:spacing w:after="0" w:line="240" w:lineRule="auto"/>
              <w:jc w:val="center"/>
              <w:rPr>
                <w:rFonts w:cstheme="minorHAnsi"/>
                <w:b/>
                <w:bCs/>
                <w:sz w:val="24"/>
                <w:szCs w:val="24"/>
              </w:rPr>
            </w:pPr>
            <w:r w:rsidRPr="002342C4">
              <w:rPr>
                <w:rFonts w:cstheme="minorHAnsi"/>
                <w:b/>
                <w:bCs/>
                <w:sz w:val="24"/>
                <w:szCs w:val="24"/>
              </w:rPr>
              <w:t>NM EN 13307-1</w:t>
            </w:r>
          </w:p>
        </w:tc>
      </w:tr>
      <w:tr w:rsidR="0043547B" w:rsidRPr="0043547B" w:rsidTr="00614766">
        <w:trPr>
          <w:trHeight w:val="50"/>
          <w:jc w:val="center"/>
        </w:trPr>
        <w:tc>
          <w:tcPr>
            <w:tcW w:w="1838" w:type="dxa"/>
            <w:tcBorders>
              <w:top w:val="single" w:sz="18" w:space="0" w:color="auto"/>
              <w:left w:val="single" w:sz="18" w:space="0" w:color="auto"/>
              <w:bottom w:val="single" w:sz="4" w:space="0" w:color="auto"/>
              <w:right w:val="single" w:sz="4" w:space="0" w:color="auto"/>
            </w:tcBorders>
            <w:shd w:val="clear" w:color="auto" w:fill="FDFBA9"/>
            <w:vAlign w:val="center"/>
          </w:tcPr>
          <w:p w:rsidR="00160B21" w:rsidRPr="0043547B" w:rsidRDefault="00160B21" w:rsidP="00614766">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DFBA9"/>
            <w:vAlign w:val="bottom"/>
          </w:tcPr>
          <w:p w:rsidR="00160B21" w:rsidRPr="002342C4" w:rsidRDefault="00160B21" w:rsidP="00614766">
            <w:pPr>
              <w:spacing w:after="0" w:line="240" w:lineRule="auto"/>
              <w:jc w:val="center"/>
              <w:rPr>
                <w:rFonts w:cstheme="minorHAnsi"/>
                <w:b/>
                <w:bCs/>
                <w:sz w:val="24"/>
                <w:szCs w:val="24"/>
              </w:rPr>
            </w:pPr>
            <w:r w:rsidRPr="002342C4">
              <w:rPr>
                <w:rFonts w:cstheme="minorHAnsi"/>
                <w:b/>
                <w:bCs/>
                <w:sz w:val="24"/>
                <w:szCs w:val="24"/>
              </w:rPr>
              <w:t>EN 13307-1</w:t>
            </w:r>
          </w:p>
        </w:tc>
      </w:tr>
      <w:tr w:rsidR="0043547B" w:rsidRPr="0043547B" w:rsidTr="00614766">
        <w:trPr>
          <w:trHeight w:val="50"/>
          <w:jc w:val="center"/>
        </w:trPr>
        <w:tc>
          <w:tcPr>
            <w:tcW w:w="1838" w:type="dxa"/>
            <w:tcBorders>
              <w:top w:val="single" w:sz="4" w:space="0" w:color="auto"/>
              <w:left w:val="single" w:sz="18" w:space="0" w:color="auto"/>
              <w:bottom w:val="single" w:sz="4" w:space="0" w:color="auto"/>
              <w:right w:val="single" w:sz="4" w:space="0" w:color="auto"/>
            </w:tcBorders>
            <w:shd w:val="clear" w:color="auto" w:fill="95B3D7" w:themeFill="accent1" w:themeFillTint="99"/>
            <w:vAlign w:val="center"/>
          </w:tcPr>
          <w:p w:rsidR="00160B21" w:rsidRPr="0043547B" w:rsidRDefault="00160B21" w:rsidP="00614766">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auto"/>
          </w:tcPr>
          <w:p w:rsidR="00160B21" w:rsidRPr="0043547B" w:rsidRDefault="00160B21" w:rsidP="00614766">
            <w:pPr>
              <w:spacing w:after="0" w:line="240" w:lineRule="auto"/>
              <w:jc w:val="both"/>
              <w:rPr>
                <w:rFonts w:cstheme="minorHAnsi"/>
                <w:sz w:val="24"/>
                <w:szCs w:val="24"/>
              </w:rPr>
            </w:pPr>
            <w:r w:rsidRPr="0043547B">
              <w:rPr>
                <w:rFonts w:cstheme="minorHAnsi"/>
                <w:sz w:val="24"/>
                <w:szCs w:val="24"/>
              </w:rPr>
              <w:t xml:space="preserve">Ébauches et profilés semi-finis en bois pour usages non structurels - Partie 1 : Exigences  </w:t>
            </w:r>
          </w:p>
        </w:tc>
      </w:tr>
      <w:tr w:rsidR="0043547B" w:rsidRPr="0043547B" w:rsidTr="00CB5DC0">
        <w:trPr>
          <w:trHeight w:val="50"/>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160B21" w:rsidRPr="0043547B" w:rsidRDefault="00160B21" w:rsidP="00614766">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tcPr>
          <w:p w:rsidR="00160B21" w:rsidRPr="0043547B" w:rsidRDefault="00160B21" w:rsidP="00614766">
            <w:pPr>
              <w:spacing w:after="0" w:line="240" w:lineRule="auto"/>
              <w:jc w:val="both"/>
              <w:rPr>
                <w:rFonts w:cstheme="minorHAnsi"/>
                <w:sz w:val="24"/>
                <w:szCs w:val="24"/>
              </w:rPr>
            </w:pPr>
            <w:r w:rsidRPr="0043547B">
              <w:rPr>
                <w:rFonts w:cstheme="minorHAnsi"/>
                <w:sz w:val="24"/>
                <w:szCs w:val="24"/>
              </w:rPr>
              <w:t>La présente Norme européenne fournit des exigences pour les ébauches en bois et les profilés semi-finis pour utilisations non structurelles, incluant les produits lamellés collés et aboutés collés. La présente norme fournit des exigences particulières de dimensions, stabilité et teneur en humidité. La présente norme s’applique aux bois feuillus et résineux utilisés en menuiserie.</w:t>
            </w:r>
            <w:r w:rsidRPr="0043547B">
              <w:rPr>
                <w:rFonts w:cstheme="minorHAnsi"/>
                <w:sz w:val="24"/>
                <w:szCs w:val="24"/>
              </w:rPr>
              <w:br/>
              <w:t>Les exigences de contrôle de production et des essais sont donnés dans le prCEN/TS 13307-2.</w:t>
            </w:r>
          </w:p>
        </w:tc>
      </w:tr>
      <w:tr w:rsidR="0043547B" w:rsidRPr="0043547B" w:rsidTr="00CB5DC0">
        <w:trPr>
          <w:trHeight w:val="226"/>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5F7538" w:rsidRPr="0043547B" w:rsidRDefault="005F7538" w:rsidP="00614766">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left w:val="single" w:sz="4" w:space="0" w:color="auto"/>
              <w:bottom w:val="single" w:sz="18" w:space="0" w:color="auto"/>
              <w:right w:val="single" w:sz="18" w:space="0" w:color="auto"/>
            </w:tcBorders>
            <w:shd w:val="clear" w:color="auto" w:fill="C2D69B" w:themeFill="accent3" w:themeFillTint="99"/>
            <w:vAlign w:val="center"/>
          </w:tcPr>
          <w:p w:rsidR="005F7538" w:rsidRPr="0043547B" w:rsidRDefault="00E3541F" w:rsidP="000A4043">
            <w:pPr>
              <w:spacing w:after="0" w:line="240" w:lineRule="auto"/>
              <w:jc w:val="center"/>
              <w:rPr>
                <w:rFonts w:cstheme="minorHAnsi"/>
                <w:b/>
                <w:bCs/>
                <w:sz w:val="24"/>
                <w:szCs w:val="24"/>
              </w:rPr>
            </w:pPr>
            <w:r w:rsidRPr="0043547B">
              <w:rPr>
                <w:rFonts w:cstheme="minorHAnsi"/>
                <w:b/>
                <w:bCs/>
                <w:sz w:val="24"/>
                <w:szCs w:val="24"/>
              </w:rPr>
              <w:t>NM EN 12152</w:t>
            </w:r>
          </w:p>
        </w:tc>
      </w:tr>
      <w:tr w:rsidR="0043547B" w:rsidRPr="0043547B" w:rsidTr="00614766">
        <w:trPr>
          <w:trHeight w:val="50"/>
          <w:jc w:val="center"/>
        </w:trPr>
        <w:tc>
          <w:tcPr>
            <w:tcW w:w="1838" w:type="dxa"/>
            <w:tcBorders>
              <w:top w:val="single" w:sz="18" w:space="0" w:color="auto"/>
              <w:left w:val="single" w:sz="18" w:space="0" w:color="auto"/>
              <w:bottom w:val="single" w:sz="4" w:space="0" w:color="auto"/>
              <w:right w:val="single" w:sz="4" w:space="0" w:color="auto"/>
            </w:tcBorders>
            <w:shd w:val="clear" w:color="auto" w:fill="FDFBA9"/>
            <w:vAlign w:val="center"/>
          </w:tcPr>
          <w:p w:rsidR="005F7538" w:rsidRPr="0043547B" w:rsidRDefault="005F7538" w:rsidP="000A4A0B">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DFBA9"/>
            <w:vAlign w:val="center"/>
          </w:tcPr>
          <w:p w:rsidR="005F7538" w:rsidRPr="0043547B" w:rsidRDefault="005F7538" w:rsidP="000A4043">
            <w:pPr>
              <w:spacing w:after="0" w:line="240" w:lineRule="auto"/>
              <w:jc w:val="center"/>
              <w:rPr>
                <w:rFonts w:cstheme="minorHAnsi"/>
                <w:b/>
                <w:bCs/>
                <w:sz w:val="24"/>
                <w:szCs w:val="24"/>
              </w:rPr>
            </w:pPr>
            <w:r w:rsidRPr="0043547B">
              <w:rPr>
                <w:rFonts w:cstheme="minorHAnsi"/>
                <w:b/>
                <w:bCs/>
                <w:sz w:val="24"/>
                <w:szCs w:val="24"/>
              </w:rPr>
              <w:t>EN 12152</w:t>
            </w:r>
          </w:p>
        </w:tc>
      </w:tr>
      <w:tr w:rsidR="0043547B" w:rsidRPr="0043547B" w:rsidTr="00614766">
        <w:trPr>
          <w:trHeight w:val="50"/>
          <w:jc w:val="center"/>
        </w:trPr>
        <w:tc>
          <w:tcPr>
            <w:tcW w:w="1838" w:type="dxa"/>
            <w:tcBorders>
              <w:top w:val="single" w:sz="4" w:space="0" w:color="auto"/>
              <w:left w:val="single" w:sz="18" w:space="0" w:color="auto"/>
              <w:bottom w:val="single" w:sz="4" w:space="0" w:color="auto"/>
              <w:right w:val="single" w:sz="4" w:space="0" w:color="auto"/>
            </w:tcBorders>
            <w:shd w:val="clear" w:color="auto" w:fill="B8CCE4" w:themeFill="accent1" w:themeFillTint="66"/>
            <w:vAlign w:val="center"/>
          </w:tcPr>
          <w:p w:rsidR="005F7538" w:rsidRPr="0043547B" w:rsidRDefault="005F7538" w:rsidP="000A4A0B">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auto"/>
            <w:vAlign w:val="bottom"/>
          </w:tcPr>
          <w:p w:rsidR="005F7538" w:rsidRPr="0043547B" w:rsidRDefault="005F7538" w:rsidP="000A4043">
            <w:pPr>
              <w:spacing w:after="0" w:line="240" w:lineRule="auto"/>
              <w:rPr>
                <w:rFonts w:cstheme="minorHAnsi"/>
                <w:sz w:val="24"/>
                <w:szCs w:val="24"/>
              </w:rPr>
            </w:pPr>
            <w:r w:rsidRPr="0043547B">
              <w:rPr>
                <w:rFonts w:cstheme="minorHAnsi"/>
                <w:sz w:val="24"/>
                <w:szCs w:val="24"/>
              </w:rPr>
              <w:t>Façades rideaux - Perméabilité à l'air - Exigences de performance et classification</w:t>
            </w:r>
          </w:p>
        </w:tc>
      </w:tr>
      <w:tr w:rsidR="0043547B" w:rsidRPr="0043547B" w:rsidTr="00CB5DC0">
        <w:trPr>
          <w:trHeight w:val="1122"/>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5F7538" w:rsidRPr="0043547B" w:rsidRDefault="005F7538" w:rsidP="000A4A0B">
            <w:pPr>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bottom"/>
          </w:tcPr>
          <w:p w:rsidR="005F7538" w:rsidRPr="0043547B" w:rsidRDefault="005F7538" w:rsidP="00614766">
            <w:pPr>
              <w:spacing w:after="0" w:line="240" w:lineRule="auto"/>
              <w:jc w:val="both"/>
              <w:rPr>
                <w:rFonts w:cstheme="minorHAnsi"/>
                <w:sz w:val="24"/>
                <w:szCs w:val="24"/>
              </w:rPr>
            </w:pPr>
            <w:r w:rsidRPr="0043547B">
              <w:rPr>
                <w:rFonts w:cstheme="minorHAnsi"/>
                <w:sz w:val="24"/>
                <w:szCs w:val="24"/>
              </w:rPr>
              <w:t>La présente norme européenne définit les exigences et la classification de la perméabilité à l’air des éléments tant fixes que mobiles d’une façade rideau soumise à une pression d’air statique positive ou négative.</w:t>
            </w:r>
            <w:r w:rsidRPr="0043547B">
              <w:rPr>
                <w:rFonts w:cstheme="minorHAnsi"/>
                <w:sz w:val="24"/>
                <w:szCs w:val="24"/>
              </w:rPr>
              <w:br/>
            </w:r>
            <w:r w:rsidRPr="00614766">
              <w:rPr>
                <w:rFonts w:cstheme="minorHAnsi"/>
                <w:b/>
                <w:bCs/>
                <w:i/>
                <w:iCs/>
              </w:rPr>
              <w:t>NOTE</w:t>
            </w:r>
            <w:r w:rsidRPr="00614766">
              <w:rPr>
                <w:rFonts w:cstheme="minorHAnsi"/>
                <w:i/>
                <w:iCs/>
              </w:rPr>
              <w:t xml:space="preserve"> </w:t>
            </w:r>
            <w:r w:rsidR="000A4043" w:rsidRPr="00614766">
              <w:rPr>
                <w:rFonts w:cstheme="minorHAnsi"/>
                <w:i/>
                <w:iCs/>
              </w:rPr>
              <w:t xml:space="preserve">- </w:t>
            </w:r>
            <w:r w:rsidRPr="00614766">
              <w:rPr>
                <w:rFonts w:cstheme="minorHAnsi"/>
                <w:i/>
                <w:iCs/>
              </w:rPr>
              <w:t>La présente norme s’applique aux façades rideaux définies dans le prEN 13830.</w:t>
            </w:r>
          </w:p>
        </w:tc>
      </w:tr>
      <w:tr w:rsidR="0043547B" w:rsidRPr="0043547B" w:rsidTr="00CB5DC0">
        <w:trPr>
          <w:trHeight w:val="50"/>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5F7538" w:rsidRPr="0043547B" w:rsidRDefault="005F7538" w:rsidP="00614766">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left w:val="single" w:sz="4" w:space="0" w:color="auto"/>
              <w:bottom w:val="single" w:sz="18" w:space="0" w:color="auto"/>
              <w:right w:val="single" w:sz="18" w:space="0" w:color="auto"/>
            </w:tcBorders>
            <w:shd w:val="clear" w:color="auto" w:fill="C2D69B" w:themeFill="accent3" w:themeFillTint="99"/>
            <w:vAlign w:val="center"/>
          </w:tcPr>
          <w:p w:rsidR="005F7538" w:rsidRPr="0043547B" w:rsidRDefault="00E3541F" w:rsidP="000A4043">
            <w:pPr>
              <w:spacing w:after="0" w:line="240" w:lineRule="auto"/>
              <w:jc w:val="center"/>
              <w:rPr>
                <w:rFonts w:cstheme="minorHAnsi"/>
                <w:b/>
                <w:bCs/>
                <w:sz w:val="24"/>
                <w:szCs w:val="24"/>
              </w:rPr>
            </w:pPr>
            <w:r w:rsidRPr="0043547B">
              <w:rPr>
                <w:rFonts w:cstheme="minorHAnsi"/>
                <w:b/>
                <w:bCs/>
                <w:sz w:val="24"/>
                <w:szCs w:val="24"/>
              </w:rPr>
              <w:t>NM EN 13116</w:t>
            </w:r>
          </w:p>
        </w:tc>
      </w:tr>
      <w:tr w:rsidR="0043547B" w:rsidRPr="0043547B" w:rsidTr="00CB5DC0">
        <w:trPr>
          <w:trHeight w:val="422"/>
          <w:jc w:val="center"/>
        </w:trPr>
        <w:tc>
          <w:tcPr>
            <w:tcW w:w="1838" w:type="dxa"/>
            <w:tcBorders>
              <w:top w:val="single" w:sz="18" w:space="0" w:color="auto"/>
              <w:left w:val="single" w:sz="18" w:space="0" w:color="auto"/>
              <w:bottom w:val="single" w:sz="4" w:space="0" w:color="auto"/>
              <w:right w:val="single" w:sz="4" w:space="0" w:color="auto"/>
            </w:tcBorders>
            <w:shd w:val="clear" w:color="auto" w:fill="FDFBA9"/>
            <w:vAlign w:val="center"/>
          </w:tcPr>
          <w:p w:rsidR="005F7538" w:rsidRPr="0043547B" w:rsidRDefault="005F7538" w:rsidP="000A4043">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DFBA9"/>
            <w:vAlign w:val="center"/>
          </w:tcPr>
          <w:p w:rsidR="005F7538" w:rsidRPr="0043547B" w:rsidRDefault="005F7538" w:rsidP="000A4043">
            <w:pPr>
              <w:spacing w:after="0" w:line="240" w:lineRule="auto"/>
              <w:jc w:val="center"/>
              <w:rPr>
                <w:rFonts w:cstheme="minorHAnsi"/>
                <w:b/>
                <w:bCs/>
                <w:sz w:val="24"/>
                <w:szCs w:val="24"/>
              </w:rPr>
            </w:pPr>
            <w:r w:rsidRPr="0043547B">
              <w:rPr>
                <w:rFonts w:cstheme="minorHAnsi"/>
                <w:b/>
                <w:bCs/>
                <w:sz w:val="24"/>
                <w:szCs w:val="24"/>
              </w:rPr>
              <w:t>EN 13116</w:t>
            </w:r>
          </w:p>
        </w:tc>
      </w:tr>
      <w:tr w:rsidR="0043547B" w:rsidRPr="0043547B" w:rsidTr="00CB5DC0">
        <w:trPr>
          <w:trHeight w:val="50"/>
          <w:jc w:val="center"/>
        </w:trPr>
        <w:tc>
          <w:tcPr>
            <w:tcW w:w="1838" w:type="dxa"/>
            <w:tcBorders>
              <w:top w:val="single" w:sz="4" w:space="0" w:color="auto"/>
              <w:left w:val="single" w:sz="18" w:space="0" w:color="auto"/>
              <w:bottom w:val="single" w:sz="4" w:space="0" w:color="auto"/>
              <w:right w:val="single" w:sz="4" w:space="0" w:color="auto"/>
            </w:tcBorders>
            <w:shd w:val="clear" w:color="auto" w:fill="95B3D7" w:themeFill="accent1" w:themeFillTint="99"/>
            <w:vAlign w:val="center"/>
          </w:tcPr>
          <w:p w:rsidR="005F7538" w:rsidRPr="0043547B" w:rsidRDefault="005F7538" w:rsidP="000A4043">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auto"/>
            <w:vAlign w:val="bottom"/>
          </w:tcPr>
          <w:p w:rsidR="005F7538" w:rsidRPr="0043547B" w:rsidRDefault="005F7538" w:rsidP="000A4043">
            <w:pPr>
              <w:spacing w:after="0" w:line="240" w:lineRule="auto"/>
              <w:rPr>
                <w:rFonts w:cstheme="minorHAnsi"/>
                <w:sz w:val="24"/>
                <w:szCs w:val="24"/>
              </w:rPr>
            </w:pPr>
            <w:r w:rsidRPr="0043547B">
              <w:rPr>
                <w:rFonts w:cstheme="minorHAnsi"/>
                <w:sz w:val="24"/>
                <w:szCs w:val="24"/>
              </w:rPr>
              <w:t>Façades rideaux - Résistance structurelle au vent - Prescriptions de performance</w:t>
            </w:r>
          </w:p>
        </w:tc>
      </w:tr>
      <w:tr w:rsidR="0043547B" w:rsidRPr="0043547B" w:rsidTr="00CB5DC0">
        <w:trPr>
          <w:trHeight w:val="50"/>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5F7538" w:rsidRPr="0043547B" w:rsidRDefault="005F7538" w:rsidP="000A4A0B">
            <w:pPr>
              <w:jc w:val="center"/>
              <w:rPr>
                <w:rFonts w:cstheme="minorHAnsi"/>
                <w:b/>
                <w:bCs/>
                <w:sz w:val="24"/>
                <w:szCs w:val="24"/>
              </w:rPr>
            </w:pPr>
            <w:r w:rsidRPr="0043547B">
              <w:rPr>
                <w:rFonts w:cstheme="minorHAnsi"/>
                <w:b/>
                <w:bCs/>
                <w:sz w:val="24"/>
                <w:szCs w:val="24"/>
              </w:rPr>
              <w:lastRenderedPageBreak/>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bottom"/>
          </w:tcPr>
          <w:p w:rsidR="00614766" w:rsidRDefault="005F7538" w:rsidP="00614766">
            <w:pPr>
              <w:spacing w:after="0" w:line="240" w:lineRule="auto"/>
              <w:jc w:val="both"/>
              <w:rPr>
                <w:rFonts w:cstheme="minorHAnsi"/>
                <w:sz w:val="24"/>
                <w:szCs w:val="24"/>
              </w:rPr>
            </w:pPr>
            <w:r w:rsidRPr="0043547B">
              <w:rPr>
                <w:rFonts w:cstheme="minorHAnsi"/>
                <w:sz w:val="24"/>
                <w:szCs w:val="24"/>
              </w:rPr>
              <w:t>La présente norme définit les prescriptions de performance structurelle des façades rideaux sous la charge du vent, pour les parties fixes et ouvrantes, sous une pression d'air statique positive et négative.</w:t>
            </w:r>
          </w:p>
          <w:p w:rsidR="005F7538" w:rsidRPr="0043547B" w:rsidRDefault="005F7538" w:rsidP="00614766">
            <w:pPr>
              <w:spacing w:after="0" w:line="240" w:lineRule="auto"/>
              <w:jc w:val="both"/>
              <w:rPr>
                <w:rFonts w:cstheme="minorHAnsi"/>
                <w:sz w:val="24"/>
                <w:szCs w:val="24"/>
              </w:rPr>
            </w:pPr>
            <w:r w:rsidRPr="0043547B">
              <w:rPr>
                <w:rFonts w:cstheme="minorHAnsi"/>
                <w:sz w:val="24"/>
                <w:szCs w:val="24"/>
              </w:rPr>
              <w:t>Cette norme s'applique à tous les produits de façades rideaux suivant la définition donnée dans le prEN 13830.</w:t>
            </w:r>
          </w:p>
        </w:tc>
      </w:tr>
      <w:tr w:rsidR="0043547B" w:rsidRPr="0043547B" w:rsidTr="00CB5DC0">
        <w:trPr>
          <w:trHeight w:val="2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tcPr>
          <w:p w:rsidR="00F24BE1" w:rsidRPr="0043547B" w:rsidRDefault="00F24BE1" w:rsidP="00F24BE1">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tcPr>
          <w:p w:rsidR="00F24BE1" w:rsidRPr="0043547B" w:rsidRDefault="00F24BE1" w:rsidP="00F24BE1">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10.2.478</w:t>
            </w:r>
          </w:p>
        </w:tc>
      </w:tr>
      <w:tr w:rsidR="0043547B" w:rsidRPr="0043547B" w:rsidTr="00CB5DC0">
        <w:trPr>
          <w:trHeight w:val="25"/>
          <w:jc w:val="center"/>
        </w:trPr>
        <w:tc>
          <w:tcPr>
            <w:tcW w:w="1838" w:type="dxa"/>
            <w:tcBorders>
              <w:top w:val="nil"/>
              <w:left w:val="single" w:sz="18" w:space="0" w:color="auto"/>
              <w:bottom w:val="single" w:sz="4" w:space="0" w:color="auto"/>
              <w:right w:val="single" w:sz="4" w:space="0" w:color="auto"/>
            </w:tcBorders>
            <w:shd w:val="clear" w:color="000000" w:fill="8DB4E2"/>
            <w:vAlign w:val="center"/>
          </w:tcPr>
          <w:p w:rsidR="00F24BE1" w:rsidRPr="0043547B" w:rsidRDefault="00F24BE1" w:rsidP="00F24BE1">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vAlign w:val="center"/>
          </w:tcPr>
          <w:p w:rsidR="00F24BE1" w:rsidRPr="0043547B" w:rsidRDefault="00F24BE1" w:rsidP="00F24BE1">
            <w:pPr>
              <w:autoSpaceDE w:val="0"/>
              <w:autoSpaceDN w:val="0"/>
              <w:adjustRightInd w:val="0"/>
              <w:spacing w:after="0" w:line="240" w:lineRule="auto"/>
              <w:rPr>
                <w:rFonts w:eastAsia="Times New Roman" w:cstheme="minorHAnsi"/>
                <w:sz w:val="24"/>
                <w:szCs w:val="24"/>
                <w:lang w:eastAsia="fr-FR"/>
              </w:rPr>
            </w:pPr>
            <w:r w:rsidRPr="0043547B">
              <w:rPr>
                <w:rFonts w:eastAsia="Times New Roman" w:cstheme="minorHAnsi"/>
                <w:sz w:val="24"/>
                <w:szCs w:val="24"/>
                <w:lang w:eastAsia="fr-FR"/>
              </w:rPr>
              <w:t>Menuiseries bois-Tenue à l’humidité des rives des vantaux de portes-Méthodes d’essai et exigences</w:t>
            </w:r>
          </w:p>
        </w:tc>
      </w:tr>
      <w:tr w:rsidR="0043547B" w:rsidRPr="0043547B" w:rsidTr="00CB5DC0">
        <w:trPr>
          <w:trHeight w:val="720"/>
          <w:jc w:val="center"/>
        </w:trPr>
        <w:tc>
          <w:tcPr>
            <w:tcW w:w="1838" w:type="dxa"/>
            <w:tcBorders>
              <w:top w:val="nil"/>
              <w:left w:val="single" w:sz="18" w:space="0" w:color="auto"/>
              <w:bottom w:val="single" w:sz="18" w:space="0" w:color="auto"/>
              <w:right w:val="single" w:sz="4" w:space="0" w:color="auto"/>
            </w:tcBorders>
            <w:shd w:val="clear" w:color="000000" w:fill="D9D9D9"/>
            <w:vAlign w:val="center"/>
          </w:tcPr>
          <w:p w:rsidR="00F24BE1" w:rsidRPr="0043547B" w:rsidRDefault="00F24BE1" w:rsidP="00F24BE1">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center"/>
          </w:tcPr>
          <w:p w:rsidR="00F24BE1" w:rsidRPr="0043547B" w:rsidRDefault="00F24BE1" w:rsidP="00F24BE1">
            <w:pPr>
              <w:autoSpaceDE w:val="0"/>
              <w:autoSpaceDN w:val="0"/>
              <w:adjustRightInd w:val="0"/>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 présent document définit les méthodes d’essai permettant de vérifier la bonne tenue des plans de collage entre les panneaux ou les placages des faces et l’ossature des vantaux lorsqu’ils sont soumis à l’action de l’eau froide et en fixe les exigences.</w:t>
            </w:r>
          </w:p>
          <w:p w:rsidR="00F24BE1" w:rsidRPr="0043547B" w:rsidRDefault="00F24BE1" w:rsidP="00F24BE1">
            <w:pPr>
              <w:autoSpaceDE w:val="0"/>
              <w:autoSpaceDN w:val="0"/>
              <w:adjustRightInd w:val="0"/>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Il s’applique à tous les vantaux de portes, à base de panneaux à base de bois, destinés aux classes de service 1, 2 et 3, telles que définies dans la norme NM* EN 1995-1-1 et dans la clause 3 ci-dessous.</w:t>
            </w:r>
          </w:p>
        </w:tc>
      </w:tr>
      <w:tr w:rsidR="0043547B" w:rsidRPr="0043547B" w:rsidTr="00CB5DC0">
        <w:trPr>
          <w:trHeight w:val="2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tcPr>
          <w:p w:rsidR="00F24BE1" w:rsidRPr="0043547B" w:rsidRDefault="00F24BE1" w:rsidP="00F24BE1">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tcPr>
          <w:p w:rsidR="00F24BE1" w:rsidRPr="0043547B" w:rsidRDefault="00F24BE1" w:rsidP="00F24BE1">
            <w:pPr>
              <w:spacing w:after="0" w:line="240" w:lineRule="auto"/>
              <w:jc w:val="center"/>
              <w:rPr>
                <w:rFonts w:eastAsia="Times New Roman" w:cstheme="minorHAnsi"/>
                <w:b/>
                <w:bCs/>
                <w:sz w:val="24"/>
                <w:szCs w:val="24"/>
                <w:lang w:eastAsia="fr-FR"/>
              </w:rPr>
            </w:pPr>
            <w:r w:rsidRPr="0043547B">
              <w:rPr>
                <w:rFonts w:cstheme="minorHAnsi"/>
                <w:sz w:val="24"/>
                <w:szCs w:val="24"/>
              </w:rPr>
              <w:t xml:space="preserve"> </w:t>
            </w:r>
            <w:r w:rsidRPr="0043547B">
              <w:rPr>
                <w:rFonts w:eastAsia="Times New Roman" w:cstheme="minorHAnsi"/>
                <w:b/>
                <w:bCs/>
                <w:sz w:val="24"/>
                <w:szCs w:val="24"/>
                <w:lang w:eastAsia="fr-FR"/>
              </w:rPr>
              <w:t>NM 10.2.476</w:t>
            </w:r>
          </w:p>
        </w:tc>
      </w:tr>
      <w:tr w:rsidR="0043547B" w:rsidRPr="0043547B" w:rsidTr="00CB5DC0">
        <w:trPr>
          <w:trHeight w:val="25"/>
          <w:jc w:val="center"/>
        </w:trPr>
        <w:tc>
          <w:tcPr>
            <w:tcW w:w="1838" w:type="dxa"/>
            <w:tcBorders>
              <w:top w:val="nil"/>
              <w:left w:val="single" w:sz="18" w:space="0" w:color="auto"/>
              <w:bottom w:val="single" w:sz="4" w:space="0" w:color="auto"/>
              <w:right w:val="single" w:sz="4" w:space="0" w:color="auto"/>
            </w:tcBorders>
            <w:shd w:val="clear" w:color="000000" w:fill="8DB4E2"/>
            <w:vAlign w:val="center"/>
          </w:tcPr>
          <w:p w:rsidR="00F24BE1" w:rsidRPr="0043547B" w:rsidRDefault="00F24BE1" w:rsidP="00F24BE1">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vAlign w:val="center"/>
          </w:tcPr>
          <w:p w:rsidR="00F24BE1" w:rsidRPr="0043547B" w:rsidRDefault="00F24BE1" w:rsidP="00F24BE1">
            <w:pPr>
              <w:autoSpaceDE w:val="0"/>
              <w:autoSpaceDN w:val="0"/>
              <w:adjustRightInd w:val="0"/>
              <w:spacing w:after="0" w:line="240" w:lineRule="auto"/>
              <w:rPr>
                <w:rFonts w:eastAsia="Times New Roman" w:cstheme="minorHAnsi"/>
                <w:sz w:val="24"/>
                <w:szCs w:val="24"/>
                <w:lang w:eastAsia="fr-FR"/>
              </w:rPr>
            </w:pPr>
            <w:r w:rsidRPr="0043547B">
              <w:rPr>
                <w:rFonts w:cstheme="minorHAnsi"/>
                <w:sz w:val="24"/>
                <w:szCs w:val="24"/>
              </w:rPr>
              <w:t xml:space="preserve"> </w:t>
            </w:r>
            <w:r w:rsidRPr="0043547B">
              <w:rPr>
                <w:rFonts w:eastAsia="Times New Roman" w:cstheme="minorHAnsi"/>
                <w:sz w:val="24"/>
                <w:szCs w:val="24"/>
                <w:lang w:eastAsia="fr-FR"/>
              </w:rPr>
              <w:t>Portes planes intérieures de communication en bois-Spécifications</w:t>
            </w:r>
            <w:r w:rsidRPr="0043547B">
              <w:rPr>
                <w:rFonts w:cstheme="minorHAnsi"/>
                <w:noProof/>
                <w:sz w:val="24"/>
                <w:szCs w:val="24"/>
                <w:lang w:eastAsia="fr-FR"/>
              </w:rPr>
              <w:drawing>
                <wp:inline distT="0" distB="0" distL="0" distR="0" wp14:anchorId="571EE1E0" wp14:editId="56CC3ACC">
                  <wp:extent cx="183515" cy="158750"/>
                  <wp:effectExtent l="0" t="0" r="6985" b="0"/>
                  <wp:docPr id="46" name="Image 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8" cstate="print"/>
                          <a:srcRect/>
                          <a:stretch>
                            <a:fillRect/>
                          </a:stretch>
                        </pic:blipFill>
                        <pic:spPr bwMode="auto">
                          <a:xfrm>
                            <a:off x="0" y="0"/>
                            <a:ext cx="185776" cy="160706"/>
                          </a:xfrm>
                          <a:prstGeom prst="rect">
                            <a:avLst/>
                          </a:prstGeom>
                          <a:noFill/>
                          <a:ln w="9525">
                            <a:noFill/>
                            <a:miter lim="800000"/>
                            <a:headEnd/>
                            <a:tailEnd/>
                          </a:ln>
                        </pic:spPr>
                      </pic:pic>
                    </a:graphicData>
                  </a:graphic>
                </wp:inline>
              </w:drawing>
            </w:r>
          </w:p>
        </w:tc>
      </w:tr>
      <w:tr w:rsidR="0043547B" w:rsidRPr="0043547B" w:rsidTr="00CB5DC0">
        <w:trPr>
          <w:trHeight w:val="1392"/>
          <w:jc w:val="center"/>
        </w:trPr>
        <w:tc>
          <w:tcPr>
            <w:tcW w:w="1838" w:type="dxa"/>
            <w:tcBorders>
              <w:top w:val="nil"/>
              <w:left w:val="single" w:sz="18" w:space="0" w:color="auto"/>
              <w:bottom w:val="single" w:sz="18" w:space="0" w:color="auto"/>
              <w:right w:val="single" w:sz="4" w:space="0" w:color="auto"/>
            </w:tcBorders>
            <w:shd w:val="clear" w:color="000000" w:fill="D9D9D9"/>
            <w:vAlign w:val="center"/>
          </w:tcPr>
          <w:p w:rsidR="00F24BE1" w:rsidRPr="0043547B" w:rsidRDefault="00F24BE1" w:rsidP="00F24BE1">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center"/>
          </w:tcPr>
          <w:p w:rsidR="00F24BE1" w:rsidRPr="0043547B" w:rsidRDefault="00F24BE1" w:rsidP="00F24BE1">
            <w:pPr>
              <w:autoSpaceDE w:val="0"/>
              <w:autoSpaceDN w:val="0"/>
              <w:adjustRightInd w:val="0"/>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La présente norme s'applique aux portes de communication en bois à feuillure et à recouvrement à un ou deux vantaux battants, avec ou sans oculus, à l'exclusion de tous les autres types de portes. </w:t>
            </w:r>
          </w:p>
          <w:p w:rsidR="00F24BE1" w:rsidRPr="0043547B" w:rsidRDefault="00F24BE1" w:rsidP="00F24BE1">
            <w:pPr>
              <w:autoSpaceDE w:val="0"/>
              <w:autoSpaceDN w:val="0"/>
              <w:adjustRightInd w:val="0"/>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Ne sont pas traitées dans la présente norme les propriétés spécifiques : </w:t>
            </w:r>
          </w:p>
          <w:p w:rsidR="00F24BE1" w:rsidRPr="0043547B" w:rsidRDefault="00F24BE1" w:rsidP="00F24BE1">
            <w:pPr>
              <w:autoSpaceDE w:val="0"/>
              <w:autoSpaceDN w:val="0"/>
              <w:adjustRightInd w:val="0"/>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 aux portes extérieures ; </w:t>
            </w:r>
          </w:p>
          <w:p w:rsidR="00F24BE1" w:rsidRPr="0043547B" w:rsidRDefault="00F24BE1" w:rsidP="00F24BE1">
            <w:pPr>
              <w:autoSpaceDE w:val="0"/>
              <w:autoSpaceDN w:val="0"/>
              <w:adjustRightInd w:val="0"/>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 aux portes palières ; </w:t>
            </w:r>
          </w:p>
          <w:p w:rsidR="00F24BE1" w:rsidRPr="0043547B" w:rsidRDefault="00F24BE1" w:rsidP="00F24BE1">
            <w:pPr>
              <w:autoSpaceDE w:val="0"/>
              <w:autoSpaceDN w:val="0"/>
              <w:adjustRightInd w:val="0"/>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 aux portes de placard ; </w:t>
            </w:r>
          </w:p>
          <w:p w:rsidR="00F24BE1" w:rsidRPr="0043547B" w:rsidRDefault="00F24BE1" w:rsidP="00F24BE1">
            <w:pPr>
              <w:autoSpaceDE w:val="0"/>
              <w:autoSpaceDN w:val="0"/>
              <w:adjustRightInd w:val="0"/>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 aux portes de gaines d'ascenseur ; </w:t>
            </w:r>
          </w:p>
          <w:p w:rsidR="00F24BE1" w:rsidRPr="0043547B" w:rsidRDefault="00F24BE1" w:rsidP="00F24BE1">
            <w:pPr>
              <w:autoSpaceDE w:val="0"/>
              <w:autoSpaceDN w:val="0"/>
              <w:adjustRightInd w:val="0"/>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 aux portes de chaufferie ; </w:t>
            </w:r>
          </w:p>
          <w:p w:rsidR="00F24BE1" w:rsidRPr="0043547B" w:rsidRDefault="00F24BE1" w:rsidP="00F24BE1">
            <w:pPr>
              <w:autoSpaceDE w:val="0"/>
              <w:autoSpaceDN w:val="0"/>
              <w:adjustRightInd w:val="0"/>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 aux portes spéciales (exemple : chambres de malades) ; </w:t>
            </w:r>
          </w:p>
          <w:p w:rsidR="00F24BE1" w:rsidRPr="0043547B" w:rsidRDefault="00F24BE1" w:rsidP="00F24BE1">
            <w:pPr>
              <w:autoSpaceDE w:val="0"/>
              <w:autoSpaceDN w:val="0"/>
              <w:adjustRightInd w:val="0"/>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 aux portes résistantes au feu classées coupe-feu ou para-flammes, aux portes classées en affaiblissement acoustique ; </w:t>
            </w:r>
          </w:p>
          <w:p w:rsidR="00F24BE1" w:rsidRPr="0043547B" w:rsidRDefault="00F24BE1" w:rsidP="00F24BE1">
            <w:pPr>
              <w:autoSpaceDE w:val="0"/>
              <w:autoSpaceDN w:val="0"/>
              <w:adjustRightInd w:val="0"/>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 aux portes de caravanes, de mobil-home ; </w:t>
            </w:r>
          </w:p>
          <w:p w:rsidR="00F24BE1" w:rsidRPr="0043547B" w:rsidRDefault="00F24BE1" w:rsidP="00F24BE1">
            <w:pPr>
              <w:autoSpaceDE w:val="0"/>
              <w:autoSpaceDN w:val="0"/>
              <w:adjustRightInd w:val="0"/>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aux portes de constructions navale.</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F30D25" w:rsidRPr="0043547B" w:rsidRDefault="00F30D25" w:rsidP="00614766">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bottom"/>
            <w:hideMark/>
          </w:tcPr>
          <w:p w:rsidR="00F30D25" w:rsidRPr="00951C84" w:rsidRDefault="00F30D25" w:rsidP="00614766">
            <w:pPr>
              <w:spacing w:after="0" w:line="240" w:lineRule="auto"/>
              <w:jc w:val="center"/>
              <w:rPr>
                <w:rFonts w:cstheme="minorHAnsi"/>
                <w:b/>
                <w:bCs/>
                <w:sz w:val="24"/>
                <w:szCs w:val="24"/>
              </w:rPr>
            </w:pPr>
            <w:r w:rsidRPr="00951C84">
              <w:rPr>
                <w:rFonts w:cstheme="minorHAnsi"/>
                <w:b/>
                <w:bCs/>
                <w:sz w:val="24"/>
                <w:szCs w:val="24"/>
              </w:rPr>
              <w:t>NM EN 12210</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F30D25" w:rsidRPr="0043547B" w:rsidRDefault="00F30D25" w:rsidP="00614766">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F30D25" w:rsidRPr="00951C84" w:rsidRDefault="00F30D25" w:rsidP="00614766">
            <w:pPr>
              <w:spacing w:after="0" w:line="240" w:lineRule="auto"/>
              <w:jc w:val="center"/>
              <w:rPr>
                <w:rFonts w:cstheme="minorHAnsi"/>
                <w:b/>
                <w:bCs/>
                <w:sz w:val="24"/>
                <w:szCs w:val="24"/>
              </w:rPr>
            </w:pPr>
            <w:r w:rsidRPr="00951C84">
              <w:rPr>
                <w:rFonts w:cstheme="minorHAnsi"/>
                <w:b/>
                <w:bCs/>
                <w:sz w:val="24"/>
                <w:szCs w:val="24"/>
              </w:rPr>
              <w:t>EN 12210</w:t>
            </w:r>
          </w:p>
        </w:tc>
      </w:tr>
      <w:tr w:rsidR="0043547B" w:rsidRPr="0043547B" w:rsidTr="00CB5DC0">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F30D25" w:rsidRPr="0043547B" w:rsidRDefault="00F30D25" w:rsidP="00614766">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hideMark/>
          </w:tcPr>
          <w:p w:rsidR="00F30D25" w:rsidRPr="0043547B" w:rsidRDefault="00F30D25" w:rsidP="00614766">
            <w:pPr>
              <w:spacing w:after="0" w:line="240" w:lineRule="auto"/>
              <w:jc w:val="both"/>
              <w:rPr>
                <w:rFonts w:cstheme="minorHAnsi"/>
                <w:sz w:val="24"/>
                <w:szCs w:val="24"/>
              </w:rPr>
            </w:pPr>
            <w:r w:rsidRPr="0043547B">
              <w:rPr>
                <w:rFonts w:cstheme="minorHAnsi"/>
                <w:sz w:val="24"/>
                <w:szCs w:val="24"/>
              </w:rPr>
              <w:t xml:space="preserve">Fenêtres et portes - Résistance au vent - Classification  </w:t>
            </w:r>
          </w:p>
        </w:tc>
      </w:tr>
      <w:tr w:rsidR="0043547B" w:rsidRPr="0043547B" w:rsidTr="00CB5DC0">
        <w:trPr>
          <w:trHeight w:val="571"/>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F30D25" w:rsidRPr="0043547B" w:rsidRDefault="00F30D25" w:rsidP="00614766">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hideMark/>
          </w:tcPr>
          <w:p w:rsidR="00F30D25" w:rsidRPr="0043547B" w:rsidRDefault="00F30D25" w:rsidP="00127EBE">
            <w:pPr>
              <w:spacing w:after="0" w:line="240" w:lineRule="auto"/>
              <w:jc w:val="both"/>
              <w:rPr>
                <w:rFonts w:cstheme="minorHAnsi"/>
                <w:sz w:val="24"/>
                <w:szCs w:val="24"/>
              </w:rPr>
            </w:pPr>
            <w:r w:rsidRPr="0043547B">
              <w:rPr>
                <w:rFonts w:cstheme="minorHAnsi"/>
                <w:sz w:val="24"/>
                <w:szCs w:val="24"/>
              </w:rPr>
              <w:t>La présente Norme européenne définit la classification des résultats d'essai pour des fenêtres et des portes complètement assemblées quels que soient leurs matériaux, après essai réalisé selon l’EN 12211.</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F24BE1" w:rsidRPr="0043547B" w:rsidRDefault="00F24BE1" w:rsidP="00F24BE1">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F24BE1" w:rsidRPr="0043547B" w:rsidRDefault="00F24BE1" w:rsidP="00F24BE1">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10.2.234</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F24BE1" w:rsidRPr="0043547B" w:rsidRDefault="00F24BE1" w:rsidP="00F24BE1">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F24BE1" w:rsidRPr="0043547B" w:rsidRDefault="00F24BE1" w:rsidP="00F24BE1">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12208</w:t>
            </w:r>
          </w:p>
        </w:tc>
      </w:tr>
      <w:tr w:rsidR="0043547B" w:rsidRPr="0043547B" w:rsidTr="00CB5DC0">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F24BE1" w:rsidRPr="0043547B" w:rsidRDefault="00F24BE1" w:rsidP="00F24BE1">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vAlign w:val="center"/>
            <w:hideMark/>
          </w:tcPr>
          <w:p w:rsidR="00F24BE1" w:rsidRPr="0043547B" w:rsidRDefault="00F24BE1" w:rsidP="00F24BE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Fenêtres et portes - Etanchéité à l’eau - Classification</w:t>
            </w:r>
          </w:p>
        </w:tc>
      </w:tr>
      <w:tr w:rsidR="0043547B" w:rsidRPr="0043547B" w:rsidTr="00CB5DC0">
        <w:trPr>
          <w:trHeight w:val="909"/>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F24BE1" w:rsidRPr="0043547B" w:rsidRDefault="00F24BE1" w:rsidP="00F24BE1">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center"/>
            <w:hideMark/>
          </w:tcPr>
          <w:p w:rsidR="00F24BE1" w:rsidRPr="0043547B" w:rsidRDefault="00F24BE1" w:rsidP="00F24BE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définit la classification des résultats d'essai pour les fenêtres et portes complètement assemblées quels que soient leurs matériaux après essai réalisé selon la NM 10.2.235 «Fenêtres et portes Étanchéité à l'eau - Méthode d'essai».</w:t>
            </w:r>
          </w:p>
        </w:tc>
      </w:tr>
      <w:tr w:rsidR="0043547B" w:rsidRPr="0043547B" w:rsidTr="00CB5DC0">
        <w:trPr>
          <w:trHeight w:val="204"/>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F30D25" w:rsidRPr="0043547B" w:rsidRDefault="00F30D25" w:rsidP="00127EBE">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left w:val="single" w:sz="4" w:space="0" w:color="auto"/>
              <w:bottom w:val="single" w:sz="18" w:space="0" w:color="auto"/>
              <w:right w:val="single" w:sz="18" w:space="0" w:color="auto"/>
            </w:tcBorders>
            <w:shd w:val="clear" w:color="auto" w:fill="C2D69B" w:themeFill="accent3" w:themeFillTint="99"/>
            <w:vAlign w:val="bottom"/>
          </w:tcPr>
          <w:p w:rsidR="00F30D25" w:rsidRPr="00951C84" w:rsidRDefault="00F30D25" w:rsidP="00127EBE">
            <w:pPr>
              <w:spacing w:after="0" w:line="240" w:lineRule="auto"/>
              <w:jc w:val="center"/>
              <w:rPr>
                <w:rFonts w:cstheme="minorHAnsi"/>
                <w:b/>
                <w:bCs/>
                <w:sz w:val="24"/>
                <w:szCs w:val="24"/>
              </w:rPr>
            </w:pPr>
            <w:r w:rsidRPr="00951C84">
              <w:rPr>
                <w:rFonts w:cstheme="minorHAnsi"/>
                <w:b/>
                <w:bCs/>
                <w:sz w:val="24"/>
                <w:szCs w:val="24"/>
              </w:rPr>
              <w:t>NM EN 13561</w:t>
            </w:r>
          </w:p>
        </w:tc>
      </w:tr>
      <w:tr w:rsidR="0043547B" w:rsidRPr="0043547B" w:rsidTr="00CB5DC0">
        <w:trPr>
          <w:trHeight w:val="212"/>
          <w:jc w:val="center"/>
        </w:trPr>
        <w:tc>
          <w:tcPr>
            <w:tcW w:w="1838" w:type="dxa"/>
            <w:tcBorders>
              <w:top w:val="single" w:sz="18" w:space="0" w:color="auto"/>
              <w:left w:val="single" w:sz="18" w:space="0" w:color="auto"/>
              <w:bottom w:val="single" w:sz="4" w:space="0" w:color="auto"/>
              <w:right w:val="single" w:sz="4" w:space="0" w:color="auto"/>
            </w:tcBorders>
            <w:shd w:val="clear" w:color="auto" w:fill="FDFBA9"/>
            <w:vAlign w:val="center"/>
          </w:tcPr>
          <w:p w:rsidR="00F30D25" w:rsidRPr="0043547B" w:rsidRDefault="00F30D25" w:rsidP="00127EBE">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DFBA9"/>
            <w:vAlign w:val="bottom"/>
          </w:tcPr>
          <w:p w:rsidR="00F30D25" w:rsidRPr="00951C84" w:rsidRDefault="00F30D25" w:rsidP="00127EBE">
            <w:pPr>
              <w:spacing w:after="0" w:line="240" w:lineRule="auto"/>
              <w:jc w:val="center"/>
              <w:rPr>
                <w:rFonts w:cstheme="minorHAnsi"/>
                <w:b/>
                <w:bCs/>
                <w:sz w:val="24"/>
                <w:szCs w:val="24"/>
              </w:rPr>
            </w:pPr>
            <w:r w:rsidRPr="00951C84">
              <w:rPr>
                <w:rFonts w:cstheme="minorHAnsi"/>
                <w:b/>
                <w:bCs/>
                <w:sz w:val="24"/>
                <w:szCs w:val="24"/>
              </w:rPr>
              <w:t>EN 13561</w:t>
            </w:r>
          </w:p>
        </w:tc>
      </w:tr>
      <w:tr w:rsidR="0043547B" w:rsidRPr="0043547B" w:rsidTr="00CB5DC0">
        <w:trPr>
          <w:trHeight w:val="318"/>
          <w:jc w:val="center"/>
        </w:trPr>
        <w:tc>
          <w:tcPr>
            <w:tcW w:w="1838" w:type="dxa"/>
            <w:tcBorders>
              <w:top w:val="single" w:sz="4" w:space="0" w:color="auto"/>
              <w:left w:val="single" w:sz="18" w:space="0" w:color="auto"/>
              <w:bottom w:val="single" w:sz="4" w:space="0" w:color="auto"/>
              <w:right w:val="single" w:sz="4" w:space="0" w:color="auto"/>
            </w:tcBorders>
            <w:shd w:val="clear" w:color="auto" w:fill="95B3D7" w:themeFill="accent1" w:themeFillTint="99"/>
            <w:vAlign w:val="center"/>
          </w:tcPr>
          <w:p w:rsidR="00F30D25" w:rsidRPr="0043547B" w:rsidRDefault="00F30D25" w:rsidP="00127EBE">
            <w:pPr>
              <w:spacing w:after="0" w:line="240" w:lineRule="auto"/>
              <w:jc w:val="center"/>
              <w:rPr>
                <w:rFonts w:cstheme="minorHAnsi"/>
                <w:b/>
                <w:bCs/>
                <w:sz w:val="24"/>
                <w:szCs w:val="24"/>
              </w:rPr>
            </w:pPr>
            <w:r w:rsidRPr="0043547B">
              <w:rPr>
                <w:rFonts w:cstheme="minorHAnsi"/>
                <w:b/>
                <w:bCs/>
                <w:sz w:val="24"/>
                <w:szCs w:val="24"/>
              </w:rPr>
              <w:t>Inti</w:t>
            </w:r>
            <w:r w:rsidRPr="0043547B">
              <w:rPr>
                <w:rFonts w:cstheme="minorHAnsi"/>
                <w:b/>
                <w:bCs/>
                <w:sz w:val="24"/>
                <w:szCs w:val="24"/>
                <w:shd w:val="clear" w:color="auto" w:fill="95B3D7" w:themeFill="accent1" w:themeFillTint="99"/>
              </w:rPr>
              <w:t>t</w:t>
            </w:r>
            <w:r w:rsidRPr="0043547B">
              <w:rPr>
                <w:rFonts w:cstheme="minorHAnsi"/>
                <w:b/>
                <w:bCs/>
                <w:sz w:val="24"/>
                <w:szCs w:val="24"/>
              </w:rPr>
              <w:t>ulé :</w:t>
            </w:r>
          </w:p>
        </w:tc>
        <w:tc>
          <w:tcPr>
            <w:tcW w:w="7938" w:type="dxa"/>
            <w:tcBorders>
              <w:top w:val="single" w:sz="4" w:space="0" w:color="auto"/>
              <w:left w:val="single" w:sz="4" w:space="0" w:color="auto"/>
              <w:bottom w:val="single" w:sz="4" w:space="0" w:color="auto"/>
              <w:right w:val="single" w:sz="18" w:space="0" w:color="auto"/>
            </w:tcBorders>
            <w:shd w:val="clear" w:color="auto" w:fill="auto"/>
          </w:tcPr>
          <w:p w:rsidR="00F30D25" w:rsidRPr="0043547B" w:rsidRDefault="00F30D25" w:rsidP="00127EBE">
            <w:pPr>
              <w:spacing w:after="0" w:line="240" w:lineRule="auto"/>
              <w:jc w:val="both"/>
              <w:rPr>
                <w:rFonts w:cstheme="minorHAnsi"/>
                <w:sz w:val="24"/>
                <w:szCs w:val="24"/>
              </w:rPr>
            </w:pPr>
            <w:r w:rsidRPr="0043547B">
              <w:rPr>
                <w:rFonts w:cstheme="minorHAnsi"/>
                <w:sz w:val="24"/>
                <w:szCs w:val="24"/>
              </w:rPr>
              <w:t xml:space="preserve">Stores extérieurs - Exigences de performance, y compris la sécurité </w:t>
            </w:r>
          </w:p>
        </w:tc>
      </w:tr>
      <w:tr w:rsidR="0043547B" w:rsidRPr="0043547B" w:rsidTr="00CB5DC0">
        <w:trPr>
          <w:trHeight w:val="909"/>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F30D25" w:rsidRPr="0043547B" w:rsidRDefault="00F30D25" w:rsidP="00127EBE">
            <w:pPr>
              <w:spacing w:after="0" w:line="240" w:lineRule="auto"/>
              <w:jc w:val="both"/>
              <w:rPr>
                <w:rFonts w:cstheme="minorHAnsi"/>
                <w:b/>
                <w:bCs/>
                <w:sz w:val="24"/>
                <w:szCs w:val="24"/>
              </w:rPr>
            </w:pPr>
            <w:r w:rsidRPr="0043547B">
              <w:rPr>
                <w:rFonts w:cstheme="minorHAnsi"/>
                <w:b/>
                <w:bCs/>
                <w:sz w:val="24"/>
                <w:szCs w:val="24"/>
              </w:rPr>
              <w:lastRenderedPageBreak/>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tcPr>
          <w:p w:rsidR="00127EBE" w:rsidRDefault="00F30D25" w:rsidP="00127EBE">
            <w:pPr>
              <w:spacing w:after="0" w:line="240" w:lineRule="auto"/>
              <w:jc w:val="both"/>
              <w:rPr>
                <w:rFonts w:cstheme="minorHAnsi"/>
                <w:sz w:val="24"/>
                <w:szCs w:val="24"/>
              </w:rPr>
            </w:pPr>
            <w:r w:rsidRPr="0043547B">
              <w:rPr>
                <w:rFonts w:cstheme="minorHAnsi"/>
                <w:sz w:val="24"/>
                <w:szCs w:val="24"/>
              </w:rPr>
              <w:t>La présente Norme Européenne spécifie les exigences de performance relatives aux stores destinés à être fixés à l'extérieur des bâtiments et autres ouvrages de construction. Elle traite également des phénomènes dangereux significatifs liés à l'assemblage, au transport, à l'installation, au fonctionnement et à l'entretien (voir</w:t>
            </w:r>
            <w:r w:rsidR="007F63D3">
              <w:rPr>
                <w:rFonts w:cstheme="minorHAnsi"/>
                <w:sz w:val="24"/>
                <w:szCs w:val="24"/>
              </w:rPr>
              <w:t xml:space="preserve"> </w:t>
            </w:r>
            <w:r w:rsidRPr="0043547B">
              <w:rPr>
                <w:rFonts w:cstheme="minorHAnsi"/>
                <w:sz w:val="24"/>
                <w:szCs w:val="24"/>
              </w:rPr>
              <w:t>la liste des phénomènes dangereux significatifs à l’Annexe B).</w:t>
            </w:r>
          </w:p>
          <w:p w:rsidR="00127EBE" w:rsidRDefault="00F30D25" w:rsidP="00127EBE">
            <w:pPr>
              <w:spacing w:after="0" w:line="240" w:lineRule="auto"/>
              <w:jc w:val="both"/>
              <w:rPr>
                <w:rFonts w:cstheme="minorHAnsi"/>
                <w:sz w:val="24"/>
                <w:szCs w:val="24"/>
              </w:rPr>
            </w:pPr>
            <w:r w:rsidRPr="0043547B">
              <w:rPr>
                <w:rFonts w:cstheme="minorHAnsi"/>
                <w:sz w:val="24"/>
                <w:szCs w:val="24"/>
              </w:rPr>
              <w:t>Elle s'applique à tous les stores extérieurs, quelles que soient leur conception et la nature des matériaux utilisés, tels que définis dans l'EN 12216 et listés ci-après</w:t>
            </w:r>
            <w:r w:rsidR="00127EBE">
              <w:rPr>
                <w:rFonts w:cstheme="minorHAnsi"/>
                <w:sz w:val="24"/>
                <w:szCs w:val="24"/>
              </w:rPr>
              <w:t>:</w:t>
            </w:r>
          </w:p>
          <w:p w:rsidR="00127EBE" w:rsidRDefault="00127EBE" w:rsidP="00127EBE">
            <w:pPr>
              <w:spacing w:after="0" w:line="240" w:lineRule="auto"/>
              <w:rPr>
                <w:rFonts w:cstheme="minorHAnsi"/>
                <w:sz w:val="24"/>
                <w:szCs w:val="24"/>
              </w:rPr>
            </w:pPr>
            <w:r>
              <w:rPr>
                <w:rFonts w:cstheme="minorHAnsi"/>
                <w:sz w:val="24"/>
                <w:szCs w:val="24"/>
              </w:rPr>
              <w:t>-</w:t>
            </w:r>
            <w:r w:rsidR="00F30D25" w:rsidRPr="0043547B">
              <w:rPr>
                <w:rFonts w:cstheme="minorHAnsi"/>
                <w:sz w:val="24"/>
                <w:szCs w:val="24"/>
              </w:rPr>
              <w:t xml:space="preserve"> store banne, store à projection par pantographe, store à projection à l’italienne, </w:t>
            </w:r>
          </w:p>
          <w:p w:rsidR="00127EBE" w:rsidRDefault="00127EBE" w:rsidP="00127EBE">
            <w:pPr>
              <w:spacing w:after="0" w:line="240" w:lineRule="auto"/>
              <w:rPr>
                <w:rFonts w:cstheme="minorHAnsi"/>
                <w:sz w:val="24"/>
                <w:szCs w:val="24"/>
              </w:rPr>
            </w:pPr>
            <w:r>
              <w:rPr>
                <w:rFonts w:cstheme="minorHAnsi"/>
                <w:sz w:val="24"/>
                <w:szCs w:val="24"/>
              </w:rPr>
              <w:t xml:space="preserve">- </w:t>
            </w:r>
            <w:r w:rsidR="00F30D25" w:rsidRPr="0043547B">
              <w:rPr>
                <w:rFonts w:cstheme="minorHAnsi"/>
                <w:sz w:val="24"/>
                <w:szCs w:val="24"/>
              </w:rPr>
              <w:t xml:space="preserve">store à projection à l’italienne guidé, store vertical guidé, marquisolette, </w:t>
            </w:r>
          </w:p>
          <w:p w:rsidR="00127EBE" w:rsidRDefault="00127EBE" w:rsidP="00127EBE">
            <w:pPr>
              <w:spacing w:after="0" w:line="240" w:lineRule="auto"/>
              <w:rPr>
                <w:rFonts w:cstheme="minorHAnsi"/>
                <w:sz w:val="24"/>
                <w:szCs w:val="24"/>
              </w:rPr>
            </w:pPr>
            <w:r>
              <w:rPr>
                <w:rFonts w:cstheme="minorHAnsi"/>
                <w:sz w:val="24"/>
                <w:szCs w:val="24"/>
              </w:rPr>
              <w:t xml:space="preserve">- </w:t>
            </w:r>
            <w:r w:rsidR="00F30D25" w:rsidRPr="0043547B">
              <w:rPr>
                <w:rFonts w:cstheme="minorHAnsi"/>
                <w:sz w:val="24"/>
                <w:szCs w:val="24"/>
              </w:rPr>
              <w:t xml:space="preserve">store de façade, </w:t>
            </w:r>
          </w:p>
          <w:p w:rsidR="00127EBE" w:rsidRDefault="00127EBE" w:rsidP="00127EBE">
            <w:pPr>
              <w:spacing w:after="0" w:line="240" w:lineRule="auto"/>
              <w:rPr>
                <w:rFonts w:cstheme="minorHAnsi"/>
                <w:sz w:val="24"/>
                <w:szCs w:val="24"/>
              </w:rPr>
            </w:pPr>
            <w:r>
              <w:rPr>
                <w:rFonts w:cstheme="minorHAnsi"/>
                <w:sz w:val="24"/>
                <w:szCs w:val="24"/>
              </w:rPr>
              <w:t xml:space="preserve">- </w:t>
            </w:r>
            <w:r w:rsidR="00F30D25" w:rsidRPr="0043547B">
              <w:rPr>
                <w:rFonts w:cstheme="minorHAnsi"/>
                <w:sz w:val="24"/>
                <w:szCs w:val="24"/>
              </w:rPr>
              <w:t xml:space="preserve">store extérieur pour fenêtre de toit, store de véranda ou de verrière, </w:t>
            </w:r>
          </w:p>
          <w:p w:rsidR="00127EBE" w:rsidRDefault="00127EBE" w:rsidP="00127EBE">
            <w:pPr>
              <w:spacing w:after="0" w:line="240" w:lineRule="auto"/>
              <w:rPr>
                <w:rFonts w:cstheme="minorHAnsi"/>
                <w:sz w:val="24"/>
                <w:szCs w:val="24"/>
              </w:rPr>
            </w:pPr>
            <w:r>
              <w:rPr>
                <w:rFonts w:cstheme="minorHAnsi"/>
                <w:sz w:val="24"/>
                <w:szCs w:val="24"/>
              </w:rPr>
              <w:t xml:space="preserve">- </w:t>
            </w:r>
            <w:r w:rsidR="00F30D25" w:rsidRPr="0043547B">
              <w:rPr>
                <w:rFonts w:cstheme="minorHAnsi"/>
                <w:sz w:val="24"/>
                <w:szCs w:val="24"/>
              </w:rPr>
              <w:t>store de pergola, store corbeille, moustiquaire, brise-soleil.</w:t>
            </w:r>
          </w:p>
          <w:p w:rsidR="00127EBE" w:rsidRDefault="00F30D25" w:rsidP="00127EBE">
            <w:pPr>
              <w:spacing w:after="0" w:line="240" w:lineRule="auto"/>
              <w:jc w:val="both"/>
              <w:rPr>
                <w:rFonts w:cstheme="minorHAnsi"/>
                <w:sz w:val="24"/>
                <w:szCs w:val="24"/>
              </w:rPr>
            </w:pPr>
            <w:r w:rsidRPr="0043547B">
              <w:rPr>
                <w:rFonts w:cstheme="minorHAnsi"/>
                <w:sz w:val="24"/>
                <w:szCs w:val="24"/>
              </w:rPr>
              <w:t>La présente Norme Européenne ne traite pas de la résistance au vent des produits non repliables, par exemple les stores corbeilles ou les brise-soleil.</w:t>
            </w:r>
          </w:p>
          <w:p w:rsidR="00127EBE" w:rsidRDefault="00F30D25" w:rsidP="00127EBE">
            <w:pPr>
              <w:spacing w:after="0" w:line="240" w:lineRule="auto"/>
              <w:jc w:val="both"/>
              <w:rPr>
                <w:rFonts w:cstheme="minorHAnsi"/>
                <w:sz w:val="24"/>
                <w:szCs w:val="24"/>
              </w:rPr>
            </w:pPr>
            <w:r w:rsidRPr="0043547B">
              <w:rPr>
                <w:rFonts w:cstheme="minorHAnsi"/>
                <w:sz w:val="24"/>
                <w:szCs w:val="24"/>
              </w:rPr>
              <w:t>Les éléments de structure auxquels le store de pergola est fixé ne relèvent pas du domaine d'application de la présente Norme Européenne.</w:t>
            </w:r>
          </w:p>
          <w:p w:rsidR="00127EBE" w:rsidRDefault="00F30D25" w:rsidP="00127EBE">
            <w:pPr>
              <w:spacing w:after="0" w:line="240" w:lineRule="auto"/>
              <w:jc w:val="both"/>
              <w:rPr>
                <w:rFonts w:cstheme="minorHAnsi"/>
                <w:sz w:val="24"/>
                <w:szCs w:val="24"/>
              </w:rPr>
            </w:pPr>
            <w:r w:rsidRPr="0043547B">
              <w:rPr>
                <w:rFonts w:cstheme="minorHAnsi"/>
                <w:sz w:val="24"/>
                <w:szCs w:val="24"/>
              </w:rPr>
              <w:t xml:space="preserve">Les produits couverts par la présente Norme Européenne peuvent être </w:t>
            </w:r>
            <w:r w:rsidR="00127EBE" w:rsidRPr="0043547B">
              <w:rPr>
                <w:rFonts w:cstheme="minorHAnsi"/>
                <w:sz w:val="24"/>
                <w:szCs w:val="24"/>
              </w:rPr>
              <w:t>manœuvrés</w:t>
            </w:r>
            <w:r w:rsidRPr="0043547B">
              <w:rPr>
                <w:rFonts w:cstheme="minorHAnsi"/>
                <w:sz w:val="24"/>
                <w:szCs w:val="24"/>
              </w:rPr>
              <w:t xml:space="preserve"> manuellement, avec ou sans ressorts de compensation ou au moyen de moteurs électriques (produits motorisés). Cependant, la durabilité et l'endurance du système d'alimentation autonome des stores extérieurs motorisés qui ne sont pas reliés à l'alimentation principale ne relèvent pas du domaine d'application de la présente Norme Européenne.</w:t>
            </w:r>
          </w:p>
          <w:p w:rsidR="00127EBE" w:rsidRDefault="00F30D25" w:rsidP="00127EBE">
            <w:pPr>
              <w:spacing w:after="0" w:line="240" w:lineRule="auto"/>
              <w:jc w:val="both"/>
              <w:rPr>
                <w:rFonts w:cstheme="minorHAnsi"/>
                <w:sz w:val="24"/>
                <w:szCs w:val="24"/>
              </w:rPr>
            </w:pPr>
            <w:r w:rsidRPr="0043547B">
              <w:rPr>
                <w:rFonts w:cstheme="minorHAnsi"/>
                <w:sz w:val="24"/>
                <w:szCs w:val="24"/>
              </w:rPr>
              <w:t>La présente Norme Européenne traite de tous les phénomènes dangereux, situations et événements dangereux significatifs, lorsque les stores extérieurs sont utilisés selon l'usage prévu et dans des conditions de mauvais usage raisonnablement prévisible par le fabricant (voir Annexe B).</w:t>
            </w:r>
          </w:p>
          <w:p w:rsidR="00127EBE" w:rsidRDefault="00F30D25" w:rsidP="00127EBE">
            <w:pPr>
              <w:spacing w:after="0" w:line="240" w:lineRule="auto"/>
              <w:jc w:val="both"/>
              <w:rPr>
                <w:rFonts w:cstheme="minorHAnsi"/>
                <w:sz w:val="24"/>
                <w:szCs w:val="24"/>
              </w:rPr>
            </w:pPr>
            <w:r w:rsidRPr="0043547B">
              <w:rPr>
                <w:rFonts w:cstheme="minorHAnsi"/>
                <w:sz w:val="24"/>
                <w:szCs w:val="24"/>
              </w:rPr>
              <w:t>La présente Norme Européenne s'applique aux stores montés en extérieur. Dans le cas où des produits de ce type sont installés en intérieur, il convient qu'ils répondent</w:t>
            </w:r>
            <w:r w:rsidR="00127EBE">
              <w:rPr>
                <w:rFonts w:cstheme="minorHAnsi"/>
                <w:sz w:val="24"/>
                <w:szCs w:val="24"/>
              </w:rPr>
              <w:t xml:space="preserve"> </w:t>
            </w:r>
            <w:r w:rsidRPr="0043547B">
              <w:rPr>
                <w:rFonts w:cstheme="minorHAnsi"/>
                <w:sz w:val="24"/>
                <w:szCs w:val="24"/>
              </w:rPr>
              <w:t>aux</w:t>
            </w:r>
            <w:r w:rsidR="00127EBE">
              <w:rPr>
                <w:rFonts w:cstheme="minorHAnsi"/>
                <w:sz w:val="24"/>
                <w:szCs w:val="24"/>
              </w:rPr>
              <w:t xml:space="preserve"> </w:t>
            </w:r>
            <w:r w:rsidRPr="0043547B">
              <w:rPr>
                <w:rFonts w:cstheme="minorHAnsi"/>
                <w:sz w:val="24"/>
                <w:szCs w:val="24"/>
              </w:rPr>
              <w:t>exigences</w:t>
            </w:r>
            <w:r w:rsidR="00127EBE">
              <w:rPr>
                <w:rFonts w:cstheme="minorHAnsi"/>
                <w:sz w:val="24"/>
                <w:szCs w:val="24"/>
              </w:rPr>
              <w:t xml:space="preserve"> </w:t>
            </w:r>
            <w:r w:rsidRPr="0043547B">
              <w:rPr>
                <w:rFonts w:cstheme="minorHAnsi"/>
                <w:sz w:val="24"/>
                <w:szCs w:val="24"/>
              </w:rPr>
              <w:t>de sécurité</w:t>
            </w:r>
            <w:r w:rsidR="00127EBE">
              <w:rPr>
                <w:rFonts w:cstheme="minorHAnsi"/>
                <w:sz w:val="24"/>
                <w:szCs w:val="24"/>
              </w:rPr>
              <w:t xml:space="preserve"> </w:t>
            </w:r>
            <w:r w:rsidRPr="0043547B">
              <w:rPr>
                <w:rFonts w:cstheme="minorHAnsi"/>
                <w:sz w:val="24"/>
                <w:szCs w:val="24"/>
              </w:rPr>
              <w:t>correspondantes</w:t>
            </w:r>
            <w:r w:rsidR="00127EBE">
              <w:rPr>
                <w:rFonts w:cstheme="minorHAnsi"/>
                <w:sz w:val="24"/>
                <w:szCs w:val="24"/>
              </w:rPr>
              <w:t xml:space="preserve"> </w:t>
            </w:r>
            <w:r w:rsidRPr="0043547B">
              <w:rPr>
                <w:rFonts w:cstheme="minorHAnsi"/>
                <w:sz w:val="24"/>
                <w:szCs w:val="24"/>
              </w:rPr>
              <w:t>de</w:t>
            </w:r>
            <w:r w:rsidR="00127EBE">
              <w:rPr>
                <w:rFonts w:cstheme="minorHAnsi"/>
                <w:sz w:val="24"/>
                <w:szCs w:val="24"/>
              </w:rPr>
              <w:t xml:space="preserve"> </w:t>
            </w:r>
            <w:r w:rsidRPr="0043547B">
              <w:rPr>
                <w:rFonts w:cstheme="minorHAnsi"/>
                <w:sz w:val="24"/>
                <w:szCs w:val="24"/>
              </w:rPr>
              <w:t>l'EN 13120.</w:t>
            </w:r>
          </w:p>
          <w:p w:rsidR="00F30D25" w:rsidRPr="0043547B" w:rsidRDefault="00F30D25" w:rsidP="00127EBE">
            <w:pPr>
              <w:spacing w:after="0" w:line="240" w:lineRule="auto"/>
              <w:jc w:val="both"/>
              <w:rPr>
                <w:rFonts w:cstheme="minorHAnsi"/>
                <w:sz w:val="24"/>
                <w:szCs w:val="24"/>
              </w:rPr>
            </w:pPr>
            <w:r w:rsidRPr="0043547B">
              <w:rPr>
                <w:rFonts w:cstheme="minorHAnsi"/>
                <w:sz w:val="24"/>
                <w:szCs w:val="24"/>
              </w:rPr>
              <w:t>Les émissions sonores des stores extérieurs motorisés ne sont pas considérées comme un phénomène</w:t>
            </w:r>
            <w:r w:rsidR="007F63D3">
              <w:rPr>
                <w:rFonts w:cstheme="minorHAnsi"/>
                <w:sz w:val="24"/>
                <w:szCs w:val="24"/>
              </w:rPr>
              <w:t xml:space="preserve"> </w:t>
            </w:r>
            <w:r w:rsidRPr="0043547B">
              <w:rPr>
                <w:rFonts w:cstheme="minorHAnsi"/>
                <w:sz w:val="24"/>
                <w:szCs w:val="24"/>
              </w:rPr>
              <w:t>dangereux pertinent selon les exigences de santé et de sécurité des machines. Par conséquent, la présente</w:t>
            </w:r>
            <w:r w:rsidR="007F63D3">
              <w:rPr>
                <w:rFonts w:cstheme="minorHAnsi"/>
                <w:sz w:val="24"/>
                <w:szCs w:val="24"/>
              </w:rPr>
              <w:t xml:space="preserve"> </w:t>
            </w:r>
            <w:r w:rsidRPr="0043547B">
              <w:rPr>
                <w:rFonts w:cstheme="minorHAnsi"/>
                <w:sz w:val="24"/>
                <w:szCs w:val="24"/>
              </w:rPr>
              <w:t>Norme Européenne ne comporte aucune exigence spécifique de santé et de sécurité en matière de bruit.</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F24BE1" w:rsidRPr="0043547B" w:rsidRDefault="00F24BE1" w:rsidP="00F24BE1">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F24BE1" w:rsidRPr="0043547B" w:rsidRDefault="00F24BE1" w:rsidP="00F24BE1">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10.2.277</w:t>
            </w:r>
          </w:p>
        </w:tc>
      </w:tr>
      <w:tr w:rsidR="0043547B" w:rsidRPr="0043547B" w:rsidTr="00CB5DC0">
        <w:trPr>
          <w:trHeight w:val="315"/>
          <w:jc w:val="center"/>
        </w:trPr>
        <w:tc>
          <w:tcPr>
            <w:tcW w:w="1838" w:type="dxa"/>
            <w:tcBorders>
              <w:top w:val="single" w:sz="18" w:space="0" w:color="auto"/>
              <w:left w:val="single" w:sz="18" w:space="0" w:color="auto"/>
              <w:bottom w:val="single" w:sz="2" w:space="0" w:color="auto"/>
              <w:right w:val="single" w:sz="4" w:space="0" w:color="auto"/>
            </w:tcBorders>
            <w:shd w:val="clear" w:color="auto" w:fill="FFFF99"/>
            <w:vAlign w:val="center"/>
            <w:hideMark/>
          </w:tcPr>
          <w:p w:rsidR="00F24BE1" w:rsidRPr="0043547B" w:rsidRDefault="00F24BE1" w:rsidP="00F24BE1">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2" w:space="0" w:color="auto"/>
              <w:right w:val="single" w:sz="18" w:space="0" w:color="auto"/>
            </w:tcBorders>
            <w:shd w:val="clear" w:color="auto" w:fill="FFFF99"/>
            <w:vAlign w:val="center"/>
            <w:hideMark/>
          </w:tcPr>
          <w:p w:rsidR="00F24BE1" w:rsidRPr="0043547B" w:rsidRDefault="00F24BE1" w:rsidP="00F24BE1">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1303</w:t>
            </w:r>
          </w:p>
        </w:tc>
      </w:tr>
      <w:tr w:rsidR="0043547B" w:rsidRPr="0043547B" w:rsidTr="00CB5DC0">
        <w:trPr>
          <w:trHeight w:val="200"/>
          <w:jc w:val="center"/>
        </w:trPr>
        <w:tc>
          <w:tcPr>
            <w:tcW w:w="1838" w:type="dxa"/>
            <w:tcBorders>
              <w:top w:val="single" w:sz="2" w:space="0" w:color="auto"/>
              <w:left w:val="single" w:sz="18" w:space="0" w:color="auto"/>
              <w:bottom w:val="single" w:sz="4" w:space="0" w:color="auto"/>
              <w:right w:val="single" w:sz="4" w:space="0" w:color="auto"/>
            </w:tcBorders>
            <w:shd w:val="clear" w:color="000000" w:fill="8DB4E2"/>
            <w:vAlign w:val="center"/>
            <w:hideMark/>
          </w:tcPr>
          <w:p w:rsidR="00F24BE1" w:rsidRPr="0043547B" w:rsidRDefault="00F24BE1" w:rsidP="00F24BE1">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2" w:space="0" w:color="auto"/>
              <w:left w:val="single" w:sz="4" w:space="0" w:color="auto"/>
              <w:right w:val="single" w:sz="18" w:space="0" w:color="auto"/>
            </w:tcBorders>
            <w:shd w:val="clear" w:color="auto" w:fill="auto"/>
            <w:vAlign w:val="center"/>
            <w:hideMark/>
          </w:tcPr>
          <w:p w:rsidR="00F24BE1" w:rsidRPr="0043547B" w:rsidRDefault="00F24BE1" w:rsidP="00F24BE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Quincaillerie pour le bâtiment - Cylindres de serrures - Prescriptions et méthodes d’essai</w:t>
            </w:r>
          </w:p>
        </w:tc>
      </w:tr>
      <w:tr w:rsidR="0043547B" w:rsidRPr="0043547B" w:rsidTr="00CB5DC0">
        <w:trPr>
          <w:trHeight w:val="843"/>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F24BE1" w:rsidRPr="0043547B" w:rsidRDefault="00F24BE1" w:rsidP="00F24BE1">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center"/>
            <w:hideMark/>
          </w:tcPr>
          <w:p w:rsidR="00F24BE1" w:rsidRPr="0043547B" w:rsidRDefault="00F24BE1" w:rsidP="00F24BE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aux cylindres pour les serrures qui sont normalement utilisées dans le bâtiment et qui sont conçues pour fonctionner avec des cylindres.</w:t>
            </w:r>
          </w:p>
          <w:p w:rsidR="00F24BE1" w:rsidRPr="0043547B" w:rsidRDefault="00F24BE1" w:rsidP="00F24BE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Cette norme spécifie la performance et autres prescriptions relatives à la résistance, la sécurité, l'endurance, la performance et la résistance à la corrosion des cylindres et de leurs clés d'origine. Elle établit deux catégories d'utilisation basées sur des essais de performance et cinq degrés de sécurité basés sur des prescriptions de conception et sur des essais de performance simulant une attaque. Cette norme inclut des essais de bon fonctionnement à des températures comprises entre – 20 °C et + 80 °C. Elle spécifie les méthodes </w:t>
            </w:r>
            <w:r w:rsidRPr="0043547B">
              <w:rPr>
                <w:rFonts w:eastAsia="Times New Roman" w:cstheme="minorHAnsi"/>
                <w:sz w:val="24"/>
                <w:szCs w:val="24"/>
                <w:lang w:eastAsia="fr-FR"/>
              </w:rPr>
              <w:lastRenderedPageBreak/>
              <w:t>d'essai pour les cylindres et les dispositifs de protection correspondants recommandés par le fabricant.</w:t>
            </w:r>
          </w:p>
          <w:p w:rsidR="00F24BE1" w:rsidRPr="0043547B" w:rsidRDefault="00F24BE1" w:rsidP="00F24BE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Il se peut que parfois une prescription nécessite des fonctions additionnelles dans la conception du cylindre. Il convient donc que les acheteurs s'assurent que les produits sont compatibles avec l'usage souhaité. Ceci est particulièrement important lorsque la mise en œuvre de telles fonctions additionnelles est en relation avec des fonctions de sécurité des personnes.</w:t>
            </w:r>
          </w:p>
          <w:p w:rsidR="00F24BE1" w:rsidRPr="0043547B" w:rsidRDefault="00F24BE1" w:rsidP="00F24BE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Par conséquent, La norme prévoit l'évaluation obligatoire de ces fonctions quand elles sont incorporées à la conception du cylindre.</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F24BE1" w:rsidRPr="0043547B" w:rsidRDefault="00F24BE1" w:rsidP="00F24BE1">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F24BE1" w:rsidRPr="0043547B" w:rsidRDefault="00F24BE1" w:rsidP="00F24BE1">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10.2.278</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F24BE1" w:rsidRPr="0043547B" w:rsidRDefault="00F24BE1" w:rsidP="00F24BE1">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F24BE1" w:rsidRPr="0043547B" w:rsidRDefault="00F24BE1" w:rsidP="00F24BE1">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1527</w:t>
            </w:r>
          </w:p>
        </w:tc>
      </w:tr>
      <w:tr w:rsidR="0043547B" w:rsidRPr="0043547B" w:rsidTr="00CB5DC0">
        <w:trPr>
          <w:trHeight w:val="371"/>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F24BE1" w:rsidRPr="0043547B" w:rsidRDefault="00F24BE1" w:rsidP="00F24BE1">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vAlign w:val="center"/>
            <w:hideMark/>
          </w:tcPr>
          <w:p w:rsidR="00F24BE1" w:rsidRPr="0043547B" w:rsidRDefault="00F24BE1" w:rsidP="00F24BE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Quincaillerie pour le bâtiment - Quincaillerie pour portes coulissantes et portes pliantes - Prescriptions et méthodes d’essai</w:t>
            </w:r>
          </w:p>
        </w:tc>
      </w:tr>
      <w:tr w:rsidR="0043547B" w:rsidRPr="0043547B" w:rsidTr="00CB5DC0">
        <w:trPr>
          <w:trHeight w:val="2525"/>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F24BE1" w:rsidRPr="0043547B" w:rsidRDefault="00F24BE1" w:rsidP="00F24BE1">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center"/>
            <w:hideMark/>
          </w:tcPr>
          <w:p w:rsidR="00F24BE1" w:rsidRPr="0043547B" w:rsidRDefault="00F24BE1" w:rsidP="007F63D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prescriptions auxquelles doivent répondre les principaux composants pour portes coulissantes, pour portes pliantes à deux panneaux et pour portes pliantes ultipanneaux, à l'exclusion des portes elles-mêmes et des panneaux. Les essais d'endurance, de résistance statique, de friction statique et de résistance à la corrosion s'appliquent uniquement aux accessoires et au rail. La norme s’applique aux composants de toutes les portes coulissantes et portes pliantes, industrielles et d'intérieur.</w:t>
            </w:r>
            <w:r w:rsidR="007F63D3">
              <w:rPr>
                <w:rFonts w:eastAsia="Times New Roman" w:cstheme="minorHAnsi"/>
                <w:sz w:val="24"/>
                <w:szCs w:val="24"/>
                <w:lang w:eastAsia="fr-FR"/>
              </w:rPr>
              <w:t xml:space="preserve"> </w:t>
            </w:r>
            <w:r w:rsidRPr="0043547B">
              <w:rPr>
                <w:rFonts w:eastAsia="Times New Roman" w:cstheme="minorHAnsi"/>
                <w:sz w:val="24"/>
                <w:szCs w:val="24"/>
                <w:lang w:eastAsia="fr-FR"/>
              </w:rPr>
              <w:t>La norme ne s’applique pas aux portes à déplacement latéral ainsi qu’aux portes coulissantes légères roulant au sol.</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F24BE1" w:rsidRPr="0043547B" w:rsidRDefault="00F24BE1" w:rsidP="00F24BE1">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F24BE1" w:rsidRPr="0043547B" w:rsidRDefault="00F24BE1" w:rsidP="00F24BE1">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10.2.283</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F24BE1" w:rsidRPr="0043547B" w:rsidRDefault="00F24BE1" w:rsidP="00F24BE1">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F24BE1" w:rsidRPr="0043547B" w:rsidRDefault="00F24BE1" w:rsidP="00F24BE1">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CEN/TS 13126-10</w:t>
            </w:r>
          </w:p>
        </w:tc>
      </w:tr>
      <w:tr w:rsidR="0043547B" w:rsidRPr="0043547B" w:rsidTr="00CB5DC0">
        <w:trPr>
          <w:trHeight w:val="6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F24BE1" w:rsidRPr="0043547B" w:rsidRDefault="00F24BE1" w:rsidP="00F24BE1">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vAlign w:val="center"/>
            <w:hideMark/>
          </w:tcPr>
          <w:p w:rsidR="00F24BE1" w:rsidRPr="0043547B" w:rsidRDefault="00F24BE1" w:rsidP="00F24BE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Quincaillerie pour le bâtiment - Ferrures de fenêtres et portes fenêtres - Exigences et méthodes d'essai - Compas à projection</w:t>
            </w:r>
          </w:p>
        </w:tc>
      </w:tr>
      <w:tr w:rsidR="0043547B" w:rsidRPr="0043547B" w:rsidTr="00CB5DC0">
        <w:trPr>
          <w:trHeight w:val="75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F24BE1" w:rsidRPr="0043547B" w:rsidRDefault="00F24BE1" w:rsidP="00F24BE1">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center"/>
            <w:hideMark/>
          </w:tcPr>
          <w:p w:rsidR="00F24BE1" w:rsidRPr="0043547B" w:rsidRDefault="00F24BE1" w:rsidP="00F24BE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exigences et méthodes d'essai à respecter pour les compas à projection utilisés sur les fenêtres et portes-fenêtres.</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F24BE1" w:rsidRPr="0043547B" w:rsidRDefault="00F24BE1" w:rsidP="00F24BE1">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F24BE1" w:rsidRPr="0043547B" w:rsidRDefault="00F24BE1" w:rsidP="00F24BE1">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10.2.284</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F24BE1" w:rsidRPr="0043547B" w:rsidRDefault="00F24BE1" w:rsidP="00F24BE1">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F24BE1" w:rsidRPr="0043547B" w:rsidRDefault="00F24BE1" w:rsidP="00F24BE1">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CEN/TS 13126-11</w:t>
            </w:r>
          </w:p>
        </w:tc>
      </w:tr>
      <w:tr w:rsidR="0043547B" w:rsidRPr="0043547B" w:rsidTr="00CB5DC0">
        <w:trPr>
          <w:trHeight w:val="6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F24BE1" w:rsidRPr="0043547B" w:rsidRDefault="00F24BE1" w:rsidP="00F24BE1">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vAlign w:val="center"/>
            <w:hideMark/>
          </w:tcPr>
          <w:p w:rsidR="00F24BE1" w:rsidRPr="0043547B" w:rsidRDefault="00F24BE1" w:rsidP="00F24BE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Quincaillerie pour le bâtiment - Ferrures de fenêtres et portes fenêtres - Exigences et méthodes d'essai - Ferrures pour ouvrants à l'italie une réversibles à axe horizontal supérieur</w:t>
            </w:r>
          </w:p>
        </w:tc>
      </w:tr>
      <w:tr w:rsidR="0043547B" w:rsidRPr="0043547B" w:rsidTr="00CB5DC0">
        <w:trPr>
          <w:trHeight w:val="69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F24BE1" w:rsidRPr="0043547B" w:rsidRDefault="00F24BE1" w:rsidP="00F24BE1">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center"/>
            <w:hideMark/>
          </w:tcPr>
          <w:p w:rsidR="00F24BE1" w:rsidRPr="0043547B" w:rsidRDefault="00F24BE1" w:rsidP="00F24BE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exigences et méthodes d'essai relatives à l'endurance, à la résistance, à la sécurité des biens et au fonctionnement des ferrures pour ouvrants à l'italienne réversibles à axe horizontal supérieur.</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F24BE1" w:rsidRPr="0043547B" w:rsidRDefault="00F24BE1" w:rsidP="00F24BE1">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F24BE1" w:rsidRPr="0043547B" w:rsidRDefault="00F24BE1" w:rsidP="00F24BE1">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10.2.401</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F24BE1" w:rsidRPr="0043547B" w:rsidRDefault="00F24BE1" w:rsidP="00F24BE1">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F24BE1" w:rsidRPr="0043547B" w:rsidRDefault="00F24BE1" w:rsidP="00F24BE1">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477</w:t>
            </w:r>
          </w:p>
        </w:tc>
      </w:tr>
      <w:tr w:rsidR="0043547B" w:rsidRPr="0043547B" w:rsidTr="00CB5DC0">
        <w:trPr>
          <w:trHeight w:val="6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F24BE1" w:rsidRPr="0043547B" w:rsidRDefault="00F24BE1" w:rsidP="00F24BE1">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vAlign w:val="center"/>
            <w:hideMark/>
          </w:tcPr>
          <w:p w:rsidR="00F24BE1" w:rsidRPr="0043547B" w:rsidRDefault="00F24BE1" w:rsidP="00F24BE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Profilé de polychlorure de vinyle non plastifié (PVC-U) pour la fabrication des fenêtres et des portes - Détermination de la résistance aux chocs par masse tombante des profilés principaux</w:t>
            </w:r>
          </w:p>
        </w:tc>
      </w:tr>
      <w:tr w:rsidR="0043547B" w:rsidRPr="0043547B" w:rsidTr="00CB5DC0">
        <w:trPr>
          <w:trHeight w:val="705"/>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F24BE1" w:rsidRPr="0043547B" w:rsidRDefault="00F24BE1" w:rsidP="00F24BE1">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center"/>
            <w:hideMark/>
          </w:tcPr>
          <w:p w:rsidR="00F24BE1" w:rsidRPr="0043547B" w:rsidRDefault="00F24BE1" w:rsidP="00F24BE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prescrit une méthode de détermination de la résistance au choc des profilés principaux en polychlorure de vinyle non plastifié (PVC-U) destinés à la fabrication des fenêtres et des portes, au moyen d'une masse tombante à une température de — 10 °C.</w:t>
            </w:r>
          </w:p>
          <w:p w:rsidR="00F24BE1" w:rsidRPr="0043547B" w:rsidRDefault="00F24BE1" w:rsidP="00F24BE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L'essai est effectué dans l'optique de contrôles d'extrusion.</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F30D25" w:rsidRPr="0043547B" w:rsidRDefault="00F30D25" w:rsidP="003C74C7">
            <w:pPr>
              <w:spacing w:after="0" w:line="240" w:lineRule="auto"/>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hideMark/>
          </w:tcPr>
          <w:p w:rsidR="00F30D25" w:rsidRPr="00951C84" w:rsidRDefault="00F30D25" w:rsidP="003C74C7">
            <w:pPr>
              <w:spacing w:after="0" w:line="240" w:lineRule="auto"/>
              <w:jc w:val="center"/>
              <w:rPr>
                <w:rFonts w:cstheme="minorHAnsi"/>
                <w:b/>
                <w:bCs/>
                <w:sz w:val="24"/>
                <w:szCs w:val="24"/>
              </w:rPr>
            </w:pPr>
            <w:r w:rsidRPr="00951C84">
              <w:rPr>
                <w:rFonts w:cstheme="minorHAnsi"/>
                <w:b/>
                <w:bCs/>
                <w:sz w:val="24"/>
                <w:szCs w:val="24"/>
              </w:rPr>
              <w:t>NM EN 12608-1</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F30D25" w:rsidRPr="0043547B" w:rsidRDefault="00F30D25" w:rsidP="003C74C7">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F30D25" w:rsidRPr="00951C84" w:rsidRDefault="00F30D25" w:rsidP="003C74C7">
            <w:pPr>
              <w:spacing w:after="0" w:line="240" w:lineRule="auto"/>
              <w:jc w:val="center"/>
              <w:rPr>
                <w:rFonts w:cstheme="minorHAnsi"/>
                <w:b/>
                <w:bCs/>
                <w:sz w:val="24"/>
                <w:szCs w:val="24"/>
              </w:rPr>
            </w:pPr>
            <w:r w:rsidRPr="00951C84">
              <w:rPr>
                <w:rFonts w:cstheme="minorHAnsi"/>
                <w:b/>
                <w:bCs/>
                <w:sz w:val="24"/>
                <w:szCs w:val="24"/>
              </w:rPr>
              <w:t>EN 12608-1</w:t>
            </w:r>
          </w:p>
        </w:tc>
      </w:tr>
      <w:tr w:rsidR="0043547B" w:rsidRPr="0043547B" w:rsidTr="00CB5DC0">
        <w:trPr>
          <w:trHeight w:val="6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F30D25" w:rsidRPr="0043547B" w:rsidRDefault="00F30D25" w:rsidP="003C74C7">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hideMark/>
          </w:tcPr>
          <w:p w:rsidR="00F30D25" w:rsidRPr="0043547B" w:rsidRDefault="00F30D25" w:rsidP="003C74C7">
            <w:pPr>
              <w:spacing w:after="0" w:line="240" w:lineRule="auto"/>
              <w:jc w:val="both"/>
              <w:rPr>
                <w:rFonts w:cstheme="minorHAnsi"/>
                <w:sz w:val="24"/>
                <w:szCs w:val="24"/>
              </w:rPr>
            </w:pPr>
            <w:r w:rsidRPr="0043547B">
              <w:rPr>
                <w:rFonts w:cstheme="minorHAnsi"/>
                <w:sz w:val="24"/>
                <w:szCs w:val="24"/>
              </w:rPr>
              <w:t xml:space="preserve">Profilés de poly(chlorure de vinyle) non plastifié (PVC-U) pour la fabrication des fenêtres et des portes - Classification, exigences et méthodes d'essai - Partie 1 : Profilés en PVC-U non revêtus avec des faces de teinte claire </w:t>
            </w:r>
          </w:p>
        </w:tc>
      </w:tr>
      <w:tr w:rsidR="0043547B" w:rsidRPr="0043547B" w:rsidTr="00CB5DC0">
        <w:trPr>
          <w:trHeight w:val="418"/>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F30D25" w:rsidRPr="0043547B" w:rsidRDefault="00F30D25" w:rsidP="003C74C7">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hideMark/>
          </w:tcPr>
          <w:p w:rsidR="003C74C7" w:rsidRDefault="00F30D25" w:rsidP="003C74C7">
            <w:pPr>
              <w:spacing w:after="0" w:line="240" w:lineRule="auto"/>
              <w:jc w:val="both"/>
              <w:rPr>
                <w:rFonts w:cstheme="minorHAnsi"/>
                <w:sz w:val="24"/>
                <w:szCs w:val="24"/>
              </w:rPr>
            </w:pPr>
            <w:r w:rsidRPr="0043547B">
              <w:rPr>
                <w:rFonts w:cstheme="minorHAnsi"/>
                <w:sz w:val="24"/>
                <w:szCs w:val="24"/>
              </w:rPr>
              <w:t>La présente Norme européenne spécifie les classifications, les exigences et les méthodes d’essai des profilés de poly(chlorure de vinyle) non plastifié (PVC-U) non revêtus avec des faces de teinte claire destinés à être utilisés pour la fabrication des fenêtres et des portes.</w:t>
            </w:r>
          </w:p>
          <w:p w:rsidR="003C74C7" w:rsidRDefault="00F30D25" w:rsidP="003C74C7">
            <w:pPr>
              <w:spacing w:after="0" w:line="240" w:lineRule="auto"/>
              <w:jc w:val="both"/>
              <w:rPr>
                <w:rFonts w:cstheme="minorHAnsi"/>
                <w:sz w:val="24"/>
                <w:szCs w:val="24"/>
              </w:rPr>
            </w:pPr>
            <w:r w:rsidRPr="0043547B">
              <w:rPr>
                <w:rFonts w:cstheme="minorHAnsi"/>
                <w:sz w:val="24"/>
                <w:szCs w:val="24"/>
              </w:rPr>
              <w:t>Elle s’applique aux profilés en PVC-U dont les coordonnées colorimétriques mesurées sur les surfaces visibles sont les suivantes :</w:t>
            </w:r>
          </w:p>
          <w:p w:rsidR="003C74C7" w:rsidRDefault="00F30D25" w:rsidP="003C74C7">
            <w:pPr>
              <w:spacing w:after="0" w:line="240" w:lineRule="auto"/>
              <w:rPr>
                <w:rFonts w:cstheme="minorHAnsi"/>
                <w:sz w:val="24"/>
                <w:szCs w:val="24"/>
              </w:rPr>
            </w:pPr>
            <w:r w:rsidRPr="0043547B">
              <w:rPr>
                <w:rFonts w:cstheme="minorHAnsi"/>
                <w:sz w:val="24"/>
                <w:szCs w:val="24"/>
              </w:rPr>
              <w:t>— L* ³ 82 (coordonnée de chromaticité Y ³ 60),</w:t>
            </w:r>
            <w:r w:rsidRPr="0043547B">
              <w:rPr>
                <w:rFonts w:cstheme="minorHAnsi"/>
                <w:sz w:val="24"/>
                <w:szCs w:val="24"/>
              </w:rPr>
              <w:br/>
              <w:t>— –2,5 £ a* £ 5,</w:t>
            </w:r>
            <w:r w:rsidRPr="0043547B">
              <w:rPr>
                <w:rFonts w:cstheme="minorHAnsi"/>
                <w:sz w:val="24"/>
                <w:szCs w:val="24"/>
              </w:rPr>
              <w:br/>
              <w:t>— –5 £ b* £ 15.</w:t>
            </w:r>
          </w:p>
          <w:p w:rsidR="003C74C7" w:rsidRDefault="00F30D25" w:rsidP="003C74C7">
            <w:pPr>
              <w:spacing w:after="0" w:line="240" w:lineRule="auto"/>
              <w:jc w:val="both"/>
              <w:rPr>
                <w:rFonts w:cstheme="minorHAnsi"/>
                <w:i/>
                <w:iCs/>
              </w:rPr>
            </w:pPr>
            <w:r w:rsidRPr="003C74C7">
              <w:rPr>
                <w:rFonts w:cstheme="minorHAnsi"/>
                <w:b/>
                <w:bCs/>
                <w:i/>
                <w:iCs/>
              </w:rPr>
              <w:t>NOTE 1 :</w:t>
            </w:r>
            <w:r w:rsidRPr="003C74C7">
              <w:rPr>
                <w:rFonts w:cstheme="minorHAnsi"/>
                <w:i/>
                <w:iCs/>
              </w:rPr>
              <w:t xml:space="preserve"> Pour des raisons éditoriales, dans ce document le terme « fenêtre » est utilisé pour « fenêtre/porte ».</w:t>
            </w:r>
          </w:p>
          <w:p w:rsidR="00F30D25" w:rsidRPr="0043547B" w:rsidRDefault="00F30D25" w:rsidP="003C74C7">
            <w:pPr>
              <w:spacing w:after="0" w:line="240" w:lineRule="auto"/>
              <w:jc w:val="both"/>
              <w:rPr>
                <w:rFonts w:cstheme="minorHAnsi"/>
                <w:sz w:val="24"/>
                <w:szCs w:val="24"/>
              </w:rPr>
            </w:pPr>
            <w:r w:rsidRPr="003C74C7">
              <w:rPr>
                <w:rFonts w:cstheme="minorHAnsi"/>
                <w:b/>
                <w:bCs/>
                <w:i/>
                <w:iCs/>
              </w:rPr>
              <w:t>NOTE 2 :</w:t>
            </w:r>
            <w:r w:rsidRPr="003C74C7">
              <w:rPr>
                <w:rFonts w:cstheme="minorHAnsi"/>
                <w:i/>
                <w:iCs/>
              </w:rPr>
              <w:t xml:space="preserve"> Les profilés fabriqués à partir de matériau PVC-U avec renforts (par exemple des fibres de verre) sont en dehors du présent domaine d’application.</w:t>
            </w:r>
          </w:p>
        </w:tc>
      </w:tr>
      <w:tr w:rsidR="00951C84" w:rsidRPr="0043547B" w:rsidTr="00CB5DC0">
        <w:trPr>
          <w:trHeight w:val="55"/>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951C84" w:rsidRPr="0043547B" w:rsidRDefault="00951C84" w:rsidP="003C74C7">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left w:val="single" w:sz="4" w:space="0" w:color="auto"/>
              <w:bottom w:val="single" w:sz="18" w:space="0" w:color="auto"/>
              <w:right w:val="single" w:sz="18" w:space="0" w:color="auto"/>
            </w:tcBorders>
            <w:shd w:val="clear" w:color="auto" w:fill="C2D69B" w:themeFill="accent3" w:themeFillTint="99"/>
          </w:tcPr>
          <w:p w:rsidR="00951C84" w:rsidRPr="00951C84" w:rsidRDefault="00951C84" w:rsidP="003C74C7">
            <w:pPr>
              <w:spacing w:after="0" w:line="240" w:lineRule="auto"/>
              <w:jc w:val="center"/>
              <w:rPr>
                <w:rFonts w:cstheme="minorHAnsi"/>
                <w:b/>
                <w:bCs/>
                <w:sz w:val="24"/>
                <w:szCs w:val="24"/>
              </w:rPr>
            </w:pPr>
            <w:r w:rsidRPr="00951C84">
              <w:rPr>
                <w:rFonts w:cstheme="minorHAnsi"/>
                <w:b/>
                <w:bCs/>
                <w:sz w:val="24"/>
                <w:szCs w:val="24"/>
              </w:rPr>
              <w:t>NM CEN/TS 13307-2</w:t>
            </w:r>
          </w:p>
        </w:tc>
      </w:tr>
      <w:tr w:rsidR="00951C84" w:rsidRPr="0043547B" w:rsidTr="00CB5DC0">
        <w:trPr>
          <w:trHeight w:val="23"/>
          <w:jc w:val="center"/>
        </w:trPr>
        <w:tc>
          <w:tcPr>
            <w:tcW w:w="1838" w:type="dxa"/>
            <w:tcBorders>
              <w:top w:val="single" w:sz="18" w:space="0" w:color="auto"/>
              <w:left w:val="single" w:sz="18" w:space="0" w:color="auto"/>
              <w:bottom w:val="single" w:sz="4" w:space="0" w:color="auto"/>
              <w:right w:val="single" w:sz="4" w:space="0" w:color="auto"/>
            </w:tcBorders>
            <w:shd w:val="clear" w:color="auto" w:fill="FDFBA9"/>
            <w:vAlign w:val="center"/>
          </w:tcPr>
          <w:p w:rsidR="00951C84" w:rsidRPr="0043547B" w:rsidRDefault="00951C84" w:rsidP="003C74C7">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DFBA9"/>
            <w:vAlign w:val="center"/>
          </w:tcPr>
          <w:p w:rsidR="00951C84" w:rsidRPr="00951C84" w:rsidRDefault="00951C84" w:rsidP="003C74C7">
            <w:pPr>
              <w:spacing w:after="0" w:line="240" w:lineRule="auto"/>
              <w:jc w:val="center"/>
              <w:rPr>
                <w:rFonts w:cstheme="minorHAnsi"/>
                <w:b/>
                <w:bCs/>
                <w:sz w:val="24"/>
                <w:szCs w:val="24"/>
              </w:rPr>
            </w:pPr>
            <w:r w:rsidRPr="00951C84">
              <w:rPr>
                <w:rFonts w:cstheme="minorHAnsi"/>
                <w:b/>
                <w:bCs/>
                <w:sz w:val="24"/>
                <w:szCs w:val="24"/>
              </w:rPr>
              <w:t>CEN/TS 13307-2</w:t>
            </w:r>
          </w:p>
        </w:tc>
      </w:tr>
      <w:tr w:rsidR="00951C84" w:rsidRPr="0043547B" w:rsidTr="00CB5DC0">
        <w:trPr>
          <w:trHeight w:val="23"/>
          <w:jc w:val="center"/>
        </w:trPr>
        <w:tc>
          <w:tcPr>
            <w:tcW w:w="1838" w:type="dxa"/>
            <w:tcBorders>
              <w:top w:val="single" w:sz="4" w:space="0" w:color="auto"/>
              <w:left w:val="single" w:sz="18" w:space="0" w:color="auto"/>
              <w:bottom w:val="single" w:sz="4" w:space="0" w:color="auto"/>
              <w:right w:val="single" w:sz="4" w:space="0" w:color="auto"/>
            </w:tcBorders>
            <w:shd w:val="clear" w:color="auto" w:fill="95B3D7" w:themeFill="accent1" w:themeFillTint="99"/>
            <w:vAlign w:val="center"/>
          </w:tcPr>
          <w:p w:rsidR="00951C84" w:rsidRPr="0043547B" w:rsidRDefault="00951C84" w:rsidP="003C74C7">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auto"/>
          </w:tcPr>
          <w:p w:rsidR="00951C84" w:rsidRPr="0043547B" w:rsidRDefault="00951C84" w:rsidP="003C74C7">
            <w:pPr>
              <w:spacing w:after="0" w:line="240" w:lineRule="auto"/>
              <w:jc w:val="both"/>
              <w:rPr>
                <w:rFonts w:cstheme="minorHAnsi"/>
                <w:sz w:val="24"/>
                <w:szCs w:val="24"/>
              </w:rPr>
            </w:pPr>
            <w:r w:rsidRPr="0043547B">
              <w:rPr>
                <w:rFonts w:cstheme="minorHAnsi"/>
                <w:sz w:val="24"/>
                <w:szCs w:val="24"/>
              </w:rPr>
              <w:t xml:space="preserve">Ébauches et profilés semi-finis en bois lamellé-collés et assemblés par entures multiples pour usages non structurels - Partie 2 : Contrôle de production   </w:t>
            </w:r>
          </w:p>
        </w:tc>
      </w:tr>
      <w:tr w:rsidR="00951C84" w:rsidRPr="0043547B" w:rsidTr="00CB5DC0">
        <w:trPr>
          <w:trHeight w:val="2238"/>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951C84" w:rsidRPr="0043547B" w:rsidRDefault="00951C84" w:rsidP="003C74C7">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tcPr>
          <w:p w:rsidR="003C74C7" w:rsidRDefault="00951C84" w:rsidP="003C74C7">
            <w:pPr>
              <w:spacing w:after="0" w:line="240" w:lineRule="auto"/>
              <w:jc w:val="both"/>
              <w:rPr>
                <w:rFonts w:cstheme="minorHAnsi"/>
                <w:sz w:val="24"/>
                <w:szCs w:val="24"/>
              </w:rPr>
            </w:pPr>
            <w:r w:rsidRPr="0043547B">
              <w:rPr>
                <w:rFonts w:cstheme="minorHAnsi"/>
                <w:sz w:val="24"/>
                <w:szCs w:val="24"/>
              </w:rPr>
              <w:t>La présente spécification technique spécifie la méthode pour le contrôle et les essais de performance des liaisons de collage pour les procédés de lamellation et d'aboutage par entures multiples, utilisés dans la production d'ébauches</w:t>
            </w:r>
            <w:r w:rsidRPr="0043547B">
              <w:rPr>
                <w:rFonts w:cstheme="minorHAnsi"/>
                <w:sz w:val="24"/>
                <w:szCs w:val="24"/>
              </w:rPr>
              <w:br/>
              <w:t>et de profilés semi-finis en bois pour des applications en menuiserie.</w:t>
            </w:r>
          </w:p>
          <w:p w:rsidR="003C74C7" w:rsidRDefault="00951C84" w:rsidP="003C74C7">
            <w:pPr>
              <w:spacing w:after="0" w:line="240" w:lineRule="auto"/>
              <w:jc w:val="both"/>
              <w:rPr>
                <w:rFonts w:cstheme="minorHAnsi"/>
                <w:sz w:val="24"/>
                <w:szCs w:val="24"/>
              </w:rPr>
            </w:pPr>
            <w:r w:rsidRPr="0043547B">
              <w:rPr>
                <w:rFonts w:cstheme="minorHAnsi"/>
                <w:sz w:val="24"/>
                <w:szCs w:val="24"/>
              </w:rPr>
              <w:t>Les méthodes de contrôle sont établies dans le but de garantir la durabilité du plan de colle en fonction de la classe de service.</w:t>
            </w:r>
          </w:p>
          <w:p w:rsidR="00951C84" w:rsidRPr="0043547B" w:rsidRDefault="00951C84" w:rsidP="003C74C7">
            <w:pPr>
              <w:spacing w:after="0" w:line="240" w:lineRule="auto"/>
              <w:jc w:val="both"/>
              <w:rPr>
                <w:rFonts w:cstheme="minorHAnsi"/>
                <w:sz w:val="24"/>
                <w:szCs w:val="24"/>
              </w:rPr>
            </w:pPr>
            <w:r w:rsidRPr="0043547B">
              <w:rPr>
                <w:rFonts w:cstheme="minorHAnsi"/>
                <w:sz w:val="24"/>
                <w:szCs w:val="24"/>
              </w:rPr>
              <w:t>Les exigences spécifiques en matière de dimensions, de stabilité et de teneur en humidité sont données dans l'EN 13307-1.</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F24BE1" w:rsidRPr="0043547B" w:rsidRDefault="00F24BE1" w:rsidP="00F24BE1">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F24BE1" w:rsidRPr="0043547B" w:rsidRDefault="00F24BE1" w:rsidP="00F24BE1">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13830</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F24BE1" w:rsidRPr="0043547B" w:rsidRDefault="00F24BE1" w:rsidP="00F24BE1">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F24BE1" w:rsidRPr="0043547B" w:rsidRDefault="00F24BE1" w:rsidP="00F24BE1">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13830</w:t>
            </w:r>
          </w:p>
        </w:tc>
      </w:tr>
      <w:tr w:rsidR="0043547B" w:rsidRPr="0043547B" w:rsidTr="00CB5DC0">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F24BE1" w:rsidRPr="0043547B" w:rsidRDefault="00F24BE1" w:rsidP="00F24BE1">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vAlign w:val="center"/>
            <w:hideMark/>
          </w:tcPr>
          <w:p w:rsidR="00F24BE1" w:rsidRPr="0043547B" w:rsidRDefault="00F24BE1" w:rsidP="00F24BE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Façades rideaux - Norme de produit</w:t>
            </w:r>
          </w:p>
        </w:tc>
      </w:tr>
      <w:tr w:rsidR="0043547B" w:rsidRPr="0043547B" w:rsidTr="00ED0D29">
        <w:trPr>
          <w:trHeight w:val="701"/>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F24BE1" w:rsidRPr="0043547B" w:rsidRDefault="00F24BE1" w:rsidP="00F24BE1">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center"/>
            <w:hideMark/>
          </w:tcPr>
          <w:p w:rsidR="00F24BE1" w:rsidRPr="0043547B" w:rsidRDefault="00F24BE1" w:rsidP="00F24BE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caractéristiques des façades rideaux et donne des informations techniques sur les différentes exigences de performances applicables à l’ensemble de l’Europe, ainsi que sur les critères d'essai et la séquence d'essai auxquels le produit est soumis afin de démontrer sa conformité. Elle fai</w:t>
            </w:r>
            <w:r w:rsidR="00D93B0A" w:rsidRPr="0043547B">
              <w:rPr>
                <w:rFonts w:eastAsia="Times New Roman" w:cstheme="minorHAnsi"/>
                <w:sz w:val="24"/>
                <w:szCs w:val="24"/>
                <w:lang w:eastAsia="fr-FR"/>
              </w:rPr>
              <w:t xml:space="preserve">t référence à d'autres normes </w:t>
            </w:r>
            <w:r w:rsidRPr="0043547B">
              <w:rPr>
                <w:rFonts w:eastAsia="Times New Roman" w:cstheme="minorHAnsi"/>
                <w:sz w:val="24"/>
                <w:szCs w:val="24"/>
                <w:lang w:eastAsia="fr-FR"/>
              </w:rPr>
              <w:t>relatives aux performances et aux essais des façades rideaux et, le cas échéant, attire l’attention sur les normes traitant des produits incorporés dans la façade rideau.</w:t>
            </w:r>
          </w:p>
          <w:p w:rsidR="00F24BE1" w:rsidRPr="0043547B" w:rsidRDefault="00F24BE1" w:rsidP="00F24BE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à des façades rideaux variant de la position verticale à une position inclinée de 15° par rapport à la verticale une fois posée sur le bâtiment. Elle peut inclure des éléments de vitrage inclinés incorporés à l’intérieur de la façade rideau.</w:t>
            </w:r>
          </w:p>
          <w:p w:rsidR="00F24BE1" w:rsidRPr="0043547B" w:rsidRDefault="00F24BE1" w:rsidP="00F24BE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Une façade rideau n'est pas un produit qui peut être fini sous tous ses aspects au sein d'une unité de fabrication, mais il s'agit d'une série de composants et/ou de sous-ensembles préfabriqués qui ne forment un produit fini qu'une fois assemblés sur le site.</w:t>
            </w:r>
          </w:p>
          <w:p w:rsidR="00F24BE1" w:rsidRPr="0043547B" w:rsidRDefault="00F24BE1" w:rsidP="00F24BE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lastRenderedPageBreak/>
              <w:t>La norme s'applique à l'intégralité de la façade rideau, y compris les bavettes, les couvre-joints et les couvertines.</w:t>
            </w:r>
          </w:p>
        </w:tc>
      </w:tr>
      <w:tr w:rsidR="0043547B" w:rsidRPr="0043547B" w:rsidTr="00CB5DC0">
        <w:trPr>
          <w:trHeight w:val="239"/>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BC2755" w:rsidRPr="0043547B" w:rsidRDefault="00BC2755" w:rsidP="003C74C7">
            <w:pPr>
              <w:spacing w:after="0" w:line="240" w:lineRule="auto"/>
              <w:jc w:val="center"/>
              <w:rPr>
                <w:rFonts w:cstheme="minorHAnsi"/>
                <w:b/>
                <w:bCs/>
                <w:sz w:val="24"/>
                <w:szCs w:val="24"/>
              </w:rPr>
            </w:pPr>
            <w:r w:rsidRPr="0043547B">
              <w:rPr>
                <w:rFonts w:cstheme="minorHAnsi"/>
                <w:b/>
                <w:bCs/>
                <w:sz w:val="24"/>
                <w:szCs w:val="24"/>
              </w:rPr>
              <w:lastRenderedPageBreak/>
              <w:t>Code :</w:t>
            </w:r>
          </w:p>
        </w:tc>
        <w:tc>
          <w:tcPr>
            <w:tcW w:w="7938" w:type="dxa"/>
            <w:tcBorders>
              <w:left w:val="single" w:sz="4" w:space="0" w:color="auto"/>
              <w:bottom w:val="single" w:sz="18" w:space="0" w:color="auto"/>
              <w:right w:val="single" w:sz="18" w:space="0" w:color="auto"/>
            </w:tcBorders>
            <w:shd w:val="clear" w:color="auto" w:fill="C2D69B" w:themeFill="accent3" w:themeFillTint="99"/>
            <w:vAlign w:val="center"/>
          </w:tcPr>
          <w:p w:rsidR="00BC2755" w:rsidRPr="0043547B" w:rsidRDefault="00BC2755" w:rsidP="000A4043">
            <w:pPr>
              <w:spacing w:after="0" w:line="240" w:lineRule="auto"/>
              <w:jc w:val="center"/>
              <w:rPr>
                <w:rFonts w:cstheme="minorHAnsi"/>
                <w:b/>
                <w:bCs/>
                <w:sz w:val="24"/>
                <w:szCs w:val="24"/>
              </w:rPr>
            </w:pPr>
            <w:r w:rsidRPr="0043547B">
              <w:rPr>
                <w:rFonts w:cstheme="minorHAnsi"/>
                <w:b/>
                <w:bCs/>
                <w:sz w:val="24"/>
                <w:szCs w:val="24"/>
              </w:rPr>
              <w:t>NM CEN/TS 13307-2 (10.2.588)</w:t>
            </w:r>
          </w:p>
        </w:tc>
      </w:tr>
      <w:tr w:rsidR="0043547B" w:rsidRPr="0043547B" w:rsidTr="003C74C7">
        <w:trPr>
          <w:trHeight w:val="239"/>
          <w:jc w:val="center"/>
        </w:trPr>
        <w:tc>
          <w:tcPr>
            <w:tcW w:w="1838" w:type="dxa"/>
            <w:tcBorders>
              <w:top w:val="single" w:sz="18" w:space="0" w:color="auto"/>
              <w:left w:val="single" w:sz="18" w:space="0" w:color="auto"/>
              <w:bottom w:val="single" w:sz="4" w:space="0" w:color="auto"/>
              <w:right w:val="single" w:sz="4" w:space="0" w:color="auto"/>
            </w:tcBorders>
            <w:shd w:val="clear" w:color="auto" w:fill="FDFBA9"/>
            <w:vAlign w:val="center"/>
          </w:tcPr>
          <w:p w:rsidR="00BC2755" w:rsidRPr="0043547B" w:rsidRDefault="00BC2755" w:rsidP="000A4043">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DFBA9"/>
            <w:vAlign w:val="center"/>
          </w:tcPr>
          <w:p w:rsidR="00BC2755" w:rsidRPr="0043547B" w:rsidRDefault="00BC2755" w:rsidP="000A4043">
            <w:pPr>
              <w:spacing w:after="0" w:line="240" w:lineRule="auto"/>
              <w:jc w:val="center"/>
              <w:rPr>
                <w:rFonts w:cstheme="minorHAnsi"/>
                <w:b/>
                <w:bCs/>
                <w:sz w:val="24"/>
                <w:szCs w:val="24"/>
              </w:rPr>
            </w:pPr>
            <w:r w:rsidRPr="0043547B">
              <w:rPr>
                <w:rFonts w:cstheme="minorHAnsi"/>
                <w:b/>
                <w:bCs/>
                <w:sz w:val="24"/>
                <w:szCs w:val="24"/>
              </w:rPr>
              <w:t>CEN/TS 13307-2</w:t>
            </w:r>
          </w:p>
        </w:tc>
      </w:tr>
      <w:tr w:rsidR="0043547B" w:rsidRPr="0043547B" w:rsidTr="003C74C7">
        <w:trPr>
          <w:trHeight w:val="381"/>
          <w:jc w:val="center"/>
        </w:trPr>
        <w:tc>
          <w:tcPr>
            <w:tcW w:w="1838" w:type="dxa"/>
            <w:tcBorders>
              <w:top w:val="single" w:sz="4" w:space="0" w:color="auto"/>
              <w:left w:val="single" w:sz="18" w:space="0" w:color="auto"/>
              <w:bottom w:val="single" w:sz="4" w:space="0" w:color="auto"/>
              <w:right w:val="single" w:sz="4" w:space="0" w:color="auto"/>
            </w:tcBorders>
            <w:shd w:val="clear" w:color="auto" w:fill="B8CCE4" w:themeFill="accent1" w:themeFillTint="66"/>
            <w:vAlign w:val="center"/>
          </w:tcPr>
          <w:p w:rsidR="00BC2755" w:rsidRPr="0043547B" w:rsidRDefault="00BC2755" w:rsidP="000A4043">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auto"/>
          </w:tcPr>
          <w:p w:rsidR="00BC2755" w:rsidRPr="0043547B" w:rsidRDefault="00BC2755" w:rsidP="000A4043">
            <w:pPr>
              <w:spacing w:after="0" w:line="240" w:lineRule="auto"/>
              <w:jc w:val="both"/>
              <w:rPr>
                <w:rFonts w:cstheme="minorHAnsi"/>
                <w:sz w:val="24"/>
                <w:szCs w:val="24"/>
              </w:rPr>
            </w:pPr>
            <w:r w:rsidRPr="0043547B">
              <w:rPr>
                <w:rFonts w:cstheme="minorHAnsi"/>
                <w:sz w:val="24"/>
                <w:szCs w:val="24"/>
              </w:rPr>
              <w:t>Ébauches et profilés semi-finis en bois lamellé-collés et assemblés par entures multiples pour usages non structurels - Partie 2 : Contrôle de production</w:t>
            </w:r>
          </w:p>
        </w:tc>
      </w:tr>
      <w:tr w:rsidR="0043547B" w:rsidRPr="0043547B" w:rsidTr="00CB5DC0">
        <w:trPr>
          <w:trHeight w:val="239"/>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BC2755" w:rsidRPr="0043547B" w:rsidRDefault="00BC2755" w:rsidP="000A4043">
            <w:pPr>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bottom"/>
          </w:tcPr>
          <w:p w:rsidR="003C74C7" w:rsidRDefault="00BC2755" w:rsidP="003C74C7">
            <w:pPr>
              <w:spacing w:after="0" w:line="240" w:lineRule="auto"/>
              <w:jc w:val="both"/>
              <w:rPr>
                <w:rFonts w:cstheme="minorHAnsi"/>
                <w:sz w:val="24"/>
                <w:szCs w:val="24"/>
              </w:rPr>
            </w:pPr>
            <w:r w:rsidRPr="0043547B">
              <w:rPr>
                <w:rFonts w:cstheme="minorHAnsi"/>
                <w:sz w:val="24"/>
                <w:szCs w:val="24"/>
              </w:rPr>
              <w:t>La présente spécification technique spécifie la méthode pour le contrôle et les essais de performance des liaisons de collage pour les procédés de lamellation et d'aboutage par entures multiples, utilisés dans la production d'ébauches et de profilés semi-finis en bois pour des applications en menuiserie.</w:t>
            </w:r>
          </w:p>
          <w:p w:rsidR="003C74C7" w:rsidRDefault="00BC2755" w:rsidP="003C74C7">
            <w:pPr>
              <w:spacing w:after="0" w:line="240" w:lineRule="auto"/>
              <w:jc w:val="both"/>
              <w:rPr>
                <w:rFonts w:cstheme="minorHAnsi"/>
                <w:sz w:val="24"/>
                <w:szCs w:val="24"/>
              </w:rPr>
            </w:pPr>
            <w:r w:rsidRPr="0043547B">
              <w:rPr>
                <w:rFonts w:cstheme="minorHAnsi"/>
                <w:sz w:val="24"/>
                <w:szCs w:val="24"/>
              </w:rPr>
              <w:t>Les méthodes de contrôle sont établies dans le but de garantir la durabilité du plan de colle en fonction de la classe de service.</w:t>
            </w:r>
          </w:p>
          <w:p w:rsidR="00BC2755" w:rsidRPr="0043547B" w:rsidRDefault="00BC2755" w:rsidP="003C74C7">
            <w:pPr>
              <w:spacing w:after="0" w:line="240" w:lineRule="auto"/>
              <w:jc w:val="both"/>
              <w:rPr>
                <w:rFonts w:cstheme="minorHAnsi"/>
                <w:sz w:val="24"/>
                <w:szCs w:val="24"/>
              </w:rPr>
            </w:pPr>
            <w:r w:rsidRPr="0043547B">
              <w:rPr>
                <w:rFonts w:cstheme="minorHAnsi"/>
                <w:sz w:val="24"/>
                <w:szCs w:val="24"/>
              </w:rPr>
              <w:t>Les exigences spécifiques en matière de dimensions, de stabilité et de teneur en humidité sont données dans l'EN 13307-1.</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F24BE1" w:rsidRPr="0043547B" w:rsidRDefault="00F24BE1" w:rsidP="00F24BE1">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F24BE1" w:rsidRPr="0043547B" w:rsidRDefault="00F24BE1" w:rsidP="00F24BE1">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12400</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F24BE1" w:rsidRPr="0043547B" w:rsidRDefault="00F24BE1" w:rsidP="00F24BE1">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F24BE1" w:rsidRPr="0043547B" w:rsidRDefault="00F24BE1" w:rsidP="00F24BE1">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12400</w:t>
            </w:r>
          </w:p>
        </w:tc>
      </w:tr>
      <w:tr w:rsidR="0043547B" w:rsidRPr="0043547B" w:rsidTr="00CB5DC0">
        <w:trPr>
          <w:trHeight w:val="26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F24BE1" w:rsidRPr="0043547B" w:rsidRDefault="00F24BE1" w:rsidP="00F24BE1">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vAlign w:val="center"/>
            <w:hideMark/>
          </w:tcPr>
          <w:p w:rsidR="00F24BE1" w:rsidRPr="0043547B" w:rsidRDefault="00F24BE1" w:rsidP="00F24BE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Fenêtres et portes - Durabilité mécanique - Prescriptions et classification</w:t>
            </w:r>
          </w:p>
        </w:tc>
      </w:tr>
      <w:tr w:rsidR="0043547B" w:rsidRPr="0043547B" w:rsidTr="00CB5DC0">
        <w:trPr>
          <w:trHeight w:val="93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F24BE1" w:rsidRPr="0043547B" w:rsidRDefault="00F24BE1" w:rsidP="00F24BE1">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center"/>
            <w:hideMark/>
          </w:tcPr>
          <w:p w:rsidR="00F24BE1" w:rsidRPr="0043547B" w:rsidRDefault="00F24BE1" w:rsidP="00F24BE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une méthode de classification reposant sur les performances des fenêtres et des portes pour piétons lorsqu’elles sont soumises à ouvertures et fermetures répétées. Les classes prennent en compte une utilisation normale et intentionnelle.</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F24BE1" w:rsidRPr="0043547B" w:rsidRDefault="00F24BE1" w:rsidP="00F24BE1">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F24BE1" w:rsidRPr="0043547B" w:rsidRDefault="00F24BE1" w:rsidP="00F24BE1">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12217</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F24BE1" w:rsidRPr="0043547B" w:rsidRDefault="00F24BE1" w:rsidP="00F24BE1">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F24BE1" w:rsidRPr="0043547B" w:rsidRDefault="00F24BE1" w:rsidP="00F24BE1">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12217</w:t>
            </w:r>
          </w:p>
        </w:tc>
      </w:tr>
      <w:tr w:rsidR="0043547B" w:rsidRPr="0043547B" w:rsidTr="00CB5DC0">
        <w:trPr>
          <w:trHeight w:val="261"/>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F24BE1" w:rsidRPr="0043547B" w:rsidRDefault="00F24BE1" w:rsidP="00F24BE1">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vAlign w:val="center"/>
            <w:hideMark/>
          </w:tcPr>
          <w:p w:rsidR="00F24BE1" w:rsidRPr="0043547B" w:rsidRDefault="00F24BE1" w:rsidP="00F24BE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Portes - Forces de manœuvre - Prescriptions et classification</w:t>
            </w:r>
          </w:p>
        </w:tc>
      </w:tr>
      <w:tr w:rsidR="0043547B" w:rsidRPr="0043547B" w:rsidTr="00CB5DC0">
        <w:trPr>
          <w:trHeight w:val="3214"/>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F24BE1" w:rsidRPr="0043547B" w:rsidRDefault="00F24BE1" w:rsidP="00F24BE1">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center"/>
            <w:hideMark/>
          </w:tcPr>
          <w:p w:rsidR="00F24BE1" w:rsidRPr="0043547B" w:rsidRDefault="00F24BE1" w:rsidP="00F24BE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concerne les blocs-portes battants/pivotants et coulissants, équipés de pênes demi-tours et destinés à être utilisés par des piétons. Elle définit la classification, selon les résultats d’essai réalisés conformément à EN 12046-2, des forces d’ouverture/ fermeture des portes et nécessaires pour enclencher/</w:t>
            </w:r>
            <w:r w:rsidR="003C74C7">
              <w:rPr>
                <w:rFonts w:eastAsia="Times New Roman" w:cstheme="minorHAnsi"/>
                <w:sz w:val="24"/>
                <w:szCs w:val="24"/>
                <w:lang w:eastAsia="fr-FR"/>
              </w:rPr>
              <w:t xml:space="preserve"> </w:t>
            </w:r>
            <w:r w:rsidRPr="0043547B">
              <w:rPr>
                <w:rFonts w:eastAsia="Times New Roman" w:cstheme="minorHAnsi"/>
                <w:sz w:val="24"/>
                <w:szCs w:val="24"/>
                <w:lang w:eastAsia="fr-FR"/>
              </w:rPr>
              <w:t>libérer et verrouiller/déverrouiller la quincaillerie à l’aide d’une clé ou d’une poignée.</w:t>
            </w:r>
          </w:p>
          <w:p w:rsidR="00F24BE1" w:rsidRPr="0043547B" w:rsidRDefault="00F24BE1" w:rsidP="00F24BE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est uniquement applicable à la manœuvre manuelle des blocs-portes.</w:t>
            </w:r>
          </w:p>
          <w:p w:rsidR="00F24BE1" w:rsidRPr="0043547B" w:rsidRDefault="00F24BE1" w:rsidP="00F24BE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 mesurage des forces pour les blocs-portes ayant des systèmes à fermeture automatique enclenchés est exclu de la méthode d’essai. Elle ne s’applique pas non plus aux blocs-portes équipés d’une quincaillerie spéciale, par exemple les dispositifs d’issue de secours. Les essais sont applicables aux blocs-portes quel que soit leur matériau.</w:t>
            </w:r>
          </w:p>
          <w:p w:rsidR="00F24BE1" w:rsidRPr="0043547B" w:rsidRDefault="00F24BE1" w:rsidP="00F24BE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L’organe de fermeture de certaines fenêtres vitrées, (haute porte fenêtre) comporte un pêne demi-tour et peuvent être classées selon la norme.</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F24BE1" w:rsidRPr="0043547B" w:rsidRDefault="00F24BE1" w:rsidP="00F24BE1">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F24BE1" w:rsidRPr="0043547B" w:rsidRDefault="00F24BE1" w:rsidP="00F24BE1">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13115</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F24BE1" w:rsidRPr="0043547B" w:rsidRDefault="00F24BE1" w:rsidP="00F24BE1">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F24BE1" w:rsidRPr="0043547B" w:rsidRDefault="00F24BE1" w:rsidP="00F24BE1">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13115</w:t>
            </w:r>
          </w:p>
        </w:tc>
      </w:tr>
      <w:tr w:rsidR="0043547B" w:rsidRPr="0043547B" w:rsidTr="00CB5DC0">
        <w:trPr>
          <w:trHeight w:val="397"/>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F24BE1" w:rsidRPr="0043547B" w:rsidRDefault="00F24BE1" w:rsidP="00F24BE1">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vAlign w:val="center"/>
            <w:hideMark/>
          </w:tcPr>
          <w:p w:rsidR="00F24BE1" w:rsidRPr="0043547B" w:rsidRDefault="00F24BE1" w:rsidP="00F24BE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Fenêtres - Classification des propriétés mécaniques - Contreventement, torsion et efforts de manœuvre</w:t>
            </w:r>
          </w:p>
        </w:tc>
      </w:tr>
      <w:tr w:rsidR="0043547B" w:rsidRPr="0043547B" w:rsidTr="00CB5DC0">
        <w:trPr>
          <w:trHeight w:val="1114"/>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F24BE1" w:rsidRPr="0043547B" w:rsidRDefault="00F24BE1" w:rsidP="00F24BE1">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center"/>
            <w:hideMark/>
          </w:tcPr>
          <w:p w:rsidR="00F24BE1" w:rsidRPr="0043547B" w:rsidRDefault="00F24BE1" w:rsidP="00F24BE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La norme définit un moyen de classer la performance des fenêtres ouvrantes en fonction de leur résistance, lorsque cela est approprié, à un effort de contreventement (charge verticale), à une torsion statique et de leurs efforts de manœuvre. Certains aspects, tels que ceux traitant de la résistance à l'effraction, ne sont pas couverts </w:t>
            </w:r>
          </w:p>
        </w:tc>
      </w:tr>
      <w:tr w:rsidR="001D24D9" w:rsidRPr="0043547B" w:rsidTr="00AD3C7F">
        <w:trPr>
          <w:trHeight w:val="523"/>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1D24D9" w:rsidRPr="00AD3C7F" w:rsidRDefault="001D24D9" w:rsidP="00AD3C7F">
            <w:pPr>
              <w:spacing w:after="0" w:line="240" w:lineRule="auto"/>
              <w:jc w:val="center"/>
              <w:rPr>
                <w:rFonts w:ascii="Calibri" w:hAnsi="Calibri" w:cs="Calibri"/>
                <w:b/>
                <w:bCs/>
                <w:sz w:val="24"/>
                <w:szCs w:val="24"/>
              </w:rPr>
            </w:pPr>
            <w:r w:rsidRPr="00AD3C7F">
              <w:rPr>
                <w:rFonts w:ascii="Calibri" w:hAnsi="Calibri" w:cs="Calibri"/>
                <w:b/>
                <w:bCs/>
                <w:sz w:val="24"/>
                <w:szCs w:val="24"/>
              </w:rPr>
              <w:lastRenderedPageBreak/>
              <w:t>Code</w:t>
            </w:r>
            <w:r w:rsidR="00AD3C7F">
              <w:rPr>
                <w:rFonts w:ascii="Calibri" w:hAnsi="Calibri" w:cs="Calibri"/>
                <w:b/>
                <w:bCs/>
                <w:sz w:val="24"/>
                <w:szCs w:val="24"/>
              </w:rPr>
              <w:t xml:space="preserve"> </w:t>
            </w:r>
            <w:r w:rsidRPr="00AD3C7F">
              <w:rPr>
                <w:rFonts w:ascii="Calibri" w:hAnsi="Calibri" w:cs="Calibri"/>
                <w:b/>
                <w:bCs/>
                <w:sz w:val="24"/>
                <w:szCs w:val="24"/>
              </w:rPr>
              <w:t>:</w:t>
            </w:r>
          </w:p>
        </w:tc>
        <w:tc>
          <w:tcPr>
            <w:tcW w:w="7938" w:type="dxa"/>
            <w:tcBorders>
              <w:left w:val="single" w:sz="4" w:space="0" w:color="auto"/>
              <w:bottom w:val="single" w:sz="18" w:space="0" w:color="auto"/>
              <w:right w:val="single" w:sz="18" w:space="0" w:color="auto"/>
            </w:tcBorders>
            <w:shd w:val="clear" w:color="auto" w:fill="C2D69B" w:themeFill="accent3" w:themeFillTint="99"/>
            <w:vAlign w:val="center"/>
          </w:tcPr>
          <w:p w:rsidR="001D24D9" w:rsidRPr="00AD3C7F" w:rsidRDefault="001D24D9" w:rsidP="00AD3C7F">
            <w:pPr>
              <w:spacing w:after="0" w:line="240" w:lineRule="auto"/>
              <w:jc w:val="center"/>
              <w:rPr>
                <w:rFonts w:ascii="Times New Roman" w:hAnsi="Times New Roman" w:cs="Times New Roman"/>
                <w:b/>
                <w:bCs/>
                <w:color w:val="000000"/>
                <w:sz w:val="24"/>
                <w:szCs w:val="24"/>
              </w:rPr>
            </w:pPr>
            <w:r w:rsidRPr="00AD3C7F">
              <w:rPr>
                <w:b/>
                <w:bCs/>
                <w:color w:val="000000"/>
                <w:sz w:val="24"/>
                <w:szCs w:val="24"/>
              </w:rPr>
              <w:t>NM EN 16034</w:t>
            </w:r>
          </w:p>
        </w:tc>
      </w:tr>
      <w:tr w:rsidR="001D24D9" w:rsidRPr="0043547B" w:rsidTr="00ED0D29">
        <w:trPr>
          <w:trHeight w:val="517"/>
          <w:jc w:val="center"/>
        </w:trPr>
        <w:tc>
          <w:tcPr>
            <w:tcW w:w="1838" w:type="dxa"/>
            <w:tcBorders>
              <w:top w:val="nil"/>
              <w:left w:val="single" w:sz="18" w:space="0" w:color="auto"/>
              <w:bottom w:val="single" w:sz="18" w:space="0" w:color="auto"/>
              <w:right w:val="single" w:sz="4" w:space="0" w:color="auto"/>
            </w:tcBorders>
            <w:shd w:val="clear" w:color="auto" w:fill="FFFF99"/>
            <w:vAlign w:val="center"/>
          </w:tcPr>
          <w:p w:rsidR="001D24D9" w:rsidRPr="00AD3C7F" w:rsidRDefault="001D24D9" w:rsidP="00AD3C7F">
            <w:pPr>
              <w:spacing w:after="0" w:line="240" w:lineRule="auto"/>
              <w:jc w:val="center"/>
              <w:rPr>
                <w:rFonts w:ascii="Calibri" w:hAnsi="Calibri" w:cs="Calibri"/>
                <w:b/>
                <w:bCs/>
                <w:sz w:val="24"/>
                <w:szCs w:val="24"/>
              </w:rPr>
            </w:pPr>
            <w:r w:rsidRPr="00AD3C7F">
              <w:rPr>
                <w:rFonts w:ascii="Calibri" w:hAnsi="Calibri" w:cs="Calibri"/>
                <w:b/>
                <w:bCs/>
                <w:sz w:val="24"/>
                <w:szCs w:val="24"/>
              </w:rPr>
              <w:t>Equivalence :</w:t>
            </w:r>
          </w:p>
        </w:tc>
        <w:tc>
          <w:tcPr>
            <w:tcW w:w="7938" w:type="dxa"/>
            <w:tcBorders>
              <w:left w:val="single" w:sz="4" w:space="0" w:color="auto"/>
              <w:bottom w:val="single" w:sz="18" w:space="0" w:color="auto"/>
              <w:right w:val="single" w:sz="18" w:space="0" w:color="auto"/>
            </w:tcBorders>
            <w:shd w:val="clear" w:color="auto" w:fill="FFFF99"/>
            <w:vAlign w:val="center"/>
          </w:tcPr>
          <w:p w:rsidR="001D24D9" w:rsidRPr="00AD3C7F" w:rsidRDefault="001D24D9" w:rsidP="00AD3C7F">
            <w:pPr>
              <w:spacing w:after="0" w:line="240" w:lineRule="auto"/>
              <w:jc w:val="center"/>
              <w:rPr>
                <w:rFonts w:ascii="Calibri" w:hAnsi="Calibri" w:cs="Calibri"/>
                <w:b/>
                <w:bCs/>
                <w:sz w:val="24"/>
                <w:szCs w:val="24"/>
              </w:rPr>
            </w:pPr>
            <w:r w:rsidRPr="00AD3C7F">
              <w:rPr>
                <w:rFonts w:ascii="Calibri" w:hAnsi="Calibri" w:cs="Calibri"/>
                <w:b/>
                <w:bCs/>
                <w:sz w:val="24"/>
                <w:szCs w:val="24"/>
              </w:rPr>
              <w:t>EN 16034</w:t>
            </w:r>
          </w:p>
        </w:tc>
      </w:tr>
      <w:tr w:rsidR="001D24D9" w:rsidRPr="0043547B" w:rsidTr="00ED0D29">
        <w:trPr>
          <w:trHeight w:val="951"/>
          <w:jc w:val="center"/>
        </w:trPr>
        <w:tc>
          <w:tcPr>
            <w:tcW w:w="1838" w:type="dxa"/>
            <w:tcBorders>
              <w:top w:val="single" w:sz="18" w:space="0" w:color="auto"/>
              <w:left w:val="single" w:sz="18" w:space="0" w:color="auto"/>
              <w:bottom w:val="single" w:sz="4" w:space="0" w:color="auto"/>
              <w:right w:val="single" w:sz="4" w:space="0" w:color="auto"/>
            </w:tcBorders>
            <w:shd w:val="clear" w:color="auto" w:fill="95B3D7" w:themeFill="accent1" w:themeFillTint="99"/>
            <w:vAlign w:val="center"/>
          </w:tcPr>
          <w:p w:rsidR="001D24D9" w:rsidRPr="00AD3C7F" w:rsidRDefault="001D24D9" w:rsidP="00AD3C7F">
            <w:pPr>
              <w:spacing w:after="0" w:line="240" w:lineRule="auto"/>
              <w:jc w:val="center"/>
              <w:rPr>
                <w:rFonts w:ascii="Calibri" w:hAnsi="Calibri" w:cs="Calibri"/>
                <w:b/>
                <w:bCs/>
                <w:sz w:val="24"/>
                <w:szCs w:val="24"/>
              </w:rPr>
            </w:pPr>
            <w:r w:rsidRPr="00AD3C7F">
              <w:rPr>
                <w:rFonts w:ascii="Calibri" w:hAnsi="Calibri" w:cs="Calibri"/>
                <w:b/>
                <w:bCs/>
                <w:sz w:val="24"/>
                <w:szCs w:val="24"/>
              </w:rPr>
              <w:t>Inti</w:t>
            </w:r>
            <w:r w:rsidRPr="00AD3C7F">
              <w:rPr>
                <w:rFonts w:ascii="Calibri" w:hAnsi="Calibri" w:cs="Calibri"/>
                <w:b/>
                <w:bCs/>
                <w:sz w:val="24"/>
                <w:szCs w:val="24"/>
                <w:shd w:val="clear" w:color="auto" w:fill="95B3D7" w:themeFill="accent1" w:themeFillTint="99"/>
              </w:rPr>
              <w:t>t</w:t>
            </w:r>
            <w:r w:rsidRPr="00AD3C7F">
              <w:rPr>
                <w:rFonts w:ascii="Calibri" w:hAnsi="Calibri" w:cs="Calibri"/>
                <w:b/>
                <w:bCs/>
                <w:sz w:val="24"/>
                <w:szCs w:val="24"/>
              </w:rPr>
              <w:t>ulé :</w:t>
            </w:r>
          </w:p>
        </w:tc>
        <w:tc>
          <w:tcPr>
            <w:tcW w:w="7938" w:type="dxa"/>
            <w:tcBorders>
              <w:top w:val="single" w:sz="18" w:space="0" w:color="auto"/>
              <w:left w:val="single" w:sz="4" w:space="0" w:color="auto"/>
              <w:bottom w:val="single" w:sz="4" w:space="0" w:color="auto"/>
              <w:right w:val="single" w:sz="18" w:space="0" w:color="auto"/>
            </w:tcBorders>
            <w:shd w:val="clear" w:color="auto" w:fill="auto"/>
          </w:tcPr>
          <w:p w:rsidR="001D24D9" w:rsidRPr="00AD3C7F" w:rsidRDefault="001D24D9" w:rsidP="00AD3C7F">
            <w:pPr>
              <w:spacing w:after="0" w:line="240" w:lineRule="auto"/>
              <w:rPr>
                <w:rFonts w:ascii="Times New Roman" w:hAnsi="Times New Roman" w:cs="Times New Roman"/>
                <w:color w:val="000000"/>
                <w:sz w:val="24"/>
                <w:szCs w:val="24"/>
              </w:rPr>
            </w:pPr>
            <w:r w:rsidRPr="00AD3C7F">
              <w:rPr>
                <w:color w:val="000000"/>
                <w:sz w:val="24"/>
                <w:szCs w:val="24"/>
              </w:rPr>
              <w:t xml:space="preserve">Blocs-portes pour piétons, portes et fenêtres industrielles, commerciales et de garage - Norme   de   produit,   caractéristiques   de   performance - Caractéristiques de résistance au feu et/ ou d’étanchéité aux fumées ; </w:t>
            </w:r>
          </w:p>
        </w:tc>
      </w:tr>
      <w:tr w:rsidR="001D24D9" w:rsidRPr="0043547B" w:rsidTr="00ED0D29">
        <w:trPr>
          <w:trHeight w:val="1114"/>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1D24D9" w:rsidRPr="00AD3C7F" w:rsidRDefault="001D24D9" w:rsidP="00AD3C7F">
            <w:pPr>
              <w:spacing w:after="0" w:line="240" w:lineRule="auto"/>
              <w:jc w:val="center"/>
              <w:rPr>
                <w:rFonts w:ascii="Calibri" w:hAnsi="Calibri" w:cs="Calibri"/>
                <w:b/>
                <w:bCs/>
                <w:sz w:val="24"/>
                <w:szCs w:val="24"/>
              </w:rPr>
            </w:pPr>
            <w:r w:rsidRPr="00AD3C7F">
              <w:rPr>
                <w:rFonts w:ascii="Calibri" w:hAnsi="Calibri" w:cs="Calibr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bottom"/>
          </w:tcPr>
          <w:p w:rsidR="00AD3C7F" w:rsidRDefault="001D24D9" w:rsidP="00AD3C7F">
            <w:pPr>
              <w:spacing w:after="0" w:line="240" w:lineRule="auto"/>
              <w:jc w:val="both"/>
              <w:rPr>
                <w:color w:val="000000"/>
                <w:sz w:val="24"/>
                <w:szCs w:val="24"/>
              </w:rPr>
            </w:pPr>
            <w:r w:rsidRPr="00AD3C7F">
              <w:rPr>
                <w:color w:val="000000"/>
                <w:sz w:val="24"/>
                <w:szCs w:val="24"/>
              </w:rPr>
              <w:t>La présente Norme européenne détermine, indépendamment des matériaux, les exigences de sécurité et de</w:t>
            </w:r>
            <w:r w:rsidR="00AD3C7F">
              <w:rPr>
                <w:color w:val="000000"/>
                <w:sz w:val="24"/>
                <w:szCs w:val="24"/>
              </w:rPr>
              <w:t xml:space="preserve"> </w:t>
            </w:r>
            <w:r w:rsidRPr="00AD3C7F">
              <w:rPr>
                <w:color w:val="000000"/>
                <w:sz w:val="24"/>
                <w:szCs w:val="24"/>
              </w:rPr>
              <w:t>performance applicables à tous les produits résistant au feu et/ou étanches aux fumées destinés à être utilisés pour</w:t>
            </w:r>
            <w:r w:rsidR="00AD3C7F">
              <w:rPr>
                <w:color w:val="000000"/>
                <w:sz w:val="24"/>
                <w:szCs w:val="24"/>
              </w:rPr>
              <w:t xml:space="preserve"> </w:t>
            </w:r>
            <w:r w:rsidRPr="00AD3C7F">
              <w:rPr>
                <w:color w:val="000000"/>
                <w:sz w:val="24"/>
                <w:szCs w:val="24"/>
              </w:rPr>
              <w:t>le compartimentage du feu et/ou de la fumée et/ou sur des voies d'évacuation :</w:t>
            </w:r>
          </w:p>
          <w:p w:rsidR="00AD3C7F" w:rsidRDefault="001D24D9" w:rsidP="00AD3C7F">
            <w:pPr>
              <w:spacing w:after="0" w:line="240" w:lineRule="auto"/>
              <w:jc w:val="both"/>
              <w:rPr>
                <w:color w:val="000000"/>
                <w:sz w:val="24"/>
                <w:szCs w:val="24"/>
              </w:rPr>
            </w:pPr>
            <w:r w:rsidRPr="00AD3C7F">
              <w:rPr>
                <w:color w:val="000000"/>
                <w:sz w:val="24"/>
                <w:szCs w:val="24"/>
              </w:rPr>
              <w:t>— blocs-portes industriels, commerciaux et/ou de garage, rideaux à</w:t>
            </w:r>
            <w:r w:rsidR="00AD3C7F">
              <w:rPr>
                <w:color w:val="000000"/>
                <w:sz w:val="24"/>
                <w:szCs w:val="24"/>
              </w:rPr>
              <w:t xml:space="preserve"> </w:t>
            </w:r>
            <w:r w:rsidRPr="00AD3C7F">
              <w:rPr>
                <w:color w:val="000000"/>
                <w:sz w:val="24"/>
                <w:szCs w:val="24"/>
              </w:rPr>
              <w:t>enroulement ou rideaux en toile manoeuvrables,</w:t>
            </w:r>
            <w:r w:rsidR="00AD3C7F">
              <w:rPr>
                <w:color w:val="000000"/>
                <w:sz w:val="24"/>
                <w:szCs w:val="24"/>
              </w:rPr>
              <w:t xml:space="preserve"> </w:t>
            </w:r>
            <w:r w:rsidRPr="00AD3C7F">
              <w:rPr>
                <w:color w:val="000000"/>
                <w:sz w:val="24"/>
                <w:szCs w:val="24"/>
              </w:rPr>
              <w:t>destinés à être installés dans des zones accessibles et dont les principaux usages prévus sont de fournir un accès</w:t>
            </w:r>
            <w:r w:rsidR="00AD3C7F">
              <w:rPr>
                <w:color w:val="000000"/>
                <w:sz w:val="24"/>
                <w:szCs w:val="24"/>
              </w:rPr>
              <w:t xml:space="preserve"> </w:t>
            </w:r>
            <w:r w:rsidRPr="00AD3C7F">
              <w:rPr>
                <w:color w:val="000000"/>
                <w:sz w:val="24"/>
                <w:szCs w:val="24"/>
              </w:rPr>
              <w:t>en toute sécurité aux marchandises et aux véhicules accompagnés ou conduits par des personnes, ou</w:t>
            </w:r>
            <w:r w:rsidR="00AD3C7F">
              <w:rPr>
                <w:color w:val="000000"/>
                <w:sz w:val="24"/>
                <w:szCs w:val="24"/>
              </w:rPr>
              <w:t xml:space="preserve"> </w:t>
            </w:r>
            <w:r w:rsidRPr="00AD3C7F">
              <w:rPr>
                <w:color w:val="000000"/>
                <w:sz w:val="24"/>
                <w:szCs w:val="24"/>
              </w:rPr>
              <w:t>— rideaux à enroulement ou rideaux en toile man?uvrables utilisés dans les magasins de vente au détail, qui sont</w:t>
            </w:r>
            <w:r w:rsidRPr="00AD3C7F">
              <w:rPr>
                <w:color w:val="000000"/>
                <w:sz w:val="24"/>
                <w:szCs w:val="24"/>
              </w:rPr>
              <w:br/>
              <w:t>principalement prévus pour l'accès des personnes plutôt que des véhicules ou des marchandises, ou</w:t>
            </w:r>
            <w:r w:rsidR="00AD3C7F">
              <w:rPr>
                <w:color w:val="000000"/>
                <w:sz w:val="24"/>
                <w:szCs w:val="24"/>
              </w:rPr>
              <w:t xml:space="preserve"> </w:t>
            </w:r>
            <w:r w:rsidRPr="00AD3C7F">
              <w:rPr>
                <w:color w:val="000000"/>
                <w:sz w:val="24"/>
                <w:szCs w:val="24"/>
              </w:rPr>
              <w:t>— blocs-portes pour piétons et/ou fenêtres et/ou trappes de visite, battants ou coulissants, destinés à être installés</w:t>
            </w:r>
            <w:r w:rsidR="00AD3C7F">
              <w:rPr>
                <w:color w:val="000000"/>
                <w:sz w:val="24"/>
                <w:szCs w:val="24"/>
              </w:rPr>
              <w:t xml:space="preserve"> </w:t>
            </w:r>
            <w:r w:rsidRPr="00AD3C7F">
              <w:rPr>
                <w:color w:val="000000"/>
                <w:sz w:val="24"/>
                <w:szCs w:val="24"/>
              </w:rPr>
              <w:t>dans des zones accessibles et dont les principaux usages prévus sont de fournir un accès en toute sécurité aux</w:t>
            </w:r>
            <w:r w:rsidR="00AD3C7F">
              <w:rPr>
                <w:color w:val="000000"/>
                <w:sz w:val="24"/>
                <w:szCs w:val="24"/>
              </w:rPr>
              <w:t xml:space="preserve"> </w:t>
            </w:r>
            <w:r w:rsidRPr="00AD3C7F">
              <w:rPr>
                <w:color w:val="000000"/>
                <w:sz w:val="24"/>
                <w:szCs w:val="24"/>
              </w:rPr>
              <w:t>personnes ;</w:t>
            </w:r>
          </w:p>
          <w:p w:rsidR="00AD3C7F" w:rsidRDefault="001D24D9" w:rsidP="00AD3C7F">
            <w:pPr>
              <w:spacing w:after="0" w:line="240" w:lineRule="auto"/>
              <w:jc w:val="both"/>
              <w:rPr>
                <w:color w:val="000000"/>
                <w:sz w:val="24"/>
                <w:szCs w:val="24"/>
              </w:rPr>
            </w:pPr>
            <w:r w:rsidRPr="00AD3C7F">
              <w:rPr>
                <w:color w:val="000000"/>
                <w:sz w:val="24"/>
                <w:szCs w:val="24"/>
              </w:rPr>
              <w:t>manuels ou motorisés, et :</w:t>
            </w:r>
          </w:p>
          <w:p w:rsidR="00AD3C7F" w:rsidRDefault="001D24D9" w:rsidP="00AD3C7F">
            <w:pPr>
              <w:spacing w:after="0" w:line="240" w:lineRule="auto"/>
              <w:jc w:val="both"/>
              <w:rPr>
                <w:color w:val="000000"/>
                <w:sz w:val="24"/>
                <w:szCs w:val="24"/>
              </w:rPr>
            </w:pPr>
            <w:r w:rsidRPr="00AD3C7F">
              <w:rPr>
                <w:color w:val="000000"/>
                <w:sz w:val="24"/>
                <w:szCs w:val="24"/>
              </w:rPr>
              <w:t>— à ouverture et fermeture automatique en mode de fonctionnement normal ou</w:t>
            </w:r>
            <w:r w:rsidRPr="00AD3C7F">
              <w:rPr>
                <w:color w:val="000000"/>
                <w:sz w:val="24"/>
                <w:szCs w:val="24"/>
              </w:rPr>
              <w:br/>
              <w:t>— normalement maintenus ouverts, mais se fermant automatiquement en cas d'incendie ou de fumée ou</w:t>
            </w:r>
          </w:p>
          <w:p w:rsidR="00AD3C7F" w:rsidRDefault="001D24D9" w:rsidP="00AD3C7F">
            <w:pPr>
              <w:spacing w:after="0" w:line="240" w:lineRule="auto"/>
              <w:jc w:val="both"/>
              <w:rPr>
                <w:color w:val="000000"/>
                <w:sz w:val="24"/>
                <w:szCs w:val="24"/>
              </w:rPr>
            </w:pPr>
            <w:r w:rsidRPr="00AD3C7F">
              <w:rPr>
                <w:color w:val="000000"/>
                <w:sz w:val="24"/>
                <w:szCs w:val="24"/>
              </w:rPr>
              <w:t>— normalement maintenus verrouillés en position de fermeture (par exemple blocs-portes d'accès pour</w:t>
            </w:r>
            <w:r w:rsidR="00AD3C7F">
              <w:rPr>
                <w:color w:val="000000"/>
                <w:sz w:val="24"/>
                <w:szCs w:val="24"/>
              </w:rPr>
              <w:t xml:space="preserve"> </w:t>
            </w:r>
            <w:r w:rsidRPr="00AD3C7F">
              <w:rPr>
                <w:color w:val="000000"/>
                <w:sz w:val="24"/>
                <w:szCs w:val="24"/>
              </w:rPr>
              <w:t>l'entretien/inspection)</w:t>
            </w:r>
            <w:r w:rsidR="00AD3C7F">
              <w:rPr>
                <w:color w:val="000000"/>
                <w:sz w:val="24"/>
                <w:szCs w:val="24"/>
              </w:rPr>
              <w:t xml:space="preserve"> </w:t>
            </w:r>
            <w:r w:rsidRPr="00AD3C7F">
              <w:rPr>
                <w:color w:val="000000"/>
                <w:sz w:val="24"/>
                <w:szCs w:val="24"/>
              </w:rPr>
              <w:t>et complétés :</w:t>
            </w:r>
          </w:p>
          <w:p w:rsidR="00AD3C7F" w:rsidRDefault="001D24D9" w:rsidP="00AD3C7F">
            <w:pPr>
              <w:spacing w:after="0" w:line="240" w:lineRule="auto"/>
              <w:jc w:val="both"/>
              <w:rPr>
                <w:color w:val="000000"/>
                <w:sz w:val="24"/>
                <w:szCs w:val="24"/>
              </w:rPr>
            </w:pPr>
            <w:r w:rsidRPr="00AD3C7F">
              <w:rPr>
                <w:color w:val="000000"/>
                <w:sz w:val="24"/>
                <w:szCs w:val="24"/>
              </w:rPr>
              <w:t>— avec de la quincaillerie de bâtiment ;</w:t>
            </w:r>
          </w:p>
          <w:p w:rsidR="00AD3C7F" w:rsidRDefault="001D24D9" w:rsidP="00AD3C7F">
            <w:pPr>
              <w:spacing w:after="0" w:line="240" w:lineRule="auto"/>
              <w:jc w:val="both"/>
              <w:rPr>
                <w:color w:val="000000"/>
                <w:sz w:val="24"/>
                <w:szCs w:val="24"/>
              </w:rPr>
            </w:pPr>
            <w:r w:rsidRPr="00AD3C7F">
              <w:rPr>
                <w:color w:val="000000"/>
                <w:sz w:val="24"/>
                <w:szCs w:val="24"/>
              </w:rPr>
              <w:t>— avec ou sans panneau(x) latéral(aux), panneaux supérieur(s) affleurant(s) et/ou panneau(x) d'imposte (avec ou</w:t>
            </w:r>
            <w:r w:rsidR="00AD3C7F">
              <w:rPr>
                <w:color w:val="000000"/>
                <w:sz w:val="24"/>
                <w:szCs w:val="24"/>
              </w:rPr>
              <w:t xml:space="preserve"> </w:t>
            </w:r>
            <w:r w:rsidRPr="00AD3C7F">
              <w:rPr>
                <w:color w:val="000000"/>
                <w:sz w:val="24"/>
                <w:szCs w:val="24"/>
              </w:rPr>
              <w:t>sans vitrage) et intégrés dans un châssis individuel afin d'être installés dans une seule ouverture ;</w:t>
            </w:r>
            <w:r w:rsidR="00AD3C7F">
              <w:rPr>
                <w:color w:val="000000"/>
                <w:sz w:val="24"/>
                <w:szCs w:val="24"/>
              </w:rPr>
              <w:t xml:space="preserve"> </w:t>
            </w:r>
          </w:p>
          <w:p w:rsidR="00AD3C7F" w:rsidRDefault="001D24D9" w:rsidP="00AD3C7F">
            <w:pPr>
              <w:spacing w:after="0" w:line="240" w:lineRule="auto"/>
              <w:jc w:val="both"/>
              <w:rPr>
                <w:color w:val="000000"/>
                <w:sz w:val="24"/>
                <w:szCs w:val="24"/>
              </w:rPr>
            </w:pPr>
            <w:r w:rsidRPr="00AD3C7F">
              <w:rPr>
                <w:color w:val="000000"/>
                <w:sz w:val="24"/>
                <w:szCs w:val="24"/>
              </w:rPr>
              <w:t>— avec ou sans partie(s) vitrée(s) dans le ou les vantaux de porte ;</w:t>
            </w:r>
            <w:r w:rsidR="00AD3C7F">
              <w:rPr>
                <w:color w:val="000000"/>
                <w:sz w:val="24"/>
                <w:szCs w:val="24"/>
              </w:rPr>
              <w:t xml:space="preserve"> </w:t>
            </w:r>
          </w:p>
          <w:p w:rsidR="00AD3C7F" w:rsidRDefault="001D24D9" w:rsidP="00AD3C7F">
            <w:pPr>
              <w:spacing w:after="0" w:line="240" w:lineRule="auto"/>
              <w:jc w:val="both"/>
              <w:rPr>
                <w:color w:val="000000"/>
                <w:sz w:val="24"/>
                <w:szCs w:val="24"/>
              </w:rPr>
            </w:pPr>
            <w:r w:rsidRPr="00AD3C7F">
              <w:rPr>
                <w:color w:val="000000"/>
                <w:sz w:val="24"/>
                <w:szCs w:val="24"/>
              </w:rPr>
              <w:t>— avec ou sans joints (par exemple pour l’étanchéité aux fumées, la résistance au feu, l’étanchéité à l'air, les</w:t>
            </w:r>
            <w:r w:rsidR="00AD3C7F">
              <w:rPr>
                <w:color w:val="000000"/>
                <w:sz w:val="24"/>
                <w:szCs w:val="24"/>
              </w:rPr>
              <w:t xml:space="preserve"> </w:t>
            </w:r>
            <w:r w:rsidRPr="00AD3C7F">
              <w:rPr>
                <w:color w:val="000000"/>
                <w:sz w:val="24"/>
                <w:szCs w:val="24"/>
              </w:rPr>
              <w:t>caractéristiques acoustiques ou climatiques).</w:t>
            </w:r>
          </w:p>
          <w:p w:rsidR="00AD3C7F" w:rsidRDefault="001D24D9" w:rsidP="00AD3C7F">
            <w:pPr>
              <w:spacing w:after="0" w:line="240" w:lineRule="auto"/>
              <w:jc w:val="both"/>
              <w:rPr>
                <w:color w:val="000000"/>
                <w:sz w:val="24"/>
                <w:szCs w:val="24"/>
              </w:rPr>
            </w:pPr>
            <w:r w:rsidRPr="00AD3C7F">
              <w:rPr>
                <w:color w:val="000000"/>
                <w:sz w:val="24"/>
                <w:szCs w:val="24"/>
              </w:rPr>
              <w:t>Les caractéristiques produit traitées dans l'EN 13241-1, l'EN 14351-1, le prEN 14351-2 ou l'EN 16361 ne doivent pas</w:t>
            </w:r>
            <w:r w:rsidR="00AD3C7F">
              <w:rPr>
                <w:color w:val="000000"/>
                <w:sz w:val="24"/>
                <w:szCs w:val="24"/>
              </w:rPr>
              <w:t xml:space="preserve"> </w:t>
            </w:r>
            <w:r w:rsidRPr="00AD3C7F">
              <w:rPr>
                <w:color w:val="000000"/>
                <w:sz w:val="24"/>
                <w:szCs w:val="24"/>
              </w:rPr>
              <w:t>compromettre les caractéristiques de résistance au feu et/ou d'étanchéité à la fumée d'un produit résistant au feu</w:t>
            </w:r>
            <w:r w:rsidRPr="00AD3C7F">
              <w:rPr>
                <w:color w:val="000000"/>
                <w:sz w:val="24"/>
                <w:szCs w:val="24"/>
              </w:rPr>
              <w:br/>
              <w:t>et/ou pare-fumées.</w:t>
            </w:r>
          </w:p>
          <w:p w:rsidR="00AD3C7F" w:rsidRDefault="001D24D9" w:rsidP="00AD3C7F">
            <w:pPr>
              <w:spacing w:after="0" w:line="240" w:lineRule="auto"/>
              <w:jc w:val="both"/>
              <w:rPr>
                <w:color w:val="000000"/>
                <w:sz w:val="24"/>
                <w:szCs w:val="24"/>
              </w:rPr>
            </w:pPr>
            <w:r w:rsidRPr="00AD3C7F">
              <w:rPr>
                <w:b/>
                <w:bCs/>
                <w:i/>
                <w:iCs/>
                <w:color w:val="000000"/>
              </w:rPr>
              <w:t>NOTE 1</w:t>
            </w:r>
            <w:r w:rsidRPr="00AD3C7F">
              <w:rPr>
                <w:i/>
                <w:iCs/>
                <w:color w:val="000000"/>
              </w:rPr>
              <w:t xml:space="preserve"> Les exigences des normes EN 14351-1, prEN 14351-2, EN 13241-1 ou l'EN 16361 peuvent être applicables pour</w:t>
            </w:r>
            <w:r w:rsidR="00AD3C7F" w:rsidRPr="00AD3C7F">
              <w:rPr>
                <w:i/>
                <w:iCs/>
                <w:color w:val="000000"/>
              </w:rPr>
              <w:t xml:space="preserve"> </w:t>
            </w:r>
            <w:r w:rsidRPr="00AD3C7F">
              <w:rPr>
                <w:i/>
                <w:iCs/>
                <w:color w:val="000000"/>
              </w:rPr>
              <w:t>les produits couverts par la présente norme.</w:t>
            </w:r>
            <w:r w:rsidRPr="00AD3C7F">
              <w:rPr>
                <w:i/>
                <w:iCs/>
                <w:color w:val="000000"/>
              </w:rPr>
              <w:br/>
            </w:r>
            <w:r w:rsidRPr="00AD3C7F">
              <w:rPr>
                <w:color w:val="000000"/>
                <w:sz w:val="24"/>
                <w:szCs w:val="24"/>
              </w:rPr>
              <w:t>La présente norme fournit également des indications sur les modifications de produits n'affectant pas les</w:t>
            </w:r>
            <w:r w:rsidR="00AD3C7F">
              <w:rPr>
                <w:color w:val="000000"/>
                <w:sz w:val="24"/>
                <w:szCs w:val="24"/>
              </w:rPr>
              <w:t xml:space="preserve"> </w:t>
            </w:r>
            <w:r w:rsidRPr="00AD3C7F">
              <w:rPr>
                <w:color w:val="000000"/>
                <w:sz w:val="24"/>
                <w:szCs w:val="24"/>
              </w:rPr>
              <w:t>performances des produits concernés.</w:t>
            </w:r>
          </w:p>
          <w:p w:rsidR="001D24D9" w:rsidRDefault="001D24D9" w:rsidP="00AD3C7F">
            <w:pPr>
              <w:spacing w:after="0" w:line="240" w:lineRule="auto"/>
              <w:jc w:val="both"/>
              <w:rPr>
                <w:i/>
                <w:iCs/>
                <w:color w:val="000000"/>
              </w:rPr>
            </w:pPr>
            <w:r w:rsidRPr="00AD3C7F">
              <w:rPr>
                <w:b/>
                <w:bCs/>
                <w:i/>
                <w:iCs/>
                <w:color w:val="000000"/>
              </w:rPr>
              <w:t>NOTE 2</w:t>
            </w:r>
            <w:r w:rsidRPr="00AD3C7F">
              <w:rPr>
                <w:i/>
                <w:iCs/>
                <w:color w:val="000000"/>
              </w:rPr>
              <w:t xml:space="preserve"> Les exigences et les règles relatives aux variantes (concernant les champs d'application directe et étendue) des</w:t>
            </w:r>
            <w:r w:rsidR="00AD3C7F" w:rsidRPr="00AD3C7F">
              <w:rPr>
                <w:i/>
                <w:iCs/>
                <w:color w:val="000000"/>
              </w:rPr>
              <w:t xml:space="preserve"> </w:t>
            </w:r>
            <w:r w:rsidRPr="00AD3C7F">
              <w:rPr>
                <w:i/>
                <w:iCs/>
                <w:color w:val="000000"/>
              </w:rPr>
              <w:t>blocs-portes résistant au feu et/ou pare-fumées sont données dans la série EN 15269, l'EN 1634-1 et l'EN 1634-3, étayées,</w:t>
            </w:r>
            <w:r w:rsidRPr="00AD3C7F">
              <w:rPr>
                <w:i/>
                <w:iCs/>
                <w:color w:val="000000"/>
              </w:rPr>
              <w:br/>
              <w:t>par exemple, par l'EN 16035.</w:t>
            </w:r>
          </w:p>
          <w:p w:rsidR="00ED0D29" w:rsidRPr="00AD3C7F" w:rsidRDefault="00ED0D29" w:rsidP="00AD3C7F">
            <w:pPr>
              <w:spacing w:after="0" w:line="240" w:lineRule="auto"/>
              <w:jc w:val="both"/>
              <w:rPr>
                <w:rFonts w:ascii="Times New Roman" w:hAnsi="Times New Roman" w:cs="Times New Roman"/>
                <w:i/>
                <w:iCs/>
                <w:color w:val="000000"/>
                <w:sz w:val="24"/>
                <w:szCs w:val="24"/>
              </w:rPr>
            </w:pPr>
          </w:p>
        </w:tc>
      </w:tr>
      <w:tr w:rsidR="001D24D9" w:rsidRPr="0043547B" w:rsidTr="00AD3C7F">
        <w:trPr>
          <w:trHeight w:val="434"/>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1D24D9" w:rsidRPr="00AD3C7F" w:rsidRDefault="001D24D9" w:rsidP="00AD3C7F">
            <w:pPr>
              <w:spacing w:after="0" w:line="240" w:lineRule="auto"/>
              <w:jc w:val="center"/>
              <w:rPr>
                <w:rFonts w:ascii="Calibri" w:hAnsi="Calibri" w:cs="Calibri"/>
                <w:b/>
                <w:bCs/>
                <w:sz w:val="24"/>
                <w:szCs w:val="24"/>
              </w:rPr>
            </w:pPr>
            <w:r w:rsidRPr="00AD3C7F">
              <w:rPr>
                <w:rFonts w:ascii="Calibri" w:hAnsi="Calibri" w:cs="Calibri"/>
                <w:b/>
                <w:bCs/>
                <w:sz w:val="24"/>
                <w:szCs w:val="24"/>
              </w:rPr>
              <w:lastRenderedPageBreak/>
              <w:t>Code :</w:t>
            </w:r>
          </w:p>
        </w:tc>
        <w:tc>
          <w:tcPr>
            <w:tcW w:w="7938" w:type="dxa"/>
            <w:tcBorders>
              <w:left w:val="single" w:sz="4" w:space="0" w:color="auto"/>
              <w:bottom w:val="single" w:sz="18" w:space="0" w:color="auto"/>
              <w:right w:val="single" w:sz="18" w:space="0" w:color="auto"/>
            </w:tcBorders>
            <w:shd w:val="clear" w:color="auto" w:fill="C2D69B" w:themeFill="accent3" w:themeFillTint="99"/>
            <w:vAlign w:val="center"/>
          </w:tcPr>
          <w:p w:rsidR="001D24D9" w:rsidRPr="00ED0D29" w:rsidRDefault="001D24D9" w:rsidP="00AD3C7F">
            <w:pPr>
              <w:spacing w:after="0" w:line="240" w:lineRule="auto"/>
              <w:jc w:val="center"/>
              <w:rPr>
                <w:rFonts w:ascii="Times New Roman" w:hAnsi="Times New Roman" w:cs="Times New Roman"/>
                <w:b/>
                <w:bCs/>
                <w:color w:val="000000"/>
                <w:sz w:val="24"/>
                <w:szCs w:val="24"/>
              </w:rPr>
            </w:pPr>
            <w:r w:rsidRPr="00ED0D29">
              <w:rPr>
                <w:b/>
                <w:bCs/>
                <w:color w:val="000000"/>
                <w:sz w:val="24"/>
                <w:szCs w:val="24"/>
              </w:rPr>
              <w:t>NM EN 14351-2</w:t>
            </w:r>
          </w:p>
        </w:tc>
      </w:tr>
      <w:tr w:rsidR="001D24D9" w:rsidRPr="0043547B" w:rsidTr="00AD3C7F">
        <w:trPr>
          <w:trHeight w:val="525"/>
          <w:jc w:val="center"/>
        </w:trPr>
        <w:tc>
          <w:tcPr>
            <w:tcW w:w="1838" w:type="dxa"/>
            <w:tcBorders>
              <w:top w:val="nil"/>
              <w:left w:val="single" w:sz="18" w:space="0" w:color="auto"/>
              <w:bottom w:val="single" w:sz="18" w:space="0" w:color="auto"/>
              <w:right w:val="single" w:sz="4" w:space="0" w:color="auto"/>
            </w:tcBorders>
            <w:shd w:val="clear" w:color="auto" w:fill="FFFF99"/>
            <w:vAlign w:val="center"/>
          </w:tcPr>
          <w:p w:rsidR="001D24D9" w:rsidRPr="00AD3C7F" w:rsidRDefault="001D24D9" w:rsidP="00AD3C7F">
            <w:pPr>
              <w:spacing w:after="0" w:line="240" w:lineRule="auto"/>
              <w:jc w:val="center"/>
              <w:rPr>
                <w:rFonts w:ascii="Calibri" w:hAnsi="Calibri" w:cs="Calibri"/>
                <w:b/>
                <w:bCs/>
                <w:sz w:val="24"/>
                <w:szCs w:val="24"/>
              </w:rPr>
            </w:pPr>
            <w:r w:rsidRPr="00AD3C7F">
              <w:rPr>
                <w:rFonts w:ascii="Calibri" w:hAnsi="Calibri" w:cs="Calibri"/>
                <w:b/>
                <w:bCs/>
                <w:sz w:val="24"/>
                <w:szCs w:val="24"/>
              </w:rPr>
              <w:t>Equivalence :</w:t>
            </w:r>
          </w:p>
        </w:tc>
        <w:tc>
          <w:tcPr>
            <w:tcW w:w="7938" w:type="dxa"/>
            <w:tcBorders>
              <w:left w:val="single" w:sz="4" w:space="0" w:color="auto"/>
              <w:bottom w:val="single" w:sz="18" w:space="0" w:color="auto"/>
              <w:right w:val="single" w:sz="18" w:space="0" w:color="auto"/>
            </w:tcBorders>
            <w:shd w:val="clear" w:color="auto" w:fill="FFFF99"/>
            <w:vAlign w:val="center"/>
          </w:tcPr>
          <w:p w:rsidR="001D24D9" w:rsidRPr="00ED0D29" w:rsidRDefault="001D24D9" w:rsidP="00AD3C7F">
            <w:pPr>
              <w:spacing w:after="0" w:line="240" w:lineRule="auto"/>
              <w:jc w:val="center"/>
              <w:rPr>
                <w:rFonts w:ascii="Times New Roman" w:hAnsi="Times New Roman" w:cs="Times New Roman"/>
                <w:b/>
                <w:bCs/>
                <w:color w:val="000000"/>
                <w:sz w:val="24"/>
                <w:szCs w:val="24"/>
              </w:rPr>
            </w:pPr>
            <w:r w:rsidRPr="00ED0D29">
              <w:rPr>
                <w:b/>
                <w:bCs/>
                <w:color w:val="000000"/>
                <w:sz w:val="24"/>
                <w:szCs w:val="24"/>
              </w:rPr>
              <w:t>EN 14351-2</w:t>
            </w:r>
          </w:p>
        </w:tc>
      </w:tr>
      <w:tr w:rsidR="001D24D9" w:rsidRPr="0043547B" w:rsidTr="00AD3C7F">
        <w:trPr>
          <w:trHeight w:val="661"/>
          <w:jc w:val="center"/>
        </w:trPr>
        <w:tc>
          <w:tcPr>
            <w:tcW w:w="1838" w:type="dxa"/>
            <w:tcBorders>
              <w:top w:val="single" w:sz="18" w:space="0" w:color="auto"/>
              <w:left w:val="single" w:sz="18" w:space="0" w:color="auto"/>
              <w:bottom w:val="single" w:sz="4" w:space="0" w:color="auto"/>
              <w:right w:val="single" w:sz="4" w:space="0" w:color="auto"/>
            </w:tcBorders>
            <w:shd w:val="clear" w:color="auto" w:fill="95B3D7" w:themeFill="accent1" w:themeFillTint="99"/>
            <w:vAlign w:val="center"/>
          </w:tcPr>
          <w:p w:rsidR="001D24D9" w:rsidRPr="00AD3C7F" w:rsidRDefault="001D24D9" w:rsidP="00AD3C7F">
            <w:pPr>
              <w:spacing w:after="0" w:line="240" w:lineRule="auto"/>
              <w:jc w:val="center"/>
              <w:rPr>
                <w:rFonts w:ascii="Calibri" w:hAnsi="Calibri" w:cs="Calibri"/>
                <w:b/>
                <w:bCs/>
                <w:sz w:val="24"/>
                <w:szCs w:val="24"/>
              </w:rPr>
            </w:pPr>
            <w:r w:rsidRPr="00AD3C7F">
              <w:rPr>
                <w:rFonts w:ascii="Calibri" w:hAnsi="Calibri" w:cs="Calibr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tcPr>
          <w:p w:rsidR="001D24D9" w:rsidRPr="00AD3C7F" w:rsidRDefault="001D24D9" w:rsidP="00AD3C7F">
            <w:pPr>
              <w:spacing w:after="0" w:line="240" w:lineRule="auto"/>
              <w:rPr>
                <w:rFonts w:ascii="Times New Roman" w:hAnsi="Times New Roman" w:cs="Times New Roman"/>
                <w:color w:val="000000"/>
                <w:sz w:val="24"/>
                <w:szCs w:val="24"/>
              </w:rPr>
            </w:pPr>
            <w:r w:rsidRPr="00AD3C7F">
              <w:rPr>
                <w:color w:val="000000"/>
                <w:sz w:val="24"/>
                <w:szCs w:val="24"/>
              </w:rPr>
              <w:t xml:space="preserve">Portes et fenêtres - Norme produit, caractéristiques de performances - Partie 2 : blocs-portes intérieurs pour piétons </w:t>
            </w:r>
          </w:p>
        </w:tc>
      </w:tr>
      <w:tr w:rsidR="001D24D9" w:rsidRPr="0043547B" w:rsidTr="00AD3C7F">
        <w:trPr>
          <w:trHeight w:val="1114"/>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1D24D9" w:rsidRPr="00AD3C7F" w:rsidRDefault="001D24D9" w:rsidP="00AD3C7F">
            <w:pPr>
              <w:spacing w:after="0" w:line="240" w:lineRule="auto"/>
              <w:jc w:val="center"/>
              <w:rPr>
                <w:rFonts w:ascii="Calibri" w:hAnsi="Calibri" w:cs="Calibri"/>
                <w:b/>
                <w:bCs/>
                <w:sz w:val="24"/>
                <w:szCs w:val="24"/>
              </w:rPr>
            </w:pPr>
            <w:r w:rsidRPr="00AD3C7F">
              <w:rPr>
                <w:rFonts w:ascii="Calibri" w:hAnsi="Calibri" w:cs="Calibr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bottom"/>
          </w:tcPr>
          <w:p w:rsidR="00AD3C7F" w:rsidRDefault="001D24D9" w:rsidP="00AD3C7F">
            <w:pPr>
              <w:spacing w:after="0" w:line="240" w:lineRule="auto"/>
              <w:jc w:val="both"/>
              <w:rPr>
                <w:color w:val="000000"/>
                <w:sz w:val="24"/>
                <w:szCs w:val="24"/>
              </w:rPr>
            </w:pPr>
            <w:r w:rsidRPr="00AD3C7F">
              <w:rPr>
                <w:color w:val="000000"/>
                <w:sz w:val="24"/>
                <w:szCs w:val="24"/>
              </w:rPr>
              <w:t>La présente Norme européenne identifie des caractéristiques de performance indépendantes des</w:t>
            </w:r>
            <w:r w:rsidR="00AD3C7F">
              <w:rPr>
                <w:color w:val="000000"/>
                <w:sz w:val="24"/>
                <w:szCs w:val="24"/>
              </w:rPr>
              <w:t xml:space="preserve"> </w:t>
            </w:r>
            <w:r w:rsidRPr="00AD3C7F">
              <w:rPr>
                <w:color w:val="000000"/>
                <w:sz w:val="24"/>
                <w:szCs w:val="24"/>
              </w:rPr>
              <w:t>matériaux, à l'exception des caractéristiques de résistance au feu et de contrôle de la fumée, qui</w:t>
            </w:r>
            <w:r w:rsidR="00AD3C7F">
              <w:rPr>
                <w:color w:val="000000"/>
                <w:sz w:val="24"/>
                <w:szCs w:val="24"/>
              </w:rPr>
              <w:t xml:space="preserve"> </w:t>
            </w:r>
            <w:r w:rsidRPr="00AD3C7F">
              <w:rPr>
                <w:color w:val="000000"/>
                <w:sz w:val="24"/>
                <w:szCs w:val="24"/>
              </w:rPr>
              <w:t>s'appliquent aux blocs-portes intérieurs pour piétons.</w:t>
            </w:r>
            <w:r w:rsidRPr="00AD3C7F">
              <w:rPr>
                <w:color w:val="000000"/>
                <w:sz w:val="24"/>
                <w:szCs w:val="24"/>
              </w:rPr>
              <w:br/>
              <w:t>Les caractéristiques de résistance au feu et / ou de contrôle de la fumée pour les portes de garage et les</w:t>
            </w:r>
            <w:r w:rsidR="00AD3C7F">
              <w:rPr>
                <w:color w:val="000000"/>
                <w:sz w:val="24"/>
                <w:szCs w:val="24"/>
              </w:rPr>
              <w:t xml:space="preserve"> </w:t>
            </w:r>
            <w:r w:rsidRPr="00AD3C7F">
              <w:rPr>
                <w:color w:val="000000"/>
                <w:sz w:val="24"/>
                <w:szCs w:val="24"/>
              </w:rPr>
              <w:t>fenêtres ouvrantes sont couvertes par la norme EN 16034.</w:t>
            </w:r>
            <w:r w:rsidRPr="00AD3C7F">
              <w:rPr>
                <w:color w:val="000000"/>
                <w:sz w:val="24"/>
                <w:szCs w:val="24"/>
              </w:rPr>
              <w:br/>
              <w:t>Cette norme européenne s'applique aux blocs-portes destinés à être utilisés à l'intérieur des ouvrages de</w:t>
            </w:r>
            <w:r w:rsidR="00AD3C7F">
              <w:rPr>
                <w:color w:val="000000"/>
                <w:sz w:val="24"/>
                <w:szCs w:val="24"/>
              </w:rPr>
              <w:t xml:space="preserve"> </w:t>
            </w:r>
            <w:r w:rsidRPr="00AD3C7F">
              <w:rPr>
                <w:color w:val="000000"/>
                <w:sz w:val="24"/>
                <w:szCs w:val="24"/>
              </w:rPr>
              <w:t>construction :</w:t>
            </w:r>
          </w:p>
          <w:p w:rsidR="00AD3C7F" w:rsidRDefault="001D24D9" w:rsidP="00AD3C7F">
            <w:pPr>
              <w:spacing w:after="0" w:line="240" w:lineRule="auto"/>
              <w:jc w:val="both"/>
              <w:rPr>
                <w:color w:val="000000"/>
                <w:sz w:val="24"/>
                <w:szCs w:val="24"/>
              </w:rPr>
            </w:pPr>
            <w:r w:rsidRPr="00AD3C7F">
              <w:rPr>
                <w:color w:val="000000"/>
                <w:sz w:val="24"/>
                <w:szCs w:val="24"/>
              </w:rPr>
              <w:t>— usage prévu a) pour les issues de secours non soumis à des réglementations concernant la résistance</w:t>
            </w:r>
            <w:r w:rsidR="00AD3C7F">
              <w:rPr>
                <w:color w:val="000000"/>
                <w:sz w:val="24"/>
                <w:szCs w:val="24"/>
              </w:rPr>
              <w:t xml:space="preserve"> </w:t>
            </w:r>
            <w:r w:rsidRPr="00AD3C7F">
              <w:rPr>
                <w:color w:val="000000"/>
                <w:sz w:val="24"/>
                <w:szCs w:val="24"/>
              </w:rPr>
              <w:t>au feu et/ou le dégagement de fumée ;</w:t>
            </w:r>
          </w:p>
          <w:p w:rsidR="00AD3C7F" w:rsidRDefault="001D24D9" w:rsidP="00AD3C7F">
            <w:pPr>
              <w:spacing w:after="0" w:line="240" w:lineRule="auto"/>
              <w:jc w:val="both"/>
              <w:rPr>
                <w:color w:val="000000"/>
                <w:sz w:val="24"/>
                <w:szCs w:val="24"/>
              </w:rPr>
            </w:pPr>
            <w:r w:rsidRPr="00AD3C7F">
              <w:rPr>
                <w:color w:val="000000"/>
                <w:sz w:val="24"/>
                <w:szCs w:val="24"/>
              </w:rPr>
              <w:t>— usage prévu b) pour des usages spécifiques associés à des exigences particulières ;</w:t>
            </w:r>
          </w:p>
          <w:p w:rsidR="00AD3C7F" w:rsidRDefault="001D24D9" w:rsidP="00AD3C7F">
            <w:pPr>
              <w:spacing w:after="0" w:line="240" w:lineRule="auto"/>
              <w:jc w:val="both"/>
              <w:rPr>
                <w:color w:val="000000"/>
                <w:sz w:val="24"/>
                <w:szCs w:val="24"/>
              </w:rPr>
            </w:pPr>
            <w:r w:rsidRPr="00AD3C7F">
              <w:rPr>
                <w:color w:val="000000"/>
                <w:sz w:val="24"/>
                <w:szCs w:val="24"/>
              </w:rPr>
              <w:t>— usage prévu c) pour la communication uniquement.</w:t>
            </w:r>
          </w:p>
          <w:p w:rsidR="00AD3C7F" w:rsidRPr="00AD3C7F" w:rsidRDefault="001D24D9" w:rsidP="00AD3C7F">
            <w:pPr>
              <w:spacing w:after="0" w:line="240" w:lineRule="auto"/>
              <w:jc w:val="both"/>
              <w:rPr>
                <w:i/>
                <w:iCs/>
                <w:color w:val="000000"/>
              </w:rPr>
            </w:pPr>
            <w:r w:rsidRPr="00AD3C7F">
              <w:rPr>
                <w:b/>
                <w:bCs/>
                <w:i/>
                <w:iCs/>
                <w:color w:val="000000"/>
              </w:rPr>
              <w:t>NOTE 1</w:t>
            </w:r>
            <w:r w:rsidRPr="00AD3C7F">
              <w:rPr>
                <w:i/>
                <w:iCs/>
                <w:color w:val="000000"/>
              </w:rPr>
              <w:t xml:space="preserve"> Les usages prévus indiqués ci-dessus peuvent être combinés, par exemple issues de secours associées à</w:t>
            </w:r>
            <w:r w:rsidR="00AD3C7F" w:rsidRPr="00AD3C7F">
              <w:rPr>
                <w:i/>
                <w:iCs/>
                <w:color w:val="000000"/>
              </w:rPr>
              <w:t xml:space="preserve"> </w:t>
            </w:r>
            <w:r w:rsidRPr="00AD3C7F">
              <w:rPr>
                <w:i/>
                <w:iCs/>
                <w:color w:val="000000"/>
              </w:rPr>
              <w:t>des exigences particulières.</w:t>
            </w:r>
          </w:p>
          <w:p w:rsidR="00AD3C7F" w:rsidRDefault="001D24D9" w:rsidP="00AD3C7F">
            <w:pPr>
              <w:spacing w:after="0" w:line="240" w:lineRule="auto"/>
              <w:jc w:val="both"/>
              <w:rPr>
                <w:color w:val="000000"/>
                <w:sz w:val="24"/>
                <w:szCs w:val="24"/>
              </w:rPr>
            </w:pPr>
            <w:r w:rsidRPr="00AD3C7F">
              <w:rPr>
                <w:color w:val="000000"/>
                <w:sz w:val="24"/>
                <w:szCs w:val="24"/>
              </w:rPr>
              <w:t>Pour les blocs-portes intérieurs pour piétons avec résistance au feu et/ou aux caractéristiques de</w:t>
            </w:r>
            <w:r w:rsidR="00AD3C7F">
              <w:rPr>
                <w:color w:val="000000"/>
                <w:sz w:val="24"/>
                <w:szCs w:val="24"/>
              </w:rPr>
              <w:t xml:space="preserve"> </w:t>
            </w:r>
            <w:r w:rsidRPr="00AD3C7F">
              <w:rPr>
                <w:color w:val="000000"/>
                <w:sz w:val="24"/>
                <w:szCs w:val="24"/>
              </w:rPr>
              <w:t>contrôle de fumée, cette norme ne doit s'appliquer qu'avec EN 16034.</w:t>
            </w:r>
          </w:p>
          <w:p w:rsidR="00AD3C7F" w:rsidRDefault="001D24D9" w:rsidP="00AD3C7F">
            <w:pPr>
              <w:spacing w:after="0" w:line="240" w:lineRule="auto"/>
              <w:jc w:val="both"/>
              <w:rPr>
                <w:color w:val="000000"/>
                <w:sz w:val="24"/>
                <w:szCs w:val="24"/>
              </w:rPr>
            </w:pPr>
            <w:r w:rsidRPr="00AD3C7F">
              <w:rPr>
                <w:color w:val="000000"/>
                <w:sz w:val="24"/>
                <w:szCs w:val="24"/>
              </w:rPr>
              <w:t>Les produits couverts par la présente Norme européenne sont des blocs-portes battants intérieurs</w:t>
            </w:r>
            <w:r w:rsidR="00AD3C7F">
              <w:rPr>
                <w:color w:val="000000"/>
                <w:sz w:val="24"/>
                <w:szCs w:val="24"/>
              </w:rPr>
              <w:t xml:space="preserve"> </w:t>
            </w:r>
            <w:r w:rsidRPr="00AD3C7F">
              <w:rPr>
                <w:color w:val="000000"/>
                <w:sz w:val="24"/>
                <w:szCs w:val="24"/>
              </w:rPr>
              <w:t>manuels ou motorisés pour piétons et ensembles composés avec vantaux plans ou menuisés, à un ou deux</w:t>
            </w:r>
            <w:r w:rsidR="00AD3C7F">
              <w:rPr>
                <w:color w:val="000000"/>
                <w:sz w:val="24"/>
                <w:szCs w:val="24"/>
              </w:rPr>
              <w:t xml:space="preserve"> </w:t>
            </w:r>
            <w:r w:rsidRPr="00AD3C7F">
              <w:rPr>
                <w:color w:val="000000"/>
                <w:sz w:val="24"/>
                <w:szCs w:val="24"/>
              </w:rPr>
              <w:t>vantaux, pouvant être complétés:</w:t>
            </w:r>
            <w:r w:rsidRPr="00AD3C7F">
              <w:rPr>
                <w:color w:val="000000"/>
                <w:sz w:val="24"/>
                <w:szCs w:val="24"/>
              </w:rPr>
              <w:br/>
              <w:t>— de la quincaillerie associée ;</w:t>
            </w:r>
          </w:p>
          <w:p w:rsidR="00AD3C7F" w:rsidRDefault="001D24D9" w:rsidP="00AD3C7F">
            <w:pPr>
              <w:spacing w:after="0" w:line="240" w:lineRule="auto"/>
              <w:jc w:val="both"/>
              <w:rPr>
                <w:color w:val="000000"/>
                <w:sz w:val="24"/>
                <w:szCs w:val="24"/>
              </w:rPr>
            </w:pPr>
            <w:r w:rsidRPr="00AD3C7F">
              <w:rPr>
                <w:color w:val="000000"/>
                <w:sz w:val="24"/>
                <w:szCs w:val="24"/>
              </w:rPr>
              <w:t>— de dispositifs de fermeture de porte ;</w:t>
            </w:r>
          </w:p>
          <w:p w:rsidR="00AD3C7F" w:rsidRDefault="001D24D9" w:rsidP="00AD3C7F">
            <w:pPr>
              <w:spacing w:after="0" w:line="240" w:lineRule="auto"/>
              <w:jc w:val="both"/>
              <w:rPr>
                <w:color w:val="000000"/>
                <w:sz w:val="24"/>
                <w:szCs w:val="24"/>
              </w:rPr>
            </w:pPr>
            <w:r w:rsidRPr="00AD3C7F">
              <w:rPr>
                <w:color w:val="000000"/>
                <w:sz w:val="24"/>
                <w:szCs w:val="24"/>
              </w:rPr>
              <w:t>— d'impostes ;</w:t>
            </w:r>
          </w:p>
          <w:p w:rsidR="00AD3C7F" w:rsidRDefault="001D24D9" w:rsidP="00AD3C7F">
            <w:pPr>
              <w:spacing w:after="0" w:line="240" w:lineRule="auto"/>
              <w:jc w:val="both"/>
              <w:rPr>
                <w:color w:val="000000"/>
                <w:sz w:val="24"/>
                <w:szCs w:val="24"/>
              </w:rPr>
            </w:pPr>
            <w:r w:rsidRPr="00AD3C7F">
              <w:rPr>
                <w:color w:val="000000"/>
                <w:sz w:val="24"/>
                <w:szCs w:val="24"/>
              </w:rPr>
              <w:t>— de parties adjacentes qui sont intégrées dans un châssis individuel afin d'être installées dans une</w:t>
            </w:r>
            <w:r w:rsidR="00AD3C7F">
              <w:rPr>
                <w:color w:val="000000"/>
                <w:sz w:val="24"/>
                <w:szCs w:val="24"/>
              </w:rPr>
              <w:t xml:space="preserve"> </w:t>
            </w:r>
            <w:r w:rsidRPr="00AD3C7F">
              <w:rPr>
                <w:color w:val="000000"/>
                <w:sz w:val="24"/>
                <w:szCs w:val="24"/>
              </w:rPr>
              <w:t>seule ouverture.</w:t>
            </w:r>
          </w:p>
          <w:p w:rsidR="00AD3C7F" w:rsidRPr="00AD3C7F" w:rsidRDefault="001D24D9" w:rsidP="00AD3C7F">
            <w:pPr>
              <w:spacing w:after="0" w:line="240" w:lineRule="auto"/>
              <w:jc w:val="both"/>
              <w:rPr>
                <w:i/>
                <w:iCs/>
                <w:color w:val="000000"/>
              </w:rPr>
            </w:pPr>
            <w:r w:rsidRPr="00AD3C7F">
              <w:rPr>
                <w:b/>
                <w:bCs/>
                <w:i/>
                <w:iCs/>
                <w:color w:val="000000"/>
              </w:rPr>
              <w:t>NOTE 2</w:t>
            </w:r>
            <w:r w:rsidRPr="00AD3C7F">
              <w:rPr>
                <w:i/>
                <w:iCs/>
                <w:color w:val="000000"/>
              </w:rPr>
              <w:t xml:space="preserve"> Les portes manuelles avec dispositifs de fermeture de porte ne sont pas des portes motorisées.</w:t>
            </w:r>
          </w:p>
          <w:p w:rsidR="00AD3C7F" w:rsidRDefault="001D24D9" w:rsidP="00AD3C7F">
            <w:pPr>
              <w:spacing w:after="0" w:line="240" w:lineRule="auto"/>
              <w:jc w:val="both"/>
              <w:rPr>
                <w:color w:val="000000"/>
                <w:sz w:val="24"/>
                <w:szCs w:val="24"/>
              </w:rPr>
            </w:pPr>
            <w:r w:rsidRPr="00AD3C7F">
              <w:rPr>
                <w:color w:val="000000"/>
                <w:sz w:val="24"/>
                <w:szCs w:val="24"/>
              </w:rPr>
              <w:t>Les produits couverts par la présente Norme européenne ne sont pas destinés à des applications</w:t>
            </w:r>
            <w:r w:rsidR="00AD3C7F">
              <w:rPr>
                <w:color w:val="000000"/>
                <w:sz w:val="24"/>
                <w:szCs w:val="24"/>
              </w:rPr>
              <w:t xml:space="preserve"> </w:t>
            </w:r>
            <w:r w:rsidRPr="00AD3C7F">
              <w:rPr>
                <w:color w:val="000000"/>
                <w:sz w:val="24"/>
                <w:szCs w:val="24"/>
              </w:rPr>
              <w:t>structurelles.</w:t>
            </w:r>
          </w:p>
          <w:p w:rsidR="00AD3C7F" w:rsidRDefault="001D24D9" w:rsidP="00AD3C7F">
            <w:pPr>
              <w:spacing w:after="0" w:line="240" w:lineRule="auto"/>
              <w:jc w:val="both"/>
              <w:rPr>
                <w:color w:val="000000"/>
                <w:sz w:val="24"/>
                <w:szCs w:val="24"/>
              </w:rPr>
            </w:pPr>
            <w:r w:rsidRPr="00AD3C7F">
              <w:rPr>
                <w:color w:val="000000"/>
                <w:sz w:val="24"/>
                <w:szCs w:val="24"/>
              </w:rPr>
              <w:t>La présente Norme ne s’applique pas aux :</w:t>
            </w:r>
          </w:p>
          <w:p w:rsidR="00AD3C7F" w:rsidRDefault="001D24D9" w:rsidP="00AD3C7F">
            <w:pPr>
              <w:spacing w:after="0" w:line="240" w:lineRule="auto"/>
              <w:jc w:val="both"/>
              <w:rPr>
                <w:color w:val="000000"/>
                <w:sz w:val="24"/>
                <w:szCs w:val="24"/>
              </w:rPr>
            </w:pPr>
            <w:r w:rsidRPr="00AD3C7F">
              <w:rPr>
                <w:color w:val="000000"/>
                <w:sz w:val="24"/>
                <w:szCs w:val="24"/>
              </w:rPr>
              <w:t>— portes industrielles, commerciales et de garages qui relèvent de l’EN 13241 ;</w:t>
            </w:r>
          </w:p>
          <w:p w:rsidR="00AD3C7F" w:rsidRDefault="001D24D9" w:rsidP="00AD3C7F">
            <w:pPr>
              <w:spacing w:after="0" w:line="240" w:lineRule="auto"/>
              <w:jc w:val="both"/>
              <w:rPr>
                <w:color w:val="000000"/>
                <w:sz w:val="24"/>
                <w:szCs w:val="24"/>
              </w:rPr>
            </w:pPr>
            <w:r w:rsidRPr="00AD3C7F">
              <w:rPr>
                <w:color w:val="000000"/>
                <w:sz w:val="24"/>
                <w:szCs w:val="24"/>
              </w:rPr>
              <w:t>— blocs-portes extérieurs pour piétons qui relèvent de l'EN 14351-1 ;</w:t>
            </w:r>
          </w:p>
          <w:p w:rsidR="00AD3C7F" w:rsidRDefault="001D24D9" w:rsidP="00AD3C7F">
            <w:pPr>
              <w:spacing w:after="0" w:line="240" w:lineRule="auto"/>
              <w:jc w:val="both"/>
              <w:rPr>
                <w:color w:val="000000"/>
                <w:sz w:val="24"/>
                <w:szCs w:val="24"/>
              </w:rPr>
            </w:pPr>
            <w:r w:rsidRPr="00AD3C7F">
              <w:rPr>
                <w:color w:val="000000"/>
                <w:sz w:val="24"/>
                <w:szCs w:val="24"/>
              </w:rPr>
              <w:t>— vantaux de portes commercialisés à l’unité ;</w:t>
            </w:r>
          </w:p>
          <w:p w:rsidR="00AD3C7F" w:rsidRDefault="001D24D9" w:rsidP="00AD3C7F">
            <w:pPr>
              <w:spacing w:after="0" w:line="240" w:lineRule="auto"/>
              <w:jc w:val="both"/>
              <w:rPr>
                <w:color w:val="000000"/>
                <w:sz w:val="24"/>
                <w:szCs w:val="24"/>
              </w:rPr>
            </w:pPr>
            <w:r w:rsidRPr="00AD3C7F">
              <w:rPr>
                <w:color w:val="000000"/>
                <w:sz w:val="24"/>
                <w:szCs w:val="24"/>
              </w:rPr>
              <w:t>— dormants commercialisés à l’unité ;</w:t>
            </w:r>
          </w:p>
          <w:p w:rsidR="00AD3C7F" w:rsidRDefault="001D24D9" w:rsidP="00AD3C7F">
            <w:pPr>
              <w:spacing w:after="0" w:line="240" w:lineRule="auto"/>
              <w:jc w:val="both"/>
              <w:rPr>
                <w:color w:val="000000"/>
                <w:sz w:val="24"/>
                <w:szCs w:val="24"/>
              </w:rPr>
            </w:pPr>
            <w:r w:rsidRPr="00AD3C7F">
              <w:rPr>
                <w:color w:val="000000"/>
                <w:sz w:val="24"/>
                <w:szCs w:val="24"/>
              </w:rPr>
              <w:t xml:space="preserve">— blocs-portes motorisés pour piétons, autre que le type battant, qui relèvent de l'EN 16361.                                                                                </w:t>
            </w:r>
          </w:p>
          <w:p w:rsidR="001D24D9" w:rsidRPr="00AD3C7F" w:rsidRDefault="001D24D9" w:rsidP="00AD3C7F">
            <w:pPr>
              <w:spacing w:after="0" w:line="240" w:lineRule="auto"/>
              <w:jc w:val="both"/>
              <w:rPr>
                <w:rFonts w:ascii="Times New Roman" w:hAnsi="Times New Roman" w:cs="Times New Roman"/>
                <w:color w:val="000000"/>
                <w:sz w:val="24"/>
                <w:szCs w:val="24"/>
              </w:rPr>
            </w:pPr>
            <w:r w:rsidRPr="00AD3C7F">
              <w:rPr>
                <w:color w:val="000000"/>
                <w:sz w:val="24"/>
                <w:szCs w:val="24"/>
              </w:rPr>
              <w:t>Des ensembles de portes peuvent être mis sur le marché avec leur composant (ouvrant et dormant)</w:t>
            </w:r>
            <w:r w:rsidR="00AD3C7F">
              <w:rPr>
                <w:color w:val="000000"/>
                <w:sz w:val="24"/>
                <w:szCs w:val="24"/>
              </w:rPr>
              <w:t xml:space="preserve"> </w:t>
            </w:r>
            <w:r w:rsidRPr="00AD3C7F">
              <w:rPr>
                <w:color w:val="000000"/>
                <w:sz w:val="24"/>
                <w:szCs w:val="24"/>
              </w:rPr>
              <w:t>séparés lorsque chacun de ces composants sont clairement identifiés.</w:t>
            </w:r>
            <w:r w:rsidRPr="00AD3C7F">
              <w:rPr>
                <w:color w:val="000000"/>
                <w:sz w:val="24"/>
                <w:szCs w:val="24"/>
              </w:rPr>
              <w:br/>
              <w:t>La présente Norme européenne ne traite pas d'exigences particulières concernant le bruit émis par les</w:t>
            </w:r>
            <w:r w:rsidR="00AD3C7F">
              <w:rPr>
                <w:color w:val="000000"/>
                <w:sz w:val="24"/>
                <w:szCs w:val="24"/>
              </w:rPr>
              <w:t xml:space="preserve"> </w:t>
            </w:r>
            <w:r w:rsidRPr="00AD3C7F">
              <w:rPr>
                <w:color w:val="000000"/>
                <w:sz w:val="24"/>
                <w:szCs w:val="24"/>
              </w:rPr>
              <w:t>portes battantes intérieures motorisées car l'émission sonore n'est pas considérée comme un danger</w:t>
            </w:r>
            <w:r w:rsidR="00AD3C7F">
              <w:rPr>
                <w:color w:val="000000"/>
                <w:sz w:val="24"/>
                <w:szCs w:val="24"/>
              </w:rPr>
              <w:t xml:space="preserve"> </w:t>
            </w:r>
            <w:r w:rsidRPr="00AD3C7F">
              <w:rPr>
                <w:color w:val="000000"/>
                <w:sz w:val="24"/>
                <w:szCs w:val="24"/>
              </w:rPr>
              <w:t>pertinent.</w:t>
            </w:r>
          </w:p>
        </w:tc>
      </w:tr>
      <w:tr w:rsidR="001D24D9" w:rsidRPr="0043547B" w:rsidTr="00AD3C7F">
        <w:trPr>
          <w:trHeight w:val="478"/>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1D24D9" w:rsidRPr="00AD3C7F" w:rsidRDefault="001D24D9" w:rsidP="00AD3C7F">
            <w:pPr>
              <w:spacing w:after="0" w:line="240" w:lineRule="auto"/>
              <w:jc w:val="center"/>
              <w:rPr>
                <w:rFonts w:ascii="Calibri" w:hAnsi="Calibri" w:cs="Calibri"/>
                <w:b/>
                <w:bCs/>
                <w:sz w:val="24"/>
                <w:szCs w:val="24"/>
              </w:rPr>
            </w:pPr>
            <w:r w:rsidRPr="00AD3C7F">
              <w:rPr>
                <w:rFonts w:ascii="Calibri" w:hAnsi="Calibri" w:cs="Calibri"/>
                <w:b/>
                <w:bCs/>
                <w:sz w:val="24"/>
                <w:szCs w:val="24"/>
              </w:rPr>
              <w:lastRenderedPageBreak/>
              <w:t>Code :</w:t>
            </w:r>
          </w:p>
        </w:tc>
        <w:tc>
          <w:tcPr>
            <w:tcW w:w="7938" w:type="dxa"/>
            <w:tcBorders>
              <w:left w:val="single" w:sz="4" w:space="0" w:color="auto"/>
              <w:bottom w:val="single" w:sz="18" w:space="0" w:color="auto"/>
              <w:right w:val="single" w:sz="18" w:space="0" w:color="auto"/>
            </w:tcBorders>
            <w:shd w:val="clear" w:color="auto" w:fill="C2D69B" w:themeFill="accent3" w:themeFillTint="99"/>
            <w:vAlign w:val="center"/>
          </w:tcPr>
          <w:p w:rsidR="001D24D9" w:rsidRPr="00AD3C7F" w:rsidRDefault="001D24D9" w:rsidP="00AD3C7F">
            <w:pPr>
              <w:spacing w:after="0" w:line="240" w:lineRule="auto"/>
              <w:jc w:val="center"/>
              <w:rPr>
                <w:rFonts w:ascii="Times New Roman" w:hAnsi="Times New Roman" w:cs="Times New Roman"/>
                <w:b/>
                <w:bCs/>
                <w:color w:val="000000"/>
                <w:sz w:val="24"/>
                <w:szCs w:val="24"/>
              </w:rPr>
            </w:pPr>
            <w:r w:rsidRPr="00AD3C7F">
              <w:rPr>
                <w:b/>
                <w:bCs/>
                <w:color w:val="000000"/>
                <w:sz w:val="24"/>
                <w:szCs w:val="24"/>
              </w:rPr>
              <w:t>NM EN 13830</w:t>
            </w:r>
          </w:p>
        </w:tc>
      </w:tr>
      <w:tr w:rsidR="001D24D9" w:rsidRPr="0043547B" w:rsidTr="00AD3C7F">
        <w:trPr>
          <w:trHeight w:val="529"/>
          <w:jc w:val="center"/>
        </w:trPr>
        <w:tc>
          <w:tcPr>
            <w:tcW w:w="1838" w:type="dxa"/>
            <w:tcBorders>
              <w:top w:val="nil"/>
              <w:left w:val="single" w:sz="18" w:space="0" w:color="auto"/>
              <w:bottom w:val="single" w:sz="18" w:space="0" w:color="auto"/>
              <w:right w:val="single" w:sz="4" w:space="0" w:color="auto"/>
            </w:tcBorders>
            <w:shd w:val="clear" w:color="auto" w:fill="FFFF99"/>
            <w:vAlign w:val="center"/>
          </w:tcPr>
          <w:p w:rsidR="001D24D9" w:rsidRPr="00AD3C7F" w:rsidRDefault="001D24D9" w:rsidP="00AD3C7F">
            <w:pPr>
              <w:spacing w:after="0" w:line="240" w:lineRule="auto"/>
              <w:jc w:val="center"/>
              <w:rPr>
                <w:rFonts w:ascii="Calibri" w:hAnsi="Calibri" w:cs="Calibri"/>
                <w:b/>
                <w:bCs/>
                <w:sz w:val="24"/>
                <w:szCs w:val="24"/>
              </w:rPr>
            </w:pPr>
            <w:r w:rsidRPr="00AD3C7F">
              <w:rPr>
                <w:rFonts w:ascii="Calibri" w:hAnsi="Calibri" w:cs="Calibri"/>
                <w:b/>
                <w:bCs/>
                <w:sz w:val="24"/>
                <w:szCs w:val="24"/>
              </w:rPr>
              <w:t>Equivalence :</w:t>
            </w:r>
          </w:p>
        </w:tc>
        <w:tc>
          <w:tcPr>
            <w:tcW w:w="7938" w:type="dxa"/>
            <w:tcBorders>
              <w:left w:val="single" w:sz="4" w:space="0" w:color="auto"/>
              <w:bottom w:val="single" w:sz="18" w:space="0" w:color="auto"/>
              <w:right w:val="single" w:sz="18" w:space="0" w:color="auto"/>
            </w:tcBorders>
            <w:shd w:val="clear" w:color="auto" w:fill="FFFF99"/>
            <w:vAlign w:val="center"/>
          </w:tcPr>
          <w:p w:rsidR="001D24D9" w:rsidRPr="00AD3C7F" w:rsidRDefault="001D24D9" w:rsidP="00AD3C7F">
            <w:pPr>
              <w:spacing w:after="0" w:line="240" w:lineRule="auto"/>
              <w:jc w:val="center"/>
              <w:rPr>
                <w:rFonts w:ascii="Times New Roman" w:hAnsi="Times New Roman" w:cs="Times New Roman"/>
                <w:b/>
                <w:bCs/>
                <w:color w:val="000000"/>
                <w:sz w:val="24"/>
                <w:szCs w:val="24"/>
              </w:rPr>
            </w:pPr>
            <w:r w:rsidRPr="00AD3C7F">
              <w:rPr>
                <w:b/>
                <w:bCs/>
                <w:color w:val="000000"/>
                <w:sz w:val="24"/>
                <w:szCs w:val="24"/>
              </w:rPr>
              <w:t>EN 13830</w:t>
            </w:r>
          </w:p>
        </w:tc>
      </w:tr>
      <w:tr w:rsidR="001D24D9" w:rsidRPr="0043547B" w:rsidTr="00AD3C7F">
        <w:trPr>
          <w:trHeight w:val="523"/>
          <w:jc w:val="center"/>
        </w:trPr>
        <w:tc>
          <w:tcPr>
            <w:tcW w:w="1838" w:type="dxa"/>
            <w:tcBorders>
              <w:top w:val="single" w:sz="18" w:space="0" w:color="auto"/>
              <w:left w:val="single" w:sz="18" w:space="0" w:color="auto"/>
              <w:bottom w:val="single" w:sz="4" w:space="0" w:color="auto"/>
              <w:right w:val="single" w:sz="4" w:space="0" w:color="auto"/>
            </w:tcBorders>
            <w:shd w:val="clear" w:color="auto" w:fill="95B3D7" w:themeFill="accent1" w:themeFillTint="99"/>
            <w:vAlign w:val="center"/>
          </w:tcPr>
          <w:p w:rsidR="001D24D9" w:rsidRPr="00AD3C7F" w:rsidRDefault="001D24D9" w:rsidP="00AD3C7F">
            <w:pPr>
              <w:spacing w:after="0" w:line="240" w:lineRule="auto"/>
              <w:jc w:val="center"/>
              <w:rPr>
                <w:rFonts w:ascii="Calibri" w:hAnsi="Calibri" w:cs="Calibri"/>
                <w:b/>
                <w:bCs/>
                <w:sz w:val="24"/>
                <w:szCs w:val="24"/>
              </w:rPr>
            </w:pPr>
            <w:r w:rsidRPr="00AD3C7F">
              <w:rPr>
                <w:rFonts w:ascii="Calibri" w:hAnsi="Calibri" w:cs="Calibr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tcPr>
          <w:p w:rsidR="001D24D9" w:rsidRPr="00AD3C7F" w:rsidRDefault="001D24D9" w:rsidP="00AD3C7F">
            <w:pPr>
              <w:spacing w:after="0" w:line="240" w:lineRule="auto"/>
              <w:rPr>
                <w:rFonts w:ascii="Calibri" w:hAnsi="Calibri" w:cs="Calibri"/>
                <w:color w:val="000000"/>
                <w:sz w:val="24"/>
                <w:szCs w:val="24"/>
              </w:rPr>
            </w:pPr>
            <w:r w:rsidRPr="00AD3C7F">
              <w:rPr>
                <w:rFonts w:ascii="Calibri" w:hAnsi="Calibri" w:cs="Calibri"/>
                <w:color w:val="000000"/>
                <w:sz w:val="24"/>
                <w:szCs w:val="24"/>
              </w:rPr>
              <w:t xml:space="preserve">Façades rideaux - Norme de produit </w:t>
            </w:r>
          </w:p>
        </w:tc>
      </w:tr>
      <w:tr w:rsidR="001D24D9" w:rsidRPr="0043547B" w:rsidTr="00AD3C7F">
        <w:trPr>
          <w:trHeight w:val="1114"/>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1D24D9" w:rsidRPr="00AD3C7F" w:rsidRDefault="001D24D9" w:rsidP="00AD3C7F">
            <w:pPr>
              <w:spacing w:after="0" w:line="240" w:lineRule="auto"/>
              <w:jc w:val="center"/>
              <w:rPr>
                <w:rFonts w:ascii="Calibri" w:hAnsi="Calibri" w:cs="Calibri"/>
                <w:b/>
                <w:bCs/>
                <w:sz w:val="24"/>
                <w:szCs w:val="24"/>
              </w:rPr>
            </w:pPr>
            <w:r w:rsidRPr="00AD3C7F">
              <w:rPr>
                <w:rFonts w:ascii="Calibri" w:hAnsi="Calibri" w:cs="Calibr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bottom"/>
          </w:tcPr>
          <w:p w:rsidR="00AD3C7F" w:rsidRDefault="001D24D9" w:rsidP="00AD3C7F">
            <w:pPr>
              <w:spacing w:after="0" w:line="240" w:lineRule="auto"/>
              <w:jc w:val="both"/>
              <w:rPr>
                <w:color w:val="000000"/>
                <w:sz w:val="24"/>
                <w:szCs w:val="24"/>
              </w:rPr>
            </w:pPr>
            <w:r w:rsidRPr="00AD3C7F">
              <w:rPr>
                <w:color w:val="000000"/>
                <w:sz w:val="24"/>
                <w:szCs w:val="24"/>
              </w:rPr>
              <w:t>La présente norme européenne spécifie les exigences applicables au kit de façades-rideaux destiné</w:t>
            </w:r>
            <w:r w:rsidR="00AD3C7F">
              <w:rPr>
                <w:color w:val="000000"/>
                <w:sz w:val="24"/>
                <w:szCs w:val="24"/>
              </w:rPr>
              <w:t xml:space="preserve"> </w:t>
            </w:r>
            <w:r w:rsidRPr="00AD3C7F">
              <w:rPr>
                <w:color w:val="000000"/>
                <w:sz w:val="24"/>
                <w:szCs w:val="24"/>
              </w:rPr>
              <w:t>à être utilisé comme une enveloppe du bâtiment afin de fournir une résistance aux sollicitations</w:t>
            </w:r>
            <w:r w:rsidR="00AD3C7F">
              <w:rPr>
                <w:color w:val="000000"/>
                <w:sz w:val="24"/>
                <w:szCs w:val="24"/>
              </w:rPr>
              <w:t xml:space="preserve"> </w:t>
            </w:r>
            <w:r w:rsidRPr="00AD3C7F">
              <w:rPr>
                <w:color w:val="000000"/>
                <w:sz w:val="24"/>
                <w:szCs w:val="24"/>
              </w:rPr>
              <w:t>climatiques, une sécurité d'utilisation, de l'économie d'énergie et d’isolation thermique et fournit</w:t>
            </w:r>
            <w:r w:rsidR="00AD3C7F">
              <w:rPr>
                <w:color w:val="000000"/>
                <w:sz w:val="24"/>
                <w:szCs w:val="24"/>
              </w:rPr>
              <w:t xml:space="preserve"> </w:t>
            </w:r>
            <w:r w:rsidRPr="00AD3C7F">
              <w:rPr>
                <w:color w:val="000000"/>
                <w:sz w:val="24"/>
                <w:szCs w:val="24"/>
              </w:rPr>
              <w:t>également des méthodes d’essai/d’évaluation/de calcul et des critères de conformité des</w:t>
            </w:r>
            <w:r w:rsidRPr="00AD3C7F">
              <w:rPr>
                <w:color w:val="000000"/>
                <w:sz w:val="24"/>
                <w:szCs w:val="24"/>
              </w:rPr>
              <w:br/>
              <w:t>performances associées.</w:t>
            </w:r>
          </w:p>
          <w:p w:rsidR="00AD3C7F" w:rsidRDefault="001D24D9" w:rsidP="00AD3C7F">
            <w:pPr>
              <w:spacing w:after="0" w:line="240" w:lineRule="auto"/>
              <w:jc w:val="both"/>
              <w:rPr>
                <w:color w:val="000000"/>
                <w:sz w:val="24"/>
                <w:szCs w:val="24"/>
              </w:rPr>
            </w:pPr>
            <w:r w:rsidRPr="00AD3C7F">
              <w:rPr>
                <w:color w:val="000000"/>
                <w:sz w:val="24"/>
                <w:szCs w:val="24"/>
              </w:rPr>
              <w:t>Le kit de façade rideau couvert par la présente norme doit contribuer à sa propre intégrité et stabilité, mais</w:t>
            </w:r>
            <w:r w:rsidR="00AD3C7F">
              <w:rPr>
                <w:color w:val="000000"/>
                <w:sz w:val="24"/>
                <w:szCs w:val="24"/>
              </w:rPr>
              <w:t xml:space="preserve"> </w:t>
            </w:r>
            <w:r w:rsidRPr="00AD3C7F">
              <w:rPr>
                <w:color w:val="000000"/>
                <w:sz w:val="24"/>
                <w:szCs w:val="24"/>
              </w:rPr>
              <w:t>sans contribuer à la résistance ou à la stabilité de la structure du bâtiment et pourrait être remplacé de</w:t>
            </w:r>
            <w:r w:rsidR="00AD3C7F">
              <w:rPr>
                <w:color w:val="000000"/>
                <w:sz w:val="24"/>
                <w:szCs w:val="24"/>
              </w:rPr>
              <w:t xml:space="preserve"> </w:t>
            </w:r>
            <w:r w:rsidRPr="00AD3C7F">
              <w:rPr>
                <w:color w:val="000000"/>
                <w:sz w:val="24"/>
                <w:szCs w:val="24"/>
              </w:rPr>
              <w:t>manière indépendante.</w:t>
            </w:r>
            <w:r w:rsidRPr="00AD3C7F">
              <w:rPr>
                <w:color w:val="000000"/>
                <w:sz w:val="24"/>
                <w:szCs w:val="24"/>
              </w:rPr>
              <w:br/>
              <w:t>La présente norme s’applique au kit de façade rideau variant de la position verticale à une position inclinée de</w:t>
            </w:r>
            <w:r w:rsidR="00AD3C7F">
              <w:rPr>
                <w:color w:val="000000"/>
                <w:sz w:val="24"/>
                <w:szCs w:val="24"/>
              </w:rPr>
              <w:t xml:space="preserve"> </w:t>
            </w:r>
            <w:r w:rsidRPr="00AD3C7F">
              <w:rPr>
                <w:color w:val="000000"/>
                <w:sz w:val="24"/>
                <w:szCs w:val="24"/>
              </w:rPr>
              <w:t>± 15° par rapport à la verticale. Il convient que toutes pièces inclinées soient contenues dans le kit de façade</w:t>
            </w:r>
            <w:r w:rsidRPr="00AD3C7F">
              <w:rPr>
                <w:color w:val="000000"/>
                <w:sz w:val="24"/>
                <w:szCs w:val="24"/>
              </w:rPr>
              <w:br/>
              <w:t>rideau.</w:t>
            </w:r>
            <w:r w:rsidRPr="00AD3C7F">
              <w:rPr>
                <w:color w:val="000000"/>
                <w:sz w:val="24"/>
                <w:szCs w:val="24"/>
              </w:rPr>
              <w:br/>
              <w:t>La présente norme s'applique à l'intégralité des kits de façades rideaux, y compris les points d'attache.</w:t>
            </w:r>
          </w:p>
          <w:p w:rsidR="00AD3C7F" w:rsidRDefault="001D24D9" w:rsidP="00AD3C7F">
            <w:pPr>
              <w:spacing w:after="0" w:line="240" w:lineRule="auto"/>
              <w:jc w:val="both"/>
              <w:rPr>
                <w:color w:val="000000"/>
                <w:sz w:val="24"/>
                <w:szCs w:val="24"/>
              </w:rPr>
            </w:pPr>
            <w:r w:rsidRPr="00AD3C7F">
              <w:rPr>
                <w:color w:val="000000"/>
                <w:sz w:val="24"/>
                <w:szCs w:val="24"/>
              </w:rPr>
              <w:t>Conformément à la présente norme, une façade rideau est conçue pour être utilisée comme une partie de</w:t>
            </w:r>
            <w:r w:rsidR="00AD3C7F">
              <w:rPr>
                <w:color w:val="000000"/>
                <w:sz w:val="24"/>
                <w:szCs w:val="24"/>
              </w:rPr>
              <w:t xml:space="preserve"> </w:t>
            </w:r>
            <w:r w:rsidRPr="00AD3C7F">
              <w:rPr>
                <w:color w:val="000000"/>
                <w:sz w:val="24"/>
                <w:szCs w:val="24"/>
              </w:rPr>
              <w:t>l’enveloppe du bâtiment.</w:t>
            </w:r>
          </w:p>
          <w:p w:rsidR="00AD3C7F" w:rsidRDefault="001D24D9" w:rsidP="00AD3C7F">
            <w:pPr>
              <w:spacing w:after="0" w:line="240" w:lineRule="auto"/>
              <w:jc w:val="both"/>
              <w:rPr>
                <w:color w:val="000000"/>
                <w:sz w:val="24"/>
                <w:szCs w:val="24"/>
              </w:rPr>
            </w:pPr>
            <w:r w:rsidRPr="00AD3C7F">
              <w:rPr>
                <w:color w:val="000000"/>
                <w:sz w:val="24"/>
                <w:szCs w:val="24"/>
              </w:rPr>
              <w:t>La présente Norme n’inclut pas :</w:t>
            </w:r>
          </w:p>
          <w:p w:rsidR="00AD3C7F" w:rsidRDefault="00AD3C7F" w:rsidP="00AD3C7F">
            <w:pPr>
              <w:spacing w:after="0" w:line="240" w:lineRule="auto"/>
              <w:jc w:val="both"/>
              <w:rPr>
                <w:color w:val="000000"/>
                <w:sz w:val="24"/>
                <w:szCs w:val="24"/>
              </w:rPr>
            </w:pPr>
            <w:r>
              <w:rPr>
                <w:color w:val="000000"/>
                <w:sz w:val="24"/>
                <w:szCs w:val="24"/>
              </w:rPr>
              <w:t>-</w:t>
            </w:r>
            <w:r w:rsidR="001D24D9" w:rsidRPr="00AD3C7F">
              <w:rPr>
                <w:color w:val="000000"/>
                <w:sz w:val="24"/>
                <w:szCs w:val="24"/>
              </w:rPr>
              <w:t xml:space="preserve"> des kits de systèmes de vitrages auto-drainant à joint secs (toits inclinés vitrés);</w:t>
            </w:r>
            <w:r w:rsidR="001D24D9" w:rsidRPr="00AD3C7F">
              <w:rPr>
                <w:color w:val="000000"/>
                <w:sz w:val="24"/>
                <w:szCs w:val="24"/>
              </w:rPr>
              <w:br/>
            </w:r>
            <w:r>
              <w:rPr>
                <w:color w:val="000000"/>
                <w:sz w:val="24"/>
                <w:szCs w:val="24"/>
              </w:rPr>
              <w:t>-</w:t>
            </w:r>
            <w:r w:rsidR="001D24D9" w:rsidRPr="00AD3C7F">
              <w:rPr>
                <w:color w:val="000000"/>
                <w:sz w:val="24"/>
                <w:szCs w:val="24"/>
              </w:rPr>
              <w:t xml:space="preserve"> des verrières ;</w:t>
            </w:r>
          </w:p>
          <w:p w:rsidR="00AD3C7F" w:rsidRDefault="00AD3C7F" w:rsidP="00AD3C7F">
            <w:pPr>
              <w:spacing w:after="0" w:line="240" w:lineRule="auto"/>
              <w:jc w:val="both"/>
              <w:rPr>
                <w:color w:val="000000"/>
                <w:sz w:val="24"/>
                <w:szCs w:val="24"/>
              </w:rPr>
            </w:pPr>
            <w:r>
              <w:rPr>
                <w:color w:val="000000"/>
                <w:sz w:val="24"/>
                <w:szCs w:val="24"/>
              </w:rPr>
              <w:t>-</w:t>
            </w:r>
            <w:r w:rsidR="001D24D9" w:rsidRPr="00AD3C7F">
              <w:rPr>
                <w:color w:val="000000"/>
                <w:sz w:val="24"/>
                <w:szCs w:val="24"/>
              </w:rPr>
              <w:t xml:space="preserve"> façades constituées de panneaux en béton préfabriqués faisant partie du mur (voir l'EN 14992).</w:t>
            </w:r>
          </w:p>
          <w:p w:rsidR="00AD3C7F" w:rsidRPr="00BE5D0C" w:rsidRDefault="001D24D9" w:rsidP="00AD3C7F">
            <w:pPr>
              <w:spacing w:after="0" w:line="240" w:lineRule="auto"/>
              <w:jc w:val="both"/>
              <w:rPr>
                <w:i/>
                <w:iCs/>
                <w:color w:val="000000"/>
              </w:rPr>
            </w:pPr>
            <w:r w:rsidRPr="00BE5D0C">
              <w:rPr>
                <w:b/>
                <w:bCs/>
                <w:i/>
                <w:iCs/>
                <w:color w:val="000000"/>
              </w:rPr>
              <w:t>NOTE 1</w:t>
            </w:r>
            <w:r w:rsidRPr="00BE5D0C">
              <w:rPr>
                <w:i/>
                <w:iCs/>
                <w:color w:val="000000"/>
              </w:rPr>
              <w:t xml:space="preserve"> Les panneaux de béton préfabriqués peuvent être utilisés dans les kits de façades rideaux comme panneaux</w:t>
            </w:r>
            <w:r w:rsidR="00AD3C7F" w:rsidRPr="00BE5D0C">
              <w:rPr>
                <w:i/>
                <w:iCs/>
                <w:color w:val="000000"/>
              </w:rPr>
              <w:t xml:space="preserve"> </w:t>
            </w:r>
            <w:r w:rsidRPr="00BE5D0C">
              <w:rPr>
                <w:i/>
                <w:iCs/>
                <w:color w:val="000000"/>
              </w:rPr>
              <w:t>de remplissage.</w:t>
            </w:r>
          </w:p>
          <w:p w:rsidR="001D24D9" w:rsidRPr="00AD3C7F" w:rsidRDefault="001D24D9" w:rsidP="00AD3C7F">
            <w:pPr>
              <w:spacing w:after="0" w:line="240" w:lineRule="auto"/>
              <w:jc w:val="both"/>
              <w:rPr>
                <w:rFonts w:ascii="Times New Roman" w:hAnsi="Times New Roman" w:cs="Times New Roman"/>
                <w:color w:val="000000"/>
                <w:sz w:val="24"/>
                <w:szCs w:val="24"/>
              </w:rPr>
            </w:pPr>
            <w:r w:rsidRPr="00BE5D0C">
              <w:rPr>
                <w:b/>
                <w:bCs/>
                <w:i/>
                <w:iCs/>
                <w:color w:val="000000"/>
              </w:rPr>
              <w:t>NOTE 2</w:t>
            </w:r>
            <w:r w:rsidRPr="00BE5D0C">
              <w:rPr>
                <w:i/>
                <w:iCs/>
                <w:color w:val="000000"/>
              </w:rPr>
              <w:t xml:space="preserve"> Durabilité des remplissages de vitrage collés (VEC) ne sont pas couverts par cette norme.</w:t>
            </w:r>
          </w:p>
        </w:tc>
      </w:tr>
      <w:tr w:rsidR="001D24D9" w:rsidRPr="0043547B" w:rsidTr="00BE5D0C">
        <w:trPr>
          <w:trHeight w:val="406"/>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1D24D9" w:rsidRPr="00BE5D0C" w:rsidRDefault="001D24D9" w:rsidP="00BE5D0C">
            <w:pPr>
              <w:spacing w:after="0" w:line="240" w:lineRule="auto"/>
              <w:jc w:val="center"/>
              <w:rPr>
                <w:rFonts w:ascii="Calibri" w:hAnsi="Calibri" w:cs="Calibri"/>
                <w:b/>
                <w:bCs/>
                <w:sz w:val="24"/>
                <w:szCs w:val="24"/>
              </w:rPr>
            </w:pPr>
            <w:r w:rsidRPr="00BE5D0C">
              <w:rPr>
                <w:rFonts w:ascii="Calibri" w:hAnsi="Calibri" w:cs="Calibri"/>
                <w:b/>
                <w:bCs/>
                <w:sz w:val="24"/>
                <w:szCs w:val="24"/>
              </w:rPr>
              <w:t>Code :</w:t>
            </w:r>
          </w:p>
        </w:tc>
        <w:tc>
          <w:tcPr>
            <w:tcW w:w="7938" w:type="dxa"/>
            <w:tcBorders>
              <w:left w:val="single" w:sz="4" w:space="0" w:color="auto"/>
              <w:bottom w:val="single" w:sz="18" w:space="0" w:color="auto"/>
              <w:right w:val="single" w:sz="18" w:space="0" w:color="auto"/>
            </w:tcBorders>
            <w:shd w:val="clear" w:color="auto" w:fill="C2D69B" w:themeFill="accent3" w:themeFillTint="99"/>
            <w:vAlign w:val="center"/>
          </w:tcPr>
          <w:p w:rsidR="001D24D9" w:rsidRPr="00BE5D0C" w:rsidRDefault="001D24D9" w:rsidP="00BE5D0C">
            <w:pPr>
              <w:spacing w:after="0" w:line="240" w:lineRule="auto"/>
              <w:jc w:val="center"/>
              <w:rPr>
                <w:rFonts w:ascii="Times New Roman" w:hAnsi="Times New Roman" w:cs="Times New Roman"/>
                <w:b/>
                <w:bCs/>
                <w:color w:val="000000"/>
                <w:sz w:val="24"/>
                <w:szCs w:val="24"/>
              </w:rPr>
            </w:pPr>
            <w:r w:rsidRPr="00BE5D0C">
              <w:rPr>
                <w:b/>
                <w:bCs/>
                <w:color w:val="000000"/>
                <w:sz w:val="24"/>
                <w:szCs w:val="24"/>
              </w:rPr>
              <w:t>NM 10.2.485</w:t>
            </w:r>
          </w:p>
        </w:tc>
      </w:tr>
      <w:tr w:rsidR="001D24D9" w:rsidRPr="0043547B" w:rsidTr="00ED0D29">
        <w:trPr>
          <w:trHeight w:val="526"/>
          <w:jc w:val="center"/>
        </w:trPr>
        <w:tc>
          <w:tcPr>
            <w:tcW w:w="1838" w:type="dxa"/>
            <w:tcBorders>
              <w:top w:val="nil"/>
              <w:left w:val="single" w:sz="18" w:space="0" w:color="auto"/>
              <w:bottom w:val="single" w:sz="4" w:space="0" w:color="auto"/>
              <w:right w:val="single" w:sz="4" w:space="0" w:color="auto"/>
            </w:tcBorders>
            <w:shd w:val="clear" w:color="auto" w:fill="FFFF99"/>
            <w:vAlign w:val="center"/>
          </w:tcPr>
          <w:p w:rsidR="001D24D9" w:rsidRPr="00BE5D0C" w:rsidRDefault="001D24D9" w:rsidP="00BE5D0C">
            <w:pPr>
              <w:spacing w:after="0" w:line="240" w:lineRule="auto"/>
              <w:jc w:val="center"/>
              <w:rPr>
                <w:rFonts w:ascii="Calibri" w:hAnsi="Calibri" w:cs="Calibri"/>
                <w:b/>
                <w:bCs/>
                <w:sz w:val="24"/>
                <w:szCs w:val="24"/>
              </w:rPr>
            </w:pPr>
            <w:r w:rsidRPr="00BE5D0C">
              <w:rPr>
                <w:rFonts w:ascii="Calibri" w:hAnsi="Calibri" w:cs="Calibri"/>
                <w:b/>
                <w:bCs/>
                <w:sz w:val="24"/>
                <w:szCs w:val="24"/>
              </w:rPr>
              <w:t>Equivalence :</w:t>
            </w:r>
          </w:p>
        </w:tc>
        <w:tc>
          <w:tcPr>
            <w:tcW w:w="7938" w:type="dxa"/>
            <w:tcBorders>
              <w:left w:val="single" w:sz="4" w:space="0" w:color="auto"/>
              <w:bottom w:val="single" w:sz="4" w:space="0" w:color="auto"/>
              <w:right w:val="single" w:sz="18" w:space="0" w:color="auto"/>
            </w:tcBorders>
            <w:shd w:val="clear" w:color="auto" w:fill="FFFF99"/>
            <w:vAlign w:val="center"/>
          </w:tcPr>
          <w:p w:rsidR="001D24D9" w:rsidRPr="00BE5D0C" w:rsidRDefault="001D24D9" w:rsidP="00BE5D0C">
            <w:pPr>
              <w:spacing w:after="0" w:line="240" w:lineRule="auto"/>
              <w:jc w:val="center"/>
              <w:rPr>
                <w:rFonts w:ascii="Times New Roman" w:hAnsi="Times New Roman" w:cs="Times New Roman"/>
                <w:b/>
                <w:bCs/>
                <w:color w:val="000000"/>
                <w:sz w:val="24"/>
                <w:szCs w:val="24"/>
              </w:rPr>
            </w:pPr>
            <w:r w:rsidRPr="00BE5D0C">
              <w:rPr>
                <w:b/>
                <w:bCs/>
                <w:color w:val="000000"/>
                <w:sz w:val="24"/>
                <w:szCs w:val="24"/>
              </w:rPr>
              <w:t>XP P 20-522</w:t>
            </w:r>
          </w:p>
        </w:tc>
      </w:tr>
      <w:tr w:rsidR="001D24D9" w:rsidRPr="0043547B" w:rsidTr="00ED0D29">
        <w:trPr>
          <w:trHeight w:val="520"/>
          <w:jc w:val="center"/>
        </w:trPr>
        <w:tc>
          <w:tcPr>
            <w:tcW w:w="1838"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1D24D9" w:rsidRPr="00BE5D0C" w:rsidRDefault="001D24D9" w:rsidP="00BE5D0C">
            <w:pPr>
              <w:spacing w:after="0" w:line="240" w:lineRule="auto"/>
              <w:jc w:val="center"/>
              <w:rPr>
                <w:rFonts w:ascii="Calibri" w:hAnsi="Calibri" w:cs="Calibri"/>
                <w:b/>
                <w:bCs/>
                <w:sz w:val="24"/>
                <w:szCs w:val="24"/>
              </w:rPr>
            </w:pPr>
            <w:r w:rsidRPr="00BE5D0C">
              <w:rPr>
                <w:rFonts w:ascii="Calibri" w:hAnsi="Calibri" w:cs="Calibri"/>
                <w:b/>
                <w:bCs/>
                <w:sz w:val="24"/>
                <w:szCs w:val="24"/>
              </w:rPr>
              <w:t>Intitulé :</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bottom"/>
          </w:tcPr>
          <w:p w:rsidR="001D24D9" w:rsidRPr="00BE5D0C" w:rsidRDefault="001D24D9" w:rsidP="00BE5D0C">
            <w:pPr>
              <w:spacing w:after="0" w:line="240" w:lineRule="auto"/>
              <w:jc w:val="both"/>
              <w:rPr>
                <w:rFonts w:ascii="Times New Roman" w:hAnsi="Times New Roman" w:cs="Times New Roman"/>
                <w:color w:val="000000"/>
                <w:sz w:val="24"/>
                <w:szCs w:val="24"/>
              </w:rPr>
            </w:pPr>
            <w:r w:rsidRPr="00BE5D0C">
              <w:rPr>
                <w:color w:val="000000"/>
                <w:sz w:val="24"/>
                <w:szCs w:val="24"/>
              </w:rPr>
              <w:t>Travaux de bâtiment - Menuiseries intérieures en bois -  Cahier des clauses techniques types ;</w:t>
            </w:r>
          </w:p>
        </w:tc>
      </w:tr>
      <w:tr w:rsidR="001D24D9" w:rsidRPr="0043547B" w:rsidTr="00ED0D29">
        <w:trPr>
          <w:trHeight w:val="1114"/>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1D24D9" w:rsidRPr="00BE5D0C" w:rsidRDefault="001D24D9" w:rsidP="00BE5D0C">
            <w:pPr>
              <w:spacing w:after="0" w:line="240" w:lineRule="auto"/>
              <w:jc w:val="center"/>
              <w:rPr>
                <w:rFonts w:ascii="Calibri" w:hAnsi="Calibri" w:cs="Calibri"/>
                <w:b/>
                <w:bCs/>
                <w:sz w:val="24"/>
                <w:szCs w:val="24"/>
              </w:rPr>
            </w:pPr>
            <w:r w:rsidRPr="00BE5D0C">
              <w:rPr>
                <w:rFonts w:ascii="Calibri" w:hAnsi="Calibri" w:cs="Calibr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bottom"/>
          </w:tcPr>
          <w:p w:rsidR="00BE5D0C" w:rsidRDefault="001D24D9" w:rsidP="00BE5D0C">
            <w:pPr>
              <w:spacing w:after="0" w:line="240" w:lineRule="auto"/>
              <w:jc w:val="both"/>
              <w:rPr>
                <w:color w:val="000000"/>
                <w:sz w:val="24"/>
                <w:szCs w:val="24"/>
              </w:rPr>
            </w:pPr>
            <w:r w:rsidRPr="00BE5D0C">
              <w:rPr>
                <w:color w:val="000000"/>
                <w:sz w:val="24"/>
                <w:szCs w:val="24"/>
              </w:rPr>
              <w:t>Le présent document propose des clauses types de spécifications de mise en oeuvre pour les travaux</w:t>
            </w:r>
            <w:r w:rsidR="00BE5D0C">
              <w:rPr>
                <w:color w:val="000000"/>
                <w:sz w:val="24"/>
                <w:szCs w:val="24"/>
              </w:rPr>
              <w:t xml:space="preserve"> </w:t>
            </w:r>
            <w:r w:rsidRPr="00BE5D0C">
              <w:rPr>
                <w:color w:val="000000"/>
                <w:sz w:val="24"/>
                <w:szCs w:val="24"/>
              </w:rPr>
              <w:t>de menuiseries intérieures en bois et matériaux dérivés du bois exécutées dans les bâtiments neufs</w:t>
            </w:r>
            <w:r w:rsidR="00BE5D0C">
              <w:rPr>
                <w:color w:val="000000"/>
                <w:sz w:val="24"/>
                <w:szCs w:val="24"/>
              </w:rPr>
              <w:t xml:space="preserve"> </w:t>
            </w:r>
            <w:r w:rsidRPr="00BE5D0C">
              <w:rPr>
                <w:color w:val="000000"/>
                <w:sz w:val="24"/>
                <w:szCs w:val="24"/>
              </w:rPr>
              <w:t>ou existants.</w:t>
            </w:r>
          </w:p>
          <w:p w:rsidR="00BE5D0C" w:rsidRDefault="001D24D9" w:rsidP="00BE5D0C">
            <w:pPr>
              <w:spacing w:after="0" w:line="240" w:lineRule="auto"/>
              <w:jc w:val="both"/>
              <w:rPr>
                <w:color w:val="000000"/>
                <w:sz w:val="24"/>
                <w:szCs w:val="24"/>
              </w:rPr>
            </w:pPr>
            <w:r w:rsidRPr="00BE5D0C">
              <w:rPr>
                <w:color w:val="000000"/>
                <w:sz w:val="24"/>
                <w:szCs w:val="24"/>
              </w:rPr>
              <w:t>Il s'applique aux bâtiments contenant des locaux à faible ou moyenne hygrométrie.</w:t>
            </w:r>
            <w:r w:rsidRPr="00BE5D0C">
              <w:rPr>
                <w:color w:val="000000"/>
                <w:sz w:val="24"/>
                <w:szCs w:val="24"/>
              </w:rPr>
              <w:br/>
              <w:t>Les travaux de réhabilitation relèvent également du présent document.</w:t>
            </w:r>
            <w:r w:rsidRPr="00BE5D0C">
              <w:rPr>
                <w:color w:val="000000"/>
                <w:sz w:val="24"/>
                <w:szCs w:val="24"/>
              </w:rPr>
              <w:br/>
              <w:t>Les menuiseries intérieures en bois et panneaux</w:t>
            </w:r>
            <w:r w:rsidR="00BE5D0C">
              <w:rPr>
                <w:color w:val="000000"/>
                <w:sz w:val="24"/>
                <w:szCs w:val="24"/>
              </w:rPr>
              <w:t xml:space="preserve"> dérivés du bois comprennent :</w:t>
            </w:r>
          </w:p>
          <w:p w:rsidR="00BE5D0C" w:rsidRDefault="00BE5D0C" w:rsidP="00BE5D0C">
            <w:pPr>
              <w:spacing w:after="0" w:line="240" w:lineRule="auto"/>
              <w:jc w:val="both"/>
              <w:rPr>
                <w:color w:val="000000"/>
                <w:sz w:val="24"/>
                <w:szCs w:val="24"/>
              </w:rPr>
            </w:pPr>
            <w:r>
              <w:rPr>
                <w:color w:val="000000"/>
                <w:sz w:val="24"/>
                <w:szCs w:val="24"/>
              </w:rPr>
              <w:t>-</w:t>
            </w:r>
            <w:r w:rsidR="001D24D9" w:rsidRPr="00BE5D0C">
              <w:rPr>
                <w:color w:val="000000"/>
                <w:sz w:val="24"/>
                <w:szCs w:val="24"/>
              </w:rPr>
              <w:t xml:space="preserve"> les distributions entre les pièces, y compris les ossatures de cloisons menuisées;</w:t>
            </w:r>
            <w:r w:rsidR="001D24D9" w:rsidRPr="00BE5D0C">
              <w:rPr>
                <w:color w:val="000000"/>
                <w:sz w:val="24"/>
                <w:szCs w:val="24"/>
              </w:rPr>
              <w:br/>
            </w:r>
            <w:r>
              <w:rPr>
                <w:color w:val="000000"/>
                <w:sz w:val="24"/>
                <w:szCs w:val="24"/>
              </w:rPr>
              <w:t>-</w:t>
            </w:r>
            <w:r w:rsidR="001D24D9" w:rsidRPr="00BE5D0C">
              <w:rPr>
                <w:color w:val="000000"/>
                <w:sz w:val="24"/>
                <w:szCs w:val="24"/>
              </w:rPr>
              <w:t xml:space="preserve"> les châssis vitrés fixes ou ouvrants ;</w:t>
            </w:r>
          </w:p>
          <w:p w:rsidR="00BE5D0C" w:rsidRDefault="00BE5D0C" w:rsidP="00BE5D0C">
            <w:pPr>
              <w:spacing w:after="0" w:line="240" w:lineRule="auto"/>
              <w:jc w:val="both"/>
              <w:rPr>
                <w:color w:val="000000"/>
                <w:sz w:val="24"/>
                <w:szCs w:val="24"/>
              </w:rPr>
            </w:pPr>
            <w:r>
              <w:rPr>
                <w:color w:val="000000"/>
                <w:sz w:val="24"/>
                <w:szCs w:val="24"/>
              </w:rPr>
              <w:t>-</w:t>
            </w:r>
            <w:r w:rsidR="001D24D9" w:rsidRPr="00BE5D0C">
              <w:rPr>
                <w:color w:val="000000"/>
                <w:sz w:val="24"/>
                <w:szCs w:val="24"/>
              </w:rPr>
              <w:t xml:space="preserve"> les blocs-portes ;</w:t>
            </w:r>
          </w:p>
          <w:p w:rsidR="00BE5D0C" w:rsidRDefault="00BE5D0C" w:rsidP="00BE5D0C">
            <w:pPr>
              <w:spacing w:after="0" w:line="240" w:lineRule="auto"/>
              <w:jc w:val="both"/>
              <w:rPr>
                <w:color w:val="000000"/>
                <w:sz w:val="24"/>
                <w:szCs w:val="24"/>
              </w:rPr>
            </w:pPr>
            <w:r>
              <w:rPr>
                <w:color w:val="000000"/>
                <w:sz w:val="24"/>
                <w:szCs w:val="24"/>
              </w:rPr>
              <w:t>-</w:t>
            </w:r>
            <w:r w:rsidR="001D24D9" w:rsidRPr="00BE5D0C">
              <w:rPr>
                <w:color w:val="000000"/>
                <w:sz w:val="24"/>
                <w:szCs w:val="24"/>
              </w:rPr>
              <w:t xml:space="preserve"> les lambris en lames, en panneaux, menuisés et leurs ossatures ;</w:t>
            </w:r>
          </w:p>
          <w:p w:rsidR="00BE5D0C" w:rsidRDefault="00BE5D0C" w:rsidP="00BE5D0C">
            <w:pPr>
              <w:spacing w:after="0" w:line="240" w:lineRule="auto"/>
              <w:jc w:val="both"/>
              <w:rPr>
                <w:color w:val="000000"/>
                <w:sz w:val="24"/>
                <w:szCs w:val="24"/>
              </w:rPr>
            </w:pPr>
            <w:r>
              <w:rPr>
                <w:color w:val="000000"/>
                <w:sz w:val="24"/>
                <w:szCs w:val="24"/>
              </w:rPr>
              <w:t>-</w:t>
            </w:r>
            <w:r w:rsidR="001D24D9" w:rsidRPr="00BE5D0C">
              <w:rPr>
                <w:color w:val="000000"/>
                <w:sz w:val="24"/>
                <w:szCs w:val="24"/>
              </w:rPr>
              <w:t xml:space="preserve"> les placards et les portes de placards ;</w:t>
            </w:r>
          </w:p>
          <w:p w:rsidR="00BE5D0C" w:rsidRDefault="00BE5D0C" w:rsidP="00BE5D0C">
            <w:pPr>
              <w:spacing w:after="0" w:line="240" w:lineRule="auto"/>
              <w:jc w:val="both"/>
              <w:rPr>
                <w:color w:val="000000"/>
                <w:sz w:val="24"/>
                <w:szCs w:val="24"/>
              </w:rPr>
            </w:pPr>
            <w:r>
              <w:rPr>
                <w:color w:val="000000"/>
                <w:sz w:val="24"/>
                <w:szCs w:val="24"/>
              </w:rPr>
              <w:t>-</w:t>
            </w:r>
            <w:r w:rsidR="001D24D9" w:rsidRPr="00BE5D0C">
              <w:rPr>
                <w:color w:val="000000"/>
                <w:sz w:val="24"/>
                <w:szCs w:val="24"/>
              </w:rPr>
              <w:t xml:space="preserve"> les façades de gaines et les trappes de visites ;</w:t>
            </w:r>
          </w:p>
          <w:p w:rsidR="00BE5D0C" w:rsidRDefault="00BE5D0C" w:rsidP="00BE5D0C">
            <w:pPr>
              <w:spacing w:after="0" w:line="240" w:lineRule="auto"/>
              <w:jc w:val="both"/>
              <w:rPr>
                <w:color w:val="000000"/>
                <w:sz w:val="24"/>
                <w:szCs w:val="24"/>
              </w:rPr>
            </w:pPr>
            <w:r>
              <w:rPr>
                <w:color w:val="000000"/>
                <w:sz w:val="24"/>
                <w:szCs w:val="24"/>
              </w:rPr>
              <w:lastRenderedPageBreak/>
              <w:t>-</w:t>
            </w:r>
            <w:r w:rsidR="001D24D9" w:rsidRPr="00BE5D0C">
              <w:rPr>
                <w:color w:val="000000"/>
                <w:sz w:val="24"/>
                <w:szCs w:val="24"/>
              </w:rPr>
              <w:t xml:space="preserve"> les trappes de combles ;</w:t>
            </w:r>
          </w:p>
          <w:p w:rsidR="00BE5D0C" w:rsidRDefault="00BE5D0C" w:rsidP="00BE5D0C">
            <w:pPr>
              <w:spacing w:after="0" w:line="240" w:lineRule="auto"/>
              <w:jc w:val="both"/>
              <w:rPr>
                <w:color w:val="000000"/>
                <w:sz w:val="24"/>
                <w:szCs w:val="24"/>
              </w:rPr>
            </w:pPr>
            <w:r>
              <w:rPr>
                <w:color w:val="000000"/>
                <w:sz w:val="24"/>
                <w:szCs w:val="24"/>
              </w:rPr>
              <w:t>-</w:t>
            </w:r>
            <w:r w:rsidR="001D24D9" w:rsidRPr="00BE5D0C">
              <w:rPr>
                <w:color w:val="000000"/>
                <w:sz w:val="24"/>
                <w:szCs w:val="24"/>
              </w:rPr>
              <w:t xml:space="preserve"> les façades de baignoires et habillages ;</w:t>
            </w:r>
          </w:p>
          <w:p w:rsidR="00BE5D0C" w:rsidRDefault="00BE5D0C" w:rsidP="00BE5D0C">
            <w:pPr>
              <w:spacing w:after="0" w:line="240" w:lineRule="auto"/>
              <w:jc w:val="both"/>
              <w:rPr>
                <w:color w:val="000000"/>
                <w:sz w:val="24"/>
                <w:szCs w:val="24"/>
              </w:rPr>
            </w:pPr>
            <w:r>
              <w:rPr>
                <w:color w:val="000000"/>
                <w:sz w:val="24"/>
                <w:szCs w:val="24"/>
              </w:rPr>
              <w:t>-</w:t>
            </w:r>
            <w:r w:rsidR="001D24D9" w:rsidRPr="00BE5D0C">
              <w:rPr>
                <w:color w:val="000000"/>
                <w:sz w:val="24"/>
                <w:szCs w:val="24"/>
              </w:rPr>
              <w:t xml:space="preserve"> les coffres de volets roulants.</w:t>
            </w:r>
          </w:p>
          <w:p w:rsidR="00BE5D0C" w:rsidRDefault="001D24D9" w:rsidP="00BE5D0C">
            <w:pPr>
              <w:spacing w:after="0" w:line="240" w:lineRule="auto"/>
              <w:jc w:val="both"/>
              <w:rPr>
                <w:color w:val="000000"/>
                <w:sz w:val="24"/>
                <w:szCs w:val="24"/>
              </w:rPr>
            </w:pPr>
            <w:r w:rsidRPr="00BE5D0C">
              <w:rPr>
                <w:color w:val="000000"/>
                <w:sz w:val="24"/>
                <w:szCs w:val="24"/>
              </w:rPr>
              <w:t>Le présent document ne s’applique pas :</w:t>
            </w:r>
          </w:p>
          <w:p w:rsidR="00BE5D0C" w:rsidRDefault="00BE5D0C" w:rsidP="00BE5D0C">
            <w:pPr>
              <w:spacing w:after="0" w:line="240" w:lineRule="auto"/>
              <w:jc w:val="both"/>
              <w:rPr>
                <w:color w:val="000000"/>
                <w:sz w:val="24"/>
                <w:szCs w:val="24"/>
              </w:rPr>
            </w:pPr>
            <w:r>
              <w:rPr>
                <w:color w:val="000000"/>
                <w:sz w:val="24"/>
                <w:szCs w:val="24"/>
              </w:rPr>
              <w:t>-</w:t>
            </w:r>
            <w:r w:rsidR="001D24D9" w:rsidRPr="00BE5D0C">
              <w:rPr>
                <w:color w:val="000000"/>
                <w:sz w:val="24"/>
                <w:szCs w:val="24"/>
              </w:rPr>
              <w:t xml:space="preserve"> aux menuiseries et aménagements intérieurs fabriqués de manière industrielle tels que</w:t>
            </w:r>
            <w:r>
              <w:rPr>
                <w:color w:val="000000"/>
                <w:sz w:val="24"/>
                <w:szCs w:val="24"/>
              </w:rPr>
              <w:t xml:space="preserve"> </w:t>
            </w:r>
            <w:r w:rsidR="001D24D9" w:rsidRPr="00BE5D0C">
              <w:rPr>
                <w:color w:val="000000"/>
                <w:sz w:val="24"/>
                <w:szCs w:val="24"/>
              </w:rPr>
              <w:t>cloisons,</w:t>
            </w:r>
            <w:r>
              <w:rPr>
                <w:color w:val="000000"/>
                <w:sz w:val="24"/>
                <w:szCs w:val="24"/>
              </w:rPr>
              <w:t xml:space="preserve"> </w:t>
            </w:r>
            <w:r w:rsidR="001D24D9" w:rsidRPr="00BE5D0C">
              <w:rPr>
                <w:color w:val="000000"/>
                <w:sz w:val="24"/>
                <w:szCs w:val="24"/>
              </w:rPr>
              <w:t>meubles de rangement (cuisine, dressing…), etc. ;</w:t>
            </w:r>
          </w:p>
          <w:p w:rsidR="00BE5D0C" w:rsidRDefault="00BE5D0C" w:rsidP="00BE5D0C">
            <w:pPr>
              <w:spacing w:after="0" w:line="240" w:lineRule="auto"/>
              <w:jc w:val="both"/>
              <w:rPr>
                <w:color w:val="000000"/>
                <w:sz w:val="24"/>
                <w:szCs w:val="24"/>
              </w:rPr>
            </w:pPr>
            <w:r>
              <w:rPr>
                <w:color w:val="000000"/>
                <w:sz w:val="24"/>
                <w:szCs w:val="24"/>
              </w:rPr>
              <w:t>-</w:t>
            </w:r>
            <w:r w:rsidR="001D24D9" w:rsidRPr="00BE5D0C">
              <w:rPr>
                <w:color w:val="000000"/>
                <w:sz w:val="24"/>
                <w:szCs w:val="24"/>
              </w:rPr>
              <w:t xml:space="preserve"> aux escaliers intérieurs en bois et garde-corps associés ;</w:t>
            </w:r>
          </w:p>
          <w:p w:rsidR="00BE5D0C" w:rsidRDefault="00BE5D0C" w:rsidP="00BE5D0C">
            <w:pPr>
              <w:spacing w:after="0" w:line="240" w:lineRule="auto"/>
              <w:jc w:val="both"/>
              <w:rPr>
                <w:color w:val="000000"/>
                <w:sz w:val="24"/>
                <w:szCs w:val="24"/>
              </w:rPr>
            </w:pPr>
            <w:r>
              <w:rPr>
                <w:color w:val="000000"/>
                <w:sz w:val="24"/>
                <w:szCs w:val="24"/>
              </w:rPr>
              <w:t>-</w:t>
            </w:r>
            <w:r w:rsidR="001D24D9" w:rsidRPr="00BE5D0C">
              <w:rPr>
                <w:color w:val="000000"/>
                <w:sz w:val="24"/>
                <w:szCs w:val="24"/>
              </w:rPr>
              <w:t xml:space="preserve"> aux panneaux de façades menuisés extérieurs ;</w:t>
            </w:r>
          </w:p>
          <w:p w:rsidR="00BE5D0C" w:rsidRPr="00BE5D0C" w:rsidRDefault="001D24D9" w:rsidP="00BE5D0C">
            <w:pPr>
              <w:spacing w:after="0" w:line="240" w:lineRule="auto"/>
              <w:jc w:val="both"/>
              <w:rPr>
                <w:i/>
                <w:iCs/>
                <w:color w:val="000000"/>
              </w:rPr>
            </w:pPr>
            <w:r w:rsidRPr="00BE5D0C">
              <w:rPr>
                <w:b/>
                <w:bCs/>
                <w:i/>
                <w:iCs/>
                <w:color w:val="000000"/>
              </w:rPr>
              <w:t>NOTE</w:t>
            </w:r>
            <w:r w:rsidRPr="00BE5D0C">
              <w:rPr>
                <w:i/>
                <w:iCs/>
                <w:color w:val="000000"/>
              </w:rPr>
              <w:t xml:space="preserve"> : Les lambris traités dans le présent document ne sont pas conçus pour participer au contreventement du</w:t>
            </w:r>
            <w:r w:rsidR="00BE5D0C" w:rsidRPr="00BE5D0C">
              <w:rPr>
                <w:i/>
                <w:iCs/>
                <w:color w:val="000000"/>
              </w:rPr>
              <w:t xml:space="preserve"> </w:t>
            </w:r>
            <w:r w:rsidRPr="00BE5D0C">
              <w:rPr>
                <w:i/>
                <w:iCs/>
                <w:color w:val="000000"/>
              </w:rPr>
              <w:t>bâtiment.</w:t>
            </w:r>
            <w:r w:rsidR="00BE5D0C" w:rsidRPr="00BE5D0C">
              <w:rPr>
                <w:i/>
                <w:iCs/>
                <w:color w:val="000000"/>
              </w:rPr>
              <w:t xml:space="preserve"> </w:t>
            </w:r>
          </w:p>
          <w:p w:rsidR="00BE5D0C" w:rsidRPr="00BE5D0C" w:rsidRDefault="001D24D9" w:rsidP="00BE5D0C">
            <w:pPr>
              <w:pStyle w:val="Paragraphedeliste"/>
              <w:numPr>
                <w:ilvl w:val="0"/>
                <w:numId w:val="5"/>
              </w:numPr>
              <w:tabs>
                <w:tab w:val="left" w:pos="259"/>
              </w:tabs>
              <w:spacing w:after="0" w:line="240" w:lineRule="auto"/>
              <w:ind w:left="54" w:firstLine="0"/>
              <w:jc w:val="both"/>
              <w:rPr>
                <w:color w:val="000000"/>
                <w:sz w:val="24"/>
                <w:szCs w:val="24"/>
              </w:rPr>
            </w:pPr>
            <w:r w:rsidRPr="00BE5D0C">
              <w:rPr>
                <w:color w:val="000000"/>
                <w:sz w:val="24"/>
                <w:szCs w:val="24"/>
              </w:rPr>
              <w:t>ossatures industrielles apparentes ou dissimulées ;</w:t>
            </w:r>
          </w:p>
          <w:p w:rsidR="001D24D9" w:rsidRPr="00BE5D0C" w:rsidRDefault="00BE5D0C" w:rsidP="00BE5D0C">
            <w:pPr>
              <w:spacing w:after="0" w:line="240" w:lineRule="auto"/>
              <w:jc w:val="both"/>
              <w:rPr>
                <w:rFonts w:ascii="Times New Roman" w:hAnsi="Times New Roman" w:cs="Times New Roman"/>
                <w:color w:val="000000"/>
                <w:sz w:val="24"/>
                <w:szCs w:val="24"/>
              </w:rPr>
            </w:pPr>
            <w:r>
              <w:rPr>
                <w:color w:val="000000"/>
                <w:sz w:val="24"/>
                <w:szCs w:val="24"/>
              </w:rPr>
              <w:t>-</w:t>
            </w:r>
            <w:r w:rsidR="001D24D9" w:rsidRPr="00BE5D0C">
              <w:rPr>
                <w:color w:val="000000"/>
                <w:sz w:val="24"/>
                <w:szCs w:val="24"/>
              </w:rPr>
              <w:t xml:space="preserve"> aux dalles modulaires (rampants, plafonds) en panneaux en bois ou dérivés du bois posés</w:t>
            </w:r>
            <w:r>
              <w:rPr>
                <w:color w:val="000000"/>
                <w:sz w:val="24"/>
                <w:szCs w:val="24"/>
              </w:rPr>
              <w:t xml:space="preserve"> </w:t>
            </w:r>
            <w:r w:rsidR="001D24D9" w:rsidRPr="00BE5D0C">
              <w:rPr>
                <w:color w:val="000000"/>
                <w:sz w:val="24"/>
                <w:szCs w:val="24"/>
              </w:rPr>
              <w:t>Le présent document est applicable dans toutes les zones climatiques ou naturelles Marocaines.</w:t>
            </w:r>
          </w:p>
        </w:tc>
      </w:tr>
      <w:tr w:rsidR="001D24D9" w:rsidRPr="0043547B" w:rsidTr="00BE5D0C">
        <w:trPr>
          <w:trHeight w:val="486"/>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1D24D9" w:rsidRPr="00BE5D0C" w:rsidRDefault="001D24D9" w:rsidP="00BE5D0C">
            <w:pPr>
              <w:spacing w:after="0" w:line="240" w:lineRule="auto"/>
              <w:jc w:val="center"/>
              <w:rPr>
                <w:rFonts w:ascii="Calibri" w:hAnsi="Calibri" w:cs="Calibri"/>
                <w:b/>
                <w:bCs/>
                <w:sz w:val="24"/>
                <w:szCs w:val="24"/>
              </w:rPr>
            </w:pPr>
            <w:r w:rsidRPr="00BE5D0C">
              <w:rPr>
                <w:rFonts w:ascii="Calibri" w:hAnsi="Calibri" w:cs="Calibri"/>
                <w:b/>
                <w:bCs/>
                <w:sz w:val="24"/>
                <w:szCs w:val="24"/>
              </w:rPr>
              <w:lastRenderedPageBreak/>
              <w:t>Code :</w:t>
            </w:r>
          </w:p>
        </w:tc>
        <w:tc>
          <w:tcPr>
            <w:tcW w:w="7938" w:type="dxa"/>
            <w:tcBorders>
              <w:left w:val="single" w:sz="4" w:space="0" w:color="auto"/>
              <w:bottom w:val="single" w:sz="18" w:space="0" w:color="auto"/>
              <w:right w:val="single" w:sz="18" w:space="0" w:color="auto"/>
            </w:tcBorders>
            <w:shd w:val="clear" w:color="auto" w:fill="C2D69B" w:themeFill="accent3" w:themeFillTint="99"/>
            <w:vAlign w:val="center"/>
          </w:tcPr>
          <w:p w:rsidR="001D24D9" w:rsidRPr="00BE5D0C" w:rsidRDefault="001D24D9" w:rsidP="00BE5D0C">
            <w:pPr>
              <w:spacing w:after="0" w:line="240" w:lineRule="auto"/>
              <w:jc w:val="center"/>
              <w:rPr>
                <w:rFonts w:ascii="Times New Roman" w:hAnsi="Times New Roman" w:cs="Times New Roman"/>
                <w:b/>
                <w:bCs/>
                <w:color w:val="000000"/>
                <w:sz w:val="24"/>
                <w:szCs w:val="24"/>
              </w:rPr>
            </w:pPr>
            <w:r w:rsidRPr="00BE5D0C">
              <w:rPr>
                <w:b/>
                <w:bCs/>
                <w:color w:val="000000"/>
                <w:sz w:val="24"/>
                <w:szCs w:val="24"/>
              </w:rPr>
              <w:t>NM 10.2.487</w:t>
            </w:r>
          </w:p>
        </w:tc>
      </w:tr>
      <w:tr w:rsidR="001D24D9" w:rsidRPr="0043547B" w:rsidTr="00BE5D0C">
        <w:trPr>
          <w:trHeight w:val="238"/>
          <w:jc w:val="center"/>
        </w:trPr>
        <w:tc>
          <w:tcPr>
            <w:tcW w:w="1838" w:type="dxa"/>
            <w:tcBorders>
              <w:top w:val="nil"/>
              <w:left w:val="single" w:sz="18" w:space="0" w:color="auto"/>
              <w:bottom w:val="single" w:sz="18" w:space="0" w:color="auto"/>
              <w:right w:val="single" w:sz="4" w:space="0" w:color="auto"/>
            </w:tcBorders>
            <w:shd w:val="clear" w:color="auto" w:fill="FFFF99"/>
            <w:vAlign w:val="center"/>
          </w:tcPr>
          <w:p w:rsidR="001D24D9" w:rsidRPr="00BE5D0C" w:rsidRDefault="001D24D9" w:rsidP="00BE5D0C">
            <w:pPr>
              <w:spacing w:after="0" w:line="240" w:lineRule="auto"/>
              <w:jc w:val="center"/>
              <w:rPr>
                <w:rFonts w:ascii="Calibri" w:hAnsi="Calibri" w:cs="Calibri"/>
                <w:b/>
                <w:bCs/>
                <w:sz w:val="24"/>
                <w:szCs w:val="24"/>
              </w:rPr>
            </w:pPr>
            <w:r w:rsidRPr="00BE5D0C">
              <w:rPr>
                <w:rFonts w:ascii="Calibri" w:hAnsi="Calibri" w:cs="Calibri"/>
                <w:b/>
                <w:bCs/>
                <w:sz w:val="24"/>
                <w:szCs w:val="24"/>
              </w:rPr>
              <w:t>Equivalence :</w:t>
            </w:r>
          </w:p>
        </w:tc>
        <w:tc>
          <w:tcPr>
            <w:tcW w:w="7938" w:type="dxa"/>
            <w:tcBorders>
              <w:left w:val="single" w:sz="4" w:space="0" w:color="auto"/>
              <w:bottom w:val="single" w:sz="18" w:space="0" w:color="auto"/>
              <w:right w:val="single" w:sz="18" w:space="0" w:color="auto"/>
            </w:tcBorders>
            <w:shd w:val="clear" w:color="auto" w:fill="FFFF99"/>
            <w:vAlign w:val="center"/>
          </w:tcPr>
          <w:p w:rsidR="001D24D9" w:rsidRPr="00BE5D0C" w:rsidRDefault="001D24D9" w:rsidP="00BE5D0C">
            <w:pPr>
              <w:spacing w:after="0" w:line="240" w:lineRule="auto"/>
              <w:jc w:val="center"/>
              <w:rPr>
                <w:rFonts w:ascii="Times New Roman" w:hAnsi="Times New Roman" w:cs="Times New Roman"/>
                <w:b/>
                <w:bCs/>
                <w:color w:val="000000"/>
                <w:sz w:val="24"/>
                <w:szCs w:val="24"/>
              </w:rPr>
            </w:pPr>
            <w:r w:rsidRPr="00BE5D0C">
              <w:rPr>
                <w:b/>
                <w:bCs/>
                <w:color w:val="000000"/>
                <w:sz w:val="24"/>
                <w:szCs w:val="24"/>
              </w:rPr>
              <w:t>DTU 36.2 P2</w:t>
            </w:r>
          </w:p>
        </w:tc>
      </w:tr>
      <w:tr w:rsidR="001D24D9" w:rsidRPr="0043547B" w:rsidTr="00BE5D0C">
        <w:trPr>
          <w:trHeight w:val="597"/>
          <w:jc w:val="center"/>
        </w:trPr>
        <w:tc>
          <w:tcPr>
            <w:tcW w:w="1838" w:type="dxa"/>
            <w:tcBorders>
              <w:top w:val="single" w:sz="18" w:space="0" w:color="auto"/>
              <w:left w:val="single" w:sz="18" w:space="0" w:color="auto"/>
              <w:bottom w:val="single" w:sz="4" w:space="0" w:color="auto"/>
              <w:right w:val="single" w:sz="4" w:space="0" w:color="auto"/>
            </w:tcBorders>
            <w:shd w:val="clear" w:color="auto" w:fill="95B3D7" w:themeFill="accent1" w:themeFillTint="99"/>
            <w:vAlign w:val="center"/>
          </w:tcPr>
          <w:p w:rsidR="001D24D9" w:rsidRPr="00BE5D0C" w:rsidRDefault="001D24D9" w:rsidP="00BE5D0C">
            <w:pPr>
              <w:spacing w:after="0" w:line="240" w:lineRule="auto"/>
              <w:jc w:val="center"/>
              <w:rPr>
                <w:rFonts w:ascii="Calibri" w:hAnsi="Calibri" w:cs="Calibri"/>
                <w:b/>
                <w:bCs/>
                <w:sz w:val="24"/>
                <w:szCs w:val="24"/>
              </w:rPr>
            </w:pPr>
            <w:r w:rsidRPr="00BE5D0C">
              <w:rPr>
                <w:rFonts w:ascii="Calibri" w:hAnsi="Calibri" w:cs="Calibr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tcPr>
          <w:p w:rsidR="001D24D9" w:rsidRPr="00BE5D0C" w:rsidRDefault="001D24D9" w:rsidP="00BE5D0C">
            <w:pPr>
              <w:spacing w:after="0" w:line="240" w:lineRule="auto"/>
              <w:rPr>
                <w:rFonts w:ascii="Times New Roman" w:hAnsi="Times New Roman" w:cs="Times New Roman"/>
                <w:color w:val="000000"/>
                <w:sz w:val="24"/>
                <w:szCs w:val="24"/>
              </w:rPr>
            </w:pPr>
            <w:r w:rsidRPr="00BE5D0C">
              <w:rPr>
                <w:color w:val="000000"/>
                <w:sz w:val="24"/>
                <w:szCs w:val="24"/>
              </w:rPr>
              <w:t>Travaux de bâtiment - Menuiseries intérieures en bois - Cahier des clauses administratives spéciales type </w:t>
            </w:r>
          </w:p>
        </w:tc>
      </w:tr>
      <w:tr w:rsidR="001D24D9" w:rsidRPr="0043547B" w:rsidTr="00BE5D0C">
        <w:trPr>
          <w:trHeight w:val="854"/>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1D24D9" w:rsidRPr="00BE5D0C" w:rsidRDefault="001D24D9" w:rsidP="00BE5D0C">
            <w:pPr>
              <w:spacing w:after="0" w:line="240" w:lineRule="auto"/>
              <w:jc w:val="center"/>
              <w:rPr>
                <w:rFonts w:ascii="Calibri" w:hAnsi="Calibri" w:cs="Calibri"/>
                <w:b/>
                <w:bCs/>
                <w:sz w:val="24"/>
                <w:szCs w:val="24"/>
              </w:rPr>
            </w:pPr>
            <w:r w:rsidRPr="00BE5D0C">
              <w:rPr>
                <w:rFonts w:ascii="Calibri" w:hAnsi="Calibri" w:cs="Calibr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bottom"/>
          </w:tcPr>
          <w:p w:rsidR="001D24D9" w:rsidRPr="00BE5D0C" w:rsidRDefault="001D24D9" w:rsidP="00BE5D0C">
            <w:pPr>
              <w:spacing w:after="0" w:line="240" w:lineRule="auto"/>
              <w:jc w:val="both"/>
              <w:rPr>
                <w:rFonts w:ascii="Times New Roman" w:hAnsi="Times New Roman" w:cs="Times New Roman"/>
                <w:color w:val="000000"/>
                <w:sz w:val="24"/>
                <w:szCs w:val="24"/>
              </w:rPr>
            </w:pPr>
            <w:r w:rsidRPr="00BE5D0C">
              <w:rPr>
                <w:color w:val="000000"/>
                <w:sz w:val="24"/>
                <w:szCs w:val="24"/>
              </w:rPr>
              <w:t xml:space="preserve">Le présent document a pour objet de définir les clauses administratives spéciales aux travaux de mise en </w:t>
            </w:r>
            <w:r w:rsidR="00BE5D0C">
              <w:rPr>
                <w:color w:val="000000"/>
                <w:sz w:val="24"/>
                <w:szCs w:val="24"/>
              </w:rPr>
              <w:t xml:space="preserve">œuvre </w:t>
            </w:r>
            <w:r w:rsidRPr="00BE5D0C">
              <w:rPr>
                <w:color w:val="000000"/>
                <w:sz w:val="24"/>
                <w:szCs w:val="24"/>
              </w:rPr>
              <w:t>des menuiseries intérieures en bois faisant l’objet de la norme NM 10.2.485</w:t>
            </w:r>
            <w:r w:rsidR="00BE5D0C">
              <w:rPr>
                <w:color w:val="000000"/>
                <w:sz w:val="24"/>
                <w:szCs w:val="24"/>
              </w:rPr>
              <w:t>.</w:t>
            </w:r>
          </w:p>
        </w:tc>
      </w:tr>
      <w:tr w:rsidR="001D24D9" w:rsidRPr="0043547B" w:rsidTr="00BE5D0C">
        <w:trPr>
          <w:trHeight w:val="500"/>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1D24D9" w:rsidRPr="00BE5D0C" w:rsidRDefault="001D24D9" w:rsidP="00BE5D0C">
            <w:pPr>
              <w:spacing w:after="0" w:line="240" w:lineRule="auto"/>
              <w:jc w:val="center"/>
              <w:rPr>
                <w:rFonts w:ascii="Calibri" w:hAnsi="Calibri" w:cs="Calibri"/>
                <w:b/>
                <w:bCs/>
                <w:sz w:val="24"/>
                <w:szCs w:val="24"/>
              </w:rPr>
            </w:pPr>
            <w:r w:rsidRPr="00BE5D0C">
              <w:rPr>
                <w:rFonts w:ascii="Calibri" w:hAnsi="Calibri" w:cs="Calibri"/>
                <w:b/>
                <w:bCs/>
                <w:sz w:val="24"/>
                <w:szCs w:val="24"/>
              </w:rPr>
              <w:t>Code :</w:t>
            </w:r>
          </w:p>
        </w:tc>
        <w:tc>
          <w:tcPr>
            <w:tcW w:w="7938" w:type="dxa"/>
            <w:tcBorders>
              <w:left w:val="single" w:sz="4" w:space="0" w:color="auto"/>
              <w:bottom w:val="single" w:sz="18" w:space="0" w:color="auto"/>
              <w:right w:val="single" w:sz="18" w:space="0" w:color="auto"/>
            </w:tcBorders>
            <w:shd w:val="clear" w:color="auto" w:fill="C2D69B" w:themeFill="accent3" w:themeFillTint="99"/>
            <w:vAlign w:val="center"/>
          </w:tcPr>
          <w:p w:rsidR="001D24D9" w:rsidRPr="00BE5D0C" w:rsidRDefault="001D24D9" w:rsidP="00BE5D0C">
            <w:pPr>
              <w:spacing w:after="0" w:line="240" w:lineRule="auto"/>
              <w:jc w:val="center"/>
              <w:rPr>
                <w:rFonts w:ascii="Times New Roman" w:hAnsi="Times New Roman" w:cs="Times New Roman"/>
                <w:b/>
                <w:bCs/>
                <w:color w:val="000000"/>
                <w:sz w:val="24"/>
                <w:szCs w:val="24"/>
              </w:rPr>
            </w:pPr>
            <w:r w:rsidRPr="00BE5D0C">
              <w:rPr>
                <w:b/>
                <w:bCs/>
                <w:color w:val="000000"/>
                <w:sz w:val="24"/>
                <w:szCs w:val="24"/>
              </w:rPr>
              <w:t>NM 10.2.488</w:t>
            </w:r>
          </w:p>
        </w:tc>
      </w:tr>
      <w:tr w:rsidR="001D24D9" w:rsidRPr="0043547B" w:rsidTr="00BE5D0C">
        <w:trPr>
          <w:trHeight w:val="521"/>
          <w:jc w:val="center"/>
        </w:trPr>
        <w:tc>
          <w:tcPr>
            <w:tcW w:w="1838" w:type="dxa"/>
            <w:tcBorders>
              <w:top w:val="nil"/>
              <w:left w:val="single" w:sz="18" w:space="0" w:color="auto"/>
              <w:bottom w:val="single" w:sz="18" w:space="0" w:color="auto"/>
              <w:right w:val="single" w:sz="4" w:space="0" w:color="auto"/>
            </w:tcBorders>
            <w:shd w:val="clear" w:color="auto" w:fill="FFFF99"/>
            <w:vAlign w:val="center"/>
          </w:tcPr>
          <w:p w:rsidR="001D24D9" w:rsidRPr="00BE5D0C" w:rsidRDefault="001D24D9" w:rsidP="00BE5D0C">
            <w:pPr>
              <w:spacing w:after="0" w:line="240" w:lineRule="auto"/>
              <w:jc w:val="center"/>
              <w:rPr>
                <w:rFonts w:ascii="Calibri" w:hAnsi="Calibri" w:cs="Calibri"/>
                <w:b/>
                <w:bCs/>
                <w:sz w:val="24"/>
                <w:szCs w:val="24"/>
              </w:rPr>
            </w:pPr>
            <w:r w:rsidRPr="00BE5D0C">
              <w:rPr>
                <w:rFonts w:ascii="Calibri" w:hAnsi="Calibri" w:cs="Calibri"/>
                <w:b/>
                <w:bCs/>
                <w:sz w:val="24"/>
                <w:szCs w:val="24"/>
              </w:rPr>
              <w:t>Equivalence :</w:t>
            </w:r>
          </w:p>
        </w:tc>
        <w:tc>
          <w:tcPr>
            <w:tcW w:w="7938" w:type="dxa"/>
            <w:tcBorders>
              <w:left w:val="single" w:sz="4" w:space="0" w:color="auto"/>
              <w:bottom w:val="single" w:sz="18" w:space="0" w:color="auto"/>
              <w:right w:val="single" w:sz="18" w:space="0" w:color="auto"/>
            </w:tcBorders>
            <w:shd w:val="clear" w:color="auto" w:fill="FFFF99"/>
            <w:vAlign w:val="center"/>
          </w:tcPr>
          <w:p w:rsidR="001D24D9" w:rsidRPr="00BE5D0C" w:rsidRDefault="001D24D9" w:rsidP="00BE5D0C">
            <w:pPr>
              <w:spacing w:after="0" w:line="240" w:lineRule="auto"/>
              <w:jc w:val="center"/>
              <w:rPr>
                <w:rFonts w:ascii="Times New Roman" w:hAnsi="Times New Roman" w:cs="Times New Roman"/>
                <w:b/>
                <w:bCs/>
                <w:color w:val="000000"/>
                <w:sz w:val="24"/>
                <w:szCs w:val="24"/>
              </w:rPr>
            </w:pPr>
            <w:r w:rsidRPr="00BE5D0C">
              <w:rPr>
                <w:b/>
                <w:bCs/>
                <w:color w:val="000000"/>
                <w:sz w:val="24"/>
                <w:szCs w:val="24"/>
              </w:rPr>
              <w:t>DTU 36.5 P1-1</w:t>
            </w:r>
          </w:p>
        </w:tc>
      </w:tr>
      <w:tr w:rsidR="001D24D9" w:rsidRPr="0043547B" w:rsidTr="00BE5D0C">
        <w:trPr>
          <w:trHeight w:val="671"/>
          <w:jc w:val="center"/>
        </w:trPr>
        <w:tc>
          <w:tcPr>
            <w:tcW w:w="1838" w:type="dxa"/>
            <w:tcBorders>
              <w:top w:val="single" w:sz="18" w:space="0" w:color="auto"/>
              <w:left w:val="single" w:sz="18" w:space="0" w:color="auto"/>
              <w:bottom w:val="single" w:sz="4" w:space="0" w:color="auto"/>
              <w:right w:val="single" w:sz="4" w:space="0" w:color="auto"/>
            </w:tcBorders>
            <w:shd w:val="clear" w:color="auto" w:fill="95B3D7" w:themeFill="accent1" w:themeFillTint="99"/>
            <w:vAlign w:val="center"/>
          </w:tcPr>
          <w:p w:rsidR="001D24D9" w:rsidRPr="00BE5D0C" w:rsidRDefault="001D24D9" w:rsidP="00BE5D0C">
            <w:pPr>
              <w:spacing w:after="0" w:line="240" w:lineRule="auto"/>
              <w:jc w:val="center"/>
              <w:rPr>
                <w:rFonts w:ascii="Calibri" w:hAnsi="Calibri" w:cs="Calibri"/>
                <w:b/>
                <w:bCs/>
                <w:sz w:val="24"/>
                <w:szCs w:val="24"/>
              </w:rPr>
            </w:pPr>
            <w:r w:rsidRPr="00BE5D0C">
              <w:rPr>
                <w:rFonts w:ascii="Calibri" w:hAnsi="Calibri" w:cs="Calibr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tcPr>
          <w:p w:rsidR="001D24D9" w:rsidRPr="00BE5D0C" w:rsidRDefault="001D24D9" w:rsidP="00BE5D0C">
            <w:pPr>
              <w:spacing w:after="0" w:line="240" w:lineRule="auto"/>
              <w:rPr>
                <w:rFonts w:ascii="Times New Roman" w:hAnsi="Times New Roman" w:cs="Times New Roman"/>
                <w:color w:val="000000"/>
                <w:sz w:val="24"/>
                <w:szCs w:val="24"/>
              </w:rPr>
            </w:pPr>
            <w:r w:rsidRPr="00BE5D0C">
              <w:rPr>
                <w:color w:val="000000"/>
                <w:sz w:val="24"/>
                <w:szCs w:val="24"/>
              </w:rPr>
              <w:t xml:space="preserve">Travaux de bâtiment - Mise en œuvre des fenêtres et portes extérieures - Partie 1-1 : Cahier des clauses techniques types ; </w:t>
            </w:r>
          </w:p>
        </w:tc>
      </w:tr>
      <w:tr w:rsidR="001D24D9" w:rsidRPr="0043547B" w:rsidTr="00BE5D0C">
        <w:trPr>
          <w:trHeight w:val="1114"/>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1D24D9" w:rsidRPr="00BE5D0C" w:rsidRDefault="001D24D9" w:rsidP="00BE5D0C">
            <w:pPr>
              <w:spacing w:after="0" w:line="240" w:lineRule="auto"/>
              <w:jc w:val="center"/>
              <w:rPr>
                <w:rFonts w:ascii="Calibri" w:hAnsi="Calibri" w:cs="Calibri"/>
                <w:b/>
                <w:bCs/>
                <w:sz w:val="24"/>
                <w:szCs w:val="24"/>
              </w:rPr>
            </w:pPr>
            <w:r w:rsidRPr="00BE5D0C">
              <w:rPr>
                <w:rFonts w:ascii="Calibri" w:hAnsi="Calibri" w:cs="Calibr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bottom"/>
          </w:tcPr>
          <w:p w:rsidR="00BE5D0C" w:rsidRDefault="001D24D9" w:rsidP="00BE5D0C">
            <w:pPr>
              <w:spacing w:after="0" w:line="240" w:lineRule="auto"/>
              <w:jc w:val="both"/>
              <w:rPr>
                <w:color w:val="000000"/>
                <w:sz w:val="24"/>
                <w:szCs w:val="24"/>
              </w:rPr>
            </w:pPr>
            <w:r w:rsidRPr="00BE5D0C">
              <w:rPr>
                <w:color w:val="000000"/>
                <w:sz w:val="24"/>
                <w:szCs w:val="24"/>
              </w:rPr>
              <w:t>Le présent document propose des clauses types pour :</w:t>
            </w:r>
          </w:p>
          <w:p w:rsidR="00BE5D0C" w:rsidRDefault="001D24D9" w:rsidP="00BE5D0C">
            <w:pPr>
              <w:spacing w:after="0" w:line="240" w:lineRule="auto"/>
              <w:jc w:val="both"/>
              <w:rPr>
                <w:color w:val="000000"/>
                <w:sz w:val="24"/>
                <w:szCs w:val="24"/>
              </w:rPr>
            </w:pPr>
            <w:r w:rsidRPr="00BE5D0C">
              <w:rPr>
                <w:color w:val="000000"/>
                <w:sz w:val="24"/>
                <w:szCs w:val="24"/>
              </w:rPr>
              <w:t>— la conception de la mise en oeuvre de la menuiserie sur son support ;</w:t>
            </w:r>
          </w:p>
          <w:p w:rsidR="00BE5D0C" w:rsidRDefault="001D24D9" w:rsidP="00BE5D0C">
            <w:pPr>
              <w:spacing w:after="0" w:line="240" w:lineRule="auto"/>
              <w:jc w:val="both"/>
              <w:rPr>
                <w:color w:val="000000"/>
                <w:sz w:val="24"/>
                <w:szCs w:val="24"/>
              </w:rPr>
            </w:pPr>
            <w:r w:rsidRPr="00BE5D0C">
              <w:rPr>
                <w:color w:val="000000"/>
                <w:sz w:val="24"/>
                <w:szCs w:val="24"/>
              </w:rPr>
              <w:t>— les conditions de mise en oeuvre ;</w:t>
            </w:r>
          </w:p>
          <w:p w:rsidR="00BE5D0C" w:rsidRDefault="001D24D9" w:rsidP="00BE5D0C">
            <w:pPr>
              <w:spacing w:after="0" w:line="240" w:lineRule="auto"/>
              <w:jc w:val="both"/>
              <w:rPr>
                <w:color w:val="000000"/>
                <w:sz w:val="24"/>
                <w:szCs w:val="24"/>
              </w:rPr>
            </w:pPr>
            <w:r w:rsidRPr="00BE5D0C">
              <w:rPr>
                <w:color w:val="000000"/>
                <w:sz w:val="24"/>
                <w:szCs w:val="24"/>
              </w:rPr>
              <w:t>des fenêtres, portes-fenêtres, blocs-baies, ensembles menuisés et portes extérieures quel que soit le matériau</w:t>
            </w:r>
            <w:r w:rsidR="00BE5D0C">
              <w:rPr>
                <w:color w:val="000000"/>
                <w:sz w:val="24"/>
                <w:szCs w:val="24"/>
              </w:rPr>
              <w:t xml:space="preserve"> </w:t>
            </w:r>
            <w:r w:rsidRPr="00BE5D0C">
              <w:rPr>
                <w:color w:val="000000"/>
                <w:sz w:val="24"/>
                <w:szCs w:val="24"/>
              </w:rPr>
              <w:t>(acier, aluminium, bois, PVC, mixte, etc.) tels que définis à l’article 3 et conformes à l’article 4, en travaux neufs</w:t>
            </w:r>
            <w:r w:rsidRPr="00BE5D0C">
              <w:rPr>
                <w:color w:val="000000"/>
                <w:sz w:val="24"/>
                <w:szCs w:val="24"/>
              </w:rPr>
              <w:br/>
              <w:t>ainsi qu’en travaux de rénovation et :</w:t>
            </w:r>
            <w:r w:rsidR="00BE5D0C">
              <w:rPr>
                <w:color w:val="000000"/>
                <w:sz w:val="24"/>
                <w:szCs w:val="24"/>
              </w:rPr>
              <w:t xml:space="preserve"> </w:t>
            </w:r>
          </w:p>
          <w:p w:rsidR="00BE5D0C" w:rsidRDefault="001D24D9" w:rsidP="00BE5D0C">
            <w:pPr>
              <w:spacing w:after="0" w:line="240" w:lineRule="auto"/>
              <w:jc w:val="both"/>
              <w:rPr>
                <w:color w:val="000000"/>
                <w:sz w:val="24"/>
                <w:szCs w:val="24"/>
              </w:rPr>
            </w:pPr>
            <w:r w:rsidRPr="00BE5D0C">
              <w:rPr>
                <w:color w:val="000000"/>
                <w:sz w:val="24"/>
                <w:szCs w:val="24"/>
              </w:rPr>
              <w:t>— mis en oeuvre verticalement, avec une inclinaison n’excédant pas 15° par rapport à la verticale</w:t>
            </w:r>
            <w:r w:rsidR="00BE5D0C">
              <w:rPr>
                <w:color w:val="000000"/>
                <w:sz w:val="24"/>
                <w:szCs w:val="24"/>
              </w:rPr>
              <w:t xml:space="preserve"> </w:t>
            </w:r>
            <w:r w:rsidRPr="00BE5D0C">
              <w:rPr>
                <w:color w:val="000000"/>
                <w:sz w:val="24"/>
                <w:szCs w:val="24"/>
              </w:rPr>
              <w:t>(voir article 5.1.8) ;</w:t>
            </w:r>
          </w:p>
          <w:p w:rsidR="00BE5D0C" w:rsidRDefault="001D24D9" w:rsidP="00BE5D0C">
            <w:pPr>
              <w:spacing w:after="0" w:line="240" w:lineRule="auto"/>
              <w:jc w:val="both"/>
              <w:rPr>
                <w:color w:val="000000"/>
                <w:sz w:val="24"/>
                <w:szCs w:val="24"/>
              </w:rPr>
            </w:pPr>
            <w:r w:rsidRPr="00BE5D0C">
              <w:rPr>
                <w:color w:val="000000"/>
                <w:sz w:val="24"/>
                <w:szCs w:val="24"/>
              </w:rPr>
              <w:t>— fixés directement au gros oeuvre du bâtiment sur au moins deux côtés opposés du dormant périphérique.</w:t>
            </w:r>
          </w:p>
          <w:p w:rsidR="00BE5D0C" w:rsidRPr="00BE5D0C" w:rsidRDefault="001D24D9" w:rsidP="00BE5D0C">
            <w:pPr>
              <w:spacing w:after="0" w:line="240" w:lineRule="auto"/>
              <w:jc w:val="both"/>
              <w:rPr>
                <w:i/>
                <w:iCs/>
                <w:color w:val="000000"/>
              </w:rPr>
            </w:pPr>
            <w:r w:rsidRPr="00BE5D0C">
              <w:rPr>
                <w:b/>
                <w:bCs/>
                <w:i/>
                <w:iCs/>
                <w:color w:val="000000"/>
              </w:rPr>
              <w:t>NOTE 1</w:t>
            </w:r>
            <w:r w:rsidRPr="00BE5D0C">
              <w:rPr>
                <w:i/>
                <w:iCs/>
                <w:color w:val="000000"/>
              </w:rPr>
              <w:t xml:space="preserve"> En pratique, de ce fait, ce document couvre la mise en oeuvre :</w:t>
            </w:r>
          </w:p>
          <w:p w:rsidR="00BE5D0C" w:rsidRPr="00BE5D0C" w:rsidRDefault="001D24D9" w:rsidP="00BE5D0C">
            <w:pPr>
              <w:spacing w:after="0" w:line="240" w:lineRule="auto"/>
              <w:jc w:val="both"/>
              <w:rPr>
                <w:i/>
                <w:iCs/>
                <w:color w:val="000000"/>
              </w:rPr>
            </w:pPr>
            <w:r w:rsidRPr="00BE5D0C">
              <w:rPr>
                <w:i/>
                <w:iCs/>
                <w:color w:val="000000"/>
              </w:rPr>
              <w:t>— de fenêtres, portes-fenêtres, blocs baies, ensembles menuisés et portes extérieures posés isolément</w:t>
            </w:r>
            <w:r w:rsidR="00BE5D0C" w:rsidRPr="00BE5D0C">
              <w:rPr>
                <w:i/>
                <w:iCs/>
                <w:color w:val="000000"/>
              </w:rPr>
              <w:t xml:space="preserve"> </w:t>
            </w:r>
            <w:r w:rsidRPr="00BE5D0C">
              <w:rPr>
                <w:i/>
                <w:iCs/>
                <w:color w:val="000000"/>
              </w:rPr>
              <w:t>dans la construction ;</w:t>
            </w:r>
          </w:p>
          <w:p w:rsidR="00BE5D0C" w:rsidRPr="00BE5D0C" w:rsidRDefault="001D24D9" w:rsidP="00BE5D0C">
            <w:pPr>
              <w:spacing w:after="0" w:line="240" w:lineRule="auto"/>
              <w:jc w:val="both"/>
              <w:rPr>
                <w:i/>
                <w:iCs/>
                <w:color w:val="000000"/>
              </w:rPr>
            </w:pPr>
            <w:r w:rsidRPr="00BE5D0C">
              <w:rPr>
                <w:i/>
                <w:iCs/>
                <w:color w:val="000000"/>
              </w:rPr>
              <w:t>— de tels produits juxtaposés horizontalement pouvant aller jusqu’à former une bande horizontale ;</w:t>
            </w:r>
          </w:p>
          <w:p w:rsidR="00BE5D0C" w:rsidRPr="00BE5D0C" w:rsidRDefault="001D24D9" w:rsidP="00BE5D0C">
            <w:pPr>
              <w:spacing w:after="0" w:line="240" w:lineRule="auto"/>
              <w:jc w:val="both"/>
              <w:rPr>
                <w:i/>
                <w:iCs/>
                <w:color w:val="000000"/>
              </w:rPr>
            </w:pPr>
            <w:r w:rsidRPr="00BE5D0C">
              <w:rPr>
                <w:i/>
                <w:iCs/>
                <w:color w:val="000000"/>
              </w:rPr>
              <w:t>— de tels produits superposés verticalement pouvant aller jusqu’à former une bande verticale.</w:t>
            </w:r>
          </w:p>
          <w:p w:rsidR="00BE5D0C" w:rsidRPr="00BE5D0C" w:rsidRDefault="001D24D9" w:rsidP="00BE5D0C">
            <w:pPr>
              <w:spacing w:after="0" w:line="240" w:lineRule="auto"/>
              <w:jc w:val="both"/>
              <w:rPr>
                <w:i/>
                <w:iCs/>
                <w:color w:val="000000"/>
              </w:rPr>
            </w:pPr>
            <w:r w:rsidRPr="00BE5D0C">
              <w:rPr>
                <w:b/>
                <w:bCs/>
                <w:i/>
                <w:iCs/>
                <w:color w:val="000000"/>
              </w:rPr>
              <w:t>NOTE 2</w:t>
            </w:r>
            <w:r w:rsidRPr="00BE5D0C">
              <w:rPr>
                <w:i/>
                <w:iCs/>
                <w:color w:val="000000"/>
              </w:rPr>
              <w:t xml:space="preserve"> Pour les portes extérieures, ne sont concernées par ce document que celles correspondant à la définition</w:t>
            </w:r>
            <w:r w:rsidR="00BE5D0C" w:rsidRPr="00BE5D0C">
              <w:rPr>
                <w:i/>
                <w:iCs/>
                <w:color w:val="000000"/>
              </w:rPr>
              <w:t xml:space="preserve"> </w:t>
            </w:r>
            <w:r w:rsidRPr="00BE5D0C">
              <w:rPr>
                <w:i/>
                <w:iCs/>
                <w:color w:val="000000"/>
              </w:rPr>
              <w:t>des portes extérieures de l’article 3. De ce fait, seuls les blocs portes extérieurs sont concernés.</w:t>
            </w:r>
          </w:p>
          <w:p w:rsidR="00BE5D0C" w:rsidRDefault="001D24D9" w:rsidP="00BE5D0C">
            <w:pPr>
              <w:spacing w:after="0" w:line="240" w:lineRule="auto"/>
              <w:jc w:val="both"/>
              <w:rPr>
                <w:color w:val="000000"/>
                <w:sz w:val="24"/>
                <w:szCs w:val="24"/>
              </w:rPr>
            </w:pPr>
            <w:r w:rsidRPr="00BE5D0C">
              <w:rPr>
                <w:color w:val="000000"/>
                <w:sz w:val="24"/>
                <w:szCs w:val="24"/>
              </w:rPr>
              <w:lastRenderedPageBreak/>
              <w:t>Le présent document est applicable dans toutes les zones climatiques ou naturelles Marocaines</w:t>
            </w:r>
            <w:r w:rsidR="00BE5D0C">
              <w:rPr>
                <w:color w:val="000000"/>
                <w:sz w:val="24"/>
                <w:szCs w:val="24"/>
              </w:rPr>
              <w:t xml:space="preserve"> </w:t>
            </w:r>
            <w:r w:rsidRPr="00BE5D0C">
              <w:rPr>
                <w:color w:val="000000"/>
                <w:sz w:val="24"/>
                <w:szCs w:val="24"/>
              </w:rPr>
              <w:t>Le présent document ne s’applique pas :</w:t>
            </w:r>
            <w:r w:rsidR="00BE5D0C">
              <w:rPr>
                <w:color w:val="000000"/>
                <w:sz w:val="24"/>
                <w:szCs w:val="24"/>
              </w:rPr>
              <w:t xml:space="preserve"> </w:t>
            </w:r>
          </w:p>
          <w:p w:rsidR="00BE5D0C" w:rsidRDefault="001D24D9" w:rsidP="00BE5D0C">
            <w:pPr>
              <w:spacing w:after="0" w:line="240" w:lineRule="auto"/>
              <w:jc w:val="both"/>
              <w:rPr>
                <w:color w:val="000000"/>
                <w:sz w:val="24"/>
                <w:szCs w:val="24"/>
              </w:rPr>
            </w:pPr>
            <w:r w:rsidRPr="00BE5D0C">
              <w:rPr>
                <w:color w:val="000000"/>
                <w:sz w:val="24"/>
                <w:szCs w:val="24"/>
              </w:rPr>
              <w:t>— aux fenêtres incorporées en couverture, verrières ou mises en oeuvre en pente à plus de 15°, par exemple</w:t>
            </w:r>
            <w:r w:rsidR="00BE5D0C">
              <w:rPr>
                <w:color w:val="000000"/>
                <w:sz w:val="24"/>
                <w:szCs w:val="24"/>
              </w:rPr>
              <w:t xml:space="preserve"> </w:t>
            </w:r>
            <w:r w:rsidRPr="00BE5D0C">
              <w:rPr>
                <w:color w:val="000000"/>
                <w:sz w:val="24"/>
                <w:szCs w:val="24"/>
              </w:rPr>
              <w:t>aux fenêtres de toit ;</w:t>
            </w:r>
          </w:p>
          <w:p w:rsidR="00BE5D0C" w:rsidRDefault="001D24D9" w:rsidP="00BE5D0C">
            <w:pPr>
              <w:spacing w:after="0" w:line="240" w:lineRule="auto"/>
              <w:jc w:val="both"/>
              <w:rPr>
                <w:color w:val="000000"/>
                <w:sz w:val="24"/>
                <w:szCs w:val="24"/>
              </w:rPr>
            </w:pPr>
            <w:r w:rsidRPr="00BE5D0C">
              <w:rPr>
                <w:color w:val="000000"/>
                <w:sz w:val="24"/>
                <w:szCs w:val="24"/>
              </w:rPr>
              <w:t>— aux travaux de menuiserie intérieure ;</w:t>
            </w:r>
          </w:p>
          <w:p w:rsidR="00BE5D0C" w:rsidRDefault="001D24D9" w:rsidP="00BE5D0C">
            <w:pPr>
              <w:spacing w:after="0" w:line="240" w:lineRule="auto"/>
              <w:jc w:val="both"/>
              <w:rPr>
                <w:color w:val="000000"/>
                <w:sz w:val="24"/>
                <w:szCs w:val="24"/>
              </w:rPr>
            </w:pPr>
            <w:r w:rsidRPr="00BE5D0C">
              <w:rPr>
                <w:color w:val="000000"/>
                <w:sz w:val="24"/>
                <w:szCs w:val="24"/>
              </w:rPr>
              <w:t>— aux revêtements et habillages non directement liés aux fenêtres ;</w:t>
            </w:r>
          </w:p>
          <w:p w:rsidR="00BE5D0C" w:rsidRDefault="001D24D9" w:rsidP="00BE5D0C">
            <w:pPr>
              <w:spacing w:after="0" w:line="240" w:lineRule="auto"/>
              <w:jc w:val="both"/>
              <w:rPr>
                <w:color w:val="000000"/>
                <w:sz w:val="24"/>
                <w:szCs w:val="24"/>
              </w:rPr>
            </w:pPr>
            <w:r w:rsidRPr="00BE5D0C">
              <w:rPr>
                <w:color w:val="000000"/>
                <w:sz w:val="24"/>
                <w:szCs w:val="24"/>
              </w:rPr>
              <w:t>— aux produits avec une performance de résistance au feu.</w:t>
            </w:r>
          </w:p>
          <w:p w:rsidR="001D24D9" w:rsidRPr="00BE5D0C" w:rsidRDefault="001D24D9" w:rsidP="00BE5D0C">
            <w:pPr>
              <w:spacing w:after="0" w:line="240" w:lineRule="auto"/>
              <w:jc w:val="both"/>
              <w:rPr>
                <w:rFonts w:ascii="Times New Roman" w:hAnsi="Times New Roman" w:cs="Times New Roman"/>
                <w:color w:val="000000"/>
                <w:sz w:val="24"/>
                <w:szCs w:val="24"/>
              </w:rPr>
            </w:pPr>
            <w:r w:rsidRPr="00BE5D0C">
              <w:rPr>
                <w:color w:val="000000"/>
                <w:sz w:val="24"/>
                <w:szCs w:val="24"/>
              </w:rPr>
              <w:t>Dans la suite du présent document, sauf mention explicite, le terme fenêtre doit être interprété par fenêtres,</w:t>
            </w:r>
            <w:r w:rsidR="00BE5D0C">
              <w:rPr>
                <w:color w:val="000000"/>
                <w:sz w:val="24"/>
                <w:szCs w:val="24"/>
              </w:rPr>
              <w:t xml:space="preserve"> </w:t>
            </w:r>
            <w:r w:rsidRPr="00BE5D0C">
              <w:rPr>
                <w:color w:val="000000"/>
                <w:sz w:val="24"/>
                <w:szCs w:val="24"/>
              </w:rPr>
              <w:t>portes-fenêtres, blocs-baies, ensembles menuisés et portes extérieures, tels que définis en 3.</w:t>
            </w:r>
          </w:p>
        </w:tc>
      </w:tr>
      <w:tr w:rsidR="001D24D9" w:rsidRPr="0043547B" w:rsidTr="00BE5D0C">
        <w:trPr>
          <w:trHeight w:val="429"/>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1D24D9" w:rsidRPr="00BE5D0C" w:rsidRDefault="001D24D9" w:rsidP="00BE5D0C">
            <w:pPr>
              <w:spacing w:after="0" w:line="240" w:lineRule="auto"/>
              <w:jc w:val="center"/>
              <w:rPr>
                <w:rFonts w:ascii="Calibri" w:hAnsi="Calibri" w:cs="Calibri"/>
                <w:b/>
                <w:bCs/>
                <w:sz w:val="24"/>
                <w:szCs w:val="24"/>
              </w:rPr>
            </w:pPr>
            <w:r w:rsidRPr="00BE5D0C">
              <w:rPr>
                <w:rFonts w:ascii="Calibri" w:hAnsi="Calibri" w:cs="Calibri"/>
                <w:b/>
                <w:bCs/>
                <w:sz w:val="24"/>
                <w:szCs w:val="24"/>
              </w:rPr>
              <w:lastRenderedPageBreak/>
              <w:t>Code :</w:t>
            </w:r>
          </w:p>
        </w:tc>
        <w:tc>
          <w:tcPr>
            <w:tcW w:w="7938" w:type="dxa"/>
            <w:tcBorders>
              <w:left w:val="single" w:sz="4" w:space="0" w:color="auto"/>
              <w:bottom w:val="single" w:sz="18" w:space="0" w:color="auto"/>
              <w:right w:val="single" w:sz="18" w:space="0" w:color="auto"/>
            </w:tcBorders>
            <w:shd w:val="clear" w:color="auto" w:fill="C2D69B" w:themeFill="accent3" w:themeFillTint="99"/>
            <w:vAlign w:val="center"/>
          </w:tcPr>
          <w:p w:rsidR="001D24D9" w:rsidRPr="00BE5D0C" w:rsidRDefault="001D24D9" w:rsidP="00BE5D0C">
            <w:pPr>
              <w:spacing w:after="0" w:line="240" w:lineRule="auto"/>
              <w:jc w:val="center"/>
              <w:rPr>
                <w:rFonts w:ascii="Times New Roman" w:hAnsi="Times New Roman" w:cs="Times New Roman"/>
                <w:b/>
                <w:bCs/>
                <w:color w:val="000000"/>
                <w:sz w:val="24"/>
                <w:szCs w:val="24"/>
              </w:rPr>
            </w:pPr>
            <w:r w:rsidRPr="00BE5D0C">
              <w:rPr>
                <w:b/>
                <w:bCs/>
                <w:color w:val="000000"/>
                <w:sz w:val="24"/>
                <w:szCs w:val="24"/>
              </w:rPr>
              <w:t>NM 10.2.489</w:t>
            </w:r>
          </w:p>
        </w:tc>
      </w:tr>
      <w:tr w:rsidR="001D24D9" w:rsidRPr="0043547B" w:rsidTr="00BE5D0C">
        <w:trPr>
          <w:trHeight w:val="380"/>
          <w:jc w:val="center"/>
        </w:trPr>
        <w:tc>
          <w:tcPr>
            <w:tcW w:w="1838" w:type="dxa"/>
            <w:tcBorders>
              <w:top w:val="nil"/>
              <w:left w:val="single" w:sz="18" w:space="0" w:color="auto"/>
              <w:bottom w:val="single" w:sz="18" w:space="0" w:color="auto"/>
              <w:right w:val="single" w:sz="4" w:space="0" w:color="auto"/>
            </w:tcBorders>
            <w:shd w:val="clear" w:color="auto" w:fill="FFFF99"/>
            <w:vAlign w:val="center"/>
          </w:tcPr>
          <w:p w:rsidR="001D24D9" w:rsidRPr="00BE5D0C" w:rsidRDefault="001D24D9" w:rsidP="00BE5D0C">
            <w:pPr>
              <w:spacing w:after="0" w:line="240" w:lineRule="auto"/>
              <w:jc w:val="center"/>
              <w:rPr>
                <w:rFonts w:ascii="Calibri" w:hAnsi="Calibri" w:cs="Calibri"/>
                <w:b/>
                <w:bCs/>
                <w:sz w:val="24"/>
                <w:szCs w:val="24"/>
              </w:rPr>
            </w:pPr>
            <w:r w:rsidRPr="00BE5D0C">
              <w:rPr>
                <w:rFonts w:ascii="Calibri" w:hAnsi="Calibri" w:cs="Calibri"/>
                <w:b/>
                <w:bCs/>
                <w:sz w:val="24"/>
                <w:szCs w:val="24"/>
              </w:rPr>
              <w:t>Equivalence :</w:t>
            </w:r>
          </w:p>
        </w:tc>
        <w:tc>
          <w:tcPr>
            <w:tcW w:w="7938" w:type="dxa"/>
            <w:tcBorders>
              <w:left w:val="single" w:sz="4" w:space="0" w:color="auto"/>
              <w:bottom w:val="single" w:sz="18" w:space="0" w:color="auto"/>
              <w:right w:val="single" w:sz="18" w:space="0" w:color="auto"/>
            </w:tcBorders>
            <w:shd w:val="clear" w:color="auto" w:fill="FFFF99"/>
            <w:vAlign w:val="center"/>
          </w:tcPr>
          <w:p w:rsidR="001D24D9" w:rsidRPr="00BE5D0C" w:rsidRDefault="001D24D9" w:rsidP="00BE5D0C">
            <w:pPr>
              <w:spacing w:after="0" w:line="240" w:lineRule="auto"/>
              <w:jc w:val="center"/>
              <w:rPr>
                <w:rFonts w:ascii="Times New Roman" w:hAnsi="Times New Roman" w:cs="Times New Roman"/>
                <w:b/>
                <w:bCs/>
                <w:color w:val="000000"/>
                <w:sz w:val="24"/>
                <w:szCs w:val="24"/>
              </w:rPr>
            </w:pPr>
            <w:r w:rsidRPr="00BE5D0C">
              <w:rPr>
                <w:b/>
                <w:bCs/>
                <w:color w:val="000000"/>
                <w:sz w:val="24"/>
                <w:szCs w:val="24"/>
              </w:rPr>
              <w:t>DTU 36.5 P1-2</w:t>
            </w:r>
          </w:p>
        </w:tc>
      </w:tr>
      <w:tr w:rsidR="001D24D9" w:rsidRPr="0043547B" w:rsidTr="00BE5D0C">
        <w:trPr>
          <w:trHeight w:val="670"/>
          <w:jc w:val="center"/>
        </w:trPr>
        <w:tc>
          <w:tcPr>
            <w:tcW w:w="1838" w:type="dxa"/>
            <w:tcBorders>
              <w:top w:val="single" w:sz="18" w:space="0" w:color="auto"/>
              <w:left w:val="single" w:sz="18" w:space="0" w:color="auto"/>
              <w:bottom w:val="single" w:sz="4" w:space="0" w:color="auto"/>
              <w:right w:val="single" w:sz="4" w:space="0" w:color="auto"/>
            </w:tcBorders>
            <w:shd w:val="clear" w:color="auto" w:fill="95B3D7" w:themeFill="accent1" w:themeFillTint="99"/>
            <w:vAlign w:val="center"/>
          </w:tcPr>
          <w:p w:rsidR="001D24D9" w:rsidRPr="00BE5D0C" w:rsidRDefault="001D24D9" w:rsidP="00BE5D0C">
            <w:pPr>
              <w:spacing w:after="0" w:line="240" w:lineRule="auto"/>
              <w:jc w:val="center"/>
              <w:rPr>
                <w:rFonts w:ascii="Calibri" w:hAnsi="Calibri" w:cs="Calibri"/>
                <w:b/>
                <w:bCs/>
                <w:sz w:val="24"/>
                <w:szCs w:val="24"/>
              </w:rPr>
            </w:pPr>
            <w:r w:rsidRPr="00BE5D0C">
              <w:rPr>
                <w:rFonts w:ascii="Calibri" w:hAnsi="Calibri" w:cs="Calibr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tcPr>
          <w:p w:rsidR="001D24D9" w:rsidRPr="00BE5D0C" w:rsidRDefault="001D24D9" w:rsidP="00BE5D0C">
            <w:pPr>
              <w:spacing w:after="0" w:line="240" w:lineRule="auto"/>
              <w:rPr>
                <w:rFonts w:ascii="Times New Roman" w:hAnsi="Times New Roman" w:cs="Times New Roman"/>
                <w:color w:val="000000"/>
                <w:sz w:val="24"/>
                <w:szCs w:val="24"/>
              </w:rPr>
            </w:pPr>
            <w:r w:rsidRPr="00BE5D0C">
              <w:rPr>
                <w:color w:val="000000"/>
                <w:sz w:val="24"/>
                <w:szCs w:val="24"/>
              </w:rPr>
              <w:t xml:space="preserve">Travaux de bâtiment - Mise en œuvre des fenêtres et portes extérieures - Partie 1-2 : Critères généraux de choix des matériaux (CGCM) ; </w:t>
            </w:r>
          </w:p>
        </w:tc>
      </w:tr>
      <w:tr w:rsidR="001D24D9" w:rsidRPr="0043547B" w:rsidTr="00BE5D0C">
        <w:trPr>
          <w:trHeight w:val="1114"/>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1D24D9" w:rsidRPr="00BE5D0C" w:rsidRDefault="001D24D9" w:rsidP="00BE5D0C">
            <w:pPr>
              <w:spacing w:after="0" w:line="240" w:lineRule="auto"/>
              <w:jc w:val="center"/>
              <w:rPr>
                <w:rFonts w:ascii="Calibri" w:hAnsi="Calibri" w:cs="Calibri"/>
                <w:b/>
                <w:bCs/>
                <w:sz w:val="24"/>
                <w:szCs w:val="24"/>
              </w:rPr>
            </w:pPr>
            <w:r w:rsidRPr="00BE5D0C">
              <w:rPr>
                <w:rFonts w:ascii="Calibri" w:hAnsi="Calibri" w:cs="Calibr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bottom"/>
          </w:tcPr>
          <w:p w:rsidR="001D24D9" w:rsidRPr="00BE5D0C" w:rsidRDefault="001D24D9" w:rsidP="00CE7B8B">
            <w:pPr>
              <w:spacing w:after="0" w:line="240" w:lineRule="auto"/>
              <w:jc w:val="both"/>
              <w:rPr>
                <w:rFonts w:ascii="Times New Roman" w:hAnsi="Times New Roman" w:cs="Times New Roman"/>
                <w:color w:val="000000"/>
                <w:sz w:val="24"/>
                <w:szCs w:val="24"/>
              </w:rPr>
            </w:pPr>
            <w:r w:rsidRPr="00BE5D0C">
              <w:rPr>
                <w:color w:val="000000"/>
                <w:sz w:val="24"/>
                <w:szCs w:val="24"/>
              </w:rPr>
              <w:t>Le présent document a pour objet de fixer les critères généraux de choix des matériaux et produits utilisés pour la</w:t>
            </w:r>
            <w:r w:rsidR="00CE7B8B">
              <w:rPr>
                <w:color w:val="000000"/>
                <w:sz w:val="24"/>
                <w:szCs w:val="24"/>
              </w:rPr>
              <w:t xml:space="preserve"> </w:t>
            </w:r>
            <w:r w:rsidRPr="00BE5D0C">
              <w:rPr>
                <w:color w:val="000000"/>
                <w:sz w:val="24"/>
                <w:szCs w:val="24"/>
              </w:rPr>
              <w:t>réalisation de travaux de mise en oeuvre de fenêtres, portes-fenêtres, blocs baies, ensembles menuisés et</w:t>
            </w:r>
            <w:r w:rsidR="00CE7B8B">
              <w:rPr>
                <w:color w:val="000000"/>
                <w:sz w:val="24"/>
                <w:szCs w:val="24"/>
              </w:rPr>
              <w:t xml:space="preserve"> </w:t>
            </w:r>
            <w:r w:rsidRPr="00BE5D0C">
              <w:rPr>
                <w:color w:val="000000"/>
                <w:sz w:val="24"/>
                <w:szCs w:val="24"/>
              </w:rPr>
              <w:t>portes extérieures, tels que définis dans le NM 10.2.488</w:t>
            </w:r>
            <w:r w:rsidR="00CE7B8B">
              <w:rPr>
                <w:color w:val="000000"/>
                <w:sz w:val="24"/>
                <w:szCs w:val="24"/>
              </w:rPr>
              <w:t xml:space="preserve"> </w:t>
            </w:r>
            <w:r w:rsidRPr="00BE5D0C">
              <w:rPr>
                <w:color w:val="000000"/>
                <w:sz w:val="24"/>
                <w:szCs w:val="24"/>
              </w:rPr>
              <w:t>Dans la suite de ce document le terme fenêtre doit être interprété, sauf mention explicite,</w:t>
            </w:r>
            <w:r w:rsidR="00CE7B8B">
              <w:rPr>
                <w:color w:val="000000"/>
                <w:sz w:val="24"/>
                <w:szCs w:val="24"/>
              </w:rPr>
              <w:t xml:space="preserve"> </w:t>
            </w:r>
            <w:r w:rsidRPr="00BE5D0C">
              <w:rPr>
                <w:color w:val="000000"/>
                <w:sz w:val="24"/>
                <w:szCs w:val="24"/>
              </w:rPr>
              <w:t>par fenêtres, portes-fenêtres, bloc-baies, ensembles menuisés et portes extérieures, tels que définis</w:t>
            </w:r>
            <w:r w:rsidRPr="00BE5D0C">
              <w:rPr>
                <w:color w:val="000000"/>
                <w:sz w:val="24"/>
                <w:szCs w:val="24"/>
              </w:rPr>
              <w:br/>
              <w:t>dans le NM 10.2.488.</w:t>
            </w:r>
          </w:p>
        </w:tc>
      </w:tr>
      <w:tr w:rsidR="001D24D9" w:rsidRPr="0043547B" w:rsidTr="00BE5D0C">
        <w:trPr>
          <w:trHeight w:val="508"/>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1D24D9" w:rsidRPr="00BE5D0C" w:rsidRDefault="001D24D9" w:rsidP="00BE5D0C">
            <w:pPr>
              <w:spacing w:after="0" w:line="240" w:lineRule="auto"/>
              <w:jc w:val="center"/>
              <w:rPr>
                <w:rFonts w:ascii="Calibri" w:hAnsi="Calibri" w:cs="Calibri"/>
                <w:b/>
                <w:bCs/>
                <w:sz w:val="24"/>
                <w:szCs w:val="24"/>
              </w:rPr>
            </w:pPr>
            <w:r w:rsidRPr="00BE5D0C">
              <w:rPr>
                <w:rFonts w:ascii="Calibri" w:hAnsi="Calibri" w:cs="Calibri"/>
                <w:b/>
                <w:bCs/>
                <w:sz w:val="24"/>
                <w:szCs w:val="24"/>
              </w:rPr>
              <w:t>Code :</w:t>
            </w:r>
          </w:p>
        </w:tc>
        <w:tc>
          <w:tcPr>
            <w:tcW w:w="7938" w:type="dxa"/>
            <w:tcBorders>
              <w:left w:val="single" w:sz="4" w:space="0" w:color="auto"/>
              <w:bottom w:val="single" w:sz="18" w:space="0" w:color="auto"/>
              <w:right w:val="single" w:sz="18" w:space="0" w:color="auto"/>
            </w:tcBorders>
            <w:shd w:val="clear" w:color="auto" w:fill="C2D69B" w:themeFill="accent3" w:themeFillTint="99"/>
            <w:vAlign w:val="center"/>
          </w:tcPr>
          <w:p w:rsidR="001D24D9" w:rsidRPr="00BE5D0C" w:rsidRDefault="001D24D9" w:rsidP="00BE5D0C">
            <w:pPr>
              <w:spacing w:after="0" w:line="240" w:lineRule="auto"/>
              <w:jc w:val="center"/>
              <w:rPr>
                <w:rFonts w:ascii="Times New Roman" w:hAnsi="Times New Roman" w:cs="Times New Roman"/>
                <w:b/>
                <w:bCs/>
                <w:color w:val="000000"/>
                <w:sz w:val="24"/>
                <w:szCs w:val="24"/>
              </w:rPr>
            </w:pPr>
            <w:r w:rsidRPr="00BE5D0C">
              <w:rPr>
                <w:b/>
                <w:bCs/>
                <w:color w:val="000000"/>
                <w:sz w:val="24"/>
                <w:szCs w:val="24"/>
              </w:rPr>
              <w:t>NM 10.2.490</w:t>
            </w:r>
          </w:p>
        </w:tc>
      </w:tr>
      <w:tr w:rsidR="001D24D9" w:rsidRPr="0043547B" w:rsidTr="00CE7B8B">
        <w:trPr>
          <w:trHeight w:val="374"/>
          <w:jc w:val="center"/>
        </w:trPr>
        <w:tc>
          <w:tcPr>
            <w:tcW w:w="1838" w:type="dxa"/>
            <w:tcBorders>
              <w:top w:val="nil"/>
              <w:left w:val="single" w:sz="18" w:space="0" w:color="auto"/>
              <w:bottom w:val="single" w:sz="18" w:space="0" w:color="auto"/>
              <w:right w:val="single" w:sz="4" w:space="0" w:color="auto"/>
            </w:tcBorders>
            <w:shd w:val="clear" w:color="auto" w:fill="FFFF99"/>
            <w:vAlign w:val="center"/>
          </w:tcPr>
          <w:p w:rsidR="001D24D9" w:rsidRPr="00BE5D0C" w:rsidRDefault="001D24D9" w:rsidP="00BE5D0C">
            <w:pPr>
              <w:spacing w:after="0" w:line="240" w:lineRule="auto"/>
              <w:jc w:val="center"/>
              <w:rPr>
                <w:rFonts w:ascii="Calibri" w:hAnsi="Calibri" w:cs="Calibri"/>
                <w:b/>
                <w:bCs/>
                <w:sz w:val="24"/>
                <w:szCs w:val="24"/>
              </w:rPr>
            </w:pPr>
            <w:r w:rsidRPr="00BE5D0C">
              <w:rPr>
                <w:rFonts w:ascii="Calibri" w:hAnsi="Calibri" w:cs="Calibri"/>
                <w:b/>
                <w:bCs/>
                <w:sz w:val="24"/>
                <w:szCs w:val="24"/>
              </w:rPr>
              <w:t>Equivalence :</w:t>
            </w:r>
          </w:p>
        </w:tc>
        <w:tc>
          <w:tcPr>
            <w:tcW w:w="7938" w:type="dxa"/>
            <w:tcBorders>
              <w:left w:val="single" w:sz="4" w:space="0" w:color="auto"/>
              <w:bottom w:val="single" w:sz="18" w:space="0" w:color="auto"/>
              <w:right w:val="single" w:sz="18" w:space="0" w:color="auto"/>
            </w:tcBorders>
            <w:shd w:val="clear" w:color="auto" w:fill="FFFF99"/>
            <w:vAlign w:val="center"/>
          </w:tcPr>
          <w:p w:rsidR="001D24D9" w:rsidRPr="00BE5D0C" w:rsidRDefault="001D24D9" w:rsidP="00BE5D0C">
            <w:pPr>
              <w:spacing w:after="0" w:line="240" w:lineRule="auto"/>
              <w:jc w:val="center"/>
              <w:rPr>
                <w:rFonts w:ascii="Times New Roman" w:hAnsi="Times New Roman" w:cs="Times New Roman"/>
                <w:b/>
                <w:bCs/>
                <w:color w:val="000000"/>
                <w:sz w:val="24"/>
                <w:szCs w:val="24"/>
              </w:rPr>
            </w:pPr>
            <w:r w:rsidRPr="00BE5D0C">
              <w:rPr>
                <w:b/>
                <w:bCs/>
                <w:color w:val="000000"/>
                <w:sz w:val="24"/>
                <w:szCs w:val="24"/>
              </w:rPr>
              <w:t>DTU 36.5 P2</w:t>
            </w:r>
          </w:p>
        </w:tc>
      </w:tr>
      <w:tr w:rsidR="001D24D9" w:rsidRPr="0043547B" w:rsidTr="00CE7B8B">
        <w:trPr>
          <w:trHeight w:val="663"/>
          <w:jc w:val="center"/>
        </w:trPr>
        <w:tc>
          <w:tcPr>
            <w:tcW w:w="1838" w:type="dxa"/>
            <w:tcBorders>
              <w:top w:val="single" w:sz="18" w:space="0" w:color="auto"/>
              <w:left w:val="single" w:sz="18" w:space="0" w:color="auto"/>
              <w:bottom w:val="single" w:sz="4" w:space="0" w:color="auto"/>
              <w:right w:val="single" w:sz="4" w:space="0" w:color="auto"/>
            </w:tcBorders>
            <w:shd w:val="clear" w:color="auto" w:fill="95B3D7" w:themeFill="accent1" w:themeFillTint="99"/>
            <w:vAlign w:val="center"/>
          </w:tcPr>
          <w:p w:rsidR="001D24D9" w:rsidRPr="00BE5D0C" w:rsidRDefault="001D24D9" w:rsidP="00BE5D0C">
            <w:pPr>
              <w:spacing w:after="0" w:line="240" w:lineRule="auto"/>
              <w:jc w:val="center"/>
              <w:rPr>
                <w:rFonts w:ascii="Calibri" w:hAnsi="Calibri" w:cs="Calibri"/>
                <w:b/>
                <w:bCs/>
                <w:sz w:val="24"/>
                <w:szCs w:val="24"/>
              </w:rPr>
            </w:pPr>
            <w:r w:rsidRPr="00BE5D0C">
              <w:rPr>
                <w:rFonts w:ascii="Calibri" w:hAnsi="Calibri" w:cs="Calibr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tcPr>
          <w:p w:rsidR="001D24D9" w:rsidRPr="00BE5D0C" w:rsidRDefault="001D24D9" w:rsidP="00BE5D0C">
            <w:pPr>
              <w:spacing w:after="0" w:line="240" w:lineRule="auto"/>
              <w:rPr>
                <w:rFonts w:ascii="Times New Roman" w:hAnsi="Times New Roman" w:cs="Times New Roman"/>
                <w:color w:val="000000"/>
                <w:sz w:val="24"/>
                <w:szCs w:val="24"/>
              </w:rPr>
            </w:pPr>
            <w:r w:rsidRPr="00BE5D0C">
              <w:rPr>
                <w:color w:val="000000"/>
                <w:sz w:val="24"/>
                <w:szCs w:val="24"/>
              </w:rPr>
              <w:t>Travaux de bâtiment - Mise en œuvre des fenêtres et portes extérieures - Partie 2 : Cahier des clauses administratives spéciales types ;</w:t>
            </w:r>
          </w:p>
        </w:tc>
      </w:tr>
      <w:tr w:rsidR="001D24D9" w:rsidRPr="0043547B" w:rsidTr="00CE7B8B">
        <w:trPr>
          <w:trHeight w:val="1114"/>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1D24D9" w:rsidRPr="00BE5D0C" w:rsidRDefault="001D24D9" w:rsidP="00BE5D0C">
            <w:pPr>
              <w:spacing w:after="0" w:line="240" w:lineRule="auto"/>
              <w:jc w:val="center"/>
              <w:rPr>
                <w:rFonts w:ascii="Calibri" w:hAnsi="Calibri" w:cs="Calibri"/>
                <w:b/>
                <w:bCs/>
                <w:sz w:val="24"/>
                <w:szCs w:val="24"/>
              </w:rPr>
            </w:pPr>
            <w:r w:rsidRPr="00BE5D0C">
              <w:rPr>
                <w:rFonts w:ascii="Calibri" w:hAnsi="Calibri" w:cs="Calibr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bottom"/>
          </w:tcPr>
          <w:p w:rsidR="00CE7B8B" w:rsidRDefault="001D24D9" w:rsidP="00CE7B8B">
            <w:pPr>
              <w:spacing w:after="0" w:line="240" w:lineRule="auto"/>
              <w:jc w:val="both"/>
              <w:rPr>
                <w:color w:val="000000"/>
                <w:sz w:val="24"/>
                <w:szCs w:val="24"/>
              </w:rPr>
            </w:pPr>
            <w:r w:rsidRPr="00BE5D0C">
              <w:rPr>
                <w:color w:val="000000"/>
                <w:sz w:val="24"/>
                <w:szCs w:val="24"/>
              </w:rPr>
              <w:t xml:space="preserve">Le présent document a pour objet de définir les clauses administratives spéciales aux travaux de mise en </w:t>
            </w:r>
            <w:r w:rsidR="00CE7B8B">
              <w:rPr>
                <w:color w:val="000000"/>
                <w:sz w:val="24"/>
                <w:szCs w:val="24"/>
              </w:rPr>
              <w:t xml:space="preserve">œuvre </w:t>
            </w:r>
            <w:r w:rsidRPr="00BE5D0C">
              <w:rPr>
                <w:color w:val="000000"/>
                <w:sz w:val="24"/>
                <w:szCs w:val="24"/>
              </w:rPr>
              <w:t>des fenêtres, portes-fenêtres, blocs baies, ensembles menuisés et portes extérieures faisant l'objet de la</w:t>
            </w:r>
            <w:r w:rsidR="00CE7B8B">
              <w:rPr>
                <w:color w:val="000000"/>
                <w:sz w:val="24"/>
                <w:szCs w:val="24"/>
              </w:rPr>
              <w:t xml:space="preserve"> </w:t>
            </w:r>
            <w:r w:rsidRPr="00BE5D0C">
              <w:rPr>
                <w:color w:val="000000"/>
                <w:sz w:val="24"/>
                <w:szCs w:val="24"/>
              </w:rPr>
              <w:t>norme NM 10.2.488</w:t>
            </w:r>
            <w:r w:rsidR="00CE7B8B">
              <w:rPr>
                <w:color w:val="000000"/>
                <w:sz w:val="24"/>
                <w:szCs w:val="24"/>
              </w:rPr>
              <w:t>.</w:t>
            </w:r>
            <w:r w:rsidRPr="00BE5D0C">
              <w:rPr>
                <w:color w:val="000000"/>
                <w:sz w:val="24"/>
                <w:szCs w:val="24"/>
              </w:rPr>
              <w:br/>
              <w:t>Lorsque l'entreprise titulaire du marché sous-traite les travaux, objet du présent document, elle s'engage</w:t>
            </w:r>
            <w:r w:rsidR="00CE7B8B">
              <w:rPr>
                <w:color w:val="000000"/>
                <w:sz w:val="24"/>
                <w:szCs w:val="24"/>
              </w:rPr>
              <w:t xml:space="preserve"> </w:t>
            </w:r>
            <w:r w:rsidRPr="00BE5D0C">
              <w:rPr>
                <w:color w:val="000000"/>
                <w:sz w:val="24"/>
                <w:szCs w:val="24"/>
              </w:rPr>
              <w:t>à respecter les conditions suivantes :</w:t>
            </w:r>
          </w:p>
          <w:p w:rsidR="00CE7B8B" w:rsidRDefault="001D24D9" w:rsidP="00CE7B8B">
            <w:pPr>
              <w:spacing w:after="0" w:line="240" w:lineRule="auto"/>
              <w:jc w:val="both"/>
              <w:rPr>
                <w:color w:val="000000"/>
                <w:sz w:val="24"/>
                <w:szCs w:val="24"/>
              </w:rPr>
            </w:pPr>
            <w:r w:rsidRPr="00BE5D0C">
              <w:rPr>
                <w:color w:val="000000"/>
                <w:sz w:val="24"/>
                <w:szCs w:val="24"/>
              </w:rPr>
              <w:t>— le contrat de sous-traitance passé entre l'entreprise principale et le sous-traitant reprend les droits et</w:t>
            </w:r>
            <w:r w:rsidR="00CE7B8B">
              <w:rPr>
                <w:color w:val="000000"/>
                <w:sz w:val="24"/>
                <w:szCs w:val="24"/>
              </w:rPr>
              <w:t xml:space="preserve"> </w:t>
            </w:r>
            <w:r w:rsidRPr="00BE5D0C">
              <w:rPr>
                <w:color w:val="000000"/>
                <w:sz w:val="24"/>
                <w:szCs w:val="24"/>
              </w:rPr>
              <w:t>obligations du marché conclu entre l'entreprise principale et le maître d'ouvrage ;</w:t>
            </w:r>
          </w:p>
          <w:p w:rsidR="001D24D9" w:rsidRPr="00BE5D0C" w:rsidRDefault="001D24D9" w:rsidP="00CE7B8B">
            <w:pPr>
              <w:spacing w:after="0" w:line="240" w:lineRule="auto"/>
              <w:jc w:val="both"/>
              <w:rPr>
                <w:rFonts w:ascii="Times New Roman" w:hAnsi="Times New Roman" w:cs="Times New Roman"/>
                <w:color w:val="000000"/>
                <w:sz w:val="24"/>
                <w:szCs w:val="24"/>
              </w:rPr>
            </w:pPr>
            <w:r w:rsidRPr="00BE5D0C">
              <w:rPr>
                <w:color w:val="000000"/>
                <w:sz w:val="24"/>
                <w:szCs w:val="24"/>
              </w:rPr>
              <w:t>— le sous-traitant a communication par l'entreprise principale de toutes les pièces techniques et administratives</w:t>
            </w:r>
            <w:r w:rsidR="00CE7B8B">
              <w:rPr>
                <w:color w:val="000000"/>
                <w:sz w:val="24"/>
                <w:szCs w:val="24"/>
              </w:rPr>
              <w:t xml:space="preserve"> </w:t>
            </w:r>
            <w:r w:rsidRPr="00BE5D0C">
              <w:rPr>
                <w:color w:val="000000"/>
                <w:sz w:val="24"/>
                <w:szCs w:val="24"/>
              </w:rPr>
              <w:t>du marché qui concernent les travaux sous-traités.</w:t>
            </w:r>
            <w:r w:rsidRPr="00BE5D0C">
              <w:rPr>
                <w:color w:val="000000"/>
                <w:sz w:val="24"/>
                <w:szCs w:val="24"/>
              </w:rPr>
              <w:br/>
              <w:t>Dans la suite de ce document, sauf mention explicite, le terme fenêtre doit être interprété par fenêtres,</w:t>
            </w:r>
            <w:r w:rsidR="00CE7B8B">
              <w:rPr>
                <w:color w:val="000000"/>
                <w:sz w:val="24"/>
                <w:szCs w:val="24"/>
              </w:rPr>
              <w:t xml:space="preserve"> </w:t>
            </w:r>
            <w:r w:rsidRPr="00BE5D0C">
              <w:rPr>
                <w:color w:val="000000"/>
                <w:sz w:val="24"/>
                <w:szCs w:val="24"/>
              </w:rPr>
              <w:t>portes-fenêtres, blocs-baies, ensembles menuisés et portes extérieures, tels que définis dans</w:t>
            </w:r>
            <w:r w:rsidR="00CE7B8B">
              <w:rPr>
                <w:color w:val="000000"/>
                <w:sz w:val="24"/>
                <w:szCs w:val="24"/>
              </w:rPr>
              <w:t xml:space="preserve"> </w:t>
            </w:r>
            <w:r w:rsidRPr="00BE5D0C">
              <w:rPr>
                <w:color w:val="000000"/>
                <w:sz w:val="24"/>
                <w:szCs w:val="24"/>
              </w:rPr>
              <w:t>la norme NM 10.2.488</w:t>
            </w:r>
          </w:p>
        </w:tc>
      </w:tr>
      <w:tr w:rsidR="0043547B" w:rsidRPr="0043547B" w:rsidTr="00BE5D0C">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F24BE1" w:rsidRPr="0043547B" w:rsidRDefault="00F24BE1" w:rsidP="00BE5D0C">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F24BE1" w:rsidRPr="0043547B" w:rsidRDefault="00F24BE1" w:rsidP="00F24BE1">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14600</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F24BE1" w:rsidRPr="0043547B" w:rsidRDefault="00F24BE1" w:rsidP="00F24BE1">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F24BE1" w:rsidRPr="0043547B" w:rsidRDefault="00F24BE1" w:rsidP="00F24BE1">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14600</w:t>
            </w:r>
          </w:p>
        </w:tc>
      </w:tr>
      <w:tr w:rsidR="0043547B" w:rsidRPr="0043547B" w:rsidTr="00CB5DC0">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F24BE1" w:rsidRPr="0043547B" w:rsidRDefault="00F24BE1" w:rsidP="00F24BE1">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vAlign w:val="center"/>
            <w:hideMark/>
          </w:tcPr>
          <w:p w:rsidR="00F24BE1" w:rsidRPr="0043547B" w:rsidRDefault="00F24BE1" w:rsidP="00F24BE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Blocs-portes et fenêtres ouvrantes résistant au feu et/ou pare-fumées - Exigences et classification</w:t>
            </w:r>
          </w:p>
        </w:tc>
      </w:tr>
      <w:tr w:rsidR="0043547B" w:rsidRPr="0043547B" w:rsidTr="00CB5DC0">
        <w:trPr>
          <w:trHeight w:val="2601"/>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F24BE1" w:rsidRPr="0043547B" w:rsidRDefault="00F24BE1" w:rsidP="00F24BE1">
            <w:pPr>
              <w:spacing w:after="0"/>
              <w:jc w:val="center"/>
              <w:rPr>
                <w:rFonts w:cstheme="minorHAnsi"/>
                <w:b/>
                <w:bCs/>
                <w:sz w:val="24"/>
                <w:szCs w:val="24"/>
              </w:rPr>
            </w:pPr>
            <w:r w:rsidRPr="0043547B">
              <w:rPr>
                <w:rFonts w:cstheme="minorHAnsi"/>
                <w:b/>
                <w:bCs/>
                <w:sz w:val="24"/>
                <w:szCs w:val="24"/>
              </w:rPr>
              <w:lastRenderedPageBreak/>
              <w:t>Domaine d’application :</w:t>
            </w:r>
          </w:p>
        </w:tc>
        <w:tc>
          <w:tcPr>
            <w:tcW w:w="7938" w:type="dxa"/>
            <w:tcBorders>
              <w:left w:val="single" w:sz="4" w:space="0" w:color="auto"/>
              <w:bottom w:val="single" w:sz="18" w:space="0" w:color="auto"/>
              <w:right w:val="single" w:sz="18" w:space="0" w:color="auto"/>
            </w:tcBorders>
            <w:shd w:val="clear" w:color="auto" w:fill="auto"/>
            <w:vAlign w:val="center"/>
            <w:hideMark/>
          </w:tcPr>
          <w:p w:rsidR="00F24BE1" w:rsidRPr="0043547B" w:rsidRDefault="00F24BE1" w:rsidP="00F24BE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 présent document identifie les exigences spécifiques et les classifications nécessaires pour démontrer les caractéristiques de résistance au feu, d'étanchéité à la fumée et le maintien des caractéristiques de fermeture automatique des blocs-portes pour piétons, blocs-portes de type industriel et fenêtres ouvrantes.</w:t>
            </w:r>
          </w:p>
          <w:p w:rsidR="00F24BE1" w:rsidRPr="0043547B" w:rsidRDefault="00F24BE1" w:rsidP="00F24BE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caractéristiques de performance exigées de ces produits figurent dans les normes de produits concernées.</w:t>
            </w:r>
          </w:p>
          <w:p w:rsidR="00F24BE1" w:rsidRPr="0043547B" w:rsidRDefault="00F24BE1" w:rsidP="00F24BE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 présent document ne couvre aucun essai de fiabilité ou de durabilité des éléments des détecteurs de chaleur mécaniques (dispositifs de liaison fusible). Les exigences relatives à l'utilisation d'éléments de quincaillerie de substitution sont fournies.</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F24BE1" w:rsidRPr="0043547B" w:rsidRDefault="00F24BE1" w:rsidP="00F24BE1">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F24BE1" w:rsidRPr="0043547B" w:rsidRDefault="00F24BE1" w:rsidP="00F24BE1">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1192</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F24BE1" w:rsidRPr="0043547B" w:rsidRDefault="00F24BE1" w:rsidP="00F24BE1">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F24BE1" w:rsidRPr="0043547B" w:rsidRDefault="00F24BE1" w:rsidP="00F24BE1">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1192</w:t>
            </w:r>
          </w:p>
        </w:tc>
      </w:tr>
      <w:tr w:rsidR="0043547B" w:rsidRPr="0043547B" w:rsidTr="00CB5DC0">
        <w:trPr>
          <w:trHeight w:val="39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F24BE1" w:rsidRPr="0043547B" w:rsidRDefault="00F24BE1" w:rsidP="00F24BE1">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vAlign w:val="center"/>
            <w:hideMark/>
          </w:tcPr>
          <w:p w:rsidR="00F24BE1" w:rsidRPr="0043547B" w:rsidRDefault="00F24BE1" w:rsidP="00F24BE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Portes - Classification des exigences de résistance mécanique</w:t>
            </w:r>
          </w:p>
        </w:tc>
      </w:tr>
      <w:tr w:rsidR="0043547B" w:rsidRPr="0043547B" w:rsidTr="0086084D">
        <w:trPr>
          <w:trHeight w:val="699"/>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F24BE1" w:rsidRPr="0043547B" w:rsidRDefault="00F24BE1" w:rsidP="00F24BE1">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center"/>
            <w:hideMark/>
          </w:tcPr>
          <w:p w:rsidR="00F24BE1" w:rsidRPr="0043547B" w:rsidRDefault="00F24BE1" w:rsidP="00F24BE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fournit un moyen de classement des performances des vantaux, huisseries, blocs-portes, blocs-portes assemblés selon leur résistance à la charge verticale, à la torsion statique, au choc de corps mou et lourd et au choc de corps dur. Les niveaux de performance indiquent l'usage normal pour une gamme de types de sollicitations. Ne sont pas incluses les exigences spéciales, telles que celles concernant la résistance à l'effraction ou celles de sécurité liées aux remplissages en verre.</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F24BE1" w:rsidRPr="0043547B" w:rsidRDefault="00F24BE1" w:rsidP="00F24BE1">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F24BE1" w:rsidRPr="0043547B" w:rsidRDefault="00F24BE1" w:rsidP="00F24BE1">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12219</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F24BE1" w:rsidRPr="0043547B" w:rsidRDefault="00F24BE1" w:rsidP="00F24BE1">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F24BE1" w:rsidRPr="0043547B" w:rsidRDefault="00F24BE1" w:rsidP="00F24BE1">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12219</w:t>
            </w:r>
          </w:p>
        </w:tc>
      </w:tr>
      <w:tr w:rsidR="0043547B" w:rsidRPr="0043547B" w:rsidTr="00CB5DC0">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F24BE1" w:rsidRPr="0043547B" w:rsidRDefault="00F24BE1" w:rsidP="00F24BE1">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vAlign w:val="center"/>
            <w:hideMark/>
          </w:tcPr>
          <w:p w:rsidR="00F24BE1" w:rsidRPr="0043547B" w:rsidRDefault="00F24BE1" w:rsidP="00F24BE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Portes - Influences climatiques - Exigences et classification</w:t>
            </w:r>
          </w:p>
        </w:tc>
      </w:tr>
      <w:tr w:rsidR="0043547B" w:rsidRPr="0043547B" w:rsidTr="00CB5DC0">
        <w:trPr>
          <w:trHeight w:val="585"/>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F24BE1" w:rsidRPr="0043547B" w:rsidRDefault="00F24BE1" w:rsidP="00F24BE1">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center"/>
            <w:hideMark/>
          </w:tcPr>
          <w:p w:rsidR="00F24BE1" w:rsidRPr="0043547B" w:rsidRDefault="00F24BE1" w:rsidP="00F24BE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aux vantaux de portes et aux blocs-portes soumis à un essai conformément aux prEN 1121-2 et prEN 1294.</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F24BE1" w:rsidRPr="0043547B" w:rsidRDefault="00F24BE1" w:rsidP="00F24BE1">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F24BE1" w:rsidRPr="0043547B" w:rsidRDefault="00F24BE1" w:rsidP="00F24BE1">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1529 </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F24BE1" w:rsidRPr="0043547B" w:rsidRDefault="00F24BE1" w:rsidP="00F24BE1">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F24BE1" w:rsidRPr="0043547B" w:rsidRDefault="00F24BE1" w:rsidP="00F24BE1">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1529 </w:t>
            </w:r>
          </w:p>
        </w:tc>
      </w:tr>
      <w:tr w:rsidR="0043547B" w:rsidRPr="0043547B" w:rsidTr="00CB5DC0">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F24BE1" w:rsidRPr="0043547B" w:rsidRDefault="00F24BE1" w:rsidP="00F24BE1">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vAlign w:val="center"/>
            <w:hideMark/>
          </w:tcPr>
          <w:p w:rsidR="00F24BE1" w:rsidRPr="0043547B" w:rsidRDefault="00F24BE1" w:rsidP="00F24BE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Vantaux de portes - Hauteur, largeur, épaisseur et équerrage - Classes de tolérance</w:t>
            </w:r>
          </w:p>
        </w:tc>
      </w:tr>
      <w:tr w:rsidR="0043547B" w:rsidRPr="0043547B" w:rsidTr="00CB5DC0">
        <w:trPr>
          <w:trHeight w:val="65"/>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F24BE1" w:rsidRPr="0043547B" w:rsidRDefault="00F24BE1" w:rsidP="00F24BE1">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center"/>
            <w:hideMark/>
          </w:tcPr>
          <w:p w:rsidR="00F24BE1" w:rsidRPr="0043547B" w:rsidRDefault="00F24BE1" w:rsidP="00F24BE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donne les limites de tolérances des valeurs spécifiées de hauteur, largeur et épaisseur des vantaux de portes ainsi que de leur équerrage. Elle s'applique aux vantaux livrés sans huisseries et indépendamment de ces dernières. Elle ne s’applique pas aux vantaux des blocs portes.</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F24BE1" w:rsidRPr="0043547B" w:rsidRDefault="00F24BE1" w:rsidP="00F24BE1">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F24BE1" w:rsidRPr="0043547B" w:rsidRDefault="00F24BE1" w:rsidP="00F24BE1">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1530</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F24BE1" w:rsidRPr="0043547B" w:rsidRDefault="00F24BE1" w:rsidP="00F24BE1">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F24BE1" w:rsidRPr="0043547B" w:rsidRDefault="00F24BE1" w:rsidP="00F24BE1">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1530</w:t>
            </w:r>
          </w:p>
        </w:tc>
      </w:tr>
      <w:tr w:rsidR="0043547B" w:rsidRPr="0043547B" w:rsidTr="00CB5DC0">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F24BE1" w:rsidRPr="0043547B" w:rsidRDefault="00F24BE1" w:rsidP="00F24BE1">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vAlign w:val="center"/>
            <w:hideMark/>
          </w:tcPr>
          <w:p w:rsidR="00F24BE1" w:rsidRPr="0043547B" w:rsidRDefault="00F24BE1" w:rsidP="00F24BE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Vantaux de portes - Planéité générale et planéité locale - Classes de tolérances</w:t>
            </w:r>
          </w:p>
        </w:tc>
      </w:tr>
      <w:tr w:rsidR="0043547B" w:rsidRPr="0043547B" w:rsidTr="00CB5DC0">
        <w:trPr>
          <w:trHeight w:val="654"/>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F24BE1" w:rsidRPr="0043547B" w:rsidRDefault="00F24BE1" w:rsidP="00F24BE1">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center"/>
            <w:hideMark/>
          </w:tcPr>
          <w:p w:rsidR="00F24BE1" w:rsidRPr="0043547B" w:rsidRDefault="00F24BE1" w:rsidP="00F24BE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donne les limites des tolérances en planéité générale et en planéité locale des vantaux de portes. Elle s'applique aux vantaux livrés sans huisseries et indépendamment de ces dernières. Elle ne s’applique pas aux vantaux des blocs portes.</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F24BE1" w:rsidRPr="0043547B" w:rsidRDefault="00F24BE1" w:rsidP="00F24BE1">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F24BE1" w:rsidRPr="0043547B" w:rsidRDefault="00F24BE1" w:rsidP="00F24BE1">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10.2.483</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F24BE1" w:rsidRPr="0043547B" w:rsidRDefault="00F24BE1" w:rsidP="00F24BE1">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auto" w:fill="auto"/>
            <w:vAlign w:val="center"/>
            <w:hideMark/>
          </w:tcPr>
          <w:p w:rsidR="00F24BE1" w:rsidRPr="0043547B" w:rsidRDefault="00F24BE1" w:rsidP="00F24BE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Travaux de bâtiment - Mise en œuvre des fenêtres et portes extérieures - Cahier des clauses techniques types</w:t>
            </w:r>
          </w:p>
        </w:tc>
      </w:tr>
      <w:tr w:rsidR="0043547B" w:rsidRPr="0043547B" w:rsidTr="00CB5DC0">
        <w:trPr>
          <w:trHeight w:val="701"/>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F24BE1" w:rsidRPr="0043547B" w:rsidRDefault="00F24BE1" w:rsidP="00F24BE1">
            <w:pPr>
              <w:spacing w:after="0"/>
              <w:jc w:val="center"/>
              <w:rPr>
                <w:rFonts w:cstheme="minorHAnsi"/>
                <w:b/>
                <w:bCs/>
                <w:sz w:val="24"/>
                <w:szCs w:val="24"/>
              </w:rPr>
            </w:pPr>
            <w:r w:rsidRPr="0043547B">
              <w:rPr>
                <w:rFonts w:cstheme="minorHAnsi"/>
                <w:b/>
                <w:bCs/>
                <w:sz w:val="24"/>
                <w:szCs w:val="24"/>
              </w:rPr>
              <w:lastRenderedPageBreak/>
              <w:t>Domaine d’application :</w:t>
            </w:r>
          </w:p>
        </w:tc>
        <w:tc>
          <w:tcPr>
            <w:tcW w:w="7938" w:type="dxa"/>
            <w:tcBorders>
              <w:left w:val="single" w:sz="4" w:space="0" w:color="auto"/>
              <w:bottom w:val="single" w:sz="18" w:space="0" w:color="auto"/>
              <w:right w:val="single" w:sz="18" w:space="0" w:color="auto"/>
            </w:tcBorders>
            <w:shd w:val="clear" w:color="auto" w:fill="auto"/>
            <w:vAlign w:val="center"/>
            <w:hideMark/>
          </w:tcPr>
          <w:p w:rsidR="00F24BE1" w:rsidRPr="0043547B" w:rsidRDefault="00F24BE1" w:rsidP="00F24BE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 présent document propose des clauses types pour :</w:t>
            </w:r>
          </w:p>
          <w:p w:rsidR="00F24BE1" w:rsidRPr="0043547B" w:rsidRDefault="00F24BE1" w:rsidP="00F24BE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la conception de la mise en œuvre de la menuiserie sur son support ;</w:t>
            </w:r>
          </w:p>
          <w:p w:rsidR="00F24BE1" w:rsidRPr="0043547B" w:rsidRDefault="00F24BE1" w:rsidP="00F24BE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les conditions de mise en œuvre ;</w:t>
            </w:r>
          </w:p>
          <w:p w:rsidR="00F24BE1" w:rsidRPr="0043547B" w:rsidRDefault="00F24BE1" w:rsidP="00F24BE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des fenêtres, portes-fenêtres, blocs-baies, ensembles menuisés et portes extérieures quel que soit le matériau (acier, aluminium, bois, PVC, mixte, etc.) tels que définis à l’article 3 et conformes à l’article 4, en travaux neufs ainsi qu’en travaux de rénovation et :</w:t>
            </w:r>
          </w:p>
          <w:p w:rsidR="00F24BE1" w:rsidRPr="0043547B" w:rsidRDefault="00F24BE1" w:rsidP="00F24BE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mis en œuvre verticalement, avec une inclinaison n’excédant pas 15° par rapport à la verticale (voir article 5.1.8) ;</w:t>
            </w:r>
          </w:p>
          <w:p w:rsidR="00F24BE1" w:rsidRPr="0043547B" w:rsidRDefault="00F24BE1" w:rsidP="00F24BE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fixés directement au gros œuvre du bâtiment sur au moins deux côtés opposés du dormant périphérique.</w:t>
            </w:r>
          </w:p>
          <w:p w:rsidR="00F24BE1" w:rsidRPr="003C74C7" w:rsidRDefault="00F24BE1" w:rsidP="003C74C7">
            <w:pPr>
              <w:spacing w:after="0" w:line="240" w:lineRule="auto"/>
              <w:jc w:val="both"/>
              <w:rPr>
                <w:rFonts w:eastAsia="Times New Roman" w:cstheme="minorHAnsi"/>
                <w:i/>
                <w:iCs/>
                <w:lang w:eastAsia="fr-FR"/>
              </w:rPr>
            </w:pPr>
            <w:r w:rsidRPr="003C74C7">
              <w:rPr>
                <w:rFonts w:eastAsia="Times New Roman" w:cstheme="minorHAnsi"/>
                <w:b/>
                <w:bCs/>
                <w:i/>
                <w:iCs/>
                <w:lang w:eastAsia="fr-FR"/>
              </w:rPr>
              <w:t>N</w:t>
            </w:r>
            <w:r w:rsidR="003C74C7" w:rsidRPr="003C74C7">
              <w:rPr>
                <w:rFonts w:eastAsia="Times New Roman" w:cstheme="minorHAnsi"/>
                <w:b/>
                <w:bCs/>
                <w:i/>
                <w:iCs/>
                <w:lang w:eastAsia="fr-FR"/>
              </w:rPr>
              <w:t>OTE</w:t>
            </w:r>
            <w:r w:rsidRPr="003C74C7">
              <w:rPr>
                <w:rFonts w:eastAsia="Times New Roman" w:cstheme="minorHAnsi"/>
                <w:b/>
                <w:bCs/>
                <w:i/>
                <w:iCs/>
                <w:lang w:eastAsia="fr-FR"/>
              </w:rPr>
              <w:t xml:space="preserve"> 1</w:t>
            </w:r>
            <w:r w:rsidR="003C74C7" w:rsidRPr="003C74C7">
              <w:rPr>
                <w:rFonts w:eastAsia="Times New Roman" w:cstheme="minorHAnsi"/>
                <w:i/>
                <w:iCs/>
                <w:lang w:eastAsia="fr-FR"/>
              </w:rPr>
              <w:t> :</w:t>
            </w:r>
            <w:r w:rsidRPr="003C74C7">
              <w:rPr>
                <w:rFonts w:eastAsia="Times New Roman" w:cstheme="minorHAnsi"/>
                <w:i/>
                <w:iCs/>
                <w:lang w:eastAsia="fr-FR"/>
              </w:rPr>
              <w:t xml:space="preserve"> En pratique, de ce fait, ce document couvre la mise en œuvre :</w:t>
            </w:r>
          </w:p>
          <w:p w:rsidR="00F24BE1" w:rsidRPr="003C74C7" w:rsidRDefault="00F24BE1" w:rsidP="00F24BE1">
            <w:pPr>
              <w:spacing w:after="0" w:line="240" w:lineRule="auto"/>
              <w:jc w:val="both"/>
              <w:rPr>
                <w:rFonts w:eastAsia="Times New Roman" w:cstheme="minorHAnsi"/>
                <w:i/>
                <w:iCs/>
                <w:lang w:eastAsia="fr-FR"/>
              </w:rPr>
            </w:pPr>
            <w:r w:rsidRPr="003C74C7">
              <w:rPr>
                <w:rFonts w:eastAsia="Times New Roman" w:cstheme="minorHAnsi"/>
                <w:i/>
                <w:iCs/>
                <w:lang w:eastAsia="fr-FR"/>
              </w:rPr>
              <w:t>— de fenêtres, portes-fenêtres, blocs baies, ensembles menuisés et portes extérieures posés isolément dans la construction ;</w:t>
            </w:r>
          </w:p>
          <w:p w:rsidR="00F24BE1" w:rsidRPr="003C74C7" w:rsidRDefault="00F24BE1" w:rsidP="00F24BE1">
            <w:pPr>
              <w:spacing w:after="0" w:line="240" w:lineRule="auto"/>
              <w:jc w:val="both"/>
              <w:rPr>
                <w:rFonts w:eastAsia="Times New Roman" w:cstheme="minorHAnsi"/>
                <w:i/>
                <w:iCs/>
                <w:lang w:eastAsia="fr-FR"/>
              </w:rPr>
            </w:pPr>
            <w:r w:rsidRPr="003C74C7">
              <w:rPr>
                <w:rFonts w:eastAsia="Times New Roman" w:cstheme="minorHAnsi"/>
                <w:i/>
                <w:iCs/>
                <w:lang w:eastAsia="fr-FR"/>
              </w:rPr>
              <w:t>— de tels produits juxtaposés horizontalement pouvant aller jusqu’à former une bande horizontale ;</w:t>
            </w:r>
          </w:p>
          <w:p w:rsidR="003C74C7" w:rsidRPr="003C74C7" w:rsidRDefault="00F24BE1" w:rsidP="00F24BE1">
            <w:pPr>
              <w:spacing w:after="0" w:line="240" w:lineRule="auto"/>
              <w:jc w:val="both"/>
              <w:rPr>
                <w:rFonts w:eastAsia="Times New Roman" w:cstheme="minorHAnsi"/>
                <w:i/>
                <w:iCs/>
                <w:lang w:eastAsia="fr-FR"/>
              </w:rPr>
            </w:pPr>
            <w:r w:rsidRPr="003C74C7">
              <w:rPr>
                <w:rFonts w:eastAsia="Times New Roman" w:cstheme="minorHAnsi"/>
                <w:i/>
                <w:iCs/>
                <w:lang w:eastAsia="fr-FR"/>
              </w:rPr>
              <w:t>— de tels produits superposés verticalement pouvant aller jusqu’à former une bande verticale.</w:t>
            </w:r>
          </w:p>
          <w:p w:rsidR="00F24BE1" w:rsidRPr="003C74C7" w:rsidRDefault="003C74C7" w:rsidP="00F24BE1">
            <w:pPr>
              <w:spacing w:after="0" w:line="240" w:lineRule="auto"/>
              <w:jc w:val="both"/>
              <w:rPr>
                <w:rFonts w:eastAsia="Times New Roman" w:cstheme="minorHAnsi"/>
                <w:i/>
                <w:iCs/>
                <w:lang w:eastAsia="fr-FR"/>
              </w:rPr>
            </w:pPr>
            <w:r w:rsidRPr="003C74C7">
              <w:rPr>
                <w:rFonts w:eastAsia="Times New Roman" w:cstheme="minorHAnsi"/>
                <w:b/>
                <w:bCs/>
                <w:i/>
                <w:iCs/>
                <w:lang w:eastAsia="fr-FR"/>
              </w:rPr>
              <w:t>NOTE</w:t>
            </w:r>
            <w:r w:rsidR="00F24BE1" w:rsidRPr="003C74C7">
              <w:rPr>
                <w:rFonts w:eastAsia="Times New Roman" w:cstheme="minorHAnsi"/>
                <w:b/>
                <w:bCs/>
                <w:i/>
                <w:iCs/>
                <w:lang w:eastAsia="fr-FR"/>
              </w:rPr>
              <w:t xml:space="preserve"> 2</w:t>
            </w:r>
            <w:r w:rsidRPr="003C74C7">
              <w:rPr>
                <w:rFonts w:eastAsia="Times New Roman" w:cstheme="minorHAnsi"/>
                <w:i/>
                <w:iCs/>
                <w:lang w:eastAsia="fr-FR"/>
              </w:rPr>
              <w:t> :</w:t>
            </w:r>
            <w:r w:rsidR="00F24BE1" w:rsidRPr="003C74C7">
              <w:rPr>
                <w:rFonts w:eastAsia="Times New Roman" w:cstheme="minorHAnsi"/>
                <w:i/>
                <w:iCs/>
                <w:lang w:eastAsia="fr-FR"/>
              </w:rPr>
              <w:t xml:space="preserve"> Pour les portes extérieures, ne sont concernées par ce document que celles correspondant à la définition des portes extérieures de l’article 3. De ce fait, seuls les blocs portes extérieurs sont concernés.</w:t>
            </w:r>
          </w:p>
          <w:p w:rsidR="003C74C7" w:rsidRPr="003C74C7" w:rsidRDefault="00F24BE1" w:rsidP="00F24BE1">
            <w:pPr>
              <w:spacing w:after="0" w:line="240" w:lineRule="auto"/>
              <w:jc w:val="both"/>
              <w:rPr>
                <w:rFonts w:eastAsia="Times New Roman" w:cstheme="minorHAnsi"/>
                <w:i/>
                <w:iCs/>
                <w:lang w:eastAsia="fr-FR"/>
              </w:rPr>
            </w:pPr>
            <w:r w:rsidRPr="003C74C7">
              <w:rPr>
                <w:rFonts w:eastAsia="Times New Roman" w:cstheme="minorHAnsi"/>
                <w:i/>
                <w:iCs/>
                <w:lang w:eastAsia="fr-FR"/>
              </w:rPr>
              <w:t>Le présent document est applicable dans toutes les zones climatiques ou naturelles françaises.</w:t>
            </w:r>
          </w:p>
          <w:p w:rsidR="00F24BE1" w:rsidRPr="003C74C7" w:rsidRDefault="003C74C7" w:rsidP="00F24BE1">
            <w:pPr>
              <w:spacing w:after="0" w:line="240" w:lineRule="auto"/>
              <w:jc w:val="both"/>
              <w:rPr>
                <w:rFonts w:eastAsia="Times New Roman" w:cstheme="minorHAnsi"/>
                <w:i/>
                <w:iCs/>
                <w:lang w:eastAsia="fr-FR"/>
              </w:rPr>
            </w:pPr>
            <w:r w:rsidRPr="003C74C7">
              <w:rPr>
                <w:rFonts w:eastAsia="Times New Roman" w:cstheme="minorHAnsi"/>
                <w:b/>
                <w:bCs/>
                <w:i/>
                <w:iCs/>
                <w:lang w:eastAsia="fr-FR"/>
              </w:rPr>
              <w:t>NOTE</w:t>
            </w:r>
            <w:r w:rsidR="00F24BE1" w:rsidRPr="003C74C7">
              <w:rPr>
                <w:rFonts w:eastAsia="Times New Roman" w:cstheme="minorHAnsi"/>
                <w:b/>
                <w:bCs/>
                <w:i/>
                <w:iCs/>
                <w:lang w:eastAsia="fr-FR"/>
              </w:rPr>
              <w:t xml:space="preserve"> 3</w:t>
            </w:r>
            <w:r w:rsidRPr="003C74C7">
              <w:rPr>
                <w:rFonts w:eastAsia="Times New Roman" w:cstheme="minorHAnsi"/>
                <w:i/>
                <w:iCs/>
                <w:lang w:eastAsia="fr-FR"/>
              </w:rPr>
              <w:t> :</w:t>
            </w:r>
            <w:r w:rsidR="00F24BE1" w:rsidRPr="003C74C7">
              <w:rPr>
                <w:rFonts w:eastAsia="Times New Roman" w:cstheme="minorHAnsi"/>
                <w:i/>
                <w:iCs/>
                <w:lang w:eastAsia="fr-FR"/>
              </w:rPr>
              <w:t xml:space="preserve"> Le domaine d’application couvre donc les départements d’outre-mer. Le présent document ne s’applique pas :</w:t>
            </w:r>
          </w:p>
          <w:p w:rsidR="00F24BE1" w:rsidRPr="003C74C7" w:rsidRDefault="00F24BE1" w:rsidP="00F24BE1">
            <w:pPr>
              <w:spacing w:after="0" w:line="240" w:lineRule="auto"/>
              <w:jc w:val="both"/>
              <w:rPr>
                <w:rFonts w:eastAsia="Times New Roman" w:cstheme="minorHAnsi"/>
                <w:i/>
                <w:iCs/>
                <w:lang w:eastAsia="fr-FR"/>
              </w:rPr>
            </w:pPr>
            <w:r w:rsidRPr="003C74C7">
              <w:rPr>
                <w:rFonts w:eastAsia="Times New Roman" w:cstheme="minorHAnsi"/>
                <w:i/>
                <w:iCs/>
                <w:lang w:eastAsia="fr-FR"/>
              </w:rPr>
              <w:t>— aux fenêtres incorporées en couverture, verrières ou mises en œuvre en pente à plus de 15°, par exemple aux fenêtres de toit ;</w:t>
            </w:r>
          </w:p>
          <w:p w:rsidR="00F24BE1" w:rsidRPr="003C74C7" w:rsidRDefault="00F24BE1" w:rsidP="00F24BE1">
            <w:pPr>
              <w:spacing w:after="0" w:line="240" w:lineRule="auto"/>
              <w:jc w:val="both"/>
              <w:rPr>
                <w:rFonts w:eastAsia="Times New Roman" w:cstheme="minorHAnsi"/>
                <w:i/>
                <w:iCs/>
                <w:lang w:eastAsia="fr-FR"/>
              </w:rPr>
            </w:pPr>
            <w:r w:rsidRPr="003C74C7">
              <w:rPr>
                <w:rFonts w:eastAsia="Times New Roman" w:cstheme="minorHAnsi"/>
                <w:i/>
                <w:iCs/>
                <w:lang w:eastAsia="fr-FR"/>
              </w:rPr>
              <w:t>— aux travaux de menuiserie intérieure ;</w:t>
            </w:r>
          </w:p>
          <w:p w:rsidR="00F24BE1" w:rsidRPr="003C74C7" w:rsidRDefault="00F24BE1" w:rsidP="00F24BE1">
            <w:pPr>
              <w:spacing w:after="0" w:line="240" w:lineRule="auto"/>
              <w:jc w:val="both"/>
              <w:rPr>
                <w:rFonts w:eastAsia="Times New Roman" w:cstheme="minorHAnsi"/>
                <w:i/>
                <w:iCs/>
                <w:lang w:eastAsia="fr-FR"/>
              </w:rPr>
            </w:pPr>
            <w:r w:rsidRPr="003C74C7">
              <w:rPr>
                <w:rFonts w:eastAsia="Times New Roman" w:cstheme="minorHAnsi"/>
                <w:i/>
                <w:iCs/>
                <w:lang w:eastAsia="fr-FR"/>
              </w:rPr>
              <w:t>— aux revêtements et habillages non directement liés aux fenêtres ;</w:t>
            </w:r>
          </w:p>
          <w:p w:rsidR="00F24BE1" w:rsidRPr="003C74C7" w:rsidRDefault="00F24BE1" w:rsidP="00F24BE1">
            <w:pPr>
              <w:spacing w:after="0" w:line="240" w:lineRule="auto"/>
              <w:jc w:val="both"/>
              <w:rPr>
                <w:rFonts w:eastAsia="Times New Roman" w:cstheme="minorHAnsi"/>
                <w:i/>
                <w:iCs/>
                <w:lang w:eastAsia="fr-FR"/>
              </w:rPr>
            </w:pPr>
            <w:r w:rsidRPr="003C74C7">
              <w:rPr>
                <w:rFonts w:eastAsia="Times New Roman" w:cstheme="minorHAnsi"/>
                <w:i/>
                <w:iCs/>
                <w:lang w:eastAsia="fr-FR"/>
              </w:rPr>
              <w:t>— aux produits avec une performance de résistance au feu.</w:t>
            </w:r>
          </w:p>
          <w:p w:rsidR="00F24BE1" w:rsidRPr="0043547B" w:rsidRDefault="00F24BE1" w:rsidP="00F24BE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Dans la suite du présent document, sauf mention explicite, le terme fenêtre doit être interprété par fenêtres, portes-fenêtres, blocs-baies, ensembles menuisés et portes extérieures, tels que définis en 3.</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F24BE1" w:rsidRPr="0043547B" w:rsidRDefault="00F24BE1" w:rsidP="00F24BE1">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F24BE1" w:rsidRPr="0043547B" w:rsidRDefault="00F24BE1" w:rsidP="00F24BE1">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13241-1+A1</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F24BE1" w:rsidRPr="0043547B" w:rsidRDefault="00F24BE1" w:rsidP="00F24BE1">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F24BE1" w:rsidRPr="0043547B" w:rsidRDefault="00F24BE1" w:rsidP="00F24BE1">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13241-1+A1</w:t>
            </w:r>
          </w:p>
        </w:tc>
      </w:tr>
      <w:tr w:rsidR="0043547B" w:rsidRPr="0043547B" w:rsidTr="00CB5DC0">
        <w:trPr>
          <w:trHeight w:val="6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F24BE1" w:rsidRPr="0043547B" w:rsidRDefault="00F24BE1" w:rsidP="00F24BE1">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vAlign w:val="center"/>
            <w:hideMark/>
          </w:tcPr>
          <w:p w:rsidR="00F24BE1" w:rsidRPr="0043547B" w:rsidRDefault="00F24BE1" w:rsidP="00F24BE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Portes et portails industriels, commerciaux et de garage - Norme de produit - Partie 1 : Produits sans caractéristiques coupe-feu, ni parfumée</w:t>
            </w:r>
          </w:p>
        </w:tc>
      </w:tr>
      <w:tr w:rsidR="0043547B" w:rsidRPr="0043547B" w:rsidTr="00CB5DC0">
        <w:trPr>
          <w:trHeight w:val="985"/>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F24BE1" w:rsidRPr="0043547B" w:rsidRDefault="00F24BE1" w:rsidP="00F24BE1">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center"/>
            <w:hideMark/>
          </w:tcPr>
          <w:p w:rsidR="00F24BE1" w:rsidRPr="0043547B" w:rsidRDefault="00F24BE1" w:rsidP="00F24BE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exigences de performances et de sécurité relatives aux portes, portails et barrières, destinés à être installés dans des zones accessibles aux personnes et dont l’utilisation principale prévue est de permettre l’accès des marchandises et des véhicules accompagnés ou conduits par des personnes, en toute sécurité, dans des locaux industriels et commerciaux ou des garages dans les zones d’habitation.</w:t>
            </w:r>
          </w:p>
          <w:p w:rsidR="003C74C7" w:rsidRDefault="00F24BE1" w:rsidP="00F24BE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traite également des portes commerciales comme les rideaux à lames et grilles à enroulement utilisés dans les zones de vente au détail et dont l’utilisation principale prévue est de permettre l’accès des personnes plutôt que des véhicules ou des marchandises.</w:t>
            </w:r>
          </w:p>
          <w:p w:rsidR="00F24BE1" w:rsidRPr="0043547B" w:rsidRDefault="00F24BE1" w:rsidP="00F24BE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Ces portes peuvent inclure des portillons intégrés aux tabliers qui sont également traités dans La norme.</w:t>
            </w:r>
          </w:p>
          <w:p w:rsidR="00F24BE1" w:rsidRPr="0043547B" w:rsidRDefault="00F24BE1" w:rsidP="00F24BE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Ces produits peuvent être à manœuvre manuelle ou motorisée.</w:t>
            </w:r>
          </w:p>
          <w:p w:rsidR="00F24BE1" w:rsidRPr="0043547B" w:rsidRDefault="00F24BE1" w:rsidP="00F24BE1">
            <w:pPr>
              <w:spacing w:after="0" w:line="240" w:lineRule="auto"/>
              <w:jc w:val="both"/>
              <w:rPr>
                <w:rFonts w:eastAsia="Times New Roman" w:cstheme="minorHAnsi"/>
                <w:w w:val="95"/>
                <w:sz w:val="24"/>
                <w:szCs w:val="24"/>
                <w:lang w:eastAsia="fr-FR"/>
              </w:rPr>
            </w:pPr>
            <w:r w:rsidRPr="0043547B">
              <w:rPr>
                <w:rFonts w:eastAsia="Times New Roman" w:cstheme="minorHAnsi"/>
                <w:w w:val="95"/>
                <w:sz w:val="24"/>
                <w:szCs w:val="24"/>
                <w:lang w:eastAsia="fr-FR"/>
              </w:rPr>
              <w:lastRenderedPageBreak/>
              <w:t>La norme ne traite pas du fonctionnement dans des environnements où les perturbations électromagnétiques sont en dehors des plages spécifiées dans l’EN 61000-6-3.</w:t>
            </w:r>
          </w:p>
        </w:tc>
      </w:tr>
      <w:tr w:rsidR="001D24D9" w:rsidRPr="0043547B" w:rsidTr="00612B81">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1D24D9" w:rsidRPr="00612B81" w:rsidRDefault="001D24D9" w:rsidP="00612B81">
            <w:pPr>
              <w:spacing w:after="0" w:line="240" w:lineRule="auto"/>
              <w:jc w:val="center"/>
              <w:rPr>
                <w:rFonts w:ascii="Calibri" w:hAnsi="Calibri" w:cs="Calibri"/>
                <w:b/>
                <w:bCs/>
                <w:sz w:val="24"/>
                <w:szCs w:val="24"/>
              </w:rPr>
            </w:pPr>
            <w:r w:rsidRPr="00612B81">
              <w:rPr>
                <w:rFonts w:ascii="Calibri" w:hAnsi="Calibri" w:cs="Calibr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1D24D9" w:rsidRPr="00612B81" w:rsidRDefault="001D24D9" w:rsidP="00612B81">
            <w:pPr>
              <w:spacing w:after="0" w:line="240" w:lineRule="auto"/>
              <w:jc w:val="center"/>
              <w:rPr>
                <w:rFonts w:ascii="Times New Roman" w:hAnsi="Times New Roman" w:cs="Times New Roman"/>
                <w:b/>
                <w:bCs/>
                <w:sz w:val="24"/>
                <w:szCs w:val="24"/>
              </w:rPr>
            </w:pPr>
            <w:r w:rsidRPr="00612B81">
              <w:rPr>
                <w:b/>
                <w:bCs/>
                <w:sz w:val="24"/>
                <w:szCs w:val="24"/>
              </w:rPr>
              <w:t>NM EN 14351-1</w:t>
            </w:r>
          </w:p>
        </w:tc>
      </w:tr>
      <w:tr w:rsidR="001D24D9" w:rsidRPr="0043547B" w:rsidTr="00612B81">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1D24D9" w:rsidRPr="00612B81" w:rsidRDefault="001D24D9" w:rsidP="00612B81">
            <w:pPr>
              <w:spacing w:after="0" w:line="240" w:lineRule="auto"/>
              <w:jc w:val="center"/>
              <w:rPr>
                <w:rFonts w:ascii="Calibri" w:hAnsi="Calibri" w:cs="Calibri"/>
                <w:b/>
                <w:bCs/>
                <w:sz w:val="24"/>
                <w:szCs w:val="24"/>
              </w:rPr>
            </w:pPr>
            <w:r w:rsidRPr="00612B81">
              <w:rPr>
                <w:rFonts w:ascii="Calibri" w:hAnsi="Calibri" w:cs="Calibr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1D24D9" w:rsidRPr="00612B81" w:rsidRDefault="001D24D9" w:rsidP="00612B81">
            <w:pPr>
              <w:spacing w:after="0" w:line="240" w:lineRule="auto"/>
              <w:jc w:val="center"/>
              <w:rPr>
                <w:rFonts w:ascii="Times New Roman" w:hAnsi="Times New Roman" w:cs="Times New Roman"/>
                <w:b/>
                <w:bCs/>
                <w:sz w:val="24"/>
                <w:szCs w:val="24"/>
              </w:rPr>
            </w:pPr>
            <w:r w:rsidRPr="00612B81">
              <w:rPr>
                <w:b/>
                <w:bCs/>
                <w:sz w:val="24"/>
                <w:szCs w:val="24"/>
              </w:rPr>
              <w:t>EN 14351-1</w:t>
            </w:r>
          </w:p>
        </w:tc>
      </w:tr>
      <w:tr w:rsidR="001D24D9" w:rsidRPr="0043547B" w:rsidTr="00612B81">
        <w:trPr>
          <w:trHeight w:val="276"/>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1D24D9" w:rsidRPr="00612B81" w:rsidRDefault="001D24D9" w:rsidP="00612B81">
            <w:pPr>
              <w:spacing w:after="0" w:line="240" w:lineRule="auto"/>
              <w:jc w:val="center"/>
              <w:rPr>
                <w:rFonts w:ascii="Calibri" w:hAnsi="Calibri" w:cs="Calibri"/>
                <w:b/>
                <w:bCs/>
                <w:sz w:val="24"/>
                <w:szCs w:val="24"/>
              </w:rPr>
            </w:pPr>
            <w:r w:rsidRPr="00612B81">
              <w:rPr>
                <w:rFonts w:ascii="Calibri" w:hAnsi="Calibri" w:cs="Calibri"/>
                <w:b/>
                <w:bCs/>
                <w:sz w:val="24"/>
                <w:szCs w:val="24"/>
              </w:rPr>
              <w:t>Intitulé :</w:t>
            </w:r>
          </w:p>
        </w:tc>
        <w:tc>
          <w:tcPr>
            <w:tcW w:w="7938" w:type="dxa"/>
            <w:tcBorders>
              <w:left w:val="single" w:sz="4" w:space="0" w:color="auto"/>
              <w:right w:val="single" w:sz="18" w:space="0" w:color="auto"/>
            </w:tcBorders>
            <w:shd w:val="clear" w:color="auto" w:fill="auto"/>
            <w:vAlign w:val="bottom"/>
            <w:hideMark/>
          </w:tcPr>
          <w:p w:rsidR="001D24D9" w:rsidRPr="00612B81" w:rsidRDefault="001D24D9" w:rsidP="00612B81">
            <w:pPr>
              <w:spacing w:after="0" w:line="240" w:lineRule="auto"/>
              <w:jc w:val="both"/>
              <w:rPr>
                <w:rFonts w:ascii="Times New Roman" w:hAnsi="Times New Roman" w:cs="Times New Roman"/>
                <w:sz w:val="24"/>
                <w:szCs w:val="24"/>
              </w:rPr>
            </w:pPr>
            <w:r w:rsidRPr="00612B81">
              <w:rPr>
                <w:sz w:val="24"/>
                <w:szCs w:val="24"/>
              </w:rPr>
              <w:t xml:space="preserve">Fenêtres et portes - Norme produit, caractéristiques de performance - Partie 1 : Fenêtres et blocs portes extérieurs pour piétons </w:t>
            </w:r>
          </w:p>
        </w:tc>
      </w:tr>
      <w:tr w:rsidR="001D24D9" w:rsidRPr="0043547B" w:rsidTr="00612B81">
        <w:trPr>
          <w:trHeight w:val="985"/>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1D24D9" w:rsidRPr="00612B81" w:rsidRDefault="001D24D9" w:rsidP="00612B81">
            <w:pPr>
              <w:spacing w:after="0" w:line="240" w:lineRule="auto"/>
              <w:jc w:val="center"/>
              <w:rPr>
                <w:rFonts w:ascii="Calibri" w:hAnsi="Calibri" w:cs="Calibri"/>
                <w:b/>
                <w:bCs/>
                <w:sz w:val="24"/>
                <w:szCs w:val="24"/>
              </w:rPr>
            </w:pPr>
            <w:r w:rsidRPr="00612B81">
              <w:rPr>
                <w:rFonts w:ascii="Calibri" w:hAnsi="Calibri" w:cs="Calibr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bottom"/>
            <w:hideMark/>
          </w:tcPr>
          <w:p w:rsidR="00612B81" w:rsidRDefault="001D24D9" w:rsidP="00612B81">
            <w:pPr>
              <w:spacing w:after="0" w:line="240" w:lineRule="auto"/>
              <w:jc w:val="both"/>
              <w:rPr>
                <w:sz w:val="24"/>
                <w:szCs w:val="24"/>
              </w:rPr>
            </w:pPr>
            <w:r w:rsidRPr="00612B81">
              <w:rPr>
                <w:sz w:val="24"/>
                <w:szCs w:val="24"/>
              </w:rPr>
              <w:t>La présente Norme détermine les caractéristiques de performance, à l'exception des caractéristiques</w:t>
            </w:r>
            <w:r w:rsidR="00612B81">
              <w:rPr>
                <w:sz w:val="24"/>
                <w:szCs w:val="24"/>
              </w:rPr>
              <w:t xml:space="preserve"> </w:t>
            </w:r>
            <w:r w:rsidRPr="00612B81">
              <w:rPr>
                <w:sz w:val="24"/>
                <w:szCs w:val="24"/>
              </w:rPr>
              <w:t>de résistance au feu et d’étanchéité aux fumées, indépendantes des matériaux, qui sont applicables aux fenêtres</w:t>
            </w:r>
            <w:r w:rsidRPr="00612B81">
              <w:rPr>
                <w:sz w:val="24"/>
                <w:szCs w:val="24"/>
              </w:rPr>
              <w:br/>
              <w:t>(en y incluant fenêtres de toit, fenêtres de toit résistantes aux feux extérieurs et portes-fenêtres), aux blocs portes</w:t>
            </w:r>
            <w:r w:rsidR="00612B81">
              <w:rPr>
                <w:sz w:val="24"/>
                <w:szCs w:val="24"/>
              </w:rPr>
              <w:t xml:space="preserve"> </w:t>
            </w:r>
            <w:r w:rsidRPr="00612B81">
              <w:rPr>
                <w:sz w:val="24"/>
                <w:szCs w:val="24"/>
              </w:rPr>
              <w:t>extérieurs pour piétons (et leurs assemblages en y incluant blocs portes vitrées sans châssis, blocs portes pour issue</w:t>
            </w:r>
            <w:r w:rsidRPr="00612B81">
              <w:rPr>
                <w:sz w:val="24"/>
                <w:szCs w:val="24"/>
              </w:rPr>
              <w:br/>
              <w:t>de secours) et aux ensembles composés.</w:t>
            </w:r>
          </w:p>
          <w:p w:rsidR="00612B81" w:rsidRDefault="001D24D9" w:rsidP="00612B81">
            <w:pPr>
              <w:spacing w:after="0" w:line="240" w:lineRule="auto"/>
              <w:jc w:val="both"/>
              <w:rPr>
                <w:sz w:val="24"/>
                <w:szCs w:val="24"/>
              </w:rPr>
            </w:pPr>
            <w:r w:rsidRPr="00612B81">
              <w:rPr>
                <w:sz w:val="24"/>
                <w:szCs w:val="24"/>
              </w:rPr>
              <w:t>Les caractéristiques de résistance au feu et/ou d’étanchéité aux fumées des blocs portes pour piétons et des fenêtres</w:t>
            </w:r>
            <w:r w:rsidR="00612B81">
              <w:rPr>
                <w:sz w:val="24"/>
                <w:szCs w:val="24"/>
              </w:rPr>
              <w:t xml:space="preserve"> </w:t>
            </w:r>
            <w:r w:rsidRPr="00612B81">
              <w:rPr>
                <w:sz w:val="24"/>
                <w:szCs w:val="24"/>
              </w:rPr>
              <w:t>ouvrantes sont couvertes par la norme EN 16034.</w:t>
            </w:r>
            <w:r w:rsidRPr="00612B81">
              <w:rPr>
                <w:sz w:val="24"/>
                <w:szCs w:val="24"/>
              </w:rPr>
              <w:br/>
              <w:t>La présente Norme s’applique aux :</w:t>
            </w:r>
          </w:p>
          <w:p w:rsidR="00612B81" w:rsidRDefault="001D24D9" w:rsidP="00612B81">
            <w:pPr>
              <w:spacing w:after="0" w:line="240" w:lineRule="auto"/>
              <w:jc w:val="both"/>
              <w:rPr>
                <w:sz w:val="24"/>
                <w:szCs w:val="24"/>
              </w:rPr>
            </w:pPr>
            <w:r w:rsidRPr="00612B81">
              <w:rPr>
                <w:sz w:val="24"/>
                <w:szCs w:val="24"/>
              </w:rPr>
              <w:t>a) fenêtres fixes ou châssis fixes, fenêtres et portes-fenêtres à ouverture manuelle ou motorisée et ensembles</w:t>
            </w:r>
            <w:r w:rsidR="00612B81">
              <w:rPr>
                <w:sz w:val="24"/>
                <w:szCs w:val="24"/>
              </w:rPr>
              <w:t xml:space="preserve"> </w:t>
            </w:r>
            <w:r w:rsidRPr="00612B81">
              <w:rPr>
                <w:sz w:val="24"/>
                <w:szCs w:val="24"/>
              </w:rPr>
              <w:t>composés destinés à être mis en oeuvre dans des ouvertures de parois verticales et aux fenêtres de toit destinés</w:t>
            </w:r>
            <w:r w:rsidRPr="00612B81">
              <w:rPr>
                <w:sz w:val="24"/>
                <w:szCs w:val="24"/>
              </w:rPr>
              <w:br/>
              <w:t>à être mises en oeuvre dans des toitures, complétés :</w:t>
            </w:r>
          </w:p>
          <w:p w:rsidR="00612B81" w:rsidRDefault="001D24D9" w:rsidP="00612B81">
            <w:pPr>
              <w:spacing w:after="0" w:line="240" w:lineRule="auto"/>
              <w:jc w:val="both"/>
              <w:rPr>
                <w:sz w:val="24"/>
                <w:szCs w:val="24"/>
              </w:rPr>
            </w:pPr>
            <w:r w:rsidRPr="00612B81">
              <w:rPr>
                <w:sz w:val="24"/>
                <w:szCs w:val="24"/>
              </w:rPr>
              <w:t>1) de la quincaillerie adaptée, si elle existe ;</w:t>
            </w:r>
          </w:p>
          <w:p w:rsidR="00612B81" w:rsidRDefault="001D24D9" w:rsidP="00612B81">
            <w:pPr>
              <w:spacing w:after="0" w:line="240" w:lineRule="auto"/>
              <w:jc w:val="both"/>
              <w:rPr>
                <w:sz w:val="24"/>
                <w:szCs w:val="24"/>
              </w:rPr>
            </w:pPr>
            <w:r w:rsidRPr="00612B81">
              <w:rPr>
                <w:sz w:val="24"/>
                <w:szCs w:val="24"/>
              </w:rPr>
              <w:t>2) des profilés étanchéité, s’ils existent ;</w:t>
            </w:r>
          </w:p>
          <w:p w:rsidR="00612B81" w:rsidRDefault="001D24D9" w:rsidP="00612B81">
            <w:pPr>
              <w:spacing w:after="0" w:line="240" w:lineRule="auto"/>
              <w:jc w:val="both"/>
              <w:rPr>
                <w:sz w:val="24"/>
                <w:szCs w:val="24"/>
              </w:rPr>
            </w:pPr>
            <w:r w:rsidRPr="00612B81">
              <w:rPr>
                <w:sz w:val="24"/>
                <w:szCs w:val="24"/>
              </w:rPr>
              <w:t>3) des ouvertures vitrées s’ils doivent en recevoir ;</w:t>
            </w:r>
          </w:p>
          <w:p w:rsidR="00612B81" w:rsidRDefault="001D24D9" w:rsidP="00612B81">
            <w:pPr>
              <w:spacing w:after="0" w:line="240" w:lineRule="auto"/>
              <w:jc w:val="both"/>
              <w:rPr>
                <w:sz w:val="24"/>
                <w:szCs w:val="24"/>
              </w:rPr>
            </w:pPr>
            <w:r w:rsidRPr="00612B81">
              <w:rPr>
                <w:sz w:val="24"/>
                <w:szCs w:val="24"/>
              </w:rPr>
              <w:t>4) avec ou sans volets incorporés et/ou coffres de volets et/ou stores ;</w:t>
            </w:r>
          </w:p>
          <w:p w:rsidR="00612B81" w:rsidRDefault="001D24D9" w:rsidP="00612B81">
            <w:pPr>
              <w:spacing w:after="0" w:line="240" w:lineRule="auto"/>
              <w:jc w:val="both"/>
              <w:rPr>
                <w:sz w:val="24"/>
                <w:szCs w:val="24"/>
              </w:rPr>
            </w:pPr>
            <w:r w:rsidRPr="00612B81">
              <w:rPr>
                <w:sz w:val="24"/>
                <w:szCs w:val="24"/>
              </w:rPr>
              <w:t>et les fenêtres, portes-fenêtres et fenêtres de toit manuelles ou motorisées qui sont :</w:t>
            </w:r>
          </w:p>
          <w:p w:rsidR="00612B81" w:rsidRDefault="001D24D9" w:rsidP="00612B81">
            <w:pPr>
              <w:spacing w:after="0" w:line="240" w:lineRule="auto"/>
              <w:jc w:val="both"/>
              <w:rPr>
                <w:sz w:val="24"/>
                <w:szCs w:val="24"/>
              </w:rPr>
            </w:pPr>
            <w:r w:rsidRPr="00612B81">
              <w:rPr>
                <w:sz w:val="24"/>
                <w:szCs w:val="24"/>
              </w:rPr>
              <w:t>5) complètement ou partiellement vitrées, incluant tout remplissage opaque ;</w:t>
            </w:r>
          </w:p>
          <w:p w:rsidR="00612B81" w:rsidRDefault="001D24D9" w:rsidP="00612B81">
            <w:pPr>
              <w:spacing w:after="0" w:line="240" w:lineRule="auto"/>
              <w:jc w:val="both"/>
              <w:rPr>
                <w:sz w:val="24"/>
                <w:szCs w:val="24"/>
              </w:rPr>
            </w:pPr>
            <w:r w:rsidRPr="00612B81">
              <w:rPr>
                <w:sz w:val="24"/>
                <w:szCs w:val="24"/>
              </w:rPr>
              <w:t>6) fixes ou partiellement fixes ou ouvrantes avec un ou plusieurs vantaux/battants (par exemple battantes,</w:t>
            </w:r>
            <w:r w:rsidR="00612B81">
              <w:rPr>
                <w:sz w:val="24"/>
                <w:szCs w:val="24"/>
              </w:rPr>
              <w:t xml:space="preserve"> </w:t>
            </w:r>
            <w:r w:rsidRPr="00612B81">
              <w:rPr>
                <w:sz w:val="24"/>
                <w:szCs w:val="24"/>
              </w:rPr>
              <w:t>à projection, pivotantes, coulissantes).</w:t>
            </w:r>
            <w:r w:rsidRPr="00612B81">
              <w:rPr>
                <w:sz w:val="24"/>
                <w:szCs w:val="24"/>
              </w:rPr>
              <w:br/>
              <w:t>b) blocs-portes extérieurs à ouverture manuelle pour piétons, avec vantaux plans ou menuisés, complétés :</w:t>
            </w:r>
          </w:p>
          <w:p w:rsidR="00612B81" w:rsidRDefault="001D24D9" w:rsidP="00612B81">
            <w:pPr>
              <w:spacing w:after="0" w:line="240" w:lineRule="auto"/>
              <w:jc w:val="both"/>
              <w:rPr>
                <w:sz w:val="24"/>
                <w:szCs w:val="24"/>
              </w:rPr>
            </w:pPr>
            <w:r w:rsidRPr="00612B81">
              <w:rPr>
                <w:sz w:val="24"/>
                <w:szCs w:val="24"/>
              </w:rPr>
              <w:t>1) d’impostes, si elles existent ;</w:t>
            </w:r>
          </w:p>
          <w:p w:rsidR="00612B81" w:rsidRDefault="001D24D9" w:rsidP="00612B81">
            <w:pPr>
              <w:spacing w:after="0" w:line="240" w:lineRule="auto"/>
              <w:jc w:val="both"/>
              <w:rPr>
                <w:sz w:val="24"/>
                <w:szCs w:val="24"/>
              </w:rPr>
            </w:pPr>
            <w:r w:rsidRPr="00612B81">
              <w:rPr>
                <w:sz w:val="24"/>
                <w:szCs w:val="24"/>
              </w:rPr>
              <w:t>2) de parties adjacentes qui sont intégrées dans un châssis individuel afin d’être installé dans une seule</w:t>
            </w:r>
            <w:r w:rsidR="00612B81">
              <w:rPr>
                <w:sz w:val="24"/>
                <w:szCs w:val="24"/>
              </w:rPr>
              <w:t xml:space="preserve"> </w:t>
            </w:r>
            <w:r w:rsidRPr="00612B81">
              <w:rPr>
                <w:sz w:val="24"/>
                <w:szCs w:val="24"/>
              </w:rPr>
              <w:t>ouverture, si elles existent.</w:t>
            </w:r>
          </w:p>
          <w:p w:rsidR="00612B81" w:rsidRDefault="001D24D9" w:rsidP="00612B81">
            <w:pPr>
              <w:spacing w:after="0" w:line="240" w:lineRule="auto"/>
              <w:jc w:val="both"/>
              <w:rPr>
                <w:sz w:val="24"/>
                <w:szCs w:val="24"/>
              </w:rPr>
            </w:pPr>
            <w:r w:rsidRPr="00612B81">
              <w:rPr>
                <w:sz w:val="24"/>
                <w:szCs w:val="24"/>
              </w:rPr>
              <w:t>Les fenêtres couvertes par cette norme ne sont pas évaluées sur leurs aptitudes au déblocage (pour ouvrir).</w:t>
            </w:r>
          </w:p>
          <w:p w:rsidR="00612B81" w:rsidRDefault="001D24D9" w:rsidP="00612B81">
            <w:pPr>
              <w:spacing w:after="0" w:line="240" w:lineRule="auto"/>
              <w:jc w:val="both"/>
              <w:rPr>
                <w:sz w:val="24"/>
                <w:szCs w:val="24"/>
              </w:rPr>
            </w:pPr>
            <w:r w:rsidRPr="00612B81">
              <w:rPr>
                <w:sz w:val="24"/>
                <w:szCs w:val="24"/>
              </w:rPr>
              <w:t>Les produits couverts par la présente Norme européenne ne sont pas évalués pour des applications structurelles.</w:t>
            </w:r>
          </w:p>
          <w:p w:rsidR="00612B81" w:rsidRDefault="001D24D9" w:rsidP="00612B81">
            <w:pPr>
              <w:spacing w:after="0" w:line="240" w:lineRule="auto"/>
              <w:jc w:val="both"/>
              <w:rPr>
                <w:sz w:val="24"/>
                <w:szCs w:val="24"/>
              </w:rPr>
            </w:pPr>
            <w:r w:rsidRPr="00612B81">
              <w:rPr>
                <w:sz w:val="24"/>
                <w:szCs w:val="24"/>
              </w:rPr>
              <w:t>La présente Norme ne s’applique pas aux :</w:t>
            </w:r>
          </w:p>
          <w:p w:rsidR="00612B81" w:rsidRDefault="001D24D9" w:rsidP="00612B81">
            <w:pPr>
              <w:spacing w:after="0" w:line="240" w:lineRule="auto"/>
              <w:jc w:val="both"/>
              <w:rPr>
                <w:sz w:val="24"/>
                <w:szCs w:val="24"/>
              </w:rPr>
            </w:pPr>
            <w:r w:rsidRPr="00612B81">
              <w:rPr>
                <w:sz w:val="24"/>
                <w:szCs w:val="24"/>
              </w:rPr>
              <w:t>— lanterneaux qui relèvent de l’EN 1873 et EN 14963 ;</w:t>
            </w:r>
          </w:p>
          <w:p w:rsidR="00612B81" w:rsidRDefault="001D24D9" w:rsidP="00612B81">
            <w:pPr>
              <w:spacing w:after="0" w:line="240" w:lineRule="auto"/>
              <w:jc w:val="both"/>
              <w:rPr>
                <w:sz w:val="24"/>
                <w:szCs w:val="24"/>
              </w:rPr>
            </w:pPr>
            <w:r w:rsidRPr="00612B81">
              <w:rPr>
                <w:sz w:val="24"/>
                <w:szCs w:val="24"/>
              </w:rPr>
              <w:t>— murs rideaux qui relèvent de l’EN 13830 ;</w:t>
            </w:r>
          </w:p>
          <w:p w:rsidR="00612B81" w:rsidRDefault="001D24D9" w:rsidP="00612B81">
            <w:pPr>
              <w:spacing w:after="0" w:line="240" w:lineRule="auto"/>
              <w:jc w:val="both"/>
              <w:rPr>
                <w:sz w:val="24"/>
                <w:szCs w:val="24"/>
              </w:rPr>
            </w:pPr>
            <w:r w:rsidRPr="00612B81">
              <w:rPr>
                <w:sz w:val="24"/>
                <w:szCs w:val="24"/>
              </w:rPr>
              <w:t>— portes industrielles, commerciales et de garages qui relèvent de l’EN 13241 ;</w:t>
            </w:r>
          </w:p>
          <w:p w:rsidR="00612B81" w:rsidRDefault="001D24D9" w:rsidP="00612B81">
            <w:pPr>
              <w:spacing w:after="0" w:line="240" w:lineRule="auto"/>
              <w:jc w:val="both"/>
              <w:rPr>
                <w:sz w:val="24"/>
                <w:szCs w:val="24"/>
              </w:rPr>
            </w:pPr>
            <w:r w:rsidRPr="00612B81">
              <w:rPr>
                <w:sz w:val="24"/>
                <w:szCs w:val="24"/>
              </w:rPr>
              <w:t>— blocs portes intérieurs pour piétons qui relèvent du prEN 14351-2 ;</w:t>
            </w:r>
          </w:p>
          <w:p w:rsidR="00612B81" w:rsidRDefault="001D24D9" w:rsidP="00612B81">
            <w:pPr>
              <w:spacing w:after="0" w:line="240" w:lineRule="auto"/>
              <w:jc w:val="both"/>
              <w:rPr>
                <w:sz w:val="24"/>
                <w:szCs w:val="24"/>
              </w:rPr>
            </w:pPr>
            <w:r w:rsidRPr="00612B81">
              <w:rPr>
                <w:sz w:val="24"/>
                <w:szCs w:val="24"/>
              </w:rPr>
              <w:t>— blocs portes à tambour ;</w:t>
            </w:r>
          </w:p>
          <w:p w:rsidR="00612B81" w:rsidRDefault="001D24D9" w:rsidP="00612B81">
            <w:pPr>
              <w:spacing w:after="0" w:line="240" w:lineRule="auto"/>
              <w:jc w:val="both"/>
              <w:rPr>
                <w:sz w:val="24"/>
                <w:szCs w:val="24"/>
              </w:rPr>
            </w:pPr>
            <w:r w:rsidRPr="00612B81">
              <w:rPr>
                <w:sz w:val="24"/>
                <w:szCs w:val="24"/>
              </w:rPr>
              <w:t>— portes motorisées pour piétons qui relèvent de l'EN 16361 ;</w:t>
            </w:r>
          </w:p>
          <w:p w:rsidR="001D24D9" w:rsidRPr="00612B81" w:rsidRDefault="001D24D9" w:rsidP="00612B81">
            <w:pPr>
              <w:spacing w:after="0" w:line="240" w:lineRule="auto"/>
              <w:jc w:val="both"/>
              <w:rPr>
                <w:rFonts w:ascii="Times New Roman" w:hAnsi="Times New Roman" w:cs="Times New Roman"/>
                <w:sz w:val="24"/>
                <w:szCs w:val="24"/>
              </w:rPr>
            </w:pPr>
            <w:r w:rsidRPr="00612B81">
              <w:rPr>
                <w:sz w:val="24"/>
                <w:szCs w:val="24"/>
              </w:rPr>
              <w:t>— fenêtres destinés à faire partie d'une cloison intérieure</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F30D25" w:rsidRPr="0043547B" w:rsidRDefault="00F30D25" w:rsidP="003C74C7">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bottom"/>
            <w:hideMark/>
          </w:tcPr>
          <w:p w:rsidR="00F30D25" w:rsidRPr="00951C84" w:rsidRDefault="00F30D25" w:rsidP="003C74C7">
            <w:pPr>
              <w:spacing w:after="0" w:line="240" w:lineRule="auto"/>
              <w:jc w:val="center"/>
              <w:rPr>
                <w:rFonts w:cstheme="minorHAnsi"/>
                <w:b/>
                <w:bCs/>
                <w:sz w:val="24"/>
                <w:szCs w:val="24"/>
              </w:rPr>
            </w:pPr>
            <w:r w:rsidRPr="00951C84">
              <w:rPr>
                <w:rFonts w:cstheme="minorHAnsi"/>
                <w:b/>
                <w:bCs/>
                <w:sz w:val="24"/>
                <w:szCs w:val="24"/>
              </w:rPr>
              <w:t>NM EN 13120</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F30D25" w:rsidRPr="0043547B" w:rsidRDefault="00F30D25" w:rsidP="003C74C7">
            <w:pPr>
              <w:spacing w:after="0" w:line="240" w:lineRule="auto"/>
              <w:jc w:val="center"/>
              <w:rPr>
                <w:rFonts w:cstheme="minorHAnsi"/>
                <w:b/>
                <w:bCs/>
                <w:sz w:val="24"/>
                <w:szCs w:val="24"/>
              </w:rPr>
            </w:pPr>
            <w:r w:rsidRPr="0043547B">
              <w:rPr>
                <w:rFonts w:cstheme="minorHAnsi"/>
                <w:b/>
                <w:bCs/>
                <w:sz w:val="24"/>
                <w:szCs w:val="24"/>
              </w:rPr>
              <w:lastRenderedPageBreak/>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F30D25" w:rsidRPr="00951C84" w:rsidRDefault="00F30D25" w:rsidP="003C74C7">
            <w:pPr>
              <w:spacing w:after="0" w:line="240" w:lineRule="auto"/>
              <w:jc w:val="center"/>
              <w:rPr>
                <w:rFonts w:cstheme="minorHAnsi"/>
                <w:b/>
                <w:bCs/>
                <w:sz w:val="24"/>
                <w:szCs w:val="24"/>
              </w:rPr>
            </w:pPr>
            <w:r w:rsidRPr="00951C84">
              <w:rPr>
                <w:rFonts w:cstheme="minorHAnsi"/>
                <w:b/>
                <w:bCs/>
                <w:sz w:val="24"/>
                <w:szCs w:val="24"/>
              </w:rPr>
              <w:t>EN 13120</w:t>
            </w:r>
          </w:p>
        </w:tc>
      </w:tr>
      <w:tr w:rsidR="0043547B" w:rsidRPr="0043547B" w:rsidTr="00CB5DC0">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F30D25" w:rsidRPr="0043547B" w:rsidRDefault="00F30D25" w:rsidP="007C65F3">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hideMark/>
          </w:tcPr>
          <w:p w:rsidR="00F30D25" w:rsidRPr="0043547B" w:rsidRDefault="00F30D25" w:rsidP="007C65F3">
            <w:pPr>
              <w:spacing w:after="0" w:line="240" w:lineRule="auto"/>
              <w:jc w:val="both"/>
              <w:rPr>
                <w:rFonts w:cstheme="minorHAnsi"/>
                <w:sz w:val="24"/>
                <w:szCs w:val="24"/>
              </w:rPr>
            </w:pPr>
            <w:r w:rsidRPr="0043547B">
              <w:rPr>
                <w:rFonts w:cstheme="minorHAnsi"/>
                <w:sz w:val="24"/>
                <w:szCs w:val="24"/>
              </w:rPr>
              <w:t xml:space="preserve">Stores intérieurs - Exigences de performance, y compris la sécurité  </w:t>
            </w:r>
          </w:p>
        </w:tc>
      </w:tr>
      <w:tr w:rsidR="0043547B" w:rsidRPr="0043547B" w:rsidTr="00CB5DC0">
        <w:trPr>
          <w:trHeight w:val="701"/>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F30D25" w:rsidRPr="0043547B" w:rsidRDefault="00F30D25" w:rsidP="007C65F3">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hideMark/>
          </w:tcPr>
          <w:p w:rsidR="007C65F3" w:rsidRDefault="00F30D25" w:rsidP="007C65F3">
            <w:pPr>
              <w:spacing w:after="0" w:line="240" w:lineRule="auto"/>
              <w:jc w:val="both"/>
              <w:rPr>
                <w:rFonts w:cstheme="minorHAnsi"/>
                <w:sz w:val="24"/>
                <w:szCs w:val="24"/>
              </w:rPr>
            </w:pPr>
            <w:r w:rsidRPr="0043547B">
              <w:rPr>
                <w:rFonts w:cstheme="minorHAnsi"/>
                <w:sz w:val="24"/>
                <w:szCs w:val="24"/>
              </w:rPr>
              <w:t>La présente Norme européenne spécifie les exigences auxquelles les stores intérieurs doivent satisfaire lorsqu'ils sont installés dans un bâtiment. Elle traite également des phénomènes dangereux significatifs liés aux machines et</w:t>
            </w:r>
            <w:r w:rsidRPr="0043547B">
              <w:rPr>
                <w:rFonts w:cstheme="minorHAnsi"/>
                <w:sz w:val="24"/>
                <w:szCs w:val="24"/>
              </w:rPr>
              <w:br/>
              <w:t>relatifs à la fabrication, au transport, à l'installation, à l'utilisation et à la maintenance des stores intérieurs (voir la liste des phénomènes dangereux significatifs en Annexe B).</w:t>
            </w:r>
          </w:p>
          <w:p w:rsidR="007C65F3" w:rsidRDefault="00F30D25" w:rsidP="007C65F3">
            <w:pPr>
              <w:spacing w:after="0" w:line="240" w:lineRule="auto"/>
              <w:jc w:val="both"/>
              <w:rPr>
                <w:rFonts w:cstheme="minorHAnsi"/>
                <w:sz w:val="24"/>
                <w:szCs w:val="24"/>
              </w:rPr>
            </w:pPr>
            <w:r w:rsidRPr="0043547B">
              <w:rPr>
                <w:rFonts w:cstheme="minorHAnsi"/>
                <w:sz w:val="24"/>
                <w:szCs w:val="24"/>
              </w:rPr>
              <w:t>Elle s'applique aux stores intérieurs, quelles que soient leur conception et la nature des matériaux utilisés, tels que listés ci-dessous :</w:t>
            </w:r>
          </w:p>
          <w:p w:rsidR="007C65F3" w:rsidRPr="007C65F3" w:rsidRDefault="007C65F3" w:rsidP="007C65F3">
            <w:pPr>
              <w:spacing w:after="0" w:line="240" w:lineRule="auto"/>
              <w:jc w:val="both"/>
              <w:rPr>
                <w:rFonts w:cstheme="minorHAnsi"/>
                <w:sz w:val="2"/>
                <w:szCs w:val="2"/>
              </w:rPr>
            </w:pPr>
          </w:p>
          <w:p w:rsidR="007C65F3" w:rsidRPr="007C65F3" w:rsidRDefault="00F30D25" w:rsidP="007C65F3">
            <w:pPr>
              <w:spacing w:after="0" w:line="240" w:lineRule="auto"/>
              <w:rPr>
                <w:rFonts w:cstheme="minorHAnsi"/>
                <w:sz w:val="2"/>
                <w:szCs w:val="2"/>
              </w:rPr>
            </w:pPr>
            <w:r w:rsidRPr="0043547B">
              <w:rPr>
                <w:rFonts w:cstheme="minorHAnsi"/>
                <w:sz w:val="24"/>
                <w:szCs w:val="24"/>
              </w:rPr>
              <w:t>— stores vénitiens : libres, guidés, vélum ;</w:t>
            </w:r>
            <w:r w:rsidRPr="0043547B">
              <w:rPr>
                <w:rFonts w:cstheme="minorHAnsi"/>
                <w:sz w:val="24"/>
                <w:szCs w:val="24"/>
              </w:rPr>
              <w:br/>
              <w:t>— stores à enroulement : libres, guidés, à rouleau automatique, à tension permanente ;</w:t>
            </w:r>
            <w:r w:rsidRPr="0043547B">
              <w:rPr>
                <w:rFonts w:cstheme="minorHAnsi"/>
                <w:sz w:val="24"/>
                <w:szCs w:val="24"/>
              </w:rPr>
              <w:br/>
              <w:t>— stores à bandes verticales : libres, avec guidage haut et bas, inclinés ;</w:t>
            </w:r>
            <w:r w:rsidRPr="0043547B">
              <w:rPr>
                <w:rFonts w:cstheme="minorHAnsi"/>
                <w:sz w:val="24"/>
                <w:szCs w:val="24"/>
              </w:rPr>
              <w:br/>
              <w:t>— stores plissés et en nid d'abeilles : libres, guidés, à refoulement latéral, à tension permanente ;</w:t>
            </w:r>
            <w:r w:rsidRPr="0043547B">
              <w:rPr>
                <w:rFonts w:cstheme="minorHAnsi"/>
                <w:sz w:val="24"/>
                <w:szCs w:val="24"/>
              </w:rPr>
              <w:br/>
              <w:t>— stores bateau ;</w:t>
            </w:r>
            <w:r w:rsidRPr="0043547B">
              <w:rPr>
                <w:rFonts w:cstheme="minorHAnsi"/>
                <w:sz w:val="24"/>
                <w:szCs w:val="24"/>
              </w:rPr>
              <w:br/>
              <w:t>— stores bouillonnés ;</w:t>
            </w:r>
            <w:r w:rsidRPr="0043547B">
              <w:rPr>
                <w:rFonts w:cstheme="minorHAnsi"/>
                <w:sz w:val="24"/>
                <w:szCs w:val="24"/>
              </w:rPr>
              <w:br/>
              <w:t>— stores japonais ;</w:t>
            </w:r>
            <w:r w:rsidRPr="0043547B">
              <w:rPr>
                <w:rFonts w:cstheme="minorHAnsi"/>
                <w:sz w:val="24"/>
                <w:szCs w:val="24"/>
              </w:rPr>
              <w:br/>
              <w:t>— volets intérieurs ;</w:t>
            </w:r>
            <w:r w:rsidRPr="0043547B">
              <w:rPr>
                <w:rFonts w:cstheme="minorHAnsi"/>
                <w:sz w:val="24"/>
                <w:szCs w:val="24"/>
              </w:rPr>
              <w:br/>
              <w:t>— stores à enroulement type roll'up.</w:t>
            </w:r>
            <w:r w:rsidRPr="0043547B">
              <w:rPr>
                <w:rFonts w:cstheme="minorHAnsi"/>
                <w:sz w:val="24"/>
                <w:szCs w:val="24"/>
              </w:rPr>
              <w:br/>
            </w:r>
          </w:p>
          <w:p w:rsidR="007C65F3" w:rsidRDefault="00F30D25" w:rsidP="007C65F3">
            <w:pPr>
              <w:spacing w:after="0" w:line="240" w:lineRule="auto"/>
              <w:jc w:val="both"/>
              <w:rPr>
                <w:rFonts w:cstheme="minorHAnsi"/>
                <w:sz w:val="24"/>
                <w:szCs w:val="24"/>
              </w:rPr>
            </w:pPr>
            <w:r w:rsidRPr="0043547B">
              <w:rPr>
                <w:rFonts w:cstheme="minorHAnsi"/>
                <w:sz w:val="24"/>
                <w:szCs w:val="24"/>
              </w:rPr>
              <w:t xml:space="preserve">Ces produits peuvent être </w:t>
            </w:r>
            <w:r w:rsidR="007C65F3" w:rsidRPr="0043547B">
              <w:rPr>
                <w:rFonts w:cstheme="minorHAnsi"/>
                <w:sz w:val="24"/>
                <w:szCs w:val="24"/>
              </w:rPr>
              <w:t>manœuvrés</w:t>
            </w:r>
            <w:r w:rsidRPr="0043547B">
              <w:rPr>
                <w:rFonts w:cstheme="minorHAnsi"/>
                <w:sz w:val="24"/>
                <w:szCs w:val="24"/>
              </w:rPr>
              <w:t xml:space="preserve"> manuellement, avec ou sans ressorts de compensation, ou au moyen de moteurs électriques (produits motorisés).</w:t>
            </w:r>
          </w:p>
          <w:p w:rsidR="007C65F3" w:rsidRDefault="00F30D25" w:rsidP="007C65F3">
            <w:pPr>
              <w:spacing w:after="0" w:line="240" w:lineRule="auto"/>
              <w:jc w:val="both"/>
              <w:rPr>
                <w:rFonts w:cstheme="minorHAnsi"/>
                <w:sz w:val="24"/>
                <w:szCs w:val="24"/>
              </w:rPr>
            </w:pPr>
            <w:r w:rsidRPr="0043547B">
              <w:rPr>
                <w:rFonts w:cstheme="minorHAnsi"/>
                <w:sz w:val="24"/>
                <w:szCs w:val="24"/>
              </w:rPr>
              <w:t>La présente norme ne s'applique pas aux voilages et aux moustiquaires. Elle ne s'applique pas aux stores intégrés dans les vitrages scellés, à l'exception des exigences relatives à la protection contre la strangulation.</w:t>
            </w:r>
          </w:p>
          <w:p w:rsidR="007C65F3" w:rsidRPr="007C65F3" w:rsidRDefault="00F30D25" w:rsidP="007C65F3">
            <w:pPr>
              <w:spacing w:after="0" w:line="240" w:lineRule="auto"/>
              <w:jc w:val="both"/>
              <w:rPr>
                <w:rFonts w:cstheme="minorHAnsi"/>
                <w:i/>
                <w:iCs/>
              </w:rPr>
            </w:pPr>
            <w:r w:rsidRPr="007C65F3">
              <w:rPr>
                <w:rFonts w:cstheme="minorHAnsi"/>
                <w:b/>
                <w:bCs/>
                <w:i/>
                <w:iCs/>
              </w:rPr>
              <w:t>NOTE :</w:t>
            </w:r>
            <w:r w:rsidRPr="007C65F3">
              <w:rPr>
                <w:rFonts w:cstheme="minorHAnsi"/>
                <w:i/>
                <w:iCs/>
              </w:rPr>
              <w:t xml:space="preserve"> Les moustiquaires peuvent être installées à l'intérieur ou à l'extérieur. Toutefois, étant toujours exposées aux conditions extérieures lorsqu'elles sont utilisées (fenêtres/portes ouvertes), les moustiquaires sont couvertes par l'EN 13561 relative aux stores extérieurs et auvents.</w:t>
            </w:r>
          </w:p>
          <w:p w:rsidR="007C65F3" w:rsidRDefault="00F30D25" w:rsidP="007C65F3">
            <w:pPr>
              <w:spacing w:after="0" w:line="240" w:lineRule="auto"/>
              <w:jc w:val="both"/>
              <w:rPr>
                <w:rFonts w:cstheme="minorHAnsi"/>
                <w:sz w:val="24"/>
                <w:szCs w:val="24"/>
              </w:rPr>
            </w:pPr>
            <w:r w:rsidRPr="0043547B">
              <w:rPr>
                <w:rFonts w:cstheme="minorHAnsi"/>
                <w:sz w:val="24"/>
                <w:szCs w:val="24"/>
              </w:rPr>
              <w:t>N'étant pas considérés comme des questions de sécurité, les aspects liés au bruit ne sont pas traités dans cette norme.</w:t>
            </w:r>
          </w:p>
          <w:p w:rsidR="00F30D25" w:rsidRPr="0043547B" w:rsidRDefault="00F30D25" w:rsidP="007C65F3">
            <w:pPr>
              <w:spacing w:after="0" w:line="240" w:lineRule="auto"/>
              <w:jc w:val="both"/>
              <w:rPr>
                <w:rFonts w:cstheme="minorHAnsi"/>
                <w:sz w:val="24"/>
                <w:szCs w:val="24"/>
              </w:rPr>
            </w:pPr>
            <w:r w:rsidRPr="0043547B">
              <w:rPr>
                <w:rFonts w:cstheme="minorHAnsi"/>
                <w:sz w:val="24"/>
                <w:szCs w:val="24"/>
              </w:rPr>
              <w:t xml:space="preserve">Cette norme ne s'applique pas aux stores intérieurs fabriqués avant la date de publication de cette norme </w:t>
            </w:r>
          </w:p>
        </w:tc>
      </w:tr>
      <w:tr w:rsidR="0043547B" w:rsidRPr="0043547B" w:rsidTr="00CB5DC0">
        <w:trPr>
          <w:trHeight w:val="234"/>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tcPr>
          <w:p w:rsidR="00A20C6E" w:rsidRPr="0043547B" w:rsidRDefault="00A20C6E" w:rsidP="007C65F3">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tcPr>
          <w:p w:rsidR="00A20C6E" w:rsidRPr="00951C84" w:rsidRDefault="00A20C6E" w:rsidP="007C65F3">
            <w:pPr>
              <w:spacing w:after="0" w:line="240" w:lineRule="auto"/>
              <w:jc w:val="center"/>
              <w:rPr>
                <w:rFonts w:cstheme="minorHAnsi"/>
                <w:b/>
                <w:bCs/>
                <w:sz w:val="24"/>
                <w:szCs w:val="24"/>
              </w:rPr>
            </w:pPr>
            <w:r w:rsidRPr="00951C84">
              <w:rPr>
                <w:rFonts w:cstheme="minorHAnsi"/>
                <w:b/>
                <w:bCs/>
                <w:sz w:val="24"/>
                <w:szCs w:val="24"/>
              </w:rPr>
              <w:t>NM ISO 11600</w:t>
            </w:r>
          </w:p>
        </w:tc>
      </w:tr>
      <w:tr w:rsidR="0043547B" w:rsidRPr="0043547B" w:rsidTr="00CB5DC0">
        <w:trPr>
          <w:trHeight w:val="6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tcPr>
          <w:p w:rsidR="00A20C6E" w:rsidRPr="0043547B" w:rsidRDefault="00A20C6E" w:rsidP="007C65F3">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tcPr>
          <w:p w:rsidR="00A20C6E" w:rsidRPr="00951C84" w:rsidRDefault="00A20C6E" w:rsidP="007C65F3">
            <w:pPr>
              <w:spacing w:after="0" w:line="240" w:lineRule="auto"/>
              <w:jc w:val="center"/>
              <w:rPr>
                <w:rFonts w:cstheme="minorHAnsi"/>
                <w:b/>
                <w:bCs/>
                <w:sz w:val="24"/>
                <w:szCs w:val="24"/>
              </w:rPr>
            </w:pPr>
            <w:r w:rsidRPr="00951C84">
              <w:rPr>
                <w:rFonts w:cstheme="minorHAnsi"/>
                <w:b/>
                <w:bCs/>
                <w:sz w:val="24"/>
                <w:szCs w:val="24"/>
              </w:rPr>
              <w:t>ISO 11600</w:t>
            </w:r>
          </w:p>
        </w:tc>
      </w:tr>
      <w:tr w:rsidR="0043547B" w:rsidRPr="0043547B" w:rsidTr="00CB5DC0">
        <w:trPr>
          <w:trHeight w:val="65"/>
          <w:jc w:val="center"/>
        </w:trPr>
        <w:tc>
          <w:tcPr>
            <w:tcW w:w="1838" w:type="dxa"/>
            <w:tcBorders>
              <w:top w:val="nil"/>
              <w:left w:val="single" w:sz="18" w:space="0" w:color="auto"/>
              <w:bottom w:val="single" w:sz="4" w:space="0" w:color="auto"/>
              <w:right w:val="single" w:sz="4" w:space="0" w:color="auto"/>
            </w:tcBorders>
            <w:shd w:val="clear" w:color="000000" w:fill="8DB4E2"/>
            <w:vAlign w:val="center"/>
          </w:tcPr>
          <w:p w:rsidR="00A20C6E" w:rsidRPr="0043547B" w:rsidRDefault="00A20C6E" w:rsidP="007C65F3">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vAlign w:val="center"/>
          </w:tcPr>
          <w:p w:rsidR="00A20C6E" w:rsidRPr="0043547B" w:rsidRDefault="00A20C6E" w:rsidP="007C65F3">
            <w:pPr>
              <w:spacing w:after="0" w:line="240" w:lineRule="auto"/>
              <w:jc w:val="both"/>
              <w:rPr>
                <w:rFonts w:cstheme="minorHAnsi"/>
                <w:sz w:val="24"/>
                <w:szCs w:val="24"/>
              </w:rPr>
            </w:pPr>
            <w:r w:rsidRPr="0043547B">
              <w:rPr>
                <w:rFonts w:cstheme="minorHAnsi"/>
                <w:sz w:val="24"/>
                <w:szCs w:val="24"/>
              </w:rPr>
              <w:t xml:space="preserve">Construction immobilière - Produits pour joints - Classification et exigences pour les mastics   </w:t>
            </w:r>
          </w:p>
        </w:tc>
      </w:tr>
      <w:tr w:rsidR="0043547B" w:rsidRPr="0043547B" w:rsidTr="00CB5DC0">
        <w:trPr>
          <w:trHeight w:val="65"/>
          <w:jc w:val="center"/>
        </w:trPr>
        <w:tc>
          <w:tcPr>
            <w:tcW w:w="1838" w:type="dxa"/>
            <w:tcBorders>
              <w:top w:val="nil"/>
              <w:left w:val="single" w:sz="18" w:space="0" w:color="auto"/>
              <w:bottom w:val="single" w:sz="18" w:space="0" w:color="auto"/>
              <w:right w:val="single" w:sz="4" w:space="0" w:color="auto"/>
            </w:tcBorders>
            <w:shd w:val="clear" w:color="000000" w:fill="D9D9D9"/>
            <w:vAlign w:val="center"/>
          </w:tcPr>
          <w:p w:rsidR="00A20C6E" w:rsidRPr="0043547B" w:rsidRDefault="00A20C6E" w:rsidP="007C65F3">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bottom"/>
          </w:tcPr>
          <w:p w:rsidR="007C65F3" w:rsidRDefault="00A20C6E" w:rsidP="007C65F3">
            <w:pPr>
              <w:spacing w:after="0" w:line="240" w:lineRule="auto"/>
              <w:jc w:val="both"/>
              <w:rPr>
                <w:rFonts w:cstheme="minorHAnsi"/>
                <w:sz w:val="24"/>
                <w:szCs w:val="24"/>
              </w:rPr>
            </w:pPr>
            <w:r w:rsidRPr="0043547B">
              <w:rPr>
                <w:rFonts w:cstheme="minorHAnsi"/>
                <w:sz w:val="24"/>
                <w:szCs w:val="24"/>
              </w:rPr>
              <w:t>La présente Norme internationale spécifie les types et classes de mastics utilisés pour la construction immobilière suivant leurs applications et leurs caractéristiques de performances.</w:t>
            </w:r>
          </w:p>
          <w:p w:rsidR="00A20C6E" w:rsidRPr="0043547B" w:rsidRDefault="00A20C6E" w:rsidP="007C65F3">
            <w:pPr>
              <w:spacing w:after="0" w:line="240" w:lineRule="auto"/>
              <w:jc w:val="both"/>
              <w:rPr>
                <w:rFonts w:cstheme="minorHAnsi"/>
                <w:sz w:val="24"/>
                <w:szCs w:val="24"/>
              </w:rPr>
            </w:pPr>
            <w:r w:rsidRPr="0043547B">
              <w:rPr>
                <w:rFonts w:cstheme="minorHAnsi"/>
                <w:sz w:val="24"/>
                <w:szCs w:val="24"/>
              </w:rPr>
              <w:t>Les exigences et les méthodes d'essai relatives aux différentes classes sont également données.</w:t>
            </w:r>
          </w:p>
        </w:tc>
      </w:tr>
      <w:tr w:rsidR="0043547B" w:rsidRPr="0043547B" w:rsidTr="00CB5DC0">
        <w:trPr>
          <w:trHeight w:val="142"/>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tcPr>
          <w:p w:rsidR="00F24BE1" w:rsidRPr="0043547B" w:rsidRDefault="00F24BE1" w:rsidP="00F24BE1">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tcPr>
          <w:p w:rsidR="00F24BE1" w:rsidRPr="0043547B" w:rsidRDefault="00F24BE1" w:rsidP="00F24BE1">
            <w:pPr>
              <w:spacing w:after="0"/>
              <w:jc w:val="center"/>
              <w:rPr>
                <w:rFonts w:cstheme="minorHAnsi"/>
                <w:sz w:val="24"/>
                <w:szCs w:val="24"/>
              </w:rPr>
            </w:pPr>
            <w:r w:rsidRPr="0043547B">
              <w:rPr>
                <w:rFonts w:cstheme="minorHAnsi"/>
                <w:b/>
                <w:bCs/>
                <w:sz w:val="24"/>
                <w:szCs w:val="24"/>
              </w:rPr>
              <w:t>NM 10.2.038</w:t>
            </w:r>
          </w:p>
        </w:tc>
      </w:tr>
      <w:tr w:rsidR="0043547B" w:rsidRPr="0043547B" w:rsidTr="00CB5DC0">
        <w:trPr>
          <w:trHeight w:val="6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tcPr>
          <w:p w:rsidR="00F24BE1" w:rsidRPr="0043547B" w:rsidRDefault="00F24BE1" w:rsidP="00F24BE1">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auto" w:fill="auto"/>
            <w:vAlign w:val="center"/>
          </w:tcPr>
          <w:p w:rsidR="00F24BE1" w:rsidRPr="0043547B" w:rsidRDefault="00F24BE1" w:rsidP="00F24BE1">
            <w:pPr>
              <w:spacing w:after="0"/>
              <w:jc w:val="both"/>
              <w:rPr>
                <w:rFonts w:cstheme="minorHAnsi"/>
                <w:sz w:val="24"/>
                <w:szCs w:val="24"/>
              </w:rPr>
            </w:pPr>
            <w:r w:rsidRPr="0043547B">
              <w:rPr>
                <w:rFonts w:cstheme="minorHAnsi"/>
                <w:sz w:val="24"/>
                <w:szCs w:val="24"/>
              </w:rPr>
              <w:t xml:space="preserve">Profilés fils d’aluminium destinés au bâtiment – Spécifications générales </w:t>
            </w:r>
          </w:p>
        </w:tc>
      </w:tr>
      <w:tr w:rsidR="0043547B" w:rsidRPr="0043547B" w:rsidTr="00CB5DC0">
        <w:trPr>
          <w:trHeight w:val="65"/>
          <w:jc w:val="center"/>
        </w:trPr>
        <w:tc>
          <w:tcPr>
            <w:tcW w:w="1838" w:type="dxa"/>
            <w:tcBorders>
              <w:top w:val="nil"/>
              <w:left w:val="single" w:sz="18" w:space="0" w:color="auto"/>
              <w:bottom w:val="single" w:sz="18" w:space="0" w:color="auto"/>
              <w:right w:val="single" w:sz="4" w:space="0" w:color="auto"/>
            </w:tcBorders>
            <w:shd w:val="clear" w:color="000000" w:fill="D9D9D9"/>
            <w:vAlign w:val="center"/>
          </w:tcPr>
          <w:p w:rsidR="00F24BE1" w:rsidRPr="0043547B" w:rsidRDefault="00F24BE1" w:rsidP="00F24BE1">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center"/>
          </w:tcPr>
          <w:p w:rsidR="00F24BE1" w:rsidRPr="0043547B" w:rsidRDefault="00F24BE1" w:rsidP="00F24BE1">
            <w:pPr>
              <w:spacing w:after="0" w:line="240" w:lineRule="auto"/>
              <w:jc w:val="both"/>
              <w:rPr>
                <w:rFonts w:cstheme="minorHAnsi"/>
                <w:sz w:val="24"/>
                <w:szCs w:val="24"/>
              </w:rPr>
            </w:pPr>
            <w:r w:rsidRPr="0043547B">
              <w:rPr>
                <w:rFonts w:cstheme="minorHAnsi"/>
                <w:sz w:val="24"/>
                <w:szCs w:val="24"/>
              </w:rPr>
              <w:t>La norme a pour objet de définir les caractéristiques des produits en alliages d’</w:t>
            </w:r>
            <w:r w:rsidR="003941F0" w:rsidRPr="0043547B">
              <w:rPr>
                <w:rFonts w:cstheme="minorHAnsi"/>
                <w:sz w:val="24"/>
                <w:szCs w:val="24"/>
              </w:rPr>
              <w:t>aluminium</w:t>
            </w:r>
            <w:r w:rsidRPr="0043547B">
              <w:rPr>
                <w:rFonts w:cstheme="minorHAnsi"/>
                <w:sz w:val="24"/>
                <w:szCs w:val="24"/>
              </w:rPr>
              <w:t xml:space="preserve"> obtenus par filage à la presse : composition chimique, </w:t>
            </w:r>
            <w:r w:rsidRPr="0043547B">
              <w:rPr>
                <w:rFonts w:cstheme="minorHAnsi"/>
                <w:sz w:val="24"/>
                <w:szCs w:val="24"/>
              </w:rPr>
              <w:lastRenderedPageBreak/>
              <w:t>caractéristiques physiques et mécaniques des alliages, tolérances dimensionnelles et géométriques des profilés.</w:t>
            </w:r>
          </w:p>
          <w:p w:rsidR="00F24BE1" w:rsidRPr="0043547B" w:rsidRDefault="00F24BE1" w:rsidP="00F24BE1">
            <w:pPr>
              <w:spacing w:after="0" w:line="240" w:lineRule="auto"/>
              <w:jc w:val="both"/>
              <w:rPr>
                <w:rFonts w:cstheme="minorHAnsi"/>
                <w:sz w:val="24"/>
                <w:szCs w:val="24"/>
              </w:rPr>
            </w:pPr>
            <w:r w:rsidRPr="0043547B">
              <w:rPr>
                <w:rFonts w:cstheme="minorHAnsi"/>
                <w:sz w:val="24"/>
                <w:szCs w:val="24"/>
              </w:rPr>
              <w:t>Elle concerne les produits d’usage courant destinés au bâtiment (profilés pour menuiseries, garde-corps, rampe, habillage, aménagement et agencement intérieur, etc...) à l’exclusion des structures porteuses.</w:t>
            </w:r>
          </w:p>
        </w:tc>
      </w:tr>
      <w:tr w:rsidR="0043547B" w:rsidRPr="0043547B" w:rsidTr="00CB5DC0">
        <w:trPr>
          <w:trHeight w:val="6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tcPr>
          <w:p w:rsidR="00F24BE1" w:rsidRPr="0043547B" w:rsidRDefault="00F24BE1" w:rsidP="00F24BE1">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tcPr>
          <w:p w:rsidR="00F24BE1" w:rsidRPr="0043547B" w:rsidRDefault="00F24BE1" w:rsidP="00F24BE1">
            <w:pPr>
              <w:spacing w:after="0"/>
              <w:jc w:val="center"/>
              <w:rPr>
                <w:rFonts w:cstheme="minorHAnsi"/>
                <w:b/>
                <w:bCs/>
                <w:sz w:val="24"/>
                <w:szCs w:val="24"/>
              </w:rPr>
            </w:pPr>
            <w:r w:rsidRPr="0043547B">
              <w:rPr>
                <w:rFonts w:cstheme="minorHAnsi"/>
                <w:b/>
                <w:bCs/>
                <w:sz w:val="24"/>
                <w:szCs w:val="24"/>
              </w:rPr>
              <w:t>NM 10.2.039</w:t>
            </w:r>
          </w:p>
        </w:tc>
      </w:tr>
      <w:tr w:rsidR="0043547B" w:rsidRPr="0043547B" w:rsidTr="00CB5DC0">
        <w:trPr>
          <w:trHeight w:val="6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tcPr>
          <w:p w:rsidR="00F24BE1" w:rsidRPr="0043547B" w:rsidRDefault="00F24BE1" w:rsidP="00F24BE1">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auto" w:fill="auto"/>
            <w:vAlign w:val="center"/>
          </w:tcPr>
          <w:p w:rsidR="00F24BE1" w:rsidRPr="0043547B" w:rsidRDefault="00F24BE1" w:rsidP="00F24BE1">
            <w:pPr>
              <w:spacing w:after="0"/>
              <w:jc w:val="both"/>
              <w:rPr>
                <w:rFonts w:cstheme="minorHAnsi"/>
                <w:sz w:val="24"/>
                <w:szCs w:val="24"/>
              </w:rPr>
            </w:pPr>
            <w:r w:rsidRPr="0043547B">
              <w:rPr>
                <w:rFonts w:cstheme="minorHAnsi"/>
                <w:sz w:val="24"/>
                <w:szCs w:val="24"/>
              </w:rPr>
              <w:t xml:space="preserve">Anodisation des alliages d’aluminium destinés au bâtiment Spécifications générales </w:t>
            </w:r>
          </w:p>
        </w:tc>
      </w:tr>
      <w:tr w:rsidR="0043547B" w:rsidRPr="0043547B" w:rsidTr="00CB5DC0">
        <w:trPr>
          <w:trHeight w:val="65"/>
          <w:jc w:val="center"/>
        </w:trPr>
        <w:tc>
          <w:tcPr>
            <w:tcW w:w="1838" w:type="dxa"/>
            <w:tcBorders>
              <w:top w:val="nil"/>
              <w:left w:val="single" w:sz="18" w:space="0" w:color="auto"/>
              <w:bottom w:val="single" w:sz="18" w:space="0" w:color="auto"/>
              <w:right w:val="single" w:sz="4" w:space="0" w:color="auto"/>
            </w:tcBorders>
            <w:shd w:val="clear" w:color="000000" w:fill="D9D9D9"/>
            <w:vAlign w:val="center"/>
          </w:tcPr>
          <w:p w:rsidR="00F24BE1" w:rsidRPr="0043547B" w:rsidRDefault="00F24BE1" w:rsidP="00F24BE1">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center"/>
          </w:tcPr>
          <w:p w:rsidR="00F24BE1" w:rsidRPr="0043547B" w:rsidRDefault="00F24BE1" w:rsidP="00F24BE1">
            <w:pPr>
              <w:spacing w:after="0" w:line="240" w:lineRule="auto"/>
              <w:jc w:val="both"/>
              <w:rPr>
                <w:rFonts w:cstheme="minorHAnsi"/>
                <w:sz w:val="24"/>
                <w:szCs w:val="24"/>
              </w:rPr>
            </w:pPr>
            <w:r w:rsidRPr="0043547B">
              <w:rPr>
                <w:rFonts w:cstheme="minorHAnsi"/>
                <w:sz w:val="24"/>
                <w:szCs w:val="24"/>
              </w:rPr>
              <w:t xml:space="preserve">La norme traite de l'anodisation des profilés en alliages d'aluminium en usage dans le bâtiment ; ces profilés sont visés dans la Norme NM 10.2.038. Elle spécifie pour ces produits, les conditions minimales de performance des revêtements, à base d'oxyde d'aluminium principalement, qui se forment sur les alliages d'aluminium par un processus électrolytique d'oxydation où le métal fait office d'anode. Elle souligne l'importance du prétraitement du métal et cite les méthodes d'essais normalisées permettant de vérifier les caractéristiques des produits. </w:t>
            </w:r>
          </w:p>
        </w:tc>
      </w:tr>
      <w:tr w:rsidR="0043547B" w:rsidRPr="0043547B" w:rsidTr="00CB5DC0">
        <w:trPr>
          <w:trHeight w:val="6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tcPr>
          <w:p w:rsidR="00F24BE1" w:rsidRPr="0043547B" w:rsidRDefault="00F24BE1" w:rsidP="00F24BE1">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tcPr>
          <w:p w:rsidR="00F24BE1" w:rsidRPr="0043547B" w:rsidRDefault="00F24BE1" w:rsidP="00F24BE1">
            <w:pPr>
              <w:spacing w:after="0"/>
              <w:jc w:val="center"/>
              <w:rPr>
                <w:rFonts w:cstheme="minorHAnsi"/>
                <w:b/>
                <w:bCs/>
                <w:sz w:val="24"/>
                <w:szCs w:val="24"/>
              </w:rPr>
            </w:pPr>
            <w:r w:rsidRPr="0043547B">
              <w:rPr>
                <w:rFonts w:cstheme="minorHAnsi"/>
                <w:b/>
                <w:bCs/>
                <w:sz w:val="24"/>
                <w:szCs w:val="24"/>
              </w:rPr>
              <w:t>NM 10.8.004</w:t>
            </w:r>
          </w:p>
        </w:tc>
      </w:tr>
      <w:tr w:rsidR="0043547B" w:rsidRPr="0043547B" w:rsidTr="00CB5DC0">
        <w:trPr>
          <w:trHeight w:val="6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tcPr>
          <w:p w:rsidR="00F24BE1" w:rsidRPr="0043547B" w:rsidRDefault="00F24BE1" w:rsidP="00F24BE1">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auto" w:fill="auto"/>
            <w:vAlign w:val="center"/>
          </w:tcPr>
          <w:p w:rsidR="00F24BE1" w:rsidRPr="0043547B" w:rsidRDefault="00F24BE1" w:rsidP="00F24BE1">
            <w:pPr>
              <w:spacing w:after="0" w:line="240" w:lineRule="auto"/>
              <w:jc w:val="both"/>
              <w:rPr>
                <w:rFonts w:cstheme="minorHAnsi"/>
                <w:sz w:val="24"/>
                <w:szCs w:val="24"/>
              </w:rPr>
            </w:pPr>
            <w:r w:rsidRPr="0043547B">
              <w:rPr>
                <w:rFonts w:cstheme="minorHAnsi"/>
                <w:sz w:val="24"/>
                <w:szCs w:val="24"/>
              </w:rPr>
              <w:t xml:space="preserve">Profilés à base de caoutchouc pour fenêtres et éléments de façade - Spécifications des matériaux de base </w:t>
            </w:r>
          </w:p>
        </w:tc>
      </w:tr>
      <w:tr w:rsidR="0043547B" w:rsidRPr="0043547B" w:rsidTr="00CB5DC0">
        <w:trPr>
          <w:trHeight w:val="65"/>
          <w:jc w:val="center"/>
        </w:trPr>
        <w:tc>
          <w:tcPr>
            <w:tcW w:w="1838" w:type="dxa"/>
            <w:tcBorders>
              <w:top w:val="nil"/>
              <w:left w:val="single" w:sz="18" w:space="0" w:color="auto"/>
              <w:bottom w:val="single" w:sz="18" w:space="0" w:color="auto"/>
              <w:right w:val="single" w:sz="4" w:space="0" w:color="auto"/>
            </w:tcBorders>
            <w:shd w:val="clear" w:color="000000" w:fill="D9D9D9"/>
            <w:vAlign w:val="center"/>
          </w:tcPr>
          <w:p w:rsidR="00F24BE1" w:rsidRPr="0043547B" w:rsidRDefault="00F24BE1" w:rsidP="00F24BE1">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center"/>
          </w:tcPr>
          <w:p w:rsidR="00F24BE1" w:rsidRPr="0043547B" w:rsidRDefault="00F24BE1" w:rsidP="00F24BE1">
            <w:pPr>
              <w:spacing w:after="0" w:line="240" w:lineRule="auto"/>
              <w:jc w:val="both"/>
              <w:rPr>
                <w:rFonts w:cstheme="minorHAnsi"/>
                <w:sz w:val="24"/>
                <w:szCs w:val="24"/>
              </w:rPr>
            </w:pPr>
            <w:r w:rsidRPr="0043547B">
              <w:rPr>
                <w:rFonts w:cstheme="minorHAnsi"/>
                <w:sz w:val="24"/>
                <w:szCs w:val="24"/>
              </w:rPr>
              <w:t xml:space="preserve">La norme s'applique aux matériaux à base de caoutchouc ou d'élastomères analogues ayant subi en usine une opération de vulcanisation ; elle ne s'applique pas aux matériaux dont la structure est alvéolaire ni aux matières plastiques. </w:t>
            </w:r>
          </w:p>
        </w:tc>
      </w:tr>
      <w:tr w:rsidR="0043547B" w:rsidRPr="0043547B" w:rsidTr="00CB5DC0">
        <w:trPr>
          <w:trHeight w:val="6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tcPr>
          <w:p w:rsidR="00F24BE1" w:rsidRPr="0043547B" w:rsidRDefault="00F24BE1" w:rsidP="00F24BE1">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tcPr>
          <w:p w:rsidR="00F24BE1" w:rsidRPr="0043547B" w:rsidRDefault="00F24BE1" w:rsidP="00F24BE1">
            <w:pPr>
              <w:spacing w:after="0"/>
              <w:jc w:val="center"/>
              <w:rPr>
                <w:rFonts w:cstheme="minorHAnsi"/>
                <w:sz w:val="24"/>
                <w:szCs w:val="24"/>
              </w:rPr>
            </w:pPr>
            <w:r w:rsidRPr="0043547B">
              <w:rPr>
                <w:rFonts w:cstheme="minorHAnsi"/>
                <w:b/>
                <w:bCs/>
                <w:sz w:val="24"/>
                <w:szCs w:val="24"/>
              </w:rPr>
              <w:t>NM 10.2.002</w:t>
            </w:r>
          </w:p>
        </w:tc>
      </w:tr>
      <w:tr w:rsidR="0043547B" w:rsidRPr="0043547B" w:rsidTr="00CB5DC0">
        <w:trPr>
          <w:trHeight w:val="6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tcPr>
          <w:p w:rsidR="00F24BE1" w:rsidRPr="0043547B" w:rsidRDefault="00F24BE1" w:rsidP="00F24BE1">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auto" w:fill="auto"/>
            <w:vAlign w:val="center"/>
          </w:tcPr>
          <w:p w:rsidR="00F24BE1" w:rsidRPr="0043547B" w:rsidRDefault="00F24BE1" w:rsidP="00F24BE1">
            <w:pPr>
              <w:spacing w:after="0" w:line="240" w:lineRule="auto"/>
              <w:jc w:val="both"/>
              <w:rPr>
                <w:rFonts w:cstheme="minorHAnsi"/>
                <w:sz w:val="24"/>
                <w:szCs w:val="24"/>
              </w:rPr>
            </w:pPr>
            <w:r w:rsidRPr="0043547B">
              <w:rPr>
                <w:rFonts w:cstheme="minorHAnsi"/>
                <w:sz w:val="24"/>
                <w:szCs w:val="24"/>
              </w:rPr>
              <w:t xml:space="preserve">Fenêtres en bois ou en métal - Spécifications </w:t>
            </w:r>
          </w:p>
        </w:tc>
      </w:tr>
      <w:tr w:rsidR="0043547B" w:rsidRPr="0043547B" w:rsidTr="00CB5DC0">
        <w:trPr>
          <w:trHeight w:val="1766"/>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F24BE1" w:rsidRPr="0043547B" w:rsidRDefault="00F24BE1" w:rsidP="00F24BE1">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center"/>
          </w:tcPr>
          <w:p w:rsidR="00F24BE1" w:rsidRPr="0043547B" w:rsidRDefault="00F24BE1" w:rsidP="00F24BE1">
            <w:pPr>
              <w:spacing w:after="0" w:line="240" w:lineRule="auto"/>
              <w:jc w:val="both"/>
              <w:rPr>
                <w:rFonts w:cstheme="minorHAnsi"/>
                <w:sz w:val="24"/>
                <w:szCs w:val="24"/>
              </w:rPr>
            </w:pPr>
            <w:r w:rsidRPr="0043547B">
              <w:rPr>
                <w:rFonts w:cstheme="minorHAnsi"/>
                <w:sz w:val="24"/>
                <w:szCs w:val="24"/>
              </w:rPr>
              <w:t xml:space="preserve">La norme a pour objet : de définir les spécifications techniques minimales des fenêtres, </w:t>
            </w:r>
            <w:r w:rsidR="003941F0" w:rsidRPr="0043547B">
              <w:rPr>
                <w:rFonts w:cstheme="minorHAnsi"/>
                <w:sz w:val="24"/>
                <w:szCs w:val="24"/>
              </w:rPr>
              <w:t>portes fenêtres</w:t>
            </w:r>
            <w:r w:rsidRPr="0043547B">
              <w:rPr>
                <w:rFonts w:cstheme="minorHAnsi"/>
                <w:sz w:val="24"/>
                <w:szCs w:val="24"/>
              </w:rPr>
              <w:t xml:space="preserve"> et fenêtres fixes prévitrés en atelier ou non ; de donner les valeurs minimales et les performances correspondant aux essais qui font l'objet de la norme NM 10.06.B.053 « Fenêtres en bois ou en métal – Méthodes d'essais ».</w:t>
            </w:r>
          </w:p>
        </w:tc>
      </w:tr>
    </w:tbl>
    <w:p w:rsidR="00904E52" w:rsidRPr="0043547B" w:rsidRDefault="00904E52" w:rsidP="00F26621">
      <w:pPr>
        <w:pStyle w:val="Titre4"/>
        <w:numPr>
          <w:ilvl w:val="2"/>
          <w:numId w:val="2"/>
        </w:numPr>
        <w:ind w:left="1418" w:hanging="567"/>
        <w:rPr>
          <w:rFonts w:cstheme="minorHAnsi"/>
          <w:b/>
          <w:bCs w:val="0"/>
          <w:iCs w:val="0"/>
          <w:color w:val="auto"/>
          <w:szCs w:val="24"/>
          <w:u w:val="single"/>
        </w:rPr>
      </w:pPr>
      <w:bookmarkStart w:id="34" w:name="_Toc458606091"/>
      <w:r w:rsidRPr="0043547B">
        <w:rPr>
          <w:rFonts w:cstheme="minorHAnsi"/>
          <w:b/>
          <w:bCs w:val="0"/>
          <w:iCs w:val="0"/>
          <w:color w:val="auto"/>
          <w:szCs w:val="24"/>
          <w:u w:val="single"/>
        </w:rPr>
        <w:t>Robinetterie et produits sanitaires</w:t>
      </w:r>
      <w:bookmarkEnd w:id="34"/>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8"/>
        <w:gridCol w:w="7938"/>
      </w:tblGrid>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ED0D29">
            <w:pPr>
              <w:spacing w:after="0"/>
              <w:jc w:val="center"/>
              <w:rPr>
                <w:rFonts w:cstheme="minorHAnsi"/>
                <w:b/>
                <w:bCs/>
                <w:sz w:val="24"/>
                <w:szCs w:val="24"/>
              </w:rPr>
            </w:pPr>
            <w:r w:rsidRPr="0043547B">
              <w:rPr>
                <w:rFonts w:cstheme="minorHAnsi"/>
                <w:b/>
                <w:bCs/>
                <w:sz w:val="24"/>
                <w:szCs w:val="24"/>
              </w:rPr>
              <w:t>Code </w:t>
            </w:r>
            <w:r w:rsidR="00ED0D29">
              <w:rPr>
                <w:rFonts w:cstheme="minorHAnsi"/>
                <w:b/>
                <w:bCs/>
                <w:sz w:val="24"/>
                <w:szCs w:val="24"/>
              </w:rPr>
              <w:t xml:space="preserv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10.4.002</w:t>
            </w:r>
          </w:p>
        </w:tc>
      </w:tr>
      <w:tr w:rsidR="0005262F" w:rsidRPr="0043547B" w:rsidTr="009064A0">
        <w:trPr>
          <w:trHeight w:val="99"/>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05262F" w:rsidRPr="0043547B" w:rsidRDefault="0005262F" w:rsidP="00ED0D29">
            <w:pPr>
              <w:spacing w:after="0"/>
              <w:jc w:val="center"/>
              <w:rPr>
                <w:rFonts w:cstheme="minorHAnsi"/>
                <w:b/>
                <w:bCs/>
                <w:sz w:val="24"/>
                <w:szCs w:val="24"/>
              </w:rPr>
            </w:pPr>
            <w:r w:rsidRPr="0043547B">
              <w:rPr>
                <w:rFonts w:cstheme="minorHAnsi"/>
                <w:b/>
                <w:bCs/>
                <w:sz w:val="24"/>
                <w:szCs w:val="24"/>
              </w:rPr>
              <w:t>Intitulé </w:t>
            </w:r>
            <w:r w:rsidR="00ED0D29">
              <w:rPr>
                <w:rFonts w:cstheme="minorHAnsi"/>
                <w:b/>
                <w:bCs/>
                <w:sz w:val="24"/>
                <w:szCs w:val="24"/>
              </w:rPr>
              <w:t xml:space="preserve"> </w:t>
            </w:r>
          </w:p>
        </w:tc>
        <w:tc>
          <w:tcPr>
            <w:tcW w:w="7938" w:type="dxa"/>
            <w:tcBorders>
              <w:top w:val="single" w:sz="18" w:space="0" w:color="auto"/>
              <w:left w:val="single" w:sz="4" w:space="0" w:color="auto"/>
              <w:right w:val="single" w:sz="18" w:space="0" w:color="auto"/>
            </w:tcBorders>
            <w:shd w:val="clear" w:color="auto" w:fill="auto"/>
            <w:hideMark/>
          </w:tcPr>
          <w:p w:rsidR="0005262F" w:rsidRPr="00ED0D29" w:rsidRDefault="0005262F" w:rsidP="00ED0D29">
            <w:pPr>
              <w:spacing w:after="0" w:line="240" w:lineRule="auto"/>
              <w:jc w:val="both"/>
              <w:rPr>
                <w:rFonts w:ascii="Calibri" w:hAnsi="Calibri" w:cs="Calibri"/>
              </w:rPr>
            </w:pPr>
            <w:r w:rsidRPr="00ED0D29">
              <w:rPr>
                <w:rFonts w:ascii="Calibri" w:hAnsi="Calibri" w:cs="Calibri"/>
              </w:rPr>
              <w:t>Robinetterie de bâtiment - Robinets de puisage à soupape Spécifications techniques générales</w:t>
            </w:r>
          </w:p>
        </w:tc>
      </w:tr>
      <w:tr w:rsidR="0005262F" w:rsidRPr="0043547B" w:rsidTr="009064A0">
        <w:trPr>
          <w:trHeight w:val="873"/>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05262F" w:rsidRPr="0043547B" w:rsidRDefault="0005262F" w:rsidP="00ED0D29">
            <w:pPr>
              <w:spacing w:after="0"/>
              <w:jc w:val="center"/>
              <w:rPr>
                <w:rFonts w:cstheme="minorHAnsi"/>
                <w:b/>
                <w:bCs/>
                <w:sz w:val="24"/>
                <w:szCs w:val="24"/>
              </w:rPr>
            </w:pPr>
            <w:r w:rsidRPr="0043547B">
              <w:rPr>
                <w:rFonts w:cstheme="minorHAnsi"/>
                <w:b/>
                <w:bCs/>
                <w:sz w:val="24"/>
                <w:szCs w:val="24"/>
              </w:rPr>
              <w:t>Domaine d’application </w:t>
            </w:r>
            <w:r w:rsidR="00ED0D29">
              <w:rPr>
                <w:rFonts w:cstheme="minorHAnsi"/>
                <w:b/>
                <w:bCs/>
                <w:sz w:val="24"/>
                <w:szCs w:val="24"/>
              </w:rPr>
              <w:t xml:space="preserve"> </w:t>
            </w:r>
          </w:p>
        </w:tc>
        <w:tc>
          <w:tcPr>
            <w:tcW w:w="7938" w:type="dxa"/>
            <w:tcBorders>
              <w:left w:val="single" w:sz="4" w:space="0" w:color="auto"/>
              <w:bottom w:val="single" w:sz="18" w:space="0" w:color="auto"/>
              <w:right w:val="single" w:sz="18" w:space="0" w:color="auto"/>
            </w:tcBorders>
            <w:shd w:val="clear" w:color="auto" w:fill="auto"/>
            <w:vAlign w:val="bottom"/>
            <w:hideMark/>
          </w:tcPr>
          <w:p w:rsidR="0005262F" w:rsidRPr="00ED0D29" w:rsidRDefault="0005262F" w:rsidP="00ED0D29">
            <w:pPr>
              <w:spacing w:after="0" w:line="240" w:lineRule="auto"/>
              <w:rPr>
                <w:rFonts w:ascii="Calibri" w:hAnsi="Calibri" w:cs="Calibri"/>
              </w:rPr>
            </w:pPr>
            <w:r w:rsidRPr="00ED0D29">
              <w:rPr>
                <w:rFonts w:ascii="Calibri" w:hAnsi="Calibri" w:cs="Calibri"/>
              </w:rPr>
              <w:t>La présente norme s'applique :</w:t>
            </w:r>
            <w:r w:rsidRPr="00ED0D29">
              <w:rPr>
                <w:rFonts w:ascii="Calibri" w:hAnsi="Calibri" w:cs="Calibri"/>
              </w:rPr>
              <w:br/>
              <w:t>– aux robinets de puisage à soupage, à tête droite,</w:t>
            </w:r>
            <w:r w:rsidRPr="00ED0D29">
              <w:rPr>
                <w:rFonts w:ascii="Calibri" w:hAnsi="Calibri" w:cs="Calibri"/>
              </w:rPr>
              <w:br/>
              <w:t>– aux robinets de puisage à nez fileté pour raccord,</w:t>
            </w:r>
            <w:r w:rsidRPr="00ED0D29">
              <w:rPr>
                <w:rFonts w:ascii="Calibri" w:hAnsi="Calibri" w:cs="Calibri"/>
              </w:rPr>
              <w:br/>
              <w:t>de pression PN 10 et de dénomination 3/8, 1/2, 3/4 et 1.</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ED0D29">
            <w:pPr>
              <w:spacing w:after="0"/>
              <w:jc w:val="center"/>
              <w:rPr>
                <w:rFonts w:cstheme="minorHAnsi"/>
                <w:b/>
                <w:bCs/>
                <w:sz w:val="24"/>
                <w:szCs w:val="24"/>
              </w:rPr>
            </w:pPr>
            <w:r w:rsidRPr="0043547B">
              <w:rPr>
                <w:rFonts w:cstheme="minorHAnsi"/>
                <w:b/>
                <w:bCs/>
                <w:sz w:val="24"/>
                <w:szCs w:val="24"/>
              </w:rPr>
              <w:t>Code </w:t>
            </w:r>
            <w:r w:rsidR="00ED0D29">
              <w:rPr>
                <w:rFonts w:cstheme="minorHAnsi"/>
                <w:b/>
                <w:bCs/>
                <w:sz w:val="24"/>
                <w:szCs w:val="24"/>
              </w:rPr>
              <w:t xml:space="preserv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ED0D29" w:rsidRDefault="00904E52" w:rsidP="00ED0D29">
            <w:pPr>
              <w:spacing w:after="0" w:line="240" w:lineRule="auto"/>
              <w:jc w:val="center"/>
              <w:rPr>
                <w:rFonts w:eastAsia="Times New Roman" w:cstheme="minorHAnsi"/>
                <w:sz w:val="24"/>
                <w:szCs w:val="24"/>
                <w:lang w:eastAsia="fr-FR"/>
              </w:rPr>
            </w:pPr>
            <w:r w:rsidRPr="00ED0D29">
              <w:rPr>
                <w:rFonts w:eastAsia="Times New Roman" w:cstheme="minorHAnsi"/>
                <w:b/>
                <w:bCs/>
                <w:sz w:val="24"/>
                <w:szCs w:val="24"/>
                <w:lang w:eastAsia="fr-FR"/>
              </w:rPr>
              <w:t>NM 10.4.003</w:t>
            </w:r>
          </w:p>
        </w:tc>
      </w:tr>
      <w:tr w:rsidR="0005262F" w:rsidRPr="0043547B" w:rsidTr="009064A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05262F" w:rsidRPr="0043547B" w:rsidRDefault="0005262F" w:rsidP="00ED0D29">
            <w:pPr>
              <w:spacing w:after="0"/>
              <w:jc w:val="center"/>
              <w:rPr>
                <w:rFonts w:cstheme="minorHAnsi"/>
                <w:b/>
                <w:bCs/>
                <w:sz w:val="24"/>
                <w:szCs w:val="24"/>
              </w:rPr>
            </w:pPr>
            <w:r w:rsidRPr="0043547B">
              <w:rPr>
                <w:rFonts w:cstheme="minorHAnsi"/>
                <w:b/>
                <w:bCs/>
                <w:sz w:val="24"/>
                <w:szCs w:val="24"/>
              </w:rPr>
              <w:t>Intitulé </w:t>
            </w:r>
            <w:r w:rsidR="00ED0D29">
              <w:rPr>
                <w:rFonts w:cstheme="minorHAnsi"/>
                <w:b/>
                <w:bCs/>
                <w:sz w:val="24"/>
                <w:szCs w:val="24"/>
              </w:rPr>
              <w:t xml:space="preserve"> </w:t>
            </w:r>
          </w:p>
        </w:tc>
        <w:tc>
          <w:tcPr>
            <w:tcW w:w="7938" w:type="dxa"/>
            <w:tcBorders>
              <w:top w:val="single" w:sz="18" w:space="0" w:color="auto"/>
              <w:left w:val="single" w:sz="4" w:space="0" w:color="auto"/>
              <w:right w:val="single" w:sz="18" w:space="0" w:color="auto"/>
            </w:tcBorders>
            <w:shd w:val="clear" w:color="auto" w:fill="auto"/>
            <w:hideMark/>
          </w:tcPr>
          <w:p w:rsidR="0005262F" w:rsidRPr="00ED0D29" w:rsidRDefault="0005262F" w:rsidP="00ED0D29">
            <w:pPr>
              <w:spacing w:after="0" w:line="240" w:lineRule="auto"/>
              <w:jc w:val="both"/>
              <w:rPr>
                <w:rFonts w:ascii="Calibri" w:hAnsi="Calibri" w:cs="Calibri"/>
              </w:rPr>
            </w:pPr>
            <w:r w:rsidRPr="00ED0D29">
              <w:rPr>
                <w:rFonts w:ascii="Calibri" w:hAnsi="Calibri" w:cs="Calibri"/>
              </w:rPr>
              <w:t xml:space="preserve">Robinetterie de bâtiment - Robinets pour réservoir de chasse - Spécifications techniques générales </w:t>
            </w:r>
          </w:p>
        </w:tc>
      </w:tr>
      <w:tr w:rsidR="0005262F" w:rsidRPr="0043547B" w:rsidTr="009064A0">
        <w:trPr>
          <w:trHeight w:val="701"/>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05262F" w:rsidRPr="0043547B" w:rsidRDefault="0005262F" w:rsidP="00ED0D29">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bottom"/>
            <w:hideMark/>
          </w:tcPr>
          <w:p w:rsidR="00ED0D29" w:rsidRDefault="0005262F" w:rsidP="00ED0D29">
            <w:pPr>
              <w:spacing w:after="0" w:line="240" w:lineRule="auto"/>
              <w:jc w:val="both"/>
              <w:rPr>
                <w:rFonts w:ascii="Calibri" w:hAnsi="Calibri" w:cs="Calibri"/>
              </w:rPr>
            </w:pPr>
            <w:r w:rsidRPr="00ED0D29">
              <w:rPr>
                <w:rFonts w:ascii="Calibri" w:hAnsi="Calibri" w:cs="Calibri"/>
              </w:rPr>
              <w:t>La présente norme s’applique aux robinets, tels que les robinets de flotteur, de PN 10, destinés à l’alimentation en eau des réservoirs de chasse équipant les cuvettes de WC. Ils sont situés à l’intérieur du réservoir et fixés à une des parois latérales ou sur le fond de ce réservoir.</w:t>
            </w:r>
          </w:p>
          <w:p w:rsidR="0005262F" w:rsidRPr="00ED0D29" w:rsidRDefault="0005262F" w:rsidP="00ED0D29">
            <w:pPr>
              <w:spacing w:after="0" w:line="240" w:lineRule="auto"/>
              <w:jc w:val="both"/>
              <w:rPr>
                <w:rFonts w:ascii="Calibri" w:hAnsi="Calibri" w:cs="Calibri"/>
              </w:rPr>
            </w:pPr>
            <w:r w:rsidRPr="00ED0D29">
              <w:rPr>
                <w:rFonts w:ascii="Calibri" w:hAnsi="Calibri" w:cs="Calibri"/>
              </w:rPr>
              <w:t>Il ne s’applique pas aux robinets utilisés pour d’autres applications : bâches de pompage, réservoir d’accumulation...</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5F2ACD" w:rsidRPr="0043547B" w:rsidRDefault="005F2ACD" w:rsidP="00ED0D29">
            <w:pPr>
              <w:spacing w:after="0" w:line="240" w:lineRule="auto"/>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hideMark/>
          </w:tcPr>
          <w:p w:rsidR="005F2ACD" w:rsidRPr="00951C84" w:rsidRDefault="005F2ACD" w:rsidP="007C65F3">
            <w:pPr>
              <w:spacing w:after="0" w:line="240" w:lineRule="auto"/>
              <w:jc w:val="center"/>
              <w:rPr>
                <w:rFonts w:cstheme="minorHAnsi"/>
                <w:b/>
                <w:bCs/>
                <w:sz w:val="24"/>
                <w:szCs w:val="24"/>
              </w:rPr>
            </w:pPr>
            <w:r w:rsidRPr="00951C84">
              <w:rPr>
                <w:rFonts w:cstheme="minorHAnsi"/>
                <w:b/>
                <w:bCs/>
                <w:sz w:val="24"/>
                <w:szCs w:val="24"/>
              </w:rPr>
              <w:t>NM EN 200</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5F2ACD" w:rsidRPr="0043547B" w:rsidRDefault="005F2ACD" w:rsidP="00ED0D29">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5F2ACD" w:rsidRPr="00951C84" w:rsidRDefault="005F2ACD" w:rsidP="007C65F3">
            <w:pPr>
              <w:spacing w:after="0" w:line="240" w:lineRule="auto"/>
              <w:jc w:val="center"/>
              <w:rPr>
                <w:rFonts w:cstheme="minorHAnsi"/>
                <w:b/>
                <w:bCs/>
                <w:sz w:val="24"/>
                <w:szCs w:val="24"/>
              </w:rPr>
            </w:pPr>
            <w:r w:rsidRPr="00951C84">
              <w:rPr>
                <w:rFonts w:cstheme="minorHAnsi"/>
                <w:b/>
                <w:bCs/>
                <w:sz w:val="24"/>
                <w:szCs w:val="24"/>
              </w:rPr>
              <w:t>EN 200</w:t>
            </w:r>
          </w:p>
        </w:tc>
      </w:tr>
      <w:tr w:rsidR="0043547B" w:rsidRPr="0043547B" w:rsidTr="00CB5DC0">
        <w:trPr>
          <w:trHeight w:val="6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5F2ACD" w:rsidRPr="0043547B" w:rsidRDefault="005F2ACD" w:rsidP="00ED0D29">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hideMark/>
          </w:tcPr>
          <w:p w:rsidR="005F2ACD" w:rsidRPr="0043547B" w:rsidRDefault="005F2ACD" w:rsidP="007C65F3">
            <w:pPr>
              <w:spacing w:after="0" w:line="240" w:lineRule="auto"/>
              <w:rPr>
                <w:rFonts w:cstheme="minorHAnsi"/>
                <w:sz w:val="24"/>
                <w:szCs w:val="24"/>
              </w:rPr>
            </w:pPr>
            <w:r w:rsidRPr="0043547B">
              <w:rPr>
                <w:rFonts w:cstheme="minorHAnsi"/>
                <w:sz w:val="24"/>
                <w:szCs w:val="24"/>
              </w:rPr>
              <w:t xml:space="preserve">Robinetterie sanitaire - Robinets simples et mélangeurs pour les systèmes d'alimentation en eau des types 1 et 2 - Spécifications techniques générales  </w:t>
            </w:r>
          </w:p>
        </w:tc>
      </w:tr>
      <w:tr w:rsidR="0043547B" w:rsidRPr="0043547B" w:rsidTr="00CB5DC0">
        <w:trPr>
          <w:trHeight w:val="1797"/>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5F2ACD" w:rsidRPr="0043547B" w:rsidRDefault="005F2ACD" w:rsidP="00ED0D29">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hideMark/>
          </w:tcPr>
          <w:p w:rsidR="007C65F3" w:rsidRDefault="005F2ACD" w:rsidP="007C65F3">
            <w:pPr>
              <w:spacing w:after="0" w:line="240" w:lineRule="auto"/>
              <w:jc w:val="both"/>
              <w:rPr>
                <w:rFonts w:cstheme="minorHAnsi"/>
                <w:sz w:val="24"/>
                <w:szCs w:val="24"/>
              </w:rPr>
            </w:pPr>
            <w:r w:rsidRPr="0043547B">
              <w:rPr>
                <w:rFonts w:cstheme="minorHAnsi"/>
                <w:sz w:val="24"/>
                <w:szCs w:val="24"/>
              </w:rPr>
              <w:t>La présente Norme Européenne spécifie :</w:t>
            </w:r>
          </w:p>
          <w:p w:rsidR="007C65F3" w:rsidRDefault="005F2ACD" w:rsidP="007C65F3">
            <w:pPr>
              <w:spacing w:after="0" w:line="240" w:lineRule="auto"/>
              <w:jc w:val="both"/>
              <w:rPr>
                <w:rFonts w:cstheme="minorHAnsi"/>
                <w:sz w:val="24"/>
                <w:szCs w:val="24"/>
              </w:rPr>
            </w:pPr>
            <w:r w:rsidRPr="0043547B">
              <w:rPr>
                <w:rFonts w:cstheme="minorHAnsi"/>
                <w:sz w:val="24"/>
                <w:szCs w:val="24"/>
              </w:rPr>
              <w:t>a) le champ d’application des robinets simples montés sur paroi horizontale, des robinets simples montés sur paroi</w:t>
            </w:r>
            <w:r w:rsidR="00951C84">
              <w:rPr>
                <w:rFonts w:cstheme="minorHAnsi"/>
                <w:sz w:val="24"/>
                <w:szCs w:val="24"/>
              </w:rPr>
              <w:t xml:space="preserve"> </w:t>
            </w:r>
            <w:r w:rsidRPr="0043547B">
              <w:rPr>
                <w:rFonts w:cstheme="minorHAnsi"/>
                <w:sz w:val="24"/>
                <w:szCs w:val="24"/>
              </w:rPr>
              <w:t>verticale, des robinets mélangeurs monotrou et multitrou destinés à être utilisés dans :</w:t>
            </w:r>
          </w:p>
          <w:p w:rsidR="007C65F3" w:rsidRPr="007C65F3" w:rsidRDefault="005F2ACD" w:rsidP="007C65F3">
            <w:pPr>
              <w:spacing w:after="0" w:line="240" w:lineRule="auto"/>
              <w:rPr>
                <w:rFonts w:cstheme="minorHAnsi"/>
                <w:sz w:val="4"/>
                <w:szCs w:val="4"/>
              </w:rPr>
            </w:pPr>
            <w:r w:rsidRPr="0043547B">
              <w:rPr>
                <w:rFonts w:cstheme="minorHAnsi"/>
                <w:sz w:val="24"/>
                <w:szCs w:val="24"/>
              </w:rPr>
              <w:t>1) un système d’alimentation de Type 1 (voir Figure 1) ;</w:t>
            </w:r>
            <w:r w:rsidRPr="0043547B">
              <w:rPr>
                <w:rFonts w:cstheme="minorHAnsi"/>
                <w:sz w:val="24"/>
                <w:szCs w:val="24"/>
              </w:rPr>
              <w:br/>
              <w:t>2) un système d’alimentation de Type 2 (voir Figure 2) ;</w:t>
            </w:r>
            <w:r w:rsidRPr="0043547B">
              <w:rPr>
                <w:rFonts w:cstheme="minorHAnsi"/>
                <w:sz w:val="24"/>
                <w:szCs w:val="24"/>
              </w:rPr>
              <w:br/>
            </w:r>
          </w:p>
          <w:p w:rsidR="007C65F3" w:rsidRDefault="005F2ACD" w:rsidP="007C65F3">
            <w:pPr>
              <w:spacing w:after="0" w:line="240" w:lineRule="auto"/>
              <w:jc w:val="both"/>
              <w:rPr>
                <w:rFonts w:cstheme="minorHAnsi"/>
                <w:sz w:val="24"/>
                <w:szCs w:val="24"/>
              </w:rPr>
            </w:pPr>
            <w:r w:rsidRPr="0043547B">
              <w:rPr>
                <w:rFonts w:cstheme="minorHAnsi"/>
                <w:sz w:val="24"/>
                <w:szCs w:val="24"/>
              </w:rPr>
              <w:t>b) les cotes, les caractéristiques d’étanchéité, de résistance à la pression, de performance hydraulique, de</w:t>
            </w:r>
            <w:r w:rsidR="00951C84">
              <w:rPr>
                <w:rFonts w:cstheme="minorHAnsi"/>
                <w:sz w:val="24"/>
                <w:szCs w:val="24"/>
              </w:rPr>
              <w:t xml:space="preserve"> </w:t>
            </w:r>
            <w:r w:rsidRPr="0043547B">
              <w:rPr>
                <w:rFonts w:cstheme="minorHAnsi"/>
                <w:sz w:val="24"/>
                <w:szCs w:val="24"/>
              </w:rPr>
              <w:t>résistance mécanique, d’endurance et les caractéristiques acoustiques des robinets simples et des robinets</w:t>
            </w:r>
            <w:r w:rsidR="00951C84">
              <w:rPr>
                <w:rFonts w:cstheme="minorHAnsi"/>
                <w:sz w:val="24"/>
                <w:szCs w:val="24"/>
              </w:rPr>
              <w:t xml:space="preserve"> </w:t>
            </w:r>
            <w:r w:rsidRPr="0043547B">
              <w:rPr>
                <w:rFonts w:cstheme="minorHAnsi"/>
                <w:sz w:val="24"/>
                <w:szCs w:val="24"/>
              </w:rPr>
              <w:t>mélangeurs de dimension nominale ½ et ¾ ;</w:t>
            </w:r>
          </w:p>
          <w:p w:rsidR="007C65F3" w:rsidRDefault="005F2ACD" w:rsidP="007C65F3">
            <w:pPr>
              <w:spacing w:after="0" w:line="240" w:lineRule="auto"/>
              <w:jc w:val="both"/>
              <w:rPr>
                <w:rFonts w:cstheme="minorHAnsi"/>
                <w:sz w:val="24"/>
                <w:szCs w:val="24"/>
              </w:rPr>
            </w:pPr>
            <w:r w:rsidRPr="0043547B">
              <w:rPr>
                <w:rFonts w:cstheme="minorHAnsi"/>
                <w:sz w:val="24"/>
                <w:szCs w:val="24"/>
              </w:rPr>
              <w:t>c) les méthodes d’essai permettant de vérifier ces caractéristiques.</w:t>
            </w:r>
            <w:r w:rsidRPr="0043547B">
              <w:rPr>
                <w:rFonts w:cstheme="minorHAnsi"/>
                <w:sz w:val="24"/>
                <w:szCs w:val="24"/>
              </w:rPr>
              <w:br/>
              <w:t>Les essais décrits dans la présente Norme Européenne sont des essais de type (essais en laboratoire) et non des</w:t>
            </w:r>
            <w:r w:rsidR="00951C84">
              <w:rPr>
                <w:rFonts w:cstheme="minorHAnsi"/>
                <w:sz w:val="24"/>
                <w:szCs w:val="24"/>
              </w:rPr>
              <w:t xml:space="preserve"> </w:t>
            </w:r>
            <w:r w:rsidRPr="0043547B">
              <w:rPr>
                <w:rFonts w:cstheme="minorHAnsi"/>
                <w:sz w:val="24"/>
                <w:szCs w:val="24"/>
              </w:rPr>
              <w:t>essais de contrôle qualité réalisés en cours de fabrication.</w:t>
            </w:r>
            <w:r w:rsidRPr="0043547B">
              <w:rPr>
                <w:rFonts w:cstheme="minorHAnsi"/>
                <w:sz w:val="24"/>
                <w:szCs w:val="24"/>
              </w:rPr>
              <w:br/>
              <w:t>La présente Norme Européenne s’applique aux robinets de puisage (robinets simples et robinets mélangeurs)</w:t>
            </w:r>
            <w:r w:rsidR="00951C84">
              <w:rPr>
                <w:rFonts w:cstheme="minorHAnsi"/>
                <w:sz w:val="24"/>
                <w:szCs w:val="24"/>
              </w:rPr>
              <w:t xml:space="preserve"> </w:t>
            </w:r>
            <w:r w:rsidRPr="0043547B">
              <w:rPr>
                <w:rFonts w:cstheme="minorHAnsi"/>
                <w:sz w:val="24"/>
                <w:szCs w:val="24"/>
              </w:rPr>
              <w:t>destinés à l’équipement des appareils sanitaires installés dans les locaux d’hygiène corporelle (toilettes, salles de</w:t>
            </w:r>
            <w:r w:rsidRPr="0043547B">
              <w:rPr>
                <w:rFonts w:cstheme="minorHAnsi"/>
                <w:sz w:val="24"/>
                <w:szCs w:val="24"/>
              </w:rPr>
              <w:br/>
              <w:t>bain etc.) et dans les cuisines, pour un usage sur les baignoires, lavabos, bidets, douches et éviers, par exemple.</w:t>
            </w:r>
          </w:p>
          <w:p w:rsidR="007C65F3" w:rsidRDefault="005F2ACD" w:rsidP="007C65F3">
            <w:pPr>
              <w:spacing w:after="0" w:line="240" w:lineRule="auto"/>
              <w:jc w:val="both"/>
              <w:rPr>
                <w:rFonts w:cstheme="minorHAnsi"/>
                <w:sz w:val="24"/>
                <w:szCs w:val="24"/>
              </w:rPr>
            </w:pPr>
            <w:r w:rsidRPr="0043547B">
              <w:rPr>
                <w:rFonts w:cstheme="minorHAnsi"/>
                <w:sz w:val="24"/>
                <w:szCs w:val="24"/>
              </w:rPr>
              <w:t>La Figure 1 représente un système d’alimentation de Type 1 dans une plage de pression de (0,05 à 1,0) MPa</w:t>
            </w:r>
            <w:r w:rsidR="00951C84">
              <w:rPr>
                <w:rFonts w:cstheme="minorHAnsi"/>
                <w:sz w:val="24"/>
                <w:szCs w:val="24"/>
              </w:rPr>
              <w:t xml:space="preserve"> </w:t>
            </w:r>
            <w:r w:rsidRPr="0043547B">
              <w:rPr>
                <w:rFonts w:cstheme="minorHAnsi"/>
                <w:sz w:val="24"/>
                <w:szCs w:val="24"/>
              </w:rPr>
              <w:t>[(0,5 à 10 bar)].</w:t>
            </w:r>
          </w:p>
          <w:p w:rsidR="007C65F3" w:rsidRDefault="005F2ACD" w:rsidP="007C65F3">
            <w:pPr>
              <w:spacing w:after="0" w:line="240" w:lineRule="auto"/>
              <w:jc w:val="both"/>
              <w:rPr>
                <w:rFonts w:cstheme="minorHAnsi"/>
                <w:sz w:val="24"/>
                <w:szCs w:val="24"/>
              </w:rPr>
            </w:pPr>
            <w:r w:rsidRPr="0043547B">
              <w:rPr>
                <w:rFonts w:cstheme="minorHAnsi"/>
                <w:sz w:val="24"/>
                <w:szCs w:val="24"/>
              </w:rPr>
              <w:t>La Figure 2 représente un système d’alimentation de Type 2 dans une plage de pression de (0,01 à 1,0) MPa</w:t>
            </w:r>
            <w:r w:rsidR="00951C84">
              <w:rPr>
                <w:rFonts w:cstheme="minorHAnsi"/>
                <w:sz w:val="24"/>
                <w:szCs w:val="24"/>
              </w:rPr>
              <w:t xml:space="preserve"> </w:t>
            </w:r>
            <w:r w:rsidRPr="0043547B">
              <w:rPr>
                <w:rFonts w:cstheme="minorHAnsi"/>
                <w:sz w:val="24"/>
                <w:szCs w:val="24"/>
              </w:rPr>
              <w:t>[(0,1 à 10 bar)].</w:t>
            </w:r>
          </w:p>
          <w:p w:rsidR="007C65F3" w:rsidRDefault="005F2ACD" w:rsidP="007C65F3">
            <w:pPr>
              <w:spacing w:after="0" w:line="240" w:lineRule="auto"/>
              <w:jc w:val="both"/>
              <w:rPr>
                <w:rFonts w:cstheme="minorHAnsi"/>
                <w:sz w:val="24"/>
                <w:szCs w:val="24"/>
              </w:rPr>
            </w:pPr>
            <w:r w:rsidRPr="0043547B">
              <w:rPr>
                <w:rFonts w:cstheme="minorHAnsi"/>
                <w:sz w:val="24"/>
                <w:szCs w:val="24"/>
              </w:rPr>
              <w:t>La présente Norme Européenne s’applique aux robinets de puisage sanitaires de dimension nominale ½ et ¾</w:t>
            </w:r>
            <w:r w:rsidR="00951C84">
              <w:rPr>
                <w:rFonts w:cstheme="minorHAnsi"/>
                <w:sz w:val="24"/>
                <w:szCs w:val="24"/>
              </w:rPr>
              <w:t xml:space="preserve"> </w:t>
            </w:r>
            <w:r w:rsidRPr="0043547B">
              <w:rPr>
                <w:rFonts w:cstheme="minorHAnsi"/>
                <w:sz w:val="24"/>
                <w:szCs w:val="24"/>
              </w:rPr>
              <w:t>(PN 10).</w:t>
            </w:r>
          </w:p>
          <w:p w:rsidR="005F2ACD" w:rsidRPr="0043547B" w:rsidRDefault="005F2ACD" w:rsidP="007C65F3">
            <w:pPr>
              <w:spacing w:after="0" w:line="240" w:lineRule="auto"/>
              <w:jc w:val="both"/>
              <w:rPr>
                <w:rFonts w:cstheme="minorHAnsi"/>
                <w:sz w:val="24"/>
                <w:szCs w:val="24"/>
              </w:rPr>
            </w:pPr>
            <w:r w:rsidRPr="0043547B">
              <w:rPr>
                <w:rFonts w:cstheme="minorHAnsi"/>
                <w:sz w:val="24"/>
                <w:szCs w:val="24"/>
              </w:rPr>
              <w:t>Les conditions d’utilisation et la classification sont données dans le Tableau 1. Le Tableau 2 fournit les</w:t>
            </w:r>
            <w:r w:rsidR="00951C84">
              <w:rPr>
                <w:rFonts w:cstheme="minorHAnsi"/>
                <w:sz w:val="24"/>
                <w:szCs w:val="24"/>
              </w:rPr>
              <w:t xml:space="preserve"> </w:t>
            </w:r>
            <w:r w:rsidRPr="0043547B">
              <w:rPr>
                <w:rFonts w:cstheme="minorHAnsi"/>
                <w:sz w:val="24"/>
                <w:szCs w:val="24"/>
              </w:rPr>
              <w:t>caractéristiques de performance à prendre en compte si le robinet est utilisé en dehors de la plage de fonctionnement</w:t>
            </w:r>
            <w:r w:rsidR="00951C84">
              <w:rPr>
                <w:rFonts w:cstheme="minorHAnsi"/>
                <w:sz w:val="24"/>
                <w:szCs w:val="24"/>
              </w:rPr>
              <w:t xml:space="preserve"> </w:t>
            </w:r>
            <w:r w:rsidRPr="0043547B">
              <w:rPr>
                <w:rFonts w:cstheme="minorHAnsi"/>
                <w:sz w:val="24"/>
                <w:szCs w:val="24"/>
              </w:rPr>
              <w:t>recommandée.</w:t>
            </w:r>
          </w:p>
        </w:tc>
      </w:tr>
      <w:tr w:rsidR="0005262F" w:rsidRPr="00ED0D29" w:rsidTr="00ED0D29">
        <w:trPr>
          <w:trHeight w:val="434"/>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05262F" w:rsidRPr="00ED0D29" w:rsidRDefault="0005262F" w:rsidP="00ED0D29">
            <w:pPr>
              <w:spacing w:after="0" w:line="240" w:lineRule="auto"/>
              <w:jc w:val="center"/>
              <w:rPr>
                <w:rFonts w:cstheme="minorHAnsi"/>
                <w:b/>
                <w:bCs/>
                <w:sz w:val="24"/>
                <w:szCs w:val="24"/>
              </w:rPr>
            </w:pPr>
            <w:r w:rsidRPr="00ED0D29">
              <w:rPr>
                <w:rFonts w:cstheme="minorHAnsi"/>
                <w:b/>
                <w:bCs/>
                <w:sz w:val="24"/>
                <w:szCs w:val="24"/>
              </w:rPr>
              <w:t xml:space="preserve">Code </w:t>
            </w:r>
          </w:p>
        </w:tc>
        <w:tc>
          <w:tcPr>
            <w:tcW w:w="7938" w:type="dxa"/>
            <w:tcBorders>
              <w:left w:val="single" w:sz="4" w:space="0" w:color="auto"/>
              <w:bottom w:val="single" w:sz="18" w:space="0" w:color="auto"/>
              <w:right w:val="single" w:sz="18" w:space="0" w:color="auto"/>
            </w:tcBorders>
            <w:shd w:val="clear" w:color="auto" w:fill="C2D69B" w:themeFill="accent3" w:themeFillTint="99"/>
            <w:vAlign w:val="center"/>
          </w:tcPr>
          <w:p w:rsidR="0005262F" w:rsidRPr="00ED0D29" w:rsidRDefault="0005262F" w:rsidP="00ED0D29">
            <w:pPr>
              <w:spacing w:after="0" w:line="240" w:lineRule="auto"/>
              <w:jc w:val="center"/>
              <w:rPr>
                <w:rFonts w:cstheme="minorHAnsi"/>
                <w:b/>
                <w:bCs/>
                <w:sz w:val="24"/>
                <w:szCs w:val="24"/>
              </w:rPr>
            </w:pPr>
            <w:r w:rsidRPr="00ED0D29">
              <w:rPr>
                <w:rFonts w:cstheme="minorHAnsi"/>
                <w:b/>
                <w:bCs/>
                <w:sz w:val="24"/>
                <w:szCs w:val="24"/>
              </w:rPr>
              <w:t>NM EN 12284</w:t>
            </w:r>
          </w:p>
        </w:tc>
      </w:tr>
      <w:tr w:rsidR="0005262F" w:rsidRPr="00ED0D29" w:rsidTr="00ED0D29">
        <w:trPr>
          <w:trHeight w:val="431"/>
          <w:jc w:val="center"/>
        </w:trPr>
        <w:tc>
          <w:tcPr>
            <w:tcW w:w="1838" w:type="dxa"/>
            <w:tcBorders>
              <w:top w:val="nil"/>
              <w:left w:val="single" w:sz="18" w:space="0" w:color="auto"/>
              <w:bottom w:val="single" w:sz="18" w:space="0" w:color="auto"/>
              <w:right w:val="single" w:sz="4" w:space="0" w:color="auto"/>
            </w:tcBorders>
            <w:shd w:val="clear" w:color="auto" w:fill="FFFF99"/>
            <w:vAlign w:val="center"/>
          </w:tcPr>
          <w:p w:rsidR="0005262F" w:rsidRPr="00ED0D29" w:rsidRDefault="0005262F" w:rsidP="00ED0D29">
            <w:pPr>
              <w:spacing w:after="0" w:line="240" w:lineRule="auto"/>
              <w:jc w:val="center"/>
              <w:rPr>
                <w:rFonts w:cstheme="minorHAnsi"/>
                <w:b/>
                <w:bCs/>
                <w:sz w:val="24"/>
                <w:szCs w:val="24"/>
              </w:rPr>
            </w:pPr>
            <w:r w:rsidRPr="00ED0D29">
              <w:rPr>
                <w:rFonts w:cstheme="minorHAnsi"/>
                <w:b/>
                <w:bCs/>
                <w:sz w:val="24"/>
                <w:szCs w:val="24"/>
              </w:rPr>
              <w:t>Equivalence </w:t>
            </w:r>
          </w:p>
        </w:tc>
        <w:tc>
          <w:tcPr>
            <w:tcW w:w="7938" w:type="dxa"/>
            <w:tcBorders>
              <w:left w:val="single" w:sz="4" w:space="0" w:color="auto"/>
              <w:bottom w:val="single" w:sz="18" w:space="0" w:color="auto"/>
              <w:right w:val="single" w:sz="18" w:space="0" w:color="auto"/>
            </w:tcBorders>
            <w:shd w:val="clear" w:color="auto" w:fill="FFFF99"/>
            <w:vAlign w:val="center"/>
          </w:tcPr>
          <w:p w:rsidR="0005262F" w:rsidRPr="00ED0D29" w:rsidRDefault="0005262F" w:rsidP="00ED0D29">
            <w:pPr>
              <w:spacing w:after="0" w:line="240" w:lineRule="auto"/>
              <w:jc w:val="center"/>
              <w:rPr>
                <w:rFonts w:cstheme="minorHAnsi"/>
                <w:b/>
                <w:bCs/>
                <w:sz w:val="24"/>
                <w:szCs w:val="24"/>
              </w:rPr>
            </w:pPr>
            <w:r w:rsidRPr="00ED0D29">
              <w:rPr>
                <w:rFonts w:cstheme="minorHAnsi"/>
                <w:b/>
                <w:bCs/>
                <w:sz w:val="24"/>
                <w:szCs w:val="24"/>
              </w:rPr>
              <w:t>EN 12284</w:t>
            </w:r>
          </w:p>
        </w:tc>
      </w:tr>
      <w:tr w:rsidR="0005262F" w:rsidRPr="00ED0D29" w:rsidTr="00ED0D29">
        <w:trPr>
          <w:trHeight w:val="604"/>
          <w:jc w:val="center"/>
        </w:trPr>
        <w:tc>
          <w:tcPr>
            <w:tcW w:w="1838" w:type="dxa"/>
            <w:tcBorders>
              <w:top w:val="single" w:sz="18" w:space="0" w:color="auto"/>
              <w:left w:val="single" w:sz="18" w:space="0" w:color="auto"/>
              <w:bottom w:val="single" w:sz="4" w:space="0" w:color="auto"/>
              <w:right w:val="single" w:sz="4" w:space="0" w:color="auto"/>
            </w:tcBorders>
            <w:shd w:val="clear" w:color="auto" w:fill="B8CCE4" w:themeFill="accent1" w:themeFillTint="66"/>
            <w:vAlign w:val="center"/>
          </w:tcPr>
          <w:p w:rsidR="0005262F" w:rsidRPr="00ED0D29" w:rsidRDefault="0005262F" w:rsidP="00ED0D29">
            <w:pPr>
              <w:spacing w:after="0" w:line="240" w:lineRule="auto"/>
              <w:jc w:val="center"/>
              <w:rPr>
                <w:rFonts w:cstheme="minorHAnsi"/>
                <w:b/>
                <w:bCs/>
                <w:sz w:val="24"/>
                <w:szCs w:val="24"/>
              </w:rPr>
            </w:pPr>
            <w:r w:rsidRPr="00ED0D29">
              <w:rPr>
                <w:rFonts w:cstheme="minorHAns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tcPr>
          <w:p w:rsidR="0005262F" w:rsidRPr="00ED0D29" w:rsidRDefault="0005262F" w:rsidP="00ED0D29">
            <w:pPr>
              <w:spacing w:after="0" w:line="240" w:lineRule="auto"/>
              <w:jc w:val="both"/>
              <w:rPr>
                <w:rFonts w:cstheme="minorHAnsi"/>
                <w:sz w:val="24"/>
                <w:szCs w:val="24"/>
              </w:rPr>
            </w:pPr>
            <w:r w:rsidRPr="00ED0D29">
              <w:rPr>
                <w:rFonts w:cstheme="minorHAnsi"/>
                <w:sz w:val="24"/>
                <w:szCs w:val="24"/>
              </w:rPr>
              <w:t>Systèmes de réfrigération et pompes à chaleur - Robinetterie - Exigences, essais et marquage</w:t>
            </w:r>
          </w:p>
        </w:tc>
      </w:tr>
      <w:tr w:rsidR="0005262F" w:rsidRPr="00ED0D29" w:rsidTr="00ED0D29">
        <w:trPr>
          <w:trHeight w:val="1552"/>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05262F" w:rsidRPr="00ED0D29" w:rsidRDefault="0005262F" w:rsidP="00ED0D29">
            <w:pPr>
              <w:spacing w:after="0" w:line="240" w:lineRule="auto"/>
              <w:jc w:val="center"/>
              <w:rPr>
                <w:rFonts w:cstheme="minorHAnsi"/>
                <w:b/>
                <w:bCs/>
                <w:sz w:val="24"/>
                <w:szCs w:val="24"/>
              </w:rPr>
            </w:pPr>
            <w:r w:rsidRPr="00ED0D29">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bottom"/>
          </w:tcPr>
          <w:p w:rsidR="00ED0D29" w:rsidRDefault="0005262F" w:rsidP="00ED0D29">
            <w:pPr>
              <w:spacing w:after="0" w:line="240" w:lineRule="auto"/>
              <w:jc w:val="both"/>
              <w:rPr>
                <w:rFonts w:cstheme="minorHAnsi"/>
                <w:sz w:val="24"/>
                <w:szCs w:val="24"/>
              </w:rPr>
            </w:pPr>
            <w:r w:rsidRPr="00ED0D29">
              <w:rPr>
                <w:rFonts w:cstheme="minorHAnsi"/>
                <w:sz w:val="24"/>
                <w:szCs w:val="24"/>
              </w:rPr>
              <w:t>La présente Norme européenne spécifie les exigences de sécurité, les coefficients de sécurité, les méthodes</w:t>
            </w:r>
            <w:r w:rsidR="00ED0D29">
              <w:rPr>
                <w:rFonts w:cstheme="minorHAnsi"/>
                <w:sz w:val="24"/>
                <w:szCs w:val="24"/>
              </w:rPr>
              <w:t xml:space="preserve"> </w:t>
            </w:r>
            <w:r w:rsidRPr="00ED0D29">
              <w:rPr>
                <w:rFonts w:cstheme="minorHAnsi"/>
                <w:sz w:val="24"/>
                <w:szCs w:val="24"/>
              </w:rPr>
              <w:t>d’essai, les pressions d’essai utilisées ainsi que le marquage des robinets frigorifiques et des autres composants</w:t>
            </w:r>
            <w:r w:rsidRPr="00ED0D29">
              <w:rPr>
                <w:rFonts w:cstheme="minorHAnsi"/>
                <w:sz w:val="24"/>
                <w:szCs w:val="24"/>
              </w:rPr>
              <w:br/>
              <w:t>possédant un corps similaire, ci-après désignés par «robinets», destinés à être utilisés dans les systèmes de</w:t>
            </w:r>
            <w:r w:rsidR="00ED0D29">
              <w:rPr>
                <w:rFonts w:cstheme="minorHAnsi"/>
                <w:sz w:val="24"/>
                <w:szCs w:val="24"/>
              </w:rPr>
              <w:t xml:space="preserve"> </w:t>
            </w:r>
            <w:r w:rsidRPr="00ED0D29">
              <w:rPr>
                <w:rFonts w:cstheme="minorHAnsi"/>
                <w:sz w:val="24"/>
                <w:szCs w:val="24"/>
              </w:rPr>
              <w:t>réfrigération.</w:t>
            </w:r>
          </w:p>
          <w:p w:rsidR="00ED0D29" w:rsidRDefault="0005262F" w:rsidP="00ED0D29">
            <w:pPr>
              <w:spacing w:after="0" w:line="240" w:lineRule="auto"/>
              <w:jc w:val="both"/>
              <w:rPr>
                <w:rFonts w:cstheme="minorHAnsi"/>
                <w:sz w:val="24"/>
                <w:szCs w:val="24"/>
              </w:rPr>
            </w:pPr>
            <w:r w:rsidRPr="00ED0D29">
              <w:rPr>
                <w:rFonts w:cstheme="minorHAnsi"/>
                <w:sz w:val="24"/>
                <w:szCs w:val="24"/>
              </w:rPr>
              <w:t>Elle décrit la procédure à suivre lors de la conception (par calcul ou par une méthode expérimentale de conception)</w:t>
            </w:r>
            <w:r w:rsidR="00ED0D29">
              <w:rPr>
                <w:rFonts w:cstheme="minorHAnsi"/>
                <w:sz w:val="24"/>
                <w:szCs w:val="24"/>
              </w:rPr>
              <w:t xml:space="preserve"> </w:t>
            </w:r>
            <w:r w:rsidRPr="00ED0D29">
              <w:rPr>
                <w:rFonts w:cstheme="minorHAnsi"/>
                <w:sz w:val="24"/>
                <w:szCs w:val="24"/>
              </w:rPr>
              <w:t>des éléments de robinetterie soumis à une pression, ainsi que les critères à appliquer lors de la sélection des</w:t>
            </w:r>
            <w:r w:rsidRPr="00ED0D29">
              <w:rPr>
                <w:rFonts w:cstheme="minorHAnsi"/>
                <w:sz w:val="24"/>
                <w:szCs w:val="24"/>
              </w:rPr>
              <w:br/>
              <w:t>matériaux.</w:t>
            </w:r>
            <w:r w:rsidRPr="00ED0D29">
              <w:rPr>
                <w:rFonts w:cstheme="minorHAnsi"/>
                <w:sz w:val="24"/>
                <w:szCs w:val="24"/>
              </w:rPr>
              <w:br/>
              <w:t>La norme décrit également les méthodes permettant de prendre en compte en toute sécurité des valeurs de résilience</w:t>
            </w:r>
            <w:r w:rsidR="00ED0D29">
              <w:rPr>
                <w:rFonts w:cstheme="minorHAnsi"/>
                <w:sz w:val="24"/>
                <w:szCs w:val="24"/>
              </w:rPr>
              <w:t xml:space="preserve"> </w:t>
            </w:r>
            <w:r w:rsidRPr="00ED0D29">
              <w:rPr>
                <w:rFonts w:cstheme="minorHAnsi"/>
                <w:sz w:val="24"/>
                <w:szCs w:val="24"/>
              </w:rPr>
              <w:t>faibles à basse température.</w:t>
            </w:r>
          </w:p>
          <w:p w:rsidR="0005262F" w:rsidRPr="00ED0D29" w:rsidRDefault="0005262F" w:rsidP="00ED0D29">
            <w:pPr>
              <w:spacing w:after="0" w:line="240" w:lineRule="auto"/>
              <w:jc w:val="both"/>
              <w:rPr>
                <w:rFonts w:cstheme="minorHAnsi"/>
                <w:sz w:val="24"/>
                <w:szCs w:val="24"/>
              </w:rPr>
            </w:pPr>
            <w:r w:rsidRPr="00ED0D29">
              <w:rPr>
                <w:rFonts w:cstheme="minorHAnsi"/>
                <w:sz w:val="24"/>
                <w:szCs w:val="24"/>
              </w:rPr>
              <w:lastRenderedPageBreak/>
              <w:t>La présente norme s’applique à la conception des corps et des chapeaux des dispositifs limiteurs de pression, y</w:t>
            </w:r>
            <w:r w:rsidR="00ED0D29">
              <w:rPr>
                <w:rFonts w:cstheme="minorHAnsi"/>
                <w:sz w:val="24"/>
                <w:szCs w:val="24"/>
              </w:rPr>
              <w:t xml:space="preserve"> </w:t>
            </w:r>
            <w:r w:rsidRPr="00ED0D29">
              <w:rPr>
                <w:rFonts w:cstheme="minorHAnsi"/>
                <w:sz w:val="24"/>
                <w:szCs w:val="24"/>
              </w:rPr>
              <w:t>compris les dispositifs à disque de rupture, eu égard au confinement de la pression, mais ne s’applique pas aux</w:t>
            </w:r>
            <w:r w:rsidRPr="00ED0D29">
              <w:rPr>
                <w:rFonts w:cstheme="minorHAnsi"/>
                <w:sz w:val="24"/>
                <w:szCs w:val="24"/>
              </w:rPr>
              <w:br/>
              <w:t>autres aspects de la conception ou de l’application des dispositifs limiteurs de pression.</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10.4.005</w:t>
            </w:r>
          </w:p>
        </w:tc>
      </w:tr>
      <w:tr w:rsidR="0043547B" w:rsidRPr="0043547B" w:rsidTr="00CB5DC0">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Robinetterie sanitaires - Mitigeurs mécaniques – Spécifications techniques générales </w:t>
            </w:r>
          </w:p>
        </w:tc>
      </w:tr>
      <w:tr w:rsidR="0043547B" w:rsidRPr="0043547B" w:rsidTr="00DB0DCD">
        <w:trPr>
          <w:trHeight w:val="2992"/>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center"/>
            <w:hideMark/>
          </w:tcPr>
          <w:p w:rsidR="007F63D3" w:rsidRDefault="00904E52" w:rsidP="007F63D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aux mitigeurs mécaniques destinés à l’équipement des appareils sanitaires (lavabo, bidet, douche, baignoire, etc.) et des appareils ménagers (éviers, bac à laver, etc) installés dans les bâtiments, quelles que soit la destination de ces derniers.</w:t>
            </w:r>
          </w:p>
          <w:p w:rsidR="007F63D3" w:rsidRDefault="00904E52" w:rsidP="007F63D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robinetteries concernées par La norme sont les mitigeurs mécaniques fonctionnant à une pression d’alimentation comprise entre 0,05 MPa (0,5 bar) et 1 MPa (10 bar).</w:t>
            </w:r>
          </w:p>
          <w:p w:rsidR="007C65F3" w:rsidRPr="0043547B" w:rsidRDefault="00904E52" w:rsidP="00DB0DC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spécifications des robinets visés par La norme sont établies pour des pressions d’alimentation sensiblement égales et de températures sensiblement constantes de l’eau chaude et de l’eau froide.</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10.4.017</w:t>
            </w:r>
          </w:p>
        </w:tc>
      </w:tr>
      <w:tr w:rsidR="0005262F" w:rsidRPr="0043547B" w:rsidTr="00ED0D29">
        <w:trPr>
          <w:trHeight w:val="652"/>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05262F" w:rsidRPr="0043547B" w:rsidRDefault="0005262F" w:rsidP="0005262F">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auto" w:fill="auto"/>
            <w:hideMark/>
          </w:tcPr>
          <w:p w:rsidR="0005262F" w:rsidRPr="00ED0D29" w:rsidRDefault="0005262F" w:rsidP="00ED0D29">
            <w:pPr>
              <w:spacing w:after="0" w:line="240" w:lineRule="auto"/>
              <w:jc w:val="both"/>
              <w:rPr>
                <w:rFonts w:ascii="Calibri" w:hAnsi="Calibri" w:cs="Calibri"/>
              </w:rPr>
            </w:pPr>
            <w:r w:rsidRPr="00ED0D29">
              <w:rPr>
                <w:rFonts w:ascii="Calibri" w:hAnsi="Calibri" w:cs="Calibri"/>
              </w:rPr>
              <w:t xml:space="preserve">Robinetterie de bâtiment - Robinets d’arrêt à soupape Spécifications techniques générales </w:t>
            </w:r>
          </w:p>
        </w:tc>
      </w:tr>
      <w:tr w:rsidR="0005262F" w:rsidRPr="0043547B" w:rsidTr="00ED0D29">
        <w:trPr>
          <w:trHeight w:val="2539"/>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05262F" w:rsidRPr="0043547B" w:rsidRDefault="0005262F" w:rsidP="0005262F">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bottom"/>
            <w:hideMark/>
          </w:tcPr>
          <w:p w:rsidR="0005262F" w:rsidRPr="00ED0D29" w:rsidRDefault="0005262F" w:rsidP="00ED0D29">
            <w:pPr>
              <w:spacing w:after="0" w:line="240" w:lineRule="auto"/>
              <w:rPr>
                <w:rFonts w:ascii="Calibri" w:hAnsi="Calibri" w:cs="Calibri"/>
              </w:rPr>
            </w:pPr>
            <w:r w:rsidRPr="00ED0D29">
              <w:rPr>
                <w:rFonts w:ascii="Calibri" w:hAnsi="Calibri" w:cs="Calibri"/>
              </w:rPr>
              <w:t>La présente norme s'applique aux robinets d'arrêt à soupape droits à tête droite ou aux robinets d'équerre. Elle s'applique aux robinets de pression nominale (bar) PN 10, de dénomination :</w:t>
            </w:r>
            <w:r w:rsidRPr="00ED0D29">
              <w:rPr>
                <w:rFonts w:ascii="Calibri" w:hAnsi="Calibri" w:cs="Calibri"/>
              </w:rPr>
              <w:br/>
              <w:t>– 3/8, 1/2, 3/4 et 1, pour les robinets d'arrêts droits à tête droite,</w:t>
            </w:r>
            <w:r w:rsidRPr="00ED0D29">
              <w:rPr>
                <w:rFonts w:ascii="Calibri" w:hAnsi="Calibri" w:cs="Calibri"/>
              </w:rPr>
              <w:br/>
              <w:t>– 3/8 et 1/2, pour les robinets d'arrêt d'équerre, desinées à être installées sur les circuits d'alimentation d'eau froide et d'eau chaude sanitaire.</w:t>
            </w:r>
            <w:r w:rsidRPr="00ED0D29">
              <w:rPr>
                <w:rFonts w:ascii="Calibri" w:hAnsi="Calibri" w:cs="Calibri"/>
              </w:rPr>
              <w:br/>
              <w:t>Elle ne s'applique pas :</w:t>
            </w:r>
            <w:r w:rsidRPr="00ED0D29">
              <w:rPr>
                <w:rFonts w:ascii="Calibri" w:hAnsi="Calibri" w:cs="Calibri"/>
              </w:rPr>
              <w:br/>
              <w:t>– à la robinetterie d'incendie,</w:t>
            </w:r>
            <w:r w:rsidRPr="00ED0D29">
              <w:rPr>
                <w:rFonts w:ascii="Calibri" w:hAnsi="Calibri" w:cs="Calibri"/>
              </w:rPr>
              <w:br/>
              <w:t>– aux robinets d'arrêt de compteur d'eau,</w:t>
            </w:r>
            <w:r w:rsidRPr="00ED0D29">
              <w:rPr>
                <w:rFonts w:ascii="Calibri" w:hAnsi="Calibri" w:cs="Calibri"/>
              </w:rPr>
              <w:br/>
              <w:t>– aux robinets de puisage à soupape qui font l'objet de la NM 10.4.002</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12149</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12149</w:t>
            </w:r>
          </w:p>
        </w:tc>
      </w:tr>
      <w:tr w:rsidR="0043547B" w:rsidRPr="0043547B" w:rsidTr="00CB5DC0">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Robinets à soupapes en acier à chapeau boulonné pour applications générales ; </w:t>
            </w:r>
          </w:p>
        </w:tc>
      </w:tr>
      <w:tr w:rsidR="0043547B" w:rsidRPr="0043547B" w:rsidTr="00CB5DC0">
        <w:trPr>
          <w:trHeight w:val="3651"/>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La norme prescrit les caractéristiques des robinets à soupape en acier à chapeau boulonné pour applications générales présentant les éléments de construction suivants : </w:t>
            </w:r>
            <w:r w:rsidRPr="0043547B">
              <w:rPr>
                <w:rFonts w:eastAsia="Times New Roman" w:cstheme="minorHAnsi"/>
                <w:sz w:val="24"/>
                <w:szCs w:val="24"/>
                <w:lang w:eastAsia="fr-FR"/>
              </w:rPr>
              <w:br/>
            </w:r>
            <w:r w:rsidR="00A32960" w:rsidRPr="0043547B">
              <w:rPr>
                <w:rFonts w:eastAsia="Times New Roman" w:cstheme="minorHAnsi"/>
                <w:sz w:val="24"/>
                <w:szCs w:val="24"/>
                <w:lang w:eastAsia="fr-FR"/>
              </w:rPr>
              <w:t>- chapeau</w:t>
            </w:r>
            <w:r w:rsidRPr="0043547B">
              <w:rPr>
                <w:rFonts w:eastAsia="Times New Roman" w:cstheme="minorHAnsi"/>
                <w:sz w:val="24"/>
                <w:szCs w:val="24"/>
                <w:lang w:eastAsia="fr-FR"/>
              </w:rPr>
              <w:t xml:space="preserve"> </w:t>
            </w:r>
            <w:r w:rsidR="00A32960" w:rsidRPr="0043547B">
              <w:rPr>
                <w:rFonts w:eastAsia="Times New Roman" w:cstheme="minorHAnsi"/>
                <w:sz w:val="24"/>
                <w:szCs w:val="24"/>
                <w:lang w:eastAsia="fr-FR"/>
              </w:rPr>
              <w:t>boulonné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à extrémités à brides, filetées, à emboîtement à souder (DN 65 et inférieur) ou à souder en bout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tige à filetage extérieur et arcade, tige à filetage intérieur et tige montante ;</w:t>
            </w:r>
          </w:p>
          <w:p w:rsidR="007F63D3" w:rsidRDefault="00904E52" w:rsidP="007F63D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avec obturateur métallique ou souple (disque, piston) ou portées d'étanchéité sur siège.</w:t>
            </w:r>
          </w:p>
          <w:p w:rsidR="00904E52" w:rsidRPr="0043547B" w:rsidRDefault="00904E52" w:rsidP="007F63D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Elle traite des robinets à soupape de diamètre nominal DN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10; 15; 20; 25; 32; 40; 50; 65; 80; 100; 125; 150; 200; 250; 300; 350; 400;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et s'applique aux robinets à soupape de pression nominale PN </w:t>
            </w:r>
          </w:p>
          <w:p w:rsidR="00904E52"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10; 16; 20; 25; 40; 50; 110.</w:t>
            </w:r>
          </w:p>
          <w:p w:rsidR="00ED0D29" w:rsidRPr="0043547B" w:rsidRDefault="00ED0D29" w:rsidP="00904E52">
            <w:pPr>
              <w:spacing w:after="0" w:line="240" w:lineRule="auto"/>
              <w:jc w:val="both"/>
              <w:rPr>
                <w:rFonts w:eastAsia="Times New Roman" w:cstheme="minorHAnsi"/>
                <w:sz w:val="24"/>
                <w:szCs w:val="24"/>
                <w:lang w:eastAsia="fr-FR"/>
              </w:rPr>
            </w:pP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5996</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5996</w:t>
            </w:r>
          </w:p>
        </w:tc>
      </w:tr>
      <w:tr w:rsidR="0043547B" w:rsidRPr="0043547B" w:rsidTr="00CB5DC0">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Robinets-vannes en fonte </w:t>
            </w:r>
          </w:p>
        </w:tc>
      </w:tr>
      <w:tr w:rsidR="0043547B" w:rsidRPr="0043547B" w:rsidTr="00CB5DC0">
        <w:trPr>
          <w:trHeight w:val="2228"/>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traite de robinets vannes de DN suivants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4-0 ; 50; 65; 80; 100; 125; 150; 200; 250; 300; 350; 400; 450; 500 (550); 600 (650); 700; 750; 800; 900; 1000.</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 Elle est applicable aux robinets-vannes de pressions nominales, en ISO PN suivants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- 1 ; 1,6 ; 2,5 ; 4 ; 6 et 10 en série isomorphe en fonte à graphite lamellaire, et</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- 10 ; 16 ; 20 et 50 en fonte à graphite lamellaire, et</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- 10 ; 16 ; 20 ; 25 ; 40 et 50 en fonte à graphite sphéroïdal.</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7259</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7259</w:t>
            </w:r>
          </w:p>
        </w:tc>
      </w:tr>
      <w:tr w:rsidR="0043547B" w:rsidRPr="0043547B" w:rsidTr="00CB5DC0">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Robinets-vannes en fonte généralement manœuvrés par clé à béquille pour installations enterrées </w:t>
            </w:r>
          </w:p>
        </w:tc>
      </w:tr>
      <w:tr w:rsidR="0043547B" w:rsidRPr="0043547B" w:rsidTr="00CB5DC0">
        <w:trPr>
          <w:trHeight w:val="2484"/>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traite de robinets vannes aux DN suivants :</w:t>
            </w:r>
          </w:p>
          <w:p w:rsidR="00904E52" w:rsidRPr="0043547B" w:rsidRDefault="00904E52" w:rsidP="007C65F3">
            <w:pPr>
              <w:pStyle w:val="Paragraphedeliste"/>
              <w:numPr>
                <w:ilvl w:val="0"/>
                <w:numId w:val="5"/>
              </w:numPr>
              <w:spacing w:after="0" w:line="240" w:lineRule="auto"/>
              <w:ind w:left="196" w:hanging="142"/>
              <w:jc w:val="both"/>
              <w:rPr>
                <w:rFonts w:eastAsia="Times New Roman" w:cstheme="minorHAnsi"/>
                <w:sz w:val="24"/>
                <w:szCs w:val="24"/>
                <w:lang w:eastAsia="fr-FR"/>
              </w:rPr>
            </w:pPr>
            <w:r w:rsidRPr="0043547B">
              <w:rPr>
                <w:rFonts w:eastAsia="Times New Roman" w:cstheme="minorHAnsi"/>
                <w:sz w:val="24"/>
                <w:szCs w:val="24"/>
                <w:lang w:eastAsia="fr-FR"/>
              </w:rPr>
              <w:t>50 ; 65 ; 80 ; 100 ; 125 ; 150 ; 200 ; 256 ; 300</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est applicable aux robinets-vannes de pressions nominales, en ISO PN suivants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- 10, 16 et 20 en fonte à graphite lamellaire, et</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- 10, 16, 25 et 40 en fonte à graphite sphéroïdal.</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 Le dimensionnement des extrémités mâles ou femelles des robinets-vannes pour emboîtements permet leur raccordement aux :</w:t>
            </w:r>
          </w:p>
          <w:p w:rsidR="00904E52" w:rsidRPr="0043547B" w:rsidRDefault="00904E52" w:rsidP="00B905D3">
            <w:pPr>
              <w:pStyle w:val="Paragraphedeliste"/>
              <w:numPr>
                <w:ilvl w:val="0"/>
                <w:numId w:val="37"/>
              </w:num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Tuyauteries en fonte de DN 50 à DN 300</w:t>
            </w:r>
          </w:p>
          <w:p w:rsidR="00904E52" w:rsidRPr="0043547B" w:rsidRDefault="00904E52" w:rsidP="00B905D3">
            <w:pPr>
              <w:pStyle w:val="Paragraphedeliste"/>
              <w:numPr>
                <w:ilvl w:val="0"/>
                <w:numId w:val="37"/>
              </w:num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Tubes en acier de DN 80 à DN 300</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L’utilisation de ces robinets-vannes dans des systèmes de canalisation réalisés à partir d’autres matériaux, exige un accord entre le fabricant et l’acheteur.</w:t>
            </w:r>
          </w:p>
        </w:tc>
      </w:tr>
      <w:tr w:rsidR="0005262F" w:rsidRPr="00ED0D29" w:rsidTr="001E712A">
        <w:trPr>
          <w:trHeight w:val="388"/>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05262F" w:rsidRPr="00ED0D29" w:rsidRDefault="0005262F" w:rsidP="00ED0D29">
            <w:pPr>
              <w:spacing w:after="0"/>
              <w:jc w:val="center"/>
              <w:rPr>
                <w:rFonts w:cstheme="minorHAnsi"/>
                <w:b/>
                <w:bCs/>
                <w:sz w:val="24"/>
                <w:szCs w:val="24"/>
              </w:rPr>
            </w:pPr>
            <w:r w:rsidRPr="00ED0D29">
              <w:rPr>
                <w:rFonts w:cstheme="minorHAnsi"/>
                <w:b/>
                <w:bCs/>
                <w:sz w:val="24"/>
                <w:szCs w:val="24"/>
              </w:rPr>
              <w:t xml:space="preserve">Code </w:t>
            </w:r>
            <w:r w:rsidR="00ED0D29" w:rsidRPr="00ED0D29">
              <w:rPr>
                <w:rFonts w:cstheme="minorHAnsi"/>
                <w:b/>
                <w:bCs/>
                <w:sz w:val="24"/>
                <w:szCs w:val="24"/>
              </w:rPr>
              <w:t xml:space="preserve"> </w:t>
            </w:r>
          </w:p>
        </w:tc>
        <w:tc>
          <w:tcPr>
            <w:tcW w:w="7938" w:type="dxa"/>
            <w:tcBorders>
              <w:left w:val="single" w:sz="4" w:space="0" w:color="auto"/>
              <w:bottom w:val="single" w:sz="18" w:space="0" w:color="auto"/>
              <w:right w:val="single" w:sz="18" w:space="0" w:color="auto"/>
            </w:tcBorders>
            <w:shd w:val="clear" w:color="auto" w:fill="C2D69B" w:themeFill="accent3" w:themeFillTint="99"/>
            <w:vAlign w:val="center"/>
          </w:tcPr>
          <w:p w:rsidR="0005262F" w:rsidRPr="00ED0D29" w:rsidRDefault="0005262F" w:rsidP="00ED0D29">
            <w:pPr>
              <w:spacing w:after="0"/>
              <w:jc w:val="center"/>
              <w:rPr>
                <w:rFonts w:cstheme="minorHAnsi"/>
                <w:b/>
                <w:bCs/>
                <w:sz w:val="24"/>
                <w:szCs w:val="24"/>
              </w:rPr>
            </w:pPr>
            <w:r w:rsidRPr="00ED0D29">
              <w:rPr>
                <w:rFonts w:cstheme="minorHAnsi"/>
                <w:b/>
                <w:bCs/>
                <w:sz w:val="24"/>
                <w:szCs w:val="24"/>
              </w:rPr>
              <w:t>NM EN 16668</w:t>
            </w:r>
          </w:p>
        </w:tc>
      </w:tr>
      <w:tr w:rsidR="0005262F" w:rsidRPr="00ED0D29" w:rsidTr="001E712A">
        <w:trPr>
          <w:trHeight w:val="522"/>
          <w:jc w:val="center"/>
        </w:trPr>
        <w:tc>
          <w:tcPr>
            <w:tcW w:w="1838" w:type="dxa"/>
            <w:tcBorders>
              <w:top w:val="nil"/>
              <w:left w:val="single" w:sz="18" w:space="0" w:color="auto"/>
              <w:bottom w:val="single" w:sz="18" w:space="0" w:color="auto"/>
              <w:right w:val="single" w:sz="4" w:space="0" w:color="auto"/>
            </w:tcBorders>
            <w:shd w:val="clear" w:color="auto" w:fill="FFFF99"/>
            <w:vAlign w:val="center"/>
          </w:tcPr>
          <w:p w:rsidR="0005262F" w:rsidRPr="00ED0D29" w:rsidRDefault="0005262F" w:rsidP="00ED0D29">
            <w:pPr>
              <w:spacing w:after="0"/>
              <w:jc w:val="center"/>
              <w:rPr>
                <w:rFonts w:cstheme="minorHAnsi"/>
                <w:b/>
                <w:bCs/>
                <w:sz w:val="24"/>
                <w:szCs w:val="24"/>
              </w:rPr>
            </w:pPr>
            <w:r w:rsidRPr="00ED0D29">
              <w:rPr>
                <w:rFonts w:cstheme="minorHAnsi"/>
                <w:b/>
                <w:bCs/>
                <w:sz w:val="24"/>
                <w:szCs w:val="24"/>
              </w:rPr>
              <w:t>Equivalence :</w:t>
            </w:r>
          </w:p>
        </w:tc>
        <w:tc>
          <w:tcPr>
            <w:tcW w:w="7938" w:type="dxa"/>
            <w:tcBorders>
              <w:left w:val="single" w:sz="4" w:space="0" w:color="auto"/>
              <w:bottom w:val="single" w:sz="18" w:space="0" w:color="auto"/>
              <w:right w:val="single" w:sz="18" w:space="0" w:color="auto"/>
            </w:tcBorders>
            <w:shd w:val="clear" w:color="auto" w:fill="FFFF99"/>
            <w:vAlign w:val="center"/>
          </w:tcPr>
          <w:p w:rsidR="0005262F" w:rsidRPr="00ED0D29" w:rsidRDefault="0005262F" w:rsidP="00ED0D29">
            <w:pPr>
              <w:spacing w:after="0"/>
              <w:jc w:val="center"/>
              <w:rPr>
                <w:rFonts w:cstheme="minorHAnsi"/>
                <w:b/>
                <w:bCs/>
                <w:sz w:val="24"/>
                <w:szCs w:val="24"/>
              </w:rPr>
            </w:pPr>
            <w:r w:rsidRPr="00ED0D29">
              <w:rPr>
                <w:rFonts w:cstheme="minorHAnsi"/>
                <w:b/>
                <w:bCs/>
                <w:sz w:val="24"/>
                <w:szCs w:val="24"/>
              </w:rPr>
              <w:t>EN 16668</w:t>
            </w:r>
          </w:p>
        </w:tc>
      </w:tr>
      <w:tr w:rsidR="0005262F" w:rsidRPr="00ED0D29" w:rsidTr="001E712A">
        <w:trPr>
          <w:trHeight w:val="671"/>
          <w:jc w:val="center"/>
        </w:trPr>
        <w:tc>
          <w:tcPr>
            <w:tcW w:w="1838" w:type="dxa"/>
            <w:tcBorders>
              <w:top w:val="single" w:sz="18" w:space="0" w:color="auto"/>
              <w:left w:val="single" w:sz="18" w:space="0" w:color="auto"/>
              <w:bottom w:val="single" w:sz="4" w:space="0" w:color="auto"/>
              <w:right w:val="single" w:sz="4" w:space="0" w:color="auto"/>
            </w:tcBorders>
            <w:shd w:val="clear" w:color="auto" w:fill="B8CCE4" w:themeFill="accent1" w:themeFillTint="66"/>
            <w:vAlign w:val="center"/>
          </w:tcPr>
          <w:p w:rsidR="0005262F" w:rsidRPr="00ED0D29" w:rsidRDefault="0005262F" w:rsidP="00ED0D29">
            <w:pPr>
              <w:spacing w:after="0"/>
              <w:jc w:val="center"/>
              <w:rPr>
                <w:rFonts w:cstheme="minorHAnsi"/>
                <w:b/>
                <w:bCs/>
                <w:sz w:val="24"/>
                <w:szCs w:val="24"/>
              </w:rPr>
            </w:pPr>
            <w:r w:rsidRPr="00ED0D29">
              <w:rPr>
                <w:rFonts w:cstheme="minorHAns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tcPr>
          <w:p w:rsidR="0005262F" w:rsidRPr="00ED0D29" w:rsidRDefault="0005262F" w:rsidP="001E712A">
            <w:pPr>
              <w:spacing w:after="0" w:line="240" w:lineRule="auto"/>
              <w:jc w:val="both"/>
              <w:rPr>
                <w:rFonts w:cstheme="minorHAnsi"/>
                <w:sz w:val="24"/>
                <w:szCs w:val="24"/>
              </w:rPr>
            </w:pPr>
            <w:r w:rsidRPr="00ED0D29">
              <w:rPr>
                <w:rFonts w:cstheme="minorHAnsi"/>
                <w:sz w:val="24"/>
                <w:szCs w:val="24"/>
              </w:rPr>
              <w:t xml:space="preserve">Robinetterie industrielle - Exigences et essais pour appareils de robinetterie métalliques utilisés comme accessoires sous pression </w:t>
            </w:r>
          </w:p>
        </w:tc>
      </w:tr>
      <w:tr w:rsidR="0005262F" w:rsidRPr="00ED0D29" w:rsidTr="001E712A">
        <w:trPr>
          <w:trHeight w:val="666"/>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05262F" w:rsidRPr="00ED0D29" w:rsidRDefault="0005262F" w:rsidP="00ED0D29">
            <w:pPr>
              <w:spacing w:after="0"/>
              <w:jc w:val="center"/>
              <w:rPr>
                <w:rFonts w:cstheme="minorHAnsi"/>
                <w:b/>
                <w:bCs/>
                <w:sz w:val="24"/>
                <w:szCs w:val="24"/>
              </w:rPr>
            </w:pPr>
            <w:r w:rsidRPr="00ED0D29">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bottom"/>
          </w:tcPr>
          <w:p w:rsidR="001E712A" w:rsidRDefault="0005262F" w:rsidP="001E712A">
            <w:pPr>
              <w:spacing w:after="0" w:line="240" w:lineRule="auto"/>
              <w:jc w:val="both"/>
              <w:rPr>
                <w:rFonts w:cstheme="minorHAnsi"/>
                <w:sz w:val="24"/>
                <w:szCs w:val="24"/>
              </w:rPr>
            </w:pPr>
            <w:r w:rsidRPr="00ED0D29">
              <w:rPr>
                <w:rFonts w:cstheme="minorHAnsi"/>
                <w:sz w:val="24"/>
                <w:szCs w:val="24"/>
              </w:rPr>
              <w:t>La présente Norme européenne est applicable aux appareils de robinetterie métalliques utilisés comme accessoires sous pression pour applications industrielles avec une pression maximale admissible PS supérieure à 0,5 bar, conformément à !la règlementation européenne pour les équipements sous pression", et spécifie les exigences minimales applicables en matière de conception, de fabrication, d'essais, de matériaux et de documentation.</w:t>
            </w:r>
            <w:r w:rsidRPr="00ED0D29">
              <w:rPr>
                <w:rFonts w:cstheme="minorHAnsi"/>
                <w:sz w:val="24"/>
                <w:szCs w:val="24"/>
              </w:rPr>
              <w:br/>
              <w:t>Toutes les exigences essentielles de sécurité pertinentes de !la règlementation européenne pour les équipements sous pression" applicables aux appareils de robinetterie ont été prises en considération</w:t>
            </w:r>
            <w:r w:rsidR="001E712A">
              <w:rPr>
                <w:rFonts w:cstheme="minorHAnsi"/>
                <w:sz w:val="24"/>
                <w:szCs w:val="24"/>
              </w:rPr>
              <w:t xml:space="preserve"> </w:t>
            </w:r>
            <w:r w:rsidRPr="00ED0D29">
              <w:rPr>
                <w:rFonts w:cstheme="minorHAnsi"/>
                <w:sz w:val="24"/>
                <w:szCs w:val="24"/>
              </w:rPr>
              <w:t>et sont traitées dans la présente norme.</w:t>
            </w:r>
            <w:r w:rsidRPr="00ED0D29">
              <w:rPr>
                <w:rFonts w:cstheme="minorHAnsi"/>
                <w:sz w:val="24"/>
                <w:szCs w:val="24"/>
              </w:rPr>
              <w:br/>
              <w:t>La présente norme ne s'applique pas :</w:t>
            </w:r>
          </w:p>
          <w:p w:rsidR="001E712A" w:rsidRDefault="001E712A" w:rsidP="001E712A">
            <w:pPr>
              <w:spacing w:after="0" w:line="240" w:lineRule="auto"/>
              <w:jc w:val="both"/>
              <w:rPr>
                <w:rFonts w:cstheme="minorHAnsi"/>
                <w:sz w:val="24"/>
                <w:szCs w:val="24"/>
              </w:rPr>
            </w:pPr>
            <w:r>
              <w:rPr>
                <w:rFonts w:cstheme="minorHAnsi"/>
                <w:sz w:val="24"/>
                <w:szCs w:val="24"/>
              </w:rPr>
              <w:t>-</w:t>
            </w:r>
            <w:r w:rsidR="0005262F" w:rsidRPr="00ED0D29">
              <w:rPr>
                <w:rFonts w:cstheme="minorHAnsi"/>
                <w:sz w:val="24"/>
                <w:szCs w:val="24"/>
              </w:rPr>
              <w:t xml:space="preserve"> aux soupapes de sûreté et disques de rupture (accessoires de sécurité),</w:t>
            </w:r>
          </w:p>
          <w:p w:rsidR="001E712A" w:rsidRDefault="001E712A" w:rsidP="001E712A">
            <w:pPr>
              <w:spacing w:after="0" w:line="240" w:lineRule="auto"/>
              <w:jc w:val="both"/>
              <w:rPr>
                <w:rFonts w:cstheme="minorHAnsi"/>
                <w:sz w:val="24"/>
                <w:szCs w:val="24"/>
              </w:rPr>
            </w:pPr>
            <w:r>
              <w:rPr>
                <w:rFonts w:cstheme="minorHAnsi"/>
                <w:sz w:val="24"/>
                <w:szCs w:val="24"/>
              </w:rPr>
              <w:t>-</w:t>
            </w:r>
            <w:r w:rsidR="0005262F" w:rsidRPr="00ED0D29">
              <w:rPr>
                <w:rFonts w:cstheme="minorHAnsi"/>
                <w:sz w:val="24"/>
                <w:szCs w:val="24"/>
              </w:rPr>
              <w:t xml:space="preserve"> aux voyants et à leurs cadres (composants d'un équipement sous pression), et</w:t>
            </w:r>
          </w:p>
          <w:p w:rsidR="001E712A" w:rsidRDefault="001E712A" w:rsidP="001E712A">
            <w:pPr>
              <w:spacing w:after="0" w:line="240" w:lineRule="auto"/>
              <w:jc w:val="both"/>
              <w:rPr>
                <w:rFonts w:cstheme="minorHAnsi"/>
                <w:sz w:val="24"/>
                <w:szCs w:val="24"/>
              </w:rPr>
            </w:pPr>
            <w:r>
              <w:rPr>
                <w:rFonts w:cstheme="minorHAnsi"/>
                <w:sz w:val="24"/>
                <w:szCs w:val="24"/>
              </w:rPr>
              <w:t>-</w:t>
            </w:r>
            <w:r w:rsidR="0005262F" w:rsidRPr="00ED0D29">
              <w:rPr>
                <w:rFonts w:cstheme="minorHAnsi"/>
                <w:sz w:val="24"/>
                <w:szCs w:val="24"/>
              </w:rPr>
              <w:t xml:space="preserve"> aux chambres de mesure.</w:t>
            </w:r>
          </w:p>
          <w:p w:rsidR="0005262F" w:rsidRPr="00ED0D29" w:rsidRDefault="0005262F" w:rsidP="001E712A">
            <w:pPr>
              <w:spacing w:after="0" w:line="240" w:lineRule="auto"/>
              <w:jc w:val="both"/>
              <w:rPr>
                <w:rFonts w:cstheme="minorHAnsi"/>
                <w:sz w:val="24"/>
                <w:szCs w:val="24"/>
              </w:rPr>
            </w:pPr>
            <w:r w:rsidRPr="00ED0D29">
              <w:rPr>
                <w:rFonts w:cstheme="minorHAnsi"/>
                <w:sz w:val="24"/>
                <w:szCs w:val="24"/>
              </w:rPr>
              <w:lastRenderedPageBreak/>
              <w:t>Pour les autres exclusions, se reporter à !la règlementation européenne pour les équipements sous</w:t>
            </w:r>
            <w:r w:rsidR="001E712A">
              <w:rPr>
                <w:rFonts w:cstheme="minorHAnsi"/>
                <w:sz w:val="24"/>
                <w:szCs w:val="24"/>
              </w:rPr>
              <w:t xml:space="preserve"> </w:t>
            </w:r>
            <w:r w:rsidRPr="00ED0D29">
              <w:rPr>
                <w:rFonts w:cstheme="minorHAnsi"/>
                <w:sz w:val="24"/>
                <w:szCs w:val="24"/>
              </w:rPr>
              <w:t>pression" [32].</w:t>
            </w:r>
          </w:p>
        </w:tc>
      </w:tr>
      <w:tr w:rsidR="0005262F" w:rsidRPr="001E712A" w:rsidTr="001E712A">
        <w:trPr>
          <w:trHeight w:val="406"/>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05262F" w:rsidRPr="001E712A" w:rsidRDefault="0005262F" w:rsidP="001E712A">
            <w:pPr>
              <w:spacing w:after="0"/>
              <w:jc w:val="center"/>
              <w:rPr>
                <w:rFonts w:cstheme="minorHAnsi"/>
                <w:b/>
                <w:bCs/>
                <w:sz w:val="24"/>
                <w:szCs w:val="24"/>
              </w:rPr>
            </w:pPr>
            <w:r w:rsidRPr="001E712A">
              <w:rPr>
                <w:rFonts w:cstheme="minorHAnsi"/>
                <w:b/>
                <w:bCs/>
                <w:sz w:val="24"/>
                <w:szCs w:val="24"/>
              </w:rPr>
              <w:lastRenderedPageBreak/>
              <w:t xml:space="preserve">Code </w:t>
            </w:r>
            <w:r w:rsidR="001E712A" w:rsidRPr="001E712A">
              <w:rPr>
                <w:rFonts w:cstheme="minorHAnsi"/>
                <w:b/>
                <w:bCs/>
                <w:sz w:val="24"/>
                <w:szCs w:val="24"/>
              </w:rPr>
              <w:t xml:space="preserve"> </w:t>
            </w:r>
          </w:p>
        </w:tc>
        <w:tc>
          <w:tcPr>
            <w:tcW w:w="7938" w:type="dxa"/>
            <w:tcBorders>
              <w:left w:val="single" w:sz="4" w:space="0" w:color="auto"/>
              <w:bottom w:val="single" w:sz="18" w:space="0" w:color="auto"/>
              <w:right w:val="single" w:sz="18" w:space="0" w:color="auto"/>
            </w:tcBorders>
            <w:shd w:val="clear" w:color="auto" w:fill="C2D69B" w:themeFill="accent3" w:themeFillTint="99"/>
          </w:tcPr>
          <w:p w:rsidR="0005262F" w:rsidRPr="001E712A" w:rsidRDefault="0005262F" w:rsidP="001E712A">
            <w:pPr>
              <w:spacing w:after="0" w:line="240" w:lineRule="auto"/>
              <w:jc w:val="center"/>
              <w:rPr>
                <w:rFonts w:cstheme="minorHAnsi"/>
                <w:b/>
                <w:bCs/>
                <w:sz w:val="24"/>
                <w:szCs w:val="24"/>
              </w:rPr>
            </w:pPr>
            <w:r w:rsidRPr="001E712A">
              <w:rPr>
                <w:rFonts w:cstheme="minorHAnsi"/>
                <w:b/>
                <w:bCs/>
                <w:sz w:val="24"/>
                <w:szCs w:val="24"/>
              </w:rPr>
              <w:t>NM EN 12380</w:t>
            </w:r>
          </w:p>
        </w:tc>
      </w:tr>
      <w:tr w:rsidR="0005262F" w:rsidRPr="001E712A" w:rsidTr="001E712A">
        <w:trPr>
          <w:trHeight w:val="371"/>
          <w:jc w:val="center"/>
        </w:trPr>
        <w:tc>
          <w:tcPr>
            <w:tcW w:w="1838" w:type="dxa"/>
            <w:tcBorders>
              <w:top w:val="nil"/>
              <w:left w:val="single" w:sz="18" w:space="0" w:color="auto"/>
              <w:bottom w:val="single" w:sz="18" w:space="0" w:color="auto"/>
              <w:right w:val="single" w:sz="4" w:space="0" w:color="auto"/>
            </w:tcBorders>
            <w:shd w:val="clear" w:color="auto" w:fill="FFFF99"/>
            <w:vAlign w:val="center"/>
          </w:tcPr>
          <w:p w:rsidR="0005262F" w:rsidRPr="001E712A" w:rsidRDefault="0005262F" w:rsidP="001E712A">
            <w:pPr>
              <w:spacing w:after="0"/>
              <w:jc w:val="center"/>
              <w:rPr>
                <w:rFonts w:cstheme="minorHAnsi"/>
                <w:b/>
                <w:bCs/>
                <w:sz w:val="24"/>
                <w:szCs w:val="24"/>
              </w:rPr>
            </w:pPr>
            <w:r w:rsidRPr="001E712A">
              <w:rPr>
                <w:rFonts w:cstheme="minorHAnsi"/>
                <w:b/>
                <w:bCs/>
                <w:sz w:val="24"/>
                <w:szCs w:val="24"/>
              </w:rPr>
              <w:t>Equivalence :</w:t>
            </w:r>
          </w:p>
        </w:tc>
        <w:tc>
          <w:tcPr>
            <w:tcW w:w="7938" w:type="dxa"/>
            <w:tcBorders>
              <w:left w:val="single" w:sz="4" w:space="0" w:color="auto"/>
              <w:bottom w:val="single" w:sz="18" w:space="0" w:color="auto"/>
              <w:right w:val="single" w:sz="18" w:space="0" w:color="auto"/>
            </w:tcBorders>
            <w:shd w:val="clear" w:color="auto" w:fill="FFFF99"/>
            <w:vAlign w:val="center"/>
          </w:tcPr>
          <w:p w:rsidR="0005262F" w:rsidRPr="001E712A" w:rsidRDefault="0005262F" w:rsidP="001E712A">
            <w:pPr>
              <w:spacing w:after="0" w:line="240" w:lineRule="auto"/>
              <w:jc w:val="center"/>
              <w:rPr>
                <w:rFonts w:cstheme="minorHAnsi"/>
                <w:b/>
                <w:bCs/>
                <w:sz w:val="24"/>
                <w:szCs w:val="24"/>
              </w:rPr>
            </w:pPr>
            <w:r w:rsidRPr="001E712A">
              <w:rPr>
                <w:rFonts w:cstheme="minorHAnsi"/>
                <w:b/>
                <w:bCs/>
                <w:sz w:val="24"/>
                <w:szCs w:val="24"/>
              </w:rPr>
              <w:t>EN 12380</w:t>
            </w:r>
          </w:p>
        </w:tc>
      </w:tr>
      <w:tr w:rsidR="0005262F" w:rsidRPr="001E712A" w:rsidTr="001E712A">
        <w:trPr>
          <w:trHeight w:val="674"/>
          <w:jc w:val="center"/>
        </w:trPr>
        <w:tc>
          <w:tcPr>
            <w:tcW w:w="1838" w:type="dxa"/>
            <w:tcBorders>
              <w:top w:val="single" w:sz="18" w:space="0" w:color="auto"/>
              <w:left w:val="single" w:sz="18" w:space="0" w:color="auto"/>
              <w:bottom w:val="single" w:sz="4" w:space="0" w:color="auto"/>
              <w:right w:val="single" w:sz="4" w:space="0" w:color="auto"/>
            </w:tcBorders>
            <w:shd w:val="clear" w:color="auto" w:fill="B8CCE4" w:themeFill="accent1" w:themeFillTint="66"/>
            <w:vAlign w:val="center"/>
          </w:tcPr>
          <w:p w:rsidR="0005262F" w:rsidRPr="001E712A" w:rsidRDefault="0005262F" w:rsidP="001E712A">
            <w:pPr>
              <w:spacing w:after="0"/>
              <w:jc w:val="center"/>
              <w:rPr>
                <w:rFonts w:cstheme="minorHAnsi"/>
                <w:b/>
                <w:bCs/>
                <w:sz w:val="24"/>
                <w:szCs w:val="24"/>
              </w:rPr>
            </w:pPr>
            <w:r w:rsidRPr="001E712A">
              <w:rPr>
                <w:rFonts w:cstheme="minorHAns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tcPr>
          <w:p w:rsidR="0005262F" w:rsidRPr="001E712A" w:rsidRDefault="0005262F" w:rsidP="001E712A">
            <w:pPr>
              <w:spacing w:after="0" w:line="240" w:lineRule="auto"/>
              <w:jc w:val="both"/>
              <w:rPr>
                <w:rFonts w:cstheme="minorHAnsi"/>
                <w:sz w:val="24"/>
                <w:szCs w:val="24"/>
              </w:rPr>
            </w:pPr>
            <w:r w:rsidRPr="001E712A">
              <w:rPr>
                <w:rFonts w:cstheme="minorHAnsi"/>
                <w:sz w:val="24"/>
                <w:szCs w:val="24"/>
              </w:rPr>
              <w:t>Clapets équilibreurs de pression pour systèmes d'évacuation - Exigences, méthodes d'essais et évaluation de conformité</w:t>
            </w:r>
          </w:p>
        </w:tc>
      </w:tr>
      <w:tr w:rsidR="0005262F" w:rsidRPr="001E712A" w:rsidTr="001E712A">
        <w:trPr>
          <w:trHeight w:val="1935"/>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05262F" w:rsidRPr="001E712A" w:rsidRDefault="0005262F" w:rsidP="001E712A">
            <w:pPr>
              <w:spacing w:after="0"/>
              <w:jc w:val="center"/>
              <w:rPr>
                <w:rFonts w:cstheme="minorHAnsi"/>
                <w:b/>
                <w:bCs/>
                <w:sz w:val="24"/>
                <w:szCs w:val="24"/>
              </w:rPr>
            </w:pPr>
            <w:r w:rsidRPr="001E712A">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bottom"/>
          </w:tcPr>
          <w:p w:rsidR="001E712A" w:rsidRDefault="0005262F" w:rsidP="001E712A">
            <w:pPr>
              <w:spacing w:after="0" w:line="240" w:lineRule="auto"/>
              <w:jc w:val="both"/>
              <w:rPr>
                <w:rFonts w:cstheme="minorHAnsi"/>
                <w:sz w:val="24"/>
                <w:szCs w:val="24"/>
              </w:rPr>
            </w:pPr>
            <w:r w:rsidRPr="001E712A">
              <w:rPr>
                <w:rFonts w:cstheme="minorHAnsi"/>
                <w:sz w:val="24"/>
                <w:szCs w:val="24"/>
              </w:rPr>
              <w:t>La présente Norme européenne fixe les exigences, les méthodes d’essais et l’évaluation de la conformité des clapets</w:t>
            </w:r>
            <w:r w:rsidR="001E712A">
              <w:rPr>
                <w:rFonts w:cstheme="minorHAnsi"/>
                <w:sz w:val="24"/>
                <w:szCs w:val="24"/>
              </w:rPr>
              <w:t xml:space="preserve"> </w:t>
            </w:r>
            <w:r w:rsidRPr="001E712A">
              <w:rPr>
                <w:rFonts w:cstheme="minorHAnsi"/>
                <w:sz w:val="24"/>
                <w:szCs w:val="24"/>
              </w:rPr>
              <w:t>équilibreurs de pression à utiliser dans les systèmes gravitaires à l’intérieur des bâtiments, conformément aux EN 12056-2 et 12056-5.</w:t>
            </w:r>
          </w:p>
          <w:p w:rsidR="0005262F" w:rsidRPr="001E712A" w:rsidRDefault="0005262F" w:rsidP="001E712A">
            <w:pPr>
              <w:spacing w:after="0" w:line="240" w:lineRule="auto"/>
              <w:jc w:val="both"/>
              <w:rPr>
                <w:rFonts w:cstheme="minorHAnsi"/>
                <w:sz w:val="24"/>
                <w:szCs w:val="24"/>
              </w:rPr>
            </w:pPr>
            <w:r w:rsidRPr="001E712A">
              <w:rPr>
                <w:rFonts w:cstheme="minorHAnsi"/>
                <w:sz w:val="24"/>
                <w:szCs w:val="24"/>
              </w:rPr>
              <w:t>Elle spécifie les exigences de performances des clapets équilibreurs de pression et les méthodes d’essai permettant</w:t>
            </w:r>
            <w:r w:rsidR="001E712A">
              <w:rPr>
                <w:rFonts w:cstheme="minorHAnsi"/>
                <w:sz w:val="24"/>
                <w:szCs w:val="24"/>
              </w:rPr>
              <w:t xml:space="preserve"> </w:t>
            </w:r>
            <w:r w:rsidRPr="001E712A">
              <w:rPr>
                <w:rFonts w:cstheme="minorHAnsi"/>
                <w:sz w:val="24"/>
                <w:szCs w:val="24"/>
              </w:rPr>
              <w:t>d’apporter la preuve de leur conformité à la présente norme.</w:t>
            </w:r>
          </w:p>
        </w:tc>
      </w:tr>
      <w:tr w:rsidR="0005262F" w:rsidRPr="001E712A" w:rsidTr="001E712A">
        <w:trPr>
          <w:trHeight w:val="446"/>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05262F" w:rsidRPr="001E712A" w:rsidRDefault="0005262F" w:rsidP="001E712A">
            <w:pPr>
              <w:spacing w:after="0"/>
              <w:jc w:val="center"/>
              <w:rPr>
                <w:rFonts w:cstheme="minorHAnsi"/>
                <w:b/>
                <w:bCs/>
                <w:sz w:val="24"/>
                <w:szCs w:val="24"/>
              </w:rPr>
            </w:pPr>
            <w:r w:rsidRPr="001E712A">
              <w:rPr>
                <w:rFonts w:cstheme="minorHAnsi"/>
                <w:b/>
                <w:bCs/>
                <w:sz w:val="24"/>
                <w:szCs w:val="24"/>
              </w:rPr>
              <w:t xml:space="preserve">Code </w:t>
            </w:r>
            <w:r w:rsidR="001E712A">
              <w:rPr>
                <w:rFonts w:cstheme="minorHAnsi"/>
                <w:b/>
                <w:bCs/>
                <w:sz w:val="24"/>
                <w:szCs w:val="24"/>
              </w:rPr>
              <w:t xml:space="preserve"> </w:t>
            </w:r>
          </w:p>
        </w:tc>
        <w:tc>
          <w:tcPr>
            <w:tcW w:w="7938" w:type="dxa"/>
            <w:tcBorders>
              <w:left w:val="single" w:sz="4" w:space="0" w:color="auto"/>
              <w:bottom w:val="single" w:sz="18" w:space="0" w:color="auto"/>
              <w:right w:val="single" w:sz="18" w:space="0" w:color="auto"/>
            </w:tcBorders>
            <w:shd w:val="clear" w:color="auto" w:fill="C2D69B" w:themeFill="accent3" w:themeFillTint="99"/>
          </w:tcPr>
          <w:p w:rsidR="0005262F" w:rsidRPr="001E712A" w:rsidRDefault="0005262F" w:rsidP="001E712A">
            <w:pPr>
              <w:spacing w:after="0" w:line="240" w:lineRule="auto"/>
              <w:jc w:val="center"/>
              <w:rPr>
                <w:rFonts w:cstheme="minorHAnsi"/>
                <w:b/>
                <w:bCs/>
                <w:sz w:val="24"/>
                <w:szCs w:val="24"/>
              </w:rPr>
            </w:pPr>
            <w:r w:rsidRPr="001E712A">
              <w:rPr>
                <w:rFonts w:cstheme="minorHAnsi"/>
                <w:b/>
                <w:bCs/>
                <w:sz w:val="24"/>
                <w:szCs w:val="24"/>
              </w:rPr>
              <w:t>NM EN 13564-1</w:t>
            </w:r>
          </w:p>
        </w:tc>
      </w:tr>
      <w:tr w:rsidR="0005262F" w:rsidRPr="001E712A" w:rsidTr="001E712A">
        <w:trPr>
          <w:trHeight w:val="537"/>
          <w:jc w:val="center"/>
        </w:trPr>
        <w:tc>
          <w:tcPr>
            <w:tcW w:w="1838" w:type="dxa"/>
            <w:tcBorders>
              <w:top w:val="nil"/>
              <w:left w:val="single" w:sz="18" w:space="0" w:color="auto"/>
              <w:bottom w:val="single" w:sz="18" w:space="0" w:color="auto"/>
              <w:right w:val="single" w:sz="4" w:space="0" w:color="auto"/>
            </w:tcBorders>
            <w:shd w:val="clear" w:color="auto" w:fill="FFFF99"/>
            <w:vAlign w:val="center"/>
          </w:tcPr>
          <w:p w:rsidR="0005262F" w:rsidRPr="001E712A" w:rsidRDefault="0005262F" w:rsidP="001E712A">
            <w:pPr>
              <w:spacing w:after="0"/>
              <w:jc w:val="center"/>
              <w:rPr>
                <w:rFonts w:cstheme="minorHAnsi"/>
                <w:b/>
                <w:bCs/>
                <w:sz w:val="24"/>
                <w:szCs w:val="24"/>
              </w:rPr>
            </w:pPr>
            <w:r w:rsidRPr="001E712A">
              <w:rPr>
                <w:rFonts w:cstheme="minorHAnsi"/>
                <w:b/>
                <w:bCs/>
                <w:sz w:val="24"/>
                <w:szCs w:val="24"/>
              </w:rPr>
              <w:t>Equivalence </w:t>
            </w:r>
            <w:r w:rsidR="001E712A">
              <w:rPr>
                <w:rFonts w:cstheme="minorHAnsi"/>
                <w:b/>
                <w:bCs/>
                <w:sz w:val="24"/>
                <w:szCs w:val="24"/>
              </w:rPr>
              <w:t xml:space="preserve"> </w:t>
            </w:r>
          </w:p>
        </w:tc>
        <w:tc>
          <w:tcPr>
            <w:tcW w:w="7938" w:type="dxa"/>
            <w:tcBorders>
              <w:left w:val="single" w:sz="4" w:space="0" w:color="auto"/>
              <w:bottom w:val="single" w:sz="18" w:space="0" w:color="auto"/>
              <w:right w:val="single" w:sz="18" w:space="0" w:color="auto"/>
            </w:tcBorders>
            <w:shd w:val="clear" w:color="auto" w:fill="FFFF99"/>
            <w:vAlign w:val="center"/>
          </w:tcPr>
          <w:p w:rsidR="0005262F" w:rsidRPr="001E712A" w:rsidRDefault="0005262F" w:rsidP="001E712A">
            <w:pPr>
              <w:spacing w:after="0" w:line="240" w:lineRule="auto"/>
              <w:jc w:val="center"/>
              <w:rPr>
                <w:rFonts w:cstheme="minorHAnsi"/>
                <w:b/>
                <w:bCs/>
                <w:sz w:val="24"/>
                <w:szCs w:val="24"/>
              </w:rPr>
            </w:pPr>
            <w:r w:rsidRPr="001E712A">
              <w:rPr>
                <w:rFonts w:cstheme="minorHAnsi"/>
                <w:b/>
                <w:bCs/>
                <w:sz w:val="24"/>
                <w:szCs w:val="24"/>
              </w:rPr>
              <w:t>EN 13564-1</w:t>
            </w:r>
          </w:p>
        </w:tc>
      </w:tr>
      <w:tr w:rsidR="0005262F" w:rsidRPr="001E712A" w:rsidTr="001E712A">
        <w:trPr>
          <w:trHeight w:val="518"/>
          <w:jc w:val="center"/>
        </w:trPr>
        <w:tc>
          <w:tcPr>
            <w:tcW w:w="1838" w:type="dxa"/>
            <w:tcBorders>
              <w:top w:val="single" w:sz="18" w:space="0" w:color="auto"/>
              <w:left w:val="single" w:sz="18" w:space="0" w:color="auto"/>
              <w:bottom w:val="single" w:sz="4" w:space="0" w:color="auto"/>
              <w:right w:val="single" w:sz="4" w:space="0" w:color="auto"/>
            </w:tcBorders>
            <w:shd w:val="clear" w:color="auto" w:fill="B8CCE4" w:themeFill="accent1" w:themeFillTint="66"/>
            <w:vAlign w:val="center"/>
          </w:tcPr>
          <w:p w:rsidR="0005262F" w:rsidRPr="001E712A" w:rsidRDefault="0005262F" w:rsidP="001E712A">
            <w:pPr>
              <w:spacing w:after="0"/>
              <w:jc w:val="center"/>
              <w:rPr>
                <w:rFonts w:cstheme="minorHAnsi"/>
                <w:b/>
                <w:bCs/>
                <w:sz w:val="24"/>
                <w:szCs w:val="24"/>
              </w:rPr>
            </w:pPr>
            <w:r w:rsidRPr="001E712A">
              <w:rPr>
                <w:rFonts w:cstheme="minorHAnsi"/>
                <w:b/>
                <w:bCs/>
                <w:sz w:val="24"/>
                <w:szCs w:val="24"/>
              </w:rPr>
              <w:t>Intitulé </w:t>
            </w:r>
            <w:r w:rsidR="001E712A">
              <w:rPr>
                <w:rFonts w:cstheme="minorHAnsi"/>
                <w:b/>
                <w:bCs/>
                <w:sz w:val="24"/>
                <w:szCs w:val="24"/>
              </w:rPr>
              <w:t xml:space="preserve"> </w:t>
            </w:r>
          </w:p>
        </w:tc>
        <w:tc>
          <w:tcPr>
            <w:tcW w:w="7938" w:type="dxa"/>
            <w:tcBorders>
              <w:top w:val="single" w:sz="18" w:space="0" w:color="auto"/>
              <w:left w:val="single" w:sz="4" w:space="0" w:color="auto"/>
              <w:bottom w:val="single" w:sz="4" w:space="0" w:color="auto"/>
              <w:right w:val="single" w:sz="18" w:space="0" w:color="auto"/>
            </w:tcBorders>
            <w:shd w:val="clear" w:color="auto" w:fill="auto"/>
          </w:tcPr>
          <w:p w:rsidR="0005262F" w:rsidRPr="001E712A" w:rsidRDefault="0005262F" w:rsidP="001E712A">
            <w:pPr>
              <w:spacing w:after="0" w:line="240" w:lineRule="auto"/>
              <w:jc w:val="both"/>
              <w:rPr>
                <w:rFonts w:cstheme="minorHAnsi"/>
                <w:sz w:val="24"/>
                <w:szCs w:val="24"/>
              </w:rPr>
            </w:pPr>
            <w:r w:rsidRPr="001E712A">
              <w:rPr>
                <w:rFonts w:cstheme="minorHAnsi"/>
                <w:sz w:val="24"/>
                <w:szCs w:val="24"/>
              </w:rPr>
              <w:t xml:space="preserve">Clapets anti-retour pour les bâtiments - Partie 1 : Spécifications </w:t>
            </w:r>
          </w:p>
        </w:tc>
      </w:tr>
      <w:tr w:rsidR="0005262F" w:rsidRPr="001E712A" w:rsidTr="001E712A">
        <w:trPr>
          <w:trHeight w:val="1362"/>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05262F" w:rsidRPr="001E712A" w:rsidRDefault="0005262F" w:rsidP="001E712A">
            <w:pPr>
              <w:spacing w:after="0"/>
              <w:jc w:val="center"/>
              <w:rPr>
                <w:rFonts w:cstheme="minorHAnsi"/>
                <w:b/>
                <w:bCs/>
                <w:sz w:val="24"/>
                <w:szCs w:val="24"/>
              </w:rPr>
            </w:pPr>
            <w:r w:rsidRPr="001E712A">
              <w:rPr>
                <w:rFonts w:cstheme="minorHAnsi"/>
                <w:b/>
                <w:bCs/>
                <w:sz w:val="24"/>
                <w:szCs w:val="24"/>
              </w:rPr>
              <w:t>Domaine d’application </w:t>
            </w:r>
            <w:r w:rsidR="001E712A">
              <w:rPr>
                <w:rFonts w:cstheme="minorHAnsi"/>
                <w:b/>
                <w:bCs/>
                <w:sz w:val="24"/>
                <w:szCs w:val="24"/>
              </w:rPr>
              <w:t xml:space="preserve"> </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bottom"/>
          </w:tcPr>
          <w:p w:rsidR="0005262F" w:rsidRPr="001E712A" w:rsidRDefault="0005262F" w:rsidP="001E712A">
            <w:pPr>
              <w:spacing w:after="0" w:line="240" w:lineRule="auto"/>
              <w:jc w:val="both"/>
              <w:rPr>
                <w:rFonts w:cstheme="minorHAnsi"/>
                <w:sz w:val="24"/>
                <w:szCs w:val="24"/>
              </w:rPr>
            </w:pPr>
            <w:r w:rsidRPr="001E712A">
              <w:rPr>
                <w:rFonts w:cstheme="minorHAnsi"/>
                <w:sz w:val="24"/>
                <w:szCs w:val="24"/>
              </w:rPr>
              <w:t>La présente Norme européenne spécifie les types et exigences concernant les matériaux, les performances, la conception, la fabrication et le marquage de clapets anti-retour fabriqués en usine pour les eaux usées avec et/ou</w:t>
            </w:r>
            <w:r w:rsidRPr="001E712A">
              <w:rPr>
                <w:rFonts w:cstheme="minorHAnsi"/>
                <w:sz w:val="24"/>
                <w:szCs w:val="24"/>
              </w:rPr>
              <w:br/>
              <w:t>sans matières fécales et devant être utilisés dans des réseaux d'évacuation de bâtiments fonctionnant par gravité,</w:t>
            </w:r>
            <w:r w:rsidR="001E712A">
              <w:rPr>
                <w:rFonts w:cstheme="minorHAnsi"/>
                <w:sz w:val="24"/>
                <w:szCs w:val="24"/>
              </w:rPr>
              <w:t xml:space="preserve"> </w:t>
            </w:r>
            <w:r w:rsidRPr="001E712A">
              <w:rPr>
                <w:rFonts w:cstheme="minorHAnsi"/>
                <w:sz w:val="24"/>
                <w:szCs w:val="24"/>
              </w:rPr>
              <w:t>conformément à l‘EN 12056-1.</w:t>
            </w:r>
          </w:p>
        </w:tc>
      </w:tr>
      <w:tr w:rsidR="0043547B" w:rsidRPr="0043547B" w:rsidTr="001E712A">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1E712A">
            <w:pPr>
              <w:spacing w:after="0"/>
              <w:jc w:val="center"/>
              <w:rPr>
                <w:rFonts w:cstheme="minorHAnsi"/>
                <w:b/>
                <w:bCs/>
                <w:sz w:val="24"/>
                <w:szCs w:val="24"/>
              </w:rPr>
            </w:pPr>
            <w:r w:rsidRPr="0043547B">
              <w:rPr>
                <w:rFonts w:cstheme="minorHAnsi"/>
                <w:b/>
                <w:bCs/>
                <w:sz w:val="24"/>
                <w:szCs w:val="24"/>
              </w:rPr>
              <w:t>Code </w:t>
            </w:r>
            <w:r w:rsidR="001E712A">
              <w:rPr>
                <w:rFonts w:cstheme="minorHAnsi"/>
                <w:b/>
                <w:bCs/>
                <w:sz w:val="24"/>
                <w:szCs w:val="24"/>
              </w:rPr>
              <w:t xml:space="preserv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ISO 5752</w:t>
            </w:r>
          </w:p>
        </w:tc>
      </w:tr>
      <w:tr w:rsidR="0043547B" w:rsidRPr="0043547B" w:rsidTr="001E712A">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FFFF99"/>
            <w:vAlign w:val="center"/>
            <w:hideMark/>
          </w:tcPr>
          <w:p w:rsidR="00904E52" w:rsidRPr="0043547B" w:rsidRDefault="00904E52" w:rsidP="001E712A">
            <w:pPr>
              <w:spacing w:after="0"/>
              <w:jc w:val="center"/>
              <w:rPr>
                <w:rFonts w:cstheme="minorHAnsi"/>
                <w:b/>
                <w:bCs/>
                <w:sz w:val="24"/>
                <w:szCs w:val="24"/>
              </w:rPr>
            </w:pPr>
            <w:r w:rsidRPr="0043547B">
              <w:rPr>
                <w:rFonts w:cstheme="minorHAnsi"/>
                <w:b/>
                <w:bCs/>
                <w:sz w:val="24"/>
                <w:szCs w:val="24"/>
              </w:rPr>
              <w:t>Equivalence </w:t>
            </w:r>
            <w:r w:rsidR="001E712A">
              <w:rPr>
                <w:rFonts w:cstheme="minorHAnsi"/>
                <w:b/>
                <w:bCs/>
                <w:sz w:val="24"/>
                <w:szCs w:val="24"/>
              </w:rPr>
              <w:t xml:space="preserve"> </w:t>
            </w:r>
          </w:p>
        </w:tc>
        <w:tc>
          <w:tcPr>
            <w:tcW w:w="7938" w:type="dxa"/>
            <w:tcBorders>
              <w:top w:val="single" w:sz="18" w:space="0" w:color="auto"/>
              <w:left w:val="single" w:sz="4" w:space="0" w:color="auto"/>
              <w:bottom w:val="single" w:sz="18"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5752</w:t>
            </w:r>
          </w:p>
        </w:tc>
      </w:tr>
      <w:tr w:rsidR="0043547B" w:rsidRPr="0043547B" w:rsidTr="001E712A">
        <w:trPr>
          <w:trHeight w:val="330"/>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1E712A">
            <w:pPr>
              <w:spacing w:after="0"/>
              <w:jc w:val="center"/>
              <w:rPr>
                <w:rFonts w:cstheme="minorHAnsi"/>
                <w:b/>
                <w:bCs/>
                <w:sz w:val="24"/>
                <w:szCs w:val="24"/>
              </w:rPr>
            </w:pPr>
            <w:r w:rsidRPr="0043547B">
              <w:rPr>
                <w:rFonts w:cstheme="minorHAnsi"/>
                <w:b/>
                <w:bCs/>
                <w:sz w:val="24"/>
                <w:szCs w:val="24"/>
              </w:rPr>
              <w:t>Intitulé </w:t>
            </w:r>
            <w:r w:rsidR="001E712A">
              <w:rPr>
                <w:rFonts w:cstheme="minorHAnsi"/>
                <w:b/>
                <w:bCs/>
                <w:sz w:val="24"/>
                <w:szCs w:val="24"/>
              </w:rPr>
              <w:t xml:space="preserve"> </w:t>
            </w:r>
          </w:p>
        </w:tc>
        <w:tc>
          <w:tcPr>
            <w:tcW w:w="7938" w:type="dxa"/>
            <w:tcBorders>
              <w:top w:val="single" w:sz="18" w:space="0" w:color="auto"/>
              <w:left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Appareils de robinetterie métalliques utilisés dans les tuyauteries à brides - Dimensions face-à-face et face-à-axe </w:t>
            </w:r>
          </w:p>
        </w:tc>
      </w:tr>
      <w:tr w:rsidR="0043547B" w:rsidRPr="0043547B" w:rsidTr="00CB5DC0">
        <w:trPr>
          <w:trHeight w:val="701"/>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1E712A">
            <w:pPr>
              <w:spacing w:after="0"/>
              <w:jc w:val="center"/>
              <w:rPr>
                <w:rFonts w:cstheme="minorHAnsi"/>
                <w:b/>
                <w:bCs/>
                <w:sz w:val="24"/>
                <w:szCs w:val="24"/>
              </w:rPr>
            </w:pPr>
            <w:r w:rsidRPr="0043547B">
              <w:rPr>
                <w:rFonts w:cstheme="minorHAnsi"/>
                <w:b/>
                <w:bCs/>
                <w:sz w:val="24"/>
                <w:szCs w:val="24"/>
              </w:rPr>
              <w:t>Domaine d’application </w:t>
            </w:r>
            <w:r w:rsidR="001E712A">
              <w:rPr>
                <w:rFonts w:cstheme="minorHAnsi"/>
                <w:b/>
                <w:bCs/>
                <w:sz w:val="24"/>
                <w:szCs w:val="24"/>
              </w:rPr>
              <w:t xml:space="preserve"> </w:t>
            </w:r>
          </w:p>
        </w:tc>
        <w:tc>
          <w:tcPr>
            <w:tcW w:w="7938" w:type="dxa"/>
            <w:tcBorders>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séries de base de dimensions face-à-face ou face-à-axe pour les appareils de robinetterie métalliques à deux voies, utilisés dans les tuyauteries à brides.</w:t>
            </w:r>
          </w:p>
          <w:p w:rsidR="00A32960" w:rsidRPr="0043547B" w:rsidRDefault="00A32960" w:rsidP="00A32960">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Chaque série de base de dimensions face-à-face ou face-à-axe peut être employée indifféremment avec des brides au gabarit de raccordement conforme à I’ISO 2084 ou I’ISO 2223.</w:t>
            </w:r>
          </w:p>
          <w:p w:rsidR="00A32960" w:rsidRPr="0043547B" w:rsidRDefault="00A32960" w:rsidP="00A32960">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gamme des pressions nominales, en valeurs PN, est la suivante :</w:t>
            </w:r>
          </w:p>
          <w:p w:rsidR="00A32960" w:rsidRPr="0043547B" w:rsidRDefault="00A32960" w:rsidP="00A32960">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1 - 1,6 - 2,5 - 4 - 6 - 10 - 16 - 25 et 40.</w:t>
            </w:r>
          </w:p>
          <w:p w:rsidR="00A32960" w:rsidRPr="0043547B" w:rsidRDefault="00A32960" w:rsidP="00A32960">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et classes 125 - 150 - 250 - 300 et 600.</w:t>
            </w:r>
          </w:p>
          <w:p w:rsidR="00A32960" w:rsidRPr="0043547B" w:rsidRDefault="00A32960" w:rsidP="00A32960">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gamme des diamètres nominaux, en valeurs DN, est la suivante :</w:t>
            </w:r>
          </w:p>
          <w:p w:rsidR="00904E52" w:rsidRPr="0043547B" w:rsidRDefault="00A32960" w:rsidP="00A32960">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10 - 15 - 20 - 25 - 32 - 40 - 50 - 65 - 80.- 100 - 125 - 1% - 200 - 250 - 300 - 350 - 400 - 450 - 500 - (550) - 600 - (650) - 700 - 750 - 800 - 900 - 1000 -1200 - 1400 -1600 -1800 and 2000</w:t>
            </w:r>
          </w:p>
        </w:tc>
      </w:tr>
      <w:tr w:rsidR="0005262F" w:rsidRPr="001E712A" w:rsidTr="001E712A">
        <w:trPr>
          <w:trHeight w:val="338"/>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05262F" w:rsidRPr="001E712A" w:rsidRDefault="0005262F" w:rsidP="001E712A">
            <w:pPr>
              <w:spacing w:after="0"/>
              <w:jc w:val="center"/>
              <w:rPr>
                <w:rFonts w:cstheme="minorHAnsi"/>
                <w:b/>
                <w:bCs/>
                <w:sz w:val="24"/>
                <w:szCs w:val="24"/>
              </w:rPr>
            </w:pPr>
            <w:r w:rsidRPr="001E712A">
              <w:rPr>
                <w:rFonts w:cstheme="minorHAnsi"/>
                <w:b/>
                <w:bCs/>
                <w:sz w:val="24"/>
                <w:szCs w:val="24"/>
              </w:rPr>
              <w:t xml:space="preserve">Code </w:t>
            </w:r>
            <w:r w:rsidR="001E712A" w:rsidRPr="001E712A">
              <w:rPr>
                <w:rFonts w:cstheme="minorHAnsi"/>
                <w:b/>
                <w:bCs/>
                <w:sz w:val="24"/>
                <w:szCs w:val="24"/>
              </w:rPr>
              <w:t xml:space="preserve"> </w:t>
            </w:r>
          </w:p>
        </w:tc>
        <w:tc>
          <w:tcPr>
            <w:tcW w:w="7938" w:type="dxa"/>
            <w:tcBorders>
              <w:left w:val="single" w:sz="4" w:space="0" w:color="auto"/>
              <w:bottom w:val="single" w:sz="18" w:space="0" w:color="auto"/>
              <w:right w:val="single" w:sz="18" w:space="0" w:color="auto"/>
            </w:tcBorders>
            <w:shd w:val="clear" w:color="auto" w:fill="C2D69B" w:themeFill="accent3" w:themeFillTint="99"/>
            <w:vAlign w:val="center"/>
          </w:tcPr>
          <w:p w:rsidR="0005262F" w:rsidRPr="001E712A" w:rsidRDefault="0005262F" w:rsidP="001E712A">
            <w:pPr>
              <w:spacing w:after="0" w:line="240" w:lineRule="auto"/>
              <w:jc w:val="center"/>
              <w:rPr>
                <w:rFonts w:cstheme="minorHAnsi"/>
                <w:b/>
                <w:bCs/>
                <w:sz w:val="24"/>
                <w:szCs w:val="24"/>
              </w:rPr>
            </w:pPr>
            <w:r w:rsidRPr="001E712A">
              <w:rPr>
                <w:rFonts w:cstheme="minorHAnsi"/>
                <w:b/>
                <w:bCs/>
                <w:sz w:val="24"/>
                <w:szCs w:val="24"/>
              </w:rPr>
              <w:t>NM EN 1816</w:t>
            </w:r>
          </w:p>
        </w:tc>
      </w:tr>
      <w:tr w:rsidR="0005262F" w:rsidRPr="001E712A" w:rsidTr="001E712A">
        <w:trPr>
          <w:trHeight w:val="384"/>
          <w:jc w:val="center"/>
        </w:trPr>
        <w:tc>
          <w:tcPr>
            <w:tcW w:w="1838" w:type="dxa"/>
            <w:tcBorders>
              <w:top w:val="nil"/>
              <w:left w:val="single" w:sz="18" w:space="0" w:color="auto"/>
              <w:bottom w:val="single" w:sz="18" w:space="0" w:color="auto"/>
              <w:right w:val="single" w:sz="4" w:space="0" w:color="auto"/>
            </w:tcBorders>
            <w:shd w:val="clear" w:color="auto" w:fill="FFFF99"/>
            <w:vAlign w:val="center"/>
          </w:tcPr>
          <w:p w:rsidR="0005262F" w:rsidRPr="001E712A" w:rsidRDefault="0005262F" w:rsidP="001E712A">
            <w:pPr>
              <w:spacing w:after="0"/>
              <w:jc w:val="center"/>
              <w:rPr>
                <w:rFonts w:cstheme="minorHAnsi"/>
                <w:b/>
                <w:bCs/>
                <w:sz w:val="24"/>
                <w:szCs w:val="24"/>
              </w:rPr>
            </w:pPr>
            <w:r w:rsidRPr="001E712A">
              <w:rPr>
                <w:rFonts w:cstheme="minorHAnsi"/>
                <w:b/>
                <w:bCs/>
                <w:sz w:val="24"/>
                <w:szCs w:val="24"/>
              </w:rPr>
              <w:t>Equivalence </w:t>
            </w:r>
            <w:r w:rsidR="001E712A" w:rsidRPr="001E712A">
              <w:rPr>
                <w:rFonts w:cstheme="minorHAnsi"/>
                <w:b/>
                <w:bCs/>
                <w:sz w:val="24"/>
                <w:szCs w:val="24"/>
              </w:rPr>
              <w:t xml:space="preserve"> </w:t>
            </w:r>
          </w:p>
        </w:tc>
        <w:tc>
          <w:tcPr>
            <w:tcW w:w="7938" w:type="dxa"/>
            <w:tcBorders>
              <w:left w:val="single" w:sz="4" w:space="0" w:color="auto"/>
              <w:bottom w:val="single" w:sz="18" w:space="0" w:color="auto"/>
              <w:right w:val="single" w:sz="18" w:space="0" w:color="auto"/>
            </w:tcBorders>
            <w:shd w:val="clear" w:color="auto" w:fill="FFFF99"/>
            <w:vAlign w:val="center"/>
          </w:tcPr>
          <w:p w:rsidR="0005262F" w:rsidRPr="001E712A" w:rsidRDefault="0005262F" w:rsidP="001E712A">
            <w:pPr>
              <w:spacing w:after="0" w:line="240" w:lineRule="auto"/>
              <w:jc w:val="center"/>
              <w:rPr>
                <w:rFonts w:cstheme="minorHAnsi"/>
                <w:b/>
                <w:bCs/>
                <w:sz w:val="24"/>
                <w:szCs w:val="24"/>
              </w:rPr>
            </w:pPr>
            <w:r w:rsidRPr="001E712A">
              <w:rPr>
                <w:rFonts w:cstheme="minorHAnsi"/>
                <w:b/>
                <w:bCs/>
                <w:sz w:val="24"/>
                <w:szCs w:val="24"/>
              </w:rPr>
              <w:t>EN 1816</w:t>
            </w:r>
          </w:p>
        </w:tc>
      </w:tr>
      <w:tr w:rsidR="0005262F" w:rsidRPr="001E712A" w:rsidTr="001E712A">
        <w:trPr>
          <w:trHeight w:val="666"/>
          <w:jc w:val="center"/>
        </w:trPr>
        <w:tc>
          <w:tcPr>
            <w:tcW w:w="1838" w:type="dxa"/>
            <w:tcBorders>
              <w:top w:val="nil"/>
              <w:left w:val="single" w:sz="18" w:space="0" w:color="auto"/>
              <w:bottom w:val="single" w:sz="18" w:space="0" w:color="auto"/>
              <w:right w:val="single" w:sz="4" w:space="0" w:color="auto"/>
            </w:tcBorders>
            <w:shd w:val="clear" w:color="auto" w:fill="B8CCE4" w:themeFill="accent1" w:themeFillTint="66"/>
            <w:vAlign w:val="center"/>
          </w:tcPr>
          <w:p w:rsidR="0005262F" w:rsidRPr="001E712A" w:rsidRDefault="0005262F" w:rsidP="001E712A">
            <w:pPr>
              <w:spacing w:after="0"/>
              <w:jc w:val="center"/>
              <w:rPr>
                <w:rFonts w:cstheme="minorHAnsi"/>
                <w:b/>
                <w:bCs/>
                <w:sz w:val="24"/>
                <w:szCs w:val="24"/>
              </w:rPr>
            </w:pPr>
            <w:r w:rsidRPr="001E712A">
              <w:rPr>
                <w:rFonts w:cstheme="minorHAnsi"/>
                <w:b/>
                <w:bCs/>
                <w:sz w:val="24"/>
                <w:szCs w:val="24"/>
              </w:rPr>
              <w:t>Intitulé :</w:t>
            </w:r>
          </w:p>
        </w:tc>
        <w:tc>
          <w:tcPr>
            <w:tcW w:w="7938" w:type="dxa"/>
            <w:tcBorders>
              <w:left w:val="single" w:sz="4" w:space="0" w:color="auto"/>
              <w:bottom w:val="single" w:sz="18" w:space="0" w:color="auto"/>
              <w:right w:val="single" w:sz="18" w:space="0" w:color="auto"/>
            </w:tcBorders>
            <w:shd w:val="clear" w:color="auto" w:fill="auto"/>
          </w:tcPr>
          <w:p w:rsidR="0005262F" w:rsidRPr="001E712A" w:rsidRDefault="0005262F" w:rsidP="001E712A">
            <w:pPr>
              <w:spacing w:after="0" w:line="240" w:lineRule="auto"/>
              <w:jc w:val="both"/>
              <w:rPr>
                <w:rFonts w:cstheme="minorHAnsi"/>
                <w:sz w:val="24"/>
                <w:szCs w:val="24"/>
              </w:rPr>
            </w:pPr>
            <w:r w:rsidRPr="001E712A">
              <w:rPr>
                <w:rFonts w:cstheme="minorHAnsi"/>
                <w:sz w:val="24"/>
                <w:szCs w:val="24"/>
              </w:rPr>
              <w:t xml:space="preserve">Revêtements de sol résilients - Spécifications des revêtements de sol homogènes et hétérogènes en caoutchouc lisse avec semelle en mousse </w:t>
            </w:r>
          </w:p>
        </w:tc>
      </w:tr>
      <w:tr w:rsidR="0005262F" w:rsidRPr="001E712A" w:rsidTr="009064A0">
        <w:trPr>
          <w:trHeight w:val="701"/>
          <w:jc w:val="center"/>
        </w:trPr>
        <w:tc>
          <w:tcPr>
            <w:tcW w:w="1838" w:type="dxa"/>
            <w:tcBorders>
              <w:top w:val="nil"/>
              <w:left w:val="single" w:sz="18" w:space="0" w:color="auto"/>
              <w:bottom w:val="single" w:sz="18" w:space="0" w:color="auto"/>
              <w:right w:val="single" w:sz="4" w:space="0" w:color="auto"/>
            </w:tcBorders>
            <w:shd w:val="clear" w:color="000000" w:fill="D9D9D9"/>
            <w:vAlign w:val="center"/>
          </w:tcPr>
          <w:p w:rsidR="0005262F" w:rsidRPr="001E712A" w:rsidRDefault="0005262F" w:rsidP="001E712A">
            <w:pPr>
              <w:spacing w:after="0"/>
              <w:jc w:val="center"/>
              <w:rPr>
                <w:rFonts w:cstheme="minorHAnsi"/>
                <w:b/>
                <w:bCs/>
                <w:sz w:val="24"/>
                <w:szCs w:val="24"/>
              </w:rPr>
            </w:pPr>
            <w:r w:rsidRPr="001E712A">
              <w:rPr>
                <w:rFonts w:cstheme="minorHAnsi"/>
                <w:b/>
                <w:bCs/>
                <w:sz w:val="24"/>
                <w:szCs w:val="24"/>
              </w:rPr>
              <w:lastRenderedPageBreak/>
              <w:t>Domaine d’application :</w:t>
            </w:r>
          </w:p>
        </w:tc>
        <w:tc>
          <w:tcPr>
            <w:tcW w:w="7938" w:type="dxa"/>
            <w:tcBorders>
              <w:left w:val="single" w:sz="4" w:space="0" w:color="auto"/>
              <w:bottom w:val="single" w:sz="18" w:space="0" w:color="auto"/>
              <w:right w:val="single" w:sz="18" w:space="0" w:color="auto"/>
            </w:tcBorders>
            <w:shd w:val="clear" w:color="auto" w:fill="auto"/>
            <w:vAlign w:val="bottom"/>
          </w:tcPr>
          <w:p w:rsidR="0005262F" w:rsidRPr="001E712A" w:rsidRDefault="0005262F" w:rsidP="001E712A">
            <w:pPr>
              <w:spacing w:after="0" w:line="240" w:lineRule="auto"/>
              <w:jc w:val="both"/>
              <w:rPr>
                <w:rFonts w:cstheme="minorHAnsi"/>
                <w:sz w:val="24"/>
                <w:szCs w:val="24"/>
              </w:rPr>
            </w:pPr>
            <w:r w:rsidRPr="001E712A">
              <w:rPr>
                <w:rFonts w:cstheme="minorHAnsi"/>
                <w:sz w:val="24"/>
                <w:szCs w:val="24"/>
              </w:rPr>
              <w:t>Le présent document spécifie les caractéristiques des revêtements de sol homogènes et hétérogènes en caoutchouc lisse (y compris ceux à surfaces grainées) avec envers en mousse, fournis en rouleaux ou en dalles.</w:t>
            </w:r>
            <w:r w:rsidRPr="001E712A">
              <w:rPr>
                <w:rFonts w:cstheme="minorHAnsi"/>
                <w:sz w:val="24"/>
                <w:szCs w:val="24"/>
              </w:rPr>
              <w:br/>
              <w:t>Le présent document inclut un système de classification basé sur l'intensité d'utilisation, qui indique l'endroit où ces revêtements de sol sont supposés rendre un service satisfaisant (voir EN ISO 10874). Il spécifie également des exigences de marquage.</w:t>
            </w:r>
          </w:p>
        </w:tc>
      </w:tr>
      <w:tr w:rsidR="0043547B" w:rsidRPr="0043547B" w:rsidTr="00CB5DC0">
        <w:trPr>
          <w:trHeight w:val="126"/>
          <w:jc w:val="center"/>
        </w:trPr>
        <w:tc>
          <w:tcPr>
            <w:tcW w:w="1838" w:type="dxa"/>
            <w:tcBorders>
              <w:top w:val="nil"/>
              <w:left w:val="single" w:sz="18" w:space="0" w:color="auto"/>
              <w:bottom w:val="single" w:sz="18" w:space="0" w:color="auto"/>
              <w:right w:val="single" w:sz="4" w:space="0" w:color="auto"/>
            </w:tcBorders>
            <w:shd w:val="clear" w:color="auto" w:fill="D6E3BC" w:themeFill="accent3" w:themeFillTint="66"/>
            <w:vAlign w:val="center"/>
          </w:tcPr>
          <w:p w:rsidR="005F2ACD" w:rsidRPr="0043547B" w:rsidRDefault="005F2ACD" w:rsidP="007C65F3">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left w:val="single" w:sz="4" w:space="0" w:color="auto"/>
              <w:bottom w:val="single" w:sz="18" w:space="0" w:color="auto"/>
              <w:right w:val="single" w:sz="18" w:space="0" w:color="auto"/>
            </w:tcBorders>
            <w:shd w:val="clear" w:color="auto" w:fill="D6E3BC" w:themeFill="accent3" w:themeFillTint="66"/>
          </w:tcPr>
          <w:p w:rsidR="005F2ACD" w:rsidRPr="00951C84" w:rsidRDefault="005F2ACD" w:rsidP="007C65F3">
            <w:pPr>
              <w:spacing w:after="0" w:line="240" w:lineRule="auto"/>
              <w:jc w:val="center"/>
              <w:rPr>
                <w:rFonts w:cstheme="minorHAnsi"/>
                <w:b/>
                <w:bCs/>
                <w:sz w:val="24"/>
                <w:szCs w:val="24"/>
              </w:rPr>
            </w:pPr>
            <w:r w:rsidRPr="00951C84">
              <w:rPr>
                <w:rFonts w:cstheme="minorHAnsi"/>
                <w:b/>
                <w:bCs/>
                <w:sz w:val="24"/>
                <w:szCs w:val="24"/>
              </w:rPr>
              <w:t>NM EN 1254-1</w:t>
            </w:r>
          </w:p>
        </w:tc>
      </w:tr>
      <w:tr w:rsidR="0043547B" w:rsidRPr="0043547B" w:rsidTr="007C65F3">
        <w:trPr>
          <w:trHeight w:val="262"/>
          <w:jc w:val="center"/>
        </w:trPr>
        <w:tc>
          <w:tcPr>
            <w:tcW w:w="1838" w:type="dxa"/>
            <w:tcBorders>
              <w:top w:val="single" w:sz="18" w:space="0" w:color="auto"/>
              <w:left w:val="single" w:sz="18" w:space="0" w:color="auto"/>
              <w:bottom w:val="single" w:sz="4" w:space="0" w:color="auto"/>
              <w:right w:val="single" w:sz="4" w:space="0" w:color="auto"/>
            </w:tcBorders>
            <w:shd w:val="clear" w:color="auto" w:fill="FDFBA9"/>
            <w:vAlign w:val="center"/>
          </w:tcPr>
          <w:p w:rsidR="005F2ACD" w:rsidRPr="0043547B" w:rsidRDefault="005F2ACD" w:rsidP="007C65F3">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DFBA9"/>
            <w:vAlign w:val="center"/>
          </w:tcPr>
          <w:p w:rsidR="005F2ACD" w:rsidRPr="00951C84" w:rsidRDefault="005F2ACD" w:rsidP="007C65F3">
            <w:pPr>
              <w:spacing w:after="0" w:line="240" w:lineRule="auto"/>
              <w:jc w:val="center"/>
              <w:rPr>
                <w:rFonts w:cstheme="minorHAnsi"/>
                <w:b/>
                <w:bCs/>
                <w:sz w:val="24"/>
                <w:szCs w:val="24"/>
              </w:rPr>
            </w:pPr>
            <w:r w:rsidRPr="00951C84">
              <w:rPr>
                <w:rFonts w:cstheme="minorHAnsi"/>
                <w:b/>
                <w:bCs/>
                <w:sz w:val="24"/>
                <w:szCs w:val="24"/>
              </w:rPr>
              <w:t>EN 1254-1</w:t>
            </w:r>
          </w:p>
        </w:tc>
      </w:tr>
      <w:tr w:rsidR="0043547B" w:rsidRPr="0043547B" w:rsidTr="007C65F3">
        <w:trPr>
          <w:trHeight w:val="701"/>
          <w:jc w:val="center"/>
        </w:trPr>
        <w:tc>
          <w:tcPr>
            <w:tcW w:w="1838" w:type="dxa"/>
            <w:tcBorders>
              <w:top w:val="single" w:sz="4" w:space="0" w:color="auto"/>
              <w:left w:val="single" w:sz="18" w:space="0" w:color="auto"/>
              <w:bottom w:val="single" w:sz="4" w:space="0" w:color="auto"/>
              <w:right w:val="single" w:sz="4" w:space="0" w:color="auto"/>
            </w:tcBorders>
            <w:shd w:val="clear" w:color="auto" w:fill="95B3D7" w:themeFill="accent1" w:themeFillTint="99"/>
            <w:vAlign w:val="center"/>
          </w:tcPr>
          <w:p w:rsidR="005F2ACD" w:rsidRPr="0043547B" w:rsidRDefault="005F2ACD" w:rsidP="007C65F3">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auto"/>
          </w:tcPr>
          <w:p w:rsidR="005F2ACD" w:rsidRPr="0043547B" w:rsidRDefault="005F2ACD" w:rsidP="007C65F3">
            <w:pPr>
              <w:spacing w:after="0" w:line="240" w:lineRule="auto"/>
              <w:rPr>
                <w:rFonts w:cstheme="minorHAnsi"/>
                <w:sz w:val="24"/>
                <w:szCs w:val="24"/>
              </w:rPr>
            </w:pPr>
            <w:r w:rsidRPr="0043547B">
              <w:rPr>
                <w:rFonts w:cstheme="minorHAnsi"/>
                <w:sz w:val="24"/>
                <w:szCs w:val="24"/>
              </w:rPr>
              <w:t xml:space="preserve">Cuivre et alliages de cuivre - Raccords - Partie 1 : Raccords à braser par capillarité pour tubes en cuivre </w:t>
            </w:r>
          </w:p>
        </w:tc>
      </w:tr>
      <w:tr w:rsidR="0043547B" w:rsidRPr="0043547B" w:rsidTr="00CB5DC0">
        <w:trPr>
          <w:trHeight w:val="701"/>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5F2ACD" w:rsidRPr="0043547B" w:rsidRDefault="005F2ACD" w:rsidP="007C65F3">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tcPr>
          <w:p w:rsidR="007C65F3" w:rsidRDefault="005F2ACD" w:rsidP="007C65F3">
            <w:pPr>
              <w:spacing w:after="0" w:line="240" w:lineRule="auto"/>
              <w:jc w:val="both"/>
              <w:rPr>
                <w:rFonts w:cstheme="minorHAnsi"/>
                <w:sz w:val="24"/>
                <w:szCs w:val="24"/>
              </w:rPr>
            </w:pPr>
            <w:r w:rsidRPr="0043547B">
              <w:rPr>
                <w:rFonts w:cstheme="minorHAnsi"/>
                <w:sz w:val="24"/>
                <w:szCs w:val="24"/>
              </w:rPr>
              <w:t>La présente norme européenne spécifie les matériaux, les dimensions et les tolérances d'assemblage ainsi</w:t>
            </w:r>
            <w:r w:rsidR="007F63D3">
              <w:rPr>
                <w:rFonts w:cstheme="minorHAnsi"/>
                <w:sz w:val="24"/>
                <w:szCs w:val="24"/>
              </w:rPr>
              <w:t xml:space="preserve"> </w:t>
            </w:r>
            <w:r w:rsidRPr="0043547B">
              <w:rPr>
                <w:rFonts w:cstheme="minorHAnsi"/>
                <w:sz w:val="24"/>
                <w:szCs w:val="24"/>
              </w:rPr>
              <w:t>que les prescriptions d'essai concernant les raccords en cuivre et en alliages de cuivre, avec ou sans</w:t>
            </w:r>
            <w:r w:rsidR="007F63D3">
              <w:rPr>
                <w:rFonts w:cstheme="minorHAnsi"/>
                <w:sz w:val="24"/>
                <w:szCs w:val="24"/>
              </w:rPr>
              <w:t xml:space="preserve"> </w:t>
            </w:r>
            <w:r w:rsidRPr="0043547B">
              <w:rPr>
                <w:rFonts w:cstheme="minorHAnsi"/>
                <w:sz w:val="24"/>
                <w:szCs w:val="24"/>
              </w:rPr>
              <w:t>revêtement. Les températures et les pressions de service maximales acceptables sont aussi établies. Cette</w:t>
            </w:r>
            <w:r w:rsidR="007F63D3">
              <w:rPr>
                <w:rFonts w:cstheme="minorHAnsi"/>
                <w:sz w:val="24"/>
                <w:szCs w:val="24"/>
              </w:rPr>
              <w:t xml:space="preserve"> </w:t>
            </w:r>
            <w:r w:rsidRPr="0043547B">
              <w:rPr>
                <w:rFonts w:cstheme="minorHAnsi"/>
                <w:sz w:val="24"/>
                <w:szCs w:val="24"/>
              </w:rPr>
              <w:t>partie de l'EN 1254 spécifie les dimensions des extrémités de raccords à braser par capillarité destinés à</w:t>
            </w:r>
            <w:r w:rsidR="007F63D3">
              <w:rPr>
                <w:rFonts w:cstheme="minorHAnsi"/>
                <w:sz w:val="24"/>
                <w:szCs w:val="24"/>
              </w:rPr>
              <w:t xml:space="preserve"> </w:t>
            </w:r>
            <w:r w:rsidRPr="0043547B">
              <w:rPr>
                <w:rFonts w:cstheme="minorHAnsi"/>
                <w:sz w:val="24"/>
                <w:szCs w:val="24"/>
              </w:rPr>
              <w:t>l'assemblage de tubes en cuivre spécifiés dans l'EN 1057. Les raccords peuvent comporter une</w:t>
            </w:r>
            <w:r w:rsidR="007F63D3">
              <w:rPr>
                <w:rFonts w:cstheme="minorHAnsi"/>
                <w:sz w:val="24"/>
                <w:szCs w:val="24"/>
              </w:rPr>
              <w:t xml:space="preserve"> </w:t>
            </w:r>
            <w:r w:rsidRPr="0043547B">
              <w:rPr>
                <w:rFonts w:cstheme="minorHAnsi"/>
                <w:sz w:val="24"/>
                <w:szCs w:val="24"/>
              </w:rPr>
              <w:t>combinaison de plusieurs types d'extrémités spécifiés dans les EN 1254-1 à EN 1254-5, ou dans d'autres</w:t>
            </w:r>
            <w:r w:rsidR="007F63D3">
              <w:rPr>
                <w:rFonts w:cstheme="minorHAnsi"/>
                <w:sz w:val="24"/>
                <w:szCs w:val="24"/>
              </w:rPr>
              <w:t xml:space="preserve"> </w:t>
            </w:r>
            <w:r w:rsidRPr="0043547B">
              <w:rPr>
                <w:rFonts w:cstheme="minorHAnsi"/>
                <w:sz w:val="24"/>
                <w:szCs w:val="24"/>
              </w:rPr>
              <w:t>normes.</w:t>
            </w:r>
          </w:p>
          <w:p w:rsidR="005F2ACD" w:rsidRPr="0043547B" w:rsidRDefault="005F2ACD" w:rsidP="007C65F3">
            <w:pPr>
              <w:spacing w:after="0" w:line="240" w:lineRule="auto"/>
              <w:jc w:val="both"/>
              <w:rPr>
                <w:rFonts w:cstheme="minorHAnsi"/>
                <w:sz w:val="24"/>
                <w:szCs w:val="24"/>
              </w:rPr>
            </w:pPr>
            <w:r w:rsidRPr="0043547B">
              <w:rPr>
                <w:rFonts w:cstheme="minorHAnsi"/>
                <w:sz w:val="24"/>
                <w:szCs w:val="24"/>
              </w:rPr>
              <w:t>La présente norme prescrit un système de désignation pour les raccords.</w:t>
            </w:r>
          </w:p>
        </w:tc>
      </w:tr>
      <w:tr w:rsidR="0043547B" w:rsidRPr="0043547B" w:rsidTr="00CB5DC0">
        <w:trPr>
          <w:trHeight w:val="29"/>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5F2ACD" w:rsidRPr="0043547B" w:rsidRDefault="005F2ACD" w:rsidP="007C65F3">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left w:val="single" w:sz="4" w:space="0" w:color="auto"/>
              <w:bottom w:val="single" w:sz="18" w:space="0" w:color="auto"/>
              <w:right w:val="single" w:sz="18" w:space="0" w:color="auto"/>
            </w:tcBorders>
            <w:shd w:val="clear" w:color="auto" w:fill="C2D69B" w:themeFill="accent3" w:themeFillTint="99"/>
          </w:tcPr>
          <w:p w:rsidR="005F2ACD" w:rsidRPr="00951C84" w:rsidRDefault="005F2ACD" w:rsidP="007C65F3">
            <w:pPr>
              <w:spacing w:after="0" w:line="240" w:lineRule="auto"/>
              <w:jc w:val="center"/>
              <w:rPr>
                <w:rFonts w:cstheme="minorHAnsi"/>
                <w:b/>
                <w:bCs/>
                <w:sz w:val="24"/>
                <w:szCs w:val="24"/>
              </w:rPr>
            </w:pPr>
            <w:r w:rsidRPr="00951C84">
              <w:rPr>
                <w:rFonts w:cstheme="minorHAnsi"/>
                <w:b/>
                <w:bCs/>
                <w:sz w:val="24"/>
                <w:szCs w:val="24"/>
              </w:rPr>
              <w:t>NM EN 1254-2</w:t>
            </w:r>
          </w:p>
        </w:tc>
      </w:tr>
      <w:tr w:rsidR="0043547B" w:rsidRPr="0043547B" w:rsidTr="007C65F3">
        <w:trPr>
          <w:trHeight w:val="23"/>
          <w:jc w:val="center"/>
        </w:trPr>
        <w:tc>
          <w:tcPr>
            <w:tcW w:w="1838" w:type="dxa"/>
            <w:tcBorders>
              <w:top w:val="single" w:sz="18" w:space="0" w:color="auto"/>
              <w:left w:val="single" w:sz="18" w:space="0" w:color="auto"/>
              <w:bottom w:val="single" w:sz="4" w:space="0" w:color="auto"/>
              <w:right w:val="single" w:sz="4" w:space="0" w:color="auto"/>
            </w:tcBorders>
            <w:shd w:val="clear" w:color="auto" w:fill="FDFBA9"/>
            <w:vAlign w:val="center"/>
          </w:tcPr>
          <w:p w:rsidR="005F2ACD" w:rsidRPr="0043547B" w:rsidRDefault="005F2ACD" w:rsidP="007C65F3">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DFBA9"/>
            <w:vAlign w:val="center"/>
          </w:tcPr>
          <w:p w:rsidR="005F2ACD" w:rsidRPr="00951C84" w:rsidRDefault="005F2ACD" w:rsidP="007C65F3">
            <w:pPr>
              <w:spacing w:after="0" w:line="240" w:lineRule="auto"/>
              <w:jc w:val="center"/>
              <w:rPr>
                <w:rFonts w:cstheme="minorHAnsi"/>
                <w:b/>
                <w:bCs/>
                <w:sz w:val="24"/>
                <w:szCs w:val="24"/>
              </w:rPr>
            </w:pPr>
            <w:r w:rsidRPr="00951C84">
              <w:rPr>
                <w:rFonts w:cstheme="minorHAnsi"/>
                <w:b/>
                <w:bCs/>
                <w:sz w:val="24"/>
                <w:szCs w:val="24"/>
              </w:rPr>
              <w:t>EN 1254-2</w:t>
            </w:r>
          </w:p>
        </w:tc>
      </w:tr>
      <w:tr w:rsidR="0043547B" w:rsidRPr="0043547B" w:rsidTr="007C65F3">
        <w:trPr>
          <w:trHeight w:val="701"/>
          <w:jc w:val="center"/>
        </w:trPr>
        <w:tc>
          <w:tcPr>
            <w:tcW w:w="1838" w:type="dxa"/>
            <w:tcBorders>
              <w:top w:val="single" w:sz="4" w:space="0" w:color="auto"/>
              <w:left w:val="single" w:sz="18" w:space="0" w:color="auto"/>
              <w:bottom w:val="single" w:sz="4" w:space="0" w:color="auto"/>
              <w:right w:val="single" w:sz="4" w:space="0" w:color="auto"/>
            </w:tcBorders>
            <w:shd w:val="clear" w:color="auto" w:fill="95B3D7" w:themeFill="accent1" w:themeFillTint="99"/>
            <w:vAlign w:val="center"/>
          </w:tcPr>
          <w:p w:rsidR="005F2ACD" w:rsidRPr="0043547B" w:rsidRDefault="005F2ACD" w:rsidP="007C65F3">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auto"/>
          </w:tcPr>
          <w:p w:rsidR="005F2ACD" w:rsidRPr="0043547B" w:rsidRDefault="005F2ACD" w:rsidP="007C65F3">
            <w:pPr>
              <w:spacing w:after="0" w:line="240" w:lineRule="auto"/>
              <w:rPr>
                <w:rFonts w:cstheme="minorHAnsi"/>
                <w:sz w:val="24"/>
                <w:szCs w:val="24"/>
              </w:rPr>
            </w:pPr>
            <w:r w:rsidRPr="0043547B">
              <w:rPr>
                <w:rFonts w:cstheme="minorHAnsi"/>
                <w:sz w:val="24"/>
                <w:szCs w:val="24"/>
              </w:rPr>
              <w:t xml:space="preserve">Cuivre et alliages de cuivre - Raccords - Partie 2 : Raccords à compression pour tubes en cuivre </w:t>
            </w:r>
          </w:p>
        </w:tc>
      </w:tr>
      <w:tr w:rsidR="0043547B" w:rsidRPr="0043547B" w:rsidTr="00CB5DC0">
        <w:trPr>
          <w:trHeight w:val="701"/>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5F2ACD" w:rsidRPr="0043547B" w:rsidRDefault="005F2ACD" w:rsidP="007C65F3">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tcPr>
          <w:p w:rsidR="00865CCD" w:rsidRDefault="005F2ACD" w:rsidP="00865CCD">
            <w:pPr>
              <w:spacing w:after="0" w:line="240" w:lineRule="auto"/>
              <w:jc w:val="both"/>
              <w:rPr>
                <w:rFonts w:cstheme="minorHAnsi"/>
                <w:sz w:val="24"/>
                <w:szCs w:val="24"/>
              </w:rPr>
            </w:pPr>
            <w:r w:rsidRPr="0043547B">
              <w:rPr>
                <w:rFonts w:cstheme="minorHAnsi"/>
                <w:sz w:val="24"/>
                <w:szCs w:val="24"/>
              </w:rPr>
              <w:t>La présente norme européenne spécifie les matériaux, les dimensions et les tolérances d'assemblage ainsi</w:t>
            </w:r>
            <w:r w:rsidR="007F63D3">
              <w:rPr>
                <w:rFonts w:cstheme="minorHAnsi"/>
                <w:sz w:val="24"/>
                <w:szCs w:val="24"/>
              </w:rPr>
              <w:t xml:space="preserve"> </w:t>
            </w:r>
            <w:r w:rsidRPr="0043547B">
              <w:rPr>
                <w:rFonts w:cstheme="minorHAnsi"/>
                <w:sz w:val="24"/>
                <w:szCs w:val="24"/>
              </w:rPr>
              <w:t>que les prescriptions d'essai concernant les raccords en cuivre et en alliages de cuivre, avec ou sans placage</w:t>
            </w:r>
            <w:r w:rsidRPr="0043547B">
              <w:rPr>
                <w:rFonts w:cstheme="minorHAnsi"/>
                <w:sz w:val="24"/>
                <w:szCs w:val="24"/>
              </w:rPr>
              <w:br/>
              <w:t>ou revêtement. Les températures et les pressions de service maximales acceptables sont aussi établies.</w:t>
            </w:r>
          </w:p>
          <w:p w:rsidR="00865CCD" w:rsidRDefault="005F2ACD" w:rsidP="00865CCD">
            <w:pPr>
              <w:spacing w:after="0" w:line="240" w:lineRule="auto"/>
              <w:jc w:val="both"/>
              <w:rPr>
                <w:rFonts w:cstheme="minorHAnsi"/>
                <w:sz w:val="24"/>
                <w:szCs w:val="24"/>
              </w:rPr>
            </w:pPr>
            <w:r w:rsidRPr="0043547B">
              <w:rPr>
                <w:rFonts w:cstheme="minorHAnsi"/>
                <w:sz w:val="24"/>
                <w:szCs w:val="24"/>
              </w:rPr>
              <w:t>Cette partie de l'EN 1254 spécifie les dimensions des extrémités de raccords à compression destinés</w:t>
            </w:r>
            <w:r w:rsidR="007F63D3">
              <w:rPr>
                <w:rFonts w:cstheme="minorHAnsi"/>
                <w:sz w:val="24"/>
                <w:szCs w:val="24"/>
              </w:rPr>
              <w:t xml:space="preserve"> </w:t>
            </w:r>
            <w:r w:rsidRPr="0043547B">
              <w:rPr>
                <w:rFonts w:cstheme="minorHAnsi"/>
                <w:sz w:val="24"/>
                <w:szCs w:val="24"/>
              </w:rPr>
              <w:t>à l'assemblage de tubes en cuivre spécifiés dans l'EN 1057.</w:t>
            </w:r>
          </w:p>
          <w:p w:rsidR="005F2ACD" w:rsidRPr="0043547B" w:rsidRDefault="005F2ACD" w:rsidP="00865CCD">
            <w:pPr>
              <w:spacing w:after="0" w:line="240" w:lineRule="auto"/>
              <w:jc w:val="both"/>
              <w:rPr>
                <w:rFonts w:cstheme="minorHAnsi"/>
                <w:sz w:val="24"/>
                <w:szCs w:val="24"/>
              </w:rPr>
            </w:pPr>
            <w:r w:rsidRPr="0043547B">
              <w:rPr>
                <w:rFonts w:cstheme="minorHAnsi"/>
                <w:sz w:val="24"/>
                <w:szCs w:val="24"/>
              </w:rPr>
              <w:t>Les raccords peuvent comporter une combinaison</w:t>
            </w:r>
            <w:r w:rsidR="007F63D3">
              <w:rPr>
                <w:rFonts w:cstheme="minorHAnsi"/>
                <w:sz w:val="24"/>
                <w:szCs w:val="24"/>
              </w:rPr>
              <w:t xml:space="preserve"> </w:t>
            </w:r>
            <w:r w:rsidRPr="0043547B">
              <w:rPr>
                <w:rFonts w:cstheme="minorHAnsi"/>
                <w:sz w:val="24"/>
                <w:szCs w:val="24"/>
              </w:rPr>
              <w:t>de plusieurs types d'extrémités spécifiés dans les EN 1254-1 à EN 1254-5, ou dans d'autres normes.</w:t>
            </w:r>
            <w:r w:rsidRPr="0043547B">
              <w:rPr>
                <w:rFonts w:cstheme="minorHAnsi"/>
                <w:sz w:val="24"/>
                <w:szCs w:val="24"/>
              </w:rPr>
              <w:br/>
              <w:t>La présente norme prescrit un système de désignation pour les raccords.</w:t>
            </w:r>
          </w:p>
        </w:tc>
      </w:tr>
      <w:tr w:rsidR="0043547B" w:rsidRPr="0043547B" w:rsidTr="00CB5DC0">
        <w:trPr>
          <w:trHeight w:val="272"/>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5F2ACD" w:rsidRPr="0043547B" w:rsidRDefault="005F2ACD" w:rsidP="00865CCD">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left w:val="single" w:sz="4" w:space="0" w:color="auto"/>
              <w:bottom w:val="single" w:sz="18" w:space="0" w:color="auto"/>
              <w:right w:val="single" w:sz="18" w:space="0" w:color="auto"/>
            </w:tcBorders>
            <w:shd w:val="clear" w:color="auto" w:fill="C2D69B" w:themeFill="accent3" w:themeFillTint="99"/>
          </w:tcPr>
          <w:p w:rsidR="005F2ACD" w:rsidRPr="00951C84" w:rsidRDefault="005F2ACD" w:rsidP="00865CCD">
            <w:pPr>
              <w:spacing w:after="0" w:line="240" w:lineRule="auto"/>
              <w:jc w:val="center"/>
              <w:rPr>
                <w:rFonts w:cstheme="minorHAnsi"/>
                <w:b/>
                <w:bCs/>
                <w:sz w:val="24"/>
                <w:szCs w:val="24"/>
              </w:rPr>
            </w:pPr>
            <w:r w:rsidRPr="00951C84">
              <w:rPr>
                <w:rFonts w:cstheme="minorHAnsi"/>
                <w:b/>
                <w:bCs/>
                <w:sz w:val="24"/>
                <w:szCs w:val="24"/>
              </w:rPr>
              <w:t>NM EN 13618</w:t>
            </w:r>
          </w:p>
        </w:tc>
      </w:tr>
      <w:tr w:rsidR="0043547B" w:rsidRPr="0043547B" w:rsidTr="00865CCD">
        <w:trPr>
          <w:trHeight w:val="23"/>
          <w:jc w:val="center"/>
        </w:trPr>
        <w:tc>
          <w:tcPr>
            <w:tcW w:w="1838" w:type="dxa"/>
            <w:tcBorders>
              <w:top w:val="single" w:sz="18" w:space="0" w:color="auto"/>
              <w:left w:val="single" w:sz="18" w:space="0" w:color="auto"/>
              <w:bottom w:val="single" w:sz="4" w:space="0" w:color="auto"/>
              <w:right w:val="single" w:sz="4" w:space="0" w:color="auto"/>
            </w:tcBorders>
            <w:shd w:val="clear" w:color="auto" w:fill="FDFBA9"/>
            <w:vAlign w:val="center"/>
          </w:tcPr>
          <w:p w:rsidR="005F2ACD" w:rsidRPr="0043547B" w:rsidRDefault="005F2ACD" w:rsidP="00865CCD">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DFBA9"/>
            <w:vAlign w:val="center"/>
          </w:tcPr>
          <w:p w:rsidR="005F2ACD" w:rsidRPr="00951C84" w:rsidRDefault="005F2ACD" w:rsidP="00865CCD">
            <w:pPr>
              <w:spacing w:after="0" w:line="240" w:lineRule="auto"/>
              <w:jc w:val="center"/>
              <w:rPr>
                <w:rFonts w:cstheme="minorHAnsi"/>
                <w:b/>
                <w:bCs/>
                <w:sz w:val="24"/>
                <w:szCs w:val="24"/>
              </w:rPr>
            </w:pPr>
            <w:r w:rsidRPr="00951C84">
              <w:rPr>
                <w:rFonts w:cstheme="minorHAnsi"/>
                <w:b/>
                <w:bCs/>
                <w:sz w:val="24"/>
                <w:szCs w:val="24"/>
              </w:rPr>
              <w:t>EN 13618</w:t>
            </w:r>
          </w:p>
        </w:tc>
      </w:tr>
      <w:tr w:rsidR="0043547B" w:rsidRPr="0043547B" w:rsidTr="00865CCD">
        <w:trPr>
          <w:trHeight w:val="701"/>
          <w:jc w:val="center"/>
        </w:trPr>
        <w:tc>
          <w:tcPr>
            <w:tcW w:w="1838" w:type="dxa"/>
            <w:tcBorders>
              <w:top w:val="single" w:sz="4" w:space="0" w:color="auto"/>
              <w:left w:val="single" w:sz="18" w:space="0" w:color="auto"/>
              <w:bottom w:val="single" w:sz="4" w:space="0" w:color="auto"/>
              <w:right w:val="single" w:sz="4" w:space="0" w:color="auto"/>
            </w:tcBorders>
            <w:shd w:val="clear" w:color="auto" w:fill="95B3D7" w:themeFill="accent1" w:themeFillTint="99"/>
            <w:vAlign w:val="center"/>
          </w:tcPr>
          <w:p w:rsidR="005F2ACD" w:rsidRPr="0043547B" w:rsidRDefault="005F2ACD" w:rsidP="00865CCD">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auto"/>
          </w:tcPr>
          <w:p w:rsidR="005F2ACD" w:rsidRPr="0043547B" w:rsidRDefault="005F2ACD" w:rsidP="00865CCD">
            <w:pPr>
              <w:spacing w:after="0" w:line="240" w:lineRule="auto"/>
              <w:rPr>
                <w:rFonts w:cstheme="minorHAnsi"/>
                <w:sz w:val="24"/>
                <w:szCs w:val="24"/>
              </w:rPr>
            </w:pPr>
            <w:r w:rsidRPr="0043547B">
              <w:rPr>
                <w:rFonts w:cstheme="minorHAnsi"/>
                <w:sz w:val="24"/>
                <w:szCs w:val="24"/>
              </w:rPr>
              <w:t xml:space="preserve">Tuyaux flexibles pour installations d'eau potable - Exigences fonctionnelles et méthodes d'essai </w:t>
            </w:r>
          </w:p>
        </w:tc>
      </w:tr>
      <w:tr w:rsidR="0043547B" w:rsidRPr="0043547B" w:rsidTr="00CB5DC0">
        <w:trPr>
          <w:trHeight w:val="701"/>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5F2ACD" w:rsidRPr="0043547B" w:rsidRDefault="005F2ACD" w:rsidP="00865CCD">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tcPr>
          <w:p w:rsidR="00865CCD" w:rsidRDefault="005F2ACD" w:rsidP="00865CCD">
            <w:pPr>
              <w:spacing w:after="0" w:line="240" w:lineRule="auto"/>
              <w:jc w:val="both"/>
              <w:rPr>
                <w:rFonts w:cstheme="minorHAnsi"/>
                <w:sz w:val="24"/>
                <w:szCs w:val="24"/>
              </w:rPr>
            </w:pPr>
            <w:r w:rsidRPr="0043547B">
              <w:rPr>
                <w:rFonts w:cstheme="minorHAnsi"/>
                <w:sz w:val="24"/>
                <w:szCs w:val="24"/>
              </w:rPr>
              <w:t>La présente Norme européenne spécifie les exigences et les méthodes d’essai relatives aux matériaux,</w:t>
            </w:r>
            <w:r w:rsidR="007F63D3">
              <w:rPr>
                <w:rFonts w:cstheme="minorHAnsi"/>
                <w:sz w:val="24"/>
                <w:szCs w:val="24"/>
              </w:rPr>
              <w:t xml:space="preserve"> </w:t>
            </w:r>
            <w:r w:rsidRPr="0043547B">
              <w:rPr>
                <w:rFonts w:cstheme="minorHAnsi"/>
                <w:sz w:val="24"/>
                <w:szCs w:val="24"/>
              </w:rPr>
              <w:t>aux dimensions et au fonctionnement des ensembles flexibles pour installations d'eau potable, avec ou</w:t>
            </w:r>
            <w:r w:rsidR="007F63D3">
              <w:rPr>
                <w:rFonts w:cstheme="minorHAnsi"/>
                <w:sz w:val="24"/>
                <w:szCs w:val="24"/>
              </w:rPr>
              <w:t xml:space="preserve"> </w:t>
            </w:r>
            <w:r w:rsidRPr="0043547B">
              <w:rPr>
                <w:rFonts w:cstheme="minorHAnsi"/>
                <w:sz w:val="24"/>
                <w:szCs w:val="24"/>
              </w:rPr>
              <w:t>sans tresse, conçus pour être utilisés avec de l’eau potable à une pression maximale admissible de</w:t>
            </w:r>
            <w:r w:rsidRPr="0043547B">
              <w:rPr>
                <w:rFonts w:cstheme="minorHAnsi"/>
                <w:sz w:val="24"/>
                <w:szCs w:val="24"/>
              </w:rPr>
              <w:br/>
              <w:t>service (PMA) de 1 MPa et à une température maximale de fonctionnement de 70 °C en vue du</w:t>
            </w:r>
            <w:r w:rsidR="007F63D3">
              <w:rPr>
                <w:rFonts w:cstheme="minorHAnsi"/>
                <w:sz w:val="24"/>
                <w:szCs w:val="24"/>
              </w:rPr>
              <w:t xml:space="preserve"> </w:t>
            </w:r>
            <w:r w:rsidRPr="0043547B">
              <w:rPr>
                <w:rFonts w:cstheme="minorHAnsi"/>
                <w:sz w:val="24"/>
                <w:szCs w:val="24"/>
              </w:rPr>
              <w:t>raccordement de robinetterie sanitaire et d’appareils de production d’eau chaude sanitaire.</w:t>
            </w:r>
          </w:p>
          <w:p w:rsidR="005F2ACD" w:rsidRPr="00865CCD" w:rsidRDefault="00865CCD" w:rsidP="00865CCD">
            <w:pPr>
              <w:spacing w:after="0" w:line="240" w:lineRule="auto"/>
              <w:jc w:val="both"/>
              <w:rPr>
                <w:rFonts w:cstheme="minorHAnsi"/>
                <w:i/>
                <w:iCs/>
                <w:sz w:val="24"/>
                <w:szCs w:val="24"/>
              </w:rPr>
            </w:pPr>
            <w:r w:rsidRPr="00865CCD">
              <w:rPr>
                <w:rFonts w:cstheme="minorHAnsi"/>
                <w:b/>
                <w:bCs/>
                <w:i/>
                <w:iCs/>
              </w:rPr>
              <w:lastRenderedPageBreak/>
              <w:t>NOTE</w:t>
            </w:r>
            <w:r w:rsidRPr="00865CCD">
              <w:rPr>
                <w:rFonts w:cstheme="minorHAnsi"/>
                <w:i/>
                <w:iCs/>
              </w:rPr>
              <w:t xml:space="preserve"> : </w:t>
            </w:r>
            <w:r w:rsidR="005F2ACD" w:rsidRPr="00865CCD">
              <w:rPr>
                <w:rFonts w:cstheme="minorHAnsi"/>
                <w:i/>
                <w:iCs/>
              </w:rPr>
              <w:t>Les ensembles flexibles destinés à être utilisés comme des parties intégrantes d’appareils électriques</w:t>
            </w:r>
            <w:r w:rsidRPr="00865CCD">
              <w:rPr>
                <w:rFonts w:cstheme="minorHAnsi"/>
                <w:i/>
                <w:iCs/>
              </w:rPr>
              <w:t xml:space="preserve"> </w:t>
            </w:r>
            <w:r w:rsidR="005F2ACD" w:rsidRPr="00865CCD">
              <w:rPr>
                <w:rFonts w:cstheme="minorHAnsi"/>
                <w:i/>
                <w:iCs/>
              </w:rPr>
              <w:t>sont traités dans l’EN 61770</w:t>
            </w:r>
          </w:p>
        </w:tc>
      </w:tr>
      <w:tr w:rsidR="0043547B" w:rsidRPr="0043547B" w:rsidTr="00CB5DC0">
        <w:trPr>
          <w:trHeight w:val="226"/>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5F2ACD" w:rsidRPr="0043547B" w:rsidRDefault="005F2ACD" w:rsidP="00865CCD">
            <w:pPr>
              <w:spacing w:after="0" w:line="240" w:lineRule="auto"/>
              <w:jc w:val="center"/>
              <w:rPr>
                <w:rFonts w:cstheme="minorHAnsi"/>
                <w:b/>
                <w:bCs/>
                <w:sz w:val="24"/>
                <w:szCs w:val="24"/>
              </w:rPr>
            </w:pPr>
            <w:r w:rsidRPr="0043547B">
              <w:rPr>
                <w:rFonts w:cstheme="minorHAnsi"/>
                <w:b/>
                <w:bCs/>
                <w:sz w:val="24"/>
                <w:szCs w:val="24"/>
              </w:rPr>
              <w:lastRenderedPageBreak/>
              <w:t>Code :</w:t>
            </w:r>
          </w:p>
        </w:tc>
        <w:tc>
          <w:tcPr>
            <w:tcW w:w="7938" w:type="dxa"/>
            <w:tcBorders>
              <w:left w:val="single" w:sz="4" w:space="0" w:color="auto"/>
              <w:bottom w:val="single" w:sz="18" w:space="0" w:color="auto"/>
              <w:right w:val="single" w:sz="18" w:space="0" w:color="auto"/>
            </w:tcBorders>
            <w:shd w:val="clear" w:color="auto" w:fill="C2D69B" w:themeFill="accent3" w:themeFillTint="99"/>
          </w:tcPr>
          <w:p w:rsidR="005F2ACD" w:rsidRPr="00951C84" w:rsidRDefault="005F2ACD" w:rsidP="00865CCD">
            <w:pPr>
              <w:spacing w:after="0" w:line="240" w:lineRule="auto"/>
              <w:jc w:val="center"/>
              <w:rPr>
                <w:rFonts w:cstheme="minorHAnsi"/>
                <w:b/>
                <w:bCs/>
                <w:sz w:val="24"/>
                <w:szCs w:val="24"/>
              </w:rPr>
            </w:pPr>
            <w:r w:rsidRPr="00951C84">
              <w:rPr>
                <w:rFonts w:cstheme="minorHAnsi"/>
                <w:b/>
                <w:bCs/>
                <w:sz w:val="24"/>
                <w:szCs w:val="24"/>
              </w:rPr>
              <w:t>NM EN 14506</w:t>
            </w:r>
          </w:p>
        </w:tc>
      </w:tr>
      <w:tr w:rsidR="0043547B" w:rsidRPr="0043547B" w:rsidTr="00CB5DC0">
        <w:trPr>
          <w:trHeight w:val="78"/>
          <w:jc w:val="center"/>
        </w:trPr>
        <w:tc>
          <w:tcPr>
            <w:tcW w:w="1838" w:type="dxa"/>
            <w:tcBorders>
              <w:top w:val="single" w:sz="18" w:space="0" w:color="auto"/>
              <w:left w:val="single" w:sz="18" w:space="0" w:color="auto"/>
              <w:bottom w:val="single" w:sz="4" w:space="0" w:color="auto"/>
              <w:right w:val="single" w:sz="4" w:space="0" w:color="auto"/>
            </w:tcBorders>
            <w:shd w:val="clear" w:color="auto" w:fill="FDFBA9"/>
            <w:vAlign w:val="center"/>
          </w:tcPr>
          <w:p w:rsidR="005F2ACD" w:rsidRPr="0043547B" w:rsidRDefault="005F2ACD" w:rsidP="00865CCD">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DFBA9"/>
            <w:vAlign w:val="center"/>
          </w:tcPr>
          <w:p w:rsidR="005F2ACD" w:rsidRPr="00951C84" w:rsidRDefault="005F2ACD" w:rsidP="00865CCD">
            <w:pPr>
              <w:spacing w:after="0" w:line="240" w:lineRule="auto"/>
              <w:jc w:val="center"/>
              <w:rPr>
                <w:rFonts w:cstheme="minorHAnsi"/>
                <w:b/>
                <w:bCs/>
                <w:sz w:val="24"/>
                <w:szCs w:val="24"/>
              </w:rPr>
            </w:pPr>
            <w:r w:rsidRPr="00951C84">
              <w:rPr>
                <w:rFonts w:cstheme="minorHAnsi"/>
                <w:b/>
                <w:bCs/>
                <w:sz w:val="24"/>
                <w:szCs w:val="24"/>
              </w:rPr>
              <w:t>EN 14506</w:t>
            </w:r>
          </w:p>
        </w:tc>
      </w:tr>
      <w:tr w:rsidR="0043547B" w:rsidRPr="0043547B" w:rsidTr="00CB5DC0">
        <w:trPr>
          <w:trHeight w:val="162"/>
          <w:jc w:val="center"/>
        </w:trPr>
        <w:tc>
          <w:tcPr>
            <w:tcW w:w="1838" w:type="dxa"/>
            <w:tcBorders>
              <w:top w:val="single" w:sz="4" w:space="0" w:color="auto"/>
              <w:left w:val="single" w:sz="18" w:space="0" w:color="auto"/>
              <w:bottom w:val="single" w:sz="4" w:space="0" w:color="auto"/>
              <w:right w:val="single" w:sz="4" w:space="0" w:color="auto"/>
            </w:tcBorders>
            <w:shd w:val="clear" w:color="auto" w:fill="95B3D7" w:themeFill="accent1" w:themeFillTint="99"/>
            <w:vAlign w:val="center"/>
          </w:tcPr>
          <w:p w:rsidR="005F2ACD" w:rsidRPr="0043547B" w:rsidRDefault="005F2ACD" w:rsidP="00865CCD">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auto"/>
          </w:tcPr>
          <w:p w:rsidR="005F2ACD" w:rsidRPr="0043547B" w:rsidRDefault="005F2ACD" w:rsidP="00865CCD">
            <w:pPr>
              <w:spacing w:after="0" w:line="240" w:lineRule="auto"/>
              <w:rPr>
                <w:rFonts w:cstheme="minorHAnsi"/>
                <w:sz w:val="24"/>
                <w:szCs w:val="24"/>
              </w:rPr>
            </w:pPr>
            <w:r w:rsidRPr="0043547B">
              <w:rPr>
                <w:rFonts w:cstheme="minorHAnsi"/>
                <w:sz w:val="24"/>
                <w:szCs w:val="24"/>
              </w:rPr>
              <w:t xml:space="preserve">Dispositifs de protection contre la pollution de l'eau potable par retour - Inverseur à retour automatique - Famille H, type C   </w:t>
            </w:r>
          </w:p>
        </w:tc>
      </w:tr>
      <w:tr w:rsidR="0043547B" w:rsidRPr="0043547B" w:rsidTr="00CB5DC0">
        <w:trPr>
          <w:trHeight w:val="701"/>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5F2ACD" w:rsidRPr="0043547B" w:rsidRDefault="005F2ACD" w:rsidP="00865CCD">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tcPr>
          <w:p w:rsidR="00865CCD" w:rsidRDefault="005F2ACD" w:rsidP="00865CCD">
            <w:pPr>
              <w:spacing w:after="0" w:line="240" w:lineRule="auto"/>
              <w:jc w:val="both"/>
              <w:rPr>
                <w:rFonts w:cstheme="minorHAnsi"/>
                <w:sz w:val="24"/>
                <w:szCs w:val="24"/>
              </w:rPr>
            </w:pPr>
            <w:r w:rsidRPr="0043547B">
              <w:rPr>
                <w:rFonts w:cstheme="minorHAnsi"/>
                <w:sz w:val="24"/>
                <w:szCs w:val="24"/>
              </w:rPr>
              <w:t>Le présent document spécifie :</w:t>
            </w:r>
          </w:p>
          <w:p w:rsidR="00865CCD" w:rsidRPr="00865CCD" w:rsidRDefault="005F2ACD" w:rsidP="00865CCD">
            <w:pPr>
              <w:spacing w:after="0" w:line="240" w:lineRule="auto"/>
              <w:rPr>
                <w:rFonts w:cstheme="minorHAnsi"/>
                <w:sz w:val="2"/>
                <w:szCs w:val="2"/>
              </w:rPr>
            </w:pPr>
            <w:r w:rsidRPr="0043547B">
              <w:rPr>
                <w:rFonts w:cstheme="minorHAnsi"/>
                <w:sz w:val="24"/>
                <w:szCs w:val="24"/>
              </w:rPr>
              <w:t>a) le domaine d'application ;</w:t>
            </w:r>
            <w:r w:rsidRPr="0043547B">
              <w:rPr>
                <w:rFonts w:cstheme="minorHAnsi"/>
                <w:sz w:val="24"/>
                <w:szCs w:val="24"/>
              </w:rPr>
              <w:br/>
              <w:t>b) les exigences s’appliquant aux inverseurs à retour automatique ;</w:t>
            </w:r>
            <w:r w:rsidRPr="0043547B">
              <w:rPr>
                <w:rFonts w:cstheme="minorHAnsi"/>
                <w:sz w:val="24"/>
                <w:szCs w:val="24"/>
              </w:rPr>
              <w:br/>
              <w:t>c) les caractéristiques dimensionnelles, physico-chimiques, de conception générale, hydrauliques, mécaniques</w:t>
            </w:r>
            <w:r w:rsidR="007F63D3">
              <w:rPr>
                <w:rFonts w:cstheme="minorHAnsi"/>
                <w:sz w:val="24"/>
                <w:szCs w:val="24"/>
              </w:rPr>
              <w:t xml:space="preserve"> </w:t>
            </w:r>
            <w:r w:rsidRPr="0043547B">
              <w:rPr>
                <w:rFonts w:cstheme="minorHAnsi"/>
                <w:sz w:val="24"/>
                <w:szCs w:val="24"/>
              </w:rPr>
              <w:t>et acoustiques de l’inverseur à retour automatique ;</w:t>
            </w:r>
            <w:r w:rsidRPr="0043547B">
              <w:rPr>
                <w:rFonts w:cstheme="minorHAnsi"/>
                <w:sz w:val="24"/>
                <w:szCs w:val="24"/>
              </w:rPr>
              <w:br/>
              <w:t>d) les méthodes d’essai et les exigences permettant de vérifier leurs caractéristiques. Pour la robinetterie</w:t>
            </w:r>
            <w:r w:rsidR="007F63D3">
              <w:rPr>
                <w:rFonts w:cstheme="minorHAnsi"/>
                <w:sz w:val="24"/>
                <w:szCs w:val="24"/>
              </w:rPr>
              <w:t xml:space="preserve"> </w:t>
            </w:r>
            <w:r w:rsidRPr="0043547B">
              <w:rPr>
                <w:rFonts w:cstheme="minorHAnsi"/>
                <w:sz w:val="24"/>
                <w:szCs w:val="24"/>
              </w:rPr>
              <w:t>sanitaire, (voir chapitre 2) avec dispositif intégré, l’inverseur à retour automatique est à considérer comme un</w:t>
            </w:r>
            <w:r w:rsidRPr="0043547B">
              <w:rPr>
                <w:rFonts w:cstheme="minorHAnsi"/>
                <w:sz w:val="24"/>
                <w:szCs w:val="24"/>
              </w:rPr>
              <w:br/>
              <w:t>dispositif de protection contre les retours s’il a satisfait aux exigences du présent document et doit en plus</w:t>
            </w:r>
            <w:r w:rsidR="007F63D3">
              <w:rPr>
                <w:rFonts w:cstheme="minorHAnsi"/>
                <w:sz w:val="24"/>
                <w:szCs w:val="24"/>
              </w:rPr>
              <w:t xml:space="preserve"> </w:t>
            </w:r>
            <w:r w:rsidRPr="0043547B">
              <w:rPr>
                <w:rFonts w:cstheme="minorHAnsi"/>
                <w:sz w:val="24"/>
                <w:szCs w:val="24"/>
              </w:rPr>
              <w:t>satisfaire les exigences de la norme de produit s’appliquant au robinet simple ou aux mitigeurs ;</w:t>
            </w:r>
            <w:r w:rsidRPr="0043547B">
              <w:rPr>
                <w:rFonts w:cstheme="minorHAnsi"/>
                <w:sz w:val="24"/>
                <w:szCs w:val="24"/>
              </w:rPr>
              <w:br/>
              <w:t>e) marquage et présentation ;</w:t>
            </w:r>
            <w:r w:rsidRPr="0043547B">
              <w:rPr>
                <w:rFonts w:cstheme="minorHAnsi"/>
                <w:sz w:val="24"/>
                <w:szCs w:val="24"/>
              </w:rPr>
              <w:br/>
              <w:t>f) acoustique.</w:t>
            </w:r>
            <w:r w:rsidRPr="0043547B">
              <w:rPr>
                <w:rFonts w:cstheme="minorHAnsi"/>
                <w:sz w:val="24"/>
                <w:szCs w:val="24"/>
              </w:rPr>
              <w:br/>
            </w:r>
          </w:p>
          <w:p w:rsidR="00865CCD" w:rsidRDefault="005F2ACD" w:rsidP="00865CCD">
            <w:pPr>
              <w:spacing w:after="0" w:line="240" w:lineRule="auto"/>
              <w:jc w:val="both"/>
              <w:rPr>
                <w:rFonts w:cstheme="minorHAnsi"/>
                <w:sz w:val="24"/>
                <w:szCs w:val="24"/>
              </w:rPr>
            </w:pPr>
            <w:r w:rsidRPr="0043547B">
              <w:rPr>
                <w:rFonts w:cstheme="minorHAnsi"/>
                <w:sz w:val="24"/>
                <w:szCs w:val="24"/>
              </w:rPr>
              <w:t>La présente norme spécifie les caractéristiques des inverseurs à retour automatique dont l’usage est approprié</w:t>
            </w:r>
            <w:r w:rsidR="007F63D3">
              <w:rPr>
                <w:rFonts w:cstheme="minorHAnsi"/>
                <w:sz w:val="24"/>
                <w:szCs w:val="24"/>
              </w:rPr>
              <w:t xml:space="preserve"> </w:t>
            </w:r>
            <w:r w:rsidRPr="0043547B">
              <w:rPr>
                <w:rFonts w:cstheme="minorHAnsi"/>
                <w:sz w:val="24"/>
                <w:szCs w:val="24"/>
              </w:rPr>
              <w:t>dans des systèmes d’eau potable à des pressions ne dépassant pas 1 kPa (10 bar) et des températures ne dépassant</w:t>
            </w:r>
            <w:r w:rsidRPr="0043547B">
              <w:rPr>
                <w:rFonts w:cstheme="minorHAnsi"/>
                <w:sz w:val="24"/>
                <w:szCs w:val="24"/>
              </w:rPr>
              <w:br/>
              <w:t>pas 65 °C et pendant 1 h à 90 °C. Ils sont conçus pour une installation sans dispositif de fermeture en aval.</w:t>
            </w:r>
          </w:p>
          <w:p w:rsidR="00865CCD" w:rsidRDefault="005F2ACD" w:rsidP="00865CCD">
            <w:pPr>
              <w:spacing w:after="0" w:line="240" w:lineRule="auto"/>
              <w:jc w:val="both"/>
              <w:rPr>
                <w:rFonts w:cstheme="minorHAnsi"/>
                <w:sz w:val="24"/>
                <w:szCs w:val="24"/>
              </w:rPr>
            </w:pPr>
            <w:r w:rsidRPr="0043547B">
              <w:rPr>
                <w:rFonts w:cstheme="minorHAnsi"/>
                <w:sz w:val="24"/>
                <w:szCs w:val="24"/>
              </w:rPr>
              <w:t>Le présent document est applicable aux types de produit suivants :</w:t>
            </w:r>
          </w:p>
          <w:p w:rsidR="005F2ACD" w:rsidRPr="0043547B" w:rsidRDefault="005F2ACD" w:rsidP="00865CCD">
            <w:pPr>
              <w:spacing w:after="0" w:line="240" w:lineRule="auto"/>
              <w:rPr>
                <w:rFonts w:cstheme="minorHAnsi"/>
                <w:sz w:val="24"/>
                <w:szCs w:val="24"/>
              </w:rPr>
            </w:pPr>
            <w:r w:rsidRPr="0043547B">
              <w:rPr>
                <w:rFonts w:cstheme="minorHAnsi"/>
                <w:sz w:val="24"/>
                <w:szCs w:val="24"/>
              </w:rPr>
              <w:t>i) produit intégré dans le bec déverseur (sortie) ;</w:t>
            </w:r>
            <w:r w:rsidRPr="0043547B">
              <w:rPr>
                <w:rFonts w:cstheme="minorHAnsi"/>
                <w:sz w:val="24"/>
                <w:szCs w:val="24"/>
              </w:rPr>
              <w:br/>
              <w:t>ii) produit intégré dans le corps de mélange ;</w:t>
            </w:r>
            <w:r w:rsidRPr="0043547B">
              <w:rPr>
                <w:rFonts w:cstheme="minorHAnsi"/>
                <w:sz w:val="24"/>
                <w:szCs w:val="24"/>
              </w:rPr>
              <w:br/>
              <w:t>iii) produit non intégré (composant d’un ensemble) au-dessus du niveau d’eau maximum.</w:t>
            </w:r>
            <w:r w:rsidRPr="0043547B">
              <w:rPr>
                <w:rFonts w:cstheme="minorHAnsi"/>
                <w:sz w:val="24"/>
                <w:szCs w:val="24"/>
              </w:rPr>
              <w:br/>
              <w:t>Ce document n’est pas applicable au type de produit non intégré en deçà du niveau d’eau maximum.</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ISO 6002</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ISO 6002</w:t>
            </w:r>
          </w:p>
        </w:tc>
      </w:tr>
      <w:tr w:rsidR="0043547B" w:rsidRPr="0043547B" w:rsidTr="00CB5DC0">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Robinets-vannes en acier à chapeau boulonné </w:t>
            </w:r>
          </w:p>
        </w:tc>
      </w:tr>
      <w:tr w:rsidR="0043547B" w:rsidRPr="0043547B" w:rsidTr="003941F0">
        <w:trPr>
          <w:trHeight w:val="699"/>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prescrit les caractéristiques des robinets-vannes en acier à chapeau boulonné présentant les éléments de construction suivants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chapeau boulonné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tige montante à filetage extérieur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filetage intérieur (variante pour PN 10, PN 16, PN 20, PN 25 et PN 40 uniquement)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obturateur simple ou double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sièges obliques ou parallèles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avec ou sans obturateur non métallique ou portées d’étanchéité sur siège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extrémités à brides ou à souder en bout.</w:t>
            </w:r>
          </w:p>
          <w:p w:rsidR="00904E52" w:rsidRPr="0043547B" w:rsidRDefault="00904E52" w:rsidP="007F63D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Elle traite des robinets-vannes aux diamètres nominaux DN 10; 15; 20: 25; 32; 40; 50; 65; 80; 100; 125; 150; 200; 250; 300; 350; 400; 450; 500; 600; 700; 800; </w:t>
            </w:r>
            <w:r w:rsidRPr="0043547B">
              <w:rPr>
                <w:rFonts w:eastAsia="Times New Roman" w:cstheme="minorHAnsi"/>
                <w:sz w:val="24"/>
                <w:szCs w:val="24"/>
                <w:lang w:eastAsia="fr-FR"/>
              </w:rPr>
              <w:lastRenderedPageBreak/>
              <w:t>900; 1 000,</w:t>
            </w:r>
            <w:r w:rsidR="007F63D3">
              <w:rPr>
                <w:rFonts w:eastAsia="Times New Roman" w:cstheme="minorHAnsi"/>
                <w:sz w:val="24"/>
                <w:szCs w:val="24"/>
                <w:lang w:eastAsia="fr-FR"/>
              </w:rPr>
              <w:t xml:space="preserve"> </w:t>
            </w:r>
            <w:r w:rsidRPr="0043547B">
              <w:rPr>
                <w:rFonts w:eastAsia="Times New Roman" w:cstheme="minorHAnsi"/>
                <w:sz w:val="24"/>
                <w:szCs w:val="24"/>
                <w:lang w:eastAsia="fr-FR"/>
              </w:rPr>
              <w:t>et s’applique aux robinets-vannes de pressions nominales PN 10; 16; 20; 25; 40; 50; 100.</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10.4.035</w:t>
            </w:r>
          </w:p>
        </w:tc>
      </w:tr>
      <w:tr w:rsidR="0043547B" w:rsidRPr="0043547B" w:rsidTr="00CB5DC0">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Robinets - Vannes en fonte </w:t>
            </w:r>
          </w:p>
        </w:tc>
      </w:tr>
      <w:tr w:rsidR="0043547B" w:rsidRPr="0043547B" w:rsidTr="00CB5DC0">
        <w:trPr>
          <w:trHeight w:val="1706"/>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 La norme traite de robinets-vannes de DN suivants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40; 50; 65; 80; 100; 125; 150; 200; 250; 300; 350; 400; 450; 500 (550); 600 (650); 700; 750; 800; 900; 1000.</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 Elle est applicable aux robinets-vannes de pressions nominales, en ISO PN suivants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- 1 ; 1,6 ; 2,5 ; 4 ; 6 et 10 en série isomorphe en fonte à graphite lamellaire, et</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- 10 ; 16 ; 20 et 50 en fonte à graphite lamellaire, et</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- 10 ; 16 ; 20 ; 25 ; 40 et 50 en fonte à graphite sphéroïdal.</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5F2ACD" w:rsidRPr="0043547B" w:rsidRDefault="005F2ACD" w:rsidP="00865CCD">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hideMark/>
          </w:tcPr>
          <w:p w:rsidR="005F2ACD" w:rsidRPr="00951C84" w:rsidRDefault="005F2ACD" w:rsidP="00865CCD">
            <w:pPr>
              <w:spacing w:after="0" w:line="240" w:lineRule="auto"/>
              <w:jc w:val="center"/>
              <w:rPr>
                <w:rFonts w:cstheme="minorHAnsi"/>
                <w:b/>
                <w:bCs/>
                <w:sz w:val="24"/>
                <w:szCs w:val="24"/>
              </w:rPr>
            </w:pPr>
            <w:r w:rsidRPr="00951C84">
              <w:rPr>
                <w:rFonts w:cstheme="minorHAnsi"/>
                <w:b/>
                <w:bCs/>
                <w:sz w:val="24"/>
                <w:szCs w:val="24"/>
              </w:rPr>
              <w:t>NM EN 248</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DFBA9"/>
            <w:vAlign w:val="center"/>
          </w:tcPr>
          <w:p w:rsidR="005F2ACD" w:rsidRPr="0043547B" w:rsidRDefault="00951C84" w:rsidP="00865CCD">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DFBA9"/>
            <w:vAlign w:val="center"/>
          </w:tcPr>
          <w:p w:rsidR="005F2ACD" w:rsidRPr="00951C84" w:rsidRDefault="005F2ACD" w:rsidP="00865CCD">
            <w:pPr>
              <w:spacing w:after="0" w:line="240" w:lineRule="auto"/>
              <w:jc w:val="center"/>
              <w:rPr>
                <w:rFonts w:cstheme="minorHAnsi"/>
                <w:b/>
                <w:bCs/>
                <w:sz w:val="24"/>
                <w:szCs w:val="24"/>
              </w:rPr>
            </w:pPr>
            <w:r w:rsidRPr="00951C84">
              <w:rPr>
                <w:rFonts w:cstheme="minorHAnsi"/>
                <w:b/>
                <w:bCs/>
                <w:sz w:val="24"/>
                <w:szCs w:val="24"/>
              </w:rPr>
              <w:t>EN 248</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5F2ACD" w:rsidRPr="0043547B" w:rsidRDefault="005F2ACD" w:rsidP="00865CCD">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auto" w:fill="auto"/>
            <w:hideMark/>
          </w:tcPr>
          <w:p w:rsidR="005F2ACD" w:rsidRPr="0043547B" w:rsidRDefault="005F2ACD" w:rsidP="00865CCD">
            <w:pPr>
              <w:spacing w:after="0" w:line="240" w:lineRule="auto"/>
              <w:rPr>
                <w:rFonts w:cstheme="minorHAnsi"/>
                <w:sz w:val="24"/>
                <w:szCs w:val="24"/>
              </w:rPr>
            </w:pPr>
            <w:r w:rsidRPr="0043547B">
              <w:rPr>
                <w:rFonts w:cstheme="minorHAnsi"/>
                <w:sz w:val="24"/>
                <w:szCs w:val="24"/>
              </w:rPr>
              <w:t xml:space="preserve">Robinetterie sanitaire - Spécifications générales des revêtements électrolytiques de Ni-Cr </w:t>
            </w:r>
          </w:p>
        </w:tc>
      </w:tr>
      <w:tr w:rsidR="0043547B" w:rsidRPr="0043547B" w:rsidTr="00CB5DC0">
        <w:trPr>
          <w:trHeight w:val="50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5F2ACD" w:rsidRPr="0043547B" w:rsidRDefault="005F2ACD" w:rsidP="00865CCD">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hideMark/>
          </w:tcPr>
          <w:p w:rsidR="005F2ACD" w:rsidRPr="0043547B" w:rsidRDefault="005F2ACD" w:rsidP="00865CCD">
            <w:pPr>
              <w:spacing w:after="0" w:line="240" w:lineRule="auto"/>
              <w:rPr>
                <w:rFonts w:cstheme="minorHAnsi"/>
                <w:sz w:val="24"/>
                <w:szCs w:val="24"/>
              </w:rPr>
            </w:pPr>
            <w:r w:rsidRPr="0043547B">
              <w:rPr>
                <w:rFonts w:cstheme="minorHAnsi"/>
                <w:sz w:val="24"/>
                <w:szCs w:val="24"/>
              </w:rPr>
              <w:t>La présente Norme européenne spécifie :</w:t>
            </w:r>
            <w:r w:rsidRPr="0043547B">
              <w:rPr>
                <w:rFonts w:cstheme="minorHAnsi"/>
                <w:sz w:val="24"/>
                <w:szCs w:val="24"/>
              </w:rPr>
              <w:br/>
              <w:t>— l’état des surfaces apparentes des robinets ;</w:t>
            </w:r>
            <w:r w:rsidRPr="0043547B">
              <w:rPr>
                <w:rFonts w:cstheme="minorHAnsi"/>
                <w:sz w:val="24"/>
                <w:szCs w:val="24"/>
              </w:rPr>
              <w:br/>
              <w:t>— les caractéristiques (résistance à la corrosion, adhérence) du revêtement de surface ;</w:t>
            </w:r>
            <w:r w:rsidRPr="0043547B">
              <w:rPr>
                <w:rFonts w:cstheme="minorHAnsi"/>
                <w:sz w:val="24"/>
                <w:szCs w:val="24"/>
              </w:rPr>
              <w:br/>
              <w:t>— les essais permettant de contrôler ces caractéristiques.</w:t>
            </w:r>
            <w:r w:rsidRPr="0043547B">
              <w:rPr>
                <w:rFonts w:cstheme="minorHAnsi"/>
                <w:sz w:val="24"/>
                <w:szCs w:val="24"/>
              </w:rPr>
              <w:br/>
              <w:t>Elle s’applique à toutes les robinetteries sanitaires (alimentations ou vidage) ayant un revêtement métallique Ni-Cr, quelle que soit la nature du support.</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6D5F73" w:rsidRPr="0043547B" w:rsidRDefault="006D5F73" w:rsidP="00865CCD">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hideMark/>
          </w:tcPr>
          <w:p w:rsidR="006D5F73" w:rsidRPr="00951C84" w:rsidRDefault="006D5F73" w:rsidP="00865CCD">
            <w:pPr>
              <w:spacing w:after="0" w:line="240" w:lineRule="auto"/>
              <w:jc w:val="center"/>
              <w:rPr>
                <w:rFonts w:cstheme="minorHAnsi"/>
                <w:b/>
                <w:bCs/>
                <w:sz w:val="24"/>
                <w:szCs w:val="24"/>
              </w:rPr>
            </w:pPr>
            <w:r w:rsidRPr="00951C84">
              <w:rPr>
                <w:rFonts w:cstheme="minorHAnsi"/>
                <w:b/>
                <w:bCs/>
                <w:sz w:val="24"/>
                <w:szCs w:val="24"/>
              </w:rPr>
              <w:t>NM EN 246</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6D5F73" w:rsidRPr="0043547B" w:rsidRDefault="006D5F73" w:rsidP="00865CCD">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6D5F73" w:rsidRPr="00951C84" w:rsidRDefault="006D5F73" w:rsidP="00865CCD">
            <w:pPr>
              <w:spacing w:after="0" w:line="240" w:lineRule="auto"/>
              <w:jc w:val="center"/>
              <w:rPr>
                <w:rFonts w:cstheme="minorHAnsi"/>
                <w:b/>
                <w:bCs/>
                <w:sz w:val="24"/>
                <w:szCs w:val="24"/>
              </w:rPr>
            </w:pPr>
            <w:r w:rsidRPr="00951C84">
              <w:rPr>
                <w:rFonts w:cstheme="minorHAnsi"/>
                <w:b/>
                <w:bCs/>
                <w:sz w:val="24"/>
                <w:szCs w:val="24"/>
              </w:rPr>
              <w:t>EN 246</w:t>
            </w:r>
          </w:p>
        </w:tc>
      </w:tr>
      <w:tr w:rsidR="0043547B" w:rsidRPr="0043547B" w:rsidTr="00CB5DC0">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6D5F73" w:rsidRPr="0043547B" w:rsidRDefault="006D5F73" w:rsidP="00865CCD">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hideMark/>
          </w:tcPr>
          <w:p w:rsidR="006D5F73" w:rsidRPr="0043547B" w:rsidRDefault="006D5F73" w:rsidP="00865CCD">
            <w:pPr>
              <w:spacing w:after="0" w:line="240" w:lineRule="auto"/>
              <w:rPr>
                <w:rFonts w:cstheme="minorHAnsi"/>
                <w:sz w:val="24"/>
                <w:szCs w:val="24"/>
              </w:rPr>
            </w:pPr>
            <w:r w:rsidRPr="0043547B">
              <w:rPr>
                <w:rFonts w:cstheme="minorHAnsi"/>
                <w:sz w:val="24"/>
                <w:szCs w:val="24"/>
              </w:rPr>
              <w:t>Robinetterie sanitaire - Spécifications générales des régulateurs de jets</w:t>
            </w:r>
          </w:p>
        </w:tc>
      </w:tr>
      <w:tr w:rsidR="0043547B" w:rsidRPr="0043547B" w:rsidTr="00CB5DC0">
        <w:trPr>
          <w:trHeight w:val="65"/>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6D5F73" w:rsidRPr="0043547B" w:rsidRDefault="006D5F73" w:rsidP="00865CCD">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hideMark/>
          </w:tcPr>
          <w:p w:rsidR="007F63D3" w:rsidRDefault="006D5F73" w:rsidP="00865CCD">
            <w:pPr>
              <w:spacing w:after="0" w:line="240" w:lineRule="auto"/>
              <w:rPr>
                <w:rFonts w:cstheme="minorHAnsi"/>
                <w:sz w:val="24"/>
                <w:szCs w:val="24"/>
              </w:rPr>
            </w:pPr>
            <w:r w:rsidRPr="0043547B">
              <w:rPr>
                <w:rFonts w:cstheme="minorHAnsi"/>
                <w:sz w:val="24"/>
                <w:szCs w:val="24"/>
              </w:rPr>
              <w:t>La présente Norme européenne a pour objet de fixer :</w:t>
            </w:r>
            <w:r w:rsidRPr="0043547B">
              <w:rPr>
                <w:rFonts w:cstheme="minorHAnsi"/>
                <w:sz w:val="24"/>
                <w:szCs w:val="24"/>
              </w:rPr>
              <w:br/>
              <w:t>— les caractéristiques dimensionnelles, mécaniques, hydrauliques et acoustiques auxquelles doivent répondre</w:t>
            </w:r>
            <w:r w:rsidR="00951C84">
              <w:rPr>
                <w:rFonts w:cstheme="minorHAnsi"/>
                <w:sz w:val="24"/>
                <w:szCs w:val="24"/>
              </w:rPr>
              <w:t xml:space="preserve"> </w:t>
            </w:r>
            <w:r w:rsidRPr="0043547B">
              <w:rPr>
                <w:rFonts w:cstheme="minorHAnsi"/>
                <w:sz w:val="24"/>
                <w:szCs w:val="24"/>
              </w:rPr>
              <w:t>les régulateurs de jet ;</w:t>
            </w:r>
            <w:r w:rsidRPr="0043547B">
              <w:rPr>
                <w:rFonts w:cstheme="minorHAnsi"/>
                <w:sz w:val="24"/>
                <w:szCs w:val="24"/>
              </w:rPr>
              <w:br/>
              <w:t>— la technique des essais permettant de contrôler ces caractéristiques.</w:t>
            </w:r>
            <w:r w:rsidRPr="0043547B">
              <w:rPr>
                <w:rFonts w:cstheme="minorHAnsi"/>
                <w:sz w:val="24"/>
                <w:szCs w:val="24"/>
              </w:rPr>
              <w:br/>
              <w:t>Elle s’applique :</w:t>
            </w:r>
            <w:r w:rsidRPr="0043547B">
              <w:rPr>
                <w:rFonts w:cstheme="minorHAnsi"/>
                <w:sz w:val="24"/>
                <w:szCs w:val="24"/>
              </w:rPr>
              <w:br/>
              <w:t>— aux régulateurs de jet destinés à être montés sur les robinetteries équipant les appareils sanitaires installés</w:t>
            </w:r>
            <w:r w:rsidR="00951C84">
              <w:rPr>
                <w:rFonts w:cstheme="minorHAnsi"/>
                <w:sz w:val="24"/>
                <w:szCs w:val="24"/>
              </w:rPr>
              <w:t xml:space="preserve"> </w:t>
            </w:r>
            <w:r w:rsidRPr="0043547B">
              <w:rPr>
                <w:rFonts w:cstheme="minorHAnsi"/>
                <w:sz w:val="24"/>
                <w:szCs w:val="24"/>
              </w:rPr>
              <w:t>dans les toilettes, les salles d’eau et les cuisines (robinets simples, mélangeurs, mitigeurs thermostatiques,...) ;</w:t>
            </w:r>
            <w:r w:rsidRPr="0043547B">
              <w:rPr>
                <w:rFonts w:cstheme="minorHAnsi"/>
                <w:sz w:val="24"/>
                <w:szCs w:val="24"/>
              </w:rPr>
              <w:br/>
              <w:t xml:space="preserve">— aux régulateurs de jet utilisés dans les conditions de pression et de température suivantes :           </w:t>
            </w:r>
            <w:r w:rsidR="007F63D3">
              <w:rPr>
                <w:rFonts w:cstheme="minorHAnsi"/>
                <w:sz w:val="24"/>
                <w:szCs w:val="24"/>
              </w:rPr>
              <w:t xml:space="preserve">                               </w:t>
            </w:r>
          </w:p>
          <w:p w:rsidR="006D5F73" w:rsidRPr="0043547B" w:rsidRDefault="006D5F73" w:rsidP="00865CCD">
            <w:pPr>
              <w:spacing w:after="0" w:line="240" w:lineRule="auto"/>
              <w:rPr>
                <w:rFonts w:cstheme="minorHAnsi"/>
                <w:sz w:val="24"/>
                <w:szCs w:val="24"/>
              </w:rPr>
            </w:pPr>
            <w:r w:rsidRPr="0043547B">
              <w:rPr>
                <w:rFonts w:cstheme="minorHAnsi"/>
                <w:sz w:val="24"/>
                <w:szCs w:val="24"/>
              </w:rPr>
              <w:t xml:space="preserve">Tableau 1 — Conditions d’utilisation des régulateurs de jet            </w:t>
            </w:r>
            <w:r w:rsidRPr="0043547B">
              <w:rPr>
                <w:rFonts w:cstheme="minorHAnsi"/>
                <w:sz w:val="24"/>
                <w:szCs w:val="24"/>
              </w:rPr>
              <w:br/>
              <w:t>Les régulateurs de jet ne doivent être montés qu’à l’aval de l’obturateur de la robinetterie sanitaire</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6D5F73" w:rsidRPr="0043547B" w:rsidRDefault="006D5F73" w:rsidP="00865CCD">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hideMark/>
          </w:tcPr>
          <w:p w:rsidR="006D5F73" w:rsidRPr="00951C84" w:rsidRDefault="006D5F73" w:rsidP="00865CCD">
            <w:pPr>
              <w:spacing w:after="0" w:line="240" w:lineRule="auto"/>
              <w:jc w:val="center"/>
              <w:rPr>
                <w:rFonts w:cstheme="minorHAnsi"/>
                <w:b/>
                <w:bCs/>
                <w:sz w:val="24"/>
                <w:szCs w:val="24"/>
              </w:rPr>
            </w:pPr>
            <w:r w:rsidRPr="00951C84">
              <w:rPr>
                <w:rFonts w:cstheme="minorHAnsi"/>
                <w:b/>
                <w:bCs/>
                <w:sz w:val="24"/>
                <w:szCs w:val="24"/>
              </w:rPr>
              <w:t>NM EN 1287</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6D5F73" w:rsidRPr="0043547B" w:rsidRDefault="006D5F73" w:rsidP="00865CCD">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6D5F73" w:rsidRPr="00951C84" w:rsidRDefault="006D5F73" w:rsidP="00865CCD">
            <w:pPr>
              <w:spacing w:after="0" w:line="240" w:lineRule="auto"/>
              <w:jc w:val="center"/>
              <w:rPr>
                <w:rFonts w:cstheme="minorHAnsi"/>
                <w:b/>
                <w:bCs/>
                <w:sz w:val="24"/>
                <w:szCs w:val="24"/>
              </w:rPr>
            </w:pPr>
            <w:r w:rsidRPr="00951C84">
              <w:rPr>
                <w:rFonts w:cstheme="minorHAnsi"/>
                <w:b/>
                <w:bCs/>
                <w:sz w:val="24"/>
                <w:szCs w:val="24"/>
              </w:rPr>
              <w:t>EN 1287</w:t>
            </w:r>
          </w:p>
        </w:tc>
      </w:tr>
      <w:tr w:rsidR="0043547B" w:rsidRPr="0043547B" w:rsidTr="00CB5DC0">
        <w:trPr>
          <w:trHeight w:val="36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6D5F73" w:rsidRPr="0043547B" w:rsidRDefault="006D5F73" w:rsidP="00865CCD">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hideMark/>
          </w:tcPr>
          <w:p w:rsidR="006D5F73" w:rsidRPr="0043547B" w:rsidRDefault="006D5F73" w:rsidP="00865CCD">
            <w:pPr>
              <w:spacing w:after="0" w:line="240" w:lineRule="auto"/>
              <w:rPr>
                <w:rFonts w:cstheme="minorHAnsi"/>
                <w:sz w:val="24"/>
                <w:szCs w:val="24"/>
              </w:rPr>
            </w:pPr>
            <w:r w:rsidRPr="0043547B">
              <w:rPr>
                <w:rFonts w:cstheme="minorHAnsi"/>
                <w:sz w:val="24"/>
                <w:szCs w:val="24"/>
              </w:rPr>
              <w:t xml:space="preserve">Robinetterie sanitaire - Mitigeurs thermostatiques basse pression - Spécifications techniques générales </w:t>
            </w:r>
          </w:p>
        </w:tc>
      </w:tr>
      <w:tr w:rsidR="0043547B" w:rsidRPr="0043547B" w:rsidTr="00CB5DC0">
        <w:trPr>
          <w:trHeight w:val="5038"/>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6D5F73" w:rsidRPr="0043547B" w:rsidRDefault="006D5F73" w:rsidP="00865CCD">
            <w:pPr>
              <w:spacing w:after="0" w:line="240" w:lineRule="auto"/>
              <w:jc w:val="center"/>
              <w:rPr>
                <w:rFonts w:cstheme="minorHAnsi"/>
                <w:b/>
                <w:bCs/>
                <w:sz w:val="24"/>
                <w:szCs w:val="24"/>
              </w:rPr>
            </w:pPr>
            <w:r w:rsidRPr="0043547B">
              <w:rPr>
                <w:rFonts w:cstheme="minorHAnsi"/>
                <w:b/>
                <w:bCs/>
                <w:sz w:val="24"/>
                <w:szCs w:val="24"/>
              </w:rPr>
              <w:lastRenderedPageBreak/>
              <w:t>Domaine d’application :</w:t>
            </w:r>
          </w:p>
        </w:tc>
        <w:tc>
          <w:tcPr>
            <w:tcW w:w="7938" w:type="dxa"/>
            <w:tcBorders>
              <w:left w:val="single" w:sz="4" w:space="0" w:color="auto"/>
              <w:bottom w:val="single" w:sz="18" w:space="0" w:color="auto"/>
              <w:right w:val="single" w:sz="18" w:space="0" w:color="auto"/>
            </w:tcBorders>
            <w:shd w:val="clear" w:color="auto" w:fill="auto"/>
            <w:hideMark/>
          </w:tcPr>
          <w:p w:rsidR="00865CCD" w:rsidRDefault="006D5F73" w:rsidP="00865CCD">
            <w:pPr>
              <w:spacing w:after="0" w:line="240" w:lineRule="auto"/>
              <w:jc w:val="both"/>
              <w:rPr>
                <w:rFonts w:cstheme="minorHAnsi"/>
                <w:sz w:val="24"/>
                <w:szCs w:val="24"/>
              </w:rPr>
            </w:pPr>
            <w:r w:rsidRPr="0043547B">
              <w:rPr>
                <w:rFonts w:cstheme="minorHAnsi"/>
                <w:sz w:val="24"/>
                <w:szCs w:val="24"/>
              </w:rPr>
              <w:t>La présente Norme européenne spécifie des exigences générales relatives à la construction, aux</w:t>
            </w:r>
            <w:r w:rsidR="00951C84">
              <w:rPr>
                <w:rFonts w:cstheme="minorHAnsi"/>
                <w:sz w:val="24"/>
                <w:szCs w:val="24"/>
              </w:rPr>
              <w:t xml:space="preserve"> </w:t>
            </w:r>
            <w:r w:rsidRPr="0043547B">
              <w:rPr>
                <w:rFonts w:cstheme="minorHAnsi"/>
                <w:sz w:val="24"/>
                <w:szCs w:val="24"/>
              </w:rPr>
              <w:t>performances et aux matériaux applicables aux mitigeurs thermostatiques PN 10 et comprend des</w:t>
            </w:r>
            <w:r w:rsidR="00951C84">
              <w:rPr>
                <w:rFonts w:cstheme="minorHAnsi"/>
                <w:sz w:val="24"/>
                <w:szCs w:val="24"/>
              </w:rPr>
              <w:t xml:space="preserve"> </w:t>
            </w:r>
            <w:r w:rsidRPr="0043547B">
              <w:rPr>
                <w:rFonts w:cstheme="minorHAnsi"/>
                <w:sz w:val="24"/>
                <w:szCs w:val="24"/>
              </w:rPr>
              <w:t>méthodes d’essai permettant de vérifier les performances en température d’eau mitigée au point</w:t>
            </w:r>
            <w:r w:rsidRPr="0043547B">
              <w:rPr>
                <w:rFonts w:cstheme="minorHAnsi"/>
                <w:sz w:val="24"/>
                <w:szCs w:val="24"/>
              </w:rPr>
              <w:br/>
              <w:t>d’utilisation inférieur à 45 °C. Ces méthodes n’excluent pas la sélection de températures supérieures, si</w:t>
            </w:r>
            <w:r w:rsidR="00951C84">
              <w:rPr>
                <w:rFonts w:cstheme="minorHAnsi"/>
                <w:sz w:val="24"/>
                <w:szCs w:val="24"/>
              </w:rPr>
              <w:t xml:space="preserve"> </w:t>
            </w:r>
            <w:r w:rsidRPr="0043547B">
              <w:rPr>
                <w:rFonts w:cstheme="minorHAnsi"/>
                <w:sz w:val="24"/>
                <w:szCs w:val="24"/>
              </w:rPr>
              <w:t>elles sont disponibles. Lorsque ces dispositifs sont utilisés pour assurer une protection contre les</w:t>
            </w:r>
            <w:r w:rsidR="00951C84">
              <w:rPr>
                <w:rFonts w:cstheme="minorHAnsi"/>
                <w:sz w:val="24"/>
                <w:szCs w:val="24"/>
              </w:rPr>
              <w:t xml:space="preserve"> </w:t>
            </w:r>
            <w:r w:rsidRPr="0043547B">
              <w:rPr>
                <w:rFonts w:cstheme="minorHAnsi"/>
                <w:sz w:val="24"/>
                <w:szCs w:val="24"/>
              </w:rPr>
              <w:t>brûlures pour les enfants, les personnes âgées et les personnes présentant un handicap, la température</w:t>
            </w:r>
            <w:r w:rsidRPr="0043547B">
              <w:rPr>
                <w:rFonts w:cstheme="minorHAnsi"/>
                <w:sz w:val="24"/>
                <w:szCs w:val="24"/>
              </w:rPr>
              <w:br/>
              <w:t>de l’eau mitigée doit être réglée à une température de baignade appropriée (température du</w:t>
            </w:r>
            <w:r w:rsidR="00951C84">
              <w:rPr>
                <w:rFonts w:cstheme="minorHAnsi"/>
                <w:sz w:val="24"/>
                <w:szCs w:val="24"/>
              </w:rPr>
              <w:t xml:space="preserve"> </w:t>
            </w:r>
            <w:r w:rsidRPr="0043547B">
              <w:rPr>
                <w:rFonts w:cstheme="minorHAnsi"/>
                <w:sz w:val="24"/>
                <w:szCs w:val="24"/>
              </w:rPr>
              <w:t>corps : 38 °C), car les enfants sont exposés à un risque de brûlure à des températures plus basses que les</w:t>
            </w:r>
            <w:r w:rsidR="00951C84">
              <w:rPr>
                <w:rFonts w:cstheme="minorHAnsi"/>
                <w:sz w:val="24"/>
                <w:szCs w:val="24"/>
              </w:rPr>
              <w:t xml:space="preserve"> </w:t>
            </w:r>
            <w:r w:rsidRPr="0043547B">
              <w:rPr>
                <w:rFonts w:cstheme="minorHAnsi"/>
                <w:sz w:val="24"/>
                <w:szCs w:val="24"/>
              </w:rPr>
              <w:t>adultes. Cela ne dispense pas de surveiller les enfants en bas âge pendant le bain.</w:t>
            </w:r>
          </w:p>
          <w:p w:rsidR="00865CCD" w:rsidRDefault="006D5F73" w:rsidP="00865CCD">
            <w:pPr>
              <w:spacing w:after="0" w:line="240" w:lineRule="auto"/>
              <w:jc w:val="both"/>
              <w:rPr>
                <w:rFonts w:cstheme="minorHAnsi"/>
                <w:sz w:val="24"/>
                <w:szCs w:val="24"/>
              </w:rPr>
            </w:pPr>
            <w:r w:rsidRPr="0043547B">
              <w:rPr>
                <w:rFonts w:cstheme="minorHAnsi"/>
                <w:sz w:val="24"/>
                <w:szCs w:val="24"/>
              </w:rPr>
              <w:t>La présente norme s’applique aux mitigeurs destinés à l’équipement des appareils sanitaires installés</w:t>
            </w:r>
            <w:r w:rsidR="00951C84">
              <w:rPr>
                <w:rFonts w:cstheme="minorHAnsi"/>
                <w:sz w:val="24"/>
                <w:szCs w:val="24"/>
              </w:rPr>
              <w:t xml:space="preserve"> </w:t>
            </w:r>
            <w:r w:rsidRPr="0043547B">
              <w:rPr>
                <w:rFonts w:cstheme="minorHAnsi"/>
                <w:sz w:val="24"/>
                <w:szCs w:val="24"/>
              </w:rPr>
              <w:t>dans les cuisines, les locaux d’hygiène corporelle (y compris tous les locaux équipés de robinetteries</w:t>
            </w:r>
            <w:r w:rsidR="00865CCD">
              <w:rPr>
                <w:rFonts w:cstheme="minorHAnsi"/>
                <w:sz w:val="24"/>
                <w:szCs w:val="24"/>
              </w:rPr>
              <w:t xml:space="preserve"> </w:t>
            </w:r>
            <w:r w:rsidRPr="0043547B">
              <w:rPr>
                <w:rFonts w:cstheme="minorHAnsi"/>
                <w:sz w:val="24"/>
                <w:szCs w:val="24"/>
              </w:rPr>
              <w:t>sanitaires, par exemple les toilettes et les vestiaires) et les salles de bains, et utilisés dans les conditions</w:t>
            </w:r>
            <w:r w:rsidR="00951C84">
              <w:rPr>
                <w:rFonts w:cstheme="minorHAnsi"/>
                <w:sz w:val="24"/>
                <w:szCs w:val="24"/>
              </w:rPr>
              <w:t xml:space="preserve"> </w:t>
            </w:r>
            <w:r w:rsidRPr="0043547B">
              <w:rPr>
                <w:rFonts w:cstheme="minorHAnsi"/>
                <w:sz w:val="24"/>
                <w:szCs w:val="24"/>
              </w:rPr>
              <w:t>spécifiées dans le Tableau 1.</w:t>
            </w:r>
          </w:p>
          <w:p w:rsidR="00865CCD" w:rsidRDefault="006D5F73" w:rsidP="00865CCD">
            <w:pPr>
              <w:spacing w:after="0" w:line="240" w:lineRule="auto"/>
              <w:jc w:val="both"/>
              <w:rPr>
                <w:rFonts w:cstheme="minorHAnsi"/>
                <w:sz w:val="24"/>
                <w:szCs w:val="24"/>
              </w:rPr>
            </w:pPr>
            <w:r w:rsidRPr="0043547B">
              <w:rPr>
                <w:rFonts w:cstheme="minorHAnsi"/>
                <w:sz w:val="24"/>
                <w:szCs w:val="24"/>
              </w:rPr>
              <w:t>La présente norme traite des mitigeurs thermostatiques avec une seule sortie ou un petit nombre de</w:t>
            </w:r>
            <w:r w:rsidR="00951C84">
              <w:rPr>
                <w:rFonts w:cstheme="minorHAnsi"/>
                <w:sz w:val="24"/>
                <w:szCs w:val="24"/>
              </w:rPr>
              <w:t xml:space="preserve"> </w:t>
            </w:r>
            <w:r w:rsidRPr="0043547B">
              <w:rPr>
                <w:rFonts w:cstheme="minorHAnsi"/>
                <w:sz w:val="24"/>
                <w:szCs w:val="24"/>
              </w:rPr>
              <w:t>points de puisage, qui sont destinés à une utilisation « domestique » (par exemple, un mitigeur alimentant</w:t>
            </w:r>
            <w:r w:rsidR="00951C84">
              <w:rPr>
                <w:rFonts w:cstheme="minorHAnsi"/>
                <w:sz w:val="24"/>
                <w:szCs w:val="24"/>
              </w:rPr>
              <w:t xml:space="preserve"> </w:t>
            </w:r>
            <w:r w:rsidRPr="0043547B">
              <w:rPr>
                <w:rFonts w:cstheme="minorHAnsi"/>
                <w:sz w:val="24"/>
                <w:szCs w:val="24"/>
              </w:rPr>
              <w:t>une douche, une baignoire, un lavabo et/ou un bidet). Sont exclus les mitigeurs spécialement conçus pour</w:t>
            </w:r>
            <w:r w:rsidRPr="0043547B">
              <w:rPr>
                <w:rFonts w:cstheme="minorHAnsi"/>
                <w:sz w:val="24"/>
                <w:szCs w:val="24"/>
              </w:rPr>
              <w:br/>
              <w:t>alimenter un grand nombre de sorties (par exemple, pour une utilisation dans une collectivité).</w:t>
            </w:r>
          </w:p>
          <w:p w:rsidR="006D5F73" w:rsidRPr="0043547B" w:rsidRDefault="006D5F73" w:rsidP="00865CCD">
            <w:pPr>
              <w:spacing w:after="0" w:line="240" w:lineRule="auto"/>
              <w:jc w:val="both"/>
              <w:rPr>
                <w:rFonts w:cstheme="minorHAnsi"/>
                <w:sz w:val="24"/>
                <w:szCs w:val="24"/>
              </w:rPr>
            </w:pPr>
            <w:r w:rsidRPr="0043547B">
              <w:rPr>
                <w:rFonts w:cstheme="minorHAnsi"/>
                <w:sz w:val="24"/>
                <w:szCs w:val="24"/>
              </w:rPr>
              <w:t>Les essais décrits ci-après sont des essais de type (essais en laboratoire) et non des essais de contrôle</w:t>
            </w:r>
            <w:r w:rsidR="00951C84">
              <w:rPr>
                <w:rFonts w:cstheme="minorHAnsi"/>
                <w:sz w:val="24"/>
                <w:szCs w:val="24"/>
              </w:rPr>
              <w:t xml:space="preserve"> </w:t>
            </w:r>
            <w:r w:rsidRPr="0043547B">
              <w:rPr>
                <w:rFonts w:cstheme="minorHAnsi"/>
                <w:sz w:val="24"/>
                <w:szCs w:val="24"/>
              </w:rPr>
              <w:t>qualité effectués en cours de fabrication.</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10.4.050</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Appareils sanitaires - Spécification des matériaux utilisables </w:t>
            </w:r>
          </w:p>
        </w:tc>
      </w:tr>
      <w:tr w:rsidR="0043547B" w:rsidRPr="0043547B" w:rsidTr="00CB5DC0">
        <w:trPr>
          <w:trHeight w:val="1089"/>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a pour objet de définir les caractéristiques des matériaux utilisés dans la construction des appareils sanitaires et d'en fixer les spécifications.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vise les céramiques sanitaires émaillées, l'acier émaillé, la fonte émaillée et l'acier inoxydable, destinés à un usage domestique.</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10.4.052</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Appareils sanitaires - Baignoires en fonte émaillées </w:t>
            </w:r>
          </w:p>
        </w:tc>
      </w:tr>
      <w:tr w:rsidR="0043547B" w:rsidRPr="0043547B" w:rsidTr="00CB5DC0">
        <w:trPr>
          <w:trHeight w:val="60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aux baignoires en fonte émaillée, quelques soient leurs dimensions ou leurs particularités (appareils spéciaux), limités à un usage domestique.</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10.4.053</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Appareils sanitaires - Eviers </w:t>
            </w:r>
          </w:p>
        </w:tc>
      </w:tr>
      <w:tr w:rsidR="0043547B" w:rsidRPr="0043547B" w:rsidTr="00CB5DC0">
        <w:trPr>
          <w:trHeight w:val="1712"/>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a pour objet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de préciser la nature des matériaux utilisés, l'état de surface, les principes de conception des éviers.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de fixer les caractéristiques dimensionnelles (côtes d'encombrement, de raccordement) et d'aptitude à l’emploi.</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aux éviers en céramique sanitaire, en acier émaillé et en acier inoxydable destinés à un usage domestique.</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10.4.054</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Appareils sanitaires – Lavabos en céramique sanitaire </w:t>
            </w:r>
          </w:p>
        </w:tc>
      </w:tr>
      <w:tr w:rsidR="0043547B" w:rsidRPr="0043547B" w:rsidTr="00CB5DC0">
        <w:trPr>
          <w:trHeight w:val="2745"/>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Domaine d’application :</w:t>
            </w:r>
          </w:p>
        </w:tc>
        <w:tc>
          <w:tcPr>
            <w:tcW w:w="7938" w:type="dxa"/>
            <w:tcBorders>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aux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lavabos suspendus,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lavabos posés sur colonne,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lavabos et vasques, semi-encastrés et encastrés,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lavabos posés sur meubles,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lavabos de grande dimension à 1 ou 2 cuves,</w:t>
            </w:r>
          </w:p>
          <w:p w:rsidR="00904E52" w:rsidRPr="0043547B" w:rsidRDefault="00904E52" w:rsidP="00951C84">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lavabos spéciaux (handicapés ...). Pour ce type de lavabos, les produits doivent être</w:t>
            </w:r>
            <w:r w:rsidR="00951C84">
              <w:rPr>
                <w:rFonts w:eastAsia="Times New Roman" w:cstheme="minorHAnsi"/>
                <w:sz w:val="24"/>
                <w:szCs w:val="24"/>
                <w:lang w:eastAsia="fr-FR"/>
              </w:rPr>
              <w:t xml:space="preserve"> </w:t>
            </w:r>
            <w:r w:rsidRPr="0043547B">
              <w:rPr>
                <w:rFonts w:eastAsia="Times New Roman" w:cstheme="minorHAnsi"/>
                <w:sz w:val="24"/>
                <w:szCs w:val="24"/>
                <w:lang w:eastAsia="fr-FR"/>
              </w:rPr>
              <w:t>conformes, lorsque les spécifications sont différentes, à la norme NM 10.4.207,</w:t>
            </w:r>
          </w:p>
          <w:p w:rsidR="00904E52" w:rsidRPr="0043547B" w:rsidRDefault="00904E52" w:rsidP="00951C84">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aux lave-mains et lavabos d'angle,</w:t>
            </w:r>
            <w:r w:rsidR="00951C84">
              <w:rPr>
                <w:rFonts w:eastAsia="Times New Roman" w:cstheme="minorHAnsi"/>
                <w:sz w:val="24"/>
                <w:szCs w:val="24"/>
                <w:lang w:eastAsia="fr-FR"/>
              </w:rPr>
              <w:t xml:space="preserve"> </w:t>
            </w:r>
            <w:r w:rsidRPr="0043547B">
              <w:rPr>
                <w:rFonts w:eastAsia="Times New Roman" w:cstheme="minorHAnsi"/>
                <w:sz w:val="24"/>
                <w:szCs w:val="24"/>
                <w:lang w:eastAsia="fr-FR"/>
              </w:rPr>
              <w:t>quelle que soit la composition de la céramique sanitaire utilisée pour leur fabrication.</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10.4.055</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Appareils sanitaires - Bidets </w:t>
            </w:r>
          </w:p>
        </w:tc>
      </w:tr>
      <w:tr w:rsidR="0043547B" w:rsidRPr="0043547B" w:rsidTr="00CB5DC0">
        <w:trPr>
          <w:trHeight w:val="362"/>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aux bidets suspendus et aux bidets sur pied limités à un usage domestique. Elle ne s'applique pas aux bidets à alimentation par gorge.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 matériau constitutif de l'appareil est une céramique sanitaire.</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10.4.056</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Appareils sanitaires – Cuvettes de WC – Matériaux et caractéristiques dimensionnelles </w:t>
            </w:r>
          </w:p>
        </w:tc>
      </w:tr>
      <w:tr w:rsidR="0043547B" w:rsidRPr="0043547B" w:rsidTr="00CB5DC0">
        <w:trPr>
          <w:trHeight w:val="58"/>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aux cuvettes sur pied à réservoir attenant à chasse directe, aux cuvettes sur pied à alimentation indépendante à chasse directe, aux cuvettes suspendues à chasse directe à réservoir attenant ou à alimentation indépendante et aux cuvettes monobloc à chasse directe ; le matériau constitutif de l'appareil est une céramique sanitaire.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Ces cuvettes de WC sont destinées à un usage domestique.</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10.4.057</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Baignoires avec système de brassage d’eau - Caractéristiques </w:t>
            </w:r>
          </w:p>
        </w:tc>
      </w:tr>
      <w:tr w:rsidR="0043547B" w:rsidRPr="0043547B" w:rsidTr="00CB5DC0">
        <w:trPr>
          <w:trHeight w:val="843"/>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w w:val="95"/>
                <w:sz w:val="24"/>
                <w:szCs w:val="24"/>
                <w:lang w:eastAsia="fr-FR"/>
              </w:rPr>
            </w:pPr>
            <w:r w:rsidRPr="0043547B">
              <w:rPr>
                <w:rFonts w:eastAsia="Times New Roman" w:cstheme="minorHAnsi"/>
                <w:w w:val="95"/>
                <w:sz w:val="24"/>
                <w:szCs w:val="24"/>
                <w:lang w:eastAsia="fr-FR"/>
              </w:rPr>
              <w:t>La norme s’applique aux baignoires avec système de brassage fixe et à leur équipement assurant une circulation d’air ou d’eau dans ces baignoires. Elle s’applique à ces équipements comportant ou non des unités chauffantes.</w:t>
            </w:r>
          </w:p>
          <w:p w:rsidR="00865CCD" w:rsidRPr="0043547B" w:rsidRDefault="00865CCD" w:rsidP="00865CCD">
            <w:pPr>
              <w:spacing w:after="0" w:line="240" w:lineRule="auto"/>
              <w:jc w:val="both"/>
              <w:rPr>
                <w:rFonts w:eastAsia="Times New Roman" w:cstheme="minorHAnsi"/>
                <w:w w:val="95"/>
                <w:sz w:val="24"/>
                <w:szCs w:val="24"/>
                <w:lang w:eastAsia="fr-FR"/>
              </w:rPr>
            </w:pPr>
            <w:r w:rsidRPr="0043547B">
              <w:rPr>
                <w:rFonts w:eastAsia="Times New Roman" w:cstheme="minorHAnsi"/>
                <w:w w:val="95"/>
                <w:sz w:val="24"/>
                <w:szCs w:val="24"/>
                <w:lang w:eastAsia="fr-FR"/>
              </w:rPr>
              <w:t>La norme s’applique aux baignoires à usage domestique qui sont vidées après chaque utilisation et installées à l’intérieur du bâtiment.</w:t>
            </w:r>
          </w:p>
          <w:p w:rsidR="00865CCD" w:rsidRPr="0043547B" w:rsidRDefault="00865CCD" w:rsidP="00865CCD">
            <w:pPr>
              <w:spacing w:after="0" w:line="240" w:lineRule="auto"/>
              <w:jc w:val="both"/>
              <w:rPr>
                <w:rFonts w:eastAsia="Times New Roman" w:cstheme="minorHAnsi"/>
                <w:w w:val="95"/>
                <w:sz w:val="24"/>
                <w:szCs w:val="24"/>
                <w:lang w:eastAsia="fr-FR"/>
              </w:rPr>
            </w:pPr>
            <w:r w:rsidRPr="0043547B">
              <w:rPr>
                <w:rFonts w:eastAsia="Times New Roman" w:cstheme="minorHAnsi"/>
                <w:w w:val="95"/>
                <w:sz w:val="24"/>
                <w:szCs w:val="24"/>
                <w:lang w:eastAsia="fr-FR"/>
              </w:rPr>
              <w:t>Les appareils qui ne sont pas destinés à un usage domestique courant mais qui peuvent néanmoins être une source de danger pour le public, tels que les appareils destinés à l’utilisation par le public, par exemple, dans les hôtels, les centres de mise en forme et locaux analogues, sont compris dans le domaine de La norme (baignoires dites «à destination du collectif»).</w:t>
            </w:r>
          </w:p>
          <w:p w:rsidR="00865CCD" w:rsidRPr="0043547B" w:rsidRDefault="00865CCD" w:rsidP="00865CCD">
            <w:pPr>
              <w:spacing w:after="0" w:line="240" w:lineRule="auto"/>
              <w:jc w:val="both"/>
              <w:rPr>
                <w:rFonts w:eastAsia="Times New Roman" w:cstheme="minorHAnsi"/>
                <w:w w:val="95"/>
                <w:sz w:val="24"/>
                <w:szCs w:val="24"/>
                <w:lang w:eastAsia="fr-FR"/>
              </w:rPr>
            </w:pPr>
            <w:r w:rsidRPr="0043547B">
              <w:rPr>
                <w:rFonts w:eastAsia="Times New Roman" w:cstheme="minorHAnsi"/>
                <w:w w:val="95"/>
                <w:sz w:val="24"/>
                <w:szCs w:val="24"/>
                <w:lang w:eastAsia="fr-FR"/>
              </w:rPr>
              <w:t>La norme ne s’applique qu’aux appareils qui ont fournis complets, mais qui peuvent être transportés en plusieurs parties pour en faciliter la livraison.</w:t>
            </w:r>
          </w:p>
          <w:p w:rsidR="00865CCD" w:rsidRPr="0043547B" w:rsidRDefault="00865CCD" w:rsidP="00865CCD">
            <w:pPr>
              <w:spacing w:after="0" w:line="240" w:lineRule="auto"/>
              <w:jc w:val="both"/>
              <w:rPr>
                <w:rFonts w:eastAsia="Times New Roman" w:cstheme="minorHAnsi"/>
                <w:w w:val="95"/>
                <w:sz w:val="24"/>
                <w:szCs w:val="24"/>
                <w:lang w:eastAsia="fr-FR"/>
              </w:rPr>
            </w:pPr>
            <w:r w:rsidRPr="0043547B">
              <w:rPr>
                <w:rFonts w:eastAsia="Times New Roman" w:cstheme="minorHAnsi"/>
                <w:w w:val="95"/>
                <w:sz w:val="24"/>
                <w:szCs w:val="24"/>
                <w:lang w:eastAsia="fr-FR"/>
              </w:rPr>
              <w:t>Elle ne tient pas compte des dangers spéciaux existant dans les garderies d’enfants et autres locaux, où de jeunes enfants et des personnes âgées ou infirmes sont laissés sans surveillance ; dans de tels cas, des prescriptions complémentaires peuvent être nécessaires.</w:t>
            </w:r>
            <w:r w:rsidRPr="0043547B">
              <w:rPr>
                <w:rFonts w:eastAsia="Times New Roman" w:cstheme="minorHAnsi"/>
                <w:w w:val="95"/>
                <w:sz w:val="24"/>
                <w:szCs w:val="24"/>
                <w:lang w:eastAsia="fr-FR"/>
              </w:rPr>
              <w:br/>
              <w:t>La norme ne s’applique pas :</w:t>
            </w:r>
          </w:p>
          <w:p w:rsidR="00865CCD" w:rsidRPr="0043547B" w:rsidRDefault="00865CCD" w:rsidP="00865CCD">
            <w:pPr>
              <w:spacing w:after="0" w:line="240" w:lineRule="auto"/>
              <w:jc w:val="both"/>
              <w:rPr>
                <w:rFonts w:eastAsia="Times New Roman" w:cstheme="minorHAnsi"/>
                <w:w w:val="95"/>
                <w:sz w:val="24"/>
                <w:szCs w:val="24"/>
                <w:lang w:eastAsia="fr-FR"/>
              </w:rPr>
            </w:pPr>
            <w:r w:rsidRPr="0043547B">
              <w:rPr>
                <w:rFonts w:eastAsia="Times New Roman" w:cstheme="minorHAnsi"/>
                <w:w w:val="95"/>
                <w:sz w:val="24"/>
                <w:szCs w:val="24"/>
                <w:lang w:eastAsia="fr-FR"/>
              </w:rPr>
              <w:t>— aux matériels de circulation d’eau des piscines et des bassins pour la pratique d’exercices physiques,</w:t>
            </w:r>
          </w:p>
          <w:p w:rsidR="00865CCD" w:rsidRPr="0043547B" w:rsidRDefault="00865CCD" w:rsidP="00865CCD">
            <w:pPr>
              <w:spacing w:after="0" w:line="240" w:lineRule="auto"/>
              <w:jc w:val="both"/>
              <w:rPr>
                <w:rFonts w:eastAsia="Times New Roman" w:cstheme="minorHAnsi"/>
                <w:w w:val="95"/>
                <w:sz w:val="24"/>
                <w:szCs w:val="24"/>
                <w:lang w:eastAsia="fr-FR"/>
              </w:rPr>
            </w:pPr>
            <w:r w:rsidRPr="0043547B">
              <w:rPr>
                <w:rFonts w:eastAsia="Times New Roman" w:cstheme="minorHAnsi"/>
                <w:w w:val="95"/>
                <w:sz w:val="24"/>
                <w:szCs w:val="24"/>
                <w:lang w:eastAsia="fr-FR"/>
              </w:rPr>
              <w:t xml:space="preserve">— aux baignoires et aux équipements qui ne peuvent être utilisés par eux-mêmes, mais qui sont inclus dans des installations spéciales tels que bains publics, centres de </w:t>
            </w:r>
            <w:r w:rsidRPr="0043547B">
              <w:rPr>
                <w:rFonts w:eastAsia="Times New Roman" w:cstheme="minorHAnsi"/>
                <w:w w:val="95"/>
                <w:sz w:val="24"/>
                <w:szCs w:val="24"/>
                <w:lang w:eastAsia="fr-FR"/>
              </w:rPr>
              <w:lastRenderedPageBreak/>
              <w:t>mise en forme, etc., et qui, de par leur conception, nécessitent une intervention, autre que celle de l’utilisateur, pour en assurer le fonctionnement,</w:t>
            </w:r>
          </w:p>
          <w:p w:rsidR="00865CCD" w:rsidRPr="0043547B" w:rsidRDefault="00865CCD" w:rsidP="00865CCD">
            <w:pPr>
              <w:spacing w:after="0" w:line="240" w:lineRule="auto"/>
              <w:jc w:val="both"/>
              <w:rPr>
                <w:rFonts w:eastAsia="Times New Roman" w:cstheme="minorHAnsi"/>
                <w:w w:val="95"/>
                <w:sz w:val="24"/>
                <w:szCs w:val="24"/>
                <w:lang w:eastAsia="fr-FR"/>
              </w:rPr>
            </w:pPr>
            <w:r w:rsidRPr="0043547B">
              <w:rPr>
                <w:rFonts w:eastAsia="Times New Roman" w:cstheme="minorHAnsi"/>
                <w:w w:val="95"/>
                <w:sz w:val="24"/>
                <w:szCs w:val="24"/>
                <w:lang w:eastAsia="fr-FR"/>
              </w:rPr>
              <w:t>— aux appareils destinés à être utilisés sous surveillance médicale ou paramédicale,</w:t>
            </w:r>
          </w:p>
          <w:p w:rsidR="00904E52" w:rsidRPr="0043547B" w:rsidRDefault="00865CCD" w:rsidP="00865CCD">
            <w:pPr>
              <w:spacing w:after="0" w:line="240" w:lineRule="auto"/>
              <w:jc w:val="both"/>
              <w:rPr>
                <w:rFonts w:eastAsia="Times New Roman" w:cstheme="minorHAnsi"/>
                <w:sz w:val="24"/>
                <w:szCs w:val="24"/>
                <w:lang w:eastAsia="fr-FR"/>
              </w:rPr>
            </w:pPr>
            <w:r w:rsidRPr="0043547B">
              <w:rPr>
                <w:rFonts w:eastAsia="Times New Roman" w:cstheme="minorHAnsi"/>
                <w:w w:val="95"/>
                <w:sz w:val="24"/>
                <w:szCs w:val="24"/>
                <w:lang w:eastAsia="fr-FR"/>
              </w:rPr>
              <w:t>— aux systèmes de brassage amovibles à incorporer dans des baignoires (matelas soufflant).</w:t>
            </w:r>
            <w:r w:rsidRPr="0043547B">
              <w:rPr>
                <w:rFonts w:eastAsia="Times New Roman" w:cstheme="minorHAnsi"/>
                <w:w w:val="95"/>
                <w:sz w:val="24"/>
                <w:szCs w:val="24"/>
                <w:lang w:eastAsia="fr-FR"/>
              </w:rPr>
              <w:br/>
              <w:t>Pour les appareils destinés à être utilisés dans les véhicules ou à bord des navires ou des avions, des règles supplémentaires peuvent être nécessaires.</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10.4.058</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997</w:t>
            </w:r>
          </w:p>
        </w:tc>
      </w:tr>
      <w:tr w:rsidR="0043547B" w:rsidRPr="0043547B" w:rsidTr="00CB5DC0">
        <w:trPr>
          <w:trHeight w:val="39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Cuvettes de WC à siphon intégré – Prescriptions de fonctionnement, méthodes d’essais, désignation et marquage </w:t>
            </w:r>
          </w:p>
        </w:tc>
      </w:tr>
      <w:tr w:rsidR="0043547B" w:rsidRPr="0043547B" w:rsidTr="00CB5DC0">
        <w:trPr>
          <w:trHeight w:val="1328"/>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center"/>
            <w:hideMark/>
          </w:tcPr>
          <w:p w:rsidR="00904E52" w:rsidRPr="0043547B" w:rsidRDefault="00904E52" w:rsidP="00A32960">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Cette norme spécifie les exigences de construction et de performances, ainsi que les méthodes d'essai des cuvettes de W.-C. à siphon intégré, utilisées à des fins domestiques, fabriquées en céramique émaillée ou en acier inoxydable, et qui sont chassées avec un volume nominal de 6 </w:t>
            </w:r>
            <w:r w:rsidRPr="0043547B">
              <w:rPr>
                <w:rFonts w:eastAsia="Times New Roman" w:cstheme="minorHAnsi"/>
                <w:i/>
                <w:iCs/>
                <w:sz w:val="24"/>
                <w:szCs w:val="24"/>
                <w:lang w:eastAsia="fr-FR"/>
              </w:rPr>
              <w:t>l</w:t>
            </w:r>
            <w:r w:rsidRPr="0043547B">
              <w:rPr>
                <w:rFonts w:eastAsia="Times New Roman" w:cstheme="minorHAnsi"/>
                <w:sz w:val="24"/>
                <w:szCs w:val="24"/>
                <w:lang w:eastAsia="fr-FR"/>
              </w:rPr>
              <w:t xml:space="preserve">, 7 </w:t>
            </w:r>
            <w:r w:rsidR="00A32960" w:rsidRPr="0043547B">
              <w:rPr>
                <w:rFonts w:eastAsia="Times New Roman" w:cstheme="minorHAnsi"/>
                <w:i/>
                <w:iCs/>
                <w:sz w:val="24"/>
                <w:szCs w:val="24"/>
                <w:lang w:eastAsia="fr-FR"/>
              </w:rPr>
              <w:t xml:space="preserve">l </w:t>
            </w:r>
            <w:r w:rsidRPr="0043547B">
              <w:rPr>
                <w:rFonts w:eastAsia="Times New Roman" w:cstheme="minorHAnsi"/>
                <w:sz w:val="24"/>
                <w:szCs w:val="24"/>
                <w:lang w:eastAsia="fr-FR"/>
              </w:rPr>
              <w:t xml:space="preserve">ou 9 </w:t>
            </w:r>
            <w:r w:rsidR="00A32960" w:rsidRPr="0043547B">
              <w:rPr>
                <w:rFonts w:eastAsia="Times New Roman" w:cstheme="minorHAnsi"/>
                <w:i/>
                <w:iCs/>
                <w:sz w:val="24"/>
                <w:szCs w:val="24"/>
                <w:lang w:eastAsia="fr-FR"/>
              </w:rPr>
              <w:t>l</w:t>
            </w:r>
            <w:r w:rsidRPr="0043547B">
              <w:rPr>
                <w:rFonts w:eastAsia="Times New Roman" w:cstheme="minorHAnsi"/>
                <w:sz w:val="24"/>
                <w:szCs w:val="24"/>
                <w:lang w:eastAsia="fr-FR"/>
              </w:rPr>
              <w:t>.</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Cette norme ne s'applique pas aux cuvettes de W.-C. chassant avec d'autres volumes d'eau, aux sièges à la turque ou aux cuvettes sans siphon intégré.</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10.4.059</w:t>
            </w:r>
          </w:p>
        </w:tc>
      </w:tr>
      <w:tr w:rsidR="0043547B" w:rsidRPr="0043547B" w:rsidTr="00CB5DC0">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Produits en matériaux émaillés pour collectivités </w:t>
            </w:r>
          </w:p>
        </w:tc>
      </w:tr>
      <w:tr w:rsidR="0043547B" w:rsidRPr="0043547B" w:rsidTr="00CB5DC0">
        <w:trPr>
          <w:trHeight w:val="276"/>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aux appareils sanitaires en matériaux émaillés suivants, utilisés plus particulièrement dans les collectivités à l'usage des adultes ou des enfants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stalle d'urinoir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urinoirs (avec ou sans siphon incorporé)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urinoirs coquille (avec ou sans siphon incorporé)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cuvette d'hôpital, cuvette spéciale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cuvette pour bébés, cuvette pour enfants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vidoir d'hôpital sur pied ou suspendu (appareil avec siphon incorporé)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déversoir ou vidoir sur pied ou suspendu (appareil sans siphon incorporé)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siège à la turque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lavabo dit collectif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poste d'eau, fontaine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quelles que soient leurs dimensions ou leurs particularités.</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10.4.062</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Receveurs de douches en matériaux émaillés </w:t>
            </w:r>
          </w:p>
        </w:tc>
      </w:tr>
      <w:tr w:rsidR="0043547B" w:rsidRPr="0043547B" w:rsidTr="00CB5DC0">
        <w:trPr>
          <w:trHeight w:val="56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aux receveurs de douche en acier émaillé, fonte émaillée et céramique sanitaire, quelles que soient leurs dimensions ou leurs particularités (appareils spéciaux).</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Cette norme concerne :</w:t>
            </w:r>
          </w:p>
          <w:p w:rsidR="00961050"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les receveurs équipés de bondes à bouchon et comportant de ce fait un trop-plein ; ces appareils sont équipés généralement de support ; on les appelle parfois «bacs à douche»,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les receveurs sans trop-plein équipés de bondes à grille ou de bondes à surverse.</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10.4.063</w:t>
            </w:r>
          </w:p>
        </w:tc>
      </w:tr>
      <w:tr w:rsidR="0043547B" w:rsidRPr="0043547B" w:rsidTr="00CB5DC0">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Receveurs de douches - Côtés de raccordement </w:t>
            </w:r>
          </w:p>
        </w:tc>
      </w:tr>
      <w:tr w:rsidR="0043547B" w:rsidRPr="0043547B" w:rsidTr="00CB5DC0">
        <w:trPr>
          <w:trHeight w:val="278"/>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Domaine d’application :</w:t>
            </w:r>
          </w:p>
        </w:tc>
        <w:tc>
          <w:tcPr>
            <w:tcW w:w="7938" w:type="dxa"/>
            <w:tcBorders>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cotes de raccordement et les dimensions des receveurs de douche quels que soient les matériaux entrant dans leur fabrication.</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cotes indiquées doivent cependant être respectées.</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10.4.064</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Appareils sanitaires en céramique émaillée – Caractéristiques d’hygiène et de sécurité </w:t>
            </w:r>
          </w:p>
        </w:tc>
      </w:tr>
      <w:tr w:rsidR="0043547B" w:rsidRPr="0043547B" w:rsidTr="00CB5DC0">
        <w:trPr>
          <w:trHeight w:val="1022"/>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center"/>
            <w:hideMark/>
          </w:tcPr>
          <w:p w:rsidR="00904E52" w:rsidRPr="0043547B" w:rsidRDefault="00904E52" w:rsidP="007F63D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produits sanitaires concernés sont les suivants : éviers, lavabos, lave main, bidets, cuvettes de WC, produits pour collectivité en céramique émaillé et receveur de douche.</w:t>
            </w:r>
            <w:r w:rsidR="007F63D3">
              <w:rPr>
                <w:rFonts w:eastAsia="Times New Roman" w:cstheme="minorHAnsi"/>
                <w:sz w:val="24"/>
                <w:szCs w:val="24"/>
                <w:lang w:eastAsia="fr-FR"/>
              </w:rPr>
              <w:t xml:space="preserve"> </w:t>
            </w:r>
            <w:r w:rsidRPr="0043547B">
              <w:rPr>
                <w:rFonts w:eastAsia="Times New Roman" w:cstheme="minorHAnsi"/>
                <w:sz w:val="24"/>
                <w:szCs w:val="24"/>
                <w:lang w:eastAsia="fr-FR"/>
              </w:rPr>
              <w:t>La céramique sanitaire émaillée est définie dans la nonne NM 10.4.050 au niveau du chapitre 3.1.1.</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10.4.120</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1567</w:t>
            </w:r>
          </w:p>
        </w:tc>
      </w:tr>
      <w:tr w:rsidR="0043547B" w:rsidRPr="0043547B" w:rsidTr="00CB5DC0">
        <w:trPr>
          <w:trHeight w:val="6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Robinetterie de bâtiment – Réducteurs de pression d’eau et réducteurs de pression d’eau combinés – Exigences et essais </w:t>
            </w:r>
          </w:p>
        </w:tc>
      </w:tr>
      <w:tr w:rsidR="0043547B" w:rsidRPr="0043547B" w:rsidTr="00CB5DC0">
        <w:trPr>
          <w:trHeight w:val="701"/>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center"/>
            <w:hideMark/>
          </w:tcPr>
          <w:p w:rsidR="00904E52" w:rsidRPr="0043547B" w:rsidRDefault="00904E52" w:rsidP="00A32960">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a pour objet de définir les dimensions, les matériaux, les performances ainsi que les méthodes d’essai pour les Réducteurs de Pression d’eau ainsi que les Réducteurs</w:t>
            </w:r>
            <w:r w:rsidR="00A32960" w:rsidRPr="0043547B">
              <w:rPr>
                <w:rFonts w:eastAsia="Times New Roman" w:cstheme="minorHAnsi"/>
                <w:sz w:val="24"/>
                <w:szCs w:val="24"/>
                <w:lang w:eastAsia="fr-FR"/>
              </w:rPr>
              <w:t xml:space="preserve"> de Pression d’eau Combinés, de dimension nominale DN 8 à DN 100, pour des pressions d’entrée n’excédant pas 1,6 MPa (16 bar) et une température d’eau ne dépassant pas 30 °C pour les versions eau froide et 80 °C pour les versions eau chaude. Sauf spécifications particulières du fabricant, ces appareils peuvent être montés dans n’importe quelle position. </w:t>
            </w:r>
            <w:r w:rsidRPr="0043547B">
              <w:rPr>
                <w:rFonts w:eastAsia="Times New Roman" w:cstheme="minorHAnsi"/>
                <w:sz w:val="24"/>
                <w:szCs w:val="24"/>
                <w:lang w:eastAsia="fr-FR"/>
              </w:rPr>
              <w:t xml:space="preserve"> </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10.4.124</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Robinetterie sanitaire – Accessoires de douche – Spécifications techniques générales  </w:t>
            </w:r>
          </w:p>
        </w:tc>
      </w:tr>
      <w:tr w:rsidR="0043547B" w:rsidRPr="0043547B" w:rsidTr="00CB5DC0">
        <w:trPr>
          <w:trHeight w:val="129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center"/>
            <w:hideMark/>
          </w:tcPr>
          <w:p w:rsidR="00904E52" w:rsidRPr="0043547B" w:rsidRDefault="00904E52" w:rsidP="00961050">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aux accessoires de douche destinés à l'équipement des appareils sanitaires (lavabo, bidet, baignoire, receveur de douche) et des appareils ménagers (évier, bac à laver ...) installés dans les bâtiments, quelle que soit la destination de ces derniers.</w:t>
            </w:r>
            <w:r w:rsidR="007F63D3">
              <w:rPr>
                <w:rFonts w:eastAsia="Times New Roman" w:cstheme="minorHAnsi"/>
                <w:sz w:val="24"/>
                <w:szCs w:val="24"/>
                <w:lang w:eastAsia="fr-FR"/>
              </w:rPr>
              <w:t xml:space="preserve"> </w:t>
            </w:r>
            <w:r w:rsidRPr="0043547B">
              <w:rPr>
                <w:rFonts w:eastAsia="Times New Roman" w:cstheme="minorHAnsi"/>
                <w:sz w:val="24"/>
                <w:szCs w:val="24"/>
                <w:lang w:eastAsia="fr-FR"/>
              </w:rPr>
              <w:t>La norme ne s'applique pas aux accessoires spéciaux utilisés dans les locaux</w:t>
            </w:r>
            <w:r w:rsidR="00961050">
              <w:rPr>
                <w:rFonts w:eastAsia="Times New Roman" w:cstheme="minorHAnsi"/>
                <w:sz w:val="24"/>
                <w:szCs w:val="24"/>
                <w:lang w:eastAsia="fr-FR"/>
              </w:rPr>
              <w:t xml:space="preserve"> </w:t>
            </w:r>
            <w:r w:rsidRPr="0043547B">
              <w:rPr>
                <w:rFonts w:eastAsia="Times New Roman" w:cstheme="minorHAnsi"/>
                <w:sz w:val="24"/>
                <w:szCs w:val="24"/>
                <w:lang w:eastAsia="fr-FR"/>
              </w:rPr>
              <w:t>professionnels.</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10.4.125</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Robinetterie sanitaire – Dispositif de raccordement et de fixation de la robinetterie d’alimentation </w:t>
            </w:r>
          </w:p>
        </w:tc>
      </w:tr>
      <w:tr w:rsidR="0043547B" w:rsidRPr="0043547B" w:rsidTr="00CB5DC0">
        <w:trPr>
          <w:trHeight w:val="2576"/>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aux dispositifs de raccordement et de fixation des robinetteries suivantes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robinets simples et mélangeurs,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robinets mitigeurs mécaniques,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robinets mitigeurs thermostatiques,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destinés à l'équipement des appareils sanitaires (lavabo, bidet, receveur de douche, baignoire, évier, bac à laver,...) installés dans les bâtiments, quelle que soit la destination de ces derniers.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dispositifs de La norme s'appliquent au raccordement des robinets fonctionnant à une pression dynamique d'au moins 0,05 MPa (0,5 bar) et supportant une pression maximale de service de 1 MPa (10 bar).</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6D5F73" w:rsidRPr="0043547B" w:rsidRDefault="006D5F73" w:rsidP="00961050">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hideMark/>
          </w:tcPr>
          <w:p w:rsidR="006D5F73" w:rsidRPr="00951C84" w:rsidRDefault="006D5F73" w:rsidP="00961050">
            <w:pPr>
              <w:spacing w:after="0" w:line="240" w:lineRule="auto"/>
              <w:jc w:val="center"/>
              <w:rPr>
                <w:rFonts w:cstheme="minorHAnsi"/>
                <w:b/>
                <w:bCs/>
                <w:sz w:val="24"/>
                <w:szCs w:val="24"/>
              </w:rPr>
            </w:pPr>
            <w:r w:rsidRPr="00951C84">
              <w:rPr>
                <w:rFonts w:cstheme="minorHAnsi"/>
                <w:b/>
                <w:bCs/>
                <w:sz w:val="24"/>
                <w:szCs w:val="24"/>
              </w:rPr>
              <w:t>NM EN 1112</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6D5F73" w:rsidRPr="0043547B" w:rsidRDefault="006D5F73" w:rsidP="00961050">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6D5F73" w:rsidRPr="00951C84" w:rsidRDefault="006D5F73" w:rsidP="00961050">
            <w:pPr>
              <w:spacing w:after="0" w:line="240" w:lineRule="auto"/>
              <w:jc w:val="center"/>
              <w:rPr>
                <w:rFonts w:cstheme="minorHAnsi"/>
                <w:b/>
                <w:bCs/>
                <w:sz w:val="24"/>
                <w:szCs w:val="24"/>
              </w:rPr>
            </w:pPr>
            <w:r w:rsidRPr="00951C84">
              <w:rPr>
                <w:rFonts w:cstheme="minorHAnsi"/>
                <w:b/>
                <w:bCs/>
                <w:sz w:val="24"/>
                <w:szCs w:val="24"/>
              </w:rPr>
              <w:t>EN 1112</w:t>
            </w:r>
          </w:p>
        </w:tc>
      </w:tr>
      <w:tr w:rsidR="0043547B" w:rsidRPr="0043547B" w:rsidTr="00CB5DC0">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6D5F73" w:rsidRPr="0043547B" w:rsidRDefault="006D5F73" w:rsidP="00961050">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hideMark/>
          </w:tcPr>
          <w:p w:rsidR="006D5F73" w:rsidRPr="0043547B" w:rsidRDefault="006D5F73" w:rsidP="00961050">
            <w:pPr>
              <w:spacing w:after="0" w:line="240" w:lineRule="auto"/>
              <w:rPr>
                <w:rFonts w:cstheme="minorHAnsi"/>
                <w:sz w:val="24"/>
                <w:szCs w:val="24"/>
              </w:rPr>
            </w:pPr>
            <w:r w:rsidRPr="0043547B">
              <w:rPr>
                <w:rFonts w:cstheme="minorHAnsi"/>
                <w:sz w:val="24"/>
                <w:szCs w:val="24"/>
              </w:rPr>
              <w:t xml:space="preserve">Robinetterie sanitaire - Douches pour robinetterie sanitaire pour les systèmes d'alimentation en eau de types 1 et 2 - Spécifications techniques générales </w:t>
            </w:r>
          </w:p>
        </w:tc>
      </w:tr>
      <w:tr w:rsidR="0043547B" w:rsidRPr="0043547B" w:rsidTr="00CB5DC0">
        <w:trPr>
          <w:trHeight w:val="562"/>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6D5F73" w:rsidRPr="0043547B" w:rsidRDefault="006D5F73" w:rsidP="00961050">
            <w:pPr>
              <w:spacing w:after="0" w:line="240" w:lineRule="auto"/>
              <w:jc w:val="center"/>
              <w:rPr>
                <w:rFonts w:cstheme="minorHAnsi"/>
                <w:b/>
                <w:bCs/>
                <w:sz w:val="24"/>
                <w:szCs w:val="24"/>
              </w:rPr>
            </w:pPr>
            <w:r w:rsidRPr="0043547B">
              <w:rPr>
                <w:rFonts w:cstheme="minorHAnsi"/>
                <w:b/>
                <w:bCs/>
                <w:sz w:val="24"/>
                <w:szCs w:val="24"/>
              </w:rPr>
              <w:lastRenderedPageBreak/>
              <w:t>Domaine d’application :</w:t>
            </w:r>
          </w:p>
        </w:tc>
        <w:tc>
          <w:tcPr>
            <w:tcW w:w="7938" w:type="dxa"/>
            <w:tcBorders>
              <w:left w:val="single" w:sz="4" w:space="0" w:color="auto"/>
              <w:bottom w:val="single" w:sz="18" w:space="0" w:color="auto"/>
              <w:right w:val="single" w:sz="18" w:space="0" w:color="auto"/>
            </w:tcBorders>
            <w:shd w:val="clear" w:color="auto" w:fill="auto"/>
            <w:hideMark/>
          </w:tcPr>
          <w:p w:rsidR="00961050" w:rsidRDefault="006D5F73" w:rsidP="00961050">
            <w:pPr>
              <w:spacing w:after="0" w:line="240" w:lineRule="auto"/>
              <w:jc w:val="both"/>
              <w:rPr>
                <w:rFonts w:cstheme="minorHAnsi"/>
                <w:sz w:val="24"/>
                <w:szCs w:val="24"/>
              </w:rPr>
            </w:pPr>
            <w:r w:rsidRPr="0043547B">
              <w:rPr>
                <w:rFonts w:cstheme="minorHAnsi"/>
                <w:sz w:val="24"/>
                <w:szCs w:val="24"/>
              </w:rPr>
              <w:t>La présente Norme européenne spécifie :</w:t>
            </w:r>
          </w:p>
          <w:p w:rsidR="00961050" w:rsidRPr="00961050" w:rsidRDefault="006D5F73" w:rsidP="00961050">
            <w:pPr>
              <w:spacing w:after="0" w:line="240" w:lineRule="auto"/>
              <w:rPr>
                <w:rFonts w:cstheme="minorHAnsi"/>
                <w:sz w:val="8"/>
                <w:szCs w:val="8"/>
              </w:rPr>
            </w:pPr>
            <w:r w:rsidRPr="0043547B">
              <w:rPr>
                <w:rFonts w:cstheme="minorHAnsi"/>
                <w:sz w:val="24"/>
                <w:szCs w:val="24"/>
              </w:rPr>
              <w:t>— les caractéristiques dimensionnelles, d’étanchéité, de comportement mécanique, hydraulique et acoustique</w:t>
            </w:r>
            <w:r w:rsidRPr="0043547B">
              <w:rPr>
                <w:rFonts w:cstheme="minorHAnsi"/>
                <w:sz w:val="24"/>
                <w:szCs w:val="24"/>
              </w:rPr>
              <w:br/>
              <w:t>auxquelles doivent répondre les douches ;</w:t>
            </w:r>
            <w:r w:rsidRPr="0043547B">
              <w:rPr>
                <w:rFonts w:cstheme="minorHAnsi"/>
                <w:sz w:val="24"/>
                <w:szCs w:val="24"/>
              </w:rPr>
              <w:br/>
              <w:t>— les modes opératoires d’essai permettant de contrôler ces caractéristiques.</w:t>
            </w:r>
            <w:r w:rsidRPr="0043547B">
              <w:rPr>
                <w:rFonts w:cstheme="minorHAnsi"/>
                <w:sz w:val="24"/>
                <w:szCs w:val="24"/>
              </w:rPr>
              <w:br/>
            </w:r>
          </w:p>
          <w:p w:rsidR="00961050" w:rsidRDefault="006D5F73" w:rsidP="00961050">
            <w:pPr>
              <w:spacing w:after="0" w:line="240" w:lineRule="auto"/>
              <w:jc w:val="both"/>
              <w:rPr>
                <w:rFonts w:cstheme="minorHAnsi"/>
                <w:sz w:val="24"/>
                <w:szCs w:val="24"/>
              </w:rPr>
            </w:pPr>
            <w:r w:rsidRPr="0043547B">
              <w:rPr>
                <w:rFonts w:cstheme="minorHAnsi"/>
                <w:sz w:val="24"/>
                <w:szCs w:val="24"/>
              </w:rPr>
              <w:t>La présente Norme européenne s’applique aux douches et douchettes, quel que soit le matériau utilisé, destinées à équiper et à compléter les robinetteries sanitaires de baignoires ou de douches réservées pour l’hygiène corporelle.</w:t>
            </w:r>
          </w:p>
          <w:p w:rsidR="00961050" w:rsidRDefault="006D5F73" w:rsidP="00961050">
            <w:pPr>
              <w:spacing w:after="0" w:line="240" w:lineRule="auto"/>
              <w:jc w:val="both"/>
              <w:rPr>
                <w:rFonts w:cstheme="minorHAnsi"/>
                <w:sz w:val="24"/>
                <w:szCs w:val="24"/>
              </w:rPr>
            </w:pPr>
            <w:r w:rsidRPr="0043547B">
              <w:rPr>
                <w:rFonts w:cstheme="minorHAnsi"/>
                <w:sz w:val="24"/>
                <w:szCs w:val="24"/>
              </w:rPr>
              <w:t>La présente Norme européenne s’applique aux douches et douchettes connectées seulement en aval de l’obturateur de la robinetterie.</w:t>
            </w:r>
          </w:p>
          <w:p w:rsidR="006D5F73" w:rsidRPr="0043547B" w:rsidRDefault="006D5F73" w:rsidP="00961050">
            <w:pPr>
              <w:spacing w:after="0" w:line="240" w:lineRule="auto"/>
              <w:jc w:val="both"/>
              <w:rPr>
                <w:rFonts w:cstheme="minorHAnsi"/>
                <w:sz w:val="24"/>
                <w:szCs w:val="24"/>
              </w:rPr>
            </w:pPr>
            <w:r w:rsidRPr="0043547B">
              <w:rPr>
                <w:rFonts w:cstheme="minorHAnsi"/>
                <w:sz w:val="24"/>
                <w:szCs w:val="24"/>
              </w:rPr>
              <w:t>Les douchettes latérales et intégrées incorporées dans les robinetteries (par exemple, robinets mitigeurs pour évier et lavabo) ne sont pas couvertes par cette norme.</w:t>
            </w:r>
            <w:r w:rsidRPr="0043547B">
              <w:rPr>
                <w:rFonts w:cstheme="minorHAnsi"/>
                <w:sz w:val="24"/>
                <w:szCs w:val="24"/>
              </w:rPr>
              <w:br/>
              <w:t>Les exigences relatives à la pression et à la température sont données dans le Tableau 1.</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10.4.127</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816</w:t>
            </w:r>
          </w:p>
        </w:tc>
      </w:tr>
      <w:tr w:rsidR="0043547B" w:rsidRPr="0043547B" w:rsidTr="00CB5DC0">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Robinetterie sanitaire – Robinets à fermeture automatique PN 10 </w:t>
            </w:r>
          </w:p>
        </w:tc>
      </w:tr>
      <w:tr w:rsidR="0043547B" w:rsidRPr="0043547B" w:rsidTr="00CB5DC0">
        <w:trPr>
          <w:trHeight w:val="134"/>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aux robinets simples et aux mitigeurs à fermeture automatique destinés à l'équipement des appareils sanitaires installés dans les locaux d'hygiène corporelle. Elle ne s'applique pas aux robinets d'urinoirs et robinets de chasse WC ni aux robinets à ouverture automatique.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a pour objet de fixer les caractéristiques de marquage et de repérage, physico-chimiques, dimensionnelles, d'étanchéité, de tenue en pression, hydrauliques, d'endurance mécanique, acoustique des robinets à fermeture automatique.</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10.4.207</w:t>
            </w:r>
          </w:p>
        </w:tc>
      </w:tr>
      <w:tr w:rsidR="0043547B" w:rsidRPr="0043547B" w:rsidTr="00CB5DC0">
        <w:trPr>
          <w:trHeight w:val="600"/>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Equipement sanitaire - Appareils - Lavabos : Conditions de montage et d'installation pour l'insertion des personnes handicapées </w:t>
            </w:r>
          </w:p>
        </w:tc>
      </w:tr>
      <w:tr w:rsidR="0043547B" w:rsidRPr="0043547B" w:rsidTr="00CB5DC0">
        <w:trPr>
          <w:trHeight w:val="120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indications données sont relatives non seulement au cas des personnes handicapées physiques se déplaçant en fauteuil roulant mais aussi aux cas des personnes handicapées semi-ambulantes et à celui de personnes âgées. Elles ont été choisies de telle sorte que convenant aux personnes handicapées, elles conviennent aussi, sans gêne notable, aux personnes valides utilisant les mêmes installations.</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6D5F73" w:rsidRPr="0043547B" w:rsidRDefault="006D5F73" w:rsidP="00961050">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hideMark/>
          </w:tcPr>
          <w:p w:rsidR="006D5F73" w:rsidRPr="00951C84" w:rsidRDefault="006D5F73" w:rsidP="00961050">
            <w:pPr>
              <w:spacing w:after="0" w:line="240" w:lineRule="auto"/>
              <w:jc w:val="center"/>
              <w:rPr>
                <w:rFonts w:cstheme="minorHAnsi"/>
                <w:b/>
                <w:bCs/>
                <w:sz w:val="24"/>
                <w:szCs w:val="24"/>
              </w:rPr>
            </w:pPr>
            <w:r w:rsidRPr="00951C84">
              <w:rPr>
                <w:rFonts w:cstheme="minorHAnsi"/>
                <w:b/>
                <w:bCs/>
                <w:sz w:val="24"/>
                <w:szCs w:val="24"/>
              </w:rPr>
              <w:t>NM EN 198</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6D5F73" w:rsidRPr="0043547B" w:rsidRDefault="006D5F73" w:rsidP="00961050">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6D5F73" w:rsidRPr="00951C84" w:rsidRDefault="006D5F73" w:rsidP="00961050">
            <w:pPr>
              <w:spacing w:after="0" w:line="240" w:lineRule="auto"/>
              <w:jc w:val="center"/>
              <w:rPr>
                <w:rFonts w:cstheme="minorHAnsi"/>
                <w:b/>
                <w:bCs/>
                <w:sz w:val="24"/>
                <w:szCs w:val="24"/>
              </w:rPr>
            </w:pPr>
            <w:r w:rsidRPr="00951C84">
              <w:rPr>
                <w:rFonts w:cstheme="minorHAnsi"/>
                <w:b/>
                <w:bCs/>
                <w:sz w:val="24"/>
                <w:szCs w:val="24"/>
              </w:rPr>
              <w:t>EN 198</w:t>
            </w:r>
          </w:p>
        </w:tc>
      </w:tr>
      <w:tr w:rsidR="0043547B" w:rsidRPr="0043547B" w:rsidTr="00CB5DC0">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6D5F73" w:rsidRPr="0043547B" w:rsidRDefault="006D5F73" w:rsidP="00961050">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hideMark/>
          </w:tcPr>
          <w:p w:rsidR="006D5F73" w:rsidRPr="0043547B" w:rsidRDefault="006D5F73" w:rsidP="00961050">
            <w:pPr>
              <w:spacing w:after="0" w:line="240" w:lineRule="auto"/>
              <w:rPr>
                <w:rFonts w:cstheme="minorHAnsi"/>
                <w:sz w:val="24"/>
                <w:szCs w:val="24"/>
              </w:rPr>
            </w:pPr>
            <w:r w:rsidRPr="0043547B">
              <w:rPr>
                <w:rFonts w:cstheme="minorHAnsi"/>
                <w:sz w:val="24"/>
                <w:szCs w:val="24"/>
              </w:rPr>
              <w:t xml:space="preserve">Appareils sanitaires - Baignoires en feuilles d'acrylique réticulées coulées - Exigences et méthodes d'essai </w:t>
            </w:r>
          </w:p>
        </w:tc>
      </w:tr>
      <w:tr w:rsidR="0043547B" w:rsidRPr="0043547B" w:rsidTr="00CB5DC0">
        <w:trPr>
          <w:trHeight w:val="1615"/>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6D5F73" w:rsidRPr="0043547B" w:rsidRDefault="006D5F73" w:rsidP="00961050">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hideMark/>
          </w:tcPr>
          <w:p w:rsidR="00961050" w:rsidRDefault="006D5F73" w:rsidP="00961050">
            <w:pPr>
              <w:spacing w:after="0" w:line="240" w:lineRule="auto"/>
              <w:jc w:val="both"/>
              <w:rPr>
                <w:rFonts w:cstheme="minorHAnsi"/>
                <w:sz w:val="24"/>
                <w:szCs w:val="24"/>
              </w:rPr>
            </w:pPr>
            <w:r w:rsidRPr="0043547B">
              <w:rPr>
                <w:rFonts w:cstheme="minorHAnsi"/>
                <w:sz w:val="24"/>
                <w:szCs w:val="24"/>
              </w:rPr>
              <w:t>La présente Norme européenne spécifie les prescriptions relatives aux baignoires à usage domestique fabriquées à partir de feuilles d’acrylique réticulées coulées conformes à l’EN 263, afin de garantir que le produit installé</w:t>
            </w:r>
            <w:r w:rsidRPr="0043547B">
              <w:rPr>
                <w:rFonts w:cstheme="minorHAnsi"/>
                <w:sz w:val="24"/>
                <w:szCs w:val="24"/>
              </w:rPr>
              <w:br/>
              <w:t>conformément aux instructions du fabricant donne des performances satisfaisantes à l’usage.</w:t>
            </w:r>
          </w:p>
          <w:p w:rsidR="006D5F73" w:rsidRPr="0043547B" w:rsidRDefault="006D5F73" w:rsidP="00961050">
            <w:pPr>
              <w:spacing w:after="0" w:line="240" w:lineRule="auto"/>
              <w:jc w:val="both"/>
              <w:rPr>
                <w:rFonts w:cstheme="minorHAnsi"/>
                <w:sz w:val="24"/>
                <w:szCs w:val="24"/>
              </w:rPr>
            </w:pPr>
            <w:r w:rsidRPr="0043547B">
              <w:rPr>
                <w:rFonts w:cstheme="minorHAnsi"/>
                <w:sz w:val="24"/>
                <w:szCs w:val="24"/>
              </w:rPr>
              <w:t>La présente norme est applicable à toutes les dimensions et formes de baignoires.</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10.4.213</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274</w:t>
            </w:r>
          </w:p>
        </w:tc>
      </w:tr>
      <w:tr w:rsidR="0043547B" w:rsidRPr="0043547B" w:rsidTr="00CB5DC0">
        <w:trPr>
          <w:trHeight w:val="6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Robinetterie sanitaire – Dispositifs de vidage des lavabos, bidets, et baignoires - Spécifications techniques générales </w:t>
            </w:r>
          </w:p>
        </w:tc>
      </w:tr>
      <w:tr w:rsidR="0043547B" w:rsidRPr="0043547B" w:rsidTr="00CB5DC0">
        <w:trPr>
          <w:trHeight w:val="56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aux systèmes de vidage des lavabos, bidets et bai</w:t>
            </w:r>
            <w:r w:rsidRPr="0043547B">
              <w:rPr>
                <w:rFonts w:eastAsia="Times New Roman" w:cstheme="minorHAnsi"/>
                <w:sz w:val="24"/>
                <w:szCs w:val="24"/>
                <w:lang w:eastAsia="fr-FR"/>
              </w:rPr>
              <w:softHyphen/>
              <w:t>gnoires installés clans les locaux d'hygiène corporelle (toilettes, salles de bain, etc.), quelle que soit la destination du bâtiment.</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s'applique aux dispositifs de vidage définis à l'article 4.</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Elle ne s'applique pas aux systèmes de vidage des éviers et receveurs de douche qui feront l'objet d’une </w:t>
            </w:r>
            <w:r w:rsidR="00A32960" w:rsidRPr="0043547B">
              <w:rPr>
                <w:rFonts w:eastAsia="Times New Roman" w:cstheme="minorHAnsi"/>
                <w:sz w:val="24"/>
                <w:szCs w:val="24"/>
                <w:lang w:eastAsia="fr-FR"/>
              </w:rPr>
              <w:t>autre norme</w:t>
            </w:r>
            <w:r w:rsidR="00AA5118" w:rsidRPr="0043547B">
              <w:rPr>
                <w:rFonts w:eastAsia="Times New Roman" w:cstheme="minorHAnsi"/>
                <w:sz w:val="24"/>
                <w:szCs w:val="24"/>
                <w:lang w:eastAsia="fr-FR"/>
              </w:rPr>
              <w:t>.</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10.4.214</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411</w:t>
            </w:r>
          </w:p>
        </w:tc>
      </w:tr>
      <w:tr w:rsidR="0043547B" w:rsidRPr="0043547B" w:rsidTr="00CB5DC0">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Robinetterie sanitaire – Dispositifs de vidage des éviers - Spécifications techniques générales </w:t>
            </w:r>
          </w:p>
        </w:tc>
      </w:tr>
      <w:tr w:rsidR="0043547B" w:rsidRPr="0043547B" w:rsidTr="00CB5DC0">
        <w:trPr>
          <w:trHeight w:val="127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center"/>
            <w:hideMark/>
          </w:tcPr>
          <w:p w:rsidR="00961050"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caractéristiques dimensionnelles, les matériaux, les performances et les méthodes d’essai des systèmes de vidages et siphons des éviers raccordés à des réseaux d’évacuation par gravité, quelle que soit la destination du bâtiment.</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contrôles qualité et les assurances qualité seront réglés par les instances compétentes.</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10.4.215</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329</w:t>
            </w:r>
          </w:p>
        </w:tc>
      </w:tr>
      <w:tr w:rsidR="0043547B" w:rsidRPr="0043547B" w:rsidTr="00CB5DC0">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Robinetterie sanitaire – Dispositifs de vidage des receveurs de douche - Spécifications techniques générales</w:t>
            </w:r>
          </w:p>
        </w:tc>
      </w:tr>
      <w:tr w:rsidR="0043547B" w:rsidRPr="0043547B" w:rsidTr="00CB5DC0">
        <w:trPr>
          <w:trHeight w:val="150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center"/>
            <w:hideMark/>
          </w:tcPr>
          <w:p w:rsidR="00961050"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aux systèmes de vidage des receveurs de douche installés dans les locaux d’hygiène corporelle (salles de bains, etc.), quelle que soit la destination du bâtiment.</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s’applique aux dispositifs de vidage définis à l’article 4.</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ne s’applique pas aux systèmes de vidage des éviers, des lavabos, bidets et baignoires qui font ou feront l'objet de normes séparées.</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6D5F73" w:rsidRPr="0043547B" w:rsidRDefault="006D5F73" w:rsidP="00961050">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hideMark/>
          </w:tcPr>
          <w:p w:rsidR="006D5F73" w:rsidRPr="00951C84" w:rsidRDefault="006D5F73" w:rsidP="00961050">
            <w:pPr>
              <w:spacing w:after="0" w:line="240" w:lineRule="auto"/>
              <w:jc w:val="center"/>
              <w:rPr>
                <w:rFonts w:cstheme="minorHAnsi"/>
                <w:b/>
                <w:bCs/>
                <w:sz w:val="24"/>
                <w:szCs w:val="24"/>
              </w:rPr>
            </w:pPr>
            <w:r w:rsidRPr="00951C84">
              <w:rPr>
                <w:rFonts w:cstheme="minorHAnsi"/>
                <w:b/>
                <w:bCs/>
                <w:sz w:val="24"/>
                <w:szCs w:val="24"/>
              </w:rPr>
              <w:t>NM EN 1113</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6D5F73" w:rsidRPr="0043547B" w:rsidRDefault="006D5F73" w:rsidP="00961050">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6D5F73" w:rsidRPr="00951C84" w:rsidRDefault="006D5F73" w:rsidP="00961050">
            <w:pPr>
              <w:spacing w:after="0" w:line="240" w:lineRule="auto"/>
              <w:jc w:val="center"/>
              <w:rPr>
                <w:rFonts w:cstheme="minorHAnsi"/>
                <w:b/>
                <w:bCs/>
                <w:sz w:val="24"/>
                <w:szCs w:val="24"/>
              </w:rPr>
            </w:pPr>
            <w:r w:rsidRPr="00951C84">
              <w:rPr>
                <w:rFonts w:cstheme="minorHAnsi"/>
                <w:b/>
                <w:bCs/>
                <w:sz w:val="24"/>
                <w:szCs w:val="24"/>
              </w:rPr>
              <w:t>EN 1113</w:t>
            </w:r>
          </w:p>
        </w:tc>
      </w:tr>
      <w:tr w:rsidR="0043547B" w:rsidRPr="0043547B" w:rsidTr="00CB5DC0">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6D5F73" w:rsidRPr="0043547B" w:rsidRDefault="006D5F73" w:rsidP="00961050">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hideMark/>
          </w:tcPr>
          <w:p w:rsidR="006D5F73" w:rsidRPr="0043547B" w:rsidRDefault="006D5F73" w:rsidP="00961050">
            <w:pPr>
              <w:spacing w:after="0" w:line="240" w:lineRule="auto"/>
              <w:rPr>
                <w:rFonts w:cstheme="minorHAnsi"/>
                <w:sz w:val="24"/>
                <w:szCs w:val="24"/>
              </w:rPr>
            </w:pPr>
            <w:r w:rsidRPr="0043547B">
              <w:rPr>
                <w:rFonts w:cstheme="minorHAnsi"/>
                <w:sz w:val="24"/>
                <w:szCs w:val="24"/>
              </w:rPr>
              <w:t xml:space="preserve">Robinetterie sanitaire - Flexibles de douches pour robinetterie sanitaire pour les systèmes d'alimentation type 1 et type 2 - Spécifications techniques générales </w:t>
            </w:r>
          </w:p>
        </w:tc>
      </w:tr>
      <w:tr w:rsidR="0043547B" w:rsidRPr="0043547B" w:rsidTr="002644E1">
        <w:trPr>
          <w:trHeight w:val="699"/>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6D5F73" w:rsidRPr="0043547B" w:rsidRDefault="006D5F73" w:rsidP="00961050">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hideMark/>
          </w:tcPr>
          <w:p w:rsidR="00961050" w:rsidRDefault="006D5F73" w:rsidP="00961050">
            <w:pPr>
              <w:spacing w:after="0" w:line="240" w:lineRule="auto"/>
              <w:jc w:val="both"/>
              <w:rPr>
                <w:rFonts w:cstheme="minorHAnsi"/>
                <w:sz w:val="24"/>
                <w:szCs w:val="24"/>
              </w:rPr>
            </w:pPr>
            <w:r w:rsidRPr="0043547B">
              <w:rPr>
                <w:rFonts w:cstheme="minorHAnsi"/>
                <w:sz w:val="24"/>
                <w:szCs w:val="24"/>
              </w:rPr>
              <w:t>La présente Norme européenne spécifie :</w:t>
            </w:r>
          </w:p>
          <w:p w:rsidR="00961050" w:rsidRDefault="006D5F73" w:rsidP="00961050">
            <w:pPr>
              <w:spacing w:after="0" w:line="240" w:lineRule="auto"/>
              <w:jc w:val="both"/>
              <w:rPr>
                <w:rFonts w:cstheme="minorHAnsi"/>
                <w:sz w:val="24"/>
                <w:szCs w:val="24"/>
              </w:rPr>
            </w:pPr>
            <w:r w:rsidRPr="0043547B">
              <w:rPr>
                <w:rFonts w:cstheme="minorHAnsi"/>
                <w:sz w:val="24"/>
                <w:szCs w:val="24"/>
              </w:rPr>
              <w:t>— les caractéristiques dimensionnelles, d’étanchéité, de comportement mécanique et hydraulique auxquelles il</w:t>
            </w:r>
            <w:r w:rsidR="007F63D3">
              <w:rPr>
                <w:rFonts w:cstheme="minorHAnsi"/>
                <w:sz w:val="24"/>
                <w:szCs w:val="24"/>
              </w:rPr>
              <w:t xml:space="preserve"> </w:t>
            </w:r>
            <w:r w:rsidRPr="0043547B">
              <w:rPr>
                <w:rFonts w:cstheme="minorHAnsi"/>
                <w:sz w:val="24"/>
                <w:szCs w:val="24"/>
              </w:rPr>
              <w:t>convient que les flexibles de douches répondent ;</w:t>
            </w:r>
          </w:p>
          <w:p w:rsidR="00961050" w:rsidRDefault="006D5F73" w:rsidP="00961050">
            <w:pPr>
              <w:spacing w:after="0" w:line="240" w:lineRule="auto"/>
              <w:jc w:val="both"/>
              <w:rPr>
                <w:rFonts w:cstheme="minorHAnsi"/>
                <w:sz w:val="24"/>
                <w:szCs w:val="24"/>
              </w:rPr>
            </w:pPr>
            <w:r w:rsidRPr="0043547B">
              <w:rPr>
                <w:rFonts w:cstheme="minorHAnsi"/>
                <w:sz w:val="24"/>
                <w:szCs w:val="24"/>
              </w:rPr>
              <w:t>— les modes opératoires d’essai permettant de contrôler ces caractéristiques.</w:t>
            </w:r>
          </w:p>
          <w:p w:rsidR="00961050" w:rsidRDefault="006D5F73" w:rsidP="00961050">
            <w:pPr>
              <w:spacing w:after="0" w:line="240" w:lineRule="auto"/>
              <w:jc w:val="both"/>
              <w:rPr>
                <w:rFonts w:cstheme="minorHAnsi"/>
                <w:sz w:val="24"/>
                <w:szCs w:val="24"/>
              </w:rPr>
            </w:pPr>
            <w:r w:rsidRPr="0043547B">
              <w:rPr>
                <w:rFonts w:cstheme="minorHAnsi"/>
                <w:sz w:val="24"/>
                <w:szCs w:val="24"/>
              </w:rPr>
              <w:t>La présente Norme européenne s’applique aux flexibles de douches, quel que soit le matériau utilisé, destinés</w:t>
            </w:r>
            <w:r w:rsidR="007F63D3">
              <w:rPr>
                <w:rFonts w:cstheme="minorHAnsi"/>
                <w:sz w:val="24"/>
                <w:szCs w:val="24"/>
              </w:rPr>
              <w:t xml:space="preserve"> </w:t>
            </w:r>
            <w:r w:rsidRPr="0043547B">
              <w:rPr>
                <w:rFonts w:cstheme="minorHAnsi"/>
                <w:sz w:val="24"/>
                <w:szCs w:val="24"/>
              </w:rPr>
              <w:t>à équiper et à compléter les robinetteries sanitaires de baignoires ou de douches réservées pour l’hygiène corporelle.</w:t>
            </w:r>
          </w:p>
          <w:p w:rsidR="00961050" w:rsidRDefault="006D5F73" w:rsidP="00961050">
            <w:pPr>
              <w:spacing w:after="0" w:line="240" w:lineRule="auto"/>
              <w:jc w:val="both"/>
              <w:rPr>
                <w:rFonts w:cstheme="minorHAnsi"/>
                <w:sz w:val="24"/>
                <w:szCs w:val="24"/>
              </w:rPr>
            </w:pPr>
            <w:r w:rsidRPr="0043547B">
              <w:rPr>
                <w:rFonts w:cstheme="minorHAnsi"/>
                <w:sz w:val="24"/>
                <w:szCs w:val="24"/>
              </w:rPr>
              <w:t>La présente Norme européenne s’applique aux flexibles de douches connectés en aval de l’obturateur de</w:t>
            </w:r>
            <w:r w:rsidR="007F63D3">
              <w:rPr>
                <w:rFonts w:cstheme="minorHAnsi"/>
                <w:sz w:val="24"/>
                <w:szCs w:val="24"/>
              </w:rPr>
              <w:t xml:space="preserve"> </w:t>
            </w:r>
            <w:r w:rsidRPr="0043547B">
              <w:rPr>
                <w:rFonts w:cstheme="minorHAnsi"/>
                <w:sz w:val="24"/>
                <w:szCs w:val="24"/>
              </w:rPr>
              <w:t>la robinetterie.</w:t>
            </w:r>
          </w:p>
          <w:p w:rsidR="00961050" w:rsidRDefault="006D5F73" w:rsidP="00961050">
            <w:pPr>
              <w:spacing w:after="0" w:line="240" w:lineRule="auto"/>
              <w:jc w:val="both"/>
              <w:rPr>
                <w:rFonts w:cstheme="minorHAnsi"/>
                <w:sz w:val="24"/>
                <w:szCs w:val="24"/>
              </w:rPr>
            </w:pPr>
            <w:r w:rsidRPr="0043547B">
              <w:rPr>
                <w:rFonts w:cstheme="minorHAnsi"/>
                <w:sz w:val="24"/>
                <w:szCs w:val="24"/>
              </w:rPr>
              <w:t>Les flexibles destinés à raccorder les robinetteries sanitaires à l’installation, ainsi que ceux qui font partie de la</w:t>
            </w:r>
            <w:r w:rsidR="007F63D3">
              <w:rPr>
                <w:rFonts w:cstheme="minorHAnsi"/>
                <w:sz w:val="24"/>
                <w:szCs w:val="24"/>
              </w:rPr>
              <w:t xml:space="preserve"> </w:t>
            </w:r>
            <w:r w:rsidRPr="0043547B">
              <w:rPr>
                <w:rFonts w:cstheme="minorHAnsi"/>
                <w:sz w:val="24"/>
                <w:szCs w:val="24"/>
              </w:rPr>
              <w:t>robinetterie (mitigeurs pour évier et lavabo) ne sont pas couverts par la présente Norme européenne.</w:t>
            </w:r>
          </w:p>
          <w:p w:rsidR="006D5F73" w:rsidRPr="0043547B" w:rsidRDefault="006D5F73" w:rsidP="00961050">
            <w:pPr>
              <w:spacing w:after="0" w:line="240" w:lineRule="auto"/>
              <w:jc w:val="both"/>
              <w:rPr>
                <w:rFonts w:cstheme="minorHAnsi"/>
                <w:sz w:val="24"/>
                <w:szCs w:val="24"/>
              </w:rPr>
            </w:pPr>
            <w:r w:rsidRPr="0043547B">
              <w:rPr>
                <w:rFonts w:cstheme="minorHAnsi"/>
                <w:sz w:val="24"/>
                <w:szCs w:val="24"/>
              </w:rPr>
              <w:lastRenderedPageBreak/>
              <w:t>Les exigences relatives à la pression et à la température sont données dans le Tableau 1.</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10.4.234</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Robinetterie de bâtiment – Réducteurs de pression d’eau – Spécifications techniques générales </w:t>
            </w:r>
          </w:p>
        </w:tc>
      </w:tr>
      <w:tr w:rsidR="0043547B" w:rsidRPr="0043547B" w:rsidTr="00CB5DC0">
        <w:trPr>
          <w:trHeight w:val="210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aux réducteurs de pression d'eau de dénomination 1/2 à 2 ou de DN 25 à 50, destinés à équiper les installations de distribution d'eau chaude et froide, sanitaire ou non.</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réducteurs visés par La norme peuvent être utilisés pour de l'eau dont la pression à l'amont de l'appareil ne dépasse pas 1,6 MPa (16 bar) et dont la température (cas de l’eau chaude) ne dépasse pas 80 °C. Ces réducteurs peuvent être montés dans n’importe quelle position.</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ne s’applique pas aux réducteurs spécialement conçus pour des applications particulières.</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10.4.235</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Eviers de cuisine - Codes de raccordement </w:t>
            </w:r>
          </w:p>
        </w:tc>
      </w:tr>
      <w:tr w:rsidR="0043547B" w:rsidRPr="0043547B" w:rsidTr="00CB5DC0">
        <w:trPr>
          <w:trHeight w:val="841"/>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Cette norme est applicable aux éviers de cuisine à usage domestique et applications analogues.</w:t>
            </w:r>
            <w:r w:rsidRPr="0043547B">
              <w:rPr>
                <w:rFonts w:eastAsia="Times New Roman" w:cstheme="minorHAnsi"/>
                <w:sz w:val="24"/>
                <w:szCs w:val="24"/>
                <w:lang w:eastAsia="fr-FR"/>
              </w:rPr>
              <w:br/>
              <w:t>Cette norme prescrit les cotes de raccordement pour éviers de cuisine à usage domestique. Elle n’est pas applicable aux éviers de cuisine industriels, ni aux éviers de cuisine comportant une robinetterie à deux trous.</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10.4.236</w:t>
            </w:r>
          </w:p>
        </w:tc>
      </w:tr>
      <w:tr w:rsidR="0043547B" w:rsidRPr="0043547B" w:rsidTr="00CB5DC0">
        <w:trPr>
          <w:trHeight w:val="37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Robinetterie de bâtiment – Clapets de non-retour de classe A, contrôlables – Spécifications techniques générales </w:t>
            </w:r>
          </w:p>
        </w:tc>
      </w:tr>
      <w:tr w:rsidR="0043547B" w:rsidRPr="0043547B" w:rsidTr="00CB5DC0">
        <w:trPr>
          <w:trHeight w:val="99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aux clapets de non-retour ISO PN 10 de dénomination 3/8 à 2 inclus destinés à être installés dans une position quelconque sur les circuits d'alimentation d'eau froide et d'eau chaude.</w:t>
            </w:r>
          </w:p>
          <w:p w:rsidR="00904E52"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clapets de non-retour de classe A pour tout usage, sont notamment destinés à être placés en aval des compteurs d'eau, sur des branchements etc.</w:t>
            </w:r>
          </w:p>
          <w:p w:rsidR="00961050" w:rsidRPr="0043547B" w:rsidRDefault="00961050" w:rsidP="00904E52">
            <w:pPr>
              <w:spacing w:after="0" w:line="240" w:lineRule="auto"/>
              <w:jc w:val="both"/>
              <w:rPr>
                <w:rFonts w:eastAsia="Times New Roman" w:cstheme="minorHAnsi"/>
                <w:sz w:val="24"/>
                <w:szCs w:val="24"/>
                <w:lang w:eastAsia="fr-FR"/>
              </w:rPr>
            </w:pP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10.4.237</w:t>
            </w:r>
          </w:p>
        </w:tc>
      </w:tr>
      <w:tr w:rsidR="0043547B" w:rsidRPr="0043547B" w:rsidTr="00CB5DC0">
        <w:trPr>
          <w:trHeight w:val="600"/>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Robinetterie de bâtiment – Clapets de non-retour de classe B, non contrôlables – Spécifications techniques générales </w:t>
            </w:r>
          </w:p>
        </w:tc>
      </w:tr>
      <w:tr w:rsidR="0043547B" w:rsidRPr="0043547B" w:rsidTr="00CB5DC0">
        <w:trPr>
          <w:trHeight w:val="1482"/>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aux clapets de non-retour non contrôlables «ISO PN 10 de déno</w:t>
            </w:r>
            <w:r w:rsidRPr="0043547B">
              <w:rPr>
                <w:rFonts w:eastAsia="Times New Roman" w:cstheme="minorHAnsi"/>
                <w:sz w:val="24"/>
                <w:szCs w:val="24"/>
                <w:lang w:eastAsia="fr-FR"/>
              </w:rPr>
              <w:softHyphen/>
              <w:t>mination 3/8 à 2» inclus destinés à être installés dans une position quelconque sur les circuits d'ali</w:t>
            </w:r>
            <w:r w:rsidRPr="0043547B">
              <w:rPr>
                <w:rFonts w:eastAsia="Times New Roman" w:cstheme="minorHAnsi"/>
                <w:sz w:val="24"/>
                <w:szCs w:val="24"/>
                <w:lang w:eastAsia="fr-FR"/>
              </w:rPr>
              <w:softHyphen/>
              <w:t>mentation d'eau froide et d'eau chaude.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clapets de classe B sont destinés plus spécialement aux circuits secondaires et aux appa</w:t>
            </w:r>
            <w:r w:rsidRPr="0043547B">
              <w:rPr>
                <w:rFonts w:eastAsia="Times New Roman" w:cstheme="minorHAnsi"/>
                <w:sz w:val="24"/>
                <w:szCs w:val="24"/>
                <w:lang w:eastAsia="fr-FR"/>
              </w:rPr>
              <w:softHyphen/>
              <w:t>reils divers raccordés sur un réseau déjà protégé (par exemple par un clapet de classe A).</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10.4.238</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Bidet suspendu à alimentation par surverse – Côtes de raccordement </w:t>
            </w:r>
          </w:p>
        </w:tc>
      </w:tr>
      <w:tr w:rsidR="0043547B" w:rsidRPr="0043547B" w:rsidTr="002644E1">
        <w:trPr>
          <w:trHeight w:val="699"/>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caractéristiques de raccordement des bidets suspen</w:t>
            </w:r>
            <w:r w:rsidRPr="0043547B">
              <w:rPr>
                <w:rFonts w:eastAsia="Times New Roman" w:cstheme="minorHAnsi"/>
                <w:sz w:val="24"/>
                <w:szCs w:val="24"/>
                <w:lang w:eastAsia="fr-FR"/>
              </w:rPr>
              <w:softHyphen/>
              <w:t>dus à alimentation par surverse, quels que soient les matériaux entrant dans leur fabrication.</w:t>
            </w:r>
          </w:p>
          <w:p w:rsidR="00904E52" w:rsidRPr="0043547B" w:rsidRDefault="00904E52" w:rsidP="00A32960">
            <w:pPr>
              <w:spacing w:after="0" w:line="240" w:lineRule="auto"/>
              <w:jc w:val="both"/>
              <w:rPr>
                <w:rFonts w:eastAsia="Times New Roman" w:cstheme="minorHAnsi"/>
                <w:i/>
                <w:iCs/>
                <w:sz w:val="24"/>
                <w:szCs w:val="24"/>
                <w:lang w:eastAsia="fr-FR"/>
              </w:rPr>
            </w:pPr>
            <w:r w:rsidRPr="0043547B">
              <w:rPr>
                <w:rFonts w:eastAsia="Times New Roman" w:cstheme="minorHAnsi"/>
                <w:b/>
                <w:bCs/>
                <w:i/>
                <w:iCs/>
                <w:sz w:val="24"/>
                <w:szCs w:val="24"/>
                <w:lang w:eastAsia="fr-FR"/>
              </w:rPr>
              <w:t>N</w:t>
            </w:r>
            <w:r w:rsidR="00A32960" w:rsidRPr="0043547B">
              <w:rPr>
                <w:rFonts w:eastAsia="Times New Roman" w:cstheme="minorHAnsi"/>
                <w:b/>
                <w:bCs/>
                <w:i/>
                <w:iCs/>
                <w:sz w:val="24"/>
                <w:szCs w:val="24"/>
                <w:lang w:eastAsia="fr-FR"/>
              </w:rPr>
              <w:t>ote</w:t>
            </w:r>
            <w:r w:rsidRPr="0043547B">
              <w:rPr>
                <w:rFonts w:eastAsia="Times New Roman" w:cstheme="minorHAnsi"/>
                <w:i/>
                <w:iCs/>
                <w:sz w:val="24"/>
                <w:szCs w:val="24"/>
                <w:lang w:eastAsia="fr-FR"/>
              </w:rPr>
              <w:t xml:space="preserve"> </w:t>
            </w:r>
            <w:r w:rsidR="00A32960" w:rsidRPr="0043547B">
              <w:rPr>
                <w:rFonts w:eastAsia="Times New Roman" w:cstheme="minorHAnsi"/>
                <w:i/>
                <w:iCs/>
                <w:sz w:val="24"/>
                <w:szCs w:val="24"/>
                <w:lang w:eastAsia="fr-FR"/>
              </w:rPr>
              <w:t>-</w:t>
            </w:r>
            <w:r w:rsidRPr="0043547B">
              <w:rPr>
                <w:rFonts w:eastAsia="Times New Roman" w:cstheme="minorHAnsi"/>
                <w:i/>
                <w:iCs/>
                <w:sz w:val="24"/>
                <w:szCs w:val="24"/>
                <w:lang w:eastAsia="fr-FR"/>
              </w:rPr>
              <w:t xml:space="preserve"> Seules les dimensions des parties cotées doivent être respectées. La forme schématique des appareils représentée dans les figures est donnée uniquement </w:t>
            </w:r>
            <w:r w:rsidRPr="0043547B">
              <w:rPr>
                <w:rFonts w:eastAsia="Times New Roman" w:cstheme="minorHAnsi"/>
                <w:i/>
                <w:iCs/>
                <w:sz w:val="24"/>
                <w:szCs w:val="24"/>
                <w:lang w:eastAsia="fr-FR"/>
              </w:rPr>
              <w:lastRenderedPageBreak/>
              <w:t>pour faciliter la compréhension ; elle ne préjuge en rien de la forme définitive de l'appareil qui est laissée à l'initiative des fabricants.</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7349</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7349</w:t>
            </w:r>
          </w:p>
        </w:tc>
      </w:tr>
      <w:tr w:rsidR="0043547B" w:rsidRPr="0043547B" w:rsidTr="00CB5DC0">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Robinets en matières thermoplastiques – Références de raccordement</w:t>
            </w:r>
          </w:p>
        </w:tc>
      </w:tr>
      <w:tr w:rsidR="0043547B" w:rsidRPr="0043547B" w:rsidTr="00CB5DC0">
        <w:trPr>
          <w:trHeight w:val="120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et identifie, sous la forme d’un tableau de comparaison, les divers types de raccordements de robinets en matières thermoplastiques à des tubes.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pourra être ultérieurement étendue à d’autres types de raccordements, ou séries additionnelles de tubes.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La désignation du type de raccordement sera spécifiée dans la norme de produit appropriée. </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ISO 7121</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7121</w:t>
            </w:r>
          </w:p>
        </w:tc>
      </w:tr>
      <w:tr w:rsidR="0043547B" w:rsidRPr="0043547B" w:rsidTr="00CB5DC0">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Robinets à tournant sphérique en acier, à brides</w:t>
            </w:r>
          </w:p>
        </w:tc>
      </w:tr>
      <w:tr w:rsidR="0043547B" w:rsidRPr="0043547B" w:rsidTr="00CB5DC0">
        <w:trPr>
          <w:trHeight w:val="464"/>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center"/>
            <w:hideMark/>
          </w:tcPr>
          <w:p w:rsidR="00904E52" w:rsidRPr="0043547B" w:rsidRDefault="00904E52" w:rsidP="00A32960">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caractéristiques des robinets à tournant sphérique en acier à brides de pression nominale ISO PN</w:t>
            </w:r>
            <w:r w:rsidR="00A32960" w:rsidRPr="0043547B">
              <w:rPr>
                <w:rFonts w:eastAsia="Times New Roman" w:cstheme="minorHAnsi"/>
                <w:sz w:val="24"/>
                <w:szCs w:val="24"/>
                <w:lang w:eastAsia="fr-FR"/>
              </w:rPr>
              <w:t>10</w:t>
            </w:r>
            <w:r w:rsidRPr="0043547B">
              <w:rPr>
                <w:rFonts w:eastAsia="Times New Roman" w:cstheme="minorHAnsi"/>
                <w:sz w:val="24"/>
                <w:szCs w:val="24"/>
                <w:lang w:eastAsia="fr-FR"/>
              </w:rPr>
              <w:t xml:space="preserve"> à ISO PN</w:t>
            </w:r>
            <w:r w:rsidR="00A32960" w:rsidRPr="0043547B">
              <w:rPr>
                <w:rFonts w:eastAsia="Times New Roman" w:cstheme="minorHAnsi"/>
                <w:sz w:val="24"/>
                <w:szCs w:val="24"/>
                <w:lang w:eastAsia="fr-FR"/>
              </w:rPr>
              <w:t>100</w:t>
            </w:r>
            <w:r w:rsidRPr="0043547B">
              <w:rPr>
                <w:rFonts w:eastAsia="Times New Roman" w:cstheme="minorHAnsi"/>
                <w:sz w:val="24"/>
                <w:szCs w:val="24"/>
                <w:lang w:eastAsia="fr-FR"/>
              </w:rPr>
              <w:t xml:space="preserve"> et de diamètre nominal DN10 à DN500.</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ISO 10631</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10631</w:t>
            </w:r>
          </w:p>
        </w:tc>
      </w:tr>
      <w:tr w:rsidR="0043547B" w:rsidRPr="0043547B" w:rsidTr="00CB5DC0">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Robinets métalliques à papillon d’usage général </w:t>
            </w:r>
          </w:p>
        </w:tc>
      </w:tr>
      <w:tr w:rsidR="0043547B" w:rsidRPr="0043547B" w:rsidTr="00CB5DC0">
        <w:trPr>
          <w:trHeight w:val="845"/>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prescrit les caractéristiques des robinets métalliques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à papillon centré ou non centré,</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à arbre centré ou non centré,</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à siège métallique, en plastomère, en élastomère ou en composite,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à corps revêtu ou non revêtu,</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à papillon revêtu ou non revêtu, destines à être installés sur des canalisations munies de brides ou d’embouts à souder et utilisés en sectionnement, réglage ou régulation.</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traite des robinets à papillon aux diamètres nominaux DN</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40; 50; 65; 80; 100; 125; 150; 200; 250; 300; 350; 400; 450; 500; 550; 600; 650; 700; 750; 800; 900; 1 000; 1 200; 1 400; 1 600; 1 800; 2 000; et est applicable aux robinets de pressions nominales PN 2,5; 6; 10; 16; 20; 25; 40; 50.</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7508</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7508</w:t>
            </w:r>
          </w:p>
        </w:tc>
      </w:tr>
      <w:tr w:rsidR="0043547B" w:rsidRPr="0043547B" w:rsidTr="00CB5DC0">
        <w:trPr>
          <w:trHeight w:val="6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Robinets en polychlorure de vinyle non plastifié (PVC–U) pour tubes avec pression – Dimensions de base – Série métrique </w:t>
            </w:r>
          </w:p>
        </w:tc>
      </w:tr>
      <w:tr w:rsidR="0043547B" w:rsidRPr="0043547B" w:rsidTr="00E26A1D">
        <w:trPr>
          <w:trHeight w:val="699"/>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w w:val="95"/>
                <w:sz w:val="24"/>
                <w:szCs w:val="24"/>
                <w:lang w:eastAsia="fr-FR"/>
              </w:rPr>
            </w:pPr>
            <w:r w:rsidRPr="0043547B">
              <w:rPr>
                <w:rFonts w:eastAsia="Times New Roman" w:cstheme="minorHAnsi"/>
                <w:w w:val="95"/>
                <w:sz w:val="24"/>
                <w:szCs w:val="24"/>
                <w:lang w:eastAsia="fr-FR"/>
              </w:rPr>
              <w:t>La norme est applicable aux - robinets PN 10 et 16 de diamètre extérieur nominal, &amp;, de 16 à 160 mm avec brides de raccordement de DN 10 à 150, présentés dans le tableau 1 :</w:t>
            </w:r>
          </w:p>
          <w:p w:rsidR="00904E52" w:rsidRPr="0043547B" w:rsidRDefault="00904E52" w:rsidP="00904E52">
            <w:pPr>
              <w:spacing w:after="0" w:line="240" w:lineRule="auto"/>
              <w:jc w:val="both"/>
              <w:rPr>
                <w:rFonts w:eastAsia="Times New Roman" w:cstheme="minorHAnsi"/>
                <w:w w:val="95"/>
                <w:sz w:val="24"/>
                <w:szCs w:val="24"/>
                <w:lang w:eastAsia="fr-FR"/>
              </w:rPr>
            </w:pPr>
            <w:r w:rsidRPr="0043547B">
              <w:rPr>
                <w:rFonts w:eastAsia="Times New Roman" w:cstheme="minorHAnsi"/>
                <w:w w:val="95"/>
                <w:sz w:val="24"/>
                <w:szCs w:val="24"/>
                <w:lang w:eastAsia="fr-FR"/>
              </w:rPr>
              <w:t>- robinets à papillon PN 10 et 16 avec brides de DN 40 à 300 et robinets à papillon sans brides montés entre des brides de tuyauterie de DN 40 à 300, présentés dans le tableau 2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robinets avec abouts mâles lisses pour les diamètres de tube en PVC-U de 16 à                       160 mm, présentés dans le tableau 3 ;</w:t>
            </w:r>
          </w:p>
          <w:p w:rsidR="00904E52" w:rsidRPr="0043547B" w:rsidRDefault="00904E52" w:rsidP="007F63D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lastRenderedPageBreak/>
              <w:t>- robinets avec emboîtements lisses pour les diamètres de tube e</w:t>
            </w:r>
            <w:r w:rsidR="007F63D3">
              <w:rPr>
                <w:rFonts w:eastAsia="Times New Roman" w:cstheme="minorHAnsi"/>
                <w:sz w:val="24"/>
                <w:szCs w:val="24"/>
                <w:lang w:eastAsia="fr-FR"/>
              </w:rPr>
              <w:t xml:space="preserve">n PVC-U de 16 à  </w:t>
            </w:r>
            <w:r w:rsidRPr="0043547B">
              <w:rPr>
                <w:rFonts w:eastAsia="Times New Roman" w:cstheme="minorHAnsi"/>
                <w:sz w:val="24"/>
                <w:szCs w:val="24"/>
                <w:lang w:eastAsia="fr-FR"/>
              </w:rPr>
              <w:t xml:space="preserve"> 90 mm; présentés dans le tableau 4. </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5209</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5209</w:t>
            </w:r>
          </w:p>
        </w:tc>
      </w:tr>
      <w:tr w:rsidR="0043547B" w:rsidRPr="0043547B" w:rsidTr="00CB5DC0">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Appareils de robinetterie industrielle d’usage général – Marquage</w:t>
            </w:r>
          </w:p>
        </w:tc>
      </w:tr>
      <w:tr w:rsidR="0043547B" w:rsidRPr="0043547B" w:rsidTr="00CB5DC0">
        <w:trPr>
          <w:trHeight w:val="180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La norme spécifie les marques obligatoires et les marques facultatives à porter sur les appareils de robinetterie industrielle d’usage général et indique la manière de réaliser le marquage, soit sur le corps, soit sur une bride, soit sur une plaque d’identification. Le marquage sur le corps peut être effectué directement sur celui-ci ou sur une plaque fixée sur le corps par un moyen sûr. Le matériau de cette plaque, qui est distincte de la plaque d’identification précitée, et la méthode de fixation au corps seront spécifiés dans La norme correspondant au type particulier d’appareil. </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10.4.289</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Appareils sanitaires – Abattants de WC </w:t>
            </w:r>
          </w:p>
        </w:tc>
      </w:tr>
      <w:tr w:rsidR="0043547B" w:rsidRPr="0043547B" w:rsidTr="00CB5DC0">
        <w:trPr>
          <w:trHeight w:val="3375"/>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aux abattants de WC, quelle que soit leur forme, et de masse totale supérieure à 1 kg pour les abattants simples ou 1,2 kg pour les abattants doubles, «anti-contact» ou non. La masse est mesurée avec les tampons et le dormant (sauf si celui-ci est un cache), mais sans les charnières ni les fixations.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abattants pour cuvettes «enfant» sont aussi concernés par cette norme. Le critère de masse ne s'applique pas à eux.</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matériaux actuellement utilisés sont les suivants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bois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bois compressé laqué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matériau composite réticulé à base de bois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matériaux de synthèse (thermoplastiques et thermodurcissables)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matériaux de synthèse sur âme bois.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ne s'applique pas aux accessoires non fixés (ex : siège enfant).</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6D5F73" w:rsidRPr="0043547B" w:rsidRDefault="006D5F73" w:rsidP="00961050">
            <w:pPr>
              <w:spacing w:after="100" w:afterAutospacing="1" w:line="240" w:lineRule="auto"/>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hideMark/>
          </w:tcPr>
          <w:p w:rsidR="006D5F73" w:rsidRPr="00951C84" w:rsidRDefault="006D5F73" w:rsidP="00961050">
            <w:pPr>
              <w:spacing w:after="100" w:afterAutospacing="1" w:line="240" w:lineRule="auto"/>
              <w:jc w:val="center"/>
              <w:rPr>
                <w:rFonts w:cstheme="minorHAnsi"/>
                <w:b/>
                <w:bCs/>
                <w:sz w:val="24"/>
                <w:szCs w:val="24"/>
              </w:rPr>
            </w:pPr>
            <w:r w:rsidRPr="00951C84">
              <w:rPr>
                <w:rFonts w:cstheme="minorHAnsi"/>
                <w:b/>
                <w:bCs/>
                <w:sz w:val="24"/>
                <w:szCs w:val="24"/>
              </w:rPr>
              <w:t>NM EN 35</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6D5F73" w:rsidRPr="0043547B" w:rsidRDefault="006D5F73" w:rsidP="00961050">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6D5F73" w:rsidRPr="00951C84" w:rsidRDefault="006D5F73" w:rsidP="00961050">
            <w:pPr>
              <w:spacing w:after="0" w:line="240" w:lineRule="auto"/>
              <w:jc w:val="center"/>
              <w:rPr>
                <w:rFonts w:cstheme="minorHAnsi"/>
                <w:b/>
                <w:bCs/>
                <w:sz w:val="24"/>
                <w:szCs w:val="24"/>
              </w:rPr>
            </w:pPr>
            <w:r w:rsidRPr="00951C84">
              <w:rPr>
                <w:rFonts w:cstheme="minorHAnsi"/>
                <w:b/>
                <w:bCs/>
                <w:sz w:val="24"/>
                <w:szCs w:val="24"/>
              </w:rPr>
              <w:t>EN 35</w:t>
            </w:r>
          </w:p>
        </w:tc>
      </w:tr>
      <w:tr w:rsidR="0043547B" w:rsidRPr="0043547B" w:rsidTr="00CB5DC0">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6D5F73" w:rsidRPr="0043547B" w:rsidRDefault="006D5F73" w:rsidP="006D5F73">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hideMark/>
          </w:tcPr>
          <w:p w:rsidR="006D5F73" w:rsidRPr="0043547B" w:rsidRDefault="006D5F73" w:rsidP="00961050">
            <w:pPr>
              <w:spacing w:after="0" w:line="240" w:lineRule="auto"/>
              <w:rPr>
                <w:rFonts w:cstheme="minorHAnsi"/>
                <w:sz w:val="24"/>
                <w:szCs w:val="24"/>
              </w:rPr>
            </w:pPr>
            <w:r w:rsidRPr="0043547B">
              <w:rPr>
                <w:rFonts w:cstheme="minorHAnsi"/>
                <w:sz w:val="24"/>
                <w:szCs w:val="24"/>
              </w:rPr>
              <w:t xml:space="preserve">Bidets sur pied et bidets suspendus à alimentation par surverse - Cotes de raccordement   </w:t>
            </w:r>
          </w:p>
        </w:tc>
      </w:tr>
      <w:tr w:rsidR="0043547B" w:rsidRPr="0043547B" w:rsidTr="00CB5DC0">
        <w:trPr>
          <w:trHeight w:val="1653"/>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6D5F73" w:rsidRPr="0043547B" w:rsidRDefault="006D5F73" w:rsidP="00961050">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hideMark/>
          </w:tcPr>
          <w:p w:rsidR="00577BE7" w:rsidRPr="00577BE7" w:rsidRDefault="006D5F73" w:rsidP="00577BE7">
            <w:pPr>
              <w:spacing w:after="0" w:line="240" w:lineRule="auto"/>
              <w:jc w:val="both"/>
              <w:rPr>
                <w:rFonts w:cstheme="minorHAnsi"/>
                <w:i/>
                <w:iCs/>
              </w:rPr>
            </w:pPr>
            <w:r w:rsidRPr="0043547B">
              <w:rPr>
                <w:rFonts w:cstheme="minorHAnsi"/>
                <w:sz w:val="24"/>
                <w:szCs w:val="24"/>
              </w:rPr>
              <w:t>La présente norme fixe les cotes de raccordement des bidets sur pied et des bidets suspendus à alimentation par</w:t>
            </w:r>
            <w:r w:rsidR="00577BE7">
              <w:rPr>
                <w:rFonts w:cstheme="minorHAnsi"/>
                <w:sz w:val="24"/>
                <w:szCs w:val="24"/>
              </w:rPr>
              <w:t xml:space="preserve"> </w:t>
            </w:r>
            <w:r w:rsidRPr="0043547B">
              <w:rPr>
                <w:rFonts w:cstheme="minorHAnsi"/>
                <w:sz w:val="24"/>
                <w:szCs w:val="24"/>
              </w:rPr>
              <w:t>surverse (désignés ci-après : bidets) conformément à l'EN 14528, indépendamment du matériau dont ils sont</w:t>
            </w:r>
            <w:r w:rsidRPr="0043547B">
              <w:rPr>
                <w:rFonts w:cstheme="minorHAnsi"/>
                <w:sz w:val="24"/>
                <w:szCs w:val="24"/>
              </w:rPr>
              <w:br/>
              <w:t>constitués.</w:t>
            </w:r>
            <w:r w:rsidRPr="0043547B">
              <w:rPr>
                <w:rFonts w:cstheme="minorHAnsi"/>
                <w:sz w:val="24"/>
                <w:szCs w:val="24"/>
              </w:rPr>
              <w:br/>
            </w:r>
            <w:r w:rsidRPr="00577BE7">
              <w:rPr>
                <w:rFonts w:cstheme="minorHAnsi"/>
                <w:b/>
                <w:bCs/>
                <w:i/>
                <w:iCs/>
              </w:rPr>
              <w:t>NOTE 1 :</w:t>
            </w:r>
            <w:r w:rsidRPr="00577BE7">
              <w:rPr>
                <w:rFonts w:cstheme="minorHAnsi"/>
                <w:i/>
                <w:iCs/>
              </w:rPr>
              <w:t xml:space="preserve"> D'autres cotes de raccordement sont autorisées, par exemple pour les bidets de conception particulière, si le fabricant fournit ou recommande les raccords appropriés.</w:t>
            </w:r>
          </w:p>
          <w:p w:rsidR="006D5F73" w:rsidRPr="0043547B" w:rsidRDefault="006D5F73" w:rsidP="00577BE7">
            <w:pPr>
              <w:spacing w:after="0" w:line="240" w:lineRule="auto"/>
              <w:jc w:val="both"/>
              <w:rPr>
                <w:rFonts w:cstheme="minorHAnsi"/>
                <w:sz w:val="24"/>
                <w:szCs w:val="24"/>
              </w:rPr>
            </w:pPr>
            <w:r w:rsidRPr="00577BE7">
              <w:rPr>
                <w:rFonts w:cstheme="minorHAnsi"/>
                <w:b/>
                <w:bCs/>
                <w:i/>
                <w:iCs/>
              </w:rPr>
              <w:t>NOTE 2 :</w:t>
            </w:r>
            <w:r w:rsidRPr="00577BE7">
              <w:rPr>
                <w:rFonts w:cstheme="minorHAnsi"/>
                <w:i/>
                <w:iCs/>
              </w:rPr>
              <w:t xml:space="preserve"> La forme schématique des appareils représentés dans les figures est donnée uniquement pour faciliter la</w:t>
            </w:r>
            <w:r w:rsidR="00577BE7" w:rsidRPr="00577BE7">
              <w:rPr>
                <w:rFonts w:cstheme="minorHAnsi"/>
                <w:i/>
                <w:iCs/>
              </w:rPr>
              <w:t xml:space="preserve"> </w:t>
            </w:r>
            <w:r w:rsidRPr="00577BE7">
              <w:rPr>
                <w:rFonts w:cstheme="minorHAnsi"/>
                <w:i/>
                <w:iCs/>
              </w:rPr>
              <w:t>compréhension ; elle ne préjuge en rien de la forme définitive de l'appareil, qui est laissée à l'initiative des fabricants.</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10.4.299</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EN 32</w:t>
            </w:r>
          </w:p>
        </w:tc>
      </w:tr>
      <w:tr w:rsidR="0043547B" w:rsidRPr="0043547B" w:rsidTr="00CB5DC0">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Lavabo suspendu – Cotes de raccordement </w:t>
            </w:r>
          </w:p>
        </w:tc>
      </w:tr>
      <w:tr w:rsidR="0043547B" w:rsidRPr="0043547B" w:rsidTr="00CB5DC0">
        <w:trPr>
          <w:trHeight w:val="573"/>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caractéristiques de raccordement des lavabos suspendus, quels que soient les matériaux entrant dans leur fabrication. Elle ne se réfère pas aux appareils de largeur réelle inférieure à 530 mm ou supérieure à 750 mm.</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10.4.301</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1488</w:t>
            </w:r>
          </w:p>
        </w:tc>
      </w:tr>
      <w:tr w:rsidR="0043547B" w:rsidRPr="0043547B" w:rsidTr="00CB5DC0">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Robinetterie de bâtiment – Groupes d’expansion – Essais et prescriptions </w:t>
            </w:r>
          </w:p>
        </w:tc>
      </w:tr>
      <w:tr w:rsidR="0043547B" w:rsidRPr="0043547B" w:rsidTr="00CB5DC0">
        <w:trPr>
          <w:trHeight w:val="56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dimensions, la nature des matériaux et les exigences de performance (y compris les méthodes d'essai) auxquelles doivent satisfaire les groupes d'expansion pour des dimensions nominales de DN 15 à DN 40 et avec des pressions de service 1) de 0,1 MPa (1 bar) à 1,0 MPa (10 bar).</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groupes d'expansion sont destinés à être installés sur le circuit d'eau froide des chauffe-eau à accumulation, dont la température ne dépasse pas 95 °C, quel que soit le mode d'énergie utilisé.</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groupes d'expansion permettent de limiter l'augmentation de la pression du fluide contenu dans le chauffe-eau, qui est générée par la dilatation de l'eau.</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 groupe d'expansion ne contrôle pas la température et ne constitue pas à lui seul les sécurités nécessaires au chauffe-eau à accumulation.</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10.4.315</w:t>
            </w:r>
          </w:p>
        </w:tc>
      </w:tr>
      <w:tr w:rsidR="0043547B" w:rsidRPr="0043547B" w:rsidTr="00CB5DC0">
        <w:trPr>
          <w:trHeight w:val="600"/>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Robinetterie de bâtiment – Soupapes anti-vide en ligne (droite ou d’équerre) DA – spécifications techniques générales </w:t>
            </w:r>
          </w:p>
        </w:tc>
      </w:tr>
      <w:tr w:rsidR="0043547B" w:rsidRPr="0043547B" w:rsidTr="00CB5DC0">
        <w:trPr>
          <w:trHeight w:val="559"/>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aux soupapes anti-vide DA de dénominations 3/8 à 2 destinées à éviter les retours d'une eau ayant perdu ses qualités sanitaires et alimentaires d'origine dans le réseau de distribution d'eau potable, lorsque la pression dans ce dernier est temporairement plus faible que dans le circuit pollué.</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soupapes anti-vides DA visées par La norme sont d'ISO PN 10 (voir</w:t>
            </w:r>
            <w:r w:rsidRPr="0043547B">
              <w:rPr>
                <w:rFonts w:eastAsia="Times New Roman" w:cstheme="minorHAnsi"/>
                <w:sz w:val="24"/>
                <w:szCs w:val="24"/>
                <w:lang w:eastAsia="fr-FR"/>
              </w:rPr>
              <w:br/>
              <w:t>ISO 6708). Elles doivent pouvoir fonctionner sans modification ni réglage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à toute pression comprise entre 0 et 1 MPa (10 bar),</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pour toute variation de pression comprise entre ces limites,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en service continu, à une température limite de 65 °C.</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soupapes anti-vides d'ISO PN supérieur à 10 doivent répondre aux spécifications générales de La norme et satisfaire à des essais particuliers qui caractérisent l'ISO PN indiqué sur l'appareil.</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soupapes droites DA sont notamment installées sur les robinetteries bain-douche, lorsqu'il n'existe pas d'inverseur automatique, celui-ci constituant en lui-même un système de protection de type JA. Les soupapes d'équerre peuvent être installées sur les robinetteries ou appareils de laboratoire.</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10.4.341</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111</w:t>
            </w:r>
          </w:p>
        </w:tc>
      </w:tr>
      <w:tr w:rsidR="0043547B" w:rsidRPr="0043547B" w:rsidTr="00CB5DC0">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Lave-mains suspendus – Cotes de raccordement </w:t>
            </w:r>
          </w:p>
        </w:tc>
      </w:tr>
      <w:tr w:rsidR="0043547B" w:rsidRPr="0043547B" w:rsidTr="00CB5DC0">
        <w:trPr>
          <w:trHeight w:val="86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caractéristiques de raccordement des lave-mains suspendus, quels que soient les matériaux entrant dans leur fabrication. Elle ne se réfère pas aux appareils de largeur réelle supérieure à 530 mm.</w:t>
            </w:r>
          </w:p>
        </w:tc>
      </w:tr>
      <w:tr w:rsidR="0043547B" w:rsidRPr="0043547B" w:rsidTr="00CB5DC0">
        <w:trPr>
          <w:trHeight w:val="23"/>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6D5F73" w:rsidRPr="0043547B" w:rsidRDefault="006D5F73" w:rsidP="00577BE7">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left w:val="single" w:sz="4" w:space="0" w:color="auto"/>
              <w:bottom w:val="single" w:sz="18" w:space="0" w:color="auto"/>
              <w:right w:val="single" w:sz="18" w:space="0" w:color="auto"/>
            </w:tcBorders>
            <w:shd w:val="clear" w:color="auto" w:fill="C2D69B" w:themeFill="accent3" w:themeFillTint="99"/>
          </w:tcPr>
          <w:p w:rsidR="006D5F73" w:rsidRPr="00C1034A" w:rsidRDefault="006D5F73" w:rsidP="00577BE7">
            <w:pPr>
              <w:spacing w:after="0" w:line="240" w:lineRule="auto"/>
              <w:jc w:val="center"/>
              <w:rPr>
                <w:rFonts w:cstheme="minorHAnsi"/>
                <w:b/>
                <w:bCs/>
                <w:sz w:val="24"/>
                <w:szCs w:val="24"/>
              </w:rPr>
            </w:pPr>
            <w:r w:rsidRPr="00C1034A">
              <w:rPr>
                <w:rFonts w:cstheme="minorHAnsi"/>
                <w:b/>
                <w:bCs/>
                <w:sz w:val="24"/>
                <w:szCs w:val="24"/>
              </w:rPr>
              <w:t>NM EN 12541</w:t>
            </w:r>
          </w:p>
        </w:tc>
      </w:tr>
      <w:tr w:rsidR="0043547B" w:rsidRPr="0043547B" w:rsidTr="00CB5DC0">
        <w:trPr>
          <w:trHeight w:val="23"/>
          <w:jc w:val="center"/>
        </w:trPr>
        <w:tc>
          <w:tcPr>
            <w:tcW w:w="1838" w:type="dxa"/>
            <w:tcBorders>
              <w:top w:val="single" w:sz="18" w:space="0" w:color="auto"/>
              <w:left w:val="single" w:sz="18" w:space="0" w:color="auto"/>
              <w:bottom w:val="single" w:sz="4" w:space="0" w:color="auto"/>
              <w:right w:val="single" w:sz="4" w:space="0" w:color="auto"/>
            </w:tcBorders>
            <w:shd w:val="clear" w:color="auto" w:fill="FDFBA9"/>
            <w:vAlign w:val="center"/>
          </w:tcPr>
          <w:p w:rsidR="006D5F73" w:rsidRPr="0043547B" w:rsidRDefault="006D5F73" w:rsidP="00577BE7">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DFBA9"/>
            <w:vAlign w:val="center"/>
          </w:tcPr>
          <w:p w:rsidR="006D5F73" w:rsidRPr="00C1034A" w:rsidRDefault="006D5F73" w:rsidP="00577BE7">
            <w:pPr>
              <w:spacing w:after="0" w:line="240" w:lineRule="auto"/>
              <w:jc w:val="center"/>
              <w:rPr>
                <w:rFonts w:cstheme="minorHAnsi"/>
                <w:b/>
                <w:bCs/>
                <w:sz w:val="24"/>
                <w:szCs w:val="24"/>
              </w:rPr>
            </w:pPr>
            <w:r w:rsidRPr="00C1034A">
              <w:rPr>
                <w:rFonts w:cstheme="minorHAnsi"/>
                <w:b/>
                <w:bCs/>
                <w:sz w:val="24"/>
                <w:szCs w:val="24"/>
              </w:rPr>
              <w:t xml:space="preserve">  EN 12541</w:t>
            </w:r>
          </w:p>
        </w:tc>
      </w:tr>
      <w:tr w:rsidR="0043547B" w:rsidRPr="0043547B" w:rsidTr="00CB5DC0">
        <w:trPr>
          <w:trHeight w:val="691"/>
          <w:jc w:val="center"/>
        </w:trPr>
        <w:tc>
          <w:tcPr>
            <w:tcW w:w="1838" w:type="dxa"/>
            <w:tcBorders>
              <w:top w:val="single" w:sz="4" w:space="0" w:color="auto"/>
              <w:left w:val="single" w:sz="18" w:space="0" w:color="auto"/>
              <w:bottom w:val="single" w:sz="4" w:space="0" w:color="auto"/>
              <w:right w:val="single" w:sz="4" w:space="0" w:color="auto"/>
            </w:tcBorders>
            <w:shd w:val="clear" w:color="auto" w:fill="95B3D7" w:themeFill="accent1" w:themeFillTint="99"/>
            <w:vAlign w:val="center"/>
          </w:tcPr>
          <w:p w:rsidR="006D5F73" w:rsidRPr="0043547B" w:rsidRDefault="006D5F73" w:rsidP="00577BE7">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auto"/>
          </w:tcPr>
          <w:p w:rsidR="006D5F73" w:rsidRPr="0043547B" w:rsidRDefault="006D5F73" w:rsidP="00577BE7">
            <w:pPr>
              <w:spacing w:after="0" w:line="240" w:lineRule="auto"/>
              <w:rPr>
                <w:rFonts w:cstheme="minorHAnsi"/>
                <w:sz w:val="24"/>
                <w:szCs w:val="24"/>
              </w:rPr>
            </w:pPr>
            <w:r w:rsidRPr="0043547B">
              <w:rPr>
                <w:rFonts w:cstheme="minorHAnsi"/>
                <w:sz w:val="24"/>
                <w:szCs w:val="24"/>
              </w:rPr>
              <w:t>Robinetterie sanitaire - Robinets de chasse d'eau et d'urinoirs à fermeture hydraulique automatique PN 10</w:t>
            </w:r>
          </w:p>
        </w:tc>
      </w:tr>
      <w:tr w:rsidR="0043547B" w:rsidRPr="0043547B" w:rsidTr="00CB5DC0">
        <w:trPr>
          <w:trHeight w:val="860"/>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6D5F73" w:rsidRPr="0043547B" w:rsidRDefault="006D5F73" w:rsidP="00577BE7">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tcPr>
          <w:p w:rsidR="00577BE7" w:rsidRDefault="006D5F73" w:rsidP="00577BE7">
            <w:pPr>
              <w:spacing w:after="0" w:line="240" w:lineRule="auto"/>
              <w:jc w:val="both"/>
              <w:rPr>
                <w:rFonts w:cstheme="minorHAnsi"/>
                <w:sz w:val="24"/>
                <w:szCs w:val="24"/>
              </w:rPr>
            </w:pPr>
            <w:r w:rsidRPr="0043547B">
              <w:rPr>
                <w:rFonts w:cstheme="minorHAnsi"/>
                <w:sz w:val="24"/>
                <w:szCs w:val="24"/>
              </w:rPr>
              <w:t>La présente Norme européenne s'applique aux robinets de chasses pour WC et aux robinets d’urinoirs, à fermeture</w:t>
            </w:r>
            <w:r w:rsidR="00577BE7">
              <w:rPr>
                <w:rFonts w:cstheme="minorHAnsi"/>
                <w:sz w:val="24"/>
                <w:szCs w:val="24"/>
              </w:rPr>
              <w:t xml:space="preserve"> </w:t>
            </w:r>
            <w:r w:rsidRPr="0043547B">
              <w:rPr>
                <w:rFonts w:cstheme="minorHAnsi"/>
                <w:sz w:val="24"/>
                <w:szCs w:val="24"/>
              </w:rPr>
              <w:t>hydraulique automatique, destinés aux :</w:t>
            </w:r>
          </w:p>
          <w:p w:rsidR="006D5F73" w:rsidRPr="0043547B" w:rsidRDefault="006D5F73" w:rsidP="00577BE7">
            <w:pPr>
              <w:spacing w:after="0" w:line="240" w:lineRule="auto"/>
              <w:rPr>
                <w:rFonts w:cstheme="minorHAnsi"/>
                <w:sz w:val="24"/>
                <w:szCs w:val="24"/>
              </w:rPr>
            </w:pPr>
            <w:r w:rsidRPr="0043547B">
              <w:rPr>
                <w:rFonts w:cstheme="minorHAnsi"/>
                <w:sz w:val="24"/>
                <w:szCs w:val="24"/>
              </w:rPr>
              <w:lastRenderedPageBreak/>
              <w:t>— cuvettes WC, EN 997 ;</w:t>
            </w:r>
            <w:r w:rsidRPr="0043547B">
              <w:rPr>
                <w:rFonts w:cstheme="minorHAnsi"/>
                <w:sz w:val="24"/>
                <w:szCs w:val="24"/>
              </w:rPr>
              <w:br/>
              <w:t>— urinoirs à simple rinçage, prEN 13407 ;</w:t>
            </w:r>
            <w:r w:rsidRPr="0043547B">
              <w:rPr>
                <w:rFonts w:cstheme="minorHAnsi"/>
                <w:sz w:val="24"/>
                <w:szCs w:val="24"/>
              </w:rPr>
              <w:br/>
              <w:t>— urinoirs à action siphonique, prEN 13407.</w:t>
            </w:r>
            <w:r w:rsidRPr="0043547B">
              <w:rPr>
                <w:rFonts w:cstheme="minorHAnsi"/>
                <w:sz w:val="24"/>
                <w:szCs w:val="24"/>
              </w:rPr>
              <w:br/>
              <w:t>Elle ne s’applique pas aux robinets à détection sans contact.</w:t>
            </w:r>
            <w:r w:rsidRPr="0043547B">
              <w:rPr>
                <w:rFonts w:cstheme="minorHAnsi"/>
                <w:sz w:val="24"/>
                <w:szCs w:val="24"/>
              </w:rPr>
              <w:br/>
              <w:t>Elle a pour objet de fixer :</w:t>
            </w:r>
            <w:r w:rsidRPr="0043547B">
              <w:rPr>
                <w:rFonts w:cstheme="minorHAnsi"/>
                <w:sz w:val="24"/>
                <w:szCs w:val="24"/>
              </w:rPr>
              <w:br/>
              <w:t>— le marquage et l'identification, les caractéristiques physico-chimiques, dimensionnelles, d'étanchéité, de tenue</w:t>
            </w:r>
            <w:r w:rsidR="00577BE7">
              <w:rPr>
                <w:rFonts w:cstheme="minorHAnsi"/>
                <w:sz w:val="24"/>
                <w:szCs w:val="24"/>
              </w:rPr>
              <w:t xml:space="preserve"> </w:t>
            </w:r>
            <w:r w:rsidRPr="0043547B">
              <w:rPr>
                <w:rFonts w:cstheme="minorHAnsi"/>
                <w:sz w:val="24"/>
                <w:szCs w:val="24"/>
              </w:rPr>
              <w:t>en pression, hydrauliques, acoustiques, d'endurance mécanique des robinets de chasse d’eau et robinets</w:t>
            </w:r>
            <w:r w:rsidR="007F63D3">
              <w:rPr>
                <w:rFonts w:cstheme="minorHAnsi"/>
                <w:sz w:val="24"/>
                <w:szCs w:val="24"/>
              </w:rPr>
              <w:t xml:space="preserve"> </w:t>
            </w:r>
            <w:r w:rsidRPr="0043547B">
              <w:rPr>
                <w:rFonts w:cstheme="minorHAnsi"/>
                <w:sz w:val="24"/>
                <w:szCs w:val="24"/>
              </w:rPr>
              <w:t>d'urinoirs à fermeture automatique ;</w:t>
            </w:r>
            <w:r w:rsidRPr="0043547B">
              <w:rPr>
                <w:rFonts w:cstheme="minorHAnsi"/>
                <w:sz w:val="24"/>
                <w:szCs w:val="24"/>
              </w:rPr>
              <w:br/>
              <w:t>— les méthodes d'essais à employer pour vérifier ces caractéristiques ;</w:t>
            </w:r>
            <w:r w:rsidRPr="0043547B">
              <w:rPr>
                <w:rFonts w:cstheme="minorHAnsi"/>
                <w:sz w:val="24"/>
                <w:szCs w:val="24"/>
              </w:rPr>
              <w:br/>
              <w:t>— les exigences du rupteur atmosphérique qui doit faire partie intégrante du robinet de chasse d’eau.</w:t>
            </w:r>
          </w:p>
        </w:tc>
      </w:tr>
      <w:tr w:rsidR="0043547B" w:rsidRPr="0043547B" w:rsidTr="00CB5DC0">
        <w:trPr>
          <w:trHeight w:val="23"/>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6D5F73" w:rsidRPr="00C1034A" w:rsidRDefault="006D5F73" w:rsidP="00577BE7">
            <w:pPr>
              <w:spacing w:after="0" w:line="240" w:lineRule="auto"/>
              <w:jc w:val="center"/>
              <w:rPr>
                <w:rFonts w:cstheme="minorHAnsi"/>
                <w:b/>
                <w:bCs/>
                <w:sz w:val="24"/>
                <w:szCs w:val="24"/>
              </w:rPr>
            </w:pPr>
            <w:r w:rsidRPr="00C1034A">
              <w:rPr>
                <w:rFonts w:cstheme="minorHAnsi"/>
                <w:b/>
                <w:bCs/>
                <w:sz w:val="24"/>
                <w:szCs w:val="24"/>
              </w:rPr>
              <w:lastRenderedPageBreak/>
              <w:t>Code :</w:t>
            </w:r>
          </w:p>
        </w:tc>
        <w:tc>
          <w:tcPr>
            <w:tcW w:w="7938" w:type="dxa"/>
            <w:tcBorders>
              <w:left w:val="single" w:sz="4" w:space="0" w:color="auto"/>
              <w:bottom w:val="single" w:sz="18" w:space="0" w:color="auto"/>
              <w:right w:val="single" w:sz="18" w:space="0" w:color="auto"/>
            </w:tcBorders>
            <w:shd w:val="clear" w:color="auto" w:fill="C2D69B" w:themeFill="accent3" w:themeFillTint="99"/>
          </w:tcPr>
          <w:p w:rsidR="006D5F73" w:rsidRPr="00C1034A" w:rsidRDefault="006D5F73" w:rsidP="00577BE7">
            <w:pPr>
              <w:spacing w:after="0" w:line="240" w:lineRule="auto"/>
              <w:jc w:val="center"/>
              <w:rPr>
                <w:rFonts w:cstheme="minorHAnsi"/>
                <w:b/>
                <w:bCs/>
                <w:sz w:val="24"/>
                <w:szCs w:val="24"/>
              </w:rPr>
            </w:pPr>
            <w:r w:rsidRPr="00C1034A">
              <w:rPr>
                <w:rFonts w:cstheme="minorHAnsi"/>
                <w:b/>
                <w:bCs/>
                <w:sz w:val="24"/>
                <w:szCs w:val="24"/>
              </w:rPr>
              <w:t>NM EN 12764</w:t>
            </w:r>
          </w:p>
        </w:tc>
      </w:tr>
      <w:tr w:rsidR="0043547B" w:rsidRPr="0043547B" w:rsidTr="00577BE7">
        <w:trPr>
          <w:trHeight w:val="23"/>
          <w:jc w:val="center"/>
        </w:trPr>
        <w:tc>
          <w:tcPr>
            <w:tcW w:w="1838" w:type="dxa"/>
            <w:tcBorders>
              <w:top w:val="single" w:sz="18" w:space="0" w:color="auto"/>
              <w:left w:val="single" w:sz="18" w:space="0" w:color="auto"/>
              <w:bottom w:val="single" w:sz="4" w:space="0" w:color="auto"/>
              <w:right w:val="single" w:sz="4" w:space="0" w:color="auto"/>
            </w:tcBorders>
            <w:shd w:val="clear" w:color="auto" w:fill="FDFBA9"/>
            <w:vAlign w:val="center"/>
          </w:tcPr>
          <w:p w:rsidR="006D5F73" w:rsidRPr="0043547B" w:rsidRDefault="006D5F73" w:rsidP="00577BE7">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DFBA9"/>
            <w:vAlign w:val="center"/>
          </w:tcPr>
          <w:p w:rsidR="006D5F73" w:rsidRPr="00C1034A" w:rsidRDefault="006D5F73" w:rsidP="00577BE7">
            <w:pPr>
              <w:spacing w:after="0" w:line="240" w:lineRule="auto"/>
              <w:jc w:val="center"/>
              <w:rPr>
                <w:rFonts w:cstheme="minorHAnsi"/>
                <w:b/>
                <w:bCs/>
                <w:sz w:val="24"/>
                <w:szCs w:val="24"/>
              </w:rPr>
            </w:pPr>
            <w:r w:rsidRPr="0043547B">
              <w:rPr>
                <w:rFonts w:cstheme="minorHAnsi"/>
                <w:sz w:val="24"/>
                <w:szCs w:val="24"/>
              </w:rPr>
              <w:t xml:space="preserve">  </w:t>
            </w:r>
            <w:r w:rsidRPr="00C1034A">
              <w:rPr>
                <w:rFonts w:cstheme="minorHAnsi"/>
                <w:b/>
                <w:bCs/>
                <w:sz w:val="24"/>
                <w:szCs w:val="24"/>
              </w:rPr>
              <w:t>EN 12764</w:t>
            </w:r>
          </w:p>
        </w:tc>
      </w:tr>
      <w:tr w:rsidR="0043547B" w:rsidRPr="0043547B" w:rsidTr="00577BE7">
        <w:trPr>
          <w:trHeight w:val="726"/>
          <w:jc w:val="center"/>
        </w:trPr>
        <w:tc>
          <w:tcPr>
            <w:tcW w:w="1838" w:type="dxa"/>
            <w:tcBorders>
              <w:top w:val="single" w:sz="4" w:space="0" w:color="auto"/>
              <w:left w:val="single" w:sz="18" w:space="0" w:color="auto"/>
              <w:bottom w:val="single" w:sz="4" w:space="0" w:color="auto"/>
              <w:right w:val="single" w:sz="4" w:space="0" w:color="auto"/>
            </w:tcBorders>
            <w:shd w:val="clear" w:color="auto" w:fill="95B3D7" w:themeFill="accent1" w:themeFillTint="99"/>
            <w:vAlign w:val="center"/>
          </w:tcPr>
          <w:p w:rsidR="006D5F73" w:rsidRPr="0043547B" w:rsidRDefault="006D5F73" w:rsidP="00577BE7">
            <w:pPr>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auto"/>
          </w:tcPr>
          <w:p w:rsidR="006D5F73" w:rsidRPr="0043547B" w:rsidRDefault="006D5F73" w:rsidP="00577BE7">
            <w:pPr>
              <w:spacing w:after="0" w:line="240" w:lineRule="auto"/>
              <w:rPr>
                <w:rFonts w:cstheme="minorHAnsi"/>
                <w:sz w:val="24"/>
                <w:szCs w:val="24"/>
              </w:rPr>
            </w:pPr>
            <w:r w:rsidRPr="0043547B">
              <w:rPr>
                <w:rFonts w:cstheme="minorHAnsi"/>
                <w:sz w:val="24"/>
                <w:szCs w:val="24"/>
              </w:rPr>
              <w:t xml:space="preserve">Appareils sanitaires - Spécification relative aux baignoires avec système de brassage d'eau </w:t>
            </w:r>
          </w:p>
        </w:tc>
      </w:tr>
      <w:tr w:rsidR="0043547B" w:rsidRPr="0043547B" w:rsidTr="00CB5DC0">
        <w:trPr>
          <w:trHeight w:val="860"/>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6D5F73" w:rsidRPr="0043547B" w:rsidRDefault="006D5F73" w:rsidP="00577BE7">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tcPr>
          <w:p w:rsidR="00577BE7" w:rsidRDefault="006D5F73" w:rsidP="00577BE7">
            <w:pPr>
              <w:spacing w:after="0" w:line="240" w:lineRule="auto"/>
              <w:jc w:val="both"/>
              <w:rPr>
                <w:rFonts w:cstheme="minorHAnsi"/>
                <w:sz w:val="24"/>
                <w:szCs w:val="24"/>
              </w:rPr>
            </w:pPr>
            <w:r w:rsidRPr="0043547B">
              <w:rPr>
                <w:rFonts w:cstheme="minorHAnsi"/>
                <w:sz w:val="24"/>
                <w:szCs w:val="24"/>
              </w:rPr>
              <w:t>Cette norme européenne détermine les exigences pour les baignoires avec système de brassage d’eau, dont la</w:t>
            </w:r>
            <w:r w:rsidR="007F63D3">
              <w:rPr>
                <w:rFonts w:cstheme="minorHAnsi"/>
                <w:sz w:val="24"/>
                <w:szCs w:val="24"/>
              </w:rPr>
              <w:t xml:space="preserve"> </w:t>
            </w:r>
            <w:r w:rsidRPr="0043547B">
              <w:rPr>
                <w:rFonts w:cstheme="minorHAnsi"/>
                <w:sz w:val="24"/>
                <w:szCs w:val="24"/>
              </w:rPr>
              <w:t>tension nominale d’alimentation ne dépasse pas les 250 V pour les appareils monophasés et à 480 V pour les autres appareils. Elles sont destinées à être installées à l’intérieur des bâtiments pour des usages domestiques et pour l’hygiène personnelle conformément aux instructions du fabricant. Ces baignoires avec système de brassage d’eau sont soumises à essai et fournies en tant qu’appareil complet et indépendant, devant être vidé après chaque utilisation. Elles peuvent être transportées en plusieurs parties pour faciliter la livraison, et être assemblées sur place.</w:t>
            </w:r>
          </w:p>
          <w:p w:rsidR="00577BE7" w:rsidRDefault="006D5F73" w:rsidP="00577BE7">
            <w:pPr>
              <w:spacing w:after="0" w:line="240" w:lineRule="auto"/>
              <w:jc w:val="both"/>
              <w:rPr>
                <w:rFonts w:cstheme="minorHAnsi"/>
                <w:sz w:val="24"/>
                <w:szCs w:val="24"/>
              </w:rPr>
            </w:pPr>
            <w:r w:rsidRPr="0043547B">
              <w:rPr>
                <w:rFonts w:cstheme="minorHAnsi"/>
                <w:sz w:val="24"/>
                <w:szCs w:val="24"/>
              </w:rPr>
              <w:t>Les aspects de sécurité des baignoires avec système de brassage d’eau (sauf en ce qui concerne l’utilisation par les jeunes enfants, les personnes âgées faibles ou à mobilité réduite et les personnes handicapées) sont couverts par l’EN 60335-2-60.</w:t>
            </w:r>
            <w:r w:rsidRPr="0043547B">
              <w:rPr>
                <w:rFonts w:cstheme="minorHAnsi"/>
                <w:sz w:val="24"/>
                <w:szCs w:val="24"/>
              </w:rPr>
              <w:br/>
              <w:t>Exclusions : la présente norme ne couvre pas les exigences supplémentaires pour les baignoires avec système de brassage d’eau destinées à une utilisation exigeant des dispositions médicales spécifiques, ou à une utilisation commune lorsque les baignoires ne sont pas vidées après chaque utilisation. Les systèmes de brassage amovibles ne sont pas couverts par la présente norme.</w:t>
            </w:r>
            <w:r w:rsidRPr="0043547B">
              <w:rPr>
                <w:rFonts w:cstheme="minorHAnsi"/>
                <w:sz w:val="24"/>
                <w:szCs w:val="24"/>
              </w:rPr>
              <w:br/>
              <w:t>Pour les besoins de la présente norme, le terme «usage domestique» inclut l’utilisation dans les hôtels, les logements d’étudiants, les hôpitaux et les bâtiments similaires.</w:t>
            </w:r>
          </w:p>
          <w:p w:rsidR="00577BE7" w:rsidRPr="00577BE7" w:rsidRDefault="006D5F73" w:rsidP="00577BE7">
            <w:pPr>
              <w:spacing w:after="0" w:line="240" w:lineRule="auto"/>
              <w:jc w:val="both"/>
              <w:rPr>
                <w:rFonts w:cstheme="minorHAnsi"/>
                <w:i/>
                <w:iCs/>
              </w:rPr>
            </w:pPr>
            <w:r w:rsidRPr="0043547B">
              <w:rPr>
                <w:rFonts w:cstheme="minorHAnsi"/>
                <w:sz w:val="24"/>
                <w:szCs w:val="24"/>
              </w:rPr>
              <w:t>AVERTISSEMENT — Il convient que les personnes âgées à mobilité réduite ou les personnes handicapées</w:t>
            </w:r>
            <w:r w:rsidR="007F63D3">
              <w:rPr>
                <w:rFonts w:cstheme="minorHAnsi"/>
                <w:sz w:val="24"/>
                <w:szCs w:val="24"/>
              </w:rPr>
              <w:t xml:space="preserve"> </w:t>
            </w:r>
            <w:r w:rsidRPr="0043547B">
              <w:rPr>
                <w:rFonts w:cstheme="minorHAnsi"/>
                <w:sz w:val="24"/>
                <w:szCs w:val="24"/>
              </w:rPr>
              <w:t>soient prudentes lors de l’utilisation de baignoires avec système de brassage d’eau. Il convient de ne pas</w:t>
            </w:r>
            <w:r w:rsidR="007F63D3">
              <w:rPr>
                <w:rFonts w:cstheme="minorHAnsi"/>
                <w:sz w:val="24"/>
                <w:szCs w:val="24"/>
              </w:rPr>
              <w:t xml:space="preserve"> </w:t>
            </w:r>
            <w:r w:rsidRPr="0043547B">
              <w:rPr>
                <w:rFonts w:cstheme="minorHAnsi"/>
                <w:sz w:val="24"/>
                <w:szCs w:val="24"/>
              </w:rPr>
              <w:t>autoriser les jeunes enfants à utiliser les baignoires avec système de brassage d’eau sans surveillance.</w:t>
            </w:r>
            <w:r w:rsidRPr="0043547B">
              <w:rPr>
                <w:rFonts w:cstheme="minorHAnsi"/>
                <w:sz w:val="24"/>
                <w:szCs w:val="24"/>
              </w:rPr>
              <w:br/>
            </w:r>
            <w:r w:rsidRPr="00577BE7">
              <w:rPr>
                <w:rFonts w:cstheme="minorHAnsi"/>
                <w:b/>
                <w:bCs/>
                <w:i/>
                <w:iCs/>
              </w:rPr>
              <w:t>NOTE 1 :</w:t>
            </w:r>
            <w:r w:rsidRPr="00577BE7">
              <w:rPr>
                <w:rFonts w:cstheme="minorHAnsi"/>
                <w:i/>
                <w:iCs/>
              </w:rPr>
              <w:t xml:space="preserve"> Il n’est pas réaliste d’attendre des fabricants qu’ils donnent une définition de ce que recouvrent les notions de «personne âgée à mobilité réduite ou personne handicapée» ou «jeune enfant». La première définition est de la responsabilité de la personne elle-même ou de celle qui s’en occupe. La deuxième est de la responsabilité des parents.</w:t>
            </w:r>
          </w:p>
          <w:p w:rsidR="006D5F73" w:rsidRPr="0043547B" w:rsidRDefault="006D5F73" w:rsidP="00577BE7">
            <w:pPr>
              <w:spacing w:after="0" w:line="240" w:lineRule="auto"/>
              <w:jc w:val="both"/>
              <w:rPr>
                <w:rFonts w:cstheme="minorHAnsi"/>
                <w:sz w:val="24"/>
                <w:szCs w:val="24"/>
              </w:rPr>
            </w:pPr>
            <w:r w:rsidRPr="00577BE7">
              <w:rPr>
                <w:rFonts w:cstheme="minorHAnsi"/>
                <w:b/>
                <w:bCs/>
                <w:i/>
                <w:iCs/>
              </w:rPr>
              <w:t>NOTE 2 :</w:t>
            </w:r>
            <w:r w:rsidRPr="00577BE7">
              <w:rPr>
                <w:rFonts w:cstheme="minorHAnsi"/>
                <w:i/>
                <w:iCs/>
              </w:rPr>
              <w:t xml:space="preserve"> Si l’EN 60335-2-60 est amendée pour couvrir l’utilisation des baignoires avec système de brassage d’eau par des personnes âgées à mobilité réduite ou des personnes handicapées ou des jeunes enfants, il faudra supprimer l’avertissement ci-dessus.</w:t>
            </w:r>
          </w:p>
        </w:tc>
      </w:tr>
      <w:tr w:rsidR="0043547B" w:rsidRPr="0043547B" w:rsidTr="00CB5DC0">
        <w:trPr>
          <w:trHeight w:val="348"/>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6D5F73" w:rsidRPr="00C1034A" w:rsidRDefault="006D5F73" w:rsidP="00577BE7">
            <w:pPr>
              <w:spacing w:after="0" w:line="240" w:lineRule="auto"/>
              <w:jc w:val="center"/>
              <w:rPr>
                <w:rFonts w:cstheme="minorHAnsi"/>
                <w:b/>
                <w:bCs/>
                <w:sz w:val="24"/>
                <w:szCs w:val="24"/>
              </w:rPr>
            </w:pPr>
            <w:r w:rsidRPr="00C1034A">
              <w:rPr>
                <w:rFonts w:cstheme="minorHAnsi"/>
                <w:b/>
                <w:bCs/>
                <w:sz w:val="24"/>
                <w:szCs w:val="24"/>
              </w:rPr>
              <w:lastRenderedPageBreak/>
              <w:t>Code :</w:t>
            </w:r>
          </w:p>
        </w:tc>
        <w:tc>
          <w:tcPr>
            <w:tcW w:w="7938" w:type="dxa"/>
            <w:tcBorders>
              <w:left w:val="single" w:sz="4" w:space="0" w:color="auto"/>
              <w:bottom w:val="single" w:sz="18" w:space="0" w:color="auto"/>
              <w:right w:val="single" w:sz="18" w:space="0" w:color="auto"/>
            </w:tcBorders>
            <w:shd w:val="clear" w:color="auto" w:fill="C2D69B" w:themeFill="accent3" w:themeFillTint="99"/>
          </w:tcPr>
          <w:p w:rsidR="006D5F73" w:rsidRPr="00C1034A" w:rsidRDefault="006D5F73" w:rsidP="00577BE7">
            <w:pPr>
              <w:spacing w:after="0" w:line="240" w:lineRule="auto"/>
              <w:jc w:val="center"/>
              <w:rPr>
                <w:rFonts w:cstheme="minorHAnsi"/>
                <w:b/>
                <w:bCs/>
                <w:sz w:val="24"/>
                <w:szCs w:val="24"/>
              </w:rPr>
            </w:pPr>
            <w:r w:rsidRPr="00C1034A">
              <w:rPr>
                <w:rFonts w:cstheme="minorHAnsi"/>
                <w:b/>
                <w:bCs/>
                <w:sz w:val="24"/>
                <w:szCs w:val="24"/>
              </w:rPr>
              <w:t>NM EN 1286</w:t>
            </w:r>
          </w:p>
        </w:tc>
      </w:tr>
      <w:tr w:rsidR="0043547B" w:rsidRPr="0043547B" w:rsidTr="00577BE7">
        <w:trPr>
          <w:trHeight w:val="23"/>
          <w:jc w:val="center"/>
        </w:trPr>
        <w:tc>
          <w:tcPr>
            <w:tcW w:w="1838" w:type="dxa"/>
            <w:tcBorders>
              <w:top w:val="single" w:sz="18" w:space="0" w:color="auto"/>
              <w:left w:val="single" w:sz="18" w:space="0" w:color="auto"/>
              <w:bottom w:val="single" w:sz="4" w:space="0" w:color="auto"/>
              <w:right w:val="single" w:sz="4" w:space="0" w:color="auto"/>
            </w:tcBorders>
            <w:shd w:val="clear" w:color="auto" w:fill="FDFBA9"/>
            <w:vAlign w:val="center"/>
          </w:tcPr>
          <w:p w:rsidR="006D5F73" w:rsidRPr="0043547B" w:rsidRDefault="006D5F73" w:rsidP="00577BE7">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DFBA9"/>
            <w:vAlign w:val="center"/>
          </w:tcPr>
          <w:p w:rsidR="006D5F73" w:rsidRPr="00C1034A" w:rsidRDefault="006D5F73" w:rsidP="00577BE7">
            <w:pPr>
              <w:spacing w:after="0" w:line="240" w:lineRule="auto"/>
              <w:jc w:val="center"/>
              <w:rPr>
                <w:rFonts w:cstheme="minorHAnsi"/>
                <w:b/>
                <w:bCs/>
                <w:sz w:val="24"/>
                <w:szCs w:val="24"/>
              </w:rPr>
            </w:pPr>
            <w:r w:rsidRPr="00C1034A">
              <w:rPr>
                <w:rFonts w:cstheme="minorHAnsi"/>
                <w:b/>
                <w:bCs/>
                <w:sz w:val="24"/>
                <w:szCs w:val="24"/>
              </w:rPr>
              <w:t xml:space="preserve">  EN 1286</w:t>
            </w:r>
          </w:p>
        </w:tc>
      </w:tr>
      <w:tr w:rsidR="0043547B" w:rsidRPr="0043547B" w:rsidTr="00577BE7">
        <w:trPr>
          <w:trHeight w:val="669"/>
          <w:jc w:val="center"/>
        </w:trPr>
        <w:tc>
          <w:tcPr>
            <w:tcW w:w="1838" w:type="dxa"/>
            <w:tcBorders>
              <w:top w:val="single" w:sz="4" w:space="0" w:color="auto"/>
              <w:left w:val="single" w:sz="18" w:space="0" w:color="auto"/>
              <w:bottom w:val="single" w:sz="4" w:space="0" w:color="auto"/>
              <w:right w:val="single" w:sz="4" w:space="0" w:color="auto"/>
            </w:tcBorders>
            <w:shd w:val="clear" w:color="auto" w:fill="95B3D7" w:themeFill="accent1" w:themeFillTint="99"/>
            <w:vAlign w:val="center"/>
          </w:tcPr>
          <w:p w:rsidR="006D5F73" w:rsidRPr="0043547B" w:rsidRDefault="006D5F73" w:rsidP="00577BE7">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auto"/>
          </w:tcPr>
          <w:p w:rsidR="006D5F73" w:rsidRPr="0043547B" w:rsidRDefault="006D5F73" w:rsidP="00577BE7">
            <w:pPr>
              <w:spacing w:after="0" w:line="240" w:lineRule="auto"/>
              <w:rPr>
                <w:rFonts w:cstheme="minorHAnsi"/>
                <w:sz w:val="24"/>
                <w:szCs w:val="24"/>
              </w:rPr>
            </w:pPr>
            <w:r w:rsidRPr="0043547B">
              <w:rPr>
                <w:rFonts w:cstheme="minorHAnsi"/>
                <w:sz w:val="24"/>
                <w:szCs w:val="24"/>
              </w:rPr>
              <w:t xml:space="preserve">Robinetterie sanitaire - Mitigeurs mécaniques basse pression - Spécifications techniques générales </w:t>
            </w:r>
          </w:p>
        </w:tc>
      </w:tr>
      <w:tr w:rsidR="0043547B" w:rsidRPr="0043547B" w:rsidTr="00CB5DC0">
        <w:trPr>
          <w:trHeight w:val="860"/>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6D5F73" w:rsidRPr="0043547B" w:rsidRDefault="006D5F73" w:rsidP="00577BE7">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tcPr>
          <w:p w:rsidR="00577BE7" w:rsidRDefault="006D5F73" w:rsidP="00577BE7">
            <w:pPr>
              <w:spacing w:after="0" w:line="240" w:lineRule="auto"/>
              <w:jc w:val="both"/>
              <w:rPr>
                <w:rFonts w:cstheme="minorHAnsi"/>
                <w:sz w:val="24"/>
                <w:szCs w:val="24"/>
              </w:rPr>
            </w:pPr>
            <w:r w:rsidRPr="0043547B">
              <w:rPr>
                <w:rFonts w:cstheme="minorHAnsi"/>
                <w:sz w:val="24"/>
                <w:szCs w:val="24"/>
              </w:rPr>
              <w:t>La présente norme européenne spécifie les prescriptions pour les mitigeurs mécaniques basse résistance hydraulique utilisés dans les réseaux d’alimentation basse pression décrits en annexe C (informative).</w:t>
            </w:r>
          </w:p>
          <w:p w:rsidR="00577BE7" w:rsidRDefault="006D5F73" w:rsidP="00577BE7">
            <w:pPr>
              <w:spacing w:after="0" w:line="240" w:lineRule="auto"/>
              <w:jc w:val="both"/>
              <w:rPr>
                <w:rFonts w:cstheme="minorHAnsi"/>
                <w:sz w:val="24"/>
                <w:szCs w:val="24"/>
              </w:rPr>
            </w:pPr>
            <w:r w:rsidRPr="0043547B">
              <w:rPr>
                <w:rFonts w:cstheme="minorHAnsi"/>
                <w:sz w:val="24"/>
                <w:szCs w:val="24"/>
              </w:rPr>
              <w:t>La présente norme européenne spécifie :</w:t>
            </w:r>
          </w:p>
          <w:p w:rsidR="00577BE7" w:rsidRDefault="006D5F73" w:rsidP="00577BE7">
            <w:pPr>
              <w:spacing w:after="0" w:line="240" w:lineRule="auto"/>
              <w:jc w:val="both"/>
              <w:rPr>
                <w:rFonts w:cstheme="minorHAnsi"/>
                <w:sz w:val="24"/>
                <w:szCs w:val="24"/>
              </w:rPr>
            </w:pPr>
            <w:r w:rsidRPr="0043547B">
              <w:rPr>
                <w:rFonts w:cstheme="minorHAnsi"/>
                <w:sz w:val="24"/>
                <w:szCs w:val="24"/>
              </w:rPr>
              <w:t>— les caractéristiques dimensionnelles, d'étanchéité hydraulique, de comportement mécanique, hydraulique,</w:t>
            </w:r>
            <w:r w:rsidR="007F63D3">
              <w:rPr>
                <w:rFonts w:cstheme="minorHAnsi"/>
                <w:sz w:val="24"/>
                <w:szCs w:val="24"/>
              </w:rPr>
              <w:t xml:space="preserve"> </w:t>
            </w:r>
            <w:r w:rsidRPr="0043547B">
              <w:rPr>
                <w:rFonts w:cstheme="minorHAnsi"/>
                <w:sz w:val="24"/>
                <w:szCs w:val="24"/>
              </w:rPr>
              <w:t>d'endurance mécanique, auxquelles doivent répondre les mitigeurs mécaniques basse pression ;</w:t>
            </w:r>
          </w:p>
          <w:p w:rsidR="00577BE7" w:rsidRDefault="006D5F73" w:rsidP="00577BE7">
            <w:pPr>
              <w:spacing w:after="0" w:line="240" w:lineRule="auto"/>
              <w:jc w:val="both"/>
              <w:rPr>
                <w:rFonts w:cstheme="minorHAnsi"/>
                <w:sz w:val="24"/>
                <w:szCs w:val="24"/>
              </w:rPr>
            </w:pPr>
            <w:r w:rsidRPr="0043547B">
              <w:rPr>
                <w:rFonts w:cstheme="minorHAnsi"/>
                <w:sz w:val="24"/>
                <w:szCs w:val="24"/>
              </w:rPr>
              <w:t>— la technique des essais permettant de contrôler ces caractéristiques.</w:t>
            </w:r>
          </w:p>
          <w:p w:rsidR="00577BE7" w:rsidRDefault="006D5F73" w:rsidP="00577BE7">
            <w:pPr>
              <w:spacing w:after="0" w:line="240" w:lineRule="auto"/>
              <w:jc w:val="both"/>
              <w:rPr>
                <w:rFonts w:cstheme="minorHAnsi"/>
                <w:sz w:val="24"/>
                <w:szCs w:val="24"/>
              </w:rPr>
            </w:pPr>
            <w:r w:rsidRPr="0043547B">
              <w:rPr>
                <w:rFonts w:cstheme="minorHAnsi"/>
                <w:sz w:val="24"/>
                <w:szCs w:val="24"/>
              </w:rPr>
              <w:t>Elle s'applique :</w:t>
            </w:r>
          </w:p>
          <w:p w:rsidR="00577BE7" w:rsidRDefault="006D5F73" w:rsidP="00577BE7">
            <w:pPr>
              <w:spacing w:after="0" w:line="240" w:lineRule="auto"/>
              <w:jc w:val="both"/>
              <w:rPr>
                <w:rFonts w:cstheme="minorHAnsi"/>
                <w:sz w:val="24"/>
                <w:szCs w:val="24"/>
              </w:rPr>
            </w:pPr>
            <w:r w:rsidRPr="0043547B">
              <w:rPr>
                <w:rFonts w:cstheme="minorHAnsi"/>
                <w:sz w:val="24"/>
                <w:szCs w:val="24"/>
              </w:rPr>
              <w:t>— aux mitigeurs mécaniques basse pression destinés à l'équipement des appareils sanitaires installés dans les</w:t>
            </w:r>
            <w:r w:rsidR="007F63D3">
              <w:rPr>
                <w:rFonts w:cstheme="minorHAnsi"/>
                <w:sz w:val="24"/>
                <w:szCs w:val="24"/>
              </w:rPr>
              <w:t xml:space="preserve"> </w:t>
            </w:r>
            <w:r w:rsidRPr="0043547B">
              <w:rPr>
                <w:rFonts w:cstheme="minorHAnsi"/>
                <w:sz w:val="24"/>
                <w:szCs w:val="24"/>
              </w:rPr>
              <w:t>locaux d'hygiène corporelles (toilettes, salles de bains, etc</w:t>
            </w:r>
            <w:r w:rsidR="00577BE7" w:rsidRPr="0043547B">
              <w:rPr>
                <w:rFonts w:cstheme="minorHAnsi"/>
                <w:sz w:val="24"/>
                <w:szCs w:val="24"/>
              </w:rPr>
              <w:t>.)</w:t>
            </w:r>
            <w:r w:rsidRPr="0043547B">
              <w:rPr>
                <w:rFonts w:cstheme="minorHAnsi"/>
                <w:sz w:val="24"/>
                <w:szCs w:val="24"/>
              </w:rPr>
              <w:t xml:space="preserve"> et dans les cuisines ;</w:t>
            </w:r>
          </w:p>
          <w:p w:rsidR="00577BE7" w:rsidRDefault="006D5F73" w:rsidP="00577BE7">
            <w:pPr>
              <w:spacing w:after="0" w:line="240" w:lineRule="auto"/>
              <w:jc w:val="both"/>
              <w:rPr>
                <w:rFonts w:cstheme="minorHAnsi"/>
                <w:sz w:val="24"/>
                <w:szCs w:val="24"/>
              </w:rPr>
            </w:pPr>
            <w:r w:rsidRPr="0043547B">
              <w:rPr>
                <w:rFonts w:cstheme="minorHAnsi"/>
                <w:sz w:val="24"/>
                <w:szCs w:val="24"/>
              </w:rPr>
              <w:t xml:space="preserve">— aux </w:t>
            </w:r>
            <w:r w:rsidR="00577BE7" w:rsidRPr="0043547B">
              <w:rPr>
                <w:rFonts w:cstheme="minorHAnsi"/>
                <w:sz w:val="24"/>
                <w:szCs w:val="24"/>
              </w:rPr>
              <w:t>mitigeurs mécaniques bas</w:t>
            </w:r>
            <w:r w:rsidRPr="0043547B">
              <w:rPr>
                <w:rFonts w:cstheme="minorHAnsi"/>
                <w:sz w:val="24"/>
                <w:szCs w:val="24"/>
              </w:rPr>
              <w:t xml:space="preserve"> pression utilisés dans les conditions de pression et de température suivantes</w:t>
            </w:r>
            <w:r w:rsidR="007F63D3">
              <w:rPr>
                <w:rFonts w:cstheme="minorHAnsi"/>
                <w:sz w:val="24"/>
                <w:szCs w:val="24"/>
              </w:rPr>
              <w:t xml:space="preserve"> </w:t>
            </w:r>
            <w:r w:rsidRPr="0043547B">
              <w:rPr>
                <w:rFonts w:cstheme="minorHAnsi"/>
                <w:sz w:val="24"/>
                <w:szCs w:val="24"/>
              </w:rPr>
              <w:t>données dans le t</w:t>
            </w:r>
            <w:r w:rsidR="00577BE7">
              <w:rPr>
                <w:rFonts w:cstheme="minorHAnsi"/>
                <w:sz w:val="24"/>
                <w:szCs w:val="24"/>
              </w:rPr>
              <w:t>ableau 1.</w:t>
            </w:r>
          </w:p>
          <w:p w:rsidR="006D5F73" w:rsidRPr="00577BE7" w:rsidRDefault="006D5F73" w:rsidP="00577BE7">
            <w:pPr>
              <w:spacing w:after="0" w:line="240" w:lineRule="auto"/>
              <w:jc w:val="both"/>
              <w:rPr>
                <w:rFonts w:cstheme="minorHAnsi"/>
                <w:i/>
                <w:iCs/>
                <w:sz w:val="24"/>
                <w:szCs w:val="24"/>
              </w:rPr>
            </w:pPr>
            <w:r w:rsidRPr="00577BE7">
              <w:rPr>
                <w:rFonts w:cstheme="minorHAnsi"/>
                <w:b/>
                <w:bCs/>
                <w:i/>
                <w:iCs/>
              </w:rPr>
              <w:t>NOTE</w:t>
            </w:r>
            <w:r w:rsidR="00577BE7" w:rsidRPr="00577BE7">
              <w:rPr>
                <w:rFonts w:cstheme="minorHAnsi"/>
                <w:b/>
                <w:bCs/>
                <w:i/>
                <w:iCs/>
              </w:rPr>
              <w:t> </w:t>
            </w:r>
            <w:r w:rsidR="00577BE7" w:rsidRPr="00577BE7">
              <w:rPr>
                <w:rFonts w:cstheme="minorHAnsi"/>
                <w:i/>
                <w:iCs/>
              </w:rPr>
              <w:t xml:space="preserve">: </w:t>
            </w:r>
            <w:r w:rsidRPr="00577BE7">
              <w:rPr>
                <w:rFonts w:cstheme="minorHAnsi"/>
                <w:i/>
                <w:iCs/>
              </w:rPr>
              <w:t>Les mitigeurs mécaniques devant être utilisés à des pressions supérieures à celles du tableau 1 sont couverts</w:t>
            </w:r>
            <w:r w:rsidR="007F63D3" w:rsidRPr="00577BE7">
              <w:rPr>
                <w:rFonts w:cstheme="minorHAnsi"/>
                <w:i/>
                <w:iCs/>
              </w:rPr>
              <w:t xml:space="preserve"> </w:t>
            </w:r>
            <w:r w:rsidRPr="00577BE7">
              <w:rPr>
                <w:rFonts w:cstheme="minorHAnsi"/>
                <w:i/>
                <w:iCs/>
              </w:rPr>
              <w:t>par l’EN 817.</w:t>
            </w:r>
          </w:p>
        </w:tc>
      </w:tr>
      <w:tr w:rsidR="0043547B" w:rsidRPr="0043547B" w:rsidTr="00CB5DC0">
        <w:trPr>
          <w:trHeight w:val="156"/>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6D5F73" w:rsidRPr="0043547B" w:rsidRDefault="006D5F73" w:rsidP="00577BE7">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left w:val="single" w:sz="4" w:space="0" w:color="auto"/>
              <w:bottom w:val="single" w:sz="18" w:space="0" w:color="auto"/>
              <w:right w:val="single" w:sz="18" w:space="0" w:color="auto"/>
            </w:tcBorders>
            <w:shd w:val="clear" w:color="auto" w:fill="C2D69B" w:themeFill="accent3" w:themeFillTint="99"/>
          </w:tcPr>
          <w:p w:rsidR="006D5F73" w:rsidRPr="00C1034A" w:rsidRDefault="006D5F73" w:rsidP="00577BE7">
            <w:pPr>
              <w:spacing w:after="0" w:line="240" w:lineRule="auto"/>
              <w:jc w:val="center"/>
              <w:rPr>
                <w:rFonts w:cstheme="minorHAnsi"/>
                <w:b/>
                <w:bCs/>
                <w:sz w:val="24"/>
                <w:szCs w:val="24"/>
              </w:rPr>
            </w:pPr>
            <w:r w:rsidRPr="00C1034A">
              <w:rPr>
                <w:rFonts w:cstheme="minorHAnsi"/>
                <w:b/>
                <w:bCs/>
                <w:sz w:val="24"/>
                <w:szCs w:val="24"/>
              </w:rPr>
              <w:t>NM EN 13558</w:t>
            </w:r>
          </w:p>
        </w:tc>
      </w:tr>
      <w:tr w:rsidR="0043547B" w:rsidRPr="0043547B" w:rsidTr="00577BE7">
        <w:trPr>
          <w:trHeight w:val="23"/>
          <w:jc w:val="center"/>
        </w:trPr>
        <w:tc>
          <w:tcPr>
            <w:tcW w:w="1838" w:type="dxa"/>
            <w:tcBorders>
              <w:top w:val="single" w:sz="18" w:space="0" w:color="auto"/>
              <w:left w:val="single" w:sz="18" w:space="0" w:color="auto"/>
              <w:bottom w:val="single" w:sz="4" w:space="0" w:color="auto"/>
              <w:right w:val="single" w:sz="4" w:space="0" w:color="auto"/>
            </w:tcBorders>
            <w:shd w:val="clear" w:color="auto" w:fill="FDFBA9"/>
            <w:vAlign w:val="center"/>
          </w:tcPr>
          <w:p w:rsidR="006D5F73" w:rsidRPr="0043547B" w:rsidRDefault="006D5F73" w:rsidP="00577BE7">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DFBA9"/>
            <w:vAlign w:val="center"/>
          </w:tcPr>
          <w:p w:rsidR="006D5F73" w:rsidRPr="00C1034A" w:rsidRDefault="006D5F73" w:rsidP="00577BE7">
            <w:pPr>
              <w:spacing w:after="0" w:line="240" w:lineRule="auto"/>
              <w:jc w:val="center"/>
              <w:rPr>
                <w:rFonts w:cstheme="minorHAnsi"/>
                <w:b/>
                <w:bCs/>
                <w:sz w:val="24"/>
                <w:szCs w:val="24"/>
              </w:rPr>
            </w:pPr>
            <w:r w:rsidRPr="00C1034A">
              <w:rPr>
                <w:rFonts w:cstheme="minorHAnsi"/>
                <w:b/>
                <w:bCs/>
                <w:sz w:val="24"/>
                <w:szCs w:val="24"/>
              </w:rPr>
              <w:t xml:space="preserve">  EN 13558</w:t>
            </w:r>
          </w:p>
        </w:tc>
      </w:tr>
      <w:tr w:rsidR="0043547B" w:rsidRPr="0043547B" w:rsidTr="00577BE7">
        <w:trPr>
          <w:trHeight w:val="627"/>
          <w:jc w:val="center"/>
        </w:trPr>
        <w:tc>
          <w:tcPr>
            <w:tcW w:w="1838" w:type="dxa"/>
            <w:tcBorders>
              <w:top w:val="single" w:sz="4" w:space="0" w:color="auto"/>
              <w:left w:val="single" w:sz="18" w:space="0" w:color="auto"/>
              <w:bottom w:val="single" w:sz="4" w:space="0" w:color="auto"/>
              <w:right w:val="single" w:sz="4" w:space="0" w:color="auto"/>
            </w:tcBorders>
            <w:shd w:val="clear" w:color="auto" w:fill="95B3D7" w:themeFill="accent1" w:themeFillTint="99"/>
            <w:vAlign w:val="center"/>
          </w:tcPr>
          <w:p w:rsidR="006D5F73" w:rsidRPr="0043547B" w:rsidRDefault="006D5F73" w:rsidP="00577BE7">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auto"/>
          </w:tcPr>
          <w:p w:rsidR="006D5F73" w:rsidRPr="0043547B" w:rsidRDefault="006D5F73" w:rsidP="00577BE7">
            <w:pPr>
              <w:spacing w:after="0" w:line="240" w:lineRule="auto"/>
              <w:rPr>
                <w:rFonts w:cstheme="minorHAnsi"/>
                <w:sz w:val="24"/>
                <w:szCs w:val="24"/>
              </w:rPr>
            </w:pPr>
            <w:r w:rsidRPr="0043547B">
              <w:rPr>
                <w:rFonts w:cstheme="minorHAnsi"/>
                <w:sz w:val="24"/>
                <w:szCs w:val="24"/>
              </w:rPr>
              <w:t>Spécifications des feuilles d'acrylique extrudées modifiées choc pour receveurs de douche à usage domestique</w:t>
            </w:r>
          </w:p>
        </w:tc>
      </w:tr>
      <w:tr w:rsidR="0043547B" w:rsidRPr="0043547B" w:rsidTr="00CB5DC0">
        <w:trPr>
          <w:trHeight w:val="860"/>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6D5F73" w:rsidRPr="0043547B" w:rsidRDefault="006D5F73" w:rsidP="00577BE7">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tcPr>
          <w:p w:rsidR="00577BE7" w:rsidRDefault="006D5F73" w:rsidP="00577BE7">
            <w:pPr>
              <w:spacing w:after="0" w:line="240" w:lineRule="auto"/>
              <w:jc w:val="both"/>
              <w:rPr>
                <w:rFonts w:cstheme="minorHAnsi"/>
                <w:sz w:val="24"/>
                <w:szCs w:val="24"/>
              </w:rPr>
            </w:pPr>
            <w:r w:rsidRPr="0043547B">
              <w:rPr>
                <w:rFonts w:cstheme="minorHAnsi"/>
                <w:sz w:val="24"/>
                <w:szCs w:val="24"/>
              </w:rPr>
              <w:t>La présente Norme européenne spécifie les propriétés des feuilles extrudées en acrylique modifié choc, utilisées</w:t>
            </w:r>
            <w:r w:rsidR="00577BE7">
              <w:rPr>
                <w:rFonts w:cstheme="minorHAnsi"/>
                <w:sz w:val="24"/>
                <w:szCs w:val="24"/>
              </w:rPr>
              <w:t xml:space="preserve"> </w:t>
            </w:r>
            <w:r w:rsidRPr="0043547B">
              <w:rPr>
                <w:rFonts w:cstheme="minorHAnsi"/>
                <w:sz w:val="24"/>
                <w:szCs w:val="24"/>
              </w:rPr>
              <w:t>pour la fabrication des receveurs de douche à usage domestique.</w:t>
            </w:r>
          </w:p>
          <w:p w:rsidR="006D5F73" w:rsidRPr="0043547B" w:rsidRDefault="006D5F73" w:rsidP="00577BE7">
            <w:pPr>
              <w:spacing w:after="0" w:line="240" w:lineRule="auto"/>
              <w:jc w:val="both"/>
              <w:rPr>
                <w:rFonts w:cstheme="minorHAnsi"/>
                <w:sz w:val="24"/>
                <w:szCs w:val="24"/>
              </w:rPr>
            </w:pPr>
            <w:r w:rsidRPr="00577BE7">
              <w:rPr>
                <w:rFonts w:cstheme="minorHAnsi"/>
                <w:b/>
                <w:bCs/>
                <w:i/>
                <w:iCs/>
              </w:rPr>
              <w:t xml:space="preserve">NOTE : </w:t>
            </w:r>
            <w:r w:rsidRPr="00577BE7">
              <w:rPr>
                <w:rFonts w:cstheme="minorHAnsi"/>
                <w:i/>
                <w:iCs/>
              </w:rPr>
              <w:t>Pour les besoins de la présente Norme, le terme «usage domestique» inclut l'utilisation dans les hôtels, les résidences d'étudiants, les hôpitaux et autres bâtiments similaires, sauf lorsque des dispositions médicales spéciales sont requises.</w:t>
            </w:r>
          </w:p>
        </w:tc>
      </w:tr>
      <w:tr w:rsidR="0043547B" w:rsidRPr="0043547B" w:rsidTr="00CB5DC0">
        <w:trPr>
          <w:trHeight w:val="23"/>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6D5F73" w:rsidRPr="0043547B" w:rsidRDefault="006D5F73" w:rsidP="00FA32CB">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left w:val="single" w:sz="4" w:space="0" w:color="auto"/>
              <w:bottom w:val="single" w:sz="18" w:space="0" w:color="auto"/>
              <w:right w:val="single" w:sz="18" w:space="0" w:color="auto"/>
            </w:tcBorders>
            <w:shd w:val="clear" w:color="auto" w:fill="C2D69B" w:themeFill="accent3" w:themeFillTint="99"/>
          </w:tcPr>
          <w:p w:rsidR="006D5F73" w:rsidRPr="00C1034A" w:rsidRDefault="006D5F73" w:rsidP="00577BE7">
            <w:pPr>
              <w:spacing w:after="0" w:line="240" w:lineRule="auto"/>
              <w:jc w:val="center"/>
              <w:rPr>
                <w:rFonts w:cstheme="minorHAnsi"/>
                <w:b/>
                <w:bCs/>
                <w:sz w:val="24"/>
                <w:szCs w:val="24"/>
              </w:rPr>
            </w:pPr>
            <w:r w:rsidRPr="00C1034A">
              <w:rPr>
                <w:rFonts w:cstheme="minorHAnsi"/>
                <w:b/>
                <w:bCs/>
                <w:sz w:val="24"/>
                <w:szCs w:val="24"/>
              </w:rPr>
              <w:t>NM EN 13559</w:t>
            </w:r>
          </w:p>
        </w:tc>
      </w:tr>
      <w:tr w:rsidR="0043547B" w:rsidRPr="0043547B" w:rsidTr="00CB5DC0">
        <w:trPr>
          <w:trHeight w:val="23"/>
          <w:jc w:val="center"/>
        </w:trPr>
        <w:tc>
          <w:tcPr>
            <w:tcW w:w="1838" w:type="dxa"/>
            <w:tcBorders>
              <w:top w:val="single" w:sz="18" w:space="0" w:color="auto"/>
              <w:left w:val="single" w:sz="18" w:space="0" w:color="auto"/>
              <w:bottom w:val="single" w:sz="4" w:space="0" w:color="auto"/>
              <w:right w:val="single" w:sz="4" w:space="0" w:color="auto"/>
            </w:tcBorders>
            <w:shd w:val="clear" w:color="auto" w:fill="FDFBA9"/>
            <w:vAlign w:val="center"/>
          </w:tcPr>
          <w:p w:rsidR="006D5F73" w:rsidRPr="00C1034A" w:rsidRDefault="006D5F73" w:rsidP="00FA32CB">
            <w:pPr>
              <w:spacing w:after="0" w:line="240" w:lineRule="auto"/>
              <w:jc w:val="center"/>
              <w:rPr>
                <w:rFonts w:cstheme="minorHAnsi"/>
                <w:b/>
                <w:bCs/>
                <w:sz w:val="24"/>
                <w:szCs w:val="24"/>
              </w:rPr>
            </w:pPr>
            <w:r w:rsidRPr="00C1034A">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DFBA9"/>
            <w:vAlign w:val="center"/>
          </w:tcPr>
          <w:p w:rsidR="006D5F73" w:rsidRPr="00C1034A" w:rsidRDefault="006D5F73" w:rsidP="00577BE7">
            <w:pPr>
              <w:spacing w:after="0" w:line="240" w:lineRule="auto"/>
              <w:jc w:val="center"/>
              <w:rPr>
                <w:rFonts w:cstheme="minorHAnsi"/>
                <w:b/>
                <w:bCs/>
                <w:sz w:val="24"/>
                <w:szCs w:val="24"/>
              </w:rPr>
            </w:pPr>
            <w:r w:rsidRPr="00C1034A">
              <w:rPr>
                <w:rFonts w:cstheme="minorHAnsi"/>
                <w:b/>
                <w:bCs/>
                <w:sz w:val="24"/>
                <w:szCs w:val="24"/>
              </w:rPr>
              <w:t>EN 13559</w:t>
            </w:r>
          </w:p>
        </w:tc>
      </w:tr>
      <w:tr w:rsidR="0043547B" w:rsidRPr="0043547B" w:rsidTr="00CB5DC0">
        <w:trPr>
          <w:trHeight w:val="860"/>
          <w:jc w:val="center"/>
        </w:trPr>
        <w:tc>
          <w:tcPr>
            <w:tcW w:w="1838" w:type="dxa"/>
            <w:tcBorders>
              <w:top w:val="single" w:sz="4" w:space="0" w:color="auto"/>
              <w:left w:val="single" w:sz="18" w:space="0" w:color="auto"/>
              <w:bottom w:val="single" w:sz="4" w:space="0" w:color="auto"/>
              <w:right w:val="single" w:sz="4" w:space="0" w:color="auto"/>
            </w:tcBorders>
            <w:shd w:val="clear" w:color="auto" w:fill="95B3D7" w:themeFill="accent1" w:themeFillTint="99"/>
            <w:vAlign w:val="center"/>
          </w:tcPr>
          <w:p w:rsidR="006D5F73" w:rsidRPr="0043547B" w:rsidRDefault="006D5F73" w:rsidP="00FA32CB">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auto"/>
          </w:tcPr>
          <w:p w:rsidR="006D5F73" w:rsidRPr="0043547B" w:rsidRDefault="006D5F73" w:rsidP="00577BE7">
            <w:pPr>
              <w:spacing w:after="0" w:line="240" w:lineRule="auto"/>
              <w:rPr>
                <w:rFonts w:cstheme="minorHAnsi"/>
                <w:sz w:val="24"/>
                <w:szCs w:val="24"/>
              </w:rPr>
            </w:pPr>
            <w:r w:rsidRPr="0043547B">
              <w:rPr>
                <w:rFonts w:cstheme="minorHAnsi"/>
                <w:sz w:val="24"/>
                <w:szCs w:val="24"/>
              </w:rPr>
              <w:t xml:space="preserve">Spécifications des feuilles coextrudées en ABS/Acrylique pour baignoires et receveurs de douche à usage domestique </w:t>
            </w:r>
          </w:p>
        </w:tc>
      </w:tr>
      <w:tr w:rsidR="0043547B" w:rsidRPr="0043547B" w:rsidTr="00CB5DC0">
        <w:trPr>
          <w:trHeight w:val="860"/>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6D5F73" w:rsidRPr="0043547B" w:rsidRDefault="006D5F73" w:rsidP="00FA32CB">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tcPr>
          <w:p w:rsidR="0045784D" w:rsidRDefault="006D5F73" w:rsidP="0045784D">
            <w:pPr>
              <w:spacing w:after="0" w:line="240" w:lineRule="auto"/>
              <w:jc w:val="both"/>
              <w:rPr>
                <w:rFonts w:cstheme="minorHAnsi"/>
              </w:rPr>
            </w:pPr>
            <w:r w:rsidRPr="0045784D">
              <w:rPr>
                <w:rFonts w:cstheme="minorHAnsi"/>
              </w:rPr>
              <w:t>La présente Norme spécifie les propriétés des feuilles coextrudées en ABS comportant une couche</w:t>
            </w:r>
            <w:r w:rsidR="007F63D3" w:rsidRPr="0045784D">
              <w:rPr>
                <w:rFonts w:cstheme="minorHAnsi"/>
              </w:rPr>
              <w:t xml:space="preserve"> </w:t>
            </w:r>
            <w:r w:rsidRPr="0045784D">
              <w:rPr>
                <w:rFonts w:cstheme="minorHAnsi"/>
              </w:rPr>
              <w:t>superficielle en acrylique modifié choc, utilisées pour la fabrication des baignoires et receveurs de douche à usage</w:t>
            </w:r>
            <w:r w:rsidR="0045784D">
              <w:rPr>
                <w:rFonts w:cstheme="minorHAnsi"/>
              </w:rPr>
              <w:t xml:space="preserve"> </w:t>
            </w:r>
            <w:r w:rsidRPr="0045784D">
              <w:rPr>
                <w:rFonts w:cstheme="minorHAnsi"/>
              </w:rPr>
              <w:t>domestique.</w:t>
            </w:r>
          </w:p>
          <w:p w:rsidR="006D5F73" w:rsidRPr="0043547B" w:rsidRDefault="006D5F73" w:rsidP="0045784D">
            <w:pPr>
              <w:spacing w:after="0" w:line="240" w:lineRule="auto"/>
              <w:jc w:val="both"/>
              <w:rPr>
                <w:rFonts w:cstheme="minorHAnsi"/>
                <w:sz w:val="24"/>
                <w:szCs w:val="24"/>
              </w:rPr>
            </w:pPr>
            <w:r w:rsidRPr="0045784D">
              <w:rPr>
                <w:rFonts w:cstheme="minorHAnsi"/>
                <w:b/>
                <w:bCs/>
                <w:i/>
                <w:iCs/>
                <w:sz w:val="20"/>
                <w:szCs w:val="20"/>
              </w:rPr>
              <w:t>NOTE :</w:t>
            </w:r>
            <w:r w:rsidRPr="0045784D">
              <w:rPr>
                <w:rFonts w:cstheme="minorHAnsi"/>
                <w:i/>
                <w:iCs/>
                <w:sz w:val="20"/>
                <w:szCs w:val="20"/>
              </w:rPr>
              <w:t xml:space="preserve"> Pour les besoins de la présente Norme, le terme «usage domestique» inclut l'utilisation dans les hôtels, les résidences d'étudiants, les hôpitaux et autres bâtiments similaires, sauf lorsque des dispositions médicales spéciales sont requises.</w:t>
            </w:r>
          </w:p>
        </w:tc>
      </w:tr>
      <w:tr w:rsidR="0043547B" w:rsidRPr="0043547B" w:rsidTr="00CB5DC0">
        <w:trPr>
          <w:trHeight w:val="23"/>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6D5F73" w:rsidRPr="0043547B" w:rsidRDefault="006D5F73" w:rsidP="00FA32CB">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left w:val="single" w:sz="4" w:space="0" w:color="auto"/>
              <w:bottom w:val="single" w:sz="18" w:space="0" w:color="auto"/>
              <w:right w:val="single" w:sz="18" w:space="0" w:color="auto"/>
            </w:tcBorders>
            <w:shd w:val="clear" w:color="auto" w:fill="C2D69B" w:themeFill="accent3" w:themeFillTint="99"/>
          </w:tcPr>
          <w:p w:rsidR="006D5F73" w:rsidRPr="00C1034A" w:rsidRDefault="006D5F73" w:rsidP="00FA32CB">
            <w:pPr>
              <w:spacing w:after="0" w:line="240" w:lineRule="auto"/>
              <w:jc w:val="center"/>
              <w:rPr>
                <w:rFonts w:cstheme="minorHAnsi"/>
                <w:b/>
                <w:bCs/>
                <w:sz w:val="24"/>
                <w:szCs w:val="24"/>
              </w:rPr>
            </w:pPr>
            <w:r w:rsidRPr="00C1034A">
              <w:rPr>
                <w:rFonts w:cstheme="minorHAnsi"/>
                <w:b/>
                <w:bCs/>
                <w:sz w:val="24"/>
                <w:szCs w:val="24"/>
              </w:rPr>
              <w:t>NM EN 14124</w:t>
            </w:r>
          </w:p>
        </w:tc>
      </w:tr>
      <w:tr w:rsidR="0043547B" w:rsidRPr="0043547B" w:rsidTr="00CB5DC0">
        <w:trPr>
          <w:trHeight w:val="23"/>
          <w:jc w:val="center"/>
        </w:trPr>
        <w:tc>
          <w:tcPr>
            <w:tcW w:w="1838" w:type="dxa"/>
            <w:tcBorders>
              <w:top w:val="single" w:sz="18" w:space="0" w:color="auto"/>
              <w:left w:val="single" w:sz="18" w:space="0" w:color="auto"/>
              <w:bottom w:val="single" w:sz="4" w:space="0" w:color="auto"/>
              <w:right w:val="single" w:sz="4" w:space="0" w:color="auto"/>
            </w:tcBorders>
            <w:shd w:val="clear" w:color="auto" w:fill="FDFBA9"/>
            <w:vAlign w:val="center"/>
          </w:tcPr>
          <w:p w:rsidR="006D5F73" w:rsidRPr="0043547B" w:rsidRDefault="006D5F73" w:rsidP="00FA32CB">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DFBA9"/>
            <w:vAlign w:val="center"/>
          </w:tcPr>
          <w:p w:rsidR="006D5F73" w:rsidRPr="00C1034A" w:rsidRDefault="006D5F73" w:rsidP="00FA32CB">
            <w:pPr>
              <w:spacing w:after="0" w:line="240" w:lineRule="auto"/>
              <w:jc w:val="center"/>
              <w:rPr>
                <w:rFonts w:cstheme="minorHAnsi"/>
                <w:b/>
                <w:bCs/>
                <w:sz w:val="24"/>
                <w:szCs w:val="24"/>
              </w:rPr>
            </w:pPr>
            <w:r w:rsidRPr="00C1034A">
              <w:rPr>
                <w:rFonts w:cstheme="minorHAnsi"/>
                <w:b/>
                <w:bCs/>
                <w:sz w:val="24"/>
                <w:szCs w:val="24"/>
              </w:rPr>
              <w:t xml:space="preserve">  EN 14124</w:t>
            </w:r>
          </w:p>
        </w:tc>
      </w:tr>
      <w:tr w:rsidR="0043547B" w:rsidRPr="0043547B" w:rsidTr="00CB5DC0">
        <w:trPr>
          <w:trHeight w:val="23"/>
          <w:jc w:val="center"/>
        </w:trPr>
        <w:tc>
          <w:tcPr>
            <w:tcW w:w="1838" w:type="dxa"/>
            <w:tcBorders>
              <w:top w:val="single" w:sz="4" w:space="0" w:color="auto"/>
              <w:left w:val="single" w:sz="18" w:space="0" w:color="auto"/>
              <w:bottom w:val="single" w:sz="4" w:space="0" w:color="auto"/>
              <w:right w:val="single" w:sz="4" w:space="0" w:color="auto"/>
            </w:tcBorders>
            <w:shd w:val="clear" w:color="auto" w:fill="95B3D7" w:themeFill="accent1" w:themeFillTint="99"/>
            <w:vAlign w:val="center"/>
          </w:tcPr>
          <w:p w:rsidR="006D5F73" w:rsidRPr="0043547B" w:rsidRDefault="006D5F73" w:rsidP="00FA32CB">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auto"/>
          </w:tcPr>
          <w:p w:rsidR="006D5F73" w:rsidRPr="0043547B" w:rsidRDefault="006D5F73" w:rsidP="00FA32CB">
            <w:pPr>
              <w:spacing w:after="0" w:line="240" w:lineRule="auto"/>
              <w:rPr>
                <w:rFonts w:cstheme="minorHAnsi"/>
                <w:sz w:val="24"/>
                <w:szCs w:val="24"/>
              </w:rPr>
            </w:pPr>
            <w:r w:rsidRPr="0043547B">
              <w:rPr>
                <w:rFonts w:cstheme="minorHAnsi"/>
                <w:sz w:val="24"/>
                <w:szCs w:val="24"/>
              </w:rPr>
              <w:t xml:space="preserve">Robinet pour remplissage de réservoir de chasse avec trop-plein intérieur </w:t>
            </w:r>
          </w:p>
        </w:tc>
      </w:tr>
      <w:tr w:rsidR="0043547B" w:rsidRPr="0043547B" w:rsidTr="00CB5DC0">
        <w:trPr>
          <w:trHeight w:val="860"/>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6D5F73" w:rsidRPr="0043547B" w:rsidRDefault="006D5F73" w:rsidP="00FA32CB">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tcPr>
          <w:p w:rsidR="00FA32CB" w:rsidRDefault="006D5F73" w:rsidP="00FA32CB">
            <w:pPr>
              <w:spacing w:after="0" w:line="240" w:lineRule="auto"/>
              <w:jc w:val="both"/>
              <w:rPr>
                <w:rFonts w:cstheme="minorHAnsi"/>
                <w:sz w:val="24"/>
                <w:szCs w:val="24"/>
              </w:rPr>
            </w:pPr>
            <w:r w:rsidRPr="0043547B">
              <w:rPr>
                <w:rFonts w:cstheme="minorHAnsi"/>
                <w:sz w:val="24"/>
                <w:szCs w:val="24"/>
              </w:rPr>
              <w:t>Le présent document a pour objet de fixer :</w:t>
            </w:r>
          </w:p>
          <w:p w:rsidR="00FA32CB" w:rsidRDefault="006D5F73" w:rsidP="00FA32CB">
            <w:pPr>
              <w:spacing w:after="0" w:line="240" w:lineRule="auto"/>
              <w:jc w:val="both"/>
              <w:rPr>
                <w:rFonts w:cstheme="minorHAnsi"/>
                <w:sz w:val="24"/>
                <w:szCs w:val="24"/>
              </w:rPr>
            </w:pPr>
            <w:r w:rsidRPr="0043547B">
              <w:rPr>
                <w:rFonts w:cstheme="minorHAnsi"/>
                <w:sz w:val="24"/>
                <w:szCs w:val="24"/>
              </w:rPr>
              <w:t>— les caractéristiques dimensionnelles, d'hygiène, d'étanchéité, de tenue en pression, hydrauliques, acoustiques,</w:t>
            </w:r>
            <w:r w:rsidR="007F63D3">
              <w:rPr>
                <w:rFonts w:cstheme="minorHAnsi"/>
                <w:sz w:val="24"/>
                <w:szCs w:val="24"/>
              </w:rPr>
              <w:t xml:space="preserve"> </w:t>
            </w:r>
            <w:r w:rsidRPr="0043547B">
              <w:rPr>
                <w:rFonts w:cstheme="minorHAnsi"/>
                <w:sz w:val="24"/>
                <w:szCs w:val="24"/>
              </w:rPr>
              <w:t>mécaniques, physico-chimiques auxquelles doivent répondre les robinets pour réservoir de chasse ;</w:t>
            </w:r>
          </w:p>
          <w:p w:rsidR="00FA32CB" w:rsidRDefault="006D5F73" w:rsidP="00FA32CB">
            <w:pPr>
              <w:spacing w:after="0" w:line="240" w:lineRule="auto"/>
              <w:jc w:val="both"/>
              <w:rPr>
                <w:rFonts w:cstheme="minorHAnsi"/>
                <w:sz w:val="24"/>
                <w:szCs w:val="24"/>
              </w:rPr>
            </w:pPr>
            <w:r w:rsidRPr="0043547B">
              <w:rPr>
                <w:rFonts w:cstheme="minorHAnsi"/>
                <w:sz w:val="24"/>
                <w:szCs w:val="24"/>
              </w:rPr>
              <w:t>— la technique des essais ;</w:t>
            </w:r>
          </w:p>
          <w:p w:rsidR="00FA32CB" w:rsidRDefault="006D5F73" w:rsidP="00FA32CB">
            <w:pPr>
              <w:spacing w:after="0" w:line="240" w:lineRule="auto"/>
              <w:jc w:val="both"/>
              <w:rPr>
                <w:rFonts w:cstheme="minorHAnsi"/>
                <w:sz w:val="24"/>
                <w:szCs w:val="24"/>
              </w:rPr>
            </w:pPr>
            <w:r w:rsidRPr="0043547B">
              <w:rPr>
                <w:rFonts w:cstheme="minorHAnsi"/>
                <w:sz w:val="24"/>
                <w:szCs w:val="24"/>
              </w:rPr>
              <w:lastRenderedPageBreak/>
              <w:t>— le marquage et la présentation.</w:t>
            </w:r>
          </w:p>
          <w:p w:rsidR="00FA32CB" w:rsidRDefault="006D5F73" w:rsidP="00FA32CB">
            <w:pPr>
              <w:spacing w:after="0" w:line="240" w:lineRule="auto"/>
              <w:jc w:val="both"/>
              <w:rPr>
                <w:rFonts w:cstheme="minorHAnsi"/>
                <w:sz w:val="24"/>
                <w:szCs w:val="24"/>
              </w:rPr>
            </w:pPr>
            <w:r w:rsidRPr="0043547B">
              <w:rPr>
                <w:rFonts w:cstheme="minorHAnsi"/>
                <w:sz w:val="24"/>
                <w:szCs w:val="24"/>
              </w:rPr>
              <w:t>Le présent document s’applique exclusivement au robinet lui-même, et ne préjuge pas de la conformité aux</w:t>
            </w:r>
            <w:r w:rsidR="00FA32CB">
              <w:rPr>
                <w:rFonts w:cstheme="minorHAnsi"/>
                <w:sz w:val="24"/>
                <w:szCs w:val="24"/>
              </w:rPr>
              <w:t xml:space="preserve"> </w:t>
            </w:r>
            <w:r w:rsidRPr="0043547B">
              <w:rPr>
                <w:rFonts w:cstheme="minorHAnsi"/>
                <w:sz w:val="24"/>
                <w:szCs w:val="24"/>
              </w:rPr>
              <w:t>réglementations sanitaires du robinet installé dans le réservoir de chasse.</w:t>
            </w:r>
          </w:p>
          <w:p w:rsidR="00FA32CB" w:rsidRDefault="006D5F73" w:rsidP="00FA32CB">
            <w:pPr>
              <w:spacing w:after="0" w:line="240" w:lineRule="auto"/>
              <w:jc w:val="both"/>
              <w:rPr>
                <w:rFonts w:cstheme="minorHAnsi"/>
                <w:sz w:val="24"/>
                <w:szCs w:val="24"/>
              </w:rPr>
            </w:pPr>
            <w:r w:rsidRPr="0043547B">
              <w:rPr>
                <w:rFonts w:cstheme="minorHAnsi"/>
                <w:sz w:val="24"/>
                <w:szCs w:val="24"/>
              </w:rPr>
              <w:t>Les robinets destinés à équiper les réservoirs à trop-plein extérieur ne sont pas traités dans le présent document.</w:t>
            </w:r>
          </w:p>
          <w:p w:rsidR="00FA32CB" w:rsidRDefault="006D5F73" w:rsidP="00FA32CB">
            <w:pPr>
              <w:spacing w:after="0" w:line="240" w:lineRule="auto"/>
              <w:jc w:val="both"/>
              <w:rPr>
                <w:rFonts w:cstheme="minorHAnsi"/>
                <w:sz w:val="24"/>
                <w:szCs w:val="24"/>
              </w:rPr>
            </w:pPr>
            <w:r w:rsidRPr="0043547B">
              <w:rPr>
                <w:rFonts w:cstheme="minorHAnsi"/>
                <w:sz w:val="24"/>
                <w:szCs w:val="24"/>
              </w:rPr>
              <w:t>Il s'applique aux robinets de remplissage de PN 10, dont la plage de fonctionnement est de 0,05 MPa à 1 MPa</w:t>
            </w:r>
            <w:r w:rsidR="007F63D3">
              <w:rPr>
                <w:rFonts w:cstheme="minorHAnsi"/>
                <w:sz w:val="24"/>
                <w:szCs w:val="24"/>
              </w:rPr>
              <w:t xml:space="preserve"> </w:t>
            </w:r>
            <w:r w:rsidRPr="0043547B">
              <w:rPr>
                <w:rFonts w:cstheme="minorHAnsi"/>
                <w:sz w:val="24"/>
                <w:szCs w:val="24"/>
              </w:rPr>
              <w:t>(0,5 bar à 10 bar), destinés à l'alimentation en eau froide des réservoirs de chasse équipant les cuvettes de WC</w:t>
            </w:r>
            <w:r w:rsidR="007F63D3">
              <w:rPr>
                <w:rFonts w:cstheme="minorHAnsi"/>
                <w:sz w:val="24"/>
                <w:szCs w:val="24"/>
              </w:rPr>
              <w:t xml:space="preserve"> </w:t>
            </w:r>
            <w:r w:rsidRPr="0043547B">
              <w:rPr>
                <w:rFonts w:cstheme="minorHAnsi"/>
                <w:sz w:val="24"/>
                <w:szCs w:val="24"/>
              </w:rPr>
              <w:t>raccordés de façon permanente au réseau d'eau potable.</w:t>
            </w:r>
          </w:p>
          <w:p w:rsidR="006D5F73" w:rsidRPr="0043547B" w:rsidRDefault="006D5F73" w:rsidP="00FA32CB">
            <w:pPr>
              <w:spacing w:after="0" w:line="240" w:lineRule="auto"/>
              <w:jc w:val="both"/>
              <w:rPr>
                <w:rFonts w:cstheme="minorHAnsi"/>
                <w:sz w:val="24"/>
                <w:szCs w:val="24"/>
              </w:rPr>
            </w:pPr>
            <w:r w:rsidRPr="0043547B">
              <w:rPr>
                <w:rFonts w:cstheme="minorHAnsi"/>
                <w:sz w:val="24"/>
                <w:szCs w:val="24"/>
              </w:rPr>
              <w:t>La plage de fonctionnement peut être étendue vers le bas en-dessous de 0,05 MPa (0,5 bar) jusqu'à 0,01 MPa</w:t>
            </w:r>
            <w:r w:rsidR="007F63D3">
              <w:rPr>
                <w:rFonts w:cstheme="minorHAnsi"/>
                <w:sz w:val="24"/>
                <w:szCs w:val="24"/>
              </w:rPr>
              <w:t xml:space="preserve"> </w:t>
            </w:r>
            <w:r w:rsidRPr="0043547B">
              <w:rPr>
                <w:rFonts w:cstheme="minorHAnsi"/>
                <w:sz w:val="24"/>
                <w:szCs w:val="24"/>
              </w:rPr>
              <w:t>(0,1 bar) ; dans ce cas, la notice du fabricant devra indiquer cette possibilité ainsi que la plage de fonctionnement</w:t>
            </w:r>
            <w:r w:rsidRPr="0043547B">
              <w:rPr>
                <w:rFonts w:cstheme="minorHAnsi"/>
                <w:sz w:val="24"/>
                <w:szCs w:val="24"/>
              </w:rPr>
              <w:br/>
              <w:t>recommandée.</w:t>
            </w:r>
          </w:p>
        </w:tc>
      </w:tr>
      <w:tr w:rsidR="0043547B" w:rsidRPr="0043547B" w:rsidTr="00CB5DC0">
        <w:trPr>
          <w:trHeight w:val="23"/>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6D5F73" w:rsidRPr="00C1034A" w:rsidRDefault="006D5F73" w:rsidP="00FA32CB">
            <w:pPr>
              <w:spacing w:after="0" w:line="240" w:lineRule="auto"/>
              <w:jc w:val="center"/>
              <w:rPr>
                <w:rFonts w:cstheme="minorHAnsi"/>
                <w:b/>
                <w:bCs/>
                <w:sz w:val="24"/>
                <w:szCs w:val="24"/>
              </w:rPr>
            </w:pPr>
            <w:r w:rsidRPr="00C1034A">
              <w:rPr>
                <w:rFonts w:cstheme="minorHAnsi"/>
                <w:b/>
                <w:bCs/>
                <w:sz w:val="24"/>
                <w:szCs w:val="24"/>
              </w:rPr>
              <w:lastRenderedPageBreak/>
              <w:t>Code :</w:t>
            </w:r>
          </w:p>
        </w:tc>
        <w:tc>
          <w:tcPr>
            <w:tcW w:w="7938" w:type="dxa"/>
            <w:tcBorders>
              <w:left w:val="single" w:sz="4" w:space="0" w:color="auto"/>
              <w:bottom w:val="single" w:sz="18" w:space="0" w:color="auto"/>
              <w:right w:val="single" w:sz="18" w:space="0" w:color="auto"/>
            </w:tcBorders>
            <w:shd w:val="clear" w:color="auto" w:fill="C2D69B" w:themeFill="accent3" w:themeFillTint="99"/>
          </w:tcPr>
          <w:p w:rsidR="006D5F73" w:rsidRPr="00C1034A" w:rsidRDefault="006D5F73" w:rsidP="00FA32CB">
            <w:pPr>
              <w:spacing w:after="0" w:line="240" w:lineRule="auto"/>
              <w:jc w:val="center"/>
              <w:rPr>
                <w:rFonts w:cstheme="minorHAnsi"/>
                <w:b/>
                <w:bCs/>
                <w:sz w:val="24"/>
                <w:szCs w:val="24"/>
              </w:rPr>
            </w:pPr>
            <w:r w:rsidRPr="00C1034A">
              <w:rPr>
                <w:rFonts w:cstheme="minorHAnsi"/>
                <w:b/>
                <w:bCs/>
                <w:sz w:val="24"/>
                <w:szCs w:val="24"/>
              </w:rPr>
              <w:t>NM EN 14428</w:t>
            </w:r>
          </w:p>
        </w:tc>
      </w:tr>
      <w:tr w:rsidR="0043547B" w:rsidRPr="0043547B" w:rsidTr="00FA32CB">
        <w:trPr>
          <w:trHeight w:val="23"/>
          <w:jc w:val="center"/>
        </w:trPr>
        <w:tc>
          <w:tcPr>
            <w:tcW w:w="1838" w:type="dxa"/>
            <w:tcBorders>
              <w:top w:val="single" w:sz="18" w:space="0" w:color="auto"/>
              <w:left w:val="single" w:sz="18" w:space="0" w:color="auto"/>
              <w:bottom w:val="single" w:sz="4" w:space="0" w:color="auto"/>
              <w:right w:val="single" w:sz="4" w:space="0" w:color="auto"/>
            </w:tcBorders>
            <w:shd w:val="clear" w:color="auto" w:fill="FDFBA9"/>
            <w:vAlign w:val="center"/>
          </w:tcPr>
          <w:p w:rsidR="006D5F73" w:rsidRPr="00C1034A" w:rsidRDefault="006D5F73" w:rsidP="00FA32CB">
            <w:pPr>
              <w:spacing w:after="0" w:line="240" w:lineRule="auto"/>
              <w:jc w:val="center"/>
              <w:rPr>
                <w:rFonts w:cstheme="minorHAnsi"/>
                <w:b/>
                <w:bCs/>
                <w:sz w:val="24"/>
                <w:szCs w:val="24"/>
              </w:rPr>
            </w:pPr>
            <w:r w:rsidRPr="00C1034A">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DFBA9"/>
            <w:vAlign w:val="center"/>
          </w:tcPr>
          <w:p w:rsidR="006D5F73" w:rsidRPr="00C1034A" w:rsidRDefault="006D5F73" w:rsidP="00FA32CB">
            <w:pPr>
              <w:spacing w:after="0" w:line="240" w:lineRule="auto"/>
              <w:jc w:val="center"/>
              <w:rPr>
                <w:rFonts w:cstheme="minorHAnsi"/>
                <w:b/>
                <w:bCs/>
                <w:sz w:val="24"/>
                <w:szCs w:val="24"/>
              </w:rPr>
            </w:pPr>
            <w:r w:rsidRPr="00C1034A">
              <w:rPr>
                <w:rFonts w:cstheme="minorHAnsi"/>
                <w:b/>
                <w:bCs/>
                <w:sz w:val="24"/>
                <w:szCs w:val="24"/>
              </w:rPr>
              <w:t xml:space="preserve">  EN 14428</w:t>
            </w:r>
          </w:p>
        </w:tc>
      </w:tr>
      <w:tr w:rsidR="0043547B" w:rsidRPr="0043547B" w:rsidTr="00FA32CB">
        <w:trPr>
          <w:trHeight w:val="23"/>
          <w:jc w:val="center"/>
        </w:trPr>
        <w:tc>
          <w:tcPr>
            <w:tcW w:w="1838" w:type="dxa"/>
            <w:tcBorders>
              <w:top w:val="single" w:sz="4" w:space="0" w:color="auto"/>
              <w:left w:val="single" w:sz="18" w:space="0" w:color="auto"/>
              <w:bottom w:val="single" w:sz="4" w:space="0" w:color="auto"/>
              <w:right w:val="single" w:sz="4" w:space="0" w:color="auto"/>
            </w:tcBorders>
            <w:shd w:val="clear" w:color="auto" w:fill="95B3D7" w:themeFill="accent1" w:themeFillTint="99"/>
            <w:vAlign w:val="center"/>
          </w:tcPr>
          <w:p w:rsidR="006D5F73" w:rsidRPr="0043547B" w:rsidRDefault="006D5F73" w:rsidP="00FA32CB">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auto"/>
          </w:tcPr>
          <w:p w:rsidR="006D5F73" w:rsidRPr="0043547B" w:rsidRDefault="006D5F73" w:rsidP="00FA32CB">
            <w:pPr>
              <w:spacing w:after="0" w:line="240" w:lineRule="auto"/>
              <w:rPr>
                <w:rFonts w:cstheme="minorHAnsi"/>
                <w:sz w:val="24"/>
                <w:szCs w:val="24"/>
              </w:rPr>
            </w:pPr>
            <w:r w:rsidRPr="0043547B">
              <w:rPr>
                <w:rFonts w:cstheme="minorHAnsi"/>
                <w:sz w:val="24"/>
                <w:szCs w:val="24"/>
              </w:rPr>
              <w:t xml:space="preserve">Parois de douche - Prescriptions fonctionnelles et méthodes d'essai </w:t>
            </w:r>
          </w:p>
        </w:tc>
      </w:tr>
      <w:tr w:rsidR="0043547B" w:rsidRPr="0043547B" w:rsidTr="00CB5DC0">
        <w:trPr>
          <w:trHeight w:val="860"/>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6D5F73" w:rsidRPr="0043547B" w:rsidRDefault="006D5F73" w:rsidP="00FA32CB">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tcPr>
          <w:p w:rsidR="00FA32CB" w:rsidRDefault="006D5F73" w:rsidP="00FA32CB">
            <w:pPr>
              <w:spacing w:after="0" w:line="240" w:lineRule="auto"/>
              <w:jc w:val="both"/>
              <w:rPr>
                <w:rFonts w:cstheme="minorHAnsi"/>
                <w:sz w:val="24"/>
                <w:szCs w:val="24"/>
              </w:rPr>
            </w:pPr>
            <w:r w:rsidRPr="0043547B">
              <w:rPr>
                <w:rFonts w:cstheme="minorHAnsi"/>
                <w:sz w:val="24"/>
                <w:szCs w:val="24"/>
              </w:rPr>
              <w:t>Le présent document spécifie les prescriptions relatives aux parois de douche à usage domestique assurant que</w:t>
            </w:r>
            <w:r w:rsidR="007F63D3">
              <w:rPr>
                <w:rFonts w:cstheme="minorHAnsi"/>
                <w:sz w:val="24"/>
                <w:szCs w:val="24"/>
              </w:rPr>
              <w:t xml:space="preserve"> </w:t>
            </w:r>
            <w:r w:rsidRPr="0043547B">
              <w:rPr>
                <w:rFonts w:cstheme="minorHAnsi"/>
                <w:sz w:val="24"/>
                <w:szCs w:val="24"/>
              </w:rPr>
              <w:t>le produit, lorsqu’il est installé conformément aux instructions d’installation du fabricant, fonctionne de manière</w:t>
            </w:r>
            <w:r w:rsidRPr="0043547B">
              <w:rPr>
                <w:rFonts w:cstheme="minorHAnsi"/>
                <w:sz w:val="24"/>
                <w:szCs w:val="24"/>
              </w:rPr>
              <w:br/>
              <w:t>satisfaisante pour l’usage prévu.</w:t>
            </w:r>
          </w:p>
          <w:p w:rsidR="00FA32CB" w:rsidRDefault="006D5F73" w:rsidP="00FA32CB">
            <w:pPr>
              <w:spacing w:after="0" w:line="240" w:lineRule="auto"/>
              <w:jc w:val="both"/>
              <w:rPr>
                <w:rFonts w:cstheme="minorHAnsi"/>
                <w:sz w:val="24"/>
                <w:szCs w:val="24"/>
              </w:rPr>
            </w:pPr>
            <w:r w:rsidRPr="0043547B">
              <w:rPr>
                <w:rFonts w:cstheme="minorHAnsi"/>
                <w:sz w:val="24"/>
                <w:szCs w:val="24"/>
              </w:rPr>
              <w:t>Le présent document ne s’applique pas aux cabines de douche ou aux rideaux de douche et ne spécifie pas de</w:t>
            </w:r>
            <w:r w:rsidR="007F63D3">
              <w:rPr>
                <w:rFonts w:cstheme="minorHAnsi"/>
                <w:sz w:val="24"/>
                <w:szCs w:val="24"/>
              </w:rPr>
              <w:t xml:space="preserve"> </w:t>
            </w:r>
            <w:r w:rsidRPr="0043547B">
              <w:rPr>
                <w:rFonts w:cstheme="minorHAnsi"/>
                <w:sz w:val="24"/>
                <w:szCs w:val="24"/>
              </w:rPr>
              <w:t>prescriptions esthétiques et dimensionnelles. La présente norme ne concerne pas non plus les parois de douche en verre de sécurité feuilleté.</w:t>
            </w:r>
          </w:p>
          <w:p w:rsidR="006D5F73" w:rsidRPr="0043547B" w:rsidRDefault="006D5F73" w:rsidP="00FA32CB">
            <w:pPr>
              <w:spacing w:after="0" w:line="240" w:lineRule="auto"/>
              <w:jc w:val="both"/>
              <w:rPr>
                <w:rFonts w:cstheme="minorHAnsi"/>
                <w:sz w:val="24"/>
                <w:szCs w:val="24"/>
              </w:rPr>
            </w:pPr>
            <w:r w:rsidRPr="00FA32CB">
              <w:rPr>
                <w:rFonts w:cstheme="minorHAnsi"/>
                <w:b/>
                <w:bCs/>
                <w:i/>
                <w:iCs/>
              </w:rPr>
              <w:t>NOTE</w:t>
            </w:r>
            <w:r w:rsidRPr="00FA32CB">
              <w:rPr>
                <w:rFonts w:cstheme="minorHAnsi"/>
                <w:i/>
                <w:iCs/>
              </w:rPr>
              <w:t xml:space="preserve"> : Pour les besoins du présent document, l’expression « à usage domestique » comprend les utilisations dans</w:t>
            </w:r>
            <w:r w:rsidR="007F63D3" w:rsidRPr="00FA32CB">
              <w:rPr>
                <w:rFonts w:cstheme="minorHAnsi"/>
                <w:i/>
                <w:iCs/>
              </w:rPr>
              <w:t xml:space="preserve"> </w:t>
            </w:r>
            <w:r w:rsidRPr="00FA32CB">
              <w:rPr>
                <w:rFonts w:cstheme="minorHAnsi"/>
                <w:i/>
                <w:iCs/>
              </w:rPr>
              <w:t>les hôtels, les logements d’étudiants, les hôpitaux et les bâtiments similaires, sauf lorsque des dispositions spéciales médicales sont requises.</w:t>
            </w:r>
          </w:p>
        </w:tc>
      </w:tr>
      <w:tr w:rsidR="0043547B" w:rsidRPr="0043547B" w:rsidTr="00CB5DC0">
        <w:trPr>
          <w:trHeight w:val="23"/>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6D5F73" w:rsidRPr="00C1034A" w:rsidRDefault="006D5F73" w:rsidP="00FA32CB">
            <w:pPr>
              <w:spacing w:after="0" w:line="240" w:lineRule="auto"/>
              <w:jc w:val="center"/>
              <w:rPr>
                <w:rFonts w:cstheme="minorHAnsi"/>
                <w:b/>
                <w:bCs/>
                <w:sz w:val="24"/>
                <w:szCs w:val="24"/>
              </w:rPr>
            </w:pPr>
            <w:r w:rsidRPr="00C1034A">
              <w:rPr>
                <w:rFonts w:cstheme="minorHAnsi"/>
                <w:b/>
                <w:bCs/>
                <w:sz w:val="24"/>
                <w:szCs w:val="24"/>
              </w:rPr>
              <w:t>Code :</w:t>
            </w:r>
          </w:p>
        </w:tc>
        <w:tc>
          <w:tcPr>
            <w:tcW w:w="7938" w:type="dxa"/>
            <w:tcBorders>
              <w:left w:val="single" w:sz="4" w:space="0" w:color="auto"/>
              <w:bottom w:val="single" w:sz="18" w:space="0" w:color="auto"/>
              <w:right w:val="single" w:sz="18" w:space="0" w:color="auto"/>
            </w:tcBorders>
            <w:shd w:val="clear" w:color="auto" w:fill="C2D69B" w:themeFill="accent3" w:themeFillTint="99"/>
          </w:tcPr>
          <w:p w:rsidR="006D5F73" w:rsidRPr="00C1034A" w:rsidRDefault="006D5F73" w:rsidP="00FA32CB">
            <w:pPr>
              <w:spacing w:after="0" w:line="240" w:lineRule="auto"/>
              <w:jc w:val="center"/>
              <w:rPr>
                <w:rFonts w:cstheme="minorHAnsi"/>
                <w:b/>
                <w:bCs/>
                <w:sz w:val="24"/>
                <w:szCs w:val="24"/>
              </w:rPr>
            </w:pPr>
            <w:r w:rsidRPr="00C1034A">
              <w:rPr>
                <w:rFonts w:cstheme="minorHAnsi"/>
                <w:b/>
                <w:bCs/>
                <w:sz w:val="24"/>
                <w:szCs w:val="24"/>
              </w:rPr>
              <w:t>NM EN 14506</w:t>
            </w:r>
          </w:p>
        </w:tc>
      </w:tr>
      <w:tr w:rsidR="0043547B" w:rsidRPr="0043547B" w:rsidTr="00CB5DC0">
        <w:trPr>
          <w:trHeight w:val="23"/>
          <w:jc w:val="center"/>
        </w:trPr>
        <w:tc>
          <w:tcPr>
            <w:tcW w:w="1838" w:type="dxa"/>
            <w:tcBorders>
              <w:top w:val="single" w:sz="18" w:space="0" w:color="auto"/>
              <w:left w:val="single" w:sz="18" w:space="0" w:color="auto"/>
              <w:bottom w:val="single" w:sz="4" w:space="0" w:color="auto"/>
              <w:right w:val="single" w:sz="4" w:space="0" w:color="auto"/>
            </w:tcBorders>
            <w:shd w:val="clear" w:color="auto" w:fill="FDFBA9"/>
            <w:vAlign w:val="center"/>
          </w:tcPr>
          <w:p w:rsidR="006D5F73" w:rsidRPr="0043547B" w:rsidRDefault="006D5F73" w:rsidP="00FA32CB">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DFBA9"/>
            <w:vAlign w:val="center"/>
          </w:tcPr>
          <w:p w:rsidR="006D5F73" w:rsidRPr="00C1034A" w:rsidRDefault="006D5F73" w:rsidP="00FA32CB">
            <w:pPr>
              <w:spacing w:after="0" w:line="240" w:lineRule="auto"/>
              <w:jc w:val="center"/>
              <w:rPr>
                <w:rFonts w:cstheme="minorHAnsi"/>
                <w:b/>
                <w:bCs/>
                <w:sz w:val="24"/>
                <w:szCs w:val="24"/>
              </w:rPr>
            </w:pPr>
            <w:r w:rsidRPr="00C1034A">
              <w:rPr>
                <w:rFonts w:cstheme="minorHAnsi"/>
                <w:b/>
                <w:bCs/>
                <w:sz w:val="24"/>
                <w:szCs w:val="24"/>
              </w:rPr>
              <w:t xml:space="preserve">  EN 14506</w:t>
            </w:r>
          </w:p>
        </w:tc>
      </w:tr>
      <w:tr w:rsidR="0043547B" w:rsidRPr="0043547B" w:rsidTr="00CB5DC0">
        <w:trPr>
          <w:trHeight w:val="559"/>
          <w:jc w:val="center"/>
        </w:trPr>
        <w:tc>
          <w:tcPr>
            <w:tcW w:w="1838" w:type="dxa"/>
            <w:tcBorders>
              <w:top w:val="single" w:sz="4" w:space="0" w:color="auto"/>
              <w:left w:val="single" w:sz="18" w:space="0" w:color="auto"/>
              <w:bottom w:val="single" w:sz="4" w:space="0" w:color="auto"/>
              <w:right w:val="single" w:sz="4" w:space="0" w:color="auto"/>
            </w:tcBorders>
            <w:shd w:val="clear" w:color="auto" w:fill="95B3D7" w:themeFill="accent1" w:themeFillTint="99"/>
            <w:vAlign w:val="center"/>
          </w:tcPr>
          <w:p w:rsidR="006D5F73" w:rsidRPr="0043547B" w:rsidRDefault="006D5F73" w:rsidP="00FA32CB">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auto"/>
          </w:tcPr>
          <w:p w:rsidR="006D5F73" w:rsidRPr="0043547B" w:rsidRDefault="006D5F73" w:rsidP="00FA32CB">
            <w:pPr>
              <w:spacing w:after="0" w:line="240" w:lineRule="auto"/>
              <w:rPr>
                <w:rFonts w:cstheme="minorHAnsi"/>
                <w:sz w:val="24"/>
                <w:szCs w:val="24"/>
              </w:rPr>
            </w:pPr>
            <w:r w:rsidRPr="0043547B">
              <w:rPr>
                <w:rFonts w:cstheme="minorHAnsi"/>
                <w:sz w:val="24"/>
                <w:szCs w:val="24"/>
              </w:rPr>
              <w:t xml:space="preserve">Dispositifs de protection contre la pollution de l'eau potable par retour - Inverseur à retour automatique - Famille H, type C </w:t>
            </w:r>
          </w:p>
        </w:tc>
      </w:tr>
      <w:tr w:rsidR="0043547B" w:rsidRPr="0043547B" w:rsidTr="00CB5DC0">
        <w:trPr>
          <w:trHeight w:val="860"/>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6D5F73" w:rsidRPr="0043547B" w:rsidRDefault="006D5F73" w:rsidP="00FA32CB">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tcPr>
          <w:p w:rsidR="00FA32CB" w:rsidRDefault="006D5F73" w:rsidP="00FA32CB">
            <w:pPr>
              <w:pStyle w:val="Sansinterligne"/>
              <w:jc w:val="both"/>
            </w:pPr>
            <w:r w:rsidRPr="0043547B">
              <w:t>Le présent document spécifie :</w:t>
            </w:r>
          </w:p>
          <w:p w:rsidR="00FA32CB" w:rsidRDefault="006D5F73" w:rsidP="00FA32CB">
            <w:pPr>
              <w:pStyle w:val="Sansinterligne"/>
            </w:pPr>
            <w:r w:rsidRPr="0043547B">
              <w:t>a) le domaine d'application ;</w:t>
            </w:r>
            <w:r w:rsidRPr="0043547B">
              <w:br/>
              <w:t>b) les exigences s’appliquant aux inverseurs à retour automatique ;</w:t>
            </w:r>
            <w:r w:rsidRPr="0043547B">
              <w:br/>
              <w:t>c) les caractéristiques dimensionnelles, physico-chimiques, de conception générale, hydrauliques, mécaniques</w:t>
            </w:r>
            <w:r w:rsidR="009A089D">
              <w:t xml:space="preserve"> </w:t>
            </w:r>
            <w:r w:rsidRPr="0043547B">
              <w:t>et acoustiques de l’inverseur à retour automatique ;</w:t>
            </w:r>
            <w:r w:rsidRPr="0043547B">
              <w:br/>
              <w:t xml:space="preserve">d) les méthodes d’essai et les exigences permettant de vérifier leurs caractéristiques. </w:t>
            </w:r>
          </w:p>
          <w:p w:rsidR="00FA32CB" w:rsidRPr="00FA32CB" w:rsidRDefault="00FA32CB" w:rsidP="00FA32CB">
            <w:pPr>
              <w:pStyle w:val="Sansinterligne"/>
              <w:jc w:val="both"/>
              <w:rPr>
                <w:sz w:val="10"/>
                <w:szCs w:val="10"/>
              </w:rPr>
            </w:pPr>
          </w:p>
          <w:p w:rsidR="00FA32CB" w:rsidRDefault="006D5F73" w:rsidP="00FA32CB">
            <w:pPr>
              <w:pStyle w:val="Sansinterligne"/>
              <w:jc w:val="both"/>
            </w:pPr>
            <w:r w:rsidRPr="0043547B">
              <w:t>Pour la robinetterie</w:t>
            </w:r>
            <w:r w:rsidR="009A089D">
              <w:t xml:space="preserve"> </w:t>
            </w:r>
            <w:r w:rsidRPr="0043547B">
              <w:t>sanitaire, (voir chapitre 2) avec dispositif intégré, l’inverseur à retour automatique est à considérer comme un</w:t>
            </w:r>
            <w:r w:rsidR="00FA32CB">
              <w:t xml:space="preserve"> </w:t>
            </w:r>
            <w:r w:rsidRPr="0043547B">
              <w:t>dispositif de protection contre les retours s’il a satisfait aux exigences du présent document et doit en plus</w:t>
            </w:r>
            <w:r w:rsidR="009A089D">
              <w:t xml:space="preserve"> </w:t>
            </w:r>
            <w:r w:rsidRPr="0043547B">
              <w:t>satisfaire les exigences de la norme de produit s’appliquant au robinet simple ou aux mitigeurs ;</w:t>
            </w:r>
          </w:p>
          <w:p w:rsidR="00FA32CB" w:rsidRPr="00FA32CB" w:rsidRDefault="00FA32CB" w:rsidP="00FA32CB">
            <w:pPr>
              <w:pStyle w:val="Sansinterligne"/>
              <w:jc w:val="both"/>
              <w:rPr>
                <w:sz w:val="4"/>
                <w:szCs w:val="4"/>
              </w:rPr>
            </w:pPr>
          </w:p>
          <w:p w:rsidR="00FA32CB" w:rsidRPr="00FA32CB" w:rsidRDefault="006D5F73" w:rsidP="00FA32CB">
            <w:pPr>
              <w:pStyle w:val="Sansinterligne"/>
              <w:rPr>
                <w:sz w:val="6"/>
                <w:szCs w:val="6"/>
              </w:rPr>
            </w:pPr>
            <w:r w:rsidRPr="0043547B">
              <w:t>e) marquage et présentation ;</w:t>
            </w:r>
            <w:r w:rsidRPr="0043547B">
              <w:br/>
              <w:t>f) acoustique.</w:t>
            </w:r>
            <w:r w:rsidRPr="0043547B">
              <w:br/>
            </w:r>
          </w:p>
          <w:p w:rsidR="00FA32CB" w:rsidRDefault="006D5F73" w:rsidP="00FA32CB">
            <w:pPr>
              <w:pStyle w:val="Sansinterligne"/>
              <w:jc w:val="both"/>
            </w:pPr>
            <w:r w:rsidRPr="0043547B">
              <w:t>La présente norme spécifie les caractéristiques des inverseurs à retour automatique dont l’usage est approprié</w:t>
            </w:r>
            <w:r w:rsidR="009A089D">
              <w:t xml:space="preserve"> </w:t>
            </w:r>
            <w:r w:rsidRPr="0043547B">
              <w:t>dans des systèmes d’eau potable à des pressions ne dépassant pas 1 kPa (10 bar) et des températures ne dépassant</w:t>
            </w:r>
            <w:r w:rsidR="00FA32CB">
              <w:t xml:space="preserve"> </w:t>
            </w:r>
            <w:r w:rsidRPr="0043547B">
              <w:t>pas 65 °C et pendant 1 h à 90 °C. Ils sont conçus pour une installation sans dispositif de fermeture en aval.</w:t>
            </w:r>
          </w:p>
          <w:p w:rsidR="00FA32CB" w:rsidRDefault="006D5F73" w:rsidP="00FA32CB">
            <w:pPr>
              <w:pStyle w:val="Sansinterligne"/>
              <w:jc w:val="both"/>
            </w:pPr>
            <w:r w:rsidRPr="0043547B">
              <w:t>Le présent document est applicable aux types de produit suivants :</w:t>
            </w:r>
          </w:p>
          <w:p w:rsidR="006D5F73" w:rsidRPr="0043547B" w:rsidRDefault="006D5F73" w:rsidP="00FA32CB">
            <w:pPr>
              <w:pStyle w:val="Sansinterligne"/>
            </w:pPr>
            <w:r w:rsidRPr="0043547B">
              <w:lastRenderedPageBreak/>
              <w:t>i) produit intégré dans le bec déverseur (sortie) ;</w:t>
            </w:r>
            <w:r w:rsidRPr="0043547B">
              <w:br/>
              <w:t>ii) produit intégré dans le corps de mélange ;</w:t>
            </w:r>
            <w:r w:rsidRPr="0043547B">
              <w:br/>
              <w:t>iii) produit non intégré (composant d’un ensemble) au-dessus du niveau d’eau maximum.</w:t>
            </w:r>
            <w:r w:rsidRPr="0043547B">
              <w:br/>
              <w:t>Ce document n’est pas applicable au type de produit non intégré en deçà du niveau d’eau maximum.</w:t>
            </w:r>
          </w:p>
        </w:tc>
      </w:tr>
      <w:tr w:rsidR="0043547B" w:rsidRPr="0043547B" w:rsidTr="00CB5DC0">
        <w:trPr>
          <w:trHeight w:val="23"/>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6D5F73" w:rsidRPr="00C1034A" w:rsidRDefault="006D5F73" w:rsidP="00FA32CB">
            <w:pPr>
              <w:spacing w:after="0" w:line="240" w:lineRule="auto"/>
              <w:jc w:val="center"/>
              <w:rPr>
                <w:rFonts w:cstheme="minorHAnsi"/>
                <w:b/>
                <w:bCs/>
                <w:sz w:val="24"/>
                <w:szCs w:val="24"/>
              </w:rPr>
            </w:pPr>
            <w:r w:rsidRPr="00C1034A">
              <w:rPr>
                <w:rFonts w:cstheme="minorHAnsi"/>
                <w:b/>
                <w:bCs/>
                <w:sz w:val="24"/>
                <w:szCs w:val="24"/>
              </w:rPr>
              <w:lastRenderedPageBreak/>
              <w:t>Code :</w:t>
            </w:r>
          </w:p>
        </w:tc>
        <w:tc>
          <w:tcPr>
            <w:tcW w:w="7938" w:type="dxa"/>
            <w:tcBorders>
              <w:left w:val="single" w:sz="4" w:space="0" w:color="auto"/>
              <w:bottom w:val="single" w:sz="18" w:space="0" w:color="auto"/>
              <w:right w:val="single" w:sz="18" w:space="0" w:color="auto"/>
            </w:tcBorders>
            <w:shd w:val="clear" w:color="auto" w:fill="C2D69B" w:themeFill="accent3" w:themeFillTint="99"/>
          </w:tcPr>
          <w:p w:rsidR="006D5F73" w:rsidRPr="00C1034A" w:rsidRDefault="006D5F73" w:rsidP="00FA32CB">
            <w:pPr>
              <w:spacing w:after="0" w:line="240" w:lineRule="auto"/>
              <w:jc w:val="center"/>
              <w:rPr>
                <w:rFonts w:cstheme="minorHAnsi"/>
                <w:b/>
                <w:bCs/>
                <w:sz w:val="24"/>
                <w:szCs w:val="24"/>
              </w:rPr>
            </w:pPr>
            <w:r w:rsidRPr="00C1034A">
              <w:rPr>
                <w:rFonts w:cstheme="minorHAnsi"/>
                <w:b/>
                <w:bCs/>
                <w:sz w:val="24"/>
                <w:szCs w:val="24"/>
              </w:rPr>
              <w:t>NM EN 80</w:t>
            </w:r>
          </w:p>
        </w:tc>
      </w:tr>
      <w:tr w:rsidR="0043547B" w:rsidRPr="0043547B" w:rsidTr="00CB5DC0">
        <w:trPr>
          <w:trHeight w:val="23"/>
          <w:jc w:val="center"/>
        </w:trPr>
        <w:tc>
          <w:tcPr>
            <w:tcW w:w="1838" w:type="dxa"/>
            <w:tcBorders>
              <w:top w:val="single" w:sz="18" w:space="0" w:color="auto"/>
              <w:left w:val="single" w:sz="18" w:space="0" w:color="auto"/>
              <w:bottom w:val="single" w:sz="4" w:space="0" w:color="auto"/>
              <w:right w:val="single" w:sz="4" w:space="0" w:color="auto"/>
            </w:tcBorders>
            <w:shd w:val="clear" w:color="auto" w:fill="FDFBA9"/>
            <w:vAlign w:val="center"/>
          </w:tcPr>
          <w:p w:rsidR="006D5F73" w:rsidRPr="0043547B" w:rsidRDefault="006D5F73" w:rsidP="00FA32CB">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DFBA9"/>
            <w:vAlign w:val="center"/>
          </w:tcPr>
          <w:p w:rsidR="006D5F73" w:rsidRPr="00C1034A" w:rsidRDefault="006D5F73" w:rsidP="00FA32CB">
            <w:pPr>
              <w:spacing w:after="0" w:line="240" w:lineRule="auto"/>
              <w:jc w:val="center"/>
              <w:rPr>
                <w:rFonts w:cstheme="minorHAnsi"/>
                <w:b/>
                <w:bCs/>
                <w:sz w:val="24"/>
                <w:szCs w:val="24"/>
              </w:rPr>
            </w:pPr>
            <w:r w:rsidRPr="00C1034A">
              <w:rPr>
                <w:rFonts w:cstheme="minorHAnsi"/>
                <w:b/>
                <w:bCs/>
                <w:sz w:val="24"/>
                <w:szCs w:val="24"/>
              </w:rPr>
              <w:t xml:space="preserve">  EN 80</w:t>
            </w:r>
          </w:p>
        </w:tc>
      </w:tr>
      <w:tr w:rsidR="0043547B" w:rsidRPr="0043547B" w:rsidTr="00CB5DC0">
        <w:trPr>
          <w:trHeight w:val="23"/>
          <w:jc w:val="center"/>
        </w:trPr>
        <w:tc>
          <w:tcPr>
            <w:tcW w:w="1838" w:type="dxa"/>
            <w:tcBorders>
              <w:top w:val="single" w:sz="4" w:space="0" w:color="auto"/>
              <w:left w:val="single" w:sz="18" w:space="0" w:color="auto"/>
              <w:bottom w:val="single" w:sz="4" w:space="0" w:color="auto"/>
              <w:right w:val="single" w:sz="4" w:space="0" w:color="auto"/>
            </w:tcBorders>
            <w:shd w:val="clear" w:color="auto" w:fill="95B3D7" w:themeFill="accent1" w:themeFillTint="99"/>
            <w:vAlign w:val="center"/>
          </w:tcPr>
          <w:p w:rsidR="006D5F73" w:rsidRPr="0043547B" w:rsidRDefault="006D5F73" w:rsidP="00FA32CB">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auto"/>
          </w:tcPr>
          <w:p w:rsidR="006D5F73" w:rsidRPr="0043547B" w:rsidRDefault="006D5F73" w:rsidP="00FA32CB">
            <w:pPr>
              <w:spacing w:after="0" w:line="240" w:lineRule="auto"/>
              <w:rPr>
                <w:rFonts w:cstheme="minorHAnsi"/>
                <w:sz w:val="24"/>
                <w:szCs w:val="24"/>
              </w:rPr>
            </w:pPr>
            <w:r w:rsidRPr="0043547B">
              <w:rPr>
                <w:rFonts w:cstheme="minorHAnsi"/>
                <w:sz w:val="24"/>
                <w:szCs w:val="24"/>
              </w:rPr>
              <w:t>Urinoirs muraux - Cotes de raccordement</w:t>
            </w:r>
          </w:p>
        </w:tc>
      </w:tr>
      <w:tr w:rsidR="0043547B" w:rsidRPr="0043547B" w:rsidTr="00CB5DC0">
        <w:trPr>
          <w:trHeight w:val="860"/>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6D5F73" w:rsidRPr="0043547B" w:rsidRDefault="006D5F73" w:rsidP="00FA32CB">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tcPr>
          <w:p w:rsidR="00FA32CB" w:rsidRDefault="006D5F73" w:rsidP="00FA32CB">
            <w:pPr>
              <w:spacing w:after="0" w:line="240" w:lineRule="auto"/>
              <w:jc w:val="both"/>
              <w:rPr>
                <w:rFonts w:cstheme="minorHAnsi"/>
                <w:sz w:val="24"/>
                <w:szCs w:val="24"/>
              </w:rPr>
            </w:pPr>
            <w:r w:rsidRPr="0043547B">
              <w:rPr>
                <w:rFonts w:cstheme="minorHAnsi"/>
                <w:sz w:val="24"/>
                <w:szCs w:val="24"/>
              </w:rPr>
              <w:t>La présente norme a pour objet de fixer les caractéristiques de raccordement des urinoirs suspendus de type à</w:t>
            </w:r>
            <w:r w:rsidR="00FA32CB">
              <w:rPr>
                <w:rFonts w:cstheme="minorHAnsi"/>
                <w:sz w:val="24"/>
                <w:szCs w:val="24"/>
              </w:rPr>
              <w:t xml:space="preserve"> </w:t>
            </w:r>
            <w:r w:rsidRPr="0043547B">
              <w:rPr>
                <w:rFonts w:cstheme="minorHAnsi"/>
                <w:sz w:val="24"/>
                <w:szCs w:val="24"/>
              </w:rPr>
              <w:t>nez d'alimentation et queue de sortie, indépendamment du matériau dont ils sont faits.</w:t>
            </w:r>
          </w:p>
          <w:p w:rsidR="006D5F73" w:rsidRPr="0043547B" w:rsidRDefault="006D5F73" w:rsidP="00FD356D">
            <w:pPr>
              <w:spacing w:after="0" w:line="240" w:lineRule="auto"/>
              <w:jc w:val="both"/>
              <w:rPr>
                <w:rFonts w:cstheme="minorHAnsi"/>
                <w:sz w:val="24"/>
                <w:szCs w:val="24"/>
              </w:rPr>
            </w:pPr>
            <w:r w:rsidRPr="00FD356D">
              <w:rPr>
                <w:rFonts w:cstheme="minorHAnsi"/>
                <w:b/>
                <w:bCs/>
                <w:i/>
                <w:iCs/>
              </w:rPr>
              <w:t>NOTE :</w:t>
            </w:r>
            <w:r w:rsidRPr="00FD356D">
              <w:rPr>
                <w:rFonts w:cstheme="minorHAnsi"/>
                <w:i/>
                <w:iCs/>
              </w:rPr>
              <w:t xml:space="preserve"> Seules les dimensions des parties cotées sont obligatoires. La forme schématique des appareils représentés</w:t>
            </w:r>
            <w:r w:rsidR="00FD356D" w:rsidRPr="00FD356D">
              <w:rPr>
                <w:rFonts w:cstheme="minorHAnsi"/>
                <w:i/>
                <w:iCs/>
              </w:rPr>
              <w:t xml:space="preserve"> </w:t>
            </w:r>
            <w:r w:rsidRPr="00FD356D">
              <w:rPr>
                <w:rFonts w:cstheme="minorHAnsi"/>
                <w:i/>
                <w:iCs/>
              </w:rPr>
              <w:t>dans les figures est donnée uniquement pour faciliter la compréhension ; elle ne préjuge en rien de la forme définitive de l’appareil qui est laissée à l’initiative des fabricants.</w:t>
            </w:r>
          </w:p>
        </w:tc>
      </w:tr>
      <w:tr w:rsidR="0043547B" w:rsidRPr="0043547B" w:rsidTr="00CB5DC0">
        <w:trPr>
          <w:trHeight w:val="23"/>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6D5F73" w:rsidRPr="00C1034A" w:rsidRDefault="006D5F73" w:rsidP="00FD356D">
            <w:pPr>
              <w:spacing w:after="0" w:line="240" w:lineRule="auto"/>
              <w:jc w:val="center"/>
              <w:rPr>
                <w:rFonts w:cstheme="minorHAnsi"/>
                <w:b/>
                <w:bCs/>
                <w:sz w:val="24"/>
                <w:szCs w:val="24"/>
              </w:rPr>
            </w:pPr>
            <w:r w:rsidRPr="00C1034A">
              <w:rPr>
                <w:rFonts w:cstheme="minorHAnsi"/>
                <w:b/>
                <w:bCs/>
                <w:sz w:val="24"/>
                <w:szCs w:val="24"/>
              </w:rPr>
              <w:t>Code</w:t>
            </w:r>
            <w:r w:rsidR="00FA32CB">
              <w:rPr>
                <w:rFonts w:cstheme="minorHAnsi"/>
                <w:b/>
                <w:bCs/>
                <w:sz w:val="24"/>
                <w:szCs w:val="24"/>
              </w:rPr>
              <w:t> :</w:t>
            </w:r>
          </w:p>
        </w:tc>
        <w:tc>
          <w:tcPr>
            <w:tcW w:w="7938" w:type="dxa"/>
            <w:tcBorders>
              <w:left w:val="single" w:sz="4" w:space="0" w:color="auto"/>
              <w:bottom w:val="single" w:sz="18" w:space="0" w:color="auto"/>
              <w:right w:val="single" w:sz="18" w:space="0" w:color="auto"/>
            </w:tcBorders>
            <w:shd w:val="clear" w:color="auto" w:fill="C2D69B" w:themeFill="accent3" w:themeFillTint="99"/>
          </w:tcPr>
          <w:p w:rsidR="006D5F73" w:rsidRPr="00C1034A" w:rsidRDefault="006D5F73" w:rsidP="00FD356D">
            <w:pPr>
              <w:spacing w:after="0" w:line="240" w:lineRule="auto"/>
              <w:jc w:val="center"/>
              <w:rPr>
                <w:rFonts w:cstheme="minorHAnsi"/>
                <w:b/>
                <w:bCs/>
                <w:sz w:val="24"/>
                <w:szCs w:val="24"/>
              </w:rPr>
            </w:pPr>
            <w:r w:rsidRPr="00C1034A">
              <w:rPr>
                <w:rFonts w:cstheme="minorHAnsi"/>
                <w:b/>
                <w:bCs/>
                <w:sz w:val="24"/>
                <w:szCs w:val="24"/>
              </w:rPr>
              <w:t>NM EN 232</w:t>
            </w:r>
          </w:p>
        </w:tc>
      </w:tr>
      <w:tr w:rsidR="0043547B" w:rsidRPr="0043547B" w:rsidTr="00CB5DC0">
        <w:trPr>
          <w:trHeight w:val="274"/>
          <w:jc w:val="center"/>
        </w:trPr>
        <w:tc>
          <w:tcPr>
            <w:tcW w:w="1838" w:type="dxa"/>
            <w:tcBorders>
              <w:top w:val="single" w:sz="18" w:space="0" w:color="auto"/>
              <w:left w:val="single" w:sz="18" w:space="0" w:color="auto"/>
              <w:bottom w:val="single" w:sz="4" w:space="0" w:color="auto"/>
              <w:right w:val="single" w:sz="4" w:space="0" w:color="auto"/>
            </w:tcBorders>
            <w:shd w:val="clear" w:color="auto" w:fill="FDFBA9"/>
            <w:vAlign w:val="center"/>
          </w:tcPr>
          <w:p w:rsidR="006D5F73" w:rsidRPr="0043547B" w:rsidRDefault="006D5F73" w:rsidP="00FD356D">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DFBA9"/>
            <w:vAlign w:val="center"/>
          </w:tcPr>
          <w:p w:rsidR="006D5F73" w:rsidRPr="00C1034A" w:rsidRDefault="006D5F73" w:rsidP="00FD356D">
            <w:pPr>
              <w:spacing w:after="0" w:line="240" w:lineRule="auto"/>
              <w:jc w:val="center"/>
              <w:rPr>
                <w:rFonts w:cstheme="minorHAnsi"/>
                <w:b/>
                <w:bCs/>
                <w:sz w:val="24"/>
                <w:szCs w:val="24"/>
              </w:rPr>
            </w:pPr>
            <w:r w:rsidRPr="00C1034A">
              <w:rPr>
                <w:rFonts w:cstheme="minorHAnsi"/>
                <w:b/>
                <w:bCs/>
                <w:sz w:val="24"/>
                <w:szCs w:val="24"/>
              </w:rPr>
              <w:t xml:space="preserve">  EN 232</w:t>
            </w:r>
          </w:p>
        </w:tc>
      </w:tr>
      <w:tr w:rsidR="0043547B" w:rsidRPr="0043547B" w:rsidTr="00CB5DC0">
        <w:trPr>
          <w:trHeight w:val="23"/>
          <w:jc w:val="center"/>
        </w:trPr>
        <w:tc>
          <w:tcPr>
            <w:tcW w:w="1838" w:type="dxa"/>
            <w:tcBorders>
              <w:top w:val="single" w:sz="4" w:space="0" w:color="auto"/>
              <w:left w:val="single" w:sz="18" w:space="0" w:color="auto"/>
              <w:bottom w:val="single" w:sz="4" w:space="0" w:color="auto"/>
              <w:right w:val="single" w:sz="4" w:space="0" w:color="auto"/>
            </w:tcBorders>
            <w:shd w:val="clear" w:color="auto" w:fill="95B3D7" w:themeFill="accent1" w:themeFillTint="99"/>
            <w:vAlign w:val="center"/>
          </w:tcPr>
          <w:p w:rsidR="006D5F73" w:rsidRPr="0043547B" w:rsidRDefault="006D5F73" w:rsidP="00FD356D">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auto"/>
          </w:tcPr>
          <w:p w:rsidR="006D5F73" w:rsidRPr="0043547B" w:rsidRDefault="006D5F73" w:rsidP="00FD356D">
            <w:pPr>
              <w:spacing w:after="0" w:line="240" w:lineRule="auto"/>
              <w:rPr>
                <w:rFonts w:cstheme="minorHAnsi"/>
                <w:sz w:val="24"/>
                <w:szCs w:val="24"/>
              </w:rPr>
            </w:pPr>
            <w:r w:rsidRPr="0043547B">
              <w:rPr>
                <w:rFonts w:cstheme="minorHAnsi"/>
                <w:sz w:val="24"/>
                <w:szCs w:val="24"/>
              </w:rPr>
              <w:t xml:space="preserve">Baignoires - Cotes de raccordement </w:t>
            </w:r>
          </w:p>
        </w:tc>
      </w:tr>
      <w:tr w:rsidR="0043547B" w:rsidRPr="0043547B" w:rsidTr="00857530">
        <w:trPr>
          <w:trHeight w:val="3166"/>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6D5F73" w:rsidRPr="0043547B" w:rsidRDefault="006D5F73" w:rsidP="00FD356D">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tcPr>
          <w:p w:rsidR="00FD356D" w:rsidRPr="0043547B" w:rsidRDefault="006D5F73" w:rsidP="00857530">
            <w:pPr>
              <w:spacing w:after="0" w:line="240" w:lineRule="auto"/>
              <w:jc w:val="both"/>
              <w:rPr>
                <w:rFonts w:cstheme="minorHAnsi"/>
                <w:sz w:val="24"/>
                <w:szCs w:val="24"/>
              </w:rPr>
            </w:pPr>
            <w:r w:rsidRPr="0043547B">
              <w:rPr>
                <w:rFonts w:cstheme="minorHAnsi"/>
                <w:sz w:val="24"/>
                <w:szCs w:val="24"/>
              </w:rPr>
              <w:t>La présente norme spécifie les exigences relatives aux cotes de raccordement des baignoires, indépendamment du matériau dont elles sont faites.</w:t>
            </w:r>
            <w:r w:rsidRPr="0043547B">
              <w:rPr>
                <w:rFonts w:cstheme="minorHAnsi"/>
                <w:sz w:val="24"/>
                <w:szCs w:val="24"/>
              </w:rPr>
              <w:br/>
              <w:t>La présente Norme européenne s'applique aux baignoires utilisées à des fins domestiques et complète les normes relatives aux baignoires faites à partir de différents matériaux ainsi que les normes existantes sur la robinetterie et les dispositifs de vidage (EN 200 et EN 274-1) en matière de prescriptions dimensionnelles.</w:t>
            </w:r>
            <w:r w:rsidRPr="0043547B">
              <w:rPr>
                <w:rFonts w:cstheme="minorHAnsi"/>
                <w:sz w:val="24"/>
                <w:szCs w:val="24"/>
              </w:rPr>
              <w:br/>
            </w:r>
            <w:r w:rsidRPr="00FD356D">
              <w:rPr>
                <w:rFonts w:cstheme="minorHAnsi"/>
                <w:b/>
                <w:bCs/>
                <w:i/>
                <w:iCs/>
              </w:rPr>
              <w:t>NOTE :</w:t>
            </w:r>
            <w:r w:rsidRPr="00FD356D">
              <w:rPr>
                <w:rFonts w:cstheme="minorHAnsi"/>
                <w:i/>
                <w:iCs/>
              </w:rPr>
              <w:t xml:space="preserve"> Seules les dimensions des parties cotées doivent être respectées. La forme des appareils représentés sur les figures est donnée uniquement à titre d’illustration ; elle ne laisse aucunement présager de la forme définitive de l'appareil qui est laissée à l'initiative des fabricants.</w:t>
            </w:r>
          </w:p>
        </w:tc>
      </w:tr>
      <w:tr w:rsidR="0043547B" w:rsidRPr="0043547B" w:rsidTr="00CB5DC0">
        <w:trPr>
          <w:trHeight w:val="23"/>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6D5F73" w:rsidRPr="00FD356D" w:rsidRDefault="006D5F73" w:rsidP="00FD356D">
            <w:pPr>
              <w:spacing w:after="0" w:line="240" w:lineRule="auto"/>
              <w:jc w:val="center"/>
              <w:rPr>
                <w:rFonts w:cstheme="minorHAnsi"/>
                <w:b/>
                <w:bCs/>
                <w:sz w:val="24"/>
                <w:szCs w:val="24"/>
              </w:rPr>
            </w:pPr>
            <w:r w:rsidRPr="00FD356D">
              <w:rPr>
                <w:rFonts w:cstheme="minorHAnsi"/>
                <w:b/>
                <w:bCs/>
                <w:sz w:val="24"/>
                <w:szCs w:val="24"/>
              </w:rPr>
              <w:t>Code :</w:t>
            </w:r>
          </w:p>
        </w:tc>
        <w:tc>
          <w:tcPr>
            <w:tcW w:w="7938" w:type="dxa"/>
            <w:tcBorders>
              <w:left w:val="single" w:sz="4" w:space="0" w:color="auto"/>
              <w:bottom w:val="single" w:sz="18" w:space="0" w:color="auto"/>
              <w:right w:val="single" w:sz="18" w:space="0" w:color="auto"/>
            </w:tcBorders>
            <w:shd w:val="clear" w:color="auto" w:fill="C2D69B" w:themeFill="accent3" w:themeFillTint="99"/>
          </w:tcPr>
          <w:p w:rsidR="006D5F73" w:rsidRPr="00FD356D" w:rsidRDefault="006D5F73" w:rsidP="00FD356D">
            <w:pPr>
              <w:spacing w:after="0" w:line="240" w:lineRule="auto"/>
              <w:jc w:val="center"/>
              <w:rPr>
                <w:rFonts w:cstheme="minorHAnsi"/>
                <w:b/>
                <w:bCs/>
                <w:sz w:val="24"/>
                <w:szCs w:val="24"/>
              </w:rPr>
            </w:pPr>
            <w:r w:rsidRPr="00FD356D">
              <w:rPr>
                <w:rFonts w:cstheme="minorHAnsi"/>
                <w:b/>
                <w:bCs/>
                <w:sz w:val="24"/>
                <w:szCs w:val="24"/>
              </w:rPr>
              <w:t>NM EN 251</w:t>
            </w:r>
          </w:p>
        </w:tc>
      </w:tr>
      <w:tr w:rsidR="0043547B" w:rsidRPr="0043547B" w:rsidTr="00CB5DC0">
        <w:trPr>
          <w:trHeight w:val="23"/>
          <w:jc w:val="center"/>
        </w:trPr>
        <w:tc>
          <w:tcPr>
            <w:tcW w:w="1838" w:type="dxa"/>
            <w:tcBorders>
              <w:top w:val="single" w:sz="18" w:space="0" w:color="auto"/>
              <w:left w:val="single" w:sz="18" w:space="0" w:color="auto"/>
              <w:bottom w:val="single" w:sz="4" w:space="0" w:color="auto"/>
              <w:right w:val="single" w:sz="4" w:space="0" w:color="auto"/>
            </w:tcBorders>
            <w:shd w:val="clear" w:color="auto" w:fill="FDFBA9"/>
            <w:vAlign w:val="center"/>
          </w:tcPr>
          <w:p w:rsidR="006D5F73" w:rsidRPr="0043547B" w:rsidRDefault="006D5F73" w:rsidP="00FD356D">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DFBA9"/>
            <w:vAlign w:val="center"/>
          </w:tcPr>
          <w:p w:rsidR="006D5F73" w:rsidRPr="00C1034A" w:rsidRDefault="006D5F73" w:rsidP="00FD356D">
            <w:pPr>
              <w:spacing w:after="0" w:line="240" w:lineRule="auto"/>
              <w:jc w:val="center"/>
              <w:rPr>
                <w:rFonts w:cstheme="minorHAnsi"/>
                <w:b/>
                <w:bCs/>
                <w:sz w:val="24"/>
                <w:szCs w:val="24"/>
              </w:rPr>
            </w:pPr>
            <w:r w:rsidRPr="00C1034A">
              <w:rPr>
                <w:rFonts w:cstheme="minorHAnsi"/>
                <w:b/>
                <w:bCs/>
                <w:sz w:val="24"/>
                <w:szCs w:val="24"/>
              </w:rPr>
              <w:t xml:space="preserve">  EN 251</w:t>
            </w:r>
          </w:p>
        </w:tc>
      </w:tr>
      <w:tr w:rsidR="0043547B" w:rsidRPr="0043547B" w:rsidTr="00CB5DC0">
        <w:trPr>
          <w:trHeight w:val="576"/>
          <w:jc w:val="center"/>
        </w:trPr>
        <w:tc>
          <w:tcPr>
            <w:tcW w:w="1838" w:type="dxa"/>
            <w:tcBorders>
              <w:top w:val="single" w:sz="4" w:space="0" w:color="auto"/>
              <w:left w:val="single" w:sz="18" w:space="0" w:color="auto"/>
              <w:bottom w:val="single" w:sz="4" w:space="0" w:color="auto"/>
              <w:right w:val="single" w:sz="4" w:space="0" w:color="auto"/>
            </w:tcBorders>
            <w:shd w:val="clear" w:color="auto" w:fill="95B3D7" w:themeFill="accent1" w:themeFillTint="99"/>
            <w:vAlign w:val="center"/>
          </w:tcPr>
          <w:p w:rsidR="006D5F73" w:rsidRPr="0043547B" w:rsidRDefault="006D5F73" w:rsidP="00FD356D">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auto"/>
          </w:tcPr>
          <w:p w:rsidR="006D5F73" w:rsidRPr="0043547B" w:rsidRDefault="006D5F73" w:rsidP="00FD356D">
            <w:pPr>
              <w:spacing w:after="0" w:line="240" w:lineRule="auto"/>
              <w:rPr>
                <w:rFonts w:cstheme="minorHAnsi"/>
                <w:sz w:val="24"/>
                <w:szCs w:val="24"/>
              </w:rPr>
            </w:pPr>
            <w:r w:rsidRPr="0043547B">
              <w:rPr>
                <w:rFonts w:cstheme="minorHAnsi"/>
                <w:sz w:val="24"/>
                <w:szCs w:val="24"/>
              </w:rPr>
              <w:t>Appareils sanitaires - Receveurs de douche en feuilles d'acrylique réticulées coulées - Prescriptions et méthodes d'essai</w:t>
            </w:r>
          </w:p>
        </w:tc>
      </w:tr>
      <w:tr w:rsidR="0043547B" w:rsidRPr="0043547B" w:rsidTr="00CB5DC0">
        <w:trPr>
          <w:trHeight w:val="860"/>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6D5F73" w:rsidRPr="0043547B" w:rsidRDefault="006D5F73" w:rsidP="00FD356D">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tcPr>
          <w:p w:rsidR="006D5F73" w:rsidRPr="0043547B" w:rsidRDefault="006D5F73" w:rsidP="00FD356D">
            <w:pPr>
              <w:spacing w:after="0" w:line="240" w:lineRule="auto"/>
              <w:jc w:val="both"/>
              <w:rPr>
                <w:rFonts w:cstheme="minorHAnsi"/>
                <w:sz w:val="24"/>
                <w:szCs w:val="24"/>
              </w:rPr>
            </w:pPr>
            <w:r w:rsidRPr="0043547B">
              <w:rPr>
                <w:rFonts w:cstheme="minorHAnsi"/>
                <w:sz w:val="24"/>
                <w:szCs w:val="24"/>
              </w:rPr>
              <w:t>La présente norme spécifie les exigences relatives aux cotes de raccordement des receveurs de douche,</w:t>
            </w:r>
            <w:r w:rsidR="00CA6BDF">
              <w:rPr>
                <w:rFonts w:cstheme="minorHAnsi"/>
                <w:sz w:val="24"/>
                <w:szCs w:val="24"/>
              </w:rPr>
              <w:t xml:space="preserve"> </w:t>
            </w:r>
            <w:r w:rsidRPr="0043547B">
              <w:rPr>
                <w:rFonts w:cstheme="minorHAnsi"/>
                <w:sz w:val="24"/>
                <w:szCs w:val="24"/>
              </w:rPr>
              <w:t>indépendamment du matériau dont ils sont constitués.</w:t>
            </w:r>
            <w:r w:rsidRPr="0043547B">
              <w:rPr>
                <w:rFonts w:cstheme="minorHAnsi"/>
                <w:sz w:val="24"/>
                <w:szCs w:val="24"/>
              </w:rPr>
              <w:br/>
              <w:t>La présente Norme européenne s'applique aux receveurs de douche à usage domestique et complète les normes</w:t>
            </w:r>
            <w:r w:rsidR="00CA6BDF">
              <w:rPr>
                <w:rFonts w:cstheme="minorHAnsi"/>
                <w:sz w:val="24"/>
                <w:szCs w:val="24"/>
              </w:rPr>
              <w:t xml:space="preserve"> </w:t>
            </w:r>
            <w:r w:rsidRPr="0043547B">
              <w:rPr>
                <w:rFonts w:cstheme="minorHAnsi"/>
                <w:sz w:val="24"/>
                <w:szCs w:val="24"/>
              </w:rPr>
              <w:t>relatives aux receveurs de douche faits à partir de différents matériaux ainsi que les normes existantes sur les</w:t>
            </w:r>
            <w:r w:rsidRPr="0043547B">
              <w:rPr>
                <w:rFonts w:cstheme="minorHAnsi"/>
                <w:sz w:val="24"/>
                <w:szCs w:val="24"/>
              </w:rPr>
              <w:br/>
              <w:t>dispositifs de vidage (EN 274-1) en matière de prescriptions dimensionnelles.</w:t>
            </w:r>
            <w:r w:rsidRPr="0043547B">
              <w:rPr>
                <w:rFonts w:cstheme="minorHAnsi"/>
                <w:sz w:val="24"/>
                <w:szCs w:val="24"/>
              </w:rPr>
              <w:br/>
            </w:r>
            <w:r w:rsidRPr="00FD356D">
              <w:rPr>
                <w:rFonts w:cstheme="minorHAnsi"/>
                <w:b/>
                <w:bCs/>
                <w:i/>
                <w:iCs/>
              </w:rPr>
              <w:t>NOTE :</w:t>
            </w:r>
            <w:r w:rsidRPr="00FD356D">
              <w:rPr>
                <w:rFonts w:cstheme="minorHAnsi"/>
                <w:i/>
                <w:iCs/>
              </w:rPr>
              <w:t xml:space="preserve"> Seules les dimensions des parties cotées doivent être respectées. La forme schématique des appareils représentés sur les figures sert uniquement à faciliter la compréhension ; elle ne laisse aucunement présager de la forme définitive de l'appareil qui est laissée à l'initiative des fabricants.</w:t>
            </w:r>
          </w:p>
        </w:tc>
      </w:tr>
      <w:tr w:rsidR="0043547B" w:rsidRPr="0043547B" w:rsidTr="00CB5DC0">
        <w:trPr>
          <w:trHeight w:val="23"/>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6D5F73" w:rsidRPr="00C27A67" w:rsidRDefault="006D5F73" w:rsidP="00FD356D">
            <w:pPr>
              <w:spacing w:after="0" w:line="240" w:lineRule="auto"/>
              <w:jc w:val="center"/>
              <w:rPr>
                <w:rFonts w:cstheme="minorHAnsi"/>
                <w:b/>
                <w:bCs/>
                <w:sz w:val="24"/>
                <w:szCs w:val="24"/>
              </w:rPr>
            </w:pPr>
            <w:r w:rsidRPr="00C27A67">
              <w:rPr>
                <w:rFonts w:cstheme="minorHAnsi"/>
                <w:b/>
                <w:bCs/>
                <w:sz w:val="24"/>
                <w:szCs w:val="24"/>
              </w:rPr>
              <w:t>Code :</w:t>
            </w:r>
          </w:p>
        </w:tc>
        <w:tc>
          <w:tcPr>
            <w:tcW w:w="7938" w:type="dxa"/>
            <w:tcBorders>
              <w:left w:val="single" w:sz="4" w:space="0" w:color="auto"/>
              <w:bottom w:val="single" w:sz="18" w:space="0" w:color="auto"/>
              <w:right w:val="single" w:sz="18" w:space="0" w:color="auto"/>
            </w:tcBorders>
            <w:shd w:val="clear" w:color="auto" w:fill="C2D69B" w:themeFill="accent3" w:themeFillTint="99"/>
          </w:tcPr>
          <w:p w:rsidR="006D5F73" w:rsidRPr="00C27A67" w:rsidRDefault="006D5F73" w:rsidP="00FD356D">
            <w:pPr>
              <w:spacing w:after="0" w:line="240" w:lineRule="auto"/>
              <w:jc w:val="center"/>
              <w:rPr>
                <w:rFonts w:cstheme="minorHAnsi"/>
                <w:b/>
                <w:bCs/>
                <w:sz w:val="24"/>
                <w:szCs w:val="24"/>
              </w:rPr>
            </w:pPr>
            <w:r w:rsidRPr="00C27A67">
              <w:rPr>
                <w:rFonts w:cstheme="minorHAnsi"/>
                <w:b/>
                <w:bCs/>
                <w:sz w:val="24"/>
                <w:szCs w:val="24"/>
              </w:rPr>
              <w:t>NM EN 249</w:t>
            </w:r>
          </w:p>
        </w:tc>
      </w:tr>
      <w:tr w:rsidR="0043547B" w:rsidRPr="0043547B" w:rsidTr="00CB5DC0">
        <w:trPr>
          <w:trHeight w:val="23"/>
          <w:jc w:val="center"/>
        </w:trPr>
        <w:tc>
          <w:tcPr>
            <w:tcW w:w="1838" w:type="dxa"/>
            <w:tcBorders>
              <w:top w:val="single" w:sz="18" w:space="0" w:color="auto"/>
              <w:left w:val="single" w:sz="18" w:space="0" w:color="auto"/>
              <w:bottom w:val="single" w:sz="4" w:space="0" w:color="auto"/>
              <w:right w:val="single" w:sz="4" w:space="0" w:color="auto"/>
            </w:tcBorders>
            <w:shd w:val="clear" w:color="auto" w:fill="FDFBA9"/>
            <w:vAlign w:val="center"/>
          </w:tcPr>
          <w:p w:rsidR="006D5F73" w:rsidRPr="0043547B" w:rsidRDefault="006D5F73" w:rsidP="00FD356D">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DFBA9"/>
            <w:vAlign w:val="center"/>
          </w:tcPr>
          <w:p w:rsidR="006D5F73" w:rsidRPr="00C27A67" w:rsidRDefault="006D5F73" w:rsidP="00FD356D">
            <w:pPr>
              <w:spacing w:after="0" w:line="240" w:lineRule="auto"/>
              <w:jc w:val="center"/>
              <w:rPr>
                <w:rFonts w:cstheme="minorHAnsi"/>
                <w:b/>
                <w:bCs/>
                <w:sz w:val="24"/>
                <w:szCs w:val="24"/>
              </w:rPr>
            </w:pPr>
            <w:r w:rsidRPr="00C27A67">
              <w:rPr>
                <w:rFonts w:cstheme="minorHAnsi"/>
                <w:b/>
                <w:bCs/>
                <w:sz w:val="24"/>
                <w:szCs w:val="24"/>
              </w:rPr>
              <w:t xml:space="preserve">  EN 249</w:t>
            </w:r>
          </w:p>
        </w:tc>
      </w:tr>
      <w:tr w:rsidR="0043547B" w:rsidRPr="0043547B" w:rsidTr="00CB5DC0">
        <w:trPr>
          <w:trHeight w:val="23"/>
          <w:jc w:val="center"/>
        </w:trPr>
        <w:tc>
          <w:tcPr>
            <w:tcW w:w="1838" w:type="dxa"/>
            <w:tcBorders>
              <w:top w:val="single" w:sz="4" w:space="0" w:color="auto"/>
              <w:left w:val="single" w:sz="18" w:space="0" w:color="auto"/>
              <w:bottom w:val="single" w:sz="4" w:space="0" w:color="auto"/>
              <w:right w:val="single" w:sz="4" w:space="0" w:color="auto"/>
            </w:tcBorders>
            <w:shd w:val="clear" w:color="auto" w:fill="95B3D7" w:themeFill="accent1" w:themeFillTint="99"/>
            <w:vAlign w:val="center"/>
          </w:tcPr>
          <w:p w:rsidR="006D5F73" w:rsidRPr="0043547B" w:rsidRDefault="006D5F73" w:rsidP="00FD356D">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auto"/>
          </w:tcPr>
          <w:p w:rsidR="006D5F73" w:rsidRPr="0043547B" w:rsidRDefault="006D5F73" w:rsidP="00FD356D">
            <w:pPr>
              <w:spacing w:after="0" w:line="240" w:lineRule="auto"/>
              <w:rPr>
                <w:rFonts w:cstheme="minorHAnsi"/>
                <w:sz w:val="24"/>
                <w:szCs w:val="24"/>
              </w:rPr>
            </w:pPr>
            <w:r w:rsidRPr="0043547B">
              <w:rPr>
                <w:rFonts w:cstheme="minorHAnsi"/>
                <w:sz w:val="24"/>
                <w:szCs w:val="24"/>
              </w:rPr>
              <w:t xml:space="preserve">Receveurs de douche - Cotes de raccordement   </w:t>
            </w:r>
          </w:p>
        </w:tc>
      </w:tr>
      <w:tr w:rsidR="0043547B" w:rsidRPr="0043547B" w:rsidTr="00CB5DC0">
        <w:trPr>
          <w:trHeight w:val="860"/>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6D5F73" w:rsidRPr="0043547B" w:rsidRDefault="006D5F73" w:rsidP="00FD356D">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tcPr>
          <w:p w:rsidR="00FD356D" w:rsidRDefault="006D5F73" w:rsidP="00FD356D">
            <w:pPr>
              <w:spacing w:after="0" w:line="240" w:lineRule="auto"/>
              <w:jc w:val="both"/>
              <w:rPr>
                <w:rFonts w:cstheme="minorHAnsi"/>
                <w:sz w:val="24"/>
                <w:szCs w:val="24"/>
              </w:rPr>
            </w:pPr>
            <w:r w:rsidRPr="0043547B">
              <w:rPr>
                <w:rFonts w:cstheme="minorHAnsi"/>
                <w:sz w:val="24"/>
                <w:szCs w:val="24"/>
              </w:rPr>
              <w:t xml:space="preserve">La présente Norme européenne spécifie les prescriptions concernant les receveurs de douche à usage domestique constitués de feuilles d’acrylique </w:t>
            </w:r>
            <w:r w:rsidRPr="0043547B">
              <w:rPr>
                <w:rFonts w:cstheme="minorHAnsi"/>
                <w:sz w:val="24"/>
                <w:szCs w:val="24"/>
              </w:rPr>
              <w:lastRenderedPageBreak/>
              <w:t>réticulées coulées conformes à l’EN 263, dans le but de s’assurer que le produit, lorsqu’il est installé conformément aux instructions du fabricant, fournit une performance satisfaisante en cours d’utilisation.</w:t>
            </w:r>
          </w:p>
          <w:p w:rsidR="006D5F73" w:rsidRPr="0043547B" w:rsidRDefault="006D5F73" w:rsidP="00FD356D">
            <w:pPr>
              <w:spacing w:after="0" w:line="240" w:lineRule="auto"/>
              <w:jc w:val="both"/>
              <w:rPr>
                <w:rFonts w:cstheme="minorHAnsi"/>
                <w:sz w:val="24"/>
                <w:szCs w:val="24"/>
              </w:rPr>
            </w:pPr>
            <w:r w:rsidRPr="0043547B">
              <w:rPr>
                <w:rFonts w:cstheme="minorHAnsi"/>
                <w:sz w:val="24"/>
                <w:szCs w:val="24"/>
              </w:rPr>
              <w:t>La présente norme est applicable aux receveurs de douche de toutes tailles et de toutes formes.</w:t>
            </w:r>
          </w:p>
        </w:tc>
      </w:tr>
      <w:tr w:rsidR="0043547B" w:rsidRPr="0043547B" w:rsidTr="00CB5DC0">
        <w:trPr>
          <w:trHeight w:val="23"/>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6D5F73" w:rsidRPr="0043547B" w:rsidRDefault="006D5F73" w:rsidP="00FD356D">
            <w:pPr>
              <w:spacing w:after="0" w:line="240" w:lineRule="auto"/>
              <w:jc w:val="center"/>
              <w:rPr>
                <w:rFonts w:cstheme="minorHAnsi"/>
                <w:b/>
                <w:bCs/>
                <w:sz w:val="24"/>
                <w:szCs w:val="24"/>
              </w:rPr>
            </w:pPr>
            <w:r w:rsidRPr="0043547B">
              <w:rPr>
                <w:rFonts w:cstheme="minorHAnsi"/>
                <w:b/>
                <w:bCs/>
                <w:sz w:val="24"/>
                <w:szCs w:val="24"/>
              </w:rPr>
              <w:lastRenderedPageBreak/>
              <w:t>Code :</w:t>
            </w:r>
          </w:p>
        </w:tc>
        <w:tc>
          <w:tcPr>
            <w:tcW w:w="7938" w:type="dxa"/>
            <w:tcBorders>
              <w:left w:val="single" w:sz="4" w:space="0" w:color="auto"/>
              <w:bottom w:val="single" w:sz="18" w:space="0" w:color="auto"/>
              <w:right w:val="single" w:sz="18" w:space="0" w:color="auto"/>
            </w:tcBorders>
            <w:shd w:val="clear" w:color="auto" w:fill="C2D69B" w:themeFill="accent3" w:themeFillTint="99"/>
          </w:tcPr>
          <w:p w:rsidR="006D5F73" w:rsidRPr="00C27A67" w:rsidRDefault="006D5F73" w:rsidP="00FD356D">
            <w:pPr>
              <w:spacing w:after="0" w:line="240" w:lineRule="auto"/>
              <w:jc w:val="center"/>
              <w:rPr>
                <w:rFonts w:cstheme="minorHAnsi"/>
                <w:b/>
                <w:bCs/>
                <w:sz w:val="24"/>
                <w:szCs w:val="24"/>
              </w:rPr>
            </w:pPr>
            <w:r w:rsidRPr="00C27A67">
              <w:rPr>
                <w:rFonts w:cstheme="minorHAnsi"/>
                <w:b/>
                <w:bCs/>
                <w:sz w:val="24"/>
                <w:szCs w:val="24"/>
              </w:rPr>
              <w:t>NM EN 31</w:t>
            </w:r>
          </w:p>
        </w:tc>
      </w:tr>
      <w:tr w:rsidR="0043547B" w:rsidRPr="0043547B" w:rsidTr="00CB5DC0">
        <w:trPr>
          <w:trHeight w:val="23"/>
          <w:jc w:val="center"/>
        </w:trPr>
        <w:tc>
          <w:tcPr>
            <w:tcW w:w="1838" w:type="dxa"/>
            <w:tcBorders>
              <w:top w:val="single" w:sz="18" w:space="0" w:color="auto"/>
              <w:left w:val="single" w:sz="18" w:space="0" w:color="auto"/>
              <w:bottom w:val="single" w:sz="4" w:space="0" w:color="auto"/>
              <w:right w:val="single" w:sz="4" w:space="0" w:color="auto"/>
            </w:tcBorders>
            <w:shd w:val="clear" w:color="auto" w:fill="FDFBA9"/>
            <w:vAlign w:val="center"/>
          </w:tcPr>
          <w:p w:rsidR="006D5F73" w:rsidRPr="0043547B" w:rsidRDefault="006D5F73" w:rsidP="00FD356D">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DFBA9"/>
            <w:vAlign w:val="center"/>
          </w:tcPr>
          <w:p w:rsidR="006D5F73" w:rsidRPr="00C27A67" w:rsidRDefault="006D5F73" w:rsidP="00FD356D">
            <w:pPr>
              <w:spacing w:after="0" w:line="240" w:lineRule="auto"/>
              <w:jc w:val="center"/>
              <w:rPr>
                <w:rFonts w:cstheme="minorHAnsi"/>
                <w:b/>
                <w:bCs/>
                <w:sz w:val="24"/>
                <w:szCs w:val="24"/>
              </w:rPr>
            </w:pPr>
            <w:r w:rsidRPr="00C27A67">
              <w:rPr>
                <w:rFonts w:cstheme="minorHAnsi"/>
                <w:b/>
                <w:bCs/>
                <w:sz w:val="24"/>
                <w:szCs w:val="24"/>
              </w:rPr>
              <w:t>EN 31</w:t>
            </w:r>
          </w:p>
        </w:tc>
      </w:tr>
      <w:tr w:rsidR="0043547B" w:rsidRPr="0043547B" w:rsidTr="00CB5DC0">
        <w:trPr>
          <w:trHeight w:val="23"/>
          <w:jc w:val="center"/>
        </w:trPr>
        <w:tc>
          <w:tcPr>
            <w:tcW w:w="1838" w:type="dxa"/>
            <w:tcBorders>
              <w:top w:val="single" w:sz="4" w:space="0" w:color="auto"/>
              <w:left w:val="single" w:sz="18" w:space="0" w:color="auto"/>
              <w:bottom w:val="single" w:sz="4" w:space="0" w:color="auto"/>
              <w:right w:val="single" w:sz="4" w:space="0" w:color="auto"/>
            </w:tcBorders>
            <w:shd w:val="clear" w:color="auto" w:fill="95B3D7" w:themeFill="accent1" w:themeFillTint="99"/>
            <w:vAlign w:val="center"/>
          </w:tcPr>
          <w:p w:rsidR="006D5F73" w:rsidRPr="0043547B" w:rsidRDefault="006D5F73" w:rsidP="00FD356D">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auto"/>
          </w:tcPr>
          <w:p w:rsidR="006D5F73" w:rsidRPr="0043547B" w:rsidRDefault="006D5F73" w:rsidP="00FD356D">
            <w:pPr>
              <w:spacing w:after="0" w:line="240" w:lineRule="auto"/>
              <w:rPr>
                <w:rFonts w:cstheme="minorHAnsi"/>
                <w:sz w:val="24"/>
                <w:szCs w:val="24"/>
              </w:rPr>
            </w:pPr>
            <w:r w:rsidRPr="0043547B">
              <w:rPr>
                <w:rFonts w:cstheme="minorHAnsi"/>
                <w:sz w:val="24"/>
                <w:szCs w:val="24"/>
              </w:rPr>
              <w:t>Lavabos - Cotes de raccordement</w:t>
            </w:r>
          </w:p>
        </w:tc>
      </w:tr>
      <w:tr w:rsidR="0043547B" w:rsidRPr="0043547B" w:rsidTr="00CB5DC0">
        <w:trPr>
          <w:trHeight w:val="860"/>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6D5F73" w:rsidRPr="0043547B" w:rsidRDefault="006D5F73" w:rsidP="00FD356D">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tcPr>
          <w:p w:rsidR="00FD356D" w:rsidRPr="00FD356D" w:rsidRDefault="006D5F73" w:rsidP="00FD356D">
            <w:pPr>
              <w:spacing w:after="0" w:line="240" w:lineRule="auto"/>
              <w:jc w:val="both"/>
              <w:rPr>
                <w:rFonts w:cstheme="minorHAnsi"/>
                <w:i/>
                <w:iCs/>
              </w:rPr>
            </w:pPr>
            <w:r w:rsidRPr="0043547B">
              <w:rPr>
                <w:rFonts w:cstheme="minorHAnsi"/>
                <w:sz w:val="24"/>
                <w:szCs w:val="24"/>
              </w:rPr>
              <w:t>La présente Norme Européenne spécifie les cotes de raccordement des lavabos conforme à EN 14688, quels que</w:t>
            </w:r>
            <w:r w:rsidR="00CA6BDF">
              <w:rPr>
                <w:rFonts w:cstheme="minorHAnsi"/>
                <w:sz w:val="24"/>
                <w:szCs w:val="24"/>
              </w:rPr>
              <w:t xml:space="preserve"> </w:t>
            </w:r>
            <w:r w:rsidRPr="0043547B">
              <w:rPr>
                <w:rFonts w:cstheme="minorHAnsi"/>
                <w:sz w:val="24"/>
                <w:szCs w:val="24"/>
              </w:rPr>
              <w:t>soient les matériaux entrants dans leur fabrication.</w:t>
            </w:r>
            <w:r w:rsidRPr="0043547B">
              <w:rPr>
                <w:rFonts w:cstheme="minorHAnsi"/>
                <w:sz w:val="24"/>
                <w:szCs w:val="24"/>
              </w:rPr>
              <w:br/>
            </w:r>
            <w:r w:rsidRPr="00FD356D">
              <w:rPr>
                <w:rFonts w:cstheme="minorHAnsi"/>
                <w:b/>
                <w:bCs/>
                <w:i/>
                <w:iCs/>
              </w:rPr>
              <w:t>NOTE 1 :</w:t>
            </w:r>
            <w:r w:rsidRPr="00FD356D">
              <w:rPr>
                <w:rFonts w:cstheme="minorHAnsi"/>
                <w:i/>
                <w:iCs/>
              </w:rPr>
              <w:t xml:space="preserve"> D’autres cotes de raccordement sont possibles, dans le cas, par exemple, de conceptions particulières de lavabos, si le fabricant fournit ou recommande les dispositifs de robinetterie appropriés.</w:t>
            </w:r>
          </w:p>
          <w:p w:rsidR="006D5F73" w:rsidRPr="0043547B" w:rsidRDefault="006D5F73" w:rsidP="00FD356D">
            <w:pPr>
              <w:spacing w:after="0" w:line="240" w:lineRule="auto"/>
              <w:jc w:val="both"/>
              <w:rPr>
                <w:rFonts w:cstheme="minorHAnsi"/>
                <w:sz w:val="24"/>
                <w:szCs w:val="24"/>
              </w:rPr>
            </w:pPr>
            <w:r w:rsidRPr="00FD356D">
              <w:rPr>
                <w:rFonts w:cstheme="minorHAnsi"/>
                <w:b/>
                <w:bCs/>
                <w:i/>
                <w:iCs/>
              </w:rPr>
              <w:t>NOTE 2 :</w:t>
            </w:r>
            <w:r w:rsidRPr="00FD356D">
              <w:rPr>
                <w:rFonts w:cstheme="minorHAnsi"/>
                <w:i/>
                <w:iCs/>
              </w:rPr>
              <w:t xml:space="preserve"> La forme des appareils représentés sur les figures est donnée uniquement à titre d’illustration ; elle ne préjuge en rien de la forme définitive de l’appareil qui est laissée à l’initiative du fabricant.</w:t>
            </w:r>
          </w:p>
        </w:tc>
      </w:tr>
      <w:tr w:rsidR="0043547B" w:rsidRPr="0043547B" w:rsidTr="00CB5DC0">
        <w:trPr>
          <w:trHeight w:val="23"/>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6D5F73" w:rsidRPr="00C27A67" w:rsidRDefault="006D5F73" w:rsidP="00FD356D">
            <w:pPr>
              <w:spacing w:after="0" w:line="240" w:lineRule="auto"/>
              <w:jc w:val="center"/>
              <w:rPr>
                <w:rFonts w:cstheme="minorHAnsi"/>
                <w:b/>
                <w:bCs/>
                <w:sz w:val="24"/>
                <w:szCs w:val="24"/>
              </w:rPr>
            </w:pPr>
            <w:r w:rsidRPr="00C27A67">
              <w:rPr>
                <w:rFonts w:cstheme="minorHAnsi"/>
                <w:b/>
                <w:bCs/>
                <w:sz w:val="24"/>
                <w:szCs w:val="24"/>
              </w:rPr>
              <w:t>Code :</w:t>
            </w:r>
          </w:p>
        </w:tc>
        <w:tc>
          <w:tcPr>
            <w:tcW w:w="7938" w:type="dxa"/>
            <w:tcBorders>
              <w:left w:val="single" w:sz="4" w:space="0" w:color="auto"/>
              <w:bottom w:val="single" w:sz="18" w:space="0" w:color="auto"/>
              <w:right w:val="single" w:sz="18" w:space="0" w:color="auto"/>
            </w:tcBorders>
            <w:shd w:val="clear" w:color="auto" w:fill="C2D69B" w:themeFill="accent3" w:themeFillTint="99"/>
          </w:tcPr>
          <w:p w:rsidR="006D5F73" w:rsidRPr="00C27A67" w:rsidRDefault="006D5F73" w:rsidP="00FD356D">
            <w:pPr>
              <w:spacing w:after="0" w:line="240" w:lineRule="auto"/>
              <w:jc w:val="center"/>
              <w:rPr>
                <w:rFonts w:cstheme="minorHAnsi"/>
                <w:b/>
                <w:bCs/>
                <w:sz w:val="24"/>
                <w:szCs w:val="24"/>
              </w:rPr>
            </w:pPr>
            <w:r w:rsidRPr="00C27A67">
              <w:rPr>
                <w:rFonts w:cstheme="minorHAnsi"/>
                <w:b/>
                <w:bCs/>
                <w:sz w:val="24"/>
                <w:szCs w:val="24"/>
              </w:rPr>
              <w:t>NM EN 33</w:t>
            </w:r>
          </w:p>
        </w:tc>
      </w:tr>
      <w:tr w:rsidR="0043547B" w:rsidRPr="0043547B" w:rsidTr="00FD356D">
        <w:trPr>
          <w:trHeight w:val="23"/>
          <w:jc w:val="center"/>
        </w:trPr>
        <w:tc>
          <w:tcPr>
            <w:tcW w:w="1838" w:type="dxa"/>
            <w:tcBorders>
              <w:top w:val="single" w:sz="18" w:space="0" w:color="auto"/>
              <w:left w:val="single" w:sz="18" w:space="0" w:color="auto"/>
              <w:bottom w:val="single" w:sz="4" w:space="0" w:color="auto"/>
              <w:right w:val="single" w:sz="4" w:space="0" w:color="auto"/>
            </w:tcBorders>
            <w:shd w:val="clear" w:color="auto" w:fill="FDFBA9"/>
            <w:vAlign w:val="center"/>
          </w:tcPr>
          <w:p w:rsidR="006D5F73" w:rsidRPr="0043547B" w:rsidRDefault="006D5F73" w:rsidP="00FD356D">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DFBA9"/>
            <w:vAlign w:val="center"/>
          </w:tcPr>
          <w:p w:rsidR="006D5F73" w:rsidRPr="00C27A67" w:rsidRDefault="006D5F73" w:rsidP="00FD356D">
            <w:pPr>
              <w:spacing w:after="0" w:line="240" w:lineRule="auto"/>
              <w:jc w:val="center"/>
              <w:rPr>
                <w:rFonts w:cstheme="minorHAnsi"/>
                <w:b/>
                <w:bCs/>
                <w:sz w:val="24"/>
                <w:szCs w:val="24"/>
              </w:rPr>
            </w:pPr>
            <w:r w:rsidRPr="00C27A67">
              <w:rPr>
                <w:rFonts w:cstheme="minorHAnsi"/>
                <w:b/>
                <w:bCs/>
                <w:sz w:val="24"/>
                <w:szCs w:val="24"/>
              </w:rPr>
              <w:t xml:space="preserve">  EN 33</w:t>
            </w:r>
          </w:p>
        </w:tc>
      </w:tr>
      <w:tr w:rsidR="0043547B" w:rsidRPr="0043547B" w:rsidTr="00FD356D">
        <w:trPr>
          <w:trHeight w:val="713"/>
          <w:jc w:val="center"/>
        </w:trPr>
        <w:tc>
          <w:tcPr>
            <w:tcW w:w="1838" w:type="dxa"/>
            <w:tcBorders>
              <w:top w:val="single" w:sz="4" w:space="0" w:color="auto"/>
              <w:left w:val="single" w:sz="18" w:space="0" w:color="auto"/>
              <w:bottom w:val="single" w:sz="4" w:space="0" w:color="auto"/>
              <w:right w:val="single" w:sz="4" w:space="0" w:color="auto"/>
            </w:tcBorders>
            <w:shd w:val="clear" w:color="auto" w:fill="95B3D7" w:themeFill="accent1" w:themeFillTint="99"/>
            <w:vAlign w:val="center"/>
          </w:tcPr>
          <w:p w:rsidR="006D5F73" w:rsidRPr="0043547B" w:rsidRDefault="006D5F73" w:rsidP="00FD356D">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auto"/>
          </w:tcPr>
          <w:p w:rsidR="006D5F73" w:rsidRPr="0043547B" w:rsidRDefault="006D5F73" w:rsidP="00FD356D">
            <w:pPr>
              <w:spacing w:after="0" w:line="240" w:lineRule="auto"/>
              <w:rPr>
                <w:rFonts w:cstheme="minorHAnsi"/>
                <w:sz w:val="24"/>
                <w:szCs w:val="24"/>
              </w:rPr>
            </w:pPr>
            <w:r w:rsidRPr="0043547B">
              <w:rPr>
                <w:rFonts w:cstheme="minorHAnsi"/>
                <w:sz w:val="24"/>
                <w:szCs w:val="24"/>
              </w:rPr>
              <w:t xml:space="preserve">Cuvettes de WC à alimentation indépendante et cuvettes de WC à réservoir attenant - Cotes de raccordement </w:t>
            </w:r>
          </w:p>
        </w:tc>
      </w:tr>
      <w:tr w:rsidR="0043547B" w:rsidRPr="0043547B" w:rsidTr="00CB5DC0">
        <w:trPr>
          <w:trHeight w:val="860"/>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6D5F73" w:rsidRPr="0043547B" w:rsidRDefault="006D5F73" w:rsidP="00FD356D">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tcPr>
          <w:p w:rsidR="00FD356D" w:rsidRDefault="006D5F73" w:rsidP="00FD356D">
            <w:pPr>
              <w:spacing w:after="0" w:line="240" w:lineRule="auto"/>
              <w:jc w:val="both"/>
              <w:rPr>
                <w:rFonts w:cstheme="minorHAnsi"/>
                <w:sz w:val="24"/>
                <w:szCs w:val="24"/>
              </w:rPr>
            </w:pPr>
            <w:r w:rsidRPr="0043547B">
              <w:rPr>
                <w:rFonts w:cstheme="minorHAnsi"/>
                <w:sz w:val="24"/>
                <w:szCs w:val="24"/>
              </w:rPr>
              <w:t>La présente Norme Européenne spécifie les cotes de raccordement des cuvettes de WC à alimentation indépendante et des cuvettes de WC à réservoir attenant, quels que soient les matériaux entrant dans leur fabrication.</w:t>
            </w:r>
          </w:p>
          <w:p w:rsidR="00FD356D" w:rsidRPr="00FD356D" w:rsidRDefault="006D5F73" w:rsidP="00FD356D">
            <w:pPr>
              <w:spacing w:after="0" w:line="240" w:lineRule="auto"/>
              <w:jc w:val="both"/>
              <w:rPr>
                <w:rFonts w:cstheme="minorHAnsi"/>
                <w:i/>
                <w:iCs/>
              </w:rPr>
            </w:pPr>
            <w:r w:rsidRPr="0043547B">
              <w:rPr>
                <w:rFonts w:cstheme="minorHAnsi"/>
                <w:sz w:val="24"/>
                <w:szCs w:val="24"/>
              </w:rPr>
              <w:t>Cette Norme européenne ne s'applique pas aux cuvettes de WC à action siphonique.</w:t>
            </w:r>
            <w:r w:rsidRPr="0043547B">
              <w:rPr>
                <w:rFonts w:cstheme="minorHAnsi"/>
                <w:sz w:val="24"/>
                <w:szCs w:val="24"/>
              </w:rPr>
              <w:br/>
            </w:r>
            <w:r w:rsidRPr="00FD356D">
              <w:rPr>
                <w:rFonts w:cstheme="minorHAnsi"/>
                <w:b/>
                <w:bCs/>
                <w:i/>
                <w:iCs/>
              </w:rPr>
              <w:t>NOTE 1 :</w:t>
            </w:r>
            <w:r w:rsidRPr="00FD356D">
              <w:rPr>
                <w:rFonts w:cstheme="minorHAnsi"/>
                <w:i/>
                <w:iCs/>
              </w:rPr>
              <w:t xml:space="preserve"> D’autres cotes de raccordement sont admises, par exemple pour les modèle spéciaux de cuvettes de WC, si le fabricant fournit ou recommande les dispositifs appropriés.</w:t>
            </w:r>
          </w:p>
          <w:p w:rsidR="006D5F73" w:rsidRPr="0043547B" w:rsidRDefault="006D5F73" w:rsidP="00FD356D">
            <w:pPr>
              <w:spacing w:after="0" w:line="240" w:lineRule="auto"/>
              <w:jc w:val="both"/>
              <w:rPr>
                <w:rFonts w:cstheme="minorHAnsi"/>
                <w:sz w:val="24"/>
                <w:szCs w:val="24"/>
              </w:rPr>
            </w:pPr>
            <w:r w:rsidRPr="00FD356D">
              <w:rPr>
                <w:rFonts w:cstheme="minorHAnsi"/>
                <w:b/>
                <w:bCs/>
                <w:i/>
                <w:iCs/>
              </w:rPr>
              <w:t xml:space="preserve">NOTE 2 </w:t>
            </w:r>
            <w:r w:rsidRPr="00FD356D">
              <w:rPr>
                <w:rFonts w:cstheme="minorHAnsi"/>
                <w:i/>
                <w:iCs/>
              </w:rPr>
              <w:t>: La forme schématique des appareils est donnée pour faciliter la compréhension; elle ne préjuge en rien de la forme définitive de l'appareil qui est laissée à l'initiative des fabricants.</w:t>
            </w:r>
          </w:p>
        </w:tc>
      </w:tr>
      <w:tr w:rsidR="0043547B" w:rsidRPr="0043547B" w:rsidTr="00CB5DC0">
        <w:trPr>
          <w:trHeight w:val="23"/>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6D5F73" w:rsidRPr="00C27A67" w:rsidRDefault="006D5F73" w:rsidP="002E2445">
            <w:pPr>
              <w:spacing w:after="0" w:line="240" w:lineRule="auto"/>
              <w:jc w:val="center"/>
              <w:rPr>
                <w:rFonts w:cstheme="minorHAnsi"/>
                <w:b/>
                <w:bCs/>
                <w:sz w:val="24"/>
                <w:szCs w:val="24"/>
              </w:rPr>
            </w:pPr>
            <w:r w:rsidRPr="00C27A67">
              <w:rPr>
                <w:rFonts w:cstheme="minorHAnsi"/>
                <w:b/>
                <w:bCs/>
                <w:sz w:val="24"/>
                <w:szCs w:val="24"/>
              </w:rPr>
              <w:t>Code :</w:t>
            </w:r>
          </w:p>
        </w:tc>
        <w:tc>
          <w:tcPr>
            <w:tcW w:w="7938" w:type="dxa"/>
            <w:tcBorders>
              <w:left w:val="single" w:sz="4" w:space="0" w:color="auto"/>
              <w:bottom w:val="single" w:sz="18" w:space="0" w:color="auto"/>
              <w:right w:val="single" w:sz="18" w:space="0" w:color="auto"/>
            </w:tcBorders>
            <w:shd w:val="clear" w:color="auto" w:fill="C2D69B" w:themeFill="accent3" w:themeFillTint="99"/>
          </w:tcPr>
          <w:p w:rsidR="006D5F73" w:rsidRPr="00C27A67" w:rsidRDefault="006D5F73" w:rsidP="002E2445">
            <w:pPr>
              <w:spacing w:after="0" w:line="240" w:lineRule="auto"/>
              <w:jc w:val="center"/>
              <w:rPr>
                <w:rFonts w:cstheme="minorHAnsi"/>
                <w:b/>
                <w:bCs/>
                <w:sz w:val="24"/>
                <w:szCs w:val="24"/>
              </w:rPr>
            </w:pPr>
            <w:r w:rsidRPr="00C27A67">
              <w:rPr>
                <w:rFonts w:cstheme="minorHAnsi"/>
                <w:b/>
                <w:bCs/>
                <w:sz w:val="24"/>
                <w:szCs w:val="24"/>
              </w:rPr>
              <w:t>NM EN 15091</w:t>
            </w:r>
          </w:p>
        </w:tc>
      </w:tr>
      <w:tr w:rsidR="0043547B" w:rsidRPr="0043547B" w:rsidTr="002E2445">
        <w:trPr>
          <w:trHeight w:val="178"/>
          <w:jc w:val="center"/>
        </w:trPr>
        <w:tc>
          <w:tcPr>
            <w:tcW w:w="1838" w:type="dxa"/>
            <w:tcBorders>
              <w:top w:val="single" w:sz="18" w:space="0" w:color="auto"/>
              <w:left w:val="single" w:sz="18" w:space="0" w:color="auto"/>
              <w:bottom w:val="single" w:sz="4" w:space="0" w:color="auto"/>
              <w:right w:val="single" w:sz="4" w:space="0" w:color="auto"/>
            </w:tcBorders>
            <w:shd w:val="clear" w:color="auto" w:fill="FDFBA9"/>
            <w:vAlign w:val="center"/>
          </w:tcPr>
          <w:p w:rsidR="006D5F73" w:rsidRPr="0043547B" w:rsidRDefault="006D5F73" w:rsidP="002E2445">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DFBA9"/>
            <w:vAlign w:val="center"/>
          </w:tcPr>
          <w:p w:rsidR="006D5F73" w:rsidRPr="00C27A67" w:rsidRDefault="006D5F73" w:rsidP="002E2445">
            <w:pPr>
              <w:spacing w:after="0" w:line="240" w:lineRule="auto"/>
              <w:jc w:val="center"/>
              <w:rPr>
                <w:rFonts w:cstheme="minorHAnsi"/>
                <w:b/>
                <w:bCs/>
                <w:sz w:val="24"/>
                <w:szCs w:val="24"/>
              </w:rPr>
            </w:pPr>
            <w:r w:rsidRPr="00C27A67">
              <w:rPr>
                <w:rFonts w:cstheme="minorHAnsi"/>
                <w:b/>
                <w:bCs/>
                <w:sz w:val="24"/>
                <w:szCs w:val="24"/>
              </w:rPr>
              <w:t xml:space="preserve">  EN 15091</w:t>
            </w:r>
          </w:p>
        </w:tc>
      </w:tr>
      <w:tr w:rsidR="0043547B" w:rsidRPr="0043547B" w:rsidTr="002E2445">
        <w:trPr>
          <w:trHeight w:val="532"/>
          <w:jc w:val="center"/>
        </w:trPr>
        <w:tc>
          <w:tcPr>
            <w:tcW w:w="1838" w:type="dxa"/>
            <w:tcBorders>
              <w:top w:val="single" w:sz="4" w:space="0" w:color="auto"/>
              <w:left w:val="single" w:sz="18" w:space="0" w:color="auto"/>
              <w:bottom w:val="single" w:sz="4" w:space="0" w:color="auto"/>
              <w:right w:val="single" w:sz="4" w:space="0" w:color="auto"/>
            </w:tcBorders>
            <w:shd w:val="clear" w:color="auto" w:fill="95B3D7" w:themeFill="accent1" w:themeFillTint="99"/>
            <w:vAlign w:val="center"/>
          </w:tcPr>
          <w:p w:rsidR="006D5F73" w:rsidRPr="0043547B" w:rsidRDefault="006D5F73" w:rsidP="002E2445">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auto"/>
          </w:tcPr>
          <w:p w:rsidR="006D5F73" w:rsidRPr="0043547B" w:rsidRDefault="006D5F73" w:rsidP="002E2445">
            <w:pPr>
              <w:spacing w:after="0" w:line="240" w:lineRule="auto"/>
              <w:rPr>
                <w:rFonts w:cstheme="minorHAnsi"/>
                <w:sz w:val="24"/>
                <w:szCs w:val="24"/>
              </w:rPr>
            </w:pPr>
            <w:r w:rsidRPr="0043547B">
              <w:rPr>
                <w:rFonts w:cstheme="minorHAnsi"/>
                <w:sz w:val="24"/>
                <w:szCs w:val="24"/>
              </w:rPr>
              <w:t xml:space="preserve">Robinetterie sanitaire - Robinet sanitaire à ouverture et fermeture électroniques </w:t>
            </w:r>
          </w:p>
        </w:tc>
      </w:tr>
      <w:tr w:rsidR="0043547B" w:rsidRPr="0043547B" w:rsidTr="00CB5DC0">
        <w:trPr>
          <w:trHeight w:val="860"/>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6D5F73" w:rsidRPr="0043547B" w:rsidRDefault="006D5F73" w:rsidP="002E2445">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tcPr>
          <w:p w:rsidR="006D5F73" w:rsidRPr="0043547B" w:rsidRDefault="006D5F73" w:rsidP="002E2445">
            <w:pPr>
              <w:spacing w:after="0" w:line="240" w:lineRule="auto"/>
              <w:jc w:val="both"/>
              <w:rPr>
                <w:rFonts w:cstheme="minorHAnsi"/>
                <w:sz w:val="24"/>
                <w:szCs w:val="24"/>
              </w:rPr>
            </w:pPr>
            <w:r w:rsidRPr="0043547B">
              <w:rPr>
                <w:rFonts w:cstheme="minorHAnsi"/>
                <w:sz w:val="24"/>
                <w:szCs w:val="24"/>
              </w:rPr>
              <w:t>L’objectif de la présente Norme européenne est de définir les exigences de marquage, d’identification,</w:t>
            </w:r>
            <w:r w:rsidR="00CA6BDF">
              <w:rPr>
                <w:rFonts w:cstheme="minorHAnsi"/>
                <w:sz w:val="24"/>
                <w:szCs w:val="24"/>
              </w:rPr>
              <w:t xml:space="preserve"> </w:t>
            </w:r>
            <w:r w:rsidRPr="0043547B">
              <w:rPr>
                <w:rFonts w:cstheme="minorHAnsi"/>
                <w:sz w:val="24"/>
                <w:szCs w:val="24"/>
              </w:rPr>
              <w:t>d’étanchéité, de sécurité électrique et de fonctionnement et de résistance mécanique pour la robinetterie</w:t>
            </w:r>
            <w:r w:rsidRPr="0043547B">
              <w:rPr>
                <w:rFonts w:cstheme="minorHAnsi"/>
                <w:sz w:val="24"/>
                <w:szCs w:val="24"/>
              </w:rPr>
              <w:br/>
              <w:t>sanitaire à ouverture et fermeture électroniques.</w:t>
            </w:r>
          </w:p>
        </w:tc>
      </w:tr>
      <w:tr w:rsidR="0043547B" w:rsidRPr="0043547B" w:rsidTr="00CB5DC0">
        <w:trPr>
          <w:trHeight w:val="182"/>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6D5F73" w:rsidRPr="00C27A67" w:rsidRDefault="006D5F73" w:rsidP="002E2445">
            <w:pPr>
              <w:spacing w:after="0" w:line="240" w:lineRule="auto"/>
              <w:jc w:val="center"/>
              <w:rPr>
                <w:rFonts w:cstheme="minorHAnsi"/>
                <w:b/>
                <w:bCs/>
                <w:sz w:val="24"/>
                <w:szCs w:val="24"/>
              </w:rPr>
            </w:pPr>
            <w:r w:rsidRPr="00C27A67">
              <w:rPr>
                <w:rFonts w:cstheme="minorHAnsi"/>
                <w:b/>
                <w:bCs/>
                <w:sz w:val="24"/>
                <w:szCs w:val="24"/>
              </w:rPr>
              <w:t>Code :</w:t>
            </w:r>
          </w:p>
        </w:tc>
        <w:tc>
          <w:tcPr>
            <w:tcW w:w="7938" w:type="dxa"/>
            <w:tcBorders>
              <w:left w:val="single" w:sz="4" w:space="0" w:color="auto"/>
              <w:bottom w:val="single" w:sz="18" w:space="0" w:color="auto"/>
              <w:right w:val="single" w:sz="18" w:space="0" w:color="auto"/>
            </w:tcBorders>
            <w:shd w:val="clear" w:color="auto" w:fill="C2D69B" w:themeFill="accent3" w:themeFillTint="99"/>
          </w:tcPr>
          <w:p w:rsidR="006D5F73" w:rsidRPr="00C27A67" w:rsidRDefault="006D5F73" w:rsidP="002E2445">
            <w:pPr>
              <w:spacing w:after="0" w:line="240" w:lineRule="auto"/>
              <w:jc w:val="center"/>
              <w:rPr>
                <w:rFonts w:cstheme="minorHAnsi"/>
                <w:b/>
                <w:bCs/>
                <w:sz w:val="24"/>
                <w:szCs w:val="24"/>
              </w:rPr>
            </w:pPr>
            <w:r w:rsidRPr="00C27A67">
              <w:rPr>
                <w:rFonts w:cstheme="minorHAnsi"/>
                <w:b/>
                <w:bCs/>
                <w:sz w:val="24"/>
                <w:szCs w:val="24"/>
              </w:rPr>
              <w:t>NM EN 15200</w:t>
            </w:r>
          </w:p>
        </w:tc>
      </w:tr>
      <w:tr w:rsidR="0043547B" w:rsidRPr="0043547B" w:rsidTr="00CB5DC0">
        <w:trPr>
          <w:trHeight w:val="34"/>
          <w:jc w:val="center"/>
        </w:trPr>
        <w:tc>
          <w:tcPr>
            <w:tcW w:w="1838" w:type="dxa"/>
            <w:tcBorders>
              <w:top w:val="single" w:sz="18" w:space="0" w:color="auto"/>
              <w:left w:val="single" w:sz="18" w:space="0" w:color="auto"/>
              <w:bottom w:val="single" w:sz="4" w:space="0" w:color="auto"/>
              <w:right w:val="single" w:sz="4" w:space="0" w:color="auto"/>
            </w:tcBorders>
            <w:shd w:val="clear" w:color="auto" w:fill="FDFBA9"/>
            <w:vAlign w:val="center"/>
          </w:tcPr>
          <w:p w:rsidR="006D5F73" w:rsidRPr="00C27A67" w:rsidRDefault="006D5F73" w:rsidP="002E2445">
            <w:pPr>
              <w:spacing w:after="0" w:line="240" w:lineRule="auto"/>
              <w:jc w:val="center"/>
              <w:rPr>
                <w:rFonts w:cstheme="minorHAnsi"/>
                <w:b/>
                <w:bCs/>
                <w:sz w:val="24"/>
                <w:szCs w:val="24"/>
              </w:rPr>
            </w:pPr>
            <w:r w:rsidRPr="00C27A67">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DFBA9"/>
            <w:vAlign w:val="center"/>
          </w:tcPr>
          <w:p w:rsidR="006D5F73" w:rsidRPr="00C27A67" w:rsidRDefault="006D5F73" w:rsidP="002E2445">
            <w:pPr>
              <w:spacing w:after="0" w:line="240" w:lineRule="auto"/>
              <w:jc w:val="center"/>
              <w:rPr>
                <w:rFonts w:cstheme="minorHAnsi"/>
                <w:b/>
                <w:bCs/>
                <w:sz w:val="24"/>
                <w:szCs w:val="24"/>
              </w:rPr>
            </w:pPr>
            <w:r w:rsidRPr="00C27A67">
              <w:rPr>
                <w:rFonts w:cstheme="minorHAnsi"/>
                <w:b/>
                <w:bCs/>
                <w:sz w:val="24"/>
                <w:szCs w:val="24"/>
              </w:rPr>
              <w:t xml:space="preserve">  EN 15200</w:t>
            </w:r>
          </w:p>
        </w:tc>
      </w:tr>
      <w:tr w:rsidR="0043547B" w:rsidRPr="0043547B" w:rsidTr="00CB5DC0">
        <w:trPr>
          <w:trHeight w:val="23"/>
          <w:jc w:val="center"/>
        </w:trPr>
        <w:tc>
          <w:tcPr>
            <w:tcW w:w="1838" w:type="dxa"/>
            <w:tcBorders>
              <w:top w:val="single" w:sz="4" w:space="0" w:color="auto"/>
              <w:left w:val="single" w:sz="18" w:space="0" w:color="auto"/>
              <w:bottom w:val="single" w:sz="4" w:space="0" w:color="auto"/>
              <w:right w:val="single" w:sz="4" w:space="0" w:color="auto"/>
            </w:tcBorders>
            <w:shd w:val="clear" w:color="auto" w:fill="95B3D7" w:themeFill="accent1" w:themeFillTint="99"/>
            <w:vAlign w:val="center"/>
          </w:tcPr>
          <w:p w:rsidR="006D5F73" w:rsidRPr="0043547B" w:rsidRDefault="006D5F73" w:rsidP="002E2445">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auto"/>
          </w:tcPr>
          <w:p w:rsidR="006D5F73" w:rsidRPr="0043547B" w:rsidRDefault="006D5F73" w:rsidP="002E2445">
            <w:pPr>
              <w:spacing w:after="0" w:line="240" w:lineRule="auto"/>
              <w:rPr>
                <w:rFonts w:cstheme="minorHAnsi"/>
                <w:sz w:val="24"/>
                <w:szCs w:val="24"/>
              </w:rPr>
            </w:pPr>
            <w:r w:rsidRPr="0043547B">
              <w:rPr>
                <w:rFonts w:cstheme="minorHAnsi"/>
                <w:sz w:val="24"/>
                <w:szCs w:val="24"/>
              </w:rPr>
              <w:t xml:space="preserve">Appareils sanitaires - Cabines de douche multifonctions </w:t>
            </w:r>
          </w:p>
        </w:tc>
      </w:tr>
      <w:tr w:rsidR="0043547B" w:rsidRPr="0043547B" w:rsidTr="00CB5DC0">
        <w:trPr>
          <w:trHeight w:val="860"/>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6D5F73" w:rsidRPr="0043547B" w:rsidRDefault="006D5F73" w:rsidP="002E2445">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tcPr>
          <w:p w:rsidR="006D5F73" w:rsidRPr="0043547B" w:rsidRDefault="006D5F73" w:rsidP="002E2445">
            <w:pPr>
              <w:spacing w:after="0" w:line="240" w:lineRule="auto"/>
              <w:jc w:val="both"/>
              <w:rPr>
                <w:rFonts w:cstheme="minorHAnsi"/>
                <w:sz w:val="24"/>
                <w:szCs w:val="24"/>
              </w:rPr>
            </w:pPr>
            <w:r w:rsidRPr="0043547B">
              <w:rPr>
                <w:rFonts w:cstheme="minorHAnsi"/>
                <w:sz w:val="24"/>
                <w:szCs w:val="24"/>
              </w:rPr>
              <w:t>La présente norme spécifie les prescriptions et les méthodes d’essai pour les cabines de douche multifonctions</w:t>
            </w:r>
            <w:r w:rsidR="00C27A67">
              <w:rPr>
                <w:rFonts w:cstheme="minorHAnsi"/>
                <w:sz w:val="24"/>
                <w:szCs w:val="24"/>
              </w:rPr>
              <w:t xml:space="preserve"> </w:t>
            </w:r>
            <w:r w:rsidRPr="0043547B">
              <w:rPr>
                <w:rFonts w:cstheme="minorHAnsi"/>
                <w:sz w:val="24"/>
                <w:szCs w:val="24"/>
              </w:rPr>
              <w:t>(«cabines» dans la suite du document) à usage domestique.</w:t>
            </w:r>
            <w:r w:rsidRPr="0043547B">
              <w:rPr>
                <w:rFonts w:cstheme="minorHAnsi"/>
                <w:sz w:val="24"/>
                <w:szCs w:val="24"/>
              </w:rPr>
              <w:br/>
              <w:t>La présente norme ne s’applique pas aux cabines de douche et aux parois de douche.</w:t>
            </w:r>
            <w:r w:rsidRPr="0043547B">
              <w:rPr>
                <w:rFonts w:cstheme="minorHAnsi"/>
                <w:sz w:val="24"/>
                <w:szCs w:val="24"/>
              </w:rPr>
              <w:br/>
            </w:r>
            <w:r w:rsidRPr="002E2445">
              <w:rPr>
                <w:rFonts w:cstheme="minorHAnsi"/>
                <w:b/>
                <w:bCs/>
                <w:i/>
                <w:iCs/>
              </w:rPr>
              <w:t>NOTE</w:t>
            </w:r>
            <w:r w:rsidR="002E2445" w:rsidRPr="002E2445">
              <w:rPr>
                <w:rFonts w:cstheme="minorHAnsi"/>
                <w:b/>
                <w:bCs/>
                <w:i/>
                <w:iCs/>
              </w:rPr>
              <w:t> :</w:t>
            </w:r>
            <w:r w:rsidR="002E2445" w:rsidRPr="002E2445">
              <w:rPr>
                <w:rFonts w:cstheme="minorHAnsi"/>
                <w:i/>
                <w:iCs/>
              </w:rPr>
              <w:t xml:space="preserve"> </w:t>
            </w:r>
            <w:r w:rsidRPr="002E2445">
              <w:rPr>
                <w:rFonts w:cstheme="minorHAnsi"/>
                <w:i/>
                <w:iCs/>
              </w:rPr>
              <w:t xml:space="preserve">Pour les besoins de la présente norme, le terme «à usage domestique» inclut </w:t>
            </w:r>
            <w:r w:rsidRPr="002E2445">
              <w:rPr>
                <w:rFonts w:cstheme="minorHAnsi"/>
                <w:i/>
                <w:iCs/>
              </w:rPr>
              <w:lastRenderedPageBreak/>
              <w:t>l’utilisation dans les hôtels,</w:t>
            </w:r>
            <w:r w:rsidR="00C27A67" w:rsidRPr="002E2445">
              <w:rPr>
                <w:rFonts w:cstheme="minorHAnsi"/>
                <w:i/>
                <w:iCs/>
              </w:rPr>
              <w:t xml:space="preserve"> </w:t>
            </w:r>
            <w:r w:rsidRPr="002E2445">
              <w:rPr>
                <w:rFonts w:cstheme="minorHAnsi"/>
                <w:i/>
                <w:iCs/>
              </w:rPr>
              <w:t>les logements d’étudiants et autres bâtiments similaires, sauf lorsque des dispositions spéciales sont requises, par</w:t>
            </w:r>
            <w:r w:rsidR="002E2445">
              <w:rPr>
                <w:rFonts w:cstheme="minorHAnsi"/>
                <w:i/>
                <w:iCs/>
              </w:rPr>
              <w:t xml:space="preserve"> </w:t>
            </w:r>
            <w:r w:rsidRPr="002E2445">
              <w:rPr>
                <w:rFonts w:cstheme="minorHAnsi"/>
                <w:i/>
                <w:iCs/>
              </w:rPr>
              <w:t>exemple médicales.</w:t>
            </w:r>
          </w:p>
        </w:tc>
      </w:tr>
      <w:tr w:rsidR="0043547B" w:rsidRPr="0043547B" w:rsidTr="00CB5DC0">
        <w:trPr>
          <w:trHeight w:val="23"/>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6D5F73" w:rsidRPr="00C27A67" w:rsidRDefault="006D5F73" w:rsidP="002E2445">
            <w:pPr>
              <w:spacing w:after="0" w:line="240" w:lineRule="auto"/>
              <w:jc w:val="center"/>
              <w:rPr>
                <w:rFonts w:cstheme="minorHAnsi"/>
                <w:b/>
                <w:bCs/>
                <w:sz w:val="24"/>
                <w:szCs w:val="24"/>
              </w:rPr>
            </w:pPr>
            <w:r w:rsidRPr="00C27A67">
              <w:rPr>
                <w:rFonts w:cstheme="minorHAnsi"/>
                <w:b/>
                <w:bCs/>
                <w:sz w:val="24"/>
                <w:szCs w:val="24"/>
              </w:rPr>
              <w:lastRenderedPageBreak/>
              <w:t>Code :</w:t>
            </w:r>
          </w:p>
        </w:tc>
        <w:tc>
          <w:tcPr>
            <w:tcW w:w="7938" w:type="dxa"/>
            <w:tcBorders>
              <w:left w:val="single" w:sz="4" w:space="0" w:color="auto"/>
              <w:bottom w:val="single" w:sz="18" w:space="0" w:color="auto"/>
              <w:right w:val="single" w:sz="18" w:space="0" w:color="auto"/>
            </w:tcBorders>
            <w:shd w:val="clear" w:color="auto" w:fill="C2D69B" w:themeFill="accent3" w:themeFillTint="99"/>
          </w:tcPr>
          <w:p w:rsidR="006D5F73" w:rsidRPr="00C27A67" w:rsidRDefault="006D5F73" w:rsidP="002E2445">
            <w:pPr>
              <w:spacing w:after="0" w:line="240" w:lineRule="auto"/>
              <w:jc w:val="center"/>
              <w:rPr>
                <w:rFonts w:cstheme="minorHAnsi"/>
                <w:b/>
                <w:bCs/>
                <w:sz w:val="24"/>
                <w:szCs w:val="24"/>
              </w:rPr>
            </w:pPr>
            <w:r w:rsidRPr="00C27A67">
              <w:rPr>
                <w:rFonts w:cstheme="minorHAnsi"/>
                <w:b/>
                <w:bCs/>
                <w:sz w:val="24"/>
                <w:szCs w:val="24"/>
              </w:rPr>
              <w:t>NM EN 15636</w:t>
            </w:r>
          </w:p>
        </w:tc>
      </w:tr>
      <w:tr w:rsidR="0043547B" w:rsidRPr="0043547B" w:rsidTr="002E2445">
        <w:trPr>
          <w:trHeight w:val="23"/>
          <w:jc w:val="center"/>
        </w:trPr>
        <w:tc>
          <w:tcPr>
            <w:tcW w:w="1838" w:type="dxa"/>
            <w:tcBorders>
              <w:top w:val="single" w:sz="18" w:space="0" w:color="auto"/>
              <w:left w:val="single" w:sz="18" w:space="0" w:color="auto"/>
              <w:bottom w:val="single" w:sz="4" w:space="0" w:color="auto"/>
              <w:right w:val="single" w:sz="4" w:space="0" w:color="auto"/>
            </w:tcBorders>
            <w:shd w:val="clear" w:color="auto" w:fill="FDFBA9"/>
            <w:vAlign w:val="center"/>
          </w:tcPr>
          <w:p w:rsidR="006D5F73" w:rsidRPr="0043547B" w:rsidRDefault="006D5F73" w:rsidP="002E2445">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DFBA9"/>
            <w:vAlign w:val="center"/>
          </w:tcPr>
          <w:p w:rsidR="006D5F73" w:rsidRPr="00C27A67" w:rsidRDefault="006D5F73" w:rsidP="002E2445">
            <w:pPr>
              <w:spacing w:after="0" w:line="240" w:lineRule="auto"/>
              <w:jc w:val="center"/>
              <w:rPr>
                <w:rFonts w:cstheme="minorHAnsi"/>
                <w:b/>
                <w:bCs/>
                <w:sz w:val="24"/>
                <w:szCs w:val="24"/>
              </w:rPr>
            </w:pPr>
            <w:r w:rsidRPr="00C27A67">
              <w:rPr>
                <w:rFonts w:cstheme="minorHAnsi"/>
                <w:b/>
                <w:bCs/>
                <w:sz w:val="24"/>
                <w:szCs w:val="24"/>
              </w:rPr>
              <w:t xml:space="preserve">  EN 15636</w:t>
            </w:r>
          </w:p>
        </w:tc>
      </w:tr>
      <w:tr w:rsidR="0043547B" w:rsidRPr="0043547B" w:rsidTr="002E2445">
        <w:trPr>
          <w:trHeight w:val="769"/>
          <w:jc w:val="center"/>
        </w:trPr>
        <w:tc>
          <w:tcPr>
            <w:tcW w:w="1838" w:type="dxa"/>
            <w:tcBorders>
              <w:top w:val="single" w:sz="4" w:space="0" w:color="auto"/>
              <w:left w:val="single" w:sz="18" w:space="0" w:color="auto"/>
              <w:bottom w:val="single" w:sz="4" w:space="0" w:color="auto"/>
              <w:right w:val="single" w:sz="4" w:space="0" w:color="auto"/>
            </w:tcBorders>
            <w:shd w:val="clear" w:color="auto" w:fill="95B3D7" w:themeFill="accent1" w:themeFillTint="99"/>
            <w:vAlign w:val="center"/>
          </w:tcPr>
          <w:p w:rsidR="006D5F73" w:rsidRPr="0043547B" w:rsidRDefault="006D5F73" w:rsidP="002E2445">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auto"/>
          </w:tcPr>
          <w:p w:rsidR="006D5F73" w:rsidRPr="0043547B" w:rsidRDefault="006D5F73" w:rsidP="002E2445">
            <w:pPr>
              <w:spacing w:after="0" w:line="240" w:lineRule="auto"/>
              <w:rPr>
                <w:rFonts w:cstheme="minorHAnsi"/>
                <w:sz w:val="24"/>
                <w:szCs w:val="24"/>
              </w:rPr>
            </w:pPr>
            <w:r w:rsidRPr="0043547B">
              <w:rPr>
                <w:rFonts w:cstheme="minorHAnsi"/>
                <w:sz w:val="24"/>
                <w:szCs w:val="24"/>
              </w:rPr>
              <w:t xml:space="preserve">Appareils sanitaires - Receveurs de douche en feuilles d'acrylique extrudées modifiées choc - Prescriptions et méthodes d'essai </w:t>
            </w:r>
          </w:p>
        </w:tc>
      </w:tr>
      <w:tr w:rsidR="0043547B" w:rsidRPr="0043547B" w:rsidTr="00CB5DC0">
        <w:trPr>
          <w:trHeight w:val="860"/>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6D5F73" w:rsidRPr="0043547B" w:rsidRDefault="006D5F73" w:rsidP="002E2445">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tcPr>
          <w:p w:rsidR="002E2445" w:rsidRDefault="006D5F73" w:rsidP="002E2445">
            <w:pPr>
              <w:spacing w:after="0" w:line="240" w:lineRule="auto"/>
              <w:jc w:val="both"/>
              <w:rPr>
                <w:rFonts w:cstheme="minorHAnsi"/>
                <w:sz w:val="24"/>
                <w:szCs w:val="24"/>
              </w:rPr>
            </w:pPr>
            <w:r w:rsidRPr="0043547B">
              <w:rPr>
                <w:rFonts w:cstheme="minorHAnsi"/>
                <w:sz w:val="24"/>
                <w:szCs w:val="24"/>
              </w:rPr>
              <w:t>La présente Norme européenne spécifie les prescriptions concernant les receveurs de douche à usage domestique</w:t>
            </w:r>
            <w:r w:rsidR="00CA6BDF">
              <w:rPr>
                <w:rFonts w:cstheme="minorHAnsi"/>
                <w:sz w:val="24"/>
                <w:szCs w:val="24"/>
              </w:rPr>
              <w:t xml:space="preserve"> </w:t>
            </w:r>
            <w:r w:rsidRPr="0043547B">
              <w:rPr>
                <w:rFonts w:cstheme="minorHAnsi"/>
                <w:sz w:val="24"/>
                <w:szCs w:val="24"/>
              </w:rPr>
              <w:t>constitués de feuilles d’acrylique extrudées modifiées choc conformes à l’EN 13558, dans le but de s’assurer</w:t>
            </w:r>
            <w:r w:rsidRPr="0043547B">
              <w:rPr>
                <w:rFonts w:cstheme="minorHAnsi"/>
                <w:sz w:val="24"/>
                <w:szCs w:val="24"/>
              </w:rPr>
              <w:br/>
              <w:t>que le produit, lorsqu’il est installé conformément aux instructions du fabricant, fournit une performance satisfaisante en cours d’utilisation.</w:t>
            </w:r>
          </w:p>
          <w:p w:rsidR="006D5F73" w:rsidRPr="0043547B" w:rsidRDefault="006D5F73" w:rsidP="002E2445">
            <w:pPr>
              <w:spacing w:after="0" w:line="240" w:lineRule="auto"/>
              <w:jc w:val="both"/>
              <w:rPr>
                <w:rFonts w:cstheme="minorHAnsi"/>
                <w:sz w:val="24"/>
                <w:szCs w:val="24"/>
              </w:rPr>
            </w:pPr>
            <w:r w:rsidRPr="0043547B">
              <w:rPr>
                <w:rFonts w:cstheme="minorHAnsi"/>
                <w:sz w:val="24"/>
                <w:szCs w:val="24"/>
              </w:rPr>
              <w:t>La présente norme est applicable aux receveurs de douche de toutes tailles et de toutes formes.</w:t>
            </w:r>
          </w:p>
        </w:tc>
      </w:tr>
      <w:tr w:rsidR="0043547B" w:rsidRPr="0043547B" w:rsidTr="00CB5DC0">
        <w:trPr>
          <w:trHeight w:val="23"/>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6D5F73" w:rsidRPr="0043547B" w:rsidRDefault="006D5F73" w:rsidP="002E2445">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left w:val="single" w:sz="4" w:space="0" w:color="auto"/>
              <w:bottom w:val="single" w:sz="18" w:space="0" w:color="auto"/>
              <w:right w:val="single" w:sz="18" w:space="0" w:color="auto"/>
            </w:tcBorders>
            <w:shd w:val="clear" w:color="auto" w:fill="C2D69B" w:themeFill="accent3" w:themeFillTint="99"/>
          </w:tcPr>
          <w:p w:rsidR="006D5F73" w:rsidRPr="00C27A67" w:rsidRDefault="006D5F73" w:rsidP="002E2445">
            <w:pPr>
              <w:spacing w:after="0" w:line="240" w:lineRule="auto"/>
              <w:jc w:val="center"/>
              <w:rPr>
                <w:rFonts w:cstheme="minorHAnsi"/>
                <w:b/>
                <w:bCs/>
                <w:sz w:val="24"/>
                <w:szCs w:val="24"/>
              </w:rPr>
            </w:pPr>
            <w:r w:rsidRPr="00C27A67">
              <w:rPr>
                <w:rFonts w:cstheme="minorHAnsi"/>
                <w:b/>
                <w:bCs/>
                <w:sz w:val="24"/>
                <w:szCs w:val="24"/>
              </w:rPr>
              <w:t>NM EN 15719</w:t>
            </w:r>
          </w:p>
        </w:tc>
      </w:tr>
      <w:tr w:rsidR="0043547B" w:rsidRPr="0043547B" w:rsidTr="00CB5DC0">
        <w:trPr>
          <w:trHeight w:val="23"/>
          <w:jc w:val="center"/>
        </w:trPr>
        <w:tc>
          <w:tcPr>
            <w:tcW w:w="1838" w:type="dxa"/>
            <w:tcBorders>
              <w:top w:val="single" w:sz="18" w:space="0" w:color="auto"/>
              <w:left w:val="single" w:sz="18" w:space="0" w:color="auto"/>
              <w:bottom w:val="single" w:sz="4" w:space="0" w:color="auto"/>
              <w:right w:val="single" w:sz="4" w:space="0" w:color="auto"/>
            </w:tcBorders>
            <w:shd w:val="clear" w:color="auto" w:fill="FDFBA9"/>
            <w:vAlign w:val="center"/>
          </w:tcPr>
          <w:p w:rsidR="006D5F73" w:rsidRPr="0043547B" w:rsidRDefault="006D5F73" w:rsidP="002E2445">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DFBA9"/>
            <w:vAlign w:val="center"/>
          </w:tcPr>
          <w:p w:rsidR="006D5F73" w:rsidRPr="00C27A67" w:rsidRDefault="006D5F73" w:rsidP="002E2445">
            <w:pPr>
              <w:spacing w:after="0" w:line="240" w:lineRule="auto"/>
              <w:jc w:val="center"/>
              <w:rPr>
                <w:rFonts w:cstheme="minorHAnsi"/>
                <w:b/>
                <w:bCs/>
                <w:sz w:val="24"/>
                <w:szCs w:val="24"/>
              </w:rPr>
            </w:pPr>
            <w:r w:rsidRPr="00C27A67">
              <w:rPr>
                <w:rFonts w:cstheme="minorHAnsi"/>
                <w:b/>
                <w:bCs/>
                <w:sz w:val="24"/>
                <w:szCs w:val="24"/>
              </w:rPr>
              <w:t xml:space="preserve">  EN 15719</w:t>
            </w:r>
          </w:p>
        </w:tc>
      </w:tr>
      <w:tr w:rsidR="0043547B" w:rsidRPr="0043547B" w:rsidTr="00CB5DC0">
        <w:trPr>
          <w:trHeight w:val="663"/>
          <w:jc w:val="center"/>
        </w:trPr>
        <w:tc>
          <w:tcPr>
            <w:tcW w:w="1838" w:type="dxa"/>
            <w:tcBorders>
              <w:top w:val="single" w:sz="4" w:space="0" w:color="auto"/>
              <w:left w:val="single" w:sz="18" w:space="0" w:color="auto"/>
              <w:bottom w:val="single" w:sz="4" w:space="0" w:color="auto"/>
              <w:right w:val="single" w:sz="4" w:space="0" w:color="auto"/>
            </w:tcBorders>
            <w:shd w:val="clear" w:color="auto" w:fill="95B3D7" w:themeFill="accent1" w:themeFillTint="99"/>
            <w:vAlign w:val="center"/>
          </w:tcPr>
          <w:p w:rsidR="006D5F73" w:rsidRPr="0043547B" w:rsidRDefault="006D5F73" w:rsidP="002E2445">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auto"/>
          </w:tcPr>
          <w:p w:rsidR="006D5F73" w:rsidRPr="0043547B" w:rsidRDefault="006D5F73" w:rsidP="002E2445">
            <w:pPr>
              <w:spacing w:after="0" w:line="240" w:lineRule="auto"/>
              <w:rPr>
                <w:rFonts w:cstheme="minorHAnsi"/>
                <w:sz w:val="24"/>
                <w:szCs w:val="24"/>
              </w:rPr>
            </w:pPr>
            <w:r w:rsidRPr="0043547B">
              <w:rPr>
                <w:rFonts w:cstheme="minorHAnsi"/>
                <w:sz w:val="24"/>
                <w:szCs w:val="24"/>
              </w:rPr>
              <w:t xml:space="preserve">Appareils sanitaires - Baignoires en feuilles coextrudées ABS/acrylique modifié choc - Prescriptions et méthodes d'essai </w:t>
            </w:r>
          </w:p>
        </w:tc>
      </w:tr>
      <w:tr w:rsidR="0043547B" w:rsidRPr="0043547B" w:rsidTr="00CB5DC0">
        <w:trPr>
          <w:trHeight w:val="860"/>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6D5F73" w:rsidRPr="0043547B" w:rsidRDefault="006D5F73" w:rsidP="002E2445">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tcPr>
          <w:p w:rsidR="002E2445" w:rsidRDefault="006D5F73" w:rsidP="002E2445">
            <w:pPr>
              <w:spacing w:after="0" w:line="240" w:lineRule="auto"/>
              <w:jc w:val="both"/>
              <w:rPr>
                <w:rFonts w:cstheme="minorHAnsi"/>
                <w:sz w:val="24"/>
                <w:szCs w:val="24"/>
              </w:rPr>
            </w:pPr>
            <w:r w:rsidRPr="0043547B">
              <w:rPr>
                <w:rFonts w:cstheme="minorHAnsi"/>
                <w:sz w:val="24"/>
                <w:szCs w:val="24"/>
              </w:rPr>
              <w:t>La présente Norme européenne détermine les exigences relatives aux baignoires à usage domestique</w:t>
            </w:r>
            <w:r w:rsidR="00CA6BDF">
              <w:rPr>
                <w:rFonts w:cstheme="minorHAnsi"/>
                <w:sz w:val="24"/>
                <w:szCs w:val="24"/>
              </w:rPr>
              <w:t xml:space="preserve"> </w:t>
            </w:r>
            <w:r w:rsidRPr="0043547B">
              <w:rPr>
                <w:rFonts w:cstheme="minorHAnsi"/>
                <w:sz w:val="24"/>
                <w:szCs w:val="24"/>
              </w:rPr>
              <w:t>fabriquées à partir de feuilles coextrudées en ABS/Acrylique modifié choc conformes à l’EN 13559, l’objectif</w:t>
            </w:r>
            <w:r w:rsidR="00CA6BDF">
              <w:rPr>
                <w:rFonts w:cstheme="minorHAnsi"/>
                <w:sz w:val="24"/>
                <w:szCs w:val="24"/>
              </w:rPr>
              <w:t xml:space="preserve"> </w:t>
            </w:r>
            <w:r w:rsidRPr="0043547B">
              <w:rPr>
                <w:rFonts w:cstheme="minorHAnsi"/>
                <w:sz w:val="24"/>
                <w:szCs w:val="24"/>
              </w:rPr>
              <w:t>étant de garantir que le produit installé conformément aux instructions du fabricant donne des performances</w:t>
            </w:r>
            <w:r w:rsidR="00CA6BDF">
              <w:rPr>
                <w:rFonts w:cstheme="minorHAnsi"/>
                <w:sz w:val="24"/>
                <w:szCs w:val="24"/>
              </w:rPr>
              <w:t xml:space="preserve"> </w:t>
            </w:r>
            <w:r w:rsidRPr="0043547B">
              <w:rPr>
                <w:rFonts w:cstheme="minorHAnsi"/>
                <w:sz w:val="24"/>
                <w:szCs w:val="24"/>
              </w:rPr>
              <w:t>satisfaisantes à l’usage.</w:t>
            </w:r>
          </w:p>
          <w:p w:rsidR="006D5F73" w:rsidRPr="0043547B" w:rsidRDefault="006D5F73" w:rsidP="002E2445">
            <w:pPr>
              <w:spacing w:after="0" w:line="240" w:lineRule="auto"/>
              <w:jc w:val="both"/>
              <w:rPr>
                <w:rFonts w:cstheme="minorHAnsi"/>
                <w:sz w:val="24"/>
                <w:szCs w:val="24"/>
              </w:rPr>
            </w:pPr>
            <w:r w:rsidRPr="0043547B">
              <w:rPr>
                <w:rFonts w:cstheme="minorHAnsi"/>
                <w:sz w:val="24"/>
                <w:szCs w:val="24"/>
              </w:rPr>
              <w:t>La présente Norme européenne est applicable à toutes les dimensions et formes de baignoires.</w:t>
            </w:r>
          </w:p>
        </w:tc>
      </w:tr>
      <w:tr w:rsidR="0043547B" w:rsidRPr="0043547B" w:rsidTr="00CB5DC0">
        <w:trPr>
          <w:trHeight w:val="116"/>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6D5F73" w:rsidRPr="0043547B" w:rsidRDefault="006D5F73" w:rsidP="002E2445">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left w:val="single" w:sz="4" w:space="0" w:color="auto"/>
              <w:bottom w:val="single" w:sz="18" w:space="0" w:color="auto"/>
              <w:right w:val="single" w:sz="18" w:space="0" w:color="auto"/>
            </w:tcBorders>
            <w:shd w:val="clear" w:color="auto" w:fill="C2D69B" w:themeFill="accent3" w:themeFillTint="99"/>
          </w:tcPr>
          <w:p w:rsidR="006D5F73" w:rsidRPr="00C27A67" w:rsidRDefault="006D5F73" w:rsidP="002E2445">
            <w:pPr>
              <w:spacing w:after="0" w:line="240" w:lineRule="auto"/>
              <w:jc w:val="center"/>
              <w:rPr>
                <w:rFonts w:cstheme="minorHAnsi"/>
                <w:b/>
                <w:bCs/>
                <w:sz w:val="24"/>
                <w:szCs w:val="24"/>
              </w:rPr>
            </w:pPr>
            <w:r w:rsidRPr="00C27A67">
              <w:rPr>
                <w:rFonts w:cstheme="minorHAnsi"/>
                <w:b/>
                <w:bCs/>
                <w:sz w:val="24"/>
                <w:szCs w:val="24"/>
              </w:rPr>
              <w:t>NM EN 15720</w:t>
            </w:r>
          </w:p>
        </w:tc>
      </w:tr>
      <w:tr w:rsidR="0043547B" w:rsidRPr="0043547B" w:rsidTr="002E2445">
        <w:trPr>
          <w:trHeight w:val="97"/>
          <w:jc w:val="center"/>
        </w:trPr>
        <w:tc>
          <w:tcPr>
            <w:tcW w:w="1838" w:type="dxa"/>
            <w:tcBorders>
              <w:top w:val="single" w:sz="18" w:space="0" w:color="auto"/>
              <w:left w:val="single" w:sz="18" w:space="0" w:color="auto"/>
              <w:bottom w:val="single" w:sz="4" w:space="0" w:color="auto"/>
              <w:right w:val="single" w:sz="4" w:space="0" w:color="auto"/>
            </w:tcBorders>
            <w:shd w:val="clear" w:color="auto" w:fill="FDFBA9"/>
            <w:vAlign w:val="center"/>
          </w:tcPr>
          <w:p w:rsidR="006D5F73" w:rsidRPr="0043547B" w:rsidRDefault="006D5F73" w:rsidP="002E2445">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DFBA9"/>
            <w:vAlign w:val="center"/>
          </w:tcPr>
          <w:p w:rsidR="006D5F73" w:rsidRPr="00C27A67" w:rsidRDefault="006D5F73" w:rsidP="002E2445">
            <w:pPr>
              <w:spacing w:after="0" w:line="240" w:lineRule="auto"/>
              <w:jc w:val="center"/>
              <w:rPr>
                <w:rFonts w:cstheme="minorHAnsi"/>
                <w:b/>
                <w:bCs/>
                <w:sz w:val="24"/>
                <w:szCs w:val="24"/>
              </w:rPr>
            </w:pPr>
            <w:r w:rsidRPr="00C27A67">
              <w:rPr>
                <w:rFonts w:cstheme="minorHAnsi"/>
                <w:b/>
                <w:bCs/>
                <w:sz w:val="24"/>
                <w:szCs w:val="24"/>
              </w:rPr>
              <w:t xml:space="preserve">  EN 15720</w:t>
            </w:r>
          </w:p>
        </w:tc>
      </w:tr>
      <w:tr w:rsidR="0043547B" w:rsidRPr="0043547B" w:rsidTr="002E2445">
        <w:trPr>
          <w:trHeight w:val="666"/>
          <w:jc w:val="center"/>
        </w:trPr>
        <w:tc>
          <w:tcPr>
            <w:tcW w:w="1838" w:type="dxa"/>
            <w:tcBorders>
              <w:top w:val="single" w:sz="4" w:space="0" w:color="auto"/>
              <w:left w:val="single" w:sz="18" w:space="0" w:color="auto"/>
              <w:bottom w:val="single" w:sz="4" w:space="0" w:color="auto"/>
              <w:right w:val="single" w:sz="4" w:space="0" w:color="auto"/>
            </w:tcBorders>
            <w:shd w:val="clear" w:color="auto" w:fill="95B3D7" w:themeFill="accent1" w:themeFillTint="99"/>
            <w:vAlign w:val="center"/>
          </w:tcPr>
          <w:p w:rsidR="006D5F73" w:rsidRPr="0043547B" w:rsidRDefault="006D5F73" w:rsidP="002E2445">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auto"/>
          </w:tcPr>
          <w:p w:rsidR="006D5F73" w:rsidRPr="0043547B" w:rsidRDefault="006D5F73" w:rsidP="002E2445">
            <w:pPr>
              <w:spacing w:after="0" w:line="240" w:lineRule="auto"/>
              <w:rPr>
                <w:rFonts w:cstheme="minorHAnsi"/>
                <w:sz w:val="24"/>
                <w:szCs w:val="24"/>
              </w:rPr>
            </w:pPr>
            <w:r w:rsidRPr="0043547B">
              <w:rPr>
                <w:rFonts w:cstheme="minorHAnsi"/>
                <w:sz w:val="24"/>
                <w:szCs w:val="24"/>
              </w:rPr>
              <w:t xml:space="preserve">Appareils sanitaires - Receveurs de douche en feuilles coextrudées ABS/acrylique modifié choc - Exigences et méthodes d'essai </w:t>
            </w:r>
          </w:p>
        </w:tc>
      </w:tr>
      <w:tr w:rsidR="0043547B" w:rsidRPr="0043547B" w:rsidTr="00CB5DC0">
        <w:trPr>
          <w:trHeight w:val="860"/>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6D5F73" w:rsidRPr="0043547B" w:rsidRDefault="006D5F73" w:rsidP="002E2445">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tcPr>
          <w:p w:rsidR="006D5F73" w:rsidRPr="0043547B" w:rsidRDefault="006D5F73" w:rsidP="002E2445">
            <w:pPr>
              <w:spacing w:after="0" w:line="240" w:lineRule="auto"/>
              <w:jc w:val="both"/>
              <w:rPr>
                <w:rFonts w:cstheme="minorHAnsi"/>
                <w:sz w:val="24"/>
                <w:szCs w:val="24"/>
              </w:rPr>
            </w:pPr>
            <w:r w:rsidRPr="0043547B">
              <w:rPr>
                <w:rFonts w:cstheme="minorHAnsi"/>
                <w:sz w:val="24"/>
                <w:szCs w:val="24"/>
              </w:rPr>
              <w:t>La présente Norme européenne spécifie les prescriptions applicables aux receveurs de douche à usage domestique en feuilles coextrudées ABS/acrylique modifié choc conformes à l'EN 13559 afin de s'assurer qu’une fois le produit installé conformément aux instructions du fabricant ses performances seront satisfaisantes.</w:t>
            </w:r>
            <w:r w:rsidRPr="0043547B">
              <w:rPr>
                <w:rFonts w:cstheme="minorHAnsi"/>
                <w:sz w:val="24"/>
                <w:szCs w:val="24"/>
              </w:rPr>
              <w:br/>
              <w:t>La présente Norme européenne est applicable aux receveurs de douche de toutes les dimensions et de toutes</w:t>
            </w:r>
            <w:r w:rsidR="002E2445">
              <w:rPr>
                <w:rFonts w:cstheme="minorHAnsi"/>
                <w:sz w:val="24"/>
                <w:szCs w:val="24"/>
              </w:rPr>
              <w:t xml:space="preserve"> </w:t>
            </w:r>
            <w:r w:rsidRPr="0043547B">
              <w:rPr>
                <w:rFonts w:cstheme="minorHAnsi"/>
                <w:sz w:val="24"/>
                <w:szCs w:val="24"/>
              </w:rPr>
              <w:t>les formes.</w:t>
            </w:r>
          </w:p>
        </w:tc>
      </w:tr>
      <w:tr w:rsidR="0043547B" w:rsidRPr="0043547B" w:rsidTr="00CB5DC0">
        <w:trPr>
          <w:trHeight w:val="23"/>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6D5F73" w:rsidRPr="0043547B" w:rsidRDefault="006D5F73" w:rsidP="002E2445">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left w:val="single" w:sz="4" w:space="0" w:color="auto"/>
              <w:bottom w:val="single" w:sz="18" w:space="0" w:color="auto"/>
              <w:right w:val="single" w:sz="18" w:space="0" w:color="auto"/>
            </w:tcBorders>
            <w:shd w:val="clear" w:color="auto" w:fill="C2D69B" w:themeFill="accent3" w:themeFillTint="99"/>
          </w:tcPr>
          <w:p w:rsidR="006D5F73" w:rsidRPr="00C27A67" w:rsidRDefault="006D5F73" w:rsidP="002E2445">
            <w:pPr>
              <w:spacing w:after="0" w:line="240" w:lineRule="auto"/>
              <w:jc w:val="center"/>
              <w:rPr>
                <w:rFonts w:cstheme="minorHAnsi"/>
                <w:b/>
                <w:bCs/>
                <w:sz w:val="24"/>
                <w:szCs w:val="24"/>
              </w:rPr>
            </w:pPr>
            <w:r w:rsidRPr="00C27A67">
              <w:rPr>
                <w:rFonts w:cstheme="minorHAnsi"/>
                <w:b/>
                <w:bCs/>
                <w:sz w:val="24"/>
                <w:szCs w:val="24"/>
              </w:rPr>
              <w:t>NM EN 16145</w:t>
            </w:r>
          </w:p>
        </w:tc>
      </w:tr>
      <w:tr w:rsidR="0043547B" w:rsidRPr="0043547B" w:rsidTr="002E2445">
        <w:trPr>
          <w:trHeight w:val="183"/>
          <w:jc w:val="center"/>
        </w:trPr>
        <w:tc>
          <w:tcPr>
            <w:tcW w:w="1838" w:type="dxa"/>
            <w:tcBorders>
              <w:top w:val="single" w:sz="18" w:space="0" w:color="auto"/>
              <w:left w:val="single" w:sz="18" w:space="0" w:color="auto"/>
              <w:bottom w:val="single" w:sz="4" w:space="0" w:color="auto"/>
              <w:right w:val="single" w:sz="4" w:space="0" w:color="auto"/>
            </w:tcBorders>
            <w:shd w:val="clear" w:color="auto" w:fill="FDFBA9"/>
            <w:vAlign w:val="center"/>
          </w:tcPr>
          <w:p w:rsidR="006D5F73" w:rsidRPr="0043547B" w:rsidRDefault="006D5F73" w:rsidP="002E2445">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DFBA9"/>
            <w:vAlign w:val="center"/>
          </w:tcPr>
          <w:p w:rsidR="006D5F73" w:rsidRPr="00C27A67" w:rsidRDefault="006D5F73" w:rsidP="002E2445">
            <w:pPr>
              <w:spacing w:after="0" w:line="240" w:lineRule="auto"/>
              <w:jc w:val="center"/>
              <w:rPr>
                <w:rFonts w:cstheme="minorHAnsi"/>
                <w:b/>
                <w:bCs/>
                <w:sz w:val="24"/>
                <w:szCs w:val="24"/>
              </w:rPr>
            </w:pPr>
            <w:r w:rsidRPr="00C27A67">
              <w:rPr>
                <w:rFonts w:cstheme="minorHAnsi"/>
                <w:b/>
                <w:bCs/>
                <w:sz w:val="24"/>
                <w:szCs w:val="24"/>
              </w:rPr>
              <w:t xml:space="preserve">  EN 16145</w:t>
            </w:r>
          </w:p>
        </w:tc>
      </w:tr>
      <w:tr w:rsidR="0043547B" w:rsidRPr="0043547B" w:rsidTr="002E2445">
        <w:trPr>
          <w:trHeight w:val="678"/>
          <w:jc w:val="center"/>
        </w:trPr>
        <w:tc>
          <w:tcPr>
            <w:tcW w:w="1838" w:type="dxa"/>
            <w:tcBorders>
              <w:top w:val="single" w:sz="4" w:space="0" w:color="auto"/>
              <w:left w:val="single" w:sz="18" w:space="0" w:color="auto"/>
              <w:bottom w:val="single" w:sz="4" w:space="0" w:color="auto"/>
              <w:right w:val="single" w:sz="4" w:space="0" w:color="auto"/>
            </w:tcBorders>
            <w:shd w:val="clear" w:color="auto" w:fill="95B3D7" w:themeFill="accent1" w:themeFillTint="99"/>
            <w:vAlign w:val="center"/>
          </w:tcPr>
          <w:p w:rsidR="006D5F73" w:rsidRPr="0043547B" w:rsidRDefault="006D5F73" w:rsidP="002E2445">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auto"/>
          </w:tcPr>
          <w:p w:rsidR="006D5F73" w:rsidRPr="0043547B" w:rsidRDefault="006D5F73" w:rsidP="002E2445">
            <w:pPr>
              <w:spacing w:after="0" w:line="240" w:lineRule="auto"/>
              <w:rPr>
                <w:rFonts w:cstheme="minorHAnsi"/>
                <w:sz w:val="24"/>
                <w:szCs w:val="24"/>
              </w:rPr>
            </w:pPr>
            <w:r w:rsidRPr="0043547B">
              <w:rPr>
                <w:rFonts w:cstheme="minorHAnsi"/>
                <w:sz w:val="24"/>
                <w:szCs w:val="24"/>
              </w:rPr>
              <w:t xml:space="preserve">Robinetterie sanitaire - Douchettes extractibles pour mitigeurs d'éviers et de lavabos - Spécifications techniques générales </w:t>
            </w:r>
          </w:p>
        </w:tc>
      </w:tr>
      <w:tr w:rsidR="0043547B" w:rsidRPr="0043547B" w:rsidTr="00CB5DC0">
        <w:trPr>
          <w:trHeight w:val="860"/>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6D5F73" w:rsidRPr="0043547B" w:rsidRDefault="006D5F73" w:rsidP="002E2445">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tcPr>
          <w:p w:rsidR="002E2445" w:rsidRDefault="006D5F73" w:rsidP="002E2445">
            <w:pPr>
              <w:spacing w:after="0" w:line="240" w:lineRule="auto"/>
              <w:jc w:val="both"/>
              <w:rPr>
                <w:rFonts w:cstheme="minorHAnsi"/>
                <w:sz w:val="24"/>
                <w:szCs w:val="24"/>
              </w:rPr>
            </w:pPr>
            <w:r w:rsidRPr="0043547B">
              <w:rPr>
                <w:rFonts w:cstheme="minorHAnsi"/>
                <w:sz w:val="24"/>
                <w:szCs w:val="24"/>
              </w:rPr>
              <w:t>La présente Norme européenne prescrit :</w:t>
            </w:r>
          </w:p>
          <w:p w:rsidR="002E2445" w:rsidRDefault="006D5F73" w:rsidP="002E2445">
            <w:pPr>
              <w:spacing w:after="0" w:line="240" w:lineRule="auto"/>
              <w:jc w:val="both"/>
              <w:rPr>
                <w:rFonts w:cstheme="minorHAnsi"/>
                <w:sz w:val="24"/>
                <w:szCs w:val="24"/>
              </w:rPr>
            </w:pPr>
            <w:r w:rsidRPr="0043547B">
              <w:rPr>
                <w:rFonts w:cstheme="minorHAnsi"/>
                <w:sz w:val="24"/>
                <w:szCs w:val="24"/>
              </w:rPr>
              <w:t>— les caractéristiques dimensionnelles, d’étanchéité, de comportement mécanique, hydrauliques et acoustiques</w:t>
            </w:r>
            <w:r w:rsidR="00CA6BDF">
              <w:rPr>
                <w:rFonts w:cstheme="minorHAnsi"/>
                <w:sz w:val="24"/>
                <w:szCs w:val="24"/>
              </w:rPr>
              <w:t xml:space="preserve"> </w:t>
            </w:r>
            <w:r w:rsidRPr="0043547B">
              <w:rPr>
                <w:rFonts w:cstheme="minorHAnsi"/>
                <w:sz w:val="24"/>
                <w:szCs w:val="24"/>
              </w:rPr>
              <w:t>auxquelles doivent répondre les douchettes extractibles avec ou sans sélecteur de jet ;</w:t>
            </w:r>
          </w:p>
          <w:p w:rsidR="006D5F73" w:rsidRPr="0043547B" w:rsidRDefault="006D5F73" w:rsidP="002E2445">
            <w:pPr>
              <w:spacing w:after="0" w:line="240" w:lineRule="auto"/>
              <w:jc w:val="both"/>
              <w:rPr>
                <w:rFonts w:cstheme="minorHAnsi"/>
                <w:sz w:val="24"/>
                <w:szCs w:val="24"/>
              </w:rPr>
            </w:pPr>
            <w:r w:rsidRPr="0043547B">
              <w:rPr>
                <w:rFonts w:cstheme="minorHAnsi"/>
                <w:sz w:val="24"/>
                <w:szCs w:val="24"/>
              </w:rPr>
              <w:t>— les modes opératoires d’essai permettant de contrôler ces caractéristiques.</w:t>
            </w:r>
            <w:r w:rsidRPr="0043547B">
              <w:rPr>
                <w:rFonts w:cstheme="minorHAnsi"/>
                <w:sz w:val="24"/>
                <w:szCs w:val="24"/>
              </w:rPr>
              <w:br/>
              <w:t>Elle s’applique aux douchettes extractibles constituées de tout matériau, destinées à équiper et à compléter les</w:t>
            </w:r>
            <w:r w:rsidR="00CA6BDF">
              <w:rPr>
                <w:rFonts w:cstheme="minorHAnsi"/>
                <w:sz w:val="24"/>
                <w:szCs w:val="24"/>
              </w:rPr>
              <w:t xml:space="preserve"> </w:t>
            </w:r>
            <w:r w:rsidRPr="0043547B">
              <w:rPr>
                <w:rFonts w:cstheme="minorHAnsi"/>
                <w:sz w:val="24"/>
                <w:szCs w:val="24"/>
              </w:rPr>
              <w:t xml:space="preserve">robinetteries sanitaires pour éviers et </w:t>
            </w:r>
            <w:r w:rsidRPr="0043547B">
              <w:rPr>
                <w:rFonts w:cstheme="minorHAnsi"/>
                <w:sz w:val="24"/>
                <w:szCs w:val="24"/>
              </w:rPr>
              <w:lastRenderedPageBreak/>
              <w:t>lavabos à usage culinaire ou pour l’hygiène corporelle. Ces douchettes</w:t>
            </w:r>
            <w:r w:rsidRPr="0043547B">
              <w:rPr>
                <w:rFonts w:cstheme="minorHAnsi"/>
                <w:sz w:val="24"/>
                <w:szCs w:val="24"/>
              </w:rPr>
              <w:br/>
              <w:t>extractibles doivent être connectées seulement à l’aval de l’obturateur de la robinetterie.</w:t>
            </w:r>
            <w:r w:rsidRPr="0043547B">
              <w:rPr>
                <w:rFonts w:cstheme="minorHAnsi"/>
                <w:sz w:val="24"/>
                <w:szCs w:val="24"/>
              </w:rPr>
              <w:br/>
              <w:t>Les douchettes extractibles équipées d’un dispositif de fermeture totale raccordé après l’obturateur de la robinetterie ne sont pas couvertes par cette norme. Ces produits seront soumis à l’essai conformément à l’EN 200, l’EN 817, l’EN 1111, l’EN 1286 ou l’EN 1287 (voir [1], [2], [3], [5] et [6]).</w:t>
            </w:r>
          </w:p>
        </w:tc>
      </w:tr>
      <w:tr w:rsidR="0043547B" w:rsidRPr="0043547B" w:rsidTr="00CB5DC0">
        <w:trPr>
          <w:trHeight w:val="93"/>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6D5F73" w:rsidRPr="00C27A67" w:rsidRDefault="006D5F73" w:rsidP="002E2445">
            <w:pPr>
              <w:spacing w:after="0" w:line="240" w:lineRule="auto"/>
              <w:jc w:val="center"/>
              <w:rPr>
                <w:rFonts w:cstheme="minorHAnsi"/>
                <w:b/>
                <w:bCs/>
                <w:sz w:val="24"/>
                <w:szCs w:val="24"/>
              </w:rPr>
            </w:pPr>
            <w:r w:rsidRPr="00C27A67">
              <w:rPr>
                <w:rFonts w:cstheme="minorHAnsi"/>
                <w:b/>
                <w:bCs/>
                <w:sz w:val="24"/>
                <w:szCs w:val="24"/>
              </w:rPr>
              <w:lastRenderedPageBreak/>
              <w:t>Code :</w:t>
            </w:r>
          </w:p>
        </w:tc>
        <w:tc>
          <w:tcPr>
            <w:tcW w:w="7938" w:type="dxa"/>
            <w:tcBorders>
              <w:left w:val="single" w:sz="4" w:space="0" w:color="auto"/>
              <w:bottom w:val="single" w:sz="18" w:space="0" w:color="auto"/>
              <w:right w:val="single" w:sz="18" w:space="0" w:color="auto"/>
            </w:tcBorders>
            <w:shd w:val="clear" w:color="auto" w:fill="C2D69B" w:themeFill="accent3" w:themeFillTint="99"/>
          </w:tcPr>
          <w:p w:rsidR="006D5F73" w:rsidRPr="00C27A67" w:rsidRDefault="006D5F73" w:rsidP="002E2445">
            <w:pPr>
              <w:spacing w:after="0" w:line="240" w:lineRule="auto"/>
              <w:jc w:val="center"/>
              <w:rPr>
                <w:rFonts w:cstheme="minorHAnsi"/>
                <w:b/>
                <w:bCs/>
                <w:sz w:val="24"/>
                <w:szCs w:val="24"/>
              </w:rPr>
            </w:pPr>
            <w:r w:rsidRPr="00C27A67">
              <w:rPr>
                <w:rFonts w:cstheme="minorHAnsi"/>
                <w:b/>
                <w:bCs/>
                <w:sz w:val="24"/>
                <w:szCs w:val="24"/>
              </w:rPr>
              <w:t>NM EN 16146+A1</w:t>
            </w:r>
          </w:p>
        </w:tc>
      </w:tr>
      <w:tr w:rsidR="0043547B" w:rsidRPr="0043547B" w:rsidTr="00CB5DC0">
        <w:trPr>
          <w:trHeight w:val="394"/>
          <w:jc w:val="center"/>
        </w:trPr>
        <w:tc>
          <w:tcPr>
            <w:tcW w:w="1838" w:type="dxa"/>
            <w:tcBorders>
              <w:top w:val="single" w:sz="18" w:space="0" w:color="auto"/>
              <w:left w:val="single" w:sz="18" w:space="0" w:color="auto"/>
              <w:bottom w:val="single" w:sz="4" w:space="0" w:color="auto"/>
              <w:right w:val="single" w:sz="4" w:space="0" w:color="auto"/>
            </w:tcBorders>
            <w:shd w:val="clear" w:color="auto" w:fill="FDFBA9"/>
            <w:vAlign w:val="center"/>
          </w:tcPr>
          <w:p w:rsidR="006D5F73" w:rsidRPr="00C1034A" w:rsidRDefault="006D5F73" w:rsidP="002E2445">
            <w:pPr>
              <w:spacing w:after="0" w:line="240" w:lineRule="auto"/>
              <w:jc w:val="center"/>
              <w:rPr>
                <w:rFonts w:cstheme="minorHAnsi"/>
                <w:b/>
                <w:bCs/>
                <w:sz w:val="24"/>
                <w:szCs w:val="24"/>
              </w:rPr>
            </w:pPr>
            <w:r w:rsidRPr="00C1034A">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DFBA9"/>
            <w:vAlign w:val="center"/>
          </w:tcPr>
          <w:p w:rsidR="006D5F73" w:rsidRPr="00C27A67" w:rsidRDefault="006D5F73" w:rsidP="002E2445">
            <w:pPr>
              <w:spacing w:after="0" w:line="240" w:lineRule="auto"/>
              <w:jc w:val="center"/>
              <w:rPr>
                <w:rFonts w:cstheme="minorHAnsi"/>
                <w:b/>
                <w:bCs/>
                <w:sz w:val="24"/>
                <w:szCs w:val="24"/>
              </w:rPr>
            </w:pPr>
            <w:r w:rsidRPr="00C27A67">
              <w:rPr>
                <w:rFonts w:cstheme="minorHAnsi"/>
                <w:b/>
                <w:bCs/>
                <w:sz w:val="24"/>
                <w:szCs w:val="24"/>
              </w:rPr>
              <w:t xml:space="preserve">  EN 16146+A1</w:t>
            </w:r>
          </w:p>
        </w:tc>
      </w:tr>
      <w:tr w:rsidR="0043547B" w:rsidRPr="0043547B" w:rsidTr="00CB5DC0">
        <w:trPr>
          <w:trHeight w:val="619"/>
          <w:jc w:val="center"/>
        </w:trPr>
        <w:tc>
          <w:tcPr>
            <w:tcW w:w="1838" w:type="dxa"/>
            <w:tcBorders>
              <w:top w:val="single" w:sz="4" w:space="0" w:color="auto"/>
              <w:left w:val="single" w:sz="18" w:space="0" w:color="auto"/>
              <w:bottom w:val="single" w:sz="4" w:space="0" w:color="auto"/>
              <w:right w:val="single" w:sz="4" w:space="0" w:color="auto"/>
            </w:tcBorders>
            <w:shd w:val="clear" w:color="auto" w:fill="95B3D7" w:themeFill="accent1" w:themeFillTint="99"/>
            <w:vAlign w:val="center"/>
          </w:tcPr>
          <w:p w:rsidR="006D5F73" w:rsidRPr="0043547B" w:rsidRDefault="006D5F73" w:rsidP="002E2445">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auto"/>
          </w:tcPr>
          <w:p w:rsidR="006D5F73" w:rsidRPr="0043547B" w:rsidRDefault="006D5F73" w:rsidP="002E2445">
            <w:pPr>
              <w:spacing w:after="0" w:line="240" w:lineRule="auto"/>
              <w:rPr>
                <w:rFonts w:cstheme="minorHAnsi"/>
                <w:sz w:val="24"/>
                <w:szCs w:val="24"/>
              </w:rPr>
            </w:pPr>
            <w:r w:rsidRPr="0043547B">
              <w:rPr>
                <w:rFonts w:cstheme="minorHAnsi"/>
                <w:sz w:val="24"/>
                <w:szCs w:val="24"/>
              </w:rPr>
              <w:t xml:space="preserve">Robinetterie sanitaire - Flexibles de douchettes extractibles pour robinetterie sanitaire pour les systèmes d'alimentation en eau de types 1 et 2 - Spécifications techniques générales </w:t>
            </w:r>
          </w:p>
        </w:tc>
      </w:tr>
      <w:tr w:rsidR="0043547B" w:rsidRPr="0043547B" w:rsidTr="00857530">
        <w:trPr>
          <w:trHeight w:val="3844"/>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6D5F73" w:rsidRPr="0043547B" w:rsidRDefault="006D5F73" w:rsidP="002E2445">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tcPr>
          <w:p w:rsidR="002E2445" w:rsidRDefault="006D5F73" w:rsidP="002E2445">
            <w:pPr>
              <w:spacing w:after="0" w:line="240" w:lineRule="auto"/>
              <w:jc w:val="both"/>
              <w:rPr>
                <w:rFonts w:cstheme="minorHAnsi"/>
                <w:sz w:val="24"/>
                <w:szCs w:val="24"/>
              </w:rPr>
            </w:pPr>
            <w:r w:rsidRPr="0043547B">
              <w:rPr>
                <w:rFonts w:cstheme="minorHAnsi"/>
                <w:sz w:val="24"/>
                <w:szCs w:val="24"/>
              </w:rPr>
              <w:t>La présente Norme européenne s’applique aux flexibles pour douchettes extractibles, quel que soit le matériau utilisé, destinés à équiper les robinetteries sanitaires des éviers et lavabos. Il convient que de tels flexibles ne soient raccordés qu’en aval de l’obturateur de la robinetterie. La robinetterie sera conforme à l’EN 200, l’EN 817, l’EN 1111, l’EN 1286 ou l’EN 1287 (voir [1], [2], [3], [5] et [6]).</w:t>
            </w:r>
          </w:p>
          <w:p w:rsidR="002E2445" w:rsidRDefault="006D5F73" w:rsidP="002E2445">
            <w:pPr>
              <w:spacing w:after="0" w:line="240" w:lineRule="auto"/>
              <w:jc w:val="both"/>
              <w:rPr>
                <w:rFonts w:cstheme="minorHAnsi"/>
                <w:sz w:val="24"/>
                <w:szCs w:val="24"/>
              </w:rPr>
            </w:pPr>
            <w:r w:rsidRPr="0043547B">
              <w:rPr>
                <w:rFonts w:cstheme="minorHAnsi"/>
                <w:sz w:val="24"/>
                <w:szCs w:val="24"/>
              </w:rPr>
              <w:t>Les flexibles destinés à relier la robinetterie sanitaire à l’alimentation en eau ne sont pas couverts par cette norme.</w:t>
            </w:r>
          </w:p>
          <w:p w:rsidR="002E2445" w:rsidRDefault="006D5F73" w:rsidP="002E2445">
            <w:pPr>
              <w:spacing w:after="0" w:line="240" w:lineRule="auto"/>
              <w:jc w:val="both"/>
              <w:rPr>
                <w:rFonts w:cstheme="minorHAnsi"/>
                <w:sz w:val="24"/>
                <w:szCs w:val="24"/>
              </w:rPr>
            </w:pPr>
            <w:r w:rsidRPr="0043547B">
              <w:rPr>
                <w:rFonts w:cstheme="minorHAnsi"/>
                <w:sz w:val="24"/>
                <w:szCs w:val="24"/>
              </w:rPr>
              <w:t>La présente Norme européenne prescrit :</w:t>
            </w:r>
          </w:p>
          <w:p w:rsidR="00465723" w:rsidRDefault="006D5F73" w:rsidP="002E2445">
            <w:pPr>
              <w:spacing w:after="0" w:line="240" w:lineRule="auto"/>
              <w:jc w:val="both"/>
              <w:rPr>
                <w:rFonts w:cstheme="minorHAnsi"/>
                <w:sz w:val="24"/>
                <w:szCs w:val="24"/>
              </w:rPr>
            </w:pPr>
            <w:r w:rsidRPr="0043547B">
              <w:rPr>
                <w:rFonts w:cstheme="minorHAnsi"/>
                <w:sz w:val="24"/>
                <w:szCs w:val="24"/>
              </w:rPr>
              <w:t>— les caractéristiques dimensionnelles, de comportement mécanique et hydraulique auxquelles doivent répondre</w:t>
            </w:r>
            <w:r w:rsidR="00CA6BDF">
              <w:rPr>
                <w:rFonts w:cstheme="minorHAnsi"/>
                <w:sz w:val="24"/>
                <w:szCs w:val="24"/>
              </w:rPr>
              <w:t xml:space="preserve"> </w:t>
            </w:r>
            <w:r w:rsidRPr="0043547B">
              <w:rPr>
                <w:rFonts w:cstheme="minorHAnsi"/>
                <w:sz w:val="24"/>
                <w:szCs w:val="24"/>
              </w:rPr>
              <w:t>les flexibles pour douchettes extractibles ;</w:t>
            </w:r>
          </w:p>
          <w:p w:rsidR="006D5F73" w:rsidRPr="0043547B" w:rsidRDefault="006D5F73" w:rsidP="002E2445">
            <w:pPr>
              <w:spacing w:after="0" w:line="240" w:lineRule="auto"/>
              <w:jc w:val="both"/>
              <w:rPr>
                <w:rFonts w:cstheme="minorHAnsi"/>
                <w:sz w:val="24"/>
                <w:szCs w:val="24"/>
              </w:rPr>
            </w:pPr>
            <w:r w:rsidRPr="0043547B">
              <w:rPr>
                <w:rFonts w:cstheme="minorHAnsi"/>
                <w:sz w:val="24"/>
                <w:szCs w:val="24"/>
              </w:rPr>
              <w:t>— les modes opératoires d’essai permettant de contrôler ces caractéristiques.</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10.4.345</w:t>
            </w:r>
          </w:p>
        </w:tc>
      </w:tr>
      <w:tr w:rsidR="0005262F" w:rsidRPr="0043547B" w:rsidTr="009064A0">
        <w:trPr>
          <w:trHeight w:val="600"/>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05262F" w:rsidRPr="0043547B" w:rsidRDefault="0005262F" w:rsidP="0005262F">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auto" w:fill="auto"/>
            <w:hideMark/>
          </w:tcPr>
          <w:p w:rsidR="0005262F" w:rsidRPr="001E712A" w:rsidRDefault="0005262F" w:rsidP="001E712A">
            <w:pPr>
              <w:spacing w:after="0" w:line="240" w:lineRule="auto"/>
              <w:jc w:val="both"/>
              <w:rPr>
                <w:rFonts w:ascii="Calibri" w:hAnsi="Calibri" w:cs="Calibri"/>
              </w:rPr>
            </w:pPr>
            <w:r w:rsidRPr="001E712A">
              <w:rPr>
                <w:rFonts w:ascii="Calibri" w:hAnsi="Calibri" w:cs="Calibri"/>
              </w:rPr>
              <w:t>Baignoires à usage domestique en matières acryliques - Spécification supplémentaire pour les plages destinées à recevoir la robinetterie</w:t>
            </w:r>
          </w:p>
        </w:tc>
      </w:tr>
      <w:tr w:rsidR="0005262F" w:rsidRPr="0043547B" w:rsidTr="001E712A">
        <w:trPr>
          <w:trHeight w:val="108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05262F" w:rsidRPr="0043547B" w:rsidRDefault="0005262F" w:rsidP="0005262F">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bottom"/>
            <w:hideMark/>
          </w:tcPr>
          <w:p w:rsidR="0005262F" w:rsidRPr="001E712A" w:rsidRDefault="0005262F" w:rsidP="001E712A">
            <w:pPr>
              <w:spacing w:after="0" w:line="240" w:lineRule="auto"/>
              <w:jc w:val="both"/>
              <w:rPr>
                <w:rFonts w:ascii="Calibri" w:hAnsi="Calibri" w:cs="Calibri"/>
              </w:rPr>
            </w:pPr>
            <w:r w:rsidRPr="001E712A">
              <w:rPr>
                <w:rFonts w:ascii="Calibri" w:hAnsi="Calibri" w:cs="Calibri"/>
              </w:rPr>
              <w:t>Le présent document a pour objet de fixer une spécification supplémentaire pour les plages de baignoires en matières acryliques destinées à recevoir la robinetterie.</w:t>
            </w:r>
            <w:r w:rsidRPr="001E712A">
              <w:rPr>
                <w:rFonts w:ascii="Calibri" w:hAnsi="Calibri" w:cs="Calibri"/>
              </w:rPr>
              <w:br/>
              <w:t>L’essai de déformation qui correspond à cette spécification simule l’effet d’une personne sortant de la baignoire et exerçant une force latérale sur le robinet.</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6D5F73" w:rsidRPr="0043547B" w:rsidRDefault="006D5F73" w:rsidP="00465723">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hideMark/>
          </w:tcPr>
          <w:p w:rsidR="006D5F73" w:rsidRPr="00C27A67" w:rsidRDefault="006D5F73" w:rsidP="00465723">
            <w:pPr>
              <w:spacing w:after="0" w:line="240" w:lineRule="auto"/>
              <w:jc w:val="center"/>
              <w:rPr>
                <w:rFonts w:cstheme="minorHAnsi"/>
                <w:b/>
                <w:bCs/>
                <w:sz w:val="24"/>
                <w:szCs w:val="24"/>
              </w:rPr>
            </w:pPr>
            <w:r w:rsidRPr="00C27A67">
              <w:rPr>
                <w:rFonts w:cstheme="minorHAnsi"/>
                <w:b/>
                <w:bCs/>
                <w:sz w:val="24"/>
                <w:szCs w:val="24"/>
              </w:rPr>
              <w:t>NM EN 263</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6D5F73" w:rsidRPr="0043547B" w:rsidRDefault="006D5F73" w:rsidP="00465723">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6D5F73" w:rsidRPr="00C27A67" w:rsidRDefault="006D5F73" w:rsidP="00465723">
            <w:pPr>
              <w:spacing w:after="0" w:line="240" w:lineRule="auto"/>
              <w:jc w:val="center"/>
              <w:rPr>
                <w:rFonts w:cstheme="minorHAnsi"/>
                <w:b/>
                <w:bCs/>
                <w:sz w:val="24"/>
                <w:szCs w:val="24"/>
              </w:rPr>
            </w:pPr>
            <w:r w:rsidRPr="00C27A67">
              <w:rPr>
                <w:rFonts w:cstheme="minorHAnsi"/>
                <w:b/>
                <w:bCs/>
                <w:sz w:val="24"/>
                <w:szCs w:val="24"/>
              </w:rPr>
              <w:t>EN 263</w:t>
            </w:r>
          </w:p>
        </w:tc>
      </w:tr>
      <w:tr w:rsidR="0043547B" w:rsidRPr="0043547B" w:rsidTr="00CB5DC0">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6D5F73" w:rsidRPr="0043547B" w:rsidRDefault="006D5F73" w:rsidP="00465723">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hideMark/>
          </w:tcPr>
          <w:p w:rsidR="006D5F73" w:rsidRPr="0043547B" w:rsidRDefault="006D5F73" w:rsidP="00465723">
            <w:pPr>
              <w:spacing w:after="0" w:line="240" w:lineRule="auto"/>
              <w:rPr>
                <w:rFonts w:cstheme="minorHAnsi"/>
                <w:sz w:val="24"/>
                <w:szCs w:val="24"/>
              </w:rPr>
            </w:pPr>
            <w:r w:rsidRPr="0043547B">
              <w:rPr>
                <w:rFonts w:cstheme="minorHAnsi"/>
                <w:sz w:val="24"/>
                <w:szCs w:val="24"/>
              </w:rPr>
              <w:t xml:space="preserve">Appareils sanitaires - Feuilles d'acrylique réticulées coulées pour baignoires et receveurs de douche à usage domestique </w:t>
            </w:r>
          </w:p>
        </w:tc>
      </w:tr>
      <w:tr w:rsidR="0043547B" w:rsidRPr="0043547B" w:rsidTr="00CB5DC0">
        <w:trPr>
          <w:trHeight w:val="90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6D5F73" w:rsidRPr="0043547B" w:rsidRDefault="006D5F73" w:rsidP="00465723">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hideMark/>
          </w:tcPr>
          <w:p w:rsidR="00465723" w:rsidRDefault="006D5F73" w:rsidP="00465723">
            <w:pPr>
              <w:spacing w:after="0" w:line="240" w:lineRule="auto"/>
              <w:jc w:val="both"/>
              <w:rPr>
                <w:rFonts w:cstheme="minorHAnsi"/>
                <w:sz w:val="24"/>
                <w:szCs w:val="24"/>
              </w:rPr>
            </w:pPr>
            <w:r w:rsidRPr="0043547B">
              <w:rPr>
                <w:rFonts w:cstheme="minorHAnsi"/>
                <w:sz w:val="24"/>
                <w:szCs w:val="24"/>
              </w:rPr>
              <w:t>La présente Norme européenne spécifie les prescriptions et les méthodes d’essai applicables aux feuilles d’acrylique réticulées coulées (appelées ci-après feuilles d’acrylique) à partir desquelles sont fabriqués les baignoires et receveurs de douche à usage domestique.</w:t>
            </w:r>
          </w:p>
          <w:p w:rsidR="006D5F73" w:rsidRPr="0043547B" w:rsidRDefault="006D5F73" w:rsidP="00465723">
            <w:pPr>
              <w:spacing w:after="0" w:line="240" w:lineRule="auto"/>
              <w:jc w:val="both"/>
              <w:rPr>
                <w:rFonts w:cstheme="minorHAnsi"/>
                <w:sz w:val="24"/>
                <w:szCs w:val="24"/>
              </w:rPr>
            </w:pPr>
            <w:r w:rsidRPr="00465723">
              <w:rPr>
                <w:rFonts w:cstheme="minorHAnsi"/>
                <w:b/>
                <w:bCs/>
                <w:i/>
                <w:iCs/>
              </w:rPr>
              <w:t xml:space="preserve">NOTE </w:t>
            </w:r>
            <w:r w:rsidRPr="00465723">
              <w:rPr>
                <w:rFonts w:cstheme="minorHAnsi"/>
                <w:i/>
                <w:iCs/>
              </w:rPr>
              <w:t>: Pour les besoins de la présente norme, l’expression «à usage domestique» inclut les utilisations dans les hôtels, résidences universitaires, hôpitaux et autres bâtiments similaires, excepté lorsque des dispositions médicales particulières sont nécessaires.</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10.4.348</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1074-1</w:t>
            </w:r>
          </w:p>
        </w:tc>
      </w:tr>
      <w:tr w:rsidR="0043547B" w:rsidRPr="0043547B" w:rsidTr="00CB5DC0">
        <w:trPr>
          <w:trHeight w:val="6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Robinetterie pour l’alimentation en eau - Prescriptions d'aptitude à l'emploi et vérifications s'y rapportant - Prescriptions générales </w:t>
            </w:r>
          </w:p>
        </w:tc>
      </w:tr>
      <w:tr w:rsidR="0043547B" w:rsidRPr="0043547B" w:rsidTr="00CB5DC0">
        <w:trPr>
          <w:trHeight w:val="985"/>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Domaine d’application :</w:t>
            </w:r>
          </w:p>
        </w:tc>
        <w:tc>
          <w:tcPr>
            <w:tcW w:w="7938" w:type="dxa"/>
            <w:tcBorders>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La norme établit les prescriptions minimales d'aptitude à l'emploi des appareils de robinetterie à utiliser dans, ou connectés à, des réseaux d'alimentation en eau aériens ou enterrés (voir </w:t>
            </w:r>
            <w:r w:rsidR="00160B21" w:rsidRPr="0043547B">
              <w:rPr>
                <w:rFonts w:eastAsia="Times New Roman" w:cstheme="minorHAnsi"/>
                <w:sz w:val="24"/>
                <w:szCs w:val="24"/>
                <w:lang w:eastAsia="fr-FR"/>
              </w:rPr>
              <w:t xml:space="preserve">NM </w:t>
            </w:r>
            <w:r w:rsidRPr="0043547B">
              <w:rPr>
                <w:rFonts w:eastAsia="Times New Roman" w:cstheme="minorHAnsi"/>
                <w:sz w:val="24"/>
                <w:szCs w:val="24"/>
                <w:lang w:eastAsia="fr-FR"/>
              </w:rPr>
              <w:t>10.4.420) et aussi utilisables pour des réseaux véhiculant des eaux destinées à la consommation humaine.</w:t>
            </w:r>
          </w:p>
          <w:p w:rsidR="00A32960" w:rsidRPr="0043547B" w:rsidRDefault="00A32960" w:rsidP="00A32960">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prescriptions générales de conception, les prescriptions de performance ainsi que les méthodes d'évaluation de la conformité des appareils de robinetterie, quels que soient leur type et leurs matériaux.</w:t>
            </w:r>
          </w:p>
          <w:p w:rsidR="00904E52" w:rsidRPr="0043547B" w:rsidRDefault="00A32960" w:rsidP="00A32960">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Cette partie de La norme établit les prescriptions communes à plusieurs types d'appareils de robinetterie ; elle n'est applicable que lorsqu'elle est citée en référence dans l'une des autres parties de cette norme.</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10.4.349</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1074-2</w:t>
            </w:r>
          </w:p>
        </w:tc>
      </w:tr>
      <w:tr w:rsidR="0043547B" w:rsidRPr="0043547B" w:rsidTr="00CB5DC0">
        <w:trPr>
          <w:trHeight w:val="6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Robinetterie pour l’alimentation en eau - Prescriptions d'aptitude à l'emploi et vérifications s'y rapportant - Robinetterie de sectionnement </w:t>
            </w:r>
          </w:p>
        </w:tc>
      </w:tr>
      <w:tr w:rsidR="0043547B" w:rsidRPr="0043547B" w:rsidTr="00CB5DC0">
        <w:trPr>
          <w:trHeight w:val="2734"/>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center"/>
            <w:hideMark/>
          </w:tcPr>
          <w:p w:rsidR="00CA6BDF" w:rsidRDefault="00904E52" w:rsidP="00CA6BDF">
            <w:pPr>
              <w:spacing w:after="0" w:line="240" w:lineRule="auto"/>
              <w:jc w:val="both"/>
              <w:rPr>
                <w:rFonts w:eastAsia="Times New Roman" w:cstheme="minorHAnsi"/>
                <w:w w:val="95"/>
                <w:sz w:val="24"/>
                <w:szCs w:val="24"/>
                <w:lang w:eastAsia="fr-FR"/>
              </w:rPr>
            </w:pPr>
            <w:r w:rsidRPr="0043547B">
              <w:rPr>
                <w:rFonts w:eastAsia="Times New Roman" w:cstheme="minorHAnsi"/>
                <w:w w:val="95"/>
                <w:sz w:val="24"/>
                <w:szCs w:val="24"/>
                <w:lang w:eastAsia="fr-FR"/>
              </w:rPr>
              <w:t xml:space="preserve">La norme établit les prescriptions minimales d'aptitude à l'emploi des appareils de robinetterie à utiliser dans, ou connectés à, des réseaux d'alimentation en eau aériens ou enterrés (voir </w:t>
            </w:r>
            <w:r w:rsidR="00160B21" w:rsidRPr="0043547B">
              <w:rPr>
                <w:rFonts w:eastAsia="Times New Roman" w:cstheme="minorHAnsi"/>
                <w:w w:val="95"/>
                <w:sz w:val="24"/>
                <w:szCs w:val="24"/>
                <w:lang w:eastAsia="fr-FR"/>
              </w:rPr>
              <w:t xml:space="preserve">NM </w:t>
            </w:r>
            <w:r w:rsidRPr="0043547B">
              <w:rPr>
                <w:rFonts w:eastAsia="Times New Roman" w:cstheme="minorHAnsi"/>
                <w:w w:val="95"/>
                <w:sz w:val="24"/>
                <w:szCs w:val="24"/>
                <w:lang w:eastAsia="fr-FR"/>
              </w:rPr>
              <w:t>10.4.420) et transportant de l'eau destinée à la consommation humaine.</w:t>
            </w:r>
          </w:p>
          <w:p w:rsidR="00904E52" w:rsidRPr="0043547B" w:rsidRDefault="00904E52" w:rsidP="00CA6BDF">
            <w:pPr>
              <w:spacing w:after="0" w:line="240" w:lineRule="auto"/>
              <w:jc w:val="both"/>
              <w:rPr>
                <w:rFonts w:eastAsia="Times New Roman" w:cstheme="minorHAnsi"/>
                <w:w w:val="95"/>
                <w:sz w:val="24"/>
                <w:szCs w:val="24"/>
                <w:lang w:eastAsia="fr-FR"/>
              </w:rPr>
            </w:pPr>
            <w:r w:rsidRPr="0043547B">
              <w:rPr>
                <w:rFonts w:eastAsia="Times New Roman" w:cstheme="minorHAnsi"/>
                <w:w w:val="95"/>
                <w:sz w:val="24"/>
                <w:szCs w:val="24"/>
                <w:lang w:eastAsia="fr-FR"/>
              </w:rPr>
              <w:t>La norme spécifie les prescriptions de conception, les prescriptions de performance, ainsi que les méthodes d'évaluation de la conformité des appareils de robinetterie, quels que soient leur type et leurs matériaux.</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w w:val="95"/>
                <w:sz w:val="24"/>
                <w:szCs w:val="24"/>
                <w:lang w:eastAsia="fr-FR"/>
              </w:rPr>
              <w:t>La norme est applicable en priorité à toute autre norme de produit ou d'essai ; les prescriptions des autres normes s'appliquent seulement lorsque cette norme y fait référence.</w:t>
            </w:r>
            <w:r w:rsidRPr="0043547B">
              <w:rPr>
                <w:rFonts w:eastAsia="Times New Roman" w:cstheme="minorHAnsi"/>
                <w:w w:val="95"/>
                <w:sz w:val="24"/>
                <w:szCs w:val="24"/>
                <w:lang w:eastAsia="fr-FR"/>
              </w:rPr>
              <w:br/>
              <w:t>Cette partie de La norme établit les prescriptions relatives aux robinets de</w:t>
            </w:r>
            <w:r w:rsidRPr="0043547B">
              <w:rPr>
                <w:rFonts w:eastAsia="Times New Roman" w:cstheme="minorHAnsi"/>
                <w:w w:val="95"/>
                <w:sz w:val="24"/>
                <w:szCs w:val="24"/>
                <w:lang w:eastAsia="fr-FR"/>
              </w:rPr>
              <w:br/>
              <w:t>sectionnement de DN inférieur ou égal à DN 2 000 et de PFA 6 bar à PFA 25 bar.</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10.4.350</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1074-3</w:t>
            </w:r>
          </w:p>
        </w:tc>
      </w:tr>
      <w:tr w:rsidR="0043547B" w:rsidRPr="0043547B" w:rsidTr="00CB5DC0">
        <w:trPr>
          <w:trHeight w:val="6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Robinetterie pour l’alimentation en eau - Prescriptions d'aptitude à l'emploi et vérifications s'y rapportant - Clapets de non-retour </w:t>
            </w:r>
          </w:p>
        </w:tc>
      </w:tr>
      <w:tr w:rsidR="0043547B" w:rsidRPr="0043547B" w:rsidTr="00CB5DC0">
        <w:trPr>
          <w:trHeight w:val="843"/>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La norme définit les prescriptions d'aptitude à l'emploi minimales des appareils de robinetterie de type clapets de non-retour à utiliser dans, ou connecté à, des réseaux d'alimentation en eau aériens ou enterrés (voir </w:t>
            </w:r>
            <w:r w:rsidR="00160B21" w:rsidRPr="0043547B">
              <w:rPr>
                <w:rFonts w:eastAsia="Times New Roman" w:cstheme="minorHAnsi"/>
                <w:sz w:val="24"/>
                <w:szCs w:val="24"/>
                <w:lang w:eastAsia="fr-FR"/>
              </w:rPr>
              <w:t xml:space="preserve">NM </w:t>
            </w:r>
            <w:r w:rsidRPr="0043547B">
              <w:rPr>
                <w:rFonts w:eastAsia="Times New Roman" w:cstheme="minorHAnsi"/>
                <w:sz w:val="24"/>
                <w:szCs w:val="24"/>
                <w:lang w:eastAsia="fr-FR"/>
              </w:rPr>
              <w:t>10.4.420), et aussi utilisables pour des réseaux véhiculant de l'eau destinée à l'alimentation humaine.</w:t>
            </w:r>
          </w:p>
          <w:p w:rsidR="002E2CA5" w:rsidRPr="0043547B" w:rsidRDefault="002E2CA5" w:rsidP="002E2CA5">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Cette norme spécifie les prescriptions de conception, les prescriptions de performance, ainsi que les méthodes d'évaluation de la conformité des appareils de robinetterie, de type clapets de non-retour quels que soient leur type et leurs matériaux constitutifs.</w:t>
            </w:r>
          </w:p>
          <w:p w:rsidR="00CA6BDF" w:rsidRDefault="002E2CA5" w:rsidP="00CA6BDF">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Cette norme s'applique en priorité à toute autre norme de produit ou d'essai ; les prescriptions des autres normes s'appliquent seulement lorsque cette norme y fait référence.</w:t>
            </w:r>
          </w:p>
          <w:p w:rsidR="00904E52" w:rsidRPr="0043547B" w:rsidRDefault="002E2CA5" w:rsidP="00CA6BDF">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Cette partie de la norme traite des prescriptions relatives aux clapets de non-retour de DN inférieur ou égal à DN 2 000 et de PFA 6 bar à PFA 25 bar. Elle ne s'applique pas aux clapets de non-retour antipollution qui sont traités par d'autres normes.</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10.4.352</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1074-5</w:t>
            </w:r>
          </w:p>
        </w:tc>
      </w:tr>
      <w:tr w:rsidR="0043547B" w:rsidRPr="0043547B" w:rsidTr="00CB5DC0">
        <w:trPr>
          <w:trHeight w:val="6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Intitulé :</w:t>
            </w:r>
          </w:p>
        </w:tc>
        <w:tc>
          <w:tcPr>
            <w:tcW w:w="7938" w:type="dxa"/>
            <w:tcBorders>
              <w:left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Robinetterie pour alimentation en eau - Prescriptions d'aptitude à l'emploi et vérifications s'y rapportant - Robinets de régulation </w:t>
            </w:r>
          </w:p>
        </w:tc>
      </w:tr>
      <w:tr w:rsidR="0043547B" w:rsidRPr="0043547B" w:rsidTr="00CB5DC0">
        <w:trPr>
          <w:trHeight w:val="2261"/>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La norme prescrit les exigences minimales d'aptitude à l'emploi des appareils de robinetterie de régulation à utiliser dans, ou connectés à, des réseaux d'alimentation en eau aériens ou enterrés (voir </w:t>
            </w:r>
            <w:r w:rsidR="00160B21" w:rsidRPr="0043547B">
              <w:rPr>
                <w:rFonts w:eastAsia="Times New Roman" w:cstheme="minorHAnsi"/>
                <w:sz w:val="24"/>
                <w:szCs w:val="24"/>
                <w:lang w:eastAsia="fr-FR"/>
              </w:rPr>
              <w:t xml:space="preserve">NM </w:t>
            </w:r>
            <w:r w:rsidRPr="0043547B">
              <w:rPr>
                <w:rFonts w:eastAsia="Times New Roman" w:cstheme="minorHAnsi"/>
                <w:sz w:val="24"/>
                <w:szCs w:val="24"/>
                <w:lang w:eastAsia="fr-FR"/>
              </w:rPr>
              <w:t>10.4.420), transportant de l'eau destinée à la consommation humaine.</w:t>
            </w:r>
          </w:p>
          <w:p w:rsidR="00A32960" w:rsidRPr="0043547B" w:rsidRDefault="00904E52" w:rsidP="00A32960">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prescriptions générales de conception, les prescriptions de performance, ainsi que les méthodes d'évaluation de la conformité des appareils de robinetterie de régulation, quels que soient leur type et leurs matériaux.</w:t>
            </w:r>
          </w:p>
          <w:p w:rsidR="00CA6BDF" w:rsidRDefault="00904E52" w:rsidP="00CA6BDF">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est applicable en priorité à toute autre norme de produit ou d'essai ; les prescriptions des autres normes s'appliquent seulement lorsque cette norme y fait référence.</w:t>
            </w:r>
          </w:p>
          <w:p w:rsidR="00A32960" w:rsidRPr="0043547B" w:rsidRDefault="00A32960" w:rsidP="00CA6BDF">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Cette norme établit les prescriptions relatives aux appareils de robinetterie de régulation jusqu'au DN 2000 et pour une gamme de PFA 6 bar à PFA 25 bar.</w:t>
            </w:r>
          </w:p>
          <w:p w:rsidR="00A32960" w:rsidRPr="0043547B" w:rsidRDefault="00A32960" w:rsidP="00A32960">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ne traite pas des performances spécifiques aux accessoires du système de contrôle, intégrés ou non avec les autres composants de ces systèmes de régulation, par exemple capteurs de pression, débitmètres, détecteurs de niveaux, régulateurs, actionneurs motorisés, etc.</w:t>
            </w:r>
          </w:p>
          <w:p w:rsidR="00904E52" w:rsidRPr="0043547B" w:rsidRDefault="00A32960" w:rsidP="00A32960">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appareils de robinetterie de régulation fabriqués selon cette norme ne sont pas destinés à être enterrés.</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6D5F73" w:rsidRPr="0043547B" w:rsidRDefault="006D5F73" w:rsidP="00465723">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hideMark/>
          </w:tcPr>
          <w:p w:rsidR="006D5F73" w:rsidRPr="00C27A67" w:rsidRDefault="006D5F73" w:rsidP="00465723">
            <w:pPr>
              <w:spacing w:after="0" w:line="240" w:lineRule="auto"/>
              <w:jc w:val="center"/>
              <w:rPr>
                <w:rFonts w:cstheme="minorHAnsi"/>
                <w:b/>
                <w:bCs/>
                <w:sz w:val="24"/>
                <w:szCs w:val="24"/>
              </w:rPr>
            </w:pPr>
            <w:r w:rsidRPr="00C27A67">
              <w:rPr>
                <w:rFonts w:cstheme="minorHAnsi"/>
                <w:b/>
                <w:bCs/>
                <w:sz w:val="24"/>
                <w:szCs w:val="24"/>
              </w:rPr>
              <w:t>NM EN 274-1</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6D5F73" w:rsidRPr="0043547B" w:rsidRDefault="006D5F73" w:rsidP="00465723">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6D5F73" w:rsidRPr="00C27A67" w:rsidRDefault="006D5F73" w:rsidP="00465723">
            <w:pPr>
              <w:spacing w:after="0" w:line="240" w:lineRule="auto"/>
              <w:jc w:val="center"/>
              <w:rPr>
                <w:rFonts w:cstheme="minorHAnsi"/>
                <w:b/>
                <w:bCs/>
                <w:sz w:val="24"/>
                <w:szCs w:val="24"/>
              </w:rPr>
            </w:pPr>
            <w:r w:rsidRPr="00C27A67">
              <w:rPr>
                <w:rFonts w:cstheme="minorHAnsi"/>
                <w:b/>
                <w:bCs/>
                <w:sz w:val="24"/>
                <w:szCs w:val="24"/>
              </w:rPr>
              <w:t>EN 274-1</w:t>
            </w:r>
          </w:p>
        </w:tc>
      </w:tr>
      <w:tr w:rsidR="0043547B" w:rsidRPr="0043547B" w:rsidTr="00CB5DC0">
        <w:trPr>
          <w:trHeight w:val="42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6D5F73" w:rsidRPr="0043547B" w:rsidRDefault="006D5F73" w:rsidP="00465723">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hideMark/>
          </w:tcPr>
          <w:p w:rsidR="006D5F73" w:rsidRPr="0043547B" w:rsidRDefault="006D5F73" w:rsidP="00465723">
            <w:pPr>
              <w:spacing w:after="0" w:line="240" w:lineRule="auto"/>
              <w:rPr>
                <w:rFonts w:cstheme="minorHAnsi"/>
                <w:sz w:val="24"/>
                <w:szCs w:val="24"/>
              </w:rPr>
            </w:pPr>
            <w:r w:rsidRPr="0043547B">
              <w:rPr>
                <w:rFonts w:cstheme="minorHAnsi"/>
                <w:sz w:val="24"/>
                <w:szCs w:val="24"/>
              </w:rPr>
              <w:t xml:space="preserve">Dispositifs de vidage des appareils sanitaires - Partie 1 </w:t>
            </w:r>
          </w:p>
        </w:tc>
      </w:tr>
      <w:tr w:rsidR="0043547B" w:rsidRPr="0043547B" w:rsidTr="00CB5DC0">
        <w:trPr>
          <w:trHeight w:val="134"/>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6D5F73" w:rsidRPr="0043547B" w:rsidRDefault="006D5F73" w:rsidP="00465723">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hideMark/>
          </w:tcPr>
          <w:p w:rsidR="00465723" w:rsidRDefault="006D5F73" w:rsidP="00465723">
            <w:pPr>
              <w:spacing w:after="0" w:line="240" w:lineRule="auto"/>
              <w:jc w:val="both"/>
              <w:rPr>
                <w:rFonts w:cstheme="minorHAnsi"/>
                <w:sz w:val="24"/>
                <w:szCs w:val="24"/>
              </w:rPr>
            </w:pPr>
            <w:r w:rsidRPr="0043547B">
              <w:rPr>
                <w:rFonts w:cstheme="minorHAnsi"/>
                <w:sz w:val="24"/>
                <w:szCs w:val="24"/>
              </w:rPr>
              <w:t>La présente Norme Européenne spécifie les exigences relatives aux dimensions, aux performances, aux matériaux</w:t>
            </w:r>
            <w:r w:rsidR="00CA6BDF">
              <w:rPr>
                <w:rFonts w:cstheme="minorHAnsi"/>
                <w:sz w:val="24"/>
                <w:szCs w:val="24"/>
              </w:rPr>
              <w:t xml:space="preserve"> </w:t>
            </w:r>
            <w:r w:rsidRPr="0043547B">
              <w:rPr>
                <w:rFonts w:cstheme="minorHAnsi"/>
                <w:sz w:val="24"/>
                <w:szCs w:val="24"/>
              </w:rPr>
              <w:t>et au marquage des bondes de vidage, des siphons et trop-pleins pour les éviers de cuisine, receveurs de</w:t>
            </w:r>
            <w:r w:rsidR="00CA6BDF">
              <w:rPr>
                <w:rFonts w:cstheme="minorHAnsi"/>
                <w:sz w:val="24"/>
                <w:szCs w:val="24"/>
              </w:rPr>
              <w:t xml:space="preserve"> </w:t>
            </w:r>
            <w:r w:rsidRPr="0043547B">
              <w:rPr>
                <w:rFonts w:cstheme="minorHAnsi"/>
                <w:sz w:val="24"/>
                <w:szCs w:val="24"/>
              </w:rPr>
              <w:t>douche, lavabos, bidets et baignoires qui sont raccordés à un système d'évacuation gravitaire quel que soit</w:t>
            </w:r>
            <w:r w:rsidR="00CA6BDF">
              <w:rPr>
                <w:rFonts w:cstheme="minorHAnsi"/>
                <w:sz w:val="24"/>
                <w:szCs w:val="24"/>
              </w:rPr>
              <w:t xml:space="preserve"> </w:t>
            </w:r>
            <w:r w:rsidRPr="0043547B">
              <w:rPr>
                <w:rFonts w:cstheme="minorHAnsi"/>
                <w:sz w:val="24"/>
                <w:szCs w:val="24"/>
              </w:rPr>
              <w:t>l'usage du bâtiment.</w:t>
            </w:r>
          </w:p>
          <w:p w:rsidR="00465723" w:rsidRDefault="006D5F73" w:rsidP="00465723">
            <w:pPr>
              <w:spacing w:after="0" w:line="240" w:lineRule="auto"/>
              <w:jc w:val="both"/>
              <w:rPr>
                <w:rFonts w:cstheme="minorHAnsi"/>
                <w:sz w:val="24"/>
                <w:szCs w:val="24"/>
              </w:rPr>
            </w:pPr>
            <w:r w:rsidRPr="0043547B">
              <w:rPr>
                <w:rFonts w:cstheme="minorHAnsi"/>
                <w:sz w:val="24"/>
                <w:szCs w:val="24"/>
              </w:rPr>
              <w:t>La présente norme ne spécifie pas d'exigences pour les bondes de vidage, les siphons et les trop-pleins intégrés</w:t>
            </w:r>
            <w:r w:rsidR="00CA6BDF">
              <w:rPr>
                <w:rFonts w:cstheme="minorHAnsi"/>
                <w:sz w:val="24"/>
                <w:szCs w:val="24"/>
              </w:rPr>
              <w:t xml:space="preserve"> </w:t>
            </w:r>
            <w:r w:rsidRPr="0043547B">
              <w:rPr>
                <w:rFonts w:cstheme="minorHAnsi"/>
                <w:sz w:val="24"/>
                <w:szCs w:val="24"/>
              </w:rPr>
              <w:t>aux appareils sanitaires.</w:t>
            </w:r>
          </w:p>
          <w:p w:rsidR="006D5F73" w:rsidRPr="0043547B" w:rsidRDefault="006D5F73" w:rsidP="00465723">
            <w:pPr>
              <w:spacing w:after="0" w:line="240" w:lineRule="auto"/>
              <w:jc w:val="both"/>
              <w:rPr>
                <w:rFonts w:cstheme="minorHAnsi"/>
                <w:sz w:val="24"/>
                <w:szCs w:val="24"/>
              </w:rPr>
            </w:pPr>
            <w:r w:rsidRPr="00465723">
              <w:rPr>
                <w:rFonts w:cstheme="minorHAnsi"/>
                <w:b/>
                <w:bCs/>
                <w:i/>
                <w:iCs/>
              </w:rPr>
              <w:t>NOTE</w:t>
            </w:r>
            <w:r w:rsidRPr="00465723">
              <w:rPr>
                <w:rFonts w:cstheme="minorHAnsi"/>
                <w:i/>
                <w:iCs/>
              </w:rPr>
              <w:t xml:space="preserve"> : Toutes les figures de la présente norme sont des schémas.</w:t>
            </w:r>
            <w:r w:rsidRPr="00465723">
              <w:rPr>
                <w:rFonts w:cstheme="minorHAnsi"/>
              </w:rPr>
              <w:br/>
              <w:t>La présente norme n’aborde pas l’effet que des matériaux agressifs de nettoyage des canalisations sont susceptibles d’avoir sur les produits.</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6D5F73" w:rsidRPr="0043547B" w:rsidRDefault="006D5F73" w:rsidP="00465723">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hideMark/>
          </w:tcPr>
          <w:p w:rsidR="006D5F73" w:rsidRPr="00C27A67" w:rsidRDefault="006D5F73" w:rsidP="00465723">
            <w:pPr>
              <w:spacing w:after="0" w:line="240" w:lineRule="auto"/>
              <w:jc w:val="center"/>
              <w:rPr>
                <w:rFonts w:cstheme="minorHAnsi"/>
                <w:b/>
                <w:bCs/>
                <w:sz w:val="24"/>
                <w:szCs w:val="24"/>
              </w:rPr>
            </w:pPr>
            <w:r w:rsidRPr="00C27A67">
              <w:rPr>
                <w:rFonts w:cstheme="minorHAnsi"/>
                <w:b/>
                <w:bCs/>
                <w:sz w:val="24"/>
                <w:szCs w:val="24"/>
              </w:rPr>
              <w:t>NM EN 274-3</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6D5F73" w:rsidRPr="0043547B" w:rsidRDefault="006D5F73" w:rsidP="00465723">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6D5F73" w:rsidRPr="00C27A67" w:rsidRDefault="006D5F73" w:rsidP="00465723">
            <w:pPr>
              <w:spacing w:after="0" w:line="240" w:lineRule="auto"/>
              <w:jc w:val="center"/>
              <w:rPr>
                <w:rFonts w:cstheme="minorHAnsi"/>
                <w:b/>
                <w:bCs/>
                <w:sz w:val="24"/>
                <w:szCs w:val="24"/>
              </w:rPr>
            </w:pPr>
            <w:r w:rsidRPr="00C27A67">
              <w:rPr>
                <w:rFonts w:cstheme="minorHAnsi"/>
                <w:b/>
                <w:bCs/>
                <w:sz w:val="24"/>
                <w:szCs w:val="24"/>
              </w:rPr>
              <w:t>EN 274-3</w:t>
            </w:r>
          </w:p>
        </w:tc>
      </w:tr>
      <w:tr w:rsidR="0043547B" w:rsidRPr="0043547B" w:rsidTr="00CB5DC0">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6D5F73" w:rsidRPr="0043547B" w:rsidRDefault="006D5F73" w:rsidP="00465723">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hideMark/>
          </w:tcPr>
          <w:p w:rsidR="006D5F73" w:rsidRPr="0043547B" w:rsidRDefault="006D5F73" w:rsidP="00465723">
            <w:pPr>
              <w:spacing w:after="0" w:line="240" w:lineRule="auto"/>
              <w:rPr>
                <w:rFonts w:cstheme="minorHAnsi"/>
                <w:sz w:val="24"/>
                <w:szCs w:val="24"/>
              </w:rPr>
            </w:pPr>
            <w:r w:rsidRPr="0043547B">
              <w:rPr>
                <w:rFonts w:cstheme="minorHAnsi"/>
                <w:sz w:val="24"/>
                <w:szCs w:val="24"/>
              </w:rPr>
              <w:t>Dispositifs de vidage des appareils sanitaires - Partie 3</w:t>
            </w:r>
          </w:p>
        </w:tc>
      </w:tr>
      <w:tr w:rsidR="0043547B" w:rsidRPr="0043547B" w:rsidTr="00CB5DC0">
        <w:trPr>
          <w:trHeight w:val="105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6D5F73" w:rsidRPr="0043547B" w:rsidRDefault="006D5F73" w:rsidP="00465723">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hideMark/>
          </w:tcPr>
          <w:p w:rsidR="006D5F73" w:rsidRPr="0043547B" w:rsidRDefault="006D5F73" w:rsidP="00465723">
            <w:pPr>
              <w:spacing w:after="0" w:line="240" w:lineRule="auto"/>
              <w:jc w:val="both"/>
              <w:rPr>
                <w:rFonts w:cstheme="minorHAnsi"/>
                <w:sz w:val="24"/>
                <w:szCs w:val="24"/>
              </w:rPr>
            </w:pPr>
            <w:r w:rsidRPr="0043547B">
              <w:rPr>
                <w:rFonts w:cstheme="minorHAnsi"/>
                <w:sz w:val="24"/>
                <w:szCs w:val="24"/>
              </w:rPr>
              <w:t>La présente Norme spécifie les exigences relatives au contrôle de la qualité des bondes de vidage, siphons et</w:t>
            </w:r>
            <w:r w:rsidR="00CA6BDF">
              <w:rPr>
                <w:rFonts w:cstheme="minorHAnsi"/>
                <w:sz w:val="24"/>
                <w:szCs w:val="24"/>
              </w:rPr>
              <w:t xml:space="preserve"> </w:t>
            </w:r>
            <w:r w:rsidRPr="0043547B">
              <w:rPr>
                <w:rFonts w:cstheme="minorHAnsi"/>
                <w:sz w:val="24"/>
                <w:szCs w:val="24"/>
              </w:rPr>
              <w:t>trop-pleins pour les éviers de cuisine, receveurs de douche, lavabos, bidets et baignoires qui sont raccordés à un</w:t>
            </w:r>
            <w:r w:rsidR="00CA6BDF">
              <w:rPr>
                <w:rFonts w:cstheme="minorHAnsi"/>
                <w:sz w:val="24"/>
                <w:szCs w:val="24"/>
              </w:rPr>
              <w:t xml:space="preserve"> </w:t>
            </w:r>
            <w:r w:rsidRPr="0043547B">
              <w:rPr>
                <w:rFonts w:cstheme="minorHAnsi"/>
                <w:sz w:val="24"/>
                <w:szCs w:val="24"/>
              </w:rPr>
              <w:t>système d’évacuation gravitaire, quel que soit l’usage du bâtiment, afin d’assurer la conformité de ces produits</w:t>
            </w:r>
            <w:r w:rsidR="00CA6BDF">
              <w:rPr>
                <w:rFonts w:cstheme="minorHAnsi"/>
                <w:sz w:val="24"/>
                <w:szCs w:val="24"/>
              </w:rPr>
              <w:t xml:space="preserve"> </w:t>
            </w:r>
            <w:r w:rsidRPr="0043547B">
              <w:rPr>
                <w:rFonts w:cstheme="minorHAnsi"/>
                <w:sz w:val="24"/>
                <w:szCs w:val="24"/>
              </w:rPr>
              <w:t>avec l’EN 274-1.</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10.4.408</w:t>
            </w:r>
          </w:p>
        </w:tc>
      </w:tr>
      <w:tr w:rsidR="0043547B" w:rsidRPr="0043547B" w:rsidTr="00CB5DC0">
        <w:trPr>
          <w:trHeight w:val="600"/>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Robinetterie de bâtiment - Appareillage de contrôle sur site des ensembles protection sanitaire des réseaux d'eau potable – Caractéristiques </w:t>
            </w:r>
          </w:p>
        </w:tc>
      </w:tr>
      <w:tr w:rsidR="0043547B" w:rsidRPr="0043547B" w:rsidTr="00CB5DC0">
        <w:trPr>
          <w:trHeight w:val="127"/>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center"/>
            <w:hideMark/>
          </w:tcPr>
          <w:p w:rsidR="00465723"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La norme s'applique à l'appareillage de contrôle sur site des ensembles de protection sanitaire. Elle est plus particulièrement destinée au contrôle sur site des disconnecteurs BA à zone de pression réduite contrôlable (NM 10.4.417) ; </w:t>
            </w:r>
            <w:r w:rsidRPr="0043547B">
              <w:rPr>
                <w:rFonts w:eastAsia="Times New Roman" w:cstheme="minorHAnsi"/>
                <w:sz w:val="24"/>
                <w:szCs w:val="24"/>
                <w:lang w:eastAsia="fr-FR"/>
              </w:rPr>
              <w:lastRenderedPageBreak/>
              <w:t>pour les autres ensembles de protection sanitaire, la méthodologie de contrôle sera adaptée au fur et à mesure des besoins.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appareils visés par La norme pour le contrôle des disconnecteurs BA sont d'ISO PN 10.</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10.4.424</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1487</w:t>
            </w:r>
          </w:p>
        </w:tc>
      </w:tr>
      <w:tr w:rsidR="0043547B" w:rsidRPr="0043547B" w:rsidTr="00CB5DC0">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Robinetterie de bâtiment - Groupes de sécurité - Essais et prescriptions </w:t>
            </w:r>
          </w:p>
        </w:tc>
      </w:tr>
      <w:tr w:rsidR="0043547B" w:rsidRPr="0043547B" w:rsidTr="00CB5DC0">
        <w:trPr>
          <w:trHeight w:val="1268"/>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dimensions, la nature des matériaux et les exigences de performance (y compris les méthodes d'essais) auxquelles doivent satisfaire les groupes de sécurité hydraulique pour des dimensions nominales de DN 15 à DN 40 et avec des pressions de service 1) de 0,1 MPa (1 bar) à 0,7 MPa (7 bar). Les groupes de sécurité hydraulique sont destinés à être montés au niveau de l'alimentation eau froide des chauffe-eau à accumulation, dont la température ne dépasse pas 95 °C, quel que soit le mode d'énergie utilisé.</w:t>
            </w:r>
          </w:p>
          <w:p w:rsidR="00A32960" w:rsidRPr="0043547B" w:rsidRDefault="00904E52" w:rsidP="00A32960">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 </w:t>
            </w:r>
            <w:r w:rsidR="00A32960" w:rsidRPr="0043547B">
              <w:rPr>
                <w:rFonts w:eastAsia="Times New Roman" w:cstheme="minorHAnsi"/>
                <w:sz w:val="24"/>
                <w:szCs w:val="24"/>
                <w:lang w:eastAsia="fr-FR"/>
              </w:rPr>
              <w:t>Les groupes de sécurité hydraulique contrôlent et limitent la pression du fluide contenu dans le chauffe-eau afin d'éviter, d'une part, le retour de l'eau chaude dans le circuit et, d'autre part, la pollution de l'eau du chauffe-eau par l'eau vidangée.</w:t>
            </w:r>
          </w:p>
          <w:p w:rsidR="00904E52" w:rsidRPr="0043547B" w:rsidRDefault="00A32960" w:rsidP="00A32960">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groupes de sécurité hydraulique ne contrôlent pas la température mais peuvent assurer seuls la sécurité hydraulique du chauffe-eau, sous réserve que la résistance mécanique de la cuve soit au moins égale à la pression de débit nominale du groupe de sécurité.</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10.4.425</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1489</w:t>
            </w:r>
          </w:p>
        </w:tc>
      </w:tr>
      <w:tr w:rsidR="0043547B" w:rsidRPr="0043547B" w:rsidTr="00CB5DC0">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Robinetterie de bâtiment – Soupapes de sécurité – Essais et prescriptions </w:t>
            </w:r>
          </w:p>
        </w:tc>
      </w:tr>
      <w:tr w:rsidR="0043547B" w:rsidRPr="0043547B" w:rsidTr="00CB5DC0">
        <w:trPr>
          <w:trHeight w:val="2772"/>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dimensions, la nature des matériaux et les exigences de performance (y compris les méthodes d'essais) auxquelles doivent satisfaire les soupapes de sécurité pour des dimensions nominales de DN 15 à DN 40 et avec des pressions de service 1) de 0,1 MPa (1 bar) à 1,0 MPa (10 bar).</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soupapes de sécurité sont destinées à être montées au niveau de l'alimentation en eau froide des chauffe-eau à accumulation, dont la température ne dépasse pas 95 °C, quel que soit le mode d'énergie utilisé.</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soupape de sécurité ne contrôle pas les températures et ne constitue pas, à elle seule, la protection nécessaire aux appareils de production d'eau chaude sanitaire et elle n'est pas prévue pour fonctionner comme une soupape d'expansion dans des conditions normales.</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1251BB" w:rsidRPr="0043547B" w:rsidRDefault="001251BB" w:rsidP="00465723">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hideMark/>
          </w:tcPr>
          <w:p w:rsidR="001251BB" w:rsidRPr="00C27A67" w:rsidRDefault="001251BB" w:rsidP="00465723">
            <w:pPr>
              <w:spacing w:after="0" w:line="240" w:lineRule="auto"/>
              <w:jc w:val="center"/>
              <w:rPr>
                <w:rFonts w:cstheme="minorHAnsi"/>
                <w:b/>
                <w:bCs/>
                <w:sz w:val="24"/>
                <w:szCs w:val="24"/>
              </w:rPr>
            </w:pPr>
            <w:r w:rsidRPr="00C27A67">
              <w:rPr>
                <w:rFonts w:cstheme="minorHAnsi"/>
                <w:b/>
                <w:bCs/>
                <w:sz w:val="24"/>
                <w:szCs w:val="24"/>
              </w:rPr>
              <w:t>NM EN 14688</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1251BB" w:rsidRPr="0043547B" w:rsidRDefault="001251BB" w:rsidP="00465723">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1251BB" w:rsidRPr="00C27A67" w:rsidRDefault="001251BB" w:rsidP="00465723">
            <w:pPr>
              <w:spacing w:after="0" w:line="240" w:lineRule="auto"/>
              <w:jc w:val="center"/>
              <w:rPr>
                <w:rFonts w:cstheme="minorHAnsi"/>
                <w:b/>
                <w:bCs/>
                <w:sz w:val="24"/>
                <w:szCs w:val="24"/>
              </w:rPr>
            </w:pPr>
            <w:r w:rsidRPr="00C27A67">
              <w:rPr>
                <w:rFonts w:cstheme="minorHAnsi"/>
                <w:b/>
                <w:bCs/>
                <w:sz w:val="24"/>
                <w:szCs w:val="24"/>
              </w:rPr>
              <w:t>EN 14688</w:t>
            </w:r>
          </w:p>
        </w:tc>
      </w:tr>
      <w:tr w:rsidR="0043547B" w:rsidRPr="0043547B" w:rsidTr="00CB5DC0">
        <w:trPr>
          <w:trHeight w:val="248"/>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1251BB" w:rsidRPr="0043547B" w:rsidRDefault="001251BB" w:rsidP="00465723">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hideMark/>
          </w:tcPr>
          <w:p w:rsidR="001251BB" w:rsidRPr="0043547B" w:rsidRDefault="001251BB" w:rsidP="00465723">
            <w:pPr>
              <w:spacing w:after="0" w:line="240" w:lineRule="auto"/>
              <w:rPr>
                <w:rFonts w:cstheme="minorHAnsi"/>
                <w:sz w:val="24"/>
                <w:szCs w:val="24"/>
              </w:rPr>
            </w:pPr>
            <w:r w:rsidRPr="0043547B">
              <w:rPr>
                <w:rFonts w:cstheme="minorHAnsi"/>
                <w:sz w:val="24"/>
                <w:szCs w:val="24"/>
              </w:rPr>
              <w:t xml:space="preserve">Appareils sanitaires - Lavabos - Exigences fonctionnelles et méthodes d'essai </w:t>
            </w:r>
          </w:p>
        </w:tc>
      </w:tr>
      <w:tr w:rsidR="0043547B" w:rsidRPr="0043547B" w:rsidTr="00CB5DC0">
        <w:trPr>
          <w:trHeight w:val="479"/>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1251BB" w:rsidRPr="0043547B" w:rsidRDefault="001251BB" w:rsidP="00465723">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hideMark/>
          </w:tcPr>
          <w:p w:rsidR="00465723" w:rsidRPr="00465723" w:rsidRDefault="001251BB" w:rsidP="00465723">
            <w:pPr>
              <w:spacing w:after="0" w:line="240" w:lineRule="auto"/>
              <w:jc w:val="both"/>
              <w:rPr>
                <w:rFonts w:cstheme="minorHAnsi"/>
                <w:i/>
                <w:iCs/>
              </w:rPr>
            </w:pPr>
            <w:r w:rsidRPr="0043547B">
              <w:rPr>
                <w:rFonts w:cstheme="minorHAnsi"/>
                <w:sz w:val="24"/>
                <w:szCs w:val="24"/>
              </w:rPr>
              <w:t>La présente Norme européenne détermine les !caractéristiques" fonctionnelles et les méthodes</w:t>
            </w:r>
            <w:r w:rsidR="00CA6BDF">
              <w:rPr>
                <w:rFonts w:cstheme="minorHAnsi"/>
                <w:sz w:val="24"/>
                <w:szCs w:val="24"/>
              </w:rPr>
              <w:t xml:space="preserve"> </w:t>
            </w:r>
            <w:r w:rsidRPr="0043547B">
              <w:rPr>
                <w:rFonts w:cstheme="minorHAnsi"/>
                <w:sz w:val="24"/>
                <w:szCs w:val="24"/>
              </w:rPr>
              <w:t>d’essai applicables aux lavabos à usage domestique.</w:t>
            </w:r>
            <w:r w:rsidRPr="0043547B">
              <w:rPr>
                <w:rFonts w:cstheme="minorHAnsi"/>
                <w:sz w:val="24"/>
                <w:szCs w:val="24"/>
              </w:rPr>
              <w:br/>
            </w:r>
            <w:r w:rsidRPr="00465723">
              <w:rPr>
                <w:rFonts w:cstheme="minorHAnsi"/>
                <w:b/>
                <w:bCs/>
                <w:i/>
                <w:iCs/>
              </w:rPr>
              <w:t>NOTE 1</w:t>
            </w:r>
            <w:r w:rsidRPr="00465723">
              <w:rPr>
                <w:rFonts w:cstheme="minorHAnsi"/>
                <w:i/>
                <w:iCs/>
              </w:rPr>
              <w:t xml:space="preserve"> : Pour les besoins de la présente norme, l’expression « à usage domestique » comprend les utilisations</w:t>
            </w:r>
            <w:r w:rsidR="00CA6BDF" w:rsidRPr="00465723">
              <w:rPr>
                <w:rFonts w:cstheme="minorHAnsi"/>
                <w:i/>
                <w:iCs/>
              </w:rPr>
              <w:t xml:space="preserve"> </w:t>
            </w:r>
            <w:r w:rsidRPr="00465723">
              <w:rPr>
                <w:rFonts w:cstheme="minorHAnsi"/>
                <w:i/>
                <w:iCs/>
              </w:rPr>
              <w:t>dans les hôtels, les logements d’étudiants, les hôpitaux et bâtiments similaires, sauf lorsque des dispositions</w:t>
            </w:r>
            <w:r w:rsidR="00465723">
              <w:rPr>
                <w:rFonts w:cstheme="minorHAnsi"/>
                <w:i/>
                <w:iCs/>
              </w:rPr>
              <w:t xml:space="preserve"> </w:t>
            </w:r>
            <w:r w:rsidRPr="00465723">
              <w:rPr>
                <w:rFonts w:cstheme="minorHAnsi"/>
                <w:i/>
                <w:iCs/>
              </w:rPr>
              <w:t>médicales spéciales sont requises.</w:t>
            </w:r>
          </w:p>
          <w:p w:rsidR="001251BB" w:rsidRPr="0043547B" w:rsidRDefault="001251BB" w:rsidP="00465723">
            <w:pPr>
              <w:spacing w:after="0" w:line="240" w:lineRule="auto"/>
              <w:jc w:val="both"/>
              <w:rPr>
                <w:rFonts w:cstheme="minorHAnsi"/>
                <w:sz w:val="24"/>
                <w:szCs w:val="24"/>
              </w:rPr>
            </w:pPr>
            <w:r w:rsidRPr="00465723">
              <w:rPr>
                <w:rFonts w:cstheme="minorHAnsi"/>
                <w:b/>
                <w:bCs/>
                <w:i/>
                <w:iCs/>
              </w:rPr>
              <w:t>NOTE 2</w:t>
            </w:r>
            <w:r w:rsidRPr="00465723">
              <w:rPr>
                <w:rFonts w:cstheme="minorHAnsi"/>
                <w:i/>
                <w:iCs/>
              </w:rPr>
              <w:t xml:space="preserve"> : Tous les schémas ne sont donnés qu’à titre d’exemples. La forme de l’appareil est laissée au choix du</w:t>
            </w:r>
            <w:r w:rsidR="00CA6BDF" w:rsidRPr="00465723">
              <w:rPr>
                <w:rFonts w:cstheme="minorHAnsi"/>
                <w:i/>
                <w:iCs/>
              </w:rPr>
              <w:t xml:space="preserve"> </w:t>
            </w:r>
            <w:r w:rsidRPr="00465723">
              <w:rPr>
                <w:rFonts w:cstheme="minorHAnsi"/>
                <w:i/>
                <w:iCs/>
              </w:rPr>
              <w:t>fabricant.</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6D5F73" w:rsidRPr="0043547B" w:rsidRDefault="006D5F73" w:rsidP="00465723">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hideMark/>
          </w:tcPr>
          <w:p w:rsidR="006D5F73" w:rsidRPr="00C27A67" w:rsidRDefault="006D5F73" w:rsidP="00465723">
            <w:pPr>
              <w:spacing w:after="0" w:line="240" w:lineRule="auto"/>
              <w:jc w:val="center"/>
              <w:rPr>
                <w:rFonts w:cstheme="minorHAnsi"/>
                <w:b/>
                <w:bCs/>
                <w:sz w:val="24"/>
                <w:szCs w:val="24"/>
              </w:rPr>
            </w:pPr>
            <w:r w:rsidRPr="00C27A67">
              <w:rPr>
                <w:rFonts w:cstheme="minorHAnsi"/>
                <w:b/>
                <w:bCs/>
                <w:sz w:val="24"/>
                <w:szCs w:val="24"/>
              </w:rPr>
              <w:t>NM EN 14296</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6D5F73" w:rsidRPr="0043547B" w:rsidRDefault="006D5F73" w:rsidP="00465723">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6D5F73" w:rsidRPr="00C27A67" w:rsidRDefault="006D5F73" w:rsidP="00465723">
            <w:pPr>
              <w:spacing w:after="0" w:line="240" w:lineRule="auto"/>
              <w:jc w:val="center"/>
              <w:rPr>
                <w:rFonts w:cstheme="minorHAnsi"/>
                <w:b/>
                <w:bCs/>
                <w:sz w:val="24"/>
                <w:szCs w:val="24"/>
              </w:rPr>
            </w:pPr>
            <w:r w:rsidRPr="00C27A67">
              <w:rPr>
                <w:rFonts w:cstheme="minorHAnsi"/>
                <w:b/>
                <w:bCs/>
                <w:sz w:val="24"/>
                <w:szCs w:val="24"/>
              </w:rPr>
              <w:t>EN 14296</w:t>
            </w:r>
          </w:p>
        </w:tc>
      </w:tr>
      <w:tr w:rsidR="0043547B" w:rsidRPr="0043547B" w:rsidTr="00CB5DC0">
        <w:trPr>
          <w:trHeight w:val="286"/>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6D5F73" w:rsidRPr="0043547B" w:rsidRDefault="006D5F73" w:rsidP="00465723">
            <w:pPr>
              <w:spacing w:after="0" w:line="240" w:lineRule="auto"/>
              <w:jc w:val="center"/>
              <w:rPr>
                <w:rFonts w:cstheme="minorHAnsi"/>
                <w:b/>
                <w:bCs/>
                <w:sz w:val="24"/>
                <w:szCs w:val="24"/>
              </w:rPr>
            </w:pPr>
            <w:r w:rsidRPr="0043547B">
              <w:rPr>
                <w:rFonts w:cstheme="minorHAnsi"/>
                <w:b/>
                <w:bCs/>
                <w:sz w:val="24"/>
                <w:szCs w:val="24"/>
              </w:rPr>
              <w:lastRenderedPageBreak/>
              <w:t>Intitulé :</w:t>
            </w:r>
          </w:p>
        </w:tc>
        <w:tc>
          <w:tcPr>
            <w:tcW w:w="7938" w:type="dxa"/>
            <w:tcBorders>
              <w:left w:val="single" w:sz="4" w:space="0" w:color="auto"/>
              <w:right w:val="single" w:sz="18" w:space="0" w:color="auto"/>
            </w:tcBorders>
            <w:shd w:val="clear" w:color="auto" w:fill="auto"/>
            <w:hideMark/>
          </w:tcPr>
          <w:p w:rsidR="006D5F73" w:rsidRPr="0043547B" w:rsidRDefault="006D5F73" w:rsidP="00465723">
            <w:pPr>
              <w:spacing w:after="0" w:line="240" w:lineRule="auto"/>
              <w:rPr>
                <w:rFonts w:cstheme="minorHAnsi"/>
                <w:sz w:val="24"/>
                <w:szCs w:val="24"/>
              </w:rPr>
            </w:pPr>
            <w:r w:rsidRPr="0043547B">
              <w:rPr>
                <w:rFonts w:cstheme="minorHAnsi"/>
                <w:sz w:val="24"/>
                <w:szCs w:val="24"/>
              </w:rPr>
              <w:t>Appareils sanitaires - Lavabos collectifs</w:t>
            </w:r>
          </w:p>
        </w:tc>
      </w:tr>
      <w:tr w:rsidR="0043547B" w:rsidRPr="0043547B" w:rsidTr="00CB5DC0">
        <w:trPr>
          <w:trHeight w:val="375"/>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6D5F73" w:rsidRPr="0043547B" w:rsidRDefault="006D5F73" w:rsidP="00465723">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hideMark/>
          </w:tcPr>
          <w:p w:rsidR="00465723" w:rsidRDefault="006D5F73" w:rsidP="00465723">
            <w:pPr>
              <w:spacing w:after="0" w:line="240" w:lineRule="auto"/>
              <w:jc w:val="both"/>
              <w:rPr>
                <w:rFonts w:cstheme="minorHAnsi"/>
                <w:sz w:val="24"/>
                <w:szCs w:val="24"/>
              </w:rPr>
            </w:pPr>
            <w:r w:rsidRPr="0043547B">
              <w:rPr>
                <w:rFonts w:cstheme="minorHAnsi"/>
                <w:sz w:val="24"/>
                <w:szCs w:val="24"/>
              </w:rPr>
              <w:t>La présente Norme Européenne détermine les prescriptions de performance en matière d’aptitude au nettoyage,</w:t>
            </w:r>
            <w:r w:rsidR="00CA6BDF">
              <w:rPr>
                <w:rFonts w:cstheme="minorHAnsi"/>
                <w:sz w:val="24"/>
                <w:szCs w:val="24"/>
              </w:rPr>
              <w:t xml:space="preserve"> </w:t>
            </w:r>
            <w:r w:rsidRPr="0043547B">
              <w:rPr>
                <w:rFonts w:cstheme="minorHAnsi"/>
                <w:sz w:val="24"/>
                <w:szCs w:val="24"/>
              </w:rPr>
              <w:t>de résistance à la charge et de durabilité des lavabos collectifs à usage domestique.</w:t>
            </w:r>
          </w:p>
          <w:p w:rsidR="006D5F73" w:rsidRPr="0043547B" w:rsidRDefault="006D5F73" w:rsidP="00465723">
            <w:pPr>
              <w:spacing w:after="0" w:line="240" w:lineRule="auto"/>
              <w:jc w:val="both"/>
              <w:rPr>
                <w:rFonts w:cstheme="minorHAnsi"/>
                <w:sz w:val="24"/>
                <w:szCs w:val="24"/>
              </w:rPr>
            </w:pPr>
            <w:r w:rsidRPr="00465723">
              <w:rPr>
                <w:rFonts w:cstheme="minorHAnsi"/>
                <w:b/>
                <w:bCs/>
                <w:i/>
                <w:iCs/>
              </w:rPr>
              <w:t>NOTE :</w:t>
            </w:r>
            <w:r w:rsidRPr="00465723">
              <w:rPr>
                <w:rFonts w:cstheme="minorHAnsi"/>
                <w:i/>
                <w:iCs/>
              </w:rPr>
              <w:t xml:space="preserve"> Pour les besoins de ce document, le terme « à usage domestique » inclut les usages dans les vestiaires des usines, des salles de sport, des foyers pour étudiants, des hôpitaux et autres bâtiments similaires sauf s’ils font l’objet de dispositions médicales particulières.</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6D5F73" w:rsidRPr="0043547B" w:rsidRDefault="006D5F73" w:rsidP="00465723">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hideMark/>
          </w:tcPr>
          <w:p w:rsidR="006D5F73" w:rsidRPr="00C27A67" w:rsidRDefault="006D5F73" w:rsidP="00465723">
            <w:pPr>
              <w:spacing w:after="0" w:line="240" w:lineRule="auto"/>
              <w:jc w:val="center"/>
              <w:rPr>
                <w:rFonts w:cstheme="minorHAnsi"/>
                <w:b/>
                <w:bCs/>
                <w:sz w:val="24"/>
                <w:szCs w:val="24"/>
              </w:rPr>
            </w:pPr>
            <w:r w:rsidRPr="00C27A67">
              <w:rPr>
                <w:rFonts w:cstheme="minorHAnsi"/>
                <w:b/>
                <w:bCs/>
                <w:sz w:val="24"/>
                <w:szCs w:val="24"/>
              </w:rPr>
              <w:t>NM EN 14528</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6D5F73" w:rsidRPr="0043547B" w:rsidRDefault="006D5F73" w:rsidP="00465723">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6D5F73" w:rsidRPr="00C27A67" w:rsidRDefault="006D5F73" w:rsidP="00465723">
            <w:pPr>
              <w:spacing w:after="0" w:line="240" w:lineRule="auto"/>
              <w:jc w:val="center"/>
              <w:rPr>
                <w:rFonts w:cstheme="minorHAnsi"/>
                <w:b/>
                <w:bCs/>
                <w:sz w:val="24"/>
                <w:szCs w:val="24"/>
              </w:rPr>
            </w:pPr>
            <w:r w:rsidRPr="00C27A67">
              <w:rPr>
                <w:rFonts w:cstheme="minorHAnsi"/>
                <w:b/>
                <w:bCs/>
                <w:sz w:val="24"/>
                <w:szCs w:val="24"/>
              </w:rPr>
              <w:t>EN 14528</w:t>
            </w:r>
          </w:p>
        </w:tc>
      </w:tr>
      <w:tr w:rsidR="0043547B" w:rsidRPr="0043547B" w:rsidTr="00CB5DC0">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6D5F73" w:rsidRPr="0043547B" w:rsidRDefault="006D5F73" w:rsidP="00465723">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hideMark/>
          </w:tcPr>
          <w:p w:rsidR="006D5F73" w:rsidRPr="0043547B" w:rsidRDefault="006D5F73" w:rsidP="00465723">
            <w:pPr>
              <w:spacing w:after="0" w:line="240" w:lineRule="auto"/>
              <w:rPr>
                <w:rFonts w:cstheme="minorHAnsi"/>
                <w:sz w:val="24"/>
                <w:szCs w:val="24"/>
              </w:rPr>
            </w:pPr>
            <w:r w:rsidRPr="0043547B">
              <w:rPr>
                <w:rFonts w:cstheme="minorHAnsi"/>
                <w:sz w:val="24"/>
                <w:szCs w:val="24"/>
              </w:rPr>
              <w:t xml:space="preserve">Bidets - Exigences fonctionnelles et méthodes d'essai </w:t>
            </w:r>
          </w:p>
        </w:tc>
      </w:tr>
      <w:tr w:rsidR="0043547B" w:rsidRPr="0043547B" w:rsidTr="00CB5DC0">
        <w:trPr>
          <w:trHeight w:val="555"/>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6D5F73" w:rsidRPr="0043547B" w:rsidRDefault="006D5F73" w:rsidP="00465723">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hideMark/>
          </w:tcPr>
          <w:p w:rsidR="00465723" w:rsidRDefault="006D5F73" w:rsidP="00465723">
            <w:pPr>
              <w:spacing w:after="0" w:line="240" w:lineRule="auto"/>
              <w:jc w:val="both"/>
              <w:rPr>
                <w:rFonts w:cstheme="minorHAnsi"/>
                <w:sz w:val="24"/>
                <w:szCs w:val="24"/>
              </w:rPr>
            </w:pPr>
            <w:r w:rsidRPr="0043547B">
              <w:rPr>
                <w:rFonts w:cstheme="minorHAnsi"/>
                <w:sz w:val="24"/>
                <w:szCs w:val="24"/>
              </w:rPr>
              <w:t>La présente Norme européenne détermine les !caractéristiques" fonctionnelles et les méthodes</w:t>
            </w:r>
            <w:r w:rsidR="00CA6BDF">
              <w:rPr>
                <w:rFonts w:cstheme="minorHAnsi"/>
                <w:sz w:val="24"/>
                <w:szCs w:val="24"/>
              </w:rPr>
              <w:t xml:space="preserve"> </w:t>
            </w:r>
            <w:r w:rsidRPr="0043547B">
              <w:rPr>
                <w:rFonts w:cstheme="minorHAnsi"/>
                <w:sz w:val="24"/>
                <w:szCs w:val="24"/>
              </w:rPr>
              <w:t>d’essai relatives aux bidets à usage domestique, en céramique ou en acier inoxydable.</w:t>
            </w:r>
          </w:p>
          <w:p w:rsidR="00465723" w:rsidRDefault="006D5F73" w:rsidP="00465723">
            <w:pPr>
              <w:spacing w:after="0" w:line="240" w:lineRule="auto"/>
              <w:jc w:val="both"/>
              <w:rPr>
                <w:rFonts w:cstheme="minorHAnsi"/>
                <w:sz w:val="24"/>
                <w:szCs w:val="24"/>
              </w:rPr>
            </w:pPr>
            <w:r w:rsidRPr="0043547B">
              <w:rPr>
                <w:rFonts w:cstheme="minorHAnsi"/>
                <w:sz w:val="24"/>
                <w:szCs w:val="24"/>
              </w:rPr>
              <w:t>Toutes les figures ne sont que des exemples, d’autres formes sont admises.</w:t>
            </w:r>
          </w:p>
          <w:p w:rsidR="006D5F73" w:rsidRPr="0043547B" w:rsidRDefault="006D5F73" w:rsidP="00465723">
            <w:pPr>
              <w:spacing w:after="0" w:line="240" w:lineRule="auto"/>
              <w:jc w:val="both"/>
              <w:rPr>
                <w:rFonts w:cstheme="minorHAnsi"/>
                <w:sz w:val="24"/>
                <w:szCs w:val="24"/>
              </w:rPr>
            </w:pPr>
            <w:r w:rsidRPr="00465723">
              <w:rPr>
                <w:rFonts w:cstheme="minorHAnsi"/>
                <w:b/>
                <w:bCs/>
                <w:i/>
                <w:iCs/>
              </w:rPr>
              <w:t xml:space="preserve">NOTE </w:t>
            </w:r>
            <w:r w:rsidRPr="00465723">
              <w:rPr>
                <w:rFonts w:cstheme="minorHAnsi"/>
                <w:i/>
                <w:iCs/>
              </w:rPr>
              <w:t>: Pour les besoins de la présente norme, le terme « à usage domestique » inclut l’utilisation en hôtel, en</w:t>
            </w:r>
            <w:r w:rsidR="00CA6BDF" w:rsidRPr="00465723">
              <w:rPr>
                <w:rFonts w:cstheme="minorHAnsi"/>
                <w:i/>
                <w:iCs/>
              </w:rPr>
              <w:t xml:space="preserve"> </w:t>
            </w:r>
            <w:r w:rsidRPr="00465723">
              <w:rPr>
                <w:rFonts w:cstheme="minorHAnsi"/>
                <w:i/>
                <w:iCs/>
              </w:rPr>
              <w:t>logement pour étudiants, en hôpitaux et autres bâtiments similaires, sauf si des précautions médicales</w:t>
            </w:r>
            <w:r w:rsidR="00CA6BDF" w:rsidRPr="00465723">
              <w:rPr>
                <w:rFonts w:cstheme="minorHAnsi"/>
                <w:i/>
                <w:iCs/>
              </w:rPr>
              <w:t xml:space="preserve"> </w:t>
            </w:r>
            <w:r w:rsidRPr="00465723">
              <w:rPr>
                <w:rFonts w:cstheme="minorHAnsi"/>
                <w:i/>
                <w:iCs/>
              </w:rPr>
              <w:t>particulières s’imposent.</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13310</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13310</w:t>
            </w:r>
          </w:p>
        </w:tc>
      </w:tr>
      <w:tr w:rsidR="0043547B" w:rsidRPr="0043547B" w:rsidTr="00CB5DC0">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Eviers de cuisine - Prescriptions fonctionnelles et méthodes d'essai ;  </w:t>
            </w:r>
          </w:p>
        </w:tc>
      </w:tr>
      <w:tr w:rsidR="0043547B" w:rsidRPr="0043547B" w:rsidTr="00CB5DC0">
        <w:trPr>
          <w:trHeight w:val="561"/>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La norme spécifie les prescriptions fonctionnelles et les méthodes d'essai relatives aux éviers de cuisine à usage domestique. </w:t>
            </w:r>
          </w:p>
          <w:p w:rsidR="00904E52" w:rsidRPr="00446EF2" w:rsidRDefault="00904E52" w:rsidP="00904E52">
            <w:pPr>
              <w:spacing w:after="0" w:line="240" w:lineRule="auto"/>
              <w:jc w:val="both"/>
              <w:rPr>
                <w:rFonts w:eastAsia="Times New Roman" w:cstheme="minorHAnsi"/>
                <w:i/>
                <w:iCs/>
                <w:lang w:eastAsia="fr-FR"/>
              </w:rPr>
            </w:pPr>
            <w:r w:rsidRPr="00446EF2">
              <w:rPr>
                <w:rFonts w:eastAsia="Times New Roman" w:cstheme="minorHAnsi"/>
                <w:b/>
                <w:bCs/>
                <w:i/>
                <w:iCs/>
                <w:lang w:eastAsia="fr-FR"/>
              </w:rPr>
              <w:t>NOTE</w:t>
            </w:r>
            <w:r w:rsidR="00446EF2" w:rsidRPr="00446EF2">
              <w:rPr>
                <w:rFonts w:eastAsia="Times New Roman" w:cstheme="minorHAnsi"/>
                <w:b/>
                <w:bCs/>
                <w:i/>
                <w:iCs/>
                <w:lang w:eastAsia="fr-FR"/>
              </w:rPr>
              <w:t> </w:t>
            </w:r>
            <w:r w:rsidR="00446EF2" w:rsidRPr="00446EF2">
              <w:rPr>
                <w:rFonts w:eastAsia="Times New Roman" w:cstheme="minorHAnsi"/>
                <w:i/>
                <w:iCs/>
                <w:lang w:eastAsia="fr-FR"/>
              </w:rPr>
              <w:t xml:space="preserve">: </w:t>
            </w:r>
            <w:r w:rsidRPr="00446EF2">
              <w:rPr>
                <w:rFonts w:eastAsia="Times New Roman" w:cstheme="minorHAnsi"/>
                <w:i/>
                <w:iCs/>
                <w:lang w:eastAsia="fr-FR"/>
              </w:rPr>
              <w:t>Pour les besoins de la norme, le terme «usages domestiques» s’applique à l’utilisation dans les lieux résidentiels (maisons individuelles, chambres d’hôtels et autres).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ne spécifie pas de prescriptions esthétiques et dimensionnelles.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ne s'applique pas aux éviers de cuisine à usage industriel.</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331+A1</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331 - A1</w:t>
            </w:r>
          </w:p>
        </w:tc>
      </w:tr>
      <w:tr w:rsidR="0043547B" w:rsidRPr="0043547B" w:rsidTr="00CB5DC0">
        <w:trPr>
          <w:trHeight w:val="6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Robinets à tournant sphérique et robinets à tournant conique à fond plat destinés à être manœuvrés manuellement et à être utilisés pour les installations de gaz dans les bâtiments ;  </w:t>
            </w:r>
          </w:p>
        </w:tc>
      </w:tr>
      <w:tr w:rsidR="0043547B" w:rsidRPr="0043547B" w:rsidTr="00CB5DC0">
        <w:trPr>
          <w:trHeight w:val="230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vAlign w:val="center"/>
            <w:hideMark/>
          </w:tcPr>
          <w:p w:rsidR="00465723"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définit les exigences essentielles concernant la construction, le fonctionnement et la sécurité pour les robinets à tournant sphérique et à tournant conique à fond plat. Elle précise aussi les méthodes d'essais et les exigences de marquage.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s'applique aux robinets destinés aux installations domestiques et commerciales, qui ne sont pas enterrées directement, qui sont situées à l'intérieur ou à l'extérieur des bâtiments, et qui sont alimentées avec les gaz des première, deuxième et troisième familles (telles que spécifiées dans l'EN 437).</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diamètres nominaux (DN), concernés par cette norme, sont les suivants : 6, 8, 10, 12, 15, 20, 25, 32, 40, 50.</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15821</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15821</w:t>
            </w:r>
          </w:p>
        </w:tc>
      </w:tr>
      <w:tr w:rsidR="0043547B" w:rsidRPr="0043547B" w:rsidTr="00CB5DC0">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vAlign w:val="center"/>
            <w:hideMark/>
          </w:tcPr>
          <w:p w:rsidR="00904E52" w:rsidRPr="0043547B" w:rsidRDefault="00904E52" w:rsidP="00A32960">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Poêles de sauna à allumage multiple à bûches de bois naturelles - Exigences et méthodes d'essai</w:t>
            </w:r>
            <w:r w:rsidR="00A32960" w:rsidRPr="0043547B">
              <w:rPr>
                <w:rFonts w:eastAsia="Times New Roman" w:cstheme="minorHAnsi"/>
                <w:sz w:val="24"/>
                <w:szCs w:val="24"/>
                <w:lang w:eastAsia="fr-FR"/>
              </w:rPr>
              <w:t xml:space="preserve"> </w:t>
            </w:r>
            <w:r w:rsidRPr="0043547B">
              <w:rPr>
                <w:rFonts w:eastAsia="Times New Roman" w:cstheme="minorHAnsi"/>
                <w:sz w:val="24"/>
                <w:szCs w:val="24"/>
                <w:lang w:eastAsia="fr-FR"/>
              </w:rPr>
              <w:t xml:space="preserve">  </w:t>
            </w:r>
          </w:p>
        </w:tc>
      </w:tr>
      <w:tr w:rsidR="0043547B" w:rsidRPr="0043547B" w:rsidTr="00CB5DC0">
        <w:trPr>
          <w:trHeight w:val="559"/>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Domaine d’application :</w:t>
            </w:r>
          </w:p>
        </w:tc>
        <w:tc>
          <w:tcPr>
            <w:tcW w:w="7938" w:type="dxa"/>
            <w:tcBorders>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aux poêles de sauna à allumage multiple dans lesquels les pierres chauffantes sont isolées des flammes et des fumées par lesquelles elles sont indirectement chauffées, et qui sont susceptibles d'être rechargés avec plusieurs charges de combustible.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exigences relatives à la conception, à la fabrication, à la construction, à la sécurité et à la performance (rendement et émission) des poêles de sauna à allumage multiple à bûches de bois naturelles et fournit des instructions correspondantes. Par ailleurs, elle stipule également les dispositions relatives à l'évaluation de la conformité (c'est-à-dire essais de types initiaux (ETI) et contrôle de production en usine (CPU)) et au marquage de ces produits.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aux poêles de sauna à allumage multiple et à combustion intermittente alimentés manuellement qui produisent de la chaleur dans la pièce où ils sont installés.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Ces poêles de sauna à allumage multiple peuvent être fournis sous la forme d'un appareil assemblé ou d'une unité conçue au préalable par le fabricant, constituée d'éléments préfabriqués, destinés à être montés sur le site conformément aux instructions d'assemblage spécifiées par le fabricant. Les installations uniques ne sont pas incluses.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Ces poêles de sauna à allumage multiple ne peuvent fonctionner qu'avec des bûches de bois naturelles conformément aux instructions d'utilisation de l'appareil.</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Les poêles de sauna à accumulation de chaleur et allumage unique, dans lesquels les pierres sont directement chauffées par les flammes et les fumées qui les traversent, ne sont pas pris en compte par La norme. La norme ne s'applique pas non plus aux poêles de sauna à alimentation mécanique, aux poêles de sauna dont l'air de combustion est pulsé par un ventilateur, aux poêles de sauna équipés d'un bouilleur, aux poêles de sauna à carneau incorporé ni aux poêles de sauna ayant un raccordement électrique. </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6D5F73" w:rsidRPr="0043547B" w:rsidRDefault="006D5F73" w:rsidP="00465723">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hideMark/>
          </w:tcPr>
          <w:p w:rsidR="006D5F73" w:rsidRPr="00C27A67" w:rsidRDefault="006D5F73" w:rsidP="00465723">
            <w:pPr>
              <w:spacing w:after="0" w:line="240" w:lineRule="auto"/>
              <w:jc w:val="center"/>
              <w:rPr>
                <w:rFonts w:cstheme="minorHAnsi"/>
                <w:b/>
                <w:bCs/>
                <w:sz w:val="24"/>
                <w:szCs w:val="24"/>
              </w:rPr>
            </w:pPr>
            <w:r w:rsidRPr="00C27A67">
              <w:rPr>
                <w:rFonts w:cstheme="minorHAnsi"/>
                <w:b/>
                <w:bCs/>
                <w:sz w:val="24"/>
                <w:szCs w:val="24"/>
              </w:rPr>
              <w:t>NM EN 14516</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6D5F73" w:rsidRPr="0043547B" w:rsidRDefault="006D5F73" w:rsidP="00465723">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6D5F73" w:rsidRPr="00C27A67" w:rsidRDefault="006D5F73" w:rsidP="00465723">
            <w:pPr>
              <w:spacing w:after="0" w:line="240" w:lineRule="auto"/>
              <w:jc w:val="center"/>
              <w:rPr>
                <w:rFonts w:cstheme="minorHAnsi"/>
                <w:b/>
                <w:bCs/>
                <w:sz w:val="24"/>
                <w:szCs w:val="24"/>
              </w:rPr>
            </w:pPr>
            <w:r w:rsidRPr="00C27A67">
              <w:rPr>
                <w:rFonts w:cstheme="minorHAnsi"/>
                <w:b/>
                <w:bCs/>
                <w:sz w:val="24"/>
                <w:szCs w:val="24"/>
              </w:rPr>
              <w:t>EN 14516</w:t>
            </w:r>
          </w:p>
        </w:tc>
      </w:tr>
      <w:tr w:rsidR="0043547B" w:rsidRPr="0043547B" w:rsidTr="00CB5DC0">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6D5F73" w:rsidRPr="0043547B" w:rsidRDefault="006D5F73" w:rsidP="00465723">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hideMark/>
          </w:tcPr>
          <w:p w:rsidR="006D5F73" w:rsidRPr="0043547B" w:rsidRDefault="006D5F73" w:rsidP="00465723">
            <w:pPr>
              <w:spacing w:after="0" w:line="240" w:lineRule="auto"/>
              <w:rPr>
                <w:rFonts w:cstheme="minorHAnsi"/>
                <w:sz w:val="24"/>
                <w:szCs w:val="24"/>
              </w:rPr>
            </w:pPr>
            <w:r w:rsidRPr="0043547B">
              <w:rPr>
                <w:rFonts w:cstheme="minorHAnsi"/>
                <w:sz w:val="24"/>
                <w:szCs w:val="24"/>
              </w:rPr>
              <w:t xml:space="preserve">Baignoires à usage domestique </w:t>
            </w:r>
          </w:p>
        </w:tc>
      </w:tr>
      <w:tr w:rsidR="0043547B" w:rsidRPr="0043547B" w:rsidTr="00CB5DC0">
        <w:trPr>
          <w:trHeight w:val="58"/>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6D5F73" w:rsidRPr="0043547B" w:rsidRDefault="006D5F73" w:rsidP="00465723">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hideMark/>
          </w:tcPr>
          <w:p w:rsidR="00465723" w:rsidRDefault="006D5F73" w:rsidP="00465723">
            <w:pPr>
              <w:spacing w:after="0" w:line="240" w:lineRule="auto"/>
              <w:jc w:val="both"/>
              <w:rPr>
                <w:rFonts w:cstheme="minorHAnsi"/>
                <w:sz w:val="24"/>
                <w:szCs w:val="24"/>
              </w:rPr>
            </w:pPr>
            <w:r w:rsidRPr="0043547B">
              <w:rPr>
                <w:rFonts w:cstheme="minorHAnsi"/>
                <w:sz w:val="24"/>
                <w:szCs w:val="24"/>
              </w:rPr>
              <w:t>Ce document détermine les exigences, les méthodes d'essai et les modes opératoires pour l'évaluation de la</w:t>
            </w:r>
            <w:r w:rsidR="00CA6BDF">
              <w:rPr>
                <w:rFonts w:cstheme="minorHAnsi"/>
                <w:sz w:val="24"/>
                <w:szCs w:val="24"/>
              </w:rPr>
              <w:t xml:space="preserve"> </w:t>
            </w:r>
            <w:r w:rsidRPr="0043547B">
              <w:rPr>
                <w:rFonts w:cstheme="minorHAnsi"/>
                <w:sz w:val="24"/>
                <w:szCs w:val="24"/>
              </w:rPr>
              <w:t>conformité des baignoires à usage domestique et hygiène personnelle assurant que le produit, lorsqu'il est</w:t>
            </w:r>
            <w:r w:rsidRPr="0043547B">
              <w:rPr>
                <w:rFonts w:cstheme="minorHAnsi"/>
                <w:sz w:val="24"/>
                <w:szCs w:val="24"/>
              </w:rPr>
              <w:br/>
              <w:t>installé et entretenu conformément aux instructions du fabricant, répond aux exigences de l’aptitude au</w:t>
            </w:r>
            <w:r w:rsidR="00CA6BDF">
              <w:rPr>
                <w:rFonts w:cstheme="minorHAnsi"/>
                <w:sz w:val="24"/>
                <w:szCs w:val="24"/>
              </w:rPr>
              <w:t xml:space="preserve"> </w:t>
            </w:r>
            <w:r w:rsidRPr="0043547B">
              <w:rPr>
                <w:rFonts w:cstheme="minorHAnsi"/>
                <w:sz w:val="24"/>
                <w:szCs w:val="24"/>
              </w:rPr>
              <w:t>nettoyage et de durabilité.</w:t>
            </w:r>
          </w:p>
          <w:p w:rsidR="00465723" w:rsidRPr="00465723" w:rsidRDefault="006D5F73" w:rsidP="00465723">
            <w:pPr>
              <w:spacing w:after="0" w:line="240" w:lineRule="auto"/>
              <w:jc w:val="both"/>
              <w:rPr>
                <w:rFonts w:cstheme="minorHAnsi"/>
                <w:i/>
                <w:iCs/>
              </w:rPr>
            </w:pPr>
            <w:r w:rsidRPr="0043547B">
              <w:rPr>
                <w:rFonts w:cstheme="minorHAnsi"/>
                <w:sz w:val="24"/>
                <w:szCs w:val="24"/>
              </w:rPr>
              <w:t>Ce document s'applique à toutes les formes et tailles de baignoires.</w:t>
            </w:r>
            <w:r w:rsidRPr="0043547B">
              <w:rPr>
                <w:rFonts w:cstheme="minorHAnsi"/>
                <w:sz w:val="24"/>
                <w:szCs w:val="24"/>
              </w:rPr>
              <w:br/>
              <w:t>Ce document ne couvre pas les baignoires utilisées avec des dispositions médicales.</w:t>
            </w:r>
            <w:r w:rsidRPr="0043547B">
              <w:rPr>
                <w:rFonts w:cstheme="minorHAnsi"/>
                <w:sz w:val="24"/>
                <w:szCs w:val="24"/>
              </w:rPr>
              <w:br/>
            </w:r>
            <w:r w:rsidRPr="00465723">
              <w:rPr>
                <w:rFonts w:cstheme="minorHAnsi"/>
                <w:b/>
                <w:bCs/>
                <w:i/>
                <w:iCs/>
              </w:rPr>
              <w:t xml:space="preserve">NOTE 1 </w:t>
            </w:r>
            <w:r w:rsidRPr="00465723">
              <w:rPr>
                <w:rFonts w:cstheme="minorHAnsi"/>
                <w:i/>
                <w:iCs/>
              </w:rPr>
              <w:t>: Pour les besoins de la présente norme, l’expression "à usage domestique" comprend les utilisations dans les hôtels, les logements d’étudiants, les hôpitaux et bâtiments similaires.</w:t>
            </w:r>
          </w:p>
          <w:p w:rsidR="006D5F73" w:rsidRPr="0043547B" w:rsidRDefault="006D5F73" w:rsidP="00465723">
            <w:pPr>
              <w:spacing w:after="0" w:line="240" w:lineRule="auto"/>
              <w:jc w:val="both"/>
              <w:rPr>
                <w:rFonts w:cstheme="minorHAnsi"/>
                <w:sz w:val="24"/>
                <w:szCs w:val="24"/>
              </w:rPr>
            </w:pPr>
            <w:r w:rsidRPr="00465723">
              <w:rPr>
                <w:rFonts w:cstheme="minorHAnsi"/>
                <w:b/>
                <w:bCs/>
                <w:i/>
                <w:iCs/>
              </w:rPr>
              <w:t xml:space="preserve">NOTE 2 </w:t>
            </w:r>
            <w:r w:rsidRPr="00465723">
              <w:rPr>
                <w:rFonts w:cstheme="minorHAnsi"/>
                <w:i/>
                <w:iCs/>
              </w:rPr>
              <w:t>: L'Annexe A dresse la liste des caractéristiques des matériaux généralement utilisés pour la fabrication des</w:t>
            </w:r>
            <w:r w:rsidR="00CA6BDF" w:rsidRPr="00465723">
              <w:rPr>
                <w:rFonts w:cstheme="minorHAnsi"/>
                <w:i/>
                <w:iCs/>
              </w:rPr>
              <w:t xml:space="preserve"> </w:t>
            </w:r>
            <w:r w:rsidRPr="00465723">
              <w:rPr>
                <w:rFonts w:cstheme="minorHAnsi"/>
                <w:i/>
                <w:iCs/>
              </w:rPr>
              <w:t>baignoires.</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6D5F73" w:rsidRPr="0043547B" w:rsidRDefault="006D5F73" w:rsidP="00465723">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hideMark/>
          </w:tcPr>
          <w:p w:rsidR="006D5F73" w:rsidRPr="00C27A67" w:rsidRDefault="006D5F73" w:rsidP="00465723">
            <w:pPr>
              <w:spacing w:after="0" w:line="240" w:lineRule="auto"/>
              <w:jc w:val="center"/>
              <w:rPr>
                <w:rFonts w:cstheme="minorHAnsi"/>
                <w:b/>
                <w:bCs/>
                <w:sz w:val="24"/>
                <w:szCs w:val="24"/>
              </w:rPr>
            </w:pPr>
            <w:r w:rsidRPr="00C27A67">
              <w:rPr>
                <w:rFonts w:cstheme="minorHAnsi"/>
                <w:b/>
                <w:bCs/>
                <w:sz w:val="24"/>
                <w:szCs w:val="24"/>
              </w:rPr>
              <w:t>NM EN 14527</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6D5F73" w:rsidRPr="0043547B" w:rsidRDefault="006D5F73" w:rsidP="00465723">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6D5F73" w:rsidRPr="00C27A67" w:rsidRDefault="006D5F73" w:rsidP="00465723">
            <w:pPr>
              <w:spacing w:after="0" w:line="240" w:lineRule="auto"/>
              <w:jc w:val="center"/>
              <w:rPr>
                <w:rFonts w:cstheme="minorHAnsi"/>
                <w:b/>
                <w:bCs/>
                <w:sz w:val="24"/>
                <w:szCs w:val="24"/>
              </w:rPr>
            </w:pPr>
            <w:r w:rsidRPr="00C27A67">
              <w:rPr>
                <w:rFonts w:cstheme="minorHAnsi"/>
                <w:b/>
                <w:bCs/>
                <w:sz w:val="24"/>
                <w:szCs w:val="24"/>
              </w:rPr>
              <w:t>EN 14527</w:t>
            </w:r>
          </w:p>
        </w:tc>
      </w:tr>
      <w:tr w:rsidR="0043547B" w:rsidRPr="0043547B" w:rsidTr="00CB5DC0">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6D5F73" w:rsidRPr="0043547B" w:rsidRDefault="006D5F73" w:rsidP="00465723">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hideMark/>
          </w:tcPr>
          <w:p w:rsidR="006D5F73" w:rsidRPr="0043547B" w:rsidRDefault="006D5F73" w:rsidP="00465723">
            <w:pPr>
              <w:spacing w:after="0" w:line="240" w:lineRule="auto"/>
              <w:rPr>
                <w:rFonts w:cstheme="minorHAnsi"/>
                <w:sz w:val="24"/>
                <w:szCs w:val="24"/>
              </w:rPr>
            </w:pPr>
            <w:r w:rsidRPr="0043547B">
              <w:rPr>
                <w:rFonts w:cstheme="minorHAnsi"/>
                <w:sz w:val="24"/>
                <w:szCs w:val="24"/>
              </w:rPr>
              <w:t>Receveurs de douche à usage domestique</w:t>
            </w:r>
          </w:p>
        </w:tc>
      </w:tr>
      <w:tr w:rsidR="0043547B" w:rsidRPr="0043547B" w:rsidTr="00CB5DC0">
        <w:trPr>
          <w:trHeight w:val="1736"/>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6D5F73" w:rsidRPr="0043547B" w:rsidRDefault="006D5F73" w:rsidP="00465723">
            <w:pPr>
              <w:spacing w:after="0" w:line="240" w:lineRule="auto"/>
              <w:jc w:val="center"/>
              <w:rPr>
                <w:rFonts w:cstheme="minorHAnsi"/>
                <w:b/>
                <w:bCs/>
                <w:sz w:val="24"/>
                <w:szCs w:val="24"/>
              </w:rPr>
            </w:pPr>
            <w:r w:rsidRPr="0043547B">
              <w:rPr>
                <w:rFonts w:cstheme="minorHAnsi"/>
                <w:b/>
                <w:bCs/>
                <w:sz w:val="24"/>
                <w:szCs w:val="24"/>
              </w:rPr>
              <w:lastRenderedPageBreak/>
              <w:t>Domaine d’application :</w:t>
            </w:r>
          </w:p>
        </w:tc>
        <w:tc>
          <w:tcPr>
            <w:tcW w:w="7938" w:type="dxa"/>
            <w:tcBorders>
              <w:left w:val="single" w:sz="4" w:space="0" w:color="auto"/>
              <w:bottom w:val="single" w:sz="18" w:space="0" w:color="auto"/>
              <w:right w:val="single" w:sz="18" w:space="0" w:color="auto"/>
            </w:tcBorders>
            <w:shd w:val="clear" w:color="auto" w:fill="auto"/>
            <w:hideMark/>
          </w:tcPr>
          <w:p w:rsidR="00465723" w:rsidRDefault="006D5F73" w:rsidP="00465723">
            <w:pPr>
              <w:spacing w:after="0" w:line="240" w:lineRule="auto"/>
              <w:jc w:val="both"/>
              <w:rPr>
                <w:rFonts w:cstheme="minorHAnsi"/>
                <w:sz w:val="24"/>
                <w:szCs w:val="24"/>
              </w:rPr>
            </w:pPr>
            <w:r w:rsidRPr="0043547B">
              <w:rPr>
                <w:rFonts w:cstheme="minorHAnsi"/>
                <w:sz w:val="24"/>
                <w:szCs w:val="24"/>
              </w:rPr>
              <w:t>La présente Norme européenne détermine les !caractéristiques", méthodes d’essai et modes</w:t>
            </w:r>
            <w:r w:rsidR="00CA6BDF">
              <w:rPr>
                <w:rFonts w:cstheme="minorHAnsi"/>
                <w:sz w:val="24"/>
                <w:szCs w:val="24"/>
              </w:rPr>
              <w:t xml:space="preserve"> </w:t>
            </w:r>
            <w:r w:rsidRPr="0043547B">
              <w:rPr>
                <w:rFonts w:cstheme="minorHAnsi"/>
                <w:sz w:val="24"/>
                <w:szCs w:val="24"/>
              </w:rPr>
              <w:t>opératoires d’évaluation de la conformité des receveurs de douche à usage domestique, visant à</w:t>
            </w:r>
            <w:r w:rsidR="00CA6BDF">
              <w:rPr>
                <w:rFonts w:cstheme="minorHAnsi"/>
                <w:sz w:val="24"/>
                <w:szCs w:val="24"/>
              </w:rPr>
              <w:t xml:space="preserve"> </w:t>
            </w:r>
            <w:r w:rsidRPr="0043547B">
              <w:rPr>
                <w:rFonts w:cstheme="minorHAnsi"/>
                <w:sz w:val="24"/>
                <w:szCs w:val="24"/>
              </w:rPr>
              <w:t>garantir que le produit, s’il est installé, utilisé et entretenu selon les instructions du fabricant, présente</w:t>
            </w:r>
            <w:r w:rsidR="00CA6BDF">
              <w:rPr>
                <w:rFonts w:cstheme="minorHAnsi"/>
                <w:sz w:val="24"/>
                <w:szCs w:val="24"/>
              </w:rPr>
              <w:t xml:space="preserve"> </w:t>
            </w:r>
            <w:r w:rsidRPr="0043547B">
              <w:rPr>
                <w:rFonts w:cstheme="minorHAnsi"/>
                <w:sz w:val="24"/>
                <w:szCs w:val="24"/>
              </w:rPr>
              <w:t>les qualités requises d’aptitude au nettoyage et de durabilité, dans le cadre d’une utilisation d’hygiène</w:t>
            </w:r>
            <w:r w:rsidR="00CA6BDF">
              <w:rPr>
                <w:rFonts w:cstheme="minorHAnsi"/>
                <w:sz w:val="24"/>
                <w:szCs w:val="24"/>
              </w:rPr>
              <w:t xml:space="preserve"> </w:t>
            </w:r>
            <w:r w:rsidRPr="0043547B">
              <w:rPr>
                <w:rFonts w:cstheme="minorHAnsi"/>
                <w:sz w:val="24"/>
                <w:szCs w:val="24"/>
              </w:rPr>
              <w:t>personnelle.</w:t>
            </w:r>
          </w:p>
          <w:p w:rsidR="00465723" w:rsidRDefault="006D5F73" w:rsidP="00465723">
            <w:pPr>
              <w:spacing w:after="0" w:line="240" w:lineRule="auto"/>
              <w:jc w:val="both"/>
              <w:rPr>
                <w:rFonts w:cstheme="minorHAnsi"/>
                <w:sz w:val="24"/>
                <w:szCs w:val="24"/>
              </w:rPr>
            </w:pPr>
            <w:r w:rsidRPr="0043547B">
              <w:rPr>
                <w:rFonts w:cstheme="minorHAnsi"/>
                <w:sz w:val="24"/>
                <w:szCs w:val="24"/>
              </w:rPr>
              <w:t>La présente norme s’applique à toutes les tailles et formes de receveurs de douche.</w:t>
            </w:r>
            <w:r w:rsidRPr="0043547B">
              <w:rPr>
                <w:rFonts w:cstheme="minorHAnsi"/>
                <w:sz w:val="24"/>
                <w:szCs w:val="24"/>
              </w:rPr>
              <w:br/>
              <w:t>La présente norme ne traite pas des receveurs de douche utilisés dans le cadre de soins médicaux.</w:t>
            </w:r>
          </w:p>
          <w:p w:rsidR="00465723" w:rsidRPr="00465723" w:rsidRDefault="006D5F73" w:rsidP="00465723">
            <w:pPr>
              <w:spacing w:after="0" w:line="240" w:lineRule="auto"/>
              <w:jc w:val="both"/>
              <w:rPr>
                <w:rFonts w:cstheme="minorHAnsi"/>
                <w:i/>
                <w:iCs/>
              </w:rPr>
            </w:pPr>
            <w:r w:rsidRPr="00465723">
              <w:rPr>
                <w:rFonts w:cstheme="minorHAnsi"/>
                <w:b/>
                <w:bCs/>
                <w:i/>
                <w:iCs/>
              </w:rPr>
              <w:t>NOTE 1</w:t>
            </w:r>
            <w:r w:rsidRPr="00465723">
              <w:rPr>
                <w:rFonts w:cstheme="minorHAnsi"/>
                <w:i/>
                <w:iCs/>
              </w:rPr>
              <w:t xml:space="preserve"> : Pour les besoins de la présente norme, le terme « à usage domestique » inclut l’utilisation en hôtels, en</w:t>
            </w:r>
            <w:r w:rsidR="00CA6BDF" w:rsidRPr="00465723">
              <w:rPr>
                <w:rFonts w:cstheme="minorHAnsi"/>
                <w:i/>
                <w:iCs/>
              </w:rPr>
              <w:t xml:space="preserve"> </w:t>
            </w:r>
            <w:r w:rsidRPr="00465723">
              <w:rPr>
                <w:rFonts w:cstheme="minorHAnsi"/>
                <w:i/>
                <w:iCs/>
              </w:rPr>
              <w:t>logements pour étudiants, en hôpitaux et autres bâtiments similaires.</w:t>
            </w:r>
          </w:p>
          <w:p w:rsidR="006D5F73" w:rsidRPr="0043547B" w:rsidRDefault="006D5F73" w:rsidP="00465723">
            <w:pPr>
              <w:spacing w:after="0" w:line="240" w:lineRule="auto"/>
              <w:jc w:val="both"/>
              <w:rPr>
                <w:rFonts w:cstheme="minorHAnsi"/>
                <w:sz w:val="24"/>
                <w:szCs w:val="24"/>
              </w:rPr>
            </w:pPr>
            <w:r w:rsidRPr="00465723">
              <w:rPr>
                <w:rFonts w:cstheme="minorHAnsi"/>
                <w:b/>
                <w:bCs/>
                <w:i/>
                <w:iCs/>
              </w:rPr>
              <w:t>NOTE 2</w:t>
            </w:r>
            <w:r w:rsidRPr="00465723">
              <w:rPr>
                <w:rFonts w:cstheme="minorHAnsi"/>
                <w:i/>
                <w:iCs/>
              </w:rPr>
              <w:t xml:space="preserve"> : L’Annexe A liste les caractéristiques des matériaux couramment utilisés pour la fabrication des</w:t>
            </w:r>
            <w:r w:rsidR="00CA6BDF" w:rsidRPr="00465723">
              <w:rPr>
                <w:rFonts w:cstheme="minorHAnsi"/>
                <w:i/>
                <w:iCs/>
              </w:rPr>
              <w:t xml:space="preserve"> </w:t>
            </w:r>
            <w:r w:rsidRPr="00465723">
              <w:rPr>
                <w:rFonts w:cstheme="minorHAnsi"/>
                <w:i/>
                <w:iCs/>
              </w:rPr>
              <w:t>receveurs de douche.</w:t>
            </w:r>
          </w:p>
        </w:tc>
      </w:tr>
      <w:tr w:rsidR="0043547B" w:rsidRPr="0043547B" w:rsidTr="00CB5DC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6D5F73" w:rsidRPr="0043547B" w:rsidRDefault="006D5F73" w:rsidP="00465723">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hideMark/>
          </w:tcPr>
          <w:p w:rsidR="006D5F73" w:rsidRPr="00C27A67" w:rsidRDefault="006D5F73" w:rsidP="00465723">
            <w:pPr>
              <w:spacing w:after="0" w:line="240" w:lineRule="auto"/>
              <w:jc w:val="center"/>
              <w:rPr>
                <w:rFonts w:cstheme="minorHAnsi"/>
                <w:b/>
                <w:bCs/>
                <w:sz w:val="24"/>
                <w:szCs w:val="24"/>
              </w:rPr>
            </w:pPr>
            <w:r w:rsidRPr="00C27A67">
              <w:rPr>
                <w:rFonts w:cstheme="minorHAnsi"/>
                <w:b/>
                <w:bCs/>
                <w:sz w:val="24"/>
                <w:szCs w:val="24"/>
              </w:rPr>
              <w:t>NM EN 14055</w:t>
            </w:r>
          </w:p>
        </w:tc>
      </w:tr>
      <w:tr w:rsidR="0043547B" w:rsidRPr="0043547B" w:rsidTr="00CB5DC0">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6D5F73" w:rsidRPr="0043547B" w:rsidRDefault="006D5F73" w:rsidP="00465723">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6D5F73" w:rsidRPr="00C27A67" w:rsidRDefault="006D5F73" w:rsidP="00465723">
            <w:pPr>
              <w:spacing w:after="0" w:line="240" w:lineRule="auto"/>
              <w:jc w:val="center"/>
              <w:rPr>
                <w:rFonts w:cstheme="minorHAnsi"/>
                <w:b/>
                <w:bCs/>
                <w:sz w:val="24"/>
                <w:szCs w:val="24"/>
              </w:rPr>
            </w:pPr>
            <w:r w:rsidRPr="00C27A67">
              <w:rPr>
                <w:rFonts w:cstheme="minorHAnsi"/>
                <w:b/>
                <w:bCs/>
                <w:sz w:val="24"/>
                <w:szCs w:val="24"/>
              </w:rPr>
              <w:t>EN 14055</w:t>
            </w:r>
          </w:p>
        </w:tc>
      </w:tr>
      <w:tr w:rsidR="0043547B" w:rsidRPr="0043547B" w:rsidTr="00CB5DC0">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6D5F73" w:rsidRPr="0043547B" w:rsidRDefault="006D5F73" w:rsidP="00465723">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auto" w:fill="auto"/>
            <w:hideMark/>
          </w:tcPr>
          <w:p w:rsidR="006D5F73" w:rsidRPr="0043547B" w:rsidRDefault="006D5F73" w:rsidP="00465723">
            <w:pPr>
              <w:spacing w:after="0" w:line="240" w:lineRule="auto"/>
              <w:rPr>
                <w:rFonts w:cstheme="minorHAnsi"/>
                <w:sz w:val="24"/>
                <w:szCs w:val="24"/>
              </w:rPr>
            </w:pPr>
            <w:r w:rsidRPr="0043547B">
              <w:rPr>
                <w:rFonts w:cstheme="minorHAnsi"/>
                <w:sz w:val="24"/>
                <w:szCs w:val="24"/>
              </w:rPr>
              <w:t xml:space="preserve">Réservoirs de chasse d'eau pour WC et urinoirs </w:t>
            </w:r>
          </w:p>
        </w:tc>
      </w:tr>
      <w:tr w:rsidR="0043547B" w:rsidRPr="0043547B" w:rsidTr="00CB5DC0">
        <w:trPr>
          <w:trHeight w:val="1327"/>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6D5F73" w:rsidRPr="0043547B" w:rsidRDefault="006D5F73" w:rsidP="00465723">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auto" w:fill="auto"/>
            <w:hideMark/>
          </w:tcPr>
          <w:p w:rsidR="00465723" w:rsidRDefault="006D5F73" w:rsidP="00465723">
            <w:pPr>
              <w:spacing w:after="0" w:line="240" w:lineRule="auto"/>
              <w:jc w:val="both"/>
              <w:rPr>
                <w:rFonts w:cstheme="minorHAnsi"/>
                <w:sz w:val="24"/>
                <w:szCs w:val="24"/>
              </w:rPr>
            </w:pPr>
            <w:r w:rsidRPr="0043547B">
              <w:rPr>
                <w:rFonts w:cstheme="minorHAnsi"/>
                <w:sz w:val="24"/>
                <w:szCs w:val="24"/>
              </w:rPr>
              <w:t>La présente Norme européenne spécifie les exigences relatives à la conception et à la performance ainsi que les</w:t>
            </w:r>
            <w:r w:rsidR="00CA6BDF">
              <w:rPr>
                <w:rFonts w:cstheme="minorHAnsi"/>
                <w:sz w:val="24"/>
                <w:szCs w:val="24"/>
              </w:rPr>
              <w:t xml:space="preserve"> </w:t>
            </w:r>
            <w:r w:rsidRPr="0043547B">
              <w:rPr>
                <w:rFonts w:cstheme="minorHAnsi"/>
                <w:sz w:val="24"/>
                <w:szCs w:val="24"/>
              </w:rPr>
              <w:t>méthodes d'essai applicables aux réservoirs de chasse pour WC et urinoirs comportant un mécanisme de chasse,</w:t>
            </w:r>
            <w:r w:rsidR="00CA6BDF">
              <w:rPr>
                <w:rFonts w:cstheme="minorHAnsi"/>
                <w:sz w:val="24"/>
                <w:szCs w:val="24"/>
              </w:rPr>
              <w:t xml:space="preserve"> </w:t>
            </w:r>
            <w:r w:rsidRPr="0043547B">
              <w:rPr>
                <w:rFonts w:cstheme="minorHAnsi"/>
                <w:sz w:val="24"/>
                <w:szCs w:val="24"/>
              </w:rPr>
              <w:t>un robinet de remplissage et un trop-plein.</w:t>
            </w:r>
          </w:p>
          <w:p w:rsidR="00465723" w:rsidRDefault="006D5F73" w:rsidP="00465723">
            <w:pPr>
              <w:spacing w:after="0" w:line="240" w:lineRule="auto"/>
              <w:jc w:val="both"/>
              <w:rPr>
                <w:rFonts w:cstheme="minorHAnsi"/>
                <w:sz w:val="24"/>
                <w:szCs w:val="24"/>
              </w:rPr>
            </w:pPr>
            <w:r w:rsidRPr="0043547B">
              <w:rPr>
                <w:rFonts w:cstheme="minorHAnsi"/>
                <w:sz w:val="24"/>
                <w:szCs w:val="24"/>
              </w:rPr>
              <w:t>La présente Norme européenne ne couvre que les réservoirs de chasse devant être raccordés à des installations</w:t>
            </w:r>
            <w:r w:rsidR="00CA6BDF">
              <w:rPr>
                <w:rFonts w:cstheme="minorHAnsi"/>
                <w:sz w:val="24"/>
                <w:szCs w:val="24"/>
              </w:rPr>
              <w:t xml:space="preserve"> </w:t>
            </w:r>
            <w:r w:rsidRPr="0043547B">
              <w:rPr>
                <w:rFonts w:cstheme="minorHAnsi"/>
                <w:sz w:val="24"/>
                <w:szCs w:val="24"/>
              </w:rPr>
              <w:t>d'eau potable dans les bâtiments.</w:t>
            </w:r>
          </w:p>
          <w:p w:rsidR="006D5F73" w:rsidRPr="00465723" w:rsidRDefault="006D5F73" w:rsidP="00465723">
            <w:pPr>
              <w:spacing w:after="0" w:line="240" w:lineRule="auto"/>
              <w:jc w:val="both"/>
              <w:rPr>
                <w:rFonts w:cstheme="minorHAnsi"/>
                <w:i/>
                <w:iCs/>
                <w:sz w:val="24"/>
                <w:szCs w:val="24"/>
              </w:rPr>
            </w:pPr>
            <w:r w:rsidRPr="00465723">
              <w:rPr>
                <w:rFonts w:cstheme="minorHAnsi"/>
                <w:b/>
                <w:bCs/>
                <w:i/>
                <w:iCs/>
              </w:rPr>
              <w:t>NOTE</w:t>
            </w:r>
            <w:r w:rsidR="00465723" w:rsidRPr="00465723">
              <w:rPr>
                <w:rFonts w:cstheme="minorHAnsi"/>
                <w:b/>
                <w:bCs/>
                <w:i/>
                <w:iCs/>
              </w:rPr>
              <w:t> :</w:t>
            </w:r>
            <w:r w:rsidRPr="00465723">
              <w:rPr>
                <w:rFonts w:cstheme="minorHAnsi"/>
                <w:i/>
                <w:iCs/>
              </w:rPr>
              <w:t xml:space="preserve"> Les réservoirs des WC monobloc et des ensembles WC à réservoirs attenant sont traités dans EN 997.</w:t>
            </w:r>
          </w:p>
        </w:tc>
      </w:tr>
    </w:tbl>
    <w:p w:rsidR="00904E52" w:rsidRPr="0043547B" w:rsidRDefault="00904E52" w:rsidP="00F26621">
      <w:pPr>
        <w:pStyle w:val="Titre4"/>
        <w:numPr>
          <w:ilvl w:val="2"/>
          <w:numId w:val="2"/>
        </w:numPr>
        <w:ind w:left="1418" w:hanging="579"/>
        <w:rPr>
          <w:rFonts w:cstheme="minorHAnsi"/>
          <w:b/>
          <w:bCs w:val="0"/>
          <w:iCs w:val="0"/>
          <w:color w:val="auto"/>
          <w:szCs w:val="24"/>
          <w:u w:val="single"/>
        </w:rPr>
      </w:pPr>
      <w:bookmarkStart w:id="35" w:name="_Toc458606092"/>
      <w:r w:rsidRPr="0043547B">
        <w:rPr>
          <w:rFonts w:cstheme="minorHAnsi"/>
          <w:b/>
          <w:bCs w:val="0"/>
          <w:iCs w:val="0"/>
          <w:color w:val="auto"/>
          <w:szCs w:val="24"/>
          <w:u w:val="single"/>
        </w:rPr>
        <w:t>Vitrage et miroiterie</w:t>
      </w:r>
      <w:bookmarkEnd w:id="35"/>
    </w:p>
    <w:tbl>
      <w:tblPr>
        <w:tblW w:w="9776" w:type="dxa"/>
        <w:jc w:val="center"/>
        <w:tblCellMar>
          <w:left w:w="70" w:type="dxa"/>
          <w:right w:w="70" w:type="dxa"/>
        </w:tblCellMar>
        <w:tblLook w:val="04A0" w:firstRow="1" w:lastRow="0" w:firstColumn="1" w:lastColumn="0" w:noHBand="0" w:noVBand="1"/>
      </w:tblPr>
      <w:tblGrid>
        <w:gridCol w:w="1838"/>
        <w:gridCol w:w="7938"/>
      </w:tblGrid>
      <w:tr w:rsidR="0043547B" w:rsidRPr="0043547B" w:rsidTr="00446EF2">
        <w:trPr>
          <w:trHeight w:val="346"/>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6A9B" w:rsidRPr="0043547B" w:rsidRDefault="00906A9B" w:rsidP="002E2CA5">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6A9B" w:rsidRPr="0043547B" w:rsidRDefault="00906A9B" w:rsidP="002E2CA5">
            <w:pPr>
              <w:spacing w:after="0" w:line="240" w:lineRule="auto"/>
              <w:jc w:val="center"/>
              <w:rPr>
                <w:rFonts w:cstheme="minorHAnsi"/>
                <w:b/>
                <w:bCs/>
                <w:sz w:val="24"/>
                <w:szCs w:val="24"/>
              </w:rPr>
            </w:pPr>
            <w:r w:rsidRPr="0043547B">
              <w:rPr>
                <w:rFonts w:cstheme="minorHAnsi"/>
                <w:b/>
                <w:bCs/>
                <w:sz w:val="24"/>
                <w:szCs w:val="24"/>
              </w:rPr>
              <w:t>NM EN 572-1</w:t>
            </w:r>
          </w:p>
        </w:tc>
      </w:tr>
      <w:tr w:rsidR="0043547B" w:rsidRPr="0043547B" w:rsidTr="00446EF2">
        <w:trPr>
          <w:trHeight w:val="368"/>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6A9B" w:rsidRPr="0043547B" w:rsidRDefault="00906A9B" w:rsidP="002E2CA5">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6A9B" w:rsidRPr="0043547B" w:rsidRDefault="00906A9B" w:rsidP="002E2CA5">
            <w:pPr>
              <w:spacing w:after="0" w:line="240" w:lineRule="auto"/>
              <w:jc w:val="center"/>
              <w:rPr>
                <w:rFonts w:cstheme="minorHAnsi"/>
                <w:b/>
                <w:bCs/>
                <w:sz w:val="24"/>
                <w:szCs w:val="24"/>
              </w:rPr>
            </w:pPr>
            <w:r w:rsidRPr="0043547B">
              <w:rPr>
                <w:rFonts w:cstheme="minorHAnsi"/>
                <w:b/>
                <w:bCs/>
                <w:sz w:val="24"/>
                <w:szCs w:val="24"/>
              </w:rPr>
              <w:t>EN 572-1</w:t>
            </w:r>
          </w:p>
        </w:tc>
      </w:tr>
      <w:tr w:rsidR="0043547B" w:rsidRPr="0043547B" w:rsidTr="00446EF2">
        <w:trPr>
          <w:trHeight w:val="6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6A9B" w:rsidRPr="0043547B" w:rsidRDefault="00906A9B" w:rsidP="002E2CA5">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hideMark/>
          </w:tcPr>
          <w:p w:rsidR="00906A9B" w:rsidRPr="0043547B" w:rsidRDefault="00906A9B" w:rsidP="002E2CA5">
            <w:pPr>
              <w:spacing w:after="0" w:line="240" w:lineRule="auto"/>
              <w:rPr>
                <w:rFonts w:cstheme="minorHAnsi"/>
                <w:sz w:val="24"/>
                <w:szCs w:val="24"/>
              </w:rPr>
            </w:pPr>
            <w:r w:rsidRPr="0043547B">
              <w:rPr>
                <w:rFonts w:cstheme="minorHAnsi"/>
                <w:sz w:val="24"/>
                <w:szCs w:val="24"/>
              </w:rPr>
              <w:t xml:space="preserve">Verre dans la construction - Produits de base : verre de silicate sodo-calcique - Partie 1 : définitions et propriétés physiques et mécaniques générales ; (IC 10.7.003) </w:t>
            </w:r>
          </w:p>
        </w:tc>
      </w:tr>
      <w:tr w:rsidR="0043547B" w:rsidRPr="0043547B" w:rsidTr="00446EF2">
        <w:trPr>
          <w:trHeight w:val="559"/>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6A9B" w:rsidRPr="0043547B" w:rsidRDefault="00906A9B" w:rsidP="002E2CA5">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hideMark/>
          </w:tcPr>
          <w:p w:rsidR="00977B9A" w:rsidRPr="0043547B" w:rsidRDefault="00906A9B" w:rsidP="002E2CA5">
            <w:pPr>
              <w:spacing w:after="0" w:line="240" w:lineRule="auto"/>
              <w:jc w:val="both"/>
              <w:rPr>
                <w:rFonts w:cstheme="minorHAnsi"/>
                <w:sz w:val="24"/>
                <w:szCs w:val="24"/>
              </w:rPr>
            </w:pPr>
            <w:r w:rsidRPr="0043547B">
              <w:rPr>
                <w:rFonts w:cstheme="minorHAnsi"/>
                <w:sz w:val="24"/>
                <w:szCs w:val="24"/>
              </w:rPr>
              <w:t>La présente partie de cette Norme européenne spécifie et classe les produits verriers de base et indique leur composition chimique, leurs principales caractéristiques physiques et mécaniques et détermine leurs critères généraux de qualité.</w:t>
            </w:r>
          </w:p>
          <w:p w:rsidR="002E2CA5" w:rsidRPr="0043547B" w:rsidRDefault="00906A9B" w:rsidP="00465723">
            <w:pPr>
              <w:spacing w:after="0" w:line="240" w:lineRule="auto"/>
              <w:jc w:val="both"/>
              <w:rPr>
                <w:rFonts w:cstheme="minorHAnsi"/>
                <w:sz w:val="24"/>
                <w:szCs w:val="24"/>
              </w:rPr>
            </w:pPr>
            <w:r w:rsidRPr="0043547B">
              <w:rPr>
                <w:rFonts w:cstheme="minorHAnsi"/>
                <w:sz w:val="24"/>
                <w:szCs w:val="24"/>
              </w:rPr>
              <w:t>Les dimensions et les tolérances dimensionnelles spécifiques, la description des défauts, les limites de qualité et le mode de désignation pour chaque type de produit de base ne sont pas inclus dans la présente partie de l’EN 572, mais font l’objet d’autres parties de cette norme européenne pour chaque type de produit:</w:t>
            </w:r>
          </w:p>
          <w:p w:rsidR="00906A9B" w:rsidRPr="0043547B" w:rsidRDefault="00906A9B" w:rsidP="002E2CA5">
            <w:pPr>
              <w:spacing w:after="0" w:line="240" w:lineRule="auto"/>
              <w:rPr>
                <w:rFonts w:cstheme="minorHAnsi"/>
                <w:sz w:val="24"/>
                <w:szCs w:val="24"/>
              </w:rPr>
            </w:pPr>
            <w:r w:rsidRPr="0043547B">
              <w:rPr>
                <w:rFonts w:cstheme="minorHAnsi"/>
                <w:sz w:val="24"/>
                <w:szCs w:val="24"/>
              </w:rPr>
              <w:t>— EN 572-2 Glace flottée</w:t>
            </w:r>
            <w:r w:rsidRPr="0043547B">
              <w:rPr>
                <w:rFonts w:cstheme="minorHAnsi"/>
                <w:sz w:val="24"/>
                <w:szCs w:val="24"/>
              </w:rPr>
              <w:br/>
              <w:t>— EN 572-3 Verre armé poli</w:t>
            </w:r>
            <w:r w:rsidRPr="0043547B">
              <w:rPr>
                <w:rFonts w:cstheme="minorHAnsi"/>
                <w:sz w:val="24"/>
                <w:szCs w:val="24"/>
              </w:rPr>
              <w:br/>
              <w:t>— EN 572-4 Verre étiré</w:t>
            </w:r>
            <w:r w:rsidRPr="0043547B">
              <w:rPr>
                <w:rFonts w:cstheme="minorHAnsi"/>
                <w:sz w:val="24"/>
                <w:szCs w:val="24"/>
              </w:rPr>
              <w:br/>
              <w:t>— EN 572-5 Verre imprimé</w:t>
            </w:r>
            <w:r w:rsidRPr="0043547B">
              <w:rPr>
                <w:rFonts w:cstheme="minorHAnsi"/>
                <w:sz w:val="24"/>
                <w:szCs w:val="24"/>
              </w:rPr>
              <w:br/>
              <w:t>— EN 572-6 Verre imprimé armé</w:t>
            </w:r>
            <w:r w:rsidRPr="0043547B">
              <w:rPr>
                <w:rFonts w:cstheme="minorHAnsi"/>
                <w:sz w:val="24"/>
                <w:szCs w:val="24"/>
              </w:rPr>
              <w:br/>
              <w:t>— EN 572-7 Verre profilé armé ou non armé</w:t>
            </w:r>
            <w:r w:rsidRPr="0043547B">
              <w:rPr>
                <w:rFonts w:cstheme="minorHAnsi"/>
                <w:sz w:val="24"/>
                <w:szCs w:val="24"/>
              </w:rPr>
              <w:br/>
              <w:t>— EN 572-8 Mesures livrées et mesures découpées finales</w:t>
            </w:r>
            <w:r w:rsidRPr="0043547B">
              <w:rPr>
                <w:rFonts w:cstheme="minorHAnsi"/>
                <w:sz w:val="24"/>
                <w:szCs w:val="24"/>
              </w:rPr>
              <w:br/>
              <w:t>— EN 572-9 Évaluation de la conformité/norme produit</w:t>
            </w:r>
          </w:p>
        </w:tc>
      </w:tr>
      <w:tr w:rsidR="0043547B" w:rsidRPr="0043547B" w:rsidTr="00446EF2">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6A9B" w:rsidRPr="0043547B" w:rsidRDefault="00906A9B" w:rsidP="00977B9A">
            <w:pPr>
              <w:spacing w:after="0" w:line="240" w:lineRule="auto"/>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6A9B" w:rsidRPr="0043547B" w:rsidRDefault="00906A9B" w:rsidP="00977B9A">
            <w:pPr>
              <w:spacing w:after="0" w:line="240" w:lineRule="auto"/>
              <w:jc w:val="center"/>
              <w:rPr>
                <w:rFonts w:cstheme="minorHAnsi"/>
                <w:b/>
                <w:bCs/>
                <w:sz w:val="24"/>
                <w:szCs w:val="24"/>
              </w:rPr>
            </w:pPr>
            <w:r w:rsidRPr="0043547B">
              <w:rPr>
                <w:rFonts w:cstheme="minorHAnsi"/>
                <w:b/>
                <w:bCs/>
                <w:sz w:val="24"/>
                <w:szCs w:val="24"/>
              </w:rPr>
              <w:t>NM EN 572-2</w:t>
            </w:r>
          </w:p>
        </w:tc>
      </w:tr>
      <w:tr w:rsidR="0043547B" w:rsidRPr="0043547B" w:rsidTr="00446EF2">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6A9B" w:rsidRPr="0043547B" w:rsidRDefault="00906A9B" w:rsidP="00977B9A">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6A9B" w:rsidRPr="0043547B" w:rsidRDefault="00906A9B" w:rsidP="00977B9A">
            <w:pPr>
              <w:spacing w:after="0" w:line="240" w:lineRule="auto"/>
              <w:jc w:val="center"/>
              <w:rPr>
                <w:rFonts w:cstheme="minorHAnsi"/>
                <w:b/>
                <w:bCs/>
                <w:sz w:val="24"/>
                <w:szCs w:val="24"/>
              </w:rPr>
            </w:pPr>
            <w:r w:rsidRPr="0043547B">
              <w:rPr>
                <w:rFonts w:cstheme="minorHAnsi"/>
                <w:b/>
                <w:bCs/>
                <w:sz w:val="24"/>
                <w:szCs w:val="24"/>
              </w:rPr>
              <w:t>EN 572-2</w:t>
            </w:r>
          </w:p>
        </w:tc>
      </w:tr>
      <w:tr w:rsidR="0043547B" w:rsidRPr="0043547B" w:rsidTr="00446EF2">
        <w:trPr>
          <w:trHeight w:val="419"/>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6A9B" w:rsidRPr="0043547B" w:rsidRDefault="00906A9B" w:rsidP="00977B9A">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hideMark/>
          </w:tcPr>
          <w:p w:rsidR="00906A9B" w:rsidRPr="0043547B" w:rsidRDefault="00906A9B" w:rsidP="00977B9A">
            <w:pPr>
              <w:spacing w:after="0" w:line="240" w:lineRule="auto"/>
              <w:rPr>
                <w:rFonts w:cstheme="minorHAnsi"/>
                <w:sz w:val="24"/>
                <w:szCs w:val="24"/>
              </w:rPr>
            </w:pPr>
            <w:r w:rsidRPr="0043547B">
              <w:rPr>
                <w:rFonts w:cstheme="minorHAnsi"/>
                <w:sz w:val="24"/>
                <w:szCs w:val="24"/>
              </w:rPr>
              <w:t xml:space="preserve">Verre dans la construction - Produits de base : Verre de silicate sodo-calcique – Partie 2 : glace flottée ; (IC 10.7.004) </w:t>
            </w:r>
          </w:p>
        </w:tc>
      </w:tr>
      <w:tr w:rsidR="0043547B" w:rsidRPr="0043547B" w:rsidTr="00446EF2">
        <w:trPr>
          <w:trHeight w:val="240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6A9B" w:rsidRPr="0043547B" w:rsidRDefault="00906A9B" w:rsidP="00977B9A">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hideMark/>
          </w:tcPr>
          <w:p w:rsidR="00977B9A" w:rsidRPr="0043547B" w:rsidRDefault="00906A9B" w:rsidP="00977B9A">
            <w:pPr>
              <w:spacing w:after="0" w:line="240" w:lineRule="auto"/>
              <w:jc w:val="both"/>
              <w:rPr>
                <w:rFonts w:cstheme="minorHAnsi"/>
                <w:sz w:val="24"/>
                <w:szCs w:val="24"/>
              </w:rPr>
            </w:pPr>
            <w:r w:rsidRPr="0043547B">
              <w:rPr>
                <w:rFonts w:cstheme="minorHAnsi"/>
                <w:sz w:val="24"/>
                <w:szCs w:val="24"/>
              </w:rPr>
              <w:t>La présente Norme européenne détermine les exigences dimensionnelles et les exigences qualitatives minimales (concernant les défauts optiques et les défauts d’aspect) s’appliquant à la glace flottée telle que définie dans l’EN 572-1:2012, pour l’utilisation dans la construction.</w:t>
            </w:r>
          </w:p>
          <w:p w:rsidR="00977B9A" w:rsidRPr="0043547B" w:rsidRDefault="00906A9B" w:rsidP="00977B9A">
            <w:pPr>
              <w:spacing w:after="0" w:line="240" w:lineRule="auto"/>
              <w:jc w:val="both"/>
              <w:rPr>
                <w:rFonts w:cstheme="minorHAnsi"/>
                <w:sz w:val="24"/>
                <w:szCs w:val="24"/>
              </w:rPr>
            </w:pPr>
            <w:r w:rsidRPr="0043547B">
              <w:rPr>
                <w:rFonts w:cstheme="minorHAnsi"/>
                <w:sz w:val="24"/>
                <w:szCs w:val="24"/>
              </w:rPr>
              <w:t>La présente Norme européenne ne s’applique qu’à la glace flottée fournie en plateaux à largeur de fabrication (voir NOTE 1), en dimensions à largeur de fabrication (voir NOTE 2) et en plateaux grande longueur(voir NOTE 3).</w:t>
            </w:r>
          </w:p>
          <w:p w:rsidR="00977B9A" w:rsidRPr="00CB5DC0" w:rsidRDefault="00906A9B" w:rsidP="00977B9A">
            <w:pPr>
              <w:spacing w:after="0" w:line="240" w:lineRule="auto"/>
              <w:jc w:val="both"/>
              <w:rPr>
                <w:rFonts w:cstheme="minorHAnsi"/>
                <w:i/>
                <w:iCs/>
              </w:rPr>
            </w:pPr>
            <w:r w:rsidRPr="00CB5DC0">
              <w:rPr>
                <w:rFonts w:cstheme="minorHAnsi"/>
                <w:b/>
                <w:bCs/>
                <w:i/>
                <w:iCs/>
              </w:rPr>
              <w:t>NOTE 1</w:t>
            </w:r>
            <w:r w:rsidR="00977B9A" w:rsidRPr="00CB5DC0">
              <w:rPr>
                <w:rFonts w:cstheme="minorHAnsi"/>
                <w:i/>
                <w:iCs/>
              </w:rPr>
              <w:t> :</w:t>
            </w:r>
            <w:r w:rsidRPr="00CB5DC0">
              <w:rPr>
                <w:rFonts w:cstheme="minorHAnsi"/>
                <w:i/>
                <w:iCs/>
              </w:rPr>
              <w:t xml:space="preserve"> Jumbo sizes — PLF (plateau largeur de fabrication) — Bandmasse.</w:t>
            </w:r>
          </w:p>
          <w:p w:rsidR="00977B9A" w:rsidRPr="00CB5DC0" w:rsidRDefault="00906A9B" w:rsidP="00977B9A">
            <w:pPr>
              <w:spacing w:after="0" w:line="240" w:lineRule="auto"/>
              <w:jc w:val="both"/>
              <w:rPr>
                <w:rFonts w:cstheme="minorHAnsi"/>
                <w:i/>
                <w:iCs/>
              </w:rPr>
            </w:pPr>
            <w:r w:rsidRPr="00CB5DC0">
              <w:rPr>
                <w:rFonts w:cstheme="minorHAnsi"/>
                <w:b/>
                <w:bCs/>
                <w:i/>
                <w:iCs/>
              </w:rPr>
              <w:t>NOTE 2</w:t>
            </w:r>
            <w:r w:rsidR="00977B9A" w:rsidRPr="00CB5DC0">
              <w:rPr>
                <w:rFonts w:cstheme="minorHAnsi"/>
                <w:i/>
                <w:iCs/>
              </w:rPr>
              <w:t xml:space="preserve"> : </w:t>
            </w:r>
            <w:r w:rsidRPr="00CB5DC0">
              <w:rPr>
                <w:rFonts w:cstheme="minorHAnsi"/>
                <w:i/>
                <w:iCs/>
              </w:rPr>
              <w:t>Split sizes — DLF (dimension largeur de fabrication) — Geteilte Bandmasse.</w:t>
            </w:r>
          </w:p>
          <w:p w:rsidR="00977B9A" w:rsidRPr="00CB5DC0" w:rsidRDefault="00906A9B" w:rsidP="00977B9A">
            <w:pPr>
              <w:spacing w:after="0" w:line="240" w:lineRule="auto"/>
              <w:jc w:val="both"/>
              <w:rPr>
                <w:rFonts w:cstheme="minorHAnsi"/>
                <w:i/>
                <w:iCs/>
              </w:rPr>
            </w:pPr>
            <w:r w:rsidRPr="00CB5DC0">
              <w:rPr>
                <w:rFonts w:cstheme="minorHAnsi"/>
                <w:b/>
                <w:bCs/>
                <w:i/>
                <w:iCs/>
              </w:rPr>
              <w:t>NOTE 3</w:t>
            </w:r>
            <w:r w:rsidR="00977B9A" w:rsidRPr="00CB5DC0">
              <w:rPr>
                <w:rFonts w:cstheme="minorHAnsi"/>
                <w:i/>
                <w:iCs/>
              </w:rPr>
              <w:t xml:space="preserve"> : </w:t>
            </w:r>
            <w:r w:rsidRPr="00CB5DC0">
              <w:rPr>
                <w:rFonts w:cstheme="minorHAnsi"/>
                <w:i/>
                <w:iCs/>
              </w:rPr>
              <w:t xml:space="preserve">Plateaux grande longueur – Il s'agit de plateaux dont la longueur nominale, H, est </w:t>
            </w:r>
            <w:r w:rsidR="00446EF2" w:rsidRPr="00CB5DC0">
              <w:rPr>
                <w:rFonts w:cstheme="minorHAnsi"/>
                <w:i/>
                <w:iCs/>
              </w:rPr>
              <w:t>supérieur</w:t>
            </w:r>
            <w:r w:rsidRPr="00CB5DC0">
              <w:rPr>
                <w:rFonts w:cstheme="minorHAnsi"/>
                <w:i/>
                <w:iCs/>
              </w:rPr>
              <w:t xml:space="preserve"> à 6 000 mm.</w:t>
            </w:r>
          </w:p>
          <w:p w:rsidR="00977B9A" w:rsidRPr="0043547B" w:rsidRDefault="00906A9B" w:rsidP="00977B9A">
            <w:pPr>
              <w:spacing w:after="0" w:line="240" w:lineRule="auto"/>
              <w:jc w:val="both"/>
              <w:rPr>
                <w:rFonts w:cstheme="minorHAnsi"/>
                <w:sz w:val="24"/>
                <w:szCs w:val="24"/>
              </w:rPr>
            </w:pPr>
            <w:r w:rsidRPr="0043547B">
              <w:rPr>
                <w:rFonts w:cstheme="minorHAnsi"/>
                <w:sz w:val="24"/>
                <w:szCs w:val="24"/>
              </w:rPr>
              <w:t>Ces plateaux font l'objet d'une commande spéciale.</w:t>
            </w:r>
          </w:p>
          <w:p w:rsidR="00906A9B" w:rsidRPr="0043547B" w:rsidRDefault="00906A9B" w:rsidP="00977B9A">
            <w:pPr>
              <w:spacing w:after="0" w:line="240" w:lineRule="auto"/>
              <w:jc w:val="both"/>
              <w:rPr>
                <w:rFonts w:cstheme="minorHAnsi"/>
                <w:sz w:val="24"/>
                <w:szCs w:val="24"/>
              </w:rPr>
            </w:pPr>
            <w:r w:rsidRPr="0043547B">
              <w:rPr>
                <w:rFonts w:cstheme="minorHAnsi"/>
                <w:sz w:val="24"/>
                <w:szCs w:val="24"/>
              </w:rPr>
              <w:t>L’EN 572-8 donne des informations sur les glaces flottées fournies dans des dimensions, c'est-à-dire des mesures livrées et des mesures découpées finales, autres que celles couvertes par la présente Norme européenne.</w:t>
            </w:r>
          </w:p>
        </w:tc>
      </w:tr>
      <w:tr w:rsidR="0043547B" w:rsidRPr="0043547B" w:rsidTr="00446EF2">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6A9B" w:rsidRPr="0043547B" w:rsidRDefault="00906A9B" w:rsidP="00977B9A">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hideMark/>
          </w:tcPr>
          <w:p w:rsidR="00906A9B" w:rsidRPr="0043547B" w:rsidRDefault="00906A9B" w:rsidP="00977B9A">
            <w:pPr>
              <w:spacing w:after="0" w:line="240" w:lineRule="auto"/>
              <w:jc w:val="center"/>
              <w:rPr>
                <w:rFonts w:cstheme="minorHAnsi"/>
                <w:b/>
                <w:bCs/>
                <w:sz w:val="24"/>
                <w:szCs w:val="24"/>
              </w:rPr>
            </w:pPr>
            <w:r w:rsidRPr="0043547B">
              <w:rPr>
                <w:rFonts w:cstheme="minorHAnsi"/>
                <w:b/>
                <w:bCs/>
                <w:sz w:val="24"/>
                <w:szCs w:val="24"/>
              </w:rPr>
              <w:t>NM EN 572-3</w:t>
            </w:r>
          </w:p>
        </w:tc>
      </w:tr>
      <w:tr w:rsidR="0043547B" w:rsidRPr="0043547B" w:rsidTr="00446EF2">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6A9B" w:rsidRPr="0043547B" w:rsidRDefault="00906A9B" w:rsidP="00977B9A">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hideMark/>
          </w:tcPr>
          <w:p w:rsidR="00906A9B" w:rsidRPr="0043547B" w:rsidRDefault="00906A9B" w:rsidP="00977B9A">
            <w:pPr>
              <w:spacing w:after="0" w:line="240" w:lineRule="auto"/>
              <w:jc w:val="center"/>
              <w:rPr>
                <w:rFonts w:cstheme="minorHAnsi"/>
                <w:b/>
                <w:bCs/>
                <w:sz w:val="24"/>
                <w:szCs w:val="24"/>
              </w:rPr>
            </w:pPr>
            <w:r w:rsidRPr="0043547B">
              <w:rPr>
                <w:rFonts w:cstheme="minorHAnsi"/>
                <w:b/>
                <w:bCs/>
                <w:sz w:val="24"/>
                <w:szCs w:val="24"/>
              </w:rPr>
              <w:t>EN 572-3</w:t>
            </w:r>
          </w:p>
        </w:tc>
      </w:tr>
      <w:tr w:rsidR="0043547B" w:rsidRPr="0043547B" w:rsidTr="00446EF2">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6A9B" w:rsidRPr="0043547B" w:rsidRDefault="00906A9B" w:rsidP="00977B9A">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hideMark/>
          </w:tcPr>
          <w:p w:rsidR="00906A9B" w:rsidRPr="0043547B" w:rsidRDefault="00906A9B" w:rsidP="00977B9A">
            <w:pPr>
              <w:spacing w:after="0" w:line="240" w:lineRule="auto"/>
              <w:rPr>
                <w:rFonts w:cstheme="minorHAnsi"/>
                <w:sz w:val="24"/>
                <w:szCs w:val="24"/>
              </w:rPr>
            </w:pPr>
            <w:r w:rsidRPr="0043547B">
              <w:rPr>
                <w:rFonts w:cstheme="minorHAnsi"/>
                <w:sz w:val="24"/>
                <w:szCs w:val="24"/>
              </w:rPr>
              <w:t xml:space="preserve">Verre dans la construction - Produit de base : verre de silicate sodo-calcique - Partie 3 : verre armé poli ; (IC 10.7.005) </w:t>
            </w:r>
          </w:p>
        </w:tc>
      </w:tr>
      <w:tr w:rsidR="0043547B" w:rsidRPr="0043547B" w:rsidTr="00446EF2">
        <w:trPr>
          <w:trHeight w:val="180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6A9B" w:rsidRPr="0043547B" w:rsidRDefault="00906A9B" w:rsidP="00977B9A">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hideMark/>
          </w:tcPr>
          <w:p w:rsidR="00977B9A" w:rsidRPr="0043547B" w:rsidRDefault="00906A9B" w:rsidP="00977B9A">
            <w:pPr>
              <w:spacing w:after="0" w:line="240" w:lineRule="auto"/>
              <w:jc w:val="both"/>
              <w:rPr>
                <w:rFonts w:cstheme="minorHAnsi"/>
                <w:sz w:val="24"/>
                <w:szCs w:val="24"/>
              </w:rPr>
            </w:pPr>
            <w:r w:rsidRPr="0043547B">
              <w:rPr>
                <w:rFonts w:cstheme="minorHAnsi"/>
                <w:sz w:val="24"/>
                <w:szCs w:val="24"/>
              </w:rPr>
              <w:t>La présente Norme européenne détermine les exigences dimensionnelles et les exigences qualitatives minimales (concernant les défauts optiques, les défauts d’aspect et les défauts du fil métallique) pour le verre armé poli, tel que défini dans le EN 572-1:2012, pour l’utilisation dans la construction.</w:t>
            </w:r>
          </w:p>
          <w:p w:rsidR="00977B9A" w:rsidRPr="0043547B" w:rsidRDefault="00906A9B" w:rsidP="00977B9A">
            <w:pPr>
              <w:spacing w:after="0" w:line="240" w:lineRule="auto"/>
              <w:jc w:val="both"/>
              <w:rPr>
                <w:rFonts w:cstheme="minorHAnsi"/>
                <w:sz w:val="24"/>
                <w:szCs w:val="24"/>
              </w:rPr>
            </w:pPr>
            <w:r w:rsidRPr="0043547B">
              <w:rPr>
                <w:rFonts w:cstheme="minorHAnsi"/>
                <w:sz w:val="24"/>
                <w:szCs w:val="24"/>
              </w:rPr>
              <w:t>La présente Norme européenne ne s’applique qu’au verre armé poli fourni en feuilles rectangulaires et en dimensions standard.</w:t>
            </w:r>
          </w:p>
          <w:p w:rsidR="00906A9B" w:rsidRPr="0043547B" w:rsidRDefault="00906A9B" w:rsidP="00977B9A">
            <w:pPr>
              <w:spacing w:after="0" w:line="240" w:lineRule="auto"/>
              <w:jc w:val="both"/>
              <w:rPr>
                <w:rFonts w:cstheme="minorHAnsi"/>
                <w:sz w:val="24"/>
                <w:szCs w:val="24"/>
              </w:rPr>
            </w:pPr>
            <w:r w:rsidRPr="0043547B">
              <w:rPr>
                <w:rFonts w:cstheme="minorHAnsi"/>
                <w:sz w:val="24"/>
                <w:szCs w:val="24"/>
              </w:rPr>
              <w:t>L’EN 572-8 fournit des informations sur le verre armé poli fourni dans des dimensions autres que celles couvertes par la présente Norme européenne.</w:t>
            </w:r>
          </w:p>
        </w:tc>
      </w:tr>
      <w:tr w:rsidR="0043547B" w:rsidRPr="0043547B" w:rsidTr="00446EF2">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6A9B" w:rsidRPr="0043547B" w:rsidRDefault="00906A9B" w:rsidP="00977B9A">
            <w:pPr>
              <w:spacing w:after="0" w:line="240" w:lineRule="auto"/>
              <w:jc w:val="center"/>
              <w:rPr>
                <w:rFonts w:cstheme="minorHAnsi"/>
                <w:b/>
                <w:bCs/>
                <w:sz w:val="24"/>
                <w:szCs w:val="24"/>
              </w:rPr>
            </w:pPr>
            <w:r w:rsidRPr="0043547B">
              <w:rPr>
                <w:rFonts w:cstheme="minorHAnsi"/>
                <w:b/>
                <w:bCs/>
                <w:sz w:val="24"/>
                <w:szCs w:val="24"/>
              </w:rPr>
              <w:t>Code</w:t>
            </w:r>
            <w:r w:rsidR="00977B9A" w:rsidRPr="0043547B">
              <w:rPr>
                <w:rFonts w:cstheme="minorHAnsi"/>
                <w:b/>
                <w:bCs/>
                <w:sz w:val="24"/>
                <w:szCs w:val="24"/>
              </w:rPr>
              <w:t xml:space="preserve"> </w:t>
            </w:r>
            <w:r w:rsidRPr="0043547B">
              <w:rPr>
                <w:rFonts w:cstheme="minorHAnsi"/>
                <w:b/>
                <w:bCs/>
                <w:sz w:val="24"/>
                <w:szCs w:val="24"/>
              </w:rPr>
              <w:t>:</w:t>
            </w:r>
          </w:p>
        </w:tc>
        <w:tc>
          <w:tcPr>
            <w:tcW w:w="7938" w:type="dxa"/>
            <w:tcBorders>
              <w:top w:val="single" w:sz="18" w:space="0" w:color="auto"/>
              <w:left w:val="single" w:sz="4" w:space="0" w:color="auto"/>
              <w:bottom w:val="single" w:sz="18" w:space="0" w:color="auto"/>
              <w:right w:val="single" w:sz="18" w:space="0" w:color="auto"/>
            </w:tcBorders>
            <w:shd w:val="clear" w:color="auto" w:fill="B7CE88"/>
            <w:hideMark/>
          </w:tcPr>
          <w:p w:rsidR="00906A9B" w:rsidRPr="0043547B" w:rsidRDefault="00906A9B" w:rsidP="00977B9A">
            <w:pPr>
              <w:spacing w:after="0" w:line="240" w:lineRule="auto"/>
              <w:jc w:val="center"/>
              <w:rPr>
                <w:rFonts w:cstheme="minorHAnsi"/>
                <w:b/>
                <w:bCs/>
                <w:sz w:val="24"/>
                <w:szCs w:val="24"/>
              </w:rPr>
            </w:pPr>
            <w:r w:rsidRPr="0043547B">
              <w:rPr>
                <w:rFonts w:cstheme="minorHAnsi"/>
                <w:b/>
                <w:bCs/>
                <w:sz w:val="24"/>
                <w:szCs w:val="24"/>
              </w:rPr>
              <w:t>NM EN 572-4</w:t>
            </w:r>
          </w:p>
        </w:tc>
      </w:tr>
      <w:tr w:rsidR="0043547B" w:rsidRPr="0043547B" w:rsidTr="00446EF2">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6A9B" w:rsidRPr="0043547B" w:rsidRDefault="00906A9B" w:rsidP="00977B9A">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hideMark/>
          </w:tcPr>
          <w:p w:rsidR="00906A9B" w:rsidRPr="0043547B" w:rsidRDefault="00906A9B" w:rsidP="00977B9A">
            <w:pPr>
              <w:spacing w:after="0" w:line="240" w:lineRule="auto"/>
              <w:jc w:val="center"/>
              <w:rPr>
                <w:rFonts w:cstheme="minorHAnsi"/>
                <w:b/>
                <w:bCs/>
                <w:sz w:val="24"/>
                <w:szCs w:val="24"/>
              </w:rPr>
            </w:pPr>
            <w:r w:rsidRPr="0043547B">
              <w:rPr>
                <w:rFonts w:cstheme="minorHAnsi"/>
                <w:b/>
                <w:bCs/>
                <w:sz w:val="24"/>
                <w:szCs w:val="24"/>
              </w:rPr>
              <w:t>EN 572-4</w:t>
            </w:r>
          </w:p>
        </w:tc>
      </w:tr>
      <w:tr w:rsidR="0043547B" w:rsidRPr="0043547B" w:rsidTr="00446EF2">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6A9B" w:rsidRPr="0043547B" w:rsidRDefault="00906A9B" w:rsidP="00977B9A">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hideMark/>
          </w:tcPr>
          <w:p w:rsidR="00906A9B" w:rsidRPr="0043547B" w:rsidRDefault="00906A9B" w:rsidP="00977B9A">
            <w:pPr>
              <w:spacing w:after="0" w:line="240" w:lineRule="auto"/>
              <w:rPr>
                <w:rFonts w:cstheme="minorHAnsi"/>
                <w:sz w:val="24"/>
                <w:szCs w:val="24"/>
              </w:rPr>
            </w:pPr>
            <w:r w:rsidRPr="0043547B">
              <w:rPr>
                <w:rFonts w:cstheme="minorHAnsi"/>
                <w:sz w:val="24"/>
                <w:szCs w:val="24"/>
              </w:rPr>
              <w:t xml:space="preserve">Verre dans la construction - Produits de base : Verre de silicate sodo-calcique – Partie 4 : verre étiré ; (IC 10.7.006) </w:t>
            </w:r>
          </w:p>
        </w:tc>
      </w:tr>
      <w:tr w:rsidR="0043547B" w:rsidRPr="0043547B" w:rsidTr="00446EF2">
        <w:trPr>
          <w:trHeight w:val="559"/>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6A9B" w:rsidRPr="0043547B" w:rsidRDefault="00906A9B" w:rsidP="00977B9A">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hideMark/>
          </w:tcPr>
          <w:p w:rsidR="00977B9A" w:rsidRPr="0043547B" w:rsidRDefault="00906A9B" w:rsidP="00977B9A">
            <w:pPr>
              <w:spacing w:after="0" w:line="240" w:lineRule="auto"/>
              <w:jc w:val="both"/>
              <w:rPr>
                <w:rFonts w:cstheme="minorHAnsi"/>
                <w:sz w:val="24"/>
                <w:szCs w:val="24"/>
              </w:rPr>
            </w:pPr>
            <w:r w:rsidRPr="0043547B">
              <w:rPr>
                <w:rFonts w:cstheme="minorHAnsi"/>
                <w:sz w:val="24"/>
                <w:szCs w:val="24"/>
              </w:rPr>
              <w:t>La présente Norme européenne détermine les exigences dimensionnelles et les exigences qualitatives minimales (concernant les défauts optiques et les défauts d'aspect) pour le verre étiré, tel que défini dans le EN 572-1:2012, pour l'utilisation dans la construction.</w:t>
            </w:r>
          </w:p>
          <w:p w:rsidR="00977B9A" w:rsidRPr="0043547B" w:rsidRDefault="00906A9B" w:rsidP="00977B9A">
            <w:pPr>
              <w:spacing w:after="0" w:line="240" w:lineRule="auto"/>
              <w:jc w:val="both"/>
              <w:rPr>
                <w:rFonts w:cstheme="minorHAnsi"/>
                <w:sz w:val="24"/>
                <w:szCs w:val="24"/>
              </w:rPr>
            </w:pPr>
            <w:r w:rsidRPr="0043547B">
              <w:rPr>
                <w:rFonts w:cstheme="minorHAnsi"/>
                <w:sz w:val="24"/>
                <w:szCs w:val="24"/>
              </w:rPr>
              <w:t>La présente Norme européenne ne s’applique qu’au verre étiré fourni en feuilles rectangulaires et en dimensions standard.</w:t>
            </w:r>
          </w:p>
          <w:p w:rsidR="00906A9B" w:rsidRPr="0043547B" w:rsidRDefault="00906A9B" w:rsidP="00977B9A">
            <w:pPr>
              <w:spacing w:after="0" w:line="240" w:lineRule="auto"/>
              <w:jc w:val="both"/>
              <w:rPr>
                <w:rFonts w:cstheme="minorHAnsi"/>
                <w:sz w:val="24"/>
                <w:szCs w:val="24"/>
              </w:rPr>
            </w:pPr>
            <w:r w:rsidRPr="0043547B">
              <w:rPr>
                <w:rFonts w:cstheme="minorHAnsi"/>
                <w:sz w:val="24"/>
                <w:szCs w:val="24"/>
              </w:rPr>
              <w:t>L’EN 572-8 fournit des informations sur le verre étiré fourni dans des dimensions autres que celles couvertes par la présente Norme européenne.</w:t>
            </w:r>
          </w:p>
        </w:tc>
      </w:tr>
      <w:tr w:rsidR="0043547B" w:rsidRPr="0043547B" w:rsidTr="00446EF2">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6A9B" w:rsidRPr="0043547B" w:rsidRDefault="00906A9B" w:rsidP="00977B9A">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6A9B" w:rsidRPr="0043547B" w:rsidRDefault="00906A9B" w:rsidP="00977B9A">
            <w:pPr>
              <w:spacing w:after="0" w:line="240" w:lineRule="auto"/>
              <w:jc w:val="center"/>
              <w:rPr>
                <w:rFonts w:cstheme="minorHAnsi"/>
                <w:b/>
                <w:bCs/>
                <w:sz w:val="24"/>
                <w:szCs w:val="24"/>
              </w:rPr>
            </w:pPr>
            <w:r w:rsidRPr="0043547B">
              <w:rPr>
                <w:rFonts w:cstheme="minorHAnsi"/>
                <w:b/>
                <w:bCs/>
                <w:sz w:val="24"/>
                <w:szCs w:val="24"/>
              </w:rPr>
              <w:t>NM EN 572-5</w:t>
            </w:r>
          </w:p>
        </w:tc>
      </w:tr>
      <w:tr w:rsidR="0043547B" w:rsidRPr="0043547B" w:rsidTr="00446EF2">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6A9B" w:rsidRPr="0043547B" w:rsidRDefault="00906A9B" w:rsidP="00977B9A">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6A9B" w:rsidRPr="0043547B" w:rsidRDefault="00906A9B" w:rsidP="00977B9A">
            <w:pPr>
              <w:spacing w:after="0" w:line="240" w:lineRule="auto"/>
              <w:jc w:val="center"/>
              <w:rPr>
                <w:rFonts w:cstheme="minorHAnsi"/>
                <w:b/>
                <w:bCs/>
                <w:sz w:val="24"/>
                <w:szCs w:val="24"/>
              </w:rPr>
            </w:pPr>
            <w:r w:rsidRPr="0043547B">
              <w:rPr>
                <w:rFonts w:cstheme="minorHAnsi"/>
                <w:b/>
                <w:bCs/>
                <w:sz w:val="24"/>
                <w:szCs w:val="24"/>
              </w:rPr>
              <w:t>EN 572-5</w:t>
            </w:r>
          </w:p>
        </w:tc>
      </w:tr>
      <w:tr w:rsidR="0043547B" w:rsidRPr="0043547B" w:rsidTr="00446EF2">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6A9B" w:rsidRPr="0043547B" w:rsidRDefault="00906A9B" w:rsidP="00977B9A">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hideMark/>
          </w:tcPr>
          <w:p w:rsidR="00906A9B" w:rsidRPr="0043547B" w:rsidRDefault="00906A9B" w:rsidP="00977B9A">
            <w:pPr>
              <w:spacing w:after="0" w:line="240" w:lineRule="auto"/>
              <w:rPr>
                <w:rFonts w:cstheme="minorHAnsi"/>
                <w:sz w:val="24"/>
                <w:szCs w:val="24"/>
              </w:rPr>
            </w:pPr>
            <w:r w:rsidRPr="0043547B">
              <w:rPr>
                <w:rFonts w:cstheme="minorHAnsi"/>
                <w:sz w:val="24"/>
                <w:szCs w:val="24"/>
              </w:rPr>
              <w:t xml:space="preserve">Verre dans la construction – Produits de base : Verre de silicate sodo-calcique – Partie 5 : verre imprimé ; (IC 10.7.007) </w:t>
            </w:r>
          </w:p>
        </w:tc>
      </w:tr>
      <w:tr w:rsidR="0043547B" w:rsidRPr="0043547B" w:rsidTr="00446EF2">
        <w:trPr>
          <w:trHeight w:val="1268"/>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6A9B" w:rsidRPr="0043547B" w:rsidRDefault="00906A9B" w:rsidP="00977B9A">
            <w:pPr>
              <w:spacing w:after="0" w:line="240" w:lineRule="auto"/>
              <w:jc w:val="center"/>
              <w:rPr>
                <w:rFonts w:cstheme="minorHAnsi"/>
                <w:b/>
                <w:bCs/>
                <w:sz w:val="24"/>
                <w:szCs w:val="24"/>
              </w:rPr>
            </w:pPr>
            <w:r w:rsidRPr="0043547B">
              <w:rPr>
                <w:rFonts w:cstheme="minorHAnsi"/>
                <w:b/>
                <w:bCs/>
                <w:sz w:val="24"/>
                <w:szCs w:val="24"/>
              </w:rPr>
              <w:lastRenderedPageBreak/>
              <w:t>Domaine d’application :</w:t>
            </w:r>
          </w:p>
        </w:tc>
        <w:tc>
          <w:tcPr>
            <w:tcW w:w="7938" w:type="dxa"/>
            <w:tcBorders>
              <w:top w:val="nil"/>
              <w:left w:val="single" w:sz="4" w:space="0" w:color="auto"/>
              <w:bottom w:val="single" w:sz="18" w:space="0" w:color="auto"/>
              <w:right w:val="single" w:sz="18" w:space="0" w:color="auto"/>
            </w:tcBorders>
            <w:shd w:val="clear" w:color="auto" w:fill="auto"/>
            <w:hideMark/>
          </w:tcPr>
          <w:p w:rsidR="00CA6BDF" w:rsidRDefault="00906A9B" w:rsidP="00CA6BDF">
            <w:pPr>
              <w:spacing w:after="0" w:line="240" w:lineRule="auto"/>
              <w:jc w:val="both"/>
              <w:rPr>
                <w:rFonts w:cstheme="minorHAnsi"/>
                <w:sz w:val="24"/>
                <w:szCs w:val="24"/>
              </w:rPr>
            </w:pPr>
            <w:r w:rsidRPr="0043547B">
              <w:rPr>
                <w:rFonts w:cstheme="minorHAnsi"/>
                <w:sz w:val="24"/>
                <w:szCs w:val="24"/>
              </w:rPr>
              <w:t>La présente Norme européenne détermine les spécifications dimensionnelles et les spécifications qualitatives minimales (concernant les défauts d'aspect et de dessin) du verre imprimé, tel que défini dans le EN 572-1:2012, pour l'utilisation dans la construction.</w:t>
            </w:r>
          </w:p>
          <w:p w:rsidR="00977B9A" w:rsidRPr="0043547B" w:rsidRDefault="00906A9B" w:rsidP="00CA6BDF">
            <w:pPr>
              <w:spacing w:after="0" w:line="240" w:lineRule="auto"/>
              <w:jc w:val="both"/>
              <w:rPr>
                <w:rFonts w:cstheme="minorHAnsi"/>
                <w:sz w:val="24"/>
                <w:szCs w:val="24"/>
              </w:rPr>
            </w:pPr>
            <w:r w:rsidRPr="0043547B">
              <w:rPr>
                <w:rFonts w:cstheme="minorHAnsi"/>
                <w:sz w:val="24"/>
                <w:szCs w:val="24"/>
              </w:rPr>
              <w:t>La présente Norme européenne ne s'applique qu'au verre imprimé fourni en feuilles rectangulaires et en dimensions standard.</w:t>
            </w:r>
          </w:p>
          <w:p w:rsidR="00906A9B" w:rsidRPr="0043547B" w:rsidRDefault="00906A9B" w:rsidP="00977B9A">
            <w:pPr>
              <w:spacing w:after="0" w:line="240" w:lineRule="auto"/>
              <w:jc w:val="both"/>
              <w:rPr>
                <w:rFonts w:cstheme="minorHAnsi"/>
                <w:sz w:val="24"/>
                <w:szCs w:val="24"/>
              </w:rPr>
            </w:pPr>
            <w:r w:rsidRPr="0043547B">
              <w:rPr>
                <w:rFonts w:cstheme="minorHAnsi"/>
                <w:sz w:val="24"/>
                <w:szCs w:val="24"/>
              </w:rPr>
              <w:t>L’EN 572-8 fournit des informations sur le verre imprimé dans des dimensions autres que celles couvertes par la présente Norme européenne.</w:t>
            </w:r>
          </w:p>
        </w:tc>
      </w:tr>
      <w:tr w:rsidR="0043547B" w:rsidRPr="0043547B" w:rsidTr="00446EF2">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6A9B" w:rsidRPr="0043547B" w:rsidRDefault="00906A9B" w:rsidP="00977B9A">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6A9B" w:rsidRPr="0043547B" w:rsidRDefault="00906A9B" w:rsidP="00977B9A">
            <w:pPr>
              <w:spacing w:after="0" w:line="240" w:lineRule="auto"/>
              <w:jc w:val="center"/>
              <w:rPr>
                <w:rFonts w:cstheme="minorHAnsi"/>
                <w:b/>
                <w:bCs/>
                <w:sz w:val="24"/>
                <w:szCs w:val="24"/>
              </w:rPr>
            </w:pPr>
            <w:r w:rsidRPr="0043547B">
              <w:rPr>
                <w:rFonts w:cstheme="minorHAnsi"/>
                <w:b/>
                <w:bCs/>
                <w:sz w:val="24"/>
                <w:szCs w:val="24"/>
              </w:rPr>
              <w:t>NM EN 572-6</w:t>
            </w:r>
          </w:p>
        </w:tc>
      </w:tr>
      <w:tr w:rsidR="0043547B" w:rsidRPr="0043547B" w:rsidTr="00446EF2">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6A9B" w:rsidRPr="0043547B" w:rsidRDefault="00906A9B" w:rsidP="00977B9A">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6A9B" w:rsidRPr="0043547B" w:rsidRDefault="00906A9B" w:rsidP="00977B9A">
            <w:pPr>
              <w:spacing w:after="0" w:line="240" w:lineRule="auto"/>
              <w:jc w:val="center"/>
              <w:rPr>
                <w:rFonts w:cstheme="minorHAnsi"/>
                <w:b/>
                <w:bCs/>
                <w:sz w:val="24"/>
                <w:szCs w:val="24"/>
              </w:rPr>
            </w:pPr>
            <w:r w:rsidRPr="0043547B">
              <w:rPr>
                <w:rFonts w:cstheme="minorHAnsi"/>
                <w:b/>
                <w:bCs/>
                <w:sz w:val="24"/>
                <w:szCs w:val="24"/>
              </w:rPr>
              <w:t>EN 572-6</w:t>
            </w:r>
          </w:p>
        </w:tc>
      </w:tr>
      <w:tr w:rsidR="0043547B" w:rsidRPr="0043547B" w:rsidTr="00446EF2">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6A9B" w:rsidRPr="0043547B" w:rsidRDefault="00906A9B" w:rsidP="00977B9A">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hideMark/>
          </w:tcPr>
          <w:p w:rsidR="00906A9B" w:rsidRPr="0043547B" w:rsidRDefault="00906A9B" w:rsidP="00977B9A">
            <w:pPr>
              <w:spacing w:after="0" w:line="240" w:lineRule="auto"/>
              <w:rPr>
                <w:rFonts w:cstheme="minorHAnsi"/>
                <w:sz w:val="24"/>
                <w:szCs w:val="24"/>
              </w:rPr>
            </w:pPr>
            <w:r w:rsidRPr="0043547B">
              <w:rPr>
                <w:rFonts w:cstheme="minorHAnsi"/>
                <w:sz w:val="24"/>
                <w:szCs w:val="24"/>
              </w:rPr>
              <w:t xml:space="preserve">Verre dans la construction - Produits de base : verre de silicate sodo-calcique - Partie 6 : verre imprimé armé ; (IC 10.7.008) </w:t>
            </w:r>
          </w:p>
        </w:tc>
      </w:tr>
      <w:tr w:rsidR="0043547B" w:rsidRPr="0043547B" w:rsidTr="00446EF2">
        <w:trPr>
          <w:trHeight w:val="416"/>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6A9B" w:rsidRPr="0043547B" w:rsidRDefault="00906A9B" w:rsidP="00977B9A">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hideMark/>
          </w:tcPr>
          <w:p w:rsidR="00906A9B" w:rsidRPr="0043547B" w:rsidRDefault="00906A9B" w:rsidP="00977B9A">
            <w:pPr>
              <w:spacing w:after="0" w:line="240" w:lineRule="auto"/>
              <w:rPr>
                <w:rFonts w:cstheme="minorHAnsi"/>
                <w:sz w:val="24"/>
                <w:szCs w:val="24"/>
              </w:rPr>
            </w:pPr>
            <w:r w:rsidRPr="0043547B">
              <w:rPr>
                <w:rFonts w:cstheme="minorHAnsi"/>
                <w:sz w:val="24"/>
                <w:szCs w:val="24"/>
              </w:rPr>
              <w:t>La présente Norme européenne détermine les exigences dimensionnelles et les exigences qualitatives minimales (concernant les défauts optiques et les défauts d’aspect) pour le verre imprimé armé, tel que défini dans l’EN 572-1:2012, pour l’utilisation dans la construction.</w:t>
            </w:r>
            <w:r w:rsidRPr="0043547B">
              <w:rPr>
                <w:rFonts w:cstheme="minorHAnsi"/>
                <w:sz w:val="24"/>
                <w:szCs w:val="24"/>
              </w:rPr>
              <w:br/>
              <w:t>La présente Norme européenne ne s’applique qu’au verre imprimé armé fourni en feuilles rectangulaires et en dimensions standard.</w:t>
            </w:r>
            <w:r w:rsidRPr="0043547B">
              <w:rPr>
                <w:rFonts w:cstheme="minorHAnsi"/>
                <w:sz w:val="24"/>
                <w:szCs w:val="24"/>
              </w:rPr>
              <w:br/>
              <w:t>L’EN 572-8 fournit des informations sur le verre imprimé armé fourni dans des dimensions autres que celles couvertes par la présente Norme européenne.</w:t>
            </w:r>
          </w:p>
        </w:tc>
      </w:tr>
      <w:tr w:rsidR="0043547B" w:rsidRPr="0043547B" w:rsidTr="00446EF2">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6A9B" w:rsidRPr="0043547B" w:rsidRDefault="00906A9B" w:rsidP="00977B9A">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6A9B" w:rsidRPr="0043547B" w:rsidRDefault="00906A9B" w:rsidP="00977B9A">
            <w:pPr>
              <w:spacing w:after="0" w:line="240" w:lineRule="auto"/>
              <w:jc w:val="center"/>
              <w:rPr>
                <w:rFonts w:cstheme="minorHAnsi"/>
                <w:b/>
                <w:bCs/>
                <w:sz w:val="24"/>
                <w:szCs w:val="24"/>
              </w:rPr>
            </w:pPr>
            <w:r w:rsidRPr="0043547B">
              <w:rPr>
                <w:rFonts w:cstheme="minorHAnsi"/>
                <w:b/>
                <w:bCs/>
                <w:sz w:val="24"/>
                <w:szCs w:val="24"/>
              </w:rPr>
              <w:t>NM EN 572-7</w:t>
            </w:r>
          </w:p>
        </w:tc>
      </w:tr>
      <w:tr w:rsidR="0043547B" w:rsidRPr="0043547B" w:rsidTr="00446EF2">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6A9B" w:rsidRPr="0043547B" w:rsidRDefault="00906A9B" w:rsidP="00977B9A">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6A9B" w:rsidRPr="0043547B" w:rsidRDefault="00906A9B" w:rsidP="00977B9A">
            <w:pPr>
              <w:spacing w:after="0" w:line="240" w:lineRule="auto"/>
              <w:jc w:val="center"/>
              <w:rPr>
                <w:rFonts w:cstheme="minorHAnsi"/>
                <w:b/>
                <w:bCs/>
                <w:sz w:val="24"/>
                <w:szCs w:val="24"/>
              </w:rPr>
            </w:pPr>
            <w:r w:rsidRPr="0043547B">
              <w:rPr>
                <w:rFonts w:cstheme="minorHAnsi"/>
                <w:b/>
                <w:bCs/>
                <w:sz w:val="24"/>
                <w:szCs w:val="24"/>
              </w:rPr>
              <w:t>EN 572-7</w:t>
            </w:r>
          </w:p>
        </w:tc>
      </w:tr>
      <w:tr w:rsidR="0043547B" w:rsidRPr="0043547B" w:rsidTr="00446EF2">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6A9B" w:rsidRPr="0043547B" w:rsidRDefault="00906A9B" w:rsidP="00977B9A">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hideMark/>
          </w:tcPr>
          <w:p w:rsidR="00906A9B" w:rsidRPr="0043547B" w:rsidRDefault="00906A9B" w:rsidP="00977B9A">
            <w:pPr>
              <w:spacing w:after="0" w:line="240" w:lineRule="auto"/>
              <w:rPr>
                <w:rFonts w:cstheme="minorHAnsi"/>
                <w:sz w:val="24"/>
                <w:szCs w:val="24"/>
              </w:rPr>
            </w:pPr>
            <w:r w:rsidRPr="0043547B">
              <w:rPr>
                <w:rFonts w:cstheme="minorHAnsi"/>
                <w:sz w:val="24"/>
                <w:szCs w:val="24"/>
              </w:rPr>
              <w:t xml:space="preserve">Verre dans la construction - Produits de base : verre de silicate sodo-calcique - Partie 7 : verre profilé armé ou non armé ; (IC 10.7.009) </w:t>
            </w:r>
          </w:p>
        </w:tc>
      </w:tr>
      <w:tr w:rsidR="0043547B" w:rsidRPr="0043547B" w:rsidTr="00446EF2">
        <w:trPr>
          <w:trHeight w:val="1674"/>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6A9B" w:rsidRPr="0043547B" w:rsidRDefault="00906A9B" w:rsidP="00977B9A">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hideMark/>
          </w:tcPr>
          <w:p w:rsidR="00977B9A" w:rsidRPr="0043547B" w:rsidRDefault="00906A9B" w:rsidP="00977B9A">
            <w:pPr>
              <w:spacing w:after="0" w:line="240" w:lineRule="auto"/>
              <w:jc w:val="both"/>
              <w:rPr>
                <w:rFonts w:cstheme="minorHAnsi"/>
                <w:sz w:val="24"/>
                <w:szCs w:val="24"/>
              </w:rPr>
            </w:pPr>
            <w:r w:rsidRPr="0043547B">
              <w:rPr>
                <w:rFonts w:cstheme="minorHAnsi"/>
                <w:sz w:val="24"/>
                <w:szCs w:val="24"/>
              </w:rPr>
              <w:t>La présente Norme européenne détermine les spécifications dimensionnelles et les spécifications qualitatives minimales (concernant les défauts d'aspect et les défauts du fil métallique) du verre profilé, tel que défini dans le EN 572-1:2012, pour l'utilisation dans la construction.</w:t>
            </w:r>
          </w:p>
          <w:p w:rsidR="00906A9B" w:rsidRPr="0043547B" w:rsidRDefault="00906A9B" w:rsidP="00977B9A">
            <w:pPr>
              <w:spacing w:after="0" w:line="240" w:lineRule="auto"/>
              <w:jc w:val="both"/>
              <w:rPr>
                <w:rFonts w:cstheme="minorHAnsi"/>
                <w:sz w:val="24"/>
                <w:szCs w:val="24"/>
              </w:rPr>
            </w:pPr>
            <w:r w:rsidRPr="0043547B">
              <w:rPr>
                <w:rFonts w:cstheme="minorHAnsi"/>
                <w:sz w:val="24"/>
                <w:szCs w:val="24"/>
              </w:rPr>
              <w:t>La présente Norme européenne s'applique au verre profilé fourni en dimensions standard et en mesures découpées finales.</w:t>
            </w:r>
          </w:p>
        </w:tc>
      </w:tr>
      <w:tr w:rsidR="0043547B" w:rsidRPr="0043547B" w:rsidTr="00446EF2">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77B9A">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77B9A">
            <w:pPr>
              <w:spacing w:after="0" w:line="240" w:lineRule="auto"/>
              <w:jc w:val="center"/>
              <w:rPr>
                <w:rFonts w:cstheme="minorHAnsi"/>
                <w:b/>
                <w:bCs/>
                <w:sz w:val="24"/>
                <w:szCs w:val="24"/>
              </w:rPr>
            </w:pPr>
            <w:r w:rsidRPr="0043547B">
              <w:rPr>
                <w:rFonts w:cstheme="minorHAnsi"/>
                <w:b/>
                <w:bCs/>
                <w:sz w:val="24"/>
                <w:szCs w:val="24"/>
              </w:rPr>
              <w:t>NM 10.7.011</w:t>
            </w:r>
          </w:p>
        </w:tc>
      </w:tr>
      <w:tr w:rsidR="0043547B" w:rsidRPr="0043547B" w:rsidTr="00446EF2">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77B9A">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hideMark/>
          </w:tcPr>
          <w:p w:rsidR="00904E52" w:rsidRPr="0043547B" w:rsidRDefault="00904E52" w:rsidP="00977B9A">
            <w:pPr>
              <w:spacing w:after="0" w:line="240" w:lineRule="auto"/>
              <w:jc w:val="both"/>
              <w:rPr>
                <w:rFonts w:cstheme="minorHAnsi"/>
                <w:sz w:val="24"/>
                <w:szCs w:val="24"/>
              </w:rPr>
            </w:pPr>
            <w:r w:rsidRPr="0043547B">
              <w:rPr>
                <w:rFonts w:cstheme="minorHAnsi"/>
                <w:sz w:val="24"/>
                <w:szCs w:val="24"/>
              </w:rPr>
              <w:t>Vitrerie – Miroiterie : Verre étiré pour le vitrage de bâtiment</w:t>
            </w:r>
          </w:p>
        </w:tc>
      </w:tr>
      <w:tr w:rsidR="0043547B" w:rsidRPr="0043547B" w:rsidTr="00446EF2">
        <w:trPr>
          <w:trHeight w:val="1613"/>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77B9A">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77B9A">
            <w:pPr>
              <w:spacing w:after="0" w:line="240" w:lineRule="auto"/>
              <w:jc w:val="both"/>
              <w:rPr>
                <w:rFonts w:cstheme="minorHAnsi"/>
                <w:sz w:val="24"/>
                <w:szCs w:val="24"/>
              </w:rPr>
            </w:pPr>
            <w:r w:rsidRPr="0043547B">
              <w:rPr>
                <w:rFonts w:cstheme="minorHAnsi"/>
                <w:sz w:val="24"/>
                <w:szCs w:val="24"/>
              </w:rPr>
              <w:t>La norme s’applique à tous les verres étirés incolores ou, par nature, légèrement teintés, fournis en feuilles de forme rectangulaire et aux dimensions finales d’utilisation.</w:t>
            </w:r>
          </w:p>
          <w:p w:rsidR="00904E52" w:rsidRPr="0043547B" w:rsidRDefault="00904E52" w:rsidP="00977B9A">
            <w:pPr>
              <w:spacing w:after="0" w:line="240" w:lineRule="auto"/>
              <w:jc w:val="both"/>
              <w:rPr>
                <w:rFonts w:cstheme="minorHAnsi"/>
                <w:sz w:val="24"/>
                <w:szCs w:val="24"/>
              </w:rPr>
            </w:pPr>
            <w:r w:rsidRPr="0043547B">
              <w:rPr>
                <w:rFonts w:cstheme="minorHAnsi"/>
                <w:sz w:val="24"/>
                <w:szCs w:val="24"/>
              </w:rPr>
              <w:t>Elle ne s’applique pas :</w:t>
            </w:r>
          </w:p>
          <w:p w:rsidR="00904E52" w:rsidRPr="0043547B" w:rsidRDefault="00904E52" w:rsidP="00977B9A">
            <w:pPr>
              <w:spacing w:after="0" w:line="240" w:lineRule="auto"/>
              <w:jc w:val="both"/>
              <w:rPr>
                <w:rFonts w:cstheme="minorHAnsi"/>
                <w:sz w:val="24"/>
                <w:szCs w:val="24"/>
              </w:rPr>
            </w:pPr>
            <w:r w:rsidRPr="0043547B">
              <w:rPr>
                <w:rFonts w:cstheme="minorHAnsi"/>
                <w:sz w:val="24"/>
                <w:szCs w:val="24"/>
              </w:rPr>
              <w:t>— au verre coulé (armé, cathédrale, etc.),</w:t>
            </w:r>
          </w:p>
          <w:p w:rsidR="00904E52" w:rsidRPr="0043547B" w:rsidRDefault="00904E52" w:rsidP="00977B9A">
            <w:pPr>
              <w:spacing w:after="0" w:line="240" w:lineRule="auto"/>
              <w:jc w:val="both"/>
              <w:rPr>
                <w:rFonts w:cstheme="minorHAnsi"/>
                <w:sz w:val="24"/>
                <w:szCs w:val="24"/>
              </w:rPr>
            </w:pPr>
            <w:r w:rsidRPr="0043547B">
              <w:rPr>
                <w:rFonts w:cstheme="minorHAnsi"/>
                <w:sz w:val="24"/>
                <w:szCs w:val="24"/>
              </w:rPr>
              <w:t>— au verre coloré,</w:t>
            </w:r>
          </w:p>
          <w:p w:rsidR="00904E52" w:rsidRPr="0043547B" w:rsidRDefault="00904E52" w:rsidP="00977B9A">
            <w:pPr>
              <w:spacing w:after="0" w:line="240" w:lineRule="auto"/>
              <w:jc w:val="both"/>
              <w:rPr>
                <w:rFonts w:cstheme="minorHAnsi"/>
                <w:sz w:val="24"/>
                <w:szCs w:val="24"/>
              </w:rPr>
            </w:pPr>
            <w:r w:rsidRPr="0043547B">
              <w:rPr>
                <w:rFonts w:cstheme="minorHAnsi"/>
                <w:sz w:val="24"/>
                <w:szCs w:val="24"/>
              </w:rPr>
              <w:t>— aux feuilles de verre destinées à être recoupées,</w:t>
            </w:r>
          </w:p>
          <w:p w:rsidR="00904E52" w:rsidRPr="0043547B" w:rsidRDefault="00904E52" w:rsidP="00977B9A">
            <w:pPr>
              <w:spacing w:after="0" w:line="240" w:lineRule="auto"/>
              <w:jc w:val="both"/>
              <w:rPr>
                <w:rFonts w:cstheme="minorHAnsi"/>
                <w:sz w:val="24"/>
                <w:szCs w:val="24"/>
              </w:rPr>
            </w:pPr>
            <w:r w:rsidRPr="0043547B">
              <w:rPr>
                <w:rFonts w:cstheme="minorHAnsi"/>
                <w:sz w:val="24"/>
                <w:szCs w:val="24"/>
              </w:rPr>
              <w:t>— aux vitrages composites.</w:t>
            </w:r>
          </w:p>
        </w:tc>
      </w:tr>
      <w:tr w:rsidR="0043547B" w:rsidRPr="0043547B" w:rsidTr="00446EF2">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10.7.012</w:t>
            </w:r>
          </w:p>
        </w:tc>
      </w:tr>
      <w:tr w:rsidR="0043547B" w:rsidRPr="0043547B" w:rsidTr="00446EF2">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Vitrerie, miroiterie - Glace pour vitrage de bâtiment</w:t>
            </w:r>
          </w:p>
        </w:tc>
      </w:tr>
      <w:tr w:rsidR="0043547B" w:rsidRPr="0043547B" w:rsidTr="00446EF2">
        <w:trPr>
          <w:trHeight w:val="270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à toutes les glaces incolores ou, par nature, légèrement teintées, fournies en feuilles de forme rectangulaire et aux dimensions finales d'utilisation jusqu'aux dimensions de 5000 mm X 3000 mm.</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ne s'applique pas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à la glace armée,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à la glace colorée,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aux feuilles de verre destinées à être coupées ou à subir toute autre transformation ultérieure,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aux feuilles de dimensions supérieures à 5000 mm x 3 000 mm,</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aux vitrages composites.</w:t>
            </w:r>
          </w:p>
        </w:tc>
      </w:tr>
      <w:tr w:rsidR="0043547B" w:rsidRPr="0043547B" w:rsidTr="00446EF2">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10.7.013</w:t>
            </w:r>
          </w:p>
        </w:tc>
      </w:tr>
      <w:tr w:rsidR="0043547B" w:rsidRPr="0043547B" w:rsidTr="00446EF2">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Verre feuilleté pour le vitrage de bâtiment</w:t>
            </w:r>
          </w:p>
        </w:tc>
      </w:tr>
      <w:tr w:rsidR="0043547B" w:rsidRPr="0043547B" w:rsidTr="00446EF2">
        <w:trPr>
          <w:trHeight w:val="134"/>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fixe les spécifications applicables aux verres feuilletés plans fournis en formes et dimensions finales d’utilisation et destinés au vitrage de bâtiment et constitués à partir de verres silico-sodo calcique et intercalaires :</w:t>
            </w:r>
          </w:p>
          <w:p w:rsidR="00904E52" w:rsidRPr="0043547B" w:rsidRDefault="00904E52" w:rsidP="00B905D3">
            <w:pPr>
              <w:pStyle w:val="Paragraphedeliste"/>
              <w:numPr>
                <w:ilvl w:val="0"/>
                <w:numId w:val="38"/>
              </w:num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soit de butyle de polyvinyle,</w:t>
            </w:r>
          </w:p>
          <w:p w:rsidR="00904E52" w:rsidRPr="0043547B" w:rsidRDefault="00904E52" w:rsidP="00B905D3">
            <w:pPr>
              <w:pStyle w:val="Paragraphedeliste"/>
              <w:numPr>
                <w:ilvl w:val="0"/>
                <w:numId w:val="38"/>
              </w:num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soit de méthacrylate de méthyle.</w:t>
            </w:r>
          </w:p>
        </w:tc>
      </w:tr>
      <w:tr w:rsidR="0043547B" w:rsidRPr="0043547B" w:rsidTr="00446EF2">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10.7.014</w:t>
            </w:r>
          </w:p>
        </w:tc>
      </w:tr>
      <w:tr w:rsidR="0043547B" w:rsidRPr="0043547B" w:rsidTr="00446EF2">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Verre trempé pour vitrage de bâtiment</w:t>
            </w:r>
          </w:p>
        </w:tc>
      </w:tr>
      <w:tr w:rsidR="0043547B" w:rsidRPr="0043547B" w:rsidTr="00446EF2">
        <w:trPr>
          <w:trHeight w:val="743"/>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fixe les spécifications applicables à tous les verres trempés plans fournis en formes et dimensions finales d’utilisation et destinés au vitrage de bâtiment.</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Cette norme ne concerne pas les verres émaillés.</w:t>
            </w:r>
          </w:p>
        </w:tc>
      </w:tr>
      <w:tr w:rsidR="0043547B" w:rsidRPr="0043547B" w:rsidTr="00446EF2">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DE76C7" w:rsidRPr="0043547B" w:rsidRDefault="00DE76C7" w:rsidP="00977B9A">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DE76C7" w:rsidRPr="0043547B" w:rsidRDefault="00DE76C7" w:rsidP="00977B9A">
            <w:pPr>
              <w:spacing w:after="0" w:line="240" w:lineRule="auto"/>
              <w:jc w:val="center"/>
              <w:rPr>
                <w:rFonts w:cstheme="minorHAnsi"/>
                <w:b/>
                <w:bCs/>
                <w:sz w:val="24"/>
                <w:szCs w:val="24"/>
              </w:rPr>
            </w:pPr>
            <w:r w:rsidRPr="0043547B">
              <w:rPr>
                <w:rFonts w:cstheme="minorHAnsi"/>
                <w:b/>
                <w:bCs/>
                <w:sz w:val="24"/>
                <w:szCs w:val="24"/>
              </w:rPr>
              <w:t>NM EN 356</w:t>
            </w:r>
          </w:p>
        </w:tc>
      </w:tr>
      <w:tr w:rsidR="0043547B" w:rsidRPr="0043547B" w:rsidTr="00446EF2">
        <w:trPr>
          <w:trHeight w:val="315"/>
          <w:jc w:val="center"/>
        </w:trPr>
        <w:tc>
          <w:tcPr>
            <w:tcW w:w="1838" w:type="dxa"/>
            <w:tcBorders>
              <w:top w:val="single" w:sz="18" w:space="0" w:color="auto"/>
              <w:left w:val="single" w:sz="18" w:space="0" w:color="auto"/>
              <w:bottom w:val="single" w:sz="6" w:space="0" w:color="auto"/>
              <w:right w:val="single" w:sz="4" w:space="0" w:color="auto"/>
            </w:tcBorders>
            <w:shd w:val="clear" w:color="auto" w:fill="FFFF99"/>
            <w:vAlign w:val="center"/>
          </w:tcPr>
          <w:p w:rsidR="00DE76C7" w:rsidRPr="0043547B" w:rsidRDefault="00DE76C7" w:rsidP="00977B9A">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6" w:space="0" w:color="auto"/>
              <w:right w:val="single" w:sz="18" w:space="0" w:color="auto"/>
            </w:tcBorders>
            <w:shd w:val="clear" w:color="auto" w:fill="FFFF99"/>
            <w:vAlign w:val="center"/>
          </w:tcPr>
          <w:p w:rsidR="00DE76C7" w:rsidRPr="0043547B" w:rsidRDefault="00DE76C7" w:rsidP="00977B9A">
            <w:pPr>
              <w:spacing w:after="0" w:line="240" w:lineRule="auto"/>
              <w:jc w:val="center"/>
              <w:rPr>
                <w:rFonts w:cstheme="minorHAnsi"/>
                <w:b/>
                <w:bCs/>
                <w:sz w:val="24"/>
                <w:szCs w:val="24"/>
              </w:rPr>
            </w:pPr>
            <w:r w:rsidRPr="0043547B">
              <w:rPr>
                <w:rFonts w:cstheme="minorHAnsi"/>
                <w:b/>
                <w:bCs/>
                <w:sz w:val="24"/>
                <w:szCs w:val="24"/>
              </w:rPr>
              <w:t>EN 356</w:t>
            </w:r>
          </w:p>
        </w:tc>
      </w:tr>
      <w:tr w:rsidR="0043547B" w:rsidRPr="0043547B" w:rsidTr="00446EF2">
        <w:trPr>
          <w:trHeight w:val="600"/>
          <w:jc w:val="center"/>
        </w:trPr>
        <w:tc>
          <w:tcPr>
            <w:tcW w:w="1838" w:type="dxa"/>
            <w:tcBorders>
              <w:top w:val="single" w:sz="6" w:space="0" w:color="auto"/>
              <w:left w:val="single" w:sz="18" w:space="0" w:color="auto"/>
              <w:bottom w:val="single" w:sz="4" w:space="0" w:color="auto"/>
              <w:right w:val="single" w:sz="4" w:space="0" w:color="auto"/>
            </w:tcBorders>
            <w:shd w:val="clear" w:color="000000" w:fill="8DB4E2"/>
            <w:vAlign w:val="center"/>
            <w:hideMark/>
          </w:tcPr>
          <w:p w:rsidR="00DE76C7" w:rsidRPr="0043547B" w:rsidRDefault="00DE76C7" w:rsidP="00977B9A">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6" w:space="0" w:color="auto"/>
              <w:left w:val="single" w:sz="4" w:space="0" w:color="auto"/>
              <w:bottom w:val="single" w:sz="4" w:space="0" w:color="auto"/>
              <w:right w:val="single" w:sz="18" w:space="0" w:color="auto"/>
            </w:tcBorders>
            <w:shd w:val="clear" w:color="auto" w:fill="auto"/>
            <w:hideMark/>
          </w:tcPr>
          <w:p w:rsidR="00DE76C7" w:rsidRPr="0043547B" w:rsidRDefault="00DE76C7" w:rsidP="00977B9A">
            <w:pPr>
              <w:spacing w:after="0" w:line="240" w:lineRule="auto"/>
              <w:rPr>
                <w:rFonts w:cstheme="minorHAnsi"/>
                <w:sz w:val="24"/>
                <w:szCs w:val="24"/>
              </w:rPr>
            </w:pPr>
            <w:r w:rsidRPr="0043547B">
              <w:rPr>
                <w:rFonts w:cstheme="minorHAnsi"/>
                <w:sz w:val="24"/>
                <w:szCs w:val="24"/>
              </w:rPr>
              <w:t xml:space="preserve">Verre dans la construction - Vitrage de sécurité - Mise à essai et classification de la résistance à l'attaque manuelle ; (IC 10.7.015) </w:t>
            </w:r>
          </w:p>
        </w:tc>
      </w:tr>
      <w:tr w:rsidR="0043547B" w:rsidRPr="0043547B" w:rsidTr="00446EF2">
        <w:trPr>
          <w:trHeight w:val="136"/>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DE76C7" w:rsidRPr="0043547B" w:rsidRDefault="00DE76C7" w:rsidP="00977B9A">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hideMark/>
          </w:tcPr>
          <w:p w:rsidR="00977B9A" w:rsidRPr="0043547B" w:rsidRDefault="00DE76C7" w:rsidP="00977B9A">
            <w:pPr>
              <w:spacing w:after="0" w:line="240" w:lineRule="auto"/>
              <w:jc w:val="both"/>
              <w:rPr>
                <w:rFonts w:cstheme="minorHAnsi"/>
                <w:sz w:val="24"/>
                <w:szCs w:val="24"/>
              </w:rPr>
            </w:pPr>
            <w:r w:rsidRPr="0043547B">
              <w:rPr>
                <w:rFonts w:cstheme="minorHAnsi"/>
                <w:sz w:val="24"/>
                <w:szCs w:val="24"/>
              </w:rPr>
              <w:t>La présente norme européenne spécifie les prescriptions et les méthodes d'essai relatives au vitrage de sécurité conçu pour résister aux attaques en retardant l'accès des objets et/ou des personnes à un espace protégé pendant une courte période. La présente norme classe les produits verriers de sécurité en fonction de leur résistance aux agressions.</w:t>
            </w:r>
          </w:p>
          <w:p w:rsidR="00977B9A" w:rsidRPr="0043547B" w:rsidRDefault="00DE76C7" w:rsidP="00977B9A">
            <w:pPr>
              <w:spacing w:after="0" w:line="240" w:lineRule="auto"/>
              <w:jc w:val="both"/>
              <w:rPr>
                <w:rFonts w:cstheme="minorHAnsi"/>
                <w:sz w:val="24"/>
                <w:szCs w:val="24"/>
              </w:rPr>
            </w:pPr>
            <w:r w:rsidRPr="0043547B">
              <w:rPr>
                <w:rFonts w:cstheme="minorHAnsi"/>
                <w:sz w:val="24"/>
                <w:szCs w:val="24"/>
              </w:rPr>
              <w:t>Dans la présente norme européenne, les catégories de résistance n'ont pas été attribuées à des applications particulières.</w:t>
            </w:r>
          </w:p>
          <w:p w:rsidR="00977B9A" w:rsidRPr="0043547B" w:rsidRDefault="00DE76C7" w:rsidP="00977B9A">
            <w:pPr>
              <w:spacing w:after="0" w:line="240" w:lineRule="auto"/>
              <w:jc w:val="both"/>
              <w:rPr>
                <w:rFonts w:cstheme="minorHAnsi"/>
                <w:sz w:val="24"/>
                <w:szCs w:val="24"/>
              </w:rPr>
            </w:pPr>
            <w:r w:rsidRPr="0043547B">
              <w:rPr>
                <w:rFonts w:cstheme="minorHAnsi"/>
                <w:sz w:val="24"/>
                <w:szCs w:val="24"/>
              </w:rPr>
              <w:t>Il convient que le choix des catégories soit effectué par l'utilisateur au cas par cas, après consultation d'un expert si nécessaire.</w:t>
            </w:r>
          </w:p>
          <w:p w:rsidR="00977B9A" w:rsidRPr="00554CF5" w:rsidRDefault="00DE76C7" w:rsidP="00977B9A">
            <w:pPr>
              <w:spacing w:after="0" w:line="240" w:lineRule="auto"/>
              <w:jc w:val="both"/>
              <w:rPr>
                <w:rFonts w:cstheme="minorHAnsi"/>
                <w:i/>
                <w:iCs/>
              </w:rPr>
            </w:pPr>
            <w:r w:rsidRPr="00554CF5">
              <w:rPr>
                <w:rFonts w:cstheme="minorHAnsi"/>
                <w:b/>
                <w:bCs/>
                <w:i/>
                <w:iCs/>
              </w:rPr>
              <w:t>NOTE 1</w:t>
            </w:r>
            <w:r w:rsidR="00977B9A" w:rsidRPr="00554CF5">
              <w:rPr>
                <w:rFonts w:cstheme="minorHAnsi"/>
                <w:i/>
                <w:iCs/>
              </w:rPr>
              <w:t xml:space="preserve"> : </w:t>
            </w:r>
            <w:r w:rsidRPr="00554CF5">
              <w:rPr>
                <w:rFonts w:cstheme="minorHAnsi"/>
                <w:i/>
                <w:iCs/>
              </w:rPr>
              <w:t>Il convient d'installer les produits verriers de sécurité dans un cadre qui peut présenter une résistance appropriée aux attaques et qui fournit également un support adapté au vitrage de sécurité.</w:t>
            </w:r>
          </w:p>
          <w:p w:rsidR="00977B9A" w:rsidRPr="00554CF5" w:rsidRDefault="00DE76C7" w:rsidP="00977B9A">
            <w:pPr>
              <w:spacing w:after="0" w:line="240" w:lineRule="auto"/>
              <w:jc w:val="both"/>
              <w:rPr>
                <w:rFonts w:cstheme="minorHAnsi"/>
                <w:i/>
                <w:iCs/>
              </w:rPr>
            </w:pPr>
            <w:r w:rsidRPr="00554CF5">
              <w:rPr>
                <w:rFonts w:cstheme="minorHAnsi"/>
                <w:b/>
                <w:bCs/>
                <w:i/>
                <w:iCs/>
              </w:rPr>
              <w:t>NOTE 2</w:t>
            </w:r>
            <w:r w:rsidR="00977B9A" w:rsidRPr="00554CF5">
              <w:rPr>
                <w:rFonts w:cstheme="minorHAnsi"/>
                <w:i/>
                <w:iCs/>
              </w:rPr>
              <w:t xml:space="preserve"> : </w:t>
            </w:r>
            <w:r w:rsidRPr="00554CF5">
              <w:rPr>
                <w:rFonts w:cstheme="minorHAnsi"/>
                <w:i/>
                <w:iCs/>
              </w:rPr>
              <w:t>Il convient d'éviter, si possible, les entailles et les trous dans les produits verriers de sécurité dans la mesure où ceux-ci peuvent modifier la résistance du produit.</w:t>
            </w:r>
          </w:p>
          <w:p w:rsidR="00DE76C7" w:rsidRPr="0043547B" w:rsidRDefault="00DE76C7" w:rsidP="00977B9A">
            <w:pPr>
              <w:spacing w:after="0" w:line="240" w:lineRule="auto"/>
              <w:jc w:val="both"/>
              <w:rPr>
                <w:rFonts w:cstheme="minorHAnsi"/>
                <w:sz w:val="24"/>
                <w:szCs w:val="24"/>
              </w:rPr>
            </w:pPr>
            <w:r w:rsidRPr="0043547B">
              <w:rPr>
                <w:rFonts w:cstheme="minorHAnsi"/>
                <w:sz w:val="24"/>
                <w:szCs w:val="24"/>
              </w:rPr>
              <w:t>La présente norme européenne concerne uniquement la résistance mécanique aux attaques. D'autres propriétés peuvent également être importantes, pour lesquelles des normes séparées seront élaborées.</w:t>
            </w:r>
          </w:p>
        </w:tc>
      </w:tr>
      <w:tr w:rsidR="0043547B" w:rsidRPr="0043547B" w:rsidTr="00446EF2">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9051</w:t>
            </w:r>
          </w:p>
        </w:tc>
      </w:tr>
      <w:tr w:rsidR="0043547B" w:rsidRPr="0043547B" w:rsidTr="00446EF2">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9051</w:t>
            </w:r>
          </w:p>
        </w:tc>
      </w:tr>
      <w:tr w:rsidR="0043547B" w:rsidRPr="0043547B" w:rsidTr="00446EF2">
        <w:trPr>
          <w:trHeight w:val="6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Verre dans la construction - Ensembles vitrés comportant du verre transparent ou translucide, résistant au feu, pour utilisation dans le bâtiment</w:t>
            </w:r>
          </w:p>
        </w:tc>
      </w:tr>
      <w:tr w:rsidR="0043547B" w:rsidRPr="0043547B" w:rsidTr="00446EF2">
        <w:trPr>
          <w:trHeight w:val="945"/>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La norme prescrit la classification et le marquage des produits verriers transparents ou translucides, qui </w:t>
            </w:r>
            <w:r w:rsidR="00D93B0A" w:rsidRPr="0043547B">
              <w:rPr>
                <w:rFonts w:eastAsia="Times New Roman" w:cstheme="minorHAnsi"/>
                <w:sz w:val="24"/>
                <w:szCs w:val="24"/>
                <w:lang w:eastAsia="fr-FR"/>
              </w:rPr>
              <w:t>seront traités dans des Normes</w:t>
            </w:r>
            <w:r w:rsidRPr="0043547B">
              <w:rPr>
                <w:rFonts w:eastAsia="Times New Roman" w:cstheme="minorHAnsi"/>
                <w:sz w:val="24"/>
                <w:szCs w:val="24"/>
                <w:lang w:eastAsia="fr-FR"/>
              </w:rPr>
              <w:t xml:space="preserve"> ultérieures relatives aux produits verriers de base ou transformés, utilisés dans le bâtiment et destinés à fournir un certain degré de résistance au feu.</w:t>
            </w:r>
          </w:p>
        </w:tc>
      </w:tr>
      <w:tr w:rsidR="0043547B" w:rsidRPr="0043547B" w:rsidTr="00446EF2">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10.7.028</w:t>
            </w:r>
          </w:p>
        </w:tc>
      </w:tr>
      <w:tr w:rsidR="0043547B" w:rsidRPr="0043547B" w:rsidTr="00446EF2">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Verre armé plan pour vitrage de bâtiment</w:t>
            </w:r>
          </w:p>
        </w:tc>
      </w:tr>
      <w:tr w:rsidR="0043547B" w:rsidRPr="0043547B" w:rsidTr="00446EF2">
        <w:trPr>
          <w:trHeight w:val="90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fixe les spécifications applicables à tous les verres armés plans fournis en formes et dimensions finales d’utilisation et destinés au vitrage de bâtiment.</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Cette norme ne s’applique pas aux verres armés mis en forme après laminage.</w:t>
            </w:r>
          </w:p>
        </w:tc>
      </w:tr>
      <w:tr w:rsidR="0043547B" w:rsidRPr="0043547B" w:rsidTr="00446EF2">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10.7. 029</w:t>
            </w:r>
          </w:p>
        </w:tc>
      </w:tr>
      <w:tr w:rsidR="0043547B" w:rsidRPr="0043547B" w:rsidTr="00446EF2">
        <w:trPr>
          <w:trHeight w:val="220"/>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Glace non colorée – Généralités</w:t>
            </w:r>
          </w:p>
        </w:tc>
      </w:tr>
      <w:tr w:rsidR="0043547B" w:rsidRPr="0043547B" w:rsidTr="00446EF2">
        <w:trPr>
          <w:trHeight w:val="90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fixe les caractéristiques générales applicables à toutes les glaces incolores fournies en feuilles de forme rectangulaire. Les feuilles fournies aux dimensions finales d’utilisation doivent satisfaire aux exigences des normes spécifiques correspondantes.</w:t>
            </w:r>
          </w:p>
        </w:tc>
      </w:tr>
      <w:tr w:rsidR="0043547B" w:rsidRPr="0043547B" w:rsidTr="00446EF2">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10.7. 037</w:t>
            </w:r>
          </w:p>
        </w:tc>
      </w:tr>
      <w:tr w:rsidR="0043547B" w:rsidRPr="0043547B" w:rsidTr="00446EF2">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Verre – Verres </w:t>
            </w:r>
            <w:r w:rsidR="000C7CA0" w:rsidRPr="0043547B">
              <w:rPr>
                <w:rFonts w:eastAsia="Times New Roman" w:cstheme="minorHAnsi"/>
                <w:sz w:val="24"/>
                <w:szCs w:val="24"/>
                <w:lang w:eastAsia="fr-FR"/>
              </w:rPr>
              <w:t>de sécurité</w:t>
            </w:r>
            <w:r w:rsidRPr="0043547B">
              <w:rPr>
                <w:rFonts w:eastAsia="Times New Roman" w:cstheme="minorHAnsi"/>
                <w:sz w:val="24"/>
                <w:szCs w:val="24"/>
                <w:lang w:eastAsia="fr-FR"/>
              </w:rPr>
              <w:t xml:space="preserve"> pour vitrages – Généralités – Terminologie</w:t>
            </w:r>
          </w:p>
        </w:tc>
      </w:tr>
      <w:tr w:rsidR="0043547B" w:rsidRPr="0043547B" w:rsidTr="00446EF2">
        <w:trPr>
          <w:trHeight w:val="553"/>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a pour objet de définir les verres silico sodo calciques pour vitrages dits de sécurité.</w:t>
            </w:r>
          </w:p>
        </w:tc>
      </w:tr>
      <w:tr w:rsidR="0043547B" w:rsidRPr="0043547B" w:rsidTr="00446EF2">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ISO 12543-1</w:t>
            </w:r>
          </w:p>
        </w:tc>
      </w:tr>
      <w:tr w:rsidR="0043547B" w:rsidRPr="0043547B" w:rsidTr="00446EF2">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ISO 12543-1</w:t>
            </w:r>
          </w:p>
        </w:tc>
      </w:tr>
      <w:tr w:rsidR="0043547B" w:rsidRPr="0043547B" w:rsidTr="00446EF2">
        <w:trPr>
          <w:trHeight w:val="38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Verre dans la construction – Verre feuilleté et verre feuilleté de sécurité - Partie 1 : Définitions et description des composants</w:t>
            </w:r>
          </w:p>
        </w:tc>
      </w:tr>
      <w:tr w:rsidR="0043547B" w:rsidRPr="0043547B" w:rsidTr="00446EF2">
        <w:trPr>
          <w:trHeight w:val="411"/>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définit les termes et décrit les différents composants du verre</w:t>
            </w:r>
            <w:r w:rsidRPr="0043547B">
              <w:rPr>
                <w:rFonts w:eastAsia="Times New Roman" w:cstheme="minorHAnsi"/>
                <w:sz w:val="24"/>
                <w:szCs w:val="24"/>
                <w:lang w:eastAsia="fr-FR"/>
              </w:rPr>
              <w:br/>
              <w:t>feuilleté et verre feuilleté de sécurité pour l’utilisation dans la construction.</w:t>
            </w:r>
          </w:p>
        </w:tc>
      </w:tr>
      <w:tr w:rsidR="0043547B" w:rsidRPr="0043547B" w:rsidTr="00446EF2">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ISO 12543-2</w:t>
            </w:r>
          </w:p>
        </w:tc>
      </w:tr>
      <w:tr w:rsidR="0043547B" w:rsidRPr="0043547B" w:rsidTr="00446EF2">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ISO 12543-2</w:t>
            </w:r>
          </w:p>
        </w:tc>
      </w:tr>
      <w:tr w:rsidR="0043547B" w:rsidRPr="0043547B" w:rsidTr="00446EF2">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Verre dans la construction – Verre feuilleté et verre feuilleté de sécurité - Partie 2 : Verre feuilleté de sécurité</w:t>
            </w:r>
          </w:p>
        </w:tc>
      </w:tr>
      <w:tr w:rsidR="0043547B" w:rsidRPr="0043547B" w:rsidTr="00446EF2">
        <w:trPr>
          <w:trHeight w:val="421"/>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établit les exigences de performances pour le verre feuilleté de sécurité comme défini dans la NM ISO 12543-1.</w:t>
            </w:r>
          </w:p>
        </w:tc>
      </w:tr>
      <w:tr w:rsidR="0043547B" w:rsidRPr="0043547B" w:rsidTr="00446EF2">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ISO 12543-3</w:t>
            </w:r>
          </w:p>
        </w:tc>
      </w:tr>
      <w:tr w:rsidR="0043547B" w:rsidRPr="0043547B" w:rsidTr="00446EF2">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ISO 12543-3</w:t>
            </w:r>
          </w:p>
        </w:tc>
      </w:tr>
      <w:tr w:rsidR="0043547B" w:rsidRPr="0043547B" w:rsidTr="00446EF2">
        <w:trPr>
          <w:trHeight w:val="35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Verre dans la construction – Verre feuilleté et verre feuilleté de sécurité - Partie 3 : Verre feuilleté</w:t>
            </w:r>
          </w:p>
        </w:tc>
      </w:tr>
      <w:tr w:rsidR="0043547B" w:rsidRPr="0043547B" w:rsidTr="00446EF2">
        <w:trPr>
          <w:trHeight w:val="377"/>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établit les exigences de performances pour le verre feuilleté comme défini dans l’EN ISO 12543-1.</w:t>
            </w:r>
          </w:p>
        </w:tc>
      </w:tr>
      <w:tr w:rsidR="0043547B" w:rsidRPr="0043547B" w:rsidTr="00446EF2">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ISO 12543-5</w:t>
            </w:r>
          </w:p>
        </w:tc>
      </w:tr>
      <w:tr w:rsidR="0043547B" w:rsidRPr="0043547B" w:rsidTr="00446EF2">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ISO 12543-5</w:t>
            </w:r>
          </w:p>
        </w:tc>
      </w:tr>
      <w:tr w:rsidR="0043547B" w:rsidRPr="0043547B" w:rsidTr="00446EF2">
        <w:trPr>
          <w:trHeight w:val="28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Verre dans la construction – Verre feuilleté et verre feuilleté de sécurité - Partie 5 : Dimensions et façonnage des bords</w:t>
            </w:r>
          </w:p>
        </w:tc>
      </w:tr>
      <w:tr w:rsidR="0043547B" w:rsidRPr="0043547B" w:rsidTr="00446EF2">
        <w:trPr>
          <w:trHeight w:val="449"/>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La norme spécifie les dimensions, écarts limites et les types de façonnage des bords des verres feuilletés et des verres feuilletés de sécurité utilisés dans le </w:t>
            </w:r>
            <w:r w:rsidRPr="0043547B">
              <w:rPr>
                <w:rFonts w:eastAsia="Times New Roman" w:cstheme="minorHAnsi"/>
                <w:sz w:val="24"/>
                <w:szCs w:val="24"/>
                <w:lang w:eastAsia="fr-FR"/>
              </w:rPr>
              <w:lastRenderedPageBreak/>
              <w:t>domaine de la construction. Elle ne s’applique pas aux panneaux de surface inférieure à 0,05 m².</w:t>
            </w:r>
          </w:p>
        </w:tc>
      </w:tr>
      <w:tr w:rsidR="0043547B" w:rsidRPr="0043547B" w:rsidTr="00446EF2">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ISO 12543-6</w:t>
            </w:r>
          </w:p>
        </w:tc>
      </w:tr>
      <w:tr w:rsidR="0043547B" w:rsidRPr="0043547B" w:rsidTr="00446EF2">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12543-6</w:t>
            </w:r>
          </w:p>
        </w:tc>
      </w:tr>
      <w:tr w:rsidR="0043547B" w:rsidRPr="0043547B" w:rsidTr="00446EF2">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w w:val="95"/>
                <w:sz w:val="24"/>
                <w:szCs w:val="24"/>
                <w:lang w:eastAsia="fr-FR"/>
              </w:rPr>
            </w:pPr>
            <w:r w:rsidRPr="0043547B">
              <w:rPr>
                <w:rFonts w:eastAsia="Times New Roman" w:cstheme="minorHAnsi"/>
                <w:w w:val="95"/>
                <w:sz w:val="24"/>
                <w:szCs w:val="24"/>
                <w:lang w:eastAsia="fr-FR"/>
              </w:rPr>
              <w:t>Verre dans la construction – Verre feuilleté et verre feuilleté de sécurité - Partie 6 : Aspect</w:t>
            </w:r>
          </w:p>
        </w:tc>
      </w:tr>
      <w:tr w:rsidR="0043547B" w:rsidRPr="0043547B" w:rsidTr="00446EF2">
        <w:trPr>
          <w:trHeight w:val="96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défauts que l’on peut rencontrer dans les mesures fixes et les méthodes d’évaluation de l’aspect lorsqu’on regarde au travers du vitrage. Une attention particulière est portée aux critères d’acceptabilité dans la zone visible. Ces critères s’appliquent aux produits au moment de la livraison.</w:t>
            </w:r>
          </w:p>
        </w:tc>
      </w:tr>
      <w:tr w:rsidR="0043547B" w:rsidRPr="0043547B" w:rsidTr="00446EF2">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10.7.049</w:t>
            </w:r>
          </w:p>
        </w:tc>
      </w:tr>
      <w:tr w:rsidR="0043547B" w:rsidRPr="0043547B" w:rsidTr="00446EF2">
        <w:trPr>
          <w:trHeight w:val="600"/>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Produits pour joints - Garnitures d’étanchéité et produits annexes pour miroiterie – vitrerie – Mastics de bourrage oléoplastiques – Spécifications</w:t>
            </w:r>
          </w:p>
        </w:tc>
      </w:tr>
      <w:tr w:rsidR="0043547B" w:rsidRPr="0043547B" w:rsidTr="00446EF2">
        <w:trPr>
          <w:trHeight w:val="56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w w:val="95"/>
                <w:sz w:val="24"/>
                <w:szCs w:val="24"/>
                <w:lang w:eastAsia="fr-FR"/>
              </w:rPr>
            </w:pPr>
            <w:r w:rsidRPr="0043547B">
              <w:rPr>
                <w:rFonts w:eastAsia="Times New Roman" w:cstheme="minorHAnsi"/>
                <w:w w:val="95"/>
                <w:sz w:val="24"/>
                <w:szCs w:val="24"/>
                <w:lang w:eastAsia="fr-FR"/>
              </w:rPr>
              <w:t>La norme fixe les valeurs des caractéristiques que doivent posséder les mastics de bourrage oléoplastiques lorsqu’ils sont soumis aux essais définis dans les normes citées en référence.</w:t>
            </w:r>
          </w:p>
          <w:p w:rsidR="00DA5AD2" w:rsidRPr="0043547B" w:rsidRDefault="00DA5AD2" w:rsidP="00DA5AD2">
            <w:pPr>
              <w:spacing w:after="0" w:line="240" w:lineRule="auto"/>
              <w:jc w:val="both"/>
              <w:rPr>
                <w:rFonts w:eastAsia="Times New Roman" w:cstheme="minorHAnsi"/>
                <w:w w:val="95"/>
                <w:sz w:val="24"/>
                <w:szCs w:val="24"/>
                <w:lang w:eastAsia="fr-FR"/>
              </w:rPr>
            </w:pPr>
            <w:r w:rsidRPr="0043547B">
              <w:rPr>
                <w:rFonts w:eastAsia="Times New Roman" w:cstheme="minorHAnsi"/>
                <w:w w:val="95"/>
                <w:sz w:val="24"/>
                <w:szCs w:val="24"/>
                <w:lang w:eastAsia="fr-FR"/>
              </w:rPr>
              <w:t>Elle concerne les mastics oléoplastiques (à durcissement limité) utilisés en bain complet ou en bourrage partiel ainsi qu’il est indiqué à la norme NM 10.7.032 et répondant à la définition de NM 10.7.010.</w:t>
            </w:r>
          </w:p>
          <w:p w:rsidR="00904E52" w:rsidRPr="0043547B" w:rsidRDefault="00DA5AD2" w:rsidP="00DA5AD2">
            <w:pPr>
              <w:spacing w:after="0" w:line="240" w:lineRule="auto"/>
              <w:jc w:val="both"/>
              <w:rPr>
                <w:rFonts w:eastAsia="Times New Roman" w:cstheme="minorHAnsi"/>
                <w:sz w:val="24"/>
                <w:szCs w:val="24"/>
                <w:lang w:eastAsia="fr-FR"/>
              </w:rPr>
            </w:pPr>
            <w:r w:rsidRPr="0043547B">
              <w:rPr>
                <w:rFonts w:eastAsia="Times New Roman" w:cstheme="minorHAnsi"/>
                <w:w w:val="95"/>
                <w:sz w:val="24"/>
                <w:szCs w:val="24"/>
                <w:lang w:eastAsia="fr-FR"/>
              </w:rPr>
              <w:t>Ceux-ci sont répartis en deux classes selon les résultats des essais effectués selon la norme NM 10.7.051.</w:t>
            </w:r>
          </w:p>
        </w:tc>
      </w:tr>
      <w:tr w:rsidR="0043547B" w:rsidRPr="0043547B" w:rsidTr="00446EF2">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10.7.053</w:t>
            </w:r>
          </w:p>
        </w:tc>
      </w:tr>
      <w:tr w:rsidR="0043547B" w:rsidRPr="0043547B" w:rsidTr="00446EF2">
        <w:trPr>
          <w:trHeight w:val="600"/>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Produits pour joints - Garnitures d’étanchéité et produits annexes pour miroiterie – vitrerie – Mastics obturateurs du type élastique – Spécifications</w:t>
            </w:r>
          </w:p>
        </w:tc>
      </w:tr>
      <w:tr w:rsidR="0043547B" w:rsidRPr="0043547B" w:rsidTr="00446EF2">
        <w:trPr>
          <w:trHeight w:val="150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fixe les valeurs des caractéristiques des mastics obturateurs de type élastique soumis aux essais définis dans les normes citées en référence. Les mastics obturateurs sont des produits appliqués sous une section limitée sur un fond de joint et ne remplissant donc pas toute la cavité de la feuillure, contrairement aux mastics de bourrage. Seuls sont visés les produits ne nécessitant pas de primaire ou de primaire différent sur verre et sur feuillure.</w:t>
            </w:r>
          </w:p>
        </w:tc>
      </w:tr>
      <w:tr w:rsidR="0043547B" w:rsidRPr="0043547B" w:rsidTr="00446EF2">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10.7.054</w:t>
            </w:r>
          </w:p>
        </w:tc>
      </w:tr>
      <w:tr w:rsidR="0043547B" w:rsidRPr="0043547B" w:rsidTr="00446EF2">
        <w:trPr>
          <w:trHeight w:val="600"/>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Produits pour joints - Garnitures d’étanchéité et produits annexes pour miroiterie – vitrerie – Mastics obturateurs du type plastique – Spécifications</w:t>
            </w:r>
          </w:p>
        </w:tc>
      </w:tr>
      <w:tr w:rsidR="0043547B" w:rsidRPr="0043547B" w:rsidTr="00446EF2">
        <w:trPr>
          <w:trHeight w:val="180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fixe les valeurs des caractéristiques des mastics obturateurs de type plastique soumis aux essais définis dans les normes citées en référence. Les mastics obturateurs sont des produits appliqués sous une section limitée sur un fond de joint et ne remplissant donc pas toute la cavité de la feuillure, contrairement aux mastics de bourrage. Seuls sont visés les mastics du type acrylique en solution ne nécessitant pas de primaire ou de primaire différent sur verre et sur feuillure.</w:t>
            </w:r>
          </w:p>
        </w:tc>
      </w:tr>
      <w:tr w:rsidR="0043547B" w:rsidRPr="0043547B" w:rsidTr="00446EF2">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10.7.055</w:t>
            </w:r>
          </w:p>
        </w:tc>
      </w:tr>
      <w:tr w:rsidR="0043547B" w:rsidRPr="0043547B" w:rsidTr="00446EF2">
        <w:trPr>
          <w:trHeight w:val="600"/>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Produits pour joints - Garnitures d’étanchéité et produits annexes pour miroiterie – vitrerie – Mastics en bande préformées. Spécifications</w:t>
            </w:r>
          </w:p>
        </w:tc>
      </w:tr>
      <w:tr w:rsidR="0043547B" w:rsidRPr="0043547B" w:rsidTr="00446EF2">
        <w:trPr>
          <w:trHeight w:val="624"/>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fixe les valeurs des caractéristiques des mastics plastiques extrudés en usine, sans une section définie, conditionnés afin d’être utilisés directement comme garniture d’étanchéité en miroiterie (NM 10.7.010).</w:t>
            </w:r>
          </w:p>
        </w:tc>
      </w:tr>
      <w:tr w:rsidR="0043547B" w:rsidRPr="0043547B" w:rsidTr="00446EF2">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10.7.058</w:t>
            </w:r>
          </w:p>
        </w:tc>
      </w:tr>
      <w:tr w:rsidR="0043547B" w:rsidRPr="0043547B" w:rsidTr="00446EF2">
        <w:trPr>
          <w:trHeight w:val="600"/>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Produits pour joints - Garnitures d’étanchéité et produits annexes pour miroiterie – vitrerie – Fonds de joints en matériaux alvéolaires souples – Spécifications</w:t>
            </w:r>
          </w:p>
        </w:tc>
      </w:tr>
      <w:tr w:rsidR="0043547B" w:rsidRPr="0043547B" w:rsidTr="00446EF2">
        <w:trPr>
          <w:trHeight w:val="1129"/>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fixe les valeurs des caractéristiques des fonds de joints, en matériaux alvéolaires souples, dispositifs rapportés utilisés entre parclose ou châssis d’une part, et vitrage d’autre part, pour délimiter la section du mastic obturateur en service et permettre sa mise en œuvre en résistant aux pressions que celle-ci développe.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Ces fonds de joints peuvent servir, en outre, de calage latéral.</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fonds de joints définis par La norme sont destinés à subir une pression unitaire au plus égale à 0,05 MPa. Dans le cas de pression unitaire prévisible supérieure à 0,05 MPa (telle que définie dans la norme NM 10.7.032), des justifications complémentaires concernant la déformation maximale sous pression devront être apportées.</w:t>
            </w:r>
          </w:p>
        </w:tc>
      </w:tr>
      <w:tr w:rsidR="0043547B" w:rsidRPr="0043547B" w:rsidTr="00446EF2">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10.7.075</w:t>
            </w:r>
          </w:p>
        </w:tc>
      </w:tr>
      <w:tr w:rsidR="0043547B" w:rsidRPr="0043547B" w:rsidTr="00446EF2">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1748-1</w:t>
            </w:r>
          </w:p>
        </w:tc>
      </w:tr>
      <w:tr w:rsidR="0043547B" w:rsidRPr="0043547B" w:rsidTr="00446EF2">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Verre dans la construction – Produits de base spéciaux – Verres borosilicates</w:t>
            </w:r>
          </w:p>
        </w:tc>
      </w:tr>
      <w:tr w:rsidR="0043547B" w:rsidRPr="0043547B" w:rsidTr="00446EF2">
        <w:trPr>
          <w:trHeight w:val="56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Cette norme définit et classe les verres borosilicates pour l'usage dans le bâtiment.</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indique leur composition chimique, leurs principales propriétés physiques et mécaniques, leurs exigences dimensionnelles et de qualité minimum (concernant les défauts optiques et visuels).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Cette norme ne s'applique qu'aux verres borosilicates fournis en dimensions standard.</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Cette norme ne s'applique pas aux verres borosilicates découpés en mesures fixes en vue de leur usage final.</w:t>
            </w:r>
          </w:p>
        </w:tc>
      </w:tr>
      <w:tr w:rsidR="0043547B" w:rsidRPr="0043547B" w:rsidTr="00446EF2">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10.7.076</w:t>
            </w:r>
          </w:p>
        </w:tc>
      </w:tr>
      <w:tr w:rsidR="0043547B" w:rsidRPr="0043547B" w:rsidTr="00446EF2">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1748-2</w:t>
            </w:r>
          </w:p>
        </w:tc>
      </w:tr>
      <w:tr w:rsidR="0043547B" w:rsidRPr="0043547B" w:rsidTr="00446EF2">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Verre dans la construction – Produits de base spéciaux – Vitrocéramiques</w:t>
            </w:r>
          </w:p>
        </w:tc>
      </w:tr>
      <w:tr w:rsidR="0043547B" w:rsidRPr="0043547B" w:rsidTr="00446EF2">
        <w:trPr>
          <w:trHeight w:val="1577"/>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Cette norme définit, spécifie et classe les vitrocéramiques pour l'usage dans le bâtiment.</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indique leur composition chimique, leurs principales propriétés physiques et mécaniques, leurs exigences dimensionnelles et de qualité minimum (concernant les défauts optiques et visuels).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Cette norme ne s'applique qu'aux vitrocéramiques fournies en dimensions standard.</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Cette norme ne s'applique pas aux vitrocéramiques découpées en mesures fixes en vue de leur usage final.</w:t>
            </w:r>
          </w:p>
        </w:tc>
      </w:tr>
      <w:tr w:rsidR="0043547B" w:rsidRPr="0043547B" w:rsidTr="00446EF2">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1279-1</w:t>
            </w:r>
          </w:p>
        </w:tc>
      </w:tr>
      <w:tr w:rsidR="0043547B" w:rsidRPr="0043547B" w:rsidTr="00446EF2">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1279-1</w:t>
            </w:r>
          </w:p>
        </w:tc>
      </w:tr>
      <w:tr w:rsidR="0043547B" w:rsidRPr="0043547B" w:rsidTr="00446EF2">
        <w:trPr>
          <w:trHeight w:val="6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Verre dans la construction - Vitrage isolant préfabriqué et scellé - Partie 1 : généralités, tolérances dimensionnelles et règles de description du système</w:t>
            </w:r>
          </w:p>
        </w:tc>
      </w:tr>
      <w:tr w:rsidR="0043547B" w:rsidRPr="0043547B" w:rsidTr="00446EF2">
        <w:trPr>
          <w:trHeight w:val="843"/>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0C7CA0">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La norme constitue la norme de produit applicable aux vitrages isolants, définissant les vitrages isolants, et assurant dans le temps, au moyen de l'évaluation de la conformité à </w:t>
            </w:r>
            <w:r w:rsidR="000C7CA0" w:rsidRPr="0043547B">
              <w:rPr>
                <w:rFonts w:eastAsia="Times New Roman" w:cstheme="minorHAnsi"/>
                <w:sz w:val="24"/>
                <w:szCs w:val="24"/>
                <w:lang w:eastAsia="fr-FR"/>
              </w:rPr>
              <w:t>l</w:t>
            </w:r>
            <w:r w:rsidRPr="0043547B">
              <w:rPr>
                <w:rFonts w:eastAsia="Times New Roman" w:cstheme="minorHAnsi"/>
                <w:sz w:val="24"/>
                <w:szCs w:val="24"/>
                <w:lang w:eastAsia="fr-FR"/>
              </w:rPr>
              <w:t>a norme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des économies d'énergie car la valeur U et le coefficient solaire ne changent pas de manière significative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lastRenderedPageBreak/>
              <w:t>— une protection de la santé car l'affaiblissement acoustique et l'aspect visuel ne changent pas de manière significative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la sécurité car la résistance mécanique ne change pas de manière significative.</w:t>
            </w:r>
          </w:p>
          <w:p w:rsidR="000C7CA0" w:rsidRPr="0043547B" w:rsidRDefault="00904E52" w:rsidP="000C7CA0">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couvre des caractéristiques d'importance pour le commerce. Les conditions de marquage sont incluses.</w:t>
            </w:r>
            <w:r w:rsidR="000C7CA0" w:rsidRPr="0043547B">
              <w:rPr>
                <w:rFonts w:eastAsia="Times New Roman" w:cstheme="minorHAnsi"/>
                <w:sz w:val="24"/>
                <w:szCs w:val="24"/>
                <w:lang w:eastAsia="fr-FR"/>
              </w:rPr>
              <w:t xml:space="preserve"> </w:t>
            </w:r>
          </w:p>
          <w:p w:rsidR="00904E52" w:rsidRPr="0043547B" w:rsidRDefault="00904E52" w:rsidP="000C7CA0">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vitrages destinés à une utilisation artistique sont exclus de la norme.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partie de la norme, qui est liée de manière indissociable aux autres parties de la norme, couvre les matériaux, les règles de description du système, la qualité optique et visuelle, les tolérances dimensionnelles et, dans une annexe informative, les recommandations d'installation.</w:t>
            </w:r>
          </w:p>
        </w:tc>
      </w:tr>
      <w:tr w:rsidR="0043547B" w:rsidRPr="0043547B" w:rsidTr="00446EF2">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357</w:t>
            </w:r>
          </w:p>
        </w:tc>
      </w:tr>
      <w:tr w:rsidR="0043547B" w:rsidRPr="0043547B" w:rsidTr="00446EF2">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357</w:t>
            </w:r>
          </w:p>
        </w:tc>
      </w:tr>
      <w:tr w:rsidR="0043547B" w:rsidRPr="0043547B" w:rsidTr="00446EF2">
        <w:trPr>
          <w:trHeight w:val="6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Verre dans la construction – Eléments de construction vitrés résistant au feu incluant des produits verriers transparents ou translucides – Classification de la résistance au feu</w:t>
            </w:r>
          </w:p>
        </w:tc>
      </w:tr>
      <w:tr w:rsidR="0043547B" w:rsidRPr="0043547B" w:rsidTr="00446EF2">
        <w:trPr>
          <w:trHeight w:val="1065"/>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 présent document spécifie une classification des produits verriers transparents ou translucides en vue de leur utilisation dans des éléments vitrés appropriés destinés spécialement à fournir une résistance au feu. Ces produits verriers sont décrits dans les normes relatives aux produits de base et produits transformés.</w:t>
            </w:r>
          </w:p>
        </w:tc>
      </w:tr>
      <w:tr w:rsidR="0043547B" w:rsidRPr="0043547B" w:rsidTr="00446EF2">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1863-2</w:t>
            </w:r>
          </w:p>
        </w:tc>
      </w:tr>
      <w:tr w:rsidR="0043547B" w:rsidRPr="0043547B" w:rsidTr="00446EF2">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1863-2</w:t>
            </w:r>
          </w:p>
        </w:tc>
      </w:tr>
      <w:tr w:rsidR="0043547B" w:rsidRPr="0043547B" w:rsidTr="00446EF2">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0C7CA0">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Verre dans la construction - Verre de silicate sodo-calcique thermodurci - Partie 2 : Évaluation de la conformité </w:t>
            </w:r>
            <w:r w:rsidR="000C7CA0" w:rsidRPr="0043547B">
              <w:rPr>
                <w:rFonts w:eastAsia="Times New Roman" w:cstheme="minorHAnsi"/>
                <w:sz w:val="24"/>
                <w:szCs w:val="24"/>
                <w:lang w:eastAsia="fr-FR"/>
              </w:rPr>
              <w:t xml:space="preserve"> </w:t>
            </w:r>
          </w:p>
        </w:tc>
      </w:tr>
      <w:tr w:rsidR="0043547B" w:rsidRPr="0043547B" w:rsidTr="00446EF2">
        <w:trPr>
          <w:trHeight w:val="304"/>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 présent document couvre l'évaluation de la conformité et le contrôle de la production en usine du verre de silicate sodo-calcique thermodurci plan utilisé dans la construction.</w:t>
            </w:r>
          </w:p>
        </w:tc>
      </w:tr>
      <w:tr w:rsidR="0043547B" w:rsidRPr="0043547B" w:rsidTr="00446EF2">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21690</w:t>
            </w:r>
          </w:p>
        </w:tc>
      </w:tr>
      <w:tr w:rsidR="0043547B" w:rsidRPr="0043547B" w:rsidTr="00446EF2">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21690</w:t>
            </w:r>
          </w:p>
        </w:tc>
      </w:tr>
      <w:tr w:rsidR="0043547B" w:rsidRPr="0043547B" w:rsidTr="00446EF2">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Verre dans la construction — Briques de verre — Spécification et méthodes d'essai</w:t>
            </w:r>
          </w:p>
        </w:tc>
      </w:tr>
      <w:tr w:rsidR="0043547B" w:rsidRPr="0043547B" w:rsidTr="00446EF2">
        <w:trPr>
          <w:trHeight w:val="1583"/>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DA5AD2" w:rsidRPr="0043547B" w:rsidRDefault="00904E52" w:rsidP="00BD76D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exigences relatives aux propriétés des briques de verre utilisées dans le cadre de la construction de murs non porteurs et de panneaux à portée horizontale. La norme spécifie également les méthodes d'essai employées pour vérifier ces propriétés, dans le cas des briques de verre carrées, rectangulaires et circulaires.</w:t>
            </w:r>
          </w:p>
        </w:tc>
      </w:tr>
      <w:tr w:rsidR="0043547B" w:rsidRPr="0043547B" w:rsidTr="00446EF2">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15434</w:t>
            </w:r>
          </w:p>
        </w:tc>
      </w:tr>
      <w:tr w:rsidR="0043547B" w:rsidRPr="0043547B" w:rsidTr="00446EF2">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15434 - A1</w:t>
            </w:r>
          </w:p>
        </w:tc>
      </w:tr>
      <w:tr w:rsidR="0043547B" w:rsidRPr="0043547B" w:rsidTr="00446EF2">
        <w:trPr>
          <w:trHeight w:val="9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Verre dans la construction - Norme de produits pour produit de collage et de scellement structurel et/ou résistants aux rayonnements ultraviolets utilisé pour les vitrages extérieurs collés et/ou pour les vitrages isolants à bords exposés</w:t>
            </w:r>
          </w:p>
        </w:tc>
      </w:tr>
      <w:tr w:rsidR="0043547B" w:rsidRPr="0043547B" w:rsidTr="00446EF2">
        <w:trPr>
          <w:trHeight w:val="2686"/>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traite des exigences et des essais concernant les produits de scellement et/ou de collage destinés à être utilisés dans l’une ou plusieurs des applications suivantes :</w:t>
            </w:r>
          </w:p>
          <w:p w:rsidR="00904E52" w:rsidRPr="0043547B" w:rsidRDefault="00904E52" w:rsidP="00DA5AD2">
            <w:pPr>
              <w:pStyle w:val="Paragraphedeliste"/>
              <w:numPr>
                <w:ilvl w:val="0"/>
                <w:numId w:val="40"/>
              </w:numPr>
              <w:spacing w:after="0" w:line="240" w:lineRule="auto"/>
              <w:ind w:left="337"/>
              <w:jc w:val="both"/>
              <w:rPr>
                <w:rFonts w:eastAsia="Times New Roman" w:cstheme="minorHAnsi"/>
                <w:sz w:val="24"/>
                <w:szCs w:val="24"/>
                <w:lang w:eastAsia="fr-FR"/>
              </w:rPr>
            </w:pPr>
            <w:r w:rsidRPr="0043547B">
              <w:rPr>
                <w:rFonts w:eastAsia="Times New Roman" w:cstheme="minorHAnsi"/>
                <w:sz w:val="24"/>
                <w:szCs w:val="24"/>
                <w:lang w:eastAsia="fr-FR"/>
              </w:rPr>
              <w:t xml:space="preserve">la fabrication de vitrages isolants pour lesquels une résistance aux rayons ultraviolets et/ou une résistance mécanique (application structurelle) du produit de scellement du vitrage isolant est requise </w:t>
            </w:r>
          </w:p>
          <w:p w:rsidR="00904E52" w:rsidRPr="0043547B" w:rsidRDefault="00904E52" w:rsidP="00E10FBD">
            <w:pPr>
              <w:pStyle w:val="Paragraphedeliste"/>
              <w:numPr>
                <w:ilvl w:val="0"/>
                <w:numId w:val="40"/>
              </w:numPr>
              <w:spacing w:after="0" w:line="240" w:lineRule="auto"/>
              <w:ind w:left="337"/>
              <w:jc w:val="both"/>
              <w:rPr>
                <w:rFonts w:eastAsia="Times New Roman" w:cstheme="minorHAnsi"/>
                <w:sz w:val="24"/>
                <w:szCs w:val="24"/>
                <w:lang w:eastAsia="fr-FR"/>
              </w:rPr>
            </w:pPr>
            <w:r w:rsidRPr="0043547B">
              <w:rPr>
                <w:rFonts w:eastAsia="Times New Roman" w:cstheme="minorHAnsi"/>
                <w:sz w:val="24"/>
                <w:szCs w:val="24"/>
                <w:lang w:eastAsia="fr-FR"/>
              </w:rPr>
              <w:t>la fabrication d’éléments de vitrage extérieur ayant une fonction structurelle, réalis</w:t>
            </w:r>
            <w:r w:rsidR="00D93B0A" w:rsidRPr="0043547B">
              <w:rPr>
                <w:rFonts w:eastAsia="Times New Roman" w:cstheme="minorHAnsi"/>
                <w:sz w:val="24"/>
                <w:szCs w:val="24"/>
                <w:lang w:eastAsia="fr-FR"/>
              </w:rPr>
              <w:t>és en usine lorsque les normes</w:t>
            </w:r>
            <w:r w:rsidRPr="0043547B">
              <w:rPr>
                <w:rFonts w:eastAsia="Times New Roman" w:cstheme="minorHAnsi"/>
                <w:sz w:val="24"/>
                <w:szCs w:val="24"/>
                <w:lang w:eastAsia="fr-FR"/>
              </w:rPr>
              <w:t xml:space="preserve"> et/ou des guides d’agréments techniques pertinents y font référence</w:t>
            </w:r>
          </w:p>
          <w:p w:rsidR="00904E52" w:rsidRPr="0043547B" w:rsidRDefault="00904E52" w:rsidP="00DA5AD2">
            <w:pPr>
              <w:pStyle w:val="Paragraphedeliste"/>
              <w:numPr>
                <w:ilvl w:val="0"/>
                <w:numId w:val="40"/>
              </w:numPr>
              <w:spacing w:after="0" w:line="240" w:lineRule="auto"/>
              <w:ind w:left="337"/>
              <w:jc w:val="both"/>
              <w:rPr>
                <w:rFonts w:eastAsia="Times New Roman" w:cstheme="minorHAnsi"/>
                <w:sz w:val="24"/>
                <w:szCs w:val="24"/>
                <w:lang w:eastAsia="fr-FR"/>
              </w:rPr>
            </w:pPr>
            <w:r w:rsidRPr="0043547B">
              <w:rPr>
                <w:rFonts w:eastAsia="Times New Roman" w:cstheme="minorHAnsi"/>
                <w:sz w:val="24"/>
                <w:szCs w:val="24"/>
                <w:lang w:eastAsia="fr-FR"/>
              </w:rPr>
              <w:t xml:space="preserve">l’assemblage de produits verriers directement dans des ouvrages ou sur ces derniers, lorsqu’une résistance aux rayons ultraviolets et/ou une résistance mécanique (application structurelle) du produit de collage est requise, dans des conditions environnementales contrôlées telles que décrites à l’Article 5 de l’EN 13022-2 : 2006 </w:t>
            </w:r>
          </w:p>
          <w:p w:rsidR="00904E52" w:rsidRPr="0043547B" w:rsidRDefault="00904E52" w:rsidP="00E10FBD">
            <w:pPr>
              <w:pStyle w:val="Paragraphedeliste"/>
              <w:numPr>
                <w:ilvl w:val="0"/>
                <w:numId w:val="40"/>
              </w:numPr>
              <w:spacing w:after="0" w:line="240" w:lineRule="auto"/>
              <w:ind w:left="337"/>
              <w:jc w:val="both"/>
              <w:rPr>
                <w:rFonts w:eastAsia="Times New Roman" w:cstheme="minorHAnsi"/>
                <w:sz w:val="24"/>
                <w:szCs w:val="24"/>
                <w:lang w:eastAsia="fr-FR"/>
              </w:rPr>
            </w:pPr>
            <w:r w:rsidRPr="0043547B">
              <w:rPr>
                <w:rFonts w:eastAsia="Times New Roman" w:cstheme="minorHAnsi"/>
                <w:sz w:val="24"/>
                <w:szCs w:val="24"/>
                <w:lang w:eastAsia="fr-FR"/>
              </w:rPr>
              <w:t>la fabrication de vitrages isolants lorsque le produit de scellement extérieur du vitrage isolant n’a aucune fonction structurelle et que l’exposition aux rayons ultraviolets est réduite, par exemple par :</w:t>
            </w:r>
          </w:p>
          <w:p w:rsidR="00904E52" w:rsidRPr="0043547B" w:rsidRDefault="00904E52" w:rsidP="00E10FBD">
            <w:pPr>
              <w:pStyle w:val="Paragraphedeliste"/>
              <w:spacing w:after="0" w:line="240" w:lineRule="auto"/>
              <w:ind w:left="337"/>
              <w:jc w:val="both"/>
              <w:rPr>
                <w:rFonts w:eastAsia="Times New Roman" w:cstheme="minorHAnsi"/>
                <w:sz w:val="24"/>
                <w:szCs w:val="24"/>
                <w:lang w:eastAsia="fr-FR"/>
              </w:rPr>
            </w:pPr>
            <w:r w:rsidRPr="0043547B">
              <w:rPr>
                <w:rFonts w:eastAsia="Times New Roman" w:cstheme="minorHAnsi"/>
                <w:sz w:val="24"/>
                <w:szCs w:val="24"/>
                <w:lang w:eastAsia="fr-FR"/>
              </w:rPr>
              <w:t xml:space="preserve">i) l’utilisation de composants en verre qui diminuent la transmission du rayonnement ultraviolet, par exemple, le verre feuilleté constitué de films absorbant les rayons ultraviolets, le verre sérigraphie, etc., ou par </w:t>
            </w:r>
          </w:p>
          <w:p w:rsidR="00904E52" w:rsidRPr="0043547B" w:rsidRDefault="00904E52" w:rsidP="00E10FBD">
            <w:pPr>
              <w:pStyle w:val="Paragraphedeliste"/>
              <w:spacing w:after="0" w:line="240" w:lineRule="auto"/>
              <w:ind w:left="337"/>
              <w:jc w:val="both"/>
              <w:rPr>
                <w:rFonts w:eastAsia="Times New Roman" w:cstheme="minorHAnsi"/>
                <w:sz w:val="24"/>
                <w:szCs w:val="24"/>
                <w:lang w:eastAsia="fr-FR"/>
              </w:rPr>
            </w:pPr>
            <w:r w:rsidRPr="0043547B">
              <w:rPr>
                <w:rFonts w:eastAsia="Times New Roman" w:cstheme="minorHAnsi"/>
                <w:sz w:val="24"/>
                <w:szCs w:val="24"/>
                <w:lang w:eastAsia="fr-FR"/>
              </w:rPr>
              <w:t>ii) l’utilisation de revêtements de surface opaques et durables, par exemple, des composants métalliques, etc.</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traite de l’évaluation de la conformité et du contrôle de la production en usine des produits de scellement en conformité avec elle.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décrit la performance des produits de scellement en conformité avec elle, en ce qui concerne le scellement et le collage.</w:t>
            </w:r>
          </w:p>
          <w:p w:rsidR="00DA5AD2" w:rsidRPr="0043547B" w:rsidRDefault="000C7CA0" w:rsidP="00554CF5">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ne s’applique pas aux produits de scellement pour la fabrication de vitrages isolants dont le produit de collage est entièrement protégé, par une ossature, contre les rayons ultraviolets.</w:t>
            </w:r>
          </w:p>
        </w:tc>
      </w:tr>
      <w:tr w:rsidR="0043547B" w:rsidRPr="0043547B" w:rsidTr="00446EF2">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1096-4</w:t>
            </w:r>
          </w:p>
        </w:tc>
      </w:tr>
      <w:tr w:rsidR="0043547B" w:rsidRPr="0043547B" w:rsidTr="00446EF2">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1096-4</w:t>
            </w:r>
          </w:p>
        </w:tc>
      </w:tr>
      <w:tr w:rsidR="0043547B" w:rsidRPr="0043547B" w:rsidTr="00446EF2">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Verre dans la construction - Verre à couche - Partie 4 : Évaluation de la conformité/ Norme de produit ;</w:t>
            </w:r>
          </w:p>
        </w:tc>
      </w:tr>
      <w:tr w:rsidR="0043547B" w:rsidRPr="0043547B" w:rsidTr="00446EF2">
        <w:trPr>
          <w:trHeight w:val="644"/>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 présent document couvre l'évaluation de la conformité et le contrôle de la production en usine du verre à couche utilisé dans la construction.</w:t>
            </w:r>
          </w:p>
          <w:p w:rsidR="00DA5AD2" w:rsidRPr="0043547B" w:rsidRDefault="00DA5AD2" w:rsidP="00904E52">
            <w:pPr>
              <w:spacing w:after="0" w:line="240" w:lineRule="auto"/>
              <w:jc w:val="both"/>
              <w:rPr>
                <w:rFonts w:eastAsia="Times New Roman" w:cstheme="minorHAnsi"/>
                <w:sz w:val="24"/>
                <w:szCs w:val="24"/>
                <w:lang w:eastAsia="fr-FR"/>
              </w:rPr>
            </w:pPr>
          </w:p>
        </w:tc>
      </w:tr>
      <w:tr w:rsidR="0043547B" w:rsidRPr="0043547B" w:rsidTr="00446EF2">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1279-5+A2</w:t>
            </w:r>
          </w:p>
        </w:tc>
      </w:tr>
      <w:tr w:rsidR="0043547B" w:rsidRPr="0043547B" w:rsidTr="00446EF2">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1279-5 - A2</w:t>
            </w:r>
          </w:p>
        </w:tc>
      </w:tr>
      <w:tr w:rsidR="0043547B" w:rsidRPr="0043547B" w:rsidTr="00446EF2">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Verre dans la construction - Vitrage isolant préfabriqué scellé - Partie 5 : Évaluation de la conformité ;</w:t>
            </w:r>
          </w:p>
        </w:tc>
      </w:tr>
      <w:tr w:rsidR="0043547B" w:rsidRPr="0043547B" w:rsidTr="00446EF2">
        <w:trPr>
          <w:trHeight w:val="852"/>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des exigences relatives à l'évaluation de la conformité et au contrôle de la production en usine des vitrages isolants utilisés dans la construction.</w:t>
            </w:r>
          </w:p>
        </w:tc>
      </w:tr>
      <w:tr w:rsidR="0043547B" w:rsidRPr="0043547B" w:rsidTr="00446EF2">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14449</w:t>
            </w:r>
          </w:p>
        </w:tc>
      </w:tr>
      <w:tr w:rsidR="0043547B" w:rsidRPr="0043547B" w:rsidTr="00446EF2">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14449</w:t>
            </w:r>
          </w:p>
        </w:tc>
      </w:tr>
      <w:tr w:rsidR="0043547B" w:rsidRPr="0043547B" w:rsidTr="00446EF2">
        <w:trPr>
          <w:trHeight w:val="499"/>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Verre dans la construction - Verre feuilleté et verre feuilleté de sécurité - Évaluation de </w:t>
            </w:r>
            <w:r w:rsidR="00DA5AD2" w:rsidRPr="0043547B">
              <w:rPr>
                <w:rFonts w:eastAsia="Times New Roman" w:cstheme="minorHAnsi"/>
                <w:sz w:val="24"/>
                <w:szCs w:val="24"/>
                <w:lang w:eastAsia="fr-FR"/>
              </w:rPr>
              <w:t>la conformité/Norme de Produit </w:t>
            </w:r>
          </w:p>
        </w:tc>
      </w:tr>
      <w:tr w:rsidR="0043547B" w:rsidRPr="0043547B" w:rsidTr="00446EF2">
        <w:trPr>
          <w:trHeight w:val="593"/>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couvre l'évaluation de la conformité et le contrôle de la production en usine pour le verre feuilleté et le verre feuilleté de sécurité pour usage dans la construction.</w:t>
            </w:r>
          </w:p>
        </w:tc>
      </w:tr>
      <w:tr w:rsidR="0043547B" w:rsidRPr="0043547B" w:rsidTr="00446EF2">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13024-2</w:t>
            </w:r>
          </w:p>
        </w:tc>
      </w:tr>
      <w:tr w:rsidR="0043547B" w:rsidRPr="0043547B" w:rsidTr="00446EF2">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13024-2</w:t>
            </w:r>
          </w:p>
        </w:tc>
      </w:tr>
      <w:tr w:rsidR="0043547B" w:rsidRPr="0043547B" w:rsidTr="00446EF2">
        <w:trPr>
          <w:trHeight w:val="6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Verre dans la construction - Verre borosilicaté de sécurité trempé thermiquement - Partie 2 : Evaluation de la conformité ;</w:t>
            </w:r>
          </w:p>
        </w:tc>
      </w:tr>
      <w:tr w:rsidR="0043547B" w:rsidRPr="0043547B" w:rsidTr="00446EF2">
        <w:trPr>
          <w:trHeight w:val="69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 présent document couvre l'évaluation de la conformité et le contrôle de la production en usine du verre borosilicaté de sécurité trempé thermiquement plan utilisé dans la construction.</w:t>
            </w:r>
          </w:p>
        </w:tc>
      </w:tr>
      <w:tr w:rsidR="0043547B" w:rsidRPr="0043547B" w:rsidTr="00446EF2">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1051-2</w:t>
            </w:r>
          </w:p>
        </w:tc>
      </w:tr>
      <w:tr w:rsidR="0043547B" w:rsidRPr="0043547B" w:rsidTr="00446EF2">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1051-2</w:t>
            </w:r>
          </w:p>
        </w:tc>
      </w:tr>
      <w:tr w:rsidR="0043547B" w:rsidRPr="0043547B" w:rsidTr="00446EF2">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Verre dans la construction - Briques et pavés de verre - Partie 2 : Evaluation de la conformité/Norme produit ;</w:t>
            </w:r>
          </w:p>
        </w:tc>
      </w:tr>
      <w:tr w:rsidR="0043547B" w:rsidRPr="0043547B" w:rsidTr="00446EF2">
        <w:trPr>
          <w:trHeight w:val="90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partie de La norme traite des exigences et des recommandations concernant l'évaluation de la conformité et le contrôle de la production en usine des briques et pavés de verre.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Cette norme ne traite pas des panneaux incorporant des briques et pavés de verre.</w:t>
            </w:r>
          </w:p>
        </w:tc>
      </w:tr>
      <w:tr w:rsidR="0043547B" w:rsidRPr="0043547B" w:rsidTr="00446EF2">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14178-2</w:t>
            </w:r>
          </w:p>
        </w:tc>
      </w:tr>
      <w:tr w:rsidR="0043547B" w:rsidRPr="0043547B" w:rsidTr="00446EF2">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14178-2</w:t>
            </w:r>
          </w:p>
        </w:tc>
      </w:tr>
      <w:tr w:rsidR="0043547B" w:rsidRPr="0043547B" w:rsidTr="00446EF2">
        <w:trPr>
          <w:trHeight w:val="6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Verre dans la construction - Produits verriers de silicate alcalino-terreux de base - Partie 2 : Evaluation de la conformité ;</w:t>
            </w:r>
          </w:p>
        </w:tc>
      </w:tr>
      <w:tr w:rsidR="0043547B" w:rsidRPr="0043547B" w:rsidTr="00446EF2">
        <w:trPr>
          <w:trHeight w:val="603"/>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 présent document couvre l'évaluation de la conformité et le contrôle de la production en usine pour les produits verriers de silicate alcalino-terreux de base utilisés dans la construction.</w:t>
            </w:r>
          </w:p>
        </w:tc>
      </w:tr>
      <w:tr w:rsidR="0043547B" w:rsidRPr="0043547B" w:rsidTr="00446EF2">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14321-2</w:t>
            </w:r>
          </w:p>
        </w:tc>
      </w:tr>
      <w:tr w:rsidR="0043547B" w:rsidRPr="0043547B" w:rsidTr="00446EF2">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14321-2</w:t>
            </w:r>
          </w:p>
        </w:tc>
      </w:tr>
      <w:tr w:rsidR="0043547B" w:rsidRPr="0043547B" w:rsidTr="00446EF2">
        <w:trPr>
          <w:trHeight w:val="6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Verre dans la construction - Verre de silicate alcalino-terreux de sécurité trempé thermiquement - Partie 2: Evaluation de la conformité/Norme produit ;</w:t>
            </w:r>
          </w:p>
        </w:tc>
      </w:tr>
      <w:tr w:rsidR="0043547B" w:rsidRPr="0043547B" w:rsidTr="00446EF2">
        <w:trPr>
          <w:trHeight w:val="52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couvre l'évaluation de la conformité et le contrôle de la production en usine du verre plat de silicate alcalino-terreux de sécurité trempé thermiquement destiné à être utilisé dans la construction.</w:t>
            </w:r>
          </w:p>
          <w:p w:rsidR="00554CF5" w:rsidRPr="0043547B" w:rsidRDefault="00554CF5" w:rsidP="00904E52">
            <w:pPr>
              <w:spacing w:after="0" w:line="240" w:lineRule="auto"/>
              <w:jc w:val="both"/>
              <w:rPr>
                <w:rFonts w:eastAsia="Times New Roman" w:cstheme="minorHAnsi"/>
                <w:sz w:val="24"/>
                <w:szCs w:val="24"/>
                <w:lang w:eastAsia="fr-FR"/>
              </w:rPr>
            </w:pPr>
          </w:p>
        </w:tc>
      </w:tr>
      <w:tr w:rsidR="0043547B" w:rsidRPr="0043547B" w:rsidTr="00446EF2">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14179-2</w:t>
            </w:r>
          </w:p>
        </w:tc>
      </w:tr>
      <w:tr w:rsidR="0043547B" w:rsidRPr="0043547B" w:rsidTr="00446EF2">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14179-2</w:t>
            </w:r>
          </w:p>
        </w:tc>
      </w:tr>
      <w:tr w:rsidR="0043547B" w:rsidRPr="0043547B" w:rsidTr="00446EF2">
        <w:trPr>
          <w:trHeight w:val="6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Verre dans la construction - Verre de silicate sodo-calcique de sécurité trempé et traité Heat Soak - Partie 2 : Evaluation de la conformité/Norme de produit ;</w:t>
            </w:r>
          </w:p>
        </w:tc>
      </w:tr>
      <w:tr w:rsidR="0043547B" w:rsidRPr="0043547B" w:rsidTr="00446EF2">
        <w:trPr>
          <w:trHeight w:val="577"/>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des exigences relatives à l'évaluation de la conformité et au contrôle de la production en usine du verre plat de silicate sodo-calcique de sécurité trempé et traité Heat Soak, utilisé dans la construction.</w:t>
            </w:r>
          </w:p>
        </w:tc>
      </w:tr>
    </w:tbl>
    <w:p w:rsidR="00904E52" w:rsidRPr="0043547B" w:rsidRDefault="00904E52" w:rsidP="00F26621">
      <w:pPr>
        <w:pStyle w:val="Titre4"/>
        <w:numPr>
          <w:ilvl w:val="2"/>
          <w:numId w:val="2"/>
        </w:numPr>
        <w:ind w:left="1418" w:hanging="579"/>
        <w:rPr>
          <w:rFonts w:cstheme="minorHAnsi"/>
          <w:b/>
          <w:bCs w:val="0"/>
          <w:iCs w:val="0"/>
          <w:color w:val="auto"/>
          <w:szCs w:val="24"/>
          <w:u w:val="single"/>
        </w:rPr>
      </w:pPr>
      <w:bookmarkStart w:id="36" w:name="_Toc458606093"/>
      <w:r w:rsidRPr="0043547B">
        <w:rPr>
          <w:rFonts w:cstheme="minorHAnsi"/>
          <w:b/>
          <w:bCs w:val="0"/>
          <w:iCs w:val="0"/>
          <w:color w:val="auto"/>
          <w:szCs w:val="24"/>
          <w:u w:val="single"/>
        </w:rPr>
        <w:t>Quincaillerie</w:t>
      </w:r>
      <w:bookmarkEnd w:id="36"/>
      <w:r w:rsidRPr="0043547B">
        <w:rPr>
          <w:rFonts w:cstheme="minorHAnsi"/>
          <w:b/>
          <w:bCs w:val="0"/>
          <w:iCs w:val="0"/>
          <w:color w:val="auto"/>
          <w:szCs w:val="24"/>
          <w:u w:val="single"/>
        </w:rPr>
        <w:t xml:space="preserve"> </w:t>
      </w:r>
    </w:p>
    <w:tbl>
      <w:tblPr>
        <w:tblW w:w="9776" w:type="dxa"/>
        <w:jc w:val="center"/>
        <w:tblCellMar>
          <w:left w:w="70" w:type="dxa"/>
          <w:right w:w="70" w:type="dxa"/>
        </w:tblCellMar>
        <w:tblLook w:val="04A0" w:firstRow="1" w:lastRow="0" w:firstColumn="1" w:lastColumn="0" w:noHBand="0" w:noVBand="1"/>
      </w:tblPr>
      <w:tblGrid>
        <w:gridCol w:w="1838"/>
        <w:gridCol w:w="7938"/>
      </w:tblGrid>
      <w:tr w:rsidR="0043547B" w:rsidRPr="0043547B" w:rsidTr="00056AEE">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10.2.046</w:t>
            </w:r>
          </w:p>
        </w:tc>
      </w:tr>
      <w:tr w:rsidR="0043547B" w:rsidRPr="0043547B" w:rsidTr="00056AEE">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Fermetures pour baies extérieures équipées de fenêtres - Caractéristiques mécaniques </w:t>
            </w:r>
          </w:p>
        </w:tc>
      </w:tr>
      <w:tr w:rsidR="0043547B" w:rsidRPr="0043547B" w:rsidTr="00056AEE">
        <w:trPr>
          <w:trHeight w:val="150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a pour objet de définir les critères auxquels doivent satisfaire les ouvrages de fermeture mobiles pour baies extérieures, destinés à être placés devant une fenêtre ou une porte- fenêtre lorsqu’ils sont soumis aux essais définis dans la norme NM 10.2.047 «Fenêtres pour baies extérieures équipées de fenêtres-Méthodes d’essais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Pour les fermetures à tablier en profilés, se référer à la norme NM 10.2.050.</w:t>
            </w:r>
          </w:p>
        </w:tc>
      </w:tr>
      <w:tr w:rsidR="0043547B" w:rsidRPr="0043547B" w:rsidTr="00056AEE">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10.2.048</w:t>
            </w:r>
          </w:p>
        </w:tc>
      </w:tr>
      <w:tr w:rsidR="0043547B" w:rsidRPr="0043547B" w:rsidTr="00056AEE">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Fermetures pour baies extérieures de fenêtre – Spécifications techniques </w:t>
            </w:r>
          </w:p>
        </w:tc>
      </w:tr>
      <w:tr w:rsidR="0043547B" w:rsidRPr="0043547B" w:rsidTr="00056AEE">
        <w:trPr>
          <w:trHeight w:val="885"/>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concerne les fermetures extérieures de bâtiment installées devant les fenêtres et portes fenêtres dans les bâtiments d’usage courant (2) (principalement les logements, les bâtiments scolaires et immeubles de bureaux).</w:t>
            </w:r>
          </w:p>
        </w:tc>
      </w:tr>
      <w:tr w:rsidR="0043547B" w:rsidRPr="0043547B" w:rsidTr="00056AEE">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10.2.049</w:t>
            </w:r>
          </w:p>
        </w:tc>
      </w:tr>
      <w:tr w:rsidR="0043547B" w:rsidRPr="0043547B" w:rsidTr="00056AEE">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Fermetures pour baies extérieures équipées de fenêtres – Volets roulants - Définition - Classification - Désignation </w:t>
            </w:r>
          </w:p>
        </w:tc>
      </w:tr>
      <w:tr w:rsidR="0043547B" w:rsidRPr="0043547B" w:rsidTr="00056AEE">
        <w:trPr>
          <w:trHeight w:val="1535"/>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BD76D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Cette norme vise les fermetures destinées à la réalisation des ouvrages de fermeture extérieurs de bâtiment. Ne sont pas visés par cette norme les ouvrages de fermeture</w:t>
            </w:r>
            <w:r w:rsidR="00BD76D3">
              <w:rPr>
                <w:rFonts w:eastAsia="Times New Roman" w:cstheme="minorHAnsi"/>
                <w:sz w:val="24"/>
                <w:szCs w:val="24"/>
                <w:lang w:eastAsia="fr-FR"/>
              </w:rPr>
              <w:t xml:space="preserve"> </w:t>
            </w:r>
            <w:r w:rsidRPr="0043547B">
              <w:rPr>
                <w:rFonts w:eastAsia="Times New Roman" w:cstheme="minorHAnsi"/>
                <w:sz w:val="24"/>
                <w:szCs w:val="24"/>
                <w:lang w:eastAsia="fr-FR"/>
              </w:rPr>
              <w:t>intérieurs, ni les ouvrages d’éclairement fixes ou mobiles (fenêtres), ni les portes d’entrée extérieures.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fermetures à tablier en profilés P.V.C sont désignées dans la NM 10.2.050.</w:t>
            </w:r>
          </w:p>
        </w:tc>
      </w:tr>
      <w:tr w:rsidR="0043547B" w:rsidRPr="0043547B" w:rsidTr="00056AEE">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10.2.050</w:t>
            </w:r>
          </w:p>
        </w:tc>
      </w:tr>
      <w:tr w:rsidR="0043547B" w:rsidRPr="0043547B" w:rsidTr="00056AEE">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Fermetures pour baies extérieures équipées de fenêtres - Fermetures à tablier en profilés PVC </w:t>
            </w:r>
          </w:p>
        </w:tc>
      </w:tr>
      <w:tr w:rsidR="0043547B" w:rsidRPr="0043547B" w:rsidTr="00056AEE">
        <w:trPr>
          <w:trHeight w:val="356"/>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aux fermetures dont le tablier est composé par un assemblage de profilés en PVC.</w:t>
            </w:r>
          </w:p>
        </w:tc>
      </w:tr>
      <w:tr w:rsidR="0043547B" w:rsidRPr="0043547B" w:rsidTr="00056AEE">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EN 12209</w:t>
            </w:r>
          </w:p>
        </w:tc>
      </w:tr>
      <w:tr w:rsidR="0043547B" w:rsidRPr="0043547B" w:rsidTr="00056AEE">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12209</w:t>
            </w:r>
          </w:p>
        </w:tc>
      </w:tr>
      <w:tr w:rsidR="0043547B" w:rsidRPr="0043547B" w:rsidTr="00056AEE">
        <w:trPr>
          <w:trHeight w:val="5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Quincaillerie pour le bâtiment — Serrures — Serrures mécaniques et gâches — Exigences et méthodes d'essai</w:t>
            </w:r>
          </w:p>
        </w:tc>
      </w:tr>
      <w:tr w:rsidR="0043547B" w:rsidRPr="0043547B" w:rsidTr="00056AEE">
        <w:trPr>
          <w:trHeight w:val="283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DE25A7">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w:t>
            </w:r>
            <w:r w:rsidR="00DE25A7" w:rsidRPr="0043547B">
              <w:rPr>
                <w:rFonts w:eastAsia="Times New Roman" w:cstheme="minorHAnsi"/>
                <w:sz w:val="24"/>
                <w:szCs w:val="24"/>
                <w:lang w:eastAsia="fr-FR"/>
              </w:rPr>
              <w:t xml:space="preserve"> </w:t>
            </w:r>
            <w:r w:rsidRPr="0043547B">
              <w:rPr>
                <w:rFonts w:eastAsia="Times New Roman" w:cstheme="minorHAnsi"/>
                <w:sz w:val="24"/>
                <w:szCs w:val="24"/>
                <w:lang w:eastAsia="fr-FR"/>
              </w:rPr>
              <w:t>norme</w:t>
            </w:r>
            <w:r w:rsidR="00DE25A7" w:rsidRPr="0043547B">
              <w:rPr>
                <w:rFonts w:eastAsia="Times New Roman" w:cstheme="minorHAnsi"/>
                <w:sz w:val="24"/>
                <w:szCs w:val="24"/>
                <w:lang w:eastAsia="fr-FR"/>
              </w:rPr>
              <w:t xml:space="preserve"> </w:t>
            </w:r>
            <w:r w:rsidRPr="0043547B">
              <w:rPr>
                <w:rFonts w:eastAsia="Times New Roman" w:cstheme="minorHAnsi"/>
                <w:sz w:val="24"/>
                <w:szCs w:val="24"/>
                <w:lang w:eastAsia="fr-FR"/>
              </w:rPr>
              <w:t>spécifie les exigences et les méthodes d’essai relatives à l’endurance, la résistance, la sécurité, et le fonctionnement des serrures manœuvrées mécaniquement et leurs gâches lors de leur utilisation sur des portes, portes-fenêtres et portes d’entrée de bâtiment.</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exigences additionnelles pour les serrures et leurs gâches utilisées sur des portes coupe-feu et pare-fumées sont précisées dans l’Annexe A.</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dispositifs de fermeture suivants et leurs produits associés ne sont pas couverts par La norme : cylindres de serrure, béquilles, serrures et gâches électromécaniques, serrures et gâches multipoints, serrures pour fenêtres, cadenas, serrures assurant la sécurité des personnes, les serrures de meubles et les serrures de prison.</w:t>
            </w:r>
          </w:p>
        </w:tc>
      </w:tr>
      <w:tr w:rsidR="005D5DC7" w:rsidRPr="0043547B" w:rsidTr="00056AEE">
        <w:trPr>
          <w:trHeight w:val="414"/>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5D5DC7" w:rsidRPr="00DB0DCD" w:rsidRDefault="005D5DC7" w:rsidP="00DB0DCD">
            <w:pPr>
              <w:spacing w:after="0" w:line="240" w:lineRule="auto"/>
              <w:jc w:val="center"/>
              <w:rPr>
                <w:rFonts w:ascii="Calibri" w:hAnsi="Calibri" w:cs="Calibri"/>
                <w:b/>
                <w:bCs/>
                <w:sz w:val="24"/>
                <w:szCs w:val="24"/>
              </w:rPr>
            </w:pPr>
            <w:r w:rsidRPr="00DB0DCD">
              <w:rPr>
                <w:rFonts w:ascii="Calibri" w:hAnsi="Calibri" w:cs="Calibri"/>
                <w:b/>
                <w:bCs/>
                <w:sz w:val="24"/>
                <w:szCs w:val="24"/>
              </w:rPr>
              <w:t>Code :</w:t>
            </w:r>
          </w:p>
        </w:tc>
        <w:tc>
          <w:tcPr>
            <w:tcW w:w="7938" w:type="dxa"/>
            <w:tcBorders>
              <w:top w:val="nil"/>
              <w:left w:val="single" w:sz="4" w:space="0" w:color="auto"/>
              <w:bottom w:val="single" w:sz="18" w:space="0" w:color="auto"/>
              <w:right w:val="single" w:sz="18" w:space="0" w:color="auto"/>
            </w:tcBorders>
            <w:shd w:val="clear" w:color="auto" w:fill="C2D69B" w:themeFill="accent3" w:themeFillTint="99"/>
            <w:vAlign w:val="center"/>
          </w:tcPr>
          <w:p w:rsidR="005D5DC7" w:rsidRPr="00DB0DCD" w:rsidRDefault="005D5DC7" w:rsidP="00DB0DCD">
            <w:pPr>
              <w:spacing w:after="0" w:line="240" w:lineRule="auto"/>
              <w:jc w:val="center"/>
              <w:rPr>
                <w:rFonts w:ascii="Times New Roman" w:hAnsi="Times New Roman" w:cs="Times New Roman"/>
                <w:b/>
                <w:bCs/>
                <w:color w:val="000000"/>
                <w:sz w:val="24"/>
                <w:szCs w:val="24"/>
              </w:rPr>
            </w:pPr>
            <w:r w:rsidRPr="00DB0DCD">
              <w:rPr>
                <w:b/>
                <w:bCs/>
                <w:color w:val="000000"/>
                <w:sz w:val="24"/>
                <w:szCs w:val="24"/>
              </w:rPr>
              <w:t>NM 10.8.858</w:t>
            </w:r>
          </w:p>
        </w:tc>
      </w:tr>
      <w:tr w:rsidR="005D5DC7" w:rsidRPr="0043547B" w:rsidTr="00056AEE">
        <w:trPr>
          <w:trHeight w:val="524"/>
          <w:jc w:val="center"/>
        </w:trPr>
        <w:tc>
          <w:tcPr>
            <w:tcW w:w="1838" w:type="dxa"/>
            <w:tcBorders>
              <w:top w:val="nil"/>
              <w:left w:val="single" w:sz="18" w:space="0" w:color="auto"/>
              <w:bottom w:val="single" w:sz="18" w:space="0" w:color="auto"/>
              <w:right w:val="single" w:sz="4" w:space="0" w:color="auto"/>
            </w:tcBorders>
            <w:shd w:val="clear" w:color="auto" w:fill="FFFF99"/>
            <w:vAlign w:val="center"/>
          </w:tcPr>
          <w:p w:rsidR="005D5DC7" w:rsidRPr="00DB0DCD" w:rsidRDefault="005D5DC7" w:rsidP="00DB0DCD">
            <w:pPr>
              <w:spacing w:after="0" w:line="240" w:lineRule="auto"/>
              <w:jc w:val="center"/>
              <w:rPr>
                <w:rFonts w:ascii="Calibri" w:hAnsi="Calibri" w:cs="Calibri"/>
                <w:b/>
                <w:bCs/>
                <w:sz w:val="24"/>
                <w:szCs w:val="24"/>
              </w:rPr>
            </w:pPr>
            <w:r w:rsidRPr="00DB0DCD">
              <w:rPr>
                <w:rFonts w:ascii="Calibri" w:hAnsi="Calibri" w:cs="Calibri"/>
                <w:b/>
                <w:bCs/>
                <w:sz w:val="24"/>
                <w:szCs w:val="24"/>
              </w:rPr>
              <w:t>Equivalence :</w:t>
            </w:r>
          </w:p>
        </w:tc>
        <w:tc>
          <w:tcPr>
            <w:tcW w:w="7938" w:type="dxa"/>
            <w:tcBorders>
              <w:top w:val="nil"/>
              <w:left w:val="single" w:sz="4" w:space="0" w:color="auto"/>
              <w:bottom w:val="single" w:sz="18" w:space="0" w:color="auto"/>
              <w:right w:val="single" w:sz="18" w:space="0" w:color="auto"/>
            </w:tcBorders>
            <w:shd w:val="clear" w:color="auto" w:fill="FFFF99"/>
            <w:vAlign w:val="center"/>
          </w:tcPr>
          <w:p w:rsidR="005D5DC7" w:rsidRPr="00DB0DCD" w:rsidRDefault="005D5DC7" w:rsidP="00DB0DCD">
            <w:pPr>
              <w:spacing w:after="0" w:line="240" w:lineRule="auto"/>
              <w:jc w:val="center"/>
              <w:rPr>
                <w:rFonts w:ascii="Times New Roman" w:hAnsi="Times New Roman" w:cs="Times New Roman"/>
                <w:b/>
                <w:bCs/>
                <w:color w:val="000000"/>
                <w:sz w:val="24"/>
                <w:szCs w:val="24"/>
              </w:rPr>
            </w:pPr>
            <w:r w:rsidRPr="00DB0DCD">
              <w:rPr>
                <w:b/>
                <w:bCs/>
                <w:color w:val="000000"/>
                <w:sz w:val="24"/>
                <w:szCs w:val="24"/>
              </w:rPr>
              <w:t>NF P 01-012</w:t>
            </w:r>
          </w:p>
        </w:tc>
      </w:tr>
      <w:tr w:rsidR="005D5DC7" w:rsidRPr="0043547B" w:rsidTr="00056AEE">
        <w:trPr>
          <w:trHeight w:val="517"/>
          <w:jc w:val="center"/>
        </w:trPr>
        <w:tc>
          <w:tcPr>
            <w:tcW w:w="1838" w:type="dxa"/>
            <w:tcBorders>
              <w:top w:val="single" w:sz="18" w:space="0" w:color="auto"/>
              <w:left w:val="single" w:sz="18" w:space="0" w:color="auto"/>
              <w:bottom w:val="single" w:sz="4" w:space="0" w:color="auto"/>
              <w:right w:val="single" w:sz="4" w:space="0" w:color="auto"/>
            </w:tcBorders>
            <w:shd w:val="clear" w:color="auto" w:fill="95B3D7" w:themeFill="accent1" w:themeFillTint="99"/>
            <w:vAlign w:val="center"/>
          </w:tcPr>
          <w:p w:rsidR="005D5DC7" w:rsidRPr="00DB0DCD" w:rsidRDefault="005D5DC7" w:rsidP="00DB0DCD">
            <w:pPr>
              <w:spacing w:after="0" w:line="240" w:lineRule="auto"/>
              <w:jc w:val="center"/>
              <w:rPr>
                <w:rFonts w:ascii="Calibri" w:hAnsi="Calibri" w:cs="Calibri"/>
                <w:b/>
                <w:bCs/>
                <w:sz w:val="24"/>
                <w:szCs w:val="24"/>
              </w:rPr>
            </w:pPr>
            <w:r w:rsidRPr="00DB0DCD">
              <w:rPr>
                <w:rFonts w:ascii="Calibri" w:hAnsi="Calibri" w:cs="Calibri"/>
                <w:b/>
                <w:bCs/>
                <w:sz w:val="24"/>
                <w:szCs w:val="24"/>
              </w:rPr>
              <w:t>I</w:t>
            </w:r>
            <w:r w:rsidRPr="00DB0DCD">
              <w:rPr>
                <w:rFonts w:ascii="Calibri" w:hAnsi="Calibri" w:cs="Calibri"/>
                <w:b/>
                <w:bCs/>
                <w:sz w:val="24"/>
                <w:szCs w:val="24"/>
                <w:shd w:val="clear" w:color="auto" w:fill="95B3D7" w:themeFill="accent1" w:themeFillTint="99"/>
              </w:rPr>
              <w:t>n</w:t>
            </w:r>
            <w:r w:rsidRPr="00DB0DCD">
              <w:rPr>
                <w:rFonts w:ascii="Calibri" w:hAnsi="Calibri" w:cs="Calibri"/>
                <w:b/>
                <w:bCs/>
                <w:sz w:val="24"/>
                <w:szCs w:val="24"/>
              </w:rPr>
              <w:t>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bottom"/>
          </w:tcPr>
          <w:p w:rsidR="005D5DC7" w:rsidRPr="00DB0DCD" w:rsidRDefault="005D5DC7" w:rsidP="00DB0DCD">
            <w:pPr>
              <w:spacing w:after="0" w:line="240" w:lineRule="auto"/>
              <w:jc w:val="both"/>
              <w:rPr>
                <w:rFonts w:ascii="Times New Roman" w:hAnsi="Times New Roman" w:cs="Times New Roman"/>
                <w:color w:val="000000"/>
                <w:sz w:val="24"/>
                <w:szCs w:val="24"/>
              </w:rPr>
            </w:pPr>
            <w:r w:rsidRPr="00DB0DCD">
              <w:rPr>
                <w:color w:val="000000"/>
                <w:sz w:val="24"/>
                <w:szCs w:val="24"/>
              </w:rPr>
              <w:t xml:space="preserve">Dimensions des garde-corps - Règles de sécurité relatives aux dimensions des garde-corps et rampes d'escalier ; </w:t>
            </w:r>
          </w:p>
        </w:tc>
      </w:tr>
      <w:tr w:rsidR="005D5DC7" w:rsidRPr="0043547B" w:rsidTr="00056AEE">
        <w:trPr>
          <w:trHeight w:val="2830"/>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5D5DC7" w:rsidRPr="00DB0DCD" w:rsidRDefault="005D5DC7" w:rsidP="00DB0DCD">
            <w:pPr>
              <w:spacing w:after="0" w:line="240" w:lineRule="auto"/>
              <w:jc w:val="center"/>
              <w:rPr>
                <w:rFonts w:ascii="Calibri" w:hAnsi="Calibri" w:cs="Calibri"/>
                <w:b/>
                <w:bCs/>
                <w:sz w:val="24"/>
                <w:szCs w:val="24"/>
              </w:rPr>
            </w:pPr>
            <w:r w:rsidRPr="00DB0DCD">
              <w:rPr>
                <w:rFonts w:ascii="Calibri" w:hAnsi="Calibri" w:cs="Calibri"/>
                <w:b/>
                <w:bCs/>
                <w:sz w:val="24"/>
                <w:szCs w:val="24"/>
              </w:rPr>
              <w:lastRenderedPageBreak/>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bottom"/>
          </w:tcPr>
          <w:p w:rsidR="00DB0DCD" w:rsidRDefault="005D5DC7" w:rsidP="00DB0DCD">
            <w:pPr>
              <w:spacing w:after="0" w:line="240" w:lineRule="auto"/>
              <w:jc w:val="both"/>
              <w:rPr>
                <w:color w:val="000000"/>
                <w:sz w:val="24"/>
                <w:szCs w:val="24"/>
              </w:rPr>
            </w:pPr>
            <w:r w:rsidRPr="00DB0DCD">
              <w:rPr>
                <w:color w:val="000000"/>
                <w:sz w:val="24"/>
                <w:szCs w:val="24"/>
              </w:rPr>
              <w:t>La présente norme s'applique aux garde-corps et aux rampes d'escalier [1] de caractère définitif rencontrés dans les bâtiments : [2]</w:t>
            </w:r>
            <w:r w:rsidRPr="00DB0DCD">
              <w:rPr>
                <w:color w:val="000000"/>
                <w:sz w:val="24"/>
                <w:szCs w:val="24"/>
              </w:rPr>
              <w:br/>
              <w:t>-d'habitation,-de bureaux,-commerciaux,-scolaires,-industriels et agricoles (pour les locaux où le public a accès), ainsi qu'aux bords de ces bâtiments, les autres établissements recevant du public [2] et leurs abords.</w:t>
            </w:r>
          </w:p>
          <w:p w:rsidR="00DB0DCD" w:rsidRDefault="005D5DC7" w:rsidP="00DB0DCD">
            <w:pPr>
              <w:spacing w:after="0" w:line="240" w:lineRule="auto"/>
              <w:jc w:val="both"/>
              <w:rPr>
                <w:color w:val="000000"/>
                <w:sz w:val="24"/>
                <w:szCs w:val="24"/>
              </w:rPr>
            </w:pPr>
            <w:r w:rsidRPr="00DB0DCD">
              <w:rPr>
                <w:color w:val="000000"/>
                <w:sz w:val="24"/>
                <w:szCs w:val="24"/>
              </w:rPr>
              <w:t>La présente norme ne vise pas :</w:t>
            </w:r>
          </w:p>
          <w:p w:rsidR="005D5DC7" w:rsidRPr="00DB0DCD" w:rsidRDefault="005D5DC7" w:rsidP="00DB0DCD">
            <w:pPr>
              <w:spacing w:after="0" w:line="240" w:lineRule="auto"/>
              <w:jc w:val="both"/>
              <w:rPr>
                <w:rFonts w:ascii="Times New Roman" w:hAnsi="Times New Roman" w:cs="Times New Roman"/>
                <w:color w:val="000000"/>
                <w:sz w:val="24"/>
                <w:szCs w:val="24"/>
              </w:rPr>
            </w:pPr>
            <w:r w:rsidRPr="00DB0DCD">
              <w:rPr>
                <w:color w:val="000000"/>
                <w:sz w:val="24"/>
                <w:szCs w:val="24"/>
              </w:rPr>
              <w:t>-les garde-corps et rampes situés à l'intérieur des logements et ne donnant pas sur l'extérieur, si le maître de l'ouvrage le notifie [3],-les garde-corps, rampes et éléments de sécurité situés sur les toitures ou dans les locaux, passages et emplacements techniques réservés au personnel d'exploitation ou d'entretien, ni les garde-corps d'échafaudages de caractère provisoire ,-les balcons de salles de théâtre, salles de cinéma et autres lieux de spectacles si le maître d'ouvrage le notifie [3],-les tribunes de stades, si le maître d'ouvrage le notifie [3]. Dans tous les cas la norme vise les escaliers desservant les gradins ou tribunes, et les extrémités des gradins débouchant sur le vide,-les garde-corps des édifices classés monuments historiques ou inscrits à l’inventaire des monuments historiques,-les remplacements à l'équivalent de garde-corps effectués lors de ravalement de bâtiments anciens. ou d'adjonctions de parties de bâtiments de même style.</w:t>
            </w:r>
          </w:p>
        </w:tc>
      </w:tr>
      <w:tr w:rsidR="0043547B" w:rsidRPr="0043547B" w:rsidTr="00056AEE">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EN 179</w:t>
            </w:r>
          </w:p>
        </w:tc>
      </w:tr>
      <w:tr w:rsidR="0043547B" w:rsidRPr="0043547B" w:rsidTr="00056AEE">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179 - A1</w:t>
            </w:r>
          </w:p>
        </w:tc>
      </w:tr>
      <w:tr w:rsidR="0043547B" w:rsidRPr="0043547B" w:rsidTr="00056AEE">
        <w:trPr>
          <w:trHeight w:val="6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w w:val="95"/>
                <w:sz w:val="24"/>
                <w:szCs w:val="24"/>
                <w:lang w:eastAsia="fr-FR"/>
              </w:rPr>
            </w:pPr>
            <w:r w:rsidRPr="0043547B">
              <w:rPr>
                <w:rFonts w:eastAsia="Times New Roman" w:cstheme="minorHAnsi"/>
                <w:w w:val="95"/>
                <w:sz w:val="24"/>
                <w:szCs w:val="24"/>
                <w:lang w:eastAsia="fr-FR"/>
              </w:rPr>
              <w:t xml:space="preserve">Quincaillerie pour le bâtiment - Fermetures d'urgence pour issues de secours manœuvrées par une béquille ou une plaque de poussée - Prescriptions et méthodes d'essai </w:t>
            </w:r>
          </w:p>
        </w:tc>
      </w:tr>
      <w:tr w:rsidR="0043547B" w:rsidRPr="0043547B" w:rsidTr="00056AEE">
        <w:trPr>
          <w:trHeight w:val="1127"/>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BD76D3"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prescriptions pour la fabrication, les performances et les essais des fermetures d'urgence manœuvrées mécaniquement soit par une béquille ou une plaque de poussée, pour une utilisation lorsqu'une situation de panique a peu de risques de se produire.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ne spécifie aucune conception particulière de la fermeture d'urgence et seules sont spécifiées les dimensions qui sont requises pour des raisons de sécurité.</w:t>
            </w:r>
          </w:p>
          <w:p w:rsidR="00BD76D3"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ne couvre pas les dispositifs spécifiques destinés à être utilisés par des grands mutilés.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fermetures d'urgence couvertes par La norme sont destinées à leur utilisation sur les portes montées sur pivots ou paumelles n'excédant pas une masse de 200 kg, 2 500 mm de hauteur et 1 300 mm de largeur.</w:t>
            </w:r>
          </w:p>
          <w:p w:rsidR="00BD76D3"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couvre deux conceptions spécifiques des fermetures d'urgence : celles désignées pour une utilisation uniquement sur des portes à un vantail et celles désignées spécifiquement pour une utilisation sur des portes à un vantail et/ou des portes à deux vantaux.</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couvre deux types spécifiques de manœuvres : les fermetures d'urgence avec manœuvre par «béquille», type A et les fermetures d'urgence avec manœuvre par «plaque de poussée», type B. La norme couvre deux catégories de projection des fermetures de façon à maximiser la largeur du passage d'évacuation et à minimiser la projection par rapport à la porte lorsque l'un ou les deux critères sont importants.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ne couvre pas les fermetures anti-paniques manœuvrées par une barre horizontale (voir EN 1125) ainsi que les fermetures anti-panique et les fermetures d'urgence contrôlées électriquement.</w:t>
            </w:r>
          </w:p>
        </w:tc>
      </w:tr>
      <w:tr w:rsidR="0043547B" w:rsidRPr="0043547B" w:rsidTr="00056AEE">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10.2.102</w:t>
            </w:r>
          </w:p>
        </w:tc>
      </w:tr>
      <w:tr w:rsidR="0043547B" w:rsidRPr="0043547B" w:rsidTr="00056AEE">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Quincaillerie - Serrures - Définition – Classification Désignation </w:t>
            </w:r>
          </w:p>
        </w:tc>
      </w:tr>
      <w:tr w:rsidR="0043547B" w:rsidRPr="0043547B" w:rsidTr="00056AEE">
        <w:trPr>
          <w:trHeight w:val="356"/>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a pour objet de définir les termes courants relatifs aux serrures, d’indiquer les caractéristiques de leur classification et de leur désignation.</w:t>
            </w:r>
          </w:p>
        </w:tc>
      </w:tr>
      <w:tr w:rsidR="0043547B" w:rsidRPr="0043547B" w:rsidTr="00056AEE">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10.2.103</w:t>
            </w:r>
          </w:p>
        </w:tc>
      </w:tr>
      <w:tr w:rsidR="0043547B" w:rsidRPr="0043547B" w:rsidTr="00056AEE">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Quincaillerie - Caractéristiques générales des serrures de bâtiment  </w:t>
            </w:r>
          </w:p>
        </w:tc>
      </w:tr>
      <w:tr w:rsidR="0043547B" w:rsidRPr="0043547B" w:rsidTr="00056AEE">
        <w:trPr>
          <w:trHeight w:val="60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s’applique à tous les types de serrures de bâtiment quelles qu’en soient la pose, l’orientation, la fonction du ou des peines, la sûreté la matière constitutive et la destination.</w:t>
            </w:r>
          </w:p>
        </w:tc>
      </w:tr>
      <w:tr w:rsidR="0043547B" w:rsidRPr="0043547B" w:rsidTr="00056AEE">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10.2.104</w:t>
            </w:r>
          </w:p>
        </w:tc>
      </w:tr>
      <w:tr w:rsidR="0043547B" w:rsidRPr="0043547B" w:rsidTr="00056AEE">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Quincaillerie - Serrure à mortaiser verticales - Dites de 135 à gorges ou à cylindres </w:t>
            </w:r>
          </w:p>
        </w:tc>
      </w:tr>
      <w:tr w:rsidR="0043547B" w:rsidRPr="0043547B" w:rsidTr="00056AEE">
        <w:trPr>
          <w:trHeight w:val="60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a pour objet d’indiquer les caractéristiques des serrures à mortaiser verticales dites de 135 à gorges ou à cylindres.</w:t>
            </w:r>
          </w:p>
        </w:tc>
      </w:tr>
      <w:tr w:rsidR="0043547B" w:rsidRPr="0043547B" w:rsidTr="00056AEE">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10.2.105</w:t>
            </w:r>
          </w:p>
        </w:tc>
      </w:tr>
      <w:tr w:rsidR="0043547B" w:rsidRPr="0043547B" w:rsidTr="00056AEE">
        <w:trPr>
          <w:trHeight w:val="600"/>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Quincaillerie de bâtiment – Paumelles à lames pour menuiserie en bois – Généralités, terminologie, classification et dimensions </w:t>
            </w:r>
          </w:p>
        </w:tc>
      </w:tr>
      <w:tr w:rsidR="0043547B" w:rsidRPr="0043547B" w:rsidTr="00056AEE">
        <w:trPr>
          <w:trHeight w:val="559"/>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fixe les définitions générales et les dimensions pour les paumelles à lames pour menuiserie en bois.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aux paumelles de fabrication courante, présentant deux lames pour ferrage sur ouvrant et dormant en bois, y compris les paumelles à bain d'huile, à broche pivotant sur bille et à butée à billes. Il ne s'applique pas aux paumelles pour menuiserie bois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dont une lame est remplacée par une patte pour ferrage sur dormant métallique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dont une lame est en forme d'équerre ou prolongée par une penture.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Il ne s'applique pas aux paumelles à lames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à rampe hélicoïdale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à ressort à simple action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à ressort à double action pour porte va-et-vient.</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Il ne s'applique pas aux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paumelles et organes de rotation autres qu'à lames 1), destinés au ferrage des menuiseries bois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paumelles à pattes ou à souder pour menuiserie métallique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paumelles pour grilles et portes métalliques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paumelles pour persiennes.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Il ne concerne pas les prescriptions et méthodes d'essai qui sont précisées dans la NM 10.2.250.</w:t>
            </w:r>
          </w:p>
        </w:tc>
      </w:tr>
      <w:tr w:rsidR="0043547B" w:rsidRPr="0043547B" w:rsidTr="00056AEE">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10.2.106</w:t>
            </w:r>
          </w:p>
        </w:tc>
      </w:tr>
      <w:tr w:rsidR="00503A9C" w:rsidRPr="0043547B" w:rsidTr="00056AEE">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503A9C" w:rsidRPr="0043547B" w:rsidRDefault="00503A9C" w:rsidP="00503A9C">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bottom"/>
            <w:hideMark/>
          </w:tcPr>
          <w:p w:rsidR="00503A9C" w:rsidRPr="00C07945" w:rsidRDefault="00503A9C" w:rsidP="00503A9C">
            <w:pPr>
              <w:rPr>
                <w:rFonts w:ascii="Calibri" w:hAnsi="Calibri" w:cs="Calibri"/>
                <w:sz w:val="24"/>
                <w:szCs w:val="24"/>
              </w:rPr>
            </w:pPr>
            <w:r w:rsidRPr="00C07945">
              <w:rPr>
                <w:rFonts w:ascii="Calibri" w:hAnsi="Calibri" w:cs="Calibri"/>
                <w:sz w:val="24"/>
                <w:szCs w:val="24"/>
              </w:rPr>
              <w:t xml:space="preserve">Quincaillerie de bâtiment - Serrures à mortaiser verticales dites de 135, simples </w:t>
            </w:r>
          </w:p>
        </w:tc>
      </w:tr>
      <w:tr w:rsidR="00503A9C" w:rsidRPr="0043547B" w:rsidTr="00056AEE">
        <w:trPr>
          <w:trHeight w:val="893"/>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503A9C" w:rsidRPr="0043547B" w:rsidRDefault="00503A9C" w:rsidP="00C07945">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bottom"/>
            <w:hideMark/>
          </w:tcPr>
          <w:p w:rsidR="00C07945" w:rsidRDefault="00503A9C" w:rsidP="00C07945">
            <w:pPr>
              <w:spacing w:after="0" w:line="240" w:lineRule="auto"/>
              <w:jc w:val="both"/>
              <w:rPr>
                <w:rFonts w:ascii="Calibri" w:hAnsi="Calibri" w:cs="Calibri"/>
                <w:sz w:val="24"/>
                <w:szCs w:val="24"/>
              </w:rPr>
            </w:pPr>
            <w:r w:rsidRPr="00C07945">
              <w:rPr>
                <w:rFonts w:ascii="Calibri" w:hAnsi="Calibri" w:cs="Calibri"/>
                <w:sz w:val="24"/>
                <w:szCs w:val="24"/>
              </w:rPr>
              <w:t>Le présent document fixe les prescriptions dimensionnelles des serrures à mortaiser verticales dites de 135, simples,</w:t>
            </w:r>
            <w:r w:rsidR="00C07945">
              <w:rPr>
                <w:rFonts w:ascii="Calibri" w:hAnsi="Calibri" w:cs="Calibri"/>
                <w:sz w:val="24"/>
                <w:szCs w:val="24"/>
              </w:rPr>
              <w:t xml:space="preserve"> </w:t>
            </w:r>
            <w:r w:rsidRPr="00C07945">
              <w:rPr>
                <w:rFonts w:ascii="Calibri" w:hAnsi="Calibri" w:cs="Calibri"/>
                <w:sz w:val="24"/>
                <w:szCs w:val="24"/>
              </w:rPr>
              <w:t>telles qu’elles sont définies dans l’article 3. Il ne traite pas de la classification et des essais de ces serrures,</w:t>
            </w:r>
            <w:r w:rsidRPr="00C07945">
              <w:rPr>
                <w:rFonts w:ascii="Calibri" w:hAnsi="Calibri" w:cs="Calibri"/>
                <w:sz w:val="24"/>
                <w:szCs w:val="24"/>
              </w:rPr>
              <w:br/>
              <w:t>qui font l’objet de la norme NM EN 12209.</w:t>
            </w:r>
          </w:p>
          <w:p w:rsidR="00503A9C" w:rsidRPr="00C07945" w:rsidRDefault="00503A9C" w:rsidP="00C07945">
            <w:pPr>
              <w:spacing w:after="0" w:line="240" w:lineRule="auto"/>
              <w:jc w:val="both"/>
              <w:rPr>
                <w:rFonts w:ascii="Calibri" w:hAnsi="Calibri" w:cs="Calibri"/>
                <w:sz w:val="24"/>
                <w:szCs w:val="24"/>
              </w:rPr>
            </w:pPr>
            <w:r w:rsidRPr="00C07945">
              <w:rPr>
                <w:rFonts w:ascii="Calibri" w:hAnsi="Calibri" w:cs="Calibri"/>
                <w:sz w:val="24"/>
                <w:szCs w:val="24"/>
              </w:rPr>
              <w:t>Il ne s’applique pas aux serrures à mortaiser verticales de sûreté à gorges ou à cylindres dites serrures de 150</w:t>
            </w:r>
            <w:r w:rsidR="00C07945">
              <w:rPr>
                <w:rFonts w:ascii="Calibri" w:hAnsi="Calibri" w:cs="Calibri"/>
                <w:sz w:val="24"/>
                <w:szCs w:val="24"/>
              </w:rPr>
              <w:t xml:space="preserve"> </w:t>
            </w:r>
            <w:r w:rsidRPr="00C07945">
              <w:rPr>
                <w:rFonts w:ascii="Calibri" w:hAnsi="Calibri" w:cs="Calibri"/>
                <w:sz w:val="24"/>
                <w:szCs w:val="24"/>
              </w:rPr>
              <w:t>qui sont traitées dans la norme NM 10.2.217.</w:t>
            </w:r>
          </w:p>
        </w:tc>
      </w:tr>
      <w:tr w:rsidR="0043547B" w:rsidRPr="0043547B" w:rsidTr="00056AEE">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10.2.108</w:t>
            </w:r>
          </w:p>
        </w:tc>
      </w:tr>
      <w:tr w:rsidR="0043547B" w:rsidRPr="0043547B" w:rsidTr="00056AEE">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Quincaillerie - Béquilles en alliage non ferreux et accessoires - Caractéristiques particulières </w:t>
            </w:r>
          </w:p>
        </w:tc>
      </w:tr>
      <w:tr w:rsidR="0043547B" w:rsidRPr="0043547B" w:rsidTr="00056AEE">
        <w:trPr>
          <w:trHeight w:val="701"/>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béquilles et accessoires visés par La norme sont destinés à être utilisé sur les serrures à mortaiser verticales.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Ne sont pas visées par La norme : les béquilles à portée en matière autre qu’alliages non ferreux (fonte, tôle, porcelaine, bois, matière plastique, etc..).</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spécifications qui concernent les accessoires sont applicables quelle que soit la matière constitutive.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Elles sont relative aux serrures munies de clé bénarde et non à celles équipées de blocs de sûreté.</w:t>
            </w:r>
          </w:p>
        </w:tc>
      </w:tr>
      <w:tr w:rsidR="0043547B" w:rsidRPr="0043547B" w:rsidTr="00056AEE">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10.2.113</w:t>
            </w:r>
          </w:p>
        </w:tc>
      </w:tr>
      <w:tr w:rsidR="0043547B" w:rsidRPr="0043547B" w:rsidTr="00056AEE">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Quincaillerie - Articles de quincaillerie en applique - Caractéristiques générales </w:t>
            </w:r>
          </w:p>
        </w:tc>
      </w:tr>
      <w:tr w:rsidR="0043547B" w:rsidRPr="0043547B" w:rsidTr="00056AEE">
        <w:trPr>
          <w:trHeight w:val="843"/>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aux articles de quincaillerie posés en applique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quelles qu’en soient les matières constitutives et leurs présentations,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quelle qu’en soit la destination : menuiserie bois, menuiserie métallique, mixte, en glace, serrurerie.</w:t>
            </w:r>
          </w:p>
          <w:p w:rsidR="000C7CA0" w:rsidRPr="0043547B" w:rsidRDefault="000C7CA0" w:rsidP="000C7CA0">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ne s’applique pas aux articles de quincaillerie suivants, dont certains sont en applique et font (ou sont susceptibles de faire) l’objet de normes spéciales :</w:t>
            </w:r>
          </w:p>
          <w:p w:rsidR="000C7CA0" w:rsidRPr="0043547B" w:rsidRDefault="000C7CA0" w:rsidP="000C7CA0">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serrures,</w:t>
            </w:r>
          </w:p>
          <w:p w:rsidR="000C7CA0" w:rsidRPr="0043547B" w:rsidRDefault="000C7CA0" w:rsidP="000C7CA0">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crémones,</w:t>
            </w:r>
          </w:p>
          <w:p w:rsidR="000C7CA0" w:rsidRPr="0043547B" w:rsidRDefault="000C7CA0" w:rsidP="000C7CA0">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paumelles, fiches et pivots à axe vertical,</w:t>
            </w:r>
          </w:p>
          <w:p w:rsidR="000C7CA0" w:rsidRPr="0043547B" w:rsidRDefault="000C7CA0" w:rsidP="000C7CA0">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pivots-freins ou à immobilisation à axe horizontal,</w:t>
            </w:r>
          </w:p>
          <w:p w:rsidR="000C7CA0" w:rsidRPr="0043547B" w:rsidRDefault="000C7CA0" w:rsidP="000C7CA0">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ferme-portes,</w:t>
            </w:r>
          </w:p>
          <w:p w:rsidR="000C7CA0" w:rsidRPr="0043547B" w:rsidRDefault="000C7CA0" w:rsidP="000C7CA0">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ferme-impostes,</w:t>
            </w:r>
          </w:p>
          <w:p w:rsidR="000C7CA0" w:rsidRPr="0043547B" w:rsidRDefault="000C7CA0" w:rsidP="000C7CA0">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ferrures de fenêtres oscillo-battantes, etc...</w:t>
            </w:r>
          </w:p>
          <w:p w:rsidR="00904E52" w:rsidRPr="0043547B" w:rsidRDefault="000C7CA0" w:rsidP="000C7CA0">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ne s’applique pas aux organes en applique destinés aux fermetures ou faisant partie de celles-ci.</w:t>
            </w:r>
          </w:p>
        </w:tc>
      </w:tr>
      <w:tr w:rsidR="0043547B" w:rsidRPr="0043547B" w:rsidTr="00056AEE">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10.2.114</w:t>
            </w:r>
          </w:p>
        </w:tc>
      </w:tr>
      <w:tr w:rsidR="0043547B" w:rsidRPr="0043547B" w:rsidTr="00056AEE">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Quincaillerie - Ensembles entrées - Béquilles – Caractéristiques particulières </w:t>
            </w:r>
          </w:p>
        </w:tc>
      </w:tr>
      <w:tr w:rsidR="0043547B" w:rsidRPr="0043547B" w:rsidTr="00056AEE">
        <w:trPr>
          <w:trHeight w:val="821"/>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aux ensembles entrées béquilles répondant à la définition 1.3 ci-après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quelles qu’en soient les matières constitutives et leurs présentations.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quelle qu’en soit la destination : portes en bois ou métalliques, planes ou menuisées.</w:t>
            </w:r>
          </w:p>
        </w:tc>
      </w:tr>
      <w:tr w:rsidR="0043547B" w:rsidRPr="0043547B" w:rsidTr="00056AEE">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10.2.116</w:t>
            </w:r>
          </w:p>
        </w:tc>
      </w:tr>
      <w:tr w:rsidR="0043547B" w:rsidRPr="0043547B" w:rsidTr="00056AEE">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Quincaillerie de bâtiment - Crémones – Définition - Classification - Désignation </w:t>
            </w:r>
          </w:p>
        </w:tc>
      </w:tr>
      <w:tr w:rsidR="0043547B" w:rsidRPr="0043547B" w:rsidTr="00056AEE">
        <w:trPr>
          <w:trHeight w:val="701"/>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s'applique aux appareils de fermeture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conformes à la définition 4 ci-après,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constitués par la partie « crémone » des serrures conformes aux définitions 5 et 6.</w:t>
            </w:r>
          </w:p>
          <w:p w:rsidR="00DA5AD2" w:rsidRPr="0043547B" w:rsidRDefault="00DA5AD2" w:rsidP="00DA5AD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ne s'applique pas :</w:t>
            </w:r>
          </w:p>
          <w:p w:rsidR="00DA5AD2" w:rsidRPr="0043547B" w:rsidRDefault="00DA5AD2" w:rsidP="00DA5AD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aux fermetures automatiques (définition 7),</w:t>
            </w:r>
          </w:p>
          <w:p w:rsidR="00DA5AD2" w:rsidRPr="0043547B" w:rsidRDefault="00DA5AD2" w:rsidP="00DA5AD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aux serrures à longs pênes (définition 8),</w:t>
            </w:r>
          </w:p>
          <w:p w:rsidR="00DA5AD2" w:rsidRPr="0043547B" w:rsidRDefault="00DA5AD2" w:rsidP="00DA5AD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aux serrures fermant haut et bas (définition 9),</w:t>
            </w:r>
          </w:p>
          <w:p w:rsidR="00DA5AD2" w:rsidRPr="0043547B" w:rsidRDefault="00DA5AD2" w:rsidP="00DA5AD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aux serrures avec pênes latéraux et verrous haut et bas (définition 10),</w:t>
            </w:r>
          </w:p>
          <w:p w:rsidR="00904E52" w:rsidRPr="0043547B" w:rsidRDefault="00DA5AD2" w:rsidP="00DA5AD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lastRenderedPageBreak/>
              <w:t>du fait que ces fermetures, bien que possédant des tiges, tringles ou pênes se déplaçant en sens contraire comme les crémones à deux tringles, ne « rappellent » pas.</w:t>
            </w:r>
          </w:p>
        </w:tc>
      </w:tr>
      <w:tr w:rsidR="0043547B" w:rsidRPr="0043547B" w:rsidTr="00056AEE">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10.2.117</w:t>
            </w:r>
          </w:p>
        </w:tc>
      </w:tr>
      <w:tr w:rsidR="0043547B" w:rsidRPr="0043547B" w:rsidTr="00056AEE">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Quincaillerie de bâtiment - Crémones - Caractéristiques et essais </w:t>
            </w:r>
          </w:p>
        </w:tc>
      </w:tr>
      <w:tr w:rsidR="0043547B" w:rsidRPr="0043547B" w:rsidTr="00056AEE">
        <w:trPr>
          <w:trHeight w:val="843"/>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s’applique aux appareils de fermeture à une ou deux tringles, dits «crémones»:</w:t>
            </w:r>
            <w:r w:rsidRPr="0043547B">
              <w:rPr>
                <w:rFonts w:eastAsia="Times New Roman" w:cstheme="minorHAnsi"/>
                <w:sz w:val="24"/>
                <w:szCs w:val="24"/>
                <w:lang w:eastAsia="fr-FR"/>
              </w:rPr>
              <w:br/>
              <w:t xml:space="preserve">- quel qu’en soit l’organe de </w:t>
            </w:r>
            <w:r w:rsidR="000C7CA0" w:rsidRPr="0043547B">
              <w:rPr>
                <w:rFonts w:eastAsia="Times New Roman" w:cstheme="minorHAnsi"/>
                <w:sz w:val="24"/>
                <w:szCs w:val="24"/>
                <w:lang w:eastAsia="fr-FR"/>
              </w:rPr>
              <w:t>manœuvre</w:t>
            </w:r>
            <w:r w:rsidRPr="0043547B">
              <w:rPr>
                <w:rFonts w:eastAsia="Times New Roman" w:cstheme="minorHAnsi"/>
                <w:sz w:val="24"/>
                <w:szCs w:val="24"/>
                <w:lang w:eastAsia="fr-FR"/>
              </w:rPr>
              <w:t xml:space="preserve"> : bouton, béquille, boucle, levier, clé à carré, à panneton ou à lame.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que l’appareil de fermeture soit à simple commande,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quelle qu’en soit la destination : menuiserie bois, métallique, mixte, serrurerie....,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 quelle qu’en soit la pose, boîte en applique avec tringles apparentes intérieures ou sous </w:t>
            </w:r>
            <w:r w:rsidR="000C7CA0" w:rsidRPr="0043547B">
              <w:rPr>
                <w:rFonts w:eastAsia="Times New Roman" w:cstheme="minorHAnsi"/>
                <w:sz w:val="24"/>
                <w:szCs w:val="24"/>
                <w:lang w:eastAsia="fr-FR"/>
              </w:rPr>
              <w:t>têtières</w:t>
            </w:r>
            <w:r w:rsidRPr="0043547B">
              <w:rPr>
                <w:rFonts w:eastAsia="Times New Roman" w:cstheme="minorHAnsi"/>
                <w:sz w:val="24"/>
                <w:szCs w:val="24"/>
                <w:lang w:eastAsia="fr-FR"/>
              </w:rPr>
              <w:t>, boîtier encastré (menuiserie métallique), boîtier à encastrer, à entailler, à larder (menuiserie bois)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quel qu’en soit le mouvement : à excentrique, à crémaillère, à engrenages, bielles ou manivelle;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quel qu’en soient les organes de verrouillage et leurs gâches simples</w:t>
            </w:r>
            <w:r w:rsidR="000C7CA0" w:rsidRPr="0043547B">
              <w:rPr>
                <w:rFonts w:eastAsia="Times New Roman" w:cstheme="minorHAnsi"/>
                <w:sz w:val="24"/>
                <w:szCs w:val="24"/>
                <w:lang w:eastAsia="fr-FR"/>
              </w:rPr>
              <w:t xml:space="preserve"> </w:t>
            </w:r>
            <w:r w:rsidRPr="0043547B">
              <w:rPr>
                <w:rFonts w:eastAsia="Times New Roman" w:cstheme="minorHAnsi"/>
                <w:sz w:val="24"/>
                <w:szCs w:val="24"/>
                <w:lang w:eastAsia="fr-FR"/>
              </w:rPr>
              <w:t>;</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 quelles qu’en soient les matières constitutives et </w:t>
            </w:r>
            <w:r w:rsidR="000C7CA0" w:rsidRPr="0043547B">
              <w:rPr>
                <w:rFonts w:eastAsia="Times New Roman" w:cstheme="minorHAnsi"/>
                <w:sz w:val="24"/>
                <w:szCs w:val="24"/>
                <w:lang w:eastAsia="fr-FR"/>
              </w:rPr>
              <w:t>leurs présentations</w:t>
            </w:r>
            <w:r w:rsidRPr="0043547B">
              <w:rPr>
                <w:rFonts w:eastAsia="Times New Roman" w:cstheme="minorHAnsi"/>
                <w:sz w:val="24"/>
                <w:szCs w:val="24"/>
                <w:lang w:eastAsia="fr-FR"/>
              </w:rPr>
              <w:t>.</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s’applique dans les mêmes conditions</w:t>
            </w:r>
            <w:r w:rsidR="000C7CA0" w:rsidRPr="0043547B">
              <w:rPr>
                <w:rFonts w:eastAsia="Times New Roman" w:cstheme="minorHAnsi"/>
                <w:sz w:val="24"/>
                <w:szCs w:val="24"/>
                <w:lang w:eastAsia="fr-FR"/>
              </w:rPr>
              <w:t xml:space="preserve"> </w:t>
            </w:r>
            <w:r w:rsidRPr="0043547B">
              <w:rPr>
                <w:rFonts w:eastAsia="Times New Roman" w:cstheme="minorHAnsi"/>
                <w:sz w:val="24"/>
                <w:szCs w:val="24"/>
                <w:lang w:eastAsia="fr-FR"/>
              </w:rPr>
              <w:t>:</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aux crémones de portes cochères</w:t>
            </w:r>
            <w:r w:rsidR="000C7CA0" w:rsidRPr="0043547B">
              <w:rPr>
                <w:rFonts w:eastAsia="Times New Roman" w:cstheme="minorHAnsi"/>
                <w:sz w:val="24"/>
                <w:szCs w:val="24"/>
                <w:lang w:eastAsia="fr-FR"/>
              </w:rPr>
              <w:t xml:space="preserve"> </w:t>
            </w:r>
            <w:r w:rsidRPr="0043547B">
              <w:rPr>
                <w:rFonts w:eastAsia="Times New Roman" w:cstheme="minorHAnsi"/>
                <w:sz w:val="24"/>
                <w:szCs w:val="24"/>
                <w:lang w:eastAsia="fr-FR"/>
              </w:rPr>
              <w:t>;</w:t>
            </w:r>
          </w:p>
          <w:p w:rsidR="00904E52" w:rsidRPr="0043547B" w:rsidRDefault="00C47E5A" w:rsidP="00C47E5A">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aux crémones de vitrines.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ne s’applique pas :</w:t>
            </w:r>
          </w:p>
          <w:p w:rsidR="00904E52" w:rsidRPr="0043547B" w:rsidRDefault="00904E52" w:rsidP="00C47E5A">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 aux appareils de fermeture automatique </w:t>
            </w:r>
          </w:p>
          <w:p w:rsidR="00904E52" w:rsidRPr="0043547B" w:rsidRDefault="00904E52" w:rsidP="00C47E5A">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 aux serrures à longs pênes </w:t>
            </w:r>
          </w:p>
          <w:p w:rsidR="00904E52" w:rsidRPr="0043547B" w:rsidRDefault="00904E52" w:rsidP="00C47E5A">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 aux serrures fermant haut et bas </w:t>
            </w:r>
          </w:p>
          <w:p w:rsidR="00904E52" w:rsidRPr="0043547B" w:rsidRDefault="00904E52" w:rsidP="00C47E5A">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 aux serrures avec pênes latéraux et verrous haut et bas </w:t>
            </w:r>
          </w:p>
        </w:tc>
      </w:tr>
      <w:tr w:rsidR="0043547B" w:rsidRPr="0043547B" w:rsidTr="00056AEE">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10.2.122</w:t>
            </w:r>
          </w:p>
        </w:tc>
      </w:tr>
      <w:tr w:rsidR="0043547B" w:rsidRPr="0043547B" w:rsidTr="00056AEE">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Quincaillerie - Serrures de bâtiment - Serrures tubulaires </w:t>
            </w:r>
          </w:p>
        </w:tc>
      </w:tr>
      <w:tr w:rsidR="0043547B" w:rsidRPr="0043547B" w:rsidTr="00056AEE">
        <w:trPr>
          <w:trHeight w:val="134"/>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Cette norme s’applique aux serrures tubulaires destinées aux portes d’immeubles à usage industriel et commercial et aux portes palières et intérieures des habitations.</w:t>
            </w:r>
          </w:p>
        </w:tc>
      </w:tr>
      <w:tr w:rsidR="0043547B" w:rsidRPr="0043547B" w:rsidTr="00056AEE">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1125</w:t>
            </w:r>
          </w:p>
        </w:tc>
      </w:tr>
      <w:tr w:rsidR="0043547B" w:rsidRPr="0043547B" w:rsidTr="00056AEE">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1125 - A1 - AC</w:t>
            </w:r>
          </w:p>
        </w:tc>
      </w:tr>
      <w:tr w:rsidR="0043547B" w:rsidRPr="0043547B" w:rsidTr="00056AEE">
        <w:trPr>
          <w:trHeight w:val="6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Quincaillerie pour le bâtiment - Fermetures anti-panique manœuvrées par une barre horizontale, destinées à être utilisées sur des voies d'évacuation - Exigences et méthodes d'essai </w:t>
            </w:r>
          </w:p>
        </w:tc>
      </w:tr>
      <w:tr w:rsidR="0043547B" w:rsidRPr="0043547B" w:rsidTr="00056AEE">
        <w:trPr>
          <w:trHeight w:val="701"/>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prescriptions pour la fabrication, les performances et les essais des fermetures anti-paniques manœuvrées mécaniquement soit par une barre horizontale classique soit par une barre horizontale d'enfoncement, spécifiquement conçues pour être utilisées dans une situation de panique.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ne spécifie aucune conception particulière de la fermeture anti-panique et seules sont spécifiées les dimensions qui sont requises pour des raisons de sécurité.</w:t>
            </w:r>
          </w:p>
          <w:p w:rsidR="00BD76D3"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ne couvre pas les dispositifs spécifiques destinés à être utilisés par des grands mutilés.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lastRenderedPageBreak/>
              <w:t>Les fermetures anti-paniques couvertes par La norme sont destinées à être utilisées uniquement sur les portes montées sur pivots ou paumelles n'excédant pas une masse de 200 kg, 2 500 mm de hauteur et 1 300 mm de largeur.</w:t>
            </w:r>
          </w:p>
          <w:p w:rsidR="00BD76D3"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couvre deux conceptions spécifiques de fermetures anti-panique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 celles destinées pour une utilisation uniquement sur des portes à un seul vantail, et celles spécifiquement conçues pour être utilisées sur des portes à un seul vantail et/ou sur des ensembles à double vantail.</w:t>
            </w:r>
          </w:p>
          <w:p w:rsidR="00904E52" w:rsidRPr="0043547B" w:rsidRDefault="00904E52" w:rsidP="00B111BE">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couvre deux types spécifiques de fonctionnement de barre horizontale:</w:t>
            </w:r>
          </w:p>
          <w:p w:rsidR="00904E52" w:rsidRPr="0043547B" w:rsidRDefault="00904E52" w:rsidP="00B111BE">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fermetures anti-panique à barre de poussée, type A, et les fermetures anti-panique</w:t>
            </w:r>
            <w:r w:rsidR="00B111BE">
              <w:rPr>
                <w:rFonts w:eastAsia="Times New Roman" w:cstheme="minorHAnsi"/>
                <w:sz w:val="24"/>
                <w:szCs w:val="24"/>
                <w:lang w:eastAsia="fr-FR"/>
              </w:rPr>
              <w:t xml:space="preserve"> </w:t>
            </w:r>
            <w:r w:rsidRPr="0043547B">
              <w:rPr>
                <w:rFonts w:eastAsia="Times New Roman" w:cstheme="minorHAnsi"/>
                <w:sz w:val="24"/>
                <w:szCs w:val="24"/>
                <w:lang w:eastAsia="fr-FR"/>
              </w:rPr>
              <w:t>avec barre d’enfoncement, type B.</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couvre deux catégories de projection d’une fermeture de façon à maximiser la largeur du passage d'évacuation de l'issue de secours et à minimiser la projection par rapport à la face de la porte lorsque l'un ou les deux critères sont importants.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ne couvre pas les fermetures d'urgence pour issues de secours manœuvrées par une béquille ou une plaque de poussée (voir EN 179), ainsi que les systèmes de fermeture anti panique et de fermeture d'urgence contrôlées électriquement.</w:t>
            </w:r>
          </w:p>
        </w:tc>
      </w:tr>
      <w:tr w:rsidR="0043547B" w:rsidRPr="0043547B" w:rsidTr="00056AEE">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10.2.124</w:t>
            </w:r>
          </w:p>
        </w:tc>
      </w:tr>
      <w:tr w:rsidR="0043547B" w:rsidRPr="0043547B" w:rsidTr="00056AEE">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Quincaillerie - Ferme porte à frein - Spécifications et essais </w:t>
            </w:r>
          </w:p>
        </w:tc>
      </w:tr>
      <w:tr w:rsidR="0043547B" w:rsidRPr="0043547B" w:rsidTr="00056AEE">
        <w:trPr>
          <w:trHeight w:val="129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définit les caractéristiques de fonctionnement et les essais correspondants des ferme-portes à frein destinés aux portes montées sur des gonds ou des pivots à l’exclusion des portes d’ascenseur.</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Un ferme-porte à frein est un dispositif assurant la fermeture automatique avec amortissement contrôlé de la porte.</w:t>
            </w:r>
          </w:p>
        </w:tc>
      </w:tr>
      <w:tr w:rsidR="0043547B" w:rsidRPr="0043547B" w:rsidTr="00056AEE">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10.2.125</w:t>
            </w:r>
          </w:p>
        </w:tc>
      </w:tr>
      <w:tr w:rsidR="0043547B" w:rsidRPr="0043547B" w:rsidTr="00056AEE">
        <w:trPr>
          <w:trHeight w:val="418"/>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Quincaillerie - Systèmes de fermetures à mortaiser, à condamnation multipoints et crémones-serrures - Caractéristiques et essais </w:t>
            </w:r>
          </w:p>
        </w:tc>
      </w:tr>
      <w:tr w:rsidR="0043547B" w:rsidRPr="0043547B" w:rsidTr="0045784D">
        <w:trPr>
          <w:trHeight w:val="2216"/>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aux systèmes de fermetures dont le mécanisme transmet le déplacement du ou des organes de manœuvre à une ou plusieurs tringles portant ou actionnant des organes de verrouillage et le cas échéant au pêne demi-tour. Un mécanisme à clé, généralement un bloc de sûreté, permet de condamner ou de manœuvrer la tringle ou des tringles et, le cas échéant, d’actionner un pêne dormant.</w:t>
            </w:r>
          </w:p>
          <w:p w:rsidR="0045784D" w:rsidRPr="0043547B" w:rsidRDefault="0045784D" w:rsidP="0045784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s’applique à ces appareils de fermeture :</w:t>
            </w:r>
          </w:p>
          <w:p w:rsidR="0045784D" w:rsidRPr="0043547B" w:rsidRDefault="0045784D" w:rsidP="0045784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quelle qu’en soit la destination (menuiserie bois, métallique, mixte, plastique, etc.),</w:t>
            </w:r>
            <w:r w:rsidRPr="0043547B">
              <w:rPr>
                <w:rFonts w:eastAsia="Times New Roman" w:cstheme="minorHAnsi"/>
                <w:sz w:val="24"/>
                <w:szCs w:val="24"/>
                <w:lang w:eastAsia="fr-FR"/>
              </w:rPr>
              <w:br/>
              <w:t>— quel qu’en soit l’organe de manœuvre (béquille, levier, clé, bloc de sûreté, etc.),</w:t>
            </w:r>
            <w:r w:rsidRPr="0043547B">
              <w:rPr>
                <w:rFonts w:eastAsia="Times New Roman" w:cstheme="minorHAnsi"/>
                <w:sz w:val="24"/>
                <w:szCs w:val="24"/>
                <w:lang w:eastAsia="fr-FR"/>
              </w:rPr>
              <w:br/>
              <w:t>— quel qu’en soit le mouvement (à excentrique, à crémaillères, à engrenages, bielle ou manivelle, etc.),</w:t>
            </w:r>
          </w:p>
          <w:p w:rsidR="0045784D" w:rsidRPr="0043547B" w:rsidRDefault="0045784D" w:rsidP="0045784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quel qu’en soit l’organe de condamnation (clé, bloc de sûreté, etc.),</w:t>
            </w:r>
          </w:p>
          <w:p w:rsidR="0045784D" w:rsidRPr="0043547B" w:rsidRDefault="0045784D" w:rsidP="0045784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quelles qu’en soient les matières constitutives et leurs présentations ou finition.</w:t>
            </w:r>
          </w:p>
          <w:p w:rsidR="0045784D" w:rsidRPr="0043547B" w:rsidRDefault="0045784D" w:rsidP="0045784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s’applique également aux fermetures dites «à fermeture automatique».</w:t>
            </w:r>
          </w:p>
          <w:p w:rsidR="0045784D" w:rsidRPr="0043547B" w:rsidRDefault="0045784D" w:rsidP="0045784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Parmi ces appareils, on distingue deux groupes :</w:t>
            </w:r>
          </w:p>
          <w:p w:rsidR="0045784D" w:rsidRPr="0043547B" w:rsidRDefault="0045784D" w:rsidP="0045784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1— les fermetures sans rappel,</w:t>
            </w:r>
          </w:p>
          <w:p w:rsidR="00DA5AD2" w:rsidRPr="0043547B" w:rsidRDefault="0045784D" w:rsidP="0045784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2— les fermetures à rappel.</w:t>
            </w:r>
          </w:p>
        </w:tc>
      </w:tr>
      <w:tr w:rsidR="0043547B" w:rsidRPr="0043547B" w:rsidTr="00056AEE">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1154</w:t>
            </w:r>
          </w:p>
        </w:tc>
      </w:tr>
      <w:tr w:rsidR="0043547B" w:rsidRPr="0043547B" w:rsidTr="00056AEE">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1154 - A1 - AC</w:t>
            </w:r>
          </w:p>
        </w:tc>
      </w:tr>
      <w:tr w:rsidR="0043547B" w:rsidRPr="0043547B" w:rsidTr="00056AEE">
        <w:trPr>
          <w:trHeight w:val="3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Quincaillerie pour le bâtiment - Dispositifs de fermeture de porte avec amortissement - Prescriptions et méthodes d'essai</w:t>
            </w:r>
          </w:p>
        </w:tc>
      </w:tr>
      <w:tr w:rsidR="0043547B" w:rsidRPr="0043547B" w:rsidTr="00056AEE">
        <w:trPr>
          <w:trHeight w:val="42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Cette norme spécifie les prescriptions relatives aux dispositifs de fermeture de portes battantes avec amortissement.</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 domaine d'application est limité aux dispositifs de fermeture de portes actionnées manuellement.</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dispositifs tels que les charnières à ressort qui n'exercent pas un amortissement lors de la fermeture de la porte ne sont pas dans le domaine d'application de cette norme.</w:t>
            </w:r>
          </w:p>
        </w:tc>
      </w:tr>
      <w:tr w:rsidR="0043547B" w:rsidRPr="0043547B" w:rsidTr="00056AEE">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10.2.186</w:t>
            </w:r>
          </w:p>
        </w:tc>
      </w:tr>
      <w:tr w:rsidR="0043547B" w:rsidRPr="0043547B" w:rsidTr="00056AEE">
        <w:trPr>
          <w:trHeight w:val="600"/>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Quincaillerie – Serrures motorisées – Serrures électroniques – Contrôleurs d’accès - Définition – Classification – Terminologie </w:t>
            </w:r>
          </w:p>
        </w:tc>
      </w:tr>
      <w:tr w:rsidR="0043547B" w:rsidRPr="0043547B" w:rsidTr="00056AEE">
        <w:trPr>
          <w:trHeight w:val="90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DA5AD2" w:rsidRPr="0043547B" w:rsidRDefault="00904E52" w:rsidP="00B111BE">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a pour objet de compléter la norme générale NM 10.2.102 de définir les termes courants relatifs aux serrures électroniques et électriques, leurs modes de fonctionnement ainsi que la description et la classification des contrôleurs d’accès qui y sont rattachés.</w:t>
            </w:r>
            <w:r w:rsidR="00B111BE">
              <w:rPr>
                <w:rFonts w:eastAsia="Times New Roman" w:cstheme="minorHAnsi"/>
                <w:sz w:val="24"/>
                <w:szCs w:val="24"/>
                <w:lang w:eastAsia="fr-FR"/>
              </w:rPr>
              <w:t xml:space="preserve"> </w:t>
            </w:r>
          </w:p>
        </w:tc>
      </w:tr>
      <w:tr w:rsidR="00921C0A" w:rsidRPr="0043547B" w:rsidTr="00056AEE">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21C0A" w:rsidRPr="00A05AD6" w:rsidRDefault="00921C0A" w:rsidP="00A05AD6">
            <w:pPr>
              <w:spacing w:after="0" w:line="240" w:lineRule="auto"/>
              <w:jc w:val="center"/>
              <w:rPr>
                <w:rFonts w:ascii="Calibri" w:hAnsi="Calibri" w:cs="Calibri"/>
                <w:b/>
                <w:bCs/>
                <w:sz w:val="24"/>
                <w:szCs w:val="24"/>
              </w:rPr>
            </w:pPr>
            <w:r w:rsidRPr="00A05AD6">
              <w:rPr>
                <w:rFonts w:ascii="Calibri" w:hAnsi="Calibri" w:cs="Calibr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21C0A" w:rsidRPr="00A05AD6" w:rsidRDefault="00921C0A" w:rsidP="00A05AD6">
            <w:pPr>
              <w:spacing w:after="0" w:line="240" w:lineRule="auto"/>
              <w:jc w:val="center"/>
              <w:rPr>
                <w:rFonts w:ascii="Calibri" w:hAnsi="Calibri" w:cs="Calibri"/>
                <w:b/>
                <w:bCs/>
                <w:sz w:val="24"/>
                <w:szCs w:val="24"/>
              </w:rPr>
            </w:pPr>
            <w:r w:rsidRPr="00A05AD6">
              <w:rPr>
                <w:rFonts w:ascii="Calibri" w:hAnsi="Calibri" w:cs="Calibri"/>
                <w:b/>
                <w:bCs/>
                <w:sz w:val="24"/>
                <w:szCs w:val="24"/>
              </w:rPr>
              <w:t>NM EN 1670</w:t>
            </w:r>
          </w:p>
        </w:tc>
      </w:tr>
      <w:tr w:rsidR="00921C0A" w:rsidRPr="0043547B" w:rsidTr="00056AEE">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21C0A" w:rsidRPr="00A05AD6" w:rsidRDefault="00921C0A" w:rsidP="00A05AD6">
            <w:pPr>
              <w:spacing w:after="0" w:line="240" w:lineRule="auto"/>
              <w:jc w:val="center"/>
              <w:rPr>
                <w:rFonts w:ascii="Calibri" w:hAnsi="Calibri" w:cs="Calibri"/>
                <w:b/>
                <w:bCs/>
                <w:sz w:val="24"/>
                <w:szCs w:val="24"/>
              </w:rPr>
            </w:pPr>
            <w:r w:rsidRPr="00A05AD6">
              <w:rPr>
                <w:rFonts w:ascii="Calibri" w:hAnsi="Calibri" w:cs="Calibr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21C0A" w:rsidRPr="00A05AD6" w:rsidRDefault="00921C0A" w:rsidP="00A05AD6">
            <w:pPr>
              <w:spacing w:after="0" w:line="240" w:lineRule="auto"/>
              <w:jc w:val="center"/>
              <w:rPr>
                <w:rFonts w:ascii="Calibri" w:hAnsi="Calibri" w:cs="Calibri"/>
                <w:b/>
                <w:bCs/>
                <w:sz w:val="24"/>
                <w:szCs w:val="24"/>
              </w:rPr>
            </w:pPr>
            <w:r w:rsidRPr="00A05AD6">
              <w:rPr>
                <w:rFonts w:ascii="Calibri" w:hAnsi="Calibri" w:cs="Calibri"/>
                <w:b/>
                <w:bCs/>
                <w:sz w:val="24"/>
                <w:szCs w:val="24"/>
              </w:rPr>
              <w:t>EN 1670</w:t>
            </w:r>
          </w:p>
        </w:tc>
      </w:tr>
      <w:tr w:rsidR="00921C0A" w:rsidRPr="0043547B" w:rsidTr="00056AEE">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21C0A" w:rsidRPr="00A05AD6" w:rsidRDefault="00921C0A" w:rsidP="00A05AD6">
            <w:pPr>
              <w:spacing w:after="0" w:line="240" w:lineRule="auto"/>
              <w:jc w:val="center"/>
              <w:rPr>
                <w:rFonts w:ascii="Calibri" w:hAnsi="Calibri" w:cs="Calibri"/>
                <w:b/>
                <w:bCs/>
                <w:sz w:val="24"/>
                <w:szCs w:val="24"/>
              </w:rPr>
            </w:pPr>
            <w:r w:rsidRPr="00A05AD6">
              <w:rPr>
                <w:rFonts w:ascii="Calibri" w:hAnsi="Calibri" w:cs="Calibr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bottom"/>
            <w:hideMark/>
          </w:tcPr>
          <w:p w:rsidR="00921C0A" w:rsidRPr="00A05AD6" w:rsidRDefault="00921C0A" w:rsidP="00A05AD6">
            <w:pPr>
              <w:spacing w:after="0" w:line="240" w:lineRule="auto"/>
              <w:rPr>
                <w:rFonts w:ascii="Calibri" w:hAnsi="Calibri" w:cs="Calibri"/>
                <w:sz w:val="24"/>
                <w:szCs w:val="24"/>
              </w:rPr>
            </w:pPr>
            <w:r w:rsidRPr="00A05AD6">
              <w:rPr>
                <w:rFonts w:ascii="Calibri" w:hAnsi="Calibri" w:cs="Calibri"/>
                <w:sz w:val="24"/>
                <w:szCs w:val="24"/>
              </w:rPr>
              <w:t xml:space="preserve">Quincaillerie pour le bâtiment - Résistance à la corrosion - Exigences et méthodes d'essai </w:t>
            </w:r>
          </w:p>
        </w:tc>
      </w:tr>
      <w:tr w:rsidR="00921C0A" w:rsidRPr="0043547B" w:rsidTr="00056AEE">
        <w:trPr>
          <w:trHeight w:val="65"/>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21C0A" w:rsidRPr="00A05AD6" w:rsidRDefault="00921C0A" w:rsidP="00A05AD6">
            <w:pPr>
              <w:spacing w:after="0" w:line="240" w:lineRule="auto"/>
              <w:jc w:val="center"/>
              <w:rPr>
                <w:rFonts w:ascii="Calibri" w:hAnsi="Calibri" w:cs="Calibri"/>
                <w:b/>
                <w:bCs/>
                <w:sz w:val="24"/>
                <w:szCs w:val="24"/>
              </w:rPr>
            </w:pPr>
            <w:r w:rsidRPr="00A05AD6">
              <w:rPr>
                <w:rFonts w:ascii="Calibri" w:hAnsi="Calibri" w:cs="Calibr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hideMark/>
          </w:tcPr>
          <w:p w:rsidR="00A05AD6" w:rsidRPr="00A05AD6" w:rsidRDefault="00921C0A" w:rsidP="00A05AD6">
            <w:pPr>
              <w:spacing w:after="0" w:line="240" w:lineRule="auto"/>
              <w:jc w:val="both"/>
              <w:rPr>
                <w:rFonts w:ascii="Calibri" w:hAnsi="Calibri" w:cs="Calibri"/>
                <w:i/>
                <w:iCs/>
              </w:rPr>
            </w:pPr>
            <w:r w:rsidRPr="00A05AD6">
              <w:rPr>
                <w:rFonts w:ascii="Calibri" w:hAnsi="Calibri" w:cs="Calibri"/>
                <w:sz w:val="24"/>
                <w:szCs w:val="24"/>
              </w:rPr>
              <w:t>La présente Norme européenne spécifie les exigences de résistance à la corrosion de la quincaillerie pour portes,</w:t>
            </w:r>
            <w:r w:rsidR="00A05AD6">
              <w:rPr>
                <w:rFonts w:ascii="Calibri" w:hAnsi="Calibri" w:cs="Calibri"/>
                <w:sz w:val="24"/>
                <w:szCs w:val="24"/>
              </w:rPr>
              <w:t xml:space="preserve"> </w:t>
            </w:r>
            <w:r w:rsidRPr="00A05AD6">
              <w:rPr>
                <w:rFonts w:ascii="Calibri" w:hAnsi="Calibri" w:cs="Calibri"/>
                <w:sz w:val="24"/>
                <w:szCs w:val="24"/>
              </w:rPr>
              <w:t>fenêtres, fermetures et façades rideaux.</w:t>
            </w:r>
            <w:r w:rsidRPr="00A05AD6">
              <w:rPr>
                <w:rFonts w:ascii="Calibri" w:hAnsi="Calibri" w:cs="Calibri"/>
                <w:sz w:val="24"/>
                <w:szCs w:val="24"/>
              </w:rPr>
              <w:br/>
              <w:t>La présente Norme européenne propose une méthode de classification de la résistance à la corrosion de</w:t>
            </w:r>
            <w:r w:rsidR="00A05AD6">
              <w:rPr>
                <w:rFonts w:ascii="Calibri" w:hAnsi="Calibri" w:cs="Calibri"/>
                <w:sz w:val="24"/>
                <w:szCs w:val="24"/>
              </w:rPr>
              <w:t xml:space="preserve"> </w:t>
            </w:r>
            <w:r w:rsidRPr="00A05AD6">
              <w:rPr>
                <w:rFonts w:ascii="Calibri" w:hAnsi="Calibri" w:cs="Calibri"/>
                <w:sz w:val="24"/>
                <w:szCs w:val="24"/>
              </w:rPr>
              <w:t>la quincaillerie de bâtiment reposant sur la performance à l’essai au brouillard salin neutre (EN ISO 9227).</w:t>
            </w:r>
            <w:r w:rsidRPr="00A05AD6">
              <w:rPr>
                <w:rFonts w:ascii="Calibri" w:hAnsi="Calibri" w:cs="Calibri"/>
                <w:sz w:val="24"/>
                <w:szCs w:val="24"/>
              </w:rPr>
              <w:br/>
              <w:t>La présente Norme européenne spécifie des exigences à la fois pour les surfaces revêtues et pour les surfaces non</w:t>
            </w:r>
            <w:r w:rsidR="00A05AD6">
              <w:rPr>
                <w:rFonts w:ascii="Calibri" w:hAnsi="Calibri" w:cs="Calibri"/>
                <w:sz w:val="24"/>
                <w:szCs w:val="24"/>
              </w:rPr>
              <w:t xml:space="preserve"> </w:t>
            </w:r>
            <w:r w:rsidRPr="00A05AD6">
              <w:rPr>
                <w:rFonts w:ascii="Calibri" w:hAnsi="Calibri" w:cs="Calibri"/>
                <w:sz w:val="24"/>
                <w:szCs w:val="24"/>
              </w:rPr>
              <w:t>revêtues, cinq grades de résistance à la corrosion étant fixés conformément aux diverses conditions d'utilisation</w:t>
            </w:r>
            <w:r w:rsidRPr="00A05AD6">
              <w:rPr>
                <w:rFonts w:ascii="Calibri" w:hAnsi="Calibri" w:cs="Calibri"/>
                <w:sz w:val="24"/>
                <w:szCs w:val="24"/>
              </w:rPr>
              <w:br/>
              <w:t>(grades de 1 à 5). Elle inclut également un grade 0 pour lequel aucune exigence n'est spécifiée. Les exigences</w:t>
            </w:r>
            <w:r w:rsidR="00A05AD6">
              <w:rPr>
                <w:rFonts w:ascii="Calibri" w:hAnsi="Calibri" w:cs="Calibri"/>
                <w:sz w:val="24"/>
                <w:szCs w:val="24"/>
              </w:rPr>
              <w:t xml:space="preserve"> </w:t>
            </w:r>
            <w:r w:rsidRPr="00A05AD6">
              <w:rPr>
                <w:rFonts w:ascii="Calibri" w:hAnsi="Calibri" w:cs="Calibri"/>
                <w:sz w:val="24"/>
                <w:szCs w:val="24"/>
              </w:rPr>
              <w:t>relatives à des niveaux de résistance à la corrosion plus élevés que ceux fixés pour le grade 5 n'ont pas été ajoutés</w:t>
            </w:r>
            <w:r w:rsidR="00A05AD6">
              <w:rPr>
                <w:rFonts w:ascii="Calibri" w:hAnsi="Calibri" w:cs="Calibri"/>
                <w:sz w:val="24"/>
                <w:szCs w:val="24"/>
              </w:rPr>
              <w:t xml:space="preserve"> </w:t>
            </w:r>
            <w:r w:rsidRPr="00A05AD6">
              <w:rPr>
                <w:rFonts w:ascii="Calibri" w:hAnsi="Calibri" w:cs="Calibri"/>
                <w:sz w:val="24"/>
                <w:szCs w:val="24"/>
              </w:rPr>
              <w:t>à cette norme et doivent faire l'objet d'un accord lorsqu'ils sont exigés.</w:t>
            </w:r>
            <w:r w:rsidRPr="00A05AD6">
              <w:rPr>
                <w:rFonts w:ascii="Calibri" w:hAnsi="Calibri" w:cs="Calibri"/>
                <w:sz w:val="24"/>
                <w:szCs w:val="24"/>
              </w:rPr>
              <w:br/>
              <w:t>La présente Norme européenne s'applique aussi aux éléments de fixation métalliques, exigés, si nécessaire, pour</w:t>
            </w:r>
            <w:r w:rsidR="00A05AD6">
              <w:rPr>
                <w:rFonts w:ascii="Calibri" w:hAnsi="Calibri" w:cs="Calibri"/>
                <w:sz w:val="24"/>
                <w:szCs w:val="24"/>
              </w:rPr>
              <w:t xml:space="preserve"> </w:t>
            </w:r>
            <w:r w:rsidRPr="00A05AD6">
              <w:rPr>
                <w:rFonts w:ascii="Calibri" w:hAnsi="Calibri" w:cs="Calibri"/>
                <w:sz w:val="24"/>
                <w:szCs w:val="24"/>
              </w:rPr>
              <w:t>monter la quincaillerie pour le bâtiment.</w:t>
            </w:r>
            <w:r w:rsidRPr="00A05AD6">
              <w:rPr>
                <w:rFonts w:ascii="Calibri" w:hAnsi="Calibri" w:cs="Calibri"/>
                <w:sz w:val="24"/>
                <w:szCs w:val="24"/>
              </w:rPr>
              <w:br/>
              <w:t>Les vis et éléments de fixation vendus avec un article de quincaillerie conforme à la présente Norme européenne</w:t>
            </w:r>
            <w:r w:rsidR="00A05AD6">
              <w:rPr>
                <w:rFonts w:ascii="Calibri" w:hAnsi="Calibri" w:cs="Calibri"/>
                <w:sz w:val="24"/>
                <w:szCs w:val="24"/>
              </w:rPr>
              <w:t xml:space="preserve"> </w:t>
            </w:r>
            <w:r w:rsidRPr="00A05AD6">
              <w:rPr>
                <w:rFonts w:ascii="Calibri" w:hAnsi="Calibri" w:cs="Calibri"/>
                <w:sz w:val="24"/>
                <w:szCs w:val="24"/>
              </w:rPr>
              <w:t>doivent également être conformes à cette norme.</w:t>
            </w:r>
            <w:r w:rsidRPr="00A05AD6">
              <w:rPr>
                <w:rFonts w:ascii="Calibri" w:hAnsi="Calibri" w:cs="Calibri"/>
                <w:sz w:val="24"/>
                <w:szCs w:val="24"/>
              </w:rPr>
              <w:br/>
            </w:r>
            <w:r w:rsidRPr="00A05AD6">
              <w:rPr>
                <w:rFonts w:ascii="Calibri" w:hAnsi="Calibri" w:cs="Calibri"/>
                <w:b/>
                <w:bCs/>
                <w:i/>
                <w:iCs/>
              </w:rPr>
              <w:t>NOTE 1</w:t>
            </w:r>
            <w:r w:rsidRPr="00A05AD6">
              <w:rPr>
                <w:rFonts w:ascii="Calibri" w:hAnsi="Calibri" w:cs="Calibri"/>
                <w:i/>
                <w:iCs/>
              </w:rPr>
              <w:t xml:space="preserve"> Le terme de «grade» employé dans la présente Norme européenne correspond au terme de «classe» utilisé dans</w:t>
            </w:r>
            <w:r w:rsidR="00A05AD6" w:rsidRPr="00A05AD6">
              <w:rPr>
                <w:rFonts w:ascii="Calibri" w:hAnsi="Calibri" w:cs="Calibri"/>
                <w:i/>
                <w:iCs/>
              </w:rPr>
              <w:t xml:space="preserve"> </w:t>
            </w:r>
            <w:r w:rsidRPr="00A05AD6">
              <w:rPr>
                <w:rFonts w:ascii="Calibri" w:hAnsi="Calibri" w:cs="Calibri"/>
                <w:i/>
                <w:iCs/>
              </w:rPr>
              <w:t>les normes ISO.</w:t>
            </w:r>
          </w:p>
          <w:p w:rsidR="00A05AD6" w:rsidRPr="00A05AD6" w:rsidRDefault="00921C0A" w:rsidP="00A05AD6">
            <w:pPr>
              <w:spacing w:after="0" w:line="240" w:lineRule="auto"/>
              <w:jc w:val="both"/>
              <w:rPr>
                <w:rFonts w:ascii="Calibri" w:hAnsi="Calibri" w:cs="Calibri"/>
                <w:i/>
                <w:iCs/>
              </w:rPr>
            </w:pPr>
            <w:r w:rsidRPr="00A05AD6">
              <w:rPr>
                <w:rFonts w:ascii="Calibri" w:hAnsi="Calibri" w:cs="Calibri"/>
                <w:b/>
                <w:bCs/>
                <w:i/>
                <w:iCs/>
              </w:rPr>
              <w:t>NOTE 2</w:t>
            </w:r>
            <w:r w:rsidRPr="00A05AD6">
              <w:rPr>
                <w:rFonts w:ascii="Calibri" w:hAnsi="Calibri" w:cs="Calibri"/>
                <w:i/>
                <w:iCs/>
              </w:rPr>
              <w:t xml:space="preserve"> Il y a rarement une relation directe entre la résistance à l’action du brouillard salin et la résistance à la corrosion</w:t>
            </w:r>
            <w:r w:rsidR="00A05AD6" w:rsidRPr="00A05AD6">
              <w:rPr>
                <w:rFonts w:ascii="Calibri" w:hAnsi="Calibri" w:cs="Calibri"/>
                <w:i/>
                <w:iCs/>
              </w:rPr>
              <w:t xml:space="preserve"> </w:t>
            </w:r>
            <w:r w:rsidRPr="00A05AD6">
              <w:rPr>
                <w:rFonts w:ascii="Calibri" w:hAnsi="Calibri" w:cs="Calibri"/>
                <w:i/>
                <w:iCs/>
              </w:rPr>
              <w:t>dans d’autres milieux car plusieurs facteurs influent sur les progrès de la corrosion, tels que la formation de films protecteurs,</w:t>
            </w:r>
            <w:r w:rsidR="00A05AD6" w:rsidRPr="00A05AD6">
              <w:rPr>
                <w:rFonts w:ascii="Calibri" w:hAnsi="Calibri" w:cs="Calibri"/>
                <w:i/>
                <w:iCs/>
              </w:rPr>
              <w:t xml:space="preserve"> </w:t>
            </w:r>
            <w:r w:rsidRPr="00A05AD6">
              <w:rPr>
                <w:rFonts w:ascii="Calibri" w:hAnsi="Calibri" w:cs="Calibri"/>
                <w:i/>
                <w:iCs/>
              </w:rPr>
              <w:t xml:space="preserve">qui varient grandement en fonction des conditions rencontrées. </w:t>
            </w:r>
          </w:p>
          <w:p w:rsidR="00A05AD6" w:rsidRDefault="00921C0A" w:rsidP="00A05AD6">
            <w:pPr>
              <w:spacing w:after="0" w:line="240" w:lineRule="auto"/>
              <w:jc w:val="both"/>
              <w:rPr>
                <w:rFonts w:ascii="Calibri" w:hAnsi="Calibri" w:cs="Calibri"/>
                <w:sz w:val="24"/>
                <w:szCs w:val="24"/>
              </w:rPr>
            </w:pPr>
            <w:r w:rsidRPr="00A05AD6">
              <w:rPr>
                <w:rFonts w:ascii="Calibri" w:hAnsi="Calibri" w:cs="Calibri"/>
                <w:sz w:val="24"/>
                <w:szCs w:val="24"/>
              </w:rPr>
              <w:t>Il convient donc de ne pas considérer les résultats d’essai</w:t>
            </w:r>
            <w:r w:rsidR="00A05AD6">
              <w:rPr>
                <w:rFonts w:ascii="Calibri" w:hAnsi="Calibri" w:cs="Calibri"/>
                <w:sz w:val="24"/>
                <w:szCs w:val="24"/>
              </w:rPr>
              <w:t xml:space="preserve"> </w:t>
            </w:r>
            <w:r w:rsidRPr="00A05AD6">
              <w:rPr>
                <w:rFonts w:ascii="Calibri" w:hAnsi="Calibri" w:cs="Calibri"/>
                <w:sz w:val="24"/>
                <w:szCs w:val="24"/>
              </w:rPr>
              <w:t>comme un guide direct de la résistance à la corrosion des matériaux soumis à l’essai dans tous les environnements où</w:t>
            </w:r>
            <w:r w:rsidR="00A05AD6">
              <w:rPr>
                <w:rFonts w:ascii="Calibri" w:hAnsi="Calibri" w:cs="Calibri"/>
                <w:sz w:val="24"/>
                <w:szCs w:val="24"/>
              </w:rPr>
              <w:t xml:space="preserve"> </w:t>
            </w:r>
            <w:r w:rsidRPr="00A05AD6">
              <w:rPr>
                <w:rFonts w:ascii="Calibri" w:hAnsi="Calibri" w:cs="Calibri"/>
                <w:sz w:val="24"/>
                <w:szCs w:val="24"/>
              </w:rPr>
              <w:t xml:space="preserve">ces matériaux peuvent être utilisés. De même, il convient de </w:t>
            </w:r>
            <w:r w:rsidRPr="00A05AD6">
              <w:rPr>
                <w:rFonts w:ascii="Calibri" w:hAnsi="Calibri" w:cs="Calibri"/>
                <w:sz w:val="24"/>
                <w:szCs w:val="24"/>
              </w:rPr>
              <w:lastRenderedPageBreak/>
              <w:t>ne pas considérer la performance des différents matériaux comme</w:t>
            </w:r>
            <w:r w:rsidRPr="00A05AD6">
              <w:rPr>
                <w:rFonts w:ascii="Calibri" w:hAnsi="Calibri" w:cs="Calibri"/>
                <w:sz w:val="24"/>
                <w:szCs w:val="24"/>
              </w:rPr>
              <w:br/>
              <w:t>un guide direct de la résistance à la corrosion de ces matériaux en service.</w:t>
            </w:r>
            <w:r w:rsidRPr="00A05AD6">
              <w:rPr>
                <w:rFonts w:ascii="Calibri" w:hAnsi="Calibri" w:cs="Calibri"/>
                <w:sz w:val="24"/>
                <w:szCs w:val="24"/>
              </w:rPr>
              <w:br/>
              <w:t>La méthode décrite dans la présente Norme européenne donne le moyen de vérifier le maintien de la qualité</w:t>
            </w:r>
            <w:r w:rsidR="00A05AD6">
              <w:rPr>
                <w:rFonts w:ascii="Calibri" w:hAnsi="Calibri" w:cs="Calibri"/>
                <w:sz w:val="24"/>
                <w:szCs w:val="24"/>
              </w:rPr>
              <w:t xml:space="preserve"> </w:t>
            </w:r>
            <w:r w:rsidRPr="00A05AD6">
              <w:rPr>
                <w:rFonts w:ascii="Calibri" w:hAnsi="Calibri" w:cs="Calibri"/>
                <w:sz w:val="24"/>
                <w:szCs w:val="24"/>
              </w:rPr>
              <w:t>comparée d’un matériau avec ou sans protection contre la corrosion.</w:t>
            </w:r>
          </w:p>
          <w:p w:rsidR="00A05AD6" w:rsidRDefault="00921C0A" w:rsidP="00A05AD6">
            <w:pPr>
              <w:spacing w:after="0" w:line="240" w:lineRule="auto"/>
              <w:jc w:val="both"/>
              <w:rPr>
                <w:rFonts w:ascii="Calibri" w:hAnsi="Calibri" w:cs="Calibri"/>
                <w:sz w:val="24"/>
                <w:szCs w:val="24"/>
              </w:rPr>
            </w:pPr>
            <w:r w:rsidRPr="00A05AD6">
              <w:rPr>
                <w:rFonts w:ascii="Calibri" w:hAnsi="Calibri" w:cs="Calibri"/>
                <w:sz w:val="24"/>
                <w:szCs w:val="24"/>
              </w:rPr>
              <w:t>Elle permet en outre, aux fins de contrôle de la qualité, de comparer des éprouvettes revêtues du même revêtement.</w:t>
            </w:r>
          </w:p>
          <w:p w:rsidR="00A05AD6" w:rsidRDefault="00921C0A" w:rsidP="00A05AD6">
            <w:pPr>
              <w:spacing w:after="0" w:line="240" w:lineRule="auto"/>
              <w:jc w:val="both"/>
              <w:rPr>
                <w:rFonts w:ascii="Calibri" w:hAnsi="Calibri" w:cs="Calibri"/>
                <w:sz w:val="24"/>
                <w:szCs w:val="24"/>
              </w:rPr>
            </w:pPr>
            <w:r w:rsidRPr="00A05AD6">
              <w:rPr>
                <w:rFonts w:ascii="Calibri" w:hAnsi="Calibri" w:cs="Calibri"/>
                <w:sz w:val="24"/>
                <w:szCs w:val="24"/>
              </w:rPr>
              <w:t>En tant qu’essais de comparaison, les essais au brouillard salin ne sont adaptés que si les revêtements sont</w:t>
            </w:r>
            <w:r w:rsidR="00A05AD6">
              <w:rPr>
                <w:rFonts w:ascii="Calibri" w:hAnsi="Calibri" w:cs="Calibri"/>
                <w:sz w:val="24"/>
                <w:szCs w:val="24"/>
              </w:rPr>
              <w:t xml:space="preserve"> </w:t>
            </w:r>
            <w:r w:rsidRPr="00A05AD6">
              <w:rPr>
                <w:rFonts w:ascii="Calibri" w:hAnsi="Calibri" w:cs="Calibri"/>
                <w:sz w:val="24"/>
                <w:szCs w:val="24"/>
              </w:rPr>
              <w:t>de nature relativement similaire.</w:t>
            </w:r>
          </w:p>
          <w:p w:rsidR="00921C0A" w:rsidRPr="00A05AD6" w:rsidRDefault="00921C0A" w:rsidP="00A05AD6">
            <w:pPr>
              <w:spacing w:after="0" w:line="240" w:lineRule="auto"/>
              <w:jc w:val="both"/>
              <w:rPr>
                <w:rFonts w:ascii="Calibri" w:hAnsi="Calibri" w:cs="Calibri"/>
                <w:sz w:val="24"/>
                <w:szCs w:val="24"/>
              </w:rPr>
            </w:pPr>
            <w:r w:rsidRPr="00A05AD6">
              <w:rPr>
                <w:rFonts w:ascii="Calibri" w:hAnsi="Calibri" w:cs="Calibri"/>
                <w:sz w:val="24"/>
                <w:szCs w:val="24"/>
              </w:rPr>
              <w:t>Il n’est souvent pas possible d’utiliser les résultats donnés par l’essai au brouillard salin comme un guide comparatif</w:t>
            </w:r>
            <w:r w:rsidR="00A05AD6">
              <w:rPr>
                <w:rFonts w:ascii="Calibri" w:hAnsi="Calibri" w:cs="Calibri"/>
                <w:sz w:val="24"/>
                <w:szCs w:val="24"/>
              </w:rPr>
              <w:t xml:space="preserve"> </w:t>
            </w:r>
            <w:r w:rsidRPr="00A05AD6">
              <w:rPr>
                <w:rFonts w:ascii="Calibri" w:hAnsi="Calibri" w:cs="Calibri"/>
                <w:sz w:val="24"/>
                <w:szCs w:val="24"/>
              </w:rPr>
              <w:t>du comportement à long terme des différents systèmes de revêtement car la contrainte de corrosion qui s’exerce</w:t>
            </w:r>
            <w:r w:rsidRPr="00A05AD6">
              <w:rPr>
                <w:rFonts w:ascii="Calibri" w:hAnsi="Calibri" w:cs="Calibri"/>
                <w:sz w:val="24"/>
                <w:szCs w:val="24"/>
              </w:rPr>
              <w:br/>
              <w:t>pendant ces essais diffère notablement des contraintes de corrosion rencontrées en pratique.</w:t>
            </w:r>
          </w:p>
        </w:tc>
      </w:tr>
      <w:tr w:rsidR="0043547B" w:rsidRPr="0043547B" w:rsidTr="00056AEE">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10.2.217</w:t>
            </w:r>
          </w:p>
        </w:tc>
      </w:tr>
      <w:tr w:rsidR="0043547B" w:rsidRPr="0043547B" w:rsidTr="00056AEE">
        <w:trPr>
          <w:trHeight w:val="600"/>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Quincaillerie de bâtiment – Serrures à mortaiser verticales dites de 150 simples, de sûreté à gorges ou de sûreté à cylindres </w:t>
            </w:r>
          </w:p>
        </w:tc>
      </w:tr>
      <w:tr w:rsidR="0043547B" w:rsidRPr="0043547B" w:rsidTr="00056AEE">
        <w:trPr>
          <w:trHeight w:val="614"/>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fixe les prescriptions générales et dimensionnelles des serrures à mortaiser verticales dites de 150 simples, de sûreté à gorges ou de sûreté à cylindres telles qu'elles sont définies dans l'article 3.</w:t>
            </w:r>
          </w:p>
        </w:tc>
      </w:tr>
      <w:tr w:rsidR="0043547B" w:rsidRPr="0043547B" w:rsidTr="00056AEE">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EN 1155</w:t>
            </w:r>
          </w:p>
        </w:tc>
      </w:tr>
      <w:tr w:rsidR="0043547B" w:rsidRPr="0043547B" w:rsidTr="00056AEE">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1155 - A1 – AC</w:t>
            </w:r>
          </w:p>
        </w:tc>
      </w:tr>
      <w:tr w:rsidR="0043547B" w:rsidRPr="0043547B" w:rsidTr="00056AEE">
        <w:trPr>
          <w:trHeight w:val="28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Quincaillerie pour le bâtiment - Dispositifs de retenue électromagnétique pour portes battantes - Prescriptions et méthodes d'essai</w:t>
            </w:r>
          </w:p>
        </w:tc>
      </w:tr>
      <w:tr w:rsidR="0043547B" w:rsidRPr="0043547B" w:rsidTr="00056AEE">
        <w:trPr>
          <w:trHeight w:val="7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Cette norme spécifie les prescriptions relatives aux dispositifs de retenue isolés et également aux dispositifs de retenue incorporés dans un dispositif de fermeture de porte. Les dispositifs de retenue électromagnétique pour portes battantes conformes à cette norme, peuvent retenir la porte dans une position fixe ou permettre à celle-ci de fonctionner librement. Dans chaque cas, la coupure de l'alimentation électrique provoquera la fermeture complète de la porte contrôlée.</w:t>
            </w:r>
          </w:p>
          <w:p w:rsidR="00B111BE"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dispositifs de retenue électromagnétique fabriqués conformément à cette norme, sont recommandés lorsqu’il y a une prescription de retenue fiable avec déclenchement pour l'équipement des blocs-portes coupe-feu et/ou étanches aux fumées à fermeture automatique.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Ces dispositifs peuvent comporter des composants pour la détection du feu ou de la fumée, mais les performances de ces composants spécifiques n'entrent pas dans le domaine d'application de La norme.                                                                                                                                                                                           </w:t>
            </w:r>
          </w:p>
        </w:tc>
      </w:tr>
      <w:tr w:rsidR="00921C0A" w:rsidRPr="0043547B" w:rsidTr="00056AEE">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21C0A" w:rsidRPr="001A0BDF" w:rsidRDefault="00921C0A" w:rsidP="001A0BDF">
            <w:pPr>
              <w:spacing w:after="0" w:line="240" w:lineRule="auto"/>
              <w:jc w:val="center"/>
              <w:rPr>
                <w:rFonts w:ascii="Calibri" w:hAnsi="Calibri" w:cs="Calibri"/>
                <w:b/>
                <w:bCs/>
                <w:sz w:val="24"/>
                <w:szCs w:val="24"/>
              </w:rPr>
            </w:pPr>
            <w:r w:rsidRPr="001A0BDF">
              <w:rPr>
                <w:rFonts w:ascii="Calibri" w:hAnsi="Calibri" w:cs="Calibr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21C0A" w:rsidRPr="001A0BDF" w:rsidRDefault="00921C0A" w:rsidP="001A0BDF">
            <w:pPr>
              <w:spacing w:after="0" w:line="240" w:lineRule="auto"/>
              <w:jc w:val="center"/>
              <w:rPr>
                <w:rFonts w:ascii="Calibri" w:hAnsi="Calibri" w:cs="Calibri"/>
                <w:b/>
                <w:bCs/>
                <w:sz w:val="24"/>
                <w:szCs w:val="24"/>
              </w:rPr>
            </w:pPr>
            <w:r w:rsidRPr="001A0BDF">
              <w:rPr>
                <w:rFonts w:ascii="Calibri" w:hAnsi="Calibri" w:cs="Calibri"/>
                <w:b/>
                <w:bCs/>
                <w:sz w:val="24"/>
                <w:szCs w:val="24"/>
              </w:rPr>
              <w:t>NM EN 1158</w:t>
            </w:r>
          </w:p>
        </w:tc>
      </w:tr>
      <w:tr w:rsidR="00921C0A" w:rsidRPr="0043547B" w:rsidTr="00056AEE">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21C0A" w:rsidRPr="001A0BDF" w:rsidRDefault="00921C0A" w:rsidP="001A0BDF">
            <w:pPr>
              <w:spacing w:after="0" w:line="240" w:lineRule="auto"/>
              <w:jc w:val="center"/>
              <w:rPr>
                <w:rFonts w:ascii="Calibri" w:hAnsi="Calibri" w:cs="Calibri"/>
                <w:b/>
                <w:bCs/>
                <w:sz w:val="24"/>
                <w:szCs w:val="24"/>
              </w:rPr>
            </w:pPr>
            <w:r w:rsidRPr="001A0BDF">
              <w:rPr>
                <w:rFonts w:ascii="Calibri" w:hAnsi="Calibri" w:cs="Calibr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21C0A" w:rsidRPr="001A0BDF" w:rsidRDefault="00921C0A" w:rsidP="001A0BDF">
            <w:pPr>
              <w:spacing w:after="0" w:line="240" w:lineRule="auto"/>
              <w:jc w:val="center"/>
              <w:rPr>
                <w:rFonts w:ascii="Calibri" w:hAnsi="Calibri" w:cs="Calibri"/>
                <w:b/>
                <w:bCs/>
                <w:sz w:val="24"/>
                <w:szCs w:val="24"/>
              </w:rPr>
            </w:pPr>
            <w:r w:rsidRPr="001A0BDF">
              <w:rPr>
                <w:rFonts w:ascii="Calibri" w:hAnsi="Calibri" w:cs="Calibri"/>
                <w:b/>
                <w:bCs/>
                <w:sz w:val="24"/>
                <w:szCs w:val="24"/>
              </w:rPr>
              <w:t>EN 1158</w:t>
            </w:r>
          </w:p>
        </w:tc>
      </w:tr>
      <w:tr w:rsidR="00921C0A" w:rsidRPr="0043547B" w:rsidTr="00056AEE">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21C0A" w:rsidRPr="001A0BDF" w:rsidRDefault="00921C0A" w:rsidP="001A0BDF">
            <w:pPr>
              <w:spacing w:after="0" w:line="240" w:lineRule="auto"/>
              <w:jc w:val="center"/>
              <w:rPr>
                <w:rFonts w:ascii="Calibri" w:hAnsi="Calibri" w:cs="Calibri"/>
                <w:b/>
                <w:bCs/>
                <w:sz w:val="24"/>
                <w:szCs w:val="24"/>
              </w:rPr>
            </w:pPr>
            <w:r w:rsidRPr="001A0BDF">
              <w:rPr>
                <w:rFonts w:ascii="Calibri" w:hAnsi="Calibri" w:cs="Calibr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bottom"/>
            <w:hideMark/>
          </w:tcPr>
          <w:p w:rsidR="00921C0A" w:rsidRPr="001A0BDF" w:rsidRDefault="00921C0A" w:rsidP="001A0BDF">
            <w:pPr>
              <w:spacing w:after="0" w:line="240" w:lineRule="auto"/>
              <w:rPr>
                <w:rFonts w:ascii="Calibri" w:hAnsi="Calibri" w:cs="Calibri"/>
                <w:sz w:val="24"/>
                <w:szCs w:val="24"/>
              </w:rPr>
            </w:pPr>
            <w:r w:rsidRPr="001A0BDF">
              <w:rPr>
                <w:rFonts w:ascii="Calibri" w:hAnsi="Calibri" w:cs="Calibri"/>
                <w:sz w:val="24"/>
                <w:szCs w:val="24"/>
              </w:rPr>
              <w:t xml:space="preserve">Quincaillerie pour le bâtiment - Dispositifs de sélection de vantaux - Prescriptions et méthodes d'essai </w:t>
            </w:r>
          </w:p>
        </w:tc>
      </w:tr>
      <w:tr w:rsidR="00921C0A" w:rsidRPr="0043547B" w:rsidTr="00056AEE">
        <w:trPr>
          <w:trHeight w:val="1223"/>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21C0A" w:rsidRPr="001A0BDF" w:rsidRDefault="00921C0A" w:rsidP="001A0BDF">
            <w:pPr>
              <w:spacing w:after="0" w:line="240" w:lineRule="auto"/>
              <w:jc w:val="center"/>
              <w:rPr>
                <w:rFonts w:ascii="Calibri" w:hAnsi="Calibri" w:cs="Calibri"/>
                <w:b/>
                <w:bCs/>
                <w:sz w:val="24"/>
                <w:szCs w:val="24"/>
              </w:rPr>
            </w:pPr>
            <w:r w:rsidRPr="001A0BDF">
              <w:rPr>
                <w:rFonts w:ascii="Calibri" w:hAnsi="Calibri" w:cs="Calibr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bottom"/>
            <w:hideMark/>
          </w:tcPr>
          <w:p w:rsidR="0045784D" w:rsidRDefault="00921C0A" w:rsidP="001A0BDF">
            <w:pPr>
              <w:spacing w:after="0" w:line="240" w:lineRule="auto"/>
              <w:jc w:val="both"/>
              <w:rPr>
                <w:rFonts w:ascii="Calibri" w:hAnsi="Calibri" w:cs="Calibri"/>
                <w:sz w:val="24"/>
                <w:szCs w:val="24"/>
              </w:rPr>
            </w:pPr>
            <w:r w:rsidRPr="001A0BDF">
              <w:rPr>
                <w:rFonts w:ascii="Calibri" w:hAnsi="Calibri" w:cs="Calibri"/>
                <w:sz w:val="24"/>
                <w:szCs w:val="24"/>
              </w:rPr>
              <w:t>La présente norme européenne spécifie les prescriptions relatives aux dispositifs de sélection de vantaux</w:t>
            </w:r>
            <w:r w:rsidR="001A0BDF">
              <w:rPr>
                <w:rFonts w:ascii="Calibri" w:hAnsi="Calibri" w:cs="Calibri"/>
                <w:sz w:val="24"/>
                <w:szCs w:val="24"/>
              </w:rPr>
              <w:t xml:space="preserve"> </w:t>
            </w:r>
            <w:r w:rsidRPr="001A0BDF">
              <w:rPr>
                <w:rFonts w:ascii="Calibri" w:hAnsi="Calibri" w:cs="Calibri"/>
                <w:sz w:val="24"/>
                <w:szCs w:val="24"/>
              </w:rPr>
              <w:t>pour les portes battantes à deux vantaux équipées de ferme-porte et concerne à la fois les dispositifs isolés</w:t>
            </w:r>
            <w:r w:rsidR="001A0BDF">
              <w:rPr>
                <w:rFonts w:ascii="Calibri" w:hAnsi="Calibri" w:cs="Calibri"/>
                <w:sz w:val="24"/>
                <w:szCs w:val="24"/>
              </w:rPr>
              <w:t xml:space="preserve"> </w:t>
            </w:r>
            <w:r w:rsidRPr="001A0BDF">
              <w:rPr>
                <w:rFonts w:ascii="Calibri" w:hAnsi="Calibri" w:cs="Calibri"/>
                <w:sz w:val="24"/>
                <w:szCs w:val="24"/>
              </w:rPr>
              <w:t>et les mécanismes incorporés à des ferme-portes. Les dispositifs de sélection de vantaux sont utilisés</w:t>
            </w:r>
            <w:r w:rsidR="001A0BDF">
              <w:rPr>
                <w:rFonts w:ascii="Calibri" w:hAnsi="Calibri" w:cs="Calibri"/>
                <w:sz w:val="24"/>
                <w:szCs w:val="24"/>
              </w:rPr>
              <w:t xml:space="preserve"> </w:t>
            </w:r>
            <w:r w:rsidRPr="001A0BDF">
              <w:rPr>
                <w:rFonts w:ascii="Calibri" w:hAnsi="Calibri" w:cs="Calibri"/>
                <w:sz w:val="24"/>
                <w:szCs w:val="24"/>
              </w:rPr>
              <w:t>lorsqu'il est nécessaire d'assurer la fermeture de deux vantaux dans un ordre défini, par exemple, les portes</w:t>
            </w:r>
            <w:r w:rsidR="001A0BDF">
              <w:rPr>
                <w:rFonts w:ascii="Calibri" w:hAnsi="Calibri" w:cs="Calibri"/>
                <w:sz w:val="24"/>
                <w:szCs w:val="24"/>
              </w:rPr>
              <w:t xml:space="preserve"> </w:t>
            </w:r>
            <w:r w:rsidRPr="001A0BDF">
              <w:rPr>
                <w:rFonts w:ascii="Calibri" w:hAnsi="Calibri" w:cs="Calibri"/>
                <w:sz w:val="24"/>
                <w:szCs w:val="24"/>
              </w:rPr>
              <w:t>comportant un recouvrement.</w:t>
            </w:r>
          </w:p>
          <w:p w:rsidR="00921C0A" w:rsidRPr="001A0BDF" w:rsidRDefault="00921C0A" w:rsidP="001A0BDF">
            <w:pPr>
              <w:spacing w:after="0" w:line="240" w:lineRule="auto"/>
              <w:jc w:val="both"/>
              <w:rPr>
                <w:rFonts w:ascii="Calibri" w:hAnsi="Calibri" w:cs="Calibri"/>
                <w:sz w:val="24"/>
                <w:szCs w:val="24"/>
              </w:rPr>
            </w:pPr>
            <w:r w:rsidRPr="001A0BDF">
              <w:rPr>
                <w:rFonts w:ascii="Calibri" w:hAnsi="Calibri" w:cs="Calibri"/>
                <w:sz w:val="24"/>
                <w:szCs w:val="24"/>
              </w:rPr>
              <w:lastRenderedPageBreak/>
              <w:t>Il est recommandé d’utiliser des dispositifs de sélection de vantaux fabriqués conformément à la présente</w:t>
            </w:r>
            <w:r w:rsidR="001A0BDF">
              <w:rPr>
                <w:rFonts w:ascii="Calibri" w:hAnsi="Calibri" w:cs="Calibri"/>
                <w:sz w:val="24"/>
                <w:szCs w:val="24"/>
              </w:rPr>
              <w:t xml:space="preserve"> </w:t>
            </w:r>
            <w:r w:rsidRPr="001A0BDF">
              <w:rPr>
                <w:rFonts w:ascii="Calibri" w:hAnsi="Calibri" w:cs="Calibri"/>
                <w:sz w:val="24"/>
                <w:szCs w:val="24"/>
              </w:rPr>
              <w:t>norme européenne chaque fois qu’il y a nécessité d’obtenir de façon fiable une fermeture ordonnée des</w:t>
            </w:r>
            <w:r w:rsidR="001A0BDF">
              <w:rPr>
                <w:rFonts w:ascii="Calibri" w:hAnsi="Calibri" w:cs="Calibri"/>
                <w:sz w:val="24"/>
                <w:szCs w:val="24"/>
              </w:rPr>
              <w:t xml:space="preserve"> </w:t>
            </w:r>
            <w:r w:rsidRPr="001A0BDF">
              <w:rPr>
                <w:rFonts w:ascii="Calibri" w:hAnsi="Calibri" w:cs="Calibri"/>
                <w:sz w:val="24"/>
                <w:szCs w:val="24"/>
              </w:rPr>
              <w:t>deux vantaux d'une porte battante coupe-feu ou pare-fumées comportant un recouvrement.</w:t>
            </w:r>
            <w:r w:rsidRPr="001A0BDF">
              <w:rPr>
                <w:rFonts w:ascii="Calibri" w:hAnsi="Calibri" w:cs="Calibri"/>
                <w:sz w:val="24"/>
                <w:szCs w:val="24"/>
              </w:rPr>
              <w:br/>
              <w:t>Les dispositifs de sélection de vantaux pour utilisation sur des portes coupe-feu étanches aux fumées doivent</w:t>
            </w:r>
            <w:r w:rsidR="001A0BDF">
              <w:rPr>
                <w:rFonts w:ascii="Calibri" w:hAnsi="Calibri" w:cs="Calibri"/>
                <w:sz w:val="24"/>
                <w:szCs w:val="24"/>
              </w:rPr>
              <w:t xml:space="preserve"> </w:t>
            </w:r>
            <w:r w:rsidRPr="001A0BDF">
              <w:rPr>
                <w:rFonts w:ascii="Calibri" w:hAnsi="Calibri" w:cs="Calibri"/>
                <w:sz w:val="24"/>
                <w:szCs w:val="24"/>
              </w:rPr>
              <w:t>posséder des qualités complémentaires afin de contribuer efficacement à satisfaire aux exigences</w:t>
            </w:r>
            <w:r w:rsidR="001A0BDF">
              <w:rPr>
                <w:rFonts w:ascii="Calibri" w:hAnsi="Calibri" w:cs="Calibri"/>
                <w:sz w:val="24"/>
                <w:szCs w:val="24"/>
              </w:rPr>
              <w:t xml:space="preserve"> </w:t>
            </w:r>
            <w:r w:rsidRPr="001A0BDF">
              <w:rPr>
                <w:rFonts w:ascii="Calibri" w:hAnsi="Calibri" w:cs="Calibri"/>
                <w:sz w:val="24"/>
                <w:szCs w:val="24"/>
              </w:rPr>
              <w:t>essentielles de sécurité en cas d'incendie soit indépendamment, soit en tant que partie d'un ensemble</w:t>
            </w:r>
            <w:r w:rsidRPr="001A0BDF">
              <w:rPr>
                <w:rFonts w:ascii="Calibri" w:hAnsi="Calibri" w:cs="Calibri"/>
                <w:sz w:val="24"/>
                <w:szCs w:val="24"/>
              </w:rPr>
              <w:br/>
              <w:t>complet.</w:t>
            </w:r>
            <w:r w:rsidRPr="001A0BDF">
              <w:rPr>
                <w:rFonts w:ascii="Calibri" w:hAnsi="Calibri" w:cs="Calibri"/>
                <w:sz w:val="24"/>
                <w:szCs w:val="24"/>
              </w:rPr>
              <w:br/>
              <w:t>Ces qualités complémentaires pour dispositifs de sélection de vantaux utilisés sur les blocs-portes coupefeu</w:t>
            </w:r>
            <w:r w:rsidR="001A0BDF">
              <w:rPr>
                <w:rFonts w:ascii="Calibri" w:hAnsi="Calibri" w:cs="Calibri"/>
                <w:sz w:val="24"/>
                <w:szCs w:val="24"/>
              </w:rPr>
              <w:t xml:space="preserve"> </w:t>
            </w:r>
            <w:r w:rsidRPr="001A0BDF">
              <w:rPr>
                <w:rFonts w:ascii="Calibri" w:hAnsi="Calibri" w:cs="Calibri"/>
                <w:sz w:val="24"/>
                <w:szCs w:val="24"/>
              </w:rPr>
              <w:t>et/ou étanches aux fumées sont spécifiées dans l'annexe A.</w:t>
            </w:r>
          </w:p>
        </w:tc>
      </w:tr>
      <w:tr w:rsidR="0043547B" w:rsidRPr="0043547B" w:rsidTr="00056AEE">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0C7CA0">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10.2.246</w:t>
            </w:r>
          </w:p>
        </w:tc>
      </w:tr>
      <w:tr w:rsidR="0043547B" w:rsidRPr="0043547B" w:rsidTr="00056AEE">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0C7CA0">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12051</w:t>
            </w:r>
          </w:p>
        </w:tc>
      </w:tr>
      <w:tr w:rsidR="0043547B" w:rsidRPr="0043547B" w:rsidTr="00056AEE">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Quincaillerie pour le bâtiment - Verrous de portes et de fenêtres – Prescriptions et méthodes d'essai </w:t>
            </w:r>
          </w:p>
        </w:tc>
      </w:tr>
      <w:tr w:rsidR="0043547B" w:rsidRPr="0043547B" w:rsidTr="00056AEE">
        <w:trPr>
          <w:trHeight w:val="1127"/>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établit les prescriptions de performance, de sécurité des biens et des personnes (y compris les méthodes d'essai) des verrous et de leurs gâches utilisés pour garantir ou pour augmenter la sûreté des portes ou des fenêtres dans les bâtiments, dont la manœuvre s'effectue par béquille, bouton, coulisseau ou tirette, etc., ou par un dispositif amovible (à l'exception des clés à multiples combinaisons) uniquement sur le côté protégé du vantail. Le domaine d'application s'étend également aux verrous à engagement par ressort ainsi qu'aux verrous avec un dispositif de condamnation à condition que ceux-ci soient bien par définition, des verrous (voir 3.1.1).</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Les types suivants de verrous sont donc couverts : </w:t>
            </w:r>
          </w:p>
          <w:p w:rsidR="00904E52" w:rsidRPr="0043547B" w:rsidRDefault="00904E52" w:rsidP="00E10FBD">
            <w:pPr>
              <w:spacing w:after="0" w:line="240" w:lineRule="auto"/>
              <w:rPr>
                <w:rFonts w:eastAsia="Times New Roman" w:cstheme="minorHAnsi"/>
                <w:sz w:val="24"/>
                <w:szCs w:val="24"/>
                <w:lang w:eastAsia="fr-FR"/>
              </w:rPr>
            </w:pPr>
            <w:r w:rsidRPr="0043547B">
              <w:rPr>
                <w:rFonts w:eastAsia="Times New Roman" w:cstheme="minorHAnsi"/>
                <w:sz w:val="24"/>
                <w:szCs w:val="24"/>
                <w:lang w:eastAsia="fr-FR"/>
              </w:rPr>
              <w:t>— verrous à douille avec long guide, verrous à pêne rond avec plusieurs guides ;</w:t>
            </w:r>
          </w:p>
          <w:p w:rsidR="00904E52" w:rsidRPr="0043547B" w:rsidRDefault="00904E52" w:rsidP="00E10FBD">
            <w:pPr>
              <w:spacing w:after="0" w:line="240" w:lineRule="auto"/>
              <w:rPr>
                <w:rFonts w:eastAsia="Times New Roman" w:cstheme="minorHAnsi"/>
                <w:sz w:val="24"/>
                <w:szCs w:val="24"/>
                <w:lang w:eastAsia="fr-FR"/>
              </w:rPr>
            </w:pPr>
            <w:r w:rsidRPr="0043547B">
              <w:rPr>
                <w:rFonts w:eastAsia="Times New Roman" w:cstheme="minorHAnsi"/>
                <w:sz w:val="24"/>
                <w:szCs w:val="24"/>
                <w:lang w:eastAsia="fr-FR"/>
              </w:rPr>
              <w:t>— verrous actionnés au pied, verrous à pêne carré verrouillé par gravité et déverrouillé par action sur une chaîne, verrous à pêne carré engagé par ressort et déverrouillé par un anneau ou une poignée, verrous de porte de garage ;</w:t>
            </w:r>
          </w:p>
          <w:p w:rsidR="00904E52" w:rsidRPr="0043547B" w:rsidRDefault="00904E52" w:rsidP="00E10FBD">
            <w:pPr>
              <w:spacing w:after="0" w:line="240" w:lineRule="auto"/>
              <w:rPr>
                <w:rFonts w:eastAsia="Times New Roman" w:cstheme="minorHAnsi"/>
                <w:sz w:val="24"/>
                <w:szCs w:val="24"/>
                <w:lang w:eastAsia="fr-FR"/>
              </w:rPr>
            </w:pPr>
            <w:r w:rsidRPr="0043547B">
              <w:rPr>
                <w:rFonts w:eastAsia="Times New Roman" w:cstheme="minorHAnsi"/>
                <w:sz w:val="24"/>
                <w:szCs w:val="24"/>
                <w:lang w:eastAsia="fr-FR"/>
              </w:rPr>
              <w:t>— verrous à onglet encastré (actionnés par coulisseau, bouton, béquille ou automatiquement) ;</w:t>
            </w:r>
          </w:p>
          <w:p w:rsidR="00904E52" w:rsidRPr="0043547B" w:rsidRDefault="00904E52" w:rsidP="00E10FBD">
            <w:pPr>
              <w:spacing w:after="0" w:line="240" w:lineRule="auto"/>
              <w:rPr>
                <w:rFonts w:eastAsia="Times New Roman" w:cstheme="minorHAnsi"/>
                <w:sz w:val="24"/>
                <w:szCs w:val="24"/>
                <w:lang w:eastAsia="fr-FR"/>
              </w:rPr>
            </w:pPr>
            <w:r w:rsidRPr="0043547B">
              <w:rPr>
                <w:rFonts w:eastAsia="Times New Roman" w:cstheme="minorHAnsi"/>
                <w:sz w:val="24"/>
                <w:szCs w:val="24"/>
                <w:lang w:eastAsia="fr-FR"/>
              </w:rPr>
              <w:t>— verrous-cadenas ;</w:t>
            </w:r>
          </w:p>
          <w:p w:rsidR="00904E52" w:rsidRPr="0043547B" w:rsidRDefault="00904E52" w:rsidP="00E10FBD">
            <w:pPr>
              <w:spacing w:after="0" w:line="240" w:lineRule="auto"/>
              <w:rPr>
                <w:rFonts w:eastAsia="Times New Roman" w:cstheme="minorHAnsi"/>
                <w:sz w:val="24"/>
                <w:szCs w:val="24"/>
                <w:lang w:eastAsia="fr-FR"/>
              </w:rPr>
            </w:pPr>
            <w:r w:rsidRPr="0043547B">
              <w:rPr>
                <w:rFonts w:eastAsia="Times New Roman" w:cstheme="minorHAnsi"/>
                <w:sz w:val="24"/>
                <w:szCs w:val="24"/>
                <w:lang w:eastAsia="fr-FR"/>
              </w:rPr>
              <w:t>— verrous à onglet où le mouvement de la targette est manuel et où une action sur le verrou empêche simplement le déverrouillage ;</w:t>
            </w:r>
          </w:p>
          <w:p w:rsidR="00904E52" w:rsidRPr="0043547B" w:rsidRDefault="00904E52" w:rsidP="00E10FBD">
            <w:pPr>
              <w:spacing w:after="0" w:line="240" w:lineRule="auto"/>
              <w:rPr>
                <w:rFonts w:eastAsia="Times New Roman" w:cstheme="minorHAnsi"/>
                <w:sz w:val="24"/>
                <w:szCs w:val="24"/>
                <w:lang w:eastAsia="fr-FR"/>
              </w:rPr>
            </w:pPr>
            <w:r w:rsidRPr="0043547B">
              <w:rPr>
                <w:rFonts w:eastAsia="Times New Roman" w:cstheme="minorHAnsi"/>
                <w:sz w:val="24"/>
                <w:szCs w:val="24"/>
                <w:lang w:eastAsia="fr-FR"/>
              </w:rPr>
              <w:t>— verrous de toilettes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verrous à mortaiser (actionnés par un dispositif amovible, un bouton fixe, une béquille, etc.).</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ne s'applique pas aux verrous espagnolettes, ni aux verrous utilisés pour les fermetures d'urgence ou les fermetures anti-panique.</w:t>
            </w:r>
          </w:p>
        </w:tc>
      </w:tr>
      <w:tr w:rsidR="00503A9C" w:rsidRPr="0043547B" w:rsidTr="00056AEE">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503A9C" w:rsidRPr="0043547B" w:rsidRDefault="00503A9C" w:rsidP="00503A9C">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503A9C" w:rsidRPr="001A0BDF" w:rsidRDefault="00503A9C" w:rsidP="001A0BDF">
            <w:pPr>
              <w:spacing w:after="0" w:line="240" w:lineRule="auto"/>
              <w:jc w:val="center"/>
              <w:rPr>
                <w:rFonts w:ascii="Calibri" w:hAnsi="Calibri" w:cs="Calibri"/>
                <w:b/>
                <w:bCs/>
                <w:sz w:val="24"/>
                <w:szCs w:val="24"/>
              </w:rPr>
            </w:pPr>
            <w:r w:rsidRPr="001A0BDF">
              <w:rPr>
                <w:rFonts w:ascii="Calibri" w:hAnsi="Calibri" w:cs="Calibri"/>
                <w:b/>
                <w:bCs/>
                <w:sz w:val="24"/>
                <w:szCs w:val="24"/>
              </w:rPr>
              <w:t>NM EN 12320</w:t>
            </w:r>
          </w:p>
        </w:tc>
      </w:tr>
      <w:tr w:rsidR="00503A9C" w:rsidRPr="0043547B" w:rsidTr="00056AEE">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503A9C" w:rsidRPr="0043547B" w:rsidRDefault="00503A9C" w:rsidP="00503A9C">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503A9C" w:rsidRPr="001A0BDF" w:rsidRDefault="00503A9C" w:rsidP="001A0BDF">
            <w:pPr>
              <w:spacing w:after="0" w:line="240" w:lineRule="auto"/>
              <w:jc w:val="center"/>
              <w:rPr>
                <w:rFonts w:ascii="Calibri" w:hAnsi="Calibri" w:cs="Calibri"/>
                <w:b/>
                <w:bCs/>
                <w:sz w:val="24"/>
                <w:szCs w:val="24"/>
              </w:rPr>
            </w:pPr>
            <w:r w:rsidRPr="001A0BDF">
              <w:rPr>
                <w:rFonts w:ascii="Calibri" w:hAnsi="Calibri" w:cs="Calibri"/>
                <w:b/>
                <w:bCs/>
                <w:sz w:val="24"/>
                <w:szCs w:val="24"/>
              </w:rPr>
              <w:t>EN 12320</w:t>
            </w:r>
          </w:p>
        </w:tc>
      </w:tr>
      <w:tr w:rsidR="00503A9C" w:rsidRPr="0043547B" w:rsidTr="00056AEE">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503A9C" w:rsidRPr="0043547B" w:rsidRDefault="00503A9C" w:rsidP="00503A9C">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bottom"/>
            <w:hideMark/>
          </w:tcPr>
          <w:p w:rsidR="00503A9C" w:rsidRPr="001A0BDF" w:rsidRDefault="00503A9C" w:rsidP="001A0BDF">
            <w:pPr>
              <w:spacing w:after="0" w:line="240" w:lineRule="auto"/>
              <w:rPr>
                <w:rFonts w:ascii="Calibri" w:hAnsi="Calibri" w:cs="Calibri"/>
                <w:sz w:val="24"/>
                <w:szCs w:val="24"/>
              </w:rPr>
            </w:pPr>
            <w:r w:rsidRPr="001A0BDF">
              <w:rPr>
                <w:rFonts w:ascii="Calibri" w:hAnsi="Calibri" w:cs="Calibri"/>
                <w:sz w:val="24"/>
                <w:szCs w:val="24"/>
              </w:rPr>
              <w:t xml:space="preserve">Quincaillerie pour le bâtiment - Cadenas et porte-cadenas - Exigences et méthodes d'essai </w:t>
            </w:r>
          </w:p>
        </w:tc>
      </w:tr>
      <w:tr w:rsidR="00503A9C" w:rsidRPr="0043547B" w:rsidTr="00056AEE">
        <w:trPr>
          <w:trHeight w:val="210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503A9C" w:rsidRPr="0043547B" w:rsidRDefault="00503A9C" w:rsidP="00503A9C">
            <w:pPr>
              <w:spacing w:after="0"/>
              <w:jc w:val="center"/>
              <w:rPr>
                <w:rFonts w:cstheme="minorHAnsi"/>
                <w:b/>
                <w:bCs/>
                <w:sz w:val="24"/>
                <w:szCs w:val="24"/>
              </w:rPr>
            </w:pPr>
            <w:r w:rsidRPr="0043547B">
              <w:rPr>
                <w:rFonts w:cstheme="minorHAnsi"/>
                <w:b/>
                <w:bCs/>
                <w:sz w:val="24"/>
                <w:szCs w:val="24"/>
              </w:rPr>
              <w:lastRenderedPageBreak/>
              <w:t>Domaine d’application :</w:t>
            </w:r>
          </w:p>
        </w:tc>
        <w:tc>
          <w:tcPr>
            <w:tcW w:w="7938" w:type="dxa"/>
            <w:tcBorders>
              <w:top w:val="nil"/>
              <w:left w:val="single" w:sz="4" w:space="0" w:color="auto"/>
              <w:bottom w:val="single" w:sz="18" w:space="0" w:color="auto"/>
              <w:right w:val="single" w:sz="18" w:space="0" w:color="auto"/>
            </w:tcBorders>
            <w:shd w:val="clear" w:color="auto" w:fill="auto"/>
            <w:vAlign w:val="bottom"/>
            <w:hideMark/>
          </w:tcPr>
          <w:p w:rsidR="001A0BDF" w:rsidRDefault="00503A9C" w:rsidP="001A0BDF">
            <w:pPr>
              <w:spacing w:after="0" w:line="240" w:lineRule="auto"/>
              <w:jc w:val="both"/>
              <w:rPr>
                <w:rFonts w:ascii="Calibri" w:hAnsi="Calibri" w:cs="Calibri"/>
                <w:sz w:val="24"/>
                <w:szCs w:val="24"/>
              </w:rPr>
            </w:pPr>
            <w:r w:rsidRPr="001A0BDF">
              <w:rPr>
                <w:rFonts w:ascii="Calibri" w:hAnsi="Calibri" w:cs="Calibri"/>
                <w:sz w:val="24"/>
                <w:szCs w:val="24"/>
              </w:rPr>
              <w:t>La présente Norme européenne s’applique aux cadenas mécaniques et aux porte-cadenas utilisés dans le bâtiment</w:t>
            </w:r>
            <w:r w:rsidR="001A0BDF">
              <w:rPr>
                <w:rFonts w:ascii="Calibri" w:hAnsi="Calibri" w:cs="Calibri"/>
                <w:sz w:val="24"/>
                <w:szCs w:val="24"/>
              </w:rPr>
              <w:t xml:space="preserve"> </w:t>
            </w:r>
            <w:r w:rsidRPr="001A0BDF">
              <w:rPr>
                <w:rFonts w:ascii="Calibri" w:hAnsi="Calibri" w:cs="Calibri"/>
                <w:sz w:val="24"/>
                <w:szCs w:val="24"/>
              </w:rPr>
              <w:t>et pour une utilisation générale et il spécifie les méthodes d’essai à utiliser.</w:t>
            </w:r>
          </w:p>
          <w:p w:rsidR="001A0BDF" w:rsidRDefault="00503A9C" w:rsidP="001A0BDF">
            <w:pPr>
              <w:spacing w:after="0" w:line="240" w:lineRule="auto"/>
              <w:jc w:val="both"/>
              <w:rPr>
                <w:rFonts w:ascii="Calibri" w:hAnsi="Calibri" w:cs="Calibri"/>
                <w:sz w:val="24"/>
                <w:szCs w:val="24"/>
              </w:rPr>
            </w:pPr>
            <w:r w:rsidRPr="001A0BDF">
              <w:rPr>
                <w:rFonts w:ascii="Calibri" w:hAnsi="Calibri" w:cs="Calibri"/>
                <w:sz w:val="24"/>
                <w:szCs w:val="24"/>
              </w:rPr>
              <w:t>La présente Norme européenne spécifie les performances et autres exigences relatives à la résistance, à la sécurité</w:t>
            </w:r>
            <w:r w:rsidR="001A0BDF">
              <w:rPr>
                <w:rFonts w:ascii="Calibri" w:hAnsi="Calibri" w:cs="Calibri"/>
                <w:sz w:val="24"/>
                <w:szCs w:val="24"/>
              </w:rPr>
              <w:t xml:space="preserve"> </w:t>
            </w:r>
            <w:r w:rsidRPr="001A0BDF">
              <w:rPr>
                <w:rFonts w:ascii="Calibri" w:hAnsi="Calibri" w:cs="Calibri"/>
                <w:sz w:val="24"/>
                <w:szCs w:val="24"/>
              </w:rPr>
              <w:t>des biens, l’endurance, au fonctionnement et à la résistance à la corrosion des cadenas. Il définit une</w:t>
            </w:r>
            <w:r w:rsidR="001A0BDF">
              <w:rPr>
                <w:rFonts w:ascii="Calibri" w:hAnsi="Calibri" w:cs="Calibri"/>
                <w:sz w:val="24"/>
                <w:szCs w:val="24"/>
              </w:rPr>
              <w:t xml:space="preserve"> </w:t>
            </w:r>
            <w:r w:rsidRPr="001A0BDF">
              <w:rPr>
                <w:rFonts w:ascii="Calibri" w:hAnsi="Calibri" w:cs="Calibri"/>
                <w:sz w:val="24"/>
                <w:szCs w:val="24"/>
              </w:rPr>
              <w:t>catégorie d’utilisation, deux catégories d’endurance, six catégories pour la résistance à la corrosion et six grades pour</w:t>
            </w:r>
            <w:r w:rsidR="001A0BDF">
              <w:rPr>
                <w:rFonts w:ascii="Calibri" w:hAnsi="Calibri" w:cs="Calibri"/>
                <w:sz w:val="24"/>
                <w:szCs w:val="24"/>
              </w:rPr>
              <w:t xml:space="preserve"> </w:t>
            </w:r>
            <w:r w:rsidRPr="001A0BDF">
              <w:rPr>
                <w:rFonts w:ascii="Calibri" w:hAnsi="Calibri" w:cs="Calibri"/>
                <w:sz w:val="24"/>
                <w:szCs w:val="24"/>
              </w:rPr>
              <w:t>la sécurité des biens.</w:t>
            </w:r>
          </w:p>
          <w:p w:rsidR="00503A9C" w:rsidRPr="001A0BDF" w:rsidRDefault="00503A9C" w:rsidP="001A0BDF">
            <w:pPr>
              <w:spacing w:after="0" w:line="240" w:lineRule="auto"/>
              <w:jc w:val="both"/>
              <w:rPr>
                <w:rFonts w:ascii="Calibri" w:hAnsi="Calibri" w:cs="Calibri"/>
                <w:sz w:val="24"/>
                <w:szCs w:val="24"/>
              </w:rPr>
            </w:pPr>
            <w:r w:rsidRPr="001A0BDF">
              <w:rPr>
                <w:rFonts w:ascii="Calibri" w:hAnsi="Calibri" w:cs="Calibri"/>
                <w:sz w:val="24"/>
                <w:szCs w:val="24"/>
              </w:rPr>
              <w:t>Des essais limités d'attaque manuelle sont inclus dans la présente Norme européenne du fait que la machine d’essai</w:t>
            </w:r>
            <w:r w:rsidR="001A0BDF">
              <w:rPr>
                <w:rFonts w:ascii="Calibri" w:hAnsi="Calibri" w:cs="Calibri"/>
                <w:sz w:val="24"/>
                <w:szCs w:val="24"/>
              </w:rPr>
              <w:t xml:space="preserve"> </w:t>
            </w:r>
            <w:r w:rsidRPr="001A0BDF">
              <w:rPr>
                <w:rFonts w:ascii="Calibri" w:hAnsi="Calibri" w:cs="Calibri"/>
                <w:sz w:val="24"/>
                <w:szCs w:val="24"/>
              </w:rPr>
              <w:t>ne reproduit pas toutes les attaques manuelles connues.</w:t>
            </w:r>
          </w:p>
        </w:tc>
      </w:tr>
      <w:tr w:rsidR="0043547B" w:rsidRPr="0043547B" w:rsidTr="00056AEE">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10.2.249</w:t>
            </w:r>
          </w:p>
        </w:tc>
      </w:tr>
      <w:tr w:rsidR="0043547B" w:rsidRPr="0043547B" w:rsidTr="00056AEE">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1906</w:t>
            </w:r>
          </w:p>
        </w:tc>
      </w:tr>
      <w:tr w:rsidR="0043547B" w:rsidRPr="0043547B" w:rsidTr="00056AEE">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Quincaillerie pour le bâtiment - Béquilles et boutons de porte – Prescriptions et méthodes d'essai </w:t>
            </w:r>
          </w:p>
        </w:tc>
      </w:tr>
      <w:tr w:rsidR="0043547B" w:rsidRPr="0043547B" w:rsidTr="00056AEE">
        <w:trPr>
          <w:trHeight w:val="843"/>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méthodes d'essai ainsi que les prescriptions pour les tiges carrées et les éléments de fixation, les couples opérationnels, le jeu autorisé et la sécurité, la rotation et le désaxage, l’endurance, la résistance statique et la résistance à la corrosion pour les dispositifs de porte à béquilles et boutons, avec ou sans ressort de rappel, sur plaques ou rosettes.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uniquement aux béquilles et boutons de portes qui actionnent une serrure à pêne dormant ou une serrure bec de cane.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établit quatre catégories d'utilisation selon la nature et la fréquence d'utilisation.</w:t>
            </w:r>
            <w:r w:rsidRPr="0043547B">
              <w:rPr>
                <w:rFonts w:eastAsia="Times New Roman" w:cstheme="minorHAnsi"/>
                <w:sz w:val="24"/>
                <w:szCs w:val="24"/>
                <w:lang w:eastAsia="fr-FR"/>
              </w:rPr>
              <w:br/>
              <w:t>Cette norme établit cinq grades de sécurité des biens. Le grade 0 correspond aux prescriptions fixées dans la majeure partie de cette norme. Les grades de 1 à 4 sont fixés en fonction des prescriptions pour dispositifs pour serrure à pêne dormant de sûreté destinés à être utilisés sur des portes résistant à l'effraction (voir l’annexe A).</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Ces prescriptions additionnelles de sûreté sont obligatoires uniquement lorsque le fabricant stipule que ses produits sont destinés à avoir un haut degré de sécurité des biens, ce qui n'est pas essentiel dans toutes les situations.</w:t>
            </w:r>
          </w:p>
        </w:tc>
      </w:tr>
      <w:tr w:rsidR="00503A9C" w:rsidRPr="0043547B" w:rsidTr="00056AEE">
        <w:trPr>
          <w:trHeight w:val="338"/>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503A9C" w:rsidRPr="001A0BDF" w:rsidRDefault="00503A9C" w:rsidP="001A0BDF">
            <w:pPr>
              <w:spacing w:after="0" w:line="240" w:lineRule="auto"/>
              <w:jc w:val="center"/>
              <w:rPr>
                <w:rFonts w:ascii="Calibri" w:hAnsi="Calibri" w:cs="Calibri"/>
                <w:b/>
                <w:bCs/>
                <w:sz w:val="24"/>
                <w:szCs w:val="24"/>
              </w:rPr>
            </w:pPr>
            <w:r w:rsidRPr="001A0BDF">
              <w:rPr>
                <w:rFonts w:ascii="Calibri" w:hAnsi="Calibri" w:cs="Calibri"/>
                <w:b/>
                <w:bCs/>
                <w:sz w:val="24"/>
                <w:szCs w:val="24"/>
              </w:rPr>
              <w:t>Code :</w:t>
            </w:r>
          </w:p>
        </w:tc>
        <w:tc>
          <w:tcPr>
            <w:tcW w:w="7938" w:type="dxa"/>
            <w:tcBorders>
              <w:top w:val="nil"/>
              <w:left w:val="single" w:sz="4" w:space="0" w:color="auto"/>
              <w:bottom w:val="single" w:sz="18" w:space="0" w:color="auto"/>
              <w:right w:val="single" w:sz="18" w:space="0" w:color="auto"/>
            </w:tcBorders>
            <w:shd w:val="clear" w:color="auto" w:fill="C2D69B" w:themeFill="accent3" w:themeFillTint="99"/>
            <w:vAlign w:val="center"/>
          </w:tcPr>
          <w:p w:rsidR="00503A9C" w:rsidRPr="001A0BDF" w:rsidRDefault="00503A9C" w:rsidP="001A0BDF">
            <w:pPr>
              <w:spacing w:after="0" w:line="240" w:lineRule="auto"/>
              <w:jc w:val="center"/>
              <w:rPr>
                <w:rFonts w:ascii="Calibri" w:hAnsi="Calibri" w:cs="Calibri"/>
                <w:b/>
                <w:bCs/>
                <w:sz w:val="24"/>
                <w:szCs w:val="24"/>
              </w:rPr>
            </w:pPr>
            <w:r w:rsidRPr="001A0BDF">
              <w:rPr>
                <w:rFonts w:ascii="Calibri" w:hAnsi="Calibri" w:cs="Calibri"/>
                <w:b/>
                <w:bCs/>
                <w:sz w:val="24"/>
                <w:szCs w:val="24"/>
              </w:rPr>
              <w:t>NM 10.2.217</w:t>
            </w:r>
          </w:p>
        </w:tc>
      </w:tr>
      <w:tr w:rsidR="00503A9C" w:rsidRPr="0043547B" w:rsidTr="00056AEE">
        <w:trPr>
          <w:trHeight w:val="527"/>
          <w:jc w:val="center"/>
        </w:trPr>
        <w:tc>
          <w:tcPr>
            <w:tcW w:w="1838" w:type="dxa"/>
            <w:tcBorders>
              <w:top w:val="nil"/>
              <w:left w:val="single" w:sz="18" w:space="0" w:color="auto"/>
              <w:bottom w:val="single" w:sz="18" w:space="0" w:color="auto"/>
              <w:right w:val="single" w:sz="4" w:space="0" w:color="auto"/>
            </w:tcBorders>
            <w:shd w:val="clear" w:color="auto" w:fill="FFFF99"/>
            <w:vAlign w:val="center"/>
          </w:tcPr>
          <w:p w:rsidR="00503A9C" w:rsidRPr="001A0BDF" w:rsidRDefault="00503A9C" w:rsidP="001A0BDF">
            <w:pPr>
              <w:spacing w:after="0" w:line="240" w:lineRule="auto"/>
              <w:jc w:val="center"/>
              <w:rPr>
                <w:rFonts w:ascii="Calibri" w:hAnsi="Calibri" w:cs="Calibri"/>
                <w:b/>
                <w:bCs/>
                <w:sz w:val="24"/>
                <w:szCs w:val="24"/>
              </w:rPr>
            </w:pPr>
            <w:r w:rsidRPr="001A0BDF">
              <w:rPr>
                <w:rFonts w:ascii="Calibri" w:hAnsi="Calibri" w:cs="Calibri"/>
                <w:b/>
                <w:bCs/>
                <w:sz w:val="24"/>
                <w:szCs w:val="24"/>
              </w:rPr>
              <w:t>Equivalence :</w:t>
            </w:r>
          </w:p>
        </w:tc>
        <w:tc>
          <w:tcPr>
            <w:tcW w:w="7938" w:type="dxa"/>
            <w:tcBorders>
              <w:top w:val="nil"/>
              <w:left w:val="single" w:sz="4" w:space="0" w:color="auto"/>
              <w:bottom w:val="single" w:sz="18" w:space="0" w:color="auto"/>
              <w:right w:val="single" w:sz="18" w:space="0" w:color="auto"/>
            </w:tcBorders>
            <w:shd w:val="clear" w:color="auto" w:fill="FFFF99"/>
            <w:vAlign w:val="center"/>
          </w:tcPr>
          <w:p w:rsidR="00503A9C" w:rsidRPr="001A0BDF" w:rsidRDefault="001A0BDF" w:rsidP="001A0BDF">
            <w:pPr>
              <w:spacing w:after="0" w:line="240" w:lineRule="auto"/>
              <w:jc w:val="center"/>
              <w:rPr>
                <w:rFonts w:ascii="Calibri" w:hAnsi="Calibri" w:cs="Calibri"/>
                <w:b/>
                <w:bCs/>
                <w:sz w:val="24"/>
                <w:szCs w:val="24"/>
              </w:rPr>
            </w:pPr>
            <w:r w:rsidRPr="001A0BDF">
              <w:rPr>
                <w:rFonts w:ascii="Calibri" w:hAnsi="Calibri" w:cs="Calibri"/>
                <w:b/>
                <w:bCs/>
                <w:sz w:val="24"/>
                <w:szCs w:val="24"/>
              </w:rPr>
              <w:t>NF P26-414</w:t>
            </w:r>
          </w:p>
        </w:tc>
      </w:tr>
      <w:tr w:rsidR="00503A9C" w:rsidRPr="0043547B" w:rsidTr="00056AEE">
        <w:trPr>
          <w:trHeight w:val="535"/>
          <w:jc w:val="center"/>
        </w:trPr>
        <w:tc>
          <w:tcPr>
            <w:tcW w:w="1838" w:type="dxa"/>
            <w:tcBorders>
              <w:top w:val="nil"/>
              <w:left w:val="single" w:sz="18" w:space="0" w:color="auto"/>
              <w:bottom w:val="single" w:sz="18" w:space="0" w:color="auto"/>
              <w:right w:val="single" w:sz="4" w:space="0" w:color="auto"/>
            </w:tcBorders>
            <w:shd w:val="clear" w:color="auto" w:fill="95B3D7" w:themeFill="accent1" w:themeFillTint="99"/>
            <w:vAlign w:val="center"/>
          </w:tcPr>
          <w:p w:rsidR="00503A9C" w:rsidRPr="001A0BDF" w:rsidRDefault="00503A9C" w:rsidP="001A0BDF">
            <w:pPr>
              <w:spacing w:after="0" w:line="240" w:lineRule="auto"/>
              <w:jc w:val="center"/>
              <w:rPr>
                <w:rFonts w:ascii="Calibri" w:hAnsi="Calibri" w:cs="Calibri"/>
                <w:b/>
                <w:bCs/>
                <w:sz w:val="24"/>
                <w:szCs w:val="24"/>
              </w:rPr>
            </w:pPr>
            <w:r w:rsidRPr="001A0BDF">
              <w:rPr>
                <w:rFonts w:ascii="Calibri" w:hAnsi="Calibri" w:cs="Calibri"/>
                <w:b/>
                <w:bCs/>
                <w:sz w:val="24"/>
                <w:szCs w:val="24"/>
              </w:rPr>
              <w:t>Intitulé :</w:t>
            </w:r>
          </w:p>
        </w:tc>
        <w:tc>
          <w:tcPr>
            <w:tcW w:w="7938" w:type="dxa"/>
            <w:tcBorders>
              <w:top w:val="nil"/>
              <w:left w:val="single" w:sz="4" w:space="0" w:color="auto"/>
              <w:bottom w:val="single" w:sz="18" w:space="0" w:color="auto"/>
              <w:right w:val="single" w:sz="18" w:space="0" w:color="auto"/>
            </w:tcBorders>
            <w:shd w:val="clear" w:color="auto" w:fill="auto"/>
            <w:vAlign w:val="bottom"/>
          </w:tcPr>
          <w:p w:rsidR="00503A9C" w:rsidRPr="001A0BDF" w:rsidRDefault="00503A9C" w:rsidP="001A0BDF">
            <w:pPr>
              <w:spacing w:after="0" w:line="240" w:lineRule="auto"/>
              <w:rPr>
                <w:rFonts w:ascii="Calibri" w:hAnsi="Calibri" w:cs="Calibri"/>
                <w:sz w:val="24"/>
                <w:szCs w:val="24"/>
              </w:rPr>
            </w:pPr>
            <w:r w:rsidRPr="001A0BDF">
              <w:rPr>
                <w:rFonts w:ascii="Calibri" w:hAnsi="Calibri" w:cs="Calibri"/>
                <w:sz w:val="24"/>
                <w:szCs w:val="24"/>
              </w:rPr>
              <w:t xml:space="preserve">Quincaillerie de bâtiment - Serrures à mortaiser verticales dites de 150, simples, de sûreté à gorges ou de sûreté à cylindres </w:t>
            </w:r>
          </w:p>
        </w:tc>
      </w:tr>
      <w:tr w:rsidR="00503A9C" w:rsidRPr="0043547B" w:rsidTr="00056AEE">
        <w:trPr>
          <w:trHeight w:val="843"/>
          <w:jc w:val="center"/>
        </w:trPr>
        <w:tc>
          <w:tcPr>
            <w:tcW w:w="1838" w:type="dxa"/>
            <w:tcBorders>
              <w:top w:val="nil"/>
              <w:left w:val="single" w:sz="18" w:space="0" w:color="auto"/>
              <w:bottom w:val="single" w:sz="18" w:space="0" w:color="auto"/>
              <w:right w:val="single" w:sz="4" w:space="0" w:color="auto"/>
            </w:tcBorders>
            <w:shd w:val="clear" w:color="000000" w:fill="D9D9D9"/>
            <w:vAlign w:val="center"/>
          </w:tcPr>
          <w:p w:rsidR="00503A9C" w:rsidRPr="001A0BDF" w:rsidRDefault="00503A9C" w:rsidP="001A0BDF">
            <w:pPr>
              <w:spacing w:after="0" w:line="240" w:lineRule="auto"/>
              <w:jc w:val="center"/>
              <w:rPr>
                <w:rFonts w:ascii="Calibri" w:hAnsi="Calibri" w:cs="Calibri"/>
                <w:b/>
                <w:bCs/>
                <w:sz w:val="24"/>
                <w:szCs w:val="24"/>
              </w:rPr>
            </w:pPr>
            <w:r w:rsidRPr="001A0BDF">
              <w:rPr>
                <w:rFonts w:ascii="Calibri" w:hAnsi="Calibri" w:cs="Calibr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bottom"/>
          </w:tcPr>
          <w:p w:rsidR="00503A9C" w:rsidRPr="001A0BDF" w:rsidRDefault="00503A9C" w:rsidP="001A0BDF">
            <w:pPr>
              <w:spacing w:after="0" w:line="240" w:lineRule="auto"/>
              <w:jc w:val="both"/>
              <w:rPr>
                <w:rFonts w:ascii="Calibri" w:hAnsi="Calibri" w:cs="Calibri"/>
                <w:sz w:val="24"/>
                <w:szCs w:val="24"/>
              </w:rPr>
            </w:pPr>
            <w:r w:rsidRPr="001A0BDF">
              <w:rPr>
                <w:rFonts w:ascii="Calibri" w:hAnsi="Calibri" w:cs="Calibri"/>
                <w:sz w:val="24"/>
                <w:szCs w:val="24"/>
              </w:rPr>
              <w:t>Le présent document fixe les prescriptions dimensionnelles des serrures à mortaiser verticales dites de 150 simples,</w:t>
            </w:r>
            <w:r w:rsidR="001A0BDF">
              <w:rPr>
                <w:rFonts w:ascii="Calibri" w:hAnsi="Calibri" w:cs="Calibri"/>
                <w:sz w:val="24"/>
                <w:szCs w:val="24"/>
              </w:rPr>
              <w:t xml:space="preserve"> </w:t>
            </w:r>
            <w:r w:rsidRPr="001A0BDF">
              <w:rPr>
                <w:rFonts w:ascii="Calibri" w:hAnsi="Calibri" w:cs="Calibri"/>
                <w:sz w:val="24"/>
                <w:szCs w:val="24"/>
              </w:rPr>
              <w:t>de sûreté à gorges ou de sûreté à cylindres telles qu’elles sont définies dans l’article 3. Il ne traite pas de la</w:t>
            </w:r>
            <w:r w:rsidRPr="001A0BDF">
              <w:rPr>
                <w:rFonts w:ascii="Calibri" w:hAnsi="Calibri" w:cs="Calibri"/>
                <w:sz w:val="24"/>
                <w:szCs w:val="24"/>
              </w:rPr>
              <w:br/>
              <w:t>classification et des essais de ces serrures, qui font l’objet de la norme NM EN 12209.</w:t>
            </w:r>
            <w:r w:rsidRPr="001A0BDF">
              <w:rPr>
                <w:rFonts w:ascii="Calibri" w:hAnsi="Calibri" w:cs="Calibri"/>
                <w:sz w:val="24"/>
                <w:szCs w:val="24"/>
              </w:rPr>
              <w:br/>
              <w:t>Il ne s’applique pas aux serrures à mortaiser verticales dites serrures de 135 qui sont traitées dans la</w:t>
            </w:r>
            <w:r w:rsidR="001A0BDF">
              <w:rPr>
                <w:rFonts w:ascii="Calibri" w:hAnsi="Calibri" w:cs="Calibri"/>
                <w:sz w:val="24"/>
                <w:szCs w:val="24"/>
              </w:rPr>
              <w:t xml:space="preserve"> </w:t>
            </w:r>
            <w:r w:rsidRPr="001A0BDF">
              <w:rPr>
                <w:rFonts w:ascii="Calibri" w:hAnsi="Calibri" w:cs="Calibri"/>
                <w:sz w:val="24"/>
                <w:szCs w:val="24"/>
              </w:rPr>
              <w:t>norme NM 10.2.106.</w:t>
            </w:r>
          </w:p>
        </w:tc>
      </w:tr>
      <w:tr w:rsidR="00503A9C" w:rsidRPr="0043547B" w:rsidTr="00056AEE">
        <w:trPr>
          <w:trHeight w:val="470"/>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503A9C" w:rsidRPr="001A0BDF" w:rsidRDefault="00503A9C" w:rsidP="001A0BDF">
            <w:pPr>
              <w:spacing w:after="0" w:line="240" w:lineRule="auto"/>
              <w:jc w:val="center"/>
              <w:rPr>
                <w:rFonts w:ascii="Calibri" w:hAnsi="Calibri" w:cs="Calibri"/>
                <w:b/>
                <w:bCs/>
                <w:sz w:val="24"/>
                <w:szCs w:val="24"/>
              </w:rPr>
            </w:pPr>
            <w:r w:rsidRPr="001A0BDF">
              <w:rPr>
                <w:rFonts w:ascii="Calibri" w:hAnsi="Calibri" w:cs="Calibri"/>
                <w:b/>
                <w:bCs/>
                <w:sz w:val="24"/>
                <w:szCs w:val="24"/>
              </w:rPr>
              <w:t>Code :</w:t>
            </w:r>
          </w:p>
        </w:tc>
        <w:tc>
          <w:tcPr>
            <w:tcW w:w="7938" w:type="dxa"/>
            <w:tcBorders>
              <w:top w:val="nil"/>
              <w:left w:val="single" w:sz="4" w:space="0" w:color="auto"/>
              <w:bottom w:val="single" w:sz="18" w:space="0" w:color="auto"/>
              <w:right w:val="single" w:sz="18" w:space="0" w:color="auto"/>
            </w:tcBorders>
            <w:shd w:val="clear" w:color="auto" w:fill="C2D69B" w:themeFill="accent3" w:themeFillTint="99"/>
            <w:vAlign w:val="center"/>
          </w:tcPr>
          <w:p w:rsidR="00503A9C" w:rsidRPr="001A0BDF" w:rsidRDefault="00503A9C" w:rsidP="001A0BDF">
            <w:pPr>
              <w:spacing w:after="0" w:line="240" w:lineRule="auto"/>
              <w:jc w:val="center"/>
              <w:rPr>
                <w:rFonts w:ascii="Calibri" w:hAnsi="Calibri" w:cs="Calibri"/>
                <w:b/>
                <w:bCs/>
                <w:sz w:val="24"/>
                <w:szCs w:val="24"/>
              </w:rPr>
            </w:pPr>
            <w:r w:rsidRPr="001A0BDF">
              <w:rPr>
                <w:rFonts w:ascii="Calibri" w:hAnsi="Calibri" w:cs="Calibri"/>
                <w:b/>
                <w:bCs/>
                <w:sz w:val="24"/>
                <w:szCs w:val="24"/>
              </w:rPr>
              <w:t>NM EN 1303</w:t>
            </w:r>
          </w:p>
        </w:tc>
      </w:tr>
      <w:tr w:rsidR="00503A9C" w:rsidRPr="0043547B" w:rsidTr="00056AEE">
        <w:trPr>
          <w:trHeight w:val="533"/>
          <w:jc w:val="center"/>
        </w:trPr>
        <w:tc>
          <w:tcPr>
            <w:tcW w:w="1838" w:type="dxa"/>
            <w:tcBorders>
              <w:top w:val="nil"/>
              <w:left w:val="single" w:sz="18" w:space="0" w:color="auto"/>
              <w:bottom w:val="single" w:sz="18" w:space="0" w:color="auto"/>
              <w:right w:val="single" w:sz="4" w:space="0" w:color="auto"/>
            </w:tcBorders>
            <w:shd w:val="clear" w:color="auto" w:fill="FFFF99"/>
            <w:vAlign w:val="center"/>
          </w:tcPr>
          <w:p w:rsidR="00503A9C" w:rsidRPr="001A0BDF" w:rsidRDefault="00503A9C" w:rsidP="001A0BDF">
            <w:pPr>
              <w:spacing w:after="0" w:line="240" w:lineRule="auto"/>
              <w:jc w:val="center"/>
              <w:rPr>
                <w:rFonts w:ascii="Calibri" w:hAnsi="Calibri" w:cs="Calibri"/>
                <w:b/>
                <w:bCs/>
                <w:sz w:val="24"/>
                <w:szCs w:val="24"/>
              </w:rPr>
            </w:pPr>
            <w:r w:rsidRPr="001A0BDF">
              <w:rPr>
                <w:rFonts w:ascii="Calibri" w:hAnsi="Calibri" w:cs="Calibri"/>
                <w:b/>
                <w:bCs/>
                <w:sz w:val="24"/>
                <w:szCs w:val="24"/>
              </w:rPr>
              <w:t>Equivalence :</w:t>
            </w:r>
          </w:p>
        </w:tc>
        <w:tc>
          <w:tcPr>
            <w:tcW w:w="7938" w:type="dxa"/>
            <w:tcBorders>
              <w:top w:val="nil"/>
              <w:left w:val="single" w:sz="4" w:space="0" w:color="auto"/>
              <w:bottom w:val="single" w:sz="18" w:space="0" w:color="auto"/>
              <w:right w:val="single" w:sz="18" w:space="0" w:color="auto"/>
            </w:tcBorders>
            <w:shd w:val="clear" w:color="auto" w:fill="FFFF99"/>
            <w:vAlign w:val="center"/>
          </w:tcPr>
          <w:p w:rsidR="00503A9C" w:rsidRPr="001A0BDF" w:rsidRDefault="00503A9C" w:rsidP="001A0BDF">
            <w:pPr>
              <w:spacing w:after="0" w:line="240" w:lineRule="auto"/>
              <w:jc w:val="center"/>
              <w:rPr>
                <w:rFonts w:ascii="Calibri" w:hAnsi="Calibri" w:cs="Calibri"/>
                <w:b/>
                <w:bCs/>
                <w:sz w:val="24"/>
                <w:szCs w:val="24"/>
              </w:rPr>
            </w:pPr>
            <w:r w:rsidRPr="001A0BDF">
              <w:rPr>
                <w:rFonts w:ascii="Calibri" w:hAnsi="Calibri" w:cs="Calibri"/>
                <w:b/>
                <w:bCs/>
                <w:sz w:val="24"/>
                <w:szCs w:val="24"/>
              </w:rPr>
              <w:t>EN 1303</w:t>
            </w:r>
          </w:p>
        </w:tc>
      </w:tr>
      <w:tr w:rsidR="00503A9C" w:rsidRPr="0043547B" w:rsidTr="00056AEE">
        <w:trPr>
          <w:trHeight w:val="655"/>
          <w:jc w:val="center"/>
        </w:trPr>
        <w:tc>
          <w:tcPr>
            <w:tcW w:w="1838" w:type="dxa"/>
            <w:tcBorders>
              <w:top w:val="nil"/>
              <w:left w:val="single" w:sz="18" w:space="0" w:color="auto"/>
              <w:bottom w:val="single" w:sz="18" w:space="0" w:color="auto"/>
              <w:right w:val="single" w:sz="4" w:space="0" w:color="auto"/>
            </w:tcBorders>
            <w:shd w:val="clear" w:color="auto" w:fill="95B3D7" w:themeFill="accent1" w:themeFillTint="99"/>
            <w:vAlign w:val="center"/>
          </w:tcPr>
          <w:p w:rsidR="00503A9C" w:rsidRPr="001A0BDF" w:rsidRDefault="00503A9C" w:rsidP="001A0BDF">
            <w:pPr>
              <w:spacing w:after="0" w:line="240" w:lineRule="auto"/>
              <w:jc w:val="center"/>
              <w:rPr>
                <w:rFonts w:ascii="Calibri" w:hAnsi="Calibri" w:cs="Calibri"/>
                <w:b/>
                <w:bCs/>
                <w:sz w:val="24"/>
                <w:szCs w:val="24"/>
              </w:rPr>
            </w:pPr>
            <w:r w:rsidRPr="001A0BDF">
              <w:rPr>
                <w:rFonts w:ascii="Calibri" w:hAnsi="Calibri" w:cs="Calibri"/>
                <w:b/>
                <w:bCs/>
                <w:sz w:val="24"/>
                <w:szCs w:val="24"/>
              </w:rPr>
              <w:lastRenderedPageBreak/>
              <w:t>Intitulé :</w:t>
            </w:r>
          </w:p>
        </w:tc>
        <w:tc>
          <w:tcPr>
            <w:tcW w:w="7938" w:type="dxa"/>
            <w:tcBorders>
              <w:top w:val="nil"/>
              <w:left w:val="single" w:sz="4" w:space="0" w:color="auto"/>
              <w:bottom w:val="single" w:sz="18" w:space="0" w:color="auto"/>
              <w:right w:val="single" w:sz="18" w:space="0" w:color="auto"/>
            </w:tcBorders>
            <w:shd w:val="clear" w:color="auto" w:fill="auto"/>
            <w:vAlign w:val="bottom"/>
          </w:tcPr>
          <w:p w:rsidR="00503A9C" w:rsidRPr="001A0BDF" w:rsidRDefault="00503A9C" w:rsidP="001A0BDF">
            <w:pPr>
              <w:spacing w:after="0" w:line="240" w:lineRule="auto"/>
              <w:rPr>
                <w:rFonts w:ascii="Calibri" w:hAnsi="Calibri" w:cs="Calibri"/>
                <w:sz w:val="24"/>
                <w:szCs w:val="24"/>
              </w:rPr>
            </w:pPr>
            <w:r w:rsidRPr="001A0BDF">
              <w:rPr>
                <w:rFonts w:ascii="Calibri" w:hAnsi="Calibri" w:cs="Calibri"/>
                <w:sz w:val="24"/>
                <w:szCs w:val="24"/>
              </w:rPr>
              <w:t xml:space="preserve">Quincaillerie pour le bâtiment - Cylindres de serrures - Exigences et méthodes d'essai </w:t>
            </w:r>
          </w:p>
        </w:tc>
      </w:tr>
      <w:tr w:rsidR="00503A9C" w:rsidRPr="0043547B" w:rsidTr="00056AEE">
        <w:trPr>
          <w:trHeight w:val="666"/>
          <w:jc w:val="center"/>
        </w:trPr>
        <w:tc>
          <w:tcPr>
            <w:tcW w:w="1838" w:type="dxa"/>
            <w:tcBorders>
              <w:top w:val="nil"/>
              <w:left w:val="single" w:sz="18" w:space="0" w:color="auto"/>
              <w:bottom w:val="single" w:sz="18" w:space="0" w:color="auto"/>
              <w:right w:val="single" w:sz="4" w:space="0" w:color="auto"/>
            </w:tcBorders>
            <w:shd w:val="clear" w:color="000000" w:fill="D9D9D9"/>
            <w:vAlign w:val="center"/>
          </w:tcPr>
          <w:p w:rsidR="00503A9C" w:rsidRPr="001A0BDF" w:rsidRDefault="00503A9C" w:rsidP="001A0BDF">
            <w:pPr>
              <w:spacing w:after="0" w:line="240" w:lineRule="auto"/>
              <w:jc w:val="center"/>
              <w:rPr>
                <w:rFonts w:ascii="Calibri" w:hAnsi="Calibri" w:cs="Calibri"/>
                <w:b/>
                <w:bCs/>
                <w:sz w:val="24"/>
                <w:szCs w:val="24"/>
              </w:rPr>
            </w:pPr>
            <w:r w:rsidRPr="001A0BDF">
              <w:rPr>
                <w:rFonts w:ascii="Calibri" w:hAnsi="Calibri" w:cs="Calibr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bottom"/>
          </w:tcPr>
          <w:p w:rsidR="001A0BDF" w:rsidRDefault="00503A9C" w:rsidP="001A0BDF">
            <w:pPr>
              <w:spacing w:after="0" w:line="240" w:lineRule="auto"/>
              <w:jc w:val="both"/>
              <w:rPr>
                <w:rFonts w:ascii="Calibri" w:hAnsi="Calibri" w:cs="Calibri"/>
                <w:sz w:val="24"/>
                <w:szCs w:val="24"/>
              </w:rPr>
            </w:pPr>
            <w:r w:rsidRPr="001A0BDF">
              <w:rPr>
                <w:rFonts w:ascii="Calibri" w:hAnsi="Calibri" w:cs="Calibri"/>
                <w:sz w:val="24"/>
                <w:szCs w:val="24"/>
              </w:rPr>
              <w:t>La présente Norme européenne s’applique aux cylindres et à leurs clés destinés aux serrures normalement utilisées</w:t>
            </w:r>
            <w:r w:rsidR="001A0BDF">
              <w:rPr>
                <w:rFonts w:ascii="Calibri" w:hAnsi="Calibri" w:cs="Calibri"/>
                <w:sz w:val="24"/>
                <w:szCs w:val="24"/>
              </w:rPr>
              <w:t xml:space="preserve"> </w:t>
            </w:r>
            <w:r w:rsidRPr="001A0BDF">
              <w:rPr>
                <w:rFonts w:ascii="Calibri" w:hAnsi="Calibri" w:cs="Calibri"/>
                <w:sz w:val="24"/>
                <w:szCs w:val="24"/>
              </w:rPr>
              <w:t>dans le bâtiment et conçues pour fonctionner avec des cylindres, avec un couple de manoeuvre maximal de 1,2 Nm.</w:t>
            </w:r>
            <w:r w:rsidRPr="001A0BDF">
              <w:rPr>
                <w:rFonts w:ascii="Calibri" w:hAnsi="Calibri" w:cs="Calibri"/>
                <w:sz w:val="24"/>
                <w:szCs w:val="24"/>
              </w:rPr>
              <w:br/>
              <w:t>La présente Norme européenne spécifie la performance et d’autres exigences relatives à la résistance, à la sécurité</w:t>
            </w:r>
            <w:r w:rsidR="001A0BDF">
              <w:rPr>
                <w:rFonts w:ascii="Calibri" w:hAnsi="Calibri" w:cs="Calibri"/>
                <w:sz w:val="24"/>
                <w:szCs w:val="24"/>
              </w:rPr>
              <w:t xml:space="preserve"> </w:t>
            </w:r>
            <w:r w:rsidRPr="001A0BDF">
              <w:rPr>
                <w:rFonts w:ascii="Calibri" w:hAnsi="Calibri" w:cs="Calibri"/>
                <w:sz w:val="24"/>
                <w:szCs w:val="24"/>
              </w:rPr>
              <w:t>des biens, à l’endurance, à la performance et à la résistance à la corrosion des cylindres et de leurs clés d’origine.</w:t>
            </w:r>
            <w:r w:rsidRPr="001A0BDF">
              <w:rPr>
                <w:rFonts w:ascii="Calibri" w:hAnsi="Calibri" w:cs="Calibri"/>
                <w:sz w:val="24"/>
                <w:szCs w:val="24"/>
              </w:rPr>
              <w:br/>
              <w:t>Elle établit une catégorie d’utilisation, trois grades d’endurance, trois grades de résistance au feu et quatre grades</w:t>
            </w:r>
            <w:r w:rsidR="001A0BDF">
              <w:rPr>
                <w:rFonts w:ascii="Calibri" w:hAnsi="Calibri" w:cs="Calibri"/>
                <w:sz w:val="24"/>
                <w:szCs w:val="24"/>
              </w:rPr>
              <w:t xml:space="preserve"> </w:t>
            </w:r>
            <w:r w:rsidRPr="001A0BDF">
              <w:rPr>
                <w:rFonts w:ascii="Calibri" w:hAnsi="Calibri" w:cs="Calibri"/>
                <w:sz w:val="24"/>
                <w:szCs w:val="24"/>
              </w:rPr>
              <w:t>de résistance à la corrosion, tous basés sur des essais de performance, ainsi que six grades de sécurité des biens</w:t>
            </w:r>
            <w:r w:rsidRPr="001A0BDF">
              <w:rPr>
                <w:rFonts w:ascii="Calibri" w:hAnsi="Calibri" w:cs="Calibri"/>
                <w:sz w:val="24"/>
                <w:szCs w:val="24"/>
              </w:rPr>
              <w:br/>
              <w:t>relative à la clé fondés sur des exigences de conception et cinq grades fondés sur des essais de performance</w:t>
            </w:r>
            <w:r w:rsidR="001A0BDF">
              <w:rPr>
                <w:rFonts w:ascii="Calibri" w:hAnsi="Calibri" w:cs="Calibri"/>
                <w:sz w:val="24"/>
                <w:szCs w:val="24"/>
              </w:rPr>
              <w:t xml:space="preserve"> </w:t>
            </w:r>
            <w:r w:rsidRPr="001A0BDF">
              <w:rPr>
                <w:rFonts w:ascii="Calibri" w:hAnsi="Calibri" w:cs="Calibri"/>
                <w:sz w:val="24"/>
                <w:szCs w:val="24"/>
              </w:rPr>
              <w:t>simulant une attaque.</w:t>
            </w:r>
          </w:p>
          <w:p w:rsidR="001A0BDF" w:rsidRDefault="00503A9C" w:rsidP="001A0BDF">
            <w:pPr>
              <w:spacing w:after="0" w:line="240" w:lineRule="auto"/>
              <w:jc w:val="both"/>
              <w:rPr>
                <w:rFonts w:ascii="Calibri" w:hAnsi="Calibri" w:cs="Calibri"/>
                <w:sz w:val="24"/>
                <w:szCs w:val="24"/>
              </w:rPr>
            </w:pPr>
            <w:r w:rsidRPr="001A0BDF">
              <w:rPr>
                <w:rFonts w:ascii="Calibri" w:hAnsi="Calibri" w:cs="Calibri"/>
                <w:sz w:val="24"/>
                <w:szCs w:val="24"/>
              </w:rPr>
              <w:t>La présente Norme européenne comprend des essais de bon fonctionnement dans une certaine plage de températures.</w:t>
            </w:r>
          </w:p>
          <w:p w:rsidR="001A0BDF" w:rsidRDefault="00503A9C" w:rsidP="001A0BDF">
            <w:pPr>
              <w:spacing w:after="0" w:line="240" w:lineRule="auto"/>
              <w:jc w:val="both"/>
              <w:rPr>
                <w:rFonts w:ascii="Calibri" w:hAnsi="Calibri" w:cs="Calibri"/>
                <w:sz w:val="24"/>
                <w:szCs w:val="24"/>
              </w:rPr>
            </w:pPr>
            <w:r w:rsidRPr="001A0BDF">
              <w:rPr>
                <w:rFonts w:ascii="Calibri" w:hAnsi="Calibri" w:cs="Calibri"/>
                <w:sz w:val="24"/>
                <w:szCs w:val="24"/>
              </w:rPr>
              <w:t>Elle spécifie les méthodes d’essai pour les cylindres et les dispositifs de protection correspondants recommandés</w:t>
            </w:r>
            <w:r w:rsidR="001A0BDF">
              <w:rPr>
                <w:rFonts w:ascii="Calibri" w:hAnsi="Calibri" w:cs="Calibri"/>
                <w:sz w:val="24"/>
                <w:szCs w:val="24"/>
              </w:rPr>
              <w:t xml:space="preserve"> </w:t>
            </w:r>
            <w:r w:rsidRPr="001A0BDF">
              <w:rPr>
                <w:rFonts w:ascii="Calibri" w:hAnsi="Calibri" w:cs="Calibri"/>
                <w:sz w:val="24"/>
                <w:szCs w:val="24"/>
              </w:rPr>
              <w:t>par le fabricant.</w:t>
            </w:r>
          </w:p>
          <w:p w:rsidR="001A0BDF" w:rsidRDefault="00503A9C" w:rsidP="001A0BDF">
            <w:pPr>
              <w:spacing w:after="0" w:line="240" w:lineRule="auto"/>
              <w:jc w:val="both"/>
              <w:rPr>
                <w:rFonts w:ascii="Calibri" w:hAnsi="Calibri" w:cs="Calibri"/>
                <w:sz w:val="24"/>
                <w:szCs w:val="24"/>
              </w:rPr>
            </w:pPr>
            <w:r w:rsidRPr="001A0BDF">
              <w:rPr>
                <w:rFonts w:ascii="Calibri" w:hAnsi="Calibri" w:cs="Calibri"/>
                <w:sz w:val="24"/>
                <w:szCs w:val="24"/>
              </w:rPr>
              <w:t>La résistance à la corrosion est spécifiée par référence aux exigences de l’EN 1670 relative à la résistance à la</w:t>
            </w:r>
            <w:r w:rsidR="001A0BDF">
              <w:rPr>
                <w:rFonts w:ascii="Calibri" w:hAnsi="Calibri" w:cs="Calibri"/>
                <w:sz w:val="24"/>
                <w:szCs w:val="24"/>
              </w:rPr>
              <w:t xml:space="preserve"> </w:t>
            </w:r>
            <w:r w:rsidRPr="001A0BDF">
              <w:rPr>
                <w:rFonts w:ascii="Calibri" w:hAnsi="Calibri" w:cs="Calibri"/>
                <w:sz w:val="24"/>
                <w:szCs w:val="24"/>
              </w:rPr>
              <w:t>corrosion de la quincaillerie pour le bâtiment.</w:t>
            </w:r>
            <w:r w:rsidRPr="001A0BDF">
              <w:rPr>
                <w:rFonts w:ascii="Calibri" w:hAnsi="Calibri" w:cs="Calibri"/>
                <w:sz w:val="24"/>
                <w:szCs w:val="24"/>
              </w:rPr>
              <w:br/>
              <w:t>L’aptitude des cylindres à l’utilisation sur des blocs-portes coupe-feu et/ou étanches aux fumées est déterminée</w:t>
            </w:r>
            <w:r w:rsidR="001A0BDF">
              <w:rPr>
                <w:rFonts w:ascii="Calibri" w:hAnsi="Calibri" w:cs="Calibri"/>
                <w:sz w:val="24"/>
                <w:szCs w:val="24"/>
              </w:rPr>
              <w:t xml:space="preserve"> </w:t>
            </w:r>
            <w:r w:rsidRPr="001A0BDF">
              <w:rPr>
                <w:rFonts w:ascii="Calibri" w:hAnsi="Calibri" w:cs="Calibri"/>
                <w:sz w:val="24"/>
                <w:szCs w:val="24"/>
              </w:rPr>
              <w:t>par des essais de performance au feu, qui s’ajoutent aux essais de performance requis dans la présente norme.</w:t>
            </w:r>
            <w:r w:rsidRPr="001A0BDF">
              <w:rPr>
                <w:rFonts w:ascii="Calibri" w:hAnsi="Calibri" w:cs="Calibri"/>
                <w:sz w:val="24"/>
                <w:szCs w:val="24"/>
              </w:rPr>
              <w:br/>
              <w:t>Lorsque l’aptitude à l’utilisation sur des portes coupe-feu n’est pas primordiale dans chaque situation, le fabricant a</w:t>
            </w:r>
            <w:r w:rsidR="001A0BDF">
              <w:rPr>
                <w:rFonts w:ascii="Calibri" w:hAnsi="Calibri" w:cs="Calibri"/>
                <w:sz w:val="24"/>
                <w:szCs w:val="24"/>
              </w:rPr>
              <w:t xml:space="preserve"> </w:t>
            </w:r>
            <w:r w:rsidRPr="001A0BDF">
              <w:rPr>
                <w:rFonts w:ascii="Calibri" w:hAnsi="Calibri" w:cs="Calibri"/>
                <w:sz w:val="24"/>
                <w:szCs w:val="24"/>
              </w:rPr>
              <w:t>le choix de déclarer si le cylindre est conforme à ces exigences additionnelles ou non. Dans l’affirmative, les cylindres</w:t>
            </w:r>
            <w:r w:rsidR="001A0BDF">
              <w:rPr>
                <w:rFonts w:ascii="Calibri" w:hAnsi="Calibri" w:cs="Calibri"/>
                <w:sz w:val="24"/>
                <w:szCs w:val="24"/>
              </w:rPr>
              <w:t xml:space="preserve"> </w:t>
            </w:r>
            <w:r w:rsidRPr="001A0BDF">
              <w:rPr>
                <w:rFonts w:ascii="Calibri" w:hAnsi="Calibri" w:cs="Calibri"/>
                <w:sz w:val="24"/>
                <w:szCs w:val="24"/>
              </w:rPr>
              <w:t>sont conformes aux exigences spécifiées dans l’Annexe A.</w:t>
            </w:r>
          </w:p>
          <w:p w:rsidR="001A0BDF" w:rsidRDefault="00503A9C" w:rsidP="001A0BDF">
            <w:pPr>
              <w:spacing w:after="0" w:line="240" w:lineRule="auto"/>
              <w:jc w:val="both"/>
              <w:rPr>
                <w:rFonts w:ascii="Calibri" w:hAnsi="Calibri" w:cs="Calibri"/>
                <w:sz w:val="24"/>
                <w:szCs w:val="24"/>
              </w:rPr>
            </w:pPr>
            <w:r w:rsidRPr="001A0BDF">
              <w:rPr>
                <w:rFonts w:ascii="Calibri" w:hAnsi="Calibri" w:cs="Calibri"/>
                <w:sz w:val="24"/>
                <w:szCs w:val="24"/>
              </w:rPr>
              <w:t>Il se peut que parfois une exigence nécessite des fonctions supplémentaires dans la conception du cylindre.</w:t>
            </w:r>
          </w:p>
          <w:p w:rsidR="00503A9C" w:rsidRPr="001A0BDF" w:rsidRDefault="00503A9C" w:rsidP="001A0BDF">
            <w:pPr>
              <w:spacing w:after="0" w:line="240" w:lineRule="auto"/>
              <w:jc w:val="both"/>
              <w:rPr>
                <w:rFonts w:ascii="Calibri" w:hAnsi="Calibri" w:cs="Calibri"/>
                <w:sz w:val="24"/>
                <w:szCs w:val="24"/>
              </w:rPr>
            </w:pPr>
            <w:r w:rsidRPr="001A0BDF">
              <w:rPr>
                <w:rFonts w:ascii="Calibri" w:hAnsi="Calibri" w:cs="Calibri"/>
                <w:sz w:val="24"/>
                <w:szCs w:val="24"/>
              </w:rPr>
              <w:t>Il convient que les acheteurs s’assurent que les produits sont compatibles avec l’usage prévu.</w:t>
            </w:r>
          </w:p>
        </w:tc>
      </w:tr>
      <w:tr w:rsidR="0043547B" w:rsidRPr="0043547B" w:rsidTr="00056AEE">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10.2.250</w:t>
            </w:r>
          </w:p>
        </w:tc>
      </w:tr>
      <w:tr w:rsidR="0043547B" w:rsidRPr="0043547B" w:rsidTr="00056AEE">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1935</w:t>
            </w:r>
          </w:p>
        </w:tc>
      </w:tr>
      <w:tr w:rsidR="0043547B" w:rsidRPr="0043547B" w:rsidTr="00056AEE">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Quincaillerie pour le bâtiment - Charnières axe simple - Prescriptions et méthodes d'essai </w:t>
            </w:r>
          </w:p>
        </w:tc>
      </w:tr>
      <w:tr w:rsidR="0043547B" w:rsidRPr="0043547B" w:rsidTr="00056AEE">
        <w:trPr>
          <w:trHeight w:val="1469"/>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B111BE">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fixe les prescriptions pour les charnières axe simple, y compris les paumelles utilisables sur des portes et des fenêtres. Ces portes et fenêtres peuvent ou non être également équipées de dispositifs de fermeture de porte. Elle comprend les essais de charge statique, de résistance au cisaillement et d'usure admissible pendant les cycles d'endurance pour les charnières suivantes:</w:t>
            </w:r>
          </w:p>
          <w:p w:rsidR="00641951" w:rsidRPr="0043547B" w:rsidRDefault="00641951" w:rsidP="00641951">
            <w:pPr>
              <w:pStyle w:val="Paragraphedeliste"/>
              <w:numPr>
                <w:ilvl w:val="0"/>
                <w:numId w:val="42"/>
              </w:num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charnières axe simple montées sur le bord du vantail de la porte ou du châssis de la fenêtre et ouvrant dans un seul sens ;</w:t>
            </w:r>
          </w:p>
          <w:p w:rsidR="00641951" w:rsidRPr="0043547B" w:rsidRDefault="00641951" w:rsidP="00641951">
            <w:pPr>
              <w:pStyle w:val="Paragraphedeliste"/>
              <w:numPr>
                <w:ilvl w:val="0"/>
                <w:numId w:val="42"/>
              </w:num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charnières axe simple dont l'axe de rotation se situe au plus à 30 mm du bord de l'élément mobile, le vantail de la porte ayant une masse allant jusqu'à 160 kg;</w:t>
            </w:r>
          </w:p>
          <w:p w:rsidR="00641951" w:rsidRPr="0043547B" w:rsidRDefault="00641951" w:rsidP="00641951">
            <w:pPr>
              <w:pStyle w:val="Paragraphedeliste"/>
              <w:numPr>
                <w:ilvl w:val="0"/>
                <w:numId w:val="42"/>
              </w:num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charnières axe simple dont l'axe de rotation se situe au plus à 30 mm du bord du châssis de la fenêtre ayant une masse allant jusqu'à 60 kg.</w:t>
            </w:r>
          </w:p>
          <w:p w:rsidR="00641951" w:rsidRPr="0043547B" w:rsidRDefault="00641951" w:rsidP="0064195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La norme classifie les charnières pour quatre catégories d'utilisation (voir annexe A) et précise également le couple de rotation maximal admissible résultant de la </w:t>
            </w:r>
            <w:r w:rsidRPr="0043547B">
              <w:rPr>
                <w:rFonts w:eastAsia="Times New Roman" w:cstheme="minorHAnsi"/>
                <w:sz w:val="24"/>
                <w:szCs w:val="24"/>
                <w:lang w:eastAsia="fr-FR"/>
              </w:rPr>
              <w:lastRenderedPageBreak/>
              <w:t>résistance à la friction générée à l'intérieur de la charnière pendant l'essai d'endurance.</w:t>
            </w:r>
          </w:p>
          <w:p w:rsidR="00641951" w:rsidRPr="0043547B" w:rsidRDefault="00641951" w:rsidP="0064195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prescriptions de résistance à la corrosion sont spécifiées pour les charnières qui ne sont pas destinées à être protégées après installation.</w:t>
            </w:r>
          </w:p>
          <w:p w:rsidR="00904E52" w:rsidRPr="0043547B" w:rsidRDefault="00641951" w:rsidP="0064195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ne s'applique pas aux charnières incorporant des mécanismes de fermeture avec ressort. Les ferme-portes incorporant des dispositifs de sélection de vantaux (avec ou sans dispositif de retenue électromagnétique) sont traités dans la NM 10.2.245.</w:t>
            </w:r>
          </w:p>
        </w:tc>
      </w:tr>
      <w:tr w:rsidR="0043547B" w:rsidRPr="0043547B" w:rsidTr="00056AEE">
        <w:trPr>
          <w:trHeight w:val="403"/>
          <w:jc w:val="center"/>
        </w:trPr>
        <w:tc>
          <w:tcPr>
            <w:tcW w:w="1838" w:type="dxa"/>
            <w:tcBorders>
              <w:top w:val="nil"/>
              <w:left w:val="single" w:sz="18" w:space="0" w:color="auto"/>
              <w:bottom w:val="single" w:sz="18" w:space="0" w:color="auto"/>
              <w:right w:val="single" w:sz="4" w:space="0" w:color="auto"/>
            </w:tcBorders>
            <w:shd w:val="clear" w:color="auto" w:fill="B0CA7C"/>
            <w:vAlign w:val="center"/>
          </w:tcPr>
          <w:p w:rsidR="000A7B29" w:rsidRPr="0043547B" w:rsidRDefault="000A7B29" w:rsidP="00DA5AD2">
            <w:pPr>
              <w:spacing w:after="0" w:line="240" w:lineRule="auto"/>
              <w:jc w:val="center"/>
              <w:rPr>
                <w:rFonts w:cstheme="minorHAnsi"/>
                <w:b/>
                <w:bCs/>
                <w:sz w:val="24"/>
                <w:szCs w:val="24"/>
              </w:rPr>
            </w:pPr>
            <w:r w:rsidRPr="0043547B">
              <w:rPr>
                <w:rFonts w:cstheme="minorHAnsi"/>
                <w:b/>
                <w:bCs/>
                <w:sz w:val="24"/>
                <w:szCs w:val="24"/>
              </w:rPr>
              <w:lastRenderedPageBreak/>
              <w:t>Code :</w:t>
            </w:r>
          </w:p>
        </w:tc>
        <w:tc>
          <w:tcPr>
            <w:tcW w:w="7938" w:type="dxa"/>
            <w:tcBorders>
              <w:top w:val="nil"/>
              <w:left w:val="single" w:sz="4" w:space="0" w:color="auto"/>
              <w:bottom w:val="single" w:sz="18" w:space="0" w:color="auto"/>
              <w:right w:val="single" w:sz="18" w:space="0" w:color="auto"/>
            </w:tcBorders>
            <w:shd w:val="clear" w:color="auto" w:fill="B0CA7C"/>
            <w:vAlign w:val="center"/>
          </w:tcPr>
          <w:p w:rsidR="000A7B29" w:rsidRPr="0043547B" w:rsidRDefault="000A7B29" w:rsidP="00DA5AD2">
            <w:pPr>
              <w:spacing w:after="0" w:line="240" w:lineRule="auto"/>
              <w:jc w:val="center"/>
              <w:rPr>
                <w:rFonts w:cstheme="minorHAnsi"/>
                <w:b/>
                <w:bCs/>
                <w:sz w:val="24"/>
                <w:szCs w:val="24"/>
              </w:rPr>
            </w:pPr>
            <w:r w:rsidRPr="0043547B">
              <w:rPr>
                <w:rFonts w:cstheme="minorHAnsi"/>
                <w:b/>
                <w:bCs/>
                <w:sz w:val="24"/>
                <w:szCs w:val="24"/>
              </w:rPr>
              <w:t>NM ISO 898-1</w:t>
            </w:r>
          </w:p>
        </w:tc>
      </w:tr>
      <w:tr w:rsidR="0043547B" w:rsidRPr="0043547B" w:rsidTr="00056AEE">
        <w:trPr>
          <w:trHeight w:val="411"/>
          <w:jc w:val="center"/>
        </w:trPr>
        <w:tc>
          <w:tcPr>
            <w:tcW w:w="1838" w:type="dxa"/>
            <w:tcBorders>
              <w:top w:val="single" w:sz="18" w:space="0" w:color="auto"/>
              <w:left w:val="single" w:sz="18" w:space="0" w:color="auto"/>
              <w:bottom w:val="single" w:sz="6" w:space="0" w:color="auto"/>
              <w:right w:val="single" w:sz="4" w:space="0" w:color="auto"/>
            </w:tcBorders>
            <w:shd w:val="clear" w:color="auto" w:fill="FFFF99"/>
            <w:vAlign w:val="center"/>
          </w:tcPr>
          <w:p w:rsidR="000A7B29" w:rsidRPr="0043547B" w:rsidRDefault="000A7B29" w:rsidP="00DA5AD2">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6" w:space="0" w:color="auto"/>
              <w:right w:val="single" w:sz="18" w:space="0" w:color="auto"/>
            </w:tcBorders>
            <w:shd w:val="clear" w:color="auto" w:fill="FFFF99"/>
            <w:vAlign w:val="center"/>
          </w:tcPr>
          <w:p w:rsidR="000A7B29" w:rsidRPr="0043547B" w:rsidRDefault="000A7B29" w:rsidP="00DA5AD2">
            <w:pPr>
              <w:spacing w:after="0" w:line="240" w:lineRule="auto"/>
              <w:jc w:val="center"/>
              <w:rPr>
                <w:rFonts w:cstheme="minorHAnsi"/>
                <w:b/>
                <w:bCs/>
                <w:sz w:val="24"/>
                <w:szCs w:val="24"/>
              </w:rPr>
            </w:pPr>
            <w:r w:rsidRPr="0043547B">
              <w:rPr>
                <w:rFonts w:cstheme="minorHAnsi"/>
                <w:b/>
                <w:bCs/>
                <w:sz w:val="24"/>
                <w:szCs w:val="24"/>
              </w:rPr>
              <w:t>ISO 898-1</w:t>
            </w:r>
          </w:p>
        </w:tc>
      </w:tr>
      <w:tr w:rsidR="0043547B" w:rsidRPr="0043547B" w:rsidTr="00056AEE">
        <w:trPr>
          <w:trHeight w:val="717"/>
          <w:jc w:val="center"/>
        </w:trPr>
        <w:tc>
          <w:tcPr>
            <w:tcW w:w="1838" w:type="dxa"/>
            <w:tcBorders>
              <w:top w:val="single" w:sz="6" w:space="0" w:color="auto"/>
              <w:left w:val="single" w:sz="18" w:space="0" w:color="auto"/>
              <w:bottom w:val="single" w:sz="6" w:space="0" w:color="auto"/>
              <w:right w:val="single" w:sz="4" w:space="0" w:color="auto"/>
            </w:tcBorders>
            <w:shd w:val="clear" w:color="auto" w:fill="95B3D7" w:themeFill="accent1" w:themeFillTint="99"/>
            <w:vAlign w:val="center"/>
          </w:tcPr>
          <w:p w:rsidR="000A7B29" w:rsidRPr="0043547B" w:rsidRDefault="000A7B29" w:rsidP="00DA5AD2">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6" w:space="0" w:color="auto"/>
              <w:left w:val="single" w:sz="4" w:space="0" w:color="auto"/>
              <w:bottom w:val="single" w:sz="6" w:space="0" w:color="auto"/>
              <w:right w:val="single" w:sz="18" w:space="0" w:color="auto"/>
            </w:tcBorders>
            <w:shd w:val="clear" w:color="auto" w:fill="auto"/>
            <w:vAlign w:val="bottom"/>
          </w:tcPr>
          <w:p w:rsidR="000A7B29" w:rsidRPr="0043547B" w:rsidRDefault="000A7B29" w:rsidP="00DA5AD2">
            <w:pPr>
              <w:spacing w:after="0" w:line="240" w:lineRule="auto"/>
              <w:rPr>
                <w:rFonts w:cstheme="minorHAnsi"/>
                <w:sz w:val="24"/>
                <w:szCs w:val="24"/>
              </w:rPr>
            </w:pPr>
            <w:r w:rsidRPr="0043547B">
              <w:rPr>
                <w:rFonts w:cstheme="minorHAnsi"/>
                <w:sz w:val="24"/>
                <w:szCs w:val="24"/>
              </w:rPr>
              <w:t xml:space="preserve">Caractéristiques mécaniques des éléments de fixation en acier au carbone et en acier allié - Partie 1 : Vis, goujons et tiges filetées de classes de qualité spécifiées - Filetages à pas gros et filetages à pas fin ; (IC 02.2.085) </w:t>
            </w:r>
          </w:p>
        </w:tc>
      </w:tr>
      <w:tr w:rsidR="0043547B" w:rsidRPr="0043547B" w:rsidTr="00056AEE">
        <w:trPr>
          <w:trHeight w:val="696"/>
          <w:jc w:val="center"/>
        </w:trPr>
        <w:tc>
          <w:tcPr>
            <w:tcW w:w="1838" w:type="dxa"/>
            <w:tcBorders>
              <w:top w:val="single" w:sz="6" w:space="0" w:color="auto"/>
              <w:left w:val="single" w:sz="18" w:space="0" w:color="auto"/>
              <w:bottom w:val="single" w:sz="18" w:space="0" w:color="auto"/>
              <w:right w:val="single" w:sz="4" w:space="0" w:color="auto"/>
            </w:tcBorders>
            <w:shd w:val="clear" w:color="000000" w:fill="D9D9D9"/>
            <w:vAlign w:val="center"/>
          </w:tcPr>
          <w:p w:rsidR="000A7B29" w:rsidRPr="0043547B" w:rsidRDefault="000A7B29" w:rsidP="00DA5AD2">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6" w:space="0" w:color="auto"/>
              <w:left w:val="single" w:sz="4" w:space="0" w:color="auto"/>
              <w:bottom w:val="single" w:sz="18" w:space="0" w:color="auto"/>
              <w:right w:val="single" w:sz="18" w:space="0" w:color="auto"/>
            </w:tcBorders>
            <w:shd w:val="clear" w:color="auto" w:fill="auto"/>
            <w:vAlign w:val="bottom"/>
          </w:tcPr>
          <w:p w:rsidR="00B111BE" w:rsidRDefault="000A7B29" w:rsidP="00B111BE">
            <w:pPr>
              <w:spacing w:after="0" w:line="240" w:lineRule="auto"/>
              <w:jc w:val="both"/>
              <w:rPr>
                <w:rFonts w:cstheme="minorHAnsi"/>
                <w:sz w:val="24"/>
                <w:szCs w:val="24"/>
              </w:rPr>
            </w:pPr>
            <w:r w:rsidRPr="0043547B">
              <w:rPr>
                <w:rFonts w:cstheme="minorHAnsi"/>
                <w:sz w:val="24"/>
                <w:szCs w:val="24"/>
              </w:rPr>
              <w:t>La présente partie de l'ISO 898 spécifie les caractéristiques mécaniques et physiques des vis, goujons et tiges filetées en acier au carbone et en acier allié, soumis à essai dans la plage de température ambiante de</w:t>
            </w:r>
            <w:r w:rsidR="00045F91" w:rsidRPr="0043547B">
              <w:rPr>
                <w:rFonts w:cstheme="minorHAnsi"/>
                <w:sz w:val="24"/>
                <w:szCs w:val="24"/>
              </w:rPr>
              <w:t xml:space="preserve"> </w:t>
            </w:r>
            <w:r w:rsidRPr="0043547B">
              <w:rPr>
                <w:rFonts w:cstheme="minorHAnsi"/>
                <w:sz w:val="24"/>
                <w:szCs w:val="24"/>
              </w:rPr>
              <w:t>10 °C à 35 °C. Les fixations (terme utilisé lorsque les vis, goujons et tiges filetées sont considérés dans leur ensemble) conformes aux exigences de la présente partie de l'ISO 898 sont évaluées dans cette plage de</w:t>
            </w:r>
            <w:r w:rsidR="00B111BE">
              <w:rPr>
                <w:rFonts w:cstheme="minorHAnsi"/>
                <w:sz w:val="24"/>
                <w:szCs w:val="24"/>
              </w:rPr>
              <w:t xml:space="preserve"> </w:t>
            </w:r>
            <w:r w:rsidRPr="0043547B">
              <w:rPr>
                <w:rFonts w:cstheme="minorHAnsi"/>
                <w:sz w:val="24"/>
                <w:szCs w:val="24"/>
              </w:rPr>
              <w:t>température ambiante. Les fixations peuvent ne pas conserver les caractéristiques mécaniques et physiques spécifiées à des températures élevées (voir Annexe B) et/ou basses.</w:t>
            </w:r>
          </w:p>
          <w:p w:rsidR="00045F91" w:rsidRPr="00B111BE" w:rsidRDefault="000A7B29" w:rsidP="00B111BE">
            <w:pPr>
              <w:spacing w:after="0" w:line="240" w:lineRule="auto"/>
              <w:jc w:val="both"/>
              <w:rPr>
                <w:rFonts w:cstheme="minorHAnsi"/>
                <w:i/>
                <w:iCs/>
              </w:rPr>
            </w:pPr>
            <w:r w:rsidRPr="00B111BE">
              <w:rPr>
                <w:rFonts w:cstheme="minorHAnsi"/>
                <w:b/>
                <w:bCs/>
                <w:i/>
                <w:iCs/>
              </w:rPr>
              <w:t>NOTE 1</w:t>
            </w:r>
            <w:r w:rsidR="00DA5AD2" w:rsidRPr="00B111BE">
              <w:rPr>
                <w:rFonts w:cstheme="minorHAnsi"/>
                <w:b/>
                <w:bCs/>
                <w:i/>
                <w:iCs/>
              </w:rPr>
              <w:t> :</w:t>
            </w:r>
            <w:r w:rsidR="00DA5AD2" w:rsidRPr="00B111BE">
              <w:rPr>
                <w:rFonts w:cstheme="minorHAnsi"/>
                <w:i/>
                <w:iCs/>
              </w:rPr>
              <w:t xml:space="preserve"> </w:t>
            </w:r>
            <w:r w:rsidRPr="00B111BE">
              <w:rPr>
                <w:rFonts w:cstheme="minorHAnsi"/>
                <w:i/>
                <w:iCs/>
              </w:rPr>
              <w:t>Les fixations conformes aux exigences de la présente partie de l'ISO 898 sont utilisées pour des applications dans la plage de températures de −50 °C à +150 °C. Il est conseillé aux utilisateurs de consulter un métallurgiste expérimenté en fixations pour une utilisation en dehors de cette plage de −50 °C à +150 °C et au-delà jusqu’à une température maximale de +300 °C, afin de déterminer les choix appropriés pour une application donnée.</w:t>
            </w:r>
          </w:p>
          <w:p w:rsidR="00045F91" w:rsidRPr="0043547B" w:rsidRDefault="000A7B29" w:rsidP="00045F91">
            <w:pPr>
              <w:spacing w:after="0" w:line="240" w:lineRule="auto"/>
              <w:jc w:val="both"/>
              <w:rPr>
                <w:rFonts w:cstheme="minorHAnsi"/>
                <w:sz w:val="24"/>
                <w:szCs w:val="24"/>
              </w:rPr>
            </w:pPr>
            <w:r w:rsidRPr="00B111BE">
              <w:rPr>
                <w:rFonts w:cstheme="minorHAnsi"/>
                <w:b/>
                <w:bCs/>
                <w:i/>
                <w:iCs/>
              </w:rPr>
              <w:t>NOTE 2</w:t>
            </w:r>
            <w:r w:rsidR="00DA5AD2" w:rsidRPr="00B111BE">
              <w:rPr>
                <w:rFonts w:cstheme="minorHAnsi"/>
                <w:b/>
                <w:bCs/>
                <w:i/>
                <w:iCs/>
              </w:rPr>
              <w:t> :</w:t>
            </w:r>
            <w:r w:rsidR="00DA5AD2" w:rsidRPr="00B111BE">
              <w:rPr>
                <w:rFonts w:cstheme="minorHAnsi"/>
                <w:i/>
                <w:iCs/>
              </w:rPr>
              <w:t xml:space="preserve"> </w:t>
            </w:r>
            <w:r w:rsidRPr="00B111BE">
              <w:rPr>
                <w:rFonts w:cstheme="minorHAnsi"/>
                <w:i/>
                <w:iCs/>
              </w:rPr>
              <w:t>Des informations relatives à la sélection et à l'utilisation des aciers à basses et à hautes températures figurent par exemple dans l'EN 10269, l'ASTM F2281 et l'ASTM A320/A320M.</w:t>
            </w:r>
            <w:r w:rsidRPr="0043547B">
              <w:rPr>
                <w:rFonts w:cstheme="minorHAnsi"/>
                <w:i/>
                <w:iCs/>
                <w:sz w:val="24"/>
                <w:szCs w:val="24"/>
              </w:rPr>
              <w:br/>
            </w:r>
            <w:r w:rsidRPr="0043547B">
              <w:rPr>
                <w:rFonts w:cstheme="minorHAnsi"/>
                <w:sz w:val="24"/>
                <w:szCs w:val="24"/>
              </w:rPr>
              <w:t>Certaines vis peuvent ne pas satisfaire aux exigences de résistance à la traction ou à la torsion de la présente partie de l'ISO 898, en raison de la géométrie de leur tête dont la section cisaillée dans la tête est inférieure à la section résistante dans le filetage. Cela concerne les vis à tête basse ou réduite ou fraisée (voir 8.2).</w:t>
            </w:r>
          </w:p>
          <w:p w:rsidR="00045F91" w:rsidRPr="0043547B" w:rsidRDefault="000A7B29" w:rsidP="00045F91">
            <w:pPr>
              <w:spacing w:after="0" w:line="240" w:lineRule="auto"/>
              <w:jc w:val="both"/>
              <w:rPr>
                <w:rFonts w:cstheme="minorHAnsi"/>
                <w:sz w:val="24"/>
                <w:szCs w:val="24"/>
              </w:rPr>
            </w:pPr>
            <w:r w:rsidRPr="0043547B">
              <w:rPr>
                <w:rFonts w:cstheme="minorHAnsi"/>
                <w:sz w:val="24"/>
                <w:szCs w:val="24"/>
              </w:rPr>
              <w:t xml:space="preserve">La présente partie de l'ISO 898 s'applique aux vis, goujons et tiges filetées </w:t>
            </w:r>
            <w:r w:rsidRPr="0043547B">
              <w:rPr>
                <w:rFonts w:ascii="Cambria Math" w:hAnsi="Cambria Math" w:cs="Cambria Math"/>
                <w:sz w:val="24"/>
                <w:szCs w:val="24"/>
              </w:rPr>
              <w:t>⎯</w:t>
            </w:r>
            <w:r w:rsidRPr="0043547B">
              <w:rPr>
                <w:rFonts w:cstheme="minorHAnsi"/>
                <w:sz w:val="24"/>
                <w:szCs w:val="24"/>
              </w:rPr>
              <w:t xml:space="preserve"> en acier au carbone ou en acier allié</w:t>
            </w:r>
            <w:r w:rsidR="00045F91" w:rsidRPr="0043547B">
              <w:rPr>
                <w:rFonts w:cstheme="minorHAnsi"/>
                <w:sz w:val="24"/>
                <w:szCs w:val="24"/>
              </w:rPr>
              <w:t>.</w:t>
            </w:r>
          </w:p>
          <w:p w:rsidR="00045F91" w:rsidRPr="0043547B" w:rsidRDefault="000A7B29" w:rsidP="00045F91">
            <w:pPr>
              <w:spacing w:after="0" w:line="240" w:lineRule="auto"/>
              <w:rPr>
                <w:rFonts w:cstheme="minorHAnsi"/>
                <w:sz w:val="24"/>
                <w:szCs w:val="24"/>
              </w:rPr>
            </w:pPr>
            <w:r w:rsidRPr="0043547B">
              <w:rPr>
                <w:rFonts w:ascii="Cambria Math" w:hAnsi="Cambria Math" w:cs="Cambria Math"/>
                <w:sz w:val="24"/>
                <w:szCs w:val="24"/>
              </w:rPr>
              <w:t>⎯</w:t>
            </w:r>
            <w:r w:rsidRPr="0043547B">
              <w:rPr>
                <w:rFonts w:cstheme="minorHAnsi"/>
                <w:sz w:val="24"/>
                <w:szCs w:val="24"/>
              </w:rPr>
              <w:t xml:space="preserve"> à filetage métrique ISO triangulaire conforme à l'ISO 68-1,</w:t>
            </w:r>
            <w:r w:rsidRPr="0043547B">
              <w:rPr>
                <w:rFonts w:cstheme="minorHAnsi"/>
                <w:sz w:val="24"/>
                <w:szCs w:val="24"/>
              </w:rPr>
              <w:br/>
            </w:r>
            <w:r w:rsidRPr="0043547B">
              <w:rPr>
                <w:rFonts w:ascii="Cambria Math" w:hAnsi="Cambria Math" w:cs="Cambria Math"/>
                <w:sz w:val="24"/>
                <w:szCs w:val="24"/>
              </w:rPr>
              <w:t>⎯</w:t>
            </w:r>
            <w:r w:rsidRPr="0043547B">
              <w:rPr>
                <w:rFonts w:cstheme="minorHAnsi"/>
                <w:sz w:val="24"/>
                <w:szCs w:val="24"/>
              </w:rPr>
              <w:t xml:space="preserve"> de filetage M1,6 à M39 pour les pas gros, et de filetage M8×1 à M39×3 pour les pas fins,</w:t>
            </w:r>
            <w:r w:rsidRPr="0043547B">
              <w:rPr>
                <w:rFonts w:cstheme="minorHAnsi"/>
                <w:sz w:val="24"/>
                <w:szCs w:val="24"/>
              </w:rPr>
              <w:br/>
            </w:r>
            <w:r w:rsidRPr="0043547B">
              <w:rPr>
                <w:rFonts w:ascii="Cambria Math" w:hAnsi="Cambria Math" w:cs="Cambria Math"/>
                <w:sz w:val="24"/>
                <w:szCs w:val="24"/>
              </w:rPr>
              <w:t>⎯</w:t>
            </w:r>
            <w:r w:rsidRPr="0043547B">
              <w:rPr>
                <w:rFonts w:cstheme="minorHAnsi"/>
                <w:sz w:val="24"/>
                <w:szCs w:val="24"/>
              </w:rPr>
              <w:t xml:space="preserve"> de combinaisons diamètre/pas conformes à l'ISO 261 et à l'ISO 262, et</w:t>
            </w:r>
            <w:r w:rsidRPr="0043547B">
              <w:rPr>
                <w:rFonts w:cstheme="minorHAnsi"/>
                <w:sz w:val="24"/>
                <w:szCs w:val="24"/>
              </w:rPr>
              <w:br/>
            </w:r>
            <w:r w:rsidRPr="0043547B">
              <w:rPr>
                <w:rFonts w:ascii="Cambria Math" w:hAnsi="Cambria Math" w:cs="Cambria Math"/>
                <w:sz w:val="24"/>
                <w:szCs w:val="24"/>
              </w:rPr>
              <w:t>⎯</w:t>
            </w:r>
            <w:r w:rsidRPr="0043547B">
              <w:rPr>
                <w:rFonts w:cstheme="minorHAnsi"/>
                <w:sz w:val="24"/>
                <w:szCs w:val="24"/>
              </w:rPr>
              <w:t xml:space="preserve"> de tolérance de filetage conforme à l'ISO 965-1, l'ISO 965-2 et l'ISO 965-4.</w:t>
            </w:r>
            <w:r w:rsidRPr="0043547B">
              <w:rPr>
                <w:rFonts w:cstheme="minorHAnsi"/>
                <w:sz w:val="24"/>
                <w:szCs w:val="24"/>
              </w:rPr>
              <w:br/>
              <w:t>Elle ne s'applique pas aux vis sans tête et fixations filetées similaires non soumises à des contraintes de traction (voir l'ISO 898-5).</w:t>
            </w:r>
          </w:p>
          <w:p w:rsidR="000A7B29" w:rsidRPr="0043547B" w:rsidRDefault="000A7B29" w:rsidP="00045F91">
            <w:pPr>
              <w:spacing w:after="0" w:line="240" w:lineRule="auto"/>
              <w:rPr>
                <w:rFonts w:cstheme="minorHAnsi"/>
                <w:sz w:val="24"/>
                <w:szCs w:val="24"/>
              </w:rPr>
            </w:pPr>
            <w:r w:rsidRPr="0043547B">
              <w:rPr>
                <w:rFonts w:cstheme="minorHAnsi"/>
                <w:sz w:val="24"/>
                <w:szCs w:val="24"/>
              </w:rPr>
              <w:t>Elle ne spécifie aucune exigence pour des caractéristiques telles que :</w:t>
            </w:r>
            <w:r w:rsidRPr="0043547B">
              <w:rPr>
                <w:rFonts w:cstheme="minorHAnsi"/>
                <w:sz w:val="24"/>
                <w:szCs w:val="24"/>
              </w:rPr>
              <w:br/>
            </w:r>
            <w:r w:rsidRPr="0043547B">
              <w:rPr>
                <w:rFonts w:ascii="Cambria Math" w:hAnsi="Cambria Math" w:cs="Cambria Math"/>
                <w:sz w:val="24"/>
                <w:szCs w:val="24"/>
              </w:rPr>
              <w:t>⎯</w:t>
            </w:r>
            <w:r w:rsidRPr="0043547B">
              <w:rPr>
                <w:rFonts w:cstheme="minorHAnsi"/>
                <w:sz w:val="24"/>
                <w:szCs w:val="24"/>
              </w:rPr>
              <w:t xml:space="preserve"> la soudabilité,</w:t>
            </w:r>
            <w:r w:rsidRPr="0043547B">
              <w:rPr>
                <w:rFonts w:cstheme="minorHAnsi"/>
                <w:sz w:val="24"/>
                <w:szCs w:val="24"/>
              </w:rPr>
              <w:br/>
            </w:r>
            <w:r w:rsidRPr="0043547B">
              <w:rPr>
                <w:rFonts w:ascii="Cambria Math" w:hAnsi="Cambria Math" w:cs="Cambria Math"/>
                <w:sz w:val="24"/>
                <w:szCs w:val="24"/>
              </w:rPr>
              <w:t>⎯</w:t>
            </w:r>
            <w:r w:rsidRPr="0043547B">
              <w:rPr>
                <w:rFonts w:cstheme="minorHAnsi"/>
                <w:sz w:val="24"/>
                <w:szCs w:val="24"/>
              </w:rPr>
              <w:t xml:space="preserve"> la résistance à la corrosion,                                                                                                                                                                                                                                                                                                                                                                                            </w:t>
            </w:r>
            <w:r w:rsidRPr="0043547B">
              <w:rPr>
                <w:rFonts w:ascii="Cambria Math" w:hAnsi="Cambria Math" w:cs="Cambria Math"/>
                <w:sz w:val="24"/>
                <w:szCs w:val="24"/>
              </w:rPr>
              <w:t>⎯</w:t>
            </w:r>
            <w:r w:rsidRPr="0043547B">
              <w:rPr>
                <w:rFonts w:cstheme="minorHAnsi"/>
                <w:sz w:val="24"/>
                <w:szCs w:val="24"/>
              </w:rPr>
              <w:t xml:space="preserve"> la résistance au cisaillement,</w:t>
            </w:r>
            <w:r w:rsidRPr="0043547B">
              <w:rPr>
                <w:rFonts w:cstheme="minorHAnsi"/>
                <w:sz w:val="24"/>
                <w:szCs w:val="24"/>
              </w:rPr>
              <w:br/>
            </w:r>
            <w:r w:rsidRPr="0043547B">
              <w:rPr>
                <w:rFonts w:ascii="Cambria Math" w:hAnsi="Cambria Math" w:cs="Cambria Math"/>
                <w:sz w:val="24"/>
                <w:szCs w:val="24"/>
              </w:rPr>
              <w:t>⎯</w:t>
            </w:r>
            <w:r w:rsidRPr="0043547B">
              <w:rPr>
                <w:rFonts w:cstheme="minorHAnsi"/>
                <w:sz w:val="24"/>
                <w:szCs w:val="24"/>
              </w:rPr>
              <w:t xml:space="preserve"> les caractéristiques fonctionnelles de couple/tension (pour la méthode </w:t>
            </w:r>
            <w:r w:rsidRPr="0043547B">
              <w:rPr>
                <w:rFonts w:cstheme="minorHAnsi"/>
                <w:sz w:val="24"/>
                <w:szCs w:val="24"/>
              </w:rPr>
              <w:lastRenderedPageBreak/>
              <w:t>d’essai, voir l’ISO 16047), ou</w:t>
            </w:r>
            <w:r w:rsidRPr="0043547B">
              <w:rPr>
                <w:rFonts w:cstheme="minorHAnsi"/>
                <w:sz w:val="24"/>
                <w:szCs w:val="24"/>
              </w:rPr>
              <w:br/>
            </w:r>
            <w:r w:rsidRPr="0043547B">
              <w:rPr>
                <w:rFonts w:ascii="Cambria Math" w:hAnsi="Cambria Math" w:cs="Cambria Math"/>
                <w:sz w:val="24"/>
                <w:szCs w:val="24"/>
              </w:rPr>
              <w:t>⎯</w:t>
            </w:r>
            <w:r w:rsidRPr="0043547B">
              <w:rPr>
                <w:rFonts w:cstheme="minorHAnsi"/>
                <w:sz w:val="24"/>
                <w:szCs w:val="24"/>
              </w:rPr>
              <w:t xml:space="preserve"> la résistance à la fatigue.</w:t>
            </w:r>
          </w:p>
        </w:tc>
      </w:tr>
      <w:tr w:rsidR="0043547B" w:rsidRPr="0043547B" w:rsidTr="00056AEE">
        <w:trPr>
          <w:trHeight w:val="330"/>
          <w:jc w:val="center"/>
        </w:trPr>
        <w:tc>
          <w:tcPr>
            <w:tcW w:w="1838" w:type="dxa"/>
            <w:tcBorders>
              <w:top w:val="single" w:sz="18" w:space="0" w:color="auto"/>
              <w:left w:val="single" w:sz="18" w:space="0" w:color="auto"/>
              <w:bottom w:val="single" w:sz="18" w:space="0" w:color="auto"/>
              <w:right w:val="single" w:sz="4" w:space="0" w:color="auto"/>
            </w:tcBorders>
            <w:shd w:val="clear" w:color="auto" w:fill="B0CA7C"/>
            <w:vAlign w:val="center"/>
          </w:tcPr>
          <w:p w:rsidR="000A7B29" w:rsidRPr="0043547B" w:rsidRDefault="000A7B29" w:rsidP="00045F91">
            <w:pPr>
              <w:spacing w:after="0" w:line="240" w:lineRule="auto"/>
              <w:jc w:val="center"/>
              <w:rPr>
                <w:rFonts w:cstheme="minorHAnsi"/>
                <w:b/>
                <w:bCs/>
                <w:sz w:val="24"/>
                <w:szCs w:val="24"/>
              </w:rPr>
            </w:pPr>
            <w:r w:rsidRPr="0043547B">
              <w:rPr>
                <w:rFonts w:cstheme="minorHAnsi"/>
                <w:b/>
                <w:bCs/>
                <w:sz w:val="24"/>
                <w:szCs w:val="24"/>
              </w:rPr>
              <w:lastRenderedPageBreak/>
              <w:t>Code</w:t>
            </w:r>
            <w:r w:rsidR="00045F91" w:rsidRPr="0043547B">
              <w:rPr>
                <w:rFonts w:cstheme="minorHAnsi"/>
                <w:b/>
                <w:bCs/>
                <w:sz w:val="24"/>
                <w:szCs w:val="24"/>
              </w:rPr>
              <w:t xml:space="preserve"> </w:t>
            </w:r>
            <w:r w:rsidRPr="0043547B">
              <w:rPr>
                <w:rFonts w:cstheme="minorHAnsi"/>
                <w:b/>
                <w:bCs/>
                <w:sz w:val="24"/>
                <w:szCs w:val="24"/>
              </w:rPr>
              <w:t>:</w:t>
            </w:r>
          </w:p>
        </w:tc>
        <w:tc>
          <w:tcPr>
            <w:tcW w:w="7938" w:type="dxa"/>
            <w:tcBorders>
              <w:top w:val="single" w:sz="18" w:space="0" w:color="auto"/>
              <w:left w:val="single" w:sz="4" w:space="0" w:color="auto"/>
              <w:bottom w:val="single" w:sz="18" w:space="0" w:color="auto"/>
              <w:right w:val="single" w:sz="18" w:space="0" w:color="auto"/>
            </w:tcBorders>
            <w:shd w:val="clear" w:color="auto" w:fill="B0CA7C"/>
            <w:vAlign w:val="center"/>
          </w:tcPr>
          <w:p w:rsidR="000A7B29" w:rsidRPr="0043547B" w:rsidRDefault="000A7B29" w:rsidP="00045F91">
            <w:pPr>
              <w:spacing w:after="0" w:line="240" w:lineRule="auto"/>
              <w:jc w:val="center"/>
              <w:rPr>
                <w:rFonts w:cstheme="minorHAnsi"/>
                <w:b/>
                <w:bCs/>
                <w:sz w:val="24"/>
                <w:szCs w:val="24"/>
              </w:rPr>
            </w:pPr>
            <w:r w:rsidRPr="0043547B">
              <w:rPr>
                <w:rFonts w:cstheme="minorHAnsi"/>
                <w:b/>
                <w:bCs/>
                <w:sz w:val="24"/>
                <w:szCs w:val="24"/>
              </w:rPr>
              <w:t>NM ISO 4016</w:t>
            </w:r>
          </w:p>
        </w:tc>
      </w:tr>
      <w:tr w:rsidR="0043547B" w:rsidRPr="0043547B" w:rsidTr="00056AEE">
        <w:trPr>
          <w:trHeight w:val="377"/>
          <w:jc w:val="center"/>
        </w:trPr>
        <w:tc>
          <w:tcPr>
            <w:tcW w:w="1838" w:type="dxa"/>
            <w:tcBorders>
              <w:top w:val="single" w:sz="18" w:space="0" w:color="auto"/>
              <w:left w:val="single" w:sz="18" w:space="0" w:color="auto"/>
              <w:bottom w:val="single" w:sz="6" w:space="0" w:color="auto"/>
              <w:right w:val="single" w:sz="4" w:space="0" w:color="auto"/>
            </w:tcBorders>
            <w:shd w:val="clear" w:color="auto" w:fill="FFFF99"/>
            <w:vAlign w:val="center"/>
          </w:tcPr>
          <w:p w:rsidR="000A7B29" w:rsidRPr="0043547B" w:rsidRDefault="000A7B29" w:rsidP="00045F91">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6" w:space="0" w:color="auto"/>
              <w:right w:val="single" w:sz="18" w:space="0" w:color="auto"/>
            </w:tcBorders>
            <w:shd w:val="clear" w:color="auto" w:fill="FFFF99"/>
            <w:vAlign w:val="center"/>
          </w:tcPr>
          <w:p w:rsidR="000A7B29" w:rsidRPr="0043547B" w:rsidRDefault="000A7B29" w:rsidP="00045F91">
            <w:pPr>
              <w:spacing w:after="0" w:line="240" w:lineRule="auto"/>
              <w:jc w:val="center"/>
              <w:rPr>
                <w:rFonts w:cstheme="minorHAnsi"/>
                <w:b/>
                <w:bCs/>
                <w:sz w:val="24"/>
                <w:szCs w:val="24"/>
              </w:rPr>
            </w:pPr>
            <w:r w:rsidRPr="0043547B">
              <w:rPr>
                <w:rFonts w:cstheme="minorHAnsi"/>
                <w:b/>
                <w:bCs/>
                <w:sz w:val="24"/>
                <w:szCs w:val="24"/>
              </w:rPr>
              <w:t>ISO 4016</w:t>
            </w:r>
          </w:p>
        </w:tc>
      </w:tr>
      <w:tr w:rsidR="0043547B" w:rsidRPr="0043547B" w:rsidTr="00056AEE">
        <w:trPr>
          <w:trHeight w:val="494"/>
          <w:jc w:val="center"/>
        </w:trPr>
        <w:tc>
          <w:tcPr>
            <w:tcW w:w="1838" w:type="dxa"/>
            <w:tcBorders>
              <w:top w:val="single" w:sz="6" w:space="0" w:color="auto"/>
              <w:left w:val="single" w:sz="18" w:space="0" w:color="auto"/>
              <w:bottom w:val="single" w:sz="6" w:space="0" w:color="auto"/>
              <w:right w:val="single" w:sz="4" w:space="0" w:color="auto"/>
            </w:tcBorders>
            <w:shd w:val="clear" w:color="auto" w:fill="95B3D7" w:themeFill="accent1" w:themeFillTint="99"/>
            <w:vAlign w:val="center"/>
          </w:tcPr>
          <w:p w:rsidR="000A7B29" w:rsidRPr="0043547B" w:rsidRDefault="000A7B29" w:rsidP="00045F91">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6" w:space="0" w:color="auto"/>
              <w:left w:val="single" w:sz="4" w:space="0" w:color="auto"/>
              <w:bottom w:val="single" w:sz="6" w:space="0" w:color="auto"/>
              <w:right w:val="single" w:sz="18" w:space="0" w:color="auto"/>
            </w:tcBorders>
            <w:shd w:val="clear" w:color="auto" w:fill="auto"/>
            <w:vAlign w:val="bottom"/>
          </w:tcPr>
          <w:p w:rsidR="000A7B29" w:rsidRPr="0043547B" w:rsidRDefault="000A7B29" w:rsidP="00045F91">
            <w:pPr>
              <w:spacing w:after="0" w:line="240" w:lineRule="auto"/>
              <w:rPr>
                <w:rFonts w:cstheme="minorHAnsi"/>
                <w:sz w:val="24"/>
                <w:szCs w:val="24"/>
              </w:rPr>
            </w:pPr>
            <w:r w:rsidRPr="0043547B">
              <w:rPr>
                <w:rFonts w:cstheme="minorHAnsi"/>
                <w:sz w:val="24"/>
                <w:szCs w:val="24"/>
              </w:rPr>
              <w:t xml:space="preserve">Vis à tête hexagonale partiellement filetées - Grade C ; (IC 02.2.417) </w:t>
            </w:r>
          </w:p>
        </w:tc>
      </w:tr>
      <w:tr w:rsidR="0043547B" w:rsidRPr="0043547B" w:rsidTr="00056AEE">
        <w:trPr>
          <w:trHeight w:val="1469"/>
          <w:jc w:val="center"/>
        </w:trPr>
        <w:tc>
          <w:tcPr>
            <w:tcW w:w="1838" w:type="dxa"/>
            <w:tcBorders>
              <w:top w:val="single" w:sz="6" w:space="0" w:color="auto"/>
              <w:left w:val="single" w:sz="18" w:space="0" w:color="auto"/>
              <w:bottom w:val="single" w:sz="18" w:space="0" w:color="auto"/>
              <w:right w:val="single" w:sz="4" w:space="0" w:color="auto"/>
            </w:tcBorders>
            <w:shd w:val="clear" w:color="000000" w:fill="D9D9D9"/>
            <w:vAlign w:val="center"/>
          </w:tcPr>
          <w:p w:rsidR="000A7B29" w:rsidRPr="0043547B" w:rsidRDefault="000A7B29" w:rsidP="00045F91">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6" w:space="0" w:color="auto"/>
              <w:left w:val="single" w:sz="4" w:space="0" w:color="auto"/>
              <w:bottom w:val="single" w:sz="18" w:space="0" w:color="auto"/>
              <w:right w:val="single" w:sz="18" w:space="0" w:color="auto"/>
            </w:tcBorders>
            <w:shd w:val="clear" w:color="auto" w:fill="auto"/>
            <w:vAlign w:val="bottom"/>
          </w:tcPr>
          <w:p w:rsidR="00536A01" w:rsidRPr="0043547B" w:rsidRDefault="000A7B29" w:rsidP="00536A01">
            <w:pPr>
              <w:spacing w:after="0" w:line="240" w:lineRule="auto"/>
              <w:jc w:val="both"/>
              <w:rPr>
                <w:rFonts w:cstheme="minorHAnsi"/>
                <w:sz w:val="24"/>
                <w:szCs w:val="24"/>
              </w:rPr>
            </w:pPr>
            <w:r w:rsidRPr="0043547B">
              <w:rPr>
                <w:rFonts w:cstheme="minorHAnsi"/>
                <w:sz w:val="24"/>
                <w:szCs w:val="24"/>
              </w:rPr>
              <w:t>La présente Norme internationale spécifie les caractéristiques des vis à tête hexagonale partiellement filetées de diamètre de filetage M5 à M64 inclus, de grade C.</w:t>
            </w:r>
          </w:p>
          <w:p w:rsidR="000A7B29" w:rsidRPr="0043547B" w:rsidRDefault="000A7B29" w:rsidP="00536A01">
            <w:pPr>
              <w:spacing w:after="0" w:line="240" w:lineRule="auto"/>
              <w:jc w:val="both"/>
              <w:rPr>
                <w:rFonts w:cstheme="minorHAnsi"/>
                <w:sz w:val="24"/>
                <w:szCs w:val="24"/>
              </w:rPr>
            </w:pPr>
            <w:r w:rsidRPr="0043547B">
              <w:rPr>
                <w:rFonts w:cstheme="minorHAnsi"/>
                <w:sz w:val="24"/>
                <w:szCs w:val="24"/>
              </w:rPr>
              <w:t>Si, dans des cas particuliers, des spécifications autres que celles figurant dans la présente Norme internationale sont requises, elles peuvent être prises dans les Normes internationales existantes, par</w:t>
            </w:r>
            <w:r w:rsidR="00536A01" w:rsidRPr="0043547B">
              <w:rPr>
                <w:rFonts w:cstheme="minorHAnsi"/>
                <w:sz w:val="24"/>
                <w:szCs w:val="24"/>
              </w:rPr>
              <w:t xml:space="preserve"> </w:t>
            </w:r>
            <w:r w:rsidRPr="0043547B">
              <w:rPr>
                <w:rFonts w:cstheme="minorHAnsi"/>
                <w:sz w:val="24"/>
                <w:szCs w:val="24"/>
              </w:rPr>
              <w:t>exemple l'ISO 724, l'ISO 888, l'ISO 898-1, l'ISO 965-1 et l'ISO 4759-1.</w:t>
            </w:r>
          </w:p>
        </w:tc>
      </w:tr>
      <w:tr w:rsidR="0043547B" w:rsidRPr="0043547B" w:rsidTr="00056AEE">
        <w:trPr>
          <w:trHeight w:val="375"/>
          <w:jc w:val="center"/>
        </w:trPr>
        <w:tc>
          <w:tcPr>
            <w:tcW w:w="1838" w:type="dxa"/>
            <w:tcBorders>
              <w:top w:val="nil"/>
              <w:left w:val="single" w:sz="18" w:space="0" w:color="auto"/>
              <w:bottom w:val="single" w:sz="18" w:space="0" w:color="auto"/>
              <w:right w:val="single" w:sz="4" w:space="0" w:color="auto"/>
            </w:tcBorders>
            <w:shd w:val="clear" w:color="auto" w:fill="B0CA7C"/>
            <w:vAlign w:val="center"/>
          </w:tcPr>
          <w:p w:rsidR="000A7B29" w:rsidRPr="0043547B" w:rsidRDefault="000A7B29" w:rsidP="00045F91">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nil"/>
              <w:left w:val="single" w:sz="4" w:space="0" w:color="auto"/>
              <w:bottom w:val="single" w:sz="18" w:space="0" w:color="auto"/>
              <w:right w:val="single" w:sz="18" w:space="0" w:color="auto"/>
            </w:tcBorders>
            <w:shd w:val="clear" w:color="auto" w:fill="B0CA7C"/>
            <w:vAlign w:val="center"/>
          </w:tcPr>
          <w:p w:rsidR="000A7B29" w:rsidRPr="0043547B" w:rsidRDefault="000A7B29" w:rsidP="00045F91">
            <w:pPr>
              <w:spacing w:after="0" w:line="240" w:lineRule="auto"/>
              <w:jc w:val="center"/>
              <w:rPr>
                <w:rFonts w:cstheme="minorHAnsi"/>
                <w:b/>
                <w:bCs/>
                <w:sz w:val="24"/>
                <w:szCs w:val="24"/>
              </w:rPr>
            </w:pPr>
            <w:r w:rsidRPr="0043547B">
              <w:rPr>
                <w:rFonts w:cstheme="minorHAnsi"/>
                <w:b/>
                <w:bCs/>
                <w:sz w:val="24"/>
                <w:szCs w:val="24"/>
              </w:rPr>
              <w:t>NM ISO 2320</w:t>
            </w:r>
          </w:p>
        </w:tc>
      </w:tr>
      <w:tr w:rsidR="0043547B" w:rsidRPr="0043547B" w:rsidTr="00056AEE">
        <w:trPr>
          <w:trHeight w:val="384"/>
          <w:jc w:val="center"/>
        </w:trPr>
        <w:tc>
          <w:tcPr>
            <w:tcW w:w="1838" w:type="dxa"/>
            <w:tcBorders>
              <w:top w:val="single" w:sz="18" w:space="0" w:color="auto"/>
              <w:left w:val="single" w:sz="18" w:space="0" w:color="auto"/>
              <w:bottom w:val="single" w:sz="6" w:space="0" w:color="auto"/>
              <w:right w:val="single" w:sz="4" w:space="0" w:color="auto"/>
            </w:tcBorders>
            <w:shd w:val="clear" w:color="auto" w:fill="FFFF99"/>
            <w:vAlign w:val="center"/>
          </w:tcPr>
          <w:p w:rsidR="000A7B29" w:rsidRPr="0043547B" w:rsidRDefault="000A7B29" w:rsidP="00045F91">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6" w:space="0" w:color="auto"/>
              <w:right w:val="single" w:sz="18" w:space="0" w:color="auto"/>
            </w:tcBorders>
            <w:shd w:val="clear" w:color="auto" w:fill="FFFF99"/>
            <w:vAlign w:val="center"/>
          </w:tcPr>
          <w:p w:rsidR="000A7B29" w:rsidRPr="0043547B" w:rsidRDefault="000A7B29" w:rsidP="00045F91">
            <w:pPr>
              <w:spacing w:after="0" w:line="240" w:lineRule="auto"/>
              <w:jc w:val="center"/>
              <w:rPr>
                <w:rFonts w:cstheme="minorHAnsi"/>
                <w:b/>
                <w:bCs/>
                <w:sz w:val="24"/>
                <w:szCs w:val="24"/>
              </w:rPr>
            </w:pPr>
            <w:r w:rsidRPr="0043547B">
              <w:rPr>
                <w:rFonts w:cstheme="minorHAnsi"/>
                <w:b/>
                <w:bCs/>
                <w:sz w:val="24"/>
                <w:szCs w:val="24"/>
              </w:rPr>
              <w:t>ISO 2320</w:t>
            </w:r>
          </w:p>
        </w:tc>
      </w:tr>
      <w:tr w:rsidR="0043547B" w:rsidRPr="0043547B" w:rsidTr="00056AEE">
        <w:trPr>
          <w:trHeight w:val="377"/>
          <w:jc w:val="center"/>
        </w:trPr>
        <w:tc>
          <w:tcPr>
            <w:tcW w:w="1838" w:type="dxa"/>
            <w:tcBorders>
              <w:top w:val="single" w:sz="6" w:space="0" w:color="auto"/>
              <w:left w:val="single" w:sz="18" w:space="0" w:color="auto"/>
              <w:bottom w:val="single" w:sz="6" w:space="0" w:color="auto"/>
              <w:right w:val="single" w:sz="4" w:space="0" w:color="auto"/>
            </w:tcBorders>
            <w:shd w:val="clear" w:color="auto" w:fill="95B3D7" w:themeFill="accent1" w:themeFillTint="99"/>
            <w:vAlign w:val="center"/>
          </w:tcPr>
          <w:p w:rsidR="000A7B29" w:rsidRPr="0043547B" w:rsidRDefault="000A7B29" w:rsidP="00045F91">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6" w:space="0" w:color="auto"/>
              <w:left w:val="single" w:sz="4" w:space="0" w:color="auto"/>
              <w:bottom w:val="single" w:sz="6" w:space="0" w:color="auto"/>
              <w:right w:val="single" w:sz="18" w:space="0" w:color="auto"/>
            </w:tcBorders>
            <w:shd w:val="clear" w:color="auto" w:fill="auto"/>
            <w:vAlign w:val="bottom"/>
          </w:tcPr>
          <w:p w:rsidR="000A7B29" w:rsidRPr="0043547B" w:rsidRDefault="000A7B29" w:rsidP="00045F91">
            <w:pPr>
              <w:spacing w:after="0" w:line="240" w:lineRule="auto"/>
              <w:rPr>
                <w:rFonts w:cstheme="minorHAnsi"/>
                <w:sz w:val="24"/>
                <w:szCs w:val="24"/>
              </w:rPr>
            </w:pPr>
            <w:r w:rsidRPr="0043547B">
              <w:rPr>
                <w:rFonts w:cstheme="minorHAnsi"/>
                <w:sz w:val="24"/>
                <w:szCs w:val="24"/>
              </w:rPr>
              <w:t xml:space="preserve">Fixations - Écrous autofreinés en acier - Caractéristiques fonctionnelles ; (IC 02.2.098) </w:t>
            </w:r>
          </w:p>
        </w:tc>
      </w:tr>
      <w:tr w:rsidR="0043547B" w:rsidRPr="0043547B" w:rsidTr="00056AEE">
        <w:trPr>
          <w:trHeight w:val="1469"/>
          <w:jc w:val="center"/>
        </w:trPr>
        <w:tc>
          <w:tcPr>
            <w:tcW w:w="1838" w:type="dxa"/>
            <w:tcBorders>
              <w:top w:val="single" w:sz="6" w:space="0" w:color="auto"/>
              <w:left w:val="single" w:sz="18" w:space="0" w:color="auto"/>
              <w:bottom w:val="single" w:sz="18" w:space="0" w:color="auto"/>
              <w:right w:val="single" w:sz="4" w:space="0" w:color="auto"/>
            </w:tcBorders>
            <w:shd w:val="clear" w:color="000000" w:fill="D9D9D9"/>
            <w:vAlign w:val="center"/>
          </w:tcPr>
          <w:p w:rsidR="000A7B29" w:rsidRPr="0043547B" w:rsidRDefault="000A7B29" w:rsidP="00045F91">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6" w:space="0" w:color="auto"/>
              <w:left w:val="single" w:sz="4" w:space="0" w:color="auto"/>
              <w:bottom w:val="single" w:sz="18" w:space="0" w:color="auto"/>
              <w:right w:val="single" w:sz="18" w:space="0" w:color="auto"/>
            </w:tcBorders>
            <w:shd w:val="clear" w:color="auto" w:fill="auto"/>
            <w:vAlign w:val="bottom"/>
          </w:tcPr>
          <w:p w:rsidR="00536A01" w:rsidRPr="0043547B" w:rsidRDefault="000A7B29" w:rsidP="00536A01">
            <w:pPr>
              <w:spacing w:after="0" w:line="240" w:lineRule="auto"/>
              <w:jc w:val="both"/>
              <w:rPr>
                <w:rFonts w:cstheme="minorHAnsi"/>
                <w:sz w:val="24"/>
                <w:szCs w:val="24"/>
              </w:rPr>
            </w:pPr>
            <w:r w:rsidRPr="0043547B">
              <w:rPr>
                <w:rFonts w:cstheme="minorHAnsi"/>
                <w:sz w:val="24"/>
                <w:szCs w:val="24"/>
              </w:rPr>
              <w:t>La présente Norme internationale spécifie les caractéristiques fonctionnelles des écrous autofreinés en acier, essayés dans une plage de températures ambiantes de + 10 °C à + 35 °C. Elle comprend un essai</w:t>
            </w:r>
            <w:r w:rsidR="00536A01" w:rsidRPr="0043547B">
              <w:rPr>
                <w:rFonts w:cstheme="minorHAnsi"/>
                <w:sz w:val="24"/>
                <w:szCs w:val="24"/>
              </w:rPr>
              <w:t xml:space="preserve"> </w:t>
            </w:r>
            <w:r w:rsidRPr="0043547B">
              <w:rPr>
                <w:rFonts w:cstheme="minorHAnsi"/>
                <w:sz w:val="24"/>
                <w:szCs w:val="24"/>
              </w:rPr>
              <w:t>unique destiné à déterminer simultanément les caractéristiques d’autofreinage et les caractéristiques couple/tension.</w:t>
            </w:r>
          </w:p>
          <w:p w:rsidR="00536A01" w:rsidRPr="0043547B" w:rsidRDefault="000A7B29" w:rsidP="00536A01">
            <w:pPr>
              <w:spacing w:after="0" w:line="240" w:lineRule="auto"/>
              <w:jc w:val="both"/>
              <w:rPr>
                <w:rFonts w:cstheme="minorHAnsi"/>
                <w:sz w:val="24"/>
                <w:szCs w:val="24"/>
              </w:rPr>
            </w:pPr>
            <w:r w:rsidRPr="0043547B">
              <w:rPr>
                <w:rFonts w:cstheme="minorHAnsi"/>
                <w:sz w:val="24"/>
                <w:szCs w:val="24"/>
              </w:rPr>
              <w:t>Elle s’applique aux écrous autofreinés tout métal et aux écrous autofreinés à anneau non métallique</w:t>
            </w:r>
            <w:r w:rsidR="00536A01" w:rsidRPr="0043547B">
              <w:rPr>
                <w:rFonts w:cstheme="minorHAnsi"/>
                <w:sz w:val="24"/>
                <w:szCs w:val="24"/>
              </w:rPr>
              <w:t xml:space="preserve"> </w:t>
            </w:r>
            <w:r w:rsidRPr="0043547B">
              <w:rPr>
                <w:rFonts w:cstheme="minorHAnsi"/>
                <w:sz w:val="24"/>
                <w:szCs w:val="24"/>
              </w:rPr>
              <w:t>:</w:t>
            </w:r>
          </w:p>
          <w:p w:rsidR="00536A01" w:rsidRPr="0043547B" w:rsidRDefault="000A7B29" w:rsidP="00536A01">
            <w:pPr>
              <w:spacing w:after="0" w:line="240" w:lineRule="auto"/>
              <w:rPr>
                <w:rFonts w:cstheme="minorHAnsi"/>
                <w:sz w:val="24"/>
                <w:szCs w:val="24"/>
              </w:rPr>
            </w:pPr>
            <w:r w:rsidRPr="0043547B">
              <w:rPr>
                <w:rFonts w:cstheme="minorHAnsi"/>
                <w:sz w:val="24"/>
                <w:szCs w:val="24"/>
              </w:rPr>
              <w:t>— à filetage ISO triangulaire conforme à l’ISO 68-1;</w:t>
            </w:r>
            <w:r w:rsidRPr="0043547B">
              <w:rPr>
                <w:rFonts w:cstheme="minorHAnsi"/>
                <w:sz w:val="24"/>
                <w:szCs w:val="24"/>
              </w:rPr>
              <w:br/>
              <w:t>— de combinaison diamètre/pas conforme à l’ISO 261 et l’ISO 262;</w:t>
            </w:r>
            <w:r w:rsidRPr="0043547B">
              <w:rPr>
                <w:rFonts w:cstheme="minorHAnsi"/>
                <w:sz w:val="24"/>
                <w:szCs w:val="24"/>
              </w:rPr>
              <w:br/>
              <w:t>— de diamètres M5 à M39 pour les filetages à pas gros, ou M8x1 à M39x3 pour les filetages à pas fin;</w:t>
            </w:r>
            <w:r w:rsidRPr="0043547B">
              <w:rPr>
                <w:rFonts w:cstheme="minorHAnsi"/>
                <w:sz w:val="24"/>
                <w:szCs w:val="24"/>
              </w:rPr>
              <w:br/>
              <w:t>— ayant des tolérances sur filetage conformes à l’ISO 965-2;</w:t>
            </w:r>
            <w:r w:rsidRPr="0043547B">
              <w:rPr>
                <w:rFonts w:cstheme="minorHAnsi"/>
                <w:sz w:val="24"/>
                <w:szCs w:val="24"/>
              </w:rPr>
              <w:br/>
              <w:t>— de caractéristiques mécaniques conformes à l’ISO 898-2.</w:t>
            </w:r>
            <w:r w:rsidRPr="0043547B">
              <w:rPr>
                <w:rFonts w:cstheme="minorHAnsi"/>
                <w:sz w:val="24"/>
                <w:szCs w:val="24"/>
              </w:rPr>
              <w:br/>
              <w:t xml:space="preserve">Les valeurs de couples d’autofreinage spécifiées dans la présente </w:t>
            </w:r>
            <w:r w:rsidR="00536A01" w:rsidRPr="0043547B">
              <w:rPr>
                <w:rFonts w:cstheme="minorHAnsi"/>
                <w:sz w:val="24"/>
                <w:szCs w:val="24"/>
              </w:rPr>
              <w:t>n</w:t>
            </w:r>
            <w:r w:rsidRPr="0043547B">
              <w:rPr>
                <w:rFonts w:cstheme="minorHAnsi"/>
                <w:sz w:val="24"/>
                <w:szCs w:val="24"/>
              </w:rPr>
              <w:t>orme internationale sont basées sur des conditions d’essai de laboratoire.</w:t>
            </w:r>
          </w:p>
          <w:p w:rsidR="00536A01" w:rsidRPr="00B111BE" w:rsidRDefault="000A7B29" w:rsidP="00536A01">
            <w:pPr>
              <w:spacing w:after="0" w:line="240" w:lineRule="auto"/>
              <w:jc w:val="both"/>
              <w:rPr>
                <w:rFonts w:cstheme="minorHAnsi"/>
                <w:i/>
                <w:iCs/>
              </w:rPr>
            </w:pPr>
            <w:r w:rsidRPr="00B111BE">
              <w:rPr>
                <w:rFonts w:cstheme="minorHAnsi"/>
                <w:b/>
                <w:bCs/>
                <w:i/>
                <w:iCs/>
              </w:rPr>
              <w:t>NOTE 1</w:t>
            </w:r>
            <w:r w:rsidR="00536A01" w:rsidRPr="00B111BE">
              <w:rPr>
                <w:rFonts w:cstheme="minorHAnsi"/>
                <w:b/>
                <w:bCs/>
                <w:i/>
                <w:iCs/>
              </w:rPr>
              <w:t> :</w:t>
            </w:r>
            <w:r w:rsidR="00536A01" w:rsidRPr="00B111BE">
              <w:rPr>
                <w:rFonts w:cstheme="minorHAnsi"/>
                <w:i/>
                <w:iCs/>
              </w:rPr>
              <w:t xml:space="preserve"> </w:t>
            </w:r>
            <w:r w:rsidRPr="00B111BE">
              <w:rPr>
                <w:rFonts w:cstheme="minorHAnsi"/>
                <w:i/>
                <w:iCs/>
              </w:rPr>
              <w:t>Les couples d’autofreinage en conditions réelles d’assemblage peuvent en différer.</w:t>
            </w:r>
            <w:r w:rsidRPr="00B111BE">
              <w:rPr>
                <w:rFonts w:cstheme="minorHAnsi"/>
                <w:i/>
                <w:iCs/>
              </w:rPr>
              <w:br/>
            </w:r>
            <w:r w:rsidRPr="00B111BE">
              <w:rPr>
                <w:rFonts w:cstheme="minorHAnsi"/>
                <w:b/>
                <w:bCs/>
                <w:i/>
                <w:iCs/>
              </w:rPr>
              <w:t>NOTE 2</w:t>
            </w:r>
            <w:r w:rsidR="00536A01" w:rsidRPr="00B111BE">
              <w:rPr>
                <w:rFonts w:cstheme="minorHAnsi"/>
                <w:b/>
                <w:bCs/>
                <w:i/>
                <w:iCs/>
              </w:rPr>
              <w:t> :</w:t>
            </w:r>
            <w:r w:rsidR="00536A01" w:rsidRPr="00B111BE">
              <w:rPr>
                <w:rFonts w:cstheme="minorHAnsi"/>
                <w:i/>
                <w:iCs/>
              </w:rPr>
              <w:t xml:space="preserve"> </w:t>
            </w:r>
            <w:r w:rsidRPr="00B111BE">
              <w:rPr>
                <w:rFonts w:cstheme="minorHAnsi"/>
                <w:i/>
                <w:iCs/>
              </w:rPr>
              <w:t>Les écrous autofreinés tout métal conformes aux exigences de la présente Norme internationale sont utilisés pour des applications de – 50 °C à + 150 °C.</w:t>
            </w:r>
          </w:p>
          <w:p w:rsidR="00536A01" w:rsidRPr="00B111BE" w:rsidRDefault="000A7B29" w:rsidP="00536A01">
            <w:pPr>
              <w:spacing w:after="0" w:line="240" w:lineRule="auto"/>
              <w:jc w:val="both"/>
              <w:rPr>
                <w:rFonts w:cstheme="minorHAnsi"/>
                <w:i/>
                <w:iCs/>
              </w:rPr>
            </w:pPr>
            <w:r w:rsidRPr="00B111BE">
              <w:rPr>
                <w:rFonts w:cstheme="minorHAnsi"/>
                <w:b/>
                <w:bCs/>
                <w:i/>
                <w:iCs/>
              </w:rPr>
              <w:t>NOTE 3</w:t>
            </w:r>
            <w:r w:rsidR="00536A01" w:rsidRPr="00B111BE">
              <w:rPr>
                <w:rFonts w:cstheme="minorHAnsi"/>
                <w:b/>
                <w:bCs/>
                <w:i/>
                <w:iCs/>
              </w:rPr>
              <w:t> :</w:t>
            </w:r>
            <w:r w:rsidR="00536A01" w:rsidRPr="00B111BE">
              <w:rPr>
                <w:rFonts w:cstheme="minorHAnsi"/>
                <w:i/>
                <w:iCs/>
              </w:rPr>
              <w:t xml:space="preserve"> </w:t>
            </w:r>
            <w:r w:rsidRPr="00B111BE">
              <w:rPr>
                <w:rFonts w:cstheme="minorHAnsi"/>
                <w:i/>
                <w:iCs/>
              </w:rPr>
              <w:t>Les écrous autofreinés à anneau non métallique conformes aux exigences de la présente Norme internationale sont utilisés pour des applications de – 50 °C à + 120 °C.</w:t>
            </w:r>
          </w:p>
          <w:p w:rsidR="000A7B29" w:rsidRPr="0043547B" w:rsidRDefault="000A7B29" w:rsidP="00536A01">
            <w:pPr>
              <w:spacing w:after="0" w:line="240" w:lineRule="auto"/>
              <w:jc w:val="both"/>
              <w:rPr>
                <w:rFonts w:cstheme="minorHAnsi"/>
                <w:sz w:val="24"/>
                <w:szCs w:val="24"/>
              </w:rPr>
            </w:pPr>
            <w:r w:rsidRPr="0043547B">
              <w:rPr>
                <w:rFonts w:cstheme="minorHAnsi"/>
                <w:b/>
                <w:bCs/>
                <w:sz w:val="24"/>
                <w:szCs w:val="24"/>
              </w:rPr>
              <w:t>AVERTISSEMENT</w:t>
            </w:r>
            <w:r w:rsidRPr="0043547B">
              <w:rPr>
                <w:rFonts w:cstheme="minorHAnsi"/>
                <w:sz w:val="24"/>
                <w:szCs w:val="24"/>
              </w:rPr>
              <w:t xml:space="preserve"> — Des températures en dehors de la plage de température ambiante peuvent influencer les caractéristiques fonctionnelles (caractéristiques couple/tension et caractéristiques d’autofreinage), voir Annexe A.</w:t>
            </w:r>
          </w:p>
        </w:tc>
      </w:tr>
      <w:tr w:rsidR="0043547B" w:rsidRPr="0043547B" w:rsidTr="00056AEE">
        <w:trPr>
          <w:trHeight w:val="404"/>
          <w:jc w:val="center"/>
        </w:trPr>
        <w:tc>
          <w:tcPr>
            <w:tcW w:w="1838" w:type="dxa"/>
            <w:tcBorders>
              <w:top w:val="nil"/>
              <w:left w:val="single" w:sz="18" w:space="0" w:color="auto"/>
              <w:bottom w:val="single" w:sz="18" w:space="0" w:color="auto"/>
              <w:right w:val="single" w:sz="4" w:space="0" w:color="auto"/>
            </w:tcBorders>
            <w:shd w:val="clear" w:color="auto" w:fill="B0CA7C"/>
            <w:vAlign w:val="center"/>
          </w:tcPr>
          <w:p w:rsidR="000A7B29" w:rsidRPr="0043547B" w:rsidRDefault="000A7B29" w:rsidP="00045F91">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nil"/>
              <w:left w:val="single" w:sz="4" w:space="0" w:color="auto"/>
              <w:bottom w:val="single" w:sz="18" w:space="0" w:color="auto"/>
              <w:right w:val="single" w:sz="18" w:space="0" w:color="auto"/>
            </w:tcBorders>
            <w:shd w:val="clear" w:color="auto" w:fill="B0CA7C"/>
            <w:vAlign w:val="center"/>
          </w:tcPr>
          <w:p w:rsidR="000A7B29" w:rsidRPr="0043547B" w:rsidRDefault="000A7B29" w:rsidP="00045F91">
            <w:pPr>
              <w:spacing w:after="0" w:line="240" w:lineRule="auto"/>
              <w:jc w:val="center"/>
              <w:rPr>
                <w:rFonts w:cstheme="minorHAnsi"/>
                <w:b/>
                <w:bCs/>
                <w:sz w:val="24"/>
                <w:szCs w:val="24"/>
              </w:rPr>
            </w:pPr>
            <w:r w:rsidRPr="0043547B">
              <w:rPr>
                <w:rFonts w:cstheme="minorHAnsi"/>
                <w:b/>
                <w:bCs/>
                <w:sz w:val="24"/>
                <w:szCs w:val="24"/>
              </w:rPr>
              <w:t>NM ISO 2009</w:t>
            </w:r>
          </w:p>
        </w:tc>
      </w:tr>
      <w:tr w:rsidR="0043547B" w:rsidRPr="0043547B" w:rsidTr="00056AEE">
        <w:trPr>
          <w:trHeight w:val="412"/>
          <w:jc w:val="center"/>
        </w:trPr>
        <w:tc>
          <w:tcPr>
            <w:tcW w:w="1838" w:type="dxa"/>
            <w:tcBorders>
              <w:top w:val="single" w:sz="18" w:space="0" w:color="auto"/>
              <w:left w:val="single" w:sz="18" w:space="0" w:color="auto"/>
              <w:bottom w:val="single" w:sz="6" w:space="0" w:color="auto"/>
              <w:right w:val="single" w:sz="4" w:space="0" w:color="auto"/>
            </w:tcBorders>
            <w:shd w:val="clear" w:color="auto" w:fill="FFFF99"/>
            <w:vAlign w:val="center"/>
          </w:tcPr>
          <w:p w:rsidR="000A7B29" w:rsidRPr="0043547B" w:rsidRDefault="000A7B29" w:rsidP="00045F91">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6" w:space="0" w:color="auto"/>
              <w:right w:val="single" w:sz="18" w:space="0" w:color="auto"/>
            </w:tcBorders>
            <w:shd w:val="clear" w:color="auto" w:fill="FFFF99"/>
            <w:vAlign w:val="center"/>
          </w:tcPr>
          <w:p w:rsidR="000A7B29" w:rsidRPr="0043547B" w:rsidRDefault="000A7B29" w:rsidP="00045F91">
            <w:pPr>
              <w:spacing w:after="0" w:line="240" w:lineRule="auto"/>
              <w:jc w:val="center"/>
              <w:rPr>
                <w:rFonts w:cstheme="minorHAnsi"/>
                <w:b/>
                <w:bCs/>
                <w:sz w:val="24"/>
                <w:szCs w:val="24"/>
              </w:rPr>
            </w:pPr>
            <w:r w:rsidRPr="0043547B">
              <w:rPr>
                <w:rFonts w:cstheme="minorHAnsi"/>
                <w:b/>
                <w:bCs/>
                <w:sz w:val="24"/>
                <w:szCs w:val="24"/>
              </w:rPr>
              <w:t>ISO 2009</w:t>
            </w:r>
          </w:p>
        </w:tc>
      </w:tr>
      <w:tr w:rsidR="0043547B" w:rsidRPr="0043547B" w:rsidTr="00056AEE">
        <w:trPr>
          <w:trHeight w:val="434"/>
          <w:jc w:val="center"/>
        </w:trPr>
        <w:tc>
          <w:tcPr>
            <w:tcW w:w="1838" w:type="dxa"/>
            <w:tcBorders>
              <w:top w:val="single" w:sz="6" w:space="0" w:color="auto"/>
              <w:left w:val="single" w:sz="18" w:space="0" w:color="auto"/>
              <w:bottom w:val="single" w:sz="6" w:space="0" w:color="auto"/>
              <w:right w:val="single" w:sz="4" w:space="0" w:color="auto"/>
            </w:tcBorders>
            <w:shd w:val="clear" w:color="auto" w:fill="95B3D7" w:themeFill="accent1" w:themeFillTint="99"/>
            <w:vAlign w:val="center"/>
          </w:tcPr>
          <w:p w:rsidR="000A7B29" w:rsidRPr="0043547B" w:rsidRDefault="000A7B29" w:rsidP="00045F91">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6" w:space="0" w:color="auto"/>
              <w:left w:val="single" w:sz="4" w:space="0" w:color="auto"/>
              <w:bottom w:val="single" w:sz="6" w:space="0" w:color="auto"/>
              <w:right w:val="single" w:sz="18" w:space="0" w:color="auto"/>
            </w:tcBorders>
            <w:shd w:val="clear" w:color="auto" w:fill="auto"/>
            <w:vAlign w:val="bottom"/>
          </w:tcPr>
          <w:p w:rsidR="000A7B29" w:rsidRPr="0043547B" w:rsidRDefault="000A7B29" w:rsidP="00045F91">
            <w:pPr>
              <w:spacing w:after="0" w:line="240" w:lineRule="auto"/>
              <w:rPr>
                <w:rFonts w:cstheme="minorHAnsi"/>
                <w:sz w:val="24"/>
                <w:szCs w:val="24"/>
              </w:rPr>
            </w:pPr>
            <w:r w:rsidRPr="0043547B">
              <w:rPr>
                <w:rFonts w:cstheme="minorHAnsi"/>
                <w:sz w:val="24"/>
                <w:szCs w:val="24"/>
              </w:rPr>
              <w:t xml:space="preserve">Vis à métaux à tête fraisée fendue - Grade A ; (IC 02.2.162) </w:t>
            </w:r>
          </w:p>
        </w:tc>
      </w:tr>
      <w:tr w:rsidR="0043547B" w:rsidRPr="0043547B" w:rsidTr="00056AEE">
        <w:trPr>
          <w:trHeight w:val="1469"/>
          <w:jc w:val="center"/>
        </w:trPr>
        <w:tc>
          <w:tcPr>
            <w:tcW w:w="1838" w:type="dxa"/>
            <w:tcBorders>
              <w:top w:val="single" w:sz="6" w:space="0" w:color="auto"/>
              <w:left w:val="single" w:sz="18" w:space="0" w:color="auto"/>
              <w:bottom w:val="single" w:sz="18" w:space="0" w:color="auto"/>
              <w:right w:val="single" w:sz="4" w:space="0" w:color="auto"/>
            </w:tcBorders>
            <w:shd w:val="clear" w:color="000000" w:fill="D9D9D9"/>
            <w:vAlign w:val="center"/>
          </w:tcPr>
          <w:p w:rsidR="000A7B29" w:rsidRPr="0043547B" w:rsidRDefault="000A7B29" w:rsidP="00045F91">
            <w:pPr>
              <w:spacing w:after="0" w:line="240" w:lineRule="auto"/>
              <w:jc w:val="center"/>
              <w:rPr>
                <w:rFonts w:cstheme="minorHAnsi"/>
                <w:b/>
                <w:bCs/>
                <w:sz w:val="24"/>
                <w:szCs w:val="24"/>
              </w:rPr>
            </w:pPr>
            <w:r w:rsidRPr="0043547B">
              <w:rPr>
                <w:rFonts w:cstheme="minorHAnsi"/>
                <w:b/>
                <w:bCs/>
                <w:sz w:val="24"/>
                <w:szCs w:val="24"/>
              </w:rPr>
              <w:lastRenderedPageBreak/>
              <w:t>Domaine d’application :</w:t>
            </w:r>
          </w:p>
        </w:tc>
        <w:tc>
          <w:tcPr>
            <w:tcW w:w="7938" w:type="dxa"/>
            <w:tcBorders>
              <w:top w:val="single" w:sz="6" w:space="0" w:color="auto"/>
              <w:left w:val="single" w:sz="4" w:space="0" w:color="auto"/>
              <w:bottom w:val="single" w:sz="18" w:space="0" w:color="auto"/>
              <w:right w:val="single" w:sz="18" w:space="0" w:color="auto"/>
            </w:tcBorders>
            <w:shd w:val="clear" w:color="auto" w:fill="auto"/>
            <w:vAlign w:val="bottom"/>
          </w:tcPr>
          <w:p w:rsidR="006711D3" w:rsidRPr="0043547B" w:rsidRDefault="000A7B29" w:rsidP="006711D3">
            <w:pPr>
              <w:spacing w:after="0" w:line="240" w:lineRule="auto"/>
              <w:jc w:val="both"/>
              <w:rPr>
                <w:rFonts w:cstheme="minorHAnsi"/>
                <w:sz w:val="24"/>
                <w:szCs w:val="24"/>
              </w:rPr>
            </w:pPr>
            <w:r w:rsidRPr="0043547B">
              <w:rPr>
                <w:rFonts w:cstheme="minorHAnsi"/>
                <w:sz w:val="24"/>
                <w:szCs w:val="24"/>
              </w:rPr>
              <w:t>La présente Norme internationale spécifie les caractéristiques des vis à métaux à tête fraisée fendue de grade A et de diamètres de filetage M1,6 à M10 inclus.</w:t>
            </w:r>
          </w:p>
          <w:p w:rsidR="000A7B29" w:rsidRPr="0043547B" w:rsidRDefault="000A7B29" w:rsidP="006711D3">
            <w:pPr>
              <w:spacing w:after="0" w:line="240" w:lineRule="auto"/>
              <w:jc w:val="both"/>
              <w:rPr>
                <w:rFonts w:cstheme="minorHAnsi"/>
                <w:sz w:val="24"/>
                <w:szCs w:val="24"/>
              </w:rPr>
            </w:pPr>
            <w:r w:rsidRPr="0043547B">
              <w:rPr>
                <w:rFonts w:cstheme="minorHAnsi"/>
                <w:sz w:val="24"/>
                <w:szCs w:val="24"/>
              </w:rPr>
              <w:t>Si, dans des cas particuliers, des spécifications autres que celles figurant dans la présente Norme internationale sont requises, elles peuvent être choisies dans les Normes internationales existantes, par</w:t>
            </w:r>
            <w:r w:rsidR="006711D3" w:rsidRPr="0043547B">
              <w:rPr>
                <w:rFonts w:cstheme="minorHAnsi"/>
                <w:sz w:val="24"/>
                <w:szCs w:val="24"/>
              </w:rPr>
              <w:t xml:space="preserve"> </w:t>
            </w:r>
            <w:r w:rsidRPr="0043547B">
              <w:rPr>
                <w:rFonts w:cstheme="minorHAnsi"/>
                <w:sz w:val="24"/>
                <w:szCs w:val="24"/>
              </w:rPr>
              <w:t>exemple l'ISO 261, l'ISO 888, l'ISO 898-1, l'ISO 965-2 et l'ISO 3506-1.</w:t>
            </w:r>
          </w:p>
        </w:tc>
      </w:tr>
      <w:tr w:rsidR="0043547B" w:rsidRPr="0043547B" w:rsidTr="00056AEE">
        <w:trPr>
          <w:trHeight w:val="404"/>
          <w:jc w:val="center"/>
        </w:trPr>
        <w:tc>
          <w:tcPr>
            <w:tcW w:w="1838" w:type="dxa"/>
            <w:tcBorders>
              <w:top w:val="nil"/>
              <w:left w:val="single" w:sz="18" w:space="0" w:color="auto"/>
              <w:bottom w:val="single" w:sz="18" w:space="0" w:color="auto"/>
              <w:right w:val="single" w:sz="4" w:space="0" w:color="auto"/>
            </w:tcBorders>
            <w:shd w:val="clear" w:color="auto" w:fill="B0CA7C"/>
            <w:vAlign w:val="center"/>
          </w:tcPr>
          <w:p w:rsidR="000A7B29" w:rsidRPr="0043547B" w:rsidRDefault="000A7B29" w:rsidP="00045F91">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nil"/>
              <w:left w:val="single" w:sz="4" w:space="0" w:color="auto"/>
              <w:bottom w:val="single" w:sz="18" w:space="0" w:color="auto"/>
              <w:right w:val="single" w:sz="18" w:space="0" w:color="auto"/>
            </w:tcBorders>
            <w:shd w:val="clear" w:color="auto" w:fill="B0CA7C"/>
            <w:vAlign w:val="center"/>
          </w:tcPr>
          <w:p w:rsidR="000A7B29" w:rsidRPr="0043547B" w:rsidRDefault="000A7B29" w:rsidP="00045F91">
            <w:pPr>
              <w:spacing w:after="0" w:line="240" w:lineRule="auto"/>
              <w:jc w:val="center"/>
              <w:rPr>
                <w:rFonts w:cstheme="minorHAnsi"/>
                <w:b/>
                <w:bCs/>
                <w:sz w:val="24"/>
                <w:szCs w:val="24"/>
              </w:rPr>
            </w:pPr>
            <w:r w:rsidRPr="0043547B">
              <w:rPr>
                <w:rFonts w:cstheme="minorHAnsi"/>
                <w:b/>
                <w:bCs/>
                <w:sz w:val="24"/>
                <w:szCs w:val="24"/>
              </w:rPr>
              <w:t>NM ISO 2010</w:t>
            </w:r>
          </w:p>
        </w:tc>
      </w:tr>
      <w:tr w:rsidR="0043547B" w:rsidRPr="0043547B" w:rsidTr="00056AEE">
        <w:trPr>
          <w:trHeight w:val="388"/>
          <w:jc w:val="center"/>
        </w:trPr>
        <w:tc>
          <w:tcPr>
            <w:tcW w:w="1838" w:type="dxa"/>
            <w:tcBorders>
              <w:top w:val="single" w:sz="18" w:space="0" w:color="auto"/>
              <w:left w:val="single" w:sz="18" w:space="0" w:color="auto"/>
              <w:bottom w:val="single" w:sz="6" w:space="0" w:color="auto"/>
              <w:right w:val="single" w:sz="4" w:space="0" w:color="auto"/>
            </w:tcBorders>
            <w:shd w:val="clear" w:color="auto" w:fill="FFFF99"/>
            <w:vAlign w:val="center"/>
          </w:tcPr>
          <w:p w:rsidR="000A7B29" w:rsidRPr="0043547B" w:rsidRDefault="000A7B29" w:rsidP="00045F91">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6" w:space="0" w:color="auto"/>
              <w:right w:val="single" w:sz="18" w:space="0" w:color="auto"/>
            </w:tcBorders>
            <w:shd w:val="clear" w:color="auto" w:fill="FFFF99"/>
            <w:vAlign w:val="center"/>
          </w:tcPr>
          <w:p w:rsidR="000A7B29" w:rsidRPr="0043547B" w:rsidRDefault="000A7B29" w:rsidP="00045F91">
            <w:pPr>
              <w:spacing w:after="0" w:line="240" w:lineRule="auto"/>
              <w:jc w:val="center"/>
              <w:rPr>
                <w:rFonts w:cstheme="minorHAnsi"/>
                <w:b/>
                <w:bCs/>
                <w:sz w:val="24"/>
                <w:szCs w:val="24"/>
              </w:rPr>
            </w:pPr>
            <w:r w:rsidRPr="0043547B">
              <w:rPr>
                <w:rFonts w:cstheme="minorHAnsi"/>
                <w:b/>
                <w:bCs/>
                <w:sz w:val="24"/>
                <w:szCs w:val="24"/>
              </w:rPr>
              <w:t>ISO 2010</w:t>
            </w:r>
          </w:p>
        </w:tc>
      </w:tr>
      <w:tr w:rsidR="0043547B" w:rsidRPr="0043547B" w:rsidTr="00056AEE">
        <w:trPr>
          <w:trHeight w:val="372"/>
          <w:jc w:val="center"/>
        </w:trPr>
        <w:tc>
          <w:tcPr>
            <w:tcW w:w="1838" w:type="dxa"/>
            <w:tcBorders>
              <w:top w:val="single" w:sz="6" w:space="0" w:color="auto"/>
              <w:left w:val="single" w:sz="18" w:space="0" w:color="auto"/>
              <w:bottom w:val="single" w:sz="6" w:space="0" w:color="auto"/>
              <w:right w:val="single" w:sz="4" w:space="0" w:color="auto"/>
            </w:tcBorders>
            <w:shd w:val="clear" w:color="auto" w:fill="95B3D7" w:themeFill="accent1" w:themeFillTint="99"/>
            <w:vAlign w:val="center"/>
          </w:tcPr>
          <w:p w:rsidR="000A7B29" w:rsidRPr="0043547B" w:rsidRDefault="000A7B29" w:rsidP="00045F91">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6" w:space="0" w:color="auto"/>
              <w:left w:val="single" w:sz="4" w:space="0" w:color="auto"/>
              <w:bottom w:val="single" w:sz="6" w:space="0" w:color="auto"/>
              <w:right w:val="single" w:sz="18" w:space="0" w:color="auto"/>
            </w:tcBorders>
            <w:shd w:val="clear" w:color="auto" w:fill="auto"/>
            <w:vAlign w:val="bottom"/>
          </w:tcPr>
          <w:p w:rsidR="000A7B29" w:rsidRPr="0043547B" w:rsidRDefault="000A7B29" w:rsidP="00045F91">
            <w:pPr>
              <w:spacing w:after="0" w:line="240" w:lineRule="auto"/>
              <w:rPr>
                <w:rFonts w:cstheme="minorHAnsi"/>
                <w:sz w:val="24"/>
                <w:szCs w:val="24"/>
              </w:rPr>
            </w:pPr>
            <w:r w:rsidRPr="0043547B">
              <w:rPr>
                <w:rFonts w:cstheme="minorHAnsi"/>
                <w:sz w:val="24"/>
                <w:szCs w:val="24"/>
              </w:rPr>
              <w:t xml:space="preserve">Vis à métaux à tête fraisée bombée fendue - Grade A ; (IC 02.2.163) </w:t>
            </w:r>
          </w:p>
        </w:tc>
      </w:tr>
      <w:tr w:rsidR="0043547B" w:rsidRPr="0043547B" w:rsidTr="00056AEE">
        <w:trPr>
          <w:trHeight w:val="1514"/>
          <w:jc w:val="center"/>
        </w:trPr>
        <w:tc>
          <w:tcPr>
            <w:tcW w:w="1838" w:type="dxa"/>
            <w:tcBorders>
              <w:top w:val="single" w:sz="6" w:space="0" w:color="auto"/>
              <w:left w:val="single" w:sz="18" w:space="0" w:color="auto"/>
              <w:bottom w:val="single" w:sz="18" w:space="0" w:color="auto"/>
              <w:right w:val="single" w:sz="4" w:space="0" w:color="auto"/>
            </w:tcBorders>
            <w:shd w:val="clear" w:color="000000" w:fill="D9D9D9"/>
            <w:vAlign w:val="center"/>
          </w:tcPr>
          <w:p w:rsidR="000A7B29" w:rsidRPr="0043547B" w:rsidRDefault="000A7B29" w:rsidP="00045F91">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6" w:space="0" w:color="auto"/>
              <w:left w:val="single" w:sz="4" w:space="0" w:color="auto"/>
              <w:bottom w:val="single" w:sz="18" w:space="0" w:color="auto"/>
              <w:right w:val="single" w:sz="18" w:space="0" w:color="auto"/>
            </w:tcBorders>
            <w:shd w:val="clear" w:color="auto" w:fill="auto"/>
            <w:vAlign w:val="bottom"/>
          </w:tcPr>
          <w:p w:rsidR="006711D3" w:rsidRPr="0043547B" w:rsidRDefault="000A7B29" w:rsidP="006711D3">
            <w:pPr>
              <w:spacing w:after="0" w:line="240" w:lineRule="auto"/>
              <w:jc w:val="both"/>
              <w:rPr>
                <w:rFonts w:cstheme="minorHAnsi"/>
                <w:sz w:val="24"/>
                <w:szCs w:val="24"/>
              </w:rPr>
            </w:pPr>
            <w:r w:rsidRPr="0043547B">
              <w:rPr>
                <w:rFonts w:cstheme="minorHAnsi"/>
                <w:sz w:val="24"/>
                <w:szCs w:val="24"/>
              </w:rPr>
              <w:t>La présente Norme internationale spécifie les caractéristiques des vis à métaux à tête fraisée bombée fendue de grade A et de diamètres de filetage M</w:t>
            </w:r>
            <w:r w:rsidR="006711D3" w:rsidRPr="0043547B">
              <w:rPr>
                <w:rFonts w:cstheme="minorHAnsi"/>
                <w:sz w:val="24"/>
                <w:szCs w:val="24"/>
              </w:rPr>
              <w:t xml:space="preserve"> </w:t>
            </w:r>
            <w:r w:rsidRPr="0043547B">
              <w:rPr>
                <w:rFonts w:cstheme="minorHAnsi"/>
                <w:sz w:val="24"/>
                <w:szCs w:val="24"/>
              </w:rPr>
              <w:t>1,6 à M10 inclus.</w:t>
            </w:r>
          </w:p>
          <w:p w:rsidR="000A7B29" w:rsidRPr="0043547B" w:rsidRDefault="000A7B29" w:rsidP="006711D3">
            <w:pPr>
              <w:spacing w:after="0" w:line="240" w:lineRule="auto"/>
              <w:jc w:val="both"/>
              <w:rPr>
                <w:rFonts w:cstheme="minorHAnsi"/>
                <w:sz w:val="24"/>
                <w:szCs w:val="24"/>
              </w:rPr>
            </w:pPr>
            <w:r w:rsidRPr="0043547B">
              <w:rPr>
                <w:rFonts w:cstheme="minorHAnsi"/>
                <w:sz w:val="24"/>
                <w:szCs w:val="24"/>
              </w:rPr>
              <w:t>Si, dans des cas particuliers, des spécifications autres que celles figurant dans la présente Norme internationale sont requises, elles peuvent être choisies dans les Normes internationales existantes, par</w:t>
            </w:r>
            <w:r w:rsidR="006711D3" w:rsidRPr="0043547B">
              <w:rPr>
                <w:rFonts w:cstheme="minorHAnsi"/>
                <w:sz w:val="24"/>
                <w:szCs w:val="24"/>
              </w:rPr>
              <w:t xml:space="preserve"> </w:t>
            </w:r>
            <w:r w:rsidRPr="0043547B">
              <w:rPr>
                <w:rFonts w:cstheme="minorHAnsi"/>
                <w:sz w:val="24"/>
                <w:szCs w:val="24"/>
              </w:rPr>
              <w:t>exemple l'ISO 261, l'ISO 888, l'ISO 898-1, l'ISO 965-2 et l'ISO 3506-1.</w:t>
            </w:r>
          </w:p>
        </w:tc>
      </w:tr>
      <w:tr w:rsidR="0043547B" w:rsidRPr="0043547B" w:rsidTr="00056AEE">
        <w:trPr>
          <w:trHeight w:val="377"/>
          <w:jc w:val="center"/>
        </w:trPr>
        <w:tc>
          <w:tcPr>
            <w:tcW w:w="1838" w:type="dxa"/>
            <w:tcBorders>
              <w:top w:val="nil"/>
              <w:left w:val="single" w:sz="18" w:space="0" w:color="auto"/>
              <w:bottom w:val="single" w:sz="18" w:space="0" w:color="auto"/>
              <w:right w:val="single" w:sz="4" w:space="0" w:color="auto"/>
            </w:tcBorders>
            <w:shd w:val="clear" w:color="auto" w:fill="B0CA7C"/>
            <w:vAlign w:val="center"/>
          </w:tcPr>
          <w:p w:rsidR="000A7B29" w:rsidRPr="0043547B" w:rsidRDefault="000A7B29" w:rsidP="00045F91">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nil"/>
              <w:left w:val="single" w:sz="4" w:space="0" w:color="auto"/>
              <w:bottom w:val="single" w:sz="18" w:space="0" w:color="auto"/>
              <w:right w:val="single" w:sz="18" w:space="0" w:color="auto"/>
            </w:tcBorders>
            <w:shd w:val="clear" w:color="auto" w:fill="B0CA7C"/>
            <w:vAlign w:val="center"/>
          </w:tcPr>
          <w:p w:rsidR="000A7B29" w:rsidRPr="0043547B" w:rsidRDefault="000A7B29" w:rsidP="00045F91">
            <w:pPr>
              <w:spacing w:after="0" w:line="240" w:lineRule="auto"/>
              <w:jc w:val="center"/>
              <w:rPr>
                <w:rFonts w:cstheme="minorHAnsi"/>
                <w:b/>
                <w:bCs/>
                <w:sz w:val="24"/>
                <w:szCs w:val="24"/>
              </w:rPr>
            </w:pPr>
            <w:r w:rsidRPr="0043547B">
              <w:rPr>
                <w:rFonts w:cstheme="minorHAnsi"/>
                <w:b/>
                <w:bCs/>
                <w:sz w:val="24"/>
                <w:szCs w:val="24"/>
              </w:rPr>
              <w:t>NM ISO 8676</w:t>
            </w:r>
          </w:p>
        </w:tc>
      </w:tr>
      <w:tr w:rsidR="0043547B" w:rsidRPr="0043547B" w:rsidTr="00056AEE">
        <w:trPr>
          <w:trHeight w:val="399"/>
          <w:jc w:val="center"/>
        </w:trPr>
        <w:tc>
          <w:tcPr>
            <w:tcW w:w="1838" w:type="dxa"/>
            <w:tcBorders>
              <w:top w:val="single" w:sz="18" w:space="0" w:color="auto"/>
              <w:left w:val="single" w:sz="18" w:space="0" w:color="auto"/>
              <w:bottom w:val="single" w:sz="6" w:space="0" w:color="auto"/>
              <w:right w:val="single" w:sz="4" w:space="0" w:color="auto"/>
            </w:tcBorders>
            <w:shd w:val="clear" w:color="auto" w:fill="FFFF99"/>
            <w:vAlign w:val="center"/>
          </w:tcPr>
          <w:p w:rsidR="000A7B29" w:rsidRPr="0043547B" w:rsidRDefault="000A7B29" w:rsidP="006711D3">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6" w:space="0" w:color="auto"/>
              <w:right w:val="single" w:sz="18" w:space="0" w:color="auto"/>
            </w:tcBorders>
            <w:shd w:val="clear" w:color="auto" w:fill="FFFF99"/>
            <w:vAlign w:val="center"/>
          </w:tcPr>
          <w:p w:rsidR="000A7B29" w:rsidRPr="0043547B" w:rsidRDefault="000A7B29" w:rsidP="006711D3">
            <w:pPr>
              <w:spacing w:after="0" w:line="240" w:lineRule="auto"/>
              <w:jc w:val="center"/>
              <w:rPr>
                <w:rFonts w:cstheme="minorHAnsi"/>
                <w:b/>
                <w:bCs/>
                <w:sz w:val="24"/>
                <w:szCs w:val="24"/>
              </w:rPr>
            </w:pPr>
            <w:r w:rsidRPr="0043547B">
              <w:rPr>
                <w:rFonts w:cstheme="minorHAnsi"/>
                <w:b/>
                <w:bCs/>
                <w:sz w:val="24"/>
                <w:szCs w:val="24"/>
              </w:rPr>
              <w:t>ISO 8676</w:t>
            </w:r>
          </w:p>
        </w:tc>
      </w:tr>
      <w:tr w:rsidR="0043547B" w:rsidRPr="0043547B" w:rsidTr="00056AEE">
        <w:trPr>
          <w:trHeight w:val="549"/>
          <w:jc w:val="center"/>
        </w:trPr>
        <w:tc>
          <w:tcPr>
            <w:tcW w:w="1838" w:type="dxa"/>
            <w:tcBorders>
              <w:top w:val="single" w:sz="6" w:space="0" w:color="auto"/>
              <w:left w:val="single" w:sz="18" w:space="0" w:color="auto"/>
              <w:bottom w:val="single" w:sz="6" w:space="0" w:color="auto"/>
              <w:right w:val="single" w:sz="4" w:space="0" w:color="auto"/>
            </w:tcBorders>
            <w:shd w:val="clear" w:color="auto" w:fill="95B3D7" w:themeFill="accent1" w:themeFillTint="99"/>
            <w:vAlign w:val="center"/>
          </w:tcPr>
          <w:p w:rsidR="000A7B29" w:rsidRPr="0043547B" w:rsidRDefault="000A7B29" w:rsidP="00045F91">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6" w:space="0" w:color="auto"/>
              <w:left w:val="single" w:sz="4" w:space="0" w:color="auto"/>
              <w:bottom w:val="single" w:sz="6" w:space="0" w:color="auto"/>
              <w:right w:val="single" w:sz="18" w:space="0" w:color="auto"/>
            </w:tcBorders>
            <w:shd w:val="clear" w:color="auto" w:fill="auto"/>
            <w:vAlign w:val="bottom"/>
          </w:tcPr>
          <w:p w:rsidR="000A7B29" w:rsidRPr="0043547B" w:rsidRDefault="000A7B29" w:rsidP="006711D3">
            <w:pPr>
              <w:spacing w:after="0" w:line="240" w:lineRule="auto"/>
              <w:rPr>
                <w:rFonts w:cstheme="minorHAnsi"/>
                <w:sz w:val="24"/>
                <w:szCs w:val="24"/>
              </w:rPr>
            </w:pPr>
            <w:r w:rsidRPr="0043547B">
              <w:rPr>
                <w:rFonts w:cstheme="minorHAnsi"/>
                <w:sz w:val="24"/>
                <w:szCs w:val="24"/>
              </w:rPr>
              <w:t xml:space="preserve">Vis à tête hexagonale à filetage métrique à pas fin entièrement filetées - Grades A et B; (IC 02.2.410) </w:t>
            </w:r>
          </w:p>
        </w:tc>
      </w:tr>
      <w:tr w:rsidR="0043547B" w:rsidRPr="0043547B" w:rsidTr="00056AEE">
        <w:trPr>
          <w:trHeight w:val="525"/>
          <w:jc w:val="center"/>
        </w:trPr>
        <w:tc>
          <w:tcPr>
            <w:tcW w:w="1838" w:type="dxa"/>
            <w:tcBorders>
              <w:top w:val="single" w:sz="6" w:space="0" w:color="auto"/>
              <w:left w:val="single" w:sz="18" w:space="0" w:color="auto"/>
              <w:bottom w:val="single" w:sz="18" w:space="0" w:color="auto"/>
              <w:right w:val="single" w:sz="4" w:space="0" w:color="auto"/>
            </w:tcBorders>
            <w:shd w:val="clear" w:color="000000" w:fill="D9D9D9"/>
            <w:vAlign w:val="center"/>
          </w:tcPr>
          <w:p w:rsidR="000A7B29" w:rsidRPr="0043547B" w:rsidRDefault="000A7B29" w:rsidP="00045F91">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6" w:space="0" w:color="auto"/>
              <w:left w:val="single" w:sz="4" w:space="0" w:color="auto"/>
              <w:bottom w:val="single" w:sz="18" w:space="0" w:color="auto"/>
              <w:right w:val="single" w:sz="18" w:space="0" w:color="auto"/>
            </w:tcBorders>
            <w:shd w:val="clear" w:color="auto" w:fill="auto"/>
            <w:vAlign w:val="bottom"/>
          </w:tcPr>
          <w:p w:rsidR="006711D3" w:rsidRPr="0043547B" w:rsidRDefault="000A7B29" w:rsidP="00B111BE">
            <w:pPr>
              <w:spacing w:after="0" w:line="240" w:lineRule="auto"/>
              <w:jc w:val="both"/>
              <w:rPr>
                <w:rFonts w:cstheme="minorHAnsi"/>
                <w:sz w:val="24"/>
                <w:szCs w:val="24"/>
              </w:rPr>
            </w:pPr>
            <w:r w:rsidRPr="0043547B">
              <w:rPr>
                <w:rFonts w:cstheme="minorHAnsi"/>
                <w:sz w:val="24"/>
                <w:szCs w:val="24"/>
              </w:rPr>
              <w:t>La présente Norme internationale spécifie les caractéristiques des vis à tête hexagonale à filetage métrique à pas fin entièrement filetées, de diamètre nominal de filetage, d, de 8 mm à 64 mm, de grade A pour les diamètres d de 8 mm à 24 mm et les longueurs nominales, l, inférieures ou égales à 10d ou à 150 mm, la plus petite des deux valeurs étant retenue, et de grade B pour les diamètres d supérieurs à 24 mm ou les</w:t>
            </w:r>
            <w:r w:rsidR="00B111BE">
              <w:rPr>
                <w:rFonts w:cstheme="minorHAnsi"/>
                <w:sz w:val="24"/>
                <w:szCs w:val="24"/>
              </w:rPr>
              <w:t xml:space="preserve"> </w:t>
            </w:r>
            <w:r w:rsidRPr="0043547B">
              <w:rPr>
                <w:rFonts w:cstheme="minorHAnsi"/>
                <w:sz w:val="24"/>
                <w:szCs w:val="24"/>
              </w:rPr>
              <w:t>longueurs nominales, l, supérieures à 10d ou à 150 mm, la plus petite des deux valeurs étant retenue.</w:t>
            </w:r>
          </w:p>
          <w:p w:rsidR="006711D3" w:rsidRPr="0043547B" w:rsidRDefault="000A7B29" w:rsidP="006711D3">
            <w:pPr>
              <w:spacing w:after="0" w:line="240" w:lineRule="auto"/>
              <w:jc w:val="both"/>
              <w:rPr>
                <w:rFonts w:cstheme="minorHAnsi"/>
                <w:sz w:val="24"/>
                <w:szCs w:val="24"/>
              </w:rPr>
            </w:pPr>
            <w:r w:rsidRPr="0043547B">
              <w:rPr>
                <w:rFonts w:cstheme="minorHAnsi"/>
                <w:sz w:val="24"/>
                <w:szCs w:val="24"/>
              </w:rPr>
              <w:t>Si, dans des cas particuliers, des spécifications autres que celles figurant dans la présente Norme internationale sont requises, elles peuvent être prises dans les Normes internationales existantes, par</w:t>
            </w:r>
            <w:r w:rsidR="006711D3" w:rsidRPr="0043547B">
              <w:rPr>
                <w:rFonts w:cstheme="minorHAnsi"/>
                <w:sz w:val="24"/>
                <w:szCs w:val="24"/>
              </w:rPr>
              <w:t xml:space="preserve"> </w:t>
            </w:r>
            <w:r w:rsidRPr="0043547B">
              <w:rPr>
                <w:rFonts w:cstheme="minorHAnsi"/>
                <w:sz w:val="24"/>
                <w:szCs w:val="24"/>
              </w:rPr>
              <w:t>exemple l'ISO 724, l'ISO 888, l'ISO 898-1, l'ISO 965-1, l'ISO 3506-1, l'ISO 4753 et l'ISO 4759-1.</w:t>
            </w:r>
          </w:p>
          <w:p w:rsidR="000A7B29" w:rsidRPr="0043547B" w:rsidRDefault="000A7B29" w:rsidP="006711D3">
            <w:pPr>
              <w:spacing w:after="0" w:line="240" w:lineRule="auto"/>
              <w:jc w:val="both"/>
              <w:rPr>
                <w:rFonts w:cstheme="minorHAnsi"/>
                <w:sz w:val="24"/>
                <w:szCs w:val="24"/>
              </w:rPr>
            </w:pPr>
            <w:r w:rsidRPr="0043547B">
              <w:rPr>
                <w:rFonts w:cstheme="minorHAnsi"/>
                <w:sz w:val="24"/>
                <w:szCs w:val="24"/>
              </w:rPr>
              <w:t>Les vis à pas gros conformes à l'ISO 4017 constituent des produits à choisir de façon préférentielle.</w:t>
            </w:r>
          </w:p>
        </w:tc>
      </w:tr>
      <w:tr w:rsidR="00921C0A" w:rsidRPr="0043547B" w:rsidTr="00056AEE">
        <w:trPr>
          <w:trHeight w:val="525"/>
          <w:jc w:val="center"/>
        </w:trPr>
        <w:tc>
          <w:tcPr>
            <w:tcW w:w="1838" w:type="dxa"/>
            <w:tcBorders>
              <w:top w:val="single" w:sz="6" w:space="0" w:color="auto"/>
              <w:left w:val="single" w:sz="18" w:space="0" w:color="auto"/>
              <w:bottom w:val="single" w:sz="18" w:space="0" w:color="auto"/>
              <w:right w:val="single" w:sz="4" w:space="0" w:color="auto"/>
            </w:tcBorders>
            <w:shd w:val="clear" w:color="auto" w:fill="C2D69B" w:themeFill="accent3" w:themeFillTint="99"/>
            <w:vAlign w:val="center"/>
          </w:tcPr>
          <w:p w:rsidR="00921C0A" w:rsidRPr="001A0BDF" w:rsidRDefault="00921C0A" w:rsidP="0028027F">
            <w:pPr>
              <w:spacing w:after="0" w:line="240" w:lineRule="auto"/>
              <w:jc w:val="center"/>
              <w:rPr>
                <w:rFonts w:ascii="Calibri" w:hAnsi="Calibri" w:cs="Calibri"/>
                <w:b/>
                <w:bCs/>
                <w:sz w:val="24"/>
                <w:szCs w:val="24"/>
              </w:rPr>
            </w:pPr>
            <w:r w:rsidRPr="001A0BDF">
              <w:rPr>
                <w:rFonts w:ascii="Calibri" w:hAnsi="Calibri" w:cs="Calibri"/>
                <w:b/>
                <w:bCs/>
                <w:sz w:val="24"/>
                <w:szCs w:val="24"/>
              </w:rPr>
              <w:t>Code :</w:t>
            </w:r>
          </w:p>
        </w:tc>
        <w:tc>
          <w:tcPr>
            <w:tcW w:w="7938" w:type="dxa"/>
            <w:tcBorders>
              <w:top w:val="single" w:sz="6" w:space="0" w:color="auto"/>
              <w:left w:val="single" w:sz="4" w:space="0" w:color="auto"/>
              <w:bottom w:val="single" w:sz="18" w:space="0" w:color="auto"/>
              <w:right w:val="single" w:sz="18" w:space="0" w:color="auto"/>
            </w:tcBorders>
            <w:shd w:val="clear" w:color="auto" w:fill="C2D69B" w:themeFill="accent3" w:themeFillTint="99"/>
            <w:vAlign w:val="center"/>
          </w:tcPr>
          <w:p w:rsidR="00921C0A" w:rsidRPr="00DB32DC" w:rsidRDefault="00921C0A" w:rsidP="0028027F">
            <w:pPr>
              <w:spacing w:after="0" w:line="240" w:lineRule="auto"/>
              <w:jc w:val="center"/>
              <w:rPr>
                <w:rFonts w:ascii="Calibri" w:hAnsi="Calibri" w:cs="Calibri"/>
                <w:b/>
                <w:bCs/>
                <w:color w:val="000000"/>
                <w:sz w:val="24"/>
                <w:szCs w:val="24"/>
              </w:rPr>
            </w:pPr>
            <w:r w:rsidRPr="00DB32DC">
              <w:rPr>
                <w:rFonts w:ascii="Calibri" w:hAnsi="Calibri" w:cs="Calibri"/>
                <w:b/>
                <w:bCs/>
                <w:color w:val="000000"/>
                <w:sz w:val="24"/>
                <w:szCs w:val="24"/>
              </w:rPr>
              <w:t>NM EN 16035</w:t>
            </w:r>
          </w:p>
        </w:tc>
      </w:tr>
      <w:tr w:rsidR="00921C0A" w:rsidRPr="0043547B" w:rsidTr="00056AEE">
        <w:trPr>
          <w:trHeight w:val="464"/>
          <w:jc w:val="center"/>
        </w:trPr>
        <w:tc>
          <w:tcPr>
            <w:tcW w:w="1838" w:type="dxa"/>
            <w:tcBorders>
              <w:top w:val="single" w:sz="6" w:space="0" w:color="auto"/>
              <w:left w:val="single" w:sz="18" w:space="0" w:color="auto"/>
              <w:bottom w:val="single" w:sz="18" w:space="0" w:color="auto"/>
              <w:right w:val="single" w:sz="4" w:space="0" w:color="auto"/>
            </w:tcBorders>
            <w:shd w:val="clear" w:color="auto" w:fill="FFFF99"/>
            <w:vAlign w:val="center"/>
          </w:tcPr>
          <w:p w:rsidR="00921C0A" w:rsidRPr="001A0BDF" w:rsidRDefault="00921C0A" w:rsidP="0028027F">
            <w:pPr>
              <w:spacing w:after="0" w:line="240" w:lineRule="auto"/>
              <w:jc w:val="center"/>
              <w:rPr>
                <w:rFonts w:ascii="Calibri" w:hAnsi="Calibri" w:cs="Calibri"/>
                <w:b/>
                <w:bCs/>
                <w:sz w:val="24"/>
                <w:szCs w:val="24"/>
              </w:rPr>
            </w:pPr>
            <w:r w:rsidRPr="001A0BDF">
              <w:rPr>
                <w:rFonts w:ascii="Calibri" w:hAnsi="Calibri" w:cs="Calibri"/>
                <w:b/>
                <w:bCs/>
                <w:sz w:val="24"/>
                <w:szCs w:val="24"/>
              </w:rPr>
              <w:t>Equivalence :</w:t>
            </w:r>
          </w:p>
        </w:tc>
        <w:tc>
          <w:tcPr>
            <w:tcW w:w="7938" w:type="dxa"/>
            <w:tcBorders>
              <w:top w:val="single" w:sz="6" w:space="0" w:color="auto"/>
              <w:left w:val="single" w:sz="4" w:space="0" w:color="auto"/>
              <w:bottom w:val="single" w:sz="18" w:space="0" w:color="auto"/>
              <w:right w:val="single" w:sz="18" w:space="0" w:color="auto"/>
            </w:tcBorders>
            <w:shd w:val="clear" w:color="auto" w:fill="FFFF99"/>
            <w:vAlign w:val="center"/>
          </w:tcPr>
          <w:p w:rsidR="00921C0A" w:rsidRPr="00DB32DC" w:rsidRDefault="00921C0A" w:rsidP="0028027F">
            <w:pPr>
              <w:spacing w:after="0" w:line="240" w:lineRule="auto"/>
              <w:jc w:val="center"/>
              <w:rPr>
                <w:rFonts w:ascii="Calibri" w:hAnsi="Calibri" w:cs="Calibri"/>
                <w:b/>
                <w:bCs/>
                <w:color w:val="000000"/>
                <w:sz w:val="24"/>
                <w:szCs w:val="24"/>
              </w:rPr>
            </w:pPr>
            <w:r w:rsidRPr="00DB32DC">
              <w:rPr>
                <w:rFonts w:ascii="Calibri" w:hAnsi="Calibri" w:cs="Calibri"/>
                <w:b/>
                <w:bCs/>
                <w:color w:val="000000"/>
                <w:sz w:val="24"/>
                <w:szCs w:val="24"/>
              </w:rPr>
              <w:t>EN 16035</w:t>
            </w:r>
          </w:p>
        </w:tc>
      </w:tr>
      <w:tr w:rsidR="00921C0A" w:rsidRPr="0043547B" w:rsidTr="00056AEE">
        <w:trPr>
          <w:trHeight w:val="525"/>
          <w:jc w:val="center"/>
        </w:trPr>
        <w:tc>
          <w:tcPr>
            <w:tcW w:w="1838" w:type="dxa"/>
            <w:tcBorders>
              <w:top w:val="single" w:sz="18" w:space="0" w:color="auto"/>
              <w:left w:val="single" w:sz="18" w:space="0" w:color="auto"/>
              <w:bottom w:val="single" w:sz="4" w:space="0" w:color="auto"/>
              <w:right w:val="single" w:sz="4" w:space="0" w:color="auto"/>
            </w:tcBorders>
            <w:shd w:val="clear" w:color="auto" w:fill="95B3D7" w:themeFill="accent1" w:themeFillTint="99"/>
            <w:vAlign w:val="center"/>
          </w:tcPr>
          <w:p w:rsidR="00921C0A" w:rsidRPr="001A0BDF" w:rsidRDefault="00921C0A" w:rsidP="0028027F">
            <w:pPr>
              <w:spacing w:after="0" w:line="240" w:lineRule="auto"/>
              <w:jc w:val="center"/>
              <w:rPr>
                <w:rFonts w:ascii="Calibri" w:hAnsi="Calibri" w:cs="Calibri"/>
                <w:b/>
                <w:bCs/>
                <w:sz w:val="24"/>
                <w:szCs w:val="24"/>
              </w:rPr>
            </w:pPr>
            <w:r w:rsidRPr="001A0BDF">
              <w:rPr>
                <w:rFonts w:ascii="Calibri" w:hAnsi="Calibri" w:cs="Calibr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bottom"/>
          </w:tcPr>
          <w:p w:rsidR="00921C0A" w:rsidRPr="001A0BDF" w:rsidRDefault="00921C0A" w:rsidP="001A0BDF">
            <w:pPr>
              <w:spacing w:after="0" w:line="240" w:lineRule="auto"/>
              <w:rPr>
                <w:rFonts w:ascii="Calibri" w:hAnsi="Calibri" w:cs="Calibri"/>
                <w:color w:val="000000"/>
                <w:sz w:val="24"/>
                <w:szCs w:val="24"/>
              </w:rPr>
            </w:pPr>
            <w:r w:rsidRPr="001A0BDF">
              <w:rPr>
                <w:rFonts w:ascii="Calibri" w:hAnsi="Calibri" w:cs="Calibri"/>
                <w:color w:val="000000"/>
                <w:sz w:val="24"/>
                <w:szCs w:val="24"/>
              </w:rPr>
              <w:t xml:space="preserve">Fiche de performance des quincailleries (HPS) - Identification et récapitulatif des essais justificatifs visant à faciliter l’interchangeabilité des quincailleries de bâtiment destinées à être installées sur des blocs-portes et/ou des fenêtres ouvrantes résistant au feu et/ou pare-fumées ; </w:t>
            </w:r>
          </w:p>
        </w:tc>
      </w:tr>
      <w:tr w:rsidR="00921C0A" w:rsidRPr="0043547B" w:rsidTr="00056AEE">
        <w:trPr>
          <w:trHeight w:val="525"/>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921C0A" w:rsidRPr="001A0BDF" w:rsidRDefault="00921C0A" w:rsidP="0028027F">
            <w:pPr>
              <w:spacing w:after="0" w:line="240" w:lineRule="auto"/>
              <w:jc w:val="center"/>
              <w:rPr>
                <w:rFonts w:ascii="Calibri" w:hAnsi="Calibri" w:cs="Calibri"/>
                <w:b/>
                <w:bCs/>
                <w:sz w:val="24"/>
                <w:szCs w:val="24"/>
              </w:rPr>
            </w:pPr>
            <w:r w:rsidRPr="001A0BDF">
              <w:rPr>
                <w:rFonts w:ascii="Calibri" w:hAnsi="Calibri" w:cs="Calibr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bottom"/>
          </w:tcPr>
          <w:p w:rsidR="00DB32DC" w:rsidRDefault="00921C0A" w:rsidP="00DB32DC">
            <w:pPr>
              <w:spacing w:after="0" w:line="240" w:lineRule="auto"/>
              <w:jc w:val="both"/>
              <w:rPr>
                <w:rFonts w:ascii="Calibri" w:hAnsi="Calibri" w:cs="Calibri"/>
                <w:color w:val="000000"/>
                <w:sz w:val="24"/>
                <w:szCs w:val="24"/>
              </w:rPr>
            </w:pPr>
            <w:r w:rsidRPr="001A0BDF">
              <w:rPr>
                <w:rFonts w:ascii="Calibri" w:hAnsi="Calibri" w:cs="Calibri"/>
                <w:color w:val="000000"/>
                <w:sz w:val="24"/>
                <w:szCs w:val="24"/>
              </w:rPr>
              <w:t>La présente Norme européenne s’applique à toutes les quincailleries de bâtiment destinés à être utilisés sur des</w:t>
            </w:r>
            <w:r w:rsidR="00DB32DC">
              <w:rPr>
                <w:rFonts w:ascii="Calibri" w:hAnsi="Calibri" w:cs="Calibri"/>
                <w:color w:val="000000"/>
                <w:sz w:val="24"/>
                <w:szCs w:val="24"/>
              </w:rPr>
              <w:t xml:space="preserve"> </w:t>
            </w:r>
            <w:r w:rsidRPr="001A0BDF">
              <w:rPr>
                <w:rFonts w:ascii="Calibri" w:hAnsi="Calibri" w:cs="Calibri"/>
                <w:color w:val="000000"/>
                <w:sz w:val="24"/>
                <w:szCs w:val="24"/>
              </w:rPr>
              <w:t>blocs-portes et/ou des fenêtres ouvrantes résistant au feu et/ou pare-fumées.</w:t>
            </w:r>
          </w:p>
          <w:p w:rsidR="00921C0A" w:rsidRPr="001A0BDF" w:rsidRDefault="00921C0A" w:rsidP="00DB32DC">
            <w:pPr>
              <w:spacing w:after="0" w:line="240" w:lineRule="auto"/>
              <w:jc w:val="both"/>
              <w:rPr>
                <w:rFonts w:ascii="Calibri" w:hAnsi="Calibri" w:cs="Calibri"/>
                <w:color w:val="000000"/>
                <w:sz w:val="24"/>
                <w:szCs w:val="24"/>
              </w:rPr>
            </w:pPr>
            <w:r w:rsidRPr="001A0BDF">
              <w:rPr>
                <w:rFonts w:ascii="Calibri" w:hAnsi="Calibri" w:cs="Calibri"/>
                <w:color w:val="000000"/>
                <w:sz w:val="24"/>
                <w:szCs w:val="24"/>
              </w:rPr>
              <w:t>La présente Norme européenne spécifie les modèles devant être utilisés pour récapituler les performances et</w:t>
            </w:r>
            <w:r w:rsidR="00DB32DC">
              <w:rPr>
                <w:rFonts w:ascii="Calibri" w:hAnsi="Calibri" w:cs="Calibri"/>
                <w:color w:val="000000"/>
                <w:sz w:val="24"/>
                <w:szCs w:val="24"/>
              </w:rPr>
              <w:t xml:space="preserve"> </w:t>
            </w:r>
            <w:r w:rsidRPr="001A0BDF">
              <w:rPr>
                <w:rFonts w:ascii="Calibri" w:hAnsi="Calibri" w:cs="Calibri"/>
                <w:color w:val="000000"/>
                <w:sz w:val="24"/>
                <w:szCs w:val="24"/>
              </w:rPr>
              <w:t>d’autres informations pertinentes concernant les quincailleries de bâtiment, en relation avec l’endurance de la</w:t>
            </w:r>
            <w:r w:rsidR="00DB32DC">
              <w:rPr>
                <w:rFonts w:ascii="Calibri" w:hAnsi="Calibri" w:cs="Calibri"/>
                <w:color w:val="000000"/>
                <w:sz w:val="24"/>
                <w:szCs w:val="24"/>
              </w:rPr>
              <w:t xml:space="preserve"> </w:t>
            </w:r>
            <w:r w:rsidRPr="001A0BDF">
              <w:rPr>
                <w:rFonts w:ascii="Calibri" w:hAnsi="Calibri" w:cs="Calibri"/>
                <w:color w:val="000000"/>
                <w:sz w:val="24"/>
                <w:szCs w:val="24"/>
              </w:rPr>
              <w:t xml:space="preserve">fermeture </w:t>
            </w:r>
            <w:r w:rsidRPr="001A0BDF">
              <w:rPr>
                <w:rFonts w:ascii="Calibri" w:hAnsi="Calibri" w:cs="Calibri"/>
                <w:color w:val="000000"/>
                <w:sz w:val="24"/>
                <w:szCs w:val="24"/>
              </w:rPr>
              <w:lastRenderedPageBreak/>
              <w:t>automatique et les essais justificatifs de résistance au feu et/ou d’étanchéité à la fumée.</w:t>
            </w:r>
            <w:r w:rsidRPr="001A0BDF">
              <w:rPr>
                <w:rFonts w:ascii="Calibri" w:hAnsi="Calibri" w:cs="Calibri"/>
                <w:color w:val="000000"/>
                <w:sz w:val="24"/>
                <w:szCs w:val="24"/>
              </w:rPr>
              <w:br/>
              <w:t>Les autres caractéristiques de performance requises sont fournies dans le FprEN 16034.</w:t>
            </w:r>
          </w:p>
        </w:tc>
      </w:tr>
      <w:tr w:rsidR="00921C0A" w:rsidRPr="0043547B" w:rsidTr="00056AEE">
        <w:trPr>
          <w:trHeight w:val="366"/>
          <w:jc w:val="center"/>
        </w:trPr>
        <w:tc>
          <w:tcPr>
            <w:tcW w:w="1838" w:type="dxa"/>
            <w:tcBorders>
              <w:top w:val="single" w:sz="6" w:space="0" w:color="auto"/>
              <w:left w:val="single" w:sz="18" w:space="0" w:color="auto"/>
              <w:bottom w:val="single" w:sz="18" w:space="0" w:color="auto"/>
              <w:right w:val="single" w:sz="4" w:space="0" w:color="auto"/>
            </w:tcBorders>
            <w:shd w:val="clear" w:color="auto" w:fill="C2D69B" w:themeFill="accent3" w:themeFillTint="99"/>
            <w:vAlign w:val="center"/>
          </w:tcPr>
          <w:p w:rsidR="00921C0A" w:rsidRPr="001A0BDF" w:rsidRDefault="00921C0A" w:rsidP="0028027F">
            <w:pPr>
              <w:spacing w:after="0" w:line="240" w:lineRule="auto"/>
              <w:jc w:val="center"/>
              <w:rPr>
                <w:rFonts w:ascii="Calibri" w:hAnsi="Calibri" w:cs="Calibri"/>
                <w:b/>
                <w:bCs/>
                <w:sz w:val="24"/>
                <w:szCs w:val="24"/>
              </w:rPr>
            </w:pPr>
            <w:r w:rsidRPr="001A0BDF">
              <w:rPr>
                <w:rFonts w:ascii="Calibri" w:hAnsi="Calibri" w:cs="Calibri"/>
                <w:b/>
                <w:bCs/>
                <w:sz w:val="24"/>
                <w:szCs w:val="24"/>
              </w:rPr>
              <w:lastRenderedPageBreak/>
              <w:t>Code :</w:t>
            </w:r>
          </w:p>
        </w:tc>
        <w:tc>
          <w:tcPr>
            <w:tcW w:w="7938" w:type="dxa"/>
            <w:tcBorders>
              <w:top w:val="single" w:sz="6" w:space="0" w:color="auto"/>
              <w:left w:val="single" w:sz="4" w:space="0" w:color="auto"/>
              <w:bottom w:val="single" w:sz="18" w:space="0" w:color="auto"/>
              <w:right w:val="single" w:sz="18" w:space="0" w:color="auto"/>
            </w:tcBorders>
            <w:shd w:val="clear" w:color="auto" w:fill="C2D69B" w:themeFill="accent3" w:themeFillTint="99"/>
            <w:vAlign w:val="center"/>
          </w:tcPr>
          <w:p w:rsidR="00921C0A" w:rsidRPr="001A0BDF" w:rsidRDefault="00921C0A" w:rsidP="0028027F">
            <w:pPr>
              <w:spacing w:after="0" w:line="240" w:lineRule="auto"/>
              <w:jc w:val="center"/>
              <w:rPr>
                <w:rFonts w:ascii="Calibri" w:hAnsi="Calibri" w:cs="Calibri"/>
                <w:color w:val="000000"/>
                <w:sz w:val="24"/>
                <w:szCs w:val="24"/>
              </w:rPr>
            </w:pPr>
            <w:r w:rsidRPr="001A0BDF">
              <w:rPr>
                <w:rFonts w:ascii="Calibri" w:hAnsi="Calibri" w:cs="Calibri"/>
                <w:color w:val="000000"/>
                <w:sz w:val="24"/>
                <w:szCs w:val="24"/>
              </w:rPr>
              <w:t>NM EN 13126-1</w:t>
            </w:r>
          </w:p>
        </w:tc>
      </w:tr>
      <w:tr w:rsidR="00921C0A" w:rsidRPr="0043547B" w:rsidTr="00056AEE">
        <w:trPr>
          <w:trHeight w:val="374"/>
          <w:jc w:val="center"/>
        </w:trPr>
        <w:tc>
          <w:tcPr>
            <w:tcW w:w="1838" w:type="dxa"/>
            <w:tcBorders>
              <w:top w:val="single" w:sz="6" w:space="0" w:color="auto"/>
              <w:left w:val="single" w:sz="18" w:space="0" w:color="auto"/>
              <w:bottom w:val="single" w:sz="18" w:space="0" w:color="auto"/>
              <w:right w:val="single" w:sz="4" w:space="0" w:color="auto"/>
            </w:tcBorders>
            <w:shd w:val="clear" w:color="auto" w:fill="FFFF99"/>
            <w:vAlign w:val="center"/>
          </w:tcPr>
          <w:p w:rsidR="00921C0A" w:rsidRPr="001A0BDF" w:rsidRDefault="00921C0A" w:rsidP="0028027F">
            <w:pPr>
              <w:spacing w:after="0" w:line="240" w:lineRule="auto"/>
              <w:jc w:val="center"/>
              <w:rPr>
                <w:rFonts w:ascii="Calibri" w:hAnsi="Calibri" w:cs="Calibri"/>
                <w:b/>
                <w:bCs/>
                <w:sz w:val="24"/>
                <w:szCs w:val="24"/>
              </w:rPr>
            </w:pPr>
            <w:r w:rsidRPr="001A0BDF">
              <w:rPr>
                <w:rFonts w:ascii="Calibri" w:hAnsi="Calibri" w:cs="Calibri"/>
                <w:b/>
                <w:bCs/>
                <w:sz w:val="24"/>
                <w:szCs w:val="24"/>
              </w:rPr>
              <w:t>Equivalence :</w:t>
            </w:r>
          </w:p>
        </w:tc>
        <w:tc>
          <w:tcPr>
            <w:tcW w:w="7938" w:type="dxa"/>
            <w:tcBorders>
              <w:top w:val="single" w:sz="6" w:space="0" w:color="auto"/>
              <w:left w:val="single" w:sz="4" w:space="0" w:color="auto"/>
              <w:bottom w:val="single" w:sz="18" w:space="0" w:color="auto"/>
              <w:right w:val="single" w:sz="18" w:space="0" w:color="auto"/>
            </w:tcBorders>
            <w:shd w:val="clear" w:color="auto" w:fill="FFFF99"/>
            <w:vAlign w:val="center"/>
          </w:tcPr>
          <w:p w:rsidR="00921C0A" w:rsidRPr="001A0BDF" w:rsidRDefault="00921C0A" w:rsidP="0028027F">
            <w:pPr>
              <w:spacing w:after="0" w:line="240" w:lineRule="auto"/>
              <w:jc w:val="center"/>
              <w:rPr>
                <w:rFonts w:ascii="Calibri" w:hAnsi="Calibri" w:cs="Calibri"/>
                <w:color w:val="000000"/>
                <w:sz w:val="24"/>
                <w:szCs w:val="24"/>
              </w:rPr>
            </w:pPr>
            <w:r w:rsidRPr="001A0BDF">
              <w:rPr>
                <w:rFonts w:ascii="Calibri" w:hAnsi="Calibri" w:cs="Calibri"/>
                <w:color w:val="000000"/>
                <w:sz w:val="24"/>
                <w:szCs w:val="24"/>
              </w:rPr>
              <w:t>EN 13126-1</w:t>
            </w:r>
          </w:p>
        </w:tc>
      </w:tr>
      <w:tr w:rsidR="00921C0A" w:rsidRPr="0043547B" w:rsidTr="00056AEE">
        <w:trPr>
          <w:trHeight w:val="525"/>
          <w:jc w:val="center"/>
        </w:trPr>
        <w:tc>
          <w:tcPr>
            <w:tcW w:w="1838" w:type="dxa"/>
            <w:tcBorders>
              <w:top w:val="single" w:sz="18" w:space="0" w:color="auto"/>
              <w:left w:val="single" w:sz="18" w:space="0" w:color="auto"/>
              <w:bottom w:val="single" w:sz="4" w:space="0" w:color="auto"/>
              <w:right w:val="single" w:sz="4" w:space="0" w:color="auto"/>
            </w:tcBorders>
            <w:shd w:val="clear" w:color="auto" w:fill="95B3D7" w:themeFill="accent1" w:themeFillTint="99"/>
            <w:vAlign w:val="center"/>
          </w:tcPr>
          <w:p w:rsidR="00921C0A" w:rsidRPr="001A0BDF" w:rsidRDefault="00921C0A" w:rsidP="0028027F">
            <w:pPr>
              <w:spacing w:after="0" w:line="240" w:lineRule="auto"/>
              <w:jc w:val="center"/>
              <w:rPr>
                <w:rFonts w:ascii="Calibri" w:hAnsi="Calibri" w:cs="Calibri"/>
                <w:b/>
                <w:bCs/>
                <w:sz w:val="24"/>
                <w:szCs w:val="24"/>
              </w:rPr>
            </w:pPr>
            <w:r w:rsidRPr="001A0BDF">
              <w:rPr>
                <w:rFonts w:ascii="Calibri" w:hAnsi="Calibri" w:cs="Calibr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bottom"/>
          </w:tcPr>
          <w:p w:rsidR="00921C0A" w:rsidRPr="001A0BDF" w:rsidRDefault="00921C0A" w:rsidP="001A0BDF">
            <w:pPr>
              <w:spacing w:after="0" w:line="240" w:lineRule="auto"/>
              <w:rPr>
                <w:rFonts w:ascii="Calibri" w:hAnsi="Calibri" w:cs="Calibri"/>
                <w:color w:val="000000"/>
                <w:sz w:val="24"/>
                <w:szCs w:val="24"/>
              </w:rPr>
            </w:pPr>
            <w:r w:rsidRPr="001A0BDF">
              <w:rPr>
                <w:rFonts w:ascii="Calibri" w:hAnsi="Calibri" w:cs="Calibri"/>
                <w:color w:val="000000"/>
                <w:sz w:val="24"/>
                <w:szCs w:val="24"/>
              </w:rPr>
              <w:t xml:space="preserve">Quincaillerie pour le bâtiment - Exigences et méthodes d'essai des ferrures de fenêtres et portes-fenêtres - Partie 1 : Exigences communes à tous les types de ferrures </w:t>
            </w:r>
          </w:p>
        </w:tc>
      </w:tr>
      <w:tr w:rsidR="00921C0A" w:rsidRPr="0043547B" w:rsidTr="00056AEE">
        <w:trPr>
          <w:trHeight w:val="525"/>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921C0A" w:rsidRPr="001A0BDF" w:rsidRDefault="00921C0A" w:rsidP="0028027F">
            <w:pPr>
              <w:spacing w:after="0" w:line="240" w:lineRule="auto"/>
              <w:jc w:val="center"/>
              <w:rPr>
                <w:rFonts w:ascii="Calibri" w:hAnsi="Calibri" w:cs="Calibri"/>
                <w:b/>
                <w:bCs/>
                <w:sz w:val="24"/>
                <w:szCs w:val="24"/>
              </w:rPr>
            </w:pPr>
            <w:r w:rsidRPr="001A0BDF">
              <w:rPr>
                <w:rFonts w:ascii="Calibri" w:hAnsi="Calibri" w:cs="Calibr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bottom"/>
          </w:tcPr>
          <w:p w:rsidR="00DB32DC" w:rsidRDefault="00921C0A" w:rsidP="00DB32DC">
            <w:pPr>
              <w:spacing w:after="0" w:line="240" w:lineRule="auto"/>
              <w:jc w:val="both"/>
              <w:rPr>
                <w:rFonts w:ascii="Calibri" w:hAnsi="Calibri" w:cs="Calibri"/>
                <w:color w:val="000000"/>
                <w:sz w:val="24"/>
                <w:szCs w:val="24"/>
              </w:rPr>
            </w:pPr>
            <w:r w:rsidRPr="001A0BDF">
              <w:rPr>
                <w:rFonts w:ascii="Calibri" w:hAnsi="Calibri" w:cs="Calibri"/>
                <w:color w:val="000000"/>
                <w:sz w:val="24"/>
                <w:szCs w:val="24"/>
              </w:rPr>
              <w:t>La présente Norme européenne spécifie les exigences de performance relatives à la résistance et à l'endurance des</w:t>
            </w:r>
            <w:r w:rsidR="00DB32DC">
              <w:rPr>
                <w:rFonts w:ascii="Calibri" w:hAnsi="Calibri" w:cs="Calibri"/>
                <w:color w:val="000000"/>
                <w:sz w:val="24"/>
                <w:szCs w:val="24"/>
              </w:rPr>
              <w:t xml:space="preserve"> </w:t>
            </w:r>
            <w:r w:rsidRPr="001A0BDF">
              <w:rPr>
                <w:rFonts w:ascii="Calibri" w:hAnsi="Calibri" w:cs="Calibri"/>
                <w:color w:val="000000"/>
                <w:sz w:val="24"/>
                <w:szCs w:val="24"/>
              </w:rPr>
              <w:t>ferrures équipant les ouvrants de fenêtres et portes-fenêtres, en se limitant aux exigences et méthodes d'essai</w:t>
            </w:r>
            <w:r w:rsidR="00DB32DC">
              <w:rPr>
                <w:rFonts w:ascii="Calibri" w:hAnsi="Calibri" w:cs="Calibri"/>
                <w:color w:val="000000"/>
                <w:sz w:val="24"/>
                <w:szCs w:val="24"/>
              </w:rPr>
              <w:t xml:space="preserve"> </w:t>
            </w:r>
            <w:r w:rsidRPr="001A0BDF">
              <w:rPr>
                <w:rFonts w:ascii="Calibri" w:hAnsi="Calibri" w:cs="Calibri"/>
                <w:color w:val="000000"/>
                <w:sz w:val="24"/>
                <w:szCs w:val="24"/>
              </w:rPr>
              <w:t>communes à toutes les ferrures.</w:t>
            </w:r>
          </w:p>
          <w:p w:rsidR="00921C0A" w:rsidRPr="001A0BDF" w:rsidRDefault="00921C0A" w:rsidP="00DB32DC">
            <w:pPr>
              <w:spacing w:after="0" w:line="240" w:lineRule="auto"/>
              <w:jc w:val="both"/>
              <w:rPr>
                <w:rFonts w:ascii="Calibri" w:hAnsi="Calibri" w:cs="Calibri"/>
                <w:color w:val="000000"/>
                <w:sz w:val="24"/>
                <w:szCs w:val="24"/>
              </w:rPr>
            </w:pPr>
            <w:r w:rsidRPr="001A0BDF">
              <w:rPr>
                <w:rFonts w:ascii="Calibri" w:hAnsi="Calibri" w:cs="Calibri"/>
                <w:color w:val="000000"/>
                <w:sz w:val="24"/>
                <w:szCs w:val="24"/>
              </w:rPr>
              <w:t>La présente Norme européenne s'applique aux ferrures utilisables sur les fenêtres et portes-fenêtres du Tableau 1,</w:t>
            </w:r>
            <w:r w:rsidR="00DB32DC">
              <w:rPr>
                <w:rFonts w:ascii="Calibri" w:hAnsi="Calibri" w:cs="Calibri"/>
                <w:color w:val="000000"/>
                <w:sz w:val="24"/>
                <w:szCs w:val="24"/>
              </w:rPr>
              <w:t xml:space="preserve"> </w:t>
            </w:r>
            <w:r w:rsidRPr="001A0BDF">
              <w:rPr>
                <w:rFonts w:ascii="Calibri" w:hAnsi="Calibri" w:cs="Calibri"/>
                <w:color w:val="000000"/>
                <w:sz w:val="24"/>
                <w:szCs w:val="24"/>
              </w:rPr>
              <w:t>quel que soit le matériau utilisé dans la construction de la fenêtre.</w:t>
            </w:r>
          </w:p>
        </w:tc>
      </w:tr>
      <w:tr w:rsidR="00921C0A" w:rsidRPr="0043547B" w:rsidTr="00056AEE">
        <w:trPr>
          <w:trHeight w:val="340"/>
          <w:jc w:val="center"/>
        </w:trPr>
        <w:tc>
          <w:tcPr>
            <w:tcW w:w="1838" w:type="dxa"/>
            <w:tcBorders>
              <w:top w:val="single" w:sz="6" w:space="0" w:color="auto"/>
              <w:left w:val="single" w:sz="18" w:space="0" w:color="auto"/>
              <w:bottom w:val="single" w:sz="18" w:space="0" w:color="auto"/>
              <w:right w:val="single" w:sz="4" w:space="0" w:color="auto"/>
            </w:tcBorders>
            <w:shd w:val="clear" w:color="auto" w:fill="C2D69B" w:themeFill="accent3" w:themeFillTint="99"/>
            <w:vAlign w:val="center"/>
          </w:tcPr>
          <w:p w:rsidR="00921C0A" w:rsidRPr="001A0BDF" w:rsidRDefault="00921C0A" w:rsidP="0028027F">
            <w:pPr>
              <w:spacing w:after="0" w:line="240" w:lineRule="auto"/>
              <w:jc w:val="center"/>
              <w:rPr>
                <w:rFonts w:ascii="Calibri" w:hAnsi="Calibri" w:cs="Calibri"/>
                <w:b/>
                <w:bCs/>
                <w:sz w:val="24"/>
                <w:szCs w:val="24"/>
              </w:rPr>
            </w:pPr>
            <w:r w:rsidRPr="001A0BDF">
              <w:rPr>
                <w:rFonts w:ascii="Calibri" w:hAnsi="Calibri" w:cs="Calibri"/>
                <w:b/>
                <w:bCs/>
                <w:sz w:val="24"/>
                <w:szCs w:val="24"/>
              </w:rPr>
              <w:t>Code :</w:t>
            </w:r>
          </w:p>
        </w:tc>
        <w:tc>
          <w:tcPr>
            <w:tcW w:w="7938" w:type="dxa"/>
            <w:tcBorders>
              <w:top w:val="single" w:sz="6" w:space="0" w:color="auto"/>
              <w:left w:val="single" w:sz="4" w:space="0" w:color="auto"/>
              <w:bottom w:val="single" w:sz="18" w:space="0" w:color="auto"/>
              <w:right w:val="single" w:sz="18" w:space="0" w:color="auto"/>
            </w:tcBorders>
            <w:shd w:val="clear" w:color="auto" w:fill="C2D69B" w:themeFill="accent3" w:themeFillTint="99"/>
            <w:vAlign w:val="center"/>
          </w:tcPr>
          <w:p w:rsidR="00921C0A" w:rsidRPr="00DB32DC" w:rsidRDefault="00921C0A" w:rsidP="0028027F">
            <w:pPr>
              <w:spacing w:after="0" w:line="240" w:lineRule="auto"/>
              <w:jc w:val="center"/>
              <w:rPr>
                <w:rFonts w:ascii="Calibri" w:hAnsi="Calibri" w:cs="Calibri"/>
                <w:b/>
                <w:bCs/>
                <w:color w:val="000000"/>
                <w:sz w:val="24"/>
                <w:szCs w:val="24"/>
              </w:rPr>
            </w:pPr>
            <w:r w:rsidRPr="00DB32DC">
              <w:rPr>
                <w:rFonts w:ascii="Calibri" w:hAnsi="Calibri" w:cs="Calibri"/>
                <w:b/>
                <w:bCs/>
                <w:color w:val="000000"/>
                <w:sz w:val="24"/>
                <w:szCs w:val="24"/>
              </w:rPr>
              <w:t>NM EN 13126-2</w:t>
            </w:r>
          </w:p>
        </w:tc>
      </w:tr>
      <w:tr w:rsidR="00921C0A" w:rsidRPr="0043547B" w:rsidTr="00056AEE">
        <w:trPr>
          <w:trHeight w:val="374"/>
          <w:jc w:val="center"/>
        </w:trPr>
        <w:tc>
          <w:tcPr>
            <w:tcW w:w="1838" w:type="dxa"/>
            <w:tcBorders>
              <w:top w:val="single" w:sz="6" w:space="0" w:color="auto"/>
              <w:left w:val="single" w:sz="18" w:space="0" w:color="auto"/>
              <w:bottom w:val="single" w:sz="18" w:space="0" w:color="auto"/>
              <w:right w:val="single" w:sz="4" w:space="0" w:color="auto"/>
            </w:tcBorders>
            <w:shd w:val="clear" w:color="auto" w:fill="FFFF99"/>
            <w:vAlign w:val="center"/>
          </w:tcPr>
          <w:p w:rsidR="00921C0A" w:rsidRPr="001A0BDF" w:rsidRDefault="00921C0A" w:rsidP="0028027F">
            <w:pPr>
              <w:spacing w:after="0" w:line="240" w:lineRule="auto"/>
              <w:jc w:val="center"/>
              <w:rPr>
                <w:rFonts w:ascii="Calibri" w:hAnsi="Calibri" w:cs="Calibri"/>
                <w:b/>
                <w:bCs/>
                <w:sz w:val="24"/>
                <w:szCs w:val="24"/>
              </w:rPr>
            </w:pPr>
            <w:r w:rsidRPr="001A0BDF">
              <w:rPr>
                <w:rFonts w:ascii="Calibri" w:hAnsi="Calibri" w:cs="Calibri"/>
                <w:b/>
                <w:bCs/>
                <w:sz w:val="24"/>
                <w:szCs w:val="24"/>
              </w:rPr>
              <w:t>Equivalence :</w:t>
            </w:r>
          </w:p>
        </w:tc>
        <w:tc>
          <w:tcPr>
            <w:tcW w:w="7938" w:type="dxa"/>
            <w:tcBorders>
              <w:top w:val="single" w:sz="6" w:space="0" w:color="auto"/>
              <w:left w:val="single" w:sz="4" w:space="0" w:color="auto"/>
              <w:bottom w:val="single" w:sz="18" w:space="0" w:color="auto"/>
              <w:right w:val="single" w:sz="18" w:space="0" w:color="auto"/>
            </w:tcBorders>
            <w:shd w:val="clear" w:color="auto" w:fill="FFFF99"/>
            <w:vAlign w:val="center"/>
          </w:tcPr>
          <w:p w:rsidR="00921C0A" w:rsidRPr="00DB32DC" w:rsidRDefault="00921C0A" w:rsidP="0028027F">
            <w:pPr>
              <w:spacing w:after="0" w:line="240" w:lineRule="auto"/>
              <w:jc w:val="center"/>
              <w:rPr>
                <w:rFonts w:ascii="Calibri" w:hAnsi="Calibri" w:cs="Calibri"/>
                <w:b/>
                <w:bCs/>
                <w:color w:val="000000"/>
                <w:sz w:val="24"/>
                <w:szCs w:val="24"/>
              </w:rPr>
            </w:pPr>
            <w:r w:rsidRPr="00DB32DC">
              <w:rPr>
                <w:rFonts w:ascii="Calibri" w:hAnsi="Calibri" w:cs="Calibri"/>
                <w:b/>
                <w:bCs/>
                <w:color w:val="000000"/>
                <w:sz w:val="24"/>
                <w:szCs w:val="24"/>
              </w:rPr>
              <w:t>EN 13126-2</w:t>
            </w:r>
          </w:p>
        </w:tc>
      </w:tr>
      <w:tr w:rsidR="00921C0A" w:rsidRPr="0043547B" w:rsidTr="00056AEE">
        <w:trPr>
          <w:trHeight w:val="525"/>
          <w:jc w:val="center"/>
        </w:trPr>
        <w:tc>
          <w:tcPr>
            <w:tcW w:w="1838" w:type="dxa"/>
            <w:tcBorders>
              <w:top w:val="single" w:sz="18" w:space="0" w:color="auto"/>
              <w:left w:val="single" w:sz="18" w:space="0" w:color="auto"/>
              <w:bottom w:val="single" w:sz="4" w:space="0" w:color="auto"/>
              <w:right w:val="single" w:sz="4" w:space="0" w:color="auto"/>
            </w:tcBorders>
            <w:shd w:val="clear" w:color="auto" w:fill="95B3D7" w:themeFill="accent1" w:themeFillTint="99"/>
            <w:vAlign w:val="center"/>
          </w:tcPr>
          <w:p w:rsidR="00921C0A" w:rsidRPr="001A0BDF" w:rsidRDefault="00921C0A" w:rsidP="0028027F">
            <w:pPr>
              <w:spacing w:after="0" w:line="240" w:lineRule="auto"/>
              <w:jc w:val="center"/>
              <w:rPr>
                <w:rFonts w:ascii="Calibri" w:hAnsi="Calibri" w:cs="Calibri"/>
                <w:b/>
                <w:bCs/>
                <w:sz w:val="24"/>
                <w:szCs w:val="24"/>
              </w:rPr>
            </w:pPr>
            <w:r w:rsidRPr="001A0BDF">
              <w:rPr>
                <w:rFonts w:ascii="Calibri" w:hAnsi="Calibri" w:cs="Calibr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bottom"/>
          </w:tcPr>
          <w:p w:rsidR="00921C0A" w:rsidRPr="001A0BDF" w:rsidRDefault="00921C0A" w:rsidP="001A0BDF">
            <w:pPr>
              <w:spacing w:after="0" w:line="240" w:lineRule="auto"/>
              <w:rPr>
                <w:rFonts w:ascii="Calibri" w:hAnsi="Calibri" w:cs="Calibri"/>
                <w:color w:val="000000"/>
                <w:sz w:val="24"/>
                <w:szCs w:val="24"/>
              </w:rPr>
            </w:pPr>
            <w:r w:rsidRPr="001A0BDF">
              <w:rPr>
                <w:rFonts w:ascii="Calibri" w:hAnsi="Calibri" w:cs="Calibri"/>
                <w:color w:val="000000"/>
                <w:sz w:val="24"/>
                <w:szCs w:val="24"/>
              </w:rPr>
              <w:t xml:space="preserve">Quincaillerie pour le bâtiment - Exigences et méthodes d'essai des ferrures de fenêtres et portes-fenêtres - Partie 2 : Poignées à ergot de verrouillage </w:t>
            </w:r>
          </w:p>
        </w:tc>
      </w:tr>
      <w:tr w:rsidR="00921C0A" w:rsidRPr="0043547B" w:rsidTr="00056AEE">
        <w:trPr>
          <w:trHeight w:val="525"/>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921C0A" w:rsidRPr="001A0BDF" w:rsidRDefault="00921C0A" w:rsidP="0028027F">
            <w:pPr>
              <w:spacing w:after="0" w:line="240" w:lineRule="auto"/>
              <w:jc w:val="center"/>
              <w:rPr>
                <w:rFonts w:ascii="Calibri" w:hAnsi="Calibri" w:cs="Calibri"/>
                <w:b/>
                <w:bCs/>
                <w:sz w:val="24"/>
                <w:szCs w:val="24"/>
              </w:rPr>
            </w:pPr>
            <w:r w:rsidRPr="001A0BDF">
              <w:rPr>
                <w:rFonts w:ascii="Calibri" w:hAnsi="Calibri" w:cs="Calibr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bottom"/>
          </w:tcPr>
          <w:p w:rsidR="00DB32DC" w:rsidRDefault="00921C0A" w:rsidP="00DB32DC">
            <w:pPr>
              <w:spacing w:after="0" w:line="240" w:lineRule="auto"/>
              <w:jc w:val="both"/>
              <w:rPr>
                <w:rFonts w:ascii="Calibri" w:hAnsi="Calibri" w:cs="Calibri"/>
                <w:color w:val="000000"/>
                <w:sz w:val="24"/>
                <w:szCs w:val="24"/>
              </w:rPr>
            </w:pPr>
            <w:r w:rsidRPr="001A0BDF">
              <w:rPr>
                <w:rFonts w:ascii="Calibri" w:hAnsi="Calibri" w:cs="Calibri"/>
                <w:color w:val="000000"/>
                <w:sz w:val="24"/>
                <w:szCs w:val="24"/>
              </w:rPr>
              <w:t>La présente Norme européenne spécifie les exigences et méthodes d'essai relatives à l'endurance, à la résistance,</w:t>
            </w:r>
            <w:r w:rsidR="00DB32DC">
              <w:rPr>
                <w:rFonts w:ascii="Calibri" w:hAnsi="Calibri" w:cs="Calibri"/>
                <w:color w:val="000000"/>
                <w:sz w:val="24"/>
                <w:szCs w:val="24"/>
              </w:rPr>
              <w:t xml:space="preserve"> </w:t>
            </w:r>
            <w:r w:rsidRPr="001A0BDF">
              <w:rPr>
                <w:rFonts w:ascii="Calibri" w:hAnsi="Calibri" w:cs="Calibri"/>
                <w:color w:val="000000"/>
                <w:sz w:val="24"/>
                <w:szCs w:val="24"/>
              </w:rPr>
              <w:t>à la sécurité des biens et à la fonctionnalité des poignées à ergot de verrouillage.</w:t>
            </w:r>
          </w:p>
          <w:p w:rsidR="00DB32DC" w:rsidRDefault="00921C0A" w:rsidP="00DB32DC">
            <w:pPr>
              <w:spacing w:after="0" w:line="240" w:lineRule="auto"/>
              <w:jc w:val="both"/>
              <w:rPr>
                <w:rFonts w:ascii="Calibri" w:hAnsi="Calibri" w:cs="Calibri"/>
                <w:color w:val="000000"/>
                <w:sz w:val="24"/>
                <w:szCs w:val="24"/>
              </w:rPr>
            </w:pPr>
            <w:r w:rsidRPr="001A0BDF">
              <w:rPr>
                <w:rFonts w:ascii="Calibri" w:hAnsi="Calibri" w:cs="Calibri"/>
                <w:color w:val="000000"/>
                <w:sz w:val="24"/>
                <w:szCs w:val="24"/>
              </w:rPr>
              <w:t>La présente Norme européenne ne s'applique pas aux ferrures suivantes :</w:t>
            </w:r>
          </w:p>
          <w:p w:rsidR="00DB32DC" w:rsidRDefault="00921C0A" w:rsidP="00DB32DC">
            <w:pPr>
              <w:spacing w:after="0" w:line="240" w:lineRule="auto"/>
              <w:jc w:val="both"/>
              <w:rPr>
                <w:rFonts w:ascii="Calibri" w:hAnsi="Calibri" w:cs="Calibri"/>
                <w:color w:val="000000"/>
                <w:sz w:val="24"/>
                <w:szCs w:val="24"/>
              </w:rPr>
            </w:pPr>
            <w:r w:rsidRPr="001A0BDF">
              <w:rPr>
                <w:rFonts w:ascii="Calibri" w:hAnsi="Calibri" w:cs="Calibri"/>
                <w:color w:val="000000"/>
                <w:sz w:val="24"/>
                <w:szCs w:val="24"/>
              </w:rPr>
              <w:t>a) poignées — principalement pour ferrures d'oscillo-battant, de battant-oscillant et d'ouvrant pivotant, se reporter</w:t>
            </w:r>
            <w:r w:rsidR="00DB32DC">
              <w:rPr>
                <w:rFonts w:ascii="Calibri" w:hAnsi="Calibri" w:cs="Calibri"/>
                <w:color w:val="000000"/>
                <w:sz w:val="24"/>
                <w:szCs w:val="24"/>
              </w:rPr>
              <w:t xml:space="preserve"> </w:t>
            </w:r>
            <w:r w:rsidRPr="001A0BDF">
              <w:rPr>
                <w:rFonts w:ascii="Calibri" w:hAnsi="Calibri" w:cs="Calibri"/>
                <w:color w:val="000000"/>
                <w:sz w:val="24"/>
                <w:szCs w:val="24"/>
              </w:rPr>
              <w:t>à l'EN 13126-3 ;</w:t>
            </w:r>
          </w:p>
          <w:p w:rsidR="00921C0A" w:rsidRPr="001A0BDF" w:rsidRDefault="00921C0A" w:rsidP="00DB32DC">
            <w:pPr>
              <w:spacing w:after="0" w:line="240" w:lineRule="auto"/>
              <w:jc w:val="both"/>
              <w:rPr>
                <w:rFonts w:ascii="Calibri" w:hAnsi="Calibri" w:cs="Calibri"/>
                <w:color w:val="000000"/>
                <w:sz w:val="24"/>
                <w:szCs w:val="24"/>
              </w:rPr>
            </w:pPr>
            <w:r w:rsidRPr="001A0BDF">
              <w:rPr>
                <w:rFonts w:ascii="Calibri" w:hAnsi="Calibri" w:cs="Calibri"/>
                <w:color w:val="000000"/>
                <w:sz w:val="24"/>
                <w:szCs w:val="24"/>
              </w:rPr>
              <w:t>b) dispositifs électromécaniques.</w:t>
            </w:r>
          </w:p>
        </w:tc>
      </w:tr>
      <w:tr w:rsidR="00921C0A" w:rsidRPr="0043547B" w:rsidTr="00056AEE">
        <w:trPr>
          <w:trHeight w:val="525"/>
          <w:jc w:val="center"/>
        </w:trPr>
        <w:tc>
          <w:tcPr>
            <w:tcW w:w="1838" w:type="dxa"/>
            <w:tcBorders>
              <w:top w:val="single" w:sz="6" w:space="0" w:color="auto"/>
              <w:left w:val="single" w:sz="18" w:space="0" w:color="auto"/>
              <w:bottom w:val="single" w:sz="18" w:space="0" w:color="auto"/>
              <w:right w:val="single" w:sz="4" w:space="0" w:color="auto"/>
            </w:tcBorders>
            <w:shd w:val="clear" w:color="auto" w:fill="C2D69B" w:themeFill="accent3" w:themeFillTint="99"/>
            <w:vAlign w:val="center"/>
          </w:tcPr>
          <w:p w:rsidR="00921C0A" w:rsidRPr="001A0BDF" w:rsidRDefault="00921C0A" w:rsidP="0028027F">
            <w:pPr>
              <w:spacing w:after="0" w:line="240" w:lineRule="auto"/>
              <w:jc w:val="center"/>
              <w:rPr>
                <w:rFonts w:ascii="Calibri" w:hAnsi="Calibri" w:cs="Calibri"/>
                <w:b/>
                <w:bCs/>
                <w:sz w:val="24"/>
                <w:szCs w:val="24"/>
              </w:rPr>
            </w:pPr>
            <w:r w:rsidRPr="001A0BDF">
              <w:rPr>
                <w:rFonts w:ascii="Calibri" w:hAnsi="Calibri" w:cs="Calibri"/>
                <w:b/>
                <w:bCs/>
                <w:sz w:val="24"/>
                <w:szCs w:val="24"/>
              </w:rPr>
              <w:t>Code :</w:t>
            </w:r>
          </w:p>
        </w:tc>
        <w:tc>
          <w:tcPr>
            <w:tcW w:w="7938" w:type="dxa"/>
            <w:tcBorders>
              <w:top w:val="single" w:sz="6" w:space="0" w:color="auto"/>
              <w:left w:val="single" w:sz="4" w:space="0" w:color="auto"/>
              <w:bottom w:val="single" w:sz="18" w:space="0" w:color="auto"/>
              <w:right w:val="single" w:sz="18" w:space="0" w:color="auto"/>
            </w:tcBorders>
            <w:shd w:val="clear" w:color="auto" w:fill="C2D69B" w:themeFill="accent3" w:themeFillTint="99"/>
            <w:vAlign w:val="center"/>
          </w:tcPr>
          <w:p w:rsidR="00921C0A" w:rsidRPr="00420CEB" w:rsidRDefault="00921C0A" w:rsidP="0028027F">
            <w:pPr>
              <w:spacing w:after="0" w:line="240" w:lineRule="auto"/>
              <w:jc w:val="center"/>
              <w:rPr>
                <w:rFonts w:ascii="Calibri" w:hAnsi="Calibri" w:cs="Calibri"/>
                <w:b/>
                <w:bCs/>
                <w:color w:val="000000"/>
                <w:sz w:val="24"/>
                <w:szCs w:val="24"/>
              </w:rPr>
            </w:pPr>
            <w:r w:rsidRPr="00420CEB">
              <w:rPr>
                <w:rFonts w:ascii="Calibri" w:hAnsi="Calibri" w:cs="Calibri"/>
                <w:b/>
                <w:bCs/>
                <w:color w:val="000000"/>
                <w:sz w:val="24"/>
                <w:szCs w:val="24"/>
              </w:rPr>
              <w:t>NM EN 13126-3</w:t>
            </w:r>
          </w:p>
        </w:tc>
      </w:tr>
      <w:tr w:rsidR="00921C0A" w:rsidRPr="0043547B" w:rsidTr="00056AEE">
        <w:trPr>
          <w:trHeight w:val="525"/>
          <w:jc w:val="center"/>
        </w:trPr>
        <w:tc>
          <w:tcPr>
            <w:tcW w:w="1838" w:type="dxa"/>
            <w:tcBorders>
              <w:top w:val="single" w:sz="6" w:space="0" w:color="auto"/>
              <w:left w:val="single" w:sz="18" w:space="0" w:color="auto"/>
              <w:bottom w:val="single" w:sz="18" w:space="0" w:color="auto"/>
              <w:right w:val="single" w:sz="4" w:space="0" w:color="auto"/>
            </w:tcBorders>
            <w:shd w:val="clear" w:color="auto" w:fill="FFFF99"/>
            <w:vAlign w:val="center"/>
          </w:tcPr>
          <w:p w:rsidR="00921C0A" w:rsidRPr="001A0BDF" w:rsidRDefault="00921C0A" w:rsidP="0028027F">
            <w:pPr>
              <w:spacing w:after="0" w:line="240" w:lineRule="auto"/>
              <w:jc w:val="center"/>
              <w:rPr>
                <w:rFonts w:ascii="Calibri" w:hAnsi="Calibri" w:cs="Calibri"/>
                <w:b/>
                <w:bCs/>
                <w:sz w:val="24"/>
                <w:szCs w:val="24"/>
              </w:rPr>
            </w:pPr>
            <w:r w:rsidRPr="001A0BDF">
              <w:rPr>
                <w:rFonts w:ascii="Calibri" w:hAnsi="Calibri" w:cs="Calibri"/>
                <w:b/>
                <w:bCs/>
                <w:sz w:val="24"/>
                <w:szCs w:val="24"/>
              </w:rPr>
              <w:t>Equivalence :</w:t>
            </w:r>
          </w:p>
        </w:tc>
        <w:tc>
          <w:tcPr>
            <w:tcW w:w="7938" w:type="dxa"/>
            <w:tcBorders>
              <w:top w:val="single" w:sz="6" w:space="0" w:color="auto"/>
              <w:left w:val="single" w:sz="4" w:space="0" w:color="auto"/>
              <w:bottom w:val="single" w:sz="18" w:space="0" w:color="auto"/>
              <w:right w:val="single" w:sz="18" w:space="0" w:color="auto"/>
            </w:tcBorders>
            <w:shd w:val="clear" w:color="auto" w:fill="FFFF99"/>
            <w:vAlign w:val="center"/>
          </w:tcPr>
          <w:p w:rsidR="00921C0A" w:rsidRPr="00420CEB" w:rsidRDefault="00921C0A" w:rsidP="0028027F">
            <w:pPr>
              <w:spacing w:after="0" w:line="240" w:lineRule="auto"/>
              <w:jc w:val="center"/>
              <w:rPr>
                <w:rFonts w:ascii="Calibri" w:hAnsi="Calibri" w:cs="Calibri"/>
                <w:b/>
                <w:bCs/>
                <w:color w:val="000000"/>
                <w:sz w:val="24"/>
                <w:szCs w:val="24"/>
              </w:rPr>
            </w:pPr>
            <w:r w:rsidRPr="00420CEB">
              <w:rPr>
                <w:rFonts w:ascii="Calibri" w:hAnsi="Calibri" w:cs="Calibri"/>
                <w:b/>
                <w:bCs/>
                <w:color w:val="000000"/>
                <w:sz w:val="24"/>
                <w:szCs w:val="24"/>
              </w:rPr>
              <w:t>EN 13126-3</w:t>
            </w:r>
          </w:p>
        </w:tc>
      </w:tr>
      <w:tr w:rsidR="00921C0A" w:rsidRPr="0043547B" w:rsidTr="00056AEE">
        <w:trPr>
          <w:trHeight w:val="525"/>
          <w:jc w:val="center"/>
        </w:trPr>
        <w:tc>
          <w:tcPr>
            <w:tcW w:w="1838" w:type="dxa"/>
            <w:tcBorders>
              <w:top w:val="single" w:sz="18" w:space="0" w:color="auto"/>
              <w:left w:val="single" w:sz="18" w:space="0" w:color="auto"/>
              <w:bottom w:val="single" w:sz="4" w:space="0" w:color="auto"/>
              <w:right w:val="single" w:sz="4" w:space="0" w:color="auto"/>
            </w:tcBorders>
            <w:shd w:val="clear" w:color="auto" w:fill="95B3D7" w:themeFill="accent1" w:themeFillTint="99"/>
            <w:vAlign w:val="center"/>
          </w:tcPr>
          <w:p w:rsidR="00921C0A" w:rsidRPr="001A0BDF" w:rsidRDefault="00921C0A" w:rsidP="0028027F">
            <w:pPr>
              <w:spacing w:after="0" w:line="240" w:lineRule="auto"/>
              <w:jc w:val="center"/>
              <w:rPr>
                <w:rFonts w:ascii="Calibri" w:hAnsi="Calibri" w:cs="Calibri"/>
                <w:b/>
                <w:bCs/>
                <w:sz w:val="24"/>
                <w:szCs w:val="24"/>
              </w:rPr>
            </w:pPr>
            <w:r w:rsidRPr="001A0BDF">
              <w:rPr>
                <w:rFonts w:ascii="Calibri" w:hAnsi="Calibri" w:cs="Calibr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bottom"/>
          </w:tcPr>
          <w:p w:rsidR="00921C0A" w:rsidRPr="001A0BDF" w:rsidRDefault="00921C0A" w:rsidP="001A0BDF">
            <w:pPr>
              <w:spacing w:after="0" w:line="240" w:lineRule="auto"/>
              <w:rPr>
                <w:rFonts w:ascii="Calibri" w:hAnsi="Calibri" w:cs="Calibri"/>
                <w:color w:val="000000"/>
                <w:sz w:val="24"/>
                <w:szCs w:val="24"/>
              </w:rPr>
            </w:pPr>
            <w:r w:rsidRPr="001A0BDF">
              <w:rPr>
                <w:rFonts w:ascii="Calibri" w:hAnsi="Calibri" w:cs="Calibri"/>
                <w:color w:val="000000"/>
                <w:sz w:val="24"/>
                <w:szCs w:val="24"/>
              </w:rPr>
              <w:t xml:space="preserve">Quincaillerie pour le bâtiment - Exigences et méthodes d'essai des ferrures de fenêtres et portes-fenêtres - Partie 3 : Poignées, ferrures d'oscillo-battant, de battant-oscillant et d'ouvrant pivotant </w:t>
            </w:r>
          </w:p>
        </w:tc>
      </w:tr>
      <w:tr w:rsidR="00921C0A" w:rsidRPr="0043547B" w:rsidTr="00056AEE">
        <w:trPr>
          <w:trHeight w:val="525"/>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921C0A" w:rsidRPr="001A0BDF" w:rsidRDefault="00921C0A" w:rsidP="0028027F">
            <w:pPr>
              <w:spacing w:after="0" w:line="240" w:lineRule="auto"/>
              <w:jc w:val="center"/>
              <w:rPr>
                <w:rFonts w:ascii="Calibri" w:hAnsi="Calibri" w:cs="Calibri"/>
                <w:b/>
                <w:bCs/>
                <w:sz w:val="24"/>
                <w:szCs w:val="24"/>
              </w:rPr>
            </w:pPr>
            <w:r w:rsidRPr="001A0BDF">
              <w:rPr>
                <w:rFonts w:ascii="Calibri" w:hAnsi="Calibri" w:cs="Calibr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bottom"/>
          </w:tcPr>
          <w:p w:rsidR="00DB32DC" w:rsidRDefault="00921C0A" w:rsidP="00DB32DC">
            <w:pPr>
              <w:spacing w:after="0" w:line="240" w:lineRule="auto"/>
              <w:jc w:val="both"/>
              <w:rPr>
                <w:rFonts w:ascii="Calibri" w:hAnsi="Calibri" w:cs="Calibri"/>
                <w:color w:val="000000"/>
                <w:sz w:val="24"/>
                <w:szCs w:val="24"/>
              </w:rPr>
            </w:pPr>
            <w:r w:rsidRPr="001A0BDF">
              <w:rPr>
                <w:rFonts w:ascii="Calibri" w:hAnsi="Calibri" w:cs="Calibri"/>
                <w:color w:val="000000"/>
                <w:sz w:val="24"/>
                <w:szCs w:val="24"/>
              </w:rPr>
              <w:t>La présente partie de l'EN 13126 spécifie les exigences et les méthodes d'essai relatives à l'endurance,</w:t>
            </w:r>
            <w:r w:rsidR="00DB32DC">
              <w:rPr>
                <w:rFonts w:ascii="Calibri" w:hAnsi="Calibri" w:cs="Calibri"/>
                <w:color w:val="000000"/>
                <w:sz w:val="24"/>
                <w:szCs w:val="24"/>
              </w:rPr>
              <w:t xml:space="preserve"> </w:t>
            </w:r>
            <w:r w:rsidRPr="001A0BDF">
              <w:rPr>
                <w:rFonts w:ascii="Calibri" w:hAnsi="Calibri" w:cs="Calibri"/>
                <w:color w:val="000000"/>
                <w:sz w:val="24"/>
                <w:szCs w:val="24"/>
              </w:rPr>
              <w:t>à la résistance, à la sécurité et à la fonctionnalité des poignées.</w:t>
            </w:r>
            <w:r w:rsidRPr="001A0BDF">
              <w:rPr>
                <w:rFonts w:ascii="Calibri" w:hAnsi="Calibri" w:cs="Calibri"/>
                <w:color w:val="000000"/>
                <w:sz w:val="24"/>
                <w:szCs w:val="24"/>
              </w:rPr>
              <w:br/>
              <w:t>La présente Norme européenne s'applique aux ferrures d'oscillo-battant, de battant-oscillant et d’ouvrant pivotant</w:t>
            </w:r>
            <w:r w:rsidR="00DB32DC">
              <w:rPr>
                <w:rFonts w:ascii="Calibri" w:hAnsi="Calibri" w:cs="Calibri"/>
                <w:color w:val="000000"/>
                <w:sz w:val="24"/>
                <w:szCs w:val="24"/>
              </w:rPr>
              <w:t xml:space="preserve"> </w:t>
            </w:r>
            <w:r w:rsidRPr="001A0BDF">
              <w:rPr>
                <w:rFonts w:ascii="Calibri" w:hAnsi="Calibri" w:cs="Calibri"/>
                <w:color w:val="000000"/>
                <w:sz w:val="24"/>
                <w:szCs w:val="24"/>
              </w:rPr>
              <w:t>destinées à être utilisées sur les fenêtres et les portes-fenêtres.</w:t>
            </w:r>
          </w:p>
          <w:p w:rsidR="00DB32DC" w:rsidRDefault="00921C0A" w:rsidP="00DB32DC">
            <w:pPr>
              <w:spacing w:after="0" w:line="240" w:lineRule="auto"/>
              <w:jc w:val="both"/>
              <w:rPr>
                <w:rFonts w:ascii="Calibri" w:hAnsi="Calibri" w:cs="Calibri"/>
                <w:color w:val="000000"/>
                <w:sz w:val="24"/>
                <w:szCs w:val="24"/>
              </w:rPr>
            </w:pPr>
            <w:r w:rsidRPr="001A0BDF">
              <w:rPr>
                <w:rFonts w:ascii="Calibri" w:hAnsi="Calibri" w:cs="Calibri"/>
                <w:color w:val="000000"/>
                <w:sz w:val="24"/>
                <w:szCs w:val="24"/>
              </w:rPr>
              <w:t>Les poignées peuvent également être utilisées sur d'autres types d'ouverture, par exemple sur des fenêtres</w:t>
            </w:r>
            <w:r w:rsidR="00DB32DC">
              <w:rPr>
                <w:rFonts w:ascii="Calibri" w:hAnsi="Calibri" w:cs="Calibri"/>
                <w:color w:val="000000"/>
                <w:sz w:val="24"/>
                <w:szCs w:val="24"/>
              </w:rPr>
              <w:t xml:space="preserve"> </w:t>
            </w:r>
            <w:r w:rsidRPr="001A0BDF">
              <w:rPr>
                <w:rFonts w:ascii="Calibri" w:hAnsi="Calibri" w:cs="Calibri"/>
                <w:color w:val="000000"/>
                <w:sz w:val="24"/>
                <w:szCs w:val="24"/>
              </w:rPr>
              <w:t>coulissantes, oscillo-coulissantes, coulissantes accordéon, basculantes et pivotantes.</w:t>
            </w:r>
          </w:p>
          <w:p w:rsidR="00DB32DC" w:rsidRDefault="00921C0A" w:rsidP="00DB32DC">
            <w:pPr>
              <w:spacing w:after="0" w:line="240" w:lineRule="auto"/>
              <w:jc w:val="both"/>
              <w:rPr>
                <w:rFonts w:ascii="Calibri" w:hAnsi="Calibri" w:cs="Calibri"/>
                <w:color w:val="000000"/>
                <w:sz w:val="24"/>
                <w:szCs w:val="24"/>
              </w:rPr>
            </w:pPr>
            <w:r w:rsidRPr="001A0BDF">
              <w:rPr>
                <w:rFonts w:ascii="Calibri" w:hAnsi="Calibri" w:cs="Calibri"/>
                <w:color w:val="000000"/>
                <w:sz w:val="24"/>
                <w:szCs w:val="24"/>
              </w:rPr>
              <w:t>La présente Norme européenne ne s'applique pas aux ferrures suivantes :</w:t>
            </w:r>
          </w:p>
          <w:p w:rsidR="00DB32DC" w:rsidRDefault="00921C0A" w:rsidP="00DB32DC">
            <w:pPr>
              <w:spacing w:after="0" w:line="240" w:lineRule="auto"/>
              <w:jc w:val="both"/>
              <w:rPr>
                <w:rFonts w:ascii="Calibri" w:hAnsi="Calibri" w:cs="Calibri"/>
                <w:color w:val="000000"/>
                <w:sz w:val="24"/>
                <w:szCs w:val="24"/>
              </w:rPr>
            </w:pPr>
            <w:r w:rsidRPr="001A0BDF">
              <w:rPr>
                <w:rFonts w:ascii="Calibri" w:hAnsi="Calibri" w:cs="Calibri"/>
                <w:color w:val="000000"/>
                <w:sz w:val="24"/>
                <w:szCs w:val="24"/>
              </w:rPr>
              <w:t>a) les organes de manoeuvre et les poignées de porte pour serrures de portes à pêne dormant ou à pêne demi-tour ;</w:t>
            </w:r>
            <w:r w:rsidR="00DB32DC">
              <w:rPr>
                <w:rFonts w:ascii="Calibri" w:hAnsi="Calibri" w:cs="Calibri"/>
                <w:color w:val="000000"/>
                <w:sz w:val="24"/>
                <w:szCs w:val="24"/>
              </w:rPr>
              <w:t xml:space="preserve"> </w:t>
            </w:r>
            <w:r w:rsidRPr="001A0BDF">
              <w:rPr>
                <w:rFonts w:ascii="Calibri" w:hAnsi="Calibri" w:cs="Calibri"/>
                <w:color w:val="000000"/>
                <w:sz w:val="24"/>
                <w:szCs w:val="24"/>
              </w:rPr>
              <w:t>→ se reporter à l'EN 1906 ;</w:t>
            </w:r>
          </w:p>
          <w:p w:rsidR="00DB32DC" w:rsidRDefault="00921C0A" w:rsidP="00DB32DC">
            <w:pPr>
              <w:spacing w:after="0" w:line="240" w:lineRule="auto"/>
              <w:jc w:val="both"/>
              <w:rPr>
                <w:rFonts w:ascii="Calibri" w:hAnsi="Calibri" w:cs="Calibri"/>
                <w:color w:val="000000"/>
                <w:sz w:val="24"/>
                <w:szCs w:val="24"/>
              </w:rPr>
            </w:pPr>
            <w:r w:rsidRPr="001A0BDF">
              <w:rPr>
                <w:rFonts w:ascii="Calibri" w:hAnsi="Calibri" w:cs="Calibri"/>
                <w:color w:val="000000"/>
                <w:sz w:val="24"/>
                <w:szCs w:val="24"/>
              </w:rPr>
              <w:t>b) les poignées d'une longueur &gt; 170 mm (se reporter à la Figure B.1) ;</w:t>
            </w:r>
          </w:p>
          <w:p w:rsidR="00921C0A" w:rsidRPr="001A0BDF" w:rsidRDefault="00921C0A" w:rsidP="00DB32DC">
            <w:pPr>
              <w:spacing w:after="0" w:line="240" w:lineRule="auto"/>
              <w:jc w:val="both"/>
              <w:rPr>
                <w:rFonts w:ascii="Calibri" w:hAnsi="Calibri" w:cs="Calibri"/>
                <w:color w:val="000000"/>
                <w:sz w:val="24"/>
                <w:szCs w:val="24"/>
              </w:rPr>
            </w:pPr>
            <w:r w:rsidRPr="001A0BDF">
              <w:rPr>
                <w:rFonts w:ascii="Calibri" w:hAnsi="Calibri" w:cs="Calibri"/>
                <w:color w:val="000000"/>
                <w:sz w:val="24"/>
                <w:szCs w:val="24"/>
              </w:rPr>
              <w:t>c) les dispositifs électromécaniques.</w:t>
            </w:r>
          </w:p>
        </w:tc>
      </w:tr>
      <w:tr w:rsidR="00921C0A" w:rsidRPr="0043547B" w:rsidTr="00056AEE">
        <w:trPr>
          <w:trHeight w:val="525"/>
          <w:jc w:val="center"/>
        </w:trPr>
        <w:tc>
          <w:tcPr>
            <w:tcW w:w="1838" w:type="dxa"/>
            <w:tcBorders>
              <w:top w:val="single" w:sz="6" w:space="0" w:color="auto"/>
              <w:left w:val="single" w:sz="18" w:space="0" w:color="auto"/>
              <w:bottom w:val="single" w:sz="18" w:space="0" w:color="auto"/>
              <w:right w:val="single" w:sz="4" w:space="0" w:color="auto"/>
            </w:tcBorders>
            <w:shd w:val="clear" w:color="auto" w:fill="C2D69B" w:themeFill="accent3" w:themeFillTint="99"/>
            <w:vAlign w:val="center"/>
          </w:tcPr>
          <w:p w:rsidR="00921C0A" w:rsidRPr="001A0BDF" w:rsidRDefault="00921C0A" w:rsidP="0028027F">
            <w:pPr>
              <w:spacing w:after="0" w:line="240" w:lineRule="auto"/>
              <w:jc w:val="center"/>
              <w:rPr>
                <w:rFonts w:ascii="Calibri" w:hAnsi="Calibri" w:cs="Calibri"/>
                <w:b/>
                <w:bCs/>
                <w:sz w:val="24"/>
                <w:szCs w:val="24"/>
              </w:rPr>
            </w:pPr>
            <w:r w:rsidRPr="001A0BDF">
              <w:rPr>
                <w:rFonts w:ascii="Calibri" w:hAnsi="Calibri" w:cs="Calibri"/>
                <w:b/>
                <w:bCs/>
                <w:sz w:val="24"/>
                <w:szCs w:val="24"/>
              </w:rPr>
              <w:lastRenderedPageBreak/>
              <w:t>Code :</w:t>
            </w:r>
          </w:p>
        </w:tc>
        <w:tc>
          <w:tcPr>
            <w:tcW w:w="7938" w:type="dxa"/>
            <w:tcBorders>
              <w:top w:val="single" w:sz="6" w:space="0" w:color="auto"/>
              <w:left w:val="single" w:sz="4" w:space="0" w:color="auto"/>
              <w:bottom w:val="single" w:sz="18" w:space="0" w:color="auto"/>
              <w:right w:val="single" w:sz="18" w:space="0" w:color="auto"/>
            </w:tcBorders>
            <w:shd w:val="clear" w:color="auto" w:fill="C2D69B" w:themeFill="accent3" w:themeFillTint="99"/>
            <w:vAlign w:val="center"/>
          </w:tcPr>
          <w:p w:rsidR="00921C0A" w:rsidRPr="00DB32DC" w:rsidRDefault="00921C0A" w:rsidP="0028027F">
            <w:pPr>
              <w:spacing w:after="0" w:line="240" w:lineRule="auto"/>
              <w:jc w:val="center"/>
              <w:rPr>
                <w:rFonts w:ascii="Calibri" w:hAnsi="Calibri" w:cs="Calibri"/>
                <w:b/>
                <w:bCs/>
                <w:color w:val="000000"/>
                <w:sz w:val="24"/>
                <w:szCs w:val="24"/>
              </w:rPr>
            </w:pPr>
            <w:r w:rsidRPr="00DB32DC">
              <w:rPr>
                <w:rFonts w:ascii="Calibri" w:hAnsi="Calibri" w:cs="Calibri"/>
                <w:b/>
                <w:bCs/>
                <w:color w:val="000000"/>
                <w:sz w:val="24"/>
                <w:szCs w:val="24"/>
              </w:rPr>
              <w:t>NM EN 13126-4</w:t>
            </w:r>
          </w:p>
        </w:tc>
      </w:tr>
      <w:tr w:rsidR="00921C0A" w:rsidRPr="0043547B" w:rsidTr="00056AEE">
        <w:trPr>
          <w:trHeight w:val="525"/>
          <w:jc w:val="center"/>
        </w:trPr>
        <w:tc>
          <w:tcPr>
            <w:tcW w:w="1838" w:type="dxa"/>
            <w:tcBorders>
              <w:top w:val="single" w:sz="6" w:space="0" w:color="auto"/>
              <w:left w:val="single" w:sz="18" w:space="0" w:color="auto"/>
              <w:bottom w:val="single" w:sz="18" w:space="0" w:color="auto"/>
              <w:right w:val="single" w:sz="4" w:space="0" w:color="auto"/>
            </w:tcBorders>
            <w:shd w:val="clear" w:color="auto" w:fill="FFFF99"/>
            <w:vAlign w:val="center"/>
          </w:tcPr>
          <w:p w:rsidR="00921C0A" w:rsidRPr="001A0BDF" w:rsidRDefault="00921C0A" w:rsidP="0028027F">
            <w:pPr>
              <w:spacing w:after="0" w:line="240" w:lineRule="auto"/>
              <w:jc w:val="center"/>
              <w:rPr>
                <w:rFonts w:ascii="Calibri" w:hAnsi="Calibri" w:cs="Calibri"/>
                <w:b/>
                <w:bCs/>
                <w:sz w:val="24"/>
                <w:szCs w:val="24"/>
              </w:rPr>
            </w:pPr>
            <w:r w:rsidRPr="001A0BDF">
              <w:rPr>
                <w:rFonts w:ascii="Calibri" w:hAnsi="Calibri" w:cs="Calibri"/>
                <w:b/>
                <w:bCs/>
                <w:sz w:val="24"/>
                <w:szCs w:val="24"/>
              </w:rPr>
              <w:t>Equivalence :</w:t>
            </w:r>
          </w:p>
        </w:tc>
        <w:tc>
          <w:tcPr>
            <w:tcW w:w="7938" w:type="dxa"/>
            <w:tcBorders>
              <w:top w:val="single" w:sz="6" w:space="0" w:color="auto"/>
              <w:left w:val="single" w:sz="4" w:space="0" w:color="auto"/>
              <w:bottom w:val="single" w:sz="18" w:space="0" w:color="auto"/>
              <w:right w:val="single" w:sz="18" w:space="0" w:color="auto"/>
            </w:tcBorders>
            <w:shd w:val="clear" w:color="auto" w:fill="FFFF99"/>
            <w:vAlign w:val="center"/>
          </w:tcPr>
          <w:p w:rsidR="00921C0A" w:rsidRPr="00DB32DC" w:rsidRDefault="00921C0A" w:rsidP="0028027F">
            <w:pPr>
              <w:spacing w:after="0" w:line="240" w:lineRule="auto"/>
              <w:jc w:val="center"/>
              <w:rPr>
                <w:rFonts w:ascii="Calibri" w:hAnsi="Calibri" w:cs="Calibri"/>
                <w:b/>
                <w:bCs/>
                <w:color w:val="000000"/>
                <w:sz w:val="24"/>
                <w:szCs w:val="24"/>
              </w:rPr>
            </w:pPr>
            <w:r w:rsidRPr="00DB32DC">
              <w:rPr>
                <w:rFonts w:ascii="Calibri" w:hAnsi="Calibri" w:cs="Calibri"/>
                <w:b/>
                <w:bCs/>
                <w:color w:val="000000"/>
                <w:sz w:val="24"/>
                <w:szCs w:val="24"/>
              </w:rPr>
              <w:t>EN 13126-4</w:t>
            </w:r>
          </w:p>
        </w:tc>
      </w:tr>
      <w:tr w:rsidR="00921C0A" w:rsidRPr="0043547B" w:rsidTr="00056AEE">
        <w:trPr>
          <w:trHeight w:val="525"/>
          <w:jc w:val="center"/>
        </w:trPr>
        <w:tc>
          <w:tcPr>
            <w:tcW w:w="1838" w:type="dxa"/>
            <w:tcBorders>
              <w:top w:val="single" w:sz="6" w:space="0" w:color="auto"/>
              <w:left w:val="single" w:sz="18" w:space="0" w:color="auto"/>
              <w:bottom w:val="single" w:sz="18" w:space="0" w:color="auto"/>
              <w:right w:val="single" w:sz="4" w:space="0" w:color="auto"/>
            </w:tcBorders>
            <w:shd w:val="clear" w:color="auto" w:fill="95B3D7" w:themeFill="accent1" w:themeFillTint="99"/>
            <w:vAlign w:val="center"/>
          </w:tcPr>
          <w:p w:rsidR="00921C0A" w:rsidRPr="001A0BDF" w:rsidRDefault="00921C0A" w:rsidP="0028027F">
            <w:pPr>
              <w:spacing w:after="0" w:line="240" w:lineRule="auto"/>
              <w:jc w:val="center"/>
              <w:rPr>
                <w:rFonts w:ascii="Calibri" w:hAnsi="Calibri" w:cs="Calibri"/>
                <w:b/>
                <w:bCs/>
                <w:sz w:val="24"/>
                <w:szCs w:val="24"/>
              </w:rPr>
            </w:pPr>
            <w:r w:rsidRPr="001A0BDF">
              <w:rPr>
                <w:rFonts w:ascii="Calibri" w:hAnsi="Calibri" w:cs="Calibri"/>
                <w:b/>
                <w:bCs/>
                <w:sz w:val="24"/>
                <w:szCs w:val="24"/>
              </w:rPr>
              <w:t>Intitulé :</w:t>
            </w:r>
          </w:p>
        </w:tc>
        <w:tc>
          <w:tcPr>
            <w:tcW w:w="7938" w:type="dxa"/>
            <w:tcBorders>
              <w:top w:val="single" w:sz="6" w:space="0" w:color="auto"/>
              <w:left w:val="single" w:sz="4" w:space="0" w:color="auto"/>
              <w:bottom w:val="single" w:sz="18" w:space="0" w:color="auto"/>
              <w:right w:val="single" w:sz="18" w:space="0" w:color="auto"/>
            </w:tcBorders>
            <w:shd w:val="clear" w:color="auto" w:fill="auto"/>
            <w:vAlign w:val="bottom"/>
          </w:tcPr>
          <w:p w:rsidR="00921C0A" w:rsidRPr="001A0BDF" w:rsidRDefault="00921C0A" w:rsidP="001A0BDF">
            <w:pPr>
              <w:spacing w:after="0" w:line="240" w:lineRule="auto"/>
              <w:rPr>
                <w:rFonts w:ascii="Calibri" w:hAnsi="Calibri" w:cs="Calibri"/>
                <w:color w:val="000000"/>
                <w:sz w:val="24"/>
                <w:szCs w:val="24"/>
              </w:rPr>
            </w:pPr>
            <w:r w:rsidRPr="001A0BDF">
              <w:rPr>
                <w:rFonts w:ascii="Calibri" w:hAnsi="Calibri" w:cs="Calibri"/>
                <w:color w:val="000000"/>
                <w:sz w:val="24"/>
                <w:szCs w:val="24"/>
              </w:rPr>
              <w:t xml:space="preserve">Quincaillerie pour le bâtiment - Exigences et méthodes d'essai des ferrures de fenêtres et de portes-fenêtres - Partie 4 : Crémones-verrous; </w:t>
            </w:r>
          </w:p>
        </w:tc>
      </w:tr>
      <w:tr w:rsidR="00921C0A" w:rsidRPr="0043547B" w:rsidTr="00056AEE">
        <w:trPr>
          <w:trHeight w:val="525"/>
          <w:jc w:val="center"/>
        </w:trPr>
        <w:tc>
          <w:tcPr>
            <w:tcW w:w="1838" w:type="dxa"/>
            <w:tcBorders>
              <w:top w:val="single" w:sz="6" w:space="0" w:color="auto"/>
              <w:left w:val="single" w:sz="18" w:space="0" w:color="auto"/>
              <w:bottom w:val="single" w:sz="18" w:space="0" w:color="auto"/>
              <w:right w:val="single" w:sz="4" w:space="0" w:color="auto"/>
            </w:tcBorders>
            <w:shd w:val="clear" w:color="000000" w:fill="D9D9D9"/>
            <w:vAlign w:val="center"/>
          </w:tcPr>
          <w:p w:rsidR="00921C0A" w:rsidRPr="001A0BDF" w:rsidRDefault="00921C0A" w:rsidP="0028027F">
            <w:pPr>
              <w:spacing w:after="0" w:line="240" w:lineRule="auto"/>
              <w:jc w:val="center"/>
              <w:rPr>
                <w:rFonts w:ascii="Calibri" w:hAnsi="Calibri" w:cs="Calibri"/>
                <w:b/>
                <w:bCs/>
                <w:sz w:val="24"/>
                <w:szCs w:val="24"/>
              </w:rPr>
            </w:pPr>
            <w:r w:rsidRPr="001A0BDF">
              <w:rPr>
                <w:rFonts w:ascii="Calibri" w:hAnsi="Calibri" w:cs="Calibri"/>
                <w:b/>
                <w:bCs/>
                <w:sz w:val="24"/>
                <w:szCs w:val="24"/>
              </w:rPr>
              <w:t>Domaine d’application :</w:t>
            </w:r>
          </w:p>
        </w:tc>
        <w:tc>
          <w:tcPr>
            <w:tcW w:w="7938" w:type="dxa"/>
            <w:tcBorders>
              <w:top w:val="single" w:sz="6" w:space="0" w:color="auto"/>
              <w:left w:val="single" w:sz="4" w:space="0" w:color="auto"/>
              <w:bottom w:val="single" w:sz="18" w:space="0" w:color="auto"/>
              <w:right w:val="single" w:sz="18" w:space="0" w:color="auto"/>
            </w:tcBorders>
            <w:shd w:val="clear" w:color="auto" w:fill="auto"/>
            <w:vAlign w:val="bottom"/>
          </w:tcPr>
          <w:p w:rsidR="00DB32DC" w:rsidRDefault="00921C0A" w:rsidP="00DB32DC">
            <w:pPr>
              <w:spacing w:after="0" w:line="240" w:lineRule="auto"/>
              <w:jc w:val="both"/>
              <w:rPr>
                <w:rFonts w:ascii="Calibri" w:hAnsi="Calibri" w:cs="Calibri"/>
                <w:color w:val="000000"/>
                <w:sz w:val="24"/>
                <w:szCs w:val="24"/>
              </w:rPr>
            </w:pPr>
            <w:r w:rsidRPr="001A0BDF">
              <w:rPr>
                <w:rFonts w:ascii="Calibri" w:hAnsi="Calibri" w:cs="Calibri"/>
                <w:color w:val="000000"/>
                <w:sz w:val="24"/>
                <w:szCs w:val="24"/>
              </w:rPr>
              <w:t>La présente partie de l’EN 13126 spécifie les exigences et méthodes d'essai relatives à l'endurance, à la résistance,</w:t>
            </w:r>
            <w:r w:rsidR="00DB32DC">
              <w:rPr>
                <w:rFonts w:ascii="Calibri" w:hAnsi="Calibri" w:cs="Calibri"/>
                <w:color w:val="000000"/>
                <w:sz w:val="24"/>
                <w:szCs w:val="24"/>
              </w:rPr>
              <w:t xml:space="preserve"> </w:t>
            </w:r>
            <w:r w:rsidRPr="001A0BDF">
              <w:rPr>
                <w:rFonts w:ascii="Calibri" w:hAnsi="Calibri" w:cs="Calibri"/>
                <w:color w:val="000000"/>
                <w:sz w:val="24"/>
                <w:szCs w:val="24"/>
              </w:rPr>
              <w:t>à la sécurité des biens et au fonctionnement des crémones et de leurs gâches pour une utilisation sur fenêtres et</w:t>
            </w:r>
            <w:r w:rsidR="00DB32DC">
              <w:rPr>
                <w:rFonts w:ascii="Calibri" w:hAnsi="Calibri" w:cs="Calibri"/>
                <w:color w:val="000000"/>
                <w:sz w:val="24"/>
                <w:szCs w:val="24"/>
              </w:rPr>
              <w:t xml:space="preserve"> </w:t>
            </w:r>
            <w:r w:rsidRPr="001A0BDF">
              <w:rPr>
                <w:rFonts w:ascii="Calibri" w:hAnsi="Calibri" w:cs="Calibri"/>
                <w:color w:val="000000"/>
                <w:sz w:val="24"/>
                <w:szCs w:val="24"/>
              </w:rPr>
              <w:t>portes-fenêtres.</w:t>
            </w:r>
          </w:p>
          <w:p w:rsidR="00DB32DC" w:rsidRDefault="00921C0A" w:rsidP="00DB32DC">
            <w:pPr>
              <w:spacing w:after="0" w:line="240" w:lineRule="auto"/>
              <w:jc w:val="both"/>
              <w:rPr>
                <w:rFonts w:ascii="Calibri" w:hAnsi="Calibri" w:cs="Calibri"/>
                <w:color w:val="000000"/>
                <w:sz w:val="24"/>
                <w:szCs w:val="24"/>
              </w:rPr>
            </w:pPr>
            <w:r w:rsidRPr="00DB32DC">
              <w:rPr>
                <w:rFonts w:ascii="Calibri" w:hAnsi="Calibri" w:cs="Calibri"/>
                <w:b/>
                <w:bCs/>
                <w:i/>
                <w:iCs/>
                <w:color w:val="000000"/>
              </w:rPr>
              <w:t>NOTE</w:t>
            </w:r>
            <w:r w:rsidRPr="00DB32DC">
              <w:rPr>
                <w:rFonts w:ascii="Calibri" w:hAnsi="Calibri" w:cs="Calibri"/>
                <w:i/>
                <w:iCs/>
                <w:color w:val="000000"/>
              </w:rPr>
              <w:t xml:space="preserve"> Les crémones sont des mécanismes de fermeture de portes et de portes-fenêtres ayant habituellement une</w:t>
            </w:r>
            <w:r w:rsidR="00DB32DC" w:rsidRPr="00DB32DC">
              <w:rPr>
                <w:rFonts w:ascii="Calibri" w:hAnsi="Calibri" w:cs="Calibri"/>
                <w:i/>
                <w:iCs/>
                <w:color w:val="000000"/>
              </w:rPr>
              <w:t xml:space="preserve"> </w:t>
            </w:r>
            <w:r w:rsidRPr="00DB32DC">
              <w:rPr>
                <w:rFonts w:ascii="Calibri" w:hAnsi="Calibri" w:cs="Calibri"/>
                <w:i/>
                <w:iCs/>
                <w:color w:val="000000"/>
              </w:rPr>
              <w:t>amplitude de manipulation de 90° maximum</w:t>
            </w:r>
            <w:r w:rsidRPr="001A0BDF">
              <w:rPr>
                <w:rFonts w:ascii="Calibri" w:hAnsi="Calibri" w:cs="Calibri"/>
                <w:color w:val="000000"/>
                <w:sz w:val="24"/>
                <w:szCs w:val="24"/>
              </w:rPr>
              <w:t>.</w:t>
            </w:r>
          </w:p>
          <w:p w:rsidR="00921C0A" w:rsidRPr="001A0BDF" w:rsidRDefault="00921C0A" w:rsidP="00DB32DC">
            <w:pPr>
              <w:spacing w:after="0" w:line="240" w:lineRule="auto"/>
              <w:jc w:val="both"/>
              <w:rPr>
                <w:rFonts w:ascii="Calibri" w:hAnsi="Calibri" w:cs="Calibri"/>
                <w:color w:val="000000"/>
                <w:sz w:val="24"/>
                <w:szCs w:val="24"/>
              </w:rPr>
            </w:pPr>
            <w:r w:rsidRPr="001A0BDF">
              <w:rPr>
                <w:rFonts w:ascii="Calibri" w:hAnsi="Calibri" w:cs="Calibri"/>
                <w:color w:val="000000"/>
                <w:sz w:val="24"/>
                <w:szCs w:val="24"/>
              </w:rPr>
              <w:t>La présente Norme européenne ne s'applique pas aux verrous de portes traités dans l'EN 12051, ni aux serrures</w:t>
            </w:r>
            <w:r w:rsidR="00DB32DC">
              <w:rPr>
                <w:rFonts w:ascii="Calibri" w:hAnsi="Calibri" w:cs="Calibri"/>
                <w:color w:val="000000"/>
                <w:sz w:val="24"/>
                <w:szCs w:val="24"/>
              </w:rPr>
              <w:t xml:space="preserve"> </w:t>
            </w:r>
            <w:r w:rsidRPr="001A0BDF">
              <w:rPr>
                <w:rFonts w:ascii="Calibri" w:hAnsi="Calibri" w:cs="Calibri"/>
                <w:color w:val="000000"/>
                <w:sz w:val="24"/>
                <w:szCs w:val="24"/>
              </w:rPr>
              <w:t>multipoints à pêne demi-tour et/ou pêne dormant traités dans l’EN 12209.</w:t>
            </w:r>
          </w:p>
        </w:tc>
      </w:tr>
      <w:tr w:rsidR="00921C0A" w:rsidRPr="0043547B" w:rsidTr="00056AEE">
        <w:trPr>
          <w:trHeight w:val="525"/>
          <w:jc w:val="center"/>
        </w:trPr>
        <w:tc>
          <w:tcPr>
            <w:tcW w:w="1838" w:type="dxa"/>
            <w:tcBorders>
              <w:top w:val="single" w:sz="6" w:space="0" w:color="auto"/>
              <w:left w:val="single" w:sz="18" w:space="0" w:color="auto"/>
              <w:bottom w:val="single" w:sz="18" w:space="0" w:color="auto"/>
              <w:right w:val="single" w:sz="4" w:space="0" w:color="auto"/>
            </w:tcBorders>
            <w:shd w:val="clear" w:color="auto" w:fill="C2D69B" w:themeFill="accent3" w:themeFillTint="99"/>
            <w:vAlign w:val="center"/>
          </w:tcPr>
          <w:p w:rsidR="00921C0A" w:rsidRPr="001A0BDF" w:rsidRDefault="00921C0A" w:rsidP="0028027F">
            <w:pPr>
              <w:spacing w:after="0" w:line="240" w:lineRule="auto"/>
              <w:jc w:val="center"/>
              <w:rPr>
                <w:rFonts w:ascii="Calibri" w:hAnsi="Calibri" w:cs="Calibri"/>
                <w:b/>
                <w:bCs/>
                <w:sz w:val="24"/>
                <w:szCs w:val="24"/>
              </w:rPr>
            </w:pPr>
            <w:r w:rsidRPr="001A0BDF">
              <w:rPr>
                <w:rFonts w:ascii="Calibri" w:hAnsi="Calibri" w:cs="Calibri"/>
                <w:b/>
                <w:bCs/>
                <w:sz w:val="24"/>
                <w:szCs w:val="24"/>
              </w:rPr>
              <w:t>Code :</w:t>
            </w:r>
          </w:p>
        </w:tc>
        <w:tc>
          <w:tcPr>
            <w:tcW w:w="7938" w:type="dxa"/>
            <w:tcBorders>
              <w:top w:val="single" w:sz="6" w:space="0" w:color="auto"/>
              <w:left w:val="single" w:sz="4" w:space="0" w:color="auto"/>
              <w:bottom w:val="single" w:sz="18" w:space="0" w:color="auto"/>
              <w:right w:val="single" w:sz="18" w:space="0" w:color="auto"/>
            </w:tcBorders>
            <w:shd w:val="clear" w:color="auto" w:fill="C2D69B" w:themeFill="accent3" w:themeFillTint="99"/>
            <w:vAlign w:val="center"/>
          </w:tcPr>
          <w:p w:rsidR="00921C0A" w:rsidRPr="00DB32DC" w:rsidRDefault="00921C0A" w:rsidP="0028027F">
            <w:pPr>
              <w:spacing w:after="0" w:line="240" w:lineRule="auto"/>
              <w:jc w:val="center"/>
              <w:rPr>
                <w:rFonts w:ascii="Calibri" w:hAnsi="Calibri" w:cs="Calibri"/>
                <w:b/>
                <w:bCs/>
                <w:color w:val="000000"/>
                <w:sz w:val="24"/>
                <w:szCs w:val="24"/>
              </w:rPr>
            </w:pPr>
            <w:r w:rsidRPr="00DB32DC">
              <w:rPr>
                <w:rFonts w:ascii="Calibri" w:hAnsi="Calibri" w:cs="Calibri"/>
                <w:b/>
                <w:bCs/>
                <w:color w:val="000000"/>
                <w:sz w:val="24"/>
                <w:szCs w:val="24"/>
              </w:rPr>
              <w:t>NM EN 13126-5</w:t>
            </w:r>
          </w:p>
        </w:tc>
      </w:tr>
      <w:tr w:rsidR="00921C0A" w:rsidRPr="0043547B" w:rsidTr="00056AEE">
        <w:trPr>
          <w:trHeight w:val="525"/>
          <w:jc w:val="center"/>
        </w:trPr>
        <w:tc>
          <w:tcPr>
            <w:tcW w:w="1838" w:type="dxa"/>
            <w:tcBorders>
              <w:top w:val="single" w:sz="6" w:space="0" w:color="auto"/>
              <w:left w:val="single" w:sz="18" w:space="0" w:color="auto"/>
              <w:bottom w:val="single" w:sz="18" w:space="0" w:color="auto"/>
              <w:right w:val="single" w:sz="4" w:space="0" w:color="auto"/>
            </w:tcBorders>
            <w:shd w:val="clear" w:color="auto" w:fill="FFFF99"/>
            <w:vAlign w:val="center"/>
          </w:tcPr>
          <w:p w:rsidR="00921C0A" w:rsidRPr="001A0BDF" w:rsidRDefault="00921C0A" w:rsidP="0028027F">
            <w:pPr>
              <w:spacing w:after="0" w:line="240" w:lineRule="auto"/>
              <w:jc w:val="center"/>
              <w:rPr>
                <w:rFonts w:ascii="Calibri" w:hAnsi="Calibri" w:cs="Calibri"/>
                <w:b/>
                <w:bCs/>
                <w:sz w:val="24"/>
                <w:szCs w:val="24"/>
              </w:rPr>
            </w:pPr>
            <w:r w:rsidRPr="001A0BDF">
              <w:rPr>
                <w:rFonts w:ascii="Calibri" w:hAnsi="Calibri" w:cs="Calibri"/>
                <w:b/>
                <w:bCs/>
                <w:sz w:val="24"/>
                <w:szCs w:val="24"/>
              </w:rPr>
              <w:t>Equivalence :</w:t>
            </w:r>
          </w:p>
        </w:tc>
        <w:tc>
          <w:tcPr>
            <w:tcW w:w="7938" w:type="dxa"/>
            <w:tcBorders>
              <w:top w:val="single" w:sz="6" w:space="0" w:color="auto"/>
              <w:left w:val="single" w:sz="4" w:space="0" w:color="auto"/>
              <w:bottom w:val="single" w:sz="18" w:space="0" w:color="auto"/>
              <w:right w:val="single" w:sz="18" w:space="0" w:color="auto"/>
            </w:tcBorders>
            <w:shd w:val="clear" w:color="auto" w:fill="FFFF99"/>
            <w:vAlign w:val="center"/>
          </w:tcPr>
          <w:p w:rsidR="00921C0A" w:rsidRPr="00DB32DC" w:rsidRDefault="00921C0A" w:rsidP="0028027F">
            <w:pPr>
              <w:spacing w:after="0" w:line="240" w:lineRule="auto"/>
              <w:jc w:val="center"/>
              <w:rPr>
                <w:rFonts w:ascii="Calibri" w:hAnsi="Calibri" w:cs="Calibri"/>
                <w:b/>
                <w:bCs/>
                <w:color w:val="000000"/>
                <w:sz w:val="24"/>
                <w:szCs w:val="24"/>
              </w:rPr>
            </w:pPr>
            <w:r w:rsidRPr="00DB32DC">
              <w:rPr>
                <w:rFonts w:ascii="Calibri" w:hAnsi="Calibri" w:cs="Calibri"/>
                <w:b/>
                <w:bCs/>
                <w:color w:val="000000"/>
                <w:sz w:val="24"/>
                <w:szCs w:val="24"/>
              </w:rPr>
              <w:t>EN 13126-5</w:t>
            </w:r>
          </w:p>
        </w:tc>
      </w:tr>
      <w:tr w:rsidR="00921C0A" w:rsidRPr="0043547B" w:rsidTr="00056AEE">
        <w:trPr>
          <w:trHeight w:val="525"/>
          <w:jc w:val="center"/>
        </w:trPr>
        <w:tc>
          <w:tcPr>
            <w:tcW w:w="1838" w:type="dxa"/>
            <w:tcBorders>
              <w:top w:val="single" w:sz="6" w:space="0" w:color="auto"/>
              <w:left w:val="single" w:sz="18" w:space="0" w:color="auto"/>
              <w:bottom w:val="single" w:sz="18" w:space="0" w:color="auto"/>
              <w:right w:val="single" w:sz="4" w:space="0" w:color="auto"/>
            </w:tcBorders>
            <w:shd w:val="clear" w:color="auto" w:fill="95B3D7" w:themeFill="accent1" w:themeFillTint="99"/>
            <w:vAlign w:val="center"/>
          </w:tcPr>
          <w:p w:rsidR="00921C0A" w:rsidRPr="001A0BDF" w:rsidRDefault="00921C0A" w:rsidP="0028027F">
            <w:pPr>
              <w:spacing w:after="0" w:line="240" w:lineRule="auto"/>
              <w:jc w:val="center"/>
              <w:rPr>
                <w:rFonts w:ascii="Calibri" w:hAnsi="Calibri" w:cs="Calibri"/>
                <w:b/>
                <w:bCs/>
                <w:sz w:val="24"/>
                <w:szCs w:val="24"/>
              </w:rPr>
            </w:pPr>
            <w:r w:rsidRPr="001A0BDF">
              <w:rPr>
                <w:rFonts w:ascii="Calibri" w:hAnsi="Calibri" w:cs="Calibri"/>
                <w:b/>
                <w:bCs/>
                <w:sz w:val="24"/>
                <w:szCs w:val="24"/>
              </w:rPr>
              <w:t>Intitulé :</w:t>
            </w:r>
          </w:p>
        </w:tc>
        <w:tc>
          <w:tcPr>
            <w:tcW w:w="7938" w:type="dxa"/>
            <w:tcBorders>
              <w:top w:val="single" w:sz="6" w:space="0" w:color="auto"/>
              <w:left w:val="single" w:sz="4" w:space="0" w:color="auto"/>
              <w:bottom w:val="single" w:sz="18" w:space="0" w:color="auto"/>
              <w:right w:val="single" w:sz="18" w:space="0" w:color="auto"/>
            </w:tcBorders>
            <w:shd w:val="clear" w:color="auto" w:fill="auto"/>
            <w:vAlign w:val="bottom"/>
          </w:tcPr>
          <w:p w:rsidR="00921C0A" w:rsidRPr="001A0BDF" w:rsidRDefault="00921C0A" w:rsidP="001A0BDF">
            <w:pPr>
              <w:spacing w:after="0" w:line="240" w:lineRule="auto"/>
              <w:rPr>
                <w:rFonts w:ascii="Calibri" w:hAnsi="Calibri" w:cs="Calibri"/>
                <w:color w:val="000000"/>
                <w:sz w:val="24"/>
                <w:szCs w:val="24"/>
              </w:rPr>
            </w:pPr>
            <w:r w:rsidRPr="001A0BDF">
              <w:rPr>
                <w:rFonts w:ascii="Calibri" w:hAnsi="Calibri" w:cs="Calibri"/>
                <w:color w:val="000000"/>
                <w:sz w:val="24"/>
                <w:szCs w:val="24"/>
              </w:rPr>
              <w:t xml:space="preserve">Quincaillerie pour le bâtiment - Exigences et méthodes d'essai des ferrures de fenêtres et portes-fenêtres - Partie 5 : Dispositifs limitateurs d'ouverture des fenêtres et portes-fenêtres </w:t>
            </w:r>
          </w:p>
        </w:tc>
      </w:tr>
      <w:tr w:rsidR="00921C0A" w:rsidRPr="0043547B" w:rsidTr="00056AEE">
        <w:trPr>
          <w:trHeight w:val="525"/>
          <w:jc w:val="center"/>
        </w:trPr>
        <w:tc>
          <w:tcPr>
            <w:tcW w:w="1838" w:type="dxa"/>
            <w:tcBorders>
              <w:top w:val="single" w:sz="6" w:space="0" w:color="auto"/>
              <w:left w:val="single" w:sz="18" w:space="0" w:color="auto"/>
              <w:bottom w:val="single" w:sz="18" w:space="0" w:color="auto"/>
              <w:right w:val="single" w:sz="4" w:space="0" w:color="auto"/>
            </w:tcBorders>
            <w:shd w:val="clear" w:color="000000" w:fill="D9D9D9"/>
            <w:vAlign w:val="center"/>
          </w:tcPr>
          <w:p w:rsidR="00921C0A" w:rsidRPr="001A0BDF" w:rsidRDefault="00921C0A" w:rsidP="0028027F">
            <w:pPr>
              <w:spacing w:after="0" w:line="240" w:lineRule="auto"/>
              <w:jc w:val="center"/>
              <w:rPr>
                <w:rFonts w:ascii="Calibri" w:hAnsi="Calibri" w:cs="Calibri"/>
                <w:b/>
                <w:bCs/>
                <w:sz w:val="24"/>
                <w:szCs w:val="24"/>
              </w:rPr>
            </w:pPr>
            <w:r w:rsidRPr="001A0BDF">
              <w:rPr>
                <w:rFonts w:ascii="Calibri" w:hAnsi="Calibri" w:cs="Calibri"/>
                <w:b/>
                <w:bCs/>
                <w:sz w:val="24"/>
                <w:szCs w:val="24"/>
              </w:rPr>
              <w:t>Domaine d’application :</w:t>
            </w:r>
          </w:p>
        </w:tc>
        <w:tc>
          <w:tcPr>
            <w:tcW w:w="7938" w:type="dxa"/>
            <w:tcBorders>
              <w:top w:val="single" w:sz="6" w:space="0" w:color="auto"/>
              <w:left w:val="single" w:sz="4" w:space="0" w:color="auto"/>
              <w:bottom w:val="single" w:sz="18" w:space="0" w:color="auto"/>
              <w:right w:val="single" w:sz="18" w:space="0" w:color="auto"/>
            </w:tcBorders>
            <w:shd w:val="clear" w:color="auto" w:fill="auto"/>
            <w:vAlign w:val="bottom"/>
          </w:tcPr>
          <w:p w:rsidR="00DB32DC" w:rsidRDefault="00921C0A" w:rsidP="00DB32DC">
            <w:pPr>
              <w:spacing w:after="0" w:line="240" w:lineRule="auto"/>
              <w:jc w:val="both"/>
              <w:rPr>
                <w:rFonts w:ascii="Calibri" w:hAnsi="Calibri" w:cs="Calibri"/>
                <w:color w:val="000000"/>
                <w:sz w:val="24"/>
                <w:szCs w:val="24"/>
              </w:rPr>
            </w:pPr>
            <w:r w:rsidRPr="001A0BDF">
              <w:rPr>
                <w:rFonts w:ascii="Calibri" w:hAnsi="Calibri" w:cs="Calibri"/>
                <w:color w:val="000000"/>
                <w:sz w:val="24"/>
                <w:szCs w:val="24"/>
              </w:rPr>
              <w:t>La présente partie de l’EN 13126 spécifie les exigences et les méthodes d’essai relatives à l’endurance,</w:t>
            </w:r>
            <w:r w:rsidR="00DB32DC">
              <w:rPr>
                <w:rFonts w:ascii="Calibri" w:hAnsi="Calibri" w:cs="Calibri"/>
                <w:color w:val="000000"/>
                <w:sz w:val="24"/>
                <w:szCs w:val="24"/>
              </w:rPr>
              <w:t xml:space="preserve"> </w:t>
            </w:r>
            <w:r w:rsidRPr="001A0BDF">
              <w:rPr>
                <w:rFonts w:ascii="Calibri" w:hAnsi="Calibri" w:cs="Calibri"/>
                <w:color w:val="000000"/>
                <w:sz w:val="24"/>
                <w:szCs w:val="24"/>
              </w:rPr>
              <w:t>à la résistance, à la sécurité des biens et aux fonctionnalités des dispositifs limiteurs d’ouverture des fenêtres et des</w:t>
            </w:r>
            <w:r w:rsidRPr="001A0BDF">
              <w:rPr>
                <w:rFonts w:ascii="Calibri" w:hAnsi="Calibri" w:cs="Calibri"/>
                <w:color w:val="000000"/>
                <w:sz w:val="24"/>
                <w:szCs w:val="24"/>
              </w:rPr>
              <w:br/>
              <w:t>portes-fenêtres.</w:t>
            </w:r>
            <w:r w:rsidRPr="001A0BDF">
              <w:rPr>
                <w:rFonts w:ascii="Calibri" w:hAnsi="Calibri" w:cs="Calibri"/>
                <w:color w:val="000000"/>
                <w:sz w:val="24"/>
                <w:szCs w:val="24"/>
              </w:rPr>
              <w:br/>
              <w:t>seuls les dispositifs limiteurs d’ouverture des</w:t>
            </w:r>
            <w:r w:rsidR="00DB32DC">
              <w:rPr>
                <w:rFonts w:ascii="Calibri" w:hAnsi="Calibri" w:cs="Calibri"/>
                <w:color w:val="000000"/>
                <w:sz w:val="24"/>
                <w:szCs w:val="24"/>
              </w:rPr>
              <w:t> :</w:t>
            </w:r>
          </w:p>
          <w:p w:rsidR="00DB32DC" w:rsidRDefault="00921C0A" w:rsidP="00DB32DC">
            <w:pPr>
              <w:spacing w:after="0" w:line="240" w:lineRule="auto"/>
              <w:jc w:val="both"/>
              <w:rPr>
                <w:rFonts w:ascii="Calibri" w:hAnsi="Calibri" w:cs="Calibri"/>
                <w:color w:val="000000"/>
                <w:sz w:val="24"/>
                <w:szCs w:val="24"/>
              </w:rPr>
            </w:pPr>
            <w:r w:rsidRPr="001A0BDF">
              <w:rPr>
                <w:rFonts w:ascii="Calibri" w:hAnsi="Calibri" w:cs="Calibri"/>
                <w:color w:val="000000"/>
                <w:sz w:val="24"/>
                <w:szCs w:val="24"/>
              </w:rPr>
              <w:t>— fenêtres et portes-fenêtres pivotantes et basculantes, oscillo-battantes,</w:t>
            </w:r>
            <w:r w:rsidR="00DB32DC">
              <w:rPr>
                <w:rFonts w:ascii="Calibri" w:hAnsi="Calibri" w:cs="Calibri"/>
                <w:color w:val="000000"/>
                <w:sz w:val="24"/>
                <w:szCs w:val="24"/>
              </w:rPr>
              <w:t xml:space="preserve"> </w:t>
            </w:r>
            <w:r w:rsidRPr="001A0BDF">
              <w:rPr>
                <w:rFonts w:ascii="Calibri" w:hAnsi="Calibri" w:cs="Calibri"/>
                <w:color w:val="000000"/>
                <w:sz w:val="24"/>
                <w:szCs w:val="24"/>
              </w:rPr>
              <w:t>pivotantes seulement et basculantes</w:t>
            </w:r>
            <w:r w:rsidR="00DB32DC">
              <w:rPr>
                <w:rFonts w:ascii="Calibri" w:hAnsi="Calibri" w:cs="Calibri"/>
                <w:color w:val="000000"/>
                <w:sz w:val="24"/>
                <w:szCs w:val="24"/>
              </w:rPr>
              <w:t xml:space="preserve"> </w:t>
            </w:r>
            <w:r w:rsidRPr="001A0BDF">
              <w:rPr>
                <w:rFonts w:ascii="Calibri" w:hAnsi="Calibri" w:cs="Calibri"/>
                <w:color w:val="000000"/>
                <w:sz w:val="24"/>
                <w:szCs w:val="24"/>
              </w:rPr>
              <w:t>seulement</w:t>
            </w:r>
          </w:p>
          <w:p w:rsidR="00DB32DC" w:rsidRDefault="00921C0A" w:rsidP="00DB32DC">
            <w:pPr>
              <w:spacing w:after="0" w:line="240" w:lineRule="auto"/>
              <w:jc w:val="both"/>
              <w:rPr>
                <w:rFonts w:ascii="Calibri" w:hAnsi="Calibri" w:cs="Calibri"/>
                <w:color w:val="000000"/>
                <w:sz w:val="24"/>
                <w:szCs w:val="24"/>
              </w:rPr>
            </w:pPr>
            <w:r w:rsidRPr="001A0BDF">
              <w:rPr>
                <w:rFonts w:ascii="Calibri" w:hAnsi="Calibri" w:cs="Calibri"/>
                <w:color w:val="000000"/>
                <w:sz w:val="24"/>
                <w:szCs w:val="24"/>
              </w:rPr>
              <w:t>— fenêtres et portes-fenêtres à pivotement horizontal et vertical</w:t>
            </w:r>
          </w:p>
          <w:p w:rsidR="00DB32DC" w:rsidRDefault="00921C0A" w:rsidP="00DB32DC">
            <w:pPr>
              <w:spacing w:after="0" w:line="240" w:lineRule="auto"/>
              <w:jc w:val="both"/>
              <w:rPr>
                <w:rFonts w:ascii="Calibri" w:hAnsi="Calibri" w:cs="Calibri"/>
                <w:i/>
                <w:iCs/>
                <w:color w:val="000000"/>
              </w:rPr>
            </w:pPr>
            <w:r w:rsidRPr="001A0BDF">
              <w:rPr>
                <w:rFonts w:ascii="Calibri" w:hAnsi="Calibri" w:cs="Calibri"/>
                <w:color w:val="000000"/>
                <w:sz w:val="24"/>
                <w:szCs w:val="24"/>
              </w:rPr>
              <w:t>— fenêtre à la française et fenêtres soufflet et portes-fenêtres (portes ouvrant vers l’extérieur)</w:t>
            </w:r>
            <w:r w:rsidR="00DB32DC">
              <w:rPr>
                <w:rFonts w:ascii="Calibri" w:hAnsi="Calibri" w:cs="Calibri"/>
                <w:color w:val="000000"/>
                <w:sz w:val="24"/>
                <w:szCs w:val="24"/>
              </w:rPr>
              <w:t xml:space="preserve"> </w:t>
            </w:r>
            <w:r w:rsidRPr="001A0BDF">
              <w:rPr>
                <w:rFonts w:ascii="Calibri" w:hAnsi="Calibri" w:cs="Calibri"/>
                <w:color w:val="000000"/>
                <w:sz w:val="24"/>
                <w:szCs w:val="24"/>
              </w:rPr>
              <w:t>sont concernés par la présente partie de l’EN 13126, si une limitation de l’ouverture existe dans la spécification</w:t>
            </w:r>
            <w:r w:rsidR="00DB32DC">
              <w:rPr>
                <w:rFonts w:ascii="Calibri" w:hAnsi="Calibri" w:cs="Calibri"/>
                <w:color w:val="000000"/>
                <w:sz w:val="24"/>
                <w:szCs w:val="24"/>
              </w:rPr>
              <w:t xml:space="preserve"> </w:t>
            </w:r>
            <w:r w:rsidRPr="001A0BDF">
              <w:rPr>
                <w:rFonts w:ascii="Calibri" w:hAnsi="Calibri" w:cs="Calibri"/>
                <w:color w:val="000000"/>
                <w:sz w:val="24"/>
                <w:szCs w:val="24"/>
              </w:rPr>
              <w:t>de l’Annexe A, E ou G de l’EN 1191:2012 conformément à l’utilisation attendue spécifiée par le fabricant."</w:t>
            </w:r>
            <w:r w:rsidRPr="001A0BDF">
              <w:rPr>
                <w:rFonts w:ascii="Calibri" w:hAnsi="Calibri" w:cs="Calibri"/>
                <w:color w:val="000000"/>
                <w:sz w:val="24"/>
                <w:szCs w:val="24"/>
              </w:rPr>
              <w:br/>
            </w:r>
            <w:r w:rsidRPr="00DB32DC">
              <w:rPr>
                <w:rFonts w:ascii="Calibri" w:hAnsi="Calibri" w:cs="Calibri"/>
                <w:b/>
                <w:bCs/>
                <w:i/>
                <w:iCs/>
                <w:color w:val="000000"/>
              </w:rPr>
              <w:t>NOTE 1</w:t>
            </w:r>
            <w:r w:rsidRPr="00DB32DC">
              <w:rPr>
                <w:rFonts w:ascii="Calibri" w:hAnsi="Calibri" w:cs="Calibri"/>
                <w:i/>
                <w:iCs/>
                <w:color w:val="000000"/>
              </w:rPr>
              <w:t xml:space="preserve"> Les limiteurs et les limiteurs réversibles peuvent soit être des éléments individuels de quincaillerie, soit faire partie</w:t>
            </w:r>
            <w:r w:rsidR="00DB32DC" w:rsidRPr="00DB32DC">
              <w:rPr>
                <w:rFonts w:ascii="Calibri" w:hAnsi="Calibri" w:cs="Calibri"/>
                <w:i/>
                <w:iCs/>
                <w:color w:val="000000"/>
              </w:rPr>
              <w:t xml:space="preserve"> </w:t>
            </w:r>
            <w:r w:rsidRPr="00DB32DC">
              <w:rPr>
                <w:rFonts w:ascii="Calibri" w:hAnsi="Calibri" w:cs="Calibri"/>
                <w:i/>
                <w:iCs/>
                <w:color w:val="000000"/>
              </w:rPr>
              <w:t>intégrante de la quincaillerie, par exemple une partie du mécanisme de manoeuvre ou une partie intégrante de la paumelle.</w:t>
            </w:r>
          </w:p>
          <w:p w:rsidR="00DB32DC" w:rsidRPr="00DB32DC" w:rsidRDefault="00921C0A" w:rsidP="00DB32DC">
            <w:pPr>
              <w:spacing w:after="0" w:line="240" w:lineRule="auto"/>
              <w:jc w:val="both"/>
              <w:rPr>
                <w:rFonts w:ascii="Calibri" w:hAnsi="Calibri" w:cs="Calibri"/>
                <w:i/>
                <w:iCs/>
                <w:color w:val="000000"/>
              </w:rPr>
            </w:pPr>
            <w:r w:rsidRPr="00DB32DC">
              <w:rPr>
                <w:rFonts w:ascii="Calibri" w:hAnsi="Calibri" w:cs="Calibri"/>
                <w:b/>
                <w:bCs/>
                <w:i/>
                <w:iCs/>
                <w:color w:val="000000"/>
              </w:rPr>
              <w:t>NOTE 2</w:t>
            </w:r>
            <w:r w:rsidRPr="00DB32DC">
              <w:rPr>
                <w:rFonts w:ascii="Calibri" w:hAnsi="Calibri" w:cs="Calibri"/>
                <w:i/>
                <w:iCs/>
                <w:color w:val="000000"/>
              </w:rPr>
              <w:t xml:space="preserve"> Les fenêtres peuvent être munies de plusieurs limiteurs.</w:t>
            </w:r>
          </w:p>
          <w:p w:rsidR="00921C0A" w:rsidRPr="001A0BDF" w:rsidRDefault="00921C0A" w:rsidP="00DB32DC">
            <w:pPr>
              <w:spacing w:after="0" w:line="240" w:lineRule="auto"/>
              <w:jc w:val="both"/>
              <w:rPr>
                <w:rFonts w:ascii="Calibri" w:hAnsi="Calibri" w:cs="Calibri"/>
                <w:color w:val="000000"/>
                <w:sz w:val="24"/>
                <w:szCs w:val="24"/>
              </w:rPr>
            </w:pPr>
            <w:r w:rsidRPr="00DB32DC">
              <w:rPr>
                <w:rFonts w:ascii="Calibri" w:hAnsi="Calibri" w:cs="Calibri"/>
                <w:b/>
                <w:bCs/>
                <w:i/>
                <w:iCs/>
                <w:color w:val="000000"/>
              </w:rPr>
              <w:t>NOTE 3</w:t>
            </w:r>
            <w:r w:rsidRPr="00DB32DC">
              <w:rPr>
                <w:rFonts w:ascii="Calibri" w:hAnsi="Calibri" w:cs="Calibri"/>
                <w:i/>
                <w:iCs/>
                <w:color w:val="000000"/>
              </w:rPr>
              <w:t xml:space="preserve"> Les exigences incluses dans la présente norme tiennent compte des besoins liés à la sécurité des enfants ;</w:t>
            </w:r>
            <w:r w:rsidR="00DB32DC" w:rsidRPr="00DB32DC">
              <w:rPr>
                <w:rFonts w:ascii="Calibri" w:hAnsi="Calibri" w:cs="Calibri"/>
                <w:i/>
                <w:iCs/>
                <w:color w:val="000000"/>
              </w:rPr>
              <w:t xml:space="preserve"> </w:t>
            </w:r>
            <w:r w:rsidRPr="00DB32DC">
              <w:rPr>
                <w:rFonts w:ascii="Calibri" w:hAnsi="Calibri" w:cs="Calibri"/>
                <w:i/>
                <w:iCs/>
                <w:color w:val="000000"/>
              </w:rPr>
              <w:t>les limiteurs de fenêtre de sécurité pour enfant destinés à être installés par le consommateur final sont en dehors du domaine</w:t>
            </w:r>
            <w:r w:rsidR="00DB32DC" w:rsidRPr="00DB32DC">
              <w:rPr>
                <w:rFonts w:ascii="Calibri" w:hAnsi="Calibri" w:cs="Calibri"/>
                <w:i/>
                <w:iCs/>
                <w:color w:val="000000"/>
              </w:rPr>
              <w:t xml:space="preserve"> </w:t>
            </w:r>
            <w:r w:rsidRPr="00DB32DC">
              <w:rPr>
                <w:rFonts w:ascii="Calibri" w:hAnsi="Calibri" w:cs="Calibri"/>
                <w:i/>
                <w:iCs/>
                <w:color w:val="000000"/>
              </w:rPr>
              <w:t>d’application de la présente norme. Par conséquent, pour le marché DIY faire référence au PC 398 et à l’EN 16281"</w:t>
            </w:r>
          </w:p>
        </w:tc>
      </w:tr>
      <w:tr w:rsidR="00921C0A" w:rsidRPr="0043547B" w:rsidTr="00056AEE">
        <w:trPr>
          <w:trHeight w:val="452"/>
          <w:jc w:val="center"/>
        </w:trPr>
        <w:tc>
          <w:tcPr>
            <w:tcW w:w="1838" w:type="dxa"/>
            <w:tcBorders>
              <w:top w:val="single" w:sz="6" w:space="0" w:color="auto"/>
              <w:left w:val="single" w:sz="18" w:space="0" w:color="auto"/>
              <w:bottom w:val="single" w:sz="18" w:space="0" w:color="auto"/>
              <w:right w:val="single" w:sz="4" w:space="0" w:color="auto"/>
            </w:tcBorders>
            <w:shd w:val="clear" w:color="auto" w:fill="C2D69B" w:themeFill="accent3" w:themeFillTint="99"/>
            <w:vAlign w:val="center"/>
          </w:tcPr>
          <w:p w:rsidR="00921C0A" w:rsidRPr="001A0BDF" w:rsidRDefault="00921C0A" w:rsidP="0028027F">
            <w:pPr>
              <w:spacing w:after="0" w:line="240" w:lineRule="auto"/>
              <w:jc w:val="center"/>
              <w:rPr>
                <w:rFonts w:ascii="Calibri" w:hAnsi="Calibri" w:cs="Calibri"/>
                <w:b/>
                <w:bCs/>
                <w:sz w:val="24"/>
                <w:szCs w:val="24"/>
              </w:rPr>
            </w:pPr>
            <w:r w:rsidRPr="001A0BDF">
              <w:rPr>
                <w:rFonts w:ascii="Calibri" w:hAnsi="Calibri" w:cs="Calibri"/>
                <w:b/>
                <w:bCs/>
                <w:sz w:val="24"/>
                <w:szCs w:val="24"/>
              </w:rPr>
              <w:t>Code :</w:t>
            </w:r>
          </w:p>
        </w:tc>
        <w:tc>
          <w:tcPr>
            <w:tcW w:w="7938" w:type="dxa"/>
            <w:tcBorders>
              <w:top w:val="single" w:sz="6" w:space="0" w:color="auto"/>
              <w:left w:val="single" w:sz="4" w:space="0" w:color="auto"/>
              <w:bottom w:val="single" w:sz="18" w:space="0" w:color="auto"/>
              <w:right w:val="single" w:sz="18" w:space="0" w:color="auto"/>
            </w:tcBorders>
            <w:shd w:val="clear" w:color="auto" w:fill="C2D69B" w:themeFill="accent3" w:themeFillTint="99"/>
            <w:vAlign w:val="center"/>
          </w:tcPr>
          <w:p w:rsidR="00921C0A" w:rsidRPr="00DB32DC" w:rsidRDefault="00921C0A" w:rsidP="0028027F">
            <w:pPr>
              <w:spacing w:after="0" w:line="240" w:lineRule="auto"/>
              <w:jc w:val="center"/>
              <w:rPr>
                <w:rFonts w:ascii="Calibri" w:hAnsi="Calibri" w:cs="Calibri"/>
                <w:b/>
                <w:bCs/>
                <w:color w:val="000000"/>
                <w:sz w:val="24"/>
                <w:szCs w:val="24"/>
              </w:rPr>
            </w:pPr>
            <w:r w:rsidRPr="00DB32DC">
              <w:rPr>
                <w:rFonts w:ascii="Calibri" w:hAnsi="Calibri" w:cs="Calibri"/>
                <w:b/>
                <w:bCs/>
                <w:color w:val="000000"/>
                <w:sz w:val="24"/>
                <w:szCs w:val="24"/>
              </w:rPr>
              <w:t>NM EN 13126-6</w:t>
            </w:r>
          </w:p>
        </w:tc>
      </w:tr>
      <w:tr w:rsidR="00921C0A" w:rsidRPr="0043547B" w:rsidTr="00056AEE">
        <w:trPr>
          <w:trHeight w:val="460"/>
          <w:jc w:val="center"/>
        </w:trPr>
        <w:tc>
          <w:tcPr>
            <w:tcW w:w="1838" w:type="dxa"/>
            <w:tcBorders>
              <w:top w:val="single" w:sz="6" w:space="0" w:color="auto"/>
              <w:left w:val="single" w:sz="18" w:space="0" w:color="auto"/>
              <w:bottom w:val="single" w:sz="18" w:space="0" w:color="auto"/>
              <w:right w:val="single" w:sz="4" w:space="0" w:color="auto"/>
            </w:tcBorders>
            <w:shd w:val="clear" w:color="auto" w:fill="FFFF99"/>
            <w:vAlign w:val="center"/>
          </w:tcPr>
          <w:p w:rsidR="00921C0A" w:rsidRPr="001A0BDF" w:rsidRDefault="00921C0A" w:rsidP="0028027F">
            <w:pPr>
              <w:spacing w:after="0" w:line="240" w:lineRule="auto"/>
              <w:jc w:val="center"/>
              <w:rPr>
                <w:rFonts w:ascii="Calibri" w:hAnsi="Calibri" w:cs="Calibri"/>
                <w:b/>
                <w:bCs/>
                <w:sz w:val="24"/>
                <w:szCs w:val="24"/>
              </w:rPr>
            </w:pPr>
            <w:r w:rsidRPr="001A0BDF">
              <w:rPr>
                <w:rFonts w:ascii="Calibri" w:hAnsi="Calibri" w:cs="Calibri"/>
                <w:b/>
                <w:bCs/>
                <w:sz w:val="24"/>
                <w:szCs w:val="24"/>
              </w:rPr>
              <w:t>Equivalence :</w:t>
            </w:r>
          </w:p>
        </w:tc>
        <w:tc>
          <w:tcPr>
            <w:tcW w:w="7938" w:type="dxa"/>
            <w:tcBorders>
              <w:top w:val="single" w:sz="6" w:space="0" w:color="auto"/>
              <w:left w:val="single" w:sz="4" w:space="0" w:color="auto"/>
              <w:bottom w:val="single" w:sz="18" w:space="0" w:color="auto"/>
              <w:right w:val="single" w:sz="18" w:space="0" w:color="auto"/>
            </w:tcBorders>
            <w:shd w:val="clear" w:color="auto" w:fill="FFFF99"/>
            <w:vAlign w:val="center"/>
          </w:tcPr>
          <w:p w:rsidR="00921C0A" w:rsidRPr="00DB32DC" w:rsidRDefault="00921C0A" w:rsidP="0028027F">
            <w:pPr>
              <w:spacing w:after="0" w:line="240" w:lineRule="auto"/>
              <w:jc w:val="center"/>
              <w:rPr>
                <w:rFonts w:ascii="Calibri" w:hAnsi="Calibri" w:cs="Calibri"/>
                <w:b/>
                <w:bCs/>
                <w:color w:val="000000"/>
                <w:sz w:val="24"/>
                <w:szCs w:val="24"/>
              </w:rPr>
            </w:pPr>
            <w:r w:rsidRPr="00DB32DC">
              <w:rPr>
                <w:rFonts w:ascii="Calibri" w:hAnsi="Calibri" w:cs="Calibri"/>
                <w:b/>
                <w:bCs/>
                <w:color w:val="000000"/>
                <w:sz w:val="24"/>
                <w:szCs w:val="24"/>
              </w:rPr>
              <w:t>EN 13126-6</w:t>
            </w:r>
          </w:p>
        </w:tc>
      </w:tr>
      <w:tr w:rsidR="00921C0A" w:rsidRPr="0043547B" w:rsidTr="00056AEE">
        <w:trPr>
          <w:trHeight w:val="525"/>
          <w:jc w:val="center"/>
        </w:trPr>
        <w:tc>
          <w:tcPr>
            <w:tcW w:w="1838" w:type="dxa"/>
            <w:tcBorders>
              <w:top w:val="single" w:sz="18" w:space="0" w:color="auto"/>
              <w:left w:val="single" w:sz="18" w:space="0" w:color="auto"/>
              <w:bottom w:val="single" w:sz="4" w:space="0" w:color="auto"/>
              <w:right w:val="single" w:sz="4" w:space="0" w:color="auto"/>
            </w:tcBorders>
            <w:shd w:val="clear" w:color="auto" w:fill="95B3D7" w:themeFill="accent1" w:themeFillTint="99"/>
            <w:vAlign w:val="center"/>
          </w:tcPr>
          <w:p w:rsidR="00921C0A" w:rsidRPr="001A0BDF" w:rsidRDefault="00921C0A" w:rsidP="0028027F">
            <w:pPr>
              <w:spacing w:after="0" w:line="240" w:lineRule="auto"/>
              <w:jc w:val="center"/>
              <w:rPr>
                <w:rFonts w:ascii="Calibri" w:hAnsi="Calibri" w:cs="Calibri"/>
                <w:b/>
                <w:bCs/>
                <w:sz w:val="24"/>
                <w:szCs w:val="24"/>
              </w:rPr>
            </w:pPr>
            <w:r w:rsidRPr="001A0BDF">
              <w:rPr>
                <w:rFonts w:ascii="Calibri" w:hAnsi="Calibri" w:cs="Calibr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bottom"/>
          </w:tcPr>
          <w:p w:rsidR="00921C0A" w:rsidRPr="001A0BDF" w:rsidRDefault="00921C0A" w:rsidP="001A0BDF">
            <w:pPr>
              <w:spacing w:after="0" w:line="240" w:lineRule="auto"/>
              <w:rPr>
                <w:rFonts w:ascii="Calibri" w:hAnsi="Calibri" w:cs="Calibri"/>
                <w:color w:val="000000"/>
                <w:sz w:val="24"/>
                <w:szCs w:val="24"/>
              </w:rPr>
            </w:pPr>
            <w:r w:rsidRPr="001A0BDF">
              <w:rPr>
                <w:rFonts w:ascii="Calibri" w:hAnsi="Calibri" w:cs="Calibri"/>
                <w:color w:val="000000"/>
                <w:sz w:val="24"/>
                <w:szCs w:val="24"/>
              </w:rPr>
              <w:t xml:space="preserve">Quincaillerie pour le bâtiment - Exigences et méthodes d'essai des ferrures de fenêtres et portes-fenêtres - Partie 6 : Compas à géométrie variable (avec ou sans système de friction) </w:t>
            </w:r>
          </w:p>
        </w:tc>
      </w:tr>
      <w:tr w:rsidR="00921C0A" w:rsidRPr="0043547B" w:rsidTr="00056AEE">
        <w:trPr>
          <w:trHeight w:val="525"/>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921C0A" w:rsidRPr="001A0BDF" w:rsidRDefault="00921C0A" w:rsidP="0028027F">
            <w:pPr>
              <w:spacing w:after="0" w:line="240" w:lineRule="auto"/>
              <w:jc w:val="center"/>
              <w:rPr>
                <w:rFonts w:ascii="Calibri" w:hAnsi="Calibri" w:cs="Calibri"/>
                <w:b/>
                <w:bCs/>
                <w:sz w:val="24"/>
                <w:szCs w:val="24"/>
              </w:rPr>
            </w:pPr>
            <w:r w:rsidRPr="001A0BDF">
              <w:rPr>
                <w:rFonts w:ascii="Calibri" w:hAnsi="Calibri" w:cs="Calibri"/>
                <w:b/>
                <w:bCs/>
                <w:sz w:val="24"/>
                <w:szCs w:val="24"/>
              </w:rPr>
              <w:lastRenderedPageBreak/>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bottom"/>
          </w:tcPr>
          <w:p w:rsidR="00596EC7" w:rsidRDefault="00921C0A" w:rsidP="00596EC7">
            <w:pPr>
              <w:spacing w:after="0" w:line="240" w:lineRule="auto"/>
              <w:jc w:val="both"/>
              <w:rPr>
                <w:rFonts w:ascii="Calibri" w:hAnsi="Calibri" w:cs="Calibri"/>
                <w:color w:val="000000"/>
                <w:sz w:val="24"/>
                <w:szCs w:val="24"/>
              </w:rPr>
            </w:pPr>
            <w:r w:rsidRPr="001A0BDF">
              <w:rPr>
                <w:rFonts w:ascii="Calibri" w:hAnsi="Calibri" w:cs="Calibri"/>
                <w:color w:val="000000"/>
                <w:sz w:val="24"/>
                <w:szCs w:val="24"/>
              </w:rPr>
              <w:t>La présente partie de l’EN 13126 spécifie les exigences et les méthodes d’essai relatives à l’endurance, à</w:t>
            </w:r>
            <w:r w:rsidR="00596EC7">
              <w:rPr>
                <w:rFonts w:ascii="Calibri" w:hAnsi="Calibri" w:cs="Calibri"/>
                <w:color w:val="000000"/>
                <w:sz w:val="24"/>
                <w:szCs w:val="24"/>
              </w:rPr>
              <w:t xml:space="preserve"> </w:t>
            </w:r>
            <w:r w:rsidRPr="001A0BDF">
              <w:rPr>
                <w:rFonts w:ascii="Calibri" w:hAnsi="Calibri" w:cs="Calibri"/>
                <w:color w:val="000000"/>
                <w:sz w:val="24"/>
                <w:szCs w:val="24"/>
              </w:rPr>
              <w:t>la résistance, à la sécurité des biens et au fonctionnement des compas mécaniques à géométrie</w:t>
            </w:r>
            <w:r w:rsidR="00596EC7">
              <w:rPr>
                <w:rFonts w:ascii="Calibri" w:hAnsi="Calibri" w:cs="Calibri"/>
                <w:color w:val="000000"/>
                <w:sz w:val="24"/>
                <w:szCs w:val="24"/>
              </w:rPr>
              <w:t xml:space="preserve"> </w:t>
            </w:r>
            <w:r w:rsidRPr="001A0BDF">
              <w:rPr>
                <w:rFonts w:ascii="Calibri" w:hAnsi="Calibri" w:cs="Calibri"/>
                <w:color w:val="000000"/>
                <w:sz w:val="24"/>
                <w:szCs w:val="24"/>
              </w:rPr>
              <w:t>variable/parallèle (avec ou sans système de friction), qu’ils soient équipés ou non de limitateurs</w:t>
            </w:r>
            <w:r w:rsidRPr="001A0BDF">
              <w:rPr>
                <w:rFonts w:ascii="Calibri" w:hAnsi="Calibri" w:cs="Calibri"/>
                <w:color w:val="000000"/>
                <w:sz w:val="24"/>
                <w:szCs w:val="24"/>
              </w:rPr>
              <w:br/>
              <w:t>d’ouverture intégrés, en conformité avec leur application courante représentée dans l’Annexe D</w:t>
            </w:r>
            <w:r w:rsidR="00596EC7">
              <w:rPr>
                <w:rFonts w:ascii="Calibri" w:hAnsi="Calibri" w:cs="Calibri"/>
                <w:color w:val="000000"/>
                <w:sz w:val="24"/>
                <w:szCs w:val="24"/>
              </w:rPr>
              <w:t xml:space="preserve"> </w:t>
            </w:r>
            <w:r w:rsidRPr="001A0BDF">
              <w:rPr>
                <w:rFonts w:ascii="Calibri" w:hAnsi="Calibri" w:cs="Calibri"/>
                <w:color w:val="000000"/>
                <w:sz w:val="24"/>
                <w:szCs w:val="24"/>
              </w:rPr>
              <w:t>informative.</w:t>
            </w:r>
          </w:p>
          <w:p w:rsidR="00596EC7" w:rsidRDefault="00921C0A" w:rsidP="00596EC7">
            <w:pPr>
              <w:spacing w:after="0" w:line="240" w:lineRule="auto"/>
              <w:jc w:val="both"/>
              <w:rPr>
                <w:rFonts w:ascii="Calibri" w:hAnsi="Calibri" w:cs="Calibri"/>
                <w:color w:val="000000"/>
                <w:sz w:val="24"/>
                <w:szCs w:val="24"/>
              </w:rPr>
            </w:pPr>
            <w:r w:rsidRPr="001A0BDF">
              <w:rPr>
                <w:rFonts w:ascii="Calibri" w:hAnsi="Calibri" w:cs="Calibri"/>
                <w:color w:val="000000"/>
                <w:sz w:val="24"/>
                <w:szCs w:val="24"/>
              </w:rPr>
              <w:t>La présente norme permet à l’utilisateur d’une ferrure éprouvée par essai de considérer que lorsqu’ils</w:t>
            </w:r>
            <w:r w:rsidR="00596EC7">
              <w:rPr>
                <w:rFonts w:ascii="Calibri" w:hAnsi="Calibri" w:cs="Calibri"/>
                <w:color w:val="000000"/>
                <w:sz w:val="24"/>
                <w:szCs w:val="24"/>
              </w:rPr>
              <w:t xml:space="preserve"> </w:t>
            </w:r>
            <w:r w:rsidRPr="001A0BDF">
              <w:rPr>
                <w:rFonts w:ascii="Calibri" w:hAnsi="Calibri" w:cs="Calibri"/>
                <w:color w:val="000000"/>
                <w:sz w:val="24"/>
                <w:szCs w:val="24"/>
              </w:rPr>
              <w:t>sont utilisés correctement, les compas à géométrie variable/parallèle (avec ou sans système de friction)</w:t>
            </w:r>
            <w:r w:rsidR="00596EC7">
              <w:rPr>
                <w:rFonts w:ascii="Calibri" w:hAnsi="Calibri" w:cs="Calibri"/>
                <w:color w:val="000000"/>
                <w:sz w:val="24"/>
                <w:szCs w:val="24"/>
              </w:rPr>
              <w:t xml:space="preserve"> </w:t>
            </w:r>
            <w:r w:rsidRPr="001A0BDF">
              <w:rPr>
                <w:rFonts w:ascii="Calibri" w:hAnsi="Calibri" w:cs="Calibri"/>
                <w:color w:val="000000"/>
                <w:sz w:val="24"/>
                <w:szCs w:val="24"/>
              </w:rPr>
              <w:t>des fenêtres sont conformes aux exigences spécifiées.</w:t>
            </w:r>
          </w:p>
          <w:p w:rsidR="00596EC7" w:rsidRPr="00596EC7" w:rsidRDefault="00921C0A" w:rsidP="00596EC7">
            <w:pPr>
              <w:spacing w:after="0" w:line="240" w:lineRule="auto"/>
              <w:jc w:val="both"/>
              <w:rPr>
                <w:rFonts w:ascii="Calibri" w:hAnsi="Calibri" w:cs="Calibri"/>
                <w:i/>
                <w:iCs/>
                <w:color w:val="000000"/>
              </w:rPr>
            </w:pPr>
            <w:r w:rsidRPr="00596EC7">
              <w:rPr>
                <w:rFonts w:ascii="Calibri" w:hAnsi="Calibri" w:cs="Calibri"/>
                <w:b/>
                <w:bCs/>
                <w:i/>
                <w:iCs/>
                <w:color w:val="000000"/>
              </w:rPr>
              <w:t>NOTE 1</w:t>
            </w:r>
            <w:r w:rsidRPr="00596EC7">
              <w:rPr>
                <w:rFonts w:ascii="Calibri" w:hAnsi="Calibri" w:cs="Calibri"/>
                <w:i/>
                <w:iCs/>
                <w:color w:val="000000"/>
              </w:rPr>
              <w:t xml:space="preserve"> Les compas ou bras de compas d’équilibrage ne constituent pas un système de friction.</w:t>
            </w:r>
          </w:p>
          <w:p w:rsidR="00921C0A" w:rsidRPr="001A0BDF" w:rsidRDefault="00921C0A" w:rsidP="00596EC7">
            <w:pPr>
              <w:spacing w:after="0" w:line="240" w:lineRule="auto"/>
              <w:jc w:val="both"/>
              <w:rPr>
                <w:rFonts w:ascii="Calibri" w:hAnsi="Calibri" w:cs="Calibri"/>
                <w:color w:val="000000"/>
                <w:sz w:val="24"/>
                <w:szCs w:val="24"/>
              </w:rPr>
            </w:pPr>
            <w:r w:rsidRPr="00596EC7">
              <w:rPr>
                <w:rFonts w:ascii="Calibri" w:hAnsi="Calibri" w:cs="Calibri"/>
                <w:b/>
                <w:bCs/>
                <w:i/>
                <w:iCs/>
                <w:color w:val="000000"/>
              </w:rPr>
              <w:t>NOTE 2</w:t>
            </w:r>
            <w:r w:rsidRPr="00596EC7">
              <w:rPr>
                <w:rFonts w:ascii="Calibri" w:hAnsi="Calibri" w:cs="Calibri"/>
                <w:i/>
                <w:iCs/>
                <w:color w:val="000000"/>
              </w:rPr>
              <w:t xml:space="preserve"> Pour les besoins de la présente norme, la friction est réalisée par des patins de friction ou des pièces</w:t>
            </w:r>
            <w:r w:rsidR="00596EC7" w:rsidRPr="00596EC7">
              <w:rPr>
                <w:rFonts w:ascii="Calibri" w:hAnsi="Calibri" w:cs="Calibri"/>
                <w:i/>
                <w:iCs/>
                <w:color w:val="000000"/>
              </w:rPr>
              <w:t xml:space="preserve"> </w:t>
            </w:r>
            <w:r w:rsidRPr="00596EC7">
              <w:rPr>
                <w:rFonts w:ascii="Calibri" w:hAnsi="Calibri" w:cs="Calibri"/>
                <w:i/>
                <w:iCs/>
                <w:color w:val="000000"/>
              </w:rPr>
              <w:t>similaires.</w:t>
            </w:r>
          </w:p>
        </w:tc>
      </w:tr>
      <w:tr w:rsidR="00921C0A" w:rsidRPr="0043547B" w:rsidTr="00056AEE">
        <w:trPr>
          <w:trHeight w:val="525"/>
          <w:jc w:val="center"/>
        </w:trPr>
        <w:tc>
          <w:tcPr>
            <w:tcW w:w="1838" w:type="dxa"/>
            <w:tcBorders>
              <w:top w:val="single" w:sz="6" w:space="0" w:color="auto"/>
              <w:left w:val="single" w:sz="18" w:space="0" w:color="auto"/>
              <w:bottom w:val="single" w:sz="18" w:space="0" w:color="auto"/>
              <w:right w:val="single" w:sz="4" w:space="0" w:color="auto"/>
            </w:tcBorders>
            <w:shd w:val="clear" w:color="auto" w:fill="C2D69B" w:themeFill="accent3" w:themeFillTint="99"/>
            <w:vAlign w:val="center"/>
          </w:tcPr>
          <w:p w:rsidR="00921C0A" w:rsidRPr="001A0BDF" w:rsidRDefault="00921C0A" w:rsidP="0028027F">
            <w:pPr>
              <w:spacing w:after="0" w:line="240" w:lineRule="auto"/>
              <w:jc w:val="center"/>
              <w:rPr>
                <w:rFonts w:ascii="Calibri" w:hAnsi="Calibri" w:cs="Calibri"/>
                <w:b/>
                <w:bCs/>
                <w:sz w:val="24"/>
                <w:szCs w:val="24"/>
              </w:rPr>
            </w:pPr>
            <w:r w:rsidRPr="001A0BDF">
              <w:rPr>
                <w:rFonts w:ascii="Calibri" w:hAnsi="Calibri" w:cs="Calibri"/>
                <w:b/>
                <w:bCs/>
                <w:sz w:val="24"/>
                <w:szCs w:val="24"/>
              </w:rPr>
              <w:t>Code :</w:t>
            </w:r>
          </w:p>
        </w:tc>
        <w:tc>
          <w:tcPr>
            <w:tcW w:w="7938" w:type="dxa"/>
            <w:tcBorders>
              <w:top w:val="single" w:sz="6" w:space="0" w:color="auto"/>
              <w:left w:val="single" w:sz="4" w:space="0" w:color="auto"/>
              <w:bottom w:val="single" w:sz="18" w:space="0" w:color="auto"/>
              <w:right w:val="single" w:sz="18" w:space="0" w:color="auto"/>
            </w:tcBorders>
            <w:shd w:val="clear" w:color="auto" w:fill="C2D69B" w:themeFill="accent3" w:themeFillTint="99"/>
            <w:vAlign w:val="center"/>
          </w:tcPr>
          <w:p w:rsidR="00921C0A" w:rsidRPr="00596EC7" w:rsidRDefault="00921C0A" w:rsidP="0028027F">
            <w:pPr>
              <w:spacing w:after="0" w:line="240" w:lineRule="auto"/>
              <w:jc w:val="center"/>
              <w:rPr>
                <w:rFonts w:ascii="Calibri" w:hAnsi="Calibri" w:cs="Calibri"/>
                <w:b/>
                <w:bCs/>
                <w:color w:val="000000"/>
                <w:sz w:val="24"/>
                <w:szCs w:val="24"/>
              </w:rPr>
            </w:pPr>
            <w:r w:rsidRPr="00596EC7">
              <w:rPr>
                <w:rFonts w:ascii="Calibri" w:hAnsi="Calibri" w:cs="Calibri"/>
                <w:b/>
                <w:bCs/>
                <w:color w:val="000000"/>
                <w:sz w:val="24"/>
                <w:szCs w:val="24"/>
              </w:rPr>
              <w:t>NM EN 13126-7</w:t>
            </w:r>
          </w:p>
        </w:tc>
      </w:tr>
      <w:tr w:rsidR="00921C0A" w:rsidRPr="0043547B" w:rsidTr="00056AEE">
        <w:trPr>
          <w:trHeight w:val="525"/>
          <w:jc w:val="center"/>
        </w:trPr>
        <w:tc>
          <w:tcPr>
            <w:tcW w:w="1838" w:type="dxa"/>
            <w:tcBorders>
              <w:top w:val="single" w:sz="6" w:space="0" w:color="auto"/>
              <w:left w:val="single" w:sz="18" w:space="0" w:color="auto"/>
              <w:bottom w:val="single" w:sz="18" w:space="0" w:color="auto"/>
              <w:right w:val="single" w:sz="4" w:space="0" w:color="auto"/>
            </w:tcBorders>
            <w:shd w:val="clear" w:color="auto" w:fill="FFFF99"/>
            <w:vAlign w:val="center"/>
          </w:tcPr>
          <w:p w:rsidR="00921C0A" w:rsidRPr="001A0BDF" w:rsidRDefault="00921C0A" w:rsidP="0028027F">
            <w:pPr>
              <w:spacing w:after="0" w:line="240" w:lineRule="auto"/>
              <w:jc w:val="center"/>
              <w:rPr>
                <w:rFonts w:ascii="Calibri" w:hAnsi="Calibri" w:cs="Calibri"/>
                <w:b/>
                <w:bCs/>
                <w:sz w:val="24"/>
                <w:szCs w:val="24"/>
              </w:rPr>
            </w:pPr>
            <w:r w:rsidRPr="001A0BDF">
              <w:rPr>
                <w:rFonts w:ascii="Calibri" w:hAnsi="Calibri" w:cs="Calibri"/>
                <w:b/>
                <w:bCs/>
                <w:sz w:val="24"/>
                <w:szCs w:val="24"/>
              </w:rPr>
              <w:t>Equivalence :</w:t>
            </w:r>
          </w:p>
        </w:tc>
        <w:tc>
          <w:tcPr>
            <w:tcW w:w="7938" w:type="dxa"/>
            <w:tcBorders>
              <w:top w:val="single" w:sz="6" w:space="0" w:color="auto"/>
              <w:left w:val="single" w:sz="4" w:space="0" w:color="auto"/>
              <w:bottom w:val="single" w:sz="18" w:space="0" w:color="auto"/>
              <w:right w:val="single" w:sz="18" w:space="0" w:color="auto"/>
            </w:tcBorders>
            <w:shd w:val="clear" w:color="auto" w:fill="FFFF99"/>
            <w:vAlign w:val="center"/>
          </w:tcPr>
          <w:p w:rsidR="00921C0A" w:rsidRPr="00596EC7" w:rsidRDefault="00921C0A" w:rsidP="0028027F">
            <w:pPr>
              <w:spacing w:after="0" w:line="240" w:lineRule="auto"/>
              <w:jc w:val="center"/>
              <w:rPr>
                <w:rFonts w:ascii="Calibri" w:hAnsi="Calibri" w:cs="Calibri"/>
                <w:b/>
                <w:bCs/>
                <w:color w:val="000000"/>
                <w:sz w:val="24"/>
                <w:szCs w:val="24"/>
              </w:rPr>
            </w:pPr>
            <w:r w:rsidRPr="00596EC7">
              <w:rPr>
                <w:rFonts w:ascii="Calibri" w:hAnsi="Calibri" w:cs="Calibri"/>
                <w:b/>
                <w:bCs/>
                <w:color w:val="000000"/>
                <w:sz w:val="24"/>
                <w:szCs w:val="24"/>
              </w:rPr>
              <w:t>EN 13126-7</w:t>
            </w:r>
          </w:p>
        </w:tc>
      </w:tr>
      <w:tr w:rsidR="00921C0A" w:rsidRPr="0043547B" w:rsidTr="00056AEE">
        <w:trPr>
          <w:trHeight w:val="525"/>
          <w:jc w:val="center"/>
        </w:trPr>
        <w:tc>
          <w:tcPr>
            <w:tcW w:w="1838" w:type="dxa"/>
            <w:tcBorders>
              <w:top w:val="single" w:sz="18" w:space="0" w:color="auto"/>
              <w:left w:val="single" w:sz="18" w:space="0" w:color="auto"/>
              <w:bottom w:val="single" w:sz="4" w:space="0" w:color="auto"/>
              <w:right w:val="single" w:sz="4" w:space="0" w:color="auto"/>
            </w:tcBorders>
            <w:shd w:val="clear" w:color="auto" w:fill="95B3D7" w:themeFill="accent1" w:themeFillTint="99"/>
            <w:vAlign w:val="center"/>
          </w:tcPr>
          <w:p w:rsidR="00921C0A" w:rsidRPr="001A0BDF" w:rsidRDefault="00921C0A" w:rsidP="0028027F">
            <w:pPr>
              <w:spacing w:after="0" w:line="240" w:lineRule="auto"/>
              <w:jc w:val="center"/>
              <w:rPr>
                <w:rFonts w:ascii="Calibri" w:hAnsi="Calibri" w:cs="Calibri"/>
                <w:b/>
                <w:bCs/>
                <w:sz w:val="24"/>
                <w:szCs w:val="24"/>
              </w:rPr>
            </w:pPr>
            <w:r w:rsidRPr="001A0BDF">
              <w:rPr>
                <w:rFonts w:ascii="Calibri" w:hAnsi="Calibri" w:cs="Calibr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bottom"/>
          </w:tcPr>
          <w:p w:rsidR="00921C0A" w:rsidRPr="001A0BDF" w:rsidRDefault="00921C0A" w:rsidP="001A0BDF">
            <w:pPr>
              <w:spacing w:after="0" w:line="240" w:lineRule="auto"/>
              <w:rPr>
                <w:rFonts w:ascii="Calibri" w:hAnsi="Calibri" w:cs="Calibri"/>
                <w:color w:val="000000"/>
                <w:sz w:val="24"/>
                <w:szCs w:val="24"/>
              </w:rPr>
            </w:pPr>
            <w:r w:rsidRPr="001A0BDF">
              <w:rPr>
                <w:rFonts w:ascii="Calibri" w:hAnsi="Calibri" w:cs="Calibri"/>
                <w:color w:val="000000"/>
                <w:sz w:val="24"/>
                <w:szCs w:val="24"/>
              </w:rPr>
              <w:t xml:space="preserve">Quincaillerie pour le bâtiment - Exigences et méthodes d'essai des ferrures de fenêtres et portes-fenêtres - Partie 7 : Verrous de ferme-imposte </w:t>
            </w:r>
          </w:p>
        </w:tc>
      </w:tr>
      <w:tr w:rsidR="00921C0A" w:rsidRPr="0043547B" w:rsidTr="00056AEE">
        <w:trPr>
          <w:trHeight w:val="525"/>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921C0A" w:rsidRPr="001A0BDF" w:rsidRDefault="00921C0A" w:rsidP="0028027F">
            <w:pPr>
              <w:spacing w:after="0" w:line="240" w:lineRule="auto"/>
              <w:jc w:val="center"/>
              <w:rPr>
                <w:rFonts w:ascii="Calibri" w:hAnsi="Calibri" w:cs="Calibri"/>
                <w:b/>
                <w:bCs/>
                <w:sz w:val="24"/>
                <w:szCs w:val="24"/>
              </w:rPr>
            </w:pPr>
            <w:r w:rsidRPr="001A0BDF">
              <w:rPr>
                <w:rFonts w:ascii="Calibri" w:hAnsi="Calibri" w:cs="Calibr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bottom"/>
          </w:tcPr>
          <w:p w:rsidR="00921C0A" w:rsidRPr="001A0BDF" w:rsidRDefault="00921C0A" w:rsidP="00596EC7">
            <w:pPr>
              <w:spacing w:after="0" w:line="240" w:lineRule="auto"/>
              <w:jc w:val="both"/>
              <w:rPr>
                <w:rFonts w:ascii="Calibri" w:hAnsi="Calibri" w:cs="Calibri"/>
                <w:color w:val="000000"/>
                <w:sz w:val="24"/>
                <w:szCs w:val="24"/>
              </w:rPr>
            </w:pPr>
            <w:r w:rsidRPr="001A0BDF">
              <w:rPr>
                <w:rFonts w:ascii="Calibri" w:hAnsi="Calibri" w:cs="Calibri"/>
                <w:color w:val="000000"/>
                <w:sz w:val="24"/>
                <w:szCs w:val="24"/>
              </w:rPr>
              <w:t>La présente Norme européenne spécifie les exigences et les procédures d’essai relatifs à l’endurance, à la</w:t>
            </w:r>
            <w:r w:rsidR="00596EC7">
              <w:rPr>
                <w:rFonts w:ascii="Calibri" w:hAnsi="Calibri" w:cs="Calibri"/>
                <w:color w:val="000000"/>
                <w:sz w:val="24"/>
                <w:szCs w:val="24"/>
              </w:rPr>
              <w:t xml:space="preserve"> </w:t>
            </w:r>
            <w:r w:rsidRPr="001A0BDF">
              <w:rPr>
                <w:rFonts w:ascii="Calibri" w:hAnsi="Calibri" w:cs="Calibri"/>
                <w:color w:val="000000"/>
                <w:sz w:val="24"/>
                <w:szCs w:val="24"/>
              </w:rPr>
              <w:t>résistance, à la sécurité des biens et au fonctionnement des verrous de ferme-imposte pour fenêtres et</w:t>
            </w:r>
            <w:r w:rsidR="00596EC7">
              <w:rPr>
                <w:rFonts w:ascii="Calibri" w:hAnsi="Calibri" w:cs="Calibri"/>
                <w:color w:val="000000"/>
                <w:sz w:val="24"/>
                <w:szCs w:val="24"/>
              </w:rPr>
              <w:t xml:space="preserve"> </w:t>
            </w:r>
            <w:r w:rsidRPr="001A0BDF">
              <w:rPr>
                <w:rFonts w:ascii="Calibri" w:hAnsi="Calibri" w:cs="Calibri"/>
                <w:color w:val="000000"/>
                <w:sz w:val="24"/>
                <w:szCs w:val="24"/>
              </w:rPr>
              <w:t>portes-fenêtres.</w:t>
            </w:r>
          </w:p>
        </w:tc>
      </w:tr>
      <w:tr w:rsidR="00921C0A" w:rsidRPr="0043547B" w:rsidTr="00056AEE">
        <w:trPr>
          <w:trHeight w:val="525"/>
          <w:jc w:val="center"/>
        </w:trPr>
        <w:tc>
          <w:tcPr>
            <w:tcW w:w="1838" w:type="dxa"/>
            <w:tcBorders>
              <w:top w:val="single" w:sz="6" w:space="0" w:color="auto"/>
              <w:left w:val="single" w:sz="18" w:space="0" w:color="auto"/>
              <w:bottom w:val="single" w:sz="18" w:space="0" w:color="auto"/>
              <w:right w:val="single" w:sz="4" w:space="0" w:color="auto"/>
            </w:tcBorders>
            <w:shd w:val="clear" w:color="auto" w:fill="C2D69B" w:themeFill="accent3" w:themeFillTint="99"/>
            <w:vAlign w:val="center"/>
          </w:tcPr>
          <w:p w:rsidR="00921C0A" w:rsidRPr="001A0BDF" w:rsidRDefault="00921C0A" w:rsidP="0028027F">
            <w:pPr>
              <w:spacing w:after="0" w:line="240" w:lineRule="auto"/>
              <w:jc w:val="center"/>
              <w:rPr>
                <w:rFonts w:ascii="Calibri" w:hAnsi="Calibri" w:cs="Calibri"/>
                <w:b/>
                <w:bCs/>
                <w:sz w:val="24"/>
                <w:szCs w:val="24"/>
              </w:rPr>
            </w:pPr>
            <w:r w:rsidRPr="001A0BDF">
              <w:rPr>
                <w:rFonts w:ascii="Calibri" w:hAnsi="Calibri" w:cs="Calibri"/>
                <w:b/>
                <w:bCs/>
                <w:sz w:val="24"/>
                <w:szCs w:val="24"/>
              </w:rPr>
              <w:t>Code :</w:t>
            </w:r>
          </w:p>
        </w:tc>
        <w:tc>
          <w:tcPr>
            <w:tcW w:w="7938" w:type="dxa"/>
            <w:tcBorders>
              <w:top w:val="single" w:sz="6" w:space="0" w:color="auto"/>
              <w:left w:val="single" w:sz="4" w:space="0" w:color="auto"/>
              <w:bottom w:val="single" w:sz="18" w:space="0" w:color="auto"/>
              <w:right w:val="single" w:sz="18" w:space="0" w:color="auto"/>
            </w:tcBorders>
            <w:shd w:val="clear" w:color="auto" w:fill="C2D69B" w:themeFill="accent3" w:themeFillTint="99"/>
            <w:vAlign w:val="center"/>
          </w:tcPr>
          <w:p w:rsidR="00921C0A" w:rsidRPr="00596EC7" w:rsidRDefault="00921C0A" w:rsidP="0028027F">
            <w:pPr>
              <w:spacing w:after="0" w:line="240" w:lineRule="auto"/>
              <w:jc w:val="center"/>
              <w:rPr>
                <w:rFonts w:ascii="Calibri" w:hAnsi="Calibri" w:cs="Calibri"/>
                <w:b/>
                <w:bCs/>
                <w:color w:val="000000"/>
                <w:sz w:val="24"/>
                <w:szCs w:val="24"/>
              </w:rPr>
            </w:pPr>
            <w:r w:rsidRPr="00596EC7">
              <w:rPr>
                <w:rFonts w:ascii="Calibri" w:hAnsi="Calibri" w:cs="Calibri"/>
                <w:b/>
                <w:bCs/>
                <w:color w:val="000000"/>
                <w:sz w:val="24"/>
                <w:szCs w:val="24"/>
              </w:rPr>
              <w:t>NM EN 13126-8</w:t>
            </w:r>
          </w:p>
        </w:tc>
      </w:tr>
      <w:tr w:rsidR="00921C0A" w:rsidRPr="0043547B" w:rsidTr="00056AEE">
        <w:trPr>
          <w:trHeight w:val="525"/>
          <w:jc w:val="center"/>
        </w:trPr>
        <w:tc>
          <w:tcPr>
            <w:tcW w:w="1838" w:type="dxa"/>
            <w:tcBorders>
              <w:top w:val="single" w:sz="6" w:space="0" w:color="auto"/>
              <w:left w:val="single" w:sz="18" w:space="0" w:color="auto"/>
              <w:bottom w:val="single" w:sz="18" w:space="0" w:color="auto"/>
              <w:right w:val="single" w:sz="4" w:space="0" w:color="auto"/>
            </w:tcBorders>
            <w:shd w:val="clear" w:color="auto" w:fill="FFFF99"/>
            <w:vAlign w:val="center"/>
          </w:tcPr>
          <w:p w:rsidR="00921C0A" w:rsidRPr="001A0BDF" w:rsidRDefault="00921C0A" w:rsidP="0028027F">
            <w:pPr>
              <w:spacing w:after="0" w:line="240" w:lineRule="auto"/>
              <w:jc w:val="center"/>
              <w:rPr>
                <w:rFonts w:ascii="Calibri" w:hAnsi="Calibri" w:cs="Calibri"/>
                <w:b/>
                <w:bCs/>
                <w:sz w:val="24"/>
                <w:szCs w:val="24"/>
              </w:rPr>
            </w:pPr>
            <w:r w:rsidRPr="001A0BDF">
              <w:rPr>
                <w:rFonts w:ascii="Calibri" w:hAnsi="Calibri" w:cs="Calibri"/>
                <w:b/>
                <w:bCs/>
                <w:sz w:val="24"/>
                <w:szCs w:val="24"/>
              </w:rPr>
              <w:t>Equivalence :</w:t>
            </w:r>
          </w:p>
        </w:tc>
        <w:tc>
          <w:tcPr>
            <w:tcW w:w="7938" w:type="dxa"/>
            <w:tcBorders>
              <w:top w:val="single" w:sz="6" w:space="0" w:color="auto"/>
              <w:left w:val="single" w:sz="4" w:space="0" w:color="auto"/>
              <w:bottom w:val="single" w:sz="18" w:space="0" w:color="auto"/>
              <w:right w:val="single" w:sz="18" w:space="0" w:color="auto"/>
            </w:tcBorders>
            <w:shd w:val="clear" w:color="auto" w:fill="FFFF99"/>
            <w:vAlign w:val="center"/>
          </w:tcPr>
          <w:p w:rsidR="00921C0A" w:rsidRPr="00596EC7" w:rsidRDefault="00921C0A" w:rsidP="0028027F">
            <w:pPr>
              <w:spacing w:after="0" w:line="240" w:lineRule="auto"/>
              <w:jc w:val="center"/>
              <w:rPr>
                <w:rFonts w:ascii="Calibri" w:hAnsi="Calibri" w:cs="Calibri"/>
                <w:b/>
                <w:bCs/>
                <w:color w:val="000000"/>
                <w:sz w:val="24"/>
                <w:szCs w:val="24"/>
              </w:rPr>
            </w:pPr>
            <w:r w:rsidRPr="00596EC7">
              <w:rPr>
                <w:rFonts w:ascii="Calibri" w:hAnsi="Calibri" w:cs="Calibri"/>
                <w:b/>
                <w:bCs/>
                <w:color w:val="000000"/>
                <w:sz w:val="24"/>
                <w:szCs w:val="24"/>
              </w:rPr>
              <w:t>EN 13126-8</w:t>
            </w:r>
          </w:p>
        </w:tc>
      </w:tr>
      <w:tr w:rsidR="00921C0A" w:rsidRPr="0043547B" w:rsidTr="00056AEE">
        <w:trPr>
          <w:trHeight w:val="525"/>
          <w:jc w:val="center"/>
        </w:trPr>
        <w:tc>
          <w:tcPr>
            <w:tcW w:w="1838" w:type="dxa"/>
            <w:tcBorders>
              <w:top w:val="single" w:sz="18" w:space="0" w:color="auto"/>
              <w:left w:val="single" w:sz="18" w:space="0" w:color="auto"/>
              <w:bottom w:val="single" w:sz="4" w:space="0" w:color="auto"/>
              <w:right w:val="single" w:sz="4" w:space="0" w:color="auto"/>
            </w:tcBorders>
            <w:shd w:val="clear" w:color="auto" w:fill="95B3D7" w:themeFill="accent1" w:themeFillTint="99"/>
            <w:vAlign w:val="center"/>
          </w:tcPr>
          <w:p w:rsidR="00921C0A" w:rsidRPr="001A0BDF" w:rsidRDefault="00921C0A" w:rsidP="0028027F">
            <w:pPr>
              <w:spacing w:after="0" w:line="240" w:lineRule="auto"/>
              <w:jc w:val="center"/>
              <w:rPr>
                <w:rFonts w:ascii="Calibri" w:hAnsi="Calibri" w:cs="Calibri"/>
                <w:b/>
                <w:bCs/>
                <w:sz w:val="24"/>
                <w:szCs w:val="24"/>
              </w:rPr>
            </w:pPr>
            <w:r w:rsidRPr="001A0BDF">
              <w:rPr>
                <w:rFonts w:ascii="Calibri" w:hAnsi="Calibri" w:cs="Calibr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bottom"/>
          </w:tcPr>
          <w:p w:rsidR="00921C0A" w:rsidRPr="001A0BDF" w:rsidRDefault="00921C0A" w:rsidP="001A0BDF">
            <w:pPr>
              <w:spacing w:after="0" w:line="240" w:lineRule="auto"/>
              <w:rPr>
                <w:rFonts w:ascii="Calibri" w:hAnsi="Calibri" w:cs="Calibri"/>
                <w:color w:val="000000"/>
                <w:sz w:val="24"/>
                <w:szCs w:val="24"/>
              </w:rPr>
            </w:pPr>
            <w:r w:rsidRPr="001A0BDF">
              <w:rPr>
                <w:rFonts w:ascii="Calibri" w:hAnsi="Calibri" w:cs="Calibri"/>
                <w:color w:val="000000"/>
                <w:sz w:val="24"/>
                <w:szCs w:val="24"/>
              </w:rPr>
              <w:t xml:space="preserve">Quincaillerie pour le bâtiment - Ferrures de fenêtres et portes-fenêtres - Partie 8 : Exigences et méthodes d'essai pour les ferrures d'oscillo-battant, de battant-oscillant et d'ouvrant pivotant </w:t>
            </w:r>
          </w:p>
        </w:tc>
      </w:tr>
      <w:tr w:rsidR="00921C0A" w:rsidRPr="0043547B" w:rsidTr="00056AEE">
        <w:trPr>
          <w:trHeight w:val="525"/>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921C0A" w:rsidRPr="001A0BDF" w:rsidRDefault="00921C0A" w:rsidP="0028027F">
            <w:pPr>
              <w:spacing w:after="0" w:line="240" w:lineRule="auto"/>
              <w:jc w:val="center"/>
              <w:rPr>
                <w:rFonts w:ascii="Calibri" w:hAnsi="Calibri" w:cs="Calibri"/>
                <w:b/>
                <w:bCs/>
                <w:sz w:val="24"/>
                <w:szCs w:val="24"/>
              </w:rPr>
            </w:pPr>
            <w:r w:rsidRPr="001A0BDF">
              <w:rPr>
                <w:rFonts w:ascii="Calibri" w:hAnsi="Calibri" w:cs="Calibr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bottom"/>
          </w:tcPr>
          <w:p w:rsidR="00921C0A" w:rsidRPr="001A0BDF" w:rsidRDefault="00921C0A" w:rsidP="00596EC7">
            <w:pPr>
              <w:spacing w:after="0" w:line="240" w:lineRule="auto"/>
              <w:jc w:val="both"/>
              <w:rPr>
                <w:rFonts w:ascii="Calibri" w:hAnsi="Calibri" w:cs="Calibri"/>
                <w:color w:val="000000"/>
                <w:sz w:val="24"/>
                <w:szCs w:val="24"/>
              </w:rPr>
            </w:pPr>
            <w:r w:rsidRPr="001A0BDF">
              <w:rPr>
                <w:rFonts w:ascii="Calibri" w:hAnsi="Calibri" w:cs="Calibri"/>
                <w:color w:val="000000"/>
                <w:sz w:val="24"/>
                <w:szCs w:val="24"/>
              </w:rPr>
              <w:t>La présente Norme européenne spécifie les exigences et procédures d’essai relatives à l’endurance, à la</w:t>
            </w:r>
            <w:r w:rsidR="00596EC7">
              <w:rPr>
                <w:rFonts w:ascii="Calibri" w:hAnsi="Calibri" w:cs="Calibri"/>
                <w:color w:val="000000"/>
                <w:sz w:val="24"/>
                <w:szCs w:val="24"/>
              </w:rPr>
              <w:t xml:space="preserve"> </w:t>
            </w:r>
            <w:r w:rsidRPr="001A0BDF">
              <w:rPr>
                <w:rFonts w:ascii="Calibri" w:hAnsi="Calibri" w:cs="Calibri"/>
                <w:color w:val="000000"/>
                <w:sz w:val="24"/>
                <w:szCs w:val="24"/>
              </w:rPr>
              <w:t>résistance, à la sécurité des biens et au fonctionnement des composants ou ensembles de ferrures</w:t>
            </w:r>
            <w:r w:rsidR="00596EC7">
              <w:rPr>
                <w:rFonts w:ascii="Calibri" w:hAnsi="Calibri" w:cs="Calibri"/>
                <w:color w:val="000000"/>
                <w:sz w:val="24"/>
                <w:szCs w:val="24"/>
              </w:rPr>
              <w:t xml:space="preserve"> </w:t>
            </w:r>
            <w:r w:rsidRPr="001A0BDF">
              <w:rPr>
                <w:rFonts w:ascii="Calibri" w:hAnsi="Calibri" w:cs="Calibri"/>
                <w:color w:val="000000"/>
                <w:sz w:val="24"/>
                <w:szCs w:val="24"/>
              </w:rPr>
              <w:t>d’oscillo‐battant, de battant‐oscillant et d’ouvrant pivotant pour fenêtres et portes‐fenêtres,</w:t>
            </w:r>
            <w:r w:rsidRPr="001A0BDF">
              <w:rPr>
                <w:rFonts w:ascii="Calibri" w:hAnsi="Calibri" w:cs="Calibri"/>
                <w:color w:val="000000"/>
                <w:sz w:val="24"/>
                <w:szCs w:val="24"/>
              </w:rPr>
              <w:br/>
              <w:t>conformément aux applications courantes, comme indiqué dans l’Annexe C, informative.</w:t>
            </w:r>
            <w:r w:rsidRPr="001A0BDF">
              <w:rPr>
                <w:rFonts w:ascii="Calibri" w:hAnsi="Calibri" w:cs="Calibri"/>
                <w:color w:val="000000"/>
                <w:sz w:val="24"/>
                <w:szCs w:val="24"/>
              </w:rPr>
              <w:br/>
            </w:r>
            <w:r w:rsidRPr="00596EC7">
              <w:rPr>
                <w:rFonts w:ascii="Calibri" w:hAnsi="Calibri" w:cs="Calibri"/>
                <w:b/>
                <w:bCs/>
                <w:i/>
                <w:iCs/>
                <w:color w:val="000000"/>
              </w:rPr>
              <w:t>NOTE</w:t>
            </w:r>
            <w:r w:rsidRPr="00596EC7">
              <w:rPr>
                <w:rFonts w:ascii="Calibri" w:hAnsi="Calibri" w:cs="Calibri"/>
                <w:i/>
                <w:iCs/>
                <w:color w:val="000000"/>
              </w:rPr>
              <w:t xml:space="preserve"> Pour que les caractéristiques garanties subsistent pendant toute la période d’utilisation, les</w:t>
            </w:r>
            <w:r w:rsidR="00596EC7" w:rsidRPr="00596EC7">
              <w:rPr>
                <w:rFonts w:ascii="Calibri" w:hAnsi="Calibri" w:cs="Calibri"/>
                <w:i/>
                <w:iCs/>
                <w:color w:val="000000"/>
              </w:rPr>
              <w:t xml:space="preserve"> </w:t>
            </w:r>
            <w:r w:rsidRPr="00596EC7">
              <w:rPr>
                <w:rFonts w:ascii="Calibri" w:hAnsi="Calibri" w:cs="Calibri"/>
                <w:i/>
                <w:iCs/>
                <w:color w:val="000000"/>
              </w:rPr>
              <w:t>informations relatives au produit du fabricant ainsi que ses instructions de maintenance et de service seront</w:t>
            </w:r>
            <w:r w:rsidR="00596EC7" w:rsidRPr="00596EC7">
              <w:rPr>
                <w:rFonts w:ascii="Calibri" w:hAnsi="Calibri" w:cs="Calibri"/>
                <w:i/>
                <w:iCs/>
                <w:color w:val="000000"/>
              </w:rPr>
              <w:t xml:space="preserve"> </w:t>
            </w:r>
            <w:r w:rsidRPr="00596EC7">
              <w:rPr>
                <w:rFonts w:ascii="Calibri" w:hAnsi="Calibri" w:cs="Calibri"/>
                <w:i/>
                <w:iCs/>
                <w:color w:val="000000"/>
              </w:rPr>
              <w:t>respectées de façon démontrable.</w:t>
            </w:r>
          </w:p>
        </w:tc>
      </w:tr>
      <w:tr w:rsidR="00921C0A" w:rsidRPr="0043547B" w:rsidTr="00056AEE">
        <w:trPr>
          <w:trHeight w:val="525"/>
          <w:jc w:val="center"/>
        </w:trPr>
        <w:tc>
          <w:tcPr>
            <w:tcW w:w="1838" w:type="dxa"/>
            <w:tcBorders>
              <w:top w:val="single" w:sz="6" w:space="0" w:color="auto"/>
              <w:left w:val="single" w:sz="18" w:space="0" w:color="auto"/>
              <w:bottom w:val="single" w:sz="18" w:space="0" w:color="auto"/>
              <w:right w:val="single" w:sz="4" w:space="0" w:color="auto"/>
            </w:tcBorders>
            <w:shd w:val="clear" w:color="auto" w:fill="C2D69B" w:themeFill="accent3" w:themeFillTint="99"/>
            <w:vAlign w:val="center"/>
          </w:tcPr>
          <w:p w:rsidR="00921C0A" w:rsidRPr="001A0BDF" w:rsidRDefault="00921C0A" w:rsidP="0028027F">
            <w:pPr>
              <w:spacing w:after="0" w:line="240" w:lineRule="auto"/>
              <w:jc w:val="center"/>
              <w:rPr>
                <w:rFonts w:ascii="Calibri" w:hAnsi="Calibri" w:cs="Calibri"/>
                <w:b/>
                <w:bCs/>
                <w:sz w:val="24"/>
                <w:szCs w:val="24"/>
              </w:rPr>
            </w:pPr>
            <w:r w:rsidRPr="001A0BDF">
              <w:rPr>
                <w:rFonts w:ascii="Calibri" w:hAnsi="Calibri" w:cs="Calibri"/>
                <w:b/>
                <w:bCs/>
                <w:sz w:val="24"/>
                <w:szCs w:val="24"/>
              </w:rPr>
              <w:t>Code :</w:t>
            </w:r>
          </w:p>
        </w:tc>
        <w:tc>
          <w:tcPr>
            <w:tcW w:w="7938" w:type="dxa"/>
            <w:tcBorders>
              <w:top w:val="single" w:sz="6" w:space="0" w:color="auto"/>
              <w:left w:val="single" w:sz="4" w:space="0" w:color="auto"/>
              <w:bottom w:val="single" w:sz="18" w:space="0" w:color="auto"/>
              <w:right w:val="single" w:sz="18" w:space="0" w:color="auto"/>
            </w:tcBorders>
            <w:shd w:val="clear" w:color="auto" w:fill="C2D69B" w:themeFill="accent3" w:themeFillTint="99"/>
            <w:vAlign w:val="center"/>
          </w:tcPr>
          <w:p w:rsidR="00921C0A" w:rsidRPr="00596EC7" w:rsidRDefault="00921C0A" w:rsidP="0028027F">
            <w:pPr>
              <w:spacing w:after="0" w:line="240" w:lineRule="auto"/>
              <w:jc w:val="center"/>
              <w:rPr>
                <w:rFonts w:ascii="Calibri" w:hAnsi="Calibri" w:cs="Calibri"/>
                <w:b/>
                <w:bCs/>
                <w:color w:val="000000"/>
                <w:sz w:val="24"/>
                <w:szCs w:val="24"/>
              </w:rPr>
            </w:pPr>
            <w:r w:rsidRPr="00596EC7">
              <w:rPr>
                <w:rFonts w:ascii="Calibri" w:hAnsi="Calibri" w:cs="Calibri"/>
                <w:b/>
                <w:bCs/>
                <w:color w:val="000000"/>
                <w:sz w:val="24"/>
                <w:szCs w:val="24"/>
              </w:rPr>
              <w:t>NM EN 13126-9</w:t>
            </w:r>
          </w:p>
        </w:tc>
      </w:tr>
      <w:tr w:rsidR="00921C0A" w:rsidRPr="0043547B" w:rsidTr="00056AEE">
        <w:trPr>
          <w:trHeight w:val="525"/>
          <w:jc w:val="center"/>
        </w:trPr>
        <w:tc>
          <w:tcPr>
            <w:tcW w:w="1838" w:type="dxa"/>
            <w:tcBorders>
              <w:top w:val="single" w:sz="6" w:space="0" w:color="auto"/>
              <w:left w:val="single" w:sz="18" w:space="0" w:color="auto"/>
              <w:bottom w:val="single" w:sz="18" w:space="0" w:color="auto"/>
              <w:right w:val="single" w:sz="4" w:space="0" w:color="auto"/>
            </w:tcBorders>
            <w:shd w:val="clear" w:color="auto" w:fill="FFFF99"/>
            <w:vAlign w:val="center"/>
          </w:tcPr>
          <w:p w:rsidR="00921C0A" w:rsidRPr="001A0BDF" w:rsidRDefault="00921C0A" w:rsidP="0028027F">
            <w:pPr>
              <w:spacing w:after="0" w:line="240" w:lineRule="auto"/>
              <w:jc w:val="center"/>
              <w:rPr>
                <w:rFonts w:ascii="Calibri" w:hAnsi="Calibri" w:cs="Calibri"/>
                <w:b/>
                <w:bCs/>
                <w:sz w:val="24"/>
                <w:szCs w:val="24"/>
              </w:rPr>
            </w:pPr>
            <w:r w:rsidRPr="001A0BDF">
              <w:rPr>
                <w:rFonts w:ascii="Calibri" w:hAnsi="Calibri" w:cs="Calibri"/>
                <w:b/>
                <w:bCs/>
                <w:sz w:val="24"/>
                <w:szCs w:val="24"/>
              </w:rPr>
              <w:t>Equivalence :</w:t>
            </w:r>
          </w:p>
        </w:tc>
        <w:tc>
          <w:tcPr>
            <w:tcW w:w="7938" w:type="dxa"/>
            <w:tcBorders>
              <w:top w:val="single" w:sz="6" w:space="0" w:color="auto"/>
              <w:left w:val="single" w:sz="4" w:space="0" w:color="auto"/>
              <w:bottom w:val="single" w:sz="18" w:space="0" w:color="auto"/>
              <w:right w:val="single" w:sz="18" w:space="0" w:color="auto"/>
            </w:tcBorders>
            <w:shd w:val="clear" w:color="auto" w:fill="FFFF99"/>
            <w:vAlign w:val="center"/>
          </w:tcPr>
          <w:p w:rsidR="00921C0A" w:rsidRPr="00596EC7" w:rsidRDefault="00921C0A" w:rsidP="0028027F">
            <w:pPr>
              <w:spacing w:after="0" w:line="240" w:lineRule="auto"/>
              <w:jc w:val="center"/>
              <w:rPr>
                <w:rFonts w:ascii="Calibri" w:hAnsi="Calibri" w:cs="Calibri"/>
                <w:b/>
                <w:bCs/>
                <w:color w:val="000000"/>
                <w:sz w:val="24"/>
                <w:szCs w:val="24"/>
              </w:rPr>
            </w:pPr>
            <w:r w:rsidRPr="00596EC7">
              <w:rPr>
                <w:rFonts w:ascii="Calibri" w:hAnsi="Calibri" w:cs="Calibri"/>
                <w:b/>
                <w:bCs/>
                <w:color w:val="000000"/>
                <w:sz w:val="24"/>
                <w:szCs w:val="24"/>
              </w:rPr>
              <w:t>EN 13126-9</w:t>
            </w:r>
          </w:p>
        </w:tc>
      </w:tr>
      <w:tr w:rsidR="00921C0A" w:rsidRPr="0043547B" w:rsidTr="00056AEE">
        <w:trPr>
          <w:trHeight w:val="525"/>
          <w:jc w:val="center"/>
        </w:trPr>
        <w:tc>
          <w:tcPr>
            <w:tcW w:w="1838" w:type="dxa"/>
            <w:tcBorders>
              <w:top w:val="single" w:sz="18" w:space="0" w:color="auto"/>
              <w:left w:val="single" w:sz="18" w:space="0" w:color="auto"/>
              <w:bottom w:val="single" w:sz="4" w:space="0" w:color="auto"/>
              <w:right w:val="single" w:sz="4" w:space="0" w:color="auto"/>
            </w:tcBorders>
            <w:shd w:val="clear" w:color="auto" w:fill="95B3D7" w:themeFill="accent1" w:themeFillTint="99"/>
            <w:vAlign w:val="center"/>
          </w:tcPr>
          <w:p w:rsidR="00921C0A" w:rsidRPr="001A0BDF" w:rsidRDefault="00921C0A" w:rsidP="0028027F">
            <w:pPr>
              <w:spacing w:after="0" w:line="240" w:lineRule="auto"/>
              <w:jc w:val="center"/>
              <w:rPr>
                <w:rFonts w:ascii="Calibri" w:hAnsi="Calibri" w:cs="Calibri"/>
                <w:b/>
                <w:bCs/>
                <w:sz w:val="24"/>
                <w:szCs w:val="24"/>
              </w:rPr>
            </w:pPr>
            <w:r w:rsidRPr="001A0BDF">
              <w:rPr>
                <w:rFonts w:ascii="Calibri" w:hAnsi="Calibri" w:cs="Calibr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bottom"/>
          </w:tcPr>
          <w:p w:rsidR="00921C0A" w:rsidRPr="001A0BDF" w:rsidRDefault="00921C0A" w:rsidP="001A0BDF">
            <w:pPr>
              <w:spacing w:after="0" w:line="240" w:lineRule="auto"/>
              <w:rPr>
                <w:rFonts w:ascii="Calibri" w:hAnsi="Calibri" w:cs="Calibri"/>
                <w:color w:val="000000"/>
                <w:sz w:val="24"/>
                <w:szCs w:val="24"/>
              </w:rPr>
            </w:pPr>
            <w:r w:rsidRPr="001A0BDF">
              <w:rPr>
                <w:rFonts w:ascii="Calibri" w:hAnsi="Calibri" w:cs="Calibri"/>
                <w:color w:val="000000"/>
                <w:sz w:val="24"/>
                <w:szCs w:val="24"/>
              </w:rPr>
              <w:t xml:space="preserve">Quincaillerie pour le bâtiment - Exigences et méthodes d'essai des ferrures de fenêtres et portes-fenêtres - Partie 9 : Ferrures pour fenêtres basculantes et pivotantes </w:t>
            </w:r>
          </w:p>
        </w:tc>
      </w:tr>
      <w:tr w:rsidR="00921C0A" w:rsidRPr="0043547B" w:rsidTr="00056AEE">
        <w:trPr>
          <w:trHeight w:val="525"/>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921C0A" w:rsidRPr="001A0BDF" w:rsidRDefault="00921C0A" w:rsidP="0028027F">
            <w:pPr>
              <w:spacing w:after="0" w:line="240" w:lineRule="auto"/>
              <w:jc w:val="center"/>
              <w:rPr>
                <w:rFonts w:ascii="Calibri" w:hAnsi="Calibri" w:cs="Calibri"/>
                <w:b/>
                <w:bCs/>
                <w:sz w:val="24"/>
                <w:szCs w:val="24"/>
              </w:rPr>
            </w:pPr>
            <w:r w:rsidRPr="001A0BDF">
              <w:rPr>
                <w:rFonts w:ascii="Calibri" w:hAnsi="Calibri" w:cs="Calibr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bottom"/>
          </w:tcPr>
          <w:p w:rsidR="00596EC7" w:rsidRDefault="00921C0A" w:rsidP="00596EC7">
            <w:pPr>
              <w:spacing w:after="0" w:line="240" w:lineRule="auto"/>
              <w:jc w:val="both"/>
              <w:rPr>
                <w:rFonts w:ascii="Calibri" w:hAnsi="Calibri" w:cs="Calibri"/>
                <w:color w:val="000000"/>
                <w:sz w:val="24"/>
                <w:szCs w:val="24"/>
              </w:rPr>
            </w:pPr>
            <w:r w:rsidRPr="001A0BDF">
              <w:rPr>
                <w:rFonts w:ascii="Calibri" w:hAnsi="Calibri" w:cs="Calibri"/>
                <w:color w:val="000000"/>
                <w:sz w:val="24"/>
                <w:szCs w:val="24"/>
              </w:rPr>
              <w:t>La présente Norme européenne spécifie les exigences et les méthodes d'essai relatives à l'endurance et à la</w:t>
            </w:r>
            <w:r w:rsidR="00596EC7">
              <w:rPr>
                <w:rFonts w:ascii="Calibri" w:hAnsi="Calibri" w:cs="Calibri"/>
                <w:color w:val="000000"/>
                <w:sz w:val="24"/>
                <w:szCs w:val="24"/>
              </w:rPr>
              <w:t xml:space="preserve"> </w:t>
            </w:r>
            <w:r w:rsidRPr="001A0BDF">
              <w:rPr>
                <w:rFonts w:ascii="Calibri" w:hAnsi="Calibri" w:cs="Calibri"/>
                <w:color w:val="000000"/>
                <w:sz w:val="24"/>
                <w:szCs w:val="24"/>
              </w:rPr>
              <w:t>résistance des fenêtres et portes-fenêtres basculantes et pivotantes (y compris les pivots et les fermetures centrales).</w:t>
            </w:r>
            <w:r w:rsidRPr="001A0BDF">
              <w:rPr>
                <w:rFonts w:ascii="Calibri" w:hAnsi="Calibri" w:cs="Calibri"/>
                <w:color w:val="000000"/>
                <w:sz w:val="24"/>
                <w:szCs w:val="24"/>
              </w:rPr>
              <w:br/>
            </w:r>
            <w:r w:rsidRPr="001A0BDF">
              <w:rPr>
                <w:rFonts w:ascii="Calibri" w:hAnsi="Calibri" w:cs="Calibri"/>
                <w:color w:val="000000"/>
                <w:sz w:val="24"/>
                <w:szCs w:val="24"/>
              </w:rPr>
              <w:lastRenderedPageBreak/>
              <w:t>Si le fabricant de quincaillerie souhaite classer un limiteur intégré, il convient que les pivots soient soumis à essai</w:t>
            </w:r>
            <w:r w:rsidR="00596EC7">
              <w:rPr>
                <w:rFonts w:ascii="Calibri" w:hAnsi="Calibri" w:cs="Calibri"/>
                <w:color w:val="000000"/>
                <w:sz w:val="24"/>
                <w:szCs w:val="24"/>
              </w:rPr>
              <w:t xml:space="preserve"> </w:t>
            </w:r>
            <w:r w:rsidRPr="001A0BDF">
              <w:rPr>
                <w:rFonts w:ascii="Calibri" w:hAnsi="Calibri" w:cs="Calibri"/>
                <w:color w:val="000000"/>
                <w:sz w:val="24"/>
                <w:szCs w:val="24"/>
              </w:rPr>
              <w:t>conformément à l'EN 13126-5.</w:t>
            </w:r>
          </w:p>
          <w:p w:rsidR="00921C0A" w:rsidRPr="001A0BDF" w:rsidRDefault="00921C0A" w:rsidP="00596EC7">
            <w:pPr>
              <w:spacing w:after="0" w:line="240" w:lineRule="auto"/>
              <w:jc w:val="both"/>
              <w:rPr>
                <w:rFonts w:ascii="Calibri" w:hAnsi="Calibri" w:cs="Calibri"/>
                <w:color w:val="000000"/>
                <w:sz w:val="24"/>
                <w:szCs w:val="24"/>
              </w:rPr>
            </w:pPr>
            <w:r w:rsidRPr="001A0BDF">
              <w:rPr>
                <w:rFonts w:ascii="Calibri" w:hAnsi="Calibri" w:cs="Calibri"/>
                <w:color w:val="000000"/>
                <w:sz w:val="24"/>
                <w:szCs w:val="24"/>
              </w:rPr>
              <w:t>La présente Norme européenne ne s'applique pas aux organes de manoeuvre qui sont traités dans l'EN 13126-2,</w:t>
            </w:r>
            <w:r w:rsidR="00596EC7">
              <w:rPr>
                <w:rFonts w:ascii="Calibri" w:hAnsi="Calibri" w:cs="Calibri"/>
                <w:color w:val="000000"/>
                <w:sz w:val="24"/>
                <w:szCs w:val="24"/>
              </w:rPr>
              <w:t xml:space="preserve"> </w:t>
            </w:r>
            <w:r w:rsidRPr="001A0BDF">
              <w:rPr>
                <w:rFonts w:ascii="Calibri" w:hAnsi="Calibri" w:cs="Calibri"/>
                <w:color w:val="000000"/>
                <w:sz w:val="24"/>
                <w:szCs w:val="24"/>
              </w:rPr>
              <w:t>l'EN 13126-3, l'EN 13126-7, l'EN 13126-14 et le prEN 13126-18.</w:t>
            </w:r>
          </w:p>
        </w:tc>
      </w:tr>
      <w:tr w:rsidR="00503A9C" w:rsidRPr="0043547B" w:rsidTr="00056AEE">
        <w:trPr>
          <w:trHeight w:val="525"/>
          <w:jc w:val="center"/>
        </w:trPr>
        <w:tc>
          <w:tcPr>
            <w:tcW w:w="1838" w:type="dxa"/>
            <w:tcBorders>
              <w:top w:val="single" w:sz="6" w:space="0" w:color="auto"/>
              <w:left w:val="single" w:sz="18" w:space="0" w:color="auto"/>
              <w:bottom w:val="single" w:sz="18" w:space="0" w:color="auto"/>
              <w:right w:val="single" w:sz="4" w:space="0" w:color="auto"/>
            </w:tcBorders>
            <w:shd w:val="clear" w:color="auto" w:fill="C2D69B" w:themeFill="accent3" w:themeFillTint="99"/>
            <w:vAlign w:val="center"/>
          </w:tcPr>
          <w:p w:rsidR="00503A9C" w:rsidRPr="001A0BDF" w:rsidRDefault="00503A9C" w:rsidP="0028027F">
            <w:pPr>
              <w:spacing w:after="0" w:line="240" w:lineRule="auto"/>
              <w:jc w:val="center"/>
              <w:rPr>
                <w:rFonts w:ascii="Calibri" w:hAnsi="Calibri" w:cs="Calibri"/>
                <w:b/>
                <w:bCs/>
                <w:sz w:val="24"/>
                <w:szCs w:val="24"/>
              </w:rPr>
            </w:pPr>
            <w:r w:rsidRPr="001A0BDF">
              <w:rPr>
                <w:rFonts w:ascii="Calibri" w:hAnsi="Calibri" w:cs="Calibri"/>
                <w:b/>
                <w:bCs/>
                <w:sz w:val="24"/>
                <w:szCs w:val="24"/>
              </w:rPr>
              <w:lastRenderedPageBreak/>
              <w:t>Code :</w:t>
            </w:r>
          </w:p>
        </w:tc>
        <w:tc>
          <w:tcPr>
            <w:tcW w:w="7938" w:type="dxa"/>
            <w:tcBorders>
              <w:top w:val="single" w:sz="6" w:space="0" w:color="auto"/>
              <w:left w:val="single" w:sz="4" w:space="0" w:color="auto"/>
              <w:bottom w:val="single" w:sz="18" w:space="0" w:color="auto"/>
              <w:right w:val="single" w:sz="18" w:space="0" w:color="auto"/>
            </w:tcBorders>
            <w:shd w:val="clear" w:color="auto" w:fill="C2D69B" w:themeFill="accent3" w:themeFillTint="99"/>
            <w:vAlign w:val="center"/>
          </w:tcPr>
          <w:p w:rsidR="00503A9C" w:rsidRPr="00596EC7" w:rsidRDefault="00503A9C" w:rsidP="0028027F">
            <w:pPr>
              <w:spacing w:after="0" w:line="240" w:lineRule="auto"/>
              <w:jc w:val="center"/>
              <w:rPr>
                <w:rFonts w:ascii="Calibri" w:hAnsi="Calibri" w:cs="Calibri"/>
                <w:b/>
                <w:bCs/>
                <w:color w:val="000000"/>
                <w:sz w:val="24"/>
                <w:szCs w:val="24"/>
              </w:rPr>
            </w:pPr>
            <w:r w:rsidRPr="00596EC7">
              <w:rPr>
                <w:rFonts w:ascii="Calibri" w:hAnsi="Calibri" w:cs="Calibri"/>
                <w:b/>
                <w:bCs/>
                <w:color w:val="000000"/>
                <w:sz w:val="24"/>
                <w:szCs w:val="24"/>
              </w:rPr>
              <w:t>NM EN 13126-10</w:t>
            </w:r>
          </w:p>
        </w:tc>
      </w:tr>
      <w:tr w:rsidR="00503A9C" w:rsidRPr="0043547B" w:rsidTr="00056AEE">
        <w:trPr>
          <w:trHeight w:val="525"/>
          <w:jc w:val="center"/>
        </w:trPr>
        <w:tc>
          <w:tcPr>
            <w:tcW w:w="1838" w:type="dxa"/>
            <w:tcBorders>
              <w:top w:val="single" w:sz="6" w:space="0" w:color="auto"/>
              <w:left w:val="single" w:sz="18" w:space="0" w:color="auto"/>
              <w:bottom w:val="single" w:sz="18" w:space="0" w:color="auto"/>
              <w:right w:val="single" w:sz="4" w:space="0" w:color="auto"/>
            </w:tcBorders>
            <w:shd w:val="clear" w:color="auto" w:fill="FFFF99"/>
            <w:vAlign w:val="center"/>
          </w:tcPr>
          <w:p w:rsidR="00503A9C" w:rsidRPr="001A0BDF" w:rsidRDefault="00503A9C" w:rsidP="0028027F">
            <w:pPr>
              <w:spacing w:after="0" w:line="240" w:lineRule="auto"/>
              <w:jc w:val="center"/>
              <w:rPr>
                <w:rFonts w:ascii="Calibri" w:hAnsi="Calibri" w:cs="Calibri"/>
                <w:b/>
                <w:bCs/>
                <w:sz w:val="24"/>
                <w:szCs w:val="24"/>
              </w:rPr>
            </w:pPr>
            <w:r w:rsidRPr="001A0BDF">
              <w:rPr>
                <w:rFonts w:ascii="Calibri" w:hAnsi="Calibri" w:cs="Calibri"/>
                <w:b/>
                <w:bCs/>
                <w:sz w:val="24"/>
                <w:szCs w:val="24"/>
              </w:rPr>
              <w:t>Equivalence :</w:t>
            </w:r>
          </w:p>
        </w:tc>
        <w:tc>
          <w:tcPr>
            <w:tcW w:w="7938" w:type="dxa"/>
            <w:tcBorders>
              <w:top w:val="single" w:sz="6" w:space="0" w:color="auto"/>
              <w:left w:val="single" w:sz="4" w:space="0" w:color="auto"/>
              <w:bottom w:val="single" w:sz="18" w:space="0" w:color="auto"/>
              <w:right w:val="single" w:sz="18" w:space="0" w:color="auto"/>
            </w:tcBorders>
            <w:shd w:val="clear" w:color="auto" w:fill="FFFF99"/>
            <w:vAlign w:val="center"/>
          </w:tcPr>
          <w:p w:rsidR="00503A9C" w:rsidRPr="00596EC7" w:rsidRDefault="00503A9C" w:rsidP="0028027F">
            <w:pPr>
              <w:spacing w:after="0" w:line="240" w:lineRule="auto"/>
              <w:jc w:val="center"/>
              <w:rPr>
                <w:rFonts w:ascii="Calibri" w:hAnsi="Calibri" w:cs="Calibri"/>
                <w:b/>
                <w:bCs/>
                <w:color w:val="000000"/>
                <w:sz w:val="24"/>
                <w:szCs w:val="24"/>
              </w:rPr>
            </w:pPr>
            <w:r w:rsidRPr="00596EC7">
              <w:rPr>
                <w:rFonts w:ascii="Calibri" w:hAnsi="Calibri" w:cs="Calibri"/>
                <w:b/>
                <w:bCs/>
                <w:color w:val="000000"/>
                <w:sz w:val="24"/>
                <w:szCs w:val="24"/>
              </w:rPr>
              <w:t>EN 13126-10</w:t>
            </w:r>
          </w:p>
        </w:tc>
      </w:tr>
      <w:tr w:rsidR="00503A9C" w:rsidRPr="0043547B" w:rsidTr="00056AEE">
        <w:trPr>
          <w:trHeight w:val="525"/>
          <w:jc w:val="center"/>
        </w:trPr>
        <w:tc>
          <w:tcPr>
            <w:tcW w:w="1838" w:type="dxa"/>
            <w:tcBorders>
              <w:top w:val="single" w:sz="18" w:space="0" w:color="auto"/>
              <w:left w:val="single" w:sz="18" w:space="0" w:color="auto"/>
              <w:bottom w:val="single" w:sz="4" w:space="0" w:color="auto"/>
              <w:right w:val="single" w:sz="4" w:space="0" w:color="auto"/>
            </w:tcBorders>
            <w:shd w:val="clear" w:color="auto" w:fill="95B3D7" w:themeFill="accent1" w:themeFillTint="99"/>
            <w:vAlign w:val="center"/>
          </w:tcPr>
          <w:p w:rsidR="00503A9C" w:rsidRPr="001A0BDF" w:rsidRDefault="00503A9C" w:rsidP="0028027F">
            <w:pPr>
              <w:spacing w:after="0" w:line="240" w:lineRule="auto"/>
              <w:jc w:val="center"/>
              <w:rPr>
                <w:rFonts w:ascii="Calibri" w:hAnsi="Calibri" w:cs="Calibri"/>
                <w:b/>
                <w:bCs/>
                <w:sz w:val="24"/>
                <w:szCs w:val="24"/>
              </w:rPr>
            </w:pPr>
            <w:r w:rsidRPr="001A0BDF">
              <w:rPr>
                <w:rFonts w:ascii="Calibri" w:hAnsi="Calibri" w:cs="Calibri"/>
                <w:b/>
                <w:bCs/>
                <w:sz w:val="24"/>
                <w:szCs w:val="24"/>
              </w:rPr>
              <w:t>Inti</w:t>
            </w:r>
            <w:r w:rsidRPr="00596EC7">
              <w:rPr>
                <w:rFonts w:ascii="Calibri" w:hAnsi="Calibri" w:cs="Calibri"/>
                <w:b/>
                <w:bCs/>
                <w:sz w:val="24"/>
                <w:szCs w:val="24"/>
                <w:shd w:val="clear" w:color="auto" w:fill="95B3D7" w:themeFill="accent1" w:themeFillTint="99"/>
              </w:rPr>
              <w:t>t</w:t>
            </w:r>
            <w:r w:rsidRPr="001A0BDF">
              <w:rPr>
                <w:rFonts w:ascii="Calibri" w:hAnsi="Calibri" w:cs="Calibri"/>
                <w:b/>
                <w:bCs/>
                <w:sz w:val="24"/>
                <w:szCs w:val="24"/>
              </w:rPr>
              <w: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bottom"/>
          </w:tcPr>
          <w:p w:rsidR="00503A9C" w:rsidRPr="001A0BDF" w:rsidRDefault="00503A9C" w:rsidP="001A0BDF">
            <w:pPr>
              <w:spacing w:after="0" w:line="240" w:lineRule="auto"/>
              <w:rPr>
                <w:rFonts w:ascii="Calibri" w:hAnsi="Calibri" w:cs="Calibri"/>
                <w:color w:val="000000"/>
                <w:sz w:val="24"/>
                <w:szCs w:val="24"/>
              </w:rPr>
            </w:pPr>
            <w:r w:rsidRPr="001A0BDF">
              <w:rPr>
                <w:rFonts w:ascii="Calibri" w:hAnsi="Calibri" w:cs="Calibri"/>
                <w:color w:val="000000"/>
                <w:sz w:val="24"/>
                <w:szCs w:val="24"/>
              </w:rPr>
              <w:t xml:space="preserve">Quincaillerie pour le bâtiment - Exigences et méthodes d'essai des ferrures de fenêtres et portes-fenêtres - Partie 10 : Compas à projection </w:t>
            </w:r>
          </w:p>
        </w:tc>
      </w:tr>
      <w:tr w:rsidR="00503A9C" w:rsidRPr="0043547B" w:rsidTr="00056AEE">
        <w:trPr>
          <w:trHeight w:val="525"/>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503A9C" w:rsidRPr="001A0BDF" w:rsidRDefault="00503A9C" w:rsidP="0028027F">
            <w:pPr>
              <w:spacing w:after="0" w:line="240" w:lineRule="auto"/>
              <w:jc w:val="center"/>
              <w:rPr>
                <w:rFonts w:ascii="Calibri" w:hAnsi="Calibri" w:cs="Calibri"/>
                <w:b/>
                <w:bCs/>
                <w:sz w:val="24"/>
                <w:szCs w:val="24"/>
              </w:rPr>
            </w:pPr>
            <w:r w:rsidRPr="001A0BDF">
              <w:rPr>
                <w:rFonts w:ascii="Calibri" w:hAnsi="Calibri" w:cs="Calibr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bottom"/>
          </w:tcPr>
          <w:p w:rsidR="00503A9C" w:rsidRPr="001A0BDF" w:rsidRDefault="00503A9C" w:rsidP="00596EC7">
            <w:pPr>
              <w:spacing w:after="0" w:line="240" w:lineRule="auto"/>
              <w:jc w:val="both"/>
              <w:rPr>
                <w:rFonts w:ascii="Calibri" w:hAnsi="Calibri" w:cs="Calibri"/>
                <w:color w:val="000000"/>
                <w:sz w:val="24"/>
                <w:szCs w:val="24"/>
              </w:rPr>
            </w:pPr>
            <w:r w:rsidRPr="001A0BDF">
              <w:rPr>
                <w:rFonts w:ascii="Calibri" w:hAnsi="Calibri" w:cs="Calibri"/>
                <w:color w:val="000000"/>
                <w:sz w:val="24"/>
                <w:szCs w:val="24"/>
              </w:rPr>
              <w:t>La présente partie de l’EN 13126 spécifie les exigences et les méthodes d’essai relatives à l’endurance, à la résistance,</w:t>
            </w:r>
            <w:r w:rsidR="00596EC7">
              <w:rPr>
                <w:rFonts w:ascii="Calibri" w:hAnsi="Calibri" w:cs="Calibri"/>
                <w:color w:val="000000"/>
                <w:sz w:val="24"/>
                <w:szCs w:val="24"/>
              </w:rPr>
              <w:t xml:space="preserve"> </w:t>
            </w:r>
            <w:r w:rsidRPr="001A0BDF">
              <w:rPr>
                <w:rFonts w:ascii="Calibri" w:hAnsi="Calibri" w:cs="Calibri"/>
                <w:color w:val="000000"/>
                <w:sz w:val="24"/>
                <w:szCs w:val="24"/>
              </w:rPr>
              <w:t>à la sécurité des biens et au fonctionnement des compas à projection pour fenêtres et portes-fenêtres.</w:t>
            </w:r>
          </w:p>
        </w:tc>
      </w:tr>
      <w:tr w:rsidR="00503A9C" w:rsidRPr="0043547B" w:rsidTr="00056AEE">
        <w:trPr>
          <w:trHeight w:val="525"/>
          <w:jc w:val="center"/>
        </w:trPr>
        <w:tc>
          <w:tcPr>
            <w:tcW w:w="1838" w:type="dxa"/>
            <w:tcBorders>
              <w:top w:val="single" w:sz="6" w:space="0" w:color="auto"/>
              <w:left w:val="single" w:sz="18" w:space="0" w:color="auto"/>
              <w:bottom w:val="single" w:sz="18" w:space="0" w:color="auto"/>
              <w:right w:val="single" w:sz="4" w:space="0" w:color="auto"/>
            </w:tcBorders>
            <w:shd w:val="clear" w:color="auto" w:fill="C2D69B" w:themeFill="accent3" w:themeFillTint="99"/>
            <w:vAlign w:val="center"/>
          </w:tcPr>
          <w:p w:rsidR="00503A9C" w:rsidRPr="001A0BDF" w:rsidRDefault="00503A9C" w:rsidP="0028027F">
            <w:pPr>
              <w:spacing w:after="0" w:line="240" w:lineRule="auto"/>
              <w:jc w:val="center"/>
              <w:rPr>
                <w:rFonts w:ascii="Calibri" w:hAnsi="Calibri" w:cs="Calibri"/>
                <w:b/>
                <w:bCs/>
                <w:sz w:val="24"/>
                <w:szCs w:val="24"/>
              </w:rPr>
            </w:pPr>
            <w:r w:rsidRPr="001A0BDF">
              <w:rPr>
                <w:rFonts w:ascii="Calibri" w:hAnsi="Calibri" w:cs="Calibri"/>
                <w:b/>
                <w:bCs/>
                <w:sz w:val="24"/>
                <w:szCs w:val="24"/>
              </w:rPr>
              <w:t>Code :</w:t>
            </w:r>
          </w:p>
        </w:tc>
        <w:tc>
          <w:tcPr>
            <w:tcW w:w="7938" w:type="dxa"/>
            <w:tcBorders>
              <w:top w:val="single" w:sz="6" w:space="0" w:color="auto"/>
              <w:left w:val="single" w:sz="4" w:space="0" w:color="auto"/>
              <w:bottom w:val="single" w:sz="18" w:space="0" w:color="auto"/>
              <w:right w:val="single" w:sz="18" w:space="0" w:color="auto"/>
            </w:tcBorders>
            <w:shd w:val="clear" w:color="auto" w:fill="C2D69B" w:themeFill="accent3" w:themeFillTint="99"/>
            <w:vAlign w:val="center"/>
          </w:tcPr>
          <w:p w:rsidR="00503A9C" w:rsidRPr="00596EC7" w:rsidRDefault="00503A9C" w:rsidP="0028027F">
            <w:pPr>
              <w:spacing w:after="0" w:line="240" w:lineRule="auto"/>
              <w:jc w:val="center"/>
              <w:rPr>
                <w:rFonts w:ascii="Calibri" w:hAnsi="Calibri" w:cs="Calibri"/>
                <w:b/>
                <w:bCs/>
                <w:color w:val="000000"/>
                <w:sz w:val="24"/>
                <w:szCs w:val="24"/>
              </w:rPr>
            </w:pPr>
            <w:r w:rsidRPr="00596EC7">
              <w:rPr>
                <w:rFonts w:ascii="Calibri" w:hAnsi="Calibri" w:cs="Calibri"/>
                <w:b/>
                <w:bCs/>
                <w:color w:val="000000"/>
                <w:sz w:val="24"/>
                <w:szCs w:val="24"/>
              </w:rPr>
              <w:t>NM EN 13126-11</w:t>
            </w:r>
          </w:p>
        </w:tc>
      </w:tr>
      <w:tr w:rsidR="00503A9C" w:rsidRPr="0043547B" w:rsidTr="00056AEE">
        <w:trPr>
          <w:trHeight w:val="525"/>
          <w:jc w:val="center"/>
        </w:trPr>
        <w:tc>
          <w:tcPr>
            <w:tcW w:w="1838" w:type="dxa"/>
            <w:tcBorders>
              <w:top w:val="single" w:sz="6" w:space="0" w:color="auto"/>
              <w:left w:val="single" w:sz="18" w:space="0" w:color="auto"/>
              <w:bottom w:val="single" w:sz="18" w:space="0" w:color="auto"/>
              <w:right w:val="single" w:sz="4" w:space="0" w:color="auto"/>
            </w:tcBorders>
            <w:shd w:val="clear" w:color="auto" w:fill="FFFF99"/>
            <w:vAlign w:val="center"/>
          </w:tcPr>
          <w:p w:rsidR="00503A9C" w:rsidRPr="001A0BDF" w:rsidRDefault="00503A9C" w:rsidP="0028027F">
            <w:pPr>
              <w:spacing w:after="0" w:line="240" w:lineRule="auto"/>
              <w:jc w:val="center"/>
              <w:rPr>
                <w:rFonts w:ascii="Calibri" w:hAnsi="Calibri" w:cs="Calibri"/>
                <w:b/>
                <w:bCs/>
                <w:sz w:val="24"/>
                <w:szCs w:val="24"/>
              </w:rPr>
            </w:pPr>
            <w:r w:rsidRPr="001A0BDF">
              <w:rPr>
                <w:rFonts w:ascii="Calibri" w:hAnsi="Calibri" w:cs="Calibri"/>
                <w:b/>
                <w:bCs/>
                <w:sz w:val="24"/>
                <w:szCs w:val="24"/>
              </w:rPr>
              <w:t>Equivalence :</w:t>
            </w:r>
          </w:p>
        </w:tc>
        <w:tc>
          <w:tcPr>
            <w:tcW w:w="7938" w:type="dxa"/>
            <w:tcBorders>
              <w:top w:val="single" w:sz="6" w:space="0" w:color="auto"/>
              <w:left w:val="single" w:sz="4" w:space="0" w:color="auto"/>
              <w:bottom w:val="single" w:sz="18" w:space="0" w:color="auto"/>
              <w:right w:val="single" w:sz="18" w:space="0" w:color="auto"/>
            </w:tcBorders>
            <w:shd w:val="clear" w:color="auto" w:fill="FFFF99"/>
            <w:vAlign w:val="center"/>
          </w:tcPr>
          <w:p w:rsidR="00503A9C" w:rsidRPr="00596EC7" w:rsidRDefault="00503A9C" w:rsidP="0028027F">
            <w:pPr>
              <w:spacing w:after="0" w:line="240" w:lineRule="auto"/>
              <w:jc w:val="center"/>
              <w:rPr>
                <w:rFonts w:ascii="Calibri" w:hAnsi="Calibri" w:cs="Calibri"/>
                <w:b/>
                <w:bCs/>
                <w:color w:val="000000"/>
                <w:sz w:val="24"/>
                <w:szCs w:val="24"/>
              </w:rPr>
            </w:pPr>
            <w:r w:rsidRPr="00596EC7">
              <w:rPr>
                <w:rFonts w:ascii="Calibri" w:hAnsi="Calibri" w:cs="Calibri"/>
                <w:b/>
                <w:bCs/>
                <w:color w:val="000000"/>
                <w:sz w:val="24"/>
                <w:szCs w:val="24"/>
              </w:rPr>
              <w:t>EN 13126-11</w:t>
            </w:r>
          </w:p>
        </w:tc>
      </w:tr>
      <w:tr w:rsidR="00503A9C" w:rsidRPr="0043547B" w:rsidTr="00056AEE">
        <w:trPr>
          <w:trHeight w:val="525"/>
          <w:jc w:val="center"/>
        </w:trPr>
        <w:tc>
          <w:tcPr>
            <w:tcW w:w="1838" w:type="dxa"/>
            <w:tcBorders>
              <w:top w:val="single" w:sz="18" w:space="0" w:color="auto"/>
              <w:left w:val="single" w:sz="18" w:space="0" w:color="auto"/>
              <w:bottom w:val="single" w:sz="4" w:space="0" w:color="auto"/>
              <w:right w:val="single" w:sz="4" w:space="0" w:color="auto"/>
            </w:tcBorders>
            <w:shd w:val="clear" w:color="auto" w:fill="95B3D7" w:themeFill="accent1" w:themeFillTint="99"/>
            <w:vAlign w:val="center"/>
          </w:tcPr>
          <w:p w:rsidR="00503A9C" w:rsidRPr="001A0BDF" w:rsidRDefault="00503A9C" w:rsidP="0028027F">
            <w:pPr>
              <w:spacing w:after="0" w:line="240" w:lineRule="auto"/>
              <w:jc w:val="center"/>
              <w:rPr>
                <w:rFonts w:ascii="Calibri" w:hAnsi="Calibri" w:cs="Calibri"/>
                <w:b/>
                <w:bCs/>
                <w:sz w:val="24"/>
                <w:szCs w:val="24"/>
              </w:rPr>
            </w:pPr>
            <w:r w:rsidRPr="001A0BDF">
              <w:rPr>
                <w:rFonts w:ascii="Calibri" w:hAnsi="Calibri" w:cs="Calibr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bottom"/>
          </w:tcPr>
          <w:p w:rsidR="00503A9C" w:rsidRPr="001A0BDF" w:rsidRDefault="00503A9C" w:rsidP="001A0BDF">
            <w:pPr>
              <w:spacing w:after="0" w:line="240" w:lineRule="auto"/>
              <w:rPr>
                <w:rFonts w:ascii="Calibri" w:hAnsi="Calibri" w:cs="Calibri"/>
                <w:color w:val="000000"/>
                <w:sz w:val="24"/>
                <w:szCs w:val="24"/>
              </w:rPr>
            </w:pPr>
            <w:r w:rsidRPr="001A0BDF">
              <w:rPr>
                <w:rFonts w:ascii="Calibri" w:hAnsi="Calibri" w:cs="Calibri"/>
                <w:color w:val="000000"/>
                <w:sz w:val="24"/>
                <w:szCs w:val="24"/>
              </w:rPr>
              <w:t xml:space="preserve">Quincaillerie pour le bâtiment - Exigences et méthodes d'essai des ferrures de fenêtres et portes-fenêtres - Partie 11 : Ferrures pour ouvrants à l'italienne réversibles à axe horizontal supérieur ; </w:t>
            </w:r>
          </w:p>
        </w:tc>
      </w:tr>
      <w:tr w:rsidR="00503A9C" w:rsidRPr="0043547B" w:rsidTr="00056AEE">
        <w:trPr>
          <w:trHeight w:val="525"/>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503A9C" w:rsidRPr="001A0BDF" w:rsidRDefault="00503A9C" w:rsidP="0028027F">
            <w:pPr>
              <w:spacing w:after="0" w:line="240" w:lineRule="auto"/>
              <w:jc w:val="center"/>
              <w:rPr>
                <w:rFonts w:ascii="Calibri" w:hAnsi="Calibri" w:cs="Calibri"/>
                <w:b/>
                <w:bCs/>
                <w:sz w:val="24"/>
                <w:szCs w:val="24"/>
              </w:rPr>
            </w:pPr>
            <w:r w:rsidRPr="001A0BDF">
              <w:rPr>
                <w:rFonts w:ascii="Calibri" w:hAnsi="Calibri" w:cs="Calibr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bottom"/>
          </w:tcPr>
          <w:p w:rsidR="00596EC7" w:rsidRDefault="00503A9C" w:rsidP="00596EC7">
            <w:pPr>
              <w:spacing w:after="0" w:line="240" w:lineRule="auto"/>
              <w:jc w:val="both"/>
              <w:rPr>
                <w:rFonts w:ascii="Calibri" w:hAnsi="Calibri" w:cs="Calibri"/>
                <w:color w:val="000000"/>
                <w:sz w:val="24"/>
                <w:szCs w:val="24"/>
              </w:rPr>
            </w:pPr>
            <w:r w:rsidRPr="001A0BDF">
              <w:rPr>
                <w:rFonts w:ascii="Calibri" w:hAnsi="Calibri" w:cs="Calibri"/>
                <w:color w:val="000000"/>
                <w:sz w:val="24"/>
                <w:szCs w:val="24"/>
              </w:rPr>
              <w:t>La présente partie de l’EN 13126 spécifie les exigences et les méthodes d’essai relatives à l’endurance, à la</w:t>
            </w:r>
            <w:r w:rsidR="00596EC7">
              <w:rPr>
                <w:rFonts w:ascii="Calibri" w:hAnsi="Calibri" w:cs="Calibri"/>
                <w:color w:val="000000"/>
                <w:sz w:val="24"/>
                <w:szCs w:val="24"/>
              </w:rPr>
              <w:t xml:space="preserve"> </w:t>
            </w:r>
            <w:r w:rsidRPr="001A0BDF">
              <w:rPr>
                <w:rFonts w:ascii="Calibri" w:hAnsi="Calibri" w:cs="Calibri"/>
                <w:color w:val="000000"/>
                <w:sz w:val="24"/>
                <w:szCs w:val="24"/>
              </w:rPr>
              <w:t>résistance, à la sécurité des biens et au fonctionnement des ferrures pour ouvrants à l’italienne réversibles à axe</w:t>
            </w:r>
            <w:r w:rsidRPr="001A0BDF">
              <w:rPr>
                <w:rFonts w:ascii="Calibri" w:hAnsi="Calibri" w:cs="Calibri"/>
                <w:color w:val="000000"/>
                <w:sz w:val="24"/>
                <w:szCs w:val="24"/>
              </w:rPr>
              <w:br/>
              <w:t>horizontal supérieur pour fenêtres.</w:t>
            </w:r>
          </w:p>
          <w:p w:rsidR="00503A9C" w:rsidRPr="00596EC7" w:rsidRDefault="00503A9C" w:rsidP="00596EC7">
            <w:pPr>
              <w:spacing w:after="0" w:line="240" w:lineRule="auto"/>
              <w:jc w:val="both"/>
              <w:rPr>
                <w:rFonts w:ascii="Calibri" w:hAnsi="Calibri" w:cs="Calibri"/>
                <w:i/>
                <w:iCs/>
                <w:color w:val="000000"/>
                <w:sz w:val="24"/>
                <w:szCs w:val="24"/>
              </w:rPr>
            </w:pPr>
            <w:r w:rsidRPr="00596EC7">
              <w:rPr>
                <w:rFonts w:ascii="Calibri" w:hAnsi="Calibri" w:cs="Calibri"/>
                <w:b/>
                <w:bCs/>
                <w:i/>
                <w:iCs/>
                <w:color w:val="000000"/>
              </w:rPr>
              <w:t>NOTE</w:t>
            </w:r>
            <w:r w:rsidRPr="00596EC7">
              <w:rPr>
                <w:rFonts w:ascii="Calibri" w:hAnsi="Calibri" w:cs="Calibri"/>
                <w:i/>
                <w:iCs/>
                <w:color w:val="000000"/>
              </w:rPr>
              <w:t xml:space="preserve"> La présente Norme européenne est applicable aux ferrures pour ouvrants à l’italienne réversibles à axe horizontal</w:t>
            </w:r>
            <w:r w:rsidR="00596EC7" w:rsidRPr="00596EC7">
              <w:rPr>
                <w:rFonts w:ascii="Calibri" w:hAnsi="Calibri" w:cs="Calibri"/>
                <w:i/>
                <w:iCs/>
                <w:color w:val="000000"/>
              </w:rPr>
              <w:t xml:space="preserve"> </w:t>
            </w:r>
            <w:r w:rsidRPr="00596EC7">
              <w:rPr>
                <w:rFonts w:ascii="Calibri" w:hAnsi="Calibri" w:cs="Calibri"/>
                <w:i/>
                <w:iCs/>
                <w:color w:val="000000"/>
              </w:rPr>
              <w:t>supérieur, qu’elles soient équipées ou non de limitateur d’ouverture intégré.</w:t>
            </w:r>
          </w:p>
        </w:tc>
      </w:tr>
      <w:tr w:rsidR="00503A9C" w:rsidRPr="0043547B" w:rsidTr="00056AEE">
        <w:trPr>
          <w:trHeight w:val="525"/>
          <w:jc w:val="center"/>
        </w:trPr>
        <w:tc>
          <w:tcPr>
            <w:tcW w:w="1838" w:type="dxa"/>
            <w:tcBorders>
              <w:top w:val="single" w:sz="6" w:space="0" w:color="auto"/>
              <w:left w:val="single" w:sz="18" w:space="0" w:color="auto"/>
              <w:bottom w:val="single" w:sz="18" w:space="0" w:color="auto"/>
              <w:right w:val="single" w:sz="4" w:space="0" w:color="auto"/>
            </w:tcBorders>
            <w:shd w:val="clear" w:color="auto" w:fill="C2D69B" w:themeFill="accent3" w:themeFillTint="99"/>
            <w:vAlign w:val="center"/>
          </w:tcPr>
          <w:p w:rsidR="00503A9C" w:rsidRPr="001A0BDF" w:rsidRDefault="00503A9C" w:rsidP="0028027F">
            <w:pPr>
              <w:spacing w:after="0" w:line="240" w:lineRule="auto"/>
              <w:jc w:val="center"/>
              <w:rPr>
                <w:rFonts w:ascii="Calibri" w:hAnsi="Calibri" w:cs="Calibri"/>
                <w:b/>
                <w:bCs/>
                <w:sz w:val="24"/>
                <w:szCs w:val="24"/>
              </w:rPr>
            </w:pPr>
            <w:r w:rsidRPr="001A0BDF">
              <w:rPr>
                <w:rFonts w:ascii="Calibri" w:hAnsi="Calibri" w:cs="Calibri"/>
                <w:b/>
                <w:bCs/>
                <w:sz w:val="24"/>
                <w:szCs w:val="24"/>
              </w:rPr>
              <w:t>Code :</w:t>
            </w:r>
          </w:p>
        </w:tc>
        <w:tc>
          <w:tcPr>
            <w:tcW w:w="7938" w:type="dxa"/>
            <w:tcBorders>
              <w:top w:val="single" w:sz="6" w:space="0" w:color="auto"/>
              <w:left w:val="single" w:sz="4" w:space="0" w:color="auto"/>
              <w:bottom w:val="single" w:sz="18" w:space="0" w:color="auto"/>
              <w:right w:val="single" w:sz="18" w:space="0" w:color="auto"/>
            </w:tcBorders>
            <w:shd w:val="clear" w:color="auto" w:fill="C2D69B" w:themeFill="accent3" w:themeFillTint="99"/>
            <w:vAlign w:val="center"/>
          </w:tcPr>
          <w:p w:rsidR="00503A9C" w:rsidRPr="00596EC7" w:rsidRDefault="00503A9C" w:rsidP="0028027F">
            <w:pPr>
              <w:spacing w:after="0" w:line="240" w:lineRule="auto"/>
              <w:jc w:val="center"/>
              <w:rPr>
                <w:rFonts w:ascii="Calibri" w:hAnsi="Calibri" w:cs="Calibri"/>
                <w:b/>
                <w:bCs/>
                <w:color w:val="000000"/>
                <w:sz w:val="24"/>
                <w:szCs w:val="24"/>
              </w:rPr>
            </w:pPr>
            <w:r w:rsidRPr="00596EC7">
              <w:rPr>
                <w:rFonts w:ascii="Calibri" w:hAnsi="Calibri" w:cs="Calibri"/>
                <w:b/>
                <w:bCs/>
                <w:color w:val="000000"/>
                <w:sz w:val="24"/>
                <w:szCs w:val="24"/>
              </w:rPr>
              <w:t>NM EN 13126-12</w:t>
            </w:r>
          </w:p>
        </w:tc>
      </w:tr>
      <w:tr w:rsidR="00503A9C" w:rsidRPr="0043547B" w:rsidTr="00056AEE">
        <w:trPr>
          <w:trHeight w:val="525"/>
          <w:jc w:val="center"/>
        </w:trPr>
        <w:tc>
          <w:tcPr>
            <w:tcW w:w="1838" w:type="dxa"/>
            <w:tcBorders>
              <w:top w:val="single" w:sz="6" w:space="0" w:color="auto"/>
              <w:left w:val="single" w:sz="18" w:space="0" w:color="auto"/>
              <w:bottom w:val="single" w:sz="18" w:space="0" w:color="auto"/>
              <w:right w:val="single" w:sz="4" w:space="0" w:color="auto"/>
            </w:tcBorders>
            <w:shd w:val="clear" w:color="auto" w:fill="FFFF99"/>
            <w:vAlign w:val="center"/>
          </w:tcPr>
          <w:p w:rsidR="00503A9C" w:rsidRPr="001A0BDF" w:rsidRDefault="00503A9C" w:rsidP="0028027F">
            <w:pPr>
              <w:spacing w:after="0" w:line="240" w:lineRule="auto"/>
              <w:jc w:val="center"/>
              <w:rPr>
                <w:rFonts w:ascii="Calibri" w:hAnsi="Calibri" w:cs="Calibri"/>
                <w:b/>
                <w:bCs/>
                <w:sz w:val="24"/>
                <w:szCs w:val="24"/>
              </w:rPr>
            </w:pPr>
            <w:r w:rsidRPr="001A0BDF">
              <w:rPr>
                <w:rFonts w:ascii="Calibri" w:hAnsi="Calibri" w:cs="Calibri"/>
                <w:b/>
                <w:bCs/>
                <w:sz w:val="24"/>
                <w:szCs w:val="24"/>
              </w:rPr>
              <w:t>Equivalence :</w:t>
            </w:r>
          </w:p>
        </w:tc>
        <w:tc>
          <w:tcPr>
            <w:tcW w:w="7938" w:type="dxa"/>
            <w:tcBorders>
              <w:top w:val="single" w:sz="6" w:space="0" w:color="auto"/>
              <w:left w:val="single" w:sz="4" w:space="0" w:color="auto"/>
              <w:bottom w:val="single" w:sz="18" w:space="0" w:color="auto"/>
              <w:right w:val="single" w:sz="18" w:space="0" w:color="auto"/>
            </w:tcBorders>
            <w:shd w:val="clear" w:color="auto" w:fill="FFFF99"/>
            <w:vAlign w:val="center"/>
          </w:tcPr>
          <w:p w:rsidR="00503A9C" w:rsidRPr="00596EC7" w:rsidRDefault="00503A9C" w:rsidP="0028027F">
            <w:pPr>
              <w:spacing w:after="0" w:line="240" w:lineRule="auto"/>
              <w:jc w:val="center"/>
              <w:rPr>
                <w:rFonts w:ascii="Calibri" w:hAnsi="Calibri" w:cs="Calibri"/>
                <w:b/>
                <w:bCs/>
                <w:color w:val="000000"/>
                <w:sz w:val="24"/>
                <w:szCs w:val="24"/>
              </w:rPr>
            </w:pPr>
            <w:r w:rsidRPr="00596EC7">
              <w:rPr>
                <w:rFonts w:ascii="Calibri" w:hAnsi="Calibri" w:cs="Calibri"/>
                <w:b/>
                <w:bCs/>
                <w:color w:val="000000"/>
                <w:sz w:val="24"/>
                <w:szCs w:val="24"/>
              </w:rPr>
              <w:t>EN 13126-12</w:t>
            </w:r>
          </w:p>
        </w:tc>
      </w:tr>
      <w:tr w:rsidR="00503A9C" w:rsidRPr="0043547B" w:rsidTr="00056AEE">
        <w:trPr>
          <w:trHeight w:val="525"/>
          <w:jc w:val="center"/>
        </w:trPr>
        <w:tc>
          <w:tcPr>
            <w:tcW w:w="1838" w:type="dxa"/>
            <w:tcBorders>
              <w:top w:val="single" w:sz="6" w:space="0" w:color="auto"/>
              <w:left w:val="single" w:sz="18" w:space="0" w:color="auto"/>
              <w:bottom w:val="single" w:sz="18" w:space="0" w:color="auto"/>
              <w:right w:val="single" w:sz="4" w:space="0" w:color="auto"/>
            </w:tcBorders>
            <w:shd w:val="clear" w:color="auto" w:fill="95B3D7" w:themeFill="accent1" w:themeFillTint="99"/>
            <w:vAlign w:val="center"/>
          </w:tcPr>
          <w:p w:rsidR="00503A9C" w:rsidRPr="001A0BDF" w:rsidRDefault="00503A9C" w:rsidP="0028027F">
            <w:pPr>
              <w:spacing w:after="0" w:line="240" w:lineRule="auto"/>
              <w:jc w:val="center"/>
              <w:rPr>
                <w:rFonts w:ascii="Calibri" w:hAnsi="Calibri" w:cs="Calibri"/>
                <w:b/>
                <w:bCs/>
                <w:sz w:val="24"/>
                <w:szCs w:val="24"/>
              </w:rPr>
            </w:pPr>
            <w:r w:rsidRPr="001A0BDF">
              <w:rPr>
                <w:rFonts w:ascii="Calibri" w:hAnsi="Calibri" w:cs="Calibri"/>
                <w:b/>
                <w:bCs/>
                <w:sz w:val="24"/>
                <w:szCs w:val="24"/>
              </w:rPr>
              <w:t>Intitulé :</w:t>
            </w:r>
          </w:p>
        </w:tc>
        <w:tc>
          <w:tcPr>
            <w:tcW w:w="7938" w:type="dxa"/>
            <w:tcBorders>
              <w:top w:val="single" w:sz="6" w:space="0" w:color="auto"/>
              <w:left w:val="single" w:sz="4" w:space="0" w:color="auto"/>
              <w:bottom w:val="single" w:sz="18" w:space="0" w:color="auto"/>
              <w:right w:val="single" w:sz="18" w:space="0" w:color="auto"/>
            </w:tcBorders>
            <w:shd w:val="clear" w:color="auto" w:fill="auto"/>
            <w:vAlign w:val="bottom"/>
          </w:tcPr>
          <w:p w:rsidR="00503A9C" w:rsidRPr="001A0BDF" w:rsidRDefault="00503A9C" w:rsidP="001A0BDF">
            <w:pPr>
              <w:spacing w:after="0" w:line="240" w:lineRule="auto"/>
              <w:rPr>
                <w:rFonts w:ascii="Calibri" w:hAnsi="Calibri" w:cs="Calibri"/>
                <w:color w:val="000000"/>
                <w:sz w:val="24"/>
                <w:szCs w:val="24"/>
              </w:rPr>
            </w:pPr>
            <w:r w:rsidRPr="001A0BDF">
              <w:rPr>
                <w:rFonts w:ascii="Calibri" w:hAnsi="Calibri" w:cs="Calibri"/>
                <w:color w:val="000000"/>
                <w:sz w:val="24"/>
                <w:szCs w:val="24"/>
              </w:rPr>
              <w:t xml:space="preserve">Quincaillerie pour le bâtiment - Exigences et méthodes d'essai des ferrures de fenêtres et portes-fenêtres - Partie 12 : Ferrures pour ouvrants à projection de l'axe latéral réversibles </w:t>
            </w:r>
          </w:p>
        </w:tc>
      </w:tr>
      <w:tr w:rsidR="00503A9C" w:rsidRPr="0043547B" w:rsidTr="00056AEE">
        <w:trPr>
          <w:trHeight w:val="525"/>
          <w:jc w:val="center"/>
        </w:trPr>
        <w:tc>
          <w:tcPr>
            <w:tcW w:w="1838" w:type="dxa"/>
            <w:tcBorders>
              <w:top w:val="single" w:sz="6" w:space="0" w:color="auto"/>
              <w:left w:val="single" w:sz="18" w:space="0" w:color="auto"/>
              <w:bottom w:val="single" w:sz="18" w:space="0" w:color="auto"/>
              <w:right w:val="single" w:sz="4" w:space="0" w:color="auto"/>
            </w:tcBorders>
            <w:shd w:val="clear" w:color="000000" w:fill="D9D9D9"/>
            <w:vAlign w:val="center"/>
          </w:tcPr>
          <w:p w:rsidR="00503A9C" w:rsidRPr="001A0BDF" w:rsidRDefault="00503A9C" w:rsidP="0028027F">
            <w:pPr>
              <w:spacing w:after="0" w:line="240" w:lineRule="auto"/>
              <w:jc w:val="center"/>
              <w:rPr>
                <w:rFonts w:ascii="Calibri" w:hAnsi="Calibri" w:cs="Calibri"/>
                <w:b/>
                <w:bCs/>
                <w:sz w:val="24"/>
                <w:szCs w:val="24"/>
              </w:rPr>
            </w:pPr>
            <w:r w:rsidRPr="001A0BDF">
              <w:rPr>
                <w:rFonts w:ascii="Calibri" w:hAnsi="Calibri" w:cs="Calibri"/>
                <w:b/>
                <w:bCs/>
                <w:sz w:val="24"/>
                <w:szCs w:val="24"/>
              </w:rPr>
              <w:t>Domaine d’application :</w:t>
            </w:r>
          </w:p>
        </w:tc>
        <w:tc>
          <w:tcPr>
            <w:tcW w:w="7938" w:type="dxa"/>
            <w:tcBorders>
              <w:top w:val="single" w:sz="6" w:space="0" w:color="auto"/>
              <w:left w:val="single" w:sz="4" w:space="0" w:color="auto"/>
              <w:bottom w:val="single" w:sz="18" w:space="0" w:color="auto"/>
              <w:right w:val="single" w:sz="18" w:space="0" w:color="auto"/>
            </w:tcBorders>
            <w:shd w:val="clear" w:color="auto" w:fill="auto"/>
            <w:vAlign w:val="bottom"/>
          </w:tcPr>
          <w:p w:rsidR="00596EC7" w:rsidRDefault="00503A9C" w:rsidP="00596EC7">
            <w:pPr>
              <w:spacing w:after="0" w:line="240" w:lineRule="auto"/>
              <w:jc w:val="both"/>
              <w:rPr>
                <w:rFonts w:ascii="Calibri" w:hAnsi="Calibri" w:cs="Calibri"/>
                <w:color w:val="000000"/>
                <w:sz w:val="24"/>
                <w:szCs w:val="24"/>
              </w:rPr>
            </w:pPr>
            <w:r w:rsidRPr="001A0BDF">
              <w:rPr>
                <w:rFonts w:ascii="Calibri" w:hAnsi="Calibri" w:cs="Calibri"/>
                <w:color w:val="000000"/>
                <w:sz w:val="24"/>
                <w:szCs w:val="24"/>
              </w:rPr>
              <w:t>La présente partie de l’EN 13126 spécifie les exigences et les méthodes d’essai relatives à l’endurance, à la</w:t>
            </w:r>
            <w:r w:rsidR="00596EC7">
              <w:rPr>
                <w:rFonts w:ascii="Calibri" w:hAnsi="Calibri" w:cs="Calibri"/>
                <w:color w:val="000000"/>
                <w:sz w:val="24"/>
                <w:szCs w:val="24"/>
              </w:rPr>
              <w:t xml:space="preserve"> </w:t>
            </w:r>
            <w:r w:rsidRPr="001A0BDF">
              <w:rPr>
                <w:rFonts w:ascii="Calibri" w:hAnsi="Calibri" w:cs="Calibri"/>
                <w:color w:val="000000"/>
                <w:sz w:val="24"/>
                <w:szCs w:val="24"/>
              </w:rPr>
              <w:t>résistance, à la sécurité des biens et au fonctionnement des ferrures pour ouvrants à projection de l’axe latéral</w:t>
            </w:r>
            <w:r w:rsidRPr="001A0BDF">
              <w:rPr>
                <w:rFonts w:ascii="Calibri" w:hAnsi="Calibri" w:cs="Calibri"/>
                <w:color w:val="000000"/>
                <w:sz w:val="24"/>
                <w:szCs w:val="24"/>
              </w:rPr>
              <w:br/>
              <w:t>réversibles pour les fenêtres.</w:t>
            </w:r>
          </w:p>
          <w:p w:rsidR="00503A9C" w:rsidRPr="00596EC7" w:rsidRDefault="00503A9C" w:rsidP="00596EC7">
            <w:pPr>
              <w:spacing w:after="0" w:line="240" w:lineRule="auto"/>
              <w:jc w:val="both"/>
              <w:rPr>
                <w:rFonts w:ascii="Calibri" w:hAnsi="Calibri" w:cs="Calibri"/>
                <w:i/>
                <w:iCs/>
                <w:color w:val="000000"/>
                <w:sz w:val="24"/>
                <w:szCs w:val="24"/>
              </w:rPr>
            </w:pPr>
            <w:r w:rsidRPr="00596EC7">
              <w:rPr>
                <w:rFonts w:ascii="Calibri" w:hAnsi="Calibri" w:cs="Calibri"/>
                <w:b/>
                <w:bCs/>
                <w:i/>
                <w:iCs/>
                <w:color w:val="000000"/>
              </w:rPr>
              <w:t xml:space="preserve">NOTE </w:t>
            </w:r>
            <w:r w:rsidRPr="00596EC7">
              <w:rPr>
                <w:rFonts w:ascii="Calibri" w:hAnsi="Calibri" w:cs="Calibri"/>
                <w:i/>
                <w:iCs/>
                <w:color w:val="000000"/>
              </w:rPr>
              <w:t>La présente Norme européenne est applicable aux ferrures pour ouvrants à projection de l’axe latéral réversibles</w:t>
            </w:r>
            <w:r w:rsidR="00596EC7" w:rsidRPr="00596EC7">
              <w:rPr>
                <w:rFonts w:ascii="Calibri" w:hAnsi="Calibri" w:cs="Calibri"/>
                <w:i/>
                <w:iCs/>
                <w:color w:val="000000"/>
              </w:rPr>
              <w:t xml:space="preserve"> </w:t>
            </w:r>
            <w:r w:rsidRPr="00596EC7">
              <w:rPr>
                <w:rFonts w:ascii="Calibri" w:hAnsi="Calibri" w:cs="Calibri"/>
                <w:i/>
                <w:iCs/>
                <w:color w:val="000000"/>
              </w:rPr>
              <w:t>qu’elles soient équipées ou non de limitateur d’ouverture intégré.</w:t>
            </w:r>
          </w:p>
        </w:tc>
      </w:tr>
      <w:tr w:rsidR="00503A9C" w:rsidRPr="0043547B" w:rsidTr="00056AEE">
        <w:trPr>
          <w:trHeight w:val="525"/>
          <w:jc w:val="center"/>
        </w:trPr>
        <w:tc>
          <w:tcPr>
            <w:tcW w:w="1838" w:type="dxa"/>
            <w:tcBorders>
              <w:top w:val="single" w:sz="6" w:space="0" w:color="auto"/>
              <w:left w:val="single" w:sz="18" w:space="0" w:color="auto"/>
              <w:bottom w:val="single" w:sz="18" w:space="0" w:color="auto"/>
              <w:right w:val="single" w:sz="4" w:space="0" w:color="auto"/>
            </w:tcBorders>
            <w:shd w:val="clear" w:color="auto" w:fill="C2D69B" w:themeFill="accent3" w:themeFillTint="99"/>
            <w:vAlign w:val="center"/>
          </w:tcPr>
          <w:p w:rsidR="00503A9C" w:rsidRPr="001A0BDF" w:rsidRDefault="00503A9C" w:rsidP="0028027F">
            <w:pPr>
              <w:spacing w:after="0" w:line="240" w:lineRule="auto"/>
              <w:jc w:val="center"/>
              <w:rPr>
                <w:rFonts w:ascii="Calibri" w:hAnsi="Calibri" w:cs="Calibri"/>
                <w:b/>
                <w:bCs/>
                <w:sz w:val="24"/>
                <w:szCs w:val="24"/>
              </w:rPr>
            </w:pPr>
            <w:r w:rsidRPr="001A0BDF">
              <w:rPr>
                <w:rFonts w:ascii="Calibri" w:hAnsi="Calibri" w:cs="Calibri"/>
                <w:b/>
                <w:bCs/>
                <w:sz w:val="24"/>
                <w:szCs w:val="24"/>
              </w:rPr>
              <w:t>Code :</w:t>
            </w:r>
          </w:p>
        </w:tc>
        <w:tc>
          <w:tcPr>
            <w:tcW w:w="7938" w:type="dxa"/>
            <w:tcBorders>
              <w:top w:val="single" w:sz="6" w:space="0" w:color="auto"/>
              <w:left w:val="single" w:sz="4" w:space="0" w:color="auto"/>
              <w:bottom w:val="single" w:sz="18" w:space="0" w:color="auto"/>
              <w:right w:val="single" w:sz="18" w:space="0" w:color="auto"/>
            </w:tcBorders>
            <w:shd w:val="clear" w:color="auto" w:fill="C2D69B" w:themeFill="accent3" w:themeFillTint="99"/>
            <w:vAlign w:val="center"/>
          </w:tcPr>
          <w:p w:rsidR="00503A9C" w:rsidRPr="00596EC7" w:rsidRDefault="00503A9C" w:rsidP="0028027F">
            <w:pPr>
              <w:spacing w:after="0" w:line="240" w:lineRule="auto"/>
              <w:jc w:val="center"/>
              <w:rPr>
                <w:rFonts w:ascii="Calibri" w:hAnsi="Calibri" w:cs="Calibri"/>
                <w:b/>
                <w:bCs/>
                <w:color w:val="000000"/>
                <w:sz w:val="24"/>
                <w:szCs w:val="24"/>
              </w:rPr>
            </w:pPr>
            <w:r w:rsidRPr="00596EC7">
              <w:rPr>
                <w:rFonts w:ascii="Calibri" w:hAnsi="Calibri" w:cs="Calibri"/>
                <w:b/>
                <w:bCs/>
                <w:color w:val="000000"/>
                <w:sz w:val="24"/>
                <w:szCs w:val="24"/>
              </w:rPr>
              <w:t>NM EN 13126-13</w:t>
            </w:r>
          </w:p>
        </w:tc>
      </w:tr>
      <w:tr w:rsidR="00503A9C" w:rsidRPr="0043547B" w:rsidTr="00056AEE">
        <w:trPr>
          <w:trHeight w:val="525"/>
          <w:jc w:val="center"/>
        </w:trPr>
        <w:tc>
          <w:tcPr>
            <w:tcW w:w="1838" w:type="dxa"/>
            <w:tcBorders>
              <w:top w:val="single" w:sz="6" w:space="0" w:color="auto"/>
              <w:left w:val="single" w:sz="18" w:space="0" w:color="auto"/>
              <w:bottom w:val="single" w:sz="18" w:space="0" w:color="auto"/>
              <w:right w:val="single" w:sz="4" w:space="0" w:color="auto"/>
            </w:tcBorders>
            <w:shd w:val="clear" w:color="auto" w:fill="FFFF99"/>
            <w:vAlign w:val="center"/>
          </w:tcPr>
          <w:p w:rsidR="00503A9C" w:rsidRPr="001A0BDF" w:rsidRDefault="00503A9C" w:rsidP="0028027F">
            <w:pPr>
              <w:spacing w:after="0" w:line="240" w:lineRule="auto"/>
              <w:jc w:val="center"/>
              <w:rPr>
                <w:rFonts w:ascii="Calibri" w:hAnsi="Calibri" w:cs="Calibri"/>
                <w:b/>
                <w:bCs/>
                <w:sz w:val="24"/>
                <w:szCs w:val="24"/>
              </w:rPr>
            </w:pPr>
            <w:r w:rsidRPr="001A0BDF">
              <w:rPr>
                <w:rFonts w:ascii="Calibri" w:hAnsi="Calibri" w:cs="Calibri"/>
                <w:b/>
                <w:bCs/>
                <w:sz w:val="24"/>
                <w:szCs w:val="24"/>
              </w:rPr>
              <w:t>Equivalence :</w:t>
            </w:r>
          </w:p>
        </w:tc>
        <w:tc>
          <w:tcPr>
            <w:tcW w:w="7938" w:type="dxa"/>
            <w:tcBorders>
              <w:top w:val="single" w:sz="6" w:space="0" w:color="auto"/>
              <w:left w:val="single" w:sz="4" w:space="0" w:color="auto"/>
              <w:bottom w:val="single" w:sz="18" w:space="0" w:color="auto"/>
              <w:right w:val="single" w:sz="18" w:space="0" w:color="auto"/>
            </w:tcBorders>
            <w:shd w:val="clear" w:color="auto" w:fill="FFFF99"/>
            <w:vAlign w:val="center"/>
          </w:tcPr>
          <w:p w:rsidR="00503A9C" w:rsidRPr="00596EC7" w:rsidRDefault="00503A9C" w:rsidP="0028027F">
            <w:pPr>
              <w:spacing w:after="0" w:line="240" w:lineRule="auto"/>
              <w:jc w:val="center"/>
              <w:rPr>
                <w:rFonts w:ascii="Calibri" w:hAnsi="Calibri" w:cs="Calibri"/>
                <w:b/>
                <w:bCs/>
                <w:color w:val="000000"/>
                <w:sz w:val="24"/>
                <w:szCs w:val="24"/>
              </w:rPr>
            </w:pPr>
            <w:r w:rsidRPr="00596EC7">
              <w:rPr>
                <w:rFonts w:ascii="Calibri" w:hAnsi="Calibri" w:cs="Calibri"/>
                <w:b/>
                <w:bCs/>
                <w:color w:val="000000"/>
                <w:sz w:val="24"/>
                <w:szCs w:val="24"/>
              </w:rPr>
              <w:t>EN 13126-13</w:t>
            </w:r>
          </w:p>
        </w:tc>
      </w:tr>
      <w:tr w:rsidR="00503A9C" w:rsidRPr="0043547B" w:rsidTr="00056AEE">
        <w:trPr>
          <w:trHeight w:val="525"/>
          <w:jc w:val="center"/>
        </w:trPr>
        <w:tc>
          <w:tcPr>
            <w:tcW w:w="1838" w:type="dxa"/>
            <w:tcBorders>
              <w:top w:val="single" w:sz="6" w:space="0" w:color="auto"/>
              <w:left w:val="single" w:sz="18" w:space="0" w:color="auto"/>
              <w:bottom w:val="single" w:sz="18" w:space="0" w:color="auto"/>
              <w:right w:val="single" w:sz="4" w:space="0" w:color="auto"/>
            </w:tcBorders>
            <w:shd w:val="clear" w:color="auto" w:fill="95B3D7" w:themeFill="accent1" w:themeFillTint="99"/>
            <w:vAlign w:val="center"/>
          </w:tcPr>
          <w:p w:rsidR="00503A9C" w:rsidRPr="001A0BDF" w:rsidRDefault="00503A9C" w:rsidP="0028027F">
            <w:pPr>
              <w:spacing w:after="0" w:line="240" w:lineRule="auto"/>
              <w:jc w:val="center"/>
              <w:rPr>
                <w:rFonts w:ascii="Calibri" w:hAnsi="Calibri" w:cs="Calibri"/>
                <w:b/>
                <w:bCs/>
                <w:sz w:val="24"/>
                <w:szCs w:val="24"/>
              </w:rPr>
            </w:pPr>
            <w:r w:rsidRPr="001A0BDF">
              <w:rPr>
                <w:rFonts w:ascii="Calibri" w:hAnsi="Calibri" w:cs="Calibri"/>
                <w:b/>
                <w:bCs/>
                <w:sz w:val="24"/>
                <w:szCs w:val="24"/>
              </w:rPr>
              <w:t>Intitulé :</w:t>
            </w:r>
          </w:p>
        </w:tc>
        <w:tc>
          <w:tcPr>
            <w:tcW w:w="7938" w:type="dxa"/>
            <w:tcBorders>
              <w:top w:val="single" w:sz="6" w:space="0" w:color="auto"/>
              <w:left w:val="single" w:sz="4" w:space="0" w:color="auto"/>
              <w:bottom w:val="single" w:sz="18" w:space="0" w:color="auto"/>
              <w:right w:val="single" w:sz="18" w:space="0" w:color="auto"/>
            </w:tcBorders>
            <w:shd w:val="clear" w:color="auto" w:fill="auto"/>
            <w:vAlign w:val="bottom"/>
          </w:tcPr>
          <w:p w:rsidR="00503A9C" w:rsidRPr="001A0BDF" w:rsidRDefault="00503A9C" w:rsidP="001A0BDF">
            <w:pPr>
              <w:spacing w:after="0" w:line="240" w:lineRule="auto"/>
              <w:rPr>
                <w:rFonts w:ascii="Calibri" w:hAnsi="Calibri" w:cs="Calibri"/>
                <w:color w:val="000000"/>
                <w:sz w:val="24"/>
                <w:szCs w:val="24"/>
              </w:rPr>
            </w:pPr>
            <w:r w:rsidRPr="001A0BDF">
              <w:rPr>
                <w:rFonts w:ascii="Calibri" w:hAnsi="Calibri" w:cs="Calibri"/>
                <w:color w:val="000000"/>
                <w:sz w:val="24"/>
                <w:szCs w:val="24"/>
              </w:rPr>
              <w:t xml:space="preserve">Quincaillerie pour le bâtiment - Ferrures de fenêtres et portes-fenêtres - Exigences et méthodes d'essai - Partie 13 : contrepoids pour mécanismes à guillotine </w:t>
            </w:r>
          </w:p>
        </w:tc>
      </w:tr>
      <w:tr w:rsidR="00503A9C" w:rsidRPr="0043547B" w:rsidTr="00056AEE">
        <w:trPr>
          <w:trHeight w:val="525"/>
          <w:jc w:val="center"/>
        </w:trPr>
        <w:tc>
          <w:tcPr>
            <w:tcW w:w="1838" w:type="dxa"/>
            <w:tcBorders>
              <w:top w:val="single" w:sz="6" w:space="0" w:color="auto"/>
              <w:left w:val="single" w:sz="18" w:space="0" w:color="auto"/>
              <w:bottom w:val="single" w:sz="18" w:space="0" w:color="auto"/>
              <w:right w:val="single" w:sz="4" w:space="0" w:color="auto"/>
            </w:tcBorders>
            <w:shd w:val="clear" w:color="000000" w:fill="D9D9D9"/>
            <w:vAlign w:val="center"/>
          </w:tcPr>
          <w:p w:rsidR="00503A9C" w:rsidRPr="001A0BDF" w:rsidRDefault="00503A9C" w:rsidP="0028027F">
            <w:pPr>
              <w:spacing w:after="0" w:line="240" w:lineRule="auto"/>
              <w:jc w:val="center"/>
              <w:rPr>
                <w:rFonts w:ascii="Calibri" w:hAnsi="Calibri" w:cs="Calibri"/>
                <w:b/>
                <w:bCs/>
                <w:sz w:val="24"/>
                <w:szCs w:val="24"/>
              </w:rPr>
            </w:pPr>
            <w:r w:rsidRPr="001A0BDF">
              <w:rPr>
                <w:rFonts w:ascii="Calibri" w:hAnsi="Calibri" w:cs="Calibri"/>
                <w:b/>
                <w:bCs/>
                <w:sz w:val="24"/>
                <w:szCs w:val="24"/>
              </w:rPr>
              <w:lastRenderedPageBreak/>
              <w:t>Domaine d’application :</w:t>
            </w:r>
          </w:p>
        </w:tc>
        <w:tc>
          <w:tcPr>
            <w:tcW w:w="7938" w:type="dxa"/>
            <w:tcBorders>
              <w:top w:val="single" w:sz="6" w:space="0" w:color="auto"/>
              <w:left w:val="single" w:sz="4" w:space="0" w:color="auto"/>
              <w:bottom w:val="single" w:sz="18" w:space="0" w:color="auto"/>
              <w:right w:val="single" w:sz="18" w:space="0" w:color="auto"/>
            </w:tcBorders>
            <w:shd w:val="clear" w:color="auto" w:fill="auto"/>
            <w:vAlign w:val="bottom"/>
          </w:tcPr>
          <w:p w:rsidR="00503A9C" w:rsidRPr="001A0BDF" w:rsidRDefault="00503A9C" w:rsidP="00596EC7">
            <w:pPr>
              <w:spacing w:after="0" w:line="240" w:lineRule="auto"/>
              <w:jc w:val="both"/>
              <w:rPr>
                <w:rFonts w:ascii="Calibri" w:hAnsi="Calibri" w:cs="Calibri"/>
                <w:color w:val="000000"/>
                <w:sz w:val="24"/>
                <w:szCs w:val="24"/>
              </w:rPr>
            </w:pPr>
            <w:r w:rsidRPr="001A0BDF">
              <w:rPr>
                <w:rFonts w:ascii="Calibri" w:hAnsi="Calibri" w:cs="Calibri"/>
                <w:color w:val="000000"/>
                <w:sz w:val="24"/>
                <w:szCs w:val="24"/>
              </w:rPr>
              <w:t>La présente Norme européenne spécifie les exigences et les méthodes d'essai relatives à l’endurance, à la</w:t>
            </w:r>
            <w:r w:rsidR="00596EC7">
              <w:rPr>
                <w:rFonts w:ascii="Calibri" w:hAnsi="Calibri" w:cs="Calibri"/>
                <w:color w:val="000000"/>
                <w:sz w:val="24"/>
                <w:szCs w:val="24"/>
              </w:rPr>
              <w:t xml:space="preserve"> </w:t>
            </w:r>
            <w:r w:rsidRPr="001A0BDF">
              <w:rPr>
                <w:rFonts w:ascii="Calibri" w:hAnsi="Calibri" w:cs="Calibri"/>
                <w:color w:val="000000"/>
                <w:sz w:val="24"/>
                <w:szCs w:val="24"/>
              </w:rPr>
              <w:t>résistance, à la sécurité des biens et au fonctionnement des contrepoids pour mécanisme à guillotine.</w:t>
            </w:r>
          </w:p>
        </w:tc>
      </w:tr>
      <w:tr w:rsidR="00503A9C" w:rsidRPr="0043547B" w:rsidTr="00056AEE">
        <w:trPr>
          <w:trHeight w:val="525"/>
          <w:jc w:val="center"/>
        </w:trPr>
        <w:tc>
          <w:tcPr>
            <w:tcW w:w="1838" w:type="dxa"/>
            <w:tcBorders>
              <w:top w:val="single" w:sz="6" w:space="0" w:color="auto"/>
              <w:left w:val="single" w:sz="18" w:space="0" w:color="auto"/>
              <w:bottom w:val="single" w:sz="18" w:space="0" w:color="auto"/>
              <w:right w:val="single" w:sz="4" w:space="0" w:color="auto"/>
            </w:tcBorders>
            <w:shd w:val="clear" w:color="auto" w:fill="C2D69B" w:themeFill="accent3" w:themeFillTint="99"/>
            <w:vAlign w:val="center"/>
          </w:tcPr>
          <w:p w:rsidR="00503A9C" w:rsidRPr="001A0BDF" w:rsidRDefault="00503A9C" w:rsidP="001A0BDF">
            <w:pPr>
              <w:spacing w:after="0" w:line="240" w:lineRule="auto"/>
              <w:jc w:val="center"/>
              <w:rPr>
                <w:rFonts w:ascii="Calibri" w:hAnsi="Calibri" w:cs="Calibri"/>
                <w:b/>
                <w:bCs/>
                <w:sz w:val="24"/>
                <w:szCs w:val="24"/>
              </w:rPr>
            </w:pPr>
            <w:r w:rsidRPr="001A0BDF">
              <w:rPr>
                <w:rFonts w:ascii="Calibri" w:hAnsi="Calibri" w:cs="Calibri"/>
                <w:b/>
                <w:bCs/>
                <w:sz w:val="24"/>
                <w:szCs w:val="24"/>
              </w:rPr>
              <w:t>Code :</w:t>
            </w:r>
          </w:p>
        </w:tc>
        <w:tc>
          <w:tcPr>
            <w:tcW w:w="7938" w:type="dxa"/>
            <w:tcBorders>
              <w:top w:val="single" w:sz="6" w:space="0" w:color="auto"/>
              <w:left w:val="single" w:sz="4" w:space="0" w:color="auto"/>
              <w:bottom w:val="single" w:sz="18" w:space="0" w:color="auto"/>
              <w:right w:val="single" w:sz="18" w:space="0" w:color="auto"/>
            </w:tcBorders>
            <w:shd w:val="clear" w:color="auto" w:fill="C2D69B" w:themeFill="accent3" w:themeFillTint="99"/>
            <w:vAlign w:val="center"/>
          </w:tcPr>
          <w:p w:rsidR="00503A9C" w:rsidRPr="00596EC7" w:rsidRDefault="00503A9C" w:rsidP="001A0BDF">
            <w:pPr>
              <w:spacing w:after="0" w:line="240" w:lineRule="auto"/>
              <w:jc w:val="center"/>
              <w:rPr>
                <w:rFonts w:ascii="Calibri" w:hAnsi="Calibri" w:cs="Calibri"/>
                <w:b/>
                <w:bCs/>
                <w:color w:val="000000"/>
                <w:sz w:val="24"/>
                <w:szCs w:val="24"/>
              </w:rPr>
            </w:pPr>
            <w:r w:rsidRPr="00596EC7">
              <w:rPr>
                <w:rFonts w:ascii="Calibri" w:hAnsi="Calibri" w:cs="Calibri"/>
                <w:b/>
                <w:bCs/>
                <w:color w:val="000000"/>
                <w:sz w:val="24"/>
                <w:szCs w:val="24"/>
              </w:rPr>
              <w:t>NM EN 13126-14</w:t>
            </w:r>
          </w:p>
        </w:tc>
      </w:tr>
      <w:tr w:rsidR="00503A9C" w:rsidRPr="0043547B" w:rsidTr="00056AEE">
        <w:trPr>
          <w:trHeight w:val="525"/>
          <w:jc w:val="center"/>
        </w:trPr>
        <w:tc>
          <w:tcPr>
            <w:tcW w:w="1838" w:type="dxa"/>
            <w:tcBorders>
              <w:top w:val="single" w:sz="6" w:space="0" w:color="auto"/>
              <w:left w:val="single" w:sz="18" w:space="0" w:color="auto"/>
              <w:bottom w:val="single" w:sz="18" w:space="0" w:color="auto"/>
              <w:right w:val="single" w:sz="4" w:space="0" w:color="auto"/>
            </w:tcBorders>
            <w:shd w:val="clear" w:color="auto" w:fill="FFFF99"/>
            <w:vAlign w:val="center"/>
          </w:tcPr>
          <w:p w:rsidR="00503A9C" w:rsidRPr="001A0BDF" w:rsidRDefault="00503A9C" w:rsidP="001A0BDF">
            <w:pPr>
              <w:spacing w:after="0" w:line="240" w:lineRule="auto"/>
              <w:jc w:val="center"/>
              <w:rPr>
                <w:rFonts w:ascii="Calibri" w:hAnsi="Calibri" w:cs="Calibri"/>
                <w:b/>
                <w:bCs/>
                <w:sz w:val="24"/>
                <w:szCs w:val="24"/>
              </w:rPr>
            </w:pPr>
            <w:r w:rsidRPr="001A0BDF">
              <w:rPr>
                <w:rFonts w:ascii="Calibri" w:hAnsi="Calibri" w:cs="Calibri"/>
                <w:b/>
                <w:bCs/>
                <w:sz w:val="24"/>
                <w:szCs w:val="24"/>
              </w:rPr>
              <w:t>Equivalence :</w:t>
            </w:r>
          </w:p>
        </w:tc>
        <w:tc>
          <w:tcPr>
            <w:tcW w:w="7938" w:type="dxa"/>
            <w:tcBorders>
              <w:top w:val="single" w:sz="6" w:space="0" w:color="auto"/>
              <w:left w:val="single" w:sz="4" w:space="0" w:color="auto"/>
              <w:bottom w:val="single" w:sz="18" w:space="0" w:color="auto"/>
              <w:right w:val="single" w:sz="18" w:space="0" w:color="auto"/>
            </w:tcBorders>
            <w:shd w:val="clear" w:color="auto" w:fill="FFFF99"/>
            <w:vAlign w:val="center"/>
          </w:tcPr>
          <w:p w:rsidR="00503A9C" w:rsidRPr="00596EC7" w:rsidRDefault="00503A9C" w:rsidP="001A0BDF">
            <w:pPr>
              <w:spacing w:after="0" w:line="240" w:lineRule="auto"/>
              <w:jc w:val="center"/>
              <w:rPr>
                <w:rFonts w:ascii="Calibri" w:hAnsi="Calibri" w:cs="Calibri"/>
                <w:b/>
                <w:bCs/>
                <w:color w:val="000000"/>
                <w:sz w:val="24"/>
                <w:szCs w:val="24"/>
              </w:rPr>
            </w:pPr>
            <w:r w:rsidRPr="00596EC7">
              <w:rPr>
                <w:rFonts w:ascii="Calibri" w:hAnsi="Calibri" w:cs="Calibri"/>
                <w:b/>
                <w:bCs/>
                <w:color w:val="000000"/>
                <w:sz w:val="24"/>
                <w:szCs w:val="24"/>
              </w:rPr>
              <w:t>EN 13126-14</w:t>
            </w:r>
          </w:p>
        </w:tc>
      </w:tr>
      <w:tr w:rsidR="00503A9C" w:rsidRPr="0043547B" w:rsidTr="00056AEE">
        <w:trPr>
          <w:trHeight w:val="525"/>
          <w:jc w:val="center"/>
        </w:trPr>
        <w:tc>
          <w:tcPr>
            <w:tcW w:w="1838" w:type="dxa"/>
            <w:tcBorders>
              <w:top w:val="single" w:sz="6" w:space="0" w:color="auto"/>
              <w:left w:val="single" w:sz="18" w:space="0" w:color="auto"/>
              <w:bottom w:val="single" w:sz="18" w:space="0" w:color="auto"/>
              <w:right w:val="single" w:sz="4" w:space="0" w:color="auto"/>
            </w:tcBorders>
            <w:shd w:val="clear" w:color="auto" w:fill="95B3D7" w:themeFill="accent1" w:themeFillTint="99"/>
            <w:vAlign w:val="center"/>
          </w:tcPr>
          <w:p w:rsidR="00503A9C" w:rsidRPr="001A0BDF" w:rsidRDefault="00503A9C" w:rsidP="001A0BDF">
            <w:pPr>
              <w:spacing w:after="0" w:line="240" w:lineRule="auto"/>
              <w:jc w:val="center"/>
              <w:rPr>
                <w:rFonts w:ascii="Calibri" w:hAnsi="Calibri" w:cs="Calibri"/>
                <w:b/>
                <w:bCs/>
                <w:sz w:val="24"/>
                <w:szCs w:val="24"/>
              </w:rPr>
            </w:pPr>
            <w:r w:rsidRPr="001A0BDF">
              <w:rPr>
                <w:rFonts w:ascii="Calibri" w:hAnsi="Calibri" w:cs="Calibri"/>
                <w:b/>
                <w:bCs/>
                <w:sz w:val="24"/>
                <w:szCs w:val="24"/>
              </w:rPr>
              <w:t>Intitulé :</w:t>
            </w:r>
          </w:p>
        </w:tc>
        <w:tc>
          <w:tcPr>
            <w:tcW w:w="7938" w:type="dxa"/>
            <w:tcBorders>
              <w:top w:val="single" w:sz="6" w:space="0" w:color="auto"/>
              <w:left w:val="single" w:sz="4" w:space="0" w:color="auto"/>
              <w:bottom w:val="single" w:sz="18" w:space="0" w:color="auto"/>
              <w:right w:val="single" w:sz="18" w:space="0" w:color="auto"/>
            </w:tcBorders>
            <w:shd w:val="clear" w:color="auto" w:fill="auto"/>
            <w:vAlign w:val="bottom"/>
          </w:tcPr>
          <w:p w:rsidR="00503A9C" w:rsidRPr="001A0BDF" w:rsidRDefault="00503A9C" w:rsidP="001A0BDF">
            <w:pPr>
              <w:spacing w:after="0" w:line="240" w:lineRule="auto"/>
              <w:rPr>
                <w:rFonts w:ascii="Calibri" w:hAnsi="Calibri" w:cs="Calibri"/>
                <w:color w:val="000000"/>
                <w:sz w:val="24"/>
                <w:szCs w:val="24"/>
              </w:rPr>
            </w:pPr>
            <w:r w:rsidRPr="001A0BDF">
              <w:rPr>
                <w:rFonts w:ascii="Calibri" w:hAnsi="Calibri" w:cs="Calibri"/>
                <w:color w:val="000000"/>
                <w:sz w:val="24"/>
                <w:szCs w:val="24"/>
              </w:rPr>
              <w:t xml:space="preserve">Quincaillerie pour le bâtiment - Ferrures de fenêtres et portes-fenêtres - Exigences et méthodes d'essai - Partie 14 : Verrouillages à came </w:t>
            </w:r>
          </w:p>
        </w:tc>
      </w:tr>
      <w:tr w:rsidR="00503A9C" w:rsidRPr="0043547B" w:rsidTr="00056AEE">
        <w:trPr>
          <w:trHeight w:val="525"/>
          <w:jc w:val="center"/>
        </w:trPr>
        <w:tc>
          <w:tcPr>
            <w:tcW w:w="1838" w:type="dxa"/>
            <w:tcBorders>
              <w:top w:val="single" w:sz="6" w:space="0" w:color="auto"/>
              <w:left w:val="single" w:sz="18" w:space="0" w:color="auto"/>
              <w:bottom w:val="single" w:sz="18" w:space="0" w:color="auto"/>
              <w:right w:val="single" w:sz="4" w:space="0" w:color="auto"/>
            </w:tcBorders>
            <w:shd w:val="clear" w:color="000000" w:fill="D9D9D9"/>
            <w:vAlign w:val="center"/>
          </w:tcPr>
          <w:p w:rsidR="00503A9C" w:rsidRPr="001A0BDF" w:rsidRDefault="00503A9C" w:rsidP="001A0BDF">
            <w:pPr>
              <w:spacing w:after="0" w:line="240" w:lineRule="auto"/>
              <w:jc w:val="center"/>
              <w:rPr>
                <w:rFonts w:ascii="Calibri" w:hAnsi="Calibri" w:cs="Calibri"/>
                <w:b/>
                <w:bCs/>
                <w:sz w:val="24"/>
                <w:szCs w:val="24"/>
              </w:rPr>
            </w:pPr>
            <w:r w:rsidRPr="001A0BDF">
              <w:rPr>
                <w:rFonts w:ascii="Calibri" w:hAnsi="Calibri" w:cs="Calibri"/>
                <w:b/>
                <w:bCs/>
                <w:sz w:val="24"/>
                <w:szCs w:val="24"/>
              </w:rPr>
              <w:t>Domaine d’application :</w:t>
            </w:r>
          </w:p>
        </w:tc>
        <w:tc>
          <w:tcPr>
            <w:tcW w:w="7938" w:type="dxa"/>
            <w:tcBorders>
              <w:top w:val="single" w:sz="6" w:space="0" w:color="auto"/>
              <w:left w:val="single" w:sz="4" w:space="0" w:color="auto"/>
              <w:bottom w:val="single" w:sz="18" w:space="0" w:color="auto"/>
              <w:right w:val="single" w:sz="18" w:space="0" w:color="auto"/>
            </w:tcBorders>
            <w:shd w:val="clear" w:color="auto" w:fill="auto"/>
            <w:vAlign w:val="bottom"/>
          </w:tcPr>
          <w:p w:rsidR="00503A9C" w:rsidRPr="001A0BDF" w:rsidRDefault="00503A9C" w:rsidP="00596EC7">
            <w:pPr>
              <w:spacing w:after="0" w:line="240" w:lineRule="auto"/>
              <w:jc w:val="both"/>
              <w:rPr>
                <w:rFonts w:ascii="Calibri" w:hAnsi="Calibri" w:cs="Calibri"/>
                <w:color w:val="000000"/>
                <w:sz w:val="24"/>
                <w:szCs w:val="24"/>
              </w:rPr>
            </w:pPr>
            <w:r w:rsidRPr="001A0BDF">
              <w:rPr>
                <w:rFonts w:ascii="Calibri" w:hAnsi="Calibri" w:cs="Calibri"/>
                <w:color w:val="000000"/>
                <w:sz w:val="24"/>
                <w:szCs w:val="24"/>
              </w:rPr>
              <w:t>La présente Norme européenne spécifie les exigences et les méthodes d'essai relatives à l’endurance, à la</w:t>
            </w:r>
            <w:r w:rsidR="00596EC7">
              <w:rPr>
                <w:rFonts w:ascii="Calibri" w:hAnsi="Calibri" w:cs="Calibri"/>
                <w:color w:val="000000"/>
                <w:sz w:val="24"/>
                <w:szCs w:val="24"/>
              </w:rPr>
              <w:t xml:space="preserve"> </w:t>
            </w:r>
            <w:r w:rsidRPr="001A0BDF">
              <w:rPr>
                <w:rFonts w:ascii="Calibri" w:hAnsi="Calibri" w:cs="Calibri"/>
                <w:color w:val="000000"/>
                <w:sz w:val="24"/>
                <w:szCs w:val="24"/>
              </w:rPr>
              <w:t>résistance, à la sécurité des biens et au fonctionnement des verrouillages à came pour fenêtres et portes-fenêtres.</w:t>
            </w:r>
          </w:p>
        </w:tc>
      </w:tr>
      <w:tr w:rsidR="00503A9C" w:rsidRPr="0043547B" w:rsidTr="00056AEE">
        <w:trPr>
          <w:trHeight w:val="525"/>
          <w:jc w:val="center"/>
        </w:trPr>
        <w:tc>
          <w:tcPr>
            <w:tcW w:w="1838" w:type="dxa"/>
            <w:tcBorders>
              <w:top w:val="single" w:sz="6" w:space="0" w:color="auto"/>
              <w:left w:val="single" w:sz="18" w:space="0" w:color="auto"/>
              <w:bottom w:val="single" w:sz="18" w:space="0" w:color="auto"/>
              <w:right w:val="single" w:sz="4" w:space="0" w:color="auto"/>
            </w:tcBorders>
            <w:shd w:val="clear" w:color="auto" w:fill="C2D69B" w:themeFill="accent3" w:themeFillTint="99"/>
            <w:vAlign w:val="center"/>
          </w:tcPr>
          <w:p w:rsidR="00503A9C" w:rsidRPr="001A0BDF" w:rsidRDefault="00503A9C" w:rsidP="001A0BDF">
            <w:pPr>
              <w:spacing w:after="0" w:line="240" w:lineRule="auto"/>
              <w:jc w:val="center"/>
              <w:rPr>
                <w:rFonts w:ascii="Calibri" w:hAnsi="Calibri" w:cs="Calibri"/>
                <w:b/>
                <w:bCs/>
                <w:sz w:val="24"/>
                <w:szCs w:val="24"/>
              </w:rPr>
            </w:pPr>
            <w:r w:rsidRPr="001A0BDF">
              <w:rPr>
                <w:rFonts w:ascii="Calibri" w:hAnsi="Calibri" w:cs="Calibri"/>
                <w:b/>
                <w:bCs/>
                <w:sz w:val="24"/>
                <w:szCs w:val="24"/>
              </w:rPr>
              <w:t>Code :</w:t>
            </w:r>
          </w:p>
        </w:tc>
        <w:tc>
          <w:tcPr>
            <w:tcW w:w="7938" w:type="dxa"/>
            <w:tcBorders>
              <w:top w:val="single" w:sz="6" w:space="0" w:color="auto"/>
              <w:left w:val="single" w:sz="4" w:space="0" w:color="auto"/>
              <w:bottom w:val="single" w:sz="18" w:space="0" w:color="auto"/>
              <w:right w:val="single" w:sz="18" w:space="0" w:color="auto"/>
            </w:tcBorders>
            <w:shd w:val="clear" w:color="auto" w:fill="C2D69B" w:themeFill="accent3" w:themeFillTint="99"/>
            <w:vAlign w:val="center"/>
          </w:tcPr>
          <w:p w:rsidR="00503A9C" w:rsidRPr="00596EC7" w:rsidRDefault="00503A9C" w:rsidP="001A0BDF">
            <w:pPr>
              <w:spacing w:after="0" w:line="240" w:lineRule="auto"/>
              <w:jc w:val="center"/>
              <w:rPr>
                <w:rFonts w:ascii="Calibri" w:hAnsi="Calibri" w:cs="Calibri"/>
                <w:b/>
                <w:bCs/>
                <w:color w:val="000000"/>
                <w:sz w:val="24"/>
                <w:szCs w:val="24"/>
              </w:rPr>
            </w:pPr>
            <w:r w:rsidRPr="00596EC7">
              <w:rPr>
                <w:rFonts w:ascii="Calibri" w:hAnsi="Calibri" w:cs="Calibri"/>
                <w:b/>
                <w:bCs/>
                <w:color w:val="000000"/>
                <w:sz w:val="24"/>
                <w:szCs w:val="24"/>
              </w:rPr>
              <w:t>NM EN 13126-15</w:t>
            </w:r>
          </w:p>
        </w:tc>
      </w:tr>
      <w:tr w:rsidR="00503A9C" w:rsidRPr="0043547B" w:rsidTr="00056AEE">
        <w:trPr>
          <w:trHeight w:val="525"/>
          <w:jc w:val="center"/>
        </w:trPr>
        <w:tc>
          <w:tcPr>
            <w:tcW w:w="1838" w:type="dxa"/>
            <w:tcBorders>
              <w:top w:val="single" w:sz="6" w:space="0" w:color="auto"/>
              <w:left w:val="single" w:sz="18" w:space="0" w:color="auto"/>
              <w:bottom w:val="single" w:sz="18" w:space="0" w:color="auto"/>
              <w:right w:val="single" w:sz="4" w:space="0" w:color="auto"/>
            </w:tcBorders>
            <w:shd w:val="clear" w:color="auto" w:fill="FFFF99"/>
            <w:vAlign w:val="center"/>
          </w:tcPr>
          <w:p w:rsidR="00503A9C" w:rsidRPr="001A0BDF" w:rsidRDefault="00503A9C" w:rsidP="001A0BDF">
            <w:pPr>
              <w:spacing w:after="0" w:line="240" w:lineRule="auto"/>
              <w:jc w:val="center"/>
              <w:rPr>
                <w:rFonts w:ascii="Calibri" w:hAnsi="Calibri" w:cs="Calibri"/>
                <w:b/>
                <w:bCs/>
                <w:sz w:val="24"/>
                <w:szCs w:val="24"/>
              </w:rPr>
            </w:pPr>
            <w:r w:rsidRPr="001A0BDF">
              <w:rPr>
                <w:rFonts w:ascii="Calibri" w:hAnsi="Calibri" w:cs="Calibri"/>
                <w:b/>
                <w:bCs/>
                <w:sz w:val="24"/>
                <w:szCs w:val="24"/>
              </w:rPr>
              <w:t>Equivalence :</w:t>
            </w:r>
          </w:p>
        </w:tc>
        <w:tc>
          <w:tcPr>
            <w:tcW w:w="7938" w:type="dxa"/>
            <w:tcBorders>
              <w:top w:val="single" w:sz="6" w:space="0" w:color="auto"/>
              <w:left w:val="single" w:sz="4" w:space="0" w:color="auto"/>
              <w:bottom w:val="single" w:sz="18" w:space="0" w:color="auto"/>
              <w:right w:val="single" w:sz="18" w:space="0" w:color="auto"/>
            </w:tcBorders>
            <w:shd w:val="clear" w:color="auto" w:fill="FFFF99"/>
            <w:vAlign w:val="center"/>
          </w:tcPr>
          <w:p w:rsidR="00503A9C" w:rsidRPr="00596EC7" w:rsidRDefault="00503A9C" w:rsidP="001A0BDF">
            <w:pPr>
              <w:spacing w:after="0" w:line="240" w:lineRule="auto"/>
              <w:jc w:val="center"/>
              <w:rPr>
                <w:rFonts w:ascii="Calibri" w:hAnsi="Calibri" w:cs="Calibri"/>
                <w:b/>
                <w:bCs/>
                <w:color w:val="000000"/>
                <w:sz w:val="24"/>
                <w:szCs w:val="24"/>
              </w:rPr>
            </w:pPr>
            <w:r w:rsidRPr="00596EC7">
              <w:rPr>
                <w:rFonts w:ascii="Calibri" w:hAnsi="Calibri" w:cs="Calibri"/>
                <w:b/>
                <w:bCs/>
                <w:color w:val="000000"/>
                <w:sz w:val="24"/>
                <w:szCs w:val="24"/>
              </w:rPr>
              <w:t>EN 13126-15</w:t>
            </w:r>
          </w:p>
        </w:tc>
      </w:tr>
      <w:tr w:rsidR="00503A9C" w:rsidRPr="0043547B" w:rsidTr="00056AEE">
        <w:trPr>
          <w:trHeight w:val="525"/>
          <w:jc w:val="center"/>
        </w:trPr>
        <w:tc>
          <w:tcPr>
            <w:tcW w:w="1838" w:type="dxa"/>
            <w:tcBorders>
              <w:top w:val="single" w:sz="6" w:space="0" w:color="auto"/>
              <w:left w:val="single" w:sz="18" w:space="0" w:color="auto"/>
              <w:bottom w:val="single" w:sz="18" w:space="0" w:color="auto"/>
              <w:right w:val="single" w:sz="4" w:space="0" w:color="auto"/>
            </w:tcBorders>
            <w:shd w:val="clear" w:color="auto" w:fill="95B3D7" w:themeFill="accent1" w:themeFillTint="99"/>
            <w:vAlign w:val="center"/>
          </w:tcPr>
          <w:p w:rsidR="00503A9C" w:rsidRPr="001A0BDF" w:rsidRDefault="00503A9C" w:rsidP="001A0BDF">
            <w:pPr>
              <w:spacing w:after="0" w:line="240" w:lineRule="auto"/>
              <w:jc w:val="center"/>
              <w:rPr>
                <w:rFonts w:ascii="Calibri" w:hAnsi="Calibri" w:cs="Calibri"/>
                <w:b/>
                <w:bCs/>
                <w:sz w:val="24"/>
                <w:szCs w:val="24"/>
              </w:rPr>
            </w:pPr>
            <w:r w:rsidRPr="001A0BDF">
              <w:rPr>
                <w:rFonts w:ascii="Calibri" w:hAnsi="Calibri" w:cs="Calibri"/>
                <w:b/>
                <w:bCs/>
                <w:sz w:val="24"/>
                <w:szCs w:val="24"/>
              </w:rPr>
              <w:t>Intitulé :</w:t>
            </w:r>
          </w:p>
        </w:tc>
        <w:tc>
          <w:tcPr>
            <w:tcW w:w="7938" w:type="dxa"/>
            <w:tcBorders>
              <w:top w:val="single" w:sz="6" w:space="0" w:color="auto"/>
              <w:left w:val="single" w:sz="4" w:space="0" w:color="auto"/>
              <w:bottom w:val="single" w:sz="18" w:space="0" w:color="auto"/>
              <w:right w:val="single" w:sz="18" w:space="0" w:color="auto"/>
            </w:tcBorders>
            <w:shd w:val="clear" w:color="auto" w:fill="auto"/>
            <w:vAlign w:val="bottom"/>
          </w:tcPr>
          <w:p w:rsidR="00503A9C" w:rsidRPr="001A0BDF" w:rsidRDefault="00503A9C" w:rsidP="001A0BDF">
            <w:pPr>
              <w:spacing w:after="0" w:line="240" w:lineRule="auto"/>
              <w:rPr>
                <w:rFonts w:ascii="Calibri" w:hAnsi="Calibri" w:cs="Calibri"/>
                <w:color w:val="000000"/>
                <w:sz w:val="24"/>
                <w:szCs w:val="24"/>
              </w:rPr>
            </w:pPr>
            <w:r w:rsidRPr="001A0BDF">
              <w:rPr>
                <w:rFonts w:ascii="Calibri" w:hAnsi="Calibri" w:cs="Calibri"/>
                <w:color w:val="000000"/>
                <w:sz w:val="24"/>
                <w:szCs w:val="24"/>
              </w:rPr>
              <w:t xml:space="preserve">Quincaillerie pour le bâtiment - Ferrures de fenêtres et portes-fenêtres - Exigences et méthodes d'essai - Partie 15 : Roulements pour fenêtres coulissantes à l'horizontale et ferrures pour fenêtres coulissantes en accordéon </w:t>
            </w:r>
          </w:p>
        </w:tc>
      </w:tr>
      <w:tr w:rsidR="00503A9C" w:rsidRPr="0043547B" w:rsidTr="00056AEE">
        <w:trPr>
          <w:trHeight w:val="525"/>
          <w:jc w:val="center"/>
        </w:trPr>
        <w:tc>
          <w:tcPr>
            <w:tcW w:w="1838" w:type="dxa"/>
            <w:tcBorders>
              <w:top w:val="single" w:sz="6" w:space="0" w:color="auto"/>
              <w:left w:val="single" w:sz="18" w:space="0" w:color="auto"/>
              <w:bottom w:val="single" w:sz="18" w:space="0" w:color="auto"/>
              <w:right w:val="single" w:sz="4" w:space="0" w:color="auto"/>
            </w:tcBorders>
            <w:shd w:val="clear" w:color="000000" w:fill="D9D9D9"/>
            <w:vAlign w:val="center"/>
          </w:tcPr>
          <w:p w:rsidR="00503A9C" w:rsidRPr="001A0BDF" w:rsidRDefault="00503A9C" w:rsidP="001A0BDF">
            <w:pPr>
              <w:spacing w:after="0" w:line="240" w:lineRule="auto"/>
              <w:jc w:val="center"/>
              <w:rPr>
                <w:rFonts w:ascii="Calibri" w:hAnsi="Calibri" w:cs="Calibri"/>
                <w:b/>
                <w:bCs/>
                <w:sz w:val="24"/>
                <w:szCs w:val="24"/>
              </w:rPr>
            </w:pPr>
            <w:r w:rsidRPr="001A0BDF">
              <w:rPr>
                <w:rFonts w:ascii="Calibri" w:hAnsi="Calibri" w:cs="Calibri"/>
                <w:b/>
                <w:bCs/>
                <w:sz w:val="24"/>
                <w:szCs w:val="24"/>
              </w:rPr>
              <w:t>Domaine d’application :</w:t>
            </w:r>
          </w:p>
        </w:tc>
        <w:tc>
          <w:tcPr>
            <w:tcW w:w="7938" w:type="dxa"/>
            <w:tcBorders>
              <w:top w:val="single" w:sz="6" w:space="0" w:color="auto"/>
              <w:left w:val="single" w:sz="4" w:space="0" w:color="auto"/>
              <w:bottom w:val="single" w:sz="18" w:space="0" w:color="auto"/>
              <w:right w:val="single" w:sz="18" w:space="0" w:color="auto"/>
            </w:tcBorders>
            <w:shd w:val="clear" w:color="auto" w:fill="auto"/>
            <w:vAlign w:val="bottom"/>
          </w:tcPr>
          <w:p w:rsidR="00596EC7" w:rsidRDefault="00503A9C" w:rsidP="00596EC7">
            <w:pPr>
              <w:spacing w:after="0" w:line="240" w:lineRule="auto"/>
              <w:jc w:val="both"/>
              <w:rPr>
                <w:rFonts w:ascii="Calibri" w:hAnsi="Calibri" w:cs="Calibri"/>
                <w:color w:val="000000"/>
                <w:sz w:val="24"/>
                <w:szCs w:val="24"/>
              </w:rPr>
            </w:pPr>
            <w:r w:rsidRPr="001A0BDF">
              <w:rPr>
                <w:rFonts w:ascii="Calibri" w:hAnsi="Calibri" w:cs="Calibri"/>
                <w:color w:val="000000"/>
                <w:sz w:val="24"/>
                <w:szCs w:val="24"/>
              </w:rPr>
              <w:t>Le présent document spécifie les exigences et les méthodes d’essai relatives à l’endurance, à la résistance,</w:t>
            </w:r>
            <w:r w:rsidR="00596EC7">
              <w:rPr>
                <w:rFonts w:ascii="Calibri" w:hAnsi="Calibri" w:cs="Calibri"/>
                <w:color w:val="000000"/>
                <w:sz w:val="24"/>
                <w:szCs w:val="24"/>
              </w:rPr>
              <w:t xml:space="preserve"> </w:t>
            </w:r>
            <w:r w:rsidRPr="001A0BDF">
              <w:rPr>
                <w:rFonts w:ascii="Calibri" w:hAnsi="Calibri" w:cs="Calibri"/>
                <w:color w:val="000000"/>
                <w:sz w:val="24"/>
                <w:szCs w:val="24"/>
              </w:rPr>
              <w:t>à la sécurité et au fonctionnement des roulements pour portes-fenêtres et fenêtres coulissantes à</w:t>
            </w:r>
            <w:r w:rsidR="00596EC7">
              <w:rPr>
                <w:rFonts w:ascii="Calibri" w:hAnsi="Calibri" w:cs="Calibri"/>
                <w:color w:val="000000"/>
                <w:sz w:val="24"/>
                <w:szCs w:val="24"/>
              </w:rPr>
              <w:t xml:space="preserve"> </w:t>
            </w:r>
            <w:r w:rsidRPr="001A0BDF">
              <w:rPr>
                <w:rFonts w:ascii="Calibri" w:hAnsi="Calibri" w:cs="Calibri"/>
                <w:color w:val="000000"/>
                <w:sz w:val="24"/>
                <w:szCs w:val="24"/>
              </w:rPr>
              <w:t>l’horizontale, et les ferrures pour les fenêtres et portes-fenêtres coulissantes en accordéon à ouverture</w:t>
            </w:r>
            <w:r w:rsidRPr="001A0BDF">
              <w:rPr>
                <w:rFonts w:ascii="Calibri" w:hAnsi="Calibri" w:cs="Calibri"/>
                <w:color w:val="000000"/>
                <w:sz w:val="24"/>
                <w:szCs w:val="24"/>
              </w:rPr>
              <w:br/>
              <w:t>vers l’intérieur ou l’extérieur, en conformité avec l’application courante représentée dans les Figure C.1</w:t>
            </w:r>
            <w:r w:rsidR="00596EC7">
              <w:rPr>
                <w:rFonts w:ascii="Calibri" w:hAnsi="Calibri" w:cs="Calibri"/>
                <w:color w:val="000000"/>
                <w:sz w:val="24"/>
                <w:szCs w:val="24"/>
              </w:rPr>
              <w:t xml:space="preserve"> </w:t>
            </w:r>
            <w:r w:rsidRPr="001A0BDF">
              <w:rPr>
                <w:rFonts w:ascii="Calibri" w:hAnsi="Calibri" w:cs="Calibri"/>
                <w:color w:val="000000"/>
                <w:sz w:val="24"/>
                <w:szCs w:val="24"/>
              </w:rPr>
              <w:t>à C.7 de l’Annexe C.1 informative. Le présent document s’applique aux roulements en général, qu’ils</w:t>
            </w:r>
            <w:r w:rsidR="00596EC7">
              <w:rPr>
                <w:rFonts w:ascii="Calibri" w:hAnsi="Calibri" w:cs="Calibri"/>
                <w:color w:val="000000"/>
                <w:sz w:val="24"/>
                <w:szCs w:val="24"/>
              </w:rPr>
              <w:t xml:space="preserve"> </w:t>
            </w:r>
            <w:r w:rsidRPr="001A0BDF">
              <w:rPr>
                <w:rFonts w:ascii="Calibri" w:hAnsi="Calibri" w:cs="Calibri"/>
                <w:color w:val="000000"/>
                <w:sz w:val="24"/>
                <w:szCs w:val="24"/>
              </w:rPr>
              <w:t>soient ou non réglables, indépendamment de la méthode ou du type de fixation ou qu’ils soient utilisés</w:t>
            </w:r>
            <w:r w:rsidRPr="001A0BDF">
              <w:rPr>
                <w:rFonts w:ascii="Calibri" w:hAnsi="Calibri" w:cs="Calibri"/>
                <w:color w:val="000000"/>
                <w:sz w:val="24"/>
                <w:szCs w:val="24"/>
              </w:rPr>
              <w:br/>
              <w:t>individuellement ou non, ou qu’ils soient utilisés en nombres multiples ou associés entre eux.</w:t>
            </w:r>
          </w:p>
          <w:p w:rsidR="00503A9C" w:rsidRPr="001A0BDF" w:rsidRDefault="00503A9C" w:rsidP="00596EC7">
            <w:pPr>
              <w:spacing w:after="0" w:line="240" w:lineRule="auto"/>
              <w:jc w:val="both"/>
              <w:rPr>
                <w:rFonts w:ascii="Calibri" w:hAnsi="Calibri" w:cs="Calibri"/>
                <w:color w:val="000000"/>
                <w:sz w:val="24"/>
                <w:szCs w:val="24"/>
              </w:rPr>
            </w:pPr>
            <w:r w:rsidRPr="001A0BDF">
              <w:rPr>
                <w:rFonts w:ascii="Calibri" w:hAnsi="Calibri" w:cs="Calibri"/>
                <w:color w:val="000000"/>
                <w:sz w:val="24"/>
                <w:szCs w:val="24"/>
              </w:rPr>
              <w:t>Tous les composants de la quincaillerie (par ex. les rails de guidage, les guides latéraux, les traverses, les</w:t>
            </w:r>
            <w:r w:rsidR="00596EC7">
              <w:rPr>
                <w:rFonts w:ascii="Calibri" w:hAnsi="Calibri" w:cs="Calibri"/>
                <w:color w:val="000000"/>
                <w:sz w:val="24"/>
                <w:szCs w:val="24"/>
              </w:rPr>
              <w:t xml:space="preserve"> </w:t>
            </w:r>
            <w:r w:rsidRPr="001A0BDF">
              <w:rPr>
                <w:rFonts w:ascii="Calibri" w:hAnsi="Calibri" w:cs="Calibri"/>
                <w:color w:val="000000"/>
                <w:sz w:val="24"/>
                <w:szCs w:val="24"/>
              </w:rPr>
              <w:t>paumelles) utilisés lors des essais des roulements pour portes-fenêtres et fenêtres coulissantes en</w:t>
            </w:r>
            <w:r w:rsidR="00596EC7">
              <w:rPr>
                <w:rFonts w:ascii="Calibri" w:hAnsi="Calibri" w:cs="Calibri"/>
                <w:color w:val="000000"/>
                <w:sz w:val="24"/>
                <w:szCs w:val="24"/>
              </w:rPr>
              <w:t xml:space="preserve"> </w:t>
            </w:r>
            <w:r w:rsidRPr="001A0BDF">
              <w:rPr>
                <w:rFonts w:ascii="Calibri" w:hAnsi="Calibri" w:cs="Calibri"/>
                <w:color w:val="000000"/>
                <w:sz w:val="24"/>
                <w:szCs w:val="24"/>
              </w:rPr>
              <w:t>accordéon (types de fenêtre Q, R et S) sont considérés comme faisant partie de l’ensemble complet de</w:t>
            </w:r>
            <w:r w:rsidRPr="001A0BDF">
              <w:rPr>
                <w:rFonts w:ascii="Calibri" w:hAnsi="Calibri" w:cs="Calibri"/>
                <w:color w:val="000000"/>
                <w:sz w:val="24"/>
                <w:szCs w:val="24"/>
              </w:rPr>
              <w:br/>
              <w:t>ferrures coulissantes et en accordéon. Il n’est pas requis, dans ce cas, de soumettre les paumelles</w:t>
            </w:r>
            <w:r w:rsidR="00596EC7">
              <w:rPr>
                <w:rFonts w:ascii="Calibri" w:hAnsi="Calibri" w:cs="Calibri"/>
                <w:color w:val="000000"/>
                <w:sz w:val="24"/>
                <w:szCs w:val="24"/>
              </w:rPr>
              <w:t xml:space="preserve"> </w:t>
            </w:r>
            <w:r w:rsidRPr="001A0BDF">
              <w:rPr>
                <w:rFonts w:ascii="Calibri" w:hAnsi="Calibri" w:cs="Calibri"/>
                <w:color w:val="000000"/>
                <w:sz w:val="24"/>
                <w:szCs w:val="24"/>
              </w:rPr>
              <w:t>séparément à l’essai.</w:t>
            </w:r>
          </w:p>
        </w:tc>
      </w:tr>
      <w:tr w:rsidR="00503A9C" w:rsidRPr="0043547B" w:rsidTr="00056AEE">
        <w:trPr>
          <w:trHeight w:val="450"/>
          <w:jc w:val="center"/>
        </w:trPr>
        <w:tc>
          <w:tcPr>
            <w:tcW w:w="1838" w:type="dxa"/>
            <w:tcBorders>
              <w:top w:val="single" w:sz="6" w:space="0" w:color="auto"/>
              <w:left w:val="single" w:sz="18" w:space="0" w:color="auto"/>
              <w:bottom w:val="single" w:sz="18" w:space="0" w:color="auto"/>
              <w:right w:val="single" w:sz="4" w:space="0" w:color="auto"/>
            </w:tcBorders>
            <w:shd w:val="clear" w:color="auto" w:fill="C2D69B" w:themeFill="accent3" w:themeFillTint="99"/>
            <w:vAlign w:val="center"/>
          </w:tcPr>
          <w:p w:rsidR="00503A9C" w:rsidRPr="001A0BDF" w:rsidRDefault="00503A9C" w:rsidP="001A0BDF">
            <w:pPr>
              <w:spacing w:after="0" w:line="240" w:lineRule="auto"/>
              <w:jc w:val="center"/>
              <w:rPr>
                <w:rFonts w:ascii="Calibri" w:hAnsi="Calibri" w:cs="Calibri"/>
                <w:b/>
                <w:bCs/>
                <w:sz w:val="24"/>
                <w:szCs w:val="24"/>
              </w:rPr>
            </w:pPr>
            <w:r w:rsidRPr="001A0BDF">
              <w:rPr>
                <w:rFonts w:ascii="Calibri" w:hAnsi="Calibri" w:cs="Calibri"/>
                <w:b/>
                <w:bCs/>
                <w:sz w:val="24"/>
                <w:szCs w:val="24"/>
              </w:rPr>
              <w:t>Code :</w:t>
            </w:r>
          </w:p>
        </w:tc>
        <w:tc>
          <w:tcPr>
            <w:tcW w:w="7938" w:type="dxa"/>
            <w:tcBorders>
              <w:top w:val="single" w:sz="6" w:space="0" w:color="auto"/>
              <w:left w:val="single" w:sz="4" w:space="0" w:color="auto"/>
              <w:bottom w:val="single" w:sz="18" w:space="0" w:color="auto"/>
              <w:right w:val="single" w:sz="18" w:space="0" w:color="auto"/>
            </w:tcBorders>
            <w:shd w:val="clear" w:color="auto" w:fill="C2D69B" w:themeFill="accent3" w:themeFillTint="99"/>
            <w:vAlign w:val="center"/>
          </w:tcPr>
          <w:p w:rsidR="00503A9C" w:rsidRPr="00596EC7" w:rsidRDefault="00503A9C" w:rsidP="001A0BDF">
            <w:pPr>
              <w:spacing w:after="0" w:line="240" w:lineRule="auto"/>
              <w:jc w:val="center"/>
              <w:rPr>
                <w:rFonts w:ascii="Calibri" w:hAnsi="Calibri" w:cs="Calibri"/>
                <w:b/>
                <w:bCs/>
                <w:color w:val="000000"/>
                <w:sz w:val="24"/>
                <w:szCs w:val="24"/>
              </w:rPr>
            </w:pPr>
            <w:r w:rsidRPr="00596EC7">
              <w:rPr>
                <w:rFonts w:ascii="Calibri" w:hAnsi="Calibri" w:cs="Calibri"/>
                <w:b/>
                <w:bCs/>
                <w:color w:val="000000"/>
                <w:sz w:val="24"/>
                <w:szCs w:val="24"/>
              </w:rPr>
              <w:t>NM EN 13126-16</w:t>
            </w:r>
          </w:p>
        </w:tc>
      </w:tr>
      <w:tr w:rsidR="00503A9C" w:rsidRPr="0043547B" w:rsidTr="00056AEE">
        <w:trPr>
          <w:trHeight w:val="386"/>
          <w:jc w:val="center"/>
        </w:trPr>
        <w:tc>
          <w:tcPr>
            <w:tcW w:w="1838" w:type="dxa"/>
            <w:tcBorders>
              <w:top w:val="single" w:sz="6" w:space="0" w:color="auto"/>
              <w:left w:val="single" w:sz="18" w:space="0" w:color="auto"/>
              <w:bottom w:val="single" w:sz="18" w:space="0" w:color="auto"/>
              <w:right w:val="single" w:sz="4" w:space="0" w:color="auto"/>
            </w:tcBorders>
            <w:shd w:val="clear" w:color="auto" w:fill="FFFF99"/>
            <w:vAlign w:val="center"/>
          </w:tcPr>
          <w:p w:rsidR="00503A9C" w:rsidRPr="001A0BDF" w:rsidRDefault="00503A9C" w:rsidP="001A0BDF">
            <w:pPr>
              <w:spacing w:after="0" w:line="240" w:lineRule="auto"/>
              <w:jc w:val="center"/>
              <w:rPr>
                <w:rFonts w:ascii="Calibri" w:hAnsi="Calibri" w:cs="Calibri"/>
                <w:b/>
                <w:bCs/>
                <w:sz w:val="24"/>
                <w:szCs w:val="24"/>
              </w:rPr>
            </w:pPr>
            <w:r w:rsidRPr="001A0BDF">
              <w:rPr>
                <w:rFonts w:ascii="Calibri" w:hAnsi="Calibri" w:cs="Calibri"/>
                <w:b/>
                <w:bCs/>
                <w:sz w:val="24"/>
                <w:szCs w:val="24"/>
              </w:rPr>
              <w:t>Equivalence :</w:t>
            </w:r>
          </w:p>
        </w:tc>
        <w:tc>
          <w:tcPr>
            <w:tcW w:w="7938" w:type="dxa"/>
            <w:tcBorders>
              <w:top w:val="single" w:sz="6" w:space="0" w:color="auto"/>
              <w:left w:val="single" w:sz="4" w:space="0" w:color="auto"/>
              <w:bottom w:val="single" w:sz="18" w:space="0" w:color="auto"/>
              <w:right w:val="single" w:sz="18" w:space="0" w:color="auto"/>
            </w:tcBorders>
            <w:shd w:val="clear" w:color="auto" w:fill="FFFF99"/>
            <w:vAlign w:val="center"/>
          </w:tcPr>
          <w:p w:rsidR="00503A9C" w:rsidRPr="00596EC7" w:rsidRDefault="00503A9C" w:rsidP="001A0BDF">
            <w:pPr>
              <w:spacing w:after="0" w:line="240" w:lineRule="auto"/>
              <w:jc w:val="center"/>
              <w:rPr>
                <w:rFonts w:ascii="Calibri" w:hAnsi="Calibri" w:cs="Calibri"/>
                <w:b/>
                <w:bCs/>
                <w:color w:val="000000"/>
                <w:sz w:val="24"/>
                <w:szCs w:val="24"/>
              </w:rPr>
            </w:pPr>
            <w:r w:rsidRPr="00596EC7">
              <w:rPr>
                <w:rFonts w:ascii="Calibri" w:hAnsi="Calibri" w:cs="Calibri"/>
                <w:b/>
                <w:bCs/>
                <w:color w:val="000000"/>
                <w:sz w:val="24"/>
                <w:szCs w:val="24"/>
              </w:rPr>
              <w:t>EN 13126-16</w:t>
            </w:r>
          </w:p>
        </w:tc>
      </w:tr>
      <w:tr w:rsidR="00503A9C" w:rsidRPr="0043547B" w:rsidTr="00056AEE">
        <w:trPr>
          <w:trHeight w:val="525"/>
          <w:jc w:val="center"/>
        </w:trPr>
        <w:tc>
          <w:tcPr>
            <w:tcW w:w="1838" w:type="dxa"/>
            <w:tcBorders>
              <w:top w:val="single" w:sz="6" w:space="0" w:color="auto"/>
              <w:left w:val="single" w:sz="18" w:space="0" w:color="auto"/>
              <w:bottom w:val="single" w:sz="18" w:space="0" w:color="auto"/>
              <w:right w:val="single" w:sz="4" w:space="0" w:color="auto"/>
            </w:tcBorders>
            <w:shd w:val="clear" w:color="auto" w:fill="95B3D7" w:themeFill="accent1" w:themeFillTint="99"/>
            <w:vAlign w:val="center"/>
          </w:tcPr>
          <w:p w:rsidR="00503A9C" w:rsidRPr="001A0BDF" w:rsidRDefault="00503A9C" w:rsidP="001A0BDF">
            <w:pPr>
              <w:spacing w:after="0" w:line="240" w:lineRule="auto"/>
              <w:jc w:val="center"/>
              <w:rPr>
                <w:rFonts w:ascii="Calibri" w:hAnsi="Calibri" w:cs="Calibri"/>
                <w:b/>
                <w:bCs/>
                <w:sz w:val="24"/>
                <w:szCs w:val="24"/>
              </w:rPr>
            </w:pPr>
            <w:r w:rsidRPr="001A0BDF">
              <w:rPr>
                <w:rFonts w:ascii="Calibri" w:hAnsi="Calibri" w:cs="Calibri"/>
                <w:b/>
                <w:bCs/>
                <w:sz w:val="24"/>
                <w:szCs w:val="24"/>
              </w:rPr>
              <w:t>Intitulé :</w:t>
            </w:r>
          </w:p>
        </w:tc>
        <w:tc>
          <w:tcPr>
            <w:tcW w:w="7938" w:type="dxa"/>
            <w:tcBorders>
              <w:top w:val="single" w:sz="6" w:space="0" w:color="auto"/>
              <w:left w:val="single" w:sz="4" w:space="0" w:color="auto"/>
              <w:bottom w:val="single" w:sz="18" w:space="0" w:color="auto"/>
              <w:right w:val="single" w:sz="18" w:space="0" w:color="auto"/>
            </w:tcBorders>
            <w:shd w:val="clear" w:color="auto" w:fill="auto"/>
            <w:vAlign w:val="bottom"/>
          </w:tcPr>
          <w:p w:rsidR="00503A9C" w:rsidRPr="001A0BDF" w:rsidRDefault="00503A9C" w:rsidP="001A0BDF">
            <w:pPr>
              <w:spacing w:after="0" w:line="240" w:lineRule="auto"/>
              <w:rPr>
                <w:rFonts w:ascii="Calibri" w:hAnsi="Calibri" w:cs="Calibri"/>
                <w:color w:val="000000"/>
                <w:sz w:val="24"/>
                <w:szCs w:val="24"/>
              </w:rPr>
            </w:pPr>
            <w:r w:rsidRPr="001A0BDF">
              <w:rPr>
                <w:rFonts w:ascii="Calibri" w:hAnsi="Calibri" w:cs="Calibri"/>
                <w:color w:val="000000"/>
                <w:sz w:val="24"/>
                <w:szCs w:val="24"/>
              </w:rPr>
              <w:t xml:space="preserve">Quincaillerie pour le bâtiment - Ferrures de fenêtres et portes-fenêtres - Exigences et méthodes d'essai - Partie 16 : Ferrures pour fenêtres coulissantes à levage </w:t>
            </w:r>
          </w:p>
        </w:tc>
      </w:tr>
      <w:tr w:rsidR="00503A9C" w:rsidRPr="0043547B" w:rsidTr="00056AEE">
        <w:trPr>
          <w:trHeight w:val="525"/>
          <w:jc w:val="center"/>
        </w:trPr>
        <w:tc>
          <w:tcPr>
            <w:tcW w:w="1838" w:type="dxa"/>
            <w:tcBorders>
              <w:top w:val="single" w:sz="6" w:space="0" w:color="auto"/>
              <w:left w:val="single" w:sz="18" w:space="0" w:color="auto"/>
              <w:bottom w:val="single" w:sz="18" w:space="0" w:color="auto"/>
              <w:right w:val="single" w:sz="4" w:space="0" w:color="auto"/>
            </w:tcBorders>
            <w:shd w:val="clear" w:color="000000" w:fill="D9D9D9"/>
            <w:vAlign w:val="center"/>
          </w:tcPr>
          <w:p w:rsidR="00503A9C" w:rsidRPr="001A0BDF" w:rsidRDefault="00503A9C" w:rsidP="001A0BDF">
            <w:pPr>
              <w:spacing w:after="0" w:line="240" w:lineRule="auto"/>
              <w:jc w:val="center"/>
              <w:rPr>
                <w:rFonts w:ascii="Calibri" w:hAnsi="Calibri" w:cs="Calibri"/>
                <w:b/>
                <w:bCs/>
                <w:sz w:val="24"/>
                <w:szCs w:val="24"/>
              </w:rPr>
            </w:pPr>
            <w:r w:rsidRPr="001A0BDF">
              <w:rPr>
                <w:rFonts w:ascii="Calibri" w:hAnsi="Calibri" w:cs="Calibri"/>
                <w:b/>
                <w:bCs/>
                <w:sz w:val="24"/>
                <w:szCs w:val="24"/>
              </w:rPr>
              <w:t>Domaine d’application :</w:t>
            </w:r>
          </w:p>
        </w:tc>
        <w:tc>
          <w:tcPr>
            <w:tcW w:w="7938" w:type="dxa"/>
            <w:tcBorders>
              <w:top w:val="single" w:sz="6" w:space="0" w:color="auto"/>
              <w:left w:val="single" w:sz="4" w:space="0" w:color="auto"/>
              <w:bottom w:val="single" w:sz="18" w:space="0" w:color="auto"/>
              <w:right w:val="single" w:sz="18" w:space="0" w:color="auto"/>
            </w:tcBorders>
            <w:shd w:val="clear" w:color="auto" w:fill="auto"/>
            <w:vAlign w:val="bottom"/>
          </w:tcPr>
          <w:p w:rsidR="00596EC7" w:rsidRDefault="00503A9C" w:rsidP="00596EC7">
            <w:pPr>
              <w:spacing w:after="0" w:line="240" w:lineRule="auto"/>
              <w:jc w:val="both"/>
              <w:rPr>
                <w:rFonts w:ascii="Calibri" w:hAnsi="Calibri" w:cs="Calibri"/>
                <w:color w:val="000000"/>
                <w:sz w:val="24"/>
                <w:szCs w:val="24"/>
              </w:rPr>
            </w:pPr>
            <w:r w:rsidRPr="001A0BDF">
              <w:rPr>
                <w:rFonts w:ascii="Calibri" w:hAnsi="Calibri" w:cs="Calibri"/>
                <w:color w:val="000000"/>
                <w:sz w:val="24"/>
                <w:szCs w:val="24"/>
              </w:rPr>
              <w:t>Le présent document spécifie les exigences et les méthodes d’essai relatives à l'endurance, la résistance,</w:t>
            </w:r>
            <w:r w:rsidR="00596EC7">
              <w:rPr>
                <w:rFonts w:ascii="Calibri" w:hAnsi="Calibri" w:cs="Calibri"/>
                <w:color w:val="000000"/>
                <w:sz w:val="24"/>
                <w:szCs w:val="24"/>
              </w:rPr>
              <w:t xml:space="preserve"> </w:t>
            </w:r>
            <w:r w:rsidRPr="001A0BDF">
              <w:rPr>
                <w:rFonts w:ascii="Calibri" w:hAnsi="Calibri" w:cs="Calibri"/>
                <w:color w:val="000000"/>
                <w:sz w:val="24"/>
                <w:szCs w:val="24"/>
              </w:rPr>
              <w:t>la sécurité et le fonctionnement des ferrures pour portes-fenêtres et fenêtres coulissantes à levage, en</w:t>
            </w:r>
            <w:r w:rsidR="00596EC7">
              <w:rPr>
                <w:rFonts w:ascii="Calibri" w:hAnsi="Calibri" w:cs="Calibri"/>
                <w:color w:val="000000"/>
                <w:sz w:val="24"/>
                <w:szCs w:val="24"/>
              </w:rPr>
              <w:t xml:space="preserve"> </w:t>
            </w:r>
            <w:r w:rsidRPr="001A0BDF">
              <w:rPr>
                <w:rFonts w:ascii="Calibri" w:hAnsi="Calibri" w:cs="Calibri"/>
                <w:color w:val="000000"/>
                <w:sz w:val="24"/>
                <w:szCs w:val="24"/>
              </w:rPr>
              <w:t>conformité avec l’application courante représentée dans les Figures C.1 et C.2 de l’Annexe C, informative,</w:t>
            </w:r>
            <w:r w:rsidR="00596EC7">
              <w:rPr>
                <w:rFonts w:ascii="Calibri" w:hAnsi="Calibri" w:cs="Calibri"/>
                <w:color w:val="000000"/>
                <w:sz w:val="24"/>
                <w:szCs w:val="24"/>
              </w:rPr>
              <w:t xml:space="preserve"> </w:t>
            </w:r>
            <w:r w:rsidRPr="001A0BDF">
              <w:rPr>
                <w:rFonts w:ascii="Calibri" w:hAnsi="Calibri" w:cs="Calibri"/>
                <w:color w:val="000000"/>
                <w:sz w:val="24"/>
                <w:szCs w:val="24"/>
              </w:rPr>
              <w:t>indépendamment du fait que ces ferrures permettent une inclinaison supplémentaire.</w:t>
            </w:r>
          </w:p>
          <w:p w:rsidR="00503A9C" w:rsidRPr="00596EC7" w:rsidRDefault="00503A9C" w:rsidP="00596EC7">
            <w:pPr>
              <w:spacing w:after="0" w:line="240" w:lineRule="auto"/>
              <w:jc w:val="both"/>
              <w:rPr>
                <w:rFonts w:ascii="Calibri" w:hAnsi="Calibri" w:cs="Calibri"/>
                <w:i/>
                <w:iCs/>
                <w:color w:val="000000"/>
                <w:sz w:val="24"/>
                <w:szCs w:val="24"/>
              </w:rPr>
            </w:pPr>
            <w:r w:rsidRPr="00596EC7">
              <w:rPr>
                <w:rFonts w:ascii="Calibri" w:hAnsi="Calibri" w:cs="Calibri"/>
                <w:b/>
                <w:bCs/>
                <w:i/>
                <w:iCs/>
                <w:color w:val="000000"/>
              </w:rPr>
              <w:t>NOTE 1</w:t>
            </w:r>
            <w:r w:rsidRPr="00596EC7">
              <w:rPr>
                <w:rFonts w:ascii="Calibri" w:hAnsi="Calibri" w:cs="Calibri"/>
                <w:i/>
                <w:iCs/>
                <w:color w:val="000000"/>
              </w:rPr>
              <w:t xml:space="preserve"> Le présent document est également applicable aux systèmes de ferrures où le vantail lui-même n'est pas</w:t>
            </w:r>
            <w:r w:rsidR="00596EC7" w:rsidRPr="00596EC7">
              <w:rPr>
                <w:rFonts w:ascii="Calibri" w:hAnsi="Calibri" w:cs="Calibri"/>
                <w:i/>
                <w:iCs/>
                <w:color w:val="000000"/>
              </w:rPr>
              <w:t xml:space="preserve"> </w:t>
            </w:r>
            <w:r w:rsidRPr="00596EC7">
              <w:rPr>
                <w:rFonts w:ascii="Calibri" w:hAnsi="Calibri" w:cs="Calibri"/>
                <w:i/>
                <w:iCs/>
                <w:color w:val="000000"/>
              </w:rPr>
              <w:t>soulevé mais un mécanisme de joint est déplacé.</w:t>
            </w:r>
            <w:r w:rsidRPr="00596EC7">
              <w:rPr>
                <w:rFonts w:ascii="Calibri" w:hAnsi="Calibri" w:cs="Calibri"/>
                <w:i/>
                <w:iCs/>
                <w:color w:val="000000"/>
              </w:rPr>
              <w:br/>
            </w:r>
            <w:r w:rsidRPr="00596EC7">
              <w:rPr>
                <w:rFonts w:ascii="Calibri" w:hAnsi="Calibri" w:cs="Calibri"/>
                <w:b/>
                <w:bCs/>
                <w:i/>
                <w:iCs/>
                <w:color w:val="000000"/>
              </w:rPr>
              <w:lastRenderedPageBreak/>
              <w:t>NOTE 2</w:t>
            </w:r>
            <w:r w:rsidRPr="00596EC7">
              <w:rPr>
                <w:rFonts w:ascii="Calibri" w:hAnsi="Calibri" w:cs="Calibri"/>
                <w:i/>
                <w:iCs/>
                <w:color w:val="000000"/>
              </w:rPr>
              <w:t xml:space="preserve"> Le présent document est également applicable aux systèmes de ferrures où le vantail lui-même n'est pas</w:t>
            </w:r>
            <w:r w:rsidR="00596EC7" w:rsidRPr="00596EC7">
              <w:rPr>
                <w:rFonts w:ascii="Calibri" w:hAnsi="Calibri" w:cs="Calibri"/>
                <w:i/>
                <w:iCs/>
                <w:color w:val="000000"/>
              </w:rPr>
              <w:t xml:space="preserve"> </w:t>
            </w:r>
            <w:r w:rsidRPr="00596EC7">
              <w:rPr>
                <w:rFonts w:ascii="Calibri" w:hAnsi="Calibri" w:cs="Calibri"/>
                <w:i/>
                <w:iCs/>
                <w:color w:val="000000"/>
              </w:rPr>
              <w:t>soulevé, mais est déplacé parallèlement au plan du cadre.</w:t>
            </w:r>
          </w:p>
        </w:tc>
      </w:tr>
      <w:tr w:rsidR="00503A9C" w:rsidRPr="0043547B" w:rsidTr="00056AEE">
        <w:trPr>
          <w:trHeight w:val="403"/>
          <w:jc w:val="center"/>
        </w:trPr>
        <w:tc>
          <w:tcPr>
            <w:tcW w:w="1838" w:type="dxa"/>
            <w:tcBorders>
              <w:top w:val="single" w:sz="6" w:space="0" w:color="auto"/>
              <w:left w:val="single" w:sz="18" w:space="0" w:color="auto"/>
              <w:bottom w:val="single" w:sz="18" w:space="0" w:color="auto"/>
              <w:right w:val="single" w:sz="4" w:space="0" w:color="auto"/>
            </w:tcBorders>
            <w:shd w:val="clear" w:color="auto" w:fill="C2D69B" w:themeFill="accent3" w:themeFillTint="99"/>
            <w:vAlign w:val="center"/>
          </w:tcPr>
          <w:p w:rsidR="00503A9C" w:rsidRPr="001A0BDF" w:rsidRDefault="00503A9C" w:rsidP="001A0BDF">
            <w:pPr>
              <w:spacing w:after="0" w:line="240" w:lineRule="auto"/>
              <w:jc w:val="center"/>
              <w:rPr>
                <w:rFonts w:ascii="Calibri" w:hAnsi="Calibri" w:cs="Calibri"/>
                <w:b/>
                <w:bCs/>
                <w:sz w:val="24"/>
                <w:szCs w:val="24"/>
              </w:rPr>
            </w:pPr>
            <w:r w:rsidRPr="001A0BDF">
              <w:rPr>
                <w:rFonts w:ascii="Calibri" w:hAnsi="Calibri" w:cs="Calibri"/>
                <w:b/>
                <w:bCs/>
                <w:sz w:val="24"/>
                <w:szCs w:val="24"/>
              </w:rPr>
              <w:lastRenderedPageBreak/>
              <w:t>Code :</w:t>
            </w:r>
          </w:p>
        </w:tc>
        <w:tc>
          <w:tcPr>
            <w:tcW w:w="7938" w:type="dxa"/>
            <w:tcBorders>
              <w:top w:val="single" w:sz="6" w:space="0" w:color="auto"/>
              <w:left w:val="single" w:sz="4" w:space="0" w:color="auto"/>
              <w:bottom w:val="single" w:sz="18" w:space="0" w:color="auto"/>
              <w:right w:val="single" w:sz="18" w:space="0" w:color="auto"/>
            </w:tcBorders>
            <w:shd w:val="clear" w:color="auto" w:fill="C2D69B" w:themeFill="accent3" w:themeFillTint="99"/>
            <w:vAlign w:val="center"/>
          </w:tcPr>
          <w:p w:rsidR="00503A9C" w:rsidRPr="00596EC7" w:rsidRDefault="00503A9C" w:rsidP="001A0BDF">
            <w:pPr>
              <w:spacing w:after="0" w:line="240" w:lineRule="auto"/>
              <w:jc w:val="center"/>
              <w:rPr>
                <w:rFonts w:ascii="Calibri" w:hAnsi="Calibri" w:cs="Calibri"/>
                <w:b/>
                <w:bCs/>
                <w:color w:val="000000"/>
                <w:sz w:val="24"/>
                <w:szCs w:val="24"/>
              </w:rPr>
            </w:pPr>
            <w:r w:rsidRPr="00596EC7">
              <w:rPr>
                <w:rFonts w:ascii="Calibri" w:hAnsi="Calibri" w:cs="Calibri"/>
                <w:b/>
                <w:bCs/>
                <w:color w:val="000000"/>
                <w:sz w:val="24"/>
                <w:szCs w:val="24"/>
              </w:rPr>
              <w:t>NM EN 13126-17</w:t>
            </w:r>
          </w:p>
        </w:tc>
      </w:tr>
      <w:tr w:rsidR="00503A9C" w:rsidRPr="0043547B" w:rsidTr="00056AEE">
        <w:trPr>
          <w:trHeight w:val="381"/>
          <w:jc w:val="center"/>
        </w:trPr>
        <w:tc>
          <w:tcPr>
            <w:tcW w:w="1838" w:type="dxa"/>
            <w:tcBorders>
              <w:top w:val="single" w:sz="6" w:space="0" w:color="auto"/>
              <w:left w:val="single" w:sz="18" w:space="0" w:color="auto"/>
              <w:bottom w:val="single" w:sz="18" w:space="0" w:color="auto"/>
              <w:right w:val="single" w:sz="4" w:space="0" w:color="auto"/>
            </w:tcBorders>
            <w:shd w:val="clear" w:color="auto" w:fill="FFFF99"/>
            <w:vAlign w:val="center"/>
          </w:tcPr>
          <w:p w:rsidR="00503A9C" w:rsidRPr="001A0BDF" w:rsidRDefault="00503A9C" w:rsidP="001A0BDF">
            <w:pPr>
              <w:spacing w:after="0" w:line="240" w:lineRule="auto"/>
              <w:jc w:val="center"/>
              <w:rPr>
                <w:rFonts w:ascii="Calibri" w:hAnsi="Calibri" w:cs="Calibri"/>
                <w:b/>
                <w:bCs/>
                <w:sz w:val="24"/>
                <w:szCs w:val="24"/>
              </w:rPr>
            </w:pPr>
            <w:r w:rsidRPr="001A0BDF">
              <w:rPr>
                <w:rFonts w:ascii="Calibri" w:hAnsi="Calibri" w:cs="Calibri"/>
                <w:b/>
                <w:bCs/>
                <w:sz w:val="24"/>
                <w:szCs w:val="24"/>
              </w:rPr>
              <w:t>Equivalence :</w:t>
            </w:r>
          </w:p>
        </w:tc>
        <w:tc>
          <w:tcPr>
            <w:tcW w:w="7938" w:type="dxa"/>
            <w:tcBorders>
              <w:top w:val="single" w:sz="6" w:space="0" w:color="auto"/>
              <w:left w:val="single" w:sz="4" w:space="0" w:color="auto"/>
              <w:bottom w:val="single" w:sz="18" w:space="0" w:color="auto"/>
              <w:right w:val="single" w:sz="18" w:space="0" w:color="auto"/>
            </w:tcBorders>
            <w:shd w:val="clear" w:color="auto" w:fill="FFFF99"/>
            <w:vAlign w:val="center"/>
          </w:tcPr>
          <w:p w:rsidR="00503A9C" w:rsidRPr="00596EC7" w:rsidRDefault="00503A9C" w:rsidP="001A0BDF">
            <w:pPr>
              <w:spacing w:after="0" w:line="240" w:lineRule="auto"/>
              <w:jc w:val="center"/>
              <w:rPr>
                <w:rFonts w:ascii="Calibri" w:hAnsi="Calibri" w:cs="Calibri"/>
                <w:b/>
                <w:bCs/>
                <w:color w:val="000000"/>
                <w:sz w:val="24"/>
                <w:szCs w:val="24"/>
              </w:rPr>
            </w:pPr>
            <w:r w:rsidRPr="00596EC7">
              <w:rPr>
                <w:rFonts w:ascii="Calibri" w:hAnsi="Calibri" w:cs="Calibri"/>
                <w:b/>
                <w:bCs/>
                <w:color w:val="000000"/>
                <w:sz w:val="24"/>
                <w:szCs w:val="24"/>
              </w:rPr>
              <w:t>EN 13126-17</w:t>
            </w:r>
          </w:p>
        </w:tc>
      </w:tr>
      <w:tr w:rsidR="00503A9C" w:rsidRPr="0043547B" w:rsidTr="00056AEE">
        <w:trPr>
          <w:trHeight w:val="525"/>
          <w:jc w:val="center"/>
        </w:trPr>
        <w:tc>
          <w:tcPr>
            <w:tcW w:w="1838" w:type="dxa"/>
            <w:tcBorders>
              <w:top w:val="single" w:sz="6" w:space="0" w:color="auto"/>
              <w:left w:val="single" w:sz="18" w:space="0" w:color="auto"/>
              <w:bottom w:val="single" w:sz="18" w:space="0" w:color="auto"/>
              <w:right w:val="single" w:sz="4" w:space="0" w:color="auto"/>
            </w:tcBorders>
            <w:shd w:val="clear" w:color="auto" w:fill="95B3D7" w:themeFill="accent1" w:themeFillTint="99"/>
            <w:vAlign w:val="center"/>
          </w:tcPr>
          <w:p w:rsidR="00503A9C" w:rsidRPr="001A0BDF" w:rsidRDefault="00503A9C" w:rsidP="001A0BDF">
            <w:pPr>
              <w:spacing w:after="0" w:line="240" w:lineRule="auto"/>
              <w:jc w:val="center"/>
              <w:rPr>
                <w:rFonts w:ascii="Calibri" w:hAnsi="Calibri" w:cs="Calibri"/>
                <w:b/>
                <w:bCs/>
                <w:sz w:val="24"/>
                <w:szCs w:val="24"/>
              </w:rPr>
            </w:pPr>
            <w:r w:rsidRPr="001A0BDF">
              <w:rPr>
                <w:rFonts w:ascii="Calibri" w:hAnsi="Calibri" w:cs="Calibri"/>
                <w:b/>
                <w:bCs/>
                <w:sz w:val="24"/>
                <w:szCs w:val="24"/>
              </w:rPr>
              <w:t>Intitulé :</w:t>
            </w:r>
          </w:p>
        </w:tc>
        <w:tc>
          <w:tcPr>
            <w:tcW w:w="7938" w:type="dxa"/>
            <w:tcBorders>
              <w:top w:val="single" w:sz="6" w:space="0" w:color="auto"/>
              <w:left w:val="single" w:sz="4" w:space="0" w:color="auto"/>
              <w:bottom w:val="single" w:sz="18" w:space="0" w:color="auto"/>
              <w:right w:val="single" w:sz="18" w:space="0" w:color="auto"/>
            </w:tcBorders>
            <w:shd w:val="clear" w:color="auto" w:fill="auto"/>
            <w:vAlign w:val="bottom"/>
          </w:tcPr>
          <w:p w:rsidR="00503A9C" w:rsidRPr="001A0BDF" w:rsidRDefault="00503A9C" w:rsidP="001A0BDF">
            <w:pPr>
              <w:spacing w:after="0" w:line="240" w:lineRule="auto"/>
              <w:rPr>
                <w:rFonts w:ascii="Calibri" w:hAnsi="Calibri" w:cs="Calibri"/>
                <w:color w:val="000000"/>
                <w:sz w:val="24"/>
                <w:szCs w:val="24"/>
              </w:rPr>
            </w:pPr>
            <w:r w:rsidRPr="001A0BDF">
              <w:rPr>
                <w:rFonts w:ascii="Calibri" w:hAnsi="Calibri" w:cs="Calibri"/>
                <w:color w:val="000000"/>
                <w:sz w:val="24"/>
                <w:szCs w:val="24"/>
              </w:rPr>
              <w:t xml:space="preserve">Quincaillerie pour le bâtiment - Ferrures de fenêtres et portes-fenêtres - Exigences et méthodes d'essai - Partie 17 : Ferrures pour fenêtres oscillo-coulissantes </w:t>
            </w:r>
          </w:p>
        </w:tc>
      </w:tr>
      <w:tr w:rsidR="00503A9C" w:rsidRPr="0043547B" w:rsidTr="00056AEE">
        <w:trPr>
          <w:trHeight w:val="525"/>
          <w:jc w:val="center"/>
        </w:trPr>
        <w:tc>
          <w:tcPr>
            <w:tcW w:w="1838" w:type="dxa"/>
            <w:tcBorders>
              <w:top w:val="single" w:sz="6" w:space="0" w:color="auto"/>
              <w:left w:val="single" w:sz="18" w:space="0" w:color="auto"/>
              <w:bottom w:val="single" w:sz="18" w:space="0" w:color="auto"/>
              <w:right w:val="single" w:sz="4" w:space="0" w:color="auto"/>
            </w:tcBorders>
            <w:shd w:val="clear" w:color="000000" w:fill="D9D9D9"/>
            <w:vAlign w:val="center"/>
          </w:tcPr>
          <w:p w:rsidR="00503A9C" w:rsidRPr="001A0BDF" w:rsidRDefault="00503A9C" w:rsidP="001A0BDF">
            <w:pPr>
              <w:spacing w:after="0" w:line="240" w:lineRule="auto"/>
              <w:jc w:val="center"/>
              <w:rPr>
                <w:rFonts w:ascii="Calibri" w:hAnsi="Calibri" w:cs="Calibri"/>
                <w:b/>
                <w:bCs/>
                <w:sz w:val="24"/>
                <w:szCs w:val="24"/>
              </w:rPr>
            </w:pPr>
            <w:r w:rsidRPr="001A0BDF">
              <w:rPr>
                <w:rFonts w:ascii="Calibri" w:hAnsi="Calibri" w:cs="Calibri"/>
                <w:b/>
                <w:bCs/>
                <w:sz w:val="24"/>
                <w:szCs w:val="24"/>
              </w:rPr>
              <w:t>Domaine d’application :</w:t>
            </w:r>
          </w:p>
        </w:tc>
        <w:tc>
          <w:tcPr>
            <w:tcW w:w="7938" w:type="dxa"/>
            <w:tcBorders>
              <w:top w:val="single" w:sz="6" w:space="0" w:color="auto"/>
              <w:left w:val="single" w:sz="4" w:space="0" w:color="auto"/>
              <w:bottom w:val="single" w:sz="18" w:space="0" w:color="auto"/>
              <w:right w:val="single" w:sz="18" w:space="0" w:color="auto"/>
            </w:tcBorders>
            <w:shd w:val="clear" w:color="auto" w:fill="auto"/>
            <w:vAlign w:val="bottom"/>
          </w:tcPr>
          <w:p w:rsidR="00503A9C" w:rsidRPr="001A0BDF" w:rsidRDefault="00503A9C" w:rsidP="00056AEE">
            <w:pPr>
              <w:spacing w:after="0" w:line="240" w:lineRule="auto"/>
              <w:jc w:val="both"/>
              <w:rPr>
                <w:rFonts w:ascii="Calibri" w:hAnsi="Calibri" w:cs="Calibri"/>
                <w:color w:val="000000"/>
                <w:sz w:val="24"/>
                <w:szCs w:val="24"/>
              </w:rPr>
            </w:pPr>
            <w:r w:rsidRPr="001A0BDF">
              <w:rPr>
                <w:rFonts w:ascii="Calibri" w:hAnsi="Calibri" w:cs="Calibri"/>
                <w:color w:val="000000"/>
                <w:sz w:val="24"/>
                <w:szCs w:val="24"/>
              </w:rPr>
              <w:t>Le présent document spécifie les exigences et les méthodes d’essai relatives à l'endurance, la résistance,</w:t>
            </w:r>
            <w:r w:rsidR="00056AEE">
              <w:rPr>
                <w:rFonts w:ascii="Calibri" w:hAnsi="Calibri" w:cs="Calibri"/>
                <w:color w:val="000000"/>
                <w:sz w:val="24"/>
                <w:szCs w:val="24"/>
              </w:rPr>
              <w:t xml:space="preserve"> </w:t>
            </w:r>
            <w:r w:rsidRPr="001A0BDF">
              <w:rPr>
                <w:rFonts w:ascii="Calibri" w:hAnsi="Calibri" w:cs="Calibri"/>
                <w:color w:val="000000"/>
                <w:sz w:val="24"/>
                <w:szCs w:val="24"/>
              </w:rPr>
              <w:t>la sécurité et le fonctionnement des ferrures pour fenêtres oscillo-coulissantes et fenêtres coulissantes à</w:t>
            </w:r>
            <w:r w:rsidR="00056AEE">
              <w:rPr>
                <w:rFonts w:ascii="Calibri" w:hAnsi="Calibri" w:cs="Calibri"/>
                <w:color w:val="000000"/>
                <w:sz w:val="24"/>
                <w:szCs w:val="24"/>
              </w:rPr>
              <w:t xml:space="preserve"> </w:t>
            </w:r>
            <w:r w:rsidRPr="001A0BDF">
              <w:rPr>
                <w:rFonts w:ascii="Calibri" w:hAnsi="Calibri" w:cs="Calibri"/>
                <w:color w:val="000000"/>
                <w:sz w:val="24"/>
                <w:szCs w:val="24"/>
              </w:rPr>
              <w:t>levage, en conformité avec l’application courante représentée dans les Figures C.1 et C.2 de l’Annexe c,</w:t>
            </w:r>
            <w:r w:rsidR="00056AEE">
              <w:rPr>
                <w:rFonts w:ascii="Calibri" w:hAnsi="Calibri" w:cs="Calibri"/>
                <w:color w:val="000000"/>
                <w:sz w:val="24"/>
                <w:szCs w:val="24"/>
              </w:rPr>
              <w:t xml:space="preserve"> </w:t>
            </w:r>
            <w:r w:rsidRPr="001A0BDF">
              <w:rPr>
                <w:rFonts w:ascii="Calibri" w:hAnsi="Calibri" w:cs="Calibri"/>
                <w:color w:val="000000"/>
                <w:sz w:val="24"/>
                <w:szCs w:val="24"/>
              </w:rPr>
              <w:t>informative.</w:t>
            </w:r>
          </w:p>
        </w:tc>
      </w:tr>
      <w:tr w:rsidR="00503A9C" w:rsidRPr="0043547B" w:rsidTr="0045784D">
        <w:trPr>
          <w:trHeight w:val="352"/>
          <w:jc w:val="center"/>
        </w:trPr>
        <w:tc>
          <w:tcPr>
            <w:tcW w:w="1838" w:type="dxa"/>
            <w:tcBorders>
              <w:top w:val="single" w:sz="6" w:space="0" w:color="auto"/>
              <w:left w:val="single" w:sz="18" w:space="0" w:color="auto"/>
              <w:bottom w:val="single" w:sz="18" w:space="0" w:color="auto"/>
              <w:right w:val="single" w:sz="4" w:space="0" w:color="auto"/>
            </w:tcBorders>
            <w:shd w:val="clear" w:color="auto" w:fill="C2D69B" w:themeFill="accent3" w:themeFillTint="99"/>
            <w:vAlign w:val="center"/>
          </w:tcPr>
          <w:p w:rsidR="00503A9C" w:rsidRPr="001A0BDF" w:rsidRDefault="00503A9C" w:rsidP="001A0BDF">
            <w:pPr>
              <w:spacing w:after="0" w:line="240" w:lineRule="auto"/>
              <w:jc w:val="center"/>
              <w:rPr>
                <w:rFonts w:ascii="Calibri" w:hAnsi="Calibri" w:cs="Calibri"/>
                <w:b/>
                <w:bCs/>
                <w:sz w:val="24"/>
                <w:szCs w:val="24"/>
              </w:rPr>
            </w:pPr>
            <w:r w:rsidRPr="001A0BDF">
              <w:rPr>
                <w:rFonts w:ascii="Calibri" w:hAnsi="Calibri" w:cs="Calibri"/>
                <w:b/>
                <w:bCs/>
                <w:sz w:val="24"/>
                <w:szCs w:val="24"/>
              </w:rPr>
              <w:t>Code :</w:t>
            </w:r>
          </w:p>
        </w:tc>
        <w:tc>
          <w:tcPr>
            <w:tcW w:w="7938" w:type="dxa"/>
            <w:tcBorders>
              <w:top w:val="single" w:sz="6" w:space="0" w:color="auto"/>
              <w:left w:val="single" w:sz="4" w:space="0" w:color="auto"/>
              <w:bottom w:val="single" w:sz="18" w:space="0" w:color="auto"/>
              <w:right w:val="single" w:sz="18" w:space="0" w:color="auto"/>
            </w:tcBorders>
            <w:shd w:val="clear" w:color="auto" w:fill="C2D69B" w:themeFill="accent3" w:themeFillTint="99"/>
            <w:vAlign w:val="center"/>
          </w:tcPr>
          <w:p w:rsidR="00503A9C" w:rsidRPr="00056AEE" w:rsidRDefault="00503A9C" w:rsidP="001A0BDF">
            <w:pPr>
              <w:spacing w:after="0" w:line="240" w:lineRule="auto"/>
              <w:jc w:val="center"/>
              <w:rPr>
                <w:rFonts w:ascii="Calibri" w:hAnsi="Calibri" w:cs="Calibri"/>
                <w:b/>
                <w:bCs/>
                <w:color w:val="000000"/>
                <w:sz w:val="24"/>
                <w:szCs w:val="24"/>
              </w:rPr>
            </w:pPr>
            <w:r w:rsidRPr="00056AEE">
              <w:rPr>
                <w:rFonts w:ascii="Calibri" w:hAnsi="Calibri" w:cs="Calibri"/>
                <w:b/>
                <w:bCs/>
                <w:color w:val="000000"/>
                <w:sz w:val="24"/>
                <w:szCs w:val="24"/>
              </w:rPr>
              <w:t>NM EN 13126-19</w:t>
            </w:r>
          </w:p>
        </w:tc>
      </w:tr>
      <w:tr w:rsidR="00503A9C" w:rsidRPr="0043547B" w:rsidTr="0045784D">
        <w:trPr>
          <w:trHeight w:val="346"/>
          <w:jc w:val="center"/>
        </w:trPr>
        <w:tc>
          <w:tcPr>
            <w:tcW w:w="1838" w:type="dxa"/>
            <w:tcBorders>
              <w:top w:val="single" w:sz="6" w:space="0" w:color="auto"/>
              <w:left w:val="single" w:sz="18" w:space="0" w:color="auto"/>
              <w:bottom w:val="single" w:sz="18" w:space="0" w:color="auto"/>
              <w:right w:val="single" w:sz="4" w:space="0" w:color="auto"/>
            </w:tcBorders>
            <w:shd w:val="clear" w:color="auto" w:fill="FFFF99"/>
            <w:vAlign w:val="center"/>
          </w:tcPr>
          <w:p w:rsidR="00503A9C" w:rsidRPr="001A0BDF" w:rsidRDefault="00503A9C" w:rsidP="001A0BDF">
            <w:pPr>
              <w:spacing w:after="0" w:line="240" w:lineRule="auto"/>
              <w:jc w:val="center"/>
              <w:rPr>
                <w:rFonts w:ascii="Calibri" w:hAnsi="Calibri" w:cs="Calibri"/>
                <w:b/>
                <w:bCs/>
                <w:sz w:val="24"/>
                <w:szCs w:val="24"/>
              </w:rPr>
            </w:pPr>
            <w:r w:rsidRPr="001A0BDF">
              <w:rPr>
                <w:rFonts w:ascii="Calibri" w:hAnsi="Calibri" w:cs="Calibri"/>
                <w:b/>
                <w:bCs/>
                <w:sz w:val="24"/>
                <w:szCs w:val="24"/>
              </w:rPr>
              <w:t>Equivalence :</w:t>
            </w:r>
          </w:p>
        </w:tc>
        <w:tc>
          <w:tcPr>
            <w:tcW w:w="7938" w:type="dxa"/>
            <w:tcBorders>
              <w:top w:val="single" w:sz="6" w:space="0" w:color="auto"/>
              <w:left w:val="single" w:sz="4" w:space="0" w:color="auto"/>
              <w:bottom w:val="single" w:sz="18" w:space="0" w:color="auto"/>
              <w:right w:val="single" w:sz="18" w:space="0" w:color="auto"/>
            </w:tcBorders>
            <w:shd w:val="clear" w:color="auto" w:fill="FFFF99"/>
            <w:vAlign w:val="center"/>
          </w:tcPr>
          <w:p w:rsidR="00503A9C" w:rsidRPr="00056AEE" w:rsidRDefault="00503A9C" w:rsidP="001A0BDF">
            <w:pPr>
              <w:spacing w:after="0" w:line="240" w:lineRule="auto"/>
              <w:jc w:val="center"/>
              <w:rPr>
                <w:rFonts w:ascii="Calibri" w:hAnsi="Calibri" w:cs="Calibri"/>
                <w:b/>
                <w:bCs/>
                <w:color w:val="000000"/>
                <w:sz w:val="24"/>
                <w:szCs w:val="24"/>
              </w:rPr>
            </w:pPr>
            <w:r w:rsidRPr="00056AEE">
              <w:rPr>
                <w:rFonts w:ascii="Calibri" w:hAnsi="Calibri" w:cs="Calibri"/>
                <w:b/>
                <w:bCs/>
                <w:color w:val="000000"/>
                <w:sz w:val="24"/>
                <w:szCs w:val="24"/>
              </w:rPr>
              <w:t>EN 13126-19</w:t>
            </w:r>
          </w:p>
        </w:tc>
      </w:tr>
      <w:tr w:rsidR="00503A9C" w:rsidRPr="0043547B" w:rsidTr="00056AEE">
        <w:trPr>
          <w:trHeight w:val="525"/>
          <w:jc w:val="center"/>
        </w:trPr>
        <w:tc>
          <w:tcPr>
            <w:tcW w:w="1838" w:type="dxa"/>
            <w:tcBorders>
              <w:top w:val="single" w:sz="6" w:space="0" w:color="auto"/>
              <w:left w:val="single" w:sz="18" w:space="0" w:color="auto"/>
              <w:bottom w:val="single" w:sz="18" w:space="0" w:color="auto"/>
              <w:right w:val="single" w:sz="4" w:space="0" w:color="auto"/>
            </w:tcBorders>
            <w:shd w:val="clear" w:color="auto" w:fill="95B3D7" w:themeFill="accent1" w:themeFillTint="99"/>
            <w:vAlign w:val="center"/>
          </w:tcPr>
          <w:p w:rsidR="00503A9C" w:rsidRPr="001A0BDF" w:rsidRDefault="00503A9C" w:rsidP="001A0BDF">
            <w:pPr>
              <w:spacing w:after="0" w:line="240" w:lineRule="auto"/>
              <w:jc w:val="center"/>
              <w:rPr>
                <w:rFonts w:ascii="Calibri" w:hAnsi="Calibri" w:cs="Calibri"/>
                <w:b/>
                <w:bCs/>
                <w:sz w:val="24"/>
                <w:szCs w:val="24"/>
              </w:rPr>
            </w:pPr>
            <w:r w:rsidRPr="001A0BDF">
              <w:rPr>
                <w:rFonts w:ascii="Calibri" w:hAnsi="Calibri" w:cs="Calibri"/>
                <w:b/>
                <w:bCs/>
                <w:sz w:val="24"/>
                <w:szCs w:val="24"/>
              </w:rPr>
              <w:t>Intitulé :</w:t>
            </w:r>
          </w:p>
        </w:tc>
        <w:tc>
          <w:tcPr>
            <w:tcW w:w="7938" w:type="dxa"/>
            <w:tcBorders>
              <w:top w:val="single" w:sz="6" w:space="0" w:color="auto"/>
              <w:left w:val="single" w:sz="4" w:space="0" w:color="auto"/>
              <w:bottom w:val="single" w:sz="18" w:space="0" w:color="auto"/>
              <w:right w:val="single" w:sz="18" w:space="0" w:color="auto"/>
            </w:tcBorders>
            <w:shd w:val="clear" w:color="auto" w:fill="auto"/>
            <w:vAlign w:val="bottom"/>
          </w:tcPr>
          <w:p w:rsidR="00503A9C" w:rsidRPr="001A0BDF" w:rsidRDefault="00503A9C" w:rsidP="001A0BDF">
            <w:pPr>
              <w:spacing w:after="0" w:line="240" w:lineRule="auto"/>
              <w:rPr>
                <w:rFonts w:ascii="Calibri" w:hAnsi="Calibri" w:cs="Calibri"/>
                <w:color w:val="000000"/>
                <w:sz w:val="24"/>
                <w:szCs w:val="24"/>
              </w:rPr>
            </w:pPr>
            <w:r w:rsidRPr="001A0BDF">
              <w:rPr>
                <w:rFonts w:ascii="Calibri" w:hAnsi="Calibri" w:cs="Calibri"/>
                <w:color w:val="000000"/>
                <w:sz w:val="24"/>
                <w:szCs w:val="24"/>
              </w:rPr>
              <w:t xml:space="preserve">Quincaillerie pour le bâtiment - Exigences et méthodes d'essai des ferrures de fenêtres et portes-fenêtres - Partie 19 : Dispositifs de verrouillage pour ouvrants coulissants (SCD) </w:t>
            </w:r>
          </w:p>
        </w:tc>
      </w:tr>
      <w:tr w:rsidR="00503A9C" w:rsidRPr="0043547B" w:rsidTr="00056AEE">
        <w:trPr>
          <w:trHeight w:val="525"/>
          <w:jc w:val="center"/>
        </w:trPr>
        <w:tc>
          <w:tcPr>
            <w:tcW w:w="1838" w:type="dxa"/>
            <w:tcBorders>
              <w:top w:val="single" w:sz="6" w:space="0" w:color="auto"/>
              <w:left w:val="single" w:sz="18" w:space="0" w:color="auto"/>
              <w:bottom w:val="single" w:sz="18" w:space="0" w:color="auto"/>
              <w:right w:val="single" w:sz="4" w:space="0" w:color="auto"/>
            </w:tcBorders>
            <w:shd w:val="clear" w:color="000000" w:fill="D9D9D9"/>
            <w:vAlign w:val="center"/>
          </w:tcPr>
          <w:p w:rsidR="00503A9C" w:rsidRPr="001A0BDF" w:rsidRDefault="00503A9C" w:rsidP="001A0BDF">
            <w:pPr>
              <w:spacing w:after="0" w:line="240" w:lineRule="auto"/>
              <w:jc w:val="center"/>
              <w:rPr>
                <w:rFonts w:ascii="Calibri" w:hAnsi="Calibri" w:cs="Calibri"/>
                <w:b/>
                <w:bCs/>
                <w:sz w:val="24"/>
                <w:szCs w:val="24"/>
              </w:rPr>
            </w:pPr>
            <w:r w:rsidRPr="001A0BDF">
              <w:rPr>
                <w:rFonts w:ascii="Calibri" w:hAnsi="Calibri" w:cs="Calibri"/>
                <w:b/>
                <w:bCs/>
                <w:sz w:val="24"/>
                <w:szCs w:val="24"/>
              </w:rPr>
              <w:t>Domaine d’application :</w:t>
            </w:r>
          </w:p>
        </w:tc>
        <w:tc>
          <w:tcPr>
            <w:tcW w:w="7938" w:type="dxa"/>
            <w:tcBorders>
              <w:top w:val="single" w:sz="6" w:space="0" w:color="auto"/>
              <w:left w:val="single" w:sz="4" w:space="0" w:color="auto"/>
              <w:bottom w:val="single" w:sz="18" w:space="0" w:color="auto"/>
              <w:right w:val="single" w:sz="18" w:space="0" w:color="auto"/>
            </w:tcBorders>
            <w:shd w:val="clear" w:color="auto" w:fill="auto"/>
            <w:vAlign w:val="bottom"/>
          </w:tcPr>
          <w:p w:rsidR="00503A9C" w:rsidRPr="001A0BDF" w:rsidRDefault="00503A9C" w:rsidP="00056AEE">
            <w:pPr>
              <w:spacing w:after="0" w:line="240" w:lineRule="auto"/>
              <w:jc w:val="both"/>
              <w:rPr>
                <w:rFonts w:ascii="Calibri" w:hAnsi="Calibri" w:cs="Calibri"/>
                <w:color w:val="000000"/>
                <w:sz w:val="24"/>
                <w:szCs w:val="24"/>
              </w:rPr>
            </w:pPr>
            <w:r w:rsidRPr="001A0BDF">
              <w:rPr>
                <w:rFonts w:ascii="Calibri" w:hAnsi="Calibri" w:cs="Calibri"/>
                <w:color w:val="000000"/>
                <w:sz w:val="24"/>
                <w:szCs w:val="24"/>
              </w:rPr>
              <w:t>La présente partie de l'EN 13126 spécifie les exigences et les méthodes d'essai relatives à l'endurance,</w:t>
            </w:r>
            <w:r w:rsidR="00056AEE">
              <w:rPr>
                <w:rFonts w:ascii="Calibri" w:hAnsi="Calibri" w:cs="Calibri"/>
                <w:color w:val="000000"/>
                <w:sz w:val="24"/>
                <w:szCs w:val="24"/>
              </w:rPr>
              <w:t xml:space="preserve"> </w:t>
            </w:r>
            <w:r w:rsidRPr="001A0BDF">
              <w:rPr>
                <w:rFonts w:ascii="Calibri" w:hAnsi="Calibri" w:cs="Calibri"/>
                <w:color w:val="000000"/>
                <w:sz w:val="24"/>
                <w:szCs w:val="24"/>
              </w:rPr>
              <w:t>à la résistance, à la sécurité et au fonctionnement des dispositifs de verrouillage pour ouvrants coulissants (SCD)</w:t>
            </w:r>
            <w:r w:rsidR="00056AEE">
              <w:rPr>
                <w:rFonts w:ascii="Calibri" w:hAnsi="Calibri" w:cs="Calibri"/>
                <w:color w:val="000000"/>
                <w:sz w:val="24"/>
                <w:szCs w:val="24"/>
              </w:rPr>
              <w:t xml:space="preserve"> </w:t>
            </w:r>
            <w:r w:rsidRPr="001A0BDF">
              <w:rPr>
                <w:rFonts w:ascii="Calibri" w:hAnsi="Calibri" w:cs="Calibri"/>
                <w:color w:val="000000"/>
                <w:sz w:val="24"/>
                <w:szCs w:val="24"/>
              </w:rPr>
              <w:t>pour fenêtres et portes-fenêtres.</w:t>
            </w:r>
            <w:r w:rsidRPr="001A0BDF">
              <w:rPr>
                <w:rFonts w:ascii="Calibri" w:hAnsi="Calibri" w:cs="Calibri"/>
                <w:color w:val="000000"/>
                <w:sz w:val="24"/>
                <w:szCs w:val="24"/>
              </w:rPr>
              <w:br/>
              <w:t>La présente Norme européenne ne traite pas spécifiquement des poignées utilisées avec les dispositifs</w:t>
            </w:r>
            <w:r w:rsidR="00056AEE">
              <w:rPr>
                <w:rFonts w:ascii="Calibri" w:hAnsi="Calibri" w:cs="Calibri"/>
                <w:color w:val="000000"/>
                <w:sz w:val="24"/>
                <w:szCs w:val="24"/>
              </w:rPr>
              <w:t xml:space="preserve"> </w:t>
            </w:r>
            <w:r w:rsidRPr="001A0BDF">
              <w:rPr>
                <w:rFonts w:ascii="Calibri" w:hAnsi="Calibri" w:cs="Calibri"/>
                <w:color w:val="000000"/>
                <w:sz w:val="24"/>
                <w:szCs w:val="24"/>
              </w:rPr>
              <w:t>de verrouillage pour ouvrants coulissants actionnés par poignées, ni des verrouillages à cames utilisés avec</w:t>
            </w:r>
            <w:r w:rsidR="00056AEE">
              <w:rPr>
                <w:rFonts w:ascii="Calibri" w:hAnsi="Calibri" w:cs="Calibri"/>
                <w:color w:val="000000"/>
                <w:sz w:val="24"/>
                <w:szCs w:val="24"/>
              </w:rPr>
              <w:t xml:space="preserve"> </w:t>
            </w:r>
            <w:r w:rsidRPr="001A0BDF">
              <w:rPr>
                <w:rFonts w:ascii="Calibri" w:hAnsi="Calibri" w:cs="Calibri"/>
                <w:color w:val="000000"/>
                <w:sz w:val="24"/>
                <w:szCs w:val="24"/>
              </w:rPr>
              <w:t>les dispositifs de verrouillage pour ouvrants coulissants actionnés par cames, pour lesquels les exigences et</w:t>
            </w:r>
            <w:r w:rsidR="00056AEE">
              <w:rPr>
                <w:rFonts w:ascii="Calibri" w:hAnsi="Calibri" w:cs="Calibri"/>
                <w:color w:val="000000"/>
                <w:sz w:val="24"/>
                <w:szCs w:val="24"/>
              </w:rPr>
              <w:t xml:space="preserve"> </w:t>
            </w:r>
            <w:r w:rsidRPr="001A0BDF">
              <w:rPr>
                <w:rFonts w:ascii="Calibri" w:hAnsi="Calibri" w:cs="Calibri"/>
                <w:color w:val="000000"/>
                <w:sz w:val="24"/>
                <w:szCs w:val="24"/>
              </w:rPr>
              <w:t>les méthodes d'essai figurent dans l'EN 13126-3 et l'EN 13126-14, respectivement.</w:t>
            </w:r>
          </w:p>
        </w:tc>
      </w:tr>
      <w:tr w:rsidR="00503A9C" w:rsidRPr="0043547B" w:rsidTr="0045784D">
        <w:trPr>
          <w:trHeight w:val="334"/>
          <w:jc w:val="center"/>
        </w:trPr>
        <w:tc>
          <w:tcPr>
            <w:tcW w:w="1838" w:type="dxa"/>
            <w:tcBorders>
              <w:top w:val="single" w:sz="6" w:space="0" w:color="auto"/>
              <w:left w:val="single" w:sz="18" w:space="0" w:color="auto"/>
              <w:bottom w:val="single" w:sz="18" w:space="0" w:color="auto"/>
              <w:right w:val="single" w:sz="4" w:space="0" w:color="auto"/>
            </w:tcBorders>
            <w:shd w:val="clear" w:color="auto" w:fill="C2D69B" w:themeFill="accent3" w:themeFillTint="99"/>
            <w:vAlign w:val="center"/>
          </w:tcPr>
          <w:p w:rsidR="00503A9C" w:rsidRPr="001A0BDF" w:rsidRDefault="00503A9C" w:rsidP="001A0BDF">
            <w:pPr>
              <w:spacing w:after="0" w:line="240" w:lineRule="auto"/>
              <w:jc w:val="center"/>
              <w:rPr>
                <w:rFonts w:ascii="Calibri" w:hAnsi="Calibri" w:cs="Calibri"/>
                <w:b/>
                <w:bCs/>
                <w:sz w:val="24"/>
                <w:szCs w:val="24"/>
              </w:rPr>
            </w:pPr>
            <w:r w:rsidRPr="001A0BDF">
              <w:rPr>
                <w:rFonts w:ascii="Calibri" w:hAnsi="Calibri" w:cs="Calibri"/>
                <w:b/>
                <w:bCs/>
                <w:sz w:val="24"/>
                <w:szCs w:val="24"/>
              </w:rPr>
              <w:t>Code :</w:t>
            </w:r>
          </w:p>
        </w:tc>
        <w:tc>
          <w:tcPr>
            <w:tcW w:w="7938" w:type="dxa"/>
            <w:tcBorders>
              <w:top w:val="single" w:sz="6" w:space="0" w:color="auto"/>
              <w:left w:val="single" w:sz="4" w:space="0" w:color="auto"/>
              <w:bottom w:val="single" w:sz="18" w:space="0" w:color="auto"/>
              <w:right w:val="single" w:sz="18" w:space="0" w:color="auto"/>
            </w:tcBorders>
            <w:shd w:val="clear" w:color="auto" w:fill="C2D69B" w:themeFill="accent3" w:themeFillTint="99"/>
            <w:vAlign w:val="center"/>
          </w:tcPr>
          <w:p w:rsidR="00503A9C" w:rsidRPr="00056AEE" w:rsidRDefault="00503A9C" w:rsidP="001A0BDF">
            <w:pPr>
              <w:spacing w:after="0" w:line="240" w:lineRule="auto"/>
              <w:jc w:val="center"/>
              <w:rPr>
                <w:rFonts w:ascii="Calibri" w:hAnsi="Calibri" w:cs="Calibri"/>
                <w:b/>
                <w:bCs/>
                <w:color w:val="000000"/>
                <w:sz w:val="24"/>
                <w:szCs w:val="24"/>
              </w:rPr>
            </w:pPr>
            <w:r w:rsidRPr="00056AEE">
              <w:rPr>
                <w:rFonts w:ascii="Calibri" w:hAnsi="Calibri" w:cs="Calibri"/>
                <w:b/>
                <w:bCs/>
                <w:color w:val="000000"/>
                <w:sz w:val="24"/>
                <w:szCs w:val="24"/>
              </w:rPr>
              <w:t>NM EN 14846</w:t>
            </w:r>
          </w:p>
        </w:tc>
      </w:tr>
      <w:tr w:rsidR="00503A9C" w:rsidRPr="0043547B" w:rsidTr="0045784D">
        <w:trPr>
          <w:trHeight w:val="382"/>
          <w:jc w:val="center"/>
        </w:trPr>
        <w:tc>
          <w:tcPr>
            <w:tcW w:w="1838" w:type="dxa"/>
            <w:tcBorders>
              <w:top w:val="single" w:sz="6" w:space="0" w:color="auto"/>
              <w:left w:val="single" w:sz="18" w:space="0" w:color="auto"/>
              <w:bottom w:val="single" w:sz="18" w:space="0" w:color="auto"/>
              <w:right w:val="single" w:sz="4" w:space="0" w:color="auto"/>
            </w:tcBorders>
            <w:shd w:val="clear" w:color="auto" w:fill="FFFF99"/>
            <w:vAlign w:val="center"/>
          </w:tcPr>
          <w:p w:rsidR="00503A9C" w:rsidRPr="001A0BDF" w:rsidRDefault="00503A9C" w:rsidP="001A0BDF">
            <w:pPr>
              <w:spacing w:after="0" w:line="240" w:lineRule="auto"/>
              <w:jc w:val="center"/>
              <w:rPr>
                <w:rFonts w:ascii="Calibri" w:hAnsi="Calibri" w:cs="Calibri"/>
                <w:b/>
                <w:bCs/>
                <w:sz w:val="24"/>
                <w:szCs w:val="24"/>
              </w:rPr>
            </w:pPr>
            <w:r w:rsidRPr="001A0BDF">
              <w:rPr>
                <w:rFonts w:ascii="Calibri" w:hAnsi="Calibri" w:cs="Calibri"/>
                <w:b/>
                <w:bCs/>
                <w:sz w:val="24"/>
                <w:szCs w:val="24"/>
              </w:rPr>
              <w:t>Equivalence :</w:t>
            </w:r>
          </w:p>
        </w:tc>
        <w:tc>
          <w:tcPr>
            <w:tcW w:w="7938" w:type="dxa"/>
            <w:tcBorders>
              <w:top w:val="single" w:sz="6" w:space="0" w:color="auto"/>
              <w:left w:val="single" w:sz="4" w:space="0" w:color="auto"/>
              <w:bottom w:val="single" w:sz="18" w:space="0" w:color="auto"/>
              <w:right w:val="single" w:sz="18" w:space="0" w:color="auto"/>
            </w:tcBorders>
            <w:shd w:val="clear" w:color="auto" w:fill="FFFF99"/>
            <w:vAlign w:val="center"/>
          </w:tcPr>
          <w:p w:rsidR="00503A9C" w:rsidRPr="00056AEE" w:rsidRDefault="00503A9C" w:rsidP="001A0BDF">
            <w:pPr>
              <w:spacing w:after="0" w:line="240" w:lineRule="auto"/>
              <w:jc w:val="center"/>
              <w:rPr>
                <w:rFonts w:ascii="Calibri" w:hAnsi="Calibri" w:cs="Calibri"/>
                <w:b/>
                <w:bCs/>
                <w:color w:val="000000"/>
                <w:sz w:val="24"/>
                <w:szCs w:val="24"/>
              </w:rPr>
            </w:pPr>
            <w:r w:rsidRPr="00056AEE">
              <w:rPr>
                <w:rFonts w:ascii="Calibri" w:hAnsi="Calibri" w:cs="Calibri"/>
                <w:b/>
                <w:bCs/>
                <w:color w:val="000000"/>
                <w:sz w:val="24"/>
                <w:szCs w:val="24"/>
              </w:rPr>
              <w:t>EN 14846</w:t>
            </w:r>
          </w:p>
        </w:tc>
      </w:tr>
      <w:tr w:rsidR="00503A9C" w:rsidRPr="0043547B" w:rsidTr="00056AEE">
        <w:trPr>
          <w:trHeight w:val="525"/>
          <w:jc w:val="center"/>
        </w:trPr>
        <w:tc>
          <w:tcPr>
            <w:tcW w:w="1838" w:type="dxa"/>
            <w:tcBorders>
              <w:top w:val="single" w:sz="18" w:space="0" w:color="auto"/>
              <w:left w:val="single" w:sz="18" w:space="0" w:color="auto"/>
              <w:bottom w:val="single" w:sz="4" w:space="0" w:color="auto"/>
              <w:right w:val="single" w:sz="4" w:space="0" w:color="auto"/>
            </w:tcBorders>
            <w:shd w:val="clear" w:color="auto" w:fill="95B3D7" w:themeFill="accent1" w:themeFillTint="99"/>
            <w:vAlign w:val="center"/>
          </w:tcPr>
          <w:p w:rsidR="00503A9C" w:rsidRPr="001A0BDF" w:rsidRDefault="00503A9C" w:rsidP="001A0BDF">
            <w:pPr>
              <w:spacing w:after="0" w:line="240" w:lineRule="auto"/>
              <w:jc w:val="center"/>
              <w:rPr>
                <w:rFonts w:ascii="Calibri" w:hAnsi="Calibri" w:cs="Calibri"/>
                <w:b/>
                <w:bCs/>
                <w:sz w:val="24"/>
                <w:szCs w:val="24"/>
              </w:rPr>
            </w:pPr>
            <w:r w:rsidRPr="001A0BDF">
              <w:rPr>
                <w:rFonts w:ascii="Calibri" w:hAnsi="Calibri" w:cs="Calibr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bottom"/>
          </w:tcPr>
          <w:p w:rsidR="00503A9C" w:rsidRPr="001A0BDF" w:rsidRDefault="00503A9C" w:rsidP="001A0BDF">
            <w:pPr>
              <w:spacing w:after="0" w:line="240" w:lineRule="auto"/>
              <w:rPr>
                <w:rFonts w:ascii="Calibri" w:hAnsi="Calibri" w:cs="Calibri"/>
                <w:color w:val="000000"/>
                <w:sz w:val="24"/>
                <w:szCs w:val="24"/>
              </w:rPr>
            </w:pPr>
            <w:r w:rsidRPr="001A0BDF">
              <w:rPr>
                <w:rFonts w:ascii="Calibri" w:hAnsi="Calibri" w:cs="Calibri"/>
                <w:color w:val="000000"/>
                <w:sz w:val="24"/>
                <w:szCs w:val="24"/>
              </w:rPr>
              <w:t xml:space="preserve">Quincaillerie pour le bâtiment - Serrures - Serrures et gâches électromécaniques - Exigences et méthodes d'essai </w:t>
            </w:r>
          </w:p>
        </w:tc>
      </w:tr>
      <w:tr w:rsidR="00503A9C" w:rsidRPr="0043547B" w:rsidTr="00056AEE">
        <w:trPr>
          <w:trHeight w:val="525"/>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503A9C" w:rsidRPr="001A0BDF" w:rsidRDefault="00503A9C" w:rsidP="001A0BDF">
            <w:pPr>
              <w:spacing w:after="0" w:line="240" w:lineRule="auto"/>
              <w:jc w:val="center"/>
              <w:rPr>
                <w:rFonts w:ascii="Calibri" w:hAnsi="Calibri" w:cs="Calibri"/>
                <w:b/>
                <w:bCs/>
                <w:sz w:val="24"/>
                <w:szCs w:val="24"/>
              </w:rPr>
            </w:pPr>
            <w:r w:rsidRPr="001A0BDF">
              <w:rPr>
                <w:rFonts w:ascii="Calibri" w:hAnsi="Calibri" w:cs="Calibr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bottom"/>
          </w:tcPr>
          <w:p w:rsidR="00056AEE" w:rsidRDefault="00503A9C" w:rsidP="00056AEE">
            <w:pPr>
              <w:spacing w:after="0" w:line="240" w:lineRule="auto"/>
              <w:jc w:val="both"/>
              <w:rPr>
                <w:rFonts w:ascii="Calibri" w:hAnsi="Calibri" w:cs="Calibri"/>
                <w:color w:val="000000"/>
                <w:sz w:val="24"/>
                <w:szCs w:val="24"/>
              </w:rPr>
            </w:pPr>
            <w:r w:rsidRPr="001A0BDF">
              <w:rPr>
                <w:rFonts w:ascii="Calibri" w:hAnsi="Calibri" w:cs="Calibri"/>
                <w:color w:val="000000"/>
                <w:sz w:val="24"/>
                <w:szCs w:val="24"/>
              </w:rPr>
              <w:t>La présente Norme européenne spécifie les exigences et les méthodes d’essai relatives à la résistance, à la sécurité,</w:t>
            </w:r>
            <w:r w:rsidR="00056AEE">
              <w:rPr>
                <w:rFonts w:ascii="Calibri" w:hAnsi="Calibri" w:cs="Calibri"/>
                <w:color w:val="000000"/>
                <w:sz w:val="24"/>
                <w:szCs w:val="24"/>
              </w:rPr>
              <w:t xml:space="preserve"> </w:t>
            </w:r>
            <w:r w:rsidRPr="001A0BDF">
              <w:rPr>
                <w:rFonts w:ascii="Calibri" w:hAnsi="Calibri" w:cs="Calibri"/>
                <w:color w:val="000000"/>
                <w:sz w:val="24"/>
                <w:szCs w:val="24"/>
              </w:rPr>
              <w:t>à l’endurance et au fonctionnement des composants électriques et électroniques de tous les types de serrures et</w:t>
            </w:r>
            <w:r w:rsidRPr="001A0BDF">
              <w:rPr>
                <w:rFonts w:ascii="Calibri" w:hAnsi="Calibri" w:cs="Calibri"/>
                <w:color w:val="000000"/>
                <w:sz w:val="24"/>
                <w:szCs w:val="24"/>
              </w:rPr>
              <w:br/>
              <w:t>gâches manoeuvrés par des moyens électromécaniques et montés sur des portes, portes-fenêtres et portes d’entrée</w:t>
            </w:r>
            <w:r w:rsidR="00056AEE">
              <w:rPr>
                <w:rFonts w:ascii="Calibri" w:hAnsi="Calibri" w:cs="Calibri"/>
                <w:color w:val="000000"/>
                <w:sz w:val="24"/>
                <w:szCs w:val="24"/>
              </w:rPr>
              <w:t xml:space="preserve"> </w:t>
            </w:r>
            <w:r w:rsidRPr="001A0BDF">
              <w:rPr>
                <w:rFonts w:ascii="Calibri" w:hAnsi="Calibri" w:cs="Calibri"/>
                <w:color w:val="000000"/>
                <w:sz w:val="24"/>
                <w:szCs w:val="24"/>
              </w:rPr>
              <w:t>de bâtiment.</w:t>
            </w:r>
          </w:p>
          <w:p w:rsidR="00056AEE" w:rsidRDefault="00503A9C" w:rsidP="00056AEE">
            <w:pPr>
              <w:spacing w:after="0" w:line="240" w:lineRule="auto"/>
              <w:jc w:val="both"/>
              <w:rPr>
                <w:rFonts w:ascii="Calibri" w:hAnsi="Calibri" w:cs="Calibri"/>
                <w:color w:val="000000"/>
                <w:sz w:val="24"/>
                <w:szCs w:val="24"/>
              </w:rPr>
            </w:pPr>
            <w:r w:rsidRPr="001A0BDF">
              <w:rPr>
                <w:rFonts w:ascii="Calibri" w:hAnsi="Calibri" w:cs="Calibri"/>
                <w:color w:val="000000"/>
                <w:sz w:val="24"/>
                <w:szCs w:val="24"/>
              </w:rPr>
              <w:t>Les exigences relatives aux aspects purement mécaniques des produits couverts par la présente Norme européenne</w:t>
            </w:r>
            <w:r w:rsidR="00056AEE">
              <w:rPr>
                <w:rFonts w:ascii="Calibri" w:hAnsi="Calibri" w:cs="Calibri"/>
                <w:color w:val="000000"/>
                <w:sz w:val="24"/>
                <w:szCs w:val="24"/>
              </w:rPr>
              <w:t xml:space="preserve"> </w:t>
            </w:r>
            <w:r w:rsidRPr="001A0BDF">
              <w:rPr>
                <w:rFonts w:ascii="Calibri" w:hAnsi="Calibri" w:cs="Calibri"/>
                <w:color w:val="000000"/>
                <w:sz w:val="24"/>
                <w:szCs w:val="24"/>
              </w:rPr>
              <w:t>(par exemple la résistance au perçage, les charges latérales, etc.) sont traitées dans le EN 12209.</w:t>
            </w:r>
          </w:p>
          <w:p w:rsidR="00056AEE" w:rsidRDefault="00503A9C" w:rsidP="00056AEE">
            <w:pPr>
              <w:spacing w:after="0" w:line="240" w:lineRule="auto"/>
              <w:jc w:val="both"/>
              <w:rPr>
                <w:rFonts w:ascii="Calibri" w:hAnsi="Calibri" w:cs="Calibri"/>
                <w:color w:val="000000"/>
                <w:sz w:val="24"/>
                <w:szCs w:val="24"/>
              </w:rPr>
            </w:pPr>
            <w:r w:rsidRPr="001A0BDF">
              <w:rPr>
                <w:rFonts w:ascii="Calibri" w:hAnsi="Calibri" w:cs="Calibri"/>
                <w:color w:val="000000"/>
                <w:sz w:val="24"/>
                <w:szCs w:val="24"/>
              </w:rPr>
              <w:t>La présente Norme Européenne s’applique aux serrures et aux gâches manoeuvrées par des moyens</w:t>
            </w:r>
            <w:r w:rsidR="00056AEE">
              <w:rPr>
                <w:rFonts w:ascii="Calibri" w:hAnsi="Calibri" w:cs="Calibri"/>
                <w:color w:val="000000"/>
                <w:sz w:val="24"/>
                <w:szCs w:val="24"/>
              </w:rPr>
              <w:t xml:space="preserve"> </w:t>
            </w:r>
            <w:r w:rsidRPr="001A0BDF">
              <w:rPr>
                <w:rFonts w:ascii="Calibri" w:hAnsi="Calibri" w:cs="Calibri"/>
                <w:color w:val="000000"/>
                <w:sz w:val="24"/>
                <w:szCs w:val="24"/>
              </w:rPr>
              <w:t>électromécaniques qui sont soit fabriquées et placées sur le marché dans leur ensemble par un fabricant ou</w:t>
            </w:r>
            <w:r w:rsidR="00056AEE">
              <w:rPr>
                <w:rFonts w:ascii="Calibri" w:hAnsi="Calibri" w:cs="Calibri"/>
                <w:color w:val="000000"/>
                <w:sz w:val="24"/>
                <w:szCs w:val="24"/>
              </w:rPr>
              <w:t xml:space="preserve"> </w:t>
            </w:r>
            <w:r w:rsidRPr="001A0BDF">
              <w:rPr>
                <w:rFonts w:ascii="Calibri" w:hAnsi="Calibri" w:cs="Calibri"/>
                <w:color w:val="000000"/>
                <w:sz w:val="24"/>
                <w:szCs w:val="24"/>
              </w:rPr>
              <w:t>assemblées par un fabricant de sous-ensembles produits par plus d’un fabricant et conçues pour être utilisées en</w:t>
            </w:r>
            <w:r w:rsidR="00056AEE">
              <w:rPr>
                <w:rFonts w:ascii="Calibri" w:hAnsi="Calibri" w:cs="Calibri"/>
                <w:color w:val="000000"/>
                <w:sz w:val="24"/>
                <w:szCs w:val="24"/>
              </w:rPr>
              <w:t xml:space="preserve"> </w:t>
            </w:r>
            <w:r w:rsidRPr="001A0BDF">
              <w:rPr>
                <w:rFonts w:ascii="Calibri" w:hAnsi="Calibri" w:cs="Calibri"/>
                <w:color w:val="000000"/>
                <w:sz w:val="24"/>
                <w:szCs w:val="24"/>
              </w:rPr>
              <w:t>combinaison.</w:t>
            </w:r>
          </w:p>
          <w:p w:rsidR="00056AEE" w:rsidRDefault="00503A9C" w:rsidP="00056AEE">
            <w:pPr>
              <w:spacing w:after="0" w:line="240" w:lineRule="auto"/>
              <w:jc w:val="both"/>
              <w:rPr>
                <w:rFonts w:ascii="Calibri" w:hAnsi="Calibri" w:cs="Calibri"/>
                <w:color w:val="000000"/>
                <w:sz w:val="24"/>
                <w:szCs w:val="24"/>
              </w:rPr>
            </w:pPr>
            <w:r w:rsidRPr="001A0BDF">
              <w:rPr>
                <w:rFonts w:ascii="Calibri" w:hAnsi="Calibri" w:cs="Calibri"/>
                <w:color w:val="000000"/>
                <w:sz w:val="24"/>
                <w:szCs w:val="24"/>
              </w:rPr>
              <w:t>La présente Norme européenne n’est pas applicable aux dispositifs de retenue électromagnétique pour portes</w:t>
            </w:r>
            <w:r w:rsidR="00056AEE">
              <w:rPr>
                <w:rFonts w:ascii="Calibri" w:hAnsi="Calibri" w:cs="Calibri"/>
                <w:color w:val="000000"/>
                <w:sz w:val="24"/>
                <w:szCs w:val="24"/>
              </w:rPr>
              <w:t xml:space="preserve"> </w:t>
            </w:r>
            <w:r w:rsidRPr="001A0BDF">
              <w:rPr>
                <w:rFonts w:ascii="Calibri" w:hAnsi="Calibri" w:cs="Calibri"/>
                <w:color w:val="000000"/>
                <w:sz w:val="24"/>
                <w:szCs w:val="24"/>
              </w:rPr>
              <w:t>battantes (EN 1155), aux systèmes de fermetures anti-panique pour issues de secours contrôlés électriquement et</w:t>
            </w:r>
            <w:r w:rsidRPr="001A0BDF">
              <w:rPr>
                <w:rFonts w:ascii="Calibri" w:hAnsi="Calibri" w:cs="Calibri"/>
                <w:color w:val="000000"/>
                <w:sz w:val="24"/>
                <w:szCs w:val="24"/>
              </w:rPr>
              <w:br/>
            </w:r>
            <w:r w:rsidRPr="001A0BDF">
              <w:rPr>
                <w:rFonts w:ascii="Calibri" w:hAnsi="Calibri" w:cs="Calibri"/>
                <w:color w:val="000000"/>
                <w:sz w:val="24"/>
                <w:szCs w:val="24"/>
              </w:rPr>
              <w:lastRenderedPageBreak/>
              <w:t>destinés à être utilisés sur des voies d'évacuation (prEN 13633) ou aux systèmes de fermeture d'urgence pour issues</w:t>
            </w:r>
            <w:r w:rsidR="00056AEE">
              <w:rPr>
                <w:rFonts w:ascii="Calibri" w:hAnsi="Calibri" w:cs="Calibri"/>
                <w:color w:val="000000"/>
                <w:sz w:val="24"/>
                <w:szCs w:val="24"/>
              </w:rPr>
              <w:t xml:space="preserve"> </w:t>
            </w:r>
            <w:r w:rsidRPr="001A0BDF">
              <w:rPr>
                <w:rFonts w:ascii="Calibri" w:hAnsi="Calibri" w:cs="Calibri"/>
                <w:color w:val="000000"/>
                <w:sz w:val="24"/>
                <w:szCs w:val="24"/>
              </w:rPr>
              <w:t xml:space="preserve">de secours contrôlées électriquement (prEN 13637). </w:t>
            </w:r>
          </w:p>
          <w:p w:rsidR="00056AEE" w:rsidRDefault="00503A9C" w:rsidP="00056AEE">
            <w:pPr>
              <w:spacing w:after="0" w:line="240" w:lineRule="auto"/>
              <w:jc w:val="both"/>
              <w:rPr>
                <w:rFonts w:ascii="Calibri" w:hAnsi="Calibri" w:cs="Calibri"/>
                <w:color w:val="000000"/>
                <w:sz w:val="24"/>
                <w:szCs w:val="24"/>
              </w:rPr>
            </w:pPr>
            <w:r w:rsidRPr="001A0BDF">
              <w:rPr>
                <w:rFonts w:ascii="Calibri" w:hAnsi="Calibri" w:cs="Calibri"/>
                <w:color w:val="000000"/>
                <w:sz w:val="24"/>
                <w:szCs w:val="24"/>
              </w:rPr>
              <w:t>Elle ne s’applique pas non plus aux serrures purement</w:t>
            </w:r>
            <w:r w:rsidR="00056AEE">
              <w:rPr>
                <w:rFonts w:ascii="Calibri" w:hAnsi="Calibri" w:cs="Calibri"/>
                <w:color w:val="000000"/>
                <w:sz w:val="24"/>
                <w:szCs w:val="24"/>
              </w:rPr>
              <w:t xml:space="preserve"> </w:t>
            </w:r>
            <w:r w:rsidRPr="001A0BDF">
              <w:rPr>
                <w:rFonts w:ascii="Calibri" w:hAnsi="Calibri" w:cs="Calibri"/>
                <w:color w:val="000000"/>
                <w:sz w:val="24"/>
                <w:szCs w:val="24"/>
              </w:rPr>
              <w:t>magnétiques, aux cylindres mécatroniques ou mécaniques (EN 1303), aux béquilles et boutons de porte (EN 1906),</w:t>
            </w:r>
            <w:r w:rsidR="00056AEE">
              <w:rPr>
                <w:rFonts w:ascii="Calibri" w:hAnsi="Calibri" w:cs="Calibri"/>
                <w:color w:val="000000"/>
                <w:sz w:val="24"/>
                <w:szCs w:val="24"/>
              </w:rPr>
              <w:t xml:space="preserve"> </w:t>
            </w:r>
            <w:r w:rsidRPr="001A0BDF">
              <w:rPr>
                <w:rFonts w:ascii="Calibri" w:hAnsi="Calibri" w:cs="Calibri"/>
                <w:color w:val="000000"/>
                <w:sz w:val="24"/>
                <w:szCs w:val="24"/>
              </w:rPr>
              <w:t>aux cadenas et porte-cadenas (EN 12320), aux serrures de coffres (EN 1300), aux serrures de mobiliers ou de prison.</w:t>
            </w:r>
          </w:p>
          <w:p w:rsidR="00056AEE" w:rsidRDefault="00503A9C" w:rsidP="00056AEE">
            <w:pPr>
              <w:spacing w:after="0" w:line="240" w:lineRule="auto"/>
              <w:jc w:val="both"/>
              <w:rPr>
                <w:rFonts w:ascii="Calibri" w:hAnsi="Calibri" w:cs="Calibri"/>
                <w:color w:val="000000"/>
                <w:sz w:val="24"/>
                <w:szCs w:val="24"/>
              </w:rPr>
            </w:pPr>
            <w:r w:rsidRPr="001A0BDF">
              <w:rPr>
                <w:rFonts w:ascii="Calibri" w:hAnsi="Calibri" w:cs="Calibri"/>
                <w:color w:val="000000"/>
                <w:sz w:val="24"/>
                <w:szCs w:val="24"/>
              </w:rPr>
              <w:t>Il ne s'applique pas non plus aux dispositifs d'actionnement et d'identification (tels les cylindres mécaniques,</w:t>
            </w:r>
            <w:r w:rsidR="00056AEE">
              <w:rPr>
                <w:rFonts w:ascii="Calibri" w:hAnsi="Calibri" w:cs="Calibri"/>
                <w:color w:val="000000"/>
                <w:sz w:val="24"/>
                <w:szCs w:val="24"/>
              </w:rPr>
              <w:t xml:space="preserve"> </w:t>
            </w:r>
            <w:r w:rsidRPr="001A0BDF">
              <w:rPr>
                <w:rFonts w:ascii="Calibri" w:hAnsi="Calibri" w:cs="Calibri"/>
                <w:color w:val="000000"/>
                <w:sz w:val="24"/>
                <w:szCs w:val="24"/>
              </w:rPr>
              <w:t>les cartes intelligentes, les codes à chiffres, les cartes magnétiques, etc.).</w:t>
            </w:r>
          </w:p>
          <w:p w:rsidR="00503A9C" w:rsidRPr="001A0BDF" w:rsidRDefault="00503A9C" w:rsidP="00056AEE">
            <w:pPr>
              <w:spacing w:after="0" w:line="240" w:lineRule="auto"/>
              <w:jc w:val="both"/>
              <w:rPr>
                <w:rFonts w:ascii="Calibri" w:hAnsi="Calibri" w:cs="Calibri"/>
                <w:color w:val="000000"/>
                <w:sz w:val="24"/>
                <w:szCs w:val="24"/>
              </w:rPr>
            </w:pPr>
            <w:r w:rsidRPr="001A0BDF">
              <w:rPr>
                <w:rFonts w:ascii="Calibri" w:hAnsi="Calibri" w:cs="Calibri"/>
                <w:color w:val="000000"/>
                <w:sz w:val="24"/>
                <w:szCs w:val="24"/>
              </w:rPr>
              <w:t>Pour le moment, la présente Norme Européenne ne s'applique pas aux électroaimants pour portes, ces dispositifs</w:t>
            </w:r>
            <w:r w:rsidR="00056AEE">
              <w:rPr>
                <w:rFonts w:ascii="Calibri" w:hAnsi="Calibri" w:cs="Calibri"/>
                <w:color w:val="000000"/>
                <w:sz w:val="24"/>
                <w:szCs w:val="24"/>
              </w:rPr>
              <w:t xml:space="preserve"> </w:t>
            </w:r>
            <w:r w:rsidRPr="001A0BDF">
              <w:rPr>
                <w:rFonts w:ascii="Calibri" w:hAnsi="Calibri" w:cs="Calibri"/>
                <w:color w:val="000000"/>
                <w:sz w:val="24"/>
                <w:szCs w:val="24"/>
              </w:rPr>
              <w:t>seront néanmoins intégrés lors de la première révision du document.</w:t>
            </w:r>
          </w:p>
        </w:tc>
      </w:tr>
      <w:tr w:rsidR="0043547B" w:rsidRPr="0043547B" w:rsidTr="00056AEE">
        <w:trPr>
          <w:trHeight w:val="357"/>
          <w:jc w:val="center"/>
        </w:trPr>
        <w:tc>
          <w:tcPr>
            <w:tcW w:w="1838" w:type="dxa"/>
            <w:tcBorders>
              <w:top w:val="nil"/>
              <w:left w:val="single" w:sz="18" w:space="0" w:color="auto"/>
              <w:bottom w:val="single" w:sz="18" w:space="0" w:color="auto"/>
              <w:right w:val="single" w:sz="4" w:space="0" w:color="auto"/>
            </w:tcBorders>
            <w:shd w:val="clear" w:color="auto" w:fill="B0CA7C"/>
            <w:vAlign w:val="center"/>
          </w:tcPr>
          <w:p w:rsidR="000A7B29" w:rsidRPr="0043547B" w:rsidRDefault="000A7B29" w:rsidP="00045F91">
            <w:pPr>
              <w:spacing w:after="0" w:line="240" w:lineRule="auto"/>
              <w:jc w:val="center"/>
              <w:rPr>
                <w:rFonts w:cstheme="minorHAnsi"/>
                <w:b/>
                <w:bCs/>
                <w:sz w:val="24"/>
                <w:szCs w:val="24"/>
              </w:rPr>
            </w:pPr>
            <w:r w:rsidRPr="0043547B">
              <w:rPr>
                <w:rFonts w:cstheme="minorHAnsi"/>
                <w:b/>
                <w:bCs/>
                <w:sz w:val="24"/>
                <w:szCs w:val="24"/>
              </w:rPr>
              <w:lastRenderedPageBreak/>
              <w:t>Code :</w:t>
            </w:r>
          </w:p>
        </w:tc>
        <w:tc>
          <w:tcPr>
            <w:tcW w:w="7938" w:type="dxa"/>
            <w:tcBorders>
              <w:top w:val="nil"/>
              <w:left w:val="single" w:sz="4" w:space="0" w:color="auto"/>
              <w:bottom w:val="single" w:sz="18" w:space="0" w:color="auto"/>
              <w:right w:val="single" w:sz="18" w:space="0" w:color="auto"/>
            </w:tcBorders>
            <w:shd w:val="clear" w:color="auto" w:fill="B0CA7C"/>
            <w:vAlign w:val="center"/>
          </w:tcPr>
          <w:p w:rsidR="000A7B29" w:rsidRPr="0043547B" w:rsidRDefault="000A7B29" w:rsidP="00045F91">
            <w:pPr>
              <w:spacing w:after="0" w:line="240" w:lineRule="auto"/>
              <w:jc w:val="center"/>
              <w:rPr>
                <w:rFonts w:cstheme="minorHAnsi"/>
                <w:b/>
                <w:bCs/>
                <w:sz w:val="24"/>
                <w:szCs w:val="24"/>
              </w:rPr>
            </w:pPr>
            <w:r w:rsidRPr="0043547B">
              <w:rPr>
                <w:rFonts w:cstheme="minorHAnsi"/>
                <w:b/>
                <w:bCs/>
                <w:sz w:val="24"/>
                <w:szCs w:val="24"/>
              </w:rPr>
              <w:t>NM ISO 8765</w:t>
            </w:r>
          </w:p>
        </w:tc>
      </w:tr>
      <w:tr w:rsidR="0043547B" w:rsidRPr="0043547B" w:rsidTr="00056AEE">
        <w:trPr>
          <w:trHeight w:val="387"/>
          <w:jc w:val="center"/>
        </w:trPr>
        <w:tc>
          <w:tcPr>
            <w:tcW w:w="1838" w:type="dxa"/>
            <w:tcBorders>
              <w:top w:val="single" w:sz="18" w:space="0" w:color="auto"/>
              <w:left w:val="single" w:sz="18" w:space="0" w:color="auto"/>
              <w:bottom w:val="single" w:sz="6" w:space="0" w:color="auto"/>
              <w:right w:val="single" w:sz="4" w:space="0" w:color="auto"/>
            </w:tcBorders>
            <w:shd w:val="clear" w:color="auto" w:fill="FFFF99"/>
            <w:vAlign w:val="center"/>
          </w:tcPr>
          <w:p w:rsidR="000A7B29" w:rsidRPr="0043547B" w:rsidRDefault="000A7B29" w:rsidP="00045F91">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tcPr>
          <w:p w:rsidR="000A7B29" w:rsidRPr="0043547B" w:rsidRDefault="000A7B29" w:rsidP="00045F91">
            <w:pPr>
              <w:spacing w:after="0" w:line="240" w:lineRule="auto"/>
              <w:jc w:val="center"/>
              <w:rPr>
                <w:rFonts w:cstheme="minorHAnsi"/>
                <w:b/>
                <w:bCs/>
                <w:sz w:val="24"/>
                <w:szCs w:val="24"/>
              </w:rPr>
            </w:pPr>
            <w:r w:rsidRPr="0043547B">
              <w:rPr>
                <w:rFonts w:cstheme="minorHAnsi"/>
                <w:b/>
                <w:bCs/>
                <w:sz w:val="24"/>
                <w:szCs w:val="24"/>
              </w:rPr>
              <w:t>ISO 8765</w:t>
            </w:r>
          </w:p>
        </w:tc>
      </w:tr>
      <w:tr w:rsidR="0043547B" w:rsidRPr="0043547B" w:rsidTr="00056AEE">
        <w:trPr>
          <w:trHeight w:val="395"/>
          <w:jc w:val="center"/>
        </w:trPr>
        <w:tc>
          <w:tcPr>
            <w:tcW w:w="1838" w:type="dxa"/>
            <w:tcBorders>
              <w:top w:val="single" w:sz="6" w:space="0" w:color="auto"/>
              <w:left w:val="single" w:sz="18" w:space="0" w:color="auto"/>
              <w:bottom w:val="single" w:sz="6" w:space="0" w:color="auto"/>
              <w:right w:val="single" w:sz="4" w:space="0" w:color="auto"/>
            </w:tcBorders>
            <w:shd w:val="clear" w:color="auto" w:fill="95B3D7" w:themeFill="accent1" w:themeFillTint="99"/>
            <w:vAlign w:val="center"/>
          </w:tcPr>
          <w:p w:rsidR="000A7B29" w:rsidRPr="0043547B" w:rsidRDefault="000A7B29" w:rsidP="00045F91">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auto"/>
            <w:vAlign w:val="bottom"/>
          </w:tcPr>
          <w:p w:rsidR="000A7B29" w:rsidRPr="0043547B" w:rsidRDefault="000A7B29" w:rsidP="00045F91">
            <w:pPr>
              <w:spacing w:after="0" w:line="240" w:lineRule="auto"/>
              <w:rPr>
                <w:rFonts w:cstheme="minorHAnsi"/>
                <w:sz w:val="24"/>
                <w:szCs w:val="24"/>
              </w:rPr>
            </w:pPr>
            <w:r w:rsidRPr="0043547B">
              <w:rPr>
                <w:rFonts w:cstheme="minorHAnsi"/>
                <w:sz w:val="24"/>
                <w:szCs w:val="24"/>
              </w:rPr>
              <w:t xml:space="preserve">Vis à tête hexagonale à filetage métrique à pas fin partiellement filetées - Grades A et B ; (IC 02.2.411) </w:t>
            </w:r>
          </w:p>
        </w:tc>
      </w:tr>
      <w:tr w:rsidR="0043547B" w:rsidRPr="0043547B" w:rsidTr="00056AEE">
        <w:trPr>
          <w:trHeight w:val="980"/>
          <w:jc w:val="center"/>
        </w:trPr>
        <w:tc>
          <w:tcPr>
            <w:tcW w:w="1838" w:type="dxa"/>
            <w:tcBorders>
              <w:top w:val="single" w:sz="6" w:space="0" w:color="auto"/>
              <w:left w:val="single" w:sz="18" w:space="0" w:color="auto"/>
              <w:bottom w:val="single" w:sz="18" w:space="0" w:color="auto"/>
              <w:right w:val="single" w:sz="4" w:space="0" w:color="auto"/>
            </w:tcBorders>
            <w:shd w:val="clear" w:color="000000" w:fill="D9D9D9"/>
            <w:vAlign w:val="center"/>
          </w:tcPr>
          <w:p w:rsidR="000A7B29" w:rsidRPr="0043547B" w:rsidRDefault="000A7B29" w:rsidP="00045F91">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bottom"/>
          </w:tcPr>
          <w:p w:rsidR="00B111BE" w:rsidRDefault="000A7B29" w:rsidP="006711D3">
            <w:pPr>
              <w:spacing w:after="0" w:line="240" w:lineRule="auto"/>
              <w:jc w:val="both"/>
              <w:rPr>
                <w:rFonts w:cstheme="minorHAnsi"/>
                <w:sz w:val="24"/>
                <w:szCs w:val="24"/>
              </w:rPr>
            </w:pPr>
            <w:r w:rsidRPr="0043547B">
              <w:rPr>
                <w:rFonts w:cstheme="minorHAnsi"/>
                <w:sz w:val="24"/>
                <w:szCs w:val="24"/>
              </w:rPr>
              <w:t>La présente Norme internationale spécifie les caractéristiques des vis à tête hexagonale à filetage métrique à pas fin partiellement filetées, de diamètre nominal de filetage, d, de 8 mm à 64 mm, de grade A pour les diamètres d de 8 mm à 24 mm et les longueurs nominales, l, plus petites ou égales à 10d ou à 150 mm, la plus petite des deux valeurs étant retenue, et de grade B pour les diamètres d supérieurs à 24 mm ou les</w:t>
            </w:r>
            <w:r w:rsidR="006711D3" w:rsidRPr="0043547B">
              <w:rPr>
                <w:rFonts w:cstheme="minorHAnsi"/>
                <w:sz w:val="24"/>
                <w:szCs w:val="24"/>
              </w:rPr>
              <w:t xml:space="preserve"> </w:t>
            </w:r>
            <w:r w:rsidRPr="0043547B">
              <w:rPr>
                <w:rFonts w:cstheme="minorHAnsi"/>
                <w:sz w:val="24"/>
                <w:szCs w:val="24"/>
              </w:rPr>
              <w:t>longueurs nominales, l, supérieures à 10d ou à 150 mm, la plus petite des deux valeurs étant retenue.</w:t>
            </w:r>
          </w:p>
          <w:p w:rsidR="006711D3" w:rsidRPr="0043547B" w:rsidRDefault="006711D3" w:rsidP="006711D3">
            <w:pPr>
              <w:spacing w:after="0" w:line="240" w:lineRule="auto"/>
              <w:jc w:val="both"/>
              <w:rPr>
                <w:rFonts w:cstheme="minorHAnsi"/>
                <w:sz w:val="24"/>
                <w:szCs w:val="24"/>
              </w:rPr>
            </w:pPr>
            <w:r w:rsidRPr="0043547B">
              <w:rPr>
                <w:rFonts w:cstheme="minorHAnsi"/>
                <w:sz w:val="24"/>
                <w:szCs w:val="24"/>
              </w:rPr>
              <w:t>Si, dans des cas particuliers, des spécifications autres que celles figurant dans la présente Norme internationale sont requises, elles peuvent être prises dans les Normes internationales existantes, par exemple l'ISO 724, l'ISO 888, l'ISO 898-1, l'ISO 965-1, l'ISO 3506-1, l'ISO 4753 et l'ISO 4759-1.</w:t>
            </w:r>
          </w:p>
          <w:p w:rsidR="000A7B29" w:rsidRPr="0043547B" w:rsidRDefault="006711D3" w:rsidP="006711D3">
            <w:pPr>
              <w:spacing w:after="0" w:line="240" w:lineRule="auto"/>
              <w:jc w:val="both"/>
              <w:rPr>
                <w:rFonts w:cstheme="minorHAnsi"/>
                <w:sz w:val="24"/>
                <w:szCs w:val="24"/>
              </w:rPr>
            </w:pPr>
            <w:r w:rsidRPr="0043547B">
              <w:rPr>
                <w:rFonts w:cstheme="minorHAnsi"/>
                <w:sz w:val="24"/>
                <w:szCs w:val="24"/>
              </w:rPr>
              <w:t>Les vis à pas gros qui font l'objet de l'ISO 4014 constituent des produits à choisir de façon préférentielle.</w:t>
            </w:r>
          </w:p>
        </w:tc>
      </w:tr>
      <w:tr w:rsidR="0043547B" w:rsidRPr="0043547B" w:rsidTr="00056AEE">
        <w:trPr>
          <w:trHeight w:val="436"/>
          <w:jc w:val="center"/>
        </w:trPr>
        <w:tc>
          <w:tcPr>
            <w:tcW w:w="1838" w:type="dxa"/>
            <w:tcBorders>
              <w:top w:val="nil"/>
              <w:left w:val="single" w:sz="18" w:space="0" w:color="auto"/>
              <w:bottom w:val="single" w:sz="18" w:space="0" w:color="auto"/>
              <w:right w:val="single" w:sz="4" w:space="0" w:color="auto"/>
            </w:tcBorders>
            <w:shd w:val="clear" w:color="auto" w:fill="B0CA7C"/>
            <w:vAlign w:val="center"/>
          </w:tcPr>
          <w:p w:rsidR="000A7B29" w:rsidRPr="0043547B" w:rsidRDefault="000A7B29" w:rsidP="00045F91">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nil"/>
              <w:left w:val="single" w:sz="4" w:space="0" w:color="auto"/>
              <w:bottom w:val="single" w:sz="18" w:space="0" w:color="auto"/>
              <w:right w:val="single" w:sz="18" w:space="0" w:color="auto"/>
            </w:tcBorders>
            <w:shd w:val="clear" w:color="auto" w:fill="B0CA7C"/>
            <w:vAlign w:val="center"/>
          </w:tcPr>
          <w:p w:rsidR="000A7B29" w:rsidRPr="0043547B" w:rsidRDefault="000A7B29" w:rsidP="00045F91">
            <w:pPr>
              <w:spacing w:after="0" w:line="240" w:lineRule="auto"/>
              <w:jc w:val="center"/>
              <w:rPr>
                <w:rFonts w:cstheme="minorHAnsi"/>
                <w:b/>
                <w:bCs/>
                <w:sz w:val="24"/>
                <w:szCs w:val="24"/>
              </w:rPr>
            </w:pPr>
            <w:r w:rsidRPr="0043547B">
              <w:rPr>
                <w:rFonts w:cstheme="minorHAnsi"/>
                <w:b/>
                <w:bCs/>
                <w:sz w:val="24"/>
                <w:szCs w:val="24"/>
              </w:rPr>
              <w:t>NM ISO 16583</w:t>
            </w:r>
          </w:p>
        </w:tc>
      </w:tr>
      <w:tr w:rsidR="0043547B" w:rsidRPr="0043547B" w:rsidTr="00056AEE">
        <w:trPr>
          <w:trHeight w:val="444"/>
          <w:jc w:val="center"/>
        </w:trPr>
        <w:tc>
          <w:tcPr>
            <w:tcW w:w="1838" w:type="dxa"/>
            <w:tcBorders>
              <w:top w:val="single" w:sz="18" w:space="0" w:color="auto"/>
              <w:left w:val="single" w:sz="18" w:space="0" w:color="auto"/>
              <w:bottom w:val="single" w:sz="6" w:space="0" w:color="auto"/>
              <w:right w:val="single" w:sz="4" w:space="0" w:color="auto"/>
            </w:tcBorders>
            <w:shd w:val="clear" w:color="auto" w:fill="FFFF99"/>
            <w:vAlign w:val="center"/>
          </w:tcPr>
          <w:p w:rsidR="000A7B29" w:rsidRPr="0043547B" w:rsidRDefault="000A7B29" w:rsidP="00045F91">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6" w:space="0" w:color="auto"/>
              <w:right w:val="single" w:sz="18" w:space="0" w:color="auto"/>
            </w:tcBorders>
            <w:shd w:val="clear" w:color="auto" w:fill="FFFF99"/>
            <w:vAlign w:val="center"/>
          </w:tcPr>
          <w:p w:rsidR="000A7B29" w:rsidRPr="0043547B" w:rsidRDefault="000A7B29" w:rsidP="00045F91">
            <w:pPr>
              <w:spacing w:after="0" w:line="240" w:lineRule="auto"/>
              <w:jc w:val="center"/>
              <w:rPr>
                <w:rFonts w:cstheme="minorHAnsi"/>
                <w:b/>
                <w:bCs/>
                <w:sz w:val="24"/>
                <w:szCs w:val="24"/>
              </w:rPr>
            </w:pPr>
            <w:r w:rsidRPr="0043547B">
              <w:rPr>
                <w:rFonts w:cstheme="minorHAnsi"/>
                <w:b/>
                <w:bCs/>
                <w:sz w:val="24"/>
                <w:szCs w:val="24"/>
              </w:rPr>
              <w:t>ISO 16583</w:t>
            </w:r>
          </w:p>
        </w:tc>
      </w:tr>
      <w:tr w:rsidR="0043547B" w:rsidRPr="0043547B" w:rsidTr="00056AEE">
        <w:trPr>
          <w:trHeight w:val="594"/>
          <w:jc w:val="center"/>
        </w:trPr>
        <w:tc>
          <w:tcPr>
            <w:tcW w:w="1838" w:type="dxa"/>
            <w:tcBorders>
              <w:top w:val="single" w:sz="6" w:space="0" w:color="auto"/>
              <w:left w:val="single" w:sz="18" w:space="0" w:color="auto"/>
              <w:bottom w:val="single" w:sz="6" w:space="0" w:color="auto"/>
              <w:right w:val="single" w:sz="4" w:space="0" w:color="auto"/>
            </w:tcBorders>
            <w:shd w:val="clear" w:color="auto" w:fill="95B3D7" w:themeFill="accent1" w:themeFillTint="99"/>
            <w:vAlign w:val="center"/>
          </w:tcPr>
          <w:p w:rsidR="000A7B29" w:rsidRPr="0043547B" w:rsidRDefault="000A7B29" w:rsidP="00045F91">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6" w:space="0" w:color="auto"/>
              <w:left w:val="single" w:sz="4" w:space="0" w:color="auto"/>
              <w:bottom w:val="single" w:sz="6" w:space="0" w:color="auto"/>
              <w:right w:val="single" w:sz="18" w:space="0" w:color="auto"/>
            </w:tcBorders>
            <w:shd w:val="clear" w:color="auto" w:fill="auto"/>
            <w:vAlign w:val="bottom"/>
          </w:tcPr>
          <w:p w:rsidR="000A7B29" w:rsidRPr="0043547B" w:rsidRDefault="000A7B29" w:rsidP="00045F91">
            <w:pPr>
              <w:spacing w:after="0" w:line="240" w:lineRule="auto"/>
              <w:rPr>
                <w:rFonts w:cstheme="minorHAnsi"/>
                <w:sz w:val="24"/>
                <w:szCs w:val="24"/>
              </w:rPr>
            </w:pPr>
            <w:r w:rsidRPr="0043547B">
              <w:rPr>
                <w:rFonts w:cstheme="minorHAnsi"/>
                <w:sz w:val="24"/>
                <w:szCs w:val="24"/>
              </w:rPr>
              <w:t xml:space="preserve">Rivets aveugles à rupture de tige à corps ouvert, à tête fraisée - Cu/St ou Cu/Br ou Cu/SSt ; (IC 02.2.434) </w:t>
            </w:r>
          </w:p>
        </w:tc>
      </w:tr>
      <w:tr w:rsidR="0043547B" w:rsidRPr="0043547B" w:rsidTr="00056AEE">
        <w:trPr>
          <w:trHeight w:val="1200"/>
          <w:jc w:val="center"/>
        </w:trPr>
        <w:tc>
          <w:tcPr>
            <w:tcW w:w="1838" w:type="dxa"/>
            <w:tcBorders>
              <w:top w:val="single" w:sz="6" w:space="0" w:color="auto"/>
              <w:left w:val="single" w:sz="18" w:space="0" w:color="auto"/>
              <w:bottom w:val="single" w:sz="18" w:space="0" w:color="auto"/>
              <w:right w:val="single" w:sz="4" w:space="0" w:color="auto"/>
            </w:tcBorders>
            <w:shd w:val="clear" w:color="000000" w:fill="D9D9D9"/>
            <w:vAlign w:val="center"/>
          </w:tcPr>
          <w:p w:rsidR="000A7B29" w:rsidRPr="0043547B" w:rsidRDefault="000A7B29" w:rsidP="00045F91">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6" w:space="0" w:color="auto"/>
              <w:left w:val="single" w:sz="4" w:space="0" w:color="auto"/>
              <w:bottom w:val="single" w:sz="18" w:space="0" w:color="auto"/>
              <w:right w:val="single" w:sz="18" w:space="0" w:color="auto"/>
            </w:tcBorders>
            <w:shd w:val="clear" w:color="auto" w:fill="auto"/>
            <w:vAlign w:val="bottom"/>
          </w:tcPr>
          <w:p w:rsidR="000A7B29" w:rsidRPr="0043547B" w:rsidRDefault="000A7B29" w:rsidP="006711D3">
            <w:pPr>
              <w:spacing w:after="0" w:line="240" w:lineRule="auto"/>
              <w:jc w:val="both"/>
              <w:rPr>
                <w:rFonts w:cstheme="minorHAnsi"/>
                <w:sz w:val="24"/>
                <w:szCs w:val="24"/>
              </w:rPr>
            </w:pPr>
            <w:r w:rsidRPr="0043547B">
              <w:rPr>
                <w:rFonts w:cstheme="minorHAnsi"/>
                <w:sz w:val="24"/>
                <w:szCs w:val="24"/>
              </w:rPr>
              <w:t>La présente Norme internationale spécifie les caractéristiques dimensionnelles et mécaniques ainsi que les données d’application pour les rivets aveugles à rupture de tige à corps ouvert, à tête fraisée, avec un corps en cuivre (Cu) et une tige soit en acier (St), soit en bronze (Br) ou en acier inoxydable (SSt), de diamètre nominal, d, compris entre 3 mm et 4,8 mm inclus.</w:t>
            </w:r>
          </w:p>
        </w:tc>
      </w:tr>
      <w:tr w:rsidR="0043547B" w:rsidRPr="0043547B" w:rsidTr="00056AEE">
        <w:trPr>
          <w:trHeight w:val="344"/>
          <w:jc w:val="center"/>
        </w:trPr>
        <w:tc>
          <w:tcPr>
            <w:tcW w:w="1838" w:type="dxa"/>
            <w:tcBorders>
              <w:top w:val="nil"/>
              <w:left w:val="single" w:sz="18" w:space="0" w:color="auto"/>
              <w:bottom w:val="single" w:sz="18" w:space="0" w:color="auto"/>
              <w:right w:val="single" w:sz="4" w:space="0" w:color="auto"/>
            </w:tcBorders>
            <w:shd w:val="clear" w:color="auto" w:fill="B0CA7C"/>
            <w:vAlign w:val="center"/>
          </w:tcPr>
          <w:p w:rsidR="000A7B29" w:rsidRPr="0043547B" w:rsidRDefault="000A7B29" w:rsidP="00045F91">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nil"/>
              <w:left w:val="single" w:sz="4" w:space="0" w:color="auto"/>
              <w:bottom w:val="single" w:sz="18" w:space="0" w:color="auto"/>
              <w:right w:val="single" w:sz="18" w:space="0" w:color="auto"/>
            </w:tcBorders>
            <w:shd w:val="clear" w:color="auto" w:fill="B0CA7C"/>
            <w:vAlign w:val="center"/>
          </w:tcPr>
          <w:p w:rsidR="000A7B29" w:rsidRPr="0043547B" w:rsidRDefault="000A7B29" w:rsidP="00045F91">
            <w:pPr>
              <w:spacing w:after="0" w:line="240" w:lineRule="auto"/>
              <w:jc w:val="center"/>
              <w:rPr>
                <w:rFonts w:cstheme="minorHAnsi"/>
                <w:b/>
                <w:bCs/>
                <w:sz w:val="24"/>
                <w:szCs w:val="24"/>
              </w:rPr>
            </w:pPr>
            <w:r w:rsidRPr="0043547B">
              <w:rPr>
                <w:rFonts w:cstheme="minorHAnsi"/>
                <w:b/>
                <w:bCs/>
                <w:sz w:val="24"/>
                <w:szCs w:val="24"/>
              </w:rPr>
              <w:t>NM ISO 16584</w:t>
            </w:r>
          </w:p>
        </w:tc>
      </w:tr>
      <w:tr w:rsidR="0043547B" w:rsidRPr="0043547B" w:rsidTr="00056AEE">
        <w:trPr>
          <w:trHeight w:val="352"/>
          <w:jc w:val="center"/>
        </w:trPr>
        <w:tc>
          <w:tcPr>
            <w:tcW w:w="1838" w:type="dxa"/>
            <w:tcBorders>
              <w:top w:val="single" w:sz="18" w:space="0" w:color="auto"/>
              <w:left w:val="single" w:sz="18" w:space="0" w:color="auto"/>
              <w:bottom w:val="single" w:sz="6" w:space="0" w:color="auto"/>
              <w:right w:val="single" w:sz="4" w:space="0" w:color="auto"/>
            </w:tcBorders>
            <w:shd w:val="clear" w:color="auto" w:fill="FFFF99"/>
            <w:vAlign w:val="center"/>
          </w:tcPr>
          <w:p w:rsidR="000A7B29" w:rsidRPr="0043547B" w:rsidRDefault="000A7B29" w:rsidP="00045F91">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6" w:space="0" w:color="auto"/>
              <w:right w:val="single" w:sz="18" w:space="0" w:color="auto"/>
            </w:tcBorders>
            <w:shd w:val="clear" w:color="auto" w:fill="FFFF99"/>
            <w:vAlign w:val="center"/>
          </w:tcPr>
          <w:p w:rsidR="000A7B29" w:rsidRPr="0043547B" w:rsidRDefault="000A7B29" w:rsidP="00045F91">
            <w:pPr>
              <w:spacing w:after="0" w:line="240" w:lineRule="auto"/>
              <w:jc w:val="center"/>
              <w:rPr>
                <w:rFonts w:cstheme="minorHAnsi"/>
                <w:b/>
                <w:bCs/>
                <w:sz w:val="24"/>
                <w:szCs w:val="24"/>
              </w:rPr>
            </w:pPr>
            <w:r w:rsidRPr="0043547B">
              <w:rPr>
                <w:rFonts w:cstheme="minorHAnsi"/>
                <w:b/>
                <w:bCs/>
                <w:sz w:val="24"/>
                <w:szCs w:val="24"/>
              </w:rPr>
              <w:t>ISO 16584</w:t>
            </w:r>
          </w:p>
        </w:tc>
      </w:tr>
      <w:tr w:rsidR="0043547B" w:rsidRPr="0043547B" w:rsidTr="00056AEE">
        <w:trPr>
          <w:trHeight w:val="501"/>
          <w:jc w:val="center"/>
        </w:trPr>
        <w:tc>
          <w:tcPr>
            <w:tcW w:w="1838" w:type="dxa"/>
            <w:tcBorders>
              <w:top w:val="single" w:sz="6" w:space="0" w:color="auto"/>
              <w:left w:val="single" w:sz="18" w:space="0" w:color="auto"/>
              <w:bottom w:val="single" w:sz="6" w:space="0" w:color="auto"/>
              <w:right w:val="single" w:sz="4" w:space="0" w:color="auto"/>
            </w:tcBorders>
            <w:shd w:val="clear" w:color="auto" w:fill="95B3D7" w:themeFill="accent1" w:themeFillTint="99"/>
            <w:vAlign w:val="center"/>
          </w:tcPr>
          <w:p w:rsidR="000A7B29" w:rsidRPr="0043547B" w:rsidRDefault="000A7B29" w:rsidP="00045F91">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6" w:space="0" w:color="auto"/>
              <w:left w:val="single" w:sz="4" w:space="0" w:color="auto"/>
              <w:bottom w:val="single" w:sz="6" w:space="0" w:color="auto"/>
              <w:right w:val="single" w:sz="18" w:space="0" w:color="auto"/>
            </w:tcBorders>
            <w:shd w:val="clear" w:color="auto" w:fill="auto"/>
            <w:vAlign w:val="bottom"/>
          </w:tcPr>
          <w:p w:rsidR="000A7B29" w:rsidRPr="0043547B" w:rsidRDefault="000A7B29" w:rsidP="00045F91">
            <w:pPr>
              <w:spacing w:after="0" w:line="240" w:lineRule="auto"/>
              <w:rPr>
                <w:rFonts w:cstheme="minorHAnsi"/>
                <w:sz w:val="24"/>
                <w:szCs w:val="24"/>
              </w:rPr>
            </w:pPr>
            <w:r w:rsidRPr="0043547B">
              <w:rPr>
                <w:rFonts w:cstheme="minorHAnsi"/>
                <w:sz w:val="24"/>
                <w:szCs w:val="24"/>
              </w:rPr>
              <w:t xml:space="preserve">Rivets aveugles à rupture de tige à corps ouvert, à tête bombée - NiCu/St ou NiCu/SSt ; (IC 02.2.435) </w:t>
            </w:r>
          </w:p>
        </w:tc>
      </w:tr>
      <w:tr w:rsidR="0043547B" w:rsidRPr="0043547B" w:rsidTr="00056AEE">
        <w:trPr>
          <w:trHeight w:val="1234"/>
          <w:jc w:val="center"/>
        </w:trPr>
        <w:tc>
          <w:tcPr>
            <w:tcW w:w="1838" w:type="dxa"/>
            <w:tcBorders>
              <w:top w:val="single" w:sz="6" w:space="0" w:color="auto"/>
              <w:left w:val="single" w:sz="18" w:space="0" w:color="auto"/>
              <w:bottom w:val="single" w:sz="18" w:space="0" w:color="auto"/>
              <w:right w:val="single" w:sz="4" w:space="0" w:color="auto"/>
            </w:tcBorders>
            <w:shd w:val="clear" w:color="000000" w:fill="D9D9D9"/>
            <w:vAlign w:val="center"/>
          </w:tcPr>
          <w:p w:rsidR="000A7B29" w:rsidRPr="0043547B" w:rsidRDefault="000A7B29" w:rsidP="00045F91">
            <w:pPr>
              <w:spacing w:after="0" w:line="240" w:lineRule="auto"/>
              <w:jc w:val="center"/>
              <w:rPr>
                <w:rFonts w:cstheme="minorHAnsi"/>
                <w:b/>
                <w:bCs/>
                <w:sz w:val="24"/>
                <w:szCs w:val="24"/>
              </w:rPr>
            </w:pPr>
            <w:r w:rsidRPr="0043547B">
              <w:rPr>
                <w:rFonts w:cstheme="minorHAnsi"/>
                <w:b/>
                <w:bCs/>
                <w:sz w:val="24"/>
                <w:szCs w:val="24"/>
              </w:rPr>
              <w:lastRenderedPageBreak/>
              <w:t>Domaine d’application :</w:t>
            </w:r>
          </w:p>
        </w:tc>
        <w:tc>
          <w:tcPr>
            <w:tcW w:w="7938" w:type="dxa"/>
            <w:tcBorders>
              <w:top w:val="single" w:sz="6" w:space="0" w:color="auto"/>
              <w:left w:val="single" w:sz="4" w:space="0" w:color="auto"/>
              <w:bottom w:val="single" w:sz="18" w:space="0" w:color="auto"/>
              <w:right w:val="single" w:sz="18" w:space="0" w:color="auto"/>
            </w:tcBorders>
            <w:shd w:val="clear" w:color="auto" w:fill="auto"/>
            <w:vAlign w:val="bottom"/>
          </w:tcPr>
          <w:p w:rsidR="000A7B29" w:rsidRPr="0043547B" w:rsidRDefault="000A7B29" w:rsidP="006711D3">
            <w:pPr>
              <w:spacing w:after="0" w:line="240" w:lineRule="auto"/>
              <w:jc w:val="both"/>
              <w:rPr>
                <w:rFonts w:cstheme="minorHAnsi"/>
                <w:sz w:val="24"/>
                <w:szCs w:val="24"/>
              </w:rPr>
            </w:pPr>
            <w:r w:rsidRPr="0043547B">
              <w:rPr>
                <w:rFonts w:cstheme="minorHAnsi"/>
                <w:sz w:val="24"/>
                <w:szCs w:val="24"/>
              </w:rPr>
              <w:t>La présente Norme internationale spécifie les caractéristiques dimensionnelles et mécaniques ainsi que les données d’application pour les rivets aveugles à rupture de tige à corps ouvert, à tête bombée, avec un corps en alliage de nickel-cuivre (NiCu) et une tige soit en acier (St), soit en acier inoxydable (SSt), de diamètre nominal, d, compris entre 3,2 mm et 6,4 mm inclus.</w:t>
            </w:r>
          </w:p>
        </w:tc>
      </w:tr>
      <w:tr w:rsidR="0043547B" w:rsidRPr="0043547B" w:rsidTr="00056AEE">
        <w:trPr>
          <w:trHeight w:val="383"/>
          <w:jc w:val="center"/>
        </w:trPr>
        <w:tc>
          <w:tcPr>
            <w:tcW w:w="1838" w:type="dxa"/>
            <w:tcBorders>
              <w:top w:val="nil"/>
              <w:left w:val="single" w:sz="18" w:space="0" w:color="auto"/>
              <w:bottom w:val="single" w:sz="18" w:space="0" w:color="auto"/>
              <w:right w:val="single" w:sz="4" w:space="0" w:color="auto"/>
            </w:tcBorders>
            <w:shd w:val="clear" w:color="auto" w:fill="B0CA7C"/>
            <w:vAlign w:val="center"/>
          </w:tcPr>
          <w:p w:rsidR="000A7B29" w:rsidRPr="0043547B" w:rsidRDefault="000A7B29" w:rsidP="00045F91">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nil"/>
              <w:left w:val="single" w:sz="4" w:space="0" w:color="auto"/>
              <w:bottom w:val="single" w:sz="18" w:space="0" w:color="auto"/>
              <w:right w:val="single" w:sz="18" w:space="0" w:color="auto"/>
            </w:tcBorders>
            <w:shd w:val="clear" w:color="auto" w:fill="B0CA7C"/>
            <w:vAlign w:val="center"/>
          </w:tcPr>
          <w:p w:rsidR="000A7B29" w:rsidRPr="0043547B" w:rsidRDefault="000A7B29" w:rsidP="00045F91">
            <w:pPr>
              <w:spacing w:after="0" w:line="240" w:lineRule="auto"/>
              <w:jc w:val="center"/>
              <w:rPr>
                <w:rFonts w:cstheme="minorHAnsi"/>
                <w:b/>
                <w:bCs/>
                <w:sz w:val="24"/>
                <w:szCs w:val="24"/>
              </w:rPr>
            </w:pPr>
            <w:r w:rsidRPr="0043547B">
              <w:rPr>
                <w:rFonts w:cstheme="minorHAnsi"/>
                <w:b/>
                <w:bCs/>
                <w:sz w:val="24"/>
                <w:szCs w:val="24"/>
              </w:rPr>
              <w:t>NM ISO 16585</w:t>
            </w:r>
          </w:p>
        </w:tc>
      </w:tr>
      <w:tr w:rsidR="0043547B" w:rsidRPr="0043547B" w:rsidTr="00056AEE">
        <w:trPr>
          <w:trHeight w:val="383"/>
          <w:jc w:val="center"/>
        </w:trPr>
        <w:tc>
          <w:tcPr>
            <w:tcW w:w="1838" w:type="dxa"/>
            <w:tcBorders>
              <w:top w:val="single" w:sz="18" w:space="0" w:color="auto"/>
              <w:left w:val="single" w:sz="18" w:space="0" w:color="auto"/>
              <w:bottom w:val="single" w:sz="6" w:space="0" w:color="auto"/>
              <w:right w:val="single" w:sz="4" w:space="0" w:color="auto"/>
            </w:tcBorders>
            <w:shd w:val="clear" w:color="auto" w:fill="FFFF99"/>
            <w:vAlign w:val="center"/>
          </w:tcPr>
          <w:p w:rsidR="000A7B29" w:rsidRPr="0043547B" w:rsidRDefault="000A7B29" w:rsidP="00045F91">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6" w:space="0" w:color="auto"/>
              <w:right w:val="single" w:sz="18" w:space="0" w:color="auto"/>
            </w:tcBorders>
            <w:shd w:val="clear" w:color="auto" w:fill="FFFF99"/>
            <w:vAlign w:val="center"/>
          </w:tcPr>
          <w:p w:rsidR="000A7B29" w:rsidRPr="0043547B" w:rsidRDefault="000A7B29" w:rsidP="00045F91">
            <w:pPr>
              <w:spacing w:after="0" w:line="240" w:lineRule="auto"/>
              <w:jc w:val="center"/>
              <w:rPr>
                <w:rFonts w:cstheme="minorHAnsi"/>
                <w:b/>
                <w:bCs/>
                <w:sz w:val="24"/>
                <w:szCs w:val="24"/>
              </w:rPr>
            </w:pPr>
            <w:r w:rsidRPr="0043547B">
              <w:rPr>
                <w:rFonts w:cstheme="minorHAnsi"/>
                <w:b/>
                <w:bCs/>
                <w:sz w:val="24"/>
                <w:szCs w:val="24"/>
              </w:rPr>
              <w:t>ISO 16585</w:t>
            </w:r>
          </w:p>
        </w:tc>
      </w:tr>
      <w:tr w:rsidR="0043547B" w:rsidRPr="0043547B" w:rsidTr="00056AEE">
        <w:trPr>
          <w:trHeight w:val="291"/>
          <w:jc w:val="center"/>
        </w:trPr>
        <w:tc>
          <w:tcPr>
            <w:tcW w:w="1838" w:type="dxa"/>
            <w:tcBorders>
              <w:top w:val="single" w:sz="6" w:space="0" w:color="auto"/>
              <w:left w:val="single" w:sz="18" w:space="0" w:color="auto"/>
              <w:bottom w:val="single" w:sz="6" w:space="0" w:color="auto"/>
              <w:right w:val="single" w:sz="4" w:space="0" w:color="auto"/>
            </w:tcBorders>
            <w:shd w:val="clear" w:color="auto" w:fill="95B3D7" w:themeFill="accent1" w:themeFillTint="99"/>
            <w:vAlign w:val="center"/>
          </w:tcPr>
          <w:p w:rsidR="000A7B29" w:rsidRPr="0043547B" w:rsidRDefault="000A7B29" w:rsidP="00045F91">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6" w:space="0" w:color="auto"/>
              <w:left w:val="single" w:sz="4" w:space="0" w:color="auto"/>
              <w:bottom w:val="single" w:sz="6" w:space="0" w:color="auto"/>
              <w:right w:val="single" w:sz="18" w:space="0" w:color="auto"/>
            </w:tcBorders>
            <w:shd w:val="clear" w:color="auto" w:fill="auto"/>
            <w:vAlign w:val="bottom"/>
          </w:tcPr>
          <w:p w:rsidR="000A7B29" w:rsidRPr="0043547B" w:rsidRDefault="000A7B29" w:rsidP="00045F91">
            <w:pPr>
              <w:spacing w:after="0" w:line="240" w:lineRule="auto"/>
              <w:rPr>
                <w:rFonts w:cstheme="minorHAnsi"/>
                <w:sz w:val="24"/>
                <w:szCs w:val="24"/>
              </w:rPr>
            </w:pPr>
            <w:r w:rsidRPr="0043547B">
              <w:rPr>
                <w:rFonts w:cstheme="minorHAnsi"/>
                <w:sz w:val="24"/>
                <w:szCs w:val="24"/>
              </w:rPr>
              <w:t xml:space="preserve">Rivets aveugles à rupture de tige à corps fermé, à tête bombée - A2/SSt. (IC 02.2.436) </w:t>
            </w:r>
          </w:p>
        </w:tc>
      </w:tr>
      <w:tr w:rsidR="0043547B" w:rsidRPr="0043547B" w:rsidTr="00056AEE">
        <w:trPr>
          <w:trHeight w:val="1432"/>
          <w:jc w:val="center"/>
        </w:trPr>
        <w:tc>
          <w:tcPr>
            <w:tcW w:w="1838" w:type="dxa"/>
            <w:tcBorders>
              <w:top w:val="single" w:sz="6" w:space="0" w:color="auto"/>
              <w:left w:val="single" w:sz="18" w:space="0" w:color="auto"/>
              <w:bottom w:val="single" w:sz="18" w:space="0" w:color="auto"/>
              <w:right w:val="single" w:sz="4" w:space="0" w:color="auto"/>
            </w:tcBorders>
            <w:shd w:val="clear" w:color="000000" w:fill="D9D9D9"/>
            <w:vAlign w:val="center"/>
          </w:tcPr>
          <w:p w:rsidR="000A7B29" w:rsidRPr="0043547B" w:rsidRDefault="000A7B29" w:rsidP="00045F91">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6" w:space="0" w:color="auto"/>
              <w:left w:val="single" w:sz="4" w:space="0" w:color="auto"/>
              <w:bottom w:val="single" w:sz="18" w:space="0" w:color="auto"/>
              <w:right w:val="single" w:sz="18" w:space="0" w:color="auto"/>
            </w:tcBorders>
            <w:shd w:val="clear" w:color="auto" w:fill="auto"/>
            <w:vAlign w:val="bottom"/>
          </w:tcPr>
          <w:p w:rsidR="000A7B29" w:rsidRPr="0043547B" w:rsidRDefault="000A7B29" w:rsidP="006711D3">
            <w:pPr>
              <w:spacing w:after="0" w:line="240" w:lineRule="auto"/>
              <w:jc w:val="both"/>
              <w:rPr>
                <w:rFonts w:cstheme="minorHAnsi"/>
                <w:sz w:val="24"/>
                <w:szCs w:val="24"/>
              </w:rPr>
            </w:pPr>
            <w:r w:rsidRPr="0043547B">
              <w:rPr>
                <w:rFonts w:cstheme="minorHAnsi"/>
                <w:sz w:val="24"/>
                <w:szCs w:val="24"/>
              </w:rPr>
              <w:t>La présente Norme internationale spécifie les caractéristiques dimensionnelles et mécaniques ainsi que les données d’application pour les rivets aveugles à rupture de tige à corps fermé, à tête bombée, avec un corps en acier inoxydable austénitique (A2) et une tige en acier inoxydable (SSt), de diamètre nominal, d, compris entre 3,2 mm et 6,4 mm inclus.</w:t>
            </w:r>
          </w:p>
        </w:tc>
      </w:tr>
      <w:tr w:rsidR="0043547B" w:rsidRPr="0043547B" w:rsidTr="00056AEE">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0C7CA0">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10.2.252</w:t>
            </w:r>
          </w:p>
        </w:tc>
      </w:tr>
      <w:tr w:rsidR="0043547B" w:rsidRPr="0043547B" w:rsidTr="00056AEE">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Quincaillerie – Pivots à frein hydraulique au sol – Spécifications – Essais </w:t>
            </w:r>
          </w:p>
        </w:tc>
      </w:tr>
      <w:tr w:rsidR="0043547B" w:rsidRPr="0043547B" w:rsidTr="00056AEE">
        <w:trPr>
          <w:trHeight w:val="843"/>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définit les caractéristiques de fonctionnement et les essais correspondants des pivots à frein hydraulique au sol, équipant des portes à simple action à gauche ou à droite, ou à double action.</w:t>
            </w:r>
          </w:p>
          <w:p w:rsidR="006711D3" w:rsidRPr="0043547B" w:rsidRDefault="006711D3" w:rsidP="006711D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Un pivot à frein hydraulique au sol est un dispositif assurant la fermeture automatique avec amortissement contrôlé de la porte.</w:t>
            </w:r>
          </w:p>
          <w:p w:rsidR="00B111BE" w:rsidRDefault="006711D3" w:rsidP="006711D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Lorsque le pivot est destiné à des portes coupe-feu, il doit satisfaire en outre à des exigences particulières pour satisfaire à la réglementation concernant les portes coupe-feu.</w:t>
            </w:r>
          </w:p>
          <w:p w:rsidR="00B111BE" w:rsidRDefault="006711D3" w:rsidP="006711D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Il peut, dans certains cas, être livré avec un dispositif d'arrêt automatique en position ouverte.</w:t>
            </w:r>
          </w:p>
          <w:p w:rsidR="00904E52" w:rsidRPr="0043547B" w:rsidRDefault="006711D3" w:rsidP="006711D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caractéristiques de ce dispositif, et en particulier l'angle auquel il fonctionne, ainsi que les essais et les résultats à obtenir, sont à convenir entre les parties, et ne sont pas traités dans la norme.</w:t>
            </w:r>
          </w:p>
        </w:tc>
      </w:tr>
      <w:tr w:rsidR="0043547B" w:rsidRPr="0043547B" w:rsidTr="00056AEE">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10.2.253</w:t>
            </w:r>
          </w:p>
        </w:tc>
      </w:tr>
      <w:tr w:rsidR="0043547B" w:rsidRPr="0043547B" w:rsidTr="00056AEE">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Quincaillerie pour le bâtiment – Charnières de retenue électromagnétique – Prescriptions et méthodes d’essai </w:t>
            </w:r>
          </w:p>
        </w:tc>
      </w:tr>
      <w:tr w:rsidR="0043547B" w:rsidRPr="0043547B" w:rsidTr="00056AEE">
        <w:trPr>
          <w:trHeight w:val="848"/>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 présent document fixe les prescriptions pour les charnières à retenue électromagnétique pour portes.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Il ne s'applique ni aux charnières à axe simple dépourvues de ressorts ou d'amortisseur ni aux dispositifs d'arrêt de porte déportés tels que les ventouses murales.</w:t>
            </w:r>
          </w:p>
        </w:tc>
      </w:tr>
      <w:tr w:rsidR="0043547B" w:rsidRPr="0043547B" w:rsidTr="00056AEE">
        <w:trPr>
          <w:trHeight w:val="23"/>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F30D25" w:rsidRPr="0043547B" w:rsidRDefault="00F30D25" w:rsidP="00B111BE">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bottom"/>
            <w:hideMark/>
          </w:tcPr>
          <w:p w:rsidR="00F30D25" w:rsidRPr="00C27A67" w:rsidRDefault="00F30D25" w:rsidP="00B111BE">
            <w:pPr>
              <w:spacing w:after="0" w:line="240" w:lineRule="auto"/>
              <w:jc w:val="center"/>
              <w:rPr>
                <w:rFonts w:cstheme="minorHAnsi"/>
                <w:b/>
                <w:bCs/>
                <w:sz w:val="24"/>
                <w:szCs w:val="24"/>
              </w:rPr>
            </w:pPr>
            <w:r w:rsidRPr="00C27A67">
              <w:rPr>
                <w:rFonts w:cstheme="minorHAnsi"/>
                <w:b/>
                <w:bCs/>
                <w:sz w:val="24"/>
                <w:szCs w:val="24"/>
              </w:rPr>
              <w:t>NM EN 13659</w:t>
            </w:r>
          </w:p>
        </w:tc>
      </w:tr>
      <w:tr w:rsidR="0043547B" w:rsidRPr="0043547B" w:rsidTr="00056AEE">
        <w:trPr>
          <w:trHeight w:val="92"/>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F30D25" w:rsidRPr="0043547B" w:rsidRDefault="00F30D25" w:rsidP="00B111BE">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F30D25" w:rsidRPr="00C27A67" w:rsidRDefault="00F30D25" w:rsidP="00B111BE">
            <w:pPr>
              <w:spacing w:after="0" w:line="240" w:lineRule="auto"/>
              <w:jc w:val="center"/>
              <w:rPr>
                <w:rFonts w:cstheme="minorHAnsi"/>
                <w:b/>
                <w:bCs/>
                <w:sz w:val="24"/>
                <w:szCs w:val="24"/>
              </w:rPr>
            </w:pPr>
            <w:r w:rsidRPr="00C27A67">
              <w:rPr>
                <w:rFonts w:cstheme="minorHAnsi"/>
                <w:b/>
                <w:bCs/>
                <w:sz w:val="24"/>
                <w:szCs w:val="24"/>
              </w:rPr>
              <w:t>EN 13659</w:t>
            </w:r>
          </w:p>
        </w:tc>
      </w:tr>
      <w:tr w:rsidR="0043547B" w:rsidRPr="0043547B" w:rsidTr="00056AEE">
        <w:trPr>
          <w:trHeight w:val="642"/>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F30D25" w:rsidRPr="0043547B" w:rsidRDefault="00F30D25" w:rsidP="00B111BE">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hideMark/>
          </w:tcPr>
          <w:p w:rsidR="00F30D25" w:rsidRPr="0043547B" w:rsidRDefault="00F30D25" w:rsidP="00B111BE">
            <w:pPr>
              <w:spacing w:after="0" w:line="240" w:lineRule="auto"/>
              <w:jc w:val="both"/>
              <w:rPr>
                <w:rFonts w:cstheme="minorHAnsi"/>
                <w:sz w:val="24"/>
                <w:szCs w:val="24"/>
              </w:rPr>
            </w:pPr>
            <w:r w:rsidRPr="0043547B">
              <w:rPr>
                <w:rFonts w:cstheme="minorHAnsi"/>
                <w:sz w:val="24"/>
                <w:szCs w:val="24"/>
              </w:rPr>
              <w:t xml:space="preserve">Fermetures et stores vénitiens extérieurs - Exigences de performance y compris la sécurité </w:t>
            </w:r>
          </w:p>
        </w:tc>
      </w:tr>
      <w:tr w:rsidR="0043547B" w:rsidRPr="0043547B" w:rsidTr="00056AEE">
        <w:trPr>
          <w:trHeight w:val="1835"/>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F30D25" w:rsidRPr="0043547B" w:rsidRDefault="00F30D25" w:rsidP="00B111BE">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hideMark/>
          </w:tcPr>
          <w:p w:rsidR="00B111BE" w:rsidRDefault="00F30D25" w:rsidP="00B111BE">
            <w:pPr>
              <w:spacing w:after="0" w:line="240" w:lineRule="auto"/>
              <w:jc w:val="both"/>
              <w:rPr>
                <w:rFonts w:cstheme="minorHAnsi"/>
                <w:sz w:val="24"/>
                <w:szCs w:val="24"/>
              </w:rPr>
            </w:pPr>
            <w:r w:rsidRPr="0043547B">
              <w:rPr>
                <w:rFonts w:cstheme="minorHAnsi"/>
                <w:sz w:val="24"/>
                <w:szCs w:val="24"/>
              </w:rPr>
              <w:t>La présente Norme Européenne spécifie les exigences de performance applicables aux fermetures et stores vénitiens extérieurs destinés à être installés en extérieur sur des bâtiments et autres ouvrages de construction. Elle traite également des phénomènes dangereux significatifs relatifs aux opérations d’assemblage, de transport, d’installation, d’utilisation et de maintenance (voir liste des phénomènes dangereux significatifs liés aux machines à l’Annexe C).</w:t>
            </w:r>
          </w:p>
          <w:p w:rsidR="00B111BE" w:rsidRDefault="00F30D25" w:rsidP="00B111BE">
            <w:pPr>
              <w:spacing w:after="0" w:line="240" w:lineRule="auto"/>
              <w:jc w:val="both"/>
              <w:rPr>
                <w:rFonts w:cstheme="minorHAnsi"/>
                <w:sz w:val="24"/>
                <w:szCs w:val="24"/>
              </w:rPr>
            </w:pPr>
            <w:r w:rsidRPr="0043547B">
              <w:rPr>
                <w:rFonts w:cstheme="minorHAnsi"/>
                <w:sz w:val="24"/>
                <w:szCs w:val="24"/>
              </w:rPr>
              <w:lastRenderedPageBreak/>
              <w:t xml:space="preserve">Elle s'applique à toutes les fermetures et à tous les stores vénitiens extérieurs, dont la liste est donnée </w:t>
            </w:r>
            <w:r w:rsidR="00B111BE" w:rsidRPr="0043547B">
              <w:rPr>
                <w:rFonts w:cstheme="minorHAnsi"/>
                <w:sz w:val="24"/>
                <w:szCs w:val="24"/>
              </w:rPr>
              <w:t>ci</w:t>
            </w:r>
            <w:r w:rsidR="00B111BE">
              <w:rPr>
                <w:rFonts w:cstheme="minorHAnsi"/>
                <w:sz w:val="24"/>
                <w:szCs w:val="24"/>
              </w:rPr>
              <w:t>-</w:t>
            </w:r>
            <w:r w:rsidR="00B111BE" w:rsidRPr="0043547B">
              <w:rPr>
                <w:rFonts w:cstheme="minorHAnsi"/>
                <w:sz w:val="24"/>
                <w:szCs w:val="24"/>
              </w:rPr>
              <w:t>après</w:t>
            </w:r>
            <w:r w:rsidRPr="0043547B">
              <w:rPr>
                <w:rFonts w:cstheme="minorHAnsi"/>
                <w:sz w:val="24"/>
                <w:szCs w:val="24"/>
              </w:rPr>
              <w:t>, quelles que soient leur conception et la nature des matériaux utilisés, et qui sont définis dans l’EN 12216 :</w:t>
            </w:r>
          </w:p>
          <w:p w:rsidR="00B111BE" w:rsidRDefault="00F30D25" w:rsidP="00B111BE">
            <w:pPr>
              <w:spacing w:after="0" w:line="240" w:lineRule="auto"/>
              <w:jc w:val="both"/>
              <w:rPr>
                <w:rFonts w:cstheme="minorHAnsi"/>
                <w:sz w:val="24"/>
                <w:szCs w:val="24"/>
              </w:rPr>
            </w:pPr>
            <w:r w:rsidRPr="0043547B">
              <w:rPr>
                <w:rFonts w:cstheme="minorHAnsi"/>
                <w:sz w:val="24"/>
                <w:szCs w:val="24"/>
              </w:rPr>
              <w:t> store vénitien extérieur, volet roulant, volet battant, persienne, persienne coulissante, jalousie accordéon ou volet coulissant, projetables ou non projetables.</w:t>
            </w:r>
            <w:r w:rsidRPr="0043547B">
              <w:rPr>
                <w:rFonts w:cstheme="minorHAnsi"/>
                <w:sz w:val="24"/>
                <w:szCs w:val="24"/>
              </w:rPr>
              <w:br/>
              <w:t xml:space="preserve">Ces produits peuvent être </w:t>
            </w:r>
            <w:r w:rsidR="00C27A67" w:rsidRPr="0043547B">
              <w:rPr>
                <w:rFonts w:cstheme="minorHAnsi"/>
                <w:sz w:val="24"/>
                <w:szCs w:val="24"/>
              </w:rPr>
              <w:t>manœuvrés</w:t>
            </w:r>
            <w:r w:rsidRPr="0043547B">
              <w:rPr>
                <w:rFonts w:cstheme="minorHAnsi"/>
                <w:sz w:val="24"/>
                <w:szCs w:val="24"/>
              </w:rPr>
              <w:t xml:space="preserve"> manuellement avec ou sans ressort de compensation ou au moyen de moteurs électriques (produits motorisés).</w:t>
            </w:r>
          </w:p>
          <w:p w:rsidR="00B111BE" w:rsidRDefault="00F30D25" w:rsidP="00B111BE">
            <w:pPr>
              <w:spacing w:after="0" w:line="240" w:lineRule="auto"/>
              <w:jc w:val="both"/>
              <w:rPr>
                <w:rFonts w:cstheme="minorHAnsi"/>
                <w:sz w:val="24"/>
                <w:szCs w:val="24"/>
              </w:rPr>
            </w:pPr>
            <w:r w:rsidRPr="0043547B">
              <w:rPr>
                <w:rFonts w:cstheme="minorHAnsi"/>
                <w:sz w:val="24"/>
                <w:szCs w:val="24"/>
              </w:rPr>
              <w:t>Néanmoins, la durabilité et l’endurance de l’alimentation autonome des fermetures et stores vénitiens extérieurs non reliée à l’alimentation secteur ne sont pas couvertes.</w:t>
            </w:r>
          </w:p>
          <w:p w:rsidR="00B111BE" w:rsidRDefault="00F30D25" w:rsidP="00B111BE">
            <w:pPr>
              <w:spacing w:after="0" w:line="240" w:lineRule="auto"/>
              <w:jc w:val="both"/>
              <w:rPr>
                <w:rFonts w:cstheme="minorHAnsi"/>
                <w:sz w:val="24"/>
                <w:szCs w:val="24"/>
              </w:rPr>
            </w:pPr>
            <w:r w:rsidRPr="0043547B">
              <w:rPr>
                <w:rFonts w:cstheme="minorHAnsi"/>
                <w:sz w:val="24"/>
                <w:szCs w:val="24"/>
              </w:rPr>
              <w:t xml:space="preserve">La présente Norme Européenne couvre également tous les phénomènes, situations et événements dangereux rencontrés lorsque les fermetures et stores vénitiens extérieurs sont utilisés selon leur usage prévu mais aussi ceux rencontrés lors de fausses </w:t>
            </w:r>
            <w:r w:rsidR="00C27A67" w:rsidRPr="0043547B">
              <w:rPr>
                <w:rFonts w:cstheme="minorHAnsi"/>
                <w:sz w:val="24"/>
                <w:szCs w:val="24"/>
              </w:rPr>
              <w:t>manœuvres</w:t>
            </w:r>
            <w:r w:rsidRPr="0043547B">
              <w:rPr>
                <w:rFonts w:cstheme="minorHAnsi"/>
                <w:sz w:val="24"/>
                <w:szCs w:val="24"/>
              </w:rPr>
              <w:t xml:space="preserve"> que le fabricant peut raisonnablement anticiper (voir Annexe D).</w:t>
            </w:r>
          </w:p>
          <w:p w:rsidR="00B111BE" w:rsidRDefault="00F30D25" w:rsidP="00B111BE">
            <w:pPr>
              <w:spacing w:after="0" w:line="240" w:lineRule="auto"/>
              <w:jc w:val="both"/>
              <w:rPr>
                <w:rFonts w:cstheme="minorHAnsi"/>
                <w:sz w:val="24"/>
                <w:szCs w:val="24"/>
              </w:rPr>
            </w:pPr>
            <w:r w:rsidRPr="0043547B">
              <w:rPr>
                <w:rFonts w:cstheme="minorHAnsi"/>
                <w:sz w:val="24"/>
                <w:szCs w:val="24"/>
              </w:rPr>
              <w:t>La présente Norme Européenne couvre les fermetures et stores vénitiens extérieurs installés en extérieur. Si ces produits sont installés en intérieur, il convient qu’ils satisfassent à toutes les exigences de sécurité pertinentes définies dans l’EN 13120.</w:t>
            </w:r>
          </w:p>
          <w:p w:rsidR="00F30D25" w:rsidRPr="0043547B" w:rsidRDefault="00F30D25" w:rsidP="00B111BE">
            <w:pPr>
              <w:spacing w:after="0" w:line="240" w:lineRule="auto"/>
              <w:jc w:val="both"/>
              <w:rPr>
                <w:rFonts w:cstheme="minorHAnsi"/>
                <w:sz w:val="24"/>
                <w:szCs w:val="24"/>
              </w:rPr>
            </w:pPr>
            <w:r w:rsidRPr="0043547B">
              <w:rPr>
                <w:rFonts w:cstheme="minorHAnsi"/>
                <w:sz w:val="24"/>
                <w:szCs w:val="24"/>
              </w:rPr>
              <w:t>Le bruit émis par les fermetures et stores vénitiens extérieurs motorisés n’est pas considéré comme un phénomène dangereux devant satisfaire aux exigences en matière de santé et de sécurité. Par conséquent, la présente Norme Européenne ne contient aucune exigence particulière applicable au bruit établissant des</w:t>
            </w:r>
            <w:r w:rsidR="00C27A67">
              <w:rPr>
                <w:rFonts w:cstheme="minorHAnsi"/>
                <w:sz w:val="24"/>
                <w:szCs w:val="24"/>
              </w:rPr>
              <w:t xml:space="preserve"> </w:t>
            </w:r>
            <w:r w:rsidRPr="0043547B">
              <w:rPr>
                <w:rFonts w:cstheme="minorHAnsi"/>
                <w:sz w:val="24"/>
                <w:szCs w:val="24"/>
              </w:rPr>
              <w:t>objectifs en matière de santé et de sécurité.</w:t>
            </w:r>
          </w:p>
        </w:tc>
      </w:tr>
      <w:tr w:rsidR="0043547B" w:rsidRPr="0043547B" w:rsidTr="00056AEE">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0C7CA0">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10.2.279</w:t>
            </w:r>
          </w:p>
        </w:tc>
      </w:tr>
      <w:tr w:rsidR="0043547B" w:rsidRPr="0043547B" w:rsidTr="00056AEE">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0C7CA0">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12365-1</w:t>
            </w:r>
          </w:p>
        </w:tc>
      </w:tr>
      <w:tr w:rsidR="0043547B" w:rsidRPr="0043547B" w:rsidTr="00056AEE">
        <w:trPr>
          <w:trHeight w:val="6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Quincaillerie pour le bâtiment – Profilés d’étanchéité de vitrage et entre ouvrant et dormant pour portes, fenêtres, fermetures et façades rideaux – Exigences de performance et de classification </w:t>
            </w:r>
          </w:p>
        </w:tc>
      </w:tr>
      <w:tr w:rsidR="0043547B" w:rsidRPr="0043547B" w:rsidTr="00056AEE">
        <w:trPr>
          <w:trHeight w:val="2205"/>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exigences de performance et des profilés d'étanchéité de vitrage et entre ouvrant et dormant aux fins de contrôle du passage de l’air, de l’eau, du bruit et d’énergie entre les parties fixes et ouvrantes de portes, de fenêtres, de fermetures et de façades rideaux.</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exigences de performance générales de La norme s’appliquent aux profilés d'étanchéité de vitrage et entre ouvrant et dormant quels que soient les matériaux.</w:t>
            </w:r>
            <w:r w:rsidRPr="0043547B">
              <w:rPr>
                <w:rFonts w:eastAsia="Times New Roman" w:cstheme="minorHAnsi"/>
                <w:sz w:val="24"/>
                <w:szCs w:val="24"/>
                <w:lang w:eastAsia="fr-FR"/>
              </w:rPr>
              <w:br/>
              <w:t>La norme ne s'applique pas aux matériaux d'étanchéité, mastics ou tout autre matériau extrudé sous forme liquide ou visqueuse sur le lieu final d'utilisation.</w:t>
            </w:r>
          </w:p>
        </w:tc>
      </w:tr>
      <w:tr w:rsidR="0043547B" w:rsidRPr="0043547B" w:rsidTr="00056AEE">
        <w:trPr>
          <w:trHeight w:val="69"/>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NM EN 14637</w:t>
            </w:r>
          </w:p>
        </w:tc>
      </w:tr>
      <w:tr w:rsidR="0043547B" w:rsidRPr="0043547B" w:rsidTr="00056AEE">
        <w:trPr>
          <w:trHeight w:val="6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EN 14637</w:t>
            </w:r>
          </w:p>
        </w:tc>
      </w:tr>
      <w:tr w:rsidR="0043547B" w:rsidRPr="0043547B" w:rsidTr="00056AEE">
        <w:trPr>
          <w:trHeight w:val="168"/>
          <w:jc w:val="center"/>
        </w:trPr>
        <w:tc>
          <w:tcPr>
            <w:tcW w:w="1838" w:type="dxa"/>
            <w:tcBorders>
              <w:top w:val="nil"/>
              <w:left w:val="single" w:sz="18" w:space="0" w:color="auto"/>
              <w:bottom w:val="single" w:sz="4" w:space="0" w:color="auto"/>
              <w:right w:val="single" w:sz="4" w:space="0" w:color="auto"/>
            </w:tcBorders>
            <w:shd w:val="clear" w:color="000000" w:fill="8DB4E2"/>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auto"/>
            <w:vAlign w:val="center"/>
          </w:tcPr>
          <w:p w:rsidR="00904E52" w:rsidRPr="0043547B" w:rsidRDefault="00904E52" w:rsidP="00904E52">
            <w:pPr>
              <w:spacing w:after="0"/>
              <w:jc w:val="both"/>
              <w:rPr>
                <w:rFonts w:cstheme="minorHAnsi"/>
                <w:sz w:val="24"/>
                <w:szCs w:val="24"/>
              </w:rPr>
            </w:pPr>
            <w:r w:rsidRPr="0043547B">
              <w:rPr>
                <w:rFonts w:cstheme="minorHAnsi"/>
                <w:sz w:val="24"/>
                <w:szCs w:val="24"/>
              </w:rPr>
              <w:t>Quincaillerie pour le bâtiment Systèmes de retenue contrôlés électriquement pour blocs-portes, coupe-feu ou pare-fumées - Exigences, méthode d’essai, mise en œuvre et maintenance</w:t>
            </w:r>
          </w:p>
        </w:tc>
      </w:tr>
      <w:tr w:rsidR="0043547B" w:rsidRPr="0043547B" w:rsidTr="00056AEE">
        <w:trPr>
          <w:trHeight w:val="134"/>
          <w:jc w:val="center"/>
        </w:trPr>
        <w:tc>
          <w:tcPr>
            <w:tcW w:w="1838" w:type="dxa"/>
            <w:tcBorders>
              <w:top w:val="nil"/>
              <w:left w:val="single" w:sz="18" w:space="0" w:color="auto"/>
              <w:bottom w:val="single" w:sz="18" w:space="0" w:color="auto"/>
              <w:right w:val="single" w:sz="4" w:space="0" w:color="auto"/>
            </w:tcBorders>
            <w:shd w:val="clear" w:color="000000" w:fill="D9D9D9"/>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center"/>
          </w:tcPr>
          <w:p w:rsidR="00904E52" w:rsidRPr="0043547B" w:rsidRDefault="00904E52" w:rsidP="00E10FBD">
            <w:pPr>
              <w:spacing w:after="0" w:line="240" w:lineRule="auto"/>
              <w:jc w:val="both"/>
              <w:rPr>
                <w:rFonts w:cstheme="minorHAnsi"/>
                <w:sz w:val="24"/>
                <w:szCs w:val="24"/>
              </w:rPr>
            </w:pPr>
            <w:r w:rsidRPr="0043547B">
              <w:rPr>
                <w:rFonts w:cstheme="minorHAnsi"/>
                <w:sz w:val="24"/>
                <w:szCs w:val="24"/>
              </w:rPr>
              <w:t xml:space="preserve">La norme spécifie les exigences, les méthodes d’essai et les critères de performances par rapport auxquels la compatibilité des composants et leurs performances peuvent être évaluées lorsqu’ils sont utilisés en combinaison pour former un système de retenue contrôlé électriquement. Elle spécifie également </w:t>
            </w:r>
            <w:r w:rsidRPr="0043547B">
              <w:rPr>
                <w:rFonts w:cstheme="minorHAnsi"/>
                <w:sz w:val="24"/>
                <w:szCs w:val="24"/>
              </w:rPr>
              <w:lastRenderedPageBreak/>
              <w:t>les exigences d’intégrité de ces systèmes de retenue lorsqu’ils sont connectés à des systèmes de détection et d’alarme incendie ou à d’autres systèmes, y compris l’échange de signaux, ainsi que les données techniques pour les interfaces.</w:t>
            </w:r>
          </w:p>
          <w:p w:rsidR="00904E52" w:rsidRPr="0043547B" w:rsidRDefault="00904E52" w:rsidP="00E10FBD">
            <w:pPr>
              <w:spacing w:after="0" w:line="240" w:lineRule="auto"/>
              <w:jc w:val="both"/>
              <w:rPr>
                <w:rFonts w:cstheme="minorHAnsi"/>
                <w:sz w:val="24"/>
                <w:szCs w:val="24"/>
              </w:rPr>
            </w:pPr>
            <w:r w:rsidRPr="0043547B">
              <w:rPr>
                <w:rFonts w:cstheme="minorHAnsi"/>
                <w:sz w:val="24"/>
                <w:szCs w:val="24"/>
              </w:rPr>
              <w:t>La norme donne les exigences pour la mise en œuvre de systèmes de retenue contrôlés électriquement sur les portes coupe-feu/pare-fumée dans les bâtiments pour lesquels des portes à fermeture automatique sont exigées. Elle couvre la planification, la conception (voir Annexe A), l’installation (voir Annexe B), la mise en service, l’utilisation et la maintenance (voir Annexe E) de systèmes de retenue destinés à protéger la vie et/ou des biens. Ces derniers peuvent se présenter sous la forme de systèmes de retenue indépendants ou de composants de système de retenue contenus dans un boîtier séparé.</w:t>
            </w:r>
          </w:p>
          <w:p w:rsidR="00904E52" w:rsidRPr="0043547B" w:rsidRDefault="00904E52" w:rsidP="00E10FBD">
            <w:pPr>
              <w:spacing w:after="0" w:line="240" w:lineRule="auto"/>
              <w:jc w:val="both"/>
              <w:rPr>
                <w:rFonts w:cstheme="minorHAnsi"/>
                <w:sz w:val="24"/>
                <w:szCs w:val="24"/>
              </w:rPr>
            </w:pPr>
            <w:r w:rsidRPr="0043547B">
              <w:rPr>
                <w:rFonts w:cstheme="minorHAnsi"/>
                <w:sz w:val="24"/>
                <w:szCs w:val="24"/>
              </w:rPr>
              <w:t>Les systèmes de retenue contrôlés électriquement fabriqués, installés et entretenus conformément à La norme sont recommandés chaque fois qu’une fonction fiable de retenue et de fermeture automatique est requise pour un bloc-porte coupe-feu/pare-fumée en cas d’incendie. L'utilisation de systèmes de retenue pour fermetures dans des systèmes de convoyeurs conformes à l'EN 1366-7, qui s'applique avec l'EN 1363-1, peut exiger des preuves d'adéquation supplémentaires qui ne sont pas couvertes par La norme.</w:t>
            </w:r>
          </w:p>
          <w:p w:rsidR="00904E52" w:rsidRPr="0043547B" w:rsidRDefault="00904E52" w:rsidP="00E10FBD">
            <w:pPr>
              <w:spacing w:after="0" w:line="240" w:lineRule="auto"/>
              <w:jc w:val="both"/>
              <w:rPr>
                <w:rFonts w:cstheme="minorHAnsi"/>
                <w:sz w:val="24"/>
                <w:szCs w:val="24"/>
              </w:rPr>
            </w:pPr>
            <w:r w:rsidRPr="0043547B">
              <w:rPr>
                <w:rFonts w:cstheme="minorHAnsi"/>
                <w:sz w:val="24"/>
                <w:szCs w:val="24"/>
              </w:rPr>
              <w:t>La norme ne couvre pas la conception, l’installation, la mise en service, l’utilisation et la maintenance des systèmes de détection et d’alarme incendie pour bâtiments (couverts par le CEN/TS 54-14), mais couvre le raccordement aux systèmes de détection et d’alarme incendie des bâtiments des systèmes de retenue, conformes à La norme, dans certaines conditions prescrites.</w:t>
            </w:r>
          </w:p>
          <w:p w:rsidR="00B111BE" w:rsidRDefault="00904E52" w:rsidP="00E10FBD">
            <w:pPr>
              <w:spacing w:after="0" w:line="240" w:lineRule="auto"/>
              <w:jc w:val="both"/>
              <w:rPr>
                <w:rFonts w:cstheme="minorHAnsi"/>
                <w:sz w:val="24"/>
                <w:szCs w:val="24"/>
              </w:rPr>
            </w:pPr>
            <w:r w:rsidRPr="0043547B">
              <w:rPr>
                <w:rFonts w:cstheme="minorHAnsi"/>
                <w:sz w:val="24"/>
                <w:szCs w:val="24"/>
              </w:rPr>
              <w:t>La norme ne couvre pas les exigences de caractéristiques de performances et des conditions de l’environnement d’exploitation de certains composants particuliers d’un système de retenue lorsque ces exigences sont déjà couvertes par des spécifications s comprenant des méthodes d’essai permettant d’obtenir des résultats reproductibles pour l’évaluation de con</w:t>
            </w:r>
            <w:r w:rsidR="00D93B0A" w:rsidRPr="0043547B">
              <w:rPr>
                <w:rFonts w:cstheme="minorHAnsi"/>
                <w:sz w:val="24"/>
                <w:szCs w:val="24"/>
              </w:rPr>
              <w:t>formité du produit. Ces normes</w:t>
            </w:r>
            <w:r w:rsidRPr="0043547B">
              <w:rPr>
                <w:rFonts w:cstheme="minorHAnsi"/>
                <w:sz w:val="24"/>
                <w:szCs w:val="24"/>
              </w:rPr>
              <w:t xml:space="preserve"> sont données à l'Article 5.</w:t>
            </w:r>
          </w:p>
          <w:p w:rsidR="00904E52" w:rsidRPr="0043547B" w:rsidRDefault="00904E52" w:rsidP="00E10FBD">
            <w:pPr>
              <w:spacing w:after="0" w:line="240" w:lineRule="auto"/>
              <w:jc w:val="both"/>
              <w:rPr>
                <w:rFonts w:cstheme="minorHAnsi"/>
                <w:sz w:val="24"/>
                <w:szCs w:val="24"/>
              </w:rPr>
            </w:pPr>
            <w:r w:rsidRPr="0043547B">
              <w:rPr>
                <w:rFonts w:cstheme="minorHAnsi"/>
                <w:sz w:val="24"/>
                <w:szCs w:val="24"/>
              </w:rPr>
              <w:t>La norme ne couvre pas les dispositifs contrôlés électriquement utilisés pour la ventilation des fumées ou les systèmes qui laissent la porte ouverte en cas de défaillance (c'est-à-dire, qui ne sont pas à sécurité positive).</w:t>
            </w:r>
          </w:p>
          <w:p w:rsidR="00904E52" w:rsidRPr="0043547B" w:rsidRDefault="00D54A5C" w:rsidP="00E10FBD">
            <w:pPr>
              <w:spacing w:after="0" w:line="240" w:lineRule="auto"/>
              <w:jc w:val="both"/>
              <w:rPr>
                <w:rFonts w:cstheme="minorHAnsi"/>
                <w:sz w:val="24"/>
                <w:szCs w:val="24"/>
              </w:rPr>
            </w:pPr>
            <w:r w:rsidRPr="0043547B">
              <w:rPr>
                <w:rFonts w:cstheme="minorHAnsi"/>
                <w:sz w:val="24"/>
                <w:szCs w:val="24"/>
              </w:rPr>
              <w:t xml:space="preserve">La </w:t>
            </w:r>
            <w:r w:rsidR="00904E52" w:rsidRPr="0043547B">
              <w:rPr>
                <w:rFonts w:cstheme="minorHAnsi"/>
                <w:sz w:val="24"/>
                <w:szCs w:val="24"/>
              </w:rPr>
              <w:t>norme ne couvre pas les systèmes de retenue contrôlés électriquement non connectés à l’alimentation en énergie principale et uniquement alimentés par batterie.</w:t>
            </w:r>
          </w:p>
        </w:tc>
      </w:tr>
    </w:tbl>
    <w:p w:rsidR="00904E52" w:rsidRPr="0043547B" w:rsidRDefault="00904E52" w:rsidP="00F26621">
      <w:pPr>
        <w:pStyle w:val="Titre4"/>
        <w:numPr>
          <w:ilvl w:val="2"/>
          <w:numId w:val="2"/>
        </w:numPr>
        <w:ind w:left="1418" w:hanging="579"/>
        <w:rPr>
          <w:rFonts w:cstheme="minorHAnsi"/>
          <w:b/>
          <w:bCs w:val="0"/>
          <w:iCs w:val="0"/>
          <w:color w:val="auto"/>
          <w:szCs w:val="24"/>
          <w:u w:val="single"/>
        </w:rPr>
      </w:pPr>
      <w:bookmarkStart w:id="37" w:name="_Toc458606094"/>
      <w:r w:rsidRPr="0043547B">
        <w:rPr>
          <w:rFonts w:cstheme="minorHAnsi"/>
          <w:b/>
          <w:bCs w:val="0"/>
          <w:iCs w:val="0"/>
          <w:color w:val="auto"/>
          <w:szCs w:val="24"/>
          <w:u w:val="single"/>
        </w:rPr>
        <w:lastRenderedPageBreak/>
        <w:t>Carreaux de revêtement</w:t>
      </w:r>
      <w:bookmarkEnd w:id="37"/>
    </w:p>
    <w:tbl>
      <w:tblPr>
        <w:tblW w:w="9776" w:type="dxa"/>
        <w:jc w:val="center"/>
        <w:tblCellMar>
          <w:left w:w="70" w:type="dxa"/>
          <w:right w:w="70" w:type="dxa"/>
        </w:tblCellMar>
        <w:tblLook w:val="04A0" w:firstRow="1" w:lastRow="0" w:firstColumn="1" w:lastColumn="0" w:noHBand="0" w:noVBand="1"/>
      </w:tblPr>
      <w:tblGrid>
        <w:gridCol w:w="1838"/>
        <w:gridCol w:w="7938"/>
      </w:tblGrid>
      <w:tr w:rsidR="0043547B" w:rsidRPr="0043547B" w:rsidTr="00554CF5">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0C7CA0">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10.6.011</w:t>
            </w:r>
          </w:p>
        </w:tc>
      </w:tr>
      <w:tr w:rsidR="0043547B" w:rsidRPr="0043547B" w:rsidTr="00554CF5">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Roches marbrières - Caractéristiques géométriques </w:t>
            </w:r>
          </w:p>
        </w:tc>
      </w:tr>
      <w:tr w:rsidR="0043547B" w:rsidRPr="0043547B" w:rsidTr="00554CF5">
        <w:trPr>
          <w:trHeight w:val="425"/>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a pour objet de spécifier les caractéristiques géométriques des roches marbrières et de décrire les méthodes susceptibles de les vérifier. D'autres méthodes peuvent être utilisées après accord entre les deux parties mais en cas de litige, seules les méthodes décrites au paragraphe 7 sont admises. Elle s'applique aux roches marbrières utilisées pour l'exécution de revêtements de murs, sols et escaliers à l'intérieur et à l'extérieur des bâtiments, à l'exclusion des travaux de décoration et d'ameublement.</w:t>
            </w:r>
          </w:p>
        </w:tc>
      </w:tr>
      <w:tr w:rsidR="0043547B" w:rsidRPr="0043547B" w:rsidTr="00554CF5">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0C7CA0">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10.6.012</w:t>
            </w:r>
          </w:p>
        </w:tc>
      </w:tr>
      <w:tr w:rsidR="0043547B" w:rsidRPr="0043547B" w:rsidTr="00554CF5">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Roches </w:t>
            </w:r>
            <w:r w:rsidR="000C7CA0" w:rsidRPr="0043547B">
              <w:rPr>
                <w:rFonts w:eastAsia="Times New Roman" w:cstheme="minorHAnsi"/>
                <w:sz w:val="24"/>
                <w:szCs w:val="24"/>
                <w:lang w:eastAsia="fr-FR"/>
              </w:rPr>
              <w:t>marbrières -</w:t>
            </w:r>
            <w:r w:rsidRPr="0043547B">
              <w:rPr>
                <w:rFonts w:eastAsia="Times New Roman" w:cstheme="minorHAnsi"/>
                <w:sz w:val="24"/>
                <w:szCs w:val="24"/>
                <w:lang w:eastAsia="fr-FR"/>
              </w:rPr>
              <w:t xml:space="preserve"> Clauses et conditions générales pour les transactions </w:t>
            </w:r>
          </w:p>
        </w:tc>
      </w:tr>
      <w:tr w:rsidR="0043547B" w:rsidRPr="0043547B" w:rsidTr="00554CF5">
        <w:trPr>
          <w:trHeight w:val="60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a pour but de fixer les clauses et conditions générales relatives aux transactions portant sur les roches marbrières de toutes provenances.</w:t>
            </w:r>
          </w:p>
        </w:tc>
      </w:tr>
      <w:tr w:rsidR="0005262F" w:rsidRPr="0043547B" w:rsidTr="00420CEB">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05262F" w:rsidRPr="0043547B" w:rsidRDefault="0005262F" w:rsidP="0005262F">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hideMark/>
          </w:tcPr>
          <w:p w:rsidR="0005262F" w:rsidRPr="00420CEB" w:rsidRDefault="0005262F" w:rsidP="00420CEB">
            <w:pPr>
              <w:spacing w:after="0" w:line="240" w:lineRule="auto"/>
              <w:jc w:val="center"/>
              <w:rPr>
                <w:rFonts w:ascii="Calibri" w:hAnsi="Calibri" w:cs="Calibri"/>
                <w:b/>
                <w:bCs/>
                <w:sz w:val="24"/>
                <w:szCs w:val="24"/>
              </w:rPr>
            </w:pPr>
            <w:r w:rsidRPr="00420CEB">
              <w:rPr>
                <w:rFonts w:ascii="Calibri" w:hAnsi="Calibri" w:cs="Calibri"/>
                <w:b/>
                <w:bCs/>
                <w:sz w:val="24"/>
                <w:szCs w:val="24"/>
              </w:rPr>
              <w:t>NM EN 1341</w:t>
            </w:r>
          </w:p>
        </w:tc>
      </w:tr>
      <w:tr w:rsidR="0005262F" w:rsidRPr="0043547B" w:rsidTr="00420CEB">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FFFF99"/>
            <w:vAlign w:val="center"/>
            <w:hideMark/>
          </w:tcPr>
          <w:p w:rsidR="0005262F" w:rsidRPr="0043547B" w:rsidRDefault="0005262F" w:rsidP="0005262F">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18" w:space="0" w:color="auto"/>
              <w:right w:val="single" w:sz="18" w:space="0" w:color="auto"/>
            </w:tcBorders>
            <w:shd w:val="clear" w:color="auto" w:fill="FFFF99"/>
            <w:vAlign w:val="center"/>
            <w:hideMark/>
          </w:tcPr>
          <w:p w:rsidR="0005262F" w:rsidRPr="00420CEB" w:rsidRDefault="0005262F" w:rsidP="00420CEB">
            <w:pPr>
              <w:spacing w:after="0" w:line="240" w:lineRule="auto"/>
              <w:jc w:val="center"/>
              <w:rPr>
                <w:rFonts w:ascii="Calibri" w:hAnsi="Calibri" w:cs="Calibri"/>
                <w:b/>
                <w:bCs/>
                <w:sz w:val="24"/>
                <w:szCs w:val="24"/>
              </w:rPr>
            </w:pPr>
            <w:r w:rsidRPr="00420CEB">
              <w:rPr>
                <w:rFonts w:ascii="Calibri" w:hAnsi="Calibri" w:cs="Calibri"/>
                <w:b/>
                <w:bCs/>
                <w:sz w:val="24"/>
                <w:szCs w:val="24"/>
              </w:rPr>
              <w:t>EN 1341</w:t>
            </w:r>
          </w:p>
        </w:tc>
      </w:tr>
      <w:tr w:rsidR="0005262F" w:rsidRPr="0043547B" w:rsidTr="00420CEB">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05262F" w:rsidRPr="0043547B" w:rsidRDefault="0005262F" w:rsidP="0005262F">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hideMark/>
          </w:tcPr>
          <w:p w:rsidR="0005262F" w:rsidRPr="00420CEB" w:rsidRDefault="0005262F" w:rsidP="00420CEB">
            <w:pPr>
              <w:spacing w:after="0" w:line="240" w:lineRule="auto"/>
              <w:jc w:val="both"/>
              <w:rPr>
                <w:rFonts w:ascii="Calibri" w:hAnsi="Calibri" w:cs="Calibri"/>
              </w:rPr>
            </w:pPr>
            <w:r w:rsidRPr="00420CEB">
              <w:rPr>
                <w:rFonts w:ascii="Calibri" w:hAnsi="Calibri" w:cs="Calibri"/>
              </w:rPr>
              <w:t xml:space="preserve">Dalles de pierre naturelle pour le pavage extérieur - Exigences et méthodes d’essai </w:t>
            </w:r>
          </w:p>
        </w:tc>
      </w:tr>
      <w:tr w:rsidR="0005262F" w:rsidRPr="0043547B" w:rsidTr="009064A0">
        <w:trPr>
          <w:trHeight w:val="1595"/>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05262F" w:rsidRPr="0043547B" w:rsidRDefault="0005262F" w:rsidP="0005262F">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bottom"/>
            <w:hideMark/>
          </w:tcPr>
          <w:p w:rsidR="00420CEB" w:rsidRDefault="0005262F" w:rsidP="00420CEB">
            <w:pPr>
              <w:spacing w:after="0" w:line="240" w:lineRule="auto"/>
              <w:jc w:val="both"/>
              <w:rPr>
                <w:rFonts w:ascii="Calibri" w:hAnsi="Calibri" w:cs="Calibri"/>
              </w:rPr>
            </w:pPr>
            <w:r w:rsidRPr="00420CEB">
              <w:rPr>
                <w:rFonts w:ascii="Calibri" w:hAnsi="Calibri" w:cs="Calibri"/>
              </w:rPr>
              <w:t>La norme spécifie les exigences de performances et les méthodes d'essai correspondantes, relatives à toutes les dalles de pierre naturelle utilisées en revêtement de sol extérieur.</w:t>
            </w:r>
          </w:p>
          <w:p w:rsidR="0005262F" w:rsidRPr="00420CEB" w:rsidRDefault="0005262F" w:rsidP="00420CEB">
            <w:pPr>
              <w:spacing w:after="0" w:line="240" w:lineRule="auto"/>
              <w:jc w:val="both"/>
              <w:rPr>
                <w:rFonts w:ascii="Calibri" w:hAnsi="Calibri" w:cs="Calibri"/>
              </w:rPr>
            </w:pPr>
            <w:r w:rsidRPr="00420CEB">
              <w:rPr>
                <w:rFonts w:ascii="Calibri" w:hAnsi="Calibri" w:cs="Calibri"/>
              </w:rPr>
              <w:t>Elle spécifie le marquage et l'évaluation de conformité des produits à La norme.</w:t>
            </w:r>
            <w:r w:rsidRPr="00420CEB">
              <w:rPr>
                <w:rFonts w:ascii="Calibri" w:hAnsi="Calibri" w:cs="Calibri"/>
              </w:rPr>
              <w:br/>
              <w:t>La norme précise également les caractéristiques importantes sur le plan commercial.</w:t>
            </w:r>
            <w:r w:rsidRPr="00420CEB">
              <w:rPr>
                <w:rFonts w:ascii="Calibri" w:hAnsi="Calibri" w:cs="Calibri"/>
              </w:rPr>
              <w:br/>
              <w:t>Elle ne traite ni des carreaux ou des dalles pour les dallages intérieurs, ni des effets des sels de déverglaçage.</w:t>
            </w:r>
          </w:p>
        </w:tc>
      </w:tr>
      <w:tr w:rsidR="000E7FF2" w:rsidRPr="0043547B" w:rsidTr="00BD416E">
        <w:trPr>
          <w:trHeight w:val="392"/>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0E7FF2" w:rsidRPr="00BD416E" w:rsidRDefault="000E7FF2" w:rsidP="00BD416E">
            <w:pPr>
              <w:spacing w:after="0" w:line="240" w:lineRule="auto"/>
              <w:jc w:val="center"/>
              <w:rPr>
                <w:rFonts w:ascii="Calibri" w:hAnsi="Calibri" w:cs="Calibri"/>
                <w:b/>
                <w:bCs/>
                <w:sz w:val="24"/>
                <w:szCs w:val="24"/>
              </w:rPr>
            </w:pPr>
            <w:r w:rsidRPr="00BD416E">
              <w:rPr>
                <w:rFonts w:ascii="Calibri" w:hAnsi="Calibri" w:cs="Calibri"/>
                <w:b/>
                <w:bCs/>
                <w:sz w:val="24"/>
                <w:szCs w:val="24"/>
              </w:rPr>
              <w:t>Code :</w:t>
            </w:r>
          </w:p>
        </w:tc>
        <w:tc>
          <w:tcPr>
            <w:tcW w:w="7938" w:type="dxa"/>
            <w:tcBorders>
              <w:top w:val="nil"/>
              <w:left w:val="single" w:sz="4" w:space="0" w:color="auto"/>
              <w:bottom w:val="single" w:sz="18" w:space="0" w:color="auto"/>
              <w:right w:val="single" w:sz="18" w:space="0" w:color="auto"/>
            </w:tcBorders>
            <w:shd w:val="clear" w:color="auto" w:fill="C2D69B" w:themeFill="accent3" w:themeFillTint="99"/>
            <w:vAlign w:val="center"/>
          </w:tcPr>
          <w:p w:rsidR="000E7FF2" w:rsidRPr="00BD416E" w:rsidRDefault="000E7FF2" w:rsidP="00BD416E">
            <w:pPr>
              <w:spacing w:after="0" w:line="240" w:lineRule="auto"/>
              <w:jc w:val="center"/>
              <w:rPr>
                <w:rFonts w:ascii="Times New Roman" w:hAnsi="Times New Roman" w:cs="Times New Roman"/>
                <w:b/>
                <w:bCs/>
                <w:color w:val="000000"/>
                <w:sz w:val="24"/>
                <w:szCs w:val="24"/>
              </w:rPr>
            </w:pPr>
            <w:r w:rsidRPr="00BD416E">
              <w:rPr>
                <w:b/>
                <w:bCs/>
                <w:color w:val="000000"/>
                <w:sz w:val="24"/>
                <w:szCs w:val="24"/>
              </w:rPr>
              <w:t>NM EN 15651-4</w:t>
            </w:r>
          </w:p>
        </w:tc>
      </w:tr>
      <w:tr w:rsidR="000E7FF2" w:rsidRPr="0043547B" w:rsidTr="0045784D">
        <w:trPr>
          <w:trHeight w:val="386"/>
          <w:jc w:val="center"/>
        </w:trPr>
        <w:tc>
          <w:tcPr>
            <w:tcW w:w="1838" w:type="dxa"/>
            <w:tcBorders>
              <w:top w:val="nil"/>
              <w:left w:val="single" w:sz="18" w:space="0" w:color="auto"/>
              <w:bottom w:val="single" w:sz="18" w:space="0" w:color="auto"/>
              <w:right w:val="single" w:sz="4" w:space="0" w:color="auto"/>
            </w:tcBorders>
            <w:shd w:val="clear" w:color="auto" w:fill="FFFF99"/>
            <w:vAlign w:val="center"/>
          </w:tcPr>
          <w:p w:rsidR="000E7FF2" w:rsidRPr="00BD416E" w:rsidRDefault="000E7FF2" w:rsidP="00BD416E">
            <w:pPr>
              <w:spacing w:after="0" w:line="240" w:lineRule="auto"/>
              <w:jc w:val="center"/>
              <w:rPr>
                <w:rFonts w:ascii="Calibri" w:hAnsi="Calibri" w:cs="Calibri"/>
                <w:b/>
                <w:bCs/>
                <w:sz w:val="24"/>
                <w:szCs w:val="24"/>
              </w:rPr>
            </w:pPr>
            <w:r w:rsidRPr="00BD416E">
              <w:rPr>
                <w:rFonts w:ascii="Calibri" w:hAnsi="Calibri" w:cs="Calibri"/>
                <w:b/>
                <w:bCs/>
                <w:sz w:val="24"/>
                <w:szCs w:val="24"/>
              </w:rPr>
              <w:t>Equivalence :</w:t>
            </w:r>
          </w:p>
        </w:tc>
        <w:tc>
          <w:tcPr>
            <w:tcW w:w="7938" w:type="dxa"/>
            <w:tcBorders>
              <w:top w:val="nil"/>
              <w:left w:val="single" w:sz="4" w:space="0" w:color="auto"/>
              <w:bottom w:val="single" w:sz="18" w:space="0" w:color="auto"/>
              <w:right w:val="single" w:sz="18" w:space="0" w:color="auto"/>
            </w:tcBorders>
            <w:shd w:val="clear" w:color="auto" w:fill="FFFF99"/>
            <w:vAlign w:val="center"/>
          </w:tcPr>
          <w:p w:rsidR="000E7FF2" w:rsidRPr="00BD416E" w:rsidRDefault="000E7FF2" w:rsidP="00BD416E">
            <w:pPr>
              <w:spacing w:after="0" w:line="240" w:lineRule="auto"/>
              <w:jc w:val="center"/>
              <w:rPr>
                <w:rFonts w:ascii="Times New Roman" w:hAnsi="Times New Roman" w:cs="Times New Roman"/>
                <w:b/>
                <w:bCs/>
                <w:color w:val="000000"/>
                <w:sz w:val="24"/>
                <w:szCs w:val="24"/>
              </w:rPr>
            </w:pPr>
            <w:r w:rsidRPr="00BD416E">
              <w:rPr>
                <w:b/>
                <w:bCs/>
                <w:color w:val="000000"/>
                <w:sz w:val="24"/>
                <w:szCs w:val="24"/>
              </w:rPr>
              <w:t>EN 15651-4</w:t>
            </w:r>
          </w:p>
        </w:tc>
      </w:tr>
      <w:tr w:rsidR="000E7FF2" w:rsidRPr="0043547B" w:rsidTr="00BD416E">
        <w:trPr>
          <w:trHeight w:val="1041"/>
          <w:jc w:val="center"/>
        </w:trPr>
        <w:tc>
          <w:tcPr>
            <w:tcW w:w="1838" w:type="dxa"/>
            <w:tcBorders>
              <w:top w:val="single" w:sz="18" w:space="0" w:color="auto"/>
              <w:left w:val="single" w:sz="18" w:space="0" w:color="auto"/>
              <w:bottom w:val="single" w:sz="4" w:space="0" w:color="auto"/>
              <w:right w:val="single" w:sz="4" w:space="0" w:color="auto"/>
            </w:tcBorders>
            <w:shd w:val="clear" w:color="auto" w:fill="95B3D7" w:themeFill="accent1" w:themeFillTint="99"/>
            <w:vAlign w:val="center"/>
          </w:tcPr>
          <w:p w:rsidR="000E7FF2" w:rsidRPr="00BD416E" w:rsidRDefault="000E7FF2" w:rsidP="00BD416E">
            <w:pPr>
              <w:spacing w:after="0" w:line="240" w:lineRule="auto"/>
              <w:jc w:val="center"/>
              <w:rPr>
                <w:rFonts w:ascii="Calibri" w:hAnsi="Calibri" w:cs="Calibri"/>
                <w:b/>
                <w:bCs/>
                <w:sz w:val="24"/>
                <w:szCs w:val="24"/>
              </w:rPr>
            </w:pPr>
            <w:r w:rsidRPr="00BD416E">
              <w:rPr>
                <w:rFonts w:ascii="Calibri" w:hAnsi="Calibri" w:cs="Calibri"/>
                <w:b/>
                <w:bCs/>
                <w:sz w:val="24"/>
                <w:szCs w:val="24"/>
              </w:rPr>
              <w:t>Intit</w:t>
            </w:r>
            <w:r w:rsidRPr="00BD416E">
              <w:rPr>
                <w:rFonts w:ascii="Calibri" w:hAnsi="Calibri" w:cs="Calibri"/>
                <w:b/>
                <w:bCs/>
                <w:sz w:val="24"/>
                <w:szCs w:val="24"/>
                <w:shd w:val="clear" w:color="auto" w:fill="95B3D7" w:themeFill="accent1" w:themeFillTint="99"/>
              </w:rPr>
              <w:t>u</w:t>
            </w:r>
            <w:r w:rsidRPr="00BD416E">
              <w:rPr>
                <w:rFonts w:ascii="Calibri" w:hAnsi="Calibri" w:cs="Calibri"/>
                <w:b/>
                <w:bCs/>
                <w:sz w:val="24"/>
                <w:szCs w:val="24"/>
              </w:rPr>
              <w:t>lé :</w:t>
            </w:r>
          </w:p>
        </w:tc>
        <w:tc>
          <w:tcPr>
            <w:tcW w:w="7938" w:type="dxa"/>
            <w:tcBorders>
              <w:top w:val="single" w:sz="18" w:space="0" w:color="auto"/>
              <w:left w:val="single" w:sz="4" w:space="0" w:color="auto"/>
              <w:bottom w:val="single" w:sz="4" w:space="0" w:color="auto"/>
              <w:right w:val="single" w:sz="18" w:space="0" w:color="auto"/>
            </w:tcBorders>
            <w:shd w:val="clear" w:color="auto" w:fill="auto"/>
          </w:tcPr>
          <w:p w:rsidR="000E7FF2" w:rsidRPr="00BD416E" w:rsidRDefault="000E7FF2" w:rsidP="00BD416E">
            <w:pPr>
              <w:spacing w:after="0" w:line="240" w:lineRule="auto"/>
              <w:rPr>
                <w:rFonts w:ascii="Times New Roman" w:hAnsi="Times New Roman" w:cs="Times New Roman"/>
                <w:color w:val="000000"/>
                <w:sz w:val="24"/>
                <w:szCs w:val="24"/>
              </w:rPr>
            </w:pPr>
            <w:r w:rsidRPr="00BD416E">
              <w:rPr>
                <w:color w:val="000000"/>
                <w:sz w:val="24"/>
                <w:szCs w:val="24"/>
              </w:rPr>
              <w:t>Mastics pour joints pour des usages non structuraux dans les constructions immobilières et pour chemins piétonniers - Partie 4 : Mas</w:t>
            </w:r>
            <w:r w:rsidR="00420CEB">
              <w:rPr>
                <w:color w:val="000000"/>
                <w:sz w:val="24"/>
                <w:szCs w:val="24"/>
              </w:rPr>
              <w:t xml:space="preserve">tics pour chemins piétonniers </w:t>
            </w:r>
          </w:p>
        </w:tc>
      </w:tr>
      <w:tr w:rsidR="000E7FF2" w:rsidRPr="0043547B" w:rsidTr="00BD416E">
        <w:trPr>
          <w:trHeight w:val="1595"/>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0E7FF2" w:rsidRPr="00BD416E" w:rsidRDefault="000E7FF2" w:rsidP="00BD416E">
            <w:pPr>
              <w:spacing w:after="0" w:line="240" w:lineRule="auto"/>
              <w:jc w:val="center"/>
              <w:rPr>
                <w:rFonts w:ascii="Calibri" w:hAnsi="Calibri" w:cs="Calibri"/>
                <w:b/>
                <w:bCs/>
                <w:sz w:val="24"/>
                <w:szCs w:val="24"/>
              </w:rPr>
            </w:pPr>
            <w:r w:rsidRPr="00BD416E">
              <w:rPr>
                <w:rFonts w:ascii="Calibri" w:hAnsi="Calibri" w:cs="Calibr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bottom"/>
          </w:tcPr>
          <w:p w:rsidR="00BD416E" w:rsidRDefault="000E7FF2" w:rsidP="00BD416E">
            <w:pPr>
              <w:spacing w:after="0" w:line="240" w:lineRule="auto"/>
              <w:jc w:val="both"/>
              <w:rPr>
                <w:color w:val="000000"/>
                <w:sz w:val="24"/>
                <w:szCs w:val="24"/>
              </w:rPr>
            </w:pPr>
            <w:r w:rsidRPr="00BD416E">
              <w:rPr>
                <w:color w:val="000000"/>
                <w:sz w:val="24"/>
                <w:szCs w:val="24"/>
              </w:rPr>
              <w:t>La présente Norme européenne spécifie les définitions et les exigences relatives aux mastics élastiques</w:t>
            </w:r>
            <w:r w:rsidR="00BD416E">
              <w:rPr>
                <w:color w:val="000000"/>
                <w:sz w:val="24"/>
                <w:szCs w:val="24"/>
              </w:rPr>
              <w:t xml:space="preserve"> </w:t>
            </w:r>
            <w:r w:rsidRPr="00BD416E">
              <w:rPr>
                <w:color w:val="000000"/>
                <w:sz w:val="24"/>
                <w:szCs w:val="24"/>
              </w:rPr>
              <w:t>non structuraux appliqués à froid utilisés pour réaliser des joints dynamiques de planchers dans le</w:t>
            </w:r>
            <w:r w:rsidR="00BD416E">
              <w:rPr>
                <w:color w:val="000000"/>
                <w:sz w:val="24"/>
                <w:szCs w:val="24"/>
              </w:rPr>
              <w:t xml:space="preserve"> </w:t>
            </w:r>
            <w:r w:rsidRPr="00BD416E">
              <w:rPr>
                <w:color w:val="000000"/>
                <w:sz w:val="24"/>
                <w:szCs w:val="24"/>
              </w:rPr>
              <w:t>domaine de la construction immobilière et prévus pour un usage intérieur ou extérieur.</w:t>
            </w:r>
          </w:p>
          <w:p w:rsidR="00BD416E" w:rsidRDefault="000E7FF2" w:rsidP="00BD416E">
            <w:pPr>
              <w:spacing w:after="0" w:line="240" w:lineRule="auto"/>
              <w:jc w:val="both"/>
              <w:rPr>
                <w:color w:val="000000"/>
                <w:sz w:val="24"/>
                <w:szCs w:val="24"/>
              </w:rPr>
            </w:pPr>
            <w:r w:rsidRPr="00BD416E">
              <w:rPr>
                <w:color w:val="000000"/>
                <w:sz w:val="24"/>
                <w:szCs w:val="24"/>
              </w:rPr>
              <w:t>Les domaines d'application sont les suivants : joints de planchers conçus pour les chemins piétonniers,</w:t>
            </w:r>
            <w:r w:rsidR="00BD416E">
              <w:rPr>
                <w:color w:val="000000"/>
                <w:sz w:val="24"/>
                <w:szCs w:val="24"/>
              </w:rPr>
              <w:t xml:space="preserve"> </w:t>
            </w:r>
            <w:r w:rsidRPr="00BD416E">
              <w:rPr>
                <w:color w:val="000000"/>
                <w:sz w:val="24"/>
                <w:szCs w:val="24"/>
              </w:rPr>
              <w:t>lieux publics, joints dynamiques entre des dalles en béton, zones soumises à une charge piétonnière,</w:t>
            </w:r>
            <w:r w:rsidR="00BD416E">
              <w:rPr>
                <w:color w:val="000000"/>
                <w:sz w:val="24"/>
                <w:szCs w:val="24"/>
              </w:rPr>
              <w:t xml:space="preserve"> </w:t>
            </w:r>
            <w:r w:rsidRPr="00BD416E">
              <w:rPr>
                <w:color w:val="000000"/>
                <w:sz w:val="24"/>
                <w:szCs w:val="24"/>
              </w:rPr>
              <w:t>zones où circulent des chariots, planchers à usage piétonnier, balcons, terrasses et entrepôts.</w:t>
            </w:r>
          </w:p>
          <w:p w:rsidR="00BD416E" w:rsidRPr="00837843" w:rsidRDefault="000E7FF2" w:rsidP="00837843">
            <w:pPr>
              <w:spacing w:after="0" w:line="240" w:lineRule="auto"/>
              <w:jc w:val="both"/>
              <w:rPr>
                <w:i/>
                <w:iCs/>
                <w:color w:val="000000"/>
              </w:rPr>
            </w:pPr>
            <w:r w:rsidRPr="00837843">
              <w:rPr>
                <w:b/>
                <w:bCs/>
                <w:i/>
                <w:iCs/>
                <w:color w:val="000000"/>
              </w:rPr>
              <w:t>NOTE</w:t>
            </w:r>
            <w:r w:rsidRPr="00837843">
              <w:rPr>
                <w:i/>
                <w:iCs/>
                <w:color w:val="000000"/>
              </w:rPr>
              <w:t xml:space="preserve"> Les dispositions concernant l'évaluation et la vérification de la constance des performances, ou EVCP, (à</w:t>
            </w:r>
            <w:r w:rsidR="00BD416E" w:rsidRPr="00837843">
              <w:rPr>
                <w:i/>
                <w:iCs/>
                <w:color w:val="000000"/>
              </w:rPr>
              <w:t xml:space="preserve"> </w:t>
            </w:r>
            <w:r w:rsidRPr="00837843">
              <w:rPr>
                <w:i/>
                <w:iCs/>
                <w:color w:val="000000"/>
              </w:rPr>
              <w:t>savoir la détermination du type de produit et le contrôle de la production en usine) et le marquage de ces produits</w:t>
            </w:r>
            <w:r w:rsidR="00837843">
              <w:rPr>
                <w:i/>
                <w:iCs/>
                <w:color w:val="000000"/>
              </w:rPr>
              <w:t xml:space="preserve"> </w:t>
            </w:r>
            <w:r w:rsidRPr="00837843">
              <w:rPr>
                <w:i/>
                <w:iCs/>
                <w:color w:val="000000"/>
              </w:rPr>
              <w:t>sont données dans l'EN 15651‐5.</w:t>
            </w:r>
          </w:p>
          <w:p w:rsidR="00837843" w:rsidRDefault="000E7FF2" w:rsidP="00837843">
            <w:pPr>
              <w:spacing w:after="0" w:line="240" w:lineRule="auto"/>
              <w:jc w:val="both"/>
              <w:rPr>
                <w:color w:val="000000"/>
                <w:sz w:val="24"/>
                <w:szCs w:val="24"/>
              </w:rPr>
            </w:pPr>
            <w:r w:rsidRPr="00BD416E">
              <w:rPr>
                <w:color w:val="000000"/>
                <w:sz w:val="24"/>
                <w:szCs w:val="24"/>
              </w:rPr>
              <w:t>Sont exclus les applications pour réservoirs de produits chimiques, les mastics pour joints appliqués à</w:t>
            </w:r>
            <w:r w:rsidR="00837843">
              <w:rPr>
                <w:color w:val="000000"/>
                <w:sz w:val="24"/>
                <w:szCs w:val="24"/>
              </w:rPr>
              <w:t xml:space="preserve"> </w:t>
            </w:r>
            <w:r w:rsidRPr="00BD416E">
              <w:rPr>
                <w:color w:val="000000"/>
                <w:sz w:val="24"/>
                <w:szCs w:val="24"/>
              </w:rPr>
              <w:t>froid pour les dalles en béton routières destinés aux routes, terrains d'aviation et stations d'épurations,</w:t>
            </w:r>
            <w:r w:rsidR="00837843">
              <w:rPr>
                <w:color w:val="000000"/>
                <w:sz w:val="24"/>
                <w:szCs w:val="24"/>
              </w:rPr>
              <w:t xml:space="preserve"> </w:t>
            </w:r>
            <w:r w:rsidRPr="00BD416E">
              <w:rPr>
                <w:color w:val="000000"/>
                <w:sz w:val="24"/>
                <w:szCs w:val="24"/>
              </w:rPr>
              <w:t>ainsi que les joints périphériques et les joints pour parquets en bois.</w:t>
            </w:r>
          </w:p>
          <w:p w:rsidR="000E7FF2" w:rsidRPr="00BD416E" w:rsidRDefault="000E7FF2" w:rsidP="00837843">
            <w:pPr>
              <w:spacing w:after="0" w:line="240" w:lineRule="auto"/>
              <w:jc w:val="both"/>
              <w:rPr>
                <w:rFonts w:ascii="Times New Roman" w:hAnsi="Times New Roman" w:cs="Times New Roman"/>
                <w:color w:val="000000"/>
                <w:sz w:val="24"/>
                <w:szCs w:val="24"/>
              </w:rPr>
            </w:pPr>
            <w:r w:rsidRPr="00BD416E">
              <w:rPr>
                <w:color w:val="000000"/>
                <w:sz w:val="24"/>
                <w:szCs w:val="24"/>
              </w:rPr>
              <w:t>La présente Norme européenne ne s'applique pas aux produits pour joints non structuraux sous une</w:t>
            </w:r>
            <w:r w:rsidR="00837843">
              <w:rPr>
                <w:color w:val="000000"/>
                <w:sz w:val="24"/>
                <w:szCs w:val="24"/>
              </w:rPr>
              <w:t xml:space="preserve"> </w:t>
            </w:r>
            <w:r w:rsidRPr="00BD416E">
              <w:rPr>
                <w:color w:val="000000"/>
                <w:sz w:val="24"/>
                <w:szCs w:val="24"/>
              </w:rPr>
              <w:t>autre forme que pâteuse utilisés dans les chemins piétonniers.</w:t>
            </w:r>
          </w:p>
        </w:tc>
      </w:tr>
      <w:tr w:rsidR="0005262F" w:rsidRPr="0043547B" w:rsidTr="009064A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05262F" w:rsidRPr="0043547B" w:rsidRDefault="0005262F" w:rsidP="0005262F">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hideMark/>
          </w:tcPr>
          <w:p w:rsidR="0005262F" w:rsidRPr="00420CEB" w:rsidRDefault="0005262F" w:rsidP="00420CEB">
            <w:pPr>
              <w:spacing w:after="0" w:line="240" w:lineRule="auto"/>
              <w:jc w:val="center"/>
              <w:rPr>
                <w:rFonts w:ascii="Calibri" w:hAnsi="Calibri" w:cs="Calibri"/>
                <w:b/>
                <w:bCs/>
                <w:sz w:val="24"/>
                <w:szCs w:val="24"/>
              </w:rPr>
            </w:pPr>
            <w:r w:rsidRPr="00420CEB">
              <w:rPr>
                <w:rFonts w:ascii="Calibri" w:hAnsi="Calibri" w:cs="Calibri"/>
                <w:b/>
                <w:bCs/>
                <w:sz w:val="24"/>
                <w:szCs w:val="24"/>
              </w:rPr>
              <w:t>NM EN 1342</w:t>
            </w:r>
          </w:p>
        </w:tc>
      </w:tr>
      <w:tr w:rsidR="0005262F" w:rsidRPr="0043547B" w:rsidTr="00554CF5">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05262F" w:rsidRPr="0043547B" w:rsidRDefault="0005262F" w:rsidP="0005262F">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05262F" w:rsidRPr="00420CEB" w:rsidRDefault="0005262F" w:rsidP="00420CEB">
            <w:pPr>
              <w:spacing w:after="0" w:line="240" w:lineRule="auto"/>
              <w:jc w:val="center"/>
              <w:rPr>
                <w:rFonts w:ascii="Calibri" w:hAnsi="Calibri" w:cs="Calibri"/>
                <w:b/>
                <w:bCs/>
                <w:sz w:val="24"/>
                <w:szCs w:val="24"/>
              </w:rPr>
            </w:pPr>
            <w:r w:rsidRPr="00420CEB">
              <w:rPr>
                <w:rFonts w:ascii="Calibri" w:hAnsi="Calibri" w:cs="Calibri"/>
                <w:b/>
                <w:bCs/>
                <w:sz w:val="24"/>
                <w:szCs w:val="24"/>
              </w:rPr>
              <w:t>EN 1342</w:t>
            </w:r>
          </w:p>
        </w:tc>
      </w:tr>
      <w:tr w:rsidR="0005262F" w:rsidRPr="0043547B" w:rsidTr="009064A0">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05262F" w:rsidRPr="0043547B" w:rsidRDefault="0005262F" w:rsidP="0005262F">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hideMark/>
          </w:tcPr>
          <w:p w:rsidR="0005262F" w:rsidRPr="00420CEB" w:rsidRDefault="0005262F" w:rsidP="00420CEB">
            <w:pPr>
              <w:spacing w:after="0" w:line="240" w:lineRule="auto"/>
              <w:jc w:val="both"/>
              <w:rPr>
                <w:rFonts w:ascii="Calibri" w:hAnsi="Calibri" w:cs="Calibri"/>
              </w:rPr>
            </w:pPr>
            <w:r w:rsidRPr="00420CEB">
              <w:rPr>
                <w:rFonts w:ascii="Calibri" w:hAnsi="Calibri" w:cs="Calibri"/>
              </w:rPr>
              <w:t xml:space="preserve">Pavés de pierre naturelle pour le pavage extérieur - Exigences et méthodes d’essai </w:t>
            </w:r>
          </w:p>
        </w:tc>
      </w:tr>
      <w:tr w:rsidR="0005262F" w:rsidRPr="0043547B" w:rsidTr="009064A0">
        <w:trPr>
          <w:trHeight w:val="1277"/>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05262F" w:rsidRPr="0043547B" w:rsidRDefault="0005262F" w:rsidP="0005262F">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bottom"/>
            <w:hideMark/>
          </w:tcPr>
          <w:p w:rsidR="0005262F" w:rsidRPr="00420CEB" w:rsidRDefault="0005262F" w:rsidP="00420CEB">
            <w:pPr>
              <w:spacing w:after="0" w:line="240" w:lineRule="auto"/>
              <w:jc w:val="both"/>
              <w:rPr>
                <w:rFonts w:ascii="Calibri" w:hAnsi="Calibri" w:cs="Calibri"/>
              </w:rPr>
            </w:pPr>
            <w:r w:rsidRPr="00420CEB">
              <w:rPr>
                <w:rFonts w:ascii="Calibri" w:hAnsi="Calibri" w:cs="Calibri"/>
              </w:rPr>
              <w:t>La norme spécifie les exigences de performances relatives aux pavés de pierre naturelle utilisés pour le pavage de sol extérieur, et les méthodes d’essai correspondantes.</w:t>
            </w:r>
            <w:r w:rsidRPr="00420CEB">
              <w:rPr>
                <w:rFonts w:ascii="Calibri" w:hAnsi="Calibri" w:cs="Calibri"/>
              </w:rPr>
              <w:br/>
              <w:t>Elle spécifie le marquage et l'évaluation de conformité des produits à La norme.</w:t>
            </w:r>
            <w:r w:rsidRPr="00420CEB">
              <w:rPr>
                <w:rFonts w:ascii="Calibri" w:hAnsi="Calibri" w:cs="Calibri"/>
              </w:rPr>
              <w:br/>
              <w:t>La norme traite également des caractéristiques importantes sur le plan commercial.</w:t>
            </w:r>
            <w:r w:rsidRPr="00420CEB">
              <w:rPr>
                <w:rFonts w:ascii="Calibri" w:hAnsi="Calibri" w:cs="Calibri"/>
              </w:rPr>
              <w:br/>
              <w:t>Elle ne traite pas des effets des sels de déverglaçage.</w:t>
            </w:r>
          </w:p>
        </w:tc>
      </w:tr>
      <w:tr w:rsidR="0005262F" w:rsidRPr="0043547B" w:rsidTr="009064A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05262F" w:rsidRPr="0043547B" w:rsidRDefault="0005262F" w:rsidP="0005262F">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hideMark/>
          </w:tcPr>
          <w:p w:rsidR="0005262F" w:rsidRPr="00420CEB" w:rsidRDefault="0005262F" w:rsidP="00420CEB">
            <w:pPr>
              <w:spacing w:after="0" w:line="240" w:lineRule="auto"/>
              <w:jc w:val="center"/>
              <w:rPr>
                <w:rFonts w:ascii="Calibri" w:hAnsi="Calibri" w:cs="Calibri"/>
                <w:b/>
                <w:bCs/>
                <w:sz w:val="24"/>
                <w:szCs w:val="24"/>
              </w:rPr>
            </w:pPr>
            <w:r w:rsidRPr="00420CEB">
              <w:rPr>
                <w:rFonts w:ascii="Calibri" w:hAnsi="Calibri" w:cs="Calibri"/>
                <w:b/>
                <w:bCs/>
                <w:sz w:val="24"/>
                <w:szCs w:val="24"/>
              </w:rPr>
              <w:t>NM EN 1343</w:t>
            </w:r>
          </w:p>
        </w:tc>
      </w:tr>
      <w:tr w:rsidR="0005262F" w:rsidRPr="0043547B" w:rsidTr="00554CF5">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05262F" w:rsidRPr="0043547B" w:rsidRDefault="0005262F" w:rsidP="0005262F">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05262F" w:rsidRPr="00420CEB" w:rsidRDefault="0005262F" w:rsidP="00420CEB">
            <w:pPr>
              <w:spacing w:after="0" w:line="240" w:lineRule="auto"/>
              <w:jc w:val="center"/>
              <w:rPr>
                <w:rFonts w:ascii="Calibri" w:hAnsi="Calibri" w:cs="Calibri"/>
                <w:b/>
                <w:bCs/>
                <w:sz w:val="24"/>
                <w:szCs w:val="24"/>
              </w:rPr>
            </w:pPr>
            <w:r w:rsidRPr="00420CEB">
              <w:rPr>
                <w:rFonts w:ascii="Calibri" w:hAnsi="Calibri" w:cs="Calibri"/>
                <w:b/>
                <w:bCs/>
                <w:sz w:val="24"/>
                <w:szCs w:val="24"/>
              </w:rPr>
              <w:t>EN 1343</w:t>
            </w:r>
          </w:p>
        </w:tc>
      </w:tr>
      <w:tr w:rsidR="0005262F" w:rsidRPr="0043547B" w:rsidTr="009064A0">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05262F" w:rsidRPr="0043547B" w:rsidRDefault="0005262F" w:rsidP="0005262F">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hideMark/>
          </w:tcPr>
          <w:p w:rsidR="0005262F" w:rsidRPr="00420CEB" w:rsidRDefault="0005262F" w:rsidP="00420CEB">
            <w:pPr>
              <w:spacing w:after="0" w:line="240" w:lineRule="auto"/>
              <w:jc w:val="both"/>
              <w:rPr>
                <w:rFonts w:ascii="Calibri" w:hAnsi="Calibri" w:cs="Calibri"/>
              </w:rPr>
            </w:pPr>
            <w:r w:rsidRPr="00420CEB">
              <w:rPr>
                <w:rFonts w:ascii="Calibri" w:hAnsi="Calibri" w:cs="Calibri"/>
              </w:rPr>
              <w:t xml:space="preserve">Bordures de pierre naturelle pour le pavage extérieur - Exigences et méthodes d’essai </w:t>
            </w:r>
          </w:p>
        </w:tc>
      </w:tr>
      <w:tr w:rsidR="0005262F" w:rsidRPr="0043547B" w:rsidTr="009064A0">
        <w:trPr>
          <w:trHeight w:val="276"/>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05262F" w:rsidRPr="0043547B" w:rsidRDefault="0005262F" w:rsidP="0005262F">
            <w:pPr>
              <w:spacing w:after="0"/>
              <w:jc w:val="center"/>
              <w:rPr>
                <w:rFonts w:cstheme="minorHAnsi"/>
                <w:b/>
                <w:bCs/>
                <w:sz w:val="24"/>
                <w:szCs w:val="24"/>
              </w:rPr>
            </w:pPr>
            <w:r w:rsidRPr="0043547B">
              <w:rPr>
                <w:rFonts w:cstheme="minorHAnsi"/>
                <w:b/>
                <w:bCs/>
                <w:sz w:val="24"/>
                <w:szCs w:val="24"/>
              </w:rPr>
              <w:lastRenderedPageBreak/>
              <w:t>Domaine d’application :</w:t>
            </w:r>
          </w:p>
        </w:tc>
        <w:tc>
          <w:tcPr>
            <w:tcW w:w="7938" w:type="dxa"/>
            <w:tcBorders>
              <w:top w:val="nil"/>
              <w:left w:val="single" w:sz="4" w:space="0" w:color="auto"/>
              <w:bottom w:val="single" w:sz="18" w:space="0" w:color="auto"/>
              <w:right w:val="single" w:sz="18" w:space="0" w:color="auto"/>
            </w:tcBorders>
            <w:shd w:val="clear" w:color="auto" w:fill="auto"/>
            <w:vAlign w:val="bottom"/>
            <w:hideMark/>
          </w:tcPr>
          <w:p w:rsidR="0005262F" w:rsidRPr="00420CEB" w:rsidRDefault="0005262F" w:rsidP="00420CEB">
            <w:pPr>
              <w:spacing w:after="0" w:line="240" w:lineRule="auto"/>
              <w:jc w:val="both"/>
              <w:rPr>
                <w:rFonts w:ascii="Calibri" w:hAnsi="Calibri" w:cs="Calibri"/>
              </w:rPr>
            </w:pPr>
            <w:r w:rsidRPr="00420CEB">
              <w:rPr>
                <w:rFonts w:ascii="Calibri" w:hAnsi="Calibri" w:cs="Calibri"/>
              </w:rPr>
              <w:t>La norme spécifie les exigences de performances et les méthodes d’essai correspondantes, pour les bordures de pierre naturelle en emploi extérieur.</w:t>
            </w:r>
            <w:r w:rsidRPr="00420CEB">
              <w:rPr>
                <w:rFonts w:ascii="Calibri" w:hAnsi="Calibri" w:cs="Calibri"/>
              </w:rPr>
              <w:br/>
              <w:t>Elle spécifie le marquage et l'évaluation de conformité du produit à La norme.</w:t>
            </w:r>
            <w:r w:rsidRPr="00420CEB">
              <w:rPr>
                <w:rFonts w:ascii="Calibri" w:hAnsi="Calibri" w:cs="Calibri"/>
              </w:rPr>
              <w:br/>
              <w:t>La norme précise également des caractéristiques importantes sur le plan commercial.</w:t>
            </w:r>
            <w:r w:rsidRPr="00420CEB">
              <w:rPr>
                <w:rFonts w:ascii="Calibri" w:hAnsi="Calibri" w:cs="Calibri"/>
              </w:rPr>
              <w:br/>
              <w:t>Elle ne couvre pas les effets des sels de déverglaçage.</w:t>
            </w:r>
          </w:p>
        </w:tc>
      </w:tr>
      <w:tr w:rsidR="0043547B" w:rsidRPr="0043547B" w:rsidTr="00554CF5">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12859</w:t>
            </w:r>
          </w:p>
        </w:tc>
      </w:tr>
      <w:tr w:rsidR="0043547B" w:rsidRPr="0043547B" w:rsidTr="00554CF5">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12859</w:t>
            </w:r>
          </w:p>
        </w:tc>
      </w:tr>
      <w:tr w:rsidR="0043547B" w:rsidRPr="0043547B" w:rsidTr="00554CF5">
        <w:trPr>
          <w:trHeight w:val="7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Carreaux de plâtre - Définitions, spécifications et méthodes d’essai </w:t>
            </w:r>
          </w:p>
        </w:tc>
      </w:tr>
      <w:tr w:rsidR="0043547B" w:rsidRPr="0043547B" w:rsidTr="00420CEB">
        <w:trPr>
          <w:trHeight w:val="1268"/>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caractéristiques et les performances des carreaux de plâtre à faces lisses destinés principalement à la construction de cloisons de distribution non porteuses ou de doublages indépendants et à la protection contre le feu de poteaux, de gaines d’ascenseur, de gaines techniques, etc.</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carreaux de plâtre ne sont pas utilisés pour réaliser des plafonds.</w:t>
            </w:r>
          </w:p>
          <w:p w:rsidR="00904E52" w:rsidRPr="0043547B" w:rsidRDefault="00904E52" w:rsidP="00B111BE">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couvre les performances suivantes en relation avec les exigences essentielles: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la réaction au feu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la résistance au feu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l’isolation contre les bruits aériens directs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l’émission de substances dangereuses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à mesurer selon les méthodes d’essai s correspondantes, ainsi que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la résistance thermique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à calculer à l’aide des valeurs de conductivité thermique données en 4.3.2.</w:t>
            </w:r>
          </w:p>
          <w:p w:rsidR="00904E52" w:rsidRPr="0043547B" w:rsidRDefault="00904E52" w:rsidP="00CA6BDF">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définit les essais de référence pour les spécifications techniques.</w:t>
            </w:r>
          </w:p>
          <w:p w:rsidR="00B111BE" w:rsidRDefault="000C7CA0" w:rsidP="00CA6BDF">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couvre également les caractéristiques techniques supplémentaires qui sont</w:t>
            </w:r>
            <w:r w:rsidR="00CA6BDF">
              <w:rPr>
                <w:rFonts w:eastAsia="Times New Roman" w:cstheme="minorHAnsi"/>
                <w:sz w:val="24"/>
                <w:szCs w:val="24"/>
                <w:lang w:eastAsia="fr-FR"/>
              </w:rPr>
              <w:t xml:space="preserve"> </w:t>
            </w:r>
            <w:r w:rsidRPr="0043547B">
              <w:rPr>
                <w:rFonts w:eastAsia="Times New Roman" w:cstheme="minorHAnsi"/>
                <w:sz w:val="24"/>
                <w:szCs w:val="24"/>
                <w:lang w:eastAsia="fr-FR"/>
              </w:rPr>
              <w:t xml:space="preserve">importantes en vue de l’emploi et de l’acceptation du produit par l’industrie </w:t>
            </w:r>
            <w:r w:rsidR="00E10FBD" w:rsidRPr="0043547B">
              <w:rPr>
                <w:rFonts w:eastAsia="Times New Roman" w:cstheme="minorHAnsi"/>
                <w:sz w:val="24"/>
                <w:szCs w:val="24"/>
                <w:lang w:eastAsia="fr-FR"/>
              </w:rPr>
              <w:t>du bâtiment :</w:t>
            </w:r>
          </w:p>
          <w:p w:rsidR="000C7CA0" w:rsidRPr="0043547B" w:rsidRDefault="000C7CA0" w:rsidP="00CA6BDF">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classes de convenance pour la masse volumique ;</w:t>
            </w:r>
          </w:p>
          <w:p w:rsidR="000C7CA0" w:rsidRPr="0043547B" w:rsidRDefault="000C7CA0" w:rsidP="000C7CA0">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classes de convenance pour le pH.</w:t>
            </w:r>
          </w:p>
          <w:p w:rsidR="000C7CA0" w:rsidRPr="0043547B" w:rsidRDefault="000C7CA0" w:rsidP="000C7CA0">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prévoit l’évaluation de la conformité du produit en fonction de La norme.</w:t>
            </w:r>
          </w:p>
          <w:p w:rsidR="00904E52" w:rsidRPr="0043547B" w:rsidRDefault="000C7CA0" w:rsidP="000C7CA0">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ne couvre pas les carreaux de plâtre d’épaisseur inférieure à 50 mm ni les éléments en plâtre de hauteur d’étage.</w:t>
            </w:r>
          </w:p>
        </w:tc>
      </w:tr>
      <w:tr w:rsidR="0043547B" w:rsidRPr="0043547B" w:rsidTr="00554CF5">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EN 12860</w:t>
            </w:r>
            <w:r w:rsidRPr="0043547B">
              <w:rPr>
                <w:rFonts w:eastAsia="Times New Roman" w:cstheme="minorHAnsi"/>
                <w:sz w:val="24"/>
                <w:szCs w:val="24"/>
                <w:lang w:eastAsia="fr-FR"/>
              </w:rPr>
              <w:t xml:space="preserve">  </w:t>
            </w:r>
          </w:p>
        </w:tc>
      </w:tr>
      <w:tr w:rsidR="0043547B" w:rsidRPr="0043547B" w:rsidTr="00554CF5">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12860</w:t>
            </w:r>
          </w:p>
        </w:tc>
      </w:tr>
      <w:tr w:rsidR="0043547B" w:rsidRPr="0043547B" w:rsidTr="00554CF5">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Liants-colles à base de plâtre pour carreaux de plâtre - Définitions, spécifications et méthodes d’essai </w:t>
            </w:r>
          </w:p>
        </w:tc>
      </w:tr>
      <w:tr w:rsidR="0043547B" w:rsidRPr="0043547B" w:rsidTr="00E95C31">
        <w:trPr>
          <w:trHeight w:val="701"/>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B111BE" w:rsidRPr="0043547B" w:rsidRDefault="00904E52" w:rsidP="00B111BE">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La norme spécifie les caractéristiques et les performances des liants-colles à base de plâtre utilisé pour assembler des carreaux de plâtre ou autres éléments en plâtre. </w:t>
            </w:r>
            <w:r w:rsidR="00B111BE" w:rsidRPr="0043547B">
              <w:rPr>
                <w:rFonts w:eastAsia="Times New Roman" w:cstheme="minorHAnsi"/>
                <w:sz w:val="24"/>
                <w:szCs w:val="24"/>
                <w:lang w:eastAsia="fr-FR"/>
              </w:rPr>
              <w:t>Elle couvre les performances suivantes en relation avec les exigences essentielles :</w:t>
            </w:r>
          </w:p>
          <w:p w:rsidR="0045784D" w:rsidRPr="0043547B" w:rsidRDefault="0045784D" w:rsidP="0045784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la réaction au feu ;</w:t>
            </w:r>
          </w:p>
          <w:p w:rsidR="0045784D" w:rsidRPr="0043547B" w:rsidRDefault="0045784D" w:rsidP="0045784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l'émission de substances dangereuses ;</w:t>
            </w:r>
          </w:p>
          <w:p w:rsidR="0045784D" w:rsidRPr="0043547B" w:rsidRDefault="0045784D" w:rsidP="0045784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à mesurer selon les méthodes d'essai s correspondantes.</w:t>
            </w:r>
          </w:p>
          <w:p w:rsidR="0045784D" w:rsidRPr="0043547B" w:rsidRDefault="0045784D" w:rsidP="0045784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définit les essais de référence pour les spécifications techniques.</w:t>
            </w:r>
          </w:p>
          <w:p w:rsidR="0045784D" w:rsidRPr="0043547B" w:rsidRDefault="0045784D" w:rsidP="0045784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prévoit l'évaluation de la conformité du produit à La norme.</w:t>
            </w:r>
          </w:p>
          <w:p w:rsidR="0045784D" w:rsidRDefault="0045784D" w:rsidP="0045784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couvre également les caractéristiques techniques suivantes qui sont importantes en vue de l'emploi et de l'acceptation du produit par l'industrie du bâtiment :</w:t>
            </w:r>
          </w:p>
          <w:p w:rsidR="0045784D" w:rsidRPr="0043547B" w:rsidRDefault="0045784D" w:rsidP="0045784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l'isolation contre les bruits aériens direct ;</w:t>
            </w:r>
          </w:p>
          <w:p w:rsidR="0045784D" w:rsidRPr="0043547B" w:rsidRDefault="0045784D" w:rsidP="0045784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l'adhérence ;</w:t>
            </w:r>
          </w:p>
          <w:p w:rsidR="00904E52" w:rsidRPr="0043547B" w:rsidRDefault="0045784D" w:rsidP="0045784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lastRenderedPageBreak/>
              <w:t>— la résistance thermique, à calculer à l'aide des valeurs de conductivité thermique du Tableau 1 (voir 5.3.2).</w:t>
            </w:r>
          </w:p>
        </w:tc>
      </w:tr>
      <w:tr w:rsidR="003F5F02" w:rsidRPr="0043547B" w:rsidTr="003F5F02">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3F5F02" w:rsidRPr="0043547B" w:rsidRDefault="003F5F02" w:rsidP="003F5F02">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hideMark/>
          </w:tcPr>
          <w:p w:rsidR="003F5F02" w:rsidRPr="00420CEB" w:rsidRDefault="003F5F02" w:rsidP="00420CEB">
            <w:pPr>
              <w:spacing w:after="0" w:line="240" w:lineRule="auto"/>
              <w:jc w:val="center"/>
              <w:rPr>
                <w:rFonts w:ascii="Calibri" w:hAnsi="Calibri" w:cs="Calibri"/>
                <w:b/>
                <w:bCs/>
                <w:sz w:val="24"/>
                <w:szCs w:val="24"/>
              </w:rPr>
            </w:pPr>
            <w:r w:rsidRPr="00420CEB">
              <w:rPr>
                <w:rFonts w:ascii="Calibri" w:hAnsi="Calibri" w:cs="Calibri"/>
                <w:b/>
                <w:bCs/>
                <w:sz w:val="24"/>
                <w:szCs w:val="24"/>
              </w:rPr>
              <w:t>NM EN 12057</w:t>
            </w:r>
          </w:p>
        </w:tc>
      </w:tr>
      <w:tr w:rsidR="003F5F02" w:rsidRPr="0043547B" w:rsidTr="00554CF5">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3F5F02" w:rsidRPr="0043547B" w:rsidRDefault="003F5F02" w:rsidP="003F5F0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3F5F02" w:rsidRPr="00420CEB" w:rsidRDefault="003F5F02" w:rsidP="00420CEB">
            <w:pPr>
              <w:spacing w:after="0" w:line="240" w:lineRule="auto"/>
              <w:jc w:val="center"/>
              <w:rPr>
                <w:rFonts w:ascii="Calibri" w:hAnsi="Calibri" w:cs="Calibri"/>
                <w:b/>
                <w:bCs/>
                <w:sz w:val="24"/>
                <w:szCs w:val="24"/>
              </w:rPr>
            </w:pPr>
            <w:r w:rsidRPr="00420CEB">
              <w:rPr>
                <w:rFonts w:ascii="Calibri" w:hAnsi="Calibri" w:cs="Calibri"/>
                <w:b/>
                <w:bCs/>
                <w:sz w:val="24"/>
                <w:szCs w:val="24"/>
              </w:rPr>
              <w:t>EN 12057</w:t>
            </w:r>
          </w:p>
        </w:tc>
      </w:tr>
      <w:tr w:rsidR="003F5F02" w:rsidRPr="0043547B" w:rsidTr="003F5F02">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3F5F02" w:rsidRPr="0043547B" w:rsidRDefault="003F5F02" w:rsidP="003F5F0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hideMark/>
          </w:tcPr>
          <w:p w:rsidR="003F5F02" w:rsidRPr="00420CEB" w:rsidRDefault="003F5F02" w:rsidP="00420CEB">
            <w:pPr>
              <w:spacing w:after="0" w:line="240" w:lineRule="auto"/>
              <w:jc w:val="both"/>
              <w:rPr>
                <w:rFonts w:ascii="Calibri" w:hAnsi="Calibri" w:cs="Calibri"/>
              </w:rPr>
            </w:pPr>
            <w:r w:rsidRPr="00420CEB">
              <w:rPr>
                <w:rFonts w:ascii="Calibri" w:hAnsi="Calibri" w:cs="Calibri"/>
              </w:rPr>
              <w:t xml:space="preserve">Produits en pierre naturelle - Plaquette modulaires – Exigences </w:t>
            </w:r>
          </w:p>
        </w:tc>
      </w:tr>
      <w:tr w:rsidR="003F5F02" w:rsidRPr="0043547B" w:rsidTr="003F5F02">
        <w:trPr>
          <w:trHeight w:val="141"/>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3F5F02" w:rsidRPr="0043547B" w:rsidRDefault="003F5F02" w:rsidP="003F5F0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bottom"/>
            <w:hideMark/>
          </w:tcPr>
          <w:p w:rsidR="003F5F02" w:rsidRPr="00420CEB" w:rsidRDefault="003F5F02" w:rsidP="00420CEB">
            <w:pPr>
              <w:spacing w:after="0" w:line="240" w:lineRule="auto"/>
              <w:jc w:val="both"/>
              <w:rPr>
                <w:rFonts w:ascii="Calibri" w:hAnsi="Calibri" w:cs="Calibri"/>
              </w:rPr>
            </w:pPr>
            <w:r w:rsidRPr="00420CEB">
              <w:rPr>
                <w:rFonts w:ascii="Calibri" w:hAnsi="Calibri" w:cs="Calibri"/>
              </w:rPr>
              <w:t>Le présent document définit les exigences relatives aux plaquettes modulaires planes en pierre naturelle destinées à être utilisées pour les sols, les escaliers, les revêtements muraux et les finitions de plafonds. Il ne couvre pas les agrégats</w:t>
            </w:r>
            <w:r w:rsidR="00420CEB">
              <w:rPr>
                <w:rFonts w:ascii="Calibri" w:hAnsi="Calibri" w:cs="Calibri"/>
              </w:rPr>
              <w:t xml:space="preserve"> </w:t>
            </w:r>
            <w:r w:rsidRPr="00420CEB">
              <w:rPr>
                <w:rFonts w:ascii="Calibri" w:hAnsi="Calibri" w:cs="Calibri"/>
              </w:rPr>
              <w:t>minéraux ni les matériaux rocheux agglomérés artificiellement, et ne concerne pas la mise en oeuvre.</w:t>
            </w:r>
          </w:p>
        </w:tc>
      </w:tr>
      <w:tr w:rsidR="003F5F02" w:rsidRPr="0043547B" w:rsidTr="003F5F02">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3F5F02" w:rsidRPr="0043547B" w:rsidRDefault="003F5F02" w:rsidP="003F5F0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hideMark/>
          </w:tcPr>
          <w:p w:rsidR="003F5F02" w:rsidRPr="00420CEB" w:rsidRDefault="003F5F02" w:rsidP="00420CEB">
            <w:pPr>
              <w:spacing w:after="0" w:line="240" w:lineRule="auto"/>
              <w:jc w:val="center"/>
              <w:rPr>
                <w:rFonts w:ascii="Calibri" w:hAnsi="Calibri" w:cs="Calibri"/>
                <w:b/>
                <w:bCs/>
                <w:sz w:val="24"/>
                <w:szCs w:val="24"/>
              </w:rPr>
            </w:pPr>
            <w:r w:rsidRPr="00420CEB">
              <w:rPr>
                <w:rFonts w:ascii="Calibri" w:hAnsi="Calibri" w:cs="Calibri"/>
                <w:b/>
                <w:bCs/>
                <w:sz w:val="24"/>
                <w:szCs w:val="24"/>
              </w:rPr>
              <w:t>NM EN 1469</w:t>
            </w:r>
          </w:p>
        </w:tc>
      </w:tr>
      <w:tr w:rsidR="003F5F02" w:rsidRPr="0043547B" w:rsidTr="00554CF5">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3F5F02" w:rsidRPr="0043547B" w:rsidRDefault="003F5F02" w:rsidP="003F5F0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3F5F02" w:rsidRPr="00420CEB" w:rsidRDefault="003F5F02" w:rsidP="00420CEB">
            <w:pPr>
              <w:spacing w:after="0" w:line="240" w:lineRule="auto"/>
              <w:jc w:val="center"/>
              <w:rPr>
                <w:rFonts w:ascii="Calibri" w:hAnsi="Calibri" w:cs="Calibri"/>
                <w:b/>
                <w:bCs/>
                <w:sz w:val="24"/>
                <w:szCs w:val="24"/>
              </w:rPr>
            </w:pPr>
            <w:r w:rsidRPr="00420CEB">
              <w:rPr>
                <w:rFonts w:ascii="Calibri" w:hAnsi="Calibri" w:cs="Calibri"/>
                <w:b/>
                <w:bCs/>
                <w:sz w:val="24"/>
                <w:szCs w:val="24"/>
              </w:rPr>
              <w:t>EN 1469</w:t>
            </w:r>
          </w:p>
        </w:tc>
      </w:tr>
      <w:tr w:rsidR="003F5F02" w:rsidRPr="0043547B" w:rsidTr="003F5F02">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3F5F02" w:rsidRPr="0043547B" w:rsidRDefault="003F5F02" w:rsidP="003F5F0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hideMark/>
          </w:tcPr>
          <w:p w:rsidR="003F5F02" w:rsidRPr="00420CEB" w:rsidRDefault="003F5F02" w:rsidP="00420CEB">
            <w:pPr>
              <w:spacing w:after="0" w:line="240" w:lineRule="auto"/>
              <w:jc w:val="both"/>
              <w:rPr>
                <w:rFonts w:ascii="Calibri" w:hAnsi="Calibri" w:cs="Calibri"/>
              </w:rPr>
            </w:pPr>
            <w:r w:rsidRPr="00420CEB">
              <w:rPr>
                <w:rFonts w:ascii="Calibri" w:hAnsi="Calibri" w:cs="Calibri"/>
              </w:rPr>
              <w:t xml:space="preserve">Produits   en   pierre   naturelle - Dalles   de revêtement mural - Exigences </w:t>
            </w:r>
          </w:p>
        </w:tc>
      </w:tr>
      <w:tr w:rsidR="003F5F02" w:rsidRPr="0043547B" w:rsidTr="003F5F02">
        <w:trPr>
          <w:trHeight w:val="915"/>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3F5F02" w:rsidRPr="0043547B" w:rsidRDefault="003F5F02" w:rsidP="003F5F0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bottom"/>
            <w:hideMark/>
          </w:tcPr>
          <w:p w:rsidR="003F5F02" w:rsidRPr="00420CEB" w:rsidRDefault="003F5F02" w:rsidP="00420CEB">
            <w:pPr>
              <w:spacing w:after="0" w:line="240" w:lineRule="auto"/>
              <w:jc w:val="both"/>
              <w:rPr>
                <w:rFonts w:ascii="Calibri" w:hAnsi="Calibri" w:cs="Calibri"/>
              </w:rPr>
            </w:pPr>
            <w:r w:rsidRPr="00420CEB">
              <w:rPr>
                <w:rFonts w:ascii="Calibri" w:hAnsi="Calibri" w:cs="Calibri"/>
              </w:rPr>
              <w:t>Le présent document définit les exigences relatives aux dalles en pierre naturelle destinées à être utilisées pour les revêtements de murs et de plafonds. Il ne couvre pas les agrégats ni les matériaux rocheux agglomérés artificiellement, et</w:t>
            </w:r>
            <w:r w:rsidR="00420CEB">
              <w:rPr>
                <w:rFonts w:ascii="Calibri" w:hAnsi="Calibri" w:cs="Calibri"/>
              </w:rPr>
              <w:t xml:space="preserve"> </w:t>
            </w:r>
            <w:r w:rsidRPr="00420CEB">
              <w:rPr>
                <w:rFonts w:ascii="Calibri" w:hAnsi="Calibri" w:cs="Calibri"/>
              </w:rPr>
              <w:t>ne concerne pas la mise en œuvre des revêtements de murs.</w:t>
            </w:r>
          </w:p>
        </w:tc>
      </w:tr>
      <w:tr w:rsidR="003F5F02" w:rsidRPr="0043547B" w:rsidTr="003F5F02">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3F5F02" w:rsidRPr="0043547B" w:rsidRDefault="003F5F02" w:rsidP="003F5F0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hideMark/>
          </w:tcPr>
          <w:p w:rsidR="003F5F02" w:rsidRPr="00420CEB" w:rsidRDefault="003F5F02" w:rsidP="00420CEB">
            <w:pPr>
              <w:spacing w:after="0" w:line="240" w:lineRule="auto"/>
              <w:jc w:val="center"/>
              <w:rPr>
                <w:rFonts w:ascii="Calibri" w:hAnsi="Calibri" w:cs="Calibri"/>
                <w:b/>
                <w:bCs/>
                <w:sz w:val="24"/>
                <w:szCs w:val="24"/>
              </w:rPr>
            </w:pPr>
            <w:r w:rsidRPr="00420CEB">
              <w:rPr>
                <w:rFonts w:ascii="Calibri" w:hAnsi="Calibri" w:cs="Calibri"/>
                <w:b/>
                <w:bCs/>
                <w:sz w:val="24"/>
                <w:szCs w:val="24"/>
              </w:rPr>
              <w:t>NM EN 12058</w:t>
            </w:r>
          </w:p>
        </w:tc>
      </w:tr>
      <w:tr w:rsidR="003F5F02" w:rsidRPr="0043547B" w:rsidTr="00554CF5">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3F5F02" w:rsidRPr="0043547B" w:rsidRDefault="003F5F02" w:rsidP="003F5F0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3F5F02" w:rsidRPr="00420CEB" w:rsidRDefault="003F5F02" w:rsidP="00420CEB">
            <w:pPr>
              <w:spacing w:after="0" w:line="240" w:lineRule="auto"/>
              <w:jc w:val="center"/>
              <w:rPr>
                <w:rFonts w:ascii="Calibri" w:hAnsi="Calibri" w:cs="Calibri"/>
                <w:b/>
                <w:bCs/>
                <w:sz w:val="24"/>
                <w:szCs w:val="24"/>
              </w:rPr>
            </w:pPr>
            <w:r w:rsidRPr="00420CEB">
              <w:rPr>
                <w:rFonts w:ascii="Calibri" w:hAnsi="Calibri" w:cs="Calibri"/>
                <w:b/>
                <w:bCs/>
                <w:sz w:val="24"/>
                <w:szCs w:val="24"/>
              </w:rPr>
              <w:t>EN 12058</w:t>
            </w:r>
          </w:p>
        </w:tc>
      </w:tr>
      <w:tr w:rsidR="003F5F02" w:rsidRPr="0043547B" w:rsidTr="003F5F02">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3F5F02" w:rsidRPr="0043547B" w:rsidRDefault="003F5F02" w:rsidP="003F5F0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hideMark/>
          </w:tcPr>
          <w:p w:rsidR="003F5F02" w:rsidRPr="00420CEB" w:rsidRDefault="003F5F02" w:rsidP="00420CEB">
            <w:pPr>
              <w:spacing w:after="0" w:line="240" w:lineRule="auto"/>
              <w:jc w:val="both"/>
              <w:rPr>
                <w:rFonts w:ascii="Calibri" w:hAnsi="Calibri" w:cs="Calibri"/>
              </w:rPr>
            </w:pPr>
            <w:r w:rsidRPr="00420CEB">
              <w:rPr>
                <w:rFonts w:ascii="Calibri" w:hAnsi="Calibri" w:cs="Calibri"/>
              </w:rPr>
              <w:t xml:space="preserve">Produits en pierres naturelles - Dalles de revêtement de sols et d'escaliers – Exigences </w:t>
            </w:r>
          </w:p>
        </w:tc>
      </w:tr>
      <w:tr w:rsidR="003F5F02" w:rsidRPr="0043547B" w:rsidTr="003F5F02">
        <w:trPr>
          <w:trHeight w:val="96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3F5F02" w:rsidRPr="0043547B" w:rsidRDefault="003F5F02" w:rsidP="003F5F0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bottom"/>
            <w:hideMark/>
          </w:tcPr>
          <w:p w:rsidR="003F5F02" w:rsidRPr="00420CEB" w:rsidRDefault="003F5F02" w:rsidP="00420CEB">
            <w:pPr>
              <w:spacing w:after="0" w:line="240" w:lineRule="auto"/>
              <w:jc w:val="both"/>
              <w:rPr>
                <w:rFonts w:ascii="Calibri" w:hAnsi="Calibri" w:cs="Calibri"/>
              </w:rPr>
            </w:pPr>
            <w:r w:rsidRPr="00420CEB">
              <w:rPr>
                <w:rFonts w:ascii="Calibri" w:hAnsi="Calibri" w:cs="Calibri"/>
              </w:rPr>
              <w:t>Le présent document définit les exigences pour les dalles planes en pierre naturelle destinées à être utilisées pour les revêtements de sols et d’escaliers. Il ne couvre pas les agrégats minéraux ni les matériaux rocheux agglomérés</w:t>
            </w:r>
            <w:r w:rsidR="00420CEB">
              <w:rPr>
                <w:rFonts w:ascii="Calibri" w:hAnsi="Calibri" w:cs="Calibri"/>
              </w:rPr>
              <w:t xml:space="preserve"> </w:t>
            </w:r>
            <w:r w:rsidRPr="00420CEB">
              <w:rPr>
                <w:rFonts w:ascii="Calibri" w:hAnsi="Calibri" w:cs="Calibri"/>
              </w:rPr>
              <w:t>artificiellement, et ne concerne pas la mise en œuvre.</w:t>
            </w:r>
          </w:p>
        </w:tc>
      </w:tr>
      <w:tr w:rsidR="0043547B" w:rsidRPr="0043547B" w:rsidTr="00554CF5">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13006</w:t>
            </w:r>
          </w:p>
        </w:tc>
      </w:tr>
      <w:tr w:rsidR="0043547B" w:rsidRPr="0043547B" w:rsidTr="00554CF5">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13006</w:t>
            </w:r>
          </w:p>
        </w:tc>
      </w:tr>
      <w:tr w:rsidR="0043547B" w:rsidRPr="0043547B" w:rsidTr="00554CF5">
        <w:trPr>
          <w:trHeight w:val="54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2108FE" w:rsidRPr="0043547B" w:rsidRDefault="002108FE" w:rsidP="002108FE">
            <w:pPr>
              <w:spacing w:after="0" w:line="240" w:lineRule="auto"/>
              <w:jc w:val="both"/>
              <w:rPr>
                <w:rFonts w:cstheme="minorHAnsi"/>
                <w:sz w:val="24"/>
                <w:szCs w:val="24"/>
              </w:rPr>
            </w:pPr>
            <w:r w:rsidRPr="0043547B">
              <w:rPr>
                <w:rFonts w:cstheme="minorHAnsi"/>
                <w:sz w:val="24"/>
                <w:szCs w:val="24"/>
              </w:rPr>
              <w:t xml:space="preserve">Carreaux et dalles céramiques </w:t>
            </w:r>
            <w:r w:rsidR="00EE5C70" w:rsidRPr="0043547B">
              <w:rPr>
                <w:rFonts w:cstheme="minorHAnsi"/>
                <w:noProof/>
                <w:sz w:val="24"/>
                <w:szCs w:val="24"/>
                <w:lang w:eastAsia="fr-FR"/>
              </w:rPr>
              <w:drawing>
                <wp:inline distT="0" distB="0" distL="0" distR="0" wp14:anchorId="73F87794" wp14:editId="1E104FF2">
                  <wp:extent cx="183515" cy="158750"/>
                  <wp:effectExtent l="0" t="0" r="6985" b="0"/>
                  <wp:docPr id="16" name="Image 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8" cstate="print"/>
                          <a:srcRect/>
                          <a:stretch>
                            <a:fillRect/>
                          </a:stretch>
                        </pic:blipFill>
                        <pic:spPr bwMode="auto">
                          <a:xfrm>
                            <a:off x="0" y="0"/>
                            <a:ext cx="185776" cy="160706"/>
                          </a:xfrm>
                          <a:prstGeom prst="rect">
                            <a:avLst/>
                          </a:prstGeom>
                          <a:noFill/>
                          <a:ln w="9525">
                            <a:noFill/>
                            <a:miter lim="800000"/>
                            <a:headEnd/>
                            <a:tailEnd/>
                          </a:ln>
                        </pic:spPr>
                      </pic:pic>
                    </a:graphicData>
                  </a:graphic>
                </wp:inline>
              </w:drawing>
            </w:r>
          </w:p>
          <w:p w:rsidR="00904E52" w:rsidRPr="0043547B" w:rsidRDefault="002108FE" w:rsidP="00EE5C70">
            <w:pPr>
              <w:spacing w:after="0" w:line="240" w:lineRule="auto"/>
              <w:jc w:val="both"/>
              <w:rPr>
                <w:rFonts w:eastAsia="Times New Roman" w:cstheme="minorHAnsi"/>
                <w:sz w:val="24"/>
                <w:szCs w:val="24"/>
                <w:lang w:eastAsia="fr-FR"/>
              </w:rPr>
            </w:pPr>
            <w:r w:rsidRPr="0043547B">
              <w:rPr>
                <w:rFonts w:cstheme="minorHAnsi"/>
                <w:sz w:val="24"/>
                <w:szCs w:val="24"/>
              </w:rPr>
              <w:t>Définitions, classification caractéristiques et marquage</w:t>
            </w:r>
          </w:p>
        </w:tc>
      </w:tr>
      <w:tr w:rsidR="0043547B" w:rsidRPr="0043547B" w:rsidTr="00554CF5">
        <w:trPr>
          <w:trHeight w:val="559"/>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2108FE" w:rsidRPr="0043547B" w:rsidRDefault="002108FE" w:rsidP="002108FE">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internationale définit les termes et établie, classifications, caractéristiques et exigences de marquage des carreaux céramique de la meilleure qualité commerciale (première choix). Cette Norme internationale ne traite que les procédés normaux de l’extrusion ou étirage et ceux par procédé de pressage à sec.</w:t>
            </w:r>
          </w:p>
          <w:p w:rsidR="00904E52" w:rsidRPr="0043547B" w:rsidRDefault="002108FE" w:rsidP="002108FE">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Il n’est pas applicable aux accessoires décoratifs comme garniture, arêtes, coins,  plinthes, coiffages, des criques, des perles, des marches, pièces courbés et autres pièces accessoires ou des mosaïques (à savoir, toute pièce qui peut convenir à une surface de 49 cm²)       </w:t>
            </w:r>
          </w:p>
        </w:tc>
      </w:tr>
      <w:tr w:rsidR="0043547B" w:rsidRPr="0043547B" w:rsidTr="00554CF5">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10.6.159</w:t>
            </w:r>
          </w:p>
        </w:tc>
      </w:tr>
      <w:tr w:rsidR="0043547B" w:rsidRPr="0043547B" w:rsidTr="00554CF5">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 xml:space="preserve"> 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Carreaux et dalles céramiques pressés à sec à absorption d’eau E &gt; 10 % (Groupe BIII) </w:t>
            </w:r>
          </w:p>
        </w:tc>
      </w:tr>
      <w:tr w:rsidR="0043547B" w:rsidRPr="0043547B" w:rsidTr="00554CF5">
        <w:trPr>
          <w:trHeight w:val="2701"/>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dimensions, les tolérances dimensionnelles, les caractéristiques mécaniques, physiques et chimiques, l'aspect de surface et le marquage des carreaux et dalles céramiques.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n'est applicable qu'aux carreaux et dalles céramiques émaillés pressés à sec de premier choix avec une absorption d'eau (E &gt; 10 %) suivant le groupe BIII de la norme NM 10.6.087, utilisés en revêtements de murs et de sols. Les carreaux de ce groupe sont principalement utilisés dans des zones non soumises à des charges mécaniques sévères.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Ils ne doivent pas être utilisés là où des conditions de gel pourraient survenir.</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Il existe une faible production de carreaux et dalles céramiques pressés à sec non émaillés dont l'absorption d'eau est supérieure à 10 %, ils ne sont pas couverts par la norme.</w:t>
            </w:r>
          </w:p>
        </w:tc>
      </w:tr>
      <w:tr w:rsidR="0043547B" w:rsidRPr="0043547B" w:rsidTr="00554CF5">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10.6.176</w:t>
            </w:r>
          </w:p>
        </w:tc>
      </w:tr>
      <w:tr w:rsidR="0043547B" w:rsidRPr="0043547B" w:rsidTr="00554CF5">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Carreaux et dalles céramiques pressés à sec à faible absorption d’eau (E ≤ 3 %) (Groupe BI) </w:t>
            </w:r>
          </w:p>
        </w:tc>
      </w:tr>
      <w:tr w:rsidR="0043547B" w:rsidRPr="0043547B" w:rsidTr="00554CF5">
        <w:trPr>
          <w:trHeight w:val="2138"/>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dimensions, les tolérances dimensionnelles, les caractéristiques mécaniques, physiques et chimiques, l'aspect de surface et le marquage des carreaux et dalles céramiques.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ne s'applique qu'aux carreaux et dalles céramiques pressés à sec de premier choix y compris les carreaux livrés en plaques avec une absorption d'eau (E ≤  3 %) suivant le groupe BI de la norme NM 10.6.087 ; ces carreaux sont utilisés en intérieur et extérieur pour les revêtements de sols et de murs.</w:t>
            </w:r>
          </w:p>
        </w:tc>
      </w:tr>
      <w:tr w:rsidR="0043547B" w:rsidRPr="0043547B" w:rsidTr="00554CF5">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10.6.177</w:t>
            </w:r>
          </w:p>
        </w:tc>
      </w:tr>
      <w:tr w:rsidR="0043547B" w:rsidRPr="0043547B" w:rsidTr="00554CF5">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w w:val="95"/>
                <w:sz w:val="24"/>
                <w:szCs w:val="24"/>
                <w:lang w:eastAsia="fr-FR"/>
              </w:rPr>
            </w:pPr>
            <w:r w:rsidRPr="0043547B">
              <w:rPr>
                <w:rFonts w:eastAsia="Times New Roman" w:cstheme="minorHAnsi"/>
                <w:w w:val="95"/>
                <w:sz w:val="24"/>
                <w:szCs w:val="24"/>
                <w:lang w:eastAsia="fr-FR"/>
              </w:rPr>
              <w:t xml:space="preserve">Carreaux et dalles céramiques pressés à sec à absorption d’eau 3 % &lt; E ≤ 6 % (Groupe B II a) </w:t>
            </w:r>
          </w:p>
        </w:tc>
      </w:tr>
      <w:tr w:rsidR="0043547B" w:rsidRPr="0043547B" w:rsidTr="00554CF5">
        <w:trPr>
          <w:trHeight w:val="701"/>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dimensions, les tolérances dimensionnelles, les caractéristiques mécaniques, physiques et chimiques, l'aspect de surface et le marquage des carreaux et dalles céramiques.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n'est applicable qu'aux carreaux et dalles céramiques pressés à sec de premier choix y compris les carreaux livrés en plaques, avec une absorption d'eau 3 % &lt; E ≤ 6 % suivant le groupe B ll a de la norme NM 10.6.087, ces carreaux et dalles sont utilisés en intérieur et en extérieur pour les revêtements de sols et de murs.</w:t>
            </w:r>
          </w:p>
        </w:tc>
      </w:tr>
      <w:tr w:rsidR="0043547B" w:rsidRPr="0043547B" w:rsidTr="00554CF5">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10.6.178</w:t>
            </w:r>
          </w:p>
        </w:tc>
      </w:tr>
      <w:tr w:rsidR="0043547B" w:rsidRPr="0043547B" w:rsidTr="00554CF5">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Carreaux et dalles céramiques pressés à sec à absorption d’eau 6 % &lt; E ≤ 10 % (Groupe B II b) </w:t>
            </w:r>
          </w:p>
        </w:tc>
      </w:tr>
      <w:tr w:rsidR="0043547B" w:rsidRPr="0043547B" w:rsidTr="00554CF5">
        <w:trPr>
          <w:trHeight w:val="1818"/>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B111BE"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dimensions, les tolérances dimensionnelles, les caractéristiques mécaniques, physiques et chimiques, l'aspect de surface et le marquage des carreaux et dalles céramiques.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n'est applicable qu'aux carreaux et dalles céramiques pressés à sec de premier choix, y compris les produits livrés en plaques, avec une absorption d'eau 6 % &lt; E ≤ 10 % suivant le groupe B II b de la norme NM 10.6.087, ces carreaux et dalles sont utilisés en intérieur et en extérieur pour les revêtements de sols et de murs.</w:t>
            </w:r>
          </w:p>
        </w:tc>
      </w:tr>
      <w:tr w:rsidR="0043547B" w:rsidRPr="0043547B" w:rsidTr="00554CF5">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10.6.179</w:t>
            </w:r>
          </w:p>
        </w:tc>
      </w:tr>
      <w:tr w:rsidR="0043547B" w:rsidRPr="0043547B" w:rsidTr="00554CF5">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188</w:t>
            </w:r>
          </w:p>
        </w:tc>
      </w:tr>
      <w:tr w:rsidR="0043547B" w:rsidRPr="0043547B" w:rsidTr="00554CF5">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Carreaux et dalles céramiques - Carreaux et dalles céramiques étirés à absorption d’eau E &gt; 10 % (Groupe AIII) </w:t>
            </w:r>
          </w:p>
        </w:tc>
      </w:tr>
      <w:tr w:rsidR="0043547B" w:rsidRPr="0043547B" w:rsidTr="00554CF5">
        <w:trPr>
          <w:trHeight w:val="843"/>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DB1479"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dimensions, les tolérances dimensionnelles, les caractéristiques mécaniques, physiques et chimiques, l'aspect de surface et le marquage des carreaux et dalles céramiques.</w:t>
            </w:r>
          </w:p>
          <w:p w:rsidR="005B488A" w:rsidRPr="0043547B" w:rsidRDefault="005B488A" w:rsidP="005B488A">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n’est applicable qu’aux carreaux et dalles céramiques étirés à absorption d’eau E &gt; 10 % suivant le groupe AIII de la norme NM 10.6.087 destinés aux revêtements de sols et de murs à l’intérieur et à l’extérieur des bâtiments. Ils ne sont généralement pas destinés à être utilisés là où des conditions de gel pourraient survenir.</w:t>
            </w:r>
          </w:p>
          <w:p w:rsidR="00904E52" w:rsidRPr="0043547B" w:rsidRDefault="005B488A" w:rsidP="005B488A">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ne s’applique qu’aux carreaux et dalles céramiques de premier choix.</w:t>
            </w:r>
          </w:p>
        </w:tc>
      </w:tr>
      <w:tr w:rsidR="0043547B" w:rsidRPr="0043547B" w:rsidTr="00554CF5">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10.6.181</w:t>
            </w:r>
          </w:p>
        </w:tc>
      </w:tr>
      <w:tr w:rsidR="0043547B" w:rsidRPr="0043547B" w:rsidTr="00554CF5">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186-1</w:t>
            </w:r>
          </w:p>
        </w:tc>
      </w:tr>
      <w:tr w:rsidR="0043547B" w:rsidRPr="0043547B" w:rsidTr="00554CF5">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Carreaux et dalles céramiques - Carreaux et dalles céramiques étirés à absorption d’eau 3 % &lt; E ≤ 6 % - (Groupe A II a) - Partie 1 </w:t>
            </w:r>
          </w:p>
        </w:tc>
      </w:tr>
      <w:tr w:rsidR="0043547B" w:rsidRPr="0043547B" w:rsidTr="00554CF5">
        <w:trPr>
          <w:trHeight w:val="4324"/>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dimensions, les tolérances dimensionnelles, les caractéristiques mécaniques, physiques et chimiques, les spécifications d’aspect de surface et le marquage des carreaux et dalles céramiques.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n’est applicable qu’aux carreaux et dalles céramiques étirés à absorption d’eau 3 % &lt; E ≤ 6 % suivant le groupe Alla de la norme NM 10.6.087 destinés aux revêtements de sols et de murs à l’intérieur et à l’extérieur des bâtiments. La norme ne s’applique qu’aux carreaux et dalles étirés de premier choix.</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est divisée en deux parties.</w:t>
            </w:r>
          </w:p>
          <w:p w:rsidR="00B111BE"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majorité des carreaux et dalles céramiques du groupe Alla sont couverts par la partie de la norme (Partie 1). Certains produits particuliers, qui sont fabriqués sous différentes appellations, possèdent des caractéristiques différentes, par exemple la résistance à la flexion, la dureté superficielle et la résistance à l’abrasion profonde des carreaux non émaillés.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Ces produits sont couverts par la Partie 2 de La norme dans laquelle des spécifications différentes sont définies.</w:t>
            </w:r>
          </w:p>
        </w:tc>
      </w:tr>
      <w:tr w:rsidR="0043547B" w:rsidRPr="0043547B" w:rsidTr="00554CF5">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10.6.182</w:t>
            </w:r>
          </w:p>
        </w:tc>
      </w:tr>
      <w:tr w:rsidR="0043547B" w:rsidRPr="0043547B" w:rsidTr="00554CF5">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186-2</w:t>
            </w:r>
          </w:p>
        </w:tc>
      </w:tr>
      <w:tr w:rsidR="0043547B" w:rsidRPr="0043547B" w:rsidTr="00554CF5">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Carreaux et dalles céramiques - Carreaux et dalles céramiques étirés à absorption d’eau 3 % &lt; E ≤ 6 % - (Groupe A II a) - Partie 2 </w:t>
            </w:r>
          </w:p>
        </w:tc>
      </w:tr>
      <w:tr w:rsidR="0043547B" w:rsidRPr="0043547B" w:rsidTr="00554CF5">
        <w:trPr>
          <w:trHeight w:val="2814"/>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dimensions, les tolérances dimensionnelles, les caractéristiques mécaniques, physiques et chimiques, les spécifications d’aspect de surface et le marquage des carreaux et dalles céramiques.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n’est applicable qu’aux carreaux et dalles céramiques étirés à absorption d’eau 3 % &lt; E &lt; 6 % suivant le groupe Alla de la norme NM 10.6.087 destinés aux revêtements de sols et de murs à l’intérieur et à l’extérieur des bâtiments. La norme ne s’applique qu’aux carreaux et dalles étirés de premier choix.</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majorité des carreaux et dalles céramiques du groupe Alla sont couverts par la norme NM 10.6.181. La norme couvre certains carreaux et dalles céramiques particuliers, produits sous diverses appellations.</w:t>
            </w:r>
          </w:p>
        </w:tc>
      </w:tr>
      <w:tr w:rsidR="0043547B" w:rsidRPr="0043547B" w:rsidTr="00554CF5">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10.6.183</w:t>
            </w:r>
          </w:p>
        </w:tc>
      </w:tr>
      <w:tr w:rsidR="0043547B" w:rsidRPr="0043547B" w:rsidTr="00554CF5">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187-1</w:t>
            </w:r>
          </w:p>
        </w:tc>
      </w:tr>
      <w:tr w:rsidR="0043547B" w:rsidRPr="0043547B" w:rsidTr="00554CF5">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Carreaux et dalles céramiques - Carreaux et dalles céramiques étirés à absorption d’eau 6 % &lt; E ≤ 10 % - (Groupe AIIa) - Partie 1 </w:t>
            </w:r>
          </w:p>
        </w:tc>
      </w:tr>
      <w:tr w:rsidR="0043547B" w:rsidRPr="0043547B" w:rsidTr="00554CF5">
        <w:trPr>
          <w:trHeight w:val="1993"/>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dimensions, les tolérances dimensionnelles, les caractéristiques mécaniques, physiques et chimiques, l'aspect de surface et le marquage des carreaux et dalles céramiques.</w:t>
            </w:r>
          </w:p>
          <w:p w:rsidR="005B488A" w:rsidRPr="0043547B" w:rsidRDefault="00904E52" w:rsidP="00B111BE">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n’est applicable qu’aux carreaux et dalles céramiques étirés à absorption d’eau 6 % &lt; E ≤ 10 % suivant le groupe AIIb de la norme NM 10.6.087 destinés aux revêtements de sols et de murs à l’intérieur et à l’extérieur des bâtiments (voir chapitre 7). La norme ne s’applique qu’aux carreaux et dalles étirés de premier choix.</w:t>
            </w:r>
          </w:p>
        </w:tc>
      </w:tr>
      <w:tr w:rsidR="0043547B" w:rsidRPr="0043547B" w:rsidTr="00554CF5">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10.6.184</w:t>
            </w:r>
          </w:p>
        </w:tc>
      </w:tr>
      <w:tr w:rsidR="0043547B" w:rsidRPr="0043547B" w:rsidTr="00554CF5">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187-2</w:t>
            </w:r>
          </w:p>
        </w:tc>
      </w:tr>
      <w:tr w:rsidR="0043547B" w:rsidRPr="0043547B" w:rsidTr="00554CF5">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Carreaux et dalles céramiques - Carreaux et dalles céramiques étirés à absorption d’eau 6 % &lt; E ≤ 10 % - ( Groupe AIIa) - Partie 2 </w:t>
            </w:r>
          </w:p>
        </w:tc>
      </w:tr>
      <w:tr w:rsidR="0043547B" w:rsidRPr="0043547B" w:rsidTr="00554CF5">
        <w:trPr>
          <w:trHeight w:val="198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dimensions, les tolérances dimensionnelles, les caractéristiques mécaniques, physiques et chimiques, l'aspect de surface et le marquage des carreaux et dalles céramiques.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n’est applicable qu’aux carreaux et dalles céramiques étirés à absorption d’eau 6 % &lt; E ≤ 10 % suivant le groupe AIIb de la norme NM 10.6.087 destinés aux revêtements de sols et de murs à l’intérieur et à l’extérieur des bâtiments (voir chapitre 7). La norme ne s’applique qu’aux carreaux et dalles étirés de premier choix.</w:t>
            </w:r>
          </w:p>
        </w:tc>
      </w:tr>
      <w:tr w:rsidR="0043547B" w:rsidRPr="0043547B" w:rsidTr="00554CF5">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10.6.185</w:t>
            </w:r>
          </w:p>
        </w:tc>
      </w:tr>
      <w:tr w:rsidR="0043547B" w:rsidRPr="0043547B" w:rsidTr="00554CF5">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121</w:t>
            </w:r>
          </w:p>
        </w:tc>
      </w:tr>
      <w:tr w:rsidR="0043547B" w:rsidRPr="0043547B" w:rsidTr="00554CF5">
        <w:trPr>
          <w:trHeight w:val="34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Carreaux et dalles céramiques - Carreaux et dalles céramiques étirés à faible absorption d'eau (E ≤ 3 %) - Groupe AI</w:t>
            </w:r>
          </w:p>
        </w:tc>
      </w:tr>
      <w:tr w:rsidR="0043547B" w:rsidRPr="0043547B" w:rsidTr="00420CEB">
        <w:trPr>
          <w:trHeight w:val="701"/>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w w:val="95"/>
                <w:sz w:val="24"/>
                <w:szCs w:val="24"/>
                <w:lang w:eastAsia="fr-FR"/>
              </w:rPr>
            </w:pPr>
            <w:r w:rsidRPr="0043547B">
              <w:rPr>
                <w:rFonts w:eastAsia="Times New Roman" w:cstheme="minorHAnsi"/>
                <w:w w:val="95"/>
                <w:sz w:val="24"/>
                <w:szCs w:val="24"/>
                <w:lang w:eastAsia="fr-FR"/>
              </w:rPr>
              <w:t>La norme spécifie les dimensions, les tolérances dimensionnelles, les caractéristiques mécaniques, physiques et chimiques, les spécifications d’aspect de surface et le marquage des carreaux et dalles céramiques.</w:t>
            </w:r>
          </w:p>
          <w:p w:rsidR="00B111BE" w:rsidRDefault="00904E52" w:rsidP="00904E52">
            <w:pPr>
              <w:spacing w:after="0" w:line="240" w:lineRule="auto"/>
              <w:jc w:val="both"/>
              <w:rPr>
                <w:rFonts w:eastAsia="Times New Roman" w:cstheme="minorHAnsi"/>
                <w:w w:val="95"/>
                <w:sz w:val="24"/>
                <w:szCs w:val="24"/>
                <w:lang w:eastAsia="fr-FR"/>
              </w:rPr>
            </w:pPr>
            <w:r w:rsidRPr="0043547B">
              <w:rPr>
                <w:rFonts w:eastAsia="Times New Roman" w:cstheme="minorHAnsi"/>
                <w:w w:val="95"/>
                <w:sz w:val="24"/>
                <w:szCs w:val="24"/>
                <w:lang w:eastAsia="fr-FR"/>
              </w:rPr>
              <w:t>La norme n’est applicable qu’aux carreaux et dalles céramiques étirés à absorption d’eau (E ≤ 3 %) suivant le groupe Al de la norme NM 10.6.087 destinés aux revêtements de sols et de murs à l’intérieur et à l’extérieur des bâtiments en toute conditions climatiques.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w w:val="95"/>
                <w:sz w:val="24"/>
                <w:szCs w:val="24"/>
                <w:lang w:eastAsia="fr-FR"/>
              </w:rPr>
              <w:t>La norme ne s'applique qu'aux carreaux et dalles céramiques de la classe n° 1 (1</w:t>
            </w:r>
            <w:r w:rsidRPr="0043547B">
              <w:rPr>
                <w:rFonts w:eastAsia="Times New Roman" w:cstheme="minorHAnsi"/>
                <w:w w:val="95"/>
                <w:sz w:val="24"/>
                <w:szCs w:val="24"/>
                <w:vertAlign w:val="superscript"/>
                <w:lang w:eastAsia="fr-FR"/>
              </w:rPr>
              <w:t>er</w:t>
            </w:r>
            <w:r w:rsidRPr="0043547B">
              <w:rPr>
                <w:rFonts w:eastAsia="Times New Roman" w:cstheme="minorHAnsi"/>
                <w:w w:val="95"/>
                <w:sz w:val="24"/>
                <w:szCs w:val="24"/>
                <w:lang w:eastAsia="fr-FR"/>
              </w:rPr>
              <w:t xml:space="preserve"> choix).</w:t>
            </w:r>
          </w:p>
        </w:tc>
      </w:tr>
      <w:tr w:rsidR="0043547B" w:rsidRPr="0043547B" w:rsidTr="00554CF5">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 xml:space="preserve">NM EN 12004  </w:t>
            </w:r>
          </w:p>
        </w:tc>
      </w:tr>
      <w:tr w:rsidR="0043547B" w:rsidRPr="0043547B" w:rsidTr="00554CF5">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 xml:space="preserve">EN 12004 </w:t>
            </w:r>
          </w:p>
        </w:tc>
      </w:tr>
      <w:tr w:rsidR="0043547B" w:rsidRPr="0043547B" w:rsidTr="00554CF5">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Colles à carrelage - Exigences, évaluation de la conformité, classification et désignation </w:t>
            </w:r>
          </w:p>
        </w:tc>
      </w:tr>
      <w:tr w:rsidR="0043547B" w:rsidRPr="0043547B" w:rsidTr="00554CF5">
        <w:trPr>
          <w:trHeight w:val="843"/>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B111BE"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aux mortier-colles, aux adhésifs en dispersion et aux colles réactives destinés à la pose en intérieur et en extérieur sur murs et sols de carreaux céramiques."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Cette norme définit la terminologie concernant les produits, les méthodes d'application, les propriétés de mise en œuvre, etc. applicables aux colles à carrelage céramique.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valeurs d'exigences performancielles relatives aux colles à carrelage céramique (mortier-colles, adhésifs en dispersion, colles réactives).</w:t>
            </w:r>
            <w:r w:rsidRPr="0043547B">
              <w:rPr>
                <w:rFonts w:eastAsia="Times New Roman" w:cstheme="minorHAnsi"/>
                <w:sz w:val="24"/>
                <w:szCs w:val="24"/>
                <w:lang w:eastAsia="fr-FR"/>
              </w:rPr>
              <w:br/>
            </w:r>
            <w:r w:rsidRPr="0043547B">
              <w:rPr>
                <w:rFonts w:eastAsia="Times New Roman" w:cstheme="minorHAnsi"/>
                <w:sz w:val="24"/>
                <w:szCs w:val="24"/>
                <w:lang w:eastAsia="fr-FR"/>
              </w:rPr>
              <w:lastRenderedPageBreak/>
              <w:t>La norme ne contient ni critères, ni recommandations de conception et de pose de carrelage.</w:t>
            </w:r>
          </w:p>
        </w:tc>
      </w:tr>
      <w:tr w:rsidR="0043547B" w:rsidRPr="0043547B" w:rsidTr="00554CF5">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10.6.214</w:t>
            </w:r>
          </w:p>
        </w:tc>
      </w:tr>
      <w:tr w:rsidR="0043547B" w:rsidRPr="0043547B" w:rsidTr="00554CF5">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1338</w:t>
            </w:r>
          </w:p>
        </w:tc>
      </w:tr>
      <w:tr w:rsidR="0043547B" w:rsidRPr="0043547B" w:rsidTr="00554CF5">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Pavés en béton – Prescriptions et méthodes d’essais </w:t>
            </w:r>
          </w:p>
        </w:tc>
      </w:tr>
      <w:tr w:rsidR="0043547B" w:rsidRPr="0043547B" w:rsidTr="00554CF5">
        <w:trPr>
          <w:trHeight w:val="56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w w:val="95"/>
                <w:sz w:val="24"/>
                <w:szCs w:val="24"/>
                <w:lang w:eastAsia="fr-FR"/>
              </w:rPr>
            </w:pPr>
            <w:r w:rsidRPr="0043547B">
              <w:rPr>
                <w:rFonts w:eastAsia="Times New Roman" w:cstheme="minorHAnsi"/>
                <w:w w:val="95"/>
                <w:sz w:val="24"/>
                <w:szCs w:val="24"/>
                <w:lang w:eastAsia="fr-FR"/>
              </w:rPr>
              <w:t>La norme spécifie les matériaux, les propriétés, les prescriptions et les méthodes d'essai relatifs aux pavés en béton à liant ciment non armé et à leurs pièces complémentaires. Elle s'applique aux pavés préfabriqués en béton et à leurs pièces complémentaires à l'usage des piétons et des véhicules ainsi que des toitures.</w:t>
            </w:r>
          </w:p>
          <w:p w:rsidR="00904E52" w:rsidRPr="0043547B" w:rsidRDefault="00904E52" w:rsidP="00904E52">
            <w:pPr>
              <w:spacing w:after="0" w:line="240" w:lineRule="auto"/>
              <w:jc w:val="both"/>
              <w:rPr>
                <w:rFonts w:eastAsia="Times New Roman" w:cstheme="minorHAnsi"/>
                <w:w w:val="95"/>
                <w:sz w:val="24"/>
                <w:szCs w:val="24"/>
                <w:lang w:eastAsia="fr-FR"/>
              </w:rPr>
            </w:pPr>
            <w:r w:rsidRPr="0043547B">
              <w:rPr>
                <w:rFonts w:eastAsia="Times New Roman" w:cstheme="minorHAnsi"/>
                <w:w w:val="95"/>
                <w:sz w:val="24"/>
                <w:szCs w:val="24"/>
                <w:lang w:eastAsia="fr-FR"/>
              </w:rPr>
              <w:t>En cas d'utilisation régulière de pneus cloutés, des prescriptions supplémentaires sont parfois nécessaires.</w:t>
            </w:r>
          </w:p>
          <w:p w:rsidR="00904E52" w:rsidRPr="0043547B" w:rsidRDefault="00904E52" w:rsidP="00904E52">
            <w:pPr>
              <w:spacing w:after="0" w:line="240" w:lineRule="auto"/>
              <w:jc w:val="both"/>
              <w:rPr>
                <w:rFonts w:eastAsia="Times New Roman" w:cstheme="minorHAnsi"/>
                <w:w w:val="95"/>
                <w:sz w:val="24"/>
                <w:szCs w:val="24"/>
                <w:lang w:eastAsia="fr-FR"/>
              </w:rPr>
            </w:pPr>
            <w:r w:rsidRPr="0043547B">
              <w:rPr>
                <w:rFonts w:eastAsia="Times New Roman" w:cstheme="minorHAnsi"/>
                <w:w w:val="95"/>
                <w:sz w:val="24"/>
                <w:szCs w:val="24"/>
                <w:lang w:eastAsia="fr-FR"/>
              </w:rPr>
              <w:t>La norme ne traite pas de la perception visuelle ou tactile des pavés ni des pavés perméables.</w:t>
            </w:r>
            <w:r w:rsidRPr="0043547B">
              <w:rPr>
                <w:rFonts w:eastAsia="Times New Roman" w:cstheme="minorHAnsi"/>
                <w:w w:val="95"/>
                <w:sz w:val="24"/>
                <w:szCs w:val="24"/>
                <w:lang w:eastAsia="fr-FR"/>
              </w:rPr>
              <w:br/>
              <w:t>La norme définit le marquage du produit et l'évaluation de sa conformité à La norme marocaine.</w:t>
            </w:r>
          </w:p>
        </w:tc>
      </w:tr>
      <w:tr w:rsidR="0043547B" w:rsidRPr="0043547B" w:rsidTr="00554CF5">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10.6.401</w:t>
            </w:r>
          </w:p>
        </w:tc>
      </w:tr>
      <w:tr w:rsidR="0043547B" w:rsidRPr="0043547B" w:rsidTr="00554CF5">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685</w:t>
            </w:r>
          </w:p>
        </w:tc>
      </w:tr>
      <w:tr w:rsidR="0043547B" w:rsidRPr="0043547B" w:rsidTr="00554CF5">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Revêtements de sol résilients – Classification </w:t>
            </w:r>
          </w:p>
        </w:tc>
      </w:tr>
      <w:tr w:rsidR="0043547B" w:rsidRPr="0043547B" w:rsidTr="00554CF5">
        <w:trPr>
          <w:trHeight w:val="1885"/>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F7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établit un système de classification des revêtements de sol résilients. La classification est basée sur des niveaux d'exigences en fonction des zones d'utilisation et de l'intensité d'usage ; elle est liée aux exigences fixées dans les normes spécifiques à chaque type de revêtement de sol résilient.</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est aussi destinée à servir de guide aux fabricants, aux spécificateurs et aux consommateurs pour leur permettre de choisir la classe appropriée de revêtement de sol résilient en fonction d'une zone d'utilisation donnée ou d'un local particulier.</w:t>
            </w:r>
          </w:p>
        </w:tc>
      </w:tr>
      <w:tr w:rsidR="0043547B" w:rsidRPr="0043547B" w:rsidTr="00554CF5">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10.6.420</w:t>
            </w:r>
          </w:p>
        </w:tc>
      </w:tr>
      <w:tr w:rsidR="0043547B" w:rsidRPr="0043547B" w:rsidTr="00554CF5">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Revêtements de sol résilients - Comportement électrostatique –Classification </w:t>
            </w:r>
          </w:p>
        </w:tc>
      </w:tr>
      <w:tr w:rsidR="0043547B" w:rsidRPr="0043547B" w:rsidTr="00554CF5">
        <w:trPr>
          <w:trHeight w:val="2088"/>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a pour objet de définir en trois classes les caractéristiques relatives aux revêtements de sols résilients destinés aux locaux où une protection contre les décharges électrostatiques est exigée ou souhaitable. Les charges électrostatiques acquises par les personnes sur les revêtements de sols résilients dépendent également toujours du matériau des semelles. Des chaussures suffisamment conductrices sont donc aussi nécessaires pour les locaux où les exigences sont accrues.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est applicable à tous les revêtements de sols résilients désignés d'une manière générale dans le corps du présent document sous le terme de «revêtements de sol».</w:t>
            </w:r>
          </w:p>
        </w:tc>
      </w:tr>
      <w:tr w:rsidR="0043547B" w:rsidRPr="0043547B" w:rsidTr="00554CF5">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10.6.421</w:t>
            </w:r>
          </w:p>
        </w:tc>
      </w:tr>
      <w:tr w:rsidR="0043547B" w:rsidRPr="0043547B" w:rsidTr="00554CF5">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649</w:t>
            </w:r>
          </w:p>
        </w:tc>
      </w:tr>
      <w:tr w:rsidR="0043547B" w:rsidRPr="0043547B" w:rsidTr="00554CF5">
        <w:trPr>
          <w:trHeight w:val="6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Revêtements de sols résilients - Revêtements de sol homogènes et hétérogènes à base de polychlorure de vinyle – Spécifications </w:t>
            </w:r>
          </w:p>
        </w:tc>
      </w:tr>
      <w:tr w:rsidR="0043547B" w:rsidRPr="0043547B" w:rsidTr="00554CF5">
        <w:trPr>
          <w:trHeight w:val="559"/>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prescrit les caractéristiques des revêtements homogènes et hétérogènes à base de polychlorure de vinyle et ses modifications sous forme de dalles ou de rouleau.</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lastRenderedPageBreak/>
              <w:t>Pour aider le consommateur à faire son choix, la norme inclut un système de classification (voir NM 10.6.401) basé sur l'intensité d'utilisation, qui indique l'endroit où ces revêtements de sol devraient rendre un service satisfaisant. Elle prescrit aussi les exigences pour le marquage.</w:t>
            </w:r>
          </w:p>
        </w:tc>
      </w:tr>
      <w:tr w:rsidR="0043547B" w:rsidRPr="0043547B" w:rsidTr="00554CF5">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10.6.422</w:t>
            </w:r>
          </w:p>
        </w:tc>
      </w:tr>
      <w:tr w:rsidR="0043547B" w:rsidRPr="0043547B" w:rsidTr="00554CF5">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EN 548</w:t>
            </w:r>
            <w:r w:rsidRPr="0043547B">
              <w:rPr>
                <w:rFonts w:eastAsia="Times New Roman" w:cstheme="minorHAnsi"/>
                <w:sz w:val="24"/>
                <w:szCs w:val="24"/>
                <w:lang w:eastAsia="fr-FR"/>
              </w:rPr>
              <w:t xml:space="preserve">        </w:t>
            </w:r>
          </w:p>
        </w:tc>
      </w:tr>
      <w:tr w:rsidR="0043547B" w:rsidRPr="0043547B" w:rsidTr="00554CF5">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Revêtements de sol résilients – Spécifications pour le linoléum uni et décoratif </w:t>
            </w:r>
          </w:p>
        </w:tc>
      </w:tr>
      <w:tr w:rsidR="0043547B" w:rsidRPr="0043547B" w:rsidTr="00554CF5">
        <w:trPr>
          <w:trHeight w:val="987"/>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prescrit les caractéristiques du linoléum uni et décoratif sous forme de rouleaux ou de dalles.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Pour aider le consommateur à faire son choix, La norme inclut un système de classification basé sur l'intensité d'utilisation, qui indique l'endroit où le revêtement de sol résilient rendrait un service satisfaisant (voir NM 10.4.401). Elle inclut aussi les exigences pour le marquage.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 terme ««linoléum» » est fréquemment incorrectement appliqué à une gamme de revêtements de sol, souvent à base de polychlorure de vinyle ou de caoutchouc. De tels produits ne sont pas inclus dans la norme.</w:t>
            </w:r>
          </w:p>
        </w:tc>
      </w:tr>
      <w:tr w:rsidR="0043547B" w:rsidRPr="0043547B" w:rsidTr="00554CF5">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10.6.423</w:t>
            </w:r>
          </w:p>
        </w:tc>
      </w:tr>
      <w:tr w:rsidR="0043547B" w:rsidRPr="0043547B" w:rsidTr="00554CF5">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650</w:t>
            </w:r>
          </w:p>
        </w:tc>
      </w:tr>
      <w:tr w:rsidR="0043547B" w:rsidRPr="0043547B" w:rsidTr="00554CF5">
        <w:trPr>
          <w:trHeight w:val="65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Revêtements de sol résilients - Revêtements de sol à base de polychlorure de vinyle sur support de jute ou de polyester ou sur support de polyester avec envers en polychlorure de vinyle – Spécifications </w:t>
            </w:r>
          </w:p>
        </w:tc>
      </w:tr>
      <w:tr w:rsidR="0043547B" w:rsidRPr="0043547B" w:rsidTr="00554CF5">
        <w:trPr>
          <w:trHeight w:val="843"/>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DB1479">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prescrit les caractéristiques des revêtements de sol à base de polychlorure de vinyle et ses modifications sur support de jute ou polyester ou sur support de polyester avec polychlorure de vinyle sous forme de dalles ou de rouleau.</w:t>
            </w:r>
          </w:p>
          <w:p w:rsidR="00DB1479" w:rsidRDefault="00DB1479" w:rsidP="00DB1479">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Pour aider le consommateur à faire son choix, la norme inclut un système de classification (voir NM 10.6.401) basé sur l'intensité d'utilisation, qui indique l'endroit où ces revêtements de sol devraient rendre un service satisfaisant. Elle prescrit aussi les exigences pour le marquage.</w:t>
            </w:r>
          </w:p>
          <w:p w:rsidR="00420CEB" w:rsidRPr="0043547B" w:rsidRDefault="00420CEB" w:rsidP="00DB1479">
            <w:pPr>
              <w:spacing w:after="0" w:line="240" w:lineRule="auto"/>
              <w:jc w:val="both"/>
              <w:rPr>
                <w:rFonts w:eastAsia="Times New Roman" w:cstheme="minorHAnsi"/>
                <w:sz w:val="24"/>
                <w:szCs w:val="24"/>
                <w:lang w:eastAsia="fr-FR"/>
              </w:rPr>
            </w:pPr>
          </w:p>
        </w:tc>
      </w:tr>
      <w:tr w:rsidR="0043547B" w:rsidRPr="0043547B" w:rsidTr="00554CF5">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10.6.424</w:t>
            </w:r>
          </w:p>
        </w:tc>
      </w:tr>
      <w:tr w:rsidR="0043547B" w:rsidRPr="0043547B" w:rsidTr="00554CF5">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EN 651</w:t>
            </w:r>
          </w:p>
        </w:tc>
      </w:tr>
      <w:tr w:rsidR="0043547B" w:rsidRPr="0043547B" w:rsidTr="00554CF5">
        <w:trPr>
          <w:trHeight w:val="491"/>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Revêtements de sol résilients - Revêtements de sol à base de polychlorure de vinyle sur mousse – Spécifications </w:t>
            </w:r>
          </w:p>
        </w:tc>
      </w:tr>
      <w:tr w:rsidR="0043547B" w:rsidRPr="0043547B" w:rsidTr="00554CF5">
        <w:trPr>
          <w:trHeight w:val="150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prescrit les caractéristiques des revêtements de sol à base de polychlorure de vinyle sur mousse sous forme de dalles ou de rouleau.</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Pour aider le consommateur à faire son choix, la norme inclut un système de classification (voir la NM 10.6.401) basé sur l'intensité d'utilisation, qui indique l'endroit où ces revêtements de sol devraient rendre un service satisfaisant. Elle prescrit aussi les exigences pour le marquage.</w:t>
            </w:r>
          </w:p>
        </w:tc>
      </w:tr>
      <w:tr w:rsidR="0043547B" w:rsidRPr="0043547B" w:rsidTr="00554CF5">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10.6.425</w:t>
            </w:r>
          </w:p>
        </w:tc>
      </w:tr>
      <w:tr w:rsidR="0043547B" w:rsidRPr="0043547B" w:rsidTr="00554CF5">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653</w:t>
            </w:r>
          </w:p>
        </w:tc>
      </w:tr>
      <w:tr w:rsidR="0043547B" w:rsidRPr="0043547B" w:rsidTr="00554CF5">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Revêtements de sol résilients - Revêtements de sol à base de polychlorure de vinyle expansé – Spécifications </w:t>
            </w:r>
          </w:p>
        </w:tc>
      </w:tr>
      <w:tr w:rsidR="0043547B" w:rsidRPr="0043547B" w:rsidTr="00554CF5">
        <w:trPr>
          <w:trHeight w:val="150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prescrit les caractéristiques des revêtements de sol à base de polychlorure de vinyle expansé et ses modifications sous forme de dalles ou de rouleau.</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Pour aider le consommateur à faire son choix, la norme inclut un système de classification (voir NM 10.6.401) basé sur l'intensité d'utilisation, qui indique l'endroit où ces revêtements de sol devraient rendre un service satisfaisant. Elle prescrit aussi les exigences pour le marquage.</w:t>
            </w:r>
          </w:p>
        </w:tc>
      </w:tr>
      <w:tr w:rsidR="0043547B" w:rsidRPr="0043547B" w:rsidTr="00554CF5">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10.6.426</w:t>
            </w:r>
          </w:p>
        </w:tc>
      </w:tr>
      <w:tr w:rsidR="0043547B" w:rsidRPr="0043547B" w:rsidTr="00554CF5">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654</w:t>
            </w:r>
          </w:p>
        </w:tc>
      </w:tr>
      <w:tr w:rsidR="0043547B" w:rsidRPr="0043547B" w:rsidTr="00554CF5">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Revêtements de sol résilients - Dalles semi-flexibles à base de polychlorure de vinyle – Spécifications </w:t>
            </w:r>
          </w:p>
        </w:tc>
      </w:tr>
      <w:tr w:rsidR="0043547B" w:rsidRPr="0043547B" w:rsidTr="00554CF5">
        <w:trPr>
          <w:trHeight w:val="701"/>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prescrit les caractéristiques des dalles semi-flexibles à base de polychlorure de vinyle et ses modifications.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Pour aider le consommateur à faire son choix, la norme inclut un système de classification (voir NM 10.6.401) basé sur l'intensité d'utilisation, qui indique l'endroit où ces revêtements de sol devraient rendre un service satisfaisant. Elle prescrit aussi les exigences pour le marquage.</w:t>
            </w:r>
          </w:p>
        </w:tc>
      </w:tr>
      <w:tr w:rsidR="0043547B" w:rsidRPr="0043547B" w:rsidTr="00554CF5">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10.6.428</w:t>
            </w:r>
          </w:p>
        </w:tc>
      </w:tr>
      <w:tr w:rsidR="0043547B" w:rsidRPr="0043547B" w:rsidTr="00554CF5">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686</w:t>
            </w:r>
          </w:p>
        </w:tc>
      </w:tr>
      <w:tr w:rsidR="0043547B" w:rsidRPr="0043547B" w:rsidTr="00554CF5">
        <w:trPr>
          <w:trHeight w:val="42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Revêtements de sol résilients - Spécifications pour le linoléum uni et décoratif sur sous-couche de mousse </w:t>
            </w:r>
          </w:p>
        </w:tc>
      </w:tr>
      <w:tr w:rsidR="0043547B" w:rsidRPr="0043547B" w:rsidTr="00554CF5">
        <w:trPr>
          <w:trHeight w:val="2426"/>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prescrit les caractéristiques en tant que revêtement de sol composé, du linoléum uni et décoratif sur sous-couche mousse sous forme de rouleaux.</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Pour aider le consommateur à faire son choix, La norme inclut un système de classification basé sur l'intensité d'utilisation, qui indique l'endroit où le revêtement de sol résilient rendrait un service satisfaisant (voir la NM 10.6.401). Elle inclut aussi les exigences pour le marquage.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 terme « linoléum » est fréquemment incorrectement appliqué à une gamme de revêtements de sol, souvent à base de polychlorure de vinyle ou de caoutchouc. De tels produits ne sont pas inclus dans La norme marocaine.</w:t>
            </w:r>
          </w:p>
        </w:tc>
      </w:tr>
      <w:tr w:rsidR="0043547B" w:rsidRPr="0043547B" w:rsidTr="00554CF5">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10.6.429</w:t>
            </w:r>
          </w:p>
        </w:tc>
      </w:tr>
      <w:tr w:rsidR="0043547B" w:rsidRPr="0043547B" w:rsidTr="00554CF5">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687</w:t>
            </w:r>
          </w:p>
        </w:tc>
      </w:tr>
      <w:tr w:rsidR="0043547B" w:rsidRPr="0043547B" w:rsidTr="00554CF5">
        <w:trPr>
          <w:trHeight w:val="36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Revêtements de sol résilients - Spécifications pour le linoléum uni et décoratif sur support en composition de liège</w:t>
            </w:r>
          </w:p>
        </w:tc>
      </w:tr>
      <w:tr w:rsidR="0043547B" w:rsidRPr="0043547B" w:rsidTr="00554CF5">
        <w:trPr>
          <w:trHeight w:val="240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B111BE"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prescrit les caractéristiques en tant que revêtement de sol composé, du linoléum uni et décoratif sur support en composition de liège sous forme de rouleaux.</w:t>
            </w:r>
            <w:r w:rsidRPr="0043547B">
              <w:rPr>
                <w:rFonts w:eastAsia="Times New Roman" w:cstheme="minorHAnsi"/>
                <w:sz w:val="24"/>
                <w:szCs w:val="24"/>
                <w:lang w:eastAsia="fr-FR"/>
              </w:rPr>
              <w:br/>
              <w:t>Pour aider le consommateur à faire son choix, La norme inclut un système de classification basé sur l'intensité d'utilisation, qui indique l'endroit où le revêtement de sol résilient rendrait un service satisfaisant. Elle prescrit aussi les exigences pour le marquage.</w:t>
            </w:r>
          </w:p>
          <w:p w:rsidR="00904E52" w:rsidRPr="0043547B" w:rsidRDefault="00904E52" w:rsidP="00B111BE">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 terme « linoléum » est fréquemment incorrectement appliqué à une gamme de</w:t>
            </w:r>
            <w:r w:rsidR="00B111BE">
              <w:rPr>
                <w:rFonts w:eastAsia="Times New Roman" w:cstheme="minorHAnsi"/>
                <w:sz w:val="24"/>
                <w:szCs w:val="24"/>
                <w:lang w:eastAsia="fr-FR"/>
              </w:rPr>
              <w:t xml:space="preserve"> </w:t>
            </w:r>
            <w:r w:rsidRPr="0043547B">
              <w:rPr>
                <w:rFonts w:eastAsia="Times New Roman" w:cstheme="minorHAnsi"/>
                <w:sz w:val="24"/>
                <w:szCs w:val="24"/>
                <w:lang w:eastAsia="fr-FR"/>
              </w:rPr>
              <w:t>revêtements de sol, souvent à base de polychlorure de vinyle ou de caoutchouc. De tels produits ne sont pas inclus dans La norme marocaine.</w:t>
            </w:r>
          </w:p>
        </w:tc>
      </w:tr>
      <w:tr w:rsidR="0043547B" w:rsidRPr="0043547B" w:rsidTr="00554CF5">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10.6.430</w:t>
            </w:r>
          </w:p>
        </w:tc>
      </w:tr>
      <w:tr w:rsidR="0043547B" w:rsidRPr="0043547B" w:rsidTr="00554CF5">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688</w:t>
            </w:r>
          </w:p>
        </w:tc>
      </w:tr>
      <w:tr w:rsidR="0043547B" w:rsidRPr="0043547B" w:rsidTr="00554CF5">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Revêtements de sol résilients - Spécifications pour le linoléum sur liège </w:t>
            </w:r>
          </w:p>
        </w:tc>
      </w:tr>
      <w:tr w:rsidR="0043547B" w:rsidRPr="0043547B" w:rsidTr="00554CF5">
        <w:trPr>
          <w:trHeight w:val="1709"/>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prescrit les caractéristiques du linoléum sur liège sous forme de rouleaux.</w:t>
            </w:r>
            <w:r w:rsidRPr="0043547B">
              <w:rPr>
                <w:rFonts w:eastAsia="Times New Roman" w:cstheme="minorHAnsi"/>
                <w:sz w:val="24"/>
                <w:szCs w:val="24"/>
                <w:lang w:eastAsia="fr-FR"/>
              </w:rPr>
              <w:br/>
              <w:t>Pour aider le consommateur à faire son choix, La norme inclut un système de classification basé sur l'intensité d'utilisation, qui indique l'endroit où le revêtement de sol résilient rendrait un service satisfaisant (voir NM 10.6.401). Elle prescrit aussi les exigences pour le marquage.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 terme « linoléum » est fréquemment incorrectement appliqué à une gamme de revêtements de sol, souvent à base de polychlorure de vinyle ou de caoutchouc. De tels produits ne sont pas inclus dans La norme.</w:t>
            </w:r>
          </w:p>
        </w:tc>
      </w:tr>
      <w:tr w:rsidR="0043547B" w:rsidRPr="0043547B" w:rsidTr="00554CF5">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10.6.434</w:t>
            </w:r>
          </w:p>
        </w:tc>
      </w:tr>
      <w:tr w:rsidR="0043547B" w:rsidRPr="0043547B" w:rsidTr="00554CF5">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12103</w:t>
            </w:r>
          </w:p>
        </w:tc>
      </w:tr>
      <w:tr w:rsidR="0043547B" w:rsidRPr="0043547B" w:rsidTr="00554CF5">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Revêtements de </w:t>
            </w:r>
            <w:r w:rsidR="00DB1479" w:rsidRPr="0043547B">
              <w:rPr>
                <w:rFonts w:eastAsia="Times New Roman" w:cstheme="minorHAnsi"/>
                <w:sz w:val="24"/>
                <w:szCs w:val="24"/>
                <w:lang w:eastAsia="fr-FR"/>
              </w:rPr>
              <w:t>sol résilients</w:t>
            </w:r>
            <w:r w:rsidRPr="0043547B">
              <w:rPr>
                <w:rFonts w:eastAsia="Times New Roman" w:cstheme="minorHAnsi"/>
                <w:sz w:val="24"/>
                <w:szCs w:val="24"/>
                <w:lang w:eastAsia="fr-FR"/>
              </w:rPr>
              <w:t xml:space="preserve"> - Sous-couches en aggloméré de liège </w:t>
            </w:r>
          </w:p>
        </w:tc>
      </w:tr>
      <w:tr w:rsidR="0043547B" w:rsidRPr="0043547B" w:rsidTr="00554CF5">
        <w:trPr>
          <w:trHeight w:val="559"/>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752B73"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exigences des sous-couches 1) en aggloméré de liège, destinées à être utilisées avec tous les types de revêtements de sol résilients afin d'en améliorer leurs performances acoustiques et/ou de servir de support aux revêtements de sol rigides. Le cas échéant, il est possible de les utiliser afin d’en améliorer leurs performances thermiques. La norme spécifie également les exigences de marquage et d'étiquetage.</w:t>
            </w:r>
          </w:p>
          <w:p w:rsidR="00904E52" w:rsidRPr="00752B73" w:rsidRDefault="00904E52" w:rsidP="00752B73">
            <w:pPr>
              <w:spacing w:after="0" w:line="240" w:lineRule="auto"/>
              <w:jc w:val="both"/>
              <w:rPr>
                <w:rFonts w:eastAsia="Times New Roman" w:cstheme="minorHAnsi"/>
                <w:i/>
                <w:iCs/>
                <w:lang w:eastAsia="fr-FR"/>
              </w:rPr>
            </w:pPr>
            <w:r w:rsidRPr="00752B73">
              <w:rPr>
                <w:rFonts w:eastAsia="Times New Roman" w:cstheme="minorHAnsi"/>
                <w:b/>
                <w:bCs/>
                <w:i/>
                <w:iCs/>
                <w:lang w:eastAsia="fr-FR"/>
              </w:rPr>
              <w:t>N</w:t>
            </w:r>
            <w:r w:rsidR="00752B73" w:rsidRPr="00752B73">
              <w:rPr>
                <w:rFonts w:eastAsia="Times New Roman" w:cstheme="minorHAnsi"/>
                <w:b/>
                <w:bCs/>
                <w:i/>
                <w:iCs/>
                <w:lang w:eastAsia="fr-FR"/>
              </w:rPr>
              <w:t>OTE</w:t>
            </w:r>
            <w:r w:rsidR="00752B73" w:rsidRPr="00752B73">
              <w:rPr>
                <w:rFonts w:eastAsia="Times New Roman" w:cstheme="minorHAnsi"/>
                <w:i/>
                <w:iCs/>
                <w:lang w:eastAsia="fr-FR"/>
              </w:rPr>
              <w:t> :</w:t>
            </w:r>
            <w:r w:rsidR="00DB1479" w:rsidRPr="00752B73">
              <w:rPr>
                <w:rFonts w:eastAsia="Times New Roman" w:cstheme="minorHAnsi"/>
                <w:i/>
                <w:iCs/>
                <w:lang w:eastAsia="fr-FR"/>
              </w:rPr>
              <w:t xml:space="preserve"> </w:t>
            </w:r>
            <w:r w:rsidRPr="00752B73">
              <w:rPr>
                <w:rFonts w:eastAsia="Times New Roman" w:cstheme="minorHAnsi"/>
                <w:i/>
                <w:iCs/>
                <w:lang w:eastAsia="fr-FR"/>
              </w:rPr>
              <w:t>La performance des sous-couches en aggloméré de liège dépend de la combinaison de la sous-couche en liège elle-même, du revêtement de sol utilisé et de leur pose ; la performance du «Complexe» (revêtement plus sous-couche) n'est pas couverte par cette norme. L’utilisation des sous-couches en aggloméré de liège devrait être conforme aux instructions du fabricant.</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sous-couches en aggloméré de liège sont fournies sous la forme de feuilles ou de rouleaux.</w:t>
            </w:r>
          </w:p>
        </w:tc>
      </w:tr>
      <w:tr w:rsidR="0005262F" w:rsidRPr="0043547B" w:rsidTr="00420CEB">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05262F" w:rsidRPr="0043547B" w:rsidRDefault="0005262F" w:rsidP="0005262F">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hideMark/>
          </w:tcPr>
          <w:p w:rsidR="0005262F" w:rsidRPr="00420CEB" w:rsidRDefault="0005262F" w:rsidP="00420CEB">
            <w:pPr>
              <w:spacing w:after="0" w:line="240" w:lineRule="auto"/>
              <w:jc w:val="center"/>
              <w:rPr>
                <w:rFonts w:ascii="Calibri" w:hAnsi="Calibri" w:cs="Calibri"/>
                <w:b/>
                <w:bCs/>
                <w:sz w:val="24"/>
                <w:szCs w:val="24"/>
              </w:rPr>
            </w:pPr>
            <w:r w:rsidRPr="00420CEB">
              <w:rPr>
                <w:rFonts w:ascii="Calibri" w:hAnsi="Calibri" w:cs="Calibri"/>
                <w:b/>
                <w:bCs/>
                <w:sz w:val="24"/>
                <w:szCs w:val="24"/>
              </w:rPr>
              <w:t>NM EN 14041</w:t>
            </w:r>
          </w:p>
        </w:tc>
      </w:tr>
      <w:tr w:rsidR="0005262F" w:rsidRPr="0043547B" w:rsidTr="00420CEB">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FFFF99"/>
            <w:vAlign w:val="center"/>
            <w:hideMark/>
          </w:tcPr>
          <w:p w:rsidR="0005262F" w:rsidRPr="0043547B" w:rsidRDefault="0005262F" w:rsidP="0005262F">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18" w:space="0" w:color="auto"/>
              <w:right w:val="single" w:sz="18" w:space="0" w:color="auto"/>
            </w:tcBorders>
            <w:shd w:val="clear" w:color="auto" w:fill="FFFF99"/>
            <w:vAlign w:val="center"/>
            <w:hideMark/>
          </w:tcPr>
          <w:p w:rsidR="0005262F" w:rsidRPr="00420CEB" w:rsidRDefault="0005262F" w:rsidP="00420CEB">
            <w:pPr>
              <w:spacing w:after="0" w:line="240" w:lineRule="auto"/>
              <w:jc w:val="center"/>
              <w:rPr>
                <w:rFonts w:ascii="Calibri" w:hAnsi="Calibri" w:cs="Calibri"/>
                <w:b/>
                <w:bCs/>
                <w:sz w:val="24"/>
                <w:szCs w:val="24"/>
              </w:rPr>
            </w:pPr>
            <w:r w:rsidRPr="00420CEB">
              <w:rPr>
                <w:rFonts w:ascii="Calibri" w:hAnsi="Calibri" w:cs="Calibri"/>
                <w:b/>
                <w:bCs/>
                <w:sz w:val="24"/>
                <w:szCs w:val="24"/>
              </w:rPr>
              <w:t>EN 14041</w:t>
            </w:r>
          </w:p>
        </w:tc>
      </w:tr>
      <w:tr w:rsidR="0005262F" w:rsidRPr="0043547B" w:rsidTr="00420CEB">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05262F" w:rsidRPr="0043547B" w:rsidRDefault="0005262F" w:rsidP="0005262F">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hideMark/>
          </w:tcPr>
          <w:p w:rsidR="0005262F" w:rsidRPr="00420CEB" w:rsidRDefault="0005262F" w:rsidP="00420CEB">
            <w:pPr>
              <w:spacing w:after="0" w:line="240" w:lineRule="auto"/>
              <w:jc w:val="both"/>
              <w:rPr>
                <w:rFonts w:ascii="Calibri" w:hAnsi="Calibri" w:cs="Calibri"/>
              </w:rPr>
            </w:pPr>
            <w:r w:rsidRPr="00420CEB">
              <w:rPr>
                <w:rFonts w:ascii="Calibri" w:hAnsi="Calibri" w:cs="Calibri"/>
              </w:rPr>
              <w:t xml:space="preserve">Revêtements de sols résilients, textiles et stratifiés - Caractéristiques essentielles </w:t>
            </w:r>
          </w:p>
        </w:tc>
      </w:tr>
      <w:tr w:rsidR="0005262F" w:rsidRPr="0043547B" w:rsidTr="009064A0">
        <w:trPr>
          <w:trHeight w:val="843"/>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05262F" w:rsidRPr="0043547B" w:rsidRDefault="0005262F" w:rsidP="0005262F">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bottom"/>
            <w:hideMark/>
          </w:tcPr>
          <w:p w:rsidR="00420CEB" w:rsidRDefault="0005262F" w:rsidP="00420CEB">
            <w:pPr>
              <w:spacing w:after="0" w:line="240" w:lineRule="auto"/>
              <w:jc w:val="both"/>
              <w:rPr>
                <w:rFonts w:ascii="Calibri" w:hAnsi="Calibri" w:cs="Calibri"/>
              </w:rPr>
            </w:pPr>
            <w:r w:rsidRPr="00420CEB">
              <w:rPr>
                <w:rFonts w:ascii="Calibri" w:hAnsi="Calibri" w:cs="Calibri"/>
              </w:rPr>
              <w:t>Le présent document spécifie les exigences relatives à la santé, à la sécurité et aux économies d’énergie pour :</w:t>
            </w:r>
          </w:p>
          <w:p w:rsidR="00420CEB" w:rsidRDefault="0005262F" w:rsidP="00420CEB">
            <w:pPr>
              <w:spacing w:after="0" w:line="240" w:lineRule="auto"/>
              <w:jc w:val="both"/>
              <w:rPr>
                <w:rFonts w:ascii="Calibri" w:hAnsi="Calibri" w:cs="Calibri"/>
              </w:rPr>
            </w:pPr>
            <w:r w:rsidRPr="00420CEB">
              <w:rPr>
                <w:rFonts w:ascii="Calibri" w:hAnsi="Calibri" w:cs="Calibri"/>
              </w:rPr>
              <w:t>— les revêtements de sol résilients fabriqués à partir de plastiques, de linoléum, de liège ou de caoutchouc, à l’exclusion des tapis en pose libre ;</w:t>
            </w:r>
          </w:p>
          <w:p w:rsidR="00420CEB" w:rsidRDefault="0005262F" w:rsidP="00420CEB">
            <w:pPr>
              <w:spacing w:after="0" w:line="240" w:lineRule="auto"/>
              <w:jc w:val="both"/>
              <w:rPr>
                <w:rFonts w:ascii="Calibri" w:hAnsi="Calibri" w:cs="Calibri"/>
              </w:rPr>
            </w:pPr>
            <w:r w:rsidRPr="00420CEB">
              <w:rPr>
                <w:rFonts w:ascii="Calibri" w:hAnsi="Calibri" w:cs="Calibri"/>
              </w:rPr>
              <w:t>— revêtements de sol textiles, à l’exclusion des tapis en pose libre ;</w:t>
            </w:r>
          </w:p>
          <w:p w:rsidR="00420CEB" w:rsidRDefault="0005262F" w:rsidP="00420CEB">
            <w:pPr>
              <w:spacing w:after="0" w:line="240" w:lineRule="auto"/>
              <w:jc w:val="both"/>
              <w:rPr>
                <w:rFonts w:ascii="Calibri" w:hAnsi="Calibri" w:cs="Calibri"/>
              </w:rPr>
            </w:pPr>
            <w:r w:rsidRPr="00420CEB">
              <w:rPr>
                <w:rFonts w:ascii="Calibri" w:hAnsi="Calibri" w:cs="Calibri"/>
              </w:rPr>
              <w:t>— revêtements de sol stratifiés ;</w:t>
            </w:r>
          </w:p>
          <w:p w:rsidR="00420CEB" w:rsidRDefault="0005262F" w:rsidP="00420CEB">
            <w:pPr>
              <w:spacing w:after="0" w:line="240" w:lineRule="auto"/>
              <w:jc w:val="both"/>
              <w:rPr>
                <w:rFonts w:ascii="Calibri" w:hAnsi="Calibri" w:cs="Calibri"/>
              </w:rPr>
            </w:pPr>
            <w:r w:rsidRPr="00420CEB">
              <w:rPr>
                <w:rFonts w:ascii="Calibri" w:hAnsi="Calibri" w:cs="Calibri"/>
              </w:rPr>
              <w:t>— panneaux de sol en pose libre.</w:t>
            </w:r>
          </w:p>
          <w:p w:rsidR="00420CEB" w:rsidRDefault="0005262F" w:rsidP="00420CEB">
            <w:pPr>
              <w:spacing w:after="0" w:line="240" w:lineRule="auto"/>
              <w:jc w:val="both"/>
              <w:rPr>
                <w:rFonts w:ascii="Calibri" w:hAnsi="Calibri" w:cs="Calibri"/>
              </w:rPr>
            </w:pPr>
            <w:r w:rsidRPr="00420CEB">
              <w:rPr>
                <w:rFonts w:ascii="Calibri" w:hAnsi="Calibri" w:cs="Calibri"/>
              </w:rPr>
              <w:t>Il spécifie également les procédures d’essai pour l’évaluation de la conformité des produits et les exigences relatives au marquage et à l’étiquetage.</w:t>
            </w:r>
          </w:p>
          <w:p w:rsidR="00420CEB" w:rsidRDefault="0005262F" w:rsidP="00420CEB">
            <w:pPr>
              <w:spacing w:after="0" w:line="240" w:lineRule="auto"/>
              <w:jc w:val="both"/>
              <w:rPr>
                <w:rFonts w:ascii="Calibri" w:hAnsi="Calibri" w:cs="Calibri"/>
              </w:rPr>
            </w:pPr>
            <w:r w:rsidRPr="00420CEB">
              <w:rPr>
                <w:rFonts w:ascii="Calibri" w:hAnsi="Calibri" w:cs="Calibri"/>
              </w:rPr>
              <w:t>Les produits sont destinés à être utilisés comme revêtements de sol pour usage intérieur ou usage extérieur, conformément aux spécifications des fabricants.</w:t>
            </w:r>
          </w:p>
          <w:p w:rsidR="0005262F" w:rsidRPr="00420CEB" w:rsidRDefault="0005262F" w:rsidP="00420CEB">
            <w:pPr>
              <w:spacing w:after="0" w:line="240" w:lineRule="auto"/>
              <w:jc w:val="both"/>
              <w:rPr>
                <w:rFonts w:ascii="Calibri" w:hAnsi="Calibri" w:cs="Calibri"/>
              </w:rPr>
            </w:pPr>
            <w:r w:rsidRPr="00420CEB">
              <w:rPr>
                <w:rFonts w:ascii="Calibri" w:hAnsi="Calibri" w:cs="Calibri"/>
              </w:rPr>
              <w:t>Le présent document ne s’applique pas aux revêtements de sol contenant de</w:t>
            </w:r>
            <w:r w:rsidRPr="00420CEB">
              <w:rPr>
                <w:rFonts w:ascii="Calibri" w:hAnsi="Calibri" w:cs="Calibri"/>
              </w:rPr>
              <w:br/>
              <w:t>l’amiante.</w:t>
            </w:r>
            <w:r w:rsidRPr="00420CEB">
              <w:rPr>
                <w:rFonts w:ascii="Calibri" w:hAnsi="Calibri" w:cs="Calibri"/>
              </w:rPr>
              <w:br/>
              <w:t>Il ne spécifie pas les exigences qui ne sont pas liées à la santé, à la sécurité et aux économies d’énergie et qui sont couvertes par les normes distinctes relatives à ces produits, dont la liste est donnée dans l’Annexe A.</w:t>
            </w:r>
          </w:p>
        </w:tc>
      </w:tr>
      <w:tr w:rsidR="0043547B" w:rsidRPr="0043547B" w:rsidTr="00420CEB">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5320</w:t>
            </w:r>
          </w:p>
        </w:tc>
      </w:tr>
      <w:tr w:rsidR="0043547B" w:rsidRPr="0043547B" w:rsidTr="00420CEB">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18"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5320</w:t>
            </w:r>
          </w:p>
        </w:tc>
      </w:tr>
      <w:tr w:rsidR="0043547B" w:rsidRPr="0043547B" w:rsidTr="00420CEB">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Parquet en bois massif - Classification des lames en sapin et épicéa </w:t>
            </w:r>
          </w:p>
        </w:tc>
      </w:tr>
      <w:tr w:rsidR="0043547B" w:rsidRPr="0043547B" w:rsidTr="00554CF5">
        <w:trPr>
          <w:trHeight w:val="50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établit la classification, suivant leurs qualités, des lames à parquet en sapin et épicéa massifs, non assemblées.</w:t>
            </w:r>
          </w:p>
        </w:tc>
      </w:tr>
      <w:tr w:rsidR="0043547B" w:rsidRPr="0043547B" w:rsidTr="00554CF5">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2457</w:t>
            </w:r>
          </w:p>
        </w:tc>
      </w:tr>
      <w:tr w:rsidR="0043547B" w:rsidRPr="0043547B" w:rsidTr="00554CF5">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2457</w:t>
            </w:r>
          </w:p>
        </w:tc>
      </w:tr>
      <w:tr w:rsidR="0043547B" w:rsidRPr="0043547B" w:rsidTr="00554CF5">
        <w:trPr>
          <w:trHeight w:val="189"/>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Parquet en bois massif - Classement des lames en hêtre </w:t>
            </w:r>
          </w:p>
        </w:tc>
      </w:tr>
      <w:tr w:rsidR="0043547B" w:rsidRPr="0043547B" w:rsidTr="00554CF5">
        <w:trPr>
          <w:trHeight w:val="563"/>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établit un classement, suivant leurs qualités, des lames à parquet en hêtre massif, non assemblées.</w:t>
            </w:r>
          </w:p>
        </w:tc>
      </w:tr>
      <w:tr w:rsidR="0043547B" w:rsidRPr="0043547B" w:rsidTr="00554CF5">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5334</w:t>
            </w:r>
          </w:p>
        </w:tc>
      </w:tr>
      <w:tr w:rsidR="0043547B" w:rsidRPr="0043547B" w:rsidTr="00554CF5">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5334</w:t>
            </w:r>
          </w:p>
        </w:tc>
      </w:tr>
      <w:tr w:rsidR="0043547B" w:rsidRPr="0043547B" w:rsidTr="00554CF5">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Parquet en bois massif - Classification des lames en pin maritime </w:t>
            </w:r>
          </w:p>
        </w:tc>
      </w:tr>
      <w:tr w:rsidR="0043547B" w:rsidRPr="0043547B" w:rsidTr="00554CF5">
        <w:trPr>
          <w:trHeight w:val="60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établit la classification, suivant leurs qualités, des lames à parquet en pin maritime massif, non assemblées.</w:t>
            </w:r>
          </w:p>
        </w:tc>
      </w:tr>
      <w:tr w:rsidR="0043547B" w:rsidRPr="0043547B" w:rsidTr="00554CF5">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5326</w:t>
            </w:r>
          </w:p>
        </w:tc>
      </w:tr>
      <w:tr w:rsidR="0043547B" w:rsidRPr="0043547B" w:rsidTr="00554CF5">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5326</w:t>
            </w:r>
          </w:p>
        </w:tc>
      </w:tr>
      <w:tr w:rsidR="0043547B" w:rsidRPr="0043547B" w:rsidTr="00554CF5">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w w:val="95"/>
                <w:sz w:val="24"/>
                <w:szCs w:val="24"/>
                <w:lang w:eastAsia="fr-FR"/>
              </w:rPr>
            </w:pPr>
            <w:r w:rsidRPr="0043547B">
              <w:rPr>
                <w:rFonts w:eastAsia="Times New Roman" w:cstheme="minorHAnsi"/>
                <w:w w:val="95"/>
                <w:sz w:val="24"/>
                <w:szCs w:val="24"/>
                <w:lang w:eastAsia="fr-FR"/>
              </w:rPr>
              <w:t xml:space="preserve">Blocs de pavage en bois massif - Blocs de pavage en bois feuillus - Spécifications de qualité </w:t>
            </w:r>
          </w:p>
        </w:tc>
      </w:tr>
      <w:tr w:rsidR="0043547B" w:rsidRPr="0043547B" w:rsidTr="00554CF5">
        <w:trPr>
          <w:trHeight w:val="1124"/>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La norme établit les spécifications de qualité pour les blocs de pavage en bois massif de feuillus, utilisés pour le pavage des espaces couverts (clos) ou découverts (en plein air).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blocs de pavage en bois de Fagus sylvatica sont destinés à être utilisés seulement dans les espaces couverts (clos).</w:t>
            </w:r>
          </w:p>
        </w:tc>
      </w:tr>
      <w:tr w:rsidR="0043547B" w:rsidRPr="0043547B" w:rsidTr="00554CF5">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5327</w:t>
            </w:r>
          </w:p>
        </w:tc>
      </w:tr>
      <w:tr w:rsidR="0043547B" w:rsidRPr="0043547B" w:rsidTr="00554CF5">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5327</w:t>
            </w:r>
          </w:p>
        </w:tc>
      </w:tr>
      <w:tr w:rsidR="0043547B" w:rsidRPr="0043547B" w:rsidTr="00554CF5">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Blocs de pavage en bois massif - Caractéristiques générales </w:t>
            </w:r>
          </w:p>
        </w:tc>
      </w:tr>
      <w:tr w:rsidR="0043547B" w:rsidRPr="0043547B" w:rsidTr="00554CF5">
        <w:trPr>
          <w:trHeight w:val="1552"/>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caractéristiques de fabrication, les formes et les dimensions, les tolérances, les conditions de vérification et de livraison des blocs de pavage en bois massif, utilisés pour le pavage des espaces couverts (clos) ou découverts (en plein air).</w:t>
            </w:r>
          </w:p>
          <w:p w:rsidR="00904E52" w:rsidRPr="0043547B" w:rsidRDefault="00904E52" w:rsidP="00D93B0A">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La classification des blocs de pavage selon les caractéristiques spécifiques, les défauts du bois, ainsi que les exceptions éventuelles, est établie dans les Normes particulières relatives à la classification de chaque essence de bois ou de chaque groupe d’essences. </w:t>
            </w:r>
          </w:p>
        </w:tc>
      </w:tr>
      <w:tr w:rsidR="0043547B" w:rsidRPr="0043547B" w:rsidTr="00554CF5">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5328</w:t>
            </w:r>
          </w:p>
        </w:tc>
      </w:tr>
      <w:tr w:rsidR="0043547B" w:rsidRPr="0043547B" w:rsidTr="00554CF5">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5328</w:t>
            </w:r>
          </w:p>
        </w:tc>
      </w:tr>
      <w:tr w:rsidR="0043547B" w:rsidRPr="0043547B" w:rsidTr="00554CF5">
        <w:trPr>
          <w:trHeight w:val="209"/>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w w:val="95"/>
                <w:sz w:val="24"/>
                <w:szCs w:val="24"/>
                <w:lang w:eastAsia="fr-FR"/>
              </w:rPr>
            </w:pPr>
            <w:r w:rsidRPr="0043547B">
              <w:rPr>
                <w:rFonts w:eastAsia="Times New Roman" w:cstheme="minorHAnsi"/>
                <w:w w:val="95"/>
                <w:sz w:val="24"/>
                <w:szCs w:val="24"/>
                <w:lang w:eastAsia="fr-FR"/>
              </w:rPr>
              <w:t xml:space="preserve">Blocs de pavage en bois massif - Blocs de pavage en bois résineux - Spécifications de qualité </w:t>
            </w:r>
          </w:p>
        </w:tc>
      </w:tr>
      <w:tr w:rsidR="0043547B" w:rsidRPr="0043547B" w:rsidTr="00554CF5">
        <w:trPr>
          <w:trHeight w:val="441"/>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établit les spécifications de qualité pour les blocs de pavage en bois massif de résineux, utilisés pour le pavage des espaces couverts (clos) ou découverts (en plein air).</w:t>
            </w:r>
          </w:p>
        </w:tc>
      </w:tr>
      <w:tr w:rsidR="0043547B" w:rsidRPr="0043547B" w:rsidTr="00554CF5">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NM ISO 1072</w:t>
            </w:r>
          </w:p>
        </w:tc>
      </w:tr>
      <w:tr w:rsidR="0043547B" w:rsidRPr="0043547B" w:rsidTr="00554CF5">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ISO 1072</w:t>
            </w:r>
          </w:p>
        </w:tc>
      </w:tr>
      <w:tr w:rsidR="0043547B" w:rsidRPr="0043547B" w:rsidTr="00554CF5">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Parquet en bois massif - Caractéristiques générales </w:t>
            </w:r>
          </w:p>
        </w:tc>
      </w:tr>
      <w:tr w:rsidR="0043547B" w:rsidRPr="0043547B" w:rsidTr="00554CF5">
        <w:trPr>
          <w:trHeight w:val="1006"/>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F7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La norme spécifie les caractéristiques de fabrication (profil, dimensions, écarts admissibles, etc.), les conditions de vérification et de livraison, et le marquage des lames à parquet en bois massif à parement rectangulaire </w:t>
            </w:r>
            <w:r w:rsidR="00904F7D" w:rsidRPr="0043547B">
              <w:rPr>
                <w:rFonts w:eastAsia="Times New Roman" w:cstheme="minorHAnsi"/>
                <w:sz w:val="24"/>
                <w:szCs w:val="24"/>
                <w:lang w:eastAsia="fr-FR"/>
              </w:rPr>
              <w:t>de toutes les essences de bois.</w:t>
            </w:r>
          </w:p>
        </w:tc>
      </w:tr>
      <w:tr w:rsidR="0043547B" w:rsidRPr="0043547B" w:rsidTr="00554CF5">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NM ISO 1324</w:t>
            </w:r>
          </w:p>
        </w:tc>
      </w:tr>
      <w:tr w:rsidR="0043547B" w:rsidRPr="0043547B" w:rsidTr="00554CF5">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ISO 1324</w:t>
            </w:r>
          </w:p>
        </w:tc>
      </w:tr>
      <w:tr w:rsidR="0043547B" w:rsidRPr="0043547B" w:rsidTr="00554CF5">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Parquet en bois massif - Classification des lames en chêne </w:t>
            </w:r>
          </w:p>
        </w:tc>
      </w:tr>
      <w:tr w:rsidR="0043547B" w:rsidRPr="0043547B" w:rsidTr="00554CF5">
        <w:trPr>
          <w:trHeight w:val="354"/>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établit la classification, suivant leurs qualités, des lames à parquet en chêne massif, non assemblées.</w:t>
            </w:r>
          </w:p>
        </w:tc>
      </w:tr>
      <w:tr w:rsidR="0043547B" w:rsidRPr="0043547B" w:rsidTr="00554CF5">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NM ISO 2036</w:t>
            </w:r>
          </w:p>
        </w:tc>
      </w:tr>
      <w:tr w:rsidR="0043547B" w:rsidRPr="0043547B" w:rsidTr="00554CF5">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ISO 2036</w:t>
            </w:r>
          </w:p>
        </w:tc>
      </w:tr>
      <w:tr w:rsidR="0043547B" w:rsidRPr="0043547B" w:rsidTr="00554CF5">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Bois pour la fabrication des parquets - Symboles pour marquage selon les espèces </w:t>
            </w:r>
          </w:p>
        </w:tc>
      </w:tr>
      <w:tr w:rsidR="0043547B" w:rsidRPr="0043547B" w:rsidTr="00554CF5">
        <w:trPr>
          <w:trHeight w:val="437"/>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un mode de marquage des bois, selon les espèces, utilisés dans la fabrication des parquets.</w:t>
            </w:r>
          </w:p>
        </w:tc>
      </w:tr>
      <w:tr w:rsidR="0005262F" w:rsidRPr="0043547B" w:rsidTr="009064A0">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05262F" w:rsidRPr="0043547B" w:rsidRDefault="0005262F" w:rsidP="0005262F">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hideMark/>
          </w:tcPr>
          <w:p w:rsidR="0005262F" w:rsidRPr="00420CEB" w:rsidRDefault="0005262F" w:rsidP="00420CEB">
            <w:pPr>
              <w:spacing w:after="0" w:line="240" w:lineRule="auto"/>
              <w:jc w:val="center"/>
              <w:rPr>
                <w:rFonts w:ascii="Calibri" w:hAnsi="Calibri" w:cs="Calibri"/>
                <w:b/>
                <w:bCs/>
                <w:sz w:val="24"/>
                <w:szCs w:val="24"/>
              </w:rPr>
            </w:pPr>
            <w:r w:rsidRPr="00420CEB">
              <w:rPr>
                <w:rFonts w:ascii="Calibri" w:hAnsi="Calibri" w:cs="Calibri"/>
                <w:b/>
                <w:bCs/>
                <w:sz w:val="24"/>
                <w:szCs w:val="24"/>
              </w:rPr>
              <w:t>NM EN 14891</w:t>
            </w:r>
          </w:p>
        </w:tc>
      </w:tr>
      <w:tr w:rsidR="0005262F" w:rsidRPr="0043547B" w:rsidTr="00554CF5">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05262F" w:rsidRPr="0043547B" w:rsidRDefault="0005262F" w:rsidP="0005262F">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05262F" w:rsidRPr="00420CEB" w:rsidRDefault="0005262F" w:rsidP="00420CEB">
            <w:pPr>
              <w:spacing w:after="0" w:line="240" w:lineRule="auto"/>
              <w:jc w:val="center"/>
              <w:rPr>
                <w:rFonts w:ascii="Calibri" w:hAnsi="Calibri" w:cs="Calibri"/>
                <w:b/>
                <w:bCs/>
                <w:sz w:val="24"/>
                <w:szCs w:val="24"/>
              </w:rPr>
            </w:pPr>
            <w:r w:rsidRPr="00420CEB">
              <w:rPr>
                <w:rFonts w:ascii="Calibri" w:hAnsi="Calibri" w:cs="Calibri"/>
                <w:b/>
                <w:bCs/>
                <w:sz w:val="24"/>
                <w:szCs w:val="24"/>
              </w:rPr>
              <w:t>EN 14891</w:t>
            </w:r>
          </w:p>
        </w:tc>
      </w:tr>
      <w:tr w:rsidR="0005262F" w:rsidRPr="0043547B" w:rsidTr="009064A0">
        <w:trPr>
          <w:trHeight w:val="6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05262F" w:rsidRPr="0043547B" w:rsidRDefault="0005262F" w:rsidP="0005262F">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hideMark/>
          </w:tcPr>
          <w:p w:rsidR="0005262F" w:rsidRPr="00420CEB" w:rsidRDefault="0005262F" w:rsidP="00420CEB">
            <w:pPr>
              <w:spacing w:after="0" w:line="240" w:lineRule="auto"/>
              <w:jc w:val="both"/>
              <w:rPr>
                <w:rFonts w:ascii="Calibri" w:hAnsi="Calibri" w:cs="Calibri"/>
              </w:rPr>
            </w:pPr>
            <w:r w:rsidRPr="00420CEB">
              <w:rPr>
                <w:rFonts w:ascii="Calibri" w:hAnsi="Calibri" w:cs="Calibri"/>
              </w:rPr>
              <w:t>Produits d'imperméabilisation appliqués en phase liquide utilisés sous carrelage collé - Spécifications, méthodes d'essai, évaluation de la conformité, classification et designation</w:t>
            </w:r>
          </w:p>
        </w:tc>
      </w:tr>
      <w:tr w:rsidR="0005262F" w:rsidRPr="0043547B" w:rsidTr="009064A0">
        <w:trPr>
          <w:trHeight w:val="2921"/>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05262F" w:rsidRPr="0043547B" w:rsidRDefault="0005262F" w:rsidP="0005262F">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bottom"/>
            <w:hideMark/>
          </w:tcPr>
          <w:p w:rsidR="001A4D75" w:rsidRDefault="0005262F" w:rsidP="00420CEB">
            <w:pPr>
              <w:spacing w:after="0" w:line="240" w:lineRule="auto"/>
              <w:jc w:val="both"/>
              <w:rPr>
                <w:rFonts w:ascii="Calibri" w:hAnsi="Calibri" w:cs="Calibri"/>
              </w:rPr>
            </w:pPr>
            <w:r w:rsidRPr="00420CEB">
              <w:rPr>
                <w:rFonts w:ascii="Calibri" w:hAnsi="Calibri" w:cs="Calibri"/>
              </w:rPr>
              <w:t>La norme s’applique à tous les produits d’imperméabilisation à base de mortiers de ciment modifiés par des polymères, de résine réactive et de résine en dispersion appliqués en phase liquide et utilisés sous carrelage collé, pour la pose, en extérieur, des carreaux céramiques au sol et mur et dans les piscines.</w:t>
            </w:r>
          </w:p>
          <w:p w:rsidR="001A4D75" w:rsidRDefault="0005262F" w:rsidP="001A4D75">
            <w:pPr>
              <w:spacing w:after="0" w:line="240" w:lineRule="auto"/>
              <w:jc w:val="both"/>
              <w:rPr>
                <w:rFonts w:ascii="Calibri" w:hAnsi="Calibri" w:cs="Calibri"/>
              </w:rPr>
            </w:pPr>
            <w:r w:rsidRPr="00420CEB">
              <w:rPr>
                <w:rFonts w:ascii="Calibri" w:hAnsi="Calibri" w:cs="Calibri"/>
              </w:rPr>
              <w:t>La norme donne la terminologie concernant les produits et prescrit les méthodes d’essai ainsi que les exigences performancielles des produits d’imperméabilisation appliqués en phase liquide en association avec des colles à</w:t>
            </w:r>
            <w:r w:rsidR="001A4D75">
              <w:rPr>
                <w:rFonts w:ascii="Calibri" w:hAnsi="Calibri" w:cs="Calibri"/>
              </w:rPr>
              <w:t xml:space="preserve"> </w:t>
            </w:r>
            <w:r w:rsidRPr="00420CEB">
              <w:rPr>
                <w:rFonts w:ascii="Calibri" w:hAnsi="Calibri" w:cs="Calibri"/>
              </w:rPr>
              <w:t>carrelage.</w:t>
            </w:r>
          </w:p>
          <w:p w:rsidR="0005262F" w:rsidRPr="00420CEB" w:rsidRDefault="0005262F" w:rsidP="001A4D75">
            <w:pPr>
              <w:spacing w:after="0" w:line="240" w:lineRule="auto"/>
              <w:jc w:val="both"/>
              <w:rPr>
                <w:rFonts w:ascii="Calibri" w:hAnsi="Calibri" w:cs="Calibri"/>
              </w:rPr>
            </w:pPr>
            <w:r w:rsidRPr="00420CEB">
              <w:rPr>
                <w:rFonts w:ascii="Calibri" w:hAnsi="Calibri" w:cs="Calibri"/>
              </w:rPr>
              <w:t>La norme spécifie l’évaluation de la conformité, la classification et la désignation des produits d’imperméabilisation destinés à être utilisés sous du carrelage céramique.</w:t>
            </w:r>
            <w:r w:rsidRPr="00420CEB">
              <w:rPr>
                <w:rFonts w:ascii="Calibri" w:hAnsi="Calibri" w:cs="Calibri"/>
              </w:rPr>
              <w:br/>
              <w:t>La norme ne contient pas de recommandations relatives à la conception et à la pose de carreaux céramiques ni à la réalisation de joints, en association avec les produits d’imperméabilisation.</w:t>
            </w:r>
          </w:p>
        </w:tc>
      </w:tr>
      <w:tr w:rsidR="0043547B" w:rsidRPr="0043547B" w:rsidTr="00554CF5">
        <w:trPr>
          <w:trHeight w:val="128"/>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NM EN 13245-1</w:t>
            </w:r>
          </w:p>
        </w:tc>
      </w:tr>
      <w:tr w:rsidR="0043547B" w:rsidRPr="0043547B" w:rsidTr="00554CF5">
        <w:trPr>
          <w:trHeight w:val="70"/>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EN 13245-1</w:t>
            </w:r>
          </w:p>
        </w:tc>
      </w:tr>
      <w:tr w:rsidR="0043547B" w:rsidRPr="0043547B" w:rsidTr="00554CF5">
        <w:trPr>
          <w:trHeight w:val="70"/>
          <w:jc w:val="center"/>
        </w:trPr>
        <w:tc>
          <w:tcPr>
            <w:tcW w:w="1838" w:type="dxa"/>
            <w:tcBorders>
              <w:top w:val="nil"/>
              <w:left w:val="single" w:sz="18" w:space="0" w:color="auto"/>
              <w:bottom w:val="single" w:sz="4" w:space="0" w:color="auto"/>
              <w:right w:val="single" w:sz="4" w:space="0" w:color="auto"/>
            </w:tcBorders>
            <w:shd w:val="clear" w:color="000000" w:fill="8DB4E2"/>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auto"/>
            <w:vAlign w:val="center"/>
          </w:tcPr>
          <w:p w:rsidR="00904E52" w:rsidRPr="0043547B" w:rsidRDefault="00904E52" w:rsidP="00904E52">
            <w:pPr>
              <w:spacing w:after="0"/>
              <w:jc w:val="both"/>
              <w:rPr>
                <w:rFonts w:cstheme="minorHAnsi"/>
                <w:sz w:val="24"/>
                <w:szCs w:val="24"/>
              </w:rPr>
            </w:pPr>
            <w:r w:rsidRPr="0043547B">
              <w:rPr>
                <w:rFonts w:cstheme="minorHAnsi"/>
                <w:sz w:val="24"/>
                <w:szCs w:val="24"/>
              </w:rPr>
              <w:t xml:space="preserve">Plastiques - Profilés en poly(chlorure de vinyle) non plastifié (PVC-U) pour applications dans le bâtiment - Partie 1 : Désignation des profilés en PVC-U ;   </w:t>
            </w:r>
          </w:p>
        </w:tc>
      </w:tr>
      <w:tr w:rsidR="0043547B" w:rsidRPr="0043547B" w:rsidTr="00554CF5">
        <w:trPr>
          <w:trHeight w:val="418"/>
          <w:jc w:val="center"/>
        </w:trPr>
        <w:tc>
          <w:tcPr>
            <w:tcW w:w="1838" w:type="dxa"/>
            <w:tcBorders>
              <w:top w:val="nil"/>
              <w:left w:val="single" w:sz="18" w:space="0" w:color="auto"/>
              <w:bottom w:val="single" w:sz="18" w:space="0" w:color="auto"/>
              <w:right w:val="single" w:sz="4" w:space="0" w:color="auto"/>
            </w:tcBorders>
            <w:shd w:val="clear" w:color="000000" w:fill="D9D9D9"/>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center"/>
          </w:tcPr>
          <w:p w:rsidR="00752B73" w:rsidRDefault="00904E52" w:rsidP="00DB1479">
            <w:pPr>
              <w:spacing w:after="0" w:line="240" w:lineRule="auto"/>
              <w:jc w:val="both"/>
              <w:rPr>
                <w:rFonts w:cstheme="minorHAnsi"/>
                <w:sz w:val="24"/>
                <w:szCs w:val="24"/>
              </w:rPr>
            </w:pPr>
            <w:r w:rsidRPr="0043547B">
              <w:rPr>
                <w:rFonts w:cstheme="minorHAnsi"/>
                <w:sz w:val="24"/>
                <w:szCs w:val="24"/>
              </w:rPr>
              <w:t>La norme définit un système de désignation des profils fabriqués en poly(chlorure de vinyle) non plastifié (PVC-U), destinés à être utilisés pour des applications dans le bâtiment.</w:t>
            </w:r>
          </w:p>
          <w:p w:rsidR="00752B73" w:rsidRPr="0043547B" w:rsidRDefault="00752B73" w:rsidP="00752B73">
            <w:pPr>
              <w:spacing w:after="0" w:line="240" w:lineRule="auto"/>
              <w:jc w:val="both"/>
              <w:rPr>
                <w:rFonts w:cstheme="minorHAnsi"/>
                <w:sz w:val="24"/>
                <w:szCs w:val="24"/>
              </w:rPr>
            </w:pPr>
            <w:r w:rsidRPr="0043547B">
              <w:rPr>
                <w:rFonts w:cstheme="minorHAnsi"/>
                <w:sz w:val="24"/>
                <w:szCs w:val="24"/>
              </w:rPr>
              <w:t>Elle s'applique aux profilés en PVC-U colorés et de coloris clair, obtenus par mono-extrusion ou Co-extrusion, avec ou sans film placé ou une couche de laque. Elle spécifie les méthodes et paramètres d'essai.</w:t>
            </w:r>
          </w:p>
          <w:p w:rsidR="00752B73" w:rsidRPr="0043547B" w:rsidRDefault="00752B73" w:rsidP="00752B73">
            <w:pPr>
              <w:spacing w:after="0" w:line="240" w:lineRule="auto"/>
              <w:jc w:val="both"/>
              <w:rPr>
                <w:rFonts w:cstheme="minorHAnsi"/>
                <w:sz w:val="24"/>
                <w:szCs w:val="24"/>
              </w:rPr>
            </w:pPr>
            <w:r w:rsidRPr="0043547B">
              <w:rPr>
                <w:rFonts w:cstheme="minorHAnsi"/>
                <w:sz w:val="24"/>
                <w:szCs w:val="24"/>
              </w:rPr>
              <w:t>Le système de désignation défini est destiné à être utilisé dans la spécification des produits lorsque l'application est spécifiée.</w:t>
            </w:r>
          </w:p>
          <w:p w:rsidR="00904E52" w:rsidRPr="0043547B" w:rsidRDefault="00752B73" w:rsidP="00752B73">
            <w:pPr>
              <w:spacing w:after="0" w:line="240" w:lineRule="auto"/>
              <w:jc w:val="both"/>
              <w:rPr>
                <w:rFonts w:cstheme="minorHAnsi"/>
                <w:sz w:val="24"/>
                <w:szCs w:val="24"/>
              </w:rPr>
            </w:pPr>
            <w:r w:rsidRPr="0043547B">
              <w:rPr>
                <w:rFonts w:cstheme="minorHAnsi"/>
                <w:sz w:val="24"/>
                <w:szCs w:val="24"/>
              </w:rPr>
              <w:t>Il est recommandé d'utiliser ce système de désignation des profilés en PVC-U pour les informations liées à la documentation technique du fabricant et non pour le marquage des produits.</w:t>
            </w:r>
          </w:p>
        </w:tc>
      </w:tr>
      <w:tr w:rsidR="0043547B" w:rsidRPr="0043547B" w:rsidTr="00554CF5">
        <w:trPr>
          <w:trHeight w:val="70"/>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NM EN 13245-2</w:t>
            </w:r>
          </w:p>
        </w:tc>
      </w:tr>
      <w:tr w:rsidR="0043547B" w:rsidRPr="0043547B" w:rsidTr="00554CF5">
        <w:trPr>
          <w:trHeight w:val="70"/>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EN 13245-2</w:t>
            </w:r>
          </w:p>
        </w:tc>
      </w:tr>
      <w:tr w:rsidR="0043547B" w:rsidRPr="0043547B" w:rsidTr="00554CF5">
        <w:trPr>
          <w:trHeight w:val="70"/>
          <w:jc w:val="center"/>
        </w:trPr>
        <w:tc>
          <w:tcPr>
            <w:tcW w:w="1838" w:type="dxa"/>
            <w:tcBorders>
              <w:top w:val="nil"/>
              <w:left w:val="single" w:sz="18" w:space="0" w:color="auto"/>
              <w:bottom w:val="single" w:sz="4" w:space="0" w:color="auto"/>
              <w:right w:val="single" w:sz="4" w:space="0" w:color="auto"/>
            </w:tcBorders>
            <w:shd w:val="clear" w:color="000000" w:fill="8DB4E2"/>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auto"/>
            <w:vAlign w:val="center"/>
          </w:tcPr>
          <w:p w:rsidR="00904E52" w:rsidRPr="0043547B" w:rsidRDefault="00904E52" w:rsidP="00904E52">
            <w:pPr>
              <w:spacing w:after="0"/>
              <w:jc w:val="both"/>
              <w:rPr>
                <w:rFonts w:cstheme="minorHAnsi"/>
                <w:sz w:val="24"/>
                <w:szCs w:val="24"/>
              </w:rPr>
            </w:pPr>
            <w:r w:rsidRPr="0043547B">
              <w:rPr>
                <w:rFonts w:cstheme="minorHAnsi"/>
                <w:sz w:val="24"/>
                <w:szCs w:val="24"/>
              </w:rPr>
              <w:t xml:space="preserve">Plastiques - Profilés en poly(chlorure de vinyle) non plastifié (PVC-U) pour applications dans le bâtiment - Partie 2: Profilés en PVC-U et profilés en PVC-UE pour finitions des murs et plafonds intérieurs et extérieurs ;   </w:t>
            </w:r>
          </w:p>
        </w:tc>
      </w:tr>
      <w:tr w:rsidR="0043547B" w:rsidRPr="0043547B" w:rsidTr="00554CF5">
        <w:trPr>
          <w:trHeight w:val="70"/>
          <w:jc w:val="center"/>
        </w:trPr>
        <w:tc>
          <w:tcPr>
            <w:tcW w:w="1838" w:type="dxa"/>
            <w:tcBorders>
              <w:top w:val="nil"/>
              <w:left w:val="single" w:sz="18" w:space="0" w:color="auto"/>
              <w:bottom w:val="single" w:sz="18" w:space="0" w:color="auto"/>
              <w:right w:val="single" w:sz="4" w:space="0" w:color="auto"/>
            </w:tcBorders>
            <w:shd w:val="clear" w:color="000000" w:fill="D9D9D9"/>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center"/>
          </w:tcPr>
          <w:p w:rsidR="00904E52" w:rsidRPr="0043547B" w:rsidRDefault="00904E52" w:rsidP="00DB1479">
            <w:pPr>
              <w:spacing w:after="0" w:line="240" w:lineRule="auto"/>
              <w:jc w:val="both"/>
              <w:rPr>
                <w:rFonts w:cstheme="minorHAnsi"/>
                <w:sz w:val="24"/>
                <w:szCs w:val="24"/>
              </w:rPr>
            </w:pPr>
            <w:r w:rsidRPr="0043547B">
              <w:rPr>
                <w:rFonts w:cstheme="minorHAnsi"/>
                <w:sz w:val="24"/>
                <w:szCs w:val="24"/>
              </w:rPr>
              <w:t>La norme spécifie les exigences de santé et de sécurité relatives aux profilés en poly(chlorure de vinyle) non plastifié (PVC-U) et aux profilés en poly(chlorure de vinyle) non plastifié expansé (PVC-UE) pour finitions des murs et plafonds intérieurs et extérieurs. Elle spécifie également des méthodes d’évaluation de la conformité des produits aux exigences, et inclut des exigences pour leur marquage.</w:t>
            </w:r>
          </w:p>
          <w:p w:rsidR="00904E52" w:rsidRPr="0043547B" w:rsidRDefault="00904E52" w:rsidP="00DB1479">
            <w:pPr>
              <w:spacing w:after="0" w:line="240" w:lineRule="auto"/>
              <w:jc w:val="both"/>
              <w:rPr>
                <w:rFonts w:cstheme="minorHAnsi"/>
                <w:sz w:val="24"/>
                <w:szCs w:val="24"/>
              </w:rPr>
            </w:pPr>
            <w:r w:rsidRPr="0043547B">
              <w:rPr>
                <w:rFonts w:cstheme="minorHAnsi"/>
                <w:sz w:val="24"/>
                <w:szCs w:val="24"/>
              </w:rPr>
              <w:t>Les produits sont destinés à être utilisés comme finitions de murs et plafonds pour applications intérieures et extérieures selon les spécifications du fabricant, qui peuvent inclure des spécifications pour les fixations.</w:t>
            </w:r>
          </w:p>
          <w:p w:rsidR="00904E52" w:rsidRPr="0043547B" w:rsidRDefault="00904E52" w:rsidP="00DB1479">
            <w:pPr>
              <w:spacing w:after="0" w:line="240" w:lineRule="auto"/>
              <w:jc w:val="both"/>
              <w:rPr>
                <w:rFonts w:cstheme="minorHAnsi"/>
                <w:sz w:val="24"/>
                <w:szCs w:val="24"/>
              </w:rPr>
            </w:pPr>
            <w:r w:rsidRPr="0043547B">
              <w:rPr>
                <w:rFonts w:cstheme="minorHAnsi"/>
                <w:sz w:val="24"/>
                <w:szCs w:val="24"/>
              </w:rPr>
              <w:t>La norme ne traite pas des profilés pour la gestion des câbles d'énergie électrique, des câbles de communication et des chemins d’alimentation utilisés pour la distribution de l'énergie électrique, des produits pour sous-toiture (bandeaux de rive et planches de sous-face) y compris les gouttières, des profilés de finition intérieure de fenêtres y compris les tabliers intérieurs de fenêtres et des profilés pour les fenêtres et les portes.</w:t>
            </w:r>
          </w:p>
        </w:tc>
      </w:tr>
      <w:tr w:rsidR="0043547B" w:rsidRPr="0043547B" w:rsidTr="00554CF5">
        <w:trPr>
          <w:trHeight w:val="70"/>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NM EN 13245-3</w:t>
            </w:r>
          </w:p>
        </w:tc>
      </w:tr>
      <w:tr w:rsidR="0043547B" w:rsidRPr="0043547B" w:rsidTr="00554CF5">
        <w:trPr>
          <w:trHeight w:val="70"/>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EN 13245-3</w:t>
            </w:r>
          </w:p>
        </w:tc>
      </w:tr>
      <w:tr w:rsidR="0043547B" w:rsidRPr="0043547B" w:rsidTr="00554CF5">
        <w:trPr>
          <w:trHeight w:val="70"/>
          <w:jc w:val="center"/>
        </w:trPr>
        <w:tc>
          <w:tcPr>
            <w:tcW w:w="1838" w:type="dxa"/>
            <w:tcBorders>
              <w:top w:val="nil"/>
              <w:left w:val="single" w:sz="18" w:space="0" w:color="auto"/>
              <w:bottom w:val="single" w:sz="4" w:space="0" w:color="auto"/>
              <w:right w:val="single" w:sz="4" w:space="0" w:color="auto"/>
            </w:tcBorders>
            <w:shd w:val="clear" w:color="000000" w:fill="8DB4E2"/>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auto"/>
            <w:vAlign w:val="center"/>
          </w:tcPr>
          <w:p w:rsidR="00904E52" w:rsidRPr="0043547B" w:rsidRDefault="00904E52" w:rsidP="00904E52">
            <w:pPr>
              <w:spacing w:after="0"/>
              <w:jc w:val="both"/>
              <w:rPr>
                <w:rFonts w:cstheme="minorHAnsi"/>
                <w:sz w:val="24"/>
                <w:szCs w:val="24"/>
              </w:rPr>
            </w:pPr>
            <w:r w:rsidRPr="0043547B">
              <w:rPr>
                <w:rFonts w:cstheme="minorHAnsi"/>
                <w:sz w:val="24"/>
                <w:szCs w:val="24"/>
              </w:rPr>
              <w:t xml:space="preserve">Plastiques - Profilés en poly(chlorure de vinyle) non plastifié (PVC-U) pour applications dans le bâtiment - Partie 3 : Désignation des profilés en PVC-UE ;   </w:t>
            </w:r>
          </w:p>
        </w:tc>
      </w:tr>
      <w:tr w:rsidR="0043547B" w:rsidRPr="0043547B" w:rsidTr="00554CF5">
        <w:trPr>
          <w:trHeight w:val="70"/>
          <w:jc w:val="center"/>
        </w:trPr>
        <w:tc>
          <w:tcPr>
            <w:tcW w:w="1838" w:type="dxa"/>
            <w:tcBorders>
              <w:top w:val="nil"/>
              <w:left w:val="single" w:sz="18" w:space="0" w:color="auto"/>
              <w:bottom w:val="single" w:sz="18" w:space="0" w:color="auto"/>
              <w:right w:val="single" w:sz="4" w:space="0" w:color="auto"/>
            </w:tcBorders>
            <w:shd w:val="clear" w:color="000000" w:fill="D9D9D9"/>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center"/>
          </w:tcPr>
          <w:p w:rsidR="00904E52" w:rsidRPr="0043547B" w:rsidRDefault="00904E52" w:rsidP="00DB1479">
            <w:pPr>
              <w:spacing w:after="0" w:line="240" w:lineRule="auto"/>
              <w:jc w:val="both"/>
              <w:rPr>
                <w:rFonts w:cstheme="minorHAnsi"/>
                <w:sz w:val="24"/>
                <w:szCs w:val="24"/>
              </w:rPr>
            </w:pPr>
            <w:r w:rsidRPr="0043547B">
              <w:rPr>
                <w:rFonts w:cstheme="minorHAnsi"/>
                <w:sz w:val="24"/>
                <w:szCs w:val="24"/>
              </w:rPr>
              <w:t>La norme définit un système de désignation des profils fabriqués en poly(chlorure de vinyle) non plastifié expansé (PVC-UE), destinés à être utilisés pour des applications dans le bâtiment.</w:t>
            </w:r>
          </w:p>
          <w:p w:rsidR="00904E52" w:rsidRPr="0043547B" w:rsidRDefault="00904E52" w:rsidP="00DB1479">
            <w:pPr>
              <w:spacing w:after="0" w:line="240" w:lineRule="auto"/>
              <w:jc w:val="both"/>
              <w:rPr>
                <w:rFonts w:cstheme="minorHAnsi"/>
                <w:sz w:val="24"/>
                <w:szCs w:val="24"/>
              </w:rPr>
            </w:pPr>
            <w:r w:rsidRPr="0043547B">
              <w:rPr>
                <w:rFonts w:cstheme="minorHAnsi"/>
                <w:sz w:val="24"/>
                <w:szCs w:val="24"/>
              </w:rPr>
              <w:t>Elle s'applique aux profilés en PVC-UE colorés et de coloris clair mono-extrudés, aux profilés co-extrudés constitués d'une partie centrale faite en PVC-UE et d'une couche externe en poly(chlorure de vinyle) non plastifié non expansé (PVC-U), ainsi qu'aux profilés en PVC-UE avec un film plaxé ou une couche de laque.</w:t>
            </w:r>
          </w:p>
          <w:p w:rsidR="00904E52" w:rsidRPr="0043547B" w:rsidRDefault="00904E52" w:rsidP="00DB1479">
            <w:pPr>
              <w:spacing w:after="0" w:line="240" w:lineRule="auto"/>
              <w:jc w:val="both"/>
              <w:rPr>
                <w:rFonts w:cstheme="minorHAnsi"/>
                <w:sz w:val="24"/>
                <w:szCs w:val="24"/>
              </w:rPr>
            </w:pPr>
            <w:r w:rsidRPr="0043547B">
              <w:rPr>
                <w:rFonts w:cstheme="minorHAnsi"/>
                <w:sz w:val="24"/>
                <w:szCs w:val="24"/>
              </w:rPr>
              <w:t>Elle spécifie les méthodes et paramètres d'essai.</w:t>
            </w:r>
          </w:p>
          <w:p w:rsidR="00904E52" w:rsidRPr="0043547B" w:rsidRDefault="00904E52" w:rsidP="00DB1479">
            <w:pPr>
              <w:spacing w:after="0" w:line="240" w:lineRule="auto"/>
              <w:jc w:val="both"/>
              <w:rPr>
                <w:rFonts w:cstheme="minorHAnsi"/>
                <w:sz w:val="24"/>
                <w:szCs w:val="24"/>
              </w:rPr>
            </w:pPr>
            <w:r w:rsidRPr="0043547B">
              <w:rPr>
                <w:rFonts w:cstheme="minorHAnsi"/>
                <w:sz w:val="24"/>
                <w:szCs w:val="24"/>
              </w:rPr>
              <w:t>Il est recommandé d'utiliser ce système de désignation des profilés en PVC-UE pour les informations liées à la documentation technique du fabricant et non pour le marquage des produits.</w:t>
            </w:r>
          </w:p>
        </w:tc>
      </w:tr>
      <w:tr w:rsidR="0043547B" w:rsidRPr="0043547B" w:rsidTr="00554CF5">
        <w:trPr>
          <w:trHeight w:val="70"/>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NM 10.6.001</w:t>
            </w:r>
          </w:p>
        </w:tc>
      </w:tr>
      <w:tr w:rsidR="0043547B" w:rsidRPr="0043547B" w:rsidTr="00554CF5">
        <w:trPr>
          <w:trHeight w:val="70"/>
          <w:jc w:val="center"/>
        </w:trPr>
        <w:tc>
          <w:tcPr>
            <w:tcW w:w="1838" w:type="dxa"/>
            <w:tcBorders>
              <w:top w:val="nil"/>
              <w:left w:val="single" w:sz="18" w:space="0" w:color="auto"/>
              <w:bottom w:val="single" w:sz="4" w:space="0" w:color="auto"/>
              <w:right w:val="single" w:sz="4" w:space="0" w:color="auto"/>
            </w:tcBorders>
            <w:shd w:val="clear" w:color="000000" w:fill="8DB4E2"/>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auto"/>
            <w:vAlign w:val="center"/>
          </w:tcPr>
          <w:p w:rsidR="00904E52" w:rsidRPr="0043547B" w:rsidRDefault="00904E52" w:rsidP="00904E52">
            <w:pPr>
              <w:spacing w:after="0"/>
              <w:jc w:val="both"/>
              <w:rPr>
                <w:rFonts w:cstheme="minorHAnsi"/>
                <w:sz w:val="24"/>
                <w:szCs w:val="24"/>
              </w:rPr>
            </w:pPr>
            <w:r w:rsidRPr="0043547B">
              <w:rPr>
                <w:rFonts w:cstheme="minorHAnsi"/>
                <w:sz w:val="24"/>
                <w:szCs w:val="24"/>
              </w:rPr>
              <w:t xml:space="preserve">Carreaux de ciment et de pierre reconstituée de mosaïque de pierre dure (GRANITO) et de marbre - Spécifications </w:t>
            </w:r>
          </w:p>
        </w:tc>
      </w:tr>
      <w:tr w:rsidR="0043547B" w:rsidRPr="0043547B" w:rsidTr="00554CF5">
        <w:trPr>
          <w:trHeight w:val="70"/>
          <w:jc w:val="center"/>
        </w:trPr>
        <w:tc>
          <w:tcPr>
            <w:tcW w:w="1838" w:type="dxa"/>
            <w:tcBorders>
              <w:top w:val="nil"/>
              <w:left w:val="single" w:sz="18" w:space="0" w:color="auto"/>
              <w:bottom w:val="single" w:sz="18" w:space="0" w:color="auto"/>
              <w:right w:val="single" w:sz="4" w:space="0" w:color="auto"/>
            </w:tcBorders>
            <w:shd w:val="clear" w:color="000000" w:fill="D9D9D9"/>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center"/>
          </w:tcPr>
          <w:p w:rsidR="00904E52" w:rsidRPr="0043547B" w:rsidRDefault="00904E52" w:rsidP="00E95C31">
            <w:pPr>
              <w:spacing w:after="0" w:line="240" w:lineRule="auto"/>
              <w:jc w:val="both"/>
              <w:rPr>
                <w:rFonts w:cstheme="minorHAnsi"/>
                <w:sz w:val="24"/>
                <w:szCs w:val="24"/>
              </w:rPr>
            </w:pPr>
            <w:r w:rsidRPr="0043547B">
              <w:rPr>
                <w:rFonts w:cstheme="minorHAnsi"/>
                <w:sz w:val="24"/>
                <w:szCs w:val="24"/>
              </w:rPr>
              <w:t>La norme a pour objet de définir les carreaux de ciment et de pierre reconstituée de mosaïque de pierres dures (Granito) ou de marbre, de fixer leurs caractéristiques ainsi que les marques permettant de les identifier. Elle s'applique aux carreaux de revêtement de sol et éventuellement aux plinthes de même nature, utilisés dans les locaux d'habitation, commerciaux, administratifs, scolaires ou hospitaliers. Elle ne s'applique pas aux carreaux :- Contenant un liant autre que du ciment. - Contenant des produits incorporés aux granulats naturels (produits plastiques, durcisseurs, grains d'usure, etc.).- Contenant un</w:t>
            </w:r>
            <w:r w:rsidR="00E95C31">
              <w:rPr>
                <w:rFonts w:cstheme="minorHAnsi"/>
                <w:sz w:val="24"/>
                <w:szCs w:val="24"/>
              </w:rPr>
              <w:t xml:space="preserve"> </w:t>
            </w:r>
            <w:r w:rsidRPr="0043547B">
              <w:rPr>
                <w:rFonts w:cstheme="minorHAnsi"/>
                <w:sz w:val="24"/>
                <w:szCs w:val="24"/>
              </w:rPr>
              <w:lastRenderedPageBreak/>
              <w:t>revêtement (émail, vernis, etc.). - Obtenus par un procédé autre que la compression.</w:t>
            </w:r>
          </w:p>
        </w:tc>
      </w:tr>
      <w:tr w:rsidR="0043547B" w:rsidRPr="0043547B" w:rsidTr="00554CF5">
        <w:trPr>
          <w:trHeight w:val="70"/>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NM 10.6.005</w:t>
            </w:r>
          </w:p>
        </w:tc>
      </w:tr>
      <w:tr w:rsidR="0043547B" w:rsidRPr="0043547B" w:rsidTr="00554CF5">
        <w:trPr>
          <w:trHeight w:val="70"/>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tcPr>
          <w:p w:rsidR="00904E52" w:rsidRPr="0043547B" w:rsidRDefault="00904E52" w:rsidP="00904E52">
            <w:pPr>
              <w:spacing w:after="0"/>
              <w:jc w:val="both"/>
              <w:rPr>
                <w:rFonts w:cstheme="minorHAnsi"/>
                <w:sz w:val="24"/>
                <w:szCs w:val="24"/>
              </w:rPr>
            </w:pPr>
            <w:r w:rsidRPr="0043547B">
              <w:rPr>
                <w:rFonts w:cstheme="minorHAnsi"/>
                <w:sz w:val="24"/>
                <w:szCs w:val="24"/>
              </w:rPr>
              <w:t xml:space="preserve">Carreaux, éléments et accessoires de grés - Cérame fin vitrifié - Spécifications </w:t>
            </w:r>
          </w:p>
        </w:tc>
      </w:tr>
      <w:tr w:rsidR="0043547B" w:rsidRPr="0043547B" w:rsidTr="00554CF5">
        <w:trPr>
          <w:trHeight w:val="70"/>
          <w:jc w:val="center"/>
        </w:trPr>
        <w:tc>
          <w:tcPr>
            <w:tcW w:w="1838" w:type="dxa"/>
            <w:tcBorders>
              <w:top w:val="nil"/>
              <w:left w:val="single" w:sz="18" w:space="0" w:color="auto"/>
              <w:bottom w:val="single" w:sz="18" w:space="0" w:color="auto"/>
              <w:right w:val="single" w:sz="4" w:space="0" w:color="auto"/>
            </w:tcBorders>
            <w:shd w:val="clear" w:color="000000" w:fill="D9D9D9"/>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center"/>
          </w:tcPr>
          <w:p w:rsidR="00904E52" w:rsidRPr="0043547B" w:rsidRDefault="00904E52" w:rsidP="00DB1479">
            <w:pPr>
              <w:spacing w:after="0" w:line="240" w:lineRule="auto"/>
              <w:jc w:val="both"/>
              <w:rPr>
                <w:rFonts w:cstheme="minorHAnsi"/>
                <w:sz w:val="24"/>
                <w:szCs w:val="24"/>
              </w:rPr>
            </w:pPr>
            <w:r w:rsidRPr="0043547B">
              <w:rPr>
                <w:rFonts w:cstheme="minorHAnsi"/>
                <w:sz w:val="24"/>
                <w:szCs w:val="24"/>
              </w:rPr>
              <w:t xml:space="preserve">La norme a pour objet de définir : Les caractéristiques des carreaux, éléments et accessoires de grès cérame fin vitrifié. Le marquage des produits désignés ci-dessus. Elle s'applique aux carreaux, éléments et accessoires destinés aux revêtements de sols, de murs intérieurs et extérieurs. Ces carreaux, éléments et accessoires présentent une surface plane ou arrondie, uniforme ou comportant de légers creux ou reliefs nécessaires pour un usage particulier ou simplement décoratif. </w:t>
            </w:r>
          </w:p>
        </w:tc>
      </w:tr>
      <w:tr w:rsidR="0043547B" w:rsidRPr="0043547B" w:rsidTr="00554CF5">
        <w:trPr>
          <w:trHeight w:val="70"/>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tcPr>
          <w:p w:rsidR="00904E52" w:rsidRPr="0043547B" w:rsidRDefault="00904E52" w:rsidP="00904E52">
            <w:pPr>
              <w:spacing w:after="0"/>
              <w:jc w:val="center"/>
              <w:rPr>
                <w:rFonts w:cstheme="minorHAnsi"/>
                <w:sz w:val="24"/>
                <w:szCs w:val="24"/>
              </w:rPr>
            </w:pPr>
            <w:r w:rsidRPr="0043547B">
              <w:rPr>
                <w:rFonts w:cstheme="minorHAnsi"/>
                <w:b/>
                <w:bCs/>
                <w:sz w:val="24"/>
                <w:szCs w:val="24"/>
              </w:rPr>
              <w:t>NM 10.6.003</w:t>
            </w:r>
          </w:p>
        </w:tc>
      </w:tr>
      <w:tr w:rsidR="0043547B" w:rsidRPr="0043547B" w:rsidTr="00554CF5">
        <w:trPr>
          <w:trHeight w:val="70"/>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tcPr>
          <w:p w:rsidR="00904E52" w:rsidRPr="0043547B" w:rsidRDefault="00904E52" w:rsidP="00904E52">
            <w:pPr>
              <w:spacing w:after="0"/>
              <w:jc w:val="both"/>
              <w:rPr>
                <w:rFonts w:cstheme="minorHAnsi"/>
                <w:sz w:val="24"/>
                <w:szCs w:val="24"/>
              </w:rPr>
            </w:pPr>
            <w:r w:rsidRPr="0043547B">
              <w:rPr>
                <w:rFonts w:cstheme="minorHAnsi"/>
                <w:sz w:val="24"/>
                <w:szCs w:val="24"/>
              </w:rPr>
              <w:t xml:space="preserve">Carreaux de faïence à émail vitrifié pour revêtements Spécifications </w:t>
            </w:r>
          </w:p>
        </w:tc>
      </w:tr>
      <w:tr w:rsidR="0043547B" w:rsidRPr="0043547B" w:rsidTr="00554CF5">
        <w:trPr>
          <w:trHeight w:val="70"/>
          <w:jc w:val="center"/>
        </w:trPr>
        <w:tc>
          <w:tcPr>
            <w:tcW w:w="1838" w:type="dxa"/>
            <w:tcBorders>
              <w:top w:val="nil"/>
              <w:left w:val="single" w:sz="18" w:space="0" w:color="auto"/>
              <w:bottom w:val="single" w:sz="18" w:space="0" w:color="auto"/>
              <w:right w:val="single" w:sz="4" w:space="0" w:color="auto"/>
            </w:tcBorders>
            <w:shd w:val="clear" w:color="000000" w:fill="D9D9D9"/>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center"/>
          </w:tcPr>
          <w:p w:rsidR="00904E52" w:rsidRPr="0043547B" w:rsidRDefault="00904E52" w:rsidP="00DB1479">
            <w:pPr>
              <w:spacing w:after="0" w:line="240" w:lineRule="auto"/>
              <w:jc w:val="both"/>
              <w:rPr>
                <w:rFonts w:cstheme="minorHAnsi"/>
                <w:sz w:val="24"/>
                <w:szCs w:val="24"/>
              </w:rPr>
            </w:pPr>
            <w:r w:rsidRPr="0043547B">
              <w:rPr>
                <w:rFonts w:cstheme="minorHAnsi"/>
                <w:sz w:val="24"/>
                <w:szCs w:val="24"/>
              </w:rPr>
              <w:t xml:space="preserve">La norme a pour objet de définir les caractéristiques des carreaux et accessoires en faïence et de l'émail vitrifié qui les recouvre, le marquage des carreaux désignés ci-dessus, Elle s'applique aux carreaux de toutes formes et de tous formats, à bords : - vifs, - abattus, - adoucis, Elle s'applique également à leurs accessoires, c'est-à-dire : sous-multiples, plinthes, bords arrondis, bords bisautés, gorges, baguettes, bordures, filets et leurs raccords dits de faïence à émail vitrifié et destinés aux revêtements muraux intérieurs. Elle ne s'applique pas aux produits tels que : porte-savon, porte-serviette... ni aux éléments à usages spéciaux qui requièrent des propriétés mécaniques ou chimiques particulières. </w:t>
            </w:r>
          </w:p>
        </w:tc>
      </w:tr>
    </w:tbl>
    <w:p w:rsidR="00904E52" w:rsidRPr="0043547B" w:rsidRDefault="00904E52" w:rsidP="00F26621">
      <w:pPr>
        <w:pStyle w:val="Titre4"/>
        <w:numPr>
          <w:ilvl w:val="2"/>
          <w:numId w:val="2"/>
        </w:numPr>
        <w:ind w:left="1418" w:hanging="579"/>
        <w:rPr>
          <w:rFonts w:cstheme="minorHAnsi"/>
          <w:b/>
          <w:bCs w:val="0"/>
          <w:iCs w:val="0"/>
          <w:color w:val="auto"/>
          <w:szCs w:val="24"/>
          <w:u w:val="single"/>
        </w:rPr>
      </w:pPr>
      <w:bookmarkStart w:id="38" w:name="_Toc458606095"/>
      <w:r w:rsidRPr="0043547B">
        <w:rPr>
          <w:rFonts w:cstheme="minorHAnsi"/>
          <w:b/>
          <w:bCs w:val="0"/>
          <w:iCs w:val="0"/>
          <w:color w:val="auto"/>
          <w:szCs w:val="24"/>
          <w:u w:val="single"/>
        </w:rPr>
        <w:t>Peintures et vernis</w:t>
      </w:r>
      <w:bookmarkEnd w:id="38"/>
    </w:p>
    <w:tbl>
      <w:tblPr>
        <w:tblW w:w="9781" w:type="dxa"/>
        <w:jc w:val="center"/>
        <w:tblCellMar>
          <w:left w:w="70" w:type="dxa"/>
          <w:right w:w="70" w:type="dxa"/>
        </w:tblCellMar>
        <w:tblLook w:val="04A0" w:firstRow="1" w:lastRow="0" w:firstColumn="1" w:lastColumn="0" w:noHBand="0" w:noVBand="1"/>
      </w:tblPr>
      <w:tblGrid>
        <w:gridCol w:w="1843"/>
        <w:gridCol w:w="7938"/>
      </w:tblGrid>
      <w:tr w:rsidR="0043547B" w:rsidRPr="0043547B" w:rsidTr="00554CF5">
        <w:trPr>
          <w:trHeight w:val="330"/>
          <w:jc w:val="center"/>
        </w:trPr>
        <w:tc>
          <w:tcPr>
            <w:tcW w:w="1843"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03.3.137</w:t>
            </w:r>
          </w:p>
        </w:tc>
      </w:tr>
      <w:tr w:rsidR="0043547B" w:rsidRPr="0043547B" w:rsidTr="00554CF5">
        <w:trPr>
          <w:trHeight w:val="242"/>
          <w:jc w:val="center"/>
        </w:trPr>
        <w:tc>
          <w:tcPr>
            <w:tcW w:w="1843"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Peintures pour le bâtiment - Spécifications des peintures microporeuses pour façades </w:t>
            </w:r>
          </w:p>
        </w:tc>
      </w:tr>
      <w:tr w:rsidR="0043547B" w:rsidRPr="0043547B" w:rsidTr="00554CF5">
        <w:trPr>
          <w:trHeight w:val="1463"/>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a pour objet de fixer les spécifications de peintures microporeuses de couleur blanche ou pastel ; destinées à être appliquées sur des façades extérieures en maçonnerie (bétons bruts de décoffrage, maçonnerie de blocs manufacturés ou enduits et matériaux à base de liants hydrauliques).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énumère, en outre, les critères d'identification permettant de vérifier la conformité du produit à un échantillon témoin.</w:t>
            </w:r>
          </w:p>
        </w:tc>
      </w:tr>
      <w:tr w:rsidR="004E002F" w:rsidRPr="0043547B" w:rsidTr="000B0841">
        <w:trPr>
          <w:trHeight w:val="484"/>
          <w:jc w:val="center"/>
        </w:trPr>
        <w:tc>
          <w:tcPr>
            <w:tcW w:w="1843"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4E002F" w:rsidRPr="0043547B" w:rsidRDefault="004E002F" w:rsidP="004E002F">
            <w:pPr>
              <w:spacing w:after="0"/>
              <w:jc w:val="center"/>
              <w:rPr>
                <w:rFonts w:cstheme="minorHAnsi"/>
                <w:b/>
                <w:bCs/>
                <w:sz w:val="24"/>
                <w:szCs w:val="24"/>
              </w:rPr>
            </w:pPr>
            <w:r w:rsidRPr="0043547B">
              <w:rPr>
                <w:rFonts w:cstheme="minorHAnsi"/>
                <w:b/>
                <w:bCs/>
                <w:sz w:val="24"/>
                <w:szCs w:val="24"/>
              </w:rPr>
              <w:t>Code :</w:t>
            </w:r>
          </w:p>
        </w:tc>
        <w:tc>
          <w:tcPr>
            <w:tcW w:w="7938" w:type="dxa"/>
            <w:tcBorders>
              <w:top w:val="nil"/>
              <w:left w:val="single" w:sz="4" w:space="0" w:color="auto"/>
              <w:bottom w:val="single" w:sz="18" w:space="0" w:color="auto"/>
              <w:right w:val="single" w:sz="18" w:space="0" w:color="auto"/>
            </w:tcBorders>
            <w:shd w:val="clear" w:color="auto" w:fill="C2D69B" w:themeFill="accent3" w:themeFillTint="99"/>
            <w:vAlign w:val="center"/>
          </w:tcPr>
          <w:p w:rsidR="004E002F" w:rsidRPr="000B0841" w:rsidRDefault="004E002F" w:rsidP="000B0841">
            <w:pPr>
              <w:spacing w:after="0" w:line="240" w:lineRule="auto"/>
              <w:jc w:val="center"/>
              <w:rPr>
                <w:rFonts w:eastAsia="Times New Roman" w:cstheme="minorHAnsi"/>
                <w:b/>
                <w:bCs/>
                <w:sz w:val="24"/>
                <w:szCs w:val="24"/>
                <w:lang w:eastAsia="fr-FR"/>
              </w:rPr>
            </w:pPr>
            <w:r w:rsidRPr="000B0841">
              <w:rPr>
                <w:rFonts w:eastAsia="Times New Roman" w:cstheme="minorHAnsi"/>
                <w:b/>
                <w:bCs/>
                <w:sz w:val="24"/>
                <w:szCs w:val="24"/>
                <w:lang w:eastAsia="fr-FR"/>
              </w:rPr>
              <w:t>NM 03.2.232</w:t>
            </w:r>
          </w:p>
        </w:tc>
      </w:tr>
      <w:tr w:rsidR="004E002F" w:rsidRPr="0043547B" w:rsidTr="000B0841">
        <w:trPr>
          <w:trHeight w:val="533"/>
          <w:jc w:val="center"/>
        </w:trPr>
        <w:tc>
          <w:tcPr>
            <w:tcW w:w="1843" w:type="dxa"/>
            <w:tcBorders>
              <w:top w:val="nil"/>
              <w:left w:val="single" w:sz="18" w:space="0" w:color="auto"/>
              <w:bottom w:val="single" w:sz="18" w:space="0" w:color="auto"/>
              <w:right w:val="single" w:sz="4" w:space="0" w:color="auto"/>
            </w:tcBorders>
            <w:shd w:val="clear" w:color="auto" w:fill="8DB3E2" w:themeFill="text2" w:themeFillTint="66"/>
            <w:vAlign w:val="center"/>
          </w:tcPr>
          <w:p w:rsidR="004E002F" w:rsidRPr="0043547B" w:rsidRDefault="004E002F" w:rsidP="004E002F">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18" w:space="0" w:color="auto"/>
              <w:right w:val="single" w:sz="18" w:space="0" w:color="auto"/>
            </w:tcBorders>
            <w:shd w:val="clear" w:color="auto" w:fill="auto"/>
            <w:vAlign w:val="center"/>
          </w:tcPr>
          <w:p w:rsidR="004E002F" w:rsidRPr="000B0841" w:rsidRDefault="004E002F" w:rsidP="000B0841">
            <w:pPr>
              <w:spacing w:after="0" w:line="240" w:lineRule="auto"/>
              <w:rPr>
                <w:rFonts w:eastAsia="Times New Roman" w:cstheme="minorHAnsi"/>
                <w:sz w:val="24"/>
                <w:szCs w:val="24"/>
                <w:lang w:eastAsia="fr-FR"/>
              </w:rPr>
            </w:pPr>
            <w:r w:rsidRPr="000B0841">
              <w:rPr>
                <w:rFonts w:eastAsia="Times New Roman" w:cstheme="minorHAnsi"/>
                <w:sz w:val="24"/>
                <w:szCs w:val="24"/>
                <w:lang w:eastAsia="fr-FR"/>
              </w:rPr>
              <w:t>Peintures thermodurcissables en poudre</w:t>
            </w:r>
            <w:r w:rsidR="000B0841">
              <w:rPr>
                <w:rFonts w:eastAsia="Times New Roman" w:cstheme="minorHAnsi"/>
                <w:sz w:val="24"/>
                <w:szCs w:val="24"/>
                <w:lang w:eastAsia="fr-FR"/>
              </w:rPr>
              <w:t xml:space="preserve"> - </w:t>
            </w:r>
            <w:r w:rsidRPr="000B0841">
              <w:rPr>
                <w:rFonts w:eastAsia="Times New Roman" w:cstheme="minorHAnsi"/>
                <w:sz w:val="24"/>
                <w:szCs w:val="24"/>
                <w:lang w:eastAsia="fr-FR"/>
              </w:rPr>
              <w:t>Exigences et méthodes d’essais</w:t>
            </w:r>
          </w:p>
        </w:tc>
      </w:tr>
      <w:tr w:rsidR="004E002F" w:rsidRPr="0043547B" w:rsidTr="00554CF5">
        <w:trPr>
          <w:trHeight w:val="1463"/>
          <w:jc w:val="center"/>
        </w:trPr>
        <w:tc>
          <w:tcPr>
            <w:tcW w:w="1843" w:type="dxa"/>
            <w:tcBorders>
              <w:top w:val="nil"/>
              <w:left w:val="single" w:sz="18" w:space="0" w:color="auto"/>
              <w:bottom w:val="single" w:sz="18" w:space="0" w:color="auto"/>
              <w:right w:val="single" w:sz="4" w:space="0" w:color="auto"/>
            </w:tcBorders>
            <w:shd w:val="clear" w:color="000000" w:fill="D9D9D9"/>
            <w:vAlign w:val="center"/>
          </w:tcPr>
          <w:p w:rsidR="004E002F" w:rsidRPr="0043547B" w:rsidRDefault="004E002F" w:rsidP="004E002F">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tcPr>
          <w:p w:rsidR="004E002F" w:rsidRPr="000B0841" w:rsidRDefault="004E002F" w:rsidP="000B0841">
            <w:pPr>
              <w:autoSpaceDE w:val="0"/>
              <w:autoSpaceDN w:val="0"/>
              <w:adjustRightInd w:val="0"/>
              <w:spacing w:after="0" w:line="240" w:lineRule="auto"/>
              <w:jc w:val="both"/>
              <w:rPr>
                <w:rFonts w:ascii="Times New Roman" w:hAnsi="Times New Roman" w:cs="Times New Roman"/>
                <w:sz w:val="24"/>
                <w:szCs w:val="24"/>
              </w:rPr>
            </w:pPr>
            <w:r w:rsidRPr="000B0841">
              <w:rPr>
                <w:rFonts w:ascii="Times New Roman" w:hAnsi="Times New Roman" w:cs="Times New Roman"/>
                <w:sz w:val="24"/>
                <w:szCs w:val="24"/>
              </w:rPr>
              <w:t>La présente norme marocaine fixe les exigences minimales, les méthodes, d’essai et le</w:t>
            </w:r>
            <w:r w:rsidR="000B0841">
              <w:rPr>
                <w:rFonts w:ascii="Times New Roman" w:hAnsi="Times New Roman" w:cs="Times New Roman"/>
                <w:sz w:val="24"/>
                <w:szCs w:val="24"/>
              </w:rPr>
              <w:t xml:space="preserve"> </w:t>
            </w:r>
            <w:r w:rsidRPr="000B0841">
              <w:rPr>
                <w:rFonts w:ascii="Times New Roman" w:hAnsi="Times New Roman" w:cs="Times New Roman"/>
                <w:sz w:val="24"/>
                <w:szCs w:val="24"/>
              </w:rPr>
              <w:t>marquage des peintures thermodurcissables en poudre pouvant être appliquées sur les différents</w:t>
            </w:r>
            <w:r w:rsidR="000B0841">
              <w:rPr>
                <w:rFonts w:ascii="Times New Roman" w:hAnsi="Times New Roman" w:cs="Times New Roman"/>
                <w:sz w:val="24"/>
                <w:szCs w:val="24"/>
              </w:rPr>
              <w:t xml:space="preserve"> </w:t>
            </w:r>
            <w:r w:rsidRPr="000B0841">
              <w:rPr>
                <w:rFonts w:ascii="Times New Roman" w:hAnsi="Times New Roman" w:cs="Times New Roman"/>
                <w:sz w:val="24"/>
                <w:szCs w:val="24"/>
              </w:rPr>
              <w:t>types de substrat : métallique, bois, verre, plastique…</w:t>
            </w:r>
          </w:p>
          <w:p w:rsidR="004E002F" w:rsidRPr="000B0841" w:rsidRDefault="004E002F" w:rsidP="000B0841">
            <w:pPr>
              <w:autoSpaceDE w:val="0"/>
              <w:autoSpaceDN w:val="0"/>
              <w:adjustRightInd w:val="0"/>
              <w:spacing w:after="0" w:line="240" w:lineRule="auto"/>
              <w:jc w:val="both"/>
              <w:rPr>
                <w:rFonts w:eastAsia="Times New Roman" w:cstheme="minorHAnsi"/>
                <w:sz w:val="24"/>
                <w:szCs w:val="24"/>
                <w:lang w:eastAsia="fr-FR"/>
              </w:rPr>
            </w:pPr>
            <w:r w:rsidRPr="000B0841">
              <w:rPr>
                <w:rFonts w:ascii="Times New Roman" w:hAnsi="Times New Roman" w:cs="Times New Roman"/>
                <w:sz w:val="24"/>
                <w:szCs w:val="24"/>
              </w:rPr>
              <w:t>L’usage de l'isocyanurate de triglycidyle (TGIC) est interdit dans la fabrication des peintures</w:t>
            </w:r>
            <w:r w:rsidR="000B0841">
              <w:rPr>
                <w:rFonts w:ascii="Times New Roman" w:hAnsi="Times New Roman" w:cs="Times New Roman"/>
                <w:sz w:val="24"/>
                <w:szCs w:val="24"/>
              </w:rPr>
              <w:t xml:space="preserve"> </w:t>
            </w:r>
            <w:r w:rsidRPr="000B0841">
              <w:rPr>
                <w:rFonts w:ascii="Times New Roman" w:hAnsi="Times New Roman" w:cs="Times New Roman"/>
                <w:sz w:val="24"/>
                <w:szCs w:val="24"/>
              </w:rPr>
              <w:t>thermodurscissables.</w:t>
            </w:r>
          </w:p>
        </w:tc>
      </w:tr>
      <w:tr w:rsidR="0043547B" w:rsidRPr="0043547B" w:rsidTr="00554CF5">
        <w:trPr>
          <w:trHeight w:val="330"/>
          <w:jc w:val="center"/>
        </w:trPr>
        <w:tc>
          <w:tcPr>
            <w:tcW w:w="1843"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3062E0" w:rsidRPr="00752B73" w:rsidRDefault="003062E0" w:rsidP="00752B73">
            <w:pPr>
              <w:spacing w:after="0" w:line="240" w:lineRule="auto"/>
              <w:jc w:val="center"/>
              <w:rPr>
                <w:rFonts w:cstheme="minorHAnsi"/>
                <w:b/>
                <w:bCs/>
                <w:sz w:val="24"/>
                <w:szCs w:val="24"/>
              </w:rPr>
            </w:pPr>
            <w:r w:rsidRPr="00752B73">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3062E0" w:rsidRPr="00752B73" w:rsidRDefault="003062E0" w:rsidP="00752B73">
            <w:pPr>
              <w:spacing w:after="0" w:line="240" w:lineRule="auto"/>
              <w:jc w:val="center"/>
              <w:rPr>
                <w:rFonts w:cstheme="minorHAnsi"/>
                <w:b/>
                <w:bCs/>
                <w:sz w:val="24"/>
                <w:szCs w:val="24"/>
              </w:rPr>
            </w:pPr>
            <w:r w:rsidRPr="00752B73">
              <w:rPr>
                <w:rFonts w:cstheme="minorHAnsi"/>
                <w:b/>
                <w:bCs/>
                <w:sz w:val="24"/>
                <w:szCs w:val="24"/>
              </w:rPr>
              <w:t>NM 03.3.124</w:t>
            </w:r>
          </w:p>
        </w:tc>
      </w:tr>
      <w:tr w:rsidR="0043547B" w:rsidRPr="0043547B" w:rsidTr="00554CF5">
        <w:trPr>
          <w:trHeight w:val="246"/>
          <w:jc w:val="center"/>
        </w:trPr>
        <w:tc>
          <w:tcPr>
            <w:tcW w:w="1843"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3062E0" w:rsidRPr="0043547B" w:rsidRDefault="003062E0" w:rsidP="00752B73">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8" w:space="0" w:color="auto"/>
              <w:right w:val="single" w:sz="18" w:space="0" w:color="auto"/>
            </w:tcBorders>
            <w:shd w:val="clear" w:color="auto" w:fill="auto"/>
            <w:vAlign w:val="center"/>
            <w:hideMark/>
          </w:tcPr>
          <w:p w:rsidR="003062E0" w:rsidRPr="0043547B" w:rsidRDefault="003062E0" w:rsidP="00752B73">
            <w:pPr>
              <w:spacing w:after="0" w:line="240" w:lineRule="auto"/>
              <w:rPr>
                <w:rFonts w:cstheme="minorHAnsi"/>
                <w:sz w:val="24"/>
                <w:szCs w:val="24"/>
              </w:rPr>
            </w:pPr>
            <w:r w:rsidRPr="0043547B">
              <w:rPr>
                <w:rFonts w:cstheme="minorHAnsi"/>
                <w:sz w:val="24"/>
                <w:szCs w:val="24"/>
              </w:rPr>
              <w:t xml:space="preserve">Peintures et vernis - Enduits de peinture pour travaux intérieurs et/ou extérieurs ; </w:t>
            </w:r>
          </w:p>
        </w:tc>
      </w:tr>
      <w:tr w:rsidR="0043547B" w:rsidRPr="0043547B" w:rsidTr="00554CF5">
        <w:trPr>
          <w:trHeight w:val="44"/>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3062E0" w:rsidRPr="0043547B" w:rsidRDefault="003062E0" w:rsidP="00752B73">
            <w:pPr>
              <w:spacing w:after="0" w:line="240" w:lineRule="auto"/>
              <w:jc w:val="center"/>
              <w:rPr>
                <w:rFonts w:cstheme="minorHAnsi"/>
                <w:b/>
                <w:bCs/>
                <w:sz w:val="24"/>
                <w:szCs w:val="24"/>
              </w:rPr>
            </w:pPr>
            <w:r w:rsidRPr="0043547B">
              <w:rPr>
                <w:rFonts w:cstheme="minorHAnsi"/>
                <w:b/>
                <w:bCs/>
                <w:sz w:val="24"/>
                <w:szCs w:val="24"/>
              </w:rPr>
              <w:lastRenderedPageBreak/>
              <w:t>Domaine d’application :</w:t>
            </w:r>
          </w:p>
        </w:tc>
        <w:tc>
          <w:tcPr>
            <w:tcW w:w="7938" w:type="dxa"/>
            <w:tcBorders>
              <w:top w:val="nil"/>
              <w:left w:val="single" w:sz="4" w:space="0" w:color="auto"/>
              <w:bottom w:val="single" w:sz="18" w:space="0" w:color="auto"/>
              <w:right w:val="single" w:sz="18" w:space="0" w:color="auto"/>
            </w:tcBorders>
            <w:shd w:val="clear" w:color="auto" w:fill="auto"/>
            <w:hideMark/>
          </w:tcPr>
          <w:p w:rsidR="003062E0" w:rsidRPr="0043547B" w:rsidRDefault="003062E0" w:rsidP="00752B73">
            <w:pPr>
              <w:spacing w:after="0" w:line="240" w:lineRule="auto"/>
              <w:jc w:val="both"/>
              <w:rPr>
                <w:rFonts w:cstheme="minorHAnsi"/>
                <w:sz w:val="24"/>
                <w:szCs w:val="24"/>
              </w:rPr>
            </w:pPr>
            <w:r w:rsidRPr="0043547B">
              <w:rPr>
                <w:rFonts w:cstheme="minorHAnsi"/>
                <w:sz w:val="24"/>
                <w:szCs w:val="24"/>
              </w:rPr>
              <w:t>Le présent document définit les caractéristiques et la classification correspondante des enduits de peinture intérieurs et/ou extérieurs, qu’ils soient en poudre ou en pâte, en phase aqueuse ou solvant, mono ou pluri-composants. Il les complète par d’autres propriétés à préciser selon le cas. Il est applicable aux produits ayant pour objet de recouvrir tous supports et subjectiles en matériaux traditionnels ou conformes aux normes en vigueur, neufs ou anciens, nus ou revêtus, absorbants ou non, lisses ou rugueux, afin de les préparer à recevoir un système de peinture ou connexe, ou un revêtement collé, particulier ou non. Destinés plus généralement à améliorer l’aspect de surface, ils peuvent aussi : ne pas être recouverts, créer un aspect structuré/texturé ou non, et être traités/colorés ou non (pigments, cire, etc.).</w:t>
            </w:r>
          </w:p>
        </w:tc>
      </w:tr>
      <w:tr w:rsidR="0043547B" w:rsidRPr="0043547B" w:rsidTr="00554CF5">
        <w:trPr>
          <w:trHeight w:val="330"/>
          <w:jc w:val="center"/>
        </w:trPr>
        <w:tc>
          <w:tcPr>
            <w:tcW w:w="1843"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03.3.140</w:t>
            </w:r>
          </w:p>
        </w:tc>
      </w:tr>
      <w:tr w:rsidR="0043547B" w:rsidRPr="0043547B" w:rsidTr="00554CF5">
        <w:trPr>
          <w:trHeight w:val="243"/>
          <w:jc w:val="center"/>
        </w:trPr>
        <w:tc>
          <w:tcPr>
            <w:tcW w:w="1843"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Peintures et vernis - Peintures pour le bâtiment - Fiche descriptive du produit </w:t>
            </w:r>
          </w:p>
        </w:tc>
      </w:tr>
      <w:tr w:rsidR="0043547B" w:rsidRPr="0043547B" w:rsidTr="00554CF5">
        <w:trPr>
          <w:trHeight w:val="989"/>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Cette fiche descriptive se rapporte au produit de peinture du bâtiment de teinte blanche qui représente le plus grand tonnage fabriqué. Elle n’a pas pour objet de définir un plan type ni un cadre rigide, mais de référencer les critères principaux d’identification ainsi que les méthodes d’essai, si possible normalisées, que doit contenir toute fiche descriptive.</w:t>
            </w:r>
          </w:p>
        </w:tc>
      </w:tr>
      <w:tr w:rsidR="00C33C13" w:rsidRPr="0043547B" w:rsidTr="000B0841">
        <w:trPr>
          <w:trHeight w:val="432"/>
          <w:jc w:val="center"/>
        </w:trPr>
        <w:tc>
          <w:tcPr>
            <w:tcW w:w="1843" w:type="dxa"/>
            <w:tcBorders>
              <w:top w:val="nil"/>
              <w:left w:val="single" w:sz="18" w:space="0" w:color="auto"/>
              <w:bottom w:val="single" w:sz="18" w:space="0" w:color="auto"/>
              <w:right w:val="single" w:sz="4" w:space="0" w:color="auto"/>
            </w:tcBorders>
            <w:shd w:val="clear" w:color="auto" w:fill="9BBB59" w:themeFill="accent3"/>
            <w:vAlign w:val="center"/>
          </w:tcPr>
          <w:p w:rsidR="00C33C13" w:rsidRPr="0043547B" w:rsidRDefault="00C33C13" w:rsidP="00C33C13">
            <w:pPr>
              <w:spacing w:after="0"/>
              <w:jc w:val="center"/>
              <w:rPr>
                <w:rFonts w:cstheme="minorHAnsi"/>
                <w:b/>
                <w:bCs/>
                <w:sz w:val="24"/>
                <w:szCs w:val="24"/>
              </w:rPr>
            </w:pPr>
            <w:r w:rsidRPr="0043547B">
              <w:rPr>
                <w:rFonts w:cstheme="minorHAnsi"/>
                <w:b/>
                <w:bCs/>
                <w:sz w:val="24"/>
                <w:szCs w:val="24"/>
              </w:rPr>
              <w:t>Code :</w:t>
            </w:r>
          </w:p>
        </w:tc>
        <w:tc>
          <w:tcPr>
            <w:tcW w:w="7938" w:type="dxa"/>
            <w:tcBorders>
              <w:top w:val="nil"/>
              <w:left w:val="single" w:sz="4" w:space="0" w:color="auto"/>
              <w:bottom w:val="single" w:sz="18" w:space="0" w:color="auto"/>
              <w:right w:val="single" w:sz="18" w:space="0" w:color="auto"/>
            </w:tcBorders>
            <w:shd w:val="clear" w:color="auto" w:fill="9BBB59" w:themeFill="accent3"/>
            <w:vAlign w:val="center"/>
          </w:tcPr>
          <w:p w:rsidR="00C33C13" w:rsidRPr="00496A3D" w:rsidRDefault="00C33C13" w:rsidP="00496A3D">
            <w:pPr>
              <w:spacing w:after="0" w:line="240" w:lineRule="auto"/>
              <w:jc w:val="center"/>
              <w:rPr>
                <w:rFonts w:eastAsia="Times New Roman" w:cstheme="minorHAnsi"/>
                <w:b/>
                <w:bCs/>
                <w:sz w:val="24"/>
                <w:szCs w:val="24"/>
                <w:lang w:eastAsia="fr-FR"/>
              </w:rPr>
            </w:pPr>
            <w:r w:rsidRPr="00496A3D">
              <w:rPr>
                <w:rFonts w:eastAsia="Times New Roman" w:cstheme="minorHAnsi"/>
                <w:b/>
                <w:bCs/>
                <w:sz w:val="24"/>
                <w:szCs w:val="24"/>
                <w:lang w:eastAsia="fr-FR"/>
              </w:rPr>
              <w:t>NM 03.3.318</w:t>
            </w:r>
          </w:p>
        </w:tc>
      </w:tr>
      <w:tr w:rsidR="00C33C13" w:rsidRPr="0043547B" w:rsidTr="00491D40">
        <w:trPr>
          <w:trHeight w:val="533"/>
          <w:jc w:val="center"/>
        </w:trPr>
        <w:tc>
          <w:tcPr>
            <w:tcW w:w="1843" w:type="dxa"/>
            <w:tcBorders>
              <w:top w:val="nil"/>
              <w:left w:val="single" w:sz="18" w:space="0" w:color="auto"/>
              <w:bottom w:val="single" w:sz="18" w:space="0" w:color="auto"/>
              <w:right w:val="single" w:sz="4" w:space="0" w:color="auto"/>
            </w:tcBorders>
            <w:shd w:val="clear" w:color="auto" w:fill="95B3D7" w:themeFill="accent1" w:themeFillTint="99"/>
            <w:vAlign w:val="center"/>
          </w:tcPr>
          <w:p w:rsidR="00C33C13" w:rsidRPr="0043547B" w:rsidRDefault="00C33C13" w:rsidP="00C33C13">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18" w:space="0" w:color="auto"/>
              <w:right w:val="single" w:sz="18" w:space="0" w:color="auto"/>
            </w:tcBorders>
            <w:shd w:val="clear" w:color="auto" w:fill="auto"/>
            <w:vAlign w:val="center"/>
          </w:tcPr>
          <w:p w:rsidR="00C33C13" w:rsidRPr="0043547B" w:rsidRDefault="00C33C13" w:rsidP="00496A3D">
            <w:pPr>
              <w:spacing w:after="0" w:line="240" w:lineRule="auto"/>
              <w:rPr>
                <w:rFonts w:eastAsia="Times New Roman" w:cstheme="minorHAnsi"/>
                <w:sz w:val="24"/>
                <w:szCs w:val="24"/>
                <w:lang w:eastAsia="fr-FR"/>
              </w:rPr>
            </w:pPr>
            <w:r w:rsidRPr="00C33C13">
              <w:rPr>
                <w:rFonts w:eastAsia="Times New Roman" w:cstheme="minorHAnsi"/>
                <w:sz w:val="24"/>
                <w:szCs w:val="24"/>
                <w:lang w:eastAsia="fr-FR"/>
              </w:rPr>
              <w:t>Peinture et vernis</w:t>
            </w:r>
            <w:r w:rsidR="00496A3D">
              <w:rPr>
                <w:rFonts w:eastAsia="Times New Roman" w:cstheme="minorHAnsi"/>
                <w:sz w:val="24"/>
                <w:szCs w:val="24"/>
                <w:lang w:eastAsia="fr-FR"/>
              </w:rPr>
              <w:t>-</w:t>
            </w:r>
            <w:r w:rsidRPr="00C33C13">
              <w:rPr>
                <w:rFonts w:eastAsia="Times New Roman" w:cstheme="minorHAnsi"/>
                <w:sz w:val="24"/>
                <w:szCs w:val="24"/>
                <w:lang w:eastAsia="fr-FR"/>
              </w:rPr>
              <w:t>Limite du plomb dans les peintures</w:t>
            </w:r>
          </w:p>
        </w:tc>
      </w:tr>
      <w:tr w:rsidR="00C33C13" w:rsidRPr="0043547B" w:rsidTr="00491D40">
        <w:trPr>
          <w:trHeight w:val="614"/>
          <w:jc w:val="center"/>
        </w:trPr>
        <w:tc>
          <w:tcPr>
            <w:tcW w:w="1843" w:type="dxa"/>
            <w:tcBorders>
              <w:top w:val="nil"/>
              <w:left w:val="single" w:sz="18" w:space="0" w:color="auto"/>
              <w:bottom w:val="single" w:sz="18" w:space="0" w:color="auto"/>
              <w:right w:val="single" w:sz="4" w:space="0" w:color="auto"/>
            </w:tcBorders>
            <w:shd w:val="clear" w:color="000000" w:fill="D9D9D9"/>
            <w:vAlign w:val="center"/>
          </w:tcPr>
          <w:p w:rsidR="00C33C13" w:rsidRPr="0043547B" w:rsidRDefault="00C33C13" w:rsidP="00C33C13">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tcPr>
          <w:p w:rsidR="00C33C13" w:rsidRPr="0043547B" w:rsidRDefault="00C33C13" w:rsidP="00496A3D">
            <w:pPr>
              <w:jc w:val="both"/>
              <w:rPr>
                <w:rFonts w:eastAsia="Times New Roman" w:cstheme="minorHAnsi"/>
                <w:sz w:val="24"/>
                <w:szCs w:val="24"/>
                <w:lang w:eastAsia="fr-FR"/>
              </w:rPr>
            </w:pPr>
            <w:r w:rsidRPr="00496A3D">
              <w:rPr>
                <w:rFonts w:eastAsia="Times New Roman" w:cstheme="minorHAnsi"/>
                <w:sz w:val="24"/>
                <w:szCs w:val="24"/>
                <w:lang w:eastAsia="fr-FR"/>
              </w:rPr>
              <w:t xml:space="preserve">La présente norme spécifie la limite pour la teneur en </w:t>
            </w:r>
            <w:r w:rsidR="00496A3D">
              <w:rPr>
                <w:rFonts w:eastAsia="Times New Roman" w:cstheme="minorHAnsi"/>
                <w:sz w:val="24"/>
                <w:szCs w:val="24"/>
                <w:lang w:eastAsia="fr-FR"/>
              </w:rPr>
              <w:t>plomb total dans les peintures.</w:t>
            </w:r>
          </w:p>
        </w:tc>
      </w:tr>
      <w:tr w:rsidR="0043547B" w:rsidRPr="0043547B" w:rsidTr="00554CF5">
        <w:trPr>
          <w:trHeight w:val="330"/>
          <w:jc w:val="center"/>
        </w:trPr>
        <w:tc>
          <w:tcPr>
            <w:tcW w:w="1843"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03.3.141</w:t>
            </w:r>
          </w:p>
        </w:tc>
      </w:tr>
      <w:tr w:rsidR="0043547B" w:rsidRPr="0043547B" w:rsidTr="00554CF5">
        <w:trPr>
          <w:trHeight w:val="330"/>
          <w:jc w:val="center"/>
        </w:trPr>
        <w:tc>
          <w:tcPr>
            <w:tcW w:w="1843"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8" w:space="0" w:color="auto"/>
              <w:right w:val="single" w:sz="18" w:space="0" w:color="auto"/>
            </w:tcBorders>
            <w:shd w:val="clear" w:color="auto" w:fill="auto"/>
            <w:vAlign w:val="center"/>
            <w:hideMark/>
          </w:tcPr>
          <w:p w:rsidR="00904E52" w:rsidRPr="0043547B" w:rsidRDefault="006C6EE5"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Peintures - Produits de peintures utilisés dans les travaux de peinturage du bâtiment</w:t>
            </w:r>
          </w:p>
        </w:tc>
      </w:tr>
      <w:tr w:rsidR="0043547B" w:rsidRPr="0043547B" w:rsidTr="00554CF5">
        <w:trPr>
          <w:trHeight w:val="1116"/>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752B73" w:rsidRDefault="00904E52" w:rsidP="00DB1479">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donne un guide ayant pour objet d’informer l’utilisateur sur le choix des produits de peinture en fonction de la localisation du support et de leur mise en œuvre.</w:t>
            </w:r>
          </w:p>
          <w:p w:rsidR="00DB1479" w:rsidRPr="0043547B" w:rsidRDefault="00904E52" w:rsidP="00DB1479">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s’applique exclusivement aux produits de peinture destinés aux travaux de bâtiment.</w:t>
            </w:r>
            <w:r w:rsidRPr="0043547B">
              <w:rPr>
                <w:rFonts w:eastAsia="Times New Roman" w:cstheme="minorHAnsi"/>
                <w:sz w:val="24"/>
                <w:szCs w:val="24"/>
                <w:lang w:eastAsia="fr-FR"/>
              </w:rPr>
              <w:br/>
            </w:r>
            <w:r w:rsidR="00DB1479" w:rsidRPr="0043547B">
              <w:rPr>
                <w:rFonts w:eastAsia="Times New Roman" w:cstheme="minorHAnsi"/>
                <w:sz w:val="24"/>
                <w:szCs w:val="24"/>
                <w:lang w:eastAsia="fr-FR"/>
              </w:rPr>
              <w:t>Elle présente les fonctions nécessaires pour les différents types de produits utilisés dans les travaux d’apprêt et de finition.</w:t>
            </w:r>
          </w:p>
          <w:p w:rsidR="00904E52" w:rsidRPr="0043547B" w:rsidRDefault="00DB1479" w:rsidP="00DB1479">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méthodes d’essai correspondantes seront mentionnées en regard des fonctions citées dans les spécifications de produits. Les caractéristiques des produits en leur état prêt à l’application, ne sont pas visées par le présent document.</w:t>
            </w:r>
          </w:p>
        </w:tc>
      </w:tr>
      <w:tr w:rsidR="0043547B" w:rsidRPr="0043547B" w:rsidTr="00554CF5">
        <w:trPr>
          <w:trHeight w:val="330"/>
          <w:jc w:val="center"/>
        </w:trPr>
        <w:tc>
          <w:tcPr>
            <w:tcW w:w="1843"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03.3.224</w:t>
            </w:r>
          </w:p>
        </w:tc>
      </w:tr>
      <w:tr w:rsidR="0043547B" w:rsidRPr="0043547B" w:rsidTr="00554CF5">
        <w:trPr>
          <w:trHeight w:val="330"/>
          <w:jc w:val="center"/>
        </w:trPr>
        <w:tc>
          <w:tcPr>
            <w:tcW w:w="1843"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Peintures – Revêtements plastiques épais – Spécifications </w:t>
            </w:r>
          </w:p>
        </w:tc>
      </w:tr>
      <w:tr w:rsidR="0043547B" w:rsidRPr="0043547B" w:rsidTr="00554CF5">
        <w:trPr>
          <w:trHeight w:val="915"/>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a pour objet de définir les revêtements plastiques épais destinés à être appliqués à l'extérieur sur des supports stables et rigides à base de liants hydrauliques (ciments et chaux) et de fixer les spécifications de leurs critères d'aptitude spécifique</w:t>
            </w:r>
          </w:p>
        </w:tc>
      </w:tr>
      <w:tr w:rsidR="0043547B" w:rsidRPr="0043547B" w:rsidTr="00554CF5">
        <w:trPr>
          <w:trHeight w:val="117"/>
          <w:jc w:val="center"/>
        </w:trPr>
        <w:tc>
          <w:tcPr>
            <w:tcW w:w="1843" w:type="dxa"/>
            <w:tcBorders>
              <w:top w:val="single" w:sz="18" w:space="0" w:color="auto"/>
              <w:left w:val="single" w:sz="18" w:space="0" w:color="auto"/>
              <w:bottom w:val="single" w:sz="18" w:space="0" w:color="auto"/>
              <w:right w:val="single" w:sz="4" w:space="0" w:color="auto"/>
            </w:tcBorders>
            <w:shd w:val="clear" w:color="auto" w:fill="B7CE88"/>
            <w:vAlign w:val="center"/>
          </w:tcPr>
          <w:p w:rsidR="001E26B3" w:rsidRPr="0043547B" w:rsidRDefault="001E26B3" w:rsidP="008E747E">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tcPr>
          <w:p w:rsidR="001E26B3" w:rsidRPr="0043547B" w:rsidRDefault="001E26B3" w:rsidP="008E747E">
            <w:pPr>
              <w:spacing w:after="0"/>
              <w:jc w:val="center"/>
              <w:rPr>
                <w:rFonts w:cstheme="minorHAnsi"/>
                <w:b/>
                <w:bCs/>
                <w:sz w:val="24"/>
                <w:szCs w:val="24"/>
              </w:rPr>
            </w:pPr>
            <w:r w:rsidRPr="0043547B">
              <w:rPr>
                <w:rFonts w:cstheme="minorHAnsi"/>
                <w:b/>
                <w:bCs/>
                <w:sz w:val="24"/>
                <w:szCs w:val="24"/>
              </w:rPr>
              <w:t xml:space="preserve">NM EN 16623 </w:t>
            </w:r>
          </w:p>
        </w:tc>
      </w:tr>
      <w:tr w:rsidR="0043547B" w:rsidRPr="0043547B" w:rsidTr="00752B73">
        <w:trPr>
          <w:trHeight w:val="117"/>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tcPr>
          <w:p w:rsidR="001E26B3" w:rsidRPr="0043547B" w:rsidRDefault="001E26B3" w:rsidP="008E747E">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bottom"/>
          </w:tcPr>
          <w:p w:rsidR="001E26B3" w:rsidRPr="0043547B" w:rsidRDefault="001E26B3" w:rsidP="008E747E">
            <w:pPr>
              <w:spacing w:after="0"/>
              <w:jc w:val="center"/>
              <w:rPr>
                <w:rFonts w:cstheme="minorHAnsi"/>
                <w:b/>
                <w:bCs/>
                <w:sz w:val="24"/>
                <w:szCs w:val="24"/>
              </w:rPr>
            </w:pPr>
            <w:r w:rsidRPr="0043547B">
              <w:rPr>
                <w:rFonts w:cstheme="minorHAnsi"/>
                <w:b/>
                <w:bCs/>
                <w:sz w:val="24"/>
                <w:szCs w:val="24"/>
              </w:rPr>
              <w:t xml:space="preserve">EN 16623 </w:t>
            </w:r>
          </w:p>
        </w:tc>
      </w:tr>
      <w:tr w:rsidR="0043547B" w:rsidRPr="0043547B" w:rsidTr="00752B73">
        <w:trPr>
          <w:trHeight w:val="117"/>
          <w:jc w:val="center"/>
        </w:trPr>
        <w:tc>
          <w:tcPr>
            <w:tcW w:w="1843" w:type="dxa"/>
            <w:tcBorders>
              <w:top w:val="single" w:sz="4" w:space="0" w:color="auto"/>
              <w:left w:val="single" w:sz="18" w:space="0" w:color="auto"/>
              <w:bottom w:val="single" w:sz="4" w:space="0" w:color="auto"/>
              <w:right w:val="single" w:sz="4" w:space="0" w:color="auto"/>
            </w:tcBorders>
            <w:shd w:val="clear" w:color="auto" w:fill="8DB3E2" w:themeFill="text2" w:themeFillTint="66"/>
            <w:vAlign w:val="center"/>
          </w:tcPr>
          <w:p w:rsidR="001E26B3" w:rsidRPr="0043547B" w:rsidRDefault="001E26B3" w:rsidP="008E747E">
            <w:pPr>
              <w:jc w:val="center"/>
              <w:rPr>
                <w:rFonts w:cstheme="minorHAnsi"/>
                <w:b/>
                <w:bCs/>
                <w:sz w:val="24"/>
                <w:szCs w:val="24"/>
              </w:rPr>
            </w:pPr>
            <w:r w:rsidRPr="0043547B">
              <w:rPr>
                <w:rFonts w:cstheme="minorHAnsi"/>
                <w:b/>
                <w:bCs/>
                <w:sz w:val="24"/>
                <w:szCs w:val="24"/>
              </w:rPr>
              <w:lastRenderedPageBreak/>
              <w:t>Intitulé :</w:t>
            </w:r>
          </w:p>
        </w:tc>
        <w:tc>
          <w:tcPr>
            <w:tcW w:w="7938"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1E26B3" w:rsidRPr="0043547B" w:rsidRDefault="001E26B3" w:rsidP="008E747E">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Peintures et vernis - Revêtements réactifs pour la protection contre l'incendie des subjectiles métalliques - Définitions, classification, caractéristiques et marquage ; (03.3.385)</w:t>
            </w:r>
          </w:p>
        </w:tc>
      </w:tr>
      <w:tr w:rsidR="0043547B" w:rsidRPr="0043547B" w:rsidTr="00554CF5">
        <w:trPr>
          <w:trHeight w:val="117"/>
          <w:jc w:val="center"/>
        </w:trPr>
        <w:tc>
          <w:tcPr>
            <w:tcW w:w="1843" w:type="dxa"/>
            <w:tcBorders>
              <w:top w:val="single" w:sz="4" w:space="0" w:color="auto"/>
              <w:left w:val="single" w:sz="18" w:space="0" w:color="auto"/>
              <w:bottom w:val="single" w:sz="18" w:space="0" w:color="auto"/>
              <w:right w:val="single" w:sz="4" w:space="0" w:color="auto"/>
            </w:tcBorders>
            <w:shd w:val="clear" w:color="auto" w:fill="D9D9D9" w:themeFill="background1" w:themeFillShade="D9"/>
            <w:vAlign w:val="center"/>
          </w:tcPr>
          <w:p w:rsidR="001E26B3" w:rsidRPr="0043547B" w:rsidRDefault="001E26B3" w:rsidP="008E747E">
            <w:pPr>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FFFFFF" w:themeFill="background1"/>
          </w:tcPr>
          <w:p w:rsidR="008E747E" w:rsidRPr="0043547B" w:rsidRDefault="001E26B3" w:rsidP="008E747E">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La présente Norme </w:t>
            </w:r>
            <w:r w:rsidR="002532B1" w:rsidRPr="0043547B">
              <w:rPr>
                <w:rFonts w:eastAsia="Times New Roman" w:cstheme="minorHAnsi"/>
                <w:sz w:val="24"/>
                <w:szCs w:val="24"/>
                <w:lang w:eastAsia="fr-FR"/>
              </w:rPr>
              <w:t>marocaine</w:t>
            </w:r>
            <w:r w:rsidRPr="0043547B">
              <w:rPr>
                <w:rFonts w:eastAsia="Times New Roman" w:cstheme="minorHAnsi"/>
                <w:sz w:val="24"/>
                <w:szCs w:val="24"/>
                <w:lang w:eastAsia="fr-FR"/>
              </w:rPr>
              <w:t xml:space="preserve"> traite des systèmes de revêtement réactif destinés à protéger contre l’incendie les éléments de construction à base de métal, notamment différents types et qualités d’acier. Les systèmes de revêtement réactif peuvent être constitués du composant de revêtement réactif seul et/ou de ce composant combiné aux primaires, couches de finition et, le cas échéant, renforcement appropriés. La présente norme couvre la caractérisation de ces types de systèmes dans les conditions d’utilisation finale.</w:t>
            </w:r>
          </w:p>
          <w:p w:rsidR="008E747E" w:rsidRPr="00752B73" w:rsidRDefault="001E26B3" w:rsidP="008E747E">
            <w:pPr>
              <w:spacing w:after="0" w:line="240" w:lineRule="auto"/>
              <w:jc w:val="both"/>
              <w:rPr>
                <w:rFonts w:eastAsia="Times New Roman" w:cstheme="minorHAnsi"/>
                <w:i/>
                <w:iCs/>
                <w:lang w:eastAsia="fr-FR"/>
              </w:rPr>
            </w:pPr>
            <w:r w:rsidRPr="00752B73">
              <w:rPr>
                <w:rFonts w:eastAsia="Times New Roman" w:cstheme="minorHAnsi"/>
                <w:b/>
                <w:bCs/>
                <w:i/>
                <w:iCs/>
                <w:lang w:eastAsia="fr-FR"/>
              </w:rPr>
              <w:t>NOTE</w:t>
            </w:r>
            <w:r w:rsidR="008E747E" w:rsidRPr="00752B73">
              <w:rPr>
                <w:rFonts w:eastAsia="Times New Roman" w:cstheme="minorHAnsi"/>
                <w:i/>
                <w:iCs/>
                <w:lang w:eastAsia="fr-FR"/>
              </w:rPr>
              <w:t xml:space="preserve"> : </w:t>
            </w:r>
            <w:r w:rsidRPr="00752B73">
              <w:rPr>
                <w:rFonts w:eastAsia="Times New Roman" w:cstheme="minorHAnsi"/>
                <w:i/>
                <w:iCs/>
                <w:lang w:eastAsia="fr-FR"/>
              </w:rPr>
              <w:t>La performance de résistance au feu déterminée conformément aux méthodes d’essai de résistance au feu du CEN, qui sont actuellement l’EN 13381-6, l’EN 13381-8 et le prEN 13381-9, est essentielle pour démontrer l’aptitude de tout système de revêtement réactif à protéger un subjectile métallique contre l’incendie. En conséquence, le domaine d’application et la performance au feu de tout système de protection réactive sont fonction du domaine d’application des méthodes d’essai au feu publiées par le CEN qui sont disponibles et applicables.</w:t>
            </w:r>
          </w:p>
          <w:p w:rsidR="008E747E" w:rsidRPr="0043547B" w:rsidRDefault="001E26B3" w:rsidP="008E747E">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La présente Norme </w:t>
            </w:r>
            <w:r w:rsidR="002532B1" w:rsidRPr="0043547B">
              <w:rPr>
                <w:rFonts w:eastAsia="Times New Roman" w:cstheme="minorHAnsi"/>
                <w:sz w:val="24"/>
                <w:szCs w:val="24"/>
                <w:lang w:eastAsia="fr-FR"/>
              </w:rPr>
              <w:t>marocaine</w:t>
            </w:r>
            <w:r w:rsidRPr="0043547B">
              <w:rPr>
                <w:rFonts w:eastAsia="Times New Roman" w:cstheme="minorHAnsi"/>
                <w:sz w:val="24"/>
                <w:szCs w:val="24"/>
                <w:lang w:eastAsia="fr-FR"/>
              </w:rPr>
              <w:t xml:space="preserve"> stipule les critères de performance, les méthodes de vérification appliquées pour examiner les divers aspects de performance, les critères d’évaluation utilisés afin de juger la performance pour l’utilisation prévue et les conditions estimées pour la conception et l’exécution du système de revêtement réactif dans les travaux.                                                                            </w:t>
            </w:r>
          </w:p>
          <w:p w:rsidR="008E747E" w:rsidRPr="0043547B" w:rsidRDefault="001E26B3" w:rsidP="008E747E">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traite de la compatibilité du composant du revêtement réactif avec différents primaires et couches de finition, ainsi que de la durabilité d’un système de revêtement réactif dans diverses utilisations et conditions d’utilisation finale.</w:t>
            </w:r>
          </w:p>
          <w:p w:rsidR="008E747E" w:rsidRPr="0043547B" w:rsidRDefault="001E26B3" w:rsidP="008E747E">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En particulier, elle décrit un processus permettant d’établir la compatibilité avec des primaires « génériques » et des couches de finition acceptables, destinés à être utilisés avec une couche de composant réactif donnée sans compromettre la performance au feu du système de revêtement réactif.</w:t>
            </w:r>
          </w:p>
          <w:p w:rsidR="00752B73" w:rsidRDefault="001E26B3" w:rsidP="008E747E">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La présente Norme </w:t>
            </w:r>
            <w:r w:rsidR="002532B1" w:rsidRPr="0043547B">
              <w:rPr>
                <w:rFonts w:eastAsia="Times New Roman" w:cstheme="minorHAnsi"/>
                <w:sz w:val="24"/>
                <w:szCs w:val="24"/>
                <w:lang w:eastAsia="fr-FR"/>
              </w:rPr>
              <w:t>marocaine</w:t>
            </w:r>
            <w:r w:rsidRPr="0043547B">
              <w:rPr>
                <w:rFonts w:eastAsia="Times New Roman" w:cstheme="minorHAnsi"/>
                <w:sz w:val="24"/>
                <w:szCs w:val="24"/>
                <w:lang w:eastAsia="fr-FR"/>
              </w:rPr>
              <w:t xml:space="preserve"> donne également des lignes directrices pour la fabrication, le stockage, l’application, la maintenance et la réparation du système de revêtement réactif et l’inspection finale de sa mise en oeuvre en conditions d’utilisation finale.</w:t>
            </w:r>
          </w:p>
          <w:p w:rsidR="008E747E" w:rsidRPr="0043547B" w:rsidRDefault="001E26B3" w:rsidP="008E747E">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La présente Norme </w:t>
            </w:r>
            <w:r w:rsidR="002532B1" w:rsidRPr="0043547B">
              <w:rPr>
                <w:rFonts w:eastAsia="Times New Roman" w:cstheme="minorHAnsi"/>
                <w:sz w:val="24"/>
                <w:szCs w:val="24"/>
                <w:lang w:eastAsia="fr-FR"/>
              </w:rPr>
              <w:t>marocaine</w:t>
            </w:r>
            <w:r w:rsidRPr="0043547B">
              <w:rPr>
                <w:rFonts w:eastAsia="Times New Roman" w:cstheme="minorHAnsi"/>
                <w:sz w:val="24"/>
                <w:szCs w:val="24"/>
                <w:lang w:eastAsia="fr-FR"/>
              </w:rPr>
              <w:t xml:space="preserve"> ne spécifie pas le niveau ou la classe de performance requis 1) d’une propriété donnée qu’un produit doit atteindre pour démontrer son aptitude à l’emploi dans une application particulière.</w:t>
            </w:r>
          </w:p>
          <w:p w:rsidR="008E747E" w:rsidRPr="0043547B" w:rsidRDefault="001E26B3" w:rsidP="008E747E">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La présente Norme </w:t>
            </w:r>
            <w:r w:rsidR="002532B1" w:rsidRPr="0043547B">
              <w:rPr>
                <w:rFonts w:eastAsia="Times New Roman" w:cstheme="minorHAnsi"/>
                <w:sz w:val="24"/>
                <w:szCs w:val="24"/>
                <w:lang w:eastAsia="fr-FR"/>
              </w:rPr>
              <w:t>marocaine</w:t>
            </w:r>
            <w:r w:rsidRPr="0043547B">
              <w:rPr>
                <w:rFonts w:eastAsia="Times New Roman" w:cstheme="minorHAnsi"/>
                <w:sz w:val="24"/>
                <w:szCs w:val="24"/>
                <w:lang w:eastAsia="fr-FR"/>
              </w:rPr>
              <w:t xml:space="preserve"> établit le cheminement pour l’agrément d’un primaire générique et l’utilisation de couches de finition spécifiques grâce auxquels le revêtement réactif peut porter le marquage CE.</w:t>
            </w:r>
          </w:p>
          <w:p w:rsidR="001E26B3" w:rsidRPr="0043547B" w:rsidRDefault="001E26B3" w:rsidP="008E747E">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La présente Norme </w:t>
            </w:r>
            <w:r w:rsidR="002532B1" w:rsidRPr="0043547B">
              <w:rPr>
                <w:rFonts w:eastAsia="Times New Roman" w:cstheme="minorHAnsi"/>
                <w:sz w:val="24"/>
                <w:szCs w:val="24"/>
                <w:lang w:eastAsia="fr-FR"/>
              </w:rPr>
              <w:t>marocaine</w:t>
            </w:r>
            <w:r w:rsidRPr="0043547B">
              <w:rPr>
                <w:rFonts w:eastAsia="Times New Roman" w:cstheme="minorHAnsi"/>
                <w:sz w:val="24"/>
                <w:szCs w:val="24"/>
                <w:lang w:eastAsia="fr-FR"/>
              </w:rPr>
              <w:t xml:space="preserve"> donne des lignes directrices pour la fabrication, le stockage, l’application, la maintenance et la réparation du système de revêtement réactif et l’inspection finale des travaux.                                                             </w:t>
            </w:r>
          </w:p>
        </w:tc>
      </w:tr>
      <w:tr w:rsidR="0043547B" w:rsidRPr="0043547B" w:rsidTr="00554CF5">
        <w:trPr>
          <w:trHeight w:val="117"/>
          <w:jc w:val="center"/>
        </w:trPr>
        <w:tc>
          <w:tcPr>
            <w:tcW w:w="1843" w:type="dxa"/>
            <w:tcBorders>
              <w:top w:val="single" w:sz="18" w:space="0" w:color="auto"/>
              <w:left w:val="single" w:sz="18" w:space="0" w:color="auto"/>
              <w:bottom w:val="single" w:sz="18" w:space="0" w:color="auto"/>
              <w:right w:val="single" w:sz="4" w:space="0" w:color="auto"/>
            </w:tcBorders>
            <w:shd w:val="clear" w:color="auto" w:fill="B0CA7C"/>
            <w:vAlign w:val="center"/>
          </w:tcPr>
          <w:p w:rsidR="00F97E0D" w:rsidRPr="0043547B" w:rsidRDefault="00F97E0D" w:rsidP="005B488A">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0CA7C"/>
            <w:vAlign w:val="center"/>
          </w:tcPr>
          <w:p w:rsidR="00F97E0D" w:rsidRPr="0043547B" w:rsidRDefault="00F97E0D" w:rsidP="005B488A">
            <w:pPr>
              <w:spacing w:after="0" w:line="240" w:lineRule="auto"/>
              <w:jc w:val="center"/>
              <w:rPr>
                <w:rFonts w:cstheme="minorHAnsi"/>
                <w:b/>
                <w:bCs/>
                <w:sz w:val="24"/>
                <w:szCs w:val="24"/>
              </w:rPr>
            </w:pPr>
            <w:r w:rsidRPr="0043547B">
              <w:rPr>
                <w:rFonts w:cstheme="minorHAnsi"/>
                <w:b/>
                <w:bCs/>
                <w:sz w:val="24"/>
                <w:szCs w:val="24"/>
              </w:rPr>
              <w:t>NM EN 13300</w:t>
            </w:r>
          </w:p>
        </w:tc>
      </w:tr>
      <w:tr w:rsidR="0043547B" w:rsidRPr="0043547B" w:rsidTr="00752B73">
        <w:trPr>
          <w:trHeight w:val="117"/>
          <w:jc w:val="center"/>
        </w:trPr>
        <w:tc>
          <w:tcPr>
            <w:tcW w:w="1843" w:type="dxa"/>
            <w:tcBorders>
              <w:top w:val="single" w:sz="18" w:space="0" w:color="auto"/>
              <w:left w:val="single" w:sz="18" w:space="0" w:color="auto"/>
              <w:bottom w:val="single" w:sz="4" w:space="0" w:color="auto"/>
              <w:right w:val="single" w:sz="4" w:space="0" w:color="auto"/>
            </w:tcBorders>
            <w:shd w:val="clear" w:color="auto" w:fill="FFFF99"/>
            <w:vAlign w:val="center"/>
          </w:tcPr>
          <w:p w:rsidR="00F97E0D" w:rsidRPr="0043547B" w:rsidRDefault="00F97E0D" w:rsidP="005B488A">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tcPr>
          <w:p w:rsidR="00F97E0D" w:rsidRPr="0043547B" w:rsidRDefault="00F97E0D" w:rsidP="005B488A">
            <w:pPr>
              <w:spacing w:after="0" w:line="240" w:lineRule="auto"/>
              <w:jc w:val="center"/>
              <w:rPr>
                <w:rFonts w:cstheme="minorHAnsi"/>
                <w:b/>
                <w:bCs/>
                <w:sz w:val="24"/>
                <w:szCs w:val="24"/>
              </w:rPr>
            </w:pPr>
            <w:r w:rsidRPr="0043547B">
              <w:rPr>
                <w:rFonts w:cstheme="minorHAnsi"/>
                <w:b/>
                <w:bCs/>
                <w:sz w:val="24"/>
                <w:szCs w:val="24"/>
              </w:rPr>
              <w:t>EN 13300</w:t>
            </w:r>
          </w:p>
        </w:tc>
      </w:tr>
      <w:tr w:rsidR="0043547B" w:rsidRPr="0043547B" w:rsidTr="00752B73">
        <w:trPr>
          <w:trHeight w:val="117"/>
          <w:jc w:val="center"/>
        </w:trPr>
        <w:tc>
          <w:tcPr>
            <w:tcW w:w="1843" w:type="dxa"/>
            <w:tcBorders>
              <w:top w:val="single" w:sz="4" w:space="0" w:color="auto"/>
              <w:left w:val="single" w:sz="18" w:space="0" w:color="auto"/>
              <w:bottom w:val="single" w:sz="4" w:space="0" w:color="auto"/>
              <w:right w:val="single" w:sz="4" w:space="0" w:color="auto"/>
            </w:tcBorders>
            <w:shd w:val="clear" w:color="auto" w:fill="95B3D7" w:themeFill="accent1" w:themeFillTint="99"/>
            <w:vAlign w:val="center"/>
          </w:tcPr>
          <w:p w:rsidR="00F97E0D" w:rsidRPr="0043547B" w:rsidRDefault="00F97E0D" w:rsidP="005B488A">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F97E0D" w:rsidRPr="0043547B" w:rsidRDefault="00F97E0D" w:rsidP="005B488A">
            <w:pPr>
              <w:spacing w:after="0" w:line="240" w:lineRule="auto"/>
              <w:rPr>
                <w:rFonts w:cstheme="minorHAnsi"/>
                <w:sz w:val="24"/>
                <w:szCs w:val="24"/>
              </w:rPr>
            </w:pPr>
            <w:r w:rsidRPr="0043547B">
              <w:rPr>
                <w:rFonts w:cstheme="minorHAnsi"/>
                <w:sz w:val="24"/>
                <w:szCs w:val="24"/>
              </w:rPr>
              <w:t>Peintures et vernis - Produits de peinture et systèmes de peinture en phase aqueuse pour murs et plafonds intérieurs - Classification ; (IC 03.3.417)</w:t>
            </w:r>
          </w:p>
        </w:tc>
      </w:tr>
      <w:tr w:rsidR="0043547B" w:rsidRPr="0043547B" w:rsidTr="00554CF5">
        <w:trPr>
          <w:trHeight w:val="117"/>
          <w:jc w:val="center"/>
        </w:trPr>
        <w:tc>
          <w:tcPr>
            <w:tcW w:w="1843" w:type="dxa"/>
            <w:tcBorders>
              <w:top w:val="single" w:sz="4" w:space="0" w:color="auto"/>
              <w:left w:val="single" w:sz="18" w:space="0" w:color="auto"/>
              <w:bottom w:val="single" w:sz="18" w:space="0" w:color="auto"/>
              <w:right w:val="single" w:sz="4" w:space="0" w:color="auto"/>
            </w:tcBorders>
            <w:shd w:val="clear" w:color="auto" w:fill="D9D9D9" w:themeFill="background1" w:themeFillShade="D9"/>
            <w:vAlign w:val="center"/>
          </w:tcPr>
          <w:p w:rsidR="00F97E0D" w:rsidRPr="0043547B" w:rsidRDefault="00F97E0D" w:rsidP="005B488A">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FFFFFF" w:themeFill="background1"/>
            <w:vAlign w:val="bottom"/>
          </w:tcPr>
          <w:p w:rsidR="00F97E0D" w:rsidRPr="0043547B" w:rsidRDefault="00F97E0D" w:rsidP="005B488A">
            <w:pPr>
              <w:spacing w:after="0" w:line="240" w:lineRule="auto"/>
              <w:jc w:val="both"/>
              <w:rPr>
                <w:rFonts w:cstheme="minorHAnsi"/>
                <w:sz w:val="24"/>
                <w:szCs w:val="24"/>
              </w:rPr>
            </w:pPr>
            <w:r w:rsidRPr="0043547B">
              <w:rPr>
                <w:rFonts w:cstheme="minorHAnsi"/>
                <w:sz w:val="24"/>
                <w:szCs w:val="24"/>
              </w:rPr>
              <w:t>Cette Norme européenne définit un système général de classification des produits de peinture et des systèmes de revêtement en phase aqueuse pour la décoration et la protection, à l'intérieur, des murs et plafonds neufs ou anciens, nus ou déjà revêtus.</w:t>
            </w:r>
          </w:p>
        </w:tc>
      </w:tr>
      <w:tr w:rsidR="0043547B" w:rsidRPr="0043547B" w:rsidTr="00554CF5">
        <w:trPr>
          <w:trHeight w:val="117"/>
          <w:jc w:val="center"/>
        </w:trPr>
        <w:tc>
          <w:tcPr>
            <w:tcW w:w="1843"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tcPr>
          <w:p w:rsidR="003062E0" w:rsidRPr="00C27A67" w:rsidRDefault="003062E0" w:rsidP="00752B73">
            <w:pPr>
              <w:spacing w:after="0" w:line="240" w:lineRule="auto"/>
              <w:jc w:val="center"/>
              <w:rPr>
                <w:rFonts w:cstheme="minorHAnsi"/>
                <w:b/>
                <w:bCs/>
                <w:sz w:val="24"/>
                <w:szCs w:val="24"/>
              </w:rPr>
            </w:pPr>
            <w:r w:rsidRPr="00C27A67">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tcPr>
          <w:p w:rsidR="003062E0" w:rsidRPr="00C27A67" w:rsidRDefault="003062E0" w:rsidP="00752B73">
            <w:pPr>
              <w:spacing w:after="0" w:line="240" w:lineRule="auto"/>
              <w:jc w:val="center"/>
              <w:rPr>
                <w:rFonts w:cstheme="minorHAnsi"/>
                <w:b/>
                <w:bCs/>
                <w:sz w:val="24"/>
                <w:szCs w:val="24"/>
              </w:rPr>
            </w:pPr>
            <w:r w:rsidRPr="00C27A67">
              <w:rPr>
                <w:rFonts w:cstheme="minorHAnsi"/>
                <w:b/>
                <w:bCs/>
                <w:sz w:val="24"/>
                <w:szCs w:val="24"/>
              </w:rPr>
              <w:t>NM EN 927-1</w:t>
            </w:r>
          </w:p>
        </w:tc>
      </w:tr>
      <w:tr w:rsidR="0043547B" w:rsidRPr="0043547B" w:rsidTr="00D22ACC">
        <w:trPr>
          <w:trHeight w:val="117"/>
          <w:jc w:val="center"/>
        </w:trPr>
        <w:tc>
          <w:tcPr>
            <w:tcW w:w="1843" w:type="dxa"/>
            <w:tcBorders>
              <w:top w:val="single" w:sz="18" w:space="0" w:color="auto"/>
              <w:left w:val="single" w:sz="18" w:space="0" w:color="auto"/>
              <w:bottom w:val="single" w:sz="4" w:space="0" w:color="auto"/>
              <w:right w:val="single" w:sz="4" w:space="0" w:color="auto"/>
            </w:tcBorders>
            <w:shd w:val="clear" w:color="auto" w:fill="FDFBA9"/>
            <w:vAlign w:val="center"/>
          </w:tcPr>
          <w:p w:rsidR="003062E0" w:rsidRPr="00C27A67" w:rsidRDefault="003062E0" w:rsidP="00752B73">
            <w:pPr>
              <w:spacing w:after="0" w:line="240" w:lineRule="auto"/>
              <w:jc w:val="center"/>
              <w:rPr>
                <w:rFonts w:cstheme="minorHAnsi"/>
                <w:b/>
                <w:bCs/>
                <w:sz w:val="24"/>
                <w:szCs w:val="24"/>
              </w:rPr>
            </w:pPr>
            <w:r w:rsidRPr="00C27A67">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DFBA9"/>
            <w:vAlign w:val="center"/>
          </w:tcPr>
          <w:p w:rsidR="003062E0" w:rsidRPr="00C27A67" w:rsidRDefault="003062E0" w:rsidP="00752B73">
            <w:pPr>
              <w:spacing w:after="0" w:line="240" w:lineRule="auto"/>
              <w:jc w:val="center"/>
              <w:rPr>
                <w:rFonts w:cstheme="minorHAnsi"/>
                <w:b/>
                <w:bCs/>
                <w:sz w:val="24"/>
                <w:szCs w:val="24"/>
              </w:rPr>
            </w:pPr>
            <w:r w:rsidRPr="00C27A67">
              <w:rPr>
                <w:rFonts w:cstheme="minorHAnsi"/>
                <w:b/>
                <w:bCs/>
                <w:sz w:val="24"/>
                <w:szCs w:val="24"/>
              </w:rPr>
              <w:t>EN 927-1</w:t>
            </w:r>
          </w:p>
        </w:tc>
      </w:tr>
      <w:tr w:rsidR="0043547B" w:rsidRPr="0043547B" w:rsidTr="00D22ACC">
        <w:trPr>
          <w:trHeight w:val="117"/>
          <w:jc w:val="center"/>
        </w:trPr>
        <w:tc>
          <w:tcPr>
            <w:tcW w:w="1843" w:type="dxa"/>
            <w:tcBorders>
              <w:top w:val="single" w:sz="4" w:space="0" w:color="auto"/>
              <w:left w:val="single" w:sz="18" w:space="0" w:color="auto"/>
              <w:bottom w:val="single" w:sz="4" w:space="0" w:color="auto"/>
              <w:right w:val="single" w:sz="4" w:space="0" w:color="auto"/>
            </w:tcBorders>
            <w:shd w:val="clear" w:color="auto" w:fill="95B3D7" w:themeFill="accent1" w:themeFillTint="99"/>
            <w:vAlign w:val="center"/>
          </w:tcPr>
          <w:p w:rsidR="003062E0" w:rsidRPr="0043547B" w:rsidRDefault="003062E0" w:rsidP="00752B73">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3062E0" w:rsidRPr="0043547B" w:rsidRDefault="003062E0" w:rsidP="00752B73">
            <w:pPr>
              <w:spacing w:after="0" w:line="240" w:lineRule="auto"/>
              <w:rPr>
                <w:rFonts w:cstheme="minorHAnsi"/>
                <w:sz w:val="24"/>
                <w:szCs w:val="24"/>
              </w:rPr>
            </w:pPr>
            <w:r w:rsidRPr="0043547B">
              <w:rPr>
                <w:rFonts w:cstheme="minorHAnsi"/>
                <w:sz w:val="24"/>
                <w:szCs w:val="24"/>
              </w:rPr>
              <w:t>Peintures et vernis - Produits de peinture et systèmes de peinture pour le bois en extérieur - Partie 1 : Classification et sélection ; (IC 03.3.406)</w:t>
            </w:r>
          </w:p>
        </w:tc>
      </w:tr>
      <w:tr w:rsidR="0043547B" w:rsidRPr="0043547B" w:rsidTr="00554CF5">
        <w:trPr>
          <w:trHeight w:val="117"/>
          <w:jc w:val="center"/>
        </w:trPr>
        <w:tc>
          <w:tcPr>
            <w:tcW w:w="1843" w:type="dxa"/>
            <w:tcBorders>
              <w:top w:val="single" w:sz="4" w:space="0" w:color="auto"/>
              <w:left w:val="single" w:sz="18" w:space="0" w:color="auto"/>
              <w:bottom w:val="single" w:sz="18" w:space="0" w:color="auto"/>
              <w:right w:val="single" w:sz="4" w:space="0" w:color="auto"/>
            </w:tcBorders>
            <w:shd w:val="clear" w:color="auto" w:fill="D9D9D9" w:themeFill="background1" w:themeFillShade="D9"/>
            <w:vAlign w:val="center"/>
          </w:tcPr>
          <w:p w:rsidR="003062E0" w:rsidRPr="0043547B" w:rsidRDefault="003062E0" w:rsidP="00752B73">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FFFFFF" w:themeFill="background1"/>
            <w:vAlign w:val="center"/>
          </w:tcPr>
          <w:p w:rsidR="00752B73" w:rsidRDefault="003062E0" w:rsidP="00752B73">
            <w:pPr>
              <w:spacing w:after="0" w:line="240" w:lineRule="auto"/>
              <w:jc w:val="both"/>
              <w:rPr>
                <w:rFonts w:cstheme="minorHAnsi"/>
                <w:sz w:val="24"/>
                <w:szCs w:val="24"/>
              </w:rPr>
            </w:pPr>
            <w:r w:rsidRPr="0043547B">
              <w:rPr>
                <w:rFonts w:cstheme="minorHAnsi"/>
                <w:sz w:val="24"/>
                <w:szCs w:val="24"/>
              </w:rPr>
              <w:t>La présente partie de l'ISO 787 prescrit une méthode générale d'essai pour la comparaison, dans les pigments blancs, noirs et colorés avec celle d'un pigment de référence agréé, en utilisant une méthode colorimétrique.</w:t>
            </w:r>
          </w:p>
          <w:p w:rsidR="003062E0" w:rsidRPr="00752B73" w:rsidRDefault="00752B73" w:rsidP="00752B73">
            <w:pPr>
              <w:spacing w:after="0" w:line="240" w:lineRule="auto"/>
              <w:jc w:val="both"/>
              <w:rPr>
                <w:rFonts w:cstheme="minorHAnsi"/>
                <w:i/>
                <w:iCs/>
                <w:sz w:val="24"/>
                <w:szCs w:val="24"/>
              </w:rPr>
            </w:pPr>
            <w:r w:rsidRPr="00554CF5">
              <w:rPr>
                <w:rFonts w:cstheme="minorHAnsi"/>
                <w:b/>
                <w:bCs/>
                <w:i/>
                <w:iCs/>
              </w:rPr>
              <w:t>NOTE</w:t>
            </w:r>
            <w:r w:rsidR="003062E0" w:rsidRPr="00554CF5">
              <w:rPr>
                <w:rFonts w:cstheme="minorHAnsi"/>
                <w:b/>
                <w:bCs/>
                <w:i/>
                <w:iCs/>
              </w:rPr>
              <w:t xml:space="preserve"> </w:t>
            </w:r>
            <w:r w:rsidR="003062E0" w:rsidRPr="00752B73">
              <w:rPr>
                <w:rFonts w:cstheme="minorHAnsi"/>
                <w:i/>
                <w:iCs/>
              </w:rPr>
              <w:t>: Chaque fois que la méthode générale prscrite dans la présente partie de l'ISO 787 est applicable pour un pigment donné, il devra uniquement étre fait référence à l'ISO 787-25 dans la norme internationale donnant les</w:t>
            </w:r>
            <w:r w:rsidR="006E4B1D" w:rsidRPr="00752B73">
              <w:rPr>
                <w:rFonts w:cstheme="minorHAnsi"/>
                <w:i/>
                <w:iCs/>
              </w:rPr>
              <w:t xml:space="preserve"> </w:t>
            </w:r>
            <w:r w:rsidR="003062E0" w:rsidRPr="00752B73">
              <w:rPr>
                <w:rFonts w:cstheme="minorHAnsi"/>
                <w:i/>
                <w:iCs/>
              </w:rPr>
              <w:t xml:space="preserve">spécifications pour ce pigment, en indiquant toute modification de détail qui peut être nécessaire en raison des propiètés spéciales du produit considére, Ce n'est que dans le cas oû la méthode générale de la présente partie de l'ISO 787 n'est pas applicable à un produit particulier, qu'il deviendrait nécessaire de prescrire une méthode photométrique différente pour la comparaison de la couleur.                   </w:t>
            </w:r>
          </w:p>
        </w:tc>
      </w:tr>
      <w:tr w:rsidR="0043547B" w:rsidRPr="0043547B" w:rsidTr="00554CF5">
        <w:trPr>
          <w:trHeight w:val="117"/>
          <w:jc w:val="center"/>
        </w:trPr>
        <w:tc>
          <w:tcPr>
            <w:tcW w:w="1843"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tcPr>
          <w:p w:rsidR="003062E0" w:rsidRPr="00C27A67" w:rsidRDefault="003062E0" w:rsidP="00752B73">
            <w:pPr>
              <w:spacing w:after="0" w:line="240" w:lineRule="auto"/>
              <w:jc w:val="center"/>
              <w:rPr>
                <w:rFonts w:cstheme="minorHAnsi"/>
                <w:b/>
                <w:bCs/>
                <w:sz w:val="24"/>
                <w:szCs w:val="24"/>
              </w:rPr>
            </w:pPr>
            <w:r w:rsidRPr="00C27A67">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tcPr>
          <w:p w:rsidR="003062E0" w:rsidRPr="00C27A67" w:rsidRDefault="003062E0" w:rsidP="00752B73">
            <w:pPr>
              <w:spacing w:after="0" w:line="240" w:lineRule="auto"/>
              <w:jc w:val="center"/>
              <w:rPr>
                <w:rFonts w:cstheme="minorHAnsi"/>
                <w:b/>
                <w:bCs/>
                <w:sz w:val="24"/>
                <w:szCs w:val="24"/>
              </w:rPr>
            </w:pPr>
            <w:r w:rsidRPr="00C27A67">
              <w:rPr>
                <w:rFonts w:cstheme="minorHAnsi"/>
                <w:b/>
                <w:bCs/>
                <w:sz w:val="24"/>
                <w:szCs w:val="24"/>
              </w:rPr>
              <w:t>NM EN 927-2</w:t>
            </w:r>
          </w:p>
        </w:tc>
      </w:tr>
      <w:tr w:rsidR="0043547B" w:rsidRPr="0043547B" w:rsidTr="00D22ACC">
        <w:trPr>
          <w:trHeight w:val="117"/>
          <w:jc w:val="center"/>
        </w:trPr>
        <w:tc>
          <w:tcPr>
            <w:tcW w:w="1843" w:type="dxa"/>
            <w:tcBorders>
              <w:top w:val="single" w:sz="18" w:space="0" w:color="auto"/>
              <w:left w:val="single" w:sz="18" w:space="0" w:color="auto"/>
              <w:bottom w:val="single" w:sz="4" w:space="0" w:color="auto"/>
              <w:right w:val="single" w:sz="4" w:space="0" w:color="auto"/>
            </w:tcBorders>
            <w:shd w:val="clear" w:color="auto" w:fill="FDFBA9"/>
            <w:vAlign w:val="center"/>
          </w:tcPr>
          <w:p w:rsidR="003062E0" w:rsidRPr="00C27A67" w:rsidRDefault="003062E0" w:rsidP="00752B73">
            <w:pPr>
              <w:spacing w:after="0" w:line="240" w:lineRule="auto"/>
              <w:jc w:val="center"/>
              <w:rPr>
                <w:rFonts w:cstheme="minorHAnsi"/>
                <w:b/>
                <w:bCs/>
                <w:sz w:val="24"/>
                <w:szCs w:val="24"/>
              </w:rPr>
            </w:pPr>
            <w:r w:rsidRPr="00C27A67">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DFBA9"/>
            <w:vAlign w:val="center"/>
          </w:tcPr>
          <w:p w:rsidR="003062E0" w:rsidRPr="00C27A67" w:rsidRDefault="003062E0" w:rsidP="00752B73">
            <w:pPr>
              <w:spacing w:after="0" w:line="240" w:lineRule="auto"/>
              <w:jc w:val="center"/>
              <w:rPr>
                <w:rFonts w:cstheme="minorHAnsi"/>
                <w:b/>
                <w:bCs/>
                <w:sz w:val="24"/>
                <w:szCs w:val="24"/>
              </w:rPr>
            </w:pPr>
            <w:r w:rsidRPr="00C27A67">
              <w:rPr>
                <w:rFonts w:cstheme="minorHAnsi"/>
                <w:b/>
                <w:bCs/>
                <w:sz w:val="24"/>
                <w:szCs w:val="24"/>
              </w:rPr>
              <w:t>EN 927-2</w:t>
            </w:r>
          </w:p>
        </w:tc>
      </w:tr>
      <w:tr w:rsidR="0043547B" w:rsidRPr="0043547B" w:rsidTr="00D22ACC">
        <w:trPr>
          <w:trHeight w:val="117"/>
          <w:jc w:val="center"/>
        </w:trPr>
        <w:tc>
          <w:tcPr>
            <w:tcW w:w="1843" w:type="dxa"/>
            <w:tcBorders>
              <w:top w:val="single" w:sz="4" w:space="0" w:color="auto"/>
              <w:left w:val="single" w:sz="18" w:space="0" w:color="auto"/>
              <w:bottom w:val="single" w:sz="4" w:space="0" w:color="auto"/>
              <w:right w:val="single" w:sz="4" w:space="0" w:color="auto"/>
            </w:tcBorders>
            <w:shd w:val="clear" w:color="auto" w:fill="95B3D7" w:themeFill="accent1" w:themeFillTint="99"/>
            <w:vAlign w:val="center"/>
          </w:tcPr>
          <w:p w:rsidR="003062E0" w:rsidRPr="0043547B" w:rsidRDefault="003062E0" w:rsidP="00752B73">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3062E0" w:rsidRPr="0043547B" w:rsidRDefault="003062E0" w:rsidP="00752B73">
            <w:pPr>
              <w:spacing w:after="0" w:line="240" w:lineRule="auto"/>
              <w:rPr>
                <w:rFonts w:cstheme="minorHAnsi"/>
                <w:sz w:val="24"/>
                <w:szCs w:val="24"/>
              </w:rPr>
            </w:pPr>
            <w:r w:rsidRPr="0043547B">
              <w:rPr>
                <w:rFonts w:cstheme="minorHAnsi"/>
                <w:sz w:val="24"/>
                <w:szCs w:val="24"/>
              </w:rPr>
              <w:t>Peintures et vernis - Produits de peinture et systèmes de peinture pour le bois en extérieur - Partie 2 : Spécifications de performance ; (IC 03.3.407)</w:t>
            </w:r>
          </w:p>
        </w:tc>
      </w:tr>
      <w:tr w:rsidR="0043547B" w:rsidRPr="0043547B" w:rsidTr="00554CF5">
        <w:trPr>
          <w:trHeight w:val="117"/>
          <w:jc w:val="center"/>
        </w:trPr>
        <w:tc>
          <w:tcPr>
            <w:tcW w:w="1843" w:type="dxa"/>
            <w:tcBorders>
              <w:top w:val="single" w:sz="4" w:space="0" w:color="auto"/>
              <w:left w:val="single" w:sz="18" w:space="0" w:color="auto"/>
              <w:bottom w:val="single" w:sz="18" w:space="0" w:color="auto"/>
              <w:right w:val="single" w:sz="4" w:space="0" w:color="auto"/>
            </w:tcBorders>
            <w:shd w:val="clear" w:color="auto" w:fill="D9D9D9" w:themeFill="background1" w:themeFillShade="D9"/>
            <w:vAlign w:val="center"/>
          </w:tcPr>
          <w:p w:rsidR="003062E0" w:rsidRPr="0043547B" w:rsidRDefault="003062E0" w:rsidP="00752B73">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FFFFFF" w:themeFill="background1"/>
          </w:tcPr>
          <w:p w:rsidR="00D22ACC" w:rsidRDefault="003062E0" w:rsidP="00752B73">
            <w:pPr>
              <w:spacing w:after="0" w:line="240" w:lineRule="auto"/>
              <w:jc w:val="both"/>
              <w:rPr>
                <w:rFonts w:cstheme="minorHAnsi"/>
                <w:sz w:val="24"/>
                <w:szCs w:val="24"/>
              </w:rPr>
            </w:pPr>
            <w:r w:rsidRPr="0043547B">
              <w:rPr>
                <w:rFonts w:cstheme="minorHAnsi"/>
                <w:sz w:val="24"/>
                <w:szCs w:val="24"/>
              </w:rPr>
              <w:t>La présente partie de l’EN 927 traite des critères de performance s’appliquant aux systèmes de peinture pour le bois en extérieur. Les exigences de performance sont spécifiées selon trois catégories d’usage final (définies dans l’EN 927-1) en termes de deux essais obligatoires, à savoir l’essai de vieillissement naturel réalisé conformément à l’EN 927-3 et l’essai de perméabilité à l’eau réalisé conformément à l’EN 927-5. Les essais supplémentaires facultatifs (non obligatoires) sont indiqués dans des tableaux et peuvent être utilisés par les fournisseurs, ou à des fins de spécification, pour fournir des informations supplémentaires, selon un format normalisé, sur des aspects des performances pertinents pour des situations spécifiques. La majorité des méthodes d’essai sont extraites de la série EN 927 mais, le cas échéant, des essais supplémentaires pertinents issus d’autres sources nationales et internationales sont utilisés.</w:t>
            </w:r>
          </w:p>
          <w:p w:rsidR="003062E0" w:rsidRPr="0043547B" w:rsidRDefault="003062E0" w:rsidP="00752B73">
            <w:pPr>
              <w:spacing w:after="0" w:line="240" w:lineRule="auto"/>
              <w:jc w:val="both"/>
              <w:rPr>
                <w:rFonts w:cstheme="minorHAnsi"/>
                <w:sz w:val="24"/>
                <w:szCs w:val="24"/>
              </w:rPr>
            </w:pPr>
            <w:r w:rsidRPr="0043547B">
              <w:rPr>
                <w:rFonts w:cstheme="minorHAnsi"/>
                <w:sz w:val="24"/>
                <w:szCs w:val="24"/>
              </w:rPr>
              <w:t>Les exigences relatives à la déclaration de conformité à l’EN 927-2 sont définies, offrent une certaine souplesse pour différentes situations et peuvent également servir de base de certification.</w:t>
            </w:r>
          </w:p>
        </w:tc>
      </w:tr>
      <w:tr w:rsidR="0043547B" w:rsidRPr="0043547B" w:rsidTr="00554CF5">
        <w:trPr>
          <w:trHeight w:val="99"/>
          <w:jc w:val="center"/>
        </w:trPr>
        <w:tc>
          <w:tcPr>
            <w:tcW w:w="1843"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tcPr>
          <w:p w:rsidR="003062E0" w:rsidRPr="00C27A67" w:rsidRDefault="003062E0" w:rsidP="00D22ACC">
            <w:pPr>
              <w:spacing w:after="0" w:line="240" w:lineRule="auto"/>
              <w:jc w:val="center"/>
              <w:rPr>
                <w:rFonts w:cstheme="minorHAnsi"/>
                <w:b/>
                <w:bCs/>
                <w:sz w:val="24"/>
                <w:szCs w:val="24"/>
              </w:rPr>
            </w:pPr>
            <w:r w:rsidRPr="00C27A67">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tcPr>
          <w:p w:rsidR="003062E0" w:rsidRPr="00C27A67" w:rsidRDefault="003062E0" w:rsidP="00D22ACC">
            <w:pPr>
              <w:spacing w:after="0" w:line="240" w:lineRule="auto"/>
              <w:jc w:val="center"/>
              <w:rPr>
                <w:rFonts w:cstheme="minorHAnsi"/>
                <w:b/>
                <w:bCs/>
                <w:sz w:val="24"/>
                <w:szCs w:val="24"/>
              </w:rPr>
            </w:pPr>
            <w:r w:rsidRPr="00C27A67">
              <w:rPr>
                <w:rFonts w:cstheme="minorHAnsi"/>
                <w:b/>
                <w:bCs/>
                <w:sz w:val="24"/>
                <w:szCs w:val="24"/>
              </w:rPr>
              <w:t>NM ISO 12944-6</w:t>
            </w:r>
          </w:p>
        </w:tc>
      </w:tr>
      <w:tr w:rsidR="0043547B" w:rsidRPr="0043547B" w:rsidTr="00554CF5">
        <w:trPr>
          <w:trHeight w:val="220"/>
          <w:jc w:val="center"/>
        </w:trPr>
        <w:tc>
          <w:tcPr>
            <w:tcW w:w="1843" w:type="dxa"/>
            <w:tcBorders>
              <w:top w:val="single" w:sz="18" w:space="0" w:color="auto"/>
              <w:left w:val="single" w:sz="18" w:space="0" w:color="auto"/>
              <w:bottom w:val="single" w:sz="4" w:space="0" w:color="auto"/>
              <w:right w:val="single" w:sz="4" w:space="0" w:color="auto"/>
            </w:tcBorders>
            <w:shd w:val="clear" w:color="auto" w:fill="FDFBA9"/>
            <w:vAlign w:val="center"/>
          </w:tcPr>
          <w:p w:rsidR="003062E0" w:rsidRPr="00C27A67" w:rsidRDefault="003062E0" w:rsidP="00D22ACC">
            <w:pPr>
              <w:spacing w:after="0" w:line="240" w:lineRule="auto"/>
              <w:jc w:val="center"/>
              <w:rPr>
                <w:rFonts w:cstheme="minorHAnsi"/>
                <w:b/>
                <w:bCs/>
                <w:sz w:val="24"/>
                <w:szCs w:val="24"/>
              </w:rPr>
            </w:pPr>
            <w:r w:rsidRPr="00C27A67">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DFBA9"/>
            <w:vAlign w:val="center"/>
          </w:tcPr>
          <w:p w:rsidR="003062E0" w:rsidRPr="00C27A67" w:rsidRDefault="003062E0" w:rsidP="00D22ACC">
            <w:pPr>
              <w:spacing w:after="0" w:line="240" w:lineRule="auto"/>
              <w:jc w:val="center"/>
              <w:rPr>
                <w:rFonts w:cstheme="minorHAnsi"/>
                <w:b/>
                <w:bCs/>
                <w:sz w:val="24"/>
                <w:szCs w:val="24"/>
              </w:rPr>
            </w:pPr>
            <w:r w:rsidRPr="00C27A67">
              <w:rPr>
                <w:rFonts w:cstheme="minorHAnsi"/>
                <w:b/>
                <w:bCs/>
                <w:sz w:val="24"/>
                <w:szCs w:val="24"/>
              </w:rPr>
              <w:t>ISO 12944-6</w:t>
            </w:r>
          </w:p>
        </w:tc>
      </w:tr>
      <w:tr w:rsidR="0043547B" w:rsidRPr="0043547B" w:rsidTr="00554CF5">
        <w:trPr>
          <w:trHeight w:val="117"/>
          <w:jc w:val="center"/>
        </w:trPr>
        <w:tc>
          <w:tcPr>
            <w:tcW w:w="1843" w:type="dxa"/>
            <w:tcBorders>
              <w:top w:val="single" w:sz="4" w:space="0" w:color="auto"/>
              <w:left w:val="single" w:sz="18" w:space="0" w:color="auto"/>
              <w:bottom w:val="single" w:sz="4" w:space="0" w:color="auto"/>
              <w:right w:val="single" w:sz="4" w:space="0" w:color="auto"/>
            </w:tcBorders>
            <w:shd w:val="clear" w:color="auto" w:fill="95B3D7" w:themeFill="accent1" w:themeFillTint="99"/>
            <w:vAlign w:val="center"/>
          </w:tcPr>
          <w:p w:rsidR="003062E0" w:rsidRPr="0043547B" w:rsidRDefault="003062E0" w:rsidP="00D22ACC">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3062E0" w:rsidRPr="0043547B" w:rsidRDefault="003062E0" w:rsidP="00D22ACC">
            <w:pPr>
              <w:spacing w:after="0" w:line="240" w:lineRule="auto"/>
              <w:rPr>
                <w:rFonts w:cstheme="minorHAnsi"/>
                <w:sz w:val="24"/>
                <w:szCs w:val="24"/>
              </w:rPr>
            </w:pPr>
            <w:r w:rsidRPr="0043547B">
              <w:rPr>
                <w:rFonts w:cstheme="minorHAnsi"/>
                <w:sz w:val="24"/>
                <w:szCs w:val="24"/>
              </w:rPr>
              <w:t xml:space="preserve">Peintures et vernis - Anticorrosion des structures en acier par systèmes de peinture - Partie 6 : Essai de performance en laboratoire ; (IC 03.3.220) </w:t>
            </w:r>
          </w:p>
        </w:tc>
      </w:tr>
      <w:tr w:rsidR="0043547B" w:rsidRPr="0043547B" w:rsidTr="00F21DCC">
        <w:trPr>
          <w:trHeight w:val="1410"/>
          <w:jc w:val="center"/>
        </w:trPr>
        <w:tc>
          <w:tcPr>
            <w:tcW w:w="1843" w:type="dxa"/>
            <w:tcBorders>
              <w:top w:val="single" w:sz="4" w:space="0" w:color="auto"/>
              <w:left w:val="single" w:sz="18" w:space="0" w:color="auto"/>
              <w:bottom w:val="single" w:sz="18" w:space="0" w:color="auto"/>
              <w:right w:val="single" w:sz="4" w:space="0" w:color="auto"/>
            </w:tcBorders>
            <w:shd w:val="clear" w:color="auto" w:fill="D9D9D9" w:themeFill="background1" w:themeFillShade="D9"/>
            <w:vAlign w:val="center"/>
          </w:tcPr>
          <w:p w:rsidR="003062E0" w:rsidRPr="0043547B" w:rsidRDefault="003062E0" w:rsidP="00D22ACC">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FFFFFF" w:themeFill="background1"/>
          </w:tcPr>
          <w:p w:rsidR="003062E0" w:rsidRDefault="003062E0" w:rsidP="000B0841">
            <w:pPr>
              <w:spacing w:after="0" w:line="240" w:lineRule="auto"/>
              <w:jc w:val="both"/>
              <w:rPr>
                <w:rFonts w:cstheme="minorHAnsi"/>
                <w:sz w:val="24"/>
                <w:szCs w:val="24"/>
              </w:rPr>
            </w:pPr>
            <w:r w:rsidRPr="0043547B">
              <w:rPr>
                <w:rFonts w:cstheme="minorHAnsi"/>
                <w:sz w:val="24"/>
                <w:szCs w:val="24"/>
              </w:rPr>
              <w:t>Le présent document spécifie des méthodes et des conditions d’essais en laboratoire pour l’évaluation</w:t>
            </w:r>
            <w:r w:rsidR="006E4B1D">
              <w:rPr>
                <w:rFonts w:cstheme="minorHAnsi"/>
                <w:sz w:val="24"/>
                <w:szCs w:val="24"/>
              </w:rPr>
              <w:t xml:space="preserve"> </w:t>
            </w:r>
            <w:r w:rsidRPr="0043547B">
              <w:rPr>
                <w:rFonts w:cstheme="minorHAnsi"/>
                <w:sz w:val="24"/>
                <w:szCs w:val="24"/>
              </w:rPr>
              <w:t>des systèmes de peinture pour la protection contre la corrosion des structures en acier.</w:t>
            </w:r>
          </w:p>
          <w:p w:rsidR="00F21DCC" w:rsidRDefault="00F21DCC" w:rsidP="00F21DCC">
            <w:pPr>
              <w:spacing w:after="0" w:line="240" w:lineRule="auto"/>
              <w:jc w:val="both"/>
              <w:rPr>
                <w:rFonts w:cstheme="minorHAnsi"/>
                <w:sz w:val="24"/>
                <w:szCs w:val="24"/>
              </w:rPr>
            </w:pPr>
            <w:r w:rsidRPr="0043547B">
              <w:rPr>
                <w:rFonts w:cstheme="minorHAnsi"/>
                <w:sz w:val="24"/>
                <w:szCs w:val="24"/>
              </w:rPr>
              <w:t>Les résultats d’essai sont destinés à être considérés comme une aide dans le choix des systèmes de</w:t>
            </w:r>
            <w:r>
              <w:rPr>
                <w:rFonts w:cstheme="minorHAnsi"/>
                <w:sz w:val="24"/>
                <w:szCs w:val="24"/>
              </w:rPr>
              <w:t xml:space="preserve"> </w:t>
            </w:r>
            <w:r w:rsidRPr="0043547B">
              <w:rPr>
                <w:rFonts w:cstheme="minorHAnsi"/>
                <w:sz w:val="24"/>
                <w:szCs w:val="24"/>
              </w:rPr>
              <w:t>peinture appropriés et non comme des informations exactes permettant de déterminer la durabilité.</w:t>
            </w:r>
          </w:p>
          <w:p w:rsidR="00F21DCC" w:rsidRDefault="00F21DCC" w:rsidP="00F21DCC">
            <w:pPr>
              <w:spacing w:after="0" w:line="240" w:lineRule="auto"/>
              <w:jc w:val="both"/>
              <w:rPr>
                <w:rFonts w:cstheme="minorHAnsi"/>
                <w:sz w:val="24"/>
                <w:szCs w:val="24"/>
              </w:rPr>
            </w:pPr>
            <w:r w:rsidRPr="0043547B">
              <w:rPr>
                <w:rFonts w:cstheme="minorHAnsi"/>
                <w:sz w:val="24"/>
                <w:szCs w:val="24"/>
              </w:rPr>
              <w:t>Le présent document couvre les systèmes de peinture anticorrosion conçus pour être appliqués sur</w:t>
            </w:r>
            <w:r>
              <w:rPr>
                <w:rFonts w:cstheme="minorHAnsi"/>
                <w:sz w:val="24"/>
                <w:szCs w:val="24"/>
              </w:rPr>
              <w:t xml:space="preserve"> </w:t>
            </w:r>
            <w:r w:rsidRPr="0043547B">
              <w:rPr>
                <w:rFonts w:cstheme="minorHAnsi"/>
                <w:sz w:val="24"/>
                <w:szCs w:val="24"/>
              </w:rPr>
              <w:t>acier non revêtu, sur acier galvanisé au trempé à chaud conformément à l’ISO 1461 et sur acier métallisé</w:t>
            </w:r>
            <w:r>
              <w:rPr>
                <w:rFonts w:cstheme="minorHAnsi"/>
                <w:sz w:val="24"/>
                <w:szCs w:val="24"/>
              </w:rPr>
              <w:t xml:space="preserve"> </w:t>
            </w:r>
            <w:r w:rsidRPr="0043547B">
              <w:rPr>
                <w:rFonts w:cstheme="minorHAnsi"/>
                <w:sz w:val="24"/>
                <w:szCs w:val="24"/>
              </w:rPr>
              <w:t>par projection thermique conformément à l’ISO 2063-1 et l’ISO 2063-2.</w:t>
            </w:r>
          </w:p>
          <w:p w:rsidR="00F21DCC" w:rsidRDefault="00F21DCC" w:rsidP="00F21DCC">
            <w:pPr>
              <w:spacing w:after="0" w:line="240" w:lineRule="auto"/>
              <w:jc w:val="both"/>
              <w:rPr>
                <w:rFonts w:cstheme="minorHAnsi"/>
                <w:sz w:val="24"/>
                <w:szCs w:val="24"/>
              </w:rPr>
            </w:pPr>
            <w:r w:rsidRPr="0043547B">
              <w:rPr>
                <w:rFonts w:cstheme="minorHAnsi"/>
                <w:sz w:val="24"/>
                <w:szCs w:val="24"/>
              </w:rPr>
              <w:lastRenderedPageBreak/>
              <w:t>Le présent document ne s’applique pas aux systèmes de peinture anticorrosion pour acier électroplaqué ou peint.</w:t>
            </w:r>
          </w:p>
          <w:p w:rsidR="00F21DCC" w:rsidRPr="0043547B" w:rsidRDefault="00F21DCC" w:rsidP="00F21DCC">
            <w:pPr>
              <w:spacing w:after="0" w:line="240" w:lineRule="auto"/>
              <w:jc w:val="both"/>
              <w:rPr>
                <w:rFonts w:cstheme="minorHAnsi"/>
                <w:sz w:val="24"/>
                <w:szCs w:val="24"/>
              </w:rPr>
            </w:pPr>
            <w:r w:rsidRPr="0043547B">
              <w:rPr>
                <w:rFonts w:cstheme="minorHAnsi"/>
                <w:sz w:val="24"/>
                <w:szCs w:val="24"/>
              </w:rPr>
              <w:t>Les environnements de catégories de corrosivité C2 à C5 et Im1 à Im3 définis dans l’ISO 12944-2 sont</w:t>
            </w:r>
            <w:r>
              <w:rPr>
                <w:rFonts w:cstheme="minorHAnsi"/>
                <w:sz w:val="24"/>
                <w:szCs w:val="24"/>
              </w:rPr>
              <w:t xml:space="preserve"> </w:t>
            </w:r>
            <w:r w:rsidRPr="0043547B">
              <w:rPr>
                <w:rFonts w:cstheme="minorHAnsi"/>
                <w:sz w:val="24"/>
                <w:szCs w:val="24"/>
              </w:rPr>
              <w:t>pris en compte.</w:t>
            </w:r>
          </w:p>
        </w:tc>
      </w:tr>
      <w:tr w:rsidR="0043547B" w:rsidRPr="0043547B" w:rsidTr="00554CF5">
        <w:trPr>
          <w:trHeight w:val="117"/>
          <w:jc w:val="center"/>
        </w:trPr>
        <w:tc>
          <w:tcPr>
            <w:tcW w:w="1843" w:type="dxa"/>
            <w:tcBorders>
              <w:top w:val="single" w:sz="18" w:space="0" w:color="auto"/>
              <w:left w:val="single" w:sz="18" w:space="0" w:color="auto"/>
              <w:bottom w:val="single" w:sz="18" w:space="0" w:color="auto"/>
              <w:right w:val="single" w:sz="4" w:space="0" w:color="auto"/>
            </w:tcBorders>
            <w:shd w:val="clear" w:color="auto" w:fill="B0CA7C"/>
            <w:vAlign w:val="center"/>
          </w:tcPr>
          <w:p w:rsidR="00F97E0D" w:rsidRPr="0043547B" w:rsidRDefault="00F97E0D" w:rsidP="005B488A">
            <w:pPr>
              <w:spacing w:after="0" w:line="240" w:lineRule="auto"/>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0CA7C"/>
            <w:vAlign w:val="center"/>
          </w:tcPr>
          <w:p w:rsidR="00F97E0D" w:rsidRPr="0043547B" w:rsidRDefault="005B488A" w:rsidP="005B488A">
            <w:pPr>
              <w:spacing w:after="0" w:line="240" w:lineRule="auto"/>
              <w:jc w:val="center"/>
              <w:rPr>
                <w:rFonts w:cstheme="minorHAnsi"/>
                <w:b/>
                <w:bCs/>
                <w:sz w:val="24"/>
                <w:szCs w:val="24"/>
              </w:rPr>
            </w:pPr>
            <w:r w:rsidRPr="0043547B">
              <w:rPr>
                <w:rFonts w:cstheme="minorHAnsi"/>
                <w:b/>
                <w:bCs/>
                <w:sz w:val="24"/>
                <w:szCs w:val="24"/>
              </w:rPr>
              <w:t xml:space="preserve"> </w:t>
            </w:r>
            <w:r w:rsidR="00F97E0D" w:rsidRPr="0043547B">
              <w:rPr>
                <w:rFonts w:cstheme="minorHAnsi"/>
                <w:b/>
                <w:bCs/>
                <w:sz w:val="24"/>
                <w:szCs w:val="24"/>
              </w:rPr>
              <w:t>NM ISO 12944-9</w:t>
            </w:r>
          </w:p>
        </w:tc>
      </w:tr>
      <w:tr w:rsidR="0043547B" w:rsidRPr="0043547B" w:rsidTr="00554CF5">
        <w:trPr>
          <w:trHeight w:val="117"/>
          <w:jc w:val="center"/>
        </w:trPr>
        <w:tc>
          <w:tcPr>
            <w:tcW w:w="1843" w:type="dxa"/>
            <w:tcBorders>
              <w:top w:val="single" w:sz="18" w:space="0" w:color="auto"/>
              <w:left w:val="single" w:sz="18" w:space="0" w:color="auto"/>
              <w:bottom w:val="single" w:sz="6" w:space="0" w:color="auto"/>
              <w:right w:val="single" w:sz="4" w:space="0" w:color="auto"/>
            </w:tcBorders>
            <w:shd w:val="clear" w:color="auto" w:fill="FFFF99"/>
            <w:vAlign w:val="center"/>
          </w:tcPr>
          <w:p w:rsidR="00F97E0D" w:rsidRPr="0043547B" w:rsidRDefault="00F97E0D" w:rsidP="005B488A">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6" w:space="0" w:color="auto"/>
              <w:right w:val="single" w:sz="18" w:space="0" w:color="auto"/>
            </w:tcBorders>
            <w:shd w:val="clear" w:color="auto" w:fill="FFFF99"/>
            <w:vAlign w:val="center"/>
          </w:tcPr>
          <w:p w:rsidR="00F97E0D" w:rsidRPr="0043547B" w:rsidRDefault="00F97E0D" w:rsidP="005B488A">
            <w:pPr>
              <w:spacing w:after="0" w:line="240" w:lineRule="auto"/>
              <w:jc w:val="center"/>
              <w:rPr>
                <w:rFonts w:cstheme="minorHAnsi"/>
                <w:b/>
                <w:bCs/>
                <w:sz w:val="24"/>
                <w:szCs w:val="24"/>
              </w:rPr>
            </w:pPr>
            <w:r w:rsidRPr="0043547B">
              <w:rPr>
                <w:rFonts w:cstheme="minorHAnsi"/>
                <w:b/>
                <w:bCs/>
                <w:sz w:val="24"/>
                <w:szCs w:val="24"/>
              </w:rPr>
              <w:t>ISO 12944-9</w:t>
            </w:r>
          </w:p>
        </w:tc>
      </w:tr>
      <w:tr w:rsidR="0043547B" w:rsidRPr="0043547B" w:rsidTr="00554CF5">
        <w:trPr>
          <w:trHeight w:val="117"/>
          <w:jc w:val="center"/>
        </w:trPr>
        <w:tc>
          <w:tcPr>
            <w:tcW w:w="1843" w:type="dxa"/>
            <w:tcBorders>
              <w:top w:val="single" w:sz="6" w:space="0" w:color="auto"/>
              <w:left w:val="single" w:sz="18" w:space="0" w:color="auto"/>
              <w:bottom w:val="single" w:sz="6" w:space="0" w:color="auto"/>
              <w:right w:val="single" w:sz="4" w:space="0" w:color="auto"/>
            </w:tcBorders>
            <w:shd w:val="clear" w:color="auto" w:fill="95B3D7" w:themeFill="accent1" w:themeFillTint="99"/>
            <w:vAlign w:val="center"/>
          </w:tcPr>
          <w:p w:rsidR="00F97E0D" w:rsidRPr="0043547B" w:rsidRDefault="00F97E0D" w:rsidP="005B488A">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6" w:space="0" w:color="auto"/>
              <w:left w:val="single" w:sz="4" w:space="0" w:color="auto"/>
              <w:bottom w:val="single" w:sz="6" w:space="0" w:color="auto"/>
              <w:right w:val="single" w:sz="18" w:space="0" w:color="auto"/>
            </w:tcBorders>
            <w:shd w:val="clear" w:color="auto" w:fill="FFFFFF" w:themeFill="background1"/>
            <w:vAlign w:val="center"/>
          </w:tcPr>
          <w:p w:rsidR="00F97E0D" w:rsidRPr="0043547B" w:rsidRDefault="00F97E0D" w:rsidP="00D22ACC">
            <w:pPr>
              <w:spacing w:after="0" w:line="240" w:lineRule="auto"/>
              <w:jc w:val="both"/>
              <w:rPr>
                <w:rFonts w:cstheme="minorHAnsi"/>
                <w:sz w:val="24"/>
                <w:szCs w:val="24"/>
              </w:rPr>
            </w:pPr>
            <w:r w:rsidRPr="0043547B">
              <w:rPr>
                <w:rFonts w:cstheme="minorHAnsi"/>
                <w:sz w:val="24"/>
                <w:szCs w:val="24"/>
              </w:rPr>
              <w:t xml:space="preserve">Peintures et vernis - Anticorrosion des structures en acier par systèmes de peinture - Partie 9: Systèmes de peinture protectrice et méthodes d'essai de performance en laboratoire pour la protection des structures offshore et structures associées ; (IC 03.3.334) </w:t>
            </w:r>
          </w:p>
        </w:tc>
      </w:tr>
      <w:tr w:rsidR="0043547B" w:rsidRPr="0043547B" w:rsidTr="00554CF5">
        <w:trPr>
          <w:trHeight w:val="117"/>
          <w:jc w:val="center"/>
        </w:trPr>
        <w:tc>
          <w:tcPr>
            <w:tcW w:w="1843" w:type="dxa"/>
            <w:tcBorders>
              <w:top w:val="single" w:sz="6" w:space="0" w:color="auto"/>
              <w:left w:val="single" w:sz="18" w:space="0" w:color="auto"/>
              <w:bottom w:val="single" w:sz="18" w:space="0" w:color="auto"/>
              <w:right w:val="single" w:sz="4" w:space="0" w:color="auto"/>
            </w:tcBorders>
            <w:shd w:val="clear" w:color="auto" w:fill="D9D9D9" w:themeFill="background1" w:themeFillShade="D9"/>
            <w:vAlign w:val="center"/>
          </w:tcPr>
          <w:p w:rsidR="00F97E0D" w:rsidRPr="0043547B" w:rsidRDefault="00F97E0D" w:rsidP="005B488A">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6" w:space="0" w:color="auto"/>
              <w:left w:val="single" w:sz="4" w:space="0" w:color="auto"/>
              <w:bottom w:val="single" w:sz="18" w:space="0" w:color="auto"/>
              <w:right w:val="single" w:sz="18" w:space="0" w:color="auto"/>
            </w:tcBorders>
            <w:shd w:val="clear" w:color="auto" w:fill="FFFFFF" w:themeFill="background1"/>
            <w:vAlign w:val="bottom"/>
          </w:tcPr>
          <w:p w:rsidR="005B488A" w:rsidRPr="0043547B" w:rsidRDefault="00F97E0D" w:rsidP="005B488A">
            <w:pPr>
              <w:spacing w:after="0" w:line="240" w:lineRule="auto"/>
              <w:jc w:val="both"/>
              <w:rPr>
                <w:rFonts w:cstheme="minorHAnsi"/>
                <w:sz w:val="24"/>
                <w:szCs w:val="24"/>
              </w:rPr>
            </w:pPr>
            <w:r w:rsidRPr="0043547B">
              <w:rPr>
                <w:rFonts w:cstheme="minorHAnsi"/>
                <w:sz w:val="24"/>
                <w:szCs w:val="24"/>
              </w:rPr>
              <w:t>Le présent document traite des exigences de performance relatives aux systèmes de peinture anticorrosion pour la protection des structures offshore et structures associées (c’est-à-dire exposées à l’environnement marin ou immergées dans l’eau de mer ou l’eau saumâtre). Ces structures sont exposées à des environnements de catégorie de corrosivité CX (offshore) et de catégorie d’immersion Im4 telles que définies dans l’ISO 12944-2.  Les structures suivantes ne sont pas couvertes par le présent document</w:t>
            </w:r>
            <w:r w:rsidR="005B488A" w:rsidRPr="0043547B">
              <w:rPr>
                <w:rFonts w:cstheme="minorHAnsi"/>
                <w:sz w:val="24"/>
                <w:szCs w:val="24"/>
              </w:rPr>
              <w:t xml:space="preserve"> </w:t>
            </w:r>
            <w:r w:rsidRPr="0043547B">
              <w:rPr>
                <w:rFonts w:cstheme="minorHAnsi"/>
                <w:sz w:val="24"/>
                <w:szCs w:val="24"/>
              </w:rPr>
              <w:t>:</w:t>
            </w:r>
          </w:p>
          <w:p w:rsidR="00681A82" w:rsidRPr="0043547B" w:rsidRDefault="00F97E0D" w:rsidP="00681A82">
            <w:pPr>
              <w:spacing w:after="0" w:line="240" w:lineRule="auto"/>
              <w:rPr>
                <w:rFonts w:cstheme="minorHAnsi"/>
                <w:sz w:val="24"/>
                <w:szCs w:val="24"/>
              </w:rPr>
            </w:pPr>
            <w:r w:rsidRPr="0043547B">
              <w:rPr>
                <w:rFonts w:cstheme="minorHAnsi"/>
                <w:sz w:val="24"/>
                <w:szCs w:val="24"/>
              </w:rPr>
              <w:t>— les structures en acier inoxydable ainsi que celles construites en cuivre, en titane ou en aluminium, ou leurs alliages</w:t>
            </w:r>
            <w:r w:rsidR="00554CF5">
              <w:rPr>
                <w:rFonts w:cstheme="minorHAnsi"/>
                <w:sz w:val="24"/>
                <w:szCs w:val="24"/>
              </w:rPr>
              <w:t xml:space="preserve"> </w:t>
            </w:r>
            <w:r w:rsidRPr="0043547B">
              <w:rPr>
                <w:rFonts w:cstheme="minorHAnsi"/>
                <w:sz w:val="24"/>
                <w:szCs w:val="24"/>
              </w:rPr>
              <w:t>;</w:t>
            </w:r>
            <w:r w:rsidRPr="0043547B">
              <w:rPr>
                <w:rFonts w:cstheme="minorHAnsi"/>
                <w:sz w:val="24"/>
                <w:szCs w:val="24"/>
              </w:rPr>
              <w:br/>
              <w:t>— les câbles en acier;</w:t>
            </w:r>
            <w:r w:rsidRPr="0043547B">
              <w:rPr>
                <w:rFonts w:cstheme="minorHAnsi"/>
                <w:sz w:val="24"/>
                <w:szCs w:val="24"/>
              </w:rPr>
              <w:br/>
              <w:t>— les structures enterrées;</w:t>
            </w:r>
            <w:r w:rsidRPr="0043547B">
              <w:rPr>
                <w:rFonts w:cstheme="minorHAnsi"/>
                <w:sz w:val="24"/>
                <w:szCs w:val="24"/>
              </w:rPr>
              <w:br/>
              <w:t>— les canalisations de transport;</w:t>
            </w:r>
            <w:r w:rsidRPr="0043547B">
              <w:rPr>
                <w:rFonts w:cstheme="minorHAnsi"/>
                <w:sz w:val="24"/>
                <w:szCs w:val="24"/>
              </w:rPr>
              <w:br/>
              <w:t>— l’intérieur des cuves de stockage.</w:t>
            </w:r>
          </w:p>
          <w:p w:rsidR="005B488A" w:rsidRPr="0043547B" w:rsidRDefault="00F97E0D" w:rsidP="00681A82">
            <w:pPr>
              <w:spacing w:after="0" w:line="240" w:lineRule="auto"/>
              <w:jc w:val="both"/>
              <w:rPr>
                <w:rFonts w:cstheme="minorHAnsi"/>
                <w:sz w:val="24"/>
                <w:szCs w:val="24"/>
              </w:rPr>
            </w:pPr>
            <w:r w:rsidRPr="0043547B">
              <w:rPr>
                <w:rFonts w:cstheme="minorHAnsi"/>
                <w:sz w:val="24"/>
                <w:szCs w:val="24"/>
              </w:rPr>
              <w:t>La présente partie de l’ISO 12944 décrit des systèmes de peinture pour une haute durabilité conformément à l’ISO 12944-1.</w:t>
            </w:r>
            <w:r w:rsidR="005B488A" w:rsidRPr="0043547B">
              <w:rPr>
                <w:rFonts w:cstheme="minorHAnsi"/>
                <w:sz w:val="24"/>
                <w:szCs w:val="24"/>
              </w:rPr>
              <w:t xml:space="preserve"> </w:t>
            </w:r>
          </w:p>
          <w:p w:rsidR="00681A82" w:rsidRPr="0043547B" w:rsidRDefault="00F97E0D" w:rsidP="005B488A">
            <w:pPr>
              <w:spacing w:after="0" w:line="240" w:lineRule="auto"/>
              <w:jc w:val="both"/>
              <w:rPr>
                <w:rFonts w:cstheme="minorHAnsi"/>
                <w:sz w:val="24"/>
                <w:szCs w:val="24"/>
              </w:rPr>
            </w:pPr>
            <w:r w:rsidRPr="0043547B">
              <w:rPr>
                <w:rFonts w:cstheme="minorHAnsi"/>
                <w:sz w:val="24"/>
                <w:szCs w:val="24"/>
              </w:rPr>
              <w:t>Le présent document traite des structures en acier au carbone et ne traite pas des surfaces de type Cd/Bi Cr et Zn/Bi Cr. Il ne s’applique pas non plus aux surfaces recouvertes d’isolant ou de béton.</w:t>
            </w:r>
          </w:p>
          <w:p w:rsidR="00681A82" w:rsidRPr="0043547B" w:rsidRDefault="00F97E0D" w:rsidP="00681A82">
            <w:pPr>
              <w:spacing w:after="0" w:line="240" w:lineRule="auto"/>
              <w:jc w:val="both"/>
              <w:rPr>
                <w:rFonts w:cstheme="minorHAnsi"/>
                <w:sz w:val="24"/>
                <w:szCs w:val="24"/>
              </w:rPr>
            </w:pPr>
            <w:r w:rsidRPr="0043547B">
              <w:rPr>
                <w:rFonts w:cstheme="minorHAnsi"/>
                <w:sz w:val="24"/>
                <w:szCs w:val="24"/>
              </w:rPr>
              <w:t>Le présent document s’applique aux systèmes de peinture prévus pour une plage de température d’utilisation entre –20 °C et +80 °C et les essais de performance ont pour objectif de vérifier l’adéquation</w:t>
            </w:r>
            <w:r w:rsidR="00681A82" w:rsidRPr="0043547B">
              <w:rPr>
                <w:rFonts w:cstheme="minorHAnsi"/>
                <w:sz w:val="24"/>
                <w:szCs w:val="24"/>
              </w:rPr>
              <w:t xml:space="preserve"> </w:t>
            </w:r>
            <w:r w:rsidRPr="0043547B">
              <w:rPr>
                <w:rFonts w:cstheme="minorHAnsi"/>
                <w:sz w:val="24"/>
                <w:szCs w:val="24"/>
              </w:rPr>
              <w:t>des systèmes de peinture à cette plage de température.</w:t>
            </w:r>
          </w:p>
          <w:p w:rsidR="00681A82" w:rsidRPr="0043547B" w:rsidRDefault="00F97E0D" w:rsidP="00681A82">
            <w:pPr>
              <w:spacing w:after="0" w:line="240" w:lineRule="auto"/>
              <w:jc w:val="both"/>
              <w:rPr>
                <w:rFonts w:cstheme="minorHAnsi"/>
                <w:sz w:val="24"/>
                <w:szCs w:val="24"/>
              </w:rPr>
            </w:pPr>
            <w:r w:rsidRPr="0043547B">
              <w:rPr>
                <w:rFonts w:cstheme="minorHAnsi"/>
                <w:sz w:val="24"/>
                <w:szCs w:val="24"/>
              </w:rPr>
              <w:t>Le présent document s’applique aux systèmes de peinture employés pour un service en immersion (Im4) qui sont destinés à des températures ambiantes de service pouvant aller jusqu’à une température</w:t>
            </w:r>
            <w:r w:rsidR="00681A82" w:rsidRPr="0043547B">
              <w:rPr>
                <w:rFonts w:cstheme="minorHAnsi"/>
                <w:sz w:val="24"/>
                <w:szCs w:val="24"/>
              </w:rPr>
              <w:t xml:space="preserve"> </w:t>
            </w:r>
            <w:r w:rsidRPr="0043547B">
              <w:rPr>
                <w:rFonts w:cstheme="minorHAnsi"/>
                <w:sz w:val="24"/>
                <w:szCs w:val="24"/>
              </w:rPr>
              <w:t>maximale de 50 °C.</w:t>
            </w:r>
          </w:p>
          <w:p w:rsidR="00681A82" w:rsidRPr="0043547B" w:rsidRDefault="00F97E0D" w:rsidP="00681A82">
            <w:pPr>
              <w:spacing w:after="0" w:line="240" w:lineRule="auto"/>
              <w:jc w:val="both"/>
              <w:rPr>
                <w:rFonts w:cstheme="minorHAnsi"/>
                <w:sz w:val="24"/>
                <w:szCs w:val="24"/>
              </w:rPr>
            </w:pPr>
            <w:r w:rsidRPr="0043547B">
              <w:rPr>
                <w:rFonts w:cstheme="minorHAnsi"/>
                <w:sz w:val="24"/>
                <w:szCs w:val="24"/>
              </w:rPr>
              <w:t>Le présent document spécifie</w:t>
            </w:r>
            <w:r w:rsidR="00681A82" w:rsidRPr="0043547B">
              <w:rPr>
                <w:rFonts w:cstheme="minorHAnsi"/>
                <w:sz w:val="24"/>
                <w:szCs w:val="24"/>
              </w:rPr>
              <w:t xml:space="preserve"> </w:t>
            </w:r>
            <w:r w:rsidRPr="0043547B">
              <w:rPr>
                <w:rFonts w:cstheme="minorHAnsi"/>
                <w:sz w:val="24"/>
                <w:szCs w:val="24"/>
              </w:rPr>
              <w:t>:</w:t>
            </w:r>
          </w:p>
          <w:p w:rsidR="00681A82" w:rsidRPr="0043547B" w:rsidRDefault="00F97E0D" w:rsidP="00681A82">
            <w:pPr>
              <w:spacing w:after="0" w:line="240" w:lineRule="auto"/>
              <w:rPr>
                <w:rFonts w:cstheme="minorHAnsi"/>
                <w:sz w:val="24"/>
                <w:szCs w:val="24"/>
              </w:rPr>
            </w:pPr>
            <w:r w:rsidRPr="0043547B">
              <w:rPr>
                <w:rFonts w:cstheme="minorHAnsi"/>
                <w:sz w:val="24"/>
                <w:szCs w:val="24"/>
              </w:rPr>
              <w:t xml:space="preserve">— les méthodes d’essai à utiliser pour déterminer la composition des différents composants du système de </w:t>
            </w:r>
            <w:r w:rsidR="00681A82" w:rsidRPr="0043547B">
              <w:rPr>
                <w:rFonts w:cstheme="minorHAnsi"/>
                <w:sz w:val="24"/>
                <w:szCs w:val="24"/>
              </w:rPr>
              <w:t xml:space="preserve">peinture anticorrosion ; </w:t>
            </w:r>
            <w:r w:rsidRPr="0043547B">
              <w:rPr>
                <w:rFonts w:cstheme="minorHAnsi"/>
                <w:sz w:val="24"/>
                <w:szCs w:val="24"/>
              </w:rPr>
              <w:br/>
              <w:t xml:space="preserve">— les méthodes d’essai de performance en laboratoire afin d’évaluer la durabilité probable du système de </w:t>
            </w:r>
            <w:r w:rsidR="00681A82" w:rsidRPr="0043547B">
              <w:rPr>
                <w:rFonts w:cstheme="minorHAnsi"/>
                <w:sz w:val="24"/>
                <w:szCs w:val="24"/>
              </w:rPr>
              <w:t xml:space="preserve">peinture anticorrosion ; </w:t>
            </w:r>
            <w:r w:rsidRPr="0043547B">
              <w:rPr>
                <w:rFonts w:cstheme="minorHAnsi"/>
                <w:sz w:val="24"/>
                <w:szCs w:val="24"/>
              </w:rPr>
              <w:br/>
              <w:t>— les critères à appliquer pour évaluer les résultats des essais de performance.</w:t>
            </w:r>
          </w:p>
          <w:p w:rsidR="00681A82" w:rsidRPr="0043547B" w:rsidRDefault="00F97E0D" w:rsidP="00681A82">
            <w:pPr>
              <w:spacing w:after="0" w:line="240" w:lineRule="auto"/>
              <w:jc w:val="both"/>
              <w:rPr>
                <w:rFonts w:cstheme="minorHAnsi"/>
                <w:sz w:val="24"/>
                <w:szCs w:val="24"/>
              </w:rPr>
            </w:pPr>
            <w:r w:rsidRPr="0043547B">
              <w:rPr>
                <w:rFonts w:cstheme="minorHAnsi"/>
                <w:sz w:val="24"/>
                <w:szCs w:val="24"/>
              </w:rPr>
              <w:t>Le présent document couvre les exigences relatives aux travaux neufs et aux éventuelles réparations nécessaires avant la mise en service. Il peut également être utilisé dans le cadre de la maintenance</w:t>
            </w:r>
            <w:r w:rsidR="00681A82" w:rsidRPr="0043547B">
              <w:rPr>
                <w:rFonts w:cstheme="minorHAnsi"/>
                <w:sz w:val="24"/>
                <w:szCs w:val="24"/>
              </w:rPr>
              <w:t xml:space="preserve"> </w:t>
            </w:r>
            <w:r w:rsidRPr="0043547B">
              <w:rPr>
                <w:rFonts w:cstheme="minorHAnsi"/>
                <w:sz w:val="24"/>
                <w:szCs w:val="24"/>
              </w:rPr>
              <w:t>lorsqu’une rénovation complète est effectuée et que le subjectile métallique sous-jacent est entièrement mis à nu par un décapage par projection d’abrasif.</w:t>
            </w:r>
          </w:p>
          <w:p w:rsidR="00681A82" w:rsidRPr="0043547B" w:rsidRDefault="00F97E0D" w:rsidP="00681A82">
            <w:pPr>
              <w:spacing w:after="0" w:line="240" w:lineRule="auto"/>
              <w:jc w:val="both"/>
              <w:rPr>
                <w:rFonts w:cstheme="minorHAnsi"/>
                <w:sz w:val="24"/>
                <w:szCs w:val="24"/>
              </w:rPr>
            </w:pPr>
            <w:r w:rsidRPr="0043547B">
              <w:rPr>
                <w:rFonts w:cstheme="minorHAnsi"/>
                <w:sz w:val="24"/>
                <w:szCs w:val="24"/>
              </w:rPr>
              <w:lastRenderedPageBreak/>
              <w:t>Il ne traite pas de la maintenance en général lorsque des méthodes de préparation de surface autres que le décapage par projection d’abrasif sont concernées.</w:t>
            </w:r>
          </w:p>
          <w:p w:rsidR="00F97E0D" w:rsidRPr="0043547B" w:rsidRDefault="00F97E0D" w:rsidP="00681A82">
            <w:pPr>
              <w:spacing w:after="0" w:line="240" w:lineRule="auto"/>
              <w:jc w:val="both"/>
              <w:rPr>
                <w:rFonts w:cstheme="minorHAnsi"/>
                <w:sz w:val="24"/>
                <w:szCs w:val="24"/>
              </w:rPr>
            </w:pPr>
            <w:r w:rsidRPr="0043547B">
              <w:rPr>
                <w:rFonts w:cstheme="minorHAnsi"/>
                <w:sz w:val="24"/>
                <w:szCs w:val="24"/>
              </w:rPr>
              <w:t>Le présent document traite des structures en acier d’une épaisseur d’au moins 3 mm, qui ont fait l’objet d’un calcul de résistance approuvé au stade de la conception.</w:t>
            </w:r>
          </w:p>
        </w:tc>
      </w:tr>
      <w:tr w:rsidR="0043547B" w:rsidRPr="0043547B" w:rsidTr="00554CF5">
        <w:trPr>
          <w:trHeight w:val="117"/>
          <w:jc w:val="center"/>
        </w:trPr>
        <w:tc>
          <w:tcPr>
            <w:tcW w:w="1843" w:type="dxa"/>
            <w:tcBorders>
              <w:top w:val="single" w:sz="6" w:space="0" w:color="auto"/>
              <w:left w:val="single" w:sz="18" w:space="0" w:color="auto"/>
              <w:bottom w:val="single" w:sz="18" w:space="0" w:color="auto"/>
              <w:right w:val="single" w:sz="4" w:space="0" w:color="auto"/>
            </w:tcBorders>
            <w:shd w:val="clear" w:color="auto" w:fill="C2D69B" w:themeFill="accent3" w:themeFillTint="99"/>
            <w:vAlign w:val="center"/>
          </w:tcPr>
          <w:p w:rsidR="003062E0" w:rsidRPr="006E4B1D" w:rsidRDefault="003062E0" w:rsidP="00D22ACC">
            <w:pPr>
              <w:spacing w:after="0" w:line="240" w:lineRule="auto"/>
              <w:jc w:val="center"/>
              <w:rPr>
                <w:rFonts w:cstheme="minorHAnsi"/>
                <w:b/>
                <w:bCs/>
                <w:sz w:val="24"/>
                <w:szCs w:val="24"/>
              </w:rPr>
            </w:pPr>
            <w:r w:rsidRPr="006E4B1D">
              <w:rPr>
                <w:rFonts w:cstheme="minorHAnsi"/>
                <w:b/>
                <w:bCs/>
                <w:sz w:val="24"/>
                <w:szCs w:val="24"/>
              </w:rPr>
              <w:lastRenderedPageBreak/>
              <w:t>Code :</w:t>
            </w:r>
          </w:p>
        </w:tc>
        <w:tc>
          <w:tcPr>
            <w:tcW w:w="7938" w:type="dxa"/>
            <w:tcBorders>
              <w:top w:val="single" w:sz="6" w:space="0" w:color="auto"/>
              <w:left w:val="single" w:sz="4" w:space="0" w:color="auto"/>
              <w:bottom w:val="single" w:sz="18" w:space="0" w:color="auto"/>
              <w:right w:val="single" w:sz="18" w:space="0" w:color="auto"/>
            </w:tcBorders>
            <w:shd w:val="clear" w:color="auto" w:fill="C2D69B" w:themeFill="accent3" w:themeFillTint="99"/>
            <w:vAlign w:val="center"/>
          </w:tcPr>
          <w:p w:rsidR="003062E0" w:rsidRPr="006E4B1D" w:rsidRDefault="003062E0" w:rsidP="00D22ACC">
            <w:pPr>
              <w:spacing w:after="0" w:line="240" w:lineRule="auto"/>
              <w:jc w:val="center"/>
              <w:rPr>
                <w:rFonts w:cstheme="minorHAnsi"/>
                <w:b/>
                <w:bCs/>
                <w:sz w:val="24"/>
                <w:szCs w:val="24"/>
              </w:rPr>
            </w:pPr>
            <w:r w:rsidRPr="006E4B1D">
              <w:rPr>
                <w:rFonts w:cstheme="minorHAnsi"/>
                <w:b/>
                <w:bCs/>
                <w:sz w:val="24"/>
                <w:szCs w:val="24"/>
              </w:rPr>
              <w:t>NM EN 14879-2</w:t>
            </w:r>
          </w:p>
        </w:tc>
      </w:tr>
      <w:tr w:rsidR="0043547B" w:rsidRPr="0043547B" w:rsidTr="00D22ACC">
        <w:trPr>
          <w:trHeight w:val="117"/>
          <w:jc w:val="center"/>
        </w:trPr>
        <w:tc>
          <w:tcPr>
            <w:tcW w:w="1843" w:type="dxa"/>
            <w:tcBorders>
              <w:top w:val="single" w:sz="18" w:space="0" w:color="auto"/>
              <w:left w:val="single" w:sz="18" w:space="0" w:color="auto"/>
              <w:bottom w:val="single" w:sz="4" w:space="0" w:color="auto"/>
              <w:right w:val="single" w:sz="4" w:space="0" w:color="auto"/>
            </w:tcBorders>
            <w:shd w:val="clear" w:color="auto" w:fill="FDFBA9"/>
            <w:vAlign w:val="center"/>
          </w:tcPr>
          <w:p w:rsidR="003062E0" w:rsidRPr="006E4B1D" w:rsidRDefault="003062E0" w:rsidP="00D22ACC">
            <w:pPr>
              <w:spacing w:after="0" w:line="240" w:lineRule="auto"/>
              <w:jc w:val="center"/>
              <w:rPr>
                <w:rFonts w:cstheme="minorHAnsi"/>
                <w:b/>
                <w:bCs/>
                <w:sz w:val="24"/>
                <w:szCs w:val="24"/>
              </w:rPr>
            </w:pPr>
            <w:r w:rsidRPr="006E4B1D">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DFBA9"/>
            <w:vAlign w:val="center"/>
          </w:tcPr>
          <w:p w:rsidR="003062E0" w:rsidRPr="006E4B1D" w:rsidRDefault="003062E0" w:rsidP="00D22ACC">
            <w:pPr>
              <w:spacing w:after="0" w:line="240" w:lineRule="auto"/>
              <w:jc w:val="center"/>
              <w:rPr>
                <w:rFonts w:cstheme="minorHAnsi"/>
                <w:b/>
                <w:bCs/>
                <w:sz w:val="24"/>
                <w:szCs w:val="24"/>
              </w:rPr>
            </w:pPr>
            <w:r w:rsidRPr="006E4B1D">
              <w:rPr>
                <w:rFonts w:cstheme="minorHAnsi"/>
                <w:b/>
                <w:bCs/>
                <w:sz w:val="24"/>
                <w:szCs w:val="24"/>
              </w:rPr>
              <w:t>EN 14879-2</w:t>
            </w:r>
          </w:p>
        </w:tc>
      </w:tr>
      <w:tr w:rsidR="0043547B" w:rsidRPr="0043547B" w:rsidTr="00D22ACC">
        <w:trPr>
          <w:trHeight w:val="117"/>
          <w:jc w:val="center"/>
        </w:trPr>
        <w:tc>
          <w:tcPr>
            <w:tcW w:w="1843" w:type="dxa"/>
            <w:tcBorders>
              <w:top w:val="single" w:sz="4" w:space="0" w:color="auto"/>
              <w:left w:val="single" w:sz="18" w:space="0" w:color="auto"/>
              <w:bottom w:val="single" w:sz="4" w:space="0" w:color="auto"/>
              <w:right w:val="single" w:sz="4" w:space="0" w:color="auto"/>
            </w:tcBorders>
            <w:shd w:val="clear" w:color="auto" w:fill="95B3D7" w:themeFill="accent1" w:themeFillTint="99"/>
            <w:vAlign w:val="center"/>
          </w:tcPr>
          <w:p w:rsidR="003062E0" w:rsidRPr="0043547B" w:rsidRDefault="003062E0" w:rsidP="00D22ACC">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3062E0" w:rsidRPr="0043547B" w:rsidRDefault="003062E0" w:rsidP="00D22ACC">
            <w:pPr>
              <w:spacing w:after="0" w:line="240" w:lineRule="auto"/>
              <w:jc w:val="both"/>
              <w:rPr>
                <w:rFonts w:cstheme="minorHAnsi"/>
                <w:sz w:val="24"/>
                <w:szCs w:val="24"/>
              </w:rPr>
            </w:pPr>
            <w:r w:rsidRPr="0043547B">
              <w:rPr>
                <w:rFonts w:cstheme="minorHAnsi"/>
                <w:sz w:val="24"/>
                <w:szCs w:val="24"/>
              </w:rPr>
              <w:t>Systèmes de revêtements organiques de peinture et autres revêtements rapportés pour la protection des appareils et installations industriels contre la corrosion par des milieux agressifs - Partie 2 : Revêtements pour composants métalliques ; (IC 03.3.426)</w:t>
            </w:r>
          </w:p>
        </w:tc>
      </w:tr>
      <w:tr w:rsidR="0043547B" w:rsidRPr="0043547B" w:rsidTr="00554CF5">
        <w:trPr>
          <w:trHeight w:val="117"/>
          <w:jc w:val="center"/>
        </w:trPr>
        <w:tc>
          <w:tcPr>
            <w:tcW w:w="1843" w:type="dxa"/>
            <w:tcBorders>
              <w:top w:val="single" w:sz="4" w:space="0" w:color="auto"/>
              <w:left w:val="single" w:sz="18" w:space="0" w:color="auto"/>
              <w:bottom w:val="single" w:sz="18" w:space="0" w:color="auto"/>
              <w:right w:val="single" w:sz="4" w:space="0" w:color="auto"/>
            </w:tcBorders>
            <w:shd w:val="clear" w:color="auto" w:fill="D9D9D9" w:themeFill="background1" w:themeFillShade="D9"/>
            <w:vAlign w:val="center"/>
          </w:tcPr>
          <w:p w:rsidR="003062E0" w:rsidRPr="0043547B" w:rsidRDefault="003062E0" w:rsidP="00D22ACC">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FFFFFF" w:themeFill="background1"/>
          </w:tcPr>
          <w:p w:rsidR="00D22ACC" w:rsidRDefault="003062E0" w:rsidP="00D22ACC">
            <w:pPr>
              <w:spacing w:after="0" w:line="240" w:lineRule="auto"/>
              <w:jc w:val="both"/>
              <w:rPr>
                <w:rFonts w:cstheme="minorHAnsi"/>
                <w:sz w:val="24"/>
                <w:szCs w:val="24"/>
              </w:rPr>
            </w:pPr>
            <w:r w:rsidRPr="0043547B">
              <w:rPr>
                <w:rFonts w:cstheme="minorHAnsi"/>
                <w:sz w:val="24"/>
                <w:szCs w:val="24"/>
              </w:rPr>
              <w:t>La présente Norme européenne décrit les exigences et méthodes d'essai pour revêtements organiques appliqués sur des équipements de l’industrie qui seront en contact avec des substances chimiques (liquides, solides et gazeuses).</w:t>
            </w:r>
            <w:r w:rsidRPr="0043547B">
              <w:rPr>
                <w:rFonts w:cstheme="minorHAnsi"/>
                <w:sz w:val="24"/>
                <w:szCs w:val="24"/>
              </w:rPr>
              <w:br/>
              <w:t>Les exigences spécifiées ici peuvent être utilisées aux fins de contrôle qualité (comme convenu entre des contractants ou imposées par des réglementations nationales, par exemple).</w:t>
            </w:r>
          </w:p>
          <w:p w:rsidR="00D22ACC" w:rsidRDefault="003062E0" w:rsidP="00D22ACC">
            <w:pPr>
              <w:spacing w:after="0" w:line="240" w:lineRule="auto"/>
              <w:jc w:val="both"/>
              <w:rPr>
                <w:rFonts w:cstheme="minorHAnsi"/>
                <w:sz w:val="24"/>
                <w:szCs w:val="24"/>
              </w:rPr>
            </w:pPr>
            <w:r w:rsidRPr="0043547B">
              <w:rPr>
                <w:rFonts w:cstheme="minorHAnsi"/>
                <w:sz w:val="24"/>
                <w:szCs w:val="24"/>
              </w:rPr>
              <w:t>La norme ne concerne pas les revêtements faisant l'objet de l'EN ISO 12944-1, mais s'applique aux revêtements employées à l’une au moins des utilisations suivantes :</w:t>
            </w:r>
          </w:p>
          <w:p w:rsidR="00D22ACC" w:rsidRDefault="003062E0" w:rsidP="00D22ACC">
            <w:pPr>
              <w:spacing w:after="0" w:line="240" w:lineRule="auto"/>
              <w:jc w:val="both"/>
              <w:rPr>
                <w:rFonts w:cstheme="minorHAnsi"/>
                <w:sz w:val="24"/>
                <w:szCs w:val="24"/>
              </w:rPr>
            </w:pPr>
            <w:r w:rsidRPr="0043547B">
              <w:rPr>
                <w:rFonts w:cstheme="minorHAnsi"/>
                <w:sz w:val="24"/>
                <w:szCs w:val="24"/>
              </w:rPr>
              <w:t>— protéger le composant contre les effets néfastes des substances corrosives ;</w:t>
            </w:r>
            <w:r w:rsidRPr="0043547B">
              <w:rPr>
                <w:rFonts w:cstheme="minorHAnsi"/>
                <w:sz w:val="24"/>
                <w:szCs w:val="24"/>
              </w:rPr>
              <w:br/>
              <w:t>— protéger les eaux (par exemple, les nappes phréatiques) des substances dangereuses ;</w:t>
            </w:r>
          </w:p>
          <w:p w:rsidR="00D22ACC" w:rsidRDefault="003062E0" w:rsidP="00D22ACC">
            <w:pPr>
              <w:spacing w:after="0" w:line="240" w:lineRule="auto"/>
              <w:jc w:val="both"/>
              <w:rPr>
                <w:rFonts w:cstheme="minorHAnsi"/>
                <w:sz w:val="24"/>
                <w:szCs w:val="24"/>
              </w:rPr>
            </w:pPr>
            <w:r w:rsidRPr="0043547B">
              <w:rPr>
                <w:rFonts w:cstheme="minorHAnsi"/>
                <w:sz w:val="24"/>
                <w:szCs w:val="24"/>
              </w:rPr>
              <w:t>— empêcher toute contamination des fluides par des composés provenant des subjectiles ;</w:t>
            </w:r>
          </w:p>
          <w:p w:rsidR="00D22ACC" w:rsidRDefault="003062E0" w:rsidP="00D22ACC">
            <w:pPr>
              <w:spacing w:after="0" w:line="240" w:lineRule="auto"/>
              <w:jc w:val="both"/>
              <w:rPr>
                <w:rFonts w:cstheme="minorHAnsi"/>
                <w:sz w:val="24"/>
                <w:szCs w:val="24"/>
              </w:rPr>
            </w:pPr>
            <w:r w:rsidRPr="0043547B">
              <w:rPr>
                <w:rFonts w:cstheme="minorHAnsi"/>
                <w:sz w:val="24"/>
                <w:szCs w:val="24"/>
              </w:rPr>
              <w:t>— obtenir une qualité de surface spécifique.</w:t>
            </w:r>
          </w:p>
          <w:p w:rsidR="00D22ACC" w:rsidRDefault="003062E0" w:rsidP="00D22ACC">
            <w:pPr>
              <w:spacing w:after="0" w:line="240" w:lineRule="auto"/>
              <w:jc w:val="both"/>
              <w:rPr>
                <w:rFonts w:cstheme="minorHAnsi"/>
                <w:sz w:val="24"/>
                <w:szCs w:val="24"/>
              </w:rPr>
            </w:pPr>
            <w:r w:rsidRPr="0043547B">
              <w:rPr>
                <w:rFonts w:cstheme="minorHAnsi"/>
                <w:sz w:val="24"/>
                <w:szCs w:val="24"/>
              </w:rPr>
              <w:t>Les revêtements décrits dans le présent document doivent être utilisés pour des équipements métalliques de l’industrie chimique, entrant au contact de substances chimiques. Les différents systèmes de revêtements sont les suivants:</w:t>
            </w:r>
            <w:r w:rsidRPr="0043547B">
              <w:rPr>
                <w:rFonts w:cstheme="minorHAnsi"/>
                <w:sz w:val="24"/>
                <w:szCs w:val="24"/>
              </w:rPr>
              <w:br/>
              <w:t>— systèmes de revêtements stratifiés, contenant des résines à durcissement à froid ;</w:t>
            </w:r>
          </w:p>
          <w:p w:rsidR="00D22ACC" w:rsidRDefault="003062E0" w:rsidP="00D22ACC">
            <w:pPr>
              <w:spacing w:after="0" w:line="240" w:lineRule="auto"/>
              <w:jc w:val="both"/>
              <w:rPr>
                <w:rFonts w:cstheme="minorHAnsi"/>
                <w:sz w:val="24"/>
                <w:szCs w:val="24"/>
              </w:rPr>
            </w:pPr>
            <w:r w:rsidRPr="0043547B">
              <w:rPr>
                <w:rFonts w:cstheme="minorHAnsi"/>
                <w:sz w:val="24"/>
                <w:szCs w:val="24"/>
              </w:rPr>
              <w:t>— revêtement à la truelle, contenant des résines à durcissement à froid ;</w:t>
            </w:r>
          </w:p>
          <w:p w:rsidR="00D22ACC" w:rsidRDefault="003062E0" w:rsidP="00D22ACC">
            <w:pPr>
              <w:spacing w:after="0" w:line="240" w:lineRule="auto"/>
              <w:jc w:val="both"/>
              <w:rPr>
                <w:rFonts w:cstheme="minorHAnsi"/>
                <w:sz w:val="24"/>
                <w:szCs w:val="24"/>
              </w:rPr>
            </w:pPr>
            <w:r w:rsidRPr="0043547B">
              <w:rPr>
                <w:rFonts w:cstheme="minorHAnsi"/>
                <w:sz w:val="24"/>
                <w:szCs w:val="24"/>
              </w:rPr>
              <w:t>— systèmes de revêtements appliqués par pulvérisation, contenant des résines (dans certains cas particuliers, des revêtements de ce type peuvent également être appliqués à la brosse, au rouleau, par aspersion, par trempage ou par d'autres moyens, tels que, par exemple, les buses) ;</w:t>
            </w:r>
          </w:p>
          <w:p w:rsidR="00D22ACC" w:rsidRDefault="003062E0" w:rsidP="00D22ACC">
            <w:pPr>
              <w:spacing w:after="0" w:line="240" w:lineRule="auto"/>
              <w:jc w:val="both"/>
              <w:rPr>
                <w:rFonts w:cstheme="minorHAnsi"/>
                <w:sz w:val="24"/>
                <w:szCs w:val="24"/>
              </w:rPr>
            </w:pPr>
            <w:r w:rsidRPr="0043547B">
              <w:rPr>
                <w:rFonts w:cstheme="minorHAnsi"/>
                <w:sz w:val="24"/>
                <w:szCs w:val="24"/>
              </w:rPr>
              <w:t>— systèmes de revêtements pulvérulents, contenant des matériaux organiques (les revêtements pulvérulents peuvent servir de protection contre la corrosion ou d’anti-adhésion).</w:t>
            </w:r>
          </w:p>
          <w:p w:rsidR="003062E0" w:rsidRPr="0043547B" w:rsidRDefault="003062E0" w:rsidP="00D22ACC">
            <w:pPr>
              <w:spacing w:after="0" w:line="240" w:lineRule="auto"/>
              <w:jc w:val="both"/>
              <w:rPr>
                <w:rFonts w:cstheme="minorHAnsi"/>
                <w:sz w:val="24"/>
                <w:szCs w:val="24"/>
              </w:rPr>
            </w:pPr>
            <w:r w:rsidRPr="0043547B">
              <w:rPr>
                <w:rFonts w:cstheme="minorHAnsi"/>
                <w:sz w:val="24"/>
                <w:szCs w:val="24"/>
              </w:rPr>
              <w:t>Pour la conception et la préparation des subjectiles, voir l’EN 14879-1.</w:t>
            </w:r>
          </w:p>
        </w:tc>
      </w:tr>
      <w:tr w:rsidR="0043547B" w:rsidRPr="0043547B" w:rsidTr="00554CF5">
        <w:trPr>
          <w:trHeight w:val="117"/>
          <w:jc w:val="center"/>
        </w:trPr>
        <w:tc>
          <w:tcPr>
            <w:tcW w:w="1843" w:type="dxa"/>
            <w:tcBorders>
              <w:top w:val="single" w:sz="6" w:space="0" w:color="auto"/>
              <w:left w:val="single" w:sz="18" w:space="0" w:color="auto"/>
              <w:bottom w:val="single" w:sz="18" w:space="0" w:color="auto"/>
              <w:right w:val="single" w:sz="4" w:space="0" w:color="auto"/>
            </w:tcBorders>
            <w:shd w:val="clear" w:color="auto" w:fill="C2D69B" w:themeFill="accent3" w:themeFillTint="99"/>
            <w:vAlign w:val="center"/>
          </w:tcPr>
          <w:p w:rsidR="003062E0" w:rsidRPr="006E4B1D" w:rsidRDefault="003062E0" w:rsidP="00D22ACC">
            <w:pPr>
              <w:spacing w:after="0" w:line="240" w:lineRule="auto"/>
              <w:jc w:val="center"/>
              <w:rPr>
                <w:rFonts w:cstheme="minorHAnsi"/>
                <w:b/>
                <w:bCs/>
                <w:sz w:val="24"/>
                <w:szCs w:val="24"/>
              </w:rPr>
            </w:pPr>
            <w:r w:rsidRPr="006E4B1D">
              <w:rPr>
                <w:rFonts w:cstheme="minorHAnsi"/>
                <w:b/>
                <w:bCs/>
                <w:sz w:val="24"/>
                <w:szCs w:val="24"/>
              </w:rPr>
              <w:t>Code :</w:t>
            </w:r>
          </w:p>
        </w:tc>
        <w:tc>
          <w:tcPr>
            <w:tcW w:w="7938" w:type="dxa"/>
            <w:tcBorders>
              <w:top w:val="single" w:sz="6" w:space="0" w:color="auto"/>
              <w:left w:val="single" w:sz="4" w:space="0" w:color="auto"/>
              <w:bottom w:val="single" w:sz="18" w:space="0" w:color="auto"/>
              <w:right w:val="single" w:sz="18" w:space="0" w:color="auto"/>
            </w:tcBorders>
            <w:shd w:val="clear" w:color="auto" w:fill="C2D69B" w:themeFill="accent3" w:themeFillTint="99"/>
            <w:vAlign w:val="center"/>
          </w:tcPr>
          <w:p w:rsidR="003062E0" w:rsidRPr="006E4B1D" w:rsidRDefault="003062E0" w:rsidP="00D22ACC">
            <w:pPr>
              <w:spacing w:after="0" w:line="240" w:lineRule="auto"/>
              <w:jc w:val="center"/>
              <w:rPr>
                <w:rFonts w:cstheme="minorHAnsi"/>
                <w:b/>
                <w:bCs/>
                <w:sz w:val="24"/>
                <w:szCs w:val="24"/>
              </w:rPr>
            </w:pPr>
            <w:r w:rsidRPr="006E4B1D">
              <w:rPr>
                <w:rFonts w:cstheme="minorHAnsi"/>
                <w:b/>
                <w:bCs/>
                <w:sz w:val="24"/>
                <w:szCs w:val="24"/>
              </w:rPr>
              <w:t>NM EN 14879-3</w:t>
            </w:r>
          </w:p>
        </w:tc>
      </w:tr>
      <w:tr w:rsidR="0043547B" w:rsidRPr="0043547B" w:rsidTr="00D22ACC">
        <w:trPr>
          <w:trHeight w:val="117"/>
          <w:jc w:val="center"/>
        </w:trPr>
        <w:tc>
          <w:tcPr>
            <w:tcW w:w="1843" w:type="dxa"/>
            <w:tcBorders>
              <w:top w:val="single" w:sz="18" w:space="0" w:color="auto"/>
              <w:left w:val="single" w:sz="18" w:space="0" w:color="auto"/>
              <w:bottom w:val="single" w:sz="4" w:space="0" w:color="auto"/>
              <w:right w:val="single" w:sz="4" w:space="0" w:color="auto"/>
            </w:tcBorders>
            <w:shd w:val="clear" w:color="auto" w:fill="FDFBA9"/>
            <w:vAlign w:val="center"/>
          </w:tcPr>
          <w:p w:rsidR="003062E0" w:rsidRPr="006E4B1D" w:rsidRDefault="003062E0" w:rsidP="00D22ACC">
            <w:pPr>
              <w:spacing w:after="0" w:line="240" w:lineRule="auto"/>
              <w:jc w:val="center"/>
              <w:rPr>
                <w:rFonts w:cstheme="minorHAnsi"/>
                <w:b/>
                <w:bCs/>
                <w:sz w:val="24"/>
                <w:szCs w:val="24"/>
              </w:rPr>
            </w:pPr>
            <w:r w:rsidRPr="006E4B1D">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DFBA9"/>
            <w:vAlign w:val="center"/>
          </w:tcPr>
          <w:p w:rsidR="003062E0" w:rsidRPr="006E4B1D" w:rsidRDefault="003062E0" w:rsidP="00D22ACC">
            <w:pPr>
              <w:spacing w:after="0" w:line="240" w:lineRule="auto"/>
              <w:jc w:val="center"/>
              <w:rPr>
                <w:rFonts w:cstheme="minorHAnsi"/>
                <w:b/>
                <w:bCs/>
                <w:sz w:val="24"/>
                <w:szCs w:val="24"/>
              </w:rPr>
            </w:pPr>
            <w:r w:rsidRPr="006E4B1D">
              <w:rPr>
                <w:rFonts w:cstheme="minorHAnsi"/>
                <w:b/>
                <w:bCs/>
                <w:sz w:val="24"/>
                <w:szCs w:val="24"/>
              </w:rPr>
              <w:t>EN 14879-3</w:t>
            </w:r>
          </w:p>
        </w:tc>
      </w:tr>
      <w:tr w:rsidR="0043547B" w:rsidRPr="0043547B" w:rsidTr="00D22ACC">
        <w:trPr>
          <w:trHeight w:val="117"/>
          <w:jc w:val="center"/>
        </w:trPr>
        <w:tc>
          <w:tcPr>
            <w:tcW w:w="1843" w:type="dxa"/>
            <w:tcBorders>
              <w:top w:val="single" w:sz="4" w:space="0" w:color="auto"/>
              <w:left w:val="single" w:sz="18" w:space="0" w:color="auto"/>
              <w:bottom w:val="single" w:sz="4" w:space="0" w:color="auto"/>
              <w:right w:val="single" w:sz="4" w:space="0" w:color="auto"/>
            </w:tcBorders>
            <w:shd w:val="clear" w:color="auto" w:fill="95B3D7" w:themeFill="accent1" w:themeFillTint="99"/>
            <w:vAlign w:val="center"/>
          </w:tcPr>
          <w:p w:rsidR="003062E0" w:rsidRPr="0043547B" w:rsidRDefault="003062E0" w:rsidP="00D22ACC">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3062E0" w:rsidRPr="0043547B" w:rsidRDefault="003062E0" w:rsidP="00D22ACC">
            <w:pPr>
              <w:spacing w:after="0" w:line="240" w:lineRule="auto"/>
              <w:rPr>
                <w:rFonts w:cstheme="minorHAnsi"/>
                <w:sz w:val="24"/>
                <w:szCs w:val="24"/>
              </w:rPr>
            </w:pPr>
            <w:r w:rsidRPr="0043547B">
              <w:rPr>
                <w:rFonts w:cstheme="minorHAnsi"/>
                <w:sz w:val="24"/>
                <w:szCs w:val="24"/>
              </w:rPr>
              <w:t>Systèmes de revêtements organiques de peinture et autres revêtements rapportés pour la protection des appareils et installations industriels contre la corrosion par des milieux agressifs - Partie 3 : Revêtements sur bétons ; (IC 03.3.427)</w:t>
            </w:r>
          </w:p>
        </w:tc>
      </w:tr>
      <w:tr w:rsidR="0043547B" w:rsidRPr="0043547B" w:rsidTr="00554CF5">
        <w:trPr>
          <w:trHeight w:val="117"/>
          <w:jc w:val="center"/>
        </w:trPr>
        <w:tc>
          <w:tcPr>
            <w:tcW w:w="1843" w:type="dxa"/>
            <w:tcBorders>
              <w:top w:val="single" w:sz="4" w:space="0" w:color="auto"/>
              <w:left w:val="single" w:sz="18" w:space="0" w:color="auto"/>
              <w:bottom w:val="single" w:sz="18" w:space="0" w:color="auto"/>
              <w:right w:val="single" w:sz="4" w:space="0" w:color="auto"/>
            </w:tcBorders>
            <w:shd w:val="clear" w:color="auto" w:fill="D9D9D9" w:themeFill="background1" w:themeFillShade="D9"/>
            <w:vAlign w:val="center"/>
          </w:tcPr>
          <w:p w:rsidR="003062E0" w:rsidRPr="0043547B" w:rsidRDefault="003062E0" w:rsidP="00D22ACC">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FFFFFF" w:themeFill="background1"/>
          </w:tcPr>
          <w:p w:rsidR="00D22ACC" w:rsidRDefault="003062E0" w:rsidP="00D22ACC">
            <w:pPr>
              <w:spacing w:after="0" w:line="240" w:lineRule="auto"/>
              <w:jc w:val="both"/>
              <w:rPr>
                <w:rFonts w:cstheme="minorHAnsi"/>
                <w:sz w:val="24"/>
                <w:szCs w:val="24"/>
              </w:rPr>
            </w:pPr>
            <w:r w:rsidRPr="0043547B">
              <w:rPr>
                <w:rFonts w:cstheme="minorHAnsi"/>
                <w:sz w:val="24"/>
                <w:szCs w:val="24"/>
              </w:rPr>
              <w:t xml:space="preserve">La présente Norme européenne décrit les exigences et méthodes d'essai pour revêtements organiques appliqués sur des équipements d'ingénierie pour la </w:t>
            </w:r>
            <w:r w:rsidRPr="0043547B">
              <w:rPr>
                <w:rFonts w:cstheme="minorHAnsi"/>
                <w:sz w:val="24"/>
                <w:szCs w:val="24"/>
              </w:rPr>
              <w:lastRenderedPageBreak/>
              <w:t>préparation du béton qui vont entrer en contact avec des substances chimiques agressives (liquides, solides et gaz). Les exigences spécifiées ici peuvent être utilisées aux fins de contrôle qualité (comme convenu entre des contractants, par exemple).</w:t>
            </w:r>
          </w:p>
          <w:p w:rsidR="00D22ACC" w:rsidRDefault="003062E0" w:rsidP="00D22ACC">
            <w:pPr>
              <w:spacing w:after="0" w:line="240" w:lineRule="auto"/>
              <w:jc w:val="both"/>
              <w:rPr>
                <w:rFonts w:cstheme="minorHAnsi"/>
                <w:sz w:val="24"/>
                <w:szCs w:val="24"/>
              </w:rPr>
            </w:pPr>
            <w:r w:rsidRPr="0043547B">
              <w:rPr>
                <w:rFonts w:cstheme="minorHAnsi"/>
                <w:sz w:val="24"/>
                <w:szCs w:val="24"/>
              </w:rPr>
              <w:t>La norme ne concerne pas les revêtements faisant l'objet de l'EN ISO 12944-1, mais s'applique aux revêtements qui servent à :</w:t>
            </w:r>
          </w:p>
          <w:p w:rsidR="00D22ACC" w:rsidRDefault="003062E0" w:rsidP="00D22ACC">
            <w:pPr>
              <w:spacing w:after="0" w:line="240" w:lineRule="auto"/>
              <w:jc w:val="both"/>
              <w:rPr>
                <w:rFonts w:cstheme="minorHAnsi"/>
                <w:sz w:val="24"/>
                <w:szCs w:val="24"/>
              </w:rPr>
            </w:pPr>
            <w:r w:rsidRPr="0043547B">
              <w:rPr>
                <w:rFonts w:cstheme="minorHAnsi"/>
                <w:sz w:val="24"/>
                <w:szCs w:val="24"/>
              </w:rPr>
              <w:t>— protéger le composant des effets néfastes des substances agressives ;</w:t>
            </w:r>
          </w:p>
          <w:p w:rsidR="00D22ACC" w:rsidRDefault="003062E0" w:rsidP="00D22ACC">
            <w:pPr>
              <w:spacing w:after="0" w:line="240" w:lineRule="auto"/>
              <w:jc w:val="both"/>
              <w:rPr>
                <w:rFonts w:cstheme="minorHAnsi"/>
                <w:sz w:val="24"/>
                <w:szCs w:val="24"/>
              </w:rPr>
            </w:pPr>
            <w:r w:rsidRPr="0043547B">
              <w:rPr>
                <w:rFonts w:cstheme="minorHAnsi"/>
                <w:sz w:val="24"/>
                <w:szCs w:val="24"/>
              </w:rPr>
              <w:t>— protéger les eaux (les nappes phréatiques, par exemple) des substances nocives ;</w:t>
            </w:r>
          </w:p>
          <w:p w:rsidR="00D22ACC" w:rsidRDefault="003062E0" w:rsidP="00D22ACC">
            <w:pPr>
              <w:spacing w:after="0" w:line="240" w:lineRule="auto"/>
              <w:jc w:val="both"/>
              <w:rPr>
                <w:rFonts w:cstheme="minorHAnsi"/>
                <w:sz w:val="24"/>
                <w:szCs w:val="24"/>
              </w:rPr>
            </w:pPr>
            <w:r w:rsidRPr="0043547B">
              <w:rPr>
                <w:rFonts w:cstheme="minorHAnsi"/>
                <w:sz w:val="24"/>
                <w:szCs w:val="24"/>
              </w:rPr>
              <w:t>— empêcher toute contamination des fluides par des composés provenant des subjectiles ;</w:t>
            </w:r>
          </w:p>
          <w:p w:rsidR="00D22ACC" w:rsidRDefault="003062E0" w:rsidP="00D22ACC">
            <w:pPr>
              <w:spacing w:after="0" w:line="240" w:lineRule="auto"/>
              <w:jc w:val="both"/>
              <w:rPr>
                <w:rFonts w:cstheme="minorHAnsi"/>
                <w:sz w:val="24"/>
                <w:szCs w:val="24"/>
              </w:rPr>
            </w:pPr>
            <w:r w:rsidRPr="0043547B">
              <w:rPr>
                <w:rFonts w:cstheme="minorHAnsi"/>
                <w:sz w:val="24"/>
                <w:szCs w:val="24"/>
              </w:rPr>
              <w:t>— atteindre une qualité de surface particulière.</w:t>
            </w:r>
          </w:p>
          <w:p w:rsidR="00D22ACC" w:rsidRDefault="003062E0" w:rsidP="00D22ACC">
            <w:pPr>
              <w:spacing w:after="0" w:line="240" w:lineRule="auto"/>
              <w:jc w:val="both"/>
              <w:rPr>
                <w:rFonts w:cstheme="minorHAnsi"/>
                <w:sz w:val="24"/>
                <w:szCs w:val="24"/>
              </w:rPr>
            </w:pPr>
            <w:r w:rsidRPr="0043547B">
              <w:rPr>
                <w:rFonts w:cstheme="minorHAnsi"/>
                <w:sz w:val="24"/>
                <w:szCs w:val="24"/>
              </w:rPr>
              <w:t>Les différents systèmes de revêtements sont les suivants :</w:t>
            </w:r>
          </w:p>
          <w:p w:rsidR="00D22ACC" w:rsidRPr="00D22ACC" w:rsidRDefault="00D22ACC" w:rsidP="00D22ACC">
            <w:pPr>
              <w:spacing w:after="0" w:line="240" w:lineRule="auto"/>
              <w:jc w:val="both"/>
              <w:rPr>
                <w:rFonts w:cstheme="minorHAnsi"/>
                <w:sz w:val="4"/>
                <w:szCs w:val="4"/>
              </w:rPr>
            </w:pPr>
          </w:p>
          <w:p w:rsidR="003062E0" w:rsidRPr="0043547B" w:rsidRDefault="003062E0" w:rsidP="00D22ACC">
            <w:pPr>
              <w:spacing w:after="0" w:line="240" w:lineRule="auto"/>
              <w:rPr>
                <w:rFonts w:cstheme="minorHAnsi"/>
                <w:sz w:val="24"/>
                <w:szCs w:val="24"/>
              </w:rPr>
            </w:pPr>
            <w:r w:rsidRPr="0043547B">
              <w:rPr>
                <w:rFonts w:cstheme="minorHAnsi"/>
                <w:sz w:val="24"/>
                <w:szCs w:val="24"/>
              </w:rPr>
              <w:t>a) imprégnation, joints, revêtements minces (appliqués à la brosse, par pulvérisation ou application au rouleau) ;</w:t>
            </w:r>
            <w:r w:rsidRPr="0043547B">
              <w:rPr>
                <w:rFonts w:cstheme="minorHAnsi"/>
                <w:sz w:val="24"/>
                <w:szCs w:val="24"/>
              </w:rPr>
              <w:br/>
              <w:t>b) revêtements à haut extrait sec (appliqué à la brosse, par pulvérisation, au rouleau, à la truelle ou par coulage (auto-nivelant)) ;</w:t>
            </w:r>
            <w:r w:rsidRPr="0043547B">
              <w:rPr>
                <w:rFonts w:cstheme="minorHAnsi"/>
                <w:sz w:val="24"/>
                <w:szCs w:val="24"/>
              </w:rPr>
              <w:br/>
              <w:t>c) revêtements appliqués au rouleau ;</w:t>
            </w:r>
            <w:r w:rsidRPr="0043547B">
              <w:rPr>
                <w:rFonts w:cstheme="minorHAnsi"/>
                <w:sz w:val="24"/>
                <w:szCs w:val="24"/>
              </w:rPr>
              <w:br/>
              <w:t>d) mortier de résine ;</w:t>
            </w:r>
            <w:r w:rsidRPr="0043547B">
              <w:rPr>
                <w:rFonts w:cstheme="minorHAnsi"/>
                <w:sz w:val="24"/>
                <w:szCs w:val="24"/>
              </w:rPr>
              <w:br/>
              <w:t>e) chape d'étanchéité en asphalte ;</w:t>
            </w:r>
            <w:r w:rsidRPr="0043547B">
              <w:rPr>
                <w:rFonts w:cstheme="minorHAnsi"/>
                <w:sz w:val="24"/>
                <w:szCs w:val="24"/>
              </w:rPr>
              <w:br/>
              <w:t>f) combinaison des revêtements ci-dessus.</w:t>
            </w:r>
            <w:r w:rsidRPr="0043547B">
              <w:rPr>
                <w:rFonts w:cstheme="minorHAnsi"/>
                <w:sz w:val="24"/>
                <w:szCs w:val="24"/>
              </w:rPr>
              <w:br/>
              <w:t>Le Tableau 1 illustre les méthodes de revêtement à utiliser pour les divers types d'éléments en béton.</w:t>
            </w:r>
            <w:r w:rsidRPr="0043547B">
              <w:rPr>
                <w:rFonts w:cstheme="minorHAnsi"/>
                <w:sz w:val="24"/>
                <w:szCs w:val="24"/>
              </w:rPr>
              <w:br/>
              <w:t>La manipulation des matériaux agressifs ou des polluants des eaux comprend :</w:t>
            </w:r>
            <w:r w:rsidRPr="0043547B">
              <w:rPr>
                <w:rFonts w:cstheme="minorHAnsi"/>
                <w:sz w:val="24"/>
                <w:szCs w:val="24"/>
              </w:rPr>
              <w:br/>
              <w:t>1) le stockage ;</w:t>
            </w:r>
            <w:r w:rsidRPr="0043547B">
              <w:rPr>
                <w:rFonts w:cstheme="minorHAnsi"/>
                <w:sz w:val="24"/>
                <w:szCs w:val="24"/>
              </w:rPr>
              <w:br/>
              <w:t>2) la charge ;</w:t>
            </w:r>
            <w:r w:rsidRPr="0043547B">
              <w:rPr>
                <w:rFonts w:cstheme="minorHAnsi"/>
                <w:sz w:val="24"/>
                <w:szCs w:val="24"/>
              </w:rPr>
              <w:br/>
              <w:t>3) le chargement et le déchargement ;</w:t>
            </w:r>
            <w:r w:rsidRPr="0043547B">
              <w:rPr>
                <w:rFonts w:cstheme="minorHAnsi"/>
                <w:sz w:val="24"/>
                <w:szCs w:val="24"/>
              </w:rPr>
              <w:br/>
              <w:t>4) la fabrication ;</w:t>
            </w:r>
            <w:r w:rsidRPr="0043547B">
              <w:rPr>
                <w:rFonts w:cstheme="minorHAnsi"/>
                <w:sz w:val="24"/>
                <w:szCs w:val="24"/>
              </w:rPr>
              <w:br/>
              <w:t>5) le traitement ;</w:t>
            </w:r>
            <w:r w:rsidRPr="0043547B">
              <w:rPr>
                <w:rFonts w:cstheme="minorHAnsi"/>
                <w:sz w:val="24"/>
                <w:szCs w:val="24"/>
              </w:rPr>
              <w:br/>
              <w:t>6) l'utilisation.</w:t>
            </w:r>
          </w:p>
        </w:tc>
      </w:tr>
      <w:tr w:rsidR="0043547B" w:rsidRPr="0043547B" w:rsidTr="00554CF5">
        <w:trPr>
          <w:trHeight w:val="117"/>
          <w:jc w:val="center"/>
        </w:trPr>
        <w:tc>
          <w:tcPr>
            <w:tcW w:w="1843" w:type="dxa"/>
            <w:tcBorders>
              <w:top w:val="single" w:sz="6" w:space="0" w:color="auto"/>
              <w:left w:val="single" w:sz="18" w:space="0" w:color="auto"/>
              <w:bottom w:val="single" w:sz="18" w:space="0" w:color="auto"/>
              <w:right w:val="single" w:sz="4" w:space="0" w:color="auto"/>
            </w:tcBorders>
            <w:shd w:val="clear" w:color="auto" w:fill="C2D69B" w:themeFill="accent3" w:themeFillTint="99"/>
            <w:vAlign w:val="center"/>
          </w:tcPr>
          <w:p w:rsidR="003062E0" w:rsidRPr="006E4B1D" w:rsidRDefault="003062E0" w:rsidP="00D22ACC">
            <w:pPr>
              <w:spacing w:after="0" w:line="240" w:lineRule="auto"/>
              <w:jc w:val="center"/>
              <w:rPr>
                <w:rFonts w:cstheme="minorHAnsi"/>
                <w:b/>
                <w:bCs/>
                <w:sz w:val="24"/>
                <w:szCs w:val="24"/>
              </w:rPr>
            </w:pPr>
            <w:r w:rsidRPr="006E4B1D">
              <w:rPr>
                <w:rFonts w:cstheme="minorHAnsi"/>
                <w:b/>
                <w:bCs/>
                <w:sz w:val="24"/>
                <w:szCs w:val="24"/>
              </w:rPr>
              <w:lastRenderedPageBreak/>
              <w:t>Code :</w:t>
            </w:r>
          </w:p>
        </w:tc>
        <w:tc>
          <w:tcPr>
            <w:tcW w:w="7938" w:type="dxa"/>
            <w:tcBorders>
              <w:top w:val="single" w:sz="6" w:space="0" w:color="auto"/>
              <w:left w:val="single" w:sz="4" w:space="0" w:color="auto"/>
              <w:bottom w:val="single" w:sz="18" w:space="0" w:color="auto"/>
              <w:right w:val="single" w:sz="18" w:space="0" w:color="auto"/>
            </w:tcBorders>
            <w:shd w:val="clear" w:color="auto" w:fill="C2D69B" w:themeFill="accent3" w:themeFillTint="99"/>
            <w:vAlign w:val="center"/>
          </w:tcPr>
          <w:p w:rsidR="003062E0" w:rsidRPr="006E4B1D" w:rsidRDefault="003062E0" w:rsidP="00D22ACC">
            <w:pPr>
              <w:spacing w:after="0" w:line="240" w:lineRule="auto"/>
              <w:jc w:val="center"/>
              <w:rPr>
                <w:rFonts w:cstheme="minorHAnsi"/>
                <w:b/>
                <w:bCs/>
                <w:sz w:val="24"/>
                <w:szCs w:val="24"/>
              </w:rPr>
            </w:pPr>
            <w:r w:rsidRPr="006E4B1D">
              <w:rPr>
                <w:rFonts w:cstheme="minorHAnsi"/>
                <w:b/>
                <w:bCs/>
                <w:sz w:val="24"/>
                <w:szCs w:val="24"/>
              </w:rPr>
              <w:t>NM EN 14879-4</w:t>
            </w:r>
          </w:p>
        </w:tc>
      </w:tr>
      <w:tr w:rsidR="0043547B" w:rsidRPr="0043547B" w:rsidTr="00554CF5">
        <w:trPr>
          <w:trHeight w:val="117"/>
          <w:jc w:val="center"/>
        </w:trPr>
        <w:tc>
          <w:tcPr>
            <w:tcW w:w="1843" w:type="dxa"/>
            <w:tcBorders>
              <w:top w:val="single" w:sz="18" w:space="0" w:color="auto"/>
              <w:left w:val="single" w:sz="18" w:space="0" w:color="auto"/>
              <w:bottom w:val="single" w:sz="4" w:space="0" w:color="auto"/>
              <w:right w:val="single" w:sz="4" w:space="0" w:color="auto"/>
            </w:tcBorders>
            <w:shd w:val="clear" w:color="auto" w:fill="FDFBA9"/>
            <w:vAlign w:val="center"/>
          </w:tcPr>
          <w:p w:rsidR="003062E0" w:rsidRPr="006E4B1D" w:rsidRDefault="003062E0" w:rsidP="00D22ACC">
            <w:pPr>
              <w:spacing w:after="0" w:line="240" w:lineRule="auto"/>
              <w:jc w:val="center"/>
              <w:rPr>
                <w:rFonts w:cstheme="minorHAnsi"/>
                <w:b/>
                <w:bCs/>
                <w:sz w:val="24"/>
                <w:szCs w:val="24"/>
              </w:rPr>
            </w:pPr>
            <w:r w:rsidRPr="006E4B1D">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DFBA9"/>
            <w:vAlign w:val="center"/>
          </w:tcPr>
          <w:p w:rsidR="003062E0" w:rsidRPr="006E4B1D" w:rsidRDefault="003062E0" w:rsidP="00D22ACC">
            <w:pPr>
              <w:spacing w:after="0" w:line="240" w:lineRule="auto"/>
              <w:jc w:val="center"/>
              <w:rPr>
                <w:rFonts w:cstheme="minorHAnsi"/>
                <w:b/>
                <w:bCs/>
                <w:sz w:val="24"/>
                <w:szCs w:val="24"/>
              </w:rPr>
            </w:pPr>
            <w:r w:rsidRPr="006E4B1D">
              <w:rPr>
                <w:rFonts w:cstheme="minorHAnsi"/>
                <w:b/>
                <w:bCs/>
                <w:sz w:val="24"/>
                <w:szCs w:val="24"/>
              </w:rPr>
              <w:t>EN 14879-4</w:t>
            </w:r>
          </w:p>
        </w:tc>
      </w:tr>
      <w:tr w:rsidR="0043547B" w:rsidRPr="0043547B" w:rsidTr="00554CF5">
        <w:trPr>
          <w:trHeight w:val="117"/>
          <w:jc w:val="center"/>
        </w:trPr>
        <w:tc>
          <w:tcPr>
            <w:tcW w:w="1843" w:type="dxa"/>
            <w:tcBorders>
              <w:top w:val="single" w:sz="4" w:space="0" w:color="auto"/>
              <w:left w:val="single" w:sz="18" w:space="0" w:color="auto"/>
              <w:bottom w:val="single" w:sz="4" w:space="0" w:color="auto"/>
              <w:right w:val="single" w:sz="4" w:space="0" w:color="auto"/>
            </w:tcBorders>
            <w:shd w:val="clear" w:color="auto" w:fill="95B3D7" w:themeFill="accent1" w:themeFillTint="99"/>
            <w:vAlign w:val="center"/>
          </w:tcPr>
          <w:p w:rsidR="003062E0" w:rsidRPr="0043547B" w:rsidRDefault="003062E0" w:rsidP="00D22ACC">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3062E0" w:rsidRPr="0043547B" w:rsidRDefault="003062E0" w:rsidP="00D22ACC">
            <w:pPr>
              <w:spacing w:after="0" w:line="240" w:lineRule="auto"/>
              <w:rPr>
                <w:rFonts w:cstheme="minorHAnsi"/>
                <w:sz w:val="24"/>
                <w:szCs w:val="24"/>
              </w:rPr>
            </w:pPr>
            <w:r w:rsidRPr="0043547B">
              <w:rPr>
                <w:rFonts w:cstheme="minorHAnsi"/>
                <w:sz w:val="24"/>
                <w:szCs w:val="24"/>
              </w:rPr>
              <w:t>Systèmes de revêtements organiques de peinture et autres revêtements rapportés pour la protection des appareils et installations industriels contre la corrosion par des milieux agressifs - Partie 4 : revêtements rapportés sur composants métalliques ; (IC 03.3.428)</w:t>
            </w:r>
          </w:p>
        </w:tc>
      </w:tr>
      <w:tr w:rsidR="0043547B" w:rsidRPr="0043547B" w:rsidTr="00554CF5">
        <w:trPr>
          <w:trHeight w:val="117"/>
          <w:jc w:val="center"/>
        </w:trPr>
        <w:tc>
          <w:tcPr>
            <w:tcW w:w="1843" w:type="dxa"/>
            <w:tcBorders>
              <w:top w:val="single" w:sz="4" w:space="0" w:color="auto"/>
              <w:left w:val="single" w:sz="18" w:space="0" w:color="auto"/>
              <w:bottom w:val="single" w:sz="18" w:space="0" w:color="auto"/>
              <w:right w:val="single" w:sz="4" w:space="0" w:color="auto"/>
            </w:tcBorders>
            <w:shd w:val="clear" w:color="auto" w:fill="D9D9D9" w:themeFill="background1" w:themeFillShade="D9"/>
            <w:vAlign w:val="center"/>
          </w:tcPr>
          <w:p w:rsidR="003062E0" w:rsidRPr="0043547B" w:rsidRDefault="003062E0" w:rsidP="00D22ACC">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FFFFFF" w:themeFill="background1"/>
          </w:tcPr>
          <w:p w:rsidR="00D22ACC" w:rsidRDefault="003062E0" w:rsidP="00D22ACC">
            <w:pPr>
              <w:spacing w:after="0" w:line="240" w:lineRule="auto"/>
              <w:jc w:val="both"/>
              <w:rPr>
                <w:rFonts w:cstheme="minorHAnsi"/>
                <w:sz w:val="24"/>
                <w:szCs w:val="24"/>
              </w:rPr>
            </w:pPr>
            <w:r w:rsidRPr="0043547B">
              <w:rPr>
                <w:rFonts w:cstheme="minorHAnsi"/>
                <w:sz w:val="24"/>
                <w:szCs w:val="24"/>
              </w:rPr>
              <w:t>Le présent document décrit les exigences et méthodes d’essai pour revêtements rapportés organiques appliqués sur des équipements métalliques de l’industrie, entrant au contact de substances chimiques. Les exigences spécifiées dans la présente norme peuvent être utilisées aux fins de contrôle qualité notamment, comme convenu entre les parties contractantes 1).</w:t>
            </w:r>
          </w:p>
          <w:p w:rsidR="00D22ACC" w:rsidRDefault="003062E0" w:rsidP="00D22ACC">
            <w:pPr>
              <w:spacing w:after="0" w:line="240" w:lineRule="auto"/>
              <w:jc w:val="both"/>
              <w:rPr>
                <w:rFonts w:cstheme="minorHAnsi"/>
                <w:sz w:val="24"/>
                <w:szCs w:val="24"/>
              </w:rPr>
            </w:pPr>
            <w:r w:rsidRPr="0043547B">
              <w:rPr>
                <w:rFonts w:cstheme="minorHAnsi"/>
                <w:sz w:val="24"/>
                <w:szCs w:val="24"/>
              </w:rPr>
              <w:t>La présente norme est applicable aux revêtements rapportés destinés à l’un au moins des usages suivants :</w:t>
            </w:r>
          </w:p>
          <w:p w:rsidR="00D22ACC" w:rsidRDefault="003062E0" w:rsidP="00D22ACC">
            <w:pPr>
              <w:spacing w:after="0" w:line="240" w:lineRule="auto"/>
              <w:jc w:val="both"/>
              <w:rPr>
                <w:rFonts w:cstheme="minorHAnsi"/>
                <w:sz w:val="24"/>
                <w:szCs w:val="24"/>
              </w:rPr>
            </w:pPr>
            <w:r w:rsidRPr="0043547B">
              <w:rPr>
                <w:rFonts w:cstheme="minorHAnsi"/>
                <w:sz w:val="24"/>
                <w:szCs w:val="24"/>
              </w:rPr>
              <w:t>— protéger le composant contre les effets néfastes des substances corrosives ;</w:t>
            </w:r>
          </w:p>
          <w:p w:rsidR="00D22ACC" w:rsidRDefault="003062E0" w:rsidP="00D22ACC">
            <w:pPr>
              <w:spacing w:after="0" w:line="240" w:lineRule="auto"/>
              <w:jc w:val="both"/>
              <w:rPr>
                <w:rFonts w:cstheme="minorHAnsi"/>
                <w:sz w:val="24"/>
                <w:szCs w:val="24"/>
              </w:rPr>
            </w:pPr>
            <w:r w:rsidRPr="0043547B">
              <w:rPr>
                <w:rFonts w:cstheme="minorHAnsi"/>
                <w:sz w:val="24"/>
                <w:szCs w:val="24"/>
              </w:rPr>
              <w:t>— protéger les eaux (par exemple, les nappes phréatiques) des substances dangereuses ;</w:t>
            </w:r>
          </w:p>
          <w:p w:rsidR="00D22ACC" w:rsidRDefault="003062E0" w:rsidP="00D22ACC">
            <w:pPr>
              <w:spacing w:after="0" w:line="240" w:lineRule="auto"/>
              <w:jc w:val="both"/>
              <w:rPr>
                <w:rFonts w:cstheme="minorHAnsi"/>
                <w:sz w:val="24"/>
                <w:szCs w:val="24"/>
              </w:rPr>
            </w:pPr>
            <w:r w:rsidRPr="0043547B">
              <w:rPr>
                <w:rFonts w:cstheme="minorHAnsi"/>
                <w:sz w:val="24"/>
                <w:szCs w:val="24"/>
              </w:rPr>
              <w:t>— protéger le contenu de l’appareil contre la contamination par des composants provenant des matériaux du subjectile ;</w:t>
            </w:r>
          </w:p>
          <w:p w:rsidR="00D22ACC" w:rsidRDefault="003062E0" w:rsidP="00D22ACC">
            <w:pPr>
              <w:spacing w:after="0" w:line="240" w:lineRule="auto"/>
              <w:jc w:val="both"/>
              <w:rPr>
                <w:rFonts w:cstheme="minorHAnsi"/>
                <w:sz w:val="24"/>
                <w:szCs w:val="24"/>
              </w:rPr>
            </w:pPr>
            <w:r w:rsidRPr="0043547B">
              <w:rPr>
                <w:rFonts w:cstheme="minorHAnsi"/>
                <w:sz w:val="24"/>
                <w:szCs w:val="24"/>
              </w:rPr>
              <w:t>— obtenir une qualité de surface spécifique.</w:t>
            </w:r>
          </w:p>
          <w:p w:rsidR="00D22ACC" w:rsidRDefault="003062E0" w:rsidP="00D22ACC">
            <w:pPr>
              <w:spacing w:after="0" w:line="240" w:lineRule="auto"/>
              <w:jc w:val="both"/>
              <w:rPr>
                <w:rFonts w:cstheme="minorHAnsi"/>
                <w:sz w:val="24"/>
                <w:szCs w:val="24"/>
              </w:rPr>
            </w:pPr>
            <w:r w:rsidRPr="0043547B">
              <w:rPr>
                <w:rFonts w:cstheme="minorHAnsi"/>
                <w:sz w:val="24"/>
                <w:szCs w:val="24"/>
              </w:rPr>
              <w:lastRenderedPageBreak/>
              <w:t>La présente norme est applicable aux récipients, appareils, éléments de tuyauterie et autres composants d’installations industrielles constituant des subjectiles métalliques entrant en contact de milieux et dotés d’une protection de surface composée de :</w:t>
            </w:r>
          </w:p>
          <w:p w:rsidR="00D22ACC" w:rsidRDefault="003062E0" w:rsidP="00D22ACC">
            <w:pPr>
              <w:spacing w:after="0" w:line="240" w:lineRule="auto"/>
              <w:jc w:val="both"/>
              <w:rPr>
                <w:rFonts w:cstheme="minorHAnsi"/>
                <w:sz w:val="24"/>
                <w:szCs w:val="24"/>
              </w:rPr>
            </w:pPr>
            <w:r w:rsidRPr="0043547B">
              <w:rPr>
                <w:rFonts w:cstheme="minorHAnsi"/>
                <w:sz w:val="24"/>
                <w:szCs w:val="24"/>
              </w:rPr>
              <w:t>a) revêtement de caoutchouc naturel ou synthétique préfabriqué (dénommé ci-après revêtement rapporté de caoutchouc), à appliquer en atelier ou sur site ;</w:t>
            </w:r>
          </w:p>
          <w:p w:rsidR="00D22ACC" w:rsidRDefault="003062E0" w:rsidP="00D22ACC">
            <w:pPr>
              <w:spacing w:after="0" w:line="240" w:lineRule="auto"/>
              <w:jc w:val="both"/>
              <w:rPr>
                <w:rFonts w:cstheme="minorHAnsi"/>
                <w:sz w:val="24"/>
                <w:szCs w:val="24"/>
              </w:rPr>
            </w:pPr>
            <w:r w:rsidRPr="0043547B">
              <w:rPr>
                <w:rFonts w:cstheme="minorHAnsi"/>
                <w:sz w:val="24"/>
                <w:szCs w:val="24"/>
              </w:rPr>
              <w:t>b) revêtement préfabriqué à base de résines phénol-formaldéhyde ou époxy (dénommé ci-après revêtement rapporté thermodurcissable), à appliquer uniquement en atelier ;</w:t>
            </w:r>
          </w:p>
          <w:p w:rsidR="00D22ACC" w:rsidRDefault="003062E0" w:rsidP="00D22ACC">
            <w:pPr>
              <w:spacing w:after="0" w:line="240" w:lineRule="auto"/>
              <w:jc w:val="both"/>
              <w:rPr>
                <w:rFonts w:cstheme="minorHAnsi"/>
                <w:sz w:val="24"/>
                <w:szCs w:val="24"/>
              </w:rPr>
            </w:pPr>
            <w:r w:rsidRPr="0043547B">
              <w:rPr>
                <w:rFonts w:cstheme="minorHAnsi"/>
                <w:sz w:val="24"/>
                <w:szCs w:val="24"/>
              </w:rPr>
              <w:t>c) produits thermoplastiques préfabriqués (feuilles, revêtement, plaques, tuyaux, par exemple) (dénommés ci-après revêtement rapporté thermoplastique), applicables en atelier ou sur site.</w:t>
            </w:r>
          </w:p>
          <w:p w:rsidR="00D22ACC" w:rsidRDefault="003062E0" w:rsidP="00D22ACC">
            <w:pPr>
              <w:spacing w:after="0" w:line="240" w:lineRule="auto"/>
              <w:jc w:val="both"/>
              <w:rPr>
                <w:rFonts w:cstheme="minorHAnsi"/>
                <w:sz w:val="24"/>
                <w:szCs w:val="24"/>
              </w:rPr>
            </w:pPr>
            <w:r w:rsidRPr="0043547B">
              <w:rPr>
                <w:rFonts w:cstheme="minorHAnsi"/>
                <w:sz w:val="24"/>
                <w:szCs w:val="24"/>
              </w:rPr>
              <w:t>La présente norme spécifie les exigences, l’inspection de réception, l’emballage, le transport, le stockage et l’installation des revêtements rapportés organiques pour les matériaux métalliques.</w:t>
            </w:r>
          </w:p>
          <w:p w:rsidR="003062E0" w:rsidRPr="0043547B" w:rsidRDefault="003062E0" w:rsidP="00D22ACC">
            <w:pPr>
              <w:spacing w:after="0" w:line="240" w:lineRule="auto"/>
              <w:jc w:val="both"/>
              <w:rPr>
                <w:rFonts w:cstheme="minorHAnsi"/>
                <w:sz w:val="24"/>
                <w:szCs w:val="24"/>
              </w:rPr>
            </w:pPr>
            <w:r w:rsidRPr="0043547B">
              <w:rPr>
                <w:rFonts w:cstheme="minorHAnsi"/>
                <w:sz w:val="24"/>
                <w:szCs w:val="24"/>
              </w:rPr>
              <w:t>Les essais décrits dans la présente norme ont pour objet la vérification de l’aptitude des revêtements à être utilisés comme revêtements rapportés et l’inspection de réception des produits pendant et après l’application du revêtement rapporté ou dans le cadre de contrôles de routine menés pour déterminer tout changement intervenu dans le revêtement rapporté lors de son utilisation.</w:t>
            </w:r>
          </w:p>
        </w:tc>
      </w:tr>
      <w:tr w:rsidR="0043547B" w:rsidRPr="0043547B" w:rsidTr="00554CF5">
        <w:trPr>
          <w:trHeight w:val="117"/>
          <w:jc w:val="center"/>
        </w:trPr>
        <w:tc>
          <w:tcPr>
            <w:tcW w:w="1843" w:type="dxa"/>
            <w:tcBorders>
              <w:top w:val="single" w:sz="6" w:space="0" w:color="auto"/>
              <w:left w:val="single" w:sz="18" w:space="0" w:color="auto"/>
              <w:bottom w:val="single" w:sz="18" w:space="0" w:color="auto"/>
              <w:right w:val="single" w:sz="4" w:space="0" w:color="auto"/>
            </w:tcBorders>
            <w:shd w:val="clear" w:color="auto" w:fill="C2D69B" w:themeFill="accent3" w:themeFillTint="99"/>
            <w:vAlign w:val="center"/>
          </w:tcPr>
          <w:p w:rsidR="003062E0" w:rsidRPr="006E4B1D" w:rsidRDefault="003062E0" w:rsidP="008D196D">
            <w:pPr>
              <w:spacing w:after="0" w:line="240" w:lineRule="auto"/>
              <w:jc w:val="center"/>
              <w:rPr>
                <w:rFonts w:cstheme="minorHAnsi"/>
                <w:b/>
                <w:bCs/>
                <w:sz w:val="24"/>
                <w:szCs w:val="24"/>
              </w:rPr>
            </w:pPr>
            <w:r w:rsidRPr="006E4B1D">
              <w:rPr>
                <w:rFonts w:cstheme="minorHAnsi"/>
                <w:b/>
                <w:bCs/>
                <w:sz w:val="24"/>
                <w:szCs w:val="24"/>
              </w:rPr>
              <w:lastRenderedPageBreak/>
              <w:t>Code :</w:t>
            </w:r>
          </w:p>
        </w:tc>
        <w:tc>
          <w:tcPr>
            <w:tcW w:w="7938" w:type="dxa"/>
            <w:tcBorders>
              <w:top w:val="single" w:sz="6" w:space="0" w:color="auto"/>
              <w:left w:val="single" w:sz="4" w:space="0" w:color="auto"/>
              <w:bottom w:val="single" w:sz="18" w:space="0" w:color="auto"/>
              <w:right w:val="single" w:sz="18" w:space="0" w:color="auto"/>
            </w:tcBorders>
            <w:shd w:val="clear" w:color="auto" w:fill="C2D69B" w:themeFill="accent3" w:themeFillTint="99"/>
            <w:vAlign w:val="center"/>
          </w:tcPr>
          <w:p w:rsidR="003062E0" w:rsidRPr="006E4B1D" w:rsidRDefault="003062E0" w:rsidP="008D196D">
            <w:pPr>
              <w:spacing w:after="0" w:line="240" w:lineRule="auto"/>
              <w:jc w:val="center"/>
              <w:rPr>
                <w:rFonts w:cstheme="minorHAnsi"/>
                <w:b/>
                <w:bCs/>
                <w:sz w:val="24"/>
                <w:szCs w:val="24"/>
              </w:rPr>
            </w:pPr>
            <w:r w:rsidRPr="006E4B1D">
              <w:rPr>
                <w:rFonts w:cstheme="minorHAnsi"/>
                <w:b/>
                <w:bCs/>
                <w:sz w:val="24"/>
                <w:szCs w:val="24"/>
              </w:rPr>
              <w:t>NM EN 14879-5</w:t>
            </w:r>
          </w:p>
        </w:tc>
      </w:tr>
      <w:tr w:rsidR="0043547B" w:rsidRPr="0043547B" w:rsidTr="008D196D">
        <w:trPr>
          <w:trHeight w:val="117"/>
          <w:jc w:val="center"/>
        </w:trPr>
        <w:tc>
          <w:tcPr>
            <w:tcW w:w="1843" w:type="dxa"/>
            <w:tcBorders>
              <w:top w:val="single" w:sz="18" w:space="0" w:color="auto"/>
              <w:left w:val="single" w:sz="18" w:space="0" w:color="auto"/>
              <w:bottom w:val="single" w:sz="4" w:space="0" w:color="auto"/>
              <w:right w:val="single" w:sz="4" w:space="0" w:color="auto"/>
            </w:tcBorders>
            <w:shd w:val="clear" w:color="auto" w:fill="FDFBA9"/>
            <w:vAlign w:val="center"/>
          </w:tcPr>
          <w:p w:rsidR="003062E0" w:rsidRPr="006E4B1D" w:rsidRDefault="003062E0" w:rsidP="008D196D">
            <w:pPr>
              <w:spacing w:after="0" w:line="240" w:lineRule="auto"/>
              <w:jc w:val="center"/>
              <w:rPr>
                <w:rFonts w:cstheme="minorHAnsi"/>
                <w:b/>
                <w:bCs/>
                <w:sz w:val="24"/>
                <w:szCs w:val="24"/>
              </w:rPr>
            </w:pPr>
            <w:r w:rsidRPr="006E4B1D">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DFBA9"/>
            <w:vAlign w:val="center"/>
          </w:tcPr>
          <w:p w:rsidR="003062E0" w:rsidRPr="006E4B1D" w:rsidRDefault="003062E0" w:rsidP="008D196D">
            <w:pPr>
              <w:spacing w:after="0" w:line="240" w:lineRule="auto"/>
              <w:jc w:val="center"/>
              <w:rPr>
                <w:rFonts w:cstheme="minorHAnsi"/>
                <w:b/>
                <w:bCs/>
                <w:sz w:val="24"/>
                <w:szCs w:val="24"/>
              </w:rPr>
            </w:pPr>
            <w:r w:rsidRPr="006E4B1D">
              <w:rPr>
                <w:rFonts w:cstheme="minorHAnsi"/>
                <w:b/>
                <w:bCs/>
                <w:sz w:val="24"/>
                <w:szCs w:val="24"/>
              </w:rPr>
              <w:t>EN 14879-5</w:t>
            </w:r>
          </w:p>
        </w:tc>
      </w:tr>
      <w:tr w:rsidR="0043547B" w:rsidRPr="0043547B" w:rsidTr="008D196D">
        <w:trPr>
          <w:trHeight w:val="117"/>
          <w:jc w:val="center"/>
        </w:trPr>
        <w:tc>
          <w:tcPr>
            <w:tcW w:w="1843" w:type="dxa"/>
            <w:tcBorders>
              <w:top w:val="single" w:sz="4" w:space="0" w:color="auto"/>
              <w:left w:val="single" w:sz="18" w:space="0" w:color="auto"/>
              <w:bottom w:val="single" w:sz="4" w:space="0" w:color="auto"/>
              <w:right w:val="single" w:sz="4" w:space="0" w:color="auto"/>
            </w:tcBorders>
            <w:shd w:val="clear" w:color="auto" w:fill="95B3D7" w:themeFill="accent1" w:themeFillTint="99"/>
            <w:vAlign w:val="center"/>
          </w:tcPr>
          <w:p w:rsidR="003062E0" w:rsidRPr="0043547B" w:rsidRDefault="003062E0" w:rsidP="008D196D">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3062E0" w:rsidRPr="0043547B" w:rsidRDefault="003062E0" w:rsidP="008D196D">
            <w:pPr>
              <w:spacing w:after="0" w:line="240" w:lineRule="auto"/>
              <w:rPr>
                <w:rFonts w:cstheme="minorHAnsi"/>
                <w:sz w:val="24"/>
                <w:szCs w:val="24"/>
              </w:rPr>
            </w:pPr>
            <w:r w:rsidRPr="0043547B">
              <w:rPr>
                <w:rFonts w:cstheme="minorHAnsi"/>
                <w:sz w:val="24"/>
                <w:szCs w:val="24"/>
              </w:rPr>
              <w:t>Systèmes de revêtements organiques de peinture et autres revêtements rapportés pour la protection des appareils et installations industriels contre la corrosion par des milieux agressifs - Partie 5 : revêtements rapportés sur composant en béton ; (IC 03.3.429)</w:t>
            </w:r>
          </w:p>
        </w:tc>
      </w:tr>
      <w:tr w:rsidR="0043547B" w:rsidRPr="0043547B" w:rsidTr="00554CF5">
        <w:trPr>
          <w:trHeight w:val="117"/>
          <w:jc w:val="center"/>
        </w:trPr>
        <w:tc>
          <w:tcPr>
            <w:tcW w:w="1843" w:type="dxa"/>
            <w:tcBorders>
              <w:top w:val="single" w:sz="4" w:space="0" w:color="auto"/>
              <w:left w:val="single" w:sz="18" w:space="0" w:color="auto"/>
              <w:bottom w:val="single" w:sz="18" w:space="0" w:color="auto"/>
              <w:right w:val="single" w:sz="4" w:space="0" w:color="auto"/>
            </w:tcBorders>
            <w:shd w:val="clear" w:color="auto" w:fill="D9D9D9" w:themeFill="background1" w:themeFillShade="D9"/>
            <w:vAlign w:val="center"/>
          </w:tcPr>
          <w:p w:rsidR="003062E0" w:rsidRPr="0043547B" w:rsidRDefault="003062E0" w:rsidP="008D196D">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FFFFFF" w:themeFill="background1"/>
          </w:tcPr>
          <w:p w:rsidR="008D196D" w:rsidRDefault="003062E0" w:rsidP="008D196D">
            <w:pPr>
              <w:spacing w:after="0" w:line="240" w:lineRule="auto"/>
              <w:jc w:val="both"/>
              <w:rPr>
                <w:rFonts w:cstheme="minorHAnsi"/>
                <w:sz w:val="24"/>
                <w:szCs w:val="24"/>
              </w:rPr>
            </w:pPr>
            <w:r w:rsidRPr="0043547B">
              <w:rPr>
                <w:rFonts w:cstheme="minorHAnsi"/>
                <w:sz w:val="24"/>
                <w:szCs w:val="24"/>
              </w:rPr>
              <w:t>Le présent document décrit les exigences et méthodes en matière d’essai des revêtements rapportés organiques appliqués aux équipements d'ingénierie en béton, entrant au contact de substances chimiques (liquides, solides et gazeuses). Les exigences spécifiées dans la présente norme pourront être utilisées à des fins de contrôle qualité (comme convenu entre des contractants, par exemple).</w:t>
            </w:r>
          </w:p>
          <w:p w:rsidR="008D196D" w:rsidRDefault="003062E0" w:rsidP="008D196D">
            <w:pPr>
              <w:spacing w:after="0" w:line="240" w:lineRule="auto"/>
              <w:jc w:val="both"/>
              <w:rPr>
                <w:rFonts w:cstheme="minorHAnsi"/>
                <w:sz w:val="24"/>
                <w:szCs w:val="24"/>
              </w:rPr>
            </w:pPr>
            <w:r w:rsidRPr="0043547B">
              <w:rPr>
                <w:rFonts w:cstheme="minorHAnsi"/>
                <w:sz w:val="24"/>
                <w:szCs w:val="24"/>
              </w:rPr>
              <w:t>La présente norme est applicable aux revêtements rapportés destinés à l’un au moins des usages suivants :</w:t>
            </w:r>
          </w:p>
          <w:p w:rsidR="008D196D" w:rsidRDefault="003062E0" w:rsidP="008D196D">
            <w:pPr>
              <w:spacing w:after="0" w:line="240" w:lineRule="auto"/>
              <w:jc w:val="both"/>
              <w:rPr>
                <w:rFonts w:cstheme="minorHAnsi"/>
                <w:sz w:val="24"/>
                <w:szCs w:val="24"/>
              </w:rPr>
            </w:pPr>
            <w:r w:rsidRPr="0043547B">
              <w:rPr>
                <w:rFonts w:cstheme="minorHAnsi"/>
                <w:sz w:val="24"/>
                <w:szCs w:val="24"/>
              </w:rPr>
              <w:t>— protéger le composant des effets néfastes des substances agressives ;</w:t>
            </w:r>
          </w:p>
          <w:p w:rsidR="008D196D" w:rsidRDefault="003062E0" w:rsidP="008D196D">
            <w:pPr>
              <w:spacing w:after="0" w:line="240" w:lineRule="auto"/>
              <w:jc w:val="both"/>
              <w:rPr>
                <w:rFonts w:cstheme="minorHAnsi"/>
                <w:sz w:val="24"/>
                <w:szCs w:val="24"/>
              </w:rPr>
            </w:pPr>
            <w:r w:rsidRPr="0043547B">
              <w:rPr>
                <w:rFonts w:cstheme="minorHAnsi"/>
                <w:sz w:val="24"/>
                <w:szCs w:val="24"/>
              </w:rPr>
              <w:t>— protéger les eaux (les nappes phréatiques, par exemple) des substances nocives ;</w:t>
            </w:r>
          </w:p>
          <w:p w:rsidR="008D196D" w:rsidRDefault="003062E0" w:rsidP="008D196D">
            <w:pPr>
              <w:spacing w:after="0" w:line="240" w:lineRule="auto"/>
              <w:jc w:val="both"/>
              <w:rPr>
                <w:rFonts w:cstheme="minorHAnsi"/>
                <w:sz w:val="24"/>
                <w:szCs w:val="24"/>
              </w:rPr>
            </w:pPr>
            <w:r w:rsidRPr="0043547B">
              <w:rPr>
                <w:rFonts w:cstheme="minorHAnsi"/>
                <w:sz w:val="24"/>
                <w:szCs w:val="24"/>
              </w:rPr>
              <w:t>— protéger le contenu de l’appareil contre la contamination par des composants provenant des matériaux du subjectile ;</w:t>
            </w:r>
          </w:p>
          <w:p w:rsidR="008D196D" w:rsidRDefault="003062E0" w:rsidP="008D196D">
            <w:pPr>
              <w:spacing w:after="0" w:line="240" w:lineRule="auto"/>
              <w:jc w:val="both"/>
              <w:rPr>
                <w:rFonts w:cstheme="minorHAnsi"/>
                <w:sz w:val="24"/>
                <w:szCs w:val="24"/>
              </w:rPr>
            </w:pPr>
            <w:r w:rsidRPr="0043547B">
              <w:rPr>
                <w:rFonts w:cstheme="minorHAnsi"/>
                <w:sz w:val="24"/>
                <w:szCs w:val="24"/>
              </w:rPr>
              <w:t>— obtenir une qualité de surface spécifique.</w:t>
            </w:r>
          </w:p>
          <w:p w:rsidR="008D196D" w:rsidRDefault="003062E0" w:rsidP="008D196D">
            <w:pPr>
              <w:spacing w:after="0" w:line="240" w:lineRule="auto"/>
              <w:jc w:val="both"/>
              <w:rPr>
                <w:rFonts w:cstheme="minorHAnsi"/>
                <w:sz w:val="24"/>
                <w:szCs w:val="24"/>
              </w:rPr>
            </w:pPr>
            <w:r w:rsidRPr="0043547B">
              <w:rPr>
                <w:rFonts w:cstheme="minorHAnsi"/>
                <w:sz w:val="24"/>
                <w:szCs w:val="24"/>
              </w:rPr>
              <w:t>Les différents systèmes de revêtements rapportés sont les suivants :</w:t>
            </w:r>
          </w:p>
          <w:p w:rsidR="008D196D" w:rsidRPr="008D196D" w:rsidRDefault="008D196D" w:rsidP="008D196D">
            <w:pPr>
              <w:spacing w:after="0" w:line="240" w:lineRule="auto"/>
              <w:jc w:val="both"/>
              <w:rPr>
                <w:rFonts w:cstheme="minorHAnsi"/>
                <w:sz w:val="2"/>
                <w:szCs w:val="2"/>
              </w:rPr>
            </w:pPr>
          </w:p>
          <w:p w:rsidR="003062E0" w:rsidRPr="0043547B" w:rsidRDefault="003062E0" w:rsidP="008D196D">
            <w:pPr>
              <w:spacing w:after="0" w:line="240" w:lineRule="auto"/>
              <w:rPr>
                <w:rFonts w:cstheme="minorHAnsi"/>
                <w:sz w:val="24"/>
                <w:szCs w:val="24"/>
              </w:rPr>
            </w:pPr>
            <w:r w:rsidRPr="0043547B">
              <w:rPr>
                <w:rFonts w:cstheme="minorHAnsi"/>
                <w:sz w:val="24"/>
                <w:szCs w:val="24"/>
              </w:rPr>
              <w:t>a) revêtements collés ;</w:t>
            </w:r>
            <w:r w:rsidRPr="0043547B">
              <w:rPr>
                <w:rFonts w:cstheme="minorHAnsi"/>
                <w:sz w:val="24"/>
                <w:szCs w:val="24"/>
              </w:rPr>
              <w:br/>
              <w:t>b) revêtements à fixation mécanique ;</w:t>
            </w:r>
            <w:r w:rsidRPr="0043547B">
              <w:rPr>
                <w:rFonts w:cstheme="minorHAnsi"/>
                <w:sz w:val="24"/>
                <w:szCs w:val="24"/>
              </w:rPr>
              <w:br/>
              <w:t>c) revêtements rapportés non adhérents au moyen de plaques ;</w:t>
            </w:r>
            <w:r w:rsidRPr="0043547B">
              <w:rPr>
                <w:rFonts w:cstheme="minorHAnsi"/>
                <w:sz w:val="24"/>
                <w:szCs w:val="24"/>
              </w:rPr>
              <w:br/>
              <w:t>d) revêtements rapportés non adhérents de pièces préfabriquées ou unités de revêtements rapportés.</w:t>
            </w:r>
            <w:r w:rsidRPr="0043547B">
              <w:rPr>
                <w:rFonts w:cstheme="minorHAnsi"/>
                <w:sz w:val="24"/>
                <w:szCs w:val="24"/>
              </w:rPr>
              <w:br/>
              <w:t>Le traitement des matériaux corrosifs ou polluants pour l’eau implique les opérations suivantes :</w:t>
            </w:r>
            <w:r w:rsidRPr="0043547B">
              <w:rPr>
                <w:rFonts w:cstheme="minorHAnsi"/>
                <w:sz w:val="24"/>
                <w:szCs w:val="24"/>
              </w:rPr>
              <w:br/>
            </w:r>
            <w:r w:rsidRPr="0043547B">
              <w:rPr>
                <w:rFonts w:cstheme="minorHAnsi"/>
                <w:sz w:val="24"/>
                <w:szCs w:val="24"/>
              </w:rPr>
              <w:lastRenderedPageBreak/>
              <w:t>e) stockage ;</w:t>
            </w:r>
            <w:r w:rsidRPr="0043547B">
              <w:rPr>
                <w:rFonts w:cstheme="minorHAnsi"/>
                <w:sz w:val="24"/>
                <w:szCs w:val="24"/>
              </w:rPr>
              <w:br/>
              <w:t>f) remplissage ;</w:t>
            </w:r>
            <w:r w:rsidRPr="0043547B">
              <w:rPr>
                <w:rFonts w:cstheme="minorHAnsi"/>
                <w:sz w:val="24"/>
                <w:szCs w:val="24"/>
              </w:rPr>
              <w:br/>
              <w:t>g) chargement et déchargement ;</w:t>
            </w:r>
            <w:r w:rsidRPr="0043547B">
              <w:rPr>
                <w:rFonts w:cstheme="minorHAnsi"/>
                <w:sz w:val="24"/>
                <w:szCs w:val="24"/>
              </w:rPr>
              <w:br/>
              <w:t>h) production ;</w:t>
            </w:r>
            <w:r w:rsidRPr="0043547B">
              <w:rPr>
                <w:rFonts w:cstheme="minorHAnsi"/>
                <w:sz w:val="24"/>
                <w:szCs w:val="24"/>
              </w:rPr>
              <w:br/>
              <w:t>i) traitement ;</w:t>
            </w:r>
            <w:r w:rsidRPr="0043547B">
              <w:rPr>
                <w:rFonts w:cstheme="minorHAnsi"/>
                <w:sz w:val="24"/>
                <w:szCs w:val="24"/>
              </w:rPr>
              <w:br/>
              <w:t>j) utilisation.</w:t>
            </w:r>
          </w:p>
        </w:tc>
      </w:tr>
      <w:tr w:rsidR="0043547B" w:rsidRPr="0043547B" w:rsidTr="00554CF5">
        <w:trPr>
          <w:trHeight w:val="117"/>
          <w:jc w:val="center"/>
        </w:trPr>
        <w:tc>
          <w:tcPr>
            <w:tcW w:w="1843" w:type="dxa"/>
            <w:tcBorders>
              <w:top w:val="single" w:sz="6" w:space="0" w:color="auto"/>
              <w:left w:val="single" w:sz="18" w:space="0" w:color="auto"/>
              <w:bottom w:val="single" w:sz="18" w:space="0" w:color="auto"/>
              <w:right w:val="single" w:sz="4" w:space="0" w:color="auto"/>
            </w:tcBorders>
            <w:shd w:val="clear" w:color="auto" w:fill="C2D69B" w:themeFill="accent3" w:themeFillTint="99"/>
            <w:vAlign w:val="center"/>
          </w:tcPr>
          <w:p w:rsidR="003062E0" w:rsidRPr="006E4B1D" w:rsidRDefault="003062E0" w:rsidP="008D196D">
            <w:pPr>
              <w:spacing w:after="0" w:line="240" w:lineRule="auto"/>
              <w:jc w:val="center"/>
              <w:rPr>
                <w:rFonts w:cstheme="minorHAnsi"/>
                <w:b/>
                <w:bCs/>
                <w:sz w:val="24"/>
                <w:szCs w:val="24"/>
              </w:rPr>
            </w:pPr>
            <w:r w:rsidRPr="006E4B1D">
              <w:rPr>
                <w:rFonts w:cstheme="minorHAnsi"/>
                <w:b/>
                <w:bCs/>
                <w:sz w:val="24"/>
                <w:szCs w:val="24"/>
              </w:rPr>
              <w:lastRenderedPageBreak/>
              <w:t>Code :</w:t>
            </w:r>
          </w:p>
        </w:tc>
        <w:tc>
          <w:tcPr>
            <w:tcW w:w="7938" w:type="dxa"/>
            <w:tcBorders>
              <w:top w:val="single" w:sz="6" w:space="0" w:color="auto"/>
              <w:left w:val="single" w:sz="4" w:space="0" w:color="auto"/>
              <w:bottom w:val="single" w:sz="18" w:space="0" w:color="auto"/>
              <w:right w:val="single" w:sz="18" w:space="0" w:color="auto"/>
            </w:tcBorders>
            <w:shd w:val="clear" w:color="auto" w:fill="C2D69B" w:themeFill="accent3" w:themeFillTint="99"/>
            <w:vAlign w:val="center"/>
          </w:tcPr>
          <w:p w:rsidR="003062E0" w:rsidRPr="006E4B1D" w:rsidRDefault="003062E0" w:rsidP="008D196D">
            <w:pPr>
              <w:spacing w:after="0" w:line="240" w:lineRule="auto"/>
              <w:jc w:val="center"/>
              <w:rPr>
                <w:rFonts w:cstheme="minorHAnsi"/>
                <w:b/>
                <w:bCs/>
                <w:sz w:val="24"/>
                <w:szCs w:val="24"/>
              </w:rPr>
            </w:pPr>
            <w:r w:rsidRPr="006E4B1D">
              <w:rPr>
                <w:rFonts w:cstheme="minorHAnsi"/>
                <w:b/>
                <w:bCs/>
                <w:sz w:val="24"/>
                <w:szCs w:val="24"/>
              </w:rPr>
              <w:t>NM EN 14879-6</w:t>
            </w:r>
          </w:p>
        </w:tc>
      </w:tr>
      <w:tr w:rsidR="0043547B" w:rsidRPr="0043547B" w:rsidTr="00554CF5">
        <w:trPr>
          <w:trHeight w:val="117"/>
          <w:jc w:val="center"/>
        </w:trPr>
        <w:tc>
          <w:tcPr>
            <w:tcW w:w="1843" w:type="dxa"/>
            <w:tcBorders>
              <w:top w:val="single" w:sz="18" w:space="0" w:color="auto"/>
              <w:left w:val="single" w:sz="18" w:space="0" w:color="auto"/>
              <w:bottom w:val="single" w:sz="4" w:space="0" w:color="auto"/>
              <w:right w:val="single" w:sz="4" w:space="0" w:color="auto"/>
            </w:tcBorders>
            <w:shd w:val="clear" w:color="auto" w:fill="FDFBA9"/>
            <w:vAlign w:val="center"/>
          </w:tcPr>
          <w:p w:rsidR="003062E0" w:rsidRPr="006E4B1D" w:rsidRDefault="003062E0" w:rsidP="008D196D">
            <w:pPr>
              <w:spacing w:after="0" w:line="240" w:lineRule="auto"/>
              <w:jc w:val="center"/>
              <w:rPr>
                <w:rFonts w:cstheme="minorHAnsi"/>
                <w:b/>
                <w:bCs/>
                <w:sz w:val="24"/>
                <w:szCs w:val="24"/>
              </w:rPr>
            </w:pPr>
            <w:r w:rsidRPr="006E4B1D">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DFBA9"/>
            <w:vAlign w:val="center"/>
          </w:tcPr>
          <w:p w:rsidR="003062E0" w:rsidRPr="006E4B1D" w:rsidRDefault="003062E0" w:rsidP="008D196D">
            <w:pPr>
              <w:spacing w:after="0" w:line="240" w:lineRule="auto"/>
              <w:jc w:val="center"/>
              <w:rPr>
                <w:rFonts w:cstheme="minorHAnsi"/>
                <w:b/>
                <w:bCs/>
                <w:sz w:val="24"/>
                <w:szCs w:val="24"/>
              </w:rPr>
            </w:pPr>
            <w:r w:rsidRPr="006E4B1D">
              <w:rPr>
                <w:rFonts w:cstheme="minorHAnsi"/>
                <w:b/>
                <w:bCs/>
                <w:sz w:val="24"/>
                <w:szCs w:val="24"/>
              </w:rPr>
              <w:t>EN 14879-6</w:t>
            </w:r>
          </w:p>
        </w:tc>
      </w:tr>
      <w:tr w:rsidR="0043547B" w:rsidRPr="0043547B" w:rsidTr="00554CF5">
        <w:trPr>
          <w:trHeight w:val="117"/>
          <w:jc w:val="center"/>
        </w:trPr>
        <w:tc>
          <w:tcPr>
            <w:tcW w:w="1843" w:type="dxa"/>
            <w:tcBorders>
              <w:top w:val="single" w:sz="4" w:space="0" w:color="auto"/>
              <w:left w:val="single" w:sz="18" w:space="0" w:color="auto"/>
              <w:bottom w:val="single" w:sz="4" w:space="0" w:color="auto"/>
              <w:right w:val="single" w:sz="4" w:space="0" w:color="auto"/>
            </w:tcBorders>
            <w:shd w:val="clear" w:color="auto" w:fill="95B3D7" w:themeFill="accent1" w:themeFillTint="99"/>
            <w:vAlign w:val="center"/>
          </w:tcPr>
          <w:p w:rsidR="003062E0" w:rsidRPr="0043547B" w:rsidRDefault="003062E0" w:rsidP="008D196D">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3062E0" w:rsidRPr="0043547B" w:rsidRDefault="003062E0" w:rsidP="008D196D">
            <w:pPr>
              <w:spacing w:after="0" w:line="240" w:lineRule="auto"/>
              <w:rPr>
                <w:rFonts w:cstheme="minorHAnsi"/>
                <w:sz w:val="24"/>
                <w:szCs w:val="24"/>
              </w:rPr>
            </w:pPr>
            <w:r w:rsidRPr="0043547B">
              <w:rPr>
                <w:rFonts w:cstheme="minorHAnsi"/>
                <w:sz w:val="24"/>
                <w:szCs w:val="24"/>
              </w:rPr>
              <w:t>Systèmes des revêtements organiques pour la protection des appareils et installations industriels contre la corrosion par des fluides agressifs - Partie 6 : revêtements rapportés associés à des couches de carreaux et de briques ; (IC 03.3.430)</w:t>
            </w:r>
          </w:p>
        </w:tc>
      </w:tr>
      <w:tr w:rsidR="0043547B" w:rsidRPr="0043547B" w:rsidTr="00554CF5">
        <w:trPr>
          <w:trHeight w:val="117"/>
          <w:jc w:val="center"/>
        </w:trPr>
        <w:tc>
          <w:tcPr>
            <w:tcW w:w="1843" w:type="dxa"/>
            <w:tcBorders>
              <w:top w:val="single" w:sz="4" w:space="0" w:color="auto"/>
              <w:left w:val="single" w:sz="18" w:space="0" w:color="auto"/>
              <w:bottom w:val="single" w:sz="18" w:space="0" w:color="auto"/>
              <w:right w:val="single" w:sz="4" w:space="0" w:color="auto"/>
            </w:tcBorders>
            <w:shd w:val="clear" w:color="auto" w:fill="D9D9D9" w:themeFill="background1" w:themeFillShade="D9"/>
            <w:vAlign w:val="center"/>
          </w:tcPr>
          <w:p w:rsidR="003062E0" w:rsidRPr="0043547B" w:rsidRDefault="003062E0" w:rsidP="008D196D">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FFFFFF" w:themeFill="background1"/>
          </w:tcPr>
          <w:p w:rsidR="008D196D" w:rsidRDefault="003062E0" w:rsidP="008D196D">
            <w:pPr>
              <w:spacing w:after="0" w:line="240" w:lineRule="auto"/>
              <w:jc w:val="both"/>
              <w:rPr>
                <w:rFonts w:cstheme="minorHAnsi"/>
                <w:sz w:val="24"/>
                <w:szCs w:val="24"/>
              </w:rPr>
            </w:pPr>
            <w:r w:rsidRPr="0043547B">
              <w:rPr>
                <w:rFonts w:cstheme="minorHAnsi"/>
                <w:sz w:val="24"/>
                <w:szCs w:val="24"/>
              </w:rPr>
              <w:t>La présente Norme européenne décrit les exigences et les méthodes d'essai de systèmes rapportés associant des couches de carreaux et de briques, appliqués sur des équipements pour l’industrie chimique, métalliques ou en béton, venant en contact avec des substances chimiques (liquides, solides et gaz). Les exigences ici spécifiées peuvent être utilisées à des fins de contrôle qualité (par exemple, convenues entre les Parties au contrat ou ayant été définies par des règlements nationaux 1).</w:t>
            </w:r>
          </w:p>
          <w:p w:rsidR="008D196D" w:rsidRDefault="003062E0" w:rsidP="008D196D">
            <w:pPr>
              <w:spacing w:after="0" w:line="240" w:lineRule="auto"/>
              <w:jc w:val="both"/>
              <w:rPr>
                <w:rFonts w:cstheme="minorHAnsi"/>
                <w:sz w:val="24"/>
                <w:szCs w:val="24"/>
              </w:rPr>
            </w:pPr>
            <w:r w:rsidRPr="0043547B">
              <w:rPr>
                <w:rFonts w:cstheme="minorHAnsi"/>
                <w:sz w:val="24"/>
                <w:szCs w:val="24"/>
              </w:rPr>
              <w:t>Cette norme est applicable aux systèmes destinés à l’un au moins des usages suivants :</w:t>
            </w:r>
          </w:p>
          <w:p w:rsidR="008D196D" w:rsidRDefault="003062E0" w:rsidP="008D196D">
            <w:pPr>
              <w:spacing w:after="0" w:line="240" w:lineRule="auto"/>
              <w:jc w:val="both"/>
              <w:rPr>
                <w:rFonts w:cstheme="minorHAnsi"/>
                <w:sz w:val="24"/>
                <w:szCs w:val="24"/>
              </w:rPr>
            </w:pPr>
            <w:r w:rsidRPr="0043547B">
              <w:rPr>
                <w:rFonts w:cstheme="minorHAnsi"/>
                <w:sz w:val="24"/>
                <w:szCs w:val="24"/>
              </w:rPr>
              <w:t>— protéger le composant contre les effets néfastes des substances corrosives ;</w:t>
            </w:r>
          </w:p>
          <w:p w:rsidR="008D196D" w:rsidRDefault="003062E0" w:rsidP="008D196D">
            <w:pPr>
              <w:spacing w:after="0" w:line="240" w:lineRule="auto"/>
              <w:jc w:val="both"/>
              <w:rPr>
                <w:rFonts w:cstheme="minorHAnsi"/>
                <w:sz w:val="24"/>
                <w:szCs w:val="24"/>
              </w:rPr>
            </w:pPr>
            <w:r w:rsidRPr="0043547B">
              <w:rPr>
                <w:rFonts w:cstheme="minorHAnsi"/>
                <w:sz w:val="24"/>
                <w:szCs w:val="24"/>
              </w:rPr>
              <w:t>— protéger les eaux (par exemple, les nappes phréatiques) des substances dangereuses ;</w:t>
            </w:r>
          </w:p>
          <w:p w:rsidR="008D196D" w:rsidRDefault="003062E0" w:rsidP="008D196D">
            <w:pPr>
              <w:spacing w:after="0" w:line="240" w:lineRule="auto"/>
              <w:jc w:val="both"/>
              <w:rPr>
                <w:rFonts w:cstheme="minorHAnsi"/>
                <w:sz w:val="24"/>
                <w:szCs w:val="24"/>
              </w:rPr>
            </w:pPr>
            <w:r w:rsidRPr="0043547B">
              <w:rPr>
                <w:rFonts w:cstheme="minorHAnsi"/>
                <w:sz w:val="24"/>
                <w:szCs w:val="24"/>
              </w:rPr>
              <w:t>— empêcher toute contamination des charges par des composants provenant des matériaux du subjectile ;</w:t>
            </w:r>
          </w:p>
          <w:p w:rsidR="008D196D" w:rsidRDefault="003062E0" w:rsidP="008D196D">
            <w:pPr>
              <w:spacing w:after="0" w:line="240" w:lineRule="auto"/>
              <w:jc w:val="both"/>
              <w:rPr>
                <w:rFonts w:cstheme="minorHAnsi"/>
                <w:sz w:val="24"/>
                <w:szCs w:val="24"/>
              </w:rPr>
            </w:pPr>
            <w:r w:rsidRPr="0043547B">
              <w:rPr>
                <w:rFonts w:cstheme="minorHAnsi"/>
                <w:sz w:val="24"/>
                <w:szCs w:val="24"/>
              </w:rPr>
              <w:t>— obtenir une qualité de surface spécifique.</w:t>
            </w:r>
          </w:p>
          <w:p w:rsidR="008D196D" w:rsidRDefault="003062E0" w:rsidP="008D196D">
            <w:pPr>
              <w:spacing w:after="0" w:line="240" w:lineRule="auto"/>
              <w:jc w:val="both"/>
              <w:rPr>
                <w:rFonts w:cstheme="minorHAnsi"/>
                <w:sz w:val="24"/>
                <w:szCs w:val="24"/>
              </w:rPr>
            </w:pPr>
            <w:r w:rsidRPr="0043547B">
              <w:rPr>
                <w:rFonts w:cstheme="minorHAnsi"/>
                <w:sz w:val="24"/>
                <w:szCs w:val="24"/>
              </w:rPr>
              <w:t>Les systèmes combinés décrits dans le présent document peuvent être utilisés pour des équipements de l’industrie chimique, métalliques ou en béton, entrant en contact avec des substances chimiques.</w:t>
            </w:r>
          </w:p>
          <w:p w:rsidR="008D196D" w:rsidRDefault="003062E0" w:rsidP="008D196D">
            <w:pPr>
              <w:spacing w:after="0" w:line="240" w:lineRule="auto"/>
              <w:jc w:val="both"/>
              <w:rPr>
                <w:rFonts w:cstheme="minorHAnsi"/>
                <w:sz w:val="24"/>
                <w:szCs w:val="24"/>
              </w:rPr>
            </w:pPr>
            <w:r w:rsidRPr="0043547B">
              <w:rPr>
                <w:rFonts w:cstheme="minorHAnsi"/>
                <w:sz w:val="24"/>
                <w:szCs w:val="24"/>
              </w:rPr>
              <w:t>Le système rapporté combiné est une combinaison :</w:t>
            </w:r>
          </w:p>
          <w:p w:rsidR="008D196D" w:rsidRDefault="003062E0" w:rsidP="008D196D">
            <w:pPr>
              <w:spacing w:after="0" w:line="240" w:lineRule="auto"/>
              <w:jc w:val="both"/>
              <w:rPr>
                <w:rFonts w:cstheme="minorHAnsi"/>
                <w:sz w:val="24"/>
                <w:szCs w:val="24"/>
              </w:rPr>
            </w:pPr>
            <w:r w:rsidRPr="0043547B">
              <w:rPr>
                <w:rFonts w:cstheme="minorHAnsi"/>
                <w:sz w:val="24"/>
                <w:szCs w:val="24"/>
              </w:rPr>
              <w:t>— d’un revêtement conforme à l’EN 14879-2 ou à l’EN 14879-3 comportant une couche supplémentaire de carreaux ou de briques incrustée dans un mortier au ciment, un mortier à base de résine et/ou un mortier au silicate de potassium utilisé comme ciment adhésif (désignés simplement par le terme de ciment dans la présente norme) ;</w:t>
            </w:r>
          </w:p>
          <w:p w:rsidR="008D196D" w:rsidRDefault="003062E0" w:rsidP="008D196D">
            <w:pPr>
              <w:spacing w:after="0" w:line="240" w:lineRule="auto"/>
              <w:jc w:val="both"/>
              <w:rPr>
                <w:rFonts w:cstheme="minorHAnsi"/>
                <w:sz w:val="24"/>
                <w:szCs w:val="24"/>
              </w:rPr>
            </w:pPr>
            <w:r w:rsidRPr="0043547B">
              <w:rPr>
                <w:rFonts w:cstheme="minorHAnsi"/>
                <w:sz w:val="24"/>
                <w:szCs w:val="24"/>
              </w:rPr>
              <w:t>ou</w:t>
            </w:r>
            <w:r w:rsidRPr="0043547B">
              <w:rPr>
                <w:rFonts w:cstheme="minorHAnsi"/>
                <w:sz w:val="24"/>
                <w:szCs w:val="24"/>
              </w:rPr>
              <w:br/>
              <w:t>— d’un revêtement rapporté conforme à l’EN 14879-4 ou à l’EN 14879-5 comportant une couche supplémentaire de carreaux ou de briques incrustée dans un mortier au ciment, un mortier à base de résine et/ou un mortier au silicate de potassium utilisé comme ciment adhésif (désignés simplement par le terme de ciment dans la présente norme).</w:t>
            </w:r>
          </w:p>
          <w:p w:rsidR="003062E0" w:rsidRPr="0043547B" w:rsidRDefault="003062E0" w:rsidP="008D196D">
            <w:pPr>
              <w:spacing w:after="0" w:line="240" w:lineRule="auto"/>
              <w:jc w:val="both"/>
              <w:rPr>
                <w:rFonts w:cstheme="minorHAnsi"/>
                <w:sz w:val="24"/>
                <w:szCs w:val="24"/>
              </w:rPr>
            </w:pPr>
            <w:r w:rsidRPr="0043547B">
              <w:rPr>
                <w:rFonts w:cstheme="minorHAnsi"/>
                <w:sz w:val="24"/>
                <w:szCs w:val="24"/>
              </w:rPr>
              <w:t>Pour la conception et la préparation des subjectiles, voir l’EN 14879-1.</w:t>
            </w:r>
          </w:p>
        </w:tc>
      </w:tr>
      <w:tr w:rsidR="0043547B" w:rsidRPr="0043547B" w:rsidTr="00554CF5">
        <w:trPr>
          <w:trHeight w:val="117"/>
          <w:jc w:val="center"/>
        </w:trPr>
        <w:tc>
          <w:tcPr>
            <w:tcW w:w="1843"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3062E0" w:rsidRPr="0043547B" w:rsidRDefault="003062E0" w:rsidP="005F6BC0">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3062E0" w:rsidRPr="006E4B1D" w:rsidRDefault="003062E0" w:rsidP="005F6BC0">
            <w:pPr>
              <w:spacing w:after="0" w:line="240" w:lineRule="auto"/>
              <w:jc w:val="center"/>
              <w:rPr>
                <w:rFonts w:cstheme="minorHAnsi"/>
                <w:b/>
                <w:bCs/>
                <w:sz w:val="24"/>
                <w:szCs w:val="24"/>
              </w:rPr>
            </w:pPr>
            <w:r w:rsidRPr="006E4B1D">
              <w:rPr>
                <w:rFonts w:cstheme="minorHAnsi"/>
                <w:b/>
                <w:bCs/>
                <w:sz w:val="24"/>
                <w:szCs w:val="24"/>
              </w:rPr>
              <w:t>NM 03.3.254</w:t>
            </w:r>
          </w:p>
        </w:tc>
      </w:tr>
      <w:tr w:rsidR="0043547B" w:rsidRPr="0043547B" w:rsidTr="00554CF5">
        <w:trPr>
          <w:trHeight w:val="325"/>
          <w:jc w:val="center"/>
        </w:trPr>
        <w:tc>
          <w:tcPr>
            <w:tcW w:w="1843"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3062E0" w:rsidRPr="0043547B" w:rsidRDefault="003062E0" w:rsidP="005F6BC0">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8" w:space="0" w:color="auto"/>
              <w:right w:val="single" w:sz="18" w:space="0" w:color="auto"/>
            </w:tcBorders>
            <w:shd w:val="clear" w:color="auto" w:fill="auto"/>
            <w:vAlign w:val="center"/>
            <w:hideMark/>
          </w:tcPr>
          <w:p w:rsidR="003062E0" w:rsidRPr="0043547B" w:rsidRDefault="003062E0" w:rsidP="005F6BC0">
            <w:pPr>
              <w:spacing w:after="0" w:line="240" w:lineRule="auto"/>
              <w:rPr>
                <w:rFonts w:cstheme="minorHAnsi"/>
                <w:sz w:val="24"/>
                <w:szCs w:val="24"/>
              </w:rPr>
            </w:pPr>
            <w:r w:rsidRPr="0043547B">
              <w:rPr>
                <w:rFonts w:cstheme="minorHAnsi"/>
                <w:sz w:val="24"/>
                <w:szCs w:val="24"/>
              </w:rPr>
              <w:t xml:space="preserve">Peintures et vernis - Systèmes de peinture pour la protection des ouvrages métalliques - Spécifications  </w:t>
            </w:r>
          </w:p>
        </w:tc>
      </w:tr>
      <w:tr w:rsidR="0043547B" w:rsidRPr="0043547B" w:rsidTr="00554CF5">
        <w:trPr>
          <w:trHeight w:val="1183"/>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3062E0" w:rsidRPr="0043547B" w:rsidRDefault="003062E0" w:rsidP="005F6BC0">
            <w:pPr>
              <w:spacing w:after="0" w:line="240" w:lineRule="auto"/>
              <w:jc w:val="center"/>
              <w:rPr>
                <w:rFonts w:cstheme="minorHAnsi"/>
                <w:b/>
                <w:bCs/>
                <w:sz w:val="24"/>
                <w:szCs w:val="24"/>
              </w:rPr>
            </w:pPr>
            <w:r w:rsidRPr="0043547B">
              <w:rPr>
                <w:rFonts w:cstheme="minorHAnsi"/>
                <w:b/>
                <w:bCs/>
                <w:sz w:val="24"/>
                <w:szCs w:val="24"/>
              </w:rPr>
              <w:lastRenderedPageBreak/>
              <w:t>Domaine d’application :</w:t>
            </w:r>
          </w:p>
        </w:tc>
        <w:tc>
          <w:tcPr>
            <w:tcW w:w="7938" w:type="dxa"/>
            <w:tcBorders>
              <w:top w:val="nil"/>
              <w:left w:val="single" w:sz="4" w:space="0" w:color="auto"/>
              <w:bottom w:val="single" w:sz="18" w:space="0" w:color="auto"/>
              <w:right w:val="single" w:sz="18" w:space="0" w:color="auto"/>
            </w:tcBorders>
            <w:shd w:val="clear" w:color="auto" w:fill="auto"/>
            <w:hideMark/>
          </w:tcPr>
          <w:p w:rsidR="005F6BC0" w:rsidRDefault="003062E0" w:rsidP="005F6BC0">
            <w:pPr>
              <w:spacing w:after="0" w:line="240" w:lineRule="auto"/>
              <w:jc w:val="both"/>
              <w:rPr>
                <w:rFonts w:cstheme="minorHAnsi"/>
                <w:sz w:val="24"/>
                <w:szCs w:val="24"/>
              </w:rPr>
            </w:pPr>
            <w:r w:rsidRPr="0043547B">
              <w:rPr>
                <w:rFonts w:cstheme="minorHAnsi"/>
                <w:sz w:val="24"/>
                <w:szCs w:val="24"/>
              </w:rPr>
              <w:t>La présente norme fixe les critères d'aptitude des systèmes de peinture destinés à la protection contre la corrosion des ouvrages métalliques correspondant à la classe «haute durabilité H» de la norme</w:t>
            </w:r>
            <w:r w:rsidR="005F6BC0">
              <w:rPr>
                <w:rFonts w:cstheme="minorHAnsi"/>
                <w:sz w:val="24"/>
                <w:szCs w:val="24"/>
              </w:rPr>
              <w:t xml:space="preserve"> </w:t>
            </w:r>
            <w:r w:rsidRPr="0043547B">
              <w:rPr>
                <w:rFonts w:cstheme="minorHAnsi"/>
                <w:sz w:val="24"/>
                <w:szCs w:val="24"/>
              </w:rPr>
              <w:t>NM ISO 12944-1.</w:t>
            </w:r>
          </w:p>
          <w:p w:rsidR="003062E0" w:rsidRPr="0043547B" w:rsidRDefault="003062E0" w:rsidP="005F6BC0">
            <w:pPr>
              <w:spacing w:after="0" w:line="240" w:lineRule="auto"/>
              <w:jc w:val="both"/>
              <w:rPr>
                <w:rFonts w:cstheme="minorHAnsi"/>
                <w:sz w:val="24"/>
                <w:szCs w:val="24"/>
              </w:rPr>
            </w:pPr>
            <w:r w:rsidRPr="0043547B">
              <w:rPr>
                <w:rFonts w:cstheme="minorHAnsi"/>
                <w:sz w:val="24"/>
                <w:szCs w:val="24"/>
              </w:rPr>
              <w:t>Il spécifie les critères de qualification et définit les essais visant à l'identification des produits entrant dans la composition des systèmes de peinture objet de la certification.</w:t>
            </w:r>
          </w:p>
        </w:tc>
      </w:tr>
      <w:tr w:rsidR="0043547B" w:rsidRPr="0043547B" w:rsidTr="00554CF5">
        <w:trPr>
          <w:trHeight w:val="330"/>
          <w:jc w:val="center"/>
        </w:trPr>
        <w:tc>
          <w:tcPr>
            <w:tcW w:w="1843"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03.3.255</w:t>
            </w:r>
          </w:p>
        </w:tc>
      </w:tr>
      <w:tr w:rsidR="0043547B" w:rsidRPr="0043547B" w:rsidTr="00554CF5">
        <w:trPr>
          <w:trHeight w:val="330"/>
          <w:jc w:val="center"/>
        </w:trPr>
        <w:tc>
          <w:tcPr>
            <w:tcW w:w="1843"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Peintures et vernis – Spécifications des peintures de finition pour pièces sèches </w:t>
            </w:r>
          </w:p>
        </w:tc>
      </w:tr>
      <w:tr w:rsidR="0043547B" w:rsidRPr="0043547B" w:rsidTr="00554CF5">
        <w:trPr>
          <w:trHeight w:val="763"/>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La norme définit les conditions auxquelles doivent satisfaire les peintures de finition blanches ou pastel , pour pièces sèches, destinées à être appliquées sur des subjectiles définis selon les deux cahiers techniques et spéciales relatifs aux travaux de peinturage des bâtiments (NM 03.3.142 , NM 03.3.143). </w:t>
            </w:r>
          </w:p>
        </w:tc>
      </w:tr>
      <w:tr w:rsidR="0043547B" w:rsidRPr="0043547B" w:rsidTr="00554CF5">
        <w:trPr>
          <w:trHeight w:val="330"/>
          <w:jc w:val="center"/>
        </w:trPr>
        <w:tc>
          <w:tcPr>
            <w:tcW w:w="1843"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03.3.256</w:t>
            </w:r>
          </w:p>
        </w:tc>
      </w:tr>
      <w:tr w:rsidR="0043547B" w:rsidRPr="0043547B" w:rsidTr="00554CF5">
        <w:trPr>
          <w:trHeight w:val="330"/>
          <w:jc w:val="center"/>
        </w:trPr>
        <w:tc>
          <w:tcPr>
            <w:tcW w:w="1843"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Peintures et vernis – Spécifications des peintures de finition pour pièces humides</w:t>
            </w:r>
          </w:p>
        </w:tc>
      </w:tr>
      <w:tr w:rsidR="0043547B" w:rsidRPr="0043547B" w:rsidTr="00554CF5">
        <w:trPr>
          <w:trHeight w:val="408"/>
          <w:jc w:val="center"/>
        </w:trPr>
        <w:tc>
          <w:tcPr>
            <w:tcW w:w="1843"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définit les conditions auxquelles doivent satisfaire les peintures de finition blanches ou pastel, pour pièces humides, destinées à être appliquées sur des subjectiles définis selon les deux normes relatifs aux travaux de peinturage des bâtiments (NM 03.3.142 , NM 03.3.143). Elle s'applique aux peintures de la famille I classes 2-4a-7a et 7b (voir NM 03.3.009).</w:t>
            </w:r>
          </w:p>
        </w:tc>
      </w:tr>
      <w:tr w:rsidR="0043547B" w:rsidRPr="0043547B" w:rsidTr="00554CF5">
        <w:trPr>
          <w:trHeight w:val="65"/>
          <w:jc w:val="center"/>
        </w:trPr>
        <w:tc>
          <w:tcPr>
            <w:tcW w:w="1843" w:type="dxa"/>
            <w:tcBorders>
              <w:top w:val="single" w:sz="18" w:space="0" w:color="auto"/>
              <w:left w:val="single" w:sz="18" w:space="0" w:color="auto"/>
              <w:bottom w:val="single" w:sz="18" w:space="0" w:color="auto"/>
              <w:right w:val="single" w:sz="4" w:space="0" w:color="auto"/>
            </w:tcBorders>
            <w:shd w:val="clear" w:color="auto" w:fill="B7CE88"/>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tcPr>
          <w:p w:rsidR="00904E52" w:rsidRPr="0043547B" w:rsidRDefault="00904E52" w:rsidP="00904E52">
            <w:pPr>
              <w:spacing w:after="0" w:line="240" w:lineRule="auto"/>
              <w:jc w:val="center"/>
              <w:rPr>
                <w:rFonts w:cstheme="minorHAnsi"/>
                <w:sz w:val="24"/>
                <w:szCs w:val="24"/>
              </w:rPr>
            </w:pPr>
            <w:r w:rsidRPr="0043547B">
              <w:rPr>
                <w:rFonts w:eastAsia="Times New Roman" w:cstheme="minorHAnsi"/>
                <w:b/>
                <w:bCs/>
                <w:sz w:val="24"/>
                <w:szCs w:val="24"/>
                <w:lang w:eastAsia="fr-FR"/>
              </w:rPr>
              <w:t>NM 10.8.751</w:t>
            </w:r>
          </w:p>
        </w:tc>
      </w:tr>
      <w:tr w:rsidR="0043547B" w:rsidRPr="0043547B" w:rsidTr="00554CF5">
        <w:trPr>
          <w:trHeight w:val="182"/>
          <w:jc w:val="center"/>
        </w:trPr>
        <w:tc>
          <w:tcPr>
            <w:tcW w:w="1843" w:type="dxa"/>
            <w:tcBorders>
              <w:top w:val="single" w:sz="18" w:space="0" w:color="auto"/>
              <w:left w:val="single" w:sz="18" w:space="0" w:color="auto"/>
              <w:bottom w:val="single" w:sz="4" w:space="0" w:color="auto"/>
              <w:right w:val="single" w:sz="4" w:space="0" w:color="auto"/>
            </w:tcBorders>
            <w:shd w:val="clear" w:color="000000" w:fill="8DB4E2"/>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tcPr>
          <w:p w:rsidR="00904E52" w:rsidRPr="0043547B" w:rsidRDefault="00904E52" w:rsidP="00904E52">
            <w:pPr>
              <w:spacing w:after="0"/>
              <w:jc w:val="both"/>
              <w:rPr>
                <w:rFonts w:cstheme="minorHAnsi"/>
                <w:sz w:val="24"/>
                <w:szCs w:val="24"/>
              </w:rPr>
            </w:pPr>
            <w:r w:rsidRPr="0043547B">
              <w:rPr>
                <w:rFonts w:cstheme="minorHAnsi"/>
                <w:sz w:val="24"/>
                <w:szCs w:val="24"/>
              </w:rPr>
              <w:t>Peinture – Travaux de peintures de bâtiments – Cahier des clauses spéciales </w:t>
            </w:r>
          </w:p>
        </w:tc>
      </w:tr>
      <w:tr w:rsidR="0043547B" w:rsidRPr="0043547B" w:rsidTr="00554CF5">
        <w:trPr>
          <w:trHeight w:val="442"/>
          <w:jc w:val="center"/>
        </w:trPr>
        <w:tc>
          <w:tcPr>
            <w:tcW w:w="1843" w:type="dxa"/>
            <w:tcBorders>
              <w:top w:val="single" w:sz="4" w:space="0" w:color="auto"/>
              <w:left w:val="single" w:sz="18" w:space="0" w:color="auto"/>
              <w:bottom w:val="single" w:sz="18" w:space="0" w:color="auto"/>
              <w:right w:val="single" w:sz="4" w:space="0" w:color="auto"/>
            </w:tcBorders>
            <w:shd w:val="clear" w:color="000000" w:fill="D9D9D9"/>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center"/>
          </w:tcPr>
          <w:p w:rsidR="00904E52" w:rsidRPr="0043547B" w:rsidRDefault="00904E52" w:rsidP="00DB1479">
            <w:pPr>
              <w:spacing w:after="0" w:line="240" w:lineRule="auto"/>
              <w:jc w:val="both"/>
              <w:rPr>
                <w:rFonts w:cstheme="minorHAnsi"/>
                <w:sz w:val="24"/>
                <w:szCs w:val="24"/>
              </w:rPr>
            </w:pPr>
            <w:r w:rsidRPr="0043547B">
              <w:rPr>
                <w:rFonts w:cstheme="minorHAnsi"/>
                <w:sz w:val="24"/>
                <w:szCs w:val="24"/>
              </w:rPr>
              <w:t>Ce document définit les clauses administratives spéciales aux marchés privés de peinture, exécutés en application des prescriptions de la norme NM 10.8.750.</w:t>
            </w:r>
          </w:p>
        </w:tc>
      </w:tr>
      <w:tr w:rsidR="0043547B" w:rsidRPr="0043547B" w:rsidTr="00554CF5">
        <w:trPr>
          <w:trHeight w:val="298"/>
          <w:jc w:val="center"/>
        </w:trPr>
        <w:tc>
          <w:tcPr>
            <w:tcW w:w="1843"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tcPr>
          <w:p w:rsidR="003062E0" w:rsidRPr="006E4B1D" w:rsidRDefault="003062E0" w:rsidP="005F6BC0">
            <w:pPr>
              <w:spacing w:after="0" w:line="240" w:lineRule="auto"/>
              <w:jc w:val="center"/>
              <w:rPr>
                <w:rFonts w:cstheme="minorHAnsi"/>
                <w:b/>
                <w:bCs/>
                <w:sz w:val="24"/>
                <w:szCs w:val="24"/>
              </w:rPr>
            </w:pPr>
            <w:r w:rsidRPr="006E4B1D">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tcPr>
          <w:p w:rsidR="003062E0" w:rsidRPr="006E4B1D" w:rsidRDefault="003062E0" w:rsidP="005F6BC0">
            <w:pPr>
              <w:spacing w:after="0" w:line="240" w:lineRule="auto"/>
              <w:jc w:val="center"/>
              <w:rPr>
                <w:rFonts w:cstheme="minorHAnsi"/>
                <w:b/>
                <w:bCs/>
                <w:sz w:val="24"/>
                <w:szCs w:val="24"/>
              </w:rPr>
            </w:pPr>
            <w:r w:rsidRPr="006E4B1D">
              <w:rPr>
                <w:rFonts w:cstheme="minorHAnsi"/>
                <w:b/>
                <w:bCs/>
                <w:sz w:val="24"/>
                <w:szCs w:val="24"/>
              </w:rPr>
              <w:t>NM 03.3.009</w:t>
            </w:r>
          </w:p>
        </w:tc>
      </w:tr>
      <w:tr w:rsidR="0043547B" w:rsidRPr="0043547B" w:rsidTr="00554CF5">
        <w:trPr>
          <w:trHeight w:val="136"/>
          <w:jc w:val="center"/>
        </w:trPr>
        <w:tc>
          <w:tcPr>
            <w:tcW w:w="1843" w:type="dxa"/>
            <w:tcBorders>
              <w:top w:val="single" w:sz="18" w:space="0" w:color="auto"/>
              <w:left w:val="single" w:sz="18" w:space="0" w:color="auto"/>
              <w:bottom w:val="single" w:sz="4" w:space="0" w:color="auto"/>
              <w:right w:val="single" w:sz="4" w:space="0" w:color="auto"/>
            </w:tcBorders>
            <w:shd w:val="clear" w:color="auto" w:fill="95B3D7" w:themeFill="accent1" w:themeFillTint="99"/>
            <w:vAlign w:val="center"/>
          </w:tcPr>
          <w:p w:rsidR="003062E0" w:rsidRPr="0043547B" w:rsidRDefault="003062E0" w:rsidP="005F6BC0">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tcPr>
          <w:p w:rsidR="003062E0" w:rsidRPr="0043547B" w:rsidRDefault="003062E0" w:rsidP="005F6BC0">
            <w:pPr>
              <w:spacing w:after="0" w:line="240" w:lineRule="auto"/>
              <w:rPr>
                <w:rFonts w:cstheme="minorHAnsi"/>
                <w:sz w:val="24"/>
                <w:szCs w:val="24"/>
              </w:rPr>
            </w:pPr>
            <w:r w:rsidRPr="0043547B">
              <w:rPr>
                <w:rFonts w:cstheme="minorHAnsi"/>
                <w:sz w:val="24"/>
                <w:szCs w:val="24"/>
              </w:rPr>
              <w:t xml:space="preserve">Peintures et vernis - Caractérisation des produits de peinture ; </w:t>
            </w:r>
          </w:p>
        </w:tc>
      </w:tr>
      <w:tr w:rsidR="0043547B" w:rsidRPr="0043547B" w:rsidTr="00554CF5">
        <w:trPr>
          <w:trHeight w:val="1172"/>
          <w:jc w:val="center"/>
        </w:trPr>
        <w:tc>
          <w:tcPr>
            <w:tcW w:w="1843" w:type="dxa"/>
            <w:tcBorders>
              <w:top w:val="single" w:sz="4" w:space="0" w:color="auto"/>
              <w:left w:val="single" w:sz="18" w:space="0" w:color="auto"/>
              <w:bottom w:val="single" w:sz="18" w:space="0" w:color="auto"/>
              <w:right w:val="single" w:sz="4" w:space="0" w:color="auto"/>
            </w:tcBorders>
            <w:shd w:val="clear" w:color="000000" w:fill="D9D9D9"/>
            <w:vAlign w:val="center"/>
          </w:tcPr>
          <w:p w:rsidR="003062E0" w:rsidRPr="0043547B" w:rsidRDefault="003062E0" w:rsidP="005F6BC0">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center"/>
          </w:tcPr>
          <w:p w:rsidR="005F6BC0" w:rsidRDefault="003062E0" w:rsidP="005F6BC0">
            <w:pPr>
              <w:spacing w:after="0" w:line="240" w:lineRule="auto"/>
              <w:jc w:val="both"/>
              <w:rPr>
                <w:rFonts w:cstheme="minorHAnsi"/>
                <w:sz w:val="24"/>
                <w:szCs w:val="24"/>
              </w:rPr>
            </w:pPr>
            <w:r w:rsidRPr="0043547B">
              <w:rPr>
                <w:rFonts w:cstheme="minorHAnsi"/>
                <w:sz w:val="24"/>
                <w:szCs w:val="24"/>
              </w:rPr>
              <w:t xml:space="preserve">La présente norme a pour objet d'établir une classification des peintures, vernis et produits connexes.      </w:t>
            </w:r>
            <w:r w:rsidR="005F6BC0">
              <w:rPr>
                <w:rFonts w:cstheme="minorHAnsi"/>
                <w:sz w:val="24"/>
                <w:szCs w:val="24"/>
              </w:rPr>
              <w:t xml:space="preserve">                                                                                                           </w:t>
            </w:r>
          </w:p>
          <w:p w:rsidR="003062E0" w:rsidRPr="0043547B" w:rsidRDefault="003062E0" w:rsidP="005F6BC0">
            <w:pPr>
              <w:spacing w:after="0" w:line="240" w:lineRule="auto"/>
              <w:jc w:val="both"/>
              <w:rPr>
                <w:rFonts w:cstheme="minorHAnsi"/>
                <w:sz w:val="24"/>
                <w:szCs w:val="24"/>
              </w:rPr>
            </w:pPr>
            <w:r w:rsidRPr="0043547B">
              <w:rPr>
                <w:rFonts w:cstheme="minorHAnsi"/>
                <w:sz w:val="24"/>
                <w:szCs w:val="24"/>
              </w:rPr>
              <w:t>Les produits sont répartis en cinq familles (repérées par des chiffres romains), chacune de ces familles étant divisée en plusieurs classes.</w:t>
            </w:r>
          </w:p>
        </w:tc>
      </w:tr>
      <w:tr w:rsidR="0043547B" w:rsidRPr="0043547B" w:rsidTr="00554CF5">
        <w:trPr>
          <w:trHeight w:val="442"/>
          <w:jc w:val="center"/>
        </w:trPr>
        <w:tc>
          <w:tcPr>
            <w:tcW w:w="1843"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tcPr>
          <w:p w:rsidR="00064E3C" w:rsidRPr="006E4B1D" w:rsidRDefault="00064E3C" w:rsidP="005F6BC0">
            <w:pPr>
              <w:spacing w:after="0" w:line="240" w:lineRule="auto"/>
              <w:jc w:val="center"/>
              <w:rPr>
                <w:rFonts w:cstheme="minorHAnsi"/>
                <w:b/>
                <w:bCs/>
                <w:sz w:val="24"/>
                <w:szCs w:val="24"/>
              </w:rPr>
            </w:pPr>
            <w:r w:rsidRPr="006E4B1D">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tcPr>
          <w:p w:rsidR="00064E3C" w:rsidRPr="006E4B1D" w:rsidRDefault="00064E3C" w:rsidP="005F6BC0">
            <w:pPr>
              <w:spacing w:after="0" w:line="240" w:lineRule="auto"/>
              <w:jc w:val="center"/>
              <w:rPr>
                <w:rFonts w:cstheme="minorHAnsi"/>
                <w:b/>
                <w:bCs/>
                <w:sz w:val="24"/>
                <w:szCs w:val="24"/>
              </w:rPr>
            </w:pPr>
            <w:r w:rsidRPr="006E4B1D">
              <w:rPr>
                <w:rFonts w:cstheme="minorHAnsi"/>
                <w:b/>
                <w:bCs/>
                <w:sz w:val="24"/>
                <w:szCs w:val="24"/>
              </w:rPr>
              <w:t>NM 03.3.431</w:t>
            </w:r>
          </w:p>
        </w:tc>
      </w:tr>
      <w:tr w:rsidR="0043547B" w:rsidRPr="0043547B" w:rsidTr="00554CF5">
        <w:trPr>
          <w:trHeight w:val="502"/>
          <w:jc w:val="center"/>
        </w:trPr>
        <w:tc>
          <w:tcPr>
            <w:tcW w:w="1843" w:type="dxa"/>
            <w:tcBorders>
              <w:top w:val="single" w:sz="18" w:space="0" w:color="auto"/>
              <w:left w:val="single" w:sz="18" w:space="0" w:color="auto"/>
              <w:bottom w:val="single" w:sz="4" w:space="0" w:color="auto"/>
              <w:right w:val="single" w:sz="4" w:space="0" w:color="auto"/>
            </w:tcBorders>
            <w:shd w:val="clear" w:color="auto" w:fill="95B3D7" w:themeFill="accent1" w:themeFillTint="99"/>
            <w:vAlign w:val="center"/>
          </w:tcPr>
          <w:p w:rsidR="00064E3C" w:rsidRPr="0043547B" w:rsidRDefault="00064E3C" w:rsidP="005F6BC0">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tcPr>
          <w:p w:rsidR="00064E3C" w:rsidRPr="0043547B" w:rsidRDefault="00064E3C" w:rsidP="005F6BC0">
            <w:pPr>
              <w:spacing w:after="0" w:line="240" w:lineRule="auto"/>
              <w:rPr>
                <w:rFonts w:cstheme="minorHAnsi"/>
                <w:sz w:val="24"/>
                <w:szCs w:val="24"/>
              </w:rPr>
            </w:pPr>
            <w:r w:rsidRPr="0043547B">
              <w:rPr>
                <w:rFonts w:cstheme="minorHAnsi"/>
                <w:sz w:val="24"/>
                <w:szCs w:val="24"/>
              </w:rPr>
              <w:t xml:space="preserve">Peintures et vernis - Travaux de peinture des bâtiments - Schéma de contrat d'entretien périodique ; </w:t>
            </w:r>
          </w:p>
        </w:tc>
      </w:tr>
      <w:tr w:rsidR="0043547B" w:rsidRPr="0043547B" w:rsidTr="00554CF5">
        <w:trPr>
          <w:trHeight w:val="442"/>
          <w:jc w:val="center"/>
        </w:trPr>
        <w:tc>
          <w:tcPr>
            <w:tcW w:w="1843" w:type="dxa"/>
            <w:tcBorders>
              <w:top w:val="single" w:sz="4" w:space="0" w:color="auto"/>
              <w:left w:val="single" w:sz="18" w:space="0" w:color="auto"/>
              <w:bottom w:val="single" w:sz="18" w:space="0" w:color="auto"/>
              <w:right w:val="single" w:sz="4" w:space="0" w:color="auto"/>
            </w:tcBorders>
            <w:shd w:val="clear" w:color="000000" w:fill="D9D9D9"/>
            <w:vAlign w:val="center"/>
          </w:tcPr>
          <w:p w:rsidR="00064E3C" w:rsidRPr="0043547B" w:rsidRDefault="00064E3C" w:rsidP="005F6BC0">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tcPr>
          <w:p w:rsidR="005F6BC0" w:rsidRDefault="00064E3C" w:rsidP="005F6BC0">
            <w:pPr>
              <w:spacing w:after="0" w:line="240" w:lineRule="auto"/>
              <w:jc w:val="both"/>
              <w:rPr>
                <w:rFonts w:cstheme="minorHAnsi"/>
                <w:sz w:val="24"/>
                <w:szCs w:val="24"/>
              </w:rPr>
            </w:pPr>
            <w:r w:rsidRPr="0043547B">
              <w:rPr>
                <w:rFonts w:cstheme="minorHAnsi"/>
                <w:sz w:val="24"/>
                <w:szCs w:val="24"/>
              </w:rPr>
              <w:t>La présente norme propose un schéma de contrat d</w:t>
            </w:r>
            <w:r w:rsidR="009E7875">
              <w:rPr>
                <w:rFonts w:cstheme="minorHAnsi"/>
                <w:sz w:val="24"/>
                <w:szCs w:val="24"/>
              </w:rPr>
              <w:t>'entretien périodique des bâti</w:t>
            </w:r>
            <w:r w:rsidRPr="0043547B">
              <w:rPr>
                <w:rFonts w:cstheme="minorHAnsi"/>
                <w:sz w:val="24"/>
                <w:szCs w:val="24"/>
              </w:rPr>
              <w:t>ments, qui peut être</w:t>
            </w:r>
            <w:r w:rsidR="006E4B1D">
              <w:rPr>
                <w:rFonts w:cstheme="minorHAnsi"/>
                <w:sz w:val="24"/>
                <w:szCs w:val="24"/>
              </w:rPr>
              <w:t xml:space="preserve"> </w:t>
            </w:r>
            <w:r w:rsidRPr="0043547B">
              <w:rPr>
                <w:rFonts w:cstheme="minorHAnsi"/>
                <w:sz w:val="24"/>
                <w:szCs w:val="24"/>
              </w:rPr>
              <w:t>souscrit entre le maître d'ouvrage et un entrepreneur de peintures.</w:t>
            </w:r>
          </w:p>
          <w:p w:rsidR="005F6BC0" w:rsidRDefault="00064E3C" w:rsidP="005F6BC0">
            <w:pPr>
              <w:spacing w:after="0" w:line="240" w:lineRule="auto"/>
              <w:jc w:val="both"/>
              <w:rPr>
                <w:rFonts w:cstheme="minorHAnsi"/>
                <w:sz w:val="24"/>
                <w:szCs w:val="24"/>
              </w:rPr>
            </w:pPr>
            <w:r w:rsidRPr="0043547B">
              <w:rPr>
                <w:rFonts w:cstheme="minorHAnsi"/>
                <w:sz w:val="24"/>
                <w:szCs w:val="24"/>
              </w:rPr>
              <w:t>Le contrat d'entretien périodique peut s'appliquer dans de nombreux cas de figure:</w:t>
            </w:r>
            <w:r w:rsidRPr="0043547B">
              <w:rPr>
                <w:rFonts w:cstheme="minorHAnsi"/>
                <w:sz w:val="24"/>
                <w:szCs w:val="24"/>
              </w:rPr>
              <w:br/>
              <w:t>- parties communes extérieures :</w:t>
            </w:r>
          </w:p>
          <w:p w:rsidR="005F6BC0" w:rsidRDefault="00064E3C" w:rsidP="005F6BC0">
            <w:pPr>
              <w:spacing w:after="0" w:line="240" w:lineRule="auto"/>
              <w:jc w:val="both"/>
              <w:rPr>
                <w:rFonts w:cstheme="minorHAnsi"/>
                <w:sz w:val="24"/>
                <w:szCs w:val="24"/>
              </w:rPr>
            </w:pPr>
            <w:r w:rsidRPr="0043547B">
              <w:rPr>
                <w:rFonts w:cstheme="minorHAnsi"/>
                <w:sz w:val="24"/>
                <w:szCs w:val="24"/>
              </w:rPr>
              <w:t>- façades, pignons, cours, fenêtres, balcons, ...</w:t>
            </w:r>
          </w:p>
          <w:p w:rsidR="005F6BC0" w:rsidRDefault="00064E3C" w:rsidP="005F6BC0">
            <w:pPr>
              <w:spacing w:after="0" w:line="240" w:lineRule="auto"/>
              <w:jc w:val="both"/>
              <w:rPr>
                <w:rFonts w:cstheme="minorHAnsi"/>
                <w:sz w:val="24"/>
                <w:szCs w:val="24"/>
              </w:rPr>
            </w:pPr>
            <w:r w:rsidRPr="0043547B">
              <w:rPr>
                <w:rFonts w:cstheme="minorHAnsi"/>
                <w:sz w:val="24"/>
                <w:szCs w:val="24"/>
              </w:rPr>
              <w:t>- parties communes intérieures :</w:t>
            </w:r>
          </w:p>
          <w:p w:rsidR="005F6BC0" w:rsidRDefault="00064E3C" w:rsidP="005F6BC0">
            <w:pPr>
              <w:spacing w:after="0" w:line="240" w:lineRule="auto"/>
              <w:jc w:val="both"/>
              <w:rPr>
                <w:rFonts w:cstheme="minorHAnsi"/>
                <w:sz w:val="24"/>
                <w:szCs w:val="24"/>
              </w:rPr>
            </w:pPr>
            <w:r w:rsidRPr="0043547B">
              <w:rPr>
                <w:rFonts w:cstheme="minorHAnsi"/>
                <w:sz w:val="24"/>
                <w:szCs w:val="24"/>
              </w:rPr>
              <w:t>- halls d'entrée, cages d'escalier, portes, plinthes, ... des immeubles d'habitations, de bureaux</w:t>
            </w:r>
            <w:r w:rsidR="005F6BC0">
              <w:rPr>
                <w:rFonts w:cstheme="minorHAnsi"/>
                <w:sz w:val="24"/>
                <w:szCs w:val="24"/>
              </w:rPr>
              <w:t xml:space="preserve"> </w:t>
            </w:r>
            <w:r w:rsidRPr="0043547B">
              <w:rPr>
                <w:rFonts w:cstheme="minorHAnsi"/>
                <w:sz w:val="24"/>
                <w:szCs w:val="24"/>
              </w:rPr>
              <w:t>et commerces, publics et privés, ...</w:t>
            </w:r>
          </w:p>
          <w:p w:rsidR="005F6BC0" w:rsidRDefault="00064E3C" w:rsidP="005F6BC0">
            <w:pPr>
              <w:spacing w:after="0" w:line="240" w:lineRule="auto"/>
              <w:jc w:val="both"/>
              <w:rPr>
                <w:rFonts w:cstheme="minorHAnsi"/>
                <w:sz w:val="24"/>
                <w:szCs w:val="24"/>
              </w:rPr>
            </w:pPr>
            <w:r w:rsidRPr="0043547B">
              <w:rPr>
                <w:rFonts w:cstheme="minorHAnsi"/>
                <w:sz w:val="24"/>
                <w:szCs w:val="24"/>
              </w:rPr>
              <w:t>- revêtues de peintures, vernis ou lasures, ...</w:t>
            </w:r>
          </w:p>
          <w:p w:rsidR="005F6BC0" w:rsidRDefault="00064E3C" w:rsidP="005F6BC0">
            <w:pPr>
              <w:spacing w:after="0" w:line="240" w:lineRule="auto"/>
              <w:jc w:val="both"/>
              <w:rPr>
                <w:rFonts w:cstheme="minorHAnsi"/>
                <w:sz w:val="24"/>
                <w:szCs w:val="24"/>
              </w:rPr>
            </w:pPr>
            <w:r w:rsidRPr="0043547B">
              <w:rPr>
                <w:rFonts w:cstheme="minorHAnsi"/>
                <w:sz w:val="24"/>
                <w:szCs w:val="24"/>
              </w:rPr>
              <w:t>- sur supports maçonnerie, bois, métal;</w:t>
            </w:r>
          </w:p>
          <w:p w:rsidR="00064E3C" w:rsidRPr="0043547B" w:rsidRDefault="00064E3C" w:rsidP="005F6BC0">
            <w:pPr>
              <w:spacing w:after="0" w:line="240" w:lineRule="auto"/>
              <w:jc w:val="both"/>
              <w:rPr>
                <w:rFonts w:cstheme="minorHAnsi"/>
                <w:sz w:val="24"/>
                <w:szCs w:val="24"/>
              </w:rPr>
            </w:pPr>
            <w:r w:rsidRPr="0043547B">
              <w:rPr>
                <w:rFonts w:cstheme="minorHAnsi"/>
                <w:sz w:val="24"/>
                <w:szCs w:val="24"/>
              </w:rPr>
              <w:t>- en site urbain, campagnard, en bord de mer ou à la montagne.</w:t>
            </w:r>
          </w:p>
        </w:tc>
      </w:tr>
      <w:tr w:rsidR="0043547B" w:rsidRPr="0043547B" w:rsidTr="00554CF5">
        <w:trPr>
          <w:trHeight w:val="442"/>
          <w:jc w:val="center"/>
        </w:trPr>
        <w:tc>
          <w:tcPr>
            <w:tcW w:w="1843"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tcPr>
          <w:p w:rsidR="00064E3C" w:rsidRPr="006E4B1D" w:rsidRDefault="00064E3C" w:rsidP="005F6BC0">
            <w:pPr>
              <w:spacing w:after="0" w:line="240" w:lineRule="auto"/>
              <w:jc w:val="center"/>
              <w:rPr>
                <w:rFonts w:cstheme="minorHAnsi"/>
                <w:b/>
                <w:bCs/>
                <w:sz w:val="24"/>
                <w:szCs w:val="24"/>
              </w:rPr>
            </w:pPr>
            <w:r w:rsidRPr="006E4B1D">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tcPr>
          <w:p w:rsidR="00064E3C" w:rsidRPr="006E4B1D" w:rsidRDefault="00064E3C" w:rsidP="005F6BC0">
            <w:pPr>
              <w:spacing w:after="0" w:line="240" w:lineRule="auto"/>
              <w:jc w:val="center"/>
              <w:rPr>
                <w:rFonts w:cstheme="minorHAnsi"/>
                <w:b/>
                <w:bCs/>
                <w:sz w:val="24"/>
                <w:szCs w:val="24"/>
              </w:rPr>
            </w:pPr>
            <w:r w:rsidRPr="006E4B1D">
              <w:rPr>
                <w:rFonts w:cstheme="minorHAnsi"/>
                <w:b/>
                <w:bCs/>
                <w:sz w:val="24"/>
                <w:szCs w:val="24"/>
              </w:rPr>
              <w:t>NM 03.3.142</w:t>
            </w:r>
          </w:p>
        </w:tc>
      </w:tr>
      <w:tr w:rsidR="0043547B" w:rsidRPr="0043547B" w:rsidTr="00554CF5">
        <w:trPr>
          <w:trHeight w:val="442"/>
          <w:jc w:val="center"/>
        </w:trPr>
        <w:tc>
          <w:tcPr>
            <w:tcW w:w="1843" w:type="dxa"/>
            <w:tcBorders>
              <w:top w:val="single" w:sz="18" w:space="0" w:color="auto"/>
              <w:left w:val="single" w:sz="18" w:space="0" w:color="auto"/>
              <w:bottom w:val="single" w:sz="4" w:space="0" w:color="auto"/>
              <w:right w:val="single" w:sz="4" w:space="0" w:color="auto"/>
            </w:tcBorders>
            <w:shd w:val="clear" w:color="auto" w:fill="95B3D7" w:themeFill="accent1" w:themeFillTint="99"/>
            <w:vAlign w:val="center"/>
          </w:tcPr>
          <w:p w:rsidR="00064E3C" w:rsidRPr="0043547B" w:rsidRDefault="00064E3C" w:rsidP="005F6BC0">
            <w:pPr>
              <w:spacing w:after="0" w:line="240" w:lineRule="auto"/>
              <w:jc w:val="center"/>
              <w:rPr>
                <w:rFonts w:cstheme="minorHAnsi"/>
                <w:b/>
                <w:bCs/>
                <w:sz w:val="24"/>
                <w:szCs w:val="24"/>
              </w:rPr>
            </w:pPr>
            <w:r w:rsidRPr="0043547B">
              <w:rPr>
                <w:rFonts w:cstheme="minorHAnsi"/>
                <w:b/>
                <w:bCs/>
                <w:sz w:val="24"/>
                <w:szCs w:val="24"/>
              </w:rPr>
              <w:lastRenderedPageBreak/>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tcPr>
          <w:p w:rsidR="00064E3C" w:rsidRPr="0043547B" w:rsidRDefault="00064E3C" w:rsidP="005F6BC0">
            <w:pPr>
              <w:spacing w:after="0" w:line="240" w:lineRule="auto"/>
              <w:rPr>
                <w:rFonts w:cstheme="minorHAnsi"/>
                <w:sz w:val="24"/>
                <w:szCs w:val="24"/>
              </w:rPr>
            </w:pPr>
            <w:r w:rsidRPr="0043547B">
              <w:rPr>
                <w:rFonts w:cstheme="minorHAnsi"/>
                <w:sz w:val="24"/>
                <w:szCs w:val="24"/>
              </w:rPr>
              <w:t xml:space="preserve">Travaux de bâtiment - Revêtements de peinture en feuil mince, semi-épais, ou épais - Cahier des clauses techniques types ; </w:t>
            </w:r>
          </w:p>
        </w:tc>
      </w:tr>
      <w:tr w:rsidR="0043547B" w:rsidRPr="0043547B" w:rsidTr="00554CF5">
        <w:trPr>
          <w:trHeight w:val="442"/>
          <w:jc w:val="center"/>
        </w:trPr>
        <w:tc>
          <w:tcPr>
            <w:tcW w:w="1843" w:type="dxa"/>
            <w:tcBorders>
              <w:top w:val="single" w:sz="4" w:space="0" w:color="auto"/>
              <w:left w:val="single" w:sz="18" w:space="0" w:color="auto"/>
              <w:bottom w:val="single" w:sz="18" w:space="0" w:color="auto"/>
              <w:right w:val="single" w:sz="4" w:space="0" w:color="auto"/>
            </w:tcBorders>
            <w:shd w:val="clear" w:color="000000" w:fill="D9D9D9"/>
            <w:vAlign w:val="center"/>
          </w:tcPr>
          <w:p w:rsidR="00064E3C" w:rsidRPr="0043547B" w:rsidRDefault="00064E3C" w:rsidP="005F6BC0">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tcPr>
          <w:p w:rsidR="005F6BC0" w:rsidRDefault="00064E3C" w:rsidP="005F6BC0">
            <w:pPr>
              <w:spacing w:after="0" w:line="240" w:lineRule="auto"/>
              <w:jc w:val="both"/>
              <w:rPr>
                <w:rFonts w:cstheme="minorHAnsi"/>
                <w:sz w:val="24"/>
                <w:szCs w:val="24"/>
              </w:rPr>
            </w:pPr>
            <w:r w:rsidRPr="0043547B">
              <w:rPr>
                <w:rFonts w:cstheme="minorHAnsi"/>
                <w:sz w:val="24"/>
                <w:szCs w:val="24"/>
              </w:rPr>
              <w:t>Le présent document propose des clauses types de spécifications de mise en oeuvre pour les travaux</w:t>
            </w:r>
            <w:r w:rsidR="00F22FCF">
              <w:rPr>
                <w:rFonts w:cstheme="minorHAnsi"/>
                <w:sz w:val="24"/>
                <w:szCs w:val="24"/>
              </w:rPr>
              <w:t xml:space="preserve"> </w:t>
            </w:r>
            <w:r w:rsidRPr="0043547B">
              <w:rPr>
                <w:rFonts w:cstheme="minorHAnsi"/>
                <w:sz w:val="24"/>
                <w:szCs w:val="24"/>
              </w:rPr>
              <w:t>de revêtements de peinture.</w:t>
            </w:r>
          </w:p>
          <w:p w:rsidR="005F6BC0" w:rsidRDefault="00064E3C" w:rsidP="005F6BC0">
            <w:pPr>
              <w:spacing w:after="0" w:line="240" w:lineRule="auto"/>
              <w:jc w:val="both"/>
              <w:rPr>
                <w:rFonts w:cstheme="minorHAnsi"/>
                <w:sz w:val="24"/>
                <w:szCs w:val="24"/>
              </w:rPr>
            </w:pPr>
            <w:r w:rsidRPr="0043547B">
              <w:rPr>
                <w:rFonts w:cstheme="minorHAnsi"/>
                <w:sz w:val="24"/>
                <w:szCs w:val="24"/>
              </w:rPr>
              <w:t>Il s'applique à l'extérieur et à l'intérieur des bâtiments pour :</w:t>
            </w:r>
          </w:p>
          <w:p w:rsidR="005F6BC0" w:rsidRDefault="00064E3C" w:rsidP="005F6BC0">
            <w:pPr>
              <w:spacing w:after="0" w:line="240" w:lineRule="auto"/>
              <w:jc w:val="both"/>
              <w:rPr>
                <w:rFonts w:cstheme="minorHAnsi"/>
                <w:sz w:val="24"/>
                <w:szCs w:val="24"/>
              </w:rPr>
            </w:pPr>
            <w:r w:rsidRPr="0043547B">
              <w:rPr>
                <w:rFonts w:cstheme="minorHAnsi"/>
                <w:sz w:val="24"/>
                <w:szCs w:val="24"/>
              </w:rPr>
              <w:t>— les travaux neufs de peinture et vernis sur tous subjectiles, y compris les travaux de décoration sur les subjectiles définis à l'Article 5, plâtre, béton, mortiers de ciment, bois, métaux ferreux et non ferreux ;</w:t>
            </w:r>
          </w:p>
          <w:p w:rsidR="005F6BC0" w:rsidRDefault="00064E3C" w:rsidP="005F6BC0">
            <w:pPr>
              <w:spacing w:after="0" w:line="240" w:lineRule="auto"/>
              <w:jc w:val="both"/>
              <w:rPr>
                <w:rFonts w:cstheme="minorHAnsi"/>
                <w:sz w:val="24"/>
                <w:szCs w:val="24"/>
              </w:rPr>
            </w:pPr>
            <w:r w:rsidRPr="0043547B">
              <w:rPr>
                <w:rFonts w:cstheme="minorHAnsi"/>
                <w:sz w:val="24"/>
                <w:szCs w:val="24"/>
              </w:rPr>
              <w:t>— les travaux de rénovation exécutés sur anciens fonds.</w:t>
            </w:r>
          </w:p>
          <w:p w:rsidR="005F6BC0" w:rsidRPr="005F6BC0" w:rsidRDefault="00064E3C" w:rsidP="005F6BC0">
            <w:pPr>
              <w:spacing w:after="0" w:line="240" w:lineRule="auto"/>
              <w:jc w:val="both"/>
              <w:rPr>
                <w:rFonts w:cstheme="minorHAnsi"/>
                <w:i/>
                <w:iCs/>
              </w:rPr>
            </w:pPr>
            <w:r w:rsidRPr="005F6BC0">
              <w:rPr>
                <w:rFonts w:cstheme="minorHAnsi"/>
                <w:b/>
                <w:bCs/>
                <w:i/>
                <w:iCs/>
              </w:rPr>
              <w:t xml:space="preserve">NOTE 1 : </w:t>
            </w:r>
            <w:r w:rsidRPr="005F6BC0">
              <w:rPr>
                <w:rFonts w:cstheme="minorHAnsi"/>
                <w:i/>
                <w:iCs/>
              </w:rPr>
              <w:t>En vertu des normes en vigueur (se reporter au NF DTU 59.1 P1-2 CGM), et selon la terminologie qui a remplacé sous la même abréviation « RPE » celle des 'revêtements plastiques épais', ce document est applicable aux « revêtements de peinture épais » destinés à recouvrir les subjectiles conformes au NF DTU 23.1 et NF DTU 26.1 visés au 3.3.3</w:t>
            </w:r>
            <w:r w:rsidR="005F6BC0" w:rsidRPr="005F6BC0">
              <w:rPr>
                <w:rFonts w:cstheme="minorHAnsi"/>
                <w:i/>
                <w:iCs/>
              </w:rPr>
              <w:t xml:space="preserve"> </w:t>
            </w:r>
            <w:r w:rsidRPr="005F6BC0">
              <w:rPr>
                <w:rFonts w:cstheme="minorHAnsi"/>
                <w:i/>
                <w:iCs/>
              </w:rPr>
              <w:t>(Tableau 6), et la norme NF P 74-202 (DTU 59.2) a été annulée en conséquence.</w:t>
            </w:r>
          </w:p>
          <w:p w:rsidR="005F6BC0" w:rsidRDefault="00064E3C" w:rsidP="005F6BC0">
            <w:pPr>
              <w:spacing w:after="0" w:line="240" w:lineRule="auto"/>
              <w:jc w:val="both"/>
              <w:rPr>
                <w:rFonts w:cstheme="minorHAnsi"/>
                <w:sz w:val="24"/>
                <w:szCs w:val="24"/>
              </w:rPr>
            </w:pPr>
            <w:r w:rsidRPr="0043547B">
              <w:rPr>
                <w:rFonts w:cstheme="minorHAnsi"/>
                <w:sz w:val="24"/>
                <w:szCs w:val="24"/>
              </w:rPr>
              <w:t xml:space="preserve">Les enduits de parement plastiques sous Avis Technique, qui selon cette norme pouvaient être mis en </w:t>
            </w:r>
            <w:r w:rsidR="005F6BC0" w:rsidRPr="0043547B">
              <w:rPr>
                <w:rFonts w:cstheme="minorHAnsi"/>
                <w:sz w:val="24"/>
                <w:szCs w:val="24"/>
              </w:rPr>
              <w:t>œuvre</w:t>
            </w:r>
            <w:r w:rsidRPr="0043547B">
              <w:rPr>
                <w:rFonts w:cstheme="minorHAnsi"/>
                <w:sz w:val="24"/>
                <w:szCs w:val="24"/>
              </w:rPr>
              <w:t xml:space="preserve"> comme les revêtements plastiques épais avec les anciennes dénominations pratiquées, sont désormais visés en qualité de « finitions organiques » dans NF DTU 26.1. Les Avis Techniques correspondants ont été supprimés et la conformité de ces enduits à des spécifications harmonisées est attesté par le marquage CE (se reporter au NF DTU 59.1 P1-2 CGM).</w:t>
            </w:r>
          </w:p>
          <w:p w:rsidR="005F6BC0" w:rsidRDefault="00064E3C" w:rsidP="005F6BC0">
            <w:pPr>
              <w:spacing w:after="0" w:line="240" w:lineRule="auto"/>
              <w:jc w:val="both"/>
              <w:rPr>
                <w:rFonts w:cstheme="minorHAnsi"/>
                <w:sz w:val="24"/>
                <w:szCs w:val="24"/>
              </w:rPr>
            </w:pPr>
            <w:r w:rsidRPr="0043547B">
              <w:rPr>
                <w:rFonts w:cstheme="minorHAnsi"/>
                <w:sz w:val="24"/>
                <w:szCs w:val="24"/>
              </w:rPr>
              <w:t>Il en résulte que les RPE ne peuvent plus remplir les mêmes fonctions que la couche de finition d’un enduit traditionnel conforme au NF DTU 26.1</w:t>
            </w:r>
            <w:r w:rsidRPr="0043547B">
              <w:rPr>
                <w:rFonts w:cstheme="minorHAnsi"/>
                <w:sz w:val="24"/>
                <w:szCs w:val="24"/>
              </w:rPr>
              <w:br/>
              <w:t>Le présent document est applicable dans toutes les zones climatiques ou naturelles françaises, y compris en climat tropical (voir 7.1).</w:t>
            </w:r>
          </w:p>
          <w:p w:rsidR="005F6BC0" w:rsidRPr="005F6BC0" w:rsidRDefault="00064E3C" w:rsidP="005F6BC0">
            <w:pPr>
              <w:spacing w:after="0" w:line="240" w:lineRule="auto"/>
              <w:jc w:val="both"/>
              <w:rPr>
                <w:rFonts w:cstheme="minorHAnsi"/>
                <w:i/>
                <w:iCs/>
              </w:rPr>
            </w:pPr>
            <w:r w:rsidRPr="005F6BC0">
              <w:rPr>
                <w:rFonts w:cstheme="minorHAnsi"/>
                <w:b/>
                <w:bCs/>
                <w:i/>
                <w:iCs/>
              </w:rPr>
              <w:t>NOTE 2 :</w:t>
            </w:r>
            <w:r w:rsidRPr="005F6BC0">
              <w:rPr>
                <w:rFonts w:cstheme="minorHAnsi"/>
                <w:i/>
                <w:iCs/>
              </w:rPr>
              <w:t xml:space="preserve"> Le domaine d’application couvre tous les départements d’Outre Mer.</w:t>
            </w:r>
          </w:p>
          <w:p w:rsidR="005F6BC0" w:rsidRDefault="00064E3C" w:rsidP="005F6BC0">
            <w:pPr>
              <w:spacing w:after="0" w:line="240" w:lineRule="auto"/>
              <w:jc w:val="both"/>
              <w:rPr>
                <w:rFonts w:cstheme="minorHAnsi"/>
                <w:sz w:val="24"/>
                <w:szCs w:val="24"/>
              </w:rPr>
            </w:pPr>
            <w:r w:rsidRPr="0043547B">
              <w:rPr>
                <w:rFonts w:cstheme="minorHAnsi"/>
                <w:sz w:val="24"/>
                <w:szCs w:val="24"/>
              </w:rPr>
              <w:t>Il peut également servir de référence pour les travaux d'entretien (voir également Annexe A), ainsi que pour les travaux de peinture sur ouvrages de génie civil. Pour les travaux sur bâtiments industriels à composants métalliques ou en béton, il peut être fait référence à des spécifications particulières. Mais à défaut de celles-ci et notamment pour les immeubles d'autre destination, ce document peut constituer une référence minimale. Il en est de même pour les composants industrialisés de bâtiments fabriqués en usine ou atelier et incorporés dans la construction, dans le domaine d'application visé.</w:t>
            </w:r>
          </w:p>
          <w:p w:rsidR="005F6BC0" w:rsidRDefault="00064E3C" w:rsidP="005F6BC0">
            <w:pPr>
              <w:spacing w:after="0" w:line="240" w:lineRule="auto"/>
              <w:jc w:val="both"/>
              <w:rPr>
                <w:rFonts w:cstheme="minorHAnsi"/>
                <w:sz w:val="24"/>
                <w:szCs w:val="24"/>
              </w:rPr>
            </w:pPr>
            <w:r w:rsidRPr="0043547B">
              <w:rPr>
                <w:rFonts w:cstheme="minorHAnsi"/>
                <w:sz w:val="24"/>
                <w:szCs w:val="24"/>
              </w:rPr>
              <w:t>Le présent document ne s'applique pas :</w:t>
            </w:r>
          </w:p>
          <w:p w:rsidR="005F6BC0" w:rsidRDefault="00064E3C" w:rsidP="005F6BC0">
            <w:pPr>
              <w:spacing w:after="0" w:line="240" w:lineRule="auto"/>
              <w:jc w:val="both"/>
              <w:rPr>
                <w:rFonts w:cstheme="minorHAnsi"/>
                <w:sz w:val="24"/>
                <w:szCs w:val="24"/>
              </w:rPr>
            </w:pPr>
            <w:r w:rsidRPr="0043547B">
              <w:rPr>
                <w:rFonts w:cstheme="minorHAnsi"/>
                <w:sz w:val="24"/>
                <w:szCs w:val="24"/>
              </w:rPr>
              <w:t>— aux subjectiles de sols</w:t>
            </w:r>
          </w:p>
          <w:p w:rsidR="005F6BC0" w:rsidRPr="005F6BC0" w:rsidRDefault="00064E3C" w:rsidP="005F6BC0">
            <w:pPr>
              <w:spacing w:after="0" w:line="240" w:lineRule="auto"/>
              <w:jc w:val="both"/>
              <w:rPr>
                <w:rFonts w:cstheme="minorHAnsi"/>
                <w:i/>
                <w:iCs/>
              </w:rPr>
            </w:pPr>
            <w:r w:rsidRPr="005F6BC0">
              <w:rPr>
                <w:rFonts w:cstheme="minorHAnsi"/>
                <w:b/>
                <w:bCs/>
                <w:i/>
                <w:iCs/>
              </w:rPr>
              <w:t>NOTE 3</w:t>
            </w:r>
            <w:r w:rsidR="005F6BC0" w:rsidRPr="005F6BC0">
              <w:rPr>
                <w:rFonts w:cstheme="minorHAnsi"/>
                <w:i/>
                <w:iCs/>
              </w:rPr>
              <w:t xml:space="preserve"> : </w:t>
            </w:r>
            <w:r w:rsidRPr="005F6BC0">
              <w:rPr>
                <w:rFonts w:cstheme="minorHAnsi"/>
                <w:i/>
                <w:iCs/>
              </w:rPr>
              <w:t>Ceux-ci relèvent du NF DTU 59.3.</w:t>
            </w:r>
          </w:p>
          <w:p w:rsidR="005F6BC0" w:rsidRPr="005F6BC0" w:rsidRDefault="00064E3C" w:rsidP="005F6BC0">
            <w:pPr>
              <w:spacing w:after="0" w:line="240" w:lineRule="auto"/>
              <w:jc w:val="both"/>
              <w:rPr>
                <w:rFonts w:cstheme="minorHAnsi"/>
                <w:i/>
                <w:iCs/>
              </w:rPr>
            </w:pPr>
            <w:r w:rsidRPr="0043547B">
              <w:rPr>
                <w:rFonts w:cstheme="minorHAnsi"/>
                <w:sz w:val="24"/>
                <w:szCs w:val="24"/>
              </w:rPr>
              <w:t>— aux réfections de façade en service par revêtement d'imperméabilité</w:t>
            </w:r>
            <w:r w:rsidRPr="0043547B">
              <w:rPr>
                <w:rFonts w:cstheme="minorHAnsi"/>
                <w:sz w:val="24"/>
                <w:szCs w:val="24"/>
              </w:rPr>
              <w:br/>
            </w:r>
            <w:r w:rsidRPr="005F6BC0">
              <w:rPr>
                <w:rFonts w:cstheme="minorHAnsi"/>
                <w:b/>
                <w:bCs/>
                <w:i/>
                <w:iCs/>
              </w:rPr>
              <w:t>NOTE 4</w:t>
            </w:r>
            <w:r w:rsidR="005F6BC0" w:rsidRPr="005F6BC0">
              <w:rPr>
                <w:rFonts w:cstheme="minorHAnsi"/>
                <w:i/>
                <w:iCs/>
              </w:rPr>
              <w:t xml:space="preserve"> : </w:t>
            </w:r>
            <w:r w:rsidRPr="005F6BC0">
              <w:rPr>
                <w:rFonts w:cstheme="minorHAnsi"/>
                <w:i/>
                <w:iCs/>
              </w:rPr>
              <w:t>Ceux-ci relèvent du NF DTU 42.1.</w:t>
            </w:r>
          </w:p>
          <w:p w:rsidR="005F6BC0" w:rsidRDefault="00064E3C" w:rsidP="005F6BC0">
            <w:pPr>
              <w:spacing w:after="0" w:line="240" w:lineRule="auto"/>
              <w:jc w:val="both"/>
              <w:rPr>
                <w:rFonts w:cstheme="minorHAnsi"/>
                <w:sz w:val="24"/>
                <w:szCs w:val="24"/>
              </w:rPr>
            </w:pPr>
            <w:r w:rsidRPr="0043547B">
              <w:rPr>
                <w:rFonts w:cstheme="minorHAnsi"/>
                <w:sz w:val="24"/>
                <w:szCs w:val="24"/>
              </w:rPr>
              <w:t>Enfin, les travaux sur enduits de plâtre extérieurs ne sont visés que sur maçonneries anciennes lorsqu’il s’agit</w:t>
            </w:r>
            <w:r w:rsidR="00F22FCF">
              <w:rPr>
                <w:rFonts w:cstheme="minorHAnsi"/>
                <w:sz w:val="24"/>
                <w:szCs w:val="24"/>
              </w:rPr>
              <w:t xml:space="preserve"> </w:t>
            </w:r>
            <w:r w:rsidRPr="0043547B">
              <w:rPr>
                <w:rFonts w:cstheme="minorHAnsi"/>
                <w:sz w:val="24"/>
                <w:szCs w:val="24"/>
              </w:rPr>
              <w:t>d’une réfection complète de l’enduit de façade à l’aide d’un mortier de plâtre et chaux aérienne conformément</w:t>
            </w:r>
            <w:r w:rsidRPr="0043547B">
              <w:rPr>
                <w:rFonts w:cstheme="minorHAnsi"/>
                <w:sz w:val="24"/>
                <w:szCs w:val="24"/>
              </w:rPr>
              <w:br/>
              <w:t>au NF DTU 26.1. Les travaux sur enduits de plâtre extérieurs réparés partiellement ne sont pas visés, et sont</w:t>
            </w:r>
            <w:r w:rsidR="00F22FCF">
              <w:rPr>
                <w:rFonts w:cstheme="minorHAnsi"/>
                <w:sz w:val="24"/>
                <w:szCs w:val="24"/>
              </w:rPr>
              <w:t xml:space="preserve"> </w:t>
            </w:r>
            <w:r w:rsidRPr="0043547B">
              <w:rPr>
                <w:rFonts w:cstheme="minorHAnsi"/>
                <w:sz w:val="24"/>
                <w:szCs w:val="24"/>
              </w:rPr>
              <w:t>à effectuer selon le NF DTU 42.1.</w:t>
            </w:r>
          </w:p>
          <w:p w:rsidR="005F6BC0" w:rsidRDefault="00064E3C" w:rsidP="005F6BC0">
            <w:pPr>
              <w:spacing w:after="0" w:line="240" w:lineRule="auto"/>
              <w:jc w:val="both"/>
              <w:rPr>
                <w:rFonts w:cstheme="minorHAnsi"/>
                <w:i/>
                <w:iCs/>
              </w:rPr>
            </w:pPr>
            <w:r w:rsidRPr="005F6BC0">
              <w:rPr>
                <w:rFonts w:cstheme="minorHAnsi"/>
                <w:b/>
                <w:bCs/>
                <w:i/>
                <w:iCs/>
              </w:rPr>
              <w:t>NOTE 5</w:t>
            </w:r>
            <w:r w:rsidR="005F6BC0" w:rsidRPr="005F6BC0">
              <w:rPr>
                <w:rFonts w:cstheme="minorHAnsi"/>
                <w:i/>
                <w:iCs/>
              </w:rPr>
              <w:t> :</w:t>
            </w:r>
            <w:r w:rsidRPr="005F6BC0">
              <w:rPr>
                <w:rFonts w:cstheme="minorHAnsi"/>
                <w:i/>
                <w:iCs/>
              </w:rPr>
              <w:t xml:space="preserve"> Les enduits de façades au mortier de plâtre et chaux aérienne réalisés sur maçonneries anciennes, et leur</w:t>
            </w:r>
            <w:r w:rsidR="00F22FCF" w:rsidRPr="005F6BC0">
              <w:rPr>
                <w:rFonts w:cstheme="minorHAnsi"/>
                <w:i/>
                <w:iCs/>
              </w:rPr>
              <w:t xml:space="preserve"> </w:t>
            </w:r>
            <w:r w:rsidRPr="005F6BC0">
              <w:rPr>
                <w:rFonts w:cstheme="minorHAnsi"/>
                <w:i/>
                <w:iCs/>
              </w:rPr>
              <w:t>technique d’exécution, sont définis dans le NF DTU 26.1.</w:t>
            </w:r>
          </w:p>
          <w:p w:rsidR="005F6BC0" w:rsidRPr="005F6BC0" w:rsidRDefault="00064E3C" w:rsidP="00CB5DC0">
            <w:pPr>
              <w:spacing w:after="0" w:line="240" w:lineRule="auto"/>
              <w:jc w:val="both"/>
              <w:rPr>
                <w:rFonts w:cstheme="minorHAnsi"/>
                <w:sz w:val="24"/>
                <w:szCs w:val="24"/>
              </w:rPr>
            </w:pPr>
            <w:r w:rsidRPr="005F6BC0">
              <w:rPr>
                <w:rFonts w:cstheme="minorHAnsi"/>
                <w:sz w:val="24"/>
                <w:szCs w:val="24"/>
              </w:rPr>
              <w:t>Il prévoit (sauf reprises partielles à traiter selon le NF DTU 42.1)</w:t>
            </w:r>
            <w:r w:rsidR="00CB5DC0">
              <w:rPr>
                <w:rFonts w:cstheme="minorHAnsi"/>
                <w:sz w:val="24"/>
                <w:szCs w:val="24"/>
              </w:rPr>
              <w:t xml:space="preserve"> </w:t>
            </w:r>
            <w:r w:rsidRPr="005F6BC0">
              <w:rPr>
                <w:rFonts w:cstheme="minorHAnsi"/>
                <w:sz w:val="24"/>
                <w:szCs w:val="24"/>
              </w:rPr>
              <w:t>leur recouvrement possible par un revêtement hydrofuge ou filmogène compatible (microporeux, organique, ou minéral</w:t>
            </w:r>
            <w:r w:rsidR="00F22FCF" w:rsidRPr="005F6BC0">
              <w:rPr>
                <w:rFonts w:cstheme="minorHAnsi"/>
                <w:sz w:val="24"/>
                <w:szCs w:val="24"/>
              </w:rPr>
              <w:t xml:space="preserve"> </w:t>
            </w:r>
            <w:r w:rsidRPr="005F6BC0">
              <w:rPr>
                <w:rFonts w:cstheme="minorHAnsi"/>
                <w:sz w:val="24"/>
                <w:szCs w:val="24"/>
              </w:rPr>
              <w:t>à base de chaux ou de silicate de potassium) selon le NF DTU 59.1.</w:t>
            </w:r>
          </w:p>
          <w:p w:rsidR="005F6BC0" w:rsidRDefault="00064E3C" w:rsidP="005F6BC0">
            <w:pPr>
              <w:spacing w:after="0" w:line="240" w:lineRule="auto"/>
              <w:jc w:val="both"/>
              <w:rPr>
                <w:rFonts w:cstheme="minorHAnsi"/>
                <w:sz w:val="24"/>
                <w:szCs w:val="24"/>
              </w:rPr>
            </w:pPr>
            <w:r w:rsidRPr="0043547B">
              <w:rPr>
                <w:rFonts w:cstheme="minorHAnsi"/>
                <w:sz w:val="24"/>
                <w:szCs w:val="24"/>
              </w:rPr>
              <w:lastRenderedPageBreak/>
              <w:t>Le présent document permet de définir, à partir des tableaux de l’Article 6, les niveaux de prestations demandés</w:t>
            </w:r>
            <w:r w:rsidR="00F22FCF">
              <w:rPr>
                <w:rFonts w:cstheme="minorHAnsi"/>
                <w:sz w:val="24"/>
                <w:szCs w:val="24"/>
              </w:rPr>
              <w:t xml:space="preserve"> </w:t>
            </w:r>
            <w:r w:rsidRPr="0043547B">
              <w:rPr>
                <w:rFonts w:cstheme="minorHAnsi"/>
                <w:sz w:val="24"/>
                <w:szCs w:val="24"/>
              </w:rPr>
              <w:t>suivant leur localisation (intérieur ou extérieur), sans description des opérations nécessaires, mais en précisant</w:t>
            </w:r>
            <w:r w:rsidRPr="0043547B">
              <w:rPr>
                <w:rFonts w:cstheme="minorHAnsi"/>
                <w:sz w:val="24"/>
                <w:szCs w:val="24"/>
              </w:rPr>
              <w:br/>
              <w:t>simplement les critères suivants :</w:t>
            </w:r>
          </w:p>
          <w:p w:rsidR="005F6BC0" w:rsidRPr="005F6BC0" w:rsidRDefault="00064E3C" w:rsidP="005F6BC0">
            <w:pPr>
              <w:spacing w:after="0" w:line="240" w:lineRule="auto"/>
              <w:rPr>
                <w:rFonts w:cstheme="minorHAnsi"/>
                <w:sz w:val="2"/>
                <w:szCs w:val="2"/>
              </w:rPr>
            </w:pPr>
            <w:r w:rsidRPr="0043547B">
              <w:rPr>
                <w:rFonts w:cstheme="minorHAnsi"/>
                <w:sz w:val="24"/>
                <w:szCs w:val="24"/>
              </w:rPr>
              <w:t>— nature du subjectile, complétée lorsqu’indiqué par la présentation de la surface livrée ;</w:t>
            </w:r>
            <w:r w:rsidRPr="0043547B">
              <w:rPr>
                <w:rFonts w:cstheme="minorHAnsi"/>
                <w:sz w:val="24"/>
                <w:szCs w:val="24"/>
              </w:rPr>
              <w:br/>
              <w:t>— état de finition recherché : type A, B ou C (sauf pour certains subjectiles ou ce choix est plus restrictif notamment</w:t>
            </w:r>
            <w:r w:rsidR="00F22FCF">
              <w:rPr>
                <w:rFonts w:cstheme="minorHAnsi"/>
                <w:sz w:val="24"/>
                <w:szCs w:val="24"/>
              </w:rPr>
              <w:t xml:space="preserve"> </w:t>
            </w:r>
            <w:r w:rsidRPr="0043547B">
              <w:rPr>
                <w:rFonts w:cstheme="minorHAnsi"/>
                <w:sz w:val="24"/>
                <w:szCs w:val="24"/>
              </w:rPr>
              <w:t xml:space="preserve">pour l’entretien/rénovation d’anciens fonds peints pour lesquels l’état de finition A </w:t>
            </w:r>
            <w:r w:rsidR="00F21DCC" w:rsidRPr="0043547B">
              <w:rPr>
                <w:rFonts w:cstheme="minorHAnsi"/>
                <w:sz w:val="24"/>
                <w:szCs w:val="24"/>
              </w:rPr>
              <w:t>nécessité</w:t>
            </w:r>
            <w:r w:rsidRPr="0043547B">
              <w:rPr>
                <w:rFonts w:cstheme="minorHAnsi"/>
                <w:sz w:val="24"/>
                <w:szCs w:val="24"/>
              </w:rPr>
              <w:t xml:space="preserve"> l’établissement de</w:t>
            </w:r>
            <w:r w:rsidRPr="0043547B">
              <w:rPr>
                <w:rFonts w:cstheme="minorHAnsi"/>
                <w:sz w:val="24"/>
                <w:szCs w:val="24"/>
              </w:rPr>
              <w:br/>
              <w:t>prescriptions spécifiques dans les documents particuliers du marché [DPM, voir 3.2 NF DTU 59.1 P2 (CCS)] ;</w:t>
            </w:r>
            <w:r w:rsidRPr="0043547B">
              <w:rPr>
                <w:rFonts w:cstheme="minorHAnsi"/>
                <w:sz w:val="24"/>
                <w:szCs w:val="24"/>
              </w:rPr>
              <w:br/>
              <w:t>— aspect :</w:t>
            </w:r>
            <w:r w:rsidRPr="0043547B">
              <w:rPr>
                <w:rFonts w:cstheme="minorHAnsi"/>
                <w:sz w:val="24"/>
                <w:szCs w:val="24"/>
              </w:rPr>
              <w:br/>
              <w:t>- coloris ;</w:t>
            </w:r>
            <w:r w:rsidRPr="0043547B">
              <w:rPr>
                <w:rFonts w:cstheme="minorHAnsi"/>
                <w:sz w:val="24"/>
                <w:szCs w:val="24"/>
              </w:rPr>
              <w:br/>
              <w:t>- mat, satiné ou brillant ;</w:t>
            </w:r>
            <w:r w:rsidRPr="0043547B">
              <w:rPr>
                <w:rFonts w:cstheme="minorHAnsi"/>
                <w:sz w:val="24"/>
                <w:szCs w:val="24"/>
              </w:rPr>
              <w:br/>
              <w:t>- lisse, finement poché, poché, ou structuré.</w:t>
            </w:r>
            <w:r w:rsidRPr="0043547B">
              <w:rPr>
                <w:rFonts w:cstheme="minorHAnsi"/>
                <w:sz w:val="24"/>
                <w:szCs w:val="24"/>
              </w:rPr>
              <w:br/>
            </w:r>
          </w:p>
          <w:p w:rsidR="005F6BC0" w:rsidRDefault="00064E3C" w:rsidP="005F6BC0">
            <w:pPr>
              <w:spacing w:after="0" w:line="240" w:lineRule="auto"/>
              <w:jc w:val="both"/>
              <w:rPr>
                <w:rFonts w:cstheme="minorHAnsi"/>
                <w:sz w:val="24"/>
                <w:szCs w:val="24"/>
              </w:rPr>
            </w:pPr>
            <w:r w:rsidRPr="0043547B">
              <w:rPr>
                <w:rFonts w:cstheme="minorHAnsi"/>
                <w:sz w:val="24"/>
                <w:szCs w:val="24"/>
              </w:rPr>
              <w:t>Les tableaux de l’Article 6 décrivent les travaux préparatoires, d’apprêt, et de finition, quand ils s’appliquent</w:t>
            </w:r>
            <w:r w:rsidR="00F22FCF">
              <w:rPr>
                <w:rFonts w:cstheme="minorHAnsi"/>
                <w:sz w:val="24"/>
                <w:szCs w:val="24"/>
              </w:rPr>
              <w:t xml:space="preserve"> </w:t>
            </w:r>
            <w:r w:rsidRPr="0043547B">
              <w:rPr>
                <w:rFonts w:cstheme="minorHAnsi"/>
                <w:sz w:val="24"/>
                <w:szCs w:val="24"/>
              </w:rPr>
              <w:t>[en général il ne s’agit pas d’hydrofuges de surface (voir 7.6.1.6) qui par nature ne s’emploient qu’en finition C</w:t>
            </w:r>
            <w:r w:rsidR="005F6BC0">
              <w:rPr>
                <w:rFonts w:cstheme="minorHAnsi"/>
                <w:sz w:val="24"/>
                <w:szCs w:val="24"/>
              </w:rPr>
              <w:t xml:space="preserve"> </w:t>
            </w:r>
            <w:r w:rsidRPr="0043547B">
              <w:rPr>
                <w:rFonts w:cstheme="minorHAnsi"/>
                <w:sz w:val="24"/>
                <w:szCs w:val="24"/>
              </w:rPr>
              <w:t>après brossage, époussetage, égrenage du parement, ou d’un état de finition spécifique, tel qu’avec des enduits</w:t>
            </w:r>
            <w:r w:rsidR="00F22FCF">
              <w:rPr>
                <w:rFonts w:cstheme="minorHAnsi"/>
                <w:sz w:val="24"/>
                <w:szCs w:val="24"/>
              </w:rPr>
              <w:t xml:space="preserve"> </w:t>
            </w:r>
            <w:r w:rsidRPr="0043547B">
              <w:rPr>
                <w:rFonts w:cstheme="minorHAnsi"/>
                <w:sz w:val="24"/>
                <w:szCs w:val="24"/>
              </w:rPr>
              <w:t>décoratifs (voir 7.2.2.4.)].</w:t>
            </w:r>
          </w:p>
          <w:p w:rsidR="005F6BC0" w:rsidRPr="005F6BC0" w:rsidRDefault="00064E3C" w:rsidP="005F6BC0">
            <w:pPr>
              <w:spacing w:after="0" w:line="240" w:lineRule="auto"/>
              <w:jc w:val="both"/>
              <w:rPr>
                <w:rFonts w:cstheme="minorHAnsi"/>
                <w:i/>
                <w:iCs/>
              </w:rPr>
            </w:pPr>
            <w:r w:rsidRPr="005F6BC0">
              <w:rPr>
                <w:rFonts w:cstheme="minorHAnsi"/>
                <w:b/>
                <w:bCs/>
                <w:i/>
                <w:iCs/>
              </w:rPr>
              <w:t>NOTE 6</w:t>
            </w:r>
            <w:r w:rsidR="005F6BC0" w:rsidRPr="005F6BC0">
              <w:rPr>
                <w:rFonts w:cstheme="minorHAnsi"/>
                <w:i/>
                <w:iCs/>
              </w:rPr>
              <w:t xml:space="preserve"> : </w:t>
            </w:r>
            <w:r w:rsidRPr="005F6BC0">
              <w:rPr>
                <w:rFonts w:cstheme="minorHAnsi"/>
                <w:i/>
                <w:iCs/>
              </w:rPr>
              <w:t>Exemple pour travaux intérieurs (voir Tableau 6) :</w:t>
            </w:r>
          </w:p>
          <w:p w:rsidR="005F6BC0" w:rsidRPr="005F6BC0" w:rsidRDefault="005F6BC0" w:rsidP="005F6BC0">
            <w:pPr>
              <w:spacing w:after="0" w:line="240" w:lineRule="auto"/>
              <w:jc w:val="both"/>
              <w:rPr>
                <w:rFonts w:cstheme="minorHAnsi"/>
                <w:i/>
                <w:iCs/>
                <w:sz w:val="2"/>
                <w:szCs w:val="2"/>
              </w:rPr>
            </w:pPr>
          </w:p>
          <w:p w:rsidR="005F6BC0" w:rsidRPr="005F6BC0" w:rsidRDefault="00064E3C" w:rsidP="005F6BC0">
            <w:pPr>
              <w:spacing w:after="0" w:line="240" w:lineRule="auto"/>
              <w:rPr>
                <w:rFonts w:cstheme="minorHAnsi"/>
                <w:i/>
                <w:iCs/>
                <w:sz w:val="4"/>
                <w:szCs w:val="4"/>
              </w:rPr>
            </w:pPr>
            <w:r w:rsidRPr="005F6BC0">
              <w:rPr>
                <w:rFonts w:cstheme="minorHAnsi"/>
                <w:i/>
                <w:iCs/>
              </w:rPr>
              <w:t>— subjectile de béton brut de décoffrage à parement élémentaire ;</w:t>
            </w:r>
            <w:r w:rsidRPr="005F6BC0">
              <w:rPr>
                <w:rFonts w:cstheme="minorHAnsi"/>
                <w:i/>
                <w:iCs/>
              </w:rPr>
              <w:br/>
              <w:t>— finition C ;</w:t>
            </w:r>
            <w:r w:rsidRPr="005F6BC0">
              <w:rPr>
                <w:rFonts w:cstheme="minorHAnsi"/>
                <w:i/>
                <w:iCs/>
              </w:rPr>
              <w:br/>
              <w:t>— aspect lisse mat, couleur RAL 1014 (ou équivalent).</w:t>
            </w:r>
            <w:r w:rsidRPr="005F6BC0">
              <w:rPr>
                <w:rFonts w:cstheme="minorHAnsi"/>
                <w:i/>
                <w:iCs/>
              </w:rPr>
              <w:br/>
            </w:r>
          </w:p>
          <w:p w:rsidR="005F6BC0" w:rsidRPr="005F6BC0" w:rsidRDefault="00064E3C" w:rsidP="005F6BC0">
            <w:pPr>
              <w:spacing w:after="0" w:line="240" w:lineRule="auto"/>
              <w:jc w:val="both"/>
              <w:rPr>
                <w:rFonts w:cstheme="minorHAnsi"/>
                <w:i/>
                <w:iCs/>
              </w:rPr>
            </w:pPr>
            <w:r w:rsidRPr="005F6BC0">
              <w:rPr>
                <w:rFonts w:cstheme="minorHAnsi"/>
                <w:b/>
                <w:bCs/>
                <w:i/>
                <w:iCs/>
              </w:rPr>
              <w:t>NOTE 7</w:t>
            </w:r>
            <w:r w:rsidR="005F6BC0" w:rsidRPr="005F6BC0">
              <w:rPr>
                <w:rFonts w:cstheme="minorHAnsi"/>
                <w:i/>
                <w:iCs/>
              </w:rPr>
              <w:t xml:space="preserve"> : </w:t>
            </w:r>
            <w:r w:rsidRPr="005F6BC0">
              <w:rPr>
                <w:rFonts w:cstheme="minorHAnsi"/>
                <w:i/>
                <w:iCs/>
              </w:rPr>
              <w:t>L’aspect structuré qui s’obtient avec des revêtements de peinture épais se dit également « texturé ».</w:t>
            </w:r>
          </w:p>
          <w:p w:rsidR="005F6BC0" w:rsidRPr="005F6BC0" w:rsidRDefault="00064E3C" w:rsidP="005F6BC0">
            <w:pPr>
              <w:spacing w:after="0" w:line="240" w:lineRule="auto"/>
              <w:jc w:val="both"/>
              <w:rPr>
                <w:rFonts w:cstheme="minorHAnsi"/>
                <w:i/>
                <w:iCs/>
              </w:rPr>
            </w:pPr>
            <w:r w:rsidRPr="005F6BC0">
              <w:rPr>
                <w:rFonts w:cstheme="minorHAnsi"/>
                <w:b/>
                <w:bCs/>
                <w:i/>
                <w:iCs/>
              </w:rPr>
              <w:t>NOTE 8</w:t>
            </w:r>
            <w:r w:rsidR="005F6BC0" w:rsidRPr="005F6BC0">
              <w:rPr>
                <w:rFonts w:cstheme="minorHAnsi"/>
                <w:i/>
                <w:iCs/>
              </w:rPr>
              <w:t xml:space="preserve"> : </w:t>
            </w:r>
            <w:r w:rsidRPr="005F6BC0">
              <w:rPr>
                <w:rFonts w:cstheme="minorHAnsi"/>
                <w:i/>
                <w:iCs/>
              </w:rPr>
              <w:t>Le document thématique ASPECTS &amp; FINITIONS du GPPF (AFNOR Editions) [1] permet de guider le choix</w:t>
            </w:r>
            <w:r w:rsidR="00F22FCF" w:rsidRPr="005F6BC0">
              <w:rPr>
                <w:rFonts w:cstheme="minorHAnsi"/>
                <w:i/>
                <w:iCs/>
              </w:rPr>
              <w:t xml:space="preserve"> </w:t>
            </w:r>
            <w:r w:rsidRPr="005F6BC0">
              <w:rPr>
                <w:rFonts w:cstheme="minorHAnsi"/>
                <w:i/>
                <w:iCs/>
              </w:rPr>
              <w:t>de l’état de finition à rechercher.</w:t>
            </w:r>
          </w:p>
          <w:p w:rsidR="005F6BC0" w:rsidRDefault="00064E3C" w:rsidP="005F6BC0">
            <w:pPr>
              <w:spacing w:after="0" w:line="240" w:lineRule="auto"/>
              <w:jc w:val="both"/>
              <w:rPr>
                <w:rFonts w:cstheme="minorHAnsi"/>
                <w:sz w:val="24"/>
                <w:szCs w:val="24"/>
              </w:rPr>
            </w:pPr>
            <w:r w:rsidRPr="0043547B">
              <w:rPr>
                <w:rFonts w:cstheme="minorHAnsi"/>
                <w:sz w:val="24"/>
                <w:szCs w:val="24"/>
              </w:rPr>
              <w:t>D’autres finitions spécifiques peuvent être définies dans les DPM (voir 3.2 du NF DTU 59.1 P 2 CCS).</w:t>
            </w:r>
          </w:p>
          <w:p w:rsidR="005F6BC0" w:rsidRPr="005F6BC0" w:rsidRDefault="00064E3C" w:rsidP="005F6BC0">
            <w:pPr>
              <w:spacing w:after="0" w:line="240" w:lineRule="auto"/>
              <w:jc w:val="both"/>
              <w:rPr>
                <w:rFonts w:cstheme="minorHAnsi"/>
                <w:i/>
                <w:iCs/>
              </w:rPr>
            </w:pPr>
            <w:r w:rsidRPr="005F6BC0">
              <w:rPr>
                <w:rFonts w:cstheme="minorHAnsi"/>
                <w:b/>
                <w:bCs/>
                <w:i/>
                <w:iCs/>
              </w:rPr>
              <w:t>NOTE 9</w:t>
            </w:r>
            <w:r w:rsidR="005F6BC0" w:rsidRPr="005F6BC0">
              <w:rPr>
                <w:rFonts w:cstheme="minorHAnsi"/>
                <w:i/>
                <w:iCs/>
              </w:rPr>
              <w:t xml:space="preserve"> : </w:t>
            </w:r>
            <w:r w:rsidRPr="005F6BC0">
              <w:rPr>
                <w:rFonts w:cstheme="minorHAnsi"/>
                <w:i/>
                <w:iCs/>
              </w:rPr>
              <w:t>C’est notamment le cas pour la finition lisse « tendue » nécessitant l’emploi d’une peinture laque brillante,</w:t>
            </w:r>
            <w:r w:rsidR="00F22FCF" w:rsidRPr="005F6BC0">
              <w:rPr>
                <w:rFonts w:cstheme="minorHAnsi"/>
                <w:i/>
                <w:iCs/>
              </w:rPr>
              <w:t xml:space="preserve"> </w:t>
            </w:r>
            <w:r w:rsidRPr="005F6BC0">
              <w:rPr>
                <w:rFonts w:cstheme="minorHAnsi"/>
                <w:i/>
                <w:iCs/>
              </w:rPr>
              <w:t>et pour les enduits décoratifs.</w:t>
            </w:r>
          </w:p>
          <w:p w:rsidR="005F6BC0" w:rsidRDefault="00064E3C" w:rsidP="005F6BC0">
            <w:pPr>
              <w:spacing w:after="0" w:line="240" w:lineRule="auto"/>
              <w:jc w:val="both"/>
              <w:rPr>
                <w:rFonts w:cstheme="minorHAnsi"/>
                <w:sz w:val="24"/>
                <w:szCs w:val="24"/>
              </w:rPr>
            </w:pPr>
            <w:r w:rsidRPr="0043547B">
              <w:rPr>
                <w:rFonts w:cstheme="minorHAnsi"/>
                <w:sz w:val="24"/>
                <w:szCs w:val="24"/>
              </w:rPr>
              <w:t>En tout état de cause, il appartient à l’entrepreneur de peinture d’apprécier le niveau de prestation prescrit pour</w:t>
            </w:r>
            <w:r w:rsidR="00F22FCF">
              <w:rPr>
                <w:rFonts w:cstheme="minorHAnsi"/>
                <w:sz w:val="24"/>
                <w:szCs w:val="24"/>
              </w:rPr>
              <w:t xml:space="preserve"> </w:t>
            </w:r>
            <w:r w:rsidRPr="0043547B">
              <w:rPr>
                <w:rFonts w:cstheme="minorHAnsi"/>
                <w:sz w:val="24"/>
                <w:szCs w:val="24"/>
              </w:rPr>
              <w:t>décider du choix des produits et des opérations nécessaires par référence à celles décrites dans les tableaux</w:t>
            </w:r>
            <w:r w:rsidRPr="0043547B">
              <w:rPr>
                <w:rFonts w:cstheme="minorHAnsi"/>
                <w:sz w:val="24"/>
                <w:szCs w:val="24"/>
              </w:rPr>
              <w:br/>
              <w:t>de l’Article 6 en vue d’obtenir l’état de finition demandé.</w:t>
            </w:r>
          </w:p>
          <w:p w:rsidR="005F6BC0" w:rsidRDefault="00064E3C" w:rsidP="005F6BC0">
            <w:pPr>
              <w:spacing w:after="0" w:line="240" w:lineRule="auto"/>
              <w:jc w:val="both"/>
              <w:rPr>
                <w:rFonts w:cstheme="minorHAnsi"/>
                <w:sz w:val="24"/>
                <w:szCs w:val="24"/>
              </w:rPr>
            </w:pPr>
            <w:r w:rsidRPr="0043547B">
              <w:rPr>
                <w:rFonts w:cstheme="minorHAnsi"/>
                <w:sz w:val="24"/>
                <w:szCs w:val="24"/>
              </w:rPr>
              <w:t>Dans les locaux dont les conditions d’utilisation occasionnent une ambiance très humide, par exemple :</w:t>
            </w:r>
          </w:p>
          <w:p w:rsidR="00064E3C" w:rsidRPr="0043547B" w:rsidRDefault="00064E3C" w:rsidP="005F6BC0">
            <w:pPr>
              <w:spacing w:after="0" w:line="240" w:lineRule="auto"/>
              <w:jc w:val="both"/>
              <w:rPr>
                <w:rFonts w:cstheme="minorHAnsi"/>
                <w:sz w:val="24"/>
                <w:szCs w:val="24"/>
              </w:rPr>
            </w:pPr>
            <w:r w:rsidRPr="0043547B">
              <w:rPr>
                <w:rFonts w:cstheme="minorHAnsi"/>
                <w:sz w:val="24"/>
                <w:szCs w:val="24"/>
              </w:rPr>
              <w:t>douches collectives (plusieurs personnes à la fois dans le même local tel que dans les stades, gymnases,…),</w:t>
            </w:r>
            <w:r w:rsidR="00F22FCF">
              <w:rPr>
                <w:rFonts w:cstheme="minorHAnsi"/>
                <w:sz w:val="24"/>
                <w:szCs w:val="24"/>
              </w:rPr>
              <w:t xml:space="preserve"> </w:t>
            </w:r>
            <w:r w:rsidRPr="0043547B">
              <w:rPr>
                <w:rFonts w:cstheme="minorHAnsi"/>
                <w:sz w:val="24"/>
                <w:szCs w:val="24"/>
              </w:rPr>
              <w:t>cuisines ou sanitaires collectifs si le nettoyage est prévu au jet d’eau sous haute-pression, piscines — hors parois</w:t>
            </w:r>
            <w:r w:rsidRPr="0043547B">
              <w:rPr>
                <w:rFonts w:cstheme="minorHAnsi"/>
                <w:sz w:val="24"/>
                <w:szCs w:val="24"/>
              </w:rPr>
              <w:br/>
              <w:t>de bassin —, laveries industrielles, centre aquatique, balnéothérapie, les produits mis en oeuvre doivent pouvoir</w:t>
            </w:r>
            <w:r w:rsidR="00F22FCF">
              <w:rPr>
                <w:rFonts w:cstheme="minorHAnsi"/>
                <w:sz w:val="24"/>
                <w:szCs w:val="24"/>
              </w:rPr>
              <w:t xml:space="preserve"> </w:t>
            </w:r>
            <w:r w:rsidRPr="0043547B">
              <w:rPr>
                <w:rFonts w:cstheme="minorHAnsi"/>
                <w:sz w:val="24"/>
                <w:szCs w:val="24"/>
              </w:rPr>
              <w:t>répondre aux exigences du Tableau D 4 de l’Annexe D. Ces types de locaux sont indiqués dans les DPM.</w:t>
            </w:r>
          </w:p>
        </w:tc>
      </w:tr>
      <w:tr w:rsidR="0043547B" w:rsidRPr="0043547B" w:rsidTr="00554CF5">
        <w:trPr>
          <w:trHeight w:val="442"/>
          <w:jc w:val="center"/>
        </w:trPr>
        <w:tc>
          <w:tcPr>
            <w:tcW w:w="1843"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tcPr>
          <w:p w:rsidR="00064E3C" w:rsidRPr="006E4B1D" w:rsidRDefault="00064E3C" w:rsidP="00454CA9">
            <w:pPr>
              <w:spacing w:after="0" w:line="240" w:lineRule="auto"/>
              <w:jc w:val="center"/>
              <w:rPr>
                <w:rFonts w:cstheme="minorHAnsi"/>
                <w:b/>
                <w:bCs/>
                <w:sz w:val="24"/>
                <w:szCs w:val="24"/>
              </w:rPr>
            </w:pPr>
            <w:r w:rsidRPr="006E4B1D">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tcPr>
          <w:p w:rsidR="00064E3C" w:rsidRPr="006E4B1D" w:rsidRDefault="00064E3C" w:rsidP="00454CA9">
            <w:pPr>
              <w:spacing w:after="0" w:line="240" w:lineRule="auto"/>
              <w:jc w:val="center"/>
              <w:rPr>
                <w:rFonts w:cstheme="minorHAnsi"/>
                <w:b/>
                <w:bCs/>
                <w:sz w:val="24"/>
                <w:szCs w:val="24"/>
              </w:rPr>
            </w:pPr>
            <w:r w:rsidRPr="006E4B1D">
              <w:rPr>
                <w:rFonts w:cstheme="minorHAnsi"/>
                <w:b/>
                <w:bCs/>
                <w:sz w:val="24"/>
                <w:szCs w:val="24"/>
              </w:rPr>
              <w:t>NM 03.3.143</w:t>
            </w:r>
          </w:p>
        </w:tc>
      </w:tr>
      <w:tr w:rsidR="0043547B" w:rsidRPr="0043547B" w:rsidTr="00554CF5">
        <w:trPr>
          <w:trHeight w:val="442"/>
          <w:jc w:val="center"/>
        </w:trPr>
        <w:tc>
          <w:tcPr>
            <w:tcW w:w="1843" w:type="dxa"/>
            <w:tcBorders>
              <w:top w:val="single" w:sz="18" w:space="0" w:color="auto"/>
              <w:left w:val="single" w:sz="18" w:space="0" w:color="auto"/>
              <w:bottom w:val="single" w:sz="18" w:space="0" w:color="auto"/>
              <w:right w:val="single" w:sz="4" w:space="0" w:color="auto"/>
            </w:tcBorders>
            <w:shd w:val="clear" w:color="auto" w:fill="95B3D7" w:themeFill="accent1" w:themeFillTint="99"/>
            <w:vAlign w:val="center"/>
          </w:tcPr>
          <w:p w:rsidR="00064E3C" w:rsidRPr="0043547B" w:rsidRDefault="00064E3C" w:rsidP="00454CA9">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18" w:space="0" w:color="auto"/>
              <w:right w:val="single" w:sz="18" w:space="0" w:color="auto"/>
            </w:tcBorders>
            <w:shd w:val="clear" w:color="auto" w:fill="auto"/>
            <w:vAlign w:val="center"/>
          </w:tcPr>
          <w:p w:rsidR="00064E3C" w:rsidRPr="0043547B" w:rsidRDefault="00064E3C" w:rsidP="00454CA9">
            <w:pPr>
              <w:spacing w:after="0" w:line="240" w:lineRule="auto"/>
              <w:rPr>
                <w:rFonts w:cstheme="minorHAnsi"/>
                <w:sz w:val="24"/>
                <w:szCs w:val="24"/>
              </w:rPr>
            </w:pPr>
            <w:r w:rsidRPr="0043547B">
              <w:rPr>
                <w:rFonts w:cstheme="minorHAnsi"/>
                <w:sz w:val="24"/>
                <w:szCs w:val="24"/>
              </w:rPr>
              <w:t xml:space="preserve">Travaux de bâtiment - Revêtements de peinture en feuil mince, semi-épais, ou épais - Critères généraux de choix des matériaux ; </w:t>
            </w:r>
          </w:p>
        </w:tc>
      </w:tr>
      <w:tr w:rsidR="0043547B" w:rsidRPr="0043547B" w:rsidTr="00554CF5">
        <w:trPr>
          <w:trHeight w:val="442"/>
          <w:jc w:val="center"/>
        </w:trPr>
        <w:tc>
          <w:tcPr>
            <w:tcW w:w="1843" w:type="dxa"/>
            <w:tcBorders>
              <w:top w:val="single" w:sz="18" w:space="0" w:color="auto"/>
              <w:left w:val="single" w:sz="18" w:space="0" w:color="auto"/>
              <w:bottom w:val="single" w:sz="18" w:space="0" w:color="auto"/>
              <w:right w:val="single" w:sz="4" w:space="0" w:color="auto"/>
            </w:tcBorders>
            <w:shd w:val="clear" w:color="000000" w:fill="D9D9D9"/>
            <w:vAlign w:val="center"/>
          </w:tcPr>
          <w:p w:rsidR="00064E3C" w:rsidRPr="0043547B" w:rsidRDefault="00064E3C" w:rsidP="00454CA9">
            <w:pPr>
              <w:spacing w:after="0" w:line="240" w:lineRule="auto"/>
              <w:jc w:val="center"/>
              <w:rPr>
                <w:rFonts w:cstheme="minorHAnsi"/>
                <w:b/>
                <w:bCs/>
                <w:sz w:val="24"/>
                <w:szCs w:val="24"/>
              </w:rPr>
            </w:pPr>
            <w:r w:rsidRPr="0043547B">
              <w:rPr>
                <w:rFonts w:cstheme="minorHAnsi"/>
                <w:b/>
                <w:bCs/>
                <w:sz w:val="24"/>
                <w:szCs w:val="24"/>
              </w:rPr>
              <w:lastRenderedPageBreak/>
              <w:t>Domaine d’application :</w:t>
            </w:r>
          </w:p>
        </w:tc>
        <w:tc>
          <w:tcPr>
            <w:tcW w:w="7938" w:type="dxa"/>
            <w:tcBorders>
              <w:top w:val="single" w:sz="18" w:space="0" w:color="auto"/>
              <w:left w:val="single" w:sz="4" w:space="0" w:color="auto"/>
              <w:bottom w:val="single" w:sz="18" w:space="0" w:color="auto"/>
              <w:right w:val="single" w:sz="18" w:space="0" w:color="auto"/>
            </w:tcBorders>
            <w:shd w:val="clear" w:color="auto" w:fill="auto"/>
            <w:vAlign w:val="bottom"/>
          </w:tcPr>
          <w:p w:rsidR="00064E3C" w:rsidRPr="0043547B" w:rsidRDefault="00064E3C" w:rsidP="00454CA9">
            <w:pPr>
              <w:spacing w:after="0" w:line="240" w:lineRule="auto"/>
              <w:jc w:val="both"/>
              <w:rPr>
                <w:rFonts w:cstheme="minorHAnsi"/>
                <w:sz w:val="24"/>
                <w:szCs w:val="24"/>
              </w:rPr>
            </w:pPr>
            <w:r w:rsidRPr="0043547B">
              <w:rPr>
                <w:rFonts w:cstheme="minorHAnsi"/>
                <w:sz w:val="24"/>
                <w:szCs w:val="24"/>
              </w:rPr>
              <w:t>Le présent document fixe les critères généraux de choix des matériaux utilisés pour les travaux de revêtements de peinture dans le champ d’application de la norme NF DTU 59.1 P1-1 (CCT).</w:t>
            </w:r>
          </w:p>
        </w:tc>
      </w:tr>
      <w:tr w:rsidR="0043547B" w:rsidRPr="0043547B" w:rsidTr="00554CF5">
        <w:trPr>
          <w:trHeight w:val="442"/>
          <w:jc w:val="center"/>
        </w:trPr>
        <w:tc>
          <w:tcPr>
            <w:tcW w:w="1843"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tcPr>
          <w:p w:rsidR="00064E3C" w:rsidRPr="006E4B1D" w:rsidRDefault="00064E3C" w:rsidP="00454CA9">
            <w:pPr>
              <w:spacing w:after="0" w:line="240" w:lineRule="auto"/>
              <w:jc w:val="center"/>
              <w:rPr>
                <w:rFonts w:cstheme="minorHAnsi"/>
                <w:b/>
                <w:bCs/>
                <w:sz w:val="24"/>
                <w:szCs w:val="24"/>
              </w:rPr>
            </w:pPr>
            <w:r w:rsidRPr="006E4B1D">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tcPr>
          <w:p w:rsidR="00064E3C" w:rsidRPr="006E4B1D" w:rsidRDefault="00064E3C" w:rsidP="00454CA9">
            <w:pPr>
              <w:spacing w:after="0" w:line="240" w:lineRule="auto"/>
              <w:jc w:val="center"/>
              <w:rPr>
                <w:rFonts w:cstheme="minorHAnsi"/>
                <w:b/>
                <w:bCs/>
                <w:sz w:val="24"/>
                <w:szCs w:val="24"/>
              </w:rPr>
            </w:pPr>
            <w:r w:rsidRPr="006E4B1D">
              <w:rPr>
                <w:rFonts w:cstheme="minorHAnsi"/>
                <w:b/>
                <w:bCs/>
                <w:sz w:val="24"/>
                <w:szCs w:val="24"/>
              </w:rPr>
              <w:t>NM 03.3.144</w:t>
            </w:r>
          </w:p>
        </w:tc>
      </w:tr>
      <w:tr w:rsidR="0043547B" w:rsidRPr="0043547B" w:rsidTr="00554CF5">
        <w:trPr>
          <w:trHeight w:val="442"/>
          <w:jc w:val="center"/>
        </w:trPr>
        <w:tc>
          <w:tcPr>
            <w:tcW w:w="1843" w:type="dxa"/>
            <w:tcBorders>
              <w:top w:val="single" w:sz="18" w:space="0" w:color="auto"/>
              <w:left w:val="single" w:sz="18" w:space="0" w:color="auto"/>
              <w:bottom w:val="single" w:sz="18" w:space="0" w:color="auto"/>
              <w:right w:val="single" w:sz="4" w:space="0" w:color="auto"/>
            </w:tcBorders>
            <w:shd w:val="clear" w:color="auto" w:fill="95B3D7" w:themeFill="accent1" w:themeFillTint="99"/>
            <w:vAlign w:val="center"/>
          </w:tcPr>
          <w:p w:rsidR="00064E3C" w:rsidRPr="0043547B" w:rsidRDefault="00064E3C" w:rsidP="00454CA9">
            <w:pPr>
              <w:spacing w:after="0" w:line="240" w:lineRule="auto"/>
              <w:jc w:val="center"/>
              <w:rPr>
                <w:rFonts w:cstheme="minorHAnsi"/>
                <w:b/>
                <w:bCs/>
                <w:sz w:val="24"/>
                <w:szCs w:val="24"/>
              </w:rPr>
            </w:pPr>
            <w:r w:rsidRPr="0043547B">
              <w:rPr>
                <w:rFonts w:cstheme="minorHAnsi"/>
                <w:b/>
                <w:bCs/>
                <w:sz w:val="24"/>
                <w:szCs w:val="24"/>
              </w:rPr>
              <w:t>Inti</w:t>
            </w:r>
            <w:r w:rsidRPr="006E4B1D">
              <w:rPr>
                <w:rFonts w:cstheme="minorHAnsi"/>
                <w:b/>
                <w:bCs/>
                <w:sz w:val="24"/>
                <w:szCs w:val="24"/>
                <w:shd w:val="clear" w:color="auto" w:fill="95B3D7" w:themeFill="accent1" w:themeFillTint="99"/>
              </w:rPr>
              <w:t>t</w:t>
            </w:r>
            <w:r w:rsidRPr="0043547B">
              <w:rPr>
                <w:rFonts w:cstheme="minorHAnsi"/>
                <w:b/>
                <w:bCs/>
                <w:sz w:val="24"/>
                <w:szCs w:val="24"/>
              </w:rPr>
              <w:t>ulé :</w:t>
            </w:r>
          </w:p>
        </w:tc>
        <w:tc>
          <w:tcPr>
            <w:tcW w:w="7938" w:type="dxa"/>
            <w:tcBorders>
              <w:top w:val="single" w:sz="18" w:space="0" w:color="auto"/>
              <w:left w:val="single" w:sz="4" w:space="0" w:color="auto"/>
              <w:bottom w:val="single" w:sz="18" w:space="0" w:color="auto"/>
              <w:right w:val="single" w:sz="18" w:space="0" w:color="auto"/>
            </w:tcBorders>
            <w:shd w:val="clear" w:color="auto" w:fill="auto"/>
            <w:vAlign w:val="center"/>
          </w:tcPr>
          <w:p w:rsidR="00064E3C" w:rsidRPr="0043547B" w:rsidRDefault="00064E3C" w:rsidP="00454CA9">
            <w:pPr>
              <w:spacing w:after="0" w:line="240" w:lineRule="auto"/>
              <w:rPr>
                <w:rFonts w:cstheme="minorHAnsi"/>
                <w:sz w:val="24"/>
                <w:szCs w:val="24"/>
              </w:rPr>
            </w:pPr>
            <w:r w:rsidRPr="0043547B">
              <w:rPr>
                <w:rFonts w:cstheme="minorHAnsi"/>
                <w:sz w:val="24"/>
                <w:szCs w:val="24"/>
              </w:rPr>
              <w:t xml:space="preserve">Travaux de bâtiment - Revêtements de peinture en feuil mince, semi-épais, ou épais -Cahier des clauses administratives spéciales types ; </w:t>
            </w:r>
          </w:p>
        </w:tc>
      </w:tr>
      <w:tr w:rsidR="0043547B" w:rsidRPr="0043547B" w:rsidTr="00554CF5">
        <w:trPr>
          <w:trHeight w:val="442"/>
          <w:jc w:val="center"/>
        </w:trPr>
        <w:tc>
          <w:tcPr>
            <w:tcW w:w="1843" w:type="dxa"/>
            <w:tcBorders>
              <w:top w:val="single" w:sz="18" w:space="0" w:color="auto"/>
              <w:left w:val="single" w:sz="18" w:space="0" w:color="auto"/>
              <w:bottom w:val="single" w:sz="18" w:space="0" w:color="auto"/>
              <w:right w:val="single" w:sz="4" w:space="0" w:color="auto"/>
            </w:tcBorders>
            <w:shd w:val="clear" w:color="000000" w:fill="D9D9D9"/>
            <w:vAlign w:val="center"/>
          </w:tcPr>
          <w:p w:rsidR="00064E3C" w:rsidRPr="0043547B" w:rsidRDefault="00064E3C" w:rsidP="00454CA9">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18" w:space="0" w:color="auto"/>
              <w:left w:val="single" w:sz="4" w:space="0" w:color="auto"/>
              <w:bottom w:val="single" w:sz="18" w:space="0" w:color="auto"/>
              <w:right w:val="single" w:sz="18" w:space="0" w:color="auto"/>
            </w:tcBorders>
            <w:shd w:val="clear" w:color="auto" w:fill="auto"/>
          </w:tcPr>
          <w:p w:rsidR="00064E3C" w:rsidRPr="0043547B" w:rsidRDefault="00064E3C" w:rsidP="00454CA9">
            <w:pPr>
              <w:spacing w:after="0" w:line="240" w:lineRule="auto"/>
              <w:rPr>
                <w:rFonts w:cstheme="minorHAnsi"/>
                <w:sz w:val="24"/>
                <w:szCs w:val="24"/>
              </w:rPr>
            </w:pPr>
            <w:r w:rsidRPr="0043547B">
              <w:rPr>
                <w:rFonts w:cstheme="minorHAnsi"/>
                <w:sz w:val="24"/>
                <w:szCs w:val="24"/>
              </w:rPr>
              <w:t>La présente norme propose des clauses administratives spéciales types aux marchés de travaux d'exécution de revêtements de peinture en feuil mince, semi-épais ou épais, dans le champ d'application de la norme NM 03.3.142.</w:t>
            </w:r>
          </w:p>
        </w:tc>
      </w:tr>
      <w:tr w:rsidR="0043547B" w:rsidRPr="0043547B" w:rsidTr="00E95C31">
        <w:trPr>
          <w:trHeight w:val="442"/>
          <w:jc w:val="center"/>
        </w:trPr>
        <w:tc>
          <w:tcPr>
            <w:tcW w:w="1843"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tcPr>
          <w:p w:rsidR="00064E3C" w:rsidRPr="006E4B1D" w:rsidRDefault="00064E3C" w:rsidP="00454CA9">
            <w:pPr>
              <w:spacing w:after="0" w:line="240" w:lineRule="auto"/>
              <w:jc w:val="center"/>
              <w:rPr>
                <w:rFonts w:cstheme="minorHAnsi"/>
                <w:b/>
                <w:bCs/>
                <w:sz w:val="24"/>
                <w:szCs w:val="24"/>
              </w:rPr>
            </w:pPr>
            <w:r w:rsidRPr="006E4B1D">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tcPr>
          <w:p w:rsidR="00064E3C" w:rsidRPr="006E4B1D" w:rsidRDefault="00064E3C" w:rsidP="00454CA9">
            <w:pPr>
              <w:spacing w:after="0" w:line="240" w:lineRule="auto"/>
              <w:jc w:val="center"/>
              <w:rPr>
                <w:rFonts w:cstheme="minorHAnsi"/>
                <w:b/>
                <w:bCs/>
                <w:sz w:val="24"/>
                <w:szCs w:val="24"/>
              </w:rPr>
            </w:pPr>
            <w:r w:rsidRPr="006E4B1D">
              <w:rPr>
                <w:rFonts w:cstheme="minorHAnsi"/>
                <w:b/>
                <w:bCs/>
                <w:sz w:val="24"/>
                <w:szCs w:val="24"/>
              </w:rPr>
              <w:t>NM 03.3.145</w:t>
            </w:r>
          </w:p>
        </w:tc>
      </w:tr>
      <w:tr w:rsidR="0043547B" w:rsidRPr="0043547B" w:rsidTr="00E95C31">
        <w:trPr>
          <w:trHeight w:val="442"/>
          <w:jc w:val="center"/>
        </w:trPr>
        <w:tc>
          <w:tcPr>
            <w:tcW w:w="1843" w:type="dxa"/>
            <w:tcBorders>
              <w:top w:val="single" w:sz="18" w:space="0" w:color="auto"/>
              <w:left w:val="single" w:sz="18" w:space="0" w:color="auto"/>
              <w:bottom w:val="single" w:sz="4" w:space="0" w:color="auto"/>
              <w:right w:val="single" w:sz="4" w:space="0" w:color="auto"/>
            </w:tcBorders>
            <w:shd w:val="clear" w:color="auto" w:fill="95B3D7" w:themeFill="accent1" w:themeFillTint="99"/>
            <w:vAlign w:val="center"/>
          </w:tcPr>
          <w:p w:rsidR="00064E3C" w:rsidRPr="0043547B" w:rsidRDefault="00064E3C" w:rsidP="00454CA9">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tcPr>
          <w:p w:rsidR="00064E3C" w:rsidRPr="0043547B" w:rsidRDefault="00064E3C" w:rsidP="00454CA9">
            <w:pPr>
              <w:spacing w:after="0" w:line="240" w:lineRule="auto"/>
              <w:rPr>
                <w:rFonts w:cstheme="minorHAnsi"/>
                <w:sz w:val="24"/>
                <w:szCs w:val="24"/>
              </w:rPr>
            </w:pPr>
            <w:r w:rsidRPr="0043547B">
              <w:rPr>
                <w:rFonts w:cstheme="minorHAnsi"/>
                <w:sz w:val="24"/>
                <w:szCs w:val="24"/>
              </w:rPr>
              <w:t xml:space="preserve">Travaux de bâtiment - Réfection de façades en service par revêtements d'imperméabilité à base de polymères - Cahier des Clauses Techniques ; </w:t>
            </w:r>
          </w:p>
        </w:tc>
      </w:tr>
      <w:tr w:rsidR="0043547B" w:rsidRPr="0045784D" w:rsidTr="00E95C31">
        <w:trPr>
          <w:trHeight w:val="442"/>
          <w:jc w:val="center"/>
        </w:trPr>
        <w:tc>
          <w:tcPr>
            <w:tcW w:w="1843" w:type="dxa"/>
            <w:tcBorders>
              <w:top w:val="single" w:sz="4" w:space="0" w:color="auto"/>
              <w:left w:val="single" w:sz="18" w:space="0" w:color="auto"/>
              <w:bottom w:val="single" w:sz="18" w:space="0" w:color="auto"/>
              <w:right w:val="single" w:sz="4" w:space="0" w:color="auto"/>
            </w:tcBorders>
            <w:shd w:val="clear" w:color="000000" w:fill="D9D9D9"/>
            <w:vAlign w:val="center"/>
          </w:tcPr>
          <w:p w:rsidR="00064E3C" w:rsidRPr="0043547B" w:rsidRDefault="00064E3C" w:rsidP="00454CA9">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tcPr>
          <w:p w:rsidR="00454CA9" w:rsidRPr="00E95C31" w:rsidRDefault="00064E3C" w:rsidP="00E95C31">
            <w:pPr>
              <w:spacing w:after="0" w:line="240" w:lineRule="auto"/>
              <w:jc w:val="both"/>
              <w:rPr>
                <w:rFonts w:cstheme="minorHAnsi"/>
                <w:i/>
                <w:iCs/>
                <w:sz w:val="20"/>
                <w:szCs w:val="20"/>
              </w:rPr>
            </w:pPr>
            <w:r w:rsidRPr="0045784D">
              <w:rPr>
                <w:rFonts w:cstheme="minorHAnsi"/>
              </w:rPr>
              <w:t>Le présent document a pour objet de définir les travaux de réfection de façades en service par revêtements souples d'imperméabilité continus à base de polymères.</w:t>
            </w:r>
            <w:r w:rsidRPr="0045784D">
              <w:rPr>
                <w:rFonts w:cstheme="minorHAnsi"/>
              </w:rPr>
              <w:br/>
            </w:r>
            <w:r w:rsidRPr="00E95C31">
              <w:rPr>
                <w:rFonts w:cstheme="minorHAnsi"/>
                <w:b/>
                <w:bCs/>
                <w:i/>
                <w:iCs/>
                <w:sz w:val="20"/>
                <w:szCs w:val="20"/>
              </w:rPr>
              <w:t>NOTE 1</w:t>
            </w:r>
            <w:r w:rsidRPr="00E95C31">
              <w:rPr>
                <w:rFonts w:cstheme="minorHAnsi"/>
                <w:i/>
                <w:iCs/>
                <w:sz w:val="20"/>
                <w:szCs w:val="20"/>
              </w:rPr>
              <w:t xml:space="preserve"> : Par référence à la norme NF EN ISO 4618, l’appellation « Revêtement souple d'imperméabilité», qui peut s’abréger « RSI », recouvre les appellati</w:t>
            </w:r>
            <w:r w:rsidR="00E95C31">
              <w:rPr>
                <w:rFonts w:cstheme="minorHAnsi"/>
                <w:i/>
                <w:iCs/>
                <w:sz w:val="20"/>
                <w:szCs w:val="20"/>
              </w:rPr>
              <w:t>ons «</w:t>
            </w:r>
            <w:r w:rsidR="00E95C31" w:rsidRPr="00E95C31">
              <w:rPr>
                <w:rFonts w:cstheme="minorHAnsi"/>
                <w:i/>
                <w:iCs/>
                <w:sz w:val="20"/>
                <w:szCs w:val="20"/>
              </w:rPr>
              <w:t>Revêtement d'imperméabilisation» et «Revêtement d'étanchéité</w:t>
            </w:r>
            <w:r w:rsidRPr="00E95C31">
              <w:rPr>
                <w:rFonts w:cstheme="minorHAnsi"/>
                <w:i/>
                <w:iCs/>
                <w:sz w:val="20"/>
                <w:szCs w:val="20"/>
              </w:rPr>
              <w:t>» ou plus généralement</w:t>
            </w:r>
            <w:r w:rsidR="00E95C31">
              <w:rPr>
                <w:rFonts w:cstheme="minorHAnsi"/>
                <w:i/>
                <w:iCs/>
                <w:sz w:val="20"/>
                <w:szCs w:val="20"/>
              </w:rPr>
              <w:t xml:space="preserve"> «</w:t>
            </w:r>
            <w:r w:rsidRPr="00E95C31">
              <w:rPr>
                <w:rFonts w:cstheme="minorHAnsi"/>
                <w:i/>
                <w:iCs/>
                <w:sz w:val="20"/>
                <w:szCs w:val="20"/>
              </w:rPr>
              <w:t>Revêtement d’imperméabilité » de façades.</w:t>
            </w:r>
          </w:p>
          <w:p w:rsidR="00E95C31" w:rsidRDefault="00064E3C" w:rsidP="0045784D">
            <w:pPr>
              <w:spacing w:after="0" w:line="240" w:lineRule="auto"/>
              <w:jc w:val="both"/>
              <w:rPr>
                <w:rFonts w:cstheme="minorHAnsi"/>
              </w:rPr>
            </w:pPr>
            <w:r w:rsidRPr="0045784D">
              <w:rPr>
                <w:rFonts w:cstheme="minorHAnsi"/>
              </w:rPr>
              <w:t>Ces revêtements sont caractérisés, pour leur fonction imperméabilité à l'eau de pluie, par leur classement I (I1 à I4, voir NF DTU 42.1 P 1-2 (CGM)).</w:t>
            </w:r>
          </w:p>
          <w:p w:rsidR="00454CA9" w:rsidRPr="0045784D" w:rsidRDefault="00064E3C" w:rsidP="0045784D">
            <w:pPr>
              <w:spacing w:after="0" w:line="240" w:lineRule="auto"/>
              <w:jc w:val="both"/>
              <w:rPr>
                <w:rFonts w:cstheme="minorHAnsi"/>
              </w:rPr>
            </w:pPr>
            <w:r w:rsidRPr="0045784D">
              <w:rPr>
                <w:rFonts w:cstheme="minorHAnsi"/>
              </w:rPr>
              <w:t>Les revêtements à fonction purement décorative ne sont pas visés par le présent document.</w:t>
            </w:r>
            <w:r w:rsidRPr="0045784D">
              <w:rPr>
                <w:rFonts w:cstheme="minorHAnsi"/>
              </w:rPr>
              <w:br/>
              <w:t>Les revêtements de teinte foncée (coefficient d'absorption du rayonnement solaire supérieur à 0,7), ainsi que les revêtements non chargés et/ou non pigmentés dits « incolores » ne sont pas non plus visés.</w:t>
            </w:r>
          </w:p>
          <w:p w:rsidR="00454CA9" w:rsidRPr="00E95C31" w:rsidRDefault="00064E3C" w:rsidP="0045784D">
            <w:pPr>
              <w:spacing w:after="0" w:line="240" w:lineRule="auto"/>
              <w:jc w:val="both"/>
              <w:rPr>
                <w:rFonts w:cstheme="minorHAnsi"/>
                <w:i/>
                <w:iCs/>
                <w:sz w:val="20"/>
                <w:szCs w:val="20"/>
              </w:rPr>
            </w:pPr>
            <w:r w:rsidRPr="00E95C31">
              <w:rPr>
                <w:rFonts w:cstheme="minorHAnsi"/>
                <w:b/>
                <w:bCs/>
                <w:i/>
                <w:iCs/>
                <w:sz w:val="20"/>
                <w:szCs w:val="20"/>
              </w:rPr>
              <w:t>NOTE 2</w:t>
            </w:r>
            <w:r w:rsidRPr="00E95C31">
              <w:rPr>
                <w:rFonts w:cstheme="minorHAnsi"/>
                <w:i/>
                <w:iCs/>
                <w:sz w:val="20"/>
                <w:szCs w:val="20"/>
              </w:rPr>
              <w:t xml:space="preserve"> : De façon générale, on a constaté que les revêtements ayant un indice de luminance lumineuse (Y) supérieur à 35 % présentent un coefficient d'absorption du rayonnement solaire inférieur à 0,7, bien qu'il n'existe pas de relation physique entre ces deux valeurs.</w:t>
            </w:r>
          </w:p>
          <w:p w:rsidR="00454CA9" w:rsidRPr="0045784D" w:rsidRDefault="00064E3C" w:rsidP="0045784D">
            <w:pPr>
              <w:spacing w:after="0" w:line="240" w:lineRule="auto"/>
              <w:jc w:val="both"/>
              <w:rPr>
                <w:rFonts w:cstheme="minorHAnsi"/>
              </w:rPr>
            </w:pPr>
            <w:r w:rsidRPr="0045784D">
              <w:rPr>
                <w:rFonts w:cstheme="minorHAnsi"/>
              </w:rPr>
              <w:t>Le présent document concerne les surfaces verticales de tout type de bâtiments dont la paroi externe est constituée de l'un des matériaux suivants, brut ou recouvert de peintures ou produits assimilés :</w:t>
            </w:r>
          </w:p>
          <w:p w:rsidR="00E95C31" w:rsidRDefault="00064E3C" w:rsidP="0045784D">
            <w:pPr>
              <w:spacing w:after="0" w:line="240" w:lineRule="auto"/>
              <w:jc w:val="both"/>
              <w:rPr>
                <w:rFonts w:cstheme="minorHAnsi"/>
              </w:rPr>
            </w:pPr>
            <w:r w:rsidRPr="0045784D">
              <w:rPr>
                <w:rFonts w:cstheme="minorHAnsi"/>
              </w:rPr>
              <w:t>— béton de granulats courants ou de granulats légers ;</w:t>
            </w:r>
          </w:p>
          <w:p w:rsidR="00E95C31" w:rsidRDefault="00064E3C" w:rsidP="0045784D">
            <w:pPr>
              <w:spacing w:after="0" w:line="240" w:lineRule="auto"/>
              <w:jc w:val="both"/>
              <w:rPr>
                <w:rFonts w:cstheme="minorHAnsi"/>
              </w:rPr>
            </w:pPr>
            <w:r w:rsidRPr="0045784D">
              <w:rPr>
                <w:rFonts w:cstheme="minorHAnsi"/>
              </w:rPr>
              <w:t>— béton ou maçonnerie d'éléments enduit au mortier de liant hydraulique ;</w:t>
            </w:r>
          </w:p>
          <w:p w:rsidR="00E95C31" w:rsidRDefault="00064E3C" w:rsidP="0045784D">
            <w:pPr>
              <w:spacing w:after="0" w:line="240" w:lineRule="auto"/>
              <w:jc w:val="both"/>
              <w:rPr>
                <w:rFonts w:cstheme="minorHAnsi"/>
              </w:rPr>
            </w:pPr>
            <w:r w:rsidRPr="0045784D">
              <w:rPr>
                <w:rFonts w:cstheme="minorHAnsi"/>
              </w:rPr>
              <w:t>— revêtements scellés ou collés de petits éléments à base de pâte de verre ou de carreaux céramiques de taille maximale 7,5 × 7,5 cm ;</w:t>
            </w:r>
          </w:p>
          <w:p w:rsidR="00E95C31" w:rsidRDefault="00064E3C" w:rsidP="0045784D">
            <w:pPr>
              <w:spacing w:after="0" w:line="240" w:lineRule="auto"/>
              <w:jc w:val="both"/>
              <w:rPr>
                <w:rFonts w:cstheme="minorHAnsi"/>
              </w:rPr>
            </w:pPr>
            <w:r w:rsidRPr="0045784D">
              <w:rPr>
                <w:rFonts w:cstheme="minorHAnsi"/>
              </w:rPr>
              <w:t>— bétons architectoniques, panneaux-dalles en béton cellulaire autoclavé, briques et pierres de parement (sous réserve d’une vérification du bon état des joints de maçonnerie qui peuvent nécessiter d’être repris).</w:t>
            </w:r>
          </w:p>
          <w:p w:rsidR="00E95C31" w:rsidRDefault="00064E3C" w:rsidP="0045784D">
            <w:pPr>
              <w:spacing w:after="0" w:line="240" w:lineRule="auto"/>
              <w:jc w:val="both"/>
              <w:rPr>
                <w:rFonts w:cstheme="minorHAnsi"/>
              </w:rPr>
            </w:pPr>
            <w:r w:rsidRPr="0045784D">
              <w:rPr>
                <w:rFonts w:cstheme="minorHAnsi"/>
              </w:rPr>
              <w:t>— maçonneries anciennes pouvant inclure des pans de bois, enduites au plâtre gros ancien avec ou sans chaux, au mortier de plâtre gros ancien et sable, ou de plâtre gros, chaux aérienne et sable.</w:t>
            </w:r>
          </w:p>
          <w:p w:rsidR="00454CA9" w:rsidRPr="00E95C31" w:rsidRDefault="00064E3C" w:rsidP="0045784D">
            <w:pPr>
              <w:spacing w:after="0" w:line="240" w:lineRule="auto"/>
              <w:jc w:val="both"/>
              <w:rPr>
                <w:rFonts w:cstheme="minorHAnsi"/>
                <w:i/>
                <w:iCs/>
                <w:sz w:val="20"/>
                <w:szCs w:val="20"/>
              </w:rPr>
            </w:pPr>
            <w:r w:rsidRPr="00E95C31">
              <w:rPr>
                <w:rFonts w:cstheme="minorHAnsi"/>
                <w:b/>
                <w:bCs/>
                <w:i/>
                <w:iCs/>
                <w:sz w:val="20"/>
                <w:szCs w:val="20"/>
              </w:rPr>
              <w:t>NOTE 3</w:t>
            </w:r>
            <w:r w:rsidRPr="00E95C31">
              <w:rPr>
                <w:rFonts w:cstheme="minorHAnsi"/>
                <w:i/>
                <w:iCs/>
                <w:sz w:val="20"/>
                <w:szCs w:val="20"/>
              </w:rPr>
              <w:t xml:space="preserve"> : Les autres supports ne sont pas visés par le présent document, notamment les enduits neufs en plâtre projeté monocouche, plâtre, ou plâtre et chaux (sans sable).</w:t>
            </w:r>
          </w:p>
          <w:p w:rsidR="00E95C31" w:rsidRDefault="00064E3C" w:rsidP="0045784D">
            <w:pPr>
              <w:spacing w:after="0" w:line="240" w:lineRule="auto"/>
              <w:jc w:val="both"/>
              <w:rPr>
                <w:rFonts w:cstheme="minorHAnsi"/>
              </w:rPr>
            </w:pPr>
            <w:r w:rsidRPr="0045784D">
              <w:rPr>
                <w:rFonts w:cstheme="minorHAnsi"/>
              </w:rPr>
              <w:t>Il ne s'applique pas aux parois faisant avec la verticale un angle supérieur à 10°, exception faite des bétons</w:t>
            </w:r>
            <w:r w:rsidR="00F22FCF" w:rsidRPr="0045784D">
              <w:rPr>
                <w:rFonts w:cstheme="minorHAnsi"/>
              </w:rPr>
              <w:t xml:space="preserve"> </w:t>
            </w:r>
            <w:r w:rsidRPr="0045784D">
              <w:rPr>
                <w:rFonts w:cstheme="minorHAnsi"/>
              </w:rPr>
              <w:t>architectoniques (surface faisant avec la verticale un angle jusqu’à 45°), ainsi que des bandeaux, corniches, ou</w:t>
            </w:r>
            <w:r w:rsidR="00F22FCF" w:rsidRPr="0045784D">
              <w:rPr>
                <w:rFonts w:cstheme="minorHAnsi"/>
              </w:rPr>
              <w:t xml:space="preserve"> </w:t>
            </w:r>
            <w:r w:rsidRPr="0045784D">
              <w:rPr>
                <w:rFonts w:cstheme="minorHAnsi"/>
              </w:rPr>
              <w:t>couronnements de largeur limitée cités au paragraphe 8.4 ci-après (voir en particulier le paragraphe 8.4.4).</w:t>
            </w:r>
          </w:p>
          <w:p w:rsidR="00454CA9" w:rsidRPr="0045784D" w:rsidRDefault="00064E3C" w:rsidP="0045784D">
            <w:pPr>
              <w:spacing w:after="0" w:line="240" w:lineRule="auto"/>
              <w:jc w:val="both"/>
              <w:rPr>
                <w:rFonts w:cstheme="minorHAnsi"/>
              </w:rPr>
            </w:pPr>
            <w:r w:rsidRPr="0045784D">
              <w:rPr>
                <w:rFonts w:cstheme="minorHAnsi"/>
              </w:rPr>
              <w:t>Il ne s'applique pas :</w:t>
            </w:r>
          </w:p>
          <w:p w:rsidR="00E95C31" w:rsidRDefault="00064E3C" w:rsidP="0045784D">
            <w:pPr>
              <w:spacing w:after="0" w:line="240" w:lineRule="auto"/>
              <w:jc w:val="both"/>
              <w:rPr>
                <w:rFonts w:cstheme="minorHAnsi"/>
              </w:rPr>
            </w:pPr>
            <w:r w:rsidRPr="0045784D">
              <w:rPr>
                <w:rFonts w:cstheme="minorHAnsi"/>
              </w:rPr>
              <w:t>— aux balcons et loggias (dessus, dessous, nez de dalle) ;</w:t>
            </w:r>
          </w:p>
          <w:p w:rsidR="00E95C31" w:rsidRDefault="00064E3C" w:rsidP="0045784D">
            <w:pPr>
              <w:spacing w:after="0" w:line="240" w:lineRule="auto"/>
              <w:jc w:val="both"/>
              <w:rPr>
                <w:rFonts w:cstheme="minorHAnsi"/>
              </w:rPr>
            </w:pPr>
            <w:r w:rsidRPr="0045784D">
              <w:rPr>
                <w:rFonts w:cstheme="minorHAnsi"/>
              </w:rPr>
              <w:t>— aux jardinières ;</w:t>
            </w:r>
          </w:p>
          <w:p w:rsidR="00454CA9" w:rsidRPr="0045784D" w:rsidRDefault="00454CA9" w:rsidP="0045784D">
            <w:pPr>
              <w:spacing w:after="0" w:line="240" w:lineRule="auto"/>
              <w:jc w:val="both"/>
              <w:rPr>
                <w:rFonts w:cstheme="minorHAnsi"/>
              </w:rPr>
            </w:pPr>
          </w:p>
          <w:p w:rsidR="00454CA9" w:rsidRPr="00E95C31" w:rsidRDefault="00064E3C" w:rsidP="0045784D">
            <w:pPr>
              <w:spacing w:after="0" w:line="240" w:lineRule="auto"/>
              <w:jc w:val="both"/>
              <w:rPr>
                <w:rFonts w:cstheme="minorHAnsi"/>
                <w:i/>
                <w:iCs/>
                <w:sz w:val="20"/>
                <w:szCs w:val="20"/>
              </w:rPr>
            </w:pPr>
            <w:r w:rsidRPr="00E95C31">
              <w:rPr>
                <w:rFonts w:cstheme="minorHAnsi"/>
                <w:b/>
                <w:bCs/>
                <w:i/>
                <w:iCs/>
                <w:sz w:val="20"/>
                <w:szCs w:val="20"/>
              </w:rPr>
              <w:lastRenderedPageBreak/>
              <w:t>NOTE 4</w:t>
            </w:r>
            <w:r w:rsidR="00454CA9" w:rsidRPr="00E95C31">
              <w:rPr>
                <w:rFonts w:cstheme="minorHAnsi"/>
                <w:i/>
                <w:iCs/>
                <w:sz w:val="20"/>
                <w:szCs w:val="20"/>
              </w:rPr>
              <w:t xml:space="preserve"> : </w:t>
            </w:r>
            <w:r w:rsidRPr="00E95C31">
              <w:rPr>
                <w:rFonts w:cstheme="minorHAnsi"/>
                <w:i/>
                <w:iCs/>
                <w:sz w:val="20"/>
                <w:szCs w:val="20"/>
              </w:rPr>
              <w:t>Ces ouvrages seront traités de façon spécifique lorsque leur présence met en cause l'imperméabilité de la</w:t>
            </w:r>
            <w:r w:rsidR="00F22FCF" w:rsidRPr="00E95C31">
              <w:rPr>
                <w:rFonts w:cstheme="minorHAnsi"/>
                <w:i/>
                <w:iCs/>
                <w:sz w:val="20"/>
                <w:szCs w:val="20"/>
              </w:rPr>
              <w:t xml:space="preserve"> </w:t>
            </w:r>
            <w:r w:rsidRPr="00E95C31">
              <w:rPr>
                <w:rFonts w:cstheme="minorHAnsi"/>
                <w:i/>
                <w:iCs/>
                <w:sz w:val="20"/>
                <w:szCs w:val="20"/>
              </w:rPr>
              <w:t>façade (Ces ouvrages peuvent relever des Règles professionnelles « SEL »).</w:t>
            </w:r>
          </w:p>
          <w:p w:rsidR="00454CA9" w:rsidRPr="0045784D" w:rsidRDefault="00064E3C" w:rsidP="0045784D">
            <w:pPr>
              <w:spacing w:after="0" w:line="240" w:lineRule="auto"/>
              <w:jc w:val="both"/>
              <w:rPr>
                <w:rFonts w:cstheme="minorHAnsi"/>
              </w:rPr>
            </w:pPr>
            <w:r w:rsidRPr="0045784D">
              <w:rPr>
                <w:rFonts w:cstheme="minorHAnsi"/>
              </w:rPr>
              <w:t>— aux parois en contact avec l'humidité (exemple : murs de soutènement) ou exposées aux remontées</w:t>
            </w:r>
            <w:r w:rsidR="00F22FCF" w:rsidRPr="0045784D">
              <w:rPr>
                <w:rFonts w:cstheme="minorHAnsi"/>
              </w:rPr>
              <w:t xml:space="preserve"> </w:t>
            </w:r>
            <w:r w:rsidRPr="0045784D">
              <w:rPr>
                <w:rFonts w:cstheme="minorHAnsi"/>
              </w:rPr>
              <w:t>capillaires.</w:t>
            </w:r>
          </w:p>
          <w:p w:rsidR="00454CA9" w:rsidRPr="0045784D" w:rsidRDefault="00064E3C" w:rsidP="0045784D">
            <w:pPr>
              <w:spacing w:after="0" w:line="240" w:lineRule="auto"/>
              <w:jc w:val="both"/>
              <w:rPr>
                <w:rFonts w:cstheme="minorHAnsi"/>
              </w:rPr>
            </w:pPr>
            <w:r w:rsidRPr="0045784D">
              <w:rPr>
                <w:rFonts w:cstheme="minorHAnsi"/>
              </w:rPr>
              <w:t>Le présent document est applicable dans toutes les zones climatiques ou naturelles françaises, y compris en</w:t>
            </w:r>
            <w:r w:rsidR="009E7875" w:rsidRPr="0045784D">
              <w:rPr>
                <w:rFonts w:cstheme="minorHAnsi"/>
              </w:rPr>
              <w:t xml:space="preserve"> </w:t>
            </w:r>
            <w:r w:rsidRPr="0045784D">
              <w:rPr>
                <w:rFonts w:cstheme="minorHAnsi"/>
              </w:rPr>
              <w:t>climat tropical humide.</w:t>
            </w:r>
          </w:p>
          <w:p w:rsidR="00454CA9" w:rsidRPr="00E95C31" w:rsidRDefault="00064E3C" w:rsidP="0045784D">
            <w:pPr>
              <w:spacing w:after="0" w:line="240" w:lineRule="auto"/>
              <w:jc w:val="both"/>
              <w:rPr>
                <w:rFonts w:cstheme="minorHAnsi"/>
                <w:i/>
                <w:iCs/>
                <w:sz w:val="20"/>
                <w:szCs w:val="20"/>
              </w:rPr>
            </w:pPr>
            <w:r w:rsidRPr="00E95C31">
              <w:rPr>
                <w:rFonts w:cstheme="minorHAnsi"/>
                <w:b/>
                <w:bCs/>
                <w:i/>
                <w:iCs/>
                <w:sz w:val="20"/>
                <w:szCs w:val="20"/>
              </w:rPr>
              <w:t>NOTE 5</w:t>
            </w:r>
            <w:r w:rsidR="00454CA9" w:rsidRPr="00E95C31">
              <w:rPr>
                <w:rFonts w:cstheme="minorHAnsi"/>
                <w:i/>
                <w:iCs/>
                <w:sz w:val="20"/>
                <w:szCs w:val="20"/>
              </w:rPr>
              <w:t xml:space="preserve"> : </w:t>
            </w:r>
            <w:r w:rsidRPr="00E95C31">
              <w:rPr>
                <w:rFonts w:cstheme="minorHAnsi"/>
                <w:i/>
                <w:iCs/>
                <w:sz w:val="20"/>
                <w:szCs w:val="20"/>
              </w:rPr>
              <w:t>Le domaine d'application couvre ainsi les départements de la Guadeloupe, de la Martinique, de la Guyane et de</w:t>
            </w:r>
            <w:r w:rsidR="009E7875" w:rsidRPr="00E95C31">
              <w:rPr>
                <w:rFonts w:cstheme="minorHAnsi"/>
                <w:i/>
                <w:iCs/>
                <w:sz w:val="20"/>
                <w:szCs w:val="20"/>
              </w:rPr>
              <w:t xml:space="preserve"> </w:t>
            </w:r>
            <w:r w:rsidRPr="00E95C31">
              <w:rPr>
                <w:rFonts w:cstheme="minorHAnsi"/>
                <w:i/>
                <w:iCs/>
                <w:sz w:val="20"/>
                <w:szCs w:val="20"/>
              </w:rPr>
              <w:t>la Réunion.</w:t>
            </w:r>
          </w:p>
          <w:p w:rsidR="00454CA9" w:rsidRPr="0045784D" w:rsidRDefault="00064E3C" w:rsidP="0045784D">
            <w:pPr>
              <w:spacing w:after="0" w:line="240" w:lineRule="auto"/>
              <w:jc w:val="both"/>
              <w:rPr>
                <w:rFonts w:cstheme="minorHAnsi"/>
              </w:rPr>
            </w:pPr>
            <w:r w:rsidRPr="0045784D">
              <w:rPr>
                <w:rFonts w:cstheme="minorHAnsi"/>
              </w:rPr>
              <w:t>Dans les mêmes conditions, le présent document peut servir de référence pour des travaux exécutés sur ouvrages</w:t>
            </w:r>
            <w:r w:rsidR="009E7875" w:rsidRPr="0045784D">
              <w:rPr>
                <w:rFonts w:cstheme="minorHAnsi"/>
              </w:rPr>
              <w:t xml:space="preserve"> </w:t>
            </w:r>
            <w:r w:rsidRPr="0045784D">
              <w:rPr>
                <w:rFonts w:cstheme="minorHAnsi"/>
              </w:rPr>
              <w:t>de génie civil compatibles.</w:t>
            </w:r>
          </w:p>
          <w:p w:rsidR="008D5BBF" w:rsidRPr="00E95C31" w:rsidRDefault="00064E3C" w:rsidP="0045784D">
            <w:pPr>
              <w:spacing w:after="0" w:line="240" w:lineRule="auto"/>
              <w:jc w:val="both"/>
              <w:rPr>
                <w:rFonts w:cstheme="minorHAnsi"/>
                <w:i/>
                <w:iCs/>
              </w:rPr>
            </w:pPr>
            <w:r w:rsidRPr="00E95C31">
              <w:rPr>
                <w:rFonts w:cstheme="minorHAnsi"/>
                <w:b/>
                <w:bCs/>
                <w:i/>
                <w:iCs/>
                <w:sz w:val="20"/>
                <w:szCs w:val="20"/>
              </w:rPr>
              <w:t>NOTE 6</w:t>
            </w:r>
            <w:r w:rsidR="00454CA9" w:rsidRPr="00E95C31">
              <w:rPr>
                <w:rFonts w:cstheme="minorHAnsi"/>
                <w:i/>
                <w:iCs/>
                <w:sz w:val="20"/>
                <w:szCs w:val="20"/>
              </w:rPr>
              <w:t xml:space="preserve"> : </w:t>
            </w:r>
            <w:r w:rsidRPr="00E95C31">
              <w:rPr>
                <w:rFonts w:cstheme="minorHAnsi"/>
                <w:i/>
                <w:iCs/>
                <w:sz w:val="20"/>
                <w:szCs w:val="20"/>
              </w:rPr>
              <w:t>Concernant l’entretien des revêtements après réception des travaux, se reporter à l’annexe C.</w:t>
            </w:r>
          </w:p>
        </w:tc>
      </w:tr>
      <w:tr w:rsidR="0043547B" w:rsidRPr="0045784D" w:rsidTr="008D5BBF">
        <w:trPr>
          <w:trHeight w:val="442"/>
          <w:jc w:val="center"/>
        </w:trPr>
        <w:tc>
          <w:tcPr>
            <w:tcW w:w="1843"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tcPr>
          <w:p w:rsidR="00064E3C" w:rsidRPr="006E4B1D" w:rsidRDefault="00064E3C" w:rsidP="00454CA9">
            <w:pPr>
              <w:spacing w:after="0" w:line="240" w:lineRule="auto"/>
              <w:jc w:val="center"/>
              <w:rPr>
                <w:rFonts w:cstheme="minorHAnsi"/>
                <w:b/>
                <w:bCs/>
                <w:sz w:val="24"/>
                <w:szCs w:val="24"/>
              </w:rPr>
            </w:pPr>
            <w:r w:rsidRPr="006E4B1D">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tcPr>
          <w:p w:rsidR="00064E3C" w:rsidRPr="006E4B1D" w:rsidRDefault="00064E3C" w:rsidP="00454CA9">
            <w:pPr>
              <w:spacing w:after="0" w:line="240" w:lineRule="auto"/>
              <w:jc w:val="center"/>
              <w:rPr>
                <w:rFonts w:cstheme="minorHAnsi"/>
                <w:b/>
                <w:bCs/>
                <w:sz w:val="24"/>
                <w:szCs w:val="24"/>
              </w:rPr>
            </w:pPr>
            <w:r w:rsidRPr="006E4B1D">
              <w:rPr>
                <w:rFonts w:cstheme="minorHAnsi"/>
                <w:b/>
                <w:bCs/>
                <w:sz w:val="24"/>
                <w:szCs w:val="24"/>
              </w:rPr>
              <w:t>NM 03.3.147</w:t>
            </w:r>
          </w:p>
        </w:tc>
      </w:tr>
      <w:tr w:rsidR="0043547B" w:rsidRPr="0045784D" w:rsidTr="008D5BBF">
        <w:trPr>
          <w:trHeight w:val="442"/>
          <w:jc w:val="center"/>
        </w:trPr>
        <w:tc>
          <w:tcPr>
            <w:tcW w:w="1843" w:type="dxa"/>
            <w:tcBorders>
              <w:top w:val="single" w:sz="18" w:space="0" w:color="auto"/>
              <w:left w:val="single" w:sz="18" w:space="0" w:color="auto"/>
              <w:bottom w:val="single" w:sz="4" w:space="0" w:color="auto"/>
              <w:right w:val="single" w:sz="4" w:space="0" w:color="auto"/>
            </w:tcBorders>
            <w:shd w:val="clear" w:color="auto" w:fill="95B3D7" w:themeFill="accent1" w:themeFillTint="99"/>
            <w:vAlign w:val="center"/>
          </w:tcPr>
          <w:p w:rsidR="00064E3C" w:rsidRPr="0043547B" w:rsidRDefault="00064E3C" w:rsidP="008D5BBF">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tcPr>
          <w:p w:rsidR="00064E3C" w:rsidRPr="00E95C31" w:rsidRDefault="00064E3C" w:rsidP="00E95C31">
            <w:pPr>
              <w:spacing w:after="0" w:line="240" w:lineRule="auto"/>
              <w:jc w:val="both"/>
              <w:rPr>
                <w:rFonts w:cstheme="minorHAnsi"/>
              </w:rPr>
            </w:pPr>
            <w:r w:rsidRPr="00E95C31">
              <w:rPr>
                <w:rFonts w:cstheme="minorHAnsi"/>
              </w:rPr>
              <w:t xml:space="preserve">Travaux de bâtiment - Réfection de façades en service par revêtements d'imperméabilité à base de polymers - Cahier des Clauses Spéciales ; </w:t>
            </w:r>
          </w:p>
        </w:tc>
      </w:tr>
      <w:tr w:rsidR="0043547B" w:rsidRPr="0045784D" w:rsidTr="008D5BBF">
        <w:trPr>
          <w:trHeight w:val="442"/>
          <w:jc w:val="center"/>
        </w:trPr>
        <w:tc>
          <w:tcPr>
            <w:tcW w:w="1843" w:type="dxa"/>
            <w:tcBorders>
              <w:top w:val="single" w:sz="4" w:space="0" w:color="auto"/>
              <w:left w:val="single" w:sz="18" w:space="0" w:color="auto"/>
              <w:bottom w:val="single" w:sz="18" w:space="0" w:color="auto"/>
              <w:right w:val="single" w:sz="4" w:space="0" w:color="auto"/>
            </w:tcBorders>
            <w:shd w:val="clear" w:color="000000" w:fill="D9D9D9"/>
            <w:vAlign w:val="center"/>
          </w:tcPr>
          <w:p w:rsidR="00064E3C" w:rsidRPr="0043547B" w:rsidRDefault="00064E3C" w:rsidP="008D5BBF">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bottom"/>
          </w:tcPr>
          <w:p w:rsidR="00064E3C" w:rsidRPr="00E95C31" w:rsidRDefault="00064E3C" w:rsidP="00E95C31">
            <w:pPr>
              <w:spacing w:after="0" w:line="240" w:lineRule="auto"/>
              <w:jc w:val="both"/>
              <w:rPr>
                <w:rFonts w:cstheme="minorHAnsi"/>
              </w:rPr>
            </w:pPr>
            <w:r w:rsidRPr="00E95C31">
              <w:rPr>
                <w:rFonts w:cstheme="minorHAnsi"/>
              </w:rPr>
              <w:t>La présente norme a pour objet de définir les clauses administratives spéciales aux travaux de réfection</w:t>
            </w:r>
            <w:r w:rsidR="00F22FCF" w:rsidRPr="00E95C31">
              <w:rPr>
                <w:rFonts w:cstheme="minorHAnsi"/>
              </w:rPr>
              <w:t xml:space="preserve"> </w:t>
            </w:r>
            <w:r w:rsidRPr="00E95C31">
              <w:rPr>
                <w:rFonts w:cstheme="minorHAnsi"/>
              </w:rPr>
              <w:t>de façade faisant l'objet du cahier des clauses techniques NM 03.3.145.</w:t>
            </w:r>
          </w:p>
        </w:tc>
      </w:tr>
      <w:tr w:rsidR="0043547B" w:rsidRPr="0045784D" w:rsidTr="008D5BBF">
        <w:trPr>
          <w:trHeight w:val="442"/>
          <w:jc w:val="center"/>
        </w:trPr>
        <w:tc>
          <w:tcPr>
            <w:tcW w:w="1843"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tcPr>
          <w:p w:rsidR="00064E3C" w:rsidRPr="006E4B1D" w:rsidRDefault="00064E3C" w:rsidP="008D5BBF">
            <w:pPr>
              <w:spacing w:after="0" w:line="240" w:lineRule="auto"/>
              <w:jc w:val="center"/>
              <w:rPr>
                <w:rFonts w:cstheme="minorHAnsi"/>
                <w:b/>
                <w:bCs/>
                <w:sz w:val="24"/>
                <w:szCs w:val="24"/>
              </w:rPr>
            </w:pPr>
            <w:r w:rsidRPr="006E4B1D">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tcPr>
          <w:p w:rsidR="00064E3C" w:rsidRPr="006E4B1D" w:rsidRDefault="00064E3C" w:rsidP="008D5BBF">
            <w:pPr>
              <w:spacing w:after="0" w:line="240" w:lineRule="auto"/>
              <w:jc w:val="center"/>
              <w:rPr>
                <w:rFonts w:cstheme="minorHAnsi"/>
                <w:b/>
                <w:bCs/>
                <w:sz w:val="24"/>
                <w:szCs w:val="24"/>
              </w:rPr>
            </w:pPr>
            <w:r w:rsidRPr="006E4B1D">
              <w:rPr>
                <w:rFonts w:cstheme="minorHAnsi"/>
                <w:b/>
                <w:bCs/>
                <w:sz w:val="24"/>
                <w:szCs w:val="24"/>
              </w:rPr>
              <w:t>NM 03.3.146</w:t>
            </w:r>
          </w:p>
        </w:tc>
      </w:tr>
      <w:tr w:rsidR="0043547B" w:rsidRPr="0045784D" w:rsidTr="008D5BBF">
        <w:trPr>
          <w:trHeight w:val="442"/>
          <w:jc w:val="center"/>
        </w:trPr>
        <w:tc>
          <w:tcPr>
            <w:tcW w:w="1843" w:type="dxa"/>
            <w:tcBorders>
              <w:top w:val="single" w:sz="18" w:space="0" w:color="auto"/>
              <w:left w:val="single" w:sz="18" w:space="0" w:color="auto"/>
              <w:bottom w:val="single" w:sz="4" w:space="0" w:color="auto"/>
              <w:right w:val="single" w:sz="4" w:space="0" w:color="auto"/>
            </w:tcBorders>
            <w:shd w:val="clear" w:color="auto" w:fill="95B3D7" w:themeFill="accent1" w:themeFillTint="99"/>
            <w:vAlign w:val="center"/>
          </w:tcPr>
          <w:p w:rsidR="00064E3C" w:rsidRPr="0043547B" w:rsidRDefault="00064E3C" w:rsidP="008D5BBF">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tcPr>
          <w:p w:rsidR="00064E3C" w:rsidRPr="00E95C31" w:rsidRDefault="00064E3C" w:rsidP="00E95C31">
            <w:pPr>
              <w:spacing w:after="0" w:line="240" w:lineRule="auto"/>
              <w:jc w:val="both"/>
              <w:rPr>
                <w:rFonts w:cstheme="minorHAnsi"/>
              </w:rPr>
            </w:pPr>
            <w:r w:rsidRPr="00E95C31">
              <w:rPr>
                <w:rFonts w:cstheme="minorHAnsi"/>
              </w:rPr>
              <w:t>Travaux de bâtiment - Réfection de façades en service par revêtements d'imperméabilité à base de polymères - Critères g</w:t>
            </w:r>
            <w:r w:rsidR="008D5BBF" w:rsidRPr="00E95C31">
              <w:rPr>
                <w:rFonts w:cstheme="minorHAnsi"/>
              </w:rPr>
              <w:t xml:space="preserve">énéraux de choix des matériaux </w:t>
            </w:r>
          </w:p>
        </w:tc>
      </w:tr>
      <w:tr w:rsidR="0043547B" w:rsidRPr="0045784D" w:rsidTr="008D5BBF">
        <w:trPr>
          <w:trHeight w:val="442"/>
          <w:jc w:val="center"/>
        </w:trPr>
        <w:tc>
          <w:tcPr>
            <w:tcW w:w="1843" w:type="dxa"/>
            <w:tcBorders>
              <w:top w:val="single" w:sz="4" w:space="0" w:color="auto"/>
              <w:left w:val="single" w:sz="18" w:space="0" w:color="auto"/>
              <w:bottom w:val="single" w:sz="18" w:space="0" w:color="auto"/>
              <w:right w:val="single" w:sz="4" w:space="0" w:color="auto"/>
            </w:tcBorders>
            <w:shd w:val="clear" w:color="000000" w:fill="D9D9D9"/>
            <w:vAlign w:val="center"/>
          </w:tcPr>
          <w:p w:rsidR="00064E3C" w:rsidRPr="0043547B" w:rsidRDefault="00064E3C" w:rsidP="008D5BBF">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tcPr>
          <w:p w:rsidR="00064E3C" w:rsidRPr="00E95C31" w:rsidRDefault="00064E3C" w:rsidP="00E95C31">
            <w:pPr>
              <w:spacing w:after="0" w:line="240" w:lineRule="auto"/>
              <w:jc w:val="both"/>
              <w:rPr>
                <w:rFonts w:cstheme="minorHAnsi"/>
              </w:rPr>
            </w:pPr>
            <w:r w:rsidRPr="00E95C31">
              <w:rPr>
                <w:rFonts w:cstheme="minorHAnsi"/>
              </w:rPr>
              <w:t>Le présent document a pour objet de fixer les critères généraux de choix des matériaux utilisés pour l’exécution des ouvrages dans le champ d’application de la norme NF DTU 42.1 P 1-1 (CCT).</w:t>
            </w:r>
          </w:p>
        </w:tc>
      </w:tr>
    </w:tbl>
    <w:p w:rsidR="00E95C31" w:rsidRDefault="00E95C31" w:rsidP="00E95C31">
      <w:pPr>
        <w:spacing w:after="0" w:line="240" w:lineRule="auto"/>
        <w:rPr>
          <w:rFonts w:cstheme="minorHAnsi"/>
          <w:b/>
          <w:bCs/>
          <w:sz w:val="24"/>
          <w:szCs w:val="24"/>
        </w:rPr>
      </w:pPr>
      <w:bookmarkStart w:id="39" w:name="_Toc458606096"/>
    </w:p>
    <w:p w:rsidR="00E95C31" w:rsidRDefault="00E95C31" w:rsidP="00E95C31">
      <w:pPr>
        <w:spacing w:after="0" w:line="240" w:lineRule="auto"/>
        <w:rPr>
          <w:rFonts w:cstheme="minorHAnsi"/>
          <w:b/>
          <w:bCs/>
          <w:sz w:val="24"/>
          <w:szCs w:val="24"/>
        </w:rPr>
      </w:pPr>
    </w:p>
    <w:p w:rsidR="00B43F04" w:rsidRPr="0045784D" w:rsidRDefault="00B43F04" w:rsidP="00E95C31">
      <w:pPr>
        <w:spacing w:after="0" w:line="240" w:lineRule="auto"/>
        <w:rPr>
          <w:rFonts w:cstheme="minorHAnsi"/>
          <w:b/>
          <w:bCs/>
          <w:sz w:val="24"/>
          <w:szCs w:val="24"/>
        </w:rPr>
      </w:pPr>
      <w:r w:rsidRPr="0045784D">
        <w:rPr>
          <w:rFonts w:cstheme="minorHAnsi"/>
          <w:b/>
          <w:bCs/>
          <w:sz w:val="24"/>
          <w:szCs w:val="24"/>
        </w:rPr>
        <w:t>Acoustique</w:t>
      </w:r>
      <w:bookmarkEnd w:id="39"/>
    </w:p>
    <w:tbl>
      <w:tblPr>
        <w:tblW w:w="9640" w:type="dxa"/>
        <w:tblInd w:w="-307" w:type="dxa"/>
        <w:tblCellMar>
          <w:left w:w="70" w:type="dxa"/>
          <w:right w:w="70" w:type="dxa"/>
        </w:tblCellMar>
        <w:tblLook w:val="04A0" w:firstRow="1" w:lastRow="0" w:firstColumn="1" w:lastColumn="0" w:noHBand="0" w:noVBand="1"/>
      </w:tblPr>
      <w:tblGrid>
        <w:gridCol w:w="1844"/>
        <w:gridCol w:w="7796"/>
      </w:tblGrid>
      <w:tr w:rsidR="0043547B" w:rsidRPr="0045784D" w:rsidTr="008D5BBF">
        <w:trPr>
          <w:trHeight w:val="330"/>
        </w:trPr>
        <w:tc>
          <w:tcPr>
            <w:tcW w:w="1844" w:type="dxa"/>
            <w:tcBorders>
              <w:top w:val="single" w:sz="18" w:space="0" w:color="auto"/>
              <w:left w:val="single" w:sz="18" w:space="0" w:color="auto"/>
              <w:bottom w:val="single" w:sz="18" w:space="0" w:color="auto"/>
              <w:right w:val="single" w:sz="4" w:space="0" w:color="auto"/>
            </w:tcBorders>
            <w:shd w:val="clear" w:color="auto" w:fill="B0CA7C"/>
            <w:vAlign w:val="center"/>
            <w:hideMark/>
          </w:tcPr>
          <w:p w:rsidR="00B43F04" w:rsidRPr="0043547B" w:rsidRDefault="00B43F04" w:rsidP="0045784D">
            <w:pPr>
              <w:spacing w:after="0" w:line="240" w:lineRule="auto"/>
              <w:jc w:val="center"/>
              <w:rPr>
                <w:rFonts w:cstheme="minorHAnsi"/>
                <w:b/>
                <w:bCs/>
                <w:sz w:val="24"/>
                <w:szCs w:val="24"/>
              </w:rPr>
            </w:pPr>
            <w:r w:rsidRPr="0043547B">
              <w:rPr>
                <w:rFonts w:cstheme="minorHAnsi"/>
                <w:b/>
                <w:bCs/>
                <w:sz w:val="24"/>
                <w:szCs w:val="24"/>
              </w:rPr>
              <w:t>Code :</w:t>
            </w:r>
          </w:p>
        </w:tc>
        <w:tc>
          <w:tcPr>
            <w:tcW w:w="7796" w:type="dxa"/>
            <w:tcBorders>
              <w:top w:val="single" w:sz="18" w:space="0" w:color="auto"/>
              <w:left w:val="single" w:sz="4" w:space="0" w:color="auto"/>
              <w:bottom w:val="single" w:sz="18" w:space="0" w:color="auto"/>
              <w:right w:val="single" w:sz="18" w:space="0" w:color="auto"/>
            </w:tcBorders>
            <w:shd w:val="clear" w:color="auto" w:fill="B0CA7C"/>
            <w:noWrap/>
            <w:vAlign w:val="center"/>
            <w:hideMark/>
          </w:tcPr>
          <w:p w:rsidR="00B43F04" w:rsidRPr="0043547B" w:rsidRDefault="00B43F04" w:rsidP="0045784D">
            <w:pPr>
              <w:spacing w:after="0" w:line="240" w:lineRule="auto"/>
              <w:jc w:val="center"/>
              <w:rPr>
                <w:rFonts w:cstheme="minorHAnsi"/>
                <w:b/>
                <w:bCs/>
                <w:sz w:val="24"/>
                <w:szCs w:val="24"/>
              </w:rPr>
            </w:pPr>
            <w:r w:rsidRPr="0043547B">
              <w:rPr>
                <w:rFonts w:cstheme="minorHAnsi"/>
                <w:b/>
                <w:bCs/>
                <w:sz w:val="24"/>
                <w:szCs w:val="24"/>
              </w:rPr>
              <w:t>NM ISO 16</w:t>
            </w:r>
          </w:p>
        </w:tc>
      </w:tr>
      <w:tr w:rsidR="0043547B" w:rsidRPr="0045784D" w:rsidTr="008D5BBF">
        <w:trPr>
          <w:trHeight w:val="330"/>
        </w:trPr>
        <w:tc>
          <w:tcPr>
            <w:tcW w:w="1844"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B43F04" w:rsidRPr="0043547B" w:rsidRDefault="00B43F04" w:rsidP="0045784D">
            <w:pPr>
              <w:spacing w:after="0" w:line="240" w:lineRule="auto"/>
              <w:jc w:val="center"/>
              <w:rPr>
                <w:rFonts w:cstheme="minorHAnsi"/>
                <w:b/>
                <w:bCs/>
                <w:sz w:val="24"/>
                <w:szCs w:val="24"/>
              </w:rPr>
            </w:pPr>
            <w:r w:rsidRPr="0043547B">
              <w:rPr>
                <w:rFonts w:cstheme="minorHAnsi"/>
                <w:b/>
                <w:bCs/>
                <w:sz w:val="24"/>
                <w:szCs w:val="24"/>
              </w:rPr>
              <w:t>Equivalence :</w:t>
            </w:r>
          </w:p>
        </w:tc>
        <w:tc>
          <w:tcPr>
            <w:tcW w:w="7796" w:type="dxa"/>
            <w:tcBorders>
              <w:top w:val="single" w:sz="18" w:space="0" w:color="auto"/>
              <w:left w:val="single" w:sz="4" w:space="0" w:color="auto"/>
              <w:bottom w:val="single" w:sz="8" w:space="0" w:color="auto"/>
              <w:right w:val="single" w:sz="18" w:space="0" w:color="auto"/>
            </w:tcBorders>
            <w:shd w:val="clear" w:color="auto" w:fill="FFFF99"/>
            <w:noWrap/>
            <w:vAlign w:val="center"/>
            <w:hideMark/>
          </w:tcPr>
          <w:p w:rsidR="00B43F04" w:rsidRPr="0045784D" w:rsidRDefault="00B43F04" w:rsidP="00B43F04">
            <w:pPr>
              <w:spacing w:after="0" w:line="240" w:lineRule="auto"/>
              <w:jc w:val="center"/>
              <w:rPr>
                <w:rFonts w:cstheme="minorHAnsi"/>
                <w:b/>
                <w:bCs/>
                <w:sz w:val="24"/>
                <w:szCs w:val="24"/>
              </w:rPr>
            </w:pPr>
            <w:r w:rsidRPr="0045784D">
              <w:rPr>
                <w:rFonts w:cstheme="minorHAnsi"/>
                <w:b/>
                <w:bCs/>
                <w:sz w:val="24"/>
                <w:szCs w:val="24"/>
              </w:rPr>
              <w:t>ISO 16</w:t>
            </w:r>
          </w:p>
        </w:tc>
      </w:tr>
      <w:tr w:rsidR="0043547B" w:rsidRPr="0045784D" w:rsidTr="008D5BBF">
        <w:trPr>
          <w:trHeight w:val="330"/>
        </w:trPr>
        <w:tc>
          <w:tcPr>
            <w:tcW w:w="1844" w:type="dxa"/>
            <w:tcBorders>
              <w:top w:val="nil"/>
              <w:left w:val="single" w:sz="18" w:space="0" w:color="auto"/>
              <w:bottom w:val="single" w:sz="4" w:space="0" w:color="auto"/>
              <w:right w:val="single" w:sz="4" w:space="0" w:color="auto"/>
            </w:tcBorders>
            <w:shd w:val="clear" w:color="000000" w:fill="8DB4E2"/>
            <w:vAlign w:val="center"/>
            <w:hideMark/>
          </w:tcPr>
          <w:p w:rsidR="00B43F04" w:rsidRPr="0043547B" w:rsidRDefault="00B43F04" w:rsidP="0045784D">
            <w:pPr>
              <w:spacing w:after="0" w:line="240" w:lineRule="auto"/>
              <w:jc w:val="center"/>
              <w:rPr>
                <w:rFonts w:cstheme="minorHAnsi"/>
                <w:b/>
                <w:bCs/>
                <w:sz w:val="24"/>
                <w:szCs w:val="24"/>
              </w:rPr>
            </w:pPr>
            <w:r w:rsidRPr="0043547B">
              <w:rPr>
                <w:rFonts w:cstheme="minorHAnsi"/>
                <w:b/>
                <w:bCs/>
                <w:sz w:val="24"/>
                <w:szCs w:val="24"/>
              </w:rPr>
              <w:t>Intitulé :</w:t>
            </w:r>
          </w:p>
        </w:tc>
        <w:tc>
          <w:tcPr>
            <w:tcW w:w="7796" w:type="dxa"/>
            <w:tcBorders>
              <w:top w:val="nil"/>
              <w:left w:val="single" w:sz="4" w:space="0" w:color="auto"/>
              <w:bottom w:val="single" w:sz="8" w:space="0" w:color="auto"/>
              <w:right w:val="single" w:sz="18" w:space="0" w:color="auto"/>
            </w:tcBorders>
            <w:shd w:val="clear" w:color="auto" w:fill="auto"/>
            <w:noWrap/>
            <w:vAlign w:val="center"/>
            <w:hideMark/>
          </w:tcPr>
          <w:p w:rsidR="00B43F04" w:rsidRPr="00E95C31" w:rsidRDefault="00B43F04" w:rsidP="00E95C31">
            <w:pPr>
              <w:spacing w:after="0" w:line="240" w:lineRule="auto"/>
              <w:jc w:val="both"/>
              <w:rPr>
                <w:rFonts w:cstheme="minorHAnsi"/>
              </w:rPr>
            </w:pPr>
            <w:r w:rsidRPr="00E95C31">
              <w:rPr>
                <w:rFonts w:cstheme="minorHAnsi"/>
              </w:rPr>
              <w:t>Acoustique - Fréquence d’accord normale (fréquence musicale normale)</w:t>
            </w:r>
          </w:p>
        </w:tc>
      </w:tr>
      <w:tr w:rsidR="0043547B" w:rsidRPr="0045784D" w:rsidTr="008D5BBF">
        <w:trPr>
          <w:trHeight w:val="412"/>
        </w:trPr>
        <w:tc>
          <w:tcPr>
            <w:tcW w:w="1844" w:type="dxa"/>
            <w:tcBorders>
              <w:top w:val="nil"/>
              <w:left w:val="single" w:sz="18" w:space="0" w:color="auto"/>
              <w:bottom w:val="single" w:sz="18" w:space="0" w:color="auto"/>
              <w:right w:val="single" w:sz="4" w:space="0" w:color="auto"/>
            </w:tcBorders>
            <w:shd w:val="clear" w:color="000000" w:fill="D9D9D9"/>
            <w:vAlign w:val="center"/>
            <w:hideMark/>
          </w:tcPr>
          <w:p w:rsidR="00B43F04" w:rsidRPr="0043547B" w:rsidRDefault="00B43F04" w:rsidP="0045784D">
            <w:pPr>
              <w:spacing w:after="0" w:line="240" w:lineRule="auto"/>
              <w:jc w:val="center"/>
              <w:rPr>
                <w:rFonts w:cstheme="minorHAnsi"/>
                <w:b/>
                <w:bCs/>
                <w:sz w:val="24"/>
                <w:szCs w:val="24"/>
              </w:rPr>
            </w:pPr>
            <w:r w:rsidRPr="0043547B">
              <w:rPr>
                <w:rFonts w:cstheme="minorHAnsi"/>
                <w:b/>
                <w:bCs/>
                <w:sz w:val="24"/>
                <w:szCs w:val="24"/>
              </w:rPr>
              <w:t>Domaine d’application :</w:t>
            </w:r>
          </w:p>
        </w:tc>
        <w:tc>
          <w:tcPr>
            <w:tcW w:w="7796" w:type="dxa"/>
            <w:tcBorders>
              <w:top w:val="nil"/>
              <w:left w:val="single" w:sz="4" w:space="0" w:color="auto"/>
              <w:bottom w:val="single" w:sz="18" w:space="0" w:color="auto"/>
              <w:right w:val="single" w:sz="18" w:space="0" w:color="auto"/>
            </w:tcBorders>
            <w:shd w:val="clear" w:color="auto" w:fill="auto"/>
            <w:noWrap/>
            <w:vAlign w:val="center"/>
            <w:hideMark/>
          </w:tcPr>
          <w:p w:rsidR="00B43F04" w:rsidRPr="00E95C31" w:rsidRDefault="00B43F04" w:rsidP="00E95C31">
            <w:pPr>
              <w:spacing w:after="0" w:line="240" w:lineRule="auto"/>
              <w:jc w:val="both"/>
              <w:rPr>
                <w:rFonts w:cstheme="minorHAnsi"/>
              </w:rPr>
            </w:pPr>
            <w:r w:rsidRPr="00E95C31">
              <w:rPr>
                <w:rFonts w:cstheme="minorHAnsi"/>
              </w:rPr>
              <w:t>La présente Norme spécifie la fréquence d’accord normale (ou fréquence musicale normale).</w:t>
            </w:r>
          </w:p>
        </w:tc>
      </w:tr>
      <w:tr w:rsidR="0043547B" w:rsidRPr="0045784D" w:rsidTr="008D5BBF">
        <w:trPr>
          <w:trHeight w:val="330"/>
        </w:trPr>
        <w:tc>
          <w:tcPr>
            <w:tcW w:w="1844" w:type="dxa"/>
            <w:tcBorders>
              <w:top w:val="single" w:sz="18" w:space="0" w:color="auto"/>
              <w:left w:val="single" w:sz="18" w:space="0" w:color="auto"/>
              <w:bottom w:val="single" w:sz="18" w:space="0" w:color="auto"/>
              <w:right w:val="single" w:sz="4" w:space="0" w:color="auto"/>
            </w:tcBorders>
            <w:shd w:val="clear" w:color="auto" w:fill="B0CA7C"/>
            <w:vAlign w:val="center"/>
            <w:hideMark/>
          </w:tcPr>
          <w:p w:rsidR="00B43F04" w:rsidRPr="0043547B" w:rsidRDefault="00B43F04" w:rsidP="0045784D">
            <w:pPr>
              <w:spacing w:after="0" w:line="240" w:lineRule="auto"/>
              <w:jc w:val="center"/>
              <w:rPr>
                <w:rFonts w:cstheme="minorHAnsi"/>
                <w:b/>
                <w:bCs/>
                <w:sz w:val="24"/>
                <w:szCs w:val="24"/>
              </w:rPr>
            </w:pPr>
            <w:r w:rsidRPr="0043547B">
              <w:rPr>
                <w:rFonts w:cstheme="minorHAnsi"/>
                <w:b/>
                <w:bCs/>
                <w:sz w:val="24"/>
                <w:szCs w:val="24"/>
              </w:rPr>
              <w:t>Code :</w:t>
            </w:r>
          </w:p>
        </w:tc>
        <w:tc>
          <w:tcPr>
            <w:tcW w:w="7796" w:type="dxa"/>
            <w:tcBorders>
              <w:top w:val="single" w:sz="18" w:space="0" w:color="auto"/>
              <w:left w:val="single" w:sz="4" w:space="0" w:color="auto"/>
              <w:bottom w:val="single" w:sz="18" w:space="0" w:color="auto"/>
              <w:right w:val="single" w:sz="18" w:space="0" w:color="auto"/>
            </w:tcBorders>
            <w:shd w:val="clear" w:color="auto" w:fill="B0CA7C"/>
            <w:noWrap/>
            <w:vAlign w:val="center"/>
            <w:hideMark/>
          </w:tcPr>
          <w:p w:rsidR="00B43F04" w:rsidRPr="0045784D" w:rsidRDefault="00B43F04" w:rsidP="00B43F04">
            <w:pPr>
              <w:spacing w:after="0" w:line="240" w:lineRule="auto"/>
              <w:jc w:val="center"/>
              <w:rPr>
                <w:rFonts w:cstheme="minorHAnsi"/>
                <w:b/>
                <w:bCs/>
                <w:sz w:val="24"/>
                <w:szCs w:val="24"/>
              </w:rPr>
            </w:pPr>
            <w:r w:rsidRPr="0045784D">
              <w:rPr>
                <w:rFonts w:cstheme="minorHAnsi"/>
                <w:b/>
                <w:bCs/>
                <w:sz w:val="24"/>
                <w:szCs w:val="24"/>
              </w:rPr>
              <w:t>NM ISO 10844</w:t>
            </w:r>
          </w:p>
        </w:tc>
      </w:tr>
      <w:tr w:rsidR="0043547B" w:rsidRPr="0045784D" w:rsidTr="008D5BBF">
        <w:trPr>
          <w:trHeight w:val="330"/>
        </w:trPr>
        <w:tc>
          <w:tcPr>
            <w:tcW w:w="1844"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B43F04" w:rsidRPr="0043547B" w:rsidRDefault="00B43F04" w:rsidP="0045784D">
            <w:pPr>
              <w:spacing w:after="0" w:line="240" w:lineRule="auto"/>
              <w:jc w:val="center"/>
              <w:rPr>
                <w:rFonts w:cstheme="minorHAnsi"/>
                <w:b/>
                <w:bCs/>
                <w:sz w:val="24"/>
                <w:szCs w:val="24"/>
              </w:rPr>
            </w:pPr>
            <w:r w:rsidRPr="0043547B">
              <w:rPr>
                <w:rFonts w:cstheme="minorHAnsi"/>
                <w:b/>
                <w:bCs/>
                <w:sz w:val="24"/>
                <w:szCs w:val="24"/>
              </w:rPr>
              <w:t>Equivalence :</w:t>
            </w:r>
          </w:p>
        </w:tc>
        <w:tc>
          <w:tcPr>
            <w:tcW w:w="7796" w:type="dxa"/>
            <w:tcBorders>
              <w:top w:val="single" w:sz="18" w:space="0" w:color="auto"/>
              <w:left w:val="single" w:sz="4" w:space="0" w:color="auto"/>
              <w:bottom w:val="single" w:sz="8" w:space="0" w:color="auto"/>
              <w:right w:val="single" w:sz="18" w:space="0" w:color="auto"/>
            </w:tcBorders>
            <w:shd w:val="clear" w:color="auto" w:fill="FFFF99"/>
            <w:noWrap/>
            <w:vAlign w:val="center"/>
            <w:hideMark/>
          </w:tcPr>
          <w:p w:rsidR="00B43F04" w:rsidRPr="0045784D" w:rsidRDefault="00B43F04" w:rsidP="00B43F04">
            <w:pPr>
              <w:spacing w:after="0" w:line="240" w:lineRule="auto"/>
              <w:jc w:val="center"/>
              <w:rPr>
                <w:rFonts w:cstheme="minorHAnsi"/>
                <w:b/>
                <w:bCs/>
                <w:sz w:val="24"/>
                <w:szCs w:val="24"/>
              </w:rPr>
            </w:pPr>
            <w:r w:rsidRPr="0045784D">
              <w:rPr>
                <w:rFonts w:cstheme="minorHAnsi"/>
                <w:b/>
                <w:bCs/>
                <w:sz w:val="24"/>
                <w:szCs w:val="24"/>
              </w:rPr>
              <w:t>ISO 10844</w:t>
            </w:r>
          </w:p>
        </w:tc>
      </w:tr>
      <w:tr w:rsidR="0043547B" w:rsidRPr="0045784D" w:rsidTr="008D5BBF">
        <w:trPr>
          <w:trHeight w:val="330"/>
        </w:trPr>
        <w:tc>
          <w:tcPr>
            <w:tcW w:w="1844" w:type="dxa"/>
            <w:tcBorders>
              <w:top w:val="nil"/>
              <w:left w:val="single" w:sz="18" w:space="0" w:color="auto"/>
              <w:bottom w:val="single" w:sz="4" w:space="0" w:color="auto"/>
              <w:right w:val="single" w:sz="4" w:space="0" w:color="auto"/>
            </w:tcBorders>
            <w:shd w:val="clear" w:color="000000" w:fill="8DB4E2"/>
            <w:vAlign w:val="center"/>
            <w:hideMark/>
          </w:tcPr>
          <w:p w:rsidR="00B43F04" w:rsidRPr="0043547B" w:rsidRDefault="00B43F04" w:rsidP="0045784D">
            <w:pPr>
              <w:spacing w:after="0" w:line="240" w:lineRule="auto"/>
              <w:jc w:val="center"/>
              <w:rPr>
                <w:rFonts w:cstheme="minorHAnsi"/>
                <w:b/>
                <w:bCs/>
                <w:sz w:val="24"/>
                <w:szCs w:val="24"/>
              </w:rPr>
            </w:pPr>
            <w:r w:rsidRPr="0043547B">
              <w:rPr>
                <w:rFonts w:cstheme="minorHAnsi"/>
                <w:b/>
                <w:bCs/>
                <w:sz w:val="24"/>
                <w:szCs w:val="24"/>
              </w:rPr>
              <w:t>Intitulé :</w:t>
            </w:r>
          </w:p>
        </w:tc>
        <w:tc>
          <w:tcPr>
            <w:tcW w:w="7796" w:type="dxa"/>
            <w:tcBorders>
              <w:top w:val="nil"/>
              <w:left w:val="single" w:sz="4" w:space="0" w:color="auto"/>
              <w:bottom w:val="single" w:sz="4" w:space="0" w:color="auto"/>
              <w:right w:val="single" w:sz="18" w:space="0" w:color="auto"/>
            </w:tcBorders>
            <w:shd w:val="clear" w:color="auto" w:fill="auto"/>
            <w:noWrap/>
            <w:vAlign w:val="center"/>
            <w:hideMark/>
          </w:tcPr>
          <w:p w:rsidR="00B43F04" w:rsidRPr="00E95C31" w:rsidRDefault="00B43F04" w:rsidP="00E95C31">
            <w:pPr>
              <w:spacing w:after="0" w:line="240" w:lineRule="auto"/>
              <w:jc w:val="both"/>
              <w:rPr>
                <w:rFonts w:cstheme="minorHAnsi"/>
              </w:rPr>
            </w:pPr>
            <w:r w:rsidRPr="00E95C31">
              <w:rPr>
                <w:rFonts w:cstheme="minorHAnsi"/>
              </w:rPr>
              <w:t>Acoustique - Spécification des surfaces d’essai pour le mesurage du bruit émis par les véhicules routiers</w:t>
            </w:r>
          </w:p>
        </w:tc>
      </w:tr>
      <w:tr w:rsidR="0043547B" w:rsidRPr="0045784D" w:rsidTr="00681A82">
        <w:trPr>
          <w:trHeight w:val="1050"/>
        </w:trPr>
        <w:tc>
          <w:tcPr>
            <w:tcW w:w="1844" w:type="dxa"/>
            <w:tcBorders>
              <w:top w:val="single" w:sz="4" w:space="0" w:color="auto"/>
              <w:left w:val="single" w:sz="18" w:space="0" w:color="auto"/>
              <w:bottom w:val="single" w:sz="18" w:space="0" w:color="auto"/>
              <w:right w:val="single" w:sz="4" w:space="0" w:color="auto"/>
            </w:tcBorders>
            <w:shd w:val="clear" w:color="000000" w:fill="D9D9D9"/>
            <w:vAlign w:val="center"/>
            <w:hideMark/>
          </w:tcPr>
          <w:p w:rsidR="00B43F04" w:rsidRPr="0043547B" w:rsidRDefault="00B43F04" w:rsidP="0045784D">
            <w:pPr>
              <w:spacing w:after="0" w:line="240" w:lineRule="auto"/>
              <w:jc w:val="center"/>
              <w:rPr>
                <w:rFonts w:cstheme="minorHAnsi"/>
                <w:b/>
                <w:bCs/>
                <w:sz w:val="24"/>
                <w:szCs w:val="24"/>
              </w:rPr>
            </w:pPr>
            <w:r w:rsidRPr="0043547B">
              <w:rPr>
                <w:rFonts w:cstheme="minorHAnsi"/>
                <w:b/>
                <w:bCs/>
                <w:sz w:val="24"/>
                <w:szCs w:val="24"/>
              </w:rPr>
              <w:t>Domaine d’application :</w:t>
            </w:r>
          </w:p>
        </w:tc>
        <w:tc>
          <w:tcPr>
            <w:tcW w:w="7796" w:type="dxa"/>
            <w:tcBorders>
              <w:top w:val="single" w:sz="4" w:space="0" w:color="auto"/>
              <w:left w:val="single" w:sz="4" w:space="0" w:color="auto"/>
              <w:bottom w:val="single" w:sz="18" w:space="0" w:color="auto"/>
              <w:right w:val="single" w:sz="18" w:space="0" w:color="auto"/>
            </w:tcBorders>
            <w:shd w:val="clear" w:color="auto" w:fill="auto"/>
            <w:vAlign w:val="center"/>
            <w:hideMark/>
          </w:tcPr>
          <w:p w:rsidR="00B43F04" w:rsidRPr="00E95C31" w:rsidRDefault="00B43F04" w:rsidP="00E95C31">
            <w:pPr>
              <w:spacing w:after="0" w:line="240" w:lineRule="auto"/>
              <w:jc w:val="both"/>
              <w:rPr>
                <w:rFonts w:cstheme="minorHAnsi"/>
              </w:rPr>
            </w:pPr>
            <w:r w:rsidRPr="00E95C31">
              <w:rPr>
                <w:rFonts w:cstheme="minorHAnsi"/>
              </w:rPr>
              <w:t>La présente Norme spécifie les matériaux, la conception, la construction et les propriétés d’une surface d’essai afin de minimiser la variation intersites des mesurages du bruit émis par les véhicules.</w:t>
            </w:r>
          </w:p>
          <w:p w:rsidR="00681A82" w:rsidRPr="00E95C31" w:rsidRDefault="00681A82" w:rsidP="00E95C31">
            <w:pPr>
              <w:spacing w:after="0" w:line="240" w:lineRule="auto"/>
              <w:jc w:val="both"/>
              <w:rPr>
                <w:rFonts w:cstheme="minorHAnsi"/>
              </w:rPr>
            </w:pPr>
            <w:r w:rsidRPr="00E95C31">
              <w:rPr>
                <w:rFonts w:cstheme="minorHAnsi"/>
              </w:rPr>
              <w:t xml:space="preserve">En particulier, la conception de la surface reprise dans la présente Norme produira des niveaux relativement faibles de bruit de contact pneumatique/chaussée dans une large gamme de conditions de fonctionnement, y compris celles qui sont appropriées à l’essai du bruit des véhicules; produira une absorption négligeable du bruit provenant du groupe motopropulseur du véhicule et des sources liées; sera compatible avec les pratiques générales en matière de construction routière (voir annexe B). </w:t>
            </w:r>
          </w:p>
          <w:p w:rsidR="00681A82" w:rsidRPr="00E95C31" w:rsidRDefault="00681A82" w:rsidP="00E95C31">
            <w:pPr>
              <w:spacing w:after="0" w:line="240" w:lineRule="auto"/>
              <w:jc w:val="both"/>
              <w:rPr>
                <w:rFonts w:cstheme="minorHAnsi"/>
              </w:rPr>
            </w:pPr>
            <w:r w:rsidRPr="00E95C31">
              <w:rPr>
                <w:rFonts w:cstheme="minorHAnsi"/>
              </w:rPr>
              <w:t>Bien que la présente Norme ait été élaborée spécialement pour être utilisée avec les procédures d’essai de I’ISO 362 et de I’ISO 7188, il est possible de l’utiliser pour l’essai-du bruit émis par les véhicules en général lorsqu’il est souhaitable d’obtenir un faible niveau de bruit de contact pneumatique/</w:t>
            </w:r>
            <w:r w:rsidR="007733BA" w:rsidRPr="00E95C31">
              <w:rPr>
                <w:rFonts w:cstheme="minorHAnsi"/>
              </w:rPr>
              <w:t xml:space="preserve"> </w:t>
            </w:r>
            <w:r w:rsidRPr="00E95C31">
              <w:rPr>
                <w:rFonts w:cstheme="minorHAnsi"/>
              </w:rPr>
              <w:t>chaussée pendant l’essai.</w:t>
            </w:r>
          </w:p>
          <w:p w:rsidR="00B43F04" w:rsidRPr="00E95C31" w:rsidRDefault="00681A82" w:rsidP="00E95C31">
            <w:pPr>
              <w:spacing w:after="0" w:line="240" w:lineRule="auto"/>
              <w:jc w:val="both"/>
              <w:rPr>
                <w:rFonts w:cstheme="minorHAnsi"/>
              </w:rPr>
            </w:pPr>
            <w:r w:rsidRPr="00E95C31">
              <w:rPr>
                <w:rFonts w:cstheme="minorHAnsi"/>
              </w:rPr>
              <w:lastRenderedPageBreak/>
              <w:t>La présente Norme ne prend pas en compte l’influence sur le bruit de contact pneumatique/chaussée de paramètres lies uniquement aux pneumatiques, tels que construction du pneumatique, profil de la bande de roulement, pression de gonflage et charge du pneumatique. II s’ensuit que, puisque la surface n’est pas prévue pour produire des niveaux de bruit de contact pneumatique/</w:t>
            </w:r>
            <w:r w:rsidR="007733BA" w:rsidRPr="00E95C31">
              <w:rPr>
                <w:rFonts w:cstheme="minorHAnsi"/>
              </w:rPr>
              <w:t xml:space="preserve"> </w:t>
            </w:r>
            <w:r w:rsidRPr="00E95C31">
              <w:rPr>
                <w:rFonts w:cstheme="minorHAnsi"/>
              </w:rPr>
              <w:t>chaussée significatifs, elle n’est pas spécialement conçue pour l’essai et la comparaison du bruit de contact pneumatique/chaussée.</w:t>
            </w:r>
          </w:p>
        </w:tc>
      </w:tr>
      <w:tr w:rsidR="0043547B" w:rsidRPr="0045784D" w:rsidTr="008D5BBF">
        <w:trPr>
          <w:trHeight w:val="330"/>
        </w:trPr>
        <w:tc>
          <w:tcPr>
            <w:tcW w:w="1844" w:type="dxa"/>
            <w:tcBorders>
              <w:top w:val="single" w:sz="18" w:space="0" w:color="auto"/>
              <w:left w:val="single" w:sz="18" w:space="0" w:color="auto"/>
              <w:bottom w:val="single" w:sz="18" w:space="0" w:color="auto"/>
              <w:right w:val="single" w:sz="4" w:space="0" w:color="auto"/>
            </w:tcBorders>
            <w:shd w:val="clear" w:color="auto" w:fill="B0CA7C"/>
            <w:vAlign w:val="center"/>
            <w:hideMark/>
          </w:tcPr>
          <w:p w:rsidR="00B43F04" w:rsidRPr="0043547B" w:rsidRDefault="00B43F04" w:rsidP="0045784D">
            <w:pPr>
              <w:spacing w:after="0" w:line="240" w:lineRule="auto"/>
              <w:jc w:val="center"/>
              <w:rPr>
                <w:rFonts w:cstheme="minorHAnsi"/>
                <w:b/>
                <w:bCs/>
                <w:sz w:val="24"/>
                <w:szCs w:val="24"/>
              </w:rPr>
            </w:pPr>
            <w:r w:rsidRPr="0043547B">
              <w:rPr>
                <w:rFonts w:cstheme="minorHAnsi"/>
                <w:b/>
                <w:bCs/>
                <w:sz w:val="24"/>
                <w:szCs w:val="24"/>
              </w:rPr>
              <w:lastRenderedPageBreak/>
              <w:t>Code :</w:t>
            </w:r>
          </w:p>
        </w:tc>
        <w:tc>
          <w:tcPr>
            <w:tcW w:w="7796" w:type="dxa"/>
            <w:tcBorders>
              <w:top w:val="single" w:sz="18" w:space="0" w:color="auto"/>
              <w:left w:val="single" w:sz="4" w:space="0" w:color="auto"/>
              <w:bottom w:val="single" w:sz="18" w:space="0" w:color="auto"/>
              <w:right w:val="single" w:sz="18" w:space="0" w:color="auto"/>
            </w:tcBorders>
            <w:shd w:val="clear" w:color="auto" w:fill="B0CA7C"/>
            <w:noWrap/>
            <w:vAlign w:val="center"/>
            <w:hideMark/>
          </w:tcPr>
          <w:p w:rsidR="00B43F04" w:rsidRPr="0045784D" w:rsidRDefault="00B43F04" w:rsidP="00B43F04">
            <w:pPr>
              <w:spacing w:after="0" w:line="240" w:lineRule="auto"/>
              <w:jc w:val="center"/>
              <w:rPr>
                <w:rFonts w:cstheme="minorHAnsi"/>
                <w:b/>
                <w:bCs/>
                <w:sz w:val="24"/>
                <w:szCs w:val="24"/>
              </w:rPr>
            </w:pPr>
            <w:r w:rsidRPr="0045784D">
              <w:rPr>
                <w:rFonts w:cstheme="minorHAnsi"/>
                <w:b/>
                <w:bCs/>
                <w:sz w:val="24"/>
                <w:szCs w:val="24"/>
              </w:rPr>
              <w:t>NM ISO 226</w:t>
            </w:r>
          </w:p>
        </w:tc>
      </w:tr>
      <w:tr w:rsidR="0043547B" w:rsidRPr="0045784D" w:rsidTr="008D5BBF">
        <w:trPr>
          <w:trHeight w:val="330"/>
        </w:trPr>
        <w:tc>
          <w:tcPr>
            <w:tcW w:w="1844"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B43F04" w:rsidRPr="0043547B" w:rsidRDefault="00B43F04" w:rsidP="0045784D">
            <w:pPr>
              <w:spacing w:after="0" w:line="240" w:lineRule="auto"/>
              <w:jc w:val="center"/>
              <w:rPr>
                <w:rFonts w:cstheme="minorHAnsi"/>
                <w:b/>
                <w:bCs/>
                <w:sz w:val="24"/>
                <w:szCs w:val="24"/>
              </w:rPr>
            </w:pPr>
            <w:r w:rsidRPr="0043547B">
              <w:rPr>
                <w:rFonts w:cstheme="minorHAnsi"/>
                <w:b/>
                <w:bCs/>
                <w:sz w:val="24"/>
                <w:szCs w:val="24"/>
              </w:rPr>
              <w:t>Equivalence :</w:t>
            </w:r>
          </w:p>
        </w:tc>
        <w:tc>
          <w:tcPr>
            <w:tcW w:w="7796" w:type="dxa"/>
            <w:tcBorders>
              <w:top w:val="single" w:sz="18" w:space="0" w:color="auto"/>
              <w:left w:val="single" w:sz="4" w:space="0" w:color="auto"/>
              <w:bottom w:val="single" w:sz="8" w:space="0" w:color="auto"/>
              <w:right w:val="single" w:sz="18" w:space="0" w:color="auto"/>
            </w:tcBorders>
            <w:shd w:val="clear" w:color="auto" w:fill="FFFF99"/>
            <w:noWrap/>
            <w:vAlign w:val="center"/>
            <w:hideMark/>
          </w:tcPr>
          <w:p w:rsidR="00B43F04" w:rsidRPr="0045784D" w:rsidRDefault="00B43F04" w:rsidP="00B43F04">
            <w:pPr>
              <w:spacing w:after="0" w:line="240" w:lineRule="auto"/>
              <w:jc w:val="center"/>
              <w:rPr>
                <w:rFonts w:cstheme="minorHAnsi"/>
                <w:b/>
                <w:bCs/>
                <w:sz w:val="24"/>
                <w:szCs w:val="24"/>
              </w:rPr>
            </w:pPr>
            <w:r w:rsidRPr="0045784D">
              <w:rPr>
                <w:rFonts w:cstheme="minorHAnsi"/>
                <w:b/>
                <w:bCs/>
                <w:sz w:val="24"/>
                <w:szCs w:val="24"/>
              </w:rPr>
              <w:t>ISO 226</w:t>
            </w:r>
          </w:p>
        </w:tc>
      </w:tr>
      <w:tr w:rsidR="0043547B" w:rsidRPr="0045784D" w:rsidTr="008D5BBF">
        <w:trPr>
          <w:trHeight w:val="330"/>
        </w:trPr>
        <w:tc>
          <w:tcPr>
            <w:tcW w:w="1844" w:type="dxa"/>
            <w:tcBorders>
              <w:top w:val="nil"/>
              <w:left w:val="single" w:sz="18" w:space="0" w:color="auto"/>
              <w:bottom w:val="single" w:sz="4" w:space="0" w:color="auto"/>
              <w:right w:val="single" w:sz="4" w:space="0" w:color="auto"/>
            </w:tcBorders>
            <w:shd w:val="clear" w:color="000000" w:fill="8DB4E2"/>
            <w:vAlign w:val="center"/>
            <w:hideMark/>
          </w:tcPr>
          <w:p w:rsidR="00B43F04" w:rsidRPr="0043547B" w:rsidRDefault="00B43F04" w:rsidP="0045784D">
            <w:pPr>
              <w:spacing w:after="0" w:line="240" w:lineRule="auto"/>
              <w:jc w:val="center"/>
              <w:rPr>
                <w:rFonts w:cstheme="minorHAnsi"/>
                <w:b/>
                <w:bCs/>
                <w:sz w:val="24"/>
                <w:szCs w:val="24"/>
              </w:rPr>
            </w:pPr>
            <w:r w:rsidRPr="0043547B">
              <w:rPr>
                <w:rFonts w:cstheme="minorHAnsi"/>
                <w:b/>
                <w:bCs/>
                <w:sz w:val="24"/>
                <w:szCs w:val="24"/>
              </w:rPr>
              <w:t>Intitulé :</w:t>
            </w:r>
          </w:p>
        </w:tc>
        <w:tc>
          <w:tcPr>
            <w:tcW w:w="7796" w:type="dxa"/>
            <w:tcBorders>
              <w:top w:val="nil"/>
              <w:left w:val="single" w:sz="4" w:space="0" w:color="auto"/>
              <w:bottom w:val="single" w:sz="8" w:space="0" w:color="auto"/>
              <w:right w:val="single" w:sz="18" w:space="0" w:color="auto"/>
            </w:tcBorders>
            <w:shd w:val="clear" w:color="auto" w:fill="auto"/>
            <w:noWrap/>
            <w:vAlign w:val="center"/>
            <w:hideMark/>
          </w:tcPr>
          <w:p w:rsidR="00B43F04" w:rsidRPr="00E95C31" w:rsidRDefault="00B43F04" w:rsidP="00E95C31">
            <w:pPr>
              <w:spacing w:after="0" w:line="240" w:lineRule="auto"/>
              <w:jc w:val="both"/>
              <w:rPr>
                <w:rFonts w:cstheme="minorHAnsi"/>
              </w:rPr>
            </w:pPr>
            <w:r w:rsidRPr="00E95C31">
              <w:rPr>
                <w:rFonts w:cstheme="minorHAnsi"/>
              </w:rPr>
              <w:t>Acoustique - Lignes isosoniques normales</w:t>
            </w:r>
          </w:p>
        </w:tc>
      </w:tr>
      <w:tr w:rsidR="0043547B" w:rsidRPr="0045784D" w:rsidTr="008D5BBF">
        <w:trPr>
          <w:trHeight w:val="2602"/>
        </w:trPr>
        <w:tc>
          <w:tcPr>
            <w:tcW w:w="1844" w:type="dxa"/>
            <w:tcBorders>
              <w:top w:val="nil"/>
              <w:left w:val="single" w:sz="18" w:space="0" w:color="auto"/>
              <w:bottom w:val="single" w:sz="18" w:space="0" w:color="auto"/>
              <w:right w:val="single" w:sz="4" w:space="0" w:color="auto"/>
            </w:tcBorders>
            <w:shd w:val="clear" w:color="000000" w:fill="D9D9D9"/>
            <w:vAlign w:val="center"/>
            <w:hideMark/>
          </w:tcPr>
          <w:p w:rsidR="00B43F04" w:rsidRPr="0043547B" w:rsidRDefault="00B43F04" w:rsidP="0045784D">
            <w:pPr>
              <w:spacing w:after="0" w:line="240" w:lineRule="auto"/>
              <w:jc w:val="center"/>
              <w:rPr>
                <w:rFonts w:cstheme="minorHAnsi"/>
                <w:b/>
                <w:bCs/>
                <w:sz w:val="24"/>
                <w:szCs w:val="24"/>
              </w:rPr>
            </w:pPr>
            <w:r w:rsidRPr="0043547B">
              <w:rPr>
                <w:rFonts w:cstheme="minorHAnsi"/>
                <w:b/>
                <w:bCs/>
                <w:sz w:val="24"/>
                <w:szCs w:val="24"/>
              </w:rPr>
              <w:t>Domaine d’application :</w:t>
            </w:r>
          </w:p>
        </w:tc>
        <w:tc>
          <w:tcPr>
            <w:tcW w:w="7796" w:type="dxa"/>
            <w:tcBorders>
              <w:top w:val="nil"/>
              <w:left w:val="single" w:sz="4" w:space="0" w:color="auto"/>
              <w:bottom w:val="single" w:sz="18" w:space="0" w:color="auto"/>
              <w:right w:val="single" w:sz="18" w:space="0" w:color="auto"/>
            </w:tcBorders>
            <w:shd w:val="clear" w:color="auto" w:fill="auto"/>
            <w:vAlign w:val="center"/>
            <w:hideMark/>
          </w:tcPr>
          <w:p w:rsidR="00B43F04" w:rsidRPr="00E95C31" w:rsidRDefault="00B43F04" w:rsidP="00E95C31">
            <w:pPr>
              <w:spacing w:after="0" w:line="240" w:lineRule="auto"/>
              <w:jc w:val="both"/>
              <w:rPr>
                <w:rFonts w:cstheme="minorHAnsi"/>
              </w:rPr>
            </w:pPr>
            <w:r w:rsidRPr="00E95C31">
              <w:rPr>
                <w:rFonts w:cstheme="minorHAnsi"/>
              </w:rPr>
              <w:t>La présente Norme spécifie les combinaisons de niveaux de pression acoustique et de fréquences de sons purs continus qui sont perçus comme isosoniques par des auditeurs humains. Les spécifications sont basées sur les conditions suivantes :</w:t>
            </w:r>
          </w:p>
          <w:p w:rsidR="00E95C31" w:rsidRDefault="00B43F04" w:rsidP="00E95C31">
            <w:pPr>
              <w:spacing w:after="0" w:line="240" w:lineRule="auto"/>
              <w:jc w:val="both"/>
              <w:rPr>
                <w:rFonts w:cstheme="minorHAnsi"/>
              </w:rPr>
            </w:pPr>
            <w:r w:rsidRPr="00E95C31">
              <w:rPr>
                <w:rFonts w:cstheme="minorHAnsi"/>
              </w:rPr>
              <w:t>a) le champ acoustique en l'absence de l'auditeur consiste en une onde plane progressive libre ;</w:t>
            </w:r>
          </w:p>
          <w:p w:rsidR="00B43F04" w:rsidRPr="00E95C31" w:rsidRDefault="00B43F04" w:rsidP="00E95C31">
            <w:pPr>
              <w:spacing w:after="0" w:line="240" w:lineRule="auto"/>
              <w:jc w:val="both"/>
              <w:rPr>
                <w:rFonts w:cstheme="minorHAnsi"/>
              </w:rPr>
            </w:pPr>
            <w:r w:rsidRPr="00E95C31">
              <w:rPr>
                <w:rFonts w:cstheme="minorHAnsi"/>
              </w:rPr>
              <w:t>b) la source de bruit fait directement face à l’auditeur ;</w:t>
            </w:r>
          </w:p>
          <w:p w:rsidR="00B43F04" w:rsidRPr="00E95C31" w:rsidRDefault="00B43F04" w:rsidP="00E95C31">
            <w:pPr>
              <w:spacing w:after="0" w:line="240" w:lineRule="auto"/>
              <w:jc w:val="both"/>
              <w:rPr>
                <w:rFonts w:cstheme="minorHAnsi"/>
              </w:rPr>
            </w:pPr>
            <w:r w:rsidRPr="00E95C31">
              <w:rPr>
                <w:rFonts w:cstheme="minorHAnsi"/>
              </w:rPr>
              <w:t>c) les signaux sonores sont des sons purs ;</w:t>
            </w:r>
          </w:p>
          <w:p w:rsidR="00B43F04" w:rsidRPr="00E95C31" w:rsidRDefault="00B43F04" w:rsidP="00E95C31">
            <w:pPr>
              <w:spacing w:after="0" w:line="240" w:lineRule="auto"/>
              <w:jc w:val="both"/>
              <w:rPr>
                <w:rFonts w:cstheme="minorHAnsi"/>
              </w:rPr>
            </w:pPr>
            <w:r w:rsidRPr="00E95C31">
              <w:rPr>
                <w:rFonts w:cstheme="minorHAnsi"/>
              </w:rPr>
              <w:t>d) le niveau de pression acoustique est mesuré en la position du centre de la tête de l'auditeur en l'absence de ce dernier ;</w:t>
            </w:r>
          </w:p>
          <w:p w:rsidR="00B43F04" w:rsidRPr="00E95C31" w:rsidRDefault="00B43F04" w:rsidP="00E95C31">
            <w:pPr>
              <w:spacing w:after="0" w:line="240" w:lineRule="auto"/>
              <w:jc w:val="both"/>
              <w:rPr>
                <w:rFonts w:cstheme="minorHAnsi"/>
              </w:rPr>
            </w:pPr>
            <w:r w:rsidRPr="00E95C31">
              <w:rPr>
                <w:rFonts w:cstheme="minorHAnsi"/>
              </w:rPr>
              <w:t>e) l'écoute est binaurale ;</w:t>
            </w:r>
          </w:p>
          <w:p w:rsidR="00B43F04" w:rsidRPr="00E95C31" w:rsidRDefault="00B43F04" w:rsidP="00E95C31">
            <w:pPr>
              <w:spacing w:after="0" w:line="240" w:lineRule="auto"/>
              <w:jc w:val="both"/>
              <w:rPr>
                <w:rFonts w:cstheme="minorHAnsi"/>
              </w:rPr>
            </w:pPr>
            <w:r w:rsidRPr="00E95C31">
              <w:rPr>
                <w:rFonts w:cstheme="minorHAnsi"/>
              </w:rPr>
              <w:t>f) les auditeurs sont des sujets ontologiquement normaux âgés de 18 ans à 25 ans inclusivement.</w:t>
            </w:r>
          </w:p>
        </w:tc>
      </w:tr>
      <w:tr w:rsidR="0043547B" w:rsidRPr="0045784D" w:rsidTr="008D5BBF">
        <w:trPr>
          <w:trHeight w:val="330"/>
        </w:trPr>
        <w:tc>
          <w:tcPr>
            <w:tcW w:w="1844" w:type="dxa"/>
            <w:tcBorders>
              <w:top w:val="single" w:sz="18" w:space="0" w:color="auto"/>
              <w:left w:val="single" w:sz="18" w:space="0" w:color="auto"/>
              <w:bottom w:val="single" w:sz="18" w:space="0" w:color="auto"/>
              <w:right w:val="single" w:sz="4" w:space="0" w:color="auto"/>
            </w:tcBorders>
            <w:shd w:val="clear" w:color="auto" w:fill="B0CA7C"/>
            <w:vAlign w:val="center"/>
            <w:hideMark/>
          </w:tcPr>
          <w:p w:rsidR="00B43F04" w:rsidRPr="0043547B" w:rsidRDefault="00B43F04" w:rsidP="0045784D">
            <w:pPr>
              <w:spacing w:after="0" w:line="240" w:lineRule="auto"/>
              <w:jc w:val="center"/>
              <w:rPr>
                <w:rFonts w:cstheme="minorHAnsi"/>
                <w:b/>
                <w:bCs/>
                <w:sz w:val="24"/>
                <w:szCs w:val="24"/>
              </w:rPr>
            </w:pPr>
            <w:r w:rsidRPr="0043547B">
              <w:rPr>
                <w:rFonts w:cstheme="minorHAnsi"/>
                <w:b/>
                <w:bCs/>
                <w:sz w:val="24"/>
                <w:szCs w:val="24"/>
              </w:rPr>
              <w:t>Code :</w:t>
            </w:r>
          </w:p>
        </w:tc>
        <w:tc>
          <w:tcPr>
            <w:tcW w:w="7796" w:type="dxa"/>
            <w:tcBorders>
              <w:top w:val="single" w:sz="18" w:space="0" w:color="auto"/>
              <w:left w:val="single" w:sz="4" w:space="0" w:color="auto"/>
              <w:bottom w:val="single" w:sz="18" w:space="0" w:color="auto"/>
              <w:right w:val="single" w:sz="18" w:space="0" w:color="auto"/>
            </w:tcBorders>
            <w:shd w:val="clear" w:color="auto" w:fill="B0CA7C"/>
            <w:noWrap/>
            <w:vAlign w:val="center"/>
            <w:hideMark/>
          </w:tcPr>
          <w:p w:rsidR="00B43F04" w:rsidRPr="0045784D" w:rsidRDefault="00B43F04" w:rsidP="00B43F04">
            <w:pPr>
              <w:spacing w:after="0" w:line="240" w:lineRule="auto"/>
              <w:jc w:val="center"/>
              <w:rPr>
                <w:rFonts w:cstheme="minorHAnsi"/>
                <w:b/>
                <w:bCs/>
                <w:sz w:val="24"/>
                <w:szCs w:val="24"/>
              </w:rPr>
            </w:pPr>
            <w:r w:rsidRPr="0045784D">
              <w:rPr>
                <w:rFonts w:cstheme="minorHAnsi"/>
                <w:b/>
                <w:bCs/>
                <w:sz w:val="24"/>
                <w:szCs w:val="24"/>
              </w:rPr>
              <w:t>NM ISO 2509</w:t>
            </w:r>
          </w:p>
        </w:tc>
      </w:tr>
      <w:tr w:rsidR="0043547B" w:rsidRPr="0045784D" w:rsidTr="008D5BBF">
        <w:trPr>
          <w:trHeight w:val="330"/>
        </w:trPr>
        <w:tc>
          <w:tcPr>
            <w:tcW w:w="1844"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B43F04" w:rsidRPr="0043547B" w:rsidRDefault="00B43F04" w:rsidP="0045784D">
            <w:pPr>
              <w:spacing w:after="0" w:line="240" w:lineRule="auto"/>
              <w:jc w:val="center"/>
              <w:rPr>
                <w:rFonts w:cstheme="minorHAnsi"/>
                <w:b/>
                <w:bCs/>
                <w:sz w:val="24"/>
                <w:szCs w:val="24"/>
              </w:rPr>
            </w:pPr>
            <w:r w:rsidRPr="0043547B">
              <w:rPr>
                <w:rFonts w:cstheme="minorHAnsi"/>
                <w:b/>
                <w:bCs/>
                <w:sz w:val="24"/>
                <w:szCs w:val="24"/>
              </w:rPr>
              <w:t>Equivalence :</w:t>
            </w:r>
          </w:p>
        </w:tc>
        <w:tc>
          <w:tcPr>
            <w:tcW w:w="7796" w:type="dxa"/>
            <w:tcBorders>
              <w:top w:val="single" w:sz="18" w:space="0" w:color="auto"/>
              <w:left w:val="single" w:sz="4" w:space="0" w:color="auto"/>
              <w:bottom w:val="single" w:sz="8" w:space="0" w:color="auto"/>
              <w:right w:val="single" w:sz="18" w:space="0" w:color="auto"/>
            </w:tcBorders>
            <w:shd w:val="clear" w:color="auto" w:fill="FFFF99"/>
            <w:noWrap/>
            <w:vAlign w:val="center"/>
            <w:hideMark/>
          </w:tcPr>
          <w:p w:rsidR="00B43F04" w:rsidRPr="0045784D" w:rsidRDefault="00B43F04" w:rsidP="00B43F04">
            <w:pPr>
              <w:spacing w:after="0" w:line="240" w:lineRule="auto"/>
              <w:jc w:val="center"/>
              <w:rPr>
                <w:rFonts w:cstheme="minorHAnsi"/>
                <w:b/>
                <w:bCs/>
                <w:sz w:val="24"/>
                <w:szCs w:val="24"/>
              </w:rPr>
            </w:pPr>
            <w:r w:rsidRPr="0045784D">
              <w:rPr>
                <w:rFonts w:cstheme="minorHAnsi"/>
                <w:b/>
                <w:bCs/>
                <w:sz w:val="24"/>
                <w:szCs w:val="24"/>
              </w:rPr>
              <w:t>ISO 2509</w:t>
            </w:r>
          </w:p>
        </w:tc>
      </w:tr>
      <w:tr w:rsidR="0043547B" w:rsidRPr="0045784D" w:rsidTr="008D5BBF">
        <w:trPr>
          <w:trHeight w:val="330"/>
        </w:trPr>
        <w:tc>
          <w:tcPr>
            <w:tcW w:w="1844" w:type="dxa"/>
            <w:tcBorders>
              <w:top w:val="nil"/>
              <w:left w:val="single" w:sz="18" w:space="0" w:color="auto"/>
              <w:bottom w:val="single" w:sz="4" w:space="0" w:color="auto"/>
              <w:right w:val="single" w:sz="4" w:space="0" w:color="auto"/>
            </w:tcBorders>
            <w:shd w:val="clear" w:color="000000" w:fill="8DB4E2"/>
            <w:vAlign w:val="center"/>
            <w:hideMark/>
          </w:tcPr>
          <w:p w:rsidR="00B43F04" w:rsidRPr="0043547B" w:rsidRDefault="00B43F04" w:rsidP="0045784D">
            <w:pPr>
              <w:spacing w:after="0" w:line="240" w:lineRule="auto"/>
              <w:jc w:val="center"/>
              <w:rPr>
                <w:rFonts w:cstheme="minorHAnsi"/>
                <w:b/>
                <w:bCs/>
                <w:sz w:val="24"/>
                <w:szCs w:val="24"/>
              </w:rPr>
            </w:pPr>
            <w:r w:rsidRPr="0043547B">
              <w:rPr>
                <w:rFonts w:cstheme="minorHAnsi"/>
                <w:b/>
                <w:bCs/>
                <w:sz w:val="24"/>
                <w:szCs w:val="24"/>
              </w:rPr>
              <w:t>Intitulé :</w:t>
            </w:r>
          </w:p>
        </w:tc>
        <w:tc>
          <w:tcPr>
            <w:tcW w:w="7796" w:type="dxa"/>
            <w:tcBorders>
              <w:top w:val="nil"/>
              <w:left w:val="single" w:sz="4" w:space="0" w:color="auto"/>
              <w:bottom w:val="single" w:sz="8" w:space="0" w:color="auto"/>
              <w:right w:val="single" w:sz="18" w:space="0" w:color="auto"/>
            </w:tcBorders>
            <w:shd w:val="clear" w:color="auto" w:fill="auto"/>
            <w:noWrap/>
            <w:vAlign w:val="center"/>
            <w:hideMark/>
          </w:tcPr>
          <w:p w:rsidR="00B43F04" w:rsidRPr="00E95C31" w:rsidRDefault="00B43F04" w:rsidP="00E95C31">
            <w:pPr>
              <w:spacing w:after="0" w:line="240" w:lineRule="auto"/>
              <w:jc w:val="both"/>
              <w:rPr>
                <w:rFonts w:cstheme="minorHAnsi"/>
              </w:rPr>
            </w:pPr>
            <w:r w:rsidRPr="00E95C31">
              <w:rPr>
                <w:rFonts w:cstheme="minorHAnsi"/>
              </w:rPr>
              <w:t>Agglomérés expansés purs de liège absorbants acoustiques en dalles</w:t>
            </w:r>
          </w:p>
        </w:tc>
      </w:tr>
      <w:tr w:rsidR="0043547B" w:rsidRPr="0045784D" w:rsidTr="008D5BBF">
        <w:trPr>
          <w:trHeight w:val="615"/>
        </w:trPr>
        <w:tc>
          <w:tcPr>
            <w:tcW w:w="1844" w:type="dxa"/>
            <w:tcBorders>
              <w:top w:val="nil"/>
              <w:left w:val="single" w:sz="18" w:space="0" w:color="auto"/>
              <w:bottom w:val="single" w:sz="18" w:space="0" w:color="auto"/>
              <w:right w:val="single" w:sz="4" w:space="0" w:color="auto"/>
            </w:tcBorders>
            <w:shd w:val="clear" w:color="000000" w:fill="D9D9D9"/>
            <w:vAlign w:val="center"/>
            <w:hideMark/>
          </w:tcPr>
          <w:p w:rsidR="00B43F04" w:rsidRPr="0043547B" w:rsidRDefault="00B43F04" w:rsidP="0045784D">
            <w:pPr>
              <w:spacing w:after="0" w:line="240" w:lineRule="auto"/>
              <w:jc w:val="center"/>
              <w:rPr>
                <w:rFonts w:cstheme="minorHAnsi"/>
                <w:b/>
                <w:bCs/>
                <w:sz w:val="24"/>
                <w:szCs w:val="24"/>
              </w:rPr>
            </w:pPr>
            <w:r w:rsidRPr="0043547B">
              <w:rPr>
                <w:rFonts w:cstheme="minorHAnsi"/>
                <w:b/>
                <w:bCs/>
                <w:sz w:val="24"/>
                <w:szCs w:val="24"/>
              </w:rPr>
              <w:t>Domaine d’application :</w:t>
            </w:r>
          </w:p>
        </w:tc>
        <w:tc>
          <w:tcPr>
            <w:tcW w:w="7796" w:type="dxa"/>
            <w:tcBorders>
              <w:top w:val="nil"/>
              <w:left w:val="single" w:sz="4" w:space="0" w:color="auto"/>
              <w:bottom w:val="single" w:sz="18" w:space="0" w:color="auto"/>
              <w:right w:val="single" w:sz="18" w:space="0" w:color="auto"/>
            </w:tcBorders>
            <w:shd w:val="clear" w:color="auto" w:fill="auto"/>
            <w:vAlign w:val="center"/>
            <w:hideMark/>
          </w:tcPr>
          <w:p w:rsidR="00B43F04" w:rsidRPr="00E95C31" w:rsidRDefault="00B43F04" w:rsidP="00E95C31">
            <w:pPr>
              <w:spacing w:after="0" w:line="240" w:lineRule="auto"/>
              <w:jc w:val="both"/>
              <w:rPr>
                <w:rFonts w:cstheme="minorHAnsi"/>
              </w:rPr>
            </w:pPr>
            <w:r w:rsidRPr="00E95C31">
              <w:rPr>
                <w:rFonts w:cstheme="minorHAnsi"/>
              </w:rPr>
              <w:t>La présente Norme fixe certaines caractéristiques des agglomérés expansés purs de liège absorbants acoustiques en dalles.</w:t>
            </w:r>
          </w:p>
        </w:tc>
      </w:tr>
      <w:tr w:rsidR="0043547B" w:rsidRPr="0045784D" w:rsidTr="008D5BBF">
        <w:trPr>
          <w:trHeight w:val="330"/>
        </w:trPr>
        <w:tc>
          <w:tcPr>
            <w:tcW w:w="1844" w:type="dxa"/>
            <w:tcBorders>
              <w:top w:val="single" w:sz="18" w:space="0" w:color="auto"/>
              <w:left w:val="single" w:sz="18" w:space="0" w:color="auto"/>
              <w:bottom w:val="single" w:sz="18" w:space="0" w:color="auto"/>
              <w:right w:val="single" w:sz="4" w:space="0" w:color="auto"/>
            </w:tcBorders>
            <w:shd w:val="clear" w:color="auto" w:fill="B0CA7C"/>
            <w:vAlign w:val="center"/>
            <w:hideMark/>
          </w:tcPr>
          <w:p w:rsidR="00B43F04" w:rsidRPr="0043547B" w:rsidRDefault="00B43F04" w:rsidP="0045784D">
            <w:pPr>
              <w:spacing w:after="0" w:line="240" w:lineRule="auto"/>
              <w:jc w:val="center"/>
              <w:rPr>
                <w:rFonts w:cstheme="minorHAnsi"/>
                <w:b/>
                <w:bCs/>
                <w:sz w:val="24"/>
                <w:szCs w:val="24"/>
              </w:rPr>
            </w:pPr>
            <w:r w:rsidRPr="0043547B">
              <w:rPr>
                <w:rFonts w:cstheme="minorHAnsi"/>
                <w:b/>
                <w:bCs/>
                <w:sz w:val="24"/>
                <w:szCs w:val="24"/>
              </w:rPr>
              <w:t>Code :</w:t>
            </w:r>
          </w:p>
        </w:tc>
        <w:tc>
          <w:tcPr>
            <w:tcW w:w="7796" w:type="dxa"/>
            <w:tcBorders>
              <w:top w:val="single" w:sz="18" w:space="0" w:color="auto"/>
              <w:left w:val="single" w:sz="4" w:space="0" w:color="auto"/>
              <w:bottom w:val="single" w:sz="18" w:space="0" w:color="auto"/>
              <w:right w:val="single" w:sz="18" w:space="0" w:color="auto"/>
            </w:tcBorders>
            <w:shd w:val="clear" w:color="auto" w:fill="B0CA7C"/>
            <w:noWrap/>
            <w:vAlign w:val="center"/>
            <w:hideMark/>
          </w:tcPr>
          <w:p w:rsidR="00B43F04" w:rsidRPr="0045784D" w:rsidRDefault="00B43F04" w:rsidP="00B43F04">
            <w:pPr>
              <w:spacing w:after="0" w:line="240" w:lineRule="auto"/>
              <w:jc w:val="center"/>
              <w:rPr>
                <w:rFonts w:cstheme="minorHAnsi"/>
                <w:b/>
                <w:bCs/>
                <w:sz w:val="24"/>
                <w:szCs w:val="24"/>
              </w:rPr>
            </w:pPr>
            <w:r w:rsidRPr="0045784D">
              <w:rPr>
                <w:rFonts w:cstheme="minorHAnsi"/>
                <w:b/>
                <w:bCs/>
                <w:sz w:val="24"/>
                <w:szCs w:val="24"/>
              </w:rPr>
              <w:t>NM ISO 2510</w:t>
            </w:r>
          </w:p>
        </w:tc>
      </w:tr>
      <w:tr w:rsidR="0043547B" w:rsidRPr="0045784D" w:rsidTr="008D5BBF">
        <w:trPr>
          <w:trHeight w:val="330"/>
        </w:trPr>
        <w:tc>
          <w:tcPr>
            <w:tcW w:w="1844"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B43F04" w:rsidRPr="0043547B" w:rsidRDefault="00B43F04" w:rsidP="0045784D">
            <w:pPr>
              <w:spacing w:after="0" w:line="240" w:lineRule="auto"/>
              <w:jc w:val="center"/>
              <w:rPr>
                <w:rFonts w:cstheme="minorHAnsi"/>
                <w:b/>
                <w:bCs/>
                <w:sz w:val="24"/>
                <w:szCs w:val="24"/>
              </w:rPr>
            </w:pPr>
            <w:r w:rsidRPr="0043547B">
              <w:rPr>
                <w:rFonts w:cstheme="minorHAnsi"/>
                <w:b/>
                <w:bCs/>
                <w:sz w:val="24"/>
                <w:szCs w:val="24"/>
              </w:rPr>
              <w:t>Equivalence :</w:t>
            </w:r>
          </w:p>
        </w:tc>
        <w:tc>
          <w:tcPr>
            <w:tcW w:w="7796" w:type="dxa"/>
            <w:tcBorders>
              <w:top w:val="single" w:sz="18" w:space="0" w:color="auto"/>
              <w:left w:val="single" w:sz="4" w:space="0" w:color="auto"/>
              <w:bottom w:val="single" w:sz="8" w:space="0" w:color="auto"/>
              <w:right w:val="single" w:sz="18" w:space="0" w:color="auto"/>
            </w:tcBorders>
            <w:shd w:val="clear" w:color="auto" w:fill="FFFF99"/>
            <w:noWrap/>
            <w:vAlign w:val="center"/>
            <w:hideMark/>
          </w:tcPr>
          <w:p w:rsidR="00B43F04" w:rsidRPr="0045784D" w:rsidRDefault="00B43F04" w:rsidP="00B43F04">
            <w:pPr>
              <w:spacing w:after="0" w:line="240" w:lineRule="auto"/>
              <w:jc w:val="center"/>
              <w:rPr>
                <w:rFonts w:cstheme="minorHAnsi"/>
                <w:b/>
                <w:bCs/>
                <w:sz w:val="24"/>
                <w:szCs w:val="24"/>
              </w:rPr>
            </w:pPr>
            <w:r w:rsidRPr="0045784D">
              <w:rPr>
                <w:rFonts w:cstheme="minorHAnsi"/>
                <w:b/>
                <w:bCs/>
                <w:sz w:val="24"/>
                <w:szCs w:val="24"/>
              </w:rPr>
              <w:t>ISO 2510</w:t>
            </w:r>
          </w:p>
        </w:tc>
      </w:tr>
      <w:tr w:rsidR="0043547B" w:rsidRPr="0045784D" w:rsidTr="008D5BBF">
        <w:trPr>
          <w:trHeight w:val="330"/>
        </w:trPr>
        <w:tc>
          <w:tcPr>
            <w:tcW w:w="1844" w:type="dxa"/>
            <w:tcBorders>
              <w:top w:val="nil"/>
              <w:left w:val="single" w:sz="18" w:space="0" w:color="auto"/>
              <w:bottom w:val="single" w:sz="4" w:space="0" w:color="auto"/>
              <w:right w:val="single" w:sz="4" w:space="0" w:color="auto"/>
            </w:tcBorders>
            <w:shd w:val="clear" w:color="000000" w:fill="8DB4E2"/>
            <w:vAlign w:val="center"/>
            <w:hideMark/>
          </w:tcPr>
          <w:p w:rsidR="00B43F04" w:rsidRPr="0043547B" w:rsidRDefault="00B43F04" w:rsidP="0045784D">
            <w:pPr>
              <w:spacing w:after="0" w:line="240" w:lineRule="auto"/>
              <w:jc w:val="center"/>
              <w:rPr>
                <w:rFonts w:cstheme="minorHAnsi"/>
                <w:b/>
                <w:bCs/>
                <w:sz w:val="24"/>
                <w:szCs w:val="24"/>
              </w:rPr>
            </w:pPr>
            <w:r w:rsidRPr="0043547B">
              <w:rPr>
                <w:rFonts w:cstheme="minorHAnsi"/>
                <w:b/>
                <w:bCs/>
                <w:sz w:val="24"/>
                <w:szCs w:val="24"/>
              </w:rPr>
              <w:t>Intitulé :</w:t>
            </w:r>
          </w:p>
        </w:tc>
        <w:tc>
          <w:tcPr>
            <w:tcW w:w="7796" w:type="dxa"/>
            <w:tcBorders>
              <w:top w:val="nil"/>
              <w:left w:val="single" w:sz="4" w:space="0" w:color="auto"/>
              <w:bottom w:val="single" w:sz="8" w:space="0" w:color="auto"/>
              <w:right w:val="single" w:sz="18" w:space="0" w:color="auto"/>
            </w:tcBorders>
            <w:shd w:val="clear" w:color="auto" w:fill="auto"/>
            <w:noWrap/>
            <w:vAlign w:val="center"/>
            <w:hideMark/>
          </w:tcPr>
          <w:p w:rsidR="00B43F04" w:rsidRPr="00E95C31" w:rsidRDefault="00B43F04" w:rsidP="00E95C31">
            <w:pPr>
              <w:spacing w:after="0" w:line="240" w:lineRule="auto"/>
              <w:jc w:val="both"/>
              <w:rPr>
                <w:rFonts w:cstheme="minorHAnsi"/>
              </w:rPr>
            </w:pPr>
            <w:r w:rsidRPr="00E95C31">
              <w:rPr>
                <w:rFonts w:cstheme="minorHAnsi"/>
              </w:rPr>
              <w:t>Agglomérés composés de liège réducteurs acoustiques en dalles</w:t>
            </w:r>
          </w:p>
        </w:tc>
      </w:tr>
      <w:tr w:rsidR="0043547B" w:rsidRPr="0045784D" w:rsidTr="008D5BBF">
        <w:trPr>
          <w:trHeight w:val="615"/>
        </w:trPr>
        <w:tc>
          <w:tcPr>
            <w:tcW w:w="1844" w:type="dxa"/>
            <w:tcBorders>
              <w:top w:val="nil"/>
              <w:left w:val="single" w:sz="18" w:space="0" w:color="auto"/>
              <w:bottom w:val="single" w:sz="18" w:space="0" w:color="auto"/>
              <w:right w:val="single" w:sz="4" w:space="0" w:color="auto"/>
            </w:tcBorders>
            <w:shd w:val="clear" w:color="000000" w:fill="D9D9D9"/>
            <w:vAlign w:val="center"/>
            <w:hideMark/>
          </w:tcPr>
          <w:p w:rsidR="00B43F04" w:rsidRPr="0043547B" w:rsidRDefault="00B43F04" w:rsidP="0045784D">
            <w:pPr>
              <w:spacing w:after="0" w:line="240" w:lineRule="auto"/>
              <w:jc w:val="center"/>
              <w:rPr>
                <w:rFonts w:cstheme="minorHAnsi"/>
                <w:b/>
                <w:bCs/>
                <w:sz w:val="24"/>
                <w:szCs w:val="24"/>
              </w:rPr>
            </w:pPr>
            <w:r w:rsidRPr="0043547B">
              <w:rPr>
                <w:rFonts w:cstheme="minorHAnsi"/>
                <w:b/>
                <w:bCs/>
                <w:sz w:val="24"/>
                <w:szCs w:val="24"/>
              </w:rPr>
              <w:t>Domaine d’application :</w:t>
            </w:r>
          </w:p>
        </w:tc>
        <w:tc>
          <w:tcPr>
            <w:tcW w:w="7796" w:type="dxa"/>
            <w:tcBorders>
              <w:top w:val="nil"/>
              <w:left w:val="single" w:sz="4" w:space="0" w:color="auto"/>
              <w:bottom w:val="single" w:sz="18" w:space="0" w:color="auto"/>
              <w:right w:val="single" w:sz="18" w:space="0" w:color="auto"/>
            </w:tcBorders>
            <w:shd w:val="clear" w:color="auto" w:fill="auto"/>
            <w:vAlign w:val="center"/>
            <w:hideMark/>
          </w:tcPr>
          <w:p w:rsidR="00B43F04" w:rsidRPr="00E95C31" w:rsidRDefault="00B43F04" w:rsidP="00E95C31">
            <w:pPr>
              <w:spacing w:after="0" w:line="240" w:lineRule="auto"/>
              <w:jc w:val="both"/>
              <w:rPr>
                <w:rFonts w:cstheme="minorHAnsi"/>
              </w:rPr>
            </w:pPr>
            <w:r w:rsidRPr="00E95C31">
              <w:rPr>
                <w:rFonts w:cstheme="minorHAnsi"/>
              </w:rPr>
              <w:t>La présente Norme fixe certaines caractéristiques des agglomérés composés de liège réducteurs acoustiques en dalles.</w:t>
            </w:r>
          </w:p>
        </w:tc>
      </w:tr>
      <w:tr w:rsidR="0043547B" w:rsidRPr="0045784D" w:rsidTr="007733BA">
        <w:trPr>
          <w:trHeight w:val="304"/>
        </w:trPr>
        <w:tc>
          <w:tcPr>
            <w:tcW w:w="1844"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4D093D" w:rsidRPr="009E7875" w:rsidRDefault="004D093D" w:rsidP="007733BA">
            <w:pPr>
              <w:spacing w:after="0" w:line="240" w:lineRule="auto"/>
              <w:jc w:val="center"/>
              <w:rPr>
                <w:rFonts w:cstheme="minorHAnsi"/>
                <w:b/>
                <w:bCs/>
                <w:sz w:val="24"/>
                <w:szCs w:val="24"/>
              </w:rPr>
            </w:pPr>
            <w:r w:rsidRPr="009E7875">
              <w:rPr>
                <w:rFonts w:cstheme="minorHAnsi"/>
                <w:b/>
                <w:bCs/>
                <w:sz w:val="24"/>
                <w:szCs w:val="24"/>
              </w:rPr>
              <w:t>Code :</w:t>
            </w:r>
          </w:p>
        </w:tc>
        <w:tc>
          <w:tcPr>
            <w:tcW w:w="7796" w:type="dxa"/>
            <w:tcBorders>
              <w:top w:val="nil"/>
              <w:left w:val="single" w:sz="4" w:space="0" w:color="auto"/>
              <w:bottom w:val="single" w:sz="18" w:space="0" w:color="auto"/>
              <w:right w:val="single" w:sz="18" w:space="0" w:color="auto"/>
            </w:tcBorders>
            <w:shd w:val="clear" w:color="auto" w:fill="C2D69B" w:themeFill="accent3" w:themeFillTint="99"/>
            <w:vAlign w:val="center"/>
          </w:tcPr>
          <w:p w:rsidR="004D093D" w:rsidRPr="009E7875" w:rsidRDefault="004D093D" w:rsidP="007733BA">
            <w:pPr>
              <w:spacing w:after="0" w:line="240" w:lineRule="auto"/>
              <w:jc w:val="center"/>
              <w:rPr>
                <w:rFonts w:cstheme="minorHAnsi"/>
                <w:b/>
                <w:bCs/>
                <w:sz w:val="24"/>
                <w:szCs w:val="24"/>
              </w:rPr>
            </w:pPr>
            <w:r w:rsidRPr="009E7875">
              <w:rPr>
                <w:rFonts w:cstheme="minorHAnsi"/>
                <w:b/>
                <w:bCs/>
                <w:sz w:val="24"/>
                <w:szCs w:val="24"/>
              </w:rPr>
              <w:t>NM 19.3.055</w:t>
            </w:r>
          </w:p>
        </w:tc>
      </w:tr>
      <w:tr w:rsidR="0043547B" w:rsidRPr="0045784D" w:rsidTr="007733BA">
        <w:trPr>
          <w:trHeight w:val="615"/>
        </w:trPr>
        <w:tc>
          <w:tcPr>
            <w:tcW w:w="1844" w:type="dxa"/>
            <w:tcBorders>
              <w:top w:val="single" w:sz="18" w:space="0" w:color="auto"/>
              <w:left w:val="single" w:sz="18" w:space="0" w:color="auto"/>
              <w:bottom w:val="single" w:sz="4" w:space="0" w:color="auto"/>
              <w:right w:val="single" w:sz="4" w:space="0" w:color="auto"/>
            </w:tcBorders>
            <w:shd w:val="clear" w:color="auto" w:fill="95B3D7" w:themeFill="accent1" w:themeFillTint="99"/>
            <w:vAlign w:val="center"/>
          </w:tcPr>
          <w:p w:rsidR="004D093D" w:rsidRPr="0043547B" w:rsidRDefault="004D093D" w:rsidP="007733BA">
            <w:pPr>
              <w:spacing w:after="0" w:line="240" w:lineRule="auto"/>
              <w:jc w:val="center"/>
              <w:rPr>
                <w:rFonts w:cstheme="minorHAnsi"/>
                <w:b/>
                <w:bCs/>
                <w:sz w:val="24"/>
                <w:szCs w:val="24"/>
              </w:rPr>
            </w:pPr>
            <w:r w:rsidRPr="0043547B">
              <w:rPr>
                <w:rFonts w:cstheme="minorHAnsi"/>
                <w:b/>
                <w:bCs/>
                <w:sz w:val="24"/>
                <w:szCs w:val="24"/>
              </w:rPr>
              <w:t>Intitulé :</w:t>
            </w:r>
          </w:p>
        </w:tc>
        <w:tc>
          <w:tcPr>
            <w:tcW w:w="7796" w:type="dxa"/>
            <w:tcBorders>
              <w:top w:val="single" w:sz="18" w:space="0" w:color="auto"/>
              <w:left w:val="single" w:sz="4" w:space="0" w:color="auto"/>
              <w:bottom w:val="single" w:sz="4" w:space="0" w:color="auto"/>
              <w:right w:val="single" w:sz="18" w:space="0" w:color="auto"/>
            </w:tcBorders>
            <w:shd w:val="clear" w:color="auto" w:fill="auto"/>
          </w:tcPr>
          <w:p w:rsidR="004D093D" w:rsidRPr="00E95C31" w:rsidRDefault="004D093D" w:rsidP="00E95C31">
            <w:pPr>
              <w:spacing w:after="0" w:line="240" w:lineRule="auto"/>
              <w:jc w:val="both"/>
              <w:rPr>
                <w:rFonts w:cstheme="minorHAnsi"/>
              </w:rPr>
            </w:pPr>
            <w:r w:rsidRPr="00E95C31">
              <w:rPr>
                <w:rFonts w:cstheme="minorHAnsi"/>
              </w:rPr>
              <w:t xml:space="preserve">Acoustique - Cartographie du bruit en milieu extérieur - Elaboration des cartes et représentation graphique ; </w:t>
            </w:r>
          </w:p>
        </w:tc>
      </w:tr>
      <w:tr w:rsidR="0043547B" w:rsidRPr="0045784D" w:rsidTr="007733BA">
        <w:trPr>
          <w:trHeight w:val="615"/>
        </w:trPr>
        <w:tc>
          <w:tcPr>
            <w:tcW w:w="1844" w:type="dxa"/>
            <w:tcBorders>
              <w:top w:val="single" w:sz="4" w:space="0" w:color="auto"/>
              <w:left w:val="single" w:sz="18" w:space="0" w:color="auto"/>
              <w:bottom w:val="single" w:sz="18" w:space="0" w:color="auto"/>
              <w:right w:val="single" w:sz="4" w:space="0" w:color="auto"/>
            </w:tcBorders>
            <w:shd w:val="clear" w:color="000000" w:fill="D9D9D9"/>
            <w:vAlign w:val="center"/>
          </w:tcPr>
          <w:p w:rsidR="004D093D" w:rsidRPr="0043547B" w:rsidRDefault="004D093D" w:rsidP="007733BA">
            <w:pPr>
              <w:spacing w:after="0" w:line="240" w:lineRule="auto"/>
              <w:jc w:val="center"/>
              <w:rPr>
                <w:rFonts w:cstheme="minorHAnsi"/>
                <w:b/>
                <w:bCs/>
                <w:sz w:val="24"/>
                <w:szCs w:val="24"/>
              </w:rPr>
            </w:pPr>
            <w:r w:rsidRPr="0043547B">
              <w:rPr>
                <w:rFonts w:cstheme="minorHAnsi"/>
                <w:b/>
                <w:bCs/>
                <w:sz w:val="24"/>
                <w:szCs w:val="24"/>
              </w:rPr>
              <w:t>Domaine d’application :</w:t>
            </w:r>
          </w:p>
        </w:tc>
        <w:tc>
          <w:tcPr>
            <w:tcW w:w="7796" w:type="dxa"/>
            <w:tcBorders>
              <w:top w:val="single" w:sz="4" w:space="0" w:color="auto"/>
              <w:left w:val="single" w:sz="4" w:space="0" w:color="auto"/>
              <w:bottom w:val="single" w:sz="18" w:space="0" w:color="auto"/>
              <w:right w:val="single" w:sz="18" w:space="0" w:color="auto"/>
            </w:tcBorders>
            <w:shd w:val="clear" w:color="auto" w:fill="auto"/>
          </w:tcPr>
          <w:p w:rsidR="007733BA" w:rsidRPr="00E95C31" w:rsidRDefault="004D093D" w:rsidP="00E95C31">
            <w:pPr>
              <w:spacing w:after="0" w:line="240" w:lineRule="auto"/>
              <w:jc w:val="both"/>
              <w:rPr>
                <w:rFonts w:cstheme="minorHAnsi"/>
              </w:rPr>
            </w:pPr>
            <w:r w:rsidRPr="00E95C31">
              <w:rPr>
                <w:rFonts w:cstheme="minorHAnsi"/>
              </w:rPr>
              <w:t>Le présent document a pour objet de spécifier les méthodes à mettre en oeuvre pour l’élaboration des</w:t>
            </w:r>
            <w:r w:rsidR="00F22FCF" w:rsidRPr="00E95C31">
              <w:rPr>
                <w:rFonts w:cstheme="minorHAnsi"/>
              </w:rPr>
              <w:t xml:space="preserve"> </w:t>
            </w:r>
            <w:r w:rsidRPr="00E95C31">
              <w:rPr>
                <w:rFonts w:cstheme="minorHAnsi"/>
              </w:rPr>
              <w:t>représentations graphiques des cartes de bruit en milieu extérieur et de codifier la présentation des résultats</w:t>
            </w:r>
            <w:r w:rsidR="007733BA" w:rsidRPr="00E95C31">
              <w:rPr>
                <w:rFonts w:cstheme="minorHAnsi"/>
              </w:rPr>
              <w:t xml:space="preserve"> </w:t>
            </w:r>
            <w:r w:rsidRPr="00E95C31">
              <w:rPr>
                <w:rFonts w:cstheme="minorHAnsi"/>
              </w:rPr>
              <w:t>d’une étude acoustique. Il est applicable aux bruits de circulation routière et ferroviaire (tramways, trains,</w:t>
            </w:r>
            <w:r w:rsidR="00F22FCF" w:rsidRPr="00E95C31">
              <w:rPr>
                <w:rFonts w:cstheme="minorHAnsi"/>
              </w:rPr>
              <w:t xml:space="preserve"> </w:t>
            </w:r>
            <w:r w:rsidRPr="00E95C31">
              <w:rPr>
                <w:rFonts w:cstheme="minorHAnsi"/>
              </w:rPr>
              <w:t>systèmes guidés sur pneus) ainsi qu’au bruit industriel. Il peut toutefois être adapté à d’autres sources de</w:t>
            </w:r>
            <w:r w:rsidR="007733BA" w:rsidRPr="00E95C31">
              <w:rPr>
                <w:rFonts w:cstheme="minorHAnsi"/>
              </w:rPr>
              <w:t xml:space="preserve"> </w:t>
            </w:r>
            <w:r w:rsidRPr="00E95C31">
              <w:rPr>
                <w:rFonts w:cstheme="minorHAnsi"/>
              </w:rPr>
              <w:t>l’acoustique extérieure.</w:t>
            </w:r>
          </w:p>
          <w:p w:rsidR="007733BA" w:rsidRPr="00E95C31" w:rsidRDefault="004D093D" w:rsidP="00E95C31">
            <w:pPr>
              <w:spacing w:after="0" w:line="240" w:lineRule="auto"/>
              <w:jc w:val="both"/>
              <w:rPr>
                <w:rFonts w:cstheme="minorHAnsi"/>
              </w:rPr>
            </w:pPr>
            <w:r w:rsidRPr="00E95C31">
              <w:rPr>
                <w:rFonts w:cstheme="minorHAnsi"/>
              </w:rPr>
              <w:t>Il est applicable aux bruits d'origine aéronautique.</w:t>
            </w:r>
          </w:p>
          <w:p w:rsidR="007733BA" w:rsidRPr="00E95C31" w:rsidRDefault="004D093D" w:rsidP="00E95C31">
            <w:pPr>
              <w:spacing w:after="0" w:line="240" w:lineRule="auto"/>
              <w:jc w:val="both"/>
              <w:rPr>
                <w:rFonts w:cstheme="minorHAnsi"/>
              </w:rPr>
            </w:pPr>
            <w:r w:rsidRPr="00E95C31">
              <w:rPr>
                <w:rFonts w:cstheme="minorHAnsi"/>
              </w:rPr>
              <w:t>Il exclut l’élaboration des cartes et la représentation graphique :</w:t>
            </w:r>
          </w:p>
          <w:p w:rsidR="007733BA" w:rsidRPr="00E95C31" w:rsidRDefault="004D093D" w:rsidP="00E95C31">
            <w:pPr>
              <w:spacing w:after="0" w:line="240" w:lineRule="auto"/>
              <w:jc w:val="both"/>
              <w:rPr>
                <w:rFonts w:cstheme="minorHAnsi"/>
              </w:rPr>
            </w:pPr>
            <w:r w:rsidRPr="00E95C31">
              <w:rPr>
                <w:rFonts w:cstheme="minorHAnsi"/>
              </w:rPr>
              <w:t>— des bruits à l’intérieur des bâtiments ;</w:t>
            </w:r>
          </w:p>
          <w:p w:rsidR="007733BA" w:rsidRPr="00E95C31" w:rsidRDefault="004D093D" w:rsidP="00E95C31">
            <w:pPr>
              <w:spacing w:after="0" w:line="240" w:lineRule="auto"/>
              <w:jc w:val="both"/>
              <w:rPr>
                <w:rFonts w:cstheme="minorHAnsi"/>
              </w:rPr>
            </w:pPr>
            <w:r w:rsidRPr="00E95C31">
              <w:rPr>
                <w:rFonts w:cstheme="minorHAnsi"/>
              </w:rPr>
              <w:t>— des bruits auxquels les travailleurs sont exposés dans leurs activités professionnelles en vue de la</w:t>
            </w:r>
            <w:r w:rsidR="00F22FCF" w:rsidRPr="00E95C31">
              <w:rPr>
                <w:rFonts w:cstheme="minorHAnsi"/>
              </w:rPr>
              <w:t xml:space="preserve"> </w:t>
            </w:r>
            <w:r w:rsidRPr="00E95C31">
              <w:rPr>
                <w:rFonts w:cstheme="minorHAnsi"/>
              </w:rPr>
              <w:t>détermination de leurs effets lésionnels et de l’évaluation de leurs effets sur la santé, les normes NM*19.3.092</w:t>
            </w:r>
            <w:r w:rsidR="00E95C31">
              <w:rPr>
                <w:rFonts w:cstheme="minorHAnsi"/>
              </w:rPr>
              <w:t xml:space="preserve"> </w:t>
            </w:r>
            <w:r w:rsidRPr="00E95C31">
              <w:rPr>
                <w:rFonts w:cstheme="minorHAnsi"/>
              </w:rPr>
              <w:t>et NM*19.3.093 s’appliquant à ces cas.</w:t>
            </w:r>
          </w:p>
          <w:p w:rsidR="007733BA" w:rsidRPr="00E95C31" w:rsidRDefault="004D093D" w:rsidP="00E95C31">
            <w:pPr>
              <w:spacing w:after="0" w:line="240" w:lineRule="auto"/>
              <w:jc w:val="both"/>
              <w:rPr>
                <w:rFonts w:cstheme="minorHAnsi"/>
              </w:rPr>
            </w:pPr>
            <w:r w:rsidRPr="00E95C31">
              <w:rPr>
                <w:rFonts w:cstheme="minorHAnsi"/>
              </w:rPr>
              <w:lastRenderedPageBreak/>
              <w:t>Le présent document précise aussi les méthodes d'évaluation des niveaux sonores pour les cartes de classement</w:t>
            </w:r>
            <w:r w:rsidR="00F22FCF" w:rsidRPr="00E95C31">
              <w:rPr>
                <w:rFonts w:cstheme="minorHAnsi"/>
              </w:rPr>
              <w:t xml:space="preserve"> </w:t>
            </w:r>
            <w:r w:rsidRPr="00E95C31">
              <w:rPr>
                <w:rFonts w:cstheme="minorHAnsi"/>
              </w:rPr>
              <w:t>des infrastructures de transports terrestres et pour les cartes de bruit.</w:t>
            </w:r>
          </w:p>
          <w:p w:rsidR="007733BA" w:rsidRPr="00E95C31" w:rsidRDefault="004D093D" w:rsidP="00E95C31">
            <w:pPr>
              <w:spacing w:after="0" w:line="240" w:lineRule="auto"/>
              <w:jc w:val="both"/>
              <w:rPr>
                <w:rFonts w:cstheme="minorHAnsi"/>
              </w:rPr>
            </w:pPr>
            <w:r w:rsidRPr="00E95C31">
              <w:rPr>
                <w:rFonts w:cstheme="minorHAnsi"/>
              </w:rPr>
              <w:t>Les indicateurs mentionnés dans le présent document peuvent être étendus à d’autres indicateurs.</w:t>
            </w:r>
          </w:p>
        </w:tc>
      </w:tr>
      <w:tr w:rsidR="0043547B" w:rsidRPr="0045784D" w:rsidTr="007733BA">
        <w:trPr>
          <w:trHeight w:val="383"/>
        </w:trPr>
        <w:tc>
          <w:tcPr>
            <w:tcW w:w="1844"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4D093D" w:rsidRPr="009E7875" w:rsidRDefault="004D093D" w:rsidP="00FF4AF0">
            <w:pPr>
              <w:spacing w:after="0" w:line="240" w:lineRule="auto"/>
              <w:jc w:val="center"/>
              <w:rPr>
                <w:rFonts w:cstheme="minorHAnsi"/>
                <w:b/>
                <w:bCs/>
                <w:sz w:val="24"/>
                <w:szCs w:val="24"/>
              </w:rPr>
            </w:pPr>
            <w:r w:rsidRPr="009E7875">
              <w:rPr>
                <w:rFonts w:cstheme="minorHAnsi"/>
                <w:b/>
                <w:bCs/>
                <w:sz w:val="24"/>
                <w:szCs w:val="24"/>
              </w:rPr>
              <w:lastRenderedPageBreak/>
              <w:t>Code :</w:t>
            </w:r>
          </w:p>
        </w:tc>
        <w:tc>
          <w:tcPr>
            <w:tcW w:w="7796" w:type="dxa"/>
            <w:tcBorders>
              <w:top w:val="nil"/>
              <w:left w:val="single" w:sz="4" w:space="0" w:color="auto"/>
              <w:bottom w:val="single" w:sz="18" w:space="0" w:color="auto"/>
              <w:right w:val="single" w:sz="18" w:space="0" w:color="auto"/>
            </w:tcBorders>
            <w:shd w:val="clear" w:color="auto" w:fill="C2D69B" w:themeFill="accent3" w:themeFillTint="99"/>
            <w:vAlign w:val="center"/>
          </w:tcPr>
          <w:p w:rsidR="004D093D" w:rsidRPr="009E7875" w:rsidRDefault="004D093D" w:rsidP="007733BA">
            <w:pPr>
              <w:spacing w:after="0" w:line="240" w:lineRule="auto"/>
              <w:jc w:val="center"/>
              <w:rPr>
                <w:rFonts w:cstheme="minorHAnsi"/>
                <w:b/>
                <w:bCs/>
                <w:sz w:val="24"/>
                <w:szCs w:val="24"/>
              </w:rPr>
            </w:pPr>
            <w:r w:rsidRPr="009E7875">
              <w:rPr>
                <w:rFonts w:cstheme="minorHAnsi"/>
                <w:b/>
                <w:bCs/>
                <w:sz w:val="24"/>
                <w:szCs w:val="24"/>
              </w:rPr>
              <w:t>NM EN 61260-1</w:t>
            </w:r>
          </w:p>
        </w:tc>
      </w:tr>
      <w:tr w:rsidR="0043547B" w:rsidRPr="0045784D" w:rsidTr="007733BA">
        <w:trPr>
          <w:trHeight w:val="383"/>
        </w:trPr>
        <w:tc>
          <w:tcPr>
            <w:tcW w:w="1844" w:type="dxa"/>
            <w:tcBorders>
              <w:top w:val="single" w:sz="18" w:space="0" w:color="auto"/>
              <w:left w:val="single" w:sz="18" w:space="0" w:color="auto"/>
              <w:bottom w:val="single" w:sz="4" w:space="0" w:color="auto"/>
              <w:right w:val="single" w:sz="4" w:space="0" w:color="auto"/>
            </w:tcBorders>
            <w:shd w:val="clear" w:color="auto" w:fill="FDFBA9"/>
            <w:vAlign w:val="center"/>
          </w:tcPr>
          <w:p w:rsidR="004D093D" w:rsidRPr="009E7875" w:rsidRDefault="004D093D" w:rsidP="00FF4AF0">
            <w:pPr>
              <w:spacing w:after="0" w:line="240" w:lineRule="auto"/>
              <w:jc w:val="center"/>
              <w:rPr>
                <w:rFonts w:cstheme="minorHAnsi"/>
                <w:b/>
                <w:bCs/>
                <w:sz w:val="24"/>
                <w:szCs w:val="24"/>
              </w:rPr>
            </w:pPr>
            <w:r w:rsidRPr="009E7875">
              <w:rPr>
                <w:rFonts w:cstheme="minorHAnsi"/>
                <w:b/>
                <w:bCs/>
                <w:sz w:val="24"/>
                <w:szCs w:val="24"/>
              </w:rPr>
              <w:t>Equivalence :</w:t>
            </w:r>
          </w:p>
        </w:tc>
        <w:tc>
          <w:tcPr>
            <w:tcW w:w="7796" w:type="dxa"/>
            <w:tcBorders>
              <w:top w:val="single" w:sz="18" w:space="0" w:color="auto"/>
              <w:left w:val="single" w:sz="4" w:space="0" w:color="auto"/>
              <w:bottom w:val="single" w:sz="4" w:space="0" w:color="auto"/>
              <w:right w:val="single" w:sz="18" w:space="0" w:color="auto"/>
            </w:tcBorders>
            <w:shd w:val="clear" w:color="auto" w:fill="FDFBA9"/>
            <w:vAlign w:val="center"/>
          </w:tcPr>
          <w:p w:rsidR="004D093D" w:rsidRPr="009E7875" w:rsidRDefault="004D093D" w:rsidP="007733BA">
            <w:pPr>
              <w:spacing w:after="0" w:line="240" w:lineRule="auto"/>
              <w:jc w:val="center"/>
              <w:rPr>
                <w:rFonts w:cstheme="minorHAnsi"/>
                <w:b/>
                <w:bCs/>
                <w:sz w:val="24"/>
                <w:szCs w:val="24"/>
              </w:rPr>
            </w:pPr>
            <w:r w:rsidRPr="009E7875">
              <w:rPr>
                <w:rFonts w:cstheme="minorHAnsi"/>
                <w:b/>
                <w:bCs/>
                <w:sz w:val="24"/>
                <w:szCs w:val="24"/>
              </w:rPr>
              <w:t>EN 61260-1</w:t>
            </w:r>
          </w:p>
        </w:tc>
      </w:tr>
      <w:tr w:rsidR="0043547B" w:rsidRPr="0045784D" w:rsidTr="007733BA">
        <w:trPr>
          <w:trHeight w:val="615"/>
        </w:trPr>
        <w:tc>
          <w:tcPr>
            <w:tcW w:w="1844" w:type="dxa"/>
            <w:tcBorders>
              <w:top w:val="single" w:sz="4" w:space="0" w:color="auto"/>
              <w:left w:val="single" w:sz="18" w:space="0" w:color="auto"/>
              <w:bottom w:val="single" w:sz="4" w:space="0" w:color="auto"/>
              <w:right w:val="single" w:sz="4" w:space="0" w:color="auto"/>
            </w:tcBorders>
            <w:shd w:val="clear" w:color="auto" w:fill="95B3D7" w:themeFill="accent1" w:themeFillTint="99"/>
            <w:vAlign w:val="center"/>
          </w:tcPr>
          <w:p w:rsidR="004D093D" w:rsidRPr="0043547B" w:rsidRDefault="004D093D" w:rsidP="00FF4AF0">
            <w:pPr>
              <w:spacing w:after="0" w:line="240" w:lineRule="auto"/>
              <w:jc w:val="center"/>
              <w:rPr>
                <w:rFonts w:cstheme="minorHAnsi"/>
                <w:b/>
                <w:bCs/>
                <w:sz w:val="24"/>
                <w:szCs w:val="24"/>
              </w:rPr>
            </w:pPr>
            <w:r w:rsidRPr="0043547B">
              <w:rPr>
                <w:rFonts w:cstheme="minorHAnsi"/>
                <w:b/>
                <w:bCs/>
                <w:sz w:val="24"/>
                <w:szCs w:val="24"/>
              </w:rPr>
              <w:t>Intitulé :</w:t>
            </w:r>
          </w:p>
        </w:tc>
        <w:tc>
          <w:tcPr>
            <w:tcW w:w="7796" w:type="dxa"/>
            <w:tcBorders>
              <w:top w:val="single" w:sz="4" w:space="0" w:color="auto"/>
              <w:left w:val="single" w:sz="4" w:space="0" w:color="auto"/>
              <w:bottom w:val="single" w:sz="4" w:space="0" w:color="auto"/>
              <w:right w:val="single" w:sz="18" w:space="0" w:color="auto"/>
            </w:tcBorders>
            <w:shd w:val="clear" w:color="auto" w:fill="auto"/>
          </w:tcPr>
          <w:p w:rsidR="004D093D" w:rsidRPr="00E95C31" w:rsidRDefault="004D093D" w:rsidP="00E95C31">
            <w:pPr>
              <w:spacing w:after="0" w:line="240" w:lineRule="auto"/>
              <w:jc w:val="both"/>
              <w:rPr>
                <w:rFonts w:cstheme="minorHAnsi"/>
              </w:rPr>
            </w:pPr>
            <w:r w:rsidRPr="00E95C31">
              <w:rPr>
                <w:rFonts w:cstheme="minorHAnsi"/>
              </w:rPr>
              <w:t>Électroacoustique - Filtres de bande d'octave et de bande d'une fraction d'octave - Partie 1 : Spécifications ;</w:t>
            </w:r>
          </w:p>
        </w:tc>
      </w:tr>
      <w:tr w:rsidR="0043547B" w:rsidRPr="0045784D" w:rsidTr="007733BA">
        <w:trPr>
          <w:trHeight w:val="615"/>
        </w:trPr>
        <w:tc>
          <w:tcPr>
            <w:tcW w:w="1844" w:type="dxa"/>
            <w:tcBorders>
              <w:top w:val="single" w:sz="4" w:space="0" w:color="auto"/>
              <w:left w:val="single" w:sz="18" w:space="0" w:color="auto"/>
              <w:bottom w:val="single" w:sz="18" w:space="0" w:color="auto"/>
              <w:right w:val="single" w:sz="4" w:space="0" w:color="auto"/>
            </w:tcBorders>
            <w:shd w:val="clear" w:color="000000" w:fill="D9D9D9"/>
            <w:vAlign w:val="center"/>
          </w:tcPr>
          <w:p w:rsidR="004D093D" w:rsidRPr="0043547B" w:rsidRDefault="004D093D" w:rsidP="00FF4AF0">
            <w:pPr>
              <w:spacing w:after="0" w:line="240" w:lineRule="auto"/>
              <w:jc w:val="center"/>
              <w:rPr>
                <w:rFonts w:cstheme="minorHAnsi"/>
                <w:b/>
                <w:bCs/>
                <w:sz w:val="24"/>
                <w:szCs w:val="24"/>
              </w:rPr>
            </w:pPr>
            <w:r w:rsidRPr="0043547B">
              <w:rPr>
                <w:rFonts w:cstheme="minorHAnsi"/>
                <w:b/>
                <w:bCs/>
                <w:sz w:val="24"/>
                <w:szCs w:val="24"/>
              </w:rPr>
              <w:t>Domaine d’application :</w:t>
            </w:r>
          </w:p>
        </w:tc>
        <w:tc>
          <w:tcPr>
            <w:tcW w:w="7796" w:type="dxa"/>
            <w:tcBorders>
              <w:top w:val="single" w:sz="4" w:space="0" w:color="auto"/>
              <w:left w:val="single" w:sz="4" w:space="0" w:color="auto"/>
              <w:bottom w:val="single" w:sz="18" w:space="0" w:color="auto"/>
              <w:right w:val="single" w:sz="18" w:space="0" w:color="auto"/>
            </w:tcBorders>
            <w:shd w:val="clear" w:color="auto" w:fill="auto"/>
          </w:tcPr>
          <w:p w:rsidR="007733BA" w:rsidRPr="00E95C31" w:rsidRDefault="004D093D" w:rsidP="00E95C31">
            <w:pPr>
              <w:spacing w:after="0" w:line="240" w:lineRule="auto"/>
              <w:jc w:val="both"/>
              <w:rPr>
                <w:rFonts w:cstheme="minorHAnsi"/>
              </w:rPr>
            </w:pPr>
            <w:r w:rsidRPr="00E95C31">
              <w:rPr>
                <w:rFonts w:cstheme="minorHAnsi"/>
              </w:rPr>
              <w:t>1.1 La présente partie de la série IEC 61260 spécifie les exigences de performances des filtres passe-bande analogiques, à données échantillonnées et numériques. L'étendue de la bande passante de la caractéristique d'affaiblissement relatif d'un filtre est un pourcentage constant de la fréquence médiane exacte pour tous les filtres d'une bande passante donnée. Un</w:t>
            </w:r>
            <w:r w:rsidR="00F22FCF" w:rsidRPr="00E95C31">
              <w:rPr>
                <w:rFonts w:cstheme="minorHAnsi"/>
              </w:rPr>
              <w:t xml:space="preserve"> </w:t>
            </w:r>
            <w:r w:rsidRPr="00E95C31">
              <w:rPr>
                <w:rFonts w:cstheme="minorHAnsi"/>
              </w:rPr>
              <w:t>instrument conforme aux exigences de la présente norme peut contenir n'importe quel nombre de filtres passe-bande adjacents couvrant n'importe quelle gamme de fréquences désirée.</w:t>
            </w:r>
          </w:p>
          <w:p w:rsidR="007733BA" w:rsidRPr="00E95C31" w:rsidRDefault="004D093D" w:rsidP="00E95C31">
            <w:pPr>
              <w:spacing w:after="0" w:line="240" w:lineRule="auto"/>
              <w:jc w:val="both"/>
              <w:rPr>
                <w:rFonts w:cstheme="minorHAnsi"/>
              </w:rPr>
            </w:pPr>
            <w:r w:rsidRPr="00E95C31">
              <w:rPr>
                <w:rFonts w:cstheme="minorHAnsi"/>
              </w:rPr>
              <w:t>1.2 Les exigences de performances sont fournies pour deux classes de filtres: classe 1 et classe 2. En général, les spécifications pour les filtres de classe 1 et de classe 2 disposent des mêmes objectifs de conception et diffèrent principalement dans les limites d'acceptation et dans la plage de températures d'exploitation. Les limites d'acceptation de la classe 2 sont supérieures</w:t>
            </w:r>
            <w:r w:rsidR="00F22FCF" w:rsidRPr="00E95C31">
              <w:rPr>
                <w:rFonts w:cstheme="minorHAnsi"/>
              </w:rPr>
              <w:t xml:space="preserve"> </w:t>
            </w:r>
            <w:r w:rsidRPr="00E95C31">
              <w:rPr>
                <w:rFonts w:cstheme="minorHAnsi"/>
              </w:rPr>
              <w:t>ou égales à celles de la classe 1. Les incertitudes de mesure élargies maximales autorisées sont également spécifiées.</w:t>
            </w:r>
          </w:p>
          <w:p w:rsidR="007733BA" w:rsidRPr="00E95C31" w:rsidRDefault="004D093D" w:rsidP="00E95C31">
            <w:pPr>
              <w:spacing w:after="0" w:line="240" w:lineRule="auto"/>
              <w:jc w:val="both"/>
              <w:rPr>
                <w:rFonts w:cstheme="minorHAnsi"/>
              </w:rPr>
            </w:pPr>
            <w:r w:rsidRPr="00E95C31">
              <w:rPr>
                <w:rFonts w:cstheme="minorHAnsi"/>
              </w:rPr>
              <w:t>1.3 Les exigences de performances sont données pour des conceptions dans lesquelles le rapport des fréquences d'octave et les fréquences médianes sont des puissances de dix.</w:t>
            </w:r>
          </w:p>
          <w:p w:rsidR="00E95C31" w:rsidRDefault="004D093D" w:rsidP="00E95C31">
            <w:pPr>
              <w:spacing w:after="0" w:line="240" w:lineRule="auto"/>
              <w:jc w:val="both"/>
              <w:rPr>
                <w:rFonts w:cstheme="minorHAnsi"/>
              </w:rPr>
            </w:pPr>
            <w:r w:rsidRPr="00E95C31">
              <w:rPr>
                <w:rFonts w:cstheme="minorHAnsi"/>
              </w:rPr>
              <w:t>1.4 Les filtres passe-bande conformes aux exigences de la présente norme peuvent faire partie de différents systèmes de mesure ou peuvent être un composant intégré dans un instrument spécifique tel qu'un analyseur de spectre.</w:t>
            </w:r>
          </w:p>
          <w:p w:rsidR="00E95C31" w:rsidRDefault="004D093D" w:rsidP="00E95C31">
            <w:pPr>
              <w:spacing w:after="0" w:line="240" w:lineRule="auto"/>
              <w:jc w:val="both"/>
              <w:rPr>
                <w:rFonts w:cstheme="minorHAnsi"/>
              </w:rPr>
            </w:pPr>
            <w:r w:rsidRPr="00E95C31">
              <w:rPr>
                <w:rFonts w:cstheme="minorHAnsi"/>
              </w:rPr>
              <w:t>1.5 La présente norme spécifie les gammes de conditions d'environnement pour le fonctionnement des filtres. La gamme exigée dépend du fait que l'instrument contenant les filtres est conçu pour fonctionner dans un environnement contrôlé ou plus généralement sur le terrain.</w:t>
            </w:r>
          </w:p>
          <w:p w:rsidR="004D093D" w:rsidRPr="00E95C31" w:rsidRDefault="004D093D" w:rsidP="00E95C31">
            <w:pPr>
              <w:spacing w:after="0" w:line="240" w:lineRule="auto"/>
              <w:jc w:val="both"/>
              <w:rPr>
                <w:rFonts w:cstheme="minorHAnsi"/>
              </w:rPr>
            </w:pPr>
            <w:r w:rsidRPr="00E95C31">
              <w:rPr>
                <w:rFonts w:cstheme="minorHAnsi"/>
              </w:rPr>
              <w:t>1.6 Les filtres passe-bande conformes aux exigences de la présente norme sont capables de fournir une information spectrale filtrée en bandes de fréquences pour une large variété de signaux, comme des signaux variables dans le temps, intermittents ou permanents, à large bande ou composés de fréquences discrètes, de courtes ou de longues durées.</w:t>
            </w:r>
          </w:p>
        </w:tc>
      </w:tr>
      <w:tr w:rsidR="0043547B" w:rsidRPr="0045784D" w:rsidTr="007733BA">
        <w:trPr>
          <w:trHeight w:val="436"/>
        </w:trPr>
        <w:tc>
          <w:tcPr>
            <w:tcW w:w="1844"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4D093D" w:rsidRPr="009E7875" w:rsidRDefault="004D093D" w:rsidP="007733BA">
            <w:pPr>
              <w:spacing w:after="0" w:line="240" w:lineRule="auto"/>
              <w:jc w:val="center"/>
              <w:rPr>
                <w:rFonts w:cstheme="minorHAnsi"/>
                <w:b/>
                <w:bCs/>
                <w:sz w:val="24"/>
                <w:szCs w:val="24"/>
              </w:rPr>
            </w:pPr>
            <w:r w:rsidRPr="009E7875">
              <w:rPr>
                <w:rFonts w:cstheme="minorHAnsi"/>
                <w:b/>
                <w:bCs/>
                <w:sz w:val="24"/>
                <w:szCs w:val="24"/>
              </w:rPr>
              <w:t>Code :</w:t>
            </w:r>
          </w:p>
        </w:tc>
        <w:tc>
          <w:tcPr>
            <w:tcW w:w="7796" w:type="dxa"/>
            <w:tcBorders>
              <w:top w:val="nil"/>
              <w:left w:val="single" w:sz="4" w:space="0" w:color="auto"/>
              <w:bottom w:val="single" w:sz="18" w:space="0" w:color="auto"/>
              <w:right w:val="single" w:sz="18" w:space="0" w:color="auto"/>
            </w:tcBorders>
            <w:shd w:val="clear" w:color="auto" w:fill="C2D69B" w:themeFill="accent3" w:themeFillTint="99"/>
            <w:vAlign w:val="center"/>
          </w:tcPr>
          <w:p w:rsidR="004D093D" w:rsidRPr="009E7875" w:rsidRDefault="004D093D" w:rsidP="007733BA">
            <w:pPr>
              <w:spacing w:after="0" w:line="240" w:lineRule="auto"/>
              <w:jc w:val="center"/>
              <w:rPr>
                <w:rFonts w:cstheme="minorHAnsi"/>
                <w:b/>
                <w:bCs/>
                <w:sz w:val="24"/>
                <w:szCs w:val="24"/>
              </w:rPr>
            </w:pPr>
            <w:r w:rsidRPr="009E7875">
              <w:rPr>
                <w:rFonts w:cstheme="minorHAnsi"/>
                <w:b/>
                <w:bCs/>
                <w:sz w:val="24"/>
                <w:szCs w:val="24"/>
              </w:rPr>
              <w:t>NM IEC 60942</w:t>
            </w:r>
          </w:p>
        </w:tc>
      </w:tr>
      <w:tr w:rsidR="0043547B" w:rsidRPr="0045784D" w:rsidTr="007733BA">
        <w:trPr>
          <w:trHeight w:val="386"/>
        </w:trPr>
        <w:tc>
          <w:tcPr>
            <w:tcW w:w="1844" w:type="dxa"/>
            <w:tcBorders>
              <w:top w:val="nil"/>
              <w:left w:val="single" w:sz="18" w:space="0" w:color="auto"/>
              <w:bottom w:val="single" w:sz="18" w:space="0" w:color="auto"/>
              <w:right w:val="single" w:sz="4" w:space="0" w:color="auto"/>
            </w:tcBorders>
            <w:shd w:val="clear" w:color="auto" w:fill="FDFBA9"/>
            <w:vAlign w:val="center"/>
          </w:tcPr>
          <w:p w:rsidR="004D093D" w:rsidRPr="009E7875" w:rsidRDefault="004D093D" w:rsidP="007733BA">
            <w:pPr>
              <w:spacing w:after="0" w:line="240" w:lineRule="auto"/>
              <w:jc w:val="center"/>
              <w:rPr>
                <w:rFonts w:cstheme="minorHAnsi"/>
                <w:b/>
                <w:bCs/>
                <w:sz w:val="24"/>
                <w:szCs w:val="24"/>
              </w:rPr>
            </w:pPr>
            <w:r w:rsidRPr="009E7875">
              <w:rPr>
                <w:rFonts w:cstheme="minorHAnsi"/>
                <w:b/>
                <w:bCs/>
                <w:sz w:val="24"/>
                <w:szCs w:val="24"/>
              </w:rPr>
              <w:t>Equivalence :</w:t>
            </w:r>
          </w:p>
        </w:tc>
        <w:tc>
          <w:tcPr>
            <w:tcW w:w="7796" w:type="dxa"/>
            <w:tcBorders>
              <w:top w:val="nil"/>
              <w:left w:val="single" w:sz="4" w:space="0" w:color="auto"/>
              <w:bottom w:val="single" w:sz="18" w:space="0" w:color="auto"/>
              <w:right w:val="single" w:sz="18" w:space="0" w:color="auto"/>
            </w:tcBorders>
            <w:shd w:val="clear" w:color="auto" w:fill="FDFBA9"/>
            <w:vAlign w:val="center"/>
          </w:tcPr>
          <w:p w:rsidR="004D093D" w:rsidRPr="009E7875" w:rsidRDefault="004D093D" w:rsidP="007733BA">
            <w:pPr>
              <w:spacing w:after="0" w:line="240" w:lineRule="auto"/>
              <w:jc w:val="center"/>
              <w:rPr>
                <w:rFonts w:cstheme="minorHAnsi"/>
                <w:b/>
                <w:bCs/>
                <w:sz w:val="24"/>
                <w:szCs w:val="24"/>
              </w:rPr>
            </w:pPr>
            <w:r w:rsidRPr="009E7875">
              <w:rPr>
                <w:rFonts w:cstheme="minorHAnsi"/>
                <w:b/>
                <w:bCs/>
                <w:sz w:val="24"/>
                <w:szCs w:val="24"/>
              </w:rPr>
              <w:t xml:space="preserve">  IEC 60942</w:t>
            </w:r>
          </w:p>
        </w:tc>
      </w:tr>
      <w:tr w:rsidR="0043547B" w:rsidRPr="0045784D" w:rsidTr="008D5BBF">
        <w:trPr>
          <w:trHeight w:val="615"/>
        </w:trPr>
        <w:tc>
          <w:tcPr>
            <w:tcW w:w="1844" w:type="dxa"/>
            <w:tcBorders>
              <w:top w:val="nil"/>
              <w:left w:val="single" w:sz="18" w:space="0" w:color="auto"/>
              <w:bottom w:val="single" w:sz="18" w:space="0" w:color="auto"/>
              <w:right w:val="single" w:sz="4" w:space="0" w:color="auto"/>
            </w:tcBorders>
            <w:shd w:val="clear" w:color="auto" w:fill="95B3D7" w:themeFill="accent1" w:themeFillTint="99"/>
            <w:vAlign w:val="center"/>
          </w:tcPr>
          <w:p w:rsidR="004D093D" w:rsidRPr="0043547B" w:rsidRDefault="004D093D" w:rsidP="007733BA">
            <w:pPr>
              <w:spacing w:after="0" w:line="240" w:lineRule="auto"/>
              <w:jc w:val="center"/>
              <w:rPr>
                <w:rFonts w:cstheme="minorHAnsi"/>
                <w:b/>
                <w:bCs/>
                <w:sz w:val="24"/>
                <w:szCs w:val="24"/>
              </w:rPr>
            </w:pPr>
            <w:r w:rsidRPr="0043547B">
              <w:rPr>
                <w:rFonts w:cstheme="minorHAnsi"/>
                <w:b/>
                <w:bCs/>
                <w:sz w:val="24"/>
                <w:szCs w:val="24"/>
              </w:rPr>
              <w:t>Intitulé :</w:t>
            </w:r>
          </w:p>
        </w:tc>
        <w:tc>
          <w:tcPr>
            <w:tcW w:w="7796" w:type="dxa"/>
            <w:tcBorders>
              <w:top w:val="nil"/>
              <w:left w:val="single" w:sz="4" w:space="0" w:color="auto"/>
              <w:bottom w:val="single" w:sz="18" w:space="0" w:color="auto"/>
              <w:right w:val="single" w:sz="18" w:space="0" w:color="auto"/>
            </w:tcBorders>
            <w:shd w:val="clear" w:color="auto" w:fill="auto"/>
          </w:tcPr>
          <w:p w:rsidR="004D093D" w:rsidRPr="00E95C31" w:rsidRDefault="004D093D" w:rsidP="00E95C31">
            <w:pPr>
              <w:spacing w:after="0" w:line="240" w:lineRule="auto"/>
              <w:rPr>
                <w:rFonts w:cstheme="minorHAnsi"/>
              </w:rPr>
            </w:pPr>
            <w:r w:rsidRPr="00E95C31">
              <w:rPr>
                <w:rFonts w:cstheme="minorHAnsi"/>
              </w:rPr>
              <w:t xml:space="preserve">Électroacoustique - Calibreurs acoustiques ; </w:t>
            </w:r>
          </w:p>
        </w:tc>
      </w:tr>
      <w:tr w:rsidR="0043547B" w:rsidRPr="0045784D" w:rsidTr="008D5BBF">
        <w:trPr>
          <w:trHeight w:val="615"/>
        </w:trPr>
        <w:tc>
          <w:tcPr>
            <w:tcW w:w="1844" w:type="dxa"/>
            <w:tcBorders>
              <w:top w:val="nil"/>
              <w:left w:val="single" w:sz="18" w:space="0" w:color="auto"/>
              <w:bottom w:val="single" w:sz="18" w:space="0" w:color="auto"/>
              <w:right w:val="single" w:sz="4" w:space="0" w:color="auto"/>
            </w:tcBorders>
            <w:shd w:val="clear" w:color="000000" w:fill="D9D9D9"/>
            <w:vAlign w:val="center"/>
          </w:tcPr>
          <w:p w:rsidR="004D093D" w:rsidRPr="0043547B" w:rsidRDefault="004D093D" w:rsidP="007733BA">
            <w:pPr>
              <w:spacing w:after="0" w:line="240" w:lineRule="auto"/>
              <w:jc w:val="center"/>
              <w:rPr>
                <w:rFonts w:cstheme="minorHAnsi"/>
                <w:b/>
                <w:bCs/>
                <w:sz w:val="24"/>
                <w:szCs w:val="24"/>
              </w:rPr>
            </w:pPr>
            <w:r w:rsidRPr="0043547B">
              <w:rPr>
                <w:rFonts w:cstheme="minorHAnsi"/>
                <w:b/>
                <w:bCs/>
                <w:sz w:val="24"/>
                <w:szCs w:val="24"/>
              </w:rPr>
              <w:t>Domaine d’application :</w:t>
            </w:r>
          </w:p>
        </w:tc>
        <w:tc>
          <w:tcPr>
            <w:tcW w:w="7796" w:type="dxa"/>
            <w:tcBorders>
              <w:top w:val="nil"/>
              <w:left w:val="single" w:sz="4" w:space="0" w:color="auto"/>
              <w:bottom w:val="single" w:sz="18" w:space="0" w:color="auto"/>
              <w:right w:val="single" w:sz="18" w:space="0" w:color="auto"/>
            </w:tcBorders>
            <w:shd w:val="clear" w:color="auto" w:fill="auto"/>
          </w:tcPr>
          <w:p w:rsidR="007733BA" w:rsidRPr="00E95C31" w:rsidRDefault="004D093D" w:rsidP="00E95C31">
            <w:pPr>
              <w:spacing w:after="0" w:line="240" w:lineRule="auto"/>
              <w:jc w:val="both"/>
              <w:rPr>
                <w:rFonts w:cstheme="minorHAnsi"/>
              </w:rPr>
            </w:pPr>
            <w:r w:rsidRPr="00E95C31">
              <w:rPr>
                <w:rFonts w:cstheme="minorHAnsi"/>
              </w:rPr>
              <w:t>Le présent document spécifie les exigences de performance de trois classes de calibreurs acoustiques</w:t>
            </w:r>
            <w:r w:rsidR="00E95C31">
              <w:rPr>
                <w:rFonts w:cstheme="minorHAnsi"/>
              </w:rPr>
              <w:t xml:space="preserve"> </w:t>
            </w:r>
            <w:r w:rsidRPr="00E95C31">
              <w:rPr>
                <w:rFonts w:cstheme="minorHAnsi"/>
              </w:rPr>
              <w:t>: la classe LS (Laboratory Standard, étalon de laboratoire), la c lasse 1 et la classe 2.</w:t>
            </w:r>
          </w:p>
          <w:p w:rsidR="007733BA" w:rsidRPr="00E95C31" w:rsidRDefault="004D093D" w:rsidP="00E95C31">
            <w:pPr>
              <w:spacing w:after="0" w:line="240" w:lineRule="auto"/>
              <w:jc w:val="both"/>
              <w:rPr>
                <w:rFonts w:cstheme="minorHAnsi"/>
              </w:rPr>
            </w:pPr>
            <w:r w:rsidRPr="00E95C31">
              <w:rPr>
                <w:rFonts w:cstheme="minorHAnsi"/>
              </w:rPr>
              <w:t>Les limites d'acceptation les plus faibles concernent la classe LS et les plus élevées concernent les appareils de classe 2. Les calibreurs acoustiques de classe LS ne sont normalement utilisés qu'en laboratoire</w:t>
            </w:r>
            <w:r w:rsidR="00E95C31">
              <w:rPr>
                <w:rFonts w:cstheme="minorHAnsi"/>
              </w:rPr>
              <w:t xml:space="preserve"> </w:t>
            </w:r>
            <w:r w:rsidRPr="00E95C31">
              <w:rPr>
                <w:rFonts w:cstheme="minorHAnsi"/>
              </w:rPr>
              <w:t>; les appareils de classe 1 et de classe 2 sont considérés comme des calibreurs acoustiques utilisés sur le terrain. Un calibreur de classe 1 est prévu pour être utilisé principalement avec un sonomètre de classe 1 et un calibreur de classe 2 est prévu pour être utilisé principalement avec un sonomètre de classe 2, tel qu'il est spécifié dans l'IEC 61672-1.</w:t>
            </w:r>
          </w:p>
          <w:p w:rsidR="00E95C31" w:rsidRDefault="004D093D" w:rsidP="00E95C31">
            <w:pPr>
              <w:spacing w:after="0" w:line="240" w:lineRule="auto"/>
              <w:jc w:val="both"/>
              <w:rPr>
                <w:rFonts w:cstheme="minorHAnsi"/>
              </w:rPr>
            </w:pPr>
            <w:r w:rsidRPr="00E95C31">
              <w:rPr>
                <w:rFonts w:cstheme="minorHAnsi"/>
              </w:rPr>
              <w:lastRenderedPageBreak/>
              <w:t>Les limites d'acceptation concernant les calibreurs de classe LS pour démontrer la conformité avec les exigences du présent document sont basées sur l'utilisation d'un microphone étalon de laboratoire spécifié dans l'IEC 61094-1. Les limites d'acceptation concernant les calibreurs acoustiques de classe 1 et 2 pour démontrer la conformité avec les exigences du présent document sont basées sur l'utilisation d'un microphone étalon de travail spécifié dans l'IEC 61094-4.</w:t>
            </w:r>
          </w:p>
          <w:p w:rsidR="00E95C31" w:rsidRDefault="004D093D" w:rsidP="00E95C31">
            <w:pPr>
              <w:spacing w:after="0" w:line="240" w:lineRule="auto"/>
              <w:jc w:val="both"/>
              <w:rPr>
                <w:rFonts w:cstheme="minorHAnsi"/>
              </w:rPr>
            </w:pPr>
            <w:r w:rsidRPr="00E95C31">
              <w:rPr>
                <w:rFonts w:cstheme="minorHAnsi"/>
              </w:rPr>
              <w:t>Par souci d'homogénéité des essais des calibreurs acoustiques et de facilité d'utilisation, le présent document contient trois annexes normatives: l'Annexe A "Essais d'évaluation de modèle", l'Annexe B "Essais périodiques" et l'Annexe C "Rapport d'évaluation de modèle", et deux annexes informatives: l'Annexe D "Relation entre l'intervalle de tolérance, l'intervalle d'acceptation correspondant et l'incertitude de mesure maximale admise" et l'Annexe E "Exemples d'évaluation</w:t>
            </w:r>
            <w:r w:rsidR="00F22FCF" w:rsidRPr="00E95C31">
              <w:rPr>
                <w:rFonts w:cstheme="minorHAnsi"/>
              </w:rPr>
              <w:t xml:space="preserve"> </w:t>
            </w:r>
            <w:r w:rsidRPr="00E95C31">
              <w:rPr>
                <w:rFonts w:cstheme="minorHAnsi"/>
              </w:rPr>
              <w:t>de conformité avec les spécifications du présent document".</w:t>
            </w:r>
          </w:p>
          <w:p w:rsidR="004D093D" w:rsidRPr="00E95C31" w:rsidRDefault="004D093D" w:rsidP="00E95C31">
            <w:pPr>
              <w:spacing w:after="0" w:line="240" w:lineRule="auto"/>
              <w:jc w:val="both"/>
              <w:rPr>
                <w:rFonts w:cstheme="minorHAnsi"/>
              </w:rPr>
            </w:pPr>
            <w:r w:rsidRPr="00E95C31">
              <w:rPr>
                <w:rFonts w:cstheme="minorHAnsi"/>
              </w:rPr>
              <w:t>Le présent document n'inclut pas les exigences concernant les niveaux de pression acoustique équivalents en champ libre ou en incidence aléatoire, tels qu'ils peuvent être utilisés pour le réglage de la sensibilité globale d'un sonomètre.</w:t>
            </w:r>
            <w:r w:rsidRPr="00E95C31">
              <w:rPr>
                <w:rFonts w:cstheme="minorHAnsi"/>
              </w:rPr>
              <w:br/>
              <w:t xml:space="preserve">Un calibreur acoustique peut comporter d'autres </w:t>
            </w:r>
            <w:r w:rsidR="00E95C31" w:rsidRPr="00E95C31">
              <w:rPr>
                <w:rFonts w:cstheme="minorHAnsi"/>
              </w:rPr>
              <w:t>fonctions,</w:t>
            </w:r>
            <w:r w:rsidRPr="00E95C31">
              <w:rPr>
                <w:rFonts w:cstheme="minorHAnsi"/>
              </w:rPr>
              <w:t xml:space="preserve"> comme la production de bruits impulsionnels. Le présent document ne comporte pas d'exigences pour ces autres fonctions.</w:t>
            </w:r>
          </w:p>
        </w:tc>
      </w:tr>
      <w:tr w:rsidR="0043547B" w:rsidRPr="0045784D" w:rsidTr="007733BA">
        <w:trPr>
          <w:trHeight w:val="445"/>
        </w:trPr>
        <w:tc>
          <w:tcPr>
            <w:tcW w:w="1844"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4D093D" w:rsidRPr="009E7875" w:rsidRDefault="004D093D" w:rsidP="007733BA">
            <w:pPr>
              <w:spacing w:after="0" w:line="240" w:lineRule="auto"/>
              <w:jc w:val="center"/>
              <w:rPr>
                <w:rFonts w:cstheme="minorHAnsi"/>
                <w:b/>
                <w:bCs/>
                <w:sz w:val="24"/>
                <w:szCs w:val="24"/>
              </w:rPr>
            </w:pPr>
            <w:r w:rsidRPr="009E7875">
              <w:rPr>
                <w:rFonts w:cstheme="minorHAnsi"/>
                <w:b/>
                <w:bCs/>
                <w:sz w:val="24"/>
                <w:szCs w:val="24"/>
              </w:rPr>
              <w:lastRenderedPageBreak/>
              <w:t>Code :</w:t>
            </w:r>
          </w:p>
        </w:tc>
        <w:tc>
          <w:tcPr>
            <w:tcW w:w="7796" w:type="dxa"/>
            <w:tcBorders>
              <w:top w:val="nil"/>
              <w:left w:val="single" w:sz="4" w:space="0" w:color="auto"/>
              <w:bottom w:val="single" w:sz="18" w:space="0" w:color="auto"/>
              <w:right w:val="single" w:sz="18" w:space="0" w:color="auto"/>
            </w:tcBorders>
            <w:shd w:val="clear" w:color="auto" w:fill="C2D69B" w:themeFill="accent3" w:themeFillTint="99"/>
            <w:vAlign w:val="center"/>
          </w:tcPr>
          <w:p w:rsidR="004D093D" w:rsidRPr="009E7875" w:rsidRDefault="004D093D" w:rsidP="007733BA">
            <w:pPr>
              <w:spacing w:after="0" w:line="240" w:lineRule="auto"/>
              <w:jc w:val="center"/>
              <w:rPr>
                <w:rFonts w:cstheme="minorHAnsi"/>
                <w:b/>
                <w:bCs/>
                <w:sz w:val="24"/>
                <w:szCs w:val="24"/>
              </w:rPr>
            </w:pPr>
            <w:r w:rsidRPr="009E7875">
              <w:rPr>
                <w:rFonts w:cstheme="minorHAnsi"/>
                <w:b/>
                <w:bCs/>
                <w:sz w:val="24"/>
                <w:szCs w:val="24"/>
              </w:rPr>
              <w:t>NM EN 61672-1</w:t>
            </w:r>
          </w:p>
        </w:tc>
      </w:tr>
      <w:tr w:rsidR="0043547B" w:rsidRPr="0045784D" w:rsidTr="007733BA">
        <w:trPr>
          <w:trHeight w:val="395"/>
        </w:trPr>
        <w:tc>
          <w:tcPr>
            <w:tcW w:w="1844" w:type="dxa"/>
            <w:tcBorders>
              <w:top w:val="single" w:sz="18" w:space="0" w:color="auto"/>
              <w:left w:val="single" w:sz="18" w:space="0" w:color="auto"/>
              <w:bottom w:val="single" w:sz="4" w:space="0" w:color="auto"/>
              <w:right w:val="single" w:sz="4" w:space="0" w:color="auto"/>
            </w:tcBorders>
            <w:shd w:val="clear" w:color="auto" w:fill="FDFBA9"/>
            <w:vAlign w:val="center"/>
          </w:tcPr>
          <w:p w:rsidR="004D093D" w:rsidRPr="009E7875" w:rsidRDefault="004D093D" w:rsidP="007733BA">
            <w:pPr>
              <w:spacing w:after="0" w:line="240" w:lineRule="auto"/>
              <w:jc w:val="center"/>
              <w:rPr>
                <w:rFonts w:cstheme="minorHAnsi"/>
                <w:b/>
                <w:bCs/>
                <w:sz w:val="24"/>
                <w:szCs w:val="24"/>
              </w:rPr>
            </w:pPr>
            <w:r w:rsidRPr="009E7875">
              <w:rPr>
                <w:rFonts w:cstheme="minorHAnsi"/>
                <w:b/>
                <w:bCs/>
                <w:sz w:val="24"/>
                <w:szCs w:val="24"/>
              </w:rPr>
              <w:t>Equivalence :</w:t>
            </w:r>
          </w:p>
        </w:tc>
        <w:tc>
          <w:tcPr>
            <w:tcW w:w="7796" w:type="dxa"/>
            <w:tcBorders>
              <w:top w:val="single" w:sz="18" w:space="0" w:color="auto"/>
              <w:left w:val="single" w:sz="4" w:space="0" w:color="auto"/>
              <w:bottom w:val="single" w:sz="4" w:space="0" w:color="auto"/>
              <w:right w:val="single" w:sz="18" w:space="0" w:color="auto"/>
            </w:tcBorders>
            <w:shd w:val="clear" w:color="auto" w:fill="FDFBA9"/>
            <w:vAlign w:val="center"/>
          </w:tcPr>
          <w:p w:rsidR="004D093D" w:rsidRPr="009E7875" w:rsidRDefault="004D093D" w:rsidP="007733BA">
            <w:pPr>
              <w:spacing w:after="0" w:line="240" w:lineRule="auto"/>
              <w:jc w:val="center"/>
              <w:rPr>
                <w:rFonts w:cstheme="minorHAnsi"/>
                <w:b/>
                <w:bCs/>
                <w:sz w:val="24"/>
                <w:szCs w:val="24"/>
              </w:rPr>
            </w:pPr>
            <w:r w:rsidRPr="009E7875">
              <w:rPr>
                <w:rFonts w:cstheme="minorHAnsi"/>
                <w:b/>
                <w:bCs/>
                <w:sz w:val="24"/>
                <w:szCs w:val="24"/>
              </w:rPr>
              <w:t>EN 61672-1</w:t>
            </w:r>
          </w:p>
        </w:tc>
      </w:tr>
      <w:tr w:rsidR="0043547B" w:rsidRPr="0045784D" w:rsidTr="007733BA">
        <w:trPr>
          <w:trHeight w:val="615"/>
        </w:trPr>
        <w:tc>
          <w:tcPr>
            <w:tcW w:w="1844" w:type="dxa"/>
            <w:tcBorders>
              <w:top w:val="single" w:sz="4" w:space="0" w:color="auto"/>
              <w:left w:val="single" w:sz="18" w:space="0" w:color="auto"/>
              <w:bottom w:val="single" w:sz="4" w:space="0" w:color="auto"/>
              <w:right w:val="single" w:sz="4" w:space="0" w:color="auto"/>
            </w:tcBorders>
            <w:shd w:val="clear" w:color="auto" w:fill="95B3D7" w:themeFill="accent1" w:themeFillTint="99"/>
            <w:vAlign w:val="center"/>
          </w:tcPr>
          <w:p w:rsidR="004D093D" w:rsidRPr="0043547B" w:rsidRDefault="004D093D" w:rsidP="007733BA">
            <w:pPr>
              <w:spacing w:after="0" w:line="240" w:lineRule="auto"/>
              <w:jc w:val="center"/>
              <w:rPr>
                <w:rFonts w:cstheme="minorHAnsi"/>
                <w:b/>
                <w:bCs/>
                <w:sz w:val="24"/>
                <w:szCs w:val="24"/>
              </w:rPr>
            </w:pPr>
            <w:r w:rsidRPr="0043547B">
              <w:rPr>
                <w:rFonts w:cstheme="minorHAnsi"/>
                <w:b/>
                <w:bCs/>
                <w:sz w:val="24"/>
                <w:szCs w:val="24"/>
              </w:rPr>
              <w:t>Intitulé :</w:t>
            </w:r>
          </w:p>
        </w:tc>
        <w:tc>
          <w:tcPr>
            <w:tcW w:w="7796" w:type="dxa"/>
            <w:tcBorders>
              <w:top w:val="single" w:sz="4" w:space="0" w:color="auto"/>
              <w:left w:val="single" w:sz="4" w:space="0" w:color="auto"/>
              <w:bottom w:val="single" w:sz="4" w:space="0" w:color="auto"/>
              <w:right w:val="single" w:sz="18" w:space="0" w:color="auto"/>
            </w:tcBorders>
            <w:shd w:val="clear" w:color="auto" w:fill="auto"/>
          </w:tcPr>
          <w:p w:rsidR="004D093D" w:rsidRPr="00E95C31" w:rsidRDefault="004D093D" w:rsidP="00E95C31">
            <w:pPr>
              <w:spacing w:after="0" w:line="240" w:lineRule="auto"/>
              <w:jc w:val="both"/>
              <w:rPr>
                <w:rFonts w:cstheme="minorHAnsi"/>
              </w:rPr>
            </w:pPr>
            <w:r w:rsidRPr="00E95C31">
              <w:rPr>
                <w:rFonts w:cstheme="minorHAnsi"/>
              </w:rPr>
              <w:t xml:space="preserve">Électroacoustique - Sonomètres - Partie 1 : Spécifications ; </w:t>
            </w:r>
          </w:p>
        </w:tc>
      </w:tr>
      <w:tr w:rsidR="0043547B" w:rsidRPr="0045784D" w:rsidTr="007733BA">
        <w:trPr>
          <w:trHeight w:val="615"/>
        </w:trPr>
        <w:tc>
          <w:tcPr>
            <w:tcW w:w="1844" w:type="dxa"/>
            <w:tcBorders>
              <w:top w:val="single" w:sz="4" w:space="0" w:color="auto"/>
              <w:left w:val="single" w:sz="18" w:space="0" w:color="auto"/>
              <w:bottom w:val="single" w:sz="18" w:space="0" w:color="auto"/>
              <w:right w:val="single" w:sz="4" w:space="0" w:color="auto"/>
            </w:tcBorders>
            <w:shd w:val="clear" w:color="000000" w:fill="D9D9D9"/>
            <w:vAlign w:val="center"/>
          </w:tcPr>
          <w:p w:rsidR="004D093D" w:rsidRPr="0043547B" w:rsidRDefault="004D093D" w:rsidP="007733BA">
            <w:pPr>
              <w:spacing w:after="0" w:line="240" w:lineRule="auto"/>
              <w:jc w:val="center"/>
              <w:rPr>
                <w:rFonts w:cstheme="minorHAnsi"/>
                <w:b/>
                <w:bCs/>
                <w:sz w:val="24"/>
                <w:szCs w:val="24"/>
              </w:rPr>
            </w:pPr>
            <w:r w:rsidRPr="0043547B">
              <w:rPr>
                <w:rFonts w:cstheme="minorHAnsi"/>
                <w:b/>
                <w:bCs/>
                <w:sz w:val="24"/>
                <w:szCs w:val="24"/>
              </w:rPr>
              <w:t>Domaine d’application :</w:t>
            </w:r>
          </w:p>
        </w:tc>
        <w:tc>
          <w:tcPr>
            <w:tcW w:w="7796" w:type="dxa"/>
            <w:tcBorders>
              <w:top w:val="single" w:sz="4" w:space="0" w:color="auto"/>
              <w:left w:val="single" w:sz="4" w:space="0" w:color="auto"/>
              <w:bottom w:val="single" w:sz="18" w:space="0" w:color="auto"/>
              <w:right w:val="single" w:sz="18" w:space="0" w:color="auto"/>
            </w:tcBorders>
            <w:shd w:val="clear" w:color="auto" w:fill="auto"/>
          </w:tcPr>
          <w:p w:rsidR="00E95C31" w:rsidRDefault="004D093D" w:rsidP="00E95C31">
            <w:pPr>
              <w:spacing w:after="0" w:line="240" w:lineRule="auto"/>
              <w:jc w:val="both"/>
              <w:rPr>
                <w:rFonts w:cstheme="minorHAnsi"/>
              </w:rPr>
            </w:pPr>
            <w:r w:rsidRPr="00E95C31">
              <w:rPr>
                <w:rFonts w:cstheme="minorHAnsi"/>
              </w:rPr>
              <w:t>La présente partie de l’IEC 61672 donne des spécifications pour les caractéristiques électroacoustiques de trois types d'instruments de mesure acoustique</w:t>
            </w:r>
            <w:r w:rsidR="00E95C31">
              <w:rPr>
                <w:rFonts w:cstheme="minorHAnsi"/>
              </w:rPr>
              <w:t xml:space="preserve"> </w:t>
            </w:r>
            <w:r w:rsidRPr="00E95C31">
              <w:rPr>
                <w:rFonts w:cstheme="minorHAnsi"/>
              </w:rPr>
              <w:t>:</w:t>
            </w:r>
          </w:p>
          <w:p w:rsidR="00E95C31" w:rsidRDefault="004D093D" w:rsidP="00E95C31">
            <w:pPr>
              <w:spacing w:after="0" w:line="240" w:lineRule="auto"/>
              <w:jc w:val="both"/>
              <w:rPr>
                <w:rFonts w:cstheme="minorHAnsi"/>
              </w:rPr>
            </w:pPr>
            <w:r w:rsidRPr="00E95C31">
              <w:rPr>
                <w:rFonts w:cstheme="minorHAnsi"/>
              </w:rPr>
              <w:t>• un sonomètre avec pondération temporelle, qui mesure les niveaux acoustiques avec une pondération fréquentielle et une pondération temporelle exponentielle</w:t>
            </w:r>
            <w:r w:rsidR="00E95C31">
              <w:rPr>
                <w:rFonts w:cstheme="minorHAnsi"/>
              </w:rPr>
              <w:t xml:space="preserve"> </w:t>
            </w:r>
            <w:r w:rsidRPr="00E95C31">
              <w:rPr>
                <w:rFonts w:cstheme="minorHAnsi"/>
              </w:rPr>
              <w:t>;</w:t>
            </w:r>
          </w:p>
          <w:p w:rsidR="007733BA" w:rsidRPr="00E95C31" w:rsidRDefault="004D093D" w:rsidP="00E95C31">
            <w:pPr>
              <w:spacing w:after="0" w:line="240" w:lineRule="auto"/>
              <w:jc w:val="both"/>
              <w:rPr>
                <w:rFonts w:cstheme="minorHAnsi"/>
              </w:rPr>
            </w:pPr>
            <w:r w:rsidRPr="00E95C31">
              <w:rPr>
                <w:rFonts w:cstheme="minorHAnsi"/>
              </w:rPr>
              <w:t xml:space="preserve">• un sonomètre intégrateur-moyenneur, qui mesure les niveaux acoustiques moyens avec une pondération </w:t>
            </w:r>
            <w:r w:rsidR="00E95C31" w:rsidRPr="00E95C31">
              <w:rPr>
                <w:rFonts w:cstheme="minorHAnsi"/>
              </w:rPr>
              <w:t>fréquentielle ;</w:t>
            </w:r>
            <w:r w:rsidRPr="00E95C31">
              <w:rPr>
                <w:rFonts w:cstheme="minorHAnsi"/>
              </w:rPr>
              <w:t xml:space="preserve"> et</w:t>
            </w:r>
          </w:p>
          <w:p w:rsidR="007733BA" w:rsidRPr="00E95C31" w:rsidRDefault="004D093D" w:rsidP="00E95C31">
            <w:pPr>
              <w:spacing w:after="0" w:line="240" w:lineRule="auto"/>
              <w:jc w:val="both"/>
              <w:rPr>
                <w:rFonts w:cstheme="minorHAnsi"/>
              </w:rPr>
            </w:pPr>
            <w:r w:rsidRPr="00E95C31">
              <w:rPr>
                <w:rFonts w:cstheme="minorHAnsi"/>
              </w:rPr>
              <w:t>• un sonomètre intégrateur, qui mesure les niveaux d'exposition au bruit avec une pondération fréquentielle.</w:t>
            </w:r>
          </w:p>
          <w:p w:rsidR="007733BA" w:rsidRPr="00E95C31" w:rsidRDefault="004D093D" w:rsidP="00E95C31">
            <w:pPr>
              <w:spacing w:after="0" w:line="240" w:lineRule="auto"/>
              <w:jc w:val="both"/>
              <w:rPr>
                <w:rFonts w:cstheme="minorHAnsi"/>
              </w:rPr>
            </w:pPr>
            <w:r w:rsidRPr="00E95C31">
              <w:rPr>
                <w:rFonts w:cstheme="minorHAnsi"/>
              </w:rPr>
              <w:t>Les sonomètres conformes aux exigences de la présente norme présentent une réponse en fréquence spécifiée pour des ondes acoustiques incidentes sur le microphone suivant une direction principale dans un champ acoustique libre ou suivant successivement des directions aléatoires.</w:t>
            </w:r>
          </w:p>
          <w:p w:rsidR="007733BA" w:rsidRPr="00E95C31" w:rsidRDefault="004D093D" w:rsidP="00E95C31">
            <w:pPr>
              <w:spacing w:after="0" w:line="240" w:lineRule="auto"/>
              <w:jc w:val="both"/>
              <w:rPr>
                <w:rFonts w:cstheme="minorHAnsi"/>
              </w:rPr>
            </w:pPr>
            <w:r w:rsidRPr="00E95C31">
              <w:rPr>
                <w:rFonts w:cstheme="minorHAnsi"/>
              </w:rPr>
              <w:t>Les sonomètres spécifiés dans la présente norme sont destinés à mesurer les bruits généralement dans la gamme des fréquences audibles.</w:t>
            </w:r>
          </w:p>
          <w:p w:rsidR="007733BA" w:rsidRPr="00E95C31" w:rsidRDefault="004D093D" w:rsidP="00E95C31">
            <w:pPr>
              <w:spacing w:after="0" w:line="240" w:lineRule="auto"/>
              <w:jc w:val="both"/>
              <w:rPr>
                <w:rFonts w:cstheme="minorHAnsi"/>
                <w:i/>
                <w:iCs/>
                <w:sz w:val="20"/>
                <w:szCs w:val="20"/>
              </w:rPr>
            </w:pPr>
            <w:r w:rsidRPr="00E95C31">
              <w:rPr>
                <w:rFonts w:cstheme="minorHAnsi"/>
                <w:b/>
                <w:bCs/>
                <w:i/>
                <w:iCs/>
                <w:sz w:val="20"/>
                <w:szCs w:val="20"/>
              </w:rPr>
              <w:t xml:space="preserve">NOTE </w:t>
            </w:r>
            <w:r w:rsidRPr="00E95C31">
              <w:rPr>
                <w:rFonts w:cstheme="minorHAnsi"/>
                <w:i/>
                <w:iCs/>
                <w:sz w:val="20"/>
                <w:szCs w:val="20"/>
              </w:rPr>
              <w:t>: La pondération fréquentielle AU spécifiée dans l’IEC 61012 peut être appliquée pour mesurer des niveaux acoustiques avec pondération A de sons audibles en présence d'une source qui contient des composantes spectrales à des fréquences supérieures à 20 kHz.1 Deux catégories de performances, la classe 1 et la classe 2, sont spécifiées dans la présente norme. Généralement, les spécifications concernant les sonomètres de classe 1 et de classe 2 correspondent aux mêmes objectifs de conception et ne diffèrent principalement que par les limites d'acceptation et la gamme des températures de fonctionnement. Les limites d'acceptation concernant la classe 2 sont supérieures ou égales à celles de la classe 1.</w:t>
            </w:r>
          </w:p>
          <w:p w:rsidR="007733BA" w:rsidRPr="00E95C31" w:rsidRDefault="004D093D" w:rsidP="00E95C31">
            <w:pPr>
              <w:spacing w:after="0" w:line="240" w:lineRule="auto"/>
              <w:jc w:val="both"/>
              <w:rPr>
                <w:rFonts w:cstheme="minorHAnsi"/>
              </w:rPr>
            </w:pPr>
            <w:r w:rsidRPr="00E95C31">
              <w:rPr>
                <w:rFonts w:cstheme="minorHAnsi"/>
              </w:rPr>
              <w:t xml:space="preserve">La présente norme s'applique à une gamme de conceptions pour sonomètres. Un sonomètre peut être un appareil formant une unité indépendante tenue à la main comportant un microphone et un dispositif d'affichage incorporé. Un sonomètre peut être également composé de plusieurs composants séparés contenus dans un ou plusieurs boîtiers et être capable d'afficher une variété de niveaux de signaux acoustiques. Les sonomètres peuvent comporter des dispositifs étendus de traitement analogique ou numérique du signal, séparément ou en combinaison, avec de multiples sorties analogiques ou numériques. Les sonomètres peuvent comporter des </w:t>
            </w:r>
            <w:r w:rsidRPr="00E95C31">
              <w:rPr>
                <w:rFonts w:cstheme="minorHAnsi"/>
              </w:rPr>
              <w:lastRenderedPageBreak/>
              <w:t>ordinateurs d'usage général, des enregistreurs, des imprimantes et d'autres dispositifs qui constituent des parties essentielles de l'instrument complet.</w:t>
            </w:r>
          </w:p>
          <w:p w:rsidR="004D093D" w:rsidRPr="00E95C31" w:rsidRDefault="004D093D" w:rsidP="00E95C31">
            <w:pPr>
              <w:spacing w:after="0" w:line="240" w:lineRule="auto"/>
              <w:jc w:val="both"/>
              <w:rPr>
                <w:rFonts w:cstheme="minorHAnsi"/>
              </w:rPr>
            </w:pPr>
            <w:r w:rsidRPr="00E95C31">
              <w:rPr>
                <w:rFonts w:cstheme="minorHAnsi"/>
              </w:rPr>
              <w:t>Les sonomètres peuvent être conçus pour être utilisés en présence d'un opérateur ou pour des mesures de niveau acoustique automatiques et continues sans la présence d'un opérateur. Les spécifications contenues dans la présente norme concernant la réponse à des ondes acoustiques s'appliquent sans la présence d'opérateur dans le champ acoustique.</w:t>
            </w:r>
          </w:p>
        </w:tc>
      </w:tr>
      <w:tr w:rsidR="0043547B" w:rsidRPr="0045784D" w:rsidTr="00E05B6F">
        <w:trPr>
          <w:trHeight w:val="244"/>
        </w:trPr>
        <w:tc>
          <w:tcPr>
            <w:tcW w:w="1844"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4D093D" w:rsidRPr="009E7875" w:rsidRDefault="004D093D" w:rsidP="00E05B6F">
            <w:pPr>
              <w:spacing w:after="0" w:line="240" w:lineRule="auto"/>
              <w:jc w:val="center"/>
              <w:rPr>
                <w:rFonts w:cstheme="minorHAnsi"/>
                <w:b/>
                <w:bCs/>
                <w:sz w:val="24"/>
                <w:szCs w:val="24"/>
              </w:rPr>
            </w:pPr>
            <w:r w:rsidRPr="009E7875">
              <w:rPr>
                <w:rFonts w:cstheme="minorHAnsi"/>
                <w:b/>
                <w:bCs/>
                <w:sz w:val="24"/>
                <w:szCs w:val="24"/>
              </w:rPr>
              <w:lastRenderedPageBreak/>
              <w:t>Code :</w:t>
            </w:r>
          </w:p>
        </w:tc>
        <w:tc>
          <w:tcPr>
            <w:tcW w:w="7796" w:type="dxa"/>
            <w:tcBorders>
              <w:top w:val="nil"/>
              <w:left w:val="single" w:sz="4" w:space="0" w:color="auto"/>
              <w:bottom w:val="single" w:sz="18" w:space="0" w:color="auto"/>
              <w:right w:val="single" w:sz="18" w:space="0" w:color="auto"/>
            </w:tcBorders>
            <w:shd w:val="clear" w:color="auto" w:fill="C2D69B" w:themeFill="accent3" w:themeFillTint="99"/>
            <w:vAlign w:val="center"/>
          </w:tcPr>
          <w:p w:rsidR="004D093D" w:rsidRPr="009E7875" w:rsidRDefault="004D093D" w:rsidP="00E05B6F">
            <w:pPr>
              <w:spacing w:after="0" w:line="240" w:lineRule="auto"/>
              <w:jc w:val="center"/>
              <w:rPr>
                <w:rFonts w:cstheme="minorHAnsi"/>
                <w:b/>
                <w:bCs/>
                <w:sz w:val="24"/>
                <w:szCs w:val="24"/>
              </w:rPr>
            </w:pPr>
            <w:r w:rsidRPr="009E7875">
              <w:rPr>
                <w:rFonts w:cstheme="minorHAnsi"/>
                <w:b/>
                <w:bCs/>
                <w:sz w:val="24"/>
                <w:szCs w:val="24"/>
              </w:rPr>
              <w:t>NM ISO 11690-1</w:t>
            </w:r>
          </w:p>
        </w:tc>
      </w:tr>
      <w:tr w:rsidR="0043547B" w:rsidRPr="0045784D" w:rsidTr="00E05B6F">
        <w:trPr>
          <w:trHeight w:val="336"/>
        </w:trPr>
        <w:tc>
          <w:tcPr>
            <w:tcW w:w="1844" w:type="dxa"/>
            <w:tcBorders>
              <w:top w:val="single" w:sz="18" w:space="0" w:color="auto"/>
              <w:left w:val="single" w:sz="18" w:space="0" w:color="auto"/>
              <w:bottom w:val="single" w:sz="4" w:space="0" w:color="auto"/>
              <w:right w:val="single" w:sz="4" w:space="0" w:color="auto"/>
            </w:tcBorders>
            <w:shd w:val="clear" w:color="auto" w:fill="FDFBA9"/>
            <w:vAlign w:val="center"/>
          </w:tcPr>
          <w:p w:rsidR="004D093D" w:rsidRPr="009E7875" w:rsidRDefault="004D093D" w:rsidP="00D84A1D">
            <w:pPr>
              <w:spacing w:after="0" w:line="240" w:lineRule="auto"/>
              <w:jc w:val="center"/>
              <w:rPr>
                <w:rFonts w:cstheme="minorHAnsi"/>
                <w:b/>
                <w:bCs/>
                <w:sz w:val="24"/>
                <w:szCs w:val="24"/>
              </w:rPr>
            </w:pPr>
            <w:r w:rsidRPr="009E7875">
              <w:rPr>
                <w:rFonts w:cstheme="minorHAnsi"/>
                <w:b/>
                <w:bCs/>
                <w:sz w:val="24"/>
                <w:szCs w:val="24"/>
              </w:rPr>
              <w:t>Equivalence :</w:t>
            </w:r>
          </w:p>
        </w:tc>
        <w:tc>
          <w:tcPr>
            <w:tcW w:w="7796" w:type="dxa"/>
            <w:tcBorders>
              <w:top w:val="single" w:sz="18" w:space="0" w:color="auto"/>
              <w:left w:val="single" w:sz="4" w:space="0" w:color="auto"/>
              <w:bottom w:val="single" w:sz="4" w:space="0" w:color="auto"/>
              <w:right w:val="single" w:sz="18" w:space="0" w:color="auto"/>
            </w:tcBorders>
            <w:shd w:val="clear" w:color="auto" w:fill="FDFBA9"/>
            <w:vAlign w:val="center"/>
          </w:tcPr>
          <w:p w:rsidR="004D093D" w:rsidRPr="009E7875" w:rsidRDefault="004D093D" w:rsidP="00D84A1D">
            <w:pPr>
              <w:spacing w:after="0" w:line="240" w:lineRule="auto"/>
              <w:jc w:val="center"/>
              <w:rPr>
                <w:rFonts w:cstheme="minorHAnsi"/>
                <w:b/>
                <w:bCs/>
                <w:sz w:val="24"/>
                <w:szCs w:val="24"/>
              </w:rPr>
            </w:pPr>
            <w:r w:rsidRPr="009E7875">
              <w:rPr>
                <w:rFonts w:cstheme="minorHAnsi"/>
                <w:b/>
                <w:bCs/>
                <w:sz w:val="24"/>
                <w:szCs w:val="24"/>
              </w:rPr>
              <w:t>ISO 11690-1</w:t>
            </w:r>
          </w:p>
        </w:tc>
      </w:tr>
      <w:tr w:rsidR="0043547B" w:rsidRPr="0045784D" w:rsidTr="00E05B6F">
        <w:trPr>
          <w:trHeight w:val="615"/>
        </w:trPr>
        <w:tc>
          <w:tcPr>
            <w:tcW w:w="1844" w:type="dxa"/>
            <w:tcBorders>
              <w:top w:val="single" w:sz="4" w:space="0" w:color="auto"/>
              <w:left w:val="single" w:sz="18" w:space="0" w:color="auto"/>
              <w:bottom w:val="single" w:sz="4" w:space="0" w:color="auto"/>
              <w:right w:val="single" w:sz="4" w:space="0" w:color="auto"/>
            </w:tcBorders>
            <w:shd w:val="clear" w:color="auto" w:fill="95B3D7" w:themeFill="accent1" w:themeFillTint="99"/>
            <w:vAlign w:val="center"/>
          </w:tcPr>
          <w:p w:rsidR="004D093D" w:rsidRPr="0043547B" w:rsidRDefault="004D093D" w:rsidP="00D84A1D">
            <w:pPr>
              <w:spacing w:after="0" w:line="240" w:lineRule="auto"/>
              <w:jc w:val="center"/>
              <w:rPr>
                <w:rFonts w:cstheme="minorHAnsi"/>
                <w:b/>
                <w:bCs/>
                <w:sz w:val="24"/>
                <w:szCs w:val="24"/>
              </w:rPr>
            </w:pPr>
            <w:r w:rsidRPr="0043547B">
              <w:rPr>
                <w:rFonts w:cstheme="minorHAnsi"/>
                <w:b/>
                <w:bCs/>
                <w:sz w:val="24"/>
                <w:szCs w:val="24"/>
              </w:rPr>
              <w:t>Intitulé :</w:t>
            </w:r>
          </w:p>
        </w:tc>
        <w:tc>
          <w:tcPr>
            <w:tcW w:w="7796" w:type="dxa"/>
            <w:tcBorders>
              <w:top w:val="single" w:sz="4" w:space="0" w:color="auto"/>
              <w:left w:val="single" w:sz="4" w:space="0" w:color="auto"/>
              <w:bottom w:val="single" w:sz="4" w:space="0" w:color="auto"/>
              <w:right w:val="single" w:sz="18" w:space="0" w:color="auto"/>
            </w:tcBorders>
            <w:shd w:val="clear" w:color="auto" w:fill="auto"/>
          </w:tcPr>
          <w:p w:rsidR="004D093D" w:rsidRPr="00E95C31" w:rsidRDefault="004D093D" w:rsidP="00E95C31">
            <w:pPr>
              <w:spacing w:after="0" w:line="240" w:lineRule="auto"/>
              <w:jc w:val="both"/>
              <w:rPr>
                <w:rFonts w:cstheme="minorHAnsi"/>
              </w:rPr>
            </w:pPr>
            <w:r w:rsidRPr="00E95C31">
              <w:rPr>
                <w:rFonts w:cstheme="minorHAnsi"/>
              </w:rPr>
              <w:t xml:space="preserve">Acoustique - Pratique recommandée pour la conception de lieux de travail à bruit réduit contenant des machines - Partie 1: Stratégies de réduction du bruit ; </w:t>
            </w:r>
          </w:p>
        </w:tc>
      </w:tr>
      <w:tr w:rsidR="0043547B" w:rsidRPr="0045784D" w:rsidTr="00E05B6F">
        <w:trPr>
          <w:trHeight w:val="615"/>
        </w:trPr>
        <w:tc>
          <w:tcPr>
            <w:tcW w:w="1844" w:type="dxa"/>
            <w:tcBorders>
              <w:top w:val="single" w:sz="4" w:space="0" w:color="auto"/>
              <w:left w:val="single" w:sz="18" w:space="0" w:color="auto"/>
              <w:bottom w:val="single" w:sz="18" w:space="0" w:color="auto"/>
              <w:right w:val="single" w:sz="4" w:space="0" w:color="auto"/>
            </w:tcBorders>
            <w:shd w:val="clear" w:color="000000" w:fill="D9D9D9"/>
            <w:vAlign w:val="center"/>
          </w:tcPr>
          <w:p w:rsidR="004D093D" w:rsidRPr="0043547B" w:rsidRDefault="004D093D" w:rsidP="00D84A1D">
            <w:pPr>
              <w:spacing w:after="0" w:line="240" w:lineRule="auto"/>
              <w:jc w:val="center"/>
              <w:rPr>
                <w:rFonts w:cstheme="minorHAnsi"/>
                <w:b/>
                <w:bCs/>
                <w:sz w:val="24"/>
                <w:szCs w:val="24"/>
              </w:rPr>
            </w:pPr>
            <w:r w:rsidRPr="0043547B">
              <w:rPr>
                <w:rFonts w:cstheme="minorHAnsi"/>
                <w:b/>
                <w:bCs/>
                <w:sz w:val="24"/>
                <w:szCs w:val="24"/>
              </w:rPr>
              <w:t>Domaine d’application :</w:t>
            </w:r>
          </w:p>
        </w:tc>
        <w:tc>
          <w:tcPr>
            <w:tcW w:w="7796" w:type="dxa"/>
            <w:tcBorders>
              <w:top w:val="single" w:sz="4" w:space="0" w:color="auto"/>
              <w:left w:val="single" w:sz="4" w:space="0" w:color="auto"/>
              <w:bottom w:val="single" w:sz="18" w:space="0" w:color="auto"/>
              <w:right w:val="single" w:sz="18" w:space="0" w:color="auto"/>
            </w:tcBorders>
            <w:shd w:val="clear" w:color="auto" w:fill="auto"/>
          </w:tcPr>
          <w:p w:rsidR="00E05B6F" w:rsidRPr="00E95C31" w:rsidRDefault="004D093D" w:rsidP="00E95C31">
            <w:pPr>
              <w:spacing w:after="0" w:line="240" w:lineRule="auto"/>
              <w:jc w:val="both"/>
              <w:rPr>
                <w:rFonts w:cstheme="minorHAnsi"/>
              </w:rPr>
            </w:pPr>
            <w:r w:rsidRPr="00E95C31">
              <w:rPr>
                <w:rFonts w:cstheme="minorHAnsi"/>
              </w:rPr>
              <w:t>La présente partie de l'ISO 11690 présente les stratégies à méttre en œuvre pour traiter les problèmes de bruit sur les lieux de travail existants ou en projet, en s'appuyant sur des concepts de base liés à la réduction du bruit (réduction du bruit, émission sonore, bruit ambiant et exposition sonore). Elle s'applique à tous les types de lieux de travail et de sources de bruit rencontrées sur les lieux de travail, activités humaines comprises.</w:t>
            </w:r>
          </w:p>
          <w:p w:rsidR="00D84A1D" w:rsidRPr="00E95C31" w:rsidRDefault="004D093D" w:rsidP="00E95C31">
            <w:pPr>
              <w:spacing w:after="0" w:line="240" w:lineRule="auto"/>
              <w:jc w:val="both"/>
              <w:rPr>
                <w:rFonts w:cstheme="minorHAnsi"/>
              </w:rPr>
            </w:pPr>
            <w:r w:rsidRPr="00E95C31">
              <w:rPr>
                <w:rFonts w:cstheme="minorHAnsi"/>
              </w:rPr>
              <w:t xml:space="preserve">Elle inclut les stratégies importantes à adopter à l'achat d'une nouvelle machine ou d'un nouvel équipement.                                                               </w:t>
            </w:r>
            <w:r w:rsidR="00D84A1D" w:rsidRPr="00E95C31">
              <w:rPr>
                <w:rFonts w:cstheme="minorHAnsi"/>
              </w:rPr>
              <w:t xml:space="preserve">                   </w:t>
            </w:r>
          </w:p>
          <w:p w:rsidR="004D093D" w:rsidRPr="00E95C31" w:rsidRDefault="004D093D" w:rsidP="00E95C31">
            <w:pPr>
              <w:spacing w:after="0" w:line="240" w:lineRule="auto"/>
              <w:jc w:val="both"/>
              <w:rPr>
                <w:rFonts w:cstheme="minorHAnsi"/>
              </w:rPr>
            </w:pPr>
            <w:r w:rsidRPr="00E95C31">
              <w:rPr>
                <w:rFonts w:cstheme="minorHAnsi"/>
              </w:rPr>
              <w:t>La présente partie de l'ISO 11690 ne traite que des sons audibles</w:t>
            </w:r>
          </w:p>
        </w:tc>
      </w:tr>
      <w:tr w:rsidR="00181E36" w:rsidRPr="0045784D" w:rsidTr="00181E36">
        <w:trPr>
          <w:trHeight w:val="330"/>
        </w:trPr>
        <w:tc>
          <w:tcPr>
            <w:tcW w:w="1844" w:type="dxa"/>
            <w:tcBorders>
              <w:top w:val="single" w:sz="18" w:space="0" w:color="auto"/>
              <w:left w:val="single" w:sz="18" w:space="0" w:color="auto"/>
              <w:bottom w:val="single" w:sz="18" w:space="0" w:color="auto"/>
              <w:right w:val="single" w:sz="4" w:space="0" w:color="auto"/>
            </w:tcBorders>
            <w:shd w:val="clear" w:color="auto" w:fill="B0CA7C"/>
            <w:vAlign w:val="center"/>
          </w:tcPr>
          <w:p w:rsidR="00181E36" w:rsidRPr="001A4D75" w:rsidRDefault="00181E36" w:rsidP="001A4D75">
            <w:pPr>
              <w:spacing w:after="0" w:line="240" w:lineRule="auto"/>
              <w:jc w:val="center"/>
              <w:rPr>
                <w:rFonts w:cstheme="minorHAnsi"/>
                <w:b/>
                <w:bCs/>
                <w:sz w:val="24"/>
                <w:szCs w:val="24"/>
              </w:rPr>
            </w:pPr>
            <w:r w:rsidRPr="001A4D75">
              <w:rPr>
                <w:rFonts w:cstheme="minorHAnsi"/>
                <w:b/>
                <w:bCs/>
                <w:sz w:val="24"/>
                <w:szCs w:val="24"/>
              </w:rPr>
              <w:t xml:space="preserve">Code </w:t>
            </w:r>
          </w:p>
        </w:tc>
        <w:tc>
          <w:tcPr>
            <w:tcW w:w="7796" w:type="dxa"/>
            <w:tcBorders>
              <w:top w:val="single" w:sz="18" w:space="0" w:color="auto"/>
              <w:left w:val="single" w:sz="4" w:space="0" w:color="auto"/>
              <w:bottom w:val="single" w:sz="18" w:space="0" w:color="auto"/>
              <w:right w:val="single" w:sz="18" w:space="0" w:color="auto"/>
            </w:tcBorders>
            <w:shd w:val="clear" w:color="auto" w:fill="B0CA7C"/>
            <w:noWrap/>
            <w:vAlign w:val="center"/>
          </w:tcPr>
          <w:p w:rsidR="00181E36" w:rsidRPr="001A4D75" w:rsidRDefault="00181E36" w:rsidP="001A4D75">
            <w:pPr>
              <w:spacing w:after="0" w:line="240" w:lineRule="auto"/>
              <w:jc w:val="center"/>
              <w:rPr>
                <w:rFonts w:cstheme="minorHAnsi"/>
                <w:b/>
                <w:bCs/>
                <w:sz w:val="24"/>
                <w:szCs w:val="24"/>
              </w:rPr>
            </w:pPr>
            <w:r w:rsidRPr="001A4D75">
              <w:rPr>
                <w:rFonts w:cstheme="minorHAnsi"/>
                <w:b/>
                <w:bCs/>
                <w:sz w:val="24"/>
                <w:szCs w:val="24"/>
              </w:rPr>
              <w:t>NM ISO 11201</w:t>
            </w:r>
          </w:p>
        </w:tc>
      </w:tr>
      <w:tr w:rsidR="00181E36" w:rsidRPr="0045784D" w:rsidTr="001A4D75">
        <w:trPr>
          <w:trHeight w:val="330"/>
        </w:trPr>
        <w:tc>
          <w:tcPr>
            <w:tcW w:w="1844" w:type="dxa"/>
            <w:tcBorders>
              <w:top w:val="single" w:sz="18" w:space="0" w:color="auto"/>
              <w:left w:val="single" w:sz="18" w:space="0" w:color="auto"/>
              <w:bottom w:val="single" w:sz="18" w:space="0" w:color="auto"/>
              <w:right w:val="single" w:sz="4" w:space="0" w:color="auto"/>
            </w:tcBorders>
            <w:shd w:val="clear" w:color="auto" w:fill="FFFF99"/>
            <w:vAlign w:val="center"/>
          </w:tcPr>
          <w:p w:rsidR="00181E36" w:rsidRPr="001A4D75" w:rsidRDefault="00181E36" w:rsidP="001A4D75">
            <w:pPr>
              <w:spacing w:after="0" w:line="240" w:lineRule="auto"/>
              <w:jc w:val="center"/>
              <w:rPr>
                <w:rFonts w:cstheme="minorHAnsi"/>
                <w:b/>
                <w:bCs/>
                <w:sz w:val="24"/>
                <w:szCs w:val="24"/>
              </w:rPr>
            </w:pPr>
            <w:r w:rsidRPr="001A4D75">
              <w:rPr>
                <w:rFonts w:cstheme="minorHAnsi"/>
                <w:b/>
                <w:bCs/>
                <w:sz w:val="24"/>
                <w:szCs w:val="24"/>
              </w:rPr>
              <w:t xml:space="preserve">Equivalence </w:t>
            </w:r>
          </w:p>
        </w:tc>
        <w:tc>
          <w:tcPr>
            <w:tcW w:w="7796" w:type="dxa"/>
            <w:tcBorders>
              <w:top w:val="single" w:sz="18" w:space="0" w:color="auto"/>
              <w:left w:val="single" w:sz="4" w:space="0" w:color="auto"/>
              <w:bottom w:val="single" w:sz="18" w:space="0" w:color="auto"/>
              <w:right w:val="single" w:sz="18" w:space="0" w:color="auto"/>
            </w:tcBorders>
            <w:shd w:val="clear" w:color="auto" w:fill="FFFF99"/>
            <w:noWrap/>
            <w:vAlign w:val="center"/>
          </w:tcPr>
          <w:p w:rsidR="00181E36" w:rsidRPr="001A4D75" w:rsidRDefault="00181E36" w:rsidP="001A4D75">
            <w:pPr>
              <w:spacing w:after="0" w:line="240" w:lineRule="auto"/>
              <w:jc w:val="center"/>
              <w:rPr>
                <w:rFonts w:cstheme="minorHAnsi"/>
                <w:b/>
                <w:bCs/>
                <w:sz w:val="24"/>
                <w:szCs w:val="24"/>
              </w:rPr>
            </w:pPr>
            <w:r w:rsidRPr="001A4D75">
              <w:rPr>
                <w:rFonts w:cstheme="minorHAnsi"/>
                <w:b/>
                <w:bCs/>
                <w:sz w:val="24"/>
                <w:szCs w:val="24"/>
              </w:rPr>
              <w:t>ISO 11201</w:t>
            </w:r>
          </w:p>
        </w:tc>
      </w:tr>
      <w:tr w:rsidR="00181E36" w:rsidRPr="0045784D" w:rsidTr="001A4D75">
        <w:trPr>
          <w:trHeight w:val="330"/>
        </w:trPr>
        <w:tc>
          <w:tcPr>
            <w:tcW w:w="1844" w:type="dxa"/>
            <w:tcBorders>
              <w:top w:val="single" w:sz="18" w:space="0" w:color="auto"/>
              <w:left w:val="single" w:sz="18" w:space="0" w:color="auto"/>
              <w:bottom w:val="single" w:sz="4" w:space="0" w:color="auto"/>
              <w:right w:val="single" w:sz="4" w:space="0" w:color="auto"/>
            </w:tcBorders>
            <w:shd w:val="clear" w:color="auto" w:fill="95B3D7" w:themeFill="accent1" w:themeFillTint="99"/>
            <w:vAlign w:val="center"/>
          </w:tcPr>
          <w:p w:rsidR="00181E36" w:rsidRPr="001A4D75" w:rsidRDefault="00181E36" w:rsidP="001A4D75">
            <w:pPr>
              <w:spacing w:after="0" w:line="240" w:lineRule="auto"/>
              <w:jc w:val="center"/>
              <w:rPr>
                <w:rFonts w:cstheme="minorHAnsi"/>
                <w:b/>
                <w:bCs/>
                <w:sz w:val="24"/>
                <w:szCs w:val="24"/>
              </w:rPr>
            </w:pPr>
            <w:r w:rsidRPr="001A4D75">
              <w:rPr>
                <w:rFonts w:cstheme="minorHAnsi"/>
                <w:b/>
                <w:bCs/>
                <w:sz w:val="24"/>
                <w:szCs w:val="24"/>
              </w:rPr>
              <w:t xml:space="preserve">Intitulé </w:t>
            </w:r>
          </w:p>
        </w:tc>
        <w:tc>
          <w:tcPr>
            <w:tcW w:w="7796" w:type="dxa"/>
            <w:tcBorders>
              <w:top w:val="single" w:sz="18" w:space="0" w:color="auto"/>
              <w:left w:val="single" w:sz="4" w:space="0" w:color="auto"/>
              <w:bottom w:val="single" w:sz="4" w:space="0" w:color="auto"/>
              <w:right w:val="single" w:sz="18" w:space="0" w:color="auto"/>
            </w:tcBorders>
            <w:shd w:val="clear" w:color="auto" w:fill="auto"/>
            <w:noWrap/>
          </w:tcPr>
          <w:p w:rsidR="00181E36" w:rsidRPr="00E95C31" w:rsidRDefault="00181E36" w:rsidP="00E95C31">
            <w:pPr>
              <w:spacing w:after="0" w:line="240" w:lineRule="auto"/>
              <w:jc w:val="both"/>
              <w:rPr>
                <w:rFonts w:cstheme="minorHAnsi"/>
              </w:rPr>
            </w:pPr>
            <w:r w:rsidRPr="00E95C31">
              <w:rPr>
                <w:rFonts w:cstheme="minorHAnsi"/>
              </w:rPr>
              <w:t xml:space="preserve">Acoustique - Bruit émis par les machines et équipements - Détermination des niveaux de pression acoustique d'émission au poste de travail et en d'autres positions spécifiées dans des conditions approchant celles du champ libre sur plan réfléchissant avec des corrections d'environnement négligeables </w:t>
            </w:r>
          </w:p>
        </w:tc>
      </w:tr>
      <w:tr w:rsidR="00181E36" w:rsidRPr="0045784D" w:rsidTr="001A4D75">
        <w:trPr>
          <w:trHeight w:val="330"/>
        </w:trPr>
        <w:tc>
          <w:tcPr>
            <w:tcW w:w="1844" w:type="dxa"/>
            <w:tcBorders>
              <w:top w:val="single" w:sz="4" w:space="0" w:color="auto"/>
              <w:left w:val="single" w:sz="18" w:space="0" w:color="auto"/>
              <w:bottom w:val="single" w:sz="18" w:space="0" w:color="auto"/>
              <w:right w:val="single" w:sz="4" w:space="0" w:color="auto"/>
            </w:tcBorders>
            <w:shd w:val="clear" w:color="auto" w:fill="D9D9D9" w:themeFill="background1" w:themeFillShade="D9"/>
            <w:vAlign w:val="center"/>
          </w:tcPr>
          <w:p w:rsidR="00181E36" w:rsidRPr="001A4D75" w:rsidRDefault="00181E36" w:rsidP="001A4D75">
            <w:pPr>
              <w:spacing w:after="0" w:line="240" w:lineRule="auto"/>
              <w:jc w:val="center"/>
              <w:rPr>
                <w:rFonts w:cstheme="minorHAnsi"/>
                <w:b/>
                <w:bCs/>
                <w:sz w:val="24"/>
                <w:szCs w:val="24"/>
              </w:rPr>
            </w:pPr>
            <w:r w:rsidRPr="001A4D75">
              <w:rPr>
                <w:rFonts w:cstheme="minorHAnsi"/>
                <w:b/>
                <w:bCs/>
                <w:sz w:val="24"/>
                <w:szCs w:val="24"/>
              </w:rPr>
              <w:t xml:space="preserve">Domaine d’application </w:t>
            </w:r>
          </w:p>
        </w:tc>
        <w:tc>
          <w:tcPr>
            <w:tcW w:w="7796" w:type="dxa"/>
            <w:tcBorders>
              <w:top w:val="single" w:sz="4" w:space="0" w:color="auto"/>
              <w:left w:val="single" w:sz="4" w:space="0" w:color="auto"/>
              <w:bottom w:val="single" w:sz="18" w:space="0" w:color="auto"/>
              <w:right w:val="single" w:sz="18" w:space="0" w:color="auto"/>
            </w:tcBorders>
            <w:shd w:val="clear" w:color="auto" w:fill="auto"/>
            <w:noWrap/>
          </w:tcPr>
          <w:p w:rsidR="001A4D75" w:rsidRPr="00E95C31" w:rsidRDefault="00181E36" w:rsidP="00E95C31">
            <w:pPr>
              <w:spacing w:after="0" w:line="240" w:lineRule="auto"/>
              <w:jc w:val="both"/>
              <w:rPr>
                <w:rFonts w:cstheme="minorHAnsi"/>
              </w:rPr>
            </w:pPr>
            <w:r w:rsidRPr="00E95C31">
              <w:rPr>
                <w:rFonts w:cstheme="minorHAnsi"/>
              </w:rPr>
              <w:t>La présente Norme internationale spécifie une méthode de détermination des niveaux de pression acoustique d'émission des machines ou de l'équipement au poste de travail et en d'autres positions spécifiées proches, dans des conditions approchant celles du champ libre sur plan réfléchissant. Le poste de travail occupé par un opérateur peut être situé dans un espace ouvert, dans la salle où la source soumise à essai fonctionne, dans une cabine fixée à la source soumise à essai ou dans une enceinte située à distance de la source soumise à essai. Une ou plusieurs positions spécifiées peuvent se situer au voisinage du poste de travail ou d'une machine avec ou sans opérateur. Ces positions sont parfois appelées «positions d'assistant».</w:t>
            </w:r>
          </w:p>
          <w:p w:rsidR="001A4D75" w:rsidRPr="00E95C31" w:rsidRDefault="00181E36" w:rsidP="00E95C31">
            <w:pPr>
              <w:spacing w:after="0" w:line="240" w:lineRule="auto"/>
              <w:jc w:val="both"/>
              <w:rPr>
                <w:rFonts w:cstheme="minorHAnsi"/>
              </w:rPr>
            </w:pPr>
            <w:r w:rsidRPr="00E95C31">
              <w:rPr>
                <w:rFonts w:cstheme="minorHAnsi"/>
              </w:rPr>
              <w:t>Les niveaux de pression acoustique d'émission sont déterminés en tant que niveaux pondérés A. En outre, les niveaux par bandes de fréquences et les niveaux de pression acoustique d'émission de crête pondérés C peuvent être déterminés selon la présente Norme internationale, si nécessaire.</w:t>
            </w:r>
          </w:p>
          <w:p w:rsidR="001A4D75" w:rsidRPr="00E95C31" w:rsidRDefault="00181E36" w:rsidP="00E95C31">
            <w:pPr>
              <w:spacing w:after="0" w:line="240" w:lineRule="auto"/>
              <w:jc w:val="both"/>
              <w:rPr>
                <w:rFonts w:cstheme="minorHAnsi"/>
                <w:i/>
                <w:iCs/>
                <w:sz w:val="20"/>
                <w:szCs w:val="20"/>
              </w:rPr>
            </w:pPr>
            <w:r w:rsidRPr="00E95C31">
              <w:rPr>
                <w:rFonts w:cstheme="minorHAnsi"/>
                <w:b/>
                <w:bCs/>
                <w:i/>
                <w:iCs/>
                <w:sz w:val="20"/>
                <w:szCs w:val="20"/>
              </w:rPr>
              <w:t>NOTE 1</w:t>
            </w:r>
            <w:r w:rsidR="001A4D75" w:rsidRPr="00E95C31">
              <w:rPr>
                <w:rFonts w:cstheme="minorHAnsi"/>
                <w:i/>
                <w:iCs/>
                <w:sz w:val="20"/>
                <w:szCs w:val="20"/>
              </w:rPr>
              <w:t xml:space="preserve"> : </w:t>
            </w:r>
            <w:r w:rsidRPr="00E95C31">
              <w:rPr>
                <w:rFonts w:cstheme="minorHAnsi"/>
                <w:i/>
                <w:iCs/>
                <w:sz w:val="20"/>
                <w:szCs w:val="20"/>
              </w:rPr>
              <w:t>Le contenu de la série de l'ISO 11200[15] à l'ISO 11205[19] est résumé dans l'ISO 11200[15].</w:t>
            </w:r>
          </w:p>
          <w:p w:rsidR="001A4D75" w:rsidRPr="00E95C31" w:rsidRDefault="00181E36" w:rsidP="00E95C31">
            <w:pPr>
              <w:spacing w:after="0" w:line="240" w:lineRule="auto"/>
              <w:jc w:val="both"/>
              <w:rPr>
                <w:rFonts w:cstheme="minorHAnsi"/>
              </w:rPr>
            </w:pPr>
            <w:r w:rsidRPr="00E95C31">
              <w:rPr>
                <w:rFonts w:cstheme="minorHAnsi"/>
              </w:rPr>
              <w:t>La méthode spécifiée dans la présente Norme internationale permet d'obtenir des résultats de classe de précision 1 (laboratoire) ou de classe de précision 2 (expertise). Des corrections sont appliquées pour le bruit de fond mais pas pour l'environnement acoustique. Des instructions sont fournies pour le montage et le fonctionnement de la source soumise à essai ainsi que pour le choix des positions du microphone pour le poste de travail et pour d'autres positions spécifiées. Un des objets des mesurages est de permettre la</w:t>
            </w:r>
            <w:r w:rsidR="001A4D75" w:rsidRPr="00E95C31">
              <w:rPr>
                <w:rFonts w:cstheme="minorHAnsi"/>
              </w:rPr>
              <w:t xml:space="preserve"> </w:t>
            </w:r>
            <w:r w:rsidRPr="00E95C31">
              <w:rPr>
                <w:rFonts w:cstheme="minorHAnsi"/>
              </w:rPr>
              <w:t>comparaison des performances de différentes unités d'une famille donnée de machines, dans des conditions d'environnement définies et dans des conditions de montage et de fonctionnement normalisées.</w:t>
            </w:r>
          </w:p>
          <w:p w:rsidR="00181E36" w:rsidRPr="00E95C31" w:rsidRDefault="00181E36" w:rsidP="00E95C31">
            <w:pPr>
              <w:spacing w:after="0" w:line="240" w:lineRule="auto"/>
              <w:jc w:val="both"/>
              <w:rPr>
                <w:rFonts w:cstheme="minorHAnsi"/>
              </w:rPr>
            </w:pPr>
            <w:r w:rsidRPr="00E95C31">
              <w:rPr>
                <w:rFonts w:cstheme="minorHAnsi"/>
              </w:rPr>
              <w:lastRenderedPageBreak/>
              <w:t>NOTE 2</w:t>
            </w:r>
            <w:r w:rsidR="001A4D75" w:rsidRPr="00E95C31">
              <w:rPr>
                <w:rFonts w:cstheme="minorHAnsi"/>
              </w:rPr>
              <w:t xml:space="preserve"> : </w:t>
            </w:r>
            <w:r w:rsidRPr="00E95C31">
              <w:rPr>
                <w:rFonts w:cstheme="minorHAnsi"/>
              </w:rPr>
              <w:t>Les données obtenues peuvent aussi être utilisées pour la déclaration et la vérification des niveaux de pression acoustique d'émission tels que spécifiés dans l'ISO 4871[8].</w:t>
            </w:r>
          </w:p>
        </w:tc>
      </w:tr>
      <w:tr w:rsidR="00181E36" w:rsidRPr="0045784D" w:rsidTr="008D5BBF">
        <w:trPr>
          <w:trHeight w:val="330"/>
        </w:trPr>
        <w:tc>
          <w:tcPr>
            <w:tcW w:w="1844" w:type="dxa"/>
            <w:tcBorders>
              <w:top w:val="single" w:sz="18" w:space="0" w:color="auto"/>
              <w:left w:val="single" w:sz="18" w:space="0" w:color="auto"/>
              <w:bottom w:val="single" w:sz="18" w:space="0" w:color="auto"/>
              <w:right w:val="single" w:sz="4" w:space="0" w:color="auto"/>
            </w:tcBorders>
            <w:shd w:val="clear" w:color="auto" w:fill="B0CA7C"/>
            <w:vAlign w:val="center"/>
          </w:tcPr>
          <w:p w:rsidR="00181E36" w:rsidRPr="001A4D75" w:rsidRDefault="00181E36" w:rsidP="001A4D75">
            <w:pPr>
              <w:spacing w:after="0" w:line="240" w:lineRule="auto"/>
              <w:jc w:val="center"/>
              <w:rPr>
                <w:rFonts w:cstheme="minorHAnsi"/>
                <w:b/>
                <w:bCs/>
                <w:sz w:val="24"/>
                <w:szCs w:val="24"/>
              </w:rPr>
            </w:pPr>
            <w:r w:rsidRPr="001A4D75">
              <w:rPr>
                <w:rFonts w:cstheme="minorHAnsi"/>
                <w:b/>
                <w:bCs/>
                <w:sz w:val="24"/>
                <w:szCs w:val="24"/>
              </w:rPr>
              <w:lastRenderedPageBreak/>
              <w:t xml:space="preserve">Code </w:t>
            </w:r>
            <w:r w:rsidR="001A4D75">
              <w:rPr>
                <w:rFonts w:cstheme="minorHAnsi"/>
                <w:b/>
                <w:bCs/>
                <w:sz w:val="24"/>
                <w:szCs w:val="24"/>
              </w:rPr>
              <w:t xml:space="preserve"> </w:t>
            </w:r>
          </w:p>
        </w:tc>
        <w:tc>
          <w:tcPr>
            <w:tcW w:w="7796" w:type="dxa"/>
            <w:tcBorders>
              <w:top w:val="single" w:sz="18" w:space="0" w:color="auto"/>
              <w:left w:val="single" w:sz="4" w:space="0" w:color="auto"/>
              <w:bottom w:val="single" w:sz="18" w:space="0" w:color="auto"/>
              <w:right w:val="single" w:sz="18" w:space="0" w:color="auto"/>
            </w:tcBorders>
            <w:shd w:val="clear" w:color="auto" w:fill="B0CA7C"/>
            <w:noWrap/>
            <w:vAlign w:val="center"/>
          </w:tcPr>
          <w:p w:rsidR="00181E36" w:rsidRPr="001A4D75" w:rsidRDefault="00181E36" w:rsidP="001A4D75">
            <w:pPr>
              <w:spacing w:after="0" w:line="240" w:lineRule="auto"/>
              <w:jc w:val="center"/>
              <w:rPr>
                <w:rFonts w:cstheme="minorHAnsi"/>
                <w:b/>
                <w:bCs/>
                <w:sz w:val="24"/>
                <w:szCs w:val="24"/>
              </w:rPr>
            </w:pPr>
            <w:r w:rsidRPr="001A4D75">
              <w:rPr>
                <w:rFonts w:cstheme="minorHAnsi"/>
                <w:b/>
                <w:bCs/>
                <w:sz w:val="24"/>
                <w:szCs w:val="24"/>
              </w:rPr>
              <w:t>NM ISO 11202</w:t>
            </w:r>
          </w:p>
        </w:tc>
      </w:tr>
      <w:tr w:rsidR="00181E36" w:rsidRPr="0045784D" w:rsidTr="001A4D75">
        <w:trPr>
          <w:trHeight w:val="330"/>
        </w:trPr>
        <w:tc>
          <w:tcPr>
            <w:tcW w:w="1844" w:type="dxa"/>
            <w:tcBorders>
              <w:top w:val="single" w:sz="18" w:space="0" w:color="auto"/>
              <w:left w:val="single" w:sz="18" w:space="0" w:color="auto"/>
              <w:bottom w:val="single" w:sz="18" w:space="0" w:color="auto"/>
              <w:right w:val="single" w:sz="4" w:space="0" w:color="auto"/>
            </w:tcBorders>
            <w:shd w:val="clear" w:color="auto" w:fill="FFFF99"/>
            <w:vAlign w:val="center"/>
          </w:tcPr>
          <w:p w:rsidR="00181E36" w:rsidRPr="001A4D75" w:rsidRDefault="00181E36" w:rsidP="001A4D75">
            <w:pPr>
              <w:spacing w:after="0" w:line="240" w:lineRule="auto"/>
              <w:jc w:val="center"/>
              <w:rPr>
                <w:rFonts w:cstheme="minorHAnsi"/>
                <w:b/>
                <w:bCs/>
                <w:sz w:val="24"/>
                <w:szCs w:val="24"/>
              </w:rPr>
            </w:pPr>
            <w:r w:rsidRPr="001A4D75">
              <w:rPr>
                <w:rFonts w:cstheme="minorHAnsi"/>
                <w:b/>
                <w:bCs/>
                <w:sz w:val="24"/>
                <w:szCs w:val="24"/>
              </w:rPr>
              <w:t xml:space="preserve">Equivalence </w:t>
            </w:r>
          </w:p>
        </w:tc>
        <w:tc>
          <w:tcPr>
            <w:tcW w:w="7796" w:type="dxa"/>
            <w:tcBorders>
              <w:top w:val="single" w:sz="18" w:space="0" w:color="auto"/>
              <w:left w:val="single" w:sz="4" w:space="0" w:color="auto"/>
              <w:bottom w:val="single" w:sz="18" w:space="0" w:color="auto"/>
              <w:right w:val="single" w:sz="18" w:space="0" w:color="auto"/>
            </w:tcBorders>
            <w:shd w:val="clear" w:color="auto" w:fill="FFFF99"/>
            <w:noWrap/>
            <w:vAlign w:val="center"/>
          </w:tcPr>
          <w:p w:rsidR="00181E36" w:rsidRPr="001A4D75" w:rsidRDefault="00181E36" w:rsidP="001A4D75">
            <w:pPr>
              <w:spacing w:after="0" w:line="240" w:lineRule="auto"/>
              <w:jc w:val="center"/>
              <w:rPr>
                <w:rFonts w:cstheme="minorHAnsi"/>
                <w:b/>
                <w:bCs/>
                <w:sz w:val="24"/>
                <w:szCs w:val="24"/>
              </w:rPr>
            </w:pPr>
            <w:r w:rsidRPr="001A4D75">
              <w:rPr>
                <w:rFonts w:cstheme="minorHAnsi"/>
                <w:b/>
                <w:bCs/>
                <w:sz w:val="24"/>
                <w:szCs w:val="24"/>
              </w:rPr>
              <w:t>ISO 11202</w:t>
            </w:r>
          </w:p>
        </w:tc>
      </w:tr>
      <w:tr w:rsidR="00181E36" w:rsidRPr="0045784D" w:rsidTr="001A4D75">
        <w:trPr>
          <w:trHeight w:val="330"/>
        </w:trPr>
        <w:tc>
          <w:tcPr>
            <w:tcW w:w="1844" w:type="dxa"/>
            <w:tcBorders>
              <w:top w:val="single" w:sz="18" w:space="0" w:color="auto"/>
              <w:left w:val="single" w:sz="18" w:space="0" w:color="auto"/>
              <w:bottom w:val="single" w:sz="18" w:space="0" w:color="auto"/>
              <w:right w:val="single" w:sz="4" w:space="0" w:color="auto"/>
            </w:tcBorders>
            <w:shd w:val="clear" w:color="auto" w:fill="B8CCE4" w:themeFill="accent1" w:themeFillTint="66"/>
            <w:vAlign w:val="center"/>
          </w:tcPr>
          <w:p w:rsidR="00181E36" w:rsidRPr="001A4D75" w:rsidRDefault="00181E36" w:rsidP="001A4D75">
            <w:pPr>
              <w:spacing w:after="0" w:line="240" w:lineRule="auto"/>
              <w:jc w:val="center"/>
              <w:rPr>
                <w:rFonts w:cstheme="minorHAnsi"/>
                <w:b/>
                <w:bCs/>
                <w:sz w:val="24"/>
                <w:szCs w:val="24"/>
              </w:rPr>
            </w:pPr>
            <w:r w:rsidRPr="001A4D75">
              <w:rPr>
                <w:rFonts w:cstheme="minorHAnsi"/>
                <w:b/>
                <w:bCs/>
                <w:sz w:val="24"/>
                <w:szCs w:val="24"/>
              </w:rPr>
              <w:t xml:space="preserve">Intitulé </w:t>
            </w:r>
          </w:p>
        </w:tc>
        <w:tc>
          <w:tcPr>
            <w:tcW w:w="7796" w:type="dxa"/>
            <w:tcBorders>
              <w:top w:val="single" w:sz="18" w:space="0" w:color="auto"/>
              <w:left w:val="single" w:sz="4" w:space="0" w:color="auto"/>
              <w:bottom w:val="single" w:sz="18" w:space="0" w:color="auto"/>
              <w:right w:val="single" w:sz="18" w:space="0" w:color="auto"/>
            </w:tcBorders>
            <w:shd w:val="clear" w:color="auto" w:fill="auto"/>
            <w:noWrap/>
          </w:tcPr>
          <w:p w:rsidR="00181E36" w:rsidRPr="00E3091E" w:rsidRDefault="00181E36" w:rsidP="00E3091E">
            <w:pPr>
              <w:spacing w:after="0" w:line="240" w:lineRule="auto"/>
              <w:jc w:val="both"/>
              <w:rPr>
                <w:rFonts w:cstheme="minorHAnsi"/>
              </w:rPr>
            </w:pPr>
            <w:r w:rsidRPr="00E3091E">
              <w:rPr>
                <w:rFonts w:cstheme="minorHAnsi"/>
              </w:rPr>
              <w:t xml:space="preserve">Acoustique - Bruit émis par les machines et équipements - Détermination des niveaux de pression acoustique d'émission au poste de travail et en d'autres positions spécifiées en appliquant des corrections d'environnement approximatives ;(IC 19.0.035) </w:t>
            </w:r>
          </w:p>
        </w:tc>
      </w:tr>
      <w:tr w:rsidR="00181E36" w:rsidRPr="0045784D" w:rsidTr="001A4D75">
        <w:trPr>
          <w:trHeight w:val="330"/>
        </w:trPr>
        <w:tc>
          <w:tcPr>
            <w:tcW w:w="1844" w:type="dxa"/>
            <w:tcBorders>
              <w:top w:val="single" w:sz="18" w:space="0" w:color="auto"/>
              <w:left w:val="single" w:sz="18" w:space="0" w:color="auto"/>
              <w:bottom w:val="single" w:sz="18" w:space="0" w:color="auto"/>
              <w:right w:val="single" w:sz="4" w:space="0" w:color="auto"/>
            </w:tcBorders>
            <w:shd w:val="clear" w:color="auto" w:fill="D9D9D9" w:themeFill="background1" w:themeFillShade="D9"/>
            <w:vAlign w:val="center"/>
          </w:tcPr>
          <w:p w:rsidR="00181E36" w:rsidRPr="001A4D75" w:rsidRDefault="00181E36" w:rsidP="001A4D75">
            <w:pPr>
              <w:spacing w:after="0" w:line="240" w:lineRule="auto"/>
              <w:jc w:val="center"/>
              <w:rPr>
                <w:rFonts w:cstheme="minorHAnsi"/>
                <w:b/>
                <w:bCs/>
                <w:sz w:val="24"/>
                <w:szCs w:val="24"/>
              </w:rPr>
            </w:pPr>
            <w:r w:rsidRPr="001A4D75">
              <w:rPr>
                <w:rFonts w:cstheme="minorHAnsi"/>
                <w:b/>
                <w:bCs/>
                <w:sz w:val="24"/>
                <w:szCs w:val="24"/>
              </w:rPr>
              <w:t xml:space="preserve">Domaine d’application </w:t>
            </w:r>
          </w:p>
        </w:tc>
        <w:tc>
          <w:tcPr>
            <w:tcW w:w="7796" w:type="dxa"/>
            <w:tcBorders>
              <w:top w:val="single" w:sz="18" w:space="0" w:color="auto"/>
              <w:left w:val="single" w:sz="4" w:space="0" w:color="auto"/>
              <w:bottom w:val="single" w:sz="18" w:space="0" w:color="auto"/>
              <w:right w:val="single" w:sz="18" w:space="0" w:color="auto"/>
            </w:tcBorders>
            <w:shd w:val="clear" w:color="auto" w:fill="auto"/>
            <w:noWrap/>
          </w:tcPr>
          <w:p w:rsidR="001A4D75" w:rsidRPr="00E3091E" w:rsidRDefault="00181E36" w:rsidP="00E3091E">
            <w:pPr>
              <w:spacing w:after="0" w:line="240" w:lineRule="auto"/>
              <w:jc w:val="both"/>
              <w:rPr>
                <w:rFonts w:cstheme="minorHAnsi"/>
              </w:rPr>
            </w:pPr>
            <w:r w:rsidRPr="00E3091E">
              <w:rPr>
                <w:rFonts w:cstheme="minorHAnsi"/>
              </w:rPr>
              <w:t>1.1 Généralités</w:t>
            </w:r>
            <w:r w:rsidR="001A4D75" w:rsidRPr="00E3091E">
              <w:rPr>
                <w:rFonts w:cstheme="minorHAnsi"/>
              </w:rPr>
              <w:t xml:space="preserve"> </w:t>
            </w:r>
            <w:r w:rsidRPr="00E3091E">
              <w:rPr>
                <w:rFonts w:cstheme="minorHAnsi"/>
              </w:rPr>
              <w:t xml:space="preserve"> </w:t>
            </w:r>
          </w:p>
          <w:p w:rsidR="001A4D75" w:rsidRPr="00E3091E" w:rsidRDefault="00181E36" w:rsidP="00E3091E">
            <w:pPr>
              <w:spacing w:after="0" w:line="240" w:lineRule="auto"/>
              <w:jc w:val="both"/>
              <w:rPr>
                <w:rFonts w:cstheme="minorHAnsi"/>
              </w:rPr>
            </w:pPr>
            <w:r w:rsidRPr="00E3091E">
              <w:rPr>
                <w:rFonts w:cstheme="minorHAnsi"/>
              </w:rPr>
              <w:t>La</w:t>
            </w:r>
            <w:r w:rsidR="001A4D75" w:rsidRPr="00E3091E">
              <w:rPr>
                <w:rFonts w:cstheme="minorHAnsi"/>
              </w:rPr>
              <w:t xml:space="preserve"> </w:t>
            </w:r>
            <w:r w:rsidRPr="00E3091E">
              <w:rPr>
                <w:rFonts w:cstheme="minorHAnsi"/>
              </w:rPr>
              <w:t>présente Norme internationale spécifie une méthode de détermination des niveaux de pression acoustique d'émission des machines et des équipements au poste de travail et en d'autres positions spécifiées proches, in situ. Le poste de travail occupé par un opérateur peut être situé dans un espace ouvert dans la salle où la source soumise à essai fonctionne, dans une cabine fixée à la source soumise à essai ou dans une enceinte située à distance de la source soumise à essai. Une ou plusieurs positions spécifiées peuvent se situer au</w:t>
            </w:r>
            <w:r w:rsidR="001A4D75" w:rsidRPr="00E3091E">
              <w:rPr>
                <w:rFonts w:cstheme="minorHAnsi"/>
              </w:rPr>
              <w:t xml:space="preserve"> </w:t>
            </w:r>
            <w:r w:rsidRPr="00E3091E">
              <w:rPr>
                <w:rFonts w:cstheme="minorHAnsi"/>
              </w:rPr>
              <w:t>voisinage du poste de travail ou d'une machine avec ou sans opérateur. Ces positions sont parfois appelées «positions d'assistant».</w:t>
            </w:r>
            <w:r w:rsidRPr="00E3091E">
              <w:rPr>
                <w:rFonts w:cstheme="minorHAnsi"/>
              </w:rPr>
              <w:br/>
              <w:t>Les niveaux de pression acoustique d'émission sont déterminés en tant que niveaux pondérés A. En outre, les niveaux par bandes de fréquence et les niveaux de pression acoustique d'émission de crête pondérés C peuvent être déterminés selon la présente Norme internationale, si nécessaire.</w:t>
            </w:r>
          </w:p>
          <w:p w:rsidR="001A4D75" w:rsidRPr="00E3091E" w:rsidRDefault="00181E36" w:rsidP="00E3091E">
            <w:pPr>
              <w:spacing w:after="0" w:line="240" w:lineRule="auto"/>
              <w:jc w:val="both"/>
              <w:rPr>
                <w:rFonts w:cstheme="minorHAnsi"/>
                <w:i/>
                <w:iCs/>
                <w:sz w:val="20"/>
                <w:szCs w:val="20"/>
              </w:rPr>
            </w:pPr>
            <w:r w:rsidRPr="00E3091E">
              <w:rPr>
                <w:rFonts w:cstheme="minorHAnsi"/>
                <w:b/>
                <w:bCs/>
                <w:i/>
                <w:iCs/>
                <w:sz w:val="20"/>
                <w:szCs w:val="20"/>
              </w:rPr>
              <w:t>NOTE 1</w:t>
            </w:r>
            <w:r w:rsidR="001A4D75" w:rsidRPr="00E3091E">
              <w:rPr>
                <w:rFonts w:cstheme="minorHAnsi"/>
                <w:i/>
                <w:iCs/>
                <w:sz w:val="20"/>
                <w:szCs w:val="20"/>
              </w:rPr>
              <w:t> :</w:t>
            </w:r>
            <w:r w:rsidRPr="00E3091E">
              <w:rPr>
                <w:rFonts w:cstheme="minorHAnsi"/>
                <w:i/>
                <w:iCs/>
                <w:sz w:val="20"/>
                <w:szCs w:val="20"/>
              </w:rPr>
              <w:t xml:space="preserve"> Le contenu de la série de l'ISO 11200[15] à l'ISO 11205[19] est résumé dans l'ISO 11200[15].</w:t>
            </w:r>
          </w:p>
          <w:p w:rsidR="00E3091E" w:rsidRDefault="00181E36" w:rsidP="00E3091E">
            <w:pPr>
              <w:spacing w:after="0" w:line="240" w:lineRule="auto"/>
              <w:jc w:val="both"/>
              <w:rPr>
                <w:rFonts w:cstheme="minorHAnsi"/>
                <w:i/>
                <w:iCs/>
                <w:sz w:val="20"/>
                <w:szCs w:val="20"/>
              </w:rPr>
            </w:pPr>
            <w:r w:rsidRPr="00E3091E">
              <w:rPr>
                <w:rFonts w:cstheme="minorHAnsi"/>
              </w:rPr>
              <w:t>Des méthodes sont fournies pour déterminer la correction locale d'environnement (soumise à une valeur limite maximale spécifiée) à appliquer aux niveaux de pression acoustique mesurés afin d'éliminer l'influence des surfaces réfléchissantes autres que le plan sur lequel repose la source soumise à essai. Cette correction est fondée sur l'aire d'absorption acoustique équivalente de la salle d'essai et sur les caractéristiques de rayonnement (emplacement de la source ou directivité au poste de travail).</w:t>
            </w:r>
            <w:r w:rsidRPr="00E3091E">
              <w:rPr>
                <w:rFonts w:cstheme="minorHAnsi"/>
              </w:rPr>
              <w:br/>
              <w:t>La méthode spécifiée dans la présente Norme internationale permet d'obtenir des résultats de classe de précision 2 (classe expertise) ou de classe de précision 3 (classe contrôle). Des corrections sont appliquées pour le bruit de fond et comme décrit ci-dessus pour l'environnement acoustique. Des instructions sont fournies pour le montage et le fonctionnement de la source soumise à essai ainsi que pour le choix des positions du microphone pour le poste de travail et pour d'autres positions spécifiées. Un des objets des</w:t>
            </w:r>
            <w:r w:rsidR="001A4D75" w:rsidRPr="00E3091E">
              <w:rPr>
                <w:rFonts w:cstheme="minorHAnsi"/>
              </w:rPr>
              <w:t xml:space="preserve"> </w:t>
            </w:r>
            <w:r w:rsidRPr="00E3091E">
              <w:rPr>
                <w:rFonts w:cstheme="minorHAnsi"/>
              </w:rPr>
              <w:t>mesurages est de permettre la comparaison des performances de différentes unités d'une famille donnée de machines, dans des conditions d'environnement définies et dans des conditions de montage et de fonctionnement normalisées.</w:t>
            </w:r>
            <w:r w:rsidRPr="00E3091E">
              <w:rPr>
                <w:rFonts w:cstheme="minorHAnsi"/>
              </w:rPr>
              <w:br/>
            </w:r>
            <w:r w:rsidRPr="00E3091E">
              <w:rPr>
                <w:rFonts w:cstheme="minorHAnsi"/>
                <w:b/>
                <w:bCs/>
                <w:i/>
                <w:iCs/>
                <w:sz w:val="20"/>
                <w:szCs w:val="20"/>
              </w:rPr>
              <w:t>NOTE 2</w:t>
            </w:r>
            <w:r w:rsidR="001A4D75" w:rsidRPr="00E3091E">
              <w:rPr>
                <w:rFonts w:cstheme="minorHAnsi"/>
                <w:i/>
                <w:iCs/>
                <w:sz w:val="20"/>
                <w:szCs w:val="20"/>
              </w:rPr>
              <w:t xml:space="preserve"> : </w:t>
            </w:r>
            <w:r w:rsidRPr="00E3091E">
              <w:rPr>
                <w:rFonts w:cstheme="minorHAnsi"/>
                <w:i/>
                <w:iCs/>
                <w:sz w:val="20"/>
                <w:szCs w:val="20"/>
              </w:rPr>
              <w:t>Les données obtenues peuvent aussi être utilisées pour la déclaration et la vérification des niveaux de pression acoustique d'émission tels que spécifiés dans l'ISO 4871[9]</w:t>
            </w:r>
          </w:p>
          <w:p w:rsidR="001A4D75" w:rsidRPr="00E3091E" w:rsidRDefault="00181E36" w:rsidP="00E3091E">
            <w:pPr>
              <w:spacing w:after="0" w:line="240" w:lineRule="auto"/>
              <w:jc w:val="both"/>
              <w:rPr>
                <w:rFonts w:cstheme="minorHAnsi"/>
              </w:rPr>
            </w:pPr>
            <w:r w:rsidRPr="00E3091E">
              <w:rPr>
                <w:rFonts w:cstheme="minorHAnsi"/>
              </w:rPr>
              <w:t xml:space="preserve">1.2 Types et sources de bruit                                                                                           </w:t>
            </w:r>
            <w:r w:rsidR="001A4D75" w:rsidRPr="00E3091E">
              <w:rPr>
                <w:rFonts w:cstheme="minorHAnsi"/>
              </w:rPr>
              <w:t xml:space="preserve">           </w:t>
            </w:r>
          </w:p>
          <w:p w:rsidR="001A4D75" w:rsidRPr="00E3091E" w:rsidRDefault="00181E36" w:rsidP="00E3091E">
            <w:pPr>
              <w:spacing w:after="0" w:line="240" w:lineRule="auto"/>
              <w:jc w:val="both"/>
              <w:rPr>
                <w:rFonts w:cstheme="minorHAnsi"/>
              </w:rPr>
            </w:pPr>
            <w:r w:rsidRPr="00E3091E">
              <w:rPr>
                <w:rFonts w:cstheme="minorHAnsi"/>
              </w:rPr>
              <w:t>La méthode spécifiée dans la présente Norme internationale s'applique à tous les types de bruits (continus, discontinus, fluctuants, pics d'énergie acoustique isolés, etc.) définis dans l'ISO 12001.</w:t>
            </w:r>
          </w:p>
          <w:p w:rsidR="001A4D75" w:rsidRPr="00E3091E" w:rsidRDefault="00181E36" w:rsidP="00E3091E">
            <w:pPr>
              <w:spacing w:after="0" w:line="240" w:lineRule="auto"/>
              <w:jc w:val="both"/>
              <w:rPr>
                <w:rFonts w:cstheme="minorHAnsi"/>
              </w:rPr>
            </w:pPr>
            <w:r w:rsidRPr="00E3091E">
              <w:rPr>
                <w:rFonts w:cstheme="minorHAnsi"/>
              </w:rPr>
              <w:t xml:space="preserve">La méthode spécifiée dans la présente Norme internationale s'applique à tous les types et toutes les tailles de sources de bruit.                                                                                              </w:t>
            </w:r>
          </w:p>
          <w:p w:rsidR="00E3091E" w:rsidRDefault="00181E36" w:rsidP="00E3091E">
            <w:pPr>
              <w:spacing w:after="0" w:line="240" w:lineRule="auto"/>
              <w:jc w:val="both"/>
              <w:rPr>
                <w:rFonts w:cstheme="minorHAnsi"/>
                <w:i/>
                <w:iCs/>
                <w:sz w:val="20"/>
                <w:szCs w:val="20"/>
              </w:rPr>
            </w:pPr>
            <w:r w:rsidRPr="00E3091E">
              <w:rPr>
                <w:rFonts w:cstheme="minorHAnsi"/>
                <w:b/>
                <w:bCs/>
                <w:i/>
                <w:iCs/>
                <w:sz w:val="20"/>
                <w:szCs w:val="20"/>
              </w:rPr>
              <w:t xml:space="preserve">NOTE </w:t>
            </w:r>
            <w:r w:rsidR="001A4D75" w:rsidRPr="00E3091E">
              <w:rPr>
                <w:rFonts w:cstheme="minorHAnsi"/>
                <w:b/>
                <w:bCs/>
                <w:i/>
                <w:iCs/>
                <w:sz w:val="20"/>
                <w:szCs w:val="20"/>
              </w:rPr>
              <w:t>3</w:t>
            </w:r>
            <w:r w:rsidR="001A4D75" w:rsidRPr="00E3091E">
              <w:rPr>
                <w:rFonts w:cstheme="minorHAnsi"/>
                <w:i/>
                <w:iCs/>
                <w:sz w:val="20"/>
                <w:szCs w:val="20"/>
              </w:rPr>
              <w:t xml:space="preserve"> : </w:t>
            </w:r>
            <w:r w:rsidRPr="00E3091E">
              <w:rPr>
                <w:rFonts w:cstheme="minorHAnsi"/>
                <w:i/>
                <w:iCs/>
                <w:sz w:val="20"/>
                <w:szCs w:val="20"/>
              </w:rPr>
              <w:t>Tout au long de la présente Norme internationale, les expressions «machine» et «source soumise à essai» sont utilisées pour désigner soit une machine, soit un équipement.</w:t>
            </w:r>
          </w:p>
          <w:p w:rsidR="001A4D75" w:rsidRPr="00E3091E" w:rsidRDefault="00181E36" w:rsidP="00E3091E">
            <w:pPr>
              <w:spacing w:after="0" w:line="240" w:lineRule="auto"/>
              <w:jc w:val="both"/>
              <w:rPr>
                <w:rFonts w:cstheme="minorHAnsi"/>
              </w:rPr>
            </w:pPr>
            <w:r w:rsidRPr="00E3091E">
              <w:rPr>
                <w:rFonts w:cstheme="minorHAnsi"/>
              </w:rPr>
              <w:t xml:space="preserve">1.3 Environnement d'essai                                                                                               </w:t>
            </w:r>
            <w:r w:rsidR="001A4D75" w:rsidRPr="00E3091E">
              <w:rPr>
                <w:rFonts w:cstheme="minorHAnsi"/>
              </w:rPr>
              <w:t xml:space="preserve">   </w:t>
            </w:r>
          </w:p>
          <w:p w:rsidR="001A4D75" w:rsidRPr="00E3091E" w:rsidRDefault="00181E36" w:rsidP="00E3091E">
            <w:pPr>
              <w:spacing w:after="0" w:line="240" w:lineRule="auto"/>
              <w:jc w:val="both"/>
              <w:rPr>
                <w:rFonts w:cstheme="minorHAnsi"/>
              </w:rPr>
            </w:pPr>
            <w:r w:rsidRPr="00E3091E">
              <w:rPr>
                <w:rFonts w:cstheme="minorHAnsi"/>
              </w:rPr>
              <w:t xml:space="preserve">Le type d'environnement d'essai affecte la précision de la détermination des niveaux de pression acoustique d'émission. Pour la présente Norme internationale, toute salle répondant aux exigences spécifiées est utilisable. Ces exigences relatives à la salle sont </w:t>
            </w:r>
            <w:r w:rsidRPr="00E3091E">
              <w:rPr>
                <w:rFonts w:cstheme="minorHAnsi"/>
              </w:rPr>
              <w:lastRenderedPageBreak/>
              <w:t>moins strictes que celles de l'ISO 11201[16], notamment en ce qui concerne la qualité acoustique de l'environnement.</w:t>
            </w:r>
          </w:p>
          <w:p w:rsidR="001A4D75" w:rsidRPr="00E3091E" w:rsidRDefault="00181E36" w:rsidP="00E3091E">
            <w:pPr>
              <w:spacing w:after="0" w:line="240" w:lineRule="auto"/>
              <w:jc w:val="both"/>
              <w:rPr>
                <w:rFonts w:cstheme="minorHAnsi"/>
              </w:rPr>
            </w:pPr>
            <w:r w:rsidRPr="00E3091E">
              <w:rPr>
                <w:rFonts w:cstheme="minorHAnsi"/>
              </w:rPr>
              <w:t>1.4 Poste de travail et autres positions spécifiées</w:t>
            </w:r>
          </w:p>
          <w:p w:rsidR="001A4D75" w:rsidRPr="00E3091E" w:rsidRDefault="00181E36" w:rsidP="00E3091E">
            <w:pPr>
              <w:spacing w:after="0" w:line="240" w:lineRule="auto"/>
              <w:jc w:val="both"/>
              <w:rPr>
                <w:rFonts w:cstheme="minorHAnsi"/>
              </w:rPr>
            </w:pPr>
            <w:r w:rsidRPr="00E3091E">
              <w:rPr>
                <w:rFonts w:cstheme="minorHAnsi"/>
              </w:rPr>
              <w:t>La présente Norme internationale s'applique aux postes de travail et aux autres positions spécifiées auxquels les niveaux de pression acoustique d'émission doivent être mesurés.</w:t>
            </w:r>
          </w:p>
          <w:p w:rsidR="001A4D75" w:rsidRPr="00E3091E" w:rsidRDefault="00181E36" w:rsidP="00E3091E">
            <w:pPr>
              <w:spacing w:after="0" w:line="240" w:lineRule="auto"/>
              <w:jc w:val="both"/>
              <w:rPr>
                <w:rFonts w:cstheme="minorHAnsi"/>
              </w:rPr>
            </w:pPr>
            <w:r w:rsidRPr="00E3091E">
              <w:rPr>
                <w:rFonts w:cstheme="minorHAnsi"/>
              </w:rPr>
              <w:t>Les positions appropriées où les mesurages peuvent être effectués incluent les positions suivantes</w:t>
            </w:r>
            <w:r w:rsidR="001A4D75" w:rsidRPr="00E3091E">
              <w:rPr>
                <w:rFonts w:cstheme="minorHAnsi"/>
              </w:rPr>
              <w:t xml:space="preserve"> </w:t>
            </w:r>
            <w:r w:rsidRPr="00E3091E">
              <w:rPr>
                <w:rFonts w:cstheme="minorHAnsi"/>
              </w:rPr>
              <w:t>:</w:t>
            </w:r>
          </w:p>
          <w:p w:rsidR="001A4D75" w:rsidRPr="00E3091E" w:rsidRDefault="00181E36" w:rsidP="00E3091E">
            <w:pPr>
              <w:spacing w:after="0" w:line="240" w:lineRule="auto"/>
              <w:jc w:val="both"/>
              <w:rPr>
                <w:rFonts w:cstheme="minorHAnsi"/>
              </w:rPr>
            </w:pPr>
            <w:r w:rsidRPr="00E3091E">
              <w:rPr>
                <w:rFonts w:cstheme="minorHAnsi"/>
              </w:rPr>
              <w:t>a) poste de travail situé au voisinage de la source soumise à essai, ce qui est le cas de nombreuses machines industrielles et de nombreux appareils domestiques</w:t>
            </w:r>
            <w:r w:rsidR="001A4D75" w:rsidRPr="00E3091E">
              <w:rPr>
                <w:rFonts w:cstheme="minorHAnsi"/>
              </w:rPr>
              <w:t xml:space="preserve"> </w:t>
            </w:r>
            <w:r w:rsidRPr="00E3091E">
              <w:rPr>
                <w:rFonts w:cstheme="minorHAnsi"/>
              </w:rPr>
              <w:t>;</w:t>
            </w:r>
          </w:p>
          <w:p w:rsidR="001A4D75" w:rsidRPr="00E3091E" w:rsidRDefault="00181E36" w:rsidP="00E3091E">
            <w:pPr>
              <w:spacing w:after="0" w:line="240" w:lineRule="auto"/>
              <w:jc w:val="both"/>
              <w:rPr>
                <w:rFonts w:cstheme="minorHAnsi"/>
              </w:rPr>
            </w:pPr>
            <w:r w:rsidRPr="00E3091E">
              <w:rPr>
                <w:rFonts w:cstheme="minorHAnsi"/>
              </w:rPr>
              <w:t>b) poste de travail à l'intérieur d'une cabine faisant partie intégrante de la machine soumise à essai</w:t>
            </w:r>
            <w:r w:rsidR="001A4D75" w:rsidRPr="00E3091E">
              <w:rPr>
                <w:rFonts w:cstheme="minorHAnsi"/>
              </w:rPr>
              <w:t xml:space="preserve"> </w:t>
            </w:r>
            <w:r w:rsidRPr="00E3091E">
              <w:rPr>
                <w:rFonts w:cstheme="minorHAnsi"/>
              </w:rPr>
              <w:t>; ce qui est le cas de nombreux véhicules industriels et engins de terrassement</w:t>
            </w:r>
            <w:r w:rsidR="001A4D75" w:rsidRPr="00E3091E">
              <w:rPr>
                <w:rFonts w:cstheme="minorHAnsi"/>
              </w:rPr>
              <w:t xml:space="preserve"> </w:t>
            </w:r>
            <w:r w:rsidRPr="00E3091E">
              <w:rPr>
                <w:rFonts w:cstheme="minorHAnsi"/>
              </w:rPr>
              <w:t>;</w:t>
            </w:r>
          </w:p>
          <w:p w:rsidR="001A4D75" w:rsidRPr="00E3091E" w:rsidRDefault="00181E36" w:rsidP="00E3091E">
            <w:pPr>
              <w:spacing w:after="0" w:line="240" w:lineRule="auto"/>
              <w:jc w:val="both"/>
              <w:rPr>
                <w:rFonts w:cstheme="minorHAnsi"/>
              </w:rPr>
            </w:pPr>
            <w:r w:rsidRPr="00E3091E">
              <w:rPr>
                <w:rFonts w:cstheme="minorHAnsi"/>
              </w:rPr>
              <w:t>c) poste de travail à l'intérieur d'une enceinte partielle ou totale (ou derrière un écran), fournie par le fabricant en tant que partie intégrante de la machine ou de l'équipement;</w:t>
            </w:r>
          </w:p>
          <w:p w:rsidR="001A4D75" w:rsidRPr="00E3091E" w:rsidRDefault="00181E36" w:rsidP="00E3091E">
            <w:pPr>
              <w:spacing w:after="0" w:line="240" w:lineRule="auto"/>
              <w:jc w:val="both"/>
              <w:rPr>
                <w:rFonts w:cstheme="minorHAnsi"/>
              </w:rPr>
            </w:pPr>
            <w:r w:rsidRPr="00E3091E">
              <w:rPr>
                <w:rFonts w:cstheme="minorHAnsi"/>
              </w:rPr>
              <w:t>d) poste de travail partiellement ou complètement entouré par la source soumise à essai, comme c'est parfois le cas avec certaines machines industrielles de grandes dimensions</w:t>
            </w:r>
            <w:r w:rsidR="001A4D75" w:rsidRPr="00E3091E">
              <w:rPr>
                <w:rFonts w:cstheme="minorHAnsi"/>
              </w:rPr>
              <w:t xml:space="preserve"> </w:t>
            </w:r>
            <w:r w:rsidRPr="00E3091E">
              <w:rPr>
                <w:rFonts w:cstheme="minorHAnsi"/>
              </w:rPr>
              <w:t>;</w:t>
            </w:r>
          </w:p>
          <w:p w:rsidR="001A4D75" w:rsidRPr="00E3091E" w:rsidRDefault="00181E36" w:rsidP="00E3091E">
            <w:pPr>
              <w:spacing w:after="0" w:line="240" w:lineRule="auto"/>
              <w:jc w:val="both"/>
              <w:rPr>
                <w:rFonts w:cstheme="minorHAnsi"/>
              </w:rPr>
            </w:pPr>
            <w:r w:rsidRPr="00E3091E">
              <w:rPr>
                <w:rFonts w:cstheme="minorHAnsi"/>
              </w:rPr>
              <w:t>e) postes d'assistant occupés par des personnes non responsables du fonctionnement de la source soumise à essai, mais qui peuvent se trouver occasionnellement ou en continu à proximité immédiate de la machine</w:t>
            </w:r>
            <w:r w:rsidR="001A4D75" w:rsidRPr="00E3091E">
              <w:rPr>
                <w:rFonts w:cstheme="minorHAnsi"/>
              </w:rPr>
              <w:t xml:space="preserve"> </w:t>
            </w:r>
            <w:r w:rsidRPr="00E3091E">
              <w:rPr>
                <w:rFonts w:cstheme="minorHAnsi"/>
              </w:rPr>
              <w:t>;</w:t>
            </w:r>
          </w:p>
          <w:p w:rsidR="001A4D75" w:rsidRPr="00E3091E" w:rsidRDefault="00181E36" w:rsidP="00E3091E">
            <w:pPr>
              <w:spacing w:after="0" w:line="240" w:lineRule="auto"/>
              <w:jc w:val="both"/>
              <w:rPr>
                <w:rFonts w:cstheme="minorHAnsi"/>
              </w:rPr>
            </w:pPr>
            <w:r w:rsidRPr="00E3091E">
              <w:rPr>
                <w:rFonts w:cstheme="minorHAnsi"/>
              </w:rPr>
              <w:t>f) d'autres positions spécifiées, qui ne sont pas nécessairement des postes de travail ou des postes d'assistant.</w:t>
            </w:r>
          </w:p>
          <w:p w:rsidR="00181E36" w:rsidRPr="00E3091E" w:rsidRDefault="00181E36" w:rsidP="00E3091E">
            <w:pPr>
              <w:spacing w:after="0" w:line="240" w:lineRule="auto"/>
              <w:jc w:val="both"/>
              <w:rPr>
                <w:rFonts w:cstheme="minorHAnsi"/>
              </w:rPr>
            </w:pPr>
            <w:r w:rsidRPr="00E3091E">
              <w:rPr>
                <w:rFonts w:cstheme="minorHAnsi"/>
              </w:rPr>
              <w:t>Le poste de travail peut également se situer sur un trajet spécifié le long duquel un opérateur se déplace (voir 10.4).</w:t>
            </w:r>
          </w:p>
        </w:tc>
      </w:tr>
      <w:tr w:rsidR="00181E36" w:rsidRPr="0045784D" w:rsidTr="008D5BBF">
        <w:trPr>
          <w:trHeight w:val="330"/>
        </w:trPr>
        <w:tc>
          <w:tcPr>
            <w:tcW w:w="1844" w:type="dxa"/>
            <w:tcBorders>
              <w:top w:val="single" w:sz="18" w:space="0" w:color="auto"/>
              <w:left w:val="single" w:sz="18" w:space="0" w:color="auto"/>
              <w:bottom w:val="single" w:sz="18" w:space="0" w:color="auto"/>
              <w:right w:val="single" w:sz="4" w:space="0" w:color="auto"/>
            </w:tcBorders>
            <w:shd w:val="clear" w:color="auto" w:fill="B0CA7C"/>
            <w:vAlign w:val="center"/>
          </w:tcPr>
          <w:p w:rsidR="00181E36" w:rsidRPr="001A4D75" w:rsidRDefault="00181E36" w:rsidP="001A4D75">
            <w:pPr>
              <w:spacing w:after="0" w:line="240" w:lineRule="auto"/>
              <w:jc w:val="center"/>
              <w:rPr>
                <w:rFonts w:cstheme="minorHAnsi"/>
                <w:b/>
                <w:bCs/>
                <w:sz w:val="24"/>
                <w:szCs w:val="24"/>
              </w:rPr>
            </w:pPr>
            <w:r w:rsidRPr="001A4D75">
              <w:rPr>
                <w:rFonts w:cstheme="minorHAnsi"/>
                <w:b/>
                <w:bCs/>
                <w:sz w:val="24"/>
                <w:szCs w:val="24"/>
              </w:rPr>
              <w:lastRenderedPageBreak/>
              <w:t xml:space="preserve">Code </w:t>
            </w:r>
          </w:p>
        </w:tc>
        <w:tc>
          <w:tcPr>
            <w:tcW w:w="7796" w:type="dxa"/>
            <w:tcBorders>
              <w:top w:val="single" w:sz="18" w:space="0" w:color="auto"/>
              <w:left w:val="single" w:sz="4" w:space="0" w:color="auto"/>
              <w:bottom w:val="single" w:sz="18" w:space="0" w:color="auto"/>
              <w:right w:val="single" w:sz="18" w:space="0" w:color="auto"/>
            </w:tcBorders>
            <w:shd w:val="clear" w:color="auto" w:fill="B0CA7C"/>
            <w:noWrap/>
            <w:vAlign w:val="center"/>
          </w:tcPr>
          <w:p w:rsidR="00181E36" w:rsidRPr="001A4D75" w:rsidRDefault="00181E36" w:rsidP="001A4D75">
            <w:pPr>
              <w:spacing w:after="0" w:line="240" w:lineRule="auto"/>
              <w:jc w:val="center"/>
              <w:rPr>
                <w:rFonts w:cstheme="minorHAnsi"/>
                <w:b/>
                <w:bCs/>
                <w:sz w:val="24"/>
                <w:szCs w:val="24"/>
              </w:rPr>
            </w:pPr>
            <w:r w:rsidRPr="001A4D75">
              <w:rPr>
                <w:rFonts w:cstheme="minorHAnsi"/>
                <w:b/>
                <w:bCs/>
                <w:sz w:val="24"/>
                <w:szCs w:val="24"/>
              </w:rPr>
              <w:t>NM ISO 11203</w:t>
            </w:r>
          </w:p>
        </w:tc>
      </w:tr>
      <w:tr w:rsidR="00181E36" w:rsidRPr="0045784D" w:rsidTr="001A4D75">
        <w:trPr>
          <w:trHeight w:val="330"/>
        </w:trPr>
        <w:tc>
          <w:tcPr>
            <w:tcW w:w="1844" w:type="dxa"/>
            <w:tcBorders>
              <w:top w:val="single" w:sz="18" w:space="0" w:color="auto"/>
              <w:left w:val="single" w:sz="18" w:space="0" w:color="auto"/>
              <w:bottom w:val="single" w:sz="18" w:space="0" w:color="auto"/>
              <w:right w:val="single" w:sz="4" w:space="0" w:color="auto"/>
            </w:tcBorders>
            <w:shd w:val="clear" w:color="auto" w:fill="FFFF99"/>
            <w:vAlign w:val="center"/>
          </w:tcPr>
          <w:p w:rsidR="00181E36" w:rsidRPr="001A4D75" w:rsidRDefault="00181E36" w:rsidP="001A4D75">
            <w:pPr>
              <w:spacing w:after="0" w:line="240" w:lineRule="auto"/>
              <w:jc w:val="center"/>
              <w:rPr>
                <w:rFonts w:cstheme="minorHAnsi"/>
                <w:b/>
                <w:bCs/>
                <w:sz w:val="24"/>
                <w:szCs w:val="24"/>
              </w:rPr>
            </w:pPr>
            <w:r w:rsidRPr="001A4D75">
              <w:rPr>
                <w:rFonts w:cstheme="minorHAnsi"/>
                <w:b/>
                <w:bCs/>
                <w:sz w:val="24"/>
                <w:szCs w:val="24"/>
              </w:rPr>
              <w:t xml:space="preserve">Equivalence </w:t>
            </w:r>
          </w:p>
        </w:tc>
        <w:tc>
          <w:tcPr>
            <w:tcW w:w="7796" w:type="dxa"/>
            <w:tcBorders>
              <w:top w:val="single" w:sz="18" w:space="0" w:color="auto"/>
              <w:left w:val="single" w:sz="4" w:space="0" w:color="auto"/>
              <w:bottom w:val="single" w:sz="18" w:space="0" w:color="auto"/>
              <w:right w:val="single" w:sz="18" w:space="0" w:color="auto"/>
            </w:tcBorders>
            <w:shd w:val="clear" w:color="auto" w:fill="FFFF99"/>
            <w:noWrap/>
            <w:vAlign w:val="center"/>
          </w:tcPr>
          <w:p w:rsidR="00181E36" w:rsidRPr="001A4D75" w:rsidRDefault="00181E36" w:rsidP="001A4D75">
            <w:pPr>
              <w:spacing w:after="0" w:line="240" w:lineRule="auto"/>
              <w:jc w:val="center"/>
              <w:rPr>
                <w:rFonts w:cstheme="minorHAnsi"/>
                <w:b/>
                <w:bCs/>
                <w:sz w:val="24"/>
                <w:szCs w:val="24"/>
              </w:rPr>
            </w:pPr>
            <w:r w:rsidRPr="001A4D75">
              <w:rPr>
                <w:rFonts w:cstheme="minorHAnsi"/>
                <w:b/>
                <w:bCs/>
                <w:sz w:val="24"/>
                <w:szCs w:val="24"/>
              </w:rPr>
              <w:t>ISO 11203</w:t>
            </w:r>
          </w:p>
        </w:tc>
      </w:tr>
      <w:tr w:rsidR="00181E36" w:rsidRPr="0045784D" w:rsidTr="001A4D75">
        <w:trPr>
          <w:trHeight w:val="330"/>
        </w:trPr>
        <w:tc>
          <w:tcPr>
            <w:tcW w:w="1844" w:type="dxa"/>
            <w:tcBorders>
              <w:top w:val="single" w:sz="18" w:space="0" w:color="auto"/>
              <w:left w:val="single" w:sz="18" w:space="0" w:color="auto"/>
              <w:bottom w:val="single" w:sz="18" w:space="0" w:color="auto"/>
              <w:right w:val="single" w:sz="4" w:space="0" w:color="auto"/>
            </w:tcBorders>
            <w:shd w:val="clear" w:color="auto" w:fill="B8CCE4" w:themeFill="accent1" w:themeFillTint="66"/>
            <w:vAlign w:val="center"/>
          </w:tcPr>
          <w:p w:rsidR="00181E36" w:rsidRPr="001A4D75" w:rsidRDefault="00181E36" w:rsidP="001A4D75">
            <w:pPr>
              <w:spacing w:after="0" w:line="240" w:lineRule="auto"/>
              <w:jc w:val="center"/>
              <w:rPr>
                <w:rFonts w:cstheme="minorHAnsi"/>
                <w:b/>
                <w:bCs/>
                <w:sz w:val="24"/>
                <w:szCs w:val="24"/>
              </w:rPr>
            </w:pPr>
            <w:r w:rsidRPr="001A4D75">
              <w:rPr>
                <w:rFonts w:cstheme="minorHAnsi"/>
                <w:b/>
                <w:bCs/>
                <w:sz w:val="24"/>
                <w:szCs w:val="24"/>
              </w:rPr>
              <w:t xml:space="preserve">Intitulé </w:t>
            </w:r>
          </w:p>
        </w:tc>
        <w:tc>
          <w:tcPr>
            <w:tcW w:w="7796" w:type="dxa"/>
            <w:tcBorders>
              <w:top w:val="single" w:sz="18" w:space="0" w:color="auto"/>
              <w:left w:val="single" w:sz="4" w:space="0" w:color="auto"/>
              <w:bottom w:val="single" w:sz="18" w:space="0" w:color="auto"/>
              <w:right w:val="single" w:sz="18" w:space="0" w:color="auto"/>
            </w:tcBorders>
            <w:shd w:val="clear" w:color="auto" w:fill="auto"/>
            <w:noWrap/>
          </w:tcPr>
          <w:p w:rsidR="00181E36" w:rsidRPr="00E3091E" w:rsidRDefault="00181E36" w:rsidP="00E3091E">
            <w:pPr>
              <w:spacing w:after="0" w:line="240" w:lineRule="auto"/>
              <w:jc w:val="both"/>
              <w:rPr>
                <w:rFonts w:cstheme="minorHAnsi"/>
              </w:rPr>
            </w:pPr>
            <w:r w:rsidRPr="00E3091E">
              <w:rPr>
                <w:rFonts w:cstheme="minorHAnsi"/>
              </w:rPr>
              <w:t xml:space="preserve">Acoustique - Bruit émis par les machines et équipements - Détermination des niveaux de pression acoustique d'émission au poste de travail et en d'autres positions spécifiées à partir du niveau de puissance acoustique ;(IC 19.0.036) </w:t>
            </w:r>
          </w:p>
        </w:tc>
      </w:tr>
      <w:tr w:rsidR="00181E36" w:rsidRPr="0045784D" w:rsidTr="001A4D75">
        <w:trPr>
          <w:trHeight w:val="330"/>
        </w:trPr>
        <w:tc>
          <w:tcPr>
            <w:tcW w:w="1844" w:type="dxa"/>
            <w:tcBorders>
              <w:top w:val="single" w:sz="18" w:space="0" w:color="auto"/>
              <w:left w:val="single" w:sz="18" w:space="0" w:color="auto"/>
              <w:bottom w:val="single" w:sz="18" w:space="0" w:color="auto"/>
              <w:right w:val="single" w:sz="4" w:space="0" w:color="auto"/>
            </w:tcBorders>
            <w:shd w:val="clear" w:color="auto" w:fill="D9D9D9" w:themeFill="background1" w:themeFillShade="D9"/>
            <w:vAlign w:val="center"/>
          </w:tcPr>
          <w:p w:rsidR="00181E36" w:rsidRPr="001A4D75" w:rsidRDefault="00181E36" w:rsidP="001A4D75">
            <w:pPr>
              <w:spacing w:after="0" w:line="240" w:lineRule="auto"/>
              <w:jc w:val="center"/>
              <w:rPr>
                <w:rFonts w:cstheme="minorHAnsi"/>
                <w:b/>
                <w:bCs/>
                <w:sz w:val="24"/>
                <w:szCs w:val="24"/>
              </w:rPr>
            </w:pPr>
            <w:r w:rsidRPr="001A4D75">
              <w:rPr>
                <w:rFonts w:cstheme="minorHAnsi"/>
                <w:b/>
                <w:bCs/>
                <w:sz w:val="24"/>
                <w:szCs w:val="24"/>
              </w:rPr>
              <w:t xml:space="preserve">Domaine d’application </w:t>
            </w:r>
          </w:p>
        </w:tc>
        <w:tc>
          <w:tcPr>
            <w:tcW w:w="7796" w:type="dxa"/>
            <w:tcBorders>
              <w:top w:val="single" w:sz="18" w:space="0" w:color="auto"/>
              <w:left w:val="single" w:sz="4" w:space="0" w:color="auto"/>
              <w:bottom w:val="single" w:sz="18" w:space="0" w:color="auto"/>
              <w:right w:val="single" w:sz="18" w:space="0" w:color="auto"/>
            </w:tcBorders>
            <w:shd w:val="clear" w:color="auto" w:fill="auto"/>
            <w:noWrap/>
          </w:tcPr>
          <w:p w:rsidR="001A4D75" w:rsidRPr="00E3091E" w:rsidRDefault="00181E36" w:rsidP="00E3091E">
            <w:pPr>
              <w:spacing w:after="0" w:line="240" w:lineRule="auto"/>
              <w:jc w:val="both"/>
              <w:rPr>
                <w:rFonts w:cstheme="minorHAnsi"/>
              </w:rPr>
            </w:pPr>
            <w:r w:rsidRPr="00E3091E">
              <w:rPr>
                <w:rFonts w:cstheme="minorHAnsi"/>
              </w:rPr>
              <w:t>La présente Norme internationale prescrit deux méthodes de détermination, par calcul, des niveaux de pression acoustique d’émission des machines et équipements, au poste de travail et en d’autres positions spécifiées situées au voisinage de ce dernier, à partir du niveau de puissance acoustique. Le principal objectif de cette détermination est de permettre</w:t>
            </w:r>
            <w:r w:rsidR="001A4D75" w:rsidRPr="00E3091E">
              <w:rPr>
                <w:rFonts w:cstheme="minorHAnsi"/>
              </w:rPr>
              <w:t xml:space="preserve"> </w:t>
            </w:r>
            <w:r w:rsidRPr="00E3091E">
              <w:rPr>
                <w:rFonts w:cstheme="minorHAnsi"/>
              </w:rPr>
              <w:t>la comparaison des performances de différentes unités d’une famille donnée de machines ou d’équipements, dans des conditions d’environnement définies et dans des conditions de montage et de fonctionnement normalisées. Les données obtenues peuvent également être utilisées pour la déclaration et la vérification des niveaux de pression acoustique d’émission comme spécifié dans I’ISO 4871.</w:t>
            </w:r>
          </w:p>
          <w:p w:rsidR="00F067D1" w:rsidRPr="00E3091E" w:rsidRDefault="00181E36" w:rsidP="00E3091E">
            <w:pPr>
              <w:spacing w:after="0" w:line="240" w:lineRule="auto"/>
              <w:jc w:val="both"/>
              <w:rPr>
                <w:rFonts w:cstheme="minorHAnsi"/>
              </w:rPr>
            </w:pPr>
            <w:r w:rsidRPr="00E3091E">
              <w:rPr>
                <w:rFonts w:cstheme="minorHAnsi"/>
              </w:rPr>
              <w:t>Les niveaux de pression acoustique d’émission sont déterminés avec les mêmes pondérations fréquentielle et temporelle ou dans les mêmes bandes de fréquence que celles pour lesquelles on a déterminé les niveaux de puissance acoustique.</w:t>
            </w:r>
          </w:p>
          <w:p w:rsidR="001A4D75" w:rsidRPr="00E3091E" w:rsidRDefault="00181E36" w:rsidP="00E3091E">
            <w:pPr>
              <w:spacing w:after="0" w:line="240" w:lineRule="auto"/>
              <w:jc w:val="both"/>
              <w:rPr>
                <w:rFonts w:cstheme="minorHAnsi"/>
                <w:i/>
                <w:iCs/>
                <w:sz w:val="20"/>
                <w:szCs w:val="20"/>
              </w:rPr>
            </w:pPr>
            <w:r w:rsidRPr="00E3091E">
              <w:rPr>
                <w:rFonts w:cstheme="minorHAnsi"/>
                <w:b/>
                <w:bCs/>
                <w:i/>
                <w:iCs/>
                <w:sz w:val="20"/>
                <w:szCs w:val="20"/>
              </w:rPr>
              <w:t>NOTES</w:t>
            </w:r>
            <w:r w:rsidR="001A4D75" w:rsidRPr="00E3091E">
              <w:rPr>
                <w:rFonts w:cstheme="minorHAnsi"/>
                <w:b/>
                <w:bCs/>
                <w:i/>
                <w:iCs/>
                <w:sz w:val="20"/>
                <w:szCs w:val="20"/>
              </w:rPr>
              <w:t> :</w:t>
            </w:r>
            <w:r w:rsidRPr="00E3091E">
              <w:rPr>
                <w:rFonts w:cstheme="minorHAnsi"/>
              </w:rPr>
              <w:br/>
            </w:r>
            <w:r w:rsidRPr="00E3091E">
              <w:rPr>
                <w:rFonts w:cstheme="minorHAnsi"/>
                <w:b/>
                <w:bCs/>
                <w:i/>
                <w:iCs/>
                <w:sz w:val="20"/>
                <w:szCs w:val="20"/>
              </w:rPr>
              <w:t>1</w:t>
            </w:r>
            <w:r w:rsidRPr="00E3091E">
              <w:rPr>
                <w:rFonts w:cstheme="minorHAnsi"/>
                <w:i/>
                <w:iCs/>
                <w:sz w:val="20"/>
                <w:szCs w:val="20"/>
              </w:rPr>
              <w:t xml:space="preserve"> Les contenus de la présente Norme internationale et des autres Normes internationales de la même série sont résumés au tableau 1 de I’ISO 11200:1995.</w:t>
            </w:r>
          </w:p>
          <w:p w:rsidR="001A4D75" w:rsidRPr="00E3091E" w:rsidRDefault="00181E36" w:rsidP="00E3091E">
            <w:pPr>
              <w:spacing w:after="0" w:line="240" w:lineRule="auto"/>
              <w:jc w:val="both"/>
              <w:rPr>
                <w:rFonts w:cstheme="minorHAnsi"/>
                <w:i/>
                <w:iCs/>
                <w:sz w:val="20"/>
                <w:szCs w:val="20"/>
              </w:rPr>
            </w:pPr>
            <w:r w:rsidRPr="00E3091E">
              <w:rPr>
                <w:rFonts w:cstheme="minorHAnsi"/>
                <w:b/>
                <w:bCs/>
                <w:i/>
                <w:iCs/>
                <w:sz w:val="20"/>
                <w:szCs w:val="20"/>
              </w:rPr>
              <w:t>2</w:t>
            </w:r>
            <w:r w:rsidRPr="00E3091E">
              <w:rPr>
                <w:rFonts w:cstheme="minorHAnsi"/>
                <w:i/>
                <w:iCs/>
                <w:sz w:val="20"/>
                <w:szCs w:val="20"/>
              </w:rPr>
              <w:t xml:space="preserve"> Les niveaux de pression acoustique d’émission déterminés a l’aide de la méthode faisant l’objet de la présente Norme internationale, relevés à toute position donnée associée</w:t>
            </w:r>
            <w:r w:rsidR="001A4D75" w:rsidRPr="00E3091E">
              <w:rPr>
                <w:rFonts w:cstheme="minorHAnsi"/>
                <w:i/>
                <w:iCs/>
                <w:sz w:val="20"/>
                <w:szCs w:val="20"/>
              </w:rPr>
              <w:t xml:space="preserve"> </w:t>
            </w:r>
            <w:r w:rsidRPr="00E3091E">
              <w:rPr>
                <w:rFonts w:cstheme="minorHAnsi"/>
                <w:i/>
                <w:iCs/>
                <w:sz w:val="20"/>
                <w:szCs w:val="20"/>
              </w:rPr>
              <w:t>à une machine particulière et pour des conditions de montage et de fonctionnement données, seront en général inférieurs aux niveaux de pression acoustique directement</w:t>
            </w:r>
            <w:r w:rsidR="001A4D75" w:rsidRPr="00E3091E">
              <w:rPr>
                <w:rFonts w:cstheme="minorHAnsi"/>
                <w:i/>
                <w:iCs/>
                <w:sz w:val="20"/>
                <w:szCs w:val="20"/>
              </w:rPr>
              <w:t xml:space="preserve"> </w:t>
            </w:r>
            <w:r w:rsidRPr="00E3091E">
              <w:rPr>
                <w:rFonts w:cstheme="minorHAnsi"/>
                <w:i/>
                <w:iCs/>
                <w:sz w:val="20"/>
                <w:szCs w:val="20"/>
              </w:rPr>
              <w:t>mesurés sur la même machine dans la salle de travail où elle est habituellement utilisée. Ceci est dû à la réverbération et aux contributions des autres machines. Une méthode</w:t>
            </w:r>
            <w:r w:rsidR="001A4D75" w:rsidRPr="00E3091E">
              <w:rPr>
                <w:rFonts w:cstheme="minorHAnsi"/>
                <w:i/>
                <w:iCs/>
                <w:sz w:val="20"/>
                <w:szCs w:val="20"/>
              </w:rPr>
              <w:t xml:space="preserve"> </w:t>
            </w:r>
            <w:r w:rsidRPr="00E3091E">
              <w:rPr>
                <w:rFonts w:cstheme="minorHAnsi"/>
                <w:i/>
                <w:iCs/>
                <w:sz w:val="20"/>
                <w:szCs w:val="20"/>
              </w:rPr>
              <w:t xml:space="preserve">de calcul des niveaux de pression acoustique au voisinage d’une machine utilisée seule dans une salle de travail est donnée dans </w:t>
            </w:r>
            <w:r w:rsidRPr="00E3091E">
              <w:rPr>
                <w:rFonts w:cstheme="minorHAnsi"/>
                <w:i/>
                <w:iCs/>
                <w:sz w:val="20"/>
                <w:szCs w:val="20"/>
              </w:rPr>
              <w:lastRenderedPageBreak/>
              <w:t>I’ISO/TR 11690-3. Les différences communément observées sont de 1 dB à 5 dB mais, dans des cas extrêmes, la différence peut même être supérieure.</w:t>
            </w:r>
          </w:p>
          <w:p w:rsidR="001A4D75" w:rsidRPr="00E3091E" w:rsidRDefault="00181E36" w:rsidP="00E3091E">
            <w:pPr>
              <w:spacing w:after="0" w:line="240" w:lineRule="auto"/>
              <w:jc w:val="both"/>
              <w:rPr>
                <w:rFonts w:cstheme="minorHAnsi"/>
              </w:rPr>
            </w:pPr>
            <w:r w:rsidRPr="00E3091E">
              <w:rPr>
                <w:rFonts w:cstheme="minorHAnsi"/>
              </w:rPr>
              <w:t xml:space="preserve">1.2 Types de bruit et de sources de bruit                                                                              </w:t>
            </w:r>
            <w:r w:rsidR="001A4D75" w:rsidRPr="00E3091E">
              <w:rPr>
                <w:rFonts w:cstheme="minorHAnsi"/>
              </w:rPr>
              <w:t xml:space="preserve"> </w:t>
            </w:r>
          </w:p>
          <w:p w:rsidR="00F067D1" w:rsidRPr="00E3091E" w:rsidRDefault="00181E36" w:rsidP="00E3091E">
            <w:pPr>
              <w:spacing w:after="0" w:line="240" w:lineRule="auto"/>
              <w:jc w:val="both"/>
              <w:rPr>
                <w:rFonts w:cstheme="minorHAnsi"/>
              </w:rPr>
            </w:pPr>
            <w:r w:rsidRPr="00E3091E">
              <w:rPr>
                <w:rFonts w:cstheme="minorHAnsi"/>
              </w:rPr>
              <w:t>En principe, la présente Norme internationale s’applique aux machines mobiles ou fixes, utilisées en salle ou en plein air, et notamment aux machines produites en série. Les méthodes indiquées dans la présente Norme internationale ne s’appliquent pas aux sources sonores fortement directives utilisées en plein air.</w:t>
            </w:r>
          </w:p>
          <w:p w:rsidR="00F067D1" w:rsidRPr="00E3091E" w:rsidRDefault="00181E36" w:rsidP="00E3091E">
            <w:pPr>
              <w:spacing w:after="0" w:line="240" w:lineRule="auto"/>
              <w:jc w:val="both"/>
              <w:rPr>
                <w:rFonts w:cstheme="minorHAnsi"/>
              </w:rPr>
            </w:pPr>
            <w:r w:rsidRPr="00E3091E">
              <w:rPr>
                <w:rFonts w:cstheme="minorHAnsi"/>
              </w:rPr>
              <w:t>La présente Norme internationale s’applique en particulier aux machines dont la plus grande dimension est inférieure ou égale à 1 m. Néanmoins, dans certains cas, elle s’applique également à des machines de plus grandes dimensions (voir 6.2.3).</w:t>
            </w:r>
          </w:p>
          <w:p w:rsidR="00F067D1" w:rsidRPr="00E3091E" w:rsidRDefault="00181E36" w:rsidP="00E3091E">
            <w:pPr>
              <w:spacing w:after="0" w:line="240" w:lineRule="auto"/>
              <w:jc w:val="both"/>
              <w:rPr>
                <w:rFonts w:cstheme="minorHAnsi"/>
              </w:rPr>
            </w:pPr>
            <w:r w:rsidRPr="00E3091E">
              <w:rPr>
                <w:rFonts w:cstheme="minorHAnsi"/>
              </w:rPr>
              <w:t>La présente Norme internationale s’applique à tous les types de bruit définis dans I’ISO 2204 et dans I’ISO 12001 pour lesquels des méthodes de détermination du niveau de puissance acoustique existent.</w:t>
            </w:r>
          </w:p>
          <w:p w:rsidR="00F067D1" w:rsidRPr="00E3091E" w:rsidRDefault="00181E36" w:rsidP="00E3091E">
            <w:pPr>
              <w:spacing w:after="0" w:line="240" w:lineRule="auto"/>
              <w:jc w:val="both"/>
              <w:rPr>
                <w:rFonts w:cstheme="minorHAnsi"/>
              </w:rPr>
            </w:pPr>
            <w:r w:rsidRPr="00E3091E">
              <w:rPr>
                <w:rFonts w:cstheme="minorHAnsi"/>
              </w:rPr>
              <w:t>1.3 Environnement d’essai</w:t>
            </w:r>
          </w:p>
          <w:p w:rsidR="00F067D1" w:rsidRPr="00E3091E" w:rsidRDefault="00181E36" w:rsidP="00E3091E">
            <w:pPr>
              <w:spacing w:after="0" w:line="240" w:lineRule="auto"/>
              <w:jc w:val="both"/>
              <w:rPr>
                <w:rFonts w:cstheme="minorHAnsi"/>
              </w:rPr>
            </w:pPr>
            <w:r w:rsidRPr="00E3091E">
              <w:rPr>
                <w:rFonts w:cstheme="minorHAnsi"/>
              </w:rPr>
              <w:t>L’environnement d’essai à utiliser est celui prescrit pour la détermination du niveau de puissance acoustique conformément à l’une des Normes internationales de la série ISO 3740 ou à I’ISO 9614.  1.4 Positions spécifiées La présente Norme internationale s’applique aux postes de travail et aux autres positions spécifiées situées au voisinage de la source en essai, auxquels les niveaux de pression acoustique d’émission sont à déterminer. Elle ne s’applique ni aux postes de travail ni aux autres positions spécifiées situés à l’intérieur d’une cabine ou derrière un écran.</w:t>
            </w:r>
          </w:p>
          <w:p w:rsidR="00F067D1" w:rsidRPr="00AE4A43" w:rsidRDefault="00181E36" w:rsidP="00E3091E">
            <w:pPr>
              <w:spacing w:after="0" w:line="240" w:lineRule="auto"/>
              <w:jc w:val="both"/>
              <w:rPr>
                <w:rFonts w:cstheme="minorHAnsi"/>
                <w:i/>
                <w:iCs/>
                <w:sz w:val="20"/>
                <w:szCs w:val="20"/>
              </w:rPr>
            </w:pPr>
            <w:r w:rsidRPr="00E3091E">
              <w:rPr>
                <w:rFonts w:cstheme="minorHAnsi"/>
              </w:rPr>
              <w:t>Le poste de travail peut être un point unique correspondant à la position spécifiée d’un opérateur debout ou assis, mais il peut également s’agir d’un trajet spécifié.</w:t>
            </w:r>
            <w:r w:rsidRPr="00E3091E">
              <w:rPr>
                <w:rFonts w:cstheme="minorHAnsi"/>
              </w:rPr>
              <w:br/>
            </w:r>
            <w:r w:rsidRPr="00AE4A43">
              <w:rPr>
                <w:rFonts w:cstheme="minorHAnsi"/>
                <w:b/>
                <w:bCs/>
                <w:i/>
                <w:iCs/>
                <w:sz w:val="20"/>
                <w:szCs w:val="20"/>
              </w:rPr>
              <w:t>NOTE 3</w:t>
            </w:r>
            <w:r w:rsidR="00F067D1" w:rsidRPr="00AE4A43">
              <w:rPr>
                <w:rFonts w:cstheme="minorHAnsi"/>
                <w:i/>
                <w:iCs/>
                <w:sz w:val="20"/>
                <w:szCs w:val="20"/>
              </w:rPr>
              <w:t xml:space="preserve"> : </w:t>
            </w:r>
            <w:r w:rsidRPr="00AE4A43">
              <w:rPr>
                <w:rFonts w:cstheme="minorHAnsi"/>
                <w:i/>
                <w:iCs/>
                <w:sz w:val="20"/>
                <w:szCs w:val="20"/>
              </w:rPr>
              <w:t>Des dispositions spécifiques plus détaillées, relatives aux opérateurs assis, debouts, immobiles ou en mouvement, et des informations afférentes aux assistants, figurent dans I’ISO Il 201.</w:t>
            </w:r>
          </w:p>
          <w:p w:rsidR="00F067D1" w:rsidRPr="00E3091E" w:rsidRDefault="00181E36" w:rsidP="00E3091E">
            <w:pPr>
              <w:spacing w:after="0" w:line="240" w:lineRule="auto"/>
              <w:jc w:val="both"/>
              <w:rPr>
                <w:rFonts w:cstheme="minorHAnsi"/>
              </w:rPr>
            </w:pPr>
            <w:r w:rsidRPr="00E3091E">
              <w:rPr>
                <w:rFonts w:cstheme="minorHAnsi"/>
              </w:rPr>
              <w:t>1.5 Domaine d’application spécifique de chaque méthode</w:t>
            </w:r>
          </w:p>
          <w:p w:rsidR="00181E36" w:rsidRPr="00E3091E" w:rsidRDefault="00181E36" w:rsidP="00E3091E">
            <w:pPr>
              <w:spacing w:after="0" w:line="240" w:lineRule="auto"/>
              <w:jc w:val="both"/>
              <w:rPr>
                <w:rFonts w:cstheme="minorHAnsi"/>
              </w:rPr>
            </w:pPr>
            <w:r w:rsidRPr="00E3091E">
              <w:rPr>
                <w:rFonts w:cstheme="minorHAnsi"/>
              </w:rPr>
              <w:t>Des informations spécifiques relatives au domaine d’application des deux méthodes décrites dans la présente Norme internationale sont données en 6.2.2 et 6.2.3.</w:t>
            </w:r>
          </w:p>
        </w:tc>
      </w:tr>
      <w:tr w:rsidR="00181E36" w:rsidRPr="0045784D" w:rsidTr="008D5BBF">
        <w:trPr>
          <w:trHeight w:val="330"/>
        </w:trPr>
        <w:tc>
          <w:tcPr>
            <w:tcW w:w="1844" w:type="dxa"/>
            <w:tcBorders>
              <w:top w:val="single" w:sz="18" w:space="0" w:color="auto"/>
              <w:left w:val="single" w:sz="18" w:space="0" w:color="auto"/>
              <w:bottom w:val="single" w:sz="18" w:space="0" w:color="auto"/>
              <w:right w:val="single" w:sz="4" w:space="0" w:color="auto"/>
            </w:tcBorders>
            <w:shd w:val="clear" w:color="auto" w:fill="B0CA7C"/>
            <w:vAlign w:val="center"/>
          </w:tcPr>
          <w:p w:rsidR="00181E36" w:rsidRPr="00B93FF1" w:rsidRDefault="00B93FF1" w:rsidP="00B93FF1">
            <w:pPr>
              <w:spacing w:after="0" w:line="240" w:lineRule="auto"/>
              <w:jc w:val="center"/>
              <w:rPr>
                <w:rFonts w:cstheme="minorHAnsi"/>
                <w:b/>
                <w:bCs/>
                <w:sz w:val="24"/>
                <w:szCs w:val="24"/>
              </w:rPr>
            </w:pPr>
            <w:r>
              <w:rPr>
                <w:rFonts w:cstheme="minorHAnsi"/>
                <w:b/>
                <w:bCs/>
                <w:sz w:val="24"/>
                <w:szCs w:val="24"/>
              </w:rPr>
              <w:lastRenderedPageBreak/>
              <w:t>Code</w:t>
            </w:r>
            <w:r w:rsidR="00181E36" w:rsidRPr="00B93FF1">
              <w:rPr>
                <w:rFonts w:cstheme="minorHAnsi"/>
                <w:b/>
                <w:bCs/>
                <w:sz w:val="24"/>
                <w:szCs w:val="24"/>
              </w:rPr>
              <w:t xml:space="preserve"> </w:t>
            </w:r>
          </w:p>
        </w:tc>
        <w:tc>
          <w:tcPr>
            <w:tcW w:w="7796" w:type="dxa"/>
            <w:tcBorders>
              <w:top w:val="single" w:sz="18" w:space="0" w:color="auto"/>
              <w:left w:val="single" w:sz="4" w:space="0" w:color="auto"/>
              <w:bottom w:val="single" w:sz="18" w:space="0" w:color="auto"/>
              <w:right w:val="single" w:sz="18" w:space="0" w:color="auto"/>
            </w:tcBorders>
            <w:shd w:val="clear" w:color="auto" w:fill="B0CA7C"/>
            <w:noWrap/>
            <w:vAlign w:val="center"/>
          </w:tcPr>
          <w:p w:rsidR="00181E36" w:rsidRPr="00B93FF1" w:rsidRDefault="00181E36" w:rsidP="00B93FF1">
            <w:pPr>
              <w:spacing w:after="0" w:line="240" w:lineRule="auto"/>
              <w:jc w:val="center"/>
              <w:rPr>
                <w:rFonts w:cstheme="minorHAnsi"/>
                <w:b/>
                <w:bCs/>
                <w:sz w:val="24"/>
                <w:szCs w:val="24"/>
              </w:rPr>
            </w:pPr>
            <w:r w:rsidRPr="00B93FF1">
              <w:rPr>
                <w:rFonts w:cstheme="minorHAnsi"/>
                <w:b/>
                <w:bCs/>
                <w:sz w:val="24"/>
                <w:szCs w:val="24"/>
              </w:rPr>
              <w:t>NM ISO 11204</w:t>
            </w:r>
          </w:p>
        </w:tc>
      </w:tr>
      <w:tr w:rsidR="00181E36" w:rsidRPr="0045784D" w:rsidTr="00B93FF1">
        <w:trPr>
          <w:trHeight w:val="330"/>
        </w:trPr>
        <w:tc>
          <w:tcPr>
            <w:tcW w:w="1844" w:type="dxa"/>
            <w:tcBorders>
              <w:top w:val="single" w:sz="18" w:space="0" w:color="auto"/>
              <w:left w:val="single" w:sz="18" w:space="0" w:color="auto"/>
              <w:bottom w:val="single" w:sz="18" w:space="0" w:color="auto"/>
              <w:right w:val="single" w:sz="4" w:space="0" w:color="auto"/>
            </w:tcBorders>
            <w:shd w:val="clear" w:color="auto" w:fill="FFFF99"/>
            <w:vAlign w:val="center"/>
          </w:tcPr>
          <w:p w:rsidR="00181E36" w:rsidRPr="00B93FF1" w:rsidRDefault="00181E36" w:rsidP="00B93FF1">
            <w:pPr>
              <w:spacing w:after="0" w:line="240" w:lineRule="auto"/>
              <w:jc w:val="center"/>
              <w:rPr>
                <w:rFonts w:cstheme="minorHAnsi"/>
                <w:b/>
                <w:bCs/>
                <w:sz w:val="24"/>
                <w:szCs w:val="24"/>
              </w:rPr>
            </w:pPr>
            <w:r w:rsidRPr="00B93FF1">
              <w:rPr>
                <w:rFonts w:cstheme="minorHAnsi"/>
                <w:b/>
                <w:bCs/>
                <w:sz w:val="24"/>
                <w:szCs w:val="24"/>
              </w:rPr>
              <w:t xml:space="preserve">Equivalence </w:t>
            </w:r>
          </w:p>
        </w:tc>
        <w:tc>
          <w:tcPr>
            <w:tcW w:w="7796" w:type="dxa"/>
            <w:tcBorders>
              <w:top w:val="single" w:sz="18" w:space="0" w:color="auto"/>
              <w:left w:val="single" w:sz="4" w:space="0" w:color="auto"/>
              <w:bottom w:val="single" w:sz="18" w:space="0" w:color="auto"/>
              <w:right w:val="single" w:sz="18" w:space="0" w:color="auto"/>
            </w:tcBorders>
            <w:shd w:val="clear" w:color="auto" w:fill="FFFF99"/>
            <w:noWrap/>
            <w:vAlign w:val="center"/>
          </w:tcPr>
          <w:p w:rsidR="00181E36" w:rsidRPr="00B93FF1" w:rsidRDefault="00181E36" w:rsidP="00B93FF1">
            <w:pPr>
              <w:spacing w:after="0" w:line="240" w:lineRule="auto"/>
              <w:jc w:val="center"/>
              <w:rPr>
                <w:rFonts w:cstheme="minorHAnsi"/>
                <w:b/>
                <w:bCs/>
                <w:sz w:val="24"/>
                <w:szCs w:val="24"/>
              </w:rPr>
            </w:pPr>
            <w:r w:rsidRPr="00B93FF1">
              <w:rPr>
                <w:rFonts w:cstheme="minorHAnsi"/>
                <w:b/>
                <w:bCs/>
                <w:sz w:val="24"/>
                <w:szCs w:val="24"/>
              </w:rPr>
              <w:t>ISO 11204</w:t>
            </w:r>
          </w:p>
        </w:tc>
      </w:tr>
      <w:tr w:rsidR="00181E36" w:rsidRPr="0045784D" w:rsidTr="00B93FF1">
        <w:trPr>
          <w:trHeight w:val="330"/>
        </w:trPr>
        <w:tc>
          <w:tcPr>
            <w:tcW w:w="1844" w:type="dxa"/>
            <w:tcBorders>
              <w:top w:val="single" w:sz="18" w:space="0" w:color="auto"/>
              <w:left w:val="single" w:sz="18" w:space="0" w:color="auto"/>
              <w:bottom w:val="single" w:sz="18" w:space="0" w:color="auto"/>
              <w:right w:val="single" w:sz="4" w:space="0" w:color="auto"/>
            </w:tcBorders>
            <w:shd w:val="clear" w:color="auto" w:fill="B8CCE4" w:themeFill="accent1" w:themeFillTint="66"/>
            <w:vAlign w:val="center"/>
          </w:tcPr>
          <w:p w:rsidR="00181E36" w:rsidRPr="00B93FF1" w:rsidRDefault="00181E36" w:rsidP="00B93FF1">
            <w:pPr>
              <w:spacing w:after="0" w:line="240" w:lineRule="auto"/>
              <w:jc w:val="center"/>
              <w:rPr>
                <w:rFonts w:cstheme="minorHAnsi"/>
                <w:b/>
                <w:bCs/>
                <w:sz w:val="24"/>
                <w:szCs w:val="24"/>
              </w:rPr>
            </w:pPr>
            <w:r w:rsidRPr="00B93FF1">
              <w:rPr>
                <w:rFonts w:cstheme="minorHAnsi"/>
                <w:b/>
                <w:bCs/>
                <w:sz w:val="24"/>
                <w:szCs w:val="24"/>
              </w:rPr>
              <w:t xml:space="preserve">Intitulé </w:t>
            </w:r>
          </w:p>
        </w:tc>
        <w:tc>
          <w:tcPr>
            <w:tcW w:w="7796" w:type="dxa"/>
            <w:tcBorders>
              <w:top w:val="single" w:sz="18" w:space="0" w:color="auto"/>
              <w:left w:val="single" w:sz="4" w:space="0" w:color="auto"/>
              <w:bottom w:val="single" w:sz="18" w:space="0" w:color="auto"/>
              <w:right w:val="single" w:sz="18" w:space="0" w:color="auto"/>
            </w:tcBorders>
            <w:shd w:val="clear" w:color="auto" w:fill="auto"/>
            <w:noWrap/>
          </w:tcPr>
          <w:p w:rsidR="00181E36" w:rsidRPr="00AE4A43" w:rsidRDefault="00181E36" w:rsidP="00AE4A43">
            <w:pPr>
              <w:spacing w:after="0" w:line="240" w:lineRule="auto"/>
              <w:jc w:val="both"/>
              <w:rPr>
                <w:rFonts w:cstheme="minorHAnsi"/>
              </w:rPr>
            </w:pPr>
            <w:r w:rsidRPr="00AE4A43">
              <w:rPr>
                <w:rFonts w:cstheme="minorHAnsi"/>
              </w:rPr>
              <w:t xml:space="preserve">Acoustique - Bruit émis par les machines et équipements - Détermination des niveaux de pression acoustique d'émission au poste de travail et en d'autres positions spécifiées en appliquant des corrections d'environnement exactes ;(IC 19.0.037) </w:t>
            </w:r>
          </w:p>
        </w:tc>
      </w:tr>
      <w:tr w:rsidR="00181E36" w:rsidRPr="0045784D" w:rsidTr="00B93FF1">
        <w:trPr>
          <w:trHeight w:val="330"/>
        </w:trPr>
        <w:tc>
          <w:tcPr>
            <w:tcW w:w="1844" w:type="dxa"/>
            <w:tcBorders>
              <w:top w:val="single" w:sz="18" w:space="0" w:color="auto"/>
              <w:left w:val="single" w:sz="18" w:space="0" w:color="auto"/>
              <w:bottom w:val="single" w:sz="18" w:space="0" w:color="auto"/>
              <w:right w:val="single" w:sz="4" w:space="0" w:color="auto"/>
            </w:tcBorders>
            <w:shd w:val="clear" w:color="auto" w:fill="D9D9D9" w:themeFill="background1" w:themeFillShade="D9"/>
            <w:vAlign w:val="center"/>
          </w:tcPr>
          <w:p w:rsidR="00181E36" w:rsidRPr="00B93FF1" w:rsidRDefault="00181E36" w:rsidP="00B93FF1">
            <w:pPr>
              <w:spacing w:after="0" w:line="240" w:lineRule="auto"/>
              <w:jc w:val="center"/>
              <w:rPr>
                <w:rFonts w:cstheme="minorHAnsi"/>
                <w:b/>
                <w:bCs/>
                <w:sz w:val="24"/>
                <w:szCs w:val="24"/>
              </w:rPr>
            </w:pPr>
            <w:r w:rsidRPr="00B93FF1">
              <w:rPr>
                <w:rFonts w:cstheme="minorHAnsi"/>
                <w:b/>
                <w:bCs/>
                <w:sz w:val="24"/>
                <w:szCs w:val="24"/>
              </w:rPr>
              <w:t xml:space="preserve">Domaine d’application </w:t>
            </w:r>
          </w:p>
        </w:tc>
        <w:tc>
          <w:tcPr>
            <w:tcW w:w="7796" w:type="dxa"/>
            <w:tcBorders>
              <w:top w:val="single" w:sz="18" w:space="0" w:color="auto"/>
              <w:left w:val="single" w:sz="4" w:space="0" w:color="auto"/>
              <w:bottom w:val="single" w:sz="18" w:space="0" w:color="auto"/>
              <w:right w:val="single" w:sz="18" w:space="0" w:color="auto"/>
            </w:tcBorders>
            <w:shd w:val="clear" w:color="auto" w:fill="auto"/>
            <w:noWrap/>
          </w:tcPr>
          <w:p w:rsidR="00B93FF1" w:rsidRPr="00AE4A43" w:rsidRDefault="00181E36" w:rsidP="00AE4A43">
            <w:pPr>
              <w:spacing w:after="0" w:line="240" w:lineRule="auto"/>
              <w:jc w:val="both"/>
              <w:rPr>
                <w:rFonts w:cstheme="minorHAnsi"/>
              </w:rPr>
            </w:pPr>
            <w:r w:rsidRPr="00AE4A43">
              <w:rPr>
                <w:rFonts w:cstheme="minorHAnsi"/>
              </w:rPr>
              <w:t>1.1 Généralités</w:t>
            </w:r>
          </w:p>
          <w:p w:rsidR="00B93FF1" w:rsidRPr="00AE4A43" w:rsidRDefault="00181E36" w:rsidP="00AE4A43">
            <w:pPr>
              <w:spacing w:after="0" w:line="240" w:lineRule="auto"/>
              <w:jc w:val="both"/>
              <w:rPr>
                <w:rFonts w:cstheme="minorHAnsi"/>
              </w:rPr>
            </w:pPr>
            <w:r w:rsidRPr="00AE4A43">
              <w:rPr>
                <w:rFonts w:cstheme="minorHAnsi"/>
              </w:rPr>
              <w:t>La présente Norme internationale spécifie une méthode de détermination des niveaux de pression acoustique d'émission des machines et des équipements au poste de travail et en d'autres positions spécifiées proches, dans un quelconque environnement satisfaisant à certaines exigences de qualification. Le poste de travail occupé par un opérateur peut être situé dans un espace ouvert dans la salle où la source soumise à essai fonctionne, dans une cabine fixée à la source soumise à essai ou dans une enceinte située à distance de la</w:t>
            </w:r>
            <w:r w:rsidR="00B93FF1" w:rsidRPr="00AE4A43">
              <w:rPr>
                <w:rFonts w:cstheme="minorHAnsi"/>
              </w:rPr>
              <w:t xml:space="preserve"> </w:t>
            </w:r>
            <w:r w:rsidRPr="00AE4A43">
              <w:rPr>
                <w:rFonts w:cstheme="minorHAnsi"/>
              </w:rPr>
              <w:t>source soumise à essai. Une ou plusieurs positions spécifiées peuvent se situer au voisinage du poste de travail ou d'une machine avec ou sans opérateur. Ces positions sont parfois appelées «positions d'assistant».</w:t>
            </w:r>
            <w:r w:rsidRPr="00AE4A43">
              <w:rPr>
                <w:rFonts w:cstheme="minorHAnsi"/>
              </w:rPr>
              <w:br/>
              <w:t>Les niveaux de pression acoustique d'émission sont déterminés en tant que niveaux pondérés A. En outre, les niveaux par bandes de fréquence et les niveaux de pression acoustique d'émission de crête pondérés C peuvent être déterminés selon la présente Norme internationale, si nécessaire.</w:t>
            </w:r>
          </w:p>
          <w:p w:rsidR="00B93FF1" w:rsidRPr="00AE4A43" w:rsidRDefault="00181E36" w:rsidP="00AE4A43">
            <w:pPr>
              <w:spacing w:after="0" w:line="240" w:lineRule="auto"/>
              <w:jc w:val="both"/>
              <w:rPr>
                <w:rFonts w:cstheme="minorHAnsi"/>
                <w:i/>
                <w:iCs/>
                <w:sz w:val="20"/>
                <w:szCs w:val="20"/>
              </w:rPr>
            </w:pPr>
            <w:r w:rsidRPr="00AE4A43">
              <w:rPr>
                <w:rFonts w:cstheme="minorHAnsi"/>
                <w:b/>
                <w:bCs/>
                <w:i/>
                <w:iCs/>
                <w:sz w:val="20"/>
                <w:szCs w:val="20"/>
              </w:rPr>
              <w:t>NOTE 1</w:t>
            </w:r>
            <w:r w:rsidR="00B93FF1" w:rsidRPr="00AE4A43">
              <w:rPr>
                <w:rFonts w:cstheme="minorHAnsi"/>
                <w:i/>
                <w:iCs/>
                <w:sz w:val="20"/>
                <w:szCs w:val="20"/>
              </w:rPr>
              <w:t xml:space="preserve"> : </w:t>
            </w:r>
            <w:r w:rsidRPr="00AE4A43">
              <w:rPr>
                <w:rFonts w:cstheme="minorHAnsi"/>
                <w:i/>
                <w:iCs/>
                <w:sz w:val="20"/>
                <w:szCs w:val="20"/>
              </w:rPr>
              <w:t>Le contenu de la série de l'ISO 11200[15] à l'ISO 11205[19] est résumé dans l'ISO 11200[15].</w:t>
            </w:r>
          </w:p>
          <w:p w:rsidR="00AE4A43" w:rsidRDefault="00181E36" w:rsidP="00AE4A43">
            <w:pPr>
              <w:spacing w:after="0" w:line="240" w:lineRule="auto"/>
              <w:jc w:val="both"/>
              <w:rPr>
                <w:rFonts w:cstheme="minorHAnsi"/>
                <w:i/>
                <w:iCs/>
                <w:sz w:val="20"/>
                <w:szCs w:val="20"/>
              </w:rPr>
            </w:pPr>
            <w:r w:rsidRPr="00AE4A43">
              <w:rPr>
                <w:rFonts w:cstheme="minorHAnsi"/>
              </w:rPr>
              <w:t xml:space="preserve">Des méthodes sont fournies pour déterminer la correction locale d'environnement (soumise à une valeur limite maximale spécifiée) à appliquer aux niveaux de pression acoustique mesurés afin d'éliminer l'influence des surfaces réfléchissantes autres que le plan sur lequel repose la source soumise à essai. Cette correction est fondée sur </w:t>
            </w:r>
            <w:r w:rsidRPr="00AE4A43">
              <w:rPr>
                <w:rFonts w:cstheme="minorHAnsi"/>
              </w:rPr>
              <w:lastRenderedPageBreak/>
              <w:t>l'aire d'absorption acoustique équivalente de la salle d'essai et sur les caractéristiques de rayonnement (emplacement de la source ou directivité au poste de travail).</w:t>
            </w:r>
            <w:r w:rsidRPr="00AE4A43">
              <w:rPr>
                <w:rFonts w:cstheme="minorHAnsi"/>
              </w:rPr>
              <w:br/>
              <w:t>La méthode spécifiée dans la présente Norme internationale permet d'obtenir des résultats de classe de précision 2 (classe expertise) ou de classe de précision 3 (classe contrôle). Des corrections sont appliquées pour le bruit de fond et comme décrit ci-dessus pour l'environnement acoustique. Des instructions sont fournies pour le montage et le fonctionnement de la source soumise à essai ainsi que pour le choix des positions du microphone pour le poste de travail et pour d'autres positions spécifiées. Un des objets des</w:t>
            </w:r>
            <w:r w:rsidR="00B93FF1" w:rsidRPr="00AE4A43">
              <w:rPr>
                <w:rFonts w:cstheme="minorHAnsi"/>
              </w:rPr>
              <w:t xml:space="preserve"> </w:t>
            </w:r>
            <w:r w:rsidRPr="00AE4A43">
              <w:rPr>
                <w:rFonts w:cstheme="minorHAnsi"/>
              </w:rPr>
              <w:t>mesurages est de permettre la comparaison des performances de différentes unités d'une famille donnée de machines, dans des conditions d'environnement définies et dans des conditions de montage et de fonctionnement normalisées.</w:t>
            </w:r>
            <w:r w:rsidRPr="00AE4A43">
              <w:rPr>
                <w:rFonts w:cstheme="minorHAnsi"/>
              </w:rPr>
              <w:br/>
            </w:r>
            <w:r w:rsidRPr="00AE4A43">
              <w:rPr>
                <w:rFonts w:cstheme="minorHAnsi"/>
                <w:b/>
                <w:bCs/>
                <w:i/>
                <w:iCs/>
                <w:sz w:val="20"/>
                <w:szCs w:val="20"/>
              </w:rPr>
              <w:t>NOTE 2</w:t>
            </w:r>
            <w:r w:rsidR="00B93FF1" w:rsidRPr="00AE4A43">
              <w:rPr>
                <w:rFonts w:cstheme="minorHAnsi"/>
                <w:i/>
                <w:iCs/>
                <w:sz w:val="20"/>
                <w:szCs w:val="20"/>
              </w:rPr>
              <w:t xml:space="preserve"> : </w:t>
            </w:r>
            <w:r w:rsidRPr="00AE4A43">
              <w:rPr>
                <w:rFonts w:cstheme="minorHAnsi"/>
                <w:i/>
                <w:iCs/>
                <w:sz w:val="20"/>
                <w:szCs w:val="20"/>
              </w:rPr>
              <w:t>Les données obtenues peuvent aussi être utilisées pour la déclaration et la vérification des niveaux de pression acoustique d'émission tels que spécifiés dans l'ISO 4871[9].</w:t>
            </w:r>
          </w:p>
          <w:p w:rsidR="00B93FF1" w:rsidRPr="00AE4A43" w:rsidRDefault="00181E36" w:rsidP="00AE4A43">
            <w:pPr>
              <w:spacing w:after="0" w:line="240" w:lineRule="auto"/>
              <w:jc w:val="both"/>
              <w:rPr>
                <w:rFonts w:cstheme="minorHAnsi"/>
              </w:rPr>
            </w:pPr>
            <w:r w:rsidRPr="00AE4A43">
              <w:rPr>
                <w:rFonts w:cstheme="minorHAnsi"/>
              </w:rPr>
              <w:t>1.2 Types de bruit et de sources de bruit</w:t>
            </w:r>
          </w:p>
          <w:p w:rsidR="00B93FF1" w:rsidRPr="00AE4A43" w:rsidRDefault="00181E36" w:rsidP="00AE4A43">
            <w:pPr>
              <w:spacing w:after="0" w:line="240" w:lineRule="auto"/>
              <w:jc w:val="both"/>
              <w:rPr>
                <w:rFonts w:cstheme="minorHAnsi"/>
              </w:rPr>
            </w:pPr>
            <w:r w:rsidRPr="00AE4A43">
              <w:rPr>
                <w:rFonts w:cstheme="minorHAnsi"/>
              </w:rPr>
              <w:t>La méthode spécifiée dans la présente Norme internationale s'applique à tous les types de bruits (continus, discontinus, fluctuants, pics d'énergie acoustique isolés, etc.) définis dans l'ISO 12001.</w:t>
            </w:r>
          </w:p>
          <w:p w:rsidR="00B93FF1" w:rsidRPr="00AE4A43" w:rsidRDefault="00181E36" w:rsidP="00AE4A43">
            <w:pPr>
              <w:spacing w:after="0" w:line="240" w:lineRule="auto"/>
              <w:jc w:val="both"/>
              <w:rPr>
                <w:rFonts w:cstheme="minorHAnsi"/>
              </w:rPr>
            </w:pPr>
            <w:r w:rsidRPr="00AE4A43">
              <w:rPr>
                <w:rFonts w:cstheme="minorHAnsi"/>
              </w:rPr>
              <w:t xml:space="preserve">La méthode spécifiée dans la présente Norme internationale s'applique à tous les types et toutes les tailles de sources de bruit.                                                                                  </w:t>
            </w:r>
            <w:r w:rsidR="00B93FF1" w:rsidRPr="00AE4A43">
              <w:rPr>
                <w:rFonts w:cstheme="minorHAnsi"/>
              </w:rPr>
              <w:t xml:space="preserve">  </w:t>
            </w:r>
          </w:p>
          <w:p w:rsidR="00AE4A43" w:rsidRDefault="00181E36" w:rsidP="00AE4A43">
            <w:pPr>
              <w:spacing w:after="0" w:line="240" w:lineRule="auto"/>
              <w:jc w:val="both"/>
              <w:rPr>
                <w:rFonts w:cstheme="minorHAnsi"/>
                <w:i/>
                <w:iCs/>
                <w:sz w:val="20"/>
                <w:szCs w:val="20"/>
              </w:rPr>
            </w:pPr>
            <w:r w:rsidRPr="00AE4A43">
              <w:rPr>
                <w:rFonts w:cstheme="minorHAnsi"/>
                <w:b/>
                <w:bCs/>
                <w:i/>
                <w:iCs/>
                <w:sz w:val="20"/>
                <w:szCs w:val="20"/>
              </w:rPr>
              <w:t>NOTE</w:t>
            </w:r>
            <w:r w:rsidR="00B93FF1" w:rsidRPr="00AE4A43">
              <w:rPr>
                <w:rFonts w:cstheme="minorHAnsi"/>
                <w:i/>
                <w:iCs/>
                <w:sz w:val="20"/>
                <w:szCs w:val="20"/>
              </w:rPr>
              <w:t xml:space="preserve"> : </w:t>
            </w:r>
            <w:r w:rsidRPr="00AE4A43">
              <w:rPr>
                <w:rFonts w:cstheme="minorHAnsi"/>
                <w:i/>
                <w:iCs/>
                <w:sz w:val="20"/>
                <w:szCs w:val="20"/>
              </w:rPr>
              <w:t>Tout au long de la présente Norme internationale, les expressions «machine» et «source soumise à essai» sont utilisées pour désigner soit une machine, soit un équipement</w:t>
            </w:r>
            <w:r w:rsidR="00AE4A43">
              <w:rPr>
                <w:rFonts w:cstheme="minorHAnsi"/>
                <w:i/>
                <w:iCs/>
                <w:sz w:val="20"/>
                <w:szCs w:val="20"/>
              </w:rPr>
              <w:t>.</w:t>
            </w:r>
          </w:p>
          <w:p w:rsidR="00B93FF1" w:rsidRPr="00AE4A43" w:rsidRDefault="00181E36" w:rsidP="00AE4A43">
            <w:pPr>
              <w:spacing w:after="0" w:line="240" w:lineRule="auto"/>
              <w:jc w:val="both"/>
              <w:rPr>
                <w:rFonts w:cstheme="minorHAnsi"/>
              </w:rPr>
            </w:pPr>
            <w:r w:rsidRPr="00AE4A43">
              <w:rPr>
                <w:rFonts w:cstheme="minorHAnsi"/>
              </w:rPr>
              <w:t>1.3 Environnement d'essai Le type d'environnement d'essai affecte la précision de la détermination des niveaux de pression acoustique d'émission. Pour la présente Norme internationale, toute salle répondant aux exigences spécifiées est utilisable. Ces exigences relatives à la salle sont moins strictes que celles de l'ISO 11201[16], notamment en</w:t>
            </w:r>
            <w:r w:rsidR="00B93FF1" w:rsidRPr="00AE4A43">
              <w:rPr>
                <w:rFonts w:cstheme="minorHAnsi"/>
              </w:rPr>
              <w:t xml:space="preserve"> </w:t>
            </w:r>
            <w:r w:rsidRPr="00AE4A43">
              <w:rPr>
                <w:rFonts w:cstheme="minorHAnsi"/>
              </w:rPr>
              <w:t>ce qui concerne la qualité acoustique de l'environnement.</w:t>
            </w:r>
            <w:r w:rsidRPr="00AE4A43">
              <w:rPr>
                <w:rFonts w:cstheme="minorHAnsi"/>
              </w:rPr>
              <w:br/>
              <w:t>1.4 Poste de travail et autres positions spécifiées La présente Norme internationale s'applique aux postes de travail et aux autres positions spécifiées auxquels les niveaux de pression acoustique d'émission doivent être mesurés.</w:t>
            </w:r>
          </w:p>
          <w:p w:rsidR="00B93FF1" w:rsidRPr="00AE4A43" w:rsidRDefault="00181E36" w:rsidP="00AE4A43">
            <w:pPr>
              <w:spacing w:after="0" w:line="240" w:lineRule="auto"/>
              <w:jc w:val="both"/>
              <w:rPr>
                <w:rFonts w:cstheme="minorHAnsi"/>
              </w:rPr>
            </w:pPr>
            <w:r w:rsidRPr="00AE4A43">
              <w:rPr>
                <w:rFonts w:cstheme="minorHAnsi"/>
              </w:rPr>
              <w:t>Les positions appropriées où les mesurages peuvent être effectués incluent les positions suivantes</w:t>
            </w:r>
            <w:r w:rsidR="00B93FF1" w:rsidRPr="00AE4A43">
              <w:rPr>
                <w:rFonts w:cstheme="minorHAnsi"/>
              </w:rPr>
              <w:t xml:space="preserve"> </w:t>
            </w:r>
            <w:r w:rsidRPr="00AE4A43">
              <w:rPr>
                <w:rFonts w:cstheme="minorHAnsi"/>
              </w:rPr>
              <w:t>:</w:t>
            </w:r>
          </w:p>
          <w:p w:rsidR="00B93FF1" w:rsidRPr="00AE4A43" w:rsidRDefault="00181E36" w:rsidP="00AE4A43">
            <w:pPr>
              <w:spacing w:after="0" w:line="240" w:lineRule="auto"/>
              <w:jc w:val="both"/>
              <w:rPr>
                <w:rFonts w:cstheme="minorHAnsi"/>
              </w:rPr>
            </w:pPr>
            <w:r w:rsidRPr="00AE4A43">
              <w:rPr>
                <w:rFonts w:cstheme="minorHAnsi"/>
              </w:rPr>
              <w:t>a) poste de travail situé au voisinage de la source soumise à essai, ce qui est le cas de nombreuses machines industrielles et de nombreux appareils domestiques;</w:t>
            </w:r>
            <w:r w:rsidRPr="00AE4A43">
              <w:rPr>
                <w:rFonts w:cstheme="minorHAnsi"/>
              </w:rPr>
              <w:br/>
              <w:t>b) poste de travail à l'intérieur d'une cabine faisant partie intégrante de la machine soumise à essai; ce qui est le cas de nombreux véhicules industriels et engins de terrassement;</w:t>
            </w:r>
            <w:r w:rsidRPr="00AE4A43">
              <w:rPr>
                <w:rFonts w:cstheme="minorHAnsi"/>
              </w:rPr>
              <w:br/>
              <w:t>c) poste de travail à l'intérieur d'une enceinte partielle ou totale (ou derrière un écran), fournie par le fabricant en tant que partie intégrante de la machine ou de l'équipement;</w:t>
            </w:r>
            <w:r w:rsidRPr="00AE4A43">
              <w:rPr>
                <w:rFonts w:cstheme="minorHAnsi"/>
              </w:rPr>
              <w:br/>
              <w:t>d) poste de travail partiellement ou complètement entouré par la source soumise à essai, comme c'est parfois le cas avec certaines machines industrielles de grandes dimensions</w:t>
            </w:r>
            <w:r w:rsidR="00B93FF1" w:rsidRPr="00AE4A43">
              <w:rPr>
                <w:rFonts w:cstheme="minorHAnsi"/>
              </w:rPr>
              <w:t xml:space="preserve"> </w:t>
            </w:r>
            <w:r w:rsidRPr="00AE4A43">
              <w:rPr>
                <w:rFonts w:cstheme="minorHAnsi"/>
              </w:rPr>
              <w:t>;</w:t>
            </w:r>
          </w:p>
          <w:p w:rsidR="00B93FF1" w:rsidRPr="00AE4A43" w:rsidRDefault="00181E36" w:rsidP="00AE4A43">
            <w:pPr>
              <w:spacing w:after="0" w:line="240" w:lineRule="auto"/>
              <w:jc w:val="both"/>
              <w:rPr>
                <w:rFonts w:cstheme="minorHAnsi"/>
              </w:rPr>
            </w:pPr>
            <w:r w:rsidRPr="00AE4A43">
              <w:rPr>
                <w:rFonts w:cstheme="minorHAnsi"/>
              </w:rPr>
              <w:t>e) postes d'assistant occupés par des personnes non responsables du fonctionnement de la source soumise à essai, mais qui peuvent se trouver occasionnellement ou en continu à proximité immédiate de la machine</w:t>
            </w:r>
            <w:r w:rsidR="00B93FF1" w:rsidRPr="00AE4A43">
              <w:rPr>
                <w:rFonts w:cstheme="minorHAnsi"/>
              </w:rPr>
              <w:t xml:space="preserve"> </w:t>
            </w:r>
            <w:r w:rsidRPr="00AE4A43">
              <w:rPr>
                <w:rFonts w:cstheme="minorHAnsi"/>
              </w:rPr>
              <w:t>;</w:t>
            </w:r>
          </w:p>
          <w:p w:rsidR="00B93FF1" w:rsidRPr="00AE4A43" w:rsidRDefault="00181E36" w:rsidP="00AE4A43">
            <w:pPr>
              <w:spacing w:after="0" w:line="240" w:lineRule="auto"/>
              <w:jc w:val="both"/>
              <w:rPr>
                <w:rFonts w:cstheme="minorHAnsi"/>
              </w:rPr>
            </w:pPr>
            <w:r w:rsidRPr="00AE4A43">
              <w:rPr>
                <w:rFonts w:cstheme="minorHAnsi"/>
              </w:rPr>
              <w:t>f) d'autres positions spécifiées, qui ne sont pas nécessairement des postes de travail ou des postes d'assistant.</w:t>
            </w:r>
          </w:p>
          <w:p w:rsidR="00181E36" w:rsidRPr="00AE4A43" w:rsidRDefault="00181E36" w:rsidP="00AE4A43">
            <w:pPr>
              <w:spacing w:after="0" w:line="240" w:lineRule="auto"/>
              <w:jc w:val="both"/>
              <w:rPr>
                <w:rFonts w:cstheme="minorHAnsi"/>
              </w:rPr>
            </w:pPr>
            <w:r w:rsidRPr="00AE4A43">
              <w:rPr>
                <w:rFonts w:cstheme="minorHAnsi"/>
              </w:rPr>
              <w:t>Le poste de travail peut également se situer sur un trajet spécifié le long duquel un opérateur se déplace (voir 9.4).</w:t>
            </w:r>
          </w:p>
        </w:tc>
      </w:tr>
      <w:tr w:rsidR="00181E36" w:rsidRPr="0045784D" w:rsidTr="008D5BBF">
        <w:trPr>
          <w:trHeight w:val="330"/>
        </w:trPr>
        <w:tc>
          <w:tcPr>
            <w:tcW w:w="1844" w:type="dxa"/>
            <w:tcBorders>
              <w:top w:val="single" w:sz="18" w:space="0" w:color="auto"/>
              <w:left w:val="single" w:sz="18" w:space="0" w:color="auto"/>
              <w:bottom w:val="single" w:sz="18" w:space="0" w:color="auto"/>
              <w:right w:val="single" w:sz="4" w:space="0" w:color="auto"/>
            </w:tcBorders>
            <w:shd w:val="clear" w:color="auto" w:fill="B0CA7C"/>
            <w:vAlign w:val="center"/>
          </w:tcPr>
          <w:p w:rsidR="00181E36" w:rsidRPr="00B93FF1" w:rsidRDefault="00181E36" w:rsidP="00B93FF1">
            <w:pPr>
              <w:spacing w:after="0" w:line="240" w:lineRule="auto"/>
              <w:jc w:val="center"/>
              <w:rPr>
                <w:rFonts w:cstheme="minorHAnsi"/>
                <w:b/>
                <w:bCs/>
                <w:sz w:val="24"/>
                <w:szCs w:val="24"/>
              </w:rPr>
            </w:pPr>
            <w:r w:rsidRPr="00B93FF1">
              <w:rPr>
                <w:rFonts w:cstheme="minorHAnsi"/>
                <w:b/>
                <w:bCs/>
                <w:sz w:val="24"/>
                <w:szCs w:val="24"/>
              </w:rPr>
              <w:lastRenderedPageBreak/>
              <w:t xml:space="preserve">Code </w:t>
            </w:r>
          </w:p>
        </w:tc>
        <w:tc>
          <w:tcPr>
            <w:tcW w:w="7796" w:type="dxa"/>
            <w:tcBorders>
              <w:top w:val="single" w:sz="18" w:space="0" w:color="auto"/>
              <w:left w:val="single" w:sz="4" w:space="0" w:color="auto"/>
              <w:bottom w:val="single" w:sz="18" w:space="0" w:color="auto"/>
              <w:right w:val="single" w:sz="18" w:space="0" w:color="auto"/>
            </w:tcBorders>
            <w:shd w:val="clear" w:color="auto" w:fill="B0CA7C"/>
            <w:noWrap/>
            <w:vAlign w:val="center"/>
          </w:tcPr>
          <w:p w:rsidR="00181E36" w:rsidRPr="00B93FF1" w:rsidRDefault="00181E36" w:rsidP="00B93FF1">
            <w:pPr>
              <w:spacing w:after="0" w:line="240" w:lineRule="auto"/>
              <w:jc w:val="center"/>
              <w:rPr>
                <w:rFonts w:cstheme="minorHAnsi"/>
                <w:b/>
                <w:bCs/>
                <w:sz w:val="24"/>
                <w:szCs w:val="24"/>
              </w:rPr>
            </w:pPr>
            <w:r w:rsidRPr="00B93FF1">
              <w:rPr>
                <w:rFonts w:cstheme="minorHAnsi"/>
                <w:b/>
                <w:bCs/>
                <w:sz w:val="24"/>
                <w:szCs w:val="24"/>
              </w:rPr>
              <w:t>NM ISO 11205</w:t>
            </w:r>
          </w:p>
        </w:tc>
      </w:tr>
      <w:tr w:rsidR="00181E36" w:rsidRPr="0045784D" w:rsidTr="00B93FF1">
        <w:trPr>
          <w:trHeight w:val="330"/>
        </w:trPr>
        <w:tc>
          <w:tcPr>
            <w:tcW w:w="1844" w:type="dxa"/>
            <w:tcBorders>
              <w:top w:val="single" w:sz="18" w:space="0" w:color="auto"/>
              <w:left w:val="single" w:sz="18" w:space="0" w:color="auto"/>
              <w:bottom w:val="single" w:sz="18" w:space="0" w:color="auto"/>
              <w:right w:val="single" w:sz="4" w:space="0" w:color="auto"/>
            </w:tcBorders>
            <w:shd w:val="clear" w:color="auto" w:fill="FFFF99"/>
            <w:vAlign w:val="center"/>
          </w:tcPr>
          <w:p w:rsidR="00181E36" w:rsidRPr="00B93FF1" w:rsidRDefault="00181E36" w:rsidP="00B93FF1">
            <w:pPr>
              <w:spacing w:after="0" w:line="240" w:lineRule="auto"/>
              <w:jc w:val="center"/>
              <w:rPr>
                <w:rFonts w:cstheme="minorHAnsi"/>
                <w:b/>
                <w:bCs/>
                <w:sz w:val="24"/>
                <w:szCs w:val="24"/>
              </w:rPr>
            </w:pPr>
            <w:r w:rsidRPr="00B93FF1">
              <w:rPr>
                <w:rFonts w:cstheme="minorHAnsi"/>
                <w:b/>
                <w:bCs/>
                <w:sz w:val="24"/>
                <w:szCs w:val="24"/>
              </w:rPr>
              <w:t xml:space="preserve">Equivalence </w:t>
            </w:r>
          </w:p>
        </w:tc>
        <w:tc>
          <w:tcPr>
            <w:tcW w:w="7796" w:type="dxa"/>
            <w:tcBorders>
              <w:top w:val="single" w:sz="18" w:space="0" w:color="auto"/>
              <w:left w:val="single" w:sz="4" w:space="0" w:color="auto"/>
              <w:bottom w:val="single" w:sz="18" w:space="0" w:color="auto"/>
              <w:right w:val="single" w:sz="18" w:space="0" w:color="auto"/>
            </w:tcBorders>
            <w:shd w:val="clear" w:color="auto" w:fill="FFFF99"/>
            <w:noWrap/>
            <w:vAlign w:val="center"/>
          </w:tcPr>
          <w:p w:rsidR="00181E36" w:rsidRPr="00B93FF1" w:rsidRDefault="00181E36" w:rsidP="00B93FF1">
            <w:pPr>
              <w:spacing w:after="0" w:line="240" w:lineRule="auto"/>
              <w:jc w:val="center"/>
              <w:rPr>
                <w:rFonts w:cstheme="minorHAnsi"/>
                <w:b/>
                <w:bCs/>
                <w:sz w:val="24"/>
                <w:szCs w:val="24"/>
              </w:rPr>
            </w:pPr>
            <w:r w:rsidRPr="00B93FF1">
              <w:rPr>
                <w:rFonts w:cstheme="minorHAnsi"/>
                <w:b/>
                <w:bCs/>
                <w:sz w:val="24"/>
                <w:szCs w:val="24"/>
              </w:rPr>
              <w:t>ISO 11205</w:t>
            </w:r>
          </w:p>
        </w:tc>
      </w:tr>
      <w:tr w:rsidR="00181E36" w:rsidRPr="0045784D" w:rsidTr="00B93FF1">
        <w:trPr>
          <w:trHeight w:val="330"/>
        </w:trPr>
        <w:tc>
          <w:tcPr>
            <w:tcW w:w="1844" w:type="dxa"/>
            <w:tcBorders>
              <w:top w:val="single" w:sz="18" w:space="0" w:color="auto"/>
              <w:left w:val="single" w:sz="18" w:space="0" w:color="auto"/>
              <w:bottom w:val="single" w:sz="18" w:space="0" w:color="auto"/>
              <w:right w:val="single" w:sz="4" w:space="0" w:color="auto"/>
            </w:tcBorders>
            <w:shd w:val="clear" w:color="auto" w:fill="B8CCE4" w:themeFill="accent1" w:themeFillTint="66"/>
            <w:vAlign w:val="center"/>
          </w:tcPr>
          <w:p w:rsidR="00181E36" w:rsidRPr="00B93FF1" w:rsidRDefault="00181E36" w:rsidP="00B93FF1">
            <w:pPr>
              <w:spacing w:after="0" w:line="240" w:lineRule="auto"/>
              <w:jc w:val="center"/>
              <w:rPr>
                <w:rFonts w:cstheme="minorHAnsi"/>
                <w:b/>
                <w:bCs/>
                <w:sz w:val="24"/>
                <w:szCs w:val="24"/>
              </w:rPr>
            </w:pPr>
            <w:r w:rsidRPr="00B93FF1">
              <w:rPr>
                <w:rFonts w:cstheme="minorHAnsi"/>
                <w:b/>
                <w:bCs/>
                <w:sz w:val="24"/>
                <w:szCs w:val="24"/>
              </w:rPr>
              <w:lastRenderedPageBreak/>
              <w:t xml:space="preserve">Intitulé </w:t>
            </w:r>
          </w:p>
        </w:tc>
        <w:tc>
          <w:tcPr>
            <w:tcW w:w="7796" w:type="dxa"/>
            <w:tcBorders>
              <w:top w:val="single" w:sz="18" w:space="0" w:color="auto"/>
              <w:left w:val="single" w:sz="4" w:space="0" w:color="auto"/>
              <w:bottom w:val="single" w:sz="18" w:space="0" w:color="auto"/>
              <w:right w:val="single" w:sz="18" w:space="0" w:color="auto"/>
            </w:tcBorders>
            <w:shd w:val="clear" w:color="auto" w:fill="auto"/>
            <w:noWrap/>
          </w:tcPr>
          <w:p w:rsidR="00181E36" w:rsidRPr="00AE4A43" w:rsidRDefault="00181E36" w:rsidP="00AE4A43">
            <w:pPr>
              <w:spacing w:after="0" w:line="240" w:lineRule="auto"/>
              <w:jc w:val="both"/>
              <w:rPr>
                <w:rFonts w:cstheme="minorHAnsi"/>
              </w:rPr>
            </w:pPr>
            <w:r w:rsidRPr="00AE4A43">
              <w:rPr>
                <w:rFonts w:cstheme="minorHAnsi"/>
              </w:rPr>
              <w:t xml:space="preserve"> Acoustique - Bruits émis par les machines et les équipements - Méthode d'expertise pour la détermination par intensimétrie des niveaux de pression acoustique d'émission in situ au poste de travail et en d'autres conditions positions spécifiées </w:t>
            </w:r>
          </w:p>
        </w:tc>
      </w:tr>
      <w:tr w:rsidR="00181E36" w:rsidRPr="0045784D" w:rsidTr="00B93FF1">
        <w:trPr>
          <w:trHeight w:val="330"/>
        </w:trPr>
        <w:tc>
          <w:tcPr>
            <w:tcW w:w="1844" w:type="dxa"/>
            <w:tcBorders>
              <w:top w:val="single" w:sz="18" w:space="0" w:color="auto"/>
              <w:left w:val="single" w:sz="18" w:space="0" w:color="auto"/>
              <w:bottom w:val="single" w:sz="18" w:space="0" w:color="auto"/>
              <w:right w:val="single" w:sz="4" w:space="0" w:color="auto"/>
            </w:tcBorders>
            <w:shd w:val="clear" w:color="auto" w:fill="D9D9D9" w:themeFill="background1" w:themeFillShade="D9"/>
            <w:vAlign w:val="center"/>
          </w:tcPr>
          <w:p w:rsidR="00181E36" w:rsidRPr="00B93FF1" w:rsidRDefault="00181E36" w:rsidP="00B93FF1">
            <w:pPr>
              <w:spacing w:after="0" w:line="240" w:lineRule="auto"/>
              <w:jc w:val="center"/>
              <w:rPr>
                <w:rFonts w:cstheme="minorHAnsi"/>
                <w:b/>
                <w:bCs/>
                <w:sz w:val="24"/>
                <w:szCs w:val="24"/>
              </w:rPr>
            </w:pPr>
            <w:r w:rsidRPr="00B93FF1">
              <w:rPr>
                <w:rFonts w:cstheme="minorHAnsi"/>
                <w:b/>
                <w:bCs/>
                <w:sz w:val="24"/>
                <w:szCs w:val="24"/>
              </w:rPr>
              <w:t xml:space="preserve">Domaine d’application </w:t>
            </w:r>
          </w:p>
        </w:tc>
        <w:tc>
          <w:tcPr>
            <w:tcW w:w="7796" w:type="dxa"/>
            <w:tcBorders>
              <w:top w:val="single" w:sz="18" w:space="0" w:color="auto"/>
              <w:left w:val="single" w:sz="4" w:space="0" w:color="auto"/>
              <w:bottom w:val="single" w:sz="18" w:space="0" w:color="auto"/>
              <w:right w:val="single" w:sz="18" w:space="0" w:color="auto"/>
            </w:tcBorders>
            <w:shd w:val="clear" w:color="auto" w:fill="auto"/>
            <w:noWrap/>
          </w:tcPr>
          <w:p w:rsidR="00181E36" w:rsidRPr="00AE4A43" w:rsidRDefault="00181E36" w:rsidP="00AE4A43">
            <w:pPr>
              <w:spacing w:after="0" w:line="240" w:lineRule="auto"/>
              <w:jc w:val="both"/>
              <w:rPr>
                <w:rFonts w:cstheme="minorHAnsi"/>
              </w:rPr>
            </w:pPr>
            <w:r w:rsidRPr="00AE4A43">
              <w:rPr>
                <w:rFonts w:cstheme="minorHAnsi"/>
              </w:rPr>
              <w:t>La présente Norme internationale spécifie une méthode d'expertise (précision de Classe 2) pour la détermination par intensimétrie du niveau de pression acoustique d'émission in situ, au poste de travail ou en d'autres positions spécifiées. Elle peut se substituer aux normes ISO 11201, ISO 11202 et ISO 11204 relatives aux mesurages in situ. Elle est applicable à tous les types d'environnements d'essai pour autant que les exigences liées au bruit de fond et aux indicateurs de champ soient respectées.</w:t>
            </w:r>
            <w:r w:rsidRPr="00AE4A43">
              <w:rPr>
                <w:rFonts w:cstheme="minorHAnsi"/>
              </w:rPr>
              <w:br/>
              <w:t>La présente Norme internationale s'applique aux équipements émettant des bruits stables à large bande. Le bruit peut varier entre les cycles de fonctionnement et peut ou non comprendre des composantes à fréquence discrète ou en bande étroite.</w:t>
            </w:r>
          </w:p>
        </w:tc>
      </w:tr>
      <w:tr w:rsidR="00181E36" w:rsidRPr="00725D0C" w:rsidTr="008D5BBF">
        <w:trPr>
          <w:trHeight w:val="330"/>
        </w:trPr>
        <w:tc>
          <w:tcPr>
            <w:tcW w:w="1844" w:type="dxa"/>
            <w:tcBorders>
              <w:top w:val="single" w:sz="18" w:space="0" w:color="auto"/>
              <w:left w:val="single" w:sz="18" w:space="0" w:color="auto"/>
              <w:bottom w:val="single" w:sz="18" w:space="0" w:color="auto"/>
              <w:right w:val="single" w:sz="4" w:space="0" w:color="auto"/>
            </w:tcBorders>
            <w:shd w:val="clear" w:color="auto" w:fill="B0CA7C"/>
            <w:vAlign w:val="center"/>
          </w:tcPr>
          <w:p w:rsidR="00181E36" w:rsidRPr="00725D0C" w:rsidRDefault="00181E36" w:rsidP="00725D0C">
            <w:pPr>
              <w:spacing w:after="0" w:line="240" w:lineRule="auto"/>
              <w:jc w:val="center"/>
              <w:rPr>
                <w:rFonts w:cstheme="minorHAnsi"/>
                <w:b/>
                <w:bCs/>
                <w:sz w:val="24"/>
                <w:szCs w:val="24"/>
              </w:rPr>
            </w:pPr>
            <w:r w:rsidRPr="00725D0C">
              <w:rPr>
                <w:rFonts w:cstheme="minorHAnsi"/>
                <w:b/>
                <w:bCs/>
                <w:sz w:val="24"/>
                <w:szCs w:val="24"/>
              </w:rPr>
              <w:t xml:space="preserve">Code </w:t>
            </w:r>
          </w:p>
        </w:tc>
        <w:tc>
          <w:tcPr>
            <w:tcW w:w="7796" w:type="dxa"/>
            <w:tcBorders>
              <w:top w:val="single" w:sz="18" w:space="0" w:color="auto"/>
              <w:left w:val="single" w:sz="4" w:space="0" w:color="auto"/>
              <w:bottom w:val="single" w:sz="18" w:space="0" w:color="auto"/>
              <w:right w:val="single" w:sz="18" w:space="0" w:color="auto"/>
            </w:tcBorders>
            <w:shd w:val="clear" w:color="auto" w:fill="B0CA7C"/>
            <w:noWrap/>
            <w:vAlign w:val="center"/>
          </w:tcPr>
          <w:p w:rsidR="00181E36" w:rsidRPr="00725D0C" w:rsidRDefault="00181E36" w:rsidP="00725D0C">
            <w:pPr>
              <w:spacing w:after="0" w:line="240" w:lineRule="auto"/>
              <w:jc w:val="center"/>
              <w:rPr>
                <w:rFonts w:cstheme="minorHAnsi"/>
                <w:b/>
                <w:bCs/>
                <w:sz w:val="24"/>
                <w:szCs w:val="24"/>
              </w:rPr>
            </w:pPr>
            <w:r w:rsidRPr="00725D0C">
              <w:rPr>
                <w:rFonts w:cstheme="minorHAnsi"/>
                <w:b/>
                <w:bCs/>
                <w:sz w:val="24"/>
                <w:szCs w:val="24"/>
              </w:rPr>
              <w:t>NM ISO 11546-1</w:t>
            </w:r>
          </w:p>
        </w:tc>
      </w:tr>
      <w:tr w:rsidR="00181E36" w:rsidRPr="00725D0C" w:rsidTr="0045784D">
        <w:trPr>
          <w:trHeight w:val="330"/>
        </w:trPr>
        <w:tc>
          <w:tcPr>
            <w:tcW w:w="1844" w:type="dxa"/>
            <w:tcBorders>
              <w:top w:val="single" w:sz="18" w:space="0" w:color="auto"/>
              <w:left w:val="single" w:sz="18" w:space="0" w:color="auto"/>
              <w:bottom w:val="single" w:sz="18" w:space="0" w:color="auto"/>
              <w:right w:val="single" w:sz="4" w:space="0" w:color="auto"/>
            </w:tcBorders>
            <w:shd w:val="clear" w:color="auto" w:fill="FFFF99"/>
            <w:vAlign w:val="center"/>
          </w:tcPr>
          <w:p w:rsidR="00181E36" w:rsidRPr="00725D0C" w:rsidRDefault="00181E36" w:rsidP="00725D0C">
            <w:pPr>
              <w:spacing w:after="0" w:line="240" w:lineRule="auto"/>
              <w:jc w:val="center"/>
              <w:rPr>
                <w:rFonts w:cstheme="minorHAnsi"/>
                <w:b/>
                <w:bCs/>
                <w:sz w:val="24"/>
                <w:szCs w:val="24"/>
              </w:rPr>
            </w:pPr>
            <w:r w:rsidRPr="00725D0C">
              <w:rPr>
                <w:rFonts w:cstheme="minorHAnsi"/>
                <w:b/>
                <w:bCs/>
                <w:sz w:val="24"/>
                <w:szCs w:val="24"/>
              </w:rPr>
              <w:t xml:space="preserve">Equivalence </w:t>
            </w:r>
          </w:p>
        </w:tc>
        <w:tc>
          <w:tcPr>
            <w:tcW w:w="7796" w:type="dxa"/>
            <w:tcBorders>
              <w:top w:val="single" w:sz="18" w:space="0" w:color="auto"/>
              <w:left w:val="single" w:sz="4" w:space="0" w:color="auto"/>
              <w:bottom w:val="single" w:sz="18" w:space="0" w:color="auto"/>
              <w:right w:val="single" w:sz="18" w:space="0" w:color="auto"/>
            </w:tcBorders>
            <w:shd w:val="clear" w:color="auto" w:fill="FFFF99"/>
            <w:noWrap/>
            <w:vAlign w:val="center"/>
          </w:tcPr>
          <w:p w:rsidR="00181E36" w:rsidRPr="00725D0C" w:rsidRDefault="00181E36" w:rsidP="00725D0C">
            <w:pPr>
              <w:spacing w:after="0" w:line="240" w:lineRule="auto"/>
              <w:jc w:val="center"/>
              <w:rPr>
                <w:rFonts w:cstheme="minorHAnsi"/>
                <w:b/>
                <w:bCs/>
                <w:sz w:val="24"/>
                <w:szCs w:val="24"/>
              </w:rPr>
            </w:pPr>
            <w:r w:rsidRPr="00725D0C">
              <w:rPr>
                <w:rFonts w:cstheme="minorHAnsi"/>
                <w:b/>
                <w:bCs/>
                <w:sz w:val="24"/>
                <w:szCs w:val="24"/>
              </w:rPr>
              <w:t>ISO 11546-1</w:t>
            </w:r>
          </w:p>
        </w:tc>
      </w:tr>
      <w:tr w:rsidR="00181E36" w:rsidRPr="00725D0C" w:rsidTr="0045784D">
        <w:trPr>
          <w:trHeight w:val="330"/>
        </w:trPr>
        <w:tc>
          <w:tcPr>
            <w:tcW w:w="1844" w:type="dxa"/>
            <w:tcBorders>
              <w:top w:val="single" w:sz="18" w:space="0" w:color="auto"/>
              <w:left w:val="single" w:sz="18" w:space="0" w:color="auto"/>
              <w:bottom w:val="single" w:sz="4" w:space="0" w:color="auto"/>
              <w:right w:val="single" w:sz="4" w:space="0" w:color="auto"/>
            </w:tcBorders>
            <w:shd w:val="clear" w:color="auto" w:fill="B8CCE4" w:themeFill="accent1" w:themeFillTint="66"/>
            <w:vAlign w:val="center"/>
          </w:tcPr>
          <w:p w:rsidR="00181E36" w:rsidRPr="00725D0C" w:rsidRDefault="00181E36" w:rsidP="00725D0C">
            <w:pPr>
              <w:spacing w:after="0" w:line="240" w:lineRule="auto"/>
              <w:jc w:val="center"/>
              <w:rPr>
                <w:rFonts w:cstheme="minorHAnsi"/>
                <w:b/>
                <w:bCs/>
                <w:sz w:val="24"/>
                <w:szCs w:val="24"/>
              </w:rPr>
            </w:pPr>
            <w:r w:rsidRPr="00725D0C">
              <w:rPr>
                <w:rFonts w:cstheme="minorHAnsi"/>
                <w:b/>
                <w:bCs/>
                <w:sz w:val="24"/>
                <w:szCs w:val="24"/>
              </w:rPr>
              <w:t xml:space="preserve">Intitulé </w:t>
            </w:r>
          </w:p>
        </w:tc>
        <w:tc>
          <w:tcPr>
            <w:tcW w:w="7796" w:type="dxa"/>
            <w:tcBorders>
              <w:top w:val="single" w:sz="18" w:space="0" w:color="auto"/>
              <w:left w:val="single" w:sz="4" w:space="0" w:color="auto"/>
              <w:bottom w:val="single" w:sz="4" w:space="0" w:color="auto"/>
              <w:right w:val="single" w:sz="18" w:space="0" w:color="auto"/>
            </w:tcBorders>
            <w:shd w:val="clear" w:color="auto" w:fill="auto"/>
            <w:noWrap/>
          </w:tcPr>
          <w:p w:rsidR="00181E36" w:rsidRPr="00AE4A43" w:rsidRDefault="00181E36" w:rsidP="00AE4A43">
            <w:pPr>
              <w:spacing w:after="0" w:line="240" w:lineRule="auto"/>
              <w:jc w:val="both"/>
              <w:rPr>
                <w:rFonts w:cstheme="minorHAnsi"/>
              </w:rPr>
            </w:pPr>
            <w:r w:rsidRPr="00AE4A43">
              <w:rPr>
                <w:rFonts w:cstheme="minorHAnsi"/>
              </w:rPr>
              <w:t xml:space="preserve">Acoustique - Détermination de l'isolement acoustique des encoffrements - Partie 1 : mesurages dans des de laboratoire (aux fins de déclaration) </w:t>
            </w:r>
          </w:p>
        </w:tc>
      </w:tr>
      <w:tr w:rsidR="00181E36" w:rsidRPr="00725D0C" w:rsidTr="0045784D">
        <w:trPr>
          <w:trHeight w:val="330"/>
        </w:trPr>
        <w:tc>
          <w:tcPr>
            <w:tcW w:w="1844" w:type="dxa"/>
            <w:tcBorders>
              <w:top w:val="single" w:sz="4" w:space="0" w:color="auto"/>
              <w:left w:val="single" w:sz="18" w:space="0" w:color="auto"/>
              <w:bottom w:val="single" w:sz="18" w:space="0" w:color="auto"/>
              <w:right w:val="single" w:sz="4" w:space="0" w:color="auto"/>
            </w:tcBorders>
            <w:shd w:val="clear" w:color="auto" w:fill="D9D9D9" w:themeFill="background1" w:themeFillShade="D9"/>
            <w:vAlign w:val="center"/>
          </w:tcPr>
          <w:p w:rsidR="00181E36" w:rsidRPr="00725D0C" w:rsidRDefault="00181E36" w:rsidP="00725D0C">
            <w:pPr>
              <w:spacing w:after="0" w:line="240" w:lineRule="auto"/>
              <w:jc w:val="center"/>
              <w:rPr>
                <w:rFonts w:cstheme="minorHAnsi"/>
                <w:b/>
                <w:bCs/>
                <w:sz w:val="24"/>
                <w:szCs w:val="24"/>
              </w:rPr>
            </w:pPr>
            <w:r w:rsidRPr="00725D0C">
              <w:rPr>
                <w:rFonts w:cstheme="minorHAnsi"/>
                <w:b/>
                <w:bCs/>
                <w:sz w:val="24"/>
                <w:szCs w:val="24"/>
              </w:rPr>
              <w:t xml:space="preserve">Domaine d’application </w:t>
            </w:r>
          </w:p>
        </w:tc>
        <w:tc>
          <w:tcPr>
            <w:tcW w:w="7796" w:type="dxa"/>
            <w:tcBorders>
              <w:top w:val="single" w:sz="4" w:space="0" w:color="auto"/>
              <w:left w:val="single" w:sz="4" w:space="0" w:color="auto"/>
              <w:bottom w:val="single" w:sz="18" w:space="0" w:color="auto"/>
              <w:right w:val="single" w:sz="18" w:space="0" w:color="auto"/>
            </w:tcBorders>
            <w:shd w:val="clear" w:color="auto" w:fill="auto"/>
            <w:noWrap/>
          </w:tcPr>
          <w:p w:rsidR="00725D0C" w:rsidRPr="00AE4A43" w:rsidRDefault="00181E36" w:rsidP="00AE4A43">
            <w:pPr>
              <w:spacing w:after="0" w:line="240" w:lineRule="auto"/>
              <w:jc w:val="both"/>
              <w:rPr>
                <w:rFonts w:cstheme="minorHAnsi"/>
              </w:rPr>
            </w:pPr>
            <w:r w:rsidRPr="00AE4A43">
              <w:rPr>
                <w:rFonts w:cstheme="minorHAnsi"/>
              </w:rPr>
              <w:t>La présente partie de I’ISO 11546 prescrit des méthodes de laborat</w:t>
            </w:r>
            <w:r w:rsidR="0045784D" w:rsidRPr="00AE4A43">
              <w:rPr>
                <w:rFonts w:cstheme="minorHAnsi"/>
              </w:rPr>
              <w:t>oire pour la détermination de l’</w:t>
            </w:r>
            <w:r w:rsidRPr="00AE4A43">
              <w:rPr>
                <w:rFonts w:cstheme="minorHAnsi"/>
              </w:rPr>
              <w:t>isolement acoustique (perte d’insertion) de petits encoffrements de machines.</w:t>
            </w:r>
          </w:p>
          <w:p w:rsidR="00725D0C" w:rsidRPr="00AE4A43" w:rsidRDefault="00181E36" w:rsidP="00AE4A43">
            <w:pPr>
              <w:spacing w:after="0" w:line="240" w:lineRule="auto"/>
              <w:jc w:val="both"/>
              <w:rPr>
                <w:rFonts w:cstheme="minorHAnsi"/>
              </w:rPr>
            </w:pPr>
            <w:r w:rsidRPr="00AE4A43">
              <w:rPr>
                <w:rFonts w:cstheme="minorHAnsi"/>
              </w:rPr>
              <w:t>Elle s’applique uniquement à un encoffrement complet et non pas aux panneaux individuels qui le composent.</w:t>
            </w:r>
          </w:p>
          <w:p w:rsidR="0045784D" w:rsidRPr="00AE4A43" w:rsidRDefault="00181E36" w:rsidP="00AE4A43">
            <w:pPr>
              <w:spacing w:after="0" w:line="240" w:lineRule="auto"/>
              <w:jc w:val="both"/>
              <w:rPr>
                <w:rFonts w:cstheme="minorHAnsi"/>
                <w:i/>
                <w:iCs/>
                <w:sz w:val="20"/>
                <w:szCs w:val="20"/>
              </w:rPr>
            </w:pPr>
            <w:r w:rsidRPr="00AE4A43">
              <w:rPr>
                <w:rFonts w:cstheme="minorHAnsi"/>
                <w:b/>
                <w:bCs/>
                <w:i/>
                <w:iCs/>
                <w:sz w:val="20"/>
                <w:szCs w:val="20"/>
              </w:rPr>
              <w:t>NOTES</w:t>
            </w:r>
            <w:r w:rsidRPr="00AE4A43">
              <w:rPr>
                <w:rFonts w:cstheme="minorHAnsi"/>
                <w:i/>
                <w:iCs/>
                <w:sz w:val="20"/>
                <w:szCs w:val="20"/>
              </w:rPr>
              <w:br/>
            </w:r>
            <w:r w:rsidRPr="00AE4A43">
              <w:rPr>
                <w:rFonts w:cstheme="minorHAnsi"/>
                <w:b/>
                <w:bCs/>
                <w:i/>
                <w:iCs/>
                <w:sz w:val="20"/>
                <w:szCs w:val="20"/>
              </w:rPr>
              <w:t>1</w:t>
            </w:r>
            <w:r w:rsidRPr="00AE4A43">
              <w:rPr>
                <w:rFonts w:cstheme="minorHAnsi"/>
                <w:i/>
                <w:iCs/>
                <w:sz w:val="20"/>
                <w:szCs w:val="20"/>
              </w:rPr>
              <w:t xml:space="preserve"> L’isolement acoustique des panneaux constitutifs d’encoffrements tels que: éléments de paroi, portes, fenêtres, silencieux, etc. devrait être mesuré suivant les normes appropriées.</w:t>
            </w:r>
          </w:p>
          <w:p w:rsidR="0045784D" w:rsidRPr="00AE4A43" w:rsidRDefault="00181E36" w:rsidP="00AE4A43">
            <w:pPr>
              <w:spacing w:after="0" w:line="240" w:lineRule="auto"/>
              <w:jc w:val="both"/>
              <w:rPr>
                <w:rFonts w:cstheme="minorHAnsi"/>
                <w:i/>
                <w:iCs/>
                <w:sz w:val="20"/>
                <w:szCs w:val="20"/>
              </w:rPr>
            </w:pPr>
            <w:r w:rsidRPr="00AE4A43">
              <w:rPr>
                <w:rFonts w:cstheme="minorHAnsi"/>
                <w:b/>
                <w:bCs/>
                <w:i/>
                <w:iCs/>
                <w:sz w:val="20"/>
                <w:szCs w:val="20"/>
              </w:rPr>
              <w:t xml:space="preserve">2 </w:t>
            </w:r>
            <w:r w:rsidRPr="00AE4A43">
              <w:rPr>
                <w:rFonts w:cstheme="minorHAnsi"/>
                <w:i/>
                <w:iCs/>
                <w:sz w:val="20"/>
                <w:szCs w:val="20"/>
              </w:rPr>
              <w:t>II existe des normes relatives à la détermination de l’isolement acoustique des encoffrements in situ (ISO 11546-2), et des cabines (ISO 11957).</w:t>
            </w:r>
          </w:p>
          <w:p w:rsidR="0045784D" w:rsidRPr="00AE4A43" w:rsidRDefault="00181E36" w:rsidP="00AE4A43">
            <w:pPr>
              <w:spacing w:after="0" w:line="240" w:lineRule="auto"/>
              <w:jc w:val="both"/>
              <w:rPr>
                <w:rFonts w:cstheme="minorHAnsi"/>
              </w:rPr>
            </w:pPr>
            <w:r w:rsidRPr="00AE4A43">
              <w:rPr>
                <w:rFonts w:cstheme="minorHAnsi"/>
              </w:rPr>
              <w:t>Les méthodes de mesurage prescrites dans la présente partie de I’ISO 11546 sont basées sur les Normes internationales des séries ISO 3740, ISO 9614 et ISO 11200 (voir tableau 1). Suivant la méthode choisie, l’isolement acoustique de</w:t>
            </w:r>
            <w:r w:rsidR="0045784D" w:rsidRPr="00AE4A43">
              <w:rPr>
                <w:rFonts w:cstheme="minorHAnsi"/>
              </w:rPr>
              <w:t xml:space="preserve"> l</w:t>
            </w:r>
            <w:r w:rsidRPr="00AE4A43">
              <w:rPr>
                <w:rFonts w:cstheme="minorHAnsi"/>
              </w:rPr>
              <w:t xml:space="preserve">’encoffrement (perte d’insertion) est exprimé en termes de réduction du niveau de puissance acoustique ou du niveau de pression acoustique. Les méthodes sont données pour des mesurages effectués lorsque </w:t>
            </w:r>
            <w:r w:rsidR="0045784D" w:rsidRPr="00AE4A43">
              <w:rPr>
                <w:rFonts w:cstheme="minorHAnsi"/>
              </w:rPr>
              <w:t>l’encoffrement</w:t>
            </w:r>
            <w:r w:rsidRPr="00AE4A43">
              <w:rPr>
                <w:rFonts w:cstheme="minorHAnsi"/>
              </w:rPr>
              <w:t xml:space="preserve"> entoure la source sonore réelle (machine). Lorsque ces méthodes ne sont pas applicables, d’autres mesurages peuvent être effectués en recourant à une méthode de réciprocité (voir définition 3.11 et paragraphe 7.2) ou à une source sonore artificielle.</w:t>
            </w:r>
          </w:p>
          <w:p w:rsidR="0045784D" w:rsidRPr="00AE4A43" w:rsidRDefault="00181E36" w:rsidP="00AE4A43">
            <w:pPr>
              <w:spacing w:after="0" w:line="240" w:lineRule="auto"/>
              <w:jc w:val="both"/>
              <w:rPr>
                <w:rFonts w:cstheme="minorHAnsi"/>
              </w:rPr>
            </w:pPr>
            <w:r w:rsidRPr="00AE4A43">
              <w:rPr>
                <w:rFonts w:cstheme="minorHAnsi"/>
              </w:rPr>
              <w:t>La présente partie de I’ISO 11546 s’applique sans restriction à des encoffrements autoporteurs d’un volume inférieur à 2 m3. Si la source sonore réelle es</w:t>
            </w:r>
            <w:r w:rsidR="0045784D" w:rsidRPr="00AE4A43">
              <w:rPr>
                <w:rFonts w:cstheme="minorHAnsi"/>
              </w:rPr>
              <w:t>t utilisée, l’isolement acoustique</w:t>
            </w:r>
            <w:r w:rsidRPr="00AE4A43">
              <w:rPr>
                <w:rFonts w:cstheme="minorHAnsi"/>
              </w:rPr>
              <w:t xml:space="preserve"> des encoffrements dont le volume dépasse 2 m9 peut être déterminé à</w:t>
            </w:r>
            <w:r w:rsidR="0045784D" w:rsidRPr="00AE4A43">
              <w:rPr>
                <w:rFonts w:cstheme="minorHAnsi"/>
              </w:rPr>
              <w:t xml:space="preserve"> </w:t>
            </w:r>
            <w:r w:rsidRPr="00AE4A43">
              <w:rPr>
                <w:rFonts w:cstheme="minorHAnsi"/>
              </w:rPr>
              <w:t>condition de satisfaire aux exigences relatives au volume maximal autorisé par la norme utilisée. La méthode avec source sonore réelle est applicable à tous les types d’encoffrements, par exemple aux encoffrements fixés à la machine.</w:t>
            </w:r>
            <w:r w:rsidRPr="00AE4A43">
              <w:rPr>
                <w:rFonts w:cstheme="minorHAnsi"/>
              </w:rPr>
              <w:br/>
              <w:t>Lorsque l’on recourt à la méthode de réciprocité ou à la méthode avec source sonore artif</w:t>
            </w:r>
            <w:r w:rsidR="0045784D" w:rsidRPr="00AE4A43">
              <w:rPr>
                <w:rFonts w:cstheme="minorHAnsi"/>
              </w:rPr>
              <w:t>icielle, le volume maximal de l’</w:t>
            </w:r>
            <w:r w:rsidRPr="00AE4A43">
              <w:rPr>
                <w:rFonts w:cstheme="minorHAnsi"/>
              </w:rPr>
              <w:t>encoffrement est limité à 2 m3. Ces méthodes ne sont pas applicables à des encoffrements justes au corps.</w:t>
            </w:r>
          </w:p>
          <w:p w:rsidR="00181E36" w:rsidRPr="00AE4A43" w:rsidRDefault="00181E36" w:rsidP="00AE4A43">
            <w:pPr>
              <w:spacing w:after="0" w:line="240" w:lineRule="auto"/>
              <w:jc w:val="both"/>
              <w:rPr>
                <w:rFonts w:cstheme="minorHAnsi"/>
              </w:rPr>
            </w:pPr>
            <w:r w:rsidRPr="00AE4A43">
              <w:rPr>
                <w:rFonts w:cstheme="minorHAnsi"/>
              </w:rPr>
              <w:t>L’expression ((conditions de laboratoire)) utilisée dans le titre de la présente partie de I’ISO 11546 indique que les conditions d’essai et l’environnement d’essai (à l’intérieur ou à l’extérieur) sont pleinement conformes aux Normes internationales</w:t>
            </w:r>
            <w:r w:rsidR="00AE4A43">
              <w:rPr>
                <w:rFonts w:cstheme="minorHAnsi"/>
              </w:rPr>
              <w:t xml:space="preserve"> </w:t>
            </w:r>
            <w:r w:rsidRPr="00AE4A43">
              <w:rPr>
                <w:rFonts w:cstheme="minorHAnsi"/>
              </w:rPr>
              <w:t>correspondantes du</w:t>
            </w:r>
            <w:r w:rsidR="00AE4A43">
              <w:rPr>
                <w:rFonts w:cstheme="minorHAnsi"/>
              </w:rPr>
              <w:t xml:space="preserve"> </w:t>
            </w:r>
            <w:r w:rsidRPr="00AE4A43">
              <w:rPr>
                <w:rFonts w:cstheme="minorHAnsi"/>
              </w:rPr>
              <w:t>tableau 1.</w:t>
            </w:r>
          </w:p>
        </w:tc>
      </w:tr>
      <w:tr w:rsidR="00181E36" w:rsidRPr="0045784D" w:rsidTr="008D5BBF">
        <w:trPr>
          <w:trHeight w:val="330"/>
        </w:trPr>
        <w:tc>
          <w:tcPr>
            <w:tcW w:w="1844" w:type="dxa"/>
            <w:tcBorders>
              <w:top w:val="single" w:sz="18" w:space="0" w:color="auto"/>
              <w:left w:val="single" w:sz="18" w:space="0" w:color="auto"/>
              <w:bottom w:val="single" w:sz="18" w:space="0" w:color="auto"/>
              <w:right w:val="single" w:sz="4" w:space="0" w:color="auto"/>
            </w:tcBorders>
            <w:shd w:val="clear" w:color="auto" w:fill="B0CA7C"/>
            <w:vAlign w:val="center"/>
          </w:tcPr>
          <w:p w:rsidR="00181E36" w:rsidRPr="0045784D" w:rsidRDefault="00181E36" w:rsidP="0045784D">
            <w:pPr>
              <w:spacing w:after="0" w:line="240" w:lineRule="auto"/>
              <w:jc w:val="center"/>
              <w:rPr>
                <w:rFonts w:cstheme="minorHAnsi"/>
                <w:b/>
                <w:bCs/>
                <w:sz w:val="24"/>
                <w:szCs w:val="24"/>
              </w:rPr>
            </w:pPr>
            <w:r w:rsidRPr="0045784D">
              <w:rPr>
                <w:rFonts w:cstheme="minorHAnsi"/>
                <w:b/>
                <w:bCs/>
                <w:sz w:val="24"/>
                <w:szCs w:val="24"/>
              </w:rPr>
              <w:t xml:space="preserve">Code  </w:t>
            </w:r>
          </w:p>
        </w:tc>
        <w:tc>
          <w:tcPr>
            <w:tcW w:w="7796" w:type="dxa"/>
            <w:tcBorders>
              <w:top w:val="single" w:sz="18" w:space="0" w:color="auto"/>
              <w:left w:val="single" w:sz="4" w:space="0" w:color="auto"/>
              <w:bottom w:val="single" w:sz="18" w:space="0" w:color="auto"/>
              <w:right w:val="single" w:sz="18" w:space="0" w:color="auto"/>
            </w:tcBorders>
            <w:shd w:val="clear" w:color="auto" w:fill="B0CA7C"/>
            <w:noWrap/>
            <w:vAlign w:val="center"/>
          </w:tcPr>
          <w:p w:rsidR="00181E36" w:rsidRPr="0045784D" w:rsidRDefault="00181E36" w:rsidP="0045784D">
            <w:pPr>
              <w:spacing w:after="0" w:line="240" w:lineRule="auto"/>
              <w:jc w:val="center"/>
              <w:rPr>
                <w:rFonts w:cstheme="minorHAnsi"/>
                <w:b/>
                <w:bCs/>
                <w:sz w:val="24"/>
                <w:szCs w:val="24"/>
              </w:rPr>
            </w:pPr>
            <w:r w:rsidRPr="0045784D">
              <w:rPr>
                <w:rFonts w:cstheme="minorHAnsi"/>
                <w:b/>
                <w:bCs/>
                <w:sz w:val="24"/>
                <w:szCs w:val="24"/>
              </w:rPr>
              <w:t>NM ISO 11546-2</w:t>
            </w:r>
          </w:p>
        </w:tc>
      </w:tr>
      <w:tr w:rsidR="00181E36" w:rsidRPr="0045784D" w:rsidTr="0045784D">
        <w:trPr>
          <w:trHeight w:val="330"/>
        </w:trPr>
        <w:tc>
          <w:tcPr>
            <w:tcW w:w="1844" w:type="dxa"/>
            <w:tcBorders>
              <w:top w:val="single" w:sz="18" w:space="0" w:color="auto"/>
              <w:left w:val="single" w:sz="18" w:space="0" w:color="auto"/>
              <w:bottom w:val="single" w:sz="18" w:space="0" w:color="auto"/>
              <w:right w:val="single" w:sz="4" w:space="0" w:color="auto"/>
            </w:tcBorders>
            <w:shd w:val="clear" w:color="auto" w:fill="FFFF99"/>
            <w:vAlign w:val="center"/>
          </w:tcPr>
          <w:p w:rsidR="00181E36" w:rsidRPr="0045784D" w:rsidRDefault="00181E36" w:rsidP="0045784D">
            <w:pPr>
              <w:spacing w:after="0" w:line="240" w:lineRule="auto"/>
              <w:jc w:val="center"/>
              <w:rPr>
                <w:rFonts w:cstheme="minorHAnsi"/>
                <w:b/>
                <w:bCs/>
                <w:sz w:val="24"/>
                <w:szCs w:val="24"/>
              </w:rPr>
            </w:pPr>
            <w:r w:rsidRPr="0045784D">
              <w:rPr>
                <w:rFonts w:cstheme="minorHAnsi"/>
                <w:b/>
                <w:bCs/>
                <w:sz w:val="24"/>
                <w:szCs w:val="24"/>
              </w:rPr>
              <w:t xml:space="preserve">Equivalence </w:t>
            </w:r>
          </w:p>
        </w:tc>
        <w:tc>
          <w:tcPr>
            <w:tcW w:w="7796" w:type="dxa"/>
            <w:tcBorders>
              <w:top w:val="single" w:sz="18" w:space="0" w:color="auto"/>
              <w:left w:val="single" w:sz="4" w:space="0" w:color="auto"/>
              <w:bottom w:val="single" w:sz="18" w:space="0" w:color="auto"/>
              <w:right w:val="single" w:sz="18" w:space="0" w:color="auto"/>
            </w:tcBorders>
            <w:shd w:val="clear" w:color="auto" w:fill="FFFF99"/>
            <w:noWrap/>
            <w:vAlign w:val="center"/>
          </w:tcPr>
          <w:p w:rsidR="00181E36" w:rsidRPr="0045784D" w:rsidRDefault="00181E36" w:rsidP="0045784D">
            <w:pPr>
              <w:spacing w:after="0" w:line="240" w:lineRule="auto"/>
              <w:jc w:val="center"/>
              <w:rPr>
                <w:rFonts w:cstheme="minorHAnsi"/>
                <w:b/>
                <w:bCs/>
                <w:sz w:val="24"/>
                <w:szCs w:val="24"/>
              </w:rPr>
            </w:pPr>
            <w:r w:rsidRPr="0045784D">
              <w:rPr>
                <w:rFonts w:cstheme="minorHAnsi"/>
                <w:b/>
                <w:bCs/>
                <w:sz w:val="24"/>
                <w:szCs w:val="24"/>
              </w:rPr>
              <w:t>ISO 11546-2</w:t>
            </w:r>
          </w:p>
        </w:tc>
      </w:tr>
      <w:tr w:rsidR="00181E36" w:rsidRPr="0045784D" w:rsidTr="0045784D">
        <w:trPr>
          <w:trHeight w:val="330"/>
        </w:trPr>
        <w:tc>
          <w:tcPr>
            <w:tcW w:w="1844" w:type="dxa"/>
            <w:tcBorders>
              <w:top w:val="single" w:sz="18" w:space="0" w:color="auto"/>
              <w:left w:val="single" w:sz="18" w:space="0" w:color="auto"/>
              <w:bottom w:val="single" w:sz="18" w:space="0" w:color="auto"/>
              <w:right w:val="single" w:sz="4" w:space="0" w:color="auto"/>
            </w:tcBorders>
            <w:shd w:val="clear" w:color="auto" w:fill="B8CCE4" w:themeFill="accent1" w:themeFillTint="66"/>
            <w:vAlign w:val="center"/>
          </w:tcPr>
          <w:p w:rsidR="00181E36" w:rsidRPr="0045784D" w:rsidRDefault="00181E36" w:rsidP="0045784D">
            <w:pPr>
              <w:spacing w:after="0" w:line="240" w:lineRule="auto"/>
              <w:jc w:val="center"/>
              <w:rPr>
                <w:rFonts w:cstheme="minorHAnsi"/>
                <w:b/>
                <w:bCs/>
                <w:sz w:val="24"/>
                <w:szCs w:val="24"/>
              </w:rPr>
            </w:pPr>
            <w:r w:rsidRPr="0045784D">
              <w:rPr>
                <w:rFonts w:cstheme="minorHAnsi"/>
                <w:b/>
                <w:bCs/>
                <w:sz w:val="24"/>
                <w:szCs w:val="24"/>
              </w:rPr>
              <w:t xml:space="preserve">Intitulé </w:t>
            </w:r>
          </w:p>
        </w:tc>
        <w:tc>
          <w:tcPr>
            <w:tcW w:w="7796" w:type="dxa"/>
            <w:tcBorders>
              <w:top w:val="single" w:sz="18" w:space="0" w:color="auto"/>
              <w:left w:val="single" w:sz="4" w:space="0" w:color="auto"/>
              <w:bottom w:val="single" w:sz="18" w:space="0" w:color="auto"/>
              <w:right w:val="single" w:sz="18" w:space="0" w:color="auto"/>
            </w:tcBorders>
            <w:shd w:val="clear" w:color="auto" w:fill="auto"/>
            <w:noWrap/>
          </w:tcPr>
          <w:p w:rsidR="00181E36" w:rsidRPr="00AE4A43" w:rsidRDefault="00181E36" w:rsidP="00AE4A43">
            <w:pPr>
              <w:spacing w:after="0" w:line="240" w:lineRule="auto"/>
              <w:jc w:val="both"/>
              <w:rPr>
                <w:rFonts w:cstheme="minorHAnsi"/>
              </w:rPr>
            </w:pPr>
            <w:r w:rsidRPr="00AE4A43">
              <w:rPr>
                <w:rFonts w:cstheme="minorHAnsi"/>
              </w:rPr>
              <w:t xml:space="preserve">Acoustique - Détermination de l'isolement acoustique des encoffrements - Partie 2 : mesurages sur site (aux fins d'acceptation et de vérification)  </w:t>
            </w:r>
          </w:p>
        </w:tc>
      </w:tr>
      <w:tr w:rsidR="00181E36" w:rsidRPr="0045784D" w:rsidTr="0045784D">
        <w:trPr>
          <w:trHeight w:val="330"/>
        </w:trPr>
        <w:tc>
          <w:tcPr>
            <w:tcW w:w="1844" w:type="dxa"/>
            <w:tcBorders>
              <w:top w:val="single" w:sz="18" w:space="0" w:color="auto"/>
              <w:left w:val="single" w:sz="18" w:space="0" w:color="auto"/>
              <w:bottom w:val="single" w:sz="18" w:space="0" w:color="auto"/>
              <w:right w:val="single" w:sz="4" w:space="0" w:color="auto"/>
            </w:tcBorders>
            <w:shd w:val="clear" w:color="auto" w:fill="D9D9D9" w:themeFill="background1" w:themeFillShade="D9"/>
            <w:vAlign w:val="center"/>
          </w:tcPr>
          <w:p w:rsidR="00181E36" w:rsidRPr="0045784D" w:rsidRDefault="00181E36" w:rsidP="0045784D">
            <w:pPr>
              <w:spacing w:after="0" w:line="240" w:lineRule="auto"/>
              <w:jc w:val="center"/>
              <w:rPr>
                <w:rFonts w:cstheme="minorHAnsi"/>
                <w:b/>
                <w:bCs/>
                <w:sz w:val="24"/>
                <w:szCs w:val="24"/>
              </w:rPr>
            </w:pPr>
            <w:r w:rsidRPr="0045784D">
              <w:rPr>
                <w:rFonts w:cstheme="minorHAnsi"/>
                <w:b/>
                <w:bCs/>
                <w:sz w:val="24"/>
                <w:szCs w:val="24"/>
              </w:rPr>
              <w:lastRenderedPageBreak/>
              <w:t xml:space="preserve">Domaine d’application </w:t>
            </w:r>
          </w:p>
        </w:tc>
        <w:tc>
          <w:tcPr>
            <w:tcW w:w="7796" w:type="dxa"/>
            <w:tcBorders>
              <w:top w:val="single" w:sz="18" w:space="0" w:color="auto"/>
              <w:left w:val="single" w:sz="4" w:space="0" w:color="auto"/>
              <w:bottom w:val="single" w:sz="18" w:space="0" w:color="auto"/>
              <w:right w:val="single" w:sz="18" w:space="0" w:color="auto"/>
            </w:tcBorders>
            <w:shd w:val="clear" w:color="auto" w:fill="auto"/>
            <w:noWrap/>
          </w:tcPr>
          <w:p w:rsidR="0045784D" w:rsidRPr="00AE4A43" w:rsidRDefault="00181E36" w:rsidP="00AE4A43">
            <w:pPr>
              <w:spacing w:after="0" w:line="240" w:lineRule="auto"/>
              <w:jc w:val="both"/>
              <w:rPr>
                <w:rFonts w:cstheme="minorHAnsi"/>
              </w:rPr>
            </w:pPr>
            <w:r w:rsidRPr="00AE4A43">
              <w:rPr>
                <w:rFonts w:cstheme="minorHAnsi"/>
              </w:rPr>
              <w:t>La présente partie de I ‘ISO 11546 prescrit des méthodes de détermination in situ de l’isolement acoustique (perte d’insertion) d’encoffrements de machines.</w:t>
            </w:r>
          </w:p>
          <w:p w:rsidR="0045784D" w:rsidRPr="00AE4A43" w:rsidRDefault="00181E36" w:rsidP="00AE4A43">
            <w:pPr>
              <w:spacing w:after="0" w:line="240" w:lineRule="auto"/>
              <w:jc w:val="both"/>
              <w:rPr>
                <w:rFonts w:cstheme="minorHAnsi"/>
              </w:rPr>
            </w:pPr>
            <w:r w:rsidRPr="00AE4A43">
              <w:rPr>
                <w:rFonts w:cstheme="minorHAnsi"/>
              </w:rPr>
              <w:t>Elle s’applique uniquement à un encoffrement complet et non pas aux panneaux individuels qui le composent.</w:t>
            </w:r>
          </w:p>
          <w:p w:rsidR="0045784D" w:rsidRPr="00AE4A43" w:rsidRDefault="00181E36" w:rsidP="00AE4A43">
            <w:pPr>
              <w:spacing w:after="0" w:line="240" w:lineRule="auto"/>
              <w:jc w:val="both"/>
              <w:rPr>
                <w:rFonts w:cstheme="minorHAnsi"/>
                <w:i/>
                <w:iCs/>
                <w:sz w:val="20"/>
                <w:szCs w:val="20"/>
              </w:rPr>
            </w:pPr>
            <w:r w:rsidRPr="00AE4A43">
              <w:rPr>
                <w:rFonts w:cstheme="minorHAnsi"/>
                <w:b/>
                <w:bCs/>
                <w:i/>
                <w:iCs/>
                <w:sz w:val="20"/>
                <w:szCs w:val="20"/>
              </w:rPr>
              <w:t>NOTES</w:t>
            </w:r>
            <w:r w:rsidRPr="00AE4A43">
              <w:rPr>
                <w:rFonts w:cstheme="minorHAnsi"/>
                <w:i/>
                <w:iCs/>
                <w:sz w:val="20"/>
                <w:szCs w:val="20"/>
              </w:rPr>
              <w:br/>
            </w:r>
            <w:r w:rsidRPr="00AE4A43">
              <w:rPr>
                <w:rFonts w:cstheme="minorHAnsi"/>
                <w:b/>
                <w:bCs/>
                <w:i/>
                <w:iCs/>
                <w:sz w:val="20"/>
                <w:szCs w:val="20"/>
              </w:rPr>
              <w:t xml:space="preserve">1 </w:t>
            </w:r>
            <w:r w:rsidRPr="00AE4A43">
              <w:rPr>
                <w:rFonts w:cstheme="minorHAnsi"/>
                <w:i/>
                <w:iCs/>
                <w:sz w:val="20"/>
                <w:szCs w:val="20"/>
              </w:rPr>
              <w:t>L’isolement acoustique des panneaux constitutifs d’encoffrements tels que: éléments de paroi, portes, fenêtres, silencieux, etc. devrait être mesuré suivant les normes appropriées.</w:t>
            </w:r>
          </w:p>
          <w:p w:rsidR="0045784D" w:rsidRPr="00AE4A43" w:rsidRDefault="00181E36" w:rsidP="00AE4A43">
            <w:pPr>
              <w:spacing w:after="0" w:line="240" w:lineRule="auto"/>
              <w:jc w:val="both"/>
              <w:rPr>
                <w:rFonts w:cstheme="minorHAnsi"/>
                <w:i/>
                <w:iCs/>
                <w:sz w:val="20"/>
                <w:szCs w:val="20"/>
              </w:rPr>
            </w:pPr>
            <w:r w:rsidRPr="00AE4A43">
              <w:rPr>
                <w:rFonts w:cstheme="minorHAnsi"/>
                <w:b/>
                <w:bCs/>
                <w:i/>
                <w:iCs/>
                <w:sz w:val="20"/>
                <w:szCs w:val="20"/>
              </w:rPr>
              <w:t xml:space="preserve">2 </w:t>
            </w:r>
            <w:r w:rsidRPr="00AE4A43">
              <w:rPr>
                <w:rFonts w:cstheme="minorHAnsi"/>
                <w:i/>
                <w:iCs/>
                <w:sz w:val="20"/>
                <w:szCs w:val="20"/>
              </w:rPr>
              <w:t>II existe des normes relatives à la détermination de l’isolement acoustique des encoffrements dans des conditions de laboratoire (ISO 11546-l), et des cabines</w:t>
            </w:r>
            <w:r w:rsidR="0045784D" w:rsidRPr="00AE4A43">
              <w:rPr>
                <w:rFonts w:cstheme="minorHAnsi"/>
                <w:i/>
                <w:iCs/>
                <w:sz w:val="20"/>
                <w:szCs w:val="20"/>
              </w:rPr>
              <w:t xml:space="preserve"> </w:t>
            </w:r>
            <w:r w:rsidRPr="00AE4A43">
              <w:rPr>
                <w:rFonts w:cstheme="minorHAnsi"/>
                <w:i/>
                <w:iCs/>
                <w:sz w:val="20"/>
                <w:szCs w:val="20"/>
              </w:rPr>
              <w:t>(ISO 11957).</w:t>
            </w:r>
          </w:p>
          <w:p w:rsidR="00181E36" w:rsidRPr="00AE4A43" w:rsidRDefault="00181E36" w:rsidP="00AE4A43">
            <w:pPr>
              <w:spacing w:after="0" w:line="240" w:lineRule="auto"/>
              <w:jc w:val="both"/>
              <w:rPr>
                <w:rFonts w:cstheme="minorHAnsi"/>
              </w:rPr>
            </w:pPr>
            <w:r w:rsidRPr="00AE4A43">
              <w:rPr>
                <w:rFonts w:cstheme="minorHAnsi"/>
              </w:rPr>
              <w:t>Les méthodes de mesurage prescrites dans la présente partie de I’ISO 11546 sont basées sur les Normes internationales des séries ISO 3740, ISO 9614 et ISO 11200 (voir tableau 1). Suivant la méthode chois</w:t>
            </w:r>
            <w:r w:rsidR="0045784D" w:rsidRPr="00AE4A43">
              <w:rPr>
                <w:rFonts w:cstheme="minorHAnsi"/>
              </w:rPr>
              <w:t>ie, l’isolement acoustique de l’</w:t>
            </w:r>
            <w:r w:rsidRPr="00AE4A43">
              <w:rPr>
                <w:rFonts w:cstheme="minorHAnsi"/>
              </w:rPr>
              <w:t>encoffrement (perte d’insertion) est exprimé en termes de réduction du niveau de puissance acoustique ou du niveau de pression acoustique. Les méthodes sont données pour de</w:t>
            </w:r>
            <w:r w:rsidR="0045784D" w:rsidRPr="00AE4A43">
              <w:rPr>
                <w:rFonts w:cstheme="minorHAnsi"/>
              </w:rPr>
              <w:t>s mesurages effectués lorsque l’</w:t>
            </w:r>
            <w:r w:rsidRPr="00AE4A43">
              <w:rPr>
                <w:rFonts w:cstheme="minorHAnsi"/>
              </w:rPr>
              <w:t>encoffrement entoure la source sonore réelle (machine). Lorsque ces méthodes ne sont pas applicables, d’autres mesurages peuvent être effectués avec une source de bruit artificielle. De telles méthodes sont aussi décrites dans la présente partie de I’ISO 11546.</w:t>
            </w:r>
          </w:p>
        </w:tc>
      </w:tr>
      <w:tr w:rsidR="00181E36" w:rsidRPr="0045784D" w:rsidTr="008D5BBF">
        <w:trPr>
          <w:trHeight w:val="330"/>
        </w:trPr>
        <w:tc>
          <w:tcPr>
            <w:tcW w:w="1844" w:type="dxa"/>
            <w:tcBorders>
              <w:top w:val="single" w:sz="18" w:space="0" w:color="auto"/>
              <w:left w:val="single" w:sz="18" w:space="0" w:color="auto"/>
              <w:bottom w:val="single" w:sz="18" w:space="0" w:color="auto"/>
              <w:right w:val="single" w:sz="4" w:space="0" w:color="auto"/>
            </w:tcBorders>
            <w:shd w:val="clear" w:color="auto" w:fill="B0CA7C"/>
            <w:vAlign w:val="center"/>
          </w:tcPr>
          <w:p w:rsidR="00181E36" w:rsidRPr="0045784D" w:rsidRDefault="00181E36" w:rsidP="00AE4A43">
            <w:pPr>
              <w:spacing w:after="0" w:line="240" w:lineRule="auto"/>
              <w:jc w:val="center"/>
              <w:rPr>
                <w:rFonts w:cstheme="minorHAnsi"/>
                <w:b/>
                <w:bCs/>
                <w:sz w:val="24"/>
                <w:szCs w:val="24"/>
              </w:rPr>
            </w:pPr>
            <w:r w:rsidRPr="0045784D">
              <w:rPr>
                <w:rFonts w:cstheme="minorHAnsi"/>
                <w:b/>
                <w:bCs/>
                <w:sz w:val="24"/>
                <w:szCs w:val="24"/>
              </w:rPr>
              <w:t xml:space="preserve">Code </w:t>
            </w:r>
          </w:p>
        </w:tc>
        <w:tc>
          <w:tcPr>
            <w:tcW w:w="7796" w:type="dxa"/>
            <w:tcBorders>
              <w:top w:val="single" w:sz="18" w:space="0" w:color="auto"/>
              <w:left w:val="single" w:sz="4" w:space="0" w:color="auto"/>
              <w:bottom w:val="single" w:sz="18" w:space="0" w:color="auto"/>
              <w:right w:val="single" w:sz="18" w:space="0" w:color="auto"/>
            </w:tcBorders>
            <w:shd w:val="clear" w:color="auto" w:fill="B0CA7C"/>
            <w:noWrap/>
            <w:vAlign w:val="center"/>
          </w:tcPr>
          <w:p w:rsidR="00181E36" w:rsidRPr="0045784D" w:rsidRDefault="00181E36" w:rsidP="0045784D">
            <w:pPr>
              <w:spacing w:after="0" w:line="240" w:lineRule="auto"/>
              <w:jc w:val="center"/>
              <w:rPr>
                <w:rFonts w:cstheme="minorHAnsi"/>
                <w:b/>
                <w:bCs/>
                <w:sz w:val="24"/>
                <w:szCs w:val="24"/>
              </w:rPr>
            </w:pPr>
            <w:r w:rsidRPr="0045784D">
              <w:rPr>
                <w:rFonts w:cstheme="minorHAnsi"/>
                <w:b/>
                <w:bCs/>
                <w:sz w:val="24"/>
                <w:szCs w:val="24"/>
              </w:rPr>
              <w:t>NM ISO 11688-1</w:t>
            </w:r>
          </w:p>
        </w:tc>
      </w:tr>
      <w:tr w:rsidR="00181E36" w:rsidRPr="00AE4A43" w:rsidTr="00AE4A43">
        <w:trPr>
          <w:trHeight w:val="330"/>
        </w:trPr>
        <w:tc>
          <w:tcPr>
            <w:tcW w:w="1844" w:type="dxa"/>
            <w:tcBorders>
              <w:top w:val="single" w:sz="18" w:space="0" w:color="auto"/>
              <w:left w:val="single" w:sz="18" w:space="0" w:color="auto"/>
              <w:bottom w:val="single" w:sz="18" w:space="0" w:color="auto"/>
              <w:right w:val="single" w:sz="4" w:space="0" w:color="auto"/>
            </w:tcBorders>
            <w:shd w:val="clear" w:color="auto" w:fill="FFFF99"/>
            <w:vAlign w:val="center"/>
          </w:tcPr>
          <w:p w:rsidR="00181E36" w:rsidRPr="00AE4A43" w:rsidRDefault="00181E36" w:rsidP="00AE4A43">
            <w:pPr>
              <w:spacing w:after="0" w:line="240" w:lineRule="auto"/>
              <w:jc w:val="center"/>
              <w:rPr>
                <w:rFonts w:cstheme="minorHAnsi"/>
                <w:b/>
                <w:bCs/>
                <w:sz w:val="24"/>
                <w:szCs w:val="24"/>
              </w:rPr>
            </w:pPr>
            <w:r w:rsidRPr="00AE4A43">
              <w:rPr>
                <w:rFonts w:cstheme="minorHAnsi"/>
                <w:b/>
                <w:bCs/>
                <w:sz w:val="24"/>
                <w:szCs w:val="24"/>
              </w:rPr>
              <w:t xml:space="preserve">Equivalence </w:t>
            </w:r>
          </w:p>
        </w:tc>
        <w:tc>
          <w:tcPr>
            <w:tcW w:w="7796" w:type="dxa"/>
            <w:tcBorders>
              <w:top w:val="single" w:sz="18" w:space="0" w:color="auto"/>
              <w:left w:val="single" w:sz="4" w:space="0" w:color="auto"/>
              <w:bottom w:val="single" w:sz="18" w:space="0" w:color="auto"/>
              <w:right w:val="single" w:sz="18" w:space="0" w:color="auto"/>
            </w:tcBorders>
            <w:shd w:val="clear" w:color="auto" w:fill="FFFF99"/>
            <w:noWrap/>
            <w:vAlign w:val="center"/>
          </w:tcPr>
          <w:p w:rsidR="00181E36" w:rsidRPr="00AE4A43" w:rsidRDefault="00181E36" w:rsidP="00AE4A43">
            <w:pPr>
              <w:spacing w:after="0" w:line="240" w:lineRule="auto"/>
              <w:jc w:val="center"/>
              <w:rPr>
                <w:rFonts w:cstheme="minorHAnsi"/>
                <w:b/>
                <w:bCs/>
                <w:sz w:val="24"/>
                <w:szCs w:val="24"/>
              </w:rPr>
            </w:pPr>
            <w:r w:rsidRPr="00AE4A43">
              <w:rPr>
                <w:rFonts w:cstheme="minorHAnsi"/>
                <w:b/>
                <w:bCs/>
                <w:sz w:val="24"/>
                <w:szCs w:val="24"/>
              </w:rPr>
              <w:t>ISO 11688-1</w:t>
            </w:r>
          </w:p>
        </w:tc>
      </w:tr>
      <w:tr w:rsidR="00181E36" w:rsidRPr="00AE4A43" w:rsidTr="00AE4A43">
        <w:trPr>
          <w:trHeight w:val="330"/>
        </w:trPr>
        <w:tc>
          <w:tcPr>
            <w:tcW w:w="1844" w:type="dxa"/>
            <w:tcBorders>
              <w:top w:val="single" w:sz="18" w:space="0" w:color="auto"/>
              <w:left w:val="single" w:sz="18" w:space="0" w:color="auto"/>
              <w:bottom w:val="single" w:sz="4" w:space="0" w:color="auto"/>
              <w:right w:val="single" w:sz="4" w:space="0" w:color="auto"/>
            </w:tcBorders>
            <w:shd w:val="clear" w:color="auto" w:fill="B8CCE4" w:themeFill="accent1" w:themeFillTint="66"/>
            <w:vAlign w:val="center"/>
          </w:tcPr>
          <w:p w:rsidR="00181E36" w:rsidRPr="00AE4A43" w:rsidRDefault="00181E36" w:rsidP="00AE4A43">
            <w:pPr>
              <w:spacing w:after="0" w:line="240" w:lineRule="auto"/>
              <w:jc w:val="center"/>
              <w:rPr>
                <w:rFonts w:cstheme="minorHAnsi"/>
                <w:b/>
                <w:bCs/>
                <w:sz w:val="24"/>
                <w:szCs w:val="24"/>
              </w:rPr>
            </w:pPr>
            <w:r w:rsidRPr="00AE4A43">
              <w:rPr>
                <w:rFonts w:cstheme="minorHAnsi"/>
                <w:b/>
                <w:bCs/>
                <w:sz w:val="24"/>
                <w:szCs w:val="24"/>
              </w:rPr>
              <w:t xml:space="preserve">Intitulé </w:t>
            </w:r>
          </w:p>
        </w:tc>
        <w:tc>
          <w:tcPr>
            <w:tcW w:w="7796" w:type="dxa"/>
            <w:tcBorders>
              <w:top w:val="single" w:sz="18" w:space="0" w:color="auto"/>
              <w:left w:val="single" w:sz="4" w:space="0" w:color="auto"/>
              <w:bottom w:val="single" w:sz="4" w:space="0" w:color="auto"/>
              <w:right w:val="single" w:sz="18" w:space="0" w:color="auto"/>
            </w:tcBorders>
            <w:shd w:val="clear" w:color="auto" w:fill="auto"/>
            <w:noWrap/>
          </w:tcPr>
          <w:p w:rsidR="00181E36" w:rsidRPr="00AE4A43" w:rsidRDefault="00181E36" w:rsidP="00AE4A43">
            <w:pPr>
              <w:spacing w:after="0" w:line="240" w:lineRule="auto"/>
              <w:jc w:val="both"/>
              <w:rPr>
                <w:rFonts w:cstheme="minorHAnsi"/>
              </w:rPr>
            </w:pPr>
            <w:r w:rsidRPr="00AE4A43">
              <w:rPr>
                <w:rFonts w:cstheme="minorHAnsi"/>
              </w:rPr>
              <w:t xml:space="preserve">Acoustique - Détermination de l'isolement acoustique des encoffrements - Partie 2 : mesurages sur site (aux fins d'acceptation et de vérification)  </w:t>
            </w:r>
          </w:p>
        </w:tc>
      </w:tr>
      <w:tr w:rsidR="00181E36" w:rsidRPr="00AE4A43" w:rsidTr="00AE4A43">
        <w:trPr>
          <w:trHeight w:val="330"/>
        </w:trPr>
        <w:tc>
          <w:tcPr>
            <w:tcW w:w="1844" w:type="dxa"/>
            <w:tcBorders>
              <w:top w:val="single" w:sz="4" w:space="0" w:color="auto"/>
              <w:left w:val="single" w:sz="18" w:space="0" w:color="auto"/>
              <w:bottom w:val="single" w:sz="18" w:space="0" w:color="auto"/>
              <w:right w:val="single" w:sz="4" w:space="0" w:color="auto"/>
            </w:tcBorders>
            <w:shd w:val="clear" w:color="auto" w:fill="D9D9D9" w:themeFill="background1" w:themeFillShade="D9"/>
            <w:vAlign w:val="center"/>
          </w:tcPr>
          <w:p w:rsidR="00181E36" w:rsidRPr="00AE4A43" w:rsidRDefault="00181E36" w:rsidP="00AE4A43">
            <w:pPr>
              <w:spacing w:after="0" w:line="240" w:lineRule="auto"/>
              <w:jc w:val="center"/>
              <w:rPr>
                <w:rFonts w:cstheme="minorHAnsi"/>
                <w:b/>
                <w:bCs/>
                <w:sz w:val="24"/>
                <w:szCs w:val="24"/>
              </w:rPr>
            </w:pPr>
            <w:r w:rsidRPr="00AE4A43">
              <w:rPr>
                <w:rFonts w:cstheme="minorHAnsi"/>
                <w:b/>
                <w:bCs/>
                <w:sz w:val="24"/>
                <w:szCs w:val="24"/>
              </w:rPr>
              <w:t xml:space="preserve">Domaine d’application </w:t>
            </w:r>
          </w:p>
        </w:tc>
        <w:tc>
          <w:tcPr>
            <w:tcW w:w="7796" w:type="dxa"/>
            <w:tcBorders>
              <w:top w:val="single" w:sz="4" w:space="0" w:color="auto"/>
              <w:left w:val="single" w:sz="4" w:space="0" w:color="auto"/>
              <w:bottom w:val="single" w:sz="18" w:space="0" w:color="auto"/>
              <w:right w:val="single" w:sz="18" w:space="0" w:color="auto"/>
            </w:tcBorders>
            <w:shd w:val="clear" w:color="auto" w:fill="auto"/>
            <w:noWrap/>
          </w:tcPr>
          <w:p w:rsidR="00AE4A43" w:rsidRDefault="00181E36" w:rsidP="00AE4A43">
            <w:pPr>
              <w:spacing w:after="0" w:line="240" w:lineRule="auto"/>
              <w:jc w:val="both"/>
              <w:rPr>
                <w:rFonts w:cstheme="minorHAnsi"/>
              </w:rPr>
            </w:pPr>
            <w:r w:rsidRPr="00AE4A43">
              <w:rPr>
                <w:rFonts w:cstheme="minorHAnsi"/>
              </w:rPr>
              <w:t>Le présent rapport technique constitue une aide à la compréhension des concepts de base de la réduction du bruit des machines et des équipements.</w:t>
            </w:r>
            <w:r w:rsidRPr="00AE4A43">
              <w:rPr>
                <w:rFonts w:cstheme="minorHAnsi"/>
              </w:rPr>
              <w:br/>
              <w:t>La pratique recommandée présentée dans ce document est destinée à aider le concepteur à réduire le bruit du produit final à chaque étape de la conception. Un développement méthodique des produits a été choisi pour servir de base à la structure du présent document (voir paragraphe 4).</w:t>
            </w:r>
          </w:p>
          <w:p w:rsidR="00181E36" w:rsidRPr="00AE4A43" w:rsidRDefault="00181E36" w:rsidP="00AE4A43">
            <w:pPr>
              <w:spacing w:after="0" w:line="240" w:lineRule="auto"/>
              <w:jc w:val="both"/>
              <w:rPr>
                <w:rFonts w:cstheme="minorHAnsi"/>
              </w:rPr>
            </w:pPr>
            <w:r w:rsidRPr="00AE4A43">
              <w:rPr>
                <w:rFonts w:cstheme="minorHAnsi"/>
              </w:rPr>
              <w:t>La liste des règles de conception présentées dans ce rapport technique international n’est pas exhaustive. D’autres mesures techniques de réduction du bruit au stade de la conception peuvent être utilisées si elles ont la même efficacité ou une efficacité supérieure.</w:t>
            </w:r>
            <w:r w:rsidRPr="00AE4A43">
              <w:rPr>
                <w:rFonts w:cstheme="minorHAnsi"/>
              </w:rPr>
              <w:br/>
              <w:t>Pour résoudre des problèmes sortant du cadre du présent rapport technique international, le concepteur peut se reporter à la bibliographie de l’annexe D qui donne la situation générale des manuels d’acoustique disponibles à la date de publication. Par ailleurs, référence est faite aux nombreuses publications techniques traitant des problèmes acoustiques.</w:t>
            </w:r>
          </w:p>
        </w:tc>
      </w:tr>
      <w:tr w:rsidR="00181E36" w:rsidRPr="00AE4A43" w:rsidTr="008D5BBF">
        <w:trPr>
          <w:trHeight w:val="330"/>
        </w:trPr>
        <w:tc>
          <w:tcPr>
            <w:tcW w:w="1844" w:type="dxa"/>
            <w:tcBorders>
              <w:top w:val="single" w:sz="18" w:space="0" w:color="auto"/>
              <w:left w:val="single" w:sz="18" w:space="0" w:color="auto"/>
              <w:bottom w:val="single" w:sz="18" w:space="0" w:color="auto"/>
              <w:right w:val="single" w:sz="4" w:space="0" w:color="auto"/>
            </w:tcBorders>
            <w:shd w:val="clear" w:color="auto" w:fill="B0CA7C"/>
            <w:vAlign w:val="center"/>
          </w:tcPr>
          <w:p w:rsidR="00181E36" w:rsidRPr="00AE4A43" w:rsidRDefault="00181E36" w:rsidP="00AE4A43">
            <w:pPr>
              <w:spacing w:after="0" w:line="240" w:lineRule="auto"/>
              <w:jc w:val="center"/>
              <w:rPr>
                <w:rFonts w:cstheme="minorHAnsi"/>
                <w:b/>
                <w:bCs/>
                <w:sz w:val="24"/>
                <w:szCs w:val="24"/>
              </w:rPr>
            </w:pPr>
            <w:r w:rsidRPr="00AE4A43">
              <w:rPr>
                <w:rFonts w:cstheme="minorHAnsi"/>
                <w:b/>
                <w:bCs/>
                <w:sz w:val="24"/>
                <w:szCs w:val="24"/>
              </w:rPr>
              <w:t xml:space="preserve">Code </w:t>
            </w:r>
          </w:p>
        </w:tc>
        <w:tc>
          <w:tcPr>
            <w:tcW w:w="7796" w:type="dxa"/>
            <w:tcBorders>
              <w:top w:val="single" w:sz="18" w:space="0" w:color="auto"/>
              <w:left w:val="single" w:sz="4" w:space="0" w:color="auto"/>
              <w:bottom w:val="single" w:sz="18" w:space="0" w:color="auto"/>
              <w:right w:val="single" w:sz="18" w:space="0" w:color="auto"/>
            </w:tcBorders>
            <w:shd w:val="clear" w:color="auto" w:fill="B0CA7C"/>
            <w:noWrap/>
            <w:vAlign w:val="center"/>
          </w:tcPr>
          <w:p w:rsidR="00181E36" w:rsidRPr="00AE4A43" w:rsidRDefault="00181E36" w:rsidP="00AE4A43">
            <w:pPr>
              <w:spacing w:after="0" w:line="240" w:lineRule="auto"/>
              <w:jc w:val="center"/>
              <w:rPr>
                <w:rFonts w:cstheme="minorHAnsi"/>
                <w:b/>
                <w:bCs/>
                <w:sz w:val="24"/>
                <w:szCs w:val="24"/>
              </w:rPr>
            </w:pPr>
            <w:r w:rsidRPr="00AE4A43">
              <w:rPr>
                <w:rFonts w:cstheme="minorHAnsi"/>
                <w:b/>
                <w:bCs/>
                <w:sz w:val="24"/>
                <w:szCs w:val="24"/>
              </w:rPr>
              <w:t>NM ISO 11691</w:t>
            </w:r>
          </w:p>
        </w:tc>
      </w:tr>
      <w:tr w:rsidR="00181E36" w:rsidRPr="00AE4A43" w:rsidTr="00AE4A43">
        <w:trPr>
          <w:trHeight w:val="330"/>
        </w:trPr>
        <w:tc>
          <w:tcPr>
            <w:tcW w:w="1844" w:type="dxa"/>
            <w:tcBorders>
              <w:top w:val="single" w:sz="18" w:space="0" w:color="auto"/>
              <w:left w:val="single" w:sz="18" w:space="0" w:color="auto"/>
              <w:bottom w:val="single" w:sz="18" w:space="0" w:color="auto"/>
              <w:right w:val="single" w:sz="4" w:space="0" w:color="auto"/>
            </w:tcBorders>
            <w:shd w:val="clear" w:color="auto" w:fill="FFFF99"/>
            <w:vAlign w:val="center"/>
          </w:tcPr>
          <w:p w:rsidR="00181E36" w:rsidRPr="00AE4A43" w:rsidRDefault="00181E36" w:rsidP="00AE4A43">
            <w:pPr>
              <w:spacing w:after="0" w:line="240" w:lineRule="auto"/>
              <w:jc w:val="center"/>
              <w:rPr>
                <w:rFonts w:cstheme="minorHAnsi"/>
                <w:b/>
                <w:bCs/>
                <w:sz w:val="24"/>
                <w:szCs w:val="24"/>
              </w:rPr>
            </w:pPr>
            <w:r w:rsidRPr="00AE4A43">
              <w:rPr>
                <w:rFonts w:cstheme="minorHAnsi"/>
                <w:b/>
                <w:bCs/>
                <w:sz w:val="24"/>
                <w:szCs w:val="24"/>
              </w:rPr>
              <w:t xml:space="preserve">Equivalence </w:t>
            </w:r>
          </w:p>
        </w:tc>
        <w:tc>
          <w:tcPr>
            <w:tcW w:w="7796" w:type="dxa"/>
            <w:tcBorders>
              <w:top w:val="single" w:sz="18" w:space="0" w:color="auto"/>
              <w:left w:val="single" w:sz="4" w:space="0" w:color="auto"/>
              <w:bottom w:val="single" w:sz="18" w:space="0" w:color="auto"/>
              <w:right w:val="single" w:sz="18" w:space="0" w:color="auto"/>
            </w:tcBorders>
            <w:shd w:val="clear" w:color="auto" w:fill="FFFF99"/>
            <w:noWrap/>
            <w:vAlign w:val="center"/>
          </w:tcPr>
          <w:p w:rsidR="00181E36" w:rsidRPr="00AE4A43" w:rsidRDefault="00181E36" w:rsidP="00AE4A43">
            <w:pPr>
              <w:spacing w:after="0" w:line="240" w:lineRule="auto"/>
              <w:jc w:val="center"/>
              <w:rPr>
                <w:rFonts w:cstheme="minorHAnsi"/>
                <w:b/>
                <w:bCs/>
                <w:sz w:val="24"/>
                <w:szCs w:val="24"/>
              </w:rPr>
            </w:pPr>
            <w:r w:rsidRPr="00AE4A43">
              <w:rPr>
                <w:rFonts w:cstheme="minorHAnsi"/>
                <w:b/>
                <w:bCs/>
                <w:sz w:val="24"/>
                <w:szCs w:val="24"/>
              </w:rPr>
              <w:t>ISO 11691</w:t>
            </w:r>
          </w:p>
        </w:tc>
      </w:tr>
      <w:tr w:rsidR="00181E36" w:rsidRPr="00AE4A43" w:rsidTr="00AE4A43">
        <w:trPr>
          <w:trHeight w:val="330"/>
        </w:trPr>
        <w:tc>
          <w:tcPr>
            <w:tcW w:w="1844" w:type="dxa"/>
            <w:tcBorders>
              <w:top w:val="single" w:sz="18" w:space="0" w:color="auto"/>
              <w:left w:val="single" w:sz="18" w:space="0" w:color="auto"/>
              <w:bottom w:val="single" w:sz="4" w:space="0" w:color="auto"/>
              <w:right w:val="single" w:sz="4" w:space="0" w:color="auto"/>
            </w:tcBorders>
            <w:shd w:val="clear" w:color="auto" w:fill="B8CCE4" w:themeFill="accent1" w:themeFillTint="66"/>
            <w:vAlign w:val="center"/>
          </w:tcPr>
          <w:p w:rsidR="00181E36" w:rsidRPr="00AE4A43" w:rsidRDefault="00181E36" w:rsidP="00AE4A43">
            <w:pPr>
              <w:spacing w:after="0" w:line="240" w:lineRule="auto"/>
              <w:jc w:val="center"/>
              <w:rPr>
                <w:rFonts w:cstheme="minorHAnsi"/>
                <w:b/>
                <w:bCs/>
                <w:sz w:val="24"/>
                <w:szCs w:val="24"/>
              </w:rPr>
            </w:pPr>
            <w:r w:rsidRPr="00AE4A43">
              <w:rPr>
                <w:rFonts w:cstheme="minorHAnsi"/>
                <w:b/>
                <w:bCs/>
                <w:sz w:val="24"/>
                <w:szCs w:val="24"/>
              </w:rPr>
              <w:t xml:space="preserve">Intitulé </w:t>
            </w:r>
          </w:p>
        </w:tc>
        <w:tc>
          <w:tcPr>
            <w:tcW w:w="7796" w:type="dxa"/>
            <w:tcBorders>
              <w:top w:val="single" w:sz="18" w:space="0" w:color="auto"/>
              <w:left w:val="single" w:sz="4" w:space="0" w:color="auto"/>
              <w:bottom w:val="single" w:sz="4" w:space="0" w:color="auto"/>
              <w:right w:val="single" w:sz="18" w:space="0" w:color="auto"/>
            </w:tcBorders>
            <w:shd w:val="clear" w:color="auto" w:fill="auto"/>
            <w:noWrap/>
          </w:tcPr>
          <w:p w:rsidR="00181E36" w:rsidRPr="00AE4A43" w:rsidRDefault="00181E36" w:rsidP="00AE4A43">
            <w:pPr>
              <w:spacing w:after="0" w:line="240" w:lineRule="auto"/>
              <w:jc w:val="both"/>
              <w:rPr>
                <w:rFonts w:cstheme="minorHAnsi"/>
              </w:rPr>
            </w:pPr>
            <w:r w:rsidRPr="00AE4A43">
              <w:rPr>
                <w:rFonts w:cstheme="minorHAnsi"/>
              </w:rPr>
              <w:t xml:space="preserve">Acoustique - Détermination de la perte d'insertion de silencieux en conduit sans écoulement - Méthode de mesurage en laboratoire </w:t>
            </w:r>
          </w:p>
        </w:tc>
      </w:tr>
      <w:tr w:rsidR="00181E36" w:rsidRPr="00AE4A43" w:rsidTr="00AE4A43">
        <w:trPr>
          <w:trHeight w:val="330"/>
        </w:trPr>
        <w:tc>
          <w:tcPr>
            <w:tcW w:w="1844" w:type="dxa"/>
            <w:tcBorders>
              <w:top w:val="single" w:sz="4" w:space="0" w:color="auto"/>
              <w:left w:val="single" w:sz="18" w:space="0" w:color="auto"/>
              <w:bottom w:val="single" w:sz="18" w:space="0" w:color="auto"/>
              <w:right w:val="single" w:sz="4" w:space="0" w:color="auto"/>
            </w:tcBorders>
            <w:shd w:val="clear" w:color="auto" w:fill="D9D9D9" w:themeFill="background1" w:themeFillShade="D9"/>
            <w:vAlign w:val="center"/>
          </w:tcPr>
          <w:p w:rsidR="00181E36" w:rsidRPr="00AE4A43" w:rsidRDefault="00181E36" w:rsidP="00AE4A43">
            <w:pPr>
              <w:spacing w:after="0" w:line="240" w:lineRule="auto"/>
              <w:jc w:val="center"/>
              <w:rPr>
                <w:rFonts w:cstheme="minorHAnsi"/>
                <w:b/>
                <w:bCs/>
                <w:sz w:val="24"/>
                <w:szCs w:val="24"/>
              </w:rPr>
            </w:pPr>
            <w:r w:rsidRPr="00AE4A43">
              <w:rPr>
                <w:rFonts w:cstheme="minorHAnsi"/>
                <w:b/>
                <w:bCs/>
                <w:sz w:val="24"/>
                <w:szCs w:val="24"/>
              </w:rPr>
              <w:t xml:space="preserve">Domaine d’application </w:t>
            </w:r>
          </w:p>
        </w:tc>
        <w:tc>
          <w:tcPr>
            <w:tcW w:w="7796" w:type="dxa"/>
            <w:tcBorders>
              <w:top w:val="single" w:sz="4" w:space="0" w:color="auto"/>
              <w:left w:val="single" w:sz="4" w:space="0" w:color="auto"/>
              <w:bottom w:val="single" w:sz="18" w:space="0" w:color="auto"/>
              <w:right w:val="single" w:sz="18" w:space="0" w:color="auto"/>
            </w:tcBorders>
            <w:shd w:val="clear" w:color="auto" w:fill="auto"/>
            <w:noWrap/>
          </w:tcPr>
          <w:p w:rsidR="00AE4A43" w:rsidRDefault="00181E36" w:rsidP="00AE4A43">
            <w:pPr>
              <w:spacing w:after="0" w:line="240" w:lineRule="auto"/>
              <w:jc w:val="both"/>
              <w:rPr>
                <w:rFonts w:cstheme="minorHAnsi"/>
              </w:rPr>
            </w:pPr>
            <w:r w:rsidRPr="00AE4A43">
              <w:rPr>
                <w:rFonts w:cstheme="minorHAnsi"/>
              </w:rPr>
              <w:t>La présente Norme internationale prescrit une méthode de substitution en laboratoire pour déterminer la perte d’insertion, sans écoulement, de silencieux circulaires et rectangulaires en conduit, essentiellement absorbants, ainsi que d’autres éléments en conduit destinés à être utilisés dans des systèmes de ventilation et de conditionnement d’air.</w:t>
            </w:r>
          </w:p>
          <w:p w:rsidR="00AE4A43" w:rsidRPr="00AE4A43" w:rsidRDefault="00181E36" w:rsidP="00AE4A43">
            <w:pPr>
              <w:spacing w:after="0" w:line="240" w:lineRule="auto"/>
              <w:jc w:val="both"/>
              <w:rPr>
                <w:rFonts w:cstheme="minorHAnsi"/>
                <w:i/>
                <w:iCs/>
                <w:sz w:val="20"/>
                <w:szCs w:val="20"/>
              </w:rPr>
            </w:pPr>
            <w:r w:rsidRPr="00AE4A43">
              <w:rPr>
                <w:rFonts w:cstheme="minorHAnsi"/>
                <w:b/>
                <w:bCs/>
                <w:i/>
                <w:iCs/>
                <w:sz w:val="20"/>
                <w:szCs w:val="20"/>
              </w:rPr>
              <w:t>NOTE 1</w:t>
            </w:r>
            <w:r w:rsidR="00AE4A43" w:rsidRPr="00AE4A43">
              <w:rPr>
                <w:rFonts w:cstheme="minorHAnsi"/>
                <w:i/>
                <w:iCs/>
                <w:sz w:val="20"/>
                <w:szCs w:val="20"/>
              </w:rPr>
              <w:t xml:space="preserve"> : </w:t>
            </w:r>
            <w:r w:rsidRPr="00AE4A43">
              <w:rPr>
                <w:rFonts w:cstheme="minorHAnsi"/>
                <w:i/>
                <w:iCs/>
                <w:sz w:val="20"/>
                <w:szCs w:val="20"/>
              </w:rPr>
              <w:t>Les méthodes de mesurage en laboratoire pour des silencieux en conduit avec écoulement sont décrites dans I’ISO 7235.</w:t>
            </w:r>
          </w:p>
          <w:p w:rsidR="00AE4A43" w:rsidRDefault="00181E36" w:rsidP="00AE4A43">
            <w:pPr>
              <w:spacing w:after="0" w:line="240" w:lineRule="auto"/>
              <w:jc w:val="both"/>
              <w:rPr>
                <w:rFonts w:cstheme="minorHAnsi"/>
              </w:rPr>
            </w:pPr>
            <w:r w:rsidRPr="00AE4A43">
              <w:rPr>
                <w:rFonts w:cstheme="minorHAnsi"/>
              </w:rPr>
              <w:t>La présente Norme internationale est applicable aux silencieux conçus dont la vitesse de consigne ne dépasse pas 15 m/s. Toutefois, comme la méthode n’inclut pas le bruit d’écoulement autogénéré, la présente Norme internationale n’est pas appropriée à des</w:t>
            </w:r>
            <w:r w:rsidR="00AE4A43">
              <w:rPr>
                <w:rFonts w:cstheme="minorHAnsi"/>
              </w:rPr>
              <w:t xml:space="preserve"> </w:t>
            </w:r>
            <w:r w:rsidRPr="00AE4A43">
              <w:rPr>
                <w:rFonts w:cstheme="minorHAnsi"/>
              </w:rPr>
              <w:t>essais sur des silencieux où ce type de bruit est d’une grande importance pour l’évaluation du rendement du silencieux.</w:t>
            </w:r>
          </w:p>
          <w:p w:rsidR="00AE4A43" w:rsidRDefault="00181E36" w:rsidP="00AE4A43">
            <w:pPr>
              <w:spacing w:after="0" w:line="240" w:lineRule="auto"/>
              <w:jc w:val="both"/>
              <w:rPr>
                <w:rFonts w:cstheme="minorHAnsi"/>
              </w:rPr>
            </w:pPr>
            <w:r w:rsidRPr="00AE4A43">
              <w:rPr>
                <w:rFonts w:cstheme="minorHAnsi"/>
              </w:rPr>
              <w:lastRenderedPageBreak/>
              <w:t>La perte d’insertion déterminée en laboratoire conformément à la présente Norme internationale ne sera pas nécessairement la même que celle qui sera obtenue dans une installation in situ. Des champs sonores et des écoulements différents dans le conduit</w:t>
            </w:r>
            <w:r w:rsidR="00AE4A43">
              <w:rPr>
                <w:rFonts w:cstheme="minorHAnsi"/>
              </w:rPr>
              <w:t xml:space="preserve"> </w:t>
            </w:r>
            <w:r w:rsidRPr="00AE4A43">
              <w:rPr>
                <w:rFonts w:cstheme="minorHAnsi"/>
              </w:rPr>
              <w:t>donneront des résultats différents. Étant donné que la présente Norme internationale exige des conduits d’essai réguliers, les résultats peuvent comprendre une certaine transmission indirecte due à des vibrations de structure dans les parois du conduit. Ceci impose une limite supérieure à la perte d’insertion qu’il est possible de déterminer.</w:t>
            </w:r>
          </w:p>
          <w:p w:rsidR="00AE4A43" w:rsidRDefault="00181E36" w:rsidP="00AE4A43">
            <w:pPr>
              <w:spacing w:after="0" w:line="240" w:lineRule="auto"/>
              <w:jc w:val="both"/>
              <w:rPr>
                <w:rFonts w:cstheme="minorHAnsi"/>
                <w:i/>
                <w:iCs/>
                <w:sz w:val="20"/>
                <w:szCs w:val="20"/>
              </w:rPr>
            </w:pPr>
            <w:r w:rsidRPr="00AE4A43">
              <w:rPr>
                <w:rFonts w:cstheme="minorHAnsi"/>
                <w:b/>
                <w:bCs/>
                <w:i/>
                <w:iCs/>
                <w:sz w:val="20"/>
                <w:szCs w:val="20"/>
              </w:rPr>
              <w:t>NOTE 2</w:t>
            </w:r>
            <w:r w:rsidR="00AE4A43" w:rsidRPr="00AE4A43">
              <w:rPr>
                <w:rFonts w:cstheme="minorHAnsi"/>
                <w:i/>
                <w:iCs/>
                <w:sz w:val="20"/>
                <w:szCs w:val="20"/>
              </w:rPr>
              <w:t xml:space="preserve"> : </w:t>
            </w:r>
            <w:r w:rsidRPr="00AE4A43">
              <w:rPr>
                <w:rFonts w:cstheme="minorHAnsi"/>
                <w:i/>
                <w:iCs/>
                <w:sz w:val="20"/>
                <w:szCs w:val="20"/>
              </w:rPr>
              <w:t>L’ISO 7235 donne des méthodes permettant de déterminer cette limite.</w:t>
            </w:r>
          </w:p>
          <w:p w:rsidR="00AE4A43" w:rsidRDefault="00181E36" w:rsidP="00AE4A43">
            <w:pPr>
              <w:spacing w:after="0" w:line="240" w:lineRule="auto"/>
              <w:jc w:val="both"/>
              <w:rPr>
                <w:rFonts w:cstheme="minorHAnsi"/>
              </w:rPr>
            </w:pPr>
            <w:r w:rsidRPr="00AE4A43">
              <w:rPr>
                <w:rFonts w:cstheme="minorHAnsi"/>
              </w:rPr>
              <w:t>La présente Norme internationale est conçue essentiellement pour être utilisée avec des silencieux circulaires de diamètre 80 mm à 2 000 mm ou de silencieux rectangulaires dont les superficies de la section se situent dans la même plage.</w:t>
            </w:r>
            <w:r w:rsidRPr="00AE4A43">
              <w:rPr>
                <w:rFonts w:cstheme="minorHAnsi"/>
              </w:rPr>
              <w:br/>
              <w:t>1.2 Incertitude de mesurage</w:t>
            </w:r>
          </w:p>
          <w:p w:rsidR="00AE4A43" w:rsidRDefault="00181E36" w:rsidP="00AE4A43">
            <w:pPr>
              <w:spacing w:after="0" w:line="240" w:lineRule="auto"/>
              <w:jc w:val="both"/>
              <w:rPr>
                <w:rFonts w:cstheme="minorHAnsi"/>
              </w:rPr>
            </w:pPr>
            <w:r w:rsidRPr="00AE4A43">
              <w:rPr>
                <w:rFonts w:cstheme="minorHAnsi"/>
              </w:rPr>
              <w:t>II n’est pas possible de donner actuellement des informations exactes sur la précision de la méthode. En conséquence, la présente Norme internationale est considérée comme une norme d’étude.</w:t>
            </w:r>
          </w:p>
          <w:p w:rsidR="00AE4A43" w:rsidRDefault="00181E36" w:rsidP="00AE4A43">
            <w:pPr>
              <w:spacing w:after="0" w:line="240" w:lineRule="auto"/>
              <w:jc w:val="both"/>
              <w:rPr>
                <w:rFonts w:cstheme="minorHAnsi"/>
              </w:rPr>
            </w:pPr>
            <w:r w:rsidRPr="00AE4A43">
              <w:rPr>
                <w:rFonts w:cstheme="minorHAnsi"/>
              </w:rPr>
              <w:t>Des essais interlaboratoires sont nécessaires pour déterminer l’écart-type de reproductibilité, aRI de la méthode (la terminologie et les méthodes applicables</w:t>
            </w:r>
            <w:r w:rsidRPr="00AE4A43">
              <w:rPr>
                <w:rFonts w:cstheme="minorHAnsi"/>
              </w:rPr>
              <w:br/>
              <w:t>figurent dans I’ISO 5725-l). On estime toutefois que</w:t>
            </w:r>
            <w:r w:rsidR="00AE4A43">
              <w:rPr>
                <w:rFonts w:cstheme="minorHAnsi"/>
              </w:rPr>
              <w:t xml:space="preserve"> </w:t>
            </w:r>
            <w:r w:rsidRPr="00AE4A43">
              <w:rPr>
                <w:rFonts w:cstheme="minorHAnsi"/>
              </w:rPr>
              <w:t>cette méthode aura un OR comparable à celui de</w:t>
            </w:r>
            <w:r w:rsidR="00AE4A43">
              <w:rPr>
                <w:rFonts w:cstheme="minorHAnsi"/>
              </w:rPr>
              <w:t xml:space="preserve"> </w:t>
            </w:r>
            <w:r w:rsidRPr="00AE4A43">
              <w:rPr>
                <w:rFonts w:cstheme="minorHAnsi"/>
              </w:rPr>
              <w:t>I’ISO 7235. Voir tableau 1.</w:t>
            </w:r>
          </w:p>
          <w:p w:rsidR="00181E36" w:rsidRPr="00AE4A43" w:rsidRDefault="00181E36" w:rsidP="00AE4A43">
            <w:pPr>
              <w:spacing w:after="0" w:line="240" w:lineRule="auto"/>
              <w:jc w:val="center"/>
              <w:rPr>
                <w:rFonts w:cstheme="minorHAnsi"/>
              </w:rPr>
            </w:pPr>
            <w:r w:rsidRPr="00AE4A43">
              <w:rPr>
                <w:rFonts w:cstheme="minorHAnsi"/>
              </w:rPr>
              <w:t>Tableau 1 - Valeurs estimées de l‘écart-type de</w:t>
            </w:r>
            <w:r w:rsidR="00AE4A43">
              <w:rPr>
                <w:rFonts w:cstheme="minorHAnsi"/>
              </w:rPr>
              <w:t xml:space="preserve"> </w:t>
            </w:r>
            <w:r w:rsidRPr="00AE4A43">
              <w:rPr>
                <w:rFonts w:cstheme="minorHAnsi"/>
              </w:rPr>
              <w:t>reproductibilité</w:t>
            </w:r>
            <w:r w:rsidR="00AE4A43">
              <w:rPr>
                <w:rFonts w:cstheme="minorHAnsi"/>
              </w:rPr>
              <w:t xml:space="preserve"> </w:t>
            </w:r>
            <w:r w:rsidRPr="00AE4A43">
              <w:rPr>
                <w:rFonts w:cstheme="minorHAnsi"/>
              </w:rPr>
              <w:t>Fréquence centrale de la Écart-type de</w:t>
            </w:r>
            <w:r w:rsidR="00AE4A43">
              <w:rPr>
                <w:rFonts w:cstheme="minorHAnsi"/>
              </w:rPr>
              <w:t xml:space="preserve"> </w:t>
            </w:r>
            <w:r w:rsidRPr="00AE4A43">
              <w:rPr>
                <w:rFonts w:cstheme="minorHAnsi"/>
              </w:rPr>
              <w:t>bande de tiers d’octave reproductibilité, aR</w:t>
            </w:r>
            <w:r w:rsidR="00AE4A43">
              <w:rPr>
                <w:rFonts w:cstheme="minorHAnsi"/>
              </w:rPr>
              <w:t xml:space="preserve"> </w:t>
            </w:r>
            <w:r w:rsidRPr="00AE4A43">
              <w:rPr>
                <w:rFonts w:cstheme="minorHAnsi"/>
              </w:rPr>
              <w:t>Hz dB</w:t>
            </w:r>
            <w:r w:rsidRPr="00AE4A43">
              <w:rPr>
                <w:rFonts w:cstheme="minorHAnsi"/>
              </w:rPr>
              <w:br/>
              <w:t>50 à 1 250</w:t>
            </w:r>
            <w:r w:rsidRPr="00AE4A43">
              <w:rPr>
                <w:rFonts w:cstheme="minorHAnsi"/>
              </w:rPr>
              <w:br/>
              <w:t>1600à 10000</w:t>
            </w:r>
            <w:r w:rsidRPr="00AE4A43">
              <w:rPr>
                <w:rFonts w:cstheme="minorHAnsi"/>
              </w:rPr>
              <w:br/>
              <w:t>2</w:t>
            </w:r>
          </w:p>
        </w:tc>
      </w:tr>
      <w:tr w:rsidR="00181E36" w:rsidRPr="00AE4A43" w:rsidTr="008D5BBF">
        <w:trPr>
          <w:trHeight w:val="330"/>
        </w:trPr>
        <w:tc>
          <w:tcPr>
            <w:tcW w:w="1844" w:type="dxa"/>
            <w:tcBorders>
              <w:top w:val="single" w:sz="18" w:space="0" w:color="auto"/>
              <w:left w:val="single" w:sz="18" w:space="0" w:color="auto"/>
              <w:bottom w:val="single" w:sz="18" w:space="0" w:color="auto"/>
              <w:right w:val="single" w:sz="4" w:space="0" w:color="auto"/>
            </w:tcBorders>
            <w:shd w:val="clear" w:color="auto" w:fill="B0CA7C"/>
            <w:vAlign w:val="center"/>
          </w:tcPr>
          <w:p w:rsidR="00181E36" w:rsidRPr="00AE4A43" w:rsidRDefault="00181E36" w:rsidP="00AE4A43">
            <w:pPr>
              <w:spacing w:after="0" w:line="240" w:lineRule="auto"/>
              <w:jc w:val="center"/>
              <w:rPr>
                <w:rFonts w:cstheme="minorHAnsi"/>
                <w:b/>
                <w:bCs/>
                <w:sz w:val="24"/>
                <w:szCs w:val="24"/>
              </w:rPr>
            </w:pPr>
            <w:r w:rsidRPr="00AE4A43">
              <w:rPr>
                <w:rFonts w:cstheme="minorHAnsi"/>
                <w:b/>
                <w:bCs/>
                <w:sz w:val="24"/>
                <w:szCs w:val="24"/>
              </w:rPr>
              <w:lastRenderedPageBreak/>
              <w:t xml:space="preserve">Code marocain </w:t>
            </w:r>
          </w:p>
        </w:tc>
        <w:tc>
          <w:tcPr>
            <w:tcW w:w="7796" w:type="dxa"/>
            <w:tcBorders>
              <w:top w:val="single" w:sz="18" w:space="0" w:color="auto"/>
              <w:left w:val="single" w:sz="4" w:space="0" w:color="auto"/>
              <w:bottom w:val="single" w:sz="18" w:space="0" w:color="auto"/>
              <w:right w:val="single" w:sz="18" w:space="0" w:color="auto"/>
            </w:tcBorders>
            <w:shd w:val="clear" w:color="auto" w:fill="B0CA7C"/>
            <w:noWrap/>
            <w:vAlign w:val="center"/>
          </w:tcPr>
          <w:p w:rsidR="00181E36" w:rsidRPr="00AE4A43" w:rsidRDefault="00181E36" w:rsidP="00AE4A43">
            <w:pPr>
              <w:spacing w:after="0" w:line="240" w:lineRule="auto"/>
              <w:jc w:val="center"/>
              <w:rPr>
                <w:rFonts w:cstheme="minorHAnsi"/>
                <w:b/>
                <w:bCs/>
                <w:sz w:val="24"/>
                <w:szCs w:val="24"/>
              </w:rPr>
            </w:pPr>
            <w:r w:rsidRPr="00AE4A43">
              <w:rPr>
                <w:rFonts w:cstheme="minorHAnsi"/>
                <w:b/>
                <w:bCs/>
                <w:sz w:val="24"/>
                <w:szCs w:val="24"/>
              </w:rPr>
              <w:t>NM ISO 11957</w:t>
            </w:r>
          </w:p>
        </w:tc>
      </w:tr>
      <w:tr w:rsidR="00181E36" w:rsidRPr="00AE4A43" w:rsidTr="00AE4A43">
        <w:trPr>
          <w:trHeight w:val="330"/>
        </w:trPr>
        <w:tc>
          <w:tcPr>
            <w:tcW w:w="1844" w:type="dxa"/>
            <w:tcBorders>
              <w:top w:val="single" w:sz="18" w:space="0" w:color="auto"/>
              <w:left w:val="single" w:sz="18" w:space="0" w:color="auto"/>
              <w:bottom w:val="single" w:sz="18" w:space="0" w:color="auto"/>
              <w:right w:val="single" w:sz="4" w:space="0" w:color="auto"/>
            </w:tcBorders>
            <w:shd w:val="clear" w:color="auto" w:fill="FFFF99"/>
            <w:vAlign w:val="center"/>
          </w:tcPr>
          <w:p w:rsidR="00181E36" w:rsidRPr="00AE4A43" w:rsidRDefault="00181E36" w:rsidP="00AE4A43">
            <w:pPr>
              <w:spacing w:after="0" w:line="240" w:lineRule="auto"/>
              <w:jc w:val="center"/>
              <w:rPr>
                <w:rFonts w:cstheme="minorHAnsi"/>
                <w:b/>
                <w:bCs/>
                <w:sz w:val="24"/>
                <w:szCs w:val="24"/>
              </w:rPr>
            </w:pPr>
            <w:r w:rsidRPr="00AE4A43">
              <w:rPr>
                <w:rFonts w:cstheme="minorHAnsi"/>
                <w:b/>
                <w:bCs/>
                <w:sz w:val="24"/>
                <w:szCs w:val="24"/>
              </w:rPr>
              <w:t xml:space="preserve">Equivalence </w:t>
            </w:r>
          </w:p>
        </w:tc>
        <w:tc>
          <w:tcPr>
            <w:tcW w:w="7796" w:type="dxa"/>
            <w:tcBorders>
              <w:top w:val="single" w:sz="18" w:space="0" w:color="auto"/>
              <w:left w:val="single" w:sz="4" w:space="0" w:color="auto"/>
              <w:bottom w:val="single" w:sz="18" w:space="0" w:color="auto"/>
              <w:right w:val="single" w:sz="18" w:space="0" w:color="auto"/>
            </w:tcBorders>
            <w:shd w:val="clear" w:color="auto" w:fill="FFFF99"/>
            <w:noWrap/>
            <w:vAlign w:val="center"/>
          </w:tcPr>
          <w:p w:rsidR="00181E36" w:rsidRPr="00AE4A43" w:rsidRDefault="00181E36" w:rsidP="00AE4A43">
            <w:pPr>
              <w:spacing w:after="0" w:line="240" w:lineRule="auto"/>
              <w:jc w:val="center"/>
              <w:rPr>
                <w:rFonts w:cstheme="minorHAnsi"/>
                <w:b/>
                <w:bCs/>
                <w:sz w:val="24"/>
                <w:szCs w:val="24"/>
              </w:rPr>
            </w:pPr>
            <w:r w:rsidRPr="00AE4A43">
              <w:rPr>
                <w:rFonts w:cstheme="minorHAnsi"/>
                <w:b/>
                <w:bCs/>
                <w:sz w:val="24"/>
                <w:szCs w:val="24"/>
              </w:rPr>
              <w:t>ISO 11957</w:t>
            </w:r>
          </w:p>
        </w:tc>
      </w:tr>
      <w:tr w:rsidR="00181E36" w:rsidRPr="00AE4A43" w:rsidTr="00AE4A43">
        <w:trPr>
          <w:trHeight w:val="330"/>
        </w:trPr>
        <w:tc>
          <w:tcPr>
            <w:tcW w:w="1844" w:type="dxa"/>
            <w:tcBorders>
              <w:top w:val="single" w:sz="18" w:space="0" w:color="auto"/>
              <w:left w:val="single" w:sz="18" w:space="0" w:color="auto"/>
              <w:bottom w:val="single" w:sz="4" w:space="0" w:color="auto"/>
              <w:right w:val="single" w:sz="4" w:space="0" w:color="auto"/>
            </w:tcBorders>
            <w:shd w:val="clear" w:color="auto" w:fill="B8CCE4" w:themeFill="accent1" w:themeFillTint="66"/>
            <w:vAlign w:val="center"/>
          </w:tcPr>
          <w:p w:rsidR="00181E36" w:rsidRPr="00AE4A43" w:rsidRDefault="00181E36" w:rsidP="00AE4A43">
            <w:pPr>
              <w:spacing w:after="0" w:line="240" w:lineRule="auto"/>
              <w:jc w:val="center"/>
              <w:rPr>
                <w:rFonts w:cstheme="minorHAnsi"/>
                <w:b/>
                <w:bCs/>
                <w:sz w:val="24"/>
                <w:szCs w:val="24"/>
              </w:rPr>
            </w:pPr>
            <w:r w:rsidRPr="00AE4A43">
              <w:rPr>
                <w:rFonts w:cstheme="minorHAnsi"/>
                <w:b/>
                <w:bCs/>
                <w:sz w:val="24"/>
                <w:szCs w:val="24"/>
              </w:rPr>
              <w:t xml:space="preserve">Intitulé </w:t>
            </w:r>
          </w:p>
        </w:tc>
        <w:tc>
          <w:tcPr>
            <w:tcW w:w="7796" w:type="dxa"/>
            <w:tcBorders>
              <w:top w:val="single" w:sz="18" w:space="0" w:color="auto"/>
              <w:left w:val="single" w:sz="4" w:space="0" w:color="auto"/>
              <w:bottom w:val="single" w:sz="4" w:space="0" w:color="auto"/>
              <w:right w:val="single" w:sz="18" w:space="0" w:color="auto"/>
            </w:tcBorders>
            <w:shd w:val="clear" w:color="auto" w:fill="auto"/>
            <w:noWrap/>
          </w:tcPr>
          <w:p w:rsidR="00181E36" w:rsidRPr="00AE4A43" w:rsidRDefault="00181E36" w:rsidP="00AE4A43">
            <w:pPr>
              <w:spacing w:after="0" w:line="240" w:lineRule="auto"/>
              <w:jc w:val="both"/>
              <w:rPr>
                <w:rFonts w:cstheme="minorHAnsi"/>
              </w:rPr>
            </w:pPr>
            <w:r w:rsidRPr="00AE4A43">
              <w:rPr>
                <w:rFonts w:cstheme="minorHAnsi"/>
              </w:rPr>
              <w:t xml:space="preserve">Acoustique - Détermination des performances d'isolation acoustique des cabines - Mesurages en laboratoire et in situ </w:t>
            </w:r>
          </w:p>
        </w:tc>
      </w:tr>
      <w:tr w:rsidR="00181E36" w:rsidRPr="00AE4A43" w:rsidTr="00AE4A43">
        <w:trPr>
          <w:trHeight w:val="330"/>
        </w:trPr>
        <w:tc>
          <w:tcPr>
            <w:tcW w:w="1844" w:type="dxa"/>
            <w:tcBorders>
              <w:top w:val="single" w:sz="4" w:space="0" w:color="auto"/>
              <w:left w:val="single" w:sz="18" w:space="0" w:color="auto"/>
              <w:bottom w:val="single" w:sz="18" w:space="0" w:color="auto"/>
              <w:right w:val="single" w:sz="4" w:space="0" w:color="auto"/>
            </w:tcBorders>
            <w:shd w:val="clear" w:color="auto" w:fill="D9D9D9" w:themeFill="background1" w:themeFillShade="D9"/>
            <w:vAlign w:val="center"/>
          </w:tcPr>
          <w:p w:rsidR="00181E36" w:rsidRPr="00AE4A43" w:rsidRDefault="00181E36" w:rsidP="00AE4A43">
            <w:pPr>
              <w:spacing w:after="0" w:line="240" w:lineRule="auto"/>
              <w:jc w:val="center"/>
              <w:rPr>
                <w:rFonts w:cstheme="minorHAnsi"/>
                <w:b/>
                <w:bCs/>
                <w:sz w:val="24"/>
                <w:szCs w:val="24"/>
              </w:rPr>
            </w:pPr>
            <w:r w:rsidRPr="00AE4A43">
              <w:rPr>
                <w:rFonts w:cstheme="minorHAnsi"/>
                <w:b/>
                <w:bCs/>
                <w:sz w:val="24"/>
                <w:szCs w:val="24"/>
              </w:rPr>
              <w:t xml:space="preserve">Domaine d’application </w:t>
            </w:r>
          </w:p>
        </w:tc>
        <w:tc>
          <w:tcPr>
            <w:tcW w:w="7796" w:type="dxa"/>
            <w:tcBorders>
              <w:top w:val="single" w:sz="4" w:space="0" w:color="auto"/>
              <w:left w:val="single" w:sz="4" w:space="0" w:color="auto"/>
              <w:bottom w:val="single" w:sz="18" w:space="0" w:color="auto"/>
              <w:right w:val="single" w:sz="18" w:space="0" w:color="auto"/>
            </w:tcBorders>
            <w:shd w:val="clear" w:color="auto" w:fill="auto"/>
            <w:noWrap/>
          </w:tcPr>
          <w:p w:rsidR="00AE4A43" w:rsidRDefault="00181E36" w:rsidP="00AE4A43">
            <w:pPr>
              <w:spacing w:after="0" w:line="240" w:lineRule="auto"/>
              <w:jc w:val="both"/>
              <w:rPr>
                <w:rFonts w:cstheme="minorHAnsi"/>
              </w:rPr>
            </w:pPr>
            <w:r w:rsidRPr="00AE4A43">
              <w:rPr>
                <w:rFonts w:cstheme="minorHAnsi"/>
              </w:rPr>
              <w:t>La présente Norme internationale décrit une méthode de laboratoire (article 6) et des méthodes in situ (article 7) pour la détermination des performances d’isolation acoustique des cabines de protection phonique.</w:t>
            </w:r>
          </w:p>
          <w:p w:rsidR="00AE4A43" w:rsidRDefault="00181E36" w:rsidP="00AE4A43">
            <w:pPr>
              <w:spacing w:after="0" w:line="240" w:lineRule="auto"/>
              <w:jc w:val="both"/>
              <w:rPr>
                <w:rFonts w:cstheme="minorHAnsi"/>
              </w:rPr>
            </w:pPr>
            <w:r w:rsidRPr="00AE4A43">
              <w:rPr>
                <w:rFonts w:cstheme="minorHAnsi"/>
              </w:rPr>
              <w:t>La performance d’isolation acoustique est la réduction du niveau de pression acoustique ou du niveau de puissance acoustique occasionné par la cabine. Les méthodes sont applicables à des cabines à faible taux de fuite (0 &lt; 2 %).</w:t>
            </w:r>
          </w:p>
          <w:p w:rsidR="00AE4A43" w:rsidRDefault="00181E36" w:rsidP="00AE4A43">
            <w:pPr>
              <w:spacing w:after="0" w:line="240" w:lineRule="auto"/>
              <w:jc w:val="both"/>
              <w:rPr>
                <w:rFonts w:cstheme="minorHAnsi"/>
              </w:rPr>
            </w:pPr>
            <w:r w:rsidRPr="00AE4A43">
              <w:rPr>
                <w:rFonts w:cstheme="minorHAnsi"/>
              </w:rPr>
              <w:t>La présente Norme internationale s’applique exclusivement à une cabine complète et non aux composants individuels qui la constituent.</w:t>
            </w:r>
          </w:p>
          <w:p w:rsidR="00AE4A43" w:rsidRPr="00AE4A43" w:rsidRDefault="00181E36" w:rsidP="00AE4A43">
            <w:pPr>
              <w:spacing w:after="0" w:line="240" w:lineRule="auto"/>
              <w:jc w:val="both"/>
              <w:rPr>
                <w:rFonts w:cstheme="minorHAnsi"/>
                <w:i/>
                <w:iCs/>
                <w:sz w:val="20"/>
                <w:szCs w:val="20"/>
              </w:rPr>
            </w:pPr>
            <w:r w:rsidRPr="00AE4A43">
              <w:rPr>
                <w:rFonts w:cstheme="minorHAnsi"/>
                <w:b/>
                <w:bCs/>
                <w:i/>
                <w:iCs/>
                <w:sz w:val="20"/>
                <w:szCs w:val="20"/>
              </w:rPr>
              <w:t>NOTE 1</w:t>
            </w:r>
            <w:r w:rsidR="00AE4A43" w:rsidRPr="00AE4A43">
              <w:rPr>
                <w:rFonts w:cstheme="minorHAnsi"/>
                <w:i/>
                <w:iCs/>
                <w:sz w:val="20"/>
                <w:szCs w:val="20"/>
              </w:rPr>
              <w:t xml:space="preserve"> : </w:t>
            </w:r>
            <w:r w:rsidRPr="00AE4A43">
              <w:rPr>
                <w:rFonts w:cstheme="minorHAnsi"/>
                <w:i/>
                <w:iCs/>
                <w:sz w:val="20"/>
                <w:szCs w:val="20"/>
              </w:rPr>
              <w:t>L’isolement acoustique des composants de la cabine, tels que les éléments de cloison, les portes, les fenêtres, les silencieux, etc., devrait être mesuré suivant les</w:t>
            </w:r>
            <w:r w:rsidR="00AE4A43">
              <w:rPr>
                <w:rFonts w:cstheme="minorHAnsi"/>
                <w:i/>
                <w:iCs/>
                <w:sz w:val="20"/>
                <w:szCs w:val="20"/>
              </w:rPr>
              <w:t xml:space="preserve"> </w:t>
            </w:r>
            <w:r w:rsidRPr="00AE4A43">
              <w:rPr>
                <w:rFonts w:cstheme="minorHAnsi"/>
                <w:i/>
                <w:iCs/>
                <w:sz w:val="20"/>
                <w:szCs w:val="20"/>
              </w:rPr>
              <w:t>normes adéquates.</w:t>
            </w:r>
          </w:p>
          <w:p w:rsidR="00181E36" w:rsidRPr="00AE4A43" w:rsidRDefault="00181E36" w:rsidP="00AE4A43">
            <w:pPr>
              <w:spacing w:after="0" w:line="240" w:lineRule="auto"/>
              <w:jc w:val="both"/>
              <w:rPr>
                <w:rFonts w:cstheme="minorHAnsi"/>
              </w:rPr>
            </w:pPr>
            <w:r w:rsidRPr="00AE4A43">
              <w:rPr>
                <w:rFonts w:cstheme="minorHAnsi"/>
              </w:rPr>
              <w:t>Les exigences concernant l’environnement d’essai en laboratoire sont basées sur celles figurant dans I’ISO 3741.</w:t>
            </w:r>
          </w:p>
        </w:tc>
      </w:tr>
      <w:tr w:rsidR="00181E36" w:rsidRPr="0043547B" w:rsidTr="008D5BBF">
        <w:trPr>
          <w:trHeight w:val="330"/>
        </w:trPr>
        <w:tc>
          <w:tcPr>
            <w:tcW w:w="1844" w:type="dxa"/>
            <w:tcBorders>
              <w:top w:val="single" w:sz="18" w:space="0" w:color="auto"/>
              <w:left w:val="single" w:sz="18" w:space="0" w:color="auto"/>
              <w:bottom w:val="single" w:sz="18" w:space="0" w:color="auto"/>
              <w:right w:val="single" w:sz="4" w:space="0" w:color="auto"/>
            </w:tcBorders>
            <w:shd w:val="clear" w:color="auto" w:fill="B0CA7C"/>
            <w:vAlign w:val="center"/>
          </w:tcPr>
          <w:p w:rsidR="00181E36" w:rsidRPr="0043547B" w:rsidRDefault="00181E36" w:rsidP="00181E36">
            <w:pPr>
              <w:spacing w:after="0"/>
              <w:jc w:val="center"/>
              <w:rPr>
                <w:rFonts w:cstheme="minorHAnsi"/>
                <w:b/>
                <w:bCs/>
                <w:sz w:val="24"/>
                <w:szCs w:val="24"/>
              </w:rPr>
            </w:pPr>
            <w:r w:rsidRPr="0043547B">
              <w:rPr>
                <w:rFonts w:cstheme="minorHAnsi"/>
                <w:b/>
                <w:bCs/>
                <w:sz w:val="24"/>
                <w:szCs w:val="24"/>
              </w:rPr>
              <w:t>Code :</w:t>
            </w:r>
          </w:p>
        </w:tc>
        <w:tc>
          <w:tcPr>
            <w:tcW w:w="7796" w:type="dxa"/>
            <w:tcBorders>
              <w:top w:val="single" w:sz="18" w:space="0" w:color="auto"/>
              <w:left w:val="single" w:sz="4" w:space="0" w:color="auto"/>
              <w:bottom w:val="single" w:sz="18" w:space="0" w:color="auto"/>
              <w:right w:val="single" w:sz="18" w:space="0" w:color="auto"/>
            </w:tcBorders>
            <w:shd w:val="clear" w:color="auto" w:fill="B0CA7C"/>
            <w:noWrap/>
            <w:vAlign w:val="center"/>
          </w:tcPr>
          <w:p w:rsidR="00181E36" w:rsidRPr="0043547B" w:rsidRDefault="00181E36" w:rsidP="00181E36">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15665</w:t>
            </w:r>
          </w:p>
        </w:tc>
      </w:tr>
      <w:tr w:rsidR="00181E36" w:rsidRPr="0043547B" w:rsidTr="008D5BBF">
        <w:trPr>
          <w:trHeight w:val="330"/>
        </w:trPr>
        <w:tc>
          <w:tcPr>
            <w:tcW w:w="1844"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181E36" w:rsidRPr="0043547B" w:rsidRDefault="00181E36" w:rsidP="00181E36">
            <w:pPr>
              <w:spacing w:after="0"/>
              <w:jc w:val="center"/>
              <w:rPr>
                <w:rFonts w:cstheme="minorHAnsi"/>
                <w:b/>
                <w:bCs/>
                <w:sz w:val="24"/>
                <w:szCs w:val="24"/>
              </w:rPr>
            </w:pPr>
            <w:r w:rsidRPr="0043547B">
              <w:rPr>
                <w:rFonts w:cstheme="minorHAnsi"/>
                <w:b/>
                <w:bCs/>
                <w:sz w:val="24"/>
                <w:szCs w:val="24"/>
              </w:rPr>
              <w:t>Equivalence :</w:t>
            </w:r>
          </w:p>
        </w:tc>
        <w:tc>
          <w:tcPr>
            <w:tcW w:w="7796" w:type="dxa"/>
            <w:tcBorders>
              <w:top w:val="single" w:sz="18" w:space="0" w:color="auto"/>
              <w:left w:val="single" w:sz="4" w:space="0" w:color="auto"/>
              <w:bottom w:val="single" w:sz="8" w:space="0" w:color="auto"/>
              <w:right w:val="single" w:sz="18" w:space="0" w:color="auto"/>
            </w:tcBorders>
            <w:shd w:val="clear" w:color="auto" w:fill="FFFF99"/>
            <w:noWrap/>
            <w:vAlign w:val="center"/>
            <w:hideMark/>
          </w:tcPr>
          <w:p w:rsidR="00181E36" w:rsidRPr="0043547B" w:rsidRDefault="00181E36" w:rsidP="00181E36">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15665</w:t>
            </w:r>
          </w:p>
        </w:tc>
      </w:tr>
      <w:tr w:rsidR="00181E36" w:rsidRPr="0043547B" w:rsidTr="008D5BBF">
        <w:trPr>
          <w:trHeight w:val="330"/>
        </w:trPr>
        <w:tc>
          <w:tcPr>
            <w:tcW w:w="1844" w:type="dxa"/>
            <w:tcBorders>
              <w:top w:val="nil"/>
              <w:left w:val="single" w:sz="18" w:space="0" w:color="auto"/>
              <w:bottom w:val="single" w:sz="4" w:space="0" w:color="auto"/>
              <w:right w:val="single" w:sz="4" w:space="0" w:color="auto"/>
            </w:tcBorders>
            <w:shd w:val="clear" w:color="000000" w:fill="8DB4E2"/>
            <w:vAlign w:val="center"/>
            <w:hideMark/>
          </w:tcPr>
          <w:p w:rsidR="00181E36" w:rsidRPr="0043547B" w:rsidRDefault="00181E36" w:rsidP="00181E36">
            <w:pPr>
              <w:spacing w:after="0"/>
              <w:jc w:val="center"/>
              <w:rPr>
                <w:rFonts w:cstheme="minorHAnsi"/>
                <w:b/>
                <w:bCs/>
                <w:sz w:val="24"/>
                <w:szCs w:val="24"/>
              </w:rPr>
            </w:pPr>
            <w:r w:rsidRPr="0043547B">
              <w:rPr>
                <w:rFonts w:cstheme="minorHAnsi"/>
                <w:b/>
                <w:bCs/>
                <w:sz w:val="24"/>
                <w:szCs w:val="24"/>
              </w:rPr>
              <w:t>Intitulé :</w:t>
            </w:r>
          </w:p>
        </w:tc>
        <w:tc>
          <w:tcPr>
            <w:tcW w:w="7796" w:type="dxa"/>
            <w:tcBorders>
              <w:top w:val="nil"/>
              <w:left w:val="single" w:sz="4" w:space="0" w:color="auto"/>
              <w:bottom w:val="single" w:sz="8" w:space="0" w:color="auto"/>
              <w:right w:val="single" w:sz="18" w:space="0" w:color="auto"/>
            </w:tcBorders>
            <w:shd w:val="clear" w:color="auto" w:fill="auto"/>
            <w:noWrap/>
            <w:vAlign w:val="center"/>
            <w:hideMark/>
          </w:tcPr>
          <w:p w:rsidR="00181E36" w:rsidRPr="0043547B" w:rsidRDefault="00181E36" w:rsidP="00181E36">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Acoustique - Isolation acoustique des tuyaux, clapets et brides</w:t>
            </w:r>
          </w:p>
        </w:tc>
      </w:tr>
      <w:tr w:rsidR="00181E36" w:rsidRPr="0043547B" w:rsidTr="008D5BBF">
        <w:trPr>
          <w:trHeight w:val="2250"/>
        </w:trPr>
        <w:tc>
          <w:tcPr>
            <w:tcW w:w="1844" w:type="dxa"/>
            <w:tcBorders>
              <w:top w:val="nil"/>
              <w:left w:val="single" w:sz="18" w:space="0" w:color="auto"/>
              <w:bottom w:val="single" w:sz="18" w:space="0" w:color="auto"/>
              <w:right w:val="single" w:sz="4" w:space="0" w:color="auto"/>
            </w:tcBorders>
            <w:shd w:val="clear" w:color="000000" w:fill="D9D9D9"/>
            <w:vAlign w:val="center"/>
            <w:hideMark/>
          </w:tcPr>
          <w:p w:rsidR="00181E36" w:rsidRPr="0043547B" w:rsidRDefault="00181E36" w:rsidP="00181E36">
            <w:pPr>
              <w:spacing w:after="0"/>
              <w:jc w:val="center"/>
              <w:rPr>
                <w:rFonts w:cstheme="minorHAnsi"/>
                <w:b/>
                <w:bCs/>
                <w:sz w:val="24"/>
                <w:szCs w:val="24"/>
              </w:rPr>
            </w:pPr>
            <w:r w:rsidRPr="0043547B">
              <w:rPr>
                <w:rFonts w:cstheme="minorHAnsi"/>
                <w:b/>
                <w:bCs/>
                <w:sz w:val="24"/>
                <w:szCs w:val="24"/>
              </w:rPr>
              <w:t>Domaine d’application :</w:t>
            </w:r>
          </w:p>
        </w:tc>
        <w:tc>
          <w:tcPr>
            <w:tcW w:w="7796" w:type="dxa"/>
            <w:tcBorders>
              <w:top w:val="nil"/>
              <w:left w:val="single" w:sz="4" w:space="0" w:color="auto"/>
              <w:bottom w:val="single" w:sz="18" w:space="0" w:color="auto"/>
              <w:right w:val="single" w:sz="18" w:space="0" w:color="auto"/>
            </w:tcBorders>
            <w:shd w:val="clear" w:color="auto" w:fill="auto"/>
            <w:vAlign w:val="center"/>
            <w:hideMark/>
          </w:tcPr>
          <w:p w:rsidR="00181E36" w:rsidRPr="0043547B" w:rsidRDefault="00181E36" w:rsidP="00181E36">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définit les performances acoustiques de trois classes (classes A, B et C) d’isolation de tuyaux. Elle spécifie également trois types de construction qui satisfont à ces classes de performances acoustiques. En outre la présente Norme définit une méthode d’essai normalisée pour mesurer les performances acoustiques de tout type de construction, permettant ainsi d’évaluer de nouvelles isolations et les isolations existantes par rapport aux trois classes.</w:t>
            </w:r>
          </w:p>
          <w:p w:rsidR="00181E36" w:rsidRPr="0043547B" w:rsidRDefault="00181E36" w:rsidP="00181E36">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lastRenderedPageBreak/>
              <w:t>La présente Norme est applicable à l’isolation acoustique de tuyaux cylindriques en acier et de leurs composants de tuyauterie. Elle est valable pour des tuyaux jusqu’à 1 m de diamètre et d’une épaisseur de paroi minimale de 4,2 mm, pour des diamètres inférieurs à 300 mm et de 6,3 mm, pour les diamètres supérieurs ou égaux à 300 mm. Elle n’est pas applicable à l’isolation acoustique de conduits rectangulaires, ni à celle de réservoirs ou de machines.</w:t>
            </w:r>
          </w:p>
          <w:p w:rsidR="00181E36" w:rsidRPr="0043547B" w:rsidRDefault="00181E36" w:rsidP="00181E36">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traite de l’évaluation des performances d’isolation acoustique des tuyaux à la fois en phase de conception et sur des installations en exploitation. Elle fournit des lignes directrices aux ingénieurs acousticiens pour déterminer la classe requise et l’étendue d’isolation nécessaire pour une application donnée. Elle fournit des exemples types de méthodes de construction, ces exemples étant toutefois fournis à titre informatif uniquement et n’ont pas pour objet d’être normatifs.</w:t>
            </w:r>
          </w:p>
          <w:p w:rsidR="00181E36" w:rsidRPr="0043547B" w:rsidRDefault="00181E36" w:rsidP="00181E36">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précise les aspects de l’isolation acoustique qui diffèrent de ceux de l’isolation thermique, et sert de guide tant aux installateurs qu’aux ingénieurs acousticiens. Les détails afférents à l’isolation thermique sont exclus du domaine d’application de la présente Norme.</w:t>
            </w:r>
          </w:p>
        </w:tc>
      </w:tr>
      <w:tr w:rsidR="00181E36" w:rsidRPr="0043547B" w:rsidTr="008D5BBF">
        <w:trPr>
          <w:trHeight w:val="330"/>
        </w:trPr>
        <w:tc>
          <w:tcPr>
            <w:tcW w:w="1844"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hideMark/>
          </w:tcPr>
          <w:p w:rsidR="00181E36" w:rsidRPr="0043547B" w:rsidRDefault="00181E36" w:rsidP="00181E36">
            <w:pPr>
              <w:spacing w:after="0"/>
              <w:jc w:val="center"/>
              <w:rPr>
                <w:rFonts w:cstheme="minorHAnsi"/>
                <w:b/>
                <w:bCs/>
                <w:sz w:val="24"/>
                <w:szCs w:val="24"/>
              </w:rPr>
            </w:pPr>
            <w:r w:rsidRPr="0043547B">
              <w:rPr>
                <w:rFonts w:cstheme="minorHAnsi"/>
                <w:b/>
                <w:bCs/>
                <w:sz w:val="24"/>
                <w:szCs w:val="24"/>
              </w:rPr>
              <w:lastRenderedPageBreak/>
              <w:t>Code :</w:t>
            </w:r>
          </w:p>
        </w:tc>
        <w:tc>
          <w:tcPr>
            <w:tcW w:w="7796" w:type="dxa"/>
            <w:tcBorders>
              <w:top w:val="single" w:sz="18" w:space="0" w:color="auto"/>
              <w:left w:val="single" w:sz="4" w:space="0" w:color="auto"/>
              <w:bottom w:val="single" w:sz="18" w:space="0" w:color="auto"/>
              <w:right w:val="single" w:sz="18" w:space="0" w:color="auto"/>
            </w:tcBorders>
            <w:shd w:val="clear" w:color="auto" w:fill="C2D69B" w:themeFill="accent3" w:themeFillTint="99"/>
            <w:noWrap/>
            <w:vAlign w:val="center"/>
            <w:hideMark/>
          </w:tcPr>
          <w:p w:rsidR="00181E36" w:rsidRPr="0043547B" w:rsidRDefault="00181E36" w:rsidP="00181E36">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ISO/TR 11690-3</w:t>
            </w:r>
          </w:p>
        </w:tc>
      </w:tr>
      <w:tr w:rsidR="00181E36" w:rsidRPr="0043547B" w:rsidTr="008D5BBF">
        <w:trPr>
          <w:trHeight w:val="330"/>
        </w:trPr>
        <w:tc>
          <w:tcPr>
            <w:tcW w:w="1844"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181E36" w:rsidRPr="0043547B" w:rsidRDefault="00181E36" w:rsidP="00181E36">
            <w:pPr>
              <w:spacing w:after="0"/>
              <w:jc w:val="center"/>
              <w:rPr>
                <w:rFonts w:cstheme="minorHAnsi"/>
                <w:b/>
                <w:bCs/>
                <w:sz w:val="24"/>
                <w:szCs w:val="24"/>
              </w:rPr>
            </w:pPr>
            <w:r w:rsidRPr="0043547B">
              <w:rPr>
                <w:rFonts w:cstheme="minorHAnsi"/>
                <w:b/>
                <w:bCs/>
                <w:sz w:val="24"/>
                <w:szCs w:val="24"/>
              </w:rPr>
              <w:t>Equivalence :</w:t>
            </w:r>
          </w:p>
        </w:tc>
        <w:tc>
          <w:tcPr>
            <w:tcW w:w="7796" w:type="dxa"/>
            <w:tcBorders>
              <w:top w:val="single" w:sz="18" w:space="0" w:color="auto"/>
              <w:left w:val="single" w:sz="4" w:space="0" w:color="auto"/>
              <w:bottom w:val="single" w:sz="8" w:space="0" w:color="auto"/>
              <w:right w:val="single" w:sz="18" w:space="0" w:color="auto"/>
            </w:tcBorders>
            <w:shd w:val="clear" w:color="auto" w:fill="FFFF99"/>
            <w:noWrap/>
            <w:vAlign w:val="center"/>
            <w:hideMark/>
          </w:tcPr>
          <w:p w:rsidR="00181E36" w:rsidRPr="0043547B" w:rsidRDefault="00181E36" w:rsidP="00181E36">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ISO/TR 11690-3</w:t>
            </w:r>
          </w:p>
        </w:tc>
      </w:tr>
      <w:tr w:rsidR="00181E36" w:rsidRPr="0043547B" w:rsidTr="008D5BBF">
        <w:trPr>
          <w:trHeight w:val="615"/>
        </w:trPr>
        <w:tc>
          <w:tcPr>
            <w:tcW w:w="1844" w:type="dxa"/>
            <w:tcBorders>
              <w:top w:val="nil"/>
              <w:left w:val="single" w:sz="18" w:space="0" w:color="auto"/>
              <w:bottom w:val="single" w:sz="4" w:space="0" w:color="auto"/>
              <w:right w:val="single" w:sz="4" w:space="0" w:color="auto"/>
            </w:tcBorders>
            <w:shd w:val="clear" w:color="000000" w:fill="8DB4E2"/>
            <w:vAlign w:val="center"/>
            <w:hideMark/>
          </w:tcPr>
          <w:p w:rsidR="00181E36" w:rsidRPr="0043547B" w:rsidRDefault="00181E36" w:rsidP="00181E36">
            <w:pPr>
              <w:spacing w:after="0"/>
              <w:jc w:val="center"/>
              <w:rPr>
                <w:rFonts w:cstheme="minorHAnsi"/>
                <w:b/>
                <w:bCs/>
                <w:sz w:val="24"/>
                <w:szCs w:val="24"/>
              </w:rPr>
            </w:pPr>
            <w:r w:rsidRPr="0043547B">
              <w:rPr>
                <w:rFonts w:cstheme="minorHAnsi"/>
                <w:b/>
                <w:bCs/>
                <w:sz w:val="24"/>
                <w:szCs w:val="24"/>
              </w:rPr>
              <w:t>Intitulé :</w:t>
            </w:r>
          </w:p>
        </w:tc>
        <w:tc>
          <w:tcPr>
            <w:tcW w:w="7796" w:type="dxa"/>
            <w:tcBorders>
              <w:top w:val="nil"/>
              <w:left w:val="single" w:sz="4" w:space="0" w:color="auto"/>
              <w:bottom w:val="single" w:sz="8" w:space="0" w:color="auto"/>
              <w:right w:val="single" w:sz="18" w:space="0" w:color="auto"/>
            </w:tcBorders>
            <w:shd w:val="clear" w:color="auto" w:fill="auto"/>
            <w:vAlign w:val="center"/>
            <w:hideMark/>
          </w:tcPr>
          <w:p w:rsidR="00181E36" w:rsidRPr="0043547B" w:rsidRDefault="00181E36" w:rsidP="00181E36">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Acoustique - Pratique recommandée pour la conception de lieux de travail à bruit réduit contenant des machines - Partie 3 : Propagation du son et prévision du bruit dans les locaux de travail</w:t>
            </w:r>
          </w:p>
        </w:tc>
      </w:tr>
      <w:tr w:rsidR="00181E36" w:rsidRPr="0043547B" w:rsidTr="008D5BBF">
        <w:trPr>
          <w:trHeight w:val="2913"/>
        </w:trPr>
        <w:tc>
          <w:tcPr>
            <w:tcW w:w="1844" w:type="dxa"/>
            <w:tcBorders>
              <w:top w:val="nil"/>
              <w:left w:val="single" w:sz="18" w:space="0" w:color="auto"/>
              <w:bottom w:val="single" w:sz="18" w:space="0" w:color="auto"/>
              <w:right w:val="single" w:sz="4" w:space="0" w:color="auto"/>
            </w:tcBorders>
            <w:shd w:val="clear" w:color="000000" w:fill="D9D9D9"/>
            <w:vAlign w:val="center"/>
            <w:hideMark/>
          </w:tcPr>
          <w:p w:rsidR="00181E36" w:rsidRPr="0043547B" w:rsidRDefault="00181E36" w:rsidP="00181E36">
            <w:pPr>
              <w:spacing w:after="0"/>
              <w:jc w:val="center"/>
              <w:rPr>
                <w:rFonts w:cstheme="minorHAnsi"/>
                <w:b/>
                <w:bCs/>
                <w:sz w:val="24"/>
                <w:szCs w:val="24"/>
              </w:rPr>
            </w:pPr>
            <w:r w:rsidRPr="0043547B">
              <w:rPr>
                <w:rFonts w:cstheme="minorHAnsi"/>
                <w:b/>
                <w:bCs/>
                <w:sz w:val="24"/>
                <w:szCs w:val="24"/>
              </w:rPr>
              <w:t>Domaine d’application :</w:t>
            </w:r>
          </w:p>
        </w:tc>
        <w:tc>
          <w:tcPr>
            <w:tcW w:w="7796" w:type="dxa"/>
            <w:tcBorders>
              <w:top w:val="nil"/>
              <w:left w:val="single" w:sz="4" w:space="0" w:color="auto"/>
              <w:bottom w:val="single" w:sz="18" w:space="0" w:color="auto"/>
              <w:right w:val="single" w:sz="18" w:space="0" w:color="auto"/>
            </w:tcBorders>
            <w:shd w:val="clear" w:color="auto" w:fill="auto"/>
            <w:vAlign w:val="center"/>
            <w:hideMark/>
          </w:tcPr>
          <w:p w:rsidR="00181E36" w:rsidRPr="0043547B" w:rsidRDefault="00181E36" w:rsidP="00181E36">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Dans le présent Rapport technique, la propagation du son dans un local est considérée conjointement à la prévision des niveaux de pression acoustique et du bruit ambiant sur un lieu de travail. </w:t>
            </w:r>
          </w:p>
          <w:p w:rsidR="00181E36" w:rsidRPr="0043547B" w:rsidRDefault="00181E36" w:rsidP="00181E36">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description détaillée dans un plan de prévision du bruit des phénomènes physiques en jeu dépend largement de la situation considérée et de la manière dont cette situation est modélisée (paramètres d’entrée, techniques de calcul). Le présent Rapport technique étudie cette dépendance et décrit la méthodologie de prévision du bruit. II fournit des recommandations quant à l’utilisation de la prévision du bruit comme élément de contribution à la réduction du bruit dans les locaux de travail. Les annexes A à E donnent des exemples d’utilisation des méthodes de prévision du bruit.</w:t>
            </w:r>
          </w:p>
        </w:tc>
      </w:tr>
      <w:tr w:rsidR="00181E36" w:rsidRPr="0043547B" w:rsidTr="008D5BBF">
        <w:trPr>
          <w:trHeight w:val="282"/>
        </w:trPr>
        <w:tc>
          <w:tcPr>
            <w:tcW w:w="1844"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hideMark/>
          </w:tcPr>
          <w:p w:rsidR="00181E36" w:rsidRPr="0043547B" w:rsidRDefault="00181E36" w:rsidP="00181E36">
            <w:pPr>
              <w:spacing w:after="0"/>
              <w:jc w:val="center"/>
              <w:rPr>
                <w:rFonts w:cstheme="minorHAnsi"/>
                <w:b/>
                <w:bCs/>
                <w:sz w:val="24"/>
                <w:szCs w:val="24"/>
              </w:rPr>
            </w:pPr>
            <w:r w:rsidRPr="0043547B">
              <w:rPr>
                <w:rFonts w:cstheme="minorHAnsi"/>
                <w:b/>
                <w:bCs/>
                <w:sz w:val="24"/>
                <w:szCs w:val="24"/>
              </w:rPr>
              <w:t>Code :</w:t>
            </w:r>
          </w:p>
        </w:tc>
        <w:tc>
          <w:tcPr>
            <w:tcW w:w="7796"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hideMark/>
          </w:tcPr>
          <w:p w:rsidR="00181E36" w:rsidRPr="0043547B" w:rsidRDefault="00181E36" w:rsidP="00181E36">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717-1</w:t>
            </w:r>
          </w:p>
        </w:tc>
      </w:tr>
      <w:tr w:rsidR="00181E36" w:rsidRPr="0043547B" w:rsidTr="008D5BBF">
        <w:trPr>
          <w:trHeight w:val="60"/>
        </w:trPr>
        <w:tc>
          <w:tcPr>
            <w:tcW w:w="1844"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181E36" w:rsidRPr="0043547B" w:rsidRDefault="00181E36" w:rsidP="00181E36">
            <w:pPr>
              <w:spacing w:after="0"/>
              <w:jc w:val="center"/>
              <w:rPr>
                <w:rFonts w:cstheme="minorHAnsi"/>
                <w:b/>
                <w:bCs/>
                <w:sz w:val="24"/>
                <w:szCs w:val="24"/>
              </w:rPr>
            </w:pPr>
            <w:r w:rsidRPr="0043547B">
              <w:rPr>
                <w:rFonts w:cstheme="minorHAnsi"/>
                <w:b/>
                <w:bCs/>
                <w:sz w:val="24"/>
                <w:szCs w:val="24"/>
              </w:rPr>
              <w:t>Equivalence :</w:t>
            </w:r>
          </w:p>
        </w:tc>
        <w:tc>
          <w:tcPr>
            <w:tcW w:w="7796" w:type="dxa"/>
            <w:tcBorders>
              <w:top w:val="single" w:sz="18" w:space="0" w:color="auto"/>
              <w:left w:val="single" w:sz="4" w:space="0" w:color="auto"/>
              <w:bottom w:val="single" w:sz="8" w:space="0" w:color="auto"/>
              <w:right w:val="single" w:sz="18" w:space="0" w:color="auto"/>
            </w:tcBorders>
            <w:shd w:val="clear" w:color="auto" w:fill="FFFF99"/>
            <w:vAlign w:val="center"/>
            <w:hideMark/>
          </w:tcPr>
          <w:p w:rsidR="00181E36" w:rsidRPr="0043547B" w:rsidRDefault="00181E36" w:rsidP="00181E36">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717-1</w:t>
            </w:r>
          </w:p>
        </w:tc>
      </w:tr>
      <w:tr w:rsidR="00181E36" w:rsidRPr="0043547B" w:rsidTr="008D5BBF">
        <w:trPr>
          <w:trHeight w:val="223"/>
        </w:trPr>
        <w:tc>
          <w:tcPr>
            <w:tcW w:w="1844" w:type="dxa"/>
            <w:tcBorders>
              <w:top w:val="nil"/>
              <w:left w:val="single" w:sz="18" w:space="0" w:color="auto"/>
              <w:bottom w:val="single" w:sz="4" w:space="0" w:color="auto"/>
              <w:right w:val="single" w:sz="4" w:space="0" w:color="auto"/>
            </w:tcBorders>
            <w:shd w:val="clear" w:color="000000" w:fill="8DB4E2"/>
            <w:vAlign w:val="center"/>
            <w:hideMark/>
          </w:tcPr>
          <w:p w:rsidR="00181E36" w:rsidRPr="0043547B" w:rsidRDefault="00181E36" w:rsidP="00181E36">
            <w:pPr>
              <w:spacing w:after="0"/>
              <w:jc w:val="center"/>
              <w:rPr>
                <w:rFonts w:cstheme="minorHAnsi"/>
                <w:b/>
                <w:bCs/>
                <w:sz w:val="24"/>
                <w:szCs w:val="24"/>
              </w:rPr>
            </w:pPr>
            <w:r w:rsidRPr="0043547B">
              <w:rPr>
                <w:rFonts w:cstheme="minorHAnsi"/>
                <w:b/>
                <w:bCs/>
                <w:sz w:val="24"/>
                <w:szCs w:val="24"/>
              </w:rPr>
              <w:t>Intitulé :</w:t>
            </w:r>
          </w:p>
        </w:tc>
        <w:tc>
          <w:tcPr>
            <w:tcW w:w="7796" w:type="dxa"/>
            <w:tcBorders>
              <w:top w:val="nil"/>
              <w:left w:val="single" w:sz="4" w:space="0" w:color="auto"/>
              <w:bottom w:val="single" w:sz="8" w:space="0" w:color="auto"/>
              <w:right w:val="single" w:sz="18" w:space="0" w:color="auto"/>
            </w:tcBorders>
            <w:shd w:val="clear" w:color="auto" w:fill="auto"/>
            <w:vAlign w:val="center"/>
            <w:hideMark/>
          </w:tcPr>
          <w:p w:rsidR="00181E36" w:rsidRPr="0043547B" w:rsidRDefault="00181E36" w:rsidP="00181E36">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Acoustique - Évaluation de l'isolement acoustique des immeubles et des éléments de construction - Partie 1 : Isolement aux bruits aériens </w:t>
            </w:r>
          </w:p>
        </w:tc>
      </w:tr>
      <w:tr w:rsidR="00181E36" w:rsidRPr="0043547B" w:rsidTr="008D5BBF">
        <w:trPr>
          <w:trHeight w:val="408"/>
        </w:trPr>
        <w:tc>
          <w:tcPr>
            <w:tcW w:w="1844" w:type="dxa"/>
            <w:tcBorders>
              <w:top w:val="nil"/>
              <w:left w:val="single" w:sz="18" w:space="0" w:color="auto"/>
              <w:bottom w:val="single" w:sz="18" w:space="0" w:color="auto"/>
              <w:right w:val="single" w:sz="4" w:space="0" w:color="auto"/>
            </w:tcBorders>
            <w:shd w:val="clear" w:color="000000" w:fill="D9D9D9"/>
            <w:vAlign w:val="center"/>
            <w:hideMark/>
          </w:tcPr>
          <w:p w:rsidR="00181E36" w:rsidRPr="0043547B" w:rsidRDefault="00181E36" w:rsidP="00181E36">
            <w:pPr>
              <w:spacing w:after="0"/>
              <w:jc w:val="center"/>
              <w:rPr>
                <w:rFonts w:cstheme="minorHAnsi"/>
                <w:b/>
                <w:bCs/>
                <w:sz w:val="24"/>
                <w:szCs w:val="24"/>
              </w:rPr>
            </w:pPr>
            <w:r w:rsidRPr="0043547B">
              <w:rPr>
                <w:rFonts w:cstheme="minorHAnsi"/>
                <w:b/>
                <w:bCs/>
                <w:sz w:val="24"/>
                <w:szCs w:val="24"/>
              </w:rPr>
              <w:t>Domaine d’application :</w:t>
            </w:r>
          </w:p>
        </w:tc>
        <w:tc>
          <w:tcPr>
            <w:tcW w:w="7796" w:type="dxa"/>
            <w:tcBorders>
              <w:top w:val="nil"/>
              <w:left w:val="single" w:sz="4" w:space="0" w:color="auto"/>
              <w:bottom w:val="single" w:sz="18" w:space="0" w:color="auto"/>
              <w:right w:val="single" w:sz="18" w:space="0" w:color="auto"/>
            </w:tcBorders>
            <w:shd w:val="clear" w:color="auto" w:fill="auto"/>
            <w:vAlign w:val="center"/>
            <w:hideMark/>
          </w:tcPr>
          <w:p w:rsidR="00181E36" w:rsidRPr="0043547B" w:rsidRDefault="00181E36" w:rsidP="00181E36">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partie de l’ISO 717 :</w:t>
            </w:r>
          </w:p>
          <w:p w:rsidR="00181E36" w:rsidRPr="0043547B" w:rsidRDefault="00181E36" w:rsidP="00181E36">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a) définit des valeurs uniques de l’isolement aux bruits aériens des immeubles et des éléments de construction tels que murs, planchers, portes et fenêtres, </w:t>
            </w:r>
          </w:p>
          <w:p w:rsidR="00181E36" w:rsidRPr="0043547B" w:rsidRDefault="00181E36" w:rsidP="00181E36">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b) prend en considération les différents spectres sonores de sources de bruit variées telles que des sources de bruit à l’intérieur d’un immeuble et du trafic à l’extérieur d’un immeuble, et</w:t>
            </w:r>
          </w:p>
          <w:p w:rsidR="00181E36" w:rsidRPr="0043547B" w:rsidRDefault="00181E36" w:rsidP="00181E36">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 spécifie des règles de détermination de ces valeurs d’après les résultats de mesurages effectués dans des bandes de fréquences d’une largeur de tiers d’octave ou d’octave conformément à l’ISO 10140-2, l’ISO 140-4 et l’ISO 140-5.</w:t>
            </w:r>
          </w:p>
          <w:p w:rsidR="00181E36" w:rsidRPr="0043547B" w:rsidRDefault="00181E36" w:rsidP="00181E36">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Les valeurs uniques spécifiées dans la présente partie de l’ISO 717 sont destinées à indiquer la qualité de l’isolement aux bruits aériens et à faciliter </w:t>
            </w:r>
            <w:r w:rsidRPr="0043547B">
              <w:rPr>
                <w:rFonts w:eastAsia="Times New Roman" w:cstheme="minorHAnsi"/>
                <w:sz w:val="24"/>
                <w:szCs w:val="24"/>
                <w:lang w:eastAsia="fr-FR"/>
              </w:rPr>
              <w:lastRenderedPageBreak/>
              <w:t>l’énoncé des exigences en matière d’acoustique dans les règles techniques de la construction. Une évaluation unique complémentaire par pas de 0,1 dB est indiquée pour exprimer l’incertitude (sauf pour les termes d’adaptation à un spectre). Les valeurs numériques requises pour ces valeurs uniques sont spécifiées suivant les besoins. Les valeurs uniques sont basées sur des résultats de mesurages effectués par bandes de fréquences de tiers d’octave ou par bandes d’octave.</w:t>
            </w:r>
          </w:p>
          <w:p w:rsidR="00181E36" w:rsidRPr="0043547B" w:rsidRDefault="00181E36" w:rsidP="00181E36">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En ce qui concerne les mesures en laboratoire effectuées selon l’ISO 10140, il convient de calculer les valeurs uniques sur la base des bandes de tiers d’octave seulement. </w:t>
            </w:r>
          </w:p>
        </w:tc>
      </w:tr>
      <w:tr w:rsidR="00181E36" w:rsidRPr="0043547B" w:rsidTr="008D5BBF">
        <w:trPr>
          <w:trHeight w:val="60"/>
        </w:trPr>
        <w:tc>
          <w:tcPr>
            <w:tcW w:w="1844"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hideMark/>
          </w:tcPr>
          <w:p w:rsidR="00181E36" w:rsidRPr="0043547B" w:rsidRDefault="00181E36" w:rsidP="00181E36">
            <w:pPr>
              <w:spacing w:after="0"/>
              <w:jc w:val="center"/>
              <w:rPr>
                <w:rFonts w:cstheme="minorHAnsi"/>
                <w:b/>
                <w:bCs/>
                <w:sz w:val="24"/>
                <w:szCs w:val="24"/>
              </w:rPr>
            </w:pPr>
            <w:r w:rsidRPr="0043547B">
              <w:rPr>
                <w:rFonts w:cstheme="minorHAnsi"/>
                <w:b/>
                <w:bCs/>
                <w:sz w:val="24"/>
                <w:szCs w:val="24"/>
              </w:rPr>
              <w:lastRenderedPageBreak/>
              <w:t>Code :</w:t>
            </w:r>
          </w:p>
        </w:tc>
        <w:tc>
          <w:tcPr>
            <w:tcW w:w="7796"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hideMark/>
          </w:tcPr>
          <w:p w:rsidR="00181E36" w:rsidRPr="0043547B" w:rsidRDefault="00181E36" w:rsidP="00181E36">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717-2</w:t>
            </w:r>
          </w:p>
        </w:tc>
      </w:tr>
      <w:tr w:rsidR="00181E36" w:rsidRPr="0043547B" w:rsidTr="008D5BBF">
        <w:trPr>
          <w:trHeight w:val="60"/>
        </w:trPr>
        <w:tc>
          <w:tcPr>
            <w:tcW w:w="1844"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181E36" w:rsidRPr="0043547B" w:rsidRDefault="00181E36" w:rsidP="00181E36">
            <w:pPr>
              <w:spacing w:after="0"/>
              <w:jc w:val="center"/>
              <w:rPr>
                <w:rFonts w:cstheme="minorHAnsi"/>
                <w:b/>
                <w:bCs/>
                <w:sz w:val="24"/>
                <w:szCs w:val="24"/>
              </w:rPr>
            </w:pPr>
            <w:r w:rsidRPr="0043547B">
              <w:rPr>
                <w:rFonts w:cstheme="minorHAnsi"/>
                <w:b/>
                <w:bCs/>
                <w:sz w:val="24"/>
                <w:szCs w:val="24"/>
              </w:rPr>
              <w:t>Equivalence :</w:t>
            </w:r>
          </w:p>
        </w:tc>
        <w:tc>
          <w:tcPr>
            <w:tcW w:w="7796" w:type="dxa"/>
            <w:tcBorders>
              <w:top w:val="single" w:sz="18" w:space="0" w:color="auto"/>
              <w:left w:val="single" w:sz="4" w:space="0" w:color="auto"/>
              <w:bottom w:val="single" w:sz="8" w:space="0" w:color="auto"/>
              <w:right w:val="single" w:sz="18" w:space="0" w:color="auto"/>
            </w:tcBorders>
            <w:shd w:val="clear" w:color="auto" w:fill="FFFF99"/>
            <w:vAlign w:val="center"/>
            <w:hideMark/>
          </w:tcPr>
          <w:p w:rsidR="00181E36" w:rsidRPr="0043547B" w:rsidRDefault="00181E36" w:rsidP="00181E36">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717-2</w:t>
            </w:r>
          </w:p>
        </w:tc>
      </w:tr>
      <w:tr w:rsidR="00181E36" w:rsidRPr="0043547B" w:rsidTr="008D5BBF">
        <w:trPr>
          <w:trHeight w:val="64"/>
        </w:trPr>
        <w:tc>
          <w:tcPr>
            <w:tcW w:w="1844" w:type="dxa"/>
            <w:tcBorders>
              <w:top w:val="nil"/>
              <w:left w:val="single" w:sz="18" w:space="0" w:color="auto"/>
              <w:bottom w:val="single" w:sz="4" w:space="0" w:color="auto"/>
              <w:right w:val="single" w:sz="4" w:space="0" w:color="auto"/>
            </w:tcBorders>
            <w:shd w:val="clear" w:color="000000" w:fill="8DB4E2"/>
            <w:vAlign w:val="center"/>
            <w:hideMark/>
          </w:tcPr>
          <w:p w:rsidR="00181E36" w:rsidRPr="0043547B" w:rsidRDefault="00181E36" w:rsidP="00181E36">
            <w:pPr>
              <w:spacing w:after="0"/>
              <w:jc w:val="center"/>
              <w:rPr>
                <w:rFonts w:cstheme="minorHAnsi"/>
                <w:b/>
                <w:bCs/>
                <w:sz w:val="24"/>
                <w:szCs w:val="24"/>
              </w:rPr>
            </w:pPr>
            <w:r w:rsidRPr="0043547B">
              <w:rPr>
                <w:rFonts w:cstheme="minorHAnsi"/>
                <w:b/>
                <w:bCs/>
                <w:sz w:val="24"/>
                <w:szCs w:val="24"/>
              </w:rPr>
              <w:t>Intitulé :</w:t>
            </w:r>
          </w:p>
        </w:tc>
        <w:tc>
          <w:tcPr>
            <w:tcW w:w="7796" w:type="dxa"/>
            <w:tcBorders>
              <w:top w:val="nil"/>
              <w:left w:val="single" w:sz="4" w:space="0" w:color="auto"/>
              <w:bottom w:val="single" w:sz="8" w:space="0" w:color="auto"/>
              <w:right w:val="single" w:sz="18" w:space="0" w:color="auto"/>
            </w:tcBorders>
            <w:shd w:val="clear" w:color="auto" w:fill="auto"/>
            <w:vAlign w:val="center"/>
            <w:hideMark/>
          </w:tcPr>
          <w:p w:rsidR="00181E36" w:rsidRPr="0043547B" w:rsidRDefault="00181E36" w:rsidP="00181E36">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Acoustique - Évaluation de l'isolement acoustique des immeubles et des éléments de construction - Partie 2 : Protection contre le bruit de choc </w:t>
            </w:r>
          </w:p>
        </w:tc>
      </w:tr>
      <w:tr w:rsidR="00181E36" w:rsidRPr="0043547B" w:rsidTr="008D5BBF">
        <w:trPr>
          <w:trHeight w:val="4944"/>
        </w:trPr>
        <w:tc>
          <w:tcPr>
            <w:tcW w:w="1844" w:type="dxa"/>
            <w:tcBorders>
              <w:top w:val="nil"/>
              <w:left w:val="single" w:sz="18" w:space="0" w:color="auto"/>
              <w:bottom w:val="single" w:sz="18" w:space="0" w:color="auto"/>
              <w:right w:val="single" w:sz="4" w:space="0" w:color="auto"/>
            </w:tcBorders>
            <w:shd w:val="clear" w:color="000000" w:fill="D9D9D9"/>
            <w:vAlign w:val="center"/>
            <w:hideMark/>
          </w:tcPr>
          <w:p w:rsidR="00181E36" w:rsidRPr="0043547B" w:rsidRDefault="00181E36" w:rsidP="00181E36">
            <w:pPr>
              <w:spacing w:after="0"/>
              <w:jc w:val="center"/>
              <w:rPr>
                <w:rFonts w:cstheme="minorHAnsi"/>
                <w:b/>
                <w:bCs/>
                <w:sz w:val="24"/>
                <w:szCs w:val="24"/>
              </w:rPr>
            </w:pPr>
            <w:r w:rsidRPr="0043547B">
              <w:rPr>
                <w:rFonts w:cstheme="minorHAnsi"/>
                <w:b/>
                <w:bCs/>
                <w:sz w:val="24"/>
                <w:szCs w:val="24"/>
              </w:rPr>
              <w:t>Domaine d’application :</w:t>
            </w:r>
          </w:p>
        </w:tc>
        <w:tc>
          <w:tcPr>
            <w:tcW w:w="7796" w:type="dxa"/>
            <w:tcBorders>
              <w:top w:val="nil"/>
              <w:left w:val="single" w:sz="4" w:space="0" w:color="auto"/>
              <w:bottom w:val="single" w:sz="18" w:space="0" w:color="auto"/>
              <w:right w:val="single" w:sz="18" w:space="0" w:color="auto"/>
            </w:tcBorders>
            <w:shd w:val="clear" w:color="auto" w:fill="auto"/>
            <w:vAlign w:val="center"/>
            <w:hideMark/>
          </w:tcPr>
          <w:p w:rsidR="00181E36" w:rsidRPr="0043547B" w:rsidRDefault="00181E36" w:rsidP="00181E36">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partie de l’ISO 717 :</w:t>
            </w:r>
          </w:p>
          <w:p w:rsidR="00181E36" w:rsidRPr="0043547B" w:rsidRDefault="00181E36" w:rsidP="00181E36">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a) définit des valeurs uniques de l’isolement acoustique des immeubles et des planchers au bruit de choc,</w:t>
            </w:r>
          </w:p>
          <w:p w:rsidR="00181E36" w:rsidRPr="0043547B" w:rsidRDefault="00181E36" w:rsidP="00181E36">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b) spécifie des règles de détermination de ces valeurs d’après les résultats de mesurages effectués dans des bandes de fréquences de tiers d’octave conformément à l’ISO 10140-3 et à l’ISO 140-7, et dans des bandes de fréquences d’octave conformément à l’ISO 140-7 pour des mesurages sur site seulement, et </w:t>
            </w:r>
          </w:p>
          <w:p w:rsidR="00181E36" w:rsidRPr="0043547B" w:rsidRDefault="00181E36" w:rsidP="00181E36">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c) définit des valeurs uniques de la réduction du bruit de choc par les revêtements de sol et les planchers flottants calculées d’après les résultats de mesurages effectués conformément à l’ISO 10140-3, et </w:t>
            </w:r>
          </w:p>
          <w:p w:rsidR="00181E36" w:rsidRPr="0043547B" w:rsidRDefault="00181E36" w:rsidP="00181E36">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d) spécifie un mode opératoire d’évaluation de la réduction du niveau du bruit de choc pondéré par les revêtements de sol sur des planchers légers.</w:t>
            </w:r>
          </w:p>
          <w:p w:rsidR="00181E36" w:rsidRPr="0043547B" w:rsidRDefault="00181E36" w:rsidP="00181E36">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valeurs uniques spécifiées dans la présente partie de l’ISO 717 sont destinées à indiquer la qualité de l’isolement acoustique aux bruits de choc et à faciliter l’énoncé des exigences en matière d’acoustique dans les règles techniques de la construction. Une évaluation unique complémentaire par pas de 0,1 dB est indiquée pour exprimer l’incertitude (sauf pour les termes d’adaptation à un spectre). Les valeurs numériques requises pour ces valeurs uniques sont spécifiées suivant les besoins.</w:t>
            </w:r>
          </w:p>
        </w:tc>
      </w:tr>
      <w:tr w:rsidR="00181E36" w:rsidRPr="0043547B" w:rsidTr="008D5BBF">
        <w:trPr>
          <w:trHeight w:val="60"/>
        </w:trPr>
        <w:tc>
          <w:tcPr>
            <w:tcW w:w="1844"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hideMark/>
          </w:tcPr>
          <w:p w:rsidR="00181E36" w:rsidRPr="0043547B" w:rsidRDefault="00181E36" w:rsidP="00181E36">
            <w:pPr>
              <w:spacing w:after="0"/>
              <w:jc w:val="center"/>
              <w:rPr>
                <w:rFonts w:cstheme="minorHAnsi"/>
                <w:b/>
                <w:bCs/>
                <w:sz w:val="24"/>
                <w:szCs w:val="24"/>
              </w:rPr>
            </w:pPr>
            <w:r w:rsidRPr="0043547B">
              <w:rPr>
                <w:rFonts w:cstheme="minorHAnsi"/>
                <w:b/>
                <w:bCs/>
                <w:sz w:val="24"/>
                <w:szCs w:val="24"/>
              </w:rPr>
              <w:t>Code :</w:t>
            </w:r>
          </w:p>
        </w:tc>
        <w:tc>
          <w:tcPr>
            <w:tcW w:w="7796"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hideMark/>
          </w:tcPr>
          <w:p w:rsidR="00181E36" w:rsidRPr="0043547B" w:rsidRDefault="00181E36" w:rsidP="00181E36">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 xml:space="preserve"> NM ISO 10140-1</w:t>
            </w:r>
          </w:p>
        </w:tc>
      </w:tr>
      <w:tr w:rsidR="00181E36" w:rsidRPr="0043547B" w:rsidTr="008D5BBF">
        <w:trPr>
          <w:trHeight w:val="60"/>
        </w:trPr>
        <w:tc>
          <w:tcPr>
            <w:tcW w:w="1844"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181E36" w:rsidRPr="0043547B" w:rsidRDefault="00181E36" w:rsidP="00181E36">
            <w:pPr>
              <w:spacing w:after="0"/>
              <w:jc w:val="center"/>
              <w:rPr>
                <w:rFonts w:cstheme="minorHAnsi"/>
                <w:b/>
                <w:bCs/>
                <w:sz w:val="24"/>
                <w:szCs w:val="24"/>
              </w:rPr>
            </w:pPr>
            <w:r w:rsidRPr="0043547B">
              <w:rPr>
                <w:rFonts w:cstheme="minorHAnsi"/>
                <w:b/>
                <w:bCs/>
                <w:sz w:val="24"/>
                <w:szCs w:val="24"/>
              </w:rPr>
              <w:t>Equivalence :</w:t>
            </w:r>
          </w:p>
        </w:tc>
        <w:tc>
          <w:tcPr>
            <w:tcW w:w="7796" w:type="dxa"/>
            <w:tcBorders>
              <w:top w:val="single" w:sz="18" w:space="0" w:color="auto"/>
              <w:left w:val="single" w:sz="4" w:space="0" w:color="auto"/>
              <w:bottom w:val="single" w:sz="8" w:space="0" w:color="auto"/>
              <w:right w:val="single" w:sz="18" w:space="0" w:color="auto"/>
            </w:tcBorders>
            <w:shd w:val="clear" w:color="auto" w:fill="FFFF99"/>
            <w:vAlign w:val="center"/>
            <w:hideMark/>
          </w:tcPr>
          <w:p w:rsidR="00181E36" w:rsidRPr="0043547B" w:rsidRDefault="00181E36" w:rsidP="00181E36">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10140-1</w:t>
            </w:r>
          </w:p>
        </w:tc>
      </w:tr>
      <w:tr w:rsidR="00181E36" w:rsidRPr="0043547B" w:rsidTr="008D5BBF">
        <w:trPr>
          <w:trHeight w:val="662"/>
        </w:trPr>
        <w:tc>
          <w:tcPr>
            <w:tcW w:w="1844" w:type="dxa"/>
            <w:tcBorders>
              <w:top w:val="nil"/>
              <w:left w:val="single" w:sz="18" w:space="0" w:color="auto"/>
              <w:bottom w:val="single" w:sz="4" w:space="0" w:color="auto"/>
              <w:right w:val="single" w:sz="4" w:space="0" w:color="auto"/>
            </w:tcBorders>
            <w:shd w:val="clear" w:color="000000" w:fill="8DB4E2"/>
            <w:vAlign w:val="center"/>
            <w:hideMark/>
          </w:tcPr>
          <w:p w:rsidR="00181E36" w:rsidRPr="0043547B" w:rsidRDefault="00181E36" w:rsidP="00181E36">
            <w:pPr>
              <w:spacing w:after="0"/>
              <w:jc w:val="center"/>
              <w:rPr>
                <w:rFonts w:cstheme="minorHAnsi"/>
                <w:b/>
                <w:bCs/>
                <w:sz w:val="24"/>
                <w:szCs w:val="24"/>
              </w:rPr>
            </w:pPr>
            <w:r w:rsidRPr="0043547B">
              <w:rPr>
                <w:rFonts w:cstheme="minorHAnsi"/>
                <w:b/>
                <w:bCs/>
                <w:sz w:val="24"/>
                <w:szCs w:val="24"/>
              </w:rPr>
              <w:t>Intitulé :</w:t>
            </w:r>
          </w:p>
        </w:tc>
        <w:tc>
          <w:tcPr>
            <w:tcW w:w="7796" w:type="dxa"/>
            <w:tcBorders>
              <w:top w:val="nil"/>
              <w:left w:val="single" w:sz="4" w:space="0" w:color="auto"/>
              <w:bottom w:val="single" w:sz="8" w:space="0" w:color="auto"/>
              <w:right w:val="single" w:sz="18" w:space="0" w:color="auto"/>
            </w:tcBorders>
            <w:shd w:val="clear" w:color="auto" w:fill="auto"/>
            <w:vAlign w:val="center"/>
            <w:hideMark/>
          </w:tcPr>
          <w:p w:rsidR="00181E36" w:rsidRPr="0043547B" w:rsidRDefault="00181E36" w:rsidP="00181E36">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Acoustique - Mesurage en laboratoire de l'isolation acoustique des éléments de construction - Partie 1 : règles d'application pour produits particuliers ; </w:t>
            </w:r>
          </w:p>
        </w:tc>
      </w:tr>
      <w:tr w:rsidR="00181E36" w:rsidRPr="0043547B" w:rsidTr="008D5BBF">
        <w:trPr>
          <w:trHeight w:val="1804"/>
        </w:trPr>
        <w:tc>
          <w:tcPr>
            <w:tcW w:w="1844" w:type="dxa"/>
            <w:tcBorders>
              <w:top w:val="nil"/>
              <w:left w:val="single" w:sz="18" w:space="0" w:color="auto"/>
              <w:bottom w:val="single" w:sz="18" w:space="0" w:color="auto"/>
              <w:right w:val="single" w:sz="4" w:space="0" w:color="auto"/>
            </w:tcBorders>
            <w:shd w:val="clear" w:color="000000" w:fill="D9D9D9"/>
            <w:vAlign w:val="center"/>
            <w:hideMark/>
          </w:tcPr>
          <w:p w:rsidR="00181E36" w:rsidRPr="0043547B" w:rsidRDefault="00181E36" w:rsidP="00181E36">
            <w:pPr>
              <w:spacing w:after="0"/>
              <w:jc w:val="center"/>
              <w:rPr>
                <w:rFonts w:cstheme="minorHAnsi"/>
                <w:b/>
                <w:bCs/>
                <w:sz w:val="24"/>
                <w:szCs w:val="24"/>
              </w:rPr>
            </w:pPr>
            <w:r w:rsidRPr="0043547B">
              <w:rPr>
                <w:rFonts w:cstheme="minorHAnsi"/>
                <w:b/>
                <w:bCs/>
                <w:sz w:val="24"/>
                <w:szCs w:val="24"/>
              </w:rPr>
              <w:t>Domaine d’application :</w:t>
            </w:r>
          </w:p>
        </w:tc>
        <w:tc>
          <w:tcPr>
            <w:tcW w:w="7796" w:type="dxa"/>
            <w:tcBorders>
              <w:top w:val="nil"/>
              <w:left w:val="single" w:sz="4" w:space="0" w:color="auto"/>
              <w:bottom w:val="single" w:sz="18" w:space="0" w:color="auto"/>
              <w:right w:val="single" w:sz="18" w:space="0" w:color="auto"/>
            </w:tcBorders>
            <w:shd w:val="clear" w:color="auto" w:fill="auto"/>
            <w:vAlign w:val="center"/>
            <w:hideMark/>
          </w:tcPr>
          <w:p w:rsidR="00181E36" w:rsidRPr="0043547B" w:rsidRDefault="00181E36" w:rsidP="00181E36">
            <w:pPr>
              <w:spacing w:after="0" w:line="240" w:lineRule="auto"/>
              <w:jc w:val="both"/>
              <w:rPr>
                <w:rFonts w:eastAsia="Times New Roman" w:cstheme="minorHAnsi"/>
                <w:sz w:val="24"/>
                <w:szCs w:val="24"/>
                <w:lang w:eastAsia="fr-FR"/>
              </w:rPr>
            </w:pPr>
            <w:r w:rsidRPr="0043547B">
              <w:rPr>
                <w:rFonts w:cstheme="minorHAnsi"/>
                <w:sz w:val="24"/>
                <w:szCs w:val="24"/>
              </w:rPr>
              <w:t>La présente partie de l'ISO 10140 spécifie les exigences d'essai relatives aux éléments et produits de construction, y compris les exigences détaillées pour la préparation, le montage et les conditions de fonctionnement et d'essai, ainsi que les grandeurs applicables et les informations supplémentaires relatives aux rapports d'essai. Les modes opératoires généraux pour les mesurages de l’isolation au bruit aérien et au bruit de choc sont respectivement donnés dans l'ISO 10140-2 et l'ISO 10140-3.</w:t>
            </w:r>
          </w:p>
        </w:tc>
      </w:tr>
      <w:tr w:rsidR="00181E36" w:rsidRPr="0043547B" w:rsidTr="008D5BBF">
        <w:trPr>
          <w:trHeight w:val="60"/>
        </w:trPr>
        <w:tc>
          <w:tcPr>
            <w:tcW w:w="1844"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hideMark/>
          </w:tcPr>
          <w:p w:rsidR="00181E36" w:rsidRPr="0043547B" w:rsidRDefault="00181E36" w:rsidP="00181E36">
            <w:pPr>
              <w:spacing w:after="0"/>
              <w:jc w:val="center"/>
              <w:rPr>
                <w:rFonts w:cstheme="minorHAnsi"/>
                <w:b/>
                <w:bCs/>
                <w:sz w:val="24"/>
                <w:szCs w:val="24"/>
              </w:rPr>
            </w:pPr>
            <w:r w:rsidRPr="0043547B">
              <w:rPr>
                <w:rFonts w:cstheme="minorHAnsi"/>
                <w:b/>
                <w:bCs/>
                <w:sz w:val="24"/>
                <w:szCs w:val="24"/>
              </w:rPr>
              <w:t>Code :</w:t>
            </w:r>
          </w:p>
        </w:tc>
        <w:tc>
          <w:tcPr>
            <w:tcW w:w="7796"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hideMark/>
          </w:tcPr>
          <w:p w:rsidR="00181E36" w:rsidRPr="0043547B" w:rsidRDefault="00181E36" w:rsidP="00181E36">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 xml:space="preserve"> NM ISO 10140-2</w:t>
            </w:r>
          </w:p>
        </w:tc>
      </w:tr>
      <w:tr w:rsidR="00181E36" w:rsidRPr="0043547B" w:rsidTr="008D5BBF">
        <w:trPr>
          <w:trHeight w:val="60"/>
        </w:trPr>
        <w:tc>
          <w:tcPr>
            <w:tcW w:w="1844"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181E36" w:rsidRPr="0043547B" w:rsidRDefault="00181E36" w:rsidP="00181E36">
            <w:pPr>
              <w:spacing w:after="0"/>
              <w:jc w:val="center"/>
              <w:rPr>
                <w:rFonts w:cstheme="minorHAnsi"/>
                <w:b/>
                <w:bCs/>
                <w:sz w:val="24"/>
                <w:szCs w:val="24"/>
              </w:rPr>
            </w:pPr>
            <w:r w:rsidRPr="0043547B">
              <w:rPr>
                <w:rFonts w:cstheme="minorHAnsi"/>
                <w:b/>
                <w:bCs/>
                <w:sz w:val="24"/>
                <w:szCs w:val="24"/>
              </w:rPr>
              <w:t>Equivalence :</w:t>
            </w:r>
          </w:p>
        </w:tc>
        <w:tc>
          <w:tcPr>
            <w:tcW w:w="7796" w:type="dxa"/>
            <w:tcBorders>
              <w:top w:val="single" w:sz="18" w:space="0" w:color="auto"/>
              <w:left w:val="single" w:sz="4" w:space="0" w:color="auto"/>
              <w:bottom w:val="single" w:sz="8" w:space="0" w:color="auto"/>
              <w:right w:val="single" w:sz="18" w:space="0" w:color="auto"/>
            </w:tcBorders>
            <w:shd w:val="clear" w:color="auto" w:fill="FFFF99"/>
            <w:vAlign w:val="center"/>
            <w:hideMark/>
          </w:tcPr>
          <w:p w:rsidR="00181E36" w:rsidRPr="0043547B" w:rsidRDefault="00181E36" w:rsidP="00181E36">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10140-2</w:t>
            </w:r>
          </w:p>
        </w:tc>
      </w:tr>
      <w:tr w:rsidR="00181E36" w:rsidRPr="0043547B" w:rsidTr="008D5BBF">
        <w:trPr>
          <w:trHeight w:val="64"/>
        </w:trPr>
        <w:tc>
          <w:tcPr>
            <w:tcW w:w="1844" w:type="dxa"/>
            <w:tcBorders>
              <w:top w:val="nil"/>
              <w:left w:val="single" w:sz="18" w:space="0" w:color="auto"/>
              <w:bottom w:val="single" w:sz="4" w:space="0" w:color="auto"/>
              <w:right w:val="single" w:sz="4" w:space="0" w:color="auto"/>
            </w:tcBorders>
            <w:shd w:val="clear" w:color="000000" w:fill="8DB4E2"/>
            <w:vAlign w:val="center"/>
            <w:hideMark/>
          </w:tcPr>
          <w:p w:rsidR="00181E36" w:rsidRPr="0043547B" w:rsidRDefault="00181E36" w:rsidP="00181E36">
            <w:pPr>
              <w:spacing w:after="0"/>
              <w:jc w:val="center"/>
              <w:rPr>
                <w:rFonts w:cstheme="minorHAnsi"/>
                <w:b/>
                <w:bCs/>
                <w:sz w:val="24"/>
                <w:szCs w:val="24"/>
              </w:rPr>
            </w:pPr>
            <w:r w:rsidRPr="0043547B">
              <w:rPr>
                <w:rFonts w:cstheme="minorHAnsi"/>
                <w:b/>
                <w:bCs/>
                <w:sz w:val="24"/>
                <w:szCs w:val="24"/>
              </w:rPr>
              <w:lastRenderedPageBreak/>
              <w:t>Intitulé :</w:t>
            </w:r>
          </w:p>
        </w:tc>
        <w:tc>
          <w:tcPr>
            <w:tcW w:w="7796" w:type="dxa"/>
            <w:tcBorders>
              <w:top w:val="nil"/>
              <w:left w:val="single" w:sz="4" w:space="0" w:color="auto"/>
              <w:bottom w:val="single" w:sz="8" w:space="0" w:color="auto"/>
              <w:right w:val="single" w:sz="18" w:space="0" w:color="auto"/>
            </w:tcBorders>
            <w:shd w:val="clear" w:color="auto" w:fill="auto"/>
            <w:vAlign w:val="center"/>
            <w:hideMark/>
          </w:tcPr>
          <w:p w:rsidR="00181E36" w:rsidRPr="0043547B" w:rsidRDefault="00181E36" w:rsidP="00181E36">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Acoustique - Mesurage en laboratoire de l'isolation acoustique des éléments de construction - Partie 2 : mesurage de l'isolation au bruit aérien </w:t>
            </w:r>
          </w:p>
        </w:tc>
      </w:tr>
      <w:tr w:rsidR="00181E36" w:rsidRPr="0043547B" w:rsidTr="00996E2F">
        <w:trPr>
          <w:trHeight w:val="5511"/>
        </w:trPr>
        <w:tc>
          <w:tcPr>
            <w:tcW w:w="1844" w:type="dxa"/>
            <w:tcBorders>
              <w:top w:val="nil"/>
              <w:left w:val="single" w:sz="18" w:space="0" w:color="auto"/>
              <w:bottom w:val="single" w:sz="18" w:space="0" w:color="auto"/>
              <w:right w:val="single" w:sz="4" w:space="0" w:color="auto"/>
            </w:tcBorders>
            <w:shd w:val="clear" w:color="000000" w:fill="D9D9D9"/>
            <w:vAlign w:val="center"/>
            <w:hideMark/>
          </w:tcPr>
          <w:p w:rsidR="00181E36" w:rsidRPr="0043547B" w:rsidRDefault="00181E36" w:rsidP="00181E36">
            <w:pPr>
              <w:spacing w:after="0"/>
              <w:jc w:val="center"/>
              <w:rPr>
                <w:rFonts w:cstheme="minorHAnsi"/>
                <w:b/>
                <w:bCs/>
                <w:sz w:val="24"/>
                <w:szCs w:val="24"/>
              </w:rPr>
            </w:pPr>
            <w:r w:rsidRPr="0043547B">
              <w:rPr>
                <w:rFonts w:cstheme="minorHAnsi"/>
                <w:b/>
                <w:bCs/>
                <w:sz w:val="24"/>
                <w:szCs w:val="24"/>
              </w:rPr>
              <w:t>Domaine d’application :</w:t>
            </w:r>
          </w:p>
        </w:tc>
        <w:tc>
          <w:tcPr>
            <w:tcW w:w="7796" w:type="dxa"/>
            <w:tcBorders>
              <w:top w:val="nil"/>
              <w:left w:val="single" w:sz="4" w:space="0" w:color="auto"/>
              <w:bottom w:val="single" w:sz="18" w:space="0" w:color="auto"/>
              <w:right w:val="single" w:sz="18" w:space="0" w:color="auto"/>
            </w:tcBorders>
            <w:shd w:val="clear" w:color="auto" w:fill="auto"/>
            <w:vAlign w:val="center"/>
            <w:hideMark/>
          </w:tcPr>
          <w:p w:rsidR="00181E36" w:rsidRPr="0043547B" w:rsidRDefault="00181E36" w:rsidP="00181E36">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partie de l'ISO 10140 spécifie une méthode de mesurage en laboratoire de l'isolation au bruit aérien des produits de construction tels que les murs, planchers, portes, fenêtres, fermetures, éléments de façade, façades, vitrage, petits éléments techniques, par exemple les dispositifs de transfert d’air, bouches d’aération (bouches de ventilation), entrées d'air extérieures, conduits électriques, systèmes d’étanchéité de passage, et des combinaisons, par exemple les murs ou planchers avec revêtements, les plafonds suspendus ou les planchers flottants.</w:t>
            </w:r>
          </w:p>
          <w:p w:rsidR="00181E36" w:rsidRPr="0043547B" w:rsidRDefault="00181E36" w:rsidP="00181E36">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résultats d'essai peuvent être utilisés pour comparer les propriétés d'isolation acoustique des éléments de construction, classer ces éléments selon leurs aptitudes d'isolation acoustique, aider à concevoir des produits de construction nécessitant certaines propriétés acoustiques, et évaluer la performance in situ dans les bâtiments complets.</w:t>
            </w:r>
          </w:p>
          <w:p w:rsidR="00181E36" w:rsidRPr="0043547B" w:rsidRDefault="00181E36" w:rsidP="00181E36">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mesurages sont effectués dans des installations d'essai en laboratoire dans lesquelles la transmission acoustique par les voies latérales est supprimée. Les résultats des mesurages effectués conformément à la présente partie de l'ISO 10140 ne sont pas directement applicables in situ sans tenir compte d'autres facteurs qui influencent l'isolation acoustique, tels que la transmission latérale, les conditions limites et le facteur de perte total.</w:t>
            </w:r>
          </w:p>
        </w:tc>
      </w:tr>
      <w:tr w:rsidR="00181E36" w:rsidRPr="0043547B" w:rsidTr="008D5BBF">
        <w:trPr>
          <w:trHeight w:val="60"/>
        </w:trPr>
        <w:tc>
          <w:tcPr>
            <w:tcW w:w="1844"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hideMark/>
          </w:tcPr>
          <w:p w:rsidR="00181E36" w:rsidRPr="0043547B" w:rsidRDefault="00181E36" w:rsidP="00181E36">
            <w:pPr>
              <w:spacing w:after="0"/>
              <w:jc w:val="center"/>
              <w:rPr>
                <w:rFonts w:cstheme="minorHAnsi"/>
                <w:b/>
                <w:bCs/>
                <w:sz w:val="24"/>
                <w:szCs w:val="24"/>
              </w:rPr>
            </w:pPr>
            <w:r w:rsidRPr="0043547B">
              <w:rPr>
                <w:rFonts w:cstheme="minorHAnsi"/>
                <w:b/>
                <w:bCs/>
                <w:sz w:val="24"/>
                <w:szCs w:val="24"/>
              </w:rPr>
              <w:t>Code :</w:t>
            </w:r>
          </w:p>
        </w:tc>
        <w:tc>
          <w:tcPr>
            <w:tcW w:w="7796"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hideMark/>
          </w:tcPr>
          <w:p w:rsidR="00181E36" w:rsidRPr="0043547B" w:rsidRDefault="00181E36" w:rsidP="00181E36">
            <w:pPr>
              <w:spacing w:after="0" w:line="240" w:lineRule="auto"/>
              <w:jc w:val="center"/>
              <w:rPr>
                <w:rFonts w:eastAsia="Times New Roman" w:cstheme="minorHAnsi"/>
                <w:b/>
                <w:bCs/>
                <w:sz w:val="24"/>
                <w:szCs w:val="24"/>
                <w:lang w:eastAsia="fr-FR"/>
              </w:rPr>
            </w:pPr>
            <w:bookmarkStart w:id="40" w:name="RANGE!B19"/>
            <w:r w:rsidRPr="0043547B">
              <w:rPr>
                <w:rFonts w:eastAsia="Times New Roman" w:cstheme="minorHAnsi"/>
                <w:b/>
                <w:bCs/>
                <w:sz w:val="24"/>
                <w:szCs w:val="24"/>
                <w:lang w:eastAsia="fr-FR"/>
              </w:rPr>
              <w:t xml:space="preserve"> NM ISO 10140-3</w:t>
            </w:r>
            <w:bookmarkEnd w:id="40"/>
          </w:p>
        </w:tc>
      </w:tr>
      <w:tr w:rsidR="00181E36" w:rsidRPr="0043547B" w:rsidTr="008D5BBF">
        <w:trPr>
          <w:trHeight w:val="60"/>
        </w:trPr>
        <w:tc>
          <w:tcPr>
            <w:tcW w:w="1844"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181E36" w:rsidRPr="0043547B" w:rsidRDefault="00181E36" w:rsidP="00181E36">
            <w:pPr>
              <w:spacing w:after="0"/>
              <w:jc w:val="center"/>
              <w:rPr>
                <w:rFonts w:cstheme="minorHAnsi"/>
                <w:b/>
                <w:bCs/>
                <w:sz w:val="24"/>
                <w:szCs w:val="24"/>
              </w:rPr>
            </w:pPr>
            <w:r w:rsidRPr="0043547B">
              <w:rPr>
                <w:rFonts w:cstheme="minorHAnsi"/>
                <w:b/>
                <w:bCs/>
                <w:sz w:val="24"/>
                <w:szCs w:val="24"/>
              </w:rPr>
              <w:t>Equivalence :</w:t>
            </w:r>
          </w:p>
        </w:tc>
        <w:tc>
          <w:tcPr>
            <w:tcW w:w="7796" w:type="dxa"/>
            <w:tcBorders>
              <w:top w:val="single" w:sz="18" w:space="0" w:color="auto"/>
              <w:left w:val="single" w:sz="4" w:space="0" w:color="auto"/>
              <w:bottom w:val="single" w:sz="8" w:space="0" w:color="auto"/>
              <w:right w:val="single" w:sz="18" w:space="0" w:color="auto"/>
            </w:tcBorders>
            <w:shd w:val="clear" w:color="auto" w:fill="FFFF99"/>
            <w:vAlign w:val="center"/>
            <w:hideMark/>
          </w:tcPr>
          <w:p w:rsidR="00181E36" w:rsidRPr="0043547B" w:rsidRDefault="00181E36" w:rsidP="00181E36">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10140-3</w:t>
            </w:r>
          </w:p>
        </w:tc>
      </w:tr>
      <w:tr w:rsidR="00181E36" w:rsidRPr="0043547B" w:rsidTr="008D5BBF">
        <w:trPr>
          <w:trHeight w:val="218"/>
        </w:trPr>
        <w:tc>
          <w:tcPr>
            <w:tcW w:w="1844" w:type="dxa"/>
            <w:tcBorders>
              <w:top w:val="nil"/>
              <w:left w:val="single" w:sz="18" w:space="0" w:color="auto"/>
              <w:bottom w:val="single" w:sz="4" w:space="0" w:color="auto"/>
              <w:right w:val="single" w:sz="4" w:space="0" w:color="auto"/>
            </w:tcBorders>
            <w:shd w:val="clear" w:color="000000" w:fill="8DB4E2"/>
            <w:vAlign w:val="center"/>
            <w:hideMark/>
          </w:tcPr>
          <w:p w:rsidR="00181E36" w:rsidRPr="0043547B" w:rsidRDefault="00181E36" w:rsidP="00181E36">
            <w:pPr>
              <w:spacing w:after="0"/>
              <w:jc w:val="center"/>
              <w:rPr>
                <w:rFonts w:cstheme="minorHAnsi"/>
                <w:b/>
                <w:bCs/>
                <w:sz w:val="24"/>
                <w:szCs w:val="24"/>
              </w:rPr>
            </w:pPr>
            <w:r w:rsidRPr="0043547B">
              <w:rPr>
                <w:rFonts w:cstheme="minorHAnsi"/>
                <w:b/>
                <w:bCs/>
                <w:sz w:val="24"/>
                <w:szCs w:val="24"/>
              </w:rPr>
              <w:t>Intitulé :</w:t>
            </w:r>
          </w:p>
        </w:tc>
        <w:tc>
          <w:tcPr>
            <w:tcW w:w="7796" w:type="dxa"/>
            <w:tcBorders>
              <w:top w:val="nil"/>
              <w:left w:val="single" w:sz="4" w:space="0" w:color="auto"/>
              <w:bottom w:val="single" w:sz="8" w:space="0" w:color="auto"/>
              <w:right w:val="single" w:sz="18" w:space="0" w:color="auto"/>
            </w:tcBorders>
            <w:shd w:val="clear" w:color="auto" w:fill="auto"/>
            <w:vAlign w:val="center"/>
            <w:hideMark/>
          </w:tcPr>
          <w:p w:rsidR="00181E36" w:rsidRPr="0043547B" w:rsidRDefault="00181E36" w:rsidP="00181E36">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Acoustique - Mesurage en laboratoire de l'isolation acoustique des éléments de construction - Partie 3 : mesurage de l'isolation au bruit de choc  </w:t>
            </w:r>
          </w:p>
        </w:tc>
      </w:tr>
      <w:tr w:rsidR="00181E36" w:rsidRPr="0043547B" w:rsidTr="008D5BBF">
        <w:trPr>
          <w:trHeight w:val="1684"/>
        </w:trPr>
        <w:tc>
          <w:tcPr>
            <w:tcW w:w="1844" w:type="dxa"/>
            <w:tcBorders>
              <w:top w:val="nil"/>
              <w:left w:val="single" w:sz="18" w:space="0" w:color="auto"/>
              <w:bottom w:val="single" w:sz="18" w:space="0" w:color="auto"/>
              <w:right w:val="single" w:sz="4" w:space="0" w:color="auto"/>
            </w:tcBorders>
            <w:shd w:val="clear" w:color="000000" w:fill="D9D9D9"/>
            <w:vAlign w:val="center"/>
            <w:hideMark/>
          </w:tcPr>
          <w:p w:rsidR="00181E36" w:rsidRPr="0043547B" w:rsidRDefault="00181E36" w:rsidP="00181E36">
            <w:pPr>
              <w:spacing w:after="0"/>
              <w:jc w:val="center"/>
              <w:rPr>
                <w:rFonts w:cstheme="minorHAnsi"/>
                <w:b/>
                <w:bCs/>
                <w:sz w:val="24"/>
                <w:szCs w:val="24"/>
              </w:rPr>
            </w:pPr>
            <w:r w:rsidRPr="0043547B">
              <w:rPr>
                <w:rFonts w:cstheme="minorHAnsi"/>
                <w:b/>
                <w:bCs/>
                <w:sz w:val="24"/>
                <w:szCs w:val="24"/>
              </w:rPr>
              <w:t>Domaine d’application :</w:t>
            </w:r>
          </w:p>
        </w:tc>
        <w:tc>
          <w:tcPr>
            <w:tcW w:w="7796" w:type="dxa"/>
            <w:tcBorders>
              <w:top w:val="nil"/>
              <w:left w:val="single" w:sz="4" w:space="0" w:color="auto"/>
              <w:bottom w:val="single" w:sz="18" w:space="0" w:color="auto"/>
              <w:right w:val="single" w:sz="18" w:space="0" w:color="auto"/>
            </w:tcBorders>
            <w:shd w:val="clear" w:color="auto" w:fill="auto"/>
            <w:vAlign w:val="center"/>
            <w:hideMark/>
          </w:tcPr>
          <w:p w:rsidR="00181E36" w:rsidRPr="0043547B" w:rsidRDefault="00181E36" w:rsidP="00181E36">
            <w:pPr>
              <w:spacing w:after="0" w:line="240" w:lineRule="auto"/>
              <w:jc w:val="both"/>
              <w:rPr>
                <w:rFonts w:eastAsia="Times New Roman" w:cstheme="minorHAnsi"/>
                <w:w w:val="95"/>
                <w:sz w:val="24"/>
                <w:szCs w:val="24"/>
                <w:lang w:eastAsia="fr-FR"/>
              </w:rPr>
            </w:pPr>
            <w:r w:rsidRPr="0043547B">
              <w:rPr>
                <w:rFonts w:eastAsia="Times New Roman" w:cstheme="minorHAnsi"/>
                <w:w w:val="95"/>
                <w:sz w:val="24"/>
                <w:szCs w:val="24"/>
                <w:lang w:eastAsia="fr-FR"/>
              </w:rPr>
              <w:t>La présente partie de l’ISO 10140 spécifie des méthodes de mesurage en laboratoire de l'isolation au bruit de choc des planchers.</w:t>
            </w:r>
          </w:p>
          <w:p w:rsidR="00181E36" w:rsidRPr="0043547B" w:rsidRDefault="00181E36" w:rsidP="00181E36">
            <w:pPr>
              <w:spacing w:after="0" w:line="240" w:lineRule="auto"/>
              <w:jc w:val="both"/>
              <w:rPr>
                <w:rFonts w:eastAsia="Times New Roman" w:cstheme="minorHAnsi"/>
                <w:w w:val="95"/>
                <w:sz w:val="24"/>
                <w:szCs w:val="24"/>
                <w:lang w:eastAsia="fr-FR"/>
              </w:rPr>
            </w:pPr>
            <w:r w:rsidRPr="0043547B">
              <w:rPr>
                <w:rFonts w:eastAsia="Times New Roman" w:cstheme="minorHAnsi"/>
                <w:w w:val="95"/>
                <w:sz w:val="24"/>
                <w:szCs w:val="24"/>
                <w:lang w:eastAsia="fr-FR"/>
              </w:rPr>
              <w:t>Les résultats d'essai peuvent être utilisés pour comparer les propriétés d'isolation acoustique des éléments de construction, classer ces éléments selon leurs aptitudes d'isolation acoustique, aider à concevoir des produits de construction nécessitant certaines propriétés acoustiques, et évaluer la performance in situ dans des bâtiments complets.</w:t>
            </w:r>
          </w:p>
          <w:p w:rsidR="00181E36" w:rsidRPr="0043547B" w:rsidRDefault="00181E36" w:rsidP="00181E36">
            <w:pPr>
              <w:spacing w:after="0" w:line="240" w:lineRule="auto"/>
              <w:jc w:val="both"/>
              <w:rPr>
                <w:rFonts w:eastAsia="Times New Roman" w:cstheme="minorHAnsi"/>
                <w:w w:val="95"/>
                <w:sz w:val="24"/>
                <w:szCs w:val="24"/>
                <w:lang w:eastAsia="fr-FR"/>
              </w:rPr>
            </w:pPr>
            <w:r w:rsidRPr="0043547B">
              <w:rPr>
                <w:rFonts w:eastAsia="Times New Roman" w:cstheme="minorHAnsi"/>
                <w:w w:val="95"/>
                <w:sz w:val="24"/>
                <w:szCs w:val="24"/>
                <w:lang w:eastAsia="fr-FR"/>
              </w:rPr>
              <w:t xml:space="preserve">Les mesurages sont effectués dans des installations d’essai en laboratoire dans lesquelles la transmission acoustique par des voies latérales est supprimée. Les résultats des mesurages effectués conformément à la présente partie de l’ISO 10140 ne sont pas applicables directement in situ sans tenir compte d'autres facteurs qui influencent l'isolation acoustique tels que la transmission latérale, les conditions limites et le facteur de perte. </w:t>
            </w:r>
          </w:p>
          <w:p w:rsidR="00181E36" w:rsidRPr="0043547B" w:rsidRDefault="00181E36" w:rsidP="00181E36">
            <w:pPr>
              <w:spacing w:after="0" w:line="240" w:lineRule="auto"/>
              <w:jc w:val="both"/>
              <w:rPr>
                <w:rFonts w:eastAsia="Times New Roman" w:cstheme="minorHAnsi"/>
                <w:sz w:val="24"/>
                <w:szCs w:val="24"/>
                <w:lang w:eastAsia="fr-FR"/>
              </w:rPr>
            </w:pPr>
            <w:r w:rsidRPr="0043547B">
              <w:rPr>
                <w:rFonts w:eastAsia="Times New Roman" w:cstheme="minorHAnsi"/>
                <w:w w:val="95"/>
                <w:sz w:val="24"/>
                <w:szCs w:val="24"/>
                <w:lang w:eastAsia="fr-FR"/>
              </w:rPr>
              <w:t>La présente partie de l’ISO 10140 s’applique à tous les types de planchers (lourd ou léger)</w:t>
            </w:r>
            <w:r>
              <w:rPr>
                <w:rFonts w:eastAsia="Times New Roman" w:cstheme="minorHAnsi"/>
                <w:w w:val="95"/>
                <w:sz w:val="24"/>
                <w:szCs w:val="24"/>
                <w:lang w:eastAsia="fr-FR"/>
              </w:rPr>
              <w:t xml:space="preserve"> </w:t>
            </w:r>
            <w:r w:rsidRPr="0043547B">
              <w:rPr>
                <w:rFonts w:eastAsia="Times New Roman" w:cstheme="minorHAnsi"/>
                <w:w w:val="95"/>
                <w:sz w:val="24"/>
                <w:szCs w:val="24"/>
                <w:lang w:eastAsia="fr-FR"/>
              </w:rPr>
              <w:t>avec tous les types de revêtements de sol. La méthode d'essai s'applique uniquement aux mesurages en laboratoire.</w:t>
            </w:r>
          </w:p>
        </w:tc>
      </w:tr>
      <w:tr w:rsidR="00181E36" w:rsidRPr="0043547B" w:rsidTr="008D5BBF">
        <w:trPr>
          <w:trHeight w:val="60"/>
        </w:trPr>
        <w:tc>
          <w:tcPr>
            <w:tcW w:w="1844"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hideMark/>
          </w:tcPr>
          <w:p w:rsidR="00181E36" w:rsidRPr="0043547B" w:rsidRDefault="00181E36" w:rsidP="00181E36">
            <w:pPr>
              <w:spacing w:after="0"/>
              <w:jc w:val="center"/>
              <w:rPr>
                <w:rFonts w:cstheme="minorHAnsi"/>
                <w:b/>
                <w:bCs/>
                <w:sz w:val="24"/>
                <w:szCs w:val="24"/>
              </w:rPr>
            </w:pPr>
            <w:r w:rsidRPr="0043547B">
              <w:rPr>
                <w:rFonts w:cstheme="minorHAnsi"/>
                <w:b/>
                <w:bCs/>
                <w:sz w:val="24"/>
                <w:szCs w:val="24"/>
              </w:rPr>
              <w:t>Code :</w:t>
            </w:r>
          </w:p>
        </w:tc>
        <w:tc>
          <w:tcPr>
            <w:tcW w:w="7796"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hideMark/>
          </w:tcPr>
          <w:p w:rsidR="00181E36" w:rsidRPr="0043547B" w:rsidRDefault="00181E36" w:rsidP="00181E36">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10140-4</w:t>
            </w:r>
          </w:p>
        </w:tc>
      </w:tr>
      <w:tr w:rsidR="00181E36" w:rsidRPr="0043547B" w:rsidTr="008D5BBF">
        <w:trPr>
          <w:trHeight w:val="60"/>
        </w:trPr>
        <w:tc>
          <w:tcPr>
            <w:tcW w:w="1844"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181E36" w:rsidRPr="0043547B" w:rsidRDefault="00181E36" w:rsidP="00181E36">
            <w:pPr>
              <w:spacing w:after="0"/>
              <w:jc w:val="center"/>
              <w:rPr>
                <w:rFonts w:cstheme="minorHAnsi"/>
                <w:b/>
                <w:bCs/>
                <w:sz w:val="24"/>
                <w:szCs w:val="24"/>
              </w:rPr>
            </w:pPr>
            <w:r w:rsidRPr="0043547B">
              <w:rPr>
                <w:rFonts w:cstheme="minorHAnsi"/>
                <w:b/>
                <w:bCs/>
                <w:sz w:val="24"/>
                <w:szCs w:val="24"/>
              </w:rPr>
              <w:t>Equivalence :</w:t>
            </w:r>
          </w:p>
        </w:tc>
        <w:tc>
          <w:tcPr>
            <w:tcW w:w="7796" w:type="dxa"/>
            <w:tcBorders>
              <w:top w:val="single" w:sz="18" w:space="0" w:color="auto"/>
              <w:left w:val="single" w:sz="4" w:space="0" w:color="auto"/>
              <w:bottom w:val="single" w:sz="8" w:space="0" w:color="auto"/>
              <w:right w:val="single" w:sz="18" w:space="0" w:color="auto"/>
            </w:tcBorders>
            <w:shd w:val="clear" w:color="auto" w:fill="FFFF99"/>
            <w:vAlign w:val="center"/>
            <w:hideMark/>
          </w:tcPr>
          <w:p w:rsidR="00181E36" w:rsidRPr="0043547B" w:rsidRDefault="00181E36" w:rsidP="00181E36">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10140-4</w:t>
            </w:r>
          </w:p>
        </w:tc>
      </w:tr>
      <w:tr w:rsidR="00181E36" w:rsidRPr="0043547B" w:rsidTr="008D5BBF">
        <w:trPr>
          <w:trHeight w:val="278"/>
        </w:trPr>
        <w:tc>
          <w:tcPr>
            <w:tcW w:w="1844" w:type="dxa"/>
            <w:tcBorders>
              <w:top w:val="nil"/>
              <w:left w:val="single" w:sz="18" w:space="0" w:color="auto"/>
              <w:bottom w:val="single" w:sz="4" w:space="0" w:color="auto"/>
              <w:right w:val="single" w:sz="4" w:space="0" w:color="auto"/>
            </w:tcBorders>
            <w:shd w:val="clear" w:color="000000" w:fill="8DB4E2"/>
            <w:vAlign w:val="center"/>
            <w:hideMark/>
          </w:tcPr>
          <w:p w:rsidR="00181E36" w:rsidRPr="0043547B" w:rsidRDefault="00181E36" w:rsidP="00181E36">
            <w:pPr>
              <w:spacing w:after="0"/>
              <w:jc w:val="center"/>
              <w:rPr>
                <w:rFonts w:cstheme="minorHAnsi"/>
                <w:b/>
                <w:bCs/>
                <w:sz w:val="24"/>
                <w:szCs w:val="24"/>
              </w:rPr>
            </w:pPr>
            <w:r w:rsidRPr="0043547B">
              <w:rPr>
                <w:rFonts w:cstheme="minorHAnsi"/>
                <w:b/>
                <w:bCs/>
                <w:sz w:val="24"/>
                <w:szCs w:val="24"/>
              </w:rPr>
              <w:t>Intitulé :</w:t>
            </w:r>
          </w:p>
        </w:tc>
        <w:tc>
          <w:tcPr>
            <w:tcW w:w="7796" w:type="dxa"/>
            <w:tcBorders>
              <w:top w:val="nil"/>
              <w:left w:val="single" w:sz="4" w:space="0" w:color="auto"/>
              <w:bottom w:val="single" w:sz="8" w:space="0" w:color="auto"/>
              <w:right w:val="single" w:sz="18" w:space="0" w:color="auto"/>
            </w:tcBorders>
            <w:shd w:val="clear" w:color="auto" w:fill="auto"/>
            <w:vAlign w:val="center"/>
            <w:hideMark/>
          </w:tcPr>
          <w:p w:rsidR="00181E36" w:rsidRPr="0043547B" w:rsidRDefault="00181E36" w:rsidP="00181E36">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Acoustique - Mesurage en laboratoire de l'isolation acoustique des éléments de construction - Partie 4 : exigences et modes opératoires de mesure  </w:t>
            </w:r>
          </w:p>
        </w:tc>
      </w:tr>
      <w:tr w:rsidR="00181E36" w:rsidRPr="0043547B" w:rsidTr="008D5BBF">
        <w:trPr>
          <w:trHeight w:val="100"/>
        </w:trPr>
        <w:tc>
          <w:tcPr>
            <w:tcW w:w="1844" w:type="dxa"/>
            <w:tcBorders>
              <w:top w:val="nil"/>
              <w:left w:val="single" w:sz="18" w:space="0" w:color="auto"/>
              <w:bottom w:val="single" w:sz="18" w:space="0" w:color="auto"/>
              <w:right w:val="single" w:sz="4" w:space="0" w:color="auto"/>
            </w:tcBorders>
            <w:shd w:val="clear" w:color="000000" w:fill="D9D9D9"/>
            <w:vAlign w:val="center"/>
            <w:hideMark/>
          </w:tcPr>
          <w:p w:rsidR="00181E36" w:rsidRPr="0043547B" w:rsidRDefault="00181E36" w:rsidP="00181E36">
            <w:pPr>
              <w:spacing w:after="0"/>
              <w:jc w:val="center"/>
              <w:rPr>
                <w:rFonts w:cstheme="minorHAnsi"/>
                <w:b/>
                <w:bCs/>
                <w:sz w:val="24"/>
                <w:szCs w:val="24"/>
              </w:rPr>
            </w:pPr>
            <w:r w:rsidRPr="0043547B">
              <w:rPr>
                <w:rFonts w:cstheme="minorHAnsi"/>
                <w:b/>
                <w:bCs/>
                <w:sz w:val="24"/>
                <w:szCs w:val="24"/>
              </w:rPr>
              <w:t>Domaine d’application :</w:t>
            </w:r>
          </w:p>
        </w:tc>
        <w:tc>
          <w:tcPr>
            <w:tcW w:w="7796" w:type="dxa"/>
            <w:tcBorders>
              <w:top w:val="nil"/>
              <w:left w:val="single" w:sz="4" w:space="0" w:color="auto"/>
              <w:bottom w:val="single" w:sz="18" w:space="0" w:color="auto"/>
              <w:right w:val="single" w:sz="18" w:space="0" w:color="auto"/>
            </w:tcBorders>
            <w:shd w:val="clear" w:color="auto" w:fill="auto"/>
            <w:vAlign w:val="center"/>
            <w:hideMark/>
          </w:tcPr>
          <w:p w:rsidR="00181E36" w:rsidRPr="0043547B" w:rsidRDefault="00181E36" w:rsidP="00181E36">
            <w:pPr>
              <w:spacing w:after="0" w:line="240" w:lineRule="auto"/>
              <w:jc w:val="both"/>
              <w:rPr>
                <w:rFonts w:eastAsia="Times New Roman" w:cstheme="minorHAnsi"/>
                <w:sz w:val="24"/>
                <w:szCs w:val="24"/>
                <w:lang w:eastAsia="fr-FR"/>
              </w:rPr>
            </w:pPr>
            <w:r w:rsidRPr="0043547B">
              <w:rPr>
                <w:rFonts w:cstheme="minorHAnsi"/>
                <w:sz w:val="24"/>
                <w:szCs w:val="24"/>
              </w:rPr>
              <w:t>La présente partie de l’ISO 10140 spécifie les modes opératoires de base de mesurage de l'isolation au bruit aérien et au bruit de choc dans des installations d'essai en laboratoire.</w:t>
            </w:r>
          </w:p>
        </w:tc>
      </w:tr>
      <w:tr w:rsidR="00181E36" w:rsidRPr="0043547B" w:rsidTr="008D5BBF">
        <w:trPr>
          <w:trHeight w:val="60"/>
        </w:trPr>
        <w:tc>
          <w:tcPr>
            <w:tcW w:w="1844"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hideMark/>
          </w:tcPr>
          <w:p w:rsidR="00181E36" w:rsidRPr="0043547B" w:rsidRDefault="00181E36" w:rsidP="00181E36">
            <w:pPr>
              <w:spacing w:after="0"/>
              <w:jc w:val="center"/>
              <w:rPr>
                <w:rFonts w:cstheme="minorHAnsi"/>
                <w:b/>
                <w:bCs/>
                <w:sz w:val="24"/>
                <w:szCs w:val="24"/>
              </w:rPr>
            </w:pPr>
            <w:r w:rsidRPr="0043547B">
              <w:rPr>
                <w:rFonts w:cstheme="minorHAnsi"/>
                <w:b/>
                <w:bCs/>
                <w:sz w:val="24"/>
                <w:szCs w:val="24"/>
              </w:rPr>
              <w:lastRenderedPageBreak/>
              <w:t>Code :</w:t>
            </w:r>
          </w:p>
        </w:tc>
        <w:tc>
          <w:tcPr>
            <w:tcW w:w="7796"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hideMark/>
          </w:tcPr>
          <w:p w:rsidR="00181E36" w:rsidRPr="0043547B" w:rsidRDefault="00181E36" w:rsidP="00181E36">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10140-5</w:t>
            </w:r>
          </w:p>
        </w:tc>
      </w:tr>
      <w:tr w:rsidR="00181E36" w:rsidRPr="0043547B" w:rsidTr="008D5BBF">
        <w:trPr>
          <w:trHeight w:val="122"/>
        </w:trPr>
        <w:tc>
          <w:tcPr>
            <w:tcW w:w="1844"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181E36" w:rsidRPr="0043547B" w:rsidRDefault="00181E36" w:rsidP="00181E36">
            <w:pPr>
              <w:spacing w:after="0"/>
              <w:jc w:val="center"/>
              <w:rPr>
                <w:rFonts w:cstheme="minorHAnsi"/>
                <w:b/>
                <w:bCs/>
                <w:sz w:val="24"/>
                <w:szCs w:val="24"/>
              </w:rPr>
            </w:pPr>
            <w:r w:rsidRPr="0043547B">
              <w:rPr>
                <w:rFonts w:cstheme="minorHAnsi"/>
                <w:b/>
                <w:bCs/>
                <w:sz w:val="24"/>
                <w:szCs w:val="24"/>
              </w:rPr>
              <w:t>Equivalence :</w:t>
            </w:r>
          </w:p>
        </w:tc>
        <w:tc>
          <w:tcPr>
            <w:tcW w:w="7796" w:type="dxa"/>
            <w:tcBorders>
              <w:top w:val="single" w:sz="18" w:space="0" w:color="auto"/>
              <w:left w:val="single" w:sz="4" w:space="0" w:color="auto"/>
              <w:bottom w:val="single" w:sz="8" w:space="0" w:color="auto"/>
              <w:right w:val="single" w:sz="18" w:space="0" w:color="auto"/>
            </w:tcBorders>
            <w:shd w:val="clear" w:color="auto" w:fill="FFFF99"/>
            <w:vAlign w:val="center"/>
            <w:hideMark/>
          </w:tcPr>
          <w:p w:rsidR="00181E36" w:rsidRPr="0043547B" w:rsidRDefault="00181E36" w:rsidP="00181E36">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10140-5</w:t>
            </w:r>
          </w:p>
        </w:tc>
      </w:tr>
      <w:tr w:rsidR="00181E36" w:rsidRPr="0043547B" w:rsidTr="008D5BBF">
        <w:trPr>
          <w:trHeight w:val="101"/>
        </w:trPr>
        <w:tc>
          <w:tcPr>
            <w:tcW w:w="1844" w:type="dxa"/>
            <w:tcBorders>
              <w:top w:val="nil"/>
              <w:left w:val="single" w:sz="18" w:space="0" w:color="auto"/>
              <w:bottom w:val="single" w:sz="4" w:space="0" w:color="auto"/>
              <w:right w:val="single" w:sz="4" w:space="0" w:color="auto"/>
            </w:tcBorders>
            <w:shd w:val="clear" w:color="000000" w:fill="8DB4E2"/>
            <w:vAlign w:val="center"/>
            <w:hideMark/>
          </w:tcPr>
          <w:p w:rsidR="00181E36" w:rsidRPr="0043547B" w:rsidRDefault="00181E36" w:rsidP="00181E36">
            <w:pPr>
              <w:spacing w:after="0"/>
              <w:jc w:val="center"/>
              <w:rPr>
                <w:rFonts w:cstheme="minorHAnsi"/>
                <w:b/>
                <w:bCs/>
                <w:sz w:val="24"/>
                <w:szCs w:val="24"/>
              </w:rPr>
            </w:pPr>
            <w:r w:rsidRPr="0043547B">
              <w:rPr>
                <w:rFonts w:cstheme="minorHAnsi"/>
                <w:b/>
                <w:bCs/>
                <w:sz w:val="24"/>
                <w:szCs w:val="24"/>
              </w:rPr>
              <w:t>Intitulé :</w:t>
            </w:r>
          </w:p>
        </w:tc>
        <w:tc>
          <w:tcPr>
            <w:tcW w:w="7796" w:type="dxa"/>
            <w:tcBorders>
              <w:top w:val="nil"/>
              <w:left w:val="single" w:sz="4" w:space="0" w:color="auto"/>
              <w:bottom w:val="single" w:sz="8" w:space="0" w:color="auto"/>
              <w:right w:val="single" w:sz="18" w:space="0" w:color="auto"/>
            </w:tcBorders>
            <w:shd w:val="clear" w:color="auto" w:fill="auto"/>
            <w:vAlign w:val="center"/>
            <w:hideMark/>
          </w:tcPr>
          <w:p w:rsidR="00181E36" w:rsidRPr="0043547B" w:rsidRDefault="00181E36" w:rsidP="00181E36">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Acoustique — Mesurage en laboratoire de l'isolation acoustique des éléments de construction — Partie 5 : Exigences relatives aux installations et appareillage d’essai  </w:t>
            </w:r>
          </w:p>
        </w:tc>
      </w:tr>
      <w:tr w:rsidR="00181E36" w:rsidRPr="0043547B" w:rsidTr="008D5BBF">
        <w:trPr>
          <w:trHeight w:val="2415"/>
        </w:trPr>
        <w:tc>
          <w:tcPr>
            <w:tcW w:w="1844" w:type="dxa"/>
            <w:tcBorders>
              <w:top w:val="nil"/>
              <w:left w:val="single" w:sz="18" w:space="0" w:color="auto"/>
              <w:bottom w:val="single" w:sz="18" w:space="0" w:color="auto"/>
              <w:right w:val="single" w:sz="4" w:space="0" w:color="auto"/>
            </w:tcBorders>
            <w:shd w:val="clear" w:color="000000" w:fill="D9D9D9"/>
            <w:vAlign w:val="center"/>
            <w:hideMark/>
          </w:tcPr>
          <w:p w:rsidR="00181E36" w:rsidRPr="0043547B" w:rsidRDefault="00181E36" w:rsidP="00181E36">
            <w:pPr>
              <w:spacing w:after="0"/>
              <w:jc w:val="center"/>
              <w:rPr>
                <w:rFonts w:cstheme="minorHAnsi"/>
                <w:b/>
                <w:bCs/>
                <w:sz w:val="24"/>
                <w:szCs w:val="24"/>
              </w:rPr>
            </w:pPr>
            <w:r w:rsidRPr="0043547B">
              <w:rPr>
                <w:rFonts w:cstheme="minorHAnsi"/>
                <w:b/>
                <w:bCs/>
                <w:sz w:val="24"/>
                <w:szCs w:val="24"/>
              </w:rPr>
              <w:t>Domaine d’application :</w:t>
            </w:r>
          </w:p>
        </w:tc>
        <w:tc>
          <w:tcPr>
            <w:tcW w:w="7796" w:type="dxa"/>
            <w:tcBorders>
              <w:top w:val="nil"/>
              <w:left w:val="single" w:sz="4" w:space="0" w:color="auto"/>
              <w:bottom w:val="single" w:sz="18" w:space="0" w:color="auto"/>
              <w:right w:val="single" w:sz="18" w:space="0" w:color="auto"/>
            </w:tcBorders>
            <w:shd w:val="clear" w:color="auto" w:fill="auto"/>
            <w:vAlign w:val="center"/>
            <w:hideMark/>
          </w:tcPr>
          <w:p w:rsidR="00181E36" w:rsidRPr="0043547B" w:rsidRDefault="00181E36" w:rsidP="00181E36">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partie de l’ISO 10140 spécifie les installations et l'appareillage d'essai en laboratoire pour les mesurages de l'isolation acoustique des éléments de construction, tels que :</w:t>
            </w:r>
          </w:p>
          <w:p w:rsidR="00181E36" w:rsidRPr="0043547B" w:rsidRDefault="00181E36" w:rsidP="00181E36">
            <w:pPr>
              <w:pStyle w:val="Paragraphedeliste"/>
              <w:numPr>
                <w:ilvl w:val="0"/>
                <w:numId w:val="50"/>
              </w:num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composants et matériaux ;</w:t>
            </w:r>
          </w:p>
          <w:p w:rsidR="00181E36" w:rsidRPr="0043547B" w:rsidRDefault="00181E36" w:rsidP="00181E36">
            <w:pPr>
              <w:pStyle w:val="Paragraphedeliste"/>
              <w:numPr>
                <w:ilvl w:val="0"/>
                <w:numId w:val="50"/>
              </w:num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éléments de construction ;</w:t>
            </w:r>
          </w:p>
          <w:p w:rsidR="00181E36" w:rsidRPr="0043547B" w:rsidRDefault="00181E36" w:rsidP="00181E36">
            <w:pPr>
              <w:pStyle w:val="Paragraphedeliste"/>
              <w:numPr>
                <w:ilvl w:val="0"/>
                <w:numId w:val="50"/>
              </w:num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éléments techniques (petits éléments de construction) ;</w:t>
            </w:r>
          </w:p>
          <w:p w:rsidR="00181E36" w:rsidRPr="0043547B" w:rsidRDefault="00181E36" w:rsidP="00181E36">
            <w:pPr>
              <w:pStyle w:val="Paragraphedeliste"/>
              <w:numPr>
                <w:ilvl w:val="0"/>
                <w:numId w:val="50"/>
              </w:num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systèmes d'amélioration de l'isolation acoustique.</w:t>
            </w:r>
          </w:p>
          <w:p w:rsidR="00181E36" w:rsidRPr="0043547B" w:rsidRDefault="00181E36" w:rsidP="00181E36">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s'applique aux installations d'essai en laboratoire avec suppression du rayonnement des éléments latéraux et isolation structurale entre les salles d’émission et de réception.</w:t>
            </w:r>
          </w:p>
          <w:p w:rsidR="00181E36" w:rsidRPr="0043547B" w:rsidRDefault="00181E36" w:rsidP="00181E36">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partie de l'ISO 10140 spécifie les modes opératoires de qualification destinés à être utilisés pour la mise en œuvre d’une nouvelle installation d'essai avec l'appareillage pour les mesurages de l'isolation acoustique. Il est prévu que ces modes opératoires soient répétés périodiquement pour s'assurer que l'appareillage et l’installation d'essai ne posent aucun problème.</w:t>
            </w:r>
          </w:p>
        </w:tc>
      </w:tr>
      <w:tr w:rsidR="00181E36" w:rsidRPr="0043547B" w:rsidTr="008D5BBF">
        <w:trPr>
          <w:trHeight w:val="60"/>
        </w:trPr>
        <w:tc>
          <w:tcPr>
            <w:tcW w:w="1844"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hideMark/>
          </w:tcPr>
          <w:p w:rsidR="00181E36" w:rsidRPr="0043547B" w:rsidRDefault="00181E36" w:rsidP="00181E36">
            <w:pPr>
              <w:spacing w:after="0"/>
              <w:jc w:val="center"/>
              <w:rPr>
                <w:rFonts w:cstheme="minorHAnsi"/>
                <w:b/>
                <w:bCs/>
                <w:sz w:val="24"/>
                <w:szCs w:val="24"/>
              </w:rPr>
            </w:pPr>
            <w:r w:rsidRPr="0043547B">
              <w:rPr>
                <w:rFonts w:cstheme="minorHAnsi"/>
                <w:b/>
                <w:bCs/>
                <w:sz w:val="24"/>
                <w:szCs w:val="24"/>
              </w:rPr>
              <w:t>Code :</w:t>
            </w:r>
          </w:p>
        </w:tc>
        <w:tc>
          <w:tcPr>
            <w:tcW w:w="7796"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hideMark/>
          </w:tcPr>
          <w:p w:rsidR="00181E36" w:rsidRPr="0043547B" w:rsidRDefault="00181E36" w:rsidP="00181E36">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12999-1</w:t>
            </w:r>
          </w:p>
        </w:tc>
      </w:tr>
      <w:tr w:rsidR="00181E36" w:rsidRPr="0043547B" w:rsidTr="008D5BBF">
        <w:trPr>
          <w:trHeight w:val="60"/>
        </w:trPr>
        <w:tc>
          <w:tcPr>
            <w:tcW w:w="1844"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181E36" w:rsidRPr="0043547B" w:rsidRDefault="00181E36" w:rsidP="00181E36">
            <w:pPr>
              <w:spacing w:after="0"/>
              <w:jc w:val="center"/>
              <w:rPr>
                <w:rFonts w:cstheme="minorHAnsi"/>
                <w:b/>
                <w:bCs/>
                <w:sz w:val="24"/>
                <w:szCs w:val="24"/>
              </w:rPr>
            </w:pPr>
            <w:r w:rsidRPr="0043547B">
              <w:rPr>
                <w:rFonts w:cstheme="minorHAnsi"/>
                <w:b/>
                <w:bCs/>
                <w:sz w:val="24"/>
                <w:szCs w:val="24"/>
              </w:rPr>
              <w:t>Equivalence :</w:t>
            </w:r>
          </w:p>
        </w:tc>
        <w:tc>
          <w:tcPr>
            <w:tcW w:w="7796" w:type="dxa"/>
            <w:tcBorders>
              <w:top w:val="single" w:sz="18" w:space="0" w:color="auto"/>
              <w:left w:val="single" w:sz="4" w:space="0" w:color="auto"/>
              <w:bottom w:val="single" w:sz="8" w:space="0" w:color="auto"/>
              <w:right w:val="single" w:sz="18" w:space="0" w:color="auto"/>
            </w:tcBorders>
            <w:shd w:val="clear" w:color="auto" w:fill="FFFF99"/>
            <w:vAlign w:val="center"/>
            <w:hideMark/>
          </w:tcPr>
          <w:p w:rsidR="00181E36" w:rsidRPr="0043547B" w:rsidRDefault="00181E36" w:rsidP="00181E36">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12999-1</w:t>
            </w:r>
          </w:p>
        </w:tc>
      </w:tr>
      <w:tr w:rsidR="00181E36" w:rsidRPr="0043547B" w:rsidTr="008D5BBF">
        <w:trPr>
          <w:trHeight w:val="526"/>
        </w:trPr>
        <w:tc>
          <w:tcPr>
            <w:tcW w:w="1844" w:type="dxa"/>
            <w:tcBorders>
              <w:top w:val="nil"/>
              <w:left w:val="single" w:sz="18" w:space="0" w:color="auto"/>
              <w:bottom w:val="single" w:sz="4" w:space="0" w:color="auto"/>
              <w:right w:val="single" w:sz="4" w:space="0" w:color="auto"/>
            </w:tcBorders>
            <w:shd w:val="clear" w:color="000000" w:fill="8DB4E2"/>
            <w:vAlign w:val="center"/>
            <w:hideMark/>
          </w:tcPr>
          <w:p w:rsidR="00181E36" w:rsidRPr="0043547B" w:rsidRDefault="00181E36" w:rsidP="00181E36">
            <w:pPr>
              <w:spacing w:after="0"/>
              <w:jc w:val="center"/>
              <w:rPr>
                <w:rFonts w:cstheme="minorHAnsi"/>
                <w:b/>
                <w:bCs/>
                <w:sz w:val="24"/>
                <w:szCs w:val="24"/>
              </w:rPr>
            </w:pPr>
            <w:r w:rsidRPr="0043547B">
              <w:rPr>
                <w:rFonts w:cstheme="minorHAnsi"/>
                <w:b/>
                <w:bCs/>
                <w:sz w:val="24"/>
                <w:szCs w:val="24"/>
              </w:rPr>
              <w:t>Intitulé :</w:t>
            </w:r>
          </w:p>
        </w:tc>
        <w:tc>
          <w:tcPr>
            <w:tcW w:w="7796" w:type="dxa"/>
            <w:tcBorders>
              <w:top w:val="nil"/>
              <w:left w:val="single" w:sz="4" w:space="0" w:color="auto"/>
              <w:bottom w:val="single" w:sz="8" w:space="0" w:color="auto"/>
              <w:right w:val="single" w:sz="18" w:space="0" w:color="auto"/>
            </w:tcBorders>
            <w:shd w:val="clear" w:color="auto" w:fill="auto"/>
            <w:vAlign w:val="center"/>
            <w:hideMark/>
          </w:tcPr>
          <w:p w:rsidR="00181E36" w:rsidRPr="0043547B" w:rsidRDefault="00181E36" w:rsidP="00181E36">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Acoustique - Détermination et application des incertitudes de mesure dans l'acoustique des bâtiments - Partie 1 : Isolation acoustique </w:t>
            </w:r>
          </w:p>
        </w:tc>
      </w:tr>
      <w:tr w:rsidR="00181E36" w:rsidRPr="0043547B" w:rsidTr="008D5BBF">
        <w:trPr>
          <w:trHeight w:val="1432"/>
        </w:trPr>
        <w:tc>
          <w:tcPr>
            <w:tcW w:w="1844" w:type="dxa"/>
            <w:tcBorders>
              <w:top w:val="nil"/>
              <w:left w:val="single" w:sz="18" w:space="0" w:color="auto"/>
              <w:bottom w:val="single" w:sz="18" w:space="0" w:color="auto"/>
              <w:right w:val="single" w:sz="4" w:space="0" w:color="auto"/>
            </w:tcBorders>
            <w:shd w:val="clear" w:color="000000" w:fill="D9D9D9"/>
            <w:vAlign w:val="center"/>
            <w:hideMark/>
          </w:tcPr>
          <w:p w:rsidR="00181E36" w:rsidRPr="0043547B" w:rsidRDefault="00181E36" w:rsidP="00181E36">
            <w:pPr>
              <w:spacing w:after="0"/>
              <w:jc w:val="center"/>
              <w:rPr>
                <w:rFonts w:cstheme="minorHAnsi"/>
                <w:b/>
                <w:bCs/>
                <w:sz w:val="24"/>
                <w:szCs w:val="24"/>
              </w:rPr>
            </w:pPr>
            <w:r w:rsidRPr="0043547B">
              <w:rPr>
                <w:rFonts w:cstheme="minorHAnsi"/>
                <w:b/>
                <w:bCs/>
                <w:sz w:val="24"/>
                <w:szCs w:val="24"/>
              </w:rPr>
              <w:t>Domaine d’application :</w:t>
            </w:r>
          </w:p>
        </w:tc>
        <w:tc>
          <w:tcPr>
            <w:tcW w:w="7796" w:type="dxa"/>
            <w:tcBorders>
              <w:top w:val="nil"/>
              <w:left w:val="single" w:sz="4" w:space="0" w:color="auto"/>
              <w:bottom w:val="single" w:sz="18" w:space="0" w:color="auto"/>
              <w:right w:val="single" w:sz="18" w:space="0" w:color="auto"/>
            </w:tcBorders>
            <w:shd w:val="clear" w:color="auto" w:fill="auto"/>
            <w:vAlign w:val="center"/>
            <w:hideMark/>
          </w:tcPr>
          <w:p w:rsidR="00181E36" w:rsidRPr="0043547B" w:rsidRDefault="00181E36" w:rsidP="00181E36">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partie de l’ISO 12999 spécifie des méthodes permettant d’évaluer l’incertitude de mesure de l’isolement acoustique dans le domaine de l’acoustique des bâtiments. Elle prévoit :</w:t>
            </w:r>
          </w:p>
          <w:p w:rsidR="00181E36" w:rsidRPr="0043547B" w:rsidRDefault="00181E36" w:rsidP="00181E36">
            <w:pPr>
              <w:spacing w:after="0" w:line="240" w:lineRule="auto"/>
              <w:rPr>
                <w:rFonts w:eastAsia="Times New Roman" w:cstheme="minorHAnsi"/>
                <w:sz w:val="24"/>
                <w:szCs w:val="24"/>
                <w:lang w:eastAsia="fr-FR"/>
              </w:rPr>
            </w:pPr>
            <w:r w:rsidRPr="0043547B">
              <w:rPr>
                <w:rFonts w:eastAsia="Times New Roman" w:cstheme="minorHAnsi"/>
                <w:sz w:val="24"/>
                <w:szCs w:val="24"/>
                <w:lang w:eastAsia="fr-FR"/>
              </w:rPr>
              <w:t xml:space="preserve">— l’évaluation détaillée de l’incertitude ; </w:t>
            </w:r>
            <w:r w:rsidRPr="0043547B">
              <w:rPr>
                <w:rFonts w:eastAsia="Times New Roman" w:cstheme="minorHAnsi"/>
                <w:sz w:val="24"/>
                <w:szCs w:val="24"/>
                <w:lang w:eastAsia="fr-FR"/>
              </w:rPr>
              <w:br/>
              <w:t xml:space="preserve">— la détermination des incertitudes par des essais inter laboratoires ; </w:t>
            </w:r>
            <w:r w:rsidRPr="0043547B">
              <w:rPr>
                <w:rFonts w:eastAsia="Times New Roman" w:cstheme="minorHAnsi"/>
                <w:sz w:val="24"/>
                <w:szCs w:val="24"/>
                <w:lang w:eastAsia="fr-FR"/>
              </w:rPr>
              <w:br/>
              <w:t>— l’application des incertitudes.</w:t>
            </w:r>
          </w:p>
        </w:tc>
      </w:tr>
      <w:tr w:rsidR="00181E36" w:rsidRPr="0043547B" w:rsidTr="008D5BBF">
        <w:trPr>
          <w:trHeight w:val="60"/>
        </w:trPr>
        <w:tc>
          <w:tcPr>
            <w:tcW w:w="1844"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hideMark/>
          </w:tcPr>
          <w:p w:rsidR="00181E36" w:rsidRPr="0043547B" w:rsidRDefault="00181E36" w:rsidP="00181E36">
            <w:pPr>
              <w:spacing w:after="0"/>
              <w:jc w:val="center"/>
              <w:rPr>
                <w:rFonts w:cstheme="minorHAnsi"/>
                <w:b/>
                <w:bCs/>
                <w:sz w:val="24"/>
                <w:szCs w:val="24"/>
              </w:rPr>
            </w:pPr>
            <w:r w:rsidRPr="0043547B">
              <w:rPr>
                <w:rFonts w:cstheme="minorHAnsi"/>
                <w:b/>
                <w:bCs/>
                <w:sz w:val="24"/>
                <w:szCs w:val="24"/>
              </w:rPr>
              <w:t>Code :</w:t>
            </w:r>
          </w:p>
        </w:tc>
        <w:tc>
          <w:tcPr>
            <w:tcW w:w="7796"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hideMark/>
          </w:tcPr>
          <w:p w:rsidR="00181E36" w:rsidRPr="0043547B" w:rsidRDefault="00181E36" w:rsidP="00181E36">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16283-1</w:t>
            </w:r>
          </w:p>
        </w:tc>
      </w:tr>
      <w:tr w:rsidR="00181E36" w:rsidRPr="0043547B" w:rsidTr="008D5BBF">
        <w:trPr>
          <w:trHeight w:val="60"/>
        </w:trPr>
        <w:tc>
          <w:tcPr>
            <w:tcW w:w="1844"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181E36" w:rsidRPr="0043547B" w:rsidRDefault="00181E36" w:rsidP="00181E36">
            <w:pPr>
              <w:spacing w:after="0"/>
              <w:jc w:val="center"/>
              <w:rPr>
                <w:rFonts w:cstheme="minorHAnsi"/>
                <w:b/>
                <w:bCs/>
                <w:sz w:val="24"/>
                <w:szCs w:val="24"/>
              </w:rPr>
            </w:pPr>
            <w:r w:rsidRPr="0043547B">
              <w:rPr>
                <w:rFonts w:cstheme="minorHAnsi"/>
                <w:b/>
                <w:bCs/>
                <w:sz w:val="24"/>
                <w:szCs w:val="24"/>
              </w:rPr>
              <w:t>Equivalence :</w:t>
            </w:r>
          </w:p>
        </w:tc>
        <w:tc>
          <w:tcPr>
            <w:tcW w:w="7796" w:type="dxa"/>
            <w:tcBorders>
              <w:top w:val="single" w:sz="18" w:space="0" w:color="auto"/>
              <w:left w:val="single" w:sz="4" w:space="0" w:color="auto"/>
              <w:bottom w:val="single" w:sz="8" w:space="0" w:color="auto"/>
              <w:right w:val="single" w:sz="18" w:space="0" w:color="auto"/>
            </w:tcBorders>
            <w:shd w:val="clear" w:color="auto" w:fill="FFFF99"/>
            <w:vAlign w:val="center"/>
            <w:hideMark/>
          </w:tcPr>
          <w:p w:rsidR="00181E36" w:rsidRPr="0043547B" w:rsidRDefault="00181E36" w:rsidP="00181E36">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16283-1</w:t>
            </w:r>
          </w:p>
        </w:tc>
      </w:tr>
      <w:tr w:rsidR="00181E36" w:rsidRPr="0043547B" w:rsidTr="008D5BBF">
        <w:trPr>
          <w:trHeight w:val="300"/>
        </w:trPr>
        <w:tc>
          <w:tcPr>
            <w:tcW w:w="1844" w:type="dxa"/>
            <w:tcBorders>
              <w:top w:val="nil"/>
              <w:left w:val="single" w:sz="18" w:space="0" w:color="auto"/>
              <w:bottom w:val="single" w:sz="4" w:space="0" w:color="auto"/>
              <w:right w:val="single" w:sz="4" w:space="0" w:color="auto"/>
            </w:tcBorders>
            <w:shd w:val="clear" w:color="000000" w:fill="8DB4E2"/>
            <w:vAlign w:val="center"/>
            <w:hideMark/>
          </w:tcPr>
          <w:p w:rsidR="00181E36" w:rsidRPr="0043547B" w:rsidRDefault="00181E36" w:rsidP="00181E36">
            <w:pPr>
              <w:spacing w:after="0"/>
              <w:jc w:val="center"/>
              <w:rPr>
                <w:rFonts w:cstheme="minorHAnsi"/>
                <w:b/>
                <w:bCs/>
                <w:sz w:val="24"/>
                <w:szCs w:val="24"/>
              </w:rPr>
            </w:pPr>
            <w:r w:rsidRPr="0043547B">
              <w:rPr>
                <w:rFonts w:cstheme="minorHAnsi"/>
                <w:b/>
                <w:bCs/>
                <w:sz w:val="24"/>
                <w:szCs w:val="24"/>
              </w:rPr>
              <w:t>Intitulé :</w:t>
            </w:r>
          </w:p>
        </w:tc>
        <w:tc>
          <w:tcPr>
            <w:tcW w:w="7796" w:type="dxa"/>
            <w:tcBorders>
              <w:top w:val="nil"/>
              <w:left w:val="single" w:sz="4" w:space="0" w:color="auto"/>
              <w:bottom w:val="single" w:sz="8" w:space="0" w:color="auto"/>
              <w:right w:val="single" w:sz="18" w:space="0" w:color="auto"/>
            </w:tcBorders>
            <w:shd w:val="clear" w:color="auto" w:fill="auto"/>
            <w:vAlign w:val="center"/>
            <w:hideMark/>
          </w:tcPr>
          <w:p w:rsidR="00181E36" w:rsidRPr="0043547B" w:rsidRDefault="00181E36" w:rsidP="00181E36">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Acoustique - Mesurage in situ de l'isolation acoustique des bâtiments et des éléments de construction - Partie 1 : Isolation des bruits aériens</w:t>
            </w:r>
          </w:p>
        </w:tc>
      </w:tr>
      <w:tr w:rsidR="00181E36" w:rsidRPr="0043547B" w:rsidTr="008D5BBF">
        <w:trPr>
          <w:trHeight w:val="2415"/>
        </w:trPr>
        <w:tc>
          <w:tcPr>
            <w:tcW w:w="1844" w:type="dxa"/>
            <w:tcBorders>
              <w:top w:val="nil"/>
              <w:left w:val="single" w:sz="18" w:space="0" w:color="auto"/>
              <w:bottom w:val="single" w:sz="18" w:space="0" w:color="auto"/>
              <w:right w:val="single" w:sz="4" w:space="0" w:color="auto"/>
            </w:tcBorders>
            <w:shd w:val="clear" w:color="000000" w:fill="D9D9D9"/>
            <w:vAlign w:val="center"/>
            <w:hideMark/>
          </w:tcPr>
          <w:p w:rsidR="00181E36" w:rsidRPr="0043547B" w:rsidRDefault="00181E36" w:rsidP="00181E36">
            <w:pPr>
              <w:spacing w:after="0"/>
              <w:jc w:val="center"/>
              <w:rPr>
                <w:rFonts w:cstheme="minorHAnsi"/>
                <w:b/>
                <w:bCs/>
                <w:sz w:val="24"/>
                <w:szCs w:val="24"/>
              </w:rPr>
            </w:pPr>
            <w:r w:rsidRPr="0043547B">
              <w:rPr>
                <w:rFonts w:cstheme="minorHAnsi"/>
                <w:b/>
                <w:bCs/>
                <w:sz w:val="24"/>
                <w:szCs w:val="24"/>
              </w:rPr>
              <w:t>Domaine d’application :</w:t>
            </w:r>
          </w:p>
        </w:tc>
        <w:tc>
          <w:tcPr>
            <w:tcW w:w="7796" w:type="dxa"/>
            <w:tcBorders>
              <w:top w:val="nil"/>
              <w:left w:val="single" w:sz="4" w:space="0" w:color="auto"/>
              <w:bottom w:val="single" w:sz="18" w:space="0" w:color="auto"/>
              <w:right w:val="single" w:sz="18" w:space="0" w:color="auto"/>
            </w:tcBorders>
            <w:shd w:val="clear" w:color="auto" w:fill="auto"/>
            <w:vAlign w:val="center"/>
            <w:hideMark/>
          </w:tcPr>
          <w:p w:rsidR="00181E36" w:rsidRPr="0043547B" w:rsidRDefault="00181E36" w:rsidP="00181E36">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partie de l’ISO 16283 spécifie les modes opératoires permettant de déterminer l’isolation des bruits aériens entre deux salles d’un bâtiment à l’aide de mesurages de la pression acoustique. Ces modes opératoires s'appliquent aux salles dont le volume est compris entre 10 m3 et 250 m3 aux fréquences comprises entre 50 Hz et 5 000 Hz. Les résultats des essais peuvent être utilisés pour quantifier, évaluer et comparer l’isolation des bruits aériens dans des salles non meublées ou meublées où le champ acoustique peut ou non être assimilé à un champ diffus. L’isolation mesurée des bruits aériens dépend de la fréquence et peut être convertie en une quantité d'indice unique d’évaluation qui caractérise la performance acoustique à l’aide des méthodes d’évaluation spécifiées dans l’ISO 717‐1.</w:t>
            </w:r>
          </w:p>
        </w:tc>
      </w:tr>
    </w:tbl>
    <w:p w:rsidR="00904E52" w:rsidRPr="0043547B" w:rsidRDefault="00904E52" w:rsidP="00B905D3">
      <w:pPr>
        <w:pStyle w:val="Titre3"/>
        <w:numPr>
          <w:ilvl w:val="1"/>
          <w:numId w:val="2"/>
        </w:numPr>
        <w:rPr>
          <w:rFonts w:asciiTheme="minorHAnsi" w:hAnsiTheme="minorHAnsi" w:cstheme="minorHAnsi"/>
          <w:sz w:val="24"/>
          <w:szCs w:val="24"/>
          <w:u w:val="single"/>
        </w:rPr>
      </w:pPr>
      <w:bookmarkStart w:id="41" w:name="_Toc458606097"/>
      <w:r w:rsidRPr="0043547B">
        <w:rPr>
          <w:rFonts w:asciiTheme="minorHAnsi" w:hAnsiTheme="minorHAnsi" w:cstheme="minorHAnsi"/>
          <w:sz w:val="24"/>
          <w:szCs w:val="24"/>
          <w:u w:val="single"/>
        </w:rPr>
        <w:lastRenderedPageBreak/>
        <w:t>Lot N° 6 : Développement durable &amp; performance des bâtiments</w:t>
      </w:r>
      <w:bookmarkEnd w:id="41"/>
    </w:p>
    <w:tbl>
      <w:tblPr>
        <w:tblW w:w="9776" w:type="dxa"/>
        <w:jc w:val="center"/>
        <w:tblCellMar>
          <w:left w:w="70" w:type="dxa"/>
          <w:right w:w="70" w:type="dxa"/>
        </w:tblCellMar>
        <w:tblLook w:val="04A0" w:firstRow="1" w:lastRow="0" w:firstColumn="1" w:lastColumn="0" w:noHBand="0" w:noVBand="1"/>
      </w:tblPr>
      <w:tblGrid>
        <w:gridCol w:w="1838"/>
        <w:gridCol w:w="7938"/>
      </w:tblGrid>
      <w:tr w:rsidR="0043547B" w:rsidRPr="0043547B" w:rsidTr="001E064F">
        <w:trPr>
          <w:trHeight w:val="5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tcPr>
          <w:p w:rsidR="00904E52" w:rsidRPr="0043547B" w:rsidRDefault="00904E52" w:rsidP="00B43F04">
            <w:pPr>
              <w:spacing w:after="0"/>
              <w:jc w:val="center"/>
              <w:rPr>
                <w:rFonts w:cstheme="minorHAnsi"/>
                <w:b/>
                <w:bCs/>
                <w:sz w:val="24"/>
                <w:szCs w:val="24"/>
              </w:rPr>
            </w:pPr>
            <w:r w:rsidRPr="0043547B">
              <w:rPr>
                <w:rFonts w:cstheme="minorHAnsi"/>
                <w:b/>
                <w:bCs/>
                <w:sz w:val="24"/>
                <w:szCs w:val="24"/>
              </w:rPr>
              <w:t>NM ISO 23045</w:t>
            </w:r>
          </w:p>
        </w:tc>
      </w:tr>
      <w:tr w:rsidR="0043547B" w:rsidRPr="0043547B" w:rsidTr="001E064F">
        <w:trPr>
          <w:trHeight w:val="79"/>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tcPr>
          <w:p w:rsidR="00904E52" w:rsidRPr="0043547B" w:rsidRDefault="00904E52" w:rsidP="00B43F04">
            <w:pPr>
              <w:spacing w:after="0"/>
              <w:jc w:val="center"/>
              <w:rPr>
                <w:rFonts w:cstheme="minorHAnsi"/>
                <w:b/>
                <w:bCs/>
                <w:sz w:val="24"/>
                <w:szCs w:val="24"/>
              </w:rPr>
            </w:pPr>
            <w:r w:rsidRPr="0043547B">
              <w:rPr>
                <w:rFonts w:cstheme="minorHAnsi"/>
                <w:b/>
                <w:bCs/>
                <w:sz w:val="24"/>
                <w:szCs w:val="24"/>
              </w:rPr>
              <w:t>ISO 23045</w:t>
            </w:r>
          </w:p>
        </w:tc>
      </w:tr>
      <w:tr w:rsidR="0043547B" w:rsidRPr="0043547B" w:rsidTr="001E064F">
        <w:trPr>
          <w:trHeight w:val="79"/>
          <w:jc w:val="center"/>
        </w:trPr>
        <w:tc>
          <w:tcPr>
            <w:tcW w:w="1838" w:type="dxa"/>
            <w:tcBorders>
              <w:top w:val="nil"/>
              <w:left w:val="single" w:sz="18" w:space="0" w:color="auto"/>
              <w:bottom w:val="single" w:sz="4" w:space="0" w:color="auto"/>
              <w:right w:val="single" w:sz="4" w:space="0" w:color="auto"/>
            </w:tcBorders>
            <w:shd w:val="clear" w:color="000000" w:fill="8DB4E2"/>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8" w:space="0" w:color="auto"/>
              <w:left w:val="single" w:sz="4" w:space="0" w:color="auto"/>
              <w:bottom w:val="single" w:sz="4" w:space="0" w:color="auto"/>
              <w:right w:val="single" w:sz="18" w:space="0" w:color="auto"/>
            </w:tcBorders>
            <w:shd w:val="clear" w:color="auto" w:fill="auto"/>
            <w:vAlign w:val="center"/>
          </w:tcPr>
          <w:p w:rsidR="00904E52" w:rsidRPr="0043547B" w:rsidRDefault="00904E52" w:rsidP="00904E52">
            <w:pPr>
              <w:spacing w:after="0"/>
              <w:jc w:val="both"/>
              <w:rPr>
                <w:rFonts w:cstheme="minorHAnsi"/>
                <w:sz w:val="24"/>
                <w:szCs w:val="24"/>
              </w:rPr>
            </w:pPr>
            <w:r w:rsidRPr="0043547B">
              <w:rPr>
                <w:rFonts w:cstheme="minorHAnsi"/>
                <w:sz w:val="24"/>
                <w:szCs w:val="24"/>
              </w:rPr>
              <w:t xml:space="preserve">Conception de l'environnement des bâtiments - Lignes directrices pour l'évaluation de l'efficacité énergétique des bâtiments neufs </w:t>
            </w:r>
          </w:p>
        </w:tc>
      </w:tr>
      <w:tr w:rsidR="0043547B" w:rsidRPr="0043547B" w:rsidTr="001E064F">
        <w:trPr>
          <w:trHeight w:val="1611"/>
          <w:jc w:val="center"/>
        </w:trPr>
        <w:tc>
          <w:tcPr>
            <w:tcW w:w="1838" w:type="dxa"/>
            <w:tcBorders>
              <w:top w:val="nil"/>
              <w:left w:val="single" w:sz="18" w:space="0" w:color="auto"/>
              <w:bottom w:val="single" w:sz="18" w:space="0" w:color="auto"/>
              <w:right w:val="single" w:sz="4" w:space="0" w:color="auto"/>
            </w:tcBorders>
            <w:shd w:val="clear" w:color="000000" w:fill="D9D9D9"/>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single" w:sz="8" w:space="0" w:color="auto"/>
              <w:left w:val="single" w:sz="4" w:space="0" w:color="auto"/>
              <w:bottom w:val="single" w:sz="18" w:space="0" w:color="auto"/>
              <w:right w:val="single" w:sz="18" w:space="0" w:color="auto"/>
            </w:tcBorders>
            <w:shd w:val="clear" w:color="auto" w:fill="auto"/>
            <w:vAlign w:val="center"/>
          </w:tcPr>
          <w:p w:rsidR="00904E52" w:rsidRPr="0043547B" w:rsidRDefault="00904E52" w:rsidP="00DB1479">
            <w:pPr>
              <w:spacing w:after="0" w:line="240" w:lineRule="auto"/>
              <w:jc w:val="both"/>
              <w:rPr>
                <w:rFonts w:cstheme="minorHAnsi"/>
                <w:sz w:val="24"/>
                <w:szCs w:val="24"/>
              </w:rPr>
            </w:pPr>
            <w:r w:rsidRPr="0043547B">
              <w:rPr>
                <w:rFonts w:cstheme="minorHAnsi"/>
                <w:sz w:val="24"/>
                <w:szCs w:val="24"/>
              </w:rPr>
              <w:t>La norme fournit des lignes directrices relatives à la prise en compte de l’efficacité énergétique des bâtiments.</w:t>
            </w:r>
          </w:p>
          <w:p w:rsidR="00904E52" w:rsidRPr="0043547B" w:rsidRDefault="00904E52" w:rsidP="00DB1479">
            <w:pPr>
              <w:spacing w:after="0" w:line="240" w:lineRule="auto"/>
              <w:jc w:val="both"/>
              <w:rPr>
                <w:rFonts w:cstheme="minorHAnsi"/>
                <w:sz w:val="24"/>
                <w:szCs w:val="24"/>
              </w:rPr>
            </w:pPr>
            <w:r w:rsidRPr="0043547B">
              <w:rPr>
                <w:rFonts w:cstheme="minorHAnsi"/>
                <w:sz w:val="24"/>
                <w:szCs w:val="24"/>
              </w:rPr>
              <w:t>Les objectifs sont d’aider les concepteurs et les parties prenantes à recueillir et à fournir les données utiles nécessaires à chaque étape du processus de conception et de satisfaire aux définitions des bâtiments, telles que préparées par les concepteurs.</w:t>
            </w:r>
          </w:p>
        </w:tc>
      </w:tr>
      <w:tr w:rsidR="0043547B" w:rsidRPr="0043547B" w:rsidTr="001E064F">
        <w:trPr>
          <w:trHeight w:val="79"/>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NM ISO/TS 21929-1</w:t>
            </w:r>
          </w:p>
        </w:tc>
      </w:tr>
      <w:tr w:rsidR="0043547B" w:rsidRPr="0043547B" w:rsidTr="001E064F">
        <w:trPr>
          <w:trHeight w:val="79"/>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ISO/TS 21929-1</w:t>
            </w:r>
          </w:p>
        </w:tc>
      </w:tr>
      <w:tr w:rsidR="0043547B" w:rsidRPr="0043547B" w:rsidTr="001E064F">
        <w:trPr>
          <w:trHeight w:val="79"/>
          <w:jc w:val="center"/>
        </w:trPr>
        <w:tc>
          <w:tcPr>
            <w:tcW w:w="1838" w:type="dxa"/>
            <w:tcBorders>
              <w:top w:val="nil"/>
              <w:left w:val="single" w:sz="18" w:space="0" w:color="auto"/>
              <w:bottom w:val="single" w:sz="4" w:space="0" w:color="auto"/>
              <w:right w:val="single" w:sz="4" w:space="0" w:color="auto"/>
            </w:tcBorders>
            <w:shd w:val="clear" w:color="000000" w:fill="8DB4E2"/>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8" w:space="0" w:color="auto"/>
              <w:left w:val="single" w:sz="4" w:space="0" w:color="auto"/>
              <w:bottom w:val="single" w:sz="4" w:space="0" w:color="auto"/>
              <w:right w:val="single" w:sz="18" w:space="0" w:color="auto"/>
            </w:tcBorders>
            <w:shd w:val="clear" w:color="auto" w:fill="auto"/>
            <w:vAlign w:val="center"/>
          </w:tcPr>
          <w:p w:rsidR="00904E52" w:rsidRPr="0043547B" w:rsidRDefault="00904E52" w:rsidP="00904E52">
            <w:pPr>
              <w:spacing w:after="0"/>
              <w:jc w:val="both"/>
              <w:rPr>
                <w:rFonts w:cstheme="minorHAnsi"/>
                <w:sz w:val="24"/>
                <w:szCs w:val="24"/>
              </w:rPr>
            </w:pPr>
            <w:r w:rsidRPr="0043547B">
              <w:rPr>
                <w:rFonts w:cstheme="minorHAnsi"/>
                <w:sz w:val="24"/>
                <w:szCs w:val="24"/>
              </w:rPr>
              <w:t xml:space="preserve">Développement durable dans la construction- Indicateurs de développement durable - Partie 1 : Cadre pour le développement d'indicateurs pour le bâtiment </w:t>
            </w:r>
          </w:p>
        </w:tc>
      </w:tr>
      <w:tr w:rsidR="0043547B" w:rsidRPr="0043547B" w:rsidTr="001E064F">
        <w:trPr>
          <w:trHeight w:val="79"/>
          <w:jc w:val="center"/>
        </w:trPr>
        <w:tc>
          <w:tcPr>
            <w:tcW w:w="1838" w:type="dxa"/>
            <w:tcBorders>
              <w:top w:val="nil"/>
              <w:left w:val="single" w:sz="18" w:space="0" w:color="auto"/>
              <w:bottom w:val="single" w:sz="18" w:space="0" w:color="auto"/>
              <w:right w:val="single" w:sz="4" w:space="0" w:color="auto"/>
            </w:tcBorders>
            <w:shd w:val="clear" w:color="000000" w:fill="D9D9D9"/>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single" w:sz="8" w:space="0" w:color="auto"/>
              <w:left w:val="single" w:sz="4" w:space="0" w:color="auto"/>
              <w:bottom w:val="single" w:sz="18" w:space="0" w:color="auto"/>
              <w:right w:val="single" w:sz="18" w:space="0" w:color="auto"/>
            </w:tcBorders>
            <w:shd w:val="clear" w:color="auto" w:fill="auto"/>
            <w:vAlign w:val="center"/>
          </w:tcPr>
          <w:p w:rsidR="00904E52" w:rsidRPr="0043547B" w:rsidRDefault="00904E52" w:rsidP="00DB1479">
            <w:pPr>
              <w:spacing w:after="0" w:line="240" w:lineRule="auto"/>
              <w:jc w:val="both"/>
              <w:rPr>
                <w:rFonts w:cstheme="minorHAnsi"/>
                <w:sz w:val="24"/>
                <w:szCs w:val="24"/>
              </w:rPr>
            </w:pPr>
            <w:r w:rsidRPr="0043547B">
              <w:rPr>
                <w:rFonts w:cstheme="minorHAnsi"/>
                <w:sz w:val="24"/>
                <w:szCs w:val="24"/>
              </w:rPr>
              <w:t>La norme fournit un cadre et donne des recommandations et des lignes directrices pour la mise au point et la sélection d'indicateurs de développement durable appropriés pour le bâtiment.</w:t>
            </w:r>
          </w:p>
          <w:p w:rsidR="00904E52" w:rsidRPr="0043547B" w:rsidRDefault="00904E52" w:rsidP="00DB1479">
            <w:pPr>
              <w:spacing w:after="0" w:line="240" w:lineRule="auto"/>
              <w:jc w:val="both"/>
              <w:rPr>
                <w:rFonts w:cstheme="minorHAnsi"/>
                <w:sz w:val="24"/>
                <w:szCs w:val="24"/>
              </w:rPr>
            </w:pPr>
            <w:r w:rsidRPr="0043547B">
              <w:rPr>
                <w:rFonts w:cstheme="minorHAnsi"/>
                <w:sz w:val="24"/>
                <w:szCs w:val="24"/>
              </w:rPr>
              <w:t xml:space="preserve">L'objectif consiste à définir le processus à suivre pour évaluer l'impact économique, environnemental et social d'un bâtiment, à l'aide d'un cadre commun et d'un ensemble d'indicateurs. </w:t>
            </w:r>
            <w:r w:rsidRPr="0043547B">
              <w:rPr>
                <w:rFonts w:cstheme="minorHAnsi"/>
                <w:sz w:val="24"/>
                <w:szCs w:val="24"/>
              </w:rPr>
              <w:br/>
              <w:t>Elle décrit comment utiliser les indicateurs de développement durable dans le bâtiment ainsi que le processus d'utilisation de ces indicateurs, facilite le processus de sélection des indicateurs, aide à l'élaboration d'outils d'évaluation, et définit la conformité à la présente spécification.</w:t>
            </w:r>
          </w:p>
        </w:tc>
      </w:tr>
      <w:tr w:rsidR="002952DD" w:rsidRPr="0043547B" w:rsidTr="00996E2F">
        <w:trPr>
          <w:trHeight w:val="79"/>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2952DD" w:rsidRPr="00996E2F" w:rsidRDefault="002952DD" w:rsidP="00996E2F">
            <w:pPr>
              <w:spacing w:after="0" w:line="240" w:lineRule="auto"/>
              <w:jc w:val="center"/>
              <w:rPr>
                <w:rFonts w:ascii="Calibri" w:hAnsi="Calibri" w:cs="Calibri"/>
                <w:b/>
                <w:bCs/>
                <w:sz w:val="24"/>
                <w:szCs w:val="24"/>
              </w:rPr>
            </w:pPr>
            <w:r w:rsidRPr="00996E2F">
              <w:rPr>
                <w:rFonts w:ascii="Calibri" w:hAnsi="Calibri" w:cs="Calibri"/>
                <w:b/>
                <w:bCs/>
                <w:sz w:val="24"/>
                <w:szCs w:val="24"/>
              </w:rPr>
              <w:t>Code :</w:t>
            </w:r>
          </w:p>
        </w:tc>
        <w:tc>
          <w:tcPr>
            <w:tcW w:w="7938" w:type="dxa"/>
            <w:tcBorders>
              <w:top w:val="single" w:sz="8" w:space="0" w:color="auto"/>
              <w:left w:val="single" w:sz="4" w:space="0" w:color="auto"/>
              <w:bottom w:val="single" w:sz="18" w:space="0" w:color="auto"/>
              <w:right w:val="single" w:sz="18" w:space="0" w:color="auto"/>
            </w:tcBorders>
            <w:shd w:val="clear" w:color="auto" w:fill="C2D69B" w:themeFill="accent3" w:themeFillTint="99"/>
            <w:vAlign w:val="center"/>
          </w:tcPr>
          <w:p w:rsidR="002952DD" w:rsidRPr="00996E2F" w:rsidRDefault="002952DD" w:rsidP="00996E2F">
            <w:pPr>
              <w:spacing w:after="0" w:line="240" w:lineRule="auto"/>
              <w:jc w:val="center"/>
              <w:rPr>
                <w:rFonts w:ascii="Times New Roman" w:hAnsi="Times New Roman" w:cs="Times New Roman"/>
                <w:b/>
                <w:bCs/>
                <w:color w:val="000000"/>
                <w:sz w:val="24"/>
                <w:szCs w:val="24"/>
              </w:rPr>
            </w:pPr>
            <w:r w:rsidRPr="00996E2F">
              <w:rPr>
                <w:b/>
                <w:bCs/>
                <w:color w:val="000000"/>
                <w:sz w:val="24"/>
                <w:szCs w:val="24"/>
              </w:rPr>
              <w:t>NM EN 845-2</w:t>
            </w:r>
          </w:p>
        </w:tc>
      </w:tr>
      <w:tr w:rsidR="002952DD" w:rsidRPr="0043547B" w:rsidTr="00996E2F">
        <w:trPr>
          <w:trHeight w:val="79"/>
          <w:jc w:val="center"/>
        </w:trPr>
        <w:tc>
          <w:tcPr>
            <w:tcW w:w="1838" w:type="dxa"/>
            <w:tcBorders>
              <w:top w:val="nil"/>
              <w:left w:val="single" w:sz="18" w:space="0" w:color="auto"/>
              <w:bottom w:val="single" w:sz="18" w:space="0" w:color="auto"/>
              <w:right w:val="single" w:sz="4" w:space="0" w:color="auto"/>
            </w:tcBorders>
            <w:shd w:val="clear" w:color="auto" w:fill="FFFF99"/>
            <w:vAlign w:val="center"/>
          </w:tcPr>
          <w:p w:rsidR="002952DD" w:rsidRPr="00996E2F" w:rsidRDefault="002952DD" w:rsidP="00996E2F">
            <w:pPr>
              <w:spacing w:after="0" w:line="240" w:lineRule="auto"/>
              <w:jc w:val="center"/>
              <w:rPr>
                <w:rFonts w:ascii="Calibri" w:hAnsi="Calibri" w:cs="Calibri"/>
                <w:b/>
                <w:bCs/>
                <w:sz w:val="24"/>
                <w:szCs w:val="24"/>
              </w:rPr>
            </w:pPr>
            <w:r w:rsidRPr="00996E2F">
              <w:rPr>
                <w:rFonts w:ascii="Calibri" w:hAnsi="Calibri" w:cs="Calibri"/>
                <w:b/>
                <w:bCs/>
                <w:sz w:val="24"/>
                <w:szCs w:val="24"/>
              </w:rPr>
              <w:t>Equivalence :</w:t>
            </w:r>
          </w:p>
        </w:tc>
        <w:tc>
          <w:tcPr>
            <w:tcW w:w="7938" w:type="dxa"/>
            <w:tcBorders>
              <w:top w:val="single" w:sz="8" w:space="0" w:color="auto"/>
              <w:left w:val="single" w:sz="4" w:space="0" w:color="auto"/>
              <w:bottom w:val="single" w:sz="18" w:space="0" w:color="auto"/>
              <w:right w:val="single" w:sz="18" w:space="0" w:color="auto"/>
            </w:tcBorders>
            <w:shd w:val="clear" w:color="auto" w:fill="FFFF99"/>
            <w:vAlign w:val="center"/>
          </w:tcPr>
          <w:p w:rsidR="002952DD" w:rsidRPr="00996E2F" w:rsidRDefault="002952DD" w:rsidP="00996E2F">
            <w:pPr>
              <w:spacing w:after="0" w:line="240" w:lineRule="auto"/>
              <w:jc w:val="center"/>
              <w:rPr>
                <w:rFonts w:ascii="Times New Roman" w:hAnsi="Times New Roman" w:cs="Times New Roman"/>
                <w:b/>
                <w:bCs/>
                <w:color w:val="000000"/>
                <w:sz w:val="24"/>
                <w:szCs w:val="24"/>
              </w:rPr>
            </w:pPr>
            <w:r w:rsidRPr="00996E2F">
              <w:rPr>
                <w:b/>
                <w:bCs/>
                <w:color w:val="000000"/>
                <w:sz w:val="24"/>
                <w:szCs w:val="24"/>
              </w:rPr>
              <w:t>EN 845-2</w:t>
            </w:r>
          </w:p>
        </w:tc>
      </w:tr>
      <w:tr w:rsidR="002952DD" w:rsidRPr="0043547B" w:rsidTr="00996E2F">
        <w:trPr>
          <w:trHeight w:val="79"/>
          <w:jc w:val="center"/>
        </w:trPr>
        <w:tc>
          <w:tcPr>
            <w:tcW w:w="1838" w:type="dxa"/>
            <w:tcBorders>
              <w:top w:val="single" w:sz="18" w:space="0" w:color="auto"/>
              <w:left w:val="single" w:sz="18" w:space="0" w:color="auto"/>
              <w:bottom w:val="single" w:sz="4" w:space="0" w:color="auto"/>
              <w:right w:val="single" w:sz="4" w:space="0" w:color="auto"/>
            </w:tcBorders>
            <w:shd w:val="clear" w:color="auto" w:fill="95B3D7" w:themeFill="accent1" w:themeFillTint="99"/>
            <w:vAlign w:val="center"/>
          </w:tcPr>
          <w:p w:rsidR="002952DD" w:rsidRPr="00996E2F" w:rsidRDefault="002952DD" w:rsidP="00996E2F">
            <w:pPr>
              <w:spacing w:after="0" w:line="240" w:lineRule="auto"/>
              <w:jc w:val="center"/>
              <w:rPr>
                <w:rFonts w:ascii="Calibri" w:hAnsi="Calibri" w:cs="Calibri"/>
                <w:b/>
                <w:bCs/>
                <w:sz w:val="24"/>
                <w:szCs w:val="24"/>
              </w:rPr>
            </w:pPr>
            <w:r w:rsidRPr="00996E2F">
              <w:rPr>
                <w:rFonts w:ascii="Calibri" w:hAnsi="Calibri" w:cs="Calibr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bottom"/>
          </w:tcPr>
          <w:p w:rsidR="002952DD" w:rsidRPr="00996E2F" w:rsidRDefault="002952DD" w:rsidP="00996E2F">
            <w:pPr>
              <w:spacing w:after="0" w:line="240" w:lineRule="auto"/>
              <w:jc w:val="both"/>
              <w:rPr>
                <w:rFonts w:ascii="Times New Roman" w:hAnsi="Times New Roman" w:cs="Times New Roman"/>
                <w:color w:val="000000"/>
                <w:sz w:val="24"/>
                <w:szCs w:val="24"/>
              </w:rPr>
            </w:pPr>
            <w:r w:rsidRPr="00996E2F">
              <w:rPr>
                <w:color w:val="000000"/>
                <w:sz w:val="24"/>
                <w:szCs w:val="24"/>
              </w:rPr>
              <w:t>Spécifications  pour  composants  accessoires  de maçonnerie - Par</w:t>
            </w:r>
            <w:r w:rsidR="00996E2F">
              <w:rPr>
                <w:color w:val="000000"/>
                <w:sz w:val="24"/>
                <w:szCs w:val="24"/>
              </w:rPr>
              <w:t xml:space="preserve">tie 2 : Linteaux </w:t>
            </w:r>
          </w:p>
        </w:tc>
      </w:tr>
      <w:tr w:rsidR="002952DD" w:rsidRPr="0043547B" w:rsidTr="00996E2F">
        <w:trPr>
          <w:trHeight w:val="79"/>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2952DD" w:rsidRPr="00996E2F" w:rsidRDefault="002952DD" w:rsidP="00996E2F">
            <w:pPr>
              <w:spacing w:after="0" w:line="240" w:lineRule="auto"/>
              <w:jc w:val="center"/>
              <w:rPr>
                <w:rFonts w:ascii="Calibri" w:hAnsi="Calibri" w:cs="Calibri"/>
                <w:b/>
                <w:bCs/>
                <w:sz w:val="24"/>
                <w:szCs w:val="24"/>
              </w:rPr>
            </w:pPr>
            <w:r w:rsidRPr="00996E2F">
              <w:rPr>
                <w:rFonts w:ascii="Calibri" w:hAnsi="Calibri" w:cs="Calibr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bottom"/>
          </w:tcPr>
          <w:p w:rsidR="00996E2F" w:rsidRDefault="002952DD" w:rsidP="00996E2F">
            <w:pPr>
              <w:spacing w:after="0" w:line="240" w:lineRule="auto"/>
              <w:jc w:val="both"/>
              <w:rPr>
                <w:color w:val="000000"/>
                <w:sz w:val="24"/>
                <w:szCs w:val="24"/>
              </w:rPr>
            </w:pPr>
            <w:r w:rsidRPr="00996E2F">
              <w:rPr>
                <w:color w:val="000000"/>
                <w:sz w:val="24"/>
                <w:szCs w:val="24"/>
              </w:rPr>
              <w:t>La présente Norme européenne spécifie les exigences concernant les linteaux préfabriqués d'une portée maximale</w:t>
            </w:r>
            <w:r w:rsidR="00996E2F">
              <w:rPr>
                <w:color w:val="000000"/>
                <w:sz w:val="24"/>
                <w:szCs w:val="24"/>
              </w:rPr>
              <w:t xml:space="preserve"> </w:t>
            </w:r>
            <w:r w:rsidRPr="00996E2F">
              <w:rPr>
                <w:color w:val="000000"/>
                <w:sz w:val="24"/>
                <w:szCs w:val="24"/>
              </w:rPr>
              <w:t>de 4,5 m au-dessus de l'ouverture libre et réalisés en acier, béton cellulaire autoclavé, pierre reconstituée, béton,</w:t>
            </w:r>
            <w:r w:rsidRPr="00996E2F">
              <w:rPr>
                <w:color w:val="000000"/>
                <w:sz w:val="24"/>
                <w:szCs w:val="24"/>
              </w:rPr>
              <w:br/>
              <w:t>éléments en terre cuite, éléments en silico-calcaire, éléments en pierre naturelle ou avec une combinaison de ces</w:t>
            </w:r>
            <w:r w:rsidR="00996E2F">
              <w:rPr>
                <w:color w:val="000000"/>
                <w:sz w:val="24"/>
                <w:szCs w:val="24"/>
              </w:rPr>
              <w:t xml:space="preserve"> </w:t>
            </w:r>
            <w:r w:rsidRPr="00996E2F">
              <w:rPr>
                <w:color w:val="000000"/>
                <w:sz w:val="24"/>
                <w:szCs w:val="24"/>
              </w:rPr>
              <w:t>matériaux. Les poutres en béton et en acier selon l'EN 1090-1, l'EN 12602 et l'EN 13225, suivant le cas, ne sont pas</w:t>
            </w:r>
            <w:r w:rsidRPr="00996E2F">
              <w:rPr>
                <w:color w:val="000000"/>
                <w:sz w:val="24"/>
                <w:szCs w:val="24"/>
              </w:rPr>
              <w:br/>
              <w:t>couvertes par la présente norme.</w:t>
            </w:r>
          </w:p>
          <w:p w:rsidR="00996E2F" w:rsidRDefault="002952DD" w:rsidP="00996E2F">
            <w:pPr>
              <w:spacing w:after="0" w:line="240" w:lineRule="auto"/>
              <w:jc w:val="both"/>
              <w:rPr>
                <w:color w:val="000000"/>
                <w:sz w:val="24"/>
                <w:szCs w:val="24"/>
              </w:rPr>
            </w:pPr>
            <w:r w:rsidRPr="00996E2F">
              <w:rPr>
                <w:color w:val="000000"/>
                <w:sz w:val="24"/>
                <w:szCs w:val="24"/>
              </w:rPr>
              <w:t>Les linteaux préfabriqués peuvent être des linteaux complets ou constituer la partie préfabriquée d'un linteau</w:t>
            </w:r>
            <w:r w:rsidR="00996E2F">
              <w:rPr>
                <w:color w:val="000000"/>
                <w:sz w:val="24"/>
                <w:szCs w:val="24"/>
              </w:rPr>
              <w:t xml:space="preserve"> </w:t>
            </w:r>
            <w:r w:rsidRPr="00996E2F">
              <w:rPr>
                <w:color w:val="000000"/>
                <w:sz w:val="24"/>
                <w:szCs w:val="24"/>
              </w:rPr>
              <w:t>composite.</w:t>
            </w:r>
          </w:p>
          <w:p w:rsidR="00996E2F" w:rsidRDefault="002952DD" w:rsidP="00996E2F">
            <w:pPr>
              <w:spacing w:after="0" w:line="240" w:lineRule="auto"/>
              <w:jc w:val="both"/>
              <w:rPr>
                <w:color w:val="000000"/>
                <w:sz w:val="24"/>
                <w:szCs w:val="24"/>
              </w:rPr>
            </w:pPr>
            <w:r w:rsidRPr="00996E2F">
              <w:rPr>
                <w:color w:val="000000"/>
                <w:sz w:val="24"/>
                <w:szCs w:val="24"/>
              </w:rPr>
              <w:t>Les produits suivants ne sont pas couverts par la présente Norme européenne :</w:t>
            </w:r>
          </w:p>
          <w:p w:rsidR="00996E2F" w:rsidRDefault="002952DD" w:rsidP="00996E2F">
            <w:pPr>
              <w:spacing w:after="0" w:line="240" w:lineRule="auto"/>
              <w:jc w:val="both"/>
              <w:rPr>
                <w:color w:val="000000"/>
                <w:sz w:val="24"/>
                <w:szCs w:val="24"/>
              </w:rPr>
            </w:pPr>
            <w:r w:rsidRPr="00996E2F">
              <w:rPr>
                <w:color w:val="000000"/>
                <w:sz w:val="24"/>
                <w:szCs w:val="24"/>
              </w:rPr>
              <w:t>a) linteaux entièrement réalisés sur le chantier ;</w:t>
            </w:r>
          </w:p>
          <w:p w:rsidR="00996E2F" w:rsidRDefault="002952DD" w:rsidP="00996E2F">
            <w:pPr>
              <w:spacing w:after="0" w:line="240" w:lineRule="auto"/>
              <w:jc w:val="both"/>
              <w:rPr>
                <w:color w:val="000000"/>
                <w:sz w:val="24"/>
                <w:szCs w:val="24"/>
              </w:rPr>
            </w:pPr>
            <w:r w:rsidRPr="00996E2F">
              <w:rPr>
                <w:color w:val="000000"/>
                <w:sz w:val="24"/>
                <w:szCs w:val="24"/>
              </w:rPr>
              <w:t>b) linteaux dont les parties tendues sont réalisées sur le chantier ;</w:t>
            </w:r>
          </w:p>
          <w:p w:rsidR="00996E2F" w:rsidRDefault="002952DD" w:rsidP="00996E2F">
            <w:pPr>
              <w:spacing w:after="0" w:line="240" w:lineRule="auto"/>
              <w:jc w:val="both"/>
              <w:rPr>
                <w:color w:val="000000"/>
                <w:sz w:val="24"/>
                <w:szCs w:val="24"/>
              </w:rPr>
            </w:pPr>
            <w:r w:rsidRPr="00996E2F">
              <w:rPr>
                <w:color w:val="000000"/>
                <w:sz w:val="24"/>
                <w:szCs w:val="24"/>
              </w:rPr>
              <w:t>c) linteaux en bois ;</w:t>
            </w:r>
          </w:p>
          <w:p w:rsidR="00996E2F" w:rsidRDefault="002952DD" w:rsidP="00996E2F">
            <w:pPr>
              <w:spacing w:after="0" w:line="240" w:lineRule="auto"/>
              <w:jc w:val="both"/>
              <w:rPr>
                <w:color w:val="000000"/>
                <w:sz w:val="24"/>
                <w:szCs w:val="24"/>
              </w:rPr>
            </w:pPr>
            <w:r w:rsidRPr="00996E2F">
              <w:rPr>
                <w:color w:val="000000"/>
                <w:sz w:val="24"/>
                <w:szCs w:val="24"/>
              </w:rPr>
              <w:t>d) linteaux en pierre naturelle, sans armature.</w:t>
            </w:r>
          </w:p>
          <w:p w:rsidR="002952DD" w:rsidRDefault="002952DD" w:rsidP="00996E2F">
            <w:pPr>
              <w:spacing w:after="0" w:line="240" w:lineRule="auto"/>
              <w:jc w:val="both"/>
              <w:rPr>
                <w:color w:val="000000"/>
                <w:sz w:val="24"/>
                <w:szCs w:val="24"/>
              </w:rPr>
            </w:pPr>
            <w:r w:rsidRPr="00996E2F">
              <w:rPr>
                <w:color w:val="000000"/>
                <w:sz w:val="24"/>
                <w:szCs w:val="24"/>
              </w:rPr>
              <w:t>La présente Norme ne traite pas des composants linéaires posés au-dessus d'ouvertures supérieures à 4,5 m dans</w:t>
            </w:r>
            <w:r w:rsidR="00996E2F">
              <w:rPr>
                <w:color w:val="000000"/>
                <w:sz w:val="24"/>
                <w:szCs w:val="24"/>
              </w:rPr>
              <w:t xml:space="preserve"> </w:t>
            </w:r>
            <w:r w:rsidRPr="00996E2F">
              <w:rPr>
                <w:color w:val="000000"/>
                <w:sz w:val="24"/>
                <w:szCs w:val="24"/>
              </w:rPr>
              <w:t>des murs en maçonnerie et des composants linéaires destinés à être utilisés indépendamment, dans des rôles</w:t>
            </w:r>
            <w:r w:rsidRPr="00996E2F">
              <w:rPr>
                <w:color w:val="000000"/>
                <w:sz w:val="24"/>
                <w:szCs w:val="24"/>
              </w:rPr>
              <w:br/>
              <w:t>structurels (par exemple, les poutres).</w:t>
            </w:r>
          </w:p>
          <w:p w:rsidR="001259FF" w:rsidRPr="00996E2F" w:rsidRDefault="001259FF" w:rsidP="00996E2F">
            <w:pPr>
              <w:spacing w:after="0" w:line="240" w:lineRule="auto"/>
              <w:jc w:val="both"/>
              <w:rPr>
                <w:rFonts w:ascii="Times New Roman" w:hAnsi="Times New Roman" w:cs="Times New Roman"/>
                <w:color w:val="000000"/>
                <w:sz w:val="24"/>
                <w:szCs w:val="24"/>
              </w:rPr>
            </w:pPr>
          </w:p>
        </w:tc>
      </w:tr>
      <w:tr w:rsidR="002952DD" w:rsidRPr="0043547B" w:rsidTr="001259FF">
        <w:trPr>
          <w:trHeight w:val="79"/>
          <w:jc w:val="center"/>
        </w:trPr>
        <w:tc>
          <w:tcPr>
            <w:tcW w:w="1838" w:type="dxa"/>
            <w:tcBorders>
              <w:top w:val="nil"/>
              <w:left w:val="single" w:sz="18" w:space="0" w:color="auto"/>
              <w:bottom w:val="single" w:sz="18" w:space="0" w:color="auto"/>
              <w:right w:val="single" w:sz="4" w:space="0" w:color="auto"/>
            </w:tcBorders>
            <w:shd w:val="clear" w:color="auto" w:fill="D6E3BC" w:themeFill="accent3" w:themeFillTint="66"/>
            <w:vAlign w:val="center"/>
          </w:tcPr>
          <w:p w:rsidR="002952DD" w:rsidRPr="00996E2F" w:rsidRDefault="002952DD" w:rsidP="00996E2F">
            <w:pPr>
              <w:spacing w:after="0" w:line="240" w:lineRule="auto"/>
              <w:jc w:val="center"/>
              <w:rPr>
                <w:rFonts w:ascii="Calibri" w:hAnsi="Calibri" w:cs="Calibri"/>
                <w:b/>
                <w:bCs/>
                <w:sz w:val="24"/>
                <w:szCs w:val="24"/>
              </w:rPr>
            </w:pPr>
            <w:r w:rsidRPr="00996E2F">
              <w:rPr>
                <w:rFonts w:ascii="Calibri" w:hAnsi="Calibri" w:cs="Calibri"/>
                <w:b/>
                <w:bCs/>
                <w:sz w:val="24"/>
                <w:szCs w:val="24"/>
              </w:rPr>
              <w:lastRenderedPageBreak/>
              <w:t>Code :</w:t>
            </w:r>
          </w:p>
        </w:tc>
        <w:tc>
          <w:tcPr>
            <w:tcW w:w="7938" w:type="dxa"/>
            <w:tcBorders>
              <w:top w:val="single" w:sz="8" w:space="0" w:color="auto"/>
              <w:left w:val="single" w:sz="4" w:space="0" w:color="auto"/>
              <w:bottom w:val="single" w:sz="18" w:space="0" w:color="auto"/>
              <w:right w:val="single" w:sz="18" w:space="0" w:color="auto"/>
            </w:tcBorders>
            <w:shd w:val="clear" w:color="auto" w:fill="D6E3BC" w:themeFill="accent3" w:themeFillTint="66"/>
            <w:vAlign w:val="center"/>
          </w:tcPr>
          <w:p w:rsidR="002952DD" w:rsidRPr="00996E2F" w:rsidRDefault="002952DD" w:rsidP="00996E2F">
            <w:pPr>
              <w:spacing w:after="0" w:line="240" w:lineRule="auto"/>
              <w:jc w:val="center"/>
              <w:rPr>
                <w:rFonts w:ascii="Times New Roman" w:hAnsi="Times New Roman" w:cs="Times New Roman"/>
                <w:b/>
                <w:bCs/>
                <w:color w:val="000000"/>
                <w:sz w:val="24"/>
                <w:szCs w:val="24"/>
              </w:rPr>
            </w:pPr>
            <w:r w:rsidRPr="00996E2F">
              <w:rPr>
                <w:b/>
                <w:bCs/>
                <w:color w:val="000000"/>
                <w:sz w:val="24"/>
                <w:szCs w:val="24"/>
              </w:rPr>
              <w:t>NM EN 845-3</w:t>
            </w:r>
          </w:p>
        </w:tc>
      </w:tr>
      <w:tr w:rsidR="002952DD" w:rsidRPr="0043547B" w:rsidTr="001259FF">
        <w:trPr>
          <w:trHeight w:val="79"/>
          <w:jc w:val="center"/>
        </w:trPr>
        <w:tc>
          <w:tcPr>
            <w:tcW w:w="1838" w:type="dxa"/>
            <w:tcBorders>
              <w:top w:val="nil"/>
              <w:left w:val="single" w:sz="18" w:space="0" w:color="auto"/>
              <w:bottom w:val="single" w:sz="18" w:space="0" w:color="auto"/>
              <w:right w:val="single" w:sz="4" w:space="0" w:color="auto"/>
            </w:tcBorders>
            <w:shd w:val="clear" w:color="auto" w:fill="FFFF99"/>
            <w:vAlign w:val="center"/>
          </w:tcPr>
          <w:p w:rsidR="002952DD" w:rsidRPr="00996E2F" w:rsidRDefault="002952DD" w:rsidP="00996E2F">
            <w:pPr>
              <w:spacing w:after="0" w:line="240" w:lineRule="auto"/>
              <w:jc w:val="center"/>
              <w:rPr>
                <w:rFonts w:ascii="Calibri" w:hAnsi="Calibri" w:cs="Calibri"/>
                <w:b/>
                <w:bCs/>
                <w:sz w:val="24"/>
                <w:szCs w:val="24"/>
              </w:rPr>
            </w:pPr>
            <w:r w:rsidRPr="00996E2F">
              <w:rPr>
                <w:rFonts w:ascii="Calibri" w:hAnsi="Calibri" w:cs="Calibri"/>
                <w:b/>
                <w:bCs/>
                <w:sz w:val="24"/>
                <w:szCs w:val="24"/>
              </w:rPr>
              <w:t>Equivalence :</w:t>
            </w:r>
          </w:p>
        </w:tc>
        <w:tc>
          <w:tcPr>
            <w:tcW w:w="7938" w:type="dxa"/>
            <w:tcBorders>
              <w:top w:val="single" w:sz="8" w:space="0" w:color="auto"/>
              <w:left w:val="single" w:sz="4" w:space="0" w:color="auto"/>
              <w:bottom w:val="single" w:sz="18" w:space="0" w:color="auto"/>
              <w:right w:val="single" w:sz="18" w:space="0" w:color="auto"/>
            </w:tcBorders>
            <w:shd w:val="clear" w:color="auto" w:fill="FFFF99"/>
            <w:vAlign w:val="center"/>
          </w:tcPr>
          <w:p w:rsidR="002952DD" w:rsidRPr="00996E2F" w:rsidRDefault="002952DD" w:rsidP="00996E2F">
            <w:pPr>
              <w:spacing w:after="0" w:line="240" w:lineRule="auto"/>
              <w:jc w:val="center"/>
              <w:rPr>
                <w:rFonts w:ascii="Times New Roman" w:hAnsi="Times New Roman" w:cs="Times New Roman"/>
                <w:b/>
                <w:bCs/>
                <w:color w:val="000000"/>
                <w:sz w:val="24"/>
                <w:szCs w:val="24"/>
              </w:rPr>
            </w:pPr>
            <w:r w:rsidRPr="00996E2F">
              <w:rPr>
                <w:b/>
                <w:bCs/>
                <w:color w:val="000000"/>
                <w:sz w:val="24"/>
                <w:szCs w:val="24"/>
              </w:rPr>
              <w:t>EN 845-3</w:t>
            </w:r>
          </w:p>
        </w:tc>
      </w:tr>
      <w:tr w:rsidR="002952DD" w:rsidRPr="0043547B" w:rsidTr="001259FF">
        <w:trPr>
          <w:trHeight w:val="79"/>
          <w:jc w:val="center"/>
        </w:trPr>
        <w:tc>
          <w:tcPr>
            <w:tcW w:w="1838" w:type="dxa"/>
            <w:tcBorders>
              <w:top w:val="single" w:sz="18" w:space="0" w:color="auto"/>
              <w:left w:val="single" w:sz="18" w:space="0" w:color="auto"/>
              <w:bottom w:val="single" w:sz="4" w:space="0" w:color="auto"/>
              <w:right w:val="single" w:sz="4" w:space="0" w:color="auto"/>
            </w:tcBorders>
            <w:shd w:val="clear" w:color="auto" w:fill="95B3D7" w:themeFill="accent1" w:themeFillTint="99"/>
            <w:vAlign w:val="center"/>
          </w:tcPr>
          <w:p w:rsidR="002952DD" w:rsidRPr="00996E2F" w:rsidRDefault="002952DD" w:rsidP="00996E2F">
            <w:pPr>
              <w:jc w:val="center"/>
              <w:rPr>
                <w:rFonts w:ascii="Calibri" w:hAnsi="Calibri" w:cs="Calibri"/>
                <w:b/>
                <w:bCs/>
                <w:sz w:val="24"/>
                <w:szCs w:val="24"/>
              </w:rPr>
            </w:pPr>
            <w:r w:rsidRPr="00996E2F">
              <w:rPr>
                <w:rFonts w:ascii="Calibri" w:hAnsi="Calibri" w:cs="Calibr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bottom"/>
          </w:tcPr>
          <w:p w:rsidR="002952DD" w:rsidRPr="00996E2F" w:rsidRDefault="002952DD" w:rsidP="00996E2F">
            <w:pPr>
              <w:spacing w:after="0" w:line="240" w:lineRule="auto"/>
              <w:jc w:val="both"/>
              <w:rPr>
                <w:rFonts w:ascii="Times New Roman" w:hAnsi="Times New Roman" w:cs="Times New Roman"/>
                <w:color w:val="000000"/>
                <w:sz w:val="24"/>
                <w:szCs w:val="24"/>
              </w:rPr>
            </w:pPr>
            <w:r w:rsidRPr="00996E2F">
              <w:rPr>
                <w:color w:val="000000"/>
                <w:sz w:val="24"/>
                <w:szCs w:val="24"/>
              </w:rPr>
              <w:t xml:space="preserve">Spécifications  pour  composants  accessoires  de maçonnerie  -  Partie  3 :  Treillis  d’armature  en acier pour joints horizontaux ; </w:t>
            </w:r>
          </w:p>
        </w:tc>
      </w:tr>
      <w:tr w:rsidR="002952DD" w:rsidRPr="0043547B" w:rsidTr="001259FF">
        <w:trPr>
          <w:trHeight w:val="79"/>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2952DD" w:rsidRPr="00996E2F" w:rsidRDefault="002952DD" w:rsidP="00996E2F">
            <w:pPr>
              <w:jc w:val="center"/>
              <w:rPr>
                <w:rFonts w:ascii="Calibri" w:hAnsi="Calibri" w:cs="Calibri"/>
                <w:b/>
                <w:bCs/>
                <w:sz w:val="24"/>
                <w:szCs w:val="24"/>
              </w:rPr>
            </w:pPr>
            <w:r w:rsidRPr="00996E2F">
              <w:rPr>
                <w:rFonts w:ascii="Calibri" w:hAnsi="Calibri" w:cs="Calibr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bottom"/>
          </w:tcPr>
          <w:p w:rsidR="00996E2F" w:rsidRDefault="002952DD" w:rsidP="00996E2F">
            <w:pPr>
              <w:spacing w:after="0" w:line="240" w:lineRule="auto"/>
              <w:jc w:val="both"/>
              <w:rPr>
                <w:color w:val="000000"/>
                <w:sz w:val="24"/>
                <w:szCs w:val="24"/>
              </w:rPr>
            </w:pPr>
            <w:r w:rsidRPr="00996E2F">
              <w:rPr>
                <w:color w:val="000000"/>
                <w:sz w:val="24"/>
                <w:szCs w:val="24"/>
              </w:rPr>
              <w:t>La présente Norme européenne spécifie les exigences concernant les armatures pour les joints horizontaux de</w:t>
            </w:r>
            <w:r w:rsidR="00996E2F">
              <w:rPr>
                <w:color w:val="000000"/>
                <w:sz w:val="24"/>
                <w:szCs w:val="24"/>
              </w:rPr>
              <w:t xml:space="preserve"> </w:t>
            </w:r>
            <w:r w:rsidRPr="00996E2F">
              <w:rPr>
                <w:color w:val="000000"/>
                <w:sz w:val="24"/>
                <w:szCs w:val="24"/>
              </w:rPr>
              <w:t>maçonnerie à usage structurel (voir 5.2.1) et non structurel (voir 5.2.2).</w:t>
            </w:r>
          </w:p>
          <w:p w:rsidR="00996E2F" w:rsidRDefault="002952DD" w:rsidP="00996E2F">
            <w:pPr>
              <w:spacing w:after="0" w:line="240" w:lineRule="auto"/>
              <w:jc w:val="both"/>
              <w:rPr>
                <w:color w:val="000000"/>
                <w:sz w:val="24"/>
                <w:szCs w:val="24"/>
              </w:rPr>
            </w:pPr>
            <w:r w:rsidRPr="00996E2F">
              <w:rPr>
                <w:color w:val="000000"/>
                <w:sz w:val="24"/>
                <w:szCs w:val="24"/>
              </w:rPr>
              <w:t>Dans le cas où les produits sont destinés à être utilisés dans la construction de murs doubles, la présente Norme</w:t>
            </w:r>
            <w:r w:rsidR="00996E2F">
              <w:rPr>
                <w:color w:val="000000"/>
                <w:sz w:val="24"/>
                <w:szCs w:val="24"/>
              </w:rPr>
              <w:t xml:space="preserve"> </w:t>
            </w:r>
            <w:r w:rsidRPr="00996E2F">
              <w:rPr>
                <w:color w:val="000000"/>
                <w:sz w:val="24"/>
                <w:szCs w:val="24"/>
              </w:rPr>
              <w:t>européenne couvre uniquement les performances des treillis employés comme armatures pour les joints horizontaux</w:t>
            </w:r>
            <w:r w:rsidRPr="00996E2F">
              <w:rPr>
                <w:color w:val="000000"/>
                <w:sz w:val="24"/>
                <w:szCs w:val="24"/>
              </w:rPr>
              <w:br/>
              <w:t>et ne s'applique pas aux performances du treillis utilisé comme attache pour mur double traversant la cavité.</w:t>
            </w:r>
          </w:p>
          <w:p w:rsidR="00996E2F" w:rsidRDefault="002952DD" w:rsidP="00996E2F">
            <w:pPr>
              <w:spacing w:after="0" w:line="240" w:lineRule="auto"/>
              <w:jc w:val="both"/>
              <w:rPr>
                <w:color w:val="000000"/>
                <w:sz w:val="24"/>
                <w:szCs w:val="24"/>
              </w:rPr>
            </w:pPr>
            <w:r w:rsidRPr="00996E2F">
              <w:rPr>
                <w:color w:val="000000"/>
                <w:sz w:val="24"/>
                <w:szCs w:val="24"/>
              </w:rPr>
              <w:t>Les produits suivants ne sont pas couverts par la présente Norme européenne :</w:t>
            </w:r>
          </w:p>
          <w:p w:rsidR="00996E2F" w:rsidRDefault="002952DD" w:rsidP="00996E2F">
            <w:pPr>
              <w:spacing w:after="0" w:line="240" w:lineRule="auto"/>
              <w:jc w:val="both"/>
              <w:rPr>
                <w:color w:val="000000"/>
                <w:sz w:val="24"/>
                <w:szCs w:val="24"/>
              </w:rPr>
            </w:pPr>
            <w:r w:rsidRPr="00996E2F">
              <w:rPr>
                <w:color w:val="000000"/>
                <w:sz w:val="24"/>
                <w:szCs w:val="24"/>
              </w:rPr>
              <w:t>a) produits sous forme de barres ou de tiges individuelles ;</w:t>
            </w:r>
          </w:p>
          <w:p w:rsidR="002952DD" w:rsidRPr="00996E2F" w:rsidRDefault="002952DD" w:rsidP="00996E2F">
            <w:pPr>
              <w:spacing w:after="0" w:line="240" w:lineRule="auto"/>
              <w:jc w:val="both"/>
              <w:rPr>
                <w:rFonts w:ascii="Times New Roman" w:hAnsi="Times New Roman" w:cs="Times New Roman"/>
                <w:color w:val="000000"/>
                <w:sz w:val="24"/>
                <w:szCs w:val="24"/>
              </w:rPr>
            </w:pPr>
            <w:r w:rsidRPr="00996E2F">
              <w:rPr>
                <w:color w:val="000000"/>
                <w:sz w:val="24"/>
                <w:szCs w:val="24"/>
              </w:rPr>
              <w:t>b) produits fabriqués à partir de matériaux autres que les classes spécifiées d'acier inoxydable austénitique, d'acier</w:t>
            </w:r>
            <w:r w:rsidR="00996E2F">
              <w:rPr>
                <w:color w:val="000000"/>
                <w:sz w:val="24"/>
                <w:szCs w:val="24"/>
              </w:rPr>
              <w:t xml:space="preserve"> </w:t>
            </w:r>
            <w:r w:rsidRPr="00996E2F">
              <w:rPr>
                <w:color w:val="000000"/>
                <w:sz w:val="24"/>
                <w:szCs w:val="24"/>
              </w:rPr>
              <w:t>inoxydable austéno-ferritique, de tôle d'acier pré-galvanisé ou de fil d'acier galvanisé, avec ou sans revêtement</w:t>
            </w:r>
            <w:r w:rsidRPr="00996E2F">
              <w:rPr>
                <w:color w:val="000000"/>
                <w:sz w:val="24"/>
                <w:szCs w:val="24"/>
              </w:rPr>
              <w:br/>
              <w:t>organique.</w:t>
            </w:r>
            <w:r w:rsidRPr="00996E2F">
              <w:rPr>
                <w:color w:val="000000"/>
                <w:sz w:val="24"/>
                <w:szCs w:val="24"/>
              </w:rPr>
              <w:br/>
            </w:r>
            <w:r w:rsidRPr="00996E2F">
              <w:rPr>
                <w:b/>
                <w:bCs/>
                <w:i/>
                <w:iCs/>
                <w:color w:val="000000"/>
              </w:rPr>
              <w:t xml:space="preserve">NOTE </w:t>
            </w:r>
            <w:r w:rsidRPr="00996E2F">
              <w:rPr>
                <w:i/>
                <w:iCs/>
                <w:color w:val="000000"/>
              </w:rPr>
              <w:t>Étant donné l'absence d'exigences réglementaires connues pour les produits de cette famille destinés à un usage</w:t>
            </w:r>
            <w:r w:rsidR="00996E2F" w:rsidRPr="00996E2F">
              <w:rPr>
                <w:i/>
                <w:iCs/>
                <w:color w:val="000000"/>
              </w:rPr>
              <w:t xml:space="preserve"> </w:t>
            </w:r>
            <w:r w:rsidRPr="00996E2F">
              <w:rPr>
                <w:i/>
                <w:iCs/>
                <w:color w:val="000000"/>
              </w:rPr>
              <w:t>non structurel, l'Annexe ZA fait uniquement référence aux treillis en fils soudé destinés à un usage structurel tel qu'indiqué</w:t>
            </w:r>
            <w:r w:rsidR="00996E2F" w:rsidRPr="00996E2F">
              <w:rPr>
                <w:i/>
                <w:iCs/>
                <w:color w:val="000000"/>
              </w:rPr>
              <w:t xml:space="preserve"> </w:t>
            </w:r>
            <w:r w:rsidRPr="00996E2F">
              <w:rPr>
                <w:i/>
                <w:iCs/>
                <w:color w:val="000000"/>
              </w:rPr>
              <w:t>en 5.2.1.</w:t>
            </w:r>
          </w:p>
        </w:tc>
      </w:tr>
      <w:tr w:rsidR="00D26BB4" w:rsidRPr="0043547B" w:rsidTr="00BC6F96">
        <w:trPr>
          <w:trHeight w:val="79"/>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D26BB4" w:rsidRPr="00996E2F" w:rsidRDefault="00D26BB4" w:rsidP="00BC6F96">
            <w:pPr>
              <w:spacing w:after="0" w:line="240" w:lineRule="auto"/>
              <w:jc w:val="center"/>
              <w:rPr>
                <w:rFonts w:ascii="Calibri" w:hAnsi="Calibri" w:cs="Calibri"/>
                <w:b/>
                <w:bCs/>
                <w:sz w:val="24"/>
                <w:szCs w:val="24"/>
              </w:rPr>
            </w:pPr>
            <w:r w:rsidRPr="00996E2F">
              <w:rPr>
                <w:rFonts w:ascii="Calibri" w:hAnsi="Calibri" w:cs="Calibri"/>
                <w:b/>
                <w:bCs/>
                <w:sz w:val="24"/>
                <w:szCs w:val="24"/>
              </w:rPr>
              <w:t>Code :</w:t>
            </w:r>
          </w:p>
        </w:tc>
        <w:tc>
          <w:tcPr>
            <w:tcW w:w="7938" w:type="dxa"/>
            <w:tcBorders>
              <w:top w:val="single" w:sz="8" w:space="0" w:color="auto"/>
              <w:left w:val="single" w:sz="4" w:space="0" w:color="auto"/>
              <w:bottom w:val="single" w:sz="18" w:space="0" w:color="auto"/>
              <w:right w:val="single" w:sz="18" w:space="0" w:color="auto"/>
            </w:tcBorders>
            <w:shd w:val="clear" w:color="auto" w:fill="C2D69B" w:themeFill="accent3" w:themeFillTint="99"/>
            <w:vAlign w:val="center"/>
          </w:tcPr>
          <w:p w:rsidR="00D26BB4" w:rsidRPr="00BC6F96" w:rsidRDefault="00D26BB4" w:rsidP="00BC6F96">
            <w:pPr>
              <w:spacing w:after="0" w:line="240" w:lineRule="auto"/>
              <w:jc w:val="center"/>
              <w:rPr>
                <w:rFonts w:ascii="Times New Roman" w:hAnsi="Times New Roman" w:cs="Times New Roman"/>
                <w:b/>
                <w:bCs/>
                <w:color w:val="000000"/>
                <w:sz w:val="24"/>
                <w:szCs w:val="24"/>
              </w:rPr>
            </w:pPr>
            <w:r w:rsidRPr="00BC6F96">
              <w:rPr>
                <w:b/>
                <w:bCs/>
                <w:color w:val="000000"/>
                <w:sz w:val="24"/>
                <w:szCs w:val="24"/>
              </w:rPr>
              <w:t>NM EN 14471</w:t>
            </w:r>
          </w:p>
        </w:tc>
      </w:tr>
      <w:tr w:rsidR="00D26BB4" w:rsidRPr="0043547B" w:rsidTr="00BC6F96">
        <w:trPr>
          <w:trHeight w:val="79"/>
          <w:jc w:val="center"/>
        </w:trPr>
        <w:tc>
          <w:tcPr>
            <w:tcW w:w="1838" w:type="dxa"/>
            <w:tcBorders>
              <w:top w:val="nil"/>
              <w:left w:val="single" w:sz="18" w:space="0" w:color="auto"/>
              <w:bottom w:val="single" w:sz="18" w:space="0" w:color="auto"/>
              <w:right w:val="single" w:sz="4" w:space="0" w:color="auto"/>
            </w:tcBorders>
            <w:shd w:val="clear" w:color="auto" w:fill="FFFF99"/>
            <w:vAlign w:val="center"/>
          </w:tcPr>
          <w:p w:rsidR="00D26BB4" w:rsidRPr="00996E2F" w:rsidRDefault="00D26BB4" w:rsidP="00BC6F96">
            <w:pPr>
              <w:spacing w:after="0" w:line="240" w:lineRule="auto"/>
              <w:jc w:val="center"/>
              <w:rPr>
                <w:rFonts w:ascii="Calibri" w:hAnsi="Calibri" w:cs="Calibri"/>
                <w:b/>
                <w:bCs/>
                <w:sz w:val="24"/>
                <w:szCs w:val="24"/>
              </w:rPr>
            </w:pPr>
            <w:r w:rsidRPr="00996E2F">
              <w:rPr>
                <w:rFonts w:ascii="Calibri" w:hAnsi="Calibri" w:cs="Calibri"/>
                <w:b/>
                <w:bCs/>
                <w:sz w:val="24"/>
                <w:szCs w:val="24"/>
              </w:rPr>
              <w:t>Equivalence :</w:t>
            </w:r>
          </w:p>
        </w:tc>
        <w:tc>
          <w:tcPr>
            <w:tcW w:w="7938" w:type="dxa"/>
            <w:tcBorders>
              <w:top w:val="single" w:sz="8" w:space="0" w:color="auto"/>
              <w:left w:val="single" w:sz="4" w:space="0" w:color="auto"/>
              <w:bottom w:val="single" w:sz="18" w:space="0" w:color="auto"/>
              <w:right w:val="single" w:sz="18" w:space="0" w:color="auto"/>
            </w:tcBorders>
            <w:shd w:val="clear" w:color="auto" w:fill="FFFF99"/>
            <w:vAlign w:val="center"/>
          </w:tcPr>
          <w:p w:rsidR="00D26BB4" w:rsidRPr="00BC6F96" w:rsidRDefault="00D26BB4" w:rsidP="00BC6F96">
            <w:pPr>
              <w:spacing w:after="0" w:line="240" w:lineRule="auto"/>
              <w:jc w:val="center"/>
              <w:rPr>
                <w:rFonts w:ascii="Times New Roman" w:hAnsi="Times New Roman" w:cs="Times New Roman"/>
                <w:b/>
                <w:bCs/>
                <w:color w:val="000000"/>
                <w:sz w:val="24"/>
                <w:szCs w:val="24"/>
              </w:rPr>
            </w:pPr>
            <w:r w:rsidRPr="00BC6F96">
              <w:rPr>
                <w:b/>
                <w:bCs/>
                <w:color w:val="000000"/>
                <w:sz w:val="24"/>
                <w:szCs w:val="24"/>
              </w:rPr>
              <w:t>EN 14471</w:t>
            </w:r>
          </w:p>
        </w:tc>
      </w:tr>
      <w:tr w:rsidR="00D26BB4" w:rsidRPr="0043547B" w:rsidTr="00BC6F96">
        <w:trPr>
          <w:trHeight w:val="79"/>
          <w:jc w:val="center"/>
        </w:trPr>
        <w:tc>
          <w:tcPr>
            <w:tcW w:w="1838" w:type="dxa"/>
            <w:tcBorders>
              <w:top w:val="single" w:sz="18" w:space="0" w:color="auto"/>
              <w:left w:val="single" w:sz="18" w:space="0" w:color="auto"/>
              <w:bottom w:val="single" w:sz="4" w:space="0" w:color="auto"/>
              <w:right w:val="single" w:sz="4" w:space="0" w:color="auto"/>
            </w:tcBorders>
            <w:shd w:val="clear" w:color="auto" w:fill="95B3D7" w:themeFill="accent1" w:themeFillTint="99"/>
            <w:vAlign w:val="center"/>
          </w:tcPr>
          <w:p w:rsidR="00D26BB4" w:rsidRPr="00996E2F" w:rsidRDefault="00D26BB4" w:rsidP="00BC6F96">
            <w:pPr>
              <w:spacing w:after="0" w:line="240" w:lineRule="auto"/>
              <w:jc w:val="center"/>
              <w:rPr>
                <w:rFonts w:ascii="Calibri" w:hAnsi="Calibri" w:cs="Calibri"/>
                <w:b/>
                <w:bCs/>
                <w:sz w:val="24"/>
                <w:szCs w:val="24"/>
              </w:rPr>
            </w:pPr>
            <w:r w:rsidRPr="00996E2F">
              <w:rPr>
                <w:rFonts w:ascii="Calibri" w:hAnsi="Calibri" w:cs="Calibr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bottom"/>
          </w:tcPr>
          <w:p w:rsidR="00D26BB4" w:rsidRPr="00996E2F" w:rsidRDefault="00D26BB4" w:rsidP="00996E2F">
            <w:pPr>
              <w:spacing w:after="0" w:line="240" w:lineRule="auto"/>
              <w:jc w:val="both"/>
              <w:rPr>
                <w:rFonts w:ascii="Times New Roman" w:hAnsi="Times New Roman" w:cs="Times New Roman"/>
                <w:color w:val="000000"/>
                <w:sz w:val="24"/>
                <w:szCs w:val="24"/>
              </w:rPr>
            </w:pPr>
            <w:r w:rsidRPr="00996E2F">
              <w:rPr>
                <w:color w:val="000000"/>
                <w:sz w:val="24"/>
                <w:szCs w:val="24"/>
              </w:rPr>
              <w:t xml:space="preserve">Conduits de fumée - Système de conduits de fumée avec conduits intérieurs en plastique - Prescriptions et méthodes d'essai </w:t>
            </w:r>
          </w:p>
        </w:tc>
      </w:tr>
      <w:tr w:rsidR="00D26BB4" w:rsidRPr="0043547B" w:rsidTr="00BC6F96">
        <w:trPr>
          <w:trHeight w:val="79"/>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D26BB4" w:rsidRPr="00996E2F" w:rsidRDefault="00D26BB4" w:rsidP="00BC6F96">
            <w:pPr>
              <w:jc w:val="center"/>
              <w:rPr>
                <w:rFonts w:ascii="Calibri" w:hAnsi="Calibri" w:cs="Calibri"/>
                <w:b/>
                <w:bCs/>
                <w:sz w:val="24"/>
                <w:szCs w:val="24"/>
              </w:rPr>
            </w:pPr>
            <w:r w:rsidRPr="00996E2F">
              <w:rPr>
                <w:rFonts w:ascii="Calibri" w:hAnsi="Calibri" w:cs="Calibr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bottom"/>
          </w:tcPr>
          <w:p w:rsidR="00996E2F" w:rsidRDefault="00D26BB4" w:rsidP="00BC6F96">
            <w:pPr>
              <w:spacing w:after="0" w:line="240" w:lineRule="auto"/>
              <w:jc w:val="both"/>
              <w:rPr>
                <w:color w:val="000000"/>
                <w:sz w:val="24"/>
                <w:szCs w:val="24"/>
              </w:rPr>
            </w:pPr>
            <w:r w:rsidRPr="00996E2F">
              <w:rPr>
                <w:color w:val="000000"/>
                <w:sz w:val="24"/>
                <w:szCs w:val="24"/>
              </w:rPr>
              <w:t>La présente Norme européenne précise les exigences de performance et les méthodes d’essai relatives</w:t>
            </w:r>
            <w:r w:rsidR="00996E2F">
              <w:rPr>
                <w:color w:val="000000"/>
                <w:sz w:val="24"/>
                <w:szCs w:val="24"/>
              </w:rPr>
              <w:t xml:space="preserve"> </w:t>
            </w:r>
            <w:r w:rsidRPr="00996E2F">
              <w:rPr>
                <w:color w:val="000000"/>
                <w:sz w:val="24"/>
                <w:szCs w:val="24"/>
              </w:rPr>
              <w:t>aux systèmes de conduits de fumée avec conduits intérieurs en plastique utilisés pour évacuer vers</w:t>
            </w:r>
            <w:r w:rsidR="00996E2F">
              <w:rPr>
                <w:color w:val="000000"/>
                <w:sz w:val="24"/>
                <w:szCs w:val="24"/>
              </w:rPr>
              <w:t xml:space="preserve"> </w:t>
            </w:r>
            <w:r w:rsidRPr="00996E2F">
              <w:rPr>
                <w:color w:val="000000"/>
                <w:sz w:val="24"/>
                <w:szCs w:val="24"/>
              </w:rPr>
              <w:t>l’extérieur les produits  de  combustion  depuis  les  générateurs,  dans  des  ambiances  sèches</w:t>
            </w:r>
            <w:r w:rsidR="00BC6F96">
              <w:rPr>
                <w:color w:val="000000"/>
                <w:sz w:val="24"/>
                <w:szCs w:val="24"/>
              </w:rPr>
              <w:t xml:space="preserve"> </w:t>
            </w:r>
            <w:r w:rsidRPr="00996E2F">
              <w:rPr>
                <w:color w:val="000000"/>
                <w:sz w:val="24"/>
                <w:szCs w:val="24"/>
              </w:rPr>
              <w:t xml:space="preserve">et  humides.  </w:t>
            </w:r>
            <w:r w:rsidR="00BC6F96" w:rsidRPr="00996E2F">
              <w:rPr>
                <w:color w:val="000000"/>
                <w:sz w:val="24"/>
                <w:szCs w:val="24"/>
              </w:rPr>
              <w:t>Elle précise</w:t>
            </w:r>
            <w:r w:rsidRPr="00996E2F">
              <w:rPr>
                <w:color w:val="000000"/>
                <w:sz w:val="24"/>
                <w:szCs w:val="24"/>
              </w:rPr>
              <w:t xml:space="preserve"> également les exigences en matière de marquage, d’instructions du</w:t>
            </w:r>
            <w:r w:rsidR="00996E2F">
              <w:rPr>
                <w:color w:val="000000"/>
                <w:sz w:val="24"/>
                <w:szCs w:val="24"/>
              </w:rPr>
              <w:t xml:space="preserve"> </w:t>
            </w:r>
            <w:r w:rsidRPr="00996E2F">
              <w:rPr>
                <w:color w:val="000000"/>
                <w:sz w:val="24"/>
                <w:szCs w:val="24"/>
              </w:rPr>
              <w:t>fabricant et d’évaluation de la conformité.</w:t>
            </w:r>
          </w:p>
          <w:p w:rsidR="00996E2F" w:rsidRDefault="00D26BB4" w:rsidP="00996E2F">
            <w:pPr>
              <w:spacing w:after="0" w:line="240" w:lineRule="auto"/>
              <w:jc w:val="both"/>
              <w:rPr>
                <w:color w:val="000000"/>
                <w:sz w:val="24"/>
                <w:szCs w:val="24"/>
              </w:rPr>
            </w:pPr>
            <w:r w:rsidRPr="00996E2F">
              <w:rPr>
                <w:color w:val="000000"/>
                <w:sz w:val="24"/>
                <w:szCs w:val="24"/>
              </w:rPr>
              <w:t>La présente Norme européenne décrit des éléments de conduits de fumée à partir desquels des</w:t>
            </w:r>
            <w:r w:rsidR="00996E2F">
              <w:rPr>
                <w:color w:val="000000"/>
                <w:sz w:val="24"/>
                <w:szCs w:val="24"/>
              </w:rPr>
              <w:t xml:space="preserve"> </w:t>
            </w:r>
            <w:r w:rsidRPr="00996E2F">
              <w:rPr>
                <w:color w:val="000000"/>
                <w:sz w:val="24"/>
                <w:szCs w:val="24"/>
              </w:rPr>
              <w:t>systèmes de conduits de fumée peuvent être montés.</w:t>
            </w:r>
            <w:r w:rsidRPr="00996E2F">
              <w:rPr>
                <w:color w:val="000000"/>
                <w:sz w:val="24"/>
                <w:szCs w:val="24"/>
              </w:rPr>
              <w:br/>
              <w:t>La présente Norme européenne ne s’applique pas aux conduits de fumée de la classe G de résistance</w:t>
            </w:r>
            <w:r w:rsidR="00996E2F">
              <w:rPr>
                <w:color w:val="000000"/>
                <w:sz w:val="24"/>
                <w:szCs w:val="24"/>
              </w:rPr>
              <w:t xml:space="preserve"> </w:t>
            </w:r>
            <w:r w:rsidRPr="00996E2F">
              <w:rPr>
                <w:color w:val="000000"/>
                <w:sz w:val="24"/>
                <w:szCs w:val="24"/>
              </w:rPr>
              <w:t>au feu de cheminée.</w:t>
            </w:r>
          </w:p>
          <w:p w:rsidR="00996E2F" w:rsidRDefault="00D26BB4" w:rsidP="00996E2F">
            <w:pPr>
              <w:spacing w:after="0" w:line="240" w:lineRule="auto"/>
              <w:jc w:val="both"/>
              <w:rPr>
                <w:color w:val="000000"/>
                <w:sz w:val="24"/>
                <w:szCs w:val="24"/>
              </w:rPr>
            </w:pPr>
            <w:r w:rsidRPr="00996E2F">
              <w:rPr>
                <w:color w:val="000000"/>
                <w:sz w:val="24"/>
                <w:szCs w:val="24"/>
              </w:rPr>
              <w:t>La présente Norme européenne ne s’applique pas aux conduits de fumée de la classification suivante</w:t>
            </w:r>
            <w:r w:rsidR="00996E2F">
              <w:rPr>
                <w:color w:val="000000"/>
                <w:sz w:val="24"/>
                <w:szCs w:val="24"/>
              </w:rPr>
              <w:t xml:space="preserve"> </w:t>
            </w:r>
            <w:r w:rsidRPr="00996E2F">
              <w:rPr>
                <w:color w:val="000000"/>
                <w:sz w:val="24"/>
                <w:szCs w:val="24"/>
              </w:rPr>
              <w:t>:</w:t>
            </w:r>
          </w:p>
          <w:p w:rsidR="00BC6F96" w:rsidRDefault="00996E2F" w:rsidP="00996E2F">
            <w:pPr>
              <w:spacing w:after="0" w:line="240" w:lineRule="auto"/>
              <w:jc w:val="both"/>
              <w:rPr>
                <w:color w:val="000000"/>
                <w:sz w:val="24"/>
                <w:szCs w:val="24"/>
              </w:rPr>
            </w:pPr>
            <w:r>
              <w:rPr>
                <w:color w:val="000000"/>
                <w:sz w:val="24"/>
                <w:szCs w:val="24"/>
              </w:rPr>
              <w:t>-</w:t>
            </w:r>
            <w:r w:rsidR="00D26BB4" w:rsidRPr="00996E2F">
              <w:rPr>
                <w:color w:val="000000"/>
                <w:sz w:val="24"/>
                <w:szCs w:val="24"/>
              </w:rPr>
              <w:t xml:space="preserve">    classe 2 de résistance à la corrosion concernant le bois naturel1) ;</w:t>
            </w:r>
          </w:p>
          <w:p w:rsidR="00BC6F96" w:rsidRDefault="00996E2F" w:rsidP="00996E2F">
            <w:pPr>
              <w:spacing w:after="0" w:line="240" w:lineRule="auto"/>
              <w:jc w:val="both"/>
              <w:rPr>
                <w:color w:val="000000"/>
                <w:sz w:val="24"/>
                <w:szCs w:val="24"/>
              </w:rPr>
            </w:pPr>
            <w:r>
              <w:rPr>
                <w:color w:val="000000"/>
                <w:sz w:val="24"/>
                <w:szCs w:val="24"/>
              </w:rPr>
              <w:t>-</w:t>
            </w:r>
            <w:r w:rsidR="00D26BB4" w:rsidRPr="00996E2F">
              <w:rPr>
                <w:color w:val="000000"/>
                <w:sz w:val="24"/>
                <w:szCs w:val="24"/>
              </w:rPr>
              <w:t xml:space="preserve">    classe 3 de résistance à la corrosion ;</w:t>
            </w:r>
          </w:p>
          <w:p w:rsidR="00BC6F96" w:rsidRDefault="00996E2F" w:rsidP="00996E2F">
            <w:pPr>
              <w:spacing w:after="0" w:line="240" w:lineRule="auto"/>
              <w:jc w:val="both"/>
              <w:rPr>
                <w:color w:val="000000"/>
                <w:sz w:val="24"/>
                <w:szCs w:val="24"/>
              </w:rPr>
            </w:pPr>
            <w:r>
              <w:rPr>
                <w:color w:val="000000"/>
                <w:sz w:val="24"/>
                <w:szCs w:val="24"/>
              </w:rPr>
              <w:t>-</w:t>
            </w:r>
            <w:r w:rsidR="00D26BB4" w:rsidRPr="00996E2F">
              <w:rPr>
                <w:color w:val="000000"/>
                <w:sz w:val="24"/>
                <w:szCs w:val="24"/>
              </w:rPr>
              <w:t xml:space="preserve">    classe de pression N2.</w:t>
            </w:r>
          </w:p>
          <w:p w:rsidR="00BC6F96" w:rsidRDefault="00D26BB4" w:rsidP="00BC6F96">
            <w:pPr>
              <w:spacing w:after="0" w:line="240" w:lineRule="auto"/>
              <w:jc w:val="both"/>
              <w:rPr>
                <w:color w:val="000000"/>
                <w:sz w:val="24"/>
                <w:szCs w:val="24"/>
              </w:rPr>
            </w:pPr>
            <w:r w:rsidRPr="00996E2F">
              <w:rPr>
                <w:color w:val="000000"/>
                <w:sz w:val="24"/>
                <w:szCs w:val="24"/>
              </w:rPr>
              <w:t>La  présente  Norme  européenne  s’applique  aux  conduits  de  fumée  conçus  de  façon  à  ce</w:t>
            </w:r>
            <w:r w:rsidR="00BC6F96">
              <w:rPr>
                <w:color w:val="000000"/>
                <w:sz w:val="24"/>
                <w:szCs w:val="24"/>
              </w:rPr>
              <w:t xml:space="preserve"> </w:t>
            </w:r>
            <w:r w:rsidRPr="00996E2F">
              <w:rPr>
                <w:color w:val="000000"/>
                <w:sz w:val="24"/>
                <w:szCs w:val="24"/>
              </w:rPr>
              <w:t>qu’aucune accumulation  de  condensat  ne  puisse  se  produire,  par  exemple  avec  une</w:t>
            </w:r>
            <w:r w:rsidR="00BC6F96">
              <w:rPr>
                <w:color w:val="000000"/>
                <w:sz w:val="24"/>
                <w:szCs w:val="24"/>
              </w:rPr>
              <w:t xml:space="preserve"> </w:t>
            </w:r>
            <w:r w:rsidRPr="00996E2F">
              <w:rPr>
                <w:color w:val="000000"/>
                <w:sz w:val="24"/>
                <w:szCs w:val="24"/>
              </w:rPr>
              <w:t>inclinaison  minimum  de  3°  par rapport à l’horizontale.</w:t>
            </w:r>
            <w:r w:rsidRPr="00996E2F">
              <w:rPr>
                <w:color w:val="000000"/>
                <w:sz w:val="24"/>
                <w:szCs w:val="24"/>
              </w:rPr>
              <w:br/>
              <w:t>La présente norme européenne ne s’applique pas :</w:t>
            </w:r>
          </w:p>
          <w:p w:rsidR="00BC6F96" w:rsidRDefault="00BC6F96" w:rsidP="00BC6F96">
            <w:pPr>
              <w:tabs>
                <w:tab w:val="left" w:pos="214"/>
              </w:tabs>
              <w:spacing w:after="0" w:line="240" w:lineRule="auto"/>
              <w:jc w:val="both"/>
              <w:rPr>
                <w:color w:val="000000"/>
                <w:sz w:val="24"/>
                <w:szCs w:val="24"/>
              </w:rPr>
            </w:pPr>
            <w:r>
              <w:rPr>
                <w:color w:val="000000"/>
                <w:sz w:val="24"/>
                <w:szCs w:val="24"/>
              </w:rPr>
              <w:t>-</w:t>
            </w:r>
            <w:r w:rsidR="00D26BB4" w:rsidRPr="00996E2F">
              <w:rPr>
                <w:color w:val="000000"/>
                <w:sz w:val="24"/>
                <w:szCs w:val="24"/>
              </w:rPr>
              <w:t xml:space="preserve">    aux systèmes de conduits de fumée avec conduits intérieurs revêtus de plastique ;</w:t>
            </w:r>
          </w:p>
          <w:p w:rsidR="00BC6F96" w:rsidRDefault="00BC6F96" w:rsidP="00BC6F96">
            <w:pPr>
              <w:tabs>
                <w:tab w:val="left" w:pos="214"/>
              </w:tabs>
              <w:spacing w:after="0" w:line="240" w:lineRule="auto"/>
              <w:jc w:val="both"/>
              <w:rPr>
                <w:color w:val="000000"/>
                <w:sz w:val="24"/>
                <w:szCs w:val="24"/>
              </w:rPr>
            </w:pPr>
            <w:r>
              <w:rPr>
                <w:color w:val="000000"/>
                <w:sz w:val="24"/>
                <w:szCs w:val="24"/>
              </w:rPr>
              <w:t>-</w:t>
            </w:r>
            <w:r w:rsidR="00D26BB4" w:rsidRPr="00996E2F">
              <w:rPr>
                <w:color w:val="000000"/>
                <w:sz w:val="24"/>
                <w:szCs w:val="24"/>
              </w:rPr>
              <w:t xml:space="preserve">    aux conduits de fumée structurellement indépendants (autoporteurs ou autonomes).</w:t>
            </w:r>
            <w:r w:rsidR="00D26BB4" w:rsidRPr="00996E2F">
              <w:rPr>
                <w:color w:val="000000"/>
                <w:sz w:val="24"/>
                <w:szCs w:val="24"/>
              </w:rPr>
              <w:br/>
              <w:t xml:space="preserve">Les  conduits  de  fumée  comprenant  des  éléments  qui  nécessitent  un  </w:t>
            </w:r>
            <w:r w:rsidR="00D26BB4" w:rsidRPr="00996E2F">
              <w:rPr>
                <w:color w:val="000000"/>
                <w:sz w:val="24"/>
                <w:szCs w:val="24"/>
              </w:rPr>
              <w:lastRenderedPageBreak/>
              <w:t>traitement  supplémentaire  lors  de l’installation pour obtenir les propriétés finales des matériaux ne sont</w:t>
            </w:r>
            <w:r>
              <w:rPr>
                <w:color w:val="000000"/>
                <w:sz w:val="24"/>
                <w:szCs w:val="24"/>
              </w:rPr>
              <w:t xml:space="preserve"> </w:t>
            </w:r>
            <w:r w:rsidR="00D26BB4" w:rsidRPr="00996E2F">
              <w:rPr>
                <w:color w:val="000000"/>
                <w:sz w:val="24"/>
                <w:szCs w:val="24"/>
              </w:rPr>
              <w:t>pas des conduits-systèmes et ne sont donc pas couverts par la présente norme.</w:t>
            </w:r>
          </w:p>
          <w:p w:rsidR="00BC6F96" w:rsidRDefault="00D26BB4" w:rsidP="00BC6F96">
            <w:pPr>
              <w:tabs>
                <w:tab w:val="left" w:pos="214"/>
              </w:tabs>
              <w:spacing w:after="0" w:line="240" w:lineRule="auto"/>
              <w:jc w:val="both"/>
              <w:rPr>
                <w:color w:val="000000"/>
                <w:sz w:val="24"/>
                <w:szCs w:val="24"/>
              </w:rPr>
            </w:pPr>
            <w:r w:rsidRPr="00996E2F">
              <w:rPr>
                <w:color w:val="000000"/>
                <w:sz w:val="24"/>
                <w:szCs w:val="24"/>
              </w:rPr>
              <w:t>La présente Norme européenne ne couvre pas les exigences relatives aux terminaux horizontaux (tels</w:t>
            </w:r>
            <w:r w:rsidR="00BC6F96">
              <w:rPr>
                <w:color w:val="000000"/>
                <w:sz w:val="24"/>
                <w:szCs w:val="24"/>
              </w:rPr>
              <w:t xml:space="preserve"> </w:t>
            </w:r>
            <w:r w:rsidRPr="00996E2F">
              <w:rPr>
                <w:color w:val="000000"/>
                <w:sz w:val="24"/>
                <w:szCs w:val="24"/>
              </w:rPr>
              <w:t>que définis  pour  les  types  d’installations C1  dans  le  CEN/TR 1749)  en  ce  qui  concerne</w:t>
            </w:r>
            <w:r w:rsidR="00BC6F96">
              <w:rPr>
                <w:color w:val="000000"/>
                <w:sz w:val="24"/>
                <w:szCs w:val="24"/>
              </w:rPr>
              <w:t xml:space="preserve"> </w:t>
            </w:r>
            <w:r w:rsidRPr="00996E2F">
              <w:rPr>
                <w:color w:val="000000"/>
                <w:sz w:val="24"/>
                <w:szCs w:val="24"/>
              </w:rPr>
              <w:t>le  comportement</w:t>
            </w:r>
            <w:r w:rsidR="00BC6F96">
              <w:rPr>
                <w:color w:val="000000"/>
                <w:sz w:val="24"/>
                <w:szCs w:val="24"/>
              </w:rPr>
              <w:t xml:space="preserve"> </w:t>
            </w:r>
            <w:r w:rsidRPr="00996E2F">
              <w:rPr>
                <w:color w:val="000000"/>
                <w:sz w:val="24"/>
                <w:szCs w:val="24"/>
              </w:rPr>
              <w:t>tration d’eau de pluie et le comportement au givrage.</w:t>
            </w:r>
          </w:p>
          <w:p w:rsidR="00BC6F96" w:rsidRDefault="00D26BB4" w:rsidP="00BC6F96">
            <w:pPr>
              <w:tabs>
                <w:tab w:val="left" w:pos="214"/>
              </w:tabs>
              <w:spacing w:after="0" w:line="240" w:lineRule="auto"/>
              <w:jc w:val="both"/>
              <w:rPr>
                <w:color w:val="000000"/>
                <w:sz w:val="24"/>
                <w:szCs w:val="24"/>
              </w:rPr>
            </w:pPr>
            <w:r w:rsidRPr="00996E2F">
              <w:rPr>
                <w:color w:val="000000"/>
                <w:sz w:val="24"/>
                <w:szCs w:val="24"/>
              </w:rPr>
              <w:t>La présente Norme européenne précise les exigences de performance et les méthodes d’essai relatives</w:t>
            </w:r>
            <w:r w:rsidR="00BC6F96">
              <w:rPr>
                <w:color w:val="000000"/>
                <w:sz w:val="24"/>
                <w:szCs w:val="24"/>
              </w:rPr>
              <w:t xml:space="preserve"> </w:t>
            </w:r>
            <w:r w:rsidRPr="00996E2F">
              <w:rPr>
                <w:color w:val="000000"/>
                <w:sz w:val="24"/>
                <w:szCs w:val="24"/>
              </w:rPr>
              <w:t>aux systèmes de conduits de fumée avec conduits intérieurs en plastique utilisés pour évacuer vers</w:t>
            </w:r>
            <w:r w:rsidR="00BC6F96">
              <w:rPr>
                <w:color w:val="000000"/>
                <w:sz w:val="24"/>
                <w:szCs w:val="24"/>
              </w:rPr>
              <w:t xml:space="preserve"> </w:t>
            </w:r>
            <w:r w:rsidRPr="00996E2F">
              <w:rPr>
                <w:color w:val="000000"/>
                <w:sz w:val="24"/>
                <w:szCs w:val="24"/>
              </w:rPr>
              <w:t>l’extérieur les produits  de  combustion  depuis  les  générateurs,  dans  des  ambiances  sèches</w:t>
            </w:r>
            <w:r w:rsidR="00BC6F96">
              <w:rPr>
                <w:color w:val="000000"/>
                <w:sz w:val="24"/>
                <w:szCs w:val="24"/>
              </w:rPr>
              <w:t xml:space="preserve"> </w:t>
            </w:r>
            <w:r w:rsidRPr="00996E2F">
              <w:rPr>
                <w:color w:val="000000"/>
                <w:sz w:val="24"/>
                <w:szCs w:val="24"/>
              </w:rPr>
              <w:t xml:space="preserve">et  humides.  </w:t>
            </w:r>
            <w:r w:rsidR="00BC6F96" w:rsidRPr="00996E2F">
              <w:rPr>
                <w:color w:val="000000"/>
                <w:sz w:val="24"/>
                <w:szCs w:val="24"/>
              </w:rPr>
              <w:t>Elle précise</w:t>
            </w:r>
            <w:r w:rsidRPr="00996E2F">
              <w:rPr>
                <w:color w:val="000000"/>
                <w:sz w:val="24"/>
                <w:szCs w:val="24"/>
              </w:rPr>
              <w:t xml:space="preserve"> également les exigences en matière de marquage, d’instructions du </w:t>
            </w:r>
            <w:r w:rsidRPr="00996E2F">
              <w:rPr>
                <w:color w:val="000000"/>
                <w:sz w:val="24"/>
                <w:szCs w:val="24"/>
              </w:rPr>
              <w:br/>
              <w:t>fabricant et d’évaluation de la conformité.</w:t>
            </w:r>
          </w:p>
          <w:p w:rsidR="00BC6F96" w:rsidRDefault="00D26BB4" w:rsidP="00BC6F96">
            <w:pPr>
              <w:tabs>
                <w:tab w:val="left" w:pos="214"/>
              </w:tabs>
              <w:spacing w:after="0" w:line="240" w:lineRule="auto"/>
              <w:jc w:val="both"/>
              <w:rPr>
                <w:color w:val="000000"/>
                <w:sz w:val="24"/>
                <w:szCs w:val="24"/>
              </w:rPr>
            </w:pPr>
            <w:r w:rsidRPr="00996E2F">
              <w:rPr>
                <w:color w:val="000000"/>
                <w:sz w:val="24"/>
                <w:szCs w:val="24"/>
              </w:rPr>
              <w:t>La présente Norme européenne décrit des éléments de conduits de fumée à partir desquels des</w:t>
            </w:r>
            <w:r w:rsidR="00BC6F96">
              <w:rPr>
                <w:color w:val="000000"/>
                <w:sz w:val="24"/>
                <w:szCs w:val="24"/>
              </w:rPr>
              <w:t xml:space="preserve"> </w:t>
            </w:r>
            <w:r w:rsidRPr="00996E2F">
              <w:rPr>
                <w:color w:val="000000"/>
                <w:sz w:val="24"/>
                <w:szCs w:val="24"/>
              </w:rPr>
              <w:t>systèmes de conduits de fumée peuvent être montés.</w:t>
            </w:r>
          </w:p>
          <w:p w:rsidR="00BC6F96" w:rsidRDefault="00D26BB4" w:rsidP="00BC6F96">
            <w:pPr>
              <w:tabs>
                <w:tab w:val="left" w:pos="214"/>
              </w:tabs>
              <w:spacing w:after="0" w:line="240" w:lineRule="auto"/>
              <w:jc w:val="both"/>
              <w:rPr>
                <w:color w:val="000000"/>
                <w:sz w:val="24"/>
                <w:szCs w:val="24"/>
              </w:rPr>
            </w:pPr>
            <w:r w:rsidRPr="00996E2F">
              <w:rPr>
                <w:color w:val="000000"/>
                <w:sz w:val="24"/>
                <w:szCs w:val="24"/>
              </w:rPr>
              <w:t>La présente Norme européenne ne s’applique pas aux conduits de fumée de la classe G de résistance</w:t>
            </w:r>
            <w:r w:rsidR="00BC6F96">
              <w:rPr>
                <w:color w:val="000000"/>
                <w:sz w:val="24"/>
                <w:szCs w:val="24"/>
              </w:rPr>
              <w:t xml:space="preserve"> </w:t>
            </w:r>
            <w:r w:rsidRPr="00996E2F">
              <w:rPr>
                <w:color w:val="000000"/>
                <w:sz w:val="24"/>
                <w:szCs w:val="24"/>
              </w:rPr>
              <w:t>au feu de cheminée.</w:t>
            </w:r>
          </w:p>
          <w:p w:rsidR="00BC6F96" w:rsidRDefault="00D26BB4" w:rsidP="00BC6F96">
            <w:pPr>
              <w:tabs>
                <w:tab w:val="left" w:pos="214"/>
              </w:tabs>
              <w:spacing w:after="0" w:line="240" w:lineRule="auto"/>
              <w:jc w:val="both"/>
              <w:rPr>
                <w:color w:val="000000"/>
                <w:sz w:val="24"/>
                <w:szCs w:val="24"/>
              </w:rPr>
            </w:pPr>
            <w:r w:rsidRPr="00996E2F">
              <w:rPr>
                <w:color w:val="000000"/>
                <w:sz w:val="24"/>
                <w:szCs w:val="24"/>
              </w:rPr>
              <w:t>La présente Norme européenne ne s’applique pas aux conduits de fumée de la classification suivante</w:t>
            </w:r>
            <w:r w:rsidR="00BC6F96">
              <w:rPr>
                <w:color w:val="000000"/>
                <w:sz w:val="24"/>
                <w:szCs w:val="24"/>
              </w:rPr>
              <w:t xml:space="preserve"> </w:t>
            </w:r>
            <w:r w:rsidRPr="00996E2F">
              <w:rPr>
                <w:color w:val="000000"/>
                <w:sz w:val="24"/>
                <w:szCs w:val="24"/>
              </w:rPr>
              <w:t>:</w:t>
            </w:r>
          </w:p>
          <w:p w:rsidR="00BC6F96" w:rsidRDefault="00BC6F96" w:rsidP="00BC6F96">
            <w:pPr>
              <w:tabs>
                <w:tab w:val="left" w:pos="214"/>
              </w:tabs>
              <w:spacing w:after="0" w:line="240" w:lineRule="auto"/>
              <w:jc w:val="both"/>
              <w:rPr>
                <w:color w:val="000000"/>
                <w:sz w:val="24"/>
                <w:szCs w:val="24"/>
              </w:rPr>
            </w:pPr>
            <w:r>
              <w:rPr>
                <w:color w:val="000000"/>
                <w:sz w:val="24"/>
                <w:szCs w:val="24"/>
              </w:rPr>
              <w:t>-</w:t>
            </w:r>
            <w:r w:rsidR="00D26BB4" w:rsidRPr="00996E2F">
              <w:rPr>
                <w:color w:val="000000"/>
                <w:sz w:val="24"/>
                <w:szCs w:val="24"/>
              </w:rPr>
              <w:t xml:space="preserve">    classe 2 de résistance à la corrosion concernant le bois naturel1) ;</w:t>
            </w:r>
          </w:p>
          <w:p w:rsidR="00BC6F96" w:rsidRDefault="00BC6F96" w:rsidP="00BC6F96">
            <w:pPr>
              <w:tabs>
                <w:tab w:val="left" w:pos="214"/>
              </w:tabs>
              <w:spacing w:after="0" w:line="240" w:lineRule="auto"/>
              <w:jc w:val="both"/>
              <w:rPr>
                <w:color w:val="000000"/>
                <w:sz w:val="24"/>
                <w:szCs w:val="24"/>
              </w:rPr>
            </w:pPr>
            <w:r>
              <w:rPr>
                <w:color w:val="000000"/>
                <w:sz w:val="24"/>
                <w:szCs w:val="24"/>
              </w:rPr>
              <w:t>-</w:t>
            </w:r>
            <w:r w:rsidR="00D26BB4" w:rsidRPr="00996E2F">
              <w:rPr>
                <w:color w:val="000000"/>
                <w:sz w:val="24"/>
                <w:szCs w:val="24"/>
              </w:rPr>
              <w:t xml:space="preserve">    classe 3 de résistance à la corrosion ;</w:t>
            </w:r>
          </w:p>
          <w:p w:rsidR="00BC6F96" w:rsidRDefault="00BC6F96" w:rsidP="00BC6F96">
            <w:pPr>
              <w:tabs>
                <w:tab w:val="left" w:pos="214"/>
              </w:tabs>
              <w:spacing w:after="0" w:line="240" w:lineRule="auto"/>
              <w:jc w:val="both"/>
              <w:rPr>
                <w:color w:val="000000"/>
                <w:sz w:val="24"/>
                <w:szCs w:val="24"/>
              </w:rPr>
            </w:pPr>
            <w:r>
              <w:rPr>
                <w:color w:val="000000"/>
                <w:sz w:val="24"/>
                <w:szCs w:val="24"/>
              </w:rPr>
              <w:t>-</w:t>
            </w:r>
            <w:r w:rsidR="00D26BB4" w:rsidRPr="00996E2F">
              <w:rPr>
                <w:color w:val="000000"/>
                <w:sz w:val="24"/>
                <w:szCs w:val="24"/>
              </w:rPr>
              <w:t xml:space="preserve">    classe de pression N2.</w:t>
            </w:r>
          </w:p>
          <w:p w:rsidR="00BC6F96" w:rsidRDefault="00D26BB4" w:rsidP="00BC6F96">
            <w:pPr>
              <w:tabs>
                <w:tab w:val="left" w:pos="214"/>
              </w:tabs>
              <w:spacing w:after="0" w:line="240" w:lineRule="auto"/>
              <w:jc w:val="both"/>
              <w:rPr>
                <w:color w:val="000000"/>
                <w:sz w:val="24"/>
                <w:szCs w:val="24"/>
              </w:rPr>
            </w:pPr>
            <w:r w:rsidRPr="00996E2F">
              <w:rPr>
                <w:color w:val="000000"/>
                <w:sz w:val="24"/>
                <w:szCs w:val="24"/>
              </w:rPr>
              <w:t>La  présente  Norme  européenne  s’applique  aux  conduits  de  fumée  conçus  de  façon  à  ce</w:t>
            </w:r>
            <w:r w:rsidR="00BC6F96">
              <w:rPr>
                <w:color w:val="000000"/>
                <w:sz w:val="24"/>
                <w:szCs w:val="24"/>
              </w:rPr>
              <w:t xml:space="preserve"> </w:t>
            </w:r>
            <w:r w:rsidRPr="00996E2F">
              <w:rPr>
                <w:color w:val="000000"/>
                <w:sz w:val="24"/>
                <w:szCs w:val="24"/>
              </w:rPr>
              <w:t>qu’aucune accumulation  de  condensat  ne  puisse  se  produire,  par  exemple  avec  une</w:t>
            </w:r>
            <w:r w:rsidR="00BC6F96">
              <w:rPr>
                <w:color w:val="000000"/>
                <w:sz w:val="24"/>
                <w:szCs w:val="24"/>
              </w:rPr>
              <w:t xml:space="preserve"> </w:t>
            </w:r>
            <w:r w:rsidRPr="00996E2F">
              <w:rPr>
                <w:color w:val="000000"/>
                <w:sz w:val="24"/>
                <w:szCs w:val="24"/>
              </w:rPr>
              <w:t>inclinaison  minimum  de  3°  par rapport à l’horizontale.</w:t>
            </w:r>
            <w:r w:rsidRPr="00996E2F">
              <w:rPr>
                <w:color w:val="000000"/>
                <w:sz w:val="24"/>
                <w:szCs w:val="24"/>
              </w:rPr>
              <w:br/>
              <w:t>La présente norme européenne ne s’applique pas :</w:t>
            </w:r>
          </w:p>
          <w:p w:rsidR="00BC6F96" w:rsidRDefault="00BC6F96" w:rsidP="00BC6F96">
            <w:pPr>
              <w:tabs>
                <w:tab w:val="left" w:pos="214"/>
              </w:tabs>
              <w:spacing w:after="0" w:line="240" w:lineRule="auto"/>
              <w:jc w:val="both"/>
              <w:rPr>
                <w:color w:val="000000"/>
                <w:sz w:val="24"/>
                <w:szCs w:val="24"/>
              </w:rPr>
            </w:pPr>
            <w:r>
              <w:rPr>
                <w:color w:val="000000"/>
                <w:sz w:val="24"/>
                <w:szCs w:val="24"/>
              </w:rPr>
              <w:t>-</w:t>
            </w:r>
            <w:r w:rsidR="00D26BB4" w:rsidRPr="00996E2F">
              <w:rPr>
                <w:color w:val="000000"/>
                <w:sz w:val="24"/>
                <w:szCs w:val="24"/>
              </w:rPr>
              <w:t xml:space="preserve">    aux systèmes de conduits de fumée avec conduits intérieurs revêtus de plastique ;</w:t>
            </w:r>
          </w:p>
          <w:p w:rsidR="00BC6F96" w:rsidRDefault="00BC6F96" w:rsidP="00BC6F96">
            <w:pPr>
              <w:tabs>
                <w:tab w:val="left" w:pos="214"/>
              </w:tabs>
              <w:spacing w:after="0" w:line="240" w:lineRule="auto"/>
              <w:jc w:val="both"/>
              <w:rPr>
                <w:color w:val="000000"/>
                <w:sz w:val="24"/>
                <w:szCs w:val="24"/>
              </w:rPr>
            </w:pPr>
            <w:r>
              <w:rPr>
                <w:color w:val="000000"/>
                <w:sz w:val="24"/>
                <w:szCs w:val="24"/>
              </w:rPr>
              <w:t>-</w:t>
            </w:r>
            <w:r w:rsidR="00D26BB4" w:rsidRPr="00996E2F">
              <w:rPr>
                <w:color w:val="000000"/>
                <w:sz w:val="24"/>
                <w:szCs w:val="24"/>
              </w:rPr>
              <w:t xml:space="preserve">    aux conduits de fumée structurellement indépendants (autoporteurs ou autonomes).</w:t>
            </w:r>
            <w:r w:rsidR="00D26BB4" w:rsidRPr="00996E2F">
              <w:rPr>
                <w:color w:val="000000"/>
                <w:sz w:val="24"/>
                <w:szCs w:val="24"/>
              </w:rPr>
              <w:br/>
              <w:t>Les  conduits  de  fumée  comprenant  des  éléments  qui  nécessitent  un  traitement  supplémentaire  lors  de l’installation pour obtenir les propriétés finales des matériaux ne sont</w:t>
            </w:r>
            <w:r>
              <w:rPr>
                <w:color w:val="000000"/>
                <w:sz w:val="24"/>
                <w:szCs w:val="24"/>
              </w:rPr>
              <w:t xml:space="preserve"> </w:t>
            </w:r>
            <w:r w:rsidR="00D26BB4" w:rsidRPr="00996E2F">
              <w:rPr>
                <w:color w:val="000000"/>
                <w:sz w:val="24"/>
                <w:szCs w:val="24"/>
              </w:rPr>
              <w:t>pas des conduits-systèmes et ne sont donc pas couverts par la présente norme.</w:t>
            </w:r>
          </w:p>
          <w:p w:rsidR="00D26BB4" w:rsidRPr="00996E2F" w:rsidRDefault="00D26BB4" w:rsidP="00BC6F96">
            <w:pPr>
              <w:tabs>
                <w:tab w:val="left" w:pos="214"/>
              </w:tabs>
              <w:spacing w:after="0" w:line="240" w:lineRule="auto"/>
              <w:jc w:val="both"/>
              <w:rPr>
                <w:rFonts w:ascii="Times New Roman" w:hAnsi="Times New Roman" w:cs="Times New Roman"/>
                <w:color w:val="000000"/>
                <w:sz w:val="24"/>
                <w:szCs w:val="24"/>
              </w:rPr>
            </w:pPr>
            <w:r w:rsidRPr="00996E2F">
              <w:rPr>
                <w:color w:val="000000"/>
                <w:sz w:val="24"/>
                <w:szCs w:val="24"/>
              </w:rPr>
              <w:t>La présente Norme européenne ne couvre pas les exigences relatives aux terminaux horizontaux (tels</w:t>
            </w:r>
            <w:r w:rsidR="00BC6F96">
              <w:rPr>
                <w:color w:val="000000"/>
                <w:sz w:val="24"/>
                <w:szCs w:val="24"/>
              </w:rPr>
              <w:t xml:space="preserve"> </w:t>
            </w:r>
            <w:r w:rsidRPr="00996E2F">
              <w:rPr>
                <w:color w:val="000000"/>
                <w:sz w:val="24"/>
                <w:szCs w:val="24"/>
              </w:rPr>
              <w:t>que définis  pour  les  types  d’installations C1  dans  le  CEN/TR 1749)  en  ce  qui  concerne</w:t>
            </w:r>
            <w:r w:rsidR="00BC6F96">
              <w:rPr>
                <w:color w:val="000000"/>
                <w:sz w:val="24"/>
                <w:szCs w:val="24"/>
              </w:rPr>
              <w:t xml:space="preserve"> </w:t>
            </w:r>
            <w:r w:rsidRPr="00996E2F">
              <w:rPr>
                <w:color w:val="000000"/>
                <w:sz w:val="24"/>
                <w:szCs w:val="24"/>
              </w:rPr>
              <w:t>le  comportement</w:t>
            </w:r>
            <w:r w:rsidR="00BC6F96">
              <w:rPr>
                <w:color w:val="000000"/>
                <w:sz w:val="24"/>
                <w:szCs w:val="24"/>
              </w:rPr>
              <w:t xml:space="preserve"> </w:t>
            </w:r>
            <w:r w:rsidRPr="00996E2F">
              <w:rPr>
                <w:color w:val="000000"/>
                <w:sz w:val="24"/>
                <w:szCs w:val="24"/>
              </w:rPr>
              <w:t>tration d’eau de pluie et le comportement au givrage.</w:t>
            </w:r>
          </w:p>
        </w:tc>
      </w:tr>
      <w:tr w:rsidR="00D26BB4" w:rsidRPr="0043547B" w:rsidTr="0024414F">
        <w:trPr>
          <w:trHeight w:val="458"/>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D26BB4" w:rsidRPr="00BC6F96" w:rsidRDefault="00D26BB4" w:rsidP="0024414F">
            <w:pPr>
              <w:spacing w:after="0" w:line="240" w:lineRule="auto"/>
              <w:jc w:val="center"/>
              <w:rPr>
                <w:rFonts w:ascii="Calibri" w:hAnsi="Calibri" w:cs="Calibri"/>
                <w:b/>
                <w:bCs/>
                <w:sz w:val="24"/>
                <w:szCs w:val="24"/>
              </w:rPr>
            </w:pPr>
            <w:r w:rsidRPr="00BC6F96">
              <w:rPr>
                <w:rFonts w:ascii="Calibri" w:hAnsi="Calibri" w:cs="Calibri"/>
                <w:b/>
                <w:bCs/>
                <w:sz w:val="24"/>
                <w:szCs w:val="24"/>
              </w:rPr>
              <w:lastRenderedPageBreak/>
              <w:t>Code</w:t>
            </w:r>
            <w:r w:rsidR="00BC6F96" w:rsidRPr="00BC6F96">
              <w:rPr>
                <w:rFonts w:ascii="Calibri" w:hAnsi="Calibri" w:cs="Calibri"/>
                <w:b/>
                <w:bCs/>
                <w:sz w:val="24"/>
                <w:szCs w:val="24"/>
              </w:rPr>
              <w:t> :</w:t>
            </w:r>
          </w:p>
        </w:tc>
        <w:tc>
          <w:tcPr>
            <w:tcW w:w="7938" w:type="dxa"/>
            <w:tcBorders>
              <w:top w:val="single" w:sz="8" w:space="0" w:color="auto"/>
              <w:left w:val="single" w:sz="4" w:space="0" w:color="auto"/>
              <w:bottom w:val="single" w:sz="18" w:space="0" w:color="auto"/>
              <w:right w:val="single" w:sz="18" w:space="0" w:color="auto"/>
            </w:tcBorders>
            <w:shd w:val="clear" w:color="auto" w:fill="C2D69B" w:themeFill="accent3" w:themeFillTint="99"/>
            <w:vAlign w:val="center"/>
          </w:tcPr>
          <w:p w:rsidR="00D26BB4" w:rsidRPr="0024414F" w:rsidRDefault="00D26BB4" w:rsidP="0024414F">
            <w:pPr>
              <w:spacing w:after="0" w:line="240" w:lineRule="auto"/>
              <w:jc w:val="center"/>
              <w:rPr>
                <w:rFonts w:ascii="Times New Roman" w:hAnsi="Times New Roman" w:cs="Times New Roman"/>
                <w:b/>
                <w:bCs/>
                <w:color w:val="000000"/>
                <w:sz w:val="24"/>
                <w:szCs w:val="24"/>
              </w:rPr>
            </w:pPr>
            <w:r w:rsidRPr="0024414F">
              <w:rPr>
                <w:b/>
                <w:bCs/>
                <w:color w:val="000000"/>
                <w:sz w:val="24"/>
                <w:szCs w:val="24"/>
              </w:rPr>
              <w:t>NM EN 15102</w:t>
            </w:r>
          </w:p>
        </w:tc>
      </w:tr>
      <w:tr w:rsidR="00D26BB4" w:rsidRPr="0043547B" w:rsidTr="0024414F">
        <w:trPr>
          <w:trHeight w:val="406"/>
          <w:jc w:val="center"/>
        </w:trPr>
        <w:tc>
          <w:tcPr>
            <w:tcW w:w="1838" w:type="dxa"/>
            <w:tcBorders>
              <w:top w:val="nil"/>
              <w:left w:val="single" w:sz="18" w:space="0" w:color="auto"/>
              <w:bottom w:val="single" w:sz="18" w:space="0" w:color="auto"/>
              <w:right w:val="single" w:sz="4" w:space="0" w:color="auto"/>
            </w:tcBorders>
            <w:shd w:val="clear" w:color="auto" w:fill="FFFF99"/>
            <w:vAlign w:val="center"/>
          </w:tcPr>
          <w:p w:rsidR="00D26BB4" w:rsidRPr="00BC6F96" w:rsidRDefault="00D26BB4" w:rsidP="0024414F">
            <w:pPr>
              <w:spacing w:after="0" w:line="240" w:lineRule="auto"/>
              <w:jc w:val="center"/>
              <w:rPr>
                <w:rFonts w:ascii="Calibri" w:hAnsi="Calibri" w:cs="Calibri"/>
                <w:b/>
                <w:bCs/>
                <w:sz w:val="24"/>
                <w:szCs w:val="24"/>
              </w:rPr>
            </w:pPr>
            <w:r w:rsidRPr="00BC6F96">
              <w:rPr>
                <w:rFonts w:ascii="Calibri" w:hAnsi="Calibri" w:cs="Calibri"/>
                <w:b/>
                <w:bCs/>
                <w:sz w:val="24"/>
                <w:szCs w:val="24"/>
              </w:rPr>
              <w:t>Equivalence :</w:t>
            </w:r>
          </w:p>
        </w:tc>
        <w:tc>
          <w:tcPr>
            <w:tcW w:w="7938" w:type="dxa"/>
            <w:tcBorders>
              <w:top w:val="single" w:sz="8" w:space="0" w:color="auto"/>
              <w:left w:val="single" w:sz="4" w:space="0" w:color="auto"/>
              <w:bottom w:val="single" w:sz="18" w:space="0" w:color="auto"/>
              <w:right w:val="single" w:sz="18" w:space="0" w:color="auto"/>
            </w:tcBorders>
            <w:shd w:val="clear" w:color="auto" w:fill="FFFF99"/>
            <w:vAlign w:val="center"/>
          </w:tcPr>
          <w:p w:rsidR="00D26BB4" w:rsidRPr="0024414F" w:rsidRDefault="00D26BB4" w:rsidP="0024414F">
            <w:pPr>
              <w:spacing w:after="0" w:line="240" w:lineRule="auto"/>
              <w:jc w:val="center"/>
              <w:rPr>
                <w:rFonts w:ascii="Times New Roman" w:hAnsi="Times New Roman" w:cs="Times New Roman"/>
                <w:b/>
                <w:bCs/>
                <w:color w:val="000000"/>
                <w:sz w:val="24"/>
                <w:szCs w:val="24"/>
              </w:rPr>
            </w:pPr>
            <w:r w:rsidRPr="0024414F">
              <w:rPr>
                <w:b/>
                <w:bCs/>
                <w:color w:val="000000"/>
                <w:sz w:val="24"/>
                <w:szCs w:val="24"/>
              </w:rPr>
              <w:t>EN 15102</w:t>
            </w:r>
          </w:p>
        </w:tc>
      </w:tr>
      <w:tr w:rsidR="00D26BB4" w:rsidRPr="0043547B" w:rsidTr="0024414F">
        <w:trPr>
          <w:trHeight w:val="500"/>
          <w:jc w:val="center"/>
        </w:trPr>
        <w:tc>
          <w:tcPr>
            <w:tcW w:w="1838" w:type="dxa"/>
            <w:tcBorders>
              <w:top w:val="single" w:sz="18" w:space="0" w:color="auto"/>
              <w:left w:val="single" w:sz="18" w:space="0" w:color="auto"/>
              <w:bottom w:val="single" w:sz="4" w:space="0" w:color="auto"/>
              <w:right w:val="single" w:sz="4" w:space="0" w:color="auto"/>
            </w:tcBorders>
            <w:shd w:val="clear" w:color="auto" w:fill="95B3D7" w:themeFill="accent1" w:themeFillTint="99"/>
            <w:vAlign w:val="center"/>
          </w:tcPr>
          <w:p w:rsidR="00D26BB4" w:rsidRPr="00BC6F96" w:rsidRDefault="00D26BB4" w:rsidP="0024414F">
            <w:pPr>
              <w:spacing w:after="0" w:line="240" w:lineRule="auto"/>
              <w:jc w:val="center"/>
              <w:rPr>
                <w:rFonts w:ascii="Calibri" w:hAnsi="Calibri" w:cs="Calibri"/>
                <w:b/>
                <w:bCs/>
                <w:sz w:val="24"/>
                <w:szCs w:val="24"/>
              </w:rPr>
            </w:pPr>
            <w:r w:rsidRPr="00BC6F96">
              <w:rPr>
                <w:rFonts w:ascii="Calibri" w:hAnsi="Calibri" w:cs="Calibr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bottom"/>
          </w:tcPr>
          <w:p w:rsidR="00D26BB4" w:rsidRPr="00BC6F96" w:rsidRDefault="00D26BB4" w:rsidP="0024414F">
            <w:pPr>
              <w:spacing w:after="0" w:line="240" w:lineRule="auto"/>
              <w:jc w:val="both"/>
              <w:rPr>
                <w:rFonts w:ascii="Times New Roman" w:hAnsi="Times New Roman" w:cs="Times New Roman"/>
                <w:color w:val="000000"/>
                <w:sz w:val="24"/>
                <w:szCs w:val="24"/>
              </w:rPr>
            </w:pPr>
            <w:r w:rsidRPr="00BC6F96">
              <w:rPr>
                <w:color w:val="000000"/>
                <w:sz w:val="24"/>
                <w:szCs w:val="24"/>
              </w:rPr>
              <w:t xml:space="preserve">Revêtements muraux décoratifs – Rouleaux </w:t>
            </w:r>
          </w:p>
        </w:tc>
      </w:tr>
      <w:tr w:rsidR="00D26BB4" w:rsidRPr="0043547B" w:rsidTr="0024414F">
        <w:trPr>
          <w:trHeight w:val="79"/>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D26BB4" w:rsidRPr="00BC6F96" w:rsidRDefault="00D26BB4" w:rsidP="0024414F">
            <w:pPr>
              <w:spacing w:after="0" w:line="240" w:lineRule="auto"/>
              <w:jc w:val="center"/>
              <w:rPr>
                <w:rFonts w:ascii="Calibri" w:hAnsi="Calibri" w:cs="Calibri"/>
                <w:b/>
                <w:bCs/>
                <w:sz w:val="24"/>
                <w:szCs w:val="24"/>
              </w:rPr>
            </w:pPr>
            <w:r w:rsidRPr="00BC6F96">
              <w:rPr>
                <w:rFonts w:ascii="Calibri" w:hAnsi="Calibri" w:cs="Calibr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bottom"/>
          </w:tcPr>
          <w:p w:rsidR="0024414F" w:rsidRDefault="00D26BB4" w:rsidP="0024414F">
            <w:pPr>
              <w:spacing w:after="0" w:line="240" w:lineRule="auto"/>
              <w:jc w:val="both"/>
              <w:rPr>
                <w:color w:val="000000"/>
                <w:sz w:val="24"/>
                <w:szCs w:val="24"/>
              </w:rPr>
            </w:pPr>
            <w:r w:rsidRPr="00BC6F96">
              <w:rPr>
                <w:color w:val="000000"/>
                <w:sz w:val="24"/>
                <w:szCs w:val="24"/>
              </w:rPr>
              <w:t>Le présent document s’applique à tous les revêtements muraux en rouleaux destinés à être posés sur les</w:t>
            </w:r>
            <w:r w:rsidR="0024414F">
              <w:rPr>
                <w:color w:val="000000"/>
                <w:sz w:val="24"/>
                <w:szCs w:val="24"/>
              </w:rPr>
              <w:t xml:space="preserve"> </w:t>
            </w:r>
            <w:r w:rsidRPr="00BC6F96">
              <w:rPr>
                <w:color w:val="000000"/>
                <w:sz w:val="24"/>
                <w:szCs w:val="24"/>
              </w:rPr>
              <w:t>murs intérieurs, les cloisons ou les plafonds au moyen d’une colle et dont la vocation est principalement</w:t>
            </w:r>
            <w:r w:rsidR="0024414F">
              <w:rPr>
                <w:color w:val="000000"/>
                <w:sz w:val="24"/>
                <w:szCs w:val="24"/>
              </w:rPr>
              <w:t xml:space="preserve"> </w:t>
            </w:r>
            <w:r w:rsidRPr="00BC6F96">
              <w:rPr>
                <w:color w:val="000000"/>
                <w:sz w:val="24"/>
                <w:szCs w:val="24"/>
              </w:rPr>
              <w:t>décorative. Toutefois, certains revêtements muraux en rouleaux peuvent conférer des propriétés</w:t>
            </w:r>
            <w:r w:rsidRPr="00BC6F96">
              <w:rPr>
                <w:color w:val="000000"/>
                <w:sz w:val="24"/>
                <w:szCs w:val="24"/>
              </w:rPr>
              <w:br/>
              <w:t>mineures d’absorption acoustique et de résistance thermique.</w:t>
            </w:r>
          </w:p>
          <w:p w:rsidR="0024414F" w:rsidRDefault="00D26BB4" w:rsidP="0024414F">
            <w:pPr>
              <w:spacing w:after="0" w:line="240" w:lineRule="auto"/>
              <w:jc w:val="both"/>
              <w:rPr>
                <w:color w:val="000000"/>
                <w:sz w:val="24"/>
                <w:szCs w:val="24"/>
              </w:rPr>
            </w:pPr>
            <w:r w:rsidRPr="00BC6F96">
              <w:rPr>
                <w:color w:val="000000"/>
                <w:sz w:val="24"/>
                <w:szCs w:val="24"/>
              </w:rPr>
              <w:lastRenderedPageBreak/>
              <w:t>Les Normes européennes relatives aux revêtements muraux en rouleaux auxquelles est lié le présent</w:t>
            </w:r>
            <w:r w:rsidR="0024414F">
              <w:rPr>
                <w:color w:val="000000"/>
                <w:sz w:val="24"/>
                <w:szCs w:val="24"/>
              </w:rPr>
              <w:t xml:space="preserve"> </w:t>
            </w:r>
            <w:r w:rsidRPr="00BC6F96">
              <w:rPr>
                <w:color w:val="000000"/>
                <w:sz w:val="24"/>
                <w:szCs w:val="24"/>
              </w:rPr>
              <w:t>document et qui fournissent des définitions de produit et des exigences supplémentaires, comprennent :</w:t>
            </w:r>
          </w:p>
          <w:p w:rsidR="0024414F" w:rsidRDefault="00D26BB4" w:rsidP="0024414F">
            <w:pPr>
              <w:spacing w:after="0" w:line="240" w:lineRule="auto"/>
              <w:jc w:val="both"/>
              <w:rPr>
                <w:color w:val="000000"/>
                <w:sz w:val="24"/>
                <w:szCs w:val="24"/>
              </w:rPr>
            </w:pPr>
            <w:r w:rsidRPr="00BC6F96">
              <w:rPr>
                <w:color w:val="000000"/>
                <w:sz w:val="24"/>
                <w:szCs w:val="24"/>
              </w:rPr>
              <w:t>— papiers peints finis, revêtements muraux vinyles et revêtements muraux en plastique (EN 233) ;</w:t>
            </w:r>
          </w:p>
          <w:p w:rsidR="0024414F" w:rsidRDefault="00D26BB4" w:rsidP="0024414F">
            <w:pPr>
              <w:spacing w:after="0" w:line="240" w:lineRule="auto"/>
              <w:jc w:val="both"/>
              <w:rPr>
                <w:color w:val="000000"/>
                <w:sz w:val="24"/>
                <w:szCs w:val="24"/>
              </w:rPr>
            </w:pPr>
            <w:r w:rsidRPr="00BC6F96">
              <w:rPr>
                <w:color w:val="000000"/>
                <w:sz w:val="24"/>
                <w:szCs w:val="24"/>
              </w:rPr>
              <w:t>— revêtements muraux pour décoration ultérieure (EN 234) ;</w:t>
            </w:r>
          </w:p>
          <w:p w:rsidR="0024414F" w:rsidRDefault="00D26BB4" w:rsidP="0024414F">
            <w:pPr>
              <w:spacing w:after="0" w:line="240" w:lineRule="auto"/>
              <w:jc w:val="both"/>
              <w:rPr>
                <w:color w:val="000000"/>
                <w:sz w:val="24"/>
                <w:szCs w:val="24"/>
              </w:rPr>
            </w:pPr>
            <w:r w:rsidRPr="00BC6F96">
              <w:rPr>
                <w:color w:val="000000"/>
                <w:sz w:val="24"/>
                <w:szCs w:val="24"/>
              </w:rPr>
              <w:t>— revêtements muraux textiles (EN 266) ;</w:t>
            </w:r>
          </w:p>
          <w:p w:rsidR="0024414F" w:rsidRDefault="00D26BB4" w:rsidP="0024414F">
            <w:pPr>
              <w:spacing w:after="0" w:line="240" w:lineRule="auto"/>
              <w:jc w:val="both"/>
              <w:rPr>
                <w:color w:val="000000"/>
                <w:sz w:val="24"/>
                <w:szCs w:val="24"/>
              </w:rPr>
            </w:pPr>
            <w:r w:rsidRPr="00BC6F96">
              <w:rPr>
                <w:color w:val="000000"/>
                <w:sz w:val="24"/>
                <w:szCs w:val="24"/>
              </w:rPr>
              <w:t>— rouleaux en liège (EN 13085) ;</w:t>
            </w:r>
          </w:p>
          <w:p w:rsidR="0024414F" w:rsidRDefault="00D26BB4" w:rsidP="0024414F">
            <w:pPr>
              <w:spacing w:after="0" w:line="240" w:lineRule="auto"/>
              <w:jc w:val="both"/>
              <w:rPr>
                <w:color w:val="000000"/>
                <w:sz w:val="24"/>
                <w:szCs w:val="24"/>
              </w:rPr>
            </w:pPr>
            <w:r w:rsidRPr="00BC6F96">
              <w:rPr>
                <w:color w:val="000000"/>
                <w:sz w:val="24"/>
                <w:szCs w:val="24"/>
              </w:rPr>
              <w:t>— revêtements muraux à usage intense (EN 259-1).</w:t>
            </w:r>
          </w:p>
          <w:p w:rsidR="00D26BB4" w:rsidRPr="00BC6F96" w:rsidRDefault="00D26BB4" w:rsidP="0024414F">
            <w:pPr>
              <w:spacing w:after="0" w:line="240" w:lineRule="auto"/>
              <w:jc w:val="both"/>
              <w:rPr>
                <w:rFonts w:ascii="Times New Roman" w:hAnsi="Times New Roman" w:cs="Times New Roman"/>
                <w:color w:val="000000"/>
                <w:sz w:val="24"/>
                <w:szCs w:val="24"/>
              </w:rPr>
            </w:pPr>
            <w:r w:rsidRPr="00BC6F96">
              <w:rPr>
                <w:color w:val="000000"/>
                <w:sz w:val="24"/>
                <w:szCs w:val="24"/>
              </w:rPr>
              <w:t>Le présent document prévoit également l’évaluation et la vérification de la constance des performances</w:t>
            </w:r>
            <w:r w:rsidR="0024414F">
              <w:rPr>
                <w:color w:val="000000"/>
                <w:sz w:val="24"/>
                <w:szCs w:val="24"/>
              </w:rPr>
              <w:t xml:space="preserve"> </w:t>
            </w:r>
            <w:r w:rsidRPr="00BC6F96">
              <w:rPr>
                <w:color w:val="000000"/>
                <w:sz w:val="24"/>
                <w:szCs w:val="24"/>
              </w:rPr>
              <w:t>(EVCP) des caractéristiques et le marquage de ces produits.</w:t>
            </w:r>
            <w:r w:rsidRPr="00BC6F96">
              <w:rPr>
                <w:color w:val="000000"/>
                <w:sz w:val="24"/>
                <w:szCs w:val="24"/>
              </w:rPr>
              <w:br/>
              <w:t>Il ne s’applique pas aux revêtements muraux dont la principale fonction est structurale ou protectrice.</w:t>
            </w:r>
          </w:p>
        </w:tc>
      </w:tr>
      <w:tr w:rsidR="000E7FF2" w:rsidRPr="0043547B" w:rsidTr="0005434A">
        <w:trPr>
          <w:trHeight w:val="400"/>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0E7FF2" w:rsidRPr="0024414F" w:rsidRDefault="000E7FF2" w:rsidP="0024414F">
            <w:pPr>
              <w:spacing w:after="0" w:line="240" w:lineRule="auto"/>
              <w:jc w:val="center"/>
              <w:rPr>
                <w:rFonts w:ascii="Calibri" w:hAnsi="Calibri" w:cs="Calibri"/>
                <w:b/>
                <w:bCs/>
                <w:sz w:val="24"/>
                <w:szCs w:val="24"/>
              </w:rPr>
            </w:pPr>
            <w:r w:rsidRPr="0024414F">
              <w:rPr>
                <w:rFonts w:ascii="Calibri" w:hAnsi="Calibri" w:cs="Calibri"/>
                <w:b/>
                <w:bCs/>
                <w:sz w:val="24"/>
                <w:szCs w:val="24"/>
              </w:rPr>
              <w:lastRenderedPageBreak/>
              <w:t>Code :</w:t>
            </w:r>
          </w:p>
        </w:tc>
        <w:tc>
          <w:tcPr>
            <w:tcW w:w="7938" w:type="dxa"/>
            <w:tcBorders>
              <w:top w:val="single" w:sz="8" w:space="0" w:color="auto"/>
              <w:left w:val="single" w:sz="4" w:space="0" w:color="auto"/>
              <w:bottom w:val="single" w:sz="18" w:space="0" w:color="auto"/>
              <w:right w:val="single" w:sz="18" w:space="0" w:color="auto"/>
            </w:tcBorders>
            <w:shd w:val="clear" w:color="auto" w:fill="C2D69B" w:themeFill="accent3" w:themeFillTint="99"/>
            <w:vAlign w:val="center"/>
          </w:tcPr>
          <w:p w:rsidR="000E7FF2" w:rsidRPr="0024414F" w:rsidRDefault="000E7FF2" w:rsidP="0024414F">
            <w:pPr>
              <w:spacing w:after="0" w:line="240" w:lineRule="auto"/>
              <w:jc w:val="center"/>
              <w:rPr>
                <w:rFonts w:ascii="Times New Roman" w:hAnsi="Times New Roman" w:cs="Times New Roman"/>
                <w:b/>
                <w:bCs/>
                <w:color w:val="000000"/>
                <w:sz w:val="24"/>
                <w:szCs w:val="24"/>
              </w:rPr>
            </w:pPr>
            <w:r w:rsidRPr="0024414F">
              <w:rPr>
                <w:b/>
                <w:bCs/>
                <w:color w:val="000000"/>
                <w:sz w:val="24"/>
                <w:szCs w:val="24"/>
              </w:rPr>
              <w:t>NM EN 15651-5</w:t>
            </w:r>
          </w:p>
        </w:tc>
      </w:tr>
      <w:tr w:rsidR="000E7FF2" w:rsidRPr="0043547B" w:rsidTr="00842991">
        <w:trPr>
          <w:trHeight w:val="391"/>
          <w:jc w:val="center"/>
        </w:trPr>
        <w:tc>
          <w:tcPr>
            <w:tcW w:w="1838" w:type="dxa"/>
            <w:tcBorders>
              <w:top w:val="nil"/>
              <w:left w:val="single" w:sz="18" w:space="0" w:color="auto"/>
              <w:bottom w:val="single" w:sz="18" w:space="0" w:color="auto"/>
              <w:right w:val="single" w:sz="4" w:space="0" w:color="auto"/>
            </w:tcBorders>
            <w:shd w:val="clear" w:color="auto" w:fill="FFFF99"/>
            <w:vAlign w:val="center"/>
          </w:tcPr>
          <w:p w:rsidR="000E7FF2" w:rsidRPr="0024414F" w:rsidRDefault="000E7FF2" w:rsidP="0024414F">
            <w:pPr>
              <w:spacing w:after="0" w:line="240" w:lineRule="auto"/>
              <w:jc w:val="center"/>
              <w:rPr>
                <w:rFonts w:ascii="Calibri" w:hAnsi="Calibri" w:cs="Calibri"/>
                <w:b/>
                <w:bCs/>
                <w:sz w:val="24"/>
                <w:szCs w:val="24"/>
              </w:rPr>
            </w:pPr>
            <w:r w:rsidRPr="0024414F">
              <w:rPr>
                <w:rFonts w:ascii="Calibri" w:hAnsi="Calibri" w:cs="Calibri"/>
                <w:b/>
                <w:bCs/>
                <w:sz w:val="24"/>
                <w:szCs w:val="24"/>
              </w:rPr>
              <w:t>Equivalence :</w:t>
            </w:r>
          </w:p>
        </w:tc>
        <w:tc>
          <w:tcPr>
            <w:tcW w:w="7938" w:type="dxa"/>
            <w:tcBorders>
              <w:top w:val="single" w:sz="8" w:space="0" w:color="auto"/>
              <w:left w:val="single" w:sz="4" w:space="0" w:color="auto"/>
              <w:bottom w:val="single" w:sz="18" w:space="0" w:color="auto"/>
              <w:right w:val="single" w:sz="18" w:space="0" w:color="auto"/>
            </w:tcBorders>
            <w:shd w:val="clear" w:color="auto" w:fill="FFFF99"/>
            <w:vAlign w:val="center"/>
          </w:tcPr>
          <w:p w:rsidR="000E7FF2" w:rsidRPr="0024414F" w:rsidRDefault="000E7FF2" w:rsidP="0024414F">
            <w:pPr>
              <w:spacing w:after="0" w:line="240" w:lineRule="auto"/>
              <w:jc w:val="center"/>
              <w:rPr>
                <w:rFonts w:ascii="Times New Roman" w:hAnsi="Times New Roman" w:cs="Times New Roman"/>
                <w:b/>
                <w:bCs/>
                <w:color w:val="000000"/>
                <w:sz w:val="24"/>
                <w:szCs w:val="24"/>
              </w:rPr>
            </w:pPr>
            <w:r w:rsidRPr="0024414F">
              <w:rPr>
                <w:b/>
                <w:bCs/>
                <w:color w:val="000000"/>
                <w:sz w:val="24"/>
                <w:szCs w:val="24"/>
              </w:rPr>
              <w:t>EN 15651-5</w:t>
            </w:r>
          </w:p>
        </w:tc>
      </w:tr>
      <w:tr w:rsidR="000E7FF2" w:rsidRPr="0043547B" w:rsidTr="0024414F">
        <w:trPr>
          <w:trHeight w:val="79"/>
          <w:jc w:val="center"/>
        </w:trPr>
        <w:tc>
          <w:tcPr>
            <w:tcW w:w="1838" w:type="dxa"/>
            <w:tcBorders>
              <w:top w:val="single" w:sz="18" w:space="0" w:color="auto"/>
              <w:left w:val="single" w:sz="18" w:space="0" w:color="auto"/>
              <w:bottom w:val="single" w:sz="4" w:space="0" w:color="auto"/>
              <w:right w:val="single" w:sz="4" w:space="0" w:color="auto"/>
            </w:tcBorders>
            <w:shd w:val="clear" w:color="auto" w:fill="95B3D7" w:themeFill="accent1" w:themeFillTint="99"/>
            <w:vAlign w:val="center"/>
          </w:tcPr>
          <w:p w:rsidR="000E7FF2" w:rsidRPr="0024414F" w:rsidRDefault="000E7FF2" w:rsidP="0024414F">
            <w:pPr>
              <w:spacing w:after="0" w:line="240" w:lineRule="auto"/>
              <w:jc w:val="center"/>
              <w:rPr>
                <w:rFonts w:ascii="Calibri" w:hAnsi="Calibri" w:cs="Calibri"/>
                <w:b/>
                <w:bCs/>
                <w:sz w:val="24"/>
                <w:szCs w:val="24"/>
              </w:rPr>
            </w:pPr>
            <w:r w:rsidRPr="0024414F">
              <w:rPr>
                <w:rFonts w:ascii="Calibri" w:hAnsi="Calibri" w:cs="Calibr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bottom"/>
          </w:tcPr>
          <w:p w:rsidR="000E7FF2" w:rsidRPr="0024414F" w:rsidRDefault="000E7FF2" w:rsidP="0024414F">
            <w:pPr>
              <w:spacing w:after="0" w:line="240" w:lineRule="auto"/>
              <w:jc w:val="both"/>
              <w:rPr>
                <w:rFonts w:ascii="Times New Roman" w:hAnsi="Times New Roman" w:cs="Times New Roman"/>
                <w:color w:val="000000"/>
                <w:sz w:val="24"/>
                <w:szCs w:val="24"/>
              </w:rPr>
            </w:pPr>
            <w:r w:rsidRPr="0024414F">
              <w:rPr>
                <w:color w:val="000000"/>
                <w:sz w:val="24"/>
                <w:szCs w:val="24"/>
              </w:rPr>
              <w:t xml:space="preserve">Mastics pour joints pour des usages non structuraux dans les constructions immobilières et pour chemins piétonniers - Partie 5 : Evaluation et vérification de la constance des performances, du marquage et de l'étiquetage ; </w:t>
            </w:r>
          </w:p>
        </w:tc>
      </w:tr>
      <w:tr w:rsidR="000E7FF2" w:rsidRPr="0043547B" w:rsidTr="0024414F">
        <w:trPr>
          <w:trHeight w:val="79"/>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0E7FF2" w:rsidRPr="0024414F" w:rsidRDefault="000E7FF2" w:rsidP="0024414F">
            <w:pPr>
              <w:spacing w:after="0" w:line="240" w:lineRule="auto"/>
              <w:jc w:val="center"/>
              <w:rPr>
                <w:rFonts w:ascii="Calibri" w:hAnsi="Calibri" w:cs="Calibri"/>
                <w:b/>
                <w:bCs/>
                <w:sz w:val="24"/>
                <w:szCs w:val="24"/>
              </w:rPr>
            </w:pPr>
            <w:r w:rsidRPr="0024414F">
              <w:rPr>
                <w:rFonts w:ascii="Calibri" w:hAnsi="Calibri" w:cs="Calibr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bottom"/>
          </w:tcPr>
          <w:p w:rsidR="000E7FF2" w:rsidRPr="0024414F" w:rsidRDefault="000E7FF2" w:rsidP="0024414F">
            <w:pPr>
              <w:spacing w:after="0" w:line="240" w:lineRule="auto"/>
              <w:jc w:val="both"/>
              <w:rPr>
                <w:rFonts w:ascii="Times New Roman" w:hAnsi="Times New Roman" w:cs="Times New Roman"/>
                <w:color w:val="000000"/>
                <w:sz w:val="24"/>
                <w:szCs w:val="24"/>
              </w:rPr>
            </w:pPr>
            <w:r w:rsidRPr="0024414F">
              <w:rPr>
                <w:color w:val="000000"/>
                <w:sz w:val="24"/>
                <w:szCs w:val="24"/>
              </w:rPr>
              <w:t>La présente Norme européenne spécifie les modes opératoires d'évaluation et de vérification de la</w:t>
            </w:r>
            <w:r w:rsidR="0024414F">
              <w:rPr>
                <w:color w:val="000000"/>
                <w:sz w:val="24"/>
                <w:szCs w:val="24"/>
              </w:rPr>
              <w:t xml:space="preserve"> </w:t>
            </w:r>
            <w:r w:rsidRPr="0024414F">
              <w:rPr>
                <w:color w:val="000000"/>
                <w:sz w:val="24"/>
                <w:szCs w:val="24"/>
              </w:rPr>
              <w:t>constance des performances des mastics pour joints non structuraux dans les constructions immobilières</w:t>
            </w:r>
            <w:r w:rsidR="0024414F">
              <w:rPr>
                <w:color w:val="000000"/>
                <w:sz w:val="24"/>
                <w:szCs w:val="24"/>
              </w:rPr>
              <w:t xml:space="preserve"> </w:t>
            </w:r>
            <w:r w:rsidRPr="0024414F">
              <w:rPr>
                <w:color w:val="000000"/>
                <w:sz w:val="24"/>
                <w:szCs w:val="24"/>
              </w:rPr>
              <w:t>et pour chemins piétonniers.</w:t>
            </w:r>
          </w:p>
        </w:tc>
      </w:tr>
      <w:tr w:rsidR="000E7FF2" w:rsidRPr="0043547B" w:rsidTr="0005434A">
        <w:trPr>
          <w:trHeight w:val="440"/>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0E7FF2" w:rsidRPr="0024414F" w:rsidRDefault="000E7FF2" w:rsidP="0024414F">
            <w:pPr>
              <w:spacing w:after="0" w:line="240" w:lineRule="auto"/>
              <w:jc w:val="center"/>
              <w:rPr>
                <w:rFonts w:ascii="Calibri" w:hAnsi="Calibri" w:cs="Calibri"/>
                <w:b/>
                <w:bCs/>
                <w:sz w:val="24"/>
                <w:szCs w:val="24"/>
              </w:rPr>
            </w:pPr>
            <w:r w:rsidRPr="0024414F">
              <w:rPr>
                <w:rFonts w:ascii="Calibri" w:hAnsi="Calibri" w:cs="Calibri"/>
                <w:b/>
                <w:bCs/>
                <w:sz w:val="24"/>
                <w:szCs w:val="24"/>
              </w:rPr>
              <w:t>Code :</w:t>
            </w:r>
          </w:p>
        </w:tc>
        <w:tc>
          <w:tcPr>
            <w:tcW w:w="7938" w:type="dxa"/>
            <w:tcBorders>
              <w:top w:val="single" w:sz="8" w:space="0" w:color="auto"/>
              <w:left w:val="single" w:sz="4" w:space="0" w:color="auto"/>
              <w:bottom w:val="single" w:sz="18" w:space="0" w:color="auto"/>
              <w:right w:val="single" w:sz="18" w:space="0" w:color="auto"/>
            </w:tcBorders>
            <w:shd w:val="clear" w:color="auto" w:fill="C2D69B" w:themeFill="accent3" w:themeFillTint="99"/>
            <w:vAlign w:val="center"/>
          </w:tcPr>
          <w:p w:rsidR="000E7FF2" w:rsidRPr="0024414F" w:rsidRDefault="000E7FF2" w:rsidP="0024414F">
            <w:pPr>
              <w:spacing w:after="0" w:line="240" w:lineRule="auto"/>
              <w:jc w:val="center"/>
              <w:rPr>
                <w:rFonts w:ascii="Times New Roman" w:hAnsi="Times New Roman" w:cs="Times New Roman"/>
                <w:b/>
                <w:bCs/>
                <w:color w:val="000000"/>
                <w:sz w:val="24"/>
                <w:szCs w:val="24"/>
              </w:rPr>
            </w:pPr>
            <w:r w:rsidRPr="0024414F">
              <w:rPr>
                <w:b/>
                <w:bCs/>
                <w:color w:val="000000"/>
                <w:sz w:val="24"/>
                <w:szCs w:val="24"/>
              </w:rPr>
              <w:t>NM ISO 19650-1</w:t>
            </w:r>
          </w:p>
        </w:tc>
      </w:tr>
      <w:tr w:rsidR="000E7FF2" w:rsidRPr="0043547B" w:rsidTr="0005434A">
        <w:trPr>
          <w:trHeight w:val="389"/>
          <w:jc w:val="center"/>
        </w:trPr>
        <w:tc>
          <w:tcPr>
            <w:tcW w:w="1838" w:type="dxa"/>
            <w:tcBorders>
              <w:top w:val="nil"/>
              <w:left w:val="single" w:sz="18" w:space="0" w:color="auto"/>
              <w:bottom w:val="single" w:sz="18" w:space="0" w:color="auto"/>
              <w:right w:val="single" w:sz="4" w:space="0" w:color="auto"/>
            </w:tcBorders>
            <w:shd w:val="clear" w:color="auto" w:fill="FFFF99"/>
            <w:vAlign w:val="center"/>
          </w:tcPr>
          <w:p w:rsidR="000E7FF2" w:rsidRPr="0024414F" w:rsidRDefault="000E7FF2" w:rsidP="0024414F">
            <w:pPr>
              <w:spacing w:after="0" w:line="240" w:lineRule="auto"/>
              <w:jc w:val="center"/>
              <w:rPr>
                <w:rFonts w:ascii="Calibri" w:hAnsi="Calibri" w:cs="Calibri"/>
                <w:b/>
                <w:bCs/>
                <w:sz w:val="24"/>
                <w:szCs w:val="24"/>
              </w:rPr>
            </w:pPr>
            <w:r w:rsidRPr="0024414F">
              <w:rPr>
                <w:rFonts w:ascii="Calibri" w:hAnsi="Calibri" w:cs="Calibri"/>
                <w:b/>
                <w:bCs/>
                <w:sz w:val="24"/>
                <w:szCs w:val="24"/>
              </w:rPr>
              <w:t>Equivalence :</w:t>
            </w:r>
          </w:p>
        </w:tc>
        <w:tc>
          <w:tcPr>
            <w:tcW w:w="7938" w:type="dxa"/>
            <w:tcBorders>
              <w:top w:val="single" w:sz="8" w:space="0" w:color="auto"/>
              <w:left w:val="single" w:sz="4" w:space="0" w:color="auto"/>
              <w:bottom w:val="single" w:sz="18" w:space="0" w:color="auto"/>
              <w:right w:val="single" w:sz="18" w:space="0" w:color="auto"/>
            </w:tcBorders>
            <w:shd w:val="clear" w:color="auto" w:fill="FFFF99"/>
            <w:vAlign w:val="center"/>
          </w:tcPr>
          <w:p w:rsidR="000E7FF2" w:rsidRPr="0024414F" w:rsidRDefault="000E7FF2" w:rsidP="0024414F">
            <w:pPr>
              <w:spacing w:after="0" w:line="240" w:lineRule="auto"/>
              <w:jc w:val="center"/>
              <w:rPr>
                <w:rFonts w:ascii="Times New Roman" w:hAnsi="Times New Roman" w:cs="Times New Roman"/>
                <w:b/>
                <w:bCs/>
                <w:color w:val="000000"/>
                <w:sz w:val="24"/>
                <w:szCs w:val="24"/>
              </w:rPr>
            </w:pPr>
            <w:r w:rsidRPr="0024414F">
              <w:rPr>
                <w:b/>
                <w:bCs/>
                <w:color w:val="000000"/>
                <w:sz w:val="24"/>
                <w:szCs w:val="24"/>
              </w:rPr>
              <w:t>ISO 19650-1</w:t>
            </w:r>
          </w:p>
        </w:tc>
      </w:tr>
      <w:tr w:rsidR="000E7FF2" w:rsidRPr="0043547B" w:rsidTr="0024414F">
        <w:trPr>
          <w:trHeight w:val="79"/>
          <w:jc w:val="center"/>
        </w:trPr>
        <w:tc>
          <w:tcPr>
            <w:tcW w:w="1838" w:type="dxa"/>
            <w:tcBorders>
              <w:top w:val="single" w:sz="18" w:space="0" w:color="auto"/>
              <w:left w:val="single" w:sz="18" w:space="0" w:color="auto"/>
              <w:bottom w:val="single" w:sz="4" w:space="0" w:color="auto"/>
              <w:right w:val="single" w:sz="4" w:space="0" w:color="auto"/>
            </w:tcBorders>
            <w:shd w:val="clear" w:color="auto" w:fill="95B3D7" w:themeFill="accent1" w:themeFillTint="99"/>
            <w:vAlign w:val="center"/>
          </w:tcPr>
          <w:p w:rsidR="000E7FF2" w:rsidRPr="0024414F" w:rsidRDefault="000E7FF2" w:rsidP="0024414F">
            <w:pPr>
              <w:spacing w:after="0" w:line="240" w:lineRule="auto"/>
              <w:jc w:val="center"/>
              <w:rPr>
                <w:rFonts w:ascii="Calibri" w:hAnsi="Calibri" w:cs="Calibri"/>
                <w:b/>
                <w:bCs/>
                <w:sz w:val="24"/>
                <w:szCs w:val="24"/>
              </w:rPr>
            </w:pPr>
            <w:r w:rsidRPr="0024414F">
              <w:rPr>
                <w:rFonts w:ascii="Calibri" w:hAnsi="Calibri" w:cs="Calibr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bottom"/>
          </w:tcPr>
          <w:p w:rsidR="000E7FF2" w:rsidRPr="0024414F" w:rsidRDefault="000E7FF2" w:rsidP="0024414F">
            <w:pPr>
              <w:spacing w:after="0" w:line="240" w:lineRule="auto"/>
              <w:jc w:val="both"/>
              <w:rPr>
                <w:rFonts w:ascii="Times New Roman" w:hAnsi="Times New Roman" w:cs="Times New Roman"/>
                <w:color w:val="000000"/>
                <w:sz w:val="24"/>
                <w:szCs w:val="24"/>
              </w:rPr>
            </w:pPr>
            <w:r w:rsidRPr="0024414F">
              <w:rPr>
                <w:color w:val="000000"/>
                <w:sz w:val="24"/>
                <w:szCs w:val="24"/>
              </w:rPr>
              <w:t xml:space="preserve">Organisation et numérisation des informations relatives aux bâtiments et ouvrages de génie civil, y compris modélisation des informations de la construction (BIM) - Gestion de l'information par la modélisation des informations de la construction - Partie 1 : Concepts et principes </w:t>
            </w:r>
          </w:p>
        </w:tc>
      </w:tr>
      <w:tr w:rsidR="000E7FF2" w:rsidRPr="0043547B" w:rsidTr="0024414F">
        <w:trPr>
          <w:trHeight w:val="79"/>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0E7FF2" w:rsidRPr="0024414F" w:rsidRDefault="000E7FF2" w:rsidP="0024414F">
            <w:pPr>
              <w:spacing w:after="0" w:line="240" w:lineRule="auto"/>
              <w:jc w:val="center"/>
              <w:rPr>
                <w:rFonts w:ascii="Calibri" w:hAnsi="Calibri" w:cs="Calibri"/>
                <w:b/>
                <w:bCs/>
                <w:sz w:val="24"/>
                <w:szCs w:val="24"/>
              </w:rPr>
            </w:pPr>
            <w:r w:rsidRPr="0024414F">
              <w:rPr>
                <w:rFonts w:ascii="Calibri" w:hAnsi="Calibri" w:cs="Calibr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bottom"/>
          </w:tcPr>
          <w:p w:rsidR="0024414F" w:rsidRDefault="000E7FF2" w:rsidP="0024414F">
            <w:pPr>
              <w:spacing w:after="0" w:line="240" w:lineRule="auto"/>
              <w:jc w:val="both"/>
              <w:rPr>
                <w:color w:val="000000"/>
                <w:sz w:val="24"/>
                <w:szCs w:val="24"/>
              </w:rPr>
            </w:pPr>
            <w:r w:rsidRPr="0024414F">
              <w:rPr>
                <w:color w:val="000000"/>
                <w:sz w:val="24"/>
                <w:szCs w:val="24"/>
              </w:rPr>
              <w:t>Le présent document expose les concepts et principes de gestion de l’information à un stade de maturité</w:t>
            </w:r>
            <w:r w:rsidR="0024414F">
              <w:rPr>
                <w:color w:val="000000"/>
                <w:sz w:val="24"/>
                <w:szCs w:val="24"/>
              </w:rPr>
              <w:t xml:space="preserve"> </w:t>
            </w:r>
            <w:r w:rsidRPr="0024414F">
              <w:rPr>
                <w:color w:val="000000"/>
                <w:sz w:val="24"/>
                <w:szCs w:val="24"/>
              </w:rPr>
              <w:t>décrit comme la «modélisation des informations de la construction (BIM) selon la série ISO 19650».</w:t>
            </w:r>
          </w:p>
          <w:p w:rsidR="0024414F" w:rsidRDefault="000E7FF2" w:rsidP="0024414F">
            <w:pPr>
              <w:spacing w:after="0" w:line="240" w:lineRule="auto"/>
              <w:jc w:val="both"/>
              <w:rPr>
                <w:color w:val="000000"/>
                <w:sz w:val="24"/>
                <w:szCs w:val="24"/>
              </w:rPr>
            </w:pPr>
            <w:r w:rsidRPr="0024414F">
              <w:rPr>
                <w:color w:val="000000"/>
                <w:sz w:val="24"/>
                <w:szCs w:val="24"/>
              </w:rPr>
              <w:t>Ce document fournit des recommandations pour définir un cadre de gestion de l’information incluant</w:t>
            </w:r>
            <w:r w:rsidR="0024414F">
              <w:rPr>
                <w:color w:val="000000"/>
                <w:sz w:val="24"/>
                <w:szCs w:val="24"/>
              </w:rPr>
              <w:t xml:space="preserve"> </w:t>
            </w:r>
            <w:r w:rsidRPr="0024414F">
              <w:rPr>
                <w:color w:val="000000"/>
                <w:sz w:val="24"/>
                <w:szCs w:val="24"/>
              </w:rPr>
              <w:t>l’échange, l’enregistrement, le contrôle de version et l’organisation, à destination de tous les acteurs.</w:t>
            </w:r>
          </w:p>
          <w:p w:rsidR="0024414F" w:rsidRDefault="000E7FF2" w:rsidP="0024414F">
            <w:pPr>
              <w:spacing w:after="0" w:line="240" w:lineRule="auto"/>
              <w:jc w:val="both"/>
              <w:rPr>
                <w:color w:val="000000"/>
                <w:sz w:val="24"/>
                <w:szCs w:val="24"/>
              </w:rPr>
            </w:pPr>
            <w:r w:rsidRPr="0024414F">
              <w:rPr>
                <w:color w:val="000000"/>
                <w:sz w:val="24"/>
                <w:szCs w:val="24"/>
              </w:rPr>
              <w:t>Il s’applique à la totalité du cycle de vie de tout actif bâti, y compris la planification stratégique, la</w:t>
            </w:r>
            <w:r w:rsidR="0024414F">
              <w:rPr>
                <w:color w:val="000000"/>
                <w:sz w:val="24"/>
                <w:szCs w:val="24"/>
              </w:rPr>
              <w:t xml:space="preserve"> </w:t>
            </w:r>
            <w:r w:rsidRPr="0024414F">
              <w:rPr>
                <w:color w:val="000000"/>
                <w:sz w:val="24"/>
                <w:szCs w:val="24"/>
              </w:rPr>
              <w:t>conception initiale, l’ingénierie, le développement, la documentation et la construction, l’exploitation</w:t>
            </w:r>
            <w:r w:rsidR="0024414F">
              <w:rPr>
                <w:color w:val="000000"/>
                <w:sz w:val="24"/>
                <w:szCs w:val="24"/>
              </w:rPr>
              <w:t xml:space="preserve"> </w:t>
            </w:r>
            <w:r w:rsidRPr="0024414F">
              <w:rPr>
                <w:color w:val="000000"/>
                <w:sz w:val="24"/>
                <w:szCs w:val="24"/>
              </w:rPr>
              <w:t>quotidienne, la maintenance, la réhabilitation, la réparation et la fin de vie.</w:t>
            </w:r>
          </w:p>
          <w:p w:rsidR="000E7FF2" w:rsidRPr="0024414F" w:rsidRDefault="000E7FF2" w:rsidP="0024414F">
            <w:pPr>
              <w:spacing w:after="0" w:line="240" w:lineRule="auto"/>
              <w:jc w:val="both"/>
              <w:rPr>
                <w:rFonts w:ascii="Times New Roman" w:hAnsi="Times New Roman" w:cs="Times New Roman"/>
                <w:color w:val="000000"/>
                <w:sz w:val="24"/>
                <w:szCs w:val="24"/>
              </w:rPr>
            </w:pPr>
            <w:r w:rsidRPr="0024414F">
              <w:rPr>
                <w:color w:val="000000"/>
                <w:sz w:val="24"/>
                <w:szCs w:val="24"/>
              </w:rPr>
              <w:t>Le présent document peut être adapté aux actifs ou aux projets d’échelle et de complexité diverses,</w:t>
            </w:r>
            <w:r w:rsidR="0024414F">
              <w:rPr>
                <w:color w:val="000000"/>
                <w:sz w:val="24"/>
                <w:szCs w:val="24"/>
              </w:rPr>
              <w:t xml:space="preserve"> </w:t>
            </w:r>
            <w:r w:rsidRPr="0024414F">
              <w:rPr>
                <w:color w:val="000000"/>
                <w:sz w:val="24"/>
                <w:szCs w:val="24"/>
              </w:rPr>
              <w:t>afin de ne pas entraver la flexibilité et la versatilité qui caractérisent la large plage de types de marché</w:t>
            </w:r>
            <w:r w:rsidR="0024414F">
              <w:rPr>
                <w:color w:val="000000"/>
                <w:sz w:val="24"/>
                <w:szCs w:val="24"/>
              </w:rPr>
              <w:t xml:space="preserve"> </w:t>
            </w:r>
            <w:r w:rsidRPr="0024414F">
              <w:rPr>
                <w:color w:val="000000"/>
                <w:sz w:val="24"/>
                <w:szCs w:val="24"/>
              </w:rPr>
              <w:t>potentiels et afin de répondre au coût de mise en oeuvre du présent document.</w:t>
            </w:r>
          </w:p>
        </w:tc>
      </w:tr>
      <w:tr w:rsidR="000E7FF2" w:rsidRPr="0043547B" w:rsidTr="0005434A">
        <w:trPr>
          <w:trHeight w:val="408"/>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0E7FF2" w:rsidRPr="0024414F" w:rsidRDefault="000E7FF2" w:rsidP="0024414F">
            <w:pPr>
              <w:spacing w:after="0" w:line="240" w:lineRule="auto"/>
              <w:jc w:val="center"/>
              <w:rPr>
                <w:rFonts w:ascii="Calibri" w:hAnsi="Calibri" w:cs="Calibri"/>
                <w:b/>
                <w:bCs/>
                <w:sz w:val="24"/>
                <w:szCs w:val="24"/>
              </w:rPr>
            </w:pPr>
            <w:r w:rsidRPr="0024414F">
              <w:rPr>
                <w:rFonts w:ascii="Calibri" w:hAnsi="Calibri" w:cs="Calibri"/>
                <w:b/>
                <w:bCs/>
                <w:sz w:val="24"/>
                <w:szCs w:val="24"/>
              </w:rPr>
              <w:t>Code :</w:t>
            </w:r>
          </w:p>
        </w:tc>
        <w:tc>
          <w:tcPr>
            <w:tcW w:w="7938" w:type="dxa"/>
            <w:tcBorders>
              <w:top w:val="single" w:sz="8" w:space="0" w:color="auto"/>
              <w:left w:val="single" w:sz="4" w:space="0" w:color="auto"/>
              <w:bottom w:val="single" w:sz="18" w:space="0" w:color="auto"/>
              <w:right w:val="single" w:sz="18" w:space="0" w:color="auto"/>
            </w:tcBorders>
            <w:shd w:val="clear" w:color="auto" w:fill="C2D69B" w:themeFill="accent3" w:themeFillTint="99"/>
            <w:vAlign w:val="center"/>
          </w:tcPr>
          <w:p w:rsidR="000E7FF2" w:rsidRPr="0024414F" w:rsidRDefault="000E7FF2" w:rsidP="0024414F">
            <w:pPr>
              <w:spacing w:after="0" w:line="240" w:lineRule="auto"/>
              <w:jc w:val="center"/>
              <w:rPr>
                <w:rFonts w:ascii="Times New Roman" w:hAnsi="Times New Roman" w:cs="Times New Roman"/>
                <w:b/>
                <w:bCs/>
                <w:color w:val="000000"/>
                <w:sz w:val="24"/>
                <w:szCs w:val="24"/>
              </w:rPr>
            </w:pPr>
            <w:r w:rsidRPr="0024414F">
              <w:rPr>
                <w:b/>
                <w:bCs/>
                <w:color w:val="000000"/>
                <w:sz w:val="24"/>
                <w:szCs w:val="24"/>
              </w:rPr>
              <w:t>NM ISO 19650-2</w:t>
            </w:r>
          </w:p>
        </w:tc>
      </w:tr>
      <w:tr w:rsidR="000E7FF2" w:rsidRPr="0043547B" w:rsidTr="0005434A">
        <w:trPr>
          <w:trHeight w:val="369"/>
          <w:jc w:val="center"/>
        </w:trPr>
        <w:tc>
          <w:tcPr>
            <w:tcW w:w="1838" w:type="dxa"/>
            <w:tcBorders>
              <w:top w:val="nil"/>
              <w:left w:val="single" w:sz="18" w:space="0" w:color="auto"/>
              <w:bottom w:val="single" w:sz="18" w:space="0" w:color="auto"/>
              <w:right w:val="single" w:sz="4" w:space="0" w:color="auto"/>
            </w:tcBorders>
            <w:shd w:val="clear" w:color="auto" w:fill="FFFF99"/>
            <w:vAlign w:val="center"/>
          </w:tcPr>
          <w:p w:rsidR="000E7FF2" w:rsidRPr="0024414F" w:rsidRDefault="000E7FF2" w:rsidP="0024414F">
            <w:pPr>
              <w:spacing w:after="0" w:line="240" w:lineRule="auto"/>
              <w:jc w:val="center"/>
              <w:rPr>
                <w:rFonts w:ascii="Calibri" w:hAnsi="Calibri" w:cs="Calibri"/>
                <w:b/>
                <w:bCs/>
                <w:sz w:val="24"/>
                <w:szCs w:val="24"/>
              </w:rPr>
            </w:pPr>
            <w:r w:rsidRPr="0024414F">
              <w:rPr>
                <w:rFonts w:ascii="Calibri" w:hAnsi="Calibri" w:cs="Calibri"/>
                <w:b/>
                <w:bCs/>
                <w:sz w:val="24"/>
                <w:szCs w:val="24"/>
              </w:rPr>
              <w:t>Equivalence :</w:t>
            </w:r>
          </w:p>
        </w:tc>
        <w:tc>
          <w:tcPr>
            <w:tcW w:w="7938" w:type="dxa"/>
            <w:tcBorders>
              <w:top w:val="single" w:sz="8" w:space="0" w:color="auto"/>
              <w:left w:val="single" w:sz="4" w:space="0" w:color="auto"/>
              <w:bottom w:val="single" w:sz="18" w:space="0" w:color="auto"/>
              <w:right w:val="single" w:sz="18" w:space="0" w:color="auto"/>
            </w:tcBorders>
            <w:shd w:val="clear" w:color="auto" w:fill="FFFF99"/>
            <w:vAlign w:val="center"/>
          </w:tcPr>
          <w:p w:rsidR="000E7FF2" w:rsidRPr="0024414F" w:rsidRDefault="000E7FF2" w:rsidP="0024414F">
            <w:pPr>
              <w:spacing w:after="0" w:line="240" w:lineRule="auto"/>
              <w:jc w:val="center"/>
              <w:rPr>
                <w:rFonts w:ascii="Times New Roman" w:hAnsi="Times New Roman" w:cs="Times New Roman"/>
                <w:b/>
                <w:bCs/>
                <w:color w:val="000000"/>
                <w:sz w:val="24"/>
                <w:szCs w:val="24"/>
              </w:rPr>
            </w:pPr>
            <w:r w:rsidRPr="0024414F">
              <w:rPr>
                <w:b/>
                <w:bCs/>
                <w:color w:val="000000"/>
                <w:sz w:val="24"/>
                <w:szCs w:val="24"/>
              </w:rPr>
              <w:t>ISO 19650-2</w:t>
            </w:r>
          </w:p>
        </w:tc>
      </w:tr>
      <w:tr w:rsidR="000E7FF2" w:rsidRPr="0043547B" w:rsidTr="0024414F">
        <w:trPr>
          <w:trHeight w:val="79"/>
          <w:jc w:val="center"/>
        </w:trPr>
        <w:tc>
          <w:tcPr>
            <w:tcW w:w="1838" w:type="dxa"/>
            <w:tcBorders>
              <w:top w:val="single" w:sz="18" w:space="0" w:color="auto"/>
              <w:left w:val="single" w:sz="18" w:space="0" w:color="auto"/>
              <w:bottom w:val="single" w:sz="4" w:space="0" w:color="auto"/>
              <w:right w:val="single" w:sz="4" w:space="0" w:color="auto"/>
            </w:tcBorders>
            <w:shd w:val="clear" w:color="auto" w:fill="95B3D7" w:themeFill="accent1" w:themeFillTint="99"/>
            <w:vAlign w:val="center"/>
          </w:tcPr>
          <w:p w:rsidR="000E7FF2" w:rsidRPr="0024414F" w:rsidRDefault="000E7FF2" w:rsidP="0024414F">
            <w:pPr>
              <w:spacing w:after="0" w:line="240" w:lineRule="auto"/>
              <w:jc w:val="center"/>
              <w:rPr>
                <w:rFonts w:ascii="Calibri" w:hAnsi="Calibri" w:cs="Calibri"/>
                <w:b/>
                <w:bCs/>
                <w:sz w:val="24"/>
                <w:szCs w:val="24"/>
              </w:rPr>
            </w:pPr>
            <w:r w:rsidRPr="0024414F">
              <w:rPr>
                <w:rFonts w:ascii="Calibri" w:hAnsi="Calibri" w:cs="Calibr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bottom"/>
          </w:tcPr>
          <w:p w:rsidR="000E7FF2" w:rsidRPr="0024414F" w:rsidRDefault="000E7FF2" w:rsidP="0024414F">
            <w:pPr>
              <w:spacing w:after="0" w:line="240" w:lineRule="auto"/>
              <w:jc w:val="both"/>
              <w:rPr>
                <w:rFonts w:ascii="Times New Roman" w:hAnsi="Times New Roman" w:cs="Times New Roman"/>
                <w:color w:val="000000"/>
                <w:sz w:val="24"/>
                <w:szCs w:val="24"/>
              </w:rPr>
            </w:pPr>
            <w:r w:rsidRPr="0024414F">
              <w:rPr>
                <w:color w:val="000000"/>
                <w:sz w:val="24"/>
                <w:szCs w:val="24"/>
              </w:rPr>
              <w:t xml:space="preserve">Organisation et numérisation des informations relatives aux bâtiments et ouvrages de génie civil, y compris modélisation des informations de la </w:t>
            </w:r>
            <w:r w:rsidRPr="0024414F">
              <w:rPr>
                <w:color w:val="000000"/>
                <w:sz w:val="24"/>
                <w:szCs w:val="24"/>
              </w:rPr>
              <w:lastRenderedPageBreak/>
              <w:t xml:space="preserve">construction (BIM) - Gestion de l'information par la modélisation des informations de la construction - Partie 2 : Phase de réalisation des actifs </w:t>
            </w:r>
          </w:p>
        </w:tc>
      </w:tr>
      <w:tr w:rsidR="000E7FF2" w:rsidRPr="0043547B" w:rsidTr="0024414F">
        <w:trPr>
          <w:trHeight w:val="79"/>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0E7FF2" w:rsidRPr="0024414F" w:rsidRDefault="000E7FF2" w:rsidP="0024414F">
            <w:pPr>
              <w:jc w:val="center"/>
              <w:rPr>
                <w:rFonts w:ascii="Calibri" w:hAnsi="Calibri" w:cs="Calibri"/>
                <w:b/>
                <w:bCs/>
                <w:sz w:val="24"/>
                <w:szCs w:val="24"/>
              </w:rPr>
            </w:pPr>
            <w:r w:rsidRPr="0024414F">
              <w:rPr>
                <w:rFonts w:ascii="Calibri" w:hAnsi="Calibri" w:cs="Calibri"/>
                <w:b/>
                <w:bCs/>
                <w:sz w:val="24"/>
                <w:szCs w:val="24"/>
              </w:rPr>
              <w:lastRenderedPageBreak/>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bottom"/>
          </w:tcPr>
          <w:p w:rsidR="0024414F" w:rsidRDefault="000E7FF2" w:rsidP="0024414F">
            <w:pPr>
              <w:spacing w:after="0" w:line="240" w:lineRule="auto"/>
              <w:jc w:val="both"/>
              <w:rPr>
                <w:color w:val="000000"/>
                <w:sz w:val="24"/>
                <w:szCs w:val="24"/>
              </w:rPr>
            </w:pPr>
            <w:r w:rsidRPr="0024414F">
              <w:rPr>
                <w:color w:val="000000"/>
                <w:sz w:val="24"/>
                <w:szCs w:val="24"/>
              </w:rPr>
              <w:t>Le présent document spécifie les exigences relatives à la gestion de l’information, sous la forme d’un</w:t>
            </w:r>
            <w:r w:rsidR="0024414F">
              <w:rPr>
                <w:color w:val="000000"/>
                <w:sz w:val="24"/>
                <w:szCs w:val="24"/>
              </w:rPr>
              <w:t xml:space="preserve"> </w:t>
            </w:r>
            <w:r w:rsidRPr="0024414F">
              <w:rPr>
                <w:color w:val="000000"/>
                <w:sz w:val="24"/>
                <w:szCs w:val="24"/>
              </w:rPr>
              <w:t>processus de gestion, dans le contexte de la phase de réalisation d’actifs et les échanges d’informations</w:t>
            </w:r>
            <w:r w:rsidR="0024414F">
              <w:rPr>
                <w:color w:val="000000"/>
                <w:sz w:val="24"/>
                <w:szCs w:val="24"/>
              </w:rPr>
              <w:t xml:space="preserve"> </w:t>
            </w:r>
            <w:r w:rsidRPr="0024414F">
              <w:rPr>
                <w:color w:val="000000"/>
                <w:sz w:val="24"/>
                <w:szCs w:val="24"/>
              </w:rPr>
              <w:t>au cours de cette phase, en utilisant la modélisation des informations de la construction.</w:t>
            </w:r>
          </w:p>
          <w:p w:rsidR="000E7FF2" w:rsidRPr="0024414F" w:rsidRDefault="000E7FF2" w:rsidP="0024414F">
            <w:pPr>
              <w:spacing w:after="0" w:line="240" w:lineRule="auto"/>
              <w:jc w:val="both"/>
              <w:rPr>
                <w:rFonts w:ascii="Times New Roman" w:hAnsi="Times New Roman" w:cs="Times New Roman"/>
                <w:color w:val="000000"/>
                <w:sz w:val="24"/>
                <w:szCs w:val="24"/>
              </w:rPr>
            </w:pPr>
            <w:r w:rsidRPr="0024414F">
              <w:rPr>
                <w:color w:val="000000"/>
                <w:sz w:val="24"/>
                <w:szCs w:val="24"/>
              </w:rPr>
              <w:t>Le présent document peut être appliqué à tous les types d’actifs et par tous les types et tailles</w:t>
            </w:r>
            <w:r w:rsidR="0024414F">
              <w:rPr>
                <w:color w:val="000000"/>
                <w:sz w:val="24"/>
                <w:szCs w:val="24"/>
              </w:rPr>
              <w:t xml:space="preserve"> </w:t>
            </w:r>
            <w:r w:rsidRPr="0024414F">
              <w:rPr>
                <w:color w:val="000000"/>
                <w:sz w:val="24"/>
                <w:szCs w:val="24"/>
              </w:rPr>
              <w:t>d’organisations, quelle que soit la stratégie de passation de marchés choisie.</w:t>
            </w:r>
          </w:p>
        </w:tc>
      </w:tr>
      <w:tr w:rsidR="002952DD" w:rsidRPr="0043547B" w:rsidTr="0005434A">
        <w:trPr>
          <w:trHeight w:val="460"/>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2952DD" w:rsidRPr="0024414F" w:rsidRDefault="002952DD" w:rsidP="0024414F">
            <w:pPr>
              <w:spacing w:after="0" w:line="240" w:lineRule="auto"/>
              <w:jc w:val="center"/>
              <w:rPr>
                <w:rFonts w:ascii="Calibri" w:hAnsi="Calibri" w:cs="Calibri"/>
                <w:b/>
                <w:bCs/>
                <w:sz w:val="24"/>
                <w:szCs w:val="24"/>
              </w:rPr>
            </w:pPr>
            <w:r w:rsidRPr="0024414F">
              <w:rPr>
                <w:rFonts w:ascii="Calibri" w:hAnsi="Calibri" w:cs="Calibri"/>
                <w:b/>
                <w:bCs/>
                <w:sz w:val="24"/>
                <w:szCs w:val="24"/>
              </w:rPr>
              <w:t>Code :</w:t>
            </w:r>
          </w:p>
        </w:tc>
        <w:tc>
          <w:tcPr>
            <w:tcW w:w="7938" w:type="dxa"/>
            <w:tcBorders>
              <w:top w:val="single" w:sz="8" w:space="0" w:color="auto"/>
              <w:left w:val="single" w:sz="4" w:space="0" w:color="auto"/>
              <w:bottom w:val="single" w:sz="18" w:space="0" w:color="auto"/>
              <w:right w:val="single" w:sz="18" w:space="0" w:color="auto"/>
            </w:tcBorders>
            <w:shd w:val="clear" w:color="auto" w:fill="C2D69B" w:themeFill="accent3" w:themeFillTint="99"/>
            <w:vAlign w:val="center"/>
          </w:tcPr>
          <w:p w:rsidR="002952DD" w:rsidRPr="0024414F" w:rsidRDefault="002952DD" w:rsidP="0024414F">
            <w:pPr>
              <w:spacing w:after="0" w:line="240" w:lineRule="auto"/>
              <w:jc w:val="center"/>
              <w:rPr>
                <w:rFonts w:ascii="Times New Roman" w:hAnsi="Times New Roman" w:cs="Times New Roman"/>
                <w:b/>
                <w:bCs/>
                <w:color w:val="000000"/>
                <w:sz w:val="24"/>
                <w:szCs w:val="24"/>
              </w:rPr>
            </w:pPr>
            <w:r w:rsidRPr="0024414F">
              <w:rPr>
                <w:b/>
                <w:bCs/>
                <w:color w:val="000000"/>
                <w:sz w:val="24"/>
                <w:szCs w:val="24"/>
              </w:rPr>
              <w:t>NM EN 13964</w:t>
            </w:r>
          </w:p>
        </w:tc>
      </w:tr>
      <w:tr w:rsidR="002952DD" w:rsidRPr="0043547B" w:rsidTr="001259FF">
        <w:trPr>
          <w:trHeight w:val="407"/>
          <w:jc w:val="center"/>
        </w:trPr>
        <w:tc>
          <w:tcPr>
            <w:tcW w:w="1838" w:type="dxa"/>
            <w:tcBorders>
              <w:top w:val="nil"/>
              <w:left w:val="single" w:sz="18" w:space="0" w:color="auto"/>
              <w:bottom w:val="single" w:sz="18" w:space="0" w:color="auto"/>
              <w:right w:val="single" w:sz="4" w:space="0" w:color="auto"/>
            </w:tcBorders>
            <w:shd w:val="clear" w:color="auto" w:fill="FFFF99"/>
            <w:vAlign w:val="center"/>
          </w:tcPr>
          <w:p w:rsidR="002952DD" w:rsidRPr="0024414F" w:rsidRDefault="002952DD" w:rsidP="0024414F">
            <w:pPr>
              <w:spacing w:after="0" w:line="240" w:lineRule="auto"/>
              <w:jc w:val="center"/>
              <w:rPr>
                <w:rFonts w:ascii="Calibri" w:hAnsi="Calibri" w:cs="Calibri"/>
                <w:b/>
                <w:bCs/>
                <w:sz w:val="24"/>
                <w:szCs w:val="24"/>
              </w:rPr>
            </w:pPr>
            <w:r w:rsidRPr="0024414F">
              <w:rPr>
                <w:rFonts w:ascii="Calibri" w:hAnsi="Calibri" w:cs="Calibri"/>
                <w:b/>
                <w:bCs/>
                <w:sz w:val="24"/>
                <w:szCs w:val="24"/>
              </w:rPr>
              <w:t>Equivalence :</w:t>
            </w:r>
          </w:p>
        </w:tc>
        <w:tc>
          <w:tcPr>
            <w:tcW w:w="7938" w:type="dxa"/>
            <w:tcBorders>
              <w:top w:val="single" w:sz="8" w:space="0" w:color="auto"/>
              <w:left w:val="single" w:sz="4" w:space="0" w:color="auto"/>
              <w:bottom w:val="single" w:sz="18" w:space="0" w:color="auto"/>
              <w:right w:val="single" w:sz="18" w:space="0" w:color="auto"/>
            </w:tcBorders>
            <w:shd w:val="clear" w:color="auto" w:fill="FFFF99"/>
            <w:vAlign w:val="center"/>
          </w:tcPr>
          <w:p w:rsidR="002952DD" w:rsidRPr="0024414F" w:rsidRDefault="002952DD" w:rsidP="0024414F">
            <w:pPr>
              <w:spacing w:after="0" w:line="240" w:lineRule="auto"/>
              <w:jc w:val="center"/>
              <w:rPr>
                <w:rFonts w:ascii="Times New Roman" w:hAnsi="Times New Roman" w:cs="Times New Roman"/>
                <w:b/>
                <w:bCs/>
                <w:color w:val="000000"/>
                <w:sz w:val="24"/>
                <w:szCs w:val="24"/>
              </w:rPr>
            </w:pPr>
            <w:r w:rsidRPr="0024414F">
              <w:rPr>
                <w:b/>
                <w:bCs/>
                <w:color w:val="000000"/>
                <w:sz w:val="24"/>
                <w:szCs w:val="24"/>
              </w:rPr>
              <w:t>EN 13964</w:t>
            </w:r>
          </w:p>
        </w:tc>
      </w:tr>
      <w:tr w:rsidR="002952DD" w:rsidRPr="0043547B" w:rsidTr="001259FF">
        <w:trPr>
          <w:trHeight w:val="498"/>
          <w:jc w:val="center"/>
        </w:trPr>
        <w:tc>
          <w:tcPr>
            <w:tcW w:w="1838" w:type="dxa"/>
            <w:tcBorders>
              <w:top w:val="single" w:sz="18" w:space="0" w:color="auto"/>
              <w:left w:val="single" w:sz="18" w:space="0" w:color="auto"/>
              <w:bottom w:val="single" w:sz="4" w:space="0" w:color="auto"/>
              <w:right w:val="single" w:sz="4" w:space="0" w:color="auto"/>
            </w:tcBorders>
            <w:shd w:val="clear" w:color="auto" w:fill="95B3D7" w:themeFill="accent1" w:themeFillTint="99"/>
            <w:vAlign w:val="center"/>
          </w:tcPr>
          <w:p w:rsidR="002952DD" w:rsidRPr="0024414F" w:rsidRDefault="002952DD" w:rsidP="0024414F">
            <w:pPr>
              <w:spacing w:after="0" w:line="240" w:lineRule="auto"/>
              <w:jc w:val="center"/>
              <w:rPr>
                <w:rFonts w:ascii="Calibri" w:hAnsi="Calibri" w:cs="Calibri"/>
                <w:b/>
                <w:bCs/>
                <w:sz w:val="24"/>
                <w:szCs w:val="24"/>
              </w:rPr>
            </w:pPr>
            <w:r w:rsidRPr="0024414F">
              <w:rPr>
                <w:rFonts w:ascii="Calibri" w:hAnsi="Calibri" w:cs="Calibr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bottom"/>
          </w:tcPr>
          <w:p w:rsidR="002952DD" w:rsidRPr="0024414F" w:rsidRDefault="002952DD" w:rsidP="0024414F">
            <w:pPr>
              <w:spacing w:after="0" w:line="240" w:lineRule="auto"/>
              <w:jc w:val="both"/>
              <w:rPr>
                <w:rFonts w:ascii="Times New Roman" w:hAnsi="Times New Roman" w:cs="Times New Roman"/>
                <w:color w:val="000000"/>
                <w:sz w:val="24"/>
                <w:szCs w:val="24"/>
              </w:rPr>
            </w:pPr>
            <w:r w:rsidRPr="0024414F">
              <w:rPr>
                <w:color w:val="000000"/>
                <w:sz w:val="24"/>
                <w:szCs w:val="24"/>
              </w:rPr>
              <w:t xml:space="preserve">Plafonds suspendus - Exigences et méthodes d'essai </w:t>
            </w:r>
          </w:p>
        </w:tc>
      </w:tr>
      <w:tr w:rsidR="002952DD" w:rsidRPr="0043547B" w:rsidTr="001259FF">
        <w:trPr>
          <w:trHeight w:val="79"/>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2952DD" w:rsidRPr="0024414F" w:rsidRDefault="002952DD" w:rsidP="0005434A">
            <w:pPr>
              <w:spacing w:after="0" w:line="240" w:lineRule="auto"/>
              <w:jc w:val="center"/>
              <w:rPr>
                <w:rFonts w:ascii="Calibri" w:hAnsi="Calibri" w:cs="Calibri"/>
                <w:b/>
                <w:bCs/>
                <w:sz w:val="24"/>
                <w:szCs w:val="24"/>
              </w:rPr>
            </w:pPr>
            <w:r w:rsidRPr="0024414F">
              <w:rPr>
                <w:rFonts w:ascii="Calibri" w:hAnsi="Calibri" w:cs="Calibr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bottom"/>
          </w:tcPr>
          <w:p w:rsidR="0024414F" w:rsidRDefault="002952DD" w:rsidP="0024414F">
            <w:pPr>
              <w:spacing w:after="0" w:line="240" w:lineRule="auto"/>
              <w:jc w:val="both"/>
              <w:rPr>
                <w:color w:val="000000"/>
                <w:sz w:val="24"/>
                <w:szCs w:val="24"/>
              </w:rPr>
            </w:pPr>
            <w:r w:rsidRPr="0024414F">
              <w:rPr>
                <w:color w:val="000000"/>
                <w:sz w:val="24"/>
                <w:szCs w:val="24"/>
              </w:rPr>
              <w:t>La présente Norme européenne couvre les éléments d’habillage, les éléments individuels des ossatures, les</w:t>
            </w:r>
            <w:r w:rsidR="0024414F">
              <w:rPr>
                <w:color w:val="000000"/>
                <w:sz w:val="24"/>
                <w:szCs w:val="24"/>
              </w:rPr>
              <w:t xml:space="preserve"> </w:t>
            </w:r>
            <w:r w:rsidRPr="0024414F">
              <w:rPr>
                <w:color w:val="000000"/>
                <w:sz w:val="24"/>
                <w:szCs w:val="24"/>
              </w:rPr>
              <w:t>ossatures vendues sous forme de kits et les plafonds suspendus vendus sous forme de kits destinés à être</w:t>
            </w:r>
            <w:r w:rsidR="0024414F">
              <w:rPr>
                <w:color w:val="000000"/>
                <w:sz w:val="24"/>
                <w:szCs w:val="24"/>
              </w:rPr>
              <w:t xml:space="preserve"> </w:t>
            </w:r>
            <w:r w:rsidRPr="0024414F">
              <w:rPr>
                <w:color w:val="000000"/>
                <w:sz w:val="24"/>
                <w:szCs w:val="24"/>
              </w:rPr>
              <w:t>mis sur le marché. Elle couvre les plafonds suspendus vendus sous forme de kits complets, les ossatures</w:t>
            </w:r>
            <w:r w:rsidR="0024414F">
              <w:rPr>
                <w:color w:val="000000"/>
                <w:sz w:val="24"/>
                <w:szCs w:val="24"/>
              </w:rPr>
              <w:t xml:space="preserve"> </w:t>
            </w:r>
            <w:r w:rsidRPr="0024414F">
              <w:rPr>
                <w:color w:val="000000"/>
                <w:sz w:val="24"/>
                <w:szCs w:val="24"/>
              </w:rPr>
              <w:t>mises sur le marché sous forme de kits, les éléments (produits) individuels de ces ossatures et les éléments</w:t>
            </w:r>
            <w:r w:rsidR="0024414F">
              <w:rPr>
                <w:color w:val="000000"/>
                <w:sz w:val="24"/>
                <w:szCs w:val="24"/>
              </w:rPr>
              <w:t xml:space="preserve"> </w:t>
            </w:r>
            <w:r w:rsidRPr="0024414F">
              <w:rPr>
                <w:color w:val="000000"/>
                <w:sz w:val="24"/>
                <w:szCs w:val="24"/>
              </w:rPr>
              <w:t>d’habillage. Elle contient les méthodes d'essai et d'évaluation ainsi que les dispositions relatives à l'évaluation</w:t>
            </w:r>
            <w:r w:rsidRPr="0024414F">
              <w:rPr>
                <w:color w:val="000000"/>
                <w:sz w:val="24"/>
                <w:szCs w:val="24"/>
              </w:rPr>
              <w:br/>
              <w:t>de la conformité et au marquage des produits aux exigences de la présente Norme européenne.</w:t>
            </w:r>
          </w:p>
          <w:p w:rsidR="0024414F" w:rsidRDefault="002952DD" w:rsidP="0024414F">
            <w:pPr>
              <w:spacing w:after="0" w:line="240" w:lineRule="auto"/>
              <w:jc w:val="both"/>
              <w:rPr>
                <w:color w:val="000000"/>
                <w:sz w:val="24"/>
                <w:szCs w:val="24"/>
              </w:rPr>
            </w:pPr>
            <w:r w:rsidRPr="0024414F">
              <w:rPr>
                <w:color w:val="000000"/>
                <w:sz w:val="24"/>
                <w:szCs w:val="24"/>
              </w:rPr>
              <w:t>En l'absence de toute autre Norme européenne, la présente Norme européenne spécifie les dimensions, les</w:t>
            </w:r>
            <w:r w:rsidR="0024414F">
              <w:rPr>
                <w:color w:val="000000"/>
                <w:sz w:val="24"/>
                <w:szCs w:val="24"/>
              </w:rPr>
              <w:t xml:space="preserve"> </w:t>
            </w:r>
            <w:r w:rsidRPr="0024414F">
              <w:rPr>
                <w:color w:val="000000"/>
                <w:sz w:val="24"/>
                <w:szCs w:val="24"/>
              </w:rPr>
              <w:t>tolérances et, le cas échéant, les exigences de performance des ossatures de plafond et des éléments</w:t>
            </w:r>
            <w:r w:rsidR="0024414F">
              <w:rPr>
                <w:color w:val="000000"/>
                <w:sz w:val="24"/>
                <w:szCs w:val="24"/>
              </w:rPr>
              <w:t xml:space="preserve"> </w:t>
            </w:r>
            <w:r w:rsidRPr="0024414F">
              <w:rPr>
                <w:color w:val="000000"/>
                <w:sz w:val="24"/>
                <w:szCs w:val="24"/>
              </w:rPr>
              <w:t>d’habillage couramment disponibles.</w:t>
            </w:r>
            <w:r w:rsidRPr="0024414F">
              <w:rPr>
                <w:color w:val="000000"/>
                <w:sz w:val="24"/>
                <w:szCs w:val="24"/>
              </w:rPr>
              <w:br/>
              <w:t>La présente Norme européenne couvre les caractéristiques suivantes :</w:t>
            </w:r>
          </w:p>
          <w:p w:rsidR="0024414F" w:rsidRDefault="0024414F" w:rsidP="0024414F">
            <w:pPr>
              <w:spacing w:after="0" w:line="240" w:lineRule="auto"/>
              <w:jc w:val="both"/>
              <w:rPr>
                <w:color w:val="000000"/>
                <w:sz w:val="24"/>
                <w:szCs w:val="24"/>
              </w:rPr>
            </w:pPr>
            <w:r>
              <w:rPr>
                <w:color w:val="000000"/>
                <w:sz w:val="24"/>
                <w:szCs w:val="24"/>
              </w:rPr>
              <w:t>-</w:t>
            </w:r>
            <w:r w:rsidR="002952DD" w:rsidRPr="0024414F">
              <w:rPr>
                <w:color w:val="000000"/>
                <w:sz w:val="24"/>
                <w:szCs w:val="24"/>
              </w:rPr>
              <w:t xml:space="preserve"> la réaction au feu ;</w:t>
            </w:r>
          </w:p>
          <w:p w:rsidR="0024414F" w:rsidRDefault="0024414F" w:rsidP="0024414F">
            <w:pPr>
              <w:spacing w:after="0" w:line="240" w:lineRule="auto"/>
              <w:jc w:val="both"/>
              <w:rPr>
                <w:color w:val="000000"/>
                <w:sz w:val="24"/>
                <w:szCs w:val="24"/>
              </w:rPr>
            </w:pPr>
            <w:r>
              <w:rPr>
                <w:color w:val="000000"/>
                <w:sz w:val="24"/>
                <w:szCs w:val="24"/>
              </w:rPr>
              <w:t>-</w:t>
            </w:r>
            <w:r w:rsidR="002952DD" w:rsidRPr="0024414F">
              <w:rPr>
                <w:color w:val="000000"/>
                <w:sz w:val="24"/>
                <w:szCs w:val="24"/>
              </w:rPr>
              <w:t xml:space="preserve"> la résistance au feu (kits de plafond suspendu uniquement) ;</w:t>
            </w:r>
          </w:p>
          <w:p w:rsidR="0024414F" w:rsidRDefault="0024414F" w:rsidP="0024414F">
            <w:pPr>
              <w:spacing w:after="0" w:line="240" w:lineRule="auto"/>
              <w:jc w:val="both"/>
              <w:rPr>
                <w:color w:val="000000"/>
                <w:sz w:val="24"/>
                <w:szCs w:val="24"/>
              </w:rPr>
            </w:pPr>
            <w:r>
              <w:rPr>
                <w:color w:val="000000"/>
                <w:sz w:val="24"/>
                <w:szCs w:val="24"/>
              </w:rPr>
              <w:t>-</w:t>
            </w:r>
            <w:r w:rsidR="002952DD" w:rsidRPr="0024414F">
              <w:rPr>
                <w:color w:val="000000"/>
                <w:sz w:val="24"/>
                <w:szCs w:val="24"/>
              </w:rPr>
              <w:t xml:space="preserve"> le rejet de substances dangereuses et/ou la teneur en substances dangereuses</w:t>
            </w:r>
            <w:r>
              <w:rPr>
                <w:color w:val="000000"/>
                <w:sz w:val="24"/>
                <w:szCs w:val="24"/>
              </w:rPr>
              <w:t>:</w:t>
            </w:r>
            <w:r>
              <w:rPr>
                <w:color w:val="000000"/>
                <w:sz w:val="24"/>
                <w:szCs w:val="24"/>
              </w:rPr>
              <w:br/>
              <w:t>-</w:t>
            </w:r>
            <w:r w:rsidR="002952DD" w:rsidRPr="0024414F">
              <w:rPr>
                <w:color w:val="000000"/>
                <w:sz w:val="24"/>
                <w:szCs w:val="24"/>
              </w:rPr>
              <w:t xml:space="preserve"> rejet d'amiante (teneur) (kits de plafond suspendu et éléments d’habillage uniquement) ;</w:t>
            </w:r>
          </w:p>
          <w:p w:rsidR="0024414F" w:rsidRDefault="0024414F" w:rsidP="0024414F">
            <w:pPr>
              <w:spacing w:after="0" w:line="240" w:lineRule="auto"/>
              <w:jc w:val="both"/>
              <w:rPr>
                <w:color w:val="000000"/>
                <w:sz w:val="24"/>
                <w:szCs w:val="24"/>
              </w:rPr>
            </w:pPr>
            <w:r>
              <w:rPr>
                <w:color w:val="000000"/>
                <w:sz w:val="24"/>
                <w:szCs w:val="24"/>
              </w:rPr>
              <w:t>-</w:t>
            </w:r>
            <w:r w:rsidR="002952DD" w:rsidRPr="0024414F">
              <w:rPr>
                <w:color w:val="000000"/>
                <w:sz w:val="24"/>
                <w:szCs w:val="24"/>
              </w:rPr>
              <w:t xml:space="preserve"> rejet de formaldéhyde (kits de plafond suspendu et éléments d’habillage uniquement) ;</w:t>
            </w:r>
          </w:p>
          <w:p w:rsidR="0024414F" w:rsidRDefault="0024414F" w:rsidP="0024414F">
            <w:pPr>
              <w:spacing w:after="0" w:line="240" w:lineRule="auto"/>
              <w:jc w:val="both"/>
              <w:rPr>
                <w:color w:val="000000"/>
                <w:sz w:val="24"/>
                <w:szCs w:val="24"/>
              </w:rPr>
            </w:pPr>
            <w:r>
              <w:rPr>
                <w:color w:val="000000"/>
                <w:sz w:val="24"/>
                <w:szCs w:val="24"/>
              </w:rPr>
              <w:t>-</w:t>
            </w:r>
            <w:r w:rsidR="002952DD" w:rsidRPr="0024414F">
              <w:rPr>
                <w:color w:val="000000"/>
                <w:sz w:val="24"/>
                <w:szCs w:val="24"/>
              </w:rPr>
              <w:t xml:space="preserve"> autres substances dangereuses ;</w:t>
            </w:r>
          </w:p>
          <w:p w:rsidR="0024414F" w:rsidRDefault="0024414F" w:rsidP="0024414F">
            <w:pPr>
              <w:spacing w:after="0" w:line="240" w:lineRule="auto"/>
              <w:jc w:val="both"/>
              <w:rPr>
                <w:color w:val="000000"/>
                <w:sz w:val="24"/>
                <w:szCs w:val="24"/>
              </w:rPr>
            </w:pPr>
            <w:r>
              <w:rPr>
                <w:color w:val="000000"/>
                <w:sz w:val="24"/>
                <w:szCs w:val="24"/>
              </w:rPr>
              <w:t>-</w:t>
            </w:r>
            <w:r w:rsidR="002952DD" w:rsidRPr="0024414F">
              <w:rPr>
                <w:color w:val="000000"/>
                <w:sz w:val="24"/>
                <w:szCs w:val="24"/>
              </w:rPr>
              <w:t xml:space="preserve"> les caractéristiques de friabilité (sécurité en cas de bris)/résistance aux impacts (pour les plafonds</w:t>
            </w:r>
            <w:r>
              <w:rPr>
                <w:color w:val="000000"/>
                <w:sz w:val="24"/>
                <w:szCs w:val="24"/>
              </w:rPr>
              <w:t xml:space="preserve"> </w:t>
            </w:r>
            <w:r w:rsidR="002952DD" w:rsidRPr="0024414F">
              <w:rPr>
                <w:color w:val="000000"/>
                <w:sz w:val="24"/>
                <w:szCs w:val="24"/>
              </w:rPr>
              <w:t>suspendus vendus sous forme de kits et les éléments d’habillage en matériaux friables employés dans</w:t>
            </w:r>
            <w:r>
              <w:rPr>
                <w:color w:val="000000"/>
                <w:sz w:val="24"/>
                <w:szCs w:val="24"/>
              </w:rPr>
              <w:t xml:space="preserve"> </w:t>
            </w:r>
            <w:r w:rsidR="002952DD" w:rsidRPr="0024414F">
              <w:rPr>
                <w:color w:val="000000"/>
                <w:sz w:val="24"/>
                <w:szCs w:val="24"/>
              </w:rPr>
              <w:t>les kits de plafond suspendu uniquement) ;</w:t>
            </w:r>
          </w:p>
          <w:p w:rsidR="0024414F" w:rsidRDefault="0024414F" w:rsidP="0024414F">
            <w:pPr>
              <w:spacing w:after="0" w:line="240" w:lineRule="auto"/>
              <w:jc w:val="both"/>
              <w:rPr>
                <w:color w:val="000000"/>
                <w:sz w:val="24"/>
                <w:szCs w:val="24"/>
              </w:rPr>
            </w:pPr>
            <w:r>
              <w:rPr>
                <w:color w:val="000000"/>
                <w:sz w:val="24"/>
                <w:szCs w:val="24"/>
              </w:rPr>
              <w:t>-</w:t>
            </w:r>
            <w:r w:rsidR="002952DD" w:rsidRPr="0024414F">
              <w:rPr>
                <w:color w:val="000000"/>
                <w:sz w:val="24"/>
                <w:szCs w:val="24"/>
              </w:rPr>
              <w:t xml:space="preserve"> la résistance à la flexion ;</w:t>
            </w:r>
          </w:p>
          <w:p w:rsidR="0024414F" w:rsidRDefault="0024414F" w:rsidP="0024414F">
            <w:pPr>
              <w:spacing w:after="0" w:line="240" w:lineRule="auto"/>
              <w:jc w:val="both"/>
              <w:rPr>
                <w:color w:val="000000"/>
                <w:sz w:val="24"/>
                <w:szCs w:val="24"/>
              </w:rPr>
            </w:pPr>
            <w:r>
              <w:rPr>
                <w:color w:val="000000"/>
                <w:sz w:val="24"/>
                <w:szCs w:val="24"/>
              </w:rPr>
              <w:t>-</w:t>
            </w:r>
            <w:r w:rsidR="002952DD" w:rsidRPr="0024414F">
              <w:rPr>
                <w:color w:val="000000"/>
                <w:sz w:val="24"/>
                <w:szCs w:val="24"/>
              </w:rPr>
              <w:t xml:space="preserve"> la tenue sous charge, tolérances et dimensions ;</w:t>
            </w:r>
          </w:p>
          <w:p w:rsidR="0024414F" w:rsidRDefault="0024414F" w:rsidP="0024414F">
            <w:pPr>
              <w:spacing w:after="0" w:line="240" w:lineRule="auto"/>
              <w:jc w:val="both"/>
              <w:rPr>
                <w:color w:val="000000"/>
                <w:sz w:val="24"/>
                <w:szCs w:val="24"/>
              </w:rPr>
            </w:pPr>
            <w:r>
              <w:rPr>
                <w:color w:val="000000"/>
                <w:sz w:val="24"/>
                <w:szCs w:val="24"/>
              </w:rPr>
              <w:t>-</w:t>
            </w:r>
            <w:r w:rsidR="002952DD" w:rsidRPr="0024414F">
              <w:rPr>
                <w:color w:val="000000"/>
                <w:sz w:val="24"/>
                <w:szCs w:val="24"/>
              </w:rPr>
              <w:t xml:space="preserve"> la sécurité électrique (par exemple l'adéquation du produit à éviter une électrocution par des installations</w:t>
            </w:r>
            <w:r>
              <w:rPr>
                <w:color w:val="000000"/>
                <w:sz w:val="24"/>
                <w:szCs w:val="24"/>
              </w:rPr>
              <w:t xml:space="preserve"> </w:t>
            </w:r>
            <w:r w:rsidR="002952DD" w:rsidRPr="0024414F">
              <w:rPr>
                <w:color w:val="000000"/>
                <w:sz w:val="24"/>
                <w:szCs w:val="24"/>
              </w:rPr>
              <w:t>pouvant faire partie du plafond monté, utilisant l'électricité, par exemple les dispositifs de ventilation et</w:t>
            </w:r>
            <w:r>
              <w:rPr>
                <w:color w:val="000000"/>
                <w:sz w:val="24"/>
                <w:szCs w:val="24"/>
              </w:rPr>
              <w:t xml:space="preserve"> </w:t>
            </w:r>
            <w:r w:rsidR="002952DD" w:rsidRPr="0024414F">
              <w:rPr>
                <w:color w:val="000000"/>
                <w:sz w:val="24"/>
                <w:szCs w:val="24"/>
              </w:rPr>
              <w:t>d'éclairage) ;</w:t>
            </w:r>
          </w:p>
          <w:p w:rsidR="0024414F" w:rsidRDefault="0024414F" w:rsidP="0024414F">
            <w:pPr>
              <w:spacing w:after="0" w:line="240" w:lineRule="auto"/>
              <w:jc w:val="both"/>
              <w:rPr>
                <w:color w:val="000000"/>
                <w:sz w:val="24"/>
                <w:szCs w:val="24"/>
              </w:rPr>
            </w:pPr>
            <w:r>
              <w:rPr>
                <w:color w:val="000000"/>
                <w:sz w:val="24"/>
                <w:szCs w:val="24"/>
              </w:rPr>
              <w:t>-</w:t>
            </w:r>
            <w:r w:rsidR="002952DD" w:rsidRPr="0024414F">
              <w:rPr>
                <w:color w:val="000000"/>
                <w:sz w:val="24"/>
                <w:szCs w:val="24"/>
              </w:rPr>
              <w:t xml:space="preserve"> l’isolation du bruit aérien direct (kits de plafond suspendu uniquement) ;</w:t>
            </w:r>
          </w:p>
          <w:p w:rsidR="0024414F" w:rsidRDefault="0024414F" w:rsidP="0024414F">
            <w:pPr>
              <w:spacing w:after="0" w:line="240" w:lineRule="auto"/>
              <w:jc w:val="both"/>
              <w:rPr>
                <w:color w:val="000000"/>
                <w:sz w:val="24"/>
                <w:szCs w:val="24"/>
              </w:rPr>
            </w:pPr>
            <w:r>
              <w:rPr>
                <w:color w:val="000000"/>
                <w:sz w:val="24"/>
                <w:szCs w:val="24"/>
              </w:rPr>
              <w:t>-</w:t>
            </w:r>
            <w:r w:rsidR="002952DD" w:rsidRPr="0024414F">
              <w:rPr>
                <w:color w:val="000000"/>
                <w:sz w:val="24"/>
                <w:szCs w:val="24"/>
              </w:rPr>
              <w:t xml:space="preserve"> l’absorption acoustique (kits de plafond suspendu et éléments d’habillage uniquement) ;</w:t>
            </w:r>
          </w:p>
          <w:p w:rsidR="0024414F" w:rsidRDefault="0024414F" w:rsidP="0024414F">
            <w:pPr>
              <w:spacing w:after="0" w:line="240" w:lineRule="auto"/>
              <w:jc w:val="both"/>
              <w:rPr>
                <w:color w:val="000000"/>
                <w:sz w:val="24"/>
                <w:szCs w:val="24"/>
              </w:rPr>
            </w:pPr>
            <w:r>
              <w:rPr>
                <w:color w:val="000000"/>
                <w:sz w:val="24"/>
                <w:szCs w:val="24"/>
              </w:rPr>
              <w:lastRenderedPageBreak/>
              <w:t>-</w:t>
            </w:r>
            <w:r w:rsidR="002952DD" w:rsidRPr="0024414F">
              <w:rPr>
                <w:color w:val="000000"/>
                <w:sz w:val="24"/>
                <w:szCs w:val="24"/>
              </w:rPr>
              <w:t xml:space="preserve"> la conductivité thermique (kits de plafond suspendu uniquement et éléments d’habillage uniquement) ;</w:t>
            </w:r>
          </w:p>
          <w:p w:rsidR="0024414F" w:rsidRDefault="0024414F" w:rsidP="0024414F">
            <w:pPr>
              <w:spacing w:after="0" w:line="240" w:lineRule="auto"/>
              <w:jc w:val="both"/>
              <w:rPr>
                <w:color w:val="000000"/>
                <w:sz w:val="24"/>
                <w:szCs w:val="24"/>
              </w:rPr>
            </w:pPr>
            <w:r>
              <w:rPr>
                <w:color w:val="000000"/>
                <w:sz w:val="24"/>
                <w:szCs w:val="24"/>
              </w:rPr>
              <w:t>-</w:t>
            </w:r>
            <w:r w:rsidR="002952DD" w:rsidRPr="0024414F">
              <w:rPr>
                <w:color w:val="000000"/>
                <w:sz w:val="24"/>
                <w:szCs w:val="24"/>
              </w:rPr>
              <w:t xml:space="preserve"> la susceptibilité au développement de micro-organismes dangereux ;</w:t>
            </w:r>
          </w:p>
          <w:p w:rsidR="0024414F" w:rsidRDefault="0024414F" w:rsidP="0024414F">
            <w:pPr>
              <w:spacing w:after="0" w:line="240" w:lineRule="auto"/>
              <w:jc w:val="both"/>
              <w:rPr>
                <w:color w:val="000000"/>
                <w:sz w:val="24"/>
                <w:szCs w:val="24"/>
              </w:rPr>
            </w:pPr>
            <w:r>
              <w:rPr>
                <w:color w:val="000000"/>
                <w:sz w:val="24"/>
                <w:szCs w:val="24"/>
              </w:rPr>
              <w:t>-</w:t>
            </w:r>
            <w:r w:rsidR="002952DD" w:rsidRPr="0024414F">
              <w:rPr>
                <w:color w:val="000000"/>
                <w:sz w:val="24"/>
                <w:szCs w:val="24"/>
              </w:rPr>
              <w:t xml:space="preserve"> la résistance aux fixations (pour les éléments fixés mécaniquement) ;</w:t>
            </w:r>
          </w:p>
          <w:p w:rsidR="0024414F" w:rsidRDefault="0024414F" w:rsidP="0024414F">
            <w:pPr>
              <w:spacing w:after="0" w:line="240" w:lineRule="auto"/>
              <w:jc w:val="both"/>
              <w:rPr>
                <w:color w:val="000000"/>
                <w:sz w:val="24"/>
                <w:szCs w:val="24"/>
              </w:rPr>
            </w:pPr>
            <w:r>
              <w:rPr>
                <w:color w:val="000000"/>
                <w:sz w:val="24"/>
                <w:szCs w:val="24"/>
              </w:rPr>
              <w:t>-</w:t>
            </w:r>
            <w:r w:rsidR="002952DD" w:rsidRPr="0024414F">
              <w:rPr>
                <w:color w:val="000000"/>
                <w:sz w:val="24"/>
                <w:szCs w:val="24"/>
              </w:rPr>
              <w:t xml:space="preserve"> la durabilité de la résistance à la flexion et de la capacité sous charge en fonction de l'humidité.</w:t>
            </w:r>
          </w:p>
          <w:p w:rsidR="0024414F" w:rsidRDefault="002952DD" w:rsidP="0024414F">
            <w:pPr>
              <w:spacing w:after="0" w:line="240" w:lineRule="auto"/>
              <w:jc w:val="both"/>
              <w:rPr>
                <w:color w:val="000000"/>
                <w:sz w:val="24"/>
                <w:szCs w:val="24"/>
              </w:rPr>
            </w:pPr>
            <w:r w:rsidRPr="0024414F">
              <w:rPr>
                <w:color w:val="000000"/>
                <w:sz w:val="24"/>
                <w:szCs w:val="24"/>
              </w:rPr>
              <w:t>La présente Norme européenne couvre aussi les exigences suivantes :</w:t>
            </w:r>
          </w:p>
          <w:p w:rsidR="0024414F" w:rsidRDefault="0024414F" w:rsidP="0024414F">
            <w:pPr>
              <w:spacing w:after="0" w:line="240" w:lineRule="auto"/>
              <w:jc w:val="both"/>
              <w:rPr>
                <w:color w:val="000000"/>
                <w:sz w:val="24"/>
                <w:szCs w:val="24"/>
              </w:rPr>
            </w:pPr>
            <w:r>
              <w:rPr>
                <w:color w:val="000000"/>
                <w:sz w:val="24"/>
                <w:szCs w:val="24"/>
              </w:rPr>
              <w:t>-</w:t>
            </w:r>
            <w:r w:rsidR="002952DD" w:rsidRPr="0024414F">
              <w:rPr>
                <w:color w:val="000000"/>
                <w:sz w:val="24"/>
                <w:szCs w:val="24"/>
              </w:rPr>
              <w:t xml:space="preserve"> la couleur et le facteur de réflexion ;</w:t>
            </w:r>
          </w:p>
          <w:p w:rsidR="002952DD" w:rsidRPr="0024414F" w:rsidRDefault="0024414F" w:rsidP="0024414F">
            <w:pPr>
              <w:spacing w:after="0" w:line="240" w:lineRule="auto"/>
              <w:jc w:val="both"/>
              <w:rPr>
                <w:rFonts w:ascii="Times New Roman" w:hAnsi="Times New Roman" w:cs="Times New Roman"/>
                <w:color w:val="000000"/>
                <w:sz w:val="24"/>
                <w:szCs w:val="24"/>
              </w:rPr>
            </w:pPr>
            <w:r>
              <w:rPr>
                <w:color w:val="000000"/>
                <w:sz w:val="24"/>
                <w:szCs w:val="24"/>
              </w:rPr>
              <w:t>-</w:t>
            </w:r>
            <w:r w:rsidR="002952DD" w:rsidRPr="0024414F">
              <w:rPr>
                <w:color w:val="000000"/>
                <w:sz w:val="24"/>
                <w:szCs w:val="24"/>
              </w:rPr>
              <w:t xml:space="preserve"> l’installation.</w:t>
            </w:r>
          </w:p>
        </w:tc>
      </w:tr>
      <w:tr w:rsidR="0043547B" w:rsidRPr="0043547B" w:rsidTr="001E064F">
        <w:trPr>
          <w:trHeight w:val="79"/>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tcPr>
          <w:p w:rsidR="00904E52" w:rsidRPr="0043547B" w:rsidRDefault="00904E52" w:rsidP="00904E52">
            <w:pPr>
              <w:spacing w:after="0"/>
              <w:jc w:val="center"/>
              <w:rPr>
                <w:rFonts w:cstheme="minorHAnsi"/>
                <w:sz w:val="24"/>
                <w:szCs w:val="24"/>
              </w:rPr>
            </w:pPr>
            <w:r w:rsidRPr="0043547B">
              <w:rPr>
                <w:rFonts w:cstheme="minorHAnsi"/>
                <w:b/>
                <w:bCs/>
                <w:sz w:val="24"/>
                <w:szCs w:val="24"/>
              </w:rPr>
              <w:t>NM ISO 21931-1</w:t>
            </w:r>
            <w:r w:rsidRPr="0043547B">
              <w:rPr>
                <w:rFonts w:cstheme="minorHAnsi"/>
                <w:sz w:val="24"/>
                <w:szCs w:val="24"/>
              </w:rPr>
              <w:t> </w:t>
            </w:r>
          </w:p>
        </w:tc>
      </w:tr>
      <w:tr w:rsidR="0043547B" w:rsidRPr="0043547B" w:rsidTr="001E064F">
        <w:trPr>
          <w:trHeight w:val="79"/>
          <w:jc w:val="center"/>
        </w:trPr>
        <w:tc>
          <w:tcPr>
            <w:tcW w:w="1838" w:type="dxa"/>
            <w:tcBorders>
              <w:top w:val="nil"/>
              <w:left w:val="single" w:sz="18" w:space="0" w:color="auto"/>
              <w:bottom w:val="single" w:sz="4" w:space="0" w:color="auto"/>
              <w:right w:val="single" w:sz="4" w:space="0" w:color="auto"/>
            </w:tcBorders>
            <w:shd w:val="clear" w:color="000000" w:fill="8DB4E2"/>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8" w:space="0" w:color="auto"/>
              <w:left w:val="single" w:sz="4" w:space="0" w:color="auto"/>
              <w:bottom w:val="single" w:sz="4" w:space="0" w:color="auto"/>
              <w:right w:val="single" w:sz="18" w:space="0" w:color="auto"/>
            </w:tcBorders>
            <w:shd w:val="clear" w:color="auto" w:fill="auto"/>
            <w:vAlign w:val="center"/>
          </w:tcPr>
          <w:p w:rsidR="00904E52" w:rsidRPr="0043547B" w:rsidRDefault="00904E52" w:rsidP="00DB1479">
            <w:pPr>
              <w:spacing w:after="0" w:line="240" w:lineRule="auto"/>
              <w:jc w:val="both"/>
              <w:rPr>
                <w:rFonts w:cstheme="minorHAnsi"/>
                <w:sz w:val="24"/>
                <w:szCs w:val="24"/>
              </w:rPr>
            </w:pPr>
            <w:r w:rsidRPr="0043547B">
              <w:rPr>
                <w:rFonts w:cstheme="minorHAnsi"/>
                <w:sz w:val="24"/>
                <w:szCs w:val="24"/>
              </w:rPr>
              <w:t xml:space="preserve">Développement durable dans la construction - Cadre méthodologique de l'évaluation de la performance environnementale des ouvrages de construction - Partie 1 : Bâtiments </w:t>
            </w:r>
          </w:p>
        </w:tc>
      </w:tr>
      <w:tr w:rsidR="0043547B" w:rsidRPr="0043547B" w:rsidTr="001E064F">
        <w:trPr>
          <w:trHeight w:val="79"/>
          <w:jc w:val="center"/>
        </w:trPr>
        <w:tc>
          <w:tcPr>
            <w:tcW w:w="1838" w:type="dxa"/>
            <w:tcBorders>
              <w:top w:val="nil"/>
              <w:left w:val="single" w:sz="18" w:space="0" w:color="auto"/>
              <w:bottom w:val="single" w:sz="18" w:space="0" w:color="auto"/>
              <w:right w:val="single" w:sz="4" w:space="0" w:color="auto"/>
            </w:tcBorders>
            <w:shd w:val="clear" w:color="000000" w:fill="D9D9D9"/>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single" w:sz="8" w:space="0" w:color="auto"/>
              <w:left w:val="single" w:sz="4" w:space="0" w:color="auto"/>
              <w:bottom w:val="single" w:sz="18" w:space="0" w:color="auto"/>
              <w:right w:val="single" w:sz="18" w:space="0" w:color="auto"/>
            </w:tcBorders>
            <w:shd w:val="clear" w:color="auto" w:fill="auto"/>
            <w:vAlign w:val="center"/>
          </w:tcPr>
          <w:p w:rsidR="00904E52" w:rsidRPr="0043547B" w:rsidRDefault="00904E52" w:rsidP="00DB1479">
            <w:pPr>
              <w:spacing w:after="0" w:line="240" w:lineRule="auto"/>
              <w:jc w:val="both"/>
              <w:rPr>
                <w:rFonts w:cstheme="minorHAnsi"/>
                <w:sz w:val="24"/>
                <w:szCs w:val="24"/>
              </w:rPr>
            </w:pPr>
            <w:r w:rsidRPr="0043547B">
              <w:rPr>
                <w:rFonts w:cstheme="minorHAnsi"/>
                <w:sz w:val="24"/>
                <w:szCs w:val="24"/>
              </w:rPr>
              <w:t>La norme établit un cadre général en vue d'améliorer la qualité et la comparabilité des méthodes d'évaluation de la performance environnementale des bâtiments et de leurs ouvrages extérieurs.</w:t>
            </w:r>
          </w:p>
          <w:p w:rsidR="00904E52" w:rsidRPr="0043547B" w:rsidRDefault="00904E52" w:rsidP="00DB1479">
            <w:pPr>
              <w:spacing w:after="0" w:line="240" w:lineRule="auto"/>
              <w:jc w:val="both"/>
              <w:rPr>
                <w:rFonts w:cstheme="minorHAnsi"/>
                <w:sz w:val="24"/>
                <w:szCs w:val="24"/>
              </w:rPr>
            </w:pPr>
            <w:r w:rsidRPr="0043547B">
              <w:rPr>
                <w:rFonts w:cstheme="minorHAnsi"/>
                <w:sz w:val="24"/>
                <w:szCs w:val="24"/>
              </w:rPr>
              <w:t>Elle identifie et décrit les sujets de préoccupation à prendre en compte lors du développement et de l'utilisation de méthodes d'évaluation de la performance environnementale pour des bâtiments neufs ou existants par rapport à leur conception, construction, exploitation, maintenance, réhabilitation et déconstruction.</w:t>
            </w:r>
          </w:p>
          <w:p w:rsidR="00904E52" w:rsidRPr="0043547B" w:rsidRDefault="00904E52" w:rsidP="00F21DCC">
            <w:pPr>
              <w:spacing w:after="0" w:line="240" w:lineRule="auto"/>
              <w:jc w:val="both"/>
              <w:rPr>
                <w:rFonts w:cstheme="minorHAnsi"/>
                <w:sz w:val="24"/>
                <w:szCs w:val="24"/>
              </w:rPr>
            </w:pPr>
            <w:r w:rsidRPr="0043547B">
              <w:rPr>
                <w:rFonts w:cstheme="minorHAnsi"/>
                <w:sz w:val="24"/>
                <w:szCs w:val="24"/>
              </w:rPr>
              <w:t xml:space="preserve">Elle traite uniquement des méthodes d'évaluation de la performance environnementale. </w:t>
            </w:r>
          </w:p>
        </w:tc>
      </w:tr>
      <w:tr w:rsidR="0043547B" w:rsidRPr="0043547B" w:rsidTr="001E064F">
        <w:trPr>
          <w:trHeight w:val="79"/>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jc w:val="center"/>
              <w:rPr>
                <w:rFonts w:eastAsia="Times New Roman" w:cstheme="minorHAnsi"/>
                <w:sz w:val="24"/>
                <w:szCs w:val="24"/>
                <w:lang w:eastAsia="fr-FR"/>
              </w:rPr>
            </w:pPr>
            <w:r w:rsidRPr="0043547B">
              <w:rPr>
                <w:rFonts w:cstheme="minorHAnsi"/>
                <w:b/>
                <w:bCs/>
                <w:sz w:val="24"/>
                <w:szCs w:val="24"/>
              </w:rPr>
              <w:t>NM EN 15239</w:t>
            </w:r>
            <w:r w:rsidRPr="0043547B">
              <w:rPr>
                <w:rFonts w:eastAsia="Times New Roman" w:cstheme="minorHAnsi"/>
                <w:sz w:val="24"/>
                <w:szCs w:val="24"/>
                <w:lang w:eastAsia="fr-FR"/>
              </w:rPr>
              <w:t xml:space="preserve"> </w:t>
            </w:r>
          </w:p>
        </w:tc>
      </w:tr>
      <w:tr w:rsidR="0043547B" w:rsidRPr="0043547B" w:rsidTr="001E064F">
        <w:trPr>
          <w:trHeight w:val="48"/>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15239</w:t>
            </w:r>
          </w:p>
        </w:tc>
      </w:tr>
      <w:tr w:rsidR="0043547B" w:rsidRPr="0043547B" w:rsidTr="001E064F">
        <w:trPr>
          <w:trHeight w:val="424"/>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Ventilation des bâtiments - Performance énergétique des bâtiments - Lignes directrices pour l'inspection des systèmes de ventilation </w:t>
            </w:r>
          </w:p>
        </w:tc>
      </w:tr>
      <w:tr w:rsidR="0043547B" w:rsidRPr="0043547B" w:rsidTr="001E064F">
        <w:trPr>
          <w:trHeight w:val="1128"/>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décrit la méthodologie requise pour l’inspection des systèmes de ventilation mécanique et naturelle sur l’aspect consommation d’énergie. Elle s’applique à la fois aux bâtiments résidentiels et non résidentiels. L’inspection peut intégrer les questions suivantes, de manière à déterminer la performance énergétique du bâtiment et des installations mécanique/électrique associées :</w:t>
            </w:r>
          </w:p>
          <w:p w:rsidR="00904E52" w:rsidRPr="0043547B" w:rsidRDefault="00904E52" w:rsidP="008E747E">
            <w:pPr>
              <w:spacing w:after="0" w:line="240" w:lineRule="auto"/>
              <w:rPr>
                <w:rFonts w:eastAsia="Times New Roman" w:cstheme="minorHAnsi"/>
                <w:sz w:val="24"/>
                <w:szCs w:val="24"/>
                <w:lang w:eastAsia="fr-FR"/>
              </w:rPr>
            </w:pPr>
            <w:r w:rsidRPr="0043547B">
              <w:rPr>
                <w:rFonts w:eastAsia="Times New Roman" w:cstheme="minorHAnsi"/>
                <w:sz w:val="24"/>
                <w:szCs w:val="24"/>
                <w:lang w:eastAsia="fr-FR"/>
              </w:rPr>
              <w:t>— la conformité du système à la conception d’origine et à ses modifications ultérieures, aux besoins réels et à l’état actuel du bâtiment ;</w:t>
            </w:r>
          </w:p>
          <w:p w:rsidR="00904E52" w:rsidRPr="0043547B" w:rsidRDefault="00904E52" w:rsidP="008E747E">
            <w:pPr>
              <w:spacing w:after="0" w:line="240" w:lineRule="auto"/>
              <w:rPr>
                <w:rFonts w:eastAsia="Times New Roman" w:cstheme="minorHAnsi"/>
                <w:sz w:val="24"/>
                <w:szCs w:val="24"/>
                <w:lang w:eastAsia="fr-FR"/>
              </w:rPr>
            </w:pPr>
            <w:r w:rsidRPr="0043547B">
              <w:rPr>
                <w:rFonts w:eastAsia="Times New Roman" w:cstheme="minorHAnsi"/>
                <w:sz w:val="24"/>
                <w:szCs w:val="24"/>
                <w:lang w:eastAsia="fr-FR"/>
              </w:rPr>
              <w:t>— le fonctionnement correct des composants mécaniques, électriques et pneumatiques;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l’approvisionnement suffisant en air pur par la ventilation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le fonctionnement de tous les réglages impliqués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la puissance absorbée par le ventilateur et la puissance spécifique du ventilateur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l’étanchéité à l’air du bâtiment.</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vise à évaluer le fonctionnement des systèmes de ventilation et leur impact sur la consommation d’énergie. Elle comprend des recommandations sur les éventuelles améliorations à apporter aux systèmes.</w:t>
            </w:r>
          </w:p>
        </w:tc>
      </w:tr>
      <w:tr w:rsidR="0043547B" w:rsidRPr="0043547B" w:rsidTr="001E064F">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12236</w:t>
            </w:r>
          </w:p>
        </w:tc>
      </w:tr>
      <w:tr w:rsidR="0043547B" w:rsidRPr="0043547B" w:rsidTr="001E064F">
        <w:trPr>
          <w:trHeight w:val="104"/>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12236</w:t>
            </w:r>
          </w:p>
        </w:tc>
      </w:tr>
      <w:tr w:rsidR="0043547B" w:rsidRPr="0043547B" w:rsidTr="001E064F">
        <w:trPr>
          <w:trHeight w:val="363"/>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Ventilation des bâtiments - Supports et appuis pour réseau de conduits - Prescriptions de résistance </w:t>
            </w:r>
          </w:p>
        </w:tc>
      </w:tr>
      <w:tr w:rsidR="0043547B" w:rsidRPr="0043547B" w:rsidTr="001E064F">
        <w:trPr>
          <w:trHeight w:val="2653"/>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prescriptions pour la construction et l'installation des supports pour réseaux de conduits en tôle dans les systèmes de ventilation et de climatisation. Elle s'applique à n’importe quelle forme de réseau de conduits (rectangulaire, circulaire et ovale), et aux composants utilisés dans les systèmes de climatisation et de ventilation dans les bâtiments. Elle prend également en compte les charges de l’isolant, facteurs de sécurité, charges imposées (nettoyage et maintenance), isolation contre les vibrations, et résistance à la corrosion.</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ne considère pas les charges dues aux tremblements de terre.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ne couvre pas les prescriptions relatives à l’incendie et à la protection contre les incendies des systèmes de conduits et supports.</w:t>
            </w:r>
          </w:p>
        </w:tc>
      </w:tr>
      <w:tr w:rsidR="0043547B" w:rsidRPr="0043547B" w:rsidTr="001E064F">
        <w:trPr>
          <w:trHeight w:val="96"/>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 xml:space="preserve">NM EN 15727  </w:t>
            </w:r>
          </w:p>
        </w:tc>
      </w:tr>
      <w:tr w:rsidR="0043547B" w:rsidRPr="0043547B" w:rsidTr="001E064F">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 xml:space="preserve">EN 15727 </w:t>
            </w:r>
          </w:p>
        </w:tc>
      </w:tr>
      <w:tr w:rsidR="0043547B" w:rsidRPr="0043547B" w:rsidTr="001E064F">
        <w:trPr>
          <w:trHeight w:val="318"/>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Ventilation des bâtiments - Composants de réseaux, classification de l'étanchéité et essais </w:t>
            </w:r>
          </w:p>
        </w:tc>
      </w:tr>
      <w:tr w:rsidR="0043547B" w:rsidRPr="0043547B" w:rsidTr="001E064F">
        <w:trPr>
          <w:trHeight w:val="985"/>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aux composants techniques destinés à être installés dans des réseaux de conduits conformes à NM EN 1505 et à NM EN 1506 et utilisés dans des systèmes de ventilation et de conditionnement d’air. Le présent document spécifie les prescriptions en matière d’étanchéité pour les composants techniques des réseaux de conduits, c’est-à-dire les composants de ces réseaux qui n’ont pas pour seule fonction de véhiculer l’air, tels que les atténuateurs de bruit, les caissons filtrants et les ventilateurs de conduits, etc.</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produits suivants ne relèvent pas du domaine d’application du présent document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composants de réseaux de conduits tels que coudes, réducteurs, conduits et raccords en T. NM EN 12237 et NM EN 1507 s’appliquent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conduits flexibles conformes à NM EN 13180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conduits en panneaux isolants conformes à NM EN 13403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registres conformes à NM EN 1751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caissons de traitement d’air conformes à NM EN 1886.</w:t>
            </w:r>
          </w:p>
        </w:tc>
      </w:tr>
      <w:tr w:rsidR="0043547B" w:rsidRPr="0043547B" w:rsidTr="001E064F">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15251</w:t>
            </w:r>
          </w:p>
        </w:tc>
      </w:tr>
      <w:tr w:rsidR="0043547B" w:rsidRPr="0043547B" w:rsidTr="001E064F">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15251</w:t>
            </w:r>
          </w:p>
        </w:tc>
      </w:tr>
      <w:tr w:rsidR="0043547B" w:rsidRPr="0043547B" w:rsidTr="001E064F">
        <w:trPr>
          <w:trHeight w:val="588"/>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Critères d’ambiance intérieure pour la conception et évaluation de la performance énergétique des bâtiments couvrant la qualité de l'air intérieur, la thermique, l'éclairage et l'acoustique</w:t>
            </w:r>
          </w:p>
        </w:tc>
      </w:tr>
      <w:tr w:rsidR="0043547B" w:rsidRPr="0043547B" w:rsidTr="001E064F">
        <w:trPr>
          <w:trHeight w:val="1127"/>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paramètres relatifs à l’ambiance intérieure qui influent sur la performance énergétique des bâtiments ; elle spécifie le mode d’établissement des paramètres d’entrée relatifs à l’ambiance intérieure pour la conception du bâtiment en tant que système et pour les calculs de la performance énergétique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également des méthodes pour l’évaluation à long terme de l’ambiance intérieure obtenue, à partir de calculs ou de résultats de mesures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critères de mesurages pouvant être utilisés, si exigés, afin d’évaluer la conformité au travers d’une inspection ; elle spécifie des paramètres à utiliser et à afficher lors du contrôle de l’ambiance intérieure dans les bâtiments existants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La norme s’applique essentiellement aux bâtiments non industriels pour lesquels les critères d’ambiance intérieure sont déterminés par l’occupation humaine et </w:t>
            </w:r>
            <w:r w:rsidRPr="0043547B">
              <w:rPr>
                <w:rFonts w:eastAsia="Times New Roman" w:cstheme="minorHAnsi"/>
                <w:sz w:val="24"/>
                <w:szCs w:val="24"/>
                <w:lang w:eastAsia="fr-FR"/>
              </w:rPr>
              <w:lastRenderedPageBreak/>
              <w:t>dont l’ambiance intérieure n’est pas notablement influencée par une production ou par des procédés. La norme est ainsi applicable aux types de bâtiments suivants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maisons individuelles, immeubles d’habitation, bureaux, bâtiments d’enseignement, hôpitaux, hôtels et restaurants, installations sportives, bâtiments de service pour le commerce de gros et de détail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la manière dont les différentes catégories de critères d’ambiance intérieure peuvent être utilisées, mais n’impose pas les critères à utiliser. Ceci relève de spécifications nationales ou contractuelles ;</w:t>
            </w:r>
          </w:p>
          <w:p w:rsidR="00904E52" w:rsidRPr="0043547B" w:rsidRDefault="00904E52" w:rsidP="001E064F">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les critères recommandés dans La norme peuvent également être utilisés dans les méthodes de calcul nationales pouvant être différentes de celles indiquées ici;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ne prescrit pas de méthode de conception mais fournit les paramètres d’entrée pour la conception des bâtiments, des systèmes de chauffage, de rafraîchissement, de ventilation et d’éclairage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ne prend pas en compte les critères relatifs aux facteurs d’inconfort locaux comme les courants d’air, l’asymétrie de la température de rayonnement, les gradients verticaux de température d’air et les températures de surface au sol.</w:t>
            </w:r>
          </w:p>
        </w:tc>
      </w:tr>
      <w:tr w:rsidR="0043547B" w:rsidRPr="0043547B" w:rsidTr="001E064F">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15193</w:t>
            </w:r>
          </w:p>
        </w:tc>
      </w:tr>
      <w:tr w:rsidR="0043547B" w:rsidRPr="0043547B" w:rsidTr="001E064F">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15193</w:t>
            </w:r>
          </w:p>
        </w:tc>
      </w:tr>
      <w:tr w:rsidR="0043547B" w:rsidRPr="0043547B" w:rsidTr="001E064F">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Performance énergétique des bâtiments - Exigences énergétiques pour l'éclairage </w:t>
            </w:r>
          </w:p>
        </w:tc>
      </w:tr>
      <w:tr w:rsidR="0043547B" w:rsidRPr="0043547B" w:rsidTr="001E064F">
        <w:trPr>
          <w:trHeight w:val="567"/>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la méthodologie de calcul permettant d’évaluer la quantité d’énergie utilisée pour l’éclairage intérieur d’un bâtiment et fournit un indicateur numérique pour les exigences énergétiques en matière d’éclairage appliquées en vue de la certification. La norme peut être utilisée pour les bâtiments existants et pour la conception de bâtiments neufs ou rénovés. Elle présente également des projets de référence pour fixer les bases des objectifs énergétiques affectées à l’éclairage. La norme fournit également une méthodologie pour le calcul de la consommation instantanée d’énergie d’éclairage permettant d’estimer la performance énergétique globale du bâtiment. Les puissances auxiliaires non incluses dans le luminaire sont exclues.</w:t>
            </w:r>
          </w:p>
          <w:p w:rsidR="001E064F"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Dans la norme, les bâtiments sont classés dans les catégories suivantes : bureaux, établissements d’enseignement, établissements sanitaires, hôtellerie, restauration, établissements sportifs, commerces (services de vente en gros et au détail) et usines de fabrication.</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À certains emplacements, la puissance provenant du bâtiment peut alimenter l’éclairage extérieur. Cet éclairage peut être utilisé pour éclairer la façade, un parc de stationnement en plein air, assurer un éclairage de sécurité, de jardin, etc. Ces systèmes d’éclairage peuvent consommer une quantité importante d’énergie et, lorsqu’ils sont alimentés par le bâtiment, cette charge ne sera pas intégrée à l’indicateur numérique de l’énergie d’éclairage ou aux valeurs utilisées pour l’estimation de la charge de chauffage et de refroidissement. En cas de mesurage de la charge d’éclairage, ces charges peuvent être incluses dans l’énergie d’éclairage mesurée. </w:t>
            </w:r>
          </w:p>
        </w:tc>
      </w:tr>
      <w:tr w:rsidR="007A42E0" w:rsidRPr="0043547B" w:rsidTr="00A806D1">
        <w:trPr>
          <w:trHeight w:val="160"/>
          <w:jc w:val="center"/>
        </w:trPr>
        <w:tc>
          <w:tcPr>
            <w:tcW w:w="1838" w:type="dxa"/>
            <w:tcBorders>
              <w:top w:val="nil"/>
              <w:left w:val="single" w:sz="18" w:space="0" w:color="auto"/>
              <w:bottom w:val="single" w:sz="18" w:space="0" w:color="auto"/>
              <w:right w:val="single" w:sz="4" w:space="0" w:color="auto"/>
            </w:tcBorders>
            <w:shd w:val="clear" w:color="auto" w:fill="9BBB59" w:themeFill="accent3"/>
            <w:vAlign w:val="center"/>
          </w:tcPr>
          <w:p w:rsidR="007A42E0" w:rsidRPr="00A806D1" w:rsidRDefault="007A42E0" w:rsidP="00A806D1">
            <w:pPr>
              <w:spacing w:after="0" w:line="240" w:lineRule="auto"/>
              <w:jc w:val="center"/>
              <w:rPr>
                <w:rFonts w:cstheme="minorHAnsi"/>
                <w:b/>
                <w:bCs/>
                <w:sz w:val="24"/>
                <w:szCs w:val="24"/>
              </w:rPr>
            </w:pPr>
            <w:r w:rsidRPr="00A806D1">
              <w:rPr>
                <w:rFonts w:cstheme="minorHAnsi"/>
                <w:b/>
                <w:bCs/>
                <w:sz w:val="24"/>
                <w:szCs w:val="24"/>
              </w:rPr>
              <w:t>Code :</w:t>
            </w:r>
          </w:p>
        </w:tc>
        <w:tc>
          <w:tcPr>
            <w:tcW w:w="7938" w:type="dxa"/>
            <w:tcBorders>
              <w:top w:val="nil"/>
              <w:left w:val="single" w:sz="4" w:space="0" w:color="auto"/>
              <w:bottom w:val="single" w:sz="18" w:space="0" w:color="auto"/>
              <w:right w:val="single" w:sz="18" w:space="0" w:color="auto"/>
            </w:tcBorders>
            <w:shd w:val="clear" w:color="auto" w:fill="9BBB59" w:themeFill="accent3"/>
          </w:tcPr>
          <w:p w:rsidR="007A42E0" w:rsidRPr="00A806D1" w:rsidRDefault="007A42E0" w:rsidP="00A806D1">
            <w:pPr>
              <w:spacing w:after="0" w:line="240" w:lineRule="auto"/>
              <w:jc w:val="center"/>
              <w:rPr>
                <w:rFonts w:cstheme="minorHAnsi"/>
                <w:b/>
                <w:bCs/>
                <w:sz w:val="24"/>
                <w:szCs w:val="24"/>
              </w:rPr>
            </w:pPr>
            <w:r w:rsidRPr="00A806D1">
              <w:rPr>
                <w:rFonts w:cstheme="minorHAnsi"/>
                <w:b/>
                <w:bCs/>
                <w:sz w:val="24"/>
                <w:szCs w:val="24"/>
              </w:rPr>
              <w:t>NM EN 599-2</w:t>
            </w:r>
          </w:p>
        </w:tc>
      </w:tr>
      <w:tr w:rsidR="007A42E0" w:rsidRPr="0043547B" w:rsidTr="00A806D1">
        <w:trPr>
          <w:trHeight w:val="264"/>
          <w:jc w:val="center"/>
        </w:trPr>
        <w:tc>
          <w:tcPr>
            <w:tcW w:w="1838" w:type="dxa"/>
            <w:tcBorders>
              <w:top w:val="nil"/>
              <w:left w:val="single" w:sz="18" w:space="0" w:color="auto"/>
              <w:bottom w:val="single" w:sz="18" w:space="0" w:color="auto"/>
              <w:right w:val="single" w:sz="4" w:space="0" w:color="auto"/>
            </w:tcBorders>
            <w:shd w:val="clear" w:color="auto" w:fill="FFFF99"/>
            <w:vAlign w:val="center"/>
          </w:tcPr>
          <w:p w:rsidR="007A42E0" w:rsidRPr="00A806D1" w:rsidRDefault="007A42E0" w:rsidP="00A806D1">
            <w:pPr>
              <w:spacing w:after="0"/>
              <w:jc w:val="center"/>
              <w:rPr>
                <w:rFonts w:cstheme="minorHAnsi"/>
                <w:b/>
                <w:bCs/>
                <w:sz w:val="24"/>
                <w:szCs w:val="24"/>
              </w:rPr>
            </w:pPr>
            <w:r w:rsidRPr="00A806D1">
              <w:rPr>
                <w:rFonts w:cstheme="minorHAnsi"/>
                <w:b/>
                <w:bCs/>
                <w:sz w:val="24"/>
                <w:szCs w:val="24"/>
              </w:rPr>
              <w:t>Equivalence :</w:t>
            </w:r>
          </w:p>
        </w:tc>
        <w:tc>
          <w:tcPr>
            <w:tcW w:w="7938" w:type="dxa"/>
            <w:tcBorders>
              <w:top w:val="nil"/>
              <w:left w:val="single" w:sz="4" w:space="0" w:color="auto"/>
              <w:bottom w:val="single" w:sz="18" w:space="0" w:color="auto"/>
              <w:right w:val="single" w:sz="18" w:space="0" w:color="auto"/>
            </w:tcBorders>
            <w:shd w:val="clear" w:color="auto" w:fill="FFFF99"/>
            <w:vAlign w:val="center"/>
          </w:tcPr>
          <w:p w:rsidR="007A42E0" w:rsidRPr="00A806D1" w:rsidRDefault="007A42E0" w:rsidP="00A806D1">
            <w:pPr>
              <w:spacing w:after="0"/>
              <w:jc w:val="center"/>
              <w:rPr>
                <w:rFonts w:cstheme="minorHAnsi"/>
                <w:b/>
                <w:bCs/>
                <w:sz w:val="24"/>
                <w:szCs w:val="24"/>
              </w:rPr>
            </w:pPr>
            <w:r w:rsidRPr="00A806D1">
              <w:rPr>
                <w:rFonts w:cstheme="minorHAnsi"/>
                <w:b/>
                <w:bCs/>
                <w:sz w:val="24"/>
                <w:szCs w:val="24"/>
              </w:rPr>
              <w:t>EN 599-2</w:t>
            </w:r>
          </w:p>
        </w:tc>
      </w:tr>
      <w:tr w:rsidR="007A42E0" w:rsidRPr="0043547B" w:rsidTr="00A806D1">
        <w:trPr>
          <w:trHeight w:val="567"/>
          <w:jc w:val="center"/>
        </w:trPr>
        <w:tc>
          <w:tcPr>
            <w:tcW w:w="1838" w:type="dxa"/>
            <w:tcBorders>
              <w:top w:val="nil"/>
              <w:left w:val="single" w:sz="18" w:space="0" w:color="auto"/>
              <w:bottom w:val="single" w:sz="18" w:space="0" w:color="auto"/>
              <w:right w:val="single" w:sz="4" w:space="0" w:color="auto"/>
            </w:tcBorders>
            <w:shd w:val="clear" w:color="auto" w:fill="95B3D7" w:themeFill="accent1" w:themeFillTint="99"/>
            <w:vAlign w:val="center"/>
          </w:tcPr>
          <w:p w:rsidR="007A42E0" w:rsidRDefault="007A42E0" w:rsidP="00A806D1">
            <w:pPr>
              <w:spacing w:after="0"/>
              <w:jc w:val="center"/>
              <w:rPr>
                <w:rFonts w:ascii="Calibri" w:hAnsi="Calibri" w:cs="Calibri"/>
                <w:b/>
                <w:bCs/>
                <w:color w:val="000000"/>
                <w:sz w:val="24"/>
                <w:szCs w:val="24"/>
              </w:rPr>
            </w:pPr>
            <w:r w:rsidRPr="00A806D1">
              <w:rPr>
                <w:rFonts w:cstheme="minorHAnsi"/>
                <w:b/>
                <w:bCs/>
                <w:sz w:val="24"/>
                <w:szCs w:val="24"/>
              </w:rPr>
              <w:lastRenderedPageBreak/>
              <w:t>Intitulé :</w:t>
            </w:r>
          </w:p>
        </w:tc>
        <w:tc>
          <w:tcPr>
            <w:tcW w:w="7938" w:type="dxa"/>
            <w:tcBorders>
              <w:top w:val="nil"/>
              <w:left w:val="single" w:sz="4" w:space="0" w:color="auto"/>
              <w:bottom w:val="single" w:sz="18" w:space="0" w:color="auto"/>
              <w:right w:val="single" w:sz="18" w:space="0" w:color="auto"/>
            </w:tcBorders>
            <w:shd w:val="clear" w:color="auto" w:fill="auto"/>
          </w:tcPr>
          <w:p w:rsidR="007A42E0" w:rsidRPr="00C90064" w:rsidRDefault="007A42E0" w:rsidP="00C90064">
            <w:pPr>
              <w:spacing w:after="0" w:line="240" w:lineRule="auto"/>
              <w:jc w:val="both"/>
              <w:rPr>
                <w:rFonts w:ascii="Calibri" w:hAnsi="Calibri" w:cs="Calibri"/>
                <w:sz w:val="24"/>
                <w:szCs w:val="24"/>
              </w:rPr>
            </w:pPr>
            <w:r w:rsidRPr="00C90064">
              <w:rPr>
                <w:rFonts w:ascii="Calibri" w:hAnsi="Calibri" w:cs="Calibri"/>
                <w:sz w:val="24"/>
                <w:szCs w:val="24"/>
              </w:rPr>
              <w:t>Durabilité du bois et des matériaux dérivés du bois - Efficacité des produits préventifs de préservation du bois établie par des essais biologiques - Partie 2 : Etiquetage</w:t>
            </w:r>
          </w:p>
        </w:tc>
      </w:tr>
      <w:tr w:rsidR="007A42E0" w:rsidRPr="0043547B" w:rsidTr="00C90064">
        <w:trPr>
          <w:trHeight w:val="1517"/>
          <w:jc w:val="center"/>
        </w:trPr>
        <w:tc>
          <w:tcPr>
            <w:tcW w:w="1838" w:type="dxa"/>
            <w:tcBorders>
              <w:top w:val="nil"/>
              <w:left w:val="single" w:sz="18" w:space="0" w:color="auto"/>
              <w:bottom w:val="single" w:sz="18" w:space="0" w:color="auto"/>
              <w:right w:val="single" w:sz="4" w:space="0" w:color="auto"/>
            </w:tcBorders>
            <w:shd w:val="clear" w:color="000000" w:fill="D9D9D9"/>
            <w:vAlign w:val="center"/>
          </w:tcPr>
          <w:p w:rsidR="007A42E0" w:rsidRDefault="007A42E0" w:rsidP="007A42E0">
            <w:pPr>
              <w:jc w:val="center"/>
              <w:rPr>
                <w:rFonts w:ascii="Calibri" w:hAnsi="Calibri" w:cs="Calibri"/>
                <w:b/>
                <w:bCs/>
                <w:color w:val="000000"/>
                <w:sz w:val="24"/>
                <w:szCs w:val="24"/>
              </w:rPr>
            </w:pPr>
            <w:r>
              <w:rPr>
                <w:rFonts w:ascii="Calibri" w:hAnsi="Calibri" w:cstheme="minorHAnsi"/>
                <w:b/>
                <w:bCs/>
                <w:color w:val="000000"/>
              </w:rPr>
              <w:t>Domaine d’application :</w:t>
            </w:r>
          </w:p>
        </w:tc>
        <w:tc>
          <w:tcPr>
            <w:tcW w:w="7938" w:type="dxa"/>
            <w:tcBorders>
              <w:top w:val="nil"/>
              <w:left w:val="single" w:sz="4" w:space="0" w:color="auto"/>
              <w:bottom w:val="single" w:sz="18" w:space="0" w:color="auto"/>
              <w:right w:val="single" w:sz="18" w:space="0" w:color="auto"/>
            </w:tcBorders>
            <w:shd w:val="clear" w:color="auto" w:fill="auto"/>
          </w:tcPr>
          <w:p w:rsidR="007A42E0" w:rsidRPr="00C90064" w:rsidRDefault="007A42E0" w:rsidP="00C90064">
            <w:pPr>
              <w:spacing w:after="0" w:line="240" w:lineRule="auto"/>
              <w:jc w:val="both"/>
              <w:rPr>
                <w:rFonts w:ascii="Calibri" w:hAnsi="Calibri" w:cs="Calibri"/>
                <w:sz w:val="24"/>
                <w:szCs w:val="24"/>
              </w:rPr>
            </w:pPr>
            <w:r w:rsidRPr="00C90064">
              <w:rPr>
                <w:rFonts w:ascii="Calibri" w:hAnsi="Calibri" w:cs="Calibri"/>
                <w:sz w:val="24"/>
                <w:szCs w:val="24"/>
              </w:rPr>
              <w:t>La présente partie de l'EN 599 spécifie des exigences relatives à l'étiquetage des produits de préservation du bois en fonction de leur efficacité et de leur aptitude à l'emploi, pour chacune des cinq classes d'emploi définies dans l'EN 335.</w:t>
            </w:r>
            <w:r w:rsidRPr="00C90064">
              <w:rPr>
                <w:rFonts w:ascii="Calibri" w:hAnsi="Calibri" w:cs="Calibri"/>
                <w:sz w:val="24"/>
                <w:szCs w:val="24"/>
              </w:rPr>
              <w:br/>
              <w:t>La présente partie de l'EN 599 est applicable à tous les produits de préservation du bois destinés à être appliqués sous forme liquide pour le traitement préventif des bois (utilisés ou non en structure) contre les champignons dégradant le bois, les insectes xylophages et les térébrants marins, tels que décrits dans l'EN 1001-2 et l'EN 335. Elle est applicable aux produits de traitement préventif contre les champignons qui provoquent la discoloration (bleuissement) du bois en service uniquement si cela est inclus dans l'efficacité préventive globale du produit.</w:t>
            </w:r>
            <w:r w:rsidRPr="00C90064">
              <w:rPr>
                <w:rFonts w:ascii="Calibri" w:hAnsi="Calibri" w:cs="Calibri"/>
                <w:sz w:val="24"/>
                <w:szCs w:val="24"/>
              </w:rPr>
              <w:br/>
              <w:t>La présente partie de l'EN 599 n'est pas applicable aux produits de préservation du bois destinés à être appliqués à l'état de pâte, à l'état solide ou encapsulés, car il est impossible de soumettre à l'essai de tels produits selon les méthodes d'essais biologiques retenues dans la présente norme sans que celles-ci ne soient</w:t>
            </w:r>
            <w:r w:rsidRPr="00C90064">
              <w:rPr>
                <w:rFonts w:ascii="Calibri" w:hAnsi="Calibri" w:cs="Calibri"/>
                <w:sz w:val="24"/>
                <w:szCs w:val="24"/>
              </w:rPr>
              <w:br/>
              <w:t>modifiées. La présente norme n'est applicable ni aux produits de préservation du bois pour traitements curatifs, ni à ceux appliqués en vue de protéger le bois frais (non séché) contre les champignons de bleuissement.</w:t>
            </w:r>
          </w:p>
        </w:tc>
      </w:tr>
      <w:tr w:rsidR="007A42E0" w:rsidRPr="0043547B" w:rsidTr="003B2511">
        <w:trPr>
          <w:trHeight w:val="360"/>
          <w:jc w:val="center"/>
        </w:trPr>
        <w:tc>
          <w:tcPr>
            <w:tcW w:w="1838" w:type="dxa"/>
            <w:tcBorders>
              <w:top w:val="nil"/>
              <w:left w:val="single" w:sz="18" w:space="0" w:color="auto"/>
              <w:bottom w:val="single" w:sz="18" w:space="0" w:color="auto"/>
              <w:right w:val="single" w:sz="4" w:space="0" w:color="auto"/>
            </w:tcBorders>
            <w:shd w:val="clear" w:color="auto" w:fill="9BBB59" w:themeFill="accent3"/>
            <w:vAlign w:val="center"/>
          </w:tcPr>
          <w:p w:rsidR="007A42E0" w:rsidRPr="003B2511" w:rsidRDefault="007A42E0" w:rsidP="003B2511">
            <w:pPr>
              <w:spacing w:after="0" w:line="240" w:lineRule="auto"/>
              <w:jc w:val="center"/>
              <w:rPr>
                <w:rFonts w:cstheme="minorHAnsi"/>
                <w:b/>
                <w:bCs/>
                <w:sz w:val="24"/>
                <w:szCs w:val="24"/>
              </w:rPr>
            </w:pPr>
            <w:r w:rsidRPr="003B2511">
              <w:rPr>
                <w:rFonts w:cstheme="minorHAnsi"/>
                <w:b/>
                <w:bCs/>
                <w:sz w:val="24"/>
                <w:szCs w:val="24"/>
              </w:rPr>
              <w:t>Code :</w:t>
            </w:r>
          </w:p>
        </w:tc>
        <w:tc>
          <w:tcPr>
            <w:tcW w:w="7938" w:type="dxa"/>
            <w:tcBorders>
              <w:top w:val="nil"/>
              <w:left w:val="single" w:sz="4" w:space="0" w:color="auto"/>
              <w:bottom w:val="single" w:sz="18" w:space="0" w:color="auto"/>
              <w:right w:val="single" w:sz="18" w:space="0" w:color="auto"/>
            </w:tcBorders>
            <w:shd w:val="clear" w:color="auto" w:fill="9BBB59" w:themeFill="accent3"/>
          </w:tcPr>
          <w:p w:rsidR="007A42E0" w:rsidRPr="003B2511" w:rsidRDefault="007A42E0" w:rsidP="003B2511">
            <w:pPr>
              <w:spacing w:after="0" w:line="240" w:lineRule="auto"/>
              <w:jc w:val="center"/>
              <w:rPr>
                <w:rFonts w:cstheme="minorHAnsi"/>
                <w:b/>
                <w:bCs/>
                <w:sz w:val="24"/>
                <w:szCs w:val="24"/>
              </w:rPr>
            </w:pPr>
            <w:r w:rsidRPr="003B2511">
              <w:rPr>
                <w:rFonts w:cstheme="minorHAnsi"/>
                <w:b/>
                <w:bCs/>
                <w:sz w:val="24"/>
                <w:szCs w:val="24"/>
              </w:rPr>
              <w:t>NM EN 13329</w:t>
            </w:r>
          </w:p>
        </w:tc>
      </w:tr>
      <w:tr w:rsidR="007A42E0" w:rsidRPr="0043547B" w:rsidTr="001259FF">
        <w:trPr>
          <w:trHeight w:val="450"/>
          <w:jc w:val="center"/>
        </w:trPr>
        <w:tc>
          <w:tcPr>
            <w:tcW w:w="1838" w:type="dxa"/>
            <w:tcBorders>
              <w:top w:val="nil"/>
              <w:left w:val="single" w:sz="18" w:space="0" w:color="auto"/>
              <w:bottom w:val="single" w:sz="18" w:space="0" w:color="auto"/>
              <w:right w:val="single" w:sz="4" w:space="0" w:color="auto"/>
            </w:tcBorders>
            <w:shd w:val="clear" w:color="auto" w:fill="FFFF99"/>
            <w:vAlign w:val="center"/>
          </w:tcPr>
          <w:p w:rsidR="007A42E0" w:rsidRPr="003B2511" w:rsidRDefault="007A42E0" w:rsidP="003B2511">
            <w:pPr>
              <w:spacing w:after="0"/>
              <w:jc w:val="center"/>
              <w:rPr>
                <w:rFonts w:cstheme="minorHAnsi"/>
                <w:b/>
                <w:bCs/>
                <w:sz w:val="24"/>
                <w:szCs w:val="24"/>
              </w:rPr>
            </w:pPr>
            <w:r w:rsidRPr="003B2511">
              <w:rPr>
                <w:rFonts w:cstheme="minorHAnsi"/>
                <w:b/>
                <w:bCs/>
                <w:sz w:val="24"/>
                <w:szCs w:val="24"/>
              </w:rPr>
              <w:t>Equivalence :</w:t>
            </w:r>
          </w:p>
        </w:tc>
        <w:tc>
          <w:tcPr>
            <w:tcW w:w="7938" w:type="dxa"/>
            <w:tcBorders>
              <w:top w:val="nil"/>
              <w:left w:val="single" w:sz="4" w:space="0" w:color="auto"/>
              <w:bottom w:val="single" w:sz="18" w:space="0" w:color="auto"/>
              <w:right w:val="single" w:sz="18" w:space="0" w:color="auto"/>
            </w:tcBorders>
            <w:shd w:val="clear" w:color="auto" w:fill="FFFF99"/>
            <w:vAlign w:val="center"/>
          </w:tcPr>
          <w:p w:rsidR="007A42E0" w:rsidRPr="003B2511" w:rsidRDefault="007A42E0" w:rsidP="003B2511">
            <w:pPr>
              <w:spacing w:after="0"/>
              <w:jc w:val="center"/>
              <w:rPr>
                <w:rFonts w:cstheme="minorHAnsi"/>
                <w:b/>
                <w:bCs/>
                <w:sz w:val="24"/>
                <w:szCs w:val="24"/>
              </w:rPr>
            </w:pPr>
            <w:r w:rsidRPr="003B2511">
              <w:rPr>
                <w:rFonts w:cstheme="minorHAnsi"/>
                <w:b/>
                <w:bCs/>
                <w:sz w:val="24"/>
                <w:szCs w:val="24"/>
              </w:rPr>
              <w:t>EN 13329</w:t>
            </w:r>
          </w:p>
        </w:tc>
      </w:tr>
      <w:tr w:rsidR="007A42E0" w:rsidRPr="0043547B" w:rsidTr="001259FF">
        <w:trPr>
          <w:trHeight w:val="567"/>
          <w:jc w:val="center"/>
        </w:trPr>
        <w:tc>
          <w:tcPr>
            <w:tcW w:w="1838" w:type="dxa"/>
            <w:tcBorders>
              <w:top w:val="single" w:sz="18" w:space="0" w:color="auto"/>
              <w:left w:val="single" w:sz="18" w:space="0" w:color="auto"/>
              <w:bottom w:val="single" w:sz="4" w:space="0" w:color="auto"/>
              <w:right w:val="single" w:sz="4" w:space="0" w:color="auto"/>
            </w:tcBorders>
            <w:shd w:val="clear" w:color="auto" w:fill="95B3D7" w:themeFill="accent1" w:themeFillTint="99"/>
            <w:vAlign w:val="center"/>
          </w:tcPr>
          <w:p w:rsidR="007A42E0" w:rsidRDefault="007A42E0" w:rsidP="003B2511">
            <w:pPr>
              <w:spacing w:after="0"/>
              <w:jc w:val="center"/>
              <w:rPr>
                <w:rFonts w:ascii="Calibri" w:hAnsi="Calibri" w:cs="Calibri"/>
                <w:b/>
                <w:bCs/>
                <w:color w:val="000000"/>
                <w:sz w:val="24"/>
                <w:szCs w:val="24"/>
              </w:rPr>
            </w:pPr>
            <w:r w:rsidRPr="003B2511">
              <w:rPr>
                <w:rFonts w:cstheme="minorHAns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tcPr>
          <w:p w:rsidR="007A42E0" w:rsidRPr="00C90064" w:rsidRDefault="007A42E0" w:rsidP="00C90064">
            <w:pPr>
              <w:spacing w:after="0" w:line="240" w:lineRule="auto"/>
              <w:jc w:val="both"/>
              <w:rPr>
                <w:rFonts w:ascii="Calibri" w:hAnsi="Calibri" w:cs="Calibri"/>
                <w:sz w:val="24"/>
                <w:szCs w:val="24"/>
              </w:rPr>
            </w:pPr>
            <w:r w:rsidRPr="00C90064">
              <w:rPr>
                <w:rFonts w:ascii="Calibri" w:hAnsi="Calibri" w:cs="Calibri"/>
                <w:sz w:val="24"/>
                <w:szCs w:val="24"/>
              </w:rPr>
              <w:t xml:space="preserve">Revêtements  de  sol  stratifiés  -  Éléments  dont  la  surface  est  à  base  de  résines  aminoplastes thermodurcissables - Spécifications, exigences et méthodes d'essai </w:t>
            </w:r>
          </w:p>
        </w:tc>
      </w:tr>
      <w:tr w:rsidR="007A42E0" w:rsidRPr="0043547B" w:rsidTr="001259FF">
        <w:trPr>
          <w:trHeight w:val="567"/>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7A42E0" w:rsidRDefault="007A42E0" w:rsidP="007A42E0">
            <w:pPr>
              <w:jc w:val="center"/>
              <w:rPr>
                <w:rFonts w:ascii="Calibri" w:hAnsi="Calibri" w:cs="Calibri"/>
                <w:b/>
                <w:bCs/>
                <w:color w:val="000000"/>
                <w:sz w:val="24"/>
                <w:szCs w:val="24"/>
              </w:rPr>
            </w:pPr>
            <w:r>
              <w:rPr>
                <w:rFonts w:ascii="Calibri" w:hAnsi="Calibri" w:cstheme="minorHAnsi"/>
                <w:b/>
                <w:bCs/>
                <w:color w:val="000000"/>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tcPr>
          <w:p w:rsidR="007A42E0" w:rsidRPr="00C90064" w:rsidRDefault="007A42E0" w:rsidP="00C90064">
            <w:pPr>
              <w:spacing w:after="0" w:line="240" w:lineRule="auto"/>
              <w:jc w:val="both"/>
              <w:rPr>
                <w:rFonts w:ascii="Calibri" w:hAnsi="Calibri" w:cs="Calibri"/>
                <w:sz w:val="24"/>
                <w:szCs w:val="24"/>
              </w:rPr>
            </w:pPr>
            <w:r w:rsidRPr="00C90064">
              <w:rPr>
                <w:rFonts w:ascii="Calibri" w:hAnsi="Calibri" w:cs="Calibri"/>
                <w:sz w:val="24"/>
                <w:szCs w:val="24"/>
              </w:rPr>
              <w:t>La présente Norme européenne spécifie les caractéristiques, les exigences et les méthodes d’essai pour les revêtements de sol stratifiés dont le parement est à base de résines aminoplastes thermodurcissables, tels que définis en 3.1 et 3.2. Elle spécifie également les exigences relatives au marquage et à l’emballage.</w:t>
            </w:r>
            <w:r w:rsidRPr="00C90064">
              <w:rPr>
                <w:rFonts w:ascii="Calibri" w:hAnsi="Calibri" w:cs="Calibri"/>
                <w:sz w:val="24"/>
                <w:szCs w:val="24"/>
              </w:rPr>
              <w:br/>
              <w:t>Elle comporte un système de classification fondé sur l’EN ISO 10874, qui donne les exigences pratiques relatives aux zones et niveaux d’utilisation, afin d’indiquer les cas où les revêtements de sol stratifiés peuvent être utilisés de manière satisfaisante et favoriser ainsi un choix avisé du consommateur.</w:t>
            </w:r>
            <w:r w:rsidRPr="00C90064">
              <w:rPr>
                <w:rFonts w:ascii="Calibri" w:hAnsi="Calibri" w:cs="Calibri"/>
                <w:sz w:val="24"/>
                <w:szCs w:val="24"/>
              </w:rPr>
              <w:br/>
              <w:t>Les revêtements de sol stratifiés sont destinés à des usages domestiques et commerciaux, notamment dans les cuisines domestiques. La présente norme ne spécifie pas les exigences relatives aux zones présentant un risque d’humidification fréquente comme les salles de bains, les buanderies ou les</w:t>
            </w:r>
            <w:r w:rsidRPr="00C90064">
              <w:rPr>
                <w:rFonts w:ascii="Calibri" w:hAnsi="Calibri" w:cs="Calibri"/>
                <w:sz w:val="24"/>
                <w:szCs w:val="24"/>
              </w:rPr>
              <w:br/>
              <w:t>saunas.</w:t>
            </w:r>
          </w:p>
        </w:tc>
      </w:tr>
      <w:tr w:rsidR="007A42E0" w:rsidRPr="0043547B" w:rsidTr="001259FF">
        <w:trPr>
          <w:trHeight w:val="417"/>
          <w:jc w:val="center"/>
        </w:trPr>
        <w:tc>
          <w:tcPr>
            <w:tcW w:w="1838" w:type="dxa"/>
            <w:tcBorders>
              <w:top w:val="nil"/>
              <w:left w:val="single" w:sz="18" w:space="0" w:color="auto"/>
              <w:bottom w:val="single" w:sz="18" w:space="0" w:color="auto"/>
              <w:right w:val="single" w:sz="4" w:space="0" w:color="auto"/>
            </w:tcBorders>
            <w:shd w:val="clear" w:color="auto" w:fill="9BBB59" w:themeFill="accent3"/>
            <w:vAlign w:val="center"/>
          </w:tcPr>
          <w:p w:rsidR="007A42E0" w:rsidRPr="00A135BB" w:rsidRDefault="007A42E0" w:rsidP="00A135BB">
            <w:pPr>
              <w:spacing w:after="0" w:line="240" w:lineRule="auto"/>
              <w:jc w:val="center"/>
              <w:rPr>
                <w:rFonts w:cstheme="minorHAnsi"/>
                <w:b/>
                <w:bCs/>
                <w:sz w:val="24"/>
                <w:szCs w:val="24"/>
              </w:rPr>
            </w:pPr>
            <w:r w:rsidRPr="00A135BB">
              <w:rPr>
                <w:rFonts w:cstheme="minorHAnsi"/>
                <w:b/>
                <w:bCs/>
                <w:sz w:val="24"/>
                <w:szCs w:val="24"/>
              </w:rPr>
              <w:t>Code :</w:t>
            </w:r>
          </w:p>
        </w:tc>
        <w:tc>
          <w:tcPr>
            <w:tcW w:w="7938" w:type="dxa"/>
            <w:tcBorders>
              <w:top w:val="nil"/>
              <w:left w:val="single" w:sz="4" w:space="0" w:color="auto"/>
              <w:bottom w:val="single" w:sz="18" w:space="0" w:color="auto"/>
              <w:right w:val="single" w:sz="18" w:space="0" w:color="auto"/>
            </w:tcBorders>
            <w:shd w:val="clear" w:color="auto" w:fill="9BBB59" w:themeFill="accent3"/>
          </w:tcPr>
          <w:p w:rsidR="007A42E0" w:rsidRPr="00A135BB" w:rsidRDefault="007A42E0" w:rsidP="00C90064">
            <w:pPr>
              <w:spacing w:after="0" w:line="240" w:lineRule="auto"/>
              <w:jc w:val="center"/>
              <w:rPr>
                <w:rFonts w:cstheme="minorHAnsi"/>
                <w:b/>
                <w:bCs/>
                <w:sz w:val="24"/>
                <w:szCs w:val="24"/>
              </w:rPr>
            </w:pPr>
            <w:r w:rsidRPr="00A135BB">
              <w:rPr>
                <w:rFonts w:cstheme="minorHAnsi"/>
                <w:b/>
                <w:bCs/>
                <w:sz w:val="24"/>
                <w:szCs w:val="24"/>
              </w:rPr>
              <w:t>NM 10.2.010</w:t>
            </w:r>
          </w:p>
        </w:tc>
      </w:tr>
      <w:tr w:rsidR="007A42E0" w:rsidRPr="0043547B" w:rsidTr="001259FF">
        <w:trPr>
          <w:trHeight w:val="567"/>
          <w:jc w:val="center"/>
        </w:trPr>
        <w:tc>
          <w:tcPr>
            <w:tcW w:w="1838" w:type="dxa"/>
            <w:tcBorders>
              <w:top w:val="single" w:sz="18" w:space="0" w:color="auto"/>
              <w:left w:val="single" w:sz="18" w:space="0" w:color="auto"/>
              <w:bottom w:val="single" w:sz="4" w:space="0" w:color="auto"/>
              <w:right w:val="single" w:sz="4" w:space="0" w:color="auto"/>
            </w:tcBorders>
            <w:shd w:val="clear" w:color="auto" w:fill="95B3D7" w:themeFill="accent1" w:themeFillTint="99"/>
            <w:vAlign w:val="center"/>
          </w:tcPr>
          <w:p w:rsidR="007A42E0" w:rsidRPr="00A135BB" w:rsidRDefault="007A42E0" w:rsidP="00A135BB">
            <w:pPr>
              <w:spacing w:after="0"/>
              <w:jc w:val="center"/>
              <w:rPr>
                <w:rFonts w:cstheme="minorHAnsi"/>
                <w:b/>
                <w:bCs/>
                <w:sz w:val="24"/>
                <w:szCs w:val="24"/>
              </w:rPr>
            </w:pPr>
            <w:r w:rsidRPr="00A135BB">
              <w:rPr>
                <w:rFonts w:cstheme="minorHAns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tcPr>
          <w:p w:rsidR="007A42E0" w:rsidRPr="00C90064" w:rsidRDefault="007A42E0" w:rsidP="00C90064">
            <w:pPr>
              <w:spacing w:after="0" w:line="240" w:lineRule="auto"/>
              <w:jc w:val="both"/>
              <w:rPr>
                <w:rFonts w:ascii="Calibri" w:hAnsi="Calibri" w:cs="Calibri"/>
                <w:sz w:val="24"/>
                <w:szCs w:val="24"/>
              </w:rPr>
            </w:pPr>
            <w:r w:rsidRPr="00C90064">
              <w:rPr>
                <w:rFonts w:ascii="Calibri" w:hAnsi="Calibri" w:cs="Calibri"/>
                <w:sz w:val="24"/>
                <w:szCs w:val="24"/>
              </w:rPr>
              <w:t>Travaux de bâtiment - Planchers en bois ou en panneaux à base de bois - Cahier des clauses techniques</w:t>
            </w:r>
          </w:p>
        </w:tc>
      </w:tr>
      <w:tr w:rsidR="007A42E0" w:rsidRPr="0043547B" w:rsidTr="001259FF">
        <w:trPr>
          <w:trHeight w:val="567"/>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7A42E0" w:rsidRPr="00C90064" w:rsidRDefault="007A42E0" w:rsidP="007A42E0">
            <w:pPr>
              <w:jc w:val="center"/>
              <w:rPr>
                <w:rFonts w:ascii="Calibri" w:hAnsi="Calibri" w:cs="Calibri"/>
                <w:color w:val="000000"/>
                <w:sz w:val="24"/>
                <w:szCs w:val="24"/>
              </w:rPr>
            </w:pPr>
            <w:r w:rsidRPr="00C90064">
              <w:rPr>
                <w:rFonts w:ascii="Calibri" w:hAnsi="Calibri" w:cstheme="minorHAnsi"/>
                <w:color w:val="000000"/>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tcPr>
          <w:p w:rsidR="00C90064" w:rsidRPr="00C90064" w:rsidRDefault="007A42E0" w:rsidP="00C90064">
            <w:pPr>
              <w:spacing w:after="0" w:line="240" w:lineRule="auto"/>
              <w:jc w:val="both"/>
              <w:rPr>
                <w:rFonts w:ascii="Calibri" w:hAnsi="Calibri" w:cs="Calibri"/>
                <w:sz w:val="24"/>
                <w:szCs w:val="24"/>
              </w:rPr>
            </w:pPr>
            <w:r w:rsidRPr="00C90064">
              <w:rPr>
                <w:rFonts w:ascii="Calibri" w:hAnsi="Calibri" w:cs="Calibri"/>
                <w:sz w:val="24"/>
                <w:szCs w:val="24"/>
              </w:rPr>
              <w:t>Le présent Cahier des clauses techniques s’applique aux travaux de planchers en bois tels que définis en 3 ou en panneaux dérivés du bois, exécutés sur un ouvrage de structure.</w:t>
            </w:r>
          </w:p>
          <w:p w:rsidR="00C90064" w:rsidRPr="00C90064" w:rsidRDefault="007A42E0" w:rsidP="00C90064">
            <w:pPr>
              <w:spacing w:after="0" w:line="240" w:lineRule="auto"/>
              <w:jc w:val="both"/>
              <w:rPr>
                <w:rFonts w:ascii="Calibri" w:hAnsi="Calibri" w:cs="Calibri"/>
                <w:i/>
                <w:iCs/>
              </w:rPr>
            </w:pPr>
            <w:r w:rsidRPr="00C90064">
              <w:rPr>
                <w:rFonts w:ascii="Calibri" w:hAnsi="Calibri" w:cs="Calibri"/>
                <w:b/>
                <w:bCs/>
                <w:i/>
                <w:iCs/>
              </w:rPr>
              <w:t>NOTE</w:t>
            </w:r>
            <w:r w:rsidR="00C90064" w:rsidRPr="00C90064">
              <w:rPr>
                <w:rFonts w:ascii="Calibri" w:hAnsi="Calibri" w:cs="Calibri"/>
                <w:i/>
                <w:iCs/>
              </w:rPr>
              <w:t> :</w:t>
            </w:r>
            <w:r w:rsidRPr="00C90064">
              <w:rPr>
                <w:rFonts w:ascii="Calibri" w:hAnsi="Calibri" w:cs="Calibri"/>
                <w:i/>
                <w:iCs/>
              </w:rPr>
              <w:t xml:space="preserve"> Les éléments porteurs supportant le plancher ne font pas l’objet du présent document.</w:t>
            </w:r>
          </w:p>
          <w:p w:rsidR="00C90064" w:rsidRPr="00C90064" w:rsidRDefault="007A42E0" w:rsidP="00C90064">
            <w:pPr>
              <w:spacing w:after="0" w:line="240" w:lineRule="auto"/>
              <w:jc w:val="both"/>
              <w:rPr>
                <w:rFonts w:ascii="Calibri" w:hAnsi="Calibri" w:cs="Calibri"/>
                <w:i/>
                <w:iCs/>
              </w:rPr>
            </w:pPr>
            <w:r w:rsidRPr="00C90064">
              <w:rPr>
                <w:rFonts w:ascii="Calibri" w:hAnsi="Calibri" w:cs="Calibri"/>
                <w:sz w:val="24"/>
                <w:szCs w:val="24"/>
              </w:rPr>
              <w:t xml:space="preserve">Ces planchers sont des ouvrages horizontaux plans et continus, porteurs ou non. Ils se distinguent des parquets qui sont des ouvrages porteurs ou non porteurs, </w:t>
            </w:r>
            <w:r w:rsidRPr="00C90064">
              <w:rPr>
                <w:rFonts w:ascii="Calibri" w:hAnsi="Calibri" w:cs="Calibri"/>
                <w:sz w:val="24"/>
                <w:szCs w:val="24"/>
              </w:rPr>
              <w:lastRenderedPageBreak/>
              <w:t>mais qui remplissent un rôle décoratif et ne sont pas traités dans le présent document.</w:t>
            </w:r>
            <w:r w:rsidRPr="00C90064">
              <w:rPr>
                <w:rFonts w:ascii="Calibri" w:hAnsi="Calibri" w:cs="Calibri"/>
                <w:sz w:val="24"/>
                <w:szCs w:val="24"/>
              </w:rPr>
              <w:br/>
            </w:r>
            <w:r w:rsidRPr="00C90064">
              <w:rPr>
                <w:rFonts w:ascii="Calibri" w:hAnsi="Calibri" w:cs="Calibri"/>
                <w:b/>
                <w:bCs/>
                <w:i/>
                <w:iCs/>
              </w:rPr>
              <w:t>NOTE</w:t>
            </w:r>
            <w:r w:rsidR="00C90064" w:rsidRPr="00C90064">
              <w:rPr>
                <w:rFonts w:ascii="Calibri" w:hAnsi="Calibri" w:cs="Calibri"/>
                <w:b/>
                <w:bCs/>
                <w:i/>
                <w:iCs/>
              </w:rPr>
              <w:t> </w:t>
            </w:r>
            <w:r w:rsidR="00C90064" w:rsidRPr="00C90064">
              <w:rPr>
                <w:rFonts w:ascii="Calibri" w:hAnsi="Calibri" w:cs="Calibri"/>
                <w:i/>
                <w:iCs/>
              </w:rPr>
              <w:t>:</w:t>
            </w:r>
            <w:r w:rsidRPr="00C90064">
              <w:rPr>
                <w:rFonts w:ascii="Calibri" w:hAnsi="Calibri" w:cs="Calibri"/>
                <w:i/>
                <w:iCs/>
              </w:rPr>
              <w:t xml:space="preserve"> Les «Travaux de parquets à clouer» font l’objet du DTU 51.1, les «Travaux de parquets collés» font l’objet du DTU 51.2 et les «Travaux de parquets flottants» font l’objet du DTU 51.11.</w:t>
            </w:r>
          </w:p>
          <w:p w:rsidR="00C90064" w:rsidRDefault="007A42E0" w:rsidP="00C90064">
            <w:pPr>
              <w:spacing w:after="0" w:line="240" w:lineRule="auto"/>
              <w:jc w:val="both"/>
              <w:rPr>
                <w:rFonts w:ascii="Calibri" w:hAnsi="Calibri" w:cs="Calibri"/>
                <w:sz w:val="24"/>
                <w:szCs w:val="24"/>
              </w:rPr>
            </w:pPr>
            <w:r w:rsidRPr="00C90064">
              <w:rPr>
                <w:rFonts w:ascii="Calibri" w:hAnsi="Calibri" w:cs="Calibri"/>
                <w:sz w:val="24"/>
                <w:szCs w:val="24"/>
              </w:rPr>
              <w:t>Ce Cahier des Clauses techniques concerne tous les travaux neufs ou de rénovation de planchers en lames de bois massif, ou en panneaux à base de bois, quel que soit le type de local où ils sont exécutés (habitation, locaux</w:t>
            </w:r>
            <w:r w:rsidRPr="00C90064">
              <w:rPr>
                <w:rFonts w:ascii="Calibri" w:hAnsi="Calibri" w:cs="Calibri"/>
                <w:sz w:val="24"/>
                <w:szCs w:val="24"/>
              </w:rPr>
              <w:br/>
              <w:t>commerciaux, bureaux, entrepôts, usines, locaux de sport ou autres locaux recevant du public, etc.) qu’ils soient posés sur un support continu ou discontinu.</w:t>
            </w:r>
            <w:r w:rsidRPr="00C90064">
              <w:rPr>
                <w:rFonts w:ascii="Calibri" w:hAnsi="Calibri" w:cs="Calibri"/>
                <w:sz w:val="24"/>
                <w:szCs w:val="24"/>
              </w:rPr>
              <w:br/>
              <w:t>Toutefois, sont exclus les locaux à très forte hygrométrie ou à risque important de ré-humidification.</w:t>
            </w:r>
          </w:p>
          <w:p w:rsidR="00C90064" w:rsidRPr="00C90064" w:rsidRDefault="007A42E0" w:rsidP="00C90064">
            <w:pPr>
              <w:spacing w:after="0" w:line="240" w:lineRule="auto"/>
              <w:jc w:val="both"/>
              <w:rPr>
                <w:rFonts w:ascii="Calibri" w:hAnsi="Calibri" w:cs="Calibri"/>
                <w:i/>
                <w:iCs/>
              </w:rPr>
            </w:pPr>
            <w:r w:rsidRPr="00C90064">
              <w:rPr>
                <w:rFonts w:ascii="Calibri" w:hAnsi="Calibri" w:cs="Calibri"/>
                <w:b/>
                <w:bCs/>
                <w:i/>
                <w:iCs/>
              </w:rPr>
              <w:t>NOTE</w:t>
            </w:r>
            <w:r w:rsidR="00C90064" w:rsidRPr="00C90064">
              <w:rPr>
                <w:rFonts w:ascii="Calibri" w:hAnsi="Calibri" w:cs="Calibri"/>
                <w:b/>
                <w:bCs/>
                <w:i/>
                <w:iCs/>
              </w:rPr>
              <w:t> </w:t>
            </w:r>
            <w:r w:rsidR="00C90064" w:rsidRPr="00C90064">
              <w:rPr>
                <w:rFonts w:ascii="Calibri" w:hAnsi="Calibri" w:cs="Calibri"/>
                <w:i/>
                <w:iCs/>
              </w:rPr>
              <w:t xml:space="preserve">: </w:t>
            </w:r>
            <w:r w:rsidRPr="00C90064">
              <w:rPr>
                <w:rFonts w:ascii="Calibri" w:hAnsi="Calibri" w:cs="Calibri"/>
                <w:i/>
                <w:iCs/>
              </w:rPr>
              <w:t>Il faut tenir compte :</w:t>
            </w:r>
          </w:p>
          <w:p w:rsidR="00C90064" w:rsidRPr="00C90064" w:rsidRDefault="007A42E0" w:rsidP="00C90064">
            <w:pPr>
              <w:spacing w:after="0" w:line="240" w:lineRule="auto"/>
              <w:jc w:val="both"/>
              <w:rPr>
                <w:rFonts w:ascii="Calibri" w:hAnsi="Calibri" w:cs="Calibri"/>
                <w:i/>
                <w:iCs/>
              </w:rPr>
            </w:pPr>
            <w:r w:rsidRPr="00C90064">
              <w:rPr>
                <w:rFonts w:ascii="Calibri" w:hAnsi="Calibri" w:cs="Calibri"/>
                <w:i/>
                <w:iCs/>
              </w:rPr>
              <w:t>— des conditions hygrométriques du local ou de celles des locaux adjacents. On appelle locaux à très forte hygrométrie les locaux dans lesquels le rapport W/n est supérieur à 7,5 g/m3, avec :</w:t>
            </w:r>
          </w:p>
          <w:p w:rsidR="00C90064" w:rsidRPr="00C90064" w:rsidRDefault="007A42E0" w:rsidP="00C90064">
            <w:pPr>
              <w:spacing w:after="0" w:line="240" w:lineRule="auto"/>
              <w:jc w:val="both"/>
              <w:rPr>
                <w:rFonts w:ascii="Calibri" w:hAnsi="Calibri" w:cs="Calibri"/>
                <w:i/>
                <w:iCs/>
              </w:rPr>
            </w:pPr>
            <w:r w:rsidRPr="00C90064">
              <w:rPr>
                <w:rFonts w:ascii="Calibri" w:hAnsi="Calibri" w:cs="Calibri"/>
                <w:i/>
                <w:iCs/>
              </w:rPr>
              <w:t>W, la quantité de vapeur produite à l’intérieur du local par heure ;</w:t>
            </w:r>
          </w:p>
          <w:p w:rsidR="00C90064" w:rsidRPr="00C90064" w:rsidRDefault="007A42E0" w:rsidP="00C90064">
            <w:pPr>
              <w:spacing w:after="0" w:line="240" w:lineRule="auto"/>
              <w:jc w:val="both"/>
              <w:rPr>
                <w:rFonts w:ascii="Calibri" w:hAnsi="Calibri" w:cs="Calibri"/>
                <w:i/>
                <w:iCs/>
              </w:rPr>
            </w:pPr>
            <w:r w:rsidRPr="00C90064">
              <w:rPr>
                <w:rFonts w:ascii="Calibri" w:hAnsi="Calibri" w:cs="Calibri"/>
                <w:i/>
                <w:iCs/>
              </w:rPr>
              <w:t>n, le taux horaire de renouvellement d’air.</w:t>
            </w:r>
          </w:p>
          <w:p w:rsidR="00C90064" w:rsidRDefault="007A42E0" w:rsidP="00C90064">
            <w:pPr>
              <w:spacing w:after="0" w:line="240" w:lineRule="auto"/>
              <w:jc w:val="both"/>
              <w:rPr>
                <w:rFonts w:ascii="Calibri" w:hAnsi="Calibri" w:cs="Calibri"/>
                <w:sz w:val="24"/>
                <w:szCs w:val="24"/>
              </w:rPr>
            </w:pPr>
            <w:r w:rsidRPr="00C90064">
              <w:rPr>
                <w:rFonts w:ascii="Calibri" w:hAnsi="Calibri" w:cs="Calibri"/>
                <w:sz w:val="24"/>
                <w:szCs w:val="24"/>
              </w:rPr>
              <w:t>Par exemple, les locaux industriels nécessitant le maintien d’une humidité relative élevée et permanente, etc.</w:t>
            </w:r>
          </w:p>
          <w:p w:rsidR="00C90064" w:rsidRDefault="007A42E0" w:rsidP="00C90064">
            <w:pPr>
              <w:spacing w:after="0" w:line="240" w:lineRule="auto"/>
              <w:jc w:val="both"/>
              <w:rPr>
                <w:rFonts w:ascii="Calibri" w:hAnsi="Calibri" w:cs="Calibri"/>
                <w:sz w:val="24"/>
                <w:szCs w:val="24"/>
              </w:rPr>
            </w:pPr>
            <w:r w:rsidRPr="00C90064">
              <w:rPr>
                <w:rFonts w:ascii="Calibri" w:hAnsi="Calibri" w:cs="Calibri"/>
                <w:sz w:val="24"/>
                <w:szCs w:val="24"/>
              </w:rPr>
              <w:t>— des conditions d’humidification. On appelle locaux à risque important de ré-humidification ceux dans lesquels existent</w:t>
            </w:r>
            <w:r w:rsidR="00C90064">
              <w:rPr>
                <w:rFonts w:ascii="Calibri" w:hAnsi="Calibri" w:cs="Calibri"/>
                <w:sz w:val="24"/>
                <w:szCs w:val="24"/>
              </w:rPr>
              <w:t xml:space="preserve"> </w:t>
            </w:r>
            <w:r w:rsidRPr="00C90064">
              <w:rPr>
                <w:rFonts w:ascii="Calibri" w:hAnsi="Calibri" w:cs="Calibri"/>
                <w:sz w:val="24"/>
                <w:szCs w:val="24"/>
              </w:rPr>
              <w:t>des ruissellements systématiques et importants, tels que buanderie, locaux sanitaires de collectivité, etc.</w:t>
            </w:r>
          </w:p>
          <w:p w:rsidR="00C90064" w:rsidRDefault="007A42E0" w:rsidP="00C90064">
            <w:pPr>
              <w:spacing w:after="0" w:line="240" w:lineRule="auto"/>
              <w:jc w:val="both"/>
              <w:rPr>
                <w:rFonts w:ascii="Calibri" w:hAnsi="Calibri" w:cs="Calibri"/>
                <w:sz w:val="24"/>
                <w:szCs w:val="24"/>
              </w:rPr>
            </w:pPr>
            <w:r w:rsidRPr="00C90064">
              <w:rPr>
                <w:rFonts w:ascii="Calibri" w:hAnsi="Calibri" w:cs="Calibri"/>
                <w:sz w:val="24"/>
                <w:szCs w:val="24"/>
              </w:rPr>
              <w:t>Le présent document s’applique aux planchers laissés à l’état naturel ou devant recevoir par la suite un revêtement</w:t>
            </w:r>
            <w:r w:rsidR="00C90064">
              <w:rPr>
                <w:rFonts w:ascii="Calibri" w:hAnsi="Calibri" w:cs="Calibri"/>
                <w:sz w:val="24"/>
                <w:szCs w:val="24"/>
              </w:rPr>
              <w:t xml:space="preserve"> </w:t>
            </w:r>
            <w:r w:rsidRPr="00C90064">
              <w:rPr>
                <w:rFonts w:ascii="Calibri" w:hAnsi="Calibri" w:cs="Calibri"/>
                <w:sz w:val="24"/>
                <w:szCs w:val="24"/>
              </w:rPr>
              <w:t>de sol ou une finition de surface.</w:t>
            </w:r>
          </w:p>
          <w:p w:rsidR="00C90064" w:rsidRDefault="007A42E0" w:rsidP="00C90064">
            <w:pPr>
              <w:spacing w:after="0" w:line="240" w:lineRule="auto"/>
              <w:jc w:val="both"/>
              <w:rPr>
                <w:rFonts w:ascii="Calibri" w:hAnsi="Calibri" w:cs="Calibri"/>
                <w:sz w:val="24"/>
                <w:szCs w:val="24"/>
              </w:rPr>
            </w:pPr>
            <w:r w:rsidRPr="00C90064">
              <w:rPr>
                <w:rFonts w:ascii="Calibri" w:hAnsi="Calibri" w:cs="Calibri"/>
                <w:sz w:val="24"/>
                <w:szCs w:val="24"/>
              </w:rPr>
              <w:t>Il ne s’applique pas aux planchers dont le mode de pose est différent de ceux décrits au chapitre 5. Il ne s’applique</w:t>
            </w:r>
            <w:r w:rsidR="00C90064">
              <w:rPr>
                <w:rFonts w:ascii="Calibri" w:hAnsi="Calibri" w:cs="Calibri"/>
                <w:sz w:val="24"/>
                <w:szCs w:val="24"/>
              </w:rPr>
              <w:t xml:space="preserve"> </w:t>
            </w:r>
            <w:r w:rsidRPr="00C90064">
              <w:rPr>
                <w:rFonts w:ascii="Calibri" w:hAnsi="Calibri" w:cs="Calibri"/>
                <w:sz w:val="24"/>
                <w:szCs w:val="24"/>
              </w:rPr>
              <w:t xml:space="preserve">pas non plus à la mise en </w:t>
            </w:r>
            <w:r w:rsidR="00C90064" w:rsidRPr="00C90064">
              <w:rPr>
                <w:rFonts w:ascii="Calibri" w:hAnsi="Calibri" w:cs="Calibri"/>
                <w:sz w:val="24"/>
                <w:szCs w:val="24"/>
              </w:rPr>
              <w:t>œuvre</w:t>
            </w:r>
            <w:r w:rsidRPr="00C90064">
              <w:rPr>
                <w:rFonts w:ascii="Calibri" w:hAnsi="Calibri" w:cs="Calibri"/>
                <w:sz w:val="24"/>
                <w:szCs w:val="24"/>
              </w:rPr>
              <w:t xml:space="preserve"> des revêtements de sol ou à celle des finitions de surface.</w:t>
            </w:r>
          </w:p>
          <w:p w:rsidR="00C90064" w:rsidRPr="00C90064" w:rsidRDefault="007A42E0" w:rsidP="00C90064">
            <w:pPr>
              <w:spacing w:after="0" w:line="240" w:lineRule="auto"/>
              <w:jc w:val="both"/>
              <w:rPr>
                <w:rFonts w:ascii="Calibri" w:hAnsi="Calibri" w:cs="Calibri"/>
                <w:i/>
                <w:iCs/>
              </w:rPr>
            </w:pPr>
            <w:r w:rsidRPr="00C90064">
              <w:rPr>
                <w:rFonts w:ascii="Calibri" w:hAnsi="Calibri" w:cs="Calibri"/>
                <w:b/>
                <w:bCs/>
                <w:i/>
                <w:iCs/>
              </w:rPr>
              <w:t>NOTE</w:t>
            </w:r>
            <w:r w:rsidR="00C90064" w:rsidRPr="00C90064">
              <w:rPr>
                <w:rFonts w:ascii="Calibri" w:hAnsi="Calibri" w:cs="Calibri"/>
                <w:i/>
                <w:iCs/>
              </w:rPr>
              <w:t xml:space="preserve"> : </w:t>
            </w:r>
            <w:r w:rsidRPr="00C90064">
              <w:rPr>
                <w:rFonts w:ascii="Calibri" w:hAnsi="Calibri" w:cs="Calibri"/>
                <w:i/>
                <w:iCs/>
              </w:rPr>
              <w:t>Le choix de revêtement de sol dépend du type de plancher réalisé et du mode d’exploitation des locaux (voir</w:t>
            </w:r>
            <w:r w:rsidR="00C90064" w:rsidRPr="00C90064">
              <w:rPr>
                <w:rFonts w:ascii="Calibri" w:hAnsi="Calibri" w:cs="Calibri"/>
                <w:i/>
                <w:iCs/>
              </w:rPr>
              <w:t xml:space="preserve"> </w:t>
            </w:r>
            <w:r w:rsidRPr="00C90064">
              <w:rPr>
                <w:rFonts w:ascii="Calibri" w:hAnsi="Calibri" w:cs="Calibri"/>
                <w:i/>
                <w:iCs/>
              </w:rPr>
              <w:t>Annexe B).</w:t>
            </w:r>
          </w:p>
          <w:p w:rsidR="00C90064" w:rsidRDefault="007A42E0" w:rsidP="00C90064">
            <w:pPr>
              <w:spacing w:after="0" w:line="240" w:lineRule="auto"/>
              <w:jc w:val="both"/>
              <w:rPr>
                <w:rFonts w:ascii="Calibri" w:hAnsi="Calibri" w:cs="Calibri"/>
                <w:sz w:val="24"/>
                <w:szCs w:val="24"/>
              </w:rPr>
            </w:pPr>
            <w:r w:rsidRPr="00C90064">
              <w:rPr>
                <w:rFonts w:ascii="Calibri" w:hAnsi="Calibri" w:cs="Calibri"/>
                <w:sz w:val="24"/>
                <w:szCs w:val="24"/>
              </w:rPr>
              <w:t>Les planchers en bois ou en panneaux à base de bois ne sont pas destinés à recevoir ultérieurement des ouvrages</w:t>
            </w:r>
            <w:r w:rsidR="00C90064">
              <w:rPr>
                <w:rFonts w:ascii="Calibri" w:hAnsi="Calibri" w:cs="Calibri"/>
                <w:sz w:val="24"/>
                <w:szCs w:val="24"/>
              </w:rPr>
              <w:t xml:space="preserve"> </w:t>
            </w:r>
            <w:r w:rsidRPr="00C90064">
              <w:rPr>
                <w:rFonts w:ascii="Calibri" w:hAnsi="Calibri" w:cs="Calibri"/>
                <w:sz w:val="24"/>
                <w:szCs w:val="24"/>
              </w:rPr>
              <w:t>verticaux en maçonnerie.</w:t>
            </w:r>
          </w:p>
          <w:p w:rsidR="007A42E0" w:rsidRPr="00C90064" w:rsidRDefault="007A42E0" w:rsidP="00C90064">
            <w:pPr>
              <w:spacing w:after="0" w:line="240" w:lineRule="auto"/>
              <w:jc w:val="both"/>
              <w:rPr>
                <w:rFonts w:ascii="Calibri" w:hAnsi="Calibri" w:cs="Calibri"/>
                <w:i/>
                <w:iCs/>
                <w:sz w:val="24"/>
                <w:szCs w:val="24"/>
              </w:rPr>
            </w:pPr>
            <w:r w:rsidRPr="00C90064">
              <w:rPr>
                <w:rFonts w:ascii="Calibri" w:hAnsi="Calibri" w:cs="Calibri"/>
                <w:b/>
                <w:bCs/>
                <w:i/>
                <w:iCs/>
              </w:rPr>
              <w:t>NOTE</w:t>
            </w:r>
            <w:r w:rsidR="00C90064" w:rsidRPr="00C90064">
              <w:rPr>
                <w:rFonts w:ascii="Calibri" w:hAnsi="Calibri" w:cs="Calibri"/>
                <w:i/>
                <w:iCs/>
              </w:rPr>
              <w:t xml:space="preserve"> : </w:t>
            </w:r>
            <w:r w:rsidRPr="00C90064">
              <w:rPr>
                <w:rFonts w:ascii="Calibri" w:hAnsi="Calibri" w:cs="Calibri"/>
                <w:i/>
                <w:iCs/>
              </w:rPr>
              <w:t>La réalisation d’ouvrage en maçonnerie nécessite un apport d’eau néfaste au bon comportement du plancher. De</w:t>
            </w:r>
            <w:r w:rsidR="00C90064" w:rsidRPr="00C90064">
              <w:rPr>
                <w:rFonts w:ascii="Calibri" w:hAnsi="Calibri" w:cs="Calibri"/>
                <w:i/>
                <w:iCs/>
              </w:rPr>
              <w:t xml:space="preserve"> </w:t>
            </w:r>
            <w:r w:rsidRPr="00C90064">
              <w:rPr>
                <w:rFonts w:ascii="Calibri" w:hAnsi="Calibri" w:cs="Calibri"/>
                <w:i/>
                <w:iCs/>
              </w:rPr>
              <w:t>plus, ils sont d’une rigidité incompatible avec la flexibilité des planchers en bois ou panneaux dérivés du bois.</w:t>
            </w:r>
          </w:p>
        </w:tc>
      </w:tr>
      <w:tr w:rsidR="007A42E0" w:rsidRPr="0043547B" w:rsidTr="001765AB">
        <w:trPr>
          <w:trHeight w:val="358"/>
          <w:jc w:val="center"/>
        </w:trPr>
        <w:tc>
          <w:tcPr>
            <w:tcW w:w="1838" w:type="dxa"/>
            <w:tcBorders>
              <w:top w:val="nil"/>
              <w:left w:val="single" w:sz="18" w:space="0" w:color="auto"/>
              <w:bottom w:val="single" w:sz="18" w:space="0" w:color="auto"/>
              <w:right w:val="single" w:sz="4" w:space="0" w:color="auto"/>
            </w:tcBorders>
            <w:shd w:val="clear" w:color="auto" w:fill="9BBB59" w:themeFill="accent3"/>
            <w:vAlign w:val="center"/>
          </w:tcPr>
          <w:p w:rsidR="007A42E0" w:rsidRPr="001765AB" w:rsidRDefault="007A42E0" w:rsidP="001765AB">
            <w:pPr>
              <w:spacing w:after="0" w:line="240" w:lineRule="auto"/>
              <w:jc w:val="center"/>
              <w:rPr>
                <w:rFonts w:cstheme="minorHAnsi"/>
                <w:b/>
                <w:bCs/>
                <w:sz w:val="24"/>
                <w:szCs w:val="24"/>
              </w:rPr>
            </w:pPr>
            <w:r w:rsidRPr="001765AB">
              <w:rPr>
                <w:rFonts w:cstheme="minorHAnsi"/>
                <w:b/>
                <w:bCs/>
                <w:sz w:val="24"/>
                <w:szCs w:val="24"/>
              </w:rPr>
              <w:lastRenderedPageBreak/>
              <w:t>Code :</w:t>
            </w:r>
          </w:p>
        </w:tc>
        <w:tc>
          <w:tcPr>
            <w:tcW w:w="7938" w:type="dxa"/>
            <w:tcBorders>
              <w:top w:val="nil"/>
              <w:left w:val="single" w:sz="4" w:space="0" w:color="auto"/>
              <w:bottom w:val="single" w:sz="18" w:space="0" w:color="auto"/>
              <w:right w:val="single" w:sz="18" w:space="0" w:color="auto"/>
            </w:tcBorders>
            <w:shd w:val="clear" w:color="auto" w:fill="9BBB59" w:themeFill="accent3"/>
          </w:tcPr>
          <w:p w:rsidR="007A42E0" w:rsidRPr="001765AB" w:rsidRDefault="007A42E0" w:rsidP="001765AB">
            <w:pPr>
              <w:spacing w:after="0" w:line="240" w:lineRule="auto"/>
              <w:jc w:val="center"/>
              <w:rPr>
                <w:rFonts w:cstheme="minorHAnsi"/>
                <w:b/>
                <w:bCs/>
                <w:sz w:val="24"/>
                <w:szCs w:val="24"/>
              </w:rPr>
            </w:pPr>
            <w:r w:rsidRPr="001765AB">
              <w:rPr>
                <w:rFonts w:cstheme="minorHAnsi"/>
                <w:b/>
                <w:bCs/>
                <w:sz w:val="24"/>
                <w:szCs w:val="24"/>
              </w:rPr>
              <w:t>NM 13.6.498</w:t>
            </w:r>
          </w:p>
        </w:tc>
      </w:tr>
      <w:tr w:rsidR="007A42E0" w:rsidRPr="0043547B" w:rsidTr="001259FF">
        <w:trPr>
          <w:trHeight w:val="377"/>
          <w:jc w:val="center"/>
        </w:trPr>
        <w:tc>
          <w:tcPr>
            <w:tcW w:w="1838" w:type="dxa"/>
            <w:tcBorders>
              <w:top w:val="nil"/>
              <w:left w:val="single" w:sz="18" w:space="0" w:color="auto"/>
              <w:bottom w:val="single" w:sz="18" w:space="0" w:color="auto"/>
              <w:right w:val="single" w:sz="4" w:space="0" w:color="auto"/>
            </w:tcBorders>
            <w:shd w:val="clear" w:color="auto" w:fill="FFFF99"/>
            <w:vAlign w:val="center"/>
          </w:tcPr>
          <w:p w:rsidR="007A42E0" w:rsidRPr="001765AB" w:rsidRDefault="007A42E0" w:rsidP="001765AB">
            <w:pPr>
              <w:spacing w:after="0"/>
              <w:jc w:val="center"/>
              <w:rPr>
                <w:rFonts w:cstheme="minorHAnsi"/>
                <w:b/>
                <w:bCs/>
                <w:sz w:val="24"/>
                <w:szCs w:val="24"/>
              </w:rPr>
            </w:pPr>
            <w:r w:rsidRPr="001765AB">
              <w:rPr>
                <w:rFonts w:cstheme="minorHAnsi"/>
                <w:b/>
                <w:bCs/>
                <w:sz w:val="24"/>
                <w:szCs w:val="24"/>
              </w:rPr>
              <w:t>Equivalence :</w:t>
            </w:r>
          </w:p>
        </w:tc>
        <w:tc>
          <w:tcPr>
            <w:tcW w:w="7938" w:type="dxa"/>
            <w:tcBorders>
              <w:top w:val="nil"/>
              <w:left w:val="single" w:sz="4" w:space="0" w:color="auto"/>
              <w:bottom w:val="single" w:sz="18" w:space="0" w:color="auto"/>
              <w:right w:val="single" w:sz="18" w:space="0" w:color="auto"/>
            </w:tcBorders>
            <w:shd w:val="clear" w:color="auto" w:fill="FFFF99"/>
            <w:vAlign w:val="center"/>
          </w:tcPr>
          <w:p w:rsidR="007A42E0" w:rsidRPr="001765AB" w:rsidRDefault="007A42E0" w:rsidP="001765AB">
            <w:pPr>
              <w:spacing w:after="0"/>
              <w:jc w:val="center"/>
              <w:rPr>
                <w:rFonts w:cstheme="minorHAnsi"/>
                <w:b/>
                <w:bCs/>
                <w:sz w:val="24"/>
                <w:szCs w:val="24"/>
              </w:rPr>
            </w:pPr>
            <w:r w:rsidRPr="001765AB">
              <w:rPr>
                <w:rFonts w:cstheme="minorHAnsi"/>
                <w:b/>
                <w:bCs/>
                <w:sz w:val="24"/>
                <w:szCs w:val="24"/>
              </w:rPr>
              <w:t>NF P63-203-1-2</w:t>
            </w:r>
          </w:p>
        </w:tc>
      </w:tr>
      <w:tr w:rsidR="007A42E0" w:rsidRPr="0043547B" w:rsidTr="001259FF">
        <w:trPr>
          <w:trHeight w:val="667"/>
          <w:jc w:val="center"/>
        </w:trPr>
        <w:tc>
          <w:tcPr>
            <w:tcW w:w="1838" w:type="dxa"/>
            <w:tcBorders>
              <w:top w:val="single" w:sz="18" w:space="0" w:color="auto"/>
              <w:left w:val="single" w:sz="18" w:space="0" w:color="auto"/>
              <w:bottom w:val="single" w:sz="4" w:space="0" w:color="auto"/>
              <w:right w:val="single" w:sz="4" w:space="0" w:color="auto"/>
            </w:tcBorders>
            <w:shd w:val="clear" w:color="auto" w:fill="95B3D7" w:themeFill="accent1" w:themeFillTint="99"/>
            <w:vAlign w:val="center"/>
          </w:tcPr>
          <w:p w:rsidR="007A42E0" w:rsidRPr="001765AB" w:rsidRDefault="007A42E0" w:rsidP="001765AB">
            <w:pPr>
              <w:spacing w:after="0"/>
              <w:jc w:val="center"/>
              <w:rPr>
                <w:rFonts w:cstheme="minorHAnsi"/>
                <w:b/>
                <w:bCs/>
                <w:sz w:val="24"/>
                <w:szCs w:val="24"/>
              </w:rPr>
            </w:pPr>
            <w:r w:rsidRPr="001765AB">
              <w:rPr>
                <w:rFonts w:cstheme="minorHAns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tcPr>
          <w:p w:rsidR="007A42E0" w:rsidRDefault="007A42E0" w:rsidP="001765AB">
            <w:pPr>
              <w:spacing w:after="0" w:line="240" w:lineRule="auto"/>
              <w:jc w:val="both"/>
              <w:rPr>
                <w:rFonts w:ascii="Calibri" w:hAnsi="Calibri" w:cs="Calibri"/>
              </w:rPr>
            </w:pPr>
            <w:r w:rsidRPr="00C90064">
              <w:rPr>
                <w:rFonts w:ascii="Calibri" w:hAnsi="Calibri" w:cs="Calibri"/>
                <w:sz w:val="24"/>
                <w:szCs w:val="24"/>
              </w:rPr>
              <w:t xml:space="preserve">Travaux de bâtiment - Plancher en bois ou en panneaux à base de bois - Critères généraux de choix des matériaux (CGM)  </w:t>
            </w:r>
          </w:p>
        </w:tc>
      </w:tr>
      <w:tr w:rsidR="007A42E0" w:rsidRPr="0043547B" w:rsidTr="001259FF">
        <w:trPr>
          <w:trHeight w:val="567"/>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7A42E0" w:rsidRDefault="007A42E0" w:rsidP="007A42E0">
            <w:pPr>
              <w:jc w:val="center"/>
              <w:rPr>
                <w:rFonts w:ascii="Calibri" w:hAnsi="Calibri" w:cs="Calibri"/>
                <w:b/>
                <w:bCs/>
                <w:color w:val="000000"/>
                <w:sz w:val="24"/>
                <w:szCs w:val="24"/>
              </w:rPr>
            </w:pPr>
            <w:r>
              <w:rPr>
                <w:rFonts w:ascii="Calibri" w:hAnsi="Calibri" w:cstheme="minorHAnsi"/>
                <w:b/>
                <w:bCs/>
                <w:color w:val="000000"/>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bottom"/>
          </w:tcPr>
          <w:p w:rsidR="00C90064" w:rsidRPr="00C90064" w:rsidRDefault="007A42E0" w:rsidP="00C90064">
            <w:pPr>
              <w:spacing w:after="0" w:line="240" w:lineRule="auto"/>
              <w:jc w:val="both"/>
              <w:rPr>
                <w:rFonts w:ascii="Calibri" w:hAnsi="Calibri" w:cs="Calibri"/>
                <w:sz w:val="24"/>
                <w:szCs w:val="24"/>
              </w:rPr>
            </w:pPr>
            <w:r>
              <w:rPr>
                <w:rFonts w:ascii="Calibri" w:hAnsi="Calibri" w:cs="Calibri"/>
              </w:rPr>
              <w:t> </w:t>
            </w:r>
            <w:r w:rsidR="00C90064" w:rsidRPr="00C90064">
              <w:rPr>
                <w:rFonts w:ascii="Calibri" w:hAnsi="Calibri" w:cs="Calibri"/>
                <w:sz w:val="24"/>
                <w:szCs w:val="24"/>
              </w:rPr>
              <w:t>La présente norme relative aux planchers en bois ou en panneaux à base de bois est constituée des trois parties suivantes :</w:t>
            </w:r>
          </w:p>
          <w:p w:rsidR="00C90064" w:rsidRPr="00C90064" w:rsidRDefault="00C90064" w:rsidP="00C90064">
            <w:pPr>
              <w:spacing w:after="0" w:line="240" w:lineRule="auto"/>
              <w:jc w:val="both"/>
              <w:rPr>
                <w:rFonts w:ascii="Calibri" w:hAnsi="Calibri" w:cs="Calibri"/>
                <w:sz w:val="24"/>
                <w:szCs w:val="24"/>
              </w:rPr>
            </w:pPr>
            <w:r w:rsidRPr="00C90064">
              <w:rPr>
                <w:rFonts w:ascii="Calibri" w:hAnsi="Calibri" w:cs="Calibri"/>
                <w:sz w:val="24"/>
                <w:szCs w:val="24"/>
              </w:rPr>
              <w:t>— Partie 1.1 : Cahier des clauses techniques ;</w:t>
            </w:r>
          </w:p>
          <w:p w:rsidR="00C90064" w:rsidRPr="00C90064" w:rsidRDefault="00C90064" w:rsidP="00C90064">
            <w:pPr>
              <w:spacing w:after="0" w:line="240" w:lineRule="auto"/>
              <w:jc w:val="both"/>
              <w:rPr>
                <w:rFonts w:ascii="Calibri" w:hAnsi="Calibri" w:cs="Calibri"/>
                <w:sz w:val="24"/>
                <w:szCs w:val="24"/>
              </w:rPr>
            </w:pPr>
            <w:r w:rsidRPr="00C90064">
              <w:rPr>
                <w:rFonts w:ascii="Calibri" w:hAnsi="Calibri" w:cs="Calibri"/>
                <w:sz w:val="24"/>
                <w:szCs w:val="24"/>
              </w:rPr>
              <w:t>— Partie 1.2 : Critères généraux de choix des matériaux (CGM) (la présente norme) ;</w:t>
            </w:r>
          </w:p>
          <w:p w:rsidR="007A42E0" w:rsidRDefault="00C90064" w:rsidP="00C90064">
            <w:pPr>
              <w:spacing w:after="0" w:line="240" w:lineRule="auto"/>
              <w:jc w:val="both"/>
              <w:rPr>
                <w:rFonts w:ascii="Calibri" w:hAnsi="Calibri" w:cs="Calibri"/>
              </w:rPr>
            </w:pPr>
            <w:r w:rsidRPr="00C90064">
              <w:rPr>
                <w:rFonts w:ascii="Calibri" w:hAnsi="Calibri" w:cs="Calibri"/>
                <w:sz w:val="24"/>
                <w:szCs w:val="24"/>
              </w:rPr>
              <w:t>— Partie 2 : Cahier des clauses administratives spéciales.</w:t>
            </w:r>
          </w:p>
        </w:tc>
      </w:tr>
      <w:tr w:rsidR="007A42E0" w:rsidRPr="0043547B" w:rsidTr="00DE3BB7">
        <w:trPr>
          <w:trHeight w:val="378"/>
          <w:jc w:val="center"/>
        </w:trPr>
        <w:tc>
          <w:tcPr>
            <w:tcW w:w="1838" w:type="dxa"/>
            <w:tcBorders>
              <w:top w:val="nil"/>
              <w:left w:val="single" w:sz="18" w:space="0" w:color="auto"/>
              <w:bottom w:val="single" w:sz="18" w:space="0" w:color="auto"/>
              <w:right w:val="single" w:sz="4" w:space="0" w:color="auto"/>
            </w:tcBorders>
            <w:shd w:val="clear" w:color="auto" w:fill="9BBB59" w:themeFill="accent3"/>
            <w:vAlign w:val="center"/>
          </w:tcPr>
          <w:p w:rsidR="007A42E0" w:rsidRPr="00DE3BB7" w:rsidRDefault="007A42E0" w:rsidP="00DE3BB7">
            <w:pPr>
              <w:spacing w:after="0" w:line="240" w:lineRule="auto"/>
              <w:jc w:val="center"/>
              <w:rPr>
                <w:rFonts w:cstheme="minorHAnsi"/>
                <w:b/>
                <w:bCs/>
                <w:sz w:val="24"/>
                <w:szCs w:val="24"/>
              </w:rPr>
            </w:pPr>
            <w:r w:rsidRPr="00DE3BB7">
              <w:rPr>
                <w:rFonts w:cstheme="minorHAnsi"/>
                <w:b/>
                <w:bCs/>
                <w:sz w:val="24"/>
                <w:szCs w:val="24"/>
              </w:rPr>
              <w:t>Code :</w:t>
            </w:r>
          </w:p>
        </w:tc>
        <w:tc>
          <w:tcPr>
            <w:tcW w:w="7938" w:type="dxa"/>
            <w:tcBorders>
              <w:top w:val="nil"/>
              <w:left w:val="single" w:sz="4" w:space="0" w:color="auto"/>
              <w:bottom w:val="single" w:sz="18" w:space="0" w:color="auto"/>
              <w:right w:val="single" w:sz="18" w:space="0" w:color="auto"/>
            </w:tcBorders>
            <w:shd w:val="clear" w:color="auto" w:fill="9BBB59" w:themeFill="accent3"/>
            <w:vAlign w:val="bottom"/>
          </w:tcPr>
          <w:p w:rsidR="007A42E0" w:rsidRPr="00DE3BB7" w:rsidRDefault="007A42E0" w:rsidP="00DE3BB7">
            <w:pPr>
              <w:spacing w:after="0" w:line="240" w:lineRule="auto"/>
              <w:jc w:val="center"/>
              <w:rPr>
                <w:rFonts w:cstheme="minorHAnsi"/>
                <w:b/>
                <w:bCs/>
                <w:sz w:val="24"/>
                <w:szCs w:val="24"/>
              </w:rPr>
            </w:pPr>
            <w:r w:rsidRPr="00DE3BB7">
              <w:rPr>
                <w:rFonts w:cstheme="minorHAnsi"/>
                <w:b/>
                <w:bCs/>
                <w:sz w:val="24"/>
                <w:szCs w:val="24"/>
              </w:rPr>
              <w:t>NM ISO 13609</w:t>
            </w:r>
          </w:p>
        </w:tc>
      </w:tr>
      <w:tr w:rsidR="007A42E0" w:rsidRPr="0043547B" w:rsidTr="001259FF">
        <w:trPr>
          <w:trHeight w:val="358"/>
          <w:jc w:val="center"/>
        </w:trPr>
        <w:tc>
          <w:tcPr>
            <w:tcW w:w="1838" w:type="dxa"/>
            <w:tcBorders>
              <w:top w:val="nil"/>
              <w:left w:val="single" w:sz="18" w:space="0" w:color="auto"/>
              <w:bottom w:val="single" w:sz="18" w:space="0" w:color="auto"/>
              <w:right w:val="single" w:sz="4" w:space="0" w:color="auto"/>
            </w:tcBorders>
            <w:shd w:val="clear" w:color="auto" w:fill="FFFF99"/>
            <w:vAlign w:val="center"/>
          </w:tcPr>
          <w:p w:rsidR="007A42E0" w:rsidRDefault="007A42E0" w:rsidP="007C76DE">
            <w:pPr>
              <w:spacing w:after="0"/>
              <w:jc w:val="center"/>
              <w:rPr>
                <w:rFonts w:ascii="Calibri" w:hAnsi="Calibri" w:cs="Calibri"/>
                <w:b/>
                <w:bCs/>
                <w:color w:val="000000"/>
                <w:sz w:val="24"/>
                <w:szCs w:val="24"/>
              </w:rPr>
            </w:pPr>
            <w:r w:rsidRPr="007C76DE">
              <w:rPr>
                <w:rFonts w:cstheme="minorHAnsi"/>
                <w:b/>
                <w:bCs/>
                <w:sz w:val="24"/>
                <w:szCs w:val="24"/>
              </w:rPr>
              <w:t>Equivalence :</w:t>
            </w:r>
          </w:p>
        </w:tc>
        <w:tc>
          <w:tcPr>
            <w:tcW w:w="7938" w:type="dxa"/>
            <w:tcBorders>
              <w:top w:val="nil"/>
              <w:left w:val="single" w:sz="4" w:space="0" w:color="auto"/>
              <w:bottom w:val="single" w:sz="18" w:space="0" w:color="auto"/>
              <w:right w:val="single" w:sz="18" w:space="0" w:color="auto"/>
            </w:tcBorders>
            <w:shd w:val="clear" w:color="auto" w:fill="FFFF99"/>
            <w:vAlign w:val="center"/>
          </w:tcPr>
          <w:p w:rsidR="007A42E0" w:rsidRPr="00942778" w:rsidRDefault="007A42E0" w:rsidP="00942778">
            <w:pPr>
              <w:spacing w:after="0"/>
              <w:jc w:val="center"/>
              <w:rPr>
                <w:rFonts w:cstheme="minorHAnsi"/>
                <w:b/>
                <w:bCs/>
                <w:sz w:val="24"/>
                <w:szCs w:val="24"/>
              </w:rPr>
            </w:pPr>
            <w:r w:rsidRPr="00942778">
              <w:rPr>
                <w:rFonts w:cstheme="minorHAnsi"/>
                <w:b/>
                <w:bCs/>
                <w:sz w:val="24"/>
                <w:szCs w:val="24"/>
              </w:rPr>
              <w:t>ISO 13609</w:t>
            </w:r>
          </w:p>
        </w:tc>
      </w:tr>
      <w:tr w:rsidR="007A42E0" w:rsidRPr="0043547B" w:rsidTr="001259FF">
        <w:trPr>
          <w:trHeight w:val="567"/>
          <w:jc w:val="center"/>
        </w:trPr>
        <w:tc>
          <w:tcPr>
            <w:tcW w:w="1838" w:type="dxa"/>
            <w:tcBorders>
              <w:top w:val="single" w:sz="18" w:space="0" w:color="auto"/>
              <w:left w:val="single" w:sz="18" w:space="0" w:color="auto"/>
              <w:bottom w:val="single" w:sz="4" w:space="0" w:color="auto"/>
              <w:right w:val="single" w:sz="4" w:space="0" w:color="auto"/>
            </w:tcBorders>
            <w:shd w:val="clear" w:color="auto" w:fill="95B3D7" w:themeFill="accent1" w:themeFillTint="99"/>
            <w:vAlign w:val="center"/>
          </w:tcPr>
          <w:p w:rsidR="007A42E0" w:rsidRPr="007C76DE" w:rsidRDefault="007A42E0" w:rsidP="007C76DE">
            <w:pPr>
              <w:spacing w:after="0"/>
              <w:jc w:val="center"/>
              <w:rPr>
                <w:rFonts w:cstheme="minorHAnsi"/>
                <w:b/>
                <w:bCs/>
                <w:sz w:val="24"/>
                <w:szCs w:val="24"/>
              </w:rPr>
            </w:pPr>
            <w:r w:rsidRPr="007C76DE">
              <w:rPr>
                <w:rFonts w:cstheme="minorHAns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tcPr>
          <w:p w:rsidR="007A42E0" w:rsidRPr="00C90064" w:rsidRDefault="007A42E0" w:rsidP="00D539C2">
            <w:pPr>
              <w:spacing w:after="0" w:line="240" w:lineRule="auto"/>
              <w:jc w:val="both"/>
              <w:rPr>
                <w:rFonts w:ascii="Calibri" w:hAnsi="Calibri" w:cs="Calibri"/>
                <w:sz w:val="24"/>
                <w:szCs w:val="24"/>
              </w:rPr>
            </w:pPr>
            <w:r w:rsidRPr="00C90064">
              <w:rPr>
                <w:rFonts w:ascii="Calibri" w:hAnsi="Calibri" w:cs="Calibri"/>
                <w:sz w:val="24"/>
                <w:szCs w:val="24"/>
              </w:rPr>
              <w:t xml:space="preserve">Panneaux à base de bois - Contreplaqués - Panneaux lattés avec lattes étroites et avec lattes larges </w:t>
            </w:r>
          </w:p>
        </w:tc>
      </w:tr>
      <w:tr w:rsidR="007A42E0" w:rsidRPr="00335D7D" w:rsidTr="001259FF">
        <w:trPr>
          <w:trHeight w:val="567"/>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7A42E0" w:rsidRDefault="007A42E0" w:rsidP="007A42E0">
            <w:pPr>
              <w:jc w:val="center"/>
              <w:rPr>
                <w:rFonts w:ascii="Calibri" w:hAnsi="Calibri" w:cs="Calibri"/>
                <w:b/>
                <w:bCs/>
                <w:color w:val="000000"/>
                <w:sz w:val="24"/>
                <w:szCs w:val="24"/>
              </w:rPr>
            </w:pPr>
            <w:r>
              <w:rPr>
                <w:rFonts w:ascii="Calibri" w:hAnsi="Calibri" w:cstheme="minorHAnsi"/>
                <w:b/>
                <w:bCs/>
                <w:color w:val="000000"/>
              </w:rPr>
              <w:lastRenderedPageBreak/>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bottom"/>
          </w:tcPr>
          <w:p w:rsidR="00C90064" w:rsidRDefault="007A42E0" w:rsidP="00D539C2">
            <w:pPr>
              <w:spacing w:after="0" w:line="240" w:lineRule="auto"/>
              <w:jc w:val="both"/>
              <w:rPr>
                <w:rFonts w:ascii="Calibri" w:hAnsi="Calibri" w:cs="Calibri"/>
                <w:sz w:val="24"/>
                <w:szCs w:val="24"/>
                <w:lang w:val="en-ZA"/>
              </w:rPr>
            </w:pPr>
            <w:r w:rsidRPr="00C90064">
              <w:rPr>
                <w:rFonts w:ascii="Calibri" w:hAnsi="Calibri" w:cs="Calibri"/>
                <w:sz w:val="24"/>
                <w:szCs w:val="24"/>
                <w:lang w:val="en-ZA"/>
              </w:rPr>
              <w:t>This International Standard establishes requirements for the specifications of blockboards and battenboards for general use, in dry, tropic dry/humid, and high-humid/exterior conditions. It includes requirements of materials, lay-up, physical and mechanical properties, bonding quality, formaldehyde release, conformity verification, and marking.</w:t>
            </w:r>
          </w:p>
          <w:p w:rsidR="007A42E0" w:rsidRPr="00C90064" w:rsidRDefault="007A42E0" w:rsidP="00D539C2">
            <w:pPr>
              <w:spacing w:after="0" w:line="240" w:lineRule="auto"/>
              <w:jc w:val="both"/>
              <w:rPr>
                <w:rFonts w:ascii="Calibri" w:hAnsi="Calibri" w:cs="Calibri"/>
                <w:sz w:val="24"/>
                <w:szCs w:val="24"/>
                <w:lang w:val="en-ZA"/>
              </w:rPr>
            </w:pPr>
            <w:r w:rsidRPr="00C90064">
              <w:rPr>
                <w:rFonts w:ascii="Calibri" w:hAnsi="Calibri" w:cs="Calibri"/>
                <w:sz w:val="24"/>
                <w:szCs w:val="24"/>
                <w:lang w:val="en-ZA"/>
              </w:rPr>
              <w:t>The values listed in this International Standard relate to product properties, but they are not characteristic values to be used in design calculations.</w:t>
            </w:r>
          </w:p>
        </w:tc>
      </w:tr>
      <w:tr w:rsidR="0043547B" w:rsidRPr="0043547B" w:rsidTr="001E064F">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15603</w:t>
            </w:r>
            <w:r w:rsidRPr="0043547B">
              <w:rPr>
                <w:rFonts w:eastAsia="Times New Roman" w:cstheme="minorHAnsi"/>
                <w:b/>
                <w:bCs/>
                <w:sz w:val="24"/>
                <w:szCs w:val="24"/>
                <w:lang w:eastAsia="fr-FR"/>
              </w:rPr>
              <w:tab/>
            </w:r>
          </w:p>
        </w:tc>
      </w:tr>
      <w:tr w:rsidR="0043547B" w:rsidRPr="0043547B" w:rsidTr="001E064F">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15603</w:t>
            </w:r>
          </w:p>
        </w:tc>
      </w:tr>
      <w:tr w:rsidR="0043547B" w:rsidRPr="0043547B" w:rsidTr="001E064F">
        <w:trPr>
          <w:trHeight w:val="394"/>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Performance énergétique des bâtiments - Consommation globale d'énergie et définition des évaluations énergétiques</w:t>
            </w:r>
          </w:p>
        </w:tc>
      </w:tr>
      <w:tr w:rsidR="0043547B" w:rsidRPr="0043547B" w:rsidTr="001E064F">
        <w:trPr>
          <w:trHeight w:val="56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définit les services énergétiques à prendre en compte pour établir les évaluations de performance énergétique de bâtiments en projet ou existants, et prévoit ce qui suit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a) une méthode de calcul de l’évaluation énergétique calculée standard, une consommation d’énergie standard indépendante du comportement des occupants, des conditions météorologiques réelles ou d’autres conditions réelles (environnementales ou à l’intérieur du bâtiment)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b) une méthode d’obtention de l’évaluation énergétique mesurée, basée sur les quantités d’énergie reçue de l’extérieur et fournie à l’extérieur ;</w:t>
            </w:r>
          </w:p>
          <w:p w:rsidR="00904E52" w:rsidRPr="0043547B" w:rsidRDefault="00904E52" w:rsidP="001E064F">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 une méthodologie permettant d’améliorer la confiance dans le modèle de calcul du bâtiment par une comparaison avec la consommation réelle d’énergie;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d) une méthode d’évaluation de l’efficacité énergétique des améliorations possibles.</w:t>
            </w:r>
          </w:p>
          <w:p w:rsidR="00DB1479" w:rsidRPr="0043547B" w:rsidRDefault="00904E52" w:rsidP="00DB1479">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 </w:t>
            </w:r>
            <w:r w:rsidR="00DB1479" w:rsidRPr="0043547B">
              <w:rPr>
                <w:rFonts w:eastAsia="Times New Roman" w:cstheme="minorHAnsi"/>
                <w:sz w:val="24"/>
                <w:szCs w:val="24"/>
                <w:lang w:eastAsia="fr-FR"/>
              </w:rPr>
              <w:t>Les organismes nationaux sont chargés de définir dans quelles conditions, à quelles fins et à quels types de bâtiments les diverses évaluations s’appliquent.</w:t>
            </w:r>
          </w:p>
          <w:p w:rsidR="00904E52" w:rsidRPr="0043547B" w:rsidRDefault="00DB1479" w:rsidP="00DB1479">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traite de la performance énergétique d’un bâtiment dans son ensemble. L’évaluation de la performance énergétique de systèmes techniques spécifiques est traitée dans la partie correspondante de NM EN 15241, du NM EN 15243 et de la série NM EN 15316</w:t>
            </w:r>
          </w:p>
        </w:tc>
      </w:tr>
      <w:tr w:rsidR="0043547B" w:rsidRPr="0043547B" w:rsidTr="001E064F">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15392</w:t>
            </w:r>
          </w:p>
        </w:tc>
      </w:tr>
      <w:tr w:rsidR="0043547B" w:rsidRPr="0043547B" w:rsidTr="001E064F">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15392</w:t>
            </w:r>
          </w:p>
        </w:tc>
      </w:tr>
      <w:tr w:rsidR="0043547B" w:rsidRPr="0043547B" w:rsidTr="001E064F">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Développement durable dans la construction - Principes généraux </w:t>
            </w:r>
          </w:p>
        </w:tc>
      </w:tr>
      <w:tr w:rsidR="0043547B" w:rsidRPr="0043547B" w:rsidTr="001E064F">
        <w:trPr>
          <w:trHeight w:val="2821"/>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1E064F"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identifie et établit les principes généraux du développement durable dans la construction. Elle repose sur le concept de développement durable applicable au cycle de vie des bâtiments et autres ouvrages de construction, du début jusqu'à la fin de leur vie.</w:t>
            </w:r>
          </w:p>
          <w:p w:rsidR="001E064F"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est applicable aux bâtiments et autres ouvrages de construction individuels et collectifs, ainsi qu'aux matériaux, produits, services et processus liés au cycle de vie de ceux-ci.</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ne fournit pas de niveaux (référentiels) pouvant servir de base à des revendications en matière d'état de développement durable.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n'est pas destinée à servir de base pour l'évaluation des organisations ou autres parties prenantes.</w:t>
            </w:r>
          </w:p>
        </w:tc>
      </w:tr>
      <w:tr w:rsidR="0043547B" w:rsidRPr="0043547B" w:rsidTr="001E064F">
        <w:trPr>
          <w:trHeight w:val="154"/>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CEN/TR 14383-2</w:t>
            </w:r>
          </w:p>
        </w:tc>
      </w:tr>
      <w:tr w:rsidR="0043547B" w:rsidRPr="0043547B" w:rsidTr="001E064F">
        <w:trPr>
          <w:trHeight w:val="131"/>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CEN/TR 14383-2</w:t>
            </w:r>
          </w:p>
        </w:tc>
      </w:tr>
      <w:tr w:rsidR="0043547B" w:rsidRPr="0043547B" w:rsidTr="001E064F">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Prévention de la malveillance - Urbanisme et conception des bâtiments – Partie 2 : urbanisme </w:t>
            </w:r>
          </w:p>
        </w:tc>
      </w:tr>
      <w:tr w:rsidR="0043547B" w:rsidRPr="0043547B" w:rsidTr="00D539C2">
        <w:trPr>
          <w:trHeight w:val="843"/>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 présent rapport technique donne des lignes directrices sur les méthodes d'évaluation du risque de malveillance et/ou de sentiment d'insécurité et des mesures, procédures et processus visant à réduire ces risques.</w:t>
            </w:r>
          </w:p>
          <w:p w:rsidR="00D539C2" w:rsidRPr="0043547B" w:rsidRDefault="00D539C2" w:rsidP="00D539C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En cohérence avec l’élaboration de documents d’urbanisme, des recommandations en matière urbaine sont données pour des types d'environnements particuliers dans l'optique de prévenir différents problèmes de malveillance ou d'y remédier. Des recommandations sont également données pour la mise au point d'un processus par étapes à l'intention de toutes les parties concernées par l'urbanisme et par la réduction de la malveillance liée à l'environnement, ainsi que toutes les autres parties intéressées — principalement les autorités locales et régionales et les résidents — ce processus visant à impliquer chacun dans les démarches nécessaires aux différents échelons pour minimiser les risques de malveillance et le sentiment d'insécurité.</w:t>
            </w:r>
          </w:p>
          <w:p w:rsidR="00904E52" w:rsidRPr="0043547B" w:rsidRDefault="00D539C2" w:rsidP="00D539C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 présent rapport technique s'intéresse au processus d'urbanisation, qu'il s'agisse de zones nouvelles ou de zones déjà construites. Le terme «zone» peut désigner un quartier ou un environnement de taille très variable — depuis le petit groupe de maisons ou de rues jusqu’à la ville entière. Une attention particulière sera portée dans ce document aux espaces publics.</w:t>
            </w:r>
          </w:p>
        </w:tc>
      </w:tr>
      <w:tr w:rsidR="0043547B" w:rsidRPr="0043547B" w:rsidTr="001E064F">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CEN/TR 14383-3</w:t>
            </w:r>
          </w:p>
        </w:tc>
      </w:tr>
      <w:tr w:rsidR="0043547B" w:rsidRPr="0043547B" w:rsidTr="001E064F">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CEN/TR 14383-3</w:t>
            </w:r>
          </w:p>
        </w:tc>
      </w:tr>
      <w:tr w:rsidR="0043547B" w:rsidRPr="0043547B" w:rsidTr="001E064F">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Prévention de la malveillance - Urbanisme et conception des bâtiments – Partie 3 : logements </w:t>
            </w:r>
          </w:p>
        </w:tc>
      </w:tr>
      <w:tr w:rsidR="0043547B" w:rsidRPr="0043547B" w:rsidTr="001E064F">
        <w:trPr>
          <w:trHeight w:val="90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Cette Spécification technique donne des recommandations pour réduire les risques de malveillance visant les personnes et les biens dans les zones d’habitations et leur environnement immédiat grâce à l’urbanisme et à la conception. Elle couvre l’habitat neuf et ancien, qu’il s’agisse de logements individuels ou collectifs.</w:t>
            </w:r>
          </w:p>
        </w:tc>
      </w:tr>
      <w:tr w:rsidR="0043547B" w:rsidRPr="0043547B" w:rsidTr="001E064F">
        <w:trPr>
          <w:trHeight w:val="226"/>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CEN/TR 14383-4</w:t>
            </w:r>
          </w:p>
        </w:tc>
      </w:tr>
      <w:tr w:rsidR="0043547B" w:rsidRPr="0043547B" w:rsidTr="001E064F">
        <w:trPr>
          <w:trHeight w:val="61"/>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CEN/TR 14383-4</w:t>
            </w:r>
          </w:p>
        </w:tc>
      </w:tr>
      <w:tr w:rsidR="0043547B" w:rsidRPr="0043547B" w:rsidTr="001E064F">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Prévention de la malveillance - Urbanisme et conception des bâtiments – Partie 4 : commerces et bureaux </w:t>
            </w:r>
          </w:p>
        </w:tc>
      </w:tr>
      <w:tr w:rsidR="0043547B" w:rsidRPr="0043547B" w:rsidTr="001E064F">
        <w:trPr>
          <w:trHeight w:val="120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 présent document donne des lignes directrices et recommande une stratégie visant à combattre le cambriolage, le vol, l’incendie volontaire et autres crimes pouvant être commis contre les détaillants et autres commerces. Elle s’applique à la fois aux commerces et bureaux neufs et anciens.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niveaux de sécurité recommandés pour les marchandises stockées dans les magasins de détail sont donnés.</w:t>
            </w:r>
          </w:p>
        </w:tc>
      </w:tr>
      <w:tr w:rsidR="0043547B" w:rsidRPr="0043547B" w:rsidTr="001E064F">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CEN/TR 14383-5 </w:t>
            </w:r>
          </w:p>
        </w:tc>
      </w:tr>
      <w:tr w:rsidR="0043547B" w:rsidRPr="0043547B" w:rsidTr="001E064F">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CEN/TR 14383-5 </w:t>
            </w:r>
          </w:p>
        </w:tc>
      </w:tr>
      <w:tr w:rsidR="0043547B" w:rsidRPr="0043547B" w:rsidTr="001E064F">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Prévention de la malveillance - Urbanisme et conception des bâtiments – Partie 5 : stations-service </w:t>
            </w:r>
          </w:p>
        </w:tc>
      </w:tr>
      <w:tr w:rsidR="0043547B" w:rsidRPr="0043547B" w:rsidTr="001E064F">
        <w:trPr>
          <w:trHeight w:val="2357"/>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 présent Rapport technique donne des lignes directrices applicables à une stratégie recommandée permettant de lutter avec efficacité contre les différents types d’infractions pouvant être commis contre les stations-service.</w:t>
            </w:r>
          </w:p>
          <w:p w:rsidR="00904E52" w:rsidRPr="001E064F" w:rsidRDefault="00904E52" w:rsidP="001E064F">
            <w:pPr>
              <w:spacing w:after="0" w:line="240" w:lineRule="auto"/>
              <w:jc w:val="both"/>
              <w:rPr>
                <w:rFonts w:eastAsia="Times New Roman" w:cstheme="minorHAnsi"/>
                <w:i/>
                <w:iCs/>
                <w:lang w:eastAsia="fr-FR"/>
              </w:rPr>
            </w:pPr>
            <w:r w:rsidRPr="001E064F">
              <w:rPr>
                <w:rFonts w:eastAsia="Times New Roman" w:cstheme="minorHAnsi"/>
                <w:b/>
                <w:bCs/>
                <w:i/>
                <w:iCs/>
                <w:lang w:eastAsia="fr-FR"/>
              </w:rPr>
              <w:t>N</w:t>
            </w:r>
            <w:r w:rsidR="001E064F" w:rsidRPr="001E064F">
              <w:rPr>
                <w:rFonts w:eastAsia="Times New Roman" w:cstheme="minorHAnsi"/>
                <w:b/>
                <w:bCs/>
                <w:i/>
                <w:iCs/>
                <w:lang w:eastAsia="fr-FR"/>
              </w:rPr>
              <w:t>OTE</w:t>
            </w:r>
            <w:r w:rsidR="001E064F" w:rsidRPr="001E064F">
              <w:rPr>
                <w:rFonts w:eastAsia="Times New Roman" w:cstheme="minorHAnsi"/>
                <w:i/>
                <w:iCs/>
                <w:lang w:eastAsia="fr-FR"/>
              </w:rPr>
              <w:t> :</w:t>
            </w:r>
            <w:r w:rsidRPr="001E064F">
              <w:rPr>
                <w:rFonts w:eastAsia="Times New Roman" w:cstheme="minorHAnsi"/>
                <w:i/>
                <w:iCs/>
                <w:lang w:eastAsia="fr-FR"/>
              </w:rPr>
              <w:t xml:space="preserve"> Les infractions pouvant être commises contre les stations-service peuvent comprendre le vol à main armée, le vol avec violences, le cambriolage (avec effraction de nuit le plus souvent), le vol simple, les escroqueries (grivèlerie, usage de cartes de crédit, cartes de paiement ou chéquiers volés et autres fraudes), l’incendie volontaire, le vandalisme et d’autres crimes et délits.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Le présent Rapport technique s’applique à la fois aux constructions neuves et anciennes de stations-service ouvertes au grand public. </w:t>
            </w:r>
          </w:p>
        </w:tc>
      </w:tr>
      <w:tr w:rsidR="0043547B" w:rsidRPr="0043547B" w:rsidTr="001E064F">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CEN/TR 14383-7 </w:t>
            </w:r>
          </w:p>
        </w:tc>
      </w:tr>
      <w:tr w:rsidR="0043547B" w:rsidRPr="0043547B" w:rsidTr="001E064F">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CEN/TR 14383-7 </w:t>
            </w:r>
          </w:p>
        </w:tc>
      </w:tr>
      <w:tr w:rsidR="0043547B" w:rsidRPr="0043547B" w:rsidTr="001E064F">
        <w:trPr>
          <w:trHeight w:val="404"/>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Prévention de la malveillance - Urbanisme et conception des bâtiments – Partie 7 : conception et gestion des espaces dédiés au transport public </w:t>
            </w:r>
          </w:p>
        </w:tc>
      </w:tr>
      <w:tr w:rsidR="0043547B" w:rsidRPr="0043547B" w:rsidTr="001E064F">
        <w:trPr>
          <w:trHeight w:val="330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 présent document donne des lignes directrices sur les méthodes d'évaluation des risques endogènes et exogènes de malveillance et/ou de sentiment d'insécurité et propose des mesures visant à les prévenir ou à les réduire.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L'objectif est de renforcer la sûreté globale du transport terrestre collectif incluant arrêts et stations de bus, gares ferroviaires, arrêts/haltes de trains, points d’interconnexion, systèmes de métro et de tramway d'accès libre, systèmes de métro et de tramway d'accès contrôlé, stations de taxis, parkings attenant à la gare, terminaux de bateaux-bus et parking pour bicyclettes. Ce document ne traite ni du terrorisme ni du matériel roulant. Il couvre les espaces dédiés aux transports et ouverts au public.</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Il s'attachera plus particulièrement à la sûreté des lieux accueillant du public, en rapport également avec les aspects de la sécurité.</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 document s'applique aux espaces existants et nouveaux dédiés aux transports publics.</w:t>
            </w:r>
          </w:p>
        </w:tc>
      </w:tr>
      <w:tr w:rsidR="0043547B" w:rsidRPr="0043547B" w:rsidTr="001E064F">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6242-1</w:t>
            </w:r>
          </w:p>
        </w:tc>
      </w:tr>
      <w:tr w:rsidR="0043547B" w:rsidRPr="0043547B" w:rsidTr="001E064F">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6242-1</w:t>
            </w:r>
          </w:p>
        </w:tc>
      </w:tr>
      <w:tr w:rsidR="0043547B" w:rsidRPr="0043547B" w:rsidTr="001E064F">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Construction immobilière – Expression des exigences de l’utilisateur - Partie 1 : confort thermique ; </w:t>
            </w:r>
          </w:p>
        </w:tc>
      </w:tr>
      <w:tr w:rsidR="0043547B" w:rsidRPr="0043547B" w:rsidTr="001E064F">
        <w:trPr>
          <w:trHeight w:val="56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définit la façon d’identifier, d’exprimer et de quantifier les exigences des utilisateurs en matière de confort thermique.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décrit les objectifs des utilisateurs et les paramètres utilisés pour les exprimer. Pour chaque paramètre, elle prescrit les unités de mesure, les valeurs préférentielles et les moyens d’évaluation.</w:t>
            </w:r>
          </w:p>
          <w:p w:rsidR="00DB1479" w:rsidRPr="0043547B" w:rsidRDefault="00DB1479" w:rsidP="00DB1479">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donne également la liste des facteurs en rapport avec l’environnement et autres facteurs humains affectant le choix d’une valeur (d’un critère) pour chaque paramètre.</w:t>
            </w:r>
          </w:p>
          <w:p w:rsidR="00DB1479" w:rsidRPr="0043547B" w:rsidRDefault="00DB1479" w:rsidP="00DB1479">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est destinée à être utilisée :</w:t>
            </w:r>
          </w:p>
          <w:p w:rsidR="00DB1479" w:rsidRPr="0043547B" w:rsidRDefault="00DB1479" w:rsidP="00B905D3">
            <w:pPr>
              <w:pStyle w:val="Paragraphedeliste"/>
              <w:numPr>
                <w:ilvl w:val="0"/>
                <w:numId w:val="48"/>
              </w:num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pour la rédaction des programmes de projets de bâtiment ;</w:t>
            </w:r>
          </w:p>
          <w:p w:rsidR="00DB1479" w:rsidRPr="0043547B" w:rsidRDefault="00DB1479" w:rsidP="00B905D3">
            <w:pPr>
              <w:pStyle w:val="Paragraphedeliste"/>
              <w:numPr>
                <w:ilvl w:val="0"/>
                <w:numId w:val="48"/>
              </w:num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pour la formulation des lois et des règlements de construction;</w:t>
            </w:r>
          </w:p>
          <w:p w:rsidR="00DB1479" w:rsidRPr="0043547B" w:rsidRDefault="00DB1479" w:rsidP="00B905D3">
            <w:pPr>
              <w:pStyle w:val="Paragraphedeliste"/>
              <w:numPr>
                <w:ilvl w:val="0"/>
                <w:numId w:val="48"/>
              </w:num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pour la rédaction des normes et autres documents normatifs; et</w:t>
            </w:r>
          </w:p>
          <w:p w:rsidR="00904E52" w:rsidRPr="0043547B" w:rsidRDefault="00DB1479" w:rsidP="00B905D3">
            <w:pPr>
              <w:pStyle w:val="Paragraphedeliste"/>
              <w:numPr>
                <w:ilvl w:val="0"/>
                <w:numId w:val="48"/>
              </w:num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plus généralement, pour la spécification des performances requises des bâtiments en termes d’exigences de l’utilisateur.</w:t>
            </w:r>
          </w:p>
        </w:tc>
      </w:tr>
      <w:tr w:rsidR="0043547B" w:rsidRPr="0043547B" w:rsidTr="001E064F">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6242-2</w:t>
            </w:r>
          </w:p>
        </w:tc>
      </w:tr>
      <w:tr w:rsidR="0043547B" w:rsidRPr="0043547B" w:rsidTr="001E064F">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6242-2</w:t>
            </w:r>
          </w:p>
        </w:tc>
      </w:tr>
      <w:tr w:rsidR="0043547B" w:rsidRPr="0043547B" w:rsidTr="001E064F">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Construction immobilière - Expression des exigences de l'utilisateur - Partie 2 : pureté de l'air </w:t>
            </w:r>
          </w:p>
        </w:tc>
      </w:tr>
      <w:tr w:rsidR="0043547B" w:rsidRPr="0043547B" w:rsidTr="00D539C2">
        <w:trPr>
          <w:trHeight w:val="559"/>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définit la façon d’identifier, d’exprimer et de quantifier les exigences des utilisateurs en matière de pureté de l’air. Elle décrit les objectifs des utilisateurs et les paramètres utilisés pour les exprimer. Pour chaque paramètre, elle prescrit les unités de mesure, les valeurs préférentielles et les moyens d’évaluation.</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donne également la liste des facteurs en rapport avec l’environnement et autres facteurs humains affectant le choix d’une valeur (d’un critère) pour chaque paramètre.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est destinée à être utilisée :</w:t>
            </w:r>
          </w:p>
          <w:p w:rsidR="00904E52" w:rsidRPr="0043547B" w:rsidRDefault="00904E52" w:rsidP="00B905D3">
            <w:pPr>
              <w:pStyle w:val="Paragraphedeliste"/>
              <w:numPr>
                <w:ilvl w:val="0"/>
                <w:numId w:val="43"/>
              </w:num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pour la rédaction des programmes de projets de bâtiment ;</w:t>
            </w:r>
          </w:p>
          <w:p w:rsidR="00904E52" w:rsidRPr="0043547B" w:rsidRDefault="00904E52" w:rsidP="00B905D3">
            <w:pPr>
              <w:pStyle w:val="Paragraphedeliste"/>
              <w:numPr>
                <w:ilvl w:val="0"/>
                <w:numId w:val="43"/>
              </w:num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pour la formulation des lois et des règlements de construction ;</w:t>
            </w:r>
          </w:p>
          <w:p w:rsidR="00904E52" w:rsidRPr="0043547B" w:rsidRDefault="00904E52" w:rsidP="00B905D3">
            <w:pPr>
              <w:pStyle w:val="Paragraphedeliste"/>
              <w:numPr>
                <w:ilvl w:val="0"/>
                <w:numId w:val="43"/>
              </w:num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pour la rédaction des normes et autres documents normatifs ; et</w:t>
            </w:r>
          </w:p>
          <w:p w:rsidR="00904E52" w:rsidRPr="0043547B" w:rsidRDefault="00904E52" w:rsidP="00B905D3">
            <w:pPr>
              <w:pStyle w:val="Paragraphedeliste"/>
              <w:numPr>
                <w:ilvl w:val="0"/>
                <w:numId w:val="43"/>
              </w:num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plus généralement, pour la spécification des performances requises des bâtiments en termes d’exigences de l’utilisateur.</w:t>
            </w:r>
          </w:p>
        </w:tc>
      </w:tr>
      <w:tr w:rsidR="0043547B" w:rsidRPr="0043547B" w:rsidTr="001E064F">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7361</w:t>
            </w:r>
          </w:p>
        </w:tc>
      </w:tr>
      <w:tr w:rsidR="0043547B" w:rsidRPr="0043547B" w:rsidTr="001E064F">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7361</w:t>
            </w:r>
          </w:p>
        </w:tc>
      </w:tr>
      <w:tr w:rsidR="0043547B" w:rsidRPr="0043547B" w:rsidTr="001E064F">
        <w:trPr>
          <w:trHeight w:val="6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Normes de performance dans le bâtiment – Présentation des performances des façades construites avec des composants de même origine </w:t>
            </w:r>
          </w:p>
        </w:tc>
      </w:tr>
      <w:tr w:rsidR="0043547B" w:rsidRPr="0043547B" w:rsidTr="001E064F">
        <w:trPr>
          <w:trHeight w:val="60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façades qui font l’objet de La norme comportant des composants pleins opaques et des composants avec vitrages fixes ou ouvrants, tous fournis par le même fournisseur.</w:t>
            </w:r>
          </w:p>
        </w:tc>
      </w:tr>
      <w:tr w:rsidR="0043547B" w:rsidRPr="0043547B" w:rsidTr="001E064F">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9699</w:t>
            </w:r>
          </w:p>
        </w:tc>
      </w:tr>
      <w:tr w:rsidR="0043547B" w:rsidRPr="0043547B" w:rsidTr="001E064F">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9699</w:t>
            </w:r>
          </w:p>
        </w:tc>
      </w:tr>
      <w:tr w:rsidR="0043547B" w:rsidRPr="0043547B" w:rsidTr="001E064F">
        <w:trPr>
          <w:trHeight w:val="6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Normes de performance dans le bâtiment – Liste de contrôle consultative – Contenu d’un programme de conception dans l’industrie du bâtiment ;</w:t>
            </w:r>
          </w:p>
        </w:tc>
      </w:tr>
      <w:tr w:rsidR="0043547B" w:rsidRPr="0043547B" w:rsidTr="001E064F">
        <w:trPr>
          <w:trHeight w:val="127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1E064F"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traite du contenu des programmes de conception dans l’industrie du bâtiment. Elle peut être utilisée à partir du moment où le client envisage pour la première fois la réalisation d’un projet de construction. Elle devrait être tout à fait utile lorsque le client et d’autres personnes, en consultation avec les professionnels requis, cherchent à rassembler en un dossier les documents exprimant leurs besoins, leurs objectifs, leurs ressources et à situer le projet ainsi que les problèmes qui en découlent.</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s’applique également quel que soit l’objet du programme, par exemple exposé de directives, proposition, discussion, enregistrement, en constituant une base d’évaluation ou en fixant le cadre formel d’une compétition entre les professionnels qui seront pressentis.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est également utilisable par tous ceux qui participent à la préparation du programme, à savoir les clients, les consultants, les utilisateurs et tous ceux qui sont investis d’une autorité quelconque, ceux qui ont besoin d’être informés ou peuvent être concernés par le projet. Toutefois, La norme revêt un intérêt particulier pour le client qui, en tant que maître d’œuvre et acquéreur du bâtiment, sera responsable du projet et de sa gestion, y compris du choix d’un concepteur, de la préparation du programme et de l’évaluation de son impact.</w:t>
            </w:r>
          </w:p>
        </w:tc>
      </w:tr>
      <w:tr w:rsidR="0043547B" w:rsidRPr="0043547B" w:rsidTr="001E064F">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ISO 6242-3</w:t>
            </w:r>
          </w:p>
        </w:tc>
      </w:tr>
      <w:tr w:rsidR="0043547B" w:rsidRPr="0043547B" w:rsidTr="001E064F">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6242-3</w:t>
            </w:r>
          </w:p>
        </w:tc>
      </w:tr>
      <w:tr w:rsidR="0043547B" w:rsidRPr="0043547B" w:rsidTr="001E064F">
        <w:trPr>
          <w:trHeight w:val="33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w w:val="90"/>
                <w:sz w:val="24"/>
                <w:szCs w:val="24"/>
                <w:lang w:eastAsia="fr-FR"/>
              </w:rPr>
            </w:pPr>
            <w:r w:rsidRPr="0043547B">
              <w:rPr>
                <w:rFonts w:eastAsia="Times New Roman" w:cstheme="minorHAnsi"/>
                <w:w w:val="90"/>
                <w:sz w:val="24"/>
                <w:szCs w:val="24"/>
                <w:lang w:eastAsia="fr-FR"/>
              </w:rPr>
              <w:t xml:space="preserve">Construction immobilière – Expression des exigences de l’utilisateur – Partie 3 : Confort auditif ; </w:t>
            </w:r>
          </w:p>
        </w:tc>
      </w:tr>
      <w:tr w:rsidR="0043547B" w:rsidRPr="0043547B" w:rsidTr="001E064F">
        <w:trPr>
          <w:trHeight w:val="418"/>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définit la façon d’identifier, d’exprimer et de quantifier les exigences des utilisateurs en matière de confort auditif. Elle décrit les objectifs des utilisateurs et les paramètres utilisés pour les exprimer. Pour chaque paramètre, elle prescrit les unités de mesure, les valeurs préférentielles et les moyens d’évaluation.</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donne également la liste des facteurs en rapport avec l’environnement et autres facteurs humains affectant le choix d’une valeur (d’un critère) pour chaque paramètre.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est destinée à être utilisée :</w:t>
            </w:r>
          </w:p>
          <w:p w:rsidR="00904E52" w:rsidRPr="0043547B" w:rsidRDefault="00904E52" w:rsidP="00B905D3">
            <w:pPr>
              <w:pStyle w:val="Paragraphedeliste"/>
              <w:numPr>
                <w:ilvl w:val="0"/>
                <w:numId w:val="44"/>
              </w:num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pour la rédaction des programmes de projets de bâtiment ;</w:t>
            </w:r>
          </w:p>
          <w:p w:rsidR="00904E52" w:rsidRPr="0043547B" w:rsidRDefault="00904E52" w:rsidP="00B905D3">
            <w:pPr>
              <w:pStyle w:val="Paragraphedeliste"/>
              <w:numPr>
                <w:ilvl w:val="0"/>
                <w:numId w:val="44"/>
              </w:num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pour la formulation des lois et des règlements de construction ;</w:t>
            </w:r>
          </w:p>
          <w:p w:rsidR="00904E52" w:rsidRPr="0043547B" w:rsidRDefault="00904E52" w:rsidP="00B905D3">
            <w:pPr>
              <w:pStyle w:val="Paragraphedeliste"/>
              <w:numPr>
                <w:ilvl w:val="0"/>
                <w:numId w:val="44"/>
              </w:num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pour la rédaction des normes et autres documents normatifs ; et</w:t>
            </w:r>
          </w:p>
          <w:p w:rsidR="00904E52" w:rsidRPr="0043547B" w:rsidRDefault="00904E52" w:rsidP="00B905D3">
            <w:pPr>
              <w:pStyle w:val="Paragraphedeliste"/>
              <w:numPr>
                <w:ilvl w:val="0"/>
                <w:numId w:val="44"/>
              </w:num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plus généralement, pour la spécification des performances requises des bâtiments en termes d’exigences de l’utilisateur.</w:t>
            </w:r>
          </w:p>
        </w:tc>
      </w:tr>
      <w:tr w:rsidR="0043547B" w:rsidRPr="0043547B" w:rsidTr="001E4521">
        <w:trPr>
          <w:trHeight w:val="418"/>
          <w:jc w:val="center"/>
        </w:trPr>
        <w:tc>
          <w:tcPr>
            <w:tcW w:w="1838" w:type="dxa"/>
            <w:tcBorders>
              <w:top w:val="nil"/>
              <w:left w:val="single" w:sz="18" w:space="0" w:color="auto"/>
              <w:bottom w:val="single" w:sz="18" w:space="0" w:color="auto"/>
              <w:right w:val="single" w:sz="4" w:space="0" w:color="auto"/>
            </w:tcBorders>
            <w:shd w:val="clear" w:color="auto" w:fill="D6E3BC" w:themeFill="accent3" w:themeFillTint="66"/>
            <w:vAlign w:val="center"/>
          </w:tcPr>
          <w:p w:rsidR="00A20C6E" w:rsidRPr="009E7875" w:rsidRDefault="00A20C6E" w:rsidP="001E4521">
            <w:pPr>
              <w:spacing w:after="0" w:line="240" w:lineRule="auto"/>
              <w:jc w:val="center"/>
              <w:rPr>
                <w:rFonts w:cstheme="minorHAnsi"/>
                <w:b/>
                <w:bCs/>
                <w:sz w:val="24"/>
                <w:szCs w:val="24"/>
              </w:rPr>
            </w:pPr>
            <w:r w:rsidRPr="009E7875">
              <w:rPr>
                <w:rFonts w:cstheme="minorHAnsi"/>
                <w:b/>
                <w:bCs/>
                <w:sz w:val="24"/>
                <w:szCs w:val="24"/>
              </w:rPr>
              <w:t>Code :</w:t>
            </w:r>
          </w:p>
        </w:tc>
        <w:tc>
          <w:tcPr>
            <w:tcW w:w="7938" w:type="dxa"/>
            <w:tcBorders>
              <w:top w:val="nil"/>
              <w:left w:val="single" w:sz="4" w:space="0" w:color="auto"/>
              <w:bottom w:val="single" w:sz="18" w:space="0" w:color="auto"/>
              <w:right w:val="single" w:sz="18" w:space="0" w:color="auto"/>
            </w:tcBorders>
            <w:shd w:val="clear" w:color="auto" w:fill="D6E3BC" w:themeFill="accent3" w:themeFillTint="66"/>
          </w:tcPr>
          <w:p w:rsidR="00A20C6E" w:rsidRPr="009E7875" w:rsidRDefault="00A20C6E" w:rsidP="001E4521">
            <w:pPr>
              <w:spacing w:after="0" w:line="240" w:lineRule="auto"/>
              <w:jc w:val="center"/>
              <w:rPr>
                <w:rFonts w:cstheme="minorHAnsi"/>
                <w:b/>
                <w:bCs/>
                <w:sz w:val="24"/>
                <w:szCs w:val="24"/>
              </w:rPr>
            </w:pPr>
            <w:r w:rsidRPr="009E7875">
              <w:rPr>
                <w:rFonts w:cstheme="minorHAnsi"/>
                <w:b/>
                <w:bCs/>
                <w:sz w:val="24"/>
                <w:szCs w:val="24"/>
              </w:rPr>
              <w:t>NM ISO 15686-1</w:t>
            </w:r>
          </w:p>
        </w:tc>
      </w:tr>
      <w:tr w:rsidR="0043547B" w:rsidRPr="0043547B" w:rsidTr="001E4521">
        <w:trPr>
          <w:trHeight w:val="418"/>
          <w:jc w:val="center"/>
        </w:trPr>
        <w:tc>
          <w:tcPr>
            <w:tcW w:w="1838" w:type="dxa"/>
            <w:tcBorders>
              <w:top w:val="single" w:sz="18" w:space="0" w:color="auto"/>
              <w:left w:val="single" w:sz="18" w:space="0" w:color="auto"/>
              <w:bottom w:val="single" w:sz="4" w:space="0" w:color="auto"/>
              <w:right w:val="single" w:sz="4" w:space="0" w:color="auto"/>
            </w:tcBorders>
            <w:shd w:val="clear" w:color="auto" w:fill="FDFBA9"/>
            <w:vAlign w:val="center"/>
          </w:tcPr>
          <w:p w:rsidR="00A20C6E" w:rsidRPr="009E7875" w:rsidRDefault="00A20C6E" w:rsidP="001E4521">
            <w:pPr>
              <w:spacing w:after="0" w:line="240" w:lineRule="auto"/>
              <w:jc w:val="center"/>
              <w:rPr>
                <w:rFonts w:cstheme="minorHAnsi"/>
                <w:b/>
                <w:bCs/>
                <w:sz w:val="24"/>
                <w:szCs w:val="24"/>
              </w:rPr>
            </w:pPr>
            <w:r w:rsidRPr="009E7875">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DFBA9"/>
            <w:vAlign w:val="center"/>
          </w:tcPr>
          <w:p w:rsidR="00A20C6E" w:rsidRPr="009E7875" w:rsidRDefault="00A20C6E" w:rsidP="001E4521">
            <w:pPr>
              <w:spacing w:after="0" w:line="240" w:lineRule="auto"/>
              <w:jc w:val="center"/>
              <w:rPr>
                <w:rFonts w:cstheme="minorHAnsi"/>
                <w:b/>
                <w:bCs/>
                <w:sz w:val="24"/>
                <w:szCs w:val="24"/>
              </w:rPr>
            </w:pPr>
            <w:r w:rsidRPr="009E7875">
              <w:rPr>
                <w:rFonts w:cstheme="minorHAnsi"/>
                <w:b/>
                <w:bCs/>
                <w:sz w:val="24"/>
                <w:szCs w:val="24"/>
              </w:rPr>
              <w:t>ISO 15686-1</w:t>
            </w:r>
          </w:p>
        </w:tc>
      </w:tr>
      <w:tr w:rsidR="0043547B" w:rsidRPr="0043547B" w:rsidTr="001E4521">
        <w:trPr>
          <w:trHeight w:val="418"/>
          <w:jc w:val="center"/>
        </w:trPr>
        <w:tc>
          <w:tcPr>
            <w:tcW w:w="1838" w:type="dxa"/>
            <w:tcBorders>
              <w:top w:val="single" w:sz="4" w:space="0" w:color="auto"/>
              <w:left w:val="single" w:sz="18" w:space="0" w:color="auto"/>
              <w:bottom w:val="single" w:sz="4" w:space="0" w:color="auto"/>
              <w:right w:val="single" w:sz="4" w:space="0" w:color="auto"/>
            </w:tcBorders>
            <w:shd w:val="clear" w:color="auto" w:fill="B8CCE4" w:themeFill="accent1" w:themeFillTint="66"/>
            <w:vAlign w:val="center"/>
          </w:tcPr>
          <w:p w:rsidR="00A20C6E" w:rsidRPr="0043547B" w:rsidRDefault="00A20C6E" w:rsidP="001E4521">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auto"/>
            <w:vAlign w:val="center"/>
          </w:tcPr>
          <w:p w:rsidR="00A20C6E" w:rsidRPr="0043547B" w:rsidRDefault="00A20C6E" w:rsidP="001E4521">
            <w:pPr>
              <w:spacing w:after="0" w:line="240" w:lineRule="auto"/>
              <w:jc w:val="both"/>
              <w:rPr>
                <w:rFonts w:cstheme="minorHAnsi"/>
                <w:sz w:val="24"/>
                <w:szCs w:val="24"/>
              </w:rPr>
            </w:pPr>
            <w:r w:rsidRPr="0043547B">
              <w:rPr>
                <w:rFonts w:cstheme="minorHAnsi"/>
                <w:sz w:val="24"/>
                <w:szCs w:val="24"/>
              </w:rPr>
              <w:t xml:space="preserve">Bâtiments et biens immobiliers construits - Conception prenant en compte la durée de vie - Partie 1 : Principes généraux et cadre   </w:t>
            </w:r>
          </w:p>
        </w:tc>
      </w:tr>
      <w:tr w:rsidR="0043547B" w:rsidRPr="0043547B" w:rsidTr="001E4521">
        <w:trPr>
          <w:trHeight w:val="418"/>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A20C6E" w:rsidRPr="0043547B" w:rsidRDefault="00A20C6E" w:rsidP="001E4521">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tcPr>
          <w:p w:rsidR="001E4521" w:rsidRDefault="00A20C6E" w:rsidP="001E4521">
            <w:pPr>
              <w:spacing w:after="0" w:line="240" w:lineRule="auto"/>
              <w:jc w:val="both"/>
              <w:rPr>
                <w:rFonts w:cstheme="minorHAnsi"/>
                <w:sz w:val="24"/>
                <w:szCs w:val="24"/>
              </w:rPr>
            </w:pPr>
            <w:r w:rsidRPr="0043547B">
              <w:rPr>
                <w:rFonts w:cstheme="minorHAnsi"/>
                <w:sz w:val="24"/>
                <w:szCs w:val="24"/>
              </w:rPr>
              <w:t>La présente partie de l'ISO 15686 identifie et établit des principes généraux pour la conception prenant en compte la durée de vie et définit un cadre systématique pour entreprendre une conception prenant en compte la durée de vie d'un bâtiment ou d'un ouvrage programmé, durant son cycle de vie (ou son cycle de vie</w:t>
            </w:r>
            <w:r w:rsidR="001E4521">
              <w:rPr>
                <w:rFonts w:cstheme="minorHAnsi"/>
                <w:sz w:val="24"/>
                <w:szCs w:val="24"/>
              </w:rPr>
              <w:t xml:space="preserve"> </w:t>
            </w:r>
            <w:r w:rsidRPr="0043547B">
              <w:rPr>
                <w:rFonts w:cstheme="minorHAnsi"/>
                <w:sz w:val="24"/>
                <w:szCs w:val="24"/>
              </w:rPr>
              <w:t>restant pour les bâtiments ou ouvrages existants).</w:t>
            </w:r>
          </w:p>
          <w:p w:rsidR="001E4521" w:rsidRDefault="00A20C6E" w:rsidP="001E4521">
            <w:pPr>
              <w:spacing w:after="0" w:line="240" w:lineRule="auto"/>
              <w:jc w:val="both"/>
              <w:rPr>
                <w:rFonts w:cstheme="minorHAnsi"/>
                <w:sz w:val="24"/>
                <w:szCs w:val="24"/>
              </w:rPr>
            </w:pPr>
            <w:r w:rsidRPr="0043547B">
              <w:rPr>
                <w:rFonts w:cstheme="minorHAnsi"/>
                <w:sz w:val="24"/>
                <w:szCs w:val="24"/>
              </w:rPr>
              <w:t>Le cycle de vie comprend le lancement, la définition du projet, la conception, la construction, la mise en service, l'exploitation, l'entretien/maintenance, la réhabilitation, le remplacement, la destruction et la démolition définitive, le recyclage ou la réutilisation du bien immobilier (ou de parties de celui-ci), y compris ses composants, systèmes et équipements techniques.</w:t>
            </w:r>
          </w:p>
          <w:p w:rsidR="001E4521" w:rsidRDefault="00A20C6E" w:rsidP="001E4521">
            <w:pPr>
              <w:spacing w:after="0" w:line="240" w:lineRule="auto"/>
              <w:jc w:val="both"/>
              <w:rPr>
                <w:rFonts w:cstheme="minorHAnsi"/>
                <w:sz w:val="24"/>
                <w:szCs w:val="24"/>
              </w:rPr>
            </w:pPr>
            <w:r w:rsidRPr="0043547B">
              <w:rPr>
                <w:rFonts w:cstheme="minorHAnsi"/>
                <w:sz w:val="24"/>
                <w:szCs w:val="24"/>
              </w:rPr>
              <w:t>La présente partie de l'ISO 15686 s'applique à la conception prenant en compte la durée de vie de bâtiments individuels.</w:t>
            </w:r>
          </w:p>
          <w:p w:rsidR="00A20C6E" w:rsidRPr="0043547B" w:rsidRDefault="00A20C6E" w:rsidP="001E4521">
            <w:pPr>
              <w:spacing w:after="0" w:line="240" w:lineRule="auto"/>
              <w:jc w:val="both"/>
              <w:rPr>
                <w:rFonts w:cstheme="minorHAnsi"/>
                <w:sz w:val="24"/>
                <w:szCs w:val="24"/>
              </w:rPr>
            </w:pPr>
            <w:r w:rsidRPr="001E4521">
              <w:rPr>
                <w:rFonts w:cstheme="minorHAnsi"/>
                <w:b/>
                <w:bCs/>
                <w:i/>
                <w:iCs/>
              </w:rPr>
              <w:t>NOTE</w:t>
            </w:r>
            <w:r w:rsidRPr="001E4521">
              <w:rPr>
                <w:rFonts w:cstheme="minorHAnsi"/>
                <w:i/>
                <w:iCs/>
              </w:rPr>
              <w:t xml:space="preserve"> : Une série de plans de durées de vie peut être utilisée comme données d'entrée pour la gestion stratégique d'un grand nombre de bâtiments.</w:t>
            </w:r>
          </w:p>
        </w:tc>
      </w:tr>
      <w:tr w:rsidR="0043547B" w:rsidRPr="0043547B" w:rsidTr="001E4521">
        <w:trPr>
          <w:trHeight w:val="418"/>
          <w:jc w:val="center"/>
        </w:trPr>
        <w:tc>
          <w:tcPr>
            <w:tcW w:w="1838" w:type="dxa"/>
            <w:tcBorders>
              <w:top w:val="nil"/>
              <w:left w:val="single" w:sz="18" w:space="0" w:color="auto"/>
              <w:bottom w:val="single" w:sz="18" w:space="0" w:color="auto"/>
              <w:right w:val="single" w:sz="4" w:space="0" w:color="auto"/>
            </w:tcBorders>
            <w:shd w:val="clear" w:color="auto" w:fill="D6E3BC" w:themeFill="accent3" w:themeFillTint="66"/>
            <w:vAlign w:val="center"/>
          </w:tcPr>
          <w:p w:rsidR="00A20C6E" w:rsidRPr="009E7875" w:rsidRDefault="00A20C6E" w:rsidP="001E4521">
            <w:pPr>
              <w:spacing w:after="0" w:line="240" w:lineRule="auto"/>
              <w:jc w:val="center"/>
              <w:rPr>
                <w:rFonts w:cstheme="minorHAnsi"/>
                <w:b/>
                <w:bCs/>
                <w:sz w:val="24"/>
                <w:szCs w:val="24"/>
              </w:rPr>
            </w:pPr>
            <w:r w:rsidRPr="009E7875">
              <w:rPr>
                <w:rFonts w:cstheme="minorHAnsi"/>
                <w:b/>
                <w:bCs/>
                <w:sz w:val="24"/>
                <w:szCs w:val="24"/>
              </w:rPr>
              <w:t>Code :</w:t>
            </w:r>
          </w:p>
        </w:tc>
        <w:tc>
          <w:tcPr>
            <w:tcW w:w="7938" w:type="dxa"/>
            <w:tcBorders>
              <w:top w:val="nil"/>
              <w:left w:val="single" w:sz="4" w:space="0" w:color="auto"/>
              <w:bottom w:val="single" w:sz="18" w:space="0" w:color="auto"/>
              <w:right w:val="single" w:sz="18" w:space="0" w:color="auto"/>
            </w:tcBorders>
            <w:shd w:val="clear" w:color="auto" w:fill="D6E3BC" w:themeFill="accent3" w:themeFillTint="66"/>
          </w:tcPr>
          <w:p w:rsidR="00A20C6E" w:rsidRPr="009E7875" w:rsidRDefault="00A20C6E" w:rsidP="001E4521">
            <w:pPr>
              <w:spacing w:after="0" w:line="240" w:lineRule="auto"/>
              <w:jc w:val="center"/>
              <w:rPr>
                <w:rFonts w:cstheme="minorHAnsi"/>
                <w:b/>
                <w:bCs/>
                <w:sz w:val="24"/>
                <w:szCs w:val="24"/>
              </w:rPr>
            </w:pPr>
            <w:r w:rsidRPr="009E7875">
              <w:rPr>
                <w:rFonts w:cstheme="minorHAnsi"/>
                <w:b/>
                <w:bCs/>
                <w:sz w:val="24"/>
                <w:szCs w:val="24"/>
              </w:rPr>
              <w:t>NM ISO 15686-2</w:t>
            </w:r>
          </w:p>
        </w:tc>
      </w:tr>
      <w:tr w:rsidR="0043547B" w:rsidRPr="0043547B" w:rsidTr="001E4521">
        <w:trPr>
          <w:trHeight w:val="418"/>
          <w:jc w:val="center"/>
        </w:trPr>
        <w:tc>
          <w:tcPr>
            <w:tcW w:w="1838" w:type="dxa"/>
            <w:tcBorders>
              <w:top w:val="single" w:sz="18" w:space="0" w:color="auto"/>
              <w:left w:val="single" w:sz="18" w:space="0" w:color="auto"/>
              <w:bottom w:val="single" w:sz="4" w:space="0" w:color="auto"/>
              <w:right w:val="single" w:sz="4" w:space="0" w:color="auto"/>
            </w:tcBorders>
            <w:shd w:val="clear" w:color="auto" w:fill="FDFBA9"/>
            <w:vAlign w:val="center"/>
          </w:tcPr>
          <w:p w:rsidR="00A20C6E" w:rsidRPr="009E7875" w:rsidRDefault="00A20C6E" w:rsidP="001E4521">
            <w:pPr>
              <w:spacing w:after="0" w:line="240" w:lineRule="auto"/>
              <w:jc w:val="center"/>
              <w:rPr>
                <w:rFonts w:cstheme="minorHAnsi"/>
                <w:b/>
                <w:bCs/>
                <w:sz w:val="24"/>
                <w:szCs w:val="24"/>
              </w:rPr>
            </w:pPr>
            <w:r w:rsidRPr="009E7875">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DFBA9"/>
            <w:vAlign w:val="center"/>
          </w:tcPr>
          <w:p w:rsidR="00A20C6E" w:rsidRPr="009E7875" w:rsidRDefault="00A20C6E" w:rsidP="001E4521">
            <w:pPr>
              <w:spacing w:after="0" w:line="240" w:lineRule="auto"/>
              <w:jc w:val="center"/>
              <w:rPr>
                <w:rFonts w:cstheme="minorHAnsi"/>
                <w:b/>
                <w:bCs/>
                <w:sz w:val="24"/>
                <w:szCs w:val="24"/>
              </w:rPr>
            </w:pPr>
            <w:r w:rsidRPr="009E7875">
              <w:rPr>
                <w:rFonts w:cstheme="minorHAnsi"/>
                <w:b/>
                <w:bCs/>
                <w:sz w:val="24"/>
                <w:szCs w:val="24"/>
              </w:rPr>
              <w:t>ISO 15686-2</w:t>
            </w:r>
          </w:p>
        </w:tc>
      </w:tr>
      <w:tr w:rsidR="0043547B" w:rsidRPr="0043547B" w:rsidTr="001E4521">
        <w:trPr>
          <w:trHeight w:val="418"/>
          <w:jc w:val="center"/>
        </w:trPr>
        <w:tc>
          <w:tcPr>
            <w:tcW w:w="1838" w:type="dxa"/>
            <w:tcBorders>
              <w:top w:val="single" w:sz="4" w:space="0" w:color="auto"/>
              <w:left w:val="single" w:sz="18" w:space="0" w:color="auto"/>
              <w:bottom w:val="single" w:sz="4" w:space="0" w:color="auto"/>
              <w:right w:val="single" w:sz="4" w:space="0" w:color="auto"/>
            </w:tcBorders>
            <w:shd w:val="clear" w:color="auto" w:fill="B8CCE4" w:themeFill="accent1" w:themeFillTint="66"/>
            <w:vAlign w:val="center"/>
          </w:tcPr>
          <w:p w:rsidR="00A20C6E" w:rsidRPr="0043547B" w:rsidRDefault="00A20C6E" w:rsidP="001E4521">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auto"/>
            <w:vAlign w:val="center"/>
          </w:tcPr>
          <w:p w:rsidR="00A20C6E" w:rsidRPr="0043547B" w:rsidRDefault="00A20C6E" w:rsidP="001E4521">
            <w:pPr>
              <w:spacing w:after="0" w:line="240" w:lineRule="auto"/>
              <w:jc w:val="both"/>
              <w:rPr>
                <w:rFonts w:cstheme="minorHAnsi"/>
                <w:sz w:val="24"/>
                <w:szCs w:val="24"/>
              </w:rPr>
            </w:pPr>
            <w:r w:rsidRPr="0043547B">
              <w:rPr>
                <w:rFonts w:cstheme="minorHAnsi"/>
                <w:sz w:val="24"/>
                <w:szCs w:val="24"/>
              </w:rPr>
              <w:t xml:space="preserve">Bâtiments et biens immobiliers construits - Conception prenant en compte la durée de vie - Partie 2 : Procédures pour la prévision de la durée de vie  </w:t>
            </w:r>
          </w:p>
        </w:tc>
      </w:tr>
      <w:tr w:rsidR="0043547B" w:rsidRPr="0043547B" w:rsidTr="001E4521">
        <w:trPr>
          <w:trHeight w:val="418"/>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A20C6E" w:rsidRPr="0043547B" w:rsidRDefault="00A20C6E" w:rsidP="001E4521">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tcPr>
          <w:p w:rsidR="00A20C6E" w:rsidRPr="0043547B" w:rsidRDefault="00A20C6E" w:rsidP="001E4521">
            <w:pPr>
              <w:spacing w:after="0" w:line="240" w:lineRule="auto"/>
              <w:jc w:val="both"/>
              <w:rPr>
                <w:rFonts w:cstheme="minorHAnsi"/>
                <w:sz w:val="24"/>
                <w:szCs w:val="24"/>
              </w:rPr>
            </w:pPr>
            <w:r w:rsidRPr="0043547B">
              <w:rPr>
                <w:rFonts w:cstheme="minorHAnsi"/>
                <w:sz w:val="24"/>
                <w:szCs w:val="24"/>
              </w:rPr>
              <w:t>La présente partie de l’ISO 15686 décrit des procédures qui facilitent les prévisions de la durée de vie des composants de bâtiments, reposant sur la performance technique et fonctionnelle. Elle fournit un cadre général, des principes et des exigences pour réaliser ces études et établir les rapports correspondants.</w:t>
            </w:r>
            <w:r w:rsidRPr="0043547B">
              <w:rPr>
                <w:rFonts w:cstheme="minorHAnsi"/>
                <w:sz w:val="24"/>
                <w:szCs w:val="24"/>
              </w:rPr>
              <w:br/>
              <w:t>Elle ne traite pas de la limitation de la durée de vie en raison de l’obsolescence ou d’autres états de performances non mesurables ou imprévisibles.</w:t>
            </w:r>
          </w:p>
        </w:tc>
      </w:tr>
      <w:tr w:rsidR="0043547B" w:rsidRPr="0043547B" w:rsidTr="001E064F">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ISO/TR 9527</w:t>
            </w:r>
          </w:p>
        </w:tc>
      </w:tr>
      <w:tr w:rsidR="0043547B" w:rsidRPr="0043547B" w:rsidTr="001E064F">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ISO/TR 9527</w:t>
            </w:r>
          </w:p>
        </w:tc>
      </w:tr>
      <w:tr w:rsidR="0043547B" w:rsidRPr="0043547B" w:rsidTr="001E064F">
        <w:trPr>
          <w:trHeight w:val="371"/>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Construction immobilière - Besoins des handicapés dans les bâtiments – Lignes directrices pour la conception ; </w:t>
            </w:r>
          </w:p>
        </w:tc>
      </w:tr>
      <w:tr w:rsidR="0043547B" w:rsidRPr="0043547B" w:rsidTr="001E064F">
        <w:trPr>
          <w:trHeight w:val="60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 rapport technique donne des lignes directrices pour les concepteurs dans le bâtiment afin de tenir en compte les besoins des handicapés lors de leurs réalisations des projets.</w:t>
            </w:r>
          </w:p>
        </w:tc>
      </w:tr>
      <w:tr w:rsidR="0043547B" w:rsidRPr="0043547B" w:rsidTr="001E064F">
        <w:trPr>
          <w:trHeight w:val="86"/>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tcPr>
          <w:p w:rsidR="00D54A5C" w:rsidRPr="0043547B" w:rsidRDefault="00D54A5C" w:rsidP="00D54A5C">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tcPr>
          <w:p w:rsidR="00D54A5C" w:rsidRPr="0043547B" w:rsidRDefault="00D54A5C" w:rsidP="00D54A5C">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10.2.051</w:t>
            </w:r>
          </w:p>
        </w:tc>
      </w:tr>
      <w:tr w:rsidR="0043547B" w:rsidRPr="0043547B" w:rsidTr="001E064F">
        <w:trPr>
          <w:trHeight w:val="600"/>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tcPr>
          <w:p w:rsidR="00D54A5C" w:rsidRPr="0043547B" w:rsidRDefault="00D54A5C" w:rsidP="00D54A5C">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tcPr>
          <w:p w:rsidR="00D54A5C" w:rsidRPr="0043547B" w:rsidRDefault="00D54A5C" w:rsidP="00D54A5C">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Performances dans le bâtiment - Présentation des performances des fermetures pour baies extérieures de fenêtres </w:t>
            </w:r>
          </w:p>
        </w:tc>
      </w:tr>
      <w:tr w:rsidR="0043547B" w:rsidRPr="0043547B" w:rsidTr="001E064F">
        <w:trPr>
          <w:trHeight w:val="600"/>
          <w:jc w:val="center"/>
        </w:trPr>
        <w:tc>
          <w:tcPr>
            <w:tcW w:w="1838" w:type="dxa"/>
            <w:tcBorders>
              <w:top w:val="nil"/>
              <w:left w:val="single" w:sz="18" w:space="0" w:color="auto"/>
              <w:bottom w:val="single" w:sz="18" w:space="0" w:color="auto"/>
              <w:right w:val="single" w:sz="4" w:space="0" w:color="auto"/>
            </w:tcBorders>
            <w:shd w:val="clear" w:color="000000" w:fill="D9D9D9"/>
            <w:vAlign w:val="center"/>
          </w:tcPr>
          <w:p w:rsidR="00D54A5C" w:rsidRPr="0043547B" w:rsidRDefault="00D54A5C" w:rsidP="00D54A5C">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tcPr>
          <w:p w:rsidR="00D54A5C" w:rsidRPr="0043547B" w:rsidRDefault="00D54A5C" w:rsidP="00D54A5C">
            <w:pPr>
              <w:spacing w:after="0" w:line="240" w:lineRule="auto"/>
              <w:jc w:val="both"/>
              <w:rPr>
                <w:rFonts w:eastAsia="Times New Roman" w:cstheme="minorHAnsi"/>
                <w:w w:val="95"/>
                <w:sz w:val="24"/>
                <w:szCs w:val="24"/>
                <w:lang w:eastAsia="fr-FR"/>
              </w:rPr>
            </w:pPr>
            <w:r w:rsidRPr="0043547B">
              <w:rPr>
                <w:rFonts w:eastAsia="Times New Roman" w:cstheme="minorHAnsi"/>
                <w:w w:val="95"/>
                <w:sz w:val="24"/>
                <w:szCs w:val="24"/>
                <w:lang w:eastAsia="fr-FR"/>
              </w:rPr>
              <w:t>La norme s’applique à toutes les fermetures de bâtiment pour baies extérieures équipées de fenêtres (ou de portes-fenêtres) quelles que soient leur conception et la nature des matériaux les constituant, telles qu’elles sont normalement utilisées et mises en œuvre dans le bâtiment.</w:t>
            </w:r>
          </w:p>
          <w:p w:rsidR="00D54A5C" w:rsidRPr="0043547B" w:rsidRDefault="00D54A5C" w:rsidP="00D54A5C">
            <w:pPr>
              <w:spacing w:after="0" w:line="240" w:lineRule="auto"/>
              <w:jc w:val="both"/>
              <w:rPr>
                <w:rFonts w:eastAsia="Times New Roman" w:cstheme="minorHAnsi"/>
                <w:w w:val="95"/>
                <w:sz w:val="24"/>
                <w:szCs w:val="24"/>
                <w:lang w:eastAsia="fr-FR"/>
              </w:rPr>
            </w:pPr>
            <w:r w:rsidRPr="0043547B">
              <w:rPr>
                <w:rFonts w:eastAsia="Times New Roman" w:cstheme="minorHAnsi"/>
                <w:w w:val="95"/>
                <w:sz w:val="24"/>
                <w:szCs w:val="24"/>
                <w:lang w:eastAsia="fr-FR"/>
              </w:rPr>
              <w:t>Elle ne s’applique pas aux fermetures pour baies libres (désignées également par fermetures industrielles) ni aux portes de garages, de maisons ou d’immeubles d’habitation.</w:t>
            </w:r>
          </w:p>
        </w:tc>
      </w:tr>
      <w:tr w:rsidR="0043547B" w:rsidRPr="0043547B" w:rsidTr="001E064F">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10.8.808</w:t>
            </w:r>
          </w:p>
        </w:tc>
      </w:tr>
      <w:tr w:rsidR="0043547B" w:rsidRPr="0043547B" w:rsidTr="001E064F">
        <w:trPr>
          <w:trHeight w:val="6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Marchés privés – Cahiers types – Cahier des clauses administratives générales applicables aux travaux de bâtiment faisant l’objet de marchés privés </w:t>
            </w:r>
          </w:p>
        </w:tc>
      </w:tr>
      <w:tr w:rsidR="0043547B" w:rsidRPr="0043547B" w:rsidTr="001E064F">
        <w:trPr>
          <w:trHeight w:val="3847"/>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 présent document met à la disposition des intéressés un cahier des clauses types comme «cahier des clauses administratives générales applicable aux travaux de bâtiment faisant l'objet de marchés privés».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Il est applicable aux travaux de bâtiment pour lesquels le maître de l'ouvrage se réserve la possibilité de modifier la consistance et la nature des travaux.</w:t>
            </w:r>
          </w:p>
          <w:p w:rsidR="00904E52" w:rsidRPr="0043547B" w:rsidRDefault="00904E52" w:rsidP="00904E52">
            <w:pPr>
              <w:spacing w:after="0" w:line="240" w:lineRule="auto"/>
              <w:jc w:val="both"/>
              <w:rPr>
                <w:rFonts w:eastAsia="Times New Roman" w:cstheme="minorHAnsi"/>
                <w:w w:val="95"/>
                <w:sz w:val="24"/>
                <w:szCs w:val="24"/>
                <w:lang w:eastAsia="fr-FR"/>
              </w:rPr>
            </w:pPr>
            <w:r w:rsidRPr="0043547B">
              <w:rPr>
                <w:rFonts w:eastAsia="Times New Roman" w:cstheme="minorHAnsi"/>
                <w:w w:val="95"/>
                <w:sz w:val="24"/>
                <w:szCs w:val="24"/>
                <w:lang w:eastAsia="fr-FR"/>
              </w:rPr>
              <w:t>Lorsque le maître de l'ouvrage décide de traiter les travaux ne varietur, c'est-à-dire lorsqu'il s'interdit de modifier la nature et la consistance des ouvrages tels qu'ils sont notamment définis par les plans et descriptifs, après signature du marché, et accepte des obligations contractuelles précises en ce qui concerne en particulier les délais de paiement.</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Pour les marchés de construction dits «Contrats de constructions de maisons individuelles» les autres documents du marché doivent impérativement être complétés par les dispositions réglementaires qui s'y appliquent et par les modifications qui résultent de l'adaptation nécessaire par le maître d'œuvre et, dans ce dernier cas, de l'étendue de la mission que lui confie le maître de l'ouvrage. </w:t>
            </w:r>
          </w:p>
        </w:tc>
      </w:tr>
      <w:tr w:rsidR="0043547B" w:rsidRPr="0043547B" w:rsidTr="001E064F">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10.8.809</w:t>
            </w:r>
          </w:p>
        </w:tc>
      </w:tr>
      <w:tr w:rsidR="0043547B" w:rsidRPr="0043547B" w:rsidTr="001E064F">
        <w:trPr>
          <w:trHeight w:val="286"/>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Marchés privés - Cahiers types - Cahier des clauses administratives générales applicables aux travaux de génie civil faisant l'objet de marchés privés </w:t>
            </w:r>
          </w:p>
        </w:tc>
      </w:tr>
      <w:tr w:rsidR="0043547B" w:rsidRPr="0043547B" w:rsidTr="001E064F">
        <w:trPr>
          <w:trHeight w:val="278"/>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 présent Cahier des Clauses Administratives Générales s´applique aux travaux neufs ainsi qu´aux travaux de transformation et de réparation de tous ouvrages. Il est prévu pour les trois types de marchés suivants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marchés à prix forfaitaire global,</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marchés au métré sur prix unitaires,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 marchés sur dépenses contrôlées et pour les marchés associant ces systèmes.  </w:t>
            </w:r>
          </w:p>
        </w:tc>
      </w:tr>
    </w:tbl>
    <w:p w:rsidR="00904E52" w:rsidRPr="0043547B" w:rsidRDefault="00904E52" w:rsidP="00B905D3">
      <w:pPr>
        <w:pStyle w:val="Titre3"/>
        <w:numPr>
          <w:ilvl w:val="1"/>
          <w:numId w:val="2"/>
        </w:numPr>
        <w:ind w:left="284"/>
        <w:rPr>
          <w:rFonts w:asciiTheme="minorHAnsi" w:hAnsiTheme="minorHAnsi" w:cstheme="minorHAnsi"/>
          <w:sz w:val="24"/>
          <w:szCs w:val="24"/>
          <w:u w:val="single"/>
        </w:rPr>
      </w:pPr>
      <w:bookmarkStart w:id="42" w:name="_Toc458606098"/>
      <w:r w:rsidRPr="0043547B">
        <w:rPr>
          <w:rFonts w:asciiTheme="minorHAnsi" w:hAnsiTheme="minorHAnsi" w:cstheme="minorHAnsi"/>
          <w:sz w:val="24"/>
          <w:szCs w:val="24"/>
          <w:u w:val="single"/>
        </w:rPr>
        <w:t>Lot N°7 : Travaux routiers</w:t>
      </w:r>
      <w:bookmarkEnd w:id="42"/>
    </w:p>
    <w:p w:rsidR="00904E52" w:rsidRPr="0043547B" w:rsidRDefault="00904E52" w:rsidP="00F26621">
      <w:pPr>
        <w:pStyle w:val="Titre4"/>
        <w:numPr>
          <w:ilvl w:val="2"/>
          <w:numId w:val="2"/>
        </w:numPr>
        <w:ind w:left="1418" w:hanging="579"/>
        <w:rPr>
          <w:rFonts w:cstheme="minorHAnsi"/>
          <w:b/>
          <w:bCs w:val="0"/>
          <w:iCs w:val="0"/>
          <w:color w:val="auto"/>
          <w:szCs w:val="24"/>
          <w:u w:val="single"/>
        </w:rPr>
      </w:pPr>
      <w:bookmarkStart w:id="43" w:name="_Toc458606099"/>
      <w:r w:rsidRPr="0043547B">
        <w:rPr>
          <w:rFonts w:cstheme="minorHAnsi"/>
          <w:b/>
          <w:bCs w:val="0"/>
          <w:iCs w:val="0"/>
          <w:color w:val="auto"/>
          <w:szCs w:val="24"/>
          <w:u w:val="single"/>
        </w:rPr>
        <w:t>Chaussées et liants hydrocarbonés</w:t>
      </w:r>
      <w:bookmarkEnd w:id="43"/>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8"/>
        <w:gridCol w:w="7938"/>
      </w:tblGrid>
      <w:tr w:rsidR="0043547B" w:rsidRPr="0043547B" w:rsidTr="00E13CAF">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13.1.221</w:t>
            </w:r>
          </w:p>
        </w:tc>
      </w:tr>
      <w:tr w:rsidR="0043547B" w:rsidRPr="0043547B" w:rsidTr="00E13CAF">
        <w:trPr>
          <w:trHeight w:val="49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Intitulé :</w:t>
            </w:r>
          </w:p>
        </w:tc>
        <w:tc>
          <w:tcPr>
            <w:tcW w:w="7938" w:type="dxa"/>
            <w:tcBorders>
              <w:top w:val="single" w:sz="18" w:space="0" w:color="auto"/>
              <w:left w:val="single" w:sz="4" w:space="0" w:color="auto"/>
              <w:right w:val="single" w:sz="18" w:space="0" w:color="auto"/>
            </w:tcBorders>
            <w:shd w:val="clear" w:color="000000" w:fill="FFFFFF"/>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Matériels pour la construction et l’entretien des routes - Centrales de traitement de matériaux - Terminologie et performances</w:t>
            </w:r>
          </w:p>
        </w:tc>
      </w:tr>
      <w:tr w:rsidR="0043547B" w:rsidRPr="0043547B" w:rsidTr="00D539C2">
        <w:trPr>
          <w:trHeight w:val="2211"/>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000000" w:fill="FFFFFF"/>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établit la terminologie, répertorie la nature des spécifications et donne la liste des caractéristiques utiles à la détermination des performances et à la rédaction des documents techniques pour les centrales de production des matériaux de construction utilisées dans les travaux de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corps de chaussées et chaussées autoroutières, routières aéroportuaires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de voiries et réseaux divers.</w:t>
            </w:r>
          </w:p>
          <w:p w:rsidR="00E13CAF" w:rsidRPr="0043547B" w:rsidRDefault="00904E52" w:rsidP="00D539C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ne concerne pas les conditions de sécurité qui doivent faire l'objet de normes spécifiques.</w:t>
            </w:r>
          </w:p>
        </w:tc>
      </w:tr>
      <w:tr w:rsidR="0043547B" w:rsidRPr="0043547B" w:rsidTr="00E13CAF">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13.1.222</w:t>
            </w:r>
          </w:p>
        </w:tc>
      </w:tr>
      <w:tr w:rsidR="0043547B" w:rsidRPr="0043547B" w:rsidTr="00E13CAF">
        <w:trPr>
          <w:trHeight w:val="49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000000" w:fill="FFFFFF"/>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Matériels de construction et d’entretien des routes - Machines de répandage des mélanges granulaires - Terminologie et définition des performances - Finisseur</w:t>
            </w:r>
          </w:p>
        </w:tc>
      </w:tr>
      <w:tr w:rsidR="0043547B" w:rsidRPr="0043547B" w:rsidTr="00E13CAF">
        <w:trPr>
          <w:trHeight w:val="985"/>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000000" w:fill="FFFFFF"/>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 présent document décrit les éléments constitutifs des finisseurs utilisés pour la mise en place de l’essentiel des matériaux des couches de chaussées et en explicite les fonctions et les caractéristiques spécifiques pour l’exécution d’un chantier.</w:t>
            </w:r>
          </w:p>
          <w:p w:rsidR="00E13CAF" w:rsidRPr="0043547B" w:rsidRDefault="00904E52" w:rsidP="00D539C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 document traite des matériels dont les outils de répandage sont des tables flottantes.</w:t>
            </w:r>
            <w:r w:rsidRPr="0043547B">
              <w:rPr>
                <w:rFonts w:eastAsia="Times New Roman" w:cstheme="minorHAnsi"/>
                <w:sz w:val="24"/>
                <w:szCs w:val="24"/>
                <w:lang w:eastAsia="fr-FR"/>
              </w:rPr>
              <w:br/>
              <w:t>Ce document ne concerne pas les conditions de sécurité des finisseurs qui font l'objet de normes spécifiques.</w:t>
            </w:r>
          </w:p>
        </w:tc>
      </w:tr>
      <w:tr w:rsidR="0043547B" w:rsidRPr="0043547B" w:rsidTr="00E13CAF">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13.1.253</w:t>
            </w:r>
          </w:p>
        </w:tc>
      </w:tr>
      <w:tr w:rsidR="0043547B" w:rsidRPr="0043547B" w:rsidTr="00E13CAF">
        <w:trPr>
          <w:trHeight w:val="49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000000" w:fill="FFFFFF"/>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Enrobés hydrocarbonés - Contrôles occasionnels du pourcentage de vides lors de la mise en </w:t>
            </w:r>
            <w:r w:rsidR="00DB1479" w:rsidRPr="0043547B">
              <w:rPr>
                <w:rFonts w:eastAsia="Times New Roman" w:cstheme="minorHAnsi"/>
                <w:sz w:val="24"/>
                <w:szCs w:val="24"/>
                <w:lang w:eastAsia="fr-FR"/>
              </w:rPr>
              <w:t>œuvre</w:t>
            </w:r>
            <w:r w:rsidRPr="0043547B">
              <w:rPr>
                <w:rFonts w:eastAsia="Times New Roman" w:cstheme="minorHAnsi"/>
                <w:sz w:val="24"/>
                <w:szCs w:val="24"/>
                <w:lang w:eastAsia="fr-FR"/>
              </w:rPr>
              <w:t xml:space="preserve"> avec planche de référence </w:t>
            </w:r>
          </w:p>
        </w:tc>
      </w:tr>
      <w:tr w:rsidR="0043547B" w:rsidRPr="0043547B" w:rsidTr="00E13CAF">
        <w:trPr>
          <w:trHeight w:val="2823"/>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000000" w:fill="FFFFFF"/>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définit les contrôles occasionnels de pourcentage de vides des enrobés hydrocarbonés dans le cas où une planche de référence est exécutée.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population qui est issue de cette planche est utilisée comme référence pour juger des résultats de contrôle occasionnel.</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 présent document traite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de l'implantation des mesures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des méthodes et des moyens de mesure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de l'acceptation de la planche de référence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des moyens de mesure du contrôle occasionnel ;</w:t>
            </w:r>
          </w:p>
          <w:p w:rsidR="00E13CAF" w:rsidRPr="0043547B" w:rsidRDefault="00904E52" w:rsidP="00D539C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des critères de conformité des résultats des contrôles occasionnels.</w:t>
            </w:r>
          </w:p>
        </w:tc>
      </w:tr>
      <w:tr w:rsidR="0043547B" w:rsidRPr="0043547B" w:rsidTr="00E13CAF">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13.1.356</w:t>
            </w:r>
          </w:p>
        </w:tc>
      </w:tr>
      <w:tr w:rsidR="0043547B" w:rsidRPr="0043547B" w:rsidTr="00E13CAF">
        <w:trPr>
          <w:trHeight w:val="49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3C27D6" w:rsidRPr="0043547B" w:rsidRDefault="003C27D6" w:rsidP="00E13CAF">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000000" w:fill="FFFFFF"/>
            <w:hideMark/>
          </w:tcPr>
          <w:p w:rsidR="003C27D6" w:rsidRPr="0043547B" w:rsidRDefault="003C27D6" w:rsidP="00E13CAF">
            <w:pPr>
              <w:spacing w:after="0" w:line="240" w:lineRule="auto"/>
              <w:rPr>
                <w:rFonts w:cstheme="minorHAnsi"/>
                <w:sz w:val="24"/>
                <w:szCs w:val="24"/>
              </w:rPr>
            </w:pPr>
            <w:r w:rsidRPr="0043547B">
              <w:rPr>
                <w:rFonts w:cstheme="minorHAnsi"/>
                <w:sz w:val="24"/>
                <w:szCs w:val="24"/>
              </w:rPr>
              <w:t>Assises de chaussées - Fabrication en continu des mélanges - Contrôle de fabrication des graves et sables traités aux liants hydrauliques ou non traités en centrale de malaxage continue </w:t>
            </w:r>
          </w:p>
        </w:tc>
      </w:tr>
      <w:tr w:rsidR="0043547B" w:rsidRPr="0043547B" w:rsidTr="00E13CAF">
        <w:trPr>
          <w:trHeight w:val="56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3C27D6" w:rsidRPr="0043547B" w:rsidRDefault="003C27D6" w:rsidP="00E13CAF">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000000" w:fill="FFFFFF"/>
            <w:hideMark/>
          </w:tcPr>
          <w:p w:rsidR="00E13CAF" w:rsidRDefault="003C27D6" w:rsidP="00E13CAF">
            <w:pPr>
              <w:spacing w:after="0" w:line="240" w:lineRule="auto"/>
              <w:jc w:val="both"/>
              <w:rPr>
                <w:rFonts w:cstheme="minorHAnsi"/>
                <w:sz w:val="24"/>
                <w:szCs w:val="24"/>
              </w:rPr>
            </w:pPr>
            <w:r w:rsidRPr="0043547B">
              <w:rPr>
                <w:rFonts w:cstheme="minorHAnsi"/>
                <w:sz w:val="24"/>
                <w:szCs w:val="24"/>
              </w:rPr>
              <w:t>La présente norme s'applique aux seuls matériaux répondant aux normes suivantes :</w:t>
            </w:r>
          </w:p>
          <w:p w:rsidR="00E13CAF" w:rsidRDefault="003C27D6" w:rsidP="00E13CAF">
            <w:pPr>
              <w:spacing w:after="0" w:line="240" w:lineRule="auto"/>
              <w:jc w:val="both"/>
              <w:rPr>
                <w:rFonts w:cstheme="minorHAnsi"/>
                <w:sz w:val="24"/>
                <w:szCs w:val="24"/>
              </w:rPr>
            </w:pPr>
            <w:r w:rsidRPr="0043547B">
              <w:rPr>
                <w:rFonts w:cstheme="minorHAnsi"/>
                <w:sz w:val="24"/>
                <w:szCs w:val="24"/>
              </w:rPr>
              <w:t>— NM EN 13285 Graves Non Traitées (GNT) ;</w:t>
            </w:r>
          </w:p>
          <w:p w:rsidR="00E13CAF" w:rsidRDefault="003C27D6" w:rsidP="00E13CAF">
            <w:pPr>
              <w:spacing w:after="0" w:line="240" w:lineRule="auto"/>
              <w:jc w:val="both"/>
              <w:rPr>
                <w:rFonts w:cstheme="minorHAnsi"/>
                <w:sz w:val="24"/>
                <w:szCs w:val="24"/>
              </w:rPr>
            </w:pPr>
            <w:r w:rsidRPr="0043547B">
              <w:rPr>
                <w:rFonts w:cstheme="minorHAnsi"/>
                <w:sz w:val="24"/>
                <w:szCs w:val="24"/>
              </w:rPr>
              <w:t>— NM EN 14227 parties 1, 2, 3 et 5 : matériaux traités aux liants hydrauliques.</w:t>
            </w:r>
          </w:p>
          <w:p w:rsidR="00E13CAF" w:rsidRDefault="003C27D6" w:rsidP="00E13CAF">
            <w:pPr>
              <w:spacing w:after="0" w:line="240" w:lineRule="auto"/>
              <w:jc w:val="both"/>
              <w:rPr>
                <w:rFonts w:cstheme="minorHAnsi"/>
                <w:sz w:val="24"/>
                <w:szCs w:val="24"/>
              </w:rPr>
            </w:pPr>
            <w:r w:rsidRPr="0043547B">
              <w:rPr>
                <w:rFonts w:cstheme="minorHAnsi"/>
                <w:sz w:val="24"/>
                <w:szCs w:val="24"/>
              </w:rPr>
              <w:t>Il a pour objet :</w:t>
            </w:r>
          </w:p>
          <w:p w:rsidR="00E13CAF" w:rsidRDefault="003C27D6" w:rsidP="00E13CAF">
            <w:pPr>
              <w:spacing w:after="0" w:line="240" w:lineRule="auto"/>
              <w:jc w:val="both"/>
              <w:rPr>
                <w:rFonts w:cstheme="minorHAnsi"/>
                <w:sz w:val="24"/>
                <w:szCs w:val="24"/>
              </w:rPr>
            </w:pPr>
            <w:r w:rsidRPr="0043547B">
              <w:rPr>
                <w:rFonts w:cstheme="minorHAnsi"/>
                <w:sz w:val="24"/>
                <w:szCs w:val="24"/>
              </w:rPr>
              <w:t>— d’établir que la centrale après réglage effectué selon la norme NM 13.1.435 permet d’obtenir un mélange</w:t>
            </w:r>
            <w:r w:rsidR="00E13CAF">
              <w:rPr>
                <w:rFonts w:cstheme="minorHAnsi"/>
                <w:sz w:val="24"/>
                <w:szCs w:val="24"/>
              </w:rPr>
              <w:t xml:space="preserve"> </w:t>
            </w:r>
            <w:r w:rsidRPr="0043547B">
              <w:rPr>
                <w:rFonts w:cstheme="minorHAnsi"/>
                <w:sz w:val="24"/>
                <w:szCs w:val="24"/>
              </w:rPr>
              <w:t>traité aux liants hydrauliques ou non traité dont la courbe granulométrique, la teneur en liant et la teneur en eau</w:t>
            </w:r>
            <w:r w:rsidR="00E13CAF">
              <w:rPr>
                <w:rFonts w:cstheme="minorHAnsi"/>
                <w:sz w:val="24"/>
                <w:szCs w:val="24"/>
              </w:rPr>
              <w:t xml:space="preserve"> </w:t>
            </w:r>
            <w:r w:rsidRPr="0043547B">
              <w:rPr>
                <w:rFonts w:cstheme="minorHAnsi"/>
                <w:sz w:val="24"/>
                <w:szCs w:val="24"/>
              </w:rPr>
              <w:t xml:space="preserve">sont conformes à une formule définie par une courbe granulométrique, une teneur en liant et </w:t>
            </w:r>
            <w:r w:rsidR="00E13CAF" w:rsidRPr="0043547B">
              <w:rPr>
                <w:rFonts w:cstheme="minorHAnsi"/>
                <w:sz w:val="24"/>
                <w:szCs w:val="24"/>
              </w:rPr>
              <w:t>activant</w:t>
            </w:r>
            <w:r w:rsidRPr="0043547B">
              <w:rPr>
                <w:rFonts w:cstheme="minorHAnsi"/>
                <w:sz w:val="24"/>
                <w:szCs w:val="24"/>
              </w:rPr>
              <w:t xml:space="preserve"> de prise</w:t>
            </w:r>
            <w:r w:rsidR="00E13CAF">
              <w:rPr>
                <w:rFonts w:cstheme="minorHAnsi"/>
                <w:sz w:val="24"/>
                <w:szCs w:val="24"/>
              </w:rPr>
              <w:t xml:space="preserve"> </w:t>
            </w:r>
            <w:r w:rsidRPr="0043547B">
              <w:rPr>
                <w:rFonts w:cstheme="minorHAnsi"/>
                <w:sz w:val="24"/>
                <w:szCs w:val="24"/>
              </w:rPr>
              <w:t>éventuels et une teneur en eau ;</w:t>
            </w:r>
          </w:p>
          <w:p w:rsidR="00E13CAF" w:rsidRDefault="003C27D6" w:rsidP="00E13CAF">
            <w:pPr>
              <w:spacing w:after="0" w:line="240" w:lineRule="auto"/>
              <w:jc w:val="both"/>
              <w:rPr>
                <w:rFonts w:cstheme="minorHAnsi"/>
                <w:sz w:val="24"/>
                <w:szCs w:val="24"/>
              </w:rPr>
            </w:pPr>
            <w:r w:rsidRPr="0043547B">
              <w:rPr>
                <w:rFonts w:cstheme="minorHAnsi"/>
                <w:sz w:val="24"/>
                <w:szCs w:val="24"/>
              </w:rPr>
              <w:lastRenderedPageBreak/>
              <w:t>— de définir les contrôles à effectuer, leurs modalités et les tolérances correspondantes permettant de déclarer</w:t>
            </w:r>
            <w:r w:rsidR="00E13CAF">
              <w:rPr>
                <w:rFonts w:cstheme="minorHAnsi"/>
                <w:sz w:val="24"/>
                <w:szCs w:val="24"/>
              </w:rPr>
              <w:t xml:space="preserve"> </w:t>
            </w:r>
            <w:r w:rsidRPr="0043547B">
              <w:rPr>
                <w:rFonts w:cstheme="minorHAnsi"/>
                <w:sz w:val="24"/>
                <w:szCs w:val="24"/>
              </w:rPr>
              <w:t>la conformité de la production du mélange à cette formule.</w:t>
            </w:r>
          </w:p>
          <w:p w:rsidR="00E13CAF" w:rsidRDefault="003C27D6" w:rsidP="00E13CAF">
            <w:pPr>
              <w:spacing w:after="0" w:line="240" w:lineRule="auto"/>
              <w:jc w:val="both"/>
              <w:rPr>
                <w:rFonts w:cstheme="minorHAnsi"/>
                <w:sz w:val="24"/>
                <w:szCs w:val="24"/>
              </w:rPr>
            </w:pPr>
            <w:r w:rsidRPr="0043547B">
              <w:rPr>
                <w:rFonts w:cstheme="minorHAnsi"/>
                <w:sz w:val="24"/>
                <w:szCs w:val="24"/>
              </w:rPr>
              <w:t>Il s’applique aux mélanges destinés à la confection des assises de chaussées et des plates-formes industrielles</w:t>
            </w:r>
            <w:r w:rsidR="00F22FCF">
              <w:rPr>
                <w:rFonts w:cstheme="minorHAnsi"/>
                <w:sz w:val="24"/>
                <w:szCs w:val="24"/>
              </w:rPr>
              <w:t xml:space="preserve"> </w:t>
            </w:r>
            <w:r w:rsidRPr="0043547B">
              <w:rPr>
                <w:rFonts w:cstheme="minorHAnsi"/>
                <w:sz w:val="24"/>
                <w:szCs w:val="24"/>
              </w:rPr>
              <w:t>lorsqu’ils sont fabriqués à l’aide d’une centrale de malaxage continue pour matériaux traités aux liants</w:t>
            </w:r>
            <w:r w:rsidR="00E13CAF">
              <w:rPr>
                <w:rFonts w:cstheme="minorHAnsi"/>
                <w:sz w:val="24"/>
                <w:szCs w:val="24"/>
              </w:rPr>
              <w:t xml:space="preserve"> </w:t>
            </w:r>
            <w:r w:rsidRPr="0043547B">
              <w:rPr>
                <w:rFonts w:cstheme="minorHAnsi"/>
                <w:sz w:val="24"/>
                <w:szCs w:val="24"/>
              </w:rPr>
              <w:t>hydrauliques ou non traités (centrale équipée ou non d’un module d’acquisition de données).</w:t>
            </w:r>
          </w:p>
          <w:p w:rsidR="00E13CAF" w:rsidRPr="00E13CAF" w:rsidRDefault="003C27D6" w:rsidP="00E13CAF">
            <w:pPr>
              <w:spacing w:after="0" w:line="240" w:lineRule="auto"/>
              <w:jc w:val="both"/>
              <w:rPr>
                <w:rFonts w:cstheme="minorHAnsi"/>
                <w:i/>
                <w:iCs/>
              </w:rPr>
            </w:pPr>
            <w:r w:rsidRPr="00E13CAF">
              <w:rPr>
                <w:rFonts w:cstheme="minorHAnsi"/>
                <w:b/>
                <w:bCs/>
                <w:i/>
                <w:iCs/>
              </w:rPr>
              <w:t>NOTE</w:t>
            </w:r>
            <w:r w:rsidR="00E13CAF" w:rsidRPr="00E13CAF">
              <w:rPr>
                <w:rFonts w:cstheme="minorHAnsi"/>
                <w:b/>
                <w:bCs/>
                <w:i/>
                <w:iCs/>
              </w:rPr>
              <w:t> </w:t>
            </w:r>
            <w:r w:rsidR="00E13CAF" w:rsidRPr="00E13CAF">
              <w:rPr>
                <w:rFonts w:cstheme="minorHAnsi"/>
                <w:i/>
                <w:iCs/>
              </w:rPr>
              <w:t xml:space="preserve">: </w:t>
            </w:r>
            <w:r w:rsidRPr="00E13CAF">
              <w:rPr>
                <w:rFonts w:cstheme="minorHAnsi"/>
                <w:i/>
                <w:iCs/>
              </w:rPr>
              <w:t>On distingue :</w:t>
            </w:r>
          </w:p>
          <w:p w:rsidR="00E13CAF" w:rsidRPr="00E13CAF" w:rsidRDefault="003C27D6" w:rsidP="00E13CAF">
            <w:pPr>
              <w:spacing w:after="0" w:line="240" w:lineRule="auto"/>
              <w:jc w:val="both"/>
              <w:rPr>
                <w:rFonts w:cstheme="minorHAnsi"/>
                <w:i/>
                <w:iCs/>
              </w:rPr>
            </w:pPr>
            <w:r w:rsidRPr="00E13CAF">
              <w:rPr>
                <w:rFonts w:cstheme="minorHAnsi"/>
                <w:i/>
                <w:iCs/>
              </w:rPr>
              <w:t>— les grands chantiers : chantiers de durée supérieure à trois jours avec une même formule ;</w:t>
            </w:r>
          </w:p>
          <w:p w:rsidR="00E13CAF" w:rsidRPr="00E13CAF" w:rsidRDefault="003C27D6" w:rsidP="00E13CAF">
            <w:pPr>
              <w:spacing w:after="0" w:line="240" w:lineRule="auto"/>
              <w:jc w:val="both"/>
              <w:rPr>
                <w:rFonts w:cstheme="minorHAnsi"/>
                <w:i/>
                <w:iCs/>
              </w:rPr>
            </w:pPr>
            <w:r w:rsidRPr="00E13CAF">
              <w:rPr>
                <w:rFonts w:cstheme="minorHAnsi"/>
                <w:i/>
                <w:iCs/>
              </w:rPr>
              <w:t>— les petits chantiers : chantiers de durée égale ou de moins de trois jours avec une même formule ;</w:t>
            </w:r>
          </w:p>
          <w:p w:rsidR="003C27D6" w:rsidRPr="0043547B" w:rsidRDefault="003C27D6" w:rsidP="00E13CAF">
            <w:pPr>
              <w:spacing w:after="0" w:line="240" w:lineRule="auto"/>
              <w:jc w:val="both"/>
              <w:rPr>
                <w:rFonts w:cstheme="minorHAnsi"/>
                <w:sz w:val="24"/>
                <w:szCs w:val="24"/>
              </w:rPr>
            </w:pPr>
            <w:r w:rsidRPr="00E13CAF">
              <w:rPr>
                <w:rFonts w:cstheme="minorHAnsi"/>
                <w:i/>
                <w:iCs/>
              </w:rPr>
              <w:t>— les chantiers diffus : autres chantiers.</w:t>
            </w:r>
          </w:p>
        </w:tc>
      </w:tr>
      <w:tr w:rsidR="0043547B" w:rsidRPr="0043547B" w:rsidTr="00E13CAF">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13.1.391</w:t>
            </w:r>
          </w:p>
        </w:tc>
      </w:tr>
      <w:tr w:rsidR="0043547B" w:rsidRPr="0043547B" w:rsidTr="00E13CAF">
        <w:trPr>
          <w:trHeight w:val="49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000000" w:fill="FFFFFF"/>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Matériel de construction et d'entretien des routes - Fabrication des mélanges - Contrôle de fabrication des enrobés hydrocarbonés à chaud avec utilisation d'un système d'acquisition des données.</w:t>
            </w:r>
          </w:p>
        </w:tc>
      </w:tr>
      <w:tr w:rsidR="0043547B" w:rsidRPr="0043547B" w:rsidTr="00E13CAF">
        <w:trPr>
          <w:trHeight w:val="2027"/>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000000" w:fill="FFFFFF"/>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a pour objet la définition des modalités de contrôle de fabrication d'une centrale d'enrobage à chaud équipée d'un système d'acquisition de données. Il s’applique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aux centrales continues et discontinues équipées d’une table de pesage sur le transporteur avant le sécheur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aux centrales continues équipées d’un débitmètre massique ou volumique.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centrales concernées sont des centrales de niveau 2 conformes à l’Annexe de la NM 13.1.213.</w:t>
            </w:r>
          </w:p>
        </w:tc>
      </w:tr>
      <w:tr w:rsidR="0043547B" w:rsidRPr="0043547B" w:rsidTr="00E13CAF">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tcPr>
          <w:p w:rsidR="00906A9B" w:rsidRPr="0043547B" w:rsidRDefault="00906A9B" w:rsidP="001F2642">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tcPr>
          <w:p w:rsidR="00906A9B" w:rsidRPr="0043547B" w:rsidRDefault="00906A9B" w:rsidP="001F2642">
            <w:pPr>
              <w:spacing w:after="0" w:line="240" w:lineRule="auto"/>
              <w:jc w:val="center"/>
              <w:rPr>
                <w:rFonts w:cstheme="minorHAnsi"/>
                <w:b/>
                <w:bCs/>
                <w:sz w:val="24"/>
                <w:szCs w:val="24"/>
              </w:rPr>
            </w:pPr>
            <w:r w:rsidRPr="0043547B">
              <w:rPr>
                <w:rFonts w:cstheme="minorHAnsi"/>
                <w:b/>
                <w:bCs/>
                <w:sz w:val="24"/>
                <w:szCs w:val="24"/>
              </w:rPr>
              <w:t>NM EN 13108-4</w:t>
            </w:r>
          </w:p>
        </w:tc>
      </w:tr>
      <w:tr w:rsidR="0043547B" w:rsidRPr="0043547B" w:rsidTr="00E13CAF">
        <w:trPr>
          <w:trHeight w:val="315"/>
          <w:jc w:val="center"/>
        </w:trPr>
        <w:tc>
          <w:tcPr>
            <w:tcW w:w="1838" w:type="dxa"/>
            <w:tcBorders>
              <w:top w:val="single" w:sz="18" w:space="0" w:color="auto"/>
              <w:left w:val="single" w:sz="18" w:space="0" w:color="auto"/>
              <w:bottom w:val="single" w:sz="6" w:space="0" w:color="auto"/>
              <w:right w:val="single" w:sz="4" w:space="0" w:color="auto"/>
            </w:tcBorders>
            <w:shd w:val="clear" w:color="auto" w:fill="FFFF99"/>
            <w:vAlign w:val="center"/>
          </w:tcPr>
          <w:p w:rsidR="00906A9B" w:rsidRPr="0043547B" w:rsidRDefault="00906A9B" w:rsidP="001F2642">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6" w:space="0" w:color="auto"/>
              <w:right w:val="single" w:sz="18" w:space="0" w:color="auto"/>
            </w:tcBorders>
            <w:shd w:val="clear" w:color="auto" w:fill="FFFF99"/>
            <w:vAlign w:val="center"/>
          </w:tcPr>
          <w:p w:rsidR="00906A9B" w:rsidRPr="0043547B" w:rsidRDefault="00906A9B" w:rsidP="001F2642">
            <w:pPr>
              <w:spacing w:after="0" w:line="240" w:lineRule="auto"/>
              <w:jc w:val="center"/>
              <w:rPr>
                <w:rFonts w:cstheme="minorHAnsi"/>
                <w:b/>
                <w:bCs/>
                <w:sz w:val="24"/>
                <w:szCs w:val="24"/>
              </w:rPr>
            </w:pPr>
            <w:r w:rsidRPr="0043547B">
              <w:rPr>
                <w:rFonts w:cstheme="minorHAnsi"/>
                <w:b/>
                <w:bCs/>
                <w:sz w:val="24"/>
                <w:szCs w:val="24"/>
              </w:rPr>
              <w:t>EN 13108-4</w:t>
            </w:r>
          </w:p>
        </w:tc>
      </w:tr>
      <w:tr w:rsidR="0043547B" w:rsidRPr="0043547B" w:rsidTr="00E13CAF">
        <w:trPr>
          <w:trHeight w:val="648"/>
          <w:jc w:val="center"/>
        </w:trPr>
        <w:tc>
          <w:tcPr>
            <w:tcW w:w="1838" w:type="dxa"/>
            <w:tcBorders>
              <w:top w:val="single" w:sz="6" w:space="0" w:color="auto"/>
              <w:left w:val="single" w:sz="18" w:space="0" w:color="auto"/>
              <w:bottom w:val="single" w:sz="4" w:space="0" w:color="auto"/>
              <w:right w:val="single" w:sz="4" w:space="0" w:color="auto"/>
            </w:tcBorders>
            <w:shd w:val="clear" w:color="000000" w:fill="8DB4E2"/>
            <w:vAlign w:val="center"/>
          </w:tcPr>
          <w:p w:rsidR="00906A9B" w:rsidRPr="0043547B" w:rsidRDefault="00906A9B" w:rsidP="001F2642">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6" w:space="0" w:color="auto"/>
              <w:left w:val="single" w:sz="4" w:space="0" w:color="auto"/>
              <w:right w:val="single" w:sz="18" w:space="0" w:color="auto"/>
            </w:tcBorders>
            <w:shd w:val="clear" w:color="000000" w:fill="FFFFFF"/>
          </w:tcPr>
          <w:p w:rsidR="00906A9B" w:rsidRPr="0043547B" w:rsidRDefault="00906A9B" w:rsidP="001F2642">
            <w:pPr>
              <w:spacing w:after="0" w:line="240" w:lineRule="auto"/>
              <w:rPr>
                <w:rFonts w:cstheme="minorHAnsi"/>
                <w:sz w:val="24"/>
                <w:szCs w:val="24"/>
              </w:rPr>
            </w:pPr>
            <w:r w:rsidRPr="0043547B">
              <w:rPr>
                <w:rFonts w:cstheme="minorHAnsi"/>
                <w:sz w:val="24"/>
                <w:szCs w:val="24"/>
              </w:rPr>
              <w:t>Mélanges Bitumineux - Spécifications des matériaux - Partie 4 : Hot rolled asphalt ; (IC 03.4.224) (RMC)</w:t>
            </w:r>
          </w:p>
        </w:tc>
      </w:tr>
      <w:tr w:rsidR="0043547B" w:rsidRPr="0043547B" w:rsidTr="00E13CAF">
        <w:trPr>
          <w:trHeight w:val="2775"/>
          <w:jc w:val="center"/>
        </w:trPr>
        <w:tc>
          <w:tcPr>
            <w:tcW w:w="1838" w:type="dxa"/>
            <w:tcBorders>
              <w:top w:val="nil"/>
              <w:left w:val="single" w:sz="18" w:space="0" w:color="auto"/>
              <w:bottom w:val="single" w:sz="18" w:space="0" w:color="auto"/>
              <w:right w:val="single" w:sz="4" w:space="0" w:color="auto"/>
            </w:tcBorders>
            <w:shd w:val="clear" w:color="000000" w:fill="D9D9D9"/>
            <w:vAlign w:val="center"/>
          </w:tcPr>
          <w:p w:rsidR="00906A9B" w:rsidRPr="0043547B" w:rsidRDefault="00906A9B" w:rsidP="001F2642">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000000" w:fill="FFFFFF"/>
          </w:tcPr>
          <w:p w:rsidR="00F22FCF" w:rsidRDefault="00906A9B" w:rsidP="00F22FCF">
            <w:pPr>
              <w:spacing w:after="0" w:line="240" w:lineRule="auto"/>
              <w:jc w:val="both"/>
              <w:rPr>
                <w:rFonts w:cstheme="minorHAnsi"/>
                <w:sz w:val="24"/>
                <w:szCs w:val="24"/>
              </w:rPr>
            </w:pPr>
            <w:r w:rsidRPr="0043547B">
              <w:rPr>
                <w:rFonts w:cstheme="minorHAnsi"/>
                <w:sz w:val="24"/>
                <w:szCs w:val="24"/>
              </w:rPr>
              <w:t>Cette norme européenne spécifie les exigences relatives aux mélanges appartenant aux hot rolled asphalt utilisables pour les routes, les aéroports et les autres zones de circulation.</w:t>
            </w:r>
            <w:r w:rsidR="00F22FCF">
              <w:rPr>
                <w:rFonts w:cstheme="minorHAnsi"/>
                <w:sz w:val="24"/>
                <w:szCs w:val="24"/>
              </w:rPr>
              <w:t xml:space="preserve"> </w:t>
            </w:r>
          </w:p>
          <w:p w:rsidR="001F2642" w:rsidRPr="00D539C2" w:rsidRDefault="00906A9B" w:rsidP="00F22FCF">
            <w:pPr>
              <w:spacing w:after="0" w:line="240" w:lineRule="auto"/>
              <w:jc w:val="both"/>
              <w:rPr>
                <w:rFonts w:cstheme="minorHAnsi"/>
                <w:i/>
                <w:iCs/>
              </w:rPr>
            </w:pPr>
            <w:r w:rsidRPr="00D539C2">
              <w:rPr>
                <w:rFonts w:cstheme="minorHAnsi"/>
                <w:b/>
                <w:bCs/>
                <w:i/>
                <w:iCs/>
              </w:rPr>
              <w:t>NOTE</w:t>
            </w:r>
            <w:r w:rsidR="00D539C2" w:rsidRPr="00D539C2">
              <w:rPr>
                <w:rFonts w:cstheme="minorHAnsi"/>
                <w:i/>
                <w:iCs/>
              </w:rPr>
              <w:t> :</w:t>
            </w:r>
            <w:r w:rsidRPr="00D539C2">
              <w:rPr>
                <w:rFonts w:cstheme="minorHAnsi"/>
                <w:i/>
                <w:iCs/>
              </w:rPr>
              <w:t xml:space="preserve"> Une spécification sur un mélange issue de cette norme peut être utilisée soit pour déclarer la conformité d’un mélange à des exigences connues soit pour faire savoir ce que sont ces exigences.</w:t>
            </w:r>
          </w:p>
          <w:p w:rsidR="00906A9B" w:rsidRPr="0043547B" w:rsidRDefault="00906A9B" w:rsidP="001F2642">
            <w:pPr>
              <w:spacing w:after="0" w:line="240" w:lineRule="auto"/>
              <w:jc w:val="both"/>
              <w:rPr>
                <w:rFonts w:cstheme="minorHAnsi"/>
                <w:sz w:val="24"/>
                <w:szCs w:val="24"/>
              </w:rPr>
            </w:pPr>
            <w:r w:rsidRPr="0043547B">
              <w:rPr>
                <w:rFonts w:cstheme="minorHAnsi"/>
                <w:sz w:val="24"/>
                <w:szCs w:val="24"/>
              </w:rPr>
              <w:t>Cette norme européenne inclut des exigences pour le choix des constituants. Elle est destinée à être utilisée conjointement avec les normes EN 13108-20 et EN 13108-21.</w:t>
            </w:r>
            <w:r w:rsidRPr="0043547B">
              <w:rPr>
                <w:rFonts w:cstheme="minorHAnsi"/>
                <w:sz w:val="24"/>
                <w:szCs w:val="24"/>
              </w:rPr>
              <w:br/>
              <w:t>Les hot rolled asphalt avec des liants chimiquement modifiés qui ne relèvent pas de la norme EN 14023 ne sont pas couverts par la présente Norme européenne.</w:t>
            </w:r>
          </w:p>
        </w:tc>
      </w:tr>
      <w:tr w:rsidR="0043547B" w:rsidRPr="0043547B" w:rsidTr="00E13CAF">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tcPr>
          <w:p w:rsidR="00906A9B" w:rsidRPr="0043547B" w:rsidRDefault="00906A9B" w:rsidP="001F2642">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tcPr>
          <w:p w:rsidR="00906A9B" w:rsidRPr="0043547B" w:rsidRDefault="00906A9B" w:rsidP="001F2642">
            <w:pPr>
              <w:spacing w:after="0" w:line="240" w:lineRule="auto"/>
              <w:jc w:val="center"/>
              <w:rPr>
                <w:rFonts w:cstheme="minorHAnsi"/>
                <w:b/>
                <w:bCs/>
                <w:sz w:val="24"/>
                <w:szCs w:val="24"/>
              </w:rPr>
            </w:pPr>
            <w:r w:rsidRPr="0043547B">
              <w:rPr>
                <w:rFonts w:cstheme="minorHAnsi"/>
                <w:b/>
                <w:bCs/>
                <w:sz w:val="24"/>
                <w:szCs w:val="24"/>
              </w:rPr>
              <w:t>NM EN 13108-5</w:t>
            </w:r>
          </w:p>
        </w:tc>
      </w:tr>
      <w:tr w:rsidR="0043547B" w:rsidRPr="0043547B" w:rsidTr="00E13CAF">
        <w:trPr>
          <w:trHeight w:val="315"/>
          <w:jc w:val="center"/>
        </w:trPr>
        <w:tc>
          <w:tcPr>
            <w:tcW w:w="1838" w:type="dxa"/>
            <w:tcBorders>
              <w:top w:val="single" w:sz="18" w:space="0" w:color="auto"/>
              <w:left w:val="single" w:sz="18" w:space="0" w:color="auto"/>
              <w:bottom w:val="single" w:sz="6" w:space="0" w:color="auto"/>
              <w:right w:val="single" w:sz="4" w:space="0" w:color="auto"/>
            </w:tcBorders>
            <w:shd w:val="clear" w:color="auto" w:fill="FFFF99"/>
            <w:vAlign w:val="center"/>
          </w:tcPr>
          <w:p w:rsidR="00906A9B" w:rsidRPr="0043547B" w:rsidRDefault="00906A9B" w:rsidP="001F2642">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6" w:space="0" w:color="auto"/>
              <w:right w:val="single" w:sz="18" w:space="0" w:color="auto"/>
            </w:tcBorders>
            <w:shd w:val="clear" w:color="auto" w:fill="FFFF99"/>
            <w:vAlign w:val="center"/>
          </w:tcPr>
          <w:p w:rsidR="00906A9B" w:rsidRPr="0043547B" w:rsidRDefault="00906A9B" w:rsidP="001F2642">
            <w:pPr>
              <w:spacing w:after="0" w:line="240" w:lineRule="auto"/>
              <w:jc w:val="center"/>
              <w:rPr>
                <w:rFonts w:cstheme="minorHAnsi"/>
                <w:b/>
                <w:bCs/>
                <w:sz w:val="24"/>
                <w:szCs w:val="24"/>
              </w:rPr>
            </w:pPr>
            <w:r w:rsidRPr="0043547B">
              <w:rPr>
                <w:rFonts w:cstheme="minorHAnsi"/>
                <w:b/>
                <w:bCs/>
                <w:sz w:val="24"/>
                <w:szCs w:val="24"/>
              </w:rPr>
              <w:t>EN 13108-5</w:t>
            </w:r>
          </w:p>
        </w:tc>
      </w:tr>
      <w:tr w:rsidR="0043547B" w:rsidRPr="0043547B" w:rsidTr="00E13CAF">
        <w:trPr>
          <w:trHeight w:val="495"/>
          <w:jc w:val="center"/>
        </w:trPr>
        <w:tc>
          <w:tcPr>
            <w:tcW w:w="1838" w:type="dxa"/>
            <w:tcBorders>
              <w:top w:val="single" w:sz="6" w:space="0" w:color="auto"/>
              <w:left w:val="single" w:sz="18" w:space="0" w:color="auto"/>
              <w:bottom w:val="single" w:sz="4" w:space="0" w:color="auto"/>
              <w:right w:val="single" w:sz="4" w:space="0" w:color="auto"/>
            </w:tcBorders>
            <w:shd w:val="clear" w:color="000000" w:fill="8DB4E2"/>
            <w:vAlign w:val="center"/>
          </w:tcPr>
          <w:p w:rsidR="00906A9B" w:rsidRPr="0043547B" w:rsidRDefault="00906A9B" w:rsidP="001F2642">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6" w:space="0" w:color="auto"/>
              <w:left w:val="single" w:sz="4" w:space="0" w:color="auto"/>
              <w:right w:val="single" w:sz="18" w:space="0" w:color="auto"/>
            </w:tcBorders>
            <w:shd w:val="clear" w:color="000000" w:fill="FFFFFF"/>
          </w:tcPr>
          <w:p w:rsidR="00906A9B" w:rsidRPr="0043547B" w:rsidRDefault="00906A9B" w:rsidP="001F2642">
            <w:pPr>
              <w:spacing w:after="0" w:line="240" w:lineRule="auto"/>
              <w:rPr>
                <w:rFonts w:cstheme="minorHAnsi"/>
                <w:sz w:val="24"/>
                <w:szCs w:val="24"/>
              </w:rPr>
            </w:pPr>
            <w:r w:rsidRPr="0043547B">
              <w:rPr>
                <w:rFonts w:cstheme="minorHAnsi"/>
                <w:sz w:val="24"/>
                <w:szCs w:val="24"/>
              </w:rPr>
              <w:t>Mélanges bitumineux - Spécifications des matériaux - Partie 5 : Stone mastic asphalt ; (IC 03.4.243) (RMC)</w:t>
            </w:r>
          </w:p>
        </w:tc>
      </w:tr>
      <w:tr w:rsidR="0043547B" w:rsidRPr="0043547B" w:rsidTr="00E13CAF">
        <w:trPr>
          <w:trHeight w:val="2707"/>
          <w:jc w:val="center"/>
        </w:trPr>
        <w:tc>
          <w:tcPr>
            <w:tcW w:w="1838" w:type="dxa"/>
            <w:tcBorders>
              <w:top w:val="nil"/>
              <w:left w:val="single" w:sz="18" w:space="0" w:color="auto"/>
              <w:bottom w:val="single" w:sz="18" w:space="0" w:color="auto"/>
              <w:right w:val="single" w:sz="4" w:space="0" w:color="auto"/>
            </w:tcBorders>
            <w:shd w:val="clear" w:color="000000" w:fill="D9D9D9"/>
            <w:vAlign w:val="center"/>
          </w:tcPr>
          <w:p w:rsidR="00906A9B" w:rsidRPr="0043547B" w:rsidRDefault="00906A9B" w:rsidP="001F2642">
            <w:pPr>
              <w:spacing w:after="0" w:line="240" w:lineRule="auto"/>
              <w:jc w:val="center"/>
              <w:rPr>
                <w:rFonts w:cstheme="minorHAnsi"/>
                <w:b/>
                <w:bCs/>
                <w:sz w:val="24"/>
                <w:szCs w:val="24"/>
              </w:rPr>
            </w:pPr>
            <w:r w:rsidRPr="0043547B">
              <w:rPr>
                <w:rFonts w:cstheme="minorHAnsi"/>
                <w:b/>
                <w:bCs/>
                <w:sz w:val="24"/>
                <w:szCs w:val="24"/>
              </w:rPr>
              <w:lastRenderedPageBreak/>
              <w:t>Domaine d’application :</w:t>
            </w:r>
          </w:p>
        </w:tc>
        <w:tc>
          <w:tcPr>
            <w:tcW w:w="7938" w:type="dxa"/>
            <w:tcBorders>
              <w:left w:val="single" w:sz="4" w:space="0" w:color="auto"/>
              <w:bottom w:val="single" w:sz="18" w:space="0" w:color="auto"/>
              <w:right w:val="single" w:sz="18" w:space="0" w:color="auto"/>
            </w:tcBorders>
            <w:shd w:val="clear" w:color="000000" w:fill="FFFFFF"/>
          </w:tcPr>
          <w:p w:rsidR="00E13CAF" w:rsidRDefault="00906A9B" w:rsidP="001F2642">
            <w:pPr>
              <w:spacing w:after="0" w:line="240" w:lineRule="auto"/>
              <w:jc w:val="both"/>
              <w:rPr>
                <w:rFonts w:cstheme="minorHAnsi"/>
                <w:sz w:val="24"/>
                <w:szCs w:val="24"/>
              </w:rPr>
            </w:pPr>
            <w:r w:rsidRPr="0043547B">
              <w:rPr>
                <w:rFonts w:cstheme="minorHAnsi"/>
                <w:sz w:val="24"/>
                <w:szCs w:val="24"/>
              </w:rPr>
              <w:t>Cette Norme européenne spécifie les exigences relatives aux mélanges appartenant à la famille des SMA et utilisés pour les routes, les aéroports et les autres zones de circulation.</w:t>
            </w:r>
          </w:p>
          <w:p w:rsidR="001F2642" w:rsidRPr="00E13CAF" w:rsidRDefault="00906A9B" w:rsidP="001F2642">
            <w:pPr>
              <w:spacing w:after="0" w:line="240" w:lineRule="auto"/>
              <w:jc w:val="both"/>
              <w:rPr>
                <w:rFonts w:cstheme="minorHAnsi"/>
                <w:i/>
                <w:iCs/>
              </w:rPr>
            </w:pPr>
            <w:r w:rsidRPr="00E13CAF">
              <w:rPr>
                <w:rFonts w:cstheme="minorHAnsi"/>
                <w:b/>
                <w:bCs/>
                <w:i/>
                <w:iCs/>
              </w:rPr>
              <w:t>NOTE</w:t>
            </w:r>
            <w:r w:rsidR="00E13CAF" w:rsidRPr="00E13CAF">
              <w:rPr>
                <w:rFonts w:cstheme="minorHAnsi"/>
                <w:i/>
                <w:iCs/>
              </w:rPr>
              <w:t xml:space="preserve"> : </w:t>
            </w:r>
            <w:r w:rsidRPr="00E13CAF">
              <w:rPr>
                <w:rFonts w:cstheme="minorHAnsi"/>
                <w:i/>
                <w:iCs/>
              </w:rPr>
              <w:t>Une spécification sur un mélange issue de cette norme peut être utilisée soit pour déclarer la conformité d’un mélange à des exigences connues soit pour faire savoir ce que sont ces exigences.</w:t>
            </w:r>
          </w:p>
          <w:p w:rsidR="00E13CAF" w:rsidRDefault="00906A9B" w:rsidP="001F2642">
            <w:pPr>
              <w:spacing w:after="0" w:line="240" w:lineRule="auto"/>
              <w:jc w:val="both"/>
              <w:rPr>
                <w:rFonts w:cstheme="minorHAnsi"/>
                <w:sz w:val="24"/>
                <w:szCs w:val="24"/>
              </w:rPr>
            </w:pPr>
            <w:r w:rsidRPr="0043547B">
              <w:rPr>
                <w:rFonts w:cstheme="minorHAnsi"/>
                <w:sz w:val="24"/>
                <w:szCs w:val="24"/>
              </w:rPr>
              <w:t>Cette Norme Européenne comporte des exigences pour le choix des constituants. Elle est destinée à être utilisée conjointement avec les EN 13108-20 et EN 13108-21.</w:t>
            </w:r>
          </w:p>
          <w:p w:rsidR="00906A9B" w:rsidRPr="0043547B" w:rsidRDefault="00906A9B" w:rsidP="001F2642">
            <w:pPr>
              <w:spacing w:after="0" w:line="240" w:lineRule="auto"/>
              <w:jc w:val="both"/>
              <w:rPr>
                <w:rFonts w:cstheme="minorHAnsi"/>
                <w:sz w:val="24"/>
                <w:szCs w:val="24"/>
              </w:rPr>
            </w:pPr>
            <w:r w:rsidRPr="0043547B">
              <w:rPr>
                <w:rFonts w:cstheme="minorHAnsi"/>
                <w:sz w:val="24"/>
                <w:szCs w:val="24"/>
              </w:rPr>
              <w:t>Les SMA contenant des liants chimiques modifiés qui ne sont pas couverts par l’EN 14023, ne sont pas couverts par la présente Norme européenne.</w:t>
            </w:r>
          </w:p>
        </w:tc>
      </w:tr>
      <w:tr w:rsidR="0043547B" w:rsidRPr="0043547B" w:rsidTr="00E13CAF">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13.1.204</w:t>
            </w:r>
          </w:p>
        </w:tc>
      </w:tr>
      <w:tr w:rsidR="0043547B" w:rsidRPr="0043547B" w:rsidTr="00E13CAF">
        <w:trPr>
          <w:trHeight w:val="49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000000" w:fill="FFFFFF"/>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Ralentisseurs routiers de type dos d'âne ou de type trapézoïdal - Caractéristiques géométriques et conditions de réalisation</w:t>
            </w:r>
          </w:p>
        </w:tc>
      </w:tr>
      <w:tr w:rsidR="0043547B" w:rsidRPr="0043547B" w:rsidTr="00E13CAF">
        <w:trPr>
          <w:trHeight w:val="2036"/>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000000" w:fill="FFFFFF"/>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a pour objet de fixer les caractéristiques géométriques, les règles de réalisation, les conditions de visibilité et les contrôles des caractéristiques des ralentisseurs de type dos d´âne ou de type trapézoïdal non amovibles.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ralentisseurs de type dos d´âne ou de type trapézoïdal peuvent être implantés sur toute voie routière ouverte à la circulation afin d´inciter l´usager à respecter la limitation de vitesse &lt; 30 km/h.</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Seul le ralentisseur de type trapézoïdal supporte un passage piéton.</w:t>
            </w:r>
          </w:p>
        </w:tc>
      </w:tr>
      <w:tr w:rsidR="0043547B" w:rsidRPr="0043547B" w:rsidTr="00E13CAF">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tcPr>
          <w:p w:rsidR="00906A9B" w:rsidRPr="0043547B" w:rsidRDefault="00906A9B" w:rsidP="001F2642">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tcPr>
          <w:p w:rsidR="00906A9B" w:rsidRPr="0043547B" w:rsidRDefault="00906A9B" w:rsidP="001F2642">
            <w:pPr>
              <w:spacing w:after="0" w:line="240" w:lineRule="auto"/>
              <w:jc w:val="center"/>
              <w:rPr>
                <w:rFonts w:cstheme="minorHAnsi"/>
                <w:b/>
                <w:bCs/>
                <w:sz w:val="24"/>
                <w:szCs w:val="24"/>
              </w:rPr>
            </w:pPr>
            <w:r w:rsidRPr="0043547B">
              <w:rPr>
                <w:rFonts w:cstheme="minorHAnsi"/>
                <w:b/>
                <w:bCs/>
                <w:sz w:val="24"/>
                <w:szCs w:val="24"/>
              </w:rPr>
              <w:t>NM EN 13108-7</w:t>
            </w:r>
          </w:p>
        </w:tc>
      </w:tr>
      <w:tr w:rsidR="0043547B" w:rsidRPr="0043547B" w:rsidTr="00E13CAF">
        <w:trPr>
          <w:trHeight w:val="315"/>
          <w:jc w:val="center"/>
        </w:trPr>
        <w:tc>
          <w:tcPr>
            <w:tcW w:w="1838" w:type="dxa"/>
            <w:tcBorders>
              <w:top w:val="single" w:sz="18" w:space="0" w:color="auto"/>
              <w:left w:val="single" w:sz="18" w:space="0" w:color="auto"/>
              <w:bottom w:val="single" w:sz="6" w:space="0" w:color="auto"/>
              <w:right w:val="single" w:sz="4" w:space="0" w:color="auto"/>
            </w:tcBorders>
            <w:shd w:val="clear" w:color="auto" w:fill="FFFF99"/>
            <w:vAlign w:val="center"/>
          </w:tcPr>
          <w:p w:rsidR="00906A9B" w:rsidRPr="0043547B" w:rsidRDefault="00906A9B" w:rsidP="001F2642">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6" w:space="0" w:color="auto"/>
              <w:right w:val="single" w:sz="18" w:space="0" w:color="auto"/>
            </w:tcBorders>
            <w:shd w:val="clear" w:color="auto" w:fill="FFFF99"/>
            <w:vAlign w:val="center"/>
          </w:tcPr>
          <w:p w:rsidR="00906A9B" w:rsidRPr="0043547B" w:rsidRDefault="00906A9B" w:rsidP="001F2642">
            <w:pPr>
              <w:spacing w:after="0" w:line="240" w:lineRule="auto"/>
              <w:jc w:val="center"/>
              <w:rPr>
                <w:rFonts w:cstheme="minorHAnsi"/>
                <w:b/>
                <w:bCs/>
                <w:sz w:val="24"/>
                <w:szCs w:val="24"/>
              </w:rPr>
            </w:pPr>
            <w:r w:rsidRPr="0043547B">
              <w:rPr>
                <w:rFonts w:cstheme="minorHAnsi"/>
                <w:b/>
                <w:bCs/>
                <w:sz w:val="24"/>
                <w:szCs w:val="24"/>
              </w:rPr>
              <w:t>EN 13108-7</w:t>
            </w:r>
          </w:p>
        </w:tc>
      </w:tr>
      <w:tr w:rsidR="0043547B" w:rsidRPr="0043547B" w:rsidTr="00E13CAF">
        <w:trPr>
          <w:trHeight w:val="495"/>
          <w:jc w:val="center"/>
        </w:trPr>
        <w:tc>
          <w:tcPr>
            <w:tcW w:w="1838" w:type="dxa"/>
            <w:tcBorders>
              <w:top w:val="single" w:sz="6" w:space="0" w:color="auto"/>
              <w:left w:val="single" w:sz="18" w:space="0" w:color="auto"/>
              <w:bottom w:val="single" w:sz="4" w:space="0" w:color="auto"/>
              <w:right w:val="single" w:sz="4" w:space="0" w:color="auto"/>
            </w:tcBorders>
            <w:shd w:val="clear" w:color="000000" w:fill="8DB4E2"/>
            <w:vAlign w:val="center"/>
          </w:tcPr>
          <w:p w:rsidR="00906A9B" w:rsidRPr="0043547B" w:rsidRDefault="00906A9B" w:rsidP="001F2642">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6" w:space="0" w:color="auto"/>
              <w:left w:val="single" w:sz="4" w:space="0" w:color="auto"/>
              <w:right w:val="single" w:sz="18" w:space="0" w:color="auto"/>
            </w:tcBorders>
            <w:shd w:val="clear" w:color="000000" w:fill="FFFFFF"/>
          </w:tcPr>
          <w:p w:rsidR="00906A9B" w:rsidRPr="0043547B" w:rsidRDefault="00906A9B" w:rsidP="001F2642">
            <w:pPr>
              <w:spacing w:after="0" w:line="240" w:lineRule="auto"/>
              <w:rPr>
                <w:rFonts w:cstheme="minorHAnsi"/>
                <w:sz w:val="24"/>
                <w:szCs w:val="24"/>
              </w:rPr>
            </w:pPr>
            <w:r w:rsidRPr="0043547B">
              <w:rPr>
                <w:rFonts w:cstheme="minorHAnsi"/>
                <w:sz w:val="24"/>
                <w:szCs w:val="24"/>
              </w:rPr>
              <w:t>Mélanges bitumineux - Spécifications des matériaux - Partie 7 : Bétons bitumineux drainants ; (IC 03.4.245) (RMC)</w:t>
            </w:r>
          </w:p>
        </w:tc>
      </w:tr>
      <w:tr w:rsidR="0043547B" w:rsidRPr="0043547B" w:rsidTr="00E13CAF">
        <w:trPr>
          <w:trHeight w:val="1693"/>
          <w:jc w:val="center"/>
        </w:trPr>
        <w:tc>
          <w:tcPr>
            <w:tcW w:w="1838" w:type="dxa"/>
            <w:tcBorders>
              <w:top w:val="nil"/>
              <w:left w:val="single" w:sz="18" w:space="0" w:color="auto"/>
              <w:bottom w:val="single" w:sz="18" w:space="0" w:color="auto"/>
              <w:right w:val="single" w:sz="4" w:space="0" w:color="auto"/>
            </w:tcBorders>
            <w:shd w:val="clear" w:color="000000" w:fill="D9D9D9"/>
            <w:vAlign w:val="center"/>
          </w:tcPr>
          <w:p w:rsidR="00906A9B" w:rsidRPr="0043547B" w:rsidRDefault="00906A9B" w:rsidP="001F2642">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000000" w:fill="FFFFFF"/>
          </w:tcPr>
          <w:p w:rsidR="002E1C87" w:rsidRPr="0043547B" w:rsidRDefault="00906A9B" w:rsidP="002E1C87">
            <w:pPr>
              <w:spacing w:after="0" w:line="240" w:lineRule="auto"/>
              <w:jc w:val="both"/>
              <w:rPr>
                <w:rFonts w:cstheme="minorHAnsi"/>
                <w:sz w:val="24"/>
                <w:szCs w:val="24"/>
              </w:rPr>
            </w:pPr>
            <w:r w:rsidRPr="0043547B">
              <w:rPr>
                <w:rFonts w:cstheme="minorHAnsi"/>
                <w:sz w:val="24"/>
                <w:szCs w:val="24"/>
              </w:rPr>
              <w:t>Cette Norme européenne spécifie les exigences relatives aux mélanges appartenant à la famille des bétons bitumineux drainants destinés à être utilisés pour les routes, les aéroports et les autres zones de circulation.</w:t>
            </w:r>
          </w:p>
          <w:p w:rsidR="002E1C87" w:rsidRPr="0043547B" w:rsidRDefault="002E1C87" w:rsidP="002E1C87">
            <w:pPr>
              <w:spacing w:after="0" w:line="240" w:lineRule="auto"/>
              <w:jc w:val="both"/>
              <w:rPr>
                <w:rFonts w:cstheme="minorHAnsi"/>
                <w:i/>
                <w:iCs/>
                <w:sz w:val="24"/>
                <w:szCs w:val="24"/>
              </w:rPr>
            </w:pPr>
            <w:r w:rsidRPr="0043547B">
              <w:rPr>
                <w:rFonts w:cstheme="minorHAnsi"/>
                <w:b/>
                <w:bCs/>
                <w:i/>
                <w:iCs/>
                <w:sz w:val="24"/>
                <w:szCs w:val="24"/>
              </w:rPr>
              <w:t xml:space="preserve">NOTE : </w:t>
            </w:r>
            <w:r w:rsidRPr="0043547B">
              <w:rPr>
                <w:rFonts w:cstheme="minorHAnsi"/>
                <w:i/>
                <w:iCs/>
                <w:sz w:val="24"/>
                <w:szCs w:val="24"/>
              </w:rPr>
              <w:t>Une spécification sur un mélange issue de cette norme peut être utilisée soit pour déclarer la conformité d’un mélange à des exigences connues soit pour faire savoir ce que sont ces exigences.</w:t>
            </w:r>
          </w:p>
          <w:p w:rsidR="002E1C87" w:rsidRPr="0043547B" w:rsidRDefault="002E1C87" w:rsidP="002E1C87">
            <w:pPr>
              <w:spacing w:after="0" w:line="240" w:lineRule="auto"/>
              <w:jc w:val="both"/>
              <w:rPr>
                <w:rFonts w:cstheme="minorHAnsi"/>
                <w:sz w:val="24"/>
                <w:szCs w:val="24"/>
              </w:rPr>
            </w:pPr>
            <w:r w:rsidRPr="0043547B">
              <w:rPr>
                <w:rFonts w:cstheme="minorHAnsi"/>
                <w:sz w:val="24"/>
                <w:szCs w:val="24"/>
              </w:rPr>
              <w:t>Cette Norme européenne comporte des exigences pour la sélection des divers constituants. Elle est destinée à être utilisée conjointement avec les normes EN 13108-20 et EN 13108-21.</w:t>
            </w:r>
          </w:p>
          <w:p w:rsidR="00906A9B" w:rsidRPr="0043547B" w:rsidRDefault="002E1C87" w:rsidP="002E1C87">
            <w:pPr>
              <w:spacing w:after="0" w:line="240" w:lineRule="auto"/>
              <w:jc w:val="both"/>
              <w:rPr>
                <w:rFonts w:cstheme="minorHAnsi"/>
                <w:sz w:val="24"/>
                <w:szCs w:val="24"/>
              </w:rPr>
            </w:pPr>
            <w:r w:rsidRPr="0043547B">
              <w:rPr>
                <w:rFonts w:cstheme="minorHAnsi"/>
                <w:sz w:val="24"/>
                <w:szCs w:val="24"/>
              </w:rPr>
              <w:t>Les bétons bitumineux drainants contenant des liants chimiquement modifiés qui ne sont pas couverts par la norme EN 14023, ne sont pas couverts par cette Norme européenne.</w:t>
            </w:r>
          </w:p>
        </w:tc>
      </w:tr>
      <w:tr w:rsidR="0043547B" w:rsidRPr="0043547B" w:rsidTr="00E13CAF">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tcPr>
          <w:p w:rsidR="00906A9B" w:rsidRPr="0043547B" w:rsidRDefault="00906A9B" w:rsidP="001F2642">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tcPr>
          <w:p w:rsidR="00906A9B" w:rsidRPr="0043547B" w:rsidRDefault="00906A9B" w:rsidP="001F2642">
            <w:pPr>
              <w:spacing w:after="0" w:line="240" w:lineRule="auto"/>
              <w:jc w:val="center"/>
              <w:rPr>
                <w:rFonts w:cstheme="minorHAnsi"/>
                <w:b/>
                <w:bCs/>
                <w:sz w:val="24"/>
                <w:szCs w:val="24"/>
              </w:rPr>
            </w:pPr>
            <w:r w:rsidRPr="0043547B">
              <w:rPr>
                <w:rFonts w:cstheme="minorHAnsi"/>
                <w:b/>
                <w:bCs/>
                <w:sz w:val="24"/>
                <w:szCs w:val="24"/>
              </w:rPr>
              <w:t>NM EN 13108-9</w:t>
            </w:r>
          </w:p>
        </w:tc>
      </w:tr>
      <w:tr w:rsidR="0043547B" w:rsidRPr="0043547B" w:rsidTr="00E13CAF">
        <w:trPr>
          <w:trHeight w:val="381"/>
          <w:jc w:val="center"/>
        </w:trPr>
        <w:tc>
          <w:tcPr>
            <w:tcW w:w="1838" w:type="dxa"/>
            <w:tcBorders>
              <w:top w:val="single" w:sz="18" w:space="0" w:color="auto"/>
              <w:left w:val="single" w:sz="18" w:space="0" w:color="auto"/>
              <w:bottom w:val="single" w:sz="6" w:space="0" w:color="auto"/>
              <w:right w:val="single" w:sz="4" w:space="0" w:color="auto"/>
            </w:tcBorders>
            <w:shd w:val="clear" w:color="auto" w:fill="FFFF99"/>
            <w:vAlign w:val="center"/>
          </w:tcPr>
          <w:p w:rsidR="00906A9B" w:rsidRPr="0043547B" w:rsidRDefault="00906A9B" w:rsidP="001F2642">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6" w:space="0" w:color="auto"/>
              <w:right w:val="single" w:sz="18" w:space="0" w:color="auto"/>
            </w:tcBorders>
            <w:shd w:val="clear" w:color="auto" w:fill="FFFF99"/>
            <w:vAlign w:val="center"/>
          </w:tcPr>
          <w:p w:rsidR="00906A9B" w:rsidRPr="0043547B" w:rsidRDefault="00906A9B" w:rsidP="001F2642">
            <w:pPr>
              <w:spacing w:after="0" w:line="240" w:lineRule="auto"/>
              <w:jc w:val="center"/>
              <w:rPr>
                <w:rFonts w:cstheme="minorHAnsi"/>
                <w:b/>
                <w:bCs/>
                <w:sz w:val="24"/>
                <w:szCs w:val="24"/>
              </w:rPr>
            </w:pPr>
            <w:r w:rsidRPr="0043547B">
              <w:rPr>
                <w:rFonts w:cstheme="minorHAnsi"/>
                <w:b/>
                <w:bCs/>
                <w:sz w:val="24"/>
                <w:szCs w:val="24"/>
              </w:rPr>
              <w:t>EN 13108-9</w:t>
            </w:r>
          </w:p>
        </w:tc>
      </w:tr>
      <w:tr w:rsidR="0043547B" w:rsidRPr="0043547B" w:rsidTr="00E13CAF">
        <w:trPr>
          <w:trHeight w:val="495"/>
          <w:jc w:val="center"/>
        </w:trPr>
        <w:tc>
          <w:tcPr>
            <w:tcW w:w="1838" w:type="dxa"/>
            <w:tcBorders>
              <w:top w:val="single" w:sz="6" w:space="0" w:color="auto"/>
              <w:left w:val="single" w:sz="18" w:space="0" w:color="auto"/>
              <w:bottom w:val="single" w:sz="4" w:space="0" w:color="auto"/>
              <w:right w:val="single" w:sz="4" w:space="0" w:color="auto"/>
            </w:tcBorders>
            <w:shd w:val="clear" w:color="000000" w:fill="8DB4E2"/>
            <w:vAlign w:val="center"/>
          </w:tcPr>
          <w:p w:rsidR="00906A9B" w:rsidRPr="0043547B" w:rsidRDefault="00906A9B" w:rsidP="001F2642">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6" w:space="0" w:color="auto"/>
              <w:left w:val="single" w:sz="4" w:space="0" w:color="auto"/>
              <w:right w:val="single" w:sz="18" w:space="0" w:color="auto"/>
            </w:tcBorders>
            <w:shd w:val="clear" w:color="000000" w:fill="FFFFFF"/>
          </w:tcPr>
          <w:p w:rsidR="00906A9B" w:rsidRPr="0043547B" w:rsidRDefault="00906A9B" w:rsidP="001F2642">
            <w:pPr>
              <w:spacing w:after="0" w:line="240" w:lineRule="auto"/>
              <w:rPr>
                <w:rFonts w:cstheme="minorHAnsi"/>
                <w:sz w:val="24"/>
                <w:szCs w:val="24"/>
              </w:rPr>
            </w:pPr>
            <w:r w:rsidRPr="0043547B">
              <w:rPr>
                <w:rFonts w:cstheme="minorHAnsi"/>
                <w:sz w:val="24"/>
                <w:szCs w:val="24"/>
              </w:rPr>
              <w:t>Mélanges bitumineux - Spécifications pour le matériau - Partie 9 : Bétons bitumineux pour couches ultra-minces (BBUM) ; (IC 03.4.247)</w:t>
            </w:r>
          </w:p>
        </w:tc>
      </w:tr>
      <w:tr w:rsidR="0043547B" w:rsidRPr="0043547B" w:rsidTr="00E13CAF">
        <w:trPr>
          <w:trHeight w:val="2471"/>
          <w:jc w:val="center"/>
        </w:trPr>
        <w:tc>
          <w:tcPr>
            <w:tcW w:w="1838" w:type="dxa"/>
            <w:tcBorders>
              <w:top w:val="nil"/>
              <w:left w:val="single" w:sz="18" w:space="0" w:color="auto"/>
              <w:bottom w:val="single" w:sz="18" w:space="0" w:color="auto"/>
              <w:right w:val="single" w:sz="4" w:space="0" w:color="auto"/>
            </w:tcBorders>
            <w:shd w:val="clear" w:color="000000" w:fill="D9D9D9"/>
            <w:vAlign w:val="center"/>
          </w:tcPr>
          <w:p w:rsidR="00906A9B" w:rsidRPr="0043547B" w:rsidRDefault="00906A9B" w:rsidP="001F2642">
            <w:pPr>
              <w:spacing w:after="0" w:line="240" w:lineRule="auto"/>
              <w:jc w:val="center"/>
              <w:rPr>
                <w:rFonts w:cstheme="minorHAnsi"/>
                <w:b/>
                <w:bCs/>
                <w:sz w:val="24"/>
                <w:szCs w:val="24"/>
              </w:rPr>
            </w:pPr>
            <w:r w:rsidRPr="0043547B">
              <w:rPr>
                <w:rFonts w:cstheme="minorHAnsi"/>
                <w:b/>
                <w:bCs/>
                <w:sz w:val="24"/>
                <w:szCs w:val="24"/>
              </w:rPr>
              <w:lastRenderedPageBreak/>
              <w:t>Domaine d’application :</w:t>
            </w:r>
          </w:p>
        </w:tc>
        <w:tc>
          <w:tcPr>
            <w:tcW w:w="7938" w:type="dxa"/>
            <w:tcBorders>
              <w:left w:val="single" w:sz="4" w:space="0" w:color="auto"/>
              <w:bottom w:val="single" w:sz="18" w:space="0" w:color="auto"/>
              <w:right w:val="single" w:sz="18" w:space="0" w:color="auto"/>
            </w:tcBorders>
            <w:shd w:val="clear" w:color="000000" w:fill="FFFFFF"/>
          </w:tcPr>
          <w:p w:rsidR="001F2642" w:rsidRPr="0043547B" w:rsidRDefault="00906A9B" w:rsidP="001F2642">
            <w:pPr>
              <w:spacing w:after="0" w:line="240" w:lineRule="auto"/>
              <w:jc w:val="both"/>
              <w:rPr>
                <w:rFonts w:cstheme="minorHAnsi"/>
                <w:sz w:val="24"/>
                <w:szCs w:val="24"/>
              </w:rPr>
            </w:pPr>
            <w:r w:rsidRPr="0043547B">
              <w:rPr>
                <w:rFonts w:cstheme="minorHAnsi"/>
                <w:sz w:val="24"/>
                <w:szCs w:val="24"/>
              </w:rPr>
              <w:t>Cette Norme européenne spécifie des exigences pour la description et la classification des agrégats d’enrobés utilisés comme constituant des mélanges bitumineux. Ce n’est pas une norme de conformité.</w:t>
            </w:r>
          </w:p>
          <w:p w:rsidR="00906A9B" w:rsidRPr="0043547B" w:rsidRDefault="00906A9B" w:rsidP="002E1C87">
            <w:pPr>
              <w:spacing w:after="0" w:line="240" w:lineRule="auto"/>
              <w:jc w:val="both"/>
              <w:rPr>
                <w:rFonts w:cstheme="minorHAnsi"/>
                <w:sz w:val="24"/>
                <w:szCs w:val="24"/>
              </w:rPr>
            </w:pPr>
            <w:r w:rsidRPr="0043547B">
              <w:rPr>
                <w:rFonts w:cstheme="minorHAnsi"/>
                <w:sz w:val="24"/>
                <w:szCs w:val="24"/>
              </w:rPr>
              <w:t>Cette norme européenne spécifie uniquement des exigences pour les agrégats d’enrobés aux liants bitumineux tels que les bitume routiers usuels, les bitumes modifiés ou les bitumes durs. Les agrégats</w:t>
            </w:r>
            <w:r w:rsidR="002E1C87" w:rsidRPr="0043547B">
              <w:rPr>
                <w:rFonts w:cstheme="minorHAnsi"/>
                <w:sz w:val="24"/>
                <w:szCs w:val="24"/>
              </w:rPr>
              <w:t xml:space="preserve"> </w:t>
            </w:r>
            <w:r w:rsidRPr="0043547B">
              <w:rPr>
                <w:rFonts w:cstheme="minorHAnsi"/>
                <w:sz w:val="24"/>
                <w:szCs w:val="24"/>
              </w:rPr>
              <w:t>d’enrobés contaminés par du goudron ou d’autres additifs ou composants au-delà des seuils de danger, ne sont pas couverts par cette norme et doivent être considérés en prenant en compte les</w:t>
            </w:r>
            <w:r w:rsidR="002E1C87" w:rsidRPr="0043547B">
              <w:rPr>
                <w:rFonts w:cstheme="minorHAnsi"/>
                <w:sz w:val="24"/>
                <w:szCs w:val="24"/>
              </w:rPr>
              <w:t xml:space="preserve"> </w:t>
            </w:r>
            <w:r w:rsidRPr="0043547B">
              <w:rPr>
                <w:rFonts w:cstheme="minorHAnsi"/>
                <w:sz w:val="24"/>
                <w:szCs w:val="24"/>
              </w:rPr>
              <w:t>règlements de santé, sécurité et environnement des Etats Membres.</w:t>
            </w:r>
          </w:p>
        </w:tc>
      </w:tr>
      <w:tr w:rsidR="0043547B" w:rsidRPr="0043547B" w:rsidTr="00E13CAF">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13.1.207</w:t>
            </w:r>
          </w:p>
        </w:tc>
      </w:tr>
      <w:tr w:rsidR="0043547B" w:rsidRPr="0043547B" w:rsidTr="00E13CAF">
        <w:trPr>
          <w:trHeight w:val="49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000000" w:fill="FFFFFF"/>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Enrobés hydrocarbonés - Couches de roulement : bétons bitumineux drainants - Définition - Classification - Caractéristiques - Fabrication - Mise en œuvre </w:t>
            </w:r>
          </w:p>
        </w:tc>
      </w:tr>
      <w:tr w:rsidR="0043547B" w:rsidRPr="0043547B" w:rsidTr="00D539C2">
        <w:trPr>
          <w:trHeight w:val="1268"/>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000000" w:fill="FFFFFF"/>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a pour objet de définir les bétons bitumineux drainants fabriqués à chaud en centrale d'enrobage, d'en fixer les caractéristiques, de spécifier les essais aptes à vérifier ces dernières, puis d'en préciser les conditions de fabrication, ainsi que les conditions de livraison sous trémie, les opérations de transport et de mise en œuvre non définies dans la norme NM 13.1.213.</w:t>
            </w:r>
          </w:p>
          <w:p w:rsidR="00D539C2" w:rsidRPr="0043547B" w:rsidRDefault="00D539C2" w:rsidP="00D539C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bétons bitumineux drainants sont des enrobés hydrocarbonés caractérisés par une proportion élevée de vides communicants, autorisant une circulation interne des eaux pluviales, sur une épaisseur moyenne comprise entre 3 cm et 5 cm. Ils sont destinés à la réalisation de couches de roulement, dans le cadre des travaux de construction,</w:t>
            </w:r>
            <w:r>
              <w:rPr>
                <w:rFonts w:eastAsia="Times New Roman" w:cstheme="minorHAnsi"/>
                <w:sz w:val="24"/>
                <w:szCs w:val="24"/>
                <w:lang w:eastAsia="fr-FR"/>
              </w:rPr>
              <w:t xml:space="preserve"> </w:t>
            </w:r>
            <w:r w:rsidRPr="0043547B">
              <w:rPr>
                <w:rFonts w:eastAsia="Times New Roman" w:cstheme="minorHAnsi"/>
                <w:sz w:val="24"/>
                <w:szCs w:val="24"/>
                <w:lang w:eastAsia="fr-FR"/>
              </w:rPr>
              <w:t>de renforcement ou d'entretien des chaussées.</w:t>
            </w:r>
          </w:p>
          <w:p w:rsidR="00904E52" w:rsidRPr="0043547B" w:rsidRDefault="00D539C2" w:rsidP="00D539C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Ils sont préparés à partir d'un mélange de liant hydrocarboné, de granulats et d'additifs éventuels.</w:t>
            </w:r>
          </w:p>
        </w:tc>
      </w:tr>
      <w:tr w:rsidR="0043547B" w:rsidRPr="0043547B" w:rsidTr="00E13CAF">
        <w:trPr>
          <w:trHeight w:val="376"/>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hideMark/>
          </w:tcPr>
          <w:p w:rsidR="009D2838" w:rsidRPr="0043547B" w:rsidRDefault="009D2838" w:rsidP="002E1C87">
            <w:pPr>
              <w:spacing w:after="0" w:line="240" w:lineRule="auto"/>
              <w:jc w:val="center"/>
              <w:rPr>
                <w:rFonts w:cstheme="minorHAnsi"/>
                <w:b/>
                <w:bCs/>
                <w:sz w:val="24"/>
                <w:szCs w:val="24"/>
              </w:rPr>
            </w:pPr>
            <w:r w:rsidRPr="0043547B">
              <w:rPr>
                <w:rFonts w:cstheme="minorHAnsi"/>
                <w:b/>
                <w:bCs/>
                <w:sz w:val="24"/>
                <w:szCs w:val="24"/>
              </w:rPr>
              <w:t>Code</w:t>
            </w:r>
            <w:r w:rsidR="002E1C87" w:rsidRPr="0043547B">
              <w:rPr>
                <w:rFonts w:cstheme="minorHAnsi"/>
                <w:b/>
                <w:bCs/>
                <w:sz w:val="24"/>
                <w:szCs w:val="24"/>
              </w:rPr>
              <w:t xml:space="preserve"> </w:t>
            </w:r>
            <w:r w:rsidRPr="0043547B">
              <w:rPr>
                <w:rFonts w:cstheme="minorHAnsi"/>
                <w:b/>
                <w:bCs/>
                <w:sz w:val="24"/>
                <w:szCs w:val="24"/>
              </w:rPr>
              <w:t>:</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hideMark/>
          </w:tcPr>
          <w:p w:rsidR="009D2838" w:rsidRPr="0043547B" w:rsidRDefault="009D2838" w:rsidP="002E1C87">
            <w:pPr>
              <w:spacing w:after="0" w:line="240" w:lineRule="auto"/>
              <w:jc w:val="center"/>
              <w:rPr>
                <w:rFonts w:cstheme="minorHAnsi"/>
                <w:b/>
                <w:bCs/>
                <w:sz w:val="24"/>
                <w:szCs w:val="24"/>
              </w:rPr>
            </w:pPr>
            <w:r w:rsidRPr="0043547B">
              <w:rPr>
                <w:rFonts w:cstheme="minorHAnsi"/>
                <w:b/>
                <w:bCs/>
                <w:sz w:val="24"/>
                <w:szCs w:val="24"/>
              </w:rPr>
              <w:t>NM EN 13108-2</w:t>
            </w:r>
          </w:p>
        </w:tc>
      </w:tr>
      <w:tr w:rsidR="0043547B" w:rsidRPr="0043547B" w:rsidTr="00E13CAF">
        <w:trPr>
          <w:trHeight w:val="315"/>
          <w:jc w:val="center"/>
        </w:trPr>
        <w:tc>
          <w:tcPr>
            <w:tcW w:w="1838" w:type="dxa"/>
            <w:tcBorders>
              <w:top w:val="single" w:sz="18" w:space="0" w:color="auto"/>
              <w:left w:val="single" w:sz="18" w:space="0" w:color="auto"/>
              <w:bottom w:val="single" w:sz="6" w:space="0" w:color="auto"/>
              <w:right w:val="single" w:sz="4" w:space="0" w:color="auto"/>
            </w:tcBorders>
            <w:shd w:val="clear" w:color="auto" w:fill="FFFF99"/>
            <w:vAlign w:val="center"/>
          </w:tcPr>
          <w:p w:rsidR="009D2838" w:rsidRPr="0043547B" w:rsidRDefault="009D2838" w:rsidP="002E1C87">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6" w:space="0" w:color="auto"/>
              <w:right w:val="single" w:sz="18" w:space="0" w:color="auto"/>
            </w:tcBorders>
            <w:shd w:val="clear" w:color="auto" w:fill="FFFF99"/>
            <w:vAlign w:val="center"/>
          </w:tcPr>
          <w:p w:rsidR="009D2838" w:rsidRPr="0043547B" w:rsidRDefault="009D2838" w:rsidP="002E1C87">
            <w:pPr>
              <w:spacing w:after="0" w:line="240" w:lineRule="auto"/>
              <w:jc w:val="center"/>
              <w:rPr>
                <w:rFonts w:cstheme="minorHAnsi"/>
                <w:b/>
                <w:bCs/>
                <w:sz w:val="24"/>
                <w:szCs w:val="24"/>
              </w:rPr>
            </w:pPr>
            <w:r w:rsidRPr="0043547B">
              <w:rPr>
                <w:rFonts w:cstheme="minorHAnsi"/>
                <w:b/>
                <w:bCs/>
                <w:sz w:val="24"/>
                <w:szCs w:val="24"/>
              </w:rPr>
              <w:t>EN 13108-2</w:t>
            </w:r>
          </w:p>
        </w:tc>
      </w:tr>
      <w:tr w:rsidR="0043547B" w:rsidRPr="0043547B" w:rsidTr="00E13CAF">
        <w:trPr>
          <w:trHeight w:val="495"/>
          <w:jc w:val="center"/>
        </w:trPr>
        <w:tc>
          <w:tcPr>
            <w:tcW w:w="1838" w:type="dxa"/>
            <w:tcBorders>
              <w:top w:val="single" w:sz="6" w:space="0" w:color="auto"/>
              <w:left w:val="single" w:sz="18" w:space="0" w:color="auto"/>
              <w:bottom w:val="single" w:sz="4" w:space="0" w:color="auto"/>
              <w:right w:val="single" w:sz="4" w:space="0" w:color="auto"/>
            </w:tcBorders>
            <w:shd w:val="clear" w:color="000000" w:fill="8DB4E2"/>
            <w:vAlign w:val="center"/>
            <w:hideMark/>
          </w:tcPr>
          <w:p w:rsidR="009D2838" w:rsidRPr="0043547B" w:rsidRDefault="009D2838" w:rsidP="002E1C87">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6" w:space="0" w:color="auto"/>
              <w:left w:val="single" w:sz="4" w:space="0" w:color="auto"/>
              <w:right w:val="single" w:sz="18" w:space="0" w:color="auto"/>
            </w:tcBorders>
            <w:shd w:val="clear" w:color="000000" w:fill="FFFFFF"/>
            <w:hideMark/>
          </w:tcPr>
          <w:p w:rsidR="009D2838" w:rsidRPr="0043547B" w:rsidRDefault="009D2838" w:rsidP="002E1C87">
            <w:pPr>
              <w:spacing w:after="0" w:line="240" w:lineRule="auto"/>
              <w:rPr>
                <w:rFonts w:cstheme="minorHAnsi"/>
                <w:sz w:val="24"/>
                <w:szCs w:val="24"/>
              </w:rPr>
            </w:pPr>
            <w:r w:rsidRPr="0043547B">
              <w:rPr>
                <w:rFonts w:cstheme="minorHAnsi"/>
                <w:sz w:val="24"/>
                <w:szCs w:val="24"/>
              </w:rPr>
              <w:t>Mélanges bitumineux - Spécifications des matériaux - Partie 2 : Béton bitumineux très minces ; (IC 03.4.238) (RMC)</w:t>
            </w:r>
          </w:p>
        </w:tc>
      </w:tr>
      <w:tr w:rsidR="0043547B" w:rsidRPr="0043547B" w:rsidTr="00E13CAF">
        <w:trPr>
          <w:trHeight w:val="7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D2838" w:rsidRPr="0043547B" w:rsidRDefault="009D2838" w:rsidP="002E1C87">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000000" w:fill="FFFFFF"/>
            <w:hideMark/>
          </w:tcPr>
          <w:p w:rsidR="002E1C87" w:rsidRPr="0043547B" w:rsidRDefault="009D2838" w:rsidP="002E1C87">
            <w:pPr>
              <w:spacing w:after="0" w:line="240" w:lineRule="auto"/>
              <w:jc w:val="both"/>
              <w:rPr>
                <w:rFonts w:cstheme="minorHAnsi"/>
                <w:sz w:val="24"/>
                <w:szCs w:val="24"/>
              </w:rPr>
            </w:pPr>
            <w:r w:rsidRPr="0043547B">
              <w:rPr>
                <w:rFonts w:cstheme="minorHAnsi"/>
                <w:sz w:val="24"/>
                <w:szCs w:val="24"/>
              </w:rPr>
              <w:t>Cette norme européenne donne les spécifications pour les mélanges appartenant à la famille des bétons bitumineux très minces et utilisés pour les routes, les aéroports et autres zones de circulation.</w:t>
            </w:r>
          </w:p>
          <w:p w:rsidR="00E13CAF" w:rsidRPr="00E13CAF" w:rsidRDefault="00E13CAF" w:rsidP="00E13CAF">
            <w:pPr>
              <w:spacing w:after="0" w:line="240" w:lineRule="auto"/>
              <w:jc w:val="both"/>
              <w:rPr>
                <w:rFonts w:cstheme="minorHAnsi"/>
                <w:i/>
                <w:iCs/>
              </w:rPr>
            </w:pPr>
            <w:r w:rsidRPr="00E13CAF">
              <w:rPr>
                <w:rFonts w:cstheme="minorHAnsi"/>
                <w:b/>
                <w:bCs/>
                <w:i/>
                <w:iCs/>
              </w:rPr>
              <w:t>NOTE :</w:t>
            </w:r>
            <w:r w:rsidRPr="00E13CAF">
              <w:rPr>
                <w:rFonts w:cstheme="minorHAnsi"/>
                <w:i/>
                <w:iCs/>
              </w:rPr>
              <w:t xml:space="preserve"> Une spécification sur un mélange issue de cette norme peut être utilisée soit pour déclarer la conformité d’un mélange à des exigences connues soit pour faire savoir ce que sont ces exigences.</w:t>
            </w:r>
          </w:p>
          <w:p w:rsidR="00E13CAF" w:rsidRDefault="00E13CAF" w:rsidP="00E13CAF">
            <w:pPr>
              <w:spacing w:after="0" w:line="240" w:lineRule="auto"/>
              <w:jc w:val="both"/>
              <w:rPr>
                <w:rFonts w:cstheme="minorHAnsi"/>
                <w:sz w:val="24"/>
                <w:szCs w:val="24"/>
              </w:rPr>
            </w:pPr>
            <w:r w:rsidRPr="0043547B">
              <w:rPr>
                <w:rFonts w:cstheme="minorHAnsi"/>
                <w:sz w:val="24"/>
                <w:szCs w:val="24"/>
              </w:rPr>
              <w:t>Cette norme européenne inclut des spécifications pour le choix des constituants. Elle est destinée à être utilisée conjointement avec les normes EN 13108-20 et EN 13108-21.</w:t>
            </w:r>
          </w:p>
          <w:p w:rsidR="002E1C87" w:rsidRPr="0043547B" w:rsidRDefault="00E13CAF" w:rsidP="00E13CAF">
            <w:pPr>
              <w:spacing w:after="0" w:line="240" w:lineRule="auto"/>
              <w:jc w:val="both"/>
              <w:rPr>
                <w:rFonts w:cstheme="minorHAnsi"/>
                <w:sz w:val="24"/>
                <w:szCs w:val="24"/>
              </w:rPr>
            </w:pPr>
            <w:r w:rsidRPr="0043547B">
              <w:rPr>
                <w:rFonts w:cstheme="minorHAnsi"/>
                <w:sz w:val="24"/>
                <w:szCs w:val="24"/>
              </w:rPr>
              <w:t>Les bétons bitumineux très minces avec des liants chimiquement modifiés qui ne relèvent pas de la norme EN 14023 ne sont pas couverts par la présente Norme européenne.</w:t>
            </w:r>
          </w:p>
        </w:tc>
      </w:tr>
      <w:tr w:rsidR="0043547B" w:rsidRPr="0043547B" w:rsidTr="00E13CAF">
        <w:trPr>
          <w:trHeight w:val="322"/>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tcPr>
          <w:p w:rsidR="00906A9B" w:rsidRPr="0043547B" w:rsidRDefault="00906A9B" w:rsidP="002E1C87">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tcPr>
          <w:p w:rsidR="00906A9B" w:rsidRPr="0043547B" w:rsidRDefault="00906A9B" w:rsidP="002E1C87">
            <w:pPr>
              <w:spacing w:after="0" w:line="240" w:lineRule="auto"/>
              <w:jc w:val="center"/>
              <w:rPr>
                <w:rFonts w:cstheme="minorHAnsi"/>
                <w:b/>
                <w:bCs/>
                <w:sz w:val="24"/>
                <w:szCs w:val="24"/>
              </w:rPr>
            </w:pPr>
            <w:r w:rsidRPr="0043547B">
              <w:rPr>
                <w:rFonts w:cstheme="minorHAnsi"/>
                <w:b/>
                <w:bCs/>
                <w:sz w:val="24"/>
                <w:szCs w:val="24"/>
              </w:rPr>
              <w:t>NM EN 13108-8</w:t>
            </w:r>
          </w:p>
        </w:tc>
      </w:tr>
      <w:tr w:rsidR="0043547B" w:rsidRPr="0043547B" w:rsidTr="00E13CAF">
        <w:trPr>
          <w:trHeight w:val="303"/>
          <w:jc w:val="center"/>
        </w:trPr>
        <w:tc>
          <w:tcPr>
            <w:tcW w:w="1838" w:type="dxa"/>
            <w:tcBorders>
              <w:top w:val="single" w:sz="18" w:space="0" w:color="auto"/>
              <w:left w:val="single" w:sz="18" w:space="0" w:color="auto"/>
              <w:bottom w:val="single" w:sz="6" w:space="0" w:color="auto"/>
              <w:right w:val="single" w:sz="4" w:space="0" w:color="auto"/>
            </w:tcBorders>
            <w:shd w:val="clear" w:color="auto" w:fill="FFFF99"/>
            <w:vAlign w:val="center"/>
          </w:tcPr>
          <w:p w:rsidR="00906A9B" w:rsidRPr="0043547B" w:rsidRDefault="00906A9B" w:rsidP="002E1C87">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6" w:space="0" w:color="auto"/>
              <w:right w:val="single" w:sz="18" w:space="0" w:color="auto"/>
            </w:tcBorders>
            <w:shd w:val="clear" w:color="auto" w:fill="FFFF99"/>
            <w:vAlign w:val="center"/>
          </w:tcPr>
          <w:p w:rsidR="00906A9B" w:rsidRPr="0043547B" w:rsidRDefault="00906A9B" w:rsidP="002E1C87">
            <w:pPr>
              <w:spacing w:after="0" w:line="240" w:lineRule="auto"/>
              <w:jc w:val="center"/>
              <w:rPr>
                <w:rFonts w:cstheme="minorHAnsi"/>
                <w:b/>
                <w:bCs/>
                <w:sz w:val="24"/>
                <w:szCs w:val="24"/>
              </w:rPr>
            </w:pPr>
            <w:r w:rsidRPr="0043547B">
              <w:rPr>
                <w:rFonts w:cstheme="minorHAnsi"/>
                <w:b/>
                <w:bCs/>
                <w:sz w:val="24"/>
                <w:szCs w:val="24"/>
              </w:rPr>
              <w:t>EN 13108-8</w:t>
            </w:r>
          </w:p>
        </w:tc>
      </w:tr>
      <w:tr w:rsidR="0043547B" w:rsidRPr="0043547B" w:rsidTr="00E13CAF">
        <w:trPr>
          <w:trHeight w:val="495"/>
          <w:jc w:val="center"/>
        </w:trPr>
        <w:tc>
          <w:tcPr>
            <w:tcW w:w="1838" w:type="dxa"/>
            <w:tcBorders>
              <w:top w:val="single" w:sz="6" w:space="0" w:color="auto"/>
              <w:left w:val="single" w:sz="18" w:space="0" w:color="auto"/>
              <w:bottom w:val="single" w:sz="4" w:space="0" w:color="auto"/>
              <w:right w:val="single" w:sz="4" w:space="0" w:color="auto"/>
            </w:tcBorders>
            <w:shd w:val="clear" w:color="000000" w:fill="8DB4E2"/>
            <w:vAlign w:val="center"/>
          </w:tcPr>
          <w:p w:rsidR="00906A9B" w:rsidRPr="0043547B" w:rsidRDefault="00906A9B" w:rsidP="002E1C87">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6" w:space="0" w:color="auto"/>
              <w:left w:val="single" w:sz="4" w:space="0" w:color="auto"/>
              <w:right w:val="single" w:sz="18" w:space="0" w:color="auto"/>
            </w:tcBorders>
            <w:shd w:val="clear" w:color="000000" w:fill="FFFFFF"/>
          </w:tcPr>
          <w:p w:rsidR="00906A9B" w:rsidRPr="0043547B" w:rsidRDefault="00906A9B" w:rsidP="002E1C87">
            <w:pPr>
              <w:spacing w:after="0" w:line="240" w:lineRule="auto"/>
              <w:rPr>
                <w:rFonts w:cstheme="minorHAnsi"/>
                <w:sz w:val="24"/>
                <w:szCs w:val="24"/>
              </w:rPr>
            </w:pPr>
            <w:r w:rsidRPr="0043547B">
              <w:rPr>
                <w:rFonts w:cstheme="minorHAnsi"/>
                <w:sz w:val="24"/>
                <w:szCs w:val="24"/>
              </w:rPr>
              <w:t>Mélanges bitumineux - Spécifications pour le matériau - Partie 8 : Agrégats d'enrobés ; (IC 03.4.246)</w:t>
            </w:r>
          </w:p>
        </w:tc>
      </w:tr>
      <w:tr w:rsidR="0043547B" w:rsidRPr="0043547B" w:rsidTr="00E13CAF">
        <w:trPr>
          <w:trHeight w:val="2382"/>
          <w:jc w:val="center"/>
        </w:trPr>
        <w:tc>
          <w:tcPr>
            <w:tcW w:w="1838" w:type="dxa"/>
            <w:tcBorders>
              <w:top w:val="nil"/>
              <w:left w:val="single" w:sz="18" w:space="0" w:color="auto"/>
              <w:bottom w:val="single" w:sz="18" w:space="0" w:color="auto"/>
              <w:right w:val="single" w:sz="4" w:space="0" w:color="auto"/>
            </w:tcBorders>
            <w:shd w:val="clear" w:color="000000" w:fill="D9D9D9"/>
            <w:vAlign w:val="center"/>
          </w:tcPr>
          <w:p w:rsidR="00906A9B" w:rsidRPr="0043547B" w:rsidRDefault="00906A9B" w:rsidP="002E1C87">
            <w:pPr>
              <w:spacing w:after="0" w:line="240" w:lineRule="auto"/>
              <w:jc w:val="center"/>
              <w:rPr>
                <w:rFonts w:cstheme="minorHAnsi"/>
                <w:b/>
                <w:bCs/>
                <w:sz w:val="24"/>
                <w:szCs w:val="24"/>
              </w:rPr>
            </w:pPr>
            <w:r w:rsidRPr="0043547B">
              <w:rPr>
                <w:rFonts w:cstheme="minorHAnsi"/>
                <w:b/>
                <w:bCs/>
                <w:sz w:val="24"/>
                <w:szCs w:val="24"/>
              </w:rPr>
              <w:lastRenderedPageBreak/>
              <w:t>Domaine d’application :</w:t>
            </w:r>
          </w:p>
        </w:tc>
        <w:tc>
          <w:tcPr>
            <w:tcW w:w="7938" w:type="dxa"/>
            <w:tcBorders>
              <w:left w:val="single" w:sz="4" w:space="0" w:color="auto"/>
              <w:bottom w:val="single" w:sz="18" w:space="0" w:color="auto"/>
              <w:right w:val="single" w:sz="18" w:space="0" w:color="auto"/>
            </w:tcBorders>
            <w:shd w:val="clear" w:color="000000" w:fill="FFFFFF"/>
          </w:tcPr>
          <w:p w:rsidR="002E1C87" w:rsidRPr="0043547B" w:rsidRDefault="00906A9B" w:rsidP="002E1C87">
            <w:pPr>
              <w:spacing w:after="0" w:line="240" w:lineRule="auto"/>
              <w:jc w:val="both"/>
              <w:rPr>
                <w:rFonts w:cstheme="minorHAnsi"/>
                <w:sz w:val="24"/>
                <w:szCs w:val="24"/>
              </w:rPr>
            </w:pPr>
            <w:r w:rsidRPr="0043547B">
              <w:rPr>
                <w:rFonts w:cstheme="minorHAnsi"/>
                <w:sz w:val="24"/>
                <w:szCs w:val="24"/>
              </w:rPr>
              <w:t>Cette Norme européenne spécifie des exigences pour la description et la classification des agrégats d’enrobés utilisés comme constituant des mélanges bitumineux. Ce n’est pas une norme de</w:t>
            </w:r>
            <w:r w:rsidR="002E1C87" w:rsidRPr="0043547B">
              <w:rPr>
                <w:rFonts w:cstheme="minorHAnsi"/>
                <w:sz w:val="24"/>
                <w:szCs w:val="24"/>
              </w:rPr>
              <w:t xml:space="preserve"> </w:t>
            </w:r>
            <w:r w:rsidRPr="0043547B">
              <w:rPr>
                <w:rFonts w:cstheme="minorHAnsi"/>
                <w:sz w:val="24"/>
                <w:szCs w:val="24"/>
              </w:rPr>
              <w:t>conformité.</w:t>
            </w:r>
          </w:p>
          <w:p w:rsidR="00906A9B" w:rsidRPr="0043547B" w:rsidRDefault="00906A9B" w:rsidP="002E1C87">
            <w:pPr>
              <w:spacing w:after="0" w:line="240" w:lineRule="auto"/>
              <w:jc w:val="both"/>
              <w:rPr>
                <w:rFonts w:cstheme="minorHAnsi"/>
                <w:sz w:val="24"/>
                <w:szCs w:val="24"/>
              </w:rPr>
            </w:pPr>
            <w:r w:rsidRPr="0043547B">
              <w:rPr>
                <w:rFonts w:cstheme="minorHAnsi"/>
                <w:sz w:val="24"/>
                <w:szCs w:val="24"/>
              </w:rPr>
              <w:t>Cette norme européenne spécifie uniquement des exigences pour les agrégats d’enrobés aux liants bitumineux tels que les bitume routiers usuels, les bitumes modifiés ou les bitumes durs. Les agrégats</w:t>
            </w:r>
            <w:r w:rsidR="002E1C87" w:rsidRPr="0043547B">
              <w:rPr>
                <w:rFonts w:cstheme="minorHAnsi"/>
                <w:sz w:val="24"/>
                <w:szCs w:val="24"/>
              </w:rPr>
              <w:t xml:space="preserve"> </w:t>
            </w:r>
            <w:r w:rsidRPr="0043547B">
              <w:rPr>
                <w:rFonts w:cstheme="minorHAnsi"/>
                <w:sz w:val="24"/>
                <w:szCs w:val="24"/>
              </w:rPr>
              <w:t>d’enrobés contaminés par du goudron ou d’autres additifs ou composants au-delà des seuils de danger, ne sont pas couverts par cette norme et doivent être considérés en prenant en compte les</w:t>
            </w:r>
            <w:r w:rsidR="002E1C87" w:rsidRPr="0043547B">
              <w:rPr>
                <w:rFonts w:cstheme="minorHAnsi"/>
                <w:sz w:val="24"/>
                <w:szCs w:val="24"/>
              </w:rPr>
              <w:t xml:space="preserve"> </w:t>
            </w:r>
            <w:r w:rsidRPr="0043547B">
              <w:rPr>
                <w:rFonts w:cstheme="minorHAnsi"/>
                <w:sz w:val="24"/>
                <w:szCs w:val="24"/>
              </w:rPr>
              <w:t>règlements de santé, sécurité et environnement des Etats Membres.</w:t>
            </w:r>
          </w:p>
        </w:tc>
      </w:tr>
      <w:tr w:rsidR="0043547B" w:rsidRPr="0043547B" w:rsidTr="00E13CAF">
        <w:trPr>
          <w:trHeight w:val="378"/>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2E1C87">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2E1C87">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13.1.211</w:t>
            </w:r>
          </w:p>
        </w:tc>
      </w:tr>
      <w:tr w:rsidR="0043547B" w:rsidRPr="0043547B" w:rsidTr="00E13CAF">
        <w:trPr>
          <w:trHeight w:val="146"/>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B2149C" w:rsidRPr="0043547B" w:rsidRDefault="00B2149C" w:rsidP="00E13CAF">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000000" w:fill="FFFFFF"/>
            <w:hideMark/>
          </w:tcPr>
          <w:p w:rsidR="00B2149C" w:rsidRPr="0043547B" w:rsidRDefault="00B2149C" w:rsidP="00E13CAF">
            <w:pPr>
              <w:spacing w:after="0" w:line="240" w:lineRule="auto"/>
              <w:jc w:val="both"/>
              <w:rPr>
                <w:rFonts w:cstheme="minorHAnsi"/>
                <w:sz w:val="24"/>
                <w:szCs w:val="24"/>
              </w:rPr>
            </w:pPr>
            <w:r w:rsidRPr="0043547B">
              <w:rPr>
                <w:rFonts w:cstheme="minorHAnsi"/>
                <w:sz w:val="24"/>
                <w:szCs w:val="24"/>
              </w:rPr>
              <w:t>Enrobés hydrocarbonés - Couches de roulement : béton bitumineux à l'émulsion - Définition - Classification - Caractéristiques - Fabrication - Mise en œuvre </w:t>
            </w:r>
          </w:p>
        </w:tc>
      </w:tr>
      <w:tr w:rsidR="0043547B" w:rsidRPr="0043547B" w:rsidTr="00E13CAF">
        <w:trPr>
          <w:trHeight w:val="1539"/>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B2149C" w:rsidRPr="0043547B" w:rsidRDefault="00B2149C" w:rsidP="00E13CAF">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000000" w:fill="FFFFFF"/>
            <w:hideMark/>
          </w:tcPr>
          <w:p w:rsidR="00E13CAF" w:rsidRDefault="00B2149C" w:rsidP="00E13CAF">
            <w:pPr>
              <w:spacing w:after="0" w:line="240" w:lineRule="auto"/>
              <w:jc w:val="both"/>
              <w:rPr>
                <w:rFonts w:cstheme="minorHAnsi"/>
                <w:sz w:val="24"/>
                <w:szCs w:val="24"/>
              </w:rPr>
            </w:pPr>
            <w:r w:rsidRPr="0043547B">
              <w:rPr>
                <w:rFonts w:cstheme="minorHAnsi"/>
                <w:sz w:val="24"/>
                <w:szCs w:val="24"/>
              </w:rPr>
              <w:t xml:space="preserve">La présente norme définit les bétons bitumineux à l’émulsion de bitume, fixe leurs caractéristiques, spécifie les essais aptes à vérifier ces dernières, puis précise les conditions de fabrication, les opérations de transport et de mise en </w:t>
            </w:r>
            <w:r w:rsidR="00D539C2" w:rsidRPr="0043547B">
              <w:rPr>
                <w:rFonts w:cstheme="minorHAnsi"/>
                <w:sz w:val="24"/>
                <w:szCs w:val="24"/>
              </w:rPr>
              <w:t>œuvre</w:t>
            </w:r>
            <w:r w:rsidRPr="0043547B">
              <w:rPr>
                <w:rFonts w:cstheme="minorHAnsi"/>
                <w:sz w:val="24"/>
                <w:szCs w:val="24"/>
              </w:rPr>
              <w:t xml:space="preserve"> non définies dans la norme NM 13.1.214.</w:t>
            </w:r>
          </w:p>
          <w:p w:rsidR="00B2149C" w:rsidRPr="0043547B" w:rsidRDefault="00B2149C" w:rsidP="00E13CAF">
            <w:pPr>
              <w:spacing w:after="0" w:line="240" w:lineRule="auto"/>
              <w:jc w:val="both"/>
              <w:rPr>
                <w:rFonts w:cstheme="minorHAnsi"/>
                <w:sz w:val="24"/>
                <w:szCs w:val="24"/>
              </w:rPr>
            </w:pPr>
            <w:r w:rsidRPr="0043547B">
              <w:rPr>
                <w:rFonts w:cstheme="minorHAnsi"/>
                <w:sz w:val="24"/>
                <w:szCs w:val="24"/>
              </w:rPr>
              <w:t>Il s’applique aux bétons bitumineux à l’émulsion destinés aux couches de roulement et de liaison.</w:t>
            </w:r>
          </w:p>
        </w:tc>
      </w:tr>
      <w:tr w:rsidR="0043547B" w:rsidRPr="0043547B" w:rsidTr="00E13CAF">
        <w:trPr>
          <w:trHeight w:val="358"/>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2E1C87">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2E1C87">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13.1.212</w:t>
            </w:r>
          </w:p>
        </w:tc>
      </w:tr>
      <w:tr w:rsidR="0043547B" w:rsidRPr="0043547B" w:rsidTr="00E13CAF">
        <w:trPr>
          <w:trHeight w:val="49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2E1C87">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000000" w:fill="FFFFFF"/>
            <w:vAlign w:val="center"/>
            <w:hideMark/>
          </w:tcPr>
          <w:p w:rsidR="00904E52" w:rsidRPr="0043547B" w:rsidRDefault="00904E52" w:rsidP="002E1C87">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Enrobés hydrocarbonés - Terminologie - Composants et composition des mélanges - Mise en œuvre - Produits - Techniques et procédés </w:t>
            </w:r>
          </w:p>
        </w:tc>
      </w:tr>
      <w:tr w:rsidR="0043547B" w:rsidRPr="0043547B" w:rsidTr="00E13CAF">
        <w:trPr>
          <w:trHeight w:val="807"/>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2E1C87">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000000" w:fill="FFFFFF"/>
            <w:noWrap/>
            <w:vAlign w:val="center"/>
            <w:hideMark/>
          </w:tcPr>
          <w:p w:rsidR="00904E52" w:rsidRPr="0043547B" w:rsidRDefault="00904E52" w:rsidP="002E1C87">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a pour objet de définir les principaux termes relatifs aux enrobés hydrocarbonés.</w:t>
            </w:r>
          </w:p>
        </w:tc>
      </w:tr>
      <w:tr w:rsidR="0043547B" w:rsidRPr="0043547B" w:rsidTr="00D93DC1">
        <w:trPr>
          <w:trHeight w:val="23"/>
          <w:jc w:val="center"/>
        </w:trPr>
        <w:tc>
          <w:tcPr>
            <w:tcW w:w="1838" w:type="dxa"/>
            <w:tcBorders>
              <w:top w:val="nil"/>
              <w:left w:val="single" w:sz="18" w:space="0" w:color="auto"/>
              <w:bottom w:val="single" w:sz="18" w:space="0" w:color="auto"/>
              <w:right w:val="single" w:sz="4" w:space="0" w:color="auto"/>
            </w:tcBorders>
            <w:shd w:val="clear" w:color="auto" w:fill="D6E3BC" w:themeFill="accent3" w:themeFillTint="66"/>
            <w:vAlign w:val="center"/>
          </w:tcPr>
          <w:p w:rsidR="005F2ACD" w:rsidRPr="009E7875" w:rsidRDefault="005F2ACD" w:rsidP="00D93DC1">
            <w:pPr>
              <w:spacing w:after="0" w:line="240" w:lineRule="auto"/>
              <w:jc w:val="center"/>
              <w:rPr>
                <w:rFonts w:cstheme="minorHAnsi"/>
                <w:b/>
                <w:bCs/>
                <w:sz w:val="24"/>
                <w:szCs w:val="24"/>
              </w:rPr>
            </w:pPr>
            <w:r w:rsidRPr="009E7875">
              <w:rPr>
                <w:rFonts w:cstheme="minorHAnsi"/>
                <w:b/>
                <w:bCs/>
                <w:sz w:val="24"/>
                <w:szCs w:val="24"/>
              </w:rPr>
              <w:t>Code :</w:t>
            </w:r>
          </w:p>
        </w:tc>
        <w:tc>
          <w:tcPr>
            <w:tcW w:w="7938" w:type="dxa"/>
            <w:tcBorders>
              <w:left w:val="single" w:sz="4" w:space="0" w:color="auto"/>
              <w:bottom w:val="single" w:sz="18" w:space="0" w:color="auto"/>
              <w:right w:val="single" w:sz="18" w:space="0" w:color="auto"/>
            </w:tcBorders>
            <w:shd w:val="clear" w:color="auto" w:fill="D6E3BC" w:themeFill="accent3" w:themeFillTint="66"/>
            <w:noWrap/>
          </w:tcPr>
          <w:p w:rsidR="005F2ACD" w:rsidRPr="009E7875" w:rsidRDefault="005F2ACD" w:rsidP="00D93DC1">
            <w:pPr>
              <w:spacing w:after="0" w:line="240" w:lineRule="auto"/>
              <w:jc w:val="center"/>
              <w:rPr>
                <w:rFonts w:cstheme="minorHAnsi"/>
                <w:b/>
                <w:bCs/>
                <w:sz w:val="24"/>
                <w:szCs w:val="24"/>
              </w:rPr>
            </w:pPr>
            <w:r w:rsidRPr="009E7875">
              <w:rPr>
                <w:rFonts w:cstheme="minorHAnsi"/>
                <w:b/>
                <w:bCs/>
                <w:sz w:val="24"/>
                <w:szCs w:val="24"/>
              </w:rPr>
              <w:t>NM EN  13877-1</w:t>
            </w:r>
          </w:p>
        </w:tc>
      </w:tr>
      <w:tr w:rsidR="0043547B" w:rsidRPr="0043547B" w:rsidTr="00D93DC1">
        <w:trPr>
          <w:trHeight w:val="23"/>
          <w:jc w:val="center"/>
        </w:trPr>
        <w:tc>
          <w:tcPr>
            <w:tcW w:w="1838" w:type="dxa"/>
            <w:tcBorders>
              <w:top w:val="single" w:sz="18" w:space="0" w:color="auto"/>
              <w:left w:val="single" w:sz="18" w:space="0" w:color="auto"/>
              <w:bottom w:val="single" w:sz="4" w:space="0" w:color="auto"/>
              <w:right w:val="single" w:sz="4" w:space="0" w:color="auto"/>
            </w:tcBorders>
            <w:shd w:val="clear" w:color="auto" w:fill="FDFBA9"/>
            <w:vAlign w:val="center"/>
          </w:tcPr>
          <w:p w:rsidR="005F2ACD" w:rsidRPr="009E7875" w:rsidRDefault="005F2ACD" w:rsidP="00D93DC1">
            <w:pPr>
              <w:spacing w:after="0" w:line="240" w:lineRule="auto"/>
              <w:jc w:val="center"/>
              <w:rPr>
                <w:rFonts w:cstheme="minorHAnsi"/>
                <w:b/>
                <w:bCs/>
                <w:sz w:val="24"/>
                <w:szCs w:val="24"/>
              </w:rPr>
            </w:pPr>
            <w:r w:rsidRPr="009E7875">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DFBA9"/>
            <w:noWrap/>
            <w:vAlign w:val="center"/>
          </w:tcPr>
          <w:p w:rsidR="005F2ACD" w:rsidRPr="009E7875" w:rsidRDefault="005F2ACD" w:rsidP="00D93DC1">
            <w:pPr>
              <w:spacing w:after="0" w:line="240" w:lineRule="auto"/>
              <w:jc w:val="center"/>
              <w:rPr>
                <w:rFonts w:cstheme="minorHAnsi"/>
                <w:b/>
                <w:bCs/>
                <w:sz w:val="24"/>
                <w:szCs w:val="24"/>
              </w:rPr>
            </w:pPr>
            <w:r w:rsidRPr="009E7875">
              <w:rPr>
                <w:rFonts w:cstheme="minorHAnsi"/>
                <w:b/>
                <w:bCs/>
                <w:sz w:val="24"/>
                <w:szCs w:val="24"/>
              </w:rPr>
              <w:t xml:space="preserve">  EN  13877-1</w:t>
            </w:r>
          </w:p>
        </w:tc>
      </w:tr>
      <w:tr w:rsidR="0043547B" w:rsidRPr="0043547B" w:rsidTr="00D93DC1">
        <w:trPr>
          <w:trHeight w:val="434"/>
          <w:jc w:val="center"/>
        </w:trPr>
        <w:tc>
          <w:tcPr>
            <w:tcW w:w="1838" w:type="dxa"/>
            <w:tcBorders>
              <w:top w:val="single" w:sz="4" w:space="0" w:color="auto"/>
              <w:left w:val="single" w:sz="18" w:space="0" w:color="auto"/>
              <w:bottom w:val="single" w:sz="4" w:space="0" w:color="auto"/>
              <w:right w:val="single" w:sz="4" w:space="0" w:color="auto"/>
            </w:tcBorders>
            <w:shd w:val="clear" w:color="auto" w:fill="95B3D7" w:themeFill="accent1" w:themeFillTint="99"/>
            <w:vAlign w:val="center"/>
          </w:tcPr>
          <w:p w:rsidR="005F2ACD" w:rsidRPr="0043547B" w:rsidRDefault="005F2ACD" w:rsidP="00D93DC1">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000000" w:fill="FFFFFF"/>
            <w:noWrap/>
          </w:tcPr>
          <w:p w:rsidR="005F2ACD" w:rsidRPr="0043547B" w:rsidRDefault="005F2ACD" w:rsidP="00D93DC1">
            <w:pPr>
              <w:spacing w:after="0" w:line="240" w:lineRule="auto"/>
              <w:rPr>
                <w:rFonts w:cstheme="minorHAnsi"/>
                <w:sz w:val="24"/>
                <w:szCs w:val="24"/>
              </w:rPr>
            </w:pPr>
            <w:r w:rsidRPr="0043547B">
              <w:rPr>
                <w:rFonts w:cstheme="minorHAnsi"/>
                <w:sz w:val="24"/>
                <w:szCs w:val="24"/>
              </w:rPr>
              <w:t>Chaussées en béton - Partie 1 : Matériaux ; (IC 13.1.432)</w:t>
            </w:r>
          </w:p>
        </w:tc>
      </w:tr>
      <w:tr w:rsidR="0043547B" w:rsidRPr="0043547B" w:rsidTr="00D93DC1">
        <w:trPr>
          <w:trHeight w:val="807"/>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5F2ACD" w:rsidRPr="0043547B" w:rsidRDefault="005F2ACD" w:rsidP="00D93DC1">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000000" w:fill="FFFFFF"/>
            <w:noWrap/>
          </w:tcPr>
          <w:p w:rsidR="00D93DC1" w:rsidRDefault="005F2ACD" w:rsidP="00D93DC1">
            <w:pPr>
              <w:spacing w:after="0" w:line="240" w:lineRule="auto"/>
              <w:jc w:val="both"/>
              <w:rPr>
                <w:rFonts w:cstheme="minorHAnsi"/>
                <w:sz w:val="24"/>
                <w:szCs w:val="24"/>
              </w:rPr>
            </w:pPr>
            <w:r w:rsidRPr="0043547B">
              <w:rPr>
                <w:rFonts w:cstheme="minorHAnsi"/>
                <w:sz w:val="24"/>
                <w:szCs w:val="24"/>
              </w:rPr>
              <w:t>Cette Norme européenne spécifie les exigences concernant</w:t>
            </w:r>
            <w:r w:rsidR="00D93DC1">
              <w:rPr>
                <w:rFonts w:cstheme="minorHAnsi"/>
                <w:sz w:val="24"/>
                <w:szCs w:val="24"/>
              </w:rPr>
              <w:t> :</w:t>
            </w:r>
          </w:p>
          <w:p w:rsidR="00D93DC1" w:rsidRDefault="005F2ACD" w:rsidP="00D93DC1">
            <w:pPr>
              <w:spacing w:after="0" w:line="240" w:lineRule="auto"/>
              <w:jc w:val="both"/>
              <w:rPr>
                <w:rFonts w:cstheme="minorHAnsi"/>
                <w:sz w:val="24"/>
                <w:szCs w:val="24"/>
              </w:rPr>
            </w:pPr>
            <w:r w:rsidRPr="0043547B">
              <w:rPr>
                <w:rFonts w:cstheme="minorHAnsi"/>
                <w:sz w:val="24"/>
                <w:szCs w:val="24"/>
              </w:rPr>
              <w:t>— les constituants (béton et autres matériaux) des chaussées en béton,</w:t>
            </w:r>
            <w:r w:rsidRPr="0043547B">
              <w:rPr>
                <w:rFonts w:cstheme="minorHAnsi"/>
                <w:sz w:val="24"/>
                <w:szCs w:val="24"/>
              </w:rPr>
              <w:br/>
              <w:t>— les propriétés du béton frais et durci.</w:t>
            </w:r>
          </w:p>
          <w:p w:rsidR="005F2ACD" w:rsidRPr="0043547B" w:rsidRDefault="005F2ACD" w:rsidP="00D93DC1">
            <w:pPr>
              <w:spacing w:after="0" w:line="240" w:lineRule="auto"/>
              <w:jc w:val="both"/>
              <w:rPr>
                <w:rFonts w:cstheme="minorHAnsi"/>
                <w:sz w:val="24"/>
                <w:szCs w:val="24"/>
              </w:rPr>
            </w:pPr>
            <w:r w:rsidRPr="0043547B">
              <w:rPr>
                <w:rFonts w:cstheme="minorHAnsi"/>
                <w:sz w:val="24"/>
                <w:szCs w:val="24"/>
              </w:rPr>
              <w:t>Cette Norme européenne est applicable aux chaussées en béton coulé en place. Le béton compacté au rouleau n'est pas couvert par cette Norme européenne.</w:t>
            </w:r>
            <w:r w:rsidRPr="0043547B">
              <w:rPr>
                <w:rFonts w:cstheme="minorHAnsi"/>
                <w:sz w:val="24"/>
                <w:szCs w:val="24"/>
              </w:rPr>
              <w:br/>
              <w:t>Cette Norme européenne concerne les chaussées pour routes, autoroutes, aéroports, rues piétonnes, pistes</w:t>
            </w:r>
            <w:r w:rsidR="00F22FCF">
              <w:rPr>
                <w:rFonts w:cstheme="minorHAnsi"/>
                <w:sz w:val="24"/>
                <w:szCs w:val="24"/>
              </w:rPr>
              <w:t xml:space="preserve"> </w:t>
            </w:r>
            <w:r w:rsidRPr="0043547B">
              <w:rPr>
                <w:rFonts w:cstheme="minorHAnsi"/>
                <w:sz w:val="24"/>
                <w:szCs w:val="24"/>
              </w:rPr>
              <w:t>cyclables, zones de stockage et, en général, toutes les structures supportant une circulation.</w:t>
            </w:r>
          </w:p>
        </w:tc>
      </w:tr>
      <w:tr w:rsidR="0043547B" w:rsidRPr="0043547B" w:rsidTr="00D93DC1">
        <w:trPr>
          <w:trHeight w:val="23"/>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5F2ACD" w:rsidRPr="004442F3" w:rsidRDefault="005F2ACD" w:rsidP="00D93DC1">
            <w:pPr>
              <w:spacing w:after="0" w:line="240" w:lineRule="auto"/>
              <w:jc w:val="center"/>
              <w:rPr>
                <w:rFonts w:cstheme="minorHAnsi"/>
                <w:b/>
                <w:bCs/>
                <w:sz w:val="24"/>
                <w:szCs w:val="24"/>
              </w:rPr>
            </w:pPr>
            <w:r w:rsidRPr="004442F3">
              <w:rPr>
                <w:rFonts w:cstheme="minorHAnsi"/>
                <w:b/>
                <w:bCs/>
                <w:sz w:val="24"/>
                <w:szCs w:val="24"/>
              </w:rPr>
              <w:t>Code :</w:t>
            </w:r>
          </w:p>
        </w:tc>
        <w:tc>
          <w:tcPr>
            <w:tcW w:w="7938" w:type="dxa"/>
            <w:tcBorders>
              <w:left w:val="single" w:sz="4" w:space="0" w:color="auto"/>
              <w:bottom w:val="single" w:sz="18" w:space="0" w:color="auto"/>
              <w:right w:val="single" w:sz="18" w:space="0" w:color="auto"/>
            </w:tcBorders>
            <w:shd w:val="clear" w:color="auto" w:fill="C2D69B" w:themeFill="accent3" w:themeFillTint="99"/>
            <w:noWrap/>
          </w:tcPr>
          <w:p w:rsidR="005F2ACD" w:rsidRPr="004442F3" w:rsidRDefault="005F2ACD" w:rsidP="00D93DC1">
            <w:pPr>
              <w:spacing w:after="0" w:line="240" w:lineRule="auto"/>
              <w:jc w:val="center"/>
              <w:rPr>
                <w:rFonts w:cstheme="minorHAnsi"/>
                <w:b/>
                <w:bCs/>
                <w:sz w:val="24"/>
                <w:szCs w:val="24"/>
              </w:rPr>
            </w:pPr>
            <w:r w:rsidRPr="004442F3">
              <w:rPr>
                <w:rFonts w:cstheme="minorHAnsi"/>
                <w:b/>
                <w:bCs/>
                <w:sz w:val="24"/>
                <w:szCs w:val="24"/>
              </w:rPr>
              <w:t>NM EN  13877-2</w:t>
            </w:r>
          </w:p>
        </w:tc>
      </w:tr>
      <w:tr w:rsidR="0043547B" w:rsidRPr="0043547B" w:rsidTr="00D93DC1">
        <w:trPr>
          <w:trHeight w:val="23"/>
          <w:jc w:val="center"/>
        </w:trPr>
        <w:tc>
          <w:tcPr>
            <w:tcW w:w="1838" w:type="dxa"/>
            <w:tcBorders>
              <w:top w:val="single" w:sz="18" w:space="0" w:color="auto"/>
              <w:left w:val="single" w:sz="18" w:space="0" w:color="auto"/>
              <w:bottom w:val="single" w:sz="4" w:space="0" w:color="auto"/>
              <w:right w:val="single" w:sz="4" w:space="0" w:color="auto"/>
            </w:tcBorders>
            <w:shd w:val="clear" w:color="auto" w:fill="FDFBA9"/>
            <w:vAlign w:val="center"/>
          </w:tcPr>
          <w:p w:rsidR="005F2ACD" w:rsidRPr="0043547B" w:rsidRDefault="005F2ACD" w:rsidP="00D93DC1">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DFBA9"/>
            <w:noWrap/>
            <w:vAlign w:val="center"/>
          </w:tcPr>
          <w:p w:rsidR="005F2ACD" w:rsidRPr="004442F3" w:rsidRDefault="005F2ACD" w:rsidP="00D93DC1">
            <w:pPr>
              <w:spacing w:after="0" w:line="240" w:lineRule="auto"/>
              <w:jc w:val="center"/>
              <w:rPr>
                <w:rFonts w:cstheme="minorHAnsi"/>
                <w:b/>
                <w:bCs/>
                <w:sz w:val="24"/>
                <w:szCs w:val="24"/>
              </w:rPr>
            </w:pPr>
            <w:r w:rsidRPr="004442F3">
              <w:rPr>
                <w:rFonts w:cstheme="minorHAnsi"/>
                <w:b/>
                <w:bCs/>
                <w:sz w:val="24"/>
                <w:szCs w:val="24"/>
              </w:rPr>
              <w:t>EN  13877-2</w:t>
            </w:r>
          </w:p>
        </w:tc>
      </w:tr>
      <w:tr w:rsidR="0043547B" w:rsidRPr="0043547B" w:rsidTr="00D93DC1">
        <w:trPr>
          <w:trHeight w:val="525"/>
          <w:jc w:val="center"/>
        </w:trPr>
        <w:tc>
          <w:tcPr>
            <w:tcW w:w="1838" w:type="dxa"/>
            <w:tcBorders>
              <w:top w:val="single" w:sz="4" w:space="0" w:color="auto"/>
              <w:left w:val="single" w:sz="18" w:space="0" w:color="auto"/>
              <w:bottom w:val="single" w:sz="4" w:space="0" w:color="auto"/>
              <w:right w:val="single" w:sz="4" w:space="0" w:color="auto"/>
            </w:tcBorders>
            <w:shd w:val="clear" w:color="auto" w:fill="95B3D7" w:themeFill="accent1" w:themeFillTint="99"/>
            <w:vAlign w:val="center"/>
          </w:tcPr>
          <w:p w:rsidR="005F2ACD" w:rsidRPr="0043547B" w:rsidRDefault="005F2ACD" w:rsidP="00D93DC1">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000000" w:fill="FFFFFF"/>
            <w:noWrap/>
          </w:tcPr>
          <w:p w:rsidR="005F2ACD" w:rsidRPr="0043547B" w:rsidRDefault="005F2ACD" w:rsidP="00D93DC1">
            <w:pPr>
              <w:spacing w:after="0" w:line="240" w:lineRule="auto"/>
              <w:rPr>
                <w:rFonts w:cstheme="minorHAnsi"/>
                <w:sz w:val="24"/>
                <w:szCs w:val="24"/>
              </w:rPr>
            </w:pPr>
            <w:r w:rsidRPr="0043547B">
              <w:rPr>
                <w:rFonts w:cstheme="minorHAnsi"/>
                <w:sz w:val="24"/>
                <w:szCs w:val="24"/>
              </w:rPr>
              <w:t xml:space="preserve">Chaussées en béton - Partie 2 : Exigences fonctionnelles pour les chaussées en béton ; (IC 13.1.433)  </w:t>
            </w:r>
          </w:p>
        </w:tc>
      </w:tr>
      <w:tr w:rsidR="0043547B" w:rsidRPr="0043547B" w:rsidTr="00D93DC1">
        <w:trPr>
          <w:trHeight w:val="807"/>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5F2ACD" w:rsidRPr="0043547B" w:rsidRDefault="005F2ACD" w:rsidP="00D93DC1">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000000" w:fill="FFFFFF"/>
            <w:noWrap/>
          </w:tcPr>
          <w:p w:rsidR="00D93DC1" w:rsidRDefault="005F2ACD" w:rsidP="00D93DC1">
            <w:pPr>
              <w:spacing w:after="0" w:line="240" w:lineRule="auto"/>
              <w:jc w:val="both"/>
              <w:rPr>
                <w:rFonts w:cstheme="minorHAnsi"/>
                <w:sz w:val="24"/>
                <w:szCs w:val="24"/>
              </w:rPr>
            </w:pPr>
            <w:r w:rsidRPr="0043547B">
              <w:rPr>
                <w:rFonts w:cstheme="minorHAnsi"/>
                <w:sz w:val="24"/>
                <w:szCs w:val="24"/>
              </w:rPr>
              <w:t>Cette Norme européenne spécifie les exigences pour les chaussées en béton coulé en place et serré par vibration.</w:t>
            </w:r>
          </w:p>
          <w:p w:rsidR="00D93DC1" w:rsidRDefault="005F2ACD" w:rsidP="00D93DC1">
            <w:pPr>
              <w:spacing w:after="0" w:line="240" w:lineRule="auto"/>
              <w:jc w:val="both"/>
              <w:rPr>
                <w:rFonts w:cstheme="minorHAnsi"/>
                <w:sz w:val="24"/>
                <w:szCs w:val="24"/>
              </w:rPr>
            </w:pPr>
            <w:r w:rsidRPr="0043547B">
              <w:rPr>
                <w:rFonts w:cstheme="minorHAnsi"/>
                <w:sz w:val="24"/>
                <w:szCs w:val="24"/>
              </w:rPr>
              <w:t>Cette Norme européenne couvre également les couches de fondation en béton ainsi que les couches de roulement en béton sur les ponts.</w:t>
            </w:r>
          </w:p>
          <w:p w:rsidR="005F2ACD" w:rsidRPr="0043547B" w:rsidRDefault="005F2ACD" w:rsidP="00D93DC1">
            <w:pPr>
              <w:spacing w:after="0" w:line="240" w:lineRule="auto"/>
              <w:jc w:val="both"/>
              <w:rPr>
                <w:rFonts w:cstheme="minorHAnsi"/>
                <w:sz w:val="24"/>
                <w:szCs w:val="24"/>
              </w:rPr>
            </w:pPr>
            <w:r w:rsidRPr="0043547B">
              <w:rPr>
                <w:rFonts w:cstheme="minorHAnsi"/>
                <w:sz w:val="24"/>
                <w:szCs w:val="24"/>
              </w:rPr>
              <w:t>Cette Norme européenne concerne les chaussées en béton des routes, aéroports, rues piétonnes, pistes cyclables, zones de stockage et, en général, toutes les structures supportant une circulation.</w:t>
            </w:r>
          </w:p>
        </w:tc>
      </w:tr>
      <w:tr w:rsidR="0043547B" w:rsidRPr="0043547B" w:rsidTr="00D93DC1">
        <w:trPr>
          <w:trHeight w:val="23"/>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5F2ACD" w:rsidRPr="0043547B" w:rsidRDefault="005F2ACD" w:rsidP="00D93DC1">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left w:val="single" w:sz="4" w:space="0" w:color="auto"/>
              <w:bottom w:val="single" w:sz="18" w:space="0" w:color="auto"/>
              <w:right w:val="single" w:sz="18" w:space="0" w:color="auto"/>
            </w:tcBorders>
            <w:shd w:val="clear" w:color="auto" w:fill="C2D69B" w:themeFill="accent3" w:themeFillTint="99"/>
            <w:noWrap/>
          </w:tcPr>
          <w:p w:rsidR="005F2ACD" w:rsidRPr="004442F3" w:rsidRDefault="005F2ACD" w:rsidP="00D93DC1">
            <w:pPr>
              <w:spacing w:after="0" w:line="240" w:lineRule="auto"/>
              <w:jc w:val="center"/>
              <w:rPr>
                <w:rFonts w:cstheme="minorHAnsi"/>
                <w:b/>
                <w:bCs/>
                <w:sz w:val="24"/>
                <w:szCs w:val="24"/>
              </w:rPr>
            </w:pPr>
            <w:r w:rsidRPr="004442F3">
              <w:rPr>
                <w:rFonts w:cstheme="minorHAnsi"/>
                <w:b/>
                <w:bCs/>
                <w:sz w:val="24"/>
                <w:szCs w:val="24"/>
              </w:rPr>
              <w:t>NM EN  13877-3</w:t>
            </w:r>
          </w:p>
        </w:tc>
      </w:tr>
      <w:tr w:rsidR="0043547B" w:rsidRPr="0043547B" w:rsidTr="00D93DC1">
        <w:trPr>
          <w:trHeight w:val="23"/>
          <w:jc w:val="center"/>
        </w:trPr>
        <w:tc>
          <w:tcPr>
            <w:tcW w:w="1838" w:type="dxa"/>
            <w:tcBorders>
              <w:top w:val="single" w:sz="18" w:space="0" w:color="auto"/>
              <w:left w:val="single" w:sz="18" w:space="0" w:color="auto"/>
              <w:bottom w:val="single" w:sz="4" w:space="0" w:color="auto"/>
              <w:right w:val="single" w:sz="4" w:space="0" w:color="auto"/>
            </w:tcBorders>
            <w:shd w:val="clear" w:color="auto" w:fill="FDFBA9"/>
            <w:vAlign w:val="center"/>
          </w:tcPr>
          <w:p w:rsidR="005F2ACD" w:rsidRPr="004442F3" w:rsidRDefault="005F2ACD" w:rsidP="00D93DC1">
            <w:pPr>
              <w:spacing w:after="0" w:line="240" w:lineRule="auto"/>
              <w:jc w:val="center"/>
              <w:rPr>
                <w:rFonts w:cstheme="minorHAnsi"/>
                <w:b/>
                <w:bCs/>
                <w:sz w:val="24"/>
                <w:szCs w:val="24"/>
              </w:rPr>
            </w:pPr>
            <w:r w:rsidRPr="004442F3">
              <w:rPr>
                <w:rFonts w:cstheme="minorHAnsi"/>
                <w:b/>
                <w:bCs/>
                <w:sz w:val="24"/>
                <w:szCs w:val="24"/>
              </w:rPr>
              <w:lastRenderedPageBreak/>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DFBA9"/>
            <w:noWrap/>
            <w:vAlign w:val="center"/>
          </w:tcPr>
          <w:p w:rsidR="005F2ACD" w:rsidRPr="004442F3" w:rsidRDefault="005F2ACD" w:rsidP="00D93DC1">
            <w:pPr>
              <w:spacing w:after="0" w:line="240" w:lineRule="auto"/>
              <w:jc w:val="center"/>
              <w:rPr>
                <w:rFonts w:cstheme="minorHAnsi"/>
                <w:b/>
                <w:bCs/>
                <w:sz w:val="24"/>
                <w:szCs w:val="24"/>
              </w:rPr>
            </w:pPr>
            <w:r w:rsidRPr="004442F3">
              <w:rPr>
                <w:rFonts w:cstheme="minorHAnsi"/>
                <w:b/>
                <w:bCs/>
                <w:sz w:val="24"/>
                <w:szCs w:val="24"/>
              </w:rPr>
              <w:t>EN  13877-3</w:t>
            </w:r>
          </w:p>
        </w:tc>
      </w:tr>
      <w:tr w:rsidR="0043547B" w:rsidRPr="0043547B" w:rsidTr="00D93DC1">
        <w:trPr>
          <w:trHeight w:val="587"/>
          <w:jc w:val="center"/>
        </w:trPr>
        <w:tc>
          <w:tcPr>
            <w:tcW w:w="1838" w:type="dxa"/>
            <w:tcBorders>
              <w:top w:val="single" w:sz="4" w:space="0" w:color="auto"/>
              <w:left w:val="single" w:sz="18" w:space="0" w:color="auto"/>
              <w:bottom w:val="single" w:sz="4" w:space="0" w:color="auto"/>
              <w:right w:val="single" w:sz="4" w:space="0" w:color="auto"/>
            </w:tcBorders>
            <w:shd w:val="clear" w:color="auto" w:fill="95B3D7" w:themeFill="accent1" w:themeFillTint="99"/>
            <w:vAlign w:val="center"/>
          </w:tcPr>
          <w:p w:rsidR="005F2ACD" w:rsidRPr="0043547B" w:rsidRDefault="005F2ACD" w:rsidP="00D93DC1">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000000" w:fill="FFFFFF"/>
            <w:noWrap/>
          </w:tcPr>
          <w:p w:rsidR="005F2ACD" w:rsidRPr="0043547B" w:rsidRDefault="005F2ACD" w:rsidP="00D93DC1">
            <w:pPr>
              <w:spacing w:after="0" w:line="240" w:lineRule="auto"/>
              <w:jc w:val="both"/>
              <w:rPr>
                <w:rFonts w:cstheme="minorHAnsi"/>
                <w:sz w:val="24"/>
                <w:szCs w:val="24"/>
              </w:rPr>
            </w:pPr>
            <w:r w:rsidRPr="0043547B">
              <w:rPr>
                <w:rFonts w:cstheme="minorHAnsi"/>
                <w:sz w:val="24"/>
                <w:szCs w:val="24"/>
              </w:rPr>
              <w:t>Chaussées en béton - Partie 3 : Spécifications relatives aux goujons à utiliser dans les chaussées en béton ; (IC 13.1.434)</w:t>
            </w:r>
          </w:p>
        </w:tc>
      </w:tr>
      <w:tr w:rsidR="0043547B" w:rsidRPr="0043547B" w:rsidTr="00D93DC1">
        <w:trPr>
          <w:trHeight w:val="807"/>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5F2ACD" w:rsidRPr="0043547B" w:rsidRDefault="005F2ACD" w:rsidP="00D93DC1">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000000" w:fill="FFFFFF"/>
            <w:noWrap/>
          </w:tcPr>
          <w:p w:rsidR="005F2ACD" w:rsidRPr="0043547B" w:rsidRDefault="005F2ACD" w:rsidP="00D93DC1">
            <w:pPr>
              <w:spacing w:after="0" w:line="240" w:lineRule="auto"/>
              <w:jc w:val="both"/>
              <w:rPr>
                <w:rFonts w:cstheme="minorHAnsi"/>
                <w:sz w:val="24"/>
                <w:szCs w:val="24"/>
              </w:rPr>
            </w:pPr>
            <w:r w:rsidRPr="0043547B">
              <w:rPr>
                <w:rFonts w:cstheme="minorHAnsi"/>
                <w:sz w:val="24"/>
                <w:szCs w:val="24"/>
              </w:rPr>
              <w:t>La présente norme européenne spécifie les exigences relatives aux goujons pour chaussées en béton coulées</w:t>
            </w:r>
            <w:r w:rsidR="00F22FCF">
              <w:rPr>
                <w:rFonts w:cstheme="minorHAnsi"/>
                <w:sz w:val="24"/>
                <w:szCs w:val="24"/>
              </w:rPr>
              <w:t xml:space="preserve"> </w:t>
            </w:r>
            <w:r w:rsidRPr="0043547B">
              <w:rPr>
                <w:rFonts w:cstheme="minorHAnsi"/>
                <w:sz w:val="24"/>
                <w:szCs w:val="24"/>
              </w:rPr>
              <w:t>«in situ», pour routes, pistes d’aéroport et autres voies de circulation.</w:t>
            </w:r>
          </w:p>
        </w:tc>
      </w:tr>
      <w:tr w:rsidR="0043547B" w:rsidRPr="0043547B" w:rsidTr="00D93DC1">
        <w:trPr>
          <w:trHeight w:val="33"/>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5F2ACD" w:rsidRPr="004442F3" w:rsidRDefault="005F2ACD" w:rsidP="00D93DC1">
            <w:pPr>
              <w:spacing w:after="0" w:line="240" w:lineRule="auto"/>
              <w:jc w:val="center"/>
              <w:rPr>
                <w:rFonts w:cstheme="minorHAnsi"/>
                <w:b/>
                <w:bCs/>
                <w:sz w:val="24"/>
                <w:szCs w:val="24"/>
              </w:rPr>
            </w:pPr>
            <w:r w:rsidRPr="004442F3">
              <w:rPr>
                <w:rFonts w:cstheme="minorHAnsi"/>
                <w:b/>
                <w:bCs/>
                <w:sz w:val="24"/>
                <w:szCs w:val="24"/>
              </w:rPr>
              <w:t>Code :</w:t>
            </w:r>
          </w:p>
        </w:tc>
        <w:tc>
          <w:tcPr>
            <w:tcW w:w="7938" w:type="dxa"/>
            <w:tcBorders>
              <w:left w:val="single" w:sz="4" w:space="0" w:color="auto"/>
              <w:bottom w:val="single" w:sz="18" w:space="0" w:color="auto"/>
              <w:right w:val="single" w:sz="18" w:space="0" w:color="auto"/>
            </w:tcBorders>
            <w:shd w:val="clear" w:color="auto" w:fill="C2D69B" w:themeFill="accent3" w:themeFillTint="99"/>
            <w:noWrap/>
          </w:tcPr>
          <w:p w:rsidR="005F2ACD" w:rsidRPr="004442F3" w:rsidRDefault="005A2F30" w:rsidP="00D93DC1">
            <w:pPr>
              <w:spacing w:after="0" w:line="240" w:lineRule="auto"/>
              <w:jc w:val="center"/>
              <w:rPr>
                <w:rFonts w:cstheme="minorHAnsi"/>
                <w:b/>
                <w:bCs/>
                <w:sz w:val="24"/>
                <w:szCs w:val="24"/>
              </w:rPr>
            </w:pPr>
            <w:r w:rsidRPr="004442F3">
              <w:rPr>
                <w:rFonts w:cstheme="minorHAnsi"/>
                <w:b/>
                <w:bCs/>
                <w:sz w:val="24"/>
                <w:szCs w:val="24"/>
              </w:rPr>
              <w:t>NM</w:t>
            </w:r>
            <w:r w:rsidR="004442F3" w:rsidRPr="004442F3">
              <w:rPr>
                <w:rFonts w:cstheme="minorHAnsi"/>
                <w:b/>
                <w:bCs/>
                <w:sz w:val="24"/>
                <w:szCs w:val="24"/>
              </w:rPr>
              <w:t xml:space="preserve"> </w:t>
            </w:r>
            <w:r w:rsidR="005F2ACD" w:rsidRPr="004442F3">
              <w:rPr>
                <w:rFonts w:cstheme="minorHAnsi"/>
                <w:b/>
                <w:bCs/>
                <w:sz w:val="24"/>
                <w:szCs w:val="24"/>
              </w:rPr>
              <w:t>EN  14227-2</w:t>
            </w:r>
          </w:p>
        </w:tc>
      </w:tr>
      <w:tr w:rsidR="0043547B" w:rsidRPr="0043547B" w:rsidTr="00D93DC1">
        <w:trPr>
          <w:trHeight w:val="23"/>
          <w:jc w:val="center"/>
        </w:trPr>
        <w:tc>
          <w:tcPr>
            <w:tcW w:w="1838" w:type="dxa"/>
            <w:tcBorders>
              <w:top w:val="single" w:sz="18" w:space="0" w:color="auto"/>
              <w:left w:val="single" w:sz="18" w:space="0" w:color="auto"/>
              <w:bottom w:val="single" w:sz="4" w:space="0" w:color="auto"/>
              <w:right w:val="single" w:sz="4" w:space="0" w:color="auto"/>
            </w:tcBorders>
            <w:shd w:val="clear" w:color="auto" w:fill="FDFBA9"/>
            <w:vAlign w:val="center"/>
          </w:tcPr>
          <w:p w:rsidR="005F2ACD" w:rsidRPr="004442F3" w:rsidRDefault="005F2ACD" w:rsidP="00D93DC1">
            <w:pPr>
              <w:spacing w:after="0" w:line="240" w:lineRule="auto"/>
              <w:jc w:val="center"/>
              <w:rPr>
                <w:rFonts w:cstheme="minorHAnsi"/>
                <w:b/>
                <w:bCs/>
                <w:sz w:val="24"/>
                <w:szCs w:val="24"/>
              </w:rPr>
            </w:pPr>
            <w:r w:rsidRPr="004442F3">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DFBA9"/>
            <w:noWrap/>
            <w:vAlign w:val="center"/>
          </w:tcPr>
          <w:p w:rsidR="005F2ACD" w:rsidRPr="004442F3" w:rsidRDefault="005F2ACD" w:rsidP="00D93DC1">
            <w:pPr>
              <w:spacing w:after="0" w:line="240" w:lineRule="auto"/>
              <w:jc w:val="center"/>
              <w:rPr>
                <w:rFonts w:cstheme="minorHAnsi"/>
                <w:b/>
                <w:bCs/>
                <w:sz w:val="24"/>
                <w:szCs w:val="24"/>
              </w:rPr>
            </w:pPr>
            <w:r w:rsidRPr="004442F3">
              <w:rPr>
                <w:rFonts w:cstheme="minorHAnsi"/>
                <w:b/>
                <w:bCs/>
                <w:sz w:val="24"/>
                <w:szCs w:val="24"/>
              </w:rPr>
              <w:t>EN  14227-2</w:t>
            </w:r>
          </w:p>
        </w:tc>
      </w:tr>
      <w:tr w:rsidR="0043547B" w:rsidRPr="0043547B" w:rsidTr="00D93DC1">
        <w:trPr>
          <w:trHeight w:val="582"/>
          <w:jc w:val="center"/>
        </w:trPr>
        <w:tc>
          <w:tcPr>
            <w:tcW w:w="1838" w:type="dxa"/>
            <w:tcBorders>
              <w:top w:val="single" w:sz="4" w:space="0" w:color="auto"/>
              <w:left w:val="single" w:sz="18" w:space="0" w:color="auto"/>
              <w:bottom w:val="single" w:sz="4" w:space="0" w:color="auto"/>
              <w:right w:val="single" w:sz="4" w:space="0" w:color="auto"/>
            </w:tcBorders>
            <w:shd w:val="clear" w:color="auto" w:fill="95B3D7" w:themeFill="accent1" w:themeFillTint="99"/>
            <w:vAlign w:val="center"/>
          </w:tcPr>
          <w:p w:rsidR="005F2ACD" w:rsidRPr="0043547B" w:rsidRDefault="005F2ACD" w:rsidP="00D93DC1">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000000" w:fill="FFFFFF"/>
            <w:noWrap/>
          </w:tcPr>
          <w:p w:rsidR="005F2ACD" w:rsidRPr="0043547B" w:rsidRDefault="005F2ACD" w:rsidP="00D93DC1">
            <w:pPr>
              <w:spacing w:after="0" w:line="240" w:lineRule="auto"/>
              <w:rPr>
                <w:rFonts w:cstheme="minorHAnsi"/>
                <w:sz w:val="24"/>
                <w:szCs w:val="24"/>
              </w:rPr>
            </w:pPr>
            <w:r w:rsidRPr="0043547B">
              <w:rPr>
                <w:rFonts w:cstheme="minorHAnsi"/>
                <w:sz w:val="24"/>
                <w:szCs w:val="24"/>
              </w:rPr>
              <w:t xml:space="preserve">Mélanges traités aux liants hydrauliques - Spécifications - Partie 2 : mélanges granulaires traités au laitier: (IC 13.1.420)  </w:t>
            </w:r>
          </w:p>
        </w:tc>
      </w:tr>
      <w:tr w:rsidR="0043547B" w:rsidRPr="0043547B" w:rsidTr="00D93DC1">
        <w:trPr>
          <w:trHeight w:val="241"/>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5F2ACD" w:rsidRPr="0043547B" w:rsidRDefault="005F2ACD" w:rsidP="00D93DC1">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000000" w:fill="FFFFFF"/>
            <w:noWrap/>
          </w:tcPr>
          <w:p w:rsidR="005F2ACD" w:rsidRPr="0043547B" w:rsidRDefault="005F2ACD" w:rsidP="00D93DC1">
            <w:pPr>
              <w:spacing w:after="0" w:line="240" w:lineRule="auto"/>
              <w:jc w:val="both"/>
              <w:rPr>
                <w:rFonts w:cstheme="minorHAnsi"/>
                <w:sz w:val="24"/>
                <w:szCs w:val="24"/>
              </w:rPr>
            </w:pPr>
            <w:r w:rsidRPr="0043547B">
              <w:rPr>
                <w:rFonts w:cstheme="minorHAnsi"/>
                <w:sz w:val="24"/>
                <w:szCs w:val="24"/>
              </w:rPr>
              <w:t>La présente Norme européenne spécifie les mélanges granulaires traités au laitier pour les routes, les aéroports et autres zones de circulation, et précise les exigences relatives à leurs constituants, à leur composition et à leur classification selon les performances mesurées en laboratoire. Dans la présente Norme européenne, le laitier se rapporte au laitier de l'industrie du fer et de l'acier.</w:t>
            </w:r>
          </w:p>
        </w:tc>
      </w:tr>
      <w:tr w:rsidR="0043547B" w:rsidRPr="0043547B" w:rsidTr="00D93DC1">
        <w:trPr>
          <w:trHeight w:val="23"/>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5F2ACD" w:rsidRPr="004442F3" w:rsidRDefault="005F2ACD" w:rsidP="00D93DC1">
            <w:pPr>
              <w:spacing w:after="0" w:line="240" w:lineRule="auto"/>
              <w:jc w:val="center"/>
              <w:rPr>
                <w:rFonts w:cstheme="minorHAnsi"/>
                <w:b/>
                <w:bCs/>
                <w:sz w:val="24"/>
                <w:szCs w:val="24"/>
              </w:rPr>
            </w:pPr>
            <w:r w:rsidRPr="004442F3">
              <w:rPr>
                <w:rFonts w:cstheme="minorHAnsi"/>
                <w:b/>
                <w:bCs/>
                <w:sz w:val="24"/>
                <w:szCs w:val="24"/>
              </w:rPr>
              <w:t>Code :</w:t>
            </w:r>
          </w:p>
        </w:tc>
        <w:tc>
          <w:tcPr>
            <w:tcW w:w="7938" w:type="dxa"/>
            <w:tcBorders>
              <w:left w:val="single" w:sz="4" w:space="0" w:color="auto"/>
              <w:bottom w:val="single" w:sz="18" w:space="0" w:color="auto"/>
              <w:right w:val="single" w:sz="18" w:space="0" w:color="auto"/>
            </w:tcBorders>
            <w:shd w:val="clear" w:color="auto" w:fill="C2D69B" w:themeFill="accent3" w:themeFillTint="99"/>
            <w:noWrap/>
          </w:tcPr>
          <w:p w:rsidR="005F2ACD" w:rsidRPr="004442F3" w:rsidRDefault="005A2F30" w:rsidP="00D93DC1">
            <w:pPr>
              <w:spacing w:after="0" w:line="240" w:lineRule="auto"/>
              <w:jc w:val="center"/>
              <w:rPr>
                <w:rFonts w:cstheme="minorHAnsi"/>
                <w:b/>
                <w:bCs/>
                <w:sz w:val="24"/>
                <w:szCs w:val="24"/>
              </w:rPr>
            </w:pPr>
            <w:r w:rsidRPr="004442F3">
              <w:rPr>
                <w:rFonts w:cstheme="minorHAnsi"/>
                <w:b/>
                <w:bCs/>
                <w:sz w:val="24"/>
                <w:szCs w:val="24"/>
              </w:rPr>
              <w:t>NM</w:t>
            </w:r>
            <w:r w:rsidR="004442F3">
              <w:rPr>
                <w:rFonts w:cstheme="minorHAnsi"/>
                <w:b/>
                <w:bCs/>
                <w:sz w:val="24"/>
                <w:szCs w:val="24"/>
              </w:rPr>
              <w:t xml:space="preserve"> </w:t>
            </w:r>
            <w:r w:rsidR="005F2ACD" w:rsidRPr="004442F3">
              <w:rPr>
                <w:rFonts w:cstheme="minorHAnsi"/>
                <w:b/>
                <w:bCs/>
                <w:sz w:val="24"/>
                <w:szCs w:val="24"/>
              </w:rPr>
              <w:t>EN  14227-3</w:t>
            </w:r>
          </w:p>
        </w:tc>
      </w:tr>
      <w:tr w:rsidR="0043547B" w:rsidRPr="0043547B" w:rsidTr="00D93DC1">
        <w:trPr>
          <w:trHeight w:val="142"/>
          <w:jc w:val="center"/>
        </w:trPr>
        <w:tc>
          <w:tcPr>
            <w:tcW w:w="1838" w:type="dxa"/>
            <w:tcBorders>
              <w:top w:val="single" w:sz="18" w:space="0" w:color="auto"/>
              <w:left w:val="single" w:sz="18" w:space="0" w:color="auto"/>
              <w:bottom w:val="single" w:sz="4" w:space="0" w:color="auto"/>
              <w:right w:val="single" w:sz="4" w:space="0" w:color="auto"/>
            </w:tcBorders>
            <w:shd w:val="clear" w:color="auto" w:fill="FDFBA9"/>
            <w:vAlign w:val="center"/>
          </w:tcPr>
          <w:p w:rsidR="005F2ACD" w:rsidRPr="004442F3" w:rsidRDefault="005F2ACD" w:rsidP="00D93DC1">
            <w:pPr>
              <w:spacing w:after="0" w:line="240" w:lineRule="auto"/>
              <w:jc w:val="center"/>
              <w:rPr>
                <w:rFonts w:cstheme="minorHAnsi"/>
                <w:b/>
                <w:bCs/>
                <w:sz w:val="24"/>
                <w:szCs w:val="24"/>
              </w:rPr>
            </w:pPr>
            <w:r w:rsidRPr="004442F3">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DFBA9"/>
            <w:noWrap/>
            <w:vAlign w:val="center"/>
          </w:tcPr>
          <w:p w:rsidR="005F2ACD" w:rsidRPr="004442F3" w:rsidRDefault="005F2ACD" w:rsidP="00D93DC1">
            <w:pPr>
              <w:spacing w:after="0" w:line="240" w:lineRule="auto"/>
              <w:jc w:val="center"/>
              <w:rPr>
                <w:rFonts w:cstheme="minorHAnsi"/>
                <w:b/>
                <w:bCs/>
                <w:sz w:val="24"/>
                <w:szCs w:val="24"/>
              </w:rPr>
            </w:pPr>
            <w:r w:rsidRPr="004442F3">
              <w:rPr>
                <w:rFonts w:cstheme="minorHAnsi"/>
                <w:b/>
                <w:bCs/>
                <w:sz w:val="24"/>
                <w:szCs w:val="24"/>
              </w:rPr>
              <w:t xml:space="preserve"> EN  14227-3</w:t>
            </w:r>
          </w:p>
        </w:tc>
      </w:tr>
      <w:tr w:rsidR="0043547B" w:rsidRPr="0043547B" w:rsidTr="00D93DC1">
        <w:trPr>
          <w:trHeight w:val="629"/>
          <w:jc w:val="center"/>
        </w:trPr>
        <w:tc>
          <w:tcPr>
            <w:tcW w:w="1838" w:type="dxa"/>
            <w:tcBorders>
              <w:top w:val="single" w:sz="4" w:space="0" w:color="auto"/>
              <w:left w:val="single" w:sz="18" w:space="0" w:color="auto"/>
              <w:bottom w:val="single" w:sz="4" w:space="0" w:color="auto"/>
              <w:right w:val="single" w:sz="4" w:space="0" w:color="auto"/>
            </w:tcBorders>
            <w:shd w:val="clear" w:color="auto" w:fill="95B3D7" w:themeFill="accent1" w:themeFillTint="99"/>
            <w:vAlign w:val="center"/>
          </w:tcPr>
          <w:p w:rsidR="005F2ACD" w:rsidRPr="0043547B" w:rsidRDefault="005F2ACD" w:rsidP="00D93DC1">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000000" w:fill="FFFFFF"/>
            <w:noWrap/>
          </w:tcPr>
          <w:p w:rsidR="005F2ACD" w:rsidRPr="0043547B" w:rsidRDefault="005F2ACD" w:rsidP="00D93DC1">
            <w:pPr>
              <w:spacing w:after="0" w:line="240" w:lineRule="auto"/>
              <w:rPr>
                <w:rFonts w:cstheme="minorHAnsi"/>
                <w:sz w:val="24"/>
                <w:szCs w:val="24"/>
              </w:rPr>
            </w:pPr>
            <w:r w:rsidRPr="0043547B">
              <w:rPr>
                <w:rFonts w:cstheme="minorHAnsi"/>
                <w:sz w:val="24"/>
                <w:szCs w:val="24"/>
              </w:rPr>
              <w:t xml:space="preserve">Mélanges traités aux liants hydrauliques - Spécifications - Partie 3 : mélanges granulaires traités à la cendre volante: (IC 13.1.421)  </w:t>
            </w:r>
          </w:p>
        </w:tc>
      </w:tr>
      <w:tr w:rsidR="0043547B" w:rsidRPr="0043547B" w:rsidTr="00D93DC1">
        <w:trPr>
          <w:trHeight w:val="807"/>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5F2ACD" w:rsidRPr="0043547B" w:rsidRDefault="005F2ACD" w:rsidP="00D93DC1">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000000" w:fill="FFFFFF"/>
            <w:noWrap/>
          </w:tcPr>
          <w:p w:rsidR="00D93DC1" w:rsidRDefault="005F2ACD" w:rsidP="00D93DC1">
            <w:pPr>
              <w:spacing w:after="0" w:line="240" w:lineRule="auto"/>
              <w:jc w:val="both"/>
              <w:rPr>
                <w:rFonts w:cstheme="minorHAnsi"/>
                <w:sz w:val="24"/>
                <w:szCs w:val="24"/>
              </w:rPr>
            </w:pPr>
            <w:r w:rsidRPr="0043547B">
              <w:rPr>
                <w:rFonts w:cstheme="minorHAnsi"/>
                <w:sz w:val="24"/>
                <w:szCs w:val="24"/>
              </w:rPr>
              <w:t>La présente Norme européenne spécifie les mélanges granulaires traités à la cendre volante pour les routes, les aéroports et autres zones de circulation, et précise les exigences relatives à leurs constituants, à leur composition et à leur classification selon les performances mesurées en laboratoire.</w:t>
            </w:r>
          </w:p>
          <w:p w:rsidR="005F2ACD" w:rsidRPr="0043547B" w:rsidRDefault="005F2ACD" w:rsidP="00D93DC1">
            <w:pPr>
              <w:spacing w:after="0" w:line="240" w:lineRule="auto"/>
              <w:jc w:val="both"/>
              <w:rPr>
                <w:rFonts w:cstheme="minorHAnsi"/>
                <w:sz w:val="24"/>
                <w:szCs w:val="24"/>
              </w:rPr>
            </w:pPr>
            <w:r w:rsidRPr="0043547B">
              <w:rPr>
                <w:rFonts w:cstheme="minorHAnsi"/>
                <w:sz w:val="24"/>
                <w:szCs w:val="24"/>
              </w:rPr>
              <w:t>Dans la présente Norme européenne, le terme « cendre volante » désigne la cendre volante siliceuse ou calcaire, conforme à l'EN 14227-4. Lorsque la cendre volante fait partie d’un ciment conforme à l'EN 197-1 ou d’un liant hydraulique routier conforme aux EN 13282-1 et EN 13282-2, il convient de se référer respectivement à l'EN 14227-1 ou à l'EN 14227-5.</w:t>
            </w:r>
          </w:p>
        </w:tc>
      </w:tr>
      <w:tr w:rsidR="0043547B" w:rsidRPr="0043547B" w:rsidTr="00D93DC1">
        <w:trPr>
          <w:trHeight w:val="23"/>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5F2ACD" w:rsidRPr="004442F3" w:rsidRDefault="005F2ACD" w:rsidP="00D93DC1">
            <w:pPr>
              <w:spacing w:after="0" w:line="240" w:lineRule="auto"/>
              <w:jc w:val="center"/>
              <w:rPr>
                <w:rFonts w:cstheme="minorHAnsi"/>
                <w:b/>
                <w:bCs/>
                <w:sz w:val="24"/>
                <w:szCs w:val="24"/>
              </w:rPr>
            </w:pPr>
            <w:r w:rsidRPr="004442F3">
              <w:rPr>
                <w:rFonts w:cstheme="minorHAnsi"/>
                <w:b/>
                <w:bCs/>
                <w:sz w:val="24"/>
                <w:szCs w:val="24"/>
              </w:rPr>
              <w:t>Code :</w:t>
            </w:r>
          </w:p>
        </w:tc>
        <w:tc>
          <w:tcPr>
            <w:tcW w:w="7938" w:type="dxa"/>
            <w:tcBorders>
              <w:left w:val="single" w:sz="4" w:space="0" w:color="auto"/>
              <w:bottom w:val="single" w:sz="18" w:space="0" w:color="auto"/>
              <w:right w:val="single" w:sz="18" w:space="0" w:color="auto"/>
            </w:tcBorders>
            <w:shd w:val="clear" w:color="auto" w:fill="C2D69B" w:themeFill="accent3" w:themeFillTint="99"/>
            <w:noWrap/>
          </w:tcPr>
          <w:p w:rsidR="005F2ACD" w:rsidRPr="004442F3" w:rsidRDefault="005A2F30" w:rsidP="00D93DC1">
            <w:pPr>
              <w:spacing w:after="0" w:line="240" w:lineRule="auto"/>
              <w:jc w:val="center"/>
              <w:rPr>
                <w:rFonts w:cstheme="minorHAnsi"/>
                <w:b/>
                <w:bCs/>
                <w:sz w:val="24"/>
                <w:szCs w:val="24"/>
              </w:rPr>
            </w:pPr>
            <w:r w:rsidRPr="004442F3">
              <w:rPr>
                <w:rFonts w:cstheme="minorHAnsi"/>
                <w:b/>
                <w:bCs/>
                <w:sz w:val="24"/>
                <w:szCs w:val="24"/>
              </w:rPr>
              <w:t>NM</w:t>
            </w:r>
            <w:r w:rsidR="004442F3" w:rsidRPr="004442F3">
              <w:rPr>
                <w:rFonts w:cstheme="minorHAnsi"/>
                <w:b/>
                <w:bCs/>
                <w:sz w:val="24"/>
                <w:szCs w:val="24"/>
              </w:rPr>
              <w:t xml:space="preserve"> </w:t>
            </w:r>
            <w:r w:rsidR="005F2ACD" w:rsidRPr="004442F3">
              <w:rPr>
                <w:rFonts w:cstheme="minorHAnsi"/>
                <w:b/>
                <w:bCs/>
                <w:sz w:val="24"/>
                <w:szCs w:val="24"/>
              </w:rPr>
              <w:t>EN  14227-4</w:t>
            </w:r>
          </w:p>
        </w:tc>
      </w:tr>
      <w:tr w:rsidR="0043547B" w:rsidRPr="0043547B" w:rsidTr="00D93DC1">
        <w:trPr>
          <w:trHeight w:val="23"/>
          <w:jc w:val="center"/>
        </w:trPr>
        <w:tc>
          <w:tcPr>
            <w:tcW w:w="1838" w:type="dxa"/>
            <w:tcBorders>
              <w:top w:val="single" w:sz="18" w:space="0" w:color="auto"/>
              <w:left w:val="single" w:sz="18" w:space="0" w:color="auto"/>
              <w:bottom w:val="single" w:sz="4" w:space="0" w:color="auto"/>
              <w:right w:val="single" w:sz="4" w:space="0" w:color="auto"/>
            </w:tcBorders>
            <w:shd w:val="clear" w:color="auto" w:fill="FDFBA9"/>
            <w:vAlign w:val="center"/>
          </w:tcPr>
          <w:p w:rsidR="005F2ACD" w:rsidRPr="004442F3" w:rsidRDefault="005F2ACD" w:rsidP="00D93DC1">
            <w:pPr>
              <w:spacing w:after="0" w:line="240" w:lineRule="auto"/>
              <w:jc w:val="center"/>
              <w:rPr>
                <w:rFonts w:cstheme="minorHAnsi"/>
                <w:b/>
                <w:bCs/>
                <w:sz w:val="24"/>
                <w:szCs w:val="24"/>
              </w:rPr>
            </w:pPr>
            <w:r w:rsidRPr="004442F3">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DFBA9"/>
            <w:noWrap/>
            <w:vAlign w:val="center"/>
          </w:tcPr>
          <w:p w:rsidR="005F2ACD" w:rsidRPr="004442F3" w:rsidRDefault="005F2ACD" w:rsidP="00D93DC1">
            <w:pPr>
              <w:spacing w:after="0" w:line="240" w:lineRule="auto"/>
              <w:jc w:val="center"/>
              <w:rPr>
                <w:rFonts w:cstheme="minorHAnsi"/>
                <w:b/>
                <w:bCs/>
                <w:sz w:val="24"/>
                <w:szCs w:val="24"/>
              </w:rPr>
            </w:pPr>
            <w:r w:rsidRPr="004442F3">
              <w:rPr>
                <w:rFonts w:cstheme="minorHAnsi"/>
                <w:b/>
                <w:bCs/>
                <w:sz w:val="24"/>
                <w:szCs w:val="24"/>
              </w:rPr>
              <w:t xml:space="preserve"> EN  14227-4</w:t>
            </w:r>
          </w:p>
        </w:tc>
      </w:tr>
      <w:tr w:rsidR="0043547B" w:rsidRPr="0043547B" w:rsidTr="00D93DC1">
        <w:trPr>
          <w:trHeight w:val="640"/>
          <w:jc w:val="center"/>
        </w:trPr>
        <w:tc>
          <w:tcPr>
            <w:tcW w:w="1838" w:type="dxa"/>
            <w:tcBorders>
              <w:top w:val="single" w:sz="4" w:space="0" w:color="auto"/>
              <w:left w:val="single" w:sz="18" w:space="0" w:color="auto"/>
              <w:bottom w:val="single" w:sz="4" w:space="0" w:color="auto"/>
              <w:right w:val="single" w:sz="4" w:space="0" w:color="auto"/>
            </w:tcBorders>
            <w:shd w:val="clear" w:color="auto" w:fill="95B3D7" w:themeFill="accent1" w:themeFillTint="99"/>
            <w:vAlign w:val="center"/>
          </w:tcPr>
          <w:p w:rsidR="005F2ACD" w:rsidRPr="0043547B" w:rsidRDefault="005F2ACD" w:rsidP="00D93DC1">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000000" w:fill="FFFFFF"/>
            <w:noWrap/>
          </w:tcPr>
          <w:p w:rsidR="005F2ACD" w:rsidRPr="0043547B" w:rsidRDefault="005F2ACD" w:rsidP="00D93DC1">
            <w:pPr>
              <w:spacing w:after="0" w:line="240" w:lineRule="auto"/>
              <w:rPr>
                <w:rFonts w:cstheme="minorHAnsi"/>
                <w:sz w:val="24"/>
                <w:szCs w:val="24"/>
              </w:rPr>
            </w:pPr>
            <w:r w:rsidRPr="0043547B">
              <w:rPr>
                <w:rFonts w:cstheme="minorHAnsi"/>
                <w:sz w:val="24"/>
                <w:szCs w:val="24"/>
              </w:rPr>
              <w:t xml:space="preserve">Mélanges traités aux liants hydrauliques - Spécifications - Partie 4 : cendre volante pour mélanges traités aux liants hydrauliques: (IC 13.1.422)  </w:t>
            </w:r>
          </w:p>
        </w:tc>
      </w:tr>
      <w:tr w:rsidR="0043547B" w:rsidRPr="0043547B" w:rsidTr="00D93DC1">
        <w:trPr>
          <w:trHeight w:val="807"/>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5F2ACD" w:rsidRPr="0043547B" w:rsidRDefault="005F2ACD" w:rsidP="00D93DC1">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000000" w:fill="FFFFFF"/>
            <w:noWrap/>
          </w:tcPr>
          <w:p w:rsidR="005F2ACD" w:rsidRPr="0043547B" w:rsidRDefault="005F2ACD" w:rsidP="00D93DC1">
            <w:pPr>
              <w:spacing w:after="0" w:line="240" w:lineRule="auto"/>
              <w:jc w:val="both"/>
              <w:rPr>
                <w:rFonts w:cstheme="minorHAnsi"/>
                <w:sz w:val="24"/>
                <w:szCs w:val="24"/>
              </w:rPr>
            </w:pPr>
            <w:r w:rsidRPr="0043547B">
              <w:rPr>
                <w:rFonts w:cstheme="minorHAnsi"/>
                <w:sz w:val="24"/>
                <w:szCs w:val="24"/>
              </w:rPr>
              <w:t>La présente Norme européenne spécifie les cendres volantes siliceuses et calcaires utilisées dans les mélanges traités aux liants hydrauliques pour les routes, les aéroports et autres zones de circulation. Cette norme s'applique à la cendre volante produite par combustion de charbon pulvérisé ou de lignite dans des centrales électriques.</w:t>
            </w:r>
          </w:p>
        </w:tc>
      </w:tr>
      <w:tr w:rsidR="0043547B" w:rsidRPr="0043547B" w:rsidTr="00D93DC1">
        <w:trPr>
          <w:trHeight w:val="23"/>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5F2ACD" w:rsidRPr="004442F3" w:rsidRDefault="005F2ACD" w:rsidP="00D93DC1">
            <w:pPr>
              <w:spacing w:after="0" w:line="240" w:lineRule="auto"/>
              <w:jc w:val="center"/>
              <w:rPr>
                <w:rFonts w:cstheme="minorHAnsi"/>
                <w:b/>
                <w:bCs/>
                <w:sz w:val="24"/>
                <w:szCs w:val="24"/>
              </w:rPr>
            </w:pPr>
            <w:r w:rsidRPr="004442F3">
              <w:rPr>
                <w:rFonts w:cstheme="minorHAnsi"/>
                <w:b/>
                <w:bCs/>
                <w:sz w:val="24"/>
                <w:szCs w:val="24"/>
              </w:rPr>
              <w:t>Code :</w:t>
            </w:r>
          </w:p>
        </w:tc>
        <w:tc>
          <w:tcPr>
            <w:tcW w:w="7938" w:type="dxa"/>
            <w:tcBorders>
              <w:left w:val="single" w:sz="4" w:space="0" w:color="auto"/>
              <w:bottom w:val="single" w:sz="18" w:space="0" w:color="auto"/>
              <w:right w:val="single" w:sz="18" w:space="0" w:color="auto"/>
            </w:tcBorders>
            <w:shd w:val="clear" w:color="auto" w:fill="C2D69B" w:themeFill="accent3" w:themeFillTint="99"/>
            <w:noWrap/>
          </w:tcPr>
          <w:p w:rsidR="005F2ACD" w:rsidRPr="004442F3" w:rsidRDefault="005A2F30" w:rsidP="00D93DC1">
            <w:pPr>
              <w:spacing w:after="0" w:line="240" w:lineRule="auto"/>
              <w:jc w:val="center"/>
              <w:rPr>
                <w:rFonts w:cstheme="minorHAnsi"/>
                <w:b/>
                <w:bCs/>
                <w:sz w:val="24"/>
                <w:szCs w:val="24"/>
              </w:rPr>
            </w:pPr>
            <w:r w:rsidRPr="004442F3">
              <w:rPr>
                <w:rFonts w:cstheme="minorHAnsi"/>
                <w:b/>
                <w:bCs/>
                <w:sz w:val="24"/>
                <w:szCs w:val="24"/>
              </w:rPr>
              <w:t>NM</w:t>
            </w:r>
            <w:r w:rsidR="004442F3">
              <w:rPr>
                <w:rFonts w:cstheme="minorHAnsi"/>
                <w:b/>
                <w:bCs/>
                <w:sz w:val="24"/>
                <w:szCs w:val="24"/>
              </w:rPr>
              <w:t xml:space="preserve"> </w:t>
            </w:r>
            <w:r w:rsidR="005F2ACD" w:rsidRPr="004442F3">
              <w:rPr>
                <w:rFonts w:cstheme="minorHAnsi"/>
                <w:b/>
                <w:bCs/>
                <w:sz w:val="24"/>
                <w:szCs w:val="24"/>
              </w:rPr>
              <w:t>EN  14227-5</w:t>
            </w:r>
          </w:p>
        </w:tc>
      </w:tr>
      <w:tr w:rsidR="0043547B" w:rsidRPr="0043547B" w:rsidTr="00D93DC1">
        <w:trPr>
          <w:trHeight w:val="23"/>
          <w:jc w:val="center"/>
        </w:trPr>
        <w:tc>
          <w:tcPr>
            <w:tcW w:w="1838" w:type="dxa"/>
            <w:tcBorders>
              <w:top w:val="single" w:sz="18" w:space="0" w:color="auto"/>
              <w:left w:val="single" w:sz="18" w:space="0" w:color="auto"/>
              <w:bottom w:val="single" w:sz="4" w:space="0" w:color="auto"/>
              <w:right w:val="single" w:sz="4" w:space="0" w:color="auto"/>
            </w:tcBorders>
            <w:shd w:val="clear" w:color="auto" w:fill="FDFBA9"/>
            <w:vAlign w:val="center"/>
          </w:tcPr>
          <w:p w:rsidR="005F2ACD" w:rsidRPr="0043547B" w:rsidRDefault="005F2ACD" w:rsidP="00D93DC1">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DFBA9"/>
            <w:noWrap/>
            <w:vAlign w:val="center"/>
          </w:tcPr>
          <w:p w:rsidR="005F2ACD" w:rsidRPr="004442F3" w:rsidRDefault="005F2ACD" w:rsidP="00D93DC1">
            <w:pPr>
              <w:spacing w:after="0" w:line="240" w:lineRule="auto"/>
              <w:jc w:val="center"/>
              <w:rPr>
                <w:rFonts w:cstheme="minorHAnsi"/>
                <w:b/>
                <w:bCs/>
                <w:sz w:val="24"/>
                <w:szCs w:val="24"/>
              </w:rPr>
            </w:pPr>
            <w:r w:rsidRPr="004442F3">
              <w:rPr>
                <w:rFonts w:cstheme="minorHAnsi"/>
                <w:b/>
                <w:bCs/>
                <w:sz w:val="24"/>
                <w:szCs w:val="24"/>
              </w:rPr>
              <w:t xml:space="preserve"> EN  14227-5</w:t>
            </w:r>
          </w:p>
        </w:tc>
      </w:tr>
      <w:tr w:rsidR="0043547B" w:rsidRPr="0043547B" w:rsidTr="00D93DC1">
        <w:trPr>
          <w:trHeight w:val="524"/>
          <w:jc w:val="center"/>
        </w:trPr>
        <w:tc>
          <w:tcPr>
            <w:tcW w:w="1838" w:type="dxa"/>
            <w:tcBorders>
              <w:top w:val="single" w:sz="4" w:space="0" w:color="auto"/>
              <w:left w:val="single" w:sz="18" w:space="0" w:color="auto"/>
              <w:bottom w:val="single" w:sz="4" w:space="0" w:color="auto"/>
              <w:right w:val="single" w:sz="4" w:space="0" w:color="auto"/>
            </w:tcBorders>
            <w:shd w:val="clear" w:color="auto" w:fill="95B3D7" w:themeFill="accent1" w:themeFillTint="99"/>
            <w:vAlign w:val="center"/>
          </w:tcPr>
          <w:p w:rsidR="005F2ACD" w:rsidRPr="0043547B" w:rsidRDefault="005F2ACD" w:rsidP="00D93DC1">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000000" w:fill="FFFFFF"/>
            <w:noWrap/>
          </w:tcPr>
          <w:p w:rsidR="005F2ACD" w:rsidRPr="0043547B" w:rsidRDefault="005F2ACD" w:rsidP="00D93DC1">
            <w:pPr>
              <w:spacing w:after="0" w:line="240" w:lineRule="auto"/>
              <w:rPr>
                <w:rFonts w:cstheme="minorHAnsi"/>
                <w:sz w:val="24"/>
                <w:szCs w:val="24"/>
              </w:rPr>
            </w:pPr>
            <w:r w:rsidRPr="0043547B">
              <w:rPr>
                <w:rFonts w:cstheme="minorHAnsi"/>
                <w:sz w:val="24"/>
                <w:szCs w:val="24"/>
              </w:rPr>
              <w:t xml:space="preserve">Mélanges traités aux liants hydrauliques - Spécifications - Partie 5 : mélanges granulaires traités aux liants hydrauliques routiers: (IC 13.1.423)  </w:t>
            </w:r>
          </w:p>
        </w:tc>
      </w:tr>
      <w:tr w:rsidR="0043547B" w:rsidRPr="0043547B" w:rsidTr="00D93DC1">
        <w:trPr>
          <w:trHeight w:val="807"/>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5F2ACD" w:rsidRPr="0043547B" w:rsidRDefault="005F2ACD" w:rsidP="00D93DC1">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000000" w:fill="FFFFFF"/>
            <w:noWrap/>
          </w:tcPr>
          <w:p w:rsidR="005F2ACD" w:rsidRPr="0043547B" w:rsidRDefault="005F2ACD" w:rsidP="00D93DC1">
            <w:pPr>
              <w:spacing w:after="0" w:line="240" w:lineRule="auto"/>
              <w:jc w:val="both"/>
              <w:rPr>
                <w:rFonts w:cstheme="minorHAnsi"/>
                <w:sz w:val="24"/>
                <w:szCs w:val="24"/>
              </w:rPr>
            </w:pPr>
            <w:r w:rsidRPr="0043547B">
              <w:rPr>
                <w:rFonts w:cstheme="minorHAnsi"/>
                <w:sz w:val="24"/>
                <w:szCs w:val="24"/>
              </w:rPr>
              <w:t>La présente Norme européenne spécifie les mélanges granulaires traités au liant hydraulique routier pour les routes, les aéroports et autres zones de circulation, et précise les exigences relatives à leurs constituants, à leur composition et à leur classification selon les performances mesurées en laboratoire.</w:t>
            </w:r>
          </w:p>
        </w:tc>
      </w:tr>
      <w:tr w:rsidR="0043547B" w:rsidRPr="0043547B" w:rsidTr="00D93DC1">
        <w:trPr>
          <w:trHeight w:val="23"/>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5F2ACD" w:rsidRPr="004442F3" w:rsidRDefault="005F2ACD" w:rsidP="00D93DC1">
            <w:pPr>
              <w:spacing w:after="0" w:line="240" w:lineRule="auto"/>
              <w:jc w:val="center"/>
              <w:rPr>
                <w:rFonts w:cstheme="minorHAnsi"/>
                <w:b/>
                <w:bCs/>
                <w:sz w:val="24"/>
                <w:szCs w:val="24"/>
              </w:rPr>
            </w:pPr>
            <w:r w:rsidRPr="004442F3">
              <w:rPr>
                <w:rFonts w:cstheme="minorHAnsi"/>
                <w:b/>
                <w:bCs/>
                <w:sz w:val="24"/>
                <w:szCs w:val="24"/>
              </w:rPr>
              <w:t>Code :</w:t>
            </w:r>
          </w:p>
        </w:tc>
        <w:tc>
          <w:tcPr>
            <w:tcW w:w="7938" w:type="dxa"/>
            <w:tcBorders>
              <w:left w:val="single" w:sz="4" w:space="0" w:color="auto"/>
              <w:bottom w:val="single" w:sz="18" w:space="0" w:color="auto"/>
              <w:right w:val="single" w:sz="18" w:space="0" w:color="auto"/>
            </w:tcBorders>
            <w:shd w:val="clear" w:color="auto" w:fill="C2D69B" w:themeFill="accent3" w:themeFillTint="99"/>
            <w:noWrap/>
          </w:tcPr>
          <w:p w:rsidR="005F2ACD" w:rsidRPr="004442F3" w:rsidRDefault="005A2F30" w:rsidP="00D93DC1">
            <w:pPr>
              <w:spacing w:after="0" w:line="240" w:lineRule="auto"/>
              <w:jc w:val="center"/>
              <w:rPr>
                <w:rFonts w:cstheme="minorHAnsi"/>
                <w:b/>
                <w:bCs/>
                <w:sz w:val="24"/>
                <w:szCs w:val="24"/>
              </w:rPr>
            </w:pPr>
            <w:r w:rsidRPr="004442F3">
              <w:rPr>
                <w:rFonts w:cstheme="minorHAnsi"/>
                <w:b/>
                <w:bCs/>
                <w:sz w:val="24"/>
                <w:szCs w:val="24"/>
              </w:rPr>
              <w:t>NM</w:t>
            </w:r>
            <w:r w:rsidR="004442F3">
              <w:rPr>
                <w:rFonts w:cstheme="minorHAnsi"/>
                <w:b/>
                <w:bCs/>
                <w:sz w:val="24"/>
                <w:szCs w:val="24"/>
              </w:rPr>
              <w:t xml:space="preserve"> </w:t>
            </w:r>
            <w:r w:rsidR="005F2ACD" w:rsidRPr="004442F3">
              <w:rPr>
                <w:rFonts w:cstheme="minorHAnsi"/>
                <w:b/>
                <w:bCs/>
                <w:sz w:val="24"/>
                <w:szCs w:val="24"/>
              </w:rPr>
              <w:t>EN  14227-11</w:t>
            </w:r>
          </w:p>
        </w:tc>
      </w:tr>
      <w:tr w:rsidR="0043547B" w:rsidRPr="0043547B" w:rsidTr="00D93DC1">
        <w:trPr>
          <w:trHeight w:val="23"/>
          <w:jc w:val="center"/>
        </w:trPr>
        <w:tc>
          <w:tcPr>
            <w:tcW w:w="1838" w:type="dxa"/>
            <w:tcBorders>
              <w:top w:val="single" w:sz="18" w:space="0" w:color="auto"/>
              <w:left w:val="single" w:sz="18" w:space="0" w:color="auto"/>
              <w:bottom w:val="single" w:sz="4" w:space="0" w:color="auto"/>
              <w:right w:val="single" w:sz="4" w:space="0" w:color="auto"/>
            </w:tcBorders>
            <w:shd w:val="clear" w:color="auto" w:fill="FDFBA9"/>
            <w:vAlign w:val="center"/>
          </w:tcPr>
          <w:p w:rsidR="005F2ACD" w:rsidRPr="004442F3" w:rsidRDefault="005F2ACD" w:rsidP="00D93DC1">
            <w:pPr>
              <w:spacing w:after="0" w:line="240" w:lineRule="auto"/>
              <w:jc w:val="center"/>
              <w:rPr>
                <w:rFonts w:cstheme="minorHAnsi"/>
                <w:b/>
                <w:bCs/>
                <w:sz w:val="24"/>
                <w:szCs w:val="24"/>
              </w:rPr>
            </w:pPr>
            <w:r w:rsidRPr="004442F3">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DFBA9"/>
            <w:noWrap/>
            <w:vAlign w:val="center"/>
          </w:tcPr>
          <w:p w:rsidR="005F2ACD" w:rsidRPr="004442F3" w:rsidRDefault="005F2ACD" w:rsidP="00D93DC1">
            <w:pPr>
              <w:spacing w:after="0" w:line="240" w:lineRule="auto"/>
              <w:jc w:val="center"/>
              <w:rPr>
                <w:rFonts w:cstheme="minorHAnsi"/>
                <w:b/>
                <w:bCs/>
                <w:sz w:val="24"/>
                <w:szCs w:val="24"/>
              </w:rPr>
            </w:pPr>
            <w:r w:rsidRPr="004442F3">
              <w:rPr>
                <w:rFonts w:cstheme="minorHAnsi"/>
                <w:b/>
                <w:bCs/>
                <w:sz w:val="24"/>
                <w:szCs w:val="24"/>
              </w:rPr>
              <w:t xml:space="preserve"> EN  14227-11</w:t>
            </w:r>
          </w:p>
        </w:tc>
      </w:tr>
      <w:tr w:rsidR="0043547B" w:rsidRPr="0043547B" w:rsidTr="00D93DC1">
        <w:trPr>
          <w:trHeight w:val="100"/>
          <w:jc w:val="center"/>
        </w:trPr>
        <w:tc>
          <w:tcPr>
            <w:tcW w:w="1838" w:type="dxa"/>
            <w:tcBorders>
              <w:top w:val="single" w:sz="4" w:space="0" w:color="auto"/>
              <w:left w:val="single" w:sz="18" w:space="0" w:color="auto"/>
              <w:bottom w:val="single" w:sz="4" w:space="0" w:color="auto"/>
              <w:right w:val="single" w:sz="4" w:space="0" w:color="auto"/>
            </w:tcBorders>
            <w:shd w:val="clear" w:color="auto" w:fill="95B3D7" w:themeFill="accent1" w:themeFillTint="99"/>
            <w:vAlign w:val="center"/>
          </w:tcPr>
          <w:p w:rsidR="005F2ACD" w:rsidRPr="0043547B" w:rsidRDefault="005F2ACD" w:rsidP="00D93DC1">
            <w:pPr>
              <w:spacing w:after="0" w:line="240" w:lineRule="auto"/>
              <w:jc w:val="center"/>
              <w:rPr>
                <w:rFonts w:cstheme="minorHAnsi"/>
                <w:b/>
                <w:bCs/>
                <w:sz w:val="24"/>
                <w:szCs w:val="24"/>
              </w:rPr>
            </w:pPr>
            <w:r w:rsidRPr="0043547B">
              <w:rPr>
                <w:rFonts w:cstheme="minorHAnsi"/>
                <w:b/>
                <w:bCs/>
                <w:sz w:val="24"/>
                <w:szCs w:val="24"/>
              </w:rPr>
              <w:lastRenderedPageBreak/>
              <w:t>Intitulé :</w:t>
            </w:r>
          </w:p>
        </w:tc>
        <w:tc>
          <w:tcPr>
            <w:tcW w:w="7938" w:type="dxa"/>
            <w:tcBorders>
              <w:top w:val="single" w:sz="4" w:space="0" w:color="auto"/>
              <w:left w:val="single" w:sz="4" w:space="0" w:color="auto"/>
              <w:bottom w:val="single" w:sz="4" w:space="0" w:color="auto"/>
              <w:right w:val="single" w:sz="18" w:space="0" w:color="auto"/>
            </w:tcBorders>
            <w:shd w:val="clear" w:color="000000" w:fill="FFFFFF"/>
            <w:noWrap/>
          </w:tcPr>
          <w:p w:rsidR="005F2ACD" w:rsidRPr="0043547B" w:rsidRDefault="005F2ACD" w:rsidP="00D93DC1">
            <w:pPr>
              <w:spacing w:after="0" w:line="240" w:lineRule="auto"/>
              <w:rPr>
                <w:rFonts w:cstheme="minorHAnsi"/>
                <w:sz w:val="24"/>
                <w:szCs w:val="24"/>
              </w:rPr>
            </w:pPr>
            <w:r w:rsidRPr="0043547B">
              <w:rPr>
                <w:rFonts w:cstheme="minorHAnsi"/>
                <w:sz w:val="24"/>
                <w:szCs w:val="24"/>
              </w:rPr>
              <w:t xml:space="preserve">Mélanges traités aux liants hydrauliques - Spécifications - Partie 11 : sol traité à la chaux: (IC 13.1.424)  </w:t>
            </w:r>
          </w:p>
        </w:tc>
      </w:tr>
      <w:tr w:rsidR="0043547B" w:rsidRPr="0043547B" w:rsidTr="00D93DC1">
        <w:trPr>
          <w:trHeight w:val="807"/>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5F2ACD" w:rsidRPr="0043547B" w:rsidRDefault="005F2ACD" w:rsidP="00D93DC1">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000000" w:fill="FFFFFF"/>
            <w:noWrap/>
          </w:tcPr>
          <w:p w:rsidR="005F2ACD" w:rsidRPr="0043547B" w:rsidRDefault="005F2ACD" w:rsidP="00D93DC1">
            <w:pPr>
              <w:spacing w:after="0" w:line="240" w:lineRule="auto"/>
              <w:jc w:val="both"/>
              <w:rPr>
                <w:rFonts w:cstheme="minorHAnsi"/>
                <w:sz w:val="24"/>
                <w:szCs w:val="24"/>
              </w:rPr>
            </w:pPr>
            <w:r w:rsidRPr="0043547B">
              <w:rPr>
                <w:rFonts w:cstheme="minorHAnsi"/>
                <w:sz w:val="24"/>
                <w:szCs w:val="24"/>
              </w:rPr>
              <w:t>Cette Norme européenne concerne le traitement à la chaux des sols naturels et autres matériaux pour les routes, les terrains d’aviation et autres zones de circulation, et précise les exigences relatives à leurs constituants, à leur composition et à leur classification selon les performances mesurées en laboratoire.</w:t>
            </w:r>
            <w:r w:rsidRPr="0043547B">
              <w:rPr>
                <w:rFonts w:cstheme="minorHAnsi"/>
                <w:sz w:val="24"/>
                <w:szCs w:val="24"/>
              </w:rPr>
              <w:br/>
              <w:t>Deux types de traitement sont abordés, l’amélioration et la stabilisation.</w:t>
            </w:r>
            <w:r w:rsidRPr="0043547B">
              <w:rPr>
                <w:rFonts w:cstheme="minorHAnsi"/>
                <w:sz w:val="24"/>
                <w:szCs w:val="24"/>
              </w:rPr>
              <w:br/>
              <w:t>La présente Norme européenne concerne uniquement les couches traitées à la chaux pour les zones de circulation (par opposition aux pieux ou aux colonnes de chaux, par exemple), mais peut servir à d’autres applications dans le domaine du génie civil, auquel cas des exigences supplémentaires peuvent être nécessaires pour compléter ou remplacer celles qui sont requises par la présente Norme européenne.</w:t>
            </w:r>
          </w:p>
        </w:tc>
      </w:tr>
      <w:tr w:rsidR="0043547B" w:rsidRPr="0043547B" w:rsidTr="00D93DC1">
        <w:trPr>
          <w:trHeight w:val="23"/>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5F2ACD" w:rsidRPr="0043547B" w:rsidRDefault="005F2ACD" w:rsidP="00D93DC1">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left w:val="single" w:sz="4" w:space="0" w:color="auto"/>
              <w:bottom w:val="single" w:sz="18" w:space="0" w:color="auto"/>
              <w:right w:val="single" w:sz="18" w:space="0" w:color="auto"/>
            </w:tcBorders>
            <w:shd w:val="clear" w:color="auto" w:fill="C2D69B" w:themeFill="accent3" w:themeFillTint="99"/>
            <w:noWrap/>
          </w:tcPr>
          <w:p w:rsidR="005F2ACD" w:rsidRPr="004442F3" w:rsidRDefault="005A2F30" w:rsidP="00D93DC1">
            <w:pPr>
              <w:spacing w:after="0" w:line="240" w:lineRule="auto"/>
              <w:jc w:val="center"/>
              <w:rPr>
                <w:rFonts w:cstheme="minorHAnsi"/>
                <w:b/>
                <w:bCs/>
                <w:sz w:val="24"/>
                <w:szCs w:val="24"/>
              </w:rPr>
            </w:pPr>
            <w:r w:rsidRPr="004442F3">
              <w:rPr>
                <w:rFonts w:cstheme="minorHAnsi"/>
                <w:b/>
                <w:bCs/>
                <w:sz w:val="24"/>
                <w:szCs w:val="24"/>
              </w:rPr>
              <w:t>NM</w:t>
            </w:r>
            <w:r w:rsidR="004442F3" w:rsidRPr="004442F3">
              <w:rPr>
                <w:rFonts w:cstheme="minorHAnsi"/>
                <w:b/>
                <w:bCs/>
                <w:sz w:val="24"/>
                <w:szCs w:val="24"/>
              </w:rPr>
              <w:t xml:space="preserve"> </w:t>
            </w:r>
            <w:r w:rsidR="005F2ACD" w:rsidRPr="004442F3">
              <w:rPr>
                <w:rFonts w:cstheme="minorHAnsi"/>
                <w:b/>
                <w:bCs/>
                <w:sz w:val="24"/>
                <w:szCs w:val="24"/>
              </w:rPr>
              <w:t>EN  14227-15</w:t>
            </w:r>
          </w:p>
        </w:tc>
      </w:tr>
      <w:tr w:rsidR="0043547B" w:rsidRPr="0043547B" w:rsidTr="00D93DC1">
        <w:trPr>
          <w:trHeight w:val="23"/>
          <w:jc w:val="center"/>
        </w:trPr>
        <w:tc>
          <w:tcPr>
            <w:tcW w:w="1838" w:type="dxa"/>
            <w:tcBorders>
              <w:top w:val="single" w:sz="18" w:space="0" w:color="auto"/>
              <w:left w:val="single" w:sz="18" w:space="0" w:color="auto"/>
              <w:bottom w:val="single" w:sz="4" w:space="0" w:color="auto"/>
              <w:right w:val="single" w:sz="4" w:space="0" w:color="auto"/>
            </w:tcBorders>
            <w:shd w:val="clear" w:color="auto" w:fill="FDFBA9"/>
            <w:vAlign w:val="center"/>
          </w:tcPr>
          <w:p w:rsidR="005F2ACD" w:rsidRPr="0043547B" w:rsidRDefault="005F2ACD" w:rsidP="00D93DC1">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DFBA9"/>
            <w:noWrap/>
            <w:vAlign w:val="center"/>
          </w:tcPr>
          <w:p w:rsidR="005F2ACD" w:rsidRPr="004442F3" w:rsidRDefault="005F2ACD" w:rsidP="00D93DC1">
            <w:pPr>
              <w:spacing w:after="0" w:line="240" w:lineRule="auto"/>
              <w:jc w:val="center"/>
              <w:rPr>
                <w:rFonts w:cstheme="minorHAnsi"/>
                <w:b/>
                <w:bCs/>
                <w:sz w:val="24"/>
                <w:szCs w:val="24"/>
              </w:rPr>
            </w:pPr>
            <w:r w:rsidRPr="004442F3">
              <w:rPr>
                <w:rFonts w:cstheme="minorHAnsi"/>
                <w:b/>
                <w:bCs/>
                <w:sz w:val="24"/>
                <w:szCs w:val="24"/>
              </w:rPr>
              <w:t>EN  14227-15</w:t>
            </w:r>
          </w:p>
        </w:tc>
      </w:tr>
      <w:tr w:rsidR="0043547B" w:rsidRPr="0043547B" w:rsidTr="00D93DC1">
        <w:trPr>
          <w:trHeight w:val="642"/>
          <w:jc w:val="center"/>
        </w:trPr>
        <w:tc>
          <w:tcPr>
            <w:tcW w:w="1838" w:type="dxa"/>
            <w:tcBorders>
              <w:top w:val="single" w:sz="4" w:space="0" w:color="auto"/>
              <w:left w:val="single" w:sz="18" w:space="0" w:color="auto"/>
              <w:bottom w:val="single" w:sz="4" w:space="0" w:color="auto"/>
              <w:right w:val="single" w:sz="4" w:space="0" w:color="auto"/>
            </w:tcBorders>
            <w:shd w:val="clear" w:color="auto" w:fill="95B3D7" w:themeFill="accent1" w:themeFillTint="99"/>
            <w:vAlign w:val="center"/>
          </w:tcPr>
          <w:p w:rsidR="005F2ACD" w:rsidRPr="0043547B" w:rsidRDefault="005F2ACD" w:rsidP="00D93DC1">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000000" w:fill="FFFFFF"/>
            <w:noWrap/>
          </w:tcPr>
          <w:p w:rsidR="005F2ACD" w:rsidRPr="0043547B" w:rsidRDefault="005F2ACD" w:rsidP="00D93DC1">
            <w:pPr>
              <w:spacing w:after="0" w:line="240" w:lineRule="auto"/>
              <w:rPr>
                <w:rFonts w:cstheme="minorHAnsi"/>
                <w:sz w:val="24"/>
                <w:szCs w:val="24"/>
              </w:rPr>
            </w:pPr>
            <w:r w:rsidRPr="0043547B">
              <w:rPr>
                <w:rFonts w:cstheme="minorHAnsi"/>
                <w:sz w:val="24"/>
                <w:szCs w:val="24"/>
              </w:rPr>
              <w:t xml:space="preserve">Mélanges traités aux liants hydrauliques - Spécifications - Partie 15 : sols traités aux liants hydrauliques: (IC 13.1.425)  </w:t>
            </w:r>
          </w:p>
        </w:tc>
      </w:tr>
      <w:tr w:rsidR="0043547B" w:rsidRPr="0043547B" w:rsidTr="00D93DC1">
        <w:trPr>
          <w:trHeight w:val="701"/>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5F2ACD" w:rsidRPr="0043547B" w:rsidRDefault="005F2ACD" w:rsidP="00D93DC1">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000000" w:fill="FFFFFF"/>
            <w:noWrap/>
          </w:tcPr>
          <w:p w:rsidR="00D93DC1" w:rsidRDefault="005F2ACD" w:rsidP="00D93DC1">
            <w:pPr>
              <w:spacing w:after="0" w:line="240" w:lineRule="auto"/>
              <w:jc w:val="both"/>
              <w:rPr>
                <w:rFonts w:cstheme="minorHAnsi"/>
                <w:sz w:val="24"/>
                <w:szCs w:val="24"/>
              </w:rPr>
            </w:pPr>
            <w:r w:rsidRPr="0043547B">
              <w:rPr>
                <w:rFonts w:cstheme="minorHAnsi"/>
                <w:sz w:val="24"/>
                <w:szCs w:val="24"/>
              </w:rPr>
              <w:t>La présente Norme européenne spécifie les sols traités aux liants hydrauliques pour les routes, les aéroports</w:t>
            </w:r>
            <w:r w:rsidR="00F22FCF">
              <w:rPr>
                <w:rFonts w:cstheme="minorHAnsi"/>
                <w:sz w:val="24"/>
                <w:szCs w:val="24"/>
              </w:rPr>
              <w:t xml:space="preserve"> </w:t>
            </w:r>
            <w:r w:rsidRPr="0043547B">
              <w:rPr>
                <w:rFonts w:cstheme="minorHAnsi"/>
                <w:sz w:val="24"/>
                <w:szCs w:val="24"/>
              </w:rPr>
              <w:t>et autres zones de circulation et précise les exigences relatives à leurs constituants, à leur composition et à</w:t>
            </w:r>
            <w:r w:rsidR="00F22FCF">
              <w:rPr>
                <w:rFonts w:cstheme="minorHAnsi"/>
                <w:sz w:val="24"/>
                <w:szCs w:val="24"/>
              </w:rPr>
              <w:t xml:space="preserve"> </w:t>
            </w:r>
            <w:r w:rsidRPr="0043547B">
              <w:rPr>
                <w:rFonts w:cstheme="minorHAnsi"/>
                <w:sz w:val="24"/>
                <w:szCs w:val="24"/>
              </w:rPr>
              <w:t>leur classification selon les performances mesurées en laboratoire.</w:t>
            </w:r>
          </w:p>
          <w:p w:rsidR="005F2ACD" w:rsidRPr="0043547B" w:rsidRDefault="005F2ACD" w:rsidP="00D93DC1">
            <w:pPr>
              <w:spacing w:after="0" w:line="240" w:lineRule="auto"/>
              <w:jc w:val="both"/>
              <w:rPr>
                <w:rFonts w:cstheme="minorHAnsi"/>
                <w:sz w:val="24"/>
                <w:szCs w:val="24"/>
              </w:rPr>
            </w:pPr>
            <w:r w:rsidRPr="0043547B">
              <w:rPr>
                <w:rFonts w:cstheme="minorHAnsi"/>
                <w:sz w:val="24"/>
                <w:szCs w:val="24"/>
              </w:rPr>
              <w:t>La présente Norme européenne couvre la stabilisation des sols traités à l'aide d'un ou d'une combinaison de:</w:t>
            </w:r>
            <w:r w:rsidR="00F22FCF">
              <w:rPr>
                <w:rFonts w:cstheme="minorHAnsi"/>
                <w:sz w:val="24"/>
                <w:szCs w:val="24"/>
              </w:rPr>
              <w:t xml:space="preserve"> </w:t>
            </w:r>
            <w:r w:rsidRPr="0043547B">
              <w:rPr>
                <w:rFonts w:cstheme="minorHAnsi"/>
                <w:sz w:val="24"/>
                <w:szCs w:val="24"/>
              </w:rPr>
              <w:t>ciment, liant hydraulique routier, cendre volante, chaux et laitier de haut-fourneau.</w:t>
            </w:r>
          </w:p>
        </w:tc>
      </w:tr>
      <w:tr w:rsidR="0043547B" w:rsidRPr="0043547B" w:rsidTr="00E13CAF">
        <w:trPr>
          <w:trHeight w:val="398"/>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D93DC1">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2E1C87">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13.1.213</w:t>
            </w:r>
          </w:p>
        </w:tc>
      </w:tr>
      <w:tr w:rsidR="0043547B" w:rsidRPr="0043547B" w:rsidTr="00E13CAF">
        <w:trPr>
          <w:trHeight w:val="49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D93DC1">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000000" w:fill="FFFFFF"/>
            <w:vAlign w:val="center"/>
            <w:hideMark/>
          </w:tcPr>
          <w:p w:rsidR="00904E52" w:rsidRPr="0043547B" w:rsidRDefault="00904E52" w:rsidP="002E1C87">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Enrobés hydrocarbonés - Exécution des corps de chaussées, couches de liaison et couches de roulement - Constituants - Composition des mélanges - Exécution et contrôle</w:t>
            </w:r>
          </w:p>
        </w:tc>
      </w:tr>
      <w:tr w:rsidR="0043547B" w:rsidRPr="0043547B" w:rsidTr="00E13CAF">
        <w:trPr>
          <w:trHeight w:val="843"/>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D93DC1">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000000" w:fill="FFFFFF"/>
            <w:vAlign w:val="center"/>
            <w:hideMark/>
          </w:tcPr>
          <w:p w:rsidR="00904E52" w:rsidRPr="0043547B" w:rsidRDefault="00904E52" w:rsidP="002E1C87">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définit les constituants, la fabrication et la mise en œuvre des enrobés hydrocarbonés à chaud et à froid et recyclage d'enrobés anciens, des matériaux bitumineux coulés à froid et à chaud.</w:t>
            </w:r>
          </w:p>
          <w:p w:rsidR="001E22AA" w:rsidRPr="0043547B" w:rsidRDefault="001E22AA" w:rsidP="002E1C87">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pour toutes les couches de chaussée : couches de roulement, couches de liaison, couches d'assise (base et fondation), revêtements d'accotements, de trottoirs et les parties annexes des chaussées.</w:t>
            </w:r>
          </w:p>
          <w:p w:rsidR="00904E52" w:rsidRPr="0043547B" w:rsidRDefault="001E22AA" w:rsidP="002E1C87">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ne s'applique pas aux enrobés destinés à assurer l'étanchéité des ouvrages hydrauliques.</w:t>
            </w:r>
          </w:p>
        </w:tc>
      </w:tr>
      <w:tr w:rsidR="0043547B" w:rsidRPr="0043547B" w:rsidTr="00E13CAF">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tcPr>
          <w:p w:rsidR="009D2838" w:rsidRPr="0043547B" w:rsidRDefault="009D2838" w:rsidP="00D93DC1">
            <w:pPr>
              <w:spacing w:after="0" w:line="240" w:lineRule="auto"/>
              <w:jc w:val="center"/>
              <w:rPr>
                <w:rFonts w:cstheme="minorHAnsi"/>
                <w:b/>
                <w:bCs/>
                <w:sz w:val="24"/>
                <w:szCs w:val="24"/>
              </w:rPr>
            </w:pPr>
            <w:r w:rsidRPr="0043547B">
              <w:rPr>
                <w:rFonts w:cstheme="minorHAnsi"/>
                <w:b/>
                <w:bCs/>
                <w:sz w:val="24"/>
                <w:szCs w:val="24"/>
              </w:rPr>
              <w:t>Code</w:t>
            </w:r>
            <w:r w:rsidR="002E1C87" w:rsidRPr="0043547B">
              <w:rPr>
                <w:rFonts w:cstheme="minorHAnsi"/>
                <w:b/>
                <w:bCs/>
                <w:sz w:val="24"/>
                <w:szCs w:val="24"/>
              </w:rPr>
              <w:t xml:space="preserve"> </w:t>
            </w:r>
            <w:r w:rsidRPr="0043547B">
              <w:rPr>
                <w:rFonts w:cstheme="minorHAnsi"/>
                <w:b/>
                <w:bCs/>
                <w:sz w:val="24"/>
                <w:szCs w:val="24"/>
              </w:rPr>
              <w:t>:</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tcPr>
          <w:p w:rsidR="009D2838" w:rsidRPr="0043547B" w:rsidRDefault="009D2838" w:rsidP="002E1C87">
            <w:pPr>
              <w:spacing w:after="0" w:line="240" w:lineRule="auto"/>
              <w:jc w:val="center"/>
              <w:rPr>
                <w:rFonts w:cstheme="minorHAnsi"/>
                <w:sz w:val="24"/>
                <w:szCs w:val="24"/>
              </w:rPr>
            </w:pPr>
            <w:r w:rsidRPr="0043547B">
              <w:rPr>
                <w:rFonts w:cstheme="minorHAnsi"/>
                <w:sz w:val="24"/>
                <w:szCs w:val="24"/>
              </w:rPr>
              <w:t>NM EN 13108-1</w:t>
            </w:r>
          </w:p>
        </w:tc>
      </w:tr>
      <w:tr w:rsidR="0043547B" w:rsidRPr="0043547B" w:rsidTr="00E13CAF">
        <w:trPr>
          <w:trHeight w:val="315"/>
          <w:jc w:val="center"/>
        </w:trPr>
        <w:tc>
          <w:tcPr>
            <w:tcW w:w="1838" w:type="dxa"/>
            <w:tcBorders>
              <w:top w:val="single" w:sz="18" w:space="0" w:color="auto"/>
              <w:left w:val="single" w:sz="18" w:space="0" w:color="auto"/>
              <w:bottom w:val="single" w:sz="6" w:space="0" w:color="auto"/>
              <w:right w:val="single" w:sz="4" w:space="0" w:color="auto"/>
            </w:tcBorders>
            <w:shd w:val="clear" w:color="auto" w:fill="FFFF99"/>
            <w:vAlign w:val="center"/>
          </w:tcPr>
          <w:p w:rsidR="009D2838" w:rsidRPr="0043547B" w:rsidRDefault="009D2838" w:rsidP="00D93DC1">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6" w:space="0" w:color="auto"/>
              <w:right w:val="single" w:sz="18" w:space="0" w:color="auto"/>
            </w:tcBorders>
            <w:shd w:val="clear" w:color="auto" w:fill="FFFF99"/>
            <w:vAlign w:val="center"/>
          </w:tcPr>
          <w:p w:rsidR="009D2838" w:rsidRPr="0043547B" w:rsidRDefault="009D2838" w:rsidP="002E1C87">
            <w:pPr>
              <w:spacing w:after="0" w:line="240" w:lineRule="auto"/>
              <w:jc w:val="center"/>
              <w:rPr>
                <w:rFonts w:cstheme="minorHAnsi"/>
                <w:b/>
                <w:bCs/>
                <w:sz w:val="24"/>
                <w:szCs w:val="24"/>
              </w:rPr>
            </w:pPr>
            <w:r w:rsidRPr="0043547B">
              <w:rPr>
                <w:rFonts w:cstheme="minorHAnsi"/>
                <w:b/>
                <w:bCs/>
                <w:sz w:val="24"/>
                <w:szCs w:val="24"/>
              </w:rPr>
              <w:t>EN 13108-1</w:t>
            </w:r>
          </w:p>
        </w:tc>
      </w:tr>
      <w:tr w:rsidR="0043547B" w:rsidRPr="0043547B" w:rsidTr="00E13CAF">
        <w:trPr>
          <w:trHeight w:val="495"/>
          <w:jc w:val="center"/>
        </w:trPr>
        <w:tc>
          <w:tcPr>
            <w:tcW w:w="1838" w:type="dxa"/>
            <w:tcBorders>
              <w:top w:val="single" w:sz="6" w:space="0" w:color="auto"/>
              <w:left w:val="single" w:sz="18" w:space="0" w:color="auto"/>
              <w:bottom w:val="single" w:sz="4" w:space="0" w:color="auto"/>
              <w:right w:val="single" w:sz="4" w:space="0" w:color="auto"/>
            </w:tcBorders>
            <w:shd w:val="clear" w:color="000000" w:fill="8DB4E2"/>
            <w:vAlign w:val="center"/>
          </w:tcPr>
          <w:p w:rsidR="009D2838" w:rsidRPr="0043547B" w:rsidRDefault="009D2838" w:rsidP="00D93DC1">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6" w:space="0" w:color="auto"/>
              <w:left w:val="single" w:sz="4" w:space="0" w:color="auto"/>
              <w:right w:val="single" w:sz="18" w:space="0" w:color="auto"/>
            </w:tcBorders>
            <w:shd w:val="clear" w:color="000000" w:fill="FFFFFF"/>
          </w:tcPr>
          <w:p w:rsidR="009D2838" w:rsidRPr="0043547B" w:rsidRDefault="009D2838" w:rsidP="002E1C87">
            <w:pPr>
              <w:spacing w:after="0" w:line="240" w:lineRule="auto"/>
              <w:rPr>
                <w:rFonts w:cstheme="minorHAnsi"/>
                <w:sz w:val="24"/>
                <w:szCs w:val="24"/>
              </w:rPr>
            </w:pPr>
            <w:r w:rsidRPr="0043547B">
              <w:rPr>
                <w:rFonts w:cstheme="minorHAnsi"/>
                <w:sz w:val="24"/>
                <w:szCs w:val="24"/>
              </w:rPr>
              <w:t xml:space="preserve">Mélanges bitumineux - Spécifications des matériaux - Partie 1 : Enrobés bitumineux ; (IC 03.4.237) </w:t>
            </w:r>
          </w:p>
        </w:tc>
      </w:tr>
      <w:tr w:rsidR="0043547B" w:rsidRPr="0043547B" w:rsidTr="00E13CAF">
        <w:trPr>
          <w:trHeight w:val="560"/>
          <w:jc w:val="center"/>
        </w:trPr>
        <w:tc>
          <w:tcPr>
            <w:tcW w:w="1838" w:type="dxa"/>
            <w:tcBorders>
              <w:top w:val="nil"/>
              <w:left w:val="single" w:sz="18" w:space="0" w:color="auto"/>
              <w:bottom w:val="single" w:sz="18" w:space="0" w:color="auto"/>
              <w:right w:val="single" w:sz="4" w:space="0" w:color="auto"/>
            </w:tcBorders>
            <w:shd w:val="clear" w:color="000000" w:fill="D9D9D9"/>
            <w:vAlign w:val="center"/>
          </w:tcPr>
          <w:p w:rsidR="009D2838" w:rsidRPr="0043547B" w:rsidRDefault="009D2838" w:rsidP="00D93DC1">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000000" w:fill="FFFFFF"/>
          </w:tcPr>
          <w:p w:rsidR="002E1C87" w:rsidRPr="0043547B" w:rsidRDefault="009D2838" w:rsidP="002E1C87">
            <w:pPr>
              <w:spacing w:after="0" w:line="240" w:lineRule="auto"/>
              <w:jc w:val="both"/>
              <w:rPr>
                <w:rFonts w:cstheme="minorHAnsi"/>
                <w:b/>
                <w:bCs/>
                <w:sz w:val="24"/>
                <w:szCs w:val="24"/>
              </w:rPr>
            </w:pPr>
            <w:r w:rsidRPr="0043547B">
              <w:rPr>
                <w:rFonts w:cstheme="minorHAnsi"/>
                <w:sz w:val="24"/>
                <w:szCs w:val="24"/>
              </w:rPr>
              <w:t>Cette Norme européenne spécifie les exigences relatives aux mélanges appartenant à la famille des enrobés bitumineux et utilisés pour les routes, aéroports et autres zones de circulation.</w:t>
            </w:r>
          </w:p>
          <w:p w:rsidR="002E1C87" w:rsidRPr="00D93DC1" w:rsidRDefault="002E1C87" w:rsidP="002E1C87">
            <w:pPr>
              <w:spacing w:after="0" w:line="240" w:lineRule="auto"/>
              <w:jc w:val="both"/>
              <w:rPr>
                <w:rFonts w:cstheme="minorHAnsi"/>
                <w:i/>
                <w:iCs/>
              </w:rPr>
            </w:pPr>
            <w:r w:rsidRPr="00D93DC1">
              <w:rPr>
                <w:rFonts w:cstheme="minorHAnsi"/>
                <w:b/>
                <w:bCs/>
                <w:i/>
                <w:iCs/>
              </w:rPr>
              <w:t>NOTE</w:t>
            </w:r>
            <w:r w:rsidRPr="00D93DC1">
              <w:rPr>
                <w:rFonts w:cstheme="minorHAnsi"/>
                <w:i/>
                <w:iCs/>
              </w:rPr>
              <w:t> : Une spécification sur un mélange issue de cette norme peut être utilisée soit pour déclarer la conformité d’un mélange à des exigences connues soit pour faire savoir ce que sont ces exigences.</w:t>
            </w:r>
          </w:p>
          <w:p w:rsidR="00D93DC1" w:rsidRDefault="002E1C87" w:rsidP="002E1C87">
            <w:pPr>
              <w:spacing w:after="0" w:line="240" w:lineRule="auto"/>
              <w:jc w:val="both"/>
              <w:rPr>
                <w:rFonts w:cstheme="minorHAnsi"/>
                <w:sz w:val="24"/>
                <w:szCs w:val="24"/>
              </w:rPr>
            </w:pPr>
            <w:r w:rsidRPr="0043547B">
              <w:rPr>
                <w:rFonts w:cstheme="minorHAnsi"/>
                <w:sz w:val="24"/>
                <w:szCs w:val="24"/>
              </w:rPr>
              <w:lastRenderedPageBreak/>
              <w:t>Cette Norme européenne comporte des exigences pour le choix des constituants. Elle est destinée à être utilisée conjointement avec les EN 13108-20 et EN 13108-21.</w:t>
            </w:r>
          </w:p>
          <w:p w:rsidR="009D2838" w:rsidRPr="0043547B" w:rsidRDefault="002E1C87" w:rsidP="002E1C87">
            <w:pPr>
              <w:spacing w:after="0" w:line="240" w:lineRule="auto"/>
              <w:jc w:val="both"/>
              <w:rPr>
                <w:rFonts w:cstheme="minorHAnsi"/>
                <w:b/>
                <w:bCs/>
                <w:sz w:val="24"/>
                <w:szCs w:val="24"/>
              </w:rPr>
            </w:pPr>
            <w:r w:rsidRPr="0043547B">
              <w:rPr>
                <w:rFonts w:cstheme="minorHAnsi"/>
                <w:sz w:val="24"/>
                <w:szCs w:val="24"/>
              </w:rPr>
              <w:t>Les enrobés bitumineux contenant des liants chimiquement modifiés qui ne relèvent pas de la Norme EN 14023 ne sont pas couverts par la</w:t>
            </w:r>
            <w:r w:rsidRPr="0043547B">
              <w:rPr>
                <w:rFonts w:cstheme="minorHAnsi"/>
                <w:b/>
                <w:bCs/>
                <w:sz w:val="24"/>
                <w:szCs w:val="24"/>
              </w:rPr>
              <w:t xml:space="preserve"> </w:t>
            </w:r>
            <w:r w:rsidRPr="00542A0D">
              <w:rPr>
                <w:rFonts w:cstheme="minorHAnsi"/>
                <w:sz w:val="24"/>
                <w:szCs w:val="24"/>
              </w:rPr>
              <w:t>présente</w:t>
            </w:r>
            <w:r w:rsidRPr="0043547B">
              <w:rPr>
                <w:rFonts w:cstheme="minorHAnsi"/>
                <w:b/>
                <w:bCs/>
                <w:sz w:val="24"/>
                <w:szCs w:val="24"/>
              </w:rPr>
              <w:t xml:space="preserve"> </w:t>
            </w:r>
            <w:r w:rsidRPr="0043547B">
              <w:rPr>
                <w:rFonts w:cstheme="minorHAnsi"/>
                <w:sz w:val="24"/>
                <w:szCs w:val="24"/>
              </w:rPr>
              <w:t>Norme européenne.</w:t>
            </w:r>
          </w:p>
        </w:tc>
      </w:tr>
      <w:tr w:rsidR="0043547B" w:rsidRPr="0043547B" w:rsidTr="00E13CAF">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D2838" w:rsidRPr="0043547B" w:rsidRDefault="009D2838" w:rsidP="002E1C87">
            <w:pPr>
              <w:spacing w:after="0" w:line="240" w:lineRule="auto"/>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D2838" w:rsidRPr="0043547B" w:rsidRDefault="009D2838" w:rsidP="002E1C87">
            <w:pPr>
              <w:spacing w:after="0" w:line="240" w:lineRule="auto"/>
              <w:jc w:val="center"/>
              <w:rPr>
                <w:rFonts w:cstheme="minorHAnsi"/>
                <w:b/>
                <w:bCs/>
                <w:sz w:val="24"/>
                <w:szCs w:val="24"/>
              </w:rPr>
            </w:pPr>
            <w:r w:rsidRPr="0043547B">
              <w:rPr>
                <w:rFonts w:cstheme="minorHAnsi"/>
                <w:b/>
                <w:bCs/>
                <w:sz w:val="24"/>
                <w:szCs w:val="24"/>
              </w:rPr>
              <w:t>NM EN 13108-3</w:t>
            </w:r>
          </w:p>
        </w:tc>
      </w:tr>
      <w:tr w:rsidR="0043547B" w:rsidRPr="0043547B" w:rsidTr="00E13CAF">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D2838" w:rsidRPr="0043547B" w:rsidRDefault="009D2838" w:rsidP="002E1C87">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9D2838" w:rsidRPr="0043547B" w:rsidRDefault="009D2838" w:rsidP="002E1C87">
            <w:pPr>
              <w:spacing w:after="0" w:line="240" w:lineRule="auto"/>
              <w:jc w:val="center"/>
              <w:rPr>
                <w:rFonts w:cstheme="minorHAnsi"/>
                <w:b/>
                <w:bCs/>
                <w:sz w:val="24"/>
                <w:szCs w:val="24"/>
              </w:rPr>
            </w:pPr>
            <w:r w:rsidRPr="0043547B">
              <w:rPr>
                <w:rFonts w:cstheme="minorHAnsi"/>
                <w:b/>
                <w:bCs/>
                <w:sz w:val="24"/>
                <w:szCs w:val="24"/>
              </w:rPr>
              <w:t>EN 13108-3</w:t>
            </w:r>
          </w:p>
        </w:tc>
      </w:tr>
      <w:tr w:rsidR="0043547B" w:rsidRPr="0043547B" w:rsidTr="00E13CAF">
        <w:trPr>
          <w:trHeight w:val="83"/>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D2838" w:rsidRPr="0043547B" w:rsidRDefault="009D2838" w:rsidP="002E1C87">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000000" w:fill="FFFFFF"/>
            <w:hideMark/>
          </w:tcPr>
          <w:p w:rsidR="009D2838" w:rsidRPr="0043547B" w:rsidRDefault="009D2838" w:rsidP="002E1C87">
            <w:pPr>
              <w:spacing w:after="0" w:line="240" w:lineRule="auto"/>
              <w:rPr>
                <w:rFonts w:cstheme="minorHAnsi"/>
                <w:sz w:val="24"/>
                <w:szCs w:val="24"/>
              </w:rPr>
            </w:pPr>
            <w:r w:rsidRPr="0043547B">
              <w:rPr>
                <w:rFonts w:cstheme="minorHAnsi"/>
                <w:sz w:val="24"/>
                <w:szCs w:val="24"/>
              </w:rPr>
              <w:t xml:space="preserve">Mélanges bitumineux - Spécifications des matériaux - Partie 3 : Bétons bitumineux souples ; (IC 03.4.241) </w:t>
            </w:r>
          </w:p>
        </w:tc>
      </w:tr>
      <w:tr w:rsidR="0043547B" w:rsidRPr="0043547B" w:rsidTr="00D539C2">
        <w:trPr>
          <w:trHeight w:val="3361"/>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D2838" w:rsidRPr="0043547B" w:rsidRDefault="009D2838" w:rsidP="002E1C87">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000000" w:fill="FFFFFF"/>
            <w:hideMark/>
          </w:tcPr>
          <w:p w:rsidR="002E1C87" w:rsidRPr="0043547B" w:rsidRDefault="009D2838" w:rsidP="002E1C87">
            <w:pPr>
              <w:spacing w:after="0" w:line="240" w:lineRule="auto"/>
              <w:jc w:val="both"/>
              <w:rPr>
                <w:rFonts w:cstheme="minorHAnsi"/>
                <w:sz w:val="24"/>
                <w:szCs w:val="24"/>
              </w:rPr>
            </w:pPr>
            <w:r w:rsidRPr="0043547B">
              <w:rPr>
                <w:rFonts w:cstheme="minorHAnsi"/>
                <w:sz w:val="24"/>
                <w:szCs w:val="24"/>
              </w:rPr>
              <w:t>Cette norme européenne spécifie les exigences relatives aux mélanges appartenant à la famille des bétons bitumineux souples et utilisés pour les routes, aéroports et autres zones de circulation.</w:t>
            </w:r>
          </w:p>
          <w:p w:rsidR="002E1C87" w:rsidRPr="00D93DC1" w:rsidRDefault="009D2838" w:rsidP="002E1C87">
            <w:pPr>
              <w:spacing w:after="0" w:line="240" w:lineRule="auto"/>
              <w:jc w:val="both"/>
              <w:rPr>
                <w:rFonts w:cstheme="minorHAnsi"/>
                <w:i/>
                <w:iCs/>
              </w:rPr>
            </w:pPr>
            <w:r w:rsidRPr="00D93DC1">
              <w:rPr>
                <w:rFonts w:cstheme="minorHAnsi"/>
                <w:b/>
                <w:bCs/>
                <w:i/>
                <w:iCs/>
              </w:rPr>
              <w:t>NOTE</w:t>
            </w:r>
            <w:r w:rsidR="002E1C87" w:rsidRPr="00D93DC1">
              <w:rPr>
                <w:rFonts w:cstheme="minorHAnsi"/>
                <w:b/>
                <w:bCs/>
                <w:i/>
                <w:iCs/>
              </w:rPr>
              <w:t> </w:t>
            </w:r>
            <w:r w:rsidR="002E1C87" w:rsidRPr="00D93DC1">
              <w:rPr>
                <w:rFonts w:cstheme="minorHAnsi"/>
                <w:i/>
                <w:iCs/>
              </w:rPr>
              <w:t xml:space="preserve">: </w:t>
            </w:r>
            <w:r w:rsidRPr="00D93DC1">
              <w:rPr>
                <w:rFonts w:cstheme="minorHAnsi"/>
                <w:i/>
                <w:iCs/>
              </w:rPr>
              <w:t>Une spécification sur un mélange issue de cette norme peut être utilisée soit pour déclarer la conformité d’un mélange à des exigences connues soit pour faire savoir ce que sont ces exigences.</w:t>
            </w:r>
          </w:p>
          <w:p w:rsidR="00542A0D" w:rsidRDefault="009D2838" w:rsidP="002E1C87">
            <w:pPr>
              <w:spacing w:after="0" w:line="240" w:lineRule="auto"/>
              <w:jc w:val="both"/>
              <w:rPr>
                <w:rFonts w:cstheme="minorHAnsi"/>
                <w:sz w:val="24"/>
                <w:szCs w:val="24"/>
              </w:rPr>
            </w:pPr>
            <w:r w:rsidRPr="0043547B">
              <w:rPr>
                <w:rFonts w:cstheme="minorHAnsi"/>
                <w:sz w:val="24"/>
                <w:szCs w:val="24"/>
              </w:rPr>
              <w:t>Cette norme européenne comporte des exigences pour le choix des constituants. Elle est destinée à être utilisée conjointement avec les normes EN 13108-20 et EN 13108-21.</w:t>
            </w:r>
          </w:p>
          <w:p w:rsidR="00542A0D" w:rsidRPr="0043547B" w:rsidRDefault="009D2838" w:rsidP="00D539C2">
            <w:pPr>
              <w:spacing w:after="0" w:line="240" w:lineRule="auto"/>
              <w:jc w:val="both"/>
              <w:rPr>
                <w:rFonts w:cstheme="minorHAnsi"/>
                <w:sz w:val="24"/>
                <w:szCs w:val="24"/>
              </w:rPr>
            </w:pPr>
            <w:r w:rsidRPr="0043547B">
              <w:rPr>
                <w:rFonts w:cstheme="minorHAnsi"/>
                <w:sz w:val="24"/>
                <w:szCs w:val="24"/>
              </w:rPr>
              <w:t>Les bétons bitumineux souples avec des liants chimiquement modifiés qui ne relèvent pas de la norme EN 14023 ne sont pas couverts par la présente Norme européenne.</w:t>
            </w:r>
          </w:p>
        </w:tc>
      </w:tr>
      <w:tr w:rsidR="0043547B" w:rsidRPr="0043547B" w:rsidTr="00E13CAF">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13.1.218</w:t>
            </w:r>
          </w:p>
        </w:tc>
      </w:tr>
      <w:tr w:rsidR="0043547B" w:rsidRPr="0043547B" w:rsidTr="00E13CAF">
        <w:trPr>
          <w:trHeight w:val="49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000000" w:fill="FFFFFF"/>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Chaussées - Terrassements - Dimensionnement des chaussées routières - Détermination des trafics routiers pour le dimensionnement des structures de chaussées </w:t>
            </w:r>
          </w:p>
        </w:tc>
      </w:tr>
      <w:tr w:rsidR="0043547B" w:rsidRPr="0043547B" w:rsidTr="00E13CAF">
        <w:trPr>
          <w:trHeight w:val="901"/>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000000" w:fill="FFFFFF"/>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définit la charge de référence utilisée dans un modèle de calcul de</w:t>
            </w:r>
            <w:r w:rsidRPr="0043547B">
              <w:rPr>
                <w:rFonts w:eastAsia="Times New Roman" w:cstheme="minorHAnsi"/>
                <w:sz w:val="24"/>
                <w:szCs w:val="24"/>
                <w:lang w:eastAsia="fr-FR"/>
              </w:rPr>
              <w:br/>
              <w:t>dimensionnement des structures de chaussées routières et en précise les modalités d'utilisation en fonction du nombre équivalent d'essieux de référence.</w:t>
            </w:r>
            <w:r w:rsidRPr="0043547B">
              <w:rPr>
                <w:rFonts w:eastAsia="Times New Roman" w:cstheme="minorHAnsi"/>
                <w:sz w:val="24"/>
                <w:szCs w:val="24"/>
                <w:lang w:eastAsia="fr-FR"/>
              </w:rPr>
              <w:br/>
              <w:t>Elle s'applique à tout trafic qui conditionne le dimensionnement sous charge répétée d'une structure de chaussée.</w:t>
            </w:r>
          </w:p>
        </w:tc>
      </w:tr>
      <w:tr w:rsidR="0043547B" w:rsidRPr="0043547B" w:rsidTr="00E13CAF">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13.1.219</w:t>
            </w:r>
          </w:p>
        </w:tc>
      </w:tr>
      <w:tr w:rsidR="0043547B" w:rsidRPr="0043547B" w:rsidTr="00E13CAF">
        <w:trPr>
          <w:trHeight w:val="49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5F2ACD" w:rsidRPr="0043547B" w:rsidRDefault="005F2ACD" w:rsidP="00542A0D">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000000" w:fill="FFFFFF"/>
            <w:hideMark/>
          </w:tcPr>
          <w:p w:rsidR="005F2ACD" w:rsidRPr="0043547B" w:rsidRDefault="005F2ACD" w:rsidP="00542A0D">
            <w:pPr>
              <w:spacing w:after="0" w:line="240" w:lineRule="auto"/>
              <w:rPr>
                <w:rFonts w:cstheme="minorHAnsi"/>
                <w:sz w:val="24"/>
                <w:szCs w:val="24"/>
              </w:rPr>
            </w:pPr>
            <w:r w:rsidRPr="0043547B">
              <w:rPr>
                <w:rFonts w:cstheme="minorHAnsi"/>
                <w:sz w:val="24"/>
                <w:szCs w:val="24"/>
              </w:rPr>
              <w:t xml:space="preserve">Dimensionnement structurel des chaussées routières - Application aux chaussées neuves ; </w:t>
            </w:r>
          </w:p>
        </w:tc>
      </w:tr>
      <w:tr w:rsidR="0043547B" w:rsidRPr="0043547B" w:rsidTr="00E13CAF">
        <w:trPr>
          <w:trHeight w:val="7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5F2ACD" w:rsidRPr="0043547B" w:rsidRDefault="005F2ACD" w:rsidP="00542A0D">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000000" w:fill="FFFFFF"/>
            <w:hideMark/>
          </w:tcPr>
          <w:p w:rsidR="00542A0D" w:rsidRDefault="005F2ACD" w:rsidP="00542A0D">
            <w:pPr>
              <w:spacing w:after="0" w:line="240" w:lineRule="auto"/>
              <w:jc w:val="both"/>
              <w:rPr>
                <w:rFonts w:cstheme="minorHAnsi"/>
                <w:sz w:val="24"/>
                <w:szCs w:val="24"/>
              </w:rPr>
            </w:pPr>
            <w:r w:rsidRPr="0043547B">
              <w:rPr>
                <w:rFonts w:cstheme="minorHAnsi"/>
                <w:sz w:val="24"/>
                <w:szCs w:val="24"/>
              </w:rPr>
              <w:t>La présente norme s’applique aux chaussées neuves ouvertes à la circulation des poids lourds et</w:t>
            </w:r>
            <w:r w:rsidR="00F22FCF">
              <w:rPr>
                <w:rFonts w:cstheme="minorHAnsi"/>
                <w:sz w:val="24"/>
                <w:szCs w:val="24"/>
              </w:rPr>
              <w:t xml:space="preserve"> </w:t>
            </w:r>
            <w:r w:rsidRPr="0043547B">
              <w:rPr>
                <w:rFonts w:cstheme="minorHAnsi"/>
                <w:sz w:val="24"/>
                <w:szCs w:val="24"/>
              </w:rPr>
              <w:t>des automobiles pour un trafic minimal T5 ou de plus de 50 000 essieux équivalents.</w:t>
            </w:r>
          </w:p>
          <w:p w:rsidR="00542A0D" w:rsidRDefault="005F2ACD" w:rsidP="00542A0D">
            <w:pPr>
              <w:spacing w:after="0" w:line="240" w:lineRule="auto"/>
              <w:jc w:val="both"/>
              <w:rPr>
                <w:rFonts w:cstheme="minorHAnsi"/>
                <w:sz w:val="24"/>
                <w:szCs w:val="24"/>
              </w:rPr>
            </w:pPr>
            <w:r w:rsidRPr="0043547B">
              <w:rPr>
                <w:rFonts w:cstheme="minorHAnsi"/>
                <w:sz w:val="24"/>
                <w:szCs w:val="24"/>
              </w:rPr>
              <w:t>Il concerne les différents types de structures de chaussées : souples, bitumineuses épaisses, semi-rigides,</w:t>
            </w:r>
            <w:r w:rsidR="00F22FCF">
              <w:rPr>
                <w:rFonts w:cstheme="minorHAnsi"/>
                <w:sz w:val="24"/>
                <w:szCs w:val="24"/>
              </w:rPr>
              <w:t xml:space="preserve"> </w:t>
            </w:r>
            <w:r w:rsidRPr="0043547B">
              <w:rPr>
                <w:rFonts w:cstheme="minorHAnsi"/>
                <w:sz w:val="24"/>
                <w:szCs w:val="24"/>
              </w:rPr>
              <w:t>mixtes, inverses, en béton de ciment.</w:t>
            </w:r>
          </w:p>
          <w:p w:rsidR="00542A0D" w:rsidRDefault="005F2ACD" w:rsidP="00542A0D">
            <w:pPr>
              <w:spacing w:after="0" w:line="240" w:lineRule="auto"/>
              <w:jc w:val="both"/>
              <w:rPr>
                <w:rFonts w:cstheme="minorHAnsi"/>
                <w:sz w:val="24"/>
                <w:szCs w:val="24"/>
              </w:rPr>
            </w:pPr>
            <w:r w:rsidRPr="0043547B">
              <w:rPr>
                <w:rFonts w:cstheme="minorHAnsi"/>
                <w:sz w:val="24"/>
                <w:szCs w:val="24"/>
              </w:rPr>
              <w:t>Il ne concerne que les matériaux de chaussées normalisés pour les couches d’assises et de surface. Les cas</w:t>
            </w:r>
            <w:r w:rsidR="00F22FCF">
              <w:rPr>
                <w:rFonts w:cstheme="minorHAnsi"/>
                <w:sz w:val="24"/>
                <w:szCs w:val="24"/>
              </w:rPr>
              <w:t xml:space="preserve"> </w:t>
            </w:r>
            <w:r w:rsidRPr="0043547B">
              <w:rPr>
                <w:rFonts w:cstheme="minorHAnsi"/>
                <w:sz w:val="24"/>
                <w:szCs w:val="24"/>
              </w:rPr>
              <w:t>d’emploi de graves–émulsion, de matériaux modulaires, de matériaux à froid ne sont pas traités dans cette norme.</w:t>
            </w:r>
          </w:p>
          <w:p w:rsidR="00542A0D" w:rsidRDefault="005F2ACD" w:rsidP="00542A0D">
            <w:pPr>
              <w:spacing w:after="0" w:line="240" w:lineRule="auto"/>
              <w:jc w:val="both"/>
              <w:rPr>
                <w:rFonts w:cstheme="minorHAnsi"/>
                <w:sz w:val="24"/>
                <w:szCs w:val="24"/>
              </w:rPr>
            </w:pPr>
            <w:r w:rsidRPr="0043547B">
              <w:rPr>
                <w:rFonts w:cstheme="minorHAnsi"/>
                <w:sz w:val="24"/>
                <w:szCs w:val="24"/>
              </w:rPr>
              <w:t>Cette norme est limité au calcul des épaisseurs des couches : il ne traite ni du profil en long, ni du profil en travers des chaussées.</w:t>
            </w:r>
          </w:p>
          <w:p w:rsidR="00542A0D" w:rsidRDefault="005F2ACD" w:rsidP="00542A0D">
            <w:pPr>
              <w:spacing w:after="0" w:line="240" w:lineRule="auto"/>
              <w:jc w:val="both"/>
              <w:rPr>
                <w:rFonts w:cstheme="minorHAnsi"/>
                <w:sz w:val="24"/>
                <w:szCs w:val="24"/>
              </w:rPr>
            </w:pPr>
            <w:r w:rsidRPr="0043547B">
              <w:rPr>
                <w:rFonts w:cstheme="minorHAnsi"/>
                <w:sz w:val="24"/>
                <w:szCs w:val="24"/>
              </w:rPr>
              <w:t>La méthode normalisée est applicable aux voiries urbaines hormis les chaussées comportant des particularités</w:t>
            </w:r>
            <w:r w:rsidR="00F22FCF">
              <w:rPr>
                <w:rFonts w:cstheme="minorHAnsi"/>
                <w:sz w:val="24"/>
                <w:szCs w:val="24"/>
              </w:rPr>
              <w:t xml:space="preserve"> </w:t>
            </w:r>
            <w:r w:rsidRPr="0043547B">
              <w:rPr>
                <w:rFonts w:cstheme="minorHAnsi"/>
                <w:sz w:val="24"/>
                <w:szCs w:val="24"/>
              </w:rPr>
              <w:t>de centre villes (présence de réseaux enterrés significatifs et ramifiés, par exemple).</w:t>
            </w:r>
          </w:p>
          <w:p w:rsidR="005F2ACD" w:rsidRPr="0043547B" w:rsidRDefault="005F2ACD" w:rsidP="00542A0D">
            <w:pPr>
              <w:spacing w:after="0" w:line="240" w:lineRule="auto"/>
              <w:jc w:val="both"/>
              <w:rPr>
                <w:rFonts w:cstheme="minorHAnsi"/>
                <w:sz w:val="24"/>
                <w:szCs w:val="24"/>
              </w:rPr>
            </w:pPr>
            <w:r w:rsidRPr="0043547B">
              <w:rPr>
                <w:rFonts w:cstheme="minorHAnsi"/>
                <w:sz w:val="24"/>
                <w:szCs w:val="24"/>
              </w:rPr>
              <w:lastRenderedPageBreak/>
              <w:t>De la même façon, les éléments permettant de prendre en compte les charges particulières (aéronefs, chariots porte container, transports en commun en site propre avec ou sans rails, charges statiques, etc.), ne figurent pas dans cette norme.</w:t>
            </w:r>
          </w:p>
        </w:tc>
      </w:tr>
      <w:tr w:rsidR="0043547B" w:rsidRPr="0043547B" w:rsidTr="00E13CAF">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13.1.220</w:t>
            </w:r>
          </w:p>
        </w:tc>
      </w:tr>
      <w:tr w:rsidR="0043547B" w:rsidRPr="0043547B" w:rsidTr="00E13CAF">
        <w:trPr>
          <w:trHeight w:val="330"/>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000000" w:fill="FFFFFF"/>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Chaussées et dépendances - Tranchées : ouverture, remblayage, réfection</w:t>
            </w:r>
          </w:p>
        </w:tc>
      </w:tr>
      <w:tr w:rsidR="0043547B" w:rsidRPr="0043547B" w:rsidTr="00E13CAF">
        <w:trPr>
          <w:trHeight w:val="2413"/>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000000" w:fill="FFFFFF"/>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aux techniques et contraintes relatives à l'ouverture et au remblayage des fouilles ou tranchées, ainsi qu'à la réfection de la chaussée et de ses dépendances, en agglomération et hors agglomération lors de travaux d'ouverture de fouilles, de remblayage et de réfection nécessités par la mi</w:t>
            </w:r>
            <w:r w:rsidR="00F22FCF">
              <w:rPr>
                <w:rFonts w:eastAsia="Times New Roman" w:cstheme="minorHAnsi"/>
                <w:sz w:val="24"/>
                <w:szCs w:val="24"/>
                <w:lang w:eastAsia="fr-FR"/>
              </w:rPr>
              <w:t xml:space="preserve">se en place ou </w:t>
            </w:r>
            <w:r w:rsidRPr="0043547B">
              <w:rPr>
                <w:rFonts w:eastAsia="Times New Roman" w:cstheme="minorHAnsi"/>
                <w:sz w:val="24"/>
                <w:szCs w:val="24"/>
                <w:lang w:eastAsia="fr-FR"/>
              </w:rPr>
              <w:t>l'entretien de réseaux.</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Il ne concerne pas les réseaux posés par d’autres méthodes que la tranchée ouverte.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 document s'applique aux travaux entrepris par, ou pour le compte des personnes physiques ou morales suivantes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les propriétaires ou gestionnaires du domaine public ou privé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les maîtres d’ouvrages ou gestionnaires de réseaux qui peuvent être permissionnaires de voirie ou occupants de droit de la voirie.</w:t>
            </w:r>
          </w:p>
        </w:tc>
      </w:tr>
      <w:tr w:rsidR="0043547B" w:rsidRPr="0043547B" w:rsidTr="00E13CAF">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13.1.224</w:t>
            </w:r>
          </w:p>
        </w:tc>
      </w:tr>
      <w:tr w:rsidR="000963BC" w:rsidRPr="0043547B" w:rsidTr="0005650C">
        <w:trPr>
          <w:trHeight w:val="49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0963BC" w:rsidRPr="0043547B" w:rsidRDefault="000963BC" w:rsidP="000963BC">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000000" w:fill="FFFFFF"/>
            <w:hideMark/>
          </w:tcPr>
          <w:p w:rsidR="000963BC" w:rsidRPr="00D539C2" w:rsidRDefault="000963BC" w:rsidP="00D539C2">
            <w:pPr>
              <w:spacing w:after="0" w:line="240" w:lineRule="auto"/>
              <w:jc w:val="both"/>
              <w:rPr>
                <w:rFonts w:ascii="Calibri" w:hAnsi="Calibri" w:cs="Calibri"/>
                <w:sz w:val="24"/>
                <w:szCs w:val="24"/>
              </w:rPr>
            </w:pPr>
            <w:r w:rsidRPr="00D539C2">
              <w:rPr>
                <w:rFonts w:ascii="Calibri" w:hAnsi="Calibri" w:cs="Calibri"/>
                <w:sz w:val="24"/>
                <w:szCs w:val="24"/>
              </w:rPr>
              <w:t>Matériel de construction et d'entretien des routes - Gravillonneurs - Terminologie - Spécifications techniques et commerciales  </w:t>
            </w:r>
          </w:p>
        </w:tc>
      </w:tr>
      <w:tr w:rsidR="000963BC" w:rsidRPr="0043547B" w:rsidTr="0005650C">
        <w:trPr>
          <w:trHeight w:val="571"/>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0963BC" w:rsidRPr="0043547B" w:rsidRDefault="000963BC" w:rsidP="000963BC">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000000" w:fill="FFFFFF"/>
            <w:hideMark/>
          </w:tcPr>
          <w:p w:rsidR="00D539C2" w:rsidRDefault="000963BC" w:rsidP="00D539C2">
            <w:pPr>
              <w:spacing w:after="0" w:line="240" w:lineRule="auto"/>
              <w:jc w:val="both"/>
              <w:rPr>
                <w:rFonts w:ascii="Calibri" w:hAnsi="Calibri" w:cs="Calibri"/>
                <w:sz w:val="24"/>
                <w:szCs w:val="24"/>
              </w:rPr>
            </w:pPr>
            <w:r w:rsidRPr="00D539C2">
              <w:rPr>
                <w:rFonts w:ascii="Calibri" w:hAnsi="Calibri" w:cs="Calibri"/>
                <w:sz w:val="24"/>
                <w:szCs w:val="24"/>
              </w:rPr>
              <w:t>Le présent document établit la terminologie et fixe la nature des spécifications techniques et commerciales des gravillonneurs ou parties épandage de gravillons des répandeuses gravillonneurs synchrones.</w:t>
            </w:r>
          </w:p>
          <w:p w:rsidR="000963BC" w:rsidRPr="00D539C2" w:rsidRDefault="000963BC" w:rsidP="00D539C2">
            <w:pPr>
              <w:spacing w:after="0" w:line="240" w:lineRule="auto"/>
              <w:jc w:val="both"/>
              <w:rPr>
                <w:rFonts w:ascii="Calibri" w:hAnsi="Calibri" w:cs="Calibri"/>
                <w:sz w:val="24"/>
                <w:szCs w:val="24"/>
              </w:rPr>
            </w:pPr>
            <w:r w:rsidRPr="00D539C2">
              <w:rPr>
                <w:rFonts w:ascii="Calibri" w:hAnsi="Calibri" w:cs="Calibri"/>
                <w:sz w:val="24"/>
                <w:szCs w:val="24"/>
              </w:rPr>
              <w:t>Il concerne les gravillonneurs et parties épandage de gravillons des répandeuses gravillonneurs synchrones destinés aux travaux de chaussées.</w:t>
            </w:r>
          </w:p>
        </w:tc>
      </w:tr>
      <w:tr w:rsidR="0043547B" w:rsidRPr="0043547B" w:rsidTr="00E13CAF">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D539C2" w:rsidRDefault="00904E52" w:rsidP="00D539C2">
            <w:pPr>
              <w:spacing w:after="0" w:line="240" w:lineRule="auto"/>
              <w:jc w:val="center"/>
              <w:rPr>
                <w:rFonts w:eastAsia="Times New Roman" w:cstheme="minorHAnsi"/>
                <w:sz w:val="24"/>
                <w:szCs w:val="24"/>
                <w:lang w:eastAsia="fr-FR"/>
              </w:rPr>
            </w:pPr>
            <w:r w:rsidRPr="00D539C2">
              <w:rPr>
                <w:rFonts w:eastAsia="Times New Roman" w:cstheme="minorHAnsi"/>
                <w:b/>
                <w:bCs/>
                <w:sz w:val="24"/>
                <w:szCs w:val="24"/>
                <w:lang w:eastAsia="fr-FR"/>
              </w:rPr>
              <w:t>NM 13.1.229</w:t>
            </w:r>
          </w:p>
        </w:tc>
      </w:tr>
      <w:tr w:rsidR="000963BC" w:rsidRPr="0043547B" w:rsidTr="0005650C">
        <w:trPr>
          <w:trHeight w:val="73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0963BC" w:rsidRPr="0043547B" w:rsidRDefault="000963BC" w:rsidP="000963BC">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000000" w:fill="FFFFFF"/>
            <w:hideMark/>
          </w:tcPr>
          <w:p w:rsidR="000963BC" w:rsidRPr="00D539C2" w:rsidRDefault="000963BC" w:rsidP="00D539C2">
            <w:pPr>
              <w:spacing w:after="0" w:line="240" w:lineRule="auto"/>
              <w:jc w:val="both"/>
              <w:rPr>
                <w:rFonts w:ascii="Calibri" w:hAnsi="Calibri" w:cs="Calibri"/>
                <w:sz w:val="24"/>
                <w:szCs w:val="24"/>
              </w:rPr>
            </w:pPr>
            <w:r w:rsidRPr="00D539C2">
              <w:rPr>
                <w:rFonts w:ascii="Calibri" w:hAnsi="Calibri" w:cs="Calibri"/>
                <w:sz w:val="24"/>
                <w:szCs w:val="24"/>
              </w:rPr>
              <w:t xml:space="preserve">Matériels de construction et d'entretien des routes - Installations de fabrication d'enrobés bitumineux à chaud - Définition des équipements constitutifs, des caractéristiques et vérification des réglages initiaux - Installations de fabrication d'enrobés en mode continu </w:t>
            </w:r>
          </w:p>
        </w:tc>
      </w:tr>
      <w:tr w:rsidR="000963BC" w:rsidRPr="0043547B" w:rsidTr="0005650C">
        <w:trPr>
          <w:trHeight w:val="548"/>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0963BC" w:rsidRPr="0043547B" w:rsidRDefault="000963BC" w:rsidP="000963BC">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000000" w:fill="FFFFFF"/>
            <w:hideMark/>
          </w:tcPr>
          <w:p w:rsidR="000963BC" w:rsidRPr="00D539C2" w:rsidRDefault="000963BC" w:rsidP="00D539C2">
            <w:pPr>
              <w:spacing w:after="0" w:line="240" w:lineRule="auto"/>
              <w:jc w:val="both"/>
              <w:rPr>
                <w:rFonts w:ascii="Calibri" w:hAnsi="Calibri" w:cs="Calibri"/>
                <w:sz w:val="24"/>
                <w:szCs w:val="24"/>
              </w:rPr>
            </w:pPr>
            <w:r w:rsidRPr="00D539C2">
              <w:rPr>
                <w:rFonts w:ascii="Calibri" w:hAnsi="Calibri" w:cs="Calibri"/>
                <w:sz w:val="24"/>
                <w:szCs w:val="24"/>
              </w:rPr>
              <w:t>Le présent document dont l’objet est défini dans l’</w:t>
            </w:r>
            <w:r w:rsidR="00D539C2" w:rsidRPr="00D539C2">
              <w:rPr>
                <w:rFonts w:ascii="Calibri" w:hAnsi="Calibri" w:cs="Calibri"/>
                <w:sz w:val="24"/>
                <w:szCs w:val="24"/>
              </w:rPr>
              <w:t>avant-propos</w:t>
            </w:r>
            <w:r w:rsidRPr="00D539C2">
              <w:rPr>
                <w:rFonts w:ascii="Calibri" w:hAnsi="Calibri" w:cs="Calibri"/>
                <w:sz w:val="24"/>
                <w:szCs w:val="24"/>
              </w:rPr>
              <w:t>, s’applique aux installations de fabrication d’enrobés bitumineux à chaud utilisées pour fabriquer les mélanges destinés à la confection des enrobés hydrocarbonés, pour assises, couches de liaison et couches de roulement de chaussées, et autres ouvrages.</w:t>
            </w:r>
          </w:p>
        </w:tc>
      </w:tr>
      <w:tr w:rsidR="0043547B" w:rsidRPr="0043547B" w:rsidTr="00E13CAF">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D539C2" w:rsidRDefault="00904E52" w:rsidP="00D539C2">
            <w:pPr>
              <w:spacing w:after="0" w:line="240" w:lineRule="auto"/>
              <w:jc w:val="center"/>
              <w:rPr>
                <w:rFonts w:eastAsia="Times New Roman" w:cstheme="minorHAnsi"/>
                <w:sz w:val="24"/>
                <w:szCs w:val="24"/>
                <w:lang w:eastAsia="fr-FR"/>
              </w:rPr>
            </w:pPr>
            <w:r w:rsidRPr="00D539C2">
              <w:rPr>
                <w:rFonts w:eastAsia="Times New Roman" w:cstheme="minorHAnsi"/>
                <w:b/>
                <w:bCs/>
                <w:sz w:val="24"/>
                <w:szCs w:val="24"/>
                <w:lang w:eastAsia="fr-FR"/>
              </w:rPr>
              <w:t>NM 13.1.230</w:t>
            </w:r>
          </w:p>
        </w:tc>
      </w:tr>
      <w:tr w:rsidR="000963BC" w:rsidRPr="0043547B" w:rsidTr="0005650C">
        <w:trPr>
          <w:trHeight w:val="73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0963BC" w:rsidRPr="0043547B" w:rsidRDefault="000963BC" w:rsidP="000963BC">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000000" w:fill="FFFFFF"/>
            <w:hideMark/>
          </w:tcPr>
          <w:p w:rsidR="000963BC" w:rsidRPr="00D539C2" w:rsidRDefault="000963BC" w:rsidP="00D539C2">
            <w:pPr>
              <w:spacing w:after="0" w:line="240" w:lineRule="auto"/>
              <w:jc w:val="both"/>
              <w:rPr>
                <w:rFonts w:ascii="Calibri" w:hAnsi="Calibri" w:cs="Calibri"/>
                <w:sz w:val="24"/>
                <w:szCs w:val="24"/>
              </w:rPr>
            </w:pPr>
            <w:r w:rsidRPr="00D539C2">
              <w:rPr>
                <w:rFonts w:ascii="Calibri" w:hAnsi="Calibri" w:cs="Calibri"/>
                <w:sz w:val="24"/>
                <w:szCs w:val="24"/>
              </w:rPr>
              <w:t>Matériels de construction et d'entretien des routes - Installations de fabrication d'enrobés bitumineux à chaud - Définition des équipements constitutifs, des caractéristiques et vérification des réglages initiaux - Installations de fabrication d'enrobés en mode discontinu</w:t>
            </w:r>
          </w:p>
        </w:tc>
      </w:tr>
      <w:tr w:rsidR="000963BC" w:rsidRPr="0043547B" w:rsidTr="0005650C">
        <w:trPr>
          <w:trHeight w:val="958"/>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0963BC" w:rsidRPr="0043547B" w:rsidRDefault="000963BC" w:rsidP="000963BC">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000000" w:fill="FFFFFF"/>
            <w:hideMark/>
          </w:tcPr>
          <w:p w:rsidR="000963BC" w:rsidRPr="00D539C2" w:rsidRDefault="000963BC" w:rsidP="00D539C2">
            <w:pPr>
              <w:spacing w:after="0" w:line="240" w:lineRule="auto"/>
              <w:jc w:val="both"/>
              <w:rPr>
                <w:rFonts w:ascii="Calibri" w:hAnsi="Calibri" w:cs="Calibri"/>
                <w:sz w:val="24"/>
                <w:szCs w:val="24"/>
              </w:rPr>
            </w:pPr>
            <w:r w:rsidRPr="00D539C2">
              <w:rPr>
                <w:rFonts w:ascii="Calibri" w:hAnsi="Calibri" w:cs="Calibri"/>
                <w:sz w:val="24"/>
                <w:szCs w:val="24"/>
              </w:rPr>
              <w:t>Le présent document dont l’objet est défini dans l’</w:t>
            </w:r>
            <w:r w:rsidR="00D539C2" w:rsidRPr="00D539C2">
              <w:rPr>
                <w:rFonts w:ascii="Calibri" w:hAnsi="Calibri" w:cs="Calibri"/>
                <w:sz w:val="24"/>
                <w:szCs w:val="24"/>
              </w:rPr>
              <w:t>avant-propos</w:t>
            </w:r>
            <w:r w:rsidRPr="00D539C2">
              <w:rPr>
                <w:rFonts w:ascii="Calibri" w:hAnsi="Calibri" w:cs="Calibri"/>
                <w:sz w:val="24"/>
                <w:szCs w:val="24"/>
              </w:rPr>
              <w:t>, s’applique aux installations de fabrication d’enrobés bitumineux à chaud utilisées pour fabriquer les mélanges destinés à la confection des enrobés hydrocarbonés pour assises, couches de liaison et couches de roulement de chaussée et autres ouvrages.</w:t>
            </w:r>
          </w:p>
        </w:tc>
      </w:tr>
      <w:tr w:rsidR="0043547B" w:rsidRPr="0043547B" w:rsidTr="00E13CAF">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6A9B" w:rsidRPr="0043547B" w:rsidRDefault="00906A9B" w:rsidP="009C4F58">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6A9B" w:rsidRPr="0043547B" w:rsidRDefault="00906A9B" w:rsidP="009C4F58">
            <w:pPr>
              <w:spacing w:after="0" w:line="240" w:lineRule="auto"/>
              <w:jc w:val="center"/>
              <w:rPr>
                <w:rFonts w:cstheme="minorHAnsi"/>
                <w:b/>
                <w:bCs/>
                <w:sz w:val="24"/>
                <w:szCs w:val="24"/>
              </w:rPr>
            </w:pPr>
            <w:r w:rsidRPr="0043547B">
              <w:rPr>
                <w:rFonts w:cstheme="minorHAnsi"/>
                <w:b/>
                <w:bCs/>
                <w:sz w:val="24"/>
                <w:szCs w:val="24"/>
              </w:rPr>
              <w:t>NM EN 13108-6</w:t>
            </w:r>
          </w:p>
        </w:tc>
      </w:tr>
      <w:tr w:rsidR="0043547B" w:rsidRPr="0043547B" w:rsidTr="00E13CAF">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6A9B" w:rsidRPr="0043547B" w:rsidRDefault="00906A9B" w:rsidP="009C4F58">
            <w:pPr>
              <w:spacing w:after="0" w:line="240" w:lineRule="auto"/>
              <w:jc w:val="center"/>
              <w:rPr>
                <w:rFonts w:cstheme="minorHAnsi"/>
                <w:b/>
                <w:bCs/>
                <w:sz w:val="24"/>
                <w:szCs w:val="24"/>
              </w:rPr>
            </w:pPr>
            <w:r w:rsidRPr="0043547B">
              <w:rPr>
                <w:rFonts w:cstheme="minorHAnsi"/>
                <w:b/>
                <w:bCs/>
                <w:sz w:val="24"/>
                <w:szCs w:val="24"/>
              </w:rPr>
              <w:lastRenderedPageBreak/>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906A9B" w:rsidRPr="0043547B" w:rsidRDefault="00906A9B" w:rsidP="009C4F58">
            <w:pPr>
              <w:spacing w:after="0" w:line="240" w:lineRule="auto"/>
              <w:jc w:val="center"/>
              <w:rPr>
                <w:rFonts w:cstheme="minorHAnsi"/>
                <w:b/>
                <w:bCs/>
                <w:sz w:val="24"/>
                <w:szCs w:val="24"/>
              </w:rPr>
            </w:pPr>
            <w:r w:rsidRPr="0043547B">
              <w:rPr>
                <w:rFonts w:cstheme="minorHAnsi"/>
                <w:b/>
                <w:bCs/>
                <w:sz w:val="24"/>
                <w:szCs w:val="24"/>
              </w:rPr>
              <w:t>EN 13108-6</w:t>
            </w:r>
          </w:p>
        </w:tc>
      </w:tr>
      <w:tr w:rsidR="0043547B" w:rsidRPr="0043547B" w:rsidTr="00E13CAF">
        <w:trPr>
          <w:trHeight w:val="33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6A9B" w:rsidRPr="0043547B" w:rsidRDefault="00906A9B" w:rsidP="009C4F58">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000000" w:fill="FFFFFF"/>
            <w:hideMark/>
          </w:tcPr>
          <w:p w:rsidR="00906A9B" w:rsidRPr="0043547B" w:rsidRDefault="00906A9B" w:rsidP="009C4F58">
            <w:pPr>
              <w:spacing w:after="0" w:line="240" w:lineRule="auto"/>
              <w:rPr>
                <w:rFonts w:cstheme="minorHAnsi"/>
                <w:sz w:val="24"/>
                <w:szCs w:val="24"/>
              </w:rPr>
            </w:pPr>
            <w:r w:rsidRPr="0043547B">
              <w:rPr>
                <w:rFonts w:cstheme="minorHAnsi"/>
                <w:sz w:val="24"/>
                <w:szCs w:val="24"/>
              </w:rPr>
              <w:t>Mélanges bitumineux - Spécifications des matériaux - Partie 6 : Asphalte coulé routier ; (IC 03.4.244) (RMC)</w:t>
            </w:r>
          </w:p>
        </w:tc>
      </w:tr>
      <w:tr w:rsidR="0043547B" w:rsidRPr="0043547B" w:rsidTr="00E13CAF">
        <w:trPr>
          <w:trHeight w:val="1779"/>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6A9B" w:rsidRPr="0043547B" w:rsidRDefault="00906A9B" w:rsidP="009C4F58">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000000" w:fill="FFFFFF"/>
            <w:hideMark/>
          </w:tcPr>
          <w:p w:rsidR="00542A0D" w:rsidRDefault="00906A9B" w:rsidP="009C4F58">
            <w:pPr>
              <w:spacing w:after="0" w:line="240" w:lineRule="auto"/>
              <w:jc w:val="both"/>
              <w:rPr>
                <w:rFonts w:cstheme="minorHAnsi"/>
                <w:sz w:val="24"/>
                <w:szCs w:val="24"/>
              </w:rPr>
            </w:pPr>
            <w:r w:rsidRPr="0043547B">
              <w:rPr>
                <w:rFonts w:cstheme="minorHAnsi"/>
                <w:sz w:val="24"/>
                <w:szCs w:val="24"/>
              </w:rPr>
              <w:t>Cette norme européenne spécifie les exigences relatives à la famille des asphaltes coulés routiers destinés à être utilisés pour les routes, les aéroports et autres zones de circulation.</w:t>
            </w:r>
          </w:p>
          <w:p w:rsidR="009C4F58" w:rsidRPr="00542A0D" w:rsidRDefault="00906A9B" w:rsidP="009C4F58">
            <w:pPr>
              <w:spacing w:after="0" w:line="240" w:lineRule="auto"/>
              <w:jc w:val="both"/>
              <w:rPr>
                <w:rFonts w:cstheme="minorHAnsi"/>
                <w:i/>
                <w:iCs/>
              </w:rPr>
            </w:pPr>
            <w:r w:rsidRPr="00542A0D">
              <w:rPr>
                <w:rFonts w:cstheme="minorHAnsi"/>
                <w:b/>
                <w:bCs/>
                <w:i/>
                <w:iCs/>
              </w:rPr>
              <w:t>NOTE</w:t>
            </w:r>
            <w:r w:rsidR="009C4F58" w:rsidRPr="00542A0D">
              <w:rPr>
                <w:rFonts w:cstheme="minorHAnsi"/>
                <w:b/>
                <w:bCs/>
                <w:i/>
                <w:iCs/>
              </w:rPr>
              <w:t> :</w:t>
            </w:r>
            <w:r w:rsidR="009C4F58" w:rsidRPr="00542A0D">
              <w:rPr>
                <w:rFonts w:cstheme="minorHAnsi"/>
                <w:i/>
                <w:iCs/>
              </w:rPr>
              <w:t xml:space="preserve"> </w:t>
            </w:r>
            <w:r w:rsidRPr="00542A0D">
              <w:rPr>
                <w:rFonts w:cstheme="minorHAnsi"/>
                <w:i/>
                <w:iCs/>
              </w:rPr>
              <w:t>Une spécification sur un mélange issue de cette norme peut être utilisée soit pour déclarer la conformité d’un mélange à des exigences connues soit pour faire savoir ce que sont ces exigences.</w:t>
            </w:r>
          </w:p>
          <w:p w:rsidR="009C4F58" w:rsidRPr="0043547B" w:rsidRDefault="00906A9B" w:rsidP="009C4F58">
            <w:pPr>
              <w:spacing w:after="0" w:line="240" w:lineRule="auto"/>
              <w:jc w:val="both"/>
              <w:rPr>
                <w:rFonts w:cstheme="minorHAnsi"/>
                <w:sz w:val="24"/>
                <w:szCs w:val="24"/>
              </w:rPr>
            </w:pPr>
            <w:r w:rsidRPr="0043547B">
              <w:rPr>
                <w:rFonts w:cstheme="minorHAnsi"/>
                <w:sz w:val="24"/>
                <w:szCs w:val="24"/>
              </w:rPr>
              <w:t>Cette norme européenne comporte des exigences relatives à la sélection des divers constituants. Elle est destinée à être utilisée conjointement avec les normes EN 13108-20 et EN 13108-21.</w:t>
            </w:r>
          </w:p>
          <w:p w:rsidR="00906A9B" w:rsidRPr="0043547B" w:rsidRDefault="00906A9B" w:rsidP="009C4F58">
            <w:pPr>
              <w:spacing w:after="0" w:line="240" w:lineRule="auto"/>
              <w:jc w:val="both"/>
              <w:rPr>
                <w:rFonts w:cstheme="minorHAnsi"/>
                <w:sz w:val="24"/>
                <w:szCs w:val="24"/>
              </w:rPr>
            </w:pPr>
            <w:r w:rsidRPr="0043547B">
              <w:rPr>
                <w:rFonts w:cstheme="minorHAnsi"/>
                <w:sz w:val="24"/>
                <w:szCs w:val="24"/>
              </w:rPr>
              <w:t>Les asphaltes coulés routiers contenant des liants chimiquement modifiés qui ne sont pas couverts par la norme EN 14023, ne sont pas couverts par la présente Norme européenne.</w:t>
            </w:r>
          </w:p>
        </w:tc>
      </w:tr>
      <w:tr w:rsidR="0043547B" w:rsidRPr="0043547B" w:rsidTr="00E13CAF">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13.1.279</w:t>
            </w:r>
          </w:p>
        </w:tc>
      </w:tr>
      <w:tr w:rsidR="0043547B" w:rsidRPr="0043547B" w:rsidTr="00E13CAF">
        <w:trPr>
          <w:trHeight w:val="49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000000" w:fill="FFFFFF"/>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Chaussées urbaines - Mise en œuvre des pavés et dalles en béton, des pavés en terre cuite et des pavés et dalles en pierre naturelle </w:t>
            </w:r>
          </w:p>
        </w:tc>
      </w:tr>
      <w:tr w:rsidR="0043547B" w:rsidRPr="0043547B" w:rsidTr="00E13CAF">
        <w:trPr>
          <w:trHeight w:val="418"/>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000000" w:fill="FFFFFF"/>
            <w:vAlign w:val="center"/>
            <w:hideMark/>
          </w:tcPr>
          <w:p w:rsidR="00542A0D"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a pour objet de définir les modalités de mise en œuvre des matériaux modulaires pour les revêtements de sols extérieurs de voirie et d’espaces publics.</w:t>
            </w:r>
            <w:r w:rsidRPr="0043547B">
              <w:rPr>
                <w:rFonts w:eastAsia="Times New Roman" w:cstheme="minorHAnsi"/>
                <w:sz w:val="24"/>
                <w:szCs w:val="24"/>
                <w:lang w:eastAsia="fr-FR"/>
              </w:rPr>
              <w:br/>
              <w:t>Elle précise les matériaux et les produits concernés ainsi que leur domaine d’utilisation, les conditions de mise en œuvre du lit de pose, les conditions de pose, les conditions de réalisation des joints, les contrôles et l’entretien à effectuer sur les ouvrages finis.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ne concerne pas la conception et la réalisation des assises mais précise les conditions de leur réception.</w:t>
            </w:r>
          </w:p>
        </w:tc>
      </w:tr>
      <w:tr w:rsidR="0043547B" w:rsidRPr="0043547B" w:rsidTr="00E13CAF">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13.1.289</w:t>
            </w:r>
          </w:p>
        </w:tc>
      </w:tr>
      <w:tr w:rsidR="0043547B" w:rsidRPr="0043547B" w:rsidTr="00E13CAF">
        <w:trPr>
          <w:trHeight w:val="49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3C27D6" w:rsidRPr="0043547B" w:rsidRDefault="003C27D6" w:rsidP="00542A0D">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000000" w:fill="FFFFFF"/>
            <w:hideMark/>
          </w:tcPr>
          <w:p w:rsidR="003C27D6" w:rsidRPr="0043547B" w:rsidRDefault="003C27D6" w:rsidP="00542A0D">
            <w:pPr>
              <w:spacing w:after="0" w:line="240" w:lineRule="auto"/>
              <w:rPr>
                <w:rFonts w:cstheme="minorHAnsi"/>
                <w:sz w:val="24"/>
                <w:szCs w:val="24"/>
              </w:rPr>
            </w:pPr>
            <w:r w:rsidRPr="0043547B">
              <w:rPr>
                <w:rFonts w:cstheme="minorHAnsi"/>
                <w:sz w:val="24"/>
                <w:szCs w:val="24"/>
              </w:rPr>
              <w:t>Assises de chaussées et plates-formes - Bétons compactés routiers et graves traitées aux liants hydrauliques à hautes performances - Définition, composition et classification </w:t>
            </w:r>
          </w:p>
        </w:tc>
      </w:tr>
      <w:tr w:rsidR="0043547B" w:rsidRPr="0043547B" w:rsidTr="00E13CAF">
        <w:trPr>
          <w:trHeight w:val="615"/>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3C27D6" w:rsidRPr="0043547B" w:rsidRDefault="003C27D6" w:rsidP="00542A0D">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000000" w:fill="FFFFFF"/>
            <w:hideMark/>
          </w:tcPr>
          <w:p w:rsidR="00542A0D" w:rsidRDefault="003C27D6" w:rsidP="00542A0D">
            <w:pPr>
              <w:spacing w:after="0" w:line="240" w:lineRule="auto"/>
              <w:jc w:val="both"/>
              <w:rPr>
                <w:rFonts w:cstheme="minorHAnsi"/>
                <w:sz w:val="24"/>
                <w:szCs w:val="24"/>
              </w:rPr>
            </w:pPr>
            <w:r w:rsidRPr="0043547B">
              <w:rPr>
                <w:rFonts w:cstheme="minorHAnsi"/>
                <w:sz w:val="24"/>
                <w:szCs w:val="24"/>
              </w:rPr>
              <w:t>La présente norme s’applique :</w:t>
            </w:r>
          </w:p>
          <w:p w:rsidR="00542A0D" w:rsidRDefault="003C27D6" w:rsidP="00542A0D">
            <w:pPr>
              <w:spacing w:after="0" w:line="240" w:lineRule="auto"/>
              <w:jc w:val="both"/>
              <w:rPr>
                <w:rFonts w:cstheme="minorHAnsi"/>
                <w:sz w:val="24"/>
                <w:szCs w:val="24"/>
              </w:rPr>
            </w:pPr>
            <w:r w:rsidRPr="0043547B">
              <w:rPr>
                <w:rFonts w:cstheme="minorHAnsi"/>
                <w:sz w:val="24"/>
                <w:szCs w:val="24"/>
              </w:rPr>
              <w:t>— aux Graves Hydrauliques à Hautes Performances (GHHP) employées dans la confection des assises de</w:t>
            </w:r>
            <w:r w:rsidR="00F22FCF">
              <w:rPr>
                <w:rFonts w:cstheme="minorHAnsi"/>
                <w:sz w:val="24"/>
                <w:szCs w:val="24"/>
              </w:rPr>
              <w:t xml:space="preserve"> </w:t>
            </w:r>
            <w:r w:rsidRPr="0043547B">
              <w:rPr>
                <w:rFonts w:cstheme="minorHAnsi"/>
                <w:sz w:val="24"/>
                <w:szCs w:val="24"/>
              </w:rPr>
              <w:t>chaussées et aux Bétons Compactés Routiers (BCR) employés dans la confection des couches d’assises et</w:t>
            </w:r>
            <w:r w:rsidR="00F22FCF">
              <w:rPr>
                <w:rFonts w:cstheme="minorHAnsi"/>
                <w:sz w:val="24"/>
                <w:szCs w:val="24"/>
              </w:rPr>
              <w:t xml:space="preserve"> </w:t>
            </w:r>
            <w:r w:rsidRPr="0043547B">
              <w:rPr>
                <w:rFonts w:cstheme="minorHAnsi"/>
                <w:sz w:val="24"/>
                <w:szCs w:val="24"/>
              </w:rPr>
              <w:t>en particulier des couches de fondation des plates-formes de transport collectif de surface. Ces matériaux</w:t>
            </w:r>
            <w:r w:rsidRPr="0043547B">
              <w:rPr>
                <w:rFonts w:cstheme="minorHAnsi"/>
                <w:sz w:val="24"/>
                <w:szCs w:val="24"/>
              </w:rPr>
              <w:br/>
              <w:t>sont de granularité 0/14 mm ou 0/20 mm ;</w:t>
            </w:r>
          </w:p>
          <w:p w:rsidR="003C27D6" w:rsidRPr="0043547B" w:rsidRDefault="003C27D6" w:rsidP="00542A0D">
            <w:pPr>
              <w:spacing w:after="0" w:line="240" w:lineRule="auto"/>
              <w:jc w:val="both"/>
              <w:rPr>
                <w:rFonts w:cstheme="minorHAnsi"/>
                <w:sz w:val="24"/>
                <w:szCs w:val="24"/>
              </w:rPr>
            </w:pPr>
            <w:r w:rsidRPr="0043547B">
              <w:rPr>
                <w:rFonts w:cstheme="minorHAnsi"/>
                <w:sz w:val="24"/>
                <w:szCs w:val="24"/>
              </w:rPr>
              <w:t>— aux Bétons Compactés Routiers de granularité 0/31.5 ou 0/63 mm, utilisés généralement dans la confection</w:t>
            </w:r>
            <w:r w:rsidR="00F22FCF">
              <w:rPr>
                <w:rFonts w:cstheme="minorHAnsi"/>
                <w:sz w:val="24"/>
                <w:szCs w:val="24"/>
              </w:rPr>
              <w:t xml:space="preserve"> </w:t>
            </w:r>
            <w:r w:rsidRPr="0043547B">
              <w:rPr>
                <w:rFonts w:cstheme="minorHAnsi"/>
                <w:sz w:val="24"/>
                <w:szCs w:val="24"/>
              </w:rPr>
              <w:t>des couches de structure et/ou de surface des plates-formes portuaires, aéroportuaires, multimodales et</w:t>
            </w:r>
            <w:r w:rsidR="00542A0D">
              <w:rPr>
                <w:rFonts w:cstheme="minorHAnsi"/>
                <w:sz w:val="24"/>
                <w:szCs w:val="24"/>
              </w:rPr>
              <w:t xml:space="preserve"> </w:t>
            </w:r>
            <w:r w:rsidRPr="0043547B">
              <w:rPr>
                <w:rFonts w:cstheme="minorHAnsi"/>
                <w:sz w:val="24"/>
                <w:szCs w:val="24"/>
              </w:rPr>
              <w:t>industrielles (en particulier pour des charges spéciales).</w:t>
            </w:r>
          </w:p>
        </w:tc>
      </w:tr>
      <w:tr w:rsidR="0043547B" w:rsidRPr="0043547B" w:rsidTr="00E13CAF">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13.1.348</w:t>
            </w:r>
            <w:r w:rsidRPr="0043547B">
              <w:rPr>
                <w:rFonts w:eastAsia="Times New Roman" w:cstheme="minorHAnsi"/>
                <w:sz w:val="24"/>
                <w:szCs w:val="24"/>
                <w:lang w:eastAsia="fr-FR"/>
              </w:rPr>
              <w:t xml:space="preserve"> </w:t>
            </w:r>
          </w:p>
        </w:tc>
      </w:tr>
      <w:tr w:rsidR="0043547B" w:rsidRPr="0043547B" w:rsidTr="00E13CAF">
        <w:trPr>
          <w:trHeight w:val="330"/>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3C27D6" w:rsidRPr="0043547B" w:rsidRDefault="003C27D6" w:rsidP="00542A0D">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000000" w:fill="FFFFFF"/>
            <w:hideMark/>
          </w:tcPr>
          <w:p w:rsidR="003C27D6" w:rsidRPr="0043547B" w:rsidRDefault="003C27D6" w:rsidP="00542A0D">
            <w:pPr>
              <w:spacing w:after="0" w:line="240" w:lineRule="auto"/>
              <w:rPr>
                <w:rFonts w:cstheme="minorHAnsi"/>
                <w:sz w:val="24"/>
                <w:szCs w:val="24"/>
              </w:rPr>
            </w:pPr>
            <w:r w:rsidRPr="0043547B">
              <w:rPr>
                <w:rFonts w:cstheme="minorHAnsi"/>
                <w:sz w:val="24"/>
                <w:szCs w:val="24"/>
              </w:rPr>
              <w:t>Assises de chaussées - Activation du laitier vitrifié - Définitions, caractéristiques et spécifications</w:t>
            </w:r>
          </w:p>
        </w:tc>
      </w:tr>
      <w:tr w:rsidR="0043547B" w:rsidRPr="0043547B" w:rsidTr="00E13CAF">
        <w:trPr>
          <w:trHeight w:val="90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3C27D6" w:rsidRPr="0043547B" w:rsidRDefault="003C27D6" w:rsidP="00542A0D">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000000" w:fill="FFFFFF"/>
            <w:hideMark/>
          </w:tcPr>
          <w:p w:rsidR="00542A0D" w:rsidRDefault="003C27D6" w:rsidP="00542A0D">
            <w:pPr>
              <w:spacing w:after="0" w:line="240" w:lineRule="auto"/>
              <w:jc w:val="both"/>
              <w:rPr>
                <w:rFonts w:cstheme="minorHAnsi"/>
                <w:sz w:val="24"/>
                <w:szCs w:val="24"/>
              </w:rPr>
            </w:pPr>
            <w:r w:rsidRPr="0043547B">
              <w:rPr>
                <w:rFonts w:cstheme="minorHAnsi"/>
                <w:sz w:val="24"/>
                <w:szCs w:val="24"/>
              </w:rPr>
              <w:t>La présente norme s'applique à l'activation des laitiers vitrifiés de haut-fourneau utilisés dans la confection</w:t>
            </w:r>
            <w:r w:rsidR="00F22FCF">
              <w:rPr>
                <w:rFonts w:cstheme="minorHAnsi"/>
                <w:sz w:val="24"/>
                <w:szCs w:val="24"/>
              </w:rPr>
              <w:t xml:space="preserve"> </w:t>
            </w:r>
            <w:r w:rsidRPr="0043547B">
              <w:rPr>
                <w:rFonts w:cstheme="minorHAnsi"/>
                <w:sz w:val="24"/>
                <w:szCs w:val="24"/>
              </w:rPr>
              <w:t>de matériaux traités pour assises de chaussées ou en génie civil, matériaux dont le liant hydraulique est constitué du mélange laitier vitrifié et activant.</w:t>
            </w:r>
          </w:p>
          <w:p w:rsidR="003C27D6" w:rsidRPr="0043547B" w:rsidRDefault="003C27D6" w:rsidP="00542A0D">
            <w:pPr>
              <w:spacing w:after="0" w:line="240" w:lineRule="auto"/>
              <w:jc w:val="both"/>
              <w:rPr>
                <w:rFonts w:cstheme="minorHAnsi"/>
                <w:sz w:val="24"/>
                <w:szCs w:val="24"/>
              </w:rPr>
            </w:pPr>
            <w:r w:rsidRPr="0043547B">
              <w:rPr>
                <w:rFonts w:cstheme="minorHAnsi"/>
                <w:sz w:val="24"/>
                <w:szCs w:val="24"/>
              </w:rPr>
              <w:lastRenderedPageBreak/>
              <w:t>Il ne vise pas à caractériser les propriétés liantes de certains produits qui sont hydrauliques de façon autonome.</w:t>
            </w:r>
          </w:p>
        </w:tc>
      </w:tr>
      <w:tr w:rsidR="0043547B" w:rsidRPr="0043547B" w:rsidTr="00E13CAF">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13.1.405</w:t>
            </w:r>
          </w:p>
        </w:tc>
      </w:tr>
      <w:tr w:rsidR="0043547B" w:rsidRPr="0043547B" w:rsidTr="00E13CAF">
        <w:trPr>
          <w:trHeight w:val="49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000000" w:fill="FFFFFF"/>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Assises de chaussées - Graves-émulsion - Définition - Classification - Caractéristiques - Fabrication - Mise en œuvre</w:t>
            </w:r>
          </w:p>
        </w:tc>
      </w:tr>
      <w:tr w:rsidR="0043547B" w:rsidRPr="0043547B" w:rsidTr="00E13CAF">
        <w:trPr>
          <w:trHeight w:val="1621"/>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000000" w:fill="FFFFFF"/>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définit les graves-émulsion, fixe leurs caractéristiques, spécifie les essais aptes à vérifier ces dernières, puis précise les conditions de fabrication, de livraison, les opérations de transport et de mise en œuvre non définies dans la norme NM 13.1.213.</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Il s’applique aux graves-émulsion non stockables (utilisables dans les 24 h) destinées soit au reprofilage et réparations localisées, soit à la réalisation des assises dans le cadre de travaux neufs ou de renforcement de chaussées.</w:t>
            </w:r>
          </w:p>
        </w:tc>
      </w:tr>
      <w:tr w:rsidR="0043547B" w:rsidRPr="0043547B" w:rsidTr="00E13CAF">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13.1.409</w:t>
            </w:r>
          </w:p>
        </w:tc>
      </w:tr>
      <w:tr w:rsidR="0043547B" w:rsidRPr="0043547B" w:rsidTr="00E13CAF">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13036-8</w:t>
            </w:r>
          </w:p>
        </w:tc>
      </w:tr>
      <w:tr w:rsidR="0043547B" w:rsidRPr="0043547B" w:rsidTr="00E13CAF">
        <w:trPr>
          <w:trHeight w:val="49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000000" w:fill="FFFFFF"/>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Caractéristiques de surface des routes et aérodromes - Méthodes d'essais - Détermination des indices d'uni transversal </w:t>
            </w:r>
          </w:p>
        </w:tc>
      </w:tr>
      <w:tr w:rsidR="0043547B" w:rsidRPr="0043547B" w:rsidTr="00E13CAF">
        <w:trPr>
          <w:trHeight w:val="843"/>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000000" w:fill="FFFFFF"/>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Cette norme définit les déformations et défauts d'uni transversaux de la surface de revêtement de chaussée pour les routes et aérodromes ainsi que les méthodes d'évaluation et d'élaboration de comptes-rendus.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indices ont été déterminés principalement de manière indépendante des appareillages de mesure.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Cette norme s’applique particulièrement à la mesure du profil en travers avec les trois buts suivants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paramètres pour fournir un moyen de contrôle qualité des couches de surface des chaussées nouvellement mises en œuvre, notamment en ce qui concerne le respect du dévers et détecter des défauts dus à une mise en œuvre et/ou un compactage inapproprié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paramètres à utiliser pour évaluer l’état des chaussées en service en tant que partie intégrante de programmes de surveillance périodiques de leur état. Ils visent à détecter les déformations transversales dues au trafic, à l'usure de la couche de surface ou aux déformations de la couche inférieure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paramètres pour des actions de reprofilage sur des chaussées en service.</w:t>
            </w:r>
            <w:r w:rsidRPr="0043547B">
              <w:rPr>
                <w:rFonts w:eastAsia="Times New Roman" w:cstheme="minorHAnsi"/>
                <w:sz w:val="24"/>
                <w:szCs w:val="24"/>
                <w:lang w:eastAsia="fr-FR"/>
              </w:rPr>
              <w:br/>
              <w:t>Les paramètres et les méthodes d'évaluation s'appliquent tant aux routes qu'aux aérodromes.</w:t>
            </w:r>
          </w:p>
        </w:tc>
      </w:tr>
      <w:tr w:rsidR="0043547B" w:rsidRPr="0043547B" w:rsidTr="00E13CAF">
        <w:trPr>
          <w:trHeight w:val="111"/>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13.1.063</w:t>
            </w:r>
          </w:p>
        </w:tc>
      </w:tr>
      <w:tr w:rsidR="0043547B" w:rsidRPr="0043547B" w:rsidTr="00E13CAF">
        <w:trPr>
          <w:trHeight w:val="261"/>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tcPr>
          <w:p w:rsidR="003C27D6" w:rsidRPr="0043547B" w:rsidRDefault="003C27D6" w:rsidP="00542A0D">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000000" w:fill="FFFFFF"/>
          </w:tcPr>
          <w:p w:rsidR="003C27D6" w:rsidRPr="0043547B" w:rsidRDefault="003C27D6" w:rsidP="00542A0D">
            <w:pPr>
              <w:spacing w:after="0" w:line="240" w:lineRule="auto"/>
              <w:rPr>
                <w:rFonts w:cstheme="minorHAnsi"/>
                <w:sz w:val="24"/>
                <w:szCs w:val="24"/>
              </w:rPr>
            </w:pPr>
            <w:r w:rsidRPr="0043547B">
              <w:rPr>
                <w:rFonts w:cstheme="minorHAnsi"/>
                <w:sz w:val="24"/>
                <w:szCs w:val="24"/>
              </w:rPr>
              <w:t>Assises de chaussées - Exécution des corps de chaussées - Constituants - Composition des mélanges et formulation - Exécution et contrôle </w:t>
            </w:r>
          </w:p>
        </w:tc>
      </w:tr>
      <w:tr w:rsidR="0043547B" w:rsidRPr="0043547B" w:rsidTr="00E13CAF">
        <w:trPr>
          <w:trHeight w:val="562"/>
          <w:jc w:val="center"/>
        </w:trPr>
        <w:tc>
          <w:tcPr>
            <w:tcW w:w="1838" w:type="dxa"/>
            <w:tcBorders>
              <w:top w:val="nil"/>
              <w:left w:val="single" w:sz="18" w:space="0" w:color="auto"/>
              <w:bottom w:val="single" w:sz="18" w:space="0" w:color="auto"/>
              <w:right w:val="single" w:sz="4" w:space="0" w:color="auto"/>
            </w:tcBorders>
            <w:shd w:val="clear" w:color="000000" w:fill="D9D9D9"/>
            <w:vAlign w:val="center"/>
          </w:tcPr>
          <w:p w:rsidR="003C27D6" w:rsidRPr="0043547B" w:rsidRDefault="003C27D6" w:rsidP="00542A0D">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000000" w:fill="FFFFFF"/>
          </w:tcPr>
          <w:p w:rsidR="003C27D6" w:rsidRPr="0043547B" w:rsidRDefault="003C27D6" w:rsidP="00F21DCC">
            <w:pPr>
              <w:spacing w:after="0" w:line="240" w:lineRule="auto"/>
              <w:rPr>
                <w:rFonts w:cstheme="minorHAnsi"/>
                <w:sz w:val="24"/>
                <w:szCs w:val="24"/>
              </w:rPr>
            </w:pPr>
            <w:r w:rsidRPr="0043547B">
              <w:rPr>
                <w:rFonts w:cstheme="minorHAnsi"/>
                <w:sz w:val="24"/>
                <w:szCs w:val="24"/>
              </w:rPr>
              <w:t>La présente norme s'applique quelle que soit la taille du chantier [1] à la réalisation :</w:t>
            </w:r>
            <w:r w:rsidRPr="0043547B">
              <w:rPr>
                <w:rFonts w:cstheme="minorHAnsi"/>
                <w:sz w:val="24"/>
                <w:szCs w:val="24"/>
              </w:rPr>
              <w:br/>
              <w:t>— d'assises de chaussées non traitées ou traitées aux liants hydrauliques ;</w:t>
            </w:r>
            <w:r w:rsidRPr="0043547B">
              <w:rPr>
                <w:rFonts w:cstheme="minorHAnsi"/>
                <w:sz w:val="24"/>
                <w:szCs w:val="24"/>
              </w:rPr>
              <w:br/>
              <w:t>— d'accotements lorsqu'ils sont considérés comme des assises [2] ;</w:t>
            </w:r>
            <w:r w:rsidRPr="0043547B">
              <w:rPr>
                <w:rFonts w:cstheme="minorHAnsi"/>
                <w:sz w:val="24"/>
                <w:szCs w:val="24"/>
              </w:rPr>
              <w:br/>
              <w:t>— de couche de forme ou de forme/fondation si et seulement si leurs caractéristiques physiques et mécaniques</w:t>
            </w:r>
            <w:r w:rsidR="00F22FCF">
              <w:rPr>
                <w:rFonts w:cstheme="minorHAnsi"/>
                <w:sz w:val="24"/>
                <w:szCs w:val="24"/>
              </w:rPr>
              <w:t xml:space="preserve"> </w:t>
            </w:r>
            <w:r w:rsidRPr="0043547B">
              <w:rPr>
                <w:rFonts w:cstheme="minorHAnsi"/>
                <w:sz w:val="24"/>
                <w:szCs w:val="24"/>
              </w:rPr>
              <w:t>sont prises en compte dans le dimensionnement de la structure de chaussée.</w:t>
            </w:r>
            <w:r w:rsidRPr="0043547B">
              <w:rPr>
                <w:rFonts w:cstheme="minorHAnsi"/>
                <w:sz w:val="24"/>
                <w:szCs w:val="24"/>
              </w:rPr>
              <w:br/>
              <w:t>Laa présenteenorme s'applique aux assises non traitées ou traitées en centrale ou en place en :</w:t>
            </w:r>
            <w:r w:rsidRPr="0043547B">
              <w:rPr>
                <w:rFonts w:cstheme="minorHAnsi"/>
                <w:sz w:val="24"/>
                <w:szCs w:val="24"/>
              </w:rPr>
              <w:br/>
              <w:t>• graves, sables et autres matériaux traités aux liants hydrauliques ;</w:t>
            </w:r>
            <w:r w:rsidRPr="0043547B">
              <w:rPr>
                <w:rFonts w:cstheme="minorHAnsi"/>
                <w:sz w:val="24"/>
                <w:szCs w:val="24"/>
              </w:rPr>
              <w:br/>
            </w:r>
            <w:r w:rsidRPr="0043547B">
              <w:rPr>
                <w:rFonts w:cstheme="minorHAnsi"/>
                <w:sz w:val="24"/>
                <w:szCs w:val="24"/>
              </w:rPr>
              <w:lastRenderedPageBreak/>
              <w:t>• grave non traité ;</w:t>
            </w:r>
            <w:r w:rsidRPr="0043547B">
              <w:rPr>
                <w:rFonts w:cstheme="minorHAnsi"/>
                <w:sz w:val="24"/>
                <w:szCs w:val="24"/>
              </w:rPr>
              <w:br/>
              <w:t>• béton compacté et grave traitée hautes performance ;</w:t>
            </w:r>
            <w:r w:rsidRPr="0043547B">
              <w:rPr>
                <w:rFonts w:cstheme="minorHAnsi"/>
                <w:sz w:val="24"/>
                <w:szCs w:val="24"/>
              </w:rPr>
              <w:br/>
              <w:t>• matériaux divers traités en place ;</w:t>
            </w:r>
            <w:r w:rsidRPr="0043547B">
              <w:rPr>
                <w:rFonts w:cstheme="minorHAnsi"/>
                <w:sz w:val="24"/>
                <w:szCs w:val="24"/>
              </w:rPr>
              <w:br/>
              <w:t>• anciennes chaussées reconditionnée ;</w:t>
            </w:r>
            <w:r w:rsidRPr="0043547B">
              <w:rPr>
                <w:rFonts w:cstheme="minorHAnsi"/>
                <w:sz w:val="24"/>
                <w:szCs w:val="24"/>
              </w:rPr>
              <w:br/>
              <w:t>• matériaux autocompactant ;</w:t>
            </w:r>
            <w:r w:rsidRPr="0043547B">
              <w:rPr>
                <w:rFonts w:cstheme="minorHAnsi"/>
                <w:sz w:val="24"/>
                <w:szCs w:val="24"/>
              </w:rPr>
              <w:br/>
              <w:t>y compris leur protection superficielle.</w:t>
            </w:r>
            <w:r w:rsidRPr="0043547B">
              <w:rPr>
                <w:rFonts w:cstheme="minorHAnsi"/>
                <w:sz w:val="24"/>
                <w:szCs w:val="24"/>
              </w:rPr>
              <w:br/>
            </w:r>
            <w:r w:rsidRPr="00542A0D">
              <w:rPr>
                <w:rFonts w:cstheme="minorHAnsi"/>
                <w:b/>
                <w:bCs/>
                <w:i/>
                <w:iCs/>
              </w:rPr>
              <w:t>Note [1]</w:t>
            </w:r>
            <w:r w:rsidRPr="00542A0D">
              <w:rPr>
                <w:rFonts w:cstheme="minorHAnsi"/>
                <w:i/>
                <w:iCs/>
              </w:rPr>
              <w:t xml:space="preserve"> On distingue :</w:t>
            </w:r>
            <w:r w:rsidR="00F21DCC">
              <w:rPr>
                <w:rFonts w:cstheme="minorHAnsi"/>
                <w:i/>
                <w:iCs/>
              </w:rPr>
              <w:t xml:space="preserve"> </w:t>
            </w:r>
            <w:r w:rsidRPr="00542A0D">
              <w:rPr>
                <w:rFonts w:cstheme="minorHAnsi"/>
                <w:i/>
                <w:iCs/>
              </w:rPr>
              <w:t>Pour les fabrications en centrale,</w:t>
            </w:r>
            <w:r w:rsidRPr="00542A0D">
              <w:rPr>
                <w:rFonts w:cstheme="minorHAnsi"/>
                <w:i/>
                <w:iCs/>
              </w:rPr>
              <w:br/>
              <w:t>— les grands chantiers : chantiers de durée supérieure à 3 jours avec une même formule ;</w:t>
            </w:r>
            <w:r w:rsidRPr="00542A0D">
              <w:rPr>
                <w:rFonts w:cstheme="minorHAnsi"/>
                <w:i/>
                <w:iCs/>
              </w:rPr>
              <w:br/>
              <w:t>— les petits chantiers : chantiers de durée inférieure ou égale à 3 jours avec une même formule ;</w:t>
            </w:r>
            <w:r w:rsidRPr="00542A0D">
              <w:rPr>
                <w:rFonts w:cstheme="minorHAnsi"/>
                <w:i/>
                <w:iCs/>
              </w:rPr>
              <w:br/>
              <w:t>— les chantiers diffus : autres petits chantiers.</w:t>
            </w:r>
            <w:r w:rsidRPr="00542A0D">
              <w:rPr>
                <w:rFonts w:cstheme="minorHAnsi"/>
                <w:i/>
                <w:iCs/>
              </w:rPr>
              <w:br/>
              <w:t>Pour les traitements de sols.</w:t>
            </w:r>
            <w:r w:rsidRPr="00542A0D">
              <w:rPr>
                <w:rFonts w:cstheme="minorHAnsi"/>
                <w:i/>
                <w:iCs/>
              </w:rPr>
              <w:br/>
              <w:t>— les petits chantiers : chantiers d'un volume d'un mélange de moins de 5 000 mètres cube.</w:t>
            </w:r>
            <w:r w:rsidRPr="00542A0D">
              <w:rPr>
                <w:rFonts w:cstheme="minorHAnsi"/>
                <w:i/>
                <w:iCs/>
              </w:rPr>
              <w:br/>
              <w:t>— les grands (ou autres) chantiers : chantiers d'un volume d'un mélange d'au moins 5 000 mètres cube.</w:t>
            </w:r>
            <w:r w:rsidRPr="00542A0D">
              <w:rPr>
                <w:rFonts w:cstheme="minorHAnsi"/>
                <w:i/>
                <w:iCs/>
              </w:rPr>
              <w:br/>
            </w:r>
            <w:r w:rsidRPr="00542A0D">
              <w:rPr>
                <w:rFonts w:cstheme="minorHAnsi"/>
                <w:b/>
                <w:bCs/>
                <w:i/>
                <w:iCs/>
              </w:rPr>
              <w:t>Note [2]</w:t>
            </w:r>
            <w:r w:rsidRPr="00542A0D">
              <w:rPr>
                <w:rFonts w:cstheme="minorHAnsi"/>
                <w:i/>
                <w:iCs/>
              </w:rPr>
              <w:t xml:space="preserve"> Si les accotements ne doivent pas être exécutés comme des couches de chaussées, ils sont réalisés dans les</w:t>
            </w:r>
            <w:r w:rsidR="002C6535" w:rsidRPr="00542A0D">
              <w:rPr>
                <w:rFonts w:cstheme="minorHAnsi"/>
                <w:i/>
                <w:iCs/>
              </w:rPr>
              <w:t xml:space="preserve"> </w:t>
            </w:r>
            <w:r w:rsidRPr="00542A0D">
              <w:rPr>
                <w:rFonts w:cstheme="minorHAnsi"/>
                <w:i/>
                <w:iCs/>
              </w:rPr>
              <w:t>conditions du fascicule 2 du cahier des clauses techniques générales : Terrassements généraux.</w:t>
            </w:r>
          </w:p>
        </w:tc>
      </w:tr>
      <w:tr w:rsidR="0043547B" w:rsidRPr="0043547B" w:rsidTr="00E13CAF">
        <w:trPr>
          <w:trHeight w:val="152"/>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NM 13.1.065</w:t>
            </w:r>
          </w:p>
        </w:tc>
      </w:tr>
      <w:tr w:rsidR="0043547B" w:rsidRPr="0043547B" w:rsidTr="00E13CAF">
        <w:trPr>
          <w:trHeight w:val="364"/>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tcPr>
          <w:p w:rsidR="00904E52" w:rsidRPr="0043547B" w:rsidRDefault="00904E52" w:rsidP="00542A0D">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000000" w:fill="FFFFFF"/>
            <w:vAlign w:val="center"/>
          </w:tcPr>
          <w:p w:rsidR="00904E52" w:rsidRPr="0043547B" w:rsidRDefault="00904E52" w:rsidP="00542A0D">
            <w:pPr>
              <w:spacing w:after="0" w:line="240" w:lineRule="auto"/>
              <w:jc w:val="both"/>
              <w:rPr>
                <w:rFonts w:cstheme="minorHAnsi"/>
                <w:sz w:val="24"/>
                <w:szCs w:val="24"/>
              </w:rPr>
            </w:pPr>
            <w:r w:rsidRPr="0043547B">
              <w:rPr>
                <w:rFonts w:cstheme="minorHAnsi"/>
                <w:sz w:val="24"/>
                <w:szCs w:val="24"/>
              </w:rPr>
              <w:t>Assises de chaussées – Graves d’émulsion – Définition – Classification – Caractéristiques – Fabrication – Mise en œuvre </w:t>
            </w:r>
          </w:p>
        </w:tc>
      </w:tr>
      <w:tr w:rsidR="0043547B" w:rsidRPr="0043547B" w:rsidTr="00542A0D">
        <w:trPr>
          <w:trHeight w:val="701"/>
          <w:jc w:val="center"/>
        </w:trPr>
        <w:tc>
          <w:tcPr>
            <w:tcW w:w="1838" w:type="dxa"/>
            <w:tcBorders>
              <w:top w:val="nil"/>
              <w:left w:val="single" w:sz="18" w:space="0" w:color="auto"/>
              <w:bottom w:val="single" w:sz="18" w:space="0" w:color="auto"/>
              <w:right w:val="single" w:sz="4" w:space="0" w:color="auto"/>
            </w:tcBorders>
            <w:shd w:val="clear" w:color="000000" w:fill="D9D9D9"/>
            <w:vAlign w:val="center"/>
          </w:tcPr>
          <w:p w:rsidR="00904E52" w:rsidRPr="0043547B" w:rsidRDefault="00904E52" w:rsidP="00542A0D">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000000" w:fill="FFFFFF"/>
            <w:vAlign w:val="center"/>
          </w:tcPr>
          <w:p w:rsidR="00904E52" w:rsidRPr="0043547B" w:rsidRDefault="00904E52" w:rsidP="00542A0D">
            <w:pPr>
              <w:spacing w:after="0" w:line="240" w:lineRule="auto"/>
              <w:jc w:val="both"/>
              <w:rPr>
                <w:rFonts w:cstheme="minorHAnsi"/>
                <w:sz w:val="24"/>
                <w:szCs w:val="24"/>
              </w:rPr>
            </w:pPr>
            <w:r w:rsidRPr="0043547B">
              <w:rPr>
                <w:rFonts w:cstheme="minorHAnsi"/>
                <w:sz w:val="24"/>
                <w:szCs w:val="24"/>
              </w:rPr>
              <w:t>La norme définit les graves-émulsion, fixe leurs caractéristiques, spécifie les essais aptes à vérifier ces dernières, puis précise les conditions de fabrication, de livraison, les opérations de transport et de mise en œuvre non définies dans la norme NM 13.1.213.</w:t>
            </w:r>
          </w:p>
          <w:p w:rsidR="00904E52" w:rsidRPr="0043547B" w:rsidRDefault="00904E52" w:rsidP="00542A0D">
            <w:pPr>
              <w:spacing w:after="0" w:line="240" w:lineRule="auto"/>
              <w:jc w:val="both"/>
              <w:rPr>
                <w:rFonts w:cstheme="minorHAnsi"/>
                <w:sz w:val="24"/>
                <w:szCs w:val="24"/>
              </w:rPr>
            </w:pPr>
            <w:r w:rsidRPr="0043547B">
              <w:rPr>
                <w:rFonts w:cstheme="minorHAnsi"/>
                <w:sz w:val="24"/>
                <w:szCs w:val="24"/>
              </w:rPr>
              <w:t>Elle s'applique aux graves-émulsion destinées soit au reprofilage, soit à la réalisation des assises dans le cadre de travaux neufs ou de renforcement de chaussées. Cette norme ne s'applique pas aux graves-émulsion pour réparation localisée.</w:t>
            </w:r>
          </w:p>
        </w:tc>
      </w:tr>
      <w:tr w:rsidR="0043547B" w:rsidRPr="0043547B" w:rsidTr="00542A0D">
        <w:trPr>
          <w:trHeight w:val="141"/>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tcPr>
          <w:p w:rsidR="00B2149C" w:rsidRPr="0043547B" w:rsidRDefault="00B2149C" w:rsidP="00542A0D">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tcPr>
          <w:p w:rsidR="00B2149C" w:rsidRPr="004442F3" w:rsidRDefault="00B2149C" w:rsidP="00542A0D">
            <w:pPr>
              <w:spacing w:after="0" w:line="240" w:lineRule="auto"/>
              <w:jc w:val="center"/>
              <w:rPr>
                <w:rFonts w:cstheme="minorHAnsi"/>
                <w:b/>
                <w:bCs/>
                <w:sz w:val="24"/>
                <w:szCs w:val="24"/>
              </w:rPr>
            </w:pPr>
            <w:r w:rsidRPr="004442F3">
              <w:rPr>
                <w:rFonts w:cstheme="minorHAnsi"/>
                <w:b/>
                <w:bCs/>
                <w:sz w:val="24"/>
                <w:szCs w:val="24"/>
              </w:rPr>
              <w:t>NM EN 14227-1</w:t>
            </w:r>
          </w:p>
        </w:tc>
      </w:tr>
      <w:tr w:rsidR="0043547B" w:rsidRPr="0043547B" w:rsidTr="00E13CAF">
        <w:trPr>
          <w:trHeight w:val="65"/>
          <w:jc w:val="center"/>
        </w:trPr>
        <w:tc>
          <w:tcPr>
            <w:tcW w:w="1838" w:type="dxa"/>
            <w:tcBorders>
              <w:top w:val="single" w:sz="18" w:space="0" w:color="auto"/>
              <w:left w:val="single" w:sz="18" w:space="0" w:color="auto"/>
              <w:bottom w:val="single" w:sz="4" w:space="0" w:color="auto"/>
              <w:right w:val="single" w:sz="4" w:space="0" w:color="auto"/>
            </w:tcBorders>
            <w:shd w:val="clear" w:color="auto" w:fill="FDFBA9"/>
            <w:vAlign w:val="center"/>
          </w:tcPr>
          <w:p w:rsidR="00B2149C" w:rsidRPr="0043547B" w:rsidRDefault="00B2149C" w:rsidP="00542A0D">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DFBA9"/>
            <w:vAlign w:val="center"/>
          </w:tcPr>
          <w:p w:rsidR="00B2149C" w:rsidRPr="004442F3" w:rsidRDefault="00B2149C" w:rsidP="00542A0D">
            <w:pPr>
              <w:spacing w:after="0" w:line="240" w:lineRule="auto"/>
              <w:jc w:val="center"/>
              <w:rPr>
                <w:rFonts w:cstheme="minorHAnsi"/>
                <w:b/>
                <w:bCs/>
                <w:sz w:val="24"/>
                <w:szCs w:val="24"/>
              </w:rPr>
            </w:pPr>
            <w:r w:rsidRPr="004442F3">
              <w:rPr>
                <w:rFonts w:cstheme="minorHAnsi"/>
                <w:b/>
                <w:bCs/>
                <w:sz w:val="24"/>
                <w:szCs w:val="24"/>
              </w:rPr>
              <w:t>EN 14227-1</w:t>
            </w:r>
          </w:p>
        </w:tc>
      </w:tr>
      <w:tr w:rsidR="0043547B" w:rsidRPr="0043547B" w:rsidTr="00542A0D">
        <w:trPr>
          <w:trHeight w:val="65"/>
          <w:jc w:val="center"/>
        </w:trPr>
        <w:tc>
          <w:tcPr>
            <w:tcW w:w="1838" w:type="dxa"/>
            <w:tcBorders>
              <w:top w:val="single" w:sz="4" w:space="0" w:color="auto"/>
              <w:left w:val="single" w:sz="18" w:space="0" w:color="auto"/>
              <w:bottom w:val="single" w:sz="4" w:space="0" w:color="auto"/>
              <w:right w:val="single" w:sz="4" w:space="0" w:color="auto"/>
            </w:tcBorders>
            <w:shd w:val="clear" w:color="000000" w:fill="8DB4E2"/>
            <w:vAlign w:val="center"/>
          </w:tcPr>
          <w:p w:rsidR="00B2149C" w:rsidRPr="0043547B" w:rsidRDefault="00B2149C" w:rsidP="00542A0D">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right w:val="single" w:sz="18" w:space="0" w:color="auto"/>
            </w:tcBorders>
            <w:shd w:val="clear" w:color="000000" w:fill="FFFFFF"/>
          </w:tcPr>
          <w:p w:rsidR="00B2149C" w:rsidRPr="0043547B" w:rsidRDefault="00B2149C" w:rsidP="00542A0D">
            <w:pPr>
              <w:spacing w:after="0" w:line="240" w:lineRule="auto"/>
              <w:rPr>
                <w:rFonts w:cstheme="minorHAnsi"/>
                <w:sz w:val="24"/>
                <w:szCs w:val="24"/>
              </w:rPr>
            </w:pPr>
            <w:r w:rsidRPr="0043547B">
              <w:rPr>
                <w:rFonts w:cstheme="minorHAnsi"/>
                <w:sz w:val="24"/>
                <w:szCs w:val="24"/>
              </w:rPr>
              <w:t>Mélanges traités aux liants hydrauliques - Spécifications - Partie 1 : Mélanges granulaires traités au</w:t>
            </w:r>
            <w:r w:rsidR="005F2ACD" w:rsidRPr="0043547B">
              <w:rPr>
                <w:rFonts w:cstheme="minorHAnsi"/>
                <w:sz w:val="24"/>
                <w:szCs w:val="24"/>
              </w:rPr>
              <w:t xml:space="preserve"> ciment ; (IC 13.1.064)  </w:t>
            </w:r>
          </w:p>
        </w:tc>
      </w:tr>
      <w:tr w:rsidR="0043547B" w:rsidRPr="0043547B" w:rsidTr="00E13CAF">
        <w:trPr>
          <w:trHeight w:val="65"/>
          <w:jc w:val="center"/>
        </w:trPr>
        <w:tc>
          <w:tcPr>
            <w:tcW w:w="1838" w:type="dxa"/>
            <w:tcBorders>
              <w:top w:val="nil"/>
              <w:left w:val="single" w:sz="18" w:space="0" w:color="auto"/>
              <w:bottom w:val="single" w:sz="18" w:space="0" w:color="auto"/>
              <w:right w:val="single" w:sz="4" w:space="0" w:color="auto"/>
            </w:tcBorders>
            <w:shd w:val="clear" w:color="000000" w:fill="D9D9D9"/>
            <w:vAlign w:val="center"/>
          </w:tcPr>
          <w:p w:rsidR="00B2149C" w:rsidRPr="0043547B" w:rsidRDefault="00B2149C" w:rsidP="00542A0D">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000000" w:fill="FFFFFF"/>
          </w:tcPr>
          <w:p w:rsidR="00B2149C" w:rsidRPr="0043547B" w:rsidRDefault="00B2149C" w:rsidP="00542A0D">
            <w:pPr>
              <w:spacing w:after="0" w:line="240" w:lineRule="auto"/>
              <w:jc w:val="both"/>
              <w:rPr>
                <w:rFonts w:cstheme="minorHAnsi"/>
                <w:sz w:val="24"/>
                <w:szCs w:val="24"/>
              </w:rPr>
            </w:pPr>
            <w:r w:rsidRPr="0043547B">
              <w:rPr>
                <w:rFonts w:cstheme="minorHAnsi"/>
                <w:sz w:val="24"/>
                <w:szCs w:val="24"/>
              </w:rPr>
              <w:t>La présente Norme européenne spécifie les mélanges granulaires traités au ciment pour les routes, les aéroports et autres zones de circulation, et précise les exigences relatives à leurs constituants, à leur composition et à leur classification selon les performances mesurées en laboratoire.</w:t>
            </w:r>
          </w:p>
        </w:tc>
      </w:tr>
      <w:tr w:rsidR="0043547B" w:rsidRPr="0043547B" w:rsidTr="00E13CAF">
        <w:trPr>
          <w:trHeight w:val="502"/>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tcPr>
          <w:p w:rsidR="00352647" w:rsidRPr="0043547B" w:rsidRDefault="00352647" w:rsidP="00641951">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tcPr>
          <w:p w:rsidR="00352647" w:rsidRPr="0043547B" w:rsidRDefault="00352647" w:rsidP="00641951">
            <w:pPr>
              <w:spacing w:after="0" w:line="240" w:lineRule="auto"/>
              <w:jc w:val="center"/>
              <w:rPr>
                <w:rFonts w:cstheme="minorHAnsi"/>
                <w:b/>
                <w:bCs/>
                <w:sz w:val="24"/>
                <w:szCs w:val="24"/>
              </w:rPr>
            </w:pPr>
            <w:r w:rsidRPr="0043547B">
              <w:rPr>
                <w:rFonts w:cstheme="minorHAnsi"/>
                <w:b/>
                <w:bCs/>
                <w:sz w:val="24"/>
                <w:szCs w:val="24"/>
              </w:rPr>
              <w:t>NM EN 14023</w:t>
            </w:r>
          </w:p>
        </w:tc>
      </w:tr>
      <w:tr w:rsidR="0043547B" w:rsidRPr="0043547B" w:rsidTr="00E13CAF">
        <w:trPr>
          <w:trHeight w:val="336"/>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tcPr>
          <w:p w:rsidR="00352647" w:rsidRPr="0043547B" w:rsidRDefault="00352647" w:rsidP="00641951">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tcPr>
          <w:p w:rsidR="00352647" w:rsidRPr="0043547B" w:rsidRDefault="00352647" w:rsidP="00641951">
            <w:pPr>
              <w:spacing w:after="0" w:line="240" w:lineRule="auto"/>
              <w:jc w:val="center"/>
              <w:rPr>
                <w:rFonts w:cstheme="minorHAnsi"/>
                <w:b/>
                <w:bCs/>
                <w:sz w:val="24"/>
                <w:szCs w:val="24"/>
              </w:rPr>
            </w:pPr>
            <w:r w:rsidRPr="0043547B">
              <w:rPr>
                <w:rFonts w:cstheme="minorHAnsi"/>
                <w:b/>
                <w:bCs/>
                <w:sz w:val="24"/>
                <w:szCs w:val="24"/>
              </w:rPr>
              <w:t>EN 14023</w:t>
            </w:r>
          </w:p>
        </w:tc>
      </w:tr>
      <w:tr w:rsidR="0043547B" w:rsidRPr="0043547B" w:rsidTr="00E13CAF">
        <w:trPr>
          <w:trHeight w:val="65"/>
          <w:jc w:val="center"/>
        </w:trPr>
        <w:tc>
          <w:tcPr>
            <w:tcW w:w="1838" w:type="dxa"/>
            <w:tcBorders>
              <w:top w:val="nil"/>
              <w:left w:val="single" w:sz="18" w:space="0" w:color="auto"/>
              <w:bottom w:val="single" w:sz="4" w:space="0" w:color="auto"/>
              <w:right w:val="single" w:sz="4" w:space="0" w:color="auto"/>
            </w:tcBorders>
            <w:shd w:val="clear" w:color="000000" w:fill="8DB4E2"/>
            <w:vAlign w:val="center"/>
          </w:tcPr>
          <w:p w:rsidR="00352647" w:rsidRPr="0043547B" w:rsidRDefault="00352647" w:rsidP="00641951">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000000" w:fill="FFFFFF"/>
            <w:vAlign w:val="bottom"/>
          </w:tcPr>
          <w:p w:rsidR="00352647" w:rsidRPr="0043547B" w:rsidRDefault="00352647" w:rsidP="00641951">
            <w:pPr>
              <w:spacing w:after="0" w:line="240" w:lineRule="auto"/>
              <w:rPr>
                <w:rFonts w:cstheme="minorHAnsi"/>
                <w:sz w:val="24"/>
                <w:szCs w:val="24"/>
              </w:rPr>
            </w:pPr>
            <w:r w:rsidRPr="0043547B">
              <w:rPr>
                <w:rFonts w:cstheme="minorHAnsi"/>
                <w:sz w:val="24"/>
                <w:szCs w:val="24"/>
              </w:rPr>
              <w:t>Bitumes et liants bitumineux - Cadre de spécifications des bitumes modifiés par des polymères</w:t>
            </w:r>
          </w:p>
        </w:tc>
      </w:tr>
      <w:tr w:rsidR="0043547B" w:rsidRPr="0043547B" w:rsidTr="00E13CAF">
        <w:trPr>
          <w:trHeight w:val="1126"/>
          <w:jc w:val="center"/>
        </w:trPr>
        <w:tc>
          <w:tcPr>
            <w:tcW w:w="1838" w:type="dxa"/>
            <w:tcBorders>
              <w:top w:val="nil"/>
              <w:left w:val="single" w:sz="18" w:space="0" w:color="auto"/>
              <w:bottom w:val="single" w:sz="18" w:space="0" w:color="auto"/>
              <w:right w:val="single" w:sz="4" w:space="0" w:color="auto"/>
            </w:tcBorders>
            <w:shd w:val="clear" w:color="000000" w:fill="D9D9D9"/>
            <w:vAlign w:val="center"/>
          </w:tcPr>
          <w:p w:rsidR="00352647" w:rsidRPr="0043547B" w:rsidRDefault="00352647" w:rsidP="00641951">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000000" w:fill="FFFFFF"/>
            <w:vAlign w:val="bottom"/>
          </w:tcPr>
          <w:p w:rsidR="00641951" w:rsidRPr="0043547B" w:rsidRDefault="00352647" w:rsidP="00641951">
            <w:pPr>
              <w:spacing w:after="0" w:line="240" w:lineRule="auto"/>
              <w:jc w:val="both"/>
              <w:rPr>
                <w:rFonts w:cstheme="minorHAnsi"/>
                <w:sz w:val="24"/>
                <w:szCs w:val="24"/>
              </w:rPr>
            </w:pPr>
            <w:r w:rsidRPr="0043547B">
              <w:rPr>
                <w:rFonts w:cstheme="minorHAnsi"/>
                <w:sz w:val="24"/>
                <w:szCs w:val="24"/>
              </w:rPr>
              <w:t>La présente norme européenne fournit un cadre pour la spécification des caractéristiques et des méthodes d’essai appropriées pour les bitumes modifiés par des polymères utilisés pour la construction et  l’entretien des chaussées routières, des pistes d’aéroports et des autres chaussées.</w:t>
            </w:r>
          </w:p>
          <w:p w:rsidR="004D4FD0" w:rsidRPr="0043547B" w:rsidRDefault="004D4FD0" w:rsidP="004D4FD0">
            <w:pPr>
              <w:spacing w:after="0" w:line="240" w:lineRule="auto"/>
              <w:rPr>
                <w:rFonts w:cstheme="minorHAnsi"/>
                <w:sz w:val="24"/>
                <w:szCs w:val="24"/>
              </w:rPr>
            </w:pPr>
            <w:r w:rsidRPr="0043547B">
              <w:rPr>
                <w:rFonts w:cstheme="minorHAnsi"/>
                <w:sz w:val="24"/>
                <w:szCs w:val="24"/>
              </w:rPr>
              <w:t>Ce cadre couvre les caractéristiques suivantes :</w:t>
            </w:r>
            <w:r w:rsidRPr="0043547B">
              <w:rPr>
                <w:rFonts w:cstheme="minorHAnsi"/>
                <w:sz w:val="24"/>
                <w:szCs w:val="24"/>
              </w:rPr>
              <w:br/>
              <w:t>— «consistance à température intermédiaire de service» ;</w:t>
            </w:r>
            <w:r w:rsidRPr="0043547B">
              <w:rPr>
                <w:rFonts w:cstheme="minorHAnsi"/>
                <w:sz w:val="24"/>
                <w:szCs w:val="24"/>
              </w:rPr>
              <w:br/>
            </w:r>
            <w:r w:rsidRPr="0043547B">
              <w:rPr>
                <w:rFonts w:cstheme="minorHAnsi"/>
                <w:sz w:val="24"/>
                <w:szCs w:val="24"/>
              </w:rPr>
              <w:lastRenderedPageBreak/>
              <w:t>— «consistance à température élevée de service» ;</w:t>
            </w:r>
            <w:r w:rsidRPr="0043547B">
              <w:rPr>
                <w:rFonts w:cstheme="minorHAnsi"/>
                <w:sz w:val="24"/>
                <w:szCs w:val="24"/>
              </w:rPr>
              <w:br/>
              <w:t>— «cohésion» ;</w:t>
            </w:r>
            <w:r w:rsidRPr="0043547B">
              <w:rPr>
                <w:rFonts w:cstheme="minorHAnsi"/>
                <w:sz w:val="24"/>
                <w:szCs w:val="24"/>
              </w:rPr>
              <w:br/>
              <w:t>— «durabilité» de la consistance ;</w:t>
            </w:r>
            <w:r w:rsidRPr="0043547B">
              <w:rPr>
                <w:rFonts w:cstheme="minorHAnsi"/>
                <w:sz w:val="24"/>
                <w:szCs w:val="24"/>
              </w:rPr>
              <w:br/>
              <w:t>— «fragilité à basse température de service» ;</w:t>
            </w:r>
            <w:r w:rsidRPr="0043547B">
              <w:rPr>
                <w:rFonts w:cstheme="minorHAnsi"/>
                <w:sz w:val="24"/>
                <w:szCs w:val="24"/>
              </w:rPr>
              <w:br/>
              <w:t>— «retour élastique».</w:t>
            </w:r>
          </w:p>
          <w:p w:rsidR="004D4FD0" w:rsidRPr="0043547B" w:rsidRDefault="004D4FD0" w:rsidP="004D4FD0">
            <w:pPr>
              <w:spacing w:after="0" w:line="240" w:lineRule="auto"/>
              <w:jc w:val="both"/>
              <w:rPr>
                <w:rFonts w:cstheme="minorHAnsi"/>
                <w:sz w:val="24"/>
                <w:szCs w:val="24"/>
              </w:rPr>
            </w:pPr>
            <w:r w:rsidRPr="0043547B">
              <w:rPr>
                <w:rFonts w:cstheme="minorHAnsi"/>
                <w:sz w:val="24"/>
                <w:szCs w:val="24"/>
              </w:rPr>
              <w:t>La propriété de cohésion a été ajoutée afin de pouvoir différencier les bitumes modifiés par des polymères des autres liants bitumineux. Les autres exigences essentielles, «adhésion» et «aptitude au durcissement» sont indiquées par des essais effectués sur les mélanges bitumineux finis.</w:t>
            </w:r>
          </w:p>
          <w:p w:rsidR="00352647" w:rsidRPr="0043547B" w:rsidRDefault="004D4FD0" w:rsidP="004D4FD0">
            <w:pPr>
              <w:spacing w:after="0" w:line="240" w:lineRule="auto"/>
              <w:jc w:val="both"/>
              <w:rPr>
                <w:rFonts w:cstheme="minorHAnsi"/>
                <w:sz w:val="24"/>
                <w:szCs w:val="24"/>
              </w:rPr>
            </w:pPr>
            <w:r w:rsidRPr="0043547B">
              <w:rPr>
                <w:rFonts w:cstheme="minorHAnsi"/>
                <w:sz w:val="24"/>
                <w:szCs w:val="24"/>
              </w:rPr>
              <w:t>L’introduction de classes de commodité dans le Tableau 1, le Tableau 2 et le Tableau 3 permet de sélectionner la spécification la plus appropriée pour le bitume, en tenant compte des conditions climatiques locales et de son utilisation. La nomenclature des bitumes modifiés par des polymères comporte l’intervalle de pénétrabilité et le point de ramollissement minimal (voir l’exemple de l’Annexe A).</w:t>
            </w:r>
          </w:p>
        </w:tc>
      </w:tr>
      <w:tr w:rsidR="0043547B" w:rsidRPr="0043547B" w:rsidTr="00E13CAF">
        <w:trPr>
          <w:trHeight w:val="23"/>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3C27D6" w:rsidRPr="004442F3" w:rsidRDefault="003C27D6" w:rsidP="00542A0D">
            <w:pPr>
              <w:spacing w:after="0" w:line="240" w:lineRule="auto"/>
              <w:jc w:val="center"/>
              <w:rPr>
                <w:rFonts w:cstheme="minorHAnsi"/>
                <w:b/>
                <w:bCs/>
                <w:sz w:val="24"/>
                <w:szCs w:val="24"/>
              </w:rPr>
            </w:pPr>
            <w:r w:rsidRPr="004442F3">
              <w:rPr>
                <w:rFonts w:cstheme="minorHAnsi"/>
                <w:b/>
                <w:bCs/>
                <w:sz w:val="24"/>
                <w:szCs w:val="24"/>
              </w:rPr>
              <w:lastRenderedPageBreak/>
              <w:t>Code :</w:t>
            </w:r>
          </w:p>
        </w:tc>
        <w:tc>
          <w:tcPr>
            <w:tcW w:w="7938" w:type="dxa"/>
            <w:tcBorders>
              <w:left w:val="single" w:sz="4" w:space="0" w:color="auto"/>
              <w:bottom w:val="single" w:sz="18" w:space="0" w:color="auto"/>
              <w:right w:val="single" w:sz="18" w:space="0" w:color="auto"/>
            </w:tcBorders>
            <w:shd w:val="clear" w:color="auto" w:fill="C2D69B" w:themeFill="accent3" w:themeFillTint="99"/>
          </w:tcPr>
          <w:p w:rsidR="003C27D6" w:rsidRPr="004442F3" w:rsidRDefault="003C27D6" w:rsidP="00542A0D">
            <w:pPr>
              <w:spacing w:after="0" w:line="240" w:lineRule="auto"/>
              <w:jc w:val="center"/>
              <w:rPr>
                <w:rFonts w:cstheme="minorHAnsi"/>
                <w:b/>
                <w:bCs/>
                <w:sz w:val="24"/>
                <w:szCs w:val="24"/>
              </w:rPr>
            </w:pPr>
            <w:r w:rsidRPr="004442F3">
              <w:rPr>
                <w:rFonts w:cstheme="minorHAnsi"/>
                <w:b/>
                <w:bCs/>
                <w:sz w:val="24"/>
                <w:szCs w:val="24"/>
              </w:rPr>
              <w:t>NM EN 15814</w:t>
            </w:r>
          </w:p>
        </w:tc>
      </w:tr>
      <w:tr w:rsidR="0043547B" w:rsidRPr="0043547B" w:rsidTr="00E13CAF">
        <w:trPr>
          <w:trHeight w:val="23"/>
          <w:jc w:val="center"/>
        </w:trPr>
        <w:tc>
          <w:tcPr>
            <w:tcW w:w="1838" w:type="dxa"/>
            <w:tcBorders>
              <w:top w:val="nil"/>
              <w:left w:val="single" w:sz="18" w:space="0" w:color="auto"/>
              <w:bottom w:val="single" w:sz="18" w:space="0" w:color="auto"/>
              <w:right w:val="single" w:sz="4" w:space="0" w:color="auto"/>
            </w:tcBorders>
            <w:shd w:val="clear" w:color="auto" w:fill="FDFBA9"/>
            <w:vAlign w:val="center"/>
          </w:tcPr>
          <w:p w:rsidR="003C27D6" w:rsidRPr="0043547B" w:rsidRDefault="003C27D6" w:rsidP="00542A0D">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left w:val="single" w:sz="4" w:space="0" w:color="auto"/>
              <w:bottom w:val="single" w:sz="18" w:space="0" w:color="auto"/>
              <w:right w:val="single" w:sz="18" w:space="0" w:color="auto"/>
            </w:tcBorders>
            <w:shd w:val="clear" w:color="auto" w:fill="FDFBA9"/>
            <w:vAlign w:val="center"/>
          </w:tcPr>
          <w:p w:rsidR="003C27D6" w:rsidRPr="004442F3" w:rsidRDefault="003C27D6" w:rsidP="00542A0D">
            <w:pPr>
              <w:spacing w:after="0" w:line="240" w:lineRule="auto"/>
              <w:jc w:val="center"/>
              <w:rPr>
                <w:rFonts w:cstheme="minorHAnsi"/>
                <w:b/>
                <w:bCs/>
                <w:sz w:val="24"/>
                <w:szCs w:val="24"/>
              </w:rPr>
            </w:pPr>
            <w:r w:rsidRPr="004442F3">
              <w:rPr>
                <w:rFonts w:cstheme="minorHAnsi"/>
                <w:b/>
                <w:bCs/>
                <w:sz w:val="24"/>
                <w:szCs w:val="24"/>
              </w:rPr>
              <w:t>EN 15814</w:t>
            </w:r>
          </w:p>
        </w:tc>
      </w:tr>
      <w:tr w:rsidR="0043547B" w:rsidRPr="0043547B" w:rsidTr="00E13CAF">
        <w:trPr>
          <w:trHeight w:val="23"/>
          <w:jc w:val="center"/>
        </w:trPr>
        <w:tc>
          <w:tcPr>
            <w:tcW w:w="1838" w:type="dxa"/>
            <w:tcBorders>
              <w:top w:val="nil"/>
              <w:left w:val="single" w:sz="18" w:space="0" w:color="auto"/>
              <w:bottom w:val="single" w:sz="18" w:space="0" w:color="auto"/>
              <w:right w:val="single" w:sz="4" w:space="0" w:color="auto"/>
            </w:tcBorders>
            <w:shd w:val="clear" w:color="auto" w:fill="95B3D7" w:themeFill="accent1" w:themeFillTint="99"/>
            <w:vAlign w:val="center"/>
          </w:tcPr>
          <w:p w:rsidR="003C27D6" w:rsidRPr="0043547B" w:rsidRDefault="003C27D6" w:rsidP="00542A0D">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bottom w:val="single" w:sz="18" w:space="0" w:color="auto"/>
              <w:right w:val="single" w:sz="18" w:space="0" w:color="auto"/>
            </w:tcBorders>
            <w:shd w:val="clear" w:color="000000" w:fill="FFFFFF"/>
          </w:tcPr>
          <w:p w:rsidR="003C27D6" w:rsidRPr="0043547B" w:rsidRDefault="003C27D6" w:rsidP="00542A0D">
            <w:pPr>
              <w:spacing w:after="0" w:line="240" w:lineRule="auto"/>
              <w:rPr>
                <w:rFonts w:cstheme="minorHAnsi"/>
                <w:sz w:val="24"/>
                <w:szCs w:val="24"/>
              </w:rPr>
            </w:pPr>
            <w:r w:rsidRPr="0043547B">
              <w:rPr>
                <w:rFonts w:cstheme="minorHAnsi"/>
                <w:sz w:val="24"/>
                <w:szCs w:val="24"/>
              </w:rPr>
              <w:t>Revêtements bitumineux épais modifiés aux polymères pour imperméabilisation - Définitions et exigences </w:t>
            </w:r>
          </w:p>
        </w:tc>
      </w:tr>
      <w:tr w:rsidR="0043547B" w:rsidRPr="0043547B" w:rsidTr="00E13CAF">
        <w:trPr>
          <w:trHeight w:val="1126"/>
          <w:jc w:val="center"/>
        </w:trPr>
        <w:tc>
          <w:tcPr>
            <w:tcW w:w="1838" w:type="dxa"/>
            <w:tcBorders>
              <w:top w:val="nil"/>
              <w:left w:val="single" w:sz="18" w:space="0" w:color="auto"/>
              <w:bottom w:val="single" w:sz="18" w:space="0" w:color="auto"/>
              <w:right w:val="single" w:sz="4" w:space="0" w:color="auto"/>
            </w:tcBorders>
            <w:shd w:val="clear" w:color="000000" w:fill="D9D9D9"/>
            <w:vAlign w:val="center"/>
          </w:tcPr>
          <w:p w:rsidR="003C27D6" w:rsidRPr="0043547B" w:rsidRDefault="003C27D6" w:rsidP="00542A0D">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000000" w:fill="FFFFFF"/>
          </w:tcPr>
          <w:p w:rsidR="003C27D6" w:rsidRDefault="003C27D6" w:rsidP="00542A0D">
            <w:pPr>
              <w:spacing w:after="0" w:line="240" w:lineRule="auto"/>
              <w:jc w:val="both"/>
              <w:rPr>
                <w:rFonts w:cstheme="minorHAnsi"/>
                <w:sz w:val="24"/>
                <w:szCs w:val="24"/>
              </w:rPr>
            </w:pPr>
            <w:r w:rsidRPr="0043547B">
              <w:rPr>
                <w:rFonts w:cstheme="minorHAnsi"/>
                <w:sz w:val="24"/>
                <w:szCs w:val="24"/>
              </w:rPr>
              <w:t>La présente Norme européenne donne les définitions et les exigences relatives aux revêtements bitumineux épais modifiés aux polymères utilisés pour l'imperméabilisation des structures enterrées. Elle s'applique aux produits à un composant et à deux composants. Ces produits peuvent être utilisés avec ou sans renfort.</w:t>
            </w:r>
            <w:r w:rsidRPr="0043547B">
              <w:rPr>
                <w:rFonts w:cstheme="minorHAnsi"/>
                <w:sz w:val="24"/>
                <w:szCs w:val="24"/>
              </w:rPr>
              <w:br/>
              <w:t>La présente Norme européenne ne s'applique pas aux produits utilisés pour l’étanchéité des toitures.</w:t>
            </w:r>
          </w:p>
          <w:p w:rsidR="00542A0D" w:rsidRPr="0043547B" w:rsidRDefault="00542A0D" w:rsidP="00542A0D">
            <w:pPr>
              <w:spacing w:after="0" w:line="240" w:lineRule="auto"/>
              <w:jc w:val="both"/>
              <w:rPr>
                <w:rFonts w:cstheme="minorHAnsi"/>
                <w:sz w:val="24"/>
                <w:szCs w:val="24"/>
              </w:rPr>
            </w:pPr>
          </w:p>
        </w:tc>
      </w:tr>
      <w:tr w:rsidR="0043547B" w:rsidRPr="0043547B" w:rsidTr="00E13CAF">
        <w:trPr>
          <w:trHeight w:val="374"/>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tcPr>
          <w:p w:rsidR="00352647" w:rsidRPr="0043547B" w:rsidRDefault="00352647" w:rsidP="00CB22E0">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tcPr>
          <w:p w:rsidR="00352647" w:rsidRPr="0043547B" w:rsidRDefault="00352647" w:rsidP="00CB22E0">
            <w:pPr>
              <w:spacing w:after="0" w:line="240" w:lineRule="auto"/>
              <w:jc w:val="center"/>
              <w:rPr>
                <w:rFonts w:cstheme="minorHAnsi"/>
                <w:b/>
                <w:bCs/>
                <w:sz w:val="24"/>
                <w:szCs w:val="24"/>
              </w:rPr>
            </w:pPr>
            <w:r w:rsidRPr="0043547B">
              <w:rPr>
                <w:rFonts w:cstheme="minorHAnsi"/>
                <w:b/>
                <w:bCs/>
                <w:sz w:val="24"/>
                <w:szCs w:val="24"/>
              </w:rPr>
              <w:t>NM EN 13074-2</w:t>
            </w:r>
          </w:p>
        </w:tc>
      </w:tr>
      <w:tr w:rsidR="0043547B" w:rsidRPr="0043547B" w:rsidTr="00E13CAF">
        <w:trPr>
          <w:trHeight w:val="411"/>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tcPr>
          <w:p w:rsidR="00352647" w:rsidRPr="0043547B" w:rsidRDefault="00352647" w:rsidP="00CB22E0">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tcPr>
          <w:p w:rsidR="00352647" w:rsidRPr="0043547B" w:rsidRDefault="00352647" w:rsidP="00CB22E0">
            <w:pPr>
              <w:spacing w:after="0" w:line="240" w:lineRule="auto"/>
              <w:jc w:val="center"/>
              <w:rPr>
                <w:rFonts w:cstheme="minorHAnsi"/>
                <w:b/>
                <w:bCs/>
                <w:sz w:val="24"/>
                <w:szCs w:val="24"/>
              </w:rPr>
            </w:pPr>
            <w:r w:rsidRPr="0043547B">
              <w:rPr>
                <w:rFonts w:cstheme="minorHAnsi"/>
                <w:b/>
                <w:bCs/>
                <w:sz w:val="24"/>
                <w:szCs w:val="24"/>
              </w:rPr>
              <w:t>EN 13074-2</w:t>
            </w:r>
          </w:p>
        </w:tc>
      </w:tr>
      <w:tr w:rsidR="0043547B" w:rsidRPr="0043547B" w:rsidTr="00E13CAF">
        <w:trPr>
          <w:trHeight w:val="65"/>
          <w:jc w:val="center"/>
        </w:trPr>
        <w:tc>
          <w:tcPr>
            <w:tcW w:w="1838" w:type="dxa"/>
            <w:tcBorders>
              <w:top w:val="single" w:sz="4" w:space="0" w:color="auto"/>
              <w:left w:val="single" w:sz="18" w:space="0" w:color="auto"/>
              <w:bottom w:val="single" w:sz="4" w:space="0" w:color="auto"/>
              <w:right w:val="single" w:sz="4" w:space="0" w:color="auto"/>
            </w:tcBorders>
            <w:shd w:val="clear" w:color="auto" w:fill="95B3D7" w:themeFill="accent1" w:themeFillTint="99"/>
            <w:vAlign w:val="center"/>
          </w:tcPr>
          <w:p w:rsidR="00352647" w:rsidRPr="0043547B" w:rsidRDefault="00352647" w:rsidP="00CB22E0">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auto"/>
            <w:vAlign w:val="bottom"/>
          </w:tcPr>
          <w:p w:rsidR="00352647" w:rsidRPr="0043547B" w:rsidRDefault="00352647" w:rsidP="00CB22E0">
            <w:pPr>
              <w:spacing w:after="0" w:line="240" w:lineRule="auto"/>
              <w:rPr>
                <w:rFonts w:cstheme="minorHAnsi"/>
                <w:sz w:val="24"/>
                <w:szCs w:val="24"/>
              </w:rPr>
            </w:pPr>
            <w:r w:rsidRPr="0043547B">
              <w:rPr>
                <w:rFonts w:cstheme="minorHAnsi"/>
                <w:sz w:val="24"/>
                <w:szCs w:val="24"/>
              </w:rPr>
              <w:t xml:space="preserve">Bitumes et liants bitumineux - Récupération du liant d'une émulsion de bitume ou d'un bitume fluidifié ou fluxé - Parti 2 : Stabilisation après récupération par évaporation </w:t>
            </w:r>
          </w:p>
        </w:tc>
      </w:tr>
      <w:tr w:rsidR="0043547B" w:rsidRPr="0043547B" w:rsidTr="00E13CAF">
        <w:trPr>
          <w:trHeight w:val="276"/>
          <w:jc w:val="center"/>
        </w:trPr>
        <w:tc>
          <w:tcPr>
            <w:tcW w:w="1838" w:type="dxa"/>
            <w:tcBorders>
              <w:top w:val="single" w:sz="4" w:space="0" w:color="auto"/>
              <w:left w:val="single" w:sz="18" w:space="0" w:color="auto"/>
              <w:bottom w:val="single" w:sz="18" w:space="0" w:color="auto"/>
              <w:right w:val="single" w:sz="4" w:space="0" w:color="auto"/>
            </w:tcBorders>
            <w:shd w:val="clear" w:color="auto" w:fill="D9D9D9" w:themeFill="background1" w:themeFillShade="D9"/>
            <w:vAlign w:val="center"/>
          </w:tcPr>
          <w:p w:rsidR="00352647" w:rsidRPr="0043547B" w:rsidRDefault="00352647" w:rsidP="00CB22E0">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tcPr>
          <w:p w:rsidR="004D4FD0" w:rsidRPr="0043547B" w:rsidRDefault="00352647" w:rsidP="004D4FD0">
            <w:pPr>
              <w:spacing w:after="0" w:line="240" w:lineRule="auto"/>
              <w:jc w:val="both"/>
              <w:rPr>
                <w:rFonts w:cstheme="minorHAnsi"/>
                <w:sz w:val="24"/>
                <w:szCs w:val="24"/>
              </w:rPr>
            </w:pPr>
            <w:r w:rsidRPr="0043547B">
              <w:rPr>
                <w:rFonts w:cstheme="minorHAnsi"/>
                <w:sz w:val="24"/>
                <w:szCs w:val="24"/>
              </w:rPr>
              <w:t>La présente Norme européenne prescrit une méthode de stabilisation à 85 °C pendant 24 h du liant obtenu après récupération à partir d’une émulsion de bitume ou d’un bitume fluidifié ou fluxé, pour permettre la réalisation d’essais ultérieurs.</w:t>
            </w:r>
            <w:r w:rsidRPr="0043547B">
              <w:rPr>
                <w:rFonts w:cstheme="minorHAnsi"/>
                <w:sz w:val="24"/>
                <w:szCs w:val="24"/>
              </w:rPr>
              <w:br/>
              <w:t>Elle s’applique à tous les types d’émulsions de bitume, modifiées avec des polymères ou non modifiées, ainsi qu’à tous les types de bitumes fluidifiés et fluxés, modifiés avec des polymères et non modifiés.</w:t>
            </w:r>
          </w:p>
          <w:p w:rsidR="00352647" w:rsidRPr="0043547B" w:rsidRDefault="00352647" w:rsidP="004D4FD0">
            <w:pPr>
              <w:spacing w:after="0" w:line="240" w:lineRule="auto"/>
              <w:jc w:val="both"/>
              <w:rPr>
                <w:rFonts w:cstheme="minorHAnsi"/>
                <w:sz w:val="24"/>
                <w:szCs w:val="24"/>
              </w:rPr>
            </w:pPr>
            <w:r w:rsidRPr="0043547B">
              <w:rPr>
                <w:rFonts w:cstheme="minorHAnsi"/>
                <w:sz w:val="24"/>
                <w:szCs w:val="24"/>
              </w:rPr>
              <w:t>La méthode d’essai de récupération est spécifiée dans la norme EN 13074-1.</w:t>
            </w:r>
            <w:r w:rsidRPr="0043547B">
              <w:rPr>
                <w:rFonts w:cstheme="minorHAnsi"/>
                <w:sz w:val="24"/>
                <w:szCs w:val="24"/>
              </w:rPr>
              <w:br/>
            </w:r>
            <w:r w:rsidRPr="0043547B">
              <w:rPr>
                <w:rFonts w:cstheme="minorHAnsi"/>
                <w:b/>
                <w:bCs/>
                <w:sz w:val="24"/>
                <w:szCs w:val="24"/>
              </w:rPr>
              <w:t>AVERTISSEMENT —</w:t>
            </w:r>
            <w:r w:rsidRPr="0043547B">
              <w:rPr>
                <w:rFonts w:cstheme="minorHAnsi"/>
                <w:sz w:val="24"/>
                <w:szCs w:val="24"/>
              </w:rPr>
              <w:t xml:space="preserve"> La mise en </w:t>
            </w:r>
            <w:r w:rsidR="004D4FD0" w:rsidRPr="0043547B">
              <w:rPr>
                <w:rFonts w:cstheme="minorHAnsi"/>
                <w:sz w:val="24"/>
                <w:szCs w:val="24"/>
              </w:rPr>
              <w:t>œuvre</w:t>
            </w:r>
            <w:r w:rsidRPr="0043547B">
              <w:rPr>
                <w:rFonts w:cstheme="minorHAnsi"/>
                <w:sz w:val="24"/>
                <w:szCs w:val="24"/>
              </w:rPr>
              <w:t xml:space="preserve"> du présent document peut impliquer l’utilisation de produits, des manipulations et des appareillages à caractère dangereux. Le présent document n'est pas censé aborder</w:t>
            </w:r>
            <w:r w:rsidR="004D4FD0" w:rsidRPr="0043547B">
              <w:rPr>
                <w:rFonts w:cstheme="minorHAnsi"/>
                <w:sz w:val="24"/>
                <w:szCs w:val="24"/>
              </w:rPr>
              <w:t xml:space="preserve"> </w:t>
            </w:r>
            <w:r w:rsidRPr="0043547B">
              <w:rPr>
                <w:rFonts w:cstheme="minorHAnsi"/>
                <w:sz w:val="24"/>
                <w:szCs w:val="24"/>
              </w:rPr>
              <w:t xml:space="preserve">tous les problèmes de sécurité concernés par son usage. Les risques découlant de la mise en </w:t>
            </w:r>
            <w:r w:rsidR="004D4FD0" w:rsidRPr="0043547B">
              <w:rPr>
                <w:rFonts w:cstheme="minorHAnsi"/>
                <w:sz w:val="24"/>
                <w:szCs w:val="24"/>
              </w:rPr>
              <w:t>œuvre</w:t>
            </w:r>
            <w:r w:rsidRPr="0043547B">
              <w:rPr>
                <w:rFonts w:cstheme="minorHAnsi"/>
                <w:sz w:val="24"/>
                <w:szCs w:val="24"/>
              </w:rPr>
              <w:t xml:space="preserve"> de cette méthode ont été évalués en l’appliquant à un bitume fluidifié contenant 10 % de kérosène et 90 % de bitume de classe de pénétrabilité 160/220. Il a été établi que ces risques étaient suffisamment faibles pour être acceptables. Cependant, il est de la responsabilité de l'utilisateur du présent document </w:t>
            </w:r>
            <w:r w:rsidRPr="0043547B">
              <w:rPr>
                <w:rFonts w:cstheme="minorHAnsi"/>
                <w:sz w:val="24"/>
                <w:szCs w:val="24"/>
              </w:rPr>
              <w:lastRenderedPageBreak/>
              <w:t>d'établir des règles de sécurité et d'hygiène appropriées et de déterminer l'applicabilité des restrictions réglementaires avant son utilisation.</w:t>
            </w:r>
          </w:p>
        </w:tc>
      </w:tr>
      <w:tr w:rsidR="0043547B" w:rsidRPr="0043547B" w:rsidTr="00E13CAF">
        <w:trPr>
          <w:trHeight w:val="376"/>
          <w:jc w:val="center"/>
        </w:trPr>
        <w:tc>
          <w:tcPr>
            <w:tcW w:w="1838" w:type="dxa"/>
            <w:tcBorders>
              <w:top w:val="single" w:sz="18" w:space="0" w:color="auto"/>
              <w:left w:val="single" w:sz="18" w:space="0" w:color="auto"/>
              <w:bottom w:val="single" w:sz="18" w:space="0" w:color="auto"/>
              <w:right w:val="single" w:sz="4" w:space="0" w:color="auto"/>
            </w:tcBorders>
            <w:shd w:val="clear" w:color="auto" w:fill="ACC777"/>
            <w:vAlign w:val="center"/>
          </w:tcPr>
          <w:p w:rsidR="00352647" w:rsidRPr="0043547B" w:rsidRDefault="00352647" w:rsidP="004D4FD0">
            <w:pPr>
              <w:spacing w:after="0" w:line="240" w:lineRule="auto"/>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ACC777"/>
            <w:vAlign w:val="center"/>
          </w:tcPr>
          <w:p w:rsidR="00352647" w:rsidRPr="0043547B" w:rsidRDefault="00352647" w:rsidP="004D4FD0">
            <w:pPr>
              <w:spacing w:after="0" w:line="240" w:lineRule="auto"/>
              <w:jc w:val="center"/>
              <w:rPr>
                <w:rFonts w:cstheme="minorHAnsi"/>
                <w:b/>
                <w:bCs/>
                <w:sz w:val="24"/>
                <w:szCs w:val="24"/>
              </w:rPr>
            </w:pPr>
            <w:r w:rsidRPr="0043547B">
              <w:rPr>
                <w:rFonts w:cstheme="minorHAnsi"/>
                <w:b/>
                <w:bCs/>
                <w:sz w:val="24"/>
                <w:szCs w:val="24"/>
              </w:rPr>
              <w:t>NM EN 1425</w:t>
            </w:r>
          </w:p>
        </w:tc>
      </w:tr>
      <w:tr w:rsidR="0043547B" w:rsidRPr="0043547B" w:rsidTr="00E13CAF">
        <w:trPr>
          <w:trHeight w:val="422"/>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tcPr>
          <w:p w:rsidR="00352647" w:rsidRPr="0043547B" w:rsidRDefault="00352647" w:rsidP="004D4FD0">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tcPr>
          <w:p w:rsidR="00352647" w:rsidRPr="0043547B" w:rsidRDefault="00352647" w:rsidP="004D4FD0">
            <w:pPr>
              <w:spacing w:after="0" w:line="240" w:lineRule="auto"/>
              <w:jc w:val="center"/>
              <w:rPr>
                <w:rFonts w:cstheme="minorHAnsi"/>
                <w:b/>
                <w:bCs/>
                <w:sz w:val="24"/>
                <w:szCs w:val="24"/>
              </w:rPr>
            </w:pPr>
            <w:r w:rsidRPr="0043547B">
              <w:rPr>
                <w:rFonts w:cstheme="minorHAnsi"/>
                <w:b/>
                <w:bCs/>
                <w:sz w:val="24"/>
                <w:szCs w:val="24"/>
              </w:rPr>
              <w:t>EN 1425</w:t>
            </w:r>
          </w:p>
        </w:tc>
      </w:tr>
      <w:tr w:rsidR="0043547B" w:rsidRPr="0043547B" w:rsidTr="00E13CAF">
        <w:trPr>
          <w:trHeight w:val="469"/>
          <w:jc w:val="center"/>
        </w:trPr>
        <w:tc>
          <w:tcPr>
            <w:tcW w:w="1838" w:type="dxa"/>
            <w:tcBorders>
              <w:top w:val="single" w:sz="4" w:space="0" w:color="auto"/>
              <w:left w:val="single" w:sz="18" w:space="0" w:color="auto"/>
              <w:bottom w:val="single" w:sz="4" w:space="0" w:color="auto"/>
              <w:right w:val="single" w:sz="4" w:space="0" w:color="auto"/>
            </w:tcBorders>
            <w:shd w:val="clear" w:color="auto" w:fill="95B3D7" w:themeFill="accent1" w:themeFillTint="99"/>
            <w:vAlign w:val="center"/>
          </w:tcPr>
          <w:p w:rsidR="00352647" w:rsidRPr="0043547B" w:rsidRDefault="00352647" w:rsidP="004D4FD0">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auto"/>
            <w:vAlign w:val="bottom"/>
          </w:tcPr>
          <w:p w:rsidR="00352647" w:rsidRPr="0043547B" w:rsidRDefault="00352647" w:rsidP="004D4FD0">
            <w:pPr>
              <w:spacing w:after="0" w:line="240" w:lineRule="auto"/>
              <w:rPr>
                <w:rFonts w:cstheme="minorHAnsi"/>
                <w:sz w:val="24"/>
                <w:szCs w:val="24"/>
              </w:rPr>
            </w:pPr>
            <w:r w:rsidRPr="0043547B">
              <w:rPr>
                <w:rFonts w:cstheme="minorHAnsi"/>
                <w:sz w:val="24"/>
                <w:szCs w:val="24"/>
              </w:rPr>
              <w:t xml:space="preserve">Bitumes et liants bitumineux - Caractérisation des propriétés sensorielles </w:t>
            </w:r>
          </w:p>
        </w:tc>
      </w:tr>
      <w:tr w:rsidR="0043547B" w:rsidRPr="0043547B" w:rsidTr="00E13CAF">
        <w:trPr>
          <w:trHeight w:val="2359"/>
          <w:jc w:val="center"/>
        </w:trPr>
        <w:tc>
          <w:tcPr>
            <w:tcW w:w="1838" w:type="dxa"/>
            <w:tcBorders>
              <w:top w:val="single" w:sz="4" w:space="0" w:color="auto"/>
              <w:left w:val="single" w:sz="18" w:space="0" w:color="auto"/>
              <w:bottom w:val="single" w:sz="18" w:space="0" w:color="auto"/>
              <w:right w:val="single" w:sz="4" w:space="0" w:color="auto"/>
            </w:tcBorders>
            <w:shd w:val="clear" w:color="auto" w:fill="D9D9D9" w:themeFill="background1" w:themeFillShade="D9"/>
            <w:vAlign w:val="center"/>
          </w:tcPr>
          <w:p w:rsidR="00352647" w:rsidRPr="0043547B" w:rsidRDefault="00352647" w:rsidP="004D4FD0">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bottom"/>
          </w:tcPr>
          <w:p w:rsidR="004D4FD0" w:rsidRPr="0043547B" w:rsidRDefault="00352647" w:rsidP="004D4FD0">
            <w:pPr>
              <w:spacing w:after="0" w:line="240" w:lineRule="auto"/>
              <w:jc w:val="both"/>
              <w:rPr>
                <w:rFonts w:cstheme="minorHAnsi"/>
                <w:sz w:val="24"/>
                <w:szCs w:val="24"/>
              </w:rPr>
            </w:pPr>
            <w:r w:rsidRPr="0043547B">
              <w:rPr>
                <w:rFonts w:cstheme="minorHAnsi"/>
                <w:sz w:val="24"/>
                <w:szCs w:val="24"/>
              </w:rPr>
              <w:t>La présente norme européenne prescrit une méthode pour la détermination des propriétés sensorielles des liants bitumineux à température ambiante, préalablement à la détermination des autres propriétés.</w:t>
            </w:r>
          </w:p>
          <w:p w:rsidR="00352647" w:rsidRPr="0043547B" w:rsidRDefault="00352647" w:rsidP="004D4FD0">
            <w:pPr>
              <w:spacing w:after="0" w:line="240" w:lineRule="auto"/>
              <w:jc w:val="both"/>
              <w:rPr>
                <w:rFonts w:cstheme="minorHAnsi"/>
                <w:sz w:val="24"/>
                <w:szCs w:val="24"/>
              </w:rPr>
            </w:pPr>
            <w:r w:rsidRPr="0043547B">
              <w:rPr>
                <w:rFonts w:cstheme="minorHAnsi"/>
                <w:b/>
                <w:bCs/>
                <w:sz w:val="24"/>
                <w:szCs w:val="24"/>
              </w:rPr>
              <w:t>AVERTISSEMENT —</w:t>
            </w:r>
            <w:r w:rsidRPr="0043547B">
              <w:rPr>
                <w:rFonts w:cstheme="minorHAnsi"/>
                <w:sz w:val="24"/>
                <w:szCs w:val="24"/>
              </w:rPr>
              <w:t xml:space="preserve"> L'utilisation de la présente norme européenne peut impliquer l'intervention de produits, d'opérations et d'équipements à caractère dangereux. Cette norme n'est pas censée aborder tous les</w:t>
            </w:r>
            <w:r w:rsidR="004D4FD0" w:rsidRPr="0043547B">
              <w:rPr>
                <w:rFonts w:cstheme="minorHAnsi"/>
                <w:sz w:val="24"/>
                <w:szCs w:val="24"/>
              </w:rPr>
              <w:t xml:space="preserve"> </w:t>
            </w:r>
            <w:r w:rsidRPr="0043547B">
              <w:rPr>
                <w:rFonts w:cstheme="minorHAnsi"/>
                <w:sz w:val="24"/>
                <w:szCs w:val="24"/>
              </w:rPr>
              <w:t xml:space="preserve">problèmes de sécurité concernés par son usage. Il est de la responsabilité de l'utilisateur de cette norme de consulter et d'établir des règles de sécurité et d'hygiène appropriées et de </w:t>
            </w:r>
            <w:r w:rsidR="002C6535">
              <w:rPr>
                <w:rFonts w:cstheme="minorHAnsi"/>
                <w:sz w:val="24"/>
                <w:szCs w:val="24"/>
              </w:rPr>
              <w:t xml:space="preserve">déterminer l'applicabilité </w:t>
            </w:r>
            <w:r w:rsidRPr="0043547B">
              <w:rPr>
                <w:rFonts w:cstheme="minorHAnsi"/>
                <w:sz w:val="24"/>
                <w:szCs w:val="24"/>
              </w:rPr>
              <w:t>des restrictions réglementaires avant utilisation.</w:t>
            </w:r>
          </w:p>
        </w:tc>
      </w:tr>
      <w:tr w:rsidR="0043547B" w:rsidRPr="0043547B" w:rsidTr="00542A0D">
        <w:trPr>
          <w:trHeight w:val="273"/>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tcPr>
          <w:p w:rsidR="00352647" w:rsidRPr="0043547B" w:rsidRDefault="00352647" w:rsidP="004D4FD0">
            <w:pPr>
              <w:spacing w:after="0" w:line="240" w:lineRule="auto"/>
              <w:jc w:val="center"/>
              <w:rPr>
                <w:rFonts w:cstheme="minorHAnsi"/>
                <w:b/>
                <w:bCs/>
                <w:sz w:val="24"/>
                <w:szCs w:val="24"/>
              </w:rPr>
            </w:pPr>
            <w:r w:rsidRPr="0043547B">
              <w:rPr>
                <w:rFonts w:cstheme="minorHAnsi"/>
                <w:b/>
                <w:bCs/>
                <w:sz w:val="24"/>
                <w:szCs w:val="24"/>
              </w:rPr>
              <w:t>Code</w:t>
            </w:r>
            <w:r w:rsidR="004D4FD0" w:rsidRPr="0043547B">
              <w:rPr>
                <w:rFonts w:cstheme="minorHAnsi"/>
                <w:b/>
                <w:bCs/>
                <w:sz w:val="24"/>
                <w:szCs w:val="24"/>
              </w:rPr>
              <w:t xml:space="preserve"> </w:t>
            </w:r>
            <w:r w:rsidRPr="0043547B">
              <w:rPr>
                <w:rFonts w:cstheme="minorHAnsi"/>
                <w:b/>
                <w:bCs/>
                <w:sz w:val="24"/>
                <w:szCs w:val="24"/>
              </w:rPr>
              <w:t>:</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tcPr>
          <w:p w:rsidR="00352647" w:rsidRPr="0043547B" w:rsidRDefault="00352647" w:rsidP="004D4FD0">
            <w:pPr>
              <w:spacing w:after="0" w:line="240" w:lineRule="auto"/>
              <w:jc w:val="center"/>
              <w:rPr>
                <w:rFonts w:cstheme="minorHAnsi"/>
                <w:b/>
                <w:bCs/>
                <w:sz w:val="24"/>
                <w:szCs w:val="24"/>
              </w:rPr>
            </w:pPr>
            <w:r w:rsidRPr="0043547B">
              <w:rPr>
                <w:rFonts w:cstheme="minorHAnsi"/>
                <w:b/>
                <w:bCs/>
                <w:sz w:val="24"/>
                <w:szCs w:val="24"/>
              </w:rPr>
              <w:t>NM EN 13924-2</w:t>
            </w:r>
          </w:p>
        </w:tc>
      </w:tr>
      <w:tr w:rsidR="0043547B" w:rsidRPr="0043547B" w:rsidTr="00542A0D">
        <w:trPr>
          <w:trHeight w:val="6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tcPr>
          <w:p w:rsidR="00352647" w:rsidRPr="0043547B" w:rsidRDefault="00352647" w:rsidP="004D4FD0">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tcPr>
          <w:p w:rsidR="00352647" w:rsidRPr="0043547B" w:rsidRDefault="00352647" w:rsidP="004D4FD0">
            <w:pPr>
              <w:spacing w:after="0" w:line="240" w:lineRule="auto"/>
              <w:jc w:val="center"/>
              <w:rPr>
                <w:rFonts w:cstheme="minorHAnsi"/>
                <w:b/>
                <w:bCs/>
                <w:sz w:val="24"/>
                <w:szCs w:val="24"/>
              </w:rPr>
            </w:pPr>
            <w:r w:rsidRPr="0043547B">
              <w:rPr>
                <w:rFonts w:cstheme="minorHAnsi"/>
                <w:b/>
                <w:bCs/>
                <w:sz w:val="24"/>
                <w:szCs w:val="24"/>
              </w:rPr>
              <w:t>EN 13924-2</w:t>
            </w:r>
          </w:p>
        </w:tc>
      </w:tr>
      <w:tr w:rsidR="0043547B" w:rsidRPr="0043547B" w:rsidTr="00542A0D">
        <w:trPr>
          <w:trHeight w:val="65"/>
          <w:jc w:val="center"/>
        </w:trPr>
        <w:tc>
          <w:tcPr>
            <w:tcW w:w="1838" w:type="dxa"/>
            <w:tcBorders>
              <w:top w:val="single" w:sz="4" w:space="0" w:color="auto"/>
              <w:left w:val="single" w:sz="18" w:space="0" w:color="auto"/>
              <w:bottom w:val="single" w:sz="4" w:space="0" w:color="auto"/>
              <w:right w:val="single" w:sz="4" w:space="0" w:color="auto"/>
            </w:tcBorders>
            <w:shd w:val="clear" w:color="auto" w:fill="95B3D7" w:themeFill="accent1" w:themeFillTint="99"/>
            <w:vAlign w:val="center"/>
          </w:tcPr>
          <w:p w:rsidR="00352647" w:rsidRPr="0043547B" w:rsidRDefault="00352647" w:rsidP="004D4FD0">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auto"/>
            <w:vAlign w:val="bottom"/>
          </w:tcPr>
          <w:p w:rsidR="00352647" w:rsidRPr="0043547B" w:rsidRDefault="00352647" w:rsidP="004D4FD0">
            <w:pPr>
              <w:spacing w:after="0" w:line="240" w:lineRule="auto"/>
              <w:rPr>
                <w:rFonts w:cstheme="minorHAnsi"/>
                <w:sz w:val="24"/>
                <w:szCs w:val="24"/>
              </w:rPr>
            </w:pPr>
            <w:r w:rsidRPr="0043547B">
              <w:rPr>
                <w:rFonts w:cstheme="minorHAnsi"/>
                <w:sz w:val="24"/>
                <w:szCs w:val="24"/>
              </w:rPr>
              <w:t>Bitumes et liants bitumineux - Cadre de spécifications pour les bitumes routiers spéciaux - Partie 2 : Bitumes routiers multigrades</w:t>
            </w:r>
          </w:p>
        </w:tc>
      </w:tr>
      <w:tr w:rsidR="0043547B" w:rsidRPr="0043547B" w:rsidTr="00542A0D">
        <w:trPr>
          <w:trHeight w:val="65"/>
          <w:jc w:val="center"/>
        </w:trPr>
        <w:tc>
          <w:tcPr>
            <w:tcW w:w="1838" w:type="dxa"/>
            <w:tcBorders>
              <w:top w:val="single" w:sz="4" w:space="0" w:color="auto"/>
              <w:left w:val="single" w:sz="18" w:space="0" w:color="auto"/>
              <w:bottom w:val="single" w:sz="18" w:space="0" w:color="auto"/>
              <w:right w:val="single" w:sz="4" w:space="0" w:color="auto"/>
            </w:tcBorders>
            <w:shd w:val="clear" w:color="auto" w:fill="D9D9D9" w:themeFill="background1" w:themeFillShade="D9"/>
            <w:vAlign w:val="center"/>
          </w:tcPr>
          <w:p w:rsidR="00352647" w:rsidRPr="0043547B" w:rsidRDefault="00352647" w:rsidP="004D4FD0">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bottom"/>
          </w:tcPr>
          <w:p w:rsidR="00542A0D" w:rsidRDefault="00352647" w:rsidP="004D4FD0">
            <w:pPr>
              <w:spacing w:after="0" w:line="240" w:lineRule="auto"/>
              <w:jc w:val="both"/>
              <w:rPr>
                <w:rFonts w:cstheme="minorHAnsi"/>
                <w:sz w:val="24"/>
                <w:szCs w:val="24"/>
              </w:rPr>
            </w:pPr>
            <w:r w:rsidRPr="0043547B">
              <w:rPr>
                <w:rFonts w:cstheme="minorHAnsi"/>
                <w:sz w:val="24"/>
                <w:szCs w:val="24"/>
              </w:rPr>
              <w:t>Le présent document prescrit un cadre de spécifications des caractéristiques et des méthodes d'essai correspondant aux bitumes routiers multigrades destinés à la construction et à l’entretien des chaussées, des pistes d’aéroport et d’autres chaussées, et fournit des informations sur l'attestation et la vérification de la constance de la performance.</w:t>
            </w:r>
          </w:p>
          <w:p w:rsidR="00542A0D" w:rsidRDefault="00352647" w:rsidP="004D4FD0">
            <w:pPr>
              <w:spacing w:after="0" w:line="240" w:lineRule="auto"/>
              <w:jc w:val="both"/>
              <w:rPr>
                <w:rFonts w:cstheme="minorHAnsi"/>
                <w:sz w:val="24"/>
                <w:szCs w:val="24"/>
              </w:rPr>
            </w:pPr>
            <w:r w:rsidRPr="0043547B">
              <w:rPr>
                <w:rFonts w:cstheme="minorHAnsi"/>
                <w:sz w:val="24"/>
                <w:szCs w:val="24"/>
              </w:rPr>
              <w:t>Les bitumes routiers multigrades sont désignés dans l'EN 12597:2000 en tant que bitumes spéciaux pour applications routières ayant un indice de pénétrabilité positif (Ip).</w:t>
            </w:r>
          </w:p>
          <w:p w:rsidR="00352647" w:rsidRPr="0043547B" w:rsidRDefault="00352647" w:rsidP="004D4FD0">
            <w:pPr>
              <w:spacing w:after="0" w:line="240" w:lineRule="auto"/>
              <w:jc w:val="both"/>
              <w:rPr>
                <w:rFonts w:cstheme="minorHAnsi"/>
                <w:sz w:val="24"/>
                <w:szCs w:val="24"/>
              </w:rPr>
            </w:pPr>
            <w:r w:rsidRPr="0043547B">
              <w:rPr>
                <w:rFonts w:cstheme="minorHAnsi"/>
                <w:sz w:val="24"/>
                <w:szCs w:val="24"/>
              </w:rPr>
              <w:t>Le présent document ne couvre pas directement la cohésion, l’adhésion et l’aptitude au durcissement (voir Article Introduction).</w:t>
            </w:r>
          </w:p>
        </w:tc>
      </w:tr>
      <w:tr w:rsidR="0043547B" w:rsidRPr="0043547B" w:rsidTr="00E13CAF">
        <w:trPr>
          <w:trHeight w:val="311"/>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tcPr>
          <w:p w:rsidR="00352647" w:rsidRPr="0043547B" w:rsidRDefault="00352647" w:rsidP="004D4FD0">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tcPr>
          <w:p w:rsidR="00352647" w:rsidRPr="0043547B" w:rsidRDefault="00352647" w:rsidP="004D4FD0">
            <w:pPr>
              <w:spacing w:after="0" w:line="240" w:lineRule="auto"/>
              <w:jc w:val="center"/>
              <w:rPr>
                <w:rFonts w:cstheme="minorHAnsi"/>
                <w:b/>
                <w:bCs/>
                <w:sz w:val="24"/>
                <w:szCs w:val="24"/>
              </w:rPr>
            </w:pPr>
            <w:r w:rsidRPr="0043547B">
              <w:rPr>
                <w:rFonts w:cstheme="minorHAnsi"/>
                <w:b/>
                <w:bCs/>
                <w:sz w:val="24"/>
                <w:szCs w:val="24"/>
              </w:rPr>
              <w:t>NM EN 13924-1</w:t>
            </w:r>
          </w:p>
        </w:tc>
      </w:tr>
      <w:tr w:rsidR="0043547B" w:rsidRPr="0043547B" w:rsidTr="00E13CAF">
        <w:trPr>
          <w:trHeight w:val="416"/>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tcPr>
          <w:p w:rsidR="00352647" w:rsidRPr="0043547B" w:rsidRDefault="00352647" w:rsidP="004D4FD0">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tcPr>
          <w:p w:rsidR="00352647" w:rsidRPr="0043547B" w:rsidRDefault="00352647" w:rsidP="004D4FD0">
            <w:pPr>
              <w:spacing w:after="0" w:line="240" w:lineRule="auto"/>
              <w:jc w:val="center"/>
              <w:rPr>
                <w:rFonts w:cstheme="minorHAnsi"/>
                <w:b/>
                <w:bCs/>
                <w:sz w:val="24"/>
                <w:szCs w:val="24"/>
              </w:rPr>
            </w:pPr>
            <w:r w:rsidRPr="0043547B">
              <w:rPr>
                <w:rFonts w:cstheme="minorHAnsi"/>
                <w:b/>
                <w:bCs/>
                <w:sz w:val="24"/>
                <w:szCs w:val="24"/>
              </w:rPr>
              <w:t>EN 13924-1</w:t>
            </w:r>
          </w:p>
        </w:tc>
      </w:tr>
      <w:tr w:rsidR="0043547B" w:rsidRPr="0043547B" w:rsidTr="00E13CAF">
        <w:trPr>
          <w:trHeight w:val="141"/>
          <w:jc w:val="center"/>
        </w:trPr>
        <w:tc>
          <w:tcPr>
            <w:tcW w:w="1838" w:type="dxa"/>
            <w:tcBorders>
              <w:top w:val="nil"/>
              <w:left w:val="single" w:sz="18" w:space="0" w:color="auto"/>
              <w:bottom w:val="single" w:sz="4" w:space="0" w:color="auto"/>
              <w:right w:val="single" w:sz="4" w:space="0" w:color="auto"/>
            </w:tcBorders>
            <w:shd w:val="clear" w:color="000000" w:fill="8DB4E2"/>
            <w:vAlign w:val="center"/>
          </w:tcPr>
          <w:p w:rsidR="00352647" w:rsidRPr="0043547B" w:rsidRDefault="00352647" w:rsidP="00352647">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000000" w:fill="FFFFFF"/>
            <w:vAlign w:val="bottom"/>
          </w:tcPr>
          <w:p w:rsidR="00352647" w:rsidRPr="0043547B" w:rsidRDefault="00352647" w:rsidP="004D4FD0">
            <w:pPr>
              <w:spacing w:after="0" w:line="240" w:lineRule="auto"/>
              <w:rPr>
                <w:rFonts w:cstheme="minorHAnsi"/>
                <w:sz w:val="24"/>
                <w:szCs w:val="24"/>
              </w:rPr>
            </w:pPr>
            <w:r w:rsidRPr="0043547B">
              <w:rPr>
                <w:rFonts w:cstheme="minorHAnsi"/>
                <w:sz w:val="24"/>
                <w:szCs w:val="24"/>
              </w:rPr>
              <w:t>Bitumes et liants bitumineux - Cadre de spécifications pour les bitumes routiers spéciaux - Partie 1 : Bitumes routiers de grade dur</w:t>
            </w:r>
          </w:p>
        </w:tc>
      </w:tr>
      <w:tr w:rsidR="0043547B" w:rsidRPr="0043547B" w:rsidTr="00E13CAF">
        <w:trPr>
          <w:trHeight w:val="820"/>
          <w:jc w:val="center"/>
        </w:trPr>
        <w:tc>
          <w:tcPr>
            <w:tcW w:w="1838" w:type="dxa"/>
            <w:tcBorders>
              <w:top w:val="nil"/>
              <w:left w:val="single" w:sz="18" w:space="0" w:color="auto"/>
              <w:bottom w:val="single" w:sz="18" w:space="0" w:color="auto"/>
              <w:right w:val="single" w:sz="4" w:space="0" w:color="auto"/>
            </w:tcBorders>
            <w:shd w:val="clear" w:color="000000" w:fill="D9D9D9"/>
            <w:vAlign w:val="center"/>
          </w:tcPr>
          <w:p w:rsidR="00352647" w:rsidRPr="0043547B" w:rsidRDefault="00352647" w:rsidP="004D4FD0">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000000" w:fill="FFFFFF"/>
            <w:vAlign w:val="bottom"/>
          </w:tcPr>
          <w:p w:rsidR="00352647" w:rsidRPr="0043547B" w:rsidRDefault="00352647" w:rsidP="004D4FD0">
            <w:pPr>
              <w:spacing w:after="0" w:line="240" w:lineRule="auto"/>
              <w:jc w:val="both"/>
              <w:rPr>
                <w:rFonts w:cstheme="minorHAnsi"/>
                <w:sz w:val="24"/>
                <w:szCs w:val="24"/>
              </w:rPr>
            </w:pPr>
            <w:r w:rsidRPr="0043547B">
              <w:rPr>
                <w:rFonts w:cstheme="minorHAnsi"/>
                <w:sz w:val="24"/>
                <w:szCs w:val="24"/>
              </w:rPr>
              <w:t>Cette partie de l’EN 13924 prescrit un cadre de spécifications des caractéristiques et des méthodes d'essai pour les bitumes routiers de grade dur qui sont destinés à la construction et à l’entretien des routes, des pistes d’aéroport et d’autres chaussées.</w:t>
            </w:r>
          </w:p>
        </w:tc>
      </w:tr>
      <w:tr w:rsidR="0043547B" w:rsidRPr="0043547B" w:rsidTr="00E13CAF">
        <w:trPr>
          <w:trHeight w:val="65"/>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tcPr>
          <w:p w:rsidR="00A82B36" w:rsidRPr="0043547B" w:rsidRDefault="00A82B36" w:rsidP="004D4FD0">
            <w:pPr>
              <w:spacing w:after="0" w:line="240" w:lineRule="auto"/>
              <w:jc w:val="center"/>
              <w:rPr>
                <w:rFonts w:cstheme="minorHAnsi"/>
                <w:b/>
                <w:bCs/>
                <w:sz w:val="24"/>
                <w:szCs w:val="24"/>
              </w:rPr>
            </w:pPr>
            <w:r w:rsidRPr="0043547B">
              <w:rPr>
                <w:rFonts w:cstheme="minorHAnsi"/>
                <w:b/>
                <w:bCs/>
                <w:sz w:val="24"/>
                <w:szCs w:val="24"/>
              </w:rPr>
              <w:t>Code</w:t>
            </w:r>
            <w:r w:rsidR="004D4FD0" w:rsidRPr="0043547B">
              <w:rPr>
                <w:rFonts w:cstheme="minorHAnsi"/>
                <w:b/>
                <w:bCs/>
                <w:sz w:val="24"/>
                <w:szCs w:val="24"/>
              </w:rPr>
              <w:t xml:space="preserve"> </w:t>
            </w:r>
            <w:r w:rsidRPr="0043547B">
              <w:rPr>
                <w:rFonts w:cstheme="minorHAnsi"/>
                <w:b/>
                <w:bCs/>
                <w:sz w:val="24"/>
                <w:szCs w:val="24"/>
              </w:rPr>
              <w:t>:</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tcPr>
          <w:p w:rsidR="00A82B36" w:rsidRPr="0043547B" w:rsidRDefault="00A82B36" w:rsidP="004D4FD0">
            <w:pPr>
              <w:spacing w:after="0" w:line="240" w:lineRule="auto"/>
              <w:jc w:val="center"/>
              <w:rPr>
                <w:rFonts w:cstheme="minorHAnsi"/>
                <w:b/>
                <w:bCs/>
                <w:sz w:val="24"/>
                <w:szCs w:val="24"/>
              </w:rPr>
            </w:pPr>
            <w:r w:rsidRPr="0043547B">
              <w:rPr>
                <w:rFonts w:cstheme="minorHAnsi"/>
                <w:b/>
                <w:bCs/>
                <w:sz w:val="24"/>
                <w:szCs w:val="24"/>
              </w:rPr>
              <w:t>NM EN 13808</w:t>
            </w:r>
          </w:p>
        </w:tc>
      </w:tr>
      <w:tr w:rsidR="0043547B" w:rsidRPr="0043547B" w:rsidTr="00E13CAF">
        <w:trPr>
          <w:trHeight w:val="6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tcPr>
          <w:p w:rsidR="00A82B36" w:rsidRPr="0043547B" w:rsidRDefault="00A82B36" w:rsidP="004D4FD0">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tcPr>
          <w:p w:rsidR="00A82B36" w:rsidRPr="0043547B" w:rsidRDefault="00A82B36" w:rsidP="004D4FD0">
            <w:pPr>
              <w:spacing w:after="0" w:line="240" w:lineRule="auto"/>
              <w:jc w:val="center"/>
              <w:rPr>
                <w:rFonts w:cstheme="minorHAnsi"/>
                <w:b/>
                <w:bCs/>
                <w:sz w:val="24"/>
                <w:szCs w:val="24"/>
              </w:rPr>
            </w:pPr>
            <w:r w:rsidRPr="0043547B">
              <w:rPr>
                <w:rFonts w:cstheme="minorHAnsi"/>
                <w:b/>
                <w:bCs/>
                <w:sz w:val="24"/>
                <w:szCs w:val="24"/>
              </w:rPr>
              <w:t>EN 13808</w:t>
            </w:r>
          </w:p>
        </w:tc>
      </w:tr>
      <w:tr w:rsidR="0043547B" w:rsidRPr="0043547B" w:rsidTr="00E13CAF">
        <w:trPr>
          <w:trHeight w:val="65"/>
          <w:jc w:val="center"/>
        </w:trPr>
        <w:tc>
          <w:tcPr>
            <w:tcW w:w="1838" w:type="dxa"/>
            <w:tcBorders>
              <w:top w:val="single" w:sz="4" w:space="0" w:color="auto"/>
              <w:left w:val="single" w:sz="18" w:space="0" w:color="auto"/>
              <w:bottom w:val="single" w:sz="4" w:space="0" w:color="auto"/>
              <w:right w:val="single" w:sz="4" w:space="0" w:color="auto"/>
            </w:tcBorders>
            <w:shd w:val="clear" w:color="auto" w:fill="95B3D7" w:themeFill="accent1" w:themeFillTint="99"/>
            <w:vAlign w:val="center"/>
          </w:tcPr>
          <w:p w:rsidR="00A82B36" w:rsidRPr="0043547B" w:rsidRDefault="00A82B36" w:rsidP="004D4FD0">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auto"/>
            <w:vAlign w:val="bottom"/>
          </w:tcPr>
          <w:p w:rsidR="00A82B36" w:rsidRPr="0043547B" w:rsidRDefault="00A82B36" w:rsidP="004D4FD0">
            <w:pPr>
              <w:spacing w:after="0" w:line="240" w:lineRule="auto"/>
              <w:rPr>
                <w:rFonts w:cstheme="minorHAnsi"/>
                <w:sz w:val="24"/>
                <w:szCs w:val="24"/>
              </w:rPr>
            </w:pPr>
            <w:r w:rsidRPr="0043547B">
              <w:rPr>
                <w:rFonts w:cstheme="minorHAnsi"/>
                <w:sz w:val="24"/>
                <w:szCs w:val="24"/>
              </w:rPr>
              <w:t>Bitumes et liants bitumineux - Cadre de spécifications pour les émulsions cationiques de liants bitumineux</w:t>
            </w:r>
          </w:p>
        </w:tc>
      </w:tr>
      <w:tr w:rsidR="0043547B" w:rsidRPr="0043547B" w:rsidTr="00E13CAF">
        <w:trPr>
          <w:trHeight w:val="65"/>
          <w:jc w:val="center"/>
        </w:trPr>
        <w:tc>
          <w:tcPr>
            <w:tcW w:w="1838" w:type="dxa"/>
            <w:tcBorders>
              <w:top w:val="single" w:sz="4" w:space="0" w:color="auto"/>
              <w:left w:val="single" w:sz="18" w:space="0" w:color="auto"/>
              <w:bottom w:val="single" w:sz="18" w:space="0" w:color="auto"/>
              <w:right w:val="single" w:sz="4" w:space="0" w:color="auto"/>
            </w:tcBorders>
            <w:shd w:val="clear" w:color="auto" w:fill="D9D9D9" w:themeFill="background1" w:themeFillShade="D9"/>
            <w:vAlign w:val="center"/>
          </w:tcPr>
          <w:p w:rsidR="00A82B36" w:rsidRPr="0043547B" w:rsidRDefault="00A82B36" w:rsidP="004D4FD0">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auto"/>
            <w:vAlign w:val="bottom"/>
          </w:tcPr>
          <w:p w:rsidR="00542A0D" w:rsidRDefault="00A82B36" w:rsidP="00542A0D">
            <w:pPr>
              <w:spacing w:after="0" w:line="240" w:lineRule="auto"/>
              <w:jc w:val="both"/>
              <w:rPr>
                <w:rFonts w:cstheme="minorHAnsi"/>
                <w:sz w:val="24"/>
                <w:szCs w:val="24"/>
              </w:rPr>
            </w:pPr>
            <w:r w:rsidRPr="0043547B">
              <w:rPr>
                <w:rFonts w:cstheme="minorHAnsi"/>
                <w:sz w:val="24"/>
                <w:szCs w:val="24"/>
              </w:rPr>
              <w:t>La présente Norme européenne définit les exigences auxquelles doivent satisfaire les caractéristiques de performance des différentes classes d’émulsions cationiques de bitume utilisées pour la construction et l’entretien des chaussées routières, des pistes d’aéroports et des autres chaussées.</w:t>
            </w:r>
          </w:p>
          <w:p w:rsidR="00542A0D" w:rsidRDefault="00A82B36" w:rsidP="00542A0D">
            <w:pPr>
              <w:spacing w:after="0" w:line="240" w:lineRule="auto"/>
              <w:jc w:val="both"/>
              <w:rPr>
                <w:rFonts w:cstheme="minorHAnsi"/>
                <w:sz w:val="24"/>
                <w:szCs w:val="24"/>
              </w:rPr>
            </w:pPr>
            <w:r w:rsidRPr="0043547B">
              <w:rPr>
                <w:rFonts w:cstheme="minorHAnsi"/>
                <w:sz w:val="24"/>
                <w:szCs w:val="24"/>
              </w:rPr>
              <w:t xml:space="preserve">La présente Norme européenne s’applique aux émulsions de bitumes purs, de bitumes fluxés ou fluidifiés et aux émulsions de bitumes modifiés par des </w:t>
            </w:r>
            <w:r w:rsidRPr="0043547B">
              <w:rPr>
                <w:rFonts w:cstheme="minorHAnsi"/>
                <w:sz w:val="24"/>
                <w:szCs w:val="24"/>
              </w:rPr>
              <w:lastRenderedPageBreak/>
              <w:t>polymères, de bitumes fluxés ou fluidifiés modifiés par des polymères qui comprennent également les émulsions bitumineuses modifiées par du latex.</w:t>
            </w:r>
            <w:r w:rsidRPr="0043547B">
              <w:rPr>
                <w:rFonts w:cstheme="minorHAnsi"/>
                <w:sz w:val="24"/>
                <w:szCs w:val="24"/>
              </w:rPr>
              <w:br/>
              <w:t>Dans les pays européens, plusieurs sortes d’émulsions cationiques de bitume sont utilisées. Selon les pratiques locales, différentes teneurs en liants bitumineux peuvent être utilisés pour une même réalisation.</w:t>
            </w:r>
          </w:p>
          <w:p w:rsidR="00542A0D" w:rsidRDefault="00A82B36" w:rsidP="00542A0D">
            <w:pPr>
              <w:spacing w:after="0" w:line="240" w:lineRule="auto"/>
              <w:jc w:val="both"/>
              <w:rPr>
                <w:rFonts w:cstheme="minorHAnsi"/>
                <w:sz w:val="24"/>
                <w:szCs w:val="24"/>
              </w:rPr>
            </w:pPr>
            <w:r w:rsidRPr="0043547B">
              <w:rPr>
                <w:rFonts w:cstheme="minorHAnsi"/>
                <w:sz w:val="24"/>
                <w:szCs w:val="24"/>
              </w:rPr>
              <w:t>Lorsque l'on définit une spécification, il convient de s’assurer que les classes sélectionnées sont compatibles et réalistes.</w:t>
            </w:r>
          </w:p>
          <w:p w:rsidR="00A82B36" w:rsidRPr="001259FF" w:rsidRDefault="00A82B36" w:rsidP="00542A0D">
            <w:pPr>
              <w:spacing w:after="0" w:line="240" w:lineRule="auto"/>
              <w:jc w:val="both"/>
              <w:rPr>
                <w:rFonts w:cstheme="minorHAnsi"/>
                <w:i/>
                <w:iCs/>
                <w:sz w:val="24"/>
                <w:szCs w:val="24"/>
              </w:rPr>
            </w:pPr>
            <w:r w:rsidRPr="001259FF">
              <w:rPr>
                <w:rFonts w:cstheme="minorHAnsi"/>
                <w:b/>
                <w:bCs/>
                <w:i/>
                <w:iCs/>
                <w:sz w:val="20"/>
                <w:szCs w:val="20"/>
              </w:rPr>
              <w:t>NOTE</w:t>
            </w:r>
            <w:r w:rsidR="001259FF" w:rsidRPr="001259FF">
              <w:rPr>
                <w:rFonts w:cstheme="minorHAnsi"/>
                <w:b/>
                <w:bCs/>
                <w:i/>
                <w:iCs/>
                <w:sz w:val="20"/>
                <w:szCs w:val="20"/>
              </w:rPr>
              <w:t> </w:t>
            </w:r>
            <w:r w:rsidR="001259FF" w:rsidRPr="001259FF">
              <w:rPr>
                <w:rFonts w:cstheme="minorHAnsi"/>
                <w:i/>
                <w:iCs/>
                <w:sz w:val="20"/>
                <w:szCs w:val="20"/>
              </w:rPr>
              <w:t>:</w:t>
            </w:r>
            <w:r w:rsidRPr="001259FF">
              <w:rPr>
                <w:rFonts w:cstheme="minorHAnsi"/>
                <w:i/>
                <w:iCs/>
                <w:sz w:val="20"/>
                <w:szCs w:val="20"/>
              </w:rPr>
              <w:t xml:space="preserve"> Pour les besoins de la présente Norme européenne, le terme « % (m/m) » est utilisé pour représenter la fraction massique.</w:t>
            </w:r>
          </w:p>
        </w:tc>
      </w:tr>
      <w:tr w:rsidR="0043547B" w:rsidRPr="0043547B" w:rsidTr="00E13CAF">
        <w:trPr>
          <w:trHeight w:val="65"/>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NM 03.4.158</w:t>
            </w:r>
          </w:p>
        </w:tc>
      </w:tr>
      <w:tr w:rsidR="0043547B" w:rsidRPr="0043547B" w:rsidTr="00E13CAF">
        <w:trPr>
          <w:trHeight w:val="6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EN 12591</w:t>
            </w:r>
          </w:p>
        </w:tc>
      </w:tr>
      <w:tr w:rsidR="0043547B" w:rsidRPr="0043547B" w:rsidTr="00E13CAF">
        <w:trPr>
          <w:trHeight w:val="421"/>
          <w:jc w:val="center"/>
        </w:trPr>
        <w:tc>
          <w:tcPr>
            <w:tcW w:w="1838" w:type="dxa"/>
            <w:tcBorders>
              <w:top w:val="nil"/>
              <w:left w:val="single" w:sz="18" w:space="0" w:color="auto"/>
              <w:bottom w:val="single" w:sz="4" w:space="0" w:color="auto"/>
              <w:right w:val="single" w:sz="4" w:space="0" w:color="auto"/>
            </w:tcBorders>
            <w:shd w:val="clear" w:color="000000" w:fill="8DB4E2"/>
            <w:vAlign w:val="center"/>
          </w:tcPr>
          <w:p w:rsidR="00A82B36" w:rsidRPr="0043547B" w:rsidRDefault="00A82B36" w:rsidP="00506C44">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000000" w:fill="FFFFFF"/>
          </w:tcPr>
          <w:p w:rsidR="00A82B36" w:rsidRPr="0043547B" w:rsidRDefault="00A82B36" w:rsidP="00506C44">
            <w:pPr>
              <w:spacing w:after="0" w:line="240" w:lineRule="auto"/>
              <w:rPr>
                <w:rFonts w:cstheme="minorHAnsi"/>
                <w:sz w:val="24"/>
                <w:szCs w:val="24"/>
              </w:rPr>
            </w:pPr>
            <w:r w:rsidRPr="0043547B">
              <w:rPr>
                <w:rFonts w:cstheme="minorHAnsi"/>
                <w:sz w:val="24"/>
                <w:szCs w:val="24"/>
              </w:rPr>
              <w:t>Bitumes et liants bitumineux – Spécifications des bitumes routiers </w:t>
            </w:r>
          </w:p>
        </w:tc>
      </w:tr>
      <w:tr w:rsidR="0043547B" w:rsidRPr="0043547B" w:rsidTr="00E13CAF">
        <w:trPr>
          <w:trHeight w:val="260"/>
          <w:jc w:val="center"/>
        </w:trPr>
        <w:tc>
          <w:tcPr>
            <w:tcW w:w="1838" w:type="dxa"/>
            <w:tcBorders>
              <w:top w:val="nil"/>
              <w:left w:val="single" w:sz="18" w:space="0" w:color="auto"/>
              <w:bottom w:val="single" w:sz="18" w:space="0" w:color="auto"/>
              <w:right w:val="single" w:sz="4" w:space="0" w:color="auto"/>
            </w:tcBorders>
            <w:shd w:val="clear" w:color="000000" w:fill="D9D9D9"/>
            <w:vAlign w:val="center"/>
          </w:tcPr>
          <w:p w:rsidR="00A82B36" w:rsidRPr="0043547B" w:rsidRDefault="00A82B36" w:rsidP="00962477">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000000" w:fill="FFFFFF"/>
            <w:vAlign w:val="bottom"/>
          </w:tcPr>
          <w:p w:rsidR="00506C44" w:rsidRPr="0043547B" w:rsidRDefault="00A82B36" w:rsidP="00506C44">
            <w:pPr>
              <w:spacing w:after="0" w:line="240" w:lineRule="auto"/>
              <w:jc w:val="both"/>
              <w:rPr>
                <w:rFonts w:cstheme="minorHAnsi"/>
                <w:sz w:val="24"/>
                <w:szCs w:val="24"/>
              </w:rPr>
            </w:pPr>
            <w:r w:rsidRPr="0043547B">
              <w:rPr>
                <w:rFonts w:cstheme="minorHAnsi"/>
                <w:sz w:val="24"/>
                <w:szCs w:val="24"/>
              </w:rPr>
              <w:t>Cette norme marocaine prescrit les propriétés et les méthodes d'essai appropriées aux bitumes routiers, destinés à la construction et à l’entretien des chaussées, et qui sont obtenus par des procédés de raffinage des pétroles bruts.</w:t>
            </w:r>
          </w:p>
          <w:p w:rsidR="00506C44" w:rsidRPr="0043547B" w:rsidRDefault="00A82B36" w:rsidP="00506C44">
            <w:pPr>
              <w:spacing w:after="0" w:line="240" w:lineRule="auto"/>
              <w:jc w:val="both"/>
              <w:rPr>
                <w:rFonts w:cstheme="minorHAnsi"/>
                <w:sz w:val="24"/>
                <w:szCs w:val="24"/>
              </w:rPr>
            </w:pPr>
            <w:r w:rsidRPr="0043547B">
              <w:rPr>
                <w:rFonts w:cstheme="minorHAnsi"/>
                <w:sz w:val="24"/>
                <w:szCs w:val="24"/>
              </w:rPr>
              <w:t>Les bitumes routiers sont répartis en trois groupes de classes au sein de la présente norme :</w:t>
            </w:r>
          </w:p>
          <w:p w:rsidR="00542A0D" w:rsidRDefault="00A82B36" w:rsidP="00506C44">
            <w:pPr>
              <w:spacing w:after="0" w:line="240" w:lineRule="auto"/>
              <w:jc w:val="both"/>
              <w:rPr>
                <w:rFonts w:cstheme="minorHAnsi"/>
                <w:sz w:val="24"/>
                <w:szCs w:val="24"/>
              </w:rPr>
            </w:pPr>
            <w:r w:rsidRPr="0043547B">
              <w:rPr>
                <w:rFonts w:cstheme="minorHAnsi"/>
                <w:sz w:val="24"/>
                <w:szCs w:val="24"/>
              </w:rPr>
              <w:t>a) Classes définies par une pénétrabilité nominale à 25 °C de 20 ´ 0,1 mm à 330 ´ 0,1 mm, spécifiées par la pénétrabilité à 25 °C et le point de ramollissement (Tableau 1).</w:t>
            </w:r>
          </w:p>
          <w:p w:rsidR="00542A0D" w:rsidRDefault="00A82B36" w:rsidP="00506C44">
            <w:pPr>
              <w:spacing w:after="0" w:line="240" w:lineRule="auto"/>
              <w:jc w:val="both"/>
              <w:rPr>
                <w:rFonts w:cstheme="minorHAnsi"/>
                <w:sz w:val="24"/>
                <w:szCs w:val="24"/>
              </w:rPr>
            </w:pPr>
            <w:r w:rsidRPr="0043547B">
              <w:rPr>
                <w:rFonts w:cstheme="minorHAnsi"/>
                <w:sz w:val="24"/>
                <w:szCs w:val="24"/>
              </w:rPr>
              <w:t>b) Classes définies par une pénétrabilité nominale à 25 °C de 250 ´ 0,1 mm à 900 ´ 0,1 mm, spécifiées par la pénétrabilité à 15 °C et la viscosité dynamique à 60 °C (Tableau 2).</w:t>
            </w:r>
          </w:p>
          <w:p w:rsidR="00962477" w:rsidRPr="0043547B" w:rsidRDefault="00A82B36" w:rsidP="00506C44">
            <w:pPr>
              <w:spacing w:after="0" w:line="240" w:lineRule="auto"/>
              <w:jc w:val="both"/>
              <w:rPr>
                <w:rFonts w:cstheme="minorHAnsi"/>
                <w:sz w:val="24"/>
                <w:szCs w:val="24"/>
              </w:rPr>
            </w:pPr>
            <w:r w:rsidRPr="0043547B">
              <w:rPr>
                <w:rFonts w:cstheme="minorHAnsi"/>
                <w:sz w:val="24"/>
                <w:szCs w:val="24"/>
              </w:rPr>
              <w:t>c) Classes définies et spécifiées par la viscosité cinématique à 60 °C pour les bitumes mous (Tableau 3).</w:t>
            </w:r>
          </w:p>
          <w:p w:rsidR="00A82B36" w:rsidRPr="0043547B" w:rsidRDefault="00A82B36" w:rsidP="00962477">
            <w:pPr>
              <w:spacing w:after="0" w:line="240" w:lineRule="auto"/>
              <w:jc w:val="both"/>
              <w:rPr>
                <w:rFonts w:cstheme="minorHAnsi"/>
                <w:i/>
                <w:iCs/>
                <w:sz w:val="24"/>
                <w:szCs w:val="24"/>
              </w:rPr>
            </w:pPr>
            <w:r w:rsidRPr="00542A0D">
              <w:rPr>
                <w:rFonts w:cstheme="minorHAnsi"/>
                <w:b/>
                <w:bCs/>
                <w:i/>
                <w:iCs/>
              </w:rPr>
              <w:t xml:space="preserve">NOTE </w:t>
            </w:r>
            <w:r w:rsidR="00962477" w:rsidRPr="00542A0D">
              <w:rPr>
                <w:rFonts w:cstheme="minorHAnsi"/>
                <w:b/>
                <w:bCs/>
                <w:i/>
                <w:iCs/>
              </w:rPr>
              <w:t xml:space="preserve">- </w:t>
            </w:r>
            <w:r w:rsidRPr="00542A0D">
              <w:rPr>
                <w:rFonts w:cstheme="minorHAnsi"/>
                <w:i/>
                <w:iCs/>
              </w:rPr>
              <w:t>Pour les besoins de la présente norme, le terme «%(m/m)» est utilisé pour représenter la fraction massique</w:t>
            </w:r>
            <w:r w:rsidRPr="0043547B">
              <w:rPr>
                <w:rFonts w:cstheme="minorHAnsi"/>
                <w:i/>
                <w:iCs/>
                <w:sz w:val="24"/>
                <w:szCs w:val="24"/>
              </w:rPr>
              <w:t>.</w:t>
            </w:r>
          </w:p>
        </w:tc>
      </w:tr>
      <w:tr w:rsidR="0043547B" w:rsidRPr="0043547B" w:rsidTr="00E13CAF">
        <w:trPr>
          <w:trHeight w:val="260"/>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tcPr>
          <w:p w:rsidR="004C18F7" w:rsidRPr="0043547B" w:rsidRDefault="004C18F7" w:rsidP="00962477">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tcPr>
          <w:p w:rsidR="004C18F7" w:rsidRPr="0043547B" w:rsidRDefault="004C18F7" w:rsidP="00962477">
            <w:pPr>
              <w:spacing w:after="0" w:line="240" w:lineRule="auto"/>
              <w:jc w:val="center"/>
              <w:rPr>
                <w:rFonts w:cstheme="minorHAnsi"/>
                <w:b/>
                <w:bCs/>
                <w:sz w:val="24"/>
                <w:szCs w:val="24"/>
              </w:rPr>
            </w:pPr>
            <w:r w:rsidRPr="0043547B">
              <w:rPr>
                <w:rFonts w:cstheme="minorHAnsi"/>
                <w:b/>
                <w:bCs/>
                <w:sz w:val="24"/>
                <w:szCs w:val="24"/>
              </w:rPr>
              <w:t>NM 03.4.078</w:t>
            </w:r>
          </w:p>
        </w:tc>
      </w:tr>
      <w:tr w:rsidR="0043547B" w:rsidRPr="0043547B" w:rsidTr="00E13CAF">
        <w:trPr>
          <w:trHeight w:val="260"/>
          <w:jc w:val="center"/>
        </w:trPr>
        <w:tc>
          <w:tcPr>
            <w:tcW w:w="1838" w:type="dxa"/>
            <w:tcBorders>
              <w:top w:val="single" w:sz="18" w:space="0" w:color="auto"/>
              <w:left w:val="single" w:sz="18" w:space="0" w:color="auto"/>
              <w:bottom w:val="single" w:sz="18" w:space="0" w:color="auto"/>
              <w:right w:val="single" w:sz="4" w:space="0" w:color="auto"/>
            </w:tcBorders>
            <w:shd w:val="clear" w:color="auto" w:fill="95B3D7" w:themeFill="accent1" w:themeFillTint="99"/>
            <w:vAlign w:val="center"/>
          </w:tcPr>
          <w:p w:rsidR="004C18F7" w:rsidRPr="0043547B" w:rsidRDefault="004C18F7" w:rsidP="00962477">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18" w:space="0" w:color="auto"/>
              <w:right w:val="single" w:sz="18" w:space="0" w:color="auto"/>
            </w:tcBorders>
            <w:shd w:val="clear" w:color="auto" w:fill="auto"/>
            <w:vAlign w:val="center"/>
          </w:tcPr>
          <w:p w:rsidR="004C18F7" w:rsidRPr="0043547B" w:rsidRDefault="004C18F7" w:rsidP="00962477">
            <w:pPr>
              <w:spacing w:after="0" w:line="240" w:lineRule="auto"/>
              <w:rPr>
                <w:rFonts w:cstheme="minorHAnsi"/>
                <w:sz w:val="24"/>
                <w:szCs w:val="24"/>
              </w:rPr>
            </w:pPr>
            <w:r w:rsidRPr="0043547B">
              <w:rPr>
                <w:rFonts w:cstheme="minorHAnsi"/>
                <w:sz w:val="24"/>
                <w:szCs w:val="24"/>
              </w:rPr>
              <w:t>Liants hydrocarbonés - Classification</w:t>
            </w:r>
          </w:p>
        </w:tc>
      </w:tr>
      <w:tr w:rsidR="0043547B" w:rsidRPr="0043547B" w:rsidTr="00E13CAF">
        <w:trPr>
          <w:trHeight w:val="260"/>
          <w:jc w:val="center"/>
        </w:trPr>
        <w:tc>
          <w:tcPr>
            <w:tcW w:w="1838" w:type="dxa"/>
            <w:tcBorders>
              <w:top w:val="single" w:sz="18" w:space="0" w:color="auto"/>
              <w:left w:val="single" w:sz="18" w:space="0" w:color="auto"/>
              <w:bottom w:val="single" w:sz="18" w:space="0" w:color="auto"/>
              <w:right w:val="single" w:sz="4" w:space="0" w:color="auto"/>
            </w:tcBorders>
            <w:shd w:val="clear" w:color="auto" w:fill="D9D9D9" w:themeFill="background1" w:themeFillShade="D9"/>
            <w:vAlign w:val="center"/>
          </w:tcPr>
          <w:p w:rsidR="004C18F7" w:rsidRPr="0043547B" w:rsidRDefault="004C18F7" w:rsidP="00962477">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18" w:space="0" w:color="auto"/>
              <w:left w:val="single" w:sz="4" w:space="0" w:color="auto"/>
              <w:bottom w:val="single" w:sz="18" w:space="0" w:color="auto"/>
              <w:right w:val="single" w:sz="18" w:space="0" w:color="auto"/>
            </w:tcBorders>
            <w:shd w:val="clear" w:color="auto" w:fill="auto"/>
            <w:vAlign w:val="bottom"/>
          </w:tcPr>
          <w:p w:rsidR="004C18F7" w:rsidRPr="0043547B" w:rsidRDefault="004C18F7" w:rsidP="00962477">
            <w:pPr>
              <w:spacing w:after="0" w:line="240" w:lineRule="auto"/>
              <w:rPr>
                <w:rFonts w:cstheme="minorHAnsi"/>
                <w:sz w:val="24"/>
                <w:szCs w:val="24"/>
              </w:rPr>
            </w:pPr>
            <w:r w:rsidRPr="0043547B">
              <w:rPr>
                <w:rFonts w:cstheme="minorHAnsi"/>
                <w:sz w:val="24"/>
                <w:szCs w:val="24"/>
              </w:rPr>
              <w:t>Le présent document indique le classement, d’après leur nature et leur consistance, des liants hydrocarbonés les plus utilisés dans :</w:t>
            </w:r>
            <w:r w:rsidRPr="0043547B">
              <w:rPr>
                <w:rFonts w:cstheme="minorHAnsi"/>
                <w:sz w:val="24"/>
                <w:szCs w:val="24"/>
              </w:rPr>
              <w:br/>
              <w:t>— la construction et l’entretien des chaussées ;</w:t>
            </w:r>
            <w:r w:rsidRPr="0043547B">
              <w:rPr>
                <w:rFonts w:cstheme="minorHAnsi"/>
                <w:sz w:val="24"/>
                <w:szCs w:val="24"/>
              </w:rPr>
              <w:br/>
              <w:t>— les applications industrielles, en particulier l’étanchéité.</w:t>
            </w:r>
          </w:p>
        </w:tc>
      </w:tr>
      <w:tr w:rsidR="0043547B" w:rsidRPr="0043547B" w:rsidTr="00E13CAF">
        <w:trPr>
          <w:trHeight w:val="260"/>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NM 03.4.003</w:t>
            </w:r>
          </w:p>
        </w:tc>
      </w:tr>
      <w:tr w:rsidR="0043547B" w:rsidRPr="0043547B" w:rsidTr="00E13CAF">
        <w:trPr>
          <w:trHeight w:val="260"/>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000000" w:fill="FFFFFF"/>
            <w:vAlign w:val="center"/>
          </w:tcPr>
          <w:p w:rsidR="00904E52" w:rsidRPr="0043547B" w:rsidRDefault="00904E52" w:rsidP="001E22AA">
            <w:pPr>
              <w:spacing w:after="0" w:line="240" w:lineRule="auto"/>
              <w:jc w:val="both"/>
              <w:rPr>
                <w:rFonts w:cstheme="minorHAnsi"/>
                <w:sz w:val="24"/>
                <w:szCs w:val="24"/>
              </w:rPr>
            </w:pPr>
            <w:r w:rsidRPr="0043547B">
              <w:rPr>
                <w:rFonts w:cstheme="minorHAnsi"/>
                <w:sz w:val="24"/>
                <w:szCs w:val="24"/>
              </w:rPr>
              <w:t xml:space="preserve">Liants hydrocarbonés - Bitumes fluidifiés - Spécifications </w:t>
            </w:r>
          </w:p>
        </w:tc>
      </w:tr>
      <w:tr w:rsidR="0043547B" w:rsidRPr="0043547B" w:rsidTr="00E13CAF">
        <w:trPr>
          <w:trHeight w:val="260"/>
          <w:jc w:val="center"/>
        </w:trPr>
        <w:tc>
          <w:tcPr>
            <w:tcW w:w="1838" w:type="dxa"/>
            <w:tcBorders>
              <w:top w:val="nil"/>
              <w:left w:val="single" w:sz="18" w:space="0" w:color="auto"/>
              <w:bottom w:val="single" w:sz="18" w:space="0" w:color="auto"/>
              <w:right w:val="single" w:sz="4" w:space="0" w:color="auto"/>
            </w:tcBorders>
            <w:shd w:val="clear" w:color="000000" w:fill="D9D9D9"/>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000000" w:fill="FFFFFF"/>
            <w:vAlign w:val="center"/>
          </w:tcPr>
          <w:p w:rsidR="00904E52" w:rsidRPr="0043547B" w:rsidRDefault="00904E52" w:rsidP="001E22AA">
            <w:pPr>
              <w:spacing w:after="0" w:line="240" w:lineRule="auto"/>
              <w:jc w:val="both"/>
              <w:rPr>
                <w:rFonts w:cstheme="minorHAnsi"/>
                <w:sz w:val="24"/>
                <w:szCs w:val="24"/>
              </w:rPr>
            </w:pPr>
            <w:r w:rsidRPr="0043547B">
              <w:rPr>
                <w:rFonts w:cstheme="minorHAnsi"/>
                <w:sz w:val="24"/>
                <w:szCs w:val="24"/>
              </w:rPr>
              <w:t>La norme définit les principales caractéristiques des bitumes fluidifiés employés pour la construction des chaussées et leur entretien.</w:t>
            </w:r>
          </w:p>
        </w:tc>
      </w:tr>
      <w:tr w:rsidR="0043547B" w:rsidRPr="0043547B" w:rsidTr="00E13CAF">
        <w:trPr>
          <w:trHeight w:val="260"/>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tcPr>
          <w:p w:rsidR="00904E52" w:rsidRPr="0043547B" w:rsidRDefault="00904E52" w:rsidP="001E22AA">
            <w:pPr>
              <w:spacing w:after="0" w:line="240" w:lineRule="auto"/>
              <w:jc w:val="center"/>
              <w:rPr>
                <w:rFonts w:cstheme="minorHAnsi"/>
                <w:b/>
                <w:bCs/>
                <w:sz w:val="24"/>
                <w:szCs w:val="24"/>
              </w:rPr>
            </w:pPr>
            <w:r w:rsidRPr="0043547B">
              <w:rPr>
                <w:rFonts w:cstheme="minorHAnsi"/>
                <w:b/>
                <w:bCs/>
                <w:sz w:val="24"/>
                <w:szCs w:val="24"/>
              </w:rPr>
              <w:t>NM 03.4.079</w:t>
            </w:r>
          </w:p>
        </w:tc>
      </w:tr>
      <w:tr w:rsidR="0043547B" w:rsidRPr="0043547B" w:rsidTr="00E13CAF">
        <w:trPr>
          <w:trHeight w:val="260"/>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000000" w:fill="FFFFFF"/>
            <w:vAlign w:val="center"/>
          </w:tcPr>
          <w:p w:rsidR="00904E52" w:rsidRPr="0043547B" w:rsidRDefault="00904E52" w:rsidP="001E22AA">
            <w:pPr>
              <w:spacing w:after="0" w:line="240" w:lineRule="auto"/>
              <w:jc w:val="both"/>
              <w:rPr>
                <w:rFonts w:cstheme="minorHAnsi"/>
                <w:sz w:val="24"/>
                <w:szCs w:val="24"/>
              </w:rPr>
            </w:pPr>
            <w:r w:rsidRPr="0043547B">
              <w:rPr>
                <w:rFonts w:cstheme="minorHAnsi"/>
                <w:sz w:val="24"/>
                <w:szCs w:val="24"/>
              </w:rPr>
              <w:t>Liants hydrocarbonés - Bitumes fluxés – Spécifications </w:t>
            </w:r>
          </w:p>
        </w:tc>
      </w:tr>
      <w:tr w:rsidR="0043547B" w:rsidRPr="0043547B" w:rsidTr="00E13CAF">
        <w:trPr>
          <w:trHeight w:val="690"/>
          <w:jc w:val="center"/>
        </w:trPr>
        <w:tc>
          <w:tcPr>
            <w:tcW w:w="1838" w:type="dxa"/>
            <w:tcBorders>
              <w:top w:val="nil"/>
              <w:left w:val="single" w:sz="18" w:space="0" w:color="auto"/>
              <w:bottom w:val="single" w:sz="18" w:space="0" w:color="auto"/>
              <w:right w:val="single" w:sz="4" w:space="0" w:color="auto"/>
            </w:tcBorders>
            <w:shd w:val="clear" w:color="000000" w:fill="D9D9D9"/>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000000" w:fill="FFFFFF"/>
            <w:vAlign w:val="center"/>
          </w:tcPr>
          <w:p w:rsidR="00904E52" w:rsidRPr="0043547B" w:rsidRDefault="00904E52" w:rsidP="001E22AA">
            <w:pPr>
              <w:spacing w:after="0" w:line="240" w:lineRule="auto"/>
              <w:jc w:val="both"/>
              <w:rPr>
                <w:rFonts w:cstheme="minorHAnsi"/>
                <w:sz w:val="24"/>
                <w:szCs w:val="24"/>
              </w:rPr>
            </w:pPr>
            <w:r w:rsidRPr="0043547B">
              <w:rPr>
                <w:rFonts w:cstheme="minorHAnsi"/>
                <w:sz w:val="24"/>
                <w:szCs w:val="24"/>
              </w:rPr>
              <w:t>La norme définit les principales caractéristiques des bitumes fluxés par une huile d’origine soit carbochimique, soit pétrolière, soit agrochimique, soit en mélange, employés pour la construction et l’entretien des chaussées.</w:t>
            </w:r>
          </w:p>
        </w:tc>
      </w:tr>
      <w:tr w:rsidR="0043547B" w:rsidRPr="0043547B" w:rsidTr="00E13CAF">
        <w:trPr>
          <w:trHeight w:val="65"/>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tcPr>
          <w:p w:rsidR="00904E52" w:rsidRPr="0043547B" w:rsidRDefault="00904E52" w:rsidP="001E22AA">
            <w:pPr>
              <w:spacing w:after="0" w:line="240" w:lineRule="auto"/>
              <w:jc w:val="center"/>
              <w:rPr>
                <w:rFonts w:cstheme="minorHAnsi"/>
                <w:sz w:val="24"/>
                <w:szCs w:val="24"/>
              </w:rPr>
            </w:pPr>
            <w:r w:rsidRPr="0043547B">
              <w:rPr>
                <w:rFonts w:cstheme="minorHAnsi"/>
                <w:b/>
                <w:bCs/>
                <w:sz w:val="24"/>
                <w:szCs w:val="24"/>
              </w:rPr>
              <w:t>NM 03.4.051</w:t>
            </w:r>
          </w:p>
        </w:tc>
      </w:tr>
      <w:tr w:rsidR="0043547B" w:rsidRPr="0043547B" w:rsidTr="00E13CAF">
        <w:trPr>
          <w:trHeight w:val="26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000000" w:fill="FFFFFF"/>
            <w:vAlign w:val="center"/>
          </w:tcPr>
          <w:p w:rsidR="00904E52" w:rsidRPr="0043547B" w:rsidRDefault="00904E52" w:rsidP="001E22AA">
            <w:pPr>
              <w:spacing w:after="0" w:line="240" w:lineRule="auto"/>
              <w:jc w:val="both"/>
              <w:rPr>
                <w:rFonts w:cstheme="minorHAnsi"/>
                <w:sz w:val="24"/>
                <w:szCs w:val="24"/>
              </w:rPr>
            </w:pPr>
            <w:r w:rsidRPr="0043547B">
              <w:rPr>
                <w:rFonts w:cstheme="minorHAnsi"/>
                <w:sz w:val="24"/>
                <w:szCs w:val="24"/>
              </w:rPr>
              <w:t xml:space="preserve">Liants hydrocarbonés - Bitumes purs - Indice de susceptibilité thermique </w:t>
            </w:r>
          </w:p>
        </w:tc>
      </w:tr>
      <w:tr w:rsidR="0043547B" w:rsidRPr="0043547B" w:rsidTr="00E13CAF">
        <w:trPr>
          <w:trHeight w:val="265"/>
          <w:jc w:val="center"/>
        </w:trPr>
        <w:tc>
          <w:tcPr>
            <w:tcW w:w="1838" w:type="dxa"/>
            <w:tcBorders>
              <w:top w:val="nil"/>
              <w:left w:val="single" w:sz="18" w:space="0" w:color="auto"/>
              <w:bottom w:val="single" w:sz="18" w:space="0" w:color="auto"/>
              <w:right w:val="single" w:sz="4" w:space="0" w:color="auto"/>
            </w:tcBorders>
            <w:shd w:val="clear" w:color="000000" w:fill="D9D9D9"/>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000000" w:fill="FFFFFF"/>
            <w:vAlign w:val="center"/>
          </w:tcPr>
          <w:p w:rsidR="00904E52" w:rsidRPr="0043547B" w:rsidRDefault="00904E52" w:rsidP="001E22AA">
            <w:pPr>
              <w:spacing w:after="0" w:line="240" w:lineRule="auto"/>
              <w:jc w:val="both"/>
              <w:rPr>
                <w:rFonts w:cstheme="minorHAnsi"/>
                <w:sz w:val="24"/>
                <w:szCs w:val="24"/>
              </w:rPr>
            </w:pPr>
            <w:r w:rsidRPr="0043547B">
              <w:rPr>
                <w:rFonts w:cstheme="minorHAnsi"/>
                <w:sz w:val="24"/>
                <w:szCs w:val="24"/>
              </w:rPr>
              <w:t xml:space="preserve">La norme a pour objet la détermination de l'indice de susceptibilité thermique à partir de la mesure de deux pénétrabilités d’une part, et de la mesure d'une </w:t>
            </w:r>
            <w:r w:rsidRPr="0043547B">
              <w:rPr>
                <w:rFonts w:cstheme="minorHAnsi"/>
                <w:sz w:val="24"/>
                <w:szCs w:val="24"/>
              </w:rPr>
              <w:lastRenderedPageBreak/>
              <w:t>pénétrabilité et du point de ramollissement d’autre part (NM 03.4.012 et NM 03.4.026).</w:t>
            </w:r>
          </w:p>
        </w:tc>
      </w:tr>
      <w:tr w:rsidR="0043547B" w:rsidRPr="0043547B" w:rsidTr="00E13CAF">
        <w:trPr>
          <w:trHeight w:val="178"/>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tcPr>
          <w:p w:rsidR="00904E52" w:rsidRPr="0043547B" w:rsidRDefault="00904E52" w:rsidP="001E22AA">
            <w:pPr>
              <w:spacing w:after="0" w:line="240" w:lineRule="auto"/>
              <w:jc w:val="center"/>
              <w:rPr>
                <w:rFonts w:cstheme="minorHAnsi"/>
                <w:sz w:val="24"/>
                <w:szCs w:val="24"/>
              </w:rPr>
            </w:pPr>
            <w:r w:rsidRPr="0043547B">
              <w:rPr>
                <w:rFonts w:cstheme="minorHAnsi"/>
                <w:b/>
                <w:bCs/>
                <w:sz w:val="24"/>
                <w:szCs w:val="24"/>
              </w:rPr>
              <w:t>NM 13.1.030</w:t>
            </w:r>
          </w:p>
        </w:tc>
      </w:tr>
      <w:tr w:rsidR="0043547B" w:rsidRPr="0043547B" w:rsidTr="00E13CAF">
        <w:trPr>
          <w:trHeight w:val="26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000000" w:fill="FFFFFF"/>
            <w:vAlign w:val="center"/>
          </w:tcPr>
          <w:p w:rsidR="00904E52" w:rsidRPr="0043547B" w:rsidRDefault="00904E52" w:rsidP="001E22AA">
            <w:pPr>
              <w:spacing w:after="0" w:line="240" w:lineRule="auto"/>
              <w:jc w:val="both"/>
              <w:rPr>
                <w:rFonts w:cstheme="minorHAnsi"/>
                <w:sz w:val="24"/>
                <w:szCs w:val="24"/>
              </w:rPr>
            </w:pPr>
            <w:r w:rsidRPr="0043547B">
              <w:rPr>
                <w:rFonts w:cstheme="minorHAnsi"/>
                <w:sz w:val="24"/>
                <w:szCs w:val="24"/>
              </w:rPr>
              <w:t xml:space="preserve">Mélanges hydrocarbonés - Détermination du pouvoir absorbant des fines </w:t>
            </w:r>
          </w:p>
        </w:tc>
      </w:tr>
      <w:tr w:rsidR="0043547B" w:rsidRPr="0043547B" w:rsidTr="00E13CAF">
        <w:trPr>
          <w:trHeight w:val="346"/>
          <w:jc w:val="center"/>
        </w:trPr>
        <w:tc>
          <w:tcPr>
            <w:tcW w:w="1838" w:type="dxa"/>
            <w:tcBorders>
              <w:top w:val="nil"/>
              <w:left w:val="single" w:sz="18" w:space="0" w:color="auto"/>
              <w:bottom w:val="single" w:sz="18" w:space="0" w:color="auto"/>
              <w:right w:val="single" w:sz="4" w:space="0" w:color="auto"/>
            </w:tcBorders>
            <w:shd w:val="clear" w:color="000000" w:fill="D9D9D9"/>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000000" w:fill="FFFFFF"/>
            <w:vAlign w:val="center"/>
          </w:tcPr>
          <w:p w:rsidR="00904E52" w:rsidRPr="0043547B" w:rsidRDefault="00904E52" w:rsidP="001E22AA">
            <w:pPr>
              <w:spacing w:after="0" w:line="240" w:lineRule="auto"/>
              <w:jc w:val="both"/>
              <w:rPr>
                <w:rFonts w:cstheme="minorHAnsi"/>
                <w:sz w:val="24"/>
                <w:szCs w:val="24"/>
              </w:rPr>
            </w:pPr>
            <w:r w:rsidRPr="0043547B">
              <w:rPr>
                <w:rFonts w:cstheme="minorHAnsi"/>
                <w:sz w:val="24"/>
                <w:szCs w:val="24"/>
              </w:rPr>
              <w:t>La norme s'applique aux fines d'origine naturelle ou artificielle à incorporer dans un mélange hydrocarboné.</w:t>
            </w:r>
          </w:p>
        </w:tc>
      </w:tr>
      <w:tr w:rsidR="0043547B" w:rsidRPr="0043547B" w:rsidTr="00E13CAF">
        <w:trPr>
          <w:trHeight w:val="184"/>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tcPr>
          <w:p w:rsidR="004C18F7" w:rsidRPr="0043547B" w:rsidRDefault="004C18F7" w:rsidP="00E17108">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tcPr>
          <w:p w:rsidR="004C18F7" w:rsidRPr="0043547B" w:rsidRDefault="004C18F7" w:rsidP="00E17108">
            <w:pPr>
              <w:spacing w:after="0" w:line="240" w:lineRule="auto"/>
              <w:jc w:val="center"/>
              <w:rPr>
                <w:rFonts w:cstheme="minorHAnsi"/>
                <w:b/>
                <w:bCs/>
                <w:sz w:val="24"/>
                <w:szCs w:val="24"/>
              </w:rPr>
            </w:pPr>
            <w:r w:rsidRPr="0043547B">
              <w:rPr>
                <w:rFonts w:cstheme="minorHAnsi"/>
                <w:b/>
                <w:bCs/>
                <w:sz w:val="24"/>
                <w:szCs w:val="24"/>
              </w:rPr>
              <w:t>NM EN 13808</w:t>
            </w:r>
          </w:p>
        </w:tc>
      </w:tr>
      <w:tr w:rsidR="0043547B" w:rsidRPr="0043547B" w:rsidTr="00E13CAF">
        <w:trPr>
          <w:trHeight w:val="346"/>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tcPr>
          <w:p w:rsidR="004C18F7" w:rsidRPr="0043547B" w:rsidRDefault="00E17108" w:rsidP="00E17108">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tcPr>
          <w:p w:rsidR="004C18F7" w:rsidRPr="0043547B" w:rsidRDefault="004C18F7" w:rsidP="00E17108">
            <w:pPr>
              <w:spacing w:after="0" w:line="240" w:lineRule="auto"/>
              <w:jc w:val="center"/>
              <w:rPr>
                <w:rFonts w:cstheme="minorHAnsi"/>
                <w:b/>
                <w:bCs/>
                <w:sz w:val="24"/>
                <w:szCs w:val="24"/>
              </w:rPr>
            </w:pPr>
            <w:r w:rsidRPr="0043547B">
              <w:rPr>
                <w:rFonts w:cstheme="minorHAnsi"/>
                <w:b/>
                <w:bCs/>
                <w:sz w:val="24"/>
                <w:szCs w:val="24"/>
              </w:rPr>
              <w:t>EN 13808</w:t>
            </w:r>
          </w:p>
        </w:tc>
      </w:tr>
      <w:tr w:rsidR="0043547B" w:rsidRPr="0043547B" w:rsidTr="00E13CAF">
        <w:trPr>
          <w:trHeight w:val="346"/>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tcPr>
          <w:p w:rsidR="004C18F7" w:rsidRPr="0043547B" w:rsidRDefault="004C18F7" w:rsidP="00E17108">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000000" w:fill="FFFFFF"/>
            <w:vAlign w:val="bottom"/>
          </w:tcPr>
          <w:p w:rsidR="004C18F7" w:rsidRPr="0043547B" w:rsidRDefault="004C18F7" w:rsidP="00E17108">
            <w:pPr>
              <w:spacing w:after="0" w:line="240" w:lineRule="auto"/>
              <w:rPr>
                <w:rFonts w:cstheme="minorHAnsi"/>
                <w:sz w:val="24"/>
                <w:szCs w:val="24"/>
              </w:rPr>
            </w:pPr>
            <w:r w:rsidRPr="0043547B">
              <w:rPr>
                <w:rFonts w:cstheme="minorHAnsi"/>
                <w:sz w:val="24"/>
                <w:szCs w:val="24"/>
              </w:rPr>
              <w:t>Bitumes et liants bitumineux - Cadre de spécifications pour les émulsions cationiques de liants bitumineux</w:t>
            </w:r>
          </w:p>
        </w:tc>
      </w:tr>
      <w:tr w:rsidR="0043547B" w:rsidRPr="0043547B" w:rsidTr="00E13CAF">
        <w:trPr>
          <w:trHeight w:val="346"/>
          <w:jc w:val="center"/>
        </w:trPr>
        <w:tc>
          <w:tcPr>
            <w:tcW w:w="1838" w:type="dxa"/>
            <w:tcBorders>
              <w:top w:val="nil"/>
              <w:left w:val="single" w:sz="18" w:space="0" w:color="auto"/>
              <w:bottom w:val="single" w:sz="18" w:space="0" w:color="auto"/>
              <w:right w:val="single" w:sz="4" w:space="0" w:color="auto"/>
            </w:tcBorders>
            <w:shd w:val="clear" w:color="000000" w:fill="D9D9D9"/>
            <w:vAlign w:val="center"/>
          </w:tcPr>
          <w:p w:rsidR="004C18F7" w:rsidRPr="0043547B" w:rsidRDefault="004C18F7" w:rsidP="00E17108">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000000" w:fill="FFFFFF"/>
            <w:vAlign w:val="bottom"/>
          </w:tcPr>
          <w:p w:rsidR="00E17108" w:rsidRPr="0043547B" w:rsidRDefault="004C18F7" w:rsidP="00E17108">
            <w:pPr>
              <w:spacing w:after="0" w:line="240" w:lineRule="auto"/>
              <w:jc w:val="both"/>
              <w:rPr>
                <w:rFonts w:cstheme="minorHAnsi"/>
                <w:sz w:val="24"/>
                <w:szCs w:val="24"/>
              </w:rPr>
            </w:pPr>
            <w:r w:rsidRPr="0043547B">
              <w:rPr>
                <w:rFonts w:cstheme="minorHAnsi"/>
                <w:sz w:val="24"/>
                <w:szCs w:val="24"/>
              </w:rPr>
              <w:t>La présente Norme européenne définit les exigences auxquelles doivent satisfaire les caractéristiques de performance des différentes classes d’émulsions cationiques de bitume utilisées pour la construction et l’entretien des chaussées routières, des pistes d’aéroports et des autres chaussées.</w:t>
            </w:r>
          </w:p>
          <w:p w:rsidR="00E17108" w:rsidRPr="0043547B" w:rsidRDefault="004C18F7" w:rsidP="00E17108">
            <w:pPr>
              <w:spacing w:after="0" w:line="240" w:lineRule="auto"/>
              <w:jc w:val="both"/>
              <w:rPr>
                <w:rFonts w:cstheme="minorHAnsi"/>
                <w:sz w:val="24"/>
                <w:szCs w:val="24"/>
              </w:rPr>
            </w:pPr>
            <w:r w:rsidRPr="0043547B">
              <w:rPr>
                <w:rFonts w:cstheme="minorHAnsi"/>
                <w:sz w:val="24"/>
                <w:szCs w:val="24"/>
              </w:rPr>
              <w:t>La présente Norme européenne s’applique aux émulsions de bitumes purs, de bitumes fluxés ou fluidifiés et aux émulsions de bitumes modifiés par des polymères, de bitumes fluxés ou fluidifiés modifiés par des polymères qui comprennent également les émulsions bitumineuses modifiées par du latex.</w:t>
            </w:r>
          </w:p>
          <w:p w:rsidR="00E17108" w:rsidRPr="0043547B" w:rsidRDefault="004C18F7" w:rsidP="00E17108">
            <w:pPr>
              <w:spacing w:after="0" w:line="240" w:lineRule="auto"/>
              <w:jc w:val="both"/>
              <w:rPr>
                <w:rFonts w:cstheme="minorHAnsi"/>
                <w:sz w:val="24"/>
                <w:szCs w:val="24"/>
              </w:rPr>
            </w:pPr>
            <w:r w:rsidRPr="0043547B">
              <w:rPr>
                <w:rFonts w:cstheme="minorHAnsi"/>
                <w:sz w:val="24"/>
                <w:szCs w:val="24"/>
              </w:rPr>
              <w:t>Dans les pays européens, plusieurs sortes d’émulsions cationiques de bitume sont utilisées. Selon les pratiques locales, différentes teneurs en liants bitumineux peuvent être utilisés pour une même réalisation.</w:t>
            </w:r>
          </w:p>
          <w:p w:rsidR="00E17108" w:rsidRPr="0043547B" w:rsidRDefault="004C18F7" w:rsidP="00E17108">
            <w:pPr>
              <w:spacing w:after="0" w:line="240" w:lineRule="auto"/>
              <w:jc w:val="both"/>
              <w:rPr>
                <w:rFonts w:cstheme="minorHAnsi"/>
                <w:sz w:val="24"/>
                <w:szCs w:val="24"/>
              </w:rPr>
            </w:pPr>
            <w:r w:rsidRPr="0043547B">
              <w:rPr>
                <w:rFonts w:cstheme="minorHAnsi"/>
                <w:sz w:val="24"/>
                <w:szCs w:val="24"/>
              </w:rPr>
              <w:t>Lorsque l'on définit une spécification, il convient de s’assurer que les classes sélectionnées sont compatibles et réalistes.</w:t>
            </w:r>
          </w:p>
          <w:p w:rsidR="004C18F7" w:rsidRPr="0043547B" w:rsidRDefault="004C18F7" w:rsidP="00E17108">
            <w:pPr>
              <w:spacing w:after="0" w:line="240" w:lineRule="auto"/>
              <w:jc w:val="both"/>
              <w:rPr>
                <w:rFonts w:cstheme="minorHAnsi"/>
                <w:sz w:val="24"/>
                <w:szCs w:val="24"/>
              </w:rPr>
            </w:pPr>
            <w:r w:rsidRPr="0043547B">
              <w:rPr>
                <w:rFonts w:cstheme="minorHAnsi"/>
                <w:b/>
                <w:bCs/>
                <w:i/>
                <w:iCs/>
                <w:sz w:val="24"/>
                <w:szCs w:val="24"/>
              </w:rPr>
              <w:t>NOTE</w:t>
            </w:r>
            <w:r w:rsidR="00E17108" w:rsidRPr="0043547B">
              <w:rPr>
                <w:rFonts w:cstheme="minorHAnsi"/>
                <w:b/>
                <w:bCs/>
                <w:i/>
                <w:iCs/>
                <w:sz w:val="24"/>
                <w:szCs w:val="24"/>
              </w:rPr>
              <w:t xml:space="preserve"> -</w:t>
            </w:r>
            <w:r w:rsidRPr="0043547B">
              <w:rPr>
                <w:rFonts w:cstheme="minorHAnsi"/>
                <w:i/>
                <w:iCs/>
                <w:sz w:val="24"/>
                <w:szCs w:val="24"/>
              </w:rPr>
              <w:t xml:space="preserve"> Pour les besoins de la présente Norme européenne, le terme « % (m/m) » est utilisé pour représenter la fraction massique</w:t>
            </w:r>
            <w:r w:rsidRPr="0043547B">
              <w:rPr>
                <w:rFonts w:cstheme="minorHAnsi"/>
                <w:sz w:val="24"/>
                <w:szCs w:val="24"/>
              </w:rPr>
              <w:t>.</w:t>
            </w:r>
          </w:p>
        </w:tc>
      </w:tr>
      <w:tr w:rsidR="0043547B" w:rsidRPr="0043547B" w:rsidTr="00542A0D">
        <w:trPr>
          <w:trHeight w:val="346"/>
          <w:jc w:val="center"/>
        </w:trPr>
        <w:tc>
          <w:tcPr>
            <w:tcW w:w="1838" w:type="dxa"/>
            <w:tcBorders>
              <w:top w:val="nil"/>
              <w:left w:val="single" w:sz="18" w:space="0" w:color="auto"/>
              <w:bottom w:val="single" w:sz="18" w:space="0" w:color="auto"/>
              <w:right w:val="single" w:sz="4" w:space="0" w:color="auto"/>
            </w:tcBorders>
            <w:shd w:val="clear" w:color="auto" w:fill="C2D69B" w:themeFill="accent3" w:themeFillTint="99"/>
            <w:vAlign w:val="center"/>
          </w:tcPr>
          <w:p w:rsidR="00B2149C" w:rsidRPr="004442F3" w:rsidRDefault="00B2149C" w:rsidP="00542A0D">
            <w:pPr>
              <w:spacing w:after="0" w:line="240" w:lineRule="auto"/>
              <w:jc w:val="center"/>
              <w:rPr>
                <w:rFonts w:cstheme="minorHAnsi"/>
                <w:b/>
                <w:bCs/>
                <w:sz w:val="24"/>
                <w:szCs w:val="24"/>
              </w:rPr>
            </w:pPr>
            <w:r w:rsidRPr="004442F3">
              <w:rPr>
                <w:rFonts w:cstheme="minorHAnsi"/>
                <w:b/>
                <w:bCs/>
                <w:sz w:val="24"/>
                <w:szCs w:val="24"/>
              </w:rPr>
              <w:t>Code :</w:t>
            </w:r>
          </w:p>
        </w:tc>
        <w:tc>
          <w:tcPr>
            <w:tcW w:w="7938" w:type="dxa"/>
            <w:tcBorders>
              <w:left w:val="single" w:sz="4" w:space="0" w:color="auto"/>
              <w:bottom w:val="single" w:sz="18" w:space="0" w:color="auto"/>
              <w:right w:val="single" w:sz="18" w:space="0" w:color="auto"/>
            </w:tcBorders>
            <w:shd w:val="clear" w:color="auto" w:fill="C2D69B" w:themeFill="accent3" w:themeFillTint="99"/>
          </w:tcPr>
          <w:p w:rsidR="00B2149C" w:rsidRPr="004442F3" w:rsidRDefault="00B2149C" w:rsidP="00542A0D">
            <w:pPr>
              <w:spacing w:after="0" w:line="240" w:lineRule="auto"/>
              <w:jc w:val="center"/>
              <w:rPr>
                <w:rFonts w:cstheme="minorHAnsi"/>
                <w:b/>
                <w:bCs/>
                <w:sz w:val="24"/>
                <w:szCs w:val="24"/>
              </w:rPr>
            </w:pPr>
            <w:r w:rsidRPr="004442F3">
              <w:rPr>
                <w:rFonts w:cstheme="minorHAnsi"/>
                <w:b/>
                <w:bCs/>
                <w:sz w:val="24"/>
                <w:szCs w:val="24"/>
              </w:rPr>
              <w:t>NM EN 15322</w:t>
            </w:r>
          </w:p>
        </w:tc>
      </w:tr>
      <w:tr w:rsidR="0043547B" w:rsidRPr="0043547B" w:rsidTr="00542A0D">
        <w:trPr>
          <w:trHeight w:val="346"/>
          <w:jc w:val="center"/>
        </w:trPr>
        <w:tc>
          <w:tcPr>
            <w:tcW w:w="1838" w:type="dxa"/>
            <w:tcBorders>
              <w:top w:val="single" w:sz="18" w:space="0" w:color="auto"/>
              <w:left w:val="single" w:sz="18" w:space="0" w:color="auto"/>
              <w:bottom w:val="single" w:sz="4" w:space="0" w:color="auto"/>
              <w:right w:val="single" w:sz="4" w:space="0" w:color="auto"/>
            </w:tcBorders>
            <w:shd w:val="clear" w:color="auto" w:fill="FDFBA9"/>
            <w:vAlign w:val="center"/>
          </w:tcPr>
          <w:p w:rsidR="00B2149C" w:rsidRPr="004442F3" w:rsidRDefault="00B2149C" w:rsidP="00542A0D">
            <w:pPr>
              <w:spacing w:after="0" w:line="240" w:lineRule="auto"/>
              <w:jc w:val="center"/>
              <w:rPr>
                <w:rFonts w:cstheme="minorHAnsi"/>
                <w:b/>
                <w:bCs/>
                <w:sz w:val="24"/>
                <w:szCs w:val="24"/>
              </w:rPr>
            </w:pPr>
            <w:r w:rsidRPr="004442F3">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DFBA9"/>
            <w:vAlign w:val="center"/>
          </w:tcPr>
          <w:p w:rsidR="00B2149C" w:rsidRPr="004442F3" w:rsidRDefault="00B2149C" w:rsidP="00542A0D">
            <w:pPr>
              <w:spacing w:after="0" w:line="240" w:lineRule="auto"/>
              <w:jc w:val="center"/>
              <w:rPr>
                <w:rFonts w:cstheme="minorHAnsi"/>
                <w:b/>
                <w:bCs/>
                <w:sz w:val="24"/>
                <w:szCs w:val="24"/>
              </w:rPr>
            </w:pPr>
            <w:r w:rsidRPr="004442F3">
              <w:rPr>
                <w:rFonts w:cstheme="minorHAnsi"/>
                <w:b/>
                <w:bCs/>
                <w:sz w:val="24"/>
                <w:szCs w:val="24"/>
              </w:rPr>
              <w:t>EN 15322</w:t>
            </w:r>
          </w:p>
        </w:tc>
      </w:tr>
      <w:tr w:rsidR="0043547B" w:rsidRPr="0043547B" w:rsidTr="00542A0D">
        <w:trPr>
          <w:trHeight w:val="346"/>
          <w:jc w:val="center"/>
        </w:trPr>
        <w:tc>
          <w:tcPr>
            <w:tcW w:w="1838" w:type="dxa"/>
            <w:tcBorders>
              <w:top w:val="single" w:sz="4" w:space="0" w:color="auto"/>
              <w:left w:val="single" w:sz="18" w:space="0" w:color="auto"/>
              <w:bottom w:val="single" w:sz="4" w:space="0" w:color="auto"/>
              <w:right w:val="single" w:sz="4" w:space="0" w:color="auto"/>
            </w:tcBorders>
            <w:shd w:val="clear" w:color="auto" w:fill="95B3D7" w:themeFill="accent1" w:themeFillTint="99"/>
            <w:vAlign w:val="center"/>
          </w:tcPr>
          <w:p w:rsidR="00B2149C" w:rsidRPr="0043547B" w:rsidRDefault="00B2149C" w:rsidP="00542A0D">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000000" w:fill="FFFFFF"/>
          </w:tcPr>
          <w:p w:rsidR="00B2149C" w:rsidRPr="0043547B" w:rsidRDefault="00B2149C" w:rsidP="00542A0D">
            <w:pPr>
              <w:spacing w:after="0" w:line="240" w:lineRule="auto"/>
              <w:rPr>
                <w:rFonts w:cstheme="minorHAnsi"/>
                <w:sz w:val="24"/>
                <w:szCs w:val="24"/>
              </w:rPr>
            </w:pPr>
            <w:r w:rsidRPr="0043547B">
              <w:rPr>
                <w:rFonts w:cstheme="minorHAnsi"/>
                <w:sz w:val="24"/>
                <w:szCs w:val="24"/>
              </w:rPr>
              <w:t>Bitumes et liants bitumineux - Cadre de spécifications pour les liants bitumineux fluidifiés et fluxés</w:t>
            </w:r>
          </w:p>
        </w:tc>
      </w:tr>
      <w:tr w:rsidR="0043547B" w:rsidRPr="0043547B" w:rsidTr="00542A0D">
        <w:trPr>
          <w:trHeight w:val="346"/>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B2149C" w:rsidRPr="0043547B" w:rsidRDefault="00B2149C" w:rsidP="00542A0D">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000000" w:fill="FFFFFF"/>
          </w:tcPr>
          <w:p w:rsidR="00B2149C" w:rsidRPr="0043547B" w:rsidRDefault="00B2149C" w:rsidP="00542A0D">
            <w:pPr>
              <w:spacing w:after="0" w:line="240" w:lineRule="auto"/>
              <w:jc w:val="both"/>
              <w:rPr>
                <w:rFonts w:cstheme="minorHAnsi"/>
                <w:sz w:val="24"/>
                <w:szCs w:val="24"/>
              </w:rPr>
            </w:pPr>
            <w:r w:rsidRPr="0043547B">
              <w:rPr>
                <w:rFonts w:cstheme="minorHAnsi"/>
                <w:sz w:val="24"/>
                <w:szCs w:val="24"/>
              </w:rPr>
              <w:t>La présente Norme européenne prescrit un cadre de spécifications des liants bitumineux fluidifiés et fluxés utilisables pour la construction et l’entretien des chaussées routières, des pistes d’aéroports et des autres chaussées.</w:t>
            </w:r>
            <w:r w:rsidRPr="0043547B">
              <w:rPr>
                <w:rFonts w:cstheme="minorHAnsi"/>
                <w:sz w:val="24"/>
                <w:szCs w:val="24"/>
              </w:rPr>
              <w:br/>
              <w:t>La présente Norme européenne s’applique aux liants bitumineux fluidifiés ou fluxés non modifiés et modifiés par des polymères.</w:t>
            </w:r>
          </w:p>
        </w:tc>
      </w:tr>
      <w:tr w:rsidR="0043547B" w:rsidRPr="0043547B" w:rsidTr="00E13CAF">
        <w:trPr>
          <w:trHeight w:val="346"/>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tcPr>
          <w:p w:rsidR="00904E52" w:rsidRPr="0043547B" w:rsidRDefault="00904E52" w:rsidP="00904E52">
            <w:pPr>
              <w:spacing w:after="0"/>
              <w:jc w:val="center"/>
              <w:rPr>
                <w:rFonts w:cstheme="minorHAnsi"/>
                <w:sz w:val="24"/>
                <w:szCs w:val="24"/>
              </w:rPr>
            </w:pPr>
            <w:r w:rsidRPr="0043547B">
              <w:rPr>
                <w:rFonts w:cstheme="minorHAnsi"/>
                <w:b/>
                <w:bCs/>
                <w:sz w:val="24"/>
                <w:szCs w:val="24"/>
              </w:rPr>
              <w:t>NM 03.4.002</w:t>
            </w:r>
          </w:p>
        </w:tc>
      </w:tr>
      <w:tr w:rsidR="0043547B" w:rsidRPr="0043547B" w:rsidTr="00E13CAF">
        <w:trPr>
          <w:trHeight w:val="346"/>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000000" w:fill="FFFFFF"/>
            <w:vAlign w:val="center"/>
          </w:tcPr>
          <w:p w:rsidR="00904E52" w:rsidRPr="0043547B" w:rsidRDefault="00904E52" w:rsidP="00904E52">
            <w:pPr>
              <w:spacing w:after="0"/>
              <w:jc w:val="both"/>
              <w:rPr>
                <w:rFonts w:cstheme="minorHAnsi"/>
                <w:sz w:val="24"/>
                <w:szCs w:val="24"/>
              </w:rPr>
            </w:pPr>
            <w:r w:rsidRPr="0043547B">
              <w:rPr>
                <w:rFonts w:cstheme="minorHAnsi"/>
                <w:sz w:val="24"/>
                <w:szCs w:val="24"/>
              </w:rPr>
              <w:t xml:space="preserve">Bitumes purs - Spécifications </w:t>
            </w:r>
          </w:p>
        </w:tc>
      </w:tr>
      <w:tr w:rsidR="0043547B" w:rsidRPr="0043547B" w:rsidTr="00E13CAF">
        <w:trPr>
          <w:trHeight w:val="539"/>
          <w:jc w:val="center"/>
        </w:trPr>
        <w:tc>
          <w:tcPr>
            <w:tcW w:w="1838" w:type="dxa"/>
            <w:tcBorders>
              <w:top w:val="nil"/>
              <w:left w:val="single" w:sz="18" w:space="0" w:color="auto"/>
              <w:bottom w:val="single" w:sz="18" w:space="0" w:color="auto"/>
              <w:right w:val="single" w:sz="4" w:space="0" w:color="auto"/>
            </w:tcBorders>
            <w:shd w:val="clear" w:color="000000" w:fill="D9D9D9"/>
            <w:vAlign w:val="center"/>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000000" w:fill="FFFFFF"/>
            <w:vAlign w:val="center"/>
          </w:tcPr>
          <w:p w:rsidR="00904E52" w:rsidRPr="0043547B" w:rsidRDefault="00904E52" w:rsidP="00904E52">
            <w:pPr>
              <w:spacing w:after="0"/>
              <w:jc w:val="both"/>
              <w:rPr>
                <w:rFonts w:cstheme="minorHAnsi"/>
                <w:sz w:val="24"/>
                <w:szCs w:val="24"/>
              </w:rPr>
            </w:pPr>
            <w:r w:rsidRPr="0043547B">
              <w:rPr>
                <w:rFonts w:cstheme="minorHAnsi"/>
                <w:sz w:val="24"/>
                <w:szCs w:val="24"/>
              </w:rPr>
              <w:t>La norme définit les principales caractéristiques des bitumes purs.</w:t>
            </w:r>
          </w:p>
        </w:tc>
      </w:tr>
    </w:tbl>
    <w:p w:rsidR="00904E52" w:rsidRPr="0043547B" w:rsidRDefault="00904E52" w:rsidP="00F26621">
      <w:pPr>
        <w:pStyle w:val="Titre4"/>
        <w:numPr>
          <w:ilvl w:val="2"/>
          <w:numId w:val="2"/>
        </w:numPr>
        <w:ind w:left="1418" w:hanging="579"/>
        <w:rPr>
          <w:rFonts w:cstheme="minorHAnsi"/>
          <w:b/>
          <w:bCs w:val="0"/>
          <w:iCs w:val="0"/>
          <w:color w:val="auto"/>
          <w:szCs w:val="24"/>
          <w:u w:val="single"/>
        </w:rPr>
      </w:pPr>
      <w:bookmarkStart w:id="44" w:name="_Toc458606100"/>
      <w:r w:rsidRPr="0043547B">
        <w:rPr>
          <w:rFonts w:cstheme="minorHAnsi"/>
          <w:b/>
          <w:bCs w:val="0"/>
          <w:iCs w:val="0"/>
          <w:color w:val="auto"/>
          <w:szCs w:val="24"/>
          <w:u w:val="single"/>
        </w:rPr>
        <w:t>Signalisation routière</w:t>
      </w:r>
      <w:bookmarkEnd w:id="44"/>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8"/>
        <w:gridCol w:w="7938"/>
      </w:tblGrid>
      <w:tr w:rsidR="0043547B" w:rsidRPr="0043547B" w:rsidTr="00542A0D">
        <w:trPr>
          <w:trHeight w:val="191"/>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10.9.094</w:t>
            </w:r>
          </w:p>
        </w:tc>
      </w:tr>
      <w:tr w:rsidR="0043547B" w:rsidRPr="0043547B" w:rsidTr="00542A0D">
        <w:trPr>
          <w:trHeight w:val="341"/>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000000" w:fill="FFFFFF"/>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Signalisation routière horizontale - Marquages appliqués sur chaussées - Essai conventionnel in situ - Dénominations et spécifications </w:t>
            </w:r>
          </w:p>
        </w:tc>
      </w:tr>
      <w:tr w:rsidR="0043547B" w:rsidRPr="0043547B" w:rsidTr="004130CC">
        <w:trPr>
          <w:trHeight w:val="985"/>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Domaine d’application :</w:t>
            </w:r>
          </w:p>
        </w:tc>
        <w:tc>
          <w:tcPr>
            <w:tcW w:w="7938" w:type="dxa"/>
            <w:tcBorders>
              <w:left w:val="single" w:sz="4" w:space="0" w:color="auto"/>
              <w:bottom w:val="single" w:sz="18" w:space="0" w:color="auto"/>
              <w:right w:val="single" w:sz="18" w:space="0" w:color="auto"/>
            </w:tcBorders>
            <w:shd w:val="clear" w:color="000000" w:fill="FFFFFF"/>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L’essai conventionnel s’applique aux marquages appliqués sur une chaussée de voie ouverte à la circulation et concerne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d’une part les marquages permanents,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d’autre part les marquages temporaires.</w:t>
            </w:r>
          </w:p>
          <w:p w:rsidR="004130CC" w:rsidRPr="0043547B" w:rsidRDefault="004130CC" w:rsidP="004130CC">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De plus, les spécifications de l’essai conventionnel assurent un niveau de sécurité minimum aux usagers de la route.</w:t>
            </w:r>
          </w:p>
          <w:p w:rsidR="00904E52" w:rsidRPr="0043547B" w:rsidRDefault="004130CC" w:rsidP="004130CC">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L’essai conventionnel ne s’applique pas, dans son ensemble, aux marquages profilés ; cette restriction est conforme aux textes du domaine d'application de la norme de performances NM 10.9.100 et des normes de mesure et d’essai.</w:t>
            </w:r>
          </w:p>
        </w:tc>
      </w:tr>
      <w:tr w:rsidR="0043547B" w:rsidRPr="0043547B" w:rsidTr="00542A0D">
        <w:trPr>
          <w:trHeight w:val="198"/>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10.9.098</w:t>
            </w:r>
          </w:p>
        </w:tc>
      </w:tr>
      <w:tr w:rsidR="0043547B" w:rsidRPr="0043547B" w:rsidTr="00542A0D">
        <w:trPr>
          <w:trHeight w:val="49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000000" w:fill="FFFFFF"/>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Signalisation routière horizontale - Barrières de sécurité routières - Critères de performances, de classification et de qualification </w:t>
            </w:r>
          </w:p>
        </w:tc>
      </w:tr>
      <w:tr w:rsidR="0043547B" w:rsidRPr="0043547B" w:rsidTr="00542A0D">
        <w:trPr>
          <w:trHeight w:val="3308"/>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000000" w:fill="FFFFFF"/>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De nombreux produits et aménagements sont susceptibles de retenir les véhicules lors des sorties accidentelles de chaussée. Toutefois, ne peuvent être considérés comme barrières de sécurité routières, et qualifiées comme telles que les systèmes qui, simultanément, possèdent une capacité de retenue supérieure à un seuil donné et assurent le maintien du véhicule sur la chaussée dans des conditions de sécurité acceptables pour les usagers de la route.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a pour objet de définir les critères de performance, de classification et de qualification des barrières de sécurité routières.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Dans certains cas (équipement d’un boulevard urbain, vitesses réduites, environnement,...), d’autres aménagements des abords des chaussées (bordures de trottoirs, bordures hautes, merlons de terre), qui ne sont pas considérés comme barrières de sécurité routières au sens de la norme, peuvent toutefois être utilisés.</w:t>
            </w:r>
          </w:p>
        </w:tc>
      </w:tr>
      <w:tr w:rsidR="0043547B" w:rsidRPr="0043547B" w:rsidTr="00542A0D">
        <w:trPr>
          <w:trHeight w:val="122"/>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10.9.100</w:t>
            </w:r>
          </w:p>
        </w:tc>
      </w:tr>
      <w:tr w:rsidR="0043547B" w:rsidRPr="0043547B" w:rsidTr="00542A0D">
        <w:trPr>
          <w:trHeight w:val="414"/>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000000" w:fill="FFFFFF"/>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Signalisation routière horizontale – Marquages appliquées sur chaussées - Performances</w:t>
            </w:r>
          </w:p>
        </w:tc>
      </w:tr>
      <w:tr w:rsidR="0043547B" w:rsidRPr="0043547B" w:rsidTr="00542A0D">
        <w:trPr>
          <w:trHeight w:val="1111"/>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000000" w:fill="FFFFFF"/>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est applicable aux marquages appliqués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en premier lieu : sur les chaussées des voies ouvertes à la circulation publique,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en second lieu : sur des revêtements tels que ceux des parcs de stationnement extérieurs et les chaussées aéronautiques.</w:t>
            </w:r>
          </w:p>
        </w:tc>
      </w:tr>
      <w:tr w:rsidR="0043547B" w:rsidRPr="0043547B" w:rsidTr="00542A0D">
        <w:trPr>
          <w:trHeight w:val="210"/>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10.9.099</w:t>
            </w:r>
          </w:p>
        </w:tc>
      </w:tr>
      <w:tr w:rsidR="0043547B" w:rsidRPr="0043547B" w:rsidTr="00542A0D">
        <w:trPr>
          <w:trHeight w:val="49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000000" w:fill="FFFFFF"/>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Barrières de sécurité routières - Glissières de sécurité en acier - Accessoires de fixation - Caractéristiques dimensionnelles - Spécifications de fabrication et de livraison</w:t>
            </w:r>
          </w:p>
        </w:tc>
      </w:tr>
      <w:tr w:rsidR="0043547B" w:rsidRPr="0043547B" w:rsidTr="00542A0D">
        <w:trPr>
          <w:trHeight w:val="1212"/>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000000" w:fill="FFFFFF"/>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Cette norme a pour objet de définir les éléments normatifs concernant les accessoires de fixation, leurs caractéristiques dimensionnelles, les spécifications de fabrication et de livraison utilisés dans la construction des barrières de sécurité routières en acier de profils A et B, définies dans la norme NM 10.9.142.</w:t>
            </w:r>
          </w:p>
        </w:tc>
      </w:tr>
      <w:tr w:rsidR="0043547B" w:rsidRPr="0043547B" w:rsidTr="00542A0D">
        <w:trPr>
          <w:trHeight w:val="142"/>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10.9.103</w:t>
            </w:r>
          </w:p>
        </w:tc>
      </w:tr>
      <w:tr w:rsidR="0043547B" w:rsidRPr="0043547B" w:rsidTr="00542A0D">
        <w:trPr>
          <w:trHeight w:val="269"/>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000000" w:fill="FFFFFF"/>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Barrières de sécurité routières - Glissières de sécurité en acier (Profils A et B) - Dimensions et spécifications techniques de fabrication des éléments de glissement ;</w:t>
            </w:r>
          </w:p>
        </w:tc>
      </w:tr>
      <w:tr w:rsidR="0043547B" w:rsidRPr="0043547B" w:rsidTr="00542A0D">
        <w:trPr>
          <w:trHeight w:val="698"/>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000000" w:fill="FFFFFF"/>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fixe le profil, les dimensions, la position des percements et les tolérances correspondantes des éléments de glissement de profils A et B, rectilignes ou curvilignes, pour glissières de sécurité en acier.</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s’applique aux glissières de sécurité définies dans la norme NM 10.9.142.</w:t>
            </w:r>
          </w:p>
        </w:tc>
      </w:tr>
      <w:tr w:rsidR="0043547B" w:rsidRPr="0043547B" w:rsidTr="00542A0D">
        <w:trPr>
          <w:trHeight w:val="48"/>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10.9.113</w:t>
            </w:r>
          </w:p>
        </w:tc>
      </w:tr>
      <w:tr w:rsidR="0043547B" w:rsidRPr="0043547B" w:rsidTr="00542A0D">
        <w:trPr>
          <w:trHeight w:val="49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000000" w:fill="FFFFFF"/>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Signalisation routière verticale - Décors pour panneaux de signalisation - Performances, caractéristiques techniques et spécifications</w:t>
            </w:r>
          </w:p>
        </w:tc>
      </w:tr>
      <w:tr w:rsidR="0043547B" w:rsidRPr="0043547B" w:rsidTr="00542A0D">
        <w:trPr>
          <w:trHeight w:val="1777"/>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000000" w:fill="FFFFFF"/>
            <w:vAlign w:val="center"/>
            <w:hideMark/>
          </w:tcPr>
          <w:p w:rsidR="00542A0D"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à la fois à la signalisation permanente et à la signalisation temporaire.</w:t>
            </w:r>
            <w:r w:rsidRPr="0043547B">
              <w:rPr>
                <w:rFonts w:eastAsia="Times New Roman" w:cstheme="minorHAnsi"/>
                <w:sz w:val="24"/>
                <w:szCs w:val="24"/>
                <w:lang w:eastAsia="fr-FR"/>
              </w:rPr>
              <w:br/>
              <w:t>Elle traite des revêtements rétroréfléchissants ou non, constituant le décor des panneaux, qu’ils soient ou pas recouverts d’une encre et/ou d’un vernis protecteur (autre que le vernis de scellement) ou de tout autre produit destiné à la réalisation du décor.</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s’applique aux mesures exécutées soit sur des éprouvettes, soit sur des panneaux, mais elle ne s’applique ni aux panneaux lumineux ni aux panneaux à message variable.</w:t>
            </w:r>
          </w:p>
        </w:tc>
      </w:tr>
      <w:tr w:rsidR="0043547B" w:rsidRPr="0043547B" w:rsidTr="00542A0D">
        <w:trPr>
          <w:trHeight w:val="192"/>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10.9.200</w:t>
            </w:r>
          </w:p>
        </w:tc>
      </w:tr>
      <w:tr w:rsidR="0043547B" w:rsidRPr="0043547B" w:rsidTr="00542A0D">
        <w:trPr>
          <w:trHeight w:val="58"/>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000000" w:fill="FFFFFF"/>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Signalisation routière verticale - Généralités</w:t>
            </w:r>
          </w:p>
        </w:tc>
      </w:tr>
      <w:tr w:rsidR="0043547B" w:rsidRPr="0043547B" w:rsidTr="00542A0D">
        <w:trPr>
          <w:trHeight w:val="134"/>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000000" w:fill="FFFFFF"/>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à la signalisation routière verticale qui, par définition, concerne l’ensemble des dispositifs utilisés sur le domaine routier et répertoriés dans les catégories suivantes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la signalisation par panneaux ou balises,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la signalisation par feux,</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la signalisation par panneaux à message variable.</w:t>
            </w:r>
          </w:p>
        </w:tc>
      </w:tr>
      <w:tr w:rsidR="0043547B" w:rsidRPr="0043547B" w:rsidTr="00542A0D">
        <w:trPr>
          <w:trHeight w:val="142"/>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10.9.154</w:t>
            </w:r>
          </w:p>
        </w:tc>
      </w:tr>
      <w:tr w:rsidR="0043547B" w:rsidRPr="0043547B" w:rsidTr="00542A0D">
        <w:trPr>
          <w:trHeight w:val="292"/>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000000" w:fill="FFFFFF"/>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Signalisation routière verticale temporaire - Panneaux et supports - Performances, caractéristiques techniques et spécifications</w:t>
            </w:r>
          </w:p>
        </w:tc>
      </w:tr>
      <w:tr w:rsidR="0043547B" w:rsidRPr="0043547B" w:rsidTr="00542A0D">
        <w:trPr>
          <w:trHeight w:val="881"/>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000000" w:fill="FFFFFF"/>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énumère les performances des panneaux de signalisation temporaire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spécifie les caractéristiques techniques correspondantes à prendre en considération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énumère les modalités, les méthodes de mesure et les méthodes d’essai à utiliser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fixe les spécifications correspondantes.</w:t>
            </w:r>
          </w:p>
        </w:tc>
      </w:tr>
      <w:tr w:rsidR="0043547B" w:rsidRPr="0043547B" w:rsidTr="00542A0D">
        <w:trPr>
          <w:trHeight w:val="234"/>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10.9.155</w:t>
            </w:r>
          </w:p>
        </w:tc>
      </w:tr>
      <w:tr w:rsidR="0043547B" w:rsidRPr="0043547B" w:rsidTr="00542A0D">
        <w:trPr>
          <w:trHeight w:val="49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000000" w:fill="FFFFFF"/>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Signalisation routière verticale temporaire - Panneaux et supports - Dimensions principales et tolérances dimensionnelles</w:t>
            </w:r>
          </w:p>
        </w:tc>
      </w:tr>
      <w:tr w:rsidR="0043547B" w:rsidRPr="0043547B" w:rsidTr="00542A0D">
        <w:trPr>
          <w:trHeight w:val="1515"/>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000000" w:fill="FFFFFF"/>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aux panneaux de types 900 et tout autre panneau de police ou panonceau rendu temporaire. Les dimensions concernées sont celles figurant dans les articles 5 et 6 ci-après.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Sont donc exclues les géométries et dimensions des décors qui font partie de l’instruction marocaine. Elle ne s’applique pas aux supports type haut mât, portique ou potence.</w:t>
            </w:r>
          </w:p>
        </w:tc>
      </w:tr>
      <w:tr w:rsidR="0043547B" w:rsidRPr="0043547B" w:rsidTr="00542A0D">
        <w:trPr>
          <w:trHeight w:val="61"/>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tcPr>
          <w:p w:rsidR="006B6875" w:rsidRPr="0043547B" w:rsidRDefault="006B6875" w:rsidP="008E747E">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tcPr>
          <w:p w:rsidR="006B6875" w:rsidRPr="0043547B" w:rsidRDefault="006B6875" w:rsidP="008E747E">
            <w:pPr>
              <w:spacing w:after="0"/>
              <w:jc w:val="center"/>
              <w:rPr>
                <w:rFonts w:cstheme="minorHAnsi"/>
                <w:b/>
                <w:bCs/>
                <w:sz w:val="24"/>
                <w:szCs w:val="24"/>
              </w:rPr>
            </w:pPr>
            <w:r w:rsidRPr="0043547B">
              <w:rPr>
                <w:rFonts w:cstheme="minorHAnsi"/>
                <w:b/>
                <w:bCs/>
                <w:sz w:val="24"/>
                <w:szCs w:val="24"/>
              </w:rPr>
              <w:t>NM 10.9.001</w:t>
            </w:r>
          </w:p>
        </w:tc>
      </w:tr>
      <w:tr w:rsidR="0043547B" w:rsidRPr="0043547B" w:rsidTr="00542A0D">
        <w:trPr>
          <w:trHeight w:val="61"/>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tcPr>
          <w:p w:rsidR="006B6875" w:rsidRPr="0043547B" w:rsidRDefault="006B6875" w:rsidP="008E747E">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tcPr>
          <w:p w:rsidR="006B6875" w:rsidRPr="0043547B" w:rsidRDefault="006B6875" w:rsidP="008E747E">
            <w:pPr>
              <w:spacing w:after="0"/>
              <w:jc w:val="center"/>
              <w:rPr>
                <w:rFonts w:cstheme="minorHAnsi"/>
                <w:b/>
                <w:bCs/>
                <w:sz w:val="24"/>
                <w:szCs w:val="24"/>
              </w:rPr>
            </w:pPr>
            <w:r w:rsidRPr="0043547B">
              <w:rPr>
                <w:rFonts w:cstheme="minorHAnsi"/>
                <w:b/>
                <w:bCs/>
                <w:sz w:val="24"/>
                <w:szCs w:val="24"/>
              </w:rPr>
              <w:t>EN 124</w:t>
            </w:r>
          </w:p>
        </w:tc>
      </w:tr>
      <w:tr w:rsidR="0043547B" w:rsidRPr="0043547B" w:rsidTr="00542A0D">
        <w:trPr>
          <w:trHeight w:val="61"/>
          <w:jc w:val="center"/>
        </w:trPr>
        <w:tc>
          <w:tcPr>
            <w:tcW w:w="1838" w:type="dxa"/>
            <w:tcBorders>
              <w:top w:val="single" w:sz="4" w:space="0" w:color="auto"/>
              <w:left w:val="single" w:sz="18" w:space="0" w:color="auto"/>
              <w:bottom w:val="single" w:sz="4" w:space="0" w:color="auto"/>
              <w:right w:val="single" w:sz="4" w:space="0" w:color="auto"/>
            </w:tcBorders>
            <w:shd w:val="clear" w:color="auto" w:fill="8DB3E2" w:themeFill="text2" w:themeFillTint="66"/>
            <w:vAlign w:val="center"/>
          </w:tcPr>
          <w:p w:rsidR="006B6875" w:rsidRPr="0043547B" w:rsidRDefault="006B6875" w:rsidP="008E747E">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FFFFFF" w:themeFill="background1"/>
          </w:tcPr>
          <w:p w:rsidR="006B6875" w:rsidRPr="0043547B" w:rsidRDefault="006B6875" w:rsidP="008E747E">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Dispositifs de couronnement et de fermeture pour les zones de circulation utilisées par les piétons et les véhicules – Principes de construction, essais types, marquage, contrôle de qualité </w:t>
            </w:r>
          </w:p>
        </w:tc>
      </w:tr>
      <w:tr w:rsidR="0043547B" w:rsidRPr="0043547B" w:rsidTr="00542A0D">
        <w:trPr>
          <w:trHeight w:val="61"/>
          <w:jc w:val="center"/>
        </w:trPr>
        <w:tc>
          <w:tcPr>
            <w:tcW w:w="1838" w:type="dxa"/>
            <w:tcBorders>
              <w:top w:val="single" w:sz="4" w:space="0" w:color="auto"/>
              <w:left w:val="single" w:sz="18" w:space="0" w:color="auto"/>
              <w:bottom w:val="single" w:sz="18" w:space="0" w:color="auto"/>
              <w:right w:val="single" w:sz="4" w:space="0" w:color="auto"/>
            </w:tcBorders>
            <w:shd w:val="clear" w:color="auto" w:fill="D9D9D9" w:themeFill="background1" w:themeFillShade="D9"/>
            <w:vAlign w:val="center"/>
          </w:tcPr>
          <w:p w:rsidR="006B6875" w:rsidRPr="0043547B" w:rsidRDefault="006B6875" w:rsidP="008E747E">
            <w:pPr>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FFFFFF" w:themeFill="background1"/>
          </w:tcPr>
          <w:p w:rsidR="00542A0D" w:rsidRDefault="006B6875" w:rsidP="008E747E">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Cette norme s'applique aux dispositifs de couronnement et aux dispositifs de fermeture ayant une cote de passage jusqu'à 1 000 mm inclus, destinés à être installés dans des zones soumises à la circulation des piétons et/ou de véhicules. </w:t>
            </w:r>
            <w:r w:rsidRPr="0043547B">
              <w:rPr>
                <w:rFonts w:eastAsia="Times New Roman" w:cstheme="minorHAnsi"/>
                <w:sz w:val="24"/>
                <w:szCs w:val="24"/>
                <w:lang w:eastAsia="fr-FR"/>
              </w:rPr>
              <w:lastRenderedPageBreak/>
              <w:t xml:space="preserve">Cette norme ne s'applique pas aux bouches à clé, ni aux avaloirs de toiture et de sol dans les </w:t>
            </w:r>
            <w:r w:rsidR="008E747E" w:rsidRPr="0043547B">
              <w:rPr>
                <w:rFonts w:eastAsia="Times New Roman" w:cstheme="minorHAnsi"/>
                <w:sz w:val="24"/>
                <w:szCs w:val="24"/>
                <w:lang w:eastAsia="fr-FR"/>
              </w:rPr>
              <w:t>bâtiments.</w:t>
            </w:r>
          </w:p>
          <w:p w:rsidR="006B6875" w:rsidRPr="0043547B" w:rsidRDefault="006B6875" w:rsidP="008E747E">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Cette norme a pour objet d'établir les définitions, les classes, les matériaux, les prescriptions relatives aux principes de construction et aux essais, le marquage et la maîtrise de la qualité des dispositifs de couronnement et des dispositifs de fermeture.</w:t>
            </w:r>
          </w:p>
        </w:tc>
      </w:tr>
      <w:tr w:rsidR="003F5F02" w:rsidRPr="001259FF" w:rsidTr="001259FF">
        <w:trPr>
          <w:trHeight w:val="61"/>
          <w:jc w:val="center"/>
        </w:trPr>
        <w:tc>
          <w:tcPr>
            <w:tcW w:w="1838" w:type="dxa"/>
            <w:tcBorders>
              <w:top w:val="single" w:sz="4" w:space="0" w:color="auto"/>
              <w:left w:val="single" w:sz="18" w:space="0" w:color="auto"/>
              <w:bottom w:val="single" w:sz="18" w:space="0" w:color="auto"/>
              <w:right w:val="single" w:sz="4" w:space="0" w:color="auto"/>
            </w:tcBorders>
            <w:shd w:val="clear" w:color="auto" w:fill="D6E3BC" w:themeFill="accent3" w:themeFillTint="66"/>
            <w:vAlign w:val="center"/>
          </w:tcPr>
          <w:p w:rsidR="003F5F02" w:rsidRPr="001259FF" w:rsidRDefault="003F5F02" w:rsidP="001259FF">
            <w:pPr>
              <w:spacing w:after="0"/>
              <w:jc w:val="center"/>
              <w:rPr>
                <w:rFonts w:cstheme="minorHAnsi"/>
                <w:b/>
                <w:bCs/>
                <w:sz w:val="24"/>
                <w:szCs w:val="24"/>
              </w:rPr>
            </w:pPr>
            <w:r w:rsidRPr="001259FF">
              <w:rPr>
                <w:rFonts w:cstheme="minorHAnsi"/>
                <w:b/>
                <w:bCs/>
                <w:sz w:val="24"/>
                <w:szCs w:val="24"/>
              </w:rPr>
              <w:lastRenderedPageBreak/>
              <w:t xml:space="preserve">Code </w:t>
            </w:r>
          </w:p>
        </w:tc>
        <w:tc>
          <w:tcPr>
            <w:tcW w:w="7938" w:type="dxa"/>
            <w:tcBorders>
              <w:top w:val="single" w:sz="4" w:space="0" w:color="auto"/>
              <w:left w:val="single" w:sz="4" w:space="0" w:color="auto"/>
              <w:bottom w:val="single" w:sz="18" w:space="0" w:color="auto"/>
              <w:right w:val="single" w:sz="18" w:space="0" w:color="auto"/>
            </w:tcBorders>
            <w:shd w:val="clear" w:color="auto" w:fill="D6E3BC" w:themeFill="accent3" w:themeFillTint="66"/>
          </w:tcPr>
          <w:p w:rsidR="003F5F02" w:rsidRPr="001259FF" w:rsidRDefault="003F5F02" w:rsidP="001259FF">
            <w:pPr>
              <w:spacing w:after="0"/>
              <w:jc w:val="center"/>
              <w:rPr>
                <w:rFonts w:cstheme="minorHAnsi"/>
                <w:b/>
                <w:bCs/>
                <w:sz w:val="24"/>
                <w:szCs w:val="24"/>
              </w:rPr>
            </w:pPr>
            <w:r w:rsidRPr="001259FF">
              <w:rPr>
                <w:rFonts w:cstheme="minorHAnsi"/>
                <w:b/>
                <w:bCs/>
                <w:sz w:val="24"/>
                <w:szCs w:val="24"/>
              </w:rPr>
              <w:t>NM EN 14388</w:t>
            </w:r>
          </w:p>
        </w:tc>
      </w:tr>
      <w:tr w:rsidR="003F5F02" w:rsidRPr="001259FF" w:rsidTr="001259FF">
        <w:trPr>
          <w:trHeight w:val="61"/>
          <w:jc w:val="center"/>
        </w:trPr>
        <w:tc>
          <w:tcPr>
            <w:tcW w:w="1838" w:type="dxa"/>
            <w:tcBorders>
              <w:top w:val="single" w:sz="4" w:space="0" w:color="auto"/>
              <w:left w:val="single" w:sz="18" w:space="0" w:color="auto"/>
              <w:bottom w:val="single" w:sz="18" w:space="0" w:color="auto"/>
              <w:right w:val="single" w:sz="4" w:space="0" w:color="auto"/>
            </w:tcBorders>
            <w:shd w:val="clear" w:color="auto" w:fill="FFFF99"/>
            <w:vAlign w:val="center"/>
          </w:tcPr>
          <w:p w:rsidR="003F5F02" w:rsidRPr="001259FF" w:rsidRDefault="003F5F02" w:rsidP="001259FF">
            <w:pPr>
              <w:spacing w:after="0"/>
              <w:jc w:val="center"/>
              <w:rPr>
                <w:rFonts w:cstheme="minorHAnsi"/>
                <w:b/>
                <w:bCs/>
                <w:sz w:val="24"/>
                <w:szCs w:val="24"/>
              </w:rPr>
            </w:pPr>
            <w:r w:rsidRPr="001259FF">
              <w:rPr>
                <w:rFonts w:cstheme="minorHAnsi"/>
                <w:b/>
                <w:bCs/>
                <w:sz w:val="24"/>
                <w:szCs w:val="24"/>
              </w:rPr>
              <w:t>Equivalence :</w:t>
            </w:r>
          </w:p>
        </w:tc>
        <w:tc>
          <w:tcPr>
            <w:tcW w:w="7938" w:type="dxa"/>
            <w:tcBorders>
              <w:top w:val="single" w:sz="4" w:space="0" w:color="auto"/>
              <w:left w:val="single" w:sz="4" w:space="0" w:color="auto"/>
              <w:bottom w:val="single" w:sz="18" w:space="0" w:color="auto"/>
              <w:right w:val="single" w:sz="18" w:space="0" w:color="auto"/>
            </w:tcBorders>
            <w:shd w:val="clear" w:color="auto" w:fill="FFFF99"/>
            <w:vAlign w:val="center"/>
          </w:tcPr>
          <w:p w:rsidR="003F5F02" w:rsidRPr="001259FF" w:rsidRDefault="003F5F02" w:rsidP="001259FF">
            <w:pPr>
              <w:spacing w:after="0"/>
              <w:jc w:val="center"/>
              <w:rPr>
                <w:rFonts w:cstheme="minorHAnsi"/>
                <w:b/>
                <w:bCs/>
                <w:sz w:val="24"/>
                <w:szCs w:val="24"/>
              </w:rPr>
            </w:pPr>
            <w:r w:rsidRPr="001259FF">
              <w:rPr>
                <w:rFonts w:cstheme="minorHAnsi"/>
                <w:b/>
                <w:bCs/>
                <w:sz w:val="24"/>
                <w:szCs w:val="24"/>
              </w:rPr>
              <w:t xml:space="preserve"> EN 14388</w:t>
            </w:r>
          </w:p>
        </w:tc>
      </w:tr>
      <w:tr w:rsidR="003F5F02" w:rsidRPr="001259FF" w:rsidTr="001259FF">
        <w:trPr>
          <w:trHeight w:val="61"/>
          <w:jc w:val="center"/>
        </w:trPr>
        <w:tc>
          <w:tcPr>
            <w:tcW w:w="1838" w:type="dxa"/>
            <w:tcBorders>
              <w:top w:val="single" w:sz="18" w:space="0" w:color="auto"/>
              <w:left w:val="single" w:sz="18" w:space="0" w:color="auto"/>
              <w:bottom w:val="single" w:sz="4" w:space="0" w:color="auto"/>
              <w:right w:val="single" w:sz="4" w:space="0" w:color="auto"/>
            </w:tcBorders>
            <w:shd w:val="clear" w:color="auto" w:fill="95B3D7" w:themeFill="accent1" w:themeFillTint="99"/>
            <w:vAlign w:val="center"/>
          </w:tcPr>
          <w:p w:rsidR="003F5F02" w:rsidRPr="001259FF" w:rsidRDefault="003F5F02" w:rsidP="001259FF">
            <w:pPr>
              <w:spacing w:after="0"/>
              <w:jc w:val="center"/>
              <w:rPr>
                <w:rFonts w:cstheme="minorHAnsi"/>
                <w:b/>
                <w:bCs/>
                <w:sz w:val="24"/>
                <w:szCs w:val="24"/>
              </w:rPr>
            </w:pPr>
            <w:r w:rsidRPr="001259FF">
              <w:rPr>
                <w:rFonts w:cstheme="minorHAns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FFFFFF" w:themeFill="background1"/>
          </w:tcPr>
          <w:p w:rsidR="003F5F02" w:rsidRPr="001259FF" w:rsidRDefault="003F5F02" w:rsidP="001259FF">
            <w:pPr>
              <w:spacing w:after="0"/>
              <w:jc w:val="both"/>
              <w:rPr>
                <w:rFonts w:cstheme="minorHAnsi"/>
                <w:sz w:val="24"/>
                <w:szCs w:val="24"/>
              </w:rPr>
            </w:pPr>
            <w:r w:rsidRPr="001259FF">
              <w:rPr>
                <w:rFonts w:cstheme="minorHAnsi"/>
              </w:rPr>
              <w:t>Dispositifs   de   réduction   du   bruit   du   trafic routier – Spécifications</w:t>
            </w:r>
          </w:p>
        </w:tc>
      </w:tr>
      <w:tr w:rsidR="003F5F02" w:rsidRPr="0043547B" w:rsidTr="001259FF">
        <w:trPr>
          <w:trHeight w:val="61"/>
          <w:jc w:val="center"/>
        </w:trPr>
        <w:tc>
          <w:tcPr>
            <w:tcW w:w="1838" w:type="dxa"/>
            <w:tcBorders>
              <w:top w:val="single" w:sz="4" w:space="0" w:color="auto"/>
              <w:left w:val="single" w:sz="18" w:space="0" w:color="auto"/>
              <w:bottom w:val="single" w:sz="18" w:space="0" w:color="auto"/>
              <w:right w:val="single" w:sz="4" w:space="0" w:color="auto"/>
            </w:tcBorders>
            <w:shd w:val="clear" w:color="auto" w:fill="D9D9D9" w:themeFill="background1" w:themeFillShade="D9"/>
            <w:vAlign w:val="center"/>
          </w:tcPr>
          <w:p w:rsidR="003F5F02" w:rsidRDefault="003F5F02" w:rsidP="001259FF">
            <w:pPr>
              <w:jc w:val="center"/>
              <w:rPr>
                <w:rFonts w:ascii="Calibri" w:hAnsi="Calibri" w:cs="Calibri"/>
                <w:b/>
                <w:bCs/>
                <w:sz w:val="24"/>
                <w:szCs w:val="24"/>
              </w:rPr>
            </w:pPr>
            <w:r>
              <w:rPr>
                <w:rFonts w:ascii="Calibri" w:hAnsi="Calibri" w:cs="Calibri"/>
                <w:b/>
                <w:bCs/>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auto" w:fill="FFFFFF" w:themeFill="background1"/>
            <w:vAlign w:val="bottom"/>
          </w:tcPr>
          <w:p w:rsidR="003F5F02" w:rsidRDefault="003F5F02" w:rsidP="003F5F02">
            <w:pPr>
              <w:rPr>
                <w:rFonts w:ascii="Calibri" w:hAnsi="Calibri" w:cs="Calibri"/>
              </w:rPr>
            </w:pPr>
            <w:r>
              <w:rPr>
                <w:rFonts w:ascii="Calibri" w:hAnsi="Calibri" w:cs="Calibri"/>
              </w:rPr>
              <w:t>La présente Norme européenne spécifie les exigences relatives aux dispositifs de réduction du bruit du trafic routier (tels</w:t>
            </w:r>
            <w:r>
              <w:rPr>
                <w:rFonts w:ascii="Calibri" w:hAnsi="Calibri" w:cs="Calibri"/>
              </w:rPr>
              <w:br/>
              <w:t>que définis en 3.1).</w:t>
            </w:r>
            <w:r>
              <w:rPr>
                <w:rFonts w:ascii="Calibri" w:hAnsi="Calibri" w:cs="Calibri"/>
              </w:rPr>
              <w:br/>
              <w:t>• écrans antibruit (telles que définis en 3.2) ;</w:t>
            </w:r>
            <w:r>
              <w:rPr>
                <w:rFonts w:ascii="Calibri" w:hAnsi="Calibri" w:cs="Calibri"/>
              </w:rPr>
              <w:br/>
              <w:t>• parements (tels que définis en 3.5) ;</w:t>
            </w:r>
            <w:r>
              <w:rPr>
                <w:rFonts w:ascii="Calibri" w:hAnsi="Calibri" w:cs="Calibri"/>
              </w:rPr>
              <w:br/>
              <w:t>• couvertures de chaussée (tels que définies en 3.6) ; et</w:t>
            </w:r>
            <w:r>
              <w:rPr>
                <w:rFonts w:ascii="Calibri" w:hAnsi="Calibri" w:cs="Calibri"/>
              </w:rPr>
              <w:br/>
              <w:t>• dispositifs additionnels (tels que définis en 3.7).</w:t>
            </w:r>
            <w:r>
              <w:rPr>
                <w:rFonts w:ascii="Calibri" w:hAnsi="Calibri" w:cs="Calibri"/>
              </w:rPr>
              <w:br/>
              <w:t>Ces dispositifs peuvent inclure à la fois des éléments acoustiques et structuraux, sachant que :</w:t>
            </w:r>
            <w:r>
              <w:rPr>
                <w:rFonts w:ascii="Calibri" w:hAnsi="Calibri" w:cs="Calibri"/>
              </w:rPr>
              <w:br/>
              <w:t>• un élément acoustique est un élément dont la fonction principale est d'assurer les performances d'isolation acoustique, de diffraction et/ou d'absorption du son du dispositif de réduction du bruit ; il fait partie d'un dispositif de réduction du bruit à utiliser le long des routes, et</w:t>
            </w:r>
            <w:r>
              <w:rPr>
                <w:rFonts w:ascii="Calibri" w:hAnsi="Calibri" w:cs="Calibri"/>
              </w:rPr>
              <w:br/>
              <w:t>• un élément structural est un élément dont la fonction principale est de soutenir ou de maintenir en place des éléments acoustiques ; il fait partie d'un dispositif de réduction du bruit à utiliser le long des routes.</w:t>
            </w:r>
            <w:r>
              <w:rPr>
                <w:rFonts w:ascii="Calibri" w:hAnsi="Calibri" w:cs="Calibri"/>
              </w:rPr>
              <w:br/>
              <w:t>Selon la conception du dispositif de réduction du bruit, les éléments structuraux peuvent faire l'objet d'essais séparément.</w:t>
            </w:r>
            <w:r>
              <w:rPr>
                <w:rFonts w:ascii="Calibri" w:hAnsi="Calibri" w:cs="Calibri"/>
              </w:rPr>
              <w:br/>
              <w:t>Ils peuvent être fabriqués dans des matériaux différents, auxquelles s'appliquent des normes particulières selon les</w:t>
            </w:r>
            <w:r>
              <w:rPr>
                <w:rFonts w:ascii="Calibri" w:hAnsi="Calibri" w:cs="Calibri"/>
              </w:rPr>
              <w:br/>
              <w:t>spécifications énoncées ci-après. Certains de ces matériaux peuvent contenir des substances dangereuses. C'est la</w:t>
            </w:r>
            <w:r>
              <w:rPr>
                <w:rFonts w:ascii="Calibri" w:hAnsi="Calibri" w:cs="Calibri"/>
              </w:rPr>
              <w:br/>
              <w:t>raison pour laquelle tous les matériaux sont déclarés.</w:t>
            </w:r>
            <w:r>
              <w:rPr>
                <w:rFonts w:ascii="Calibri" w:hAnsi="Calibri" w:cs="Calibri"/>
              </w:rPr>
              <w:br/>
              <w:t>La présente Norme européenne identifie les caractéristiques des dispositifs de réduction du bruit du trafic routier et les</w:t>
            </w:r>
            <w:r>
              <w:rPr>
                <w:rFonts w:ascii="Calibri" w:hAnsi="Calibri" w:cs="Calibri"/>
              </w:rPr>
              <w:br/>
              <w:t>méthodes d'évaluation correspondantes, et spécifie les dispositions relatives à l'évaluation de la conformité et du</w:t>
            </w:r>
            <w:r>
              <w:rPr>
                <w:rFonts w:ascii="Calibri" w:hAnsi="Calibri" w:cs="Calibri"/>
              </w:rPr>
              <w:br/>
              <w:t>marquage.</w:t>
            </w:r>
            <w:r>
              <w:rPr>
                <w:rFonts w:ascii="Calibri" w:hAnsi="Calibri" w:cs="Calibri"/>
              </w:rPr>
              <w:br/>
              <w:t>La présente Norme européenne couvre les performances acoustiques, non acoustiques et à long terme, mais pas certains</w:t>
            </w:r>
            <w:r>
              <w:rPr>
                <w:rFonts w:ascii="Calibri" w:hAnsi="Calibri" w:cs="Calibri"/>
              </w:rPr>
              <w:br/>
              <w:t>points tels que la résistance au vandalisme ou les exigences concernant l'aspect visuel.</w:t>
            </w:r>
            <w:r>
              <w:rPr>
                <w:rFonts w:ascii="Calibri" w:hAnsi="Calibri" w:cs="Calibri"/>
              </w:rPr>
              <w:br/>
              <w:t>La présente Norme européenne ne traite pas des revêtements des routes ni de l'isolation des maisons contre les bruits</w:t>
            </w:r>
            <w:r>
              <w:rPr>
                <w:rFonts w:ascii="Calibri" w:hAnsi="Calibri" w:cs="Calibri"/>
              </w:rPr>
              <w:br/>
              <w:t>aériens.</w:t>
            </w:r>
          </w:p>
        </w:tc>
      </w:tr>
      <w:tr w:rsidR="0043547B" w:rsidRPr="0043547B" w:rsidTr="00542A0D">
        <w:trPr>
          <w:trHeight w:val="61"/>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16508</w:t>
            </w:r>
          </w:p>
        </w:tc>
      </w:tr>
      <w:tr w:rsidR="0043547B" w:rsidRPr="0043547B" w:rsidTr="00542A0D">
        <w:trPr>
          <w:trHeight w:val="48"/>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16508</w:t>
            </w:r>
          </w:p>
        </w:tc>
      </w:tr>
      <w:tr w:rsidR="0043547B" w:rsidRPr="0043547B" w:rsidTr="00542A0D">
        <w:trPr>
          <w:trHeight w:val="352"/>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Intitulé :</w:t>
            </w:r>
          </w:p>
        </w:tc>
        <w:tc>
          <w:tcPr>
            <w:tcW w:w="7938" w:type="dxa"/>
            <w:tcBorders>
              <w:left w:val="single" w:sz="4" w:space="0" w:color="auto"/>
              <w:right w:val="single" w:sz="18" w:space="0" w:color="auto"/>
            </w:tcBorders>
            <w:shd w:val="clear" w:color="000000" w:fill="FFFFFF"/>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Feux de circulation - Caractéristiques photométriques des feux de signalisation avec un diamètre de 200 mm</w:t>
            </w:r>
          </w:p>
        </w:tc>
      </w:tr>
      <w:tr w:rsidR="0043547B" w:rsidRPr="0043547B" w:rsidTr="00542A0D">
        <w:trPr>
          <w:trHeight w:val="48"/>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000000" w:fill="FFFFFF"/>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Cette norme traite de la chromaticité, de l’intensité lumineuse et de la répartition de l’intensité lumineuse pour les feux de signalisation de 200 mm. La question délicate du feu fantôme, qui peut affecter la reconnaissance du feu, est incluse dans la norme.</w:t>
            </w:r>
          </w:p>
        </w:tc>
      </w:tr>
      <w:tr w:rsidR="00001B85" w:rsidRPr="001259FF" w:rsidTr="001259FF">
        <w:trPr>
          <w:trHeight w:val="48"/>
          <w:jc w:val="center"/>
        </w:trPr>
        <w:tc>
          <w:tcPr>
            <w:tcW w:w="1838" w:type="dxa"/>
            <w:tcBorders>
              <w:top w:val="nil"/>
              <w:left w:val="single" w:sz="18" w:space="0" w:color="auto"/>
              <w:bottom w:val="single" w:sz="18" w:space="0" w:color="auto"/>
              <w:right w:val="single" w:sz="4" w:space="0" w:color="auto"/>
            </w:tcBorders>
            <w:shd w:val="clear" w:color="auto" w:fill="D6E3BC" w:themeFill="accent3" w:themeFillTint="66"/>
            <w:vAlign w:val="center"/>
          </w:tcPr>
          <w:p w:rsidR="00001B85" w:rsidRPr="001259FF" w:rsidRDefault="00001B85" w:rsidP="001259FF">
            <w:pPr>
              <w:spacing w:after="0"/>
              <w:jc w:val="center"/>
              <w:rPr>
                <w:rFonts w:cstheme="minorHAnsi"/>
                <w:b/>
                <w:bCs/>
                <w:sz w:val="24"/>
                <w:szCs w:val="24"/>
              </w:rPr>
            </w:pPr>
            <w:r w:rsidRPr="001259FF">
              <w:rPr>
                <w:rFonts w:cstheme="minorHAnsi"/>
                <w:b/>
                <w:bCs/>
                <w:sz w:val="24"/>
                <w:szCs w:val="24"/>
              </w:rPr>
              <w:t xml:space="preserve">Code </w:t>
            </w:r>
          </w:p>
        </w:tc>
        <w:tc>
          <w:tcPr>
            <w:tcW w:w="7938" w:type="dxa"/>
            <w:tcBorders>
              <w:left w:val="single" w:sz="4" w:space="0" w:color="auto"/>
              <w:bottom w:val="single" w:sz="18" w:space="0" w:color="auto"/>
              <w:right w:val="single" w:sz="18" w:space="0" w:color="auto"/>
            </w:tcBorders>
            <w:shd w:val="clear" w:color="auto" w:fill="D6E3BC" w:themeFill="accent3" w:themeFillTint="66"/>
          </w:tcPr>
          <w:p w:rsidR="00001B85" w:rsidRPr="001259FF" w:rsidRDefault="00001B85" w:rsidP="001259FF">
            <w:pPr>
              <w:spacing w:after="0"/>
              <w:jc w:val="center"/>
              <w:rPr>
                <w:rFonts w:cstheme="minorHAnsi"/>
                <w:b/>
                <w:bCs/>
                <w:sz w:val="24"/>
                <w:szCs w:val="24"/>
              </w:rPr>
            </w:pPr>
            <w:r w:rsidRPr="001259FF">
              <w:rPr>
                <w:rFonts w:cstheme="minorHAnsi"/>
                <w:b/>
                <w:bCs/>
                <w:sz w:val="24"/>
                <w:szCs w:val="24"/>
              </w:rPr>
              <w:t>ST 10.9.116</w:t>
            </w:r>
          </w:p>
        </w:tc>
      </w:tr>
      <w:tr w:rsidR="00001B85" w:rsidRPr="001259FF" w:rsidTr="001259FF">
        <w:trPr>
          <w:trHeight w:val="48"/>
          <w:jc w:val="center"/>
        </w:trPr>
        <w:tc>
          <w:tcPr>
            <w:tcW w:w="1838" w:type="dxa"/>
            <w:tcBorders>
              <w:top w:val="single" w:sz="18" w:space="0" w:color="auto"/>
              <w:left w:val="single" w:sz="18" w:space="0" w:color="auto"/>
              <w:bottom w:val="single" w:sz="4" w:space="0" w:color="auto"/>
              <w:right w:val="single" w:sz="4" w:space="0" w:color="auto"/>
            </w:tcBorders>
            <w:shd w:val="clear" w:color="auto" w:fill="B8CCE4" w:themeFill="accent1" w:themeFillTint="66"/>
            <w:vAlign w:val="center"/>
          </w:tcPr>
          <w:p w:rsidR="00001B85" w:rsidRPr="001259FF" w:rsidRDefault="00001B85" w:rsidP="001259FF">
            <w:pPr>
              <w:spacing w:after="0"/>
              <w:jc w:val="center"/>
              <w:rPr>
                <w:rFonts w:cstheme="minorHAnsi"/>
                <w:b/>
                <w:bCs/>
                <w:sz w:val="24"/>
                <w:szCs w:val="24"/>
              </w:rPr>
            </w:pPr>
            <w:r w:rsidRPr="001259FF">
              <w:rPr>
                <w:rFonts w:cstheme="minorHAns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000000" w:fill="FFFFFF"/>
          </w:tcPr>
          <w:p w:rsidR="00001B85" w:rsidRPr="001259FF" w:rsidRDefault="00001B85" w:rsidP="00566A17">
            <w:pPr>
              <w:spacing w:after="0" w:line="240" w:lineRule="auto"/>
              <w:jc w:val="both"/>
              <w:rPr>
                <w:rFonts w:cstheme="minorHAnsi"/>
              </w:rPr>
            </w:pPr>
            <w:r w:rsidRPr="001259FF">
              <w:rPr>
                <w:rFonts w:cstheme="minorHAnsi"/>
              </w:rPr>
              <w:t>Signalisation routière verticale - Portiques, potences et hauts mats - Partie 1 : spécifications de calcul, mise en oeuvre, contrôle, maintenance, surveillance</w:t>
            </w:r>
          </w:p>
        </w:tc>
      </w:tr>
      <w:tr w:rsidR="00001B85" w:rsidRPr="001259FF" w:rsidTr="001259FF">
        <w:trPr>
          <w:trHeight w:val="48"/>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001B85" w:rsidRPr="001259FF" w:rsidRDefault="00001B85" w:rsidP="001259FF">
            <w:pPr>
              <w:spacing w:after="0"/>
              <w:jc w:val="center"/>
              <w:rPr>
                <w:rFonts w:cstheme="minorHAnsi"/>
                <w:b/>
                <w:bCs/>
                <w:sz w:val="24"/>
                <w:szCs w:val="24"/>
              </w:rPr>
            </w:pPr>
            <w:r w:rsidRPr="001259FF">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000000" w:fill="FFFFFF"/>
            <w:vAlign w:val="bottom"/>
          </w:tcPr>
          <w:p w:rsidR="001259FF" w:rsidRDefault="00001B85" w:rsidP="00566A17">
            <w:pPr>
              <w:spacing w:after="0" w:line="240" w:lineRule="auto"/>
              <w:jc w:val="both"/>
              <w:rPr>
                <w:rFonts w:cstheme="minorHAnsi"/>
              </w:rPr>
            </w:pPr>
            <w:r w:rsidRPr="001259FF">
              <w:rPr>
                <w:rFonts w:cstheme="minorHAnsi"/>
              </w:rPr>
              <w:t>Le présent document s'applique aux ouvrages de signalisation routière verticale permanente, temporaire ou variable, constitués de structures métalliques, situés au-dessus de l'espace de circulation, sur accotement ou TPC.</w:t>
            </w:r>
          </w:p>
          <w:p w:rsidR="001259FF" w:rsidRDefault="00001B85" w:rsidP="00566A17">
            <w:pPr>
              <w:spacing w:after="0" w:line="240" w:lineRule="auto"/>
              <w:jc w:val="both"/>
              <w:rPr>
                <w:rFonts w:cstheme="minorHAnsi"/>
              </w:rPr>
            </w:pPr>
            <w:r w:rsidRPr="001259FF">
              <w:rPr>
                <w:rFonts w:cstheme="minorHAnsi"/>
              </w:rPr>
              <w:t>Le présent document définit les hypothèses de calcul, la fabrication, les vérifications, la mise en place, les contrôles, la maintenance et la surveillance des structures métalliques supports de signalisation et de leurs massifs de fondation.</w:t>
            </w:r>
          </w:p>
          <w:p w:rsidR="00001B85" w:rsidRPr="001259FF" w:rsidRDefault="00001B85" w:rsidP="00566A17">
            <w:pPr>
              <w:spacing w:after="0" w:line="240" w:lineRule="auto"/>
              <w:jc w:val="both"/>
              <w:rPr>
                <w:rFonts w:cstheme="minorHAnsi"/>
              </w:rPr>
            </w:pPr>
            <w:r w:rsidRPr="001259FF">
              <w:rPr>
                <w:rFonts w:cstheme="minorHAnsi"/>
              </w:rPr>
              <w:t>Chaque ouvrage est conçu et dimensionné pour la configuration initiale. Pour toute modification d’un ouvrage existant (modifications d’éléments structurels, ajout, suppression ou déplacement d’équipement ou de signalisation) une vérification est effectuée conformément au présent document.</w:t>
            </w:r>
          </w:p>
        </w:tc>
      </w:tr>
      <w:tr w:rsidR="0043547B" w:rsidRPr="0043547B" w:rsidTr="00542A0D">
        <w:trPr>
          <w:trHeight w:val="131"/>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10.9.202</w:t>
            </w:r>
          </w:p>
        </w:tc>
      </w:tr>
      <w:tr w:rsidR="0043547B" w:rsidRPr="0043547B" w:rsidTr="00542A0D">
        <w:trPr>
          <w:trHeight w:val="13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12352</w:t>
            </w:r>
          </w:p>
        </w:tc>
      </w:tr>
      <w:tr w:rsidR="0043547B" w:rsidRPr="0043547B" w:rsidTr="00542A0D">
        <w:trPr>
          <w:trHeight w:val="139"/>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000000" w:fill="FFFFFF"/>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Equipement de régulation du trafic - Feux de balisage et d’alerte</w:t>
            </w:r>
          </w:p>
        </w:tc>
      </w:tr>
      <w:tr w:rsidR="0043547B" w:rsidRPr="0043547B" w:rsidTr="00542A0D">
        <w:trPr>
          <w:trHeight w:val="561"/>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000000" w:fill="FFFFFF"/>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exigences pour les dispositifs lumineux électriques individuels, appelés feux d’alerte et émettant une lumière continue ou intermittente régulière monochrome et qui, en raison seulement de leur couleur et de leur emplacement, sont utilisés pour avertir, informer ou guider les usagers de la route. Elle spécifie également les exigences en matière de performances visuelles, structurelles et fonctionnelles, ainsi que les méthodes d'essai correspondantes à utiliser. Pour le montage, ces dispositifs reposent sur les équipements fixes existants.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ne s’applique pas aux dispositifs lumineux qui transmettent des messages par des moyens supplémentaires (par exemple des panneaux à message variable), qui délivrent des instructions obligatoires (par exemple les feux de circulation) ou sont soumis à la réglementation en matière d'éclairage automobile.</w:t>
            </w:r>
          </w:p>
        </w:tc>
      </w:tr>
      <w:tr w:rsidR="0043547B" w:rsidRPr="0043547B" w:rsidTr="00542A0D">
        <w:trPr>
          <w:trHeight w:val="48"/>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10.9.203</w:t>
            </w:r>
          </w:p>
        </w:tc>
      </w:tr>
      <w:tr w:rsidR="0043547B" w:rsidRPr="0043547B" w:rsidTr="00542A0D">
        <w:trPr>
          <w:trHeight w:val="50"/>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12368</w:t>
            </w:r>
          </w:p>
        </w:tc>
      </w:tr>
      <w:tr w:rsidR="0043547B" w:rsidRPr="0043547B" w:rsidTr="00542A0D">
        <w:trPr>
          <w:trHeight w:val="48"/>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000000" w:fill="FFFFFF"/>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Equipement de régulation du trafic - Signaux</w:t>
            </w:r>
          </w:p>
        </w:tc>
      </w:tr>
      <w:tr w:rsidR="0043547B" w:rsidRPr="0043547B" w:rsidTr="00542A0D">
        <w:trPr>
          <w:trHeight w:val="1363"/>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000000" w:fill="FFFFFF"/>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seulement aux feux de circulation rouges, jaunes et verts pour la régulation du trafic de diamètres nominaux 200 mm et 300 mm. Elle définit les exigences de performance visuelle, structurelle et de tenue à l’environnement et les essais des signaux utilisés pour la circulation des piétons et le trafic routier. Les signaux lumineux mobiles sont expressément exclus du domaine d'application de La norme marocaine.</w:t>
            </w:r>
          </w:p>
        </w:tc>
      </w:tr>
      <w:tr w:rsidR="0043547B" w:rsidRPr="0043547B" w:rsidTr="00542A0D">
        <w:trPr>
          <w:trHeight w:val="48"/>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10.9.204</w:t>
            </w:r>
          </w:p>
        </w:tc>
      </w:tr>
      <w:tr w:rsidR="0043547B" w:rsidRPr="0043547B" w:rsidTr="00542A0D">
        <w:trPr>
          <w:trHeight w:val="142"/>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12675</w:t>
            </w:r>
          </w:p>
        </w:tc>
      </w:tr>
      <w:tr w:rsidR="0043547B" w:rsidRPr="0043547B" w:rsidTr="00542A0D">
        <w:trPr>
          <w:trHeight w:val="288"/>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000000" w:fill="FFFFFF"/>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Contrôleurs de signaux de circulation routière - Exigences de sécurité fonctionnelle </w:t>
            </w:r>
          </w:p>
        </w:tc>
      </w:tr>
      <w:tr w:rsidR="0043547B" w:rsidRPr="0043547B" w:rsidTr="00542A0D">
        <w:trPr>
          <w:trHeight w:val="83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Domaine d’application :</w:t>
            </w:r>
          </w:p>
        </w:tc>
        <w:tc>
          <w:tcPr>
            <w:tcW w:w="7938" w:type="dxa"/>
            <w:tcBorders>
              <w:left w:val="single" w:sz="4" w:space="0" w:color="auto"/>
              <w:bottom w:val="single" w:sz="18" w:space="0" w:color="auto"/>
              <w:right w:val="single" w:sz="18" w:space="0" w:color="auto"/>
            </w:tcBorders>
            <w:shd w:val="clear" w:color="000000" w:fill="FFFFFF"/>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La norme spécifie les exigences de sécurité fonctionnelle pour les contrôleurs de signaux de circulation routière. Elle est applicable au matériel de commande des feux installé à titre permanent ou provisoire, à l'exclusion du matériel portatif. </w:t>
            </w:r>
          </w:p>
        </w:tc>
      </w:tr>
      <w:tr w:rsidR="0043547B" w:rsidRPr="0043547B" w:rsidTr="00542A0D">
        <w:trPr>
          <w:trHeight w:val="156"/>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10.9.211</w:t>
            </w:r>
          </w:p>
        </w:tc>
      </w:tr>
      <w:tr w:rsidR="0043547B" w:rsidRPr="0043547B" w:rsidTr="00542A0D">
        <w:trPr>
          <w:trHeight w:val="302"/>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000000" w:fill="FFFFFF"/>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Signalisation routière horizontale - Marquages appliqués sur chaussées - Dénomination</w:t>
            </w:r>
          </w:p>
        </w:tc>
      </w:tr>
      <w:tr w:rsidR="0043547B" w:rsidRPr="0043547B" w:rsidTr="00542A0D">
        <w:trPr>
          <w:trHeight w:val="753"/>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000000" w:fill="FFFFFF"/>
            <w:vAlign w:val="center"/>
            <w:hideMark/>
          </w:tcPr>
          <w:p w:rsidR="00542A0D"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Cette norme s’applique aux produits de marquage appliqués sur une chaussée ouverte à la circulation correspondant aux spécifications de la norme NM 10.9.262, et concerne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d’une part, les marquages permanents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d’autre part, les marquages temporaires.</w:t>
            </w:r>
          </w:p>
        </w:tc>
      </w:tr>
      <w:tr w:rsidR="0043547B" w:rsidRPr="0043547B" w:rsidTr="00542A0D">
        <w:trPr>
          <w:trHeight w:val="102"/>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10.9.212</w:t>
            </w:r>
          </w:p>
        </w:tc>
      </w:tr>
      <w:tr w:rsidR="0043547B" w:rsidRPr="0043547B" w:rsidTr="00542A0D">
        <w:trPr>
          <w:trHeight w:val="252"/>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000000" w:fill="FFFFFF"/>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Signalisation routière horizontale - Marquages appliqués sur chaussées - Détermination des dosages</w:t>
            </w:r>
          </w:p>
        </w:tc>
      </w:tr>
      <w:tr w:rsidR="0043547B" w:rsidRPr="0043547B" w:rsidTr="00542A0D">
        <w:trPr>
          <w:trHeight w:val="515"/>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000000" w:fill="FFFFFF"/>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méthode, objet de la norme, s'applique pour la détermination ponctuelle de dosages à l'aide d'éprouvettes.</w:t>
            </w:r>
          </w:p>
        </w:tc>
      </w:tr>
      <w:tr w:rsidR="0043547B" w:rsidRPr="0043547B" w:rsidTr="00542A0D">
        <w:trPr>
          <w:trHeight w:val="48"/>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10.9.224</w:t>
            </w:r>
          </w:p>
        </w:tc>
      </w:tr>
      <w:tr w:rsidR="0043547B" w:rsidRPr="0043547B" w:rsidTr="00542A0D">
        <w:trPr>
          <w:trHeight w:val="49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000000" w:fill="FFFFFF"/>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Signalisation routière horizontale - Machines d’application des produits de marquage de chaussées - Performances et caractéristiques</w:t>
            </w:r>
          </w:p>
        </w:tc>
      </w:tr>
      <w:tr w:rsidR="0043547B" w:rsidRPr="0043547B" w:rsidTr="00542A0D">
        <w:trPr>
          <w:trHeight w:val="559"/>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000000" w:fill="FFFFFF"/>
            <w:vAlign w:val="center"/>
            <w:hideMark/>
          </w:tcPr>
          <w:p w:rsidR="001E22AA" w:rsidRPr="0043547B" w:rsidRDefault="00904E52" w:rsidP="001E22AA">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La norme est de permettre la comparaison des caractéristiques techniques des machines. Les caractéristiques techniques des machines sont regroupées en trois ensembles principaux : le premier est axé essentiellement sur les caractéristiques géométriques de la machine, le deuxième concerne les performances en termes d'application, enfin, le troisième, est orienté vers les notions de sécurité, d'ergonomie et d'environnement. Le domaine d'application du présent document concerne toutes les machines de marquage. Les organes annexes (remorques,...) en sont exclus. </w:t>
            </w:r>
          </w:p>
          <w:p w:rsidR="00542A0D" w:rsidRPr="0043547B" w:rsidRDefault="001E22AA" w:rsidP="004130CC">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L'annexe a proposé un exemple de présentation des caractéristiques d'une machine de marquage.</w:t>
            </w:r>
          </w:p>
        </w:tc>
      </w:tr>
      <w:tr w:rsidR="0043547B" w:rsidRPr="0043547B" w:rsidTr="00542A0D">
        <w:trPr>
          <w:trHeight w:val="134"/>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10.9.240</w:t>
            </w:r>
          </w:p>
        </w:tc>
      </w:tr>
      <w:tr w:rsidR="0043547B" w:rsidRPr="0043547B" w:rsidTr="00542A0D">
        <w:trPr>
          <w:trHeight w:val="49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000000" w:fill="FFFFFF"/>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Signalisation routière verticale - Panneaux de grandes dimensions de type SD3 implantés sur accotement - Caractéristiques et spécifications techniques </w:t>
            </w:r>
          </w:p>
        </w:tc>
      </w:tr>
      <w:tr w:rsidR="0043547B" w:rsidRPr="0043547B" w:rsidTr="00542A0D">
        <w:trPr>
          <w:trHeight w:val="1533"/>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000000" w:fill="FFFFFF"/>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aux panneaux de type SD3 implantés sur accotement et en précise les caractéristiques techniques (performances, constitution, dimensions, assemblage, fixation). Ceux fixés sur portiques, potences, hauts-mâts ou ouvrages d'art font l'objet de la norme NM 10.9.261.</w:t>
            </w:r>
          </w:p>
          <w:p w:rsidR="00904E52" w:rsidRPr="0043547B" w:rsidRDefault="00904E52" w:rsidP="002C6535">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fixe les spécifications correspondantes et indique ou décrit les méthodes d'essais</w:t>
            </w:r>
            <w:r w:rsidR="002C6535">
              <w:rPr>
                <w:rFonts w:eastAsia="Times New Roman" w:cstheme="minorHAnsi"/>
                <w:sz w:val="24"/>
                <w:szCs w:val="24"/>
                <w:lang w:eastAsia="fr-FR"/>
              </w:rPr>
              <w:t xml:space="preserve"> </w:t>
            </w:r>
            <w:r w:rsidRPr="0043547B">
              <w:rPr>
                <w:rFonts w:eastAsia="Times New Roman" w:cstheme="minorHAnsi"/>
                <w:sz w:val="24"/>
                <w:szCs w:val="24"/>
                <w:lang w:eastAsia="fr-FR"/>
              </w:rPr>
              <w:t>permettant de les vérifier.</w:t>
            </w:r>
          </w:p>
        </w:tc>
      </w:tr>
      <w:tr w:rsidR="0043547B" w:rsidRPr="0043547B" w:rsidTr="00542A0D">
        <w:trPr>
          <w:trHeight w:val="170"/>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12676-1</w:t>
            </w:r>
          </w:p>
        </w:tc>
      </w:tr>
      <w:tr w:rsidR="0043547B" w:rsidRPr="0043547B" w:rsidTr="00542A0D">
        <w:trPr>
          <w:trHeight w:val="48"/>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12676 - A1</w:t>
            </w:r>
          </w:p>
        </w:tc>
      </w:tr>
      <w:tr w:rsidR="0043547B" w:rsidRPr="0043547B" w:rsidTr="00542A0D">
        <w:trPr>
          <w:trHeight w:val="43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000000" w:fill="FFFFFF"/>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Équipements de</w:t>
            </w:r>
            <w:r w:rsidR="001E22AA" w:rsidRPr="0043547B">
              <w:rPr>
                <w:rFonts w:eastAsia="Times New Roman" w:cstheme="minorHAnsi"/>
                <w:sz w:val="24"/>
                <w:szCs w:val="24"/>
                <w:lang w:eastAsia="fr-FR"/>
              </w:rPr>
              <w:t xml:space="preserve"> la route - Systèmes anti-éblouissement</w:t>
            </w:r>
            <w:r w:rsidRPr="0043547B">
              <w:rPr>
                <w:rFonts w:eastAsia="Times New Roman" w:cstheme="minorHAnsi"/>
                <w:sz w:val="24"/>
                <w:szCs w:val="24"/>
                <w:lang w:eastAsia="fr-FR"/>
              </w:rPr>
              <w:t xml:space="preserve"> routiers - Partie 1 : performances et caractéristiques </w:t>
            </w:r>
          </w:p>
        </w:tc>
      </w:tr>
      <w:tr w:rsidR="0043547B" w:rsidRPr="0043547B" w:rsidTr="004130CC">
        <w:trPr>
          <w:trHeight w:val="1552"/>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Domaine d’application :</w:t>
            </w:r>
          </w:p>
        </w:tc>
        <w:tc>
          <w:tcPr>
            <w:tcW w:w="7938" w:type="dxa"/>
            <w:tcBorders>
              <w:left w:val="single" w:sz="4" w:space="0" w:color="auto"/>
              <w:bottom w:val="single" w:sz="18" w:space="0" w:color="auto"/>
              <w:right w:val="single" w:sz="18" w:space="0" w:color="auto"/>
            </w:tcBorders>
            <w:shd w:val="clear" w:color="000000" w:fill="FFFFFF"/>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caractéristiques des systèmes anti-éblouissement du point de vue de leur efficacité optique et des performances mécaniques de leurs éléments. Elle fournit une méthode permettant de déterminer les performances optiques des systèmes anti-éblouissement par calcul. En outre, elle formule des exigences et des recommandations pour la conception des systèmes anti-éblouissement, dans la perspective d'une maintenance réduite.</w:t>
            </w:r>
          </w:p>
          <w:p w:rsidR="004130CC" w:rsidRPr="0043547B" w:rsidRDefault="004130CC" w:rsidP="004130CC">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ne s’applique pas :</w:t>
            </w:r>
          </w:p>
          <w:p w:rsidR="004130CC" w:rsidRPr="0043547B" w:rsidRDefault="004130CC" w:rsidP="004130CC">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aux types de systèmes anti-éblouissement autres que ceux fixés aux barrières de sécurité ;</w:t>
            </w:r>
          </w:p>
          <w:p w:rsidR="004130CC" w:rsidRPr="0043547B" w:rsidRDefault="004130CC" w:rsidP="004130CC">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aux caractéristiques réglementaires susceptibles d’être requises afin de garantir que les systèmes anti-éblouissement sont compatibles avec les panneaux de signalisation ;</w:t>
            </w:r>
          </w:p>
          <w:p w:rsidR="00904E52" w:rsidRPr="0043547B" w:rsidRDefault="004130CC" w:rsidP="004130CC">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aux exigences spécifiques résultant de conditions environnementales extrêmes rencontrées dans certains pays européens.</w:t>
            </w:r>
          </w:p>
        </w:tc>
      </w:tr>
      <w:tr w:rsidR="0043547B" w:rsidRPr="0043547B" w:rsidTr="00542A0D">
        <w:trPr>
          <w:trHeight w:val="94"/>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12767</w:t>
            </w:r>
          </w:p>
        </w:tc>
      </w:tr>
      <w:tr w:rsidR="0043547B" w:rsidRPr="0043547B" w:rsidTr="00542A0D">
        <w:trPr>
          <w:trHeight w:val="48"/>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12767</w:t>
            </w:r>
          </w:p>
        </w:tc>
      </w:tr>
      <w:tr w:rsidR="0043547B" w:rsidRPr="0043547B" w:rsidTr="00542A0D">
        <w:trPr>
          <w:trHeight w:val="43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000000" w:fill="FFFFFF"/>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Sécurité passive des structures supports d'équipements de la route - Exigences et méthodes d'essai </w:t>
            </w:r>
          </w:p>
        </w:tc>
      </w:tr>
      <w:tr w:rsidR="0043547B" w:rsidRPr="0043547B" w:rsidTr="00542A0D">
        <w:trPr>
          <w:trHeight w:val="2399"/>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000000" w:fill="FFFFFF"/>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exigences de performances et définit les niveaux en termes de sécurité passive destinés à réduire la gravité des blessures des occupants de véhicules en cas d’impact avec les structures de supports permanents des équipements de la route. Des éléments comme la circulation, les piétons ou le personnel d’un chantier sont également pris en compte. La norme considère deux types d’absorption d’énergie et présente des méthodes d’essai pour déterminer le niveau de performance dans différentes conditions d’impact. Elle exclut les dispositifs de retenue des véhicules, les barrières anti-bruit et les bornes lumineuses ainsi que les dispositifs de signalisation temporaire de chantier.</w:t>
            </w:r>
          </w:p>
        </w:tc>
      </w:tr>
      <w:tr w:rsidR="0043547B" w:rsidRPr="0043547B" w:rsidTr="00542A0D">
        <w:trPr>
          <w:trHeight w:val="103"/>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12966-1 </w:t>
            </w:r>
          </w:p>
        </w:tc>
      </w:tr>
      <w:tr w:rsidR="0043547B" w:rsidRPr="0043547B" w:rsidTr="00542A0D">
        <w:trPr>
          <w:trHeight w:val="106"/>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12966-1 </w:t>
            </w:r>
          </w:p>
        </w:tc>
      </w:tr>
      <w:tr w:rsidR="0043547B" w:rsidRPr="0043547B" w:rsidTr="00542A0D">
        <w:trPr>
          <w:trHeight w:val="43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000000" w:fill="FFFFFF"/>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Signaux de signalisation routière verticale - Panneaux à messages variables - Partie 1 : norme produit </w:t>
            </w:r>
          </w:p>
        </w:tc>
      </w:tr>
      <w:tr w:rsidR="0043547B" w:rsidRPr="0043547B" w:rsidTr="00542A0D">
        <w:trPr>
          <w:trHeight w:val="1261"/>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000000" w:fill="FFFFFF"/>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 document spécifie les exigences et les méthodes de tests pour les nouveaux panneaux à messages variables (PMV).</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PMV peuvent être de deux types, continu ou discontinu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les panneaux continus sont similaires aux panneaux fixes. La seule différence réside dans le fait qu'ils intègrent des dispositifs éléctro-mécaniques capables d'afficher différents messages ;</w:t>
            </w:r>
          </w:p>
        </w:tc>
      </w:tr>
      <w:tr w:rsidR="0043547B" w:rsidRPr="0043547B" w:rsidTr="00542A0D">
        <w:trPr>
          <w:trHeight w:val="48"/>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1317-2 </w:t>
            </w:r>
          </w:p>
        </w:tc>
      </w:tr>
      <w:tr w:rsidR="0043547B" w:rsidRPr="0043547B" w:rsidTr="00542A0D">
        <w:trPr>
          <w:trHeight w:val="68"/>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1317-2 </w:t>
            </w:r>
          </w:p>
        </w:tc>
      </w:tr>
      <w:tr w:rsidR="0043547B" w:rsidRPr="0043547B" w:rsidTr="00542A0D">
        <w:trPr>
          <w:trHeight w:val="49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000000" w:fill="FFFFFF"/>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Dispositifs de retenue routiers - Partie 2 : classes de performance, critères d'acceptation des essais de choc et méthodes d'essai pour les barrières de sécurité </w:t>
            </w:r>
          </w:p>
        </w:tc>
      </w:tr>
      <w:tr w:rsidR="0043547B" w:rsidRPr="0043547B" w:rsidTr="00542A0D">
        <w:trPr>
          <w:trHeight w:val="2663"/>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Domaine d’application :</w:t>
            </w:r>
          </w:p>
        </w:tc>
        <w:tc>
          <w:tcPr>
            <w:tcW w:w="7938" w:type="dxa"/>
            <w:tcBorders>
              <w:left w:val="single" w:sz="4" w:space="0" w:color="auto"/>
              <w:bottom w:val="single" w:sz="18" w:space="0" w:color="auto"/>
              <w:right w:val="single" w:sz="18" w:space="0" w:color="auto"/>
            </w:tcBorders>
            <w:shd w:val="clear" w:color="000000" w:fill="FFFFFF"/>
            <w:vAlign w:val="center"/>
            <w:hideMark/>
          </w:tcPr>
          <w:p w:rsidR="00542A0D"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définit les critères de performance des barrières de sécurité, y compris les barrières pour ouvrages d'art. Elle définit les classes de performance pour différents niveaux de retenue, les critères d'acceptation des essais de choc et les méthodes d'essai.</w:t>
            </w:r>
          </w:p>
          <w:p w:rsidR="00542A0D"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dispositions de La norme s'appliquent aux dispositifs dont la retenue est la seule fonction.</w:t>
            </w:r>
          </w:p>
          <w:p w:rsidR="00A9259C" w:rsidRPr="0043547B" w:rsidRDefault="00904E52" w:rsidP="00542A0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Elles s'appliquent également à des dispositifs, par exemple les dispositifs d’écrans acoustiques et les équipements de signalisation, qui ont une fonction de retenue en complément de leur fonction propre.</w:t>
            </w:r>
          </w:p>
        </w:tc>
      </w:tr>
      <w:tr w:rsidR="0043547B" w:rsidRPr="0043547B" w:rsidTr="00542A0D">
        <w:trPr>
          <w:trHeight w:val="86"/>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1317-5</w:t>
            </w:r>
          </w:p>
        </w:tc>
      </w:tr>
      <w:tr w:rsidR="0043547B" w:rsidRPr="0043547B" w:rsidTr="00542A0D">
        <w:trPr>
          <w:trHeight w:val="48"/>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1317-5</w:t>
            </w:r>
          </w:p>
        </w:tc>
      </w:tr>
      <w:tr w:rsidR="0043547B" w:rsidRPr="0043547B" w:rsidTr="00542A0D">
        <w:trPr>
          <w:trHeight w:val="49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000000" w:fill="FFFFFF"/>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Dispositifs de retenue routiers - Partie 5 : exigences relatives aux produits et évaluation de la conformité pour les dispositifs de retenue des véhicules </w:t>
            </w:r>
          </w:p>
        </w:tc>
      </w:tr>
      <w:tr w:rsidR="0043547B" w:rsidRPr="0043547B" w:rsidTr="00542A0D">
        <w:trPr>
          <w:trHeight w:val="552"/>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000000" w:fill="FFFFFF"/>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Cette norme spécifie les exigences relatives à l’évaluation de la conformité des dispositifs de retenue routiers suivants :</w:t>
            </w:r>
          </w:p>
          <w:p w:rsidR="00904E52" w:rsidRPr="0043547B" w:rsidRDefault="00904E52" w:rsidP="008F2125">
            <w:pPr>
              <w:pStyle w:val="Paragraphedeliste"/>
              <w:numPr>
                <w:ilvl w:val="0"/>
                <w:numId w:val="46"/>
              </w:numPr>
              <w:spacing w:after="0" w:line="240" w:lineRule="auto"/>
              <w:ind w:left="337"/>
              <w:jc w:val="both"/>
              <w:rPr>
                <w:rFonts w:eastAsia="Times New Roman" w:cstheme="minorHAnsi"/>
                <w:sz w:val="24"/>
                <w:szCs w:val="24"/>
                <w:lang w:eastAsia="fr-FR"/>
              </w:rPr>
            </w:pPr>
            <w:r w:rsidRPr="0043547B">
              <w:rPr>
                <w:rFonts w:eastAsia="Times New Roman" w:cstheme="minorHAnsi"/>
                <w:sz w:val="24"/>
                <w:szCs w:val="24"/>
                <w:lang w:eastAsia="fr-FR"/>
              </w:rPr>
              <w:t>barrières de sécurité ;</w:t>
            </w:r>
          </w:p>
          <w:p w:rsidR="00904E52" w:rsidRPr="0043547B" w:rsidRDefault="00904E52" w:rsidP="008F2125">
            <w:pPr>
              <w:pStyle w:val="Paragraphedeliste"/>
              <w:numPr>
                <w:ilvl w:val="0"/>
                <w:numId w:val="46"/>
              </w:numPr>
              <w:spacing w:after="0" w:line="240" w:lineRule="auto"/>
              <w:ind w:left="337"/>
              <w:jc w:val="both"/>
              <w:rPr>
                <w:rFonts w:eastAsia="Times New Roman" w:cstheme="minorHAnsi"/>
                <w:sz w:val="24"/>
                <w:szCs w:val="24"/>
                <w:lang w:eastAsia="fr-FR"/>
              </w:rPr>
            </w:pPr>
            <w:r w:rsidRPr="0043547B">
              <w:rPr>
                <w:rFonts w:eastAsia="Times New Roman" w:cstheme="minorHAnsi"/>
                <w:sz w:val="24"/>
                <w:szCs w:val="24"/>
                <w:lang w:eastAsia="fr-FR"/>
              </w:rPr>
              <w:t>atténuateurs de choc ;</w:t>
            </w:r>
          </w:p>
          <w:p w:rsidR="00904E52" w:rsidRPr="0043547B" w:rsidRDefault="00904E52" w:rsidP="008F2125">
            <w:pPr>
              <w:pStyle w:val="Paragraphedeliste"/>
              <w:numPr>
                <w:ilvl w:val="0"/>
                <w:numId w:val="46"/>
              </w:numPr>
              <w:spacing w:after="0" w:line="240" w:lineRule="auto"/>
              <w:ind w:left="337"/>
              <w:jc w:val="both"/>
              <w:rPr>
                <w:rFonts w:eastAsia="Times New Roman" w:cstheme="minorHAnsi"/>
                <w:sz w:val="24"/>
                <w:szCs w:val="24"/>
                <w:lang w:eastAsia="fr-FR"/>
              </w:rPr>
            </w:pPr>
            <w:r w:rsidRPr="0043547B">
              <w:rPr>
                <w:rFonts w:eastAsia="Times New Roman" w:cstheme="minorHAnsi"/>
                <w:sz w:val="24"/>
                <w:szCs w:val="24"/>
                <w:lang w:eastAsia="fr-FR"/>
              </w:rPr>
              <w:t>extrémités (prendra effet lorsque la norme ENV 1317-4 deviendra une norme EN) ;</w:t>
            </w:r>
          </w:p>
          <w:p w:rsidR="00904E52" w:rsidRPr="0043547B" w:rsidRDefault="00904E52" w:rsidP="008F2125">
            <w:pPr>
              <w:pStyle w:val="Paragraphedeliste"/>
              <w:numPr>
                <w:ilvl w:val="0"/>
                <w:numId w:val="46"/>
              </w:numPr>
              <w:spacing w:after="0" w:line="240" w:lineRule="auto"/>
              <w:ind w:left="337"/>
              <w:jc w:val="both"/>
              <w:rPr>
                <w:rFonts w:eastAsia="Times New Roman" w:cstheme="minorHAnsi"/>
                <w:sz w:val="24"/>
                <w:szCs w:val="24"/>
                <w:lang w:eastAsia="fr-FR"/>
              </w:rPr>
            </w:pPr>
            <w:r w:rsidRPr="0043547B">
              <w:rPr>
                <w:rFonts w:eastAsia="Times New Roman" w:cstheme="minorHAnsi"/>
                <w:sz w:val="24"/>
                <w:szCs w:val="24"/>
                <w:lang w:eastAsia="fr-FR"/>
              </w:rPr>
              <w:t>raccordements (prendra effet lorsque la norme ENV 1317-4 deviendra une norme EN) ;</w:t>
            </w:r>
          </w:p>
          <w:p w:rsidR="00904E52" w:rsidRPr="0043547B" w:rsidRDefault="00904E52" w:rsidP="008F2125">
            <w:pPr>
              <w:pStyle w:val="Paragraphedeliste"/>
              <w:numPr>
                <w:ilvl w:val="0"/>
                <w:numId w:val="46"/>
              </w:numPr>
              <w:spacing w:after="0" w:line="240" w:lineRule="auto"/>
              <w:ind w:left="337"/>
              <w:jc w:val="both"/>
              <w:rPr>
                <w:rFonts w:eastAsia="Times New Roman" w:cstheme="minorHAnsi"/>
                <w:sz w:val="24"/>
                <w:szCs w:val="24"/>
                <w:lang w:eastAsia="fr-FR"/>
              </w:rPr>
            </w:pPr>
            <w:r w:rsidRPr="0043547B">
              <w:rPr>
                <w:rFonts w:eastAsia="Times New Roman" w:cstheme="minorHAnsi"/>
                <w:sz w:val="24"/>
                <w:szCs w:val="24"/>
                <w:lang w:eastAsia="fr-FR"/>
              </w:rPr>
              <w:t>barrières ayant la double fonction retenue des véhicules et des piétons (uniquement pour la fonction retenue des véhicules).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exigences relatives aux garde-corps ne sont pas couvertes par ce document.</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exigences relatives à l’évaluation de la durabilité à l’égard des conditions météorologiques sont comprises dans ce document.</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exigences relatives à d’autres formes de durabilité (par exemple environnement marin, abrasion du sable) ne sont pas comprises.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barrières temporaires n’entrent pas dans le champ d’application de ce document.</w:t>
            </w:r>
          </w:p>
        </w:tc>
      </w:tr>
      <w:tr w:rsidR="0043547B" w:rsidRPr="0043547B" w:rsidTr="00542A0D">
        <w:trPr>
          <w:trHeight w:val="51"/>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1463-1 </w:t>
            </w:r>
          </w:p>
        </w:tc>
      </w:tr>
      <w:tr w:rsidR="0043547B" w:rsidRPr="0043547B" w:rsidTr="00542A0D">
        <w:trPr>
          <w:trHeight w:val="210"/>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1463-1 </w:t>
            </w:r>
          </w:p>
        </w:tc>
      </w:tr>
      <w:tr w:rsidR="0043547B" w:rsidRPr="0043547B" w:rsidTr="00542A0D">
        <w:trPr>
          <w:trHeight w:val="43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000000" w:fill="FFFFFF"/>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Produits de marquage routier - Plots rétroréfléchissants - Partie 1 : spécifications des performances initiales </w:t>
            </w:r>
          </w:p>
        </w:tc>
      </w:tr>
      <w:tr w:rsidR="0043547B" w:rsidRPr="0043547B" w:rsidTr="00542A0D">
        <w:trPr>
          <w:trHeight w:val="506"/>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000000" w:fill="FFFFFF"/>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exigences initiales de performance et les méthodes d’essai en laboratoire des plots rétroréfléchissants utilisés comme matériaux de marquage routier temporaires ou permanents.</w:t>
            </w:r>
          </w:p>
        </w:tc>
      </w:tr>
      <w:tr w:rsidR="0043547B" w:rsidRPr="0043547B" w:rsidTr="00542A0D">
        <w:trPr>
          <w:trHeight w:val="120"/>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1790</w:t>
            </w:r>
          </w:p>
        </w:tc>
      </w:tr>
      <w:tr w:rsidR="0043547B" w:rsidRPr="0043547B" w:rsidTr="00542A0D">
        <w:trPr>
          <w:trHeight w:val="48"/>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1790</w:t>
            </w:r>
          </w:p>
        </w:tc>
      </w:tr>
      <w:tr w:rsidR="0043547B" w:rsidRPr="0043547B" w:rsidTr="00542A0D">
        <w:trPr>
          <w:trHeight w:val="128"/>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bottom w:val="single" w:sz="4" w:space="0" w:color="auto"/>
              <w:right w:val="single" w:sz="18" w:space="0" w:color="auto"/>
            </w:tcBorders>
            <w:shd w:val="clear" w:color="000000" w:fill="FFFFFF"/>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Produits de marquage routier - Marquages routiers préformés </w:t>
            </w:r>
          </w:p>
        </w:tc>
      </w:tr>
      <w:tr w:rsidR="0043547B" w:rsidRPr="0043547B" w:rsidTr="00542A0D">
        <w:trPr>
          <w:trHeight w:val="1674"/>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000000" w:fill="FFFFFF"/>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définit les prescriptions de laboratoire pour les caractéristiques spécifiques des produits de marquage routier préformés neufs prévus pour une utilisation permanente ou temporaire ainsi que les méthodes d'essai correspondantes.</w:t>
            </w:r>
            <w:r w:rsidRPr="0043547B">
              <w:rPr>
                <w:rFonts w:eastAsia="Times New Roman" w:cstheme="minorHAnsi"/>
                <w:sz w:val="24"/>
                <w:szCs w:val="24"/>
                <w:lang w:eastAsia="fr-FR"/>
              </w:rPr>
              <w:br/>
              <w:t xml:space="preserve">Les caractéristiques de la plupart des produits de marquage routier préformés, appelés ci-après «produits préformés », ne changent pas de façon significative pendant leur application. </w:t>
            </w:r>
          </w:p>
        </w:tc>
      </w:tr>
      <w:tr w:rsidR="0043547B" w:rsidRPr="0043547B" w:rsidTr="00542A0D">
        <w:trPr>
          <w:trHeight w:val="374"/>
          <w:jc w:val="center"/>
        </w:trPr>
        <w:tc>
          <w:tcPr>
            <w:tcW w:w="1838" w:type="dxa"/>
            <w:tcBorders>
              <w:top w:val="single" w:sz="18" w:space="0" w:color="auto"/>
              <w:left w:val="single" w:sz="18" w:space="0" w:color="auto"/>
              <w:bottom w:val="single" w:sz="18" w:space="0" w:color="auto"/>
              <w:right w:val="single" w:sz="4" w:space="0" w:color="auto"/>
            </w:tcBorders>
            <w:shd w:val="clear" w:color="auto" w:fill="B0CA7C"/>
            <w:vAlign w:val="center"/>
          </w:tcPr>
          <w:p w:rsidR="00DE76C7" w:rsidRPr="0043547B" w:rsidRDefault="00DE76C7" w:rsidP="002B4137">
            <w:pPr>
              <w:spacing w:after="0" w:line="240" w:lineRule="auto"/>
              <w:jc w:val="center"/>
              <w:rPr>
                <w:rFonts w:cstheme="minorHAnsi"/>
                <w:b/>
                <w:bCs/>
                <w:sz w:val="24"/>
                <w:szCs w:val="24"/>
              </w:rPr>
            </w:pPr>
            <w:bookmarkStart w:id="45" w:name="_Toc458606101"/>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B0CA7C"/>
            <w:vAlign w:val="center"/>
          </w:tcPr>
          <w:p w:rsidR="00DE76C7" w:rsidRPr="0043547B" w:rsidRDefault="00DE76C7" w:rsidP="002B4137">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10.9.104</w:t>
            </w:r>
          </w:p>
        </w:tc>
      </w:tr>
      <w:tr w:rsidR="0043547B" w:rsidRPr="0043547B" w:rsidTr="00542A0D">
        <w:trPr>
          <w:trHeight w:val="781"/>
          <w:jc w:val="center"/>
        </w:trPr>
        <w:tc>
          <w:tcPr>
            <w:tcW w:w="1838" w:type="dxa"/>
            <w:tcBorders>
              <w:top w:val="single" w:sz="6" w:space="0" w:color="auto"/>
              <w:left w:val="single" w:sz="18" w:space="0" w:color="auto"/>
              <w:bottom w:val="single" w:sz="6" w:space="0" w:color="auto"/>
              <w:right w:val="single" w:sz="4" w:space="0" w:color="auto"/>
            </w:tcBorders>
            <w:shd w:val="clear" w:color="auto" w:fill="95B3D7" w:themeFill="accent1" w:themeFillTint="99"/>
            <w:vAlign w:val="center"/>
          </w:tcPr>
          <w:p w:rsidR="00DE76C7" w:rsidRPr="0043547B" w:rsidRDefault="00DE76C7" w:rsidP="00A9259C">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6" w:space="0" w:color="auto"/>
              <w:left w:val="single" w:sz="4" w:space="0" w:color="auto"/>
              <w:bottom w:val="single" w:sz="6" w:space="0" w:color="auto"/>
              <w:right w:val="single" w:sz="18" w:space="0" w:color="auto"/>
            </w:tcBorders>
            <w:shd w:val="clear" w:color="000000" w:fill="FFFFFF"/>
            <w:vAlign w:val="center"/>
          </w:tcPr>
          <w:p w:rsidR="00DE76C7" w:rsidRPr="0043547B" w:rsidRDefault="00DE76C7" w:rsidP="00A9259C">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Barrières de sécurité routières - Barrières de sécurité en acier BHO - Composition, fonctionnement, performances de retenue, conditions d'implantation et de montage, éléments constitutifs ; </w:t>
            </w:r>
          </w:p>
        </w:tc>
      </w:tr>
      <w:tr w:rsidR="0043547B" w:rsidRPr="0043547B" w:rsidTr="00542A0D">
        <w:trPr>
          <w:trHeight w:val="935"/>
          <w:jc w:val="center"/>
        </w:trPr>
        <w:tc>
          <w:tcPr>
            <w:tcW w:w="1838" w:type="dxa"/>
            <w:tcBorders>
              <w:top w:val="single" w:sz="6" w:space="0" w:color="auto"/>
              <w:left w:val="single" w:sz="18" w:space="0" w:color="auto"/>
              <w:bottom w:val="single" w:sz="18" w:space="0" w:color="auto"/>
              <w:right w:val="single" w:sz="4" w:space="0" w:color="auto"/>
            </w:tcBorders>
            <w:shd w:val="clear" w:color="000000" w:fill="D9D9D9"/>
            <w:vAlign w:val="center"/>
          </w:tcPr>
          <w:p w:rsidR="00DE76C7" w:rsidRPr="0043547B" w:rsidRDefault="00DE76C7" w:rsidP="00A9259C">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6" w:space="0" w:color="auto"/>
              <w:left w:val="single" w:sz="4" w:space="0" w:color="auto"/>
              <w:bottom w:val="single" w:sz="18" w:space="0" w:color="auto"/>
              <w:right w:val="single" w:sz="18" w:space="0" w:color="auto"/>
            </w:tcBorders>
            <w:shd w:val="clear" w:color="000000" w:fill="FFFFFF"/>
            <w:vAlign w:val="center"/>
          </w:tcPr>
          <w:p w:rsidR="00DE76C7" w:rsidRPr="0043547B" w:rsidRDefault="00DE76C7" w:rsidP="00A9259C">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 présent document définit la composition, le mode de fonctionnement, les performances de retenue, les règles d'implantation et de montage ainsi que les caractéristiques des éléments constitutifs de la barrière de sécurité routière latérale en acier BHO.</w:t>
            </w:r>
          </w:p>
        </w:tc>
      </w:tr>
      <w:tr w:rsidR="0043547B" w:rsidRPr="0043547B" w:rsidTr="00542A0D">
        <w:trPr>
          <w:trHeight w:val="244"/>
          <w:jc w:val="center"/>
        </w:trPr>
        <w:tc>
          <w:tcPr>
            <w:tcW w:w="1838" w:type="dxa"/>
            <w:tcBorders>
              <w:top w:val="nil"/>
              <w:left w:val="single" w:sz="18" w:space="0" w:color="auto"/>
              <w:bottom w:val="single" w:sz="18" w:space="0" w:color="auto"/>
              <w:right w:val="single" w:sz="4" w:space="0" w:color="auto"/>
            </w:tcBorders>
            <w:shd w:val="clear" w:color="auto" w:fill="B0CA7C"/>
            <w:vAlign w:val="center"/>
          </w:tcPr>
          <w:p w:rsidR="00DE76C7" w:rsidRPr="0043547B" w:rsidRDefault="00DE76C7" w:rsidP="00A9259C">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single" w:sz="4" w:space="0" w:color="auto"/>
              <w:left w:val="single" w:sz="4" w:space="0" w:color="auto"/>
              <w:bottom w:val="single" w:sz="18" w:space="0" w:color="auto"/>
              <w:right w:val="single" w:sz="18" w:space="0" w:color="auto"/>
            </w:tcBorders>
            <w:shd w:val="clear" w:color="auto" w:fill="B0CA7C"/>
            <w:vAlign w:val="center"/>
          </w:tcPr>
          <w:p w:rsidR="00DE76C7" w:rsidRPr="0043547B" w:rsidRDefault="00DE76C7" w:rsidP="002B4137">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10.9.299</w:t>
            </w:r>
          </w:p>
        </w:tc>
      </w:tr>
      <w:tr w:rsidR="0043547B" w:rsidRPr="0043547B" w:rsidTr="00542A0D">
        <w:trPr>
          <w:trHeight w:val="842"/>
          <w:jc w:val="center"/>
        </w:trPr>
        <w:tc>
          <w:tcPr>
            <w:tcW w:w="1838" w:type="dxa"/>
            <w:tcBorders>
              <w:top w:val="single" w:sz="6" w:space="0" w:color="auto"/>
              <w:left w:val="single" w:sz="18" w:space="0" w:color="auto"/>
              <w:bottom w:val="single" w:sz="6" w:space="0" w:color="auto"/>
              <w:right w:val="single" w:sz="4" w:space="0" w:color="auto"/>
            </w:tcBorders>
            <w:shd w:val="clear" w:color="auto" w:fill="95B3D7" w:themeFill="accent1" w:themeFillTint="99"/>
            <w:vAlign w:val="center"/>
          </w:tcPr>
          <w:p w:rsidR="00DE76C7" w:rsidRPr="0043547B" w:rsidRDefault="00DE76C7" w:rsidP="00A9259C">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6" w:space="0" w:color="auto"/>
              <w:left w:val="single" w:sz="4" w:space="0" w:color="auto"/>
              <w:bottom w:val="single" w:sz="6" w:space="0" w:color="auto"/>
              <w:right w:val="single" w:sz="18" w:space="0" w:color="auto"/>
            </w:tcBorders>
            <w:shd w:val="clear" w:color="000000" w:fill="FFFFFF"/>
            <w:vAlign w:val="center"/>
          </w:tcPr>
          <w:p w:rsidR="00DE76C7" w:rsidRPr="0043547B" w:rsidRDefault="00DE76C7" w:rsidP="00A9259C">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Barrières de sécurité routières - Barrière de sécurité en acier BN4 - Composition, fonctionnement, performances de retenue, conditions d'implantation et de montage, éléments constitutifs ; </w:t>
            </w:r>
          </w:p>
        </w:tc>
      </w:tr>
      <w:tr w:rsidR="0043547B" w:rsidRPr="0043547B" w:rsidTr="00542A0D">
        <w:trPr>
          <w:trHeight w:val="1261"/>
          <w:jc w:val="center"/>
        </w:trPr>
        <w:tc>
          <w:tcPr>
            <w:tcW w:w="1838" w:type="dxa"/>
            <w:tcBorders>
              <w:top w:val="single" w:sz="6" w:space="0" w:color="auto"/>
              <w:left w:val="single" w:sz="18" w:space="0" w:color="auto"/>
              <w:bottom w:val="single" w:sz="18" w:space="0" w:color="auto"/>
              <w:right w:val="single" w:sz="4" w:space="0" w:color="auto"/>
            </w:tcBorders>
            <w:shd w:val="clear" w:color="000000" w:fill="D9D9D9"/>
            <w:vAlign w:val="center"/>
          </w:tcPr>
          <w:p w:rsidR="00DE76C7" w:rsidRPr="0043547B" w:rsidRDefault="00DE76C7" w:rsidP="00A9259C">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6" w:space="0" w:color="auto"/>
              <w:left w:val="single" w:sz="4" w:space="0" w:color="auto"/>
              <w:bottom w:val="single" w:sz="18" w:space="0" w:color="auto"/>
              <w:right w:val="single" w:sz="18" w:space="0" w:color="auto"/>
            </w:tcBorders>
            <w:shd w:val="clear" w:color="000000" w:fill="FFFFFF"/>
            <w:vAlign w:val="center"/>
          </w:tcPr>
          <w:p w:rsidR="00DE76C7" w:rsidRPr="0043547B" w:rsidRDefault="00DE76C7" w:rsidP="00A9259C">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 présent document définit la composition, le mode de fonctionnement, les performances de retenue, les règles de montage ainsi que les caractéristiques des éléments constitutifs de la barrière de sécurité routière latérale en acier BN4.</w:t>
            </w:r>
            <w:r w:rsidRPr="0043547B">
              <w:rPr>
                <w:rFonts w:eastAsia="Times New Roman" w:cstheme="minorHAnsi"/>
                <w:sz w:val="24"/>
                <w:szCs w:val="24"/>
                <w:lang w:eastAsia="fr-FR"/>
              </w:rPr>
              <w:br/>
              <w:t>La barrière BN4 s'emploie normalement sur ponts, viaducs et ouvrages similaires. Elle peut être éventuellement utilisée sur accotement sous réserve de mise en place de dispositions particulières d'ancrage, telles que dalles de frottement.</w:t>
            </w:r>
          </w:p>
        </w:tc>
      </w:tr>
      <w:tr w:rsidR="0043547B" w:rsidRPr="0043547B" w:rsidTr="00542A0D">
        <w:trPr>
          <w:trHeight w:val="416"/>
          <w:jc w:val="center"/>
        </w:trPr>
        <w:tc>
          <w:tcPr>
            <w:tcW w:w="1838" w:type="dxa"/>
            <w:tcBorders>
              <w:top w:val="nil"/>
              <w:left w:val="single" w:sz="18" w:space="0" w:color="auto"/>
              <w:bottom w:val="single" w:sz="18" w:space="0" w:color="auto"/>
              <w:right w:val="single" w:sz="4" w:space="0" w:color="auto"/>
            </w:tcBorders>
            <w:shd w:val="clear" w:color="auto" w:fill="B0CA7C"/>
            <w:vAlign w:val="center"/>
          </w:tcPr>
          <w:p w:rsidR="00DE76C7" w:rsidRPr="0043547B" w:rsidRDefault="00DE76C7" w:rsidP="002B4137">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single" w:sz="4" w:space="0" w:color="auto"/>
              <w:left w:val="single" w:sz="4" w:space="0" w:color="auto"/>
              <w:bottom w:val="single" w:sz="18" w:space="0" w:color="auto"/>
              <w:right w:val="single" w:sz="18" w:space="0" w:color="auto"/>
            </w:tcBorders>
            <w:shd w:val="clear" w:color="auto" w:fill="B0CA7C"/>
            <w:vAlign w:val="center"/>
          </w:tcPr>
          <w:p w:rsidR="00DE76C7" w:rsidRPr="0043547B" w:rsidRDefault="00DE76C7" w:rsidP="002B4137">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13422</w:t>
            </w:r>
          </w:p>
        </w:tc>
      </w:tr>
      <w:tr w:rsidR="0043547B" w:rsidRPr="0043547B" w:rsidTr="00542A0D">
        <w:trPr>
          <w:trHeight w:val="412"/>
          <w:jc w:val="center"/>
        </w:trPr>
        <w:tc>
          <w:tcPr>
            <w:tcW w:w="1838" w:type="dxa"/>
            <w:tcBorders>
              <w:top w:val="single" w:sz="18" w:space="0" w:color="auto"/>
              <w:left w:val="single" w:sz="18" w:space="0" w:color="auto"/>
              <w:bottom w:val="single" w:sz="6" w:space="0" w:color="auto"/>
              <w:right w:val="single" w:sz="4" w:space="0" w:color="auto"/>
            </w:tcBorders>
            <w:shd w:val="clear" w:color="auto" w:fill="FFFF99"/>
            <w:vAlign w:val="center"/>
          </w:tcPr>
          <w:p w:rsidR="00DE76C7" w:rsidRPr="0043547B" w:rsidRDefault="00DE76C7" w:rsidP="00A9259C">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6" w:space="0" w:color="auto"/>
              <w:right w:val="single" w:sz="18" w:space="0" w:color="auto"/>
            </w:tcBorders>
            <w:shd w:val="clear" w:color="auto" w:fill="FFFF99"/>
            <w:vAlign w:val="center"/>
          </w:tcPr>
          <w:p w:rsidR="00DE76C7" w:rsidRPr="0043547B" w:rsidRDefault="00DE76C7" w:rsidP="002B4137">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13422</w:t>
            </w:r>
          </w:p>
        </w:tc>
      </w:tr>
      <w:tr w:rsidR="0043547B" w:rsidRPr="0043547B" w:rsidTr="00542A0D">
        <w:trPr>
          <w:trHeight w:val="638"/>
          <w:jc w:val="center"/>
        </w:trPr>
        <w:tc>
          <w:tcPr>
            <w:tcW w:w="1838" w:type="dxa"/>
            <w:tcBorders>
              <w:top w:val="single" w:sz="6" w:space="0" w:color="auto"/>
              <w:left w:val="single" w:sz="18" w:space="0" w:color="auto"/>
              <w:bottom w:val="single" w:sz="6" w:space="0" w:color="auto"/>
              <w:right w:val="single" w:sz="4" w:space="0" w:color="auto"/>
            </w:tcBorders>
            <w:shd w:val="clear" w:color="auto" w:fill="95B3D7" w:themeFill="accent1" w:themeFillTint="99"/>
            <w:vAlign w:val="center"/>
          </w:tcPr>
          <w:p w:rsidR="00DE76C7" w:rsidRPr="0043547B" w:rsidRDefault="00DE76C7" w:rsidP="00A9259C">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6" w:space="0" w:color="auto"/>
              <w:left w:val="single" w:sz="4" w:space="0" w:color="auto"/>
              <w:bottom w:val="single" w:sz="6" w:space="0" w:color="auto"/>
              <w:right w:val="single" w:sz="18" w:space="0" w:color="auto"/>
            </w:tcBorders>
            <w:shd w:val="clear" w:color="000000" w:fill="FFFFFF"/>
            <w:vAlign w:val="center"/>
          </w:tcPr>
          <w:p w:rsidR="00DE76C7" w:rsidRPr="0043547B" w:rsidRDefault="00DE76C7" w:rsidP="00A9259C">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Signalisation routière verticale - Dispositifs d'alerte et balisages de voie souples et mobiles - Signaux temporaires mobiles - Cônes et cylindres ; (IC 10.9.286)</w:t>
            </w:r>
          </w:p>
        </w:tc>
      </w:tr>
      <w:tr w:rsidR="0043547B" w:rsidRPr="0043547B" w:rsidTr="00542A0D">
        <w:trPr>
          <w:trHeight w:val="1261"/>
          <w:jc w:val="center"/>
        </w:trPr>
        <w:tc>
          <w:tcPr>
            <w:tcW w:w="1838" w:type="dxa"/>
            <w:tcBorders>
              <w:top w:val="single" w:sz="6" w:space="0" w:color="auto"/>
              <w:left w:val="single" w:sz="18" w:space="0" w:color="auto"/>
              <w:bottom w:val="single" w:sz="18" w:space="0" w:color="auto"/>
              <w:right w:val="single" w:sz="4" w:space="0" w:color="auto"/>
            </w:tcBorders>
            <w:shd w:val="clear" w:color="000000" w:fill="D9D9D9"/>
            <w:vAlign w:val="center"/>
          </w:tcPr>
          <w:p w:rsidR="00DE76C7" w:rsidRPr="0043547B" w:rsidRDefault="00DE76C7" w:rsidP="00A9259C">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6" w:space="0" w:color="auto"/>
              <w:left w:val="single" w:sz="4" w:space="0" w:color="auto"/>
              <w:bottom w:val="single" w:sz="18" w:space="0" w:color="auto"/>
              <w:right w:val="single" w:sz="18" w:space="0" w:color="auto"/>
            </w:tcBorders>
            <w:shd w:val="clear" w:color="000000" w:fill="FFFFFF"/>
            <w:vAlign w:val="center"/>
          </w:tcPr>
          <w:p w:rsidR="002B4137" w:rsidRPr="0043547B" w:rsidRDefault="00DE76C7" w:rsidP="00A9259C">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 présent document spécifie les exigences applicables aux nouveaux dispositifs coniques et aux nouveaux cylindres ayant des propriétés rétroréfléchissantes.</w:t>
            </w:r>
            <w:r w:rsidRPr="0043547B">
              <w:rPr>
                <w:rFonts w:eastAsia="Times New Roman" w:cstheme="minorHAnsi"/>
                <w:sz w:val="24"/>
                <w:szCs w:val="24"/>
                <w:lang w:eastAsia="fr-FR"/>
              </w:rPr>
              <w:br/>
              <w:t>Le présent document indique les caractéristiques minimales essentielles de performance visuelle et physique ainsi que les méthodes d’essai permettant de déterminer les performances des produits et les moyens de communiquer ces performances à l’utilisateur et au public, y compris les organismes garants de la sécurité.</w:t>
            </w:r>
          </w:p>
          <w:p w:rsidR="002B4137" w:rsidRPr="0043547B" w:rsidRDefault="00DE76C7" w:rsidP="00A9259C">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 présent document prévoit une série de catégories ou de classes permettant de spécifier un dispositif conique ou un cylindre pour les utiliser selon les règles de l’art dans différentes applications.</w:t>
            </w:r>
          </w:p>
          <w:p w:rsidR="002B4137" w:rsidRPr="0043547B" w:rsidRDefault="00DE76C7" w:rsidP="00A9259C">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Pour ce qui est des propriétés physiques, des niveaux de performance et des essais indicatifs sont prévus pour temps froid, stabilité et résistance au choc en cas de chute.</w:t>
            </w:r>
          </w:p>
          <w:p w:rsidR="002B4137" w:rsidRPr="0043547B" w:rsidRDefault="00DE76C7" w:rsidP="00A9259C">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exigences en matière de propriétés de reconnaissance visuelle, couleur, rétroréflexion et luminance sont prévues.</w:t>
            </w:r>
          </w:p>
          <w:p w:rsidR="002B4137" w:rsidRPr="0043547B" w:rsidRDefault="00DE76C7" w:rsidP="00A9259C">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Tous les essais mentionnés dans le présent document figurent déjà dans une ou plusieurs normes techniques nationales d’un ou de plusieurs États membres ou dans des exigences législatives ou des codes de bonne pratique des États membres.</w:t>
            </w:r>
            <w:r w:rsidRPr="0043547B">
              <w:rPr>
                <w:rFonts w:eastAsia="Times New Roman" w:cstheme="minorHAnsi"/>
                <w:sz w:val="24"/>
                <w:szCs w:val="24"/>
                <w:lang w:eastAsia="fr-FR"/>
              </w:rPr>
              <w:br/>
              <w:t>Il prévoit des dispositions pour l’identification et le marquage conformément aux niveaux de performance déclarés.</w:t>
            </w:r>
          </w:p>
          <w:p w:rsidR="00DE76C7" w:rsidRPr="0043547B" w:rsidRDefault="00DE76C7" w:rsidP="00A9259C">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Des produits de formes différentes ont des fonctions similaires. Le présent document ne couvre pas les dispositifs de formes différentes ou qui ne répondent pas aux exigences de conception de la présente norme.</w:t>
            </w:r>
          </w:p>
        </w:tc>
      </w:tr>
      <w:tr w:rsidR="0043547B" w:rsidRPr="0043547B" w:rsidTr="00542A0D">
        <w:trPr>
          <w:trHeight w:val="374"/>
          <w:jc w:val="center"/>
        </w:trPr>
        <w:tc>
          <w:tcPr>
            <w:tcW w:w="1838" w:type="dxa"/>
            <w:tcBorders>
              <w:top w:val="nil"/>
              <w:left w:val="single" w:sz="18" w:space="0" w:color="auto"/>
              <w:bottom w:val="single" w:sz="18" w:space="0" w:color="auto"/>
              <w:right w:val="single" w:sz="4" w:space="0" w:color="auto"/>
            </w:tcBorders>
            <w:shd w:val="clear" w:color="auto" w:fill="B0CA7C"/>
            <w:vAlign w:val="center"/>
          </w:tcPr>
          <w:p w:rsidR="00DE76C7" w:rsidRPr="0043547B" w:rsidRDefault="00DE76C7" w:rsidP="002B4137">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single" w:sz="4" w:space="0" w:color="auto"/>
              <w:left w:val="single" w:sz="4" w:space="0" w:color="auto"/>
              <w:bottom w:val="single" w:sz="18" w:space="0" w:color="auto"/>
              <w:right w:val="single" w:sz="18" w:space="0" w:color="auto"/>
            </w:tcBorders>
            <w:shd w:val="clear" w:color="auto" w:fill="B0CA7C"/>
            <w:vAlign w:val="center"/>
          </w:tcPr>
          <w:p w:rsidR="00DE76C7" w:rsidRPr="0043547B" w:rsidRDefault="00DE76C7" w:rsidP="002B4137">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10.9.290</w:t>
            </w:r>
          </w:p>
        </w:tc>
      </w:tr>
      <w:tr w:rsidR="0043547B" w:rsidRPr="0043547B" w:rsidTr="00542A0D">
        <w:trPr>
          <w:trHeight w:val="655"/>
          <w:jc w:val="center"/>
        </w:trPr>
        <w:tc>
          <w:tcPr>
            <w:tcW w:w="1838" w:type="dxa"/>
            <w:tcBorders>
              <w:top w:val="single" w:sz="6" w:space="0" w:color="auto"/>
              <w:left w:val="single" w:sz="18" w:space="0" w:color="auto"/>
              <w:bottom w:val="single" w:sz="6" w:space="0" w:color="auto"/>
              <w:right w:val="single" w:sz="4" w:space="0" w:color="auto"/>
            </w:tcBorders>
            <w:shd w:val="clear" w:color="auto" w:fill="95B3D7" w:themeFill="accent1" w:themeFillTint="99"/>
            <w:vAlign w:val="center"/>
          </w:tcPr>
          <w:p w:rsidR="00DE76C7" w:rsidRPr="0043547B" w:rsidRDefault="00DE76C7" w:rsidP="00A9259C">
            <w:pPr>
              <w:spacing w:after="0" w:line="240" w:lineRule="auto"/>
              <w:jc w:val="center"/>
              <w:rPr>
                <w:rFonts w:cstheme="minorHAnsi"/>
                <w:b/>
                <w:bCs/>
                <w:sz w:val="24"/>
                <w:szCs w:val="24"/>
              </w:rPr>
            </w:pPr>
            <w:r w:rsidRPr="0043547B">
              <w:rPr>
                <w:rFonts w:cstheme="minorHAnsi"/>
                <w:b/>
                <w:bCs/>
                <w:sz w:val="24"/>
                <w:szCs w:val="24"/>
              </w:rPr>
              <w:lastRenderedPageBreak/>
              <w:t>Intitulé :</w:t>
            </w:r>
          </w:p>
        </w:tc>
        <w:tc>
          <w:tcPr>
            <w:tcW w:w="7938" w:type="dxa"/>
            <w:tcBorders>
              <w:top w:val="single" w:sz="6" w:space="0" w:color="auto"/>
              <w:left w:val="single" w:sz="4" w:space="0" w:color="auto"/>
              <w:bottom w:val="single" w:sz="6" w:space="0" w:color="auto"/>
              <w:right w:val="single" w:sz="18" w:space="0" w:color="auto"/>
            </w:tcBorders>
            <w:shd w:val="clear" w:color="000000" w:fill="FFFFFF"/>
            <w:vAlign w:val="center"/>
          </w:tcPr>
          <w:p w:rsidR="00DE76C7" w:rsidRPr="0043547B" w:rsidRDefault="00DE76C7" w:rsidP="00A9259C">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Signalisation routière verticale temporaire - Panneaux et supports posés au sol - Essais de résistance mécanique ; </w:t>
            </w:r>
          </w:p>
        </w:tc>
      </w:tr>
      <w:tr w:rsidR="0043547B" w:rsidRPr="0043547B" w:rsidTr="00542A0D">
        <w:trPr>
          <w:trHeight w:val="1261"/>
          <w:jc w:val="center"/>
        </w:trPr>
        <w:tc>
          <w:tcPr>
            <w:tcW w:w="1838" w:type="dxa"/>
            <w:tcBorders>
              <w:top w:val="single" w:sz="6" w:space="0" w:color="auto"/>
              <w:left w:val="single" w:sz="18" w:space="0" w:color="auto"/>
              <w:bottom w:val="single" w:sz="18" w:space="0" w:color="auto"/>
              <w:right w:val="single" w:sz="4" w:space="0" w:color="auto"/>
            </w:tcBorders>
            <w:shd w:val="clear" w:color="000000" w:fill="D9D9D9"/>
            <w:vAlign w:val="center"/>
          </w:tcPr>
          <w:p w:rsidR="00DE76C7" w:rsidRPr="0043547B" w:rsidRDefault="00DE76C7" w:rsidP="00A9259C">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6" w:space="0" w:color="auto"/>
              <w:left w:val="single" w:sz="4" w:space="0" w:color="auto"/>
              <w:bottom w:val="single" w:sz="18" w:space="0" w:color="auto"/>
              <w:right w:val="single" w:sz="18" w:space="0" w:color="auto"/>
            </w:tcBorders>
            <w:shd w:val="clear" w:color="000000" w:fill="FFFFFF"/>
            <w:vAlign w:val="center"/>
          </w:tcPr>
          <w:p w:rsidR="00DE76C7" w:rsidRPr="0043547B" w:rsidRDefault="00DE76C7" w:rsidP="00A9259C">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 présent document définit les méthodes d’essais de résistance mécanique pour panneaux de catégories TP et TD, et pour supports posés au sol TS.</w:t>
            </w:r>
            <w:r w:rsidRPr="0043547B">
              <w:rPr>
                <w:rFonts w:eastAsia="Times New Roman" w:cstheme="minorHAnsi"/>
                <w:sz w:val="24"/>
                <w:szCs w:val="24"/>
                <w:lang w:eastAsia="fr-FR"/>
              </w:rPr>
              <w:br/>
              <w:t>Ces dispositifs sont définis dans la norme XP P 98-501, leurs performances et caractéristiques sont indiquées dans la norme XP P 98-540 et leurs dimensions et tolérances dimensionnelles sont indiquées dans la norme XP P 98-541.</w:t>
            </w:r>
          </w:p>
        </w:tc>
      </w:tr>
      <w:tr w:rsidR="0043547B" w:rsidRPr="0043547B" w:rsidTr="00542A0D">
        <w:trPr>
          <w:trHeight w:val="408"/>
          <w:jc w:val="center"/>
        </w:trPr>
        <w:tc>
          <w:tcPr>
            <w:tcW w:w="1838" w:type="dxa"/>
            <w:tcBorders>
              <w:top w:val="nil"/>
              <w:left w:val="single" w:sz="18" w:space="0" w:color="auto"/>
              <w:bottom w:val="single" w:sz="18" w:space="0" w:color="auto"/>
              <w:right w:val="single" w:sz="4" w:space="0" w:color="auto"/>
            </w:tcBorders>
            <w:shd w:val="clear" w:color="auto" w:fill="B0CA7C"/>
            <w:vAlign w:val="center"/>
          </w:tcPr>
          <w:p w:rsidR="00DE76C7" w:rsidRPr="0043547B" w:rsidRDefault="00DE76C7" w:rsidP="002B4137">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single" w:sz="4" w:space="0" w:color="auto"/>
              <w:left w:val="single" w:sz="4" w:space="0" w:color="auto"/>
              <w:bottom w:val="single" w:sz="18" w:space="0" w:color="auto"/>
              <w:right w:val="single" w:sz="18" w:space="0" w:color="auto"/>
            </w:tcBorders>
            <w:shd w:val="clear" w:color="auto" w:fill="B0CA7C"/>
            <w:vAlign w:val="center"/>
          </w:tcPr>
          <w:p w:rsidR="00DE76C7" w:rsidRPr="0043547B" w:rsidRDefault="00DE76C7" w:rsidP="002B4137">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10.9.296</w:t>
            </w:r>
          </w:p>
        </w:tc>
      </w:tr>
      <w:tr w:rsidR="0043547B" w:rsidRPr="0043547B" w:rsidTr="00542A0D">
        <w:trPr>
          <w:trHeight w:val="604"/>
          <w:jc w:val="center"/>
        </w:trPr>
        <w:tc>
          <w:tcPr>
            <w:tcW w:w="1838" w:type="dxa"/>
            <w:tcBorders>
              <w:top w:val="single" w:sz="6" w:space="0" w:color="auto"/>
              <w:left w:val="single" w:sz="18" w:space="0" w:color="auto"/>
              <w:bottom w:val="single" w:sz="6" w:space="0" w:color="auto"/>
              <w:right w:val="single" w:sz="4" w:space="0" w:color="auto"/>
            </w:tcBorders>
            <w:shd w:val="clear" w:color="auto" w:fill="95B3D7" w:themeFill="accent1" w:themeFillTint="99"/>
            <w:vAlign w:val="center"/>
          </w:tcPr>
          <w:p w:rsidR="00DE76C7" w:rsidRPr="0043547B" w:rsidRDefault="00DE76C7" w:rsidP="00A9259C">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6" w:space="0" w:color="auto"/>
              <w:left w:val="single" w:sz="4" w:space="0" w:color="auto"/>
              <w:bottom w:val="single" w:sz="6" w:space="0" w:color="auto"/>
              <w:right w:val="single" w:sz="18" w:space="0" w:color="auto"/>
            </w:tcBorders>
            <w:shd w:val="clear" w:color="000000" w:fill="FFFFFF"/>
            <w:vAlign w:val="center"/>
          </w:tcPr>
          <w:p w:rsidR="00DE76C7" w:rsidRPr="0043547B" w:rsidRDefault="00DE76C7" w:rsidP="00A9259C">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Signalisation routière verticale - Face des panneaux en camaïeu de marron - Performances, caractéristiques techniques et spécifications ;</w:t>
            </w:r>
          </w:p>
        </w:tc>
      </w:tr>
      <w:tr w:rsidR="0043547B" w:rsidRPr="0043547B" w:rsidTr="00542A0D">
        <w:trPr>
          <w:trHeight w:val="413"/>
          <w:jc w:val="center"/>
        </w:trPr>
        <w:tc>
          <w:tcPr>
            <w:tcW w:w="1838" w:type="dxa"/>
            <w:tcBorders>
              <w:top w:val="single" w:sz="6" w:space="0" w:color="auto"/>
              <w:left w:val="single" w:sz="18" w:space="0" w:color="auto"/>
              <w:bottom w:val="single" w:sz="18" w:space="0" w:color="auto"/>
              <w:right w:val="single" w:sz="4" w:space="0" w:color="auto"/>
            </w:tcBorders>
            <w:shd w:val="clear" w:color="000000" w:fill="D9D9D9"/>
            <w:vAlign w:val="center"/>
          </w:tcPr>
          <w:p w:rsidR="00DE76C7" w:rsidRPr="0043547B" w:rsidRDefault="00DE76C7" w:rsidP="00A9259C">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6" w:space="0" w:color="auto"/>
              <w:left w:val="single" w:sz="4" w:space="0" w:color="auto"/>
              <w:bottom w:val="single" w:sz="18" w:space="0" w:color="auto"/>
              <w:right w:val="single" w:sz="18" w:space="0" w:color="auto"/>
            </w:tcBorders>
            <w:shd w:val="clear" w:color="000000" w:fill="FFFFFF"/>
            <w:vAlign w:val="center"/>
          </w:tcPr>
          <w:p w:rsidR="002B4137" w:rsidRPr="0043547B" w:rsidRDefault="00DE76C7" w:rsidP="00A9259C">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 présent document :</w:t>
            </w:r>
          </w:p>
          <w:p w:rsidR="002B4137" w:rsidRPr="0043547B" w:rsidRDefault="00DE76C7" w:rsidP="002B4137">
            <w:pPr>
              <w:spacing w:after="0" w:line="240" w:lineRule="auto"/>
              <w:rPr>
                <w:rFonts w:eastAsia="Times New Roman" w:cstheme="minorHAnsi"/>
                <w:sz w:val="24"/>
                <w:szCs w:val="24"/>
                <w:lang w:eastAsia="fr-FR"/>
              </w:rPr>
            </w:pPr>
            <w:r w:rsidRPr="0043547B">
              <w:rPr>
                <w:rFonts w:eastAsia="Times New Roman" w:cstheme="minorHAnsi"/>
                <w:sz w:val="24"/>
                <w:szCs w:val="24"/>
                <w:lang w:eastAsia="fr-FR"/>
              </w:rPr>
              <w:t>— énumère les performances des faces de panneaux de signalisation routière d’animation et d’information culturelles et touristiques ;</w:t>
            </w:r>
            <w:r w:rsidRPr="0043547B">
              <w:rPr>
                <w:rFonts w:eastAsia="Times New Roman" w:cstheme="minorHAnsi"/>
                <w:sz w:val="24"/>
                <w:szCs w:val="24"/>
                <w:lang w:eastAsia="fr-FR"/>
              </w:rPr>
              <w:br/>
              <w:t>— spécifie les caractéristiques techniques correspondantes à prendre en considération;</w:t>
            </w:r>
            <w:r w:rsidRPr="0043547B">
              <w:rPr>
                <w:rFonts w:eastAsia="Times New Roman" w:cstheme="minorHAnsi"/>
                <w:sz w:val="24"/>
                <w:szCs w:val="24"/>
                <w:lang w:eastAsia="fr-FR"/>
              </w:rPr>
              <w:br/>
              <w:t>— énumère les modalités, les méthodes de mesure et les méthodes d’essai à utiliser ;</w:t>
            </w:r>
            <w:r w:rsidRPr="0043547B">
              <w:rPr>
                <w:rFonts w:eastAsia="Times New Roman" w:cstheme="minorHAnsi"/>
                <w:sz w:val="24"/>
                <w:szCs w:val="24"/>
                <w:lang w:eastAsia="fr-FR"/>
              </w:rPr>
              <w:br/>
              <w:t>— fixe les spécifications correspondantes.</w:t>
            </w:r>
          </w:p>
          <w:p w:rsidR="00DE76C7" w:rsidRPr="0043547B" w:rsidRDefault="00DE76C7" w:rsidP="00A9259C">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Il s’applique aux revêtements rétroréfléchissants (film, encre, vernis, etc.) constituant la face des panneaux en camaïeu de marron.</w:t>
            </w:r>
          </w:p>
        </w:tc>
      </w:tr>
      <w:tr w:rsidR="0043547B" w:rsidRPr="0043547B" w:rsidTr="00542A0D">
        <w:trPr>
          <w:trHeight w:val="374"/>
          <w:jc w:val="center"/>
        </w:trPr>
        <w:tc>
          <w:tcPr>
            <w:tcW w:w="1838" w:type="dxa"/>
            <w:tcBorders>
              <w:top w:val="nil"/>
              <w:left w:val="single" w:sz="18" w:space="0" w:color="auto"/>
              <w:bottom w:val="single" w:sz="18" w:space="0" w:color="auto"/>
              <w:right w:val="single" w:sz="4" w:space="0" w:color="auto"/>
            </w:tcBorders>
            <w:shd w:val="clear" w:color="auto" w:fill="B0CA7C"/>
            <w:vAlign w:val="center"/>
          </w:tcPr>
          <w:p w:rsidR="00DE76C7" w:rsidRPr="0043547B" w:rsidRDefault="00DE76C7" w:rsidP="002B4137">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single" w:sz="4" w:space="0" w:color="auto"/>
              <w:left w:val="single" w:sz="4" w:space="0" w:color="auto"/>
              <w:bottom w:val="single" w:sz="18" w:space="0" w:color="auto"/>
              <w:right w:val="single" w:sz="18" w:space="0" w:color="auto"/>
            </w:tcBorders>
            <w:shd w:val="clear" w:color="auto" w:fill="B0CA7C"/>
            <w:vAlign w:val="center"/>
          </w:tcPr>
          <w:p w:rsidR="00DE76C7" w:rsidRPr="0043547B" w:rsidRDefault="00DE76C7" w:rsidP="002B4137">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10.9.285</w:t>
            </w:r>
          </w:p>
        </w:tc>
      </w:tr>
      <w:tr w:rsidR="0043547B" w:rsidRPr="0043547B" w:rsidTr="00542A0D">
        <w:trPr>
          <w:trHeight w:val="841"/>
          <w:jc w:val="center"/>
        </w:trPr>
        <w:tc>
          <w:tcPr>
            <w:tcW w:w="1838" w:type="dxa"/>
            <w:tcBorders>
              <w:top w:val="single" w:sz="6" w:space="0" w:color="auto"/>
              <w:left w:val="single" w:sz="18" w:space="0" w:color="auto"/>
              <w:bottom w:val="single" w:sz="6" w:space="0" w:color="auto"/>
              <w:right w:val="single" w:sz="4" w:space="0" w:color="auto"/>
            </w:tcBorders>
            <w:shd w:val="clear" w:color="auto" w:fill="95B3D7" w:themeFill="accent1" w:themeFillTint="99"/>
            <w:vAlign w:val="center"/>
          </w:tcPr>
          <w:p w:rsidR="00DE76C7" w:rsidRPr="0043547B" w:rsidRDefault="00DE76C7" w:rsidP="00A9259C">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6" w:space="0" w:color="auto"/>
              <w:left w:val="single" w:sz="4" w:space="0" w:color="auto"/>
              <w:bottom w:val="single" w:sz="6" w:space="0" w:color="auto"/>
              <w:right w:val="single" w:sz="18" w:space="0" w:color="auto"/>
            </w:tcBorders>
            <w:shd w:val="clear" w:color="000000" w:fill="FFFFFF"/>
            <w:vAlign w:val="center"/>
          </w:tcPr>
          <w:p w:rsidR="00DE76C7" w:rsidRPr="0043547B" w:rsidRDefault="00DE76C7" w:rsidP="00A9259C">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Signalisation routière verticale - Décors de classes T1, T2, 1, 2 et 3 (microprismatiques) pour panneaux de signalisation - Performances, caractéristiques techniques et spécifications ; </w:t>
            </w:r>
          </w:p>
        </w:tc>
      </w:tr>
      <w:tr w:rsidR="0043547B" w:rsidRPr="0043547B" w:rsidTr="00542A0D">
        <w:trPr>
          <w:trHeight w:val="1261"/>
          <w:jc w:val="center"/>
        </w:trPr>
        <w:tc>
          <w:tcPr>
            <w:tcW w:w="1838" w:type="dxa"/>
            <w:tcBorders>
              <w:top w:val="single" w:sz="6" w:space="0" w:color="auto"/>
              <w:left w:val="single" w:sz="18" w:space="0" w:color="auto"/>
              <w:bottom w:val="single" w:sz="18" w:space="0" w:color="auto"/>
              <w:right w:val="single" w:sz="4" w:space="0" w:color="auto"/>
            </w:tcBorders>
            <w:shd w:val="clear" w:color="000000" w:fill="D9D9D9"/>
            <w:vAlign w:val="center"/>
          </w:tcPr>
          <w:p w:rsidR="00DE76C7" w:rsidRPr="0043547B" w:rsidRDefault="00DE76C7" w:rsidP="00A9259C">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6" w:space="0" w:color="auto"/>
              <w:left w:val="single" w:sz="4" w:space="0" w:color="auto"/>
              <w:bottom w:val="single" w:sz="18" w:space="0" w:color="auto"/>
              <w:right w:val="single" w:sz="18" w:space="0" w:color="auto"/>
            </w:tcBorders>
            <w:shd w:val="clear" w:color="000000" w:fill="FFFFFF"/>
            <w:vAlign w:val="center"/>
          </w:tcPr>
          <w:p w:rsidR="002B4137" w:rsidRPr="0043547B" w:rsidRDefault="00DE76C7" w:rsidP="00A9259C">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 présent document :</w:t>
            </w:r>
          </w:p>
          <w:p w:rsidR="002B4137" w:rsidRPr="0043547B" w:rsidRDefault="00DE76C7" w:rsidP="002B4137">
            <w:pPr>
              <w:spacing w:after="0" w:line="240" w:lineRule="auto"/>
              <w:rPr>
                <w:rFonts w:eastAsia="Times New Roman" w:cstheme="minorHAnsi"/>
                <w:sz w:val="24"/>
                <w:szCs w:val="24"/>
                <w:lang w:eastAsia="fr-FR"/>
              </w:rPr>
            </w:pPr>
            <w:r w:rsidRPr="0043547B">
              <w:rPr>
                <w:rFonts w:eastAsia="Times New Roman" w:cstheme="minorHAnsi"/>
                <w:sz w:val="24"/>
                <w:szCs w:val="24"/>
                <w:lang w:eastAsia="fr-FR"/>
              </w:rPr>
              <w:t>— indique les performances minimales requises pour les décors de classes T1, T2,1, 2 et 3, basés sur une technologie prismatique et utilisés en signalisation routière ;</w:t>
            </w:r>
            <w:r w:rsidRPr="0043547B">
              <w:rPr>
                <w:rFonts w:eastAsia="Times New Roman" w:cstheme="minorHAnsi"/>
                <w:sz w:val="24"/>
                <w:szCs w:val="24"/>
                <w:lang w:eastAsia="fr-FR"/>
              </w:rPr>
              <w:br/>
              <w:t>— indique les performances lumineuses des revêtements microprismatiques translucides utilisés pour la réalisation des caissons lumineux rétroréfléchissants ;</w:t>
            </w:r>
            <w:r w:rsidRPr="0043547B">
              <w:rPr>
                <w:rFonts w:eastAsia="Times New Roman" w:cstheme="minorHAnsi"/>
                <w:sz w:val="24"/>
                <w:szCs w:val="24"/>
                <w:lang w:eastAsia="fr-FR"/>
              </w:rPr>
              <w:br/>
              <w:t>— énumère les méthodes de mesure à employer pour évaluer les performances de ces revêtements.</w:t>
            </w:r>
          </w:p>
          <w:p w:rsidR="002B4137" w:rsidRPr="0043547B" w:rsidRDefault="00DE76C7" w:rsidP="00A9259C">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 présent document s’applique à la signalisation verticale permanente et temporaire.</w:t>
            </w:r>
            <w:r w:rsidRPr="0043547B">
              <w:rPr>
                <w:rFonts w:eastAsia="Times New Roman" w:cstheme="minorHAnsi"/>
                <w:sz w:val="24"/>
                <w:szCs w:val="24"/>
                <w:lang w:eastAsia="fr-FR"/>
              </w:rPr>
              <w:br/>
              <w:t>Il traite des revêtements rétroréfléchissants microprismatiques constituant les décors de panneaux qu’ils soient ou non recouverts :</w:t>
            </w:r>
          </w:p>
          <w:p w:rsidR="00DE76C7" w:rsidRPr="0043547B" w:rsidRDefault="00DE76C7" w:rsidP="002B4137">
            <w:pPr>
              <w:spacing w:after="0" w:line="240" w:lineRule="auto"/>
              <w:rPr>
                <w:rFonts w:eastAsia="Times New Roman" w:cstheme="minorHAnsi"/>
                <w:sz w:val="24"/>
                <w:szCs w:val="24"/>
                <w:lang w:eastAsia="fr-FR"/>
              </w:rPr>
            </w:pPr>
            <w:r w:rsidRPr="0043547B">
              <w:rPr>
                <w:rFonts w:eastAsia="Times New Roman" w:cstheme="minorHAnsi"/>
                <w:sz w:val="24"/>
                <w:szCs w:val="24"/>
                <w:lang w:eastAsia="fr-FR"/>
              </w:rPr>
              <w:t>— d’une encre,</w:t>
            </w:r>
            <w:r w:rsidRPr="0043547B">
              <w:rPr>
                <w:rFonts w:eastAsia="Times New Roman" w:cstheme="minorHAnsi"/>
                <w:sz w:val="24"/>
                <w:szCs w:val="24"/>
                <w:lang w:eastAsia="fr-FR"/>
              </w:rPr>
              <w:br/>
              <w:t>— ou d’un film transparent coloré,</w:t>
            </w:r>
            <w:r w:rsidRPr="0043547B">
              <w:rPr>
                <w:rFonts w:eastAsia="Times New Roman" w:cstheme="minorHAnsi"/>
                <w:sz w:val="24"/>
                <w:szCs w:val="24"/>
                <w:lang w:eastAsia="fr-FR"/>
              </w:rPr>
              <w:br/>
              <w:t>— et/ou d’un film transparent incolore protecteur.</w:t>
            </w:r>
            <w:r w:rsidRPr="0043547B">
              <w:rPr>
                <w:rFonts w:eastAsia="Times New Roman" w:cstheme="minorHAnsi"/>
                <w:sz w:val="24"/>
                <w:szCs w:val="24"/>
                <w:lang w:eastAsia="fr-FR"/>
              </w:rPr>
              <w:br/>
              <w:t>Il s’applique aux mesures exécutées sur des éprouvettes d’essais.</w:t>
            </w:r>
          </w:p>
        </w:tc>
      </w:tr>
      <w:tr w:rsidR="0043547B" w:rsidRPr="0043547B" w:rsidTr="00542A0D">
        <w:trPr>
          <w:trHeight w:val="436"/>
          <w:jc w:val="center"/>
        </w:trPr>
        <w:tc>
          <w:tcPr>
            <w:tcW w:w="1838" w:type="dxa"/>
            <w:tcBorders>
              <w:top w:val="nil"/>
              <w:left w:val="single" w:sz="18" w:space="0" w:color="auto"/>
              <w:bottom w:val="single" w:sz="18" w:space="0" w:color="auto"/>
              <w:right w:val="single" w:sz="4" w:space="0" w:color="auto"/>
            </w:tcBorders>
            <w:shd w:val="clear" w:color="auto" w:fill="B0CA7C"/>
            <w:vAlign w:val="center"/>
          </w:tcPr>
          <w:p w:rsidR="00DE76C7" w:rsidRPr="0043547B" w:rsidRDefault="00DE76C7" w:rsidP="00A9259C">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single" w:sz="4" w:space="0" w:color="auto"/>
              <w:left w:val="single" w:sz="4" w:space="0" w:color="auto"/>
              <w:bottom w:val="single" w:sz="18" w:space="0" w:color="auto"/>
              <w:right w:val="single" w:sz="18" w:space="0" w:color="auto"/>
            </w:tcBorders>
            <w:shd w:val="clear" w:color="auto" w:fill="B0CA7C"/>
            <w:vAlign w:val="center"/>
          </w:tcPr>
          <w:p w:rsidR="00DE76C7" w:rsidRPr="0043547B" w:rsidRDefault="00DE76C7" w:rsidP="002B4137">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10.9.105</w:t>
            </w:r>
          </w:p>
        </w:tc>
      </w:tr>
      <w:tr w:rsidR="0043547B" w:rsidRPr="0043547B" w:rsidTr="00542A0D">
        <w:trPr>
          <w:trHeight w:val="941"/>
          <w:jc w:val="center"/>
        </w:trPr>
        <w:tc>
          <w:tcPr>
            <w:tcW w:w="1838" w:type="dxa"/>
            <w:tcBorders>
              <w:top w:val="single" w:sz="6" w:space="0" w:color="auto"/>
              <w:left w:val="single" w:sz="18" w:space="0" w:color="auto"/>
              <w:bottom w:val="single" w:sz="6" w:space="0" w:color="auto"/>
              <w:right w:val="single" w:sz="4" w:space="0" w:color="auto"/>
            </w:tcBorders>
            <w:shd w:val="clear" w:color="auto" w:fill="95B3D7" w:themeFill="accent1" w:themeFillTint="99"/>
            <w:vAlign w:val="center"/>
          </w:tcPr>
          <w:p w:rsidR="00DE76C7" w:rsidRPr="0043547B" w:rsidRDefault="00DE76C7" w:rsidP="00A9259C">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6" w:space="0" w:color="auto"/>
              <w:left w:val="single" w:sz="4" w:space="0" w:color="auto"/>
              <w:bottom w:val="single" w:sz="6" w:space="0" w:color="auto"/>
              <w:right w:val="single" w:sz="18" w:space="0" w:color="auto"/>
            </w:tcBorders>
            <w:shd w:val="clear" w:color="000000" w:fill="FFFFFF"/>
            <w:vAlign w:val="center"/>
          </w:tcPr>
          <w:p w:rsidR="00DE76C7" w:rsidRPr="0043547B" w:rsidRDefault="00DE76C7" w:rsidP="00A9259C">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Barrières de sécurité routières - Barrière de sécurité en acier BN5 - Composition, fonctionnement, performances de retenue, conditions d'implantation et de montage, éléments constitutifs ; </w:t>
            </w:r>
          </w:p>
        </w:tc>
      </w:tr>
      <w:tr w:rsidR="0043547B" w:rsidRPr="0043547B" w:rsidTr="00542A0D">
        <w:trPr>
          <w:trHeight w:val="1261"/>
          <w:jc w:val="center"/>
        </w:trPr>
        <w:tc>
          <w:tcPr>
            <w:tcW w:w="1838" w:type="dxa"/>
            <w:tcBorders>
              <w:top w:val="single" w:sz="6" w:space="0" w:color="auto"/>
              <w:left w:val="single" w:sz="18" w:space="0" w:color="auto"/>
              <w:bottom w:val="single" w:sz="18" w:space="0" w:color="auto"/>
              <w:right w:val="single" w:sz="4" w:space="0" w:color="auto"/>
            </w:tcBorders>
            <w:shd w:val="clear" w:color="000000" w:fill="D9D9D9"/>
            <w:vAlign w:val="center"/>
          </w:tcPr>
          <w:p w:rsidR="00DE76C7" w:rsidRPr="0043547B" w:rsidRDefault="00DE76C7" w:rsidP="00A9259C">
            <w:pPr>
              <w:spacing w:after="0" w:line="240" w:lineRule="auto"/>
              <w:jc w:val="center"/>
              <w:rPr>
                <w:rFonts w:cstheme="minorHAnsi"/>
                <w:b/>
                <w:bCs/>
                <w:sz w:val="24"/>
                <w:szCs w:val="24"/>
              </w:rPr>
            </w:pPr>
            <w:r w:rsidRPr="0043547B">
              <w:rPr>
                <w:rFonts w:cstheme="minorHAnsi"/>
                <w:b/>
                <w:bCs/>
                <w:sz w:val="24"/>
                <w:szCs w:val="24"/>
              </w:rPr>
              <w:lastRenderedPageBreak/>
              <w:t>Domaine d’application :</w:t>
            </w:r>
          </w:p>
        </w:tc>
        <w:tc>
          <w:tcPr>
            <w:tcW w:w="7938" w:type="dxa"/>
            <w:tcBorders>
              <w:top w:val="single" w:sz="6" w:space="0" w:color="auto"/>
              <w:left w:val="single" w:sz="4" w:space="0" w:color="auto"/>
              <w:bottom w:val="single" w:sz="18" w:space="0" w:color="auto"/>
              <w:right w:val="single" w:sz="18" w:space="0" w:color="auto"/>
            </w:tcBorders>
            <w:shd w:val="clear" w:color="000000" w:fill="FFFFFF"/>
            <w:vAlign w:val="center"/>
          </w:tcPr>
          <w:p w:rsidR="00DE76C7" w:rsidRPr="0043547B" w:rsidRDefault="00DE76C7" w:rsidP="00A9259C">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 présent document définit la composition, le mode de fonctionnement, les performances de retenue, les règles de montage ainsi que les caractéristiques des éléments constitutifs de la barrière de sécurité routière latérale BN5.</w:t>
            </w:r>
            <w:r w:rsidRPr="0043547B">
              <w:rPr>
                <w:rFonts w:eastAsia="Times New Roman" w:cstheme="minorHAnsi"/>
                <w:sz w:val="24"/>
                <w:szCs w:val="24"/>
                <w:lang w:eastAsia="fr-FR"/>
              </w:rPr>
              <w:br/>
              <w:t>La barrière BN5 s'emploie aussi bien sur ponts et viaducs que sur accotement, sous réserve de l'utilisation de supports adaptés à ces configurations et de dispositions particulières d'ancrage telles qu'elles sont décrites dans le présent document.</w:t>
            </w:r>
          </w:p>
        </w:tc>
      </w:tr>
      <w:tr w:rsidR="0043547B" w:rsidRPr="0043547B" w:rsidTr="00542A0D">
        <w:trPr>
          <w:trHeight w:val="444"/>
          <w:jc w:val="center"/>
        </w:trPr>
        <w:tc>
          <w:tcPr>
            <w:tcW w:w="1838" w:type="dxa"/>
            <w:tcBorders>
              <w:top w:val="nil"/>
              <w:left w:val="single" w:sz="18" w:space="0" w:color="auto"/>
              <w:bottom w:val="single" w:sz="18" w:space="0" w:color="auto"/>
              <w:right w:val="single" w:sz="4" w:space="0" w:color="auto"/>
            </w:tcBorders>
            <w:shd w:val="clear" w:color="auto" w:fill="B0CA7C"/>
            <w:vAlign w:val="center"/>
          </w:tcPr>
          <w:p w:rsidR="00DE76C7" w:rsidRPr="0043547B" w:rsidRDefault="00DE76C7" w:rsidP="00A9259C">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single" w:sz="4" w:space="0" w:color="auto"/>
              <w:left w:val="single" w:sz="4" w:space="0" w:color="auto"/>
              <w:bottom w:val="single" w:sz="18" w:space="0" w:color="auto"/>
              <w:right w:val="single" w:sz="18" w:space="0" w:color="auto"/>
            </w:tcBorders>
            <w:shd w:val="clear" w:color="auto" w:fill="B0CA7C"/>
            <w:vAlign w:val="center"/>
          </w:tcPr>
          <w:p w:rsidR="00DE76C7" w:rsidRPr="0043547B" w:rsidRDefault="00DE76C7" w:rsidP="00A9259C">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10.9.106</w:t>
            </w:r>
          </w:p>
        </w:tc>
      </w:tr>
      <w:tr w:rsidR="0043547B" w:rsidRPr="0043547B" w:rsidTr="00542A0D">
        <w:trPr>
          <w:trHeight w:val="1034"/>
          <w:jc w:val="center"/>
        </w:trPr>
        <w:tc>
          <w:tcPr>
            <w:tcW w:w="1838" w:type="dxa"/>
            <w:tcBorders>
              <w:top w:val="single" w:sz="6" w:space="0" w:color="auto"/>
              <w:left w:val="single" w:sz="18" w:space="0" w:color="auto"/>
              <w:bottom w:val="single" w:sz="6" w:space="0" w:color="auto"/>
              <w:right w:val="single" w:sz="4" w:space="0" w:color="auto"/>
            </w:tcBorders>
            <w:shd w:val="clear" w:color="auto" w:fill="95B3D7" w:themeFill="accent1" w:themeFillTint="99"/>
            <w:vAlign w:val="center"/>
          </w:tcPr>
          <w:p w:rsidR="00DE76C7" w:rsidRPr="0043547B" w:rsidRDefault="00DE76C7" w:rsidP="00A9259C">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6" w:space="0" w:color="auto"/>
              <w:left w:val="single" w:sz="4" w:space="0" w:color="auto"/>
              <w:bottom w:val="single" w:sz="6" w:space="0" w:color="auto"/>
              <w:right w:val="single" w:sz="18" w:space="0" w:color="auto"/>
            </w:tcBorders>
            <w:shd w:val="clear" w:color="000000" w:fill="FFFFFF"/>
            <w:vAlign w:val="center"/>
          </w:tcPr>
          <w:p w:rsidR="00DE76C7" w:rsidRPr="0043547B" w:rsidRDefault="00DE76C7" w:rsidP="00A9259C">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Barrières de sécurité routières - Barrières de sécurité en béton armé et en métal BN1 et BN2 - Composition, fonctionnement, performances de retenue, conditions d'implantation et de montage, éléments constitutifs ;</w:t>
            </w:r>
          </w:p>
        </w:tc>
      </w:tr>
      <w:tr w:rsidR="0043547B" w:rsidRPr="0043547B" w:rsidTr="00542A0D">
        <w:trPr>
          <w:trHeight w:val="1261"/>
          <w:jc w:val="center"/>
        </w:trPr>
        <w:tc>
          <w:tcPr>
            <w:tcW w:w="1838" w:type="dxa"/>
            <w:tcBorders>
              <w:top w:val="single" w:sz="6" w:space="0" w:color="auto"/>
              <w:left w:val="single" w:sz="18" w:space="0" w:color="auto"/>
              <w:bottom w:val="single" w:sz="18" w:space="0" w:color="auto"/>
              <w:right w:val="single" w:sz="4" w:space="0" w:color="auto"/>
            </w:tcBorders>
            <w:shd w:val="clear" w:color="000000" w:fill="D9D9D9"/>
            <w:vAlign w:val="center"/>
          </w:tcPr>
          <w:p w:rsidR="00DE76C7" w:rsidRPr="0043547B" w:rsidRDefault="00DE76C7" w:rsidP="00A9259C">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6" w:space="0" w:color="auto"/>
              <w:left w:val="single" w:sz="4" w:space="0" w:color="auto"/>
              <w:bottom w:val="single" w:sz="18" w:space="0" w:color="auto"/>
              <w:right w:val="single" w:sz="18" w:space="0" w:color="auto"/>
            </w:tcBorders>
            <w:shd w:val="clear" w:color="000000" w:fill="FFFFFF"/>
            <w:vAlign w:val="center"/>
          </w:tcPr>
          <w:p w:rsidR="00A9259C" w:rsidRPr="0043547B" w:rsidRDefault="00DE76C7" w:rsidP="00A9259C">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 présent document définit la composition, le mode de fonctionnement, les performances de retenue, les règles de montage ainsi que les caractéristiques des éléments constitutifs des barrières de sécurité routières latérales BN1 et BN2. Il traite des deux modèles simultanément, les différences entre eux ne portant que sur la forme du muret en béton.</w:t>
            </w:r>
          </w:p>
          <w:p w:rsidR="00542A0D" w:rsidRDefault="00DE76C7" w:rsidP="00A9259C">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barrière BN1 ou BN2 s'emploie quasiment exclusivement sur ponts et viaducs. Elle peut être éventuellement utilisée sur accotement sur de courtes longueurs (en prolongement d'un ouvrage), sous réserve de mise en place de dispositions particulières d'ancrage telles que dalle de frottement. Pour des linéaires importants sur accotement, cette barrière BN1 ou BN2 sera avantageusement remplacée par une barrière en béton conforme à la norme NF P 98-430, moyennant des dispositions simples d'adaptation du coffrage dans la zone de la liaison, et en supprimant la partie métallique supérieure.</w:t>
            </w:r>
          </w:p>
          <w:p w:rsidR="00DE76C7" w:rsidRPr="0043547B" w:rsidRDefault="00DE76C7" w:rsidP="00A9259C">
            <w:pPr>
              <w:spacing w:after="0" w:line="240" w:lineRule="auto"/>
              <w:jc w:val="both"/>
              <w:rPr>
                <w:rFonts w:eastAsia="Times New Roman" w:cstheme="minorHAnsi"/>
                <w:sz w:val="24"/>
                <w:szCs w:val="24"/>
                <w:lang w:eastAsia="fr-FR"/>
              </w:rPr>
            </w:pPr>
            <w:r w:rsidRPr="00542A0D">
              <w:rPr>
                <w:rFonts w:eastAsia="Times New Roman" w:cstheme="minorHAnsi"/>
                <w:b/>
                <w:bCs/>
                <w:i/>
                <w:iCs/>
                <w:lang w:eastAsia="fr-FR"/>
              </w:rPr>
              <w:t>NOTE</w:t>
            </w:r>
            <w:r w:rsidR="000624E3" w:rsidRPr="00542A0D">
              <w:rPr>
                <w:rFonts w:eastAsia="Times New Roman" w:cstheme="minorHAnsi"/>
                <w:b/>
                <w:bCs/>
                <w:i/>
                <w:iCs/>
                <w:lang w:eastAsia="fr-FR"/>
              </w:rPr>
              <w:t> :</w:t>
            </w:r>
            <w:r w:rsidRPr="00542A0D">
              <w:rPr>
                <w:rFonts w:eastAsia="Times New Roman" w:cstheme="minorHAnsi"/>
                <w:i/>
                <w:iCs/>
                <w:lang w:eastAsia="fr-FR"/>
              </w:rPr>
              <w:t xml:space="preserve"> La barrière BN1 est parfois dénommée «muret californien» et la barrière BN2 «muret General Motors» par référence à leur origine.</w:t>
            </w:r>
          </w:p>
        </w:tc>
      </w:tr>
      <w:tr w:rsidR="0043547B" w:rsidRPr="0043547B" w:rsidTr="00542A0D">
        <w:trPr>
          <w:trHeight w:val="343"/>
          <w:jc w:val="center"/>
        </w:trPr>
        <w:tc>
          <w:tcPr>
            <w:tcW w:w="1838" w:type="dxa"/>
            <w:tcBorders>
              <w:top w:val="nil"/>
              <w:left w:val="single" w:sz="18" w:space="0" w:color="auto"/>
              <w:bottom w:val="single" w:sz="18" w:space="0" w:color="auto"/>
              <w:right w:val="single" w:sz="4" w:space="0" w:color="auto"/>
            </w:tcBorders>
            <w:shd w:val="clear" w:color="auto" w:fill="B0CA7C"/>
            <w:vAlign w:val="center"/>
          </w:tcPr>
          <w:p w:rsidR="00DE76C7" w:rsidRPr="0043547B" w:rsidRDefault="00DE76C7" w:rsidP="00A9259C">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single" w:sz="4" w:space="0" w:color="auto"/>
              <w:left w:val="single" w:sz="4" w:space="0" w:color="auto"/>
              <w:bottom w:val="single" w:sz="18" w:space="0" w:color="auto"/>
              <w:right w:val="single" w:sz="18" w:space="0" w:color="auto"/>
            </w:tcBorders>
            <w:shd w:val="clear" w:color="auto" w:fill="B0CA7C"/>
            <w:vAlign w:val="center"/>
          </w:tcPr>
          <w:p w:rsidR="00DE76C7" w:rsidRPr="0043547B" w:rsidRDefault="00DE76C7" w:rsidP="00A9259C">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10.9.107</w:t>
            </w:r>
          </w:p>
        </w:tc>
      </w:tr>
      <w:tr w:rsidR="0043547B" w:rsidRPr="0043547B" w:rsidTr="00542A0D">
        <w:trPr>
          <w:trHeight w:val="581"/>
          <w:jc w:val="center"/>
        </w:trPr>
        <w:tc>
          <w:tcPr>
            <w:tcW w:w="1838" w:type="dxa"/>
            <w:tcBorders>
              <w:top w:val="single" w:sz="6" w:space="0" w:color="auto"/>
              <w:left w:val="single" w:sz="18" w:space="0" w:color="auto"/>
              <w:bottom w:val="single" w:sz="6" w:space="0" w:color="auto"/>
              <w:right w:val="single" w:sz="4" w:space="0" w:color="auto"/>
            </w:tcBorders>
            <w:shd w:val="clear" w:color="auto" w:fill="95B3D7" w:themeFill="accent1" w:themeFillTint="99"/>
            <w:vAlign w:val="center"/>
          </w:tcPr>
          <w:p w:rsidR="00DE76C7" w:rsidRPr="0043547B" w:rsidRDefault="00DE76C7" w:rsidP="00A9259C">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6" w:space="0" w:color="auto"/>
              <w:left w:val="single" w:sz="4" w:space="0" w:color="auto"/>
              <w:bottom w:val="single" w:sz="6" w:space="0" w:color="auto"/>
              <w:right w:val="single" w:sz="18" w:space="0" w:color="auto"/>
            </w:tcBorders>
            <w:shd w:val="clear" w:color="000000" w:fill="FFFFFF"/>
            <w:vAlign w:val="center"/>
          </w:tcPr>
          <w:p w:rsidR="00DE76C7" w:rsidRPr="0043547B" w:rsidRDefault="00DE76C7" w:rsidP="00A9259C">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Barrières de sécurité routières - Barrière de sécurité frontales en aciers- Musoirs – Description, fonctionnement, conditions d’implantation et spécifications de montage ;</w:t>
            </w:r>
          </w:p>
        </w:tc>
      </w:tr>
      <w:tr w:rsidR="0043547B" w:rsidRPr="0043547B" w:rsidTr="00542A0D">
        <w:trPr>
          <w:trHeight w:val="982"/>
          <w:jc w:val="center"/>
        </w:trPr>
        <w:tc>
          <w:tcPr>
            <w:tcW w:w="1838" w:type="dxa"/>
            <w:tcBorders>
              <w:top w:val="single" w:sz="6" w:space="0" w:color="auto"/>
              <w:left w:val="single" w:sz="18" w:space="0" w:color="auto"/>
              <w:bottom w:val="single" w:sz="18" w:space="0" w:color="auto"/>
              <w:right w:val="single" w:sz="4" w:space="0" w:color="auto"/>
            </w:tcBorders>
            <w:shd w:val="clear" w:color="000000" w:fill="D9D9D9"/>
            <w:vAlign w:val="center"/>
          </w:tcPr>
          <w:p w:rsidR="00DE76C7" w:rsidRPr="0043547B" w:rsidRDefault="00DE76C7" w:rsidP="00A9259C">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6" w:space="0" w:color="auto"/>
              <w:left w:val="single" w:sz="4" w:space="0" w:color="auto"/>
              <w:bottom w:val="single" w:sz="18" w:space="0" w:color="auto"/>
              <w:right w:val="single" w:sz="18" w:space="0" w:color="auto"/>
            </w:tcBorders>
            <w:shd w:val="clear" w:color="000000" w:fill="FFFFFF"/>
            <w:vAlign w:val="center"/>
          </w:tcPr>
          <w:p w:rsidR="00DE76C7" w:rsidRPr="0043547B" w:rsidRDefault="00DE76C7" w:rsidP="00A9259C">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expérimentale définit les éléments constitutifs, le principe de fonctionnement, les conditions d'implantation et les spécifications de montage des barrières de sécurité frontale en acier dénomées musoirs</w:t>
            </w:r>
          </w:p>
        </w:tc>
      </w:tr>
      <w:tr w:rsidR="0043547B" w:rsidRPr="0043547B" w:rsidTr="00542A0D">
        <w:trPr>
          <w:trHeight w:val="377"/>
          <w:jc w:val="center"/>
        </w:trPr>
        <w:tc>
          <w:tcPr>
            <w:tcW w:w="1838" w:type="dxa"/>
            <w:tcBorders>
              <w:top w:val="nil"/>
              <w:left w:val="single" w:sz="18" w:space="0" w:color="auto"/>
              <w:bottom w:val="single" w:sz="18" w:space="0" w:color="auto"/>
              <w:right w:val="single" w:sz="4" w:space="0" w:color="auto"/>
            </w:tcBorders>
            <w:shd w:val="clear" w:color="auto" w:fill="B0CA7C"/>
            <w:vAlign w:val="center"/>
          </w:tcPr>
          <w:p w:rsidR="00DE76C7" w:rsidRPr="0043547B" w:rsidRDefault="00DE76C7" w:rsidP="00A9259C">
            <w:pPr>
              <w:spacing w:after="0" w:line="240" w:lineRule="auto"/>
              <w:jc w:val="center"/>
              <w:rPr>
                <w:rFonts w:cstheme="minorHAnsi"/>
                <w:b/>
                <w:bCs/>
                <w:sz w:val="24"/>
                <w:szCs w:val="24"/>
              </w:rPr>
            </w:pPr>
            <w:r w:rsidRPr="0043547B">
              <w:rPr>
                <w:rFonts w:cstheme="minorHAnsi"/>
                <w:b/>
                <w:bCs/>
                <w:sz w:val="24"/>
                <w:szCs w:val="24"/>
              </w:rPr>
              <w:t>Code</w:t>
            </w:r>
            <w:r w:rsidR="00A9259C" w:rsidRPr="0043547B">
              <w:rPr>
                <w:rFonts w:cstheme="minorHAnsi"/>
                <w:b/>
                <w:bCs/>
                <w:sz w:val="24"/>
                <w:szCs w:val="24"/>
              </w:rPr>
              <w:t xml:space="preserve"> </w:t>
            </w:r>
            <w:r w:rsidRPr="0043547B">
              <w:rPr>
                <w:rFonts w:cstheme="minorHAnsi"/>
                <w:b/>
                <w:bCs/>
                <w:sz w:val="24"/>
                <w:szCs w:val="24"/>
              </w:rPr>
              <w:t>:</w:t>
            </w:r>
          </w:p>
        </w:tc>
        <w:tc>
          <w:tcPr>
            <w:tcW w:w="7938" w:type="dxa"/>
            <w:tcBorders>
              <w:top w:val="single" w:sz="4" w:space="0" w:color="auto"/>
              <w:left w:val="single" w:sz="4" w:space="0" w:color="auto"/>
              <w:bottom w:val="single" w:sz="18" w:space="0" w:color="auto"/>
              <w:right w:val="single" w:sz="18" w:space="0" w:color="auto"/>
            </w:tcBorders>
            <w:shd w:val="clear" w:color="auto" w:fill="B0CA7C"/>
            <w:vAlign w:val="center"/>
          </w:tcPr>
          <w:p w:rsidR="00DE76C7" w:rsidRPr="0043547B" w:rsidRDefault="00DE76C7" w:rsidP="00A9259C">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10.9.108</w:t>
            </w:r>
          </w:p>
        </w:tc>
      </w:tr>
      <w:tr w:rsidR="0043547B" w:rsidRPr="0043547B" w:rsidTr="00542A0D">
        <w:trPr>
          <w:trHeight w:val="599"/>
          <w:jc w:val="center"/>
        </w:trPr>
        <w:tc>
          <w:tcPr>
            <w:tcW w:w="1838" w:type="dxa"/>
            <w:tcBorders>
              <w:top w:val="single" w:sz="6" w:space="0" w:color="auto"/>
              <w:left w:val="single" w:sz="18" w:space="0" w:color="auto"/>
              <w:bottom w:val="single" w:sz="6" w:space="0" w:color="auto"/>
              <w:right w:val="single" w:sz="4" w:space="0" w:color="auto"/>
            </w:tcBorders>
            <w:shd w:val="clear" w:color="auto" w:fill="95B3D7" w:themeFill="accent1" w:themeFillTint="99"/>
            <w:vAlign w:val="center"/>
          </w:tcPr>
          <w:p w:rsidR="00DE76C7" w:rsidRPr="0043547B" w:rsidRDefault="00DE76C7" w:rsidP="00A9259C">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6" w:space="0" w:color="auto"/>
              <w:left w:val="single" w:sz="4" w:space="0" w:color="auto"/>
              <w:bottom w:val="single" w:sz="6" w:space="0" w:color="auto"/>
              <w:right w:val="single" w:sz="18" w:space="0" w:color="auto"/>
            </w:tcBorders>
            <w:shd w:val="clear" w:color="000000" w:fill="FFFFFF"/>
            <w:vAlign w:val="center"/>
          </w:tcPr>
          <w:p w:rsidR="00DE76C7" w:rsidRPr="0043547B" w:rsidRDefault="00DE76C7" w:rsidP="00A9259C">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Barrières de sécurité routières - Garde-corps pour ponts et ouvrages de génie civil </w:t>
            </w:r>
            <w:r w:rsidR="00A9259C" w:rsidRPr="0043547B">
              <w:rPr>
                <w:rFonts w:eastAsia="Times New Roman" w:cstheme="minorHAnsi"/>
                <w:sz w:val="24"/>
                <w:szCs w:val="24"/>
                <w:lang w:eastAsia="fr-FR"/>
              </w:rPr>
              <w:t>- Conception</w:t>
            </w:r>
            <w:r w:rsidRPr="0043547B">
              <w:rPr>
                <w:rFonts w:eastAsia="Times New Roman" w:cstheme="minorHAnsi"/>
                <w:sz w:val="24"/>
                <w:szCs w:val="24"/>
                <w:lang w:eastAsia="fr-FR"/>
              </w:rPr>
              <w:t>, fabrication, mise en œuvre ;</w:t>
            </w:r>
          </w:p>
        </w:tc>
      </w:tr>
      <w:tr w:rsidR="0043547B" w:rsidRPr="0043547B" w:rsidTr="00542A0D">
        <w:trPr>
          <w:trHeight w:val="525"/>
          <w:jc w:val="center"/>
        </w:trPr>
        <w:tc>
          <w:tcPr>
            <w:tcW w:w="1838" w:type="dxa"/>
            <w:tcBorders>
              <w:top w:val="single" w:sz="6" w:space="0" w:color="auto"/>
              <w:left w:val="single" w:sz="18" w:space="0" w:color="auto"/>
              <w:bottom w:val="single" w:sz="18" w:space="0" w:color="auto"/>
              <w:right w:val="single" w:sz="4" w:space="0" w:color="auto"/>
            </w:tcBorders>
            <w:shd w:val="clear" w:color="000000" w:fill="D9D9D9"/>
            <w:vAlign w:val="center"/>
          </w:tcPr>
          <w:p w:rsidR="00DE76C7" w:rsidRPr="0043547B" w:rsidRDefault="00DE76C7" w:rsidP="00A9259C">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6" w:space="0" w:color="auto"/>
              <w:left w:val="single" w:sz="4" w:space="0" w:color="auto"/>
              <w:bottom w:val="single" w:sz="18" w:space="0" w:color="auto"/>
              <w:right w:val="single" w:sz="18" w:space="0" w:color="auto"/>
            </w:tcBorders>
            <w:shd w:val="clear" w:color="000000" w:fill="FFFFFF"/>
            <w:vAlign w:val="center"/>
          </w:tcPr>
          <w:p w:rsidR="00A9259C" w:rsidRPr="0043547B" w:rsidRDefault="00DE76C7" w:rsidP="00A9259C">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Le présent document définit la conception, les conditions de fabrication et la mise en </w:t>
            </w:r>
            <w:r w:rsidR="00A9259C" w:rsidRPr="0043547B">
              <w:rPr>
                <w:rFonts w:eastAsia="Times New Roman" w:cstheme="minorHAnsi"/>
                <w:sz w:val="24"/>
                <w:szCs w:val="24"/>
                <w:lang w:eastAsia="fr-FR"/>
              </w:rPr>
              <w:t>œuvre</w:t>
            </w:r>
            <w:r w:rsidRPr="0043547B">
              <w:rPr>
                <w:rFonts w:eastAsia="Times New Roman" w:cstheme="minorHAnsi"/>
                <w:sz w:val="24"/>
                <w:szCs w:val="24"/>
                <w:lang w:eastAsia="fr-FR"/>
              </w:rPr>
              <w:t xml:space="preserve"> des </w:t>
            </w:r>
            <w:r w:rsidR="00A9259C" w:rsidRPr="0043547B">
              <w:rPr>
                <w:rFonts w:eastAsia="Times New Roman" w:cstheme="minorHAnsi"/>
                <w:sz w:val="24"/>
                <w:szCs w:val="24"/>
                <w:lang w:eastAsia="fr-FR"/>
              </w:rPr>
              <w:t>garde-corps</w:t>
            </w:r>
            <w:r w:rsidRPr="0043547B">
              <w:rPr>
                <w:rFonts w:eastAsia="Times New Roman" w:cstheme="minorHAnsi"/>
                <w:sz w:val="24"/>
                <w:szCs w:val="24"/>
                <w:lang w:eastAsia="fr-FR"/>
              </w:rPr>
              <w:t xml:space="preserve"> pour ponts routes, passerelles, murs de soutènement et ouvrages similaires.</w:t>
            </w:r>
          </w:p>
          <w:p w:rsidR="00A9259C" w:rsidRPr="0043547B" w:rsidRDefault="00DE76C7" w:rsidP="00A9259C">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Il s'applique à tous les garde-corps définis à l'article 3 du présent document et distincts des éléments constituant la structure proprement dite des ouvrages.</w:t>
            </w:r>
          </w:p>
          <w:p w:rsidR="00A9259C" w:rsidRPr="0043547B" w:rsidRDefault="00DE76C7" w:rsidP="00A9259C">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prescriptions de ce document ne s'appliquent ni aux parapets en maçonnerie, ni aux garde-corps en béton armé coulé en place, ni aux poutres latérales formant garde-corps (sauf cependant les dispositions</w:t>
            </w:r>
            <w:r w:rsidR="00A9259C" w:rsidRPr="0043547B">
              <w:rPr>
                <w:rFonts w:eastAsia="Times New Roman" w:cstheme="minorHAnsi"/>
                <w:sz w:val="24"/>
                <w:szCs w:val="24"/>
                <w:lang w:eastAsia="fr-FR"/>
              </w:rPr>
              <w:t xml:space="preserve"> </w:t>
            </w:r>
            <w:r w:rsidRPr="0043547B">
              <w:rPr>
                <w:rFonts w:eastAsia="Times New Roman" w:cstheme="minorHAnsi"/>
                <w:sz w:val="24"/>
                <w:szCs w:val="24"/>
                <w:lang w:eastAsia="fr-FR"/>
              </w:rPr>
              <w:t>de 5.1.2.1).</w:t>
            </w:r>
          </w:p>
          <w:p w:rsidR="00DE76C7" w:rsidRPr="0043547B" w:rsidRDefault="00DE76C7" w:rsidP="00A9259C">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Il s'applique aux ouvrages de génie civil autres que le bâtiment accessible au public pour lequel un </w:t>
            </w:r>
            <w:r w:rsidR="00A9259C" w:rsidRPr="0043547B">
              <w:rPr>
                <w:rFonts w:eastAsia="Times New Roman" w:cstheme="minorHAnsi"/>
                <w:sz w:val="24"/>
                <w:szCs w:val="24"/>
                <w:lang w:eastAsia="fr-FR"/>
              </w:rPr>
              <w:t>garde-corps</w:t>
            </w:r>
            <w:r w:rsidRPr="0043547B">
              <w:rPr>
                <w:rFonts w:eastAsia="Times New Roman" w:cstheme="minorHAnsi"/>
                <w:sz w:val="24"/>
                <w:szCs w:val="24"/>
                <w:lang w:eastAsia="fr-FR"/>
              </w:rPr>
              <w:t xml:space="preserve"> doit être conforme aux normes NF P 01-012 et </w:t>
            </w:r>
            <w:r w:rsidRPr="0043547B">
              <w:rPr>
                <w:rFonts w:eastAsia="Times New Roman" w:cstheme="minorHAnsi"/>
                <w:sz w:val="24"/>
                <w:szCs w:val="24"/>
                <w:lang w:eastAsia="fr-FR"/>
              </w:rPr>
              <w:lastRenderedPageBreak/>
              <w:t>NF P 01-013, ou les bâtiments industriels dont la</w:t>
            </w:r>
            <w:r w:rsidR="00A9259C" w:rsidRPr="0043547B">
              <w:rPr>
                <w:rFonts w:eastAsia="Times New Roman" w:cstheme="minorHAnsi"/>
                <w:sz w:val="24"/>
                <w:szCs w:val="24"/>
                <w:lang w:eastAsia="fr-FR"/>
              </w:rPr>
              <w:t xml:space="preserve"> </w:t>
            </w:r>
            <w:r w:rsidRPr="0043547B">
              <w:rPr>
                <w:rFonts w:eastAsia="Times New Roman" w:cstheme="minorHAnsi"/>
                <w:sz w:val="24"/>
                <w:szCs w:val="24"/>
                <w:lang w:eastAsia="fr-FR"/>
              </w:rPr>
              <w:t>norme de référence des garde-corps est la norme NF E 85-101.</w:t>
            </w:r>
          </w:p>
        </w:tc>
      </w:tr>
      <w:tr w:rsidR="0043547B" w:rsidRPr="0043547B" w:rsidTr="00542A0D">
        <w:trPr>
          <w:trHeight w:val="374"/>
          <w:jc w:val="center"/>
        </w:trPr>
        <w:tc>
          <w:tcPr>
            <w:tcW w:w="1838" w:type="dxa"/>
            <w:tcBorders>
              <w:top w:val="nil"/>
              <w:left w:val="single" w:sz="18" w:space="0" w:color="auto"/>
              <w:bottom w:val="single" w:sz="18" w:space="0" w:color="auto"/>
              <w:right w:val="single" w:sz="4" w:space="0" w:color="auto"/>
            </w:tcBorders>
            <w:shd w:val="clear" w:color="auto" w:fill="B0CA7C"/>
            <w:vAlign w:val="center"/>
          </w:tcPr>
          <w:p w:rsidR="00DE76C7" w:rsidRPr="0043547B" w:rsidRDefault="00DE76C7" w:rsidP="00A9259C">
            <w:pPr>
              <w:spacing w:after="0" w:line="240" w:lineRule="auto"/>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4" w:space="0" w:color="auto"/>
              <w:left w:val="single" w:sz="4" w:space="0" w:color="auto"/>
              <w:bottom w:val="single" w:sz="18" w:space="0" w:color="auto"/>
              <w:right w:val="single" w:sz="18" w:space="0" w:color="auto"/>
            </w:tcBorders>
            <w:shd w:val="clear" w:color="auto" w:fill="B0CA7C"/>
            <w:vAlign w:val="center"/>
          </w:tcPr>
          <w:p w:rsidR="00DE76C7" w:rsidRPr="0043547B" w:rsidRDefault="00DE76C7" w:rsidP="00A9259C">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10.9.109</w:t>
            </w:r>
          </w:p>
        </w:tc>
      </w:tr>
      <w:tr w:rsidR="0043547B" w:rsidRPr="0043547B" w:rsidTr="00542A0D">
        <w:trPr>
          <w:trHeight w:val="608"/>
          <w:jc w:val="center"/>
        </w:trPr>
        <w:tc>
          <w:tcPr>
            <w:tcW w:w="1838" w:type="dxa"/>
            <w:tcBorders>
              <w:top w:val="single" w:sz="6" w:space="0" w:color="auto"/>
              <w:left w:val="single" w:sz="18" w:space="0" w:color="auto"/>
              <w:bottom w:val="single" w:sz="6" w:space="0" w:color="auto"/>
              <w:right w:val="single" w:sz="4" w:space="0" w:color="auto"/>
            </w:tcBorders>
            <w:shd w:val="clear" w:color="auto" w:fill="95B3D7" w:themeFill="accent1" w:themeFillTint="99"/>
            <w:vAlign w:val="center"/>
          </w:tcPr>
          <w:p w:rsidR="00DE76C7" w:rsidRPr="0043547B" w:rsidRDefault="00DE76C7" w:rsidP="00A9259C">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6" w:space="0" w:color="auto"/>
              <w:left w:val="single" w:sz="4" w:space="0" w:color="auto"/>
              <w:bottom w:val="single" w:sz="6" w:space="0" w:color="auto"/>
              <w:right w:val="single" w:sz="18" w:space="0" w:color="auto"/>
            </w:tcBorders>
            <w:shd w:val="clear" w:color="000000" w:fill="FFFFFF"/>
            <w:vAlign w:val="center"/>
          </w:tcPr>
          <w:p w:rsidR="00DE76C7" w:rsidRPr="0043547B" w:rsidRDefault="00DE76C7" w:rsidP="00A9259C">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Barrières de sécurité routières - Glissières de sécurité en acier (Profils A et B) -Composition, fonctionnement et performances de retenue ;</w:t>
            </w:r>
          </w:p>
        </w:tc>
      </w:tr>
      <w:tr w:rsidR="0043547B" w:rsidRPr="0043547B" w:rsidTr="00542A0D">
        <w:trPr>
          <w:trHeight w:val="1261"/>
          <w:jc w:val="center"/>
        </w:trPr>
        <w:tc>
          <w:tcPr>
            <w:tcW w:w="1838" w:type="dxa"/>
            <w:tcBorders>
              <w:top w:val="single" w:sz="6" w:space="0" w:color="auto"/>
              <w:left w:val="single" w:sz="18" w:space="0" w:color="auto"/>
              <w:bottom w:val="single" w:sz="18" w:space="0" w:color="auto"/>
              <w:right w:val="single" w:sz="4" w:space="0" w:color="auto"/>
            </w:tcBorders>
            <w:shd w:val="clear" w:color="000000" w:fill="D9D9D9"/>
            <w:vAlign w:val="center"/>
          </w:tcPr>
          <w:p w:rsidR="00DE76C7" w:rsidRPr="0043547B" w:rsidRDefault="00DE76C7" w:rsidP="00A9259C">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6" w:space="0" w:color="auto"/>
              <w:left w:val="single" w:sz="4" w:space="0" w:color="auto"/>
              <w:bottom w:val="single" w:sz="18" w:space="0" w:color="auto"/>
              <w:right w:val="single" w:sz="18" w:space="0" w:color="auto"/>
            </w:tcBorders>
            <w:shd w:val="clear" w:color="000000" w:fill="FFFFFF"/>
            <w:vAlign w:val="center"/>
          </w:tcPr>
          <w:p w:rsidR="00A9259C" w:rsidRPr="0043547B" w:rsidRDefault="00DE76C7" w:rsidP="00A9259C">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La présente norme donne </w:t>
            </w:r>
            <w:r w:rsidR="000624E3" w:rsidRPr="0043547B">
              <w:rPr>
                <w:rFonts w:eastAsia="Times New Roman" w:cstheme="minorHAnsi"/>
                <w:sz w:val="24"/>
                <w:szCs w:val="24"/>
                <w:lang w:eastAsia="fr-FR"/>
              </w:rPr>
              <w:t>la composition</w:t>
            </w:r>
            <w:r w:rsidRPr="0043547B">
              <w:rPr>
                <w:rFonts w:eastAsia="Times New Roman" w:cstheme="minorHAnsi"/>
                <w:sz w:val="24"/>
                <w:szCs w:val="24"/>
                <w:lang w:eastAsia="fr-FR"/>
              </w:rPr>
              <w:t xml:space="preserve"> des différents systèmes de glissière simples et doubles de profils A et B, en précise le fonctionnement et définit les performances de retenue de chaque système. Elle s’applique aux barrières de sécurité routières latérales métalliques, appelées couramment glissières de sécurité, dont les différents éléments constitutifs sont réalisés en acier galvanisé.</w:t>
            </w:r>
          </w:p>
          <w:p w:rsidR="00A9259C" w:rsidRPr="0043547B" w:rsidRDefault="00DE76C7" w:rsidP="00A9259C">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Ces éléments constitutifs sont :</w:t>
            </w:r>
          </w:p>
          <w:p w:rsidR="00DE76C7" w:rsidRPr="0043547B" w:rsidRDefault="00DE76C7" w:rsidP="00A9259C">
            <w:pPr>
              <w:spacing w:after="0" w:line="240" w:lineRule="auto"/>
              <w:rPr>
                <w:rFonts w:eastAsia="Times New Roman" w:cstheme="minorHAnsi"/>
                <w:sz w:val="24"/>
                <w:szCs w:val="24"/>
                <w:lang w:eastAsia="fr-FR"/>
              </w:rPr>
            </w:pPr>
            <w:r w:rsidRPr="0043547B">
              <w:rPr>
                <w:rFonts w:eastAsia="Times New Roman" w:cstheme="minorHAnsi"/>
                <w:sz w:val="24"/>
                <w:szCs w:val="24"/>
                <w:lang w:eastAsia="fr-FR"/>
              </w:rPr>
              <w:t>- La ou les lisses, formées par des éléments de glissement de profils A ou B, tels que définis dans la norme NF P 98-411 ;</w:t>
            </w:r>
            <w:r w:rsidRPr="0043547B">
              <w:rPr>
                <w:rFonts w:eastAsia="Times New Roman" w:cstheme="minorHAnsi"/>
                <w:sz w:val="24"/>
                <w:szCs w:val="24"/>
                <w:lang w:eastAsia="fr-FR"/>
              </w:rPr>
              <w:br/>
              <w:t>- Des accessoires de fixation, tels que définis dans la norme NF P 98-412.</w:t>
            </w:r>
            <w:r w:rsidRPr="0043547B">
              <w:rPr>
                <w:rFonts w:eastAsia="Times New Roman" w:cstheme="minorHAnsi"/>
                <w:sz w:val="24"/>
                <w:szCs w:val="24"/>
                <w:lang w:eastAsia="fr-FR"/>
              </w:rPr>
              <w:br/>
              <w:t>Leurs conditions d’implantation et leurs spécifications de montage sont définies dans la norme NF P 98-413.</w:t>
            </w:r>
          </w:p>
        </w:tc>
      </w:tr>
      <w:tr w:rsidR="0043547B" w:rsidRPr="0043547B" w:rsidTr="00542A0D">
        <w:trPr>
          <w:trHeight w:val="413"/>
          <w:jc w:val="center"/>
        </w:trPr>
        <w:tc>
          <w:tcPr>
            <w:tcW w:w="1838" w:type="dxa"/>
            <w:tcBorders>
              <w:top w:val="nil"/>
              <w:left w:val="single" w:sz="18" w:space="0" w:color="auto"/>
              <w:bottom w:val="single" w:sz="18" w:space="0" w:color="auto"/>
              <w:right w:val="single" w:sz="4" w:space="0" w:color="auto"/>
            </w:tcBorders>
            <w:shd w:val="clear" w:color="auto" w:fill="B0CA7C"/>
            <w:vAlign w:val="center"/>
          </w:tcPr>
          <w:p w:rsidR="00DE76C7" w:rsidRPr="0043547B" w:rsidRDefault="00DE76C7" w:rsidP="00A9259C">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single" w:sz="4" w:space="0" w:color="auto"/>
              <w:left w:val="single" w:sz="4" w:space="0" w:color="auto"/>
              <w:bottom w:val="single" w:sz="18" w:space="0" w:color="auto"/>
              <w:right w:val="single" w:sz="18" w:space="0" w:color="auto"/>
            </w:tcBorders>
            <w:shd w:val="clear" w:color="auto" w:fill="B0CA7C"/>
            <w:vAlign w:val="center"/>
          </w:tcPr>
          <w:p w:rsidR="00DE76C7" w:rsidRPr="0043547B" w:rsidRDefault="00DE76C7" w:rsidP="00A9259C">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10.9.110</w:t>
            </w:r>
          </w:p>
        </w:tc>
      </w:tr>
      <w:tr w:rsidR="0043547B" w:rsidRPr="0043547B" w:rsidTr="00542A0D">
        <w:trPr>
          <w:trHeight w:val="777"/>
          <w:jc w:val="center"/>
        </w:trPr>
        <w:tc>
          <w:tcPr>
            <w:tcW w:w="1838" w:type="dxa"/>
            <w:tcBorders>
              <w:top w:val="single" w:sz="6" w:space="0" w:color="auto"/>
              <w:left w:val="single" w:sz="18" w:space="0" w:color="auto"/>
              <w:bottom w:val="single" w:sz="6" w:space="0" w:color="auto"/>
              <w:right w:val="single" w:sz="4" w:space="0" w:color="auto"/>
            </w:tcBorders>
            <w:shd w:val="clear" w:color="auto" w:fill="95B3D7" w:themeFill="accent1" w:themeFillTint="99"/>
            <w:vAlign w:val="center"/>
          </w:tcPr>
          <w:p w:rsidR="00DE76C7" w:rsidRPr="0043547B" w:rsidRDefault="00DE76C7" w:rsidP="00A9259C">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6" w:space="0" w:color="auto"/>
              <w:left w:val="single" w:sz="4" w:space="0" w:color="auto"/>
              <w:bottom w:val="single" w:sz="6" w:space="0" w:color="auto"/>
              <w:right w:val="single" w:sz="18" w:space="0" w:color="auto"/>
            </w:tcBorders>
            <w:shd w:val="clear" w:color="000000" w:fill="FFFFFF"/>
            <w:vAlign w:val="center"/>
          </w:tcPr>
          <w:p w:rsidR="00DE76C7" w:rsidRPr="0043547B" w:rsidRDefault="00DE76C7" w:rsidP="00A9259C">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Barrières de sécurité routières - Glissières de sécurité en acier (Profils A et B) -Conditions d'implantation et spécifications de montage ;</w:t>
            </w:r>
          </w:p>
        </w:tc>
      </w:tr>
      <w:tr w:rsidR="0043547B" w:rsidRPr="0043547B" w:rsidTr="00542A0D">
        <w:trPr>
          <w:trHeight w:val="1261"/>
          <w:jc w:val="center"/>
        </w:trPr>
        <w:tc>
          <w:tcPr>
            <w:tcW w:w="1838" w:type="dxa"/>
            <w:tcBorders>
              <w:top w:val="single" w:sz="6" w:space="0" w:color="auto"/>
              <w:left w:val="single" w:sz="18" w:space="0" w:color="auto"/>
              <w:bottom w:val="single" w:sz="18" w:space="0" w:color="auto"/>
              <w:right w:val="single" w:sz="4" w:space="0" w:color="auto"/>
            </w:tcBorders>
            <w:shd w:val="clear" w:color="000000" w:fill="D9D9D9"/>
            <w:vAlign w:val="center"/>
          </w:tcPr>
          <w:p w:rsidR="00DE76C7" w:rsidRPr="0043547B" w:rsidRDefault="00DE76C7" w:rsidP="00A9259C">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6" w:space="0" w:color="auto"/>
              <w:left w:val="single" w:sz="4" w:space="0" w:color="auto"/>
              <w:bottom w:val="single" w:sz="18" w:space="0" w:color="auto"/>
              <w:right w:val="single" w:sz="18" w:space="0" w:color="auto"/>
            </w:tcBorders>
            <w:shd w:val="clear" w:color="000000" w:fill="FFFFFF"/>
            <w:vAlign w:val="center"/>
          </w:tcPr>
          <w:p w:rsidR="009F13D2" w:rsidRDefault="00DE76C7" w:rsidP="00A9259C">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définit les règles d’implantation et les spécifications de montage des barrières de sécurité routières en acier sur terre-plein central et accotements des routes et autoroutes, en fonction des objectifs de sécurité visés et des obstacles à isoler.</w:t>
            </w:r>
          </w:p>
          <w:p w:rsidR="00DE76C7" w:rsidRPr="0043547B" w:rsidRDefault="00DE76C7" w:rsidP="00A9259C">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s’applique aux glissières de sécurité de profils A et B, définies dans la norme NF P 98-410, dont les éléments constitutifs sont définis, pour les éléments de glissement, dans la norme NF P 98-411 et pour les accessoires, dont la boulonnerie, dans la norme NF P 98-412.</w:t>
            </w:r>
          </w:p>
        </w:tc>
      </w:tr>
      <w:tr w:rsidR="0043547B" w:rsidRPr="0043547B" w:rsidTr="00542A0D">
        <w:trPr>
          <w:trHeight w:val="371"/>
          <w:jc w:val="center"/>
        </w:trPr>
        <w:tc>
          <w:tcPr>
            <w:tcW w:w="1838" w:type="dxa"/>
            <w:tcBorders>
              <w:top w:val="nil"/>
              <w:left w:val="single" w:sz="18" w:space="0" w:color="auto"/>
              <w:bottom w:val="single" w:sz="18" w:space="0" w:color="auto"/>
              <w:right w:val="single" w:sz="4" w:space="0" w:color="auto"/>
            </w:tcBorders>
            <w:shd w:val="clear" w:color="auto" w:fill="B0CA7C"/>
            <w:vAlign w:val="center"/>
          </w:tcPr>
          <w:p w:rsidR="00DE76C7" w:rsidRPr="0043547B" w:rsidRDefault="00DE76C7" w:rsidP="00A9259C">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single" w:sz="4" w:space="0" w:color="auto"/>
              <w:left w:val="single" w:sz="4" w:space="0" w:color="auto"/>
              <w:bottom w:val="single" w:sz="18" w:space="0" w:color="auto"/>
              <w:right w:val="single" w:sz="18" w:space="0" w:color="auto"/>
            </w:tcBorders>
            <w:shd w:val="clear" w:color="auto" w:fill="B0CA7C"/>
            <w:vAlign w:val="center"/>
          </w:tcPr>
          <w:p w:rsidR="00DE76C7" w:rsidRPr="0043547B" w:rsidRDefault="00DE76C7" w:rsidP="00A9259C">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10.9.115</w:t>
            </w:r>
          </w:p>
        </w:tc>
      </w:tr>
      <w:tr w:rsidR="0043547B" w:rsidRPr="0043547B" w:rsidTr="00542A0D">
        <w:trPr>
          <w:trHeight w:val="774"/>
          <w:jc w:val="center"/>
        </w:trPr>
        <w:tc>
          <w:tcPr>
            <w:tcW w:w="1838" w:type="dxa"/>
            <w:tcBorders>
              <w:top w:val="single" w:sz="6" w:space="0" w:color="auto"/>
              <w:left w:val="single" w:sz="18" w:space="0" w:color="auto"/>
              <w:bottom w:val="single" w:sz="6" w:space="0" w:color="auto"/>
              <w:right w:val="single" w:sz="4" w:space="0" w:color="auto"/>
            </w:tcBorders>
            <w:shd w:val="clear" w:color="auto" w:fill="95B3D7" w:themeFill="accent1" w:themeFillTint="99"/>
            <w:vAlign w:val="center"/>
          </w:tcPr>
          <w:p w:rsidR="00DE76C7" w:rsidRPr="0043547B" w:rsidRDefault="00DE76C7" w:rsidP="00A9259C">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6" w:space="0" w:color="auto"/>
              <w:left w:val="single" w:sz="4" w:space="0" w:color="auto"/>
              <w:bottom w:val="single" w:sz="6" w:space="0" w:color="auto"/>
              <w:right w:val="single" w:sz="18" w:space="0" w:color="auto"/>
            </w:tcBorders>
            <w:shd w:val="clear" w:color="000000" w:fill="FFFFFF"/>
            <w:vAlign w:val="center"/>
          </w:tcPr>
          <w:p w:rsidR="00DE76C7" w:rsidRPr="0043547B" w:rsidRDefault="00DE76C7" w:rsidP="00A9259C">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Equipements de la route - Balisage des obstacles et dangers temporaires - Caractéristiques des rubans de signalisation.</w:t>
            </w:r>
          </w:p>
        </w:tc>
      </w:tr>
      <w:tr w:rsidR="0043547B" w:rsidRPr="0043547B" w:rsidTr="00542A0D">
        <w:trPr>
          <w:trHeight w:val="1356"/>
          <w:jc w:val="center"/>
        </w:trPr>
        <w:tc>
          <w:tcPr>
            <w:tcW w:w="1838" w:type="dxa"/>
            <w:tcBorders>
              <w:top w:val="single" w:sz="6" w:space="0" w:color="auto"/>
              <w:left w:val="single" w:sz="18" w:space="0" w:color="auto"/>
              <w:bottom w:val="single" w:sz="18" w:space="0" w:color="auto"/>
              <w:right w:val="single" w:sz="4" w:space="0" w:color="auto"/>
            </w:tcBorders>
            <w:shd w:val="clear" w:color="000000" w:fill="D9D9D9"/>
            <w:vAlign w:val="center"/>
          </w:tcPr>
          <w:p w:rsidR="00DE76C7" w:rsidRPr="0043547B" w:rsidRDefault="00DE76C7" w:rsidP="00A9259C">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6" w:space="0" w:color="auto"/>
              <w:left w:val="single" w:sz="4" w:space="0" w:color="auto"/>
              <w:bottom w:val="single" w:sz="18" w:space="0" w:color="auto"/>
              <w:right w:val="single" w:sz="18" w:space="0" w:color="auto"/>
            </w:tcBorders>
            <w:shd w:val="clear" w:color="000000" w:fill="FFFFFF"/>
            <w:vAlign w:val="center"/>
          </w:tcPr>
          <w:p w:rsidR="00DE76C7" w:rsidRPr="0043547B" w:rsidRDefault="00DE76C7" w:rsidP="008F2125">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La présente norme spécifie </w:t>
            </w:r>
            <w:r w:rsidR="008F2125" w:rsidRPr="0043547B">
              <w:rPr>
                <w:rFonts w:eastAsia="Times New Roman" w:cstheme="minorHAnsi"/>
                <w:sz w:val="24"/>
                <w:szCs w:val="24"/>
                <w:lang w:eastAsia="fr-FR"/>
              </w:rPr>
              <w:t>les caractéristiques géométriques, colorimétriques, photométriques et mécaniques</w:t>
            </w:r>
            <w:r w:rsidRPr="0043547B">
              <w:rPr>
                <w:rFonts w:eastAsia="Times New Roman" w:cstheme="minorHAnsi"/>
                <w:sz w:val="24"/>
                <w:szCs w:val="24"/>
                <w:lang w:eastAsia="fr-FR"/>
              </w:rPr>
              <w:t xml:space="preserve"> des rubans de chantiers utilisés pour la signalisation de position des obstacles et des dangers temporaires, ainsi que des méthodes d’essai permettant de les</w:t>
            </w:r>
            <w:r w:rsidR="008F2125" w:rsidRPr="0043547B">
              <w:rPr>
                <w:rFonts w:eastAsia="Times New Roman" w:cstheme="minorHAnsi"/>
                <w:sz w:val="24"/>
                <w:szCs w:val="24"/>
                <w:lang w:eastAsia="fr-FR"/>
              </w:rPr>
              <w:t xml:space="preserve"> </w:t>
            </w:r>
            <w:r w:rsidRPr="0043547B">
              <w:rPr>
                <w:rFonts w:eastAsia="Times New Roman" w:cstheme="minorHAnsi"/>
                <w:sz w:val="24"/>
                <w:szCs w:val="24"/>
                <w:lang w:eastAsia="fr-FR"/>
              </w:rPr>
              <w:t>vérifier.</w:t>
            </w:r>
          </w:p>
        </w:tc>
      </w:tr>
      <w:tr w:rsidR="0043547B" w:rsidRPr="0043547B" w:rsidTr="00542A0D">
        <w:trPr>
          <w:trHeight w:val="427"/>
          <w:jc w:val="center"/>
        </w:trPr>
        <w:tc>
          <w:tcPr>
            <w:tcW w:w="1838" w:type="dxa"/>
            <w:tcBorders>
              <w:top w:val="nil"/>
              <w:left w:val="single" w:sz="18" w:space="0" w:color="auto"/>
              <w:bottom w:val="single" w:sz="18" w:space="0" w:color="auto"/>
              <w:right w:val="single" w:sz="4" w:space="0" w:color="auto"/>
            </w:tcBorders>
            <w:shd w:val="clear" w:color="auto" w:fill="B0CA7C"/>
            <w:vAlign w:val="center"/>
          </w:tcPr>
          <w:p w:rsidR="00DE76C7" w:rsidRPr="0043547B" w:rsidRDefault="00DE76C7" w:rsidP="00A9259C">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single" w:sz="4" w:space="0" w:color="auto"/>
              <w:left w:val="single" w:sz="4" w:space="0" w:color="auto"/>
              <w:bottom w:val="single" w:sz="18" w:space="0" w:color="auto"/>
              <w:right w:val="single" w:sz="18" w:space="0" w:color="auto"/>
            </w:tcBorders>
            <w:shd w:val="clear" w:color="auto" w:fill="B0CA7C"/>
            <w:vAlign w:val="center"/>
          </w:tcPr>
          <w:p w:rsidR="00DE76C7" w:rsidRPr="0043547B" w:rsidRDefault="00DE76C7" w:rsidP="00A9259C">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10.9.310</w:t>
            </w:r>
          </w:p>
        </w:tc>
      </w:tr>
      <w:tr w:rsidR="0043547B" w:rsidRPr="0043547B" w:rsidTr="00542A0D">
        <w:trPr>
          <w:trHeight w:val="649"/>
          <w:jc w:val="center"/>
        </w:trPr>
        <w:tc>
          <w:tcPr>
            <w:tcW w:w="1838" w:type="dxa"/>
            <w:tcBorders>
              <w:top w:val="single" w:sz="6" w:space="0" w:color="auto"/>
              <w:left w:val="single" w:sz="18" w:space="0" w:color="auto"/>
              <w:bottom w:val="single" w:sz="6" w:space="0" w:color="auto"/>
              <w:right w:val="single" w:sz="4" w:space="0" w:color="auto"/>
            </w:tcBorders>
            <w:shd w:val="clear" w:color="auto" w:fill="95B3D7" w:themeFill="accent1" w:themeFillTint="99"/>
            <w:vAlign w:val="center"/>
          </w:tcPr>
          <w:p w:rsidR="00DE76C7" w:rsidRPr="0043547B" w:rsidRDefault="00DE76C7" w:rsidP="00A9259C">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6" w:space="0" w:color="auto"/>
              <w:left w:val="single" w:sz="4" w:space="0" w:color="auto"/>
              <w:bottom w:val="single" w:sz="6" w:space="0" w:color="auto"/>
              <w:right w:val="single" w:sz="18" w:space="0" w:color="auto"/>
            </w:tcBorders>
            <w:shd w:val="clear" w:color="000000" w:fill="FFFFFF"/>
            <w:vAlign w:val="center"/>
          </w:tcPr>
          <w:p w:rsidR="00DE76C7" w:rsidRPr="0043547B" w:rsidRDefault="00DE76C7" w:rsidP="00A9259C">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Equipements de la route - Balisage permanent - Balises de virage et d’intersection en matière plastique - Caractéristiques, spécifications ;</w:t>
            </w:r>
          </w:p>
        </w:tc>
      </w:tr>
      <w:tr w:rsidR="0043547B" w:rsidRPr="0043547B" w:rsidTr="00542A0D">
        <w:trPr>
          <w:trHeight w:val="1324"/>
          <w:jc w:val="center"/>
        </w:trPr>
        <w:tc>
          <w:tcPr>
            <w:tcW w:w="1838" w:type="dxa"/>
            <w:tcBorders>
              <w:top w:val="single" w:sz="6" w:space="0" w:color="auto"/>
              <w:left w:val="single" w:sz="18" w:space="0" w:color="auto"/>
              <w:bottom w:val="single" w:sz="18" w:space="0" w:color="auto"/>
              <w:right w:val="single" w:sz="4" w:space="0" w:color="auto"/>
            </w:tcBorders>
            <w:shd w:val="clear" w:color="000000" w:fill="D9D9D9"/>
            <w:vAlign w:val="center"/>
          </w:tcPr>
          <w:p w:rsidR="00DE76C7" w:rsidRPr="0043547B" w:rsidRDefault="00DE76C7" w:rsidP="00A9259C">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6" w:space="0" w:color="auto"/>
              <w:left w:val="single" w:sz="4" w:space="0" w:color="auto"/>
              <w:bottom w:val="single" w:sz="18" w:space="0" w:color="auto"/>
              <w:right w:val="single" w:sz="18" w:space="0" w:color="auto"/>
            </w:tcBorders>
            <w:shd w:val="clear" w:color="000000" w:fill="FFFFFF"/>
            <w:vAlign w:val="center"/>
          </w:tcPr>
          <w:p w:rsidR="00DE76C7" w:rsidRPr="0043547B" w:rsidRDefault="00DE76C7" w:rsidP="00A9259C">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La présente norme spécifie </w:t>
            </w:r>
            <w:r w:rsidR="008F2125" w:rsidRPr="0043547B">
              <w:rPr>
                <w:rFonts w:eastAsia="Times New Roman" w:cstheme="minorHAnsi"/>
                <w:sz w:val="24"/>
                <w:szCs w:val="24"/>
                <w:lang w:eastAsia="fr-FR"/>
              </w:rPr>
              <w:t>les caractéristiques géométriques, colorimétriques, photométriques et mécaniques</w:t>
            </w:r>
            <w:r w:rsidRPr="0043547B">
              <w:rPr>
                <w:rFonts w:eastAsia="Times New Roman" w:cstheme="minorHAnsi"/>
                <w:sz w:val="24"/>
                <w:szCs w:val="24"/>
                <w:lang w:eastAsia="fr-FR"/>
              </w:rPr>
              <w:t xml:space="preserve"> des balises de virages J1 et les balises d'intersection J3 en matière plastique, munie d'un collier en aluminium servant de support au revêtement rétroréfléchissant. </w:t>
            </w:r>
          </w:p>
        </w:tc>
      </w:tr>
      <w:tr w:rsidR="0043547B" w:rsidRPr="0043547B" w:rsidTr="00542A0D">
        <w:trPr>
          <w:trHeight w:val="459"/>
          <w:jc w:val="center"/>
        </w:trPr>
        <w:tc>
          <w:tcPr>
            <w:tcW w:w="1838" w:type="dxa"/>
            <w:tcBorders>
              <w:top w:val="nil"/>
              <w:left w:val="single" w:sz="18" w:space="0" w:color="auto"/>
              <w:bottom w:val="single" w:sz="18" w:space="0" w:color="auto"/>
              <w:right w:val="single" w:sz="4" w:space="0" w:color="auto"/>
            </w:tcBorders>
            <w:shd w:val="clear" w:color="auto" w:fill="B0CA7C"/>
            <w:vAlign w:val="center"/>
          </w:tcPr>
          <w:p w:rsidR="00DE76C7" w:rsidRPr="0043547B" w:rsidRDefault="00DE76C7" w:rsidP="00A9259C">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single" w:sz="4" w:space="0" w:color="auto"/>
              <w:left w:val="single" w:sz="4" w:space="0" w:color="auto"/>
              <w:bottom w:val="single" w:sz="18" w:space="0" w:color="auto"/>
              <w:right w:val="single" w:sz="18" w:space="0" w:color="auto"/>
            </w:tcBorders>
            <w:shd w:val="clear" w:color="auto" w:fill="B0CA7C"/>
            <w:vAlign w:val="center"/>
          </w:tcPr>
          <w:p w:rsidR="00DE76C7" w:rsidRPr="0043547B" w:rsidRDefault="00DE76C7" w:rsidP="00A9259C">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10.9.311</w:t>
            </w:r>
          </w:p>
        </w:tc>
      </w:tr>
      <w:tr w:rsidR="0043547B" w:rsidRPr="0043547B" w:rsidTr="00542A0D">
        <w:trPr>
          <w:trHeight w:val="527"/>
          <w:jc w:val="center"/>
        </w:trPr>
        <w:tc>
          <w:tcPr>
            <w:tcW w:w="1838" w:type="dxa"/>
            <w:tcBorders>
              <w:top w:val="single" w:sz="6" w:space="0" w:color="auto"/>
              <w:left w:val="single" w:sz="18" w:space="0" w:color="auto"/>
              <w:bottom w:val="single" w:sz="6" w:space="0" w:color="auto"/>
              <w:right w:val="single" w:sz="4" w:space="0" w:color="auto"/>
            </w:tcBorders>
            <w:shd w:val="clear" w:color="auto" w:fill="95B3D7" w:themeFill="accent1" w:themeFillTint="99"/>
            <w:vAlign w:val="center"/>
          </w:tcPr>
          <w:p w:rsidR="00DE76C7" w:rsidRPr="0043547B" w:rsidRDefault="00DE76C7" w:rsidP="00A9259C">
            <w:pPr>
              <w:spacing w:after="0" w:line="240" w:lineRule="auto"/>
              <w:jc w:val="center"/>
              <w:rPr>
                <w:rFonts w:cstheme="minorHAnsi"/>
                <w:b/>
                <w:bCs/>
                <w:sz w:val="24"/>
                <w:szCs w:val="24"/>
              </w:rPr>
            </w:pPr>
            <w:r w:rsidRPr="0043547B">
              <w:rPr>
                <w:rFonts w:cstheme="minorHAnsi"/>
                <w:b/>
                <w:bCs/>
                <w:sz w:val="24"/>
                <w:szCs w:val="24"/>
              </w:rPr>
              <w:lastRenderedPageBreak/>
              <w:t>Intitulé :</w:t>
            </w:r>
          </w:p>
        </w:tc>
        <w:tc>
          <w:tcPr>
            <w:tcW w:w="7938" w:type="dxa"/>
            <w:tcBorders>
              <w:top w:val="single" w:sz="6" w:space="0" w:color="auto"/>
              <w:left w:val="single" w:sz="4" w:space="0" w:color="auto"/>
              <w:bottom w:val="single" w:sz="6" w:space="0" w:color="auto"/>
              <w:right w:val="single" w:sz="18" w:space="0" w:color="auto"/>
            </w:tcBorders>
            <w:shd w:val="clear" w:color="000000" w:fill="FFFFFF"/>
            <w:vAlign w:val="center"/>
          </w:tcPr>
          <w:p w:rsidR="00DE76C7" w:rsidRPr="0043547B" w:rsidRDefault="00DE76C7" w:rsidP="00A9259C">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Equipements de la route - Balisage permanent - Balise de signalisation d’obstacle en matière plastique - Caractéristiques, performances ;</w:t>
            </w:r>
          </w:p>
        </w:tc>
      </w:tr>
      <w:tr w:rsidR="0043547B" w:rsidRPr="0043547B" w:rsidTr="00542A0D">
        <w:trPr>
          <w:trHeight w:val="925"/>
          <w:jc w:val="center"/>
        </w:trPr>
        <w:tc>
          <w:tcPr>
            <w:tcW w:w="1838" w:type="dxa"/>
            <w:tcBorders>
              <w:top w:val="single" w:sz="6" w:space="0" w:color="auto"/>
              <w:left w:val="single" w:sz="18" w:space="0" w:color="auto"/>
              <w:bottom w:val="single" w:sz="18" w:space="0" w:color="auto"/>
              <w:right w:val="single" w:sz="4" w:space="0" w:color="auto"/>
            </w:tcBorders>
            <w:shd w:val="clear" w:color="000000" w:fill="D9D9D9"/>
            <w:vAlign w:val="center"/>
          </w:tcPr>
          <w:p w:rsidR="00DE76C7" w:rsidRPr="0043547B" w:rsidRDefault="00DE76C7" w:rsidP="00A9259C">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6" w:space="0" w:color="auto"/>
              <w:left w:val="single" w:sz="4" w:space="0" w:color="auto"/>
              <w:bottom w:val="single" w:sz="18" w:space="0" w:color="auto"/>
              <w:right w:val="single" w:sz="18" w:space="0" w:color="auto"/>
            </w:tcBorders>
            <w:shd w:val="clear" w:color="000000" w:fill="FFFFFF"/>
            <w:vAlign w:val="center"/>
          </w:tcPr>
          <w:p w:rsidR="00DE76C7" w:rsidRPr="0043547B" w:rsidRDefault="00DE76C7" w:rsidP="00A9259C">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 présent document spécifie les caractéristiques géométriques, colorimétriques, photométriques et mécaniques de la balise de signalisation d'obstacle en matière plastique.</w:t>
            </w:r>
          </w:p>
        </w:tc>
      </w:tr>
      <w:tr w:rsidR="0043547B" w:rsidRPr="0043547B" w:rsidTr="00542A0D">
        <w:trPr>
          <w:trHeight w:val="350"/>
          <w:jc w:val="center"/>
        </w:trPr>
        <w:tc>
          <w:tcPr>
            <w:tcW w:w="1838" w:type="dxa"/>
            <w:tcBorders>
              <w:top w:val="nil"/>
              <w:left w:val="single" w:sz="18" w:space="0" w:color="auto"/>
              <w:bottom w:val="single" w:sz="18" w:space="0" w:color="auto"/>
              <w:right w:val="single" w:sz="4" w:space="0" w:color="auto"/>
            </w:tcBorders>
            <w:shd w:val="clear" w:color="auto" w:fill="B0CA7C"/>
            <w:vAlign w:val="center"/>
          </w:tcPr>
          <w:p w:rsidR="00DE76C7" w:rsidRPr="0043547B" w:rsidRDefault="00DE76C7" w:rsidP="00A9259C">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single" w:sz="4" w:space="0" w:color="auto"/>
              <w:left w:val="single" w:sz="4" w:space="0" w:color="auto"/>
              <w:bottom w:val="single" w:sz="18" w:space="0" w:color="auto"/>
              <w:right w:val="single" w:sz="18" w:space="0" w:color="auto"/>
            </w:tcBorders>
            <w:shd w:val="clear" w:color="auto" w:fill="B0CA7C"/>
            <w:vAlign w:val="center"/>
          </w:tcPr>
          <w:p w:rsidR="00DE76C7" w:rsidRPr="0043547B" w:rsidRDefault="00DE76C7" w:rsidP="00A9259C">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10.9.312</w:t>
            </w:r>
          </w:p>
        </w:tc>
      </w:tr>
      <w:tr w:rsidR="0043547B" w:rsidRPr="0043547B" w:rsidTr="00542A0D">
        <w:trPr>
          <w:trHeight w:val="749"/>
          <w:jc w:val="center"/>
        </w:trPr>
        <w:tc>
          <w:tcPr>
            <w:tcW w:w="1838" w:type="dxa"/>
            <w:tcBorders>
              <w:top w:val="single" w:sz="6" w:space="0" w:color="auto"/>
              <w:left w:val="single" w:sz="18" w:space="0" w:color="auto"/>
              <w:bottom w:val="single" w:sz="6" w:space="0" w:color="auto"/>
              <w:right w:val="single" w:sz="4" w:space="0" w:color="auto"/>
            </w:tcBorders>
            <w:shd w:val="clear" w:color="auto" w:fill="95B3D7" w:themeFill="accent1" w:themeFillTint="99"/>
            <w:vAlign w:val="center"/>
          </w:tcPr>
          <w:p w:rsidR="00DE76C7" w:rsidRPr="0043547B" w:rsidRDefault="00DE76C7" w:rsidP="00A9259C">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6" w:space="0" w:color="auto"/>
              <w:left w:val="single" w:sz="4" w:space="0" w:color="auto"/>
              <w:bottom w:val="single" w:sz="6" w:space="0" w:color="auto"/>
              <w:right w:val="single" w:sz="18" w:space="0" w:color="auto"/>
            </w:tcBorders>
            <w:shd w:val="clear" w:color="000000" w:fill="FFFFFF"/>
            <w:vAlign w:val="center"/>
          </w:tcPr>
          <w:p w:rsidR="00DE76C7" w:rsidRPr="0043547B" w:rsidRDefault="00DE76C7" w:rsidP="00A9259C">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Equipements de la route - Balisage permanent - Balises monolithiques de signalisation de divergent en matière plastique - Caractéristiques, performances et essais ;</w:t>
            </w:r>
          </w:p>
        </w:tc>
      </w:tr>
      <w:tr w:rsidR="0043547B" w:rsidRPr="0043547B" w:rsidTr="00542A0D">
        <w:trPr>
          <w:trHeight w:val="2348"/>
          <w:jc w:val="center"/>
        </w:trPr>
        <w:tc>
          <w:tcPr>
            <w:tcW w:w="1838" w:type="dxa"/>
            <w:tcBorders>
              <w:top w:val="single" w:sz="6" w:space="0" w:color="auto"/>
              <w:left w:val="single" w:sz="18" w:space="0" w:color="auto"/>
              <w:bottom w:val="single" w:sz="18" w:space="0" w:color="auto"/>
              <w:right w:val="single" w:sz="4" w:space="0" w:color="auto"/>
            </w:tcBorders>
            <w:shd w:val="clear" w:color="000000" w:fill="D9D9D9"/>
            <w:vAlign w:val="center"/>
          </w:tcPr>
          <w:p w:rsidR="00DE76C7" w:rsidRPr="0043547B" w:rsidRDefault="00DE76C7" w:rsidP="00A9259C">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6" w:space="0" w:color="auto"/>
              <w:left w:val="single" w:sz="4" w:space="0" w:color="auto"/>
              <w:bottom w:val="single" w:sz="18" w:space="0" w:color="auto"/>
              <w:right w:val="single" w:sz="18" w:space="0" w:color="auto"/>
            </w:tcBorders>
            <w:shd w:val="clear" w:color="000000" w:fill="FFFFFF"/>
            <w:vAlign w:val="center"/>
          </w:tcPr>
          <w:p w:rsidR="00A9259C" w:rsidRPr="0043547B" w:rsidRDefault="00DE76C7" w:rsidP="00A9259C">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définit les caractéristiques géométriques, colorimétriques, photométriques, mécaniques ainsi que la résistance au vieillissement artificiel des balises monolithiques de signalisation de divergent.</w:t>
            </w:r>
          </w:p>
          <w:p w:rsidR="00DE76C7" w:rsidRPr="0043547B" w:rsidRDefault="00DE76C7" w:rsidP="00A9259C">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indique ou décrit par ailleurs les méthodes d’essai permettant de vérifier ces caractéristiques.</w:t>
            </w:r>
            <w:r w:rsidRPr="0043547B">
              <w:rPr>
                <w:rFonts w:eastAsia="Times New Roman" w:cstheme="minorHAnsi"/>
                <w:sz w:val="24"/>
                <w:szCs w:val="24"/>
                <w:lang w:eastAsia="fr-FR"/>
              </w:rPr>
              <w:br/>
              <w:t xml:space="preserve">Elle s’applique aux balises monolithiques destinées à signaler la présence d’un divergent et fabriquées en matière plastique renforcée ou non au verre textile. Les deux modèles de balises sont décrits dans les annexes A et B.  </w:t>
            </w:r>
          </w:p>
        </w:tc>
      </w:tr>
      <w:tr w:rsidR="0043547B" w:rsidRPr="0043547B" w:rsidTr="00542A0D">
        <w:trPr>
          <w:trHeight w:val="383"/>
          <w:jc w:val="center"/>
        </w:trPr>
        <w:tc>
          <w:tcPr>
            <w:tcW w:w="1838" w:type="dxa"/>
            <w:tcBorders>
              <w:top w:val="nil"/>
              <w:left w:val="single" w:sz="18" w:space="0" w:color="auto"/>
              <w:bottom w:val="single" w:sz="18" w:space="0" w:color="auto"/>
              <w:right w:val="single" w:sz="4" w:space="0" w:color="auto"/>
            </w:tcBorders>
            <w:shd w:val="clear" w:color="auto" w:fill="B0CA7C"/>
            <w:vAlign w:val="center"/>
          </w:tcPr>
          <w:p w:rsidR="00DE76C7" w:rsidRPr="0043547B" w:rsidRDefault="00DE76C7" w:rsidP="00A9259C">
            <w:pPr>
              <w:spacing w:after="0" w:line="240" w:lineRule="auto"/>
              <w:jc w:val="center"/>
              <w:rPr>
                <w:rFonts w:cstheme="minorHAnsi"/>
                <w:b/>
                <w:bCs/>
                <w:sz w:val="24"/>
                <w:szCs w:val="24"/>
              </w:rPr>
            </w:pPr>
            <w:r w:rsidRPr="0043547B">
              <w:rPr>
                <w:rFonts w:cstheme="minorHAnsi"/>
                <w:b/>
                <w:bCs/>
                <w:sz w:val="24"/>
                <w:szCs w:val="24"/>
              </w:rPr>
              <w:t>Code</w:t>
            </w:r>
            <w:r w:rsidR="00A9259C" w:rsidRPr="0043547B">
              <w:rPr>
                <w:rFonts w:cstheme="minorHAnsi"/>
                <w:b/>
                <w:bCs/>
                <w:sz w:val="24"/>
                <w:szCs w:val="24"/>
              </w:rPr>
              <w:t xml:space="preserve"> </w:t>
            </w:r>
            <w:r w:rsidRPr="0043547B">
              <w:rPr>
                <w:rFonts w:cstheme="minorHAnsi"/>
                <w:b/>
                <w:bCs/>
                <w:sz w:val="24"/>
                <w:szCs w:val="24"/>
              </w:rPr>
              <w:t>:</w:t>
            </w:r>
          </w:p>
        </w:tc>
        <w:tc>
          <w:tcPr>
            <w:tcW w:w="7938" w:type="dxa"/>
            <w:tcBorders>
              <w:top w:val="single" w:sz="4" w:space="0" w:color="auto"/>
              <w:left w:val="single" w:sz="4" w:space="0" w:color="auto"/>
              <w:bottom w:val="single" w:sz="18" w:space="0" w:color="auto"/>
              <w:right w:val="single" w:sz="18" w:space="0" w:color="auto"/>
            </w:tcBorders>
            <w:shd w:val="clear" w:color="auto" w:fill="B0CA7C"/>
            <w:vAlign w:val="center"/>
          </w:tcPr>
          <w:p w:rsidR="00DE76C7" w:rsidRPr="0043547B" w:rsidRDefault="00DE76C7" w:rsidP="00A9259C">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10.9.314</w:t>
            </w:r>
          </w:p>
        </w:tc>
      </w:tr>
      <w:tr w:rsidR="0043547B" w:rsidRPr="0043547B" w:rsidTr="00542A0D">
        <w:trPr>
          <w:trHeight w:val="599"/>
          <w:jc w:val="center"/>
        </w:trPr>
        <w:tc>
          <w:tcPr>
            <w:tcW w:w="1838" w:type="dxa"/>
            <w:tcBorders>
              <w:top w:val="single" w:sz="6" w:space="0" w:color="auto"/>
              <w:left w:val="single" w:sz="18" w:space="0" w:color="auto"/>
              <w:bottom w:val="single" w:sz="6" w:space="0" w:color="auto"/>
              <w:right w:val="single" w:sz="4" w:space="0" w:color="auto"/>
            </w:tcBorders>
            <w:shd w:val="clear" w:color="auto" w:fill="95B3D7" w:themeFill="accent1" w:themeFillTint="99"/>
            <w:vAlign w:val="center"/>
          </w:tcPr>
          <w:p w:rsidR="00DE76C7" w:rsidRPr="0043547B" w:rsidRDefault="00DE76C7" w:rsidP="00A9259C">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6" w:space="0" w:color="auto"/>
              <w:left w:val="single" w:sz="4" w:space="0" w:color="auto"/>
              <w:bottom w:val="single" w:sz="6" w:space="0" w:color="auto"/>
              <w:right w:val="single" w:sz="18" w:space="0" w:color="auto"/>
            </w:tcBorders>
            <w:shd w:val="clear" w:color="000000" w:fill="FFFFFF"/>
            <w:vAlign w:val="center"/>
          </w:tcPr>
          <w:p w:rsidR="00DE76C7" w:rsidRPr="0043547B" w:rsidRDefault="00DE76C7" w:rsidP="00A9259C">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Equipements de la route - Balisage permanent - Jalonneurs - Caractéristiques, spécifications</w:t>
            </w:r>
          </w:p>
        </w:tc>
      </w:tr>
      <w:tr w:rsidR="0043547B" w:rsidRPr="0043547B" w:rsidTr="00542A0D">
        <w:trPr>
          <w:trHeight w:val="859"/>
          <w:jc w:val="center"/>
        </w:trPr>
        <w:tc>
          <w:tcPr>
            <w:tcW w:w="1838" w:type="dxa"/>
            <w:tcBorders>
              <w:top w:val="single" w:sz="6" w:space="0" w:color="auto"/>
              <w:left w:val="single" w:sz="18" w:space="0" w:color="auto"/>
              <w:bottom w:val="single" w:sz="18" w:space="0" w:color="auto"/>
              <w:right w:val="single" w:sz="4" w:space="0" w:color="auto"/>
            </w:tcBorders>
            <w:shd w:val="clear" w:color="000000" w:fill="D9D9D9"/>
            <w:vAlign w:val="center"/>
          </w:tcPr>
          <w:p w:rsidR="00DE76C7" w:rsidRPr="0043547B" w:rsidRDefault="00DE76C7" w:rsidP="00A9259C">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6" w:space="0" w:color="auto"/>
              <w:left w:val="single" w:sz="4" w:space="0" w:color="auto"/>
              <w:bottom w:val="single" w:sz="18" w:space="0" w:color="auto"/>
              <w:right w:val="single" w:sz="18" w:space="0" w:color="auto"/>
            </w:tcBorders>
            <w:shd w:val="clear" w:color="000000" w:fill="FFFFFF"/>
            <w:vAlign w:val="center"/>
          </w:tcPr>
          <w:p w:rsidR="00DE76C7" w:rsidRPr="0043547B" w:rsidRDefault="00DE76C7" w:rsidP="00A9259C">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 document définit les caractéristiques géométriques, calorimétriques, photométriques et mécaniques des jalonneurs.</w:t>
            </w:r>
          </w:p>
        </w:tc>
      </w:tr>
      <w:tr w:rsidR="0043547B" w:rsidRPr="0043547B" w:rsidTr="00542A0D">
        <w:trPr>
          <w:trHeight w:val="410"/>
          <w:jc w:val="center"/>
        </w:trPr>
        <w:tc>
          <w:tcPr>
            <w:tcW w:w="1838" w:type="dxa"/>
            <w:tcBorders>
              <w:top w:val="nil"/>
              <w:left w:val="single" w:sz="18" w:space="0" w:color="auto"/>
              <w:bottom w:val="single" w:sz="18" w:space="0" w:color="auto"/>
              <w:right w:val="single" w:sz="4" w:space="0" w:color="auto"/>
            </w:tcBorders>
            <w:shd w:val="clear" w:color="auto" w:fill="B0CA7C"/>
            <w:vAlign w:val="center"/>
          </w:tcPr>
          <w:p w:rsidR="00DE76C7" w:rsidRPr="0043547B" w:rsidRDefault="00DE76C7" w:rsidP="00A9259C">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single" w:sz="4" w:space="0" w:color="auto"/>
              <w:left w:val="single" w:sz="4" w:space="0" w:color="auto"/>
              <w:bottom w:val="single" w:sz="18" w:space="0" w:color="auto"/>
              <w:right w:val="single" w:sz="18" w:space="0" w:color="auto"/>
            </w:tcBorders>
            <w:shd w:val="clear" w:color="auto" w:fill="B0CA7C"/>
            <w:vAlign w:val="center"/>
          </w:tcPr>
          <w:p w:rsidR="00DE76C7" w:rsidRPr="0043547B" w:rsidRDefault="00DE76C7" w:rsidP="00A9259C">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10.9.315</w:t>
            </w:r>
          </w:p>
        </w:tc>
      </w:tr>
      <w:tr w:rsidR="0043547B" w:rsidRPr="0043547B" w:rsidTr="00542A0D">
        <w:trPr>
          <w:trHeight w:val="597"/>
          <w:jc w:val="center"/>
        </w:trPr>
        <w:tc>
          <w:tcPr>
            <w:tcW w:w="1838" w:type="dxa"/>
            <w:tcBorders>
              <w:top w:val="single" w:sz="6" w:space="0" w:color="auto"/>
              <w:left w:val="single" w:sz="18" w:space="0" w:color="auto"/>
              <w:bottom w:val="single" w:sz="6" w:space="0" w:color="auto"/>
              <w:right w:val="single" w:sz="4" w:space="0" w:color="auto"/>
            </w:tcBorders>
            <w:shd w:val="clear" w:color="auto" w:fill="95B3D7" w:themeFill="accent1" w:themeFillTint="99"/>
            <w:vAlign w:val="center"/>
          </w:tcPr>
          <w:p w:rsidR="00DE76C7" w:rsidRPr="0043547B" w:rsidRDefault="00DE76C7" w:rsidP="00A9259C">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6" w:space="0" w:color="auto"/>
              <w:left w:val="single" w:sz="4" w:space="0" w:color="auto"/>
              <w:bottom w:val="single" w:sz="6" w:space="0" w:color="auto"/>
              <w:right w:val="single" w:sz="18" w:space="0" w:color="auto"/>
            </w:tcBorders>
            <w:shd w:val="clear" w:color="000000" w:fill="FFFFFF"/>
            <w:vAlign w:val="center"/>
          </w:tcPr>
          <w:p w:rsidR="00DE76C7" w:rsidRPr="0043547B" w:rsidRDefault="00DE76C7" w:rsidP="00A9259C">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Equipements de la route - Balisage permanent et/ou temporaire - Balises lestables en matière plastique - Caractéristiques, performances et essais ;</w:t>
            </w:r>
          </w:p>
        </w:tc>
      </w:tr>
      <w:tr w:rsidR="0043547B" w:rsidRPr="0043547B" w:rsidTr="00542A0D">
        <w:trPr>
          <w:trHeight w:val="1261"/>
          <w:jc w:val="center"/>
        </w:trPr>
        <w:tc>
          <w:tcPr>
            <w:tcW w:w="1838" w:type="dxa"/>
            <w:tcBorders>
              <w:top w:val="single" w:sz="6" w:space="0" w:color="auto"/>
              <w:left w:val="single" w:sz="18" w:space="0" w:color="auto"/>
              <w:bottom w:val="single" w:sz="18" w:space="0" w:color="auto"/>
              <w:right w:val="single" w:sz="4" w:space="0" w:color="auto"/>
            </w:tcBorders>
            <w:shd w:val="clear" w:color="000000" w:fill="D9D9D9"/>
            <w:vAlign w:val="center"/>
          </w:tcPr>
          <w:p w:rsidR="00DE76C7" w:rsidRPr="0043547B" w:rsidRDefault="00DE76C7" w:rsidP="00A9259C">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6" w:space="0" w:color="auto"/>
              <w:left w:val="single" w:sz="4" w:space="0" w:color="auto"/>
              <w:bottom w:val="single" w:sz="18" w:space="0" w:color="auto"/>
              <w:right w:val="single" w:sz="18" w:space="0" w:color="auto"/>
            </w:tcBorders>
            <w:shd w:val="clear" w:color="000000" w:fill="FFFFFF"/>
            <w:vAlign w:val="center"/>
          </w:tcPr>
          <w:p w:rsidR="000624E3" w:rsidRPr="0043547B" w:rsidRDefault="00DE76C7" w:rsidP="00A9259C">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expérimentale spécifie les caractéristiques géométriq</w:t>
            </w:r>
            <w:r w:rsidR="000624E3" w:rsidRPr="0043547B">
              <w:rPr>
                <w:rFonts w:eastAsia="Times New Roman" w:cstheme="minorHAnsi"/>
                <w:sz w:val="24"/>
                <w:szCs w:val="24"/>
                <w:lang w:eastAsia="fr-FR"/>
              </w:rPr>
              <w:t>ues que doivent avoir les bali</w:t>
            </w:r>
            <w:r w:rsidR="000624E3" w:rsidRPr="0043547B">
              <w:rPr>
                <w:rFonts w:eastAsia="Times New Roman" w:cstheme="minorHAnsi"/>
                <w:sz w:val="24"/>
                <w:szCs w:val="24"/>
                <w:lang w:eastAsia="fr-FR"/>
              </w:rPr>
              <w:softHyphen/>
            </w:r>
            <w:r w:rsidRPr="0043547B">
              <w:rPr>
                <w:rFonts w:eastAsia="Times New Roman" w:cstheme="minorHAnsi"/>
                <w:sz w:val="24"/>
                <w:szCs w:val="24"/>
                <w:lang w:eastAsia="fr-FR"/>
              </w:rPr>
              <w:t>ses testables en matière plastique ainsi que leur stabilité une fois lestées et</w:t>
            </w:r>
            <w:r w:rsidR="000624E3" w:rsidRPr="0043547B">
              <w:rPr>
                <w:rFonts w:eastAsia="Times New Roman" w:cstheme="minorHAnsi"/>
                <w:sz w:val="24"/>
                <w:szCs w:val="24"/>
                <w:lang w:eastAsia="fr-FR"/>
              </w:rPr>
              <w:t xml:space="preserve"> la nature du lest. Elle spéci</w:t>
            </w:r>
            <w:r w:rsidR="000624E3" w:rsidRPr="0043547B">
              <w:rPr>
                <w:rFonts w:eastAsia="Times New Roman" w:cstheme="minorHAnsi"/>
                <w:sz w:val="24"/>
                <w:szCs w:val="24"/>
                <w:lang w:eastAsia="fr-FR"/>
              </w:rPr>
              <w:softHyphen/>
            </w:r>
            <w:r w:rsidRPr="0043547B">
              <w:rPr>
                <w:rFonts w:eastAsia="Times New Roman" w:cstheme="minorHAnsi"/>
                <w:sz w:val="24"/>
                <w:szCs w:val="24"/>
                <w:lang w:eastAsia="fr-FR"/>
              </w:rPr>
              <w:t xml:space="preserve">fie aussi les </w:t>
            </w:r>
            <w:r w:rsidR="000624E3" w:rsidRPr="0043547B">
              <w:rPr>
                <w:rFonts w:eastAsia="Times New Roman" w:cstheme="minorHAnsi"/>
                <w:sz w:val="24"/>
                <w:szCs w:val="24"/>
                <w:lang w:eastAsia="fr-FR"/>
              </w:rPr>
              <w:t>caractéristiques mécaniques</w:t>
            </w:r>
            <w:r w:rsidRPr="0043547B">
              <w:rPr>
                <w:rFonts w:eastAsia="Times New Roman" w:cstheme="minorHAnsi"/>
                <w:sz w:val="24"/>
                <w:szCs w:val="24"/>
                <w:lang w:eastAsia="fr-FR"/>
              </w:rPr>
              <w:t xml:space="preserve"> de la matière plastique de constitution.</w:t>
            </w:r>
          </w:p>
          <w:p w:rsidR="000624E3" w:rsidRPr="0043547B" w:rsidRDefault="00DE76C7" w:rsidP="000624E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Elle décrit en outre les méthodes d'essais permettant de vérifier la stabilité et les </w:t>
            </w:r>
            <w:r w:rsidR="000624E3" w:rsidRPr="0043547B">
              <w:rPr>
                <w:rFonts w:eastAsia="Times New Roman" w:cstheme="minorHAnsi"/>
                <w:sz w:val="24"/>
                <w:szCs w:val="24"/>
                <w:lang w:eastAsia="fr-FR"/>
              </w:rPr>
              <w:t>caractéristiques méca</w:t>
            </w:r>
            <w:r w:rsidR="000624E3" w:rsidRPr="0043547B">
              <w:rPr>
                <w:rFonts w:eastAsia="Times New Roman" w:cstheme="minorHAnsi"/>
                <w:sz w:val="24"/>
                <w:szCs w:val="24"/>
                <w:lang w:eastAsia="fr-FR"/>
              </w:rPr>
              <w:softHyphen/>
              <w:t>niques</w:t>
            </w:r>
            <w:r w:rsidRPr="0043547B">
              <w:rPr>
                <w:rFonts w:eastAsia="Times New Roman" w:cstheme="minorHAnsi"/>
                <w:sz w:val="24"/>
                <w:szCs w:val="24"/>
                <w:lang w:eastAsia="fr-FR"/>
              </w:rPr>
              <w:t xml:space="preserve"> de la matière plastique de constitution.</w:t>
            </w:r>
          </w:p>
          <w:p w:rsidR="000624E3" w:rsidRPr="0043547B" w:rsidRDefault="00DE76C7" w:rsidP="000624E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s'applique aux dispositifs de balisage en matière plastique implantés verticalement, de manière permanente ou temporaire, et susceptibles d'être lestés afin d'améliorer leur stabilité. Sont exclus du domaine d'application :</w:t>
            </w:r>
          </w:p>
          <w:p w:rsidR="00DE76C7" w:rsidRPr="0043547B" w:rsidRDefault="00DE76C7" w:rsidP="000624E3">
            <w:pPr>
              <w:spacing w:after="0" w:line="240" w:lineRule="auto"/>
              <w:rPr>
                <w:rFonts w:eastAsia="Times New Roman" w:cstheme="minorHAnsi"/>
                <w:sz w:val="24"/>
                <w:szCs w:val="24"/>
                <w:lang w:eastAsia="fr-FR"/>
              </w:rPr>
            </w:pPr>
            <w:r w:rsidRPr="0043547B">
              <w:rPr>
                <w:rFonts w:eastAsia="Times New Roman" w:cstheme="minorHAnsi"/>
                <w:sz w:val="24"/>
                <w:szCs w:val="24"/>
                <w:lang w:eastAsia="fr-FR"/>
              </w:rPr>
              <w:t>-</w:t>
            </w:r>
            <w:r w:rsidR="000624E3" w:rsidRPr="0043547B">
              <w:rPr>
                <w:rFonts w:eastAsia="Times New Roman" w:cstheme="minorHAnsi"/>
                <w:sz w:val="24"/>
                <w:szCs w:val="24"/>
                <w:lang w:eastAsia="fr-FR"/>
              </w:rPr>
              <w:t xml:space="preserve"> </w:t>
            </w:r>
            <w:r w:rsidRPr="0043547B">
              <w:rPr>
                <w:rFonts w:eastAsia="Times New Roman" w:cstheme="minorHAnsi"/>
                <w:sz w:val="24"/>
                <w:szCs w:val="24"/>
                <w:lang w:eastAsia="fr-FR"/>
              </w:rPr>
              <w:t>les balises de virage (J1 et J4),</w:t>
            </w:r>
            <w:r w:rsidRPr="0043547B">
              <w:rPr>
                <w:rFonts w:eastAsia="Times New Roman" w:cstheme="minorHAnsi"/>
                <w:sz w:val="24"/>
                <w:szCs w:val="24"/>
                <w:lang w:eastAsia="fr-FR"/>
              </w:rPr>
              <w:br/>
              <w:t xml:space="preserve">- les balises </w:t>
            </w:r>
            <w:r w:rsidR="000624E3" w:rsidRPr="0043547B">
              <w:rPr>
                <w:rFonts w:eastAsia="Times New Roman" w:cstheme="minorHAnsi"/>
                <w:sz w:val="24"/>
                <w:szCs w:val="24"/>
                <w:lang w:eastAsia="fr-FR"/>
              </w:rPr>
              <w:t>d’intersection (</w:t>
            </w:r>
            <w:r w:rsidRPr="0043547B">
              <w:rPr>
                <w:rFonts w:eastAsia="Times New Roman" w:cstheme="minorHAnsi"/>
                <w:sz w:val="24"/>
                <w:szCs w:val="24"/>
                <w:lang w:eastAsia="fr-FR"/>
              </w:rPr>
              <w:t>J3),</w:t>
            </w:r>
            <w:r w:rsidRPr="0043547B">
              <w:rPr>
                <w:rFonts w:eastAsia="Times New Roman" w:cstheme="minorHAnsi"/>
                <w:sz w:val="24"/>
                <w:szCs w:val="24"/>
                <w:lang w:eastAsia="fr-FR"/>
              </w:rPr>
              <w:br/>
              <w:t>- les balises de contournement de tête d'îlot (J5),</w:t>
            </w:r>
            <w:r w:rsidRPr="0043547B">
              <w:rPr>
                <w:rFonts w:eastAsia="Times New Roman" w:cstheme="minorHAnsi"/>
                <w:sz w:val="24"/>
                <w:szCs w:val="24"/>
                <w:lang w:eastAsia="fr-FR"/>
              </w:rPr>
              <w:br/>
              <w:t>- les délinéateurs (J6),</w:t>
            </w:r>
            <w:r w:rsidRPr="0043547B">
              <w:rPr>
                <w:rFonts w:eastAsia="Times New Roman" w:cstheme="minorHAnsi"/>
                <w:sz w:val="24"/>
                <w:szCs w:val="24"/>
                <w:lang w:eastAsia="fr-FR"/>
              </w:rPr>
              <w:br/>
              <w:t>-</w:t>
            </w:r>
            <w:r w:rsidR="000624E3" w:rsidRPr="0043547B">
              <w:rPr>
                <w:rFonts w:eastAsia="Times New Roman" w:cstheme="minorHAnsi"/>
                <w:sz w:val="24"/>
                <w:szCs w:val="24"/>
                <w:lang w:eastAsia="fr-FR"/>
              </w:rPr>
              <w:t xml:space="preserve"> </w:t>
            </w:r>
            <w:r w:rsidRPr="0043547B">
              <w:rPr>
                <w:rFonts w:eastAsia="Times New Roman" w:cstheme="minorHAnsi"/>
                <w:sz w:val="24"/>
                <w:szCs w:val="24"/>
                <w:lang w:eastAsia="fr-FR"/>
              </w:rPr>
              <w:t>les dispositifs à pales et balises monolithiques 1l de signalisation de divergent,</w:t>
            </w:r>
            <w:r w:rsidRPr="0043547B">
              <w:rPr>
                <w:rFonts w:eastAsia="Times New Roman" w:cstheme="minorHAnsi"/>
                <w:sz w:val="24"/>
                <w:szCs w:val="24"/>
                <w:lang w:eastAsia="fr-FR"/>
              </w:rPr>
              <w:br/>
              <w:t>- les balises souples fixées au sol,</w:t>
            </w:r>
            <w:r w:rsidRPr="0043547B">
              <w:rPr>
                <w:rFonts w:eastAsia="Times New Roman" w:cstheme="minorHAnsi"/>
                <w:sz w:val="24"/>
                <w:szCs w:val="24"/>
                <w:lang w:eastAsia="fr-FR"/>
              </w:rPr>
              <w:br/>
              <w:t>- les dispositifs coniques K5a,</w:t>
            </w:r>
            <w:r w:rsidRPr="0043547B">
              <w:rPr>
                <w:rFonts w:eastAsia="Times New Roman" w:cstheme="minorHAnsi"/>
                <w:sz w:val="24"/>
                <w:szCs w:val="24"/>
                <w:lang w:eastAsia="fr-FR"/>
              </w:rPr>
              <w:br/>
              <w:t>- les balises matérialisant l'existence d'un vent latéral (J7).</w:t>
            </w:r>
          </w:p>
        </w:tc>
      </w:tr>
      <w:tr w:rsidR="0043547B" w:rsidRPr="0043547B" w:rsidTr="00542A0D">
        <w:trPr>
          <w:trHeight w:val="450"/>
          <w:jc w:val="center"/>
        </w:trPr>
        <w:tc>
          <w:tcPr>
            <w:tcW w:w="1838" w:type="dxa"/>
            <w:tcBorders>
              <w:top w:val="nil"/>
              <w:left w:val="single" w:sz="18" w:space="0" w:color="auto"/>
              <w:bottom w:val="single" w:sz="18" w:space="0" w:color="auto"/>
              <w:right w:val="single" w:sz="4" w:space="0" w:color="auto"/>
            </w:tcBorders>
            <w:shd w:val="clear" w:color="auto" w:fill="B0CA7C"/>
            <w:vAlign w:val="center"/>
          </w:tcPr>
          <w:p w:rsidR="00DE76C7" w:rsidRPr="0043547B" w:rsidRDefault="00DE76C7" w:rsidP="00A9259C">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single" w:sz="4" w:space="0" w:color="auto"/>
              <w:left w:val="single" w:sz="4" w:space="0" w:color="auto"/>
              <w:bottom w:val="single" w:sz="18" w:space="0" w:color="auto"/>
              <w:right w:val="single" w:sz="18" w:space="0" w:color="auto"/>
            </w:tcBorders>
            <w:shd w:val="clear" w:color="auto" w:fill="B0CA7C"/>
            <w:vAlign w:val="center"/>
          </w:tcPr>
          <w:p w:rsidR="00DE76C7" w:rsidRPr="0043547B" w:rsidRDefault="00DE76C7" w:rsidP="00A9259C">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10.9.316</w:t>
            </w:r>
          </w:p>
        </w:tc>
      </w:tr>
      <w:tr w:rsidR="0043547B" w:rsidRPr="0043547B" w:rsidTr="00542A0D">
        <w:trPr>
          <w:trHeight w:val="671"/>
          <w:jc w:val="center"/>
        </w:trPr>
        <w:tc>
          <w:tcPr>
            <w:tcW w:w="1838" w:type="dxa"/>
            <w:tcBorders>
              <w:top w:val="single" w:sz="6" w:space="0" w:color="auto"/>
              <w:left w:val="single" w:sz="18" w:space="0" w:color="auto"/>
              <w:bottom w:val="single" w:sz="6" w:space="0" w:color="auto"/>
              <w:right w:val="single" w:sz="4" w:space="0" w:color="auto"/>
            </w:tcBorders>
            <w:shd w:val="clear" w:color="auto" w:fill="95B3D7" w:themeFill="accent1" w:themeFillTint="99"/>
            <w:vAlign w:val="center"/>
          </w:tcPr>
          <w:p w:rsidR="00DE76C7" w:rsidRPr="0043547B" w:rsidRDefault="00DE76C7" w:rsidP="00A9259C">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6" w:space="0" w:color="auto"/>
              <w:left w:val="single" w:sz="4" w:space="0" w:color="auto"/>
              <w:bottom w:val="single" w:sz="6" w:space="0" w:color="auto"/>
              <w:right w:val="single" w:sz="18" w:space="0" w:color="auto"/>
            </w:tcBorders>
            <w:shd w:val="clear" w:color="000000" w:fill="FFFFFF"/>
            <w:vAlign w:val="center"/>
          </w:tcPr>
          <w:p w:rsidR="00DE76C7" w:rsidRPr="0043547B" w:rsidRDefault="00DE76C7" w:rsidP="00A9259C">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Equipements de la route - Balisage permanent et/ou temporaire - Balises souples fixées au sol - Caractéristiques, performances et essais ;</w:t>
            </w:r>
          </w:p>
        </w:tc>
      </w:tr>
      <w:tr w:rsidR="0043547B" w:rsidRPr="0043547B" w:rsidTr="00542A0D">
        <w:trPr>
          <w:trHeight w:val="838"/>
          <w:jc w:val="center"/>
        </w:trPr>
        <w:tc>
          <w:tcPr>
            <w:tcW w:w="1838" w:type="dxa"/>
            <w:tcBorders>
              <w:top w:val="single" w:sz="6" w:space="0" w:color="auto"/>
              <w:left w:val="single" w:sz="18" w:space="0" w:color="auto"/>
              <w:bottom w:val="single" w:sz="18" w:space="0" w:color="auto"/>
              <w:right w:val="single" w:sz="4" w:space="0" w:color="auto"/>
            </w:tcBorders>
            <w:shd w:val="clear" w:color="000000" w:fill="D9D9D9"/>
            <w:vAlign w:val="center"/>
          </w:tcPr>
          <w:p w:rsidR="00DE76C7" w:rsidRPr="0043547B" w:rsidRDefault="00DE76C7" w:rsidP="00A9259C">
            <w:pPr>
              <w:spacing w:after="0" w:line="240" w:lineRule="auto"/>
              <w:jc w:val="center"/>
              <w:rPr>
                <w:rFonts w:cstheme="minorHAnsi"/>
                <w:b/>
                <w:bCs/>
                <w:sz w:val="24"/>
                <w:szCs w:val="24"/>
              </w:rPr>
            </w:pPr>
            <w:r w:rsidRPr="0043547B">
              <w:rPr>
                <w:rFonts w:cstheme="minorHAnsi"/>
                <w:b/>
                <w:bCs/>
                <w:sz w:val="24"/>
                <w:szCs w:val="24"/>
              </w:rPr>
              <w:lastRenderedPageBreak/>
              <w:t>Domaine d’application :</w:t>
            </w:r>
          </w:p>
        </w:tc>
        <w:tc>
          <w:tcPr>
            <w:tcW w:w="7938" w:type="dxa"/>
            <w:tcBorders>
              <w:top w:val="single" w:sz="6" w:space="0" w:color="auto"/>
              <w:left w:val="single" w:sz="4" w:space="0" w:color="auto"/>
              <w:bottom w:val="single" w:sz="18" w:space="0" w:color="auto"/>
              <w:right w:val="single" w:sz="18" w:space="0" w:color="auto"/>
            </w:tcBorders>
            <w:shd w:val="clear" w:color="000000" w:fill="FFFFFF"/>
            <w:vAlign w:val="center"/>
          </w:tcPr>
          <w:p w:rsidR="000624E3" w:rsidRPr="0043547B" w:rsidRDefault="00DE76C7" w:rsidP="00A9259C">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expérimentale définit les caractéristiques</w:t>
            </w:r>
            <w:r w:rsidR="000624E3" w:rsidRPr="0043547B">
              <w:rPr>
                <w:rFonts w:eastAsia="Times New Roman" w:cstheme="minorHAnsi"/>
                <w:sz w:val="24"/>
                <w:szCs w:val="24"/>
                <w:lang w:eastAsia="fr-FR"/>
              </w:rPr>
              <w:t xml:space="preserve"> </w:t>
            </w:r>
            <w:r w:rsidRPr="0043547B">
              <w:rPr>
                <w:rFonts w:eastAsia="Times New Roman" w:cstheme="minorHAnsi"/>
                <w:sz w:val="24"/>
                <w:szCs w:val="24"/>
                <w:lang w:eastAsia="fr-FR"/>
              </w:rPr>
              <w:t>:</w:t>
            </w:r>
          </w:p>
          <w:p w:rsidR="000624E3" w:rsidRPr="0043547B" w:rsidRDefault="00DE76C7" w:rsidP="000624E3">
            <w:pPr>
              <w:spacing w:after="0" w:line="240" w:lineRule="auto"/>
              <w:rPr>
                <w:rFonts w:eastAsia="Times New Roman" w:cstheme="minorHAnsi"/>
                <w:sz w:val="24"/>
                <w:szCs w:val="24"/>
                <w:lang w:eastAsia="fr-FR"/>
              </w:rPr>
            </w:pPr>
            <w:r w:rsidRPr="0043547B">
              <w:rPr>
                <w:rFonts w:eastAsia="Times New Roman" w:cstheme="minorHAnsi"/>
                <w:sz w:val="24"/>
                <w:szCs w:val="24"/>
                <w:lang w:eastAsia="fr-FR"/>
              </w:rPr>
              <w:t>- géométriques.</w:t>
            </w:r>
            <w:r w:rsidRPr="0043547B">
              <w:rPr>
                <w:rFonts w:eastAsia="Times New Roman" w:cstheme="minorHAnsi"/>
                <w:sz w:val="24"/>
                <w:szCs w:val="24"/>
                <w:lang w:eastAsia="fr-FR"/>
              </w:rPr>
              <w:br/>
              <w:t>- calorimétriques,</w:t>
            </w:r>
            <w:r w:rsidRPr="0043547B">
              <w:rPr>
                <w:rFonts w:eastAsia="Times New Roman" w:cstheme="minorHAnsi"/>
                <w:sz w:val="24"/>
                <w:szCs w:val="24"/>
                <w:lang w:eastAsia="fr-FR"/>
              </w:rPr>
              <w:br/>
              <w:t>- photométriques,</w:t>
            </w:r>
            <w:r w:rsidRPr="0043547B">
              <w:rPr>
                <w:rFonts w:eastAsia="Times New Roman" w:cstheme="minorHAnsi"/>
                <w:sz w:val="24"/>
                <w:szCs w:val="24"/>
                <w:lang w:eastAsia="fr-FR"/>
              </w:rPr>
              <w:br/>
              <w:t>- mécaniques,</w:t>
            </w:r>
            <w:r w:rsidRPr="0043547B">
              <w:rPr>
                <w:rFonts w:eastAsia="Times New Roman" w:cstheme="minorHAnsi"/>
                <w:sz w:val="24"/>
                <w:szCs w:val="24"/>
                <w:lang w:eastAsia="fr-FR"/>
              </w:rPr>
              <w:br/>
              <w:t>-</w:t>
            </w:r>
            <w:r w:rsidR="000624E3" w:rsidRPr="0043547B">
              <w:rPr>
                <w:rFonts w:eastAsia="Times New Roman" w:cstheme="minorHAnsi"/>
                <w:sz w:val="24"/>
                <w:szCs w:val="24"/>
                <w:lang w:eastAsia="fr-FR"/>
              </w:rPr>
              <w:t xml:space="preserve"> </w:t>
            </w:r>
            <w:r w:rsidRPr="0043547B">
              <w:rPr>
                <w:rFonts w:eastAsia="Times New Roman" w:cstheme="minorHAnsi"/>
                <w:sz w:val="24"/>
                <w:szCs w:val="24"/>
                <w:lang w:eastAsia="fr-FR"/>
              </w:rPr>
              <w:t>de résistance au vieillissement, des balises souples fixées au sol.</w:t>
            </w:r>
          </w:p>
          <w:p w:rsidR="000624E3" w:rsidRPr="0043547B" w:rsidRDefault="00DE76C7" w:rsidP="000624E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spécifie par ailleurs les méthodes d'essais permettant de vérifier ces caractéristiques.</w:t>
            </w:r>
            <w:r w:rsidRPr="0043547B">
              <w:rPr>
                <w:rFonts w:eastAsia="Times New Roman" w:cstheme="minorHAnsi"/>
                <w:sz w:val="24"/>
                <w:szCs w:val="24"/>
                <w:lang w:eastAsia="fr-FR"/>
              </w:rPr>
              <w:br/>
              <w:t>Elle s'applique aux dispositifs de balisage implantés verticalement, de manière permanente ou tempo</w:t>
            </w:r>
            <w:r w:rsidRPr="0043547B">
              <w:rPr>
                <w:rFonts w:eastAsia="Times New Roman" w:cstheme="minorHAnsi"/>
                <w:sz w:val="24"/>
                <w:szCs w:val="24"/>
                <w:lang w:eastAsia="fr-FR"/>
              </w:rPr>
              <w:softHyphen/>
              <w:t xml:space="preserve"> raire, et susceptibles de ne pas présenter de déformation irréversible après chocs en axe ou passages de roues.</w:t>
            </w:r>
          </w:p>
          <w:p w:rsidR="000624E3" w:rsidRPr="0043547B" w:rsidRDefault="00DE76C7" w:rsidP="000624E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Sont exclus du domaine d'application :</w:t>
            </w:r>
          </w:p>
          <w:p w:rsidR="00DE76C7" w:rsidRPr="0043547B" w:rsidRDefault="00DE76C7" w:rsidP="000624E3">
            <w:pPr>
              <w:spacing w:after="0" w:line="240" w:lineRule="auto"/>
              <w:rPr>
                <w:rFonts w:eastAsia="Times New Roman" w:cstheme="minorHAnsi"/>
                <w:sz w:val="24"/>
                <w:szCs w:val="24"/>
                <w:lang w:eastAsia="fr-FR"/>
              </w:rPr>
            </w:pPr>
            <w:r w:rsidRPr="0043547B">
              <w:rPr>
                <w:rFonts w:eastAsia="Times New Roman" w:cstheme="minorHAnsi"/>
                <w:sz w:val="24"/>
                <w:szCs w:val="24"/>
                <w:lang w:eastAsia="fr-FR"/>
              </w:rPr>
              <w:t>-</w:t>
            </w:r>
            <w:r w:rsidR="000624E3" w:rsidRPr="0043547B">
              <w:rPr>
                <w:rFonts w:eastAsia="Times New Roman" w:cstheme="minorHAnsi"/>
                <w:sz w:val="24"/>
                <w:szCs w:val="24"/>
                <w:lang w:eastAsia="fr-FR"/>
              </w:rPr>
              <w:t xml:space="preserve"> </w:t>
            </w:r>
            <w:r w:rsidRPr="0043547B">
              <w:rPr>
                <w:rFonts w:eastAsia="Times New Roman" w:cstheme="minorHAnsi"/>
                <w:sz w:val="24"/>
                <w:szCs w:val="24"/>
                <w:lang w:eastAsia="fr-FR"/>
              </w:rPr>
              <w:t>les balises de virage (J1 et J4),</w:t>
            </w:r>
            <w:r w:rsidRPr="0043547B">
              <w:rPr>
                <w:rFonts w:eastAsia="Times New Roman" w:cstheme="minorHAnsi"/>
                <w:sz w:val="24"/>
                <w:szCs w:val="24"/>
                <w:lang w:eastAsia="fr-FR"/>
              </w:rPr>
              <w:br/>
              <w:t xml:space="preserve">- les balises </w:t>
            </w:r>
            <w:r w:rsidR="000624E3" w:rsidRPr="0043547B">
              <w:rPr>
                <w:rFonts w:eastAsia="Times New Roman" w:cstheme="minorHAnsi"/>
                <w:sz w:val="24"/>
                <w:szCs w:val="24"/>
                <w:lang w:eastAsia="fr-FR"/>
              </w:rPr>
              <w:t>d’intersection (</w:t>
            </w:r>
            <w:r w:rsidRPr="0043547B">
              <w:rPr>
                <w:rFonts w:eastAsia="Times New Roman" w:cstheme="minorHAnsi"/>
                <w:sz w:val="24"/>
                <w:szCs w:val="24"/>
                <w:lang w:eastAsia="fr-FR"/>
              </w:rPr>
              <w:t>J3).</w:t>
            </w:r>
            <w:r w:rsidRPr="0043547B">
              <w:rPr>
                <w:rFonts w:eastAsia="Times New Roman" w:cstheme="minorHAnsi"/>
                <w:sz w:val="24"/>
                <w:szCs w:val="24"/>
                <w:lang w:eastAsia="fr-FR"/>
              </w:rPr>
              <w:br/>
              <w:t>- les balises de contournement de tête d'îlot (J5),</w:t>
            </w:r>
            <w:r w:rsidRPr="0043547B">
              <w:rPr>
                <w:rFonts w:eastAsia="Times New Roman" w:cstheme="minorHAnsi"/>
                <w:sz w:val="24"/>
                <w:szCs w:val="24"/>
                <w:lang w:eastAsia="fr-FR"/>
              </w:rPr>
              <w:br/>
              <w:t>- les délinéateurs (J6),</w:t>
            </w:r>
            <w:r w:rsidRPr="0043547B">
              <w:rPr>
                <w:rFonts w:eastAsia="Times New Roman" w:cstheme="minorHAnsi"/>
                <w:sz w:val="24"/>
                <w:szCs w:val="24"/>
                <w:lang w:eastAsia="fr-FR"/>
              </w:rPr>
              <w:br/>
              <w:t>- les dispositifs à pales et balises monolithiques de signalisation de divergent.</w:t>
            </w:r>
            <w:r w:rsidRPr="0043547B">
              <w:rPr>
                <w:rFonts w:eastAsia="Times New Roman" w:cstheme="minorHAnsi"/>
                <w:sz w:val="24"/>
                <w:szCs w:val="24"/>
                <w:lang w:eastAsia="fr-FR"/>
              </w:rPr>
              <w:br/>
              <w:t>-</w:t>
            </w:r>
            <w:r w:rsidR="000624E3" w:rsidRPr="0043547B">
              <w:rPr>
                <w:rFonts w:eastAsia="Times New Roman" w:cstheme="minorHAnsi"/>
                <w:sz w:val="24"/>
                <w:szCs w:val="24"/>
                <w:lang w:eastAsia="fr-FR"/>
              </w:rPr>
              <w:t xml:space="preserve"> </w:t>
            </w:r>
            <w:r w:rsidRPr="0043547B">
              <w:rPr>
                <w:rFonts w:eastAsia="Times New Roman" w:cstheme="minorHAnsi"/>
                <w:sz w:val="24"/>
                <w:szCs w:val="24"/>
                <w:lang w:eastAsia="fr-FR"/>
              </w:rPr>
              <w:t xml:space="preserve">les balises </w:t>
            </w:r>
            <w:r w:rsidR="000624E3" w:rsidRPr="0043547B">
              <w:rPr>
                <w:rFonts w:eastAsia="Times New Roman" w:cstheme="minorHAnsi"/>
                <w:sz w:val="24"/>
                <w:szCs w:val="24"/>
                <w:lang w:eastAsia="fr-FR"/>
              </w:rPr>
              <w:t>d</w:t>
            </w:r>
            <w:r w:rsidRPr="0043547B">
              <w:rPr>
                <w:rFonts w:eastAsia="Times New Roman" w:cstheme="minorHAnsi"/>
                <w:sz w:val="24"/>
                <w:szCs w:val="24"/>
                <w:lang w:eastAsia="fr-FR"/>
              </w:rPr>
              <w:t>e</w:t>
            </w:r>
            <w:r w:rsidR="000624E3" w:rsidRPr="0043547B">
              <w:rPr>
                <w:rFonts w:eastAsia="Times New Roman" w:cstheme="minorHAnsi"/>
                <w:sz w:val="24"/>
                <w:szCs w:val="24"/>
                <w:lang w:eastAsia="fr-FR"/>
              </w:rPr>
              <w:t xml:space="preserve"> </w:t>
            </w:r>
            <w:r w:rsidRPr="0043547B">
              <w:rPr>
                <w:rFonts w:eastAsia="Times New Roman" w:cstheme="minorHAnsi"/>
                <w:sz w:val="24"/>
                <w:szCs w:val="24"/>
                <w:lang w:eastAsia="fr-FR"/>
              </w:rPr>
              <w:t>stables,</w:t>
            </w:r>
            <w:r w:rsidRPr="0043547B">
              <w:rPr>
                <w:rFonts w:eastAsia="Times New Roman" w:cstheme="minorHAnsi"/>
                <w:sz w:val="24"/>
                <w:szCs w:val="24"/>
                <w:lang w:eastAsia="fr-FR"/>
              </w:rPr>
              <w:br/>
              <w:t>- les dispositifs coniques K5a,</w:t>
            </w:r>
            <w:r w:rsidRPr="0043547B">
              <w:rPr>
                <w:rFonts w:eastAsia="Times New Roman" w:cstheme="minorHAnsi"/>
                <w:sz w:val="24"/>
                <w:szCs w:val="24"/>
                <w:lang w:eastAsia="fr-FR"/>
              </w:rPr>
              <w:br/>
              <w:t>- les balises matérialisant l'existence d'un vent latéral (J7).</w:t>
            </w:r>
          </w:p>
        </w:tc>
      </w:tr>
      <w:tr w:rsidR="0043547B" w:rsidRPr="0043547B" w:rsidTr="00542A0D">
        <w:trPr>
          <w:trHeight w:val="406"/>
          <w:jc w:val="center"/>
        </w:trPr>
        <w:tc>
          <w:tcPr>
            <w:tcW w:w="1838" w:type="dxa"/>
            <w:tcBorders>
              <w:top w:val="nil"/>
              <w:left w:val="single" w:sz="18" w:space="0" w:color="auto"/>
              <w:bottom w:val="single" w:sz="18" w:space="0" w:color="auto"/>
              <w:right w:val="single" w:sz="4" w:space="0" w:color="auto"/>
            </w:tcBorders>
            <w:shd w:val="clear" w:color="auto" w:fill="B0CA7C"/>
            <w:vAlign w:val="center"/>
          </w:tcPr>
          <w:p w:rsidR="00DE76C7" w:rsidRPr="0043547B" w:rsidRDefault="00DE76C7" w:rsidP="00A9259C">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single" w:sz="4" w:space="0" w:color="auto"/>
              <w:left w:val="single" w:sz="4" w:space="0" w:color="auto"/>
              <w:bottom w:val="single" w:sz="18" w:space="0" w:color="auto"/>
              <w:right w:val="single" w:sz="18" w:space="0" w:color="auto"/>
            </w:tcBorders>
            <w:shd w:val="clear" w:color="auto" w:fill="B0CA7C"/>
            <w:vAlign w:val="center"/>
          </w:tcPr>
          <w:p w:rsidR="00DE76C7" w:rsidRPr="0043547B" w:rsidRDefault="00DE76C7" w:rsidP="00A9259C">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10.9.317</w:t>
            </w:r>
          </w:p>
        </w:tc>
      </w:tr>
      <w:tr w:rsidR="0043547B" w:rsidRPr="0043547B" w:rsidTr="00542A0D">
        <w:trPr>
          <w:trHeight w:val="320"/>
          <w:jc w:val="center"/>
        </w:trPr>
        <w:tc>
          <w:tcPr>
            <w:tcW w:w="1838" w:type="dxa"/>
            <w:tcBorders>
              <w:top w:val="nil"/>
              <w:left w:val="single" w:sz="18" w:space="0" w:color="auto"/>
              <w:bottom w:val="single" w:sz="18" w:space="0" w:color="auto"/>
              <w:right w:val="single" w:sz="4" w:space="0" w:color="auto"/>
            </w:tcBorders>
            <w:shd w:val="clear" w:color="auto" w:fill="95B3D7" w:themeFill="accent1" w:themeFillTint="99"/>
            <w:vAlign w:val="center"/>
          </w:tcPr>
          <w:p w:rsidR="00DE76C7" w:rsidRPr="0043547B" w:rsidRDefault="00DE76C7" w:rsidP="00A9259C">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18" w:space="0" w:color="auto"/>
              <w:right w:val="single" w:sz="18" w:space="0" w:color="auto"/>
            </w:tcBorders>
            <w:shd w:val="clear" w:color="000000" w:fill="FFFFFF"/>
            <w:vAlign w:val="center"/>
          </w:tcPr>
          <w:p w:rsidR="00DE76C7" w:rsidRPr="0043547B" w:rsidRDefault="00DE76C7" w:rsidP="00A9259C">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Equipements de la route - Balisage temporaire - Balises de guidage en matière plastique - Caractéristiques, performances et essais ;</w:t>
            </w:r>
          </w:p>
        </w:tc>
      </w:tr>
      <w:tr w:rsidR="0043547B" w:rsidRPr="0043547B" w:rsidTr="00542A0D">
        <w:trPr>
          <w:trHeight w:val="1261"/>
          <w:jc w:val="center"/>
        </w:trPr>
        <w:tc>
          <w:tcPr>
            <w:tcW w:w="1838" w:type="dxa"/>
            <w:tcBorders>
              <w:top w:val="nil"/>
              <w:left w:val="single" w:sz="18" w:space="0" w:color="auto"/>
              <w:bottom w:val="single" w:sz="18" w:space="0" w:color="auto"/>
              <w:right w:val="single" w:sz="4" w:space="0" w:color="auto"/>
            </w:tcBorders>
            <w:shd w:val="clear" w:color="000000" w:fill="D9D9D9"/>
            <w:vAlign w:val="center"/>
          </w:tcPr>
          <w:p w:rsidR="00DE76C7" w:rsidRPr="0043547B" w:rsidRDefault="00DE76C7" w:rsidP="00A9259C">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000000" w:fill="FFFFFF"/>
            <w:vAlign w:val="center"/>
          </w:tcPr>
          <w:p w:rsidR="000624E3" w:rsidRPr="0043547B" w:rsidRDefault="00DE76C7" w:rsidP="002B4137">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expérimentale définit les caractéristiques géométriques, colorimétriques, photométriques et</w:t>
            </w:r>
            <w:r w:rsidR="002B4137" w:rsidRPr="0043547B">
              <w:rPr>
                <w:rFonts w:eastAsia="Times New Roman" w:cstheme="minorHAnsi"/>
                <w:sz w:val="24"/>
                <w:szCs w:val="24"/>
                <w:lang w:eastAsia="fr-FR"/>
              </w:rPr>
              <w:t xml:space="preserve"> </w:t>
            </w:r>
            <w:r w:rsidRPr="0043547B">
              <w:rPr>
                <w:rFonts w:eastAsia="Times New Roman" w:cstheme="minorHAnsi"/>
                <w:sz w:val="24"/>
                <w:szCs w:val="24"/>
                <w:lang w:eastAsia="fr-FR"/>
              </w:rPr>
              <w:t>mécaniques des balises de guidage de type K5d en matière plastique ainsi que les performances de durabilité</w:t>
            </w:r>
            <w:r w:rsidR="002B4137" w:rsidRPr="0043547B">
              <w:rPr>
                <w:rFonts w:eastAsia="Times New Roman" w:cstheme="minorHAnsi"/>
                <w:sz w:val="24"/>
                <w:szCs w:val="24"/>
                <w:lang w:eastAsia="fr-FR"/>
              </w:rPr>
              <w:t xml:space="preserve"> </w:t>
            </w:r>
            <w:r w:rsidRPr="0043547B">
              <w:rPr>
                <w:rFonts w:eastAsia="Times New Roman" w:cstheme="minorHAnsi"/>
                <w:sz w:val="24"/>
                <w:szCs w:val="24"/>
                <w:lang w:eastAsia="fr-FR"/>
              </w:rPr>
              <w:t>qu'elles doivent atteindre pour remplir les fonctions qui leur sont assignées.</w:t>
            </w:r>
          </w:p>
          <w:p w:rsidR="000624E3" w:rsidRPr="0043547B" w:rsidRDefault="00DE76C7" w:rsidP="002B4137">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spécifie par ailleurs les méthodes d'essais permettant de vérifier ces caractéristiques.</w:t>
            </w:r>
            <w:r w:rsidRPr="0043547B">
              <w:rPr>
                <w:rFonts w:eastAsia="Times New Roman" w:cstheme="minorHAnsi"/>
                <w:sz w:val="24"/>
                <w:szCs w:val="24"/>
                <w:lang w:eastAsia="fr-FR"/>
              </w:rPr>
              <w:br/>
              <w:t>Sont exclus du domaine d’application :</w:t>
            </w:r>
          </w:p>
          <w:p w:rsidR="00DE76C7" w:rsidRPr="0043547B" w:rsidRDefault="00DE76C7" w:rsidP="000624E3">
            <w:pPr>
              <w:spacing w:after="0" w:line="240" w:lineRule="auto"/>
              <w:rPr>
                <w:rFonts w:eastAsia="Times New Roman" w:cstheme="minorHAnsi"/>
                <w:sz w:val="24"/>
                <w:szCs w:val="24"/>
                <w:lang w:eastAsia="fr-FR"/>
              </w:rPr>
            </w:pPr>
            <w:r w:rsidRPr="0043547B">
              <w:rPr>
                <w:rFonts w:eastAsia="Times New Roman" w:cstheme="minorHAnsi"/>
                <w:sz w:val="24"/>
                <w:szCs w:val="24"/>
                <w:lang w:eastAsia="fr-FR"/>
              </w:rPr>
              <w:t>— les dispositifs coniques K5a ;</w:t>
            </w:r>
            <w:r w:rsidRPr="0043547B">
              <w:rPr>
                <w:rFonts w:eastAsia="Times New Roman" w:cstheme="minorHAnsi"/>
                <w:sz w:val="24"/>
                <w:szCs w:val="24"/>
                <w:lang w:eastAsia="fr-FR"/>
              </w:rPr>
              <w:br/>
              <w:t>— les piquets K5b ;</w:t>
            </w:r>
            <w:r w:rsidRPr="0043547B">
              <w:rPr>
                <w:rFonts w:eastAsia="Times New Roman" w:cstheme="minorHAnsi"/>
                <w:sz w:val="24"/>
                <w:szCs w:val="24"/>
                <w:lang w:eastAsia="fr-FR"/>
              </w:rPr>
              <w:br/>
              <w:t>— les balises d’alignement K5c.</w:t>
            </w:r>
            <w:r w:rsidRPr="0043547B">
              <w:rPr>
                <w:rFonts w:eastAsia="Times New Roman" w:cstheme="minorHAnsi"/>
                <w:sz w:val="24"/>
                <w:szCs w:val="24"/>
                <w:lang w:eastAsia="fr-FR"/>
              </w:rPr>
              <w:br/>
              <w:t>Elle concerne deux modèles de balise de guidage :</w:t>
            </w:r>
            <w:r w:rsidRPr="0043547B">
              <w:rPr>
                <w:rFonts w:eastAsia="Times New Roman" w:cstheme="minorHAnsi"/>
                <w:sz w:val="24"/>
                <w:szCs w:val="24"/>
                <w:lang w:eastAsia="fr-FR"/>
              </w:rPr>
              <w:br/>
              <w:t>— Modèle S : balises souples fixées au sol dont les caractéristiques sont décrites dans la norme P 98 583 ;</w:t>
            </w:r>
            <w:r w:rsidRPr="0043547B">
              <w:rPr>
                <w:rFonts w:eastAsia="Times New Roman" w:cstheme="minorHAnsi"/>
                <w:sz w:val="24"/>
                <w:szCs w:val="24"/>
                <w:lang w:eastAsia="fr-FR"/>
              </w:rPr>
              <w:br/>
              <w:t>— Modèle L : balises lestables en matière plastique dont les caractéristiques sont décrites dans la norme</w:t>
            </w:r>
            <w:r w:rsidR="000624E3" w:rsidRPr="0043547B">
              <w:rPr>
                <w:rFonts w:eastAsia="Times New Roman" w:cstheme="minorHAnsi"/>
                <w:sz w:val="24"/>
                <w:szCs w:val="24"/>
                <w:lang w:eastAsia="fr-FR"/>
              </w:rPr>
              <w:t xml:space="preserve"> </w:t>
            </w:r>
            <w:r w:rsidRPr="0043547B">
              <w:rPr>
                <w:rFonts w:eastAsia="Times New Roman" w:cstheme="minorHAnsi"/>
                <w:sz w:val="24"/>
                <w:szCs w:val="24"/>
                <w:lang w:eastAsia="fr-FR"/>
              </w:rPr>
              <w:t>P 98-584</w:t>
            </w:r>
          </w:p>
        </w:tc>
      </w:tr>
      <w:tr w:rsidR="0043547B" w:rsidRPr="0043547B" w:rsidTr="00542A0D">
        <w:trPr>
          <w:trHeight w:val="316"/>
          <w:jc w:val="center"/>
        </w:trPr>
        <w:tc>
          <w:tcPr>
            <w:tcW w:w="1838" w:type="dxa"/>
            <w:tcBorders>
              <w:top w:val="nil"/>
              <w:left w:val="single" w:sz="18" w:space="0" w:color="auto"/>
              <w:bottom w:val="single" w:sz="18" w:space="0" w:color="auto"/>
              <w:right w:val="single" w:sz="4" w:space="0" w:color="auto"/>
            </w:tcBorders>
            <w:shd w:val="clear" w:color="auto" w:fill="B0CA7C"/>
            <w:vAlign w:val="center"/>
          </w:tcPr>
          <w:p w:rsidR="00DE76C7" w:rsidRPr="0043547B" w:rsidRDefault="00DE76C7" w:rsidP="00A9259C">
            <w:pPr>
              <w:spacing w:after="0" w:line="240" w:lineRule="auto"/>
              <w:jc w:val="center"/>
              <w:rPr>
                <w:rFonts w:cstheme="minorHAnsi"/>
                <w:b/>
                <w:bCs/>
                <w:sz w:val="24"/>
                <w:szCs w:val="24"/>
              </w:rPr>
            </w:pPr>
            <w:r w:rsidRPr="0043547B">
              <w:rPr>
                <w:rFonts w:cstheme="minorHAnsi"/>
                <w:b/>
                <w:bCs/>
                <w:sz w:val="24"/>
                <w:szCs w:val="24"/>
              </w:rPr>
              <w:t>Code</w:t>
            </w:r>
            <w:r w:rsidR="00A9259C" w:rsidRPr="0043547B">
              <w:rPr>
                <w:rFonts w:cstheme="minorHAnsi"/>
                <w:b/>
                <w:bCs/>
                <w:sz w:val="24"/>
                <w:szCs w:val="24"/>
              </w:rPr>
              <w:t xml:space="preserve"> </w:t>
            </w:r>
            <w:r w:rsidRPr="0043547B">
              <w:rPr>
                <w:rFonts w:cstheme="minorHAnsi"/>
                <w:b/>
                <w:bCs/>
                <w:sz w:val="24"/>
                <w:szCs w:val="24"/>
              </w:rPr>
              <w:t>:</w:t>
            </w:r>
          </w:p>
        </w:tc>
        <w:tc>
          <w:tcPr>
            <w:tcW w:w="7938" w:type="dxa"/>
            <w:tcBorders>
              <w:top w:val="single" w:sz="4" w:space="0" w:color="auto"/>
              <w:left w:val="single" w:sz="4" w:space="0" w:color="auto"/>
              <w:bottom w:val="single" w:sz="18" w:space="0" w:color="auto"/>
              <w:right w:val="single" w:sz="18" w:space="0" w:color="auto"/>
            </w:tcBorders>
            <w:shd w:val="clear" w:color="auto" w:fill="B0CA7C"/>
            <w:vAlign w:val="center"/>
          </w:tcPr>
          <w:p w:rsidR="00DE76C7" w:rsidRPr="0043547B" w:rsidRDefault="00DE76C7" w:rsidP="00A9259C">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10.9.318</w:t>
            </w:r>
          </w:p>
        </w:tc>
      </w:tr>
      <w:tr w:rsidR="0043547B" w:rsidRPr="0043547B" w:rsidTr="00542A0D">
        <w:trPr>
          <w:trHeight w:val="666"/>
          <w:jc w:val="center"/>
        </w:trPr>
        <w:tc>
          <w:tcPr>
            <w:tcW w:w="1838" w:type="dxa"/>
            <w:tcBorders>
              <w:top w:val="single" w:sz="6" w:space="0" w:color="auto"/>
              <w:left w:val="single" w:sz="18" w:space="0" w:color="auto"/>
              <w:bottom w:val="single" w:sz="6" w:space="0" w:color="auto"/>
              <w:right w:val="single" w:sz="4" w:space="0" w:color="auto"/>
            </w:tcBorders>
            <w:shd w:val="clear" w:color="auto" w:fill="95B3D7" w:themeFill="accent1" w:themeFillTint="99"/>
            <w:vAlign w:val="center"/>
          </w:tcPr>
          <w:p w:rsidR="00DE76C7" w:rsidRPr="0043547B" w:rsidRDefault="00DE76C7" w:rsidP="00A9259C">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6" w:space="0" w:color="auto"/>
              <w:left w:val="single" w:sz="4" w:space="0" w:color="auto"/>
              <w:bottom w:val="single" w:sz="6" w:space="0" w:color="auto"/>
              <w:right w:val="single" w:sz="18" w:space="0" w:color="auto"/>
            </w:tcBorders>
            <w:shd w:val="clear" w:color="000000" w:fill="FFFFFF"/>
            <w:vAlign w:val="center"/>
          </w:tcPr>
          <w:p w:rsidR="00DE76C7" w:rsidRPr="0043547B" w:rsidRDefault="00DE76C7" w:rsidP="00A9259C">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Equipements de la route - Balisage temporaire - Séparateurs modulaires de voies en matière plastique - Caractéristiques et spécifications ;</w:t>
            </w:r>
          </w:p>
        </w:tc>
      </w:tr>
      <w:tr w:rsidR="0043547B" w:rsidRPr="0043547B" w:rsidTr="00542A0D">
        <w:trPr>
          <w:trHeight w:val="938"/>
          <w:jc w:val="center"/>
        </w:trPr>
        <w:tc>
          <w:tcPr>
            <w:tcW w:w="1838" w:type="dxa"/>
            <w:tcBorders>
              <w:top w:val="single" w:sz="6" w:space="0" w:color="auto"/>
              <w:left w:val="single" w:sz="18" w:space="0" w:color="auto"/>
              <w:bottom w:val="single" w:sz="18" w:space="0" w:color="auto"/>
              <w:right w:val="single" w:sz="4" w:space="0" w:color="auto"/>
            </w:tcBorders>
            <w:shd w:val="clear" w:color="000000" w:fill="D9D9D9"/>
            <w:vAlign w:val="center"/>
          </w:tcPr>
          <w:p w:rsidR="00DE76C7" w:rsidRPr="0043547B" w:rsidRDefault="00DE76C7" w:rsidP="00A9259C">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6" w:space="0" w:color="auto"/>
              <w:left w:val="single" w:sz="4" w:space="0" w:color="auto"/>
              <w:bottom w:val="single" w:sz="18" w:space="0" w:color="auto"/>
              <w:right w:val="single" w:sz="18" w:space="0" w:color="auto"/>
            </w:tcBorders>
            <w:shd w:val="clear" w:color="000000" w:fill="FFFFFF"/>
            <w:vAlign w:val="center"/>
          </w:tcPr>
          <w:p w:rsidR="00DE76C7" w:rsidRPr="0043547B" w:rsidRDefault="00DE76C7" w:rsidP="00A9259C">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 document s'applique aux séparateurs modulaires de voies en matière plastique et a pour objet de définir les spécifications auxquelles doivent satisfaire ces dispositifs ainsi que les méthodes d'essai correspondantes</w:t>
            </w:r>
          </w:p>
        </w:tc>
      </w:tr>
      <w:tr w:rsidR="0043547B" w:rsidRPr="0043547B" w:rsidTr="00542A0D">
        <w:trPr>
          <w:trHeight w:val="424"/>
          <w:jc w:val="center"/>
        </w:trPr>
        <w:tc>
          <w:tcPr>
            <w:tcW w:w="1838" w:type="dxa"/>
            <w:tcBorders>
              <w:top w:val="nil"/>
              <w:left w:val="single" w:sz="18" w:space="0" w:color="auto"/>
              <w:bottom w:val="single" w:sz="18" w:space="0" w:color="auto"/>
              <w:right w:val="single" w:sz="4" w:space="0" w:color="auto"/>
            </w:tcBorders>
            <w:shd w:val="clear" w:color="auto" w:fill="B0CA7C"/>
            <w:vAlign w:val="center"/>
          </w:tcPr>
          <w:p w:rsidR="00DE76C7" w:rsidRPr="0043547B" w:rsidRDefault="00DE76C7" w:rsidP="00A9259C">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single" w:sz="4" w:space="0" w:color="auto"/>
              <w:left w:val="single" w:sz="4" w:space="0" w:color="auto"/>
              <w:bottom w:val="single" w:sz="18" w:space="0" w:color="auto"/>
              <w:right w:val="single" w:sz="18" w:space="0" w:color="auto"/>
            </w:tcBorders>
            <w:shd w:val="clear" w:color="auto" w:fill="B0CA7C"/>
            <w:vAlign w:val="center"/>
          </w:tcPr>
          <w:p w:rsidR="00DE76C7" w:rsidRPr="0043547B" w:rsidRDefault="00DE76C7" w:rsidP="00A9259C">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10.9.319</w:t>
            </w:r>
          </w:p>
        </w:tc>
      </w:tr>
      <w:tr w:rsidR="0043547B" w:rsidRPr="0043547B" w:rsidTr="00542A0D">
        <w:trPr>
          <w:trHeight w:val="693"/>
          <w:jc w:val="center"/>
        </w:trPr>
        <w:tc>
          <w:tcPr>
            <w:tcW w:w="1838" w:type="dxa"/>
            <w:tcBorders>
              <w:top w:val="single" w:sz="6" w:space="0" w:color="auto"/>
              <w:left w:val="single" w:sz="18" w:space="0" w:color="auto"/>
              <w:bottom w:val="single" w:sz="6" w:space="0" w:color="auto"/>
              <w:right w:val="single" w:sz="4" w:space="0" w:color="auto"/>
            </w:tcBorders>
            <w:shd w:val="clear" w:color="auto" w:fill="95B3D7" w:themeFill="accent1" w:themeFillTint="99"/>
            <w:vAlign w:val="center"/>
          </w:tcPr>
          <w:p w:rsidR="00DE76C7" w:rsidRPr="0043547B" w:rsidRDefault="00DE76C7" w:rsidP="00A9259C">
            <w:pPr>
              <w:spacing w:after="0" w:line="240" w:lineRule="auto"/>
              <w:jc w:val="center"/>
              <w:rPr>
                <w:rFonts w:cstheme="minorHAnsi"/>
                <w:b/>
                <w:bCs/>
                <w:sz w:val="24"/>
                <w:szCs w:val="24"/>
              </w:rPr>
            </w:pPr>
            <w:r w:rsidRPr="0043547B">
              <w:rPr>
                <w:rFonts w:cstheme="minorHAnsi"/>
                <w:b/>
                <w:bCs/>
                <w:sz w:val="24"/>
                <w:szCs w:val="24"/>
              </w:rPr>
              <w:lastRenderedPageBreak/>
              <w:t>Intitulé :</w:t>
            </w:r>
          </w:p>
        </w:tc>
        <w:tc>
          <w:tcPr>
            <w:tcW w:w="7938" w:type="dxa"/>
            <w:tcBorders>
              <w:top w:val="single" w:sz="6" w:space="0" w:color="auto"/>
              <w:left w:val="single" w:sz="4" w:space="0" w:color="auto"/>
              <w:bottom w:val="single" w:sz="6" w:space="0" w:color="auto"/>
              <w:right w:val="single" w:sz="18" w:space="0" w:color="auto"/>
            </w:tcBorders>
            <w:shd w:val="clear" w:color="000000" w:fill="FFFFFF"/>
            <w:vAlign w:val="center"/>
          </w:tcPr>
          <w:p w:rsidR="00DE76C7" w:rsidRPr="0043547B" w:rsidRDefault="00DE76C7" w:rsidP="00A9259C">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Equipements de la route - Visualisation du balisage des obstacles et dangers temporaires - caractéristiques colorimétrique des produits fluorescents et/ou rétro réfléchissants ;</w:t>
            </w:r>
          </w:p>
        </w:tc>
      </w:tr>
      <w:tr w:rsidR="0043547B" w:rsidRPr="0043547B" w:rsidTr="00542A0D">
        <w:trPr>
          <w:trHeight w:val="1261"/>
          <w:jc w:val="center"/>
        </w:trPr>
        <w:tc>
          <w:tcPr>
            <w:tcW w:w="1838" w:type="dxa"/>
            <w:tcBorders>
              <w:top w:val="single" w:sz="6" w:space="0" w:color="auto"/>
              <w:left w:val="single" w:sz="18" w:space="0" w:color="auto"/>
              <w:bottom w:val="single" w:sz="18" w:space="0" w:color="auto"/>
              <w:right w:val="single" w:sz="4" w:space="0" w:color="auto"/>
            </w:tcBorders>
            <w:shd w:val="clear" w:color="000000" w:fill="D9D9D9"/>
            <w:vAlign w:val="center"/>
          </w:tcPr>
          <w:p w:rsidR="00DE76C7" w:rsidRPr="0043547B" w:rsidRDefault="00DE76C7" w:rsidP="00A9259C">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6" w:space="0" w:color="auto"/>
              <w:left w:val="single" w:sz="4" w:space="0" w:color="auto"/>
              <w:bottom w:val="single" w:sz="18" w:space="0" w:color="auto"/>
              <w:right w:val="single" w:sz="18" w:space="0" w:color="auto"/>
            </w:tcBorders>
            <w:shd w:val="clear" w:color="000000" w:fill="FFFFFF"/>
            <w:vAlign w:val="center"/>
          </w:tcPr>
          <w:p w:rsidR="002B4137" w:rsidRPr="0043547B" w:rsidRDefault="00DE76C7" w:rsidP="00A9259C">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spécifie les caractéristiques calorimétriques et photométriques des produits fluores</w:t>
            </w:r>
            <w:r w:rsidRPr="0043547B">
              <w:rPr>
                <w:rFonts w:eastAsia="Times New Roman" w:cstheme="minorHAnsi"/>
                <w:sz w:val="24"/>
                <w:szCs w:val="24"/>
                <w:lang w:eastAsia="fr-FR"/>
              </w:rPr>
              <w:softHyphen/>
              <w:t xml:space="preserve"> cents et/ou rétroréfléchissants entrant dans la fabrication du matériel de balisage destiné à améliorer, par une visualisation des obstacles et des dangers temporaires, la sécu</w:t>
            </w:r>
            <w:r w:rsidR="002B4137" w:rsidRPr="0043547B">
              <w:rPr>
                <w:rFonts w:eastAsia="Times New Roman" w:cstheme="minorHAnsi"/>
                <w:sz w:val="24"/>
                <w:szCs w:val="24"/>
                <w:lang w:eastAsia="fr-FR"/>
              </w:rPr>
              <w:t>rité des personnels et des usa</w:t>
            </w:r>
            <w:r w:rsidR="002B4137" w:rsidRPr="0043547B">
              <w:rPr>
                <w:rFonts w:eastAsia="Times New Roman" w:cstheme="minorHAnsi"/>
                <w:sz w:val="24"/>
                <w:szCs w:val="24"/>
                <w:lang w:eastAsia="fr-FR"/>
              </w:rPr>
              <w:softHyphen/>
            </w:r>
            <w:r w:rsidRPr="0043547B">
              <w:rPr>
                <w:rFonts w:eastAsia="Times New Roman" w:cstheme="minorHAnsi"/>
                <w:sz w:val="24"/>
                <w:szCs w:val="24"/>
                <w:lang w:eastAsia="fr-FR"/>
              </w:rPr>
              <w:t>gers de la route.</w:t>
            </w:r>
          </w:p>
          <w:p w:rsidR="00DE76C7" w:rsidRDefault="00DE76C7" w:rsidP="00A9259C">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ne s'applique pas aux revêtements rétroréfléchissants destinés à la signalisation verticale.</w:t>
            </w:r>
          </w:p>
          <w:p w:rsidR="004130CC" w:rsidRPr="0043547B" w:rsidRDefault="004130CC" w:rsidP="00A9259C">
            <w:pPr>
              <w:spacing w:after="0" w:line="240" w:lineRule="auto"/>
              <w:jc w:val="both"/>
              <w:rPr>
                <w:rFonts w:eastAsia="Times New Roman" w:cstheme="minorHAnsi"/>
                <w:sz w:val="24"/>
                <w:szCs w:val="24"/>
                <w:lang w:eastAsia="fr-FR"/>
              </w:rPr>
            </w:pPr>
          </w:p>
        </w:tc>
      </w:tr>
      <w:tr w:rsidR="0043547B" w:rsidRPr="0043547B" w:rsidTr="00542A0D">
        <w:trPr>
          <w:trHeight w:val="230"/>
          <w:jc w:val="center"/>
        </w:trPr>
        <w:tc>
          <w:tcPr>
            <w:tcW w:w="1838" w:type="dxa"/>
            <w:tcBorders>
              <w:top w:val="nil"/>
              <w:left w:val="single" w:sz="18" w:space="0" w:color="auto"/>
              <w:bottom w:val="single" w:sz="18" w:space="0" w:color="auto"/>
              <w:right w:val="single" w:sz="4" w:space="0" w:color="auto"/>
            </w:tcBorders>
            <w:shd w:val="clear" w:color="auto" w:fill="B0CA7C"/>
            <w:vAlign w:val="center"/>
          </w:tcPr>
          <w:p w:rsidR="00DE76C7" w:rsidRPr="0043547B" w:rsidRDefault="00DE76C7" w:rsidP="00A9259C">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single" w:sz="4" w:space="0" w:color="auto"/>
              <w:left w:val="single" w:sz="4" w:space="0" w:color="auto"/>
              <w:bottom w:val="single" w:sz="18" w:space="0" w:color="auto"/>
              <w:right w:val="single" w:sz="18" w:space="0" w:color="auto"/>
            </w:tcBorders>
            <w:shd w:val="clear" w:color="auto" w:fill="B0CA7C"/>
            <w:vAlign w:val="center"/>
          </w:tcPr>
          <w:p w:rsidR="00DE76C7" w:rsidRPr="0043547B" w:rsidRDefault="00DE76C7" w:rsidP="00A9259C">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12899-3</w:t>
            </w:r>
          </w:p>
        </w:tc>
      </w:tr>
      <w:tr w:rsidR="0043547B" w:rsidRPr="0043547B" w:rsidTr="00542A0D">
        <w:trPr>
          <w:trHeight w:val="308"/>
          <w:jc w:val="center"/>
        </w:trPr>
        <w:tc>
          <w:tcPr>
            <w:tcW w:w="1838" w:type="dxa"/>
            <w:tcBorders>
              <w:top w:val="single" w:sz="18" w:space="0" w:color="auto"/>
              <w:left w:val="single" w:sz="18" w:space="0" w:color="auto"/>
              <w:bottom w:val="single" w:sz="6" w:space="0" w:color="auto"/>
              <w:right w:val="single" w:sz="4" w:space="0" w:color="auto"/>
            </w:tcBorders>
            <w:shd w:val="clear" w:color="auto" w:fill="FFFF99"/>
            <w:vAlign w:val="center"/>
          </w:tcPr>
          <w:p w:rsidR="00DE76C7" w:rsidRPr="0043547B" w:rsidRDefault="00DE76C7" w:rsidP="00A9259C">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6" w:space="0" w:color="auto"/>
              <w:right w:val="single" w:sz="18" w:space="0" w:color="auto"/>
            </w:tcBorders>
            <w:shd w:val="clear" w:color="auto" w:fill="FFFF99"/>
            <w:vAlign w:val="center"/>
          </w:tcPr>
          <w:p w:rsidR="00DE76C7" w:rsidRPr="0043547B" w:rsidRDefault="00DE76C7" w:rsidP="00A9259C">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12899-3</w:t>
            </w:r>
          </w:p>
        </w:tc>
      </w:tr>
      <w:tr w:rsidR="0043547B" w:rsidRPr="0043547B" w:rsidTr="00542A0D">
        <w:trPr>
          <w:trHeight w:val="671"/>
          <w:jc w:val="center"/>
        </w:trPr>
        <w:tc>
          <w:tcPr>
            <w:tcW w:w="1838" w:type="dxa"/>
            <w:tcBorders>
              <w:top w:val="single" w:sz="6" w:space="0" w:color="auto"/>
              <w:left w:val="single" w:sz="18" w:space="0" w:color="auto"/>
              <w:bottom w:val="single" w:sz="6" w:space="0" w:color="auto"/>
              <w:right w:val="single" w:sz="4" w:space="0" w:color="auto"/>
            </w:tcBorders>
            <w:shd w:val="clear" w:color="auto" w:fill="95B3D7" w:themeFill="accent1" w:themeFillTint="99"/>
            <w:vAlign w:val="center"/>
          </w:tcPr>
          <w:p w:rsidR="00DE76C7" w:rsidRPr="0043547B" w:rsidRDefault="00DE76C7" w:rsidP="00A9259C">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6" w:space="0" w:color="auto"/>
              <w:left w:val="single" w:sz="4" w:space="0" w:color="auto"/>
              <w:bottom w:val="single" w:sz="6" w:space="0" w:color="auto"/>
              <w:right w:val="single" w:sz="18" w:space="0" w:color="auto"/>
            </w:tcBorders>
            <w:shd w:val="clear" w:color="000000" w:fill="FFFFFF"/>
            <w:vAlign w:val="center"/>
          </w:tcPr>
          <w:p w:rsidR="00DE76C7" w:rsidRPr="0043547B" w:rsidRDefault="00DE76C7" w:rsidP="00A9259C">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Signaux fixes de signalisation routière verticale - Partie 3 : Délinéateurs et rétroréflecteurs ; (IC 10.9.293)  </w:t>
            </w:r>
          </w:p>
        </w:tc>
      </w:tr>
      <w:tr w:rsidR="0043547B" w:rsidRPr="0043547B" w:rsidTr="00542A0D">
        <w:trPr>
          <w:trHeight w:val="1261"/>
          <w:jc w:val="center"/>
        </w:trPr>
        <w:tc>
          <w:tcPr>
            <w:tcW w:w="1838" w:type="dxa"/>
            <w:tcBorders>
              <w:top w:val="single" w:sz="6" w:space="0" w:color="auto"/>
              <w:left w:val="single" w:sz="18" w:space="0" w:color="auto"/>
              <w:bottom w:val="single" w:sz="18" w:space="0" w:color="auto"/>
              <w:right w:val="single" w:sz="4" w:space="0" w:color="auto"/>
            </w:tcBorders>
            <w:shd w:val="clear" w:color="000000" w:fill="D9D9D9"/>
            <w:vAlign w:val="center"/>
          </w:tcPr>
          <w:p w:rsidR="00DE76C7" w:rsidRPr="0043547B" w:rsidRDefault="00DE76C7" w:rsidP="00A9259C">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6" w:space="0" w:color="auto"/>
              <w:left w:val="single" w:sz="4" w:space="0" w:color="auto"/>
              <w:bottom w:val="single" w:sz="18" w:space="0" w:color="auto"/>
              <w:right w:val="single" w:sz="18" w:space="0" w:color="auto"/>
            </w:tcBorders>
            <w:shd w:val="clear" w:color="000000" w:fill="FFFFFF"/>
            <w:vAlign w:val="center"/>
          </w:tcPr>
          <w:p w:rsidR="002B4137" w:rsidRPr="0043547B" w:rsidRDefault="00DE76C7" w:rsidP="002B4137">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Partie 3 de l’EN 12899 spécifie les exigences relatives aux nouveaux délinéateurs et aux nouveaux rétroréflecteurs, en tant que produits distincts ou combinés, destinés à être utilisés dans les zones</w:t>
            </w:r>
            <w:r w:rsidR="002B4137" w:rsidRPr="0043547B">
              <w:rPr>
                <w:rFonts w:eastAsia="Times New Roman" w:cstheme="minorHAnsi"/>
                <w:sz w:val="24"/>
                <w:szCs w:val="24"/>
                <w:lang w:eastAsia="fr-FR"/>
              </w:rPr>
              <w:t xml:space="preserve"> </w:t>
            </w:r>
            <w:r w:rsidRPr="0043547B">
              <w:rPr>
                <w:rFonts w:eastAsia="Times New Roman" w:cstheme="minorHAnsi"/>
                <w:sz w:val="24"/>
                <w:szCs w:val="24"/>
                <w:lang w:eastAsia="fr-FR"/>
              </w:rPr>
              <w:t>de circulation routière.</w:t>
            </w:r>
          </w:p>
          <w:p w:rsidR="002B4137" w:rsidRPr="0043547B" w:rsidRDefault="00DE76C7" w:rsidP="002B4137">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traite des exigences de performances et des méthodes d’essai.</w:t>
            </w:r>
          </w:p>
          <w:p w:rsidR="002B4137" w:rsidRPr="0043547B" w:rsidRDefault="00DE76C7" w:rsidP="002B4137">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propriétés de colorimétrie et de rétroréflexion sont spécifiées conformément aux recommandations de la CIE.</w:t>
            </w:r>
          </w:p>
          <w:p w:rsidR="002B4137" w:rsidRPr="0043547B" w:rsidRDefault="00DE76C7" w:rsidP="002B4137">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exigences mécaniques incluent les performances sous charges statiques et dynamiques.</w:t>
            </w:r>
            <w:r w:rsidRPr="0043547B">
              <w:rPr>
                <w:rFonts w:eastAsia="Times New Roman" w:cstheme="minorHAnsi"/>
                <w:sz w:val="24"/>
                <w:szCs w:val="24"/>
                <w:lang w:eastAsia="fr-FR"/>
              </w:rPr>
              <w:br/>
              <w:t>La présente norme contient des dispositions relatives à la sécurité d’utilisation, y compris en cas d’impact d’un véhicule.</w:t>
            </w:r>
          </w:p>
          <w:p w:rsidR="002B4137" w:rsidRPr="0043547B" w:rsidRDefault="00DE76C7" w:rsidP="002B4137">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Aux fins de la définition de la durabilité, la présente Norme détermine également les niveaux de performances à maintenir après un vieillissement climatique naturel.</w:t>
            </w:r>
          </w:p>
          <w:p w:rsidR="00DE76C7" w:rsidRPr="0043547B" w:rsidRDefault="00DE76C7" w:rsidP="002B4137">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ne contient aucune exigence relative à l’utilisation des couleurs, aux dimensions et aux tolérances des délinéateurs et des rétroréflecteurs.</w:t>
            </w:r>
          </w:p>
        </w:tc>
      </w:tr>
    </w:tbl>
    <w:p w:rsidR="00904E52" w:rsidRPr="0043547B" w:rsidRDefault="00904E52" w:rsidP="00B905D3">
      <w:pPr>
        <w:pStyle w:val="Titre3"/>
        <w:numPr>
          <w:ilvl w:val="1"/>
          <w:numId w:val="2"/>
        </w:numPr>
        <w:ind w:left="284"/>
        <w:rPr>
          <w:rFonts w:asciiTheme="minorHAnsi" w:hAnsiTheme="minorHAnsi" w:cstheme="minorHAnsi"/>
          <w:sz w:val="24"/>
          <w:szCs w:val="24"/>
          <w:u w:val="single"/>
        </w:rPr>
      </w:pPr>
      <w:r w:rsidRPr="0043547B">
        <w:rPr>
          <w:rFonts w:asciiTheme="minorHAnsi" w:hAnsiTheme="minorHAnsi" w:cstheme="minorHAnsi"/>
          <w:sz w:val="24"/>
          <w:szCs w:val="24"/>
          <w:u w:val="single"/>
        </w:rPr>
        <w:t>Lot N°8 : Terrassement</w:t>
      </w:r>
      <w:bookmarkEnd w:id="45"/>
    </w:p>
    <w:p w:rsidR="00904E52" w:rsidRPr="0043547B" w:rsidRDefault="00904E52" w:rsidP="00F26621">
      <w:pPr>
        <w:pStyle w:val="Titre4"/>
        <w:numPr>
          <w:ilvl w:val="2"/>
          <w:numId w:val="2"/>
        </w:numPr>
        <w:ind w:left="1418" w:hanging="579"/>
        <w:rPr>
          <w:rFonts w:cstheme="minorHAnsi"/>
          <w:b/>
          <w:bCs w:val="0"/>
          <w:iCs w:val="0"/>
          <w:color w:val="auto"/>
          <w:szCs w:val="24"/>
          <w:u w:val="single"/>
        </w:rPr>
      </w:pPr>
      <w:bookmarkStart w:id="46" w:name="_Toc458606102"/>
      <w:r w:rsidRPr="0043547B">
        <w:rPr>
          <w:rFonts w:cstheme="minorHAnsi"/>
          <w:b/>
          <w:bCs w:val="0"/>
          <w:iCs w:val="0"/>
          <w:color w:val="auto"/>
          <w:szCs w:val="24"/>
          <w:u w:val="single"/>
        </w:rPr>
        <w:t>Produits géotechniques</w:t>
      </w:r>
      <w:bookmarkEnd w:id="46"/>
    </w:p>
    <w:tbl>
      <w:tblPr>
        <w:tblW w:w="9771"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70" w:type="dxa"/>
          <w:right w:w="70" w:type="dxa"/>
        </w:tblCellMar>
        <w:tblLook w:val="04A0" w:firstRow="1" w:lastRow="0" w:firstColumn="1" w:lastColumn="0" w:noHBand="0" w:noVBand="1"/>
      </w:tblPr>
      <w:tblGrid>
        <w:gridCol w:w="1833"/>
        <w:gridCol w:w="7938"/>
      </w:tblGrid>
      <w:tr w:rsidR="0043547B" w:rsidRPr="0043547B" w:rsidTr="006E0830">
        <w:trPr>
          <w:trHeight w:val="315"/>
          <w:jc w:val="center"/>
        </w:trPr>
        <w:tc>
          <w:tcPr>
            <w:tcW w:w="1833" w:type="dxa"/>
            <w:shd w:val="clear" w:color="auto" w:fill="C2D69B" w:themeFill="accent3" w:themeFillTint="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shd w:val="clear" w:color="auto" w:fill="C2D69B" w:themeFill="accent3" w:themeFillTint="99"/>
            <w:vAlign w:val="center"/>
            <w:hideMark/>
          </w:tcPr>
          <w:p w:rsidR="00904E52" w:rsidRPr="0043547B" w:rsidRDefault="00904E52" w:rsidP="007B01E1">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09.8.029</w:t>
            </w:r>
          </w:p>
        </w:tc>
      </w:tr>
      <w:tr w:rsidR="0043547B" w:rsidRPr="0043547B" w:rsidTr="006E0830">
        <w:trPr>
          <w:trHeight w:val="609"/>
          <w:jc w:val="center"/>
        </w:trPr>
        <w:tc>
          <w:tcPr>
            <w:tcW w:w="1833" w:type="dxa"/>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Textiles - Articles à usages industriels - Recommandations pour l'emploi des géotextiles et produits apparentés - Mise en œuvre - Spécifications - Contrôle des géotextiles et produits apparentés ; </w:t>
            </w:r>
          </w:p>
        </w:tc>
      </w:tr>
      <w:tr w:rsidR="0043547B" w:rsidRPr="0043547B" w:rsidTr="006E0830">
        <w:trPr>
          <w:trHeight w:val="703"/>
          <w:jc w:val="center"/>
        </w:trPr>
        <w:tc>
          <w:tcPr>
            <w:tcW w:w="1833" w:type="dxa"/>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prescrit les actions de contrôle à exécuter par l’acheteur ou l’utilisateur final, sur les produits livrés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définit les règles générales de mise en œuvre des géotextiles et des produits apparentés qui sont applicables à l’ensemble de leurs utilisations (voir note ci-dessous);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renvoie à d'autres normes pour la formulation des spécifications selon l’utilisation envisagée.</w:t>
            </w:r>
          </w:p>
          <w:p w:rsidR="00904E52" w:rsidRPr="009F13D2" w:rsidRDefault="00904E52" w:rsidP="009F13D2">
            <w:pPr>
              <w:spacing w:after="0" w:line="240" w:lineRule="auto"/>
              <w:jc w:val="both"/>
              <w:rPr>
                <w:rFonts w:eastAsia="Times New Roman" w:cstheme="minorHAnsi"/>
                <w:i/>
                <w:iCs/>
                <w:lang w:eastAsia="fr-FR"/>
              </w:rPr>
            </w:pPr>
            <w:r w:rsidRPr="009F13D2">
              <w:rPr>
                <w:rFonts w:eastAsia="Times New Roman" w:cstheme="minorHAnsi"/>
                <w:b/>
                <w:bCs/>
                <w:i/>
                <w:iCs/>
                <w:lang w:eastAsia="fr-FR"/>
              </w:rPr>
              <w:t>N</w:t>
            </w:r>
            <w:r w:rsidR="009F13D2" w:rsidRPr="009F13D2">
              <w:rPr>
                <w:rFonts w:eastAsia="Times New Roman" w:cstheme="minorHAnsi"/>
                <w:b/>
                <w:bCs/>
                <w:i/>
                <w:iCs/>
                <w:lang w:eastAsia="fr-FR"/>
              </w:rPr>
              <w:t>OTE</w:t>
            </w:r>
            <w:r w:rsidR="009F13D2" w:rsidRPr="009F13D2">
              <w:rPr>
                <w:rFonts w:eastAsia="Times New Roman" w:cstheme="minorHAnsi"/>
                <w:i/>
                <w:iCs/>
                <w:lang w:eastAsia="fr-FR"/>
              </w:rPr>
              <w:t> :</w:t>
            </w:r>
            <w:r w:rsidRPr="009F13D2">
              <w:rPr>
                <w:rFonts w:eastAsia="Times New Roman" w:cstheme="minorHAnsi"/>
                <w:i/>
                <w:iCs/>
                <w:lang w:eastAsia="fr-FR"/>
              </w:rPr>
              <w:t xml:space="preserve"> Certaines utilisations des géotextiles et produits apparentés requièrent des spécifications de mise en œuvre ou de contrôles particulières ; celles-ci sont alors précisées dans la norme traitant de l’utilisation concernée.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lastRenderedPageBreak/>
              <w:t>Ce document s’applique aux produits géotextiles et produits apparentés tels que définis dans la norme NM SO 10318 lorsqu’ils sont utilisés dans les applications de génie civil suivantes : routes et autres zones de circulation, voies ferrées, ouvrages hydrauliques, ouvrages en terre, fondations et structures de soutènement, tunnels, ouvrages de lutte contre l’érosion, barrages, réservoirs, installations de stockage de déchets liquides et solides.</w:t>
            </w:r>
          </w:p>
        </w:tc>
      </w:tr>
      <w:tr w:rsidR="0043547B" w:rsidRPr="0043547B" w:rsidTr="006E0830">
        <w:trPr>
          <w:trHeight w:val="174"/>
          <w:jc w:val="center"/>
        </w:trPr>
        <w:tc>
          <w:tcPr>
            <w:tcW w:w="1833" w:type="dxa"/>
            <w:shd w:val="clear" w:color="auto" w:fill="C2D69B" w:themeFill="accent3" w:themeFillTint="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7938" w:type="dxa"/>
            <w:shd w:val="clear" w:color="auto" w:fill="C2D69B" w:themeFill="accent3" w:themeFillTint="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13.1.113</w:t>
            </w:r>
          </w:p>
        </w:tc>
      </w:tr>
      <w:tr w:rsidR="0043547B" w:rsidRPr="0043547B" w:rsidTr="006E0830">
        <w:trPr>
          <w:trHeight w:val="65"/>
          <w:jc w:val="center"/>
        </w:trPr>
        <w:tc>
          <w:tcPr>
            <w:tcW w:w="1833" w:type="dxa"/>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Géomembranes - Identification sur site ;</w:t>
            </w:r>
          </w:p>
        </w:tc>
      </w:tr>
      <w:tr w:rsidR="0043547B" w:rsidRPr="0043547B" w:rsidTr="006E0830">
        <w:trPr>
          <w:trHeight w:val="753"/>
          <w:jc w:val="center"/>
        </w:trPr>
        <w:tc>
          <w:tcPr>
            <w:tcW w:w="1833" w:type="dxa"/>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shd w:val="clear" w:color="auto" w:fill="auto"/>
            <w:vAlign w:val="center"/>
            <w:hideMark/>
          </w:tcPr>
          <w:p w:rsidR="00904E52" w:rsidRPr="0043547B" w:rsidRDefault="00904E52" w:rsidP="002C6535">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 présent document définit les informations accompagnant les géomembranes pour</w:t>
            </w:r>
            <w:r w:rsidR="002C6535">
              <w:rPr>
                <w:rFonts w:eastAsia="Times New Roman" w:cstheme="minorHAnsi"/>
                <w:sz w:val="24"/>
                <w:szCs w:val="24"/>
                <w:lang w:eastAsia="fr-FR"/>
              </w:rPr>
              <w:t xml:space="preserve"> </w:t>
            </w:r>
            <w:r w:rsidRPr="0043547B">
              <w:rPr>
                <w:rFonts w:eastAsia="Times New Roman" w:cstheme="minorHAnsi"/>
                <w:sz w:val="24"/>
                <w:szCs w:val="24"/>
                <w:lang w:eastAsia="fr-FR"/>
              </w:rPr>
              <w:t>permettre à l'utilisateur d'identifier sur le site le produit livré comme étant identique à celui commandé.</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 présent document est applicable à toutes les géomembranes.</w:t>
            </w:r>
          </w:p>
        </w:tc>
      </w:tr>
      <w:tr w:rsidR="0043547B" w:rsidRPr="0043547B" w:rsidTr="006E0830">
        <w:trPr>
          <w:trHeight w:val="23"/>
          <w:jc w:val="center"/>
        </w:trPr>
        <w:tc>
          <w:tcPr>
            <w:tcW w:w="1833" w:type="dxa"/>
            <w:shd w:val="clear" w:color="auto" w:fill="C2D69B" w:themeFill="accent3" w:themeFillTint="99"/>
            <w:vAlign w:val="center"/>
          </w:tcPr>
          <w:p w:rsidR="00870625" w:rsidRPr="004442F3" w:rsidRDefault="00870625" w:rsidP="009F13D2">
            <w:pPr>
              <w:spacing w:after="0" w:line="240" w:lineRule="auto"/>
              <w:jc w:val="center"/>
              <w:rPr>
                <w:rFonts w:cstheme="minorHAnsi"/>
                <w:b/>
                <w:bCs/>
                <w:sz w:val="24"/>
                <w:szCs w:val="24"/>
              </w:rPr>
            </w:pPr>
            <w:r w:rsidRPr="004442F3">
              <w:rPr>
                <w:rFonts w:cstheme="minorHAnsi"/>
                <w:b/>
                <w:bCs/>
                <w:sz w:val="24"/>
                <w:szCs w:val="24"/>
              </w:rPr>
              <w:t>Code :</w:t>
            </w:r>
          </w:p>
        </w:tc>
        <w:tc>
          <w:tcPr>
            <w:tcW w:w="7938" w:type="dxa"/>
            <w:shd w:val="clear" w:color="auto" w:fill="C2D69B" w:themeFill="accent3" w:themeFillTint="99"/>
          </w:tcPr>
          <w:p w:rsidR="00870625" w:rsidRPr="004442F3" w:rsidRDefault="00870625" w:rsidP="009F13D2">
            <w:pPr>
              <w:spacing w:after="0" w:line="240" w:lineRule="auto"/>
              <w:jc w:val="center"/>
              <w:rPr>
                <w:rFonts w:cstheme="minorHAnsi"/>
                <w:b/>
                <w:bCs/>
                <w:sz w:val="24"/>
                <w:szCs w:val="24"/>
              </w:rPr>
            </w:pPr>
            <w:r w:rsidRPr="004442F3">
              <w:rPr>
                <w:rFonts w:cstheme="minorHAnsi"/>
                <w:b/>
                <w:bCs/>
                <w:sz w:val="24"/>
                <w:szCs w:val="24"/>
              </w:rPr>
              <w:t>NM EN 13361</w:t>
            </w:r>
          </w:p>
        </w:tc>
      </w:tr>
      <w:tr w:rsidR="0043547B" w:rsidRPr="0043547B" w:rsidTr="006E0830">
        <w:trPr>
          <w:trHeight w:val="23"/>
          <w:jc w:val="center"/>
        </w:trPr>
        <w:tc>
          <w:tcPr>
            <w:tcW w:w="1833" w:type="dxa"/>
            <w:shd w:val="clear" w:color="auto" w:fill="FDFBA9"/>
            <w:vAlign w:val="center"/>
          </w:tcPr>
          <w:p w:rsidR="00870625" w:rsidRPr="00D76D9A" w:rsidRDefault="00870625" w:rsidP="009F13D2">
            <w:pPr>
              <w:spacing w:after="0" w:line="240" w:lineRule="auto"/>
              <w:jc w:val="center"/>
              <w:rPr>
                <w:rFonts w:cstheme="minorHAnsi"/>
                <w:b/>
                <w:bCs/>
                <w:sz w:val="24"/>
                <w:szCs w:val="24"/>
              </w:rPr>
            </w:pPr>
            <w:r w:rsidRPr="00D76D9A">
              <w:rPr>
                <w:rFonts w:cstheme="minorHAnsi"/>
                <w:b/>
                <w:bCs/>
                <w:sz w:val="24"/>
                <w:szCs w:val="24"/>
              </w:rPr>
              <w:t>Equivalence :</w:t>
            </w:r>
          </w:p>
        </w:tc>
        <w:tc>
          <w:tcPr>
            <w:tcW w:w="7938" w:type="dxa"/>
            <w:shd w:val="clear" w:color="auto" w:fill="FDFBA9"/>
            <w:vAlign w:val="center"/>
          </w:tcPr>
          <w:p w:rsidR="00870625" w:rsidRPr="00D76D9A" w:rsidRDefault="00870625" w:rsidP="009F13D2">
            <w:pPr>
              <w:spacing w:after="0" w:line="240" w:lineRule="auto"/>
              <w:jc w:val="center"/>
              <w:rPr>
                <w:rFonts w:cstheme="minorHAnsi"/>
                <w:b/>
                <w:bCs/>
                <w:sz w:val="24"/>
                <w:szCs w:val="24"/>
              </w:rPr>
            </w:pPr>
            <w:r w:rsidRPr="00D76D9A">
              <w:rPr>
                <w:rFonts w:cstheme="minorHAnsi"/>
                <w:b/>
                <w:bCs/>
                <w:sz w:val="24"/>
                <w:szCs w:val="24"/>
              </w:rPr>
              <w:t xml:space="preserve">   EN 13361</w:t>
            </w:r>
          </w:p>
        </w:tc>
      </w:tr>
      <w:tr w:rsidR="0043547B" w:rsidRPr="0043547B" w:rsidTr="006E0830">
        <w:trPr>
          <w:trHeight w:val="753"/>
          <w:jc w:val="center"/>
        </w:trPr>
        <w:tc>
          <w:tcPr>
            <w:tcW w:w="1833" w:type="dxa"/>
            <w:shd w:val="clear" w:color="auto" w:fill="95B3D7" w:themeFill="accent1" w:themeFillTint="99"/>
            <w:vAlign w:val="center"/>
          </w:tcPr>
          <w:p w:rsidR="00870625" w:rsidRPr="0043547B" w:rsidRDefault="00870625" w:rsidP="009F13D2">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shd w:val="clear" w:color="auto" w:fill="auto"/>
          </w:tcPr>
          <w:p w:rsidR="00870625" w:rsidRPr="0043547B" w:rsidRDefault="00870625" w:rsidP="009F13D2">
            <w:pPr>
              <w:spacing w:after="0" w:line="240" w:lineRule="auto"/>
              <w:rPr>
                <w:rFonts w:cstheme="minorHAnsi"/>
                <w:sz w:val="24"/>
                <w:szCs w:val="24"/>
              </w:rPr>
            </w:pPr>
            <w:r w:rsidRPr="0043547B">
              <w:rPr>
                <w:rFonts w:cstheme="minorHAnsi"/>
                <w:sz w:val="24"/>
                <w:szCs w:val="24"/>
              </w:rPr>
              <w:t>Géomembranes et géosynthétiques bentonitiques - Caractéristiques requises pour l'utilisation dans la construction des réservoirs et des barrages</w:t>
            </w:r>
          </w:p>
        </w:tc>
      </w:tr>
      <w:tr w:rsidR="0043547B" w:rsidRPr="0043547B" w:rsidTr="006E0830">
        <w:trPr>
          <w:trHeight w:val="753"/>
          <w:jc w:val="center"/>
        </w:trPr>
        <w:tc>
          <w:tcPr>
            <w:tcW w:w="1833" w:type="dxa"/>
            <w:shd w:val="clear" w:color="000000" w:fill="D9D9D9"/>
            <w:vAlign w:val="center"/>
          </w:tcPr>
          <w:p w:rsidR="00870625" w:rsidRPr="0043547B" w:rsidRDefault="00870625" w:rsidP="009F13D2">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shd w:val="clear" w:color="auto" w:fill="auto"/>
          </w:tcPr>
          <w:p w:rsidR="006E6AF1" w:rsidRDefault="00870625" w:rsidP="009F13D2">
            <w:pPr>
              <w:spacing w:after="0" w:line="240" w:lineRule="auto"/>
              <w:jc w:val="both"/>
              <w:rPr>
                <w:rFonts w:cstheme="minorHAnsi"/>
                <w:sz w:val="24"/>
                <w:szCs w:val="24"/>
              </w:rPr>
            </w:pPr>
            <w:r w:rsidRPr="0043547B">
              <w:rPr>
                <w:rFonts w:cstheme="minorHAnsi"/>
                <w:sz w:val="24"/>
                <w:szCs w:val="24"/>
              </w:rPr>
              <w:t>Le présent document spécifie les caractéristiques applicables aux géosynthétiques d'étanchéité incluant</w:t>
            </w:r>
            <w:r w:rsidR="002C6535">
              <w:rPr>
                <w:rFonts w:cstheme="minorHAnsi"/>
                <w:sz w:val="24"/>
                <w:szCs w:val="24"/>
              </w:rPr>
              <w:t xml:space="preserve"> </w:t>
            </w:r>
            <w:r w:rsidRPr="0043547B">
              <w:rPr>
                <w:rFonts w:cstheme="minorHAnsi"/>
                <w:sz w:val="24"/>
                <w:szCs w:val="24"/>
              </w:rPr>
              <w:t>les géomembranes polymériques, les géosynthétiques bentonitiques et les géomembranes</w:t>
            </w:r>
            <w:r w:rsidR="002C6535">
              <w:rPr>
                <w:rFonts w:cstheme="minorHAnsi"/>
                <w:sz w:val="24"/>
                <w:szCs w:val="24"/>
              </w:rPr>
              <w:t xml:space="preserve"> </w:t>
            </w:r>
            <w:r w:rsidRPr="0043547B">
              <w:rPr>
                <w:rFonts w:cstheme="minorHAnsi"/>
                <w:sz w:val="24"/>
                <w:szCs w:val="24"/>
              </w:rPr>
              <w:t>bitumineuses utilisés comme barrière aux fluides ou couche de séparation pour l’eau dans la</w:t>
            </w:r>
            <w:r w:rsidRPr="0043547B">
              <w:rPr>
                <w:rFonts w:cstheme="minorHAnsi"/>
                <w:sz w:val="24"/>
                <w:szCs w:val="24"/>
              </w:rPr>
              <w:br/>
              <w:t>construction de réservoirs et de barrages, ainsi que les méthodes d'essai appropriées pour déterminer</w:t>
            </w:r>
            <w:r w:rsidR="002C6535">
              <w:rPr>
                <w:rFonts w:cstheme="minorHAnsi"/>
                <w:sz w:val="24"/>
                <w:szCs w:val="24"/>
              </w:rPr>
              <w:t xml:space="preserve"> </w:t>
            </w:r>
            <w:r w:rsidRPr="0043547B">
              <w:rPr>
                <w:rFonts w:cstheme="minorHAnsi"/>
                <w:sz w:val="24"/>
                <w:szCs w:val="24"/>
              </w:rPr>
              <w:t>ces caractéristiques.</w:t>
            </w:r>
          </w:p>
          <w:p w:rsidR="006E6AF1" w:rsidRDefault="00870625" w:rsidP="009F13D2">
            <w:pPr>
              <w:spacing w:after="0" w:line="240" w:lineRule="auto"/>
              <w:jc w:val="both"/>
              <w:rPr>
                <w:rFonts w:cstheme="minorHAnsi"/>
                <w:sz w:val="24"/>
                <w:szCs w:val="24"/>
              </w:rPr>
            </w:pPr>
            <w:r w:rsidRPr="0043547B">
              <w:rPr>
                <w:rFonts w:cstheme="minorHAnsi"/>
                <w:sz w:val="24"/>
                <w:szCs w:val="24"/>
              </w:rPr>
              <w:t>Ces produits sont destinés à contrôler les fuites d'eau potable, douce ou saline à travers la construction.</w:t>
            </w:r>
          </w:p>
          <w:p w:rsidR="006E6AF1" w:rsidRDefault="00870625" w:rsidP="009F13D2">
            <w:pPr>
              <w:spacing w:after="0" w:line="240" w:lineRule="auto"/>
              <w:jc w:val="both"/>
              <w:rPr>
                <w:rFonts w:cstheme="minorHAnsi"/>
                <w:sz w:val="24"/>
                <w:szCs w:val="24"/>
              </w:rPr>
            </w:pPr>
            <w:r w:rsidRPr="0043547B">
              <w:rPr>
                <w:rFonts w:cstheme="minorHAnsi"/>
                <w:sz w:val="24"/>
                <w:szCs w:val="24"/>
              </w:rPr>
              <w:t>Le présent document ne s'applique pas aux géotextiles ou produits apparentés, tels que définis dans</w:t>
            </w:r>
            <w:r w:rsidR="002C6535">
              <w:rPr>
                <w:rFonts w:cstheme="minorHAnsi"/>
                <w:sz w:val="24"/>
                <w:szCs w:val="24"/>
              </w:rPr>
              <w:t xml:space="preserve"> </w:t>
            </w:r>
            <w:r w:rsidRPr="0043547B">
              <w:rPr>
                <w:rFonts w:cstheme="minorHAnsi"/>
                <w:sz w:val="24"/>
                <w:szCs w:val="24"/>
              </w:rPr>
              <w:t>l'EN ISO 10318-1.</w:t>
            </w:r>
          </w:p>
          <w:p w:rsidR="006E6AF1" w:rsidRDefault="00870625" w:rsidP="009F13D2">
            <w:pPr>
              <w:spacing w:after="0" w:line="240" w:lineRule="auto"/>
              <w:jc w:val="both"/>
              <w:rPr>
                <w:rFonts w:cstheme="minorHAnsi"/>
                <w:sz w:val="24"/>
                <w:szCs w:val="24"/>
              </w:rPr>
            </w:pPr>
            <w:r w:rsidRPr="0043547B">
              <w:rPr>
                <w:rFonts w:cstheme="minorHAnsi"/>
                <w:sz w:val="24"/>
                <w:szCs w:val="24"/>
              </w:rPr>
              <w:t>Le présent document permet d'évaluer et de vérifier la constance des performances (AVCP) du produit</w:t>
            </w:r>
            <w:r w:rsidR="002C6535">
              <w:rPr>
                <w:rFonts w:cstheme="minorHAnsi"/>
                <w:sz w:val="24"/>
                <w:szCs w:val="24"/>
              </w:rPr>
              <w:t xml:space="preserve"> </w:t>
            </w:r>
            <w:r w:rsidRPr="0043547B">
              <w:rPr>
                <w:rFonts w:cstheme="minorHAnsi"/>
                <w:sz w:val="24"/>
                <w:szCs w:val="24"/>
              </w:rPr>
              <w:t>à la présente Norme européenne et les procédures de contrôle de la production en usine.</w:t>
            </w:r>
          </w:p>
          <w:p w:rsidR="006E6AF1" w:rsidRDefault="00870625" w:rsidP="009F13D2">
            <w:pPr>
              <w:spacing w:after="0" w:line="240" w:lineRule="auto"/>
              <w:jc w:val="both"/>
              <w:rPr>
                <w:rFonts w:cstheme="minorHAnsi"/>
                <w:sz w:val="24"/>
                <w:szCs w:val="24"/>
              </w:rPr>
            </w:pPr>
            <w:r w:rsidRPr="0043547B">
              <w:rPr>
                <w:rFonts w:cstheme="minorHAnsi"/>
                <w:sz w:val="24"/>
                <w:szCs w:val="24"/>
              </w:rPr>
              <w:t>Le présent document établit les caractéristiques à considérer au regard des performances à vérifier.</w:t>
            </w:r>
          </w:p>
          <w:p w:rsidR="00870625" w:rsidRPr="006E6AF1" w:rsidRDefault="00870625" w:rsidP="009F13D2">
            <w:pPr>
              <w:spacing w:after="0" w:line="240" w:lineRule="auto"/>
              <w:jc w:val="both"/>
              <w:rPr>
                <w:rFonts w:cstheme="minorHAnsi"/>
                <w:i/>
                <w:iCs/>
                <w:sz w:val="24"/>
                <w:szCs w:val="24"/>
              </w:rPr>
            </w:pPr>
            <w:r w:rsidRPr="006E6AF1">
              <w:rPr>
                <w:rFonts w:cstheme="minorHAnsi"/>
                <w:b/>
                <w:bCs/>
                <w:i/>
                <w:iCs/>
              </w:rPr>
              <w:t>NOTE</w:t>
            </w:r>
            <w:r w:rsidR="006E6AF1" w:rsidRPr="006E6AF1">
              <w:rPr>
                <w:rFonts w:cstheme="minorHAnsi"/>
                <w:i/>
                <w:iCs/>
              </w:rPr>
              <w:t> :</w:t>
            </w:r>
            <w:r w:rsidRPr="006E6AF1">
              <w:rPr>
                <w:rFonts w:cstheme="minorHAnsi"/>
                <w:i/>
                <w:iCs/>
              </w:rPr>
              <w:t xml:space="preserve"> Si de l'eau potable est ou peut être en contact direct avec le produit, il convient que le concepteur se</w:t>
            </w:r>
            <w:r w:rsidR="002C6535" w:rsidRPr="006E6AF1">
              <w:rPr>
                <w:rFonts w:cstheme="minorHAnsi"/>
                <w:i/>
                <w:iCs/>
              </w:rPr>
              <w:t xml:space="preserve"> </w:t>
            </w:r>
            <w:r w:rsidRPr="006E6AF1">
              <w:rPr>
                <w:rFonts w:cstheme="minorHAnsi"/>
                <w:i/>
                <w:iCs/>
              </w:rPr>
              <w:t>réfère également aux normes, exigences et/ou règlements applicables.</w:t>
            </w:r>
          </w:p>
        </w:tc>
      </w:tr>
      <w:tr w:rsidR="0043547B" w:rsidRPr="0043547B" w:rsidTr="006E0830">
        <w:trPr>
          <w:trHeight w:val="23"/>
          <w:jc w:val="center"/>
        </w:trPr>
        <w:tc>
          <w:tcPr>
            <w:tcW w:w="1833" w:type="dxa"/>
            <w:shd w:val="clear" w:color="auto" w:fill="C2D69B" w:themeFill="accent3" w:themeFillTint="99"/>
            <w:vAlign w:val="center"/>
          </w:tcPr>
          <w:p w:rsidR="00870625" w:rsidRPr="004442F3" w:rsidRDefault="00870625" w:rsidP="006E6AF1">
            <w:pPr>
              <w:spacing w:after="0" w:line="240" w:lineRule="auto"/>
              <w:jc w:val="center"/>
              <w:rPr>
                <w:rFonts w:cstheme="minorHAnsi"/>
                <w:b/>
                <w:bCs/>
                <w:sz w:val="24"/>
                <w:szCs w:val="24"/>
              </w:rPr>
            </w:pPr>
            <w:r w:rsidRPr="004442F3">
              <w:rPr>
                <w:rFonts w:cstheme="minorHAnsi"/>
                <w:b/>
                <w:bCs/>
                <w:sz w:val="24"/>
                <w:szCs w:val="24"/>
              </w:rPr>
              <w:t>Code :</w:t>
            </w:r>
          </w:p>
        </w:tc>
        <w:tc>
          <w:tcPr>
            <w:tcW w:w="7938" w:type="dxa"/>
            <w:shd w:val="clear" w:color="auto" w:fill="C2D69B" w:themeFill="accent3" w:themeFillTint="99"/>
          </w:tcPr>
          <w:p w:rsidR="00870625" w:rsidRPr="004442F3" w:rsidRDefault="00870625" w:rsidP="006E6AF1">
            <w:pPr>
              <w:spacing w:after="0" w:line="240" w:lineRule="auto"/>
              <w:jc w:val="center"/>
              <w:rPr>
                <w:rFonts w:cstheme="minorHAnsi"/>
                <w:b/>
                <w:bCs/>
                <w:sz w:val="24"/>
                <w:szCs w:val="24"/>
              </w:rPr>
            </w:pPr>
            <w:r w:rsidRPr="004442F3">
              <w:rPr>
                <w:rFonts w:cstheme="minorHAnsi"/>
                <w:b/>
                <w:bCs/>
                <w:sz w:val="24"/>
                <w:szCs w:val="24"/>
              </w:rPr>
              <w:t>NM EN 13362</w:t>
            </w:r>
          </w:p>
        </w:tc>
      </w:tr>
      <w:tr w:rsidR="0043547B" w:rsidRPr="0043547B" w:rsidTr="006E0830">
        <w:trPr>
          <w:trHeight w:val="23"/>
          <w:jc w:val="center"/>
        </w:trPr>
        <w:tc>
          <w:tcPr>
            <w:tcW w:w="1833" w:type="dxa"/>
            <w:shd w:val="clear" w:color="auto" w:fill="FDFBA9"/>
            <w:vAlign w:val="center"/>
          </w:tcPr>
          <w:p w:rsidR="00870625" w:rsidRPr="00D76D9A" w:rsidRDefault="00870625" w:rsidP="006E6AF1">
            <w:pPr>
              <w:spacing w:after="0" w:line="240" w:lineRule="auto"/>
              <w:jc w:val="center"/>
              <w:rPr>
                <w:rFonts w:cstheme="minorHAnsi"/>
                <w:b/>
                <w:bCs/>
                <w:sz w:val="24"/>
                <w:szCs w:val="24"/>
              </w:rPr>
            </w:pPr>
            <w:r w:rsidRPr="00D76D9A">
              <w:rPr>
                <w:rFonts w:cstheme="minorHAnsi"/>
                <w:b/>
                <w:bCs/>
                <w:sz w:val="24"/>
                <w:szCs w:val="24"/>
              </w:rPr>
              <w:t>Equivalence :</w:t>
            </w:r>
          </w:p>
        </w:tc>
        <w:tc>
          <w:tcPr>
            <w:tcW w:w="7938" w:type="dxa"/>
            <w:shd w:val="clear" w:color="auto" w:fill="FDFBA9"/>
            <w:vAlign w:val="center"/>
          </w:tcPr>
          <w:p w:rsidR="00870625" w:rsidRPr="00D76D9A" w:rsidRDefault="00870625" w:rsidP="006E6AF1">
            <w:pPr>
              <w:spacing w:after="0" w:line="240" w:lineRule="auto"/>
              <w:jc w:val="center"/>
              <w:rPr>
                <w:rFonts w:cstheme="minorHAnsi"/>
                <w:b/>
                <w:bCs/>
                <w:sz w:val="24"/>
                <w:szCs w:val="24"/>
              </w:rPr>
            </w:pPr>
            <w:r w:rsidRPr="00D76D9A">
              <w:rPr>
                <w:rFonts w:cstheme="minorHAnsi"/>
                <w:b/>
                <w:bCs/>
                <w:sz w:val="24"/>
                <w:szCs w:val="24"/>
              </w:rPr>
              <w:t xml:space="preserve">   EN 13362</w:t>
            </w:r>
          </w:p>
        </w:tc>
      </w:tr>
      <w:tr w:rsidR="0043547B" w:rsidRPr="0043547B" w:rsidTr="006E0830">
        <w:trPr>
          <w:trHeight w:val="753"/>
          <w:jc w:val="center"/>
        </w:trPr>
        <w:tc>
          <w:tcPr>
            <w:tcW w:w="1833" w:type="dxa"/>
            <w:shd w:val="clear" w:color="auto" w:fill="95B3D7" w:themeFill="accent1" w:themeFillTint="99"/>
            <w:vAlign w:val="center"/>
          </w:tcPr>
          <w:p w:rsidR="00870625" w:rsidRPr="0043547B" w:rsidRDefault="00870625" w:rsidP="006E6AF1">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shd w:val="clear" w:color="auto" w:fill="auto"/>
          </w:tcPr>
          <w:p w:rsidR="00870625" w:rsidRPr="0043547B" w:rsidRDefault="00870625" w:rsidP="006E6AF1">
            <w:pPr>
              <w:spacing w:after="0" w:line="240" w:lineRule="auto"/>
              <w:rPr>
                <w:rFonts w:cstheme="minorHAnsi"/>
                <w:sz w:val="24"/>
                <w:szCs w:val="24"/>
              </w:rPr>
            </w:pPr>
            <w:r w:rsidRPr="0043547B">
              <w:rPr>
                <w:rFonts w:cstheme="minorHAnsi"/>
                <w:sz w:val="24"/>
                <w:szCs w:val="24"/>
              </w:rPr>
              <w:t>Géomenbranes, géosynthétiques bentonitiques - Caractéristiques requises pour l'utilisation dans la construction des canaux </w:t>
            </w:r>
          </w:p>
        </w:tc>
      </w:tr>
      <w:tr w:rsidR="0043547B" w:rsidRPr="0043547B" w:rsidTr="006E0830">
        <w:trPr>
          <w:trHeight w:val="753"/>
          <w:jc w:val="center"/>
        </w:trPr>
        <w:tc>
          <w:tcPr>
            <w:tcW w:w="1833" w:type="dxa"/>
            <w:shd w:val="clear" w:color="000000" w:fill="D9D9D9"/>
            <w:vAlign w:val="center"/>
          </w:tcPr>
          <w:p w:rsidR="00870625" w:rsidRPr="0043547B" w:rsidRDefault="00870625" w:rsidP="006E6AF1">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shd w:val="clear" w:color="auto" w:fill="auto"/>
          </w:tcPr>
          <w:p w:rsidR="006E6AF1" w:rsidRDefault="00870625" w:rsidP="006E6AF1">
            <w:pPr>
              <w:spacing w:after="0" w:line="240" w:lineRule="auto"/>
              <w:jc w:val="both"/>
              <w:rPr>
                <w:rFonts w:cstheme="minorHAnsi"/>
                <w:sz w:val="24"/>
                <w:szCs w:val="24"/>
              </w:rPr>
            </w:pPr>
            <w:r w:rsidRPr="0043547B">
              <w:rPr>
                <w:rFonts w:cstheme="minorHAnsi"/>
                <w:sz w:val="24"/>
                <w:szCs w:val="24"/>
              </w:rPr>
              <w:t>La présente Norme européenne spécifie les caractéristiques requises pour les géomembranes polymériques ou bitumineuses, et les géosynthétiques bentonitiques utilisés comme barrière aux fluides, eau potable, douce ou saline dans la structure des canaux, ainsi que les méthodes d'essai appropriées pour déterminer ces caractéristiques.</w:t>
            </w:r>
          </w:p>
          <w:p w:rsidR="006E6AF1" w:rsidRDefault="00870625" w:rsidP="006E6AF1">
            <w:pPr>
              <w:spacing w:after="0" w:line="240" w:lineRule="auto"/>
              <w:jc w:val="both"/>
              <w:rPr>
                <w:rFonts w:cstheme="minorHAnsi"/>
                <w:sz w:val="24"/>
                <w:szCs w:val="24"/>
              </w:rPr>
            </w:pPr>
            <w:r w:rsidRPr="0043547B">
              <w:rPr>
                <w:rFonts w:cstheme="minorHAnsi"/>
                <w:sz w:val="24"/>
                <w:szCs w:val="24"/>
              </w:rPr>
              <w:t>Ces produits sont destinés à contrôler les fuites d'eau à travers la construction.</w:t>
            </w:r>
            <w:r w:rsidRPr="0043547B">
              <w:rPr>
                <w:rFonts w:cstheme="minorHAnsi"/>
                <w:sz w:val="24"/>
                <w:szCs w:val="24"/>
              </w:rPr>
              <w:br/>
              <w:t>La présente Norme européenne ne s'applique pas aux géotextiles ou produits apparentés.</w:t>
            </w:r>
            <w:r w:rsidRPr="0043547B">
              <w:rPr>
                <w:rFonts w:cstheme="minorHAnsi"/>
                <w:sz w:val="24"/>
                <w:szCs w:val="24"/>
              </w:rPr>
              <w:br/>
            </w:r>
            <w:r w:rsidRPr="0043547B">
              <w:rPr>
                <w:rFonts w:cstheme="minorHAnsi"/>
                <w:sz w:val="24"/>
                <w:szCs w:val="24"/>
              </w:rPr>
              <w:lastRenderedPageBreak/>
              <w:t>Elle donne les informations permettant d'évaluer la conformité du produit à la présente Norme européenne.</w:t>
            </w:r>
          </w:p>
          <w:p w:rsidR="006E6AF1" w:rsidRDefault="00870625" w:rsidP="006E6AF1">
            <w:pPr>
              <w:spacing w:after="0" w:line="240" w:lineRule="auto"/>
              <w:jc w:val="both"/>
              <w:rPr>
                <w:rFonts w:cstheme="minorHAnsi"/>
                <w:sz w:val="24"/>
                <w:szCs w:val="24"/>
              </w:rPr>
            </w:pPr>
            <w:r w:rsidRPr="0043547B">
              <w:rPr>
                <w:rFonts w:cstheme="minorHAnsi"/>
                <w:sz w:val="24"/>
                <w:szCs w:val="24"/>
              </w:rPr>
              <w:t>La présente Norme européenne définit les exigences auxquelles les fabricants et leurs représentants agréés doivent satisfaire pour la présentation des propriétés du produit.</w:t>
            </w:r>
          </w:p>
          <w:p w:rsidR="00870625" w:rsidRPr="0043547B" w:rsidRDefault="00870625" w:rsidP="006E6AF1">
            <w:pPr>
              <w:spacing w:after="0" w:line="240" w:lineRule="auto"/>
              <w:jc w:val="both"/>
              <w:rPr>
                <w:rFonts w:cstheme="minorHAnsi"/>
                <w:sz w:val="24"/>
                <w:szCs w:val="24"/>
              </w:rPr>
            </w:pPr>
            <w:r w:rsidRPr="0043547B">
              <w:rPr>
                <w:rFonts w:cstheme="minorHAnsi"/>
                <w:sz w:val="24"/>
                <w:szCs w:val="24"/>
              </w:rPr>
              <w:t>Elle ne couvre pas les cas où la géomembrane ou le géosynthétique bentonitique doit être en contact avec une eau traitée destinée à la consommation humaine.</w:t>
            </w:r>
            <w:r w:rsidRPr="0043547B">
              <w:rPr>
                <w:rFonts w:cstheme="minorHAnsi"/>
                <w:sz w:val="24"/>
                <w:szCs w:val="24"/>
              </w:rPr>
              <w:br/>
              <w:t>Si de l'eau potable est ou peut être en contact direct avec le produit, il convient que le concepteur se réfère également aux normes, exigences et/ou règlements applicables.</w:t>
            </w:r>
          </w:p>
        </w:tc>
      </w:tr>
      <w:tr w:rsidR="0043547B" w:rsidRPr="0043547B" w:rsidTr="006E0830">
        <w:trPr>
          <w:trHeight w:val="23"/>
          <w:jc w:val="center"/>
        </w:trPr>
        <w:tc>
          <w:tcPr>
            <w:tcW w:w="1833" w:type="dxa"/>
            <w:shd w:val="clear" w:color="auto" w:fill="C2D69B" w:themeFill="accent3" w:themeFillTint="99"/>
            <w:vAlign w:val="center"/>
          </w:tcPr>
          <w:p w:rsidR="00870625" w:rsidRPr="004442F3" w:rsidRDefault="00870625" w:rsidP="004D4DBB">
            <w:pPr>
              <w:spacing w:after="0" w:line="240" w:lineRule="auto"/>
              <w:jc w:val="center"/>
              <w:rPr>
                <w:rFonts w:cstheme="minorHAnsi"/>
                <w:b/>
                <w:bCs/>
                <w:sz w:val="24"/>
                <w:szCs w:val="24"/>
              </w:rPr>
            </w:pPr>
            <w:r w:rsidRPr="004442F3">
              <w:rPr>
                <w:rFonts w:cstheme="minorHAnsi"/>
                <w:b/>
                <w:bCs/>
                <w:sz w:val="24"/>
                <w:szCs w:val="24"/>
              </w:rPr>
              <w:lastRenderedPageBreak/>
              <w:t>Code :</w:t>
            </w:r>
          </w:p>
        </w:tc>
        <w:tc>
          <w:tcPr>
            <w:tcW w:w="7938" w:type="dxa"/>
            <w:shd w:val="clear" w:color="auto" w:fill="C2D69B" w:themeFill="accent3" w:themeFillTint="99"/>
          </w:tcPr>
          <w:p w:rsidR="00870625" w:rsidRPr="004442F3" w:rsidRDefault="00870625" w:rsidP="004D4DBB">
            <w:pPr>
              <w:spacing w:after="0" w:line="240" w:lineRule="auto"/>
              <w:jc w:val="center"/>
              <w:rPr>
                <w:rFonts w:cstheme="minorHAnsi"/>
                <w:b/>
                <w:bCs/>
                <w:sz w:val="24"/>
                <w:szCs w:val="24"/>
              </w:rPr>
            </w:pPr>
            <w:r w:rsidRPr="004442F3">
              <w:rPr>
                <w:rFonts w:cstheme="minorHAnsi"/>
                <w:b/>
                <w:bCs/>
                <w:sz w:val="24"/>
                <w:szCs w:val="24"/>
              </w:rPr>
              <w:t>NM EN 13491</w:t>
            </w:r>
          </w:p>
        </w:tc>
      </w:tr>
      <w:tr w:rsidR="0043547B" w:rsidRPr="0043547B" w:rsidTr="006E0830">
        <w:trPr>
          <w:trHeight w:val="23"/>
          <w:jc w:val="center"/>
        </w:trPr>
        <w:tc>
          <w:tcPr>
            <w:tcW w:w="1833" w:type="dxa"/>
            <w:shd w:val="clear" w:color="auto" w:fill="FDFBA9"/>
            <w:vAlign w:val="center"/>
          </w:tcPr>
          <w:p w:rsidR="00870625" w:rsidRPr="00D76D9A" w:rsidRDefault="00870625" w:rsidP="004D4DBB">
            <w:pPr>
              <w:spacing w:after="0" w:line="240" w:lineRule="auto"/>
              <w:jc w:val="center"/>
              <w:rPr>
                <w:rFonts w:cstheme="minorHAnsi"/>
                <w:b/>
                <w:bCs/>
                <w:sz w:val="24"/>
                <w:szCs w:val="24"/>
              </w:rPr>
            </w:pPr>
            <w:r w:rsidRPr="00D76D9A">
              <w:rPr>
                <w:rFonts w:cstheme="minorHAnsi"/>
                <w:b/>
                <w:bCs/>
                <w:sz w:val="24"/>
                <w:szCs w:val="24"/>
              </w:rPr>
              <w:t>Equivalence :</w:t>
            </w:r>
          </w:p>
        </w:tc>
        <w:tc>
          <w:tcPr>
            <w:tcW w:w="7938" w:type="dxa"/>
            <w:shd w:val="clear" w:color="auto" w:fill="FDFBA9"/>
            <w:vAlign w:val="center"/>
          </w:tcPr>
          <w:p w:rsidR="00870625" w:rsidRPr="00D76D9A" w:rsidRDefault="00870625" w:rsidP="004D4DBB">
            <w:pPr>
              <w:spacing w:after="0" w:line="240" w:lineRule="auto"/>
              <w:jc w:val="center"/>
              <w:rPr>
                <w:rFonts w:cstheme="minorHAnsi"/>
                <w:b/>
                <w:bCs/>
                <w:sz w:val="24"/>
                <w:szCs w:val="24"/>
              </w:rPr>
            </w:pPr>
            <w:r w:rsidRPr="00D76D9A">
              <w:rPr>
                <w:rFonts w:cstheme="minorHAnsi"/>
                <w:b/>
                <w:bCs/>
                <w:sz w:val="24"/>
                <w:szCs w:val="24"/>
              </w:rPr>
              <w:t xml:space="preserve">   EN 13491</w:t>
            </w:r>
          </w:p>
        </w:tc>
      </w:tr>
      <w:tr w:rsidR="0043547B" w:rsidRPr="0043547B" w:rsidTr="006E0830">
        <w:trPr>
          <w:trHeight w:val="753"/>
          <w:jc w:val="center"/>
        </w:trPr>
        <w:tc>
          <w:tcPr>
            <w:tcW w:w="1833" w:type="dxa"/>
            <w:shd w:val="clear" w:color="auto" w:fill="95B3D7" w:themeFill="accent1" w:themeFillTint="99"/>
            <w:vAlign w:val="center"/>
          </w:tcPr>
          <w:p w:rsidR="00870625" w:rsidRPr="0043547B" w:rsidRDefault="00870625" w:rsidP="004D4DBB">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shd w:val="clear" w:color="auto" w:fill="auto"/>
          </w:tcPr>
          <w:p w:rsidR="00870625" w:rsidRPr="0043547B" w:rsidRDefault="00870625" w:rsidP="004D4DBB">
            <w:pPr>
              <w:spacing w:after="0" w:line="240" w:lineRule="auto"/>
              <w:rPr>
                <w:rFonts w:cstheme="minorHAnsi"/>
                <w:sz w:val="24"/>
                <w:szCs w:val="24"/>
              </w:rPr>
            </w:pPr>
            <w:r w:rsidRPr="0043547B">
              <w:rPr>
                <w:rFonts w:cstheme="minorHAnsi"/>
                <w:sz w:val="24"/>
                <w:szCs w:val="24"/>
              </w:rPr>
              <w:t xml:space="preserve">Géomembranes, géosynthétiques bentonitiques - Caractéristiques requises pour l'utilisation comme barriere aux fluides dans la construction des tunnels et des structures souteraines associées  </w:t>
            </w:r>
          </w:p>
        </w:tc>
      </w:tr>
      <w:tr w:rsidR="0043547B" w:rsidRPr="0043547B" w:rsidTr="006E0830">
        <w:trPr>
          <w:trHeight w:val="753"/>
          <w:jc w:val="center"/>
        </w:trPr>
        <w:tc>
          <w:tcPr>
            <w:tcW w:w="1833" w:type="dxa"/>
            <w:shd w:val="clear" w:color="000000" w:fill="D9D9D9"/>
            <w:vAlign w:val="center"/>
          </w:tcPr>
          <w:p w:rsidR="00870625" w:rsidRPr="0043547B" w:rsidRDefault="00870625" w:rsidP="004D4DBB">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shd w:val="clear" w:color="auto" w:fill="auto"/>
          </w:tcPr>
          <w:p w:rsidR="004D4DBB" w:rsidRDefault="00870625" w:rsidP="004D4DBB">
            <w:pPr>
              <w:spacing w:after="0" w:line="240" w:lineRule="auto"/>
              <w:jc w:val="both"/>
              <w:rPr>
                <w:rFonts w:cstheme="minorHAnsi"/>
                <w:sz w:val="24"/>
                <w:szCs w:val="24"/>
              </w:rPr>
            </w:pPr>
            <w:r w:rsidRPr="0043547B">
              <w:rPr>
                <w:rFonts w:cstheme="minorHAnsi"/>
                <w:sz w:val="24"/>
                <w:szCs w:val="24"/>
              </w:rPr>
              <w:t>La présente Norme européenne spécifie les caractéristiques requises pour les géomembranes polymériques ou bitumineuses, et les géosynthétiques bentonitiques utilisés comme barrière aux fluides dans la construction des tunnels et des ouvrages souterrains associés, ainsi que les méthodes d'essai permettant de déterminer ces caractéristiques.</w:t>
            </w:r>
          </w:p>
          <w:p w:rsidR="004D4DBB" w:rsidRDefault="00870625" w:rsidP="004D4DBB">
            <w:pPr>
              <w:spacing w:after="0" w:line="240" w:lineRule="auto"/>
              <w:jc w:val="both"/>
              <w:rPr>
                <w:rFonts w:cstheme="minorHAnsi"/>
                <w:sz w:val="24"/>
                <w:szCs w:val="24"/>
              </w:rPr>
            </w:pPr>
            <w:r w:rsidRPr="0043547B">
              <w:rPr>
                <w:rFonts w:cstheme="minorHAnsi"/>
                <w:sz w:val="24"/>
                <w:szCs w:val="24"/>
              </w:rPr>
              <w:t>Ces produits sont destinés à contrôler les fuites d'eau à travers les parois de la construction.</w:t>
            </w:r>
            <w:r w:rsidRPr="0043547B">
              <w:rPr>
                <w:rFonts w:cstheme="minorHAnsi"/>
                <w:sz w:val="24"/>
                <w:szCs w:val="24"/>
              </w:rPr>
              <w:br/>
              <w:t>Le présent document ne s'applique pas aux géotextiles ou produits apparentés.</w:t>
            </w:r>
            <w:r w:rsidRPr="0043547B">
              <w:rPr>
                <w:rFonts w:cstheme="minorHAnsi"/>
                <w:sz w:val="24"/>
                <w:szCs w:val="24"/>
              </w:rPr>
              <w:br/>
              <w:t>Le présent document donne les informations permettant d'évaluer la conformité du produit au présent document.</w:t>
            </w:r>
          </w:p>
          <w:p w:rsidR="004D4DBB" w:rsidRDefault="00870625" w:rsidP="004D4DBB">
            <w:pPr>
              <w:spacing w:after="0" w:line="240" w:lineRule="auto"/>
              <w:jc w:val="both"/>
              <w:rPr>
                <w:rFonts w:cstheme="minorHAnsi"/>
                <w:sz w:val="24"/>
                <w:szCs w:val="24"/>
              </w:rPr>
            </w:pPr>
            <w:r w:rsidRPr="0043547B">
              <w:rPr>
                <w:rFonts w:cstheme="minorHAnsi"/>
                <w:sz w:val="24"/>
                <w:szCs w:val="24"/>
              </w:rPr>
              <w:t>Le présent document définit les exigences auxquelles les fabricants et distributeurs doivent satisfaire pour la présentation des propriétés du produit.</w:t>
            </w:r>
            <w:r w:rsidRPr="0043547B">
              <w:rPr>
                <w:rFonts w:cstheme="minorHAnsi"/>
                <w:sz w:val="24"/>
                <w:szCs w:val="24"/>
              </w:rPr>
              <w:br/>
              <w:t>Le présent document ne couvre pas les applications où la géomembrane ou le géosynthétique bentonitique doit être en contact avec une eau traitée destinée à la consommation humaine.</w:t>
            </w:r>
          </w:p>
          <w:p w:rsidR="00870625" w:rsidRPr="0043547B" w:rsidRDefault="00870625" w:rsidP="004D4DBB">
            <w:pPr>
              <w:spacing w:after="0" w:line="240" w:lineRule="auto"/>
              <w:jc w:val="both"/>
              <w:rPr>
                <w:rFonts w:cstheme="minorHAnsi"/>
                <w:sz w:val="24"/>
                <w:szCs w:val="24"/>
              </w:rPr>
            </w:pPr>
            <w:r w:rsidRPr="0043547B">
              <w:rPr>
                <w:rFonts w:cstheme="minorHAnsi"/>
                <w:sz w:val="24"/>
                <w:szCs w:val="24"/>
              </w:rPr>
              <w:t>Si de l'eau potable est ou peut être en contact direct avec le produit, il convient que le concepteur se réfère également aux normes, exigences et/ou règlements applicables.</w:t>
            </w:r>
          </w:p>
        </w:tc>
      </w:tr>
      <w:tr w:rsidR="0043547B" w:rsidRPr="0043547B" w:rsidTr="006E0830">
        <w:trPr>
          <w:trHeight w:val="23"/>
          <w:jc w:val="center"/>
        </w:trPr>
        <w:tc>
          <w:tcPr>
            <w:tcW w:w="1833" w:type="dxa"/>
            <w:shd w:val="clear" w:color="auto" w:fill="C2D69B" w:themeFill="accent3" w:themeFillTint="99"/>
            <w:vAlign w:val="center"/>
          </w:tcPr>
          <w:p w:rsidR="00870625" w:rsidRPr="004442F3" w:rsidRDefault="00870625" w:rsidP="004D4DBB">
            <w:pPr>
              <w:spacing w:after="0" w:line="240" w:lineRule="auto"/>
              <w:jc w:val="center"/>
              <w:rPr>
                <w:rFonts w:cstheme="minorHAnsi"/>
                <w:b/>
                <w:bCs/>
                <w:sz w:val="24"/>
                <w:szCs w:val="24"/>
              </w:rPr>
            </w:pPr>
            <w:r w:rsidRPr="004442F3">
              <w:rPr>
                <w:rFonts w:cstheme="minorHAnsi"/>
                <w:b/>
                <w:bCs/>
                <w:sz w:val="24"/>
                <w:szCs w:val="24"/>
              </w:rPr>
              <w:t>Code :</w:t>
            </w:r>
          </w:p>
        </w:tc>
        <w:tc>
          <w:tcPr>
            <w:tcW w:w="7938" w:type="dxa"/>
            <w:shd w:val="clear" w:color="auto" w:fill="C2D69B" w:themeFill="accent3" w:themeFillTint="99"/>
          </w:tcPr>
          <w:p w:rsidR="00870625" w:rsidRPr="004442F3" w:rsidRDefault="00870625" w:rsidP="004D4DBB">
            <w:pPr>
              <w:spacing w:after="0" w:line="240" w:lineRule="auto"/>
              <w:jc w:val="center"/>
              <w:rPr>
                <w:rFonts w:cstheme="minorHAnsi"/>
                <w:b/>
                <w:bCs/>
                <w:sz w:val="24"/>
                <w:szCs w:val="24"/>
              </w:rPr>
            </w:pPr>
            <w:r w:rsidRPr="004442F3">
              <w:rPr>
                <w:rFonts w:cstheme="minorHAnsi"/>
                <w:b/>
                <w:bCs/>
                <w:sz w:val="24"/>
                <w:szCs w:val="24"/>
              </w:rPr>
              <w:t>NM EN 13492</w:t>
            </w:r>
          </w:p>
        </w:tc>
      </w:tr>
      <w:tr w:rsidR="0043547B" w:rsidRPr="0043547B" w:rsidTr="006E0830">
        <w:trPr>
          <w:trHeight w:val="23"/>
          <w:jc w:val="center"/>
        </w:trPr>
        <w:tc>
          <w:tcPr>
            <w:tcW w:w="1833" w:type="dxa"/>
            <w:shd w:val="clear" w:color="auto" w:fill="FDFBA9"/>
            <w:vAlign w:val="center"/>
          </w:tcPr>
          <w:p w:rsidR="00870625" w:rsidRPr="00D76D9A" w:rsidRDefault="00870625" w:rsidP="004D4DBB">
            <w:pPr>
              <w:spacing w:after="0" w:line="240" w:lineRule="auto"/>
              <w:jc w:val="center"/>
              <w:rPr>
                <w:rFonts w:cstheme="minorHAnsi"/>
                <w:b/>
                <w:bCs/>
                <w:sz w:val="24"/>
                <w:szCs w:val="24"/>
              </w:rPr>
            </w:pPr>
            <w:r w:rsidRPr="00D76D9A">
              <w:rPr>
                <w:rFonts w:cstheme="minorHAnsi"/>
                <w:b/>
                <w:bCs/>
                <w:sz w:val="24"/>
                <w:szCs w:val="24"/>
              </w:rPr>
              <w:t>Equivalence :</w:t>
            </w:r>
          </w:p>
        </w:tc>
        <w:tc>
          <w:tcPr>
            <w:tcW w:w="7938" w:type="dxa"/>
            <w:shd w:val="clear" w:color="auto" w:fill="FDFBA9"/>
            <w:vAlign w:val="center"/>
          </w:tcPr>
          <w:p w:rsidR="00870625" w:rsidRPr="00D76D9A" w:rsidRDefault="00870625" w:rsidP="004D4DBB">
            <w:pPr>
              <w:spacing w:after="0" w:line="240" w:lineRule="auto"/>
              <w:jc w:val="center"/>
              <w:rPr>
                <w:rFonts w:cstheme="minorHAnsi"/>
                <w:b/>
                <w:bCs/>
                <w:sz w:val="24"/>
                <w:szCs w:val="24"/>
              </w:rPr>
            </w:pPr>
            <w:r w:rsidRPr="00D76D9A">
              <w:rPr>
                <w:rFonts w:cstheme="minorHAnsi"/>
                <w:b/>
                <w:bCs/>
                <w:sz w:val="24"/>
                <w:szCs w:val="24"/>
              </w:rPr>
              <w:t xml:space="preserve">   EN 13492</w:t>
            </w:r>
          </w:p>
        </w:tc>
      </w:tr>
      <w:tr w:rsidR="0043547B" w:rsidRPr="0043547B" w:rsidTr="006E0830">
        <w:trPr>
          <w:trHeight w:val="753"/>
          <w:jc w:val="center"/>
        </w:trPr>
        <w:tc>
          <w:tcPr>
            <w:tcW w:w="1833" w:type="dxa"/>
            <w:shd w:val="clear" w:color="auto" w:fill="95B3D7" w:themeFill="accent1" w:themeFillTint="99"/>
            <w:vAlign w:val="center"/>
          </w:tcPr>
          <w:p w:rsidR="00870625" w:rsidRPr="0043547B" w:rsidRDefault="00870625" w:rsidP="004D4DBB">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shd w:val="clear" w:color="auto" w:fill="auto"/>
          </w:tcPr>
          <w:p w:rsidR="00870625" w:rsidRPr="0043547B" w:rsidRDefault="00870625" w:rsidP="004D4DBB">
            <w:pPr>
              <w:spacing w:after="0" w:line="240" w:lineRule="auto"/>
              <w:jc w:val="both"/>
              <w:rPr>
                <w:rFonts w:cstheme="minorHAnsi"/>
                <w:sz w:val="24"/>
                <w:szCs w:val="24"/>
              </w:rPr>
            </w:pPr>
            <w:r w:rsidRPr="0043547B">
              <w:rPr>
                <w:rFonts w:cstheme="minorHAnsi"/>
                <w:sz w:val="24"/>
                <w:szCs w:val="24"/>
              </w:rPr>
              <w:t>Géomembranes, géosynthétiques bentonitiques - Caractéristiques requises pour l'utilisation dans la construction des sites d'évacuation de résidus liquides, des stations de transfert ou enceintes de confinement secondaire </w:t>
            </w:r>
          </w:p>
        </w:tc>
      </w:tr>
      <w:tr w:rsidR="0043547B" w:rsidRPr="0043547B" w:rsidTr="006E0830">
        <w:trPr>
          <w:trHeight w:val="753"/>
          <w:jc w:val="center"/>
        </w:trPr>
        <w:tc>
          <w:tcPr>
            <w:tcW w:w="1833" w:type="dxa"/>
            <w:shd w:val="clear" w:color="000000" w:fill="D9D9D9"/>
            <w:vAlign w:val="center"/>
          </w:tcPr>
          <w:p w:rsidR="00870625" w:rsidRPr="0043547B" w:rsidRDefault="00870625" w:rsidP="004D4DBB">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shd w:val="clear" w:color="auto" w:fill="auto"/>
          </w:tcPr>
          <w:p w:rsidR="004130CC" w:rsidRDefault="00870625" w:rsidP="004D4DBB">
            <w:pPr>
              <w:spacing w:after="0" w:line="240" w:lineRule="auto"/>
              <w:jc w:val="both"/>
              <w:rPr>
                <w:rFonts w:cstheme="minorHAnsi"/>
                <w:sz w:val="24"/>
                <w:szCs w:val="24"/>
              </w:rPr>
            </w:pPr>
            <w:r w:rsidRPr="0043547B">
              <w:rPr>
                <w:rFonts w:cstheme="minorHAnsi"/>
                <w:sz w:val="24"/>
                <w:szCs w:val="24"/>
              </w:rPr>
              <w:t>La présente Norme européenne spécifie les caractéristiques requises pour les géomembranes polymériques ou bitumineuses et les géosynthétiques bentonitiques utilisés comme barrière aux fluides dans la construction des ouvrages de traitement de résidus liquides, des stations de transfert et des enceintes de confinement secondaire destinées au stockage des résidus liquides dans les ouvrages d'enfouissement de déchets uniquement, ainsi que les méthodes d'essai permettant de déterminer ces caractéristiques.</w:t>
            </w:r>
          </w:p>
          <w:p w:rsidR="004D4DBB" w:rsidRDefault="00870625" w:rsidP="004D4DBB">
            <w:pPr>
              <w:spacing w:after="0" w:line="240" w:lineRule="auto"/>
              <w:jc w:val="both"/>
              <w:rPr>
                <w:rFonts w:cstheme="minorHAnsi"/>
                <w:sz w:val="24"/>
                <w:szCs w:val="24"/>
              </w:rPr>
            </w:pPr>
            <w:r w:rsidRPr="0043547B">
              <w:rPr>
                <w:rFonts w:cstheme="minorHAnsi"/>
                <w:sz w:val="24"/>
                <w:szCs w:val="24"/>
              </w:rPr>
              <w:t>Ces produits sont destinés à contrôler les fuites de liquides à travers la construction.</w:t>
            </w:r>
            <w:r w:rsidRPr="0043547B">
              <w:rPr>
                <w:rFonts w:cstheme="minorHAnsi"/>
                <w:sz w:val="24"/>
                <w:szCs w:val="24"/>
              </w:rPr>
              <w:br/>
              <w:t>Le présent document ne s'applique pas aux géotextiles ou produits apparentés.</w:t>
            </w:r>
            <w:r w:rsidRPr="0043547B">
              <w:rPr>
                <w:rFonts w:cstheme="minorHAnsi"/>
                <w:sz w:val="24"/>
                <w:szCs w:val="24"/>
              </w:rPr>
              <w:br/>
            </w:r>
            <w:r w:rsidRPr="0043547B">
              <w:rPr>
                <w:rFonts w:cstheme="minorHAnsi"/>
                <w:sz w:val="24"/>
                <w:szCs w:val="24"/>
              </w:rPr>
              <w:lastRenderedPageBreak/>
              <w:t>Le présent document donne les informations permettant d'évaluer la conformité du produit au présent document.</w:t>
            </w:r>
          </w:p>
          <w:p w:rsidR="00870625" w:rsidRPr="0043547B" w:rsidRDefault="00870625" w:rsidP="004D4DBB">
            <w:pPr>
              <w:spacing w:after="0" w:line="240" w:lineRule="auto"/>
              <w:jc w:val="both"/>
              <w:rPr>
                <w:rFonts w:cstheme="minorHAnsi"/>
                <w:sz w:val="24"/>
                <w:szCs w:val="24"/>
              </w:rPr>
            </w:pPr>
            <w:r w:rsidRPr="0043547B">
              <w:rPr>
                <w:rFonts w:cstheme="minorHAnsi"/>
                <w:sz w:val="24"/>
                <w:szCs w:val="24"/>
              </w:rPr>
              <w:t>Le présent document définit les exigences auxquelles les fabricants et distributeurs doivent satisfaire pour la présentation des propriétés du produit.</w:t>
            </w:r>
          </w:p>
        </w:tc>
      </w:tr>
      <w:tr w:rsidR="0043547B" w:rsidRPr="0043547B" w:rsidTr="006E0830">
        <w:trPr>
          <w:trHeight w:val="23"/>
          <w:jc w:val="center"/>
        </w:trPr>
        <w:tc>
          <w:tcPr>
            <w:tcW w:w="1833" w:type="dxa"/>
            <w:shd w:val="clear" w:color="auto" w:fill="C2D69B" w:themeFill="accent3" w:themeFillTint="99"/>
            <w:vAlign w:val="center"/>
          </w:tcPr>
          <w:p w:rsidR="00870625" w:rsidRPr="004442F3" w:rsidRDefault="00870625" w:rsidP="004D4DBB">
            <w:pPr>
              <w:spacing w:after="0" w:line="240" w:lineRule="auto"/>
              <w:jc w:val="center"/>
              <w:rPr>
                <w:rFonts w:cstheme="minorHAnsi"/>
                <w:b/>
                <w:bCs/>
                <w:sz w:val="24"/>
                <w:szCs w:val="24"/>
              </w:rPr>
            </w:pPr>
            <w:r w:rsidRPr="004442F3">
              <w:rPr>
                <w:rFonts w:cstheme="minorHAnsi"/>
                <w:b/>
                <w:bCs/>
                <w:sz w:val="24"/>
                <w:szCs w:val="24"/>
              </w:rPr>
              <w:lastRenderedPageBreak/>
              <w:t>Code :</w:t>
            </w:r>
          </w:p>
        </w:tc>
        <w:tc>
          <w:tcPr>
            <w:tcW w:w="7938" w:type="dxa"/>
            <w:shd w:val="clear" w:color="auto" w:fill="C2D69B" w:themeFill="accent3" w:themeFillTint="99"/>
          </w:tcPr>
          <w:p w:rsidR="00870625" w:rsidRPr="004442F3" w:rsidRDefault="00870625" w:rsidP="004D4DBB">
            <w:pPr>
              <w:spacing w:after="0" w:line="240" w:lineRule="auto"/>
              <w:jc w:val="center"/>
              <w:rPr>
                <w:rFonts w:cstheme="minorHAnsi"/>
                <w:b/>
                <w:bCs/>
                <w:sz w:val="24"/>
                <w:szCs w:val="24"/>
              </w:rPr>
            </w:pPr>
            <w:r w:rsidRPr="004442F3">
              <w:rPr>
                <w:rFonts w:cstheme="minorHAnsi"/>
                <w:b/>
                <w:bCs/>
                <w:sz w:val="24"/>
                <w:szCs w:val="24"/>
              </w:rPr>
              <w:t>NM EN 13493</w:t>
            </w:r>
          </w:p>
        </w:tc>
      </w:tr>
      <w:tr w:rsidR="0043547B" w:rsidRPr="0043547B" w:rsidTr="006E0830">
        <w:trPr>
          <w:trHeight w:val="23"/>
          <w:jc w:val="center"/>
        </w:trPr>
        <w:tc>
          <w:tcPr>
            <w:tcW w:w="1833" w:type="dxa"/>
            <w:shd w:val="clear" w:color="auto" w:fill="FDFBA9"/>
            <w:vAlign w:val="center"/>
          </w:tcPr>
          <w:p w:rsidR="00870625" w:rsidRPr="00D76D9A" w:rsidRDefault="00870625" w:rsidP="004D4DBB">
            <w:pPr>
              <w:spacing w:after="0" w:line="240" w:lineRule="auto"/>
              <w:jc w:val="center"/>
              <w:rPr>
                <w:rFonts w:cstheme="minorHAnsi"/>
                <w:b/>
                <w:bCs/>
                <w:sz w:val="24"/>
                <w:szCs w:val="24"/>
              </w:rPr>
            </w:pPr>
            <w:r w:rsidRPr="00D76D9A">
              <w:rPr>
                <w:rFonts w:cstheme="minorHAnsi"/>
                <w:b/>
                <w:bCs/>
                <w:sz w:val="24"/>
                <w:szCs w:val="24"/>
              </w:rPr>
              <w:t>Equivalence :</w:t>
            </w:r>
          </w:p>
        </w:tc>
        <w:tc>
          <w:tcPr>
            <w:tcW w:w="7938" w:type="dxa"/>
            <w:shd w:val="clear" w:color="auto" w:fill="FDFBA9"/>
            <w:vAlign w:val="center"/>
          </w:tcPr>
          <w:p w:rsidR="00870625" w:rsidRPr="00D76D9A" w:rsidRDefault="00870625" w:rsidP="004D4DBB">
            <w:pPr>
              <w:spacing w:after="0" w:line="240" w:lineRule="auto"/>
              <w:jc w:val="center"/>
              <w:rPr>
                <w:rFonts w:cstheme="minorHAnsi"/>
                <w:b/>
                <w:bCs/>
                <w:sz w:val="24"/>
                <w:szCs w:val="24"/>
              </w:rPr>
            </w:pPr>
            <w:r w:rsidRPr="00D76D9A">
              <w:rPr>
                <w:rFonts w:cstheme="minorHAnsi"/>
                <w:b/>
                <w:bCs/>
                <w:sz w:val="24"/>
                <w:szCs w:val="24"/>
              </w:rPr>
              <w:t xml:space="preserve">   EN 13493</w:t>
            </w:r>
          </w:p>
        </w:tc>
      </w:tr>
      <w:tr w:rsidR="0043547B" w:rsidRPr="0043547B" w:rsidTr="006E0830">
        <w:trPr>
          <w:trHeight w:val="753"/>
          <w:jc w:val="center"/>
        </w:trPr>
        <w:tc>
          <w:tcPr>
            <w:tcW w:w="1833" w:type="dxa"/>
            <w:shd w:val="clear" w:color="auto" w:fill="95B3D7" w:themeFill="accent1" w:themeFillTint="99"/>
            <w:vAlign w:val="center"/>
          </w:tcPr>
          <w:p w:rsidR="00870625" w:rsidRPr="0043547B" w:rsidRDefault="00870625" w:rsidP="004D4DBB">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shd w:val="clear" w:color="auto" w:fill="auto"/>
          </w:tcPr>
          <w:p w:rsidR="00870625" w:rsidRPr="0043547B" w:rsidRDefault="00870625" w:rsidP="004D4DBB">
            <w:pPr>
              <w:spacing w:after="0" w:line="240" w:lineRule="auto"/>
              <w:rPr>
                <w:rFonts w:cstheme="minorHAnsi"/>
                <w:sz w:val="24"/>
                <w:szCs w:val="24"/>
              </w:rPr>
            </w:pPr>
            <w:r w:rsidRPr="0043547B">
              <w:rPr>
                <w:rFonts w:cstheme="minorHAnsi"/>
                <w:sz w:val="24"/>
                <w:szCs w:val="24"/>
              </w:rPr>
              <w:t xml:space="preserve">Géomembranes et géosynthétiques bentonitiques - Caractéristiques requises pour l'utilisation dans la construction des ouvrages de stockage et d'enfouissement de déchets solides ; (IC 09.8.063)  </w:t>
            </w:r>
          </w:p>
        </w:tc>
      </w:tr>
      <w:tr w:rsidR="0043547B" w:rsidRPr="0043547B" w:rsidTr="006E0830">
        <w:trPr>
          <w:trHeight w:val="753"/>
          <w:jc w:val="center"/>
        </w:trPr>
        <w:tc>
          <w:tcPr>
            <w:tcW w:w="1833" w:type="dxa"/>
            <w:shd w:val="clear" w:color="000000" w:fill="D9D9D9"/>
            <w:vAlign w:val="center"/>
          </w:tcPr>
          <w:p w:rsidR="00870625" w:rsidRPr="0043547B" w:rsidRDefault="00870625" w:rsidP="004D4DBB">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shd w:val="clear" w:color="auto" w:fill="auto"/>
          </w:tcPr>
          <w:p w:rsidR="004D4DBB" w:rsidRDefault="00870625" w:rsidP="004D4DBB">
            <w:pPr>
              <w:spacing w:after="0" w:line="240" w:lineRule="auto"/>
              <w:jc w:val="both"/>
              <w:rPr>
                <w:rFonts w:cstheme="minorHAnsi"/>
                <w:sz w:val="24"/>
                <w:szCs w:val="24"/>
              </w:rPr>
            </w:pPr>
            <w:r w:rsidRPr="0043547B">
              <w:rPr>
                <w:rFonts w:cstheme="minorHAnsi"/>
                <w:sz w:val="24"/>
                <w:szCs w:val="24"/>
              </w:rPr>
              <w:t>Cette norme Européenne spécifie les caractéristiques applicables aux géosynthétiques d'étanchéité</w:t>
            </w:r>
            <w:r w:rsidR="002C6535">
              <w:rPr>
                <w:rFonts w:cstheme="minorHAnsi"/>
                <w:sz w:val="24"/>
                <w:szCs w:val="24"/>
              </w:rPr>
              <w:t xml:space="preserve"> </w:t>
            </w:r>
            <w:r w:rsidRPr="0043547B">
              <w:rPr>
                <w:rFonts w:cstheme="minorHAnsi"/>
                <w:sz w:val="24"/>
                <w:szCs w:val="24"/>
              </w:rPr>
              <w:t>incluant les géomembranes polymériques, les géosynthétiques bentonitiques et les géomembranes</w:t>
            </w:r>
            <w:r w:rsidR="002C6535">
              <w:rPr>
                <w:rFonts w:cstheme="minorHAnsi"/>
                <w:sz w:val="24"/>
                <w:szCs w:val="24"/>
              </w:rPr>
              <w:t xml:space="preserve"> </w:t>
            </w:r>
            <w:r w:rsidRPr="0043547B">
              <w:rPr>
                <w:rFonts w:cstheme="minorHAnsi"/>
                <w:sz w:val="24"/>
                <w:szCs w:val="24"/>
              </w:rPr>
              <w:t>bitumineuses utilisés comme barrière aux fluides et couche de séparation dans la construction des</w:t>
            </w:r>
            <w:r w:rsidRPr="0043547B">
              <w:rPr>
                <w:rFonts w:cstheme="minorHAnsi"/>
                <w:sz w:val="24"/>
                <w:szCs w:val="24"/>
              </w:rPr>
              <w:br/>
              <w:t>ouvrages de stockage et d’enfouissement de déchets solides, ainsi que les méthodes d'essai appropriées</w:t>
            </w:r>
            <w:r w:rsidR="002C6535">
              <w:rPr>
                <w:rFonts w:cstheme="minorHAnsi"/>
                <w:sz w:val="24"/>
                <w:szCs w:val="24"/>
              </w:rPr>
              <w:t xml:space="preserve"> </w:t>
            </w:r>
            <w:r w:rsidRPr="0043547B">
              <w:rPr>
                <w:rFonts w:cstheme="minorHAnsi"/>
                <w:sz w:val="24"/>
                <w:szCs w:val="24"/>
              </w:rPr>
              <w:t>pour déterminer ces caractéristiques.</w:t>
            </w:r>
          </w:p>
          <w:p w:rsidR="004D4DBB" w:rsidRDefault="00870625" w:rsidP="004D4DBB">
            <w:pPr>
              <w:spacing w:after="0" w:line="240" w:lineRule="auto"/>
              <w:jc w:val="both"/>
              <w:rPr>
                <w:rFonts w:cstheme="minorHAnsi"/>
                <w:sz w:val="24"/>
                <w:szCs w:val="24"/>
              </w:rPr>
            </w:pPr>
            <w:r w:rsidRPr="0043547B">
              <w:rPr>
                <w:rFonts w:cstheme="minorHAnsi"/>
                <w:sz w:val="24"/>
                <w:szCs w:val="24"/>
              </w:rPr>
              <w:t>Ces produits sont destinés à contrôler les fuites de fluides à travers la construction.</w:t>
            </w:r>
            <w:r w:rsidRPr="0043547B">
              <w:rPr>
                <w:rFonts w:cstheme="minorHAnsi"/>
                <w:sz w:val="24"/>
                <w:szCs w:val="24"/>
              </w:rPr>
              <w:br/>
              <w:t>Le présent document ne s'applique pas aux géotextiles ou produits apparentés, tels que définis dans</w:t>
            </w:r>
            <w:r w:rsidR="002C6535">
              <w:rPr>
                <w:rFonts w:cstheme="minorHAnsi"/>
                <w:sz w:val="24"/>
                <w:szCs w:val="24"/>
              </w:rPr>
              <w:t xml:space="preserve"> </w:t>
            </w:r>
            <w:r w:rsidRPr="0043547B">
              <w:rPr>
                <w:rFonts w:cstheme="minorHAnsi"/>
                <w:sz w:val="24"/>
                <w:szCs w:val="24"/>
              </w:rPr>
              <w:t>l'EN ISO 10318-1.</w:t>
            </w:r>
          </w:p>
          <w:p w:rsidR="004D4DBB" w:rsidRDefault="00870625" w:rsidP="004D4DBB">
            <w:pPr>
              <w:spacing w:after="0" w:line="240" w:lineRule="auto"/>
              <w:jc w:val="both"/>
              <w:rPr>
                <w:rFonts w:cstheme="minorHAnsi"/>
                <w:sz w:val="24"/>
                <w:szCs w:val="24"/>
              </w:rPr>
            </w:pPr>
            <w:r w:rsidRPr="0043547B">
              <w:rPr>
                <w:rFonts w:cstheme="minorHAnsi"/>
                <w:sz w:val="24"/>
                <w:szCs w:val="24"/>
              </w:rPr>
              <w:t>Cette norme Européenne permet d'évaluer et de vérifier la constance des performances (EVCP) du</w:t>
            </w:r>
            <w:r w:rsidR="002C6535">
              <w:rPr>
                <w:rFonts w:cstheme="minorHAnsi"/>
                <w:sz w:val="24"/>
                <w:szCs w:val="24"/>
              </w:rPr>
              <w:t xml:space="preserve"> </w:t>
            </w:r>
            <w:r w:rsidRPr="0043547B">
              <w:rPr>
                <w:rFonts w:cstheme="minorHAnsi"/>
                <w:sz w:val="24"/>
                <w:szCs w:val="24"/>
              </w:rPr>
              <w:t>produit à la présente Norme européenne et les procédures de contrôle de la production en usine.</w:t>
            </w:r>
          </w:p>
          <w:p w:rsidR="004D4DBB" w:rsidRDefault="00870625" w:rsidP="004D4DBB">
            <w:pPr>
              <w:spacing w:after="0" w:line="240" w:lineRule="auto"/>
              <w:jc w:val="both"/>
              <w:rPr>
                <w:rFonts w:cstheme="minorHAnsi"/>
                <w:sz w:val="24"/>
                <w:szCs w:val="24"/>
              </w:rPr>
            </w:pPr>
            <w:r w:rsidRPr="0043547B">
              <w:rPr>
                <w:rFonts w:cstheme="minorHAnsi"/>
                <w:sz w:val="24"/>
                <w:szCs w:val="24"/>
              </w:rPr>
              <w:t>Cette norme Européenne établit les caractéristiques à considérer au regard des performances à vérifier.</w:t>
            </w:r>
          </w:p>
          <w:p w:rsidR="00870625" w:rsidRPr="004D4DBB" w:rsidRDefault="00870625" w:rsidP="004D4DBB">
            <w:pPr>
              <w:spacing w:after="0" w:line="240" w:lineRule="auto"/>
              <w:jc w:val="both"/>
              <w:rPr>
                <w:rFonts w:cstheme="minorHAnsi"/>
                <w:i/>
                <w:iCs/>
                <w:sz w:val="24"/>
                <w:szCs w:val="24"/>
              </w:rPr>
            </w:pPr>
            <w:r w:rsidRPr="004D4DBB">
              <w:rPr>
                <w:rFonts w:cstheme="minorHAnsi"/>
                <w:b/>
                <w:bCs/>
                <w:i/>
                <w:iCs/>
              </w:rPr>
              <w:t>NOTE</w:t>
            </w:r>
            <w:r w:rsidR="004D4DBB" w:rsidRPr="004D4DBB">
              <w:rPr>
                <w:rFonts w:cstheme="minorHAnsi"/>
                <w:i/>
                <w:iCs/>
              </w:rPr>
              <w:t> :</w:t>
            </w:r>
            <w:r w:rsidRPr="004D4DBB">
              <w:rPr>
                <w:rFonts w:cstheme="minorHAnsi"/>
                <w:i/>
                <w:iCs/>
              </w:rPr>
              <w:t xml:space="preserve"> Si de l'eau potable est ou peut être en contact direct avec le produit, il convient que le concepteur se</w:t>
            </w:r>
            <w:r w:rsidR="002C6535" w:rsidRPr="004D4DBB">
              <w:rPr>
                <w:rFonts w:cstheme="minorHAnsi"/>
                <w:i/>
                <w:iCs/>
              </w:rPr>
              <w:t xml:space="preserve"> </w:t>
            </w:r>
            <w:r w:rsidRPr="004D4DBB">
              <w:rPr>
                <w:rFonts w:cstheme="minorHAnsi"/>
                <w:i/>
                <w:iCs/>
              </w:rPr>
              <w:t>réfère également aux normes, exigences et/ou règlements applicables</w:t>
            </w:r>
            <w:r w:rsidR="004D4DBB">
              <w:rPr>
                <w:rFonts w:cstheme="minorHAnsi"/>
                <w:i/>
                <w:iCs/>
              </w:rPr>
              <w:t>.</w:t>
            </w:r>
          </w:p>
        </w:tc>
      </w:tr>
      <w:tr w:rsidR="0043547B" w:rsidRPr="0043547B" w:rsidTr="006E0830">
        <w:trPr>
          <w:trHeight w:val="23"/>
          <w:jc w:val="center"/>
        </w:trPr>
        <w:tc>
          <w:tcPr>
            <w:tcW w:w="1833" w:type="dxa"/>
            <w:shd w:val="clear" w:color="auto" w:fill="C2D69B" w:themeFill="accent3" w:themeFillTint="99"/>
            <w:vAlign w:val="center"/>
          </w:tcPr>
          <w:p w:rsidR="00870625" w:rsidRPr="00D76D9A" w:rsidRDefault="00870625" w:rsidP="004D4DBB">
            <w:pPr>
              <w:spacing w:after="0" w:line="240" w:lineRule="auto"/>
              <w:jc w:val="center"/>
              <w:rPr>
                <w:rFonts w:cstheme="minorHAnsi"/>
                <w:b/>
                <w:bCs/>
                <w:sz w:val="24"/>
                <w:szCs w:val="24"/>
              </w:rPr>
            </w:pPr>
            <w:r w:rsidRPr="00D76D9A">
              <w:rPr>
                <w:rFonts w:cstheme="minorHAnsi"/>
                <w:b/>
                <w:bCs/>
                <w:sz w:val="24"/>
                <w:szCs w:val="24"/>
              </w:rPr>
              <w:t>Code :</w:t>
            </w:r>
          </w:p>
        </w:tc>
        <w:tc>
          <w:tcPr>
            <w:tcW w:w="7938" w:type="dxa"/>
            <w:shd w:val="clear" w:color="auto" w:fill="C2D69B" w:themeFill="accent3" w:themeFillTint="99"/>
          </w:tcPr>
          <w:p w:rsidR="00870625" w:rsidRPr="00D76D9A" w:rsidRDefault="00870625" w:rsidP="004D4DBB">
            <w:pPr>
              <w:spacing w:after="0" w:line="240" w:lineRule="auto"/>
              <w:jc w:val="center"/>
              <w:rPr>
                <w:rFonts w:cstheme="minorHAnsi"/>
                <w:b/>
                <w:bCs/>
                <w:sz w:val="24"/>
                <w:szCs w:val="24"/>
              </w:rPr>
            </w:pPr>
            <w:r w:rsidRPr="00D76D9A">
              <w:rPr>
                <w:rFonts w:cstheme="minorHAnsi"/>
                <w:b/>
                <w:bCs/>
                <w:sz w:val="24"/>
                <w:szCs w:val="24"/>
              </w:rPr>
              <w:t>NM EN 15382</w:t>
            </w:r>
          </w:p>
        </w:tc>
      </w:tr>
      <w:tr w:rsidR="0043547B" w:rsidRPr="0043547B" w:rsidTr="006E0830">
        <w:trPr>
          <w:trHeight w:val="373"/>
          <w:jc w:val="center"/>
        </w:trPr>
        <w:tc>
          <w:tcPr>
            <w:tcW w:w="1833" w:type="dxa"/>
            <w:shd w:val="clear" w:color="auto" w:fill="FDFBA9"/>
            <w:vAlign w:val="center"/>
          </w:tcPr>
          <w:p w:rsidR="00870625" w:rsidRPr="00D76D9A" w:rsidRDefault="00870625" w:rsidP="004D4DBB">
            <w:pPr>
              <w:spacing w:after="0" w:line="240" w:lineRule="auto"/>
              <w:jc w:val="center"/>
              <w:rPr>
                <w:rFonts w:cstheme="minorHAnsi"/>
                <w:b/>
                <w:bCs/>
                <w:sz w:val="24"/>
                <w:szCs w:val="24"/>
              </w:rPr>
            </w:pPr>
            <w:r w:rsidRPr="00D76D9A">
              <w:rPr>
                <w:rFonts w:cstheme="minorHAnsi"/>
                <w:b/>
                <w:bCs/>
                <w:sz w:val="24"/>
                <w:szCs w:val="24"/>
              </w:rPr>
              <w:t>Equivalence :</w:t>
            </w:r>
          </w:p>
        </w:tc>
        <w:tc>
          <w:tcPr>
            <w:tcW w:w="7938" w:type="dxa"/>
            <w:shd w:val="clear" w:color="auto" w:fill="FDFBA9"/>
            <w:vAlign w:val="center"/>
          </w:tcPr>
          <w:p w:rsidR="00870625" w:rsidRPr="00D76D9A" w:rsidRDefault="00870625" w:rsidP="004D4DBB">
            <w:pPr>
              <w:spacing w:after="0" w:line="240" w:lineRule="auto"/>
              <w:jc w:val="center"/>
              <w:rPr>
                <w:rFonts w:cstheme="minorHAnsi"/>
                <w:b/>
                <w:bCs/>
                <w:sz w:val="24"/>
                <w:szCs w:val="24"/>
              </w:rPr>
            </w:pPr>
            <w:r w:rsidRPr="00D76D9A">
              <w:rPr>
                <w:rFonts w:cstheme="minorHAnsi"/>
                <w:b/>
                <w:bCs/>
                <w:sz w:val="24"/>
                <w:szCs w:val="24"/>
              </w:rPr>
              <w:t xml:space="preserve">   EN 15382</w:t>
            </w:r>
          </w:p>
        </w:tc>
      </w:tr>
      <w:tr w:rsidR="0043547B" w:rsidRPr="0043547B" w:rsidTr="006E0830">
        <w:trPr>
          <w:trHeight w:val="663"/>
          <w:jc w:val="center"/>
        </w:trPr>
        <w:tc>
          <w:tcPr>
            <w:tcW w:w="1833" w:type="dxa"/>
            <w:shd w:val="clear" w:color="auto" w:fill="95B3D7" w:themeFill="accent1" w:themeFillTint="99"/>
            <w:vAlign w:val="center"/>
          </w:tcPr>
          <w:p w:rsidR="00870625" w:rsidRPr="0043547B" w:rsidRDefault="00870625" w:rsidP="004D4DBB">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shd w:val="clear" w:color="auto" w:fill="auto"/>
          </w:tcPr>
          <w:p w:rsidR="00870625" w:rsidRPr="0043547B" w:rsidRDefault="00870625" w:rsidP="004D4DBB">
            <w:pPr>
              <w:spacing w:after="0" w:line="240" w:lineRule="auto"/>
              <w:rPr>
                <w:rFonts w:cstheme="minorHAnsi"/>
                <w:sz w:val="24"/>
                <w:szCs w:val="24"/>
              </w:rPr>
            </w:pPr>
            <w:r w:rsidRPr="0043547B">
              <w:rPr>
                <w:rFonts w:cstheme="minorHAnsi"/>
                <w:sz w:val="24"/>
                <w:szCs w:val="24"/>
              </w:rPr>
              <w:t xml:space="preserve">Géomembranes et géosynthétiques bentonitiques - Caractéristiques requises pour l'utilisation dans les infrastructures de transport </w:t>
            </w:r>
          </w:p>
        </w:tc>
      </w:tr>
      <w:tr w:rsidR="0043547B" w:rsidRPr="0043547B" w:rsidTr="006E0830">
        <w:trPr>
          <w:trHeight w:val="35"/>
          <w:jc w:val="center"/>
        </w:trPr>
        <w:tc>
          <w:tcPr>
            <w:tcW w:w="1833" w:type="dxa"/>
            <w:shd w:val="clear" w:color="000000" w:fill="D9D9D9"/>
            <w:vAlign w:val="center"/>
          </w:tcPr>
          <w:p w:rsidR="00870625" w:rsidRPr="0043547B" w:rsidRDefault="00870625" w:rsidP="004D4DBB">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shd w:val="clear" w:color="auto" w:fill="auto"/>
          </w:tcPr>
          <w:p w:rsidR="004D4DBB" w:rsidRDefault="00870625" w:rsidP="004D4DBB">
            <w:pPr>
              <w:spacing w:after="0" w:line="240" w:lineRule="auto"/>
              <w:jc w:val="both"/>
              <w:rPr>
                <w:rFonts w:cstheme="minorHAnsi"/>
                <w:sz w:val="24"/>
                <w:szCs w:val="24"/>
              </w:rPr>
            </w:pPr>
            <w:r w:rsidRPr="0043547B">
              <w:rPr>
                <w:rFonts w:cstheme="minorHAnsi"/>
                <w:sz w:val="24"/>
                <w:szCs w:val="24"/>
              </w:rPr>
              <w:t>Cette Norme européenne spécifie les caractéristiques applicables aux géosynthétiques d'étanchéité</w:t>
            </w:r>
            <w:r w:rsidR="002C6535">
              <w:rPr>
                <w:rFonts w:cstheme="minorHAnsi"/>
                <w:sz w:val="24"/>
                <w:szCs w:val="24"/>
              </w:rPr>
              <w:t xml:space="preserve"> </w:t>
            </w:r>
            <w:r w:rsidRPr="0043547B">
              <w:rPr>
                <w:rFonts w:cstheme="minorHAnsi"/>
                <w:sz w:val="24"/>
                <w:szCs w:val="24"/>
              </w:rPr>
              <w:t>incluant les géomembranes polymériques, les géosynthétiques bentonitiques et les géomembranes</w:t>
            </w:r>
            <w:r w:rsidR="002C6535">
              <w:rPr>
                <w:rFonts w:cstheme="minorHAnsi"/>
                <w:sz w:val="24"/>
                <w:szCs w:val="24"/>
              </w:rPr>
              <w:t xml:space="preserve"> </w:t>
            </w:r>
            <w:r w:rsidRPr="0043547B">
              <w:rPr>
                <w:rFonts w:cstheme="minorHAnsi"/>
                <w:sz w:val="24"/>
                <w:szCs w:val="24"/>
              </w:rPr>
              <w:t>bitumineuses utilisés comme barrière aux fluides dans les travaux d'infrastructures, par exemple les</w:t>
            </w:r>
            <w:r w:rsidRPr="0043547B">
              <w:rPr>
                <w:rFonts w:cstheme="minorHAnsi"/>
                <w:sz w:val="24"/>
                <w:szCs w:val="24"/>
              </w:rPr>
              <w:br/>
              <w:t>chaussées, voies ferrées et pistes aéroportuaires, ainsi que les méthodes d'essai appropriées pour</w:t>
            </w:r>
            <w:r w:rsidR="002C6535">
              <w:rPr>
                <w:rFonts w:cstheme="minorHAnsi"/>
                <w:sz w:val="24"/>
                <w:szCs w:val="24"/>
              </w:rPr>
              <w:t xml:space="preserve"> </w:t>
            </w:r>
            <w:r w:rsidRPr="0043547B">
              <w:rPr>
                <w:rFonts w:cstheme="minorHAnsi"/>
                <w:sz w:val="24"/>
                <w:szCs w:val="24"/>
              </w:rPr>
              <w:t>déterminer ces caractéristiques.</w:t>
            </w:r>
          </w:p>
          <w:p w:rsidR="004D4DBB" w:rsidRDefault="00870625" w:rsidP="004D4DBB">
            <w:pPr>
              <w:spacing w:after="0" w:line="240" w:lineRule="auto"/>
              <w:jc w:val="both"/>
              <w:rPr>
                <w:rFonts w:cstheme="minorHAnsi"/>
                <w:sz w:val="24"/>
                <w:szCs w:val="24"/>
              </w:rPr>
            </w:pPr>
            <w:r w:rsidRPr="0043547B">
              <w:rPr>
                <w:rFonts w:cstheme="minorHAnsi"/>
                <w:sz w:val="24"/>
                <w:szCs w:val="24"/>
              </w:rPr>
              <w:t>Les tunnels et ouvrages souterrains sont couverts par l'EN 13491.</w:t>
            </w:r>
          </w:p>
          <w:p w:rsidR="004D4DBB" w:rsidRDefault="00870625" w:rsidP="004D4DBB">
            <w:pPr>
              <w:spacing w:after="0" w:line="240" w:lineRule="auto"/>
              <w:jc w:val="both"/>
              <w:rPr>
                <w:rFonts w:cstheme="minorHAnsi"/>
                <w:sz w:val="24"/>
                <w:szCs w:val="24"/>
              </w:rPr>
            </w:pPr>
            <w:r w:rsidRPr="0043547B">
              <w:rPr>
                <w:rFonts w:cstheme="minorHAnsi"/>
                <w:sz w:val="24"/>
                <w:szCs w:val="24"/>
              </w:rPr>
              <w:t>Ces produits sont destinés à contrôler le passage de liquides à travers la construction et limiter toute</w:t>
            </w:r>
            <w:r w:rsidR="002C6535">
              <w:rPr>
                <w:rFonts w:cstheme="minorHAnsi"/>
                <w:sz w:val="24"/>
                <w:szCs w:val="24"/>
              </w:rPr>
              <w:t xml:space="preserve"> </w:t>
            </w:r>
            <w:r w:rsidRPr="0043547B">
              <w:rPr>
                <w:rFonts w:cstheme="minorHAnsi"/>
                <w:sz w:val="24"/>
                <w:szCs w:val="24"/>
              </w:rPr>
              <w:t>contamination, par des produits de dégivrage par exemple, des nappes phréatiques ou des ressources</w:t>
            </w:r>
            <w:r w:rsidR="002C6535">
              <w:rPr>
                <w:rFonts w:cstheme="minorHAnsi"/>
                <w:sz w:val="24"/>
                <w:szCs w:val="24"/>
              </w:rPr>
              <w:t xml:space="preserve"> </w:t>
            </w:r>
            <w:r w:rsidRPr="0043547B">
              <w:rPr>
                <w:rFonts w:cstheme="minorHAnsi"/>
                <w:sz w:val="24"/>
                <w:szCs w:val="24"/>
              </w:rPr>
              <w:t>en eau.</w:t>
            </w:r>
          </w:p>
          <w:p w:rsidR="004D4DBB" w:rsidRDefault="00870625" w:rsidP="004D4DBB">
            <w:pPr>
              <w:spacing w:after="0" w:line="240" w:lineRule="auto"/>
              <w:jc w:val="both"/>
              <w:rPr>
                <w:rFonts w:cstheme="minorHAnsi"/>
                <w:sz w:val="24"/>
                <w:szCs w:val="24"/>
              </w:rPr>
            </w:pPr>
            <w:r w:rsidRPr="0043547B">
              <w:rPr>
                <w:rFonts w:cstheme="minorHAnsi"/>
                <w:sz w:val="24"/>
                <w:szCs w:val="24"/>
              </w:rPr>
              <w:t>Cette Norme européenne ne s'applique pas aux géotextiles ou produits apparentés, tels que définis dans</w:t>
            </w:r>
            <w:r w:rsidR="002C6535">
              <w:rPr>
                <w:rFonts w:cstheme="minorHAnsi"/>
                <w:sz w:val="24"/>
                <w:szCs w:val="24"/>
              </w:rPr>
              <w:t xml:space="preserve"> </w:t>
            </w:r>
            <w:r w:rsidRPr="0043547B">
              <w:rPr>
                <w:rFonts w:cstheme="minorHAnsi"/>
                <w:sz w:val="24"/>
                <w:szCs w:val="24"/>
              </w:rPr>
              <w:t>l'EN ISO 10318-1.</w:t>
            </w:r>
          </w:p>
          <w:p w:rsidR="004D4DBB" w:rsidRDefault="00870625" w:rsidP="004D4DBB">
            <w:pPr>
              <w:spacing w:after="0" w:line="240" w:lineRule="auto"/>
              <w:jc w:val="both"/>
              <w:rPr>
                <w:rFonts w:cstheme="minorHAnsi"/>
                <w:sz w:val="24"/>
                <w:szCs w:val="24"/>
              </w:rPr>
            </w:pPr>
            <w:r w:rsidRPr="0043547B">
              <w:rPr>
                <w:rFonts w:cstheme="minorHAnsi"/>
                <w:sz w:val="24"/>
                <w:szCs w:val="24"/>
              </w:rPr>
              <w:t>Cette Norme européenne permet d'évaluer et de vérifier la constance des performances du produit à la</w:t>
            </w:r>
            <w:r w:rsidR="002C6535">
              <w:rPr>
                <w:rFonts w:cstheme="minorHAnsi"/>
                <w:sz w:val="24"/>
                <w:szCs w:val="24"/>
              </w:rPr>
              <w:t xml:space="preserve"> </w:t>
            </w:r>
            <w:r w:rsidRPr="0043547B">
              <w:rPr>
                <w:rFonts w:cstheme="minorHAnsi"/>
                <w:sz w:val="24"/>
                <w:szCs w:val="24"/>
              </w:rPr>
              <w:t>présente Norme européenne et les procédures de contrôle de la production en usine.</w:t>
            </w:r>
          </w:p>
          <w:p w:rsidR="004D4DBB" w:rsidRDefault="00870625" w:rsidP="004D4DBB">
            <w:pPr>
              <w:spacing w:after="0" w:line="240" w:lineRule="auto"/>
              <w:jc w:val="both"/>
              <w:rPr>
                <w:rFonts w:cstheme="minorHAnsi"/>
                <w:sz w:val="24"/>
                <w:szCs w:val="24"/>
              </w:rPr>
            </w:pPr>
            <w:r w:rsidRPr="0043547B">
              <w:rPr>
                <w:rFonts w:cstheme="minorHAnsi"/>
                <w:sz w:val="24"/>
                <w:szCs w:val="24"/>
              </w:rPr>
              <w:lastRenderedPageBreak/>
              <w:t>Cette Norme européenne définit les exigences que les fabricants et leurs représentants agréés doivent</w:t>
            </w:r>
            <w:r w:rsidR="002C6535">
              <w:rPr>
                <w:rFonts w:cstheme="minorHAnsi"/>
                <w:sz w:val="24"/>
                <w:szCs w:val="24"/>
              </w:rPr>
              <w:t xml:space="preserve"> </w:t>
            </w:r>
            <w:r w:rsidRPr="0043547B">
              <w:rPr>
                <w:rFonts w:cstheme="minorHAnsi"/>
                <w:sz w:val="24"/>
                <w:szCs w:val="24"/>
              </w:rPr>
              <w:t>satisfaire concernant la présentation des propriétés du produit.</w:t>
            </w:r>
          </w:p>
          <w:p w:rsidR="004D4DBB" w:rsidRDefault="00870625" w:rsidP="004D4DBB">
            <w:pPr>
              <w:spacing w:after="0" w:line="240" w:lineRule="auto"/>
              <w:jc w:val="both"/>
              <w:rPr>
                <w:rFonts w:cstheme="minorHAnsi"/>
                <w:sz w:val="24"/>
                <w:szCs w:val="24"/>
              </w:rPr>
            </w:pPr>
            <w:r w:rsidRPr="0043547B">
              <w:rPr>
                <w:rFonts w:cstheme="minorHAnsi"/>
                <w:sz w:val="24"/>
                <w:szCs w:val="24"/>
              </w:rPr>
              <w:t>Cette Norme européenne ne couvre pas les cas où la géomembrane ou le géosynthétique bentonitique</w:t>
            </w:r>
            <w:r w:rsidR="002C6535">
              <w:rPr>
                <w:rFonts w:cstheme="minorHAnsi"/>
                <w:sz w:val="24"/>
                <w:szCs w:val="24"/>
              </w:rPr>
              <w:t xml:space="preserve"> </w:t>
            </w:r>
            <w:r w:rsidRPr="0043547B">
              <w:rPr>
                <w:rFonts w:cstheme="minorHAnsi"/>
                <w:sz w:val="24"/>
                <w:szCs w:val="24"/>
              </w:rPr>
              <w:t>doit être en contact avec une eau traitée destinée à la consommation humaine.</w:t>
            </w:r>
          </w:p>
          <w:p w:rsidR="00F21DCC" w:rsidRPr="004D4DBB" w:rsidRDefault="00870625" w:rsidP="00F21DCC">
            <w:pPr>
              <w:spacing w:after="0" w:line="240" w:lineRule="auto"/>
              <w:jc w:val="both"/>
              <w:rPr>
                <w:rFonts w:cstheme="minorHAnsi"/>
                <w:i/>
                <w:iCs/>
                <w:sz w:val="24"/>
                <w:szCs w:val="24"/>
              </w:rPr>
            </w:pPr>
            <w:r w:rsidRPr="004D4DBB">
              <w:rPr>
                <w:rFonts w:cstheme="minorHAnsi"/>
                <w:b/>
                <w:bCs/>
                <w:i/>
                <w:iCs/>
              </w:rPr>
              <w:t>NOTE</w:t>
            </w:r>
            <w:r w:rsidR="004D4DBB" w:rsidRPr="004D4DBB">
              <w:rPr>
                <w:rFonts w:cstheme="minorHAnsi"/>
                <w:b/>
                <w:bCs/>
                <w:i/>
                <w:iCs/>
              </w:rPr>
              <w:t> </w:t>
            </w:r>
            <w:r w:rsidR="004D4DBB" w:rsidRPr="004D4DBB">
              <w:rPr>
                <w:rFonts w:cstheme="minorHAnsi"/>
                <w:i/>
                <w:iCs/>
              </w:rPr>
              <w:t xml:space="preserve">: </w:t>
            </w:r>
            <w:r w:rsidRPr="004D4DBB">
              <w:rPr>
                <w:rFonts w:cstheme="minorHAnsi"/>
                <w:i/>
                <w:iCs/>
              </w:rPr>
              <w:t>Si de l'eau potable est ou peut être en contact direct avec le produit, il convient que le concepteur se</w:t>
            </w:r>
            <w:r w:rsidR="002C6535" w:rsidRPr="004D4DBB">
              <w:rPr>
                <w:rFonts w:cstheme="minorHAnsi"/>
                <w:i/>
                <w:iCs/>
              </w:rPr>
              <w:t xml:space="preserve"> </w:t>
            </w:r>
            <w:r w:rsidRPr="004D4DBB">
              <w:rPr>
                <w:rFonts w:cstheme="minorHAnsi"/>
                <w:i/>
                <w:iCs/>
              </w:rPr>
              <w:t>réfère également aux normes, exigences et/ou règlements applicables.</w:t>
            </w:r>
          </w:p>
        </w:tc>
      </w:tr>
      <w:tr w:rsidR="004E002F" w:rsidRPr="0043547B" w:rsidTr="006E0830">
        <w:trPr>
          <w:trHeight w:val="383"/>
          <w:jc w:val="center"/>
        </w:trPr>
        <w:tc>
          <w:tcPr>
            <w:tcW w:w="1833" w:type="dxa"/>
            <w:shd w:val="clear" w:color="auto" w:fill="C2D69B" w:themeFill="accent3" w:themeFillTint="99"/>
            <w:vAlign w:val="center"/>
          </w:tcPr>
          <w:p w:rsidR="004E002F" w:rsidRDefault="004E002F" w:rsidP="00F21DCC">
            <w:pPr>
              <w:spacing w:after="0" w:line="240" w:lineRule="auto"/>
              <w:jc w:val="center"/>
              <w:rPr>
                <w:rFonts w:ascii="Calibri" w:hAnsi="Calibri" w:cs="Calibri"/>
                <w:b/>
                <w:bCs/>
                <w:color w:val="000000"/>
              </w:rPr>
            </w:pPr>
            <w:r>
              <w:rPr>
                <w:rFonts w:ascii="Calibri" w:hAnsi="Calibri" w:cs="Calibri"/>
                <w:b/>
                <w:bCs/>
                <w:color w:val="000000"/>
              </w:rPr>
              <w:lastRenderedPageBreak/>
              <w:t>Code :</w:t>
            </w:r>
          </w:p>
        </w:tc>
        <w:tc>
          <w:tcPr>
            <w:tcW w:w="7938" w:type="dxa"/>
            <w:shd w:val="clear" w:color="auto" w:fill="C2D69B" w:themeFill="accent3" w:themeFillTint="99"/>
            <w:vAlign w:val="center"/>
          </w:tcPr>
          <w:p w:rsidR="004E002F" w:rsidRPr="00F21DCC" w:rsidRDefault="004E002F" w:rsidP="00F21DCC">
            <w:pPr>
              <w:spacing w:after="0" w:line="240" w:lineRule="auto"/>
              <w:jc w:val="center"/>
              <w:rPr>
                <w:rFonts w:ascii="Calibri" w:hAnsi="Calibri" w:cs="Calibri"/>
                <w:b/>
                <w:bCs/>
                <w:color w:val="000000"/>
                <w:sz w:val="24"/>
                <w:szCs w:val="24"/>
              </w:rPr>
            </w:pPr>
            <w:r w:rsidRPr="00F21DCC">
              <w:rPr>
                <w:rFonts w:ascii="Calibri" w:hAnsi="Calibri" w:cs="Calibri"/>
                <w:b/>
                <w:bCs/>
                <w:color w:val="000000"/>
                <w:sz w:val="24"/>
                <w:szCs w:val="24"/>
              </w:rPr>
              <w:t>NM EN 13249</w:t>
            </w:r>
          </w:p>
        </w:tc>
      </w:tr>
      <w:tr w:rsidR="004E002F" w:rsidRPr="0043547B" w:rsidTr="006E0830">
        <w:trPr>
          <w:trHeight w:val="418"/>
          <w:jc w:val="center"/>
        </w:trPr>
        <w:tc>
          <w:tcPr>
            <w:tcW w:w="1833" w:type="dxa"/>
            <w:shd w:val="clear" w:color="auto" w:fill="FFFF99"/>
            <w:vAlign w:val="center"/>
          </w:tcPr>
          <w:p w:rsidR="004E002F" w:rsidRDefault="004E002F" w:rsidP="00F21DCC">
            <w:pPr>
              <w:spacing w:after="0" w:line="240" w:lineRule="auto"/>
              <w:jc w:val="center"/>
              <w:rPr>
                <w:rFonts w:ascii="Calibri" w:hAnsi="Calibri" w:cs="Calibri"/>
                <w:b/>
                <w:bCs/>
                <w:color w:val="000000"/>
                <w:sz w:val="24"/>
                <w:szCs w:val="24"/>
              </w:rPr>
            </w:pPr>
            <w:r>
              <w:rPr>
                <w:rFonts w:ascii="Calibri" w:hAnsi="Calibri" w:cs="Calibri"/>
                <w:b/>
                <w:bCs/>
                <w:color w:val="000000"/>
              </w:rPr>
              <w:t>Equivalence :</w:t>
            </w:r>
          </w:p>
        </w:tc>
        <w:tc>
          <w:tcPr>
            <w:tcW w:w="7938" w:type="dxa"/>
            <w:shd w:val="clear" w:color="auto" w:fill="FFFF99"/>
            <w:vAlign w:val="center"/>
          </w:tcPr>
          <w:p w:rsidR="004E002F" w:rsidRPr="00F21DCC" w:rsidRDefault="004E002F" w:rsidP="00F21DCC">
            <w:pPr>
              <w:spacing w:after="0" w:line="240" w:lineRule="auto"/>
              <w:jc w:val="center"/>
              <w:rPr>
                <w:rFonts w:ascii="Calibri" w:hAnsi="Calibri" w:cs="Calibri"/>
                <w:b/>
                <w:bCs/>
                <w:color w:val="000000"/>
                <w:sz w:val="24"/>
                <w:szCs w:val="24"/>
              </w:rPr>
            </w:pPr>
            <w:r w:rsidRPr="00F21DCC">
              <w:rPr>
                <w:rFonts w:ascii="Calibri" w:hAnsi="Calibri" w:cs="Calibri"/>
                <w:b/>
                <w:bCs/>
                <w:color w:val="000000"/>
                <w:sz w:val="24"/>
                <w:szCs w:val="24"/>
              </w:rPr>
              <w:t>EN 13249</w:t>
            </w:r>
          </w:p>
        </w:tc>
      </w:tr>
      <w:tr w:rsidR="004E002F" w:rsidRPr="0043547B" w:rsidTr="006E0830">
        <w:trPr>
          <w:trHeight w:val="753"/>
          <w:jc w:val="center"/>
        </w:trPr>
        <w:tc>
          <w:tcPr>
            <w:tcW w:w="1833" w:type="dxa"/>
            <w:shd w:val="clear" w:color="auto" w:fill="8DB3E2" w:themeFill="text2" w:themeFillTint="66"/>
            <w:vAlign w:val="center"/>
          </w:tcPr>
          <w:p w:rsidR="004E002F" w:rsidRDefault="004E002F" w:rsidP="00F21DCC">
            <w:pPr>
              <w:spacing w:after="0" w:line="240" w:lineRule="auto"/>
              <w:jc w:val="center"/>
              <w:rPr>
                <w:rFonts w:ascii="Calibri" w:hAnsi="Calibri" w:cs="Calibri"/>
                <w:b/>
                <w:bCs/>
                <w:color w:val="000000"/>
                <w:sz w:val="24"/>
                <w:szCs w:val="24"/>
              </w:rPr>
            </w:pPr>
            <w:r>
              <w:rPr>
                <w:rFonts w:ascii="Calibri" w:hAnsi="Calibri" w:cs="Calibri"/>
                <w:b/>
                <w:bCs/>
                <w:color w:val="000000"/>
              </w:rPr>
              <w:t>Intitulé :</w:t>
            </w:r>
          </w:p>
        </w:tc>
        <w:tc>
          <w:tcPr>
            <w:tcW w:w="7938" w:type="dxa"/>
            <w:shd w:val="clear" w:color="auto" w:fill="auto"/>
            <w:vAlign w:val="center"/>
          </w:tcPr>
          <w:p w:rsidR="004E002F" w:rsidRPr="00F21DCC" w:rsidRDefault="004E002F" w:rsidP="00F21DCC">
            <w:pPr>
              <w:spacing w:after="0" w:line="240" w:lineRule="auto"/>
              <w:rPr>
                <w:rFonts w:ascii="Calibri" w:hAnsi="Calibri" w:cs="Calibri"/>
                <w:color w:val="000000"/>
                <w:sz w:val="24"/>
                <w:szCs w:val="24"/>
              </w:rPr>
            </w:pPr>
            <w:r w:rsidRPr="00F21DCC">
              <w:rPr>
                <w:rFonts w:ascii="Calibri" w:hAnsi="Calibri" w:cs="Calibri"/>
                <w:color w:val="000000"/>
                <w:sz w:val="24"/>
                <w:szCs w:val="24"/>
              </w:rPr>
              <w:t xml:space="preserve">Géotextiles et produits apparentés ‐ Caractéristiques requises pour l'utilisation dans la construction de routes et autres zones de circulation (à l'exclusion des voies ferrées et des couches de roulement) ; </w:t>
            </w:r>
          </w:p>
        </w:tc>
      </w:tr>
      <w:tr w:rsidR="004E002F" w:rsidRPr="0043547B" w:rsidTr="006E0830">
        <w:trPr>
          <w:trHeight w:val="753"/>
          <w:jc w:val="center"/>
        </w:trPr>
        <w:tc>
          <w:tcPr>
            <w:tcW w:w="1833" w:type="dxa"/>
            <w:shd w:val="clear" w:color="000000" w:fill="D9D9D9"/>
            <w:vAlign w:val="center"/>
          </w:tcPr>
          <w:p w:rsidR="004E002F" w:rsidRDefault="004E002F" w:rsidP="00F21DCC">
            <w:pPr>
              <w:spacing w:after="0" w:line="240" w:lineRule="auto"/>
              <w:jc w:val="center"/>
              <w:rPr>
                <w:rFonts w:ascii="Calibri" w:hAnsi="Calibri" w:cs="Calibri"/>
                <w:b/>
                <w:bCs/>
                <w:sz w:val="24"/>
                <w:szCs w:val="24"/>
              </w:rPr>
            </w:pPr>
            <w:r>
              <w:rPr>
                <w:rFonts w:ascii="Calibri" w:hAnsi="Calibri" w:cs="Calibri"/>
                <w:b/>
                <w:bCs/>
              </w:rPr>
              <w:t>Domaine d’application :</w:t>
            </w:r>
          </w:p>
        </w:tc>
        <w:tc>
          <w:tcPr>
            <w:tcW w:w="7938" w:type="dxa"/>
            <w:shd w:val="clear" w:color="auto" w:fill="auto"/>
            <w:vAlign w:val="center"/>
          </w:tcPr>
          <w:p w:rsidR="00F21DCC" w:rsidRDefault="004E002F" w:rsidP="00F21DCC">
            <w:pPr>
              <w:spacing w:after="0" w:line="240" w:lineRule="auto"/>
              <w:jc w:val="both"/>
              <w:rPr>
                <w:rFonts w:ascii="Calibri" w:hAnsi="Calibri" w:cs="Calibri"/>
                <w:color w:val="000000"/>
                <w:sz w:val="24"/>
                <w:szCs w:val="24"/>
              </w:rPr>
            </w:pPr>
            <w:r w:rsidRPr="00F21DCC">
              <w:rPr>
                <w:rFonts w:ascii="Calibri" w:hAnsi="Calibri" w:cs="Calibri"/>
                <w:color w:val="000000"/>
                <w:sz w:val="24"/>
                <w:szCs w:val="24"/>
              </w:rPr>
              <w:t>La présente Norme européenne spécifie les caractéristiques pertinentes des géotextiles et produits</w:t>
            </w:r>
            <w:r w:rsidR="00F21DCC">
              <w:rPr>
                <w:rFonts w:ascii="Calibri" w:hAnsi="Calibri" w:cs="Calibri"/>
                <w:color w:val="000000"/>
                <w:sz w:val="24"/>
                <w:szCs w:val="24"/>
              </w:rPr>
              <w:t xml:space="preserve"> </w:t>
            </w:r>
            <w:r w:rsidRPr="00F21DCC">
              <w:rPr>
                <w:rFonts w:ascii="Calibri" w:hAnsi="Calibri" w:cs="Calibri"/>
                <w:color w:val="000000"/>
                <w:sz w:val="24"/>
                <w:szCs w:val="24"/>
              </w:rPr>
              <w:t>apparentés utilisés dans la construction de routes et autres zones de circulation (à l'exclusion des voies</w:t>
            </w:r>
            <w:r w:rsidR="00F21DCC">
              <w:rPr>
                <w:rFonts w:ascii="Calibri" w:hAnsi="Calibri" w:cs="Calibri"/>
                <w:color w:val="000000"/>
                <w:sz w:val="24"/>
                <w:szCs w:val="24"/>
              </w:rPr>
              <w:t xml:space="preserve"> </w:t>
            </w:r>
            <w:r w:rsidRPr="00F21DCC">
              <w:rPr>
                <w:rFonts w:ascii="Calibri" w:hAnsi="Calibri" w:cs="Calibri"/>
                <w:color w:val="000000"/>
                <w:sz w:val="24"/>
                <w:szCs w:val="24"/>
              </w:rPr>
              <w:t>ferrées et des couches de roulement) ainsi que les méthodes d'essai appropriées pour déterminer ces</w:t>
            </w:r>
            <w:r w:rsidRPr="00F21DCC">
              <w:rPr>
                <w:rFonts w:ascii="Calibri" w:hAnsi="Calibri" w:cs="Calibri"/>
                <w:color w:val="000000"/>
                <w:sz w:val="24"/>
                <w:szCs w:val="24"/>
              </w:rPr>
              <w:br/>
              <w:t>caractéristiques.</w:t>
            </w:r>
            <w:r w:rsidRPr="00F21DCC">
              <w:rPr>
                <w:rFonts w:ascii="Calibri" w:hAnsi="Calibri" w:cs="Calibri"/>
                <w:color w:val="000000"/>
                <w:sz w:val="24"/>
                <w:szCs w:val="24"/>
              </w:rPr>
              <w:br/>
              <w:t>L'utilisation prévue de ces géotextiles ou produits apparentés est de remplir au moins l'une des</w:t>
            </w:r>
            <w:r w:rsidR="00F21DCC">
              <w:rPr>
                <w:rFonts w:ascii="Calibri" w:hAnsi="Calibri" w:cs="Calibri"/>
                <w:color w:val="000000"/>
                <w:sz w:val="24"/>
                <w:szCs w:val="24"/>
              </w:rPr>
              <w:t xml:space="preserve"> </w:t>
            </w:r>
            <w:r w:rsidRPr="00F21DCC">
              <w:rPr>
                <w:rFonts w:ascii="Calibri" w:hAnsi="Calibri" w:cs="Calibri"/>
                <w:color w:val="000000"/>
                <w:sz w:val="24"/>
                <w:szCs w:val="24"/>
              </w:rPr>
              <w:t>fonctions suivantes : filtration, séparation et renforcement. La fonction séparation étant toujours</w:t>
            </w:r>
            <w:r w:rsidR="00F21DCC">
              <w:rPr>
                <w:rFonts w:ascii="Calibri" w:hAnsi="Calibri" w:cs="Calibri"/>
                <w:color w:val="000000"/>
                <w:sz w:val="24"/>
                <w:szCs w:val="24"/>
              </w:rPr>
              <w:t xml:space="preserve"> </w:t>
            </w:r>
            <w:r w:rsidRPr="00F21DCC">
              <w:rPr>
                <w:rFonts w:ascii="Calibri" w:hAnsi="Calibri" w:cs="Calibri"/>
                <w:color w:val="000000"/>
                <w:sz w:val="24"/>
                <w:szCs w:val="24"/>
              </w:rPr>
              <w:t>utilisée conjointement avec une filtration ou un renforcement, celle-ci n'est pas spécifiée seule.</w:t>
            </w:r>
          </w:p>
          <w:p w:rsidR="00F21DCC" w:rsidRDefault="004E002F" w:rsidP="00F21DCC">
            <w:pPr>
              <w:spacing w:after="0" w:line="240" w:lineRule="auto"/>
              <w:jc w:val="both"/>
              <w:rPr>
                <w:rFonts w:ascii="Calibri" w:hAnsi="Calibri" w:cs="Calibri"/>
                <w:color w:val="000000"/>
                <w:sz w:val="24"/>
                <w:szCs w:val="24"/>
              </w:rPr>
            </w:pPr>
            <w:r w:rsidRPr="00F21DCC">
              <w:rPr>
                <w:rFonts w:ascii="Calibri" w:hAnsi="Calibri" w:cs="Calibri"/>
                <w:color w:val="000000"/>
                <w:sz w:val="24"/>
                <w:szCs w:val="24"/>
              </w:rPr>
              <w:t>La présente Norme européenne ne s'applique pas aux géomembranes et géosynthétiques bentonitiques</w:t>
            </w:r>
            <w:r w:rsidR="00F21DCC">
              <w:rPr>
                <w:rFonts w:ascii="Calibri" w:hAnsi="Calibri" w:cs="Calibri"/>
                <w:color w:val="000000"/>
                <w:sz w:val="24"/>
                <w:szCs w:val="24"/>
              </w:rPr>
              <w:t xml:space="preserve"> </w:t>
            </w:r>
            <w:r w:rsidRPr="00F21DCC">
              <w:rPr>
                <w:rFonts w:ascii="Calibri" w:hAnsi="Calibri" w:cs="Calibri"/>
                <w:color w:val="000000"/>
                <w:sz w:val="24"/>
                <w:szCs w:val="24"/>
              </w:rPr>
              <w:t>tels que définis dans l'EN ISO 10318-1.</w:t>
            </w:r>
            <w:r w:rsidRPr="00F21DCC">
              <w:rPr>
                <w:rFonts w:ascii="Calibri" w:hAnsi="Calibri" w:cs="Calibri"/>
                <w:color w:val="000000"/>
                <w:sz w:val="24"/>
                <w:szCs w:val="24"/>
              </w:rPr>
              <w:br/>
              <w:t>La présente Norme européenne permet d'évaluer et de vérifier la constance des performances du</w:t>
            </w:r>
            <w:r w:rsidR="00F21DCC">
              <w:rPr>
                <w:rFonts w:ascii="Calibri" w:hAnsi="Calibri" w:cs="Calibri"/>
                <w:color w:val="000000"/>
                <w:sz w:val="24"/>
                <w:szCs w:val="24"/>
              </w:rPr>
              <w:t xml:space="preserve"> </w:t>
            </w:r>
            <w:r w:rsidRPr="00F21DCC">
              <w:rPr>
                <w:rFonts w:ascii="Calibri" w:hAnsi="Calibri" w:cs="Calibri"/>
                <w:color w:val="000000"/>
                <w:sz w:val="24"/>
                <w:szCs w:val="24"/>
              </w:rPr>
              <w:t>produit à la présente Norme européenne et les procédures de contrôle de la production en usine.</w:t>
            </w:r>
          </w:p>
          <w:p w:rsidR="00F21DCC" w:rsidRDefault="004E002F" w:rsidP="00F21DCC">
            <w:pPr>
              <w:spacing w:after="0" w:line="240" w:lineRule="auto"/>
              <w:jc w:val="both"/>
              <w:rPr>
                <w:rFonts w:ascii="Calibri" w:hAnsi="Calibri" w:cs="Calibri"/>
                <w:color w:val="000000"/>
                <w:sz w:val="24"/>
                <w:szCs w:val="24"/>
              </w:rPr>
            </w:pPr>
            <w:r w:rsidRPr="00F21DCC">
              <w:rPr>
                <w:rFonts w:ascii="Calibri" w:hAnsi="Calibri" w:cs="Calibri"/>
                <w:color w:val="000000"/>
                <w:sz w:val="24"/>
                <w:szCs w:val="24"/>
              </w:rPr>
              <w:t>Des cas d'application particuliers peuvent contenir des exigences sur des propriétés supplémentaires et</w:t>
            </w:r>
            <w:r w:rsidR="00F21DCC">
              <w:rPr>
                <w:rFonts w:ascii="Calibri" w:hAnsi="Calibri" w:cs="Calibri"/>
                <w:color w:val="000000"/>
                <w:sz w:val="24"/>
                <w:szCs w:val="24"/>
              </w:rPr>
              <w:t xml:space="preserve"> </w:t>
            </w:r>
            <w:r w:rsidRPr="00F21DCC">
              <w:rPr>
                <w:rFonts w:ascii="Calibri" w:hAnsi="Calibri" w:cs="Calibri"/>
                <w:color w:val="000000"/>
                <w:sz w:val="24"/>
                <w:szCs w:val="24"/>
              </w:rPr>
              <w:t>méthodes d'essai – si possible normalisées – si elles sont techniquement pertinentes.</w:t>
            </w:r>
          </w:p>
          <w:p w:rsidR="004E002F" w:rsidRPr="00F21DCC" w:rsidRDefault="004E002F" w:rsidP="00F21DCC">
            <w:pPr>
              <w:spacing w:after="0" w:line="240" w:lineRule="auto"/>
              <w:jc w:val="both"/>
              <w:rPr>
                <w:rFonts w:ascii="Calibri" w:hAnsi="Calibri" w:cs="Calibri"/>
                <w:color w:val="000000"/>
                <w:sz w:val="24"/>
                <w:szCs w:val="24"/>
              </w:rPr>
            </w:pPr>
            <w:r w:rsidRPr="00F21DCC">
              <w:rPr>
                <w:rFonts w:ascii="Calibri" w:hAnsi="Calibri" w:cs="Calibri"/>
                <w:color w:val="000000"/>
                <w:sz w:val="24"/>
                <w:szCs w:val="24"/>
              </w:rPr>
              <w:t>La présente Norme européenne peut être utilisée pour déduire les valeurs de calcul en prenant en</w:t>
            </w:r>
            <w:r w:rsidR="00F21DCC">
              <w:rPr>
                <w:rFonts w:ascii="Calibri" w:hAnsi="Calibri" w:cs="Calibri"/>
                <w:color w:val="000000"/>
                <w:sz w:val="24"/>
                <w:szCs w:val="24"/>
              </w:rPr>
              <w:t xml:space="preserve"> </w:t>
            </w:r>
            <w:r w:rsidRPr="00F21DCC">
              <w:rPr>
                <w:rFonts w:ascii="Calibri" w:hAnsi="Calibri" w:cs="Calibri"/>
                <w:color w:val="000000"/>
                <w:sz w:val="24"/>
                <w:szCs w:val="24"/>
              </w:rPr>
              <w:t>compte les facteurs définis dans l'EN 1997-1 (Eurocode 7), par exemple les facteurs de sécurité. Il</w:t>
            </w:r>
            <w:r w:rsidR="00F21DCC">
              <w:rPr>
                <w:rFonts w:ascii="Calibri" w:hAnsi="Calibri" w:cs="Calibri"/>
                <w:color w:val="000000"/>
                <w:sz w:val="24"/>
                <w:szCs w:val="24"/>
              </w:rPr>
              <w:t xml:space="preserve"> </w:t>
            </w:r>
            <w:r w:rsidRPr="00F21DCC">
              <w:rPr>
                <w:rFonts w:ascii="Calibri" w:hAnsi="Calibri" w:cs="Calibri"/>
                <w:color w:val="000000"/>
                <w:sz w:val="24"/>
                <w:szCs w:val="24"/>
              </w:rPr>
              <w:t>convient de déterminer la durée de vie prévue du produit, puisque sa fonction peut être provisoire,</w:t>
            </w:r>
            <w:r w:rsidR="00F21DCC">
              <w:rPr>
                <w:rFonts w:ascii="Calibri" w:hAnsi="Calibri" w:cs="Calibri"/>
                <w:color w:val="000000"/>
                <w:sz w:val="24"/>
                <w:szCs w:val="24"/>
              </w:rPr>
              <w:t xml:space="preserve"> </w:t>
            </w:r>
            <w:r w:rsidRPr="00F21DCC">
              <w:rPr>
                <w:rFonts w:ascii="Calibri" w:hAnsi="Calibri" w:cs="Calibri"/>
                <w:color w:val="000000"/>
                <w:sz w:val="24"/>
                <w:szCs w:val="24"/>
              </w:rPr>
              <w:t>pour des besoins de construction, ou permanente, pour la durée de vie de la structure.</w:t>
            </w:r>
          </w:p>
        </w:tc>
      </w:tr>
      <w:tr w:rsidR="004E002F" w:rsidRPr="0043547B" w:rsidTr="00601D12">
        <w:trPr>
          <w:trHeight w:val="430"/>
          <w:jc w:val="center"/>
        </w:trPr>
        <w:tc>
          <w:tcPr>
            <w:tcW w:w="1833" w:type="dxa"/>
            <w:shd w:val="clear" w:color="auto" w:fill="C2D69B" w:themeFill="accent3" w:themeFillTint="99"/>
            <w:vAlign w:val="center"/>
          </w:tcPr>
          <w:p w:rsidR="004E002F" w:rsidRDefault="004E002F" w:rsidP="00F21DCC">
            <w:pPr>
              <w:spacing w:after="0" w:line="240" w:lineRule="auto"/>
              <w:jc w:val="center"/>
              <w:rPr>
                <w:rFonts w:ascii="Calibri" w:hAnsi="Calibri" w:cs="Calibri"/>
                <w:b/>
                <w:bCs/>
                <w:color w:val="000000"/>
                <w:sz w:val="24"/>
                <w:szCs w:val="24"/>
              </w:rPr>
            </w:pPr>
            <w:r>
              <w:rPr>
                <w:rFonts w:ascii="Calibri" w:hAnsi="Calibri" w:cs="Calibri"/>
                <w:b/>
                <w:bCs/>
                <w:color w:val="000000"/>
              </w:rPr>
              <w:t>Code :</w:t>
            </w:r>
          </w:p>
        </w:tc>
        <w:tc>
          <w:tcPr>
            <w:tcW w:w="7938" w:type="dxa"/>
            <w:shd w:val="clear" w:color="auto" w:fill="C2D69B" w:themeFill="accent3" w:themeFillTint="99"/>
            <w:vAlign w:val="center"/>
          </w:tcPr>
          <w:p w:rsidR="004E002F" w:rsidRPr="00F21DCC" w:rsidRDefault="004E002F" w:rsidP="00F21DCC">
            <w:pPr>
              <w:spacing w:after="0" w:line="240" w:lineRule="auto"/>
              <w:jc w:val="center"/>
              <w:rPr>
                <w:rFonts w:ascii="Calibri" w:hAnsi="Calibri" w:cs="Calibri"/>
                <w:b/>
                <w:bCs/>
                <w:color w:val="000000"/>
                <w:sz w:val="24"/>
                <w:szCs w:val="24"/>
              </w:rPr>
            </w:pPr>
            <w:r w:rsidRPr="00F21DCC">
              <w:rPr>
                <w:rFonts w:ascii="Calibri" w:hAnsi="Calibri" w:cs="Calibri"/>
                <w:b/>
                <w:bCs/>
                <w:color w:val="000000"/>
                <w:sz w:val="24"/>
                <w:szCs w:val="24"/>
              </w:rPr>
              <w:t>NM EN 13250</w:t>
            </w:r>
          </w:p>
        </w:tc>
      </w:tr>
      <w:tr w:rsidR="004E002F" w:rsidRPr="0043547B" w:rsidTr="00601D12">
        <w:trPr>
          <w:trHeight w:val="296"/>
          <w:jc w:val="center"/>
        </w:trPr>
        <w:tc>
          <w:tcPr>
            <w:tcW w:w="1833" w:type="dxa"/>
            <w:tcBorders>
              <w:bottom w:val="single" w:sz="18" w:space="0" w:color="auto"/>
            </w:tcBorders>
            <w:shd w:val="clear" w:color="auto" w:fill="FFFF99"/>
            <w:vAlign w:val="center"/>
          </w:tcPr>
          <w:p w:rsidR="004E002F" w:rsidRDefault="004E002F" w:rsidP="00F21DCC">
            <w:pPr>
              <w:spacing w:after="0" w:line="240" w:lineRule="auto"/>
              <w:jc w:val="center"/>
              <w:rPr>
                <w:rFonts w:ascii="Calibri" w:hAnsi="Calibri" w:cs="Calibri"/>
                <w:b/>
                <w:bCs/>
                <w:color w:val="000000"/>
                <w:sz w:val="24"/>
                <w:szCs w:val="24"/>
              </w:rPr>
            </w:pPr>
            <w:r>
              <w:rPr>
                <w:rFonts w:ascii="Calibri" w:hAnsi="Calibri" w:cs="Calibri"/>
                <w:b/>
                <w:bCs/>
                <w:color w:val="000000"/>
              </w:rPr>
              <w:t>Equivalence :</w:t>
            </w:r>
          </w:p>
        </w:tc>
        <w:tc>
          <w:tcPr>
            <w:tcW w:w="7938" w:type="dxa"/>
            <w:tcBorders>
              <w:bottom w:val="single" w:sz="18" w:space="0" w:color="auto"/>
            </w:tcBorders>
            <w:shd w:val="clear" w:color="auto" w:fill="FFFF99"/>
            <w:vAlign w:val="center"/>
          </w:tcPr>
          <w:p w:rsidR="004E002F" w:rsidRPr="00F21DCC" w:rsidRDefault="004E002F" w:rsidP="00F21DCC">
            <w:pPr>
              <w:spacing w:after="0" w:line="240" w:lineRule="auto"/>
              <w:jc w:val="center"/>
              <w:rPr>
                <w:rFonts w:ascii="Calibri" w:hAnsi="Calibri" w:cs="Calibri"/>
                <w:b/>
                <w:bCs/>
                <w:color w:val="000000"/>
                <w:sz w:val="24"/>
                <w:szCs w:val="24"/>
              </w:rPr>
            </w:pPr>
            <w:r w:rsidRPr="00F21DCC">
              <w:rPr>
                <w:rFonts w:ascii="Calibri" w:hAnsi="Calibri" w:cs="Calibri"/>
                <w:b/>
                <w:bCs/>
                <w:color w:val="000000"/>
                <w:sz w:val="24"/>
                <w:szCs w:val="24"/>
              </w:rPr>
              <w:t>EN 13250</w:t>
            </w:r>
          </w:p>
        </w:tc>
      </w:tr>
      <w:tr w:rsidR="004E002F" w:rsidRPr="0043547B" w:rsidTr="00601D12">
        <w:trPr>
          <w:trHeight w:val="753"/>
          <w:jc w:val="center"/>
        </w:trPr>
        <w:tc>
          <w:tcPr>
            <w:tcW w:w="1833" w:type="dxa"/>
            <w:tcBorders>
              <w:bottom w:val="single" w:sz="4" w:space="0" w:color="auto"/>
            </w:tcBorders>
            <w:shd w:val="clear" w:color="auto" w:fill="95B3D7" w:themeFill="accent1" w:themeFillTint="99"/>
            <w:vAlign w:val="center"/>
          </w:tcPr>
          <w:p w:rsidR="004E002F" w:rsidRDefault="004E002F" w:rsidP="00F21DCC">
            <w:pPr>
              <w:spacing w:after="0" w:line="240" w:lineRule="auto"/>
              <w:jc w:val="center"/>
              <w:rPr>
                <w:rFonts w:ascii="Calibri" w:hAnsi="Calibri" w:cs="Calibri"/>
                <w:b/>
                <w:bCs/>
                <w:color w:val="000000"/>
                <w:sz w:val="24"/>
                <w:szCs w:val="24"/>
              </w:rPr>
            </w:pPr>
            <w:r>
              <w:rPr>
                <w:rFonts w:ascii="Calibri" w:hAnsi="Calibri" w:cs="Calibri"/>
                <w:b/>
                <w:bCs/>
                <w:color w:val="000000"/>
              </w:rPr>
              <w:t>Intitulé :</w:t>
            </w:r>
          </w:p>
        </w:tc>
        <w:tc>
          <w:tcPr>
            <w:tcW w:w="7938" w:type="dxa"/>
            <w:tcBorders>
              <w:bottom w:val="single" w:sz="4" w:space="0" w:color="auto"/>
            </w:tcBorders>
            <w:shd w:val="clear" w:color="auto" w:fill="auto"/>
            <w:vAlign w:val="center"/>
          </w:tcPr>
          <w:p w:rsidR="004E002F" w:rsidRPr="00F21DCC" w:rsidRDefault="004E002F" w:rsidP="00F21DCC">
            <w:pPr>
              <w:spacing w:after="0" w:line="240" w:lineRule="auto"/>
              <w:rPr>
                <w:rFonts w:ascii="Calibri" w:hAnsi="Calibri" w:cs="Calibri"/>
                <w:color w:val="000000"/>
                <w:sz w:val="24"/>
                <w:szCs w:val="24"/>
              </w:rPr>
            </w:pPr>
            <w:r w:rsidRPr="00F21DCC">
              <w:rPr>
                <w:rFonts w:ascii="Calibri" w:hAnsi="Calibri" w:cs="Calibri"/>
                <w:color w:val="000000"/>
                <w:sz w:val="24"/>
                <w:szCs w:val="24"/>
              </w:rPr>
              <w:t xml:space="preserve">Géotextiles et produits apparentés ‐ Caractéristiques requises pour l'utilisation dans la construction des voies ferrées ; </w:t>
            </w:r>
          </w:p>
        </w:tc>
      </w:tr>
      <w:tr w:rsidR="004E002F" w:rsidRPr="0043547B" w:rsidTr="00601D12">
        <w:trPr>
          <w:trHeight w:val="753"/>
          <w:jc w:val="center"/>
        </w:trPr>
        <w:tc>
          <w:tcPr>
            <w:tcW w:w="1833" w:type="dxa"/>
            <w:tcBorders>
              <w:top w:val="single" w:sz="4" w:space="0" w:color="auto"/>
            </w:tcBorders>
            <w:shd w:val="clear" w:color="000000" w:fill="D9D9D9"/>
            <w:vAlign w:val="center"/>
          </w:tcPr>
          <w:p w:rsidR="004E002F" w:rsidRDefault="004E002F" w:rsidP="00F21DCC">
            <w:pPr>
              <w:spacing w:after="0" w:line="240" w:lineRule="auto"/>
              <w:jc w:val="center"/>
              <w:rPr>
                <w:rFonts w:ascii="Calibri" w:hAnsi="Calibri" w:cs="Calibri"/>
                <w:b/>
                <w:bCs/>
                <w:color w:val="000000"/>
                <w:sz w:val="24"/>
                <w:szCs w:val="24"/>
              </w:rPr>
            </w:pPr>
            <w:r>
              <w:rPr>
                <w:rFonts w:ascii="Calibri" w:hAnsi="Calibri" w:cs="Calibri"/>
                <w:b/>
                <w:bCs/>
                <w:color w:val="000000"/>
              </w:rPr>
              <w:t>Domaine d’application :</w:t>
            </w:r>
          </w:p>
        </w:tc>
        <w:tc>
          <w:tcPr>
            <w:tcW w:w="7938" w:type="dxa"/>
            <w:tcBorders>
              <w:top w:val="single" w:sz="4" w:space="0" w:color="auto"/>
            </w:tcBorders>
            <w:shd w:val="clear" w:color="auto" w:fill="auto"/>
            <w:vAlign w:val="center"/>
          </w:tcPr>
          <w:p w:rsidR="00F21DCC" w:rsidRDefault="004E002F" w:rsidP="00F21DCC">
            <w:pPr>
              <w:spacing w:after="0" w:line="240" w:lineRule="auto"/>
              <w:jc w:val="both"/>
              <w:rPr>
                <w:rFonts w:ascii="Calibri" w:hAnsi="Calibri" w:cs="Calibri"/>
                <w:color w:val="000000"/>
                <w:sz w:val="24"/>
                <w:szCs w:val="24"/>
              </w:rPr>
            </w:pPr>
            <w:r w:rsidRPr="00F21DCC">
              <w:rPr>
                <w:rFonts w:ascii="Calibri" w:hAnsi="Calibri" w:cs="Calibri"/>
                <w:color w:val="000000"/>
                <w:sz w:val="24"/>
                <w:szCs w:val="24"/>
              </w:rPr>
              <w:t>La présente Norme européenne spécifie les caractéristiques pertinentes des géotextiles et produits</w:t>
            </w:r>
            <w:r w:rsidR="00F21DCC">
              <w:rPr>
                <w:rFonts w:ascii="Calibri" w:hAnsi="Calibri" w:cs="Calibri"/>
                <w:color w:val="000000"/>
                <w:sz w:val="24"/>
                <w:szCs w:val="24"/>
              </w:rPr>
              <w:t xml:space="preserve"> </w:t>
            </w:r>
            <w:r w:rsidRPr="00F21DCC">
              <w:rPr>
                <w:rFonts w:ascii="Calibri" w:hAnsi="Calibri" w:cs="Calibri"/>
                <w:color w:val="000000"/>
                <w:sz w:val="24"/>
                <w:szCs w:val="24"/>
              </w:rPr>
              <w:t>apparentés utilisés dans la construction de voies ferrées, ainsi que les méthodes d'essai appropriées</w:t>
            </w:r>
            <w:r w:rsidR="00F21DCC">
              <w:rPr>
                <w:rFonts w:ascii="Calibri" w:hAnsi="Calibri" w:cs="Calibri"/>
                <w:color w:val="000000"/>
                <w:sz w:val="24"/>
                <w:szCs w:val="24"/>
              </w:rPr>
              <w:t xml:space="preserve"> </w:t>
            </w:r>
            <w:r w:rsidRPr="00F21DCC">
              <w:rPr>
                <w:rFonts w:ascii="Calibri" w:hAnsi="Calibri" w:cs="Calibri"/>
                <w:color w:val="000000"/>
                <w:sz w:val="24"/>
                <w:szCs w:val="24"/>
              </w:rPr>
              <w:t>pour déterminer ces caractéristiques.</w:t>
            </w:r>
            <w:r w:rsidRPr="00F21DCC">
              <w:rPr>
                <w:rFonts w:ascii="Calibri" w:hAnsi="Calibri" w:cs="Calibri"/>
                <w:color w:val="000000"/>
                <w:sz w:val="24"/>
                <w:szCs w:val="24"/>
              </w:rPr>
              <w:br/>
              <w:t>L'utilisation prévue de ces géotextiles ou produits apparentés est de remplir au moins l'une des</w:t>
            </w:r>
            <w:r w:rsidR="00F21DCC">
              <w:rPr>
                <w:rFonts w:ascii="Calibri" w:hAnsi="Calibri" w:cs="Calibri"/>
                <w:color w:val="000000"/>
                <w:sz w:val="24"/>
                <w:szCs w:val="24"/>
              </w:rPr>
              <w:t xml:space="preserve"> </w:t>
            </w:r>
            <w:r w:rsidRPr="00F21DCC">
              <w:rPr>
                <w:rFonts w:ascii="Calibri" w:hAnsi="Calibri" w:cs="Calibri"/>
                <w:color w:val="000000"/>
                <w:sz w:val="24"/>
                <w:szCs w:val="24"/>
              </w:rPr>
              <w:t>fonctions suivantes : filtration, séparation et renforcement.</w:t>
            </w:r>
            <w:r w:rsidRPr="00F21DCC">
              <w:rPr>
                <w:rFonts w:ascii="Calibri" w:hAnsi="Calibri" w:cs="Calibri"/>
                <w:color w:val="000000"/>
                <w:sz w:val="24"/>
                <w:szCs w:val="24"/>
              </w:rPr>
              <w:br/>
              <w:t>La fonction séparation étant toujours utilisée conjointement avec une filtration ou un renforcement,</w:t>
            </w:r>
            <w:r w:rsidR="00F21DCC">
              <w:rPr>
                <w:rFonts w:ascii="Calibri" w:hAnsi="Calibri" w:cs="Calibri"/>
                <w:color w:val="000000"/>
                <w:sz w:val="24"/>
                <w:szCs w:val="24"/>
              </w:rPr>
              <w:t xml:space="preserve"> </w:t>
            </w:r>
            <w:r w:rsidRPr="00F21DCC">
              <w:rPr>
                <w:rFonts w:ascii="Calibri" w:hAnsi="Calibri" w:cs="Calibri"/>
                <w:color w:val="000000"/>
                <w:sz w:val="24"/>
                <w:szCs w:val="24"/>
              </w:rPr>
              <w:t>celle-ci n'est pas spécifiée seule.</w:t>
            </w:r>
          </w:p>
          <w:p w:rsidR="00F21DCC" w:rsidRDefault="004E002F" w:rsidP="00F21DCC">
            <w:pPr>
              <w:spacing w:after="0" w:line="240" w:lineRule="auto"/>
              <w:jc w:val="both"/>
              <w:rPr>
                <w:rFonts w:ascii="Calibri" w:hAnsi="Calibri" w:cs="Calibri"/>
                <w:color w:val="000000"/>
                <w:sz w:val="24"/>
                <w:szCs w:val="24"/>
              </w:rPr>
            </w:pPr>
            <w:r w:rsidRPr="00F21DCC">
              <w:rPr>
                <w:rFonts w:ascii="Calibri" w:hAnsi="Calibri" w:cs="Calibri"/>
                <w:color w:val="000000"/>
                <w:sz w:val="24"/>
                <w:szCs w:val="24"/>
              </w:rPr>
              <w:lastRenderedPageBreak/>
              <w:t>La présente Norme européenne s'applique aux superstructures avec ballast ou aux couches de forme,</w:t>
            </w:r>
            <w:r w:rsidR="00F21DCC">
              <w:rPr>
                <w:rFonts w:ascii="Calibri" w:hAnsi="Calibri" w:cs="Calibri"/>
                <w:color w:val="000000"/>
                <w:sz w:val="24"/>
                <w:szCs w:val="24"/>
              </w:rPr>
              <w:t xml:space="preserve"> </w:t>
            </w:r>
            <w:r w:rsidRPr="00F21DCC">
              <w:rPr>
                <w:rFonts w:ascii="Calibri" w:hAnsi="Calibri" w:cs="Calibri"/>
                <w:color w:val="000000"/>
                <w:sz w:val="24"/>
                <w:szCs w:val="24"/>
              </w:rPr>
              <w:t>en présence d'un arase-terrassement.</w:t>
            </w:r>
          </w:p>
          <w:p w:rsidR="00F21DCC" w:rsidRDefault="004E002F" w:rsidP="00F21DCC">
            <w:pPr>
              <w:spacing w:after="0" w:line="240" w:lineRule="auto"/>
              <w:jc w:val="both"/>
              <w:rPr>
                <w:rFonts w:ascii="Calibri" w:hAnsi="Calibri" w:cs="Calibri"/>
                <w:color w:val="000000"/>
                <w:sz w:val="24"/>
                <w:szCs w:val="24"/>
              </w:rPr>
            </w:pPr>
            <w:r w:rsidRPr="00F21DCC">
              <w:rPr>
                <w:rFonts w:ascii="Calibri" w:hAnsi="Calibri" w:cs="Calibri"/>
                <w:color w:val="000000"/>
                <w:sz w:val="24"/>
                <w:szCs w:val="24"/>
              </w:rPr>
              <w:t>La présente Norme européenne ne s'applique pas aux géomembranes et géosynthétiques bentonitiques</w:t>
            </w:r>
            <w:r w:rsidR="00F21DCC">
              <w:rPr>
                <w:rFonts w:ascii="Calibri" w:hAnsi="Calibri" w:cs="Calibri"/>
                <w:color w:val="000000"/>
                <w:sz w:val="24"/>
                <w:szCs w:val="24"/>
              </w:rPr>
              <w:t xml:space="preserve"> </w:t>
            </w:r>
            <w:r w:rsidRPr="00F21DCC">
              <w:rPr>
                <w:rFonts w:ascii="Calibri" w:hAnsi="Calibri" w:cs="Calibri"/>
                <w:color w:val="000000"/>
                <w:sz w:val="24"/>
                <w:szCs w:val="24"/>
              </w:rPr>
              <w:t>tels que définis dans l'EN ISO 10318-1.</w:t>
            </w:r>
            <w:r w:rsidRPr="00F21DCC">
              <w:rPr>
                <w:rFonts w:ascii="Calibri" w:hAnsi="Calibri" w:cs="Calibri"/>
                <w:color w:val="000000"/>
                <w:sz w:val="24"/>
                <w:szCs w:val="24"/>
              </w:rPr>
              <w:br/>
              <w:t>La présente Norme européenne permet d'évaluer et de vérifier la constance des performances du</w:t>
            </w:r>
            <w:r w:rsidR="00F21DCC">
              <w:rPr>
                <w:rFonts w:ascii="Calibri" w:hAnsi="Calibri" w:cs="Calibri"/>
                <w:color w:val="000000"/>
                <w:sz w:val="24"/>
                <w:szCs w:val="24"/>
              </w:rPr>
              <w:t xml:space="preserve"> </w:t>
            </w:r>
            <w:r w:rsidRPr="00F21DCC">
              <w:rPr>
                <w:rFonts w:ascii="Calibri" w:hAnsi="Calibri" w:cs="Calibri"/>
                <w:color w:val="000000"/>
                <w:sz w:val="24"/>
                <w:szCs w:val="24"/>
              </w:rPr>
              <w:t>produit à la présente Norme européenne et les procédures de contrôle de la production en usine.</w:t>
            </w:r>
          </w:p>
          <w:p w:rsidR="00F21DCC" w:rsidRDefault="004E002F" w:rsidP="00F21DCC">
            <w:pPr>
              <w:spacing w:after="0" w:line="240" w:lineRule="auto"/>
              <w:jc w:val="both"/>
              <w:rPr>
                <w:rFonts w:ascii="Calibri" w:hAnsi="Calibri" w:cs="Calibri"/>
                <w:color w:val="000000"/>
                <w:sz w:val="24"/>
                <w:szCs w:val="24"/>
              </w:rPr>
            </w:pPr>
            <w:r w:rsidRPr="00F21DCC">
              <w:rPr>
                <w:rFonts w:ascii="Calibri" w:hAnsi="Calibri" w:cs="Calibri"/>
                <w:color w:val="000000"/>
                <w:sz w:val="24"/>
                <w:szCs w:val="24"/>
              </w:rPr>
              <w:t>Des cas d'application particuliers peuvent contenir des exigences sur des propriétés supplémentaires et</w:t>
            </w:r>
            <w:r w:rsidR="00F21DCC">
              <w:rPr>
                <w:rFonts w:ascii="Calibri" w:hAnsi="Calibri" w:cs="Calibri"/>
                <w:color w:val="000000"/>
                <w:sz w:val="24"/>
                <w:szCs w:val="24"/>
              </w:rPr>
              <w:t xml:space="preserve"> </w:t>
            </w:r>
            <w:r w:rsidRPr="00F21DCC">
              <w:rPr>
                <w:rFonts w:ascii="Calibri" w:hAnsi="Calibri" w:cs="Calibri"/>
                <w:color w:val="000000"/>
                <w:sz w:val="24"/>
                <w:szCs w:val="24"/>
              </w:rPr>
              <w:t>méthodes d'essai – si possible normalisées – si elles sont techniquement pertinentes.</w:t>
            </w:r>
          </w:p>
          <w:p w:rsidR="004E002F" w:rsidRPr="00F21DCC" w:rsidRDefault="004E002F" w:rsidP="00F21DCC">
            <w:pPr>
              <w:spacing w:after="0" w:line="240" w:lineRule="auto"/>
              <w:jc w:val="both"/>
              <w:rPr>
                <w:rFonts w:ascii="Calibri" w:hAnsi="Calibri" w:cs="Calibri"/>
                <w:color w:val="000000"/>
                <w:sz w:val="24"/>
                <w:szCs w:val="24"/>
              </w:rPr>
            </w:pPr>
            <w:r w:rsidRPr="00F21DCC">
              <w:rPr>
                <w:rFonts w:ascii="Calibri" w:hAnsi="Calibri" w:cs="Calibri"/>
                <w:color w:val="000000"/>
                <w:sz w:val="24"/>
                <w:szCs w:val="24"/>
              </w:rPr>
              <w:t>La présente Norme européenne peut être utilisée pour déduire les valeurs de calcul en prenant en</w:t>
            </w:r>
            <w:r w:rsidR="00F21DCC">
              <w:rPr>
                <w:rFonts w:ascii="Calibri" w:hAnsi="Calibri" w:cs="Calibri"/>
                <w:color w:val="000000"/>
                <w:sz w:val="24"/>
                <w:szCs w:val="24"/>
              </w:rPr>
              <w:t xml:space="preserve"> </w:t>
            </w:r>
            <w:r w:rsidRPr="00F21DCC">
              <w:rPr>
                <w:rFonts w:ascii="Calibri" w:hAnsi="Calibri" w:cs="Calibri"/>
                <w:color w:val="000000"/>
                <w:sz w:val="24"/>
                <w:szCs w:val="24"/>
              </w:rPr>
              <w:t>compte les facteurs définis dans l'EN 1997-1 (Eurocode 7), par exemple les facteurs de sécurité. Il</w:t>
            </w:r>
            <w:r w:rsidR="00F21DCC">
              <w:rPr>
                <w:rFonts w:ascii="Calibri" w:hAnsi="Calibri" w:cs="Calibri"/>
                <w:color w:val="000000"/>
                <w:sz w:val="24"/>
                <w:szCs w:val="24"/>
              </w:rPr>
              <w:t xml:space="preserve"> </w:t>
            </w:r>
            <w:r w:rsidRPr="00F21DCC">
              <w:rPr>
                <w:rFonts w:ascii="Calibri" w:hAnsi="Calibri" w:cs="Calibri"/>
                <w:color w:val="000000"/>
                <w:sz w:val="24"/>
                <w:szCs w:val="24"/>
              </w:rPr>
              <w:t>convient de déterminer la durée de vie prévue du produit, puisque sa fonction peut être provisoire,</w:t>
            </w:r>
            <w:r w:rsidR="00F21DCC">
              <w:rPr>
                <w:rFonts w:ascii="Calibri" w:hAnsi="Calibri" w:cs="Calibri"/>
                <w:color w:val="000000"/>
                <w:sz w:val="24"/>
                <w:szCs w:val="24"/>
              </w:rPr>
              <w:t xml:space="preserve"> </w:t>
            </w:r>
            <w:r w:rsidRPr="00F21DCC">
              <w:rPr>
                <w:rFonts w:ascii="Calibri" w:hAnsi="Calibri" w:cs="Calibri"/>
                <w:color w:val="000000"/>
                <w:sz w:val="24"/>
                <w:szCs w:val="24"/>
              </w:rPr>
              <w:t>pour des besoins de construction, ou permanente, pour la durée de vie de la structure.</w:t>
            </w:r>
          </w:p>
        </w:tc>
      </w:tr>
      <w:tr w:rsidR="004E002F" w:rsidRPr="0043547B" w:rsidTr="006E0830">
        <w:trPr>
          <w:trHeight w:val="402"/>
          <w:jc w:val="center"/>
        </w:trPr>
        <w:tc>
          <w:tcPr>
            <w:tcW w:w="1833" w:type="dxa"/>
            <w:shd w:val="clear" w:color="auto" w:fill="C2D69B" w:themeFill="accent3" w:themeFillTint="99"/>
            <w:vAlign w:val="center"/>
          </w:tcPr>
          <w:p w:rsidR="004E002F" w:rsidRDefault="004E002F" w:rsidP="00F21DCC">
            <w:pPr>
              <w:spacing w:after="0" w:line="240" w:lineRule="auto"/>
              <w:jc w:val="center"/>
              <w:rPr>
                <w:rFonts w:ascii="Calibri" w:hAnsi="Calibri" w:cs="Calibri"/>
                <w:b/>
                <w:bCs/>
                <w:color w:val="000000"/>
                <w:sz w:val="24"/>
                <w:szCs w:val="24"/>
              </w:rPr>
            </w:pPr>
            <w:r>
              <w:rPr>
                <w:rFonts w:ascii="Calibri" w:hAnsi="Calibri" w:cs="Calibri"/>
                <w:b/>
                <w:bCs/>
                <w:color w:val="000000"/>
              </w:rPr>
              <w:lastRenderedPageBreak/>
              <w:t>Code :</w:t>
            </w:r>
          </w:p>
        </w:tc>
        <w:tc>
          <w:tcPr>
            <w:tcW w:w="7938" w:type="dxa"/>
            <w:shd w:val="clear" w:color="auto" w:fill="C2D69B" w:themeFill="accent3" w:themeFillTint="99"/>
            <w:vAlign w:val="center"/>
          </w:tcPr>
          <w:p w:rsidR="004E002F" w:rsidRPr="00F21DCC" w:rsidRDefault="004E002F" w:rsidP="00F21DCC">
            <w:pPr>
              <w:spacing w:after="0" w:line="240" w:lineRule="auto"/>
              <w:jc w:val="center"/>
              <w:rPr>
                <w:rFonts w:ascii="Calibri" w:hAnsi="Calibri" w:cs="Calibri"/>
                <w:b/>
                <w:bCs/>
                <w:color w:val="000000"/>
                <w:sz w:val="24"/>
                <w:szCs w:val="24"/>
              </w:rPr>
            </w:pPr>
            <w:r w:rsidRPr="00F21DCC">
              <w:rPr>
                <w:rFonts w:ascii="Calibri" w:hAnsi="Calibri" w:cs="Calibri"/>
                <w:b/>
                <w:bCs/>
                <w:color w:val="000000"/>
                <w:sz w:val="24"/>
                <w:szCs w:val="24"/>
              </w:rPr>
              <w:t>NM EN 13251</w:t>
            </w:r>
          </w:p>
        </w:tc>
      </w:tr>
      <w:tr w:rsidR="004E002F" w:rsidRPr="0043547B" w:rsidTr="00566A17">
        <w:trPr>
          <w:trHeight w:val="172"/>
          <w:jc w:val="center"/>
        </w:trPr>
        <w:tc>
          <w:tcPr>
            <w:tcW w:w="1833" w:type="dxa"/>
            <w:tcBorders>
              <w:bottom w:val="single" w:sz="18" w:space="0" w:color="auto"/>
            </w:tcBorders>
            <w:shd w:val="clear" w:color="auto" w:fill="FFFF99"/>
            <w:vAlign w:val="center"/>
          </w:tcPr>
          <w:p w:rsidR="004E002F" w:rsidRDefault="004E002F" w:rsidP="00F21DCC">
            <w:pPr>
              <w:spacing w:after="0" w:line="240" w:lineRule="auto"/>
              <w:jc w:val="center"/>
              <w:rPr>
                <w:rFonts w:ascii="Calibri" w:hAnsi="Calibri" w:cs="Calibri"/>
                <w:b/>
                <w:bCs/>
                <w:color w:val="000000"/>
                <w:sz w:val="24"/>
                <w:szCs w:val="24"/>
              </w:rPr>
            </w:pPr>
            <w:r>
              <w:rPr>
                <w:rFonts w:ascii="Calibri" w:hAnsi="Calibri" w:cs="Calibri"/>
                <w:b/>
                <w:bCs/>
                <w:color w:val="000000"/>
              </w:rPr>
              <w:t>Equivalence :</w:t>
            </w:r>
          </w:p>
        </w:tc>
        <w:tc>
          <w:tcPr>
            <w:tcW w:w="7938" w:type="dxa"/>
            <w:tcBorders>
              <w:bottom w:val="single" w:sz="18" w:space="0" w:color="auto"/>
            </w:tcBorders>
            <w:shd w:val="clear" w:color="auto" w:fill="FFFF99"/>
            <w:vAlign w:val="center"/>
          </w:tcPr>
          <w:p w:rsidR="004E002F" w:rsidRPr="00F21DCC" w:rsidRDefault="004E002F" w:rsidP="00F21DCC">
            <w:pPr>
              <w:spacing w:after="0" w:line="240" w:lineRule="auto"/>
              <w:jc w:val="center"/>
              <w:rPr>
                <w:rFonts w:ascii="Calibri" w:hAnsi="Calibri" w:cs="Calibri"/>
                <w:b/>
                <w:bCs/>
                <w:color w:val="000000"/>
                <w:sz w:val="24"/>
                <w:szCs w:val="24"/>
              </w:rPr>
            </w:pPr>
            <w:r w:rsidRPr="00F21DCC">
              <w:rPr>
                <w:rFonts w:ascii="Calibri" w:hAnsi="Calibri" w:cs="Calibri"/>
                <w:b/>
                <w:bCs/>
                <w:color w:val="000000"/>
                <w:sz w:val="24"/>
                <w:szCs w:val="24"/>
              </w:rPr>
              <w:t>EN 13251</w:t>
            </w:r>
          </w:p>
        </w:tc>
      </w:tr>
      <w:tr w:rsidR="004E002F" w:rsidRPr="0043547B" w:rsidTr="00566A17">
        <w:trPr>
          <w:trHeight w:val="753"/>
          <w:jc w:val="center"/>
        </w:trPr>
        <w:tc>
          <w:tcPr>
            <w:tcW w:w="1833" w:type="dxa"/>
            <w:tcBorders>
              <w:bottom w:val="single" w:sz="4" w:space="0" w:color="auto"/>
            </w:tcBorders>
            <w:shd w:val="clear" w:color="auto" w:fill="95B3D7" w:themeFill="accent1" w:themeFillTint="99"/>
            <w:vAlign w:val="center"/>
          </w:tcPr>
          <w:p w:rsidR="004E002F" w:rsidRDefault="004E002F" w:rsidP="00F21DCC">
            <w:pPr>
              <w:spacing w:after="0" w:line="240" w:lineRule="auto"/>
              <w:jc w:val="center"/>
              <w:rPr>
                <w:rFonts w:ascii="Calibri" w:hAnsi="Calibri" w:cs="Calibri"/>
                <w:b/>
                <w:bCs/>
                <w:color w:val="000000"/>
                <w:sz w:val="24"/>
                <w:szCs w:val="24"/>
              </w:rPr>
            </w:pPr>
            <w:r>
              <w:rPr>
                <w:rFonts w:ascii="Calibri" w:hAnsi="Calibri" w:cs="Calibri"/>
                <w:b/>
                <w:bCs/>
                <w:color w:val="000000"/>
              </w:rPr>
              <w:t>Intitulé :</w:t>
            </w:r>
          </w:p>
        </w:tc>
        <w:tc>
          <w:tcPr>
            <w:tcW w:w="7938" w:type="dxa"/>
            <w:tcBorders>
              <w:bottom w:val="single" w:sz="4" w:space="0" w:color="auto"/>
            </w:tcBorders>
            <w:shd w:val="clear" w:color="auto" w:fill="auto"/>
            <w:vAlign w:val="center"/>
          </w:tcPr>
          <w:p w:rsidR="004E002F" w:rsidRPr="00F21DCC" w:rsidRDefault="004E002F" w:rsidP="00F21DCC">
            <w:pPr>
              <w:spacing w:after="0" w:line="240" w:lineRule="auto"/>
              <w:rPr>
                <w:rFonts w:ascii="Calibri" w:hAnsi="Calibri" w:cs="Calibri"/>
                <w:color w:val="000000"/>
                <w:sz w:val="24"/>
                <w:szCs w:val="24"/>
              </w:rPr>
            </w:pPr>
            <w:r w:rsidRPr="00F21DCC">
              <w:rPr>
                <w:rFonts w:ascii="Calibri" w:hAnsi="Calibri" w:cs="Calibri"/>
                <w:color w:val="000000"/>
                <w:sz w:val="24"/>
                <w:szCs w:val="24"/>
              </w:rPr>
              <w:t xml:space="preserve">Géotextiles et produits apparentés ‐ Caractéristiques requises pour l'utilisation dans les travaux de terrassement, les fondations et les structures de soutènement ; </w:t>
            </w:r>
          </w:p>
        </w:tc>
      </w:tr>
      <w:tr w:rsidR="004E002F" w:rsidRPr="0043547B" w:rsidTr="00566A17">
        <w:trPr>
          <w:trHeight w:val="753"/>
          <w:jc w:val="center"/>
        </w:trPr>
        <w:tc>
          <w:tcPr>
            <w:tcW w:w="1833" w:type="dxa"/>
            <w:tcBorders>
              <w:top w:val="single" w:sz="4" w:space="0" w:color="auto"/>
            </w:tcBorders>
            <w:shd w:val="clear" w:color="000000" w:fill="D9D9D9"/>
            <w:vAlign w:val="center"/>
          </w:tcPr>
          <w:p w:rsidR="004E002F" w:rsidRDefault="004E002F" w:rsidP="006E0830">
            <w:pPr>
              <w:spacing w:after="0" w:line="240" w:lineRule="auto"/>
              <w:jc w:val="center"/>
              <w:rPr>
                <w:rFonts w:ascii="Calibri" w:hAnsi="Calibri" w:cs="Calibri"/>
                <w:b/>
                <w:bCs/>
                <w:color w:val="000000"/>
                <w:sz w:val="24"/>
                <w:szCs w:val="24"/>
              </w:rPr>
            </w:pPr>
            <w:r>
              <w:rPr>
                <w:rFonts w:ascii="Calibri" w:hAnsi="Calibri" w:cs="Calibri"/>
                <w:b/>
                <w:bCs/>
                <w:color w:val="000000"/>
              </w:rPr>
              <w:t>Domaine d’application :</w:t>
            </w:r>
          </w:p>
        </w:tc>
        <w:tc>
          <w:tcPr>
            <w:tcW w:w="7938" w:type="dxa"/>
            <w:tcBorders>
              <w:top w:val="single" w:sz="4" w:space="0" w:color="auto"/>
            </w:tcBorders>
            <w:shd w:val="clear" w:color="auto" w:fill="auto"/>
            <w:vAlign w:val="center"/>
          </w:tcPr>
          <w:p w:rsidR="006E0830" w:rsidRDefault="004E002F" w:rsidP="006E0830">
            <w:pPr>
              <w:spacing w:after="0" w:line="240" w:lineRule="auto"/>
              <w:jc w:val="both"/>
              <w:rPr>
                <w:rFonts w:ascii="Calibri" w:hAnsi="Calibri" w:cs="Calibri"/>
                <w:color w:val="000000"/>
                <w:sz w:val="24"/>
                <w:szCs w:val="24"/>
              </w:rPr>
            </w:pPr>
            <w:r w:rsidRPr="00F21DCC">
              <w:rPr>
                <w:rFonts w:ascii="Calibri" w:hAnsi="Calibri" w:cs="Calibri"/>
                <w:color w:val="000000"/>
                <w:sz w:val="24"/>
                <w:szCs w:val="24"/>
              </w:rPr>
              <w:t>La présente Norme européenne spécifie les caractéristiques pertinentes des géotextiles et produits</w:t>
            </w:r>
            <w:r w:rsidR="006E0830">
              <w:rPr>
                <w:rFonts w:ascii="Calibri" w:hAnsi="Calibri" w:cs="Calibri"/>
                <w:color w:val="000000"/>
                <w:sz w:val="24"/>
                <w:szCs w:val="24"/>
              </w:rPr>
              <w:t xml:space="preserve"> </w:t>
            </w:r>
            <w:r w:rsidRPr="00F21DCC">
              <w:rPr>
                <w:rFonts w:ascii="Calibri" w:hAnsi="Calibri" w:cs="Calibri"/>
                <w:color w:val="000000"/>
                <w:sz w:val="24"/>
                <w:szCs w:val="24"/>
              </w:rPr>
              <w:t>apparentés utilisés dans les travaux de terrassement, les fondations et les structures de soutènement,</w:t>
            </w:r>
            <w:r w:rsidR="006E0830">
              <w:rPr>
                <w:rFonts w:ascii="Calibri" w:hAnsi="Calibri" w:cs="Calibri"/>
                <w:color w:val="000000"/>
                <w:sz w:val="24"/>
                <w:szCs w:val="24"/>
              </w:rPr>
              <w:t xml:space="preserve"> </w:t>
            </w:r>
            <w:r w:rsidRPr="00F21DCC">
              <w:rPr>
                <w:rFonts w:ascii="Calibri" w:hAnsi="Calibri" w:cs="Calibri"/>
                <w:color w:val="000000"/>
                <w:sz w:val="24"/>
                <w:szCs w:val="24"/>
              </w:rPr>
              <w:t>ainsi que les méthodes d'essai appropriées pour déterminer ces caractéristiques.</w:t>
            </w:r>
          </w:p>
          <w:p w:rsidR="006E0830" w:rsidRDefault="004E002F" w:rsidP="006E0830">
            <w:pPr>
              <w:spacing w:after="0" w:line="240" w:lineRule="auto"/>
              <w:jc w:val="both"/>
              <w:rPr>
                <w:rFonts w:ascii="Calibri" w:hAnsi="Calibri" w:cs="Calibri"/>
                <w:color w:val="000000"/>
                <w:sz w:val="24"/>
                <w:szCs w:val="24"/>
              </w:rPr>
            </w:pPr>
            <w:r w:rsidRPr="00F21DCC">
              <w:rPr>
                <w:rFonts w:ascii="Calibri" w:hAnsi="Calibri" w:cs="Calibri"/>
                <w:color w:val="000000"/>
                <w:sz w:val="24"/>
                <w:szCs w:val="24"/>
              </w:rPr>
              <w:t>L'utilisation prévue de ces géotextiles ou produits apparentés est de remplir au moins l'une des</w:t>
            </w:r>
            <w:r w:rsidR="006E0830">
              <w:rPr>
                <w:rFonts w:ascii="Calibri" w:hAnsi="Calibri" w:cs="Calibri"/>
                <w:color w:val="000000"/>
                <w:sz w:val="24"/>
                <w:szCs w:val="24"/>
              </w:rPr>
              <w:t xml:space="preserve"> </w:t>
            </w:r>
            <w:r w:rsidRPr="00F21DCC">
              <w:rPr>
                <w:rFonts w:ascii="Calibri" w:hAnsi="Calibri" w:cs="Calibri"/>
                <w:color w:val="000000"/>
                <w:sz w:val="24"/>
                <w:szCs w:val="24"/>
              </w:rPr>
              <w:t>fonctions suivantes : filtration, séparation et renforcement. La fonction séparation étant toujours</w:t>
            </w:r>
            <w:r w:rsidR="006E0830">
              <w:rPr>
                <w:rFonts w:ascii="Calibri" w:hAnsi="Calibri" w:cs="Calibri"/>
                <w:color w:val="000000"/>
                <w:sz w:val="24"/>
                <w:szCs w:val="24"/>
              </w:rPr>
              <w:t xml:space="preserve"> </w:t>
            </w:r>
            <w:r w:rsidRPr="00F21DCC">
              <w:rPr>
                <w:rFonts w:ascii="Calibri" w:hAnsi="Calibri" w:cs="Calibri"/>
                <w:color w:val="000000"/>
                <w:sz w:val="24"/>
                <w:szCs w:val="24"/>
              </w:rPr>
              <w:t>utilisée conjointement avec une filtration ou un renforcement, celle-ci n'est pas spécifiée seule.</w:t>
            </w:r>
          </w:p>
          <w:p w:rsidR="006E0830" w:rsidRDefault="004E002F" w:rsidP="006E0830">
            <w:pPr>
              <w:spacing w:after="0" w:line="240" w:lineRule="auto"/>
              <w:jc w:val="both"/>
              <w:rPr>
                <w:rFonts w:ascii="Calibri" w:hAnsi="Calibri" w:cs="Calibri"/>
                <w:color w:val="000000"/>
                <w:sz w:val="24"/>
                <w:szCs w:val="24"/>
              </w:rPr>
            </w:pPr>
            <w:r w:rsidRPr="00F21DCC">
              <w:rPr>
                <w:rFonts w:ascii="Calibri" w:hAnsi="Calibri" w:cs="Calibri"/>
                <w:color w:val="000000"/>
                <w:sz w:val="24"/>
                <w:szCs w:val="24"/>
              </w:rPr>
              <w:t>La présente Norme européenne ne s'applique pas aux géomembranes et géosynthétiques bentonitiques</w:t>
            </w:r>
            <w:r w:rsidR="006E0830">
              <w:rPr>
                <w:rFonts w:ascii="Calibri" w:hAnsi="Calibri" w:cs="Calibri"/>
                <w:color w:val="000000"/>
                <w:sz w:val="24"/>
                <w:szCs w:val="24"/>
              </w:rPr>
              <w:t xml:space="preserve"> </w:t>
            </w:r>
            <w:r w:rsidRPr="00F21DCC">
              <w:rPr>
                <w:rFonts w:ascii="Calibri" w:hAnsi="Calibri" w:cs="Calibri"/>
                <w:color w:val="000000"/>
                <w:sz w:val="24"/>
                <w:szCs w:val="24"/>
              </w:rPr>
              <w:t>tels que définis dans l'EN ISO 10318-1.</w:t>
            </w:r>
          </w:p>
          <w:p w:rsidR="006E0830" w:rsidRDefault="004E002F" w:rsidP="006E0830">
            <w:pPr>
              <w:spacing w:after="0" w:line="240" w:lineRule="auto"/>
              <w:jc w:val="both"/>
              <w:rPr>
                <w:rFonts w:ascii="Calibri" w:hAnsi="Calibri" w:cs="Calibri"/>
                <w:color w:val="000000"/>
                <w:sz w:val="24"/>
                <w:szCs w:val="24"/>
              </w:rPr>
            </w:pPr>
            <w:r w:rsidRPr="00F21DCC">
              <w:rPr>
                <w:rFonts w:ascii="Calibri" w:hAnsi="Calibri" w:cs="Calibri"/>
                <w:color w:val="000000"/>
                <w:sz w:val="24"/>
                <w:szCs w:val="24"/>
              </w:rPr>
              <w:t>La présente Norme européenne permet d'évaluer et de vérifier la constance des performances du</w:t>
            </w:r>
            <w:r w:rsidR="006E0830">
              <w:rPr>
                <w:rFonts w:ascii="Calibri" w:hAnsi="Calibri" w:cs="Calibri"/>
                <w:color w:val="000000"/>
                <w:sz w:val="24"/>
                <w:szCs w:val="24"/>
              </w:rPr>
              <w:t xml:space="preserve"> </w:t>
            </w:r>
            <w:r w:rsidRPr="00F21DCC">
              <w:rPr>
                <w:rFonts w:ascii="Calibri" w:hAnsi="Calibri" w:cs="Calibri"/>
                <w:color w:val="000000"/>
                <w:sz w:val="24"/>
                <w:szCs w:val="24"/>
              </w:rPr>
              <w:t>produit à la présente Norme européenne et les procédures de contrôle de la production en usine.</w:t>
            </w:r>
          </w:p>
          <w:p w:rsidR="006E0830" w:rsidRDefault="004E002F" w:rsidP="006E0830">
            <w:pPr>
              <w:spacing w:after="0" w:line="240" w:lineRule="auto"/>
              <w:jc w:val="both"/>
              <w:rPr>
                <w:rFonts w:ascii="Calibri" w:hAnsi="Calibri" w:cs="Calibri"/>
                <w:color w:val="000000"/>
                <w:sz w:val="24"/>
                <w:szCs w:val="24"/>
              </w:rPr>
            </w:pPr>
            <w:r w:rsidRPr="00F21DCC">
              <w:rPr>
                <w:rFonts w:ascii="Calibri" w:hAnsi="Calibri" w:cs="Calibri"/>
                <w:color w:val="000000"/>
                <w:sz w:val="24"/>
                <w:szCs w:val="24"/>
              </w:rPr>
              <w:t>Des cas d'application particuliers peuvent contenir des exigences sur des propriétés supplémentaires et</w:t>
            </w:r>
            <w:r w:rsidR="006E0830">
              <w:rPr>
                <w:rFonts w:ascii="Calibri" w:hAnsi="Calibri" w:cs="Calibri"/>
                <w:color w:val="000000"/>
                <w:sz w:val="24"/>
                <w:szCs w:val="24"/>
              </w:rPr>
              <w:t xml:space="preserve"> </w:t>
            </w:r>
            <w:r w:rsidRPr="00F21DCC">
              <w:rPr>
                <w:rFonts w:ascii="Calibri" w:hAnsi="Calibri" w:cs="Calibri"/>
                <w:color w:val="000000"/>
                <w:sz w:val="24"/>
                <w:szCs w:val="24"/>
              </w:rPr>
              <w:t>méthodes d'essai – si possible normalisées – si elles sont techniquement pertinentes.</w:t>
            </w:r>
          </w:p>
          <w:p w:rsidR="004E002F" w:rsidRPr="00F21DCC" w:rsidRDefault="004E002F" w:rsidP="006E0830">
            <w:pPr>
              <w:spacing w:after="0" w:line="240" w:lineRule="auto"/>
              <w:jc w:val="both"/>
              <w:rPr>
                <w:rFonts w:ascii="Calibri" w:hAnsi="Calibri" w:cs="Calibri"/>
                <w:color w:val="000000"/>
                <w:sz w:val="24"/>
                <w:szCs w:val="24"/>
              </w:rPr>
            </w:pPr>
            <w:r w:rsidRPr="00F21DCC">
              <w:rPr>
                <w:rFonts w:ascii="Calibri" w:hAnsi="Calibri" w:cs="Calibri"/>
                <w:color w:val="000000"/>
                <w:sz w:val="24"/>
                <w:szCs w:val="24"/>
              </w:rPr>
              <w:t>La présente Norme européenne peut être utilisée pour déduire les valeurs de calcul en prenant en</w:t>
            </w:r>
            <w:r w:rsidR="006E0830">
              <w:rPr>
                <w:rFonts w:ascii="Calibri" w:hAnsi="Calibri" w:cs="Calibri"/>
                <w:color w:val="000000"/>
                <w:sz w:val="24"/>
                <w:szCs w:val="24"/>
              </w:rPr>
              <w:t xml:space="preserve"> </w:t>
            </w:r>
            <w:r w:rsidRPr="00F21DCC">
              <w:rPr>
                <w:rFonts w:ascii="Calibri" w:hAnsi="Calibri" w:cs="Calibri"/>
                <w:color w:val="000000"/>
                <w:sz w:val="24"/>
                <w:szCs w:val="24"/>
              </w:rPr>
              <w:t>compte les facteurs définis dans l'EN 1997-1 (Eurocode 7), par exemple les facteurs de sécurité. Il</w:t>
            </w:r>
            <w:r w:rsidR="006E0830">
              <w:rPr>
                <w:rFonts w:ascii="Calibri" w:hAnsi="Calibri" w:cs="Calibri"/>
                <w:color w:val="000000"/>
                <w:sz w:val="24"/>
                <w:szCs w:val="24"/>
              </w:rPr>
              <w:t xml:space="preserve"> </w:t>
            </w:r>
            <w:r w:rsidRPr="00F21DCC">
              <w:rPr>
                <w:rFonts w:ascii="Calibri" w:hAnsi="Calibri" w:cs="Calibri"/>
                <w:color w:val="000000"/>
                <w:sz w:val="24"/>
                <w:szCs w:val="24"/>
              </w:rPr>
              <w:t>convient de déterminer la durée de vie prévue du produit, puisque sa fonction peut être provisoire,</w:t>
            </w:r>
            <w:r w:rsidRPr="00F21DCC">
              <w:rPr>
                <w:rFonts w:ascii="Calibri" w:hAnsi="Calibri" w:cs="Calibri"/>
                <w:color w:val="000000"/>
                <w:sz w:val="24"/>
                <w:szCs w:val="24"/>
              </w:rPr>
              <w:br/>
              <w:t>pour des besoins de construction, ou permanente, pour la durée de vie de la structure.</w:t>
            </w:r>
          </w:p>
        </w:tc>
      </w:tr>
      <w:tr w:rsidR="004E002F" w:rsidRPr="0043547B" w:rsidTr="006E0830">
        <w:trPr>
          <w:trHeight w:val="420"/>
          <w:jc w:val="center"/>
        </w:trPr>
        <w:tc>
          <w:tcPr>
            <w:tcW w:w="1833" w:type="dxa"/>
            <w:shd w:val="clear" w:color="auto" w:fill="C2D69B" w:themeFill="accent3" w:themeFillTint="99"/>
            <w:vAlign w:val="center"/>
          </w:tcPr>
          <w:p w:rsidR="004E002F" w:rsidRDefault="004E002F" w:rsidP="006E0830">
            <w:pPr>
              <w:spacing w:after="0" w:line="240" w:lineRule="auto"/>
              <w:jc w:val="center"/>
              <w:rPr>
                <w:rFonts w:ascii="Calibri" w:hAnsi="Calibri" w:cs="Calibri"/>
                <w:b/>
                <w:bCs/>
                <w:color w:val="000000"/>
                <w:sz w:val="24"/>
                <w:szCs w:val="24"/>
              </w:rPr>
            </w:pPr>
            <w:r>
              <w:rPr>
                <w:rFonts w:ascii="Calibri" w:hAnsi="Calibri" w:cs="Calibri"/>
                <w:b/>
                <w:bCs/>
                <w:color w:val="000000"/>
              </w:rPr>
              <w:t xml:space="preserve">Code </w:t>
            </w:r>
            <w:r w:rsidR="006E0830">
              <w:rPr>
                <w:rFonts w:ascii="Calibri" w:hAnsi="Calibri" w:cs="Calibri"/>
                <w:b/>
                <w:bCs/>
                <w:color w:val="000000"/>
              </w:rPr>
              <w:t xml:space="preserve"> </w:t>
            </w:r>
            <w:r>
              <w:rPr>
                <w:rFonts w:ascii="Calibri" w:hAnsi="Calibri" w:cs="Calibri"/>
                <w:b/>
                <w:bCs/>
                <w:color w:val="000000"/>
              </w:rPr>
              <w:t>:</w:t>
            </w:r>
          </w:p>
        </w:tc>
        <w:tc>
          <w:tcPr>
            <w:tcW w:w="7938" w:type="dxa"/>
            <w:shd w:val="clear" w:color="auto" w:fill="C2D69B" w:themeFill="accent3" w:themeFillTint="99"/>
            <w:vAlign w:val="center"/>
          </w:tcPr>
          <w:p w:rsidR="004E002F" w:rsidRPr="006E0830" w:rsidRDefault="004E002F" w:rsidP="006E0830">
            <w:pPr>
              <w:spacing w:after="0" w:line="240" w:lineRule="auto"/>
              <w:jc w:val="center"/>
              <w:rPr>
                <w:rFonts w:ascii="Calibri" w:hAnsi="Calibri" w:cs="Calibri"/>
                <w:b/>
                <w:bCs/>
                <w:color w:val="000000"/>
                <w:sz w:val="24"/>
                <w:szCs w:val="24"/>
              </w:rPr>
            </w:pPr>
            <w:r w:rsidRPr="006E0830">
              <w:rPr>
                <w:rFonts w:ascii="Calibri" w:hAnsi="Calibri" w:cs="Calibri"/>
                <w:b/>
                <w:bCs/>
                <w:color w:val="000000"/>
                <w:sz w:val="24"/>
                <w:szCs w:val="24"/>
              </w:rPr>
              <w:t>NM EN 13252</w:t>
            </w:r>
          </w:p>
        </w:tc>
      </w:tr>
      <w:tr w:rsidR="004E002F" w:rsidRPr="0043547B" w:rsidTr="00566A17">
        <w:trPr>
          <w:trHeight w:val="526"/>
          <w:jc w:val="center"/>
        </w:trPr>
        <w:tc>
          <w:tcPr>
            <w:tcW w:w="1833" w:type="dxa"/>
            <w:tcBorders>
              <w:bottom w:val="single" w:sz="18" w:space="0" w:color="auto"/>
            </w:tcBorders>
            <w:shd w:val="clear" w:color="auto" w:fill="FFFF99"/>
            <w:vAlign w:val="center"/>
          </w:tcPr>
          <w:p w:rsidR="004E002F" w:rsidRDefault="004E002F" w:rsidP="006E0830">
            <w:pPr>
              <w:spacing w:after="0" w:line="240" w:lineRule="auto"/>
              <w:jc w:val="center"/>
              <w:rPr>
                <w:rFonts w:ascii="Calibri" w:hAnsi="Calibri" w:cs="Calibri"/>
                <w:b/>
                <w:bCs/>
                <w:color w:val="000000"/>
                <w:sz w:val="24"/>
                <w:szCs w:val="24"/>
              </w:rPr>
            </w:pPr>
            <w:r>
              <w:rPr>
                <w:rFonts w:ascii="Calibri" w:hAnsi="Calibri" w:cs="Calibri"/>
                <w:b/>
                <w:bCs/>
                <w:color w:val="000000"/>
              </w:rPr>
              <w:t>Equivalence :</w:t>
            </w:r>
          </w:p>
        </w:tc>
        <w:tc>
          <w:tcPr>
            <w:tcW w:w="7938" w:type="dxa"/>
            <w:tcBorders>
              <w:bottom w:val="single" w:sz="18" w:space="0" w:color="auto"/>
            </w:tcBorders>
            <w:shd w:val="clear" w:color="auto" w:fill="FFFF99"/>
            <w:vAlign w:val="center"/>
          </w:tcPr>
          <w:p w:rsidR="004E002F" w:rsidRPr="006E0830" w:rsidRDefault="004E002F" w:rsidP="006E0830">
            <w:pPr>
              <w:spacing w:after="0" w:line="240" w:lineRule="auto"/>
              <w:jc w:val="center"/>
              <w:rPr>
                <w:rFonts w:ascii="Calibri" w:hAnsi="Calibri" w:cs="Calibri"/>
                <w:b/>
                <w:bCs/>
                <w:color w:val="000000"/>
                <w:sz w:val="24"/>
                <w:szCs w:val="24"/>
              </w:rPr>
            </w:pPr>
            <w:r w:rsidRPr="006E0830">
              <w:rPr>
                <w:rFonts w:ascii="Calibri" w:hAnsi="Calibri" w:cs="Calibri"/>
                <w:b/>
                <w:bCs/>
                <w:color w:val="000000"/>
                <w:sz w:val="24"/>
                <w:szCs w:val="24"/>
              </w:rPr>
              <w:t>EN 13252</w:t>
            </w:r>
          </w:p>
        </w:tc>
      </w:tr>
      <w:tr w:rsidR="004E002F" w:rsidRPr="0043547B" w:rsidTr="00566A17">
        <w:trPr>
          <w:trHeight w:val="753"/>
          <w:jc w:val="center"/>
        </w:trPr>
        <w:tc>
          <w:tcPr>
            <w:tcW w:w="1833" w:type="dxa"/>
            <w:tcBorders>
              <w:bottom w:val="single" w:sz="4" w:space="0" w:color="auto"/>
            </w:tcBorders>
            <w:shd w:val="clear" w:color="auto" w:fill="95B3D7" w:themeFill="accent1" w:themeFillTint="99"/>
            <w:vAlign w:val="center"/>
          </w:tcPr>
          <w:p w:rsidR="004E002F" w:rsidRDefault="004E002F" w:rsidP="006E0830">
            <w:pPr>
              <w:spacing w:after="0" w:line="240" w:lineRule="auto"/>
              <w:jc w:val="center"/>
              <w:rPr>
                <w:rFonts w:ascii="Calibri" w:hAnsi="Calibri" w:cs="Calibri"/>
                <w:b/>
                <w:bCs/>
                <w:color w:val="000000"/>
                <w:sz w:val="24"/>
                <w:szCs w:val="24"/>
              </w:rPr>
            </w:pPr>
            <w:r>
              <w:rPr>
                <w:rFonts w:ascii="Calibri" w:hAnsi="Calibri" w:cs="Calibri"/>
                <w:b/>
                <w:bCs/>
                <w:color w:val="000000"/>
              </w:rPr>
              <w:t>Intitulé :</w:t>
            </w:r>
          </w:p>
        </w:tc>
        <w:tc>
          <w:tcPr>
            <w:tcW w:w="7938" w:type="dxa"/>
            <w:tcBorders>
              <w:bottom w:val="single" w:sz="4" w:space="0" w:color="auto"/>
            </w:tcBorders>
            <w:shd w:val="clear" w:color="auto" w:fill="auto"/>
            <w:vAlign w:val="center"/>
          </w:tcPr>
          <w:p w:rsidR="004E002F" w:rsidRPr="006E0830" w:rsidRDefault="004E002F" w:rsidP="006E0830">
            <w:pPr>
              <w:spacing w:after="0" w:line="240" w:lineRule="auto"/>
              <w:rPr>
                <w:rFonts w:ascii="Calibri" w:hAnsi="Calibri" w:cs="Calibri"/>
                <w:color w:val="000000"/>
                <w:sz w:val="24"/>
                <w:szCs w:val="24"/>
              </w:rPr>
            </w:pPr>
            <w:r w:rsidRPr="006E0830">
              <w:rPr>
                <w:rFonts w:ascii="Calibri" w:hAnsi="Calibri" w:cs="Calibri"/>
                <w:color w:val="000000"/>
                <w:sz w:val="24"/>
                <w:szCs w:val="24"/>
              </w:rPr>
              <w:t xml:space="preserve">Géotextiles et produits apparentés ‐ Caractéristiques requises pour l'utilisation dans les systèmes de drainage ; </w:t>
            </w:r>
          </w:p>
        </w:tc>
      </w:tr>
      <w:tr w:rsidR="004E002F" w:rsidRPr="0043547B" w:rsidTr="00566A17">
        <w:trPr>
          <w:trHeight w:val="753"/>
          <w:jc w:val="center"/>
        </w:trPr>
        <w:tc>
          <w:tcPr>
            <w:tcW w:w="1833" w:type="dxa"/>
            <w:tcBorders>
              <w:top w:val="single" w:sz="4" w:space="0" w:color="auto"/>
            </w:tcBorders>
            <w:shd w:val="clear" w:color="000000" w:fill="D9D9D9"/>
            <w:vAlign w:val="center"/>
          </w:tcPr>
          <w:p w:rsidR="004E002F" w:rsidRDefault="004E002F" w:rsidP="006E0830">
            <w:pPr>
              <w:spacing w:after="0" w:line="240" w:lineRule="auto"/>
              <w:jc w:val="center"/>
              <w:rPr>
                <w:rFonts w:ascii="Calibri" w:hAnsi="Calibri" w:cs="Calibri"/>
                <w:b/>
                <w:bCs/>
                <w:sz w:val="24"/>
                <w:szCs w:val="24"/>
              </w:rPr>
            </w:pPr>
            <w:r>
              <w:rPr>
                <w:rFonts w:ascii="Calibri" w:hAnsi="Calibri" w:cs="Calibri"/>
                <w:b/>
                <w:bCs/>
              </w:rPr>
              <w:lastRenderedPageBreak/>
              <w:t>Domaine d’application :</w:t>
            </w:r>
          </w:p>
        </w:tc>
        <w:tc>
          <w:tcPr>
            <w:tcW w:w="7938" w:type="dxa"/>
            <w:tcBorders>
              <w:top w:val="single" w:sz="4" w:space="0" w:color="auto"/>
            </w:tcBorders>
            <w:shd w:val="clear" w:color="auto" w:fill="auto"/>
            <w:vAlign w:val="center"/>
          </w:tcPr>
          <w:p w:rsidR="006E0830" w:rsidRDefault="004E002F" w:rsidP="006E0830">
            <w:pPr>
              <w:spacing w:after="0" w:line="240" w:lineRule="auto"/>
              <w:jc w:val="both"/>
              <w:rPr>
                <w:rFonts w:ascii="Calibri" w:hAnsi="Calibri" w:cs="Calibri"/>
                <w:color w:val="000000"/>
                <w:sz w:val="24"/>
                <w:szCs w:val="24"/>
              </w:rPr>
            </w:pPr>
            <w:r w:rsidRPr="006E0830">
              <w:rPr>
                <w:rFonts w:ascii="Calibri" w:hAnsi="Calibri" w:cs="Calibri"/>
                <w:color w:val="000000"/>
                <w:sz w:val="24"/>
                <w:szCs w:val="24"/>
              </w:rPr>
              <w:t>La présente Norme européenne spécifie les caractéristiques pertinentes des géotextiles et produits</w:t>
            </w:r>
            <w:r w:rsidR="006E0830">
              <w:rPr>
                <w:rFonts w:ascii="Calibri" w:hAnsi="Calibri" w:cs="Calibri"/>
                <w:color w:val="000000"/>
                <w:sz w:val="24"/>
                <w:szCs w:val="24"/>
              </w:rPr>
              <w:t xml:space="preserve"> </w:t>
            </w:r>
            <w:r w:rsidRPr="006E0830">
              <w:rPr>
                <w:rFonts w:ascii="Calibri" w:hAnsi="Calibri" w:cs="Calibri"/>
                <w:color w:val="000000"/>
                <w:sz w:val="24"/>
                <w:szCs w:val="24"/>
              </w:rPr>
              <w:t>apparentés utilisés dans les systèmes de drainage, ainsi que les méthodes d'essai appropriées pour</w:t>
            </w:r>
            <w:r w:rsidR="006E0830">
              <w:rPr>
                <w:rFonts w:ascii="Calibri" w:hAnsi="Calibri" w:cs="Calibri"/>
                <w:color w:val="000000"/>
                <w:sz w:val="24"/>
                <w:szCs w:val="24"/>
              </w:rPr>
              <w:t xml:space="preserve"> </w:t>
            </w:r>
            <w:r w:rsidRPr="006E0830">
              <w:rPr>
                <w:rFonts w:ascii="Calibri" w:hAnsi="Calibri" w:cs="Calibri"/>
                <w:color w:val="000000"/>
                <w:sz w:val="24"/>
                <w:szCs w:val="24"/>
              </w:rPr>
              <w:t>déterminer ces caractéristiques.</w:t>
            </w:r>
            <w:r w:rsidRPr="006E0830">
              <w:rPr>
                <w:rFonts w:ascii="Calibri" w:hAnsi="Calibri" w:cs="Calibri"/>
                <w:color w:val="000000"/>
                <w:sz w:val="24"/>
                <w:szCs w:val="24"/>
              </w:rPr>
              <w:br/>
              <w:t>L'utilisation prévue de ces géotextiles ou produits apparentés est de remplir au moins l'une des</w:t>
            </w:r>
            <w:r w:rsidR="006E0830">
              <w:rPr>
                <w:rFonts w:ascii="Calibri" w:hAnsi="Calibri" w:cs="Calibri"/>
                <w:color w:val="000000"/>
                <w:sz w:val="24"/>
                <w:szCs w:val="24"/>
              </w:rPr>
              <w:t xml:space="preserve"> </w:t>
            </w:r>
            <w:r w:rsidRPr="006E0830">
              <w:rPr>
                <w:rFonts w:ascii="Calibri" w:hAnsi="Calibri" w:cs="Calibri"/>
                <w:color w:val="000000"/>
                <w:sz w:val="24"/>
                <w:szCs w:val="24"/>
              </w:rPr>
              <w:t>fonctions suivantes : filtration, séparation et drainage. La fonction séparation étant toujours utilisée</w:t>
            </w:r>
            <w:r w:rsidR="006E0830">
              <w:rPr>
                <w:rFonts w:ascii="Calibri" w:hAnsi="Calibri" w:cs="Calibri"/>
                <w:color w:val="000000"/>
                <w:sz w:val="24"/>
                <w:szCs w:val="24"/>
              </w:rPr>
              <w:t xml:space="preserve"> </w:t>
            </w:r>
            <w:r w:rsidRPr="006E0830">
              <w:rPr>
                <w:rFonts w:ascii="Calibri" w:hAnsi="Calibri" w:cs="Calibri"/>
                <w:color w:val="000000"/>
                <w:sz w:val="24"/>
                <w:szCs w:val="24"/>
              </w:rPr>
              <w:t>conjointement avec une filtration ou un drainage, celle-ci n'est jamais spécifiée seule.</w:t>
            </w:r>
          </w:p>
          <w:p w:rsidR="006E0830" w:rsidRDefault="004E002F" w:rsidP="006E0830">
            <w:pPr>
              <w:spacing w:after="0" w:line="240" w:lineRule="auto"/>
              <w:jc w:val="both"/>
              <w:rPr>
                <w:rFonts w:ascii="Calibri" w:hAnsi="Calibri" w:cs="Calibri"/>
                <w:color w:val="000000"/>
                <w:sz w:val="24"/>
                <w:szCs w:val="24"/>
              </w:rPr>
            </w:pPr>
            <w:r w:rsidRPr="006E0830">
              <w:rPr>
                <w:rFonts w:ascii="Calibri" w:hAnsi="Calibri" w:cs="Calibri"/>
                <w:color w:val="000000"/>
                <w:sz w:val="24"/>
                <w:szCs w:val="24"/>
              </w:rPr>
              <w:t>La présente Norme européenne ne s'applique pas aux géomembranes et géosynthétiques bentonitiques</w:t>
            </w:r>
            <w:r w:rsidR="006E0830">
              <w:rPr>
                <w:rFonts w:ascii="Calibri" w:hAnsi="Calibri" w:cs="Calibri"/>
                <w:color w:val="000000"/>
                <w:sz w:val="24"/>
                <w:szCs w:val="24"/>
              </w:rPr>
              <w:t xml:space="preserve"> </w:t>
            </w:r>
            <w:r w:rsidRPr="006E0830">
              <w:rPr>
                <w:rFonts w:ascii="Calibri" w:hAnsi="Calibri" w:cs="Calibri"/>
                <w:color w:val="000000"/>
                <w:sz w:val="24"/>
                <w:szCs w:val="24"/>
              </w:rPr>
              <w:t>tels que définis dans l'EN ISO 10318-1.</w:t>
            </w:r>
            <w:r w:rsidRPr="006E0830">
              <w:rPr>
                <w:rFonts w:ascii="Calibri" w:hAnsi="Calibri" w:cs="Calibri"/>
                <w:color w:val="000000"/>
                <w:sz w:val="24"/>
                <w:szCs w:val="24"/>
              </w:rPr>
              <w:br/>
              <w:t>La présente Norme européenne permet d'évaluer et de vérifier la constance des performances du</w:t>
            </w:r>
            <w:r w:rsidR="006E0830">
              <w:rPr>
                <w:rFonts w:ascii="Calibri" w:hAnsi="Calibri" w:cs="Calibri"/>
                <w:color w:val="000000"/>
                <w:sz w:val="24"/>
                <w:szCs w:val="24"/>
              </w:rPr>
              <w:t xml:space="preserve"> </w:t>
            </w:r>
            <w:r w:rsidRPr="006E0830">
              <w:rPr>
                <w:rFonts w:ascii="Calibri" w:hAnsi="Calibri" w:cs="Calibri"/>
                <w:color w:val="000000"/>
                <w:sz w:val="24"/>
                <w:szCs w:val="24"/>
              </w:rPr>
              <w:t>produit à la présente Norme européenne et les procédures de contrôle de la production en usine.</w:t>
            </w:r>
          </w:p>
          <w:p w:rsidR="006E0830" w:rsidRDefault="004E002F" w:rsidP="006E0830">
            <w:pPr>
              <w:spacing w:after="0" w:line="240" w:lineRule="auto"/>
              <w:jc w:val="both"/>
              <w:rPr>
                <w:rFonts w:ascii="Calibri" w:hAnsi="Calibri" w:cs="Calibri"/>
                <w:color w:val="000000"/>
                <w:sz w:val="24"/>
                <w:szCs w:val="24"/>
              </w:rPr>
            </w:pPr>
            <w:r w:rsidRPr="006E0830">
              <w:rPr>
                <w:rFonts w:ascii="Calibri" w:hAnsi="Calibri" w:cs="Calibri"/>
                <w:color w:val="000000"/>
                <w:sz w:val="24"/>
                <w:szCs w:val="24"/>
              </w:rPr>
              <w:t>La présente Norme européenne définit les exigences que les fabricants et distributeurs doivent</w:t>
            </w:r>
            <w:r w:rsidR="006E0830">
              <w:rPr>
                <w:rFonts w:ascii="Calibri" w:hAnsi="Calibri" w:cs="Calibri"/>
                <w:color w:val="000000"/>
                <w:sz w:val="24"/>
                <w:szCs w:val="24"/>
              </w:rPr>
              <w:t xml:space="preserve"> </w:t>
            </w:r>
            <w:r w:rsidRPr="006E0830">
              <w:rPr>
                <w:rFonts w:ascii="Calibri" w:hAnsi="Calibri" w:cs="Calibri"/>
                <w:color w:val="000000"/>
                <w:sz w:val="24"/>
                <w:szCs w:val="24"/>
              </w:rPr>
              <w:t>satisfaire concernant la présentation des propriétés du produit.</w:t>
            </w:r>
            <w:r w:rsidRPr="006E0830">
              <w:rPr>
                <w:rFonts w:ascii="Calibri" w:hAnsi="Calibri" w:cs="Calibri"/>
                <w:color w:val="000000"/>
                <w:sz w:val="24"/>
                <w:szCs w:val="24"/>
              </w:rPr>
              <w:br/>
              <w:t>Des cas d'application particuliers peuvent contenir des exigences sur des propriétés supplémentaires et</w:t>
            </w:r>
            <w:r w:rsidR="006E0830">
              <w:rPr>
                <w:rFonts w:ascii="Calibri" w:hAnsi="Calibri" w:cs="Calibri"/>
                <w:color w:val="000000"/>
                <w:sz w:val="24"/>
                <w:szCs w:val="24"/>
              </w:rPr>
              <w:t xml:space="preserve"> </w:t>
            </w:r>
            <w:r w:rsidRPr="006E0830">
              <w:rPr>
                <w:rFonts w:ascii="Calibri" w:hAnsi="Calibri" w:cs="Calibri"/>
                <w:color w:val="000000"/>
                <w:sz w:val="24"/>
                <w:szCs w:val="24"/>
              </w:rPr>
              <w:t>méthodes d'essai – si possible normalisées – si elles sont techniquement pertinentes.</w:t>
            </w:r>
          </w:p>
          <w:p w:rsidR="004E002F" w:rsidRPr="006E0830" w:rsidRDefault="004E002F" w:rsidP="006E0830">
            <w:pPr>
              <w:spacing w:after="0" w:line="240" w:lineRule="auto"/>
              <w:jc w:val="both"/>
              <w:rPr>
                <w:rFonts w:ascii="Calibri" w:hAnsi="Calibri" w:cs="Calibri"/>
                <w:color w:val="000000"/>
                <w:sz w:val="24"/>
                <w:szCs w:val="24"/>
              </w:rPr>
            </w:pPr>
            <w:r w:rsidRPr="006E0830">
              <w:rPr>
                <w:rFonts w:ascii="Calibri" w:hAnsi="Calibri" w:cs="Calibri"/>
                <w:color w:val="000000"/>
                <w:sz w:val="24"/>
                <w:szCs w:val="24"/>
              </w:rPr>
              <w:t>La présente Norme européenne peut être utilisée pour déduire les valeurs de calcul en prenant en</w:t>
            </w:r>
            <w:r w:rsidR="006E0830">
              <w:rPr>
                <w:rFonts w:ascii="Calibri" w:hAnsi="Calibri" w:cs="Calibri"/>
                <w:color w:val="000000"/>
                <w:sz w:val="24"/>
                <w:szCs w:val="24"/>
              </w:rPr>
              <w:t xml:space="preserve"> </w:t>
            </w:r>
            <w:r w:rsidRPr="006E0830">
              <w:rPr>
                <w:rFonts w:ascii="Calibri" w:hAnsi="Calibri" w:cs="Calibri"/>
                <w:color w:val="000000"/>
                <w:sz w:val="24"/>
                <w:szCs w:val="24"/>
              </w:rPr>
              <w:t>compte les facteurs définis dans l'EN 1997-1 (Eurocode 7), par exemple les facteurs de sécurité. Il</w:t>
            </w:r>
            <w:r w:rsidR="006E0830">
              <w:rPr>
                <w:rFonts w:ascii="Calibri" w:hAnsi="Calibri" w:cs="Calibri"/>
                <w:color w:val="000000"/>
                <w:sz w:val="24"/>
                <w:szCs w:val="24"/>
              </w:rPr>
              <w:t xml:space="preserve"> </w:t>
            </w:r>
            <w:r w:rsidRPr="006E0830">
              <w:rPr>
                <w:rFonts w:ascii="Calibri" w:hAnsi="Calibri" w:cs="Calibri"/>
                <w:color w:val="000000"/>
                <w:sz w:val="24"/>
                <w:szCs w:val="24"/>
              </w:rPr>
              <w:t>convient de déterminer la durée de vie prévue du produit, puisque sa fonction peut être provisoire,</w:t>
            </w:r>
            <w:r w:rsidRPr="006E0830">
              <w:rPr>
                <w:rFonts w:ascii="Calibri" w:hAnsi="Calibri" w:cs="Calibri"/>
                <w:color w:val="000000"/>
                <w:sz w:val="24"/>
                <w:szCs w:val="24"/>
              </w:rPr>
              <w:br/>
              <w:t>pour des besoins de construction, ou permanente, pour la durée de vie de la structure.</w:t>
            </w:r>
          </w:p>
        </w:tc>
      </w:tr>
      <w:tr w:rsidR="004E002F" w:rsidRPr="0043547B" w:rsidTr="006E0830">
        <w:trPr>
          <w:trHeight w:val="454"/>
          <w:jc w:val="center"/>
        </w:trPr>
        <w:tc>
          <w:tcPr>
            <w:tcW w:w="1833" w:type="dxa"/>
            <w:shd w:val="clear" w:color="auto" w:fill="C2D69B" w:themeFill="accent3" w:themeFillTint="99"/>
            <w:vAlign w:val="center"/>
          </w:tcPr>
          <w:p w:rsidR="004E002F" w:rsidRDefault="004E002F" w:rsidP="006E0830">
            <w:pPr>
              <w:spacing w:after="0" w:line="240" w:lineRule="auto"/>
              <w:jc w:val="center"/>
              <w:rPr>
                <w:rFonts w:ascii="Calibri" w:hAnsi="Calibri" w:cs="Calibri"/>
                <w:b/>
                <w:bCs/>
                <w:color w:val="000000"/>
                <w:sz w:val="24"/>
                <w:szCs w:val="24"/>
              </w:rPr>
            </w:pPr>
            <w:r>
              <w:rPr>
                <w:rFonts w:ascii="Calibri" w:hAnsi="Calibri" w:cs="Calibri"/>
                <w:b/>
                <w:bCs/>
                <w:color w:val="000000"/>
              </w:rPr>
              <w:t>Code :</w:t>
            </w:r>
          </w:p>
        </w:tc>
        <w:tc>
          <w:tcPr>
            <w:tcW w:w="7938" w:type="dxa"/>
            <w:shd w:val="clear" w:color="auto" w:fill="C2D69B" w:themeFill="accent3" w:themeFillTint="99"/>
            <w:vAlign w:val="center"/>
          </w:tcPr>
          <w:p w:rsidR="004E002F" w:rsidRPr="006E0830" w:rsidRDefault="004E002F" w:rsidP="006E0830">
            <w:pPr>
              <w:spacing w:after="0" w:line="240" w:lineRule="auto"/>
              <w:jc w:val="center"/>
              <w:rPr>
                <w:rFonts w:ascii="Calibri" w:hAnsi="Calibri" w:cs="Calibri"/>
                <w:b/>
                <w:bCs/>
                <w:color w:val="000000"/>
                <w:sz w:val="24"/>
                <w:szCs w:val="24"/>
              </w:rPr>
            </w:pPr>
            <w:r w:rsidRPr="006E0830">
              <w:rPr>
                <w:rFonts w:ascii="Calibri" w:hAnsi="Calibri" w:cs="Calibri"/>
                <w:b/>
                <w:bCs/>
                <w:color w:val="000000"/>
                <w:sz w:val="24"/>
                <w:szCs w:val="24"/>
              </w:rPr>
              <w:t>NM EN 13253</w:t>
            </w:r>
          </w:p>
        </w:tc>
      </w:tr>
      <w:tr w:rsidR="004E002F" w:rsidRPr="0043547B" w:rsidTr="00566A17">
        <w:trPr>
          <w:trHeight w:val="390"/>
          <w:jc w:val="center"/>
        </w:trPr>
        <w:tc>
          <w:tcPr>
            <w:tcW w:w="1833" w:type="dxa"/>
            <w:tcBorders>
              <w:bottom w:val="single" w:sz="18" w:space="0" w:color="auto"/>
            </w:tcBorders>
            <w:shd w:val="clear" w:color="auto" w:fill="FFFF99"/>
            <w:vAlign w:val="center"/>
          </w:tcPr>
          <w:p w:rsidR="004E002F" w:rsidRDefault="004E002F" w:rsidP="006E0830">
            <w:pPr>
              <w:spacing w:after="0" w:line="240" w:lineRule="auto"/>
              <w:jc w:val="center"/>
              <w:rPr>
                <w:rFonts w:ascii="Calibri" w:hAnsi="Calibri" w:cs="Calibri"/>
                <w:b/>
                <w:bCs/>
                <w:color w:val="000000"/>
                <w:sz w:val="24"/>
                <w:szCs w:val="24"/>
              </w:rPr>
            </w:pPr>
            <w:r>
              <w:rPr>
                <w:rFonts w:ascii="Calibri" w:hAnsi="Calibri" w:cs="Calibri"/>
                <w:b/>
                <w:bCs/>
                <w:color w:val="000000"/>
              </w:rPr>
              <w:t>Equivalence :</w:t>
            </w:r>
          </w:p>
        </w:tc>
        <w:tc>
          <w:tcPr>
            <w:tcW w:w="7938" w:type="dxa"/>
            <w:tcBorders>
              <w:bottom w:val="single" w:sz="18" w:space="0" w:color="auto"/>
            </w:tcBorders>
            <w:shd w:val="clear" w:color="auto" w:fill="FFFF99"/>
            <w:vAlign w:val="center"/>
          </w:tcPr>
          <w:p w:rsidR="004E002F" w:rsidRPr="006E0830" w:rsidRDefault="004E002F" w:rsidP="006E0830">
            <w:pPr>
              <w:spacing w:after="0" w:line="240" w:lineRule="auto"/>
              <w:jc w:val="center"/>
              <w:rPr>
                <w:rFonts w:ascii="Calibri" w:hAnsi="Calibri" w:cs="Calibri"/>
                <w:b/>
                <w:bCs/>
                <w:color w:val="000000"/>
                <w:sz w:val="24"/>
                <w:szCs w:val="24"/>
              </w:rPr>
            </w:pPr>
            <w:r w:rsidRPr="006E0830">
              <w:rPr>
                <w:rFonts w:ascii="Calibri" w:hAnsi="Calibri" w:cs="Calibri"/>
                <w:b/>
                <w:bCs/>
                <w:color w:val="000000"/>
                <w:sz w:val="24"/>
                <w:szCs w:val="24"/>
              </w:rPr>
              <w:t>EN 13253</w:t>
            </w:r>
          </w:p>
        </w:tc>
      </w:tr>
      <w:tr w:rsidR="004E002F" w:rsidRPr="0043547B" w:rsidTr="00566A17">
        <w:trPr>
          <w:trHeight w:val="753"/>
          <w:jc w:val="center"/>
        </w:trPr>
        <w:tc>
          <w:tcPr>
            <w:tcW w:w="1833" w:type="dxa"/>
            <w:tcBorders>
              <w:bottom w:val="single" w:sz="4" w:space="0" w:color="auto"/>
            </w:tcBorders>
            <w:shd w:val="clear" w:color="auto" w:fill="B8CCE4" w:themeFill="accent1" w:themeFillTint="66"/>
            <w:vAlign w:val="center"/>
          </w:tcPr>
          <w:p w:rsidR="004E002F" w:rsidRDefault="004E002F" w:rsidP="006E0830">
            <w:pPr>
              <w:spacing w:after="0" w:line="240" w:lineRule="auto"/>
              <w:jc w:val="center"/>
              <w:rPr>
                <w:rFonts w:ascii="Calibri" w:hAnsi="Calibri" w:cs="Calibri"/>
                <w:b/>
                <w:bCs/>
                <w:color w:val="000000"/>
                <w:sz w:val="24"/>
                <w:szCs w:val="24"/>
              </w:rPr>
            </w:pPr>
            <w:r>
              <w:rPr>
                <w:rFonts w:ascii="Calibri" w:hAnsi="Calibri" w:cs="Calibri"/>
                <w:b/>
                <w:bCs/>
                <w:color w:val="000000"/>
              </w:rPr>
              <w:t>Intitulé :</w:t>
            </w:r>
          </w:p>
        </w:tc>
        <w:tc>
          <w:tcPr>
            <w:tcW w:w="7938" w:type="dxa"/>
            <w:tcBorders>
              <w:bottom w:val="single" w:sz="4" w:space="0" w:color="auto"/>
            </w:tcBorders>
            <w:shd w:val="clear" w:color="auto" w:fill="auto"/>
            <w:vAlign w:val="center"/>
          </w:tcPr>
          <w:p w:rsidR="004E002F" w:rsidRPr="006E0830" w:rsidRDefault="004E002F" w:rsidP="006E0830">
            <w:pPr>
              <w:spacing w:after="0" w:line="240" w:lineRule="auto"/>
              <w:rPr>
                <w:rFonts w:ascii="Calibri" w:hAnsi="Calibri" w:cs="Calibri"/>
                <w:color w:val="000000"/>
                <w:sz w:val="24"/>
                <w:szCs w:val="24"/>
              </w:rPr>
            </w:pPr>
            <w:r w:rsidRPr="006E0830">
              <w:rPr>
                <w:rFonts w:ascii="Calibri" w:hAnsi="Calibri" w:cs="Calibri"/>
                <w:color w:val="000000"/>
                <w:sz w:val="24"/>
                <w:szCs w:val="24"/>
              </w:rPr>
              <w:t xml:space="preserve">Géotextiles et produits apparentés ‐ Caractéristiques requises pour l'utilisation dans les ouvrages de lutte contre l'érosion (protection côtière et revêtement de berge) ; </w:t>
            </w:r>
          </w:p>
        </w:tc>
      </w:tr>
      <w:tr w:rsidR="004E002F" w:rsidRPr="0043547B" w:rsidTr="00566A17">
        <w:trPr>
          <w:trHeight w:val="753"/>
          <w:jc w:val="center"/>
        </w:trPr>
        <w:tc>
          <w:tcPr>
            <w:tcW w:w="1833" w:type="dxa"/>
            <w:tcBorders>
              <w:top w:val="single" w:sz="4" w:space="0" w:color="auto"/>
            </w:tcBorders>
            <w:shd w:val="clear" w:color="000000" w:fill="D9D9D9"/>
            <w:vAlign w:val="center"/>
          </w:tcPr>
          <w:p w:rsidR="004E002F" w:rsidRDefault="004E002F" w:rsidP="006E0830">
            <w:pPr>
              <w:spacing w:after="0" w:line="240" w:lineRule="auto"/>
              <w:jc w:val="center"/>
              <w:rPr>
                <w:rFonts w:ascii="Calibri" w:hAnsi="Calibri" w:cs="Calibri"/>
                <w:b/>
                <w:bCs/>
                <w:color w:val="000000"/>
                <w:sz w:val="24"/>
                <w:szCs w:val="24"/>
              </w:rPr>
            </w:pPr>
            <w:r>
              <w:rPr>
                <w:rFonts w:ascii="Calibri" w:hAnsi="Calibri" w:cs="Calibri"/>
                <w:b/>
                <w:bCs/>
                <w:color w:val="000000"/>
              </w:rPr>
              <w:t>Domaine d’application :</w:t>
            </w:r>
          </w:p>
        </w:tc>
        <w:tc>
          <w:tcPr>
            <w:tcW w:w="7938" w:type="dxa"/>
            <w:tcBorders>
              <w:top w:val="single" w:sz="4" w:space="0" w:color="auto"/>
            </w:tcBorders>
            <w:shd w:val="clear" w:color="auto" w:fill="auto"/>
            <w:vAlign w:val="center"/>
          </w:tcPr>
          <w:p w:rsidR="006E0830" w:rsidRDefault="004E002F" w:rsidP="006E0830">
            <w:pPr>
              <w:spacing w:after="0" w:line="240" w:lineRule="auto"/>
              <w:jc w:val="both"/>
              <w:rPr>
                <w:rFonts w:ascii="Calibri" w:hAnsi="Calibri" w:cs="Calibri"/>
                <w:color w:val="000000"/>
                <w:sz w:val="24"/>
                <w:szCs w:val="24"/>
              </w:rPr>
            </w:pPr>
            <w:r w:rsidRPr="006E0830">
              <w:rPr>
                <w:rFonts w:ascii="Calibri" w:hAnsi="Calibri" w:cs="Calibri"/>
                <w:color w:val="000000"/>
                <w:sz w:val="24"/>
                <w:szCs w:val="24"/>
              </w:rPr>
              <w:t>La présente Norme européenne spécifie les caractéristiques pertinentes des géotextiles et produits</w:t>
            </w:r>
            <w:r w:rsidR="006E0830">
              <w:rPr>
                <w:rFonts w:ascii="Calibri" w:hAnsi="Calibri" w:cs="Calibri"/>
                <w:color w:val="000000"/>
                <w:sz w:val="24"/>
                <w:szCs w:val="24"/>
              </w:rPr>
              <w:t xml:space="preserve"> </w:t>
            </w:r>
            <w:r w:rsidRPr="006E0830">
              <w:rPr>
                <w:rFonts w:ascii="Calibri" w:hAnsi="Calibri" w:cs="Calibri"/>
                <w:color w:val="000000"/>
                <w:sz w:val="24"/>
                <w:szCs w:val="24"/>
              </w:rPr>
              <w:t>apparentés utilisés dans les ouvrages de lutte contre l'érosion dans le but de prévenir la migration de</w:t>
            </w:r>
            <w:r w:rsidR="006E0830">
              <w:rPr>
                <w:rFonts w:ascii="Calibri" w:hAnsi="Calibri" w:cs="Calibri"/>
                <w:color w:val="000000"/>
                <w:sz w:val="24"/>
                <w:szCs w:val="24"/>
              </w:rPr>
              <w:t xml:space="preserve"> </w:t>
            </w:r>
            <w:r w:rsidRPr="006E0830">
              <w:rPr>
                <w:rFonts w:ascii="Calibri" w:hAnsi="Calibri" w:cs="Calibri"/>
                <w:color w:val="000000"/>
                <w:sz w:val="24"/>
                <w:szCs w:val="24"/>
              </w:rPr>
              <w:t>matière à granulométrie fine dans des couches de matériau plus grossier sous l'influence de gradients</w:t>
            </w:r>
            <w:r w:rsidRPr="006E0830">
              <w:rPr>
                <w:rFonts w:ascii="Calibri" w:hAnsi="Calibri" w:cs="Calibri"/>
                <w:color w:val="000000"/>
                <w:sz w:val="24"/>
                <w:szCs w:val="24"/>
              </w:rPr>
              <w:br/>
              <w:t>hydrauliques alternants. Cette norme spécifie également les méthodes d'essai appropriées pour</w:t>
            </w:r>
            <w:r w:rsidR="006E0830">
              <w:rPr>
                <w:rFonts w:ascii="Calibri" w:hAnsi="Calibri" w:cs="Calibri"/>
                <w:color w:val="000000"/>
                <w:sz w:val="24"/>
                <w:szCs w:val="24"/>
              </w:rPr>
              <w:t xml:space="preserve"> </w:t>
            </w:r>
            <w:r w:rsidRPr="006E0830">
              <w:rPr>
                <w:rFonts w:ascii="Calibri" w:hAnsi="Calibri" w:cs="Calibri"/>
                <w:color w:val="000000"/>
                <w:sz w:val="24"/>
                <w:szCs w:val="24"/>
              </w:rPr>
              <w:t>déterminer ces caractéristiques.</w:t>
            </w:r>
          </w:p>
          <w:p w:rsidR="006E0830" w:rsidRDefault="004E002F" w:rsidP="006E0830">
            <w:pPr>
              <w:spacing w:after="0" w:line="240" w:lineRule="auto"/>
              <w:jc w:val="both"/>
              <w:rPr>
                <w:rFonts w:ascii="Calibri" w:hAnsi="Calibri" w:cs="Calibri"/>
                <w:color w:val="000000"/>
                <w:sz w:val="24"/>
                <w:szCs w:val="24"/>
              </w:rPr>
            </w:pPr>
            <w:r w:rsidRPr="006E0830">
              <w:rPr>
                <w:rFonts w:ascii="Calibri" w:hAnsi="Calibri" w:cs="Calibri"/>
                <w:color w:val="000000"/>
                <w:sz w:val="24"/>
                <w:szCs w:val="24"/>
              </w:rPr>
              <w:t>La présente Norme européenne couvre les applications en protection côtière et revêtement de berge. La</w:t>
            </w:r>
            <w:r w:rsidR="006E0830">
              <w:rPr>
                <w:rFonts w:ascii="Calibri" w:hAnsi="Calibri" w:cs="Calibri"/>
                <w:color w:val="000000"/>
                <w:sz w:val="24"/>
                <w:szCs w:val="24"/>
              </w:rPr>
              <w:t xml:space="preserve"> </w:t>
            </w:r>
            <w:r w:rsidRPr="006E0830">
              <w:rPr>
                <w:rFonts w:ascii="Calibri" w:hAnsi="Calibri" w:cs="Calibri"/>
                <w:color w:val="000000"/>
                <w:sz w:val="24"/>
                <w:szCs w:val="24"/>
              </w:rPr>
              <w:t>présente Norme européenne ne couvre pas l'érosion de surface, où le géotextile ou produit apparenté</w:t>
            </w:r>
            <w:r w:rsidR="006E0830">
              <w:rPr>
                <w:rFonts w:ascii="Calibri" w:hAnsi="Calibri" w:cs="Calibri"/>
                <w:color w:val="000000"/>
                <w:sz w:val="24"/>
                <w:szCs w:val="24"/>
              </w:rPr>
              <w:t xml:space="preserve"> </w:t>
            </w:r>
            <w:r w:rsidRPr="006E0830">
              <w:rPr>
                <w:rFonts w:ascii="Calibri" w:hAnsi="Calibri" w:cs="Calibri"/>
                <w:color w:val="000000"/>
                <w:sz w:val="24"/>
                <w:szCs w:val="24"/>
              </w:rPr>
              <w:t>est situé en surface.</w:t>
            </w:r>
          </w:p>
          <w:p w:rsidR="006E0830" w:rsidRDefault="004E002F" w:rsidP="006E0830">
            <w:pPr>
              <w:spacing w:after="0" w:line="240" w:lineRule="auto"/>
              <w:jc w:val="both"/>
              <w:rPr>
                <w:rFonts w:ascii="Calibri" w:hAnsi="Calibri" w:cs="Calibri"/>
                <w:color w:val="000000"/>
                <w:sz w:val="24"/>
                <w:szCs w:val="24"/>
              </w:rPr>
            </w:pPr>
            <w:r w:rsidRPr="006E0830">
              <w:rPr>
                <w:rFonts w:ascii="Calibri" w:hAnsi="Calibri" w:cs="Calibri"/>
                <w:color w:val="000000"/>
                <w:sz w:val="24"/>
                <w:szCs w:val="24"/>
              </w:rPr>
              <w:t>L'utilisation prévue de ces géotextiles ou produits apparentés est de remplir au moins l'une des</w:t>
            </w:r>
            <w:r w:rsidR="006E0830">
              <w:rPr>
                <w:rFonts w:ascii="Calibri" w:hAnsi="Calibri" w:cs="Calibri"/>
                <w:color w:val="000000"/>
                <w:sz w:val="24"/>
                <w:szCs w:val="24"/>
              </w:rPr>
              <w:t xml:space="preserve"> </w:t>
            </w:r>
            <w:r w:rsidRPr="006E0830">
              <w:rPr>
                <w:rFonts w:ascii="Calibri" w:hAnsi="Calibri" w:cs="Calibri"/>
                <w:color w:val="000000"/>
                <w:sz w:val="24"/>
                <w:szCs w:val="24"/>
              </w:rPr>
              <w:t>fonctions suivantes : filtration, séparation et renforcement. La fonction séparation étant toujours</w:t>
            </w:r>
            <w:r w:rsidR="006E0830">
              <w:rPr>
                <w:rFonts w:ascii="Calibri" w:hAnsi="Calibri" w:cs="Calibri"/>
                <w:color w:val="000000"/>
                <w:sz w:val="24"/>
                <w:szCs w:val="24"/>
              </w:rPr>
              <w:t xml:space="preserve"> </w:t>
            </w:r>
            <w:r w:rsidRPr="006E0830">
              <w:rPr>
                <w:rFonts w:ascii="Calibri" w:hAnsi="Calibri" w:cs="Calibri"/>
                <w:color w:val="000000"/>
                <w:sz w:val="24"/>
                <w:szCs w:val="24"/>
              </w:rPr>
              <w:t>utilisée conjointement avec une filtration ou un renforcement, celle-ci n'est pas spécifiée seule.</w:t>
            </w:r>
          </w:p>
          <w:p w:rsidR="006E0830" w:rsidRDefault="004E002F" w:rsidP="006E0830">
            <w:pPr>
              <w:spacing w:after="0" w:line="240" w:lineRule="auto"/>
              <w:jc w:val="both"/>
              <w:rPr>
                <w:rFonts w:ascii="Calibri" w:hAnsi="Calibri" w:cs="Calibri"/>
                <w:color w:val="000000"/>
                <w:sz w:val="24"/>
                <w:szCs w:val="24"/>
              </w:rPr>
            </w:pPr>
            <w:r w:rsidRPr="006E0830">
              <w:rPr>
                <w:rFonts w:ascii="Calibri" w:hAnsi="Calibri" w:cs="Calibri"/>
                <w:color w:val="000000"/>
                <w:sz w:val="24"/>
                <w:szCs w:val="24"/>
              </w:rPr>
              <w:t>La présente Norme européenne ne s'applique pas aux géomembranes et géosynthétiques bentonitiques</w:t>
            </w:r>
            <w:r w:rsidR="006E0830">
              <w:rPr>
                <w:rFonts w:ascii="Calibri" w:hAnsi="Calibri" w:cs="Calibri"/>
                <w:color w:val="000000"/>
                <w:sz w:val="24"/>
                <w:szCs w:val="24"/>
              </w:rPr>
              <w:t xml:space="preserve"> </w:t>
            </w:r>
            <w:r w:rsidRPr="006E0830">
              <w:rPr>
                <w:rFonts w:ascii="Calibri" w:hAnsi="Calibri" w:cs="Calibri"/>
                <w:color w:val="000000"/>
                <w:sz w:val="24"/>
                <w:szCs w:val="24"/>
              </w:rPr>
              <w:t>tels que définis dans l'EN ISO 10318-1.</w:t>
            </w:r>
          </w:p>
          <w:p w:rsidR="006E0830" w:rsidRDefault="004E002F" w:rsidP="006E0830">
            <w:pPr>
              <w:spacing w:after="0" w:line="240" w:lineRule="auto"/>
              <w:jc w:val="both"/>
              <w:rPr>
                <w:rFonts w:ascii="Calibri" w:hAnsi="Calibri" w:cs="Calibri"/>
                <w:color w:val="000000"/>
                <w:sz w:val="24"/>
                <w:szCs w:val="24"/>
              </w:rPr>
            </w:pPr>
            <w:r w:rsidRPr="006E0830">
              <w:rPr>
                <w:rFonts w:ascii="Calibri" w:hAnsi="Calibri" w:cs="Calibri"/>
                <w:color w:val="000000"/>
                <w:sz w:val="24"/>
                <w:szCs w:val="24"/>
              </w:rPr>
              <w:t>La présente Norme européenne permet d'évaluer et de vérifier la constance des performances du</w:t>
            </w:r>
            <w:r w:rsidR="006E0830">
              <w:rPr>
                <w:rFonts w:ascii="Calibri" w:hAnsi="Calibri" w:cs="Calibri"/>
                <w:color w:val="000000"/>
                <w:sz w:val="24"/>
                <w:szCs w:val="24"/>
              </w:rPr>
              <w:t xml:space="preserve"> </w:t>
            </w:r>
            <w:r w:rsidRPr="006E0830">
              <w:rPr>
                <w:rFonts w:ascii="Calibri" w:hAnsi="Calibri" w:cs="Calibri"/>
                <w:color w:val="000000"/>
                <w:sz w:val="24"/>
                <w:szCs w:val="24"/>
              </w:rPr>
              <w:t>produit à la présente Norme européenne et les procédures de contrôle de la production en usine.</w:t>
            </w:r>
            <w:r w:rsidR="006E0830">
              <w:rPr>
                <w:rFonts w:ascii="Calibri" w:hAnsi="Calibri" w:cs="Calibri"/>
                <w:color w:val="000000"/>
                <w:sz w:val="24"/>
                <w:szCs w:val="24"/>
              </w:rPr>
              <w:t xml:space="preserve"> </w:t>
            </w:r>
          </w:p>
          <w:p w:rsidR="006E0830" w:rsidRDefault="004E002F" w:rsidP="006E0830">
            <w:pPr>
              <w:spacing w:after="0" w:line="240" w:lineRule="auto"/>
              <w:jc w:val="both"/>
              <w:rPr>
                <w:rFonts w:ascii="Calibri" w:hAnsi="Calibri" w:cs="Calibri"/>
                <w:color w:val="000000"/>
                <w:sz w:val="24"/>
                <w:szCs w:val="24"/>
              </w:rPr>
            </w:pPr>
            <w:r w:rsidRPr="006E0830">
              <w:rPr>
                <w:rFonts w:ascii="Calibri" w:hAnsi="Calibri" w:cs="Calibri"/>
                <w:color w:val="000000"/>
                <w:sz w:val="24"/>
                <w:szCs w:val="24"/>
              </w:rPr>
              <w:lastRenderedPageBreak/>
              <w:t>Des cas d'application particuliers peuvent contenir des exigences sur des propriétés supplémentaires et</w:t>
            </w:r>
            <w:r w:rsidR="006E0830">
              <w:rPr>
                <w:rFonts w:ascii="Calibri" w:hAnsi="Calibri" w:cs="Calibri"/>
                <w:color w:val="000000"/>
                <w:sz w:val="24"/>
                <w:szCs w:val="24"/>
              </w:rPr>
              <w:t xml:space="preserve"> </w:t>
            </w:r>
            <w:r w:rsidRPr="006E0830">
              <w:rPr>
                <w:rFonts w:ascii="Calibri" w:hAnsi="Calibri" w:cs="Calibri"/>
                <w:color w:val="000000"/>
                <w:sz w:val="24"/>
                <w:szCs w:val="24"/>
              </w:rPr>
              <w:t>méthodes d'essai – si possible normalisées – si elles sont techniquement pertinentes.</w:t>
            </w:r>
          </w:p>
          <w:p w:rsidR="004E002F" w:rsidRPr="006E0830" w:rsidRDefault="004E002F" w:rsidP="006E0830">
            <w:pPr>
              <w:spacing w:after="0" w:line="240" w:lineRule="auto"/>
              <w:jc w:val="both"/>
              <w:rPr>
                <w:rFonts w:ascii="Calibri" w:hAnsi="Calibri" w:cs="Calibri"/>
                <w:color w:val="000000"/>
                <w:sz w:val="24"/>
                <w:szCs w:val="24"/>
              </w:rPr>
            </w:pPr>
            <w:r w:rsidRPr="006E0830">
              <w:rPr>
                <w:rFonts w:ascii="Calibri" w:hAnsi="Calibri" w:cs="Calibri"/>
                <w:color w:val="000000"/>
                <w:sz w:val="24"/>
                <w:szCs w:val="24"/>
              </w:rPr>
              <w:t>La présente Norme européenne peut être utilisée pour déduire les valeurs de calcul en prenant en</w:t>
            </w:r>
            <w:r w:rsidR="006E0830">
              <w:rPr>
                <w:rFonts w:ascii="Calibri" w:hAnsi="Calibri" w:cs="Calibri"/>
                <w:color w:val="000000"/>
                <w:sz w:val="24"/>
                <w:szCs w:val="24"/>
              </w:rPr>
              <w:t xml:space="preserve"> </w:t>
            </w:r>
            <w:r w:rsidRPr="006E0830">
              <w:rPr>
                <w:rFonts w:ascii="Calibri" w:hAnsi="Calibri" w:cs="Calibri"/>
                <w:color w:val="000000"/>
                <w:sz w:val="24"/>
                <w:szCs w:val="24"/>
              </w:rPr>
              <w:t>compte les facteurs définis dans l'EN 1997-1 (Eurocode 7), par exemple les facteurs de sécurité. Il</w:t>
            </w:r>
            <w:r w:rsidR="006E0830">
              <w:rPr>
                <w:rFonts w:ascii="Calibri" w:hAnsi="Calibri" w:cs="Calibri"/>
                <w:color w:val="000000"/>
                <w:sz w:val="24"/>
                <w:szCs w:val="24"/>
              </w:rPr>
              <w:t xml:space="preserve"> </w:t>
            </w:r>
            <w:r w:rsidRPr="006E0830">
              <w:rPr>
                <w:rFonts w:ascii="Calibri" w:hAnsi="Calibri" w:cs="Calibri"/>
                <w:color w:val="000000"/>
                <w:sz w:val="24"/>
                <w:szCs w:val="24"/>
              </w:rPr>
              <w:t>convient de déterminer la durée de vie prévue du produit, puisque sa fonction peut être provisoire,</w:t>
            </w:r>
            <w:r w:rsidR="006E0830">
              <w:rPr>
                <w:rFonts w:ascii="Calibri" w:hAnsi="Calibri" w:cs="Calibri"/>
                <w:color w:val="000000"/>
                <w:sz w:val="24"/>
                <w:szCs w:val="24"/>
              </w:rPr>
              <w:t xml:space="preserve"> </w:t>
            </w:r>
            <w:r w:rsidRPr="006E0830">
              <w:rPr>
                <w:rFonts w:ascii="Calibri" w:hAnsi="Calibri" w:cs="Calibri"/>
                <w:color w:val="000000"/>
                <w:sz w:val="24"/>
                <w:szCs w:val="24"/>
              </w:rPr>
              <w:t>pour des besoins de construction, ou permanente, pour la durée de vie de la structure.</w:t>
            </w:r>
          </w:p>
        </w:tc>
      </w:tr>
      <w:tr w:rsidR="004E002F" w:rsidRPr="0043547B" w:rsidTr="006E0830">
        <w:trPr>
          <w:trHeight w:val="383"/>
          <w:jc w:val="center"/>
        </w:trPr>
        <w:tc>
          <w:tcPr>
            <w:tcW w:w="1833" w:type="dxa"/>
            <w:shd w:val="clear" w:color="auto" w:fill="C2D69B" w:themeFill="accent3" w:themeFillTint="99"/>
            <w:vAlign w:val="center"/>
          </w:tcPr>
          <w:p w:rsidR="004E002F" w:rsidRDefault="004E002F" w:rsidP="006E0830">
            <w:pPr>
              <w:spacing w:after="0" w:line="240" w:lineRule="auto"/>
              <w:jc w:val="center"/>
              <w:rPr>
                <w:rFonts w:ascii="Calibri" w:hAnsi="Calibri" w:cs="Calibri"/>
                <w:b/>
                <w:bCs/>
                <w:color w:val="000000"/>
                <w:sz w:val="24"/>
                <w:szCs w:val="24"/>
              </w:rPr>
            </w:pPr>
            <w:r>
              <w:rPr>
                <w:rFonts w:ascii="Calibri" w:hAnsi="Calibri" w:cs="Calibri"/>
                <w:b/>
                <w:bCs/>
                <w:color w:val="000000"/>
              </w:rPr>
              <w:lastRenderedPageBreak/>
              <w:t>Code :</w:t>
            </w:r>
          </w:p>
        </w:tc>
        <w:tc>
          <w:tcPr>
            <w:tcW w:w="7938" w:type="dxa"/>
            <w:shd w:val="clear" w:color="auto" w:fill="C2D69B" w:themeFill="accent3" w:themeFillTint="99"/>
            <w:vAlign w:val="center"/>
          </w:tcPr>
          <w:p w:rsidR="004E002F" w:rsidRPr="006E0830" w:rsidRDefault="004E002F" w:rsidP="006E0830">
            <w:pPr>
              <w:spacing w:after="0" w:line="240" w:lineRule="auto"/>
              <w:jc w:val="center"/>
              <w:rPr>
                <w:rFonts w:ascii="Calibri" w:hAnsi="Calibri" w:cs="Calibri"/>
                <w:b/>
                <w:bCs/>
                <w:color w:val="000000"/>
                <w:sz w:val="24"/>
                <w:szCs w:val="24"/>
              </w:rPr>
            </w:pPr>
            <w:r w:rsidRPr="006E0830">
              <w:rPr>
                <w:rFonts w:ascii="Calibri" w:hAnsi="Calibri" w:cs="Calibri"/>
                <w:b/>
                <w:bCs/>
                <w:color w:val="000000"/>
                <w:sz w:val="24"/>
                <w:szCs w:val="24"/>
              </w:rPr>
              <w:t>NM EN 13254</w:t>
            </w:r>
          </w:p>
        </w:tc>
      </w:tr>
      <w:tr w:rsidR="004E002F" w:rsidRPr="0043547B" w:rsidTr="00566A17">
        <w:trPr>
          <w:trHeight w:val="503"/>
          <w:jc w:val="center"/>
        </w:trPr>
        <w:tc>
          <w:tcPr>
            <w:tcW w:w="1833" w:type="dxa"/>
            <w:tcBorders>
              <w:bottom w:val="single" w:sz="18" w:space="0" w:color="auto"/>
            </w:tcBorders>
            <w:shd w:val="clear" w:color="auto" w:fill="FFFF99"/>
            <w:vAlign w:val="center"/>
          </w:tcPr>
          <w:p w:rsidR="004E002F" w:rsidRDefault="004E002F" w:rsidP="006E0830">
            <w:pPr>
              <w:spacing w:after="0" w:line="240" w:lineRule="auto"/>
              <w:jc w:val="center"/>
              <w:rPr>
                <w:rFonts w:ascii="Calibri" w:hAnsi="Calibri" w:cs="Calibri"/>
                <w:b/>
                <w:bCs/>
                <w:color w:val="000000"/>
                <w:sz w:val="24"/>
                <w:szCs w:val="24"/>
              </w:rPr>
            </w:pPr>
            <w:r>
              <w:rPr>
                <w:rFonts w:ascii="Calibri" w:hAnsi="Calibri" w:cs="Calibri"/>
                <w:b/>
                <w:bCs/>
                <w:color w:val="000000"/>
              </w:rPr>
              <w:t>Equivalence :</w:t>
            </w:r>
          </w:p>
        </w:tc>
        <w:tc>
          <w:tcPr>
            <w:tcW w:w="7938" w:type="dxa"/>
            <w:tcBorders>
              <w:bottom w:val="single" w:sz="18" w:space="0" w:color="auto"/>
            </w:tcBorders>
            <w:shd w:val="clear" w:color="auto" w:fill="FFFF99"/>
            <w:vAlign w:val="center"/>
          </w:tcPr>
          <w:p w:rsidR="004E002F" w:rsidRPr="006E0830" w:rsidRDefault="004E002F" w:rsidP="006E0830">
            <w:pPr>
              <w:spacing w:after="0" w:line="240" w:lineRule="auto"/>
              <w:jc w:val="center"/>
              <w:rPr>
                <w:rFonts w:ascii="Calibri" w:hAnsi="Calibri" w:cs="Calibri"/>
                <w:b/>
                <w:bCs/>
                <w:color w:val="000000"/>
                <w:sz w:val="24"/>
                <w:szCs w:val="24"/>
              </w:rPr>
            </w:pPr>
            <w:r w:rsidRPr="006E0830">
              <w:rPr>
                <w:rFonts w:ascii="Calibri" w:hAnsi="Calibri" w:cs="Calibri"/>
                <w:b/>
                <w:bCs/>
                <w:color w:val="000000"/>
                <w:sz w:val="24"/>
                <w:szCs w:val="24"/>
              </w:rPr>
              <w:t>EN 13254</w:t>
            </w:r>
          </w:p>
        </w:tc>
      </w:tr>
      <w:tr w:rsidR="004E002F" w:rsidRPr="0043547B" w:rsidTr="00566A17">
        <w:trPr>
          <w:trHeight w:val="753"/>
          <w:jc w:val="center"/>
        </w:trPr>
        <w:tc>
          <w:tcPr>
            <w:tcW w:w="1833" w:type="dxa"/>
            <w:tcBorders>
              <w:bottom w:val="single" w:sz="4" w:space="0" w:color="auto"/>
            </w:tcBorders>
            <w:shd w:val="clear" w:color="auto" w:fill="B8CCE4" w:themeFill="accent1" w:themeFillTint="66"/>
            <w:vAlign w:val="center"/>
          </w:tcPr>
          <w:p w:rsidR="004E002F" w:rsidRDefault="004E002F" w:rsidP="006E0830">
            <w:pPr>
              <w:spacing w:after="0" w:line="240" w:lineRule="auto"/>
              <w:jc w:val="center"/>
              <w:rPr>
                <w:rFonts w:ascii="Calibri" w:hAnsi="Calibri" w:cs="Calibri"/>
                <w:b/>
                <w:bCs/>
                <w:color w:val="000000"/>
                <w:sz w:val="24"/>
                <w:szCs w:val="24"/>
              </w:rPr>
            </w:pPr>
            <w:r>
              <w:rPr>
                <w:rFonts w:ascii="Calibri" w:hAnsi="Calibri" w:cs="Calibri"/>
                <w:b/>
                <w:bCs/>
                <w:color w:val="000000"/>
              </w:rPr>
              <w:t>Intitulé :</w:t>
            </w:r>
          </w:p>
        </w:tc>
        <w:tc>
          <w:tcPr>
            <w:tcW w:w="7938" w:type="dxa"/>
            <w:tcBorders>
              <w:bottom w:val="single" w:sz="4" w:space="0" w:color="auto"/>
            </w:tcBorders>
            <w:shd w:val="clear" w:color="auto" w:fill="auto"/>
            <w:vAlign w:val="center"/>
          </w:tcPr>
          <w:p w:rsidR="004E002F" w:rsidRPr="006E0830" w:rsidRDefault="004E002F" w:rsidP="006E0830">
            <w:pPr>
              <w:spacing w:after="0" w:line="240" w:lineRule="auto"/>
              <w:rPr>
                <w:rFonts w:ascii="Calibri" w:hAnsi="Calibri" w:cs="Calibri"/>
                <w:color w:val="000000"/>
                <w:sz w:val="24"/>
                <w:szCs w:val="24"/>
              </w:rPr>
            </w:pPr>
            <w:r w:rsidRPr="006E0830">
              <w:rPr>
                <w:rFonts w:ascii="Calibri" w:hAnsi="Calibri" w:cs="Calibri"/>
                <w:color w:val="000000"/>
                <w:sz w:val="24"/>
                <w:szCs w:val="24"/>
              </w:rPr>
              <w:t xml:space="preserve">Géotextiles et produits apparentés ‐ Caractéristiques requises pour l'utilisation dans la construction de réservoirs et de barrages ; </w:t>
            </w:r>
          </w:p>
        </w:tc>
      </w:tr>
      <w:tr w:rsidR="004E002F" w:rsidRPr="0043547B" w:rsidTr="00566A17">
        <w:trPr>
          <w:trHeight w:val="753"/>
          <w:jc w:val="center"/>
        </w:trPr>
        <w:tc>
          <w:tcPr>
            <w:tcW w:w="1833" w:type="dxa"/>
            <w:tcBorders>
              <w:top w:val="single" w:sz="4" w:space="0" w:color="auto"/>
            </w:tcBorders>
            <w:shd w:val="clear" w:color="000000" w:fill="D9D9D9"/>
            <w:vAlign w:val="center"/>
          </w:tcPr>
          <w:p w:rsidR="004E002F" w:rsidRDefault="004E002F" w:rsidP="006E0830">
            <w:pPr>
              <w:spacing w:after="0" w:line="240" w:lineRule="auto"/>
              <w:jc w:val="center"/>
              <w:rPr>
                <w:rFonts w:ascii="Calibri" w:hAnsi="Calibri" w:cs="Calibri"/>
                <w:b/>
                <w:bCs/>
                <w:color w:val="000000"/>
                <w:sz w:val="24"/>
                <w:szCs w:val="24"/>
              </w:rPr>
            </w:pPr>
            <w:r>
              <w:rPr>
                <w:rFonts w:ascii="Calibri" w:hAnsi="Calibri" w:cs="Calibri"/>
                <w:b/>
                <w:bCs/>
                <w:color w:val="000000"/>
              </w:rPr>
              <w:t>Domaine d’application :</w:t>
            </w:r>
          </w:p>
        </w:tc>
        <w:tc>
          <w:tcPr>
            <w:tcW w:w="7938" w:type="dxa"/>
            <w:tcBorders>
              <w:top w:val="single" w:sz="4" w:space="0" w:color="auto"/>
            </w:tcBorders>
            <w:shd w:val="clear" w:color="auto" w:fill="auto"/>
            <w:vAlign w:val="center"/>
          </w:tcPr>
          <w:p w:rsidR="006E0830" w:rsidRDefault="004E002F" w:rsidP="006E0830">
            <w:pPr>
              <w:spacing w:after="0" w:line="240" w:lineRule="auto"/>
              <w:jc w:val="both"/>
              <w:rPr>
                <w:rFonts w:ascii="Calibri" w:hAnsi="Calibri" w:cs="Calibri"/>
                <w:color w:val="000000"/>
                <w:sz w:val="24"/>
                <w:szCs w:val="24"/>
              </w:rPr>
            </w:pPr>
            <w:r w:rsidRPr="006E0830">
              <w:rPr>
                <w:rFonts w:ascii="Calibri" w:hAnsi="Calibri" w:cs="Calibri"/>
                <w:color w:val="000000"/>
                <w:sz w:val="24"/>
                <w:szCs w:val="24"/>
              </w:rPr>
              <w:t>La présente Norme européenne spécifie les caractéristiques pertinentes des géotextiles et produits</w:t>
            </w:r>
            <w:r w:rsidR="006E0830">
              <w:rPr>
                <w:rFonts w:ascii="Calibri" w:hAnsi="Calibri" w:cs="Calibri"/>
                <w:color w:val="000000"/>
                <w:sz w:val="24"/>
                <w:szCs w:val="24"/>
              </w:rPr>
              <w:t xml:space="preserve"> </w:t>
            </w:r>
            <w:r w:rsidRPr="006E0830">
              <w:rPr>
                <w:rFonts w:ascii="Calibri" w:hAnsi="Calibri" w:cs="Calibri"/>
                <w:color w:val="000000"/>
                <w:sz w:val="24"/>
                <w:szCs w:val="24"/>
              </w:rPr>
              <w:t>apparentés utilisés dans la construction de réservoirs et de barrages, ainsi que les méthodes d'essai</w:t>
            </w:r>
            <w:r w:rsidR="006E0830">
              <w:rPr>
                <w:rFonts w:ascii="Calibri" w:hAnsi="Calibri" w:cs="Calibri"/>
                <w:color w:val="000000"/>
                <w:sz w:val="24"/>
                <w:szCs w:val="24"/>
              </w:rPr>
              <w:t xml:space="preserve"> </w:t>
            </w:r>
            <w:r w:rsidRPr="006E0830">
              <w:rPr>
                <w:rFonts w:ascii="Calibri" w:hAnsi="Calibri" w:cs="Calibri"/>
                <w:color w:val="000000"/>
                <w:sz w:val="24"/>
                <w:szCs w:val="24"/>
              </w:rPr>
              <w:t>appropriées pour déterminer ces caractéristiques.</w:t>
            </w:r>
            <w:r w:rsidRPr="006E0830">
              <w:rPr>
                <w:rFonts w:ascii="Calibri" w:hAnsi="Calibri" w:cs="Calibri"/>
                <w:color w:val="000000"/>
                <w:sz w:val="24"/>
                <w:szCs w:val="24"/>
              </w:rPr>
              <w:br/>
              <w:t>L'utilisation prévue de ces géotextiles ou produits apparentés est de remplir au moins l'une des</w:t>
            </w:r>
            <w:r w:rsidR="006E0830">
              <w:rPr>
                <w:rFonts w:ascii="Calibri" w:hAnsi="Calibri" w:cs="Calibri"/>
                <w:color w:val="000000"/>
                <w:sz w:val="24"/>
                <w:szCs w:val="24"/>
              </w:rPr>
              <w:t xml:space="preserve"> </w:t>
            </w:r>
            <w:r w:rsidRPr="006E0830">
              <w:rPr>
                <w:rFonts w:ascii="Calibri" w:hAnsi="Calibri" w:cs="Calibri"/>
                <w:color w:val="000000"/>
                <w:sz w:val="24"/>
                <w:szCs w:val="24"/>
              </w:rPr>
              <w:t>fonctions suivantes : filtration, séparation, renforcement et protection. La fonction séparation étant</w:t>
            </w:r>
            <w:r w:rsidR="006E0830">
              <w:rPr>
                <w:rFonts w:ascii="Calibri" w:hAnsi="Calibri" w:cs="Calibri"/>
                <w:color w:val="000000"/>
                <w:sz w:val="24"/>
                <w:szCs w:val="24"/>
              </w:rPr>
              <w:t xml:space="preserve"> </w:t>
            </w:r>
            <w:r w:rsidRPr="006E0830">
              <w:rPr>
                <w:rFonts w:ascii="Calibri" w:hAnsi="Calibri" w:cs="Calibri"/>
                <w:color w:val="000000"/>
                <w:sz w:val="24"/>
                <w:szCs w:val="24"/>
              </w:rPr>
              <w:t>toujours utilisée conjointement avec une filtration ou un renforcement, celle-ci n'est pas spécifiée seule.</w:t>
            </w:r>
          </w:p>
          <w:p w:rsidR="006E0830" w:rsidRDefault="004E002F" w:rsidP="006E0830">
            <w:pPr>
              <w:spacing w:after="0" w:line="240" w:lineRule="auto"/>
              <w:jc w:val="both"/>
              <w:rPr>
                <w:rFonts w:ascii="Calibri" w:hAnsi="Calibri" w:cs="Calibri"/>
                <w:color w:val="000000"/>
                <w:sz w:val="24"/>
                <w:szCs w:val="24"/>
              </w:rPr>
            </w:pPr>
            <w:r w:rsidRPr="006E0830">
              <w:rPr>
                <w:rFonts w:ascii="Calibri" w:hAnsi="Calibri" w:cs="Calibri"/>
                <w:color w:val="000000"/>
                <w:sz w:val="24"/>
                <w:szCs w:val="24"/>
              </w:rPr>
              <w:t>La présente Norme européenne ne s'applique pas aux géomembranes et géosynthétiques bentonitiques</w:t>
            </w:r>
            <w:r w:rsidR="006E0830">
              <w:rPr>
                <w:rFonts w:ascii="Calibri" w:hAnsi="Calibri" w:cs="Calibri"/>
                <w:color w:val="000000"/>
                <w:sz w:val="24"/>
                <w:szCs w:val="24"/>
              </w:rPr>
              <w:t xml:space="preserve"> </w:t>
            </w:r>
            <w:r w:rsidRPr="006E0830">
              <w:rPr>
                <w:rFonts w:ascii="Calibri" w:hAnsi="Calibri" w:cs="Calibri"/>
                <w:color w:val="000000"/>
                <w:sz w:val="24"/>
                <w:szCs w:val="24"/>
              </w:rPr>
              <w:t>tels que définis dans l'EN ISO 10318-1.</w:t>
            </w:r>
          </w:p>
          <w:p w:rsidR="006E0830" w:rsidRDefault="004E002F" w:rsidP="006E0830">
            <w:pPr>
              <w:spacing w:after="0" w:line="240" w:lineRule="auto"/>
              <w:jc w:val="both"/>
              <w:rPr>
                <w:rFonts w:ascii="Calibri" w:hAnsi="Calibri" w:cs="Calibri"/>
                <w:color w:val="000000"/>
                <w:sz w:val="24"/>
                <w:szCs w:val="24"/>
              </w:rPr>
            </w:pPr>
            <w:r w:rsidRPr="006E0830">
              <w:rPr>
                <w:rFonts w:ascii="Calibri" w:hAnsi="Calibri" w:cs="Calibri"/>
                <w:color w:val="000000"/>
                <w:sz w:val="24"/>
                <w:szCs w:val="24"/>
              </w:rPr>
              <w:t>La présente Norme européenne permet d'évaluer et de vérifier la constance des performances du</w:t>
            </w:r>
            <w:r w:rsidR="006E0830">
              <w:rPr>
                <w:rFonts w:ascii="Calibri" w:hAnsi="Calibri" w:cs="Calibri"/>
                <w:color w:val="000000"/>
                <w:sz w:val="24"/>
                <w:szCs w:val="24"/>
              </w:rPr>
              <w:t xml:space="preserve"> </w:t>
            </w:r>
            <w:r w:rsidRPr="006E0830">
              <w:rPr>
                <w:rFonts w:ascii="Calibri" w:hAnsi="Calibri" w:cs="Calibri"/>
                <w:color w:val="000000"/>
                <w:sz w:val="24"/>
                <w:szCs w:val="24"/>
              </w:rPr>
              <w:t>produit à la présente Norme européenne et les procédures de contrôle de la production en usine.</w:t>
            </w:r>
          </w:p>
          <w:p w:rsidR="006E0830" w:rsidRDefault="004E002F" w:rsidP="006E0830">
            <w:pPr>
              <w:spacing w:after="0" w:line="240" w:lineRule="auto"/>
              <w:jc w:val="both"/>
              <w:rPr>
                <w:rFonts w:ascii="Calibri" w:hAnsi="Calibri" w:cs="Calibri"/>
                <w:color w:val="000000"/>
                <w:sz w:val="24"/>
                <w:szCs w:val="24"/>
              </w:rPr>
            </w:pPr>
            <w:r w:rsidRPr="006E0830">
              <w:rPr>
                <w:rFonts w:ascii="Calibri" w:hAnsi="Calibri" w:cs="Calibri"/>
                <w:color w:val="000000"/>
                <w:sz w:val="24"/>
                <w:szCs w:val="24"/>
              </w:rPr>
              <w:t>Des cas d'application particuliers peuvent contenir des exigences sur des propriétés supplémentaires et</w:t>
            </w:r>
            <w:r w:rsidR="006E0830">
              <w:rPr>
                <w:rFonts w:ascii="Calibri" w:hAnsi="Calibri" w:cs="Calibri"/>
                <w:color w:val="000000"/>
                <w:sz w:val="24"/>
                <w:szCs w:val="24"/>
              </w:rPr>
              <w:t xml:space="preserve"> </w:t>
            </w:r>
            <w:r w:rsidRPr="006E0830">
              <w:rPr>
                <w:rFonts w:ascii="Calibri" w:hAnsi="Calibri" w:cs="Calibri"/>
                <w:color w:val="000000"/>
                <w:sz w:val="24"/>
                <w:szCs w:val="24"/>
              </w:rPr>
              <w:t>méthodes d'essai – si possible normalisées – si elles sont techniquement pertinentes.</w:t>
            </w:r>
            <w:r w:rsidR="006E0830">
              <w:rPr>
                <w:rFonts w:ascii="Calibri" w:hAnsi="Calibri" w:cs="Calibri"/>
                <w:color w:val="000000"/>
                <w:sz w:val="24"/>
                <w:szCs w:val="24"/>
              </w:rPr>
              <w:t xml:space="preserve"> </w:t>
            </w:r>
          </w:p>
          <w:p w:rsidR="004E002F" w:rsidRPr="006E0830" w:rsidRDefault="004E002F" w:rsidP="006E0830">
            <w:pPr>
              <w:spacing w:after="0" w:line="240" w:lineRule="auto"/>
              <w:jc w:val="both"/>
              <w:rPr>
                <w:rFonts w:ascii="Calibri" w:hAnsi="Calibri" w:cs="Calibri"/>
                <w:color w:val="000000"/>
                <w:sz w:val="24"/>
                <w:szCs w:val="24"/>
              </w:rPr>
            </w:pPr>
            <w:r w:rsidRPr="006E0830">
              <w:rPr>
                <w:rFonts w:ascii="Calibri" w:hAnsi="Calibri" w:cs="Calibri"/>
                <w:color w:val="000000"/>
                <w:sz w:val="24"/>
                <w:szCs w:val="24"/>
              </w:rPr>
              <w:t>La présente Norme européenne peut être utilisée pour déduire les valeurs de calcul en prenant en</w:t>
            </w:r>
            <w:r w:rsidR="006E0830">
              <w:rPr>
                <w:rFonts w:ascii="Calibri" w:hAnsi="Calibri" w:cs="Calibri"/>
                <w:color w:val="000000"/>
                <w:sz w:val="24"/>
                <w:szCs w:val="24"/>
              </w:rPr>
              <w:t xml:space="preserve"> </w:t>
            </w:r>
            <w:r w:rsidRPr="006E0830">
              <w:rPr>
                <w:rFonts w:ascii="Calibri" w:hAnsi="Calibri" w:cs="Calibri"/>
                <w:color w:val="000000"/>
                <w:sz w:val="24"/>
                <w:szCs w:val="24"/>
              </w:rPr>
              <w:t>compte les facteurs définis dans l'EN 1997-1 (Eurocode 7), par exemple les facteurs de sécurité. Il</w:t>
            </w:r>
            <w:r w:rsidR="006E0830">
              <w:rPr>
                <w:rFonts w:ascii="Calibri" w:hAnsi="Calibri" w:cs="Calibri"/>
                <w:color w:val="000000"/>
                <w:sz w:val="24"/>
                <w:szCs w:val="24"/>
              </w:rPr>
              <w:t xml:space="preserve"> </w:t>
            </w:r>
            <w:r w:rsidRPr="006E0830">
              <w:rPr>
                <w:rFonts w:ascii="Calibri" w:hAnsi="Calibri" w:cs="Calibri"/>
                <w:color w:val="000000"/>
                <w:sz w:val="24"/>
                <w:szCs w:val="24"/>
              </w:rPr>
              <w:t>convient de déterminer la durée de vie prévue du produit, puisque sa fonction peut être provisoire,</w:t>
            </w:r>
            <w:r w:rsidRPr="006E0830">
              <w:rPr>
                <w:rFonts w:ascii="Calibri" w:hAnsi="Calibri" w:cs="Calibri"/>
                <w:color w:val="000000"/>
                <w:sz w:val="24"/>
                <w:szCs w:val="24"/>
              </w:rPr>
              <w:br/>
              <w:t>pour des besoins de construction, ou permanente, pour la durée de vie de la structure.</w:t>
            </w:r>
          </w:p>
        </w:tc>
      </w:tr>
      <w:tr w:rsidR="004E002F" w:rsidRPr="0043547B" w:rsidTr="006E0830">
        <w:trPr>
          <w:trHeight w:val="330"/>
          <w:jc w:val="center"/>
        </w:trPr>
        <w:tc>
          <w:tcPr>
            <w:tcW w:w="1833" w:type="dxa"/>
            <w:shd w:val="clear" w:color="auto" w:fill="C2D69B" w:themeFill="accent3" w:themeFillTint="99"/>
            <w:vAlign w:val="center"/>
          </w:tcPr>
          <w:p w:rsidR="004E002F" w:rsidRDefault="004E002F" w:rsidP="006E0830">
            <w:pPr>
              <w:spacing w:after="0" w:line="240" w:lineRule="auto"/>
              <w:jc w:val="center"/>
              <w:rPr>
                <w:rFonts w:ascii="Calibri" w:hAnsi="Calibri" w:cs="Calibri"/>
                <w:b/>
                <w:bCs/>
                <w:color w:val="000000"/>
                <w:sz w:val="24"/>
                <w:szCs w:val="24"/>
              </w:rPr>
            </w:pPr>
            <w:r>
              <w:rPr>
                <w:rFonts w:ascii="Calibri" w:hAnsi="Calibri" w:cs="Calibri"/>
                <w:b/>
                <w:bCs/>
                <w:color w:val="000000"/>
              </w:rPr>
              <w:t>Code :</w:t>
            </w:r>
          </w:p>
        </w:tc>
        <w:tc>
          <w:tcPr>
            <w:tcW w:w="7938" w:type="dxa"/>
            <w:shd w:val="clear" w:color="auto" w:fill="C2D69B" w:themeFill="accent3" w:themeFillTint="99"/>
            <w:vAlign w:val="center"/>
          </w:tcPr>
          <w:p w:rsidR="004E002F" w:rsidRPr="006E0830" w:rsidRDefault="004E002F" w:rsidP="006E0830">
            <w:pPr>
              <w:spacing w:after="0" w:line="240" w:lineRule="auto"/>
              <w:jc w:val="center"/>
              <w:rPr>
                <w:rFonts w:ascii="Calibri" w:hAnsi="Calibri" w:cs="Calibri"/>
                <w:b/>
                <w:bCs/>
                <w:color w:val="000000"/>
                <w:sz w:val="24"/>
                <w:szCs w:val="24"/>
              </w:rPr>
            </w:pPr>
            <w:r w:rsidRPr="006E0830">
              <w:rPr>
                <w:rFonts w:ascii="Calibri" w:hAnsi="Calibri" w:cs="Calibri"/>
                <w:b/>
                <w:bCs/>
                <w:color w:val="000000"/>
                <w:sz w:val="24"/>
                <w:szCs w:val="24"/>
              </w:rPr>
              <w:t>NM EN 13255</w:t>
            </w:r>
          </w:p>
        </w:tc>
      </w:tr>
      <w:tr w:rsidR="004E002F" w:rsidRPr="0043547B" w:rsidTr="00566A17">
        <w:trPr>
          <w:trHeight w:val="377"/>
          <w:jc w:val="center"/>
        </w:trPr>
        <w:tc>
          <w:tcPr>
            <w:tcW w:w="1833" w:type="dxa"/>
            <w:tcBorders>
              <w:bottom w:val="single" w:sz="18" w:space="0" w:color="auto"/>
            </w:tcBorders>
            <w:shd w:val="clear" w:color="auto" w:fill="FFFF99"/>
            <w:vAlign w:val="center"/>
          </w:tcPr>
          <w:p w:rsidR="004E002F" w:rsidRDefault="004E002F" w:rsidP="006E0830">
            <w:pPr>
              <w:spacing w:after="0" w:line="240" w:lineRule="auto"/>
              <w:jc w:val="center"/>
              <w:rPr>
                <w:rFonts w:ascii="Calibri" w:hAnsi="Calibri" w:cs="Calibri"/>
                <w:b/>
                <w:bCs/>
                <w:color w:val="000000"/>
                <w:sz w:val="24"/>
                <w:szCs w:val="24"/>
              </w:rPr>
            </w:pPr>
            <w:r>
              <w:rPr>
                <w:rFonts w:ascii="Calibri" w:hAnsi="Calibri" w:cs="Calibri"/>
                <w:b/>
                <w:bCs/>
                <w:color w:val="000000"/>
              </w:rPr>
              <w:t>Equivalence :</w:t>
            </w:r>
          </w:p>
        </w:tc>
        <w:tc>
          <w:tcPr>
            <w:tcW w:w="7938" w:type="dxa"/>
            <w:tcBorders>
              <w:bottom w:val="single" w:sz="18" w:space="0" w:color="auto"/>
            </w:tcBorders>
            <w:shd w:val="clear" w:color="auto" w:fill="FFFF99"/>
            <w:vAlign w:val="center"/>
          </w:tcPr>
          <w:p w:rsidR="004E002F" w:rsidRPr="006E0830" w:rsidRDefault="004E002F" w:rsidP="006E0830">
            <w:pPr>
              <w:spacing w:after="0" w:line="240" w:lineRule="auto"/>
              <w:jc w:val="center"/>
              <w:rPr>
                <w:rFonts w:ascii="Calibri" w:hAnsi="Calibri" w:cs="Calibri"/>
                <w:b/>
                <w:bCs/>
                <w:color w:val="000000"/>
                <w:sz w:val="24"/>
                <w:szCs w:val="24"/>
              </w:rPr>
            </w:pPr>
            <w:r w:rsidRPr="006E0830">
              <w:rPr>
                <w:rFonts w:ascii="Calibri" w:hAnsi="Calibri" w:cs="Calibri"/>
                <w:b/>
                <w:bCs/>
                <w:color w:val="000000"/>
                <w:sz w:val="24"/>
                <w:szCs w:val="24"/>
              </w:rPr>
              <w:t>EN 13255</w:t>
            </w:r>
          </w:p>
        </w:tc>
      </w:tr>
      <w:tr w:rsidR="004E002F" w:rsidRPr="0043547B" w:rsidTr="00566A17">
        <w:trPr>
          <w:trHeight w:val="753"/>
          <w:jc w:val="center"/>
        </w:trPr>
        <w:tc>
          <w:tcPr>
            <w:tcW w:w="1833" w:type="dxa"/>
            <w:tcBorders>
              <w:bottom w:val="single" w:sz="4" w:space="0" w:color="auto"/>
            </w:tcBorders>
            <w:shd w:val="clear" w:color="auto" w:fill="95B3D7" w:themeFill="accent1" w:themeFillTint="99"/>
            <w:vAlign w:val="center"/>
          </w:tcPr>
          <w:p w:rsidR="004E002F" w:rsidRDefault="004E002F" w:rsidP="006E0830">
            <w:pPr>
              <w:spacing w:after="0" w:line="240" w:lineRule="auto"/>
              <w:jc w:val="center"/>
              <w:rPr>
                <w:rFonts w:ascii="Calibri" w:hAnsi="Calibri" w:cs="Calibri"/>
                <w:b/>
                <w:bCs/>
                <w:color w:val="000000"/>
                <w:sz w:val="24"/>
                <w:szCs w:val="24"/>
              </w:rPr>
            </w:pPr>
            <w:r>
              <w:rPr>
                <w:rFonts w:ascii="Calibri" w:hAnsi="Calibri" w:cs="Calibri"/>
                <w:b/>
                <w:bCs/>
                <w:color w:val="000000"/>
              </w:rPr>
              <w:t>Intitulé :</w:t>
            </w:r>
          </w:p>
        </w:tc>
        <w:tc>
          <w:tcPr>
            <w:tcW w:w="7938" w:type="dxa"/>
            <w:tcBorders>
              <w:bottom w:val="single" w:sz="4" w:space="0" w:color="auto"/>
            </w:tcBorders>
            <w:shd w:val="clear" w:color="auto" w:fill="auto"/>
            <w:vAlign w:val="center"/>
          </w:tcPr>
          <w:p w:rsidR="004E002F" w:rsidRPr="006E0830" w:rsidRDefault="004E002F" w:rsidP="006E0830">
            <w:pPr>
              <w:spacing w:after="0" w:line="240" w:lineRule="auto"/>
              <w:rPr>
                <w:rFonts w:ascii="Calibri" w:hAnsi="Calibri" w:cs="Calibri"/>
                <w:color w:val="000000"/>
                <w:sz w:val="24"/>
                <w:szCs w:val="24"/>
              </w:rPr>
            </w:pPr>
            <w:r w:rsidRPr="006E0830">
              <w:rPr>
                <w:rFonts w:ascii="Calibri" w:hAnsi="Calibri" w:cs="Calibri"/>
                <w:color w:val="000000"/>
                <w:sz w:val="24"/>
                <w:szCs w:val="24"/>
              </w:rPr>
              <w:t xml:space="preserve">Géotextiles et produits apparentés ‐ Caractéristiques requises pour l'utilisation dans la construction de canaux ; </w:t>
            </w:r>
          </w:p>
        </w:tc>
      </w:tr>
      <w:tr w:rsidR="004E002F" w:rsidRPr="0043547B" w:rsidTr="00566A17">
        <w:trPr>
          <w:trHeight w:val="753"/>
          <w:jc w:val="center"/>
        </w:trPr>
        <w:tc>
          <w:tcPr>
            <w:tcW w:w="1833" w:type="dxa"/>
            <w:tcBorders>
              <w:top w:val="single" w:sz="4" w:space="0" w:color="auto"/>
            </w:tcBorders>
            <w:shd w:val="clear" w:color="000000" w:fill="D9D9D9"/>
            <w:vAlign w:val="center"/>
          </w:tcPr>
          <w:p w:rsidR="004E002F" w:rsidRDefault="004E002F" w:rsidP="006E0830">
            <w:pPr>
              <w:spacing w:after="0" w:line="240" w:lineRule="auto"/>
              <w:jc w:val="center"/>
              <w:rPr>
                <w:rFonts w:ascii="Calibri" w:hAnsi="Calibri" w:cs="Calibri"/>
                <w:b/>
                <w:bCs/>
                <w:color w:val="000000"/>
                <w:sz w:val="24"/>
                <w:szCs w:val="24"/>
              </w:rPr>
            </w:pPr>
            <w:r>
              <w:rPr>
                <w:rFonts w:ascii="Calibri" w:hAnsi="Calibri" w:cs="Calibri"/>
                <w:b/>
                <w:bCs/>
                <w:color w:val="000000"/>
              </w:rPr>
              <w:t>Domaine d’application :</w:t>
            </w:r>
          </w:p>
        </w:tc>
        <w:tc>
          <w:tcPr>
            <w:tcW w:w="7938" w:type="dxa"/>
            <w:tcBorders>
              <w:top w:val="single" w:sz="4" w:space="0" w:color="auto"/>
            </w:tcBorders>
            <w:shd w:val="clear" w:color="auto" w:fill="auto"/>
            <w:vAlign w:val="center"/>
          </w:tcPr>
          <w:p w:rsidR="009C0081" w:rsidRDefault="004E002F" w:rsidP="009C0081">
            <w:pPr>
              <w:spacing w:after="0" w:line="240" w:lineRule="auto"/>
              <w:jc w:val="both"/>
              <w:rPr>
                <w:rFonts w:ascii="Calibri" w:hAnsi="Calibri" w:cs="Calibri"/>
                <w:color w:val="000000"/>
                <w:sz w:val="24"/>
                <w:szCs w:val="24"/>
              </w:rPr>
            </w:pPr>
            <w:r w:rsidRPr="006E0830">
              <w:rPr>
                <w:rFonts w:ascii="Calibri" w:hAnsi="Calibri" w:cs="Calibri"/>
                <w:color w:val="000000"/>
                <w:sz w:val="24"/>
                <w:szCs w:val="24"/>
              </w:rPr>
              <w:t>La présente Norme européenne spécifie les caractéristiques pertinentes des géotextiles et produits</w:t>
            </w:r>
            <w:r w:rsidR="009C0081">
              <w:rPr>
                <w:rFonts w:ascii="Calibri" w:hAnsi="Calibri" w:cs="Calibri"/>
                <w:color w:val="000000"/>
                <w:sz w:val="24"/>
                <w:szCs w:val="24"/>
              </w:rPr>
              <w:t xml:space="preserve"> </w:t>
            </w:r>
            <w:r w:rsidRPr="006E0830">
              <w:rPr>
                <w:rFonts w:ascii="Calibri" w:hAnsi="Calibri" w:cs="Calibri"/>
                <w:color w:val="000000"/>
                <w:sz w:val="24"/>
                <w:szCs w:val="24"/>
              </w:rPr>
              <w:t>apparentés utilisés dans la construction de canaux, ainsi que les méthodes d'essai appropriées pour</w:t>
            </w:r>
            <w:r w:rsidR="009C0081">
              <w:rPr>
                <w:rFonts w:ascii="Calibri" w:hAnsi="Calibri" w:cs="Calibri"/>
                <w:color w:val="000000"/>
                <w:sz w:val="24"/>
                <w:szCs w:val="24"/>
              </w:rPr>
              <w:t xml:space="preserve"> </w:t>
            </w:r>
            <w:r w:rsidRPr="006E0830">
              <w:rPr>
                <w:rFonts w:ascii="Calibri" w:hAnsi="Calibri" w:cs="Calibri"/>
                <w:color w:val="000000"/>
                <w:sz w:val="24"/>
                <w:szCs w:val="24"/>
              </w:rPr>
              <w:t>déterminer ces caractéristiques.</w:t>
            </w:r>
            <w:r w:rsidRPr="006E0830">
              <w:rPr>
                <w:rFonts w:ascii="Calibri" w:hAnsi="Calibri" w:cs="Calibri"/>
                <w:color w:val="000000"/>
                <w:sz w:val="24"/>
                <w:szCs w:val="24"/>
              </w:rPr>
              <w:br/>
              <w:t>L'utilisation prévue de ces géotextiles ou produits apparentés est de remplir au moins l'une des</w:t>
            </w:r>
            <w:r w:rsidR="009C0081">
              <w:rPr>
                <w:rFonts w:ascii="Calibri" w:hAnsi="Calibri" w:cs="Calibri"/>
                <w:color w:val="000000"/>
                <w:sz w:val="24"/>
                <w:szCs w:val="24"/>
              </w:rPr>
              <w:t xml:space="preserve"> </w:t>
            </w:r>
            <w:r w:rsidRPr="006E0830">
              <w:rPr>
                <w:rFonts w:ascii="Calibri" w:hAnsi="Calibri" w:cs="Calibri"/>
                <w:color w:val="000000"/>
                <w:sz w:val="24"/>
                <w:szCs w:val="24"/>
              </w:rPr>
              <w:t>fonctions suivantes : filtration, séparation, renforcement et protection. La fonction séparation étant</w:t>
            </w:r>
            <w:r w:rsidR="009C0081">
              <w:rPr>
                <w:rFonts w:ascii="Calibri" w:hAnsi="Calibri" w:cs="Calibri"/>
                <w:color w:val="000000"/>
                <w:sz w:val="24"/>
                <w:szCs w:val="24"/>
              </w:rPr>
              <w:t xml:space="preserve"> </w:t>
            </w:r>
            <w:r w:rsidRPr="006E0830">
              <w:rPr>
                <w:rFonts w:ascii="Calibri" w:hAnsi="Calibri" w:cs="Calibri"/>
                <w:color w:val="000000"/>
                <w:sz w:val="24"/>
                <w:szCs w:val="24"/>
              </w:rPr>
              <w:t>toujours utilisée conjointement avec une filtration ou un renforcement, celle-ci n'est pas spécifiée seule.</w:t>
            </w:r>
          </w:p>
          <w:p w:rsidR="009C0081" w:rsidRDefault="004E002F" w:rsidP="009C0081">
            <w:pPr>
              <w:spacing w:after="0" w:line="240" w:lineRule="auto"/>
              <w:jc w:val="both"/>
              <w:rPr>
                <w:rFonts w:ascii="Calibri" w:hAnsi="Calibri" w:cs="Calibri"/>
                <w:color w:val="000000"/>
                <w:sz w:val="24"/>
                <w:szCs w:val="24"/>
              </w:rPr>
            </w:pPr>
            <w:r w:rsidRPr="006E0830">
              <w:rPr>
                <w:rFonts w:ascii="Calibri" w:hAnsi="Calibri" w:cs="Calibri"/>
                <w:color w:val="000000"/>
                <w:sz w:val="24"/>
                <w:szCs w:val="24"/>
              </w:rPr>
              <w:lastRenderedPageBreak/>
              <w:t>La présente Norme européenne ne s'applique pas aux géomembranes et géosynthétiques bentonitiques</w:t>
            </w:r>
            <w:r w:rsidR="009C0081">
              <w:rPr>
                <w:rFonts w:ascii="Calibri" w:hAnsi="Calibri" w:cs="Calibri"/>
                <w:color w:val="000000"/>
                <w:sz w:val="24"/>
                <w:szCs w:val="24"/>
              </w:rPr>
              <w:t xml:space="preserve"> </w:t>
            </w:r>
            <w:r w:rsidRPr="006E0830">
              <w:rPr>
                <w:rFonts w:ascii="Calibri" w:hAnsi="Calibri" w:cs="Calibri"/>
                <w:color w:val="000000"/>
                <w:sz w:val="24"/>
                <w:szCs w:val="24"/>
              </w:rPr>
              <w:t>tels que définis dans l'EN ISO 10318-1.</w:t>
            </w:r>
          </w:p>
          <w:p w:rsidR="009C0081" w:rsidRDefault="004E002F" w:rsidP="009C0081">
            <w:pPr>
              <w:spacing w:after="0" w:line="240" w:lineRule="auto"/>
              <w:jc w:val="both"/>
              <w:rPr>
                <w:rFonts w:ascii="Calibri" w:hAnsi="Calibri" w:cs="Calibri"/>
                <w:color w:val="000000"/>
                <w:sz w:val="24"/>
                <w:szCs w:val="24"/>
              </w:rPr>
            </w:pPr>
            <w:r w:rsidRPr="006E0830">
              <w:rPr>
                <w:rFonts w:ascii="Calibri" w:hAnsi="Calibri" w:cs="Calibri"/>
                <w:color w:val="000000"/>
                <w:sz w:val="24"/>
                <w:szCs w:val="24"/>
              </w:rPr>
              <w:t>La présente Norme européenne permet d'évaluer et de vérifier la constance des performances du</w:t>
            </w:r>
            <w:r w:rsidR="009C0081">
              <w:rPr>
                <w:rFonts w:ascii="Calibri" w:hAnsi="Calibri" w:cs="Calibri"/>
                <w:color w:val="000000"/>
                <w:sz w:val="24"/>
                <w:szCs w:val="24"/>
              </w:rPr>
              <w:t xml:space="preserve"> </w:t>
            </w:r>
            <w:r w:rsidRPr="006E0830">
              <w:rPr>
                <w:rFonts w:ascii="Calibri" w:hAnsi="Calibri" w:cs="Calibri"/>
                <w:color w:val="000000"/>
                <w:sz w:val="24"/>
                <w:szCs w:val="24"/>
              </w:rPr>
              <w:t>produit à la présente Norme européenne et les procédures de contrôle de la production en usine.</w:t>
            </w:r>
          </w:p>
          <w:p w:rsidR="009C0081" w:rsidRDefault="004E002F" w:rsidP="009C0081">
            <w:pPr>
              <w:spacing w:after="0" w:line="240" w:lineRule="auto"/>
              <w:jc w:val="both"/>
              <w:rPr>
                <w:rFonts w:ascii="Calibri" w:hAnsi="Calibri" w:cs="Calibri"/>
                <w:color w:val="000000"/>
                <w:sz w:val="24"/>
                <w:szCs w:val="24"/>
              </w:rPr>
            </w:pPr>
            <w:r w:rsidRPr="006E0830">
              <w:rPr>
                <w:rFonts w:ascii="Calibri" w:hAnsi="Calibri" w:cs="Calibri"/>
                <w:color w:val="000000"/>
                <w:sz w:val="24"/>
                <w:szCs w:val="24"/>
              </w:rPr>
              <w:t>Des cas d'application particuliers peuvent contenir des exigences sur des propriétés supplémentaires et</w:t>
            </w:r>
            <w:r w:rsidR="009C0081">
              <w:rPr>
                <w:rFonts w:ascii="Calibri" w:hAnsi="Calibri" w:cs="Calibri"/>
                <w:color w:val="000000"/>
                <w:sz w:val="24"/>
                <w:szCs w:val="24"/>
              </w:rPr>
              <w:t xml:space="preserve"> </w:t>
            </w:r>
            <w:r w:rsidRPr="006E0830">
              <w:rPr>
                <w:rFonts w:ascii="Calibri" w:hAnsi="Calibri" w:cs="Calibri"/>
                <w:color w:val="000000"/>
                <w:sz w:val="24"/>
                <w:szCs w:val="24"/>
              </w:rPr>
              <w:t>méthodes d'essai – si possible normalisées – si elles sont techniquement pertinentes.</w:t>
            </w:r>
          </w:p>
          <w:p w:rsidR="004E002F" w:rsidRPr="006E0830" w:rsidRDefault="004E002F" w:rsidP="009C0081">
            <w:pPr>
              <w:spacing w:after="0" w:line="240" w:lineRule="auto"/>
              <w:jc w:val="both"/>
              <w:rPr>
                <w:rFonts w:ascii="Calibri" w:hAnsi="Calibri" w:cs="Calibri"/>
                <w:color w:val="000000"/>
                <w:sz w:val="24"/>
                <w:szCs w:val="24"/>
              </w:rPr>
            </w:pPr>
            <w:r w:rsidRPr="006E0830">
              <w:rPr>
                <w:rFonts w:ascii="Calibri" w:hAnsi="Calibri" w:cs="Calibri"/>
                <w:color w:val="000000"/>
                <w:sz w:val="24"/>
                <w:szCs w:val="24"/>
              </w:rPr>
              <w:t>La présente Norme européenne peut être utilisée pour déduire les valeurs de calcul en prenant en</w:t>
            </w:r>
            <w:r w:rsidR="009C0081">
              <w:rPr>
                <w:rFonts w:ascii="Calibri" w:hAnsi="Calibri" w:cs="Calibri"/>
                <w:color w:val="000000"/>
                <w:sz w:val="24"/>
                <w:szCs w:val="24"/>
              </w:rPr>
              <w:t xml:space="preserve"> </w:t>
            </w:r>
            <w:r w:rsidRPr="006E0830">
              <w:rPr>
                <w:rFonts w:ascii="Calibri" w:hAnsi="Calibri" w:cs="Calibri"/>
                <w:color w:val="000000"/>
                <w:sz w:val="24"/>
                <w:szCs w:val="24"/>
              </w:rPr>
              <w:t>compte les facteurs définis dans l'EN 1997-1 (Eurocode 7), par exemple les facteurs de sécurité. Il</w:t>
            </w:r>
            <w:r w:rsidR="009C0081">
              <w:rPr>
                <w:rFonts w:ascii="Calibri" w:hAnsi="Calibri" w:cs="Calibri"/>
                <w:color w:val="000000"/>
                <w:sz w:val="24"/>
                <w:szCs w:val="24"/>
              </w:rPr>
              <w:t xml:space="preserve"> </w:t>
            </w:r>
            <w:r w:rsidRPr="006E0830">
              <w:rPr>
                <w:rFonts w:ascii="Calibri" w:hAnsi="Calibri" w:cs="Calibri"/>
                <w:color w:val="000000"/>
                <w:sz w:val="24"/>
                <w:szCs w:val="24"/>
              </w:rPr>
              <w:t>convient de déterminer la durée de vie prévue du produit, puisque sa fonction peut être provisoire,</w:t>
            </w:r>
            <w:r w:rsidRPr="006E0830">
              <w:rPr>
                <w:rFonts w:ascii="Calibri" w:hAnsi="Calibri" w:cs="Calibri"/>
                <w:color w:val="000000"/>
                <w:sz w:val="24"/>
                <w:szCs w:val="24"/>
              </w:rPr>
              <w:br/>
              <w:t>pour des besoins de construction, ou permanente, pour la durée de vie de la structure.</w:t>
            </w:r>
          </w:p>
        </w:tc>
      </w:tr>
      <w:tr w:rsidR="004E002F" w:rsidRPr="0043547B" w:rsidTr="009C0081">
        <w:trPr>
          <w:trHeight w:val="422"/>
          <w:jc w:val="center"/>
        </w:trPr>
        <w:tc>
          <w:tcPr>
            <w:tcW w:w="1833" w:type="dxa"/>
            <w:shd w:val="clear" w:color="auto" w:fill="C2D69B" w:themeFill="accent3" w:themeFillTint="99"/>
            <w:vAlign w:val="center"/>
          </w:tcPr>
          <w:p w:rsidR="004E002F" w:rsidRDefault="004E002F" w:rsidP="009C0081">
            <w:pPr>
              <w:spacing w:after="0" w:line="240" w:lineRule="auto"/>
              <w:jc w:val="center"/>
              <w:rPr>
                <w:rFonts w:ascii="Calibri" w:hAnsi="Calibri" w:cs="Calibri"/>
                <w:b/>
                <w:bCs/>
                <w:color w:val="000000"/>
                <w:sz w:val="24"/>
                <w:szCs w:val="24"/>
              </w:rPr>
            </w:pPr>
            <w:r>
              <w:rPr>
                <w:rFonts w:ascii="Calibri" w:hAnsi="Calibri" w:cs="Calibri"/>
                <w:b/>
                <w:bCs/>
                <w:color w:val="000000"/>
              </w:rPr>
              <w:lastRenderedPageBreak/>
              <w:t>Code :</w:t>
            </w:r>
          </w:p>
        </w:tc>
        <w:tc>
          <w:tcPr>
            <w:tcW w:w="7938" w:type="dxa"/>
            <w:shd w:val="clear" w:color="auto" w:fill="C2D69B" w:themeFill="accent3" w:themeFillTint="99"/>
            <w:vAlign w:val="center"/>
          </w:tcPr>
          <w:p w:rsidR="004E002F" w:rsidRPr="009C0081" w:rsidRDefault="004E002F" w:rsidP="009C0081">
            <w:pPr>
              <w:spacing w:after="0" w:line="240" w:lineRule="auto"/>
              <w:jc w:val="center"/>
              <w:rPr>
                <w:rFonts w:ascii="Calibri" w:hAnsi="Calibri" w:cs="Calibri"/>
                <w:b/>
                <w:bCs/>
                <w:color w:val="000000"/>
                <w:sz w:val="24"/>
                <w:szCs w:val="24"/>
              </w:rPr>
            </w:pPr>
            <w:r w:rsidRPr="009C0081">
              <w:rPr>
                <w:rFonts w:ascii="Calibri" w:hAnsi="Calibri" w:cs="Calibri"/>
                <w:b/>
                <w:bCs/>
                <w:color w:val="000000"/>
                <w:sz w:val="24"/>
                <w:szCs w:val="24"/>
              </w:rPr>
              <w:t>NM EN 13256</w:t>
            </w:r>
          </w:p>
        </w:tc>
      </w:tr>
      <w:tr w:rsidR="004E002F" w:rsidRPr="0043547B" w:rsidTr="00566A17">
        <w:trPr>
          <w:trHeight w:val="528"/>
          <w:jc w:val="center"/>
        </w:trPr>
        <w:tc>
          <w:tcPr>
            <w:tcW w:w="1833" w:type="dxa"/>
            <w:tcBorders>
              <w:bottom w:val="single" w:sz="18" w:space="0" w:color="auto"/>
            </w:tcBorders>
            <w:shd w:val="clear" w:color="auto" w:fill="FFFF99"/>
            <w:vAlign w:val="center"/>
          </w:tcPr>
          <w:p w:rsidR="004E002F" w:rsidRDefault="004E002F" w:rsidP="009C0081">
            <w:pPr>
              <w:spacing w:after="0" w:line="240" w:lineRule="auto"/>
              <w:jc w:val="center"/>
              <w:rPr>
                <w:rFonts w:ascii="Calibri" w:hAnsi="Calibri" w:cs="Calibri"/>
                <w:b/>
                <w:bCs/>
                <w:color w:val="000000"/>
                <w:sz w:val="24"/>
                <w:szCs w:val="24"/>
              </w:rPr>
            </w:pPr>
            <w:r>
              <w:rPr>
                <w:rFonts w:ascii="Calibri" w:hAnsi="Calibri" w:cs="Calibri"/>
                <w:b/>
                <w:bCs/>
                <w:color w:val="000000"/>
              </w:rPr>
              <w:t>Equivalence :</w:t>
            </w:r>
          </w:p>
        </w:tc>
        <w:tc>
          <w:tcPr>
            <w:tcW w:w="7938" w:type="dxa"/>
            <w:tcBorders>
              <w:bottom w:val="single" w:sz="18" w:space="0" w:color="auto"/>
            </w:tcBorders>
            <w:shd w:val="clear" w:color="auto" w:fill="FFFF99"/>
            <w:vAlign w:val="center"/>
          </w:tcPr>
          <w:p w:rsidR="004E002F" w:rsidRPr="009C0081" w:rsidRDefault="004E002F" w:rsidP="009C0081">
            <w:pPr>
              <w:spacing w:after="0" w:line="240" w:lineRule="auto"/>
              <w:jc w:val="center"/>
              <w:rPr>
                <w:rFonts w:ascii="Calibri" w:hAnsi="Calibri" w:cs="Calibri"/>
                <w:b/>
                <w:bCs/>
                <w:color w:val="000000"/>
                <w:sz w:val="24"/>
                <w:szCs w:val="24"/>
              </w:rPr>
            </w:pPr>
            <w:r w:rsidRPr="009C0081">
              <w:rPr>
                <w:rFonts w:ascii="Calibri" w:hAnsi="Calibri" w:cs="Calibri"/>
                <w:b/>
                <w:bCs/>
                <w:color w:val="000000"/>
                <w:sz w:val="24"/>
                <w:szCs w:val="24"/>
              </w:rPr>
              <w:t>EN 13256</w:t>
            </w:r>
          </w:p>
        </w:tc>
      </w:tr>
      <w:tr w:rsidR="004E002F" w:rsidRPr="0043547B" w:rsidTr="00566A17">
        <w:trPr>
          <w:trHeight w:val="753"/>
          <w:jc w:val="center"/>
        </w:trPr>
        <w:tc>
          <w:tcPr>
            <w:tcW w:w="1833" w:type="dxa"/>
            <w:tcBorders>
              <w:bottom w:val="single" w:sz="4" w:space="0" w:color="auto"/>
            </w:tcBorders>
            <w:shd w:val="clear" w:color="auto" w:fill="95B3D7" w:themeFill="accent1" w:themeFillTint="99"/>
            <w:vAlign w:val="center"/>
          </w:tcPr>
          <w:p w:rsidR="004E002F" w:rsidRDefault="004E002F" w:rsidP="009C0081">
            <w:pPr>
              <w:spacing w:after="0" w:line="240" w:lineRule="auto"/>
              <w:jc w:val="center"/>
              <w:rPr>
                <w:rFonts w:ascii="Calibri" w:hAnsi="Calibri" w:cs="Calibri"/>
                <w:b/>
                <w:bCs/>
                <w:color w:val="000000"/>
                <w:sz w:val="24"/>
                <w:szCs w:val="24"/>
              </w:rPr>
            </w:pPr>
            <w:r>
              <w:rPr>
                <w:rFonts w:ascii="Calibri" w:hAnsi="Calibri" w:cs="Calibri"/>
                <w:b/>
                <w:bCs/>
                <w:color w:val="000000"/>
              </w:rPr>
              <w:t>Intitulé :</w:t>
            </w:r>
          </w:p>
        </w:tc>
        <w:tc>
          <w:tcPr>
            <w:tcW w:w="7938" w:type="dxa"/>
            <w:tcBorders>
              <w:bottom w:val="single" w:sz="4" w:space="0" w:color="auto"/>
            </w:tcBorders>
            <w:shd w:val="clear" w:color="auto" w:fill="auto"/>
            <w:vAlign w:val="center"/>
          </w:tcPr>
          <w:p w:rsidR="004E002F" w:rsidRPr="006E0830" w:rsidRDefault="004E002F" w:rsidP="006E0830">
            <w:pPr>
              <w:spacing w:after="0" w:line="240" w:lineRule="auto"/>
              <w:rPr>
                <w:rFonts w:ascii="Calibri" w:hAnsi="Calibri" w:cs="Calibri"/>
                <w:color w:val="000000"/>
                <w:sz w:val="24"/>
                <w:szCs w:val="24"/>
              </w:rPr>
            </w:pPr>
            <w:r w:rsidRPr="006E0830">
              <w:rPr>
                <w:rFonts w:ascii="Calibri" w:hAnsi="Calibri" w:cs="Calibri"/>
                <w:color w:val="000000"/>
                <w:sz w:val="24"/>
                <w:szCs w:val="24"/>
              </w:rPr>
              <w:t xml:space="preserve">Géotextiles et produits apparentés ‐ Caractéristiques requises pour l'utilisation dans la construction de tunnels et de structures souterraines ; </w:t>
            </w:r>
          </w:p>
        </w:tc>
      </w:tr>
      <w:tr w:rsidR="004E002F" w:rsidRPr="0043547B" w:rsidTr="00566A17">
        <w:trPr>
          <w:trHeight w:val="753"/>
          <w:jc w:val="center"/>
        </w:trPr>
        <w:tc>
          <w:tcPr>
            <w:tcW w:w="1833" w:type="dxa"/>
            <w:tcBorders>
              <w:top w:val="single" w:sz="4" w:space="0" w:color="auto"/>
            </w:tcBorders>
            <w:shd w:val="clear" w:color="000000" w:fill="D9D9D9"/>
            <w:vAlign w:val="center"/>
          </w:tcPr>
          <w:p w:rsidR="004E002F" w:rsidRDefault="004E002F" w:rsidP="009C0081">
            <w:pPr>
              <w:spacing w:after="0" w:line="240" w:lineRule="auto"/>
              <w:jc w:val="center"/>
              <w:rPr>
                <w:rFonts w:ascii="Calibri" w:hAnsi="Calibri" w:cs="Calibri"/>
                <w:b/>
                <w:bCs/>
                <w:sz w:val="24"/>
                <w:szCs w:val="24"/>
              </w:rPr>
            </w:pPr>
            <w:r w:rsidRPr="009C0081">
              <w:rPr>
                <w:rFonts w:ascii="Calibri" w:hAnsi="Calibri" w:cs="Calibri"/>
                <w:b/>
                <w:bCs/>
                <w:color w:val="000000"/>
              </w:rPr>
              <w:t>Domaine d’application :</w:t>
            </w:r>
          </w:p>
        </w:tc>
        <w:tc>
          <w:tcPr>
            <w:tcW w:w="7938" w:type="dxa"/>
            <w:tcBorders>
              <w:top w:val="single" w:sz="4" w:space="0" w:color="auto"/>
            </w:tcBorders>
            <w:shd w:val="clear" w:color="auto" w:fill="auto"/>
            <w:vAlign w:val="center"/>
          </w:tcPr>
          <w:p w:rsidR="009C0081" w:rsidRDefault="004E002F" w:rsidP="009C0081">
            <w:pPr>
              <w:spacing w:after="0" w:line="240" w:lineRule="auto"/>
              <w:jc w:val="both"/>
              <w:rPr>
                <w:rFonts w:ascii="Calibri" w:hAnsi="Calibri" w:cs="Calibri"/>
                <w:color w:val="000000"/>
                <w:sz w:val="24"/>
                <w:szCs w:val="24"/>
              </w:rPr>
            </w:pPr>
            <w:r w:rsidRPr="006E0830">
              <w:rPr>
                <w:rFonts w:ascii="Calibri" w:hAnsi="Calibri" w:cs="Calibri"/>
                <w:color w:val="000000"/>
                <w:sz w:val="24"/>
                <w:szCs w:val="24"/>
              </w:rPr>
              <w:t>La présente Norme européenne spécifie les caractéristiques pertinentes des géotextiles et produits</w:t>
            </w:r>
            <w:r w:rsidR="009C0081">
              <w:rPr>
                <w:rFonts w:ascii="Calibri" w:hAnsi="Calibri" w:cs="Calibri"/>
                <w:color w:val="000000"/>
                <w:sz w:val="24"/>
                <w:szCs w:val="24"/>
              </w:rPr>
              <w:t xml:space="preserve"> </w:t>
            </w:r>
            <w:r w:rsidRPr="006E0830">
              <w:rPr>
                <w:rFonts w:ascii="Calibri" w:hAnsi="Calibri" w:cs="Calibri"/>
                <w:color w:val="000000"/>
                <w:sz w:val="24"/>
                <w:szCs w:val="24"/>
              </w:rPr>
              <w:t>apparentés utilisés dans la construction de tunnels et de structures souterraines, ainsi que les méthodes</w:t>
            </w:r>
            <w:r w:rsidR="009C0081">
              <w:rPr>
                <w:rFonts w:ascii="Calibri" w:hAnsi="Calibri" w:cs="Calibri"/>
                <w:color w:val="000000"/>
                <w:sz w:val="24"/>
                <w:szCs w:val="24"/>
              </w:rPr>
              <w:t xml:space="preserve"> </w:t>
            </w:r>
            <w:r w:rsidRPr="006E0830">
              <w:rPr>
                <w:rFonts w:ascii="Calibri" w:hAnsi="Calibri" w:cs="Calibri"/>
                <w:color w:val="000000"/>
                <w:sz w:val="24"/>
                <w:szCs w:val="24"/>
              </w:rPr>
              <w:t>d'essai appropriées pour déterminer ces caractéristiques.</w:t>
            </w:r>
          </w:p>
          <w:p w:rsidR="009C0081" w:rsidRDefault="004E002F" w:rsidP="009C0081">
            <w:pPr>
              <w:spacing w:after="0" w:line="240" w:lineRule="auto"/>
              <w:jc w:val="both"/>
              <w:rPr>
                <w:rFonts w:ascii="Calibri" w:hAnsi="Calibri" w:cs="Calibri"/>
                <w:color w:val="000000"/>
                <w:sz w:val="24"/>
                <w:szCs w:val="24"/>
              </w:rPr>
            </w:pPr>
            <w:r w:rsidRPr="006E0830">
              <w:rPr>
                <w:rFonts w:ascii="Calibri" w:hAnsi="Calibri" w:cs="Calibri"/>
                <w:color w:val="000000"/>
                <w:sz w:val="24"/>
                <w:szCs w:val="24"/>
              </w:rPr>
              <w:t>L'application de ces géotextiles ou produits apparentés est de protéger les géomembranes et/ou</w:t>
            </w:r>
            <w:r w:rsidR="009C0081">
              <w:rPr>
                <w:rFonts w:ascii="Calibri" w:hAnsi="Calibri" w:cs="Calibri"/>
                <w:color w:val="000000"/>
                <w:sz w:val="24"/>
                <w:szCs w:val="24"/>
              </w:rPr>
              <w:t xml:space="preserve"> </w:t>
            </w:r>
            <w:r w:rsidRPr="006E0830">
              <w:rPr>
                <w:rFonts w:ascii="Calibri" w:hAnsi="Calibri" w:cs="Calibri"/>
                <w:color w:val="000000"/>
                <w:sz w:val="24"/>
                <w:szCs w:val="24"/>
              </w:rPr>
              <w:t>géosynthétiques bentonitiques utilisés dans les tunnels et les structures souterraines.</w:t>
            </w:r>
          </w:p>
          <w:p w:rsidR="009C0081" w:rsidRDefault="004E002F" w:rsidP="009C0081">
            <w:pPr>
              <w:spacing w:after="0" w:line="240" w:lineRule="auto"/>
              <w:jc w:val="both"/>
              <w:rPr>
                <w:rFonts w:ascii="Calibri" w:hAnsi="Calibri" w:cs="Calibri"/>
                <w:color w:val="000000"/>
                <w:sz w:val="24"/>
                <w:szCs w:val="24"/>
              </w:rPr>
            </w:pPr>
            <w:r w:rsidRPr="006E0830">
              <w:rPr>
                <w:rFonts w:ascii="Calibri" w:hAnsi="Calibri" w:cs="Calibri"/>
                <w:color w:val="000000"/>
                <w:sz w:val="24"/>
                <w:szCs w:val="24"/>
              </w:rPr>
              <w:t>La présente Norme européenne ne s'applique pas aux géomembranes et géosynthétiques bentonitiques</w:t>
            </w:r>
            <w:r w:rsidR="009C0081">
              <w:rPr>
                <w:rFonts w:ascii="Calibri" w:hAnsi="Calibri" w:cs="Calibri"/>
                <w:color w:val="000000"/>
                <w:sz w:val="24"/>
                <w:szCs w:val="24"/>
              </w:rPr>
              <w:t xml:space="preserve"> </w:t>
            </w:r>
            <w:r w:rsidRPr="006E0830">
              <w:rPr>
                <w:rFonts w:ascii="Calibri" w:hAnsi="Calibri" w:cs="Calibri"/>
                <w:color w:val="000000"/>
                <w:sz w:val="24"/>
                <w:szCs w:val="24"/>
              </w:rPr>
              <w:t>tels que définis dans l'EN ISO 10318-1.</w:t>
            </w:r>
          </w:p>
          <w:p w:rsidR="009C0081" w:rsidRDefault="004E002F" w:rsidP="009C0081">
            <w:pPr>
              <w:spacing w:after="0" w:line="240" w:lineRule="auto"/>
              <w:jc w:val="both"/>
              <w:rPr>
                <w:rFonts w:ascii="Calibri" w:hAnsi="Calibri" w:cs="Calibri"/>
                <w:color w:val="000000"/>
                <w:sz w:val="24"/>
                <w:szCs w:val="24"/>
              </w:rPr>
            </w:pPr>
            <w:r w:rsidRPr="006E0830">
              <w:rPr>
                <w:rFonts w:ascii="Calibri" w:hAnsi="Calibri" w:cs="Calibri"/>
                <w:color w:val="000000"/>
                <w:sz w:val="24"/>
                <w:szCs w:val="24"/>
              </w:rPr>
              <w:t>La présente Norme européenne permet d'évaluer et de vérifier la constance des performances du produit</w:t>
            </w:r>
            <w:r w:rsidR="009C0081">
              <w:rPr>
                <w:rFonts w:ascii="Calibri" w:hAnsi="Calibri" w:cs="Calibri"/>
                <w:color w:val="000000"/>
                <w:sz w:val="24"/>
                <w:szCs w:val="24"/>
              </w:rPr>
              <w:t xml:space="preserve"> </w:t>
            </w:r>
            <w:r w:rsidRPr="006E0830">
              <w:rPr>
                <w:rFonts w:ascii="Calibri" w:hAnsi="Calibri" w:cs="Calibri"/>
                <w:color w:val="000000"/>
                <w:sz w:val="24"/>
                <w:szCs w:val="24"/>
              </w:rPr>
              <w:t>à la présente Norme européenne et les procédures de contrôle de la production en usine.</w:t>
            </w:r>
          </w:p>
          <w:p w:rsidR="009C0081" w:rsidRDefault="004E002F" w:rsidP="009C0081">
            <w:pPr>
              <w:spacing w:after="0" w:line="240" w:lineRule="auto"/>
              <w:jc w:val="both"/>
              <w:rPr>
                <w:rFonts w:ascii="Calibri" w:hAnsi="Calibri" w:cs="Calibri"/>
                <w:color w:val="000000"/>
                <w:sz w:val="24"/>
                <w:szCs w:val="24"/>
              </w:rPr>
            </w:pPr>
            <w:r w:rsidRPr="006E0830">
              <w:rPr>
                <w:rFonts w:ascii="Calibri" w:hAnsi="Calibri" w:cs="Calibri"/>
                <w:color w:val="000000"/>
                <w:sz w:val="24"/>
                <w:szCs w:val="24"/>
              </w:rPr>
              <w:t>Des cas d'application particuliers peuvent contenir des exigences sur des propriétés supplémentaires et</w:t>
            </w:r>
            <w:r w:rsidR="009C0081">
              <w:rPr>
                <w:rFonts w:ascii="Calibri" w:hAnsi="Calibri" w:cs="Calibri"/>
                <w:color w:val="000000"/>
                <w:sz w:val="24"/>
                <w:szCs w:val="24"/>
              </w:rPr>
              <w:t xml:space="preserve"> </w:t>
            </w:r>
            <w:r w:rsidRPr="006E0830">
              <w:rPr>
                <w:rFonts w:ascii="Calibri" w:hAnsi="Calibri" w:cs="Calibri"/>
                <w:color w:val="000000"/>
                <w:sz w:val="24"/>
                <w:szCs w:val="24"/>
              </w:rPr>
              <w:t>méthodes d'essai – si possible normalisées – si elles sont techniquement pertinentes.</w:t>
            </w:r>
          </w:p>
          <w:p w:rsidR="004E002F" w:rsidRPr="006E0830" w:rsidRDefault="004E002F" w:rsidP="009C0081">
            <w:pPr>
              <w:spacing w:after="0" w:line="240" w:lineRule="auto"/>
              <w:jc w:val="both"/>
              <w:rPr>
                <w:rFonts w:ascii="Calibri" w:hAnsi="Calibri" w:cs="Calibri"/>
                <w:color w:val="000000"/>
                <w:sz w:val="24"/>
                <w:szCs w:val="24"/>
              </w:rPr>
            </w:pPr>
            <w:r w:rsidRPr="006E0830">
              <w:rPr>
                <w:rFonts w:ascii="Calibri" w:hAnsi="Calibri" w:cs="Calibri"/>
                <w:color w:val="000000"/>
                <w:sz w:val="24"/>
                <w:szCs w:val="24"/>
              </w:rPr>
              <w:t>La présente Norme européenne peut être utilisée pour déduire les valeurs de calcul en prenant en compte</w:t>
            </w:r>
            <w:r w:rsidR="009C0081">
              <w:rPr>
                <w:rFonts w:ascii="Calibri" w:hAnsi="Calibri" w:cs="Calibri"/>
                <w:color w:val="000000"/>
                <w:sz w:val="24"/>
                <w:szCs w:val="24"/>
              </w:rPr>
              <w:t xml:space="preserve"> </w:t>
            </w:r>
            <w:r w:rsidRPr="006E0830">
              <w:rPr>
                <w:rFonts w:ascii="Calibri" w:hAnsi="Calibri" w:cs="Calibri"/>
                <w:color w:val="000000"/>
                <w:sz w:val="24"/>
                <w:szCs w:val="24"/>
              </w:rPr>
              <w:t>les facteurs définis dans l'EN 1997-1 (Eurocode 7), par exemple les facteurs de sécurité. Il convient de</w:t>
            </w:r>
            <w:r w:rsidR="009C0081">
              <w:rPr>
                <w:rFonts w:ascii="Calibri" w:hAnsi="Calibri" w:cs="Calibri"/>
                <w:color w:val="000000"/>
                <w:sz w:val="24"/>
                <w:szCs w:val="24"/>
              </w:rPr>
              <w:t xml:space="preserve"> </w:t>
            </w:r>
            <w:r w:rsidRPr="006E0830">
              <w:rPr>
                <w:rFonts w:ascii="Calibri" w:hAnsi="Calibri" w:cs="Calibri"/>
                <w:color w:val="000000"/>
                <w:sz w:val="24"/>
                <w:szCs w:val="24"/>
              </w:rPr>
              <w:t>déterminer la durée de vie prévue du produit, puisque sa fonction peut être provisoire, pour des besoins</w:t>
            </w:r>
            <w:r w:rsidRPr="006E0830">
              <w:rPr>
                <w:rFonts w:ascii="Calibri" w:hAnsi="Calibri" w:cs="Calibri"/>
                <w:color w:val="000000"/>
                <w:sz w:val="24"/>
                <w:szCs w:val="24"/>
              </w:rPr>
              <w:br/>
              <w:t>de construction, ou permanente, pour la durée de vie de la structure.</w:t>
            </w:r>
          </w:p>
        </w:tc>
      </w:tr>
      <w:tr w:rsidR="004E002F" w:rsidRPr="0043547B" w:rsidTr="00601D12">
        <w:trPr>
          <w:trHeight w:val="476"/>
          <w:jc w:val="center"/>
        </w:trPr>
        <w:tc>
          <w:tcPr>
            <w:tcW w:w="1833" w:type="dxa"/>
            <w:shd w:val="clear" w:color="auto" w:fill="C2D69B" w:themeFill="accent3" w:themeFillTint="99"/>
            <w:vAlign w:val="center"/>
          </w:tcPr>
          <w:p w:rsidR="004E002F" w:rsidRDefault="004E002F" w:rsidP="009C0081">
            <w:pPr>
              <w:spacing w:after="0" w:line="240" w:lineRule="auto"/>
              <w:jc w:val="center"/>
              <w:rPr>
                <w:rFonts w:ascii="Calibri" w:hAnsi="Calibri" w:cs="Calibri"/>
                <w:b/>
                <w:bCs/>
                <w:color w:val="000000"/>
                <w:sz w:val="24"/>
                <w:szCs w:val="24"/>
              </w:rPr>
            </w:pPr>
            <w:r>
              <w:rPr>
                <w:rFonts w:ascii="Calibri" w:hAnsi="Calibri" w:cs="Calibri"/>
                <w:b/>
                <w:bCs/>
                <w:color w:val="000000"/>
              </w:rPr>
              <w:t>Code :</w:t>
            </w:r>
          </w:p>
        </w:tc>
        <w:tc>
          <w:tcPr>
            <w:tcW w:w="7938" w:type="dxa"/>
            <w:shd w:val="clear" w:color="auto" w:fill="C2D69B" w:themeFill="accent3" w:themeFillTint="99"/>
            <w:vAlign w:val="center"/>
          </w:tcPr>
          <w:p w:rsidR="004E002F" w:rsidRPr="009C0081" w:rsidRDefault="004E002F" w:rsidP="009C0081">
            <w:pPr>
              <w:spacing w:after="0" w:line="240" w:lineRule="auto"/>
              <w:jc w:val="center"/>
              <w:rPr>
                <w:rFonts w:ascii="Calibri" w:hAnsi="Calibri" w:cs="Calibri"/>
                <w:b/>
                <w:bCs/>
                <w:color w:val="000000"/>
                <w:sz w:val="24"/>
                <w:szCs w:val="24"/>
              </w:rPr>
            </w:pPr>
            <w:r w:rsidRPr="009C0081">
              <w:rPr>
                <w:rFonts w:ascii="Calibri" w:hAnsi="Calibri" w:cs="Calibri"/>
                <w:b/>
                <w:bCs/>
                <w:color w:val="000000"/>
                <w:sz w:val="24"/>
                <w:szCs w:val="24"/>
              </w:rPr>
              <w:t>NM EN 13257</w:t>
            </w:r>
          </w:p>
        </w:tc>
      </w:tr>
      <w:tr w:rsidR="004E002F" w:rsidRPr="0043547B" w:rsidTr="00566A17">
        <w:trPr>
          <w:trHeight w:val="512"/>
          <w:jc w:val="center"/>
        </w:trPr>
        <w:tc>
          <w:tcPr>
            <w:tcW w:w="1833" w:type="dxa"/>
            <w:tcBorders>
              <w:bottom w:val="single" w:sz="18" w:space="0" w:color="auto"/>
            </w:tcBorders>
            <w:shd w:val="clear" w:color="auto" w:fill="FFFF99"/>
            <w:vAlign w:val="center"/>
          </w:tcPr>
          <w:p w:rsidR="004E002F" w:rsidRDefault="004E002F" w:rsidP="009C0081">
            <w:pPr>
              <w:spacing w:after="0" w:line="240" w:lineRule="auto"/>
              <w:jc w:val="center"/>
              <w:rPr>
                <w:rFonts w:ascii="Calibri" w:hAnsi="Calibri" w:cs="Calibri"/>
                <w:b/>
                <w:bCs/>
                <w:color w:val="000000"/>
                <w:sz w:val="24"/>
                <w:szCs w:val="24"/>
              </w:rPr>
            </w:pPr>
            <w:r>
              <w:rPr>
                <w:rFonts w:ascii="Calibri" w:hAnsi="Calibri" w:cs="Calibri"/>
                <w:b/>
                <w:bCs/>
                <w:color w:val="000000"/>
              </w:rPr>
              <w:t>Equivalence :</w:t>
            </w:r>
          </w:p>
        </w:tc>
        <w:tc>
          <w:tcPr>
            <w:tcW w:w="7938" w:type="dxa"/>
            <w:tcBorders>
              <w:bottom w:val="single" w:sz="18" w:space="0" w:color="auto"/>
            </w:tcBorders>
            <w:shd w:val="clear" w:color="auto" w:fill="FFFF99"/>
            <w:vAlign w:val="center"/>
          </w:tcPr>
          <w:p w:rsidR="004E002F" w:rsidRPr="009C0081" w:rsidRDefault="004E002F" w:rsidP="009C0081">
            <w:pPr>
              <w:spacing w:after="0" w:line="240" w:lineRule="auto"/>
              <w:jc w:val="center"/>
              <w:rPr>
                <w:rFonts w:ascii="Calibri" w:hAnsi="Calibri" w:cs="Calibri"/>
                <w:b/>
                <w:bCs/>
                <w:color w:val="000000"/>
                <w:sz w:val="24"/>
                <w:szCs w:val="24"/>
              </w:rPr>
            </w:pPr>
            <w:r w:rsidRPr="009C0081">
              <w:rPr>
                <w:rFonts w:ascii="Calibri" w:hAnsi="Calibri" w:cs="Calibri"/>
                <w:b/>
                <w:bCs/>
                <w:color w:val="000000"/>
                <w:sz w:val="24"/>
                <w:szCs w:val="24"/>
              </w:rPr>
              <w:t>EN 13257</w:t>
            </w:r>
          </w:p>
        </w:tc>
      </w:tr>
      <w:tr w:rsidR="004E002F" w:rsidRPr="0043547B" w:rsidTr="00566A17">
        <w:trPr>
          <w:trHeight w:val="753"/>
          <w:jc w:val="center"/>
        </w:trPr>
        <w:tc>
          <w:tcPr>
            <w:tcW w:w="1833" w:type="dxa"/>
            <w:tcBorders>
              <w:bottom w:val="single" w:sz="4" w:space="0" w:color="auto"/>
            </w:tcBorders>
            <w:shd w:val="clear" w:color="auto" w:fill="95B3D7" w:themeFill="accent1" w:themeFillTint="99"/>
            <w:vAlign w:val="center"/>
          </w:tcPr>
          <w:p w:rsidR="004E002F" w:rsidRDefault="004E002F" w:rsidP="009C0081">
            <w:pPr>
              <w:spacing w:after="0" w:line="240" w:lineRule="auto"/>
              <w:jc w:val="center"/>
              <w:rPr>
                <w:rFonts w:ascii="Calibri" w:hAnsi="Calibri" w:cs="Calibri"/>
                <w:b/>
                <w:bCs/>
                <w:color w:val="000000"/>
                <w:sz w:val="24"/>
                <w:szCs w:val="24"/>
              </w:rPr>
            </w:pPr>
            <w:r>
              <w:rPr>
                <w:rFonts w:ascii="Calibri" w:hAnsi="Calibri" w:cs="Calibri"/>
                <w:b/>
                <w:bCs/>
                <w:color w:val="000000"/>
              </w:rPr>
              <w:t>Intitulé :</w:t>
            </w:r>
          </w:p>
        </w:tc>
        <w:tc>
          <w:tcPr>
            <w:tcW w:w="7938" w:type="dxa"/>
            <w:tcBorders>
              <w:bottom w:val="single" w:sz="4" w:space="0" w:color="auto"/>
            </w:tcBorders>
            <w:shd w:val="clear" w:color="auto" w:fill="auto"/>
            <w:vAlign w:val="center"/>
          </w:tcPr>
          <w:p w:rsidR="004E002F" w:rsidRPr="006E0830" w:rsidRDefault="004E002F" w:rsidP="006E0830">
            <w:pPr>
              <w:spacing w:after="0" w:line="240" w:lineRule="auto"/>
              <w:rPr>
                <w:rFonts w:ascii="Calibri" w:hAnsi="Calibri" w:cs="Calibri"/>
                <w:color w:val="000000"/>
                <w:sz w:val="24"/>
                <w:szCs w:val="24"/>
              </w:rPr>
            </w:pPr>
            <w:r w:rsidRPr="006E0830">
              <w:rPr>
                <w:rFonts w:ascii="Calibri" w:hAnsi="Calibri" w:cs="Calibri"/>
                <w:color w:val="000000"/>
                <w:sz w:val="24"/>
                <w:szCs w:val="24"/>
              </w:rPr>
              <w:t xml:space="preserve">Géotextiles et produits apparentés ‐ Caractéristiques requises pour l'utilisation dans les ouvrages d'enfouissement des déchets solides ; </w:t>
            </w:r>
          </w:p>
        </w:tc>
      </w:tr>
      <w:tr w:rsidR="004E002F" w:rsidRPr="0043547B" w:rsidTr="00566A17">
        <w:trPr>
          <w:trHeight w:val="753"/>
          <w:jc w:val="center"/>
        </w:trPr>
        <w:tc>
          <w:tcPr>
            <w:tcW w:w="1833" w:type="dxa"/>
            <w:tcBorders>
              <w:top w:val="single" w:sz="4" w:space="0" w:color="auto"/>
            </w:tcBorders>
            <w:shd w:val="clear" w:color="000000" w:fill="D9D9D9"/>
            <w:vAlign w:val="center"/>
          </w:tcPr>
          <w:p w:rsidR="004E002F" w:rsidRDefault="004E002F" w:rsidP="009C0081">
            <w:pPr>
              <w:jc w:val="center"/>
              <w:rPr>
                <w:rFonts w:ascii="Calibri" w:hAnsi="Calibri" w:cs="Calibri"/>
                <w:b/>
                <w:bCs/>
                <w:color w:val="000000"/>
                <w:sz w:val="24"/>
                <w:szCs w:val="24"/>
              </w:rPr>
            </w:pPr>
            <w:r>
              <w:rPr>
                <w:rFonts w:ascii="Calibri" w:hAnsi="Calibri" w:cs="Calibri"/>
                <w:b/>
                <w:bCs/>
                <w:color w:val="000000"/>
              </w:rPr>
              <w:t>Domaine d’application :</w:t>
            </w:r>
          </w:p>
        </w:tc>
        <w:tc>
          <w:tcPr>
            <w:tcW w:w="7938" w:type="dxa"/>
            <w:tcBorders>
              <w:top w:val="single" w:sz="4" w:space="0" w:color="auto"/>
            </w:tcBorders>
            <w:shd w:val="clear" w:color="auto" w:fill="auto"/>
            <w:vAlign w:val="center"/>
          </w:tcPr>
          <w:p w:rsidR="009C0081" w:rsidRDefault="004E002F" w:rsidP="009C0081">
            <w:pPr>
              <w:spacing w:after="0" w:line="240" w:lineRule="auto"/>
              <w:jc w:val="both"/>
              <w:rPr>
                <w:rFonts w:ascii="Calibri" w:hAnsi="Calibri" w:cs="Calibri"/>
                <w:color w:val="000000"/>
                <w:sz w:val="24"/>
                <w:szCs w:val="24"/>
              </w:rPr>
            </w:pPr>
            <w:r w:rsidRPr="006E0830">
              <w:rPr>
                <w:rFonts w:ascii="Calibri" w:hAnsi="Calibri" w:cs="Calibri"/>
                <w:color w:val="000000"/>
                <w:sz w:val="24"/>
                <w:szCs w:val="24"/>
              </w:rPr>
              <w:t>La présente Norme européenne spécifie les caractéristiques pertinentes des géotextiles et produits</w:t>
            </w:r>
            <w:r w:rsidR="009C0081">
              <w:rPr>
                <w:rFonts w:ascii="Calibri" w:hAnsi="Calibri" w:cs="Calibri"/>
                <w:color w:val="000000"/>
                <w:sz w:val="24"/>
                <w:szCs w:val="24"/>
              </w:rPr>
              <w:t xml:space="preserve"> </w:t>
            </w:r>
            <w:r w:rsidRPr="006E0830">
              <w:rPr>
                <w:rFonts w:ascii="Calibri" w:hAnsi="Calibri" w:cs="Calibri"/>
                <w:color w:val="000000"/>
                <w:sz w:val="24"/>
                <w:szCs w:val="24"/>
              </w:rPr>
              <w:t>apparentés utilisés dans les ouvrages d'enfouissement de déchets solides, ainsi que les méthodes d'essai</w:t>
            </w:r>
            <w:r w:rsidR="009C0081">
              <w:rPr>
                <w:rFonts w:ascii="Calibri" w:hAnsi="Calibri" w:cs="Calibri"/>
                <w:color w:val="000000"/>
                <w:sz w:val="24"/>
                <w:szCs w:val="24"/>
              </w:rPr>
              <w:t xml:space="preserve"> </w:t>
            </w:r>
            <w:r w:rsidRPr="006E0830">
              <w:rPr>
                <w:rFonts w:ascii="Calibri" w:hAnsi="Calibri" w:cs="Calibri"/>
                <w:color w:val="000000"/>
                <w:sz w:val="24"/>
                <w:szCs w:val="24"/>
              </w:rPr>
              <w:t xml:space="preserve">appropriées pour déterminer ces </w:t>
            </w:r>
            <w:r w:rsidRPr="006E0830">
              <w:rPr>
                <w:rFonts w:ascii="Calibri" w:hAnsi="Calibri" w:cs="Calibri"/>
                <w:color w:val="000000"/>
                <w:sz w:val="24"/>
                <w:szCs w:val="24"/>
              </w:rPr>
              <w:lastRenderedPageBreak/>
              <w:t>caractéristiques.</w:t>
            </w:r>
            <w:r w:rsidRPr="006E0830">
              <w:rPr>
                <w:rFonts w:ascii="Calibri" w:hAnsi="Calibri" w:cs="Calibri"/>
                <w:color w:val="000000"/>
                <w:sz w:val="24"/>
                <w:szCs w:val="24"/>
              </w:rPr>
              <w:br/>
              <w:t>L'utilisation prévue de ces géotextiles ou produits apparentés est de remplir au moins l'une des fonctions</w:t>
            </w:r>
            <w:r w:rsidR="009C0081">
              <w:rPr>
                <w:rFonts w:ascii="Calibri" w:hAnsi="Calibri" w:cs="Calibri"/>
                <w:color w:val="000000"/>
                <w:sz w:val="24"/>
                <w:szCs w:val="24"/>
              </w:rPr>
              <w:t xml:space="preserve"> </w:t>
            </w:r>
            <w:r w:rsidRPr="006E0830">
              <w:rPr>
                <w:rFonts w:ascii="Calibri" w:hAnsi="Calibri" w:cs="Calibri"/>
                <w:color w:val="000000"/>
                <w:sz w:val="24"/>
                <w:szCs w:val="24"/>
              </w:rPr>
              <w:t>suivantes : filtration, séparation, renforcement et protection. La fonction séparation étant toujours</w:t>
            </w:r>
            <w:r w:rsidR="009C0081">
              <w:rPr>
                <w:rFonts w:ascii="Calibri" w:hAnsi="Calibri" w:cs="Calibri"/>
                <w:color w:val="000000"/>
                <w:sz w:val="24"/>
                <w:szCs w:val="24"/>
              </w:rPr>
              <w:t xml:space="preserve"> </w:t>
            </w:r>
            <w:r w:rsidRPr="006E0830">
              <w:rPr>
                <w:rFonts w:ascii="Calibri" w:hAnsi="Calibri" w:cs="Calibri"/>
                <w:color w:val="000000"/>
                <w:sz w:val="24"/>
                <w:szCs w:val="24"/>
              </w:rPr>
              <w:t>utilisée conjointement avec une filtration ou un renforcement, celle-ci n'est pas spécifiée seule.</w:t>
            </w:r>
          </w:p>
          <w:p w:rsidR="009C0081" w:rsidRDefault="004E002F" w:rsidP="009C0081">
            <w:pPr>
              <w:spacing w:after="0" w:line="240" w:lineRule="auto"/>
              <w:jc w:val="both"/>
              <w:rPr>
                <w:rFonts w:ascii="Calibri" w:hAnsi="Calibri" w:cs="Calibri"/>
                <w:color w:val="000000"/>
                <w:sz w:val="24"/>
                <w:szCs w:val="24"/>
              </w:rPr>
            </w:pPr>
            <w:r w:rsidRPr="006E0830">
              <w:rPr>
                <w:rFonts w:ascii="Calibri" w:hAnsi="Calibri" w:cs="Calibri"/>
                <w:color w:val="000000"/>
                <w:sz w:val="24"/>
                <w:szCs w:val="24"/>
              </w:rPr>
              <w:t>La présente Norme européenne ne s'applique pas aux géomembranes et géosynthétiques bentonitiques</w:t>
            </w:r>
            <w:r w:rsidR="009C0081">
              <w:rPr>
                <w:rFonts w:ascii="Calibri" w:hAnsi="Calibri" w:cs="Calibri"/>
                <w:color w:val="000000"/>
                <w:sz w:val="24"/>
                <w:szCs w:val="24"/>
              </w:rPr>
              <w:t xml:space="preserve"> </w:t>
            </w:r>
            <w:r w:rsidRPr="006E0830">
              <w:rPr>
                <w:rFonts w:ascii="Calibri" w:hAnsi="Calibri" w:cs="Calibri"/>
                <w:color w:val="000000"/>
                <w:sz w:val="24"/>
                <w:szCs w:val="24"/>
              </w:rPr>
              <w:t>tels que définis dans l'EN ISO 10318-1.</w:t>
            </w:r>
          </w:p>
          <w:p w:rsidR="009C0081" w:rsidRDefault="004E002F" w:rsidP="009C0081">
            <w:pPr>
              <w:spacing w:after="0" w:line="240" w:lineRule="auto"/>
              <w:jc w:val="both"/>
              <w:rPr>
                <w:rFonts w:ascii="Calibri" w:hAnsi="Calibri" w:cs="Calibri"/>
                <w:color w:val="000000"/>
                <w:sz w:val="24"/>
                <w:szCs w:val="24"/>
              </w:rPr>
            </w:pPr>
            <w:r w:rsidRPr="006E0830">
              <w:rPr>
                <w:rFonts w:ascii="Calibri" w:hAnsi="Calibri" w:cs="Calibri"/>
                <w:color w:val="000000"/>
                <w:sz w:val="24"/>
                <w:szCs w:val="24"/>
              </w:rPr>
              <w:t>La présente Norme européenne permet d'évaluer et de vérifier la constance des performances du produit</w:t>
            </w:r>
            <w:r w:rsidR="009C0081">
              <w:rPr>
                <w:rFonts w:ascii="Calibri" w:hAnsi="Calibri" w:cs="Calibri"/>
                <w:color w:val="000000"/>
                <w:sz w:val="24"/>
                <w:szCs w:val="24"/>
              </w:rPr>
              <w:t xml:space="preserve"> </w:t>
            </w:r>
            <w:r w:rsidRPr="006E0830">
              <w:rPr>
                <w:rFonts w:ascii="Calibri" w:hAnsi="Calibri" w:cs="Calibri"/>
                <w:color w:val="000000"/>
                <w:sz w:val="24"/>
                <w:szCs w:val="24"/>
              </w:rPr>
              <w:t>à la présente Norme européenne et les procédures de contrôle de la production en usine.</w:t>
            </w:r>
          </w:p>
          <w:p w:rsidR="009C0081" w:rsidRDefault="004E002F" w:rsidP="009C0081">
            <w:pPr>
              <w:spacing w:after="0" w:line="240" w:lineRule="auto"/>
              <w:jc w:val="both"/>
              <w:rPr>
                <w:rFonts w:ascii="Calibri" w:hAnsi="Calibri" w:cs="Calibri"/>
                <w:color w:val="000000"/>
                <w:sz w:val="24"/>
                <w:szCs w:val="24"/>
              </w:rPr>
            </w:pPr>
            <w:r w:rsidRPr="006E0830">
              <w:rPr>
                <w:rFonts w:ascii="Calibri" w:hAnsi="Calibri" w:cs="Calibri"/>
                <w:color w:val="000000"/>
                <w:sz w:val="24"/>
                <w:szCs w:val="24"/>
              </w:rPr>
              <w:t>Des cas d'application particuliers peuvent contenir des exigences sur des propriétés supplémentaires et</w:t>
            </w:r>
            <w:r w:rsidR="009C0081">
              <w:rPr>
                <w:rFonts w:ascii="Calibri" w:hAnsi="Calibri" w:cs="Calibri"/>
                <w:color w:val="000000"/>
                <w:sz w:val="24"/>
                <w:szCs w:val="24"/>
              </w:rPr>
              <w:t xml:space="preserve"> </w:t>
            </w:r>
            <w:r w:rsidRPr="006E0830">
              <w:rPr>
                <w:rFonts w:ascii="Calibri" w:hAnsi="Calibri" w:cs="Calibri"/>
                <w:color w:val="000000"/>
                <w:sz w:val="24"/>
                <w:szCs w:val="24"/>
              </w:rPr>
              <w:t>méthodes d'essai – si possible normalisées – si elles sont techniquement pertinentes.</w:t>
            </w:r>
          </w:p>
          <w:p w:rsidR="004E002F" w:rsidRPr="006E0830" w:rsidRDefault="004E002F" w:rsidP="009C0081">
            <w:pPr>
              <w:spacing w:after="0" w:line="240" w:lineRule="auto"/>
              <w:jc w:val="both"/>
              <w:rPr>
                <w:rFonts w:ascii="Calibri" w:hAnsi="Calibri" w:cs="Calibri"/>
                <w:color w:val="000000"/>
                <w:sz w:val="24"/>
                <w:szCs w:val="24"/>
              </w:rPr>
            </w:pPr>
            <w:r w:rsidRPr="006E0830">
              <w:rPr>
                <w:rFonts w:ascii="Calibri" w:hAnsi="Calibri" w:cs="Calibri"/>
                <w:color w:val="000000"/>
                <w:sz w:val="24"/>
                <w:szCs w:val="24"/>
              </w:rPr>
              <w:t>La présente Norme européenne peut être utilisée pour déduire les valeurs de calcul en prenant en compte</w:t>
            </w:r>
            <w:r w:rsidR="009C0081">
              <w:rPr>
                <w:rFonts w:ascii="Calibri" w:hAnsi="Calibri" w:cs="Calibri"/>
                <w:color w:val="000000"/>
                <w:sz w:val="24"/>
                <w:szCs w:val="24"/>
              </w:rPr>
              <w:t xml:space="preserve"> </w:t>
            </w:r>
            <w:r w:rsidRPr="006E0830">
              <w:rPr>
                <w:rFonts w:ascii="Calibri" w:hAnsi="Calibri" w:cs="Calibri"/>
                <w:color w:val="000000"/>
                <w:sz w:val="24"/>
                <w:szCs w:val="24"/>
              </w:rPr>
              <w:t>les facteurs définis dans l'EN 1997-1 (Eurocode 7), par exemple les facteurs de sécurité. Il convient de</w:t>
            </w:r>
            <w:r w:rsidR="009C0081">
              <w:rPr>
                <w:rFonts w:ascii="Calibri" w:hAnsi="Calibri" w:cs="Calibri"/>
                <w:color w:val="000000"/>
                <w:sz w:val="24"/>
                <w:szCs w:val="24"/>
              </w:rPr>
              <w:t xml:space="preserve"> </w:t>
            </w:r>
            <w:r w:rsidRPr="006E0830">
              <w:rPr>
                <w:rFonts w:ascii="Calibri" w:hAnsi="Calibri" w:cs="Calibri"/>
                <w:color w:val="000000"/>
                <w:sz w:val="24"/>
                <w:szCs w:val="24"/>
              </w:rPr>
              <w:t>déterminer la durée de vie prévue du produit, puisque sa fonction peut être provisoire, pour des besoins</w:t>
            </w:r>
            <w:r w:rsidRPr="006E0830">
              <w:rPr>
                <w:rFonts w:ascii="Calibri" w:hAnsi="Calibri" w:cs="Calibri"/>
                <w:color w:val="000000"/>
                <w:sz w:val="24"/>
                <w:szCs w:val="24"/>
              </w:rPr>
              <w:br/>
              <w:t>de construction, ou permanente, pour la durée de vie de la structure.</w:t>
            </w:r>
          </w:p>
        </w:tc>
      </w:tr>
      <w:tr w:rsidR="004E002F" w:rsidRPr="0043547B" w:rsidTr="009C0081">
        <w:trPr>
          <w:trHeight w:val="514"/>
          <w:jc w:val="center"/>
        </w:trPr>
        <w:tc>
          <w:tcPr>
            <w:tcW w:w="1833" w:type="dxa"/>
            <w:shd w:val="clear" w:color="auto" w:fill="C2D69B" w:themeFill="accent3" w:themeFillTint="99"/>
            <w:vAlign w:val="center"/>
          </w:tcPr>
          <w:p w:rsidR="004E002F" w:rsidRDefault="004E002F" w:rsidP="009C0081">
            <w:pPr>
              <w:spacing w:after="0" w:line="240" w:lineRule="auto"/>
              <w:jc w:val="center"/>
              <w:rPr>
                <w:rFonts w:ascii="Calibri" w:hAnsi="Calibri" w:cs="Calibri"/>
                <w:b/>
                <w:bCs/>
                <w:color w:val="000000"/>
                <w:sz w:val="24"/>
                <w:szCs w:val="24"/>
              </w:rPr>
            </w:pPr>
            <w:r>
              <w:rPr>
                <w:rFonts w:ascii="Calibri" w:hAnsi="Calibri" w:cs="Calibri"/>
                <w:b/>
                <w:bCs/>
                <w:color w:val="000000"/>
              </w:rPr>
              <w:lastRenderedPageBreak/>
              <w:t>Code :</w:t>
            </w:r>
          </w:p>
        </w:tc>
        <w:tc>
          <w:tcPr>
            <w:tcW w:w="7938" w:type="dxa"/>
            <w:shd w:val="clear" w:color="auto" w:fill="C2D69B" w:themeFill="accent3" w:themeFillTint="99"/>
            <w:vAlign w:val="center"/>
          </w:tcPr>
          <w:p w:rsidR="004E002F" w:rsidRPr="009C0081" w:rsidRDefault="004E002F" w:rsidP="009C0081">
            <w:pPr>
              <w:spacing w:after="0" w:line="240" w:lineRule="auto"/>
              <w:jc w:val="center"/>
              <w:rPr>
                <w:rFonts w:ascii="Calibri" w:hAnsi="Calibri" w:cs="Calibri"/>
                <w:b/>
                <w:bCs/>
                <w:color w:val="000000"/>
                <w:sz w:val="24"/>
                <w:szCs w:val="24"/>
              </w:rPr>
            </w:pPr>
            <w:r w:rsidRPr="009C0081">
              <w:rPr>
                <w:rFonts w:ascii="Calibri" w:hAnsi="Calibri" w:cs="Calibri"/>
                <w:b/>
                <w:bCs/>
                <w:color w:val="000000"/>
                <w:sz w:val="24"/>
                <w:szCs w:val="24"/>
              </w:rPr>
              <w:t>NM EN 13265</w:t>
            </w:r>
          </w:p>
        </w:tc>
      </w:tr>
      <w:tr w:rsidR="004E002F" w:rsidRPr="0043547B" w:rsidTr="00566A17">
        <w:trPr>
          <w:trHeight w:val="522"/>
          <w:jc w:val="center"/>
        </w:trPr>
        <w:tc>
          <w:tcPr>
            <w:tcW w:w="1833" w:type="dxa"/>
            <w:tcBorders>
              <w:bottom w:val="single" w:sz="18" w:space="0" w:color="auto"/>
            </w:tcBorders>
            <w:shd w:val="clear" w:color="auto" w:fill="FFFF99"/>
            <w:vAlign w:val="center"/>
          </w:tcPr>
          <w:p w:rsidR="004E002F" w:rsidRDefault="004E002F" w:rsidP="009C0081">
            <w:pPr>
              <w:spacing w:after="0" w:line="240" w:lineRule="auto"/>
              <w:jc w:val="center"/>
              <w:rPr>
                <w:rFonts w:ascii="Calibri" w:hAnsi="Calibri" w:cs="Calibri"/>
                <w:b/>
                <w:bCs/>
                <w:color w:val="000000"/>
                <w:sz w:val="24"/>
                <w:szCs w:val="24"/>
              </w:rPr>
            </w:pPr>
            <w:r>
              <w:rPr>
                <w:rFonts w:ascii="Calibri" w:hAnsi="Calibri" w:cs="Calibri"/>
                <w:b/>
                <w:bCs/>
                <w:color w:val="000000"/>
              </w:rPr>
              <w:t>Equivalence :</w:t>
            </w:r>
          </w:p>
        </w:tc>
        <w:tc>
          <w:tcPr>
            <w:tcW w:w="7938" w:type="dxa"/>
            <w:tcBorders>
              <w:bottom w:val="single" w:sz="18" w:space="0" w:color="auto"/>
            </w:tcBorders>
            <w:shd w:val="clear" w:color="auto" w:fill="FFFF99"/>
            <w:vAlign w:val="center"/>
          </w:tcPr>
          <w:p w:rsidR="004E002F" w:rsidRPr="009C0081" w:rsidRDefault="004E002F" w:rsidP="009C0081">
            <w:pPr>
              <w:spacing w:after="0" w:line="240" w:lineRule="auto"/>
              <w:jc w:val="center"/>
              <w:rPr>
                <w:rFonts w:ascii="Calibri" w:hAnsi="Calibri" w:cs="Calibri"/>
                <w:b/>
                <w:bCs/>
                <w:color w:val="000000"/>
                <w:sz w:val="24"/>
                <w:szCs w:val="24"/>
              </w:rPr>
            </w:pPr>
            <w:r w:rsidRPr="009C0081">
              <w:rPr>
                <w:rFonts w:ascii="Calibri" w:hAnsi="Calibri" w:cs="Calibri"/>
                <w:b/>
                <w:bCs/>
                <w:color w:val="000000"/>
                <w:sz w:val="24"/>
                <w:szCs w:val="24"/>
              </w:rPr>
              <w:t>EN 13265</w:t>
            </w:r>
          </w:p>
        </w:tc>
      </w:tr>
      <w:tr w:rsidR="004E002F" w:rsidRPr="0043547B" w:rsidTr="00566A17">
        <w:trPr>
          <w:trHeight w:val="753"/>
          <w:jc w:val="center"/>
        </w:trPr>
        <w:tc>
          <w:tcPr>
            <w:tcW w:w="1833" w:type="dxa"/>
            <w:tcBorders>
              <w:bottom w:val="single" w:sz="4" w:space="0" w:color="auto"/>
            </w:tcBorders>
            <w:shd w:val="clear" w:color="auto" w:fill="B8CCE4" w:themeFill="accent1" w:themeFillTint="66"/>
            <w:vAlign w:val="center"/>
          </w:tcPr>
          <w:p w:rsidR="004E002F" w:rsidRDefault="004E002F" w:rsidP="009C0081">
            <w:pPr>
              <w:spacing w:after="0" w:line="240" w:lineRule="auto"/>
              <w:jc w:val="center"/>
              <w:rPr>
                <w:rFonts w:ascii="Calibri" w:hAnsi="Calibri" w:cs="Calibri"/>
                <w:b/>
                <w:bCs/>
                <w:color w:val="000000"/>
                <w:sz w:val="24"/>
                <w:szCs w:val="24"/>
              </w:rPr>
            </w:pPr>
            <w:r>
              <w:rPr>
                <w:rFonts w:ascii="Calibri" w:hAnsi="Calibri" w:cs="Calibri"/>
                <w:b/>
                <w:bCs/>
                <w:color w:val="000000"/>
              </w:rPr>
              <w:t>Intitulé :</w:t>
            </w:r>
          </w:p>
        </w:tc>
        <w:tc>
          <w:tcPr>
            <w:tcW w:w="7938" w:type="dxa"/>
            <w:tcBorders>
              <w:bottom w:val="single" w:sz="4" w:space="0" w:color="auto"/>
            </w:tcBorders>
            <w:shd w:val="clear" w:color="auto" w:fill="auto"/>
            <w:vAlign w:val="center"/>
          </w:tcPr>
          <w:p w:rsidR="004E002F" w:rsidRPr="006E0830" w:rsidRDefault="004E002F" w:rsidP="006E0830">
            <w:pPr>
              <w:spacing w:after="0" w:line="240" w:lineRule="auto"/>
              <w:rPr>
                <w:rFonts w:ascii="Calibri" w:hAnsi="Calibri" w:cs="Calibri"/>
                <w:color w:val="000000"/>
                <w:sz w:val="24"/>
                <w:szCs w:val="24"/>
              </w:rPr>
            </w:pPr>
            <w:r w:rsidRPr="006E0830">
              <w:rPr>
                <w:rFonts w:ascii="Calibri" w:hAnsi="Calibri" w:cs="Calibri"/>
                <w:color w:val="000000"/>
                <w:sz w:val="24"/>
                <w:szCs w:val="24"/>
              </w:rPr>
              <w:t xml:space="preserve">Géotextiles et produits apparentés ‐ Caractéristiques requises pour l'utilisation dans les projets de confinement de déchets liquides ; </w:t>
            </w:r>
          </w:p>
        </w:tc>
      </w:tr>
      <w:tr w:rsidR="004E002F" w:rsidRPr="0043547B" w:rsidTr="00566A17">
        <w:trPr>
          <w:trHeight w:val="753"/>
          <w:jc w:val="center"/>
        </w:trPr>
        <w:tc>
          <w:tcPr>
            <w:tcW w:w="1833" w:type="dxa"/>
            <w:tcBorders>
              <w:top w:val="single" w:sz="4" w:space="0" w:color="auto"/>
            </w:tcBorders>
            <w:shd w:val="clear" w:color="000000" w:fill="D9D9D9"/>
            <w:vAlign w:val="center"/>
          </w:tcPr>
          <w:p w:rsidR="004E002F" w:rsidRDefault="004E002F" w:rsidP="009C0081">
            <w:pPr>
              <w:spacing w:after="0" w:line="240" w:lineRule="auto"/>
              <w:jc w:val="center"/>
              <w:rPr>
                <w:rFonts w:ascii="Calibri" w:hAnsi="Calibri" w:cs="Calibri"/>
                <w:b/>
                <w:bCs/>
                <w:color w:val="000000"/>
                <w:sz w:val="24"/>
                <w:szCs w:val="24"/>
              </w:rPr>
            </w:pPr>
            <w:r>
              <w:rPr>
                <w:rFonts w:ascii="Calibri" w:hAnsi="Calibri" w:cs="Calibri"/>
                <w:b/>
                <w:bCs/>
                <w:color w:val="000000"/>
              </w:rPr>
              <w:t>Domaine d’application :</w:t>
            </w:r>
          </w:p>
        </w:tc>
        <w:tc>
          <w:tcPr>
            <w:tcW w:w="7938" w:type="dxa"/>
            <w:tcBorders>
              <w:top w:val="single" w:sz="4" w:space="0" w:color="auto"/>
            </w:tcBorders>
            <w:shd w:val="clear" w:color="auto" w:fill="auto"/>
            <w:vAlign w:val="center"/>
          </w:tcPr>
          <w:p w:rsidR="009C0081" w:rsidRDefault="004E002F" w:rsidP="009C0081">
            <w:pPr>
              <w:spacing w:after="0" w:line="240" w:lineRule="auto"/>
              <w:jc w:val="both"/>
              <w:rPr>
                <w:rFonts w:ascii="Calibri" w:hAnsi="Calibri" w:cs="Calibri"/>
                <w:color w:val="000000"/>
                <w:sz w:val="24"/>
                <w:szCs w:val="24"/>
              </w:rPr>
            </w:pPr>
            <w:r w:rsidRPr="006E0830">
              <w:rPr>
                <w:rFonts w:ascii="Calibri" w:hAnsi="Calibri" w:cs="Calibri"/>
                <w:color w:val="000000"/>
                <w:sz w:val="24"/>
                <w:szCs w:val="24"/>
              </w:rPr>
              <w:t>La présente Norme européenne spécifie les caractéristiques pertinentes des géotextiles et produits</w:t>
            </w:r>
            <w:r w:rsidR="009C0081">
              <w:rPr>
                <w:rFonts w:ascii="Calibri" w:hAnsi="Calibri" w:cs="Calibri"/>
                <w:color w:val="000000"/>
                <w:sz w:val="24"/>
                <w:szCs w:val="24"/>
              </w:rPr>
              <w:t xml:space="preserve"> </w:t>
            </w:r>
            <w:r w:rsidRPr="006E0830">
              <w:rPr>
                <w:rFonts w:ascii="Calibri" w:hAnsi="Calibri" w:cs="Calibri"/>
                <w:color w:val="000000"/>
                <w:sz w:val="24"/>
                <w:szCs w:val="24"/>
              </w:rPr>
              <w:t>apparentés utilisés dans les projets de confinement de déchets liquides, ainsi que les méthodes d'essai</w:t>
            </w:r>
            <w:r w:rsidR="009C0081">
              <w:rPr>
                <w:rFonts w:ascii="Calibri" w:hAnsi="Calibri" w:cs="Calibri"/>
                <w:color w:val="000000"/>
                <w:sz w:val="24"/>
                <w:szCs w:val="24"/>
              </w:rPr>
              <w:t xml:space="preserve"> </w:t>
            </w:r>
            <w:r w:rsidRPr="006E0830">
              <w:rPr>
                <w:rFonts w:ascii="Calibri" w:hAnsi="Calibri" w:cs="Calibri"/>
                <w:color w:val="000000"/>
                <w:sz w:val="24"/>
                <w:szCs w:val="24"/>
              </w:rPr>
              <w:t>appropriées pour déterminer ces caractéristiques.</w:t>
            </w:r>
            <w:r w:rsidRPr="006E0830">
              <w:rPr>
                <w:rFonts w:ascii="Calibri" w:hAnsi="Calibri" w:cs="Calibri"/>
                <w:color w:val="000000"/>
                <w:sz w:val="24"/>
                <w:szCs w:val="24"/>
              </w:rPr>
              <w:br/>
              <w:t>L'utilisation prévue de ces géotextiles ou produits apparentés est de remplir au moins l'une des</w:t>
            </w:r>
            <w:r w:rsidR="009C0081">
              <w:rPr>
                <w:rFonts w:ascii="Calibri" w:hAnsi="Calibri" w:cs="Calibri"/>
                <w:color w:val="000000"/>
                <w:sz w:val="24"/>
                <w:szCs w:val="24"/>
              </w:rPr>
              <w:t xml:space="preserve"> </w:t>
            </w:r>
            <w:r w:rsidRPr="006E0830">
              <w:rPr>
                <w:rFonts w:ascii="Calibri" w:hAnsi="Calibri" w:cs="Calibri"/>
                <w:color w:val="000000"/>
                <w:sz w:val="24"/>
                <w:szCs w:val="24"/>
              </w:rPr>
              <w:t>fonctions suivantes : filtration, renforcement et protection.</w:t>
            </w:r>
          </w:p>
          <w:p w:rsidR="009C0081" w:rsidRDefault="004E002F" w:rsidP="009C0081">
            <w:pPr>
              <w:spacing w:after="0" w:line="240" w:lineRule="auto"/>
              <w:jc w:val="both"/>
              <w:rPr>
                <w:rFonts w:ascii="Calibri" w:hAnsi="Calibri" w:cs="Calibri"/>
                <w:color w:val="000000"/>
                <w:sz w:val="24"/>
                <w:szCs w:val="24"/>
              </w:rPr>
            </w:pPr>
            <w:r w:rsidRPr="006E0830">
              <w:rPr>
                <w:rFonts w:ascii="Calibri" w:hAnsi="Calibri" w:cs="Calibri"/>
                <w:color w:val="000000"/>
                <w:sz w:val="24"/>
                <w:szCs w:val="24"/>
              </w:rPr>
              <w:t>La présente Norme européenne ne s'applique pas aux géomembranes et géosynthétiques bentonitiques</w:t>
            </w:r>
            <w:r w:rsidR="009C0081">
              <w:rPr>
                <w:rFonts w:ascii="Calibri" w:hAnsi="Calibri" w:cs="Calibri"/>
                <w:color w:val="000000"/>
                <w:sz w:val="24"/>
                <w:szCs w:val="24"/>
              </w:rPr>
              <w:t xml:space="preserve"> </w:t>
            </w:r>
            <w:r w:rsidRPr="006E0830">
              <w:rPr>
                <w:rFonts w:ascii="Calibri" w:hAnsi="Calibri" w:cs="Calibri"/>
                <w:color w:val="000000"/>
                <w:sz w:val="24"/>
                <w:szCs w:val="24"/>
              </w:rPr>
              <w:t>tels que définis dans l'EN ISO 10318-1.</w:t>
            </w:r>
          </w:p>
          <w:p w:rsidR="009C0081" w:rsidRDefault="004E002F" w:rsidP="009C0081">
            <w:pPr>
              <w:spacing w:after="0" w:line="240" w:lineRule="auto"/>
              <w:jc w:val="both"/>
              <w:rPr>
                <w:rFonts w:ascii="Calibri" w:hAnsi="Calibri" w:cs="Calibri"/>
                <w:color w:val="000000"/>
                <w:sz w:val="24"/>
                <w:szCs w:val="24"/>
              </w:rPr>
            </w:pPr>
            <w:r w:rsidRPr="006E0830">
              <w:rPr>
                <w:rFonts w:ascii="Calibri" w:hAnsi="Calibri" w:cs="Calibri"/>
                <w:color w:val="000000"/>
                <w:sz w:val="24"/>
                <w:szCs w:val="24"/>
              </w:rPr>
              <w:t>La présente Norme européenne permet d'évaluer et de vérifier la constance des performances du</w:t>
            </w:r>
            <w:r w:rsidR="009C0081">
              <w:rPr>
                <w:rFonts w:ascii="Calibri" w:hAnsi="Calibri" w:cs="Calibri"/>
                <w:color w:val="000000"/>
                <w:sz w:val="24"/>
                <w:szCs w:val="24"/>
              </w:rPr>
              <w:t xml:space="preserve"> </w:t>
            </w:r>
            <w:r w:rsidRPr="006E0830">
              <w:rPr>
                <w:rFonts w:ascii="Calibri" w:hAnsi="Calibri" w:cs="Calibri"/>
                <w:color w:val="000000"/>
                <w:sz w:val="24"/>
                <w:szCs w:val="24"/>
              </w:rPr>
              <w:t>produit à la présente Norme européenne et les procédures de contrôle de la production en usine.</w:t>
            </w:r>
          </w:p>
          <w:p w:rsidR="009C0081" w:rsidRDefault="004E002F" w:rsidP="009C0081">
            <w:pPr>
              <w:spacing w:after="0" w:line="240" w:lineRule="auto"/>
              <w:jc w:val="both"/>
              <w:rPr>
                <w:rFonts w:ascii="Calibri" w:hAnsi="Calibri" w:cs="Calibri"/>
                <w:color w:val="000000"/>
                <w:sz w:val="24"/>
                <w:szCs w:val="24"/>
              </w:rPr>
            </w:pPr>
            <w:r w:rsidRPr="006E0830">
              <w:rPr>
                <w:rFonts w:ascii="Calibri" w:hAnsi="Calibri" w:cs="Calibri"/>
                <w:color w:val="000000"/>
                <w:sz w:val="24"/>
                <w:szCs w:val="24"/>
              </w:rPr>
              <w:t>Des cas d'application particuliers peuvent contenir des exigences sur des propriétés supplémentaires et</w:t>
            </w:r>
            <w:r w:rsidR="009C0081">
              <w:rPr>
                <w:rFonts w:ascii="Calibri" w:hAnsi="Calibri" w:cs="Calibri"/>
                <w:color w:val="000000"/>
                <w:sz w:val="24"/>
                <w:szCs w:val="24"/>
              </w:rPr>
              <w:t xml:space="preserve"> </w:t>
            </w:r>
            <w:r w:rsidRPr="006E0830">
              <w:rPr>
                <w:rFonts w:ascii="Calibri" w:hAnsi="Calibri" w:cs="Calibri"/>
                <w:color w:val="000000"/>
                <w:sz w:val="24"/>
                <w:szCs w:val="24"/>
              </w:rPr>
              <w:t>méthodes d'essai – si possible normalisées – si elles sont techniquement pertinentes.</w:t>
            </w:r>
          </w:p>
          <w:p w:rsidR="004E002F" w:rsidRPr="006E0830" w:rsidRDefault="004E002F" w:rsidP="009C0081">
            <w:pPr>
              <w:spacing w:after="0" w:line="240" w:lineRule="auto"/>
              <w:jc w:val="both"/>
              <w:rPr>
                <w:rFonts w:ascii="Calibri" w:hAnsi="Calibri" w:cs="Calibri"/>
                <w:color w:val="000000"/>
                <w:sz w:val="24"/>
                <w:szCs w:val="24"/>
              </w:rPr>
            </w:pPr>
            <w:r w:rsidRPr="006E0830">
              <w:rPr>
                <w:rFonts w:ascii="Calibri" w:hAnsi="Calibri" w:cs="Calibri"/>
                <w:color w:val="000000"/>
                <w:sz w:val="24"/>
                <w:szCs w:val="24"/>
              </w:rPr>
              <w:t>La présente Norme européenne peut être utilisée pour déduire les valeurs de calcul en prenant en</w:t>
            </w:r>
            <w:r w:rsidR="009C0081">
              <w:rPr>
                <w:rFonts w:ascii="Calibri" w:hAnsi="Calibri" w:cs="Calibri"/>
                <w:color w:val="000000"/>
                <w:sz w:val="24"/>
                <w:szCs w:val="24"/>
              </w:rPr>
              <w:t xml:space="preserve"> </w:t>
            </w:r>
            <w:r w:rsidRPr="006E0830">
              <w:rPr>
                <w:rFonts w:ascii="Calibri" w:hAnsi="Calibri" w:cs="Calibri"/>
                <w:color w:val="000000"/>
                <w:sz w:val="24"/>
                <w:szCs w:val="24"/>
              </w:rPr>
              <w:t>compte les facteurs définis dans l'EN 1997-1 (Eurocode 7), par exemple les facteurs de sécurité. Il</w:t>
            </w:r>
            <w:r w:rsidR="009C0081">
              <w:rPr>
                <w:rFonts w:ascii="Calibri" w:hAnsi="Calibri" w:cs="Calibri"/>
                <w:color w:val="000000"/>
                <w:sz w:val="24"/>
                <w:szCs w:val="24"/>
              </w:rPr>
              <w:t xml:space="preserve"> </w:t>
            </w:r>
            <w:r w:rsidRPr="006E0830">
              <w:rPr>
                <w:rFonts w:ascii="Calibri" w:hAnsi="Calibri" w:cs="Calibri"/>
                <w:color w:val="000000"/>
                <w:sz w:val="24"/>
                <w:szCs w:val="24"/>
              </w:rPr>
              <w:t>convient de déterminer la durée de vie prévue du produit, puisque sa fonction peut être provisoire,</w:t>
            </w:r>
            <w:r w:rsidRPr="006E0830">
              <w:rPr>
                <w:rFonts w:ascii="Calibri" w:hAnsi="Calibri" w:cs="Calibri"/>
                <w:color w:val="000000"/>
                <w:sz w:val="24"/>
                <w:szCs w:val="24"/>
              </w:rPr>
              <w:br/>
              <w:t>pour des besoins de construction, ou permanente, pour la durée de vie de la structure.</w:t>
            </w:r>
          </w:p>
        </w:tc>
      </w:tr>
    </w:tbl>
    <w:p w:rsidR="004130CC" w:rsidRDefault="004130CC" w:rsidP="004130CC">
      <w:pPr>
        <w:pStyle w:val="Titre4"/>
        <w:ind w:left="1418"/>
        <w:rPr>
          <w:rFonts w:cstheme="minorHAnsi"/>
          <w:b/>
          <w:bCs w:val="0"/>
          <w:iCs w:val="0"/>
          <w:color w:val="auto"/>
          <w:szCs w:val="24"/>
          <w:u w:val="single"/>
        </w:rPr>
      </w:pPr>
      <w:bookmarkStart w:id="47" w:name="_Toc458606103"/>
    </w:p>
    <w:p w:rsidR="00904E52" w:rsidRPr="0043547B" w:rsidRDefault="00904E52" w:rsidP="00F26621">
      <w:pPr>
        <w:pStyle w:val="Titre4"/>
        <w:numPr>
          <w:ilvl w:val="2"/>
          <w:numId w:val="2"/>
        </w:numPr>
        <w:ind w:left="1418" w:hanging="579"/>
        <w:rPr>
          <w:rFonts w:cstheme="minorHAnsi"/>
          <w:b/>
          <w:bCs w:val="0"/>
          <w:iCs w:val="0"/>
          <w:color w:val="auto"/>
          <w:szCs w:val="24"/>
          <w:u w:val="single"/>
        </w:rPr>
      </w:pPr>
      <w:r w:rsidRPr="0043547B">
        <w:rPr>
          <w:rFonts w:cstheme="minorHAnsi"/>
          <w:b/>
          <w:bCs w:val="0"/>
          <w:iCs w:val="0"/>
          <w:color w:val="auto"/>
          <w:szCs w:val="24"/>
          <w:u w:val="single"/>
        </w:rPr>
        <w:t>Travaux géotechniques</w:t>
      </w:r>
      <w:bookmarkEnd w:id="47"/>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8"/>
        <w:gridCol w:w="7938"/>
      </w:tblGrid>
      <w:tr w:rsidR="0043547B" w:rsidRPr="0043547B" w:rsidTr="004D4DBB">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14688-1</w:t>
            </w:r>
          </w:p>
        </w:tc>
      </w:tr>
      <w:tr w:rsidR="0043547B" w:rsidRPr="0043547B" w:rsidTr="004D4DBB">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14688-1</w:t>
            </w:r>
          </w:p>
        </w:tc>
      </w:tr>
      <w:tr w:rsidR="0043547B" w:rsidRPr="0043547B" w:rsidTr="004D4DBB">
        <w:trPr>
          <w:trHeight w:val="49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000000" w:fill="FFFFFF"/>
            <w:vAlign w:val="center"/>
            <w:hideMark/>
          </w:tcPr>
          <w:p w:rsidR="00904E52" w:rsidRPr="0043547B" w:rsidRDefault="00904E52" w:rsidP="004130CC">
            <w:pPr>
              <w:spacing w:after="0" w:line="240" w:lineRule="auto"/>
              <w:jc w:val="highKashida"/>
              <w:rPr>
                <w:rFonts w:eastAsia="Times New Roman" w:cstheme="minorHAnsi"/>
                <w:sz w:val="24"/>
                <w:szCs w:val="24"/>
                <w:lang w:eastAsia="fr-FR"/>
              </w:rPr>
            </w:pPr>
            <w:r w:rsidRPr="0043547B">
              <w:rPr>
                <w:rFonts w:eastAsia="Times New Roman" w:cstheme="minorHAnsi"/>
                <w:sz w:val="24"/>
                <w:szCs w:val="24"/>
                <w:lang w:eastAsia="fr-FR"/>
              </w:rPr>
              <w:t>Reconnaissance</w:t>
            </w:r>
            <w:r w:rsidR="004130CC">
              <w:rPr>
                <w:rFonts w:eastAsia="Times New Roman" w:cstheme="minorHAnsi"/>
                <w:sz w:val="24"/>
                <w:szCs w:val="24"/>
                <w:lang w:eastAsia="fr-FR"/>
              </w:rPr>
              <w:t xml:space="preserve"> </w:t>
            </w:r>
            <w:r w:rsidRPr="0043547B">
              <w:rPr>
                <w:rFonts w:eastAsia="Times New Roman" w:cstheme="minorHAnsi"/>
                <w:sz w:val="24"/>
                <w:szCs w:val="24"/>
                <w:lang w:eastAsia="fr-FR"/>
              </w:rPr>
              <w:t>et essais géotechniques - Dénomination,</w:t>
            </w:r>
            <w:r w:rsidR="004130CC">
              <w:rPr>
                <w:rFonts w:eastAsia="Times New Roman" w:cstheme="minorHAnsi"/>
                <w:sz w:val="24"/>
                <w:szCs w:val="24"/>
                <w:lang w:eastAsia="fr-FR"/>
              </w:rPr>
              <w:t xml:space="preserve"> </w:t>
            </w:r>
            <w:r w:rsidRPr="0043547B">
              <w:rPr>
                <w:rFonts w:eastAsia="Times New Roman" w:cstheme="minorHAnsi"/>
                <w:sz w:val="24"/>
                <w:szCs w:val="24"/>
                <w:lang w:eastAsia="fr-FR"/>
              </w:rPr>
              <w:t xml:space="preserve">description et classification des sols – Partie 1 : Dénomination et description ; </w:t>
            </w:r>
          </w:p>
        </w:tc>
      </w:tr>
      <w:tr w:rsidR="0043547B" w:rsidRPr="0043547B" w:rsidTr="004D4DBB">
        <w:trPr>
          <w:trHeight w:val="2291"/>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000000" w:fill="FFFFFF"/>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conjointement avec l'ISO 14688-2, établit les principes fondamentaux de dénomination, de description et de classification des sols, sur la base des caractéristiques du terrain et de ses composants les plus couramment utilisées par l'ingénierie géotechnique. Les caractéristiques concernées pouvant varier selon les projets ou matériaux, des subdivisions plus détaillées pour leur dénomination, leur description et leur classification peuvent être indiquées.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est applicable aux sols naturels en place, aux matériaux artificiels similaires aux sols en place, et aux sols mis en remblai.</w:t>
            </w:r>
          </w:p>
        </w:tc>
      </w:tr>
      <w:tr w:rsidR="0043547B" w:rsidRPr="0043547B" w:rsidTr="003F6403">
        <w:trPr>
          <w:trHeight w:val="344"/>
          <w:jc w:val="center"/>
        </w:trPr>
        <w:tc>
          <w:tcPr>
            <w:tcW w:w="1838" w:type="dxa"/>
            <w:tcBorders>
              <w:top w:val="nil"/>
              <w:left w:val="single" w:sz="18" w:space="0" w:color="auto"/>
              <w:bottom w:val="single" w:sz="18" w:space="0" w:color="auto"/>
              <w:right w:val="single" w:sz="4" w:space="0" w:color="auto"/>
            </w:tcBorders>
            <w:shd w:val="clear" w:color="auto" w:fill="D6E3BC" w:themeFill="accent3" w:themeFillTint="66"/>
            <w:vAlign w:val="center"/>
          </w:tcPr>
          <w:p w:rsidR="00D84603" w:rsidRPr="0043547B" w:rsidRDefault="00D84603" w:rsidP="003F6403">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left w:val="single" w:sz="4" w:space="0" w:color="auto"/>
              <w:bottom w:val="single" w:sz="18" w:space="0" w:color="auto"/>
              <w:right w:val="single" w:sz="18" w:space="0" w:color="auto"/>
            </w:tcBorders>
            <w:shd w:val="clear" w:color="auto" w:fill="D6E3BC" w:themeFill="accent3" w:themeFillTint="66"/>
          </w:tcPr>
          <w:p w:rsidR="00D84603" w:rsidRPr="0043547B" w:rsidRDefault="00D84603" w:rsidP="009442B8">
            <w:pPr>
              <w:spacing w:after="0" w:line="240" w:lineRule="auto"/>
              <w:jc w:val="center"/>
              <w:rPr>
                <w:rFonts w:cstheme="minorHAnsi"/>
                <w:b/>
                <w:bCs/>
                <w:sz w:val="24"/>
                <w:szCs w:val="24"/>
              </w:rPr>
            </w:pPr>
            <w:r w:rsidRPr="0043547B">
              <w:rPr>
                <w:rFonts w:cstheme="minorHAnsi"/>
                <w:b/>
                <w:bCs/>
                <w:sz w:val="24"/>
                <w:szCs w:val="24"/>
              </w:rPr>
              <w:t>NM 13.1.174</w:t>
            </w:r>
          </w:p>
        </w:tc>
      </w:tr>
      <w:tr w:rsidR="0043547B" w:rsidRPr="0043547B" w:rsidTr="003F6403">
        <w:trPr>
          <w:trHeight w:val="512"/>
          <w:jc w:val="center"/>
        </w:trPr>
        <w:tc>
          <w:tcPr>
            <w:tcW w:w="1838" w:type="dxa"/>
            <w:tcBorders>
              <w:top w:val="single" w:sz="18" w:space="0" w:color="auto"/>
              <w:left w:val="single" w:sz="18" w:space="0" w:color="auto"/>
              <w:bottom w:val="single" w:sz="4" w:space="0" w:color="auto"/>
              <w:right w:val="single" w:sz="4" w:space="0" w:color="auto"/>
            </w:tcBorders>
            <w:shd w:val="clear" w:color="auto" w:fill="95B3D7" w:themeFill="accent1" w:themeFillTint="99"/>
            <w:vAlign w:val="center"/>
          </w:tcPr>
          <w:p w:rsidR="00D84603" w:rsidRPr="0043547B" w:rsidRDefault="00D84603" w:rsidP="009442B8">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000000" w:fill="FFFFFF"/>
          </w:tcPr>
          <w:p w:rsidR="00D84603" w:rsidRPr="0043547B" w:rsidRDefault="00D84603" w:rsidP="009442B8">
            <w:pPr>
              <w:spacing w:after="0" w:line="240" w:lineRule="auto"/>
              <w:rPr>
                <w:rFonts w:cstheme="minorHAnsi"/>
                <w:sz w:val="24"/>
                <w:szCs w:val="24"/>
              </w:rPr>
            </w:pPr>
            <w:r w:rsidRPr="0043547B">
              <w:rPr>
                <w:rFonts w:cstheme="minorHAnsi"/>
                <w:sz w:val="24"/>
                <w:szCs w:val="24"/>
              </w:rPr>
              <w:t>Exécution des travaux géotechniques spéciaux - Ouvrages en gabions en grillage métallique à maille hexagonale double torsion - Ouvrages hors site aquatique ;</w:t>
            </w:r>
          </w:p>
        </w:tc>
      </w:tr>
      <w:tr w:rsidR="0043547B" w:rsidRPr="0043547B" w:rsidTr="003F6403">
        <w:trPr>
          <w:trHeight w:val="23"/>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D84603" w:rsidRPr="0043547B" w:rsidRDefault="00D84603" w:rsidP="009442B8">
            <w:pPr>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000000" w:fill="FFFFFF"/>
          </w:tcPr>
          <w:p w:rsidR="003F6403" w:rsidRDefault="00D84603" w:rsidP="003F6403">
            <w:pPr>
              <w:spacing w:after="0" w:line="240" w:lineRule="auto"/>
              <w:jc w:val="both"/>
              <w:rPr>
                <w:rFonts w:cstheme="minorHAnsi"/>
                <w:sz w:val="24"/>
                <w:szCs w:val="24"/>
              </w:rPr>
            </w:pPr>
            <w:r w:rsidRPr="0043547B">
              <w:rPr>
                <w:rFonts w:cstheme="minorHAnsi"/>
                <w:sz w:val="24"/>
                <w:szCs w:val="24"/>
              </w:rPr>
              <w:t>1.1 La présente norme donne les prescriptions, les recommandations et des informations concernant l’exécution des gabions en grillage métallique à maille hexagonale double torsion et la réalisation des ouvrages à partir de ces produits. Elle traite en particulier des cages de gabion, des éléments de structures utilisés pour leur assemblage tels que les fils de ligature, les tirants et les agrafes, des matériaux de remplissage des cages de gabion ainsi que des aspects pratiques devant être pris en compte lors de la réalisation des travaux.</w:t>
            </w:r>
          </w:p>
          <w:p w:rsidR="00D84603" w:rsidRPr="0043547B" w:rsidRDefault="00D84603" w:rsidP="003F6403">
            <w:pPr>
              <w:spacing w:after="0" w:line="240" w:lineRule="auto"/>
              <w:jc w:val="both"/>
              <w:rPr>
                <w:rFonts w:cstheme="minorHAnsi"/>
                <w:sz w:val="24"/>
                <w:szCs w:val="24"/>
              </w:rPr>
            </w:pPr>
            <w:r w:rsidRPr="0043547B">
              <w:rPr>
                <w:rFonts w:cstheme="minorHAnsi"/>
                <w:sz w:val="24"/>
                <w:szCs w:val="24"/>
              </w:rPr>
              <w:t>1.2 Elle s’applique aux ouvrages en gabions réalisés hors site aquatique, qu’il s’agisse d’ouvrages de soutènement, d’ouvrages de protection de talus ou d’écrans phoniques (voir figure 1). Elle s’applique également aux habillages de parements en béton ou en palplanches.</w:t>
            </w:r>
          </w:p>
        </w:tc>
      </w:tr>
      <w:tr w:rsidR="0043547B" w:rsidRPr="0043547B" w:rsidTr="003F6403">
        <w:trPr>
          <w:trHeight w:val="356"/>
          <w:jc w:val="center"/>
        </w:trPr>
        <w:tc>
          <w:tcPr>
            <w:tcW w:w="1838" w:type="dxa"/>
            <w:tcBorders>
              <w:top w:val="nil"/>
              <w:left w:val="single" w:sz="18" w:space="0" w:color="auto"/>
              <w:bottom w:val="single" w:sz="18" w:space="0" w:color="auto"/>
              <w:right w:val="single" w:sz="4" w:space="0" w:color="auto"/>
            </w:tcBorders>
            <w:shd w:val="clear" w:color="auto" w:fill="D6E3BC" w:themeFill="accent3" w:themeFillTint="66"/>
            <w:vAlign w:val="center"/>
          </w:tcPr>
          <w:p w:rsidR="00D84603" w:rsidRPr="0043547B" w:rsidRDefault="00D84603" w:rsidP="003F6403">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left w:val="single" w:sz="4" w:space="0" w:color="auto"/>
              <w:bottom w:val="single" w:sz="18" w:space="0" w:color="auto"/>
              <w:right w:val="single" w:sz="18" w:space="0" w:color="auto"/>
            </w:tcBorders>
            <w:shd w:val="clear" w:color="auto" w:fill="D6E3BC" w:themeFill="accent3" w:themeFillTint="66"/>
          </w:tcPr>
          <w:p w:rsidR="00D84603" w:rsidRPr="0043547B" w:rsidRDefault="00D84603" w:rsidP="009442B8">
            <w:pPr>
              <w:spacing w:after="0" w:line="240" w:lineRule="auto"/>
              <w:jc w:val="center"/>
              <w:rPr>
                <w:rFonts w:cstheme="minorHAnsi"/>
                <w:b/>
                <w:bCs/>
                <w:sz w:val="24"/>
                <w:szCs w:val="24"/>
              </w:rPr>
            </w:pPr>
            <w:r w:rsidRPr="0043547B">
              <w:rPr>
                <w:rFonts w:cstheme="minorHAnsi"/>
                <w:b/>
                <w:bCs/>
                <w:sz w:val="24"/>
                <w:szCs w:val="24"/>
              </w:rPr>
              <w:t>NM 13.1.175</w:t>
            </w:r>
          </w:p>
        </w:tc>
      </w:tr>
      <w:tr w:rsidR="0043547B" w:rsidRPr="0043547B" w:rsidTr="003F6403">
        <w:trPr>
          <w:trHeight w:val="656"/>
          <w:jc w:val="center"/>
        </w:trPr>
        <w:tc>
          <w:tcPr>
            <w:tcW w:w="1838" w:type="dxa"/>
            <w:tcBorders>
              <w:top w:val="single" w:sz="18" w:space="0" w:color="auto"/>
              <w:left w:val="single" w:sz="18" w:space="0" w:color="auto"/>
              <w:bottom w:val="single" w:sz="4" w:space="0" w:color="auto"/>
              <w:right w:val="single" w:sz="4" w:space="0" w:color="auto"/>
            </w:tcBorders>
            <w:shd w:val="clear" w:color="auto" w:fill="95B3D7" w:themeFill="accent1" w:themeFillTint="99"/>
            <w:vAlign w:val="center"/>
          </w:tcPr>
          <w:p w:rsidR="00D84603" w:rsidRPr="0043547B" w:rsidRDefault="00D84603" w:rsidP="009442B8">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000000" w:fill="FFFFFF"/>
          </w:tcPr>
          <w:p w:rsidR="00D84603" w:rsidRPr="0043547B" w:rsidRDefault="00D84603" w:rsidP="009442B8">
            <w:pPr>
              <w:spacing w:after="0" w:line="240" w:lineRule="auto"/>
              <w:rPr>
                <w:rFonts w:cstheme="minorHAnsi"/>
                <w:sz w:val="24"/>
                <w:szCs w:val="24"/>
              </w:rPr>
            </w:pPr>
            <w:r w:rsidRPr="0043547B">
              <w:rPr>
                <w:rFonts w:cstheme="minorHAnsi"/>
                <w:sz w:val="24"/>
                <w:szCs w:val="24"/>
              </w:rPr>
              <w:t>Exécution des travaux géotechniques spéciaux - Ouvrages en gabions en grillage métallique à maille hexagonale double torsion - Ouvrages en site aquatique ;</w:t>
            </w:r>
          </w:p>
        </w:tc>
      </w:tr>
      <w:tr w:rsidR="0043547B" w:rsidRPr="0043547B" w:rsidTr="003F6403">
        <w:trPr>
          <w:trHeight w:val="1800"/>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D84603" w:rsidRPr="0043547B" w:rsidRDefault="00D84603" w:rsidP="009442B8">
            <w:pPr>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000000" w:fill="FFFFFF"/>
          </w:tcPr>
          <w:p w:rsidR="003F6403" w:rsidRDefault="00D84603" w:rsidP="003F6403">
            <w:pPr>
              <w:spacing w:after="0" w:line="240" w:lineRule="auto"/>
              <w:jc w:val="both"/>
              <w:rPr>
                <w:rFonts w:cstheme="minorHAnsi"/>
                <w:sz w:val="24"/>
                <w:szCs w:val="24"/>
              </w:rPr>
            </w:pPr>
            <w:r w:rsidRPr="0043547B">
              <w:rPr>
                <w:rFonts w:cstheme="minorHAnsi"/>
                <w:sz w:val="24"/>
                <w:szCs w:val="24"/>
              </w:rPr>
              <w:t>1.1 La présente norme donne les prescriptions, les recommandations et des informations concernant l’exécution de différents types de gabions (gabions boîtes, gabions-matelas, gabions plats, gabions-sac…)</w:t>
            </w:r>
            <w:r w:rsidR="003F6403">
              <w:rPr>
                <w:rFonts w:cstheme="minorHAnsi"/>
                <w:sz w:val="24"/>
                <w:szCs w:val="24"/>
              </w:rPr>
              <w:t xml:space="preserve"> </w:t>
            </w:r>
            <w:r w:rsidRPr="0043547B">
              <w:rPr>
                <w:rFonts w:cstheme="minorHAnsi"/>
                <w:sz w:val="24"/>
                <w:szCs w:val="24"/>
              </w:rPr>
              <w:t>en grillage métallique à maille hexagonale double torsion, et la réalisation des ouvrages en site aquatique à partir de ces produits. Elle traite en particulier des cages de gabion, des éléments de structures utilisés pour leur assemblage tels que les fils de ligature, les tirants, les entretoises et les agrafes, des matériaux de remplissage des cages, ainsi que des aspects pratiques devant être pris en compte lors de la réalisation des travaux.</w:t>
            </w:r>
          </w:p>
          <w:p w:rsidR="003F6403" w:rsidRDefault="00D84603" w:rsidP="003F6403">
            <w:pPr>
              <w:spacing w:after="0" w:line="240" w:lineRule="auto"/>
              <w:jc w:val="both"/>
              <w:rPr>
                <w:rFonts w:cstheme="minorHAnsi"/>
                <w:sz w:val="24"/>
                <w:szCs w:val="24"/>
              </w:rPr>
            </w:pPr>
            <w:r w:rsidRPr="0043547B">
              <w:rPr>
                <w:rFonts w:cstheme="minorHAnsi"/>
                <w:sz w:val="24"/>
                <w:szCs w:val="24"/>
              </w:rPr>
              <w:t>1.2 Elle s’applique aux ouvrages situés en site aquatique maritime protégé (zone portuaire ou à l’abri de digue) ou en site aquatique terrestre (lac, rivière, zone inondable...), que les travaux soient réalisés en conditions immergées ou à sec, et que les ouvrages soient soumis ou non durant leur durée de vie à des courants hydrauliques, à du batillage ou à du marnage.</w:t>
            </w:r>
          </w:p>
          <w:p w:rsidR="003F6403" w:rsidRDefault="00D84603" w:rsidP="003F6403">
            <w:pPr>
              <w:spacing w:after="0" w:line="240" w:lineRule="auto"/>
              <w:jc w:val="both"/>
              <w:rPr>
                <w:rFonts w:cstheme="minorHAnsi"/>
                <w:i/>
                <w:iCs/>
              </w:rPr>
            </w:pPr>
            <w:r w:rsidRPr="003F6403">
              <w:rPr>
                <w:rFonts w:cstheme="minorHAnsi"/>
                <w:b/>
                <w:bCs/>
                <w:i/>
                <w:iCs/>
              </w:rPr>
              <w:t>NOTE</w:t>
            </w:r>
            <w:r w:rsidR="003F6403" w:rsidRPr="003F6403">
              <w:rPr>
                <w:rFonts w:cstheme="minorHAnsi"/>
                <w:b/>
                <w:bCs/>
                <w:i/>
                <w:iCs/>
              </w:rPr>
              <w:t> </w:t>
            </w:r>
            <w:r w:rsidR="003F6403" w:rsidRPr="003F6403">
              <w:rPr>
                <w:rFonts w:cstheme="minorHAnsi"/>
                <w:i/>
                <w:iCs/>
              </w:rPr>
              <w:t>:</w:t>
            </w:r>
            <w:r w:rsidR="009442B8" w:rsidRPr="003F6403">
              <w:rPr>
                <w:rFonts w:cstheme="minorHAnsi"/>
                <w:i/>
                <w:iCs/>
              </w:rPr>
              <w:t xml:space="preserve"> </w:t>
            </w:r>
            <w:r w:rsidRPr="003F6403">
              <w:rPr>
                <w:rFonts w:cstheme="minorHAnsi"/>
                <w:i/>
                <w:iCs/>
              </w:rPr>
              <w:t xml:space="preserve">Il peut s’agir d’ouvrages de protection superficielle de berges (rivières, canaux, lacs, digues,…), d’ouvrages de soutènement ou de confortement de berges, d’ouvrages de protection de talus amont de barrage (perrés), d’ouvrages parafouilles (protection d’appuis en rivière, de culées sur berge, d’ouvrages de génie civil en milieu hydraulique,...), d’ouvrages hydrauliques divers (seuils transversaux, déversoirs en </w:t>
            </w:r>
            <w:r w:rsidRPr="003F6403">
              <w:rPr>
                <w:rFonts w:cstheme="minorHAnsi"/>
                <w:i/>
                <w:iCs/>
              </w:rPr>
              <w:lastRenderedPageBreak/>
              <w:t>gradins ou inclinés,…). La Figure 1 donne des exemples d’ouvrages en gabions en site aquatique relevant du domaine d’application de cette norme.</w:t>
            </w:r>
          </w:p>
          <w:p w:rsidR="003F6403" w:rsidRDefault="00D84603" w:rsidP="003F6403">
            <w:pPr>
              <w:spacing w:after="0" w:line="240" w:lineRule="auto"/>
              <w:jc w:val="both"/>
              <w:rPr>
                <w:rFonts w:cstheme="minorHAnsi"/>
                <w:sz w:val="24"/>
                <w:szCs w:val="24"/>
              </w:rPr>
            </w:pPr>
            <w:r w:rsidRPr="0043547B">
              <w:rPr>
                <w:rFonts w:cstheme="minorHAnsi"/>
                <w:sz w:val="24"/>
                <w:szCs w:val="24"/>
              </w:rPr>
              <w:t>1.3 Le présent document s’applique essentiellement aux projets relevant des catégories géotechniques 1 et 2 (voir NF EN 1997-1/NA), c’est à dire aux ouvrages courants qui ne présentent pas de risque exceptionnel ou des conditions de terrain ou de chargement difficile.</w:t>
            </w:r>
          </w:p>
          <w:p w:rsidR="00D84603" w:rsidRPr="003F6403" w:rsidRDefault="00D84603" w:rsidP="003F6403">
            <w:pPr>
              <w:spacing w:after="0" w:line="240" w:lineRule="auto"/>
              <w:jc w:val="both"/>
              <w:rPr>
                <w:rFonts w:cstheme="minorHAnsi"/>
                <w:i/>
                <w:iCs/>
                <w:sz w:val="24"/>
                <w:szCs w:val="24"/>
              </w:rPr>
            </w:pPr>
            <w:r w:rsidRPr="003F6403">
              <w:rPr>
                <w:rFonts w:cstheme="minorHAnsi"/>
                <w:b/>
                <w:bCs/>
                <w:i/>
                <w:iCs/>
              </w:rPr>
              <w:t>NOTE 1</w:t>
            </w:r>
            <w:r w:rsidR="003F6403" w:rsidRPr="003F6403">
              <w:rPr>
                <w:rFonts w:cstheme="minorHAnsi"/>
                <w:i/>
                <w:iCs/>
              </w:rPr>
              <w:t xml:space="preserve"> : </w:t>
            </w:r>
            <w:r w:rsidRPr="003F6403">
              <w:rPr>
                <w:rFonts w:cstheme="minorHAnsi"/>
                <w:i/>
                <w:iCs/>
              </w:rPr>
              <w:t>En règle générale, la catégorie géotechnique d’un ouvrage est fixée par le maître d’ouvrage ou son représentant avant le début de l’étude de projet, et, le cas échéant, est précisée au fur et à mesure de l’avancement des études.</w:t>
            </w:r>
            <w:r w:rsidRPr="003F6403">
              <w:rPr>
                <w:rFonts w:cstheme="minorHAnsi"/>
                <w:i/>
                <w:iCs/>
              </w:rPr>
              <w:br/>
            </w:r>
            <w:r w:rsidRPr="003F6403">
              <w:rPr>
                <w:rFonts w:cstheme="minorHAnsi"/>
                <w:b/>
                <w:bCs/>
                <w:i/>
                <w:iCs/>
              </w:rPr>
              <w:t>NOTE 2</w:t>
            </w:r>
            <w:r w:rsidR="003F6403" w:rsidRPr="003F6403">
              <w:rPr>
                <w:rFonts w:cstheme="minorHAnsi"/>
                <w:i/>
                <w:iCs/>
              </w:rPr>
              <w:t> :</w:t>
            </w:r>
            <w:r w:rsidRPr="003F6403">
              <w:rPr>
                <w:rFonts w:cstheme="minorHAnsi"/>
                <w:i/>
                <w:iCs/>
              </w:rPr>
              <w:t xml:space="preserve"> Les spécifications du présent document peuvent être appliquées aux ouvrages de catégorie géotechnique 3, mais il importe dans ce cas de vérifier leur pertinence et si besoin de les adapter ou de les compléter.</w:t>
            </w:r>
          </w:p>
        </w:tc>
      </w:tr>
      <w:tr w:rsidR="0043547B" w:rsidRPr="0043547B" w:rsidTr="004D4DBB">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13.1.125</w:t>
            </w:r>
          </w:p>
        </w:tc>
      </w:tr>
      <w:tr w:rsidR="0043547B" w:rsidRPr="0043547B" w:rsidTr="004D4DBB">
        <w:trPr>
          <w:trHeight w:val="73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000000" w:fill="FFFFFF"/>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Sols - Reconnaissance et essais – Contrôle de la qualité du compactage - Méthode au pénétromètre dynamique à énergie constante - Principe et méthode d'étalonnage des pénétrodensitographes - Exploitation des résultats - Interprétation ;</w:t>
            </w:r>
          </w:p>
        </w:tc>
      </w:tr>
      <w:tr w:rsidR="0043547B" w:rsidRPr="0043547B" w:rsidTr="004D4DBB">
        <w:trPr>
          <w:trHeight w:val="276"/>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000000" w:fill="FFFFFF"/>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concerne les pénétromètres dynamiques fonctionnant à énergie constante pendant l'exécution du sondage, et équipés d'un dispositif de mesure permettant la représentation de l'enfoncement de la pointe par choc élémentaire, en fonction de la profondeur. Ces appareils sont appelés pénétrodensitographes.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Il s'applique au contrôle du compactage de remblais courants et à celui des remblais de fouilles et de tranchées. La méthode permet d'utiliser les pénétromètres dynamiques dans l'une ou plusieurs des fonctions suivantes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évaluer les épaisseurs de couche (fonction A) ;</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vérifier que l'objectif de densification visé est atteint (fonction B).</w:t>
            </w:r>
          </w:p>
          <w:p w:rsidR="003F6403" w:rsidRPr="0043547B" w:rsidRDefault="00904E52" w:rsidP="003F6403">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vérifier que le compactage est conforme à celui réalisé sur une planche de référence (fonction C).</w:t>
            </w:r>
          </w:p>
        </w:tc>
      </w:tr>
      <w:tr w:rsidR="0043547B" w:rsidRPr="0043547B" w:rsidTr="004D4DBB">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13.1.126</w:t>
            </w:r>
          </w:p>
        </w:tc>
      </w:tr>
      <w:tr w:rsidR="0043547B" w:rsidRPr="0043547B" w:rsidTr="004D4DBB">
        <w:trPr>
          <w:trHeight w:val="49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right w:val="single" w:sz="18" w:space="0" w:color="auto"/>
            </w:tcBorders>
            <w:shd w:val="clear" w:color="000000" w:fill="FFFFFF"/>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Sols - Reconnaissance et essais - Sol traité au liant hydraulique, éventuellement associé à la chaux, pour utilisation en couche de forme - Définition - Composition – Classification ;</w:t>
            </w:r>
          </w:p>
        </w:tc>
      </w:tr>
      <w:tr w:rsidR="0043547B" w:rsidRPr="0043547B" w:rsidTr="004D4DBB">
        <w:trPr>
          <w:trHeight w:val="1414"/>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000000" w:fill="FFFFFF"/>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 présent document définit les sols traités avec un liant hydraulique, associé ou non avec de la chaux aérienne, utilisables pour la réalisation de couches de forme.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Il précise les constituants pouvant entrer dans leur composition et les caractéristiques à respecter pour leur mise en œuvre.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Il s'applique en premier lieu au domaine de la construction routière mais peut être étendu à celui de la construction d'autres infrastructures (aéroportuaires, plates-formes industrielles ou commerciales,...).</w:t>
            </w:r>
          </w:p>
        </w:tc>
      </w:tr>
      <w:tr w:rsidR="0043547B" w:rsidRPr="0043547B" w:rsidTr="004D4DBB">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14688-2</w:t>
            </w:r>
          </w:p>
        </w:tc>
      </w:tr>
      <w:tr w:rsidR="0043547B" w:rsidRPr="0043547B" w:rsidTr="004D4DBB">
        <w:trPr>
          <w:trHeight w:val="127"/>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14688-2</w:t>
            </w:r>
          </w:p>
        </w:tc>
      </w:tr>
      <w:tr w:rsidR="0043547B" w:rsidRPr="0043547B" w:rsidTr="004D4DBB">
        <w:trPr>
          <w:trHeight w:val="33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000000" w:fill="FFFFFF"/>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Reconnaissance et essais géotechniques – Dénomination, description et classification des sols – Partie 2 : Principes pour une classification ;</w:t>
            </w:r>
          </w:p>
        </w:tc>
      </w:tr>
      <w:tr w:rsidR="0043547B" w:rsidRPr="0043547B" w:rsidTr="004D4DBB">
        <w:trPr>
          <w:trHeight w:val="1942"/>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Domaine d’application :</w:t>
            </w:r>
          </w:p>
        </w:tc>
        <w:tc>
          <w:tcPr>
            <w:tcW w:w="7938" w:type="dxa"/>
            <w:tcBorders>
              <w:left w:val="single" w:sz="4" w:space="0" w:color="auto"/>
              <w:bottom w:val="single" w:sz="18" w:space="0" w:color="auto"/>
              <w:right w:val="single" w:sz="18" w:space="0" w:color="auto"/>
            </w:tcBorders>
            <w:shd w:val="clear" w:color="000000" w:fill="FFFFFF"/>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conjointement avec l'ISO 14688-1, établit les principes fondamentaux de dénomination, de description et de classification des sols, sur la base des caractéristiques des constituants et de leur masse les plus couramment utilisées pour sols dans les projets d'ingénierie. Les caractéristiques utiles pouvant varier, et ainsi selon les projets ou matériaux, des subdivisions plus détaillées des termes descriptifs et de classification peuvent s’avérer plus appropriées.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dénomination et la description des sols sont traitées dans l'ISO 14688-1.</w:t>
            </w:r>
          </w:p>
        </w:tc>
      </w:tr>
      <w:tr w:rsidR="000963BC" w:rsidRPr="0043547B" w:rsidTr="0042323C">
        <w:trPr>
          <w:trHeight w:val="336"/>
          <w:jc w:val="center"/>
        </w:trPr>
        <w:tc>
          <w:tcPr>
            <w:tcW w:w="1838" w:type="dxa"/>
            <w:tcBorders>
              <w:top w:val="nil"/>
              <w:left w:val="single" w:sz="18" w:space="0" w:color="auto"/>
              <w:bottom w:val="single" w:sz="18" w:space="0" w:color="auto"/>
              <w:right w:val="single" w:sz="4" w:space="0" w:color="auto"/>
            </w:tcBorders>
            <w:shd w:val="clear" w:color="auto" w:fill="9BBB59" w:themeFill="accent3"/>
            <w:vAlign w:val="center"/>
          </w:tcPr>
          <w:p w:rsidR="000963BC" w:rsidRDefault="000963BC" w:rsidP="004130CC">
            <w:pPr>
              <w:spacing w:after="0"/>
              <w:jc w:val="center"/>
              <w:rPr>
                <w:rFonts w:ascii="Calibri" w:hAnsi="Calibri" w:cs="Calibri"/>
                <w:b/>
                <w:bCs/>
                <w:color w:val="000000"/>
              </w:rPr>
            </w:pPr>
            <w:r w:rsidRPr="00617F09">
              <w:rPr>
                <w:rFonts w:cstheme="minorHAnsi"/>
                <w:b/>
                <w:bCs/>
                <w:sz w:val="24"/>
                <w:szCs w:val="24"/>
              </w:rPr>
              <w:t>Code :</w:t>
            </w:r>
          </w:p>
        </w:tc>
        <w:tc>
          <w:tcPr>
            <w:tcW w:w="7938" w:type="dxa"/>
            <w:tcBorders>
              <w:left w:val="single" w:sz="4" w:space="0" w:color="auto"/>
              <w:bottom w:val="single" w:sz="18" w:space="0" w:color="auto"/>
              <w:right w:val="single" w:sz="18" w:space="0" w:color="auto"/>
            </w:tcBorders>
            <w:shd w:val="clear" w:color="auto" w:fill="9BBB59" w:themeFill="accent3"/>
          </w:tcPr>
          <w:p w:rsidR="000963BC" w:rsidRPr="0042323C" w:rsidRDefault="000963BC" w:rsidP="00617F09">
            <w:pPr>
              <w:spacing w:after="0" w:line="240" w:lineRule="auto"/>
              <w:jc w:val="center"/>
              <w:rPr>
                <w:rFonts w:ascii="Calibri" w:hAnsi="Calibri" w:cs="Calibri"/>
                <w:sz w:val="18"/>
                <w:szCs w:val="18"/>
              </w:rPr>
            </w:pPr>
            <w:r w:rsidRPr="00617F09">
              <w:rPr>
                <w:rFonts w:eastAsia="Times New Roman" w:cstheme="minorHAnsi"/>
                <w:b/>
                <w:bCs/>
                <w:sz w:val="24"/>
                <w:szCs w:val="24"/>
                <w:lang w:eastAsia="fr-FR"/>
              </w:rPr>
              <w:t>NM 13.1.183</w:t>
            </w:r>
          </w:p>
        </w:tc>
      </w:tr>
      <w:tr w:rsidR="000963BC" w:rsidRPr="0043547B" w:rsidTr="00566A17">
        <w:trPr>
          <w:trHeight w:val="358"/>
          <w:jc w:val="center"/>
        </w:trPr>
        <w:tc>
          <w:tcPr>
            <w:tcW w:w="1838" w:type="dxa"/>
            <w:tcBorders>
              <w:top w:val="nil"/>
              <w:left w:val="single" w:sz="18" w:space="0" w:color="auto"/>
              <w:bottom w:val="single" w:sz="18" w:space="0" w:color="auto"/>
              <w:right w:val="single" w:sz="4" w:space="0" w:color="auto"/>
            </w:tcBorders>
            <w:shd w:val="clear" w:color="auto" w:fill="FFFF99"/>
            <w:vAlign w:val="center"/>
          </w:tcPr>
          <w:p w:rsidR="000963BC" w:rsidRPr="00617F09" w:rsidRDefault="000963BC" w:rsidP="00617F09">
            <w:pPr>
              <w:spacing w:after="0"/>
              <w:jc w:val="center"/>
              <w:rPr>
                <w:rFonts w:cstheme="minorHAnsi"/>
                <w:b/>
                <w:bCs/>
                <w:sz w:val="24"/>
                <w:szCs w:val="24"/>
              </w:rPr>
            </w:pPr>
            <w:r w:rsidRPr="00617F09">
              <w:rPr>
                <w:rFonts w:cstheme="minorHAnsi"/>
                <w:b/>
                <w:bCs/>
                <w:sz w:val="24"/>
                <w:szCs w:val="24"/>
              </w:rPr>
              <w:t>Equivalence :</w:t>
            </w:r>
          </w:p>
        </w:tc>
        <w:tc>
          <w:tcPr>
            <w:tcW w:w="7938" w:type="dxa"/>
            <w:tcBorders>
              <w:left w:val="single" w:sz="4" w:space="0" w:color="auto"/>
              <w:bottom w:val="single" w:sz="18" w:space="0" w:color="auto"/>
              <w:right w:val="single" w:sz="18" w:space="0" w:color="auto"/>
            </w:tcBorders>
            <w:shd w:val="clear" w:color="auto" w:fill="FFFF99"/>
            <w:vAlign w:val="bottom"/>
          </w:tcPr>
          <w:p w:rsidR="000963BC" w:rsidRPr="004130CC" w:rsidRDefault="004130CC" w:rsidP="004130CC">
            <w:pPr>
              <w:spacing w:after="0" w:line="240" w:lineRule="auto"/>
              <w:jc w:val="center"/>
              <w:rPr>
                <w:rFonts w:cstheme="minorHAnsi"/>
                <w:color w:val="000000"/>
                <w:sz w:val="24"/>
                <w:szCs w:val="24"/>
              </w:rPr>
            </w:pPr>
            <w:r w:rsidRPr="004130CC">
              <w:rPr>
                <w:rFonts w:cstheme="minorHAnsi"/>
                <w:b/>
                <w:bCs/>
                <w:sz w:val="24"/>
                <w:szCs w:val="24"/>
              </w:rPr>
              <w:t>NF P11-300</w:t>
            </w:r>
          </w:p>
        </w:tc>
      </w:tr>
      <w:tr w:rsidR="000963BC" w:rsidRPr="0043547B" w:rsidTr="00566A17">
        <w:trPr>
          <w:trHeight w:val="508"/>
          <w:jc w:val="center"/>
        </w:trPr>
        <w:tc>
          <w:tcPr>
            <w:tcW w:w="1838" w:type="dxa"/>
            <w:tcBorders>
              <w:top w:val="single" w:sz="18" w:space="0" w:color="auto"/>
              <w:left w:val="single" w:sz="18" w:space="0" w:color="auto"/>
              <w:bottom w:val="single" w:sz="4" w:space="0" w:color="auto"/>
              <w:right w:val="single" w:sz="4" w:space="0" w:color="auto"/>
            </w:tcBorders>
            <w:shd w:val="clear" w:color="auto" w:fill="B8CCE4" w:themeFill="accent1" w:themeFillTint="66"/>
            <w:vAlign w:val="center"/>
          </w:tcPr>
          <w:p w:rsidR="000963BC" w:rsidRPr="00617F09" w:rsidRDefault="000963BC" w:rsidP="00617F09">
            <w:pPr>
              <w:spacing w:after="0"/>
              <w:jc w:val="center"/>
              <w:rPr>
                <w:rFonts w:cstheme="minorHAnsi"/>
                <w:b/>
                <w:bCs/>
                <w:sz w:val="24"/>
                <w:szCs w:val="24"/>
              </w:rPr>
            </w:pPr>
            <w:r w:rsidRPr="00617F09">
              <w:rPr>
                <w:rFonts w:cstheme="minorHAns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tcPr>
          <w:p w:rsidR="000963BC" w:rsidRPr="004130CC" w:rsidRDefault="000963BC" w:rsidP="004130CC">
            <w:pPr>
              <w:spacing w:after="0" w:line="240" w:lineRule="auto"/>
              <w:jc w:val="both"/>
              <w:rPr>
                <w:rFonts w:ascii="Calibri" w:hAnsi="Calibri" w:cs="Calibri"/>
                <w:sz w:val="24"/>
                <w:szCs w:val="24"/>
              </w:rPr>
            </w:pPr>
            <w:r w:rsidRPr="004130CC">
              <w:rPr>
                <w:rFonts w:eastAsia="Times New Roman" w:cstheme="minorHAnsi"/>
                <w:sz w:val="24"/>
                <w:szCs w:val="24"/>
                <w:lang w:eastAsia="fr-FR"/>
              </w:rPr>
              <w:t>Exécution des terrassements - Classification des matériaux utilisables dans la construction des remblais et des couches de forme d'infrastructures routières</w:t>
            </w:r>
            <w:r w:rsidRPr="004130CC">
              <w:rPr>
                <w:rFonts w:ascii="Calibri" w:hAnsi="Calibri" w:cs="Calibri"/>
                <w:sz w:val="24"/>
                <w:szCs w:val="24"/>
              </w:rPr>
              <w:t xml:space="preserve"> </w:t>
            </w:r>
          </w:p>
        </w:tc>
      </w:tr>
      <w:tr w:rsidR="000963BC" w:rsidRPr="0043547B" w:rsidTr="00566A17">
        <w:trPr>
          <w:trHeight w:val="1942"/>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0963BC" w:rsidRDefault="000963BC" w:rsidP="004134A2">
            <w:pPr>
              <w:jc w:val="center"/>
              <w:rPr>
                <w:rFonts w:ascii="Calibri" w:hAnsi="Calibri" w:cs="Calibri"/>
                <w:b/>
                <w:bCs/>
                <w:sz w:val="24"/>
                <w:szCs w:val="24"/>
              </w:rPr>
            </w:pPr>
            <w:r w:rsidRPr="004134A2">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000000" w:fill="FFFFFF"/>
          </w:tcPr>
          <w:p w:rsidR="004130CC" w:rsidRDefault="000963BC" w:rsidP="004130CC">
            <w:pPr>
              <w:spacing w:after="0" w:line="240" w:lineRule="auto"/>
              <w:jc w:val="both"/>
              <w:rPr>
                <w:rFonts w:ascii="Calibri" w:hAnsi="Calibri" w:cs="Calibri"/>
                <w:color w:val="000000"/>
                <w:sz w:val="24"/>
                <w:szCs w:val="24"/>
              </w:rPr>
            </w:pPr>
            <w:r w:rsidRPr="004130CC">
              <w:rPr>
                <w:rFonts w:ascii="Calibri" w:hAnsi="Calibri" w:cs="Calibri"/>
                <w:color w:val="000000"/>
                <w:sz w:val="24"/>
                <w:szCs w:val="24"/>
              </w:rPr>
              <w:t>La présente norme définit une classification des matériaux utilisables dans la construction des remblais et des couches de forme d´infrastructures routières ; cette classification s´appuie sur des critères représentatifs des problèmes posés par la construction et le comportement de ces deux natures d´ouvrages.</w:t>
            </w:r>
            <w:r w:rsidRPr="004130CC">
              <w:rPr>
                <w:rFonts w:ascii="Calibri" w:hAnsi="Calibri" w:cs="Calibri"/>
                <w:color w:val="000000"/>
                <w:sz w:val="24"/>
                <w:szCs w:val="24"/>
              </w:rPr>
              <w:br/>
              <w:t>La classification définie ici constitue la base de la démarche suivie depuis la conception jusqu´à la réalisation de tout projet de remblai ou de couche de forme d´infrastructures routières 1), plus particulièrement aux stades :</w:t>
            </w:r>
          </w:p>
          <w:p w:rsidR="004130CC" w:rsidRDefault="004130CC" w:rsidP="004130CC">
            <w:pPr>
              <w:spacing w:after="0" w:line="240" w:lineRule="auto"/>
              <w:jc w:val="both"/>
              <w:rPr>
                <w:rFonts w:ascii="Calibri" w:hAnsi="Calibri" w:cs="Calibri"/>
                <w:color w:val="000000"/>
                <w:sz w:val="24"/>
                <w:szCs w:val="24"/>
              </w:rPr>
            </w:pPr>
            <w:r>
              <w:rPr>
                <w:rFonts w:ascii="Calibri" w:hAnsi="Calibri" w:cs="Calibri"/>
                <w:color w:val="000000"/>
                <w:sz w:val="24"/>
                <w:szCs w:val="24"/>
              </w:rPr>
              <w:t>-</w:t>
            </w:r>
            <w:r w:rsidR="000963BC" w:rsidRPr="004130CC">
              <w:rPr>
                <w:rFonts w:ascii="Calibri" w:hAnsi="Calibri" w:cs="Calibri"/>
                <w:color w:val="000000"/>
                <w:sz w:val="24"/>
                <w:szCs w:val="24"/>
              </w:rPr>
              <w:t xml:space="preserve"> de la reconnaissance des tracés et des gisements de matériaux,</w:t>
            </w:r>
          </w:p>
          <w:p w:rsidR="004130CC" w:rsidRDefault="004130CC" w:rsidP="004130CC">
            <w:pPr>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0963BC" w:rsidRPr="004130CC">
              <w:rPr>
                <w:rFonts w:ascii="Calibri" w:hAnsi="Calibri" w:cs="Calibri"/>
                <w:color w:val="000000"/>
                <w:sz w:val="24"/>
                <w:szCs w:val="24"/>
              </w:rPr>
              <w:t>de l´établissement du projet : définition des conditions d´utilisation propres aux différentes classes de matériaux rencontrés,</w:t>
            </w:r>
          </w:p>
          <w:p w:rsidR="004130CC" w:rsidRDefault="004130CC" w:rsidP="004130CC">
            <w:pPr>
              <w:spacing w:after="0" w:line="240" w:lineRule="auto"/>
              <w:jc w:val="both"/>
              <w:rPr>
                <w:rFonts w:ascii="Calibri" w:hAnsi="Calibri" w:cs="Calibri"/>
                <w:color w:val="000000"/>
                <w:sz w:val="24"/>
                <w:szCs w:val="24"/>
              </w:rPr>
            </w:pPr>
            <w:r>
              <w:rPr>
                <w:rFonts w:ascii="Calibri" w:hAnsi="Calibri" w:cs="Calibri"/>
                <w:color w:val="000000"/>
                <w:sz w:val="24"/>
                <w:szCs w:val="24"/>
              </w:rPr>
              <w:t>-</w:t>
            </w:r>
            <w:r w:rsidR="000963BC" w:rsidRPr="004130CC">
              <w:rPr>
                <w:rFonts w:ascii="Calibri" w:hAnsi="Calibri" w:cs="Calibri"/>
                <w:color w:val="000000"/>
                <w:sz w:val="24"/>
                <w:szCs w:val="24"/>
              </w:rPr>
              <w:t xml:space="preserve"> du suivi et du contrôle des travaux : vérification du respect des conditions d´utilisation spécifiques à chaque classe de matériaux.</w:t>
            </w:r>
          </w:p>
          <w:p w:rsidR="000963BC" w:rsidRPr="004130CC" w:rsidRDefault="000963BC" w:rsidP="004130CC">
            <w:pPr>
              <w:spacing w:after="0" w:line="240" w:lineRule="auto"/>
              <w:jc w:val="both"/>
              <w:rPr>
                <w:rFonts w:ascii="Calibri" w:hAnsi="Calibri" w:cs="Calibri"/>
                <w:color w:val="000000"/>
                <w:sz w:val="24"/>
                <w:szCs w:val="24"/>
              </w:rPr>
            </w:pPr>
            <w:r w:rsidRPr="004130CC">
              <w:rPr>
                <w:rFonts w:ascii="Calibri" w:hAnsi="Calibri" w:cs="Calibri"/>
                <w:color w:val="000000"/>
                <w:sz w:val="24"/>
                <w:szCs w:val="24"/>
              </w:rPr>
              <w:t>Cette norme est destinée à servir de référence aux documents traitant des conditions d´utilisation des matériaux en remblais et en couches de forme d´infrastructures routières.</w:t>
            </w:r>
          </w:p>
        </w:tc>
      </w:tr>
      <w:tr w:rsidR="0043547B" w:rsidRPr="0043547B" w:rsidTr="004D4DBB">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14689-1</w:t>
            </w:r>
          </w:p>
        </w:tc>
      </w:tr>
      <w:tr w:rsidR="0043547B" w:rsidRPr="0043547B" w:rsidTr="004D4DBB">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14689-1</w:t>
            </w:r>
          </w:p>
        </w:tc>
      </w:tr>
      <w:tr w:rsidR="0043547B" w:rsidRPr="0043547B" w:rsidTr="004D4DBB">
        <w:trPr>
          <w:trHeight w:val="49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left w:val="single" w:sz="4" w:space="0" w:color="auto"/>
              <w:right w:val="single" w:sz="18" w:space="0" w:color="auto"/>
            </w:tcBorders>
            <w:shd w:val="clear" w:color="000000" w:fill="FFFFFF"/>
            <w:vAlign w:val="center"/>
            <w:hideMark/>
          </w:tcPr>
          <w:p w:rsidR="00904E52" w:rsidRPr="0043547B" w:rsidRDefault="00904E52" w:rsidP="003F6403">
            <w:pPr>
              <w:spacing w:after="0" w:line="240" w:lineRule="auto"/>
              <w:rPr>
                <w:rFonts w:eastAsia="Times New Roman" w:cstheme="minorHAnsi"/>
                <w:sz w:val="24"/>
                <w:szCs w:val="24"/>
                <w:lang w:eastAsia="fr-FR"/>
              </w:rPr>
            </w:pPr>
            <w:r w:rsidRPr="0043547B">
              <w:rPr>
                <w:rFonts w:eastAsia="Times New Roman" w:cstheme="minorHAnsi"/>
                <w:sz w:val="24"/>
                <w:szCs w:val="24"/>
                <w:lang w:eastAsia="fr-FR"/>
              </w:rPr>
              <w:t>Reconnaissance et essais géotechniques - Dénomination,</w:t>
            </w:r>
            <w:r w:rsidR="003F6403">
              <w:rPr>
                <w:rFonts w:eastAsia="Times New Roman" w:cstheme="minorHAnsi"/>
                <w:sz w:val="24"/>
                <w:szCs w:val="24"/>
                <w:lang w:eastAsia="fr-FR"/>
              </w:rPr>
              <w:t xml:space="preserve"> </w:t>
            </w:r>
            <w:r w:rsidRPr="0043547B">
              <w:rPr>
                <w:rFonts w:eastAsia="Times New Roman" w:cstheme="minorHAnsi"/>
                <w:sz w:val="24"/>
                <w:szCs w:val="24"/>
                <w:lang w:eastAsia="fr-FR"/>
              </w:rPr>
              <w:t>description et classification des roches - Partie 1 : Dénomination et description ;</w:t>
            </w:r>
          </w:p>
        </w:tc>
      </w:tr>
      <w:tr w:rsidR="0043547B" w:rsidRPr="0043547B" w:rsidTr="004D4DBB">
        <w:trPr>
          <w:trHeight w:val="143"/>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left w:val="single" w:sz="4" w:space="0" w:color="auto"/>
              <w:bottom w:val="single" w:sz="18" w:space="0" w:color="auto"/>
              <w:right w:val="single" w:sz="18" w:space="0" w:color="auto"/>
            </w:tcBorders>
            <w:shd w:val="clear" w:color="000000" w:fill="FFFFFF"/>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traite de la dénomination, la description et la classification du matériau rocheux et du massif rocheux sur la base de la composition minéralogique, des aspects génétiques, de la structure, de la dimension des grains, des discontinuités et d’autres paramètres. Elle fournit également les règles pour la description et la désignation d’autres caractéristiques.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est applicable à la description de la roche pour la géotechnique et l’ingénierie géologique dans le domaine du génie civil. La description s’effectue à partir de carottes et d’autres échantillons de roches naturelles ainsi que sur des massifs rocheux.</w:t>
            </w:r>
          </w:p>
        </w:tc>
      </w:tr>
      <w:tr w:rsidR="0043547B" w:rsidRPr="0043547B" w:rsidTr="003223D1">
        <w:trPr>
          <w:trHeight w:val="58"/>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tcPr>
          <w:p w:rsidR="003C27D6" w:rsidRPr="00D76D9A" w:rsidRDefault="003C27D6" w:rsidP="003F6403">
            <w:pPr>
              <w:spacing w:after="0" w:line="240" w:lineRule="auto"/>
              <w:jc w:val="center"/>
              <w:rPr>
                <w:rFonts w:cstheme="minorHAnsi"/>
                <w:b/>
                <w:bCs/>
                <w:sz w:val="24"/>
                <w:szCs w:val="24"/>
              </w:rPr>
            </w:pPr>
            <w:r w:rsidRPr="00D76D9A">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tcPr>
          <w:p w:rsidR="003C27D6" w:rsidRPr="00D76D9A" w:rsidRDefault="003C27D6" w:rsidP="003F6403">
            <w:pPr>
              <w:spacing w:after="0" w:line="240" w:lineRule="auto"/>
              <w:jc w:val="center"/>
              <w:rPr>
                <w:rFonts w:cstheme="minorHAnsi"/>
                <w:b/>
                <w:bCs/>
                <w:sz w:val="24"/>
                <w:szCs w:val="24"/>
              </w:rPr>
            </w:pPr>
            <w:r w:rsidRPr="00D76D9A">
              <w:rPr>
                <w:rFonts w:cstheme="minorHAnsi"/>
                <w:b/>
                <w:bCs/>
                <w:sz w:val="24"/>
                <w:szCs w:val="24"/>
              </w:rPr>
              <w:t>NM EN 14475</w:t>
            </w:r>
          </w:p>
        </w:tc>
      </w:tr>
      <w:tr w:rsidR="0043547B" w:rsidRPr="0043547B" w:rsidTr="003223D1">
        <w:trPr>
          <w:trHeight w:val="58"/>
          <w:jc w:val="center"/>
        </w:trPr>
        <w:tc>
          <w:tcPr>
            <w:tcW w:w="1838" w:type="dxa"/>
            <w:tcBorders>
              <w:top w:val="single" w:sz="18" w:space="0" w:color="auto"/>
              <w:left w:val="single" w:sz="18" w:space="0" w:color="auto"/>
              <w:bottom w:val="single" w:sz="4" w:space="0" w:color="auto"/>
              <w:right w:val="single" w:sz="4" w:space="0" w:color="auto"/>
            </w:tcBorders>
            <w:shd w:val="clear" w:color="auto" w:fill="FDFBA9"/>
            <w:vAlign w:val="center"/>
          </w:tcPr>
          <w:p w:rsidR="003C27D6" w:rsidRPr="00D76D9A" w:rsidRDefault="003C27D6" w:rsidP="003F6403">
            <w:pPr>
              <w:spacing w:after="0" w:line="240" w:lineRule="auto"/>
              <w:jc w:val="center"/>
              <w:rPr>
                <w:rFonts w:cstheme="minorHAnsi"/>
                <w:b/>
                <w:bCs/>
                <w:sz w:val="24"/>
                <w:szCs w:val="24"/>
              </w:rPr>
            </w:pPr>
            <w:r w:rsidRPr="00D76D9A">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DFBA9"/>
            <w:vAlign w:val="bottom"/>
          </w:tcPr>
          <w:p w:rsidR="003C27D6" w:rsidRPr="00D76D9A" w:rsidRDefault="003C27D6" w:rsidP="003F6403">
            <w:pPr>
              <w:spacing w:after="0" w:line="240" w:lineRule="auto"/>
              <w:jc w:val="center"/>
              <w:rPr>
                <w:rFonts w:cstheme="minorHAnsi"/>
                <w:b/>
                <w:bCs/>
                <w:sz w:val="24"/>
                <w:szCs w:val="24"/>
              </w:rPr>
            </w:pPr>
            <w:r w:rsidRPr="00D76D9A">
              <w:rPr>
                <w:rFonts w:cstheme="minorHAnsi"/>
                <w:b/>
                <w:bCs/>
                <w:sz w:val="24"/>
                <w:szCs w:val="24"/>
              </w:rPr>
              <w:t>EN 14475</w:t>
            </w:r>
          </w:p>
        </w:tc>
      </w:tr>
      <w:tr w:rsidR="0043547B" w:rsidRPr="0043547B" w:rsidTr="003223D1">
        <w:trPr>
          <w:trHeight w:val="23"/>
          <w:jc w:val="center"/>
        </w:trPr>
        <w:tc>
          <w:tcPr>
            <w:tcW w:w="1838" w:type="dxa"/>
            <w:tcBorders>
              <w:top w:val="single" w:sz="4" w:space="0" w:color="auto"/>
              <w:left w:val="single" w:sz="18" w:space="0" w:color="auto"/>
              <w:bottom w:val="single" w:sz="4" w:space="0" w:color="auto"/>
              <w:right w:val="single" w:sz="4" w:space="0" w:color="auto"/>
            </w:tcBorders>
            <w:shd w:val="clear" w:color="auto" w:fill="95B3D7" w:themeFill="accent1" w:themeFillTint="99"/>
            <w:vAlign w:val="center"/>
          </w:tcPr>
          <w:p w:rsidR="003C27D6" w:rsidRPr="0043547B" w:rsidRDefault="003C27D6" w:rsidP="003F6403">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000000" w:fill="FFFFFF"/>
          </w:tcPr>
          <w:p w:rsidR="003C27D6" w:rsidRPr="0043547B" w:rsidRDefault="003C27D6" w:rsidP="003F6403">
            <w:pPr>
              <w:spacing w:after="0" w:line="240" w:lineRule="auto"/>
              <w:rPr>
                <w:rFonts w:cstheme="minorHAnsi"/>
                <w:sz w:val="24"/>
                <w:szCs w:val="24"/>
              </w:rPr>
            </w:pPr>
            <w:r w:rsidRPr="0043547B">
              <w:rPr>
                <w:rFonts w:cstheme="minorHAnsi"/>
                <w:sz w:val="24"/>
                <w:szCs w:val="24"/>
              </w:rPr>
              <w:t xml:space="preserve">Exécution de travaux géotechniques spéciaux - Remblais renforcés </w:t>
            </w:r>
          </w:p>
        </w:tc>
      </w:tr>
      <w:tr w:rsidR="0043547B" w:rsidRPr="0043547B" w:rsidTr="003223D1">
        <w:trPr>
          <w:trHeight w:val="2258"/>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3C27D6" w:rsidRPr="0043547B" w:rsidRDefault="003C27D6" w:rsidP="003F6403">
            <w:pPr>
              <w:spacing w:after="0" w:line="240" w:lineRule="auto"/>
              <w:jc w:val="center"/>
              <w:rPr>
                <w:rFonts w:cstheme="minorHAnsi"/>
                <w:b/>
                <w:bCs/>
                <w:sz w:val="24"/>
                <w:szCs w:val="24"/>
              </w:rPr>
            </w:pPr>
            <w:r w:rsidRPr="0043547B">
              <w:rPr>
                <w:rFonts w:cstheme="minorHAnsi"/>
                <w:b/>
                <w:bCs/>
                <w:sz w:val="24"/>
                <w:szCs w:val="24"/>
              </w:rPr>
              <w:lastRenderedPageBreak/>
              <w:t>Domaine d’application :</w:t>
            </w:r>
          </w:p>
        </w:tc>
        <w:tc>
          <w:tcPr>
            <w:tcW w:w="7938" w:type="dxa"/>
            <w:tcBorders>
              <w:top w:val="single" w:sz="4" w:space="0" w:color="auto"/>
              <w:left w:val="single" w:sz="4" w:space="0" w:color="auto"/>
              <w:bottom w:val="single" w:sz="18" w:space="0" w:color="auto"/>
              <w:right w:val="single" w:sz="18" w:space="0" w:color="auto"/>
            </w:tcBorders>
            <w:shd w:val="clear" w:color="000000" w:fill="FFFFFF"/>
          </w:tcPr>
          <w:p w:rsidR="003F6403" w:rsidRDefault="003C27D6" w:rsidP="003F6403">
            <w:pPr>
              <w:spacing w:after="0" w:line="240" w:lineRule="auto"/>
              <w:jc w:val="both"/>
              <w:rPr>
                <w:rFonts w:cstheme="minorHAnsi"/>
                <w:sz w:val="24"/>
                <w:szCs w:val="24"/>
              </w:rPr>
            </w:pPr>
            <w:r w:rsidRPr="0043547B">
              <w:rPr>
                <w:rFonts w:cstheme="minorHAnsi"/>
                <w:sz w:val="24"/>
                <w:szCs w:val="24"/>
              </w:rPr>
              <w:t>1.1 La présente Norme européenne établit les principes généraux pour la construction des ouvrages en remblai renforcé.</w:t>
            </w:r>
          </w:p>
          <w:p w:rsidR="003F6403" w:rsidRDefault="003C27D6" w:rsidP="003F6403">
            <w:pPr>
              <w:spacing w:after="0" w:line="240" w:lineRule="auto"/>
              <w:jc w:val="both"/>
              <w:rPr>
                <w:rFonts w:cstheme="minorHAnsi"/>
                <w:sz w:val="24"/>
                <w:szCs w:val="24"/>
              </w:rPr>
            </w:pPr>
            <w:r w:rsidRPr="0043547B">
              <w:rPr>
                <w:rFonts w:cstheme="minorHAnsi"/>
                <w:sz w:val="24"/>
                <w:szCs w:val="24"/>
              </w:rPr>
              <w:t>1.2 La présente Norme européenne s’applique aux remblais techniques renforcés par l’inclusion de renforcements horizontaux ou sub-horizontaux placés entre les couches du remblai au cours de leur construction.</w:t>
            </w:r>
          </w:p>
          <w:p w:rsidR="003F6403" w:rsidRDefault="003C27D6" w:rsidP="003F6403">
            <w:pPr>
              <w:spacing w:after="0" w:line="240" w:lineRule="auto"/>
              <w:jc w:val="both"/>
              <w:rPr>
                <w:rFonts w:cstheme="minorHAnsi"/>
                <w:sz w:val="24"/>
                <w:szCs w:val="24"/>
              </w:rPr>
            </w:pPr>
            <w:r w:rsidRPr="0043547B">
              <w:rPr>
                <w:rFonts w:cstheme="minorHAnsi"/>
                <w:sz w:val="24"/>
                <w:szCs w:val="24"/>
              </w:rPr>
              <w:t>1.3 Le domaine d’application des remblais renforcés examinés dans la présente Norme européenne comprend (Figure 1) :</w:t>
            </w:r>
          </w:p>
          <w:p w:rsidR="003F6403" w:rsidRDefault="003C27D6" w:rsidP="003F6403">
            <w:pPr>
              <w:spacing w:after="0" w:line="240" w:lineRule="auto"/>
              <w:jc w:val="both"/>
              <w:rPr>
                <w:rFonts w:cstheme="minorHAnsi"/>
                <w:sz w:val="24"/>
                <w:szCs w:val="24"/>
              </w:rPr>
            </w:pPr>
            <w:r w:rsidRPr="0043547B">
              <w:rPr>
                <w:rFonts w:cstheme="minorHAnsi"/>
                <w:sz w:val="24"/>
                <w:szCs w:val="24"/>
              </w:rPr>
              <w:t>— les ouvrages de soutènement (murs verticaux, murs peu ou très inclinés, culées de pont, structures de stockage en vrac), comportant un parement qui permet de retenir le remblai placé entre les lits de renforcement ;</w:t>
            </w:r>
            <w:r w:rsidRPr="0043547B">
              <w:rPr>
                <w:rFonts w:cstheme="minorHAnsi"/>
                <w:sz w:val="24"/>
                <w:szCs w:val="24"/>
              </w:rPr>
              <w:br/>
              <w:t>— les talus renforcés très inclinés avec un parement, soit intégré, soit rapporté, ou bien enveloppant les couches de remblai, les talus renforcés peu inclinés, sans parement, mais recouverts d’une simple protection contre l’érosion, et la réparation des glissements de talus ;</w:t>
            </w:r>
          </w:p>
          <w:p w:rsidR="003F6403" w:rsidRDefault="003C27D6" w:rsidP="003F6403">
            <w:pPr>
              <w:spacing w:after="0" w:line="240" w:lineRule="auto"/>
              <w:jc w:val="both"/>
              <w:rPr>
                <w:rFonts w:cstheme="minorHAnsi"/>
                <w:sz w:val="24"/>
                <w:szCs w:val="24"/>
              </w:rPr>
            </w:pPr>
            <w:r w:rsidRPr="0043547B">
              <w:rPr>
                <w:rFonts w:cstheme="minorHAnsi"/>
                <w:sz w:val="24"/>
                <w:szCs w:val="24"/>
              </w:rPr>
              <w:t>— les remblais renforcés à la base, et les remblais renforcés en partie supérieure contre les soulèvements provoqués par le gel.</w:t>
            </w:r>
          </w:p>
          <w:p w:rsidR="003C27D6" w:rsidRPr="0043547B" w:rsidRDefault="003C27D6" w:rsidP="003F6403">
            <w:pPr>
              <w:spacing w:after="0" w:line="240" w:lineRule="auto"/>
              <w:jc w:val="both"/>
              <w:rPr>
                <w:rFonts w:cstheme="minorHAnsi"/>
                <w:sz w:val="24"/>
                <w:szCs w:val="24"/>
              </w:rPr>
            </w:pPr>
            <w:r w:rsidRPr="0043547B">
              <w:rPr>
                <w:rFonts w:cstheme="minorHAnsi"/>
                <w:sz w:val="24"/>
                <w:szCs w:val="24"/>
              </w:rPr>
              <w:t>1.4 Les principes relatifs à l’exécution d’autres travaux géotechniques spéciaux tels que le clouage des sols, les pieux forés, les pieux avec refoulement du sol, les micropieux, les rideaux de palplanches, les parois moulées, les injections et les colonnes de sol-ciment réalisées par jet sont traités dans d’autres normes européennes.</w:t>
            </w:r>
            <w:r w:rsidRPr="0043547B">
              <w:rPr>
                <w:rFonts w:cstheme="minorHAnsi"/>
                <w:sz w:val="24"/>
                <w:szCs w:val="24"/>
              </w:rPr>
              <w:br/>
              <w:t>Le renforcement des chaussées routières n’est pas couvert par la présente norme.</w:t>
            </w:r>
          </w:p>
        </w:tc>
      </w:tr>
      <w:tr w:rsidR="0043547B" w:rsidRPr="0043547B" w:rsidTr="003223D1">
        <w:trPr>
          <w:trHeight w:val="58"/>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tcPr>
          <w:p w:rsidR="003C27D6" w:rsidRPr="00D76D9A" w:rsidRDefault="003C27D6" w:rsidP="003223D1">
            <w:pPr>
              <w:spacing w:after="0" w:line="240" w:lineRule="auto"/>
              <w:jc w:val="center"/>
              <w:rPr>
                <w:rFonts w:cstheme="minorHAnsi"/>
                <w:b/>
                <w:bCs/>
                <w:sz w:val="24"/>
                <w:szCs w:val="24"/>
              </w:rPr>
            </w:pPr>
            <w:r w:rsidRPr="00D76D9A">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tcPr>
          <w:p w:rsidR="003C27D6" w:rsidRPr="00D76D9A" w:rsidRDefault="003C27D6" w:rsidP="003223D1">
            <w:pPr>
              <w:spacing w:after="0" w:line="240" w:lineRule="auto"/>
              <w:jc w:val="center"/>
              <w:rPr>
                <w:rFonts w:cstheme="minorHAnsi"/>
                <w:b/>
                <w:bCs/>
                <w:sz w:val="24"/>
                <w:szCs w:val="24"/>
              </w:rPr>
            </w:pPr>
            <w:r w:rsidRPr="00D76D9A">
              <w:rPr>
                <w:rFonts w:cstheme="minorHAnsi"/>
                <w:b/>
                <w:bCs/>
                <w:sz w:val="24"/>
                <w:szCs w:val="24"/>
              </w:rPr>
              <w:t>NM EN 14490</w:t>
            </w:r>
          </w:p>
        </w:tc>
      </w:tr>
      <w:tr w:rsidR="0043547B" w:rsidRPr="0043547B" w:rsidTr="003223D1">
        <w:trPr>
          <w:trHeight w:val="58"/>
          <w:jc w:val="center"/>
        </w:trPr>
        <w:tc>
          <w:tcPr>
            <w:tcW w:w="1838" w:type="dxa"/>
            <w:tcBorders>
              <w:top w:val="single" w:sz="18" w:space="0" w:color="auto"/>
              <w:left w:val="single" w:sz="18" w:space="0" w:color="auto"/>
              <w:bottom w:val="single" w:sz="4" w:space="0" w:color="auto"/>
              <w:right w:val="single" w:sz="4" w:space="0" w:color="auto"/>
            </w:tcBorders>
            <w:shd w:val="clear" w:color="auto" w:fill="FDFBA9"/>
            <w:vAlign w:val="center"/>
          </w:tcPr>
          <w:p w:rsidR="003C27D6" w:rsidRPr="00D76D9A" w:rsidRDefault="003C27D6" w:rsidP="003223D1">
            <w:pPr>
              <w:spacing w:after="0" w:line="240" w:lineRule="auto"/>
              <w:jc w:val="center"/>
              <w:rPr>
                <w:rFonts w:cstheme="minorHAnsi"/>
                <w:b/>
                <w:bCs/>
                <w:sz w:val="24"/>
                <w:szCs w:val="24"/>
              </w:rPr>
            </w:pPr>
            <w:r w:rsidRPr="00D76D9A">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DFBA9"/>
            <w:vAlign w:val="bottom"/>
          </w:tcPr>
          <w:p w:rsidR="003C27D6" w:rsidRPr="00D76D9A" w:rsidRDefault="003C27D6" w:rsidP="003223D1">
            <w:pPr>
              <w:spacing w:after="0" w:line="240" w:lineRule="auto"/>
              <w:jc w:val="center"/>
              <w:rPr>
                <w:rFonts w:cstheme="minorHAnsi"/>
                <w:b/>
                <w:bCs/>
                <w:sz w:val="24"/>
                <w:szCs w:val="24"/>
              </w:rPr>
            </w:pPr>
            <w:r w:rsidRPr="00D76D9A">
              <w:rPr>
                <w:rFonts w:cstheme="minorHAnsi"/>
                <w:b/>
                <w:bCs/>
                <w:sz w:val="24"/>
                <w:szCs w:val="24"/>
              </w:rPr>
              <w:t>EN 14490</w:t>
            </w:r>
          </w:p>
        </w:tc>
      </w:tr>
      <w:tr w:rsidR="0043547B" w:rsidRPr="0043547B" w:rsidTr="003223D1">
        <w:trPr>
          <w:trHeight w:val="58"/>
          <w:jc w:val="center"/>
        </w:trPr>
        <w:tc>
          <w:tcPr>
            <w:tcW w:w="1838" w:type="dxa"/>
            <w:tcBorders>
              <w:top w:val="single" w:sz="4" w:space="0" w:color="auto"/>
              <w:left w:val="single" w:sz="18" w:space="0" w:color="auto"/>
              <w:bottom w:val="single" w:sz="4" w:space="0" w:color="auto"/>
              <w:right w:val="single" w:sz="4" w:space="0" w:color="auto"/>
            </w:tcBorders>
            <w:shd w:val="clear" w:color="auto" w:fill="95B3D7" w:themeFill="accent1" w:themeFillTint="99"/>
            <w:vAlign w:val="center"/>
          </w:tcPr>
          <w:p w:rsidR="003C27D6" w:rsidRPr="0043547B" w:rsidRDefault="003C27D6" w:rsidP="003223D1">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000000" w:fill="FFFFFF"/>
          </w:tcPr>
          <w:p w:rsidR="003C27D6" w:rsidRPr="0043547B" w:rsidRDefault="003C27D6" w:rsidP="003223D1">
            <w:pPr>
              <w:spacing w:after="0" w:line="240" w:lineRule="auto"/>
              <w:rPr>
                <w:rFonts w:cstheme="minorHAnsi"/>
                <w:sz w:val="24"/>
                <w:szCs w:val="24"/>
              </w:rPr>
            </w:pPr>
            <w:r w:rsidRPr="0043547B">
              <w:rPr>
                <w:rFonts w:cstheme="minorHAnsi"/>
                <w:sz w:val="24"/>
                <w:szCs w:val="24"/>
              </w:rPr>
              <w:t xml:space="preserve">Exécution des travaux géotechniques spéciaux - Clouage </w:t>
            </w:r>
          </w:p>
        </w:tc>
      </w:tr>
      <w:tr w:rsidR="0043547B" w:rsidRPr="0043547B" w:rsidTr="003223D1">
        <w:trPr>
          <w:trHeight w:val="58"/>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3C27D6" w:rsidRPr="0043547B" w:rsidRDefault="003C27D6" w:rsidP="003223D1">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000000" w:fill="FFFFFF"/>
          </w:tcPr>
          <w:p w:rsidR="003223D1" w:rsidRDefault="003C27D6" w:rsidP="003223D1">
            <w:pPr>
              <w:spacing w:after="0" w:line="240" w:lineRule="auto"/>
              <w:jc w:val="both"/>
              <w:rPr>
                <w:rFonts w:cstheme="minorHAnsi"/>
                <w:sz w:val="24"/>
                <w:szCs w:val="24"/>
              </w:rPr>
            </w:pPr>
            <w:r w:rsidRPr="0043547B">
              <w:rPr>
                <w:rFonts w:cstheme="minorHAnsi"/>
                <w:sz w:val="24"/>
                <w:szCs w:val="24"/>
              </w:rPr>
              <w:t>1.1 La présente norme européenne établit les principes généraux pour la construction, les essais, le suivi et</w:t>
            </w:r>
            <w:r w:rsidR="002C6535">
              <w:rPr>
                <w:rFonts w:cstheme="minorHAnsi"/>
                <w:sz w:val="24"/>
                <w:szCs w:val="24"/>
              </w:rPr>
              <w:t xml:space="preserve"> </w:t>
            </w:r>
            <w:r w:rsidRPr="0043547B">
              <w:rPr>
                <w:rFonts w:cstheme="minorHAnsi"/>
                <w:sz w:val="24"/>
                <w:szCs w:val="24"/>
              </w:rPr>
              <w:t>les contrôles d’exécution des ouvrages en sol cloué.</w:t>
            </w:r>
            <w:r w:rsidRPr="0043547B">
              <w:rPr>
                <w:rFonts w:cstheme="minorHAnsi"/>
                <w:sz w:val="24"/>
                <w:szCs w:val="24"/>
              </w:rPr>
              <w:br/>
              <w:t>1.2 Le clouage est une technique de constr</w:t>
            </w:r>
            <w:r w:rsidR="002C6535">
              <w:rPr>
                <w:rFonts w:cstheme="minorHAnsi"/>
                <w:sz w:val="24"/>
                <w:szCs w:val="24"/>
              </w:rPr>
              <w:t>uction utilisée pour a</w:t>
            </w:r>
            <w:r w:rsidRPr="0043547B">
              <w:rPr>
                <w:rFonts w:cstheme="minorHAnsi"/>
                <w:sz w:val="24"/>
                <w:szCs w:val="24"/>
              </w:rPr>
              <w:t>méliorer/</w:t>
            </w:r>
            <w:r w:rsidR="003223D1">
              <w:rPr>
                <w:rFonts w:cstheme="minorHAnsi"/>
                <w:sz w:val="24"/>
                <w:szCs w:val="24"/>
              </w:rPr>
              <w:t xml:space="preserve"> </w:t>
            </w:r>
            <w:r w:rsidRPr="0043547B">
              <w:rPr>
                <w:rFonts w:cstheme="minorHAnsi"/>
                <w:sz w:val="24"/>
                <w:szCs w:val="24"/>
              </w:rPr>
              <w:t>onforter la stabilité d’un massif de sol</w:t>
            </w:r>
            <w:r w:rsidR="002C6535">
              <w:rPr>
                <w:rFonts w:cstheme="minorHAnsi"/>
                <w:sz w:val="24"/>
                <w:szCs w:val="24"/>
              </w:rPr>
              <w:t xml:space="preserve"> </w:t>
            </w:r>
            <w:r w:rsidRPr="0043547B">
              <w:rPr>
                <w:rFonts w:cstheme="minorHAnsi"/>
                <w:sz w:val="24"/>
                <w:szCs w:val="24"/>
              </w:rPr>
              <w:t>par la mise en place d’éléments de renforcement (clous). Des exemples d'ouvrages typiques en sol cloué</w:t>
            </w:r>
            <w:r w:rsidR="002C6535">
              <w:rPr>
                <w:rFonts w:cstheme="minorHAnsi"/>
                <w:sz w:val="24"/>
                <w:szCs w:val="24"/>
              </w:rPr>
              <w:t xml:space="preserve"> </w:t>
            </w:r>
            <w:r w:rsidRPr="0043547B">
              <w:rPr>
                <w:rFonts w:cstheme="minorHAnsi"/>
                <w:sz w:val="24"/>
                <w:szCs w:val="24"/>
              </w:rPr>
              <w:t>sont donnés dans l’Annexe A.</w:t>
            </w:r>
          </w:p>
          <w:p w:rsidR="003223D1" w:rsidRDefault="003C27D6" w:rsidP="003223D1">
            <w:pPr>
              <w:spacing w:after="0" w:line="240" w:lineRule="auto"/>
              <w:jc w:val="both"/>
              <w:rPr>
                <w:rFonts w:cstheme="minorHAnsi"/>
                <w:sz w:val="24"/>
                <w:szCs w:val="24"/>
              </w:rPr>
            </w:pPr>
            <w:r w:rsidRPr="0043547B">
              <w:rPr>
                <w:rFonts w:cstheme="minorHAnsi"/>
                <w:sz w:val="24"/>
                <w:szCs w:val="24"/>
              </w:rPr>
              <w:t>1.3 Le domaine d’application de la présente norme européenne sur le clouage comprend l’installation des clous</w:t>
            </w:r>
            <w:r w:rsidR="002C6535">
              <w:rPr>
                <w:rFonts w:cstheme="minorHAnsi"/>
                <w:sz w:val="24"/>
                <w:szCs w:val="24"/>
              </w:rPr>
              <w:t xml:space="preserve"> </w:t>
            </w:r>
            <w:r w:rsidRPr="0043547B">
              <w:rPr>
                <w:rFonts w:cstheme="minorHAnsi"/>
                <w:sz w:val="24"/>
                <w:szCs w:val="24"/>
              </w:rPr>
              <w:t>et les essais de clous, ainsi que les opérations connexes nécessaires à la stabilisation des pentes anciennes ou</w:t>
            </w:r>
            <w:r w:rsidR="002C6535">
              <w:rPr>
                <w:rFonts w:cstheme="minorHAnsi"/>
                <w:sz w:val="24"/>
                <w:szCs w:val="24"/>
              </w:rPr>
              <w:t xml:space="preserve"> </w:t>
            </w:r>
            <w:r w:rsidRPr="0043547B">
              <w:rPr>
                <w:rFonts w:cstheme="minorHAnsi"/>
                <w:sz w:val="24"/>
                <w:szCs w:val="24"/>
              </w:rPr>
              <w:t>récentes et de leurs parements dans les sols ainsi que des ouvrages de soutènement anciens, des talus, des parois</w:t>
            </w:r>
            <w:r w:rsidR="002C6535">
              <w:rPr>
                <w:rFonts w:cstheme="minorHAnsi"/>
                <w:sz w:val="24"/>
                <w:szCs w:val="24"/>
              </w:rPr>
              <w:t xml:space="preserve"> </w:t>
            </w:r>
            <w:r w:rsidRPr="0043547B">
              <w:rPr>
                <w:rFonts w:cstheme="minorHAnsi"/>
                <w:sz w:val="24"/>
                <w:szCs w:val="24"/>
              </w:rPr>
              <w:t>de tunnels anciens et nouveaux.</w:t>
            </w:r>
          </w:p>
          <w:p w:rsidR="003223D1" w:rsidRDefault="003C27D6" w:rsidP="003223D1">
            <w:pPr>
              <w:spacing w:after="0" w:line="240" w:lineRule="auto"/>
              <w:jc w:val="both"/>
              <w:rPr>
                <w:rFonts w:cstheme="minorHAnsi"/>
                <w:sz w:val="24"/>
                <w:szCs w:val="24"/>
              </w:rPr>
            </w:pPr>
            <w:r w:rsidRPr="0043547B">
              <w:rPr>
                <w:rFonts w:cstheme="minorHAnsi"/>
                <w:sz w:val="24"/>
                <w:szCs w:val="24"/>
              </w:rPr>
              <w:t>1.4 Le clouage peut n'être utilisé que pour une partie d’ouvrage dont la construction inclut d’autres techniques.</w:t>
            </w:r>
          </w:p>
          <w:p w:rsidR="003C27D6" w:rsidRPr="0043547B" w:rsidRDefault="003C27D6" w:rsidP="003223D1">
            <w:pPr>
              <w:spacing w:after="0" w:line="240" w:lineRule="auto"/>
              <w:jc w:val="both"/>
              <w:rPr>
                <w:rFonts w:cstheme="minorHAnsi"/>
                <w:sz w:val="24"/>
                <w:szCs w:val="24"/>
              </w:rPr>
            </w:pPr>
            <w:r w:rsidRPr="0043547B">
              <w:rPr>
                <w:rFonts w:cstheme="minorHAnsi"/>
                <w:sz w:val="24"/>
                <w:szCs w:val="24"/>
              </w:rPr>
              <w:t>Dans ce cas, la Norme ne s’applique qu’à la partie en sol cloué de l’ouvrage concerné.</w:t>
            </w:r>
            <w:r w:rsidRPr="0043547B">
              <w:rPr>
                <w:rFonts w:cstheme="minorHAnsi"/>
                <w:sz w:val="24"/>
                <w:szCs w:val="24"/>
              </w:rPr>
              <w:br/>
              <w:t>1.5 Les techniques telles que le renforcement des terrains par inclusions verticales (palplanches, pieux forés</w:t>
            </w:r>
            <w:r w:rsidR="00D76D9A">
              <w:rPr>
                <w:rFonts w:cstheme="minorHAnsi"/>
                <w:sz w:val="24"/>
                <w:szCs w:val="24"/>
              </w:rPr>
              <w:t xml:space="preserve"> </w:t>
            </w:r>
            <w:r w:rsidRPr="0043547B">
              <w:rPr>
                <w:rFonts w:cstheme="minorHAnsi"/>
                <w:sz w:val="24"/>
                <w:szCs w:val="24"/>
              </w:rPr>
              <w:t>ou foncés ou autres éléments) et la stabilisation au moyen de boulons d'ancrage, de tirants d’ancrage pré-contraints,</w:t>
            </w:r>
            <w:r w:rsidR="00D76D9A">
              <w:rPr>
                <w:rFonts w:cstheme="minorHAnsi"/>
                <w:sz w:val="24"/>
                <w:szCs w:val="24"/>
              </w:rPr>
              <w:t xml:space="preserve"> </w:t>
            </w:r>
            <w:r w:rsidRPr="0043547B">
              <w:rPr>
                <w:rFonts w:cstheme="minorHAnsi"/>
                <w:sz w:val="24"/>
                <w:szCs w:val="24"/>
              </w:rPr>
              <w:t>ou de pieux en traction ne relèvent pas de la présente Norme.</w:t>
            </w:r>
            <w:r w:rsidRPr="0043547B">
              <w:rPr>
                <w:rFonts w:cstheme="minorHAnsi"/>
                <w:sz w:val="24"/>
                <w:szCs w:val="24"/>
              </w:rPr>
              <w:br/>
              <w:t>1.6 Des indications concernant les aspects pratiques du clouage des sols, les aspects liés à la conception,</w:t>
            </w:r>
            <w:r w:rsidR="00D76D9A">
              <w:rPr>
                <w:rFonts w:cstheme="minorHAnsi"/>
                <w:sz w:val="24"/>
                <w:szCs w:val="24"/>
              </w:rPr>
              <w:t xml:space="preserve"> </w:t>
            </w:r>
            <w:r w:rsidRPr="0043547B">
              <w:rPr>
                <w:rFonts w:cstheme="minorHAnsi"/>
                <w:sz w:val="24"/>
                <w:szCs w:val="24"/>
              </w:rPr>
              <w:t>la durabilité et les essais sont données respectivement dans les Annexes A, B et C.</w:t>
            </w:r>
          </w:p>
        </w:tc>
      </w:tr>
      <w:tr w:rsidR="0043547B" w:rsidRPr="0043547B" w:rsidTr="003223D1">
        <w:trPr>
          <w:trHeight w:val="58"/>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tcPr>
          <w:p w:rsidR="003C27D6" w:rsidRPr="00D76D9A" w:rsidRDefault="003C27D6" w:rsidP="003223D1">
            <w:pPr>
              <w:spacing w:after="0" w:line="240" w:lineRule="auto"/>
              <w:jc w:val="center"/>
              <w:rPr>
                <w:rFonts w:cstheme="minorHAnsi"/>
                <w:b/>
                <w:bCs/>
                <w:sz w:val="24"/>
                <w:szCs w:val="24"/>
              </w:rPr>
            </w:pPr>
            <w:r w:rsidRPr="00D76D9A">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tcPr>
          <w:p w:rsidR="003C27D6" w:rsidRPr="00D76D9A" w:rsidRDefault="003C27D6" w:rsidP="003223D1">
            <w:pPr>
              <w:spacing w:after="0" w:line="240" w:lineRule="auto"/>
              <w:jc w:val="center"/>
              <w:rPr>
                <w:rFonts w:cstheme="minorHAnsi"/>
                <w:b/>
                <w:bCs/>
                <w:sz w:val="24"/>
                <w:szCs w:val="24"/>
              </w:rPr>
            </w:pPr>
            <w:r w:rsidRPr="00D76D9A">
              <w:rPr>
                <w:rFonts w:cstheme="minorHAnsi"/>
                <w:b/>
                <w:bCs/>
                <w:sz w:val="24"/>
                <w:szCs w:val="24"/>
              </w:rPr>
              <w:t>NM EN 12716</w:t>
            </w:r>
          </w:p>
        </w:tc>
      </w:tr>
      <w:tr w:rsidR="0043547B" w:rsidRPr="0043547B" w:rsidTr="003223D1">
        <w:trPr>
          <w:trHeight w:val="58"/>
          <w:jc w:val="center"/>
        </w:trPr>
        <w:tc>
          <w:tcPr>
            <w:tcW w:w="1838" w:type="dxa"/>
            <w:tcBorders>
              <w:top w:val="single" w:sz="18" w:space="0" w:color="auto"/>
              <w:left w:val="single" w:sz="18" w:space="0" w:color="auto"/>
              <w:bottom w:val="single" w:sz="4" w:space="0" w:color="auto"/>
              <w:right w:val="single" w:sz="4" w:space="0" w:color="auto"/>
            </w:tcBorders>
            <w:shd w:val="clear" w:color="auto" w:fill="FDFBA9"/>
            <w:vAlign w:val="center"/>
          </w:tcPr>
          <w:p w:rsidR="003C27D6" w:rsidRPr="00D76D9A" w:rsidRDefault="003C27D6" w:rsidP="003223D1">
            <w:pPr>
              <w:spacing w:after="0" w:line="240" w:lineRule="auto"/>
              <w:jc w:val="center"/>
              <w:rPr>
                <w:rFonts w:cstheme="minorHAnsi"/>
                <w:b/>
                <w:bCs/>
                <w:sz w:val="24"/>
                <w:szCs w:val="24"/>
              </w:rPr>
            </w:pPr>
            <w:r w:rsidRPr="00D76D9A">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DFBA9"/>
            <w:vAlign w:val="bottom"/>
          </w:tcPr>
          <w:p w:rsidR="003C27D6" w:rsidRPr="00D76D9A" w:rsidRDefault="003C27D6" w:rsidP="003223D1">
            <w:pPr>
              <w:spacing w:after="0" w:line="240" w:lineRule="auto"/>
              <w:jc w:val="center"/>
              <w:rPr>
                <w:rFonts w:cstheme="minorHAnsi"/>
                <w:b/>
                <w:bCs/>
                <w:sz w:val="24"/>
                <w:szCs w:val="24"/>
              </w:rPr>
            </w:pPr>
            <w:r w:rsidRPr="00D76D9A">
              <w:rPr>
                <w:rFonts w:cstheme="minorHAnsi"/>
                <w:b/>
                <w:bCs/>
                <w:sz w:val="24"/>
                <w:szCs w:val="24"/>
              </w:rPr>
              <w:t>EN 12716</w:t>
            </w:r>
          </w:p>
        </w:tc>
      </w:tr>
      <w:tr w:rsidR="0043547B" w:rsidRPr="0043547B" w:rsidTr="003223D1">
        <w:trPr>
          <w:trHeight w:val="58"/>
          <w:jc w:val="center"/>
        </w:trPr>
        <w:tc>
          <w:tcPr>
            <w:tcW w:w="1838" w:type="dxa"/>
            <w:tcBorders>
              <w:top w:val="single" w:sz="4" w:space="0" w:color="auto"/>
              <w:left w:val="single" w:sz="18" w:space="0" w:color="auto"/>
              <w:bottom w:val="single" w:sz="4" w:space="0" w:color="auto"/>
              <w:right w:val="single" w:sz="4" w:space="0" w:color="auto"/>
            </w:tcBorders>
            <w:shd w:val="clear" w:color="auto" w:fill="95B3D7" w:themeFill="accent1" w:themeFillTint="99"/>
            <w:vAlign w:val="center"/>
          </w:tcPr>
          <w:p w:rsidR="003C27D6" w:rsidRPr="0043547B" w:rsidRDefault="003C27D6" w:rsidP="003223D1">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000000" w:fill="FFFFFF"/>
          </w:tcPr>
          <w:p w:rsidR="003C27D6" w:rsidRPr="0043547B" w:rsidRDefault="003C27D6" w:rsidP="003223D1">
            <w:pPr>
              <w:spacing w:after="0" w:line="240" w:lineRule="auto"/>
              <w:rPr>
                <w:rFonts w:cstheme="minorHAnsi"/>
                <w:sz w:val="24"/>
                <w:szCs w:val="24"/>
              </w:rPr>
            </w:pPr>
            <w:r w:rsidRPr="0043547B">
              <w:rPr>
                <w:rFonts w:cstheme="minorHAnsi"/>
                <w:sz w:val="24"/>
                <w:szCs w:val="24"/>
              </w:rPr>
              <w:t xml:space="preserve">Exécution des travaux géotechniques spéciaux - Colonnes, panneaux et structures de sol-ciment réalisés par jet </w:t>
            </w:r>
          </w:p>
        </w:tc>
      </w:tr>
      <w:tr w:rsidR="0043547B" w:rsidRPr="0043547B" w:rsidTr="003223D1">
        <w:trPr>
          <w:trHeight w:val="58"/>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3C27D6" w:rsidRPr="0043547B" w:rsidRDefault="003C27D6" w:rsidP="003223D1">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000000" w:fill="FFFFFF"/>
          </w:tcPr>
          <w:p w:rsidR="003C27D6" w:rsidRPr="0043547B" w:rsidRDefault="003C27D6" w:rsidP="003223D1">
            <w:pPr>
              <w:spacing w:after="0" w:line="240" w:lineRule="auto"/>
              <w:jc w:val="both"/>
              <w:rPr>
                <w:rFonts w:cstheme="minorHAnsi"/>
                <w:sz w:val="24"/>
                <w:szCs w:val="24"/>
              </w:rPr>
            </w:pPr>
            <w:r w:rsidRPr="0043547B">
              <w:rPr>
                <w:rFonts w:cstheme="minorHAnsi"/>
                <w:sz w:val="24"/>
                <w:szCs w:val="24"/>
              </w:rPr>
              <w:t>La présente norme s'applique à la réalisation par jet de colonnes, de panneaux et de structures enterrés constitués</w:t>
            </w:r>
            <w:r w:rsidR="00D76D9A">
              <w:rPr>
                <w:rFonts w:cstheme="minorHAnsi"/>
                <w:sz w:val="24"/>
                <w:szCs w:val="24"/>
              </w:rPr>
              <w:t xml:space="preserve"> </w:t>
            </w:r>
            <w:r w:rsidRPr="0043547B">
              <w:rPr>
                <w:rFonts w:cstheme="minorHAnsi"/>
                <w:sz w:val="24"/>
                <w:szCs w:val="24"/>
              </w:rPr>
              <w:t>d'un mélange de sol et de ciment ainsi qu'aux essais et au contrôle de ces travaux. Des prescriptions plus</w:t>
            </w:r>
            <w:r w:rsidRPr="0043547B">
              <w:rPr>
                <w:rFonts w:cstheme="minorHAnsi"/>
                <w:sz w:val="24"/>
                <w:szCs w:val="24"/>
              </w:rPr>
              <w:br/>
              <w:t>générales qui pourraient être incluses dans ce document ou faire l'objet d’articles dans les futures éditions de</w:t>
            </w:r>
            <w:r w:rsidR="00D76D9A">
              <w:rPr>
                <w:rFonts w:cstheme="minorHAnsi"/>
                <w:sz w:val="24"/>
                <w:szCs w:val="24"/>
              </w:rPr>
              <w:t xml:space="preserve"> </w:t>
            </w:r>
            <w:r w:rsidRPr="0043547B">
              <w:rPr>
                <w:rFonts w:cstheme="minorHAnsi"/>
                <w:sz w:val="24"/>
                <w:szCs w:val="24"/>
              </w:rPr>
              <w:t>l'Eurocode 7 sont listées en annexe A.</w:t>
            </w:r>
            <w:r w:rsidRPr="0043547B">
              <w:rPr>
                <w:rFonts w:cstheme="minorHAnsi"/>
                <w:sz w:val="24"/>
                <w:szCs w:val="24"/>
              </w:rPr>
              <w:br/>
              <w:t>NOTE Il convient de faire la distinction entre les procédés d'exécution des colonnes, des panneaux et des structures de</w:t>
            </w:r>
            <w:r w:rsidR="00D76D9A">
              <w:rPr>
                <w:rFonts w:cstheme="minorHAnsi"/>
                <w:sz w:val="24"/>
                <w:szCs w:val="24"/>
              </w:rPr>
              <w:t xml:space="preserve"> </w:t>
            </w:r>
            <w:r w:rsidRPr="0043547B">
              <w:rPr>
                <w:rFonts w:cstheme="minorHAnsi"/>
                <w:sz w:val="24"/>
                <w:szCs w:val="24"/>
              </w:rPr>
              <w:t>sol-ciment réalisés par jet, et les procédés d'injection couverts par l'EN 12715.</w:t>
            </w:r>
          </w:p>
        </w:tc>
      </w:tr>
      <w:tr w:rsidR="0043547B" w:rsidRPr="0043547B" w:rsidTr="00C3756F">
        <w:trPr>
          <w:trHeight w:val="58"/>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tcPr>
          <w:p w:rsidR="003C27D6" w:rsidRPr="00D76D9A" w:rsidRDefault="003C27D6" w:rsidP="003223D1">
            <w:pPr>
              <w:spacing w:after="0" w:line="240" w:lineRule="auto"/>
              <w:jc w:val="center"/>
              <w:rPr>
                <w:rFonts w:cstheme="minorHAnsi"/>
                <w:b/>
                <w:bCs/>
                <w:sz w:val="24"/>
                <w:szCs w:val="24"/>
              </w:rPr>
            </w:pPr>
            <w:r w:rsidRPr="00D76D9A">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tcPr>
          <w:p w:rsidR="003C27D6" w:rsidRPr="00D76D9A" w:rsidRDefault="003C27D6" w:rsidP="003223D1">
            <w:pPr>
              <w:spacing w:after="0" w:line="240" w:lineRule="auto"/>
              <w:jc w:val="center"/>
              <w:rPr>
                <w:rFonts w:cstheme="minorHAnsi"/>
                <w:b/>
                <w:bCs/>
                <w:sz w:val="24"/>
                <w:szCs w:val="24"/>
              </w:rPr>
            </w:pPr>
            <w:r w:rsidRPr="00D76D9A">
              <w:rPr>
                <w:rFonts w:cstheme="minorHAnsi"/>
                <w:b/>
                <w:bCs/>
                <w:sz w:val="24"/>
                <w:szCs w:val="24"/>
              </w:rPr>
              <w:t>NM EN 14679</w:t>
            </w:r>
          </w:p>
        </w:tc>
      </w:tr>
      <w:tr w:rsidR="0043547B" w:rsidRPr="0043547B" w:rsidTr="00C3756F">
        <w:trPr>
          <w:trHeight w:val="58"/>
          <w:jc w:val="center"/>
        </w:trPr>
        <w:tc>
          <w:tcPr>
            <w:tcW w:w="1838" w:type="dxa"/>
            <w:tcBorders>
              <w:top w:val="single" w:sz="18" w:space="0" w:color="auto"/>
              <w:left w:val="single" w:sz="18" w:space="0" w:color="auto"/>
              <w:bottom w:val="single" w:sz="4" w:space="0" w:color="auto"/>
              <w:right w:val="single" w:sz="4" w:space="0" w:color="auto"/>
            </w:tcBorders>
            <w:shd w:val="clear" w:color="auto" w:fill="FDFBA9"/>
            <w:vAlign w:val="center"/>
          </w:tcPr>
          <w:p w:rsidR="003C27D6" w:rsidRPr="00D76D9A" w:rsidRDefault="003C27D6" w:rsidP="003223D1">
            <w:pPr>
              <w:spacing w:after="0" w:line="240" w:lineRule="auto"/>
              <w:jc w:val="center"/>
              <w:rPr>
                <w:rFonts w:cstheme="minorHAnsi"/>
                <w:b/>
                <w:bCs/>
                <w:sz w:val="24"/>
                <w:szCs w:val="24"/>
              </w:rPr>
            </w:pPr>
            <w:r w:rsidRPr="00D76D9A">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DFBA9"/>
            <w:vAlign w:val="bottom"/>
          </w:tcPr>
          <w:p w:rsidR="003C27D6" w:rsidRPr="00D76D9A" w:rsidRDefault="003C27D6" w:rsidP="003223D1">
            <w:pPr>
              <w:spacing w:after="0" w:line="240" w:lineRule="auto"/>
              <w:jc w:val="center"/>
              <w:rPr>
                <w:rFonts w:cstheme="minorHAnsi"/>
                <w:b/>
                <w:bCs/>
                <w:sz w:val="24"/>
                <w:szCs w:val="24"/>
              </w:rPr>
            </w:pPr>
            <w:r w:rsidRPr="00D76D9A">
              <w:rPr>
                <w:rFonts w:cstheme="minorHAnsi"/>
                <w:b/>
                <w:bCs/>
                <w:sz w:val="24"/>
                <w:szCs w:val="24"/>
              </w:rPr>
              <w:t>EN 14679</w:t>
            </w:r>
          </w:p>
        </w:tc>
      </w:tr>
      <w:tr w:rsidR="0043547B" w:rsidRPr="0043547B" w:rsidTr="00C3756F">
        <w:trPr>
          <w:trHeight w:val="58"/>
          <w:jc w:val="center"/>
        </w:trPr>
        <w:tc>
          <w:tcPr>
            <w:tcW w:w="1838" w:type="dxa"/>
            <w:tcBorders>
              <w:top w:val="single" w:sz="4" w:space="0" w:color="auto"/>
              <w:left w:val="single" w:sz="18" w:space="0" w:color="auto"/>
              <w:bottom w:val="single" w:sz="4" w:space="0" w:color="auto"/>
              <w:right w:val="single" w:sz="4" w:space="0" w:color="auto"/>
            </w:tcBorders>
            <w:shd w:val="clear" w:color="auto" w:fill="95B3D7" w:themeFill="accent1" w:themeFillTint="99"/>
            <w:vAlign w:val="center"/>
          </w:tcPr>
          <w:p w:rsidR="003C27D6" w:rsidRPr="0043547B" w:rsidRDefault="003C27D6" w:rsidP="003223D1">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000000" w:fill="FFFFFF"/>
          </w:tcPr>
          <w:p w:rsidR="003C27D6" w:rsidRPr="0043547B" w:rsidRDefault="003C27D6" w:rsidP="003223D1">
            <w:pPr>
              <w:spacing w:after="0" w:line="240" w:lineRule="auto"/>
              <w:rPr>
                <w:rFonts w:cstheme="minorHAnsi"/>
                <w:sz w:val="24"/>
                <w:szCs w:val="24"/>
              </w:rPr>
            </w:pPr>
            <w:r w:rsidRPr="0043547B">
              <w:rPr>
                <w:rFonts w:cstheme="minorHAnsi"/>
                <w:sz w:val="24"/>
                <w:szCs w:val="24"/>
              </w:rPr>
              <w:t>Exécution de travaux géotechniques spéciaux - Colonnes de sol traité</w:t>
            </w:r>
          </w:p>
        </w:tc>
      </w:tr>
      <w:tr w:rsidR="0043547B" w:rsidRPr="0043547B" w:rsidTr="00C3756F">
        <w:trPr>
          <w:trHeight w:val="58"/>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3C27D6" w:rsidRPr="0043547B" w:rsidRDefault="003C27D6" w:rsidP="003223D1">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000000" w:fill="FFFFFF"/>
          </w:tcPr>
          <w:p w:rsidR="003223D1" w:rsidRDefault="003C27D6" w:rsidP="003223D1">
            <w:pPr>
              <w:spacing w:after="0" w:line="240" w:lineRule="auto"/>
              <w:jc w:val="both"/>
              <w:rPr>
                <w:rFonts w:cstheme="minorHAnsi"/>
                <w:sz w:val="24"/>
                <w:szCs w:val="24"/>
              </w:rPr>
            </w:pPr>
            <w:r w:rsidRPr="0043547B">
              <w:rPr>
                <w:rFonts w:cstheme="minorHAnsi"/>
                <w:sz w:val="24"/>
                <w:szCs w:val="24"/>
              </w:rPr>
              <w:t>La présente Norme européenne établit les principes généraux relatifs à l'exécution, aux essais de contrôle, à la</w:t>
            </w:r>
            <w:r w:rsidR="00D76D9A">
              <w:rPr>
                <w:rFonts w:cstheme="minorHAnsi"/>
                <w:sz w:val="24"/>
                <w:szCs w:val="24"/>
              </w:rPr>
              <w:t xml:space="preserve"> </w:t>
            </w:r>
            <w:r w:rsidRPr="0043547B">
              <w:rPr>
                <w:rFonts w:cstheme="minorHAnsi"/>
                <w:sz w:val="24"/>
                <w:szCs w:val="24"/>
              </w:rPr>
              <w:t>surveillance et au suivi des travaux de colonnes de sol traité réalisés selon la technique de malaxage par voie</w:t>
            </w:r>
            <w:r w:rsidRPr="0043547B">
              <w:rPr>
                <w:rFonts w:cstheme="minorHAnsi"/>
                <w:sz w:val="24"/>
                <w:szCs w:val="24"/>
              </w:rPr>
              <w:br/>
              <w:t>sèche ou selon la technique de malaxage par voie humide.</w:t>
            </w:r>
          </w:p>
          <w:p w:rsidR="003223D1" w:rsidRDefault="003C27D6" w:rsidP="003223D1">
            <w:pPr>
              <w:spacing w:after="0" w:line="240" w:lineRule="auto"/>
              <w:jc w:val="both"/>
              <w:rPr>
                <w:rFonts w:cstheme="minorHAnsi"/>
                <w:sz w:val="24"/>
                <w:szCs w:val="24"/>
              </w:rPr>
            </w:pPr>
            <w:r w:rsidRPr="0043547B">
              <w:rPr>
                <w:rFonts w:cstheme="minorHAnsi"/>
                <w:sz w:val="24"/>
                <w:szCs w:val="24"/>
              </w:rPr>
              <w:t>Les colonnes de sol traité, concernées par la présente norme, sont celles qui s’inscrivent dans le cadre défini</w:t>
            </w:r>
            <w:r w:rsidR="00D76D9A">
              <w:rPr>
                <w:rFonts w:cstheme="minorHAnsi"/>
                <w:sz w:val="24"/>
                <w:szCs w:val="24"/>
              </w:rPr>
              <w:t xml:space="preserve"> </w:t>
            </w:r>
            <w:r w:rsidRPr="0043547B">
              <w:rPr>
                <w:rFonts w:cstheme="minorHAnsi"/>
                <w:sz w:val="24"/>
                <w:szCs w:val="24"/>
              </w:rPr>
              <w:t>ci-après :</w:t>
            </w:r>
          </w:p>
          <w:p w:rsidR="003223D1" w:rsidRDefault="003C27D6" w:rsidP="003223D1">
            <w:pPr>
              <w:spacing w:after="0" w:line="240" w:lineRule="auto"/>
              <w:jc w:val="both"/>
              <w:rPr>
                <w:rFonts w:cstheme="minorHAnsi"/>
                <w:sz w:val="24"/>
                <w:szCs w:val="24"/>
              </w:rPr>
            </w:pPr>
            <w:r w:rsidRPr="0043547B">
              <w:rPr>
                <w:rFonts w:cstheme="minorHAnsi"/>
                <w:sz w:val="24"/>
                <w:szCs w:val="24"/>
              </w:rPr>
              <w:t>a) le mélange est effectué au moyen d'outils rotatifs mécanique de malaxage (voir Annexe A, Figure A.1), le sol</w:t>
            </w:r>
            <w:r w:rsidR="00D76D9A">
              <w:rPr>
                <w:rFonts w:cstheme="minorHAnsi"/>
                <w:sz w:val="24"/>
                <w:szCs w:val="24"/>
              </w:rPr>
              <w:t xml:space="preserve"> </w:t>
            </w:r>
            <w:r w:rsidRPr="0043547B">
              <w:rPr>
                <w:rFonts w:cstheme="minorHAnsi"/>
                <w:sz w:val="24"/>
                <w:szCs w:val="24"/>
              </w:rPr>
              <w:t>environnant latéral étant constamment soutenu pendant l’opération ;</w:t>
            </w:r>
          </w:p>
          <w:p w:rsidR="003223D1" w:rsidRDefault="003C27D6" w:rsidP="003223D1">
            <w:pPr>
              <w:spacing w:after="0" w:line="240" w:lineRule="auto"/>
              <w:jc w:val="both"/>
              <w:rPr>
                <w:rFonts w:cstheme="minorHAnsi"/>
                <w:sz w:val="24"/>
                <w:szCs w:val="24"/>
              </w:rPr>
            </w:pPr>
            <w:r w:rsidRPr="0043547B">
              <w:rPr>
                <w:rFonts w:cstheme="minorHAnsi"/>
                <w:sz w:val="24"/>
                <w:szCs w:val="24"/>
              </w:rPr>
              <w:t>b) le traitement du sol est réalisé sur une hauteur minimale de 3 m ;</w:t>
            </w:r>
          </w:p>
          <w:p w:rsidR="003223D1" w:rsidRDefault="003C27D6" w:rsidP="003223D1">
            <w:pPr>
              <w:spacing w:after="0" w:line="240" w:lineRule="auto"/>
              <w:jc w:val="both"/>
              <w:rPr>
                <w:rFonts w:cstheme="minorHAnsi"/>
                <w:sz w:val="24"/>
                <w:szCs w:val="24"/>
              </w:rPr>
            </w:pPr>
            <w:r w:rsidRPr="0043547B">
              <w:rPr>
                <w:rFonts w:cstheme="minorHAnsi"/>
                <w:sz w:val="24"/>
                <w:szCs w:val="24"/>
              </w:rPr>
              <w:t>c) la réalisation de différentes formes et configurations, comprenant des colonnes simples, des panneaux, des</w:t>
            </w:r>
            <w:r w:rsidR="00D76D9A">
              <w:rPr>
                <w:rFonts w:cstheme="minorHAnsi"/>
                <w:sz w:val="24"/>
                <w:szCs w:val="24"/>
              </w:rPr>
              <w:t xml:space="preserve"> </w:t>
            </w:r>
            <w:r w:rsidRPr="0043547B">
              <w:rPr>
                <w:rFonts w:cstheme="minorHAnsi"/>
                <w:sz w:val="24"/>
                <w:szCs w:val="24"/>
              </w:rPr>
              <w:t>grilles, des massifs, des parois ou toute autre combinaison d'au moins deux colonnes simples, se recoupant</w:t>
            </w:r>
            <w:r w:rsidRPr="0043547B">
              <w:rPr>
                <w:rFonts w:cstheme="minorHAnsi"/>
                <w:sz w:val="24"/>
                <w:szCs w:val="24"/>
              </w:rPr>
              <w:br/>
              <w:t>ou non (voir Annexe A, Figures A.8 à A.12) ;</w:t>
            </w:r>
          </w:p>
          <w:p w:rsidR="003223D1" w:rsidRDefault="003C27D6" w:rsidP="003223D1">
            <w:pPr>
              <w:spacing w:after="0" w:line="240" w:lineRule="auto"/>
              <w:jc w:val="both"/>
              <w:rPr>
                <w:rFonts w:cstheme="minorHAnsi"/>
                <w:sz w:val="24"/>
                <w:szCs w:val="24"/>
              </w:rPr>
            </w:pPr>
            <w:r w:rsidRPr="0043547B">
              <w:rPr>
                <w:rFonts w:cstheme="minorHAnsi"/>
                <w:sz w:val="24"/>
                <w:szCs w:val="24"/>
              </w:rPr>
              <w:t>d) le traitement de sol naturel, de remblai, de dépôts d’ordures et de déchets, etc. ;</w:t>
            </w:r>
          </w:p>
          <w:p w:rsidR="003223D1" w:rsidRDefault="003C27D6" w:rsidP="003223D1">
            <w:pPr>
              <w:spacing w:after="0" w:line="240" w:lineRule="auto"/>
              <w:jc w:val="both"/>
              <w:rPr>
                <w:rFonts w:cstheme="minorHAnsi"/>
                <w:sz w:val="24"/>
                <w:szCs w:val="24"/>
              </w:rPr>
            </w:pPr>
            <w:r w:rsidRPr="0043547B">
              <w:rPr>
                <w:rFonts w:cstheme="minorHAnsi"/>
                <w:sz w:val="24"/>
                <w:szCs w:val="24"/>
              </w:rPr>
              <w:t>Il existe d’autres méthodes d'amélioration du sol utilisant des techniques similaires (voir A.3.5).</w:t>
            </w:r>
          </w:p>
          <w:p w:rsidR="003C27D6" w:rsidRPr="0043547B" w:rsidRDefault="003C27D6" w:rsidP="003223D1">
            <w:pPr>
              <w:spacing w:after="0" w:line="240" w:lineRule="auto"/>
              <w:jc w:val="both"/>
              <w:rPr>
                <w:rFonts w:cstheme="minorHAnsi"/>
                <w:sz w:val="24"/>
                <w:szCs w:val="24"/>
              </w:rPr>
            </w:pPr>
            <w:r w:rsidRPr="0043547B">
              <w:rPr>
                <w:rFonts w:cstheme="minorHAnsi"/>
                <w:sz w:val="24"/>
                <w:szCs w:val="24"/>
              </w:rPr>
              <w:t>Des informations pratiques relatives à la réalisation des colonnes de sol traité, comme les procédures d’exécution</w:t>
            </w:r>
            <w:r w:rsidR="00D76D9A">
              <w:rPr>
                <w:rFonts w:cstheme="minorHAnsi"/>
                <w:sz w:val="24"/>
                <w:szCs w:val="24"/>
              </w:rPr>
              <w:t xml:space="preserve"> </w:t>
            </w:r>
            <w:r w:rsidRPr="0043547B">
              <w:rPr>
                <w:rFonts w:cstheme="minorHAnsi"/>
                <w:sz w:val="24"/>
                <w:szCs w:val="24"/>
              </w:rPr>
              <w:t>et les matériels, sont données en Annexe A. Les méthodes d'essais et d'évaluation des paramètres de calcul, qui</w:t>
            </w:r>
            <w:r w:rsidRPr="0043547B">
              <w:rPr>
                <w:rFonts w:cstheme="minorHAnsi"/>
                <w:sz w:val="24"/>
                <w:szCs w:val="24"/>
              </w:rPr>
              <w:br/>
              <w:t>intéressent l'exécution, sont présentées en Annexe B.</w:t>
            </w:r>
          </w:p>
        </w:tc>
      </w:tr>
      <w:tr w:rsidR="0043547B" w:rsidRPr="0043547B" w:rsidTr="00C3756F">
        <w:trPr>
          <w:trHeight w:val="58"/>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tcPr>
          <w:p w:rsidR="003C27D6" w:rsidRPr="00D76D9A" w:rsidRDefault="003C27D6" w:rsidP="003223D1">
            <w:pPr>
              <w:spacing w:after="0" w:line="240" w:lineRule="auto"/>
              <w:jc w:val="center"/>
              <w:rPr>
                <w:rFonts w:cstheme="minorHAnsi"/>
                <w:b/>
                <w:bCs/>
                <w:sz w:val="24"/>
                <w:szCs w:val="24"/>
              </w:rPr>
            </w:pPr>
            <w:r w:rsidRPr="00D76D9A">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tcPr>
          <w:p w:rsidR="003C27D6" w:rsidRPr="00D76D9A" w:rsidRDefault="003C27D6" w:rsidP="003223D1">
            <w:pPr>
              <w:spacing w:after="0" w:line="240" w:lineRule="auto"/>
              <w:jc w:val="center"/>
              <w:rPr>
                <w:rFonts w:cstheme="minorHAnsi"/>
                <w:b/>
                <w:bCs/>
                <w:sz w:val="24"/>
                <w:szCs w:val="24"/>
              </w:rPr>
            </w:pPr>
            <w:r w:rsidRPr="00D76D9A">
              <w:rPr>
                <w:rFonts w:cstheme="minorHAnsi"/>
                <w:b/>
                <w:bCs/>
                <w:sz w:val="24"/>
                <w:szCs w:val="24"/>
              </w:rPr>
              <w:t>NM EN 15237</w:t>
            </w:r>
          </w:p>
        </w:tc>
      </w:tr>
      <w:tr w:rsidR="0043547B" w:rsidRPr="0043547B" w:rsidTr="00C3756F">
        <w:trPr>
          <w:trHeight w:val="58"/>
          <w:jc w:val="center"/>
        </w:trPr>
        <w:tc>
          <w:tcPr>
            <w:tcW w:w="1838" w:type="dxa"/>
            <w:tcBorders>
              <w:top w:val="single" w:sz="18" w:space="0" w:color="auto"/>
              <w:left w:val="single" w:sz="18" w:space="0" w:color="auto"/>
              <w:bottom w:val="single" w:sz="4" w:space="0" w:color="auto"/>
              <w:right w:val="single" w:sz="4" w:space="0" w:color="auto"/>
            </w:tcBorders>
            <w:shd w:val="clear" w:color="auto" w:fill="FDFBA9"/>
            <w:vAlign w:val="center"/>
          </w:tcPr>
          <w:p w:rsidR="003C27D6" w:rsidRPr="00D76D9A" w:rsidRDefault="003C27D6" w:rsidP="003223D1">
            <w:pPr>
              <w:spacing w:after="0" w:line="240" w:lineRule="auto"/>
              <w:jc w:val="center"/>
              <w:rPr>
                <w:rFonts w:cstheme="minorHAnsi"/>
                <w:b/>
                <w:bCs/>
                <w:sz w:val="24"/>
                <w:szCs w:val="24"/>
              </w:rPr>
            </w:pPr>
            <w:r w:rsidRPr="00D76D9A">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DFBA9"/>
            <w:vAlign w:val="bottom"/>
          </w:tcPr>
          <w:p w:rsidR="003C27D6" w:rsidRPr="00D76D9A" w:rsidRDefault="003C27D6" w:rsidP="003223D1">
            <w:pPr>
              <w:spacing w:after="0" w:line="240" w:lineRule="auto"/>
              <w:jc w:val="center"/>
              <w:rPr>
                <w:rFonts w:cstheme="minorHAnsi"/>
                <w:b/>
                <w:bCs/>
                <w:sz w:val="24"/>
                <w:szCs w:val="24"/>
              </w:rPr>
            </w:pPr>
            <w:r w:rsidRPr="00D76D9A">
              <w:rPr>
                <w:rFonts w:cstheme="minorHAnsi"/>
                <w:b/>
                <w:bCs/>
                <w:sz w:val="24"/>
                <w:szCs w:val="24"/>
              </w:rPr>
              <w:t>EN 15237</w:t>
            </w:r>
          </w:p>
        </w:tc>
      </w:tr>
      <w:tr w:rsidR="0043547B" w:rsidRPr="0043547B" w:rsidTr="00C3756F">
        <w:trPr>
          <w:trHeight w:val="58"/>
          <w:jc w:val="center"/>
        </w:trPr>
        <w:tc>
          <w:tcPr>
            <w:tcW w:w="1838" w:type="dxa"/>
            <w:tcBorders>
              <w:top w:val="single" w:sz="4" w:space="0" w:color="auto"/>
              <w:left w:val="single" w:sz="18" w:space="0" w:color="auto"/>
              <w:bottom w:val="single" w:sz="4" w:space="0" w:color="auto"/>
              <w:right w:val="single" w:sz="4" w:space="0" w:color="auto"/>
            </w:tcBorders>
            <w:shd w:val="clear" w:color="auto" w:fill="95B3D7" w:themeFill="accent1" w:themeFillTint="99"/>
            <w:vAlign w:val="center"/>
          </w:tcPr>
          <w:p w:rsidR="003C27D6" w:rsidRPr="0043547B" w:rsidRDefault="003C27D6" w:rsidP="003223D1">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000000" w:fill="FFFFFF"/>
          </w:tcPr>
          <w:p w:rsidR="003C27D6" w:rsidRPr="0043547B" w:rsidRDefault="003C27D6" w:rsidP="003223D1">
            <w:pPr>
              <w:spacing w:after="0" w:line="240" w:lineRule="auto"/>
              <w:rPr>
                <w:rFonts w:cstheme="minorHAnsi"/>
                <w:sz w:val="24"/>
                <w:szCs w:val="24"/>
              </w:rPr>
            </w:pPr>
            <w:r w:rsidRPr="0043547B">
              <w:rPr>
                <w:rFonts w:cstheme="minorHAnsi"/>
                <w:sz w:val="24"/>
                <w:szCs w:val="24"/>
              </w:rPr>
              <w:t xml:space="preserve">Exécution des travaux géotechniques spéciaux - Drains verticaux </w:t>
            </w:r>
          </w:p>
        </w:tc>
      </w:tr>
      <w:tr w:rsidR="0043547B" w:rsidRPr="0043547B" w:rsidTr="00C3756F">
        <w:trPr>
          <w:trHeight w:val="58"/>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3C27D6" w:rsidRPr="0043547B" w:rsidRDefault="003C27D6" w:rsidP="003223D1">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000000" w:fill="FFFFFF"/>
          </w:tcPr>
          <w:p w:rsidR="003223D1" w:rsidRDefault="003C27D6" w:rsidP="003223D1">
            <w:pPr>
              <w:spacing w:after="0" w:line="240" w:lineRule="auto"/>
              <w:jc w:val="both"/>
              <w:rPr>
                <w:rFonts w:cstheme="minorHAnsi"/>
                <w:sz w:val="24"/>
                <w:szCs w:val="24"/>
              </w:rPr>
            </w:pPr>
            <w:r w:rsidRPr="0043547B">
              <w:rPr>
                <w:rFonts w:cstheme="minorHAnsi"/>
                <w:sz w:val="24"/>
                <w:szCs w:val="24"/>
              </w:rPr>
              <w:t>La présente Norme européenne établit les principes généraux pour l'exécution, les essais de contrôle, la surveillance</w:t>
            </w:r>
            <w:r w:rsidR="00D76D9A">
              <w:rPr>
                <w:rFonts w:cstheme="minorHAnsi"/>
                <w:sz w:val="24"/>
                <w:szCs w:val="24"/>
              </w:rPr>
              <w:t xml:space="preserve"> </w:t>
            </w:r>
            <w:r w:rsidRPr="0043547B">
              <w:rPr>
                <w:rFonts w:cstheme="minorHAnsi"/>
                <w:sz w:val="24"/>
                <w:szCs w:val="24"/>
              </w:rPr>
              <w:t>et le suivi des travaux d’installation de réseaux de drains verticaux.</w:t>
            </w:r>
          </w:p>
          <w:p w:rsidR="003223D1" w:rsidRDefault="003C27D6" w:rsidP="003223D1">
            <w:pPr>
              <w:spacing w:after="0" w:line="240" w:lineRule="auto"/>
              <w:jc w:val="both"/>
              <w:rPr>
                <w:rFonts w:cstheme="minorHAnsi"/>
                <w:sz w:val="24"/>
                <w:szCs w:val="24"/>
              </w:rPr>
            </w:pPr>
            <w:r w:rsidRPr="0043547B">
              <w:rPr>
                <w:rFonts w:cstheme="minorHAnsi"/>
                <w:sz w:val="24"/>
                <w:szCs w:val="24"/>
              </w:rPr>
              <w:t>Cette Norme européenne couvre aussi bien les travaux réalisés avec des drains préfabriqués que ceux réalisés avec</w:t>
            </w:r>
            <w:r w:rsidR="00D76D9A">
              <w:rPr>
                <w:rFonts w:cstheme="minorHAnsi"/>
                <w:sz w:val="24"/>
                <w:szCs w:val="24"/>
              </w:rPr>
              <w:t xml:space="preserve"> </w:t>
            </w:r>
            <w:r w:rsidRPr="0043547B">
              <w:rPr>
                <w:rFonts w:cstheme="minorHAnsi"/>
                <w:sz w:val="24"/>
                <w:szCs w:val="24"/>
              </w:rPr>
              <w:t>des drains de sable et elle traite des exigences pour la conception des travaux, les matériaux constitutifs des drains,</w:t>
            </w:r>
            <w:r w:rsidRPr="0043547B">
              <w:rPr>
                <w:rFonts w:cstheme="minorHAnsi"/>
                <w:sz w:val="24"/>
                <w:szCs w:val="24"/>
              </w:rPr>
              <w:br/>
              <w:t>et les méthodes de mise en place. La présente norme s’applique aux travaux d’amélioration des sols de faible</w:t>
            </w:r>
            <w:r w:rsidR="00D76D9A">
              <w:rPr>
                <w:rFonts w:cstheme="minorHAnsi"/>
                <w:sz w:val="24"/>
                <w:szCs w:val="24"/>
              </w:rPr>
              <w:t xml:space="preserve"> </w:t>
            </w:r>
            <w:r w:rsidRPr="0043547B">
              <w:rPr>
                <w:rFonts w:cstheme="minorHAnsi"/>
                <w:sz w:val="24"/>
                <w:szCs w:val="24"/>
              </w:rPr>
              <w:t>perméabilité et fortement compressibles, par préchargement du terrain associé à un réseau de drains verticaux.</w:t>
            </w:r>
            <w:r w:rsidRPr="0043547B">
              <w:rPr>
                <w:rFonts w:cstheme="minorHAnsi"/>
                <w:sz w:val="24"/>
                <w:szCs w:val="24"/>
              </w:rPr>
              <w:br/>
            </w:r>
            <w:r w:rsidRPr="0043547B">
              <w:rPr>
                <w:rFonts w:cstheme="minorHAnsi"/>
                <w:sz w:val="24"/>
                <w:szCs w:val="24"/>
              </w:rPr>
              <w:lastRenderedPageBreak/>
              <w:t>Des indications relatives au chargement et au préchargement du terrain (avec un remblai, par consolidation</w:t>
            </w:r>
            <w:r w:rsidR="00D76D9A">
              <w:rPr>
                <w:rFonts w:cstheme="minorHAnsi"/>
                <w:sz w:val="24"/>
                <w:szCs w:val="24"/>
              </w:rPr>
              <w:t xml:space="preserve"> </w:t>
            </w:r>
            <w:r w:rsidRPr="0043547B">
              <w:rPr>
                <w:rFonts w:cstheme="minorHAnsi"/>
                <w:sz w:val="24"/>
                <w:szCs w:val="24"/>
              </w:rPr>
              <w:t>atmosphérique ou par rabattement de la nappe) sont données dans les Annexes informatives A et B.</w:t>
            </w:r>
          </w:p>
          <w:p w:rsidR="003223D1" w:rsidRDefault="003C27D6" w:rsidP="003223D1">
            <w:pPr>
              <w:spacing w:after="0" w:line="240" w:lineRule="auto"/>
              <w:jc w:val="both"/>
              <w:rPr>
                <w:rFonts w:cstheme="minorHAnsi"/>
                <w:sz w:val="24"/>
                <w:szCs w:val="24"/>
              </w:rPr>
            </w:pPr>
            <w:r w:rsidRPr="0043547B">
              <w:rPr>
                <w:rFonts w:cstheme="minorHAnsi"/>
                <w:sz w:val="24"/>
                <w:szCs w:val="24"/>
              </w:rPr>
              <w:t xml:space="preserve">Les réseaux de drains verticaux sont </w:t>
            </w:r>
            <w:r w:rsidR="00C3756F" w:rsidRPr="0043547B">
              <w:rPr>
                <w:rFonts w:cstheme="minorHAnsi"/>
                <w:sz w:val="24"/>
                <w:szCs w:val="24"/>
              </w:rPr>
              <w:t>utilisés</w:t>
            </w:r>
            <w:r w:rsidRPr="0043547B">
              <w:rPr>
                <w:rFonts w:cstheme="minorHAnsi"/>
                <w:sz w:val="24"/>
                <w:szCs w:val="24"/>
              </w:rPr>
              <w:t xml:space="preserve"> aussi bien pour les projets en site terrestre que pour les projets en mer</w:t>
            </w:r>
            <w:r w:rsidR="00D76D9A">
              <w:rPr>
                <w:rFonts w:cstheme="minorHAnsi"/>
                <w:sz w:val="24"/>
                <w:szCs w:val="24"/>
              </w:rPr>
              <w:t xml:space="preserve"> </w:t>
            </w:r>
            <w:r w:rsidRPr="0043547B">
              <w:rPr>
                <w:rFonts w:cstheme="minorHAnsi"/>
                <w:sz w:val="24"/>
                <w:szCs w:val="24"/>
              </w:rPr>
              <w:t>dans les buts suivants :</w:t>
            </w:r>
          </w:p>
          <w:p w:rsidR="003223D1" w:rsidRDefault="003C27D6" w:rsidP="003223D1">
            <w:pPr>
              <w:spacing w:after="0" w:line="240" w:lineRule="auto"/>
              <w:jc w:val="both"/>
              <w:rPr>
                <w:rFonts w:cstheme="minorHAnsi"/>
                <w:sz w:val="24"/>
                <w:szCs w:val="24"/>
              </w:rPr>
            </w:pPr>
            <w:r w:rsidRPr="0043547B">
              <w:rPr>
                <w:rFonts w:cstheme="minorHAnsi"/>
                <w:sz w:val="24"/>
                <w:szCs w:val="24"/>
              </w:rPr>
              <w:t>— (pré-)consolider un massif de sol au droit d’un futur ouvrage pour réduire les tassements après sa construction ;</w:t>
            </w:r>
          </w:p>
          <w:p w:rsidR="003223D1" w:rsidRDefault="003C27D6" w:rsidP="003223D1">
            <w:pPr>
              <w:spacing w:after="0" w:line="240" w:lineRule="auto"/>
              <w:jc w:val="both"/>
              <w:rPr>
                <w:rFonts w:cstheme="minorHAnsi"/>
                <w:sz w:val="24"/>
                <w:szCs w:val="24"/>
              </w:rPr>
            </w:pPr>
            <w:r w:rsidRPr="0043547B">
              <w:rPr>
                <w:rFonts w:cstheme="minorHAnsi"/>
                <w:sz w:val="24"/>
                <w:szCs w:val="24"/>
              </w:rPr>
              <w:t>— accélérer le processus de consolidation d'un massif de sol, c’est à dire le processus de dissipation des pressions</w:t>
            </w:r>
            <w:r w:rsidR="00D76D9A">
              <w:rPr>
                <w:rFonts w:cstheme="minorHAnsi"/>
                <w:sz w:val="24"/>
                <w:szCs w:val="24"/>
              </w:rPr>
              <w:t xml:space="preserve"> </w:t>
            </w:r>
            <w:r w:rsidRPr="0043547B">
              <w:rPr>
                <w:rFonts w:cstheme="minorHAnsi"/>
                <w:sz w:val="24"/>
                <w:szCs w:val="24"/>
              </w:rPr>
              <w:t>interstitielles à l’intérieur de celui-ci, en réduisant le trajet d’écoulement des eaux ;</w:t>
            </w:r>
          </w:p>
          <w:p w:rsidR="003223D1" w:rsidRDefault="003C27D6" w:rsidP="003223D1">
            <w:pPr>
              <w:spacing w:after="0" w:line="240" w:lineRule="auto"/>
              <w:jc w:val="both"/>
              <w:rPr>
                <w:rFonts w:cstheme="minorHAnsi"/>
                <w:sz w:val="24"/>
                <w:szCs w:val="24"/>
              </w:rPr>
            </w:pPr>
            <w:r w:rsidRPr="0043547B">
              <w:rPr>
                <w:rFonts w:cstheme="minorHAnsi"/>
                <w:sz w:val="24"/>
                <w:szCs w:val="24"/>
              </w:rPr>
              <w:t>— améliorer la stabilité d'un massif de sol (en augmentant les contraintes effectives dans celui-ci) ;</w:t>
            </w:r>
          </w:p>
          <w:p w:rsidR="003223D1" w:rsidRDefault="003C27D6" w:rsidP="003223D1">
            <w:pPr>
              <w:spacing w:after="0" w:line="240" w:lineRule="auto"/>
              <w:jc w:val="both"/>
              <w:rPr>
                <w:rFonts w:cstheme="minorHAnsi"/>
                <w:sz w:val="24"/>
                <w:szCs w:val="24"/>
              </w:rPr>
            </w:pPr>
            <w:r w:rsidRPr="0043547B">
              <w:rPr>
                <w:rFonts w:cstheme="minorHAnsi"/>
                <w:sz w:val="24"/>
                <w:szCs w:val="24"/>
              </w:rPr>
              <w:t>— rabattre le niveau d'une nappe ;</w:t>
            </w:r>
          </w:p>
          <w:p w:rsidR="003223D1" w:rsidRDefault="003C27D6" w:rsidP="003223D1">
            <w:pPr>
              <w:spacing w:after="0" w:line="240" w:lineRule="auto"/>
              <w:jc w:val="both"/>
              <w:rPr>
                <w:rFonts w:cstheme="minorHAnsi"/>
                <w:sz w:val="24"/>
                <w:szCs w:val="24"/>
              </w:rPr>
            </w:pPr>
            <w:r w:rsidRPr="0043547B">
              <w:rPr>
                <w:rFonts w:cstheme="minorHAnsi"/>
                <w:sz w:val="24"/>
                <w:szCs w:val="24"/>
              </w:rPr>
              <w:t>— réduire les effets de la liquéfaction du sol.</w:t>
            </w:r>
          </w:p>
          <w:p w:rsidR="00C3756F" w:rsidRDefault="003C27D6" w:rsidP="00C3756F">
            <w:pPr>
              <w:spacing w:after="0" w:line="240" w:lineRule="auto"/>
              <w:jc w:val="both"/>
              <w:rPr>
                <w:rFonts w:cstheme="minorHAnsi"/>
                <w:sz w:val="24"/>
                <w:szCs w:val="24"/>
              </w:rPr>
            </w:pPr>
            <w:r w:rsidRPr="0043547B">
              <w:rPr>
                <w:rFonts w:cstheme="minorHAnsi"/>
                <w:sz w:val="24"/>
                <w:szCs w:val="24"/>
              </w:rPr>
              <w:t>Pour toutes ces applications, un traitement d’ensemble du massif est réalisé (le volume des drains est faible par</w:t>
            </w:r>
            <w:r w:rsidR="00C3756F">
              <w:rPr>
                <w:rFonts w:cstheme="minorHAnsi"/>
                <w:sz w:val="24"/>
                <w:szCs w:val="24"/>
              </w:rPr>
              <w:t xml:space="preserve"> </w:t>
            </w:r>
            <w:r w:rsidRPr="0043547B">
              <w:rPr>
                <w:rFonts w:cstheme="minorHAnsi"/>
                <w:sz w:val="24"/>
                <w:szCs w:val="24"/>
              </w:rPr>
              <w:t>rapport au volume de sol traité).</w:t>
            </w:r>
          </w:p>
          <w:p w:rsidR="00C3756F" w:rsidRDefault="003C27D6" w:rsidP="00C3756F">
            <w:pPr>
              <w:spacing w:after="0" w:line="240" w:lineRule="auto"/>
              <w:jc w:val="both"/>
              <w:rPr>
                <w:rFonts w:cstheme="minorHAnsi"/>
                <w:sz w:val="24"/>
                <w:szCs w:val="24"/>
              </w:rPr>
            </w:pPr>
            <w:r w:rsidRPr="0043547B">
              <w:rPr>
                <w:rFonts w:cstheme="minorHAnsi"/>
                <w:sz w:val="24"/>
                <w:szCs w:val="24"/>
              </w:rPr>
              <w:t>La présente Norme européenne ne couvre pas l'amélioration des massifs de sol au moyen de puits, de colonnes</w:t>
            </w:r>
            <w:r w:rsidR="00D76D9A">
              <w:rPr>
                <w:rFonts w:cstheme="minorHAnsi"/>
                <w:sz w:val="24"/>
                <w:szCs w:val="24"/>
              </w:rPr>
              <w:t xml:space="preserve"> </w:t>
            </w:r>
            <w:r w:rsidRPr="0043547B">
              <w:rPr>
                <w:rFonts w:cstheme="minorHAnsi"/>
                <w:sz w:val="24"/>
                <w:szCs w:val="24"/>
              </w:rPr>
              <w:t>ballastées, de colonnes de sable de grand diamètre dans une gaine géotextile ou d’inclusions rigides.</w:t>
            </w:r>
          </w:p>
          <w:p w:rsidR="00C3756F" w:rsidRDefault="003C27D6" w:rsidP="00C3756F">
            <w:pPr>
              <w:spacing w:after="0" w:line="240" w:lineRule="auto"/>
              <w:jc w:val="both"/>
              <w:rPr>
                <w:rFonts w:cstheme="minorHAnsi"/>
                <w:sz w:val="24"/>
                <w:szCs w:val="24"/>
              </w:rPr>
            </w:pPr>
            <w:r w:rsidRPr="0043547B">
              <w:rPr>
                <w:rFonts w:cstheme="minorHAnsi"/>
                <w:sz w:val="24"/>
                <w:szCs w:val="24"/>
              </w:rPr>
              <w:t>Un réseau de drains verticaux peut également être associé à d'autres techniques de fondation ou d'amélioration de</w:t>
            </w:r>
            <w:r w:rsidR="00D76D9A">
              <w:rPr>
                <w:rFonts w:cstheme="minorHAnsi"/>
                <w:sz w:val="24"/>
                <w:szCs w:val="24"/>
              </w:rPr>
              <w:t xml:space="preserve"> </w:t>
            </w:r>
            <w:r w:rsidRPr="0043547B">
              <w:rPr>
                <w:rFonts w:cstheme="minorHAnsi"/>
                <w:sz w:val="24"/>
                <w:szCs w:val="24"/>
              </w:rPr>
              <w:t>massifs de sol, telles que l'électro-osmose, les pieux, les pieux de sable compacté, le compactage dynamique et les</w:t>
            </w:r>
            <w:r w:rsidR="00D76D9A">
              <w:rPr>
                <w:rFonts w:cstheme="minorHAnsi"/>
                <w:sz w:val="24"/>
                <w:szCs w:val="24"/>
              </w:rPr>
              <w:t xml:space="preserve"> </w:t>
            </w:r>
            <w:r w:rsidRPr="0043547B">
              <w:rPr>
                <w:rFonts w:cstheme="minorHAnsi"/>
                <w:sz w:val="24"/>
                <w:szCs w:val="24"/>
              </w:rPr>
              <w:t>colonnes de sol traité.</w:t>
            </w:r>
          </w:p>
          <w:p w:rsidR="003C27D6" w:rsidRPr="0043547B" w:rsidRDefault="003C27D6" w:rsidP="00C3756F">
            <w:pPr>
              <w:spacing w:after="0" w:line="240" w:lineRule="auto"/>
              <w:jc w:val="both"/>
              <w:rPr>
                <w:rFonts w:cstheme="minorHAnsi"/>
                <w:sz w:val="24"/>
                <w:szCs w:val="24"/>
              </w:rPr>
            </w:pPr>
            <w:r w:rsidRPr="0043547B">
              <w:rPr>
                <w:rFonts w:cstheme="minorHAnsi"/>
                <w:sz w:val="24"/>
                <w:szCs w:val="24"/>
              </w:rPr>
              <w:t xml:space="preserve">L'Annexe A </w:t>
            </w:r>
            <w:r w:rsidR="00C3756F" w:rsidRPr="0043547B">
              <w:rPr>
                <w:rFonts w:cstheme="minorHAnsi"/>
                <w:sz w:val="24"/>
                <w:szCs w:val="24"/>
              </w:rPr>
              <w:t>fourni</w:t>
            </w:r>
            <w:r w:rsidRPr="0043547B">
              <w:rPr>
                <w:rFonts w:cstheme="minorHAnsi"/>
                <w:sz w:val="24"/>
                <w:szCs w:val="24"/>
              </w:rPr>
              <w:t xml:space="preserve"> des informations pratiques sur les drains verticaux, telles que la détermination des propriétés des</w:t>
            </w:r>
            <w:r w:rsidR="00D76D9A">
              <w:rPr>
                <w:rFonts w:cstheme="minorHAnsi"/>
                <w:sz w:val="24"/>
                <w:szCs w:val="24"/>
              </w:rPr>
              <w:t xml:space="preserve"> </w:t>
            </w:r>
            <w:r w:rsidRPr="0043547B">
              <w:rPr>
                <w:rFonts w:cstheme="minorHAnsi"/>
                <w:sz w:val="24"/>
                <w:szCs w:val="24"/>
              </w:rPr>
              <w:t xml:space="preserve">drains, les procédures d’exécution et le matériel de mise en </w:t>
            </w:r>
            <w:r w:rsidR="00C3756F" w:rsidRPr="0043547B">
              <w:rPr>
                <w:rFonts w:cstheme="minorHAnsi"/>
                <w:sz w:val="24"/>
                <w:szCs w:val="24"/>
              </w:rPr>
              <w:t>œuvre</w:t>
            </w:r>
            <w:r w:rsidRPr="0043547B">
              <w:rPr>
                <w:rFonts w:cstheme="minorHAnsi"/>
                <w:sz w:val="24"/>
                <w:szCs w:val="24"/>
              </w:rPr>
              <w:t>. L'Annexe B fournit des informations concernant</w:t>
            </w:r>
            <w:r w:rsidRPr="0043547B">
              <w:rPr>
                <w:rFonts w:cstheme="minorHAnsi"/>
                <w:sz w:val="24"/>
                <w:szCs w:val="24"/>
              </w:rPr>
              <w:br/>
              <w:t>la reconnaissance des terrains et l'évaluation des paramètres de calcul qui sont influencés par les propriétés des</w:t>
            </w:r>
            <w:r w:rsidR="00D76D9A">
              <w:rPr>
                <w:rFonts w:cstheme="minorHAnsi"/>
                <w:sz w:val="24"/>
                <w:szCs w:val="24"/>
              </w:rPr>
              <w:t xml:space="preserve"> </w:t>
            </w:r>
            <w:r w:rsidRPr="0043547B">
              <w:rPr>
                <w:rFonts w:cstheme="minorHAnsi"/>
                <w:sz w:val="24"/>
                <w:szCs w:val="24"/>
              </w:rPr>
              <w:t>drains et leur installation.</w:t>
            </w:r>
          </w:p>
        </w:tc>
      </w:tr>
      <w:tr w:rsidR="0043547B" w:rsidRPr="0043547B" w:rsidTr="00C3756F">
        <w:trPr>
          <w:trHeight w:val="58"/>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tcPr>
          <w:p w:rsidR="003C27D6" w:rsidRPr="00D76D9A" w:rsidRDefault="003C27D6" w:rsidP="00C3756F">
            <w:pPr>
              <w:spacing w:after="0" w:line="240" w:lineRule="auto"/>
              <w:jc w:val="center"/>
              <w:rPr>
                <w:rFonts w:cstheme="minorHAnsi"/>
                <w:b/>
                <w:bCs/>
                <w:sz w:val="24"/>
                <w:szCs w:val="24"/>
              </w:rPr>
            </w:pPr>
            <w:r w:rsidRPr="00D76D9A">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tcPr>
          <w:p w:rsidR="003C27D6" w:rsidRPr="00D76D9A" w:rsidRDefault="003C27D6" w:rsidP="00C3756F">
            <w:pPr>
              <w:spacing w:after="0" w:line="240" w:lineRule="auto"/>
              <w:jc w:val="center"/>
              <w:rPr>
                <w:rFonts w:cstheme="minorHAnsi"/>
                <w:b/>
                <w:bCs/>
                <w:sz w:val="24"/>
                <w:szCs w:val="24"/>
              </w:rPr>
            </w:pPr>
            <w:r w:rsidRPr="00D76D9A">
              <w:rPr>
                <w:rFonts w:cstheme="minorHAnsi"/>
                <w:b/>
                <w:bCs/>
                <w:sz w:val="24"/>
                <w:szCs w:val="24"/>
              </w:rPr>
              <w:t>NM EN 14731</w:t>
            </w:r>
          </w:p>
        </w:tc>
      </w:tr>
      <w:tr w:rsidR="0043547B" w:rsidRPr="0043547B" w:rsidTr="00C3756F">
        <w:trPr>
          <w:trHeight w:val="58"/>
          <w:jc w:val="center"/>
        </w:trPr>
        <w:tc>
          <w:tcPr>
            <w:tcW w:w="1838" w:type="dxa"/>
            <w:tcBorders>
              <w:top w:val="single" w:sz="18" w:space="0" w:color="auto"/>
              <w:left w:val="single" w:sz="18" w:space="0" w:color="auto"/>
              <w:bottom w:val="single" w:sz="4" w:space="0" w:color="auto"/>
              <w:right w:val="single" w:sz="4" w:space="0" w:color="auto"/>
            </w:tcBorders>
            <w:shd w:val="clear" w:color="auto" w:fill="FDFBA9"/>
            <w:vAlign w:val="center"/>
          </w:tcPr>
          <w:p w:rsidR="003C27D6" w:rsidRPr="00D76D9A" w:rsidRDefault="003C27D6" w:rsidP="00C3756F">
            <w:pPr>
              <w:spacing w:after="0" w:line="240" w:lineRule="auto"/>
              <w:jc w:val="center"/>
              <w:rPr>
                <w:rFonts w:cstheme="minorHAnsi"/>
                <w:b/>
                <w:bCs/>
                <w:sz w:val="24"/>
                <w:szCs w:val="24"/>
              </w:rPr>
            </w:pPr>
            <w:r w:rsidRPr="00D76D9A">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DFBA9"/>
            <w:vAlign w:val="bottom"/>
          </w:tcPr>
          <w:p w:rsidR="003C27D6" w:rsidRPr="00D76D9A" w:rsidRDefault="003C27D6" w:rsidP="00C3756F">
            <w:pPr>
              <w:spacing w:after="0" w:line="240" w:lineRule="auto"/>
              <w:jc w:val="center"/>
              <w:rPr>
                <w:rFonts w:cstheme="minorHAnsi"/>
                <w:b/>
                <w:bCs/>
                <w:sz w:val="24"/>
                <w:szCs w:val="24"/>
              </w:rPr>
            </w:pPr>
            <w:r w:rsidRPr="00D76D9A">
              <w:rPr>
                <w:rFonts w:cstheme="minorHAnsi"/>
                <w:b/>
                <w:bCs/>
                <w:sz w:val="24"/>
                <w:szCs w:val="24"/>
              </w:rPr>
              <w:t>EN 14731</w:t>
            </w:r>
          </w:p>
        </w:tc>
      </w:tr>
      <w:tr w:rsidR="0043547B" w:rsidRPr="0043547B" w:rsidTr="00C3756F">
        <w:trPr>
          <w:trHeight w:val="58"/>
          <w:jc w:val="center"/>
        </w:trPr>
        <w:tc>
          <w:tcPr>
            <w:tcW w:w="1838" w:type="dxa"/>
            <w:tcBorders>
              <w:top w:val="single" w:sz="4" w:space="0" w:color="auto"/>
              <w:left w:val="single" w:sz="18" w:space="0" w:color="auto"/>
              <w:bottom w:val="single" w:sz="4" w:space="0" w:color="auto"/>
              <w:right w:val="single" w:sz="4" w:space="0" w:color="auto"/>
            </w:tcBorders>
            <w:shd w:val="clear" w:color="auto" w:fill="95B3D7" w:themeFill="accent1" w:themeFillTint="99"/>
            <w:vAlign w:val="center"/>
          </w:tcPr>
          <w:p w:rsidR="003C27D6" w:rsidRPr="0043547B" w:rsidRDefault="003C27D6" w:rsidP="00C3756F">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left w:val="single" w:sz="4" w:space="0" w:color="auto"/>
              <w:bottom w:val="single" w:sz="4" w:space="0" w:color="auto"/>
              <w:right w:val="single" w:sz="18" w:space="0" w:color="auto"/>
            </w:tcBorders>
            <w:shd w:val="clear" w:color="000000" w:fill="FFFFFF"/>
          </w:tcPr>
          <w:p w:rsidR="003C27D6" w:rsidRPr="0043547B" w:rsidRDefault="003C27D6" w:rsidP="00C3756F">
            <w:pPr>
              <w:spacing w:after="0" w:line="240" w:lineRule="auto"/>
              <w:rPr>
                <w:rFonts w:cstheme="minorHAnsi"/>
                <w:sz w:val="24"/>
                <w:szCs w:val="24"/>
              </w:rPr>
            </w:pPr>
            <w:r w:rsidRPr="0043547B">
              <w:rPr>
                <w:rFonts w:cstheme="minorHAnsi"/>
                <w:sz w:val="24"/>
                <w:szCs w:val="24"/>
              </w:rPr>
              <w:t xml:space="preserve">Exécution de travaux géotechniques spéciaux - Amélioration des massifs de sol par vibration </w:t>
            </w:r>
          </w:p>
        </w:tc>
      </w:tr>
      <w:tr w:rsidR="0043547B" w:rsidRPr="0043547B" w:rsidTr="00C3756F">
        <w:trPr>
          <w:trHeight w:val="58"/>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3C27D6" w:rsidRPr="0043547B" w:rsidRDefault="003C27D6" w:rsidP="00C3756F">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000000" w:fill="FFFFFF"/>
          </w:tcPr>
          <w:p w:rsidR="00C3756F" w:rsidRDefault="003C27D6" w:rsidP="00C3756F">
            <w:pPr>
              <w:spacing w:after="0" w:line="240" w:lineRule="auto"/>
              <w:jc w:val="both"/>
              <w:rPr>
                <w:rFonts w:cstheme="minorHAnsi"/>
                <w:sz w:val="24"/>
                <w:szCs w:val="24"/>
              </w:rPr>
            </w:pPr>
            <w:r w:rsidRPr="0043547B">
              <w:rPr>
                <w:rFonts w:cstheme="minorHAnsi"/>
                <w:sz w:val="24"/>
                <w:szCs w:val="24"/>
              </w:rPr>
              <w:t>La présente Norme européenne s’applique à l’organisation, à l’exécution, au suivi et au contrôle des travaux</w:t>
            </w:r>
            <w:r w:rsidR="00D76D9A">
              <w:rPr>
                <w:rFonts w:cstheme="minorHAnsi"/>
                <w:sz w:val="24"/>
                <w:szCs w:val="24"/>
              </w:rPr>
              <w:t xml:space="preserve"> </w:t>
            </w:r>
            <w:r w:rsidRPr="0043547B">
              <w:rPr>
                <w:rFonts w:cstheme="minorHAnsi"/>
                <w:sz w:val="24"/>
                <w:szCs w:val="24"/>
              </w:rPr>
              <w:t>d’amélioration des massifs de sol par vibration réalisés à l’aide de vibreurs de profondeur (ou vibreurs torpilles)</w:t>
            </w:r>
            <w:r w:rsidR="00C3756F">
              <w:rPr>
                <w:rFonts w:cstheme="minorHAnsi"/>
                <w:sz w:val="24"/>
                <w:szCs w:val="24"/>
              </w:rPr>
              <w:t xml:space="preserve"> </w:t>
            </w:r>
            <w:r w:rsidRPr="0043547B">
              <w:rPr>
                <w:rFonts w:cstheme="minorHAnsi"/>
                <w:sz w:val="24"/>
                <w:szCs w:val="24"/>
              </w:rPr>
              <w:t>ou de profilés vibrants.</w:t>
            </w:r>
            <w:r w:rsidRPr="0043547B">
              <w:rPr>
                <w:rFonts w:cstheme="minorHAnsi"/>
                <w:sz w:val="24"/>
                <w:szCs w:val="24"/>
              </w:rPr>
              <w:br/>
              <w:t>La présente Norme européenne recouvre les types de traitement suivants :</w:t>
            </w:r>
          </w:p>
          <w:p w:rsidR="00C3756F" w:rsidRDefault="003C27D6" w:rsidP="00C3756F">
            <w:pPr>
              <w:spacing w:after="0" w:line="240" w:lineRule="auto"/>
              <w:jc w:val="both"/>
              <w:rPr>
                <w:rFonts w:cstheme="minorHAnsi"/>
                <w:sz w:val="24"/>
                <w:szCs w:val="24"/>
              </w:rPr>
            </w:pPr>
            <w:r w:rsidRPr="0043547B">
              <w:rPr>
                <w:rFonts w:cstheme="minorHAnsi"/>
                <w:sz w:val="24"/>
                <w:szCs w:val="24"/>
              </w:rPr>
              <w:t>— les traitements par vibration profonde (ou vibrocompactage) réalisés pour augmenter la densité d’un massif de</w:t>
            </w:r>
            <w:r w:rsidR="00D76D9A">
              <w:rPr>
                <w:rFonts w:cstheme="minorHAnsi"/>
                <w:sz w:val="24"/>
                <w:szCs w:val="24"/>
              </w:rPr>
              <w:t xml:space="preserve"> </w:t>
            </w:r>
            <w:r w:rsidRPr="0043547B">
              <w:rPr>
                <w:rFonts w:cstheme="minorHAnsi"/>
                <w:sz w:val="24"/>
                <w:szCs w:val="24"/>
              </w:rPr>
              <w:t>terrain existant ;</w:t>
            </w:r>
          </w:p>
          <w:p w:rsidR="00C3756F" w:rsidRDefault="003C27D6" w:rsidP="00C3756F">
            <w:pPr>
              <w:spacing w:after="0" w:line="240" w:lineRule="auto"/>
              <w:jc w:val="both"/>
              <w:rPr>
                <w:rFonts w:cstheme="minorHAnsi"/>
                <w:sz w:val="24"/>
                <w:szCs w:val="24"/>
              </w:rPr>
            </w:pPr>
            <w:r w:rsidRPr="0043547B">
              <w:rPr>
                <w:rFonts w:cstheme="minorHAnsi"/>
                <w:sz w:val="24"/>
                <w:szCs w:val="24"/>
              </w:rPr>
              <w:t>— les traitements par colonnes ballastées vibrées réalisés pour renforcer un massif de terrain en insérant des</w:t>
            </w:r>
            <w:r w:rsidR="00D76D9A">
              <w:rPr>
                <w:rFonts w:cstheme="minorHAnsi"/>
                <w:sz w:val="24"/>
                <w:szCs w:val="24"/>
              </w:rPr>
              <w:t xml:space="preserve"> </w:t>
            </w:r>
            <w:r w:rsidRPr="0043547B">
              <w:rPr>
                <w:rFonts w:cstheme="minorHAnsi"/>
                <w:sz w:val="24"/>
                <w:szCs w:val="24"/>
              </w:rPr>
              <w:t>colonnes de matériaux granulaires compactés par vibration. En règle générale, les colonnes ballastées ont un</w:t>
            </w:r>
            <w:r w:rsidR="00D76D9A">
              <w:rPr>
                <w:rFonts w:cstheme="minorHAnsi"/>
                <w:sz w:val="24"/>
                <w:szCs w:val="24"/>
              </w:rPr>
              <w:t xml:space="preserve"> </w:t>
            </w:r>
            <w:r w:rsidRPr="0043547B">
              <w:rPr>
                <w:rFonts w:cstheme="minorHAnsi"/>
                <w:sz w:val="24"/>
                <w:szCs w:val="24"/>
              </w:rPr>
              <w:t>diamètre compris entre 0,6 m et 1,2 m.</w:t>
            </w:r>
          </w:p>
          <w:p w:rsidR="00C3756F" w:rsidRDefault="003C27D6" w:rsidP="00C3756F">
            <w:pPr>
              <w:spacing w:after="0" w:line="240" w:lineRule="auto"/>
              <w:jc w:val="both"/>
              <w:rPr>
                <w:rFonts w:cstheme="minorHAnsi"/>
                <w:sz w:val="24"/>
                <w:szCs w:val="24"/>
              </w:rPr>
            </w:pPr>
            <w:r w:rsidRPr="0043547B">
              <w:rPr>
                <w:rFonts w:cstheme="minorHAnsi"/>
                <w:sz w:val="24"/>
                <w:szCs w:val="24"/>
              </w:rPr>
              <w:t>La présente Norme européenne recouvre les procédés de traitement suivants :</w:t>
            </w:r>
          </w:p>
          <w:p w:rsidR="00C3756F" w:rsidRDefault="003C27D6" w:rsidP="00C3756F">
            <w:pPr>
              <w:spacing w:after="0" w:line="240" w:lineRule="auto"/>
              <w:jc w:val="both"/>
              <w:rPr>
                <w:rFonts w:cstheme="minorHAnsi"/>
                <w:sz w:val="24"/>
                <w:szCs w:val="24"/>
              </w:rPr>
            </w:pPr>
            <w:r w:rsidRPr="0043547B">
              <w:rPr>
                <w:rFonts w:cstheme="minorHAnsi"/>
                <w:sz w:val="24"/>
                <w:szCs w:val="24"/>
              </w:rPr>
              <w:t>— les procédés consistant à insérer dans le terrain des vibreurs de profondeur (ou vibreurs torpilles), comportant</w:t>
            </w:r>
            <w:r w:rsidR="00D76D9A">
              <w:rPr>
                <w:rFonts w:cstheme="minorHAnsi"/>
                <w:sz w:val="24"/>
                <w:szCs w:val="24"/>
              </w:rPr>
              <w:t xml:space="preserve"> </w:t>
            </w:r>
            <w:r w:rsidRPr="0043547B">
              <w:rPr>
                <w:rFonts w:cstheme="minorHAnsi"/>
                <w:sz w:val="24"/>
                <w:szCs w:val="24"/>
              </w:rPr>
              <w:t>des masses oscillantes qui provoquent des vibrations horizontales ;</w:t>
            </w:r>
          </w:p>
          <w:p w:rsidR="00C3756F" w:rsidRDefault="003C27D6" w:rsidP="00C3756F">
            <w:pPr>
              <w:spacing w:after="0" w:line="240" w:lineRule="auto"/>
              <w:jc w:val="both"/>
              <w:rPr>
                <w:rFonts w:cstheme="minorHAnsi"/>
                <w:sz w:val="24"/>
                <w:szCs w:val="24"/>
              </w:rPr>
            </w:pPr>
            <w:r w:rsidRPr="0043547B">
              <w:rPr>
                <w:rFonts w:cstheme="minorHAnsi"/>
                <w:sz w:val="24"/>
                <w:szCs w:val="24"/>
              </w:rPr>
              <w:t>— les procédés consistant à insérer dans le terrain des profilés vibrants transmettant à celui-ci les oscillations</w:t>
            </w:r>
            <w:r w:rsidR="00D76D9A">
              <w:rPr>
                <w:rFonts w:cstheme="minorHAnsi"/>
                <w:sz w:val="24"/>
                <w:szCs w:val="24"/>
              </w:rPr>
              <w:t xml:space="preserve"> </w:t>
            </w:r>
            <w:r w:rsidRPr="0043547B">
              <w:rPr>
                <w:rFonts w:cstheme="minorHAnsi"/>
                <w:sz w:val="24"/>
                <w:szCs w:val="24"/>
              </w:rPr>
              <w:t xml:space="preserve">d’un vibreur de tête qui, le plus souvent, </w:t>
            </w:r>
            <w:r w:rsidR="00C3756F" w:rsidRPr="0043547B">
              <w:rPr>
                <w:rFonts w:cstheme="minorHAnsi"/>
                <w:sz w:val="24"/>
                <w:szCs w:val="24"/>
              </w:rPr>
              <w:t>provoquent</w:t>
            </w:r>
            <w:r w:rsidRPr="0043547B">
              <w:rPr>
                <w:rFonts w:cstheme="minorHAnsi"/>
                <w:sz w:val="24"/>
                <w:szCs w:val="24"/>
              </w:rPr>
              <w:t xml:space="preserve"> des vibrations verticales.</w:t>
            </w:r>
          </w:p>
          <w:p w:rsidR="00C3756F" w:rsidRDefault="003C27D6" w:rsidP="00C3756F">
            <w:pPr>
              <w:spacing w:after="0" w:line="240" w:lineRule="auto"/>
              <w:jc w:val="both"/>
              <w:rPr>
                <w:rFonts w:cstheme="minorHAnsi"/>
                <w:sz w:val="24"/>
                <w:szCs w:val="24"/>
              </w:rPr>
            </w:pPr>
            <w:r w:rsidRPr="0043547B">
              <w:rPr>
                <w:rFonts w:cstheme="minorHAnsi"/>
                <w:sz w:val="24"/>
                <w:szCs w:val="24"/>
              </w:rPr>
              <w:lastRenderedPageBreak/>
              <w:t>Les procédés de traitement sont présentés dans les Annexes A et B.</w:t>
            </w:r>
          </w:p>
          <w:p w:rsidR="00C3756F" w:rsidRDefault="003C27D6" w:rsidP="00C3756F">
            <w:pPr>
              <w:spacing w:after="0" w:line="240" w:lineRule="auto"/>
              <w:jc w:val="both"/>
              <w:rPr>
                <w:rFonts w:cstheme="minorHAnsi"/>
                <w:sz w:val="24"/>
                <w:szCs w:val="24"/>
              </w:rPr>
            </w:pPr>
            <w:r w:rsidRPr="0043547B">
              <w:rPr>
                <w:rFonts w:cstheme="minorHAnsi"/>
                <w:sz w:val="24"/>
                <w:szCs w:val="24"/>
              </w:rPr>
              <w:t>La présente Norme européenne ne porte pas, entre autres, sur les procédés de traitement suivants :</w:t>
            </w:r>
          </w:p>
          <w:p w:rsidR="00C3756F" w:rsidRDefault="003C27D6" w:rsidP="00C3756F">
            <w:pPr>
              <w:spacing w:after="0" w:line="240" w:lineRule="auto"/>
              <w:jc w:val="both"/>
              <w:rPr>
                <w:rFonts w:cstheme="minorHAnsi"/>
                <w:sz w:val="24"/>
                <w:szCs w:val="24"/>
              </w:rPr>
            </w:pPr>
            <w:r w:rsidRPr="0043547B">
              <w:rPr>
                <w:rFonts w:cstheme="minorHAnsi"/>
                <w:sz w:val="24"/>
                <w:szCs w:val="24"/>
              </w:rPr>
              <w:t>— les procédés consistant à réaliser des colonnes de sables ou de pierres par pilonnage direct ou à l’aide d’un</w:t>
            </w:r>
            <w:r w:rsidR="00C3756F">
              <w:rPr>
                <w:rFonts w:cstheme="minorHAnsi"/>
                <w:sz w:val="24"/>
                <w:szCs w:val="24"/>
              </w:rPr>
              <w:t xml:space="preserve"> </w:t>
            </w:r>
            <w:r w:rsidRPr="0043547B">
              <w:rPr>
                <w:rFonts w:cstheme="minorHAnsi"/>
                <w:sz w:val="24"/>
                <w:szCs w:val="24"/>
              </w:rPr>
              <w:t>tube de fonçage vibré en tête ;</w:t>
            </w:r>
          </w:p>
          <w:p w:rsidR="00C3756F" w:rsidRDefault="003C27D6" w:rsidP="00C3756F">
            <w:pPr>
              <w:spacing w:after="0" w:line="240" w:lineRule="auto"/>
              <w:jc w:val="both"/>
              <w:rPr>
                <w:rFonts w:cstheme="minorHAnsi"/>
                <w:sz w:val="24"/>
                <w:szCs w:val="24"/>
              </w:rPr>
            </w:pPr>
            <w:r w:rsidRPr="0043547B">
              <w:rPr>
                <w:rFonts w:cstheme="minorHAnsi"/>
                <w:sz w:val="24"/>
                <w:szCs w:val="24"/>
              </w:rPr>
              <w:t>— les procédés consistant à réaliser des colonnes très raides en malaxant les terrains granulaires avec du ciment</w:t>
            </w:r>
            <w:r w:rsidR="00D76D9A">
              <w:rPr>
                <w:rFonts w:cstheme="minorHAnsi"/>
                <w:sz w:val="24"/>
                <w:szCs w:val="24"/>
              </w:rPr>
              <w:t xml:space="preserve"> </w:t>
            </w:r>
            <w:r w:rsidRPr="0043547B">
              <w:rPr>
                <w:rFonts w:cstheme="minorHAnsi"/>
                <w:sz w:val="24"/>
                <w:szCs w:val="24"/>
              </w:rPr>
              <w:t>ou du béton ;</w:t>
            </w:r>
          </w:p>
          <w:p w:rsidR="00C3756F" w:rsidRDefault="003C27D6" w:rsidP="00C3756F">
            <w:pPr>
              <w:spacing w:after="0" w:line="240" w:lineRule="auto"/>
              <w:jc w:val="both"/>
              <w:rPr>
                <w:rFonts w:cstheme="minorHAnsi"/>
                <w:sz w:val="24"/>
                <w:szCs w:val="24"/>
              </w:rPr>
            </w:pPr>
            <w:r w:rsidRPr="0043547B">
              <w:rPr>
                <w:rFonts w:cstheme="minorHAnsi"/>
                <w:sz w:val="24"/>
                <w:szCs w:val="24"/>
              </w:rPr>
              <w:t>— le compactage dynamique (ou pilonnage) et les autres méthodes dans lesquelles le compactage est effectuée</w:t>
            </w:r>
            <w:r w:rsidR="00D76D9A">
              <w:rPr>
                <w:rFonts w:cstheme="minorHAnsi"/>
                <w:sz w:val="24"/>
                <w:szCs w:val="24"/>
              </w:rPr>
              <w:t xml:space="preserve"> </w:t>
            </w:r>
            <w:r w:rsidRPr="0043547B">
              <w:rPr>
                <w:rFonts w:cstheme="minorHAnsi"/>
                <w:sz w:val="24"/>
                <w:szCs w:val="24"/>
              </w:rPr>
              <w:t>depuis la surface du terrain ;</w:t>
            </w:r>
          </w:p>
          <w:p w:rsidR="003C27D6" w:rsidRPr="0043547B" w:rsidRDefault="003C27D6" w:rsidP="00C3756F">
            <w:pPr>
              <w:spacing w:after="0" w:line="240" w:lineRule="auto"/>
              <w:jc w:val="both"/>
              <w:rPr>
                <w:rFonts w:cstheme="minorHAnsi"/>
                <w:sz w:val="24"/>
                <w:szCs w:val="24"/>
              </w:rPr>
            </w:pPr>
            <w:r w:rsidRPr="0043547B">
              <w:rPr>
                <w:rFonts w:cstheme="minorHAnsi"/>
                <w:sz w:val="24"/>
                <w:szCs w:val="24"/>
              </w:rPr>
              <w:t>— le compactage par explosifs.</w:t>
            </w:r>
          </w:p>
        </w:tc>
      </w:tr>
      <w:tr w:rsidR="0043547B" w:rsidRPr="0043547B" w:rsidTr="004D4DBB">
        <w:trPr>
          <w:trHeight w:val="58"/>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tcPr>
          <w:p w:rsidR="003C27D6" w:rsidRPr="00D76D9A" w:rsidRDefault="003C27D6" w:rsidP="00C3756F">
            <w:pPr>
              <w:spacing w:after="0" w:line="240" w:lineRule="auto"/>
              <w:jc w:val="center"/>
              <w:rPr>
                <w:rFonts w:cstheme="minorHAnsi"/>
                <w:b/>
                <w:bCs/>
                <w:sz w:val="24"/>
                <w:szCs w:val="24"/>
              </w:rPr>
            </w:pPr>
            <w:r w:rsidRPr="00D76D9A">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tcPr>
          <w:p w:rsidR="003C27D6" w:rsidRPr="00D76D9A" w:rsidRDefault="003C27D6" w:rsidP="00C3756F">
            <w:pPr>
              <w:spacing w:after="0" w:line="240" w:lineRule="auto"/>
              <w:jc w:val="center"/>
              <w:rPr>
                <w:rFonts w:cstheme="minorHAnsi"/>
                <w:b/>
                <w:bCs/>
                <w:sz w:val="24"/>
                <w:szCs w:val="24"/>
              </w:rPr>
            </w:pPr>
            <w:r w:rsidRPr="00D76D9A">
              <w:rPr>
                <w:rFonts w:cstheme="minorHAnsi"/>
                <w:b/>
                <w:bCs/>
                <w:sz w:val="24"/>
                <w:szCs w:val="24"/>
              </w:rPr>
              <w:t>NM ISO 14689</w:t>
            </w:r>
          </w:p>
        </w:tc>
      </w:tr>
      <w:tr w:rsidR="0043547B" w:rsidRPr="0043547B" w:rsidTr="00566A17">
        <w:trPr>
          <w:trHeight w:val="58"/>
          <w:jc w:val="center"/>
        </w:trPr>
        <w:tc>
          <w:tcPr>
            <w:tcW w:w="1838" w:type="dxa"/>
            <w:tcBorders>
              <w:top w:val="single" w:sz="18" w:space="0" w:color="auto"/>
              <w:left w:val="single" w:sz="18" w:space="0" w:color="auto"/>
              <w:bottom w:val="single" w:sz="18" w:space="0" w:color="auto"/>
              <w:right w:val="single" w:sz="4" w:space="0" w:color="auto"/>
            </w:tcBorders>
            <w:shd w:val="clear" w:color="auto" w:fill="FDFBA9"/>
            <w:vAlign w:val="center"/>
          </w:tcPr>
          <w:p w:rsidR="003C27D6" w:rsidRPr="00D76D9A" w:rsidRDefault="003C27D6" w:rsidP="00C3756F">
            <w:pPr>
              <w:spacing w:after="0" w:line="240" w:lineRule="auto"/>
              <w:jc w:val="center"/>
              <w:rPr>
                <w:rFonts w:cstheme="minorHAnsi"/>
                <w:b/>
                <w:bCs/>
                <w:sz w:val="24"/>
                <w:szCs w:val="24"/>
              </w:rPr>
            </w:pPr>
            <w:r w:rsidRPr="00D76D9A">
              <w:rPr>
                <w:rFonts w:cstheme="minorHAnsi"/>
                <w:b/>
                <w:bCs/>
                <w:sz w:val="24"/>
                <w:szCs w:val="24"/>
              </w:rPr>
              <w:t>Equivalence :</w:t>
            </w:r>
          </w:p>
        </w:tc>
        <w:tc>
          <w:tcPr>
            <w:tcW w:w="7938" w:type="dxa"/>
            <w:tcBorders>
              <w:top w:val="single" w:sz="18" w:space="0" w:color="auto"/>
              <w:left w:val="single" w:sz="4" w:space="0" w:color="auto"/>
              <w:bottom w:val="single" w:sz="18" w:space="0" w:color="auto"/>
              <w:right w:val="single" w:sz="18" w:space="0" w:color="auto"/>
            </w:tcBorders>
            <w:shd w:val="clear" w:color="auto" w:fill="FDFBA9"/>
            <w:vAlign w:val="bottom"/>
          </w:tcPr>
          <w:p w:rsidR="003C27D6" w:rsidRPr="00D76D9A" w:rsidRDefault="003C27D6" w:rsidP="00C3756F">
            <w:pPr>
              <w:spacing w:after="0" w:line="240" w:lineRule="auto"/>
              <w:jc w:val="center"/>
              <w:rPr>
                <w:rFonts w:cstheme="minorHAnsi"/>
                <w:b/>
                <w:bCs/>
                <w:sz w:val="24"/>
                <w:szCs w:val="24"/>
              </w:rPr>
            </w:pPr>
            <w:r w:rsidRPr="00D76D9A">
              <w:rPr>
                <w:rFonts w:cstheme="minorHAnsi"/>
                <w:b/>
                <w:bCs/>
                <w:sz w:val="24"/>
                <w:szCs w:val="24"/>
              </w:rPr>
              <w:t>ISO 14689</w:t>
            </w:r>
          </w:p>
        </w:tc>
      </w:tr>
      <w:tr w:rsidR="0043547B" w:rsidRPr="0043547B" w:rsidTr="00566A17">
        <w:trPr>
          <w:trHeight w:val="58"/>
          <w:jc w:val="center"/>
        </w:trPr>
        <w:tc>
          <w:tcPr>
            <w:tcW w:w="1838" w:type="dxa"/>
            <w:tcBorders>
              <w:top w:val="single" w:sz="18" w:space="0" w:color="auto"/>
              <w:left w:val="single" w:sz="18" w:space="0" w:color="auto"/>
              <w:bottom w:val="single" w:sz="4" w:space="0" w:color="auto"/>
              <w:right w:val="single" w:sz="4" w:space="0" w:color="auto"/>
            </w:tcBorders>
            <w:shd w:val="clear" w:color="auto" w:fill="95B3D7" w:themeFill="accent1" w:themeFillTint="99"/>
            <w:vAlign w:val="center"/>
          </w:tcPr>
          <w:p w:rsidR="003C27D6" w:rsidRPr="0043547B" w:rsidRDefault="003C27D6" w:rsidP="00C3756F">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000000" w:fill="FFFFFF"/>
          </w:tcPr>
          <w:p w:rsidR="003C27D6" w:rsidRPr="0043547B" w:rsidRDefault="003C27D6" w:rsidP="00C3756F">
            <w:pPr>
              <w:spacing w:after="0" w:line="240" w:lineRule="auto"/>
              <w:rPr>
                <w:rFonts w:cstheme="minorHAnsi"/>
                <w:sz w:val="24"/>
                <w:szCs w:val="24"/>
              </w:rPr>
            </w:pPr>
            <w:r w:rsidRPr="0043547B">
              <w:rPr>
                <w:rFonts w:cstheme="minorHAnsi"/>
                <w:sz w:val="24"/>
                <w:szCs w:val="24"/>
              </w:rPr>
              <w:t xml:space="preserve">Exécution de travaux géotechniques spéciaux - Amélioration des massifs de sol par vibration </w:t>
            </w:r>
          </w:p>
        </w:tc>
      </w:tr>
      <w:tr w:rsidR="0043547B" w:rsidRPr="0043547B" w:rsidTr="00566A17">
        <w:trPr>
          <w:trHeight w:val="58"/>
          <w:jc w:val="center"/>
        </w:trPr>
        <w:tc>
          <w:tcPr>
            <w:tcW w:w="1838" w:type="dxa"/>
            <w:tcBorders>
              <w:top w:val="single" w:sz="4" w:space="0" w:color="auto"/>
              <w:left w:val="single" w:sz="18" w:space="0" w:color="auto"/>
              <w:bottom w:val="single" w:sz="18" w:space="0" w:color="auto"/>
              <w:right w:val="single" w:sz="4" w:space="0" w:color="auto"/>
            </w:tcBorders>
            <w:shd w:val="clear" w:color="000000" w:fill="D9D9D9"/>
            <w:vAlign w:val="center"/>
          </w:tcPr>
          <w:p w:rsidR="003C27D6" w:rsidRPr="0043547B" w:rsidRDefault="003C27D6" w:rsidP="00C3756F">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left w:val="single" w:sz="4" w:space="0" w:color="auto"/>
              <w:bottom w:val="single" w:sz="18" w:space="0" w:color="auto"/>
              <w:right w:val="single" w:sz="18" w:space="0" w:color="auto"/>
            </w:tcBorders>
            <w:shd w:val="clear" w:color="000000" w:fill="FFFFFF"/>
          </w:tcPr>
          <w:p w:rsidR="00C3756F" w:rsidRDefault="003C27D6" w:rsidP="00C3756F">
            <w:pPr>
              <w:spacing w:after="0" w:line="240" w:lineRule="auto"/>
              <w:jc w:val="both"/>
              <w:rPr>
                <w:rFonts w:cstheme="minorHAnsi"/>
                <w:sz w:val="24"/>
                <w:szCs w:val="24"/>
              </w:rPr>
            </w:pPr>
            <w:r w:rsidRPr="0043547B">
              <w:rPr>
                <w:rFonts w:cstheme="minorHAnsi"/>
                <w:sz w:val="24"/>
                <w:szCs w:val="24"/>
              </w:rPr>
              <w:t>Ce document spécifie les règles pour l'identification et la description du matériau et du massif rocheux</w:t>
            </w:r>
            <w:r w:rsidR="00D76D9A">
              <w:rPr>
                <w:rFonts w:cstheme="minorHAnsi"/>
                <w:sz w:val="24"/>
                <w:szCs w:val="24"/>
              </w:rPr>
              <w:t xml:space="preserve"> </w:t>
            </w:r>
            <w:r w:rsidRPr="0043547B">
              <w:rPr>
                <w:rFonts w:cstheme="minorHAnsi"/>
                <w:sz w:val="24"/>
                <w:szCs w:val="24"/>
              </w:rPr>
              <w:t>sur la base de la composition minéralogique, des aspects génétiques, de la structure, de la taille des</w:t>
            </w:r>
            <w:r w:rsidR="00D76D9A">
              <w:rPr>
                <w:rFonts w:cstheme="minorHAnsi"/>
                <w:sz w:val="24"/>
                <w:szCs w:val="24"/>
              </w:rPr>
              <w:t xml:space="preserve"> </w:t>
            </w:r>
            <w:r w:rsidRPr="0043547B">
              <w:rPr>
                <w:rFonts w:cstheme="minorHAnsi"/>
                <w:sz w:val="24"/>
                <w:szCs w:val="24"/>
              </w:rPr>
              <w:t>grains, des discontinuités et d'autres paramètres. Il fournit également des règles pour la description</w:t>
            </w:r>
            <w:r w:rsidR="00D76D9A">
              <w:rPr>
                <w:rFonts w:cstheme="minorHAnsi"/>
                <w:sz w:val="24"/>
                <w:szCs w:val="24"/>
              </w:rPr>
              <w:t xml:space="preserve"> </w:t>
            </w:r>
            <w:r w:rsidRPr="0043547B">
              <w:rPr>
                <w:rFonts w:cstheme="minorHAnsi"/>
                <w:sz w:val="24"/>
                <w:szCs w:val="24"/>
              </w:rPr>
              <w:t>d'autres caractéristiques aussi bien que pour leur désignation.</w:t>
            </w:r>
          </w:p>
          <w:p w:rsidR="00C3756F" w:rsidRDefault="003C27D6" w:rsidP="00C3756F">
            <w:pPr>
              <w:spacing w:after="0" w:line="240" w:lineRule="auto"/>
              <w:jc w:val="both"/>
              <w:rPr>
                <w:rFonts w:cstheme="minorHAnsi"/>
                <w:sz w:val="24"/>
                <w:szCs w:val="24"/>
              </w:rPr>
            </w:pPr>
            <w:r w:rsidRPr="0043547B">
              <w:rPr>
                <w:rFonts w:cstheme="minorHAnsi"/>
                <w:sz w:val="24"/>
                <w:szCs w:val="24"/>
              </w:rPr>
              <w:t>Ce document s'applique à la description des roches pour la géotechnique et la géologie appliquée dans</w:t>
            </w:r>
            <w:r w:rsidR="00D76D9A">
              <w:rPr>
                <w:rFonts w:cstheme="minorHAnsi"/>
                <w:sz w:val="24"/>
                <w:szCs w:val="24"/>
              </w:rPr>
              <w:t xml:space="preserve"> </w:t>
            </w:r>
            <w:r w:rsidRPr="0043547B">
              <w:rPr>
                <w:rFonts w:cstheme="minorHAnsi"/>
                <w:sz w:val="24"/>
                <w:szCs w:val="24"/>
              </w:rPr>
              <w:t>le génie civil. La description est effectuée sur des carottes et d'autres échantillons de roche et sur des</w:t>
            </w:r>
            <w:r w:rsidR="00D76D9A">
              <w:rPr>
                <w:rFonts w:cstheme="minorHAnsi"/>
                <w:sz w:val="24"/>
                <w:szCs w:val="24"/>
              </w:rPr>
              <w:t xml:space="preserve"> </w:t>
            </w:r>
            <w:r w:rsidRPr="0043547B">
              <w:rPr>
                <w:rFonts w:cstheme="minorHAnsi"/>
                <w:sz w:val="24"/>
                <w:szCs w:val="24"/>
              </w:rPr>
              <w:t>affleurements rocheux.</w:t>
            </w:r>
          </w:p>
          <w:p w:rsidR="003C27D6" w:rsidRPr="0043547B" w:rsidRDefault="003C27D6" w:rsidP="00C3756F">
            <w:pPr>
              <w:spacing w:after="0" w:line="240" w:lineRule="auto"/>
              <w:jc w:val="both"/>
              <w:rPr>
                <w:rFonts w:cstheme="minorHAnsi"/>
                <w:sz w:val="24"/>
                <w:szCs w:val="24"/>
              </w:rPr>
            </w:pPr>
            <w:r w:rsidRPr="0043547B">
              <w:rPr>
                <w:rFonts w:cstheme="minorHAnsi"/>
                <w:sz w:val="24"/>
                <w:szCs w:val="24"/>
              </w:rPr>
              <w:t>Les systèmes de classification des massifs rocheux utilisant un ou plusieurs paramètres descriptifs</w:t>
            </w:r>
            <w:r w:rsidR="00D76D9A">
              <w:rPr>
                <w:rFonts w:cstheme="minorHAnsi"/>
                <w:sz w:val="24"/>
                <w:szCs w:val="24"/>
              </w:rPr>
              <w:t xml:space="preserve"> </w:t>
            </w:r>
            <w:r w:rsidRPr="0043547B">
              <w:rPr>
                <w:rFonts w:cstheme="minorHAnsi"/>
                <w:sz w:val="24"/>
                <w:szCs w:val="24"/>
              </w:rPr>
              <w:t>permettant d’apprécier le comportement du massif rocheux sont hors du domaine d’application de ce</w:t>
            </w:r>
            <w:r w:rsidR="00D76D9A">
              <w:rPr>
                <w:rFonts w:cstheme="minorHAnsi"/>
                <w:sz w:val="24"/>
                <w:szCs w:val="24"/>
              </w:rPr>
              <w:t xml:space="preserve"> </w:t>
            </w:r>
            <w:r w:rsidRPr="0043547B">
              <w:rPr>
                <w:rFonts w:cstheme="minorHAnsi"/>
                <w:sz w:val="24"/>
                <w:szCs w:val="24"/>
              </w:rPr>
              <w:t>document (voir Bibliographie).</w:t>
            </w:r>
            <w:r w:rsidRPr="0043547B">
              <w:rPr>
                <w:rFonts w:cstheme="minorHAnsi"/>
                <w:sz w:val="24"/>
                <w:szCs w:val="24"/>
              </w:rPr>
              <w:br/>
            </w:r>
            <w:r w:rsidRPr="00C3756F">
              <w:rPr>
                <w:rFonts w:cstheme="minorHAnsi"/>
                <w:b/>
                <w:bCs/>
                <w:i/>
                <w:iCs/>
              </w:rPr>
              <w:t>NOTE</w:t>
            </w:r>
            <w:r w:rsidR="00C3756F" w:rsidRPr="00C3756F">
              <w:rPr>
                <w:rFonts w:cstheme="minorHAnsi"/>
                <w:i/>
                <w:iCs/>
              </w:rPr>
              <w:t xml:space="preserve"> : </w:t>
            </w:r>
            <w:r w:rsidRPr="00C3756F">
              <w:rPr>
                <w:rFonts w:cstheme="minorHAnsi"/>
                <w:i/>
                <w:iCs/>
              </w:rPr>
              <w:t>L'identification et la classification des sols pour les projets d’ingénierie sont couvertes par l’ISO 14688-1</w:t>
            </w:r>
            <w:r w:rsidR="00D76D9A" w:rsidRPr="00C3756F">
              <w:rPr>
                <w:rFonts w:cstheme="minorHAnsi"/>
                <w:i/>
                <w:iCs/>
              </w:rPr>
              <w:t xml:space="preserve"> </w:t>
            </w:r>
            <w:r w:rsidRPr="00C3756F">
              <w:rPr>
                <w:rFonts w:cstheme="minorHAnsi"/>
                <w:i/>
                <w:iCs/>
              </w:rPr>
              <w:t>et ISO 14688-2. L'identification et la description des matériaux intermédiaires entre le sol et les roches sont</w:t>
            </w:r>
            <w:r w:rsidR="00C3756F" w:rsidRPr="00C3756F">
              <w:rPr>
                <w:rFonts w:cstheme="minorHAnsi"/>
                <w:i/>
                <w:iCs/>
              </w:rPr>
              <w:t xml:space="preserve"> </w:t>
            </w:r>
            <w:r w:rsidRPr="00C3756F">
              <w:rPr>
                <w:rFonts w:cstheme="minorHAnsi"/>
                <w:i/>
                <w:iCs/>
              </w:rPr>
              <w:t>effectuées suivant les procédures les plus adaptées parmi celles de ce présent document, de l’ISO 14688-2 et de</w:t>
            </w:r>
            <w:r w:rsidR="00D76D9A" w:rsidRPr="00C3756F">
              <w:rPr>
                <w:rFonts w:cstheme="minorHAnsi"/>
                <w:i/>
                <w:iCs/>
              </w:rPr>
              <w:t xml:space="preserve"> </w:t>
            </w:r>
            <w:r w:rsidRPr="00C3756F">
              <w:rPr>
                <w:rFonts w:cstheme="minorHAnsi"/>
                <w:i/>
                <w:iCs/>
              </w:rPr>
              <w:t>l’ISO 14689-1.</w:t>
            </w:r>
          </w:p>
        </w:tc>
      </w:tr>
    </w:tbl>
    <w:p w:rsidR="00904E52" w:rsidRPr="0043547B" w:rsidRDefault="004130CC" w:rsidP="00B905D3">
      <w:pPr>
        <w:pStyle w:val="Titre3"/>
        <w:numPr>
          <w:ilvl w:val="1"/>
          <w:numId w:val="2"/>
        </w:numPr>
        <w:tabs>
          <w:tab w:val="left" w:pos="1134"/>
          <w:tab w:val="left" w:pos="1276"/>
        </w:tabs>
        <w:rPr>
          <w:rFonts w:asciiTheme="minorHAnsi" w:hAnsiTheme="minorHAnsi" w:cstheme="minorHAnsi"/>
          <w:sz w:val="24"/>
          <w:szCs w:val="24"/>
          <w:u w:val="single"/>
        </w:rPr>
      </w:pPr>
      <w:bookmarkStart w:id="48" w:name="_Toc458606104"/>
      <w:r>
        <w:rPr>
          <w:rFonts w:asciiTheme="minorHAnsi" w:hAnsiTheme="minorHAnsi" w:cstheme="minorHAnsi"/>
          <w:sz w:val="24"/>
          <w:szCs w:val="24"/>
          <w:u w:val="single"/>
        </w:rPr>
        <w:t xml:space="preserve">    </w:t>
      </w:r>
      <w:r w:rsidR="00904E52" w:rsidRPr="0043547B">
        <w:rPr>
          <w:rFonts w:asciiTheme="minorHAnsi" w:hAnsiTheme="minorHAnsi" w:cstheme="minorHAnsi"/>
          <w:sz w:val="24"/>
          <w:szCs w:val="24"/>
          <w:u w:val="single"/>
        </w:rPr>
        <w:t>Lots N°9 : Energies renouvelables</w:t>
      </w:r>
      <w:bookmarkEnd w:id="48"/>
    </w:p>
    <w:tbl>
      <w:tblPr>
        <w:tblW w:w="9776" w:type="dxa"/>
        <w:jc w:val="center"/>
        <w:tblCellMar>
          <w:left w:w="70" w:type="dxa"/>
          <w:right w:w="70" w:type="dxa"/>
        </w:tblCellMar>
        <w:tblLook w:val="04A0" w:firstRow="1" w:lastRow="0" w:firstColumn="1" w:lastColumn="0" w:noHBand="0" w:noVBand="1"/>
      </w:tblPr>
      <w:tblGrid>
        <w:gridCol w:w="1838"/>
        <w:gridCol w:w="7938"/>
      </w:tblGrid>
      <w:tr w:rsidR="0043547B" w:rsidRPr="0043547B" w:rsidTr="00296D44">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06.5.102</w:t>
            </w:r>
          </w:p>
        </w:tc>
      </w:tr>
      <w:tr w:rsidR="0043547B" w:rsidRPr="0043547B" w:rsidTr="00296D44">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60904-2 - A1</w:t>
            </w:r>
          </w:p>
        </w:tc>
      </w:tr>
      <w:tr w:rsidR="0043547B" w:rsidRPr="0043547B" w:rsidTr="00296D44">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Dispositifs photovoltaïques - Exigences relatives aux cellules solaires de référence</w:t>
            </w:r>
          </w:p>
        </w:tc>
      </w:tr>
      <w:tr w:rsidR="0043547B" w:rsidRPr="0043547B" w:rsidTr="00296D44">
        <w:trPr>
          <w:trHeight w:val="712"/>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donne les prescriptions relatives à la classification, à la sélection, au conditionnement, au marquage, à l'étalonnage et aux précautions d'utilisation des cellules solaires de référence.</w:t>
            </w:r>
          </w:p>
        </w:tc>
      </w:tr>
      <w:tr w:rsidR="0043547B" w:rsidRPr="0043547B" w:rsidTr="00296D44">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06.5.106</w:t>
            </w:r>
          </w:p>
        </w:tc>
      </w:tr>
      <w:tr w:rsidR="0043547B" w:rsidRPr="0043547B" w:rsidTr="00296D44">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60904-6 - A1</w:t>
            </w:r>
          </w:p>
        </w:tc>
      </w:tr>
      <w:tr w:rsidR="0043547B" w:rsidRPr="0043547B" w:rsidTr="00296D44">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Dispositifs photovoltaïques - Exigences relatives aux modules solaires de référence</w:t>
            </w:r>
          </w:p>
        </w:tc>
      </w:tr>
      <w:tr w:rsidR="0043547B" w:rsidRPr="0043547B" w:rsidTr="00296D44">
        <w:trPr>
          <w:trHeight w:val="623"/>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donne les prescriptions relatives à la sélection, au conditionnement, à l'étalonnage, au marquage et aux précautions d'utilisation des modules solaires de référence. Elle est prévue pour compléter la NM 06.5.102.</w:t>
            </w:r>
          </w:p>
        </w:tc>
      </w:tr>
      <w:tr w:rsidR="0043547B" w:rsidRPr="0043547B" w:rsidTr="00296D44">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B7CE88"/>
            <w:vAlign w:val="center"/>
            <w:hideMark/>
          </w:tcPr>
          <w:p w:rsidR="00435069" w:rsidRPr="0043547B" w:rsidRDefault="00435069" w:rsidP="004640DC">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B7CE88"/>
            <w:vAlign w:val="center"/>
            <w:hideMark/>
          </w:tcPr>
          <w:p w:rsidR="00435069" w:rsidRPr="0043547B" w:rsidRDefault="00435069" w:rsidP="004640DC">
            <w:pPr>
              <w:spacing w:after="0" w:line="240" w:lineRule="auto"/>
              <w:jc w:val="center"/>
              <w:rPr>
                <w:rFonts w:cstheme="minorHAnsi"/>
                <w:b/>
                <w:bCs/>
                <w:sz w:val="24"/>
                <w:szCs w:val="24"/>
              </w:rPr>
            </w:pPr>
            <w:r w:rsidRPr="0043547B">
              <w:rPr>
                <w:rFonts w:cstheme="minorHAnsi"/>
                <w:b/>
                <w:bCs/>
                <w:sz w:val="24"/>
                <w:szCs w:val="24"/>
              </w:rPr>
              <w:t>NM IEC 61472-1</w:t>
            </w:r>
          </w:p>
        </w:tc>
      </w:tr>
      <w:tr w:rsidR="0043547B" w:rsidRPr="0043547B" w:rsidTr="00296D44">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435069" w:rsidRPr="0043547B" w:rsidRDefault="00435069" w:rsidP="004640DC">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435069" w:rsidRPr="0043547B" w:rsidRDefault="00435069" w:rsidP="004640DC">
            <w:pPr>
              <w:spacing w:after="0" w:line="240" w:lineRule="auto"/>
              <w:jc w:val="center"/>
              <w:rPr>
                <w:rFonts w:cstheme="minorHAnsi"/>
                <w:b/>
                <w:bCs/>
                <w:sz w:val="24"/>
                <w:szCs w:val="24"/>
              </w:rPr>
            </w:pPr>
            <w:r w:rsidRPr="0043547B">
              <w:rPr>
                <w:rFonts w:cstheme="minorHAnsi"/>
                <w:b/>
                <w:bCs/>
                <w:sz w:val="24"/>
                <w:szCs w:val="24"/>
              </w:rPr>
              <w:t>IEC 61427-1</w:t>
            </w:r>
          </w:p>
        </w:tc>
      </w:tr>
      <w:tr w:rsidR="0043547B" w:rsidRPr="0043547B" w:rsidTr="00296D44">
        <w:trPr>
          <w:trHeight w:val="6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435069" w:rsidRPr="0043547B" w:rsidRDefault="00435069" w:rsidP="004640DC">
            <w:pPr>
              <w:spacing w:after="0" w:line="240" w:lineRule="auto"/>
              <w:jc w:val="center"/>
              <w:rPr>
                <w:rFonts w:cstheme="minorHAnsi"/>
                <w:b/>
                <w:bCs/>
                <w:sz w:val="24"/>
                <w:szCs w:val="24"/>
              </w:rPr>
            </w:pPr>
            <w:r w:rsidRPr="0043547B">
              <w:rPr>
                <w:rFonts w:cstheme="minorHAnsi"/>
                <w:b/>
                <w:bCs/>
                <w:sz w:val="24"/>
                <w:szCs w:val="24"/>
              </w:rPr>
              <w:lastRenderedPageBreak/>
              <w:t>Intitulé :</w:t>
            </w:r>
          </w:p>
        </w:tc>
        <w:tc>
          <w:tcPr>
            <w:tcW w:w="7938" w:type="dxa"/>
            <w:tcBorders>
              <w:top w:val="nil"/>
              <w:left w:val="single" w:sz="4" w:space="0" w:color="auto"/>
              <w:bottom w:val="single" w:sz="4" w:space="0" w:color="auto"/>
              <w:right w:val="single" w:sz="18" w:space="0" w:color="auto"/>
            </w:tcBorders>
            <w:shd w:val="clear" w:color="auto" w:fill="auto"/>
            <w:hideMark/>
          </w:tcPr>
          <w:p w:rsidR="00435069" w:rsidRPr="0043547B" w:rsidRDefault="00435069" w:rsidP="004640DC">
            <w:pPr>
              <w:spacing w:after="0" w:line="240" w:lineRule="auto"/>
              <w:jc w:val="both"/>
              <w:rPr>
                <w:rFonts w:cstheme="minorHAnsi"/>
                <w:sz w:val="24"/>
                <w:szCs w:val="24"/>
              </w:rPr>
            </w:pPr>
            <w:r w:rsidRPr="0043547B">
              <w:rPr>
                <w:rFonts w:cstheme="minorHAnsi"/>
                <w:sz w:val="24"/>
                <w:szCs w:val="24"/>
              </w:rPr>
              <w:t>Accumulateurs pour le stockage de l'énergie renouvelable - Exigences générales et méthodes d'essais - Partie 1 : Applications photovoltaïques hors réseaux</w:t>
            </w:r>
          </w:p>
        </w:tc>
      </w:tr>
      <w:tr w:rsidR="0043547B" w:rsidRPr="0043547B" w:rsidTr="00296D44">
        <w:trPr>
          <w:trHeight w:val="56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435069" w:rsidRPr="0043547B" w:rsidRDefault="00435069" w:rsidP="004640DC">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bottom"/>
            <w:hideMark/>
          </w:tcPr>
          <w:p w:rsidR="004640DC" w:rsidRPr="0043547B" w:rsidRDefault="00435069" w:rsidP="004640DC">
            <w:pPr>
              <w:spacing w:after="0" w:line="240" w:lineRule="auto"/>
              <w:jc w:val="both"/>
              <w:rPr>
                <w:rFonts w:cstheme="minorHAnsi"/>
                <w:sz w:val="24"/>
                <w:szCs w:val="24"/>
              </w:rPr>
            </w:pPr>
            <w:r w:rsidRPr="0043547B">
              <w:rPr>
                <w:rFonts w:cstheme="minorHAnsi"/>
                <w:sz w:val="24"/>
                <w:szCs w:val="24"/>
              </w:rPr>
              <w:t>La présente partie de la série CEI 61427 donne des informations générales relatives aux exigences applicables aux accumulateurs utilisés dans les systèmes photovoltaïques (SPV) et aux méthodes d'essais spécifiques utilisées pour la vérification des performances de l’accumulateur. La présente partie traite des éléments et batteries utilisés dans les applications photovoltaïques hors réseaux.</w:t>
            </w:r>
          </w:p>
          <w:p w:rsidR="00296D44" w:rsidRPr="00296D44" w:rsidRDefault="00296D44" w:rsidP="00296D44">
            <w:pPr>
              <w:spacing w:after="0" w:line="240" w:lineRule="auto"/>
              <w:jc w:val="both"/>
              <w:rPr>
                <w:rFonts w:cstheme="minorHAnsi"/>
                <w:i/>
                <w:iCs/>
              </w:rPr>
            </w:pPr>
            <w:r w:rsidRPr="00296D44">
              <w:rPr>
                <w:rFonts w:cstheme="minorHAnsi"/>
                <w:b/>
                <w:bCs/>
                <w:i/>
                <w:iCs/>
              </w:rPr>
              <w:t>NOTE</w:t>
            </w:r>
            <w:r w:rsidRPr="00296D44">
              <w:rPr>
                <w:rFonts w:cstheme="minorHAnsi"/>
                <w:i/>
                <w:iCs/>
              </w:rPr>
              <w:t> : La partie 2 de cette série portera sur les éléments et batteries utilisés pour le "stockage d'énergie renouvelable dans les applications en réseaux".</w:t>
            </w:r>
          </w:p>
          <w:p w:rsidR="00296D44" w:rsidRPr="0043547B" w:rsidRDefault="00296D44" w:rsidP="00296D44">
            <w:pPr>
              <w:spacing w:after="0" w:line="240" w:lineRule="auto"/>
              <w:jc w:val="both"/>
              <w:rPr>
                <w:rFonts w:cstheme="minorHAnsi"/>
                <w:sz w:val="24"/>
                <w:szCs w:val="24"/>
              </w:rPr>
            </w:pPr>
            <w:r w:rsidRPr="0043547B">
              <w:rPr>
                <w:rFonts w:cstheme="minorHAnsi"/>
                <w:sz w:val="24"/>
                <w:szCs w:val="24"/>
              </w:rPr>
              <w:t>Cette Norme internationale ne contient pas d'informations spécifiques relatives aux dimensions des accumulateurs, aux méthodes de charge ou à la conception des systèmes photovoltaïques.</w:t>
            </w:r>
          </w:p>
          <w:p w:rsidR="004640DC" w:rsidRPr="0043547B" w:rsidRDefault="00296D44" w:rsidP="00296D44">
            <w:pPr>
              <w:spacing w:after="0" w:line="240" w:lineRule="auto"/>
              <w:jc w:val="both"/>
              <w:rPr>
                <w:rFonts w:cstheme="minorHAnsi"/>
                <w:sz w:val="24"/>
                <w:szCs w:val="24"/>
              </w:rPr>
            </w:pPr>
            <w:r w:rsidRPr="0043547B">
              <w:rPr>
                <w:rFonts w:cstheme="minorHAnsi"/>
                <w:sz w:val="24"/>
                <w:szCs w:val="24"/>
              </w:rPr>
              <w:t>La présente norme s'applique à tous les types d’accumulateurs.</w:t>
            </w:r>
          </w:p>
        </w:tc>
      </w:tr>
      <w:tr w:rsidR="0043547B" w:rsidRPr="0043547B" w:rsidTr="00296D44">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06.5.112</w:t>
            </w:r>
          </w:p>
        </w:tc>
      </w:tr>
      <w:tr w:rsidR="0043547B" w:rsidRPr="0043547B" w:rsidTr="00296D44">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60896-1 - A2</w:t>
            </w:r>
          </w:p>
        </w:tc>
      </w:tr>
      <w:tr w:rsidR="0043547B" w:rsidRPr="0043547B" w:rsidTr="00296D44">
        <w:trPr>
          <w:trHeight w:val="6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Batteries stationnaires au plomb - Prescriptions générales et méthodes d’essais - Batteries au plomb du type ouvert</w:t>
            </w:r>
          </w:p>
        </w:tc>
      </w:tr>
      <w:tr w:rsidR="0043547B" w:rsidRPr="0043547B" w:rsidTr="00296D44">
        <w:trPr>
          <w:trHeight w:val="2007"/>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est applicable aux éléments et batteries au plomb destinés à être exploités dans des installations à poste fixe (c'est-à-dire n'étant pas prévus pour être habituellement changés de place) et connectés en permanence à une charge et à une source de courant continu. Les batteries fonctionnant dans ces conditions sont dénommées "batteries stationnaires".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Cette norme n'est applicable qu'aux éléments et batteries de type ouvert. les éléments et batteries du type à soupape font l’objet de la NM 06.5.113.</w:t>
            </w:r>
          </w:p>
        </w:tc>
      </w:tr>
      <w:tr w:rsidR="0043547B" w:rsidRPr="0043547B" w:rsidTr="00296D44">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06.5.113</w:t>
            </w:r>
          </w:p>
        </w:tc>
      </w:tr>
      <w:tr w:rsidR="0043547B" w:rsidRPr="0043547B" w:rsidTr="00296D44">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60896-2</w:t>
            </w:r>
          </w:p>
        </w:tc>
      </w:tr>
      <w:tr w:rsidR="0043547B" w:rsidRPr="0043547B" w:rsidTr="00296D44">
        <w:trPr>
          <w:trHeight w:val="6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Batteries stationnaires au plomb - Prescriptions générales et méthodes d’essais - Batteries étanches à soupapes</w:t>
            </w:r>
          </w:p>
        </w:tc>
      </w:tr>
      <w:tr w:rsidR="0043547B" w:rsidRPr="0043547B" w:rsidTr="00296D44">
        <w:trPr>
          <w:trHeight w:val="1838"/>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aux éléments et batteries au plomb étanches à soupapes, destinés à une utilisation dans des installations fixes (c'est-à-dire qui, habituellement, ne sont pas destinés à être changées de place) et connectés en permanence à une charge et à une source de courant continu.</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La norme a pour objet de spécifier les principales caractéristiques et les méthodes d'essais correspondantes pour tous les types et tous les modes de construction de batteries au plomb stationnaires étanches à soupape, ainsi que les applications qui s'y rattachent. </w:t>
            </w:r>
          </w:p>
        </w:tc>
      </w:tr>
      <w:tr w:rsidR="0043547B" w:rsidRPr="0043547B" w:rsidTr="00296D44">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06.5.131</w:t>
            </w:r>
          </w:p>
        </w:tc>
      </w:tr>
      <w:tr w:rsidR="0043547B" w:rsidRPr="0043547B" w:rsidTr="00296D44">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61400-1</w:t>
            </w:r>
          </w:p>
        </w:tc>
      </w:tr>
      <w:tr w:rsidR="0043547B" w:rsidRPr="0043547B" w:rsidTr="00296D44">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Eoliennes - Exigences de conception</w:t>
            </w:r>
          </w:p>
        </w:tc>
      </w:tr>
      <w:tr w:rsidR="0043547B" w:rsidRPr="0043547B" w:rsidTr="004130CC">
        <w:trPr>
          <w:trHeight w:val="1268"/>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exigences de conception essentielles pour assurer l'intégrité technique des éoliennes. Elle a pour objet de fournir un niveau de protection approprié contre les dommages causés par tous les risques pendant la durée de vie prévue.</w:t>
            </w:r>
          </w:p>
          <w:p w:rsidR="004130CC" w:rsidRPr="0043547B" w:rsidRDefault="004130CC" w:rsidP="004130CC">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concerne tous les sous-systèmes des éoliennes tels que les mécanismes de commande et de protection, les systèmes électriques internes, les systèmes mécaniques et les structures de soutien.</w:t>
            </w:r>
          </w:p>
          <w:p w:rsidR="004130CC" w:rsidRPr="0043547B" w:rsidRDefault="004130CC" w:rsidP="004130CC">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lastRenderedPageBreak/>
              <w:t>La norme s'applique aux éoliennes de toutes dimensions. Pour les petites éoliennes, la NM 06.5.132 peut s'appliquer.</w:t>
            </w:r>
          </w:p>
          <w:p w:rsidR="00904E52" w:rsidRPr="0043547B" w:rsidRDefault="004130CC" w:rsidP="004130CC">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Il convient d'utiliser La norme avec les normes CEI et ISO appropriées mentionnées à l'Article 2.</w:t>
            </w:r>
          </w:p>
        </w:tc>
      </w:tr>
      <w:tr w:rsidR="0043547B" w:rsidRPr="0043547B" w:rsidTr="00296D44">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06.5.132</w:t>
            </w:r>
          </w:p>
        </w:tc>
      </w:tr>
      <w:tr w:rsidR="0043547B" w:rsidRPr="0043547B" w:rsidTr="00296D44">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61400-2</w:t>
            </w:r>
          </w:p>
        </w:tc>
      </w:tr>
      <w:tr w:rsidR="0043547B" w:rsidRPr="0043547B" w:rsidTr="00296D44">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Aérogénérateurs - Exigences en matière de conception des petits aérogénérateurs </w:t>
            </w:r>
          </w:p>
        </w:tc>
      </w:tr>
      <w:tr w:rsidR="0043547B" w:rsidRPr="0043547B" w:rsidTr="00296D44">
        <w:trPr>
          <w:trHeight w:val="2427"/>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traite de la philosophie relative à la sécurité, l'assurance de la qualité et l'intégrité de l'ingénierie, et elle spécifie les exigences relatives à la sécurité des petits aérogénérateurs (PAG), comprenant leur conception, leur installation et leur maintenance, ainsi que leur exploitation dans des conditions externes spécifiques. Le but de cette norme est de fixer un niveau approprié de protection contre les risques et dommages que ces systèmes pourraient causer pendant leur durée de vie.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se préoccupe de tous que les mécanismes de contrôle et de protection, les systèmes électriques internes, les systèmes mécaniques, les structures de support, les fondations et l'interconnexion électrique avec la charge.</w:t>
            </w:r>
          </w:p>
        </w:tc>
      </w:tr>
      <w:tr w:rsidR="0043547B" w:rsidRPr="0043547B" w:rsidTr="00296D44">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50380</w:t>
            </w:r>
          </w:p>
        </w:tc>
      </w:tr>
      <w:tr w:rsidR="0043547B" w:rsidRPr="0043547B" w:rsidTr="00296D44">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50380</w:t>
            </w:r>
          </w:p>
        </w:tc>
      </w:tr>
      <w:tr w:rsidR="0043547B" w:rsidRPr="0043547B" w:rsidTr="00296D44">
        <w:trPr>
          <w:trHeight w:val="6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Spécifications particulières et informations sur les plaques de constructeur pour les modules photovoltaïques</w:t>
            </w:r>
          </w:p>
        </w:tc>
      </w:tr>
      <w:tr w:rsidR="0043547B" w:rsidRPr="0043547B" w:rsidTr="00296D44">
        <w:trPr>
          <w:trHeight w:val="1458"/>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 présent document décrit les informations techniques et celles des plaques de constructeur pour les modules non-concentrateurs photovoltaïques.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L'objet de ce document est de fournir des informations minimales prescrites pour configurer un système sûr et optimal avec des modules photovoltaïques.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Dans ce contexte, les informations des fiches techniques correspondent à une description technique séparée du module photovoltaïque. La plaque de constructeur est un signe d'une construction durable sur ou dans le module photovoltaïque.</w:t>
            </w:r>
          </w:p>
        </w:tc>
      </w:tr>
      <w:tr w:rsidR="0043547B" w:rsidRPr="0043547B" w:rsidTr="00296D44">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12975-1</w:t>
            </w:r>
          </w:p>
        </w:tc>
      </w:tr>
      <w:tr w:rsidR="0043547B" w:rsidRPr="0043547B" w:rsidTr="00296D44">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12975-1</w:t>
            </w:r>
          </w:p>
        </w:tc>
      </w:tr>
      <w:tr w:rsidR="0043547B" w:rsidRPr="0043547B" w:rsidTr="00296D44">
        <w:trPr>
          <w:trHeight w:val="6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Installations solaires thermiques et leurs composants - Capteurs solaires - Partie 1 : Exigences générales</w:t>
            </w:r>
          </w:p>
        </w:tc>
      </w:tr>
      <w:tr w:rsidR="0043547B" w:rsidRPr="0043547B" w:rsidTr="00296D44">
        <w:trPr>
          <w:trHeight w:val="58"/>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exigences de durabilité (y compris la résistance mécanique), de fiabilité et de sécurité pour des capteurs solaires à circulation de liquide. Elle contient également des dispositions pour l'évaluation de la conformité à ces exigences.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ne s'applique pas aux capteurs dont le dispositif de stockage thermique fait partie intégrante dans la mesure où les opérations de captage et de stockage de l'énergie ne peuvent pas être séparées en vue d'effectuer des mesures nécessaires. Elle ne s'applique pas aux capteurs solaires suiveurs à concentration.</w:t>
            </w:r>
          </w:p>
        </w:tc>
      </w:tr>
      <w:tr w:rsidR="0043547B" w:rsidRPr="0043547B" w:rsidTr="00296D44">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12976-1</w:t>
            </w:r>
          </w:p>
        </w:tc>
      </w:tr>
      <w:tr w:rsidR="0043547B" w:rsidRPr="0043547B" w:rsidTr="00296D44">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12976-1</w:t>
            </w:r>
          </w:p>
        </w:tc>
      </w:tr>
      <w:tr w:rsidR="0043547B" w:rsidRPr="0043547B" w:rsidTr="00296D44">
        <w:trPr>
          <w:trHeight w:val="141"/>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Installations solaires thermiques et leurs composants - Installations préfabriquées en usine - Partie 1 : Exigences générales</w:t>
            </w:r>
          </w:p>
        </w:tc>
      </w:tr>
      <w:tr w:rsidR="0043547B" w:rsidRPr="0043547B" w:rsidTr="00296D44">
        <w:trPr>
          <w:trHeight w:val="1864"/>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exigences de durabilité, de fiabilité et de sécurité requises des installations de chauffage thermique solaires préfabriquées en usine. Elle contient également des dispositions relatives à l’évaluation de la conformité à ces exigences.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exigences de La norme s’appliquent aux installations solaires préfabriquées en usine en tant que produits. La mise en œuvre de ces installations n’est pas pris en considération, mais des exigences relatives à la documentation fournie avec l’installation et à destination de l’installateur et de l’utilisateur sont indiquées (voir également en 4.6).</w:t>
            </w:r>
          </w:p>
        </w:tc>
      </w:tr>
      <w:tr w:rsidR="0043547B" w:rsidRPr="0043547B" w:rsidTr="00296D44">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50461 </w:t>
            </w:r>
          </w:p>
        </w:tc>
      </w:tr>
      <w:tr w:rsidR="0043547B" w:rsidRPr="0043547B" w:rsidTr="00296D44">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50461</w:t>
            </w:r>
          </w:p>
        </w:tc>
      </w:tr>
      <w:tr w:rsidR="0043547B" w:rsidRPr="0043547B" w:rsidTr="00296D44">
        <w:trPr>
          <w:trHeight w:val="6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Cellules solaires - Spécifications particulières et données de produit pour les cellules solaires en silicium cristallin</w:t>
            </w:r>
          </w:p>
        </w:tc>
      </w:tr>
      <w:tr w:rsidR="0043547B" w:rsidRPr="0043547B" w:rsidTr="00296D44">
        <w:trPr>
          <w:trHeight w:val="244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décrit les fiches techniques et les informations de données produites pour les cellules solaires en silicium cristallin.</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L'objet de cette norme est de fournir des informations minimales exigées pour configurer des modules photovoltaïques sûrs et optimaux.</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Dans ce contexte, les informations des fiches techniques correspondent à une description technique séparée du module photovoltaïque.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informations de données produits concernent l'encapsulation, le marquage, le stockage et comprennent un engagement à fournir des informations sur les modifications principales apportées au produit et au processus. Ces données sont nécessaires pour le traitement ultérieur des cellules solaires pour modules photovoltaïques.</w:t>
            </w:r>
          </w:p>
        </w:tc>
      </w:tr>
      <w:tr w:rsidR="0043547B" w:rsidRPr="0043547B" w:rsidTr="00296D44">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50524 </w:t>
            </w:r>
          </w:p>
        </w:tc>
      </w:tr>
      <w:tr w:rsidR="0043547B" w:rsidRPr="0043547B" w:rsidTr="00296D44">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50524</w:t>
            </w:r>
          </w:p>
        </w:tc>
      </w:tr>
      <w:tr w:rsidR="0043547B" w:rsidRPr="0043547B" w:rsidTr="00296D44">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Fiche technique et plaque d’identification pour les onduleurs photovoltaïques</w:t>
            </w:r>
          </w:p>
        </w:tc>
      </w:tr>
      <w:tr w:rsidR="0043547B" w:rsidRPr="0043547B" w:rsidTr="00296D44">
        <w:trPr>
          <w:trHeight w:val="217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296D44"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décrit les informations contenues dans la fiche technique et sur la plaque d’identification des onduleurs photovoltaïques fonctionnant parallèlement au réseau.</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L’objet de ce document est de fournir les informations minimales requises pour configurer un système sûr et optimal avec des onduleurs photovoltaïques.</w:t>
            </w:r>
            <w:r w:rsidRPr="0043547B">
              <w:rPr>
                <w:rFonts w:eastAsia="Times New Roman" w:cstheme="minorHAnsi"/>
                <w:sz w:val="24"/>
                <w:szCs w:val="24"/>
                <w:lang w:eastAsia="fr-FR"/>
              </w:rPr>
              <w:br/>
              <w:t>Dans ce contexte, les informations des fiches techniques correspondent à une description technique distincte de l’onduleur photovoltaïque. La plaque d’identification est un signe d’une construction durable, sur ou dans l’onduleur photovoltaïque. La plaque d’identification ne peut se trouver dans l’onduleur photovoltaïque que si celle-ci est visible lorsqu’une porte est ouverte en utilisation normale.</w:t>
            </w:r>
          </w:p>
        </w:tc>
      </w:tr>
      <w:tr w:rsidR="0043547B" w:rsidRPr="0043547B" w:rsidTr="00296D44">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06.9.004</w:t>
            </w:r>
          </w:p>
        </w:tc>
      </w:tr>
      <w:tr w:rsidR="0043547B" w:rsidRPr="0043547B" w:rsidTr="00296D44">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61215</w:t>
            </w:r>
          </w:p>
        </w:tc>
      </w:tr>
      <w:tr w:rsidR="0043547B" w:rsidRPr="0043547B" w:rsidTr="00296D44">
        <w:trPr>
          <w:trHeight w:val="6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Modules photovoltaïques (PV) au silicium cristallin pour allocation terrestre - Qualification de la conception et homologation</w:t>
            </w:r>
          </w:p>
        </w:tc>
      </w:tr>
      <w:tr w:rsidR="0043547B" w:rsidRPr="0043547B" w:rsidTr="00296D44">
        <w:trPr>
          <w:trHeight w:val="65"/>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La norme donne les exigences sur la qualification de la conception et l'homologation de modules photovoltaïques pour application terrestre et pour une utilisation de longue durée dans les climats modérés d'air libre, définis dans la CEI 721-2-1. Elle s'applique uniquement aux modules au silicium cristallin. Les normes pour les modules à couche mince et pour d'autres conditions </w:t>
            </w:r>
            <w:r w:rsidRPr="0043547B">
              <w:rPr>
                <w:rFonts w:eastAsia="Times New Roman" w:cstheme="minorHAnsi"/>
                <w:sz w:val="24"/>
                <w:szCs w:val="24"/>
                <w:lang w:eastAsia="fr-FR"/>
              </w:rPr>
              <w:lastRenderedPageBreak/>
              <w:t>d'environnement, telles que les conditions marines ou à l'équateur, sont à l'étude.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ne s'applique pas aux modules utilisés avec concentrateurs.</w:t>
            </w:r>
          </w:p>
        </w:tc>
      </w:tr>
      <w:tr w:rsidR="0043547B" w:rsidRPr="0043547B" w:rsidTr="00296D44">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14.5.002</w:t>
            </w:r>
          </w:p>
        </w:tc>
      </w:tr>
      <w:tr w:rsidR="0043547B" w:rsidRPr="0043547B" w:rsidTr="00296D44">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Spécifications techniques des chauffe-eau solaires individuels</w:t>
            </w:r>
          </w:p>
        </w:tc>
      </w:tr>
      <w:tr w:rsidR="0043547B" w:rsidRPr="0043547B" w:rsidTr="00296D44">
        <w:trPr>
          <w:trHeight w:val="418"/>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296D44">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vise à définir les règles d'acceptabilité des chauffe-eau solaires individuels présentés sur le marché, par la sélection de critères de qualité objectifs.</w:t>
            </w:r>
            <w:r w:rsidRPr="0043547B">
              <w:rPr>
                <w:rFonts w:eastAsia="Times New Roman" w:cstheme="minorHAnsi"/>
                <w:sz w:val="24"/>
                <w:szCs w:val="24"/>
                <w:lang w:eastAsia="fr-FR"/>
              </w:rPr>
              <w:br/>
            </w:r>
            <w:r w:rsidR="00296D44" w:rsidRPr="0043547B">
              <w:rPr>
                <w:rFonts w:eastAsia="Times New Roman" w:cstheme="minorHAnsi"/>
                <w:sz w:val="24"/>
                <w:szCs w:val="24"/>
                <w:lang w:eastAsia="fr-FR"/>
              </w:rPr>
              <w:t>Elle complète les normes définissant les procédures d'essais et de caractérisation des matériels solaires thermiques destinés à la production d'eau chaude sanitaire.</w:t>
            </w:r>
            <w:r w:rsidR="00296D44" w:rsidRPr="0043547B">
              <w:rPr>
                <w:rFonts w:eastAsia="Times New Roman" w:cstheme="minorHAnsi"/>
                <w:sz w:val="24"/>
                <w:szCs w:val="24"/>
                <w:lang w:eastAsia="fr-FR"/>
              </w:rPr>
              <w:br/>
              <w:t>Des recommandations concernant le choix, l'installation, l'entretien et la garantie des appareils sont données en annexe à titre d'information.</w:t>
            </w:r>
          </w:p>
        </w:tc>
      </w:tr>
      <w:tr w:rsidR="0043547B" w:rsidRPr="0043547B" w:rsidTr="00296D44">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CEI 61730-1</w:t>
            </w:r>
          </w:p>
        </w:tc>
      </w:tr>
      <w:tr w:rsidR="0043547B" w:rsidRPr="0043547B" w:rsidTr="00296D44">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CEI 61730-1 - A1</w:t>
            </w:r>
          </w:p>
        </w:tc>
      </w:tr>
      <w:tr w:rsidR="0043547B" w:rsidRPr="0043547B" w:rsidTr="00296D44">
        <w:trPr>
          <w:trHeight w:val="57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Qualification pour la sûreté de fonctionnement des modules photovoltaïques (PV) - Partie 1 : Exigences pour la construction</w:t>
            </w:r>
          </w:p>
        </w:tc>
      </w:tr>
      <w:tr w:rsidR="0043547B" w:rsidRPr="0043547B" w:rsidTr="00296D44">
        <w:trPr>
          <w:trHeight w:val="1025"/>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partie de la CEI 61730 décrit les exigences fondamentales de construction pour les modules photovoltaïques (PV) afin de fournir un fonctionnement électrique et mécanique sûr au cours de leur durée de vie. Des thèmes spécifiques sont fournis pour évaluer la prévention contre les chocs électriques, les risques de feu et les accidents corporels dus à des contraintes mécaniques et environnementales. La partie de la CEI 61730 se rapporte aux exigences particulières de construction. La CEI 61730-2 présente les exigences d’essais.</w:t>
            </w:r>
          </w:p>
        </w:tc>
      </w:tr>
      <w:tr w:rsidR="0043547B" w:rsidRPr="0043547B" w:rsidTr="00296D44">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CEI 61730-2</w:t>
            </w:r>
          </w:p>
        </w:tc>
      </w:tr>
      <w:tr w:rsidR="0043547B" w:rsidRPr="0043547B" w:rsidTr="00296D44">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CEI 61730-2 - A1</w:t>
            </w:r>
          </w:p>
        </w:tc>
      </w:tr>
      <w:tr w:rsidR="0043547B" w:rsidRPr="0043547B" w:rsidTr="00296D44">
        <w:trPr>
          <w:trHeight w:val="31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Qualification pour la sûreté de fonctionnement des modules photovoltaïques (PV) - Partie 2 : Exigences pour les essais</w:t>
            </w:r>
          </w:p>
        </w:tc>
      </w:tr>
      <w:tr w:rsidR="0043547B" w:rsidRPr="0043547B" w:rsidTr="00296D44">
        <w:trPr>
          <w:trHeight w:val="1754"/>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partie de la CEI 61730 décrit les exigences d’essai pour les modules photovoltaïques (PV) afin de fournir un fonctionnement électrique et mécanique sûr au cours de leur durée de vie. Des thèmes spécifiques sont fournis pour évaluer la prévention contre les chocs électriques, les risques de feu et les accidents corporels dus à des contraintes mécaniques et environnementales. La CEI 61730-1 se rapporte aux exigences particulières de construction. La partie de la CEI 61730 présente les exigences d’essais.</w:t>
            </w:r>
          </w:p>
        </w:tc>
      </w:tr>
      <w:tr w:rsidR="0043547B" w:rsidRPr="0043547B" w:rsidTr="00296D44">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12977-1</w:t>
            </w:r>
          </w:p>
        </w:tc>
      </w:tr>
      <w:tr w:rsidR="0043547B" w:rsidRPr="0043547B" w:rsidTr="00296D44">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12977-1</w:t>
            </w:r>
          </w:p>
        </w:tc>
      </w:tr>
      <w:tr w:rsidR="0043547B" w:rsidRPr="0043547B" w:rsidTr="00296D44">
        <w:trPr>
          <w:trHeight w:val="426"/>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Installations solaires thermiques et leurs composants - Installations assemblées à façon - Partie 1 : Exigences générales pour chauffe-eau solaires et installations solaires combinées</w:t>
            </w:r>
          </w:p>
        </w:tc>
      </w:tr>
      <w:tr w:rsidR="0043547B" w:rsidRPr="0043547B" w:rsidTr="00296D44">
        <w:trPr>
          <w:trHeight w:val="1802"/>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exigences de durabilité, de fiabilité et de sécurité des petites et grandes installations de chauffage et de refroidissement solaires assemblées à façon, à liquide caloporteur dans la boucle de captage, destinées aux bâtiments résidentiels et applications similaires.</w:t>
            </w:r>
          </w:p>
          <w:p w:rsidR="004640DC" w:rsidRPr="0043547B" w:rsidRDefault="00904E52" w:rsidP="00296D44">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 présent document contient également des exigences relatives au processus de conception des grandes installations assemblées à façon.</w:t>
            </w:r>
          </w:p>
        </w:tc>
      </w:tr>
      <w:tr w:rsidR="0043547B" w:rsidRPr="0043547B" w:rsidTr="00296D44">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62109-1</w:t>
            </w:r>
          </w:p>
        </w:tc>
      </w:tr>
      <w:tr w:rsidR="0043547B" w:rsidRPr="0043547B" w:rsidTr="00296D44">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62109-1</w:t>
            </w:r>
          </w:p>
        </w:tc>
      </w:tr>
      <w:tr w:rsidR="0043547B" w:rsidRPr="0043547B" w:rsidTr="00296D44">
        <w:trPr>
          <w:trHeight w:val="228"/>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Sécurité des convertisseurs de puissance utilisés dans les systèmes photovoltaïques - Partie 1 : Exigences générales</w:t>
            </w:r>
          </w:p>
        </w:tc>
      </w:tr>
      <w:tr w:rsidR="0043547B" w:rsidRPr="0043547B" w:rsidTr="00296D44">
        <w:trPr>
          <w:trHeight w:val="559"/>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Cette partie de la CEI 62109 applique à l'équipement de conversion de puissance (PCE) pour une utilisation dans Photovoltaïque (PV) des systèmes où un niveau technique uniforme en matière de sécurité est nécessaire.</w:t>
            </w:r>
          </w:p>
          <w:p w:rsidR="00296D44"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Cette norme définit les exigences minimales pour la conception et la fabrication de PCE pour la protection contre les chocs électriques, l'énergie, le feu, mécanique et autres dangers.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Cette norme fournit les exigences générales applicables à tous les types de PV PCE. Il y a d'autres parties de cette norme qui fournissent des exigences spécifiques pour les différents types de convertisseurs de puissance, comme Partie 2 - onduleurs. Des pièces supplémentaires peuvent être publiées comme neuf produits et technologies sont commercialisés.</w:t>
            </w:r>
          </w:p>
        </w:tc>
      </w:tr>
      <w:tr w:rsidR="0043547B" w:rsidRPr="0043547B" w:rsidTr="00296D44">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62109-2</w:t>
            </w:r>
          </w:p>
        </w:tc>
      </w:tr>
      <w:tr w:rsidR="0043547B" w:rsidRPr="0043547B" w:rsidTr="00296D44">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62109-2</w:t>
            </w:r>
          </w:p>
        </w:tc>
      </w:tr>
      <w:tr w:rsidR="0043547B" w:rsidRPr="0043547B" w:rsidTr="00296D44">
        <w:trPr>
          <w:trHeight w:val="6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Sécurité des convertisseurs de puissance utilisés dans les systèmes photovoltaïques - Partie 2 : Exigences particulières pour les onduleurs</w:t>
            </w:r>
          </w:p>
        </w:tc>
      </w:tr>
      <w:tr w:rsidR="0043547B" w:rsidRPr="0043547B" w:rsidTr="00296D44">
        <w:trPr>
          <w:trHeight w:val="56"/>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partie 2 de la CEI 62109 couvre les exigences de sécurité particulières concernant les onduleurs transformant un courant continu en courant alternatif, ainsi que les produits possédant ou exécutant des fonctions d'onduleur en plus d'autres fonctions, lorsque l'onduleur est destiné à être utilisé dans des systèmes photovoltaïques.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onduleurs couverts par La norme peuvent être des onduleurs couplés au réseau, autonomes ou multimodes, ils peuvent être alimentés par des modules photovoltaïques simples ou multiples regroupés en diverses configurations de générateurs et ils peuvent être destinés à être utilisés conjointement avec des batteries ou avec d'autres formes de stockage d'énergie.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contient des exigences de sécurité propres aux onduleurs couplés au réseau qui sont similaires aux considérations de sécurité de certaines normes nationales existantes relatives à l'interconnexion au réseau.</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Il convient que les utilisateurs de La norme soient informés que dans la plupart des juridictions autorisant l'interconnexion des onduleurs au réseau, certaines exigences nationales ou locales existent et qu’elles doivent être satisfaites.</w:t>
            </w:r>
          </w:p>
        </w:tc>
      </w:tr>
      <w:tr w:rsidR="0043547B" w:rsidRPr="0043547B" w:rsidTr="00296D44">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CEI 61400-24</w:t>
            </w:r>
          </w:p>
        </w:tc>
      </w:tr>
      <w:tr w:rsidR="0043547B" w:rsidRPr="0043547B" w:rsidTr="00296D44">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CEI 61400-24</w:t>
            </w:r>
          </w:p>
        </w:tc>
      </w:tr>
      <w:tr w:rsidR="0043547B" w:rsidRPr="0043547B" w:rsidTr="00296D44">
        <w:trPr>
          <w:trHeight w:val="315"/>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Eoliennes - Partie 24 : Protection contre la foudre</w:t>
            </w:r>
          </w:p>
        </w:tc>
      </w:tr>
      <w:tr w:rsidR="0043547B" w:rsidRPr="0043547B" w:rsidTr="00296D44">
        <w:trPr>
          <w:trHeight w:val="843"/>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est applicable à la protection contre la foudre de générateurs d'éoliennes et le vent les systèmes d'alimentation. Des conseils sur l'utilisation de protection contre la foudre applicable, électrique industriel et normes CEM, y compris mise à la terre est fourni.</w:t>
            </w:r>
          </w:p>
        </w:tc>
      </w:tr>
      <w:tr w:rsidR="0043547B" w:rsidRPr="0043547B" w:rsidTr="00296D44">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CEI 60364-7-712</w:t>
            </w:r>
          </w:p>
        </w:tc>
      </w:tr>
      <w:tr w:rsidR="0043547B" w:rsidRPr="0043547B" w:rsidTr="00296D44">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CEI 60364-7-712</w:t>
            </w:r>
          </w:p>
        </w:tc>
      </w:tr>
      <w:tr w:rsidR="0043547B" w:rsidRPr="0043547B" w:rsidTr="00296D44">
        <w:trPr>
          <w:trHeight w:val="6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Installations électriques des bâtiments - Partie 7-712 : Règles pour les installations et emplacements spéciaux – Alimentations photovoltaïques solaires (PV)</w:t>
            </w:r>
          </w:p>
        </w:tc>
      </w:tr>
      <w:tr w:rsidR="0043547B" w:rsidRPr="0043547B" w:rsidTr="00296D44">
        <w:trPr>
          <w:trHeight w:val="600"/>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prescriptions particulières de la partie de la CEI 60364 sont applicables aux installations électriques d’alimentations PV, y compris les modules à courant alternatif.</w:t>
            </w:r>
          </w:p>
        </w:tc>
      </w:tr>
      <w:tr w:rsidR="0043547B" w:rsidRPr="0043547B" w:rsidTr="00296D44">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CEI 61427-1</w:t>
            </w:r>
          </w:p>
        </w:tc>
      </w:tr>
      <w:tr w:rsidR="0043547B" w:rsidRPr="0043547B" w:rsidTr="00296D44">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CEI 61427-1</w:t>
            </w:r>
          </w:p>
        </w:tc>
      </w:tr>
      <w:tr w:rsidR="0043547B" w:rsidRPr="0043547B" w:rsidTr="00296D44">
        <w:trPr>
          <w:trHeight w:val="6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Accumulateurs pour le stockage de l'énergie renouvelable - Exigences générales et méthodes d'essais - Partie 1</w:t>
            </w:r>
            <w:r w:rsidR="00B42D99" w:rsidRPr="0043547B">
              <w:rPr>
                <w:rFonts w:eastAsia="Times New Roman" w:cstheme="minorHAnsi"/>
                <w:sz w:val="24"/>
                <w:szCs w:val="24"/>
                <w:lang w:eastAsia="fr-FR"/>
              </w:rPr>
              <w:t xml:space="preserve"> </w:t>
            </w:r>
            <w:r w:rsidRPr="0043547B">
              <w:rPr>
                <w:rFonts w:eastAsia="Times New Roman" w:cstheme="minorHAnsi"/>
                <w:sz w:val="24"/>
                <w:szCs w:val="24"/>
                <w:lang w:eastAsia="fr-FR"/>
              </w:rPr>
              <w:t>: Applications photovoltaïques hors réseaux</w:t>
            </w:r>
          </w:p>
        </w:tc>
      </w:tr>
      <w:tr w:rsidR="0043547B" w:rsidRPr="0043547B" w:rsidTr="00296D44">
        <w:trPr>
          <w:trHeight w:val="141"/>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partie de la série CEI 61427 donne des informations générales relatives aux exigences applicables aux accumulateurs utilisés dans les systèmes photovoltaïques (SPV) et aux méthodes d'essais spécifiques utilisées pour la vérification des performances de l’accumulateur. La partie traite des éléments et batteries utilisés dans les applications photovoltaïques hors réseaux.</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à tous les types d’accumulateurs.</w:t>
            </w:r>
          </w:p>
        </w:tc>
      </w:tr>
      <w:tr w:rsidR="0043547B" w:rsidRPr="0043547B" w:rsidTr="00296D44">
        <w:trPr>
          <w:trHeight w:val="315"/>
          <w:jc w:val="center"/>
        </w:trPr>
        <w:tc>
          <w:tcPr>
            <w:tcW w:w="1838" w:type="dxa"/>
            <w:tcBorders>
              <w:top w:val="single" w:sz="18" w:space="0" w:color="auto"/>
              <w:left w:val="single" w:sz="18" w:space="0" w:color="auto"/>
              <w:bottom w:val="single" w:sz="18" w:space="0" w:color="auto"/>
              <w:right w:val="single" w:sz="4" w:space="0" w:color="auto"/>
            </w:tcBorders>
            <w:shd w:val="clear" w:color="auto" w:fill="C2D69B" w:themeFill="accent3" w:themeFillTint="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4" w:space="0" w:color="auto"/>
              <w:bottom w:val="single" w:sz="18" w:space="0" w:color="auto"/>
              <w:right w:val="single" w:sz="18" w:space="0" w:color="auto"/>
            </w:tcBorders>
            <w:shd w:val="clear" w:color="auto" w:fill="C2D69B" w:themeFill="accent3" w:themeFillTint="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CEI 61727</w:t>
            </w:r>
          </w:p>
        </w:tc>
      </w:tr>
      <w:tr w:rsidR="0043547B" w:rsidRPr="0043547B" w:rsidTr="00296D44">
        <w:trPr>
          <w:trHeight w:val="315"/>
          <w:jc w:val="center"/>
        </w:trPr>
        <w:tc>
          <w:tcPr>
            <w:tcW w:w="1838" w:type="dxa"/>
            <w:tcBorders>
              <w:top w:val="single" w:sz="18" w:space="0" w:color="auto"/>
              <w:left w:val="single" w:sz="18" w:space="0" w:color="auto"/>
              <w:bottom w:val="single" w:sz="4" w:space="0" w:color="auto"/>
              <w:right w:val="single" w:sz="4"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CEI 61727</w:t>
            </w:r>
          </w:p>
        </w:tc>
      </w:tr>
      <w:tr w:rsidR="0043547B" w:rsidRPr="0043547B" w:rsidTr="00296D44">
        <w:trPr>
          <w:trHeight w:val="600"/>
          <w:jc w:val="center"/>
        </w:trPr>
        <w:tc>
          <w:tcPr>
            <w:tcW w:w="1838" w:type="dxa"/>
            <w:tcBorders>
              <w:top w:val="nil"/>
              <w:left w:val="single" w:sz="18" w:space="0" w:color="auto"/>
              <w:bottom w:val="single" w:sz="4" w:space="0" w:color="auto"/>
              <w:right w:val="single" w:sz="4"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nil"/>
              <w:left w:val="single" w:sz="4" w:space="0" w:color="auto"/>
              <w:bottom w:val="single" w:sz="4"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Systèmes photovoltaïques (PV) - Caractéristiques de l'interface de raccordement au réseau</w:t>
            </w:r>
          </w:p>
        </w:tc>
      </w:tr>
      <w:tr w:rsidR="0043547B" w:rsidRPr="0043547B" w:rsidTr="00296D44">
        <w:trPr>
          <w:trHeight w:val="1655"/>
          <w:jc w:val="center"/>
        </w:trPr>
        <w:tc>
          <w:tcPr>
            <w:tcW w:w="1838" w:type="dxa"/>
            <w:tcBorders>
              <w:top w:val="nil"/>
              <w:left w:val="single" w:sz="18" w:space="0" w:color="auto"/>
              <w:bottom w:val="single" w:sz="18" w:space="0" w:color="auto"/>
              <w:right w:val="single" w:sz="4"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top w:val="nil"/>
              <w:left w:val="single" w:sz="4" w:space="0" w:color="auto"/>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s'applique aux systèmes PV interconnectés au réseau public qui fonctionnent en parallèle avec celui-ci et qui utilisent des onduleurs statiques (à semi-conducteurs) à fonction anti-îlotages pour la conversion du courant continu en courant alternatif. Le présent document décrit des recommandations spécifiques aux réseaux de puissance inférieure ou égale à 10 kVA, tels que ceux qui peuvent être utilisés en monophasé ou en triphasé dans les résidences individuelles. La norme s'applique à l'interconnexion avec des systèmes de distribution basse tension.</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est destinée à établir les exigences d'interconnexion des systèmes PV à un réseau public de distribution de l'électricité.</w:t>
            </w:r>
          </w:p>
        </w:tc>
      </w:tr>
    </w:tbl>
    <w:p w:rsidR="00904E52" w:rsidRPr="0043547B" w:rsidRDefault="00904E52" w:rsidP="00B905D3">
      <w:pPr>
        <w:pStyle w:val="Titre3"/>
        <w:numPr>
          <w:ilvl w:val="1"/>
          <w:numId w:val="2"/>
        </w:numPr>
        <w:tabs>
          <w:tab w:val="left" w:pos="851"/>
        </w:tabs>
        <w:rPr>
          <w:rFonts w:asciiTheme="minorHAnsi" w:hAnsiTheme="minorHAnsi" w:cstheme="minorHAnsi"/>
          <w:sz w:val="24"/>
          <w:szCs w:val="24"/>
          <w:u w:val="single"/>
        </w:rPr>
      </w:pPr>
      <w:bookmarkStart w:id="49" w:name="_Toc458606105"/>
      <w:r w:rsidRPr="0043547B">
        <w:rPr>
          <w:rFonts w:asciiTheme="minorHAnsi" w:hAnsiTheme="minorHAnsi" w:cstheme="minorHAnsi"/>
          <w:sz w:val="24"/>
          <w:szCs w:val="24"/>
          <w:u w:val="single"/>
        </w:rPr>
        <w:t>Lot N° 10 : Sécurité incendie</w:t>
      </w:r>
      <w:bookmarkEnd w:id="49"/>
    </w:p>
    <w:tbl>
      <w:tblPr>
        <w:tblW w:w="9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
        <w:gridCol w:w="1856"/>
        <w:gridCol w:w="7938"/>
      </w:tblGrid>
      <w:tr w:rsidR="0043547B" w:rsidRPr="0043547B" w:rsidTr="00D20D9B">
        <w:trPr>
          <w:gridBefore w:val="1"/>
          <w:wBefore w:w="18" w:type="dxa"/>
          <w:trHeight w:val="315"/>
          <w:jc w:val="center"/>
        </w:trPr>
        <w:tc>
          <w:tcPr>
            <w:tcW w:w="1856" w:type="dxa"/>
            <w:tcBorders>
              <w:top w:val="single" w:sz="18" w:space="0" w:color="auto"/>
              <w:left w:val="single" w:sz="18" w:space="0" w:color="auto"/>
              <w:bottom w:val="single" w:sz="18" w:space="0" w:color="auto"/>
              <w:right w:val="single" w:sz="8" w:space="0" w:color="auto"/>
            </w:tcBorders>
            <w:shd w:val="clear" w:color="auto" w:fill="C2D69B" w:themeFill="accent3" w:themeFillTint="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bottom w:val="single" w:sz="18" w:space="0" w:color="auto"/>
              <w:right w:val="single" w:sz="18" w:space="0" w:color="auto"/>
            </w:tcBorders>
            <w:shd w:val="clear" w:color="auto" w:fill="C2D69B" w:themeFill="accent3" w:themeFillTint="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21.9.321</w:t>
            </w:r>
          </w:p>
        </w:tc>
      </w:tr>
      <w:tr w:rsidR="0043547B" w:rsidRPr="0043547B" w:rsidTr="00F2263C">
        <w:trPr>
          <w:gridBefore w:val="1"/>
          <w:wBefore w:w="18" w:type="dxa"/>
          <w:trHeight w:val="315"/>
          <w:jc w:val="center"/>
        </w:trPr>
        <w:tc>
          <w:tcPr>
            <w:tcW w:w="1856" w:type="dxa"/>
            <w:tcBorders>
              <w:top w:val="single" w:sz="18" w:space="0" w:color="auto"/>
              <w:left w:val="single" w:sz="18" w:space="0" w:color="auto"/>
              <w:bottom w:val="single" w:sz="4" w:space="0" w:color="auto"/>
              <w:right w:val="single" w:sz="8" w:space="0" w:color="auto"/>
            </w:tcBorders>
            <w:shd w:val="clear" w:color="auto" w:fill="FFFFCC"/>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right w:val="single" w:sz="18" w:space="0" w:color="auto"/>
            </w:tcBorders>
            <w:shd w:val="clear" w:color="auto" w:fill="FFFFCC"/>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14604</w:t>
            </w:r>
          </w:p>
        </w:tc>
      </w:tr>
      <w:tr w:rsidR="0043547B" w:rsidRPr="0043547B" w:rsidTr="00D20D9B">
        <w:trPr>
          <w:gridBefore w:val="1"/>
          <w:wBefore w:w="18" w:type="dxa"/>
          <w:trHeight w:val="330"/>
          <w:jc w:val="center"/>
        </w:trPr>
        <w:tc>
          <w:tcPr>
            <w:tcW w:w="1856" w:type="dxa"/>
            <w:tcBorders>
              <w:top w:val="nil"/>
              <w:left w:val="single" w:sz="18" w:space="0" w:color="auto"/>
              <w:bottom w:val="single" w:sz="4" w:space="0" w:color="auto"/>
              <w:right w:val="single" w:sz="8"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Dispositifs d’alarme de fumée</w:t>
            </w:r>
          </w:p>
        </w:tc>
      </w:tr>
      <w:tr w:rsidR="0043547B" w:rsidRPr="0043547B" w:rsidTr="00D20D9B">
        <w:trPr>
          <w:gridBefore w:val="1"/>
          <w:wBefore w:w="18" w:type="dxa"/>
          <w:trHeight w:val="3015"/>
          <w:jc w:val="center"/>
        </w:trPr>
        <w:tc>
          <w:tcPr>
            <w:tcW w:w="1856" w:type="dxa"/>
            <w:tcBorders>
              <w:top w:val="nil"/>
              <w:left w:val="single" w:sz="18" w:space="0" w:color="auto"/>
              <w:bottom w:val="single" w:sz="18" w:space="0" w:color="auto"/>
              <w:right w:val="single" w:sz="8"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exigences, les méthodes d’essai, les critères de performance et les instructions du fabricant pour les dispositifs d’alarme de fumée qui utilisent le principe de diffusion ou de transmission de la lumière, ou de l'ionisation, pour des applications domestiques ou similaires.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inclut des exigences supplémentaires concernant les dispositifs d’alarme de fumée qui conviennent également à une utilisation dans des camping-cars.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Pour les essais relatifs à d'autres types de dispositifs d’alarme de fumée ou à des dispositifs d’alarme de fumée fonctionnant selon différents principes, il convient que La norme soit utilisée à titre de guide uniquement.</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Cette norme ne couvre pas les dispositifs destinés à être incorporés dans des systèmes qui utilisent des équipements de commande et d'indication séparés.</w:t>
            </w:r>
          </w:p>
        </w:tc>
      </w:tr>
      <w:tr w:rsidR="0043547B" w:rsidRPr="0043547B" w:rsidTr="00F2263C">
        <w:trPr>
          <w:gridBefore w:val="1"/>
          <w:wBefore w:w="18" w:type="dxa"/>
          <w:trHeight w:val="248"/>
          <w:jc w:val="center"/>
        </w:trPr>
        <w:tc>
          <w:tcPr>
            <w:tcW w:w="1856" w:type="dxa"/>
            <w:tcBorders>
              <w:top w:val="nil"/>
              <w:left w:val="single" w:sz="18" w:space="0" w:color="auto"/>
              <w:bottom w:val="single" w:sz="18" w:space="0" w:color="auto"/>
              <w:right w:val="single" w:sz="8" w:space="0" w:color="auto"/>
            </w:tcBorders>
            <w:shd w:val="clear" w:color="auto" w:fill="C2D69B" w:themeFill="accent3" w:themeFillTint="99"/>
            <w:vAlign w:val="center"/>
          </w:tcPr>
          <w:p w:rsidR="003058D4" w:rsidRPr="00D76D9A" w:rsidRDefault="003058D4" w:rsidP="00F2263C">
            <w:pPr>
              <w:spacing w:after="0" w:line="240" w:lineRule="auto"/>
              <w:jc w:val="center"/>
              <w:rPr>
                <w:rFonts w:cstheme="minorHAnsi"/>
                <w:b/>
                <w:bCs/>
                <w:sz w:val="24"/>
                <w:szCs w:val="24"/>
              </w:rPr>
            </w:pPr>
            <w:r w:rsidRPr="00D76D9A">
              <w:rPr>
                <w:rFonts w:cstheme="minorHAnsi"/>
                <w:b/>
                <w:bCs/>
                <w:sz w:val="24"/>
                <w:szCs w:val="24"/>
              </w:rPr>
              <w:t>Code :</w:t>
            </w:r>
          </w:p>
        </w:tc>
        <w:tc>
          <w:tcPr>
            <w:tcW w:w="7938" w:type="dxa"/>
            <w:tcBorders>
              <w:bottom w:val="single" w:sz="18" w:space="0" w:color="auto"/>
              <w:right w:val="single" w:sz="18" w:space="0" w:color="auto"/>
            </w:tcBorders>
            <w:shd w:val="clear" w:color="auto" w:fill="C2D69B" w:themeFill="accent3" w:themeFillTint="99"/>
            <w:vAlign w:val="bottom"/>
          </w:tcPr>
          <w:p w:rsidR="003058D4" w:rsidRPr="00D76D9A" w:rsidRDefault="003058D4" w:rsidP="00F2263C">
            <w:pPr>
              <w:spacing w:after="0" w:line="240" w:lineRule="auto"/>
              <w:jc w:val="center"/>
              <w:rPr>
                <w:rFonts w:cstheme="minorHAnsi"/>
                <w:b/>
                <w:bCs/>
                <w:sz w:val="24"/>
                <w:szCs w:val="24"/>
              </w:rPr>
            </w:pPr>
            <w:r w:rsidRPr="00D76D9A">
              <w:rPr>
                <w:rFonts w:cstheme="minorHAnsi"/>
                <w:b/>
                <w:bCs/>
                <w:sz w:val="24"/>
                <w:szCs w:val="24"/>
              </w:rPr>
              <w:t>NM EN 12416-1</w:t>
            </w:r>
          </w:p>
        </w:tc>
      </w:tr>
      <w:tr w:rsidR="0043547B" w:rsidRPr="0043547B" w:rsidTr="00F2263C">
        <w:trPr>
          <w:gridBefore w:val="1"/>
          <w:wBefore w:w="18" w:type="dxa"/>
          <w:trHeight w:val="100"/>
          <w:jc w:val="center"/>
        </w:trPr>
        <w:tc>
          <w:tcPr>
            <w:tcW w:w="1856" w:type="dxa"/>
            <w:tcBorders>
              <w:top w:val="single" w:sz="18" w:space="0" w:color="auto"/>
              <w:left w:val="single" w:sz="18" w:space="0" w:color="auto"/>
              <w:bottom w:val="single" w:sz="4" w:space="0" w:color="auto"/>
              <w:right w:val="single" w:sz="8" w:space="0" w:color="auto"/>
            </w:tcBorders>
            <w:shd w:val="clear" w:color="auto" w:fill="FDFBA9"/>
            <w:vAlign w:val="center"/>
          </w:tcPr>
          <w:p w:rsidR="003058D4" w:rsidRPr="00D76D9A" w:rsidRDefault="003058D4" w:rsidP="00F2263C">
            <w:pPr>
              <w:spacing w:after="0" w:line="240" w:lineRule="auto"/>
              <w:jc w:val="center"/>
              <w:rPr>
                <w:rFonts w:cstheme="minorHAnsi"/>
                <w:b/>
                <w:bCs/>
                <w:sz w:val="24"/>
                <w:szCs w:val="24"/>
              </w:rPr>
            </w:pPr>
            <w:r w:rsidRPr="00D76D9A">
              <w:rPr>
                <w:rFonts w:cstheme="minorHAnsi"/>
                <w:b/>
                <w:bCs/>
                <w:sz w:val="24"/>
                <w:szCs w:val="24"/>
              </w:rPr>
              <w:t>Equivalence :</w:t>
            </w:r>
          </w:p>
        </w:tc>
        <w:tc>
          <w:tcPr>
            <w:tcW w:w="7938" w:type="dxa"/>
            <w:tcBorders>
              <w:top w:val="single" w:sz="18" w:space="0" w:color="auto"/>
              <w:bottom w:val="single" w:sz="4" w:space="0" w:color="auto"/>
              <w:right w:val="single" w:sz="18" w:space="0" w:color="auto"/>
            </w:tcBorders>
            <w:shd w:val="clear" w:color="auto" w:fill="FDFBA9"/>
            <w:vAlign w:val="bottom"/>
          </w:tcPr>
          <w:p w:rsidR="003058D4" w:rsidRPr="00D76D9A" w:rsidRDefault="003058D4" w:rsidP="00F2263C">
            <w:pPr>
              <w:spacing w:after="0" w:line="240" w:lineRule="auto"/>
              <w:jc w:val="center"/>
              <w:rPr>
                <w:rFonts w:cstheme="minorHAnsi"/>
                <w:b/>
                <w:bCs/>
                <w:sz w:val="24"/>
                <w:szCs w:val="24"/>
              </w:rPr>
            </w:pPr>
            <w:r w:rsidRPr="00D76D9A">
              <w:rPr>
                <w:rFonts w:cstheme="minorHAnsi"/>
                <w:b/>
                <w:bCs/>
                <w:sz w:val="24"/>
                <w:szCs w:val="24"/>
              </w:rPr>
              <w:t>EN 12416-1</w:t>
            </w:r>
          </w:p>
        </w:tc>
      </w:tr>
      <w:tr w:rsidR="0043547B" w:rsidRPr="0043547B" w:rsidTr="00F2263C">
        <w:trPr>
          <w:gridBefore w:val="1"/>
          <w:wBefore w:w="18" w:type="dxa"/>
          <w:trHeight w:val="505"/>
          <w:jc w:val="center"/>
        </w:trPr>
        <w:tc>
          <w:tcPr>
            <w:tcW w:w="1856" w:type="dxa"/>
            <w:tcBorders>
              <w:top w:val="single" w:sz="4" w:space="0" w:color="auto"/>
              <w:left w:val="single" w:sz="18" w:space="0" w:color="auto"/>
              <w:bottom w:val="single" w:sz="4" w:space="0" w:color="auto"/>
              <w:right w:val="single" w:sz="8" w:space="0" w:color="auto"/>
            </w:tcBorders>
            <w:shd w:val="clear" w:color="auto" w:fill="95B3D7" w:themeFill="accent1" w:themeFillTint="99"/>
            <w:vAlign w:val="center"/>
          </w:tcPr>
          <w:p w:rsidR="003058D4" w:rsidRPr="0043547B" w:rsidRDefault="003058D4" w:rsidP="00F2263C">
            <w:pPr>
              <w:spacing w:after="0" w:line="240" w:lineRule="auto"/>
              <w:jc w:val="center"/>
              <w:rPr>
                <w:rFonts w:cstheme="minorHAnsi"/>
                <w:b/>
                <w:bCs/>
                <w:sz w:val="24"/>
                <w:szCs w:val="24"/>
              </w:rPr>
            </w:pPr>
            <w:r w:rsidRPr="0043547B">
              <w:rPr>
                <w:rFonts w:cstheme="minorHAnsi"/>
                <w:b/>
                <w:bCs/>
                <w:sz w:val="24"/>
                <w:szCs w:val="24"/>
              </w:rPr>
              <w:lastRenderedPageBreak/>
              <w:t>Intitulé :</w:t>
            </w:r>
          </w:p>
        </w:tc>
        <w:tc>
          <w:tcPr>
            <w:tcW w:w="7938" w:type="dxa"/>
            <w:tcBorders>
              <w:top w:val="single" w:sz="4" w:space="0" w:color="auto"/>
              <w:bottom w:val="single" w:sz="4" w:space="0" w:color="auto"/>
              <w:right w:val="single" w:sz="18" w:space="0" w:color="auto"/>
            </w:tcBorders>
            <w:shd w:val="clear" w:color="auto" w:fill="auto"/>
            <w:vAlign w:val="bottom"/>
          </w:tcPr>
          <w:p w:rsidR="003058D4" w:rsidRPr="0043547B" w:rsidRDefault="003058D4" w:rsidP="00F2263C">
            <w:pPr>
              <w:spacing w:after="0" w:line="240" w:lineRule="auto"/>
              <w:rPr>
                <w:rFonts w:cstheme="minorHAnsi"/>
                <w:sz w:val="24"/>
                <w:szCs w:val="24"/>
              </w:rPr>
            </w:pPr>
            <w:r w:rsidRPr="0043547B">
              <w:rPr>
                <w:rFonts w:cstheme="minorHAnsi"/>
                <w:sz w:val="24"/>
                <w:szCs w:val="24"/>
              </w:rPr>
              <w:t xml:space="preserve">Installations fixes de lutte contre l'incendie - Systèmes d'extinction à poudre - Partie 1: Exigences et méthodes d'essais des éléments constitutifs ; </w:t>
            </w:r>
          </w:p>
        </w:tc>
      </w:tr>
      <w:tr w:rsidR="0043547B" w:rsidRPr="0043547B" w:rsidTr="00F2263C">
        <w:trPr>
          <w:gridBefore w:val="1"/>
          <w:wBefore w:w="18" w:type="dxa"/>
          <w:trHeight w:val="23"/>
          <w:jc w:val="center"/>
        </w:trPr>
        <w:tc>
          <w:tcPr>
            <w:tcW w:w="1856" w:type="dxa"/>
            <w:tcBorders>
              <w:top w:val="single" w:sz="4" w:space="0" w:color="auto"/>
              <w:left w:val="single" w:sz="18" w:space="0" w:color="auto"/>
              <w:bottom w:val="single" w:sz="18" w:space="0" w:color="auto"/>
              <w:right w:val="single" w:sz="8" w:space="0" w:color="auto"/>
            </w:tcBorders>
            <w:shd w:val="clear" w:color="000000" w:fill="D9D9D9"/>
            <w:vAlign w:val="center"/>
          </w:tcPr>
          <w:p w:rsidR="003058D4" w:rsidRPr="0043547B" w:rsidRDefault="003058D4" w:rsidP="00F2263C">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bottom w:val="single" w:sz="18" w:space="0" w:color="auto"/>
              <w:right w:val="single" w:sz="18" w:space="0" w:color="auto"/>
            </w:tcBorders>
            <w:shd w:val="clear" w:color="auto" w:fill="auto"/>
          </w:tcPr>
          <w:p w:rsidR="00F2263C" w:rsidRDefault="003058D4" w:rsidP="00F2263C">
            <w:pPr>
              <w:spacing w:after="0" w:line="240" w:lineRule="auto"/>
              <w:jc w:val="both"/>
              <w:rPr>
                <w:rFonts w:cstheme="minorHAnsi"/>
                <w:sz w:val="24"/>
                <w:szCs w:val="24"/>
              </w:rPr>
            </w:pPr>
            <w:r w:rsidRPr="0043547B">
              <w:rPr>
                <w:rFonts w:cstheme="minorHAnsi"/>
                <w:sz w:val="24"/>
                <w:szCs w:val="24"/>
              </w:rPr>
              <w:t>La présente norme européenne spécifie les exigences et les méthodes d'essai s'appliquant aux matériaux, à la construction et aux performances des éléments destinés à un usage au sein d'installations de lutte contre l'incendie utilisant la poudre conformes au prEN 12416-2:2000.</w:t>
            </w:r>
          </w:p>
          <w:p w:rsidR="00F2263C" w:rsidRDefault="003058D4" w:rsidP="00F2263C">
            <w:pPr>
              <w:spacing w:after="0" w:line="240" w:lineRule="auto"/>
              <w:jc w:val="both"/>
              <w:rPr>
                <w:rFonts w:cstheme="minorHAnsi"/>
                <w:sz w:val="24"/>
                <w:szCs w:val="24"/>
              </w:rPr>
            </w:pPr>
            <w:r w:rsidRPr="0043547B">
              <w:rPr>
                <w:rFonts w:cstheme="minorHAnsi"/>
                <w:sz w:val="24"/>
                <w:szCs w:val="24"/>
              </w:rPr>
              <w:t>Les éléments faisant l'objet de la présente norme sont les suivants :</w:t>
            </w:r>
          </w:p>
          <w:p w:rsidR="00F2263C" w:rsidRDefault="003058D4" w:rsidP="00F2263C">
            <w:pPr>
              <w:spacing w:after="0" w:line="240" w:lineRule="auto"/>
              <w:rPr>
                <w:rFonts w:cstheme="minorHAnsi"/>
                <w:sz w:val="24"/>
                <w:szCs w:val="24"/>
              </w:rPr>
            </w:pPr>
            <w:r w:rsidRPr="0043547B">
              <w:rPr>
                <w:rFonts w:cstheme="minorHAnsi"/>
                <w:sz w:val="24"/>
                <w:szCs w:val="24"/>
              </w:rPr>
              <w:t>— réservoirs de poudre ;</w:t>
            </w:r>
            <w:r w:rsidRPr="0043547B">
              <w:rPr>
                <w:rFonts w:cstheme="minorHAnsi"/>
                <w:sz w:val="24"/>
                <w:szCs w:val="24"/>
              </w:rPr>
              <w:br/>
              <w:t>— systèmes de réserve du gaz propulseur ;</w:t>
            </w:r>
            <w:r w:rsidRPr="0043547B">
              <w:rPr>
                <w:rFonts w:cstheme="minorHAnsi"/>
                <w:sz w:val="24"/>
                <w:szCs w:val="24"/>
              </w:rPr>
              <w:br/>
              <w:t>— régulateurs de pression ;</w:t>
            </w:r>
            <w:r w:rsidRPr="0043547B">
              <w:rPr>
                <w:rFonts w:cstheme="minorHAnsi"/>
                <w:sz w:val="24"/>
                <w:szCs w:val="24"/>
              </w:rPr>
              <w:br/>
              <w:t>— systèmes de déclenchement ;</w:t>
            </w:r>
            <w:r w:rsidRPr="0043547B">
              <w:rPr>
                <w:rFonts w:cstheme="minorHAnsi"/>
                <w:sz w:val="24"/>
                <w:szCs w:val="24"/>
              </w:rPr>
              <w:br/>
              <w:t>— vannes d'isolation principales et vannes directionnelles ;</w:t>
            </w:r>
            <w:r w:rsidRPr="0043547B">
              <w:rPr>
                <w:rFonts w:cstheme="minorHAnsi"/>
                <w:sz w:val="24"/>
                <w:szCs w:val="24"/>
              </w:rPr>
              <w:br/>
              <w:t>— diffuseurs.</w:t>
            </w:r>
          </w:p>
          <w:p w:rsidR="00F2263C" w:rsidRDefault="003058D4" w:rsidP="00F2263C">
            <w:pPr>
              <w:spacing w:after="0" w:line="240" w:lineRule="auto"/>
              <w:jc w:val="both"/>
              <w:rPr>
                <w:rFonts w:cstheme="minorHAnsi"/>
                <w:sz w:val="24"/>
                <w:szCs w:val="24"/>
              </w:rPr>
            </w:pPr>
            <w:r w:rsidRPr="0043547B">
              <w:rPr>
                <w:rFonts w:cstheme="minorHAnsi"/>
                <w:sz w:val="24"/>
                <w:szCs w:val="24"/>
              </w:rPr>
              <w:t>Ces éléments sont adaptés aux installations de lutte contre l'incendie d'usage général utilisant la poudre, situées dans les immeubles et autres ouvrages de construction. Les surfaces où existent des risques d'explosion, ainsi que les zones de tremblement de terre ou celles dans lesquelles règnent des conditions d'environnement extrêmes, telles les zones marines, de grand large, minières ou aériennes, peuvent faire l'objet de dispositions complémentaires.</w:t>
            </w:r>
            <w:r w:rsidRPr="0043547B">
              <w:rPr>
                <w:rFonts w:cstheme="minorHAnsi"/>
                <w:sz w:val="24"/>
                <w:szCs w:val="24"/>
              </w:rPr>
              <w:br/>
              <w:t>La présente norme s'applique aux éléments destinés à un usage au sein de systèmes d'extinction à poudre conformes au prEN 12416-2:2000. Elle ne s'applique pas, par exemple, aux tuyaux et raccords faisant l'objet de normes plus générales, dont les exigences et recommandations sont indiquées dans le prEN 12416-2:2000.</w:t>
            </w:r>
          </w:p>
          <w:p w:rsidR="003058D4" w:rsidRPr="0043547B" w:rsidRDefault="003058D4" w:rsidP="00F2263C">
            <w:pPr>
              <w:spacing w:after="0" w:line="240" w:lineRule="auto"/>
              <w:jc w:val="both"/>
              <w:rPr>
                <w:rFonts w:cstheme="minorHAnsi"/>
                <w:sz w:val="24"/>
                <w:szCs w:val="24"/>
              </w:rPr>
            </w:pPr>
            <w:r w:rsidRPr="0043547B">
              <w:rPr>
                <w:rFonts w:cstheme="minorHAnsi"/>
                <w:sz w:val="24"/>
                <w:szCs w:val="24"/>
              </w:rPr>
              <w:t>Par ailleurs, elle ne s'applique pas aux détecteurs ni aux équipements électriques de commande ou d'indication.</w:t>
            </w:r>
          </w:p>
        </w:tc>
      </w:tr>
      <w:tr w:rsidR="0043547B" w:rsidRPr="0043547B" w:rsidTr="002D4C79">
        <w:trPr>
          <w:gridBefore w:val="1"/>
          <w:wBefore w:w="18" w:type="dxa"/>
          <w:trHeight w:val="330"/>
          <w:jc w:val="center"/>
        </w:trPr>
        <w:tc>
          <w:tcPr>
            <w:tcW w:w="1856" w:type="dxa"/>
            <w:tcBorders>
              <w:top w:val="single" w:sz="18" w:space="0" w:color="auto"/>
              <w:left w:val="single" w:sz="18" w:space="0" w:color="auto"/>
              <w:bottom w:val="single" w:sz="18" w:space="0" w:color="auto"/>
              <w:right w:val="single" w:sz="8" w:space="0" w:color="auto"/>
            </w:tcBorders>
            <w:shd w:val="clear" w:color="auto" w:fill="C2D69B" w:themeFill="accent3" w:themeFillTint="99"/>
            <w:vAlign w:val="center"/>
            <w:hideMark/>
          </w:tcPr>
          <w:p w:rsidR="00A20C6E" w:rsidRPr="00F2263C" w:rsidRDefault="00A20C6E" w:rsidP="00F2263C">
            <w:pPr>
              <w:spacing w:after="0" w:line="240" w:lineRule="auto"/>
              <w:jc w:val="center"/>
              <w:rPr>
                <w:rFonts w:cstheme="minorHAnsi"/>
                <w:b/>
                <w:bCs/>
                <w:sz w:val="24"/>
                <w:szCs w:val="24"/>
              </w:rPr>
            </w:pPr>
            <w:r w:rsidRPr="00F2263C">
              <w:rPr>
                <w:rFonts w:cstheme="minorHAnsi"/>
                <w:b/>
                <w:bCs/>
                <w:sz w:val="24"/>
                <w:szCs w:val="24"/>
              </w:rPr>
              <w:t>Code :</w:t>
            </w:r>
          </w:p>
        </w:tc>
        <w:tc>
          <w:tcPr>
            <w:tcW w:w="7938" w:type="dxa"/>
            <w:tcBorders>
              <w:top w:val="single" w:sz="18" w:space="0" w:color="auto"/>
              <w:bottom w:val="single" w:sz="18" w:space="0" w:color="auto"/>
              <w:right w:val="single" w:sz="18" w:space="0" w:color="auto"/>
            </w:tcBorders>
            <w:shd w:val="clear" w:color="auto" w:fill="C2D69B" w:themeFill="accent3" w:themeFillTint="99"/>
            <w:hideMark/>
          </w:tcPr>
          <w:p w:rsidR="00A20C6E" w:rsidRPr="00F2263C" w:rsidRDefault="00A20C6E" w:rsidP="00F2263C">
            <w:pPr>
              <w:spacing w:after="0" w:line="240" w:lineRule="auto"/>
              <w:jc w:val="center"/>
              <w:rPr>
                <w:rFonts w:cstheme="minorHAnsi"/>
                <w:b/>
                <w:bCs/>
                <w:sz w:val="24"/>
                <w:szCs w:val="24"/>
              </w:rPr>
            </w:pPr>
            <w:r w:rsidRPr="00F2263C">
              <w:rPr>
                <w:rFonts w:cstheme="minorHAnsi"/>
                <w:b/>
                <w:bCs/>
                <w:sz w:val="24"/>
                <w:szCs w:val="24"/>
              </w:rPr>
              <w:t>NM EN 3-7</w:t>
            </w:r>
          </w:p>
        </w:tc>
      </w:tr>
      <w:tr w:rsidR="0043547B" w:rsidRPr="0043547B" w:rsidTr="002D4C79">
        <w:trPr>
          <w:gridBefore w:val="1"/>
          <w:wBefore w:w="18" w:type="dxa"/>
          <w:trHeight w:val="330"/>
          <w:jc w:val="center"/>
        </w:trPr>
        <w:tc>
          <w:tcPr>
            <w:tcW w:w="1856" w:type="dxa"/>
            <w:tcBorders>
              <w:top w:val="single" w:sz="18" w:space="0" w:color="auto"/>
              <w:left w:val="single" w:sz="18" w:space="0" w:color="auto"/>
              <w:bottom w:val="single" w:sz="4" w:space="0" w:color="auto"/>
              <w:right w:val="single" w:sz="8" w:space="0" w:color="auto"/>
            </w:tcBorders>
            <w:shd w:val="clear" w:color="auto" w:fill="FDFBA9"/>
            <w:vAlign w:val="center"/>
          </w:tcPr>
          <w:p w:rsidR="00A20C6E" w:rsidRPr="00F2263C" w:rsidRDefault="00A20C6E" w:rsidP="00F2263C">
            <w:pPr>
              <w:spacing w:after="0" w:line="240" w:lineRule="auto"/>
              <w:jc w:val="center"/>
              <w:rPr>
                <w:rFonts w:cstheme="minorHAnsi"/>
                <w:b/>
                <w:bCs/>
                <w:sz w:val="24"/>
                <w:szCs w:val="24"/>
              </w:rPr>
            </w:pPr>
            <w:r w:rsidRPr="00F2263C">
              <w:rPr>
                <w:rFonts w:cstheme="minorHAnsi"/>
                <w:b/>
                <w:bCs/>
                <w:sz w:val="24"/>
                <w:szCs w:val="24"/>
              </w:rPr>
              <w:t>Equivalence :</w:t>
            </w:r>
          </w:p>
        </w:tc>
        <w:tc>
          <w:tcPr>
            <w:tcW w:w="7938" w:type="dxa"/>
            <w:tcBorders>
              <w:top w:val="single" w:sz="18" w:space="0" w:color="auto"/>
              <w:bottom w:val="single" w:sz="4" w:space="0" w:color="auto"/>
              <w:right w:val="single" w:sz="18" w:space="0" w:color="auto"/>
            </w:tcBorders>
            <w:shd w:val="clear" w:color="auto" w:fill="FDFBA9"/>
            <w:vAlign w:val="center"/>
          </w:tcPr>
          <w:p w:rsidR="00A20C6E" w:rsidRPr="00F2263C" w:rsidRDefault="00A20C6E" w:rsidP="00F2263C">
            <w:pPr>
              <w:spacing w:after="0" w:line="240" w:lineRule="auto"/>
              <w:jc w:val="center"/>
              <w:rPr>
                <w:rFonts w:cstheme="minorHAnsi"/>
                <w:b/>
                <w:bCs/>
                <w:sz w:val="24"/>
                <w:szCs w:val="24"/>
              </w:rPr>
            </w:pPr>
            <w:r w:rsidRPr="00F2263C">
              <w:rPr>
                <w:rFonts w:cstheme="minorHAnsi"/>
                <w:b/>
                <w:bCs/>
                <w:sz w:val="24"/>
                <w:szCs w:val="24"/>
              </w:rPr>
              <w:t>EN 3-7</w:t>
            </w:r>
          </w:p>
        </w:tc>
      </w:tr>
      <w:tr w:rsidR="0043547B" w:rsidRPr="0043547B" w:rsidTr="002D4C79">
        <w:trPr>
          <w:gridBefore w:val="1"/>
          <w:wBefore w:w="18" w:type="dxa"/>
          <w:trHeight w:val="235"/>
          <w:jc w:val="center"/>
        </w:trPr>
        <w:tc>
          <w:tcPr>
            <w:tcW w:w="1856" w:type="dxa"/>
            <w:tcBorders>
              <w:top w:val="single" w:sz="4" w:space="0" w:color="auto"/>
              <w:left w:val="single" w:sz="18" w:space="0" w:color="auto"/>
              <w:bottom w:val="single" w:sz="4" w:space="0" w:color="auto"/>
              <w:right w:val="single" w:sz="8" w:space="0" w:color="auto"/>
            </w:tcBorders>
            <w:shd w:val="clear" w:color="000000" w:fill="8DB4E2"/>
            <w:vAlign w:val="center"/>
            <w:hideMark/>
          </w:tcPr>
          <w:p w:rsidR="00A20C6E" w:rsidRPr="0043547B" w:rsidRDefault="00A20C6E" w:rsidP="00F2263C">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right w:val="single" w:sz="18" w:space="0" w:color="auto"/>
            </w:tcBorders>
            <w:shd w:val="clear" w:color="auto" w:fill="auto"/>
            <w:hideMark/>
          </w:tcPr>
          <w:p w:rsidR="00A20C6E" w:rsidRPr="0043547B" w:rsidRDefault="00A20C6E" w:rsidP="00F2263C">
            <w:pPr>
              <w:spacing w:after="0" w:line="240" w:lineRule="auto"/>
              <w:jc w:val="both"/>
              <w:rPr>
                <w:rFonts w:cstheme="minorHAnsi"/>
                <w:sz w:val="24"/>
                <w:szCs w:val="24"/>
              </w:rPr>
            </w:pPr>
            <w:r w:rsidRPr="0043547B">
              <w:rPr>
                <w:rFonts w:cstheme="minorHAnsi"/>
                <w:sz w:val="24"/>
                <w:szCs w:val="24"/>
              </w:rPr>
              <w:t xml:space="preserve">Extincteurs d'incendie portatifs - Partie 7 : Caractéristiques, performances et méthodes d’essai </w:t>
            </w:r>
          </w:p>
        </w:tc>
      </w:tr>
      <w:tr w:rsidR="0043547B" w:rsidRPr="0043547B" w:rsidTr="00D20D9B">
        <w:trPr>
          <w:gridBefore w:val="1"/>
          <w:wBefore w:w="18" w:type="dxa"/>
          <w:trHeight w:val="615"/>
          <w:jc w:val="center"/>
        </w:trPr>
        <w:tc>
          <w:tcPr>
            <w:tcW w:w="1856" w:type="dxa"/>
            <w:tcBorders>
              <w:top w:val="nil"/>
              <w:left w:val="single" w:sz="18" w:space="0" w:color="auto"/>
              <w:bottom w:val="single" w:sz="18" w:space="0" w:color="auto"/>
              <w:right w:val="single" w:sz="8" w:space="0" w:color="auto"/>
            </w:tcBorders>
            <w:shd w:val="clear" w:color="000000" w:fill="D9D9D9"/>
            <w:vAlign w:val="center"/>
            <w:hideMark/>
          </w:tcPr>
          <w:p w:rsidR="00A20C6E" w:rsidRPr="0043547B" w:rsidRDefault="00A20C6E" w:rsidP="00F2263C">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bottom w:val="single" w:sz="18" w:space="0" w:color="auto"/>
              <w:right w:val="single" w:sz="18" w:space="0" w:color="auto"/>
            </w:tcBorders>
            <w:shd w:val="clear" w:color="auto" w:fill="auto"/>
            <w:hideMark/>
          </w:tcPr>
          <w:p w:rsidR="002D4C79" w:rsidRDefault="00A20C6E" w:rsidP="00F2263C">
            <w:pPr>
              <w:spacing w:after="0" w:line="240" w:lineRule="auto"/>
              <w:jc w:val="both"/>
              <w:rPr>
                <w:rFonts w:cstheme="minorHAnsi"/>
                <w:sz w:val="24"/>
                <w:szCs w:val="24"/>
              </w:rPr>
            </w:pPr>
            <w:r w:rsidRPr="0043547B">
              <w:rPr>
                <w:rFonts w:cstheme="minorHAnsi"/>
                <w:sz w:val="24"/>
                <w:szCs w:val="24"/>
              </w:rPr>
              <w:t>La présente norme spécifie les caractéristiques, les exigences de performance et les méthodes d’essai relatives aux extincteurs d’incendie portatifs.</w:t>
            </w:r>
            <w:r w:rsidRPr="0043547B">
              <w:rPr>
                <w:rFonts w:cstheme="minorHAnsi"/>
                <w:sz w:val="24"/>
                <w:szCs w:val="24"/>
              </w:rPr>
              <w:br/>
              <w:t>La mention de l’utilisation possible d’un extincteur pour des foyers gazeux (feux de classe C) est laissée à la discrétion du fabricant, mais n’est possible que pour des extincteurs à poudre qui ont obtenu des foyers-types sur feux de classe B ou sur feux de classe A et de classe B.</w:t>
            </w:r>
          </w:p>
          <w:p w:rsidR="00A20C6E" w:rsidRPr="0043547B" w:rsidRDefault="00A20C6E" w:rsidP="00F2263C">
            <w:pPr>
              <w:spacing w:after="0" w:line="240" w:lineRule="auto"/>
              <w:jc w:val="both"/>
              <w:rPr>
                <w:rFonts w:cstheme="minorHAnsi"/>
                <w:sz w:val="24"/>
                <w:szCs w:val="24"/>
              </w:rPr>
            </w:pPr>
            <w:r w:rsidRPr="0043547B">
              <w:rPr>
                <w:rFonts w:cstheme="minorHAnsi"/>
                <w:sz w:val="24"/>
                <w:szCs w:val="24"/>
              </w:rPr>
              <w:t>L’aptitude des extincteurs à être utilisés sur les feux de classe D (feux impliquant des métaux inflammables) ne fait pas partie du domaine d’application de cette norme en ce qui concerne les essais sur feu. En revanche, les extincteurs déclarés utilisables sur les feux de classe D sont couverts pour tous les autres aspects par les exigences de la présente norme pour les extincteurs à poudre.</w:t>
            </w:r>
            <w:r w:rsidRPr="0043547B">
              <w:rPr>
                <w:rFonts w:cstheme="minorHAnsi"/>
                <w:sz w:val="24"/>
                <w:szCs w:val="24"/>
              </w:rPr>
              <w:br/>
              <w:t>!Il est considéré comme dangereux d’utiliser des extincteurs à poudre ou au dioxyde de carbone sur les feux de classe F. Pour cette raison, la présente Norme européenne exclut de procéder à l’évaluation de conformité des extincteurs à poudre ou au dioxyde de carbone par rapport à la classe F."</w:t>
            </w:r>
            <w:r w:rsidRPr="0043547B">
              <w:rPr>
                <w:rFonts w:cstheme="minorHAnsi"/>
                <w:sz w:val="24"/>
                <w:szCs w:val="24"/>
              </w:rPr>
              <w:br/>
            </w:r>
            <w:r w:rsidRPr="002D4C79">
              <w:rPr>
                <w:rFonts w:cstheme="minorHAnsi"/>
                <w:b/>
                <w:bCs/>
                <w:i/>
                <w:iCs/>
              </w:rPr>
              <w:t>NOTE</w:t>
            </w:r>
            <w:r w:rsidRPr="002D4C79">
              <w:rPr>
                <w:rFonts w:cstheme="minorHAnsi"/>
                <w:i/>
                <w:iCs/>
              </w:rPr>
              <w:t xml:space="preserve"> : L’extinction d’un feu de métaux présente une situation spécifique (en termes du métal lui-même, de sa forme, de la configuration du feu, etc.) au point qu’il n’est pas possible de définir un feu type représentatif pour les besoins de l’essai.</w:t>
            </w:r>
            <w:r w:rsidRPr="002D4C79">
              <w:rPr>
                <w:rFonts w:cstheme="minorHAnsi"/>
              </w:rPr>
              <w:br/>
            </w:r>
            <w:r w:rsidRPr="0043547B">
              <w:rPr>
                <w:rFonts w:cstheme="minorHAnsi"/>
                <w:sz w:val="24"/>
                <w:szCs w:val="24"/>
              </w:rPr>
              <w:lastRenderedPageBreak/>
              <w:t>L’efficacité des extincteurs sur les feux de la classe D doit être évaluée au cas par cas.</w:t>
            </w:r>
          </w:p>
        </w:tc>
      </w:tr>
      <w:tr w:rsidR="0043547B" w:rsidRPr="0043547B" w:rsidTr="002D4C79">
        <w:trPr>
          <w:gridBefore w:val="1"/>
          <w:wBefore w:w="18" w:type="dxa"/>
          <w:trHeight w:val="305"/>
          <w:jc w:val="center"/>
        </w:trPr>
        <w:tc>
          <w:tcPr>
            <w:tcW w:w="1856" w:type="dxa"/>
            <w:tcBorders>
              <w:top w:val="nil"/>
              <w:left w:val="single" w:sz="18" w:space="0" w:color="auto"/>
              <w:bottom w:val="single" w:sz="18" w:space="0" w:color="auto"/>
              <w:right w:val="single" w:sz="8" w:space="0" w:color="auto"/>
            </w:tcBorders>
            <w:shd w:val="clear" w:color="auto" w:fill="C2D69B" w:themeFill="accent3" w:themeFillTint="99"/>
            <w:vAlign w:val="center"/>
          </w:tcPr>
          <w:p w:rsidR="004D093D" w:rsidRPr="00D76D9A" w:rsidRDefault="004D093D" w:rsidP="002D4C79">
            <w:pPr>
              <w:spacing w:after="0" w:line="240" w:lineRule="auto"/>
              <w:jc w:val="center"/>
              <w:rPr>
                <w:rFonts w:cstheme="minorHAnsi"/>
                <w:b/>
                <w:bCs/>
                <w:sz w:val="24"/>
                <w:szCs w:val="24"/>
              </w:rPr>
            </w:pPr>
            <w:r w:rsidRPr="00D76D9A">
              <w:rPr>
                <w:rFonts w:cstheme="minorHAnsi"/>
                <w:b/>
                <w:bCs/>
                <w:sz w:val="24"/>
                <w:szCs w:val="24"/>
              </w:rPr>
              <w:lastRenderedPageBreak/>
              <w:t>Code :</w:t>
            </w:r>
          </w:p>
        </w:tc>
        <w:tc>
          <w:tcPr>
            <w:tcW w:w="7938" w:type="dxa"/>
            <w:tcBorders>
              <w:bottom w:val="single" w:sz="18" w:space="0" w:color="auto"/>
              <w:right w:val="single" w:sz="18" w:space="0" w:color="auto"/>
            </w:tcBorders>
            <w:shd w:val="clear" w:color="auto" w:fill="C2D69B" w:themeFill="accent3" w:themeFillTint="99"/>
            <w:vAlign w:val="center"/>
          </w:tcPr>
          <w:p w:rsidR="004D093D" w:rsidRPr="00D76D9A" w:rsidRDefault="004D093D" w:rsidP="002D4C79">
            <w:pPr>
              <w:spacing w:after="0" w:line="240" w:lineRule="auto"/>
              <w:jc w:val="center"/>
              <w:rPr>
                <w:rFonts w:cstheme="minorHAnsi"/>
                <w:b/>
                <w:bCs/>
                <w:sz w:val="24"/>
                <w:szCs w:val="24"/>
              </w:rPr>
            </w:pPr>
            <w:r w:rsidRPr="00D76D9A">
              <w:rPr>
                <w:rFonts w:cstheme="minorHAnsi"/>
                <w:b/>
                <w:bCs/>
                <w:sz w:val="24"/>
                <w:szCs w:val="24"/>
              </w:rPr>
              <w:t>NM EN 615</w:t>
            </w:r>
          </w:p>
        </w:tc>
      </w:tr>
      <w:tr w:rsidR="0043547B" w:rsidRPr="0043547B" w:rsidTr="002D4C79">
        <w:trPr>
          <w:gridBefore w:val="1"/>
          <w:wBefore w:w="18" w:type="dxa"/>
          <w:trHeight w:val="383"/>
          <w:jc w:val="center"/>
        </w:trPr>
        <w:tc>
          <w:tcPr>
            <w:tcW w:w="1856" w:type="dxa"/>
            <w:tcBorders>
              <w:top w:val="single" w:sz="18" w:space="0" w:color="auto"/>
              <w:left w:val="single" w:sz="18" w:space="0" w:color="auto"/>
              <w:bottom w:val="single" w:sz="4" w:space="0" w:color="auto"/>
              <w:right w:val="single" w:sz="8" w:space="0" w:color="auto"/>
            </w:tcBorders>
            <w:shd w:val="clear" w:color="auto" w:fill="FDFBA9"/>
            <w:vAlign w:val="center"/>
          </w:tcPr>
          <w:p w:rsidR="004D093D" w:rsidRPr="0043547B" w:rsidRDefault="004D093D" w:rsidP="002D4C79">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bottom w:val="single" w:sz="4" w:space="0" w:color="auto"/>
              <w:right w:val="single" w:sz="18" w:space="0" w:color="auto"/>
            </w:tcBorders>
            <w:shd w:val="clear" w:color="auto" w:fill="FDFBA9"/>
            <w:vAlign w:val="center"/>
          </w:tcPr>
          <w:p w:rsidR="004D093D" w:rsidRPr="00D76D9A" w:rsidRDefault="00D76D9A" w:rsidP="002D4C79">
            <w:pPr>
              <w:spacing w:after="0" w:line="240" w:lineRule="auto"/>
              <w:jc w:val="center"/>
              <w:rPr>
                <w:rFonts w:cstheme="minorHAnsi"/>
                <w:b/>
                <w:bCs/>
                <w:sz w:val="24"/>
                <w:szCs w:val="24"/>
              </w:rPr>
            </w:pPr>
            <w:r w:rsidRPr="00D76D9A">
              <w:rPr>
                <w:rFonts w:cstheme="minorHAnsi"/>
                <w:b/>
                <w:bCs/>
                <w:sz w:val="24"/>
                <w:szCs w:val="24"/>
              </w:rPr>
              <w:t>EN 615</w:t>
            </w:r>
          </w:p>
        </w:tc>
      </w:tr>
      <w:tr w:rsidR="0043547B" w:rsidRPr="0043547B" w:rsidTr="002D4C79">
        <w:trPr>
          <w:gridBefore w:val="1"/>
          <w:wBefore w:w="18" w:type="dxa"/>
          <w:trHeight w:val="615"/>
          <w:jc w:val="center"/>
        </w:trPr>
        <w:tc>
          <w:tcPr>
            <w:tcW w:w="1856" w:type="dxa"/>
            <w:tcBorders>
              <w:top w:val="single" w:sz="4" w:space="0" w:color="auto"/>
              <w:left w:val="single" w:sz="18" w:space="0" w:color="auto"/>
              <w:bottom w:val="single" w:sz="4" w:space="0" w:color="auto"/>
              <w:right w:val="single" w:sz="8" w:space="0" w:color="auto"/>
            </w:tcBorders>
            <w:shd w:val="clear" w:color="auto" w:fill="95B3D7" w:themeFill="accent1" w:themeFillTint="99"/>
            <w:vAlign w:val="center"/>
          </w:tcPr>
          <w:p w:rsidR="004D093D" w:rsidRPr="0043547B" w:rsidRDefault="004D093D" w:rsidP="002D4C79">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bottom w:val="single" w:sz="4" w:space="0" w:color="auto"/>
              <w:right w:val="single" w:sz="18" w:space="0" w:color="auto"/>
            </w:tcBorders>
            <w:shd w:val="clear" w:color="auto" w:fill="auto"/>
            <w:vAlign w:val="bottom"/>
          </w:tcPr>
          <w:p w:rsidR="004D093D" w:rsidRPr="0043547B" w:rsidRDefault="004D093D" w:rsidP="002D4C79">
            <w:pPr>
              <w:spacing w:after="0" w:line="240" w:lineRule="auto"/>
              <w:rPr>
                <w:rFonts w:cstheme="minorHAnsi"/>
                <w:sz w:val="24"/>
                <w:szCs w:val="24"/>
              </w:rPr>
            </w:pPr>
            <w:r w:rsidRPr="0043547B">
              <w:rPr>
                <w:rFonts w:cstheme="minorHAnsi"/>
                <w:sz w:val="24"/>
                <w:szCs w:val="24"/>
              </w:rPr>
              <w:t>Protection contre l'incendie - Agents extincteurs -</w:t>
            </w:r>
            <w:r w:rsidRPr="0043547B">
              <w:rPr>
                <w:rFonts w:cstheme="minorHAnsi"/>
                <w:sz w:val="24"/>
                <w:szCs w:val="24"/>
              </w:rPr>
              <w:br/>
              <w:t xml:space="preserve"> Prescriptions pour les poudres (autres que les poudres pour classe D) </w:t>
            </w:r>
          </w:p>
        </w:tc>
      </w:tr>
      <w:tr w:rsidR="0043547B" w:rsidRPr="0043547B" w:rsidTr="002D4C79">
        <w:trPr>
          <w:gridBefore w:val="1"/>
          <w:wBefore w:w="18" w:type="dxa"/>
          <w:trHeight w:val="615"/>
          <w:jc w:val="center"/>
        </w:trPr>
        <w:tc>
          <w:tcPr>
            <w:tcW w:w="1856" w:type="dxa"/>
            <w:tcBorders>
              <w:top w:val="single" w:sz="4" w:space="0" w:color="auto"/>
              <w:left w:val="single" w:sz="18" w:space="0" w:color="auto"/>
              <w:bottom w:val="single" w:sz="18" w:space="0" w:color="auto"/>
              <w:right w:val="single" w:sz="8" w:space="0" w:color="auto"/>
            </w:tcBorders>
            <w:shd w:val="clear" w:color="000000" w:fill="D9D9D9"/>
            <w:vAlign w:val="center"/>
          </w:tcPr>
          <w:p w:rsidR="004D093D" w:rsidRPr="0043547B" w:rsidRDefault="004D093D" w:rsidP="002D4C79">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bottom w:val="single" w:sz="18" w:space="0" w:color="auto"/>
              <w:right w:val="single" w:sz="18" w:space="0" w:color="auto"/>
            </w:tcBorders>
            <w:shd w:val="clear" w:color="auto" w:fill="auto"/>
          </w:tcPr>
          <w:p w:rsidR="002D4C79" w:rsidRDefault="004D093D" w:rsidP="002D4C79">
            <w:pPr>
              <w:spacing w:after="0" w:line="240" w:lineRule="auto"/>
              <w:jc w:val="both"/>
              <w:rPr>
                <w:rFonts w:cstheme="minorHAnsi"/>
                <w:sz w:val="24"/>
                <w:szCs w:val="24"/>
              </w:rPr>
            </w:pPr>
            <w:r w:rsidRPr="0043547B">
              <w:rPr>
                <w:rFonts w:cstheme="minorHAnsi"/>
                <w:sz w:val="24"/>
                <w:szCs w:val="24"/>
              </w:rPr>
              <w:t>La présente Norme européenne définit les exigences concernant les propriétés physiques et chimiques ainsi que les performances minimales déterminées par des méthodes d'essais, de poudres extinctrices utilisables dans la lutte contre les incendies des classes A, B et C. Elle précise également les renseignements et informations que le fournisseur doit donner.</w:t>
            </w:r>
          </w:p>
          <w:p w:rsidR="002D4C79" w:rsidRDefault="004D093D" w:rsidP="002D4C79">
            <w:pPr>
              <w:spacing w:after="0" w:line="240" w:lineRule="auto"/>
              <w:jc w:val="both"/>
              <w:rPr>
                <w:rFonts w:cstheme="minorHAnsi"/>
                <w:sz w:val="24"/>
                <w:szCs w:val="24"/>
              </w:rPr>
            </w:pPr>
            <w:r w:rsidRPr="0043547B">
              <w:rPr>
                <w:rFonts w:cstheme="minorHAnsi"/>
                <w:sz w:val="24"/>
                <w:szCs w:val="24"/>
              </w:rPr>
              <w:t>Les poudres de classe D n’entrent pas dans le cadre de la présente Norme européenne.</w:t>
            </w:r>
          </w:p>
          <w:p w:rsidR="004D093D" w:rsidRPr="0043547B" w:rsidRDefault="004D093D" w:rsidP="002D4C79">
            <w:pPr>
              <w:spacing w:after="0" w:line="240" w:lineRule="auto"/>
              <w:rPr>
                <w:rFonts w:cstheme="minorHAnsi"/>
                <w:sz w:val="24"/>
                <w:szCs w:val="24"/>
              </w:rPr>
            </w:pPr>
            <w:r w:rsidRPr="002D4C79">
              <w:rPr>
                <w:rFonts w:cstheme="minorHAnsi"/>
                <w:b/>
                <w:bCs/>
                <w:i/>
                <w:iCs/>
              </w:rPr>
              <w:t xml:space="preserve">NOTE 1 </w:t>
            </w:r>
            <w:r w:rsidRPr="002D4C79">
              <w:rPr>
                <w:rFonts w:cstheme="minorHAnsi"/>
                <w:i/>
                <w:iCs/>
              </w:rPr>
              <w:t>: La classification des feux se trouve dans l'EN 2 [1].</w:t>
            </w:r>
            <w:r w:rsidRPr="002D4C79">
              <w:rPr>
                <w:rFonts w:cstheme="minorHAnsi"/>
                <w:i/>
                <w:iCs/>
              </w:rPr>
              <w:br/>
            </w:r>
            <w:r w:rsidRPr="002D4C79">
              <w:rPr>
                <w:rFonts w:cstheme="minorHAnsi"/>
                <w:b/>
                <w:bCs/>
                <w:i/>
                <w:iCs/>
              </w:rPr>
              <w:t xml:space="preserve">NOTE 2 </w:t>
            </w:r>
            <w:r w:rsidRPr="002D4C79">
              <w:rPr>
                <w:rFonts w:cstheme="minorHAnsi"/>
                <w:i/>
                <w:iCs/>
              </w:rPr>
              <w:t>: Certains pays ont défini des normes nationales pour les poudres de classe D.</w:t>
            </w:r>
          </w:p>
        </w:tc>
      </w:tr>
      <w:tr w:rsidR="0043547B" w:rsidRPr="0043547B" w:rsidTr="002D4C79">
        <w:trPr>
          <w:gridBefore w:val="1"/>
          <w:wBefore w:w="18" w:type="dxa"/>
          <w:trHeight w:val="228"/>
          <w:jc w:val="center"/>
        </w:trPr>
        <w:tc>
          <w:tcPr>
            <w:tcW w:w="1856" w:type="dxa"/>
            <w:tcBorders>
              <w:top w:val="nil"/>
              <w:left w:val="single" w:sz="18" w:space="0" w:color="auto"/>
              <w:bottom w:val="single" w:sz="18" w:space="0" w:color="auto"/>
              <w:right w:val="single" w:sz="8" w:space="0" w:color="auto"/>
            </w:tcBorders>
            <w:shd w:val="clear" w:color="auto" w:fill="C2D69B" w:themeFill="accent3" w:themeFillTint="99"/>
            <w:vAlign w:val="center"/>
          </w:tcPr>
          <w:p w:rsidR="004D093D" w:rsidRPr="00D76D9A" w:rsidRDefault="004D093D" w:rsidP="002D4C79">
            <w:pPr>
              <w:spacing w:after="0" w:line="240" w:lineRule="auto"/>
              <w:jc w:val="center"/>
              <w:rPr>
                <w:rFonts w:cstheme="minorHAnsi"/>
                <w:b/>
                <w:bCs/>
                <w:sz w:val="24"/>
                <w:szCs w:val="24"/>
              </w:rPr>
            </w:pPr>
            <w:r w:rsidRPr="00D76D9A">
              <w:rPr>
                <w:rFonts w:cstheme="minorHAnsi"/>
                <w:b/>
                <w:bCs/>
                <w:sz w:val="24"/>
                <w:szCs w:val="24"/>
              </w:rPr>
              <w:t>Code :</w:t>
            </w:r>
          </w:p>
        </w:tc>
        <w:tc>
          <w:tcPr>
            <w:tcW w:w="7938" w:type="dxa"/>
            <w:tcBorders>
              <w:bottom w:val="single" w:sz="18" w:space="0" w:color="auto"/>
              <w:right w:val="single" w:sz="18" w:space="0" w:color="auto"/>
            </w:tcBorders>
            <w:shd w:val="clear" w:color="auto" w:fill="C2D69B" w:themeFill="accent3" w:themeFillTint="99"/>
            <w:vAlign w:val="center"/>
          </w:tcPr>
          <w:p w:rsidR="004D093D" w:rsidRPr="00D76D9A" w:rsidRDefault="004D093D" w:rsidP="002D4C79">
            <w:pPr>
              <w:spacing w:after="0" w:line="240" w:lineRule="auto"/>
              <w:jc w:val="center"/>
              <w:rPr>
                <w:rFonts w:cstheme="minorHAnsi"/>
                <w:b/>
                <w:bCs/>
                <w:sz w:val="24"/>
                <w:szCs w:val="24"/>
              </w:rPr>
            </w:pPr>
            <w:r w:rsidRPr="00D76D9A">
              <w:rPr>
                <w:rFonts w:cstheme="minorHAnsi"/>
                <w:b/>
                <w:bCs/>
                <w:sz w:val="24"/>
                <w:szCs w:val="24"/>
              </w:rPr>
              <w:t>NM EN 1866-3</w:t>
            </w:r>
          </w:p>
        </w:tc>
      </w:tr>
      <w:tr w:rsidR="0043547B" w:rsidRPr="0043547B" w:rsidTr="002D4C79">
        <w:trPr>
          <w:gridBefore w:val="1"/>
          <w:wBefore w:w="18" w:type="dxa"/>
          <w:trHeight w:val="318"/>
          <w:jc w:val="center"/>
        </w:trPr>
        <w:tc>
          <w:tcPr>
            <w:tcW w:w="1856" w:type="dxa"/>
            <w:tcBorders>
              <w:top w:val="single" w:sz="18" w:space="0" w:color="auto"/>
              <w:left w:val="single" w:sz="18" w:space="0" w:color="auto"/>
              <w:bottom w:val="single" w:sz="4" w:space="0" w:color="auto"/>
              <w:right w:val="single" w:sz="8" w:space="0" w:color="auto"/>
            </w:tcBorders>
            <w:shd w:val="clear" w:color="auto" w:fill="FDFBA9"/>
            <w:vAlign w:val="center"/>
          </w:tcPr>
          <w:p w:rsidR="004D093D" w:rsidRPr="0043547B" w:rsidRDefault="004D093D" w:rsidP="002D4C79">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bottom w:val="single" w:sz="4" w:space="0" w:color="auto"/>
              <w:right w:val="single" w:sz="18" w:space="0" w:color="auto"/>
            </w:tcBorders>
            <w:shd w:val="clear" w:color="auto" w:fill="FDFBA9"/>
            <w:vAlign w:val="center"/>
          </w:tcPr>
          <w:p w:rsidR="004D093D" w:rsidRPr="0043547B" w:rsidRDefault="00D76D9A" w:rsidP="002D4C79">
            <w:pPr>
              <w:spacing w:after="0" w:line="240" w:lineRule="auto"/>
              <w:jc w:val="center"/>
              <w:rPr>
                <w:rFonts w:cstheme="minorHAnsi"/>
                <w:b/>
                <w:bCs/>
                <w:sz w:val="24"/>
                <w:szCs w:val="24"/>
              </w:rPr>
            </w:pPr>
            <w:r w:rsidRPr="00D76D9A">
              <w:rPr>
                <w:rFonts w:cstheme="minorHAnsi"/>
                <w:b/>
                <w:bCs/>
                <w:sz w:val="24"/>
                <w:szCs w:val="24"/>
              </w:rPr>
              <w:t>EN 1866-3</w:t>
            </w:r>
          </w:p>
        </w:tc>
      </w:tr>
      <w:tr w:rsidR="0043547B" w:rsidRPr="0043547B" w:rsidTr="002D4C79">
        <w:trPr>
          <w:gridBefore w:val="1"/>
          <w:wBefore w:w="18" w:type="dxa"/>
          <w:trHeight w:val="615"/>
          <w:jc w:val="center"/>
        </w:trPr>
        <w:tc>
          <w:tcPr>
            <w:tcW w:w="1856" w:type="dxa"/>
            <w:tcBorders>
              <w:top w:val="single" w:sz="4" w:space="0" w:color="auto"/>
              <w:left w:val="single" w:sz="18" w:space="0" w:color="auto"/>
              <w:bottom w:val="single" w:sz="4" w:space="0" w:color="auto"/>
              <w:right w:val="single" w:sz="8" w:space="0" w:color="auto"/>
            </w:tcBorders>
            <w:shd w:val="clear" w:color="auto" w:fill="95B3D7" w:themeFill="accent1" w:themeFillTint="99"/>
            <w:vAlign w:val="center"/>
          </w:tcPr>
          <w:p w:rsidR="004D093D" w:rsidRPr="0043547B" w:rsidRDefault="004D093D" w:rsidP="002D4C79">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bottom w:val="single" w:sz="4" w:space="0" w:color="auto"/>
              <w:right w:val="single" w:sz="18" w:space="0" w:color="auto"/>
            </w:tcBorders>
            <w:shd w:val="clear" w:color="auto" w:fill="auto"/>
            <w:vAlign w:val="bottom"/>
          </w:tcPr>
          <w:p w:rsidR="004D093D" w:rsidRPr="0043547B" w:rsidRDefault="004D093D" w:rsidP="002D4C79">
            <w:pPr>
              <w:spacing w:after="0" w:line="240" w:lineRule="auto"/>
              <w:rPr>
                <w:rFonts w:cstheme="minorHAnsi"/>
                <w:sz w:val="24"/>
                <w:szCs w:val="24"/>
              </w:rPr>
            </w:pPr>
            <w:r w:rsidRPr="0043547B">
              <w:rPr>
                <w:rFonts w:cstheme="minorHAnsi"/>
                <w:sz w:val="24"/>
                <w:szCs w:val="24"/>
              </w:rPr>
              <w:t xml:space="preserve">Extincteurs d'incendie mobiles - Partie 3: Exigences relatives au montage, à la construction et à la résistance à la pression des extincteurs au dioxyde de carbone conformes aux exigences de la NM EN 1866-1 </w:t>
            </w:r>
          </w:p>
        </w:tc>
      </w:tr>
      <w:tr w:rsidR="0043547B" w:rsidRPr="0043547B" w:rsidTr="002D4C79">
        <w:trPr>
          <w:gridBefore w:val="1"/>
          <w:wBefore w:w="18" w:type="dxa"/>
          <w:trHeight w:val="615"/>
          <w:jc w:val="center"/>
        </w:trPr>
        <w:tc>
          <w:tcPr>
            <w:tcW w:w="1856" w:type="dxa"/>
            <w:tcBorders>
              <w:top w:val="single" w:sz="4" w:space="0" w:color="auto"/>
              <w:left w:val="single" w:sz="18" w:space="0" w:color="auto"/>
              <w:bottom w:val="single" w:sz="18" w:space="0" w:color="auto"/>
              <w:right w:val="single" w:sz="8" w:space="0" w:color="auto"/>
            </w:tcBorders>
            <w:shd w:val="clear" w:color="000000" w:fill="D9D9D9"/>
            <w:vAlign w:val="center"/>
          </w:tcPr>
          <w:p w:rsidR="004D093D" w:rsidRPr="0043547B" w:rsidRDefault="004D093D" w:rsidP="002D4C79">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bottom w:val="single" w:sz="18" w:space="0" w:color="auto"/>
              <w:right w:val="single" w:sz="18" w:space="0" w:color="auto"/>
            </w:tcBorders>
            <w:shd w:val="clear" w:color="auto" w:fill="auto"/>
          </w:tcPr>
          <w:p w:rsidR="002D4C79" w:rsidRDefault="004D093D" w:rsidP="002D4C79">
            <w:pPr>
              <w:spacing w:after="0" w:line="240" w:lineRule="auto"/>
              <w:jc w:val="both"/>
              <w:rPr>
                <w:rFonts w:cstheme="minorHAnsi"/>
                <w:sz w:val="24"/>
                <w:szCs w:val="24"/>
              </w:rPr>
            </w:pPr>
            <w:r w:rsidRPr="0043547B">
              <w:rPr>
                <w:rFonts w:cstheme="minorHAnsi"/>
                <w:sz w:val="24"/>
                <w:szCs w:val="24"/>
              </w:rPr>
              <w:t>La présente Norme européenne spécifie les règles de conception, d’assemblage, d’essai et d’inspection au cours de la fabrication des extincteurs d'incendie mobiles au dioxyde de carbone conformes aux exigences de l'EN 1866-1, pour ce qui concerne la résistance à la pression.</w:t>
            </w:r>
          </w:p>
          <w:p w:rsidR="002D4C79" w:rsidRDefault="004D093D" w:rsidP="002D4C79">
            <w:pPr>
              <w:spacing w:after="0" w:line="240" w:lineRule="auto"/>
              <w:jc w:val="both"/>
              <w:rPr>
                <w:rFonts w:cstheme="minorHAnsi"/>
                <w:i/>
                <w:iCs/>
              </w:rPr>
            </w:pPr>
            <w:r w:rsidRPr="002D4C79">
              <w:rPr>
                <w:rFonts w:cstheme="minorHAnsi"/>
                <w:b/>
                <w:bCs/>
                <w:i/>
                <w:iCs/>
              </w:rPr>
              <w:t xml:space="preserve">NOTE 1 </w:t>
            </w:r>
            <w:r w:rsidRPr="002D4C79">
              <w:rPr>
                <w:rFonts w:cstheme="minorHAnsi"/>
                <w:i/>
                <w:iCs/>
              </w:rPr>
              <w:t>: La conception se limite à la conception de l'ensemble extincteur.</w:t>
            </w:r>
          </w:p>
          <w:p w:rsidR="004D093D" w:rsidRPr="0043547B" w:rsidRDefault="004D093D" w:rsidP="002D4C79">
            <w:pPr>
              <w:spacing w:after="0" w:line="240" w:lineRule="auto"/>
              <w:jc w:val="both"/>
              <w:rPr>
                <w:rFonts w:cstheme="minorHAnsi"/>
                <w:sz w:val="24"/>
                <w:szCs w:val="24"/>
              </w:rPr>
            </w:pPr>
            <w:r w:rsidRPr="002D4C79">
              <w:rPr>
                <w:rFonts w:cstheme="minorHAnsi"/>
                <w:b/>
                <w:bCs/>
                <w:i/>
                <w:iCs/>
              </w:rPr>
              <w:t>NOTE 2</w:t>
            </w:r>
            <w:r w:rsidRPr="002D4C79">
              <w:rPr>
                <w:rFonts w:cstheme="minorHAnsi"/>
                <w:i/>
                <w:iCs/>
              </w:rPr>
              <w:t xml:space="preserve"> : La classification des différentes parties de l’ensemble extincteur est donnée dans l’Annexe A.</w:t>
            </w:r>
          </w:p>
        </w:tc>
      </w:tr>
      <w:tr w:rsidR="0043547B" w:rsidRPr="0043547B" w:rsidTr="00D20D9B">
        <w:trPr>
          <w:gridBefore w:val="1"/>
          <w:wBefore w:w="18" w:type="dxa"/>
          <w:trHeight w:val="330"/>
          <w:jc w:val="center"/>
        </w:trPr>
        <w:tc>
          <w:tcPr>
            <w:tcW w:w="1856" w:type="dxa"/>
            <w:tcBorders>
              <w:top w:val="single" w:sz="18" w:space="0" w:color="auto"/>
              <w:left w:val="single" w:sz="18" w:space="0" w:color="auto"/>
              <w:bottom w:val="single" w:sz="18" w:space="0" w:color="auto"/>
              <w:right w:val="single" w:sz="8" w:space="0" w:color="auto"/>
            </w:tcBorders>
            <w:shd w:val="clear" w:color="auto" w:fill="C2D69B" w:themeFill="accent3" w:themeFillTint="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bottom w:val="single" w:sz="18" w:space="0" w:color="auto"/>
              <w:right w:val="single" w:sz="18" w:space="0" w:color="auto"/>
            </w:tcBorders>
            <w:shd w:val="clear" w:color="auto" w:fill="C2D69B" w:themeFill="accent3" w:themeFillTint="99"/>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21.9.043</w:t>
            </w:r>
          </w:p>
        </w:tc>
      </w:tr>
      <w:tr w:rsidR="0043547B" w:rsidRPr="0043547B" w:rsidTr="00D20D9B">
        <w:trPr>
          <w:gridBefore w:val="1"/>
          <w:wBefore w:w="18" w:type="dxa"/>
          <w:trHeight w:val="330"/>
          <w:jc w:val="center"/>
        </w:trPr>
        <w:tc>
          <w:tcPr>
            <w:tcW w:w="1856" w:type="dxa"/>
            <w:tcBorders>
              <w:top w:val="nil"/>
              <w:left w:val="single" w:sz="18" w:space="0" w:color="auto"/>
              <w:bottom w:val="single" w:sz="4" w:space="0" w:color="auto"/>
              <w:right w:val="single" w:sz="8"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Extincteurs d'incendie - Extincteurs automatiques fixes individuels pour feux de classe B</w:t>
            </w:r>
          </w:p>
        </w:tc>
      </w:tr>
      <w:tr w:rsidR="0043547B" w:rsidRPr="0043547B" w:rsidTr="00D20D9B">
        <w:trPr>
          <w:gridBefore w:val="1"/>
          <w:wBefore w:w="18" w:type="dxa"/>
          <w:trHeight w:val="562"/>
          <w:jc w:val="center"/>
        </w:trPr>
        <w:tc>
          <w:tcPr>
            <w:tcW w:w="1856" w:type="dxa"/>
            <w:tcBorders>
              <w:top w:val="nil"/>
              <w:left w:val="single" w:sz="18" w:space="0" w:color="auto"/>
              <w:bottom w:val="single" w:sz="18" w:space="0" w:color="auto"/>
              <w:right w:val="single" w:sz="8"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a pour objet de définir les extincteurs automatiques fixes individuels, de donner leurs caractéristiques et de décrire les essais propres à les vérifier.</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s’applique exclusivement aux extincteurs automatiques fixes individuels destinés à être placés dans un local ou un espace de dimensions limitées lorsqu’il est ventilé conformément aux règlements en vigueur.</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extincteurs automatiques fixes individuels visés par La norme doivent être utilisés sur feux de classe B.</w:t>
            </w:r>
          </w:p>
        </w:tc>
      </w:tr>
      <w:tr w:rsidR="0043547B" w:rsidRPr="0043547B" w:rsidTr="00D20D9B">
        <w:trPr>
          <w:gridBefore w:val="1"/>
          <w:wBefore w:w="18" w:type="dxa"/>
          <w:trHeight w:val="330"/>
          <w:jc w:val="center"/>
        </w:trPr>
        <w:tc>
          <w:tcPr>
            <w:tcW w:w="1856" w:type="dxa"/>
            <w:tcBorders>
              <w:top w:val="single" w:sz="18" w:space="0" w:color="auto"/>
              <w:left w:val="single" w:sz="18" w:space="0" w:color="auto"/>
              <w:bottom w:val="single" w:sz="18" w:space="0" w:color="auto"/>
              <w:right w:val="single" w:sz="8" w:space="0" w:color="auto"/>
            </w:tcBorders>
            <w:shd w:val="clear" w:color="auto" w:fill="C2D69B" w:themeFill="accent3" w:themeFillTint="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bottom w:val="single" w:sz="18" w:space="0" w:color="auto"/>
              <w:right w:val="single" w:sz="18" w:space="0" w:color="auto"/>
            </w:tcBorders>
            <w:shd w:val="clear" w:color="auto" w:fill="C2D69B" w:themeFill="accent3" w:themeFillTint="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21.9.014</w:t>
            </w:r>
          </w:p>
        </w:tc>
      </w:tr>
      <w:tr w:rsidR="001D24D9" w:rsidRPr="0043547B" w:rsidTr="00601D12">
        <w:trPr>
          <w:gridBefore w:val="1"/>
          <w:wBefore w:w="18" w:type="dxa"/>
          <w:trHeight w:val="330"/>
          <w:jc w:val="center"/>
        </w:trPr>
        <w:tc>
          <w:tcPr>
            <w:tcW w:w="1856" w:type="dxa"/>
            <w:tcBorders>
              <w:top w:val="single" w:sz="18" w:space="0" w:color="auto"/>
              <w:left w:val="single" w:sz="18" w:space="0" w:color="auto"/>
              <w:bottom w:val="single" w:sz="4" w:space="0" w:color="auto"/>
              <w:right w:val="single" w:sz="8" w:space="0" w:color="auto"/>
            </w:tcBorders>
            <w:shd w:val="clear" w:color="000000" w:fill="8DB4E2"/>
            <w:vAlign w:val="center"/>
            <w:hideMark/>
          </w:tcPr>
          <w:p w:rsidR="001D24D9" w:rsidRPr="00601D12" w:rsidRDefault="001D24D9" w:rsidP="00601D12">
            <w:pPr>
              <w:spacing w:after="0" w:line="240" w:lineRule="auto"/>
              <w:jc w:val="center"/>
              <w:rPr>
                <w:rFonts w:ascii="Calibri" w:hAnsi="Calibri" w:cs="Calibri"/>
                <w:b/>
                <w:bCs/>
                <w:sz w:val="24"/>
                <w:szCs w:val="24"/>
              </w:rPr>
            </w:pPr>
            <w:r w:rsidRPr="00601D12">
              <w:rPr>
                <w:rFonts w:ascii="Calibri" w:hAnsi="Calibri" w:cs="Calibri"/>
                <w:b/>
                <w:bCs/>
                <w:sz w:val="24"/>
                <w:szCs w:val="24"/>
              </w:rPr>
              <w:t>Intitulé :</w:t>
            </w:r>
          </w:p>
        </w:tc>
        <w:tc>
          <w:tcPr>
            <w:tcW w:w="7938" w:type="dxa"/>
            <w:tcBorders>
              <w:top w:val="single" w:sz="18" w:space="0" w:color="auto"/>
              <w:right w:val="single" w:sz="18" w:space="0" w:color="auto"/>
            </w:tcBorders>
            <w:shd w:val="clear" w:color="auto" w:fill="auto"/>
            <w:vAlign w:val="bottom"/>
            <w:hideMark/>
          </w:tcPr>
          <w:p w:rsidR="001D24D9" w:rsidRPr="00601D12" w:rsidRDefault="001D24D9" w:rsidP="00601D12">
            <w:pPr>
              <w:spacing w:after="0" w:line="240" w:lineRule="auto"/>
              <w:jc w:val="both"/>
              <w:rPr>
                <w:rFonts w:ascii="Times New Roman" w:hAnsi="Times New Roman" w:cs="Times New Roman"/>
                <w:sz w:val="24"/>
                <w:szCs w:val="24"/>
              </w:rPr>
            </w:pPr>
            <w:r w:rsidRPr="00601D12">
              <w:rPr>
                <w:sz w:val="24"/>
                <w:szCs w:val="24"/>
              </w:rPr>
              <w:t>Extincteurs mobiles - Règle d’installation ; (REV)</w:t>
            </w:r>
          </w:p>
        </w:tc>
      </w:tr>
      <w:tr w:rsidR="001D24D9" w:rsidRPr="0043547B" w:rsidTr="00601D12">
        <w:trPr>
          <w:gridBefore w:val="1"/>
          <w:wBefore w:w="18" w:type="dxa"/>
          <w:trHeight w:val="615"/>
          <w:jc w:val="center"/>
        </w:trPr>
        <w:tc>
          <w:tcPr>
            <w:tcW w:w="1856" w:type="dxa"/>
            <w:tcBorders>
              <w:top w:val="nil"/>
              <w:left w:val="single" w:sz="18" w:space="0" w:color="auto"/>
              <w:bottom w:val="single" w:sz="18" w:space="0" w:color="auto"/>
              <w:right w:val="single" w:sz="8" w:space="0" w:color="auto"/>
            </w:tcBorders>
            <w:shd w:val="clear" w:color="000000" w:fill="D9D9D9"/>
            <w:vAlign w:val="center"/>
            <w:hideMark/>
          </w:tcPr>
          <w:p w:rsidR="001D24D9" w:rsidRPr="00601D12" w:rsidRDefault="001D24D9" w:rsidP="00601D12">
            <w:pPr>
              <w:spacing w:after="0" w:line="240" w:lineRule="auto"/>
              <w:jc w:val="center"/>
              <w:rPr>
                <w:rFonts w:ascii="Calibri" w:hAnsi="Calibri" w:cs="Calibri"/>
                <w:b/>
                <w:bCs/>
                <w:sz w:val="24"/>
                <w:szCs w:val="24"/>
              </w:rPr>
            </w:pPr>
            <w:r w:rsidRPr="00601D12">
              <w:rPr>
                <w:rFonts w:ascii="Calibri" w:hAnsi="Calibri" w:cs="Calibri"/>
                <w:b/>
                <w:bCs/>
                <w:sz w:val="24"/>
                <w:szCs w:val="24"/>
              </w:rPr>
              <w:t>Domaine d’application :</w:t>
            </w:r>
          </w:p>
        </w:tc>
        <w:tc>
          <w:tcPr>
            <w:tcW w:w="7938" w:type="dxa"/>
            <w:tcBorders>
              <w:bottom w:val="single" w:sz="18" w:space="0" w:color="auto"/>
              <w:right w:val="single" w:sz="18" w:space="0" w:color="auto"/>
            </w:tcBorders>
            <w:shd w:val="clear" w:color="auto" w:fill="auto"/>
            <w:vAlign w:val="bottom"/>
            <w:hideMark/>
          </w:tcPr>
          <w:p w:rsidR="00601D12" w:rsidRDefault="001D24D9" w:rsidP="00601D12">
            <w:pPr>
              <w:spacing w:after="0" w:line="240" w:lineRule="auto"/>
              <w:jc w:val="both"/>
              <w:rPr>
                <w:sz w:val="24"/>
                <w:szCs w:val="24"/>
              </w:rPr>
            </w:pPr>
            <w:r w:rsidRPr="00601D12">
              <w:rPr>
                <w:sz w:val="24"/>
                <w:szCs w:val="24"/>
              </w:rPr>
              <w:t>La présente norme concerne les installations d'extincteurs portatifs et mobiles mises en place pour la protection:</w:t>
            </w:r>
          </w:p>
          <w:p w:rsidR="00601D12" w:rsidRDefault="001D24D9" w:rsidP="00601D12">
            <w:pPr>
              <w:spacing w:after="0" w:line="240" w:lineRule="auto"/>
              <w:jc w:val="both"/>
              <w:rPr>
                <w:sz w:val="24"/>
                <w:szCs w:val="24"/>
              </w:rPr>
            </w:pPr>
            <w:r w:rsidRPr="00601D12">
              <w:rPr>
                <w:sz w:val="24"/>
                <w:szCs w:val="24"/>
              </w:rPr>
              <w:t>·Des surfaces couvertes (closes ou non) des bâtiments du secteur industriel, agricole, commercial ou tertiaireainsi que les parties communes des bâtiments d’habitation (exemples : locaux techniques, parcs destationnement couverts, dégagements, halls d’entrée…) ;</w:t>
            </w:r>
          </w:p>
          <w:p w:rsidR="00601D12" w:rsidRDefault="001D24D9" w:rsidP="00601D12">
            <w:pPr>
              <w:spacing w:after="0" w:line="240" w:lineRule="auto"/>
              <w:jc w:val="both"/>
              <w:rPr>
                <w:sz w:val="24"/>
                <w:szCs w:val="24"/>
              </w:rPr>
            </w:pPr>
            <w:r w:rsidRPr="00601D12">
              <w:rPr>
                <w:sz w:val="24"/>
                <w:szCs w:val="24"/>
              </w:rPr>
              <w:t>·Des surfaces couvertes mises en place dans le cadre d’activités provisoires (chantiers, foires, chapiteaux,expositions…) ;</w:t>
            </w:r>
          </w:p>
          <w:p w:rsidR="001D24D9" w:rsidRPr="00601D12" w:rsidRDefault="001D24D9" w:rsidP="00601D12">
            <w:pPr>
              <w:spacing w:after="0" w:line="240" w:lineRule="auto"/>
              <w:jc w:val="both"/>
              <w:rPr>
                <w:rFonts w:ascii="Times New Roman" w:hAnsi="Times New Roman" w:cs="Times New Roman"/>
                <w:sz w:val="24"/>
                <w:szCs w:val="24"/>
              </w:rPr>
            </w:pPr>
            <w:r w:rsidRPr="00601D12">
              <w:rPr>
                <w:sz w:val="24"/>
                <w:szCs w:val="24"/>
              </w:rPr>
              <w:t>·De certaines installations particulières.</w:t>
            </w:r>
          </w:p>
        </w:tc>
      </w:tr>
      <w:tr w:rsidR="0043547B" w:rsidRPr="0043547B" w:rsidTr="00D20D9B">
        <w:trPr>
          <w:gridBefore w:val="1"/>
          <w:wBefore w:w="18" w:type="dxa"/>
          <w:trHeight w:val="330"/>
          <w:jc w:val="center"/>
        </w:trPr>
        <w:tc>
          <w:tcPr>
            <w:tcW w:w="1856" w:type="dxa"/>
            <w:tcBorders>
              <w:top w:val="single" w:sz="18" w:space="0" w:color="auto"/>
              <w:left w:val="single" w:sz="18" w:space="0" w:color="auto"/>
              <w:bottom w:val="single" w:sz="18" w:space="0" w:color="auto"/>
              <w:right w:val="single" w:sz="8" w:space="0" w:color="auto"/>
            </w:tcBorders>
            <w:shd w:val="clear" w:color="auto" w:fill="C2D69B" w:themeFill="accent3" w:themeFillTint="99"/>
            <w:vAlign w:val="center"/>
            <w:hideMark/>
          </w:tcPr>
          <w:p w:rsidR="00A20C6E" w:rsidRPr="0043547B" w:rsidRDefault="00A20C6E" w:rsidP="00DA41AA">
            <w:pPr>
              <w:spacing w:after="0" w:line="240" w:lineRule="auto"/>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bottom w:val="single" w:sz="18" w:space="0" w:color="auto"/>
              <w:right w:val="single" w:sz="18" w:space="0" w:color="auto"/>
            </w:tcBorders>
            <w:shd w:val="clear" w:color="auto" w:fill="C2D69B" w:themeFill="accent3" w:themeFillTint="99"/>
            <w:hideMark/>
          </w:tcPr>
          <w:p w:rsidR="00A20C6E" w:rsidRPr="00D76D9A" w:rsidRDefault="00A20C6E" w:rsidP="00DA41AA">
            <w:pPr>
              <w:spacing w:after="0" w:line="240" w:lineRule="auto"/>
              <w:jc w:val="center"/>
              <w:rPr>
                <w:rFonts w:cstheme="minorHAnsi"/>
                <w:b/>
                <w:bCs/>
                <w:sz w:val="24"/>
                <w:szCs w:val="24"/>
              </w:rPr>
            </w:pPr>
            <w:r w:rsidRPr="00D76D9A">
              <w:rPr>
                <w:rFonts w:cstheme="minorHAnsi"/>
                <w:b/>
                <w:bCs/>
                <w:sz w:val="24"/>
                <w:szCs w:val="24"/>
              </w:rPr>
              <w:t>NM EN 671-2</w:t>
            </w:r>
          </w:p>
        </w:tc>
      </w:tr>
      <w:tr w:rsidR="0043547B" w:rsidRPr="0043547B" w:rsidTr="00D20D9B">
        <w:trPr>
          <w:gridBefore w:val="1"/>
          <w:wBefore w:w="18" w:type="dxa"/>
          <w:trHeight w:val="330"/>
          <w:jc w:val="center"/>
        </w:trPr>
        <w:tc>
          <w:tcPr>
            <w:tcW w:w="1856" w:type="dxa"/>
            <w:tcBorders>
              <w:top w:val="single" w:sz="18" w:space="0" w:color="auto"/>
              <w:left w:val="single" w:sz="18" w:space="0" w:color="auto"/>
              <w:bottom w:val="single" w:sz="18" w:space="0" w:color="auto"/>
              <w:right w:val="single" w:sz="8" w:space="0" w:color="auto"/>
            </w:tcBorders>
            <w:shd w:val="clear" w:color="auto" w:fill="FDFBA9"/>
            <w:vAlign w:val="center"/>
          </w:tcPr>
          <w:p w:rsidR="00A20C6E" w:rsidRPr="0043547B" w:rsidRDefault="00A20C6E" w:rsidP="00DA41AA">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bottom w:val="single" w:sz="18" w:space="0" w:color="auto"/>
              <w:right w:val="single" w:sz="18" w:space="0" w:color="auto"/>
            </w:tcBorders>
            <w:shd w:val="clear" w:color="auto" w:fill="FDFBA9"/>
            <w:vAlign w:val="center"/>
          </w:tcPr>
          <w:p w:rsidR="00A20C6E" w:rsidRPr="00D76D9A" w:rsidRDefault="00A20C6E" w:rsidP="00DA41AA">
            <w:pPr>
              <w:spacing w:after="0" w:line="240" w:lineRule="auto"/>
              <w:jc w:val="center"/>
              <w:rPr>
                <w:rFonts w:cstheme="minorHAnsi"/>
                <w:b/>
                <w:bCs/>
                <w:sz w:val="24"/>
                <w:szCs w:val="24"/>
              </w:rPr>
            </w:pPr>
            <w:r w:rsidRPr="00D76D9A">
              <w:rPr>
                <w:rFonts w:cstheme="minorHAnsi"/>
                <w:b/>
                <w:bCs/>
                <w:sz w:val="24"/>
                <w:szCs w:val="24"/>
              </w:rPr>
              <w:t>EN 671-2</w:t>
            </w:r>
          </w:p>
        </w:tc>
      </w:tr>
      <w:tr w:rsidR="0043547B" w:rsidRPr="0043547B" w:rsidTr="00D20D9B">
        <w:trPr>
          <w:gridBefore w:val="1"/>
          <w:wBefore w:w="18" w:type="dxa"/>
          <w:trHeight w:val="330"/>
          <w:jc w:val="center"/>
        </w:trPr>
        <w:tc>
          <w:tcPr>
            <w:tcW w:w="1856" w:type="dxa"/>
            <w:tcBorders>
              <w:top w:val="single" w:sz="18" w:space="0" w:color="auto"/>
              <w:left w:val="single" w:sz="18" w:space="0" w:color="auto"/>
              <w:bottom w:val="single" w:sz="4" w:space="0" w:color="auto"/>
              <w:right w:val="single" w:sz="8" w:space="0" w:color="auto"/>
            </w:tcBorders>
            <w:shd w:val="clear" w:color="000000" w:fill="8DB4E2"/>
            <w:vAlign w:val="center"/>
            <w:hideMark/>
          </w:tcPr>
          <w:p w:rsidR="00A20C6E" w:rsidRPr="0043547B" w:rsidRDefault="00A20C6E" w:rsidP="00DA41AA">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right w:val="single" w:sz="18" w:space="0" w:color="auto"/>
            </w:tcBorders>
            <w:shd w:val="clear" w:color="auto" w:fill="auto"/>
            <w:hideMark/>
          </w:tcPr>
          <w:p w:rsidR="00A20C6E" w:rsidRPr="0043547B" w:rsidRDefault="00A20C6E" w:rsidP="00DA41AA">
            <w:pPr>
              <w:spacing w:after="0" w:line="240" w:lineRule="auto"/>
              <w:jc w:val="both"/>
              <w:rPr>
                <w:rFonts w:cstheme="minorHAnsi"/>
                <w:sz w:val="24"/>
                <w:szCs w:val="24"/>
              </w:rPr>
            </w:pPr>
            <w:r w:rsidRPr="0043547B">
              <w:rPr>
                <w:rFonts w:cstheme="minorHAnsi"/>
                <w:sz w:val="24"/>
                <w:szCs w:val="24"/>
              </w:rPr>
              <w:t xml:space="preserve">Installations fixes de lutte contre l'incendie - Systèmes équipés de tuyaux - Partie 2 : Postes d'eau muraux équipés de tuyaux plats  </w:t>
            </w:r>
          </w:p>
        </w:tc>
      </w:tr>
      <w:tr w:rsidR="0043547B" w:rsidRPr="0043547B" w:rsidTr="00D20D9B">
        <w:trPr>
          <w:gridBefore w:val="1"/>
          <w:wBefore w:w="18" w:type="dxa"/>
          <w:trHeight w:val="1127"/>
          <w:jc w:val="center"/>
        </w:trPr>
        <w:tc>
          <w:tcPr>
            <w:tcW w:w="1856" w:type="dxa"/>
            <w:tcBorders>
              <w:top w:val="nil"/>
              <w:left w:val="single" w:sz="18" w:space="0" w:color="auto"/>
              <w:bottom w:val="single" w:sz="18" w:space="0" w:color="auto"/>
              <w:right w:val="single" w:sz="8" w:space="0" w:color="auto"/>
            </w:tcBorders>
            <w:shd w:val="clear" w:color="000000" w:fill="D9D9D9"/>
            <w:vAlign w:val="center"/>
            <w:hideMark/>
          </w:tcPr>
          <w:p w:rsidR="00A20C6E" w:rsidRPr="0043547B" w:rsidRDefault="00A20C6E" w:rsidP="00DA41AA">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bottom w:val="single" w:sz="18" w:space="0" w:color="auto"/>
              <w:right w:val="single" w:sz="18" w:space="0" w:color="auto"/>
            </w:tcBorders>
            <w:shd w:val="clear" w:color="auto" w:fill="auto"/>
            <w:hideMark/>
          </w:tcPr>
          <w:p w:rsidR="00DA41AA" w:rsidRDefault="00A20C6E" w:rsidP="00DA41AA">
            <w:pPr>
              <w:spacing w:after="0" w:line="240" w:lineRule="auto"/>
              <w:jc w:val="both"/>
              <w:rPr>
                <w:rFonts w:cstheme="minorHAnsi"/>
                <w:sz w:val="24"/>
                <w:szCs w:val="24"/>
              </w:rPr>
            </w:pPr>
            <w:r w:rsidRPr="0043547B">
              <w:rPr>
                <w:rFonts w:cstheme="minorHAnsi"/>
                <w:sz w:val="24"/>
                <w:szCs w:val="24"/>
              </w:rPr>
              <w:t>La présente Norme européenne prescrit les exigences et méthodes d'essais de fabrication et de performances des postes d'eau muraux équipés de tuyaux plats, destinés à être installés dans des bâtiments raccordés en permanence</w:t>
            </w:r>
            <w:r w:rsidRPr="0043547B">
              <w:rPr>
                <w:rFonts w:cstheme="minorHAnsi"/>
                <w:sz w:val="24"/>
                <w:szCs w:val="24"/>
              </w:rPr>
              <w:br/>
              <w:t>à une alimentation en eau, pour être utilisés par les occupants.</w:t>
            </w:r>
            <w:r w:rsidRPr="0043547B">
              <w:rPr>
                <w:rFonts w:cstheme="minorHAnsi"/>
                <w:sz w:val="24"/>
                <w:szCs w:val="24"/>
              </w:rPr>
              <w:br/>
              <w:t>Elle spécifie également des exigences applicables à l’évaluation de la conformité et au marquage de ces produits.</w:t>
            </w:r>
          </w:p>
          <w:p w:rsidR="00A20C6E" w:rsidRPr="0043547B" w:rsidRDefault="00A20C6E" w:rsidP="00DA41AA">
            <w:pPr>
              <w:spacing w:after="0" w:line="240" w:lineRule="auto"/>
              <w:jc w:val="both"/>
              <w:rPr>
                <w:rFonts w:cstheme="minorHAnsi"/>
                <w:sz w:val="24"/>
                <w:szCs w:val="24"/>
              </w:rPr>
            </w:pPr>
            <w:r w:rsidRPr="0043547B">
              <w:rPr>
                <w:rFonts w:cstheme="minorHAnsi"/>
                <w:sz w:val="24"/>
                <w:szCs w:val="24"/>
              </w:rPr>
              <w:t>Ses exigences peuvent concerner d'autres cas, par exemple les applications en atmosphères marines ou corrosives ; dans ces cas, des exigences supplémentaires peuvent s’avérer nécessaires.</w:t>
            </w:r>
          </w:p>
        </w:tc>
      </w:tr>
      <w:tr w:rsidR="0043547B" w:rsidRPr="0043547B" w:rsidTr="00D20D9B">
        <w:trPr>
          <w:gridBefore w:val="1"/>
          <w:wBefore w:w="18" w:type="dxa"/>
          <w:trHeight w:val="93"/>
          <w:jc w:val="center"/>
        </w:trPr>
        <w:tc>
          <w:tcPr>
            <w:tcW w:w="1856" w:type="dxa"/>
            <w:tcBorders>
              <w:top w:val="nil"/>
              <w:left w:val="single" w:sz="18" w:space="0" w:color="auto"/>
              <w:bottom w:val="single" w:sz="18" w:space="0" w:color="auto"/>
              <w:right w:val="single" w:sz="8" w:space="0" w:color="auto"/>
            </w:tcBorders>
            <w:shd w:val="clear" w:color="auto" w:fill="C2D69B" w:themeFill="accent3" w:themeFillTint="99"/>
            <w:vAlign w:val="center"/>
          </w:tcPr>
          <w:p w:rsidR="00D1529E" w:rsidRPr="00D76D9A" w:rsidRDefault="00D1529E" w:rsidP="00DA41AA">
            <w:pPr>
              <w:spacing w:after="0" w:line="240" w:lineRule="auto"/>
              <w:jc w:val="center"/>
              <w:rPr>
                <w:rFonts w:cstheme="minorHAnsi"/>
                <w:b/>
                <w:bCs/>
                <w:sz w:val="24"/>
                <w:szCs w:val="24"/>
              </w:rPr>
            </w:pPr>
            <w:r w:rsidRPr="00D76D9A">
              <w:rPr>
                <w:rFonts w:cstheme="minorHAnsi"/>
                <w:b/>
                <w:bCs/>
                <w:sz w:val="24"/>
                <w:szCs w:val="24"/>
              </w:rPr>
              <w:t>Code :</w:t>
            </w:r>
          </w:p>
        </w:tc>
        <w:tc>
          <w:tcPr>
            <w:tcW w:w="7938" w:type="dxa"/>
            <w:tcBorders>
              <w:bottom w:val="single" w:sz="18" w:space="0" w:color="auto"/>
              <w:right w:val="single" w:sz="18" w:space="0" w:color="auto"/>
            </w:tcBorders>
            <w:shd w:val="clear" w:color="auto" w:fill="C2D69B" w:themeFill="accent3" w:themeFillTint="99"/>
            <w:vAlign w:val="bottom"/>
          </w:tcPr>
          <w:p w:rsidR="00D1529E" w:rsidRPr="00D76D9A" w:rsidRDefault="00D1529E" w:rsidP="00DA41AA">
            <w:pPr>
              <w:spacing w:after="0" w:line="240" w:lineRule="auto"/>
              <w:jc w:val="center"/>
              <w:rPr>
                <w:rFonts w:cstheme="minorHAnsi"/>
                <w:b/>
                <w:bCs/>
                <w:sz w:val="24"/>
                <w:szCs w:val="24"/>
              </w:rPr>
            </w:pPr>
            <w:r w:rsidRPr="00D76D9A">
              <w:rPr>
                <w:rFonts w:cstheme="minorHAnsi"/>
                <w:b/>
                <w:bCs/>
                <w:sz w:val="24"/>
                <w:szCs w:val="24"/>
              </w:rPr>
              <w:t>NM 21.9.036</w:t>
            </w:r>
          </w:p>
        </w:tc>
      </w:tr>
      <w:tr w:rsidR="0043547B" w:rsidRPr="0043547B" w:rsidTr="00D20D9B">
        <w:trPr>
          <w:gridBefore w:val="1"/>
          <w:wBefore w:w="18" w:type="dxa"/>
          <w:trHeight w:val="86"/>
          <w:jc w:val="center"/>
        </w:trPr>
        <w:tc>
          <w:tcPr>
            <w:tcW w:w="1856" w:type="dxa"/>
            <w:tcBorders>
              <w:top w:val="nil"/>
              <w:left w:val="single" w:sz="18" w:space="0" w:color="auto"/>
              <w:bottom w:val="single" w:sz="18" w:space="0" w:color="auto"/>
              <w:right w:val="single" w:sz="8" w:space="0" w:color="auto"/>
            </w:tcBorders>
            <w:shd w:val="clear" w:color="auto" w:fill="95B3D7" w:themeFill="accent1" w:themeFillTint="99"/>
            <w:vAlign w:val="center"/>
          </w:tcPr>
          <w:p w:rsidR="00D1529E" w:rsidRPr="0043547B" w:rsidRDefault="00D1529E" w:rsidP="004A02AB">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bottom w:val="single" w:sz="18" w:space="0" w:color="auto"/>
              <w:right w:val="single" w:sz="18" w:space="0" w:color="auto"/>
            </w:tcBorders>
            <w:shd w:val="clear" w:color="auto" w:fill="auto"/>
            <w:vAlign w:val="bottom"/>
          </w:tcPr>
          <w:p w:rsidR="00D1529E" w:rsidRPr="0043547B" w:rsidRDefault="00D1529E" w:rsidP="00DA41AA">
            <w:pPr>
              <w:spacing w:after="0" w:line="240" w:lineRule="auto"/>
              <w:rPr>
                <w:rFonts w:cstheme="minorHAnsi"/>
                <w:sz w:val="24"/>
                <w:szCs w:val="24"/>
              </w:rPr>
            </w:pPr>
            <w:r w:rsidRPr="0043547B">
              <w:rPr>
                <w:rFonts w:cstheme="minorHAnsi"/>
                <w:sz w:val="24"/>
                <w:szCs w:val="24"/>
              </w:rPr>
              <w:t xml:space="preserve">Matériel de lutte contre l'incendie - Demi-raccord fixes, symétriques à bourrelet - Caractéristiques ; </w:t>
            </w:r>
          </w:p>
        </w:tc>
      </w:tr>
      <w:tr w:rsidR="0043547B" w:rsidRPr="0043547B" w:rsidTr="00D20D9B">
        <w:trPr>
          <w:gridBefore w:val="1"/>
          <w:wBefore w:w="18" w:type="dxa"/>
          <w:trHeight w:val="1127"/>
          <w:jc w:val="center"/>
        </w:trPr>
        <w:tc>
          <w:tcPr>
            <w:tcW w:w="1856" w:type="dxa"/>
            <w:tcBorders>
              <w:top w:val="nil"/>
              <w:left w:val="single" w:sz="18" w:space="0" w:color="auto"/>
              <w:bottom w:val="single" w:sz="18" w:space="0" w:color="auto"/>
              <w:right w:val="single" w:sz="8" w:space="0" w:color="auto"/>
            </w:tcBorders>
            <w:shd w:val="clear" w:color="000000" w:fill="D9D9D9"/>
            <w:vAlign w:val="center"/>
          </w:tcPr>
          <w:p w:rsidR="00D1529E" w:rsidRPr="0043547B" w:rsidRDefault="00D1529E" w:rsidP="004A02AB">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bottom w:val="single" w:sz="18" w:space="0" w:color="auto"/>
              <w:right w:val="single" w:sz="18" w:space="0" w:color="auto"/>
            </w:tcBorders>
            <w:shd w:val="clear" w:color="auto" w:fill="auto"/>
            <w:vAlign w:val="bottom"/>
          </w:tcPr>
          <w:p w:rsidR="00D1529E" w:rsidRPr="0043547B" w:rsidRDefault="00D1529E" w:rsidP="00DA41AA">
            <w:pPr>
              <w:spacing w:after="0" w:line="240" w:lineRule="auto"/>
              <w:jc w:val="both"/>
              <w:rPr>
                <w:rFonts w:cstheme="minorHAnsi"/>
                <w:sz w:val="24"/>
                <w:szCs w:val="24"/>
              </w:rPr>
            </w:pPr>
            <w:r w:rsidRPr="0043547B">
              <w:rPr>
                <w:rFonts w:cstheme="minorHAnsi"/>
                <w:sz w:val="24"/>
                <w:szCs w:val="24"/>
              </w:rPr>
              <w:t>La présente norme donne les caractéristiques dimensionnelles et la désignatipn des demi-raccords fixes, symétriques et à bourrelet destinés à être visés sur les poteaux d'incendie ou les tuyauteries fixes réservés à la lutte contre l'incendie.</w:t>
            </w:r>
          </w:p>
        </w:tc>
      </w:tr>
      <w:tr w:rsidR="0043547B" w:rsidRPr="0043547B" w:rsidTr="00DA41AA">
        <w:trPr>
          <w:gridBefore w:val="1"/>
          <w:wBefore w:w="18" w:type="dxa"/>
          <w:trHeight w:val="330"/>
          <w:jc w:val="center"/>
        </w:trPr>
        <w:tc>
          <w:tcPr>
            <w:tcW w:w="1856" w:type="dxa"/>
            <w:tcBorders>
              <w:top w:val="single" w:sz="18" w:space="0" w:color="auto"/>
              <w:left w:val="single" w:sz="18" w:space="0" w:color="auto"/>
              <w:bottom w:val="single" w:sz="18" w:space="0" w:color="auto"/>
              <w:right w:val="single" w:sz="8" w:space="0" w:color="auto"/>
            </w:tcBorders>
            <w:shd w:val="clear" w:color="auto" w:fill="C2D69B" w:themeFill="accent3" w:themeFillTint="99"/>
            <w:vAlign w:val="center"/>
            <w:hideMark/>
          </w:tcPr>
          <w:p w:rsidR="00A20C6E" w:rsidRPr="0043547B" w:rsidRDefault="00A20C6E" w:rsidP="00DA41AA">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bottom w:val="single" w:sz="18" w:space="0" w:color="auto"/>
              <w:right w:val="single" w:sz="18" w:space="0" w:color="auto"/>
            </w:tcBorders>
            <w:shd w:val="clear" w:color="auto" w:fill="C2D69B" w:themeFill="accent3" w:themeFillTint="99"/>
            <w:hideMark/>
          </w:tcPr>
          <w:p w:rsidR="00A20C6E" w:rsidRPr="00B35BDA" w:rsidRDefault="00A20C6E" w:rsidP="00DA41AA">
            <w:pPr>
              <w:spacing w:after="0" w:line="240" w:lineRule="auto"/>
              <w:jc w:val="center"/>
              <w:rPr>
                <w:rFonts w:cstheme="minorHAnsi"/>
                <w:b/>
                <w:bCs/>
                <w:sz w:val="24"/>
                <w:szCs w:val="24"/>
              </w:rPr>
            </w:pPr>
            <w:r w:rsidRPr="00B35BDA">
              <w:rPr>
                <w:rFonts w:cstheme="minorHAnsi"/>
                <w:b/>
                <w:bCs/>
                <w:sz w:val="24"/>
                <w:szCs w:val="24"/>
              </w:rPr>
              <w:t>NM EN 671-1</w:t>
            </w:r>
          </w:p>
        </w:tc>
      </w:tr>
      <w:tr w:rsidR="0043547B" w:rsidRPr="0043547B" w:rsidTr="00DA41AA">
        <w:trPr>
          <w:gridBefore w:val="1"/>
          <w:wBefore w:w="18" w:type="dxa"/>
          <w:trHeight w:val="330"/>
          <w:jc w:val="center"/>
        </w:trPr>
        <w:tc>
          <w:tcPr>
            <w:tcW w:w="1856" w:type="dxa"/>
            <w:tcBorders>
              <w:top w:val="single" w:sz="18" w:space="0" w:color="auto"/>
              <w:left w:val="single" w:sz="18" w:space="0" w:color="auto"/>
              <w:bottom w:val="single" w:sz="4" w:space="0" w:color="auto"/>
              <w:right w:val="single" w:sz="8" w:space="0" w:color="auto"/>
            </w:tcBorders>
            <w:shd w:val="clear" w:color="auto" w:fill="FDFBA9"/>
            <w:vAlign w:val="center"/>
          </w:tcPr>
          <w:p w:rsidR="00A20C6E" w:rsidRPr="0043547B" w:rsidRDefault="00A20C6E" w:rsidP="00DA41AA">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bottom w:val="single" w:sz="4" w:space="0" w:color="auto"/>
              <w:right w:val="single" w:sz="18" w:space="0" w:color="auto"/>
            </w:tcBorders>
            <w:shd w:val="clear" w:color="auto" w:fill="FDFBA9"/>
            <w:vAlign w:val="center"/>
          </w:tcPr>
          <w:p w:rsidR="00A20C6E" w:rsidRPr="00B35BDA" w:rsidRDefault="00A20C6E" w:rsidP="00DA41AA">
            <w:pPr>
              <w:spacing w:after="0" w:line="240" w:lineRule="auto"/>
              <w:jc w:val="center"/>
              <w:rPr>
                <w:rFonts w:cstheme="minorHAnsi"/>
                <w:b/>
                <w:bCs/>
                <w:sz w:val="24"/>
                <w:szCs w:val="24"/>
              </w:rPr>
            </w:pPr>
            <w:r w:rsidRPr="00B35BDA">
              <w:rPr>
                <w:rFonts w:cstheme="minorHAnsi"/>
                <w:b/>
                <w:bCs/>
                <w:sz w:val="24"/>
                <w:szCs w:val="24"/>
              </w:rPr>
              <w:t>EN 671-1</w:t>
            </w:r>
          </w:p>
        </w:tc>
      </w:tr>
      <w:tr w:rsidR="0043547B" w:rsidRPr="0043547B" w:rsidTr="00DA41AA">
        <w:trPr>
          <w:gridBefore w:val="1"/>
          <w:wBefore w:w="18" w:type="dxa"/>
          <w:trHeight w:val="495"/>
          <w:jc w:val="center"/>
        </w:trPr>
        <w:tc>
          <w:tcPr>
            <w:tcW w:w="1856" w:type="dxa"/>
            <w:tcBorders>
              <w:top w:val="single" w:sz="4" w:space="0" w:color="auto"/>
              <w:left w:val="single" w:sz="18" w:space="0" w:color="auto"/>
              <w:bottom w:val="single" w:sz="4" w:space="0" w:color="auto"/>
              <w:right w:val="single" w:sz="8" w:space="0" w:color="auto"/>
            </w:tcBorders>
            <w:shd w:val="clear" w:color="000000" w:fill="8DB4E2"/>
            <w:vAlign w:val="center"/>
            <w:hideMark/>
          </w:tcPr>
          <w:p w:rsidR="00A20C6E" w:rsidRPr="0043547B" w:rsidRDefault="00A20C6E" w:rsidP="00DA41AA">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right w:val="single" w:sz="18" w:space="0" w:color="auto"/>
            </w:tcBorders>
            <w:shd w:val="clear" w:color="auto" w:fill="auto"/>
            <w:hideMark/>
          </w:tcPr>
          <w:p w:rsidR="00A20C6E" w:rsidRPr="0043547B" w:rsidRDefault="00A20C6E" w:rsidP="00DA41AA">
            <w:pPr>
              <w:spacing w:after="0" w:line="240" w:lineRule="auto"/>
              <w:jc w:val="both"/>
              <w:rPr>
                <w:rFonts w:cstheme="minorHAnsi"/>
                <w:sz w:val="24"/>
                <w:szCs w:val="24"/>
              </w:rPr>
            </w:pPr>
            <w:r w:rsidRPr="0043547B">
              <w:rPr>
                <w:rFonts w:cstheme="minorHAnsi"/>
                <w:sz w:val="24"/>
                <w:szCs w:val="24"/>
              </w:rPr>
              <w:t xml:space="preserve">Installations fixes de lutte contre l'incendie - Systèmes équipés de tuyaux - Partie 1 : Robinets d'incendie armés équipés de tuyaux semi-rigides </w:t>
            </w:r>
          </w:p>
        </w:tc>
      </w:tr>
      <w:tr w:rsidR="0043547B" w:rsidRPr="0043547B" w:rsidTr="00D20D9B">
        <w:trPr>
          <w:gridBefore w:val="1"/>
          <w:wBefore w:w="18" w:type="dxa"/>
          <w:trHeight w:val="2224"/>
          <w:jc w:val="center"/>
        </w:trPr>
        <w:tc>
          <w:tcPr>
            <w:tcW w:w="1856" w:type="dxa"/>
            <w:tcBorders>
              <w:top w:val="nil"/>
              <w:left w:val="single" w:sz="18" w:space="0" w:color="auto"/>
              <w:bottom w:val="single" w:sz="18" w:space="0" w:color="auto"/>
              <w:right w:val="single" w:sz="8" w:space="0" w:color="auto"/>
            </w:tcBorders>
            <w:shd w:val="clear" w:color="000000" w:fill="D9D9D9"/>
            <w:vAlign w:val="center"/>
            <w:hideMark/>
          </w:tcPr>
          <w:p w:rsidR="00A20C6E" w:rsidRPr="0043547B" w:rsidRDefault="00A20C6E" w:rsidP="00DA41AA">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bottom w:val="single" w:sz="18" w:space="0" w:color="auto"/>
              <w:right w:val="single" w:sz="18" w:space="0" w:color="auto"/>
            </w:tcBorders>
            <w:shd w:val="clear" w:color="auto" w:fill="auto"/>
            <w:hideMark/>
          </w:tcPr>
          <w:p w:rsidR="00DA41AA" w:rsidRDefault="00A20C6E" w:rsidP="00DA41AA">
            <w:pPr>
              <w:spacing w:after="0" w:line="240" w:lineRule="auto"/>
              <w:jc w:val="both"/>
              <w:rPr>
                <w:rFonts w:cstheme="minorHAnsi"/>
                <w:sz w:val="24"/>
                <w:szCs w:val="24"/>
              </w:rPr>
            </w:pPr>
            <w:r w:rsidRPr="0043547B">
              <w:rPr>
                <w:rFonts w:cstheme="minorHAnsi"/>
                <w:sz w:val="24"/>
                <w:szCs w:val="24"/>
              </w:rPr>
              <w:t>La présente Norme européenne prescrit les exigences et méthodes d'essais de fabrication et de performances des robinets d'incendie armés équipés de tuyaux semi-rigides, destinés à être installés dans des bâtiments raccordés en</w:t>
            </w:r>
            <w:r w:rsidRPr="0043547B">
              <w:rPr>
                <w:rFonts w:cstheme="minorHAnsi"/>
                <w:sz w:val="24"/>
                <w:szCs w:val="24"/>
              </w:rPr>
              <w:br/>
              <w:t>permanence à une alimentation en eau, pour être utilisés par les occupants.</w:t>
            </w:r>
            <w:r w:rsidRPr="0043547B">
              <w:rPr>
                <w:rFonts w:cstheme="minorHAnsi"/>
                <w:sz w:val="24"/>
                <w:szCs w:val="24"/>
              </w:rPr>
              <w:br/>
              <w:t>Elle spécifie également des exigences applicables à l’évaluation de la conformité et au marquage de ces produits.</w:t>
            </w:r>
          </w:p>
          <w:p w:rsidR="00DA41AA" w:rsidRDefault="00A20C6E" w:rsidP="00DA41AA">
            <w:pPr>
              <w:spacing w:after="0" w:line="240" w:lineRule="auto"/>
              <w:jc w:val="both"/>
              <w:rPr>
                <w:rFonts w:cstheme="minorHAnsi"/>
                <w:sz w:val="24"/>
                <w:szCs w:val="24"/>
              </w:rPr>
            </w:pPr>
            <w:r w:rsidRPr="0043547B">
              <w:rPr>
                <w:rFonts w:cstheme="minorHAnsi"/>
                <w:sz w:val="24"/>
                <w:szCs w:val="24"/>
              </w:rPr>
              <w:t>Ses exigences peuvent concerner d'autres cas, par exemple les applications en atmosphères marines ou corrosives ; dans ces cas, des exigences supplémentaires peuvent s’avérer nécessaires.</w:t>
            </w:r>
          </w:p>
          <w:p w:rsidR="00A20C6E" w:rsidRPr="0043547B" w:rsidRDefault="00A20C6E" w:rsidP="00DA41AA">
            <w:pPr>
              <w:spacing w:after="0" w:line="240" w:lineRule="auto"/>
              <w:jc w:val="both"/>
              <w:rPr>
                <w:rFonts w:cstheme="minorHAnsi"/>
                <w:sz w:val="24"/>
                <w:szCs w:val="24"/>
              </w:rPr>
            </w:pPr>
            <w:r w:rsidRPr="0043547B">
              <w:rPr>
                <w:rFonts w:cstheme="minorHAnsi"/>
                <w:sz w:val="24"/>
                <w:szCs w:val="24"/>
              </w:rPr>
              <w:t>La présente Norme européenne s'applique aux robinets d'incendie armés, manuels ou automatiques, destinés à être installés ou non dans des armoires.</w:t>
            </w:r>
          </w:p>
        </w:tc>
      </w:tr>
      <w:tr w:rsidR="0043547B" w:rsidRPr="0043547B" w:rsidTr="00D20D9B">
        <w:trPr>
          <w:gridBefore w:val="1"/>
          <w:wBefore w:w="18" w:type="dxa"/>
          <w:trHeight w:val="315"/>
          <w:jc w:val="center"/>
        </w:trPr>
        <w:tc>
          <w:tcPr>
            <w:tcW w:w="1856" w:type="dxa"/>
            <w:tcBorders>
              <w:top w:val="single" w:sz="18" w:space="0" w:color="auto"/>
              <w:left w:val="single" w:sz="18" w:space="0" w:color="auto"/>
              <w:bottom w:val="single" w:sz="18" w:space="0" w:color="auto"/>
              <w:right w:val="single" w:sz="8" w:space="0" w:color="auto"/>
            </w:tcBorders>
            <w:shd w:val="clear" w:color="auto" w:fill="C2D69B" w:themeFill="accent3" w:themeFillTint="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bottom w:val="single" w:sz="18" w:space="0" w:color="auto"/>
              <w:right w:val="single" w:sz="18" w:space="0" w:color="auto"/>
            </w:tcBorders>
            <w:shd w:val="clear" w:color="auto" w:fill="C2D69B" w:themeFill="accent3" w:themeFillTint="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21.9.180</w:t>
            </w:r>
          </w:p>
        </w:tc>
      </w:tr>
      <w:tr w:rsidR="0043547B" w:rsidRPr="0043547B" w:rsidTr="00D20D9B">
        <w:trPr>
          <w:gridBefore w:val="1"/>
          <w:wBefore w:w="18" w:type="dxa"/>
          <w:trHeight w:val="315"/>
          <w:jc w:val="center"/>
        </w:trPr>
        <w:tc>
          <w:tcPr>
            <w:tcW w:w="1856" w:type="dxa"/>
            <w:tcBorders>
              <w:top w:val="single" w:sz="18" w:space="0" w:color="auto"/>
              <w:left w:val="single" w:sz="18" w:space="0" w:color="auto"/>
              <w:bottom w:val="single" w:sz="4" w:space="0" w:color="auto"/>
              <w:right w:val="single" w:sz="8"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12259-1 - A1  - A2 - A3</w:t>
            </w:r>
          </w:p>
        </w:tc>
      </w:tr>
      <w:tr w:rsidR="0043547B" w:rsidRPr="0043547B" w:rsidTr="00D20D9B">
        <w:trPr>
          <w:gridBefore w:val="1"/>
          <w:wBefore w:w="18" w:type="dxa"/>
          <w:trHeight w:val="495"/>
          <w:jc w:val="center"/>
        </w:trPr>
        <w:tc>
          <w:tcPr>
            <w:tcW w:w="1856" w:type="dxa"/>
            <w:tcBorders>
              <w:top w:val="nil"/>
              <w:left w:val="single" w:sz="18" w:space="0" w:color="auto"/>
              <w:bottom w:val="single" w:sz="4" w:space="0" w:color="auto"/>
              <w:right w:val="single" w:sz="8"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Installations fixes de lutte contre l'incendie - Composants des systèmes d'extinction du type sprinkleur et à pulvérisation d'eau - Sprinkleurs</w:t>
            </w:r>
          </w:p>
        </w:tc>
      </w:tr>
      <w:tr w:rsidR="0043547B" w:rsidRPr="0043547B" w:rsidTr="00D20D9B">
        <w:trPr>
          <w:gridBefore w:val="1"/>
          <w:wBefore w:w="18" w:type="dxa"/>
          <w:trHeight w:val="1559"/>
          <w:jc w:val="center"/>
        </w:trPr>
        <w:tc>
          <w:tcPr>
            <w:tcW w:w="1856" w:type="dxa"/>
            <w:tcBorders>
              <w:top w:val="nil"/>
              <w:left w:val="single" w:sz="18" w:space="0" w:color="auto"/>
              <w:bottom w:val="single" w:sz="18" w:space="0" w:color="auto"/>
              <w:right w:val="single" w:sz="8"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exigences relatives à la fabrication et aux performances des sprinkleurs qui fonctionnent par un changement d'état d'un élément ou l'éclatement d'une ampoule de verre sous l'effet de la chaleur et sont destinés à être utilisés dans les systèmes d'extinction automatiques du type sprinkleur conformément à la NM 21.9.179 «Systèmes d'extinction automatiques du type sprinkleur : Conception, installation et maintenance». Elle indique aussi les méthodes d'essai ainsi qu'un programme recommandé pour les essais d'homologation de type.</w:t>
            </w:r>
          </w:p>
        </w:tc>
      </w:tr>
      <w:tr w:rsidR="0043547B" w:rsidRPr="0043547B" w:rsidTr="00D20D9B">
        <w:trPr>
          <w:gridBefore w:val="1"/>
          <w:wBefore w:w="18" w:type="dxa"/>
          <w:trHeight w:val="315"/>
          <w:jc w:val="center"/>
        </w:trPr>
        <w:tc>
          <w:tcPr>
            <w:tcW w:w="1856" w:type="dxa"/>
            <w:tcBorders>
              <w:top w:val="single" w:sz="18" w:space="0" w:color="auto"/>
              <w:left w:val="single" w:sz="18" w:space="0" w:color="auto"/>
              <w:bottom w:val="single" w:sz="18" w:space="0" w:color="auto"/>
              <w:right w:val="single" w:sz="8" w:space="0" w:color="auto"/>
            </w:tcBorders>
            <w:shd w:val="clear" w:color="auto" w:fill="C2D69B" w:themeFill="accent3" w:themeFillTint="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bottom w:val="single" w:sz="18" w:space="0" w:color="auto"/>
              <w:right w:val="single" w:sz="18" w:space="0" w:color="auto"/>
            </w:tcBorders>
            <w:shd w:val="clear" w:color="auto" w:fill="C2D69B" w:themeFill="accent3" w:themeFillTint="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7202</w:t>
            </w:r>
          </w:p>
        </w:tc>
      </w:tr>
      <w:tr w:rsidR="0043547B" w:rsidRPr="0043547B" w:rsidTr="00D20D9B">
        <w:trPr>
          <w:gridBefore w:val="1"/>
          <w:wBefore w:w="18" w:type="dxa"/>
          <w:trHeight w:val="315"/>
          <w:jc w:val="center"/>
        </w:trPr>
        <w:tc>
          <w:tcPr>
            <w:tcW w:w="1856" w:type="dxa"/>
            <w:tcBorders>
              <w:top w:val="single" w:sz="18" w:space="0" w:color="auto"/>
              <w:left w:val="single" w:sz="18" w:space="0" w:color="auto"/>
              <w:bottom w:val="single" w:sz="4" w:space="0" w:color="auto"/>
              <w:right w:val="single" w:sz="8"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7202</w:t>
            </w:r>
          </w:p>
        </w:tc>
      </w:tr>
      <w:tr w:rsidR="0043547B" w:rsidRPr="0043547B" w:rsidTr="00D20D9B">
        <w:trPr>
          <w:gridBefore w:val="1"/>
          <w:wBefore w:w="18" w:type="dxa"/>
          <w:trHeight w:val="330"/>
          <w:jc w:val="center"/>
        </w:trPr>
        <w:tc>
          <w:tcPr>
            <w:tcW w:w="1856" w:type="dxa"/>
            <w:tcBorders>
              <w:top w:val="nil"/>
              <w:left w:val="single" w:sz="18" w:space="0" w:color="auto"/>
              <w:bottom w:val="single" w:sz="4" w:space="0" w:color="auto"/>
              <w:right w:val="single" w:sz="8"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Protection contre l'incendie - Agents extincteurs – Poudres</w:t>
            </w:r>
          </w:p>
        </w:tc>
      </w:tr>
      <w:tr w:rsidR="0043547B" w:rsidRPr="0043547B" w:rsidTr="00D20D9B">
        <w:trPr>
          <w:gridBefore w:val="1"/>
          <w:wBefore w:w="18" w:type="dxa"/>
          <w:trHeight w:val="1824"/>
          <w:jc w:val="center"/>
        </w:trPr>
        <w:tc>
          <w:tcPr>
            <w:tcW w:w="1856" w:type="dxa"/>
            <w:tcBorders>
              <w:top w:val="nil"/>
              <w:left w:val="single" w:sz="18" w:space="0" w:color="auto"/>
              <w:bottom w:val="single" w:sz="18" w:space="0" w:color="auto"/>
              <w:right w:val="single" w:sz="8"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exigences se rapportant aux propriétés physiques et chimiques, et aux performances minimales, déterminées par des méthodes d’essai, de poudres extinctrices d’incendie convenant à l’emploi dans la lutte contre le feu des classes A, B et C. Elle donne également des spécifications pour l’information et les données que doit déclarer le fabricant.</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poudres extinctrices particulièrement conçues pour lutter contre et éteindre les incendies de classe D (feux de métaux) n’entrent pas dans le cadre de la norme.</w:t>
            </w:r>
          </w:p>
        </w:tc>
      </w:tr>
      <w:tr w:rsidR="0043547B" w:rsidRPr="0043547B" w:rsidTr="00D20D9B">
        <w:trPr>
          <w:gridBefore w:val="1"/>
          <w:wBefore w:w="18" w:type="dxa"/>
          <w:trHeight w:val="315"/>
          <w:jc w:val="center"/>
        </w:trPr>
        <w:tc>
          <w:tcPr>
            <w:tcW w:w="1856" w:type="dxa"/>
            <w:tcBorders>
              <w:top w:val="single" w:sz="18" w:space="0" w:color="auto"/>
              <w:left w:val="single" w:sz="18" w:space="0" w:color="auto"/>
              <w:bottom w:val="single" w:sz="18" w:space="0" w:color="auto"/>
              <w:right w:val="single" w:sz="8" w:space="0" w:color="auto"/>
            </w:tcBorders>
            <w:shd w:val="clear" w:color="auto" w:fill="C2D69B" w:themeFill="accent3" w:themeFillTint="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bottom w:val="single" w:sz="18" w:space="0" w:color="auto"/>
              <w:right w:val="single" w:sz="18" w:space="0" w:color="auto"/>
            </w:tcBorders>
            <w:shd w:val="clear" w:color="auto" w:fill="C2D69B" w:themeFill="accent3" w:themeFillTint="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11602-1</w:t>
            </w:r>
          </w:p>
        </w:tc>
      </w:tr>
      <w:tr w:rsidR="0043547B" w:rsidRPr="0043547B" w:rsidTr="00D20D9B">
        <w:trPr>
          <w:gridBefore w:val="1"/>
          <w:wBefore w:w="18" w:type="dxa"/>
          <w:trHeight w:val="315"/>
          <w:jc w:val="center"/>
        </w:trPr>
        <w:tc>
          <w:tcPr>
            <w:tcW w:w="1856" w:type="dxa"/>
            <w:tcBorders>
              <w:top w:val="single" w:sz="18" w:space="0" w:color="auto"/>
              <w:left w:val="single" w:sz="18" w:space="0" w:color="auto"/>
              <w:bottom w:val="single" w:sz="4" w:space="0" w:color="auto"/>
              <w:right w:val="single" w:sz="8"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11602-1</w:t>
            </w:r>
          </w:p>
        </w:tc>
      </w:tr>
      <w:tr w:rsidR="0043547B" w:rsidRPr="0043547B" w:rsidTr="00D20D9B">
        <w:trPr>
          <w:gridBefore w:val="1"/>
          <w:wBefore w:w="18" w:type="dxa"/>
          <w:trHeight w:val="330"/>
          <w:jc w:val="center"/>
        </w:trPr>
        <w:tc>
          <w:tcPr>
            <w:tcW w:w="1856" w:type="dxa"/>
            <w:tcBorders>
              <w:top w:val="nil"/>
              <w:left w:val="single" w:sz="18" w:space="0" w:color="auto"/>
              <w:bottom w:val="single" w:sz="4" w:space="0" w:color="auto"/>
              <w:right w:val="single" w:sz="8"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Protection contre l'incendie - Extincteurs portatifs et extincteurs sur roues - Partie 1 : Choix et installation</w:t>
            </w:r>
          </w:p>
        </w:tc>
      </w:tr>
      <w:tr w:rsidR="0043547B" w:rsidRPr="0043547B" w:rsidTr="00D20D9B">
        <w:trPr>
          <w:gridBefore w:val="1"/>
          <w:wBefore w:w="18" w:type="dxa"/>
          <w:trHeight w:val="559"/>
          <w:jc w:val="center"/>
        </w:trPr>
        <w:tc>
          <w:tcPr>
            <w:tcW w:w="1856" w:type="dxa"/>
            <w:tcBorders>
              <w:top w:val="nil"/>
              <w:left w:val="single" w:sz="18" w:space="0" w:color="auto"/>
              <w:bottom w:val="single" w:sz="18" w:space="0" w:color="auto"/>
              <w:right w:val="single" w:sz="8"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dispositions de La norme s’appliquent au choix et à l’installation d’extincteurs portatifs et d’extincteurs sur roues. Les extincteurs portatifs sont destinés à assurer une défense de premier niveau en cas d’incendie de taille limitée.</w:t>
            </w:r>
          </w:p>
          <w:p w:rsidR="002E6B2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Ils sont nécessaires même si le bâtiment est équipé de sprinklers automatiques, de bouches d’incendie et de tuyaux flexibles, ou de tout autre équipement de protection fixe.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fixe des exigences minimales. L’utilisation d’extincteurs plus gros, présentant des caractéristiques supérieures, ou en plus grand nombre permettra généralement d’augmenter le degré de protection.</w:t>
            </w:r>
          </w:p>
        </w:tc>
      </w:tr>
      <w:tr w:rsidR="0043547B" w:rsidRPr="0043547B" w:rsidTr="00D20D9B">
        <w:trPr>
          <w:gridBefore w:val="1"/>
          <w:wBefore w:w="18" w:type="dxa"/>
          <w:trHeight w:val="315"/>
          <w:jc w:val="center"/>
        </w:trPr>
        <w:tc>
          <w:tcPr>
            <w:tcW w:w="1856" w:type="dxa"/>
            <w:tcBorders>
              <w:top w:val="single" w:sz="18" w:space="0" w:color="auto"/>
              <w:left w:val="single" w:sz="18" w:space="0" w:color="auto"/>
              <w:bottom w:val="single" w:sz="18" w:space="0" w:color="auto"/>
              <w:right w:val="single" w:sz="8" w:space="0" w:color="auto"/>
            </w:tcBorders>
            <w:shd w:val="clear" w:color="auto" w:fill="C2D69B" w:themeFill="accent3" w:themeFillTint="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bottom w:val="single" w:sz="18" w:space="0" w:color="auto"/>
              <w:right w:val="single" w:sz="18" w:space="0" w:color="auto"/>
            </w:tcBorders>
            <w:shd w:val="clear" w:color="auto" w:fill="C2D69B" w:themeFill="accent3" w:themeFillTint="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11602-2</w:t>
            </w:r>
          </w:p>
        </w:tc>
      </w:tr>
      <w:tr w:rsidR="0043547B" w:rsidRPr="0043547B" w:rsidTr="00D20D9B">
        <w:trPr>
          <w:gridBefore w:val="1"/>
          <w:wBefore w:w="18" w:type="dxa"/>
          <w:trHeight w:val="315"/>
          <w:jc w:val="center"/>
        </w:trPr>
        <w:tc>
          <w:tcPr>
            <w:tcW w:w="1856" w:type="dxa"/>
            <w:tcBorders>
              <w:top w:val="single" w:sz="18" w:space="0" w:color="auto"/>
              <w:left w:val="single" w:sz="18" w:space="0" w:color="auto"/>
              <w:bottom w:val="single" w:sz="4" w:space="0" w:color="auto"/>
              <w:right w:val="single" w:sz="8"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11602-2</w:t>
            </w:r>
          </w:p>
        </w:tc>
      </w:tr>
      <w:tr w:rsidR="0043547B" w:rsidRPr="0043547B" w:rsidTr="00D20D9B">
        <w:trPr>
          <w:gridBefore w:val="1"/>
          <w:wBefore w:w="18" w:type="dxa"/>
          <w:trHeight w:val="330"/>
          <w:jc w:val="center"/>
        </w:trPr>
        <w:tc>
          <w:tcPr>
            <w:tcW w:w="1856" w:type="dxa"/>
            <w:tcBorders>
              <w:top w:val="nil"/>
              <w:left w:val="single" w:sz="18" w:space="0" w:color="auto"/>
              <w:bottom w:val="single" w:sz="4" w:space="0" w:color="auto"/>
              <w:right w:val="single" w:sz="8"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Protection contre l'incendie - Extincteurs portatifs et extincteurs sur roues - Partie 2 : Contrôle et maintenance</w:t>
            </w:r>
          </w:p>
        </w:tc>
      </w:tr>
      <w:tr w:rsidR="0043547B" w:rsidRPr="0043547B" w:rsidTr="00D20D9B">
        <w:trPr>
          <w:gridBefore w:val="1"/>
          <w:wBefore w:w="18" w:type="dxa"/>
          <w:trHeight w:val="1472"/>
          <w:jc w:val="center"/>
        </w:trPr>
        <w:tc>
          <w:tcPr>
            <w:tcW w:w="1856" w:type="dxa"/>
            <w:tcBorders>
              <w:top w:val="nil"/>
              <w:left w:val="single" w:sz="18" w:space="0" w:color="auto"/>
              <w:bottom w:val="single" w:sz="18" w:space="0" w:color="auto"/>
              <w:right w:val="single" w:sz="8"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dispositions de La norme s’appliquent au contrôle, à la maintenance et aux essais périodiques des extincteurs portatifs et des extincteurs sur roues.</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extincteurs portatifs sont destinés à assurer une défense de premier niveau en cas d’incendie de taille limitée.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Ils sont nécessaires même si le bâtiment est équipé de sprinklers automatiques, de bouches d’incendie et de tuyaux flexibles, ou de tout autre équipement de protection fixe.</w:t>
            </w:r>
          </w:p>
        </w:tc>
      </w:tr>
      <w:tr w:rsidR="0043547B" w:rsidRPr="0043547B" w:rsidTr="00D20D9B">
        <w:trPr>
          <w:gridBefore w:val="1"/>
          <w:wBefore w:w="18" w:type="dxa"/>
          <w:trHeight w:val="330"/>
          <w:jc w:val="center"/>
        </w:trPr>
        <w:tc>
          <w:tcPr>
            <w:tcW w:w="1856" w:type="dxa"/>
            <w:tcBorders>
              <w:top w:val="single" w:sz="18" w:space="0" w:color="auto"/>
              <w:left w:val="single" w:sz="18" w:space="0" w:color="auto"/>
              <w:bottom w:val="single" w:sz="18" w:space="0" w:color="auto"/>
              <w:right w:val="single" w:sz="8" w:space="0" w:color="auto"/>
            </w:tcBorders>
            <w:shd w:val="clear" w:color="auto" w:fill="C2D69B" w:themeFill="accent3" w:themeFillTint="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bottom w:val="single" w:sz="18" w:space="0" w:color="auto"/>
              <w:right w:val="single" w:sz="18" w:space="0" w:color="auto"/>
            </w:tcBorders>
            <w:shd w:val="clear" w:color="auto" w:fill="C2D69B" w:themeFill="accent3" w:themeFillTint="99"/>
            <w:vAlign w:val="center"/>
            <w:hideMark/>
          </w:tcPr>
          <w:p w:rsidR="00904E52" w:rsidRPr="0043547B" w:rsidRDefault="00904E52" w:rsidP="00904E52">
            <w:pPr>
              <w:spacing w:after="0" w:line="240" w:lineRule="auto"/>
              <w:jc w:val="center"/>
              <w:rPr>
                <w:rFonts w:eastAsia="Times New Roman" w:cstheme="minorHAnsi"/>
                <w:sz w:val="24"/>
                <w:szCs w:val="24"/>
                <w:lang w:eastAsia="fr-FR"/>
              </w:rPr>
            </w:pPr>
            <w:r w:rsidRPr="0043547B">
              <w:rPr>
                <w:rFonts w:eastAsia="Times New Roman" w:cstheme="minorHAnsi"/>
                <w:b/>
                <w:bCs/>
                <w:sz w:val="24"/>
                <w:szCs w:val="24"/>
                <w:lang w:eastAsia="fr-FR"/>
              </w:rPr>
              <w:t>NM 21.9.013</w:t>
            </w:r>
          </w:p>
        </w:tc>
      </w:tr>
      <w:tr w:rsidR="0043547B" w:rsidRPr="0043547B" w:rsidTr="00D20D9B">
        <w:trPr>
          <w:gridBefore w:val="1"/>
          <w:wBefore w:w="18" w:type="dxa"/>
          <w:trHeight w:val="330"/>
          <w:jc w:val="center"/>
        </w:trPr>
        <w:tc>
          <w:tcPr>
            <w:tcW w:w="1856" w:type="dxa"/>
            <w:tcBorders>
              <w:top w:val="single" w:sz="18" w:space="0" w:color="auto"/>
              <w:left w:val="single" w:sz="18" w:space="0" w:color="auto"/>
              <w:bottom w:val="single" w:sz="4" w:space="0" w:color="auto"/>
              <w:right w:val="single" w:sz="8"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top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Robinets d’incendie armés - Règle d’installation</w:t>
            </w:r>
          </w:p>
        </w:tc>
      </w:tr>
      <w:tr w:rsidR="0043547B" w:rsidRPr="0043547B" w:rsidTr="00D20D9B">
        <w:trPr>
          <w:gridBefore w:val="1"/>
          <w:wBefore w:w="18" w:type="dxa"/>
          <w:trHeight w:val="1815"/>
          <w:jc w:val="center"/>
        </w:trPr>
        <w:tc>
          <w:tcPr>
            <w:tcW w:w="1856" w:type="dxa"/>
            <w:tcBorders>
              <w:top w:val="nil"/>
              <w:left w:val="single" w:sz="18" w:space="0" w:color="auto"/>
              <w:bottom w:val="single" w:sz="18" w:space="0" w:color="auto"/>
              <w:right w:val="single" w:sz="8"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concerne les installations de robinets d'incendie armés (RIA) mises en place dans les bâtiments des secteurs industriel, commercial, agricole ou tertiaire.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L’objet d’une installation de RIA est de permettre une première intervention d’urgence dans la lutte contre l’incendie en attendant que des moyens plus puissants peuvent être mis en œuvre.</w:t>
            </w:r>
          </w:p>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Une installation de RIA constitue l'un des moyens de secours prévus par la norme intitulée NM21.9.020 " Service de sécurité incendie - Règle d’organisation ".</w:t>
            </w:r>
          </w:p>
        </w:tc>
      </w:tr>
      <w:tr w:rsidR="0043547B" w:rsidRPr="0043547B" w:rsidTr="00D20D9B">
        <w:trPr>
          <w:gridBefore w:val="1"/>
          <w:wBefore w:w="18" w:type="dxa"/>
          <w:trHeight w:val="315"/>
          <w:jc w:val="center"/>
        </w:trPr>
        <w:tc>
          <w:tcPr>
            <w:tcW w:w="1856" w:type="dxa"/>
            <w:tcBorders>
              <w:top w:val="single" w:sz="18" w:space="0" w:color="auto"/>
              <w:left w:val="single" w:sz="18" w:space="0" w:color="auto"/>
              <w:bottom w:val="single" w:sz="18" w:space="0" w:color="auto"/>
              <w:right w:val="single" w:sz="8" w:space="0" w:color="auto"/>
            </w:tcBorders>
            <w:shd w:val="clear" w:color="auto" w:fill="C2D69B" w:themeFill="accent3" w:themeFillTint="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bottom w:val="single" w:sz="18" w:space="0" w:color="auto"/>
              <w:right w:val="single" w:sz="18" w:space="0" w:color="auto"/>
            </w:tcBorders>
            <w:shd w:val="clear" w:color="auto" w:fill="C2D69B" w:themeFill="accent3" w:themeFillTint="99"/>
            <w:vAlign w:val="center"/>
            <w:hideMark/>
          </w:tcPr>
          <w:p w:rsidR="00904E52" w:rsidRPr="0043547B" w:rsidRDefault="00904E52" w:rsidP="00CD21DF">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 14520-1</w:t>
            </w:r>
          </w:p>
        </w:tc>
      </w:tr>
      <w:tr w:rsidR="0043547B" w:rsidRPr="0043547B" w:rsidTr="002E6B2B">
        <w:trPr>
          <w:gridBefore w:val="1"/>
          <w:wBefore w:w="18" w:type="dxa"/>
          <w:trHeight w:val="315"/>
          <w:jc w:val="center"/>
        </w:trPr>
        <w:tc>
          <w:tcPr>
            <w:tcW w:w="1856" w:type="dxa"/>
            <w:tcBorders>
              <w:top w:val="single" w:sz="18" w:space="0" w:color="auto"/>
              <w:left w:val="single" w:sz="18" w:space="0" w:color="auto"/>
              <w:bottom w:val="single" w:sz="4" w:space="0" w:color="auto"/>
              <w:right w:val="single" w:sz="8" w:space="0" w:color="auto"/>
            </w:tcBorders>
            <w:shd w:val="clear" w:color="auto" w:fill="FFFFCC"/>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Equivalence :</w:t>
            </w:r>
          </w:p>
        </w:tc>
        <w:tc>
          <w:tcPr>
            <w:tcW w:w="7938" w:type="dxa"/>
            <w:tcBorders>
              <w:top w:val="single" w:sz="18" w:space="0" w:color="auto"/>
              <w:right w:val="single" w:sz="18" w:space="0" w:color="auto"/>
            </w:tcBorders>
            <w:shd w:val="clear" w:color="auto" w:fill="FFFFCC"/>
            <w:vAlign w:val="center"/>
            <w:hideMark/>
          </w:tcPr>
          <w:p w:rsidR="00904E52" w:rsidRPr="0043547B" w:rsidRDefault="00904E52" w:rsidP="00CD21DF">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 14520-1 - Rt 1</w:t>
            </w:r>
          </w:p>
        </w:tc>
      </w:tr>
      <w:tr w:rsidR="0043547B" w:rsidRPr="0043547B" w:rsidTr="00D20D9B">
        <w:trPr>
          <w:gridBefore w:val="1"/>
          <w:wBefore w:w="18" w:type="dxa"/>
          <w:trHeight w:val="495"/>
          <w:jc w:val="center"/>
        </w:trPr>
        <w:tc>
          <w:tcPr>
            <w:tcW w:w="1856" w:type="dxa"/>
            <w:tcBorders>
              <w:top w:val="nil"/>
              <w:left w:val="single" w:sz="18" w:space="0" w:color="auto"/>
              <w:bottom w:val="single" w:sz="4" w:space="0" w:color="auto"/>
              <w:right w:val="single" w:sz="8"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Systèmes d'extinction d'incendie utilisant des agents gazeux - Propriétés physiques et conception des systèmes - Partie 1 : Exigences générales</w:t>
            </w:r>
          </w:p>
        </w:tc>
      </w:tr>
      <w:tr w:rsidR="0043547B" w:rsidRPr="0043547B" w:rsidTr="00601D12">
        <w:trPr>
          <w:gridBefore w:val="1"/>
          <w:wBefore w:w="18" w:type="dxa"/>
          <w:trHeight w:val="3676"/>
          <w:jc w:val="center"/>
        </w:trPr>
        <w:tc>
          <w:tcPr>
            <w:tcW w:w="1856" w:type="dxa"/>
            <w:tcBorders>
              <w:top w:val="nil"/>
              <w:left w:val="single" w:sz="18" w:space="0" w:color="auto"/>
              <w:bottom w:val="single" w:sz="18" w:space="0" w:color="auto"/>
              <w:right w:val="single" w:sz="8"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bottom w:val="single" w:sz="18" w:space="0" w:color="auto"/>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spécifie les exigences et donne des recommandations pour la conception, l’installation, les essais, la maintenance et la sécurité des systèmes d’extinction incendie utilisant des agents gazeux, dans les bâtiments, les usines et autres structures, ainsi que les caractéristiques des différents agents extincteurs et les types de feux pour lesquels ils constituent des agents extincteurs appropriés.</w:t>
            </w:r>
          </w:p>
          <w:p w:rsidR="002E6B2B" w:rsidRPr="0043547B" w:rsidRDefault="00904E52" w:rsidP="00601D1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traite des dispositifs de noyage total principalement destinés aux bâtiments, usines et autres applications spécifiques, qui utilisent des agents extincteurs gazeux non conducteurs de l'électricité, qui ne laissent aucun résidu après émission et pour lesquels il existe actuellement suffisamment de données pour permettre à une autorité indépendante appropriée de valider les caractéristiques de performance.</w:t>
            </w:r>
          </w:p>
        </w:tc>
      </w:tr>
      <w:tr w:rsidR="001D24D9" w:rsidRPr="0043547B" w:rsidTr="00601D12">
        <w:trPr>
          <w:gridBefore w:val="1"/>
          <w:wBefore w:w="18" w:type="dxa"/>
          <w:trHeight w:val="315"/>
          <w:jc w:val="center"/>
        </w:trPr>
        <w:tc>
          <w:tcPr>
            <w:tcW w:w="1856" w:type="dxa"/>
            <w:tcBorders>
              <w:top w:val="single" w:sz="18" w:space="0" w:color="auto"/>
              <w:left w:val="single" w:sz="18" w:space="0" w:color="auto"/>
              <w:bottom w:val="single" w:sz="18" w:space="0" w:color="auto"/>
              <w:right w:val="single" w:sz="8" w:space="0" w:color="auto"/>
            </w:tcBorders>
            <w:shd w:val="clear" w:color="auto" w:fill="C2D69B" w:themeFill="accent3" w:themeFillTint="99"/>
            <w:vAlign w:val="center"/>
            <w:hideMark/>
          </w:tcPr>
          <w:p w:rsidR="001D24D9" w:rsidRPr="00601D12" w:rsidRDefault="001D24D9" w:rsidP="00601D12">
            <w:pPr>
              <w:spacing w:after="0" w:line="240" w:lineRule="auto"/>
              <w:jc w:val="center"/>
              <w:rPr>
                <w:rFonts w:ascii="Calibri" w:hAnsi="Calibri" w:cs="Calibri"/>
                <w:b/>
                <w:bCs/>
                <w:sz w:val="24"/>
                <w:szCs w:val="24"/>
              </w:rPr>
            </w:pPr>
            <w:r w:rsidRPr="00601D12">
              <w:rPr>
                <w:rFonts w:ascii="Calibri" w:hAnsi="Calibri" w:cs="Calibri"/>
                <w:b/>
                <w:bCs/>
                <w:sz w:val="24"/>
                <w:szCs w:val="24"/>
              </w:rPr>
              <w:t>Code</w:t>
            </w:r>
            <w:r w:rsidR="00601D12" w:rsidRPr="00601D12">
              <w:rPr>
                <w:rFonts w:ascii="Calibri" w:hAnsi="Calibri" w:cs="Calibri"/>
                <w:b/>
                <w:bCs/>
                <w:sz w:val="24"/>
                <w:szCs w:val="24"/>
              </w:rPr>
              <w:t xml:space="preserve"> </w:t>
            </w:r>
            <w:r w:rsidRPr="00601D12">
              <w:rPr>
                <w:rFonts w:ascii="Calibri" w:hAnsi="Calibri" w:cs="Calibri"/>
                <w:b/>
                <w:bCs/>
                <w:sz w:val="24"/>
                <w:szCs w:val="24"/>
              </w:rPr>
              <w:t>:</w:t>
            </w:r>
          </w:p>
        </w:tc>
        <w:tc>
          <w:tcPr>
            <w:tcW w:w="7938" w:type="dxa"/>
            <w:tcBorders>
              <w:top w:val="single" w:sz="18" w:space="0" w:color="auto"/>
              <w:bottom w:val="single" w:sz="18" w:space="0" w:color="auto"/>
              <w:right w:val="single" w:sz="18" w:space="0" w:color="auto"/>
            </w:tcBorders>
            <w:shd w:val="clear" w:color="auto" w:fill="C2D69B" w:themeFill="accent3" w:themeFillTint="99"/>
            <w:vAlign w:val="bottom"/>
            <w:hideMark/>
          </w:tcPr>
          <w:p w:rsidR="001D24D9" w:rsidRPr="00601D12" w:rsidRDefault="001D24D9" w:rsidP="00601D12">
            <w:pPr>
              <w:spacing w:after="0" w:line="240" w:lineRule="auto"/>
              <w:jc w:val="center"/>
              <w:rPr>
                <w:rFonts w:ascii="Times New Roman" w:hAnsi="Times New Roman" w:cs="Times New Roman"/>
                <w:b/>
                <w:bCs/>
                <w:sz w:val="24"/>
                <w:szCs w:val="24"/>
              </w:rPr>
            </w:pPr>
            <w:r w:rsidRPr="00601D12">
              <w:rPr>
                <w:b/>
                <w:bCs/>
                <w:sz w:val="24"/>
                <w:szCs w:val="24"/>
              </w:rPr>
              <w:t>NM EN 12101-3</w:t>
            </w:r>
          </w:p>
        </w:tc>
      </w:tr>
      <w:tr w:rsidR="001D24D9" w:rsidRPr="0043547B" w:rsidTr="00601D12">
        <w:trPr>
          <w:gridBefore w:val="1"/>
          <w:wBefore w:w="18" w:type="dxa"/>
          <w:trHeight w:val="315"/>
          <w:jc w:val="center"/>
        </w:trPr>
        <w:tc>
          <w:tcPr>
            <w:tcW w:w="1856" w:type="dxa"/>
            <w:tcBorders>
              <w:top w:val="single" w:sz="18" w:space="0" w:color="auto"/>
              <w:left w:val="single" w:sz="18" w:space="0" w:color="auto"/>
              <w:bottom w:val="single" w:sz="4" w:space="0" w:color="auto"/>
              <w:right w:val="single" w:sz="8" w:space="0" w:color="auto"/>
            </w:tcBorders>
            <w:shd w:val="clear" w:color="auto" w:fill="FFFFCC"/>
            <w:vAlign w:val="center"/>
            <w:hideMark/>
          </w:tcPr>
          <w:p w:rsidR="001D24D9" w:rsidRPr="00601D12" w:rsidRDefault="001D24D9" w:rsidP="00601D12">
            <w:pPr>
              <w:spacing w:after="0" w:line="240" w:lineRule="auto"/>
              <w:jc w:val="center"/>
              <w:rPr>
                <w:rFonts w:ascii="Calibri" w:hAnsi="Calibri" w:cs="Calibri"/>
                <w:b/>
                <w:bCs/>
                <w:sz w:val="24"/>
                <w:szCs w:val="24"/>
              </w:rPr>
            </w:pPr>
            <w:r w:rsidRPr="00601D12">
              <w:rPr>
                <w:rFonts w:ascii="Calibri" w:hAnsi="Calibri" w:cs="Calibri"/>
                <w:b/>
                <w:bCs/>
                <w:sz w:val="24"/>
                <w:szCs w:val="24"/>
              </w:rPr>
              <w:t>Equivalence :</w:t>
            </w:r>
          </w:p>
        </w:tc>
        <w:tc>
          <w:tcPr>
            <w:tcW w:w="7938" w:type="dxa"/>
            <w:tcBorders>
              <w:top w:val="single" w:sz="18" w:space="0" w:color="auto"/>
              <w:right w:val="single" w:sz="18" w:space="0" w:color="auto"/>
            </w:tcBorders>
            <w:shd w:val="clear" w:color="auto" w:fill="FFFFCC"/>
            <w:vAlign w:val="bottom"/>
            <w:hideMark/>
          </w:tcPr>
          <w:p w:rsidR="001D24D9" w:rsidRPr="00601D12" w:rsidRDefault="001D24D9" w:rsidP="00601D12">
            <w:pPr>
              <w:spacing w:after="0" w:line="240" w:lineRule="auto"/>
              <w:jc w:val="center"/>
              <w:rPr>
                <w:rFonts w:ascii="Times New Roman" w:hAnsi="Times New Roman" w:cs="Times New Roman"/>
                <w:b/>
                <w:bCs/>
                <w:sz w:val="24"/>
                <w:szCs w:val="24"/>
              </w:rPr>
            </w:pPr>
            <w:r w:rsidRPr="00601D12">
              <w:rPr>
                <w:b/>
                <w:bCs/>
                <w:sz w:val="24"/>
                <w:szCs w:val="24"/>
              </w:rPr>
              <w:t>EN 12101-3</w:t>
            </w:r>
          </w:p>
        </w:tc>
      </w:tr>
      <w:tr w:rsidR="001D24D9" w:rsidRPr="0043547B" w:rsidTr="00601D12">
        <w:trPr>
          <w:gridBefore w:val="1"/>
          <w:wBefore w:w="18" w:type="dxa"/>
          <w:trHeight w:val="330"/>
          <w:jc w:val="center"/>
        </w:trPr>
        <w:tc>
          <w:tcPr>
            <w:tcW w:w="1856" w:type="dxa"/>
            <w:tcBorders>
              <w:top w:val="nil"/>
              <w:left w:val="single" w:sz="18" w:space="0" w:color="auto"/>
              <w:bottom w:val="single" w:sz="4" w:space="0" w:color="auto"/>
              <w:right w:val="single" w:sz="8" w:space="0" w:color="auto"/>
            </w:tcBorders>
            <w:shd w:val="clear" w:color="000000" w:fill="8DB4E2"/>
            <w:vAlign w:val="center"/>
            <w:hideMark/>
          </w:tcPr>
          <w:p w:rsidR="001D24D9" w:rsidRPr="00601D12" w:rsidRDefault="001D24D9" w:rsidP="00601D12">
            <w:pPr>
              <w:spacing w:after="0" w:line="240" w:lineRule="auto"/>
              <w:jc w:val="center"/>
              <w:rPr>
                <w:rFonts w:ascii="Calibri" w:hAnsi="Calibri" w:cs="Calibri"/>
                <w:b/>
                <w:bCs/>
                <w:sz w:val="24"/>
                <w:szCs w:val="24"/>
              </w:rPr>
            </w:pPr>
            <w:r w:rsidRPr="00601D12">
              <w:rPr>
                <w:rFonts w:ascii="Calibri" w:hAnsi="Calibri" w:cs="Calibri"/>
                <w:b/>
                <w:bCs/>
                <w:sz w:val="24"/>
                <w:szCs w:val="24"/>
              </w:rPr>
              <w:t>Intitulé :</w:t>
            </w:r>
          </w:p>
        </w:tc>
        <w:tc>
          <w:tcPr>
            <w:tcW w:w="7938" w:type="dxa"/>
            <w:tcBorders>
              <w:right w:val="single" w:sz="18" w:space="0" w:color="auto"/>
            </w:tcBorders>
            <w:shd w:val="clear" w:color="auto" w:fill="auto"/>
            <w:vAlign w:val="bottom"/>
            <w:hideMark/>
          </w:tcPr>
          <w:p w:rsidR="001D24D9" w:rsidRPr="00601D12" w:rsidRDefault="001D24D9" w:rsidP="00601D12">
            <w:pPr>
              <w:spacing w:after="0" w:line="240" w:lineRule="auto"/>
              <w:jc w:val="both"/>
              <w:rPr>
                <w:rFonts w:ascii="Times New Roman" w:hAnsi="Times New Roman" w:cs="Times New Roman"/>
                <w:sz w:val="24"/>
                <w:szCs w:val="24"/>
              </w:rPr>
            </w:pPr>
            <w:r w:rsidRPr="00601D12">
              <w:rPr>
                <w:sz w:val="24"/>
                <w:szCs w:val="24"/>
              </w:rPr>
              <w:t xml:space="preserve">Systèmes pour le contrôle des fumées et de la chaleur - Partie 3 : Spécifications relatives aux ventilateurs pour le contrôle de fumées et de chaleur ; </w:t>
            </w:r>
          </w:p>
        </w:tc>
      </w:tr>
      <w:tr w:rsidR="001D24D9" w:rsidRPr="0043547B" w:rsidTr="00601D12">
        <w:trPr>
          <w:gridBefore w:val="1"/>
          <w:wBefore w:w="18" w:type="dxa"/>
          <w:trHeight w:val="1515"/>
          <w:jc w:val="center"/>
        </w:trPr>
        <w:tc>
          <w:tcPr>
            <w:tcW w:w="1856" w:type="dxa"/>
            <w:tcBorders>
              <w:top w:val="nil"/>
              <w:left w:val="single" w:sz="18" w:space="0" w:color="auto"/>
              <w:bottom w:val="single" w:sz="18" w:space="0" w:color="auto"/>
              <w:right w:val="single" w:sz="8" w:space="0" w:color="auto"/>
            </w:tcBorders>
            <w:shd w:val="clear" w:color="000000" w:fill="D9D9D9"/>
            <w:vAlign w:val="center"/>
            <w:hideMark/>
          </w:tcPr>
          <w:p w:rsidR="001D24D9" w:rsidRPr="00601D12" w:rsidRDefault="001D24D9" w:rsidP="00601D12">
            <w:pPr>
              <w:spacing w:after="0" w:line="240" w:lineRule="auto"/>
              <w:jc w:val="center"/>
              <w:rPr>
                <w:rFonts w:ascii="Calibri" w:hAnsi="Calibri" w:cs="Calibri"/>
                <w:b/>
                <w:bCs/>
                <w:sz w:val="24"/>
                <w:szCs w:val="24"/>
              </w:rPr>
            </w:pPr>
            <w:r w:rsidRPr="00601D12">
              <w:rPr>
                <w:rFonts w:ascii="Calibri" w:hAnsi="Calibri" w:cs="Calibri"/>
                <w:b/>
                <w:bCs/>
                <w:sz w:val="24"/>
                <w:szCs w:val="24"/>
              </w:rPr>
              <w:t>Domaine d’application :</w:t>
            </w:r>
          </w:p>
        </w:tc>
        <w:tc>
          <w:tcPr>
            <w:tcW w:w="7938" w:type="dxa"/>
            <w:tcBorders>
              <w:bottom w:val="single" w:sz="18" w:space="0" w:color="auto"/>
              <w:right w:val="single" w:sz="18" w:space="0" w:color="auto"/>
            </w:tcBorders>
            <w:shd w:val="clear" w:color="auto" w:fill="auto"/>
            <w:vAlign w:val="bottom"/>
            <w:hideMark/>
          </w:tcPr>
          <w:p w:rsidR="00601D12" w:rsidRDefault="001D24D9" w:rsidP="00601D12">
            <w:pPr>
              <w:spacing w:after="0" w:line="240" w:lineRule="auto"/>
              <w:jc w:val="both"/>
              <w:rPr>
                <w:sz w:val="24"/>
                <w:szCs w:val="24"/>
              </w:rPr>
            </w:pPr>
            <w:r w:rsidRPr="00601D12">
              <w:rPr>
                <w:sz w:val="24"/>
                <w:szCs w:val="24"/>
              </w:rPr>
              <w:t>La présente Norme européenne spécifie les caractéristiques des ventilateurs extracteurs de fumées et de</w:t>
            </w:r>
            <w:r w:rsidR="00601D12">
              <w:rPr>
                <w:sz w:val="24"/>
                <w:szCs w:val="24"/>
              </w:rPr>
              <w:t xml:space="preserve"> </w:t>
            </w:r>
            <w:r w:rsidRPr="00601D12">
              <w:rPr>
                <w:sz w:val="24"/>
                <w:szCs w:val="24"/>
              </w:rPr>
              <w:t>chaleur destinés à être utilisés en tant que composants dans un système de ventilation mécanique pour le</w:t>
            </w:r>
            <w:r w:rsidRPr="00601D12">
              <w:rPr>
                <w:sz w:val="24"/>
                <w:szCs w:val="24"/>
              </w:rPr>
              <w:br/>
              <w:t>contrôle des fumées et de la chaleur dans des ouvrages.</w:t>
            </w:r>
          </w:p>
          <w:p w:rsidR="00601D12" w:rsidRDefault="001D24D9" w:rsidP="00601D12">
            <w:pPr>
              <w:spacing w:after="0" w:line="240" w:lineRule="auto"/>
              <w:jc w:val="both"/>
              <w:rPr>
                <w:sz w:val="24"/>
                <w:szCs w:val="24"/>
              </w:rPr>
            </w:pPr>
            <w:r w:rsidRPr="00601D12">
              <w:rPr>
                <w:sz w:val="24"/>
                <w:szCs w:val="24"/>
              </w:rPr>
              <w:t>Elle fournit des méthodes d'essai et d'évaluation des caractéristiques, ainsi que les critères de conformité des</w:t>
            </w:r>
            <w:r w:rsidR="00601D12">
              <w:rPr>
                <w:sz w:val="24"/>
                <w:szCs w:val="24"/>
              </w:rPr>
              <w:t xml:space="preserve"> </w:t>
            </w:r>
            <w:r w:rsidRPr="00601D12">
              <w:rPr>
                <w:sz w:val="24"/>
                <w:szCs w:val="24"/>
              </w:rPr>
              <w:t>résultats de l'évaluation.</w:t>
            </w:r>
          </w:p>
          <w:p w:rsidR="00601D12" w:rsidRDefault="001D24D9" w:rsidP="00601D12">
            <w:pPr>
              <w:spacing w:after="0" w:line="240" w:lineRule="auto"/>
              <w:jc w:val="both"/>
              <w:rPr>
                <w:sz w:val="24"/>
                <w:szCs w:val="24"/>
              </w:rPr>
            </w:pPr>
            <w:r w:rsidRPr="00601D12">
              <w:rPr>
                <w:sz w:val="24"/>
                <w:szCs w:val="24"/>
              </w:rPr>
              <w:t>La présente Norme européenne s'applique :</w:t>
            </w:r>
          </w:p>
          <w:p w:rsidR="00601D12" w:rsidRDefault="001D24D9" w:rsidP="00601D12">
            <w:pPr>
              <w:spacing w:after="0" w:line="240" w:lineRule="auto"/>
              <w:jc w:val="both"/>
              <w:rPr>
                <w:sz w:val="24"/>
                <w:szCs w:val="24"/>
              </w:rPr>
            </w:pPr>
            <w:r w:rsidRPr="00601D12">
              <w:rPr>
                <w:sz w:val="24"/>
                <w:szCs w:val="24"/>
              </w:rPr>
              <w:t>a) aux ventilateurs destinés aux systèmes de ventilation pour le contrôle des fumées et de la chaleur;</w:t>
            </w:r>
          </w:p>
          <w:p w:rsidR="001D24D9" w:rsidRPr="00601D12" w:rsidRDefault="001D24D9" w:rsidP="00601D12">
            <w:pPr>
              <w:spacing w:after="0" w:line="240" w:lineRule="auto"/>
              <w:jc w:val="both"/>
              <w:rPr>
                <w:rFonts w:ascii="Times New Roman" w:hAnsi="Times New Roman" w:cs="Times New Roman"/>
                <w:sz w:val="24"/>
                <w:szCs w:val="24"/>
              </w:rPr>
            </w:pPr>
            <w:r w:rsidRPr="00601D12">
              <w:rPr>
                <w:sz w:val="24"/>
                <w:szCs w:val="24"/>
              </w:rPr>
              <w:t>b) aux ventilateurs à impulsions/accélérateurs destinés aux systèmes de ventilation pour le contrôle des</w:t>
            </w:r>
            <w:r w:rsidR="00601D12">
              <w:rPr>
                <w:sz w:val="24"/>
                <w:szCs w:val="24"/>
              </w:rPr>
              <w:t xml:space="preserve"> </w:t>
            </w:r>
            <w:r w:rsidRPr="00601D12">
              <w:rPr>
                <w:sz w:val="24"/>
                <w:szCs w:val="24"/>
              </w:rPr>
              <w:t>fumées et de la chaleur.</w:t>
            </w:r>
          </w:p>
        </w:tc>
      </w:tr>
      <w:tr w:rsidR="001D24D9" w:rsidRPr="0043547B" w:rsidTr="00601D12">
        <w:trPr>
          <w:gridBefore w:val="1"/>
          <w:wBefore w:w="18" w:type="dxa"/>
          <w:trHeight w:val="315"/>
          <w:jc w:val="center"/>
        </w:trPr>
        <w:tc>
          <w:tcPr>
            <w:tcW w:w="1856" w:type="dxa"/>
            <w:tcBorders>
              <w:top w:val="single" w:sz="18" w:space="0" w:color="auto"/>
              <w:left w:val="single" w:sz="18" w:space="0" w:color="auto"/>
              <w:bottom w:val="single" w:sz="18" w:space="0" w:color="auto"/>
              <w:right w:val="single" w:sz="8" w:space="0" w:color="auto"/>
            </w:tcBorders>
            <w:shd w:val="clear" w:color="auto" w:fill="C2D69B" w:themeFill="accent3" w:themeFillTint="99"/>
            <w:vAlign w:val="center"/>
            <w:hideMark/>
          </w:tcPr>
          <w:p w:rsidR="001D24D9" w:rsidRPr="00601D12" w:rsidRDefault="001D24D9" w:rsidP="00601D12">
            <w:pPr>
              <w:spacing w:after="0" w:line="240" w:lineRule="auto"/>
              <w:jc w:val="center"/>
              <w:rPr>
                <w:rFonts w:ascii="Calibri" w:hAnsi="Calibri" w:cs="Calibri"/>
                <w:b/>
                <w:bCs/>
                <w:sz w:val="24"/>
                <w:szCs w:val="24"/>
              </w:rPr>
            </w:pPr>
            <w:r w:rsidRPr="00601D12">
              <w:rPr>
                <w:rFonts w:ascii="Calibri" w:hAnsi="Calibri" w:cs="Calibri"/>
                <w:b/>
                <w:bCs/>
                <w:sz w:val="24"/>
                <w:szCs w:val="24"/>
              </w:rPr>
              <w:t>Code :</w:t>
            </w:r>
          </w:p>
        </w:tc>
        <w:tc>
          <w:tcPr>
            <w:tcW w:w="7938" w:type="dxa"/>
            <w:tcBorders>
              <w:top w:val="single" w:sz="18" w:space="0" w:color="auto"/>
              <w:bottom w:val="single" w:sz="18" w:space="0" w:color="auto"/>
              <w:right w:val="single" w:sz="18" w:space="0" w:color="auto"/>
            </w:tcBorders>
            <w:shd w:val="clear" w:color="auto" w:fill="C2D69B" w:themeFill="accent3" w:themeFillTint="99"/>
            <w:vAlign w:val="bottom"/>
            <w:hideMark/>
          </w:tcPr>
          <w:p w:rsidR="001D24D9" w:rsidRPr="00601D12" w:rsidRDefault="001D24D9" w:rsidP="00601D12">
            <w:pPr>
              <w:spacing w:after="0" w:line="240" w:lineRule="auto"/>
              <w:jc w:val="center"/>
              <w:rPr>
                <w:rFonts w:ascii="Times New Roman" w:hAnsi="Times New Roman" w:cs="Times New Roman"/>
                <w:b/>
                <w:bCs/>
                <w:sz w:val="24"/>
                <w:szCs w:val="24"/>
              </w:rPr>
            </w:pPr>
            <w:r w:rsidRPr="00601D12">
              <w:rPr>
                <w:b/>
                <w:bCs/>
                <w:sz w:val="24"/>
                <w:szCs w:val="24"/>
              </w:rPr>
              <w:t>NM EN 12101-2</w:t>
            </w:r>
          </w:p>
        </w:tc>
      </w:tr>
      <w:tr w:rsidR="001D24D9" w:rsidRPr="0043547B" w:rsidTr="00601D12">
        <w:trPr>
          <w:gridBefore w:val="1"/>
          <w:wBefore w:w="18" w:type="dxa"/>
          <w:trHeight w:val="315"/>
          <w:jc w:val="center"/>
        </w:trPr>
        <w:tc>
          <w:tcPr>
            <w:tcW w:w="1856" w:type="dxa"/>
            <w:tcBorders>
              <w:top w:val="single" w:sz="18" w:space="0" w:color="auto"/>
              <w:left w:val="single" w:sz="18" w:space="0" w:color="auto"/>
              <w:bottom w:val="single" w:sz="4" w:space="0" w:color="auto"/>
              <w:right w:val="single" w:sz="8" w:space="0" w:color="auto"/>
            </w:tcBorders>
            <w:shd w:val="clear" w:color="auto" w:fill="FFFFCC"/>
            <w:vAlign w:val="center"/>
            <w:hideMark/>
          </w:tcPr>
          <w:p w:rsidR="001D24D9" w:rsidRPr="00601D12" w:rsidRDefault="001D24D9" w:rsidP="00601D12">
            <w:pPr>
              <w:spacing w:after="0" w:line="240" w:lineRule="auto"/>
              <w:jc w:val="center"/>
              <w:rPr>
                <w:rFonts w:ascii="Calibri" w:hAnsi="Calibri" w:cs="Calibri"/>
                <w:b/>
                <w:bCs/>
                <w:sz w:val="24"/>
                <w:szCs w:val="24"/>
              </w:rPr>
            </w:pPr>
            <w:r w:rsidRPr="00601D12">
              <w:rPr>
                <w:rFonts w:ascii="Calibri" w:hAnsi="Calibri" w:cs="Calibri"/>
                <w:b/>
                <w:bCs/>
                <w:sz w:val="24"/>
                <w:szCs w:val="24"/>
              </w:rPr>
              <w:t>Equivalence :</w:t>
            </w:r>
          </w:p>
        </w:tc>
        <w:tc>
          <w:tcPr>
            <w:tcW w:w="7938" w:type="dxa"/>
            <w:tcBorders>
              <w:top w:val="single" w:sz="18" w:space="0" w:color="auto"/>
              <w:right w:val="single" w:sz="18" w:space="0" w:color="auto"/>
            </w:tcBorders>
            <w:shd w:val="clear" w:color="auto" w:fill="FFFFCC"/>
            <w:vAlign w:val="bottom"/>
            <w:hideMark/>
          </w:tcPr>
          <w:p w:rsidR="001D24D9" w:rsidRPr="00601D12" w:rsidRDefault="001D24D9" w:rsidP="00601D12">
            <w:pPr>
              <w:spacing w:after="0" w:line="240" w:lineRule="auto"/>
              <w:jc w:val="center"/>
              <w:rPr>
                <w:rFonts w:ascii="Times New Roman" w:hAnsi="Times New Roman" w:cs="Times New Roman"/>
                <w:b/>
                <w:bCs/>
                <w:sz w:val="24"/>
                <w:szCs w:val="24"/>
              </w:rPr>
            </w:pPr>
            <w:r w:rsidRPr="00601D12">
              <w:rPr>
                <w:b/>
                <w:bCs/>
                <w:sz w:val="24"/>
                <w:szCs w:val="24"/>
              </w:rPr>
              <w:t>EN 12101-2</w:t>
            </w:r>
          </w:p>
        </w:tc>
      </w:tr>
      <w:tr w:rsidR="001D24D9" w:rsidRPr="0043547B" w:rsidTr="00601D12">
        <w:trPr>
          <w:gridBefore w:val="1"/>
          <w:wBefore w:w="18" w:type="dxa"/>
          <w:trHeight w:val="495"/>
          <w:jc w:val="center"/>
        </w:trPr>
        <w:tc>
          <w:tcPr>
            <w:tcW w:w="1856" w:type="dxa"/>
            <w:tcBorders>
              <w:top w:val="nil"/>
              <w:left w:val="single" w:sz="18" w:space="0" w:color="auto"/>
              <w:bottom w:val="single" w:sz="4" w:space="0" w:color="auto"/>
              <w:right w:val="single" w:sz="8" w:space="0" w:color="auto"/>
            </w:tcBorders>
            <w:shd w:val="clear" w:color="000000" w:fill="8DB4E2"/>
            <w:vAlign w:val="center"/>
            <w:hideMark/>
          </w:tcPr>
          <w:p w:rsidR="001D24D9" w:rsidRPr="00601D12" w:rsidRDefault="001D24D9" w:rsidP="00601D12">
            <w:pPr>
              <w:spacing w:after="0" w:line="240" w:lineRule="auto"/>
              <w:jc w:val="center"/>
              <w:rPr>
                <w:rFonts w:ascii="Calibri" w:hAnsi="Calibri" w:cs="Calibri"/>
                <w:b/>
                <w:bCs/>
                <w:sz w:val="24"/>
                <w:szCs w:val="24"/>
              </w:rPr>
            </w:pPr>
            <w:r w:rsidRPr="00601D12">
              <w:rPr>
                <w:rFonts w:ascii="Calibri" w:hAnsi="Calibri" w:cs="Calibri"/>
                <w:b/>
                <w:bCs/>
                <w:sz w:val="24"/>
                <w:szCs w:val="24"/>
              </w:rPr>
              <w:t>Intitulé :</w:t>
            </w:r>
          </w:p>
        </w:tc>
        <w:tc>
          <w:tcPr>
            <w:tcW w:w="7938" w:type="dxa"/>
            <w:tcBorders>
              <w:right w:val="single" w:sz="18" w:space="0" w:color="auto"/>
            </w:tcBorders>
            <w:shd w:val="clear" w:color="auto" w:fill="auto"/>
            <w:vAlign w:val="bottom"/>
            <w:hideMark/>
          </w:tcPr>
          <w:p w:rsidR="001D24D9" w:rsidRPr="00601D12" w:rsidRDefault="001D24D9" w:rsidP="00601D12">
            <w:pPr>
              <w:spacing w:after="0" w:line="240" w:lineRule="auto"/>
              <w:jc w:val="both"/>
              <w:rPr>
                <w:rFonts w:ascii="Times New Roman" w:hAnsi="Times New Roman" w:cs="Times New Roman"/>
                <w:sz w:val="24"/>
                <w:szCs w:val="24"/>
              </w:rPr>
            </w:pPr>
            <w:r w:rsidRPr="00601D12">
              <w:rPr>
                <w:sz w:val="24"/>
                <w:szCs w:val="24"/>
              </w:rPr>
              <w:t xml:space="preserve">Systèmes pour le contrôle des fumées et de la chaleur - Partie 2 : Dispositifs d'évacuation naturelle de fumées et de chaleur ; </w:t>
            </w:r>
          </w:p>
        </w:tc>
      </w:tr>
      <w:tr w:rsidR="001D24D9" w:rsidRPr="0043547B" w:rsidTr="00601D12">
        <w:trPr>
          <w:gridBefore w:val="1"/>
          <w:wBefore w:w="18" w:type="dxa"/>
          <w:trHeight w:val="654"/>
          <w:jc w:val="center"/>
        </w:trPr>
        <w:tc>
          <w:tcPr>
            <w:tcW w:w="1856" w:type="dxa"/>
            <w:tcBorders>
              <w:top w:val="nil"/>
              <w:left w:val="single" w:sz="18" w:space="0" w:color="auto"/>
              <w:bottom w:val="single" w:sz="18" w:space="0" w:color="auto"/>
              <w:right w:val="single" w:sz="8" w:space="0" w:color="auto"/>
            </w:tcBorders>
            <w:shd w:val="clear" w:color="000000" w:fill="D9D9D9"/>
            <w:vAlign w:val="center"/>
            <w:hideMark/>
          </w:tcPr>
          <w:p w:rsidR="001D24D9" w:rsidRPr="00601D12" w:rsidRDefault="001D24D9" w:rsidP="00601D12">
            <w:pPr>
              <w:spacing w:after="0" w:line="240" w:lineRule="auto"/>
              <w:jc w:val="center"/>
              <w:rPr>
                <w:rFonts w:ascii="Calibri" w:hAnsi="Calibri" w:cs="Calibri"/>
                <w:b/>
                <w:bCs/>
                <w:sz w:val="24"/>
                <w:szCs w:val="24"/>
              </w:rPr>
            </w:pPr>
            <w:r w:rsidRPr="00601D12">
              <w:rPr>
                <w:rFonts w:ascii="Calibri" w:hAnsi="Calibri" w:cs="Calibri"/>
                <w:b/>
                <w:bCs/>
                <w:sz w:val="24"/>
                <w:szCs w:val="24"/>
              </w:rPr>
              <w:t>Domaine d’application :</w:t>
            </w:r>
          </w:p>
        </w:tc>
        <w:tc>
          <w:tcPr>
            <w:tcW w:w="7938" w:type="dxa"/>
            <w:tcBorders>
              <w:bottom w:val="single" w:sz="18" w:space="0" w:color="auto"/>
              <w:right w:val="single" w:sz="18" w:space="0" w:color="auto"/>
            </w:tcBorders>
            <w:shd w:val="clear" w:color="auto" w:fill="auto"/>
            <w:vAlign w:val="bottom"/>
            <w:hideMark/>
          </w:tcPr>
          <w:p w:rsidR="001D24D9" w:rsidRPr="00601D12" w:rsidRDefault="001D24D9" w:rsidP="00601D12">
            <w:pPr>
              <w:spacing w:after="0" w:line="240" w:lineRule="auto"/>
              <w:jc w:val="both"/>
              <w:rPr>
                <w:rFonts w:ascii="Times New Roman" w:hAnsi="Times New Roman" w:cs="Times New Roman"/>
                <w:sz w:val="24"/>
                <w:szCs w:val="24"/>
              </w:rPr>
            </w:pPr>
            <w:r w:rsidRPr="00601D12">
              <w:rPr>
                <w:sz w:val="24"/>
                <w:szCs w:val="24"/>
              </w:rPr>
              <w:t>La présente Norme européenne s’applique aux dispositifs d’évacuation naturelle de fumées et de chaleur (DENFC)</w:t>
            </w:r>
            <w:r w:rsidR="00601D12">
              <w:rPr>
                <w:sz w:val="24"/>
                <w:szCs w:val="24"/>
              </w:rPr>
              <w:t xml:space="preserve"> </w:t>
            </w:r>
            <w:r w:rsidRPr="00601D12">
              <w:rPr>
                <w:sz w:val="24"/>
                <w:szCs w:val="24"/>
              </w:rPr>
              <w:t>conçus pour fonctionner comme partie intégrante des systèmes d’évacuation de fumées et de chaleur (SEFC) mis</w:t>
            </w:r>
            <w:r w:rsidRPr="00601D12">
              <w:rPr>
                <w:sz w:val="24"/>
                <w:szCs w:val="24"/>
              </w:rPr>
              <w:br/>
              <w:t>sur le marché. La présente norme spécifie les exigences et fournit les méthodes d’essai pour les dispositifs</w:t>
            </w:r>
            <w:r w:rsidR="00601D12">
              <w:rPr>
                <w:sz w:val="24"/>
                <w:szCs w:val="24"/>
              </w:rPr>
              <w:t xml:space="preserve"> </w:t>
            </w:r>
            <w:r w:rsidRPr="00601D12">
              <w:rPr>
                <w:sz w:val="24"/>
                <w:szCs w:val="24"/>
              </w:rPr>
              <w:t>d’évacuation naturelle de fumées et de chaleur destinés à être installés dans les systèmes pour le contrôle des</w:t>
            </w:r>
            <w:r w:rsidRPr="00601D12">
              <w:rPr>
                <w:sz w:val="24"/>
                <w:szCs w:val="24"/>
              </w:rPr>
              <w:br/>
              <w:t>fumées et de la chaleur des bâtiments.</w:t>
            </w:r>
          </w:p>
        </w:tc>
      </w:tr>
      <w:tr w:rsidR="001D24D9" w:rsidRPr="0043547B" w:rsidTr="00601D12">
        <w:trPr>
          <w:gridBefore w:val="1"/>
          <w:wBefore w:w="18" w:type="dxa"/>
          <w:trHeight w:val="315"/>
          <w:jc w:val="center"/>
        </w:trPr>
        <w:tc>
          <w:tcPr>
            <w:tcW w:w="1856" w:type="dxa"/>
            <w:tcBorders>
              <w:top w:val="single" w:sz="18" w:space="0" w:color="auto"/>
              <w:left w:val="single" w:sz="18" w:space="0" w:color="auto"/>
              <w:bottom w:val="single" w:sz="18" w:space="0" w:color="auto"/>
              <w:right w:val="single" w:sz="8" w:space="0" w:color="auto"/>
            </w:tcBorders>
            <w:shd w:val="clear" w:color="auto" w:fill="C2D69B" w:themeFill="accent3" w:themeFillTint="99"/>
            <w:vAlign w:val="center"/>
            <w:hideMark/>
          </w:tcPr>
          <w:p w:rsidR="001D24D9" w:rsidRPr="00601D12" w:rsidRDefault="001D24D9" w:rsidP="00601D12">
            <w:pPr>
              <w:spacing w:after="0" w:line="240" w:lineRule="auto"/>
              <w:jc w:val="center"/>
              <w:rPr>
                <w:rFonts w:ascii="Calibri" w:hAnsi="Calibri" w:cs="Calibri"/>
                <w:b/>
                <w:bCs/>
                <w:sz w:val="24"/>
                <w:szCs w:val="24"/>
              </w:rPr>
            </w:pPr>
            <w:r w:rsidRPr="00601D12">
              <w:rPr>
                <w:rFonts w:ascii="Calibri" w:hAnsi="Calibri" w:cs="Calibri"/>
                <w:b/>
                <w:bCs/>
                <w:sz w:val="24"/>
                <w:szCs w:val="24"/>
              </w:rPr>
              <w:t>Code :</w:t>
            </w:r>
          </w:p>
        </w:tc>
        <w:tc>
          <w:tcPr>
            <w:tcW w:w="7938" w:type="dxa"/>
            <w:tcBorders>
              <w:top w:val="single" w:sz="18" w:space="0" w:color="auto"/>
              <w:bottom w:val="single" w:sz="18" w:space="0" w:color="auto"/>
              <w:right w:val="single" w:sz="18" w:space="0" w:color="auto"/>
            </w:tcBorders>
            <w:shd w:val="clear" w:color="auto" w:fill="C2D69B" w:themeFill="accent3" w:themeFillTint="99"/>
            <w:vAlign w:val="center"/>
            <w:hideMark/>
          </w:tcPr>
          <w:p w:rsidR="001D24D9" w:rsidRPr="00601D12" w:rsidRDefault="001D24D9" w:rsidP="00601D12">
            <w:pPr>
              <w:spacing w:after="0" w:line="240" w:lineRule="auto"/>
              <w:jc w:val="center"/>
              <w:rPr>
                <w:rFonts w:ascii="Times New Roman" w:hAnsi="Times New Roman" w:cs="Times New Roman"/>
                <w:b/>
                <w:bCs/>
                <w:sz w:val="24"/>
                <w:szCs w:val="24"/>
              </w:rPr>
            </w:pPr>
            <w:r w:rsidRPr="00601D12">
              <w:rPr>
                <w:b/>
                <w:bCs/>
                <w:sz w:val="24"/>
                <w:szCs w:val="24"/>
              </w:rPr>
              <w:t>NM EN 12101-1</w:t>
            </w:r>
          </w:p>
        </w:tc>
      </w:tr>
      <w:tr w:rsidR="001D24D9" w:rsidRPr="0043547B" w:rsidTr="00601D12">
        <w:trPr>
          <w:gridBefore w:val="1"/>
          <w:wBefore w:w="18" w:type="dxa"/>
          <w:trHeight w:val="315"/>
          <w:jc w:val="center"/>
        </w:trPr>
        <w:tc>
          <w:tcPr>
            <w:tcW w:w="1856" w:type="dxa"/>
            <w:tcBorders>
              <w:top w:val="single" w:sz="18" w:space="0" w:color="auto"/>
              <w:left w:val="single" w:sz="18" w:space="0" w:color="auto"/>
              <w:bottom w:val="single" w:sz="4" w:space="0" w:color="auto"/>
              <w:right w:val="single" w:sz="8" w:space="0" w:color="auto"/>
            </w:tcBorders>
            <w:shd w:val="clear" w:color="auto" w:fill="FFFFCC"/>
            <w:vAlign w:val="center"/>
            <w:hideMark/>
          </w:tcPr>
          <w:p w:rsidR="001D24D9" w:rsidRPr="00601D12" w:rsidRDefault="001D24D9" w:rsidP="00601D12">
            <w:pPr>
              <w:spacing w:after="0" w:line="240" w:lineRule="auto"/>
              <w:jc w:val="center"/>
              <w:rPr>
                <w:rFonts w:ascii="Calibri" w:hAnsi="Calibri" w:cs="Calibri"/>
                <w:b/>
                <w:bCs/>
                <w:sz w:val="24"/>
                <w:szCs w:val="24"/>
              </w:rPr>
            </w:pPr>
            <w:r w:rsidRPr="00601D12">
              <w:rPr>
                <w:rFonts w:ascii="Calibri" w:hAnsi="Calibri" w:cs="Calibri"/>
                <w:b/>
                <w:bCs/>
                <w:sz w:val="24"/>
                <w:szCs w:val="24"/>
              </w:rPr>
              <w:t>Equivalence :</w:t>
            </w:r>
          </w:p>
        </w:tc>
        <w:tc>
          <w:tcPr>
            <w:tcW w:w="7938" w:type="dxa"/>
            <w:tcBorders>
              <w:top w:val="single" w:sz="18" w:space="0" w:color="auto"/>
              <w:right w:val="single" w:sz="18" w:space="0" w:color="auto"/>
            </w:tcBorders>
            <w:shd w:val="clear" w:color="auto" w:fill="FFFFCC"/>
            <w:vAlign w:val="center"/>
            <w:hideMark/>
          </w:tcPr>
          <w:p w:rsidR="001D24D9" w:rsidRPr="00601D12" w:rsidRDefault="001D24D9" w:rsidP="00601D12">
            <w:pPr>
              <w:spacing w:after="0" w:line="240" w:lineRule="auto"/>
              <w:jc w:val="center"/>
              <w:rPr>
                <w:rFonts w:ascii="Times New Roman" w:hAnsi="Times New Roman" w:cs="Times New Roman"/>
                <w:b/>
                <w:bCs/>
                <w:sz w:val="24"/>
                <w:szCs w:val="24"/>
              </w:rPr>
            </w:pPr>
            <w:r w:rsidRPr="00601D12">
              <w:rPr>
                <w:b/>
                <w:bCs/>
                <w:sz w:val="24"/>
                <w:szCs w:val="24"/>
              </w:rPr>
              <w:t>EN 12101-1</w:t>
            </w:r>
          </w:p>
        </w:tc>
      </w:tr>
      <w:tr w:rsidR="001D24D9" w:rsidRPr="0043547B" w:rsidTr="00601D12">
        <w:trPr>
          <w:gridBefore w:val="1"/>
          <w:wBefore w:w="18" w:type="dxa"/>
          <w:trHeight w:val="330"/>
          <w:jc w:val="center"/>
        </w:trPr>
        <w:tc>
          <w:tcPr>
            <w:tcW w:w="1856" w:type="dxa"/>
            <w:tcBorders>
              <w:top w:val="nil"/>
              <w:left w:val="single" w:sz="18" w:space="0" w:color="auto"/>
              <w:bottom w:val="single" w:sz="4" w:space="0" w:color="auto"/>
              <w:right w:val="single" w:sz="8" w:space="0" w:color="auto"/>
            </w:tcBorders>
            <w:shd w:val="clear" w:color="000000" w:fill="8DB4E2"/>
            <w:vAlign w:val="center"/>
            <w:hideMark/>
          </w:tcPr>
          <w:p w:rsidR="001D24D9" w:rsidRPr="00601D12" w:rsidRDefault="001D24D9" w:rsidP="00601D12">
            <w:pPr>
              <w:spacing w:after="0" w:line="240" w:lineRule="auto"/>
              <w:jc w:val="center"/>
              <w:rPr>
                <w:rFonts w:ascii="Calibri" w:hAnsi="Calibri" w:cs="Calibri"/>
                <w:b/>
                <w:bCs/>
                <w:sz w:val="24"/>
                <w:szCs w:val="24"/>
              </w:rPr>
            </w:pPr>
            <w:r w:rsidRPr="00601D12">
              <w:rPr>
                <w:rFonts w:ascii="Calibri" w:hAnsi="Calibri" w:cs="Calibri"/>
                <w:b/>
                <w:bCs/>
                <w:sz w:val="24"/>
                <w:szCs w:val="24"/>
              </w:rPr>
              <w:t>Intitulé :</w:t>
            </w:r>
          </w:p>
        </w:tc>
        <w:tc>
          <w:tcPr>
            <w:tcW w:w="7938" w:type="dxa"/>
            <w:tcBorders>
              <w:right w:val="single" w:sz="18" w:space="0" w:color="auto"/>
            </w:tcBorders>
            <w:shd w:val="clear" w:color="auto" w:fill="auto"/>
            <w:vAlign w:val="bottom"/>
            <w:hideMark/>
          </w:tcPr>
          <w:p w:rsidR="001D24D9" w:rsidRPr="00601D12" w:rsidRDefault="001D24D9" w:rsidP="00601D12">
            <w:pPr>
              <w:spacing w:after="0" w:line="240" w:lineRule="auto"/>
              <w:jc w:val="both"/>
              <w:rPr>
                <w:rFonts w:ascii="Times New Roman" w:hAnsi="Times New Roman" w:cs="Times New Roman"/>
                <w:sz w:val="24"/>
                <w:szCs w:val="24"/>
              </w:rPr>
            </w:pPr>
            <w:r w:rsidRPr="00601D12">
              <w:rPr>
                <w:sz w:val="24"/>
                <w:szCs w:val="24"/>
              </w:rPr>
              <w:t xml:space="preserve">Systèmes pour le contrôle des fumées et de la chaleur - Partie 1 : Spécifications relatives aux écrans de cantonnement de fumée ; </w:t>
            </w:r>
          </w:p>
        </w:tc>
      </w:tr>
      <w:tr w:rsidR="001D24D9" w:rsidRPr="0043547B" w:rsidTr="00601D12">
        <w:trPr>
          <w:gridBefore w:val="1"/>
          <w:wBefore w:w="18" w:type="dxa"/>
          <w:trHeight w:val="2115"/>
          <w:jc w:val="center"/>
        </w:trPr>
        <w:tc>
          <w:tcPr>
            <w:tcW w:w="1856" w:type="dxa"/>
            <w:tcBorders>
              <w:top w:val="nil"/>
              <w:left w:val="single" w:sz="18" w:space="0" w:color="auto"/>
              <w:bottom w:val="single" w:sz="18" w:space="0" w:color="auto"/>
              <w:right w:val="single" w:sz="8" w:space="0" w:color="auto"/>
            </w:tcBorders>
            <w:shd w:val="clear" w:color="000000" w:fill="D9D9D9"/>
            <w:vAlign w:val="center"/>
            <w:hideMark/>
          </w:tcPr>
          <w:p w:rsidR="001D24D9" w:rsidRPr="00601D12" w:rsidRDefault="001D24D9" w:rsidP="00601D12">
            <w:pPr>
              <w:spacing w:after="0" w:line="240" w:lineRule="auto"/>
              <w:jc w:val="center"/>
              <w:rPr>
                <w:rFonts w:ascii="Calibri" w:hAnsi="Calibri" w:cs="Calibri"/>
                <w:b/>
                <w:bCs/>
                <w:sz w:val="24"/>
                <w:szCs w:val="24"/>
              </w:rPr>
            </w:pPr>
            <w:r w:rsidRPr="00601D12">
              <w:rPr>
                <w:rFonts w:ascii="Calibri" w:hAnsi="Calibri" w:cs="Calibri"/>
                <w:b/>
                <w:bCs/>
                <w:sz w:val="24"/>
                <w:szCs w:val="24"/>
              </w:rPr>
              <w:lastRenderedPageBreak/>
              <w:t>Domaine d’application :</w:t>
            </w:r>
          </w:p>
        </w:tc>
        <w:tc>
          <w:tcPr>
            <w:tcW w:w="7938" w:type="dxa"/>
            <w:tcBorders>
              <w:bottom w:val="single" w:sz="18" w:space="0" w:color="auto"/>
              <w:right w:val="single" w:sz="18" w:space="0" w:color="auto"/>
            </w:tcBorders>
            <w:shd w:val="clear" w:color="auto" w:fill="auto"/>
            <w:vAlign w:val="bottom"/>
            <w:hideMark/>
          </w:tcPr>
          <w:p w:rsidR="00601D12" w:rsidRDefault="001D24D9" w:rsidP="00601D12">
            <w:pPr>
              <w:spacing w:after="0" w:line="240" w:lineRule="auto"/>
              <w:jc w:val="both"/>
              <w:rPr>
                <w:sz w:val="24"/>
                <w:szCs w:val="24"/>
              </w:rPr>
            </w:pPr>
            <w:r w:rsidRPr="00601D12">
              <w:rPr>
                <w:sz w:val="24"/>
                <w:szCs w:val="24"/>
              </w:rPr>
              <w:t>La présente partie de l’EN 12101 prescrit les exigences de performances du produit, les classifications et les</w:t>
            </w:r>
            <w:r w:rsidR="00601D12">
              <w:rPr>
                <w:sz w:val="24"/>
                <w:szCs w:val="24"/>
              </w:rPr>
              <w:t xml:space="preserve"> </w:t>
            </w:r>
            <w:r w:rsidRPr="00601D12">
              <w:rPr>
                <w:sz w:val="24"/>
                <w:szCs w:val="24"/>
              </w:rPr>
              <w:t>méthodes d’essai relatives aux écrans de cantonnement de fumée, à savoir l’écran lui-même, avec ou sans les</w:t>
            </w:r>
            <w:r w:rsidRPr="00601D12">
              <w:rPr>
                <w:sz w:val="24"/>
                <w:szCs w:val="24"/>
              </w:rPr>
              <w:br/>
              <w:t>dispositifs associés de déclenchement et de commande, conçu pour être utilisé dans les systèmes d’évacuation</w:t>
            </w:r>
            <w:r w:rsidR="00601D12">
              <w:rPr>
                <w:sz w:val="24"/>
                <w:szCs w:val="24"/>
              </w:rPr>
              <w:t xml:space="preserve"> </w:t>
            </w:r>
            <w:r w:rsidRPr="00601D12">
              <w:rPr>
                <w:sz w:val="24"/>
                <w:szCs w:val="24"/>
              </w:rPr>
              <w:t>des fumées et de la chaleur. Elle concerne seulement les écrans de cantonnement de fumée installés dans des</w:t>
            </w:r>
            <w:r w:rsidRPr="00601D12">
              <w:rPr>
                <w:sz w:val="24"/>
                <w:szCs w:val="24"/>
              </w:rPr>
              <w:br/>
              <w:t xml:space="preserve">bâtiments, à l’exclusion des écrans constitués d’une partie de la structure du bâtiment. </w:t>
            </w:r>
          </w:p>
          <w:p w:rsidR="001D24D9" w:rsidRPr="00601D12" w:rsidRDefault="001D24D9" w:rsidP="00601D12">
            <w:pPr>
              <w:spacing w:after="0" w:line="240" w:lineRule="auto"/>
              <w:jc w:val="both"/>
              <w:rPr>
                <w:rFonts w:ascii="Times New Roman" w:hAnsi="Times New Roman" w:cs="Times New Roman"/>
                <w:sz w:val="24"/>
                <w:szCs w:val="24"/>
              </w:rPr>
            </w:pPr>
            <w:r w:rsidRPr="00601D12">
              <w:rPr>
                <w:sz w:val="24"/>
                <w:szCs w:val="24"/>
              </w:rPr>
              <w:t>La présente norme traite</w:t>
            </w:r>
            <w:r w:rsidR="00601D12">
              <w:rPr>
                <w:sz w:val="24"/>
                <w:szCs w:val="24"/>
              </w:rPr>
              <w:t xml:space="preserve"> </w:t>
            </w:r>
            <w:r w:rsidRPr="00601D12">
              <w:rPr>
                <w:sz w:val="24"/>
                <w:szCs w:val="24"/>
              </w:rPr>
              <w:t>des méthodes d’essai et de l’évaluation de la conformité des systèmes d’écrans de cantonnement de fumée.</w:t>
            </w:r>
          </w:p>
        </w:tc>
      </w:tr>
      <w:tr w:rsidR="0043547B" w:rsidRPr="0043547B" w:rsidTr="002E6B2B">
        <w:trPr>
          <w:gridBefore w:val="1"/>
          <w:wBefore w:w="18" w:type="dxa"/>
          <w:trHeight w:val="23"/>
          <w:jc w:val="center"/>
        </w:trPr>
        <w:tc>
          <w:tcPr>
            <w:tcW w:w="1856" w:type="dxa"/>
            <w:tcBorders>
              <w:top w:val="nil"/>
              <w:left w:val="single" w:sz="18" w:space="0" w:color="auto"/>
              <w:bottom w:val="single" w:sz="18" w:space="0" w:color="auto"/>
              <w:right w:val="single" w:sz="8" w:space="0" w:color="auto"/>
            </w:tcBorders>
            <w:shd w:val="clear" w:color="auto" w:fill="C2D69B" w:themeFill="accent3" w:themeFillTint="99"/>
            <w:vAlign w:val="center"/>
          </w:tcPr>
          <w:p w:rsidR="003058D4" w:rsidRPr="00B35BDA" w:rsidRDefault="003058D4" w:rsidP="002E6B2B">
            <w:pPr>
              <w:spacing w:after="0" w:line="240" w:lineRule="auto"/>
              <w:jc w:val="center"/>
              <w:rPr>
                <w:rFonts w:cstheme="minorHAnsi"/>
                <w:b/>
                <w:bCs/>
                <w:sz w:val="24"/>
                <w:szCs w:val="24"/>
              </w:rPr>
            </w:pPr>
            <w:r w:rsidRPr="00B35BDA">
              <w:rPr>
                <w:rFonts w:cstheme="minorHAnsi"/>
                <w:b/>
                <w:bCs/>
                <w:sz w:val="24"/>
                <w:szCs w:val="24"/>
              </w:rPr>
              <w:t>Code :</w:t>
            </w:r>
          </w:p>
        </w:tc>
        <w:tc>
          <w:tcPr>
            <w:tcW w:w="7938" w:type="dxa"/>
            <w:tcBorders>
              <w:bottom w:val="single" w:sz="18" w:space="0" w:color="auto"/>
              <w:right w:val="single" w:sz="18" w:space="0" w:color="auto"/>
            </w:tcBorders>
            <w:shd w:val="clear" w:color="auto" w:fill="C2D69B" w:themeFill="accent3" w:themeFillTint="99"/>
            <w:vAlign w:val="bottom"/>
          </w:tcPr>
          <w:p w:rsidR="003058D4" w:rsidRPr="00B35BDA" w:rsidRDefault="003058D4" w:rsidP="002E6B2B">
            <w:pPr>
              <w:spacing w:after="0" w:line="240" w:lineRule="auto"/>
              <w:jc w:val="center"/>
              <w:rPr>
                <w:rFonts w:cstheme="minorHAnsi"/>
                <w:b/>
                <w:bCs/>
                <w:sz w:val="24"/>
                <w:szCs w:val="24"/>
              </w:rPr>
            </w:pPr>
            <w:r w:rsidRPr="00B35BDA">
              <w:rPr>
                <w:rFonts w:cstheme="minorHAnsi"/>
                <w:b/>
                <w:bCs/>
                <w:sz w:val="24"/>
                <w:szCs w:val="24"/>
              </w:rPr>
              <w:t>NM EN 54-2</w:t>
            </w:r>
          </w:p>
        </w:tc>
      </w:tr>
      <w:tr w:rsidR="0043547B" w:rsidRPr="0043547B" w:rsidTr="002E6B2B">
        <w:trPr>
          <w:gridBefore w:val="1"/>
          <w:wBefore w:w="18" w:type="dxa"/>
          <w:trHeight w:val="23"/>
          <w:jc w:val="center"/>
        </w:trPr>
        <w:tc>
          <w:tcPr>
            <w:tcW w:w="1856" w:type="dxa"/>
            <w:tcBorders>
              <w:top w:val="single" w:sz="18" w:space="0" w:color="auto"/>
              <w:left w:val="single" w:sz="18" w:space="0" w:color="auto"/>
              <w:bottom w:val="single" w:sz="4" w:space="0" w:color="auto"/>
              <w:right w:val="single" w:sz="8" w:space="0" w:color="auto"/>
            </w:tcBorders>
            <w:shd w:val="clear" w:color="auto" w:fill="FDFBA9"/>
            <w:vAlign w:val="center"/>
          </w:tcPr>
          <w:p w:rsidR="003058D4" w:rsidRPr="00B35BDA" w:rsidRDefault="003058D4" w:rsidP="002E6B2B">
            <w:pPr>
              <w:spacing w:after="0" w:line="240" w:lineRule="auto"/>
              <w:jc w:val="center"/>
              <w:rPr>
                <w:rFonts w:cstheme="minorHAnsi"/>
                <w:b/>
                <w:bCs/>
                <w:sz w:val="24"/>
                <w:szCs w:val="24"/>
              </w:rPr>
            </w:pPr>
            <w:r w:rsidRPr="00B35BDA">
              <w:rPr>
                <w:rFonts w:cstheme="minorHAnsi"/>
                <w:b/>
                <w:bCs/>
                <w:sz w:val="24"/>
                <w:szCs w:val="24"/>
              </w:rPr>
              <w:t>Equivalence :</w:t>
            </w:r>
          </w:p>
        </w:tc>
        <w:tc>
          <w:tcPr>
            <w:tcW w:w="7938" w:type="dxa"/>
            <w:tcBorders>
              <w:top w:val="single" w:sz="18" w:space="0" w:color="auto"/>
              <w:bottom w:val="single" w:sz="4" w:space="0" w:color="auto"/>
              <w:right w:val="single" w:sz="18" w:space="0" w:color="auto"/>
            </w:tcBorders>
            <w:shd w:val="clear" w:color="auto" w:fill="FDFBA9"/>
            <w:vAlign w:val="bottom"/>
          </w:tcPr>
          <w:p w:rsidR="003058D4" w:rsidRPr="00B35BDA" w:rsidRDefault="00B35BDA" w:rsidP="002E6B2B">
            <w:pPr>
              <w:spacing w:after="0" w:line="240" w:lineRule="auto"/>
              <w:jc w:val="center"/>
              <w:rPr>
                <w:rFonts w:cstheme="minorHAnsi"/>
                <w:b/>
                <w:bCs/>
                <w:sz w:val="24"/>
                <w:szCs w:val="24"/>
              </w:rPr>
            </w:pPr>
            <w:r w:rsidRPr="00B35BDA">
              <w:rPr>
                <w:rFonts w:cstheme="minorHAnsi"/>
                <w:b/>
                <w:bCs/>
                <w:sz w:val="24"/>
                <w:szCs w:val="24"/>
              </w:rPr>
              <w:t>EN 54-2</w:t>
            </w:r>
          </w:p>
        </w:tc>
      </w:tr>
      <w:tr w:rsidR="0043547B" w:rsidRPr="0043547B" w:rsidTr="002E6B2B">
        <w:trPr>
          <w:gridBefore w:val="1"/>
          <w:wBefore w:w="18" w:type="dxa"/>
          <w:trHeight w:val="23"/>
          <w:jc w:val="center"/>
        </w:trPr>
        <w:tc>
          <w:tcPr>
            <w:tcW w:w="1856" w:type="dxa"/>
            <w:tcBorders>
              <w:top w:val="single" w:sz="4" w:space="0" w:color="auto"/>
              <w:left w:val="single" w:sz="18" w:space="0" w:color="auto"/>
              <w:bottom w:val="single" w:sz="4" w:space="0" w:color="auto"/>
              <w:right w:val="single" w:sz="8" w:space="0" w:color="auto"/>
            </w:tcBorders>
            <w:shd w:val="clear" w:color="auto" w:fill="95B3D7" w:themeFill="accent1" w:themeFillTint="99"/>
            <w:vAlign w:val="center"/>
          </w:tcPr>
          <w:p w:rsidR="003058D4" w:rsidRPr="0043547B" w:rsidRDefault="003058D4" w:rsidP="002E6B2B">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bottom w:val="single" w:sz="4" w:space="0" w:color="auto"/>
              <w:right w:val="single" w:sz="18" w:space="0" w:color="auto"/>
            </w:tcBorders>
            <w:shd w:val="clear" w:color="auto" w:fill="auto"/>
            <w:vAlign w:val="bottom"/>
          </w:tcPr>
          <w:p w:rsidR="003058D4" w:rsidRPr="0043547B" w:rsidRDefault="003058D4" w:rsidP="002E6B2B">
            <w:pPr>
              <w:spacing w:after="0" w:line="240" w:lineRule="auto"/>
              <w:rPr>
                <w:rFonts w:cstheme="minorHAnsi"/>
                <w:sz w:val="24"/>
                <w:szCs w:val="24"/>
              </w:rPr>
            </w:pPr>
            <w:r w:rsidRPr="0043547B">
              <w:rPr>
                <w:rFonts w:cstheme="minorHAnsi"/>
                <w:sz w:val="24"/>
                <w:szCs w:val="24"/>
              </w:rPr>
              <w:t xml:space="preserve">Systèmes de détection et d'alarme incendie - Partie 2: Équipement de contrôle et de signalisation ; </w:t>
            </w:r>
          </w:p>
        </w:tc>
      </w:tr>
      <w:tr w:rsidR="0043547B" w:rsidRPr="0043547B" w:rsidTr="002E6B2B">
        <w:trPr>
          <w:gridBefore w:val="1"/>
          <w:wBefore w:w="18" w:type="dxa"/>
          <w:trHeight w:val="23"/>
          <w:jc w:val="center"/>
        </w:trPr>
        <w:tc>
          <w:tcPr>
            <w:tcW w:w="1856" w:type="dxa"/>
            <w:tcBorders>
              <w:top w:val="single" w:sz="4" w:space="0" w:color="auto"/>
              <w:left w:val="single" w:sz="18" w:space="0" w:color="auto"/>
              <w:bottom w:val="single" w:sz="18" w:space="0" w:color="auto"/>
              <w:right w:val="single" w:sz="8" w:space="0" w:color="auto"/>
            </w:tcBorders>
            <w:shd w:val="clear" w:color="000000" w:fill="D9D9D9"/>
            <w:vAlign w:val="center"/>
          </w:tcPr>
          <w:p w:rsidR="003058D4" w:rsidRPr="0043547B" w:rsidRDefault="003058D4" w:rsidP="002E6B2B">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bottom w:val="single" w:sz="18" w:space="0" w:color="auto"/>
              <w:right w:val="single" w:sz="18" w:space="0" w:color="auto"/>
            </w:tcBorders>
            <w:shd w:val="clear" w:color="auto" w:fill="auto"/>
            <w:vAlign w:val="bottom"/>
          </w:tcPr>
          <w:p w:rsidR="003058D4" w:rsidRPr="0043547B" w:rsidRDefault="003058D4" w:rsidP="002E6B2B">
            <w:pPr>
              <w:spacing w:after="0" w:line="240" w:lineRule="auto"/>
              <w:jc w:val="both"/>
              <w:rPr>
                <w:rFonts w:cstheme="minorHAnsi"/>
                <w:sz w:val="24"/>
                <w:szCs w:val="24"/>
              </w:rPr>
            </w:pPr>
            <w:r w:rsidRPr="0043547B">
              <w:rPr>
                <w:rFonts w:cstheme="minorHAnsi"/>
                <w:sz w:val="24"/>
                <w:szCs w:val="24"/>
              </w:rPr>
              <w:t>Cette partie de la norme EN 54 prescrit les exigences, les méthodes d'essais et les critères de la performance des équipements de contrôle et de signalisation (voir dispositif B de la figure 1 de l'EN 54-1:1996) destinés à être utilisés dans les systèmes de détection et d'alarme incendie installés dans les bâtiments.</w:t>
            </w:r>
          </w:p>
        </w:tc>
      </w:tr>
      <w:tr w:rsidR="0043547B" w:rsidRPr="0043547B" w:rsidTr="002E6B2B">
        <w:trPr>
          <w:gridBefore w:val="1"/>
          <w:wBefore w:w="18" w:type="dxa"/>
          <w:trHeight w:val="23"/>
          <w:jc w:val="center"/>
        </w:trPr>
        <w:tc>
          <w:tcPr>
            <w:tcW w:w="1856" w:type="dxa"/>
            <w:tcBorders>
              <w:top w:val="nil"/>
              <w:left w:val="single" w:sz="18" w:space="0" w:color="auto"/>
              <w:bottom w:val="single" w:sz="18" w:space="0" w:color="auto"/>
              <w:right w:val="single" w:sz="8" w:space="0" w:color="auto"/>
            </w:tcBorders>
            <w:shd w:val="clear" w:color="auto" w:fill="C2D69B" w:themeFill="accent3" w:themeFillTint="99"/>
            <w:vAlign w:val="center"/>
          </w:tcPr>
          <w:p w:rsidR="003058D4" w:rsidRPr="00B35BDA" w:rsidRDefault="003058D4" w:rsidP="002E6B2B">
            <w:pPr>
              <w:spacing w:after="0" w:line="240" w:lineRule="auto"/>
              <w:jc w:val="center"/>
              <w:rPr>
                <w:rFonts w:cstheme="minorHAnsi"/>
                <w:b/>
                <w:bCs/>
                <w:sz w:val="24"/>
                <w:szCs w:val="24"/>
              </w:rPr>
            </w:pPr>
            <w:r w:rsidRPr="00B35BDA">
              <w:rPr>
                <w:rFonts w:cstheme="minorHAnsi"/>
                <w:b/>
                <w:bCs/>
                <w:sz w:val="24"/>
                <w:szCs w:val="24"/>
              </w:rPr>
              <w:t>Code :</w:t>
            </w:r>
          </w:p>
        </w:tc>
        <w:tc>
          <w:tcPr>
            <w:tcW w:w="7938" w:type="dxa"/>
            <w:tcBorders>
              <w:bottom w:val="single" w:sz="18" w:space="0" w:color="auto"/>
              <w:right w:val="single" w:sz="18" w:space="0" w:color="auto"/>
            </w:tcBorders>
            <w:shd w:val="clear" w:color="auto" w:fill="C2D69B" w:themeFill="accent3" w:themeFillTint="99"/>
            <w:vAlign w:val="bottom"/>
          </w:tcPr>
          <w:p w:rsidR="003058D4" w:rsidRPr="00B35BDA" w:rsidRDefault="003058D4" w:rsidP="002E6B2B">
            <w:pPr>
              <w:spacing w:after="0" w:line="240" w:lineRule="auto"/>
              <w:jc w:val="center"/>
              <w:rPr>
                <w:rFonts w:cstheme="minorHAnsi"/>
                <w:b/>
                <w:bCs/>
                <w:sz w:val="24"/>
                <w:szCs w:val="24"/>
              </w:rPr>
            </w:pPr>
            <w:r w:rsidRPr="00B35BDA">
              <w:rPr>
                <w:rFonts w:cstheme="minorHAnsi"/>
                <w:b/>
                <w:bCs/>
                <w:sz w:val="24"/>
                <w:szCs w:val="24"/>
              </w:rPr>
              <w:t>NM EN 54-3</w:t>
            </w:r>
          </w:p>
        </w:tc>
      </w:tr>
      <w:tr w:rsidR="0043547B" w:rsidRPr="0043547B" w:rsidTr="002E6B2B">
        <w:trPr>
          <w:gridBefore w:val="1"/>
          <w:wBefore w:w="18" w:type="dxa"/>
          <w:trHeight w:val="23"/>
          <w:jc w:val="center"/>
        </w:trPr>
        <w:tc>
          <w:tcPr>
            <w:tcW w:w="1856" w:type="dxa"/>
            <w:tcBorders>
              <w:top w:val="single" w:sz="18" w:space="0" w:color="auto"/>
              <w:left w:val="single" w:sz="18" w:space="0" w:color="auto"/>
              <w:bottom w:val="single" w:sz="4" w:space="0" w:color="auto"/>
              <w:right w:val="single" w:sz="8" w:space="0" w:color="auto"/>
            </w:tcBorders>
            <w:shd w:val="clear" w:color="auto" w:fill="FDFBA9"/>
            <w:vAlign w:val="center"/>
          </w:tcPr>
          <w:p w:rsidR="003058D4" w:rsidRPr="00B35BDA" w:rsidRDefault="003058D4" w:rsidP="002E6B2B">
            <w:pPr>
              <w:spacing w:after="0" w:line="240" w:lineRule="auto"/>
              <w:jc w:val="center"/>
              <w:rPr>
                <w:rFonts w:cstheme="minorHAnsi"/>
                <w:b/>
                <w:bCs/>
                <w:sz w:val="24"/>
                <w:szCs w:val="24"/>
              </w:rPr>
            </w:pPr>
            <w:r w:rsidRPr="00B35BDA">
              <w:rPr>
                <w:rFonts w:cstheme="minorHAnsi"/>
                <w:b/>
                <w:bCs/>
                <w:sz w:val="24"/>
                <w:szCs w:val="24"/>
              </w:rPr>
              <w:t>Equivalence :</w:t>
            </w:r>
          </w:p>
        </w:tc>
        <w:tc>
          <w:tcPr>
            <w:tcW w:w="7938" w:type="dxa"/>
            <w:tcBorders>
              <w:top w:val="single" w:sz="18" w:space="0" w:color="auto"/>
              <w:bottom w:val="single" w:sz="4" w:space="0" w:color="auto"/>
              <w:right w:val="single" w:sz="18" w:space="0" w:color="auto"/>
            </w:tcBorders>
            <w:shd w:val="clear" w:color="auto" w:fill="FDFBA9"/>
            <w:vAlign w:val="bottom"/>
          </w:tcPr>
          <w:p w:rsidR="003058D4" w:rsidRPr="00B35BDA" w:rsidRDefault="00B35BDA" w:rsidP="002E6B2B">
            <w:pPr>
              <w:spacing w:after="0" w:line="240" w:lineRule="auto"/>
              <w:jc w:val="center"/>
              <w:rPr>
                <w:rFonts w:cstheme="minorHAnsi"/>
                <w:b/>
                <w:bCs/>
                <w:sz w:val="24"/>
                <w:szCs w:val="24"/>
              </w:rPr>
            </w:pPr>
            <w:r w:rsidRPr="00B35BDA">
              <w:rPr>
                <w:rFonts w:cstheme="minorHAnsi"/>
                <w:b/>
                <w:bCs/>
                <w:sz w:val="24"/>
                <w:szCs w:val="24"/>
              </w:rPr>
              <w:t>EN 54-3</w:t>
            </w:r>
          </w:p>
        </w:tc>
      </w:tr>
      <w:tr w:rsidR="0043547B" w:rsidRPr="0043547B" w:rsidTr="002E6B2B">
        <w:trPr>
          <w:gridBefore w:val="1"/>
          <w:wBefore w:w="18" w:type="dxa"/>
          <w:trHeight w:val="23"/>
          <w:jc w:val="center"/>
        </w:trPr>
        <w:tc>
          <w:tcPr>
            <w:tcW w:w="1856" w:type="dxa"/>
            <w:tcBorders>
              <w:top w:val="single" w:sz="4" w:space="0" w:color="auto"/>
              <w:left w:val="single" w:sz="18" w:space="0" w:color="auto"/>
              <w:bottom w:val="single" w:sz="4" w:space="0" w:color="auto"/>
              <w:right w:val="single" w:sz="8" w:space="0" w:color="auto"/>
            </w:tcBorders>
            <w:shd w:val="clear" w:color="auto" w:fill="95B3D7" w:themeFill="accent1" w:themeFillTint="99"/>
            <w:vAlign w:val="center"/>
          </w:tcPr>
          <w:p w:rsidR="003058D4" w:rsidRPr="0043547B" w:rsidRDefault="003058D4" w:rsidP="002E6B2B">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bottom w:val="single" w:sz="4" w:space="0" w:color="auto"/>
              <w:right w:val="single" w:sz="18" w:space="0" w:color="auto"/>
            </w:tcBorders>
            <w:shd w:val="clear" w:color="auto" w:fill="auto"/>
            <w:vAlign w:val="bottom"/>
          </w:tcPr>
          <w:p w:rsidR="003058D4" w:rsidRPr="0043547B" w:rsidRDefault="003058D4" w:rsidP="002E6B2B">
            <w:pPr>
              <w:spacing w:after="0" w:line="240" w:lineRule="auto"/>
              <w:rPr>
                <w:rFonts w:cstheme="minorHAnsi"/>
                <w:sz w:val="24"/>
                <w:szCs w:val="24"/>
              </w:rPr>
            </w:pPr>
            <w:r w:rsidRPr="0043547B">
              <w:rPr>
                <w:rFonts w:cstheme="minorHAnsi"/>
                <w:sz w:val="24"/>
                <w:szCs w:val="24"/>
              </w:rPr>
              <w:t xml:space="preserve">Systèmes de détection et d'alarme incendie - Partie 3: Dispositifs sonores d'alarme feu ; </w:t>
            </w:r>
          </w:p>
        </w:tc>
      </w:tr>
      <w:tr w:rsidR="0043547B" w:rsidRPr="0043547B" w:rsidTr="002E6B2B">
        <w:trPr>
          <w:gridBefore w:val="1"/>
          <w:wBefore w:w="18" w:type="dxa"/>
          <w:trHeight w:val="985"/>
          <w:jc w:val="center"/>
        </w:trPr>
        <w:tc>
          <w:tcPr>
            <w:tcW w:w="1856" w:type="dxa"/>
            <w:tcBorders>
              <w:top w:val="single" w:sz="4" w:space="0" w:color="auto"/>
              <w:left w:val="single" w:sz="18" w:space="0" w:color="auto"/>
              <w:bottom w:val="single" w:sz="18" w:space="0" w:color="auto"/>
              <w:right w:val="single" w:sz="8" w:space="0" w:color="auto"/>
            </w:tcBorders>
            <w:shd w:val="clear" w:color="000000" w:fill="D9D9D9"/>
            <w:vAlign w:val="center"/>
          </w:tcPr>
          <w:p w:rsidR="003058D4" w:rsidRPr="0043547B" w:rsidRDefault="003058D4" w:rsidP="002E6B2B">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bottom w:val="single" w:sz="18" w:space="0" w:color="auto"/>
              <w:right w:val="single" w:sz="18" w:space="0" w:color="auto"/>
            </w:tcBorders>
            <w:shd w:val="clear" w:color="auto" w:fill="auto"/>
            <w:vAlign w:val="bottom"/>
          </w:tcPr>
          <w:p w:rsidR="002E6B2B" w:rsidRPr="0043547B" w:rsidRDefault="003058D4" w:rsidP="002E6B2B">
            <w:pPr>
              <w:spacing w:after="0" w:line="240" w:lineRule="auto"/>
              <w:jc w:val="both"/>
              <w:rPr>
                <w:rFonts w:cstheme="minorHAnsi"/>
                <w:sz w:val="24"/>
                <w:szCs w:val="24"/>
              </w:rPr>
            </w:pPr>
            <w:r w:rsidRPr="0043547B">
              <w:rPr>
                <w:rFonts w:cstheme="minorHAnsi"/>
                <w:sz w:val="24"/>
                <w:szCs w:val="24"/>
              </w:rPr>
              <w:t xml:space="preserve">La présente Norme européenne spécifie les exigences, les méthodes d'essai et les critères de performance pour les dispositifs sonores d'alarme feu, y compris </w:t>
            </w:r>
          </w:p>
          <w:p w:rsidR="002E6B2B" w:rsidRDefault="002E6B2B" w:rsidP="002E6B2B">
            <w:pPr>
              <w:spacing w:after="0" w:line="240" w:lineRule="auto"/>
              <w:jc w:val="both"/>
              <w:rPr>
                <w:rFonts w:cstheme="minorHAnsi"/>
                <w:sz w:val="24"/>
                <w:szCs w:val="24"/>
              </w:rPr>
            </w:pPr>
            <w:r w:rsidRPr="0043547B">
              <w:rPr>
                <w:rFonts w:cstheme="minorHAnsi"/>
                <w:sz w:val="24"/>
                <w:szCs w:val="24"/>
              </w:rPr>
              <w:t>les alarmes vocales, d’une installation fixe, prévue pour diffuser un signal sonore d'alarme incendie depuis le système de détection et d'alarme incendie vers les occupants d'un bâtiment (voir l'EN 54-1:2011).</w:t>
            </w:r>
          </w:p>
          <w:p w:rsidR="002E6B2B" w:rsidRDefault="002E6B2B" w:rsidP="002E6B2B">
            <w:pPr>
              <w:spacing w:after="0" w:line="240" w:lineRule="auto"/>
              <w:jc w:val="both"/>
              <w:rPr>
                <w:rFonts w:cstheme="minorHAnsi"/>
                <w:sz w:val="24"/>
                <w:szCs w:val="24"/>
              </w:rPr>
            </w:pPr>
            <w:r w:rsidRPr="0043547B">
              <w:rPr>
                <w:rFonts w:cstheme="minorHAnsi"/>
                <w:sz w:val="24"/>
                <w:szCs w:val="24"/>
              </w:rPr>
              <w:t>La présente Norme européenne prévoit l'évaluation et la vérification de la constance des performances (EVCP) des dispositifs sonores d'alarme feu par rapport à la présente EN.</w:t>
            </w:r>
          </w:p>
          <w:p w:rsidR="002E6B2B" w:rsidRDefault="002E6B2B" w:rsidP="002E6B2B">
            <w:pPr>
              <w:spacing w:after="0" w:line="240" w:lineRule="auto"/>
              <w:jc w:val="both"/>
              <w:rPr>
                <w:rFonts w:cstheme="minorHAnsi"/>
                <w:sz w:val="24"/>
                <w:szCs w:val="24"/>
              </w:rPr>
            </w:pPr>
            <w:r w:rsidRPr="0043547B">
              <w:rPr>
                <w:rFonts w:cstheme="minorHAnsi"/>
                <w:sz w:val="24"/>
                <w:szCs w:val="24"/>
              </w:rPr>
              <w:t>La présente Norme européenne n'est pas prévue pour traiter :</w:t>
            </w:r>
          </w:p>
          <w:p w:rsidR="003058D4" w:rsidRPr="0043547B" w:rsidRDefault="002E6B2B" w:rsidP="002E6B2B">
            <w:pPr>
              <w:spacing w:after="0" w:line="240" w:lineRule="auto"/>
              <w:jc w:val="both"/>
              <w:rPr>
                <w:rFonts w:cstheme="minorHAnsi"/>
                <w:sz w:val="24"/>
                <w:szCs w:val="24"/>
              </w:rPr>
            </w:pPr>
            <w:r w:rsidRPr="0043547B">
              <w:rPr>
                <w:rFonts w:cstheme="minorHAnsi"/>
                <w:sz w:val="24"/>
                <w:szCs w:val="24"/>
              </w:rPr>
              <w:t>a) des dispositifs du type à haut-parleurs, dont la fonction première est de diffuser des messages d'urgence générés par une source audio externe ;</w:t>
            </w:r>
            <w:r w:rsidRPr="0043547B">
              <w:rPr>
                <w:rFonts w:cstheme="minorHAnsi"/>
                <w:sz w:val="24"/>
                <w:szCs w:val="24"/>
              </w:rPr>
              <w:br/>
              <w:t>b) des bruiteurs installés, par exemple, dans les équipements de contrôle et de signalisation.</w:t>
            </w:r>
          </w:p>
        </w:tc>
      </w:tr>
      <w:tr w:rsidR="0043547B" w:rsidRPr="0043547B" w:rsidTr="002E6B2B">
        <w:trPr>
          <w:gridBefore w:val="1"/>
          <w:wBefore w:w="18" w:type="dxa"/>
          <w:trHeight w:val="130"/>
          <w:jc w:val="center"/>
        </w:trPr>
        <w:tc>
          <w:tcPr>
            <w:tcW w:w="1856" w:type="dxa"/>
            <w:tcBorders>
              <w:top w:val="nil"/>
              <w:left w:val="single" w:sz="18" w:space="0" w:color="auto"/>
              <w:bottom w:val="single" w:sz="18" w:space="0" w:color="auto"/>
              <w:right w:val="single" w:sz="8" w:space="0" w:color="auto"/>
            </w:tcBorders>
            <w:shd w:val="clear" w:color="auto" w:fill="C2D69B" w:themeFill="accent3" w:themeFillTint="99"/>
            <w:vAlign w:val="center"/>
          </w:tcPr>
          <w:p w:rsidR="003058D4" w:rsidRPr="00B35BDA" w:rsidRDefault="003058D4" w:rsidP="002E6B2B">
            <w:pPr>
              <w:spacing w:after="0" w:line="240" w:lineRule="auto"/>
              <w:jc w:val="center"/>
              <w:rPr>
                <w:rFonts w:cstheme="minorHAnsi"/>
                <w:b/>
                <w:bCs/>
                <w:sz w:val="24"/>
                <w:szCs w:val="24"/>
              </w:rPr>
            </w:pPr>
            <w:r w:rsidRPr="00B35BDA">
              <w:rPr>
                <w:rFonts w:cstheme="minorHAnsi"/>
                <w:b/>
                <w:bCs/>
                <w:sz w:val="24"/>
                <w:szCs w:val="24"/>
              </w:rPr>
              <w:t>Code :</w:t>
            </w:r>
          </w:p>
        </w:tc>
        <w:tc>
          <w:tcPr>
            <w:tcW w:w="7938" w:type="dxa"/>
            <w:tcBorders>
              <w:bottom w:val="single" w:sz="18" w:space="0" w:color="auto"/>
              <w:right w:val="single" w:sz="18" w:space="0" w:color="auto"/>
            </w:tcBorders>
            <w:shd w:val="clear" w:color="auto" w:fill="C2D69B" w:themeFill="accent3" w:themeFillTint="99"/>
            <w:vAlign w:val="bottom"/>
          </w:tcPr>
          <w:p w:rsidR="003058D4" w:rsidRPr="00B35BDA" w:rsidRDefault="003058D4" w:rsidP="002E6B2B">
            <w:pPr>
              <w:spacing w:after="0" w:line="240" w:lineRule="auto"/>
              <w:jc w:val="center"/>
              <w:rPr>
                <w:rFonts w:cstheme="minorHAnsi"/>
                <w:b/>
                <w:bCs/>
                <w:sz w:val="24"/>
                <w:szCs w:val="24"/>
              </w:rPr>
            </w:pPr>
            <w:r w:rsidRPr="00B35BDA">
              <w:rPr>
                <w:rFonts w:cstheme="minorHAnsi"/>
                <w:b/>
                <w:bCs/>
                <w:sz w:val="24"/>
                <w:szCs w:val="24"/>
              </w:rPr>
              <w:t>NM EN 54-4</w:t>
            </w:r>
          </w:p>
        </w:tc>
      </w:tr>
      <w:tr w:rsidR="0043547B" w:rsidRPr="0043547B" w:rsidTr="002E6B2B">
        <w:trPr>
          <w:gridBefore w:val="1"/>
          <w:wBefore w:w="18" w:type="dxa"/>
          <w:trHeight w:val="23"/>
          <w:jc w:val="center"/>
        </w:trPr>
        <w:tc>
          <w:tcPr>
            <w:tcW w:w="1856" w:type="dxa"/>
            <w:tcBorders>
              <w:top w:val="single" w:sz="18" w:space="0" w:color="auto"/>
              <w:left w:val="single" w:sz="18" w:space="0" w:color="auto"/>
              <w:bottom w:val="single" w:sz="4" w:space="0" w:color="auto"/>
              <w:right w:val="single" w:sz="8" w:space="0" w:color="auto"/>
            </w:tcBorders>
            <w:shd w:val="clear" w:color="auto" w:fill="FDFBA9"/>
            <w:vAlign w:val="center"/>
          </w:tcPr>
          <w:p w:rsidR="003058D4" w:rsidRPr="00B35BDA" w:rsidRDefault="003058D4" w:rsidP="002E6B2B">
            <w:pPr>
              <w:spacing w:after="0" w:line="240" w:lineRule="auto"/>
              <w:jc w:val="center"/>
              <w:rPr>
                <w:rFonts w:cstheme="minorHAnsi"/>
                <w:b/>
                <w:bCs/>
                <w:sz w:val="24"/>
                <w:szCs w:val="24"/>
              </w:rPr>
            </w:pPr>
            <w:r w:rsidRPr="00B35BDA">
              <w:rPr>
                <w:rFonts w:cstheme="minorHAnsi"/>
                <w:b/>
                <w:bCs/>
                <w:sz w:val="24"/>
                <w:szCs w:val="24"/>
              </w:rPr>
              <w:t>Equivalence :</w:t>
            </w:r>
          </w:p>
        </w:tc>
        <w:tc>
          <w:tcPr>
            <w:tcW w:w="7938" w:type="dxa"/>
            <w:tcBorders>
              <w:top w:val="single" w:sz="18" w:space="0" w:color="auto"/>
              <w:bottom w:val="single" w:sz="4" w:space="0" w:color="auto"/>
              <w:right w:val="single" w:sz="18" w:space="0" w:color="auto"/>
            </w:tcBorders>
            <w:shd w:val="clear" w:color="auto" w:fill="FDFBA9"/>
            <w:vAlign w:val="bottom"/>
          </w:tcPr>
          <w:p w:rsidR="003058D4" w:rsidRPr="00B35BDA" w:rsidRDefault="00B35BDA" w:rsidP="002E6B2B">
            <w:pPr>
              <w:spacing w:after="0" w:line="240" w:lineRule="auto"/>
              <w:jc w:val="center"/>
              <w:rPr>
                <w:rFonts w:cstheme="minorHAnsi"/>
                <w:b/>
                <w:bCs/>
                <w:sz w:val="24"/>
                <w:szCs w:val="24"/>
              </w:rPr>
            </w:pPr>
            <w:r w:rsidRPr="00B35BDA">
              <w:rPr>
                <w:rFonts w:cstheme="minorHAnsi"/>
                <w:b/>
                <w:bCs/>
                <w:sz w:val="24"/>
                <w:szCs w:val="24"/>
              </w:rPr>
              <w:t>EN 54-4</w:t>
            </w:r>
          </w:p>
        </w:tc>
      </w:tr>
      <w:tr w:rsidR="0043547B" w:rsidRPr="0043547B" w:rsidTr="002E6B2B">
        <w:trPr>
          <w:gridBefore w:val="1"/>
          <w:wBefore w:w="18" w:type="dxa"/>
          <w:trHeight w:val="23"/>
          <w:jc w:val="center"/>
        </w:trPr>
        <w:tc>
          <w:tcPr>
            <w:tcW w:w="1856" w:type="dxa"/>
            <w:tcBorders>
              <w:top w:val="single" w:sz="4" w:space="0" w:color="auto"/>
              <w:left w:val="single" w:sz="18" w:space="0" w:color="auto"/>
              <w:bottom w:val="single" w:sz="4" w:space="0" w:color="auto"/>
              <w:right w:val="single" w:sz="8" w:space="0" w:color="auto"/>
            </w:tcBorders>
            <w:shd w:val="clear" w:color="auto" w:fill="95B3D7" w:themeFill="accent1" w:themeFillTint="99"/>
            <w:vAlign w:val="center"/>
          </w:tcPr>
          <w:p w:rsidR="003058D4" w:rsidRPr="0043547B" w:rsidRDefault="003058D4" w:rsidP="002E6B2B">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bottom w:val="single" w:sz="4" w:space="0" w:color="auto"/>
              <w:right w:val="single" w:sz="18" w:space="0" w:color="auto"/>
            </w:tcBorders>
            <w:shd w:val="clear" w:color="auto" w:fill="auto"/>
            <w:vAlign w:val="bottom"/>
          </w:tcPr>
          <w:p w:rsidR="003058D4" w:rsidRPr="0043547B" w:rsidRDefault="003058D4" w:rsidP="002E6B2B">
            <w:pPr>
              <w:spacing w:after="0" w:line="240" w:lineRule="auto"/>
              <w:jc w:val="both"/>
              <w:rPr>
                <w:rFonts w:cstheme="minorHAnsi"/>
                <w:sz w:val="24"/>
                <w:szCs w:val="24"/>
              </w:rPr>
            </w:pPr>
            <w:r w:rsidRPr="0043547B">
              <w:rPr>
                <w:rFonts w:cstheme="minorHAnsi"/>
                <w:sz w:val="24"/>
                <w:szCs w:val="24"/>
              </w:rPr>
              <w:t xml:space="preserve">Systèmes de détection et d'alarme incendie - Partie 4: Équipement d'alimentation électrique ; </w:t>
            </w:r>
          </w:p>
        </w:tc>
      </w:tr>
      <w:tr w:rsidR="0043547B" w:rsidRPr="0043547B" w:rsidTr="002E6B2B">
        <w:trPr>
          <w:gridBefore w:val="1"/>
          <w:wBefore w:w="18" w:type="dxa"/>
          <w:trHeight w:val="2115"/>
          <w:jc w:val="center"/>
        </w:trPr>
        <w:tc>
          <w:tcPr>
            <w:tcW w:w="1856" w:type="dxa"/>
            <w:tcBorders>
              <w:top w:val="single" w:sz="4" w:space="0" w:color="auto"/>
              <w:left w:val="single" w:sz="18" w:space="0" w:color="auto"/>
              <w:bottom w:val="single" w:sz="18" w:space="0" w:color="auto"/>
              <w:right w:val="single" w:sz="8" w:space="0" w:color="auto"/>
            </w:tcBorders>
            <w:shd w:val="clear" w:color="000000" w:fill="D9D9D9"/>
            <w:vAlign w:val="center"/>
          </w:tcPr>
          <w:p w:rsidR="003058D4" w:rsidRPr="0043547B" w:rsidRDefault="003058D4" w:rsidP="002E6B2B">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bottom w:val="single" w:sz="18" w:space="0" w:color="auto"/>
              <w:right w:val="single" w:sz="18" w:space="0" w:color="auto"/>
            </w:tcBorders>
            <w:shd w:val="clear" w:color="auto" w:fill="auto"/>
            <w:vAlign w:val="bottom"/>
          </w:tcPr>
          <w:p w:rsidR="003058D4" w:rsidRPr="0043547B" w:rsidRDefault="003058D4" w:rsidP="002E6B2B">
            <w:pPr>
              <w:spacing w:after="0" w:line="240" w:lineRule="auto"/>
              <w:jc w:val="both"/>
              <w:rPr>
                <w:rFonts w:cstheme="minorHAnsi"/>
                <w:sz w:val="24"/>
                <w:szCs w:val="24"/>
              </w:rPr>
            </w:pPr>
            <w:r w:rsidRPr="0043547B">
              <w:rPr>
                <w:rFonts w:cstheme="minorHAnsi"/>
                <w:sz w:val="24"/>
                <w:szCs w:val="24"/>
              </w:rPr>
              <w:t xml:space="preserve">La présente Norme européenne spécifie les exigences, les méthodes d’essai et les critères de </w:t>
            </w:r>
            <w:r w:rsidR="002E6B2B" w:rsidRPr="0043547B">
              <w:rPr>
                <w:rFonts w:cstheme="minorHAnsi"/>
                <w:sz w:val="24"/>
                <w:szCs w:val="24"/>
              </w:rPr>
              <w:t>performance relative</w:t>
            </w:r>
            <w:r w:rsidRPr="0043547B">
              <w:rPr>
                <w:rFonts w:cstheme="minorHAnsi"/>
                <w:sz w:val="24"/>
                <w:szCs w:val="24"/>
              </w:rPr>
              <w:t xml:space="preserve"> aux équipements d’alimentation électrique des systèmes de détection et d’alarme incendie installés dans des bâtiments. Cela inclut le composant L de la Figure 1 de l’EN 54-1:1996 et l’équipement d’alimentation électrique qui alimente en direct les composants autres que l’équipement de contrôle et de signalisation, sauf spécification contraire dans les autres parties de l’EN 54».</w:t>
            </w:r>
          </w:p>
        </w:tc>
      </w:tr>
      <w:tr w:rsidR="0043547B" w:rsidRPr="0043547B" w:rsidTr="002E6B2B">
        <w:trPr>
          <w:gridBefore w:val="1"/>
          <w:wBefore w:w="18" w:type="dxa"/>
          <w:trHeight w:val="23"/>
          <w:jc w:val="center"/>
        </w:trPr>
        <w:tc>
          <w:tcPr>
            <w:tcW w:w="1856" w:type="dxa"/>
            <w:tcBorders>
              <w:top w:val="nil"/>
              <w:left w:val="single" w:sz="18" w:space="0" w:color="auto"/>
              <w:bottom w:val="single" w:sz="18" w:space="0" w:color="auto"/>
              <w:right w:val="single" w:sz="8" w:space="0" w:color="auto"/>
            </w:tcBorders>
            <w:shd w:val="clear" w:color="auto" w:fill="C2D69B" w:themeFill="accent3" w:themeFillTint="99"/>
            <w:vAlign w:val="center"/>
          </w:tcPr>
          <w:p w:rsidR="003058D4" w:rsidRPr="00B35BDA" w:rsidRDefault="003058D4" w:rsidP="002E6B2B">
            <w:pPr>
              <w:spacing w:after="0" w:line="240" w:lineRule="auto"/>
              <w:jc w:val="center"/>
              <w:rPr>
                <w:rFonts w:cstheme="minorHAnsi"/>
                <w:b/>
                <w:bCs/>
                <w:sz w:val="24"/>
                <w:szCs w:val="24"/>
              </w:rPr>
            </w:pPr>
            <w:r w:rsidRPr="00B35BDA">
              <w:rPr>
                <w:rFonts w:cstheme="minorHAnsi"/>
                <w:b/>
                <w:bCs/>
                <w:sz w:val="24"/>
                <w:szCs w:val="24"/>
              </w:rPr>
              <w:t>Code :</w:t>
            </w:r>
          </w:p>
        </w:tc>
        <w:tc>
          <w:tcPr>
            <w:tcW w:w="7938" w:type="dxa"/>
            <w:tcBorders>
              <w:bottom w:val="single" w:sz="18" w:space="0" w:color="auto"/>
              <w:right w:val="single" w:sz="18" w:space="0" w:color="auto"/>
            </w:tcBorders>
            <w:shd w:val="clear" w:color="auto" w:fill="C2D69B" w:themeFill="accent3" w:themeFillTint="99"/>
            <w:vAlign w:val="bottom"/>
          </w:tcPr>
          <w:p w:rsidR="003058D4" w:rsidRPr="00B35BDA" w:rsidRDefault="003058D4" w:rsidP="002E6B2B">
            <w:pPr>
              <w:spacing w:after="0" w:line="240" w:lineRule="auto"/>
              <w:jc w:val="center"/>
              <w:rPr>
                <w:rFonts w:cstheme="minorHAnsi"/>
                <w:b/>
                <w:bCs/>
                <w:sz w:val="24"/>
                <w:szCs w:val="24"/>
              </w:rPr>
            </w:pPr>
            <w:r w:rsidRPr="00B35BDA">
              <w:rPr>
                <w:rFonts w:cstheme="minorHAnsi"/>
                <w:b/>
                <w:bCs/>
                <w:sz w:val="24"/>
                <w:szCs w:val="24"/>
              </w:rPr>
              <w:t>NM EN 54-5</w:t>
            </w:r>
          </w:p>
        </w:tc>
      </w:tr>
      <w:tr w:rsidR="0043547B" w:rsidRPr="0043547B" w:rsidTr="002E6B2B">
        <w:trPr>
          <w:gridBefore w:val="1"/>
          <w:wBefore w:w="18" w:type="dxa"/>
          <w:trHeight w:val="23"/>
          <w:jc w:val="center"/>
        </w:trPr>
        <w:tc>
          <w:tcPr>
            <w:tcW w:w="1856" w:type="dxa"/>
            <w:tcBorders>
              <w:top w:val="single" w:sz="18" w:space="0" w:color="auto"/>
              <w:left w:val="single" w:sz="18" w:space="0" w:color="auto"/>
              <w:bottom w:val="single" w:sz="4" w:space="0" w:color="auto"/>
              <w:right w:val="single" w:sz="8" w:space="0" w:color="auto"/>
            </w:tcBorders>
            <w:shd w:val="clear" w:color="auto" w:fill="FDFBA9"/>
            <w:vAlign w:val="center"/>
          </w:tcPr>
          <w:p w:rsidR="003058D4" w:rsidRPr="00B35BDA" w:rsidRDefault="003058D4" w:rsidP="002E6B2B">
            <w:pPr>
              <w:spacing w:after="0" w:line="240" w:lineRule="auto"/>
              <w:jc w:val="center"/>
              <w:rPr>
                <w:rFonts w:cstheme="minorHAnsi"/>
                <w:b/>
                <w:bCs/>
                <w:sz w:val="24"/>
                <w:szCs w:val="24"/>
              </w:rPr>
            </w:pPr>
            <w:r w:rsidRPr="00B35BDA">
              <w:rPr>
                <w:rFonts w:cstheme="minorHAnsi"/>
                <w:b/>
                <w:bCs/>
                <w:sz w:val="24"/>
                <w:szCs w:val="24"/>
              </w:rPr>
              <w:t>Equivalence :</w:t>
            </w:r>
          </w:p>
        </w:tc>
        <w:tc>
          <w:tcPr>
            <w:tcW w:w="7938" w:type="dxa"/>
            <w:tcBorders>
              <w:top w:val="single" w:sz="18" w:space="0" w:color="auto"/>
              <w:bottom w:val="single" w:sz="4" w:space="0" w:color="auto"/>
              <w:right w:val="single" w:sz="18" w:space="0" w:color="auto"/>
            </w:tcBorders>
            <w:shd w:val="clear" w:color="auto" w:fill="FDFBA9"/>
            <w:vAlign w:val="bottom"/>
          </w:tcPr>
          <w:p w:rsidR="003058D4" w:rsidRPr="00B35BDA" w:rsidRDefault="00B35BDA" w:rsidP="002E6B2B">
            <w:pPr>
              <w:spacing w:after="0" w:line="240" w:lineRule="auto"/>
              <w:jc w:val="center"/>
              <w:rPr>
                <w:rFonts w:cstheme="minorHAnsi"/>
                <w:b/>
                <w:bCs/>
                <w:sz w:val="24"/>
                <w:szCs w:val="24"/>
              </w:rPr>
            </w:pPr>
            <w:r w:rsidRPr="00B35BDA">
              <w:rPr>
                <w:rFonts w:cstheme="minorHAnsi"/>
                <w:b/>
                <w:bCs/>
                <w:sz w:val="24"/>
                <w:szCs w:val="24"/>
              </w:rPr>
              <w:t>EN 54-5</w:t>
            </w:r>
          </w:p>
        </w:tc>
      </w:tr>
      <w:tr w:rsidR="0043547B" w:rsidRPr="0043547B" w:rsidTr="002E6B2B">
        <w:trPr>
          <w:gridBefore w:val="1"/>
          <w:wBefore w:w="18" w:type="dxa"/>
          <w:trHeight w:val="23"/>
          <w:jc w:val="center"/>
        </w:trPr>
        <w:tc>
          <w:tcPr>
            <w:tcW w:w="1856" w:type="dxa"/>
            <w:tcBorders>
              <w:top w:val="single" w:sz="4" w:space="0" w:color="auto"/>
              <w:left w:val="single" w:sz="18" w:space="0" w:color="auto"/>
              <w:bottom w:val="single" w:sz="4" w:space="0" w:color="auto"/>
              <w:right w:val="single" w:sz="8" w:space="0" w:color="auto"/>
            </w:tcBorders>
            <w:shd w:val="clear" w:color="auto" w:fill="95B3D7" w:themeFill="accent1" w:themeFillTint="99"/>
            <w:vAlign w:val="center"/>
          </w:tcPr>
          <w:p w:rsidR="003058D4" w:rsidRPr="0043547B" w:rsidRDefault="003058D4" w:rsidP="002E6B2B">
            <w:pPr>
              <w:spacing w:after="0" w:line="240" w:lineRule="auto"/>
              <w:jc w:val="center"/>
              <w:rPr>
                <w:rFonts w:cstheme="minorHAnsi"/>
                <w:b/>
                <w:bCs/>
                <w:sz w:val="24"/>
                <w:szCs w:val="24"/>
              </w:rPr>
            </w:pPr>
            <w:r w:rsidRPr="0043547B">
              <w:rPr>
                <w:rFonts w:cstheme="minorHAnsi"/>
                <w:b/>
                <w:bCs/>
                <w:sz w:val="24"/>
                <w:szCs w:val="24"/>
              </w:rPr>
              <w:lastRenderedPageBreak/>
              <w:t>Intitulé :</w:t>
            </w:r>
          </w:p>
        </w:tc>
        <w:tc>
          <w:tcPr>
            <w:tcW w:w="7938" w:type="dxa"/>
            <w:tcBorders>
              <w:top w:val="single" w:sz="4" w:space="0" w:color="auto"/>
              <w:bottom w:val="single" w:sz="4" w:space="0" w:color="auto"/>
              <w:right w:val="single" w:sz="18" w:space="0" w:color="auto"/>
            </w:tcBorders>
            <w:shd w:val="clear" w:color="auto" w:fill="auto"/>
            <w:vAlign w:val="bottom"/>
          </w:tcPr>
          <w:p w:rsidR="003058D4" w:rsidRPr="0043547B" w:rsidRDefault="003058D4" w:rsidP="002E6B2B">
            <w:pPr>
              <w:spacing w:after="0" w:line="240" w:lineRule="auto"/>
              <w:rPr>
                <w:rFonts w:cstheme="minorHAnsi"/>
                <w:sz w:val="24"/>
                <w:szCs w:val="24"/>
              </w:rPr>
            </w:pPr>
            <w:r w:rsidRPr="0043547B">
              <w:rPr>
                <w:rFonts w:cstheme="minorHAnsi"/>
                <w:sz w:val="24"/>
                <w:szCs w:val="24"/>
              </w:rPr>
              <w:t>Systèmes de détection et d'alarme incendie - Partie 5</w:t>
            </w:r>
            <w:r w:rsidR="002E6B2B">
              <w:rPr>
                <w:rFonts w:cstheme="minorHAnsi"/>
                <w:sz w:val="24"/>
                <w:szCs w:val="24"/>
              </w:rPr>
              <w:t xml:space="preserve"> </w:t>
            </w:r>
            <w:r w:rsidRPr="0043547B">
              <w:rPr>
                <w:rFonts w:cstheme="minorHAnsi"/>
                <w:sz w:val="24"/>
                <w:szCs w:val="24"/>
              </w:rPr>
              <w:t xml:space="preserve">: Détecteurs de chaleur - Détecteurs ponctuels ; </w:t>
            </w:r>
          </w:p>
        </w:tc>
      </w:tr>
      <w:tr w:rsidR="0043547B" w:rsidRPr="0043547B" w:rsidTr="002E6B2B">
        <w:trPr>
          <w:gridBefore w:val="1"/>
          <w:wBefore w:w="18" w:type="dxa"/>
          <w:trHeight w:val="2115"/>
          <w:jc w:val="center"/>
        </w:trPr>
        <w:tc>
          <w:tcPr>
            <w:tcW w:w="1856" w:type="dxa"/>
            <w:tcBorders>
              <w:top w:val="single" w:sz="4" w:space="0" w:color="auto"/>
              <w:left w:val="single" w:sz="18" w:space="0" w:color="auto"/>
              <w:bottom w:val="single" w:sz="18" w:space="0" w:color="auto"/>
              <w:right w:val="single" w:sz="8" w:space="0" w:color="auto"/>
            </w:tcBorders>
            <w:shd w:val="clear" w:color="000000" w:fill="D9D9D9"/>
            <w:vAlign w:val="center"/>
          </w:tcPr>
          <w:p w:rsidR="003058D4" w:rsidRPr="0043547B" w:rsidRDefault="003058D4" w:rsidP="002E6B2B">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bottom w:val="single" w:sz="18" w:space="0" w:color="auto"/>
              <w:right w:val="single" w:sz="18" w:space="0" w:color="auto"/>
            </w:tcBorders>
            <w:shd w:val="clear" w:color="auto" w:fill="auto"/>
          </w:tcPr>
          <w:p w:rsidR="002E6B2B" w:rsidRDefault="003058D4" w:rsidP="002E6B2B">
            <w:pPr>
              <w:spacing w:after="0" w:line="240" w:lineRule="auto"/>
              <w:jc w:val="both"/>
              <w:rPr>
                <w:rFonts w:cstheme="minorHAnsi"/>
                <w:sz w:val="24"/>
                <w:szCs w:val="24"/>
              </w:rPr>
            </w:pPr>
            <w:r w:rsidRPr="0043547B">
              <w:rPr>
                <w:rFonts w:cstheme="minorHAnsi"/>
                <w:sz w:val="24"/>
                <w:szCs w:val="24"/>
              </w:rPr>
              <w:t>La présente Norme européenne spécifie les exigences, les méthodes d’essais et les critères de performance des détecteurs ponctuels de chaleur pour leur usage prévu dans les systèmes de détection et d’alarme incendie installés dans les bâtiments et aux alentours (voir l’EN 54-1:2011).</w:t>
            </w:r>
          </w:p>
          <w:p w:rsidR="002E6B2B" w:rsidRDefault="003058D4" w:rsidP="002E6B2B">
            <w:pPr>
              <w:spacing w:after="0" w:line="240" w:lineRule="auto"/>
              <w:jc w:val="both"/>
              <w:rPr>
                <w:rFonts w:cstheme="minorHAnsi"/>
                <w:sz w:val="24"/>
                <w:szCs w:val="24"/>
              </w:rPr>
            </w:pPr>
            <w:r w:rsidRPr="0043547B">
              <w:rPr>
                <w:rFonts w:cstheme="minorHAnsi"/>
                <w:sz w:val="24"/>
                <w:szCs w:val="24"/>
              </w:rPr>
              <w:t>La présente Norme européenne prévoit l’évaluation et la vérification de la constance des performances (EVCP) des détecteurs ponctuels de chaleur de la présente EN.</w:t>
            </w:r>
          </w:p>
          <w:p w:rsidR="003058D4" w:rsidRPr="0043547B" w:rsidRDefault="003058D4" w:rsidP="002E6B2B">
            <w:pPr>
              <w:spacing w:after="0" w:line="240" w:lineRule="auto"/>
              <w:jc w:val="both"/>
              <w:rPr>
                <w:rFonts w:cstheme="minorHAnsi"/>
                <w:sz w:val="24"/>
                <w:szCs w:val="24"/>
              </w:rPr>
            </w:pPr>
            <w:r w:rsidRPr="0043547B">
              <w:rPr>
                <w:rFonts w:cstheme="minorHAnsi"/>
                <w:sz w:val="24"/>
                <w:szCs w:val="24"/>
              </w:rPr>
              <w:t>Pour d'autres types de détecteurs de chaleur ou pour ceux fonctionnant dans des environnements différents, il convient d'utiliser cette norme comme un guide.</w:t>
            </w:r>
            <w:r w:rsidRPr="0043547B">
              <w:rPr>
                <w:rFonts w:cstheme="minorHAnsi"/>
                <w:sz w:val="24"/>
                <w:szCs w:val="24"/>
              </w:rPr>
              <w:br/>
              <w:t>Les détecteurs de chaleur possédant des caractéristiques particulières, conçus pour des risques spéciaux, ne sont pas couverts par cette norme.</w:t>
            </w:r>
          </w:p>
        </w:tc>
      </w:tr>
      <w:tr w:rsidR="0043547B" w:rsidRPr="0043547B" w:rsidTr="002E6B2B">
        <w:trPr>
          <w:gridBefore w:val="1"/>
          <w:wBefore w:w="18" w:type="dxa"/>
          <w:trHeight w:val="23"/>
          <w:jc w:val="center"/>
        </w:trPr>
        <w:tc>
          <w:tcPr>
            <w:tcW w:w="1856" w:type="dxa"/>
            <w:tcBorders>
              <w:top w:val="nil"/>
              <w:left w:val="single" w:sz="18" w:space="0" w:color="auto"/>
              <w:bottom w:val="single" w:sz="18" w:space="0" w:color="auto"/>
              <w:right w:val="single" w:sz="8" w:space="0" w:color="auto"/>
            </w:tcBorders>
            <w:shd w:val="clear" w:color="auto" w:fill="C2D69B" w:themeFill="accent3" w:themeFillTint="99"/>
            <w:vAlign w:val="center"/>
          </w:tcPr>
          <w:p w:rsidR="003058D4" w:rsidRPr="00B35BDA" w:rsidRDefault="003058D4" w:rsidP="002E6B2B">
            <w:pPr>
              <w:spacing w:after="0" w:line="240" w:lineRule="auto"/>
              <w:jc w:val="center"/>
              <w:rPr>
                <w:rFonts w:cstheme="minorHAnsi"/>
                <w:b/>
                <w:bCs/>
                <w:sz w:val="24"/>
                <w:szCs w:val="24"/>
              </w:rPr>
            </w:pPr>
            <w:r w:rsidRPr="00B35BDA">
              <w:rPr>
                <w:rFonts w:cstheme="minorHAnsi"/>
                <w:b/>
                <w:bCs/>
                <w:sz w:val="24"/>
                <w:szCs w:val="24"/>
              </w:rPr>
              <w:t>Code :</w:t>
            </w:r>
          </w:p>
        </w:tc>
        <w:tc>
          <w:tcPr>
            <w:tcW w:w="7938" w:type="dxa"/>
            <w:tcBorders>
              <w:bottom w:val="single" w:sz="18" w:space="0" w:color="auto"/>
              <w:right w:val="single" w:sz="18" w:space="0" w:color="auto"/>
            </w:tcBorders>
            <w:shd w:val="clear" w:color="auto" w:fill="C2D69B" w:themeFill="accent3" w:themeFillTint="99"/>
            <w:vAlign w:val="bottom"/>
          </w:tcPr>
          <w:p w:rsidR="003058D4" w:rsidRPr="00B35BDA" w:rsidRDefault="003058D4" w:rsidP="002E6B2B">
            <w:pPr>
              <w:spacing w:after="0" w:line="240" w:lineRule="auto"/>
              <w:jc w:val="center"/>
              <w:rPr>
                <w:rFonts w:cstheme="minorHAnsi"/>
                <w:b/>
                <w:bCs/>
                <w:sz w:val="24"/>
                <w:szCs w:val="24"/>
              </w:rPr>
            </w:pPr>
            <w:r w:rsidRPr="00B35BDA">
              <w:rPr>
                <w:rFonts w:cstheme="minorHAnsi"/>
                <w:b/>
                <w:bCs/>
                <w:sz w:val="24"/>
                <w:szCs w:val="24"/>
              </w:rPr>
              <w:t>NM EN 54-7</w:t>
            </w:r>
          </w:p>
        </w:tc>
      </w:tr>
      <w:tr w:rsidR="0043547B" w:rsidRPr="0043547B" w:rsidTr="002E6B2B">
        <w:trPr>
          <w:gridBefore w:val="1"/>
          <w:wBefore w:w="18" w:type="dxa"/>
          <w:trHeight w:val="23"/>
          <w:jc w:val="center"/>
        </w:trPr>
        <w:tc>
          <w:tcPr>
            <w:tcW w:w="1856" w:type="dxa"/>
            <w:tcBorders>
              <w:top w:val="single" w:sz="18" w:space="0" w:color="auto"/>
              <w:left w:val="single" w:sz="18" w:space="0" w:color="auto"/>
              <w:bottom w:val="single" w:sz="4" w:space="0" w:color="auto"/>
              <w:right w:val="single" w:sz="8" w:space="0" w:color="auto"/>
            </w:tcBorders>
            <w:shd w:val="clear" w:color="auto" w:fill="FDFBA9"/>
            <w:vAlign w:val="center"/>
          </w:tcPr>
          <w:p w:rsidR="003058D4" w:rsidRPr="00B35BDA" w:rsidRDefault="003058D4" w:rsidP="002E6B2B">
            <w:pPr>
              <w:spacing w:after="0" w:line="240" w:lineRule="auto"/>
              <w:jc w:val="center"/>
              <w:rPr>
                <w:rFonts w:cstheme="minorHAnsi"/>
                <w:b/>
                <w:bCs/>
                <w:sz w:val="24"/>
                <w:szCs w:val="24"/>
              </w:rPr>
            </w:pPr>
            <w:r w:rsidRPr="00B35BDA">
              <w:rPr>
                <w:rFonts w:cstheme="minorHAnsi"/>
                <w:b/>
                <w:bCs/>
                <w:sz w:val="24"/>
                <w:szCs w:val="24"/>
              </w:rPr>
              <w:t>Equivalence :</w:t>
            </w:r>
          </w:p>
        </w:tc>
        <w:tc>
          <w:tcPr>
            <w:tcW w:w="7938" w:type="dxa"/>
            <w:tcBorders>
              <w:top w:val="single" w:sz="18" w:space="0" w:color="auto"/>
              <w:bottom w:val="single" w:sz="4" w:space="0" w:color="auto"/>
              <w:right w:val="single" w:sz="18" w:space="0" w:color="auto"/>
            </w:tcBorders>
            <w:shd w:val="clear" w:color="auto" w:fill="FDFBA9"/>
            <w:vAlign w:val="bottom"/>
          </w:tcPr>
          <w:p w:rsidR="003058D4" w:rsidRPr="00B35BDA" w:rsidRDefault="00B35BDA" w:rsidP="002E6B2B">
            <w:pPr>
              <w:spacing w:after="0" w:line="240" w:lineRule="auto"/>
              <w:jc w:val="center"/>
              <w:rPr>
                <w:rFonts w:cstheme="minorHAnsi"/>
                <w:b/>
                <w:bCs/>
                <w:sz w:val="24"/>
                <w:szCs w:val="24"/>
              </w:rPr>
            </w:pPr>
            <w:r w:rsidRPr="00B35BDA">
              <w:rPr>
                <w:rFonts w:cstheme="minorHAnsi"/>
                <w:b/>
                <w:bCs/>
                <w:sz w:val="24"/>
                <w:szCs w:val="24"/>
              </w:rPr>
              <w:t>EN 54-7</w:t>
            </w:r>
          </w:p>
        </w:tc>
      </w:tr>
      <w:tr w:rsidR="0043547B" w:rsidRPr="0043547B" w:rsidTr="002E6B2B">
        <w:trPr>
          <w:gridBefore w:val="1"/>
          <w:wBefore w:w="18" w:type="dxa"/>
          <w:trHeight w:val="23"/>
          <w:jc w:val="center"/>
        </w:trPr>
        <w:tc>
          <w:tcPr>
            <w:tcW w:w="1856" w:type="dxa"/>
            <w:tcBorders>
              <w:top w:val="single" w:sz="4" w:space="0" w:color="auto"/>
              <w:left w:val="single" w:sz="18" w:space="0" w:color="auto"/>
              <w:bottom w:val="single" w:sz="4" w:space="0" w:color="auto"/>
              <w:right w:val="single" w:sz="8" w:space="0" w:color="auto"/>
            </w:tcBorders>
            <w:shd w:val="clear" w:color="auto" w:fill="95B3D7" w:themeFill="accent1" w:themeFillTint="99"/>
            <w:vAlign w:val="center"/>
          </w:tcPr>
          <w:p w:rsidR="003058D4" w:rsidRPr="0043547B" w:rsidRDefault="003058D4" w:rsidP="002E6B2B">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bottom w:val="single" w:sz="4" w:space="0" w:color="auto"/>
              <w:right w:val="single" w:sz="18" w:space="0" w:color="auto"/>
            </w:tcBorders>
            <w:shd w:val="clear" w:color="auto" w:fill="auto"/>
            <w:vAlign w:val="bottom"/>
          </w:tcPr>
          <w:p w:rsidR="003058D4" w:rsidRPr="0043547B" w:rsidRDefault="003058D4" w:rsidP="002E6B2B">
            <w:pPr>
              <w:spacing w:after="0" w:line="240" w:lineRule="auto"/>
              <w:rPr>
                <w:rFonts w:cstheme="minorHAnsi"/>
                <w:sz w:val="24"/>
                <w:szCs w:val="24"/>
              </w:rPr>
            </w:pPr>
            <w:r w:rsidRPr="0043547B">
              <w:rPr>
                <w:rFonts w:cstheme="minorHAnsi"/>
                <w:sz w:val="24"/>
                <w:szCs w:val="24"/>
              </w:rPr>
              <w:t xml:space="preserve">Systèmes de détection et d'alarme incendie - Partie 7: Détecteurs de fumée - Détecteurs ponctuels fonctionnant suivant le principe de la diffusion de la lumière, de la transmission de la lumière ou de l’ionisation ;  </w:t>
            </w:r>
          </w:p>
        </w:tc>
      </w:tr>
      <w:tr w:rsidR="0043547B" w:rsidRPr="0043547B" w:rsidTr="002E6B2B">
        <w:trPr>
          <w:gridBefore w:val="1"/>
          <w:wBefore w:w="18" w:type="dxa"/>
          <w:trHeight w:val="843"/>
          <w:jc w:val="center"/>
        </w:trPr>
        <w:tc>
          <w:tcPr>
            <w:tcW w:w="1856" w:type="dxa"/>
            <w:tcBorders>
              <w:top w:val="single" w:sz="4" w:space="0" w:color="auto"/>
              <w:left w:val="single" w:sz="18" w:space="0" w:color="auto"/>
              <w:bottom w:val="single" w:sz="18" w:space="0" w:color="auto"/>
              <w:right w:val="single" w:sz="8" w:space="0" w:color="auto"/>
            </w:tcBorders>
            <w:shd w:val="clear" w:color="000000" w:fill="D9D9D9"/>
            <w:vAlign w:val="center"/>
          </w:tcPr>
          <w:p w:rsidR="003058D4" w:rsidRPr="0043547B" w:rsidRDefault="003058D4" w:rsidP="002E6B2B">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bottom w:val="single" w:sz="18" w:space="0" w:color="auto"/>
              <w:right w:val="single" w:sz="18" w:space="0" w:color="auto"/>
            </w:tcBorders>
            <w:shd w:val="clear" w:color="auto" w:fill="auto"/>
          </w:tcPr>
          <w:p w:rsidR="002E6B2B" w:rsidRDefault="003058D4" w:rsidP="002E6B2B">
            <w:pPr>
              <w:spacing w:after="0" w:line="240" w:lineRule="auto"/>
              <w:jc w:val="both"/>
              <w:rPr>
                <w:rFonts w:cstheme="minorHAnsi"/>
                <w:sz w:val="24"/>
                <w:szCs w:val="24"/>
              </w:rPr>
            </w:pPr>
            <w:r w:rsidRPr="0043547B">
              <w:rPr>
                <w:rFonts w:cstheme="minorHAnsi"/>
                <w:sz w:val="24"/>
                <w:szCs w:val="24"/>
              </w:rPr>
              <w:t>La présente norme européenne spécifie les exigences, les méthodes d'essais et les critères de performance des détecteurs ponctuels fonctionnant suivant le principe de la diffusion de la lumière, de la transmission de la lumière ou de l'ionisation, utilisés dans les systèmes de détection et d'alarme incendie installés dans les bâtiments (voir EN 54-1:1996).</w:t>
            </w:r>
          </w:p>
          <w:p w:rsidR="003058D4" w:rsidRPr="0043547B" w:rsidRDefault="003058D4" w:rsidP="002E6B2B">
            <w:pPr>
              <w:spacing w:after="0" w:line="240" w:lineRule="auto"/>
              <w:jc w:val="both"/>
              <w:rPr>
                <w:rFonts w:cstheme="minorHAnsi"/>
                <w:sz w:val="24"/>
                <w:szCs w:val="24"/>
              </w:rPr>
            </w:pPr>
            <w:r w:rsidRPr="0043547B">
              <w:rPr>
                <w:rFonts w:cstheme="minorHAnsi"/>
                <w:sz w:val="24"/>
                <w:szCs w:val="24"/>
              </w:rPr>
              <w:t>Pour d'autres types de détecteurs de fumée ou pour ceux fonctionnant sur des principes différents, il convient d’utiliser cette partie de la norme comme un guide. Les détecteurs de fumée possédant des caractéristiques particulières, conçus pour des risques spéciaux, ne sont pas couverts par cette norme.</w:t>
            </w:r>
            <w:r w:rsidRPr="0043547B">
              <w:rPr>
                <w:rFonts w:cstheme="minorHAnsi"/>
                <w:sz w:val="24"/>
                <w:szCs w:val="24"/>
              </w:rPr>
              <w:br/>
            </w:r>
            <w:r w:rsidRPr="002E6B2B">
              <w:rPr>
                <w:rFonts w:cstheme="minorHAnsi"/>
                <w:b/>
                <w:bCs/>
                <w:i/>
                <w:iCs/>
              </w:rPr>
              <w:t>NOTE :</w:t>
            </w:r>
            <w:r w:rsidRPr="002E6B2B">
              <w:rPr>
                <w:rFonts w:cstheme="minorHAnsi"/>
                <w:i/>
                <w:iCs/>
              </w:rPr>
              <w:t xml:space="preserve"> Certains types de détecteurs contiennent des matières radioactives. Les exigences nationales pour la protection contre les radiations des sources ionisantes étant différentes d'un pays à l'autre, celles-ci ne sont donc pas spécifiées dans cette norme.</w:t>
            </w:r>
          </w:p>
        </w:tc>
      </w:tr>
      <w:tr w:rsidR="0043547B" w:rsidRPr="0043547B" w:rsidTr="002E6B2B">
        <w:trPr>
          <w:gridBefore w:val="1"/>
          <w:wBefore w:w="18" w:type="dxa"/>
          <w:trHeight w:val="23"/>
          <w:jc w:val="center"/>
        </w:trPr>
        <w:tc>
          <w:tcPr>
            <w:tcW w:w="1856" w:type="dxa"/>
            <w:tcBorders>
              <w:top w:val="nil"/>
              <w:left w:val="single" w:sz="18" w:space="0" w:color="auto"/>
              <w:bottom w:val="single" w:sz="18" w:space="0" w:color="auto"/>
              <w:right w:val="single" w:sz="8" w:space="0" w:color="auto"/>
            </w:tcBorders>
            <w:shd w:val="clear" w:color="auto" w:fill="C2D69B" w:themeFill="accent3" w:themeFillTint="99"/>
            <w:vAlign w:val="center"/>
          </w:tcPr>
          <w:p w:rsidR="003058D4" w:rsidRPr="00B35BDA" w:rsidRDefault="003058D4" w:rsidP="002E6B2B">
            <w:pPr>
              <w:spacing w:after="0" w:line="240" w:lineRule="auto"/>
              <w:jc w:val="center"/>
              <w:rPr>
                <w:rFonts w:cstheme="minorHAnsi"/>
                <w:b/>
                <w:bCs/>
                <w:sz w:val="24"/>
                <w:szCs w:val="24"/>
              </w:rPr>
            </w:pPr>
            <w:r w:rsidRPr="00B35BDA">
              <w:rPr>
                <w:rFonts w:cstheme="minorHAnsi"/>
                <w:b/>
                <w:bCs/>
                <w:sz w:val="24"/>
                <w:szCs w:val="24"/>
              </w:rPr>
              <w:t>Code :</w:t>
            </w:r>
          </w:p>
        </w:tc>
        <w:tc>
          <w:tcPr>
            <w:tcW w:w="7938" w:type="dxa"/>
            <w:tcBorders>
              <w:bottom w:val="single" w:sz="18" w:space="0" w:color="auto"/>
              <w:right w:val="single" w:sz="18" w:space="0" w:color="auto"/>
            </w:tcBorders>
            <w:shd w:val="clear" w:color="auto" w:fill="C2D69B" w:themeFill="accent3" w:themeFillTint="99"/>
            <w:vAlign w:val="bottom"/>
          </w:tcPr>
          <w:p w:rsidR="003058D4" w:rsidRPr="00B35BDA" w:rsidRDefault="003058D4" w:rsidP="002E6B2B">
            <w:pPr>
              <w:spacing w:after="0" w:line="240" w:lineRule="auto"/>
              <w:jc w:val="center"/>
              <w:rPr>
                <w:rFonts w:cstheme="minorHAnsi"/>
                <w:b/>
                <w:bCs/>
                <w:sz w:val="24"/>
                <w:szCs w:val="24"/>
              </w:rPr>
            </w:pPr>
            <w:r w:rsidRPr="00B35BDA">
              <w:rPr>
                <w:rFonts w:cstheme="minorHAnsi"/>
                <w:b/>
                <w:bCs/>
                <w:sz w:val="24"/>
                <w:szCs w:val="24"/>
              </w:rPr>
              <w:t>NM EN 54-10</w:t>
            </w:r>
          </w:p>
        </w:tc>
      </w:tr>
      <w:tr w:rsidR="0043547B" w:rsidRPr="0043547B" w:rsidTr="002E6B2B">
        <w:trPr>
          <w:gridBefore w:val="1"/>
          <w:wBefore w:w="18" w:type="dxa"/>
          <w:trHeight w:val="23"/>
          <w:jc w:val="center"/>
        </w:trPr>
        <w:tc>
          <w:tcPr>
            <w:tcW w:w="1856" w:type="dxa"/>
            <w:tcBorders>
              <w:top w:val="single" w:sz="18" w:space="0" w:color="auto"/>
              <w:left w:val="single" w:sz="18" w:space="0" w:color="auto"/>
              <w:bottom w:val="single" w:sz="4" w:space="0" w:color="auto"/>
              <w:right w:val="single" w:sz="8" w:space="0" w:color="auto"/>
            </w:tcBorders>
            <w:shd w:val="clear" w:color="auto" w:fill="FDFBA9"/>
            <w:vAlign w:val="center"/>
          </w:tcPr>
          <w:p w:rsidR="003058D4" w:rsidRPr="00B35BDA" w:rsidRDefault="003058D4" w:rsidP="002E6B2B">
            <w:pPr>
              <w:spacing w:after="0" w:line="240" w:lineRule="auto"/>
              <w:jc w:val="center"/>
              <w:rPr>
                <w:rFonts w:cstheme="minorHAnsi"/>
                <w:b/>
                <w:bCs/>
                <w:sz w:val="24"/>
                <w:szCs w:val="24"/>
              </w:rPr>
            </w:pPr>
            <w:r w:rsidRPr="00B35BDA">
              <w:rPr>
                <w:rFonts w:cstheme="minorHAnsi"/>
                <w:b/>
                <w:bCs/>
                <w:sz w:val="24"/>
                <w:szCs w:val="24"/>
              </w:rPr>
              <w:t>Equivalence :</w:t>
            </w:r>
          </w:p>
        </w:tc>
        <w:tc>
          <w:tcPr>
            <w:tcW w:w="7938" w:type="dxa"/>
            <w:tcBorders>
              <w:top w:val="single" w:sz="18" w:space="0" w:color="auto"/>
              <w:bottom w:val="single" w:sz="4" w:space="0" w:color="auto"/>
              <w:right w:val="single" w:sz="18" w:space="0" w:color="auto"/>
            </w:tcBorders>
            <w:shd w:val="clear" w:color="auto" w:fill="FDFBA9"/>
            <w:vAlign w:val="bottom"/>
          </w:tcPr>
          <w:p w:rsidR="003058D4" w:rsidRPr="00B35BDA" w:rsidRDefault="00B35BDA" w:rsidP="002E6B2B">
            <w:pPr>
              <w:spacing w:after="0" w:line="240" w:lineRule="auto"/>
              <w:jc w:val="center"/>
              <w:rPr>
                <w:rFonts w:cstheme="minorHAnsi"/>
                <w:b/>
                <w:bCs/>
                <w:sz w:val="24"/>
                <w:szCs w:val="24"/>
              </w:rPr>
            </w:pPr>
            <w:r w:rsidRPr="00B35BDA">
              <w:rPr>
                <w:rFonts w:cstheme="minorHAnsi"/>
                <w:b/>
                <w:bCs/>
                <w:sz w:val="24"/>
                <w:szCs w:val="24"/>
              </w:rPr>
              <w:t>EN 54-10</w:t>
            </w:r>
          </w:p>
        </w:tc>
      </w:tr>
      <w:tr w:rsidR="0043547B" w:rsidRPr="0043547B" w:rsidTr="002E6B2B">
        <w:trPr>
          <w:gridBefore w:val="1"/>
          <w:wBefore w:w="18" w:type="dxa"/>
          <w:trHeight w:val="23"/>
          <w:jc w:val="center"/>
        </w:trPr>
        <w:tc>
          <w:tcPr>
            <w:tcW w:w="1856" w:type="dxa"/>
            <w:tcBorders>
              <w:top w:val="single" w:sz="4" w:space="0" w:color="auto"/>
              <w:left w:val="single" w:sz="18" w:space="0" w:color="auto"/>
              <w:bottom w:val="single" w:sz="4" w:space="0" w:color="auto"/>
              <w:right w:val="single" w:sz="8" w:space="0" w:color="auto"/>
            </w:tcBorders>
            <w:shd w:val="clear" w:color="auto" w:fill="95B3D7" w:themeFill="accent1" w:themeFillTint="99"/>
            <w:vAlign w:val="center"/>
          </w:tcPr>
          <w:p w:rsidR="003058D4" w:rsidRPr="0043547B" w:rsidRDefault="003058D4" w:rsidP="002E6B2B">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bottom w:val="single" w:sz="4" w:space="0" w:color="auto"/>
              <w:right w:val="single" w:sz="18" w:space="0" w:color="auto"/>
            </w:tcBorders>
            <w:shd w:val="clear" w:color="auto" w:fill="auto"/>
            <w:vAlign w:val="bottom"/>
          </w:tcPr>
          <w:p w:rsidR="003058D4" w:rsidRPr="0043547B" w:rsidRDefault="003058D4" w:rsidP="002E6B2B">
            <w:pPr>
              <w:spacing w:after="0" w:line="240" w:lineRule="auto"/>
              <w:rPr>
                <w:rFonts w:cstheme="minorHAnsi"/>
                <w:sz w:val="24"/>
                <w:szCs w:val="24"/>
              </w:rPr>
            </w:pPr>
            <w:r w:rsidRPr="0043547B">
              <w:rPr>
                <w:rFonts w:cstheme="minorHAnsi"/>
                <w:sz w:val="24"/>
                <w:szCs w:val="24"/>
              </w:rPr>
              <w:t xml:space="preserve">Systèmes de détection et d'alarme incendie - Partie 10: Détecteurs de flamme - Détecteurs ponctuels ;  </w:t>
            </w:r>
          </w:p>
        </w:tc>
      </w:tr>
      <w:tr w:rsidR="0043547B" w:rsidRPr="0043547B" w:rsidTr="002E6B2B">
        <w:trPr>
          <w:gridBefore w:val="1"/>
          <w:wBefore w:w="18" w:type="dxa"/>
          <w:trHeight w:val="2115"/>
          <w:jc w:val="center"/>
        </w:trPr>
        <w:tc>
          <w:tcPr>
            <w:tcW w:w="1856" w:type="dxa"/>
            <w:tcBorders>
              <w:top w:val="single" w:sz="4" w:space="0" w:color="auto"/>
              <w:left w:val="single" w:sz="18" w:space="0" w:color="auto"/>
              <w:bottom w:val="single" w:sz="18" w:space="0" w:color="auto"/>
              <w:right w:val="single" w:sz="8" w:space="0" w:color="auto"/>
            </w:tcBorders>
            <w:shd w:val="clear" w:color="000000" w:fill="D9D9D9"/>
            <w:vAlign w:val="center"/>
          </w:tcPr>
          <w:p w:rsidR="003058D4" w:rsidRPr="0043547B" w:rsidRDefault="003058D4" w:rsidP="002E6B2B">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bottom w:val="single" w:sz="18" w:space="0" w:color="auto"/>
              <w:right w:val="single" w:sz="18" w:space="0" w:color="auto"/>
            </w:tcBorders>
            <w:shd w:val="clear" w:color="auto" w:fill="auto"/>
          </w:tcPr>
          <w:p w:rsidR="002E6B2B" w:rsidRDefault="003058D4" w:rsidP="002E6B2B">
            <w:pPr>
              <w:spacing w:after="0" w:line="240" w:lineRule="auto"/>
              <w:jc w:val="both"/>
              <w:rPr>
                <w:rFonts w:cstheme="minorHAnsi"/>
                <w:sz w:val="24"/>
                <w:szCs w:val="24"/>
              </w:rPr>
            </w:pPr>
            <w:r w:rsidRPr="0043547B">
              <w:rPr>
                <w:rFonts w:cstheme="minorHAnsi"/>
                <w:sz w:val="24"/>
                <w:szCs w:val="24"/>
              </w:rPr>
              <w:t>La présente norme européenne spécifie les exigences, les méthodes d'essai et les critères de performance applicables aux détecteurs ponctuels réarmables qui fonctionnent en utilisant les rayonnements de la flamme et sont utilisés dans les systèmes de détection incendie installés dans les bâtiments.</w:t>
            </w:r>
          </w:p>
          <w:p w:rsidR="003058D4" w:rsidRPr="0043547B" w:rsidRDefault="003058D4" w:rsidP="002E6B2B">
            <w:pPr>
              <w:spacing w:after="0" w:line="240" w:lineRule="auto"/>
              <w:jc w:val="both"/>
              <w:rPr>
                <w:rFonts w:cstheme="minorHAnsi"/>
                <w:sz w:val="24"/>
                <w:szCs w:val="24"/>
              </w:rPr>
            </w:pPr>
            <w:r w:rsidRPr="0043547B">
              <w:rPr>
                <w:rFonts w:cstheme="minorHAnsi"/>
                <w:sz w:val="24"/>
                <w:szCs w:val="24"/>
              </w:rPr>
              <w:t>Les détecteurs de flamme fonctionnant selon des principes différents de ceux décrits dans la présente norme ne sont pas couverts par la présente norme (bien que la présente norme puisse servir de guide pour les essais concernant ces produits).</w:t>
            </w:r>
          </w:p>
        </w:tc>
      </w:tr>
      <w:tr w:rsidR="0043547B" w:rsidRPr="0043547B" w:rsidTr="002E6B2B">
        <w:trPr>
          <w:gridBefore w:val="1"/>
          <w:wBefore w:w="18" w:type="dxa"/>
          <w:trHeight w:val="23"/>
          <w:jc w:val="center"/>
        </w:trPr>
        <w:tc>
          <w:tcPr>
            <w:tcW w:w="1856" w:type="dxa"/>
            <w:tcBorders>
              <w:top w:val="nil"/>
              <w:left w:val="single" w:sz="18" w:space="0" w:color="auto"/>
              <w:bottom w:val="single" w:sz="18" w:space="0" w:color="auto"/>
              <w:right w:val="single" w:sz="8" w:space="0" w:color="auto"/>
            </w:tcBorders>
            <w:shd w:val="clear" w:color="auto" w:fill="C2D69B" w:themeFill="accent3" w:themeFillTint="99"/>
            <w:vAlign w:val="center"/>
          </w:tcPr>
          <w:p w:rsidR="003058D4" w:rsidRPr="00B35BDA" w:rsidRDefault="003058D4" w:rsidP="002E6B2B">
            <w:pPr>
              <w:spacing w:after="0" w:line="240" w:lineRule="auto"/>
              <w:jc w:val="center"/>
              <w:rPr>
                <w:rFonts w:cstheme="minorHAnsi"/>
                <w:b/>
                <w:bCs/>
                <w:sz w:val="24"/>
                <w:szCs w:val="24"/>
              </w:rPr>
            </w:pPr>
            <w:r w:rsidRPr="00B35BDA">
              <w:rPr>
                <w:rFonts w:cstheme="minorHAnsi"/>
                <w:b/>
                <w:bCs/>
                <w:sz w:val="24"/>
                <w:szCs w:val="24"/>
              </w:rPr>
              <w:t>Code :</w:t>
            </w:r>
          </w:p>
        </w:tc>
        <w:tc>
          <w:tcPr>
            <w:tcW w:w="7938" w:type="dxa"/>
            <w:tcBorders>
              <w:bottom w:val="single" w:sz="18" w:space="0" w:color="auto"/>
              <w:right w:val="single" w:sz="18" w:space="0" w:color="auto"/>
            </w:tcBorders>
            <w:shd w:val="clear" w:color="auto" w:fill="C2D69B" w:themeFill="accent3" w:themeFillTint="99"/>
            <w:vAlign w:val="bottom"/>
          </w:tcPr>
          <w:p w:rsidR="003058D4" w:rsidRPr="00B35BDA" w:rsidRDefault="003058D4" w:rsidP="002E6B2B">
            <w:pPr>
              <w:spacing w:after="0" w:line="240" w:lineRule="auto"/>
              <w:jc w:val="center"/>
              <w:rPr>
                <w:rFonts w:cstheme="minorHAnsi"/>
                <w:b/>
                <w:bCs/>
                <w:sz w:val="24"/>
                <w:szCs w:val="24"/>
              </w:rPr>
            </w:pPr>
            <w:r w:rsidRPr="00B35BDA">
              <w:rPr>
                <w:rFonts w:cstheme="minorHAnsi"/>
                <w:b/>
                <w:bCs/>
                <w:sz w:val="24"/>
                <w:szCs w:val="24"/>
              </w:rPr>
              <w:t>NM EN 54-11</w:t>
            </w:r>
          </w:p>
        </w:tc>
      </w:tr>
      <w:tr w:rsidR="0043547B" w:rsidRPr="0043547B" w:rsidTr="002E6B2B">
        <w:trPr>
          <w:gridBefore w:val="1"/>
          <w:wBefore w:w="18" w:type="dxa"/>
          <w:trHeight w:val="23"/>
          <w:jc w:val="center"/>
        </w:trPr>
        <w:tc>
          <w:tcPr>
            <w:tcW w:w="1856" w:type="dxa"/>
            <w:tcBorders>
              <w:top w:val="single" w:sz="18" w:space="0" w:color="auto"/>
              <w:left w:val="single" w:sz="18" w:space="0" w:color="auto"/>
              <w:bottom w:val="single" w:sz="4" w:space="0" w:color="auto"/>
              <w:right w:val="single" w:sz="8" w:space="0" w:color="auto"/>
            </w:tcBorders>
            <w:shd w:val="clear" w:color="auto" w:fill="FDFBA9"/>
            <w:vAlign w:val="center"/>
          </w:tcPr>
          <w:p w:rsidR="003058D4" w:rsidRPr="00B35BDA" w:rsidRDefault="003058D4" w:rsidP="002E6B2B">
            <w:pPr>
              <w:spacing w:after="0" w:line="240" w:lineRule="auto"/>
              <w:jc w:val="center"/>
              <w:rPr>
                <w:rFonts w:cstheme="minorHAnsi"/>
                <w:b/>
                <w:bCs/>
                <w:sz w:val="24"/>
                <w:szCs w:val="24"/>
              </w:rPr>
            </w:pPr>
            <w:r w:rsidRPr="00B35BDA">
              <w:rPr>
                <w:rFonts w:cstheme="minorHAnsi"/>
                <w:b/>
                <w:bCs/>
                <w:sz w:val="24"/>
                <w:szCs w:val="24"/>
              </w:rPr>
              <w:t>Equivalence :</w:t>
            </w:r>
          </w:p>
        </w:tc>
        <w:tc>
          <w:tcPr>
            <w:tcW w:w="7938" w:type="dxa"/>
            <w:tcBorders>
              <w:top w:val="single" w:sz="18" w:space="0" w:color="auto"/>
              <w:bottom w:val="single" w:sz="4" w:space="0" w:color="auto"/>
              <w:right w:val="single" w:sz="18" w:space="0" w:color="auto"/>
            </w:tcBorders>
            <w:shd w:val="clear" w:color="auto" w:fill="FDFBA9"/>
            <w:vAlign w:val="bottom"/>
          </w:tcPr>
          <w:p w:rsidR="003058D4" w:rsidRPr="00B35BDA" w:rsidRDefault="00B35BDA" w:rsidP="002E6B2B">
            <w:pPr>
              <w:spacing w:after="0" w:line="240" w:lineRule="auto"/>
              <w:jc w:val="center"/>
              <w:rPr>
                <w:rFonts w:cstheme="minorHAnsi"/>
                <w:b/>
                <w:bCs/>
                <w:sz w:val="24"/>
                <w:szCs w:val="24"/>
              </w:rPr>
            </w:pPr>
            <w:r w:rsidRPr="00B35BDA">
              <w:rPr>
                <w:rFonts w:cstheme="minorHAnsi"/>
                <w:b/>
                <w:bCs/>
                <w:sz w:val="24"/>
                <w:szCs w:val="24"/>
              </w:rPr>
              <w:t>EN 54-11</w:t>
            </w:r>
          </w:p>
        </w:tc>
      </w:tr>
      <w:tr w:rsidR="0043547B" w:rsidRPr="0043547B" w:rsidTr="002E6B2B">
        <w:trPr>
          <w:gridBefore w:val="1"/>
          <w:wBefore w:w="18" w:type="dxa"/>
          <w:trHeight w:val="23"/>
          <w:jc w:val="center"/>
        </w:trPr>
        <w:tc>
          <w:tcPr>
            <w:tcW w:w="1856" w:type="dxa"/>
            <w:tcBorders>
              <w:top w:val="single" w:sz="4" w:space="0" w:color="auto"/>
              <w:left w:val="single" w:sz="18" w:space="0" w:color="auto"/>
              <w:bottom w:val="single" w:sz="4" w:space="0" w:color="auto"/>
              <w:right w:val="single" w:sz="8" w:space="0" w:color="auto"/>
            </w:tcBorders>
            <w:shd w:val="clear" w:color="auto" w:fill="95B3D7" w:themeFill="accent1" w:themeFillTint="99"/>
            <w:vAlign w:val="center"/>
          </w:tcPr>
          <w:p w:rsidR="003058D4" w:rsidRPr="0043547B" w:rsidRDefault="003058D4" w:rsidP="002E6B2B">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bottom w:val="single" w:sz="4" w:space="0" w:color="auto"/>
              <w:right w:val="single" w:sz="18" w:space="0" w:color="auto"/>
            </w:tcBorders>
            <w:shd w:val="clear" w:color="auto" w:fill="auto"/>
            <w:vAlign w:val="bottom"/>
          </w:tcPr>
          <w:p w:rsidR="003058D4" w:rsidRPr="0043547B" w:rsidRDefault="003058D4" w:rsidP="002E6B2B">
            <w:pPr>
              <w:spacing w:after="0" w:line="240" w:lineRule="auto"/>
              <w:rPr>
                <w:rFonts w:cstheme="minorHAnsi"/>
                <w:sz w:val="24"/>
                <w:szCs w:val="24"/>
              </w:rPr>
            </w:pPr>
            <w:r w:rsidRPr="0043547B">
              <w:rPr>
                <w:rFonts w:cstheme="minorHAnsi"/>
                <w:sz w:val="24"/>
                <w:szCs w:val="24"/>
              </w:rPr>
              <w:t xml:space="preserve">Systèmes de détection et d'alarme incendie - Partie 11: Déclencheurs manuels d'alarme ; </w:t>
            </w:r>
          </w:p>
        </w:tc>
      </w:tr>
      <w:tr w:rsidR="0043547B" w:rsidRPr="0043547B" w:rsidTr="002E6B2B">
        <w:trPr>
          <w:gridBefore w:val="1"/>
          <w:wBefore w:w="18" w:type="dxa"/>
          <w:trHeight w:val="2115"/>
          <w:jc w:val="center"/>
        </w:trPr>
        <w:tc>
          <w:tcPr>
            <w:tcW w:w="1856" w:type="dxa"/>
            <w:tcBorders>
              <w:top w:val="single" w:sz="4" w:space="0" w:color="auto"/>
              <w:left w:val="single" w:sz="18" w:space="0" w:color="auto"/>
              <w:bottom w:val="single" w:sz="18" w:space="0" w:color="auto"/>
              <w:right w:val="single" w:sz="8" w:space="0" w:color="auto"/>
            </w:tcBorders>
            <w:shd w:val="clear" w:color="000000" w:fill="D9D9D9"/>
            <w:vAlign w:val="center"/>
          </w:tcPr>
          <w:p w:rsidR="003058D4" w:rsidRPr="0043547B" w:rsidRDefault="003058D4" w:rsidP="002E6B2B">
            <w:pPr>
              <w:spacing w:after="0" w:line="240" w:lineRule="auto"/>
              <w:jc w:val="center"/>
              <w:rPr>
                <w:rFonts w:cstheme="minorHAnsi"/>
                <w:b/>
                <w:bCs/>
                <w:sz w:val="24"/>
                <w:szCs w:val="24"/>
              </w:rPr>
            </w:pPr>
            <w:r w:rsidRPr="0043547B">
              <w:rPr>
                <w:rFonts w:cstheme="minorHAnsi"/>
                <w:b/>
                <w:bCs/>
                <w:sz w:val="24"/>
                <w:szCs w:val="24"/>
              </w:rPr>
              <w:lastRenderedPageBreak/>
              <w:t>Domaine d’application :</w:t>
            </w:r>
          </w:p>
        </w:tc>
        <w:tc>
          <w:tcPr>
            <w:tcW w:w="7938" w:type="dxa"/>
            <w:tcBorders>
              <w:top w:val="single" w:sz="4" w:space="0" w:color="auto"/>
              <w:bottom w:val="single" w:sz="18" w:space="0" w:color="auto"/>
              <w:right w:val="single" w:sz="18" w:space="0" w:color="auto"/>
            </w:tcBorders>
            <w:shd w:val="clear" w:color="auto" w:fill="auto"/>
            <w:vAlign w:val="bottom"/>
          </w:tcPr>
          <w:p w:rsidR="002E6B2B" w:rsidRDefault="003058D4" w:rsidP="002E6B2B">
            <w:pPr>
              <w:spacing w:after="0" w:line="240" w:lineRule="auto"/>
              <w:jc w:val="both"/>
              <w:rPr>
                <w:rFonts w:cstheme="minorHAnsi"/>
                <w:sz w:val="24"/>
                <w:szCs w:val="24"/>
              </w:rPr>
            </w:pPr>
            <w:r w:rsidRPr="0043547B">
              <w:rPr>
                <w:rFonts w:cstheme="minorHAnsi"/>
                <w:sz w:val="24"/>
                <w:szCs w:val="24"/>
              </w:rPr>
              <w:t>La présente Norme européenne spécifie les exigences et les méthodes d'essai des déclencheurs manuels intégrés dans les systèmes de détection et d'alarme incendie. Elle prend en compte les conditions d’environnement pour une installation à l’intérieur et à l’extérieur des bâtiments ainsi que l'aspect et la manoeuvre des déclencheurs manuels de type A (simple action) et de type B (double action). Elle concerne ceux qui sont de simples interrupteurs mécaniques, ceux qui sont équipés de composants électroniques passifs (par exemple, résistances et diodes) et ceux contenant un circuit électronique actif fonctionnant avec un équipement de contrôle et de signalisation pour identifier, par exemple, une adresse ou une position.</w:t>
            </w:r>
          </w:p>
          <w:p w:rsidR="003058D4" w:rsidRPr="0043547B" w:rsidRDefault="003058D4" w:rsidP="002E6B2B">
            <w:pPr>
              <w:spacing w:after="0" w:line="240" w:lineRule="auto"/>
              <w:jc w:val="both"/>
              <w:rPr>
                <w:rFonts w:cstheme="minorHAnsi"/>
                <w:sz w:val="24"/>
                <w:szCs w:val="24"/>
              </w:rPr>
            </w:pPr>
            <w:r w:rsidRPr="0043547B">
              <w:rPr>
                <w:rFonts w:cstheme="minorHAnsi"/>
                <w:sz w:val="24"/>
                <w:szCs w:val="24"/>
              </w:rPr>
              <w:t>La présente Norme européenne ne s'applique pas aux déclencheurs manuels destinés à des applications particulières, par exemple les déclencheurs manuels à sécurité intrinsèque ou ceux utilisés dans des conditions dangereuses, si ces applications requièrent d’autres exigences et essais complémentaires que ceux spécifiés dans cette norme.</w:t>
            </w:r>
          </w:p>
        </w:tc>
      </w:tr>
      <w:tr w:rsidR="0043547B" w:rsidRPr="0043547B" w:rsidTr="002E6B2B">
        <w:trPr>
          <w:gridBefore w:val="1"/>
          <w:wBefore w:w="18" w:type="dxa"/>
          <w:trHeight w:val="23"/>
          <w:jc w:val="center"/>
        </w:trPr>
        <w:tc>
          <w:tcPr>
            <w:tcW w:w="1856" w:type="dxa"/>
            <w:tcBorders>
              <w:top w:val="nil"/>
              <w:left w:val="single" w:sz="18" w:space="0" w:color="auto"/>
              <w:bottom w:val="single" w:sz="18" w:space="0" w:color="auto"/>
              <w:right w:val="single" w:sz="8" w:space="0" w:color="auto"/>
            </w:tcBorders>
            <w:shd w:val="clear" w:color="auto" w:fill="C2D69B" w:themeFill="accent3" w:themeFillTint="99"/>
            <w:vAlign w:val="center"/>
          </w:tcPr>
          <w:p w:rsidR="003058D4" w:rsidRPr="00B35BDA" w:rsidRDefault="003058D4" w:rsidP="002E6B2B">
            <w:pPr>
              <w:spacing w:after="0" w:line="240" w:lineRule="auto"/>
              <w:jc w:val="center"/>
              <w:rPr>
                <w:rFonts w:cstheme="minorHAnsi"/>
                <w:b/>
                <w:bCs/>
                <w:sz w:val="24"/>
                <w:szCs w:val="24"/>
              </w:rPr>
            </w:pPr>
            <w:r w:rsidRPr="00B35BDA">
              <w:rPr>
                <w:rFonts w:cstheme="minorHAnsi"/>
                <w:b/>
                <w:bCs/>
                <w:sz w:val="24"/>
                <w:szCs w:val="24"/>
              </w:rPr>
              <w:t>Code :</w:t>
            </w:r>
          </w:p>
        </w:tc>
        <w:tc>
          <w:tcPr>
            <w:tcW w:w="7938" w:type="dxa"/>
            <w:tcBorders>
              <w:bottom w:val="single" w:sz="18" w:space="0" w:color="auto"/>
              <w:right w:val="single" w:sz="18" w:space="0" w:color="auto"/>
            </w:tcBorders>
            <w:shd w:val="clear" w:color="auto" w:fill="C2D69B" w:themeFill="accent3" w:themeFillTint="99"/>
            <w:vAlign w:val="bottom"/>
          </w:tcPr>
          <w:p w:rsidR="003058D4" w:rsidRPr="00B35BDA" w:rsidRDefault="003058D4" w:rsidP="002E6B2B">
            <w:pPr>
              <w:spacing w:after="0" w:line="240" w:lineRule="auto"/>
              <w:jc w:val="center"/>
              <w:rPr>
                <w:rFonts w:cstheme="minorHAnsi"/>
                <w:b/>
                <w:bCs/>
                <w:sz w:val="24"/>
                <w:szCs w:val="24"/>
              </w:rPr>
            </w:pPr>
            <w:r w:rsidRPr="00B35BDA">
              <w:rPr>
                <w:rFonts w:cstheme="minorHAnsi"/>
                <w:b/>
                <w:bCs/>
                <w:sz w:val="24"/>
                <w:szCs w:val="24"/>
              </w:rPr>
              <w:t>NM EN 54-12</w:t>
            </w:r>
          </w:p>
        </w:tc>
      </w:tr>
      <w:tr w:rsidR="0043547B" w:rsidRPr="0043547B" w:rsidTr="002E6B2B">
        <w:trPr>
          <w:gridBefore w:val="1"/>
          <w:wBefore w:w="18" w:type="dxa"/>
          <w:trHeight w:val="23"/>
          <w:jc w:val="center"/>
        </w:trPr>
        <w:tc>
          <w:tcPr>
            <w:tcW w:w="1856" w:type="dxa"/>
            <w:tcBorders>
              <w:top w:val="single" w:sz="18" w:space="0" w:color="auto"/>
              <w:left w:val="single" w:sz="18" w:space="0" w:color="auto"/>
              <w:bottom w:val="single" w:sz="4" w:space="0" w:color="auto"/>
              <w:right w:val="single" w:sz="8" w:space="0" w:color="auto"/>
            </w:tcBorders>
            <w:shd w:val="clear" w:color="auto" w:fill="FDFBA9"/>
            <w:vAlign w:val="center"/>
          </w:tcPr>
          <w:p w:rsidR="003058D4" w:rsidRPr="00B35BDA" w:rsidRDefault="003058D4" w:rsidP="002E6B2B">
            <w:pPr>
              <w:spacing w:after="0" w:line="240" w:lineRule="auto"/>
              <w:jc w:val="center"/>
              <w:rPr>
                <w:rFonts w:cstheme="minorHAnsi"/>
                <w:b/>
                <w:bCs/>
                <w:sz w:val="24"/>
                <w:szCs w:val="24"/>
              </w:rPr>
            </w:pPr>
            <w:r w:rsidRPr="00B35BDA">
              <w:rPr>
                <w:rFonts w:cstheme="minorHAnsi"/>
                <w:b/>
                <w:bCs/>
                <w:sz w:val="24"/>
                <w:szCs w:val="24"/>
              </w:rPr>
              <w:t>Equivalence :</w:t>
            </w:r>
          </w:p>
        </w:tc>
        <w:tc>
          <w:tcPr>
            <w:tcW w:w="7938" w:type="dxa"/>
            <w:tcBorders>
              <w:top w:val="single" w:sz="18" w:space="0" w:color="auto"/>
              <w:bottom w:val="single" w:sz="4" w:space="0" w:color="auto"/>
              <w:right w:val="single" w:sz="18" w:space="0" w:color="auto"/>
            </w:tcBorders>
            <w:shd w:val="clear" w:color="auto" w:fill="FDFBA9"/>
            <w:vAlign w:val="bottom"/>
          </w:tcPr>
          <w:p w:rsidR="003058D4" w:rsidRPr="00B35BDA" w:rsidRDefault="00B35BDA" w:rsidP="002E6B2B">
            <w:pPr>
              <w:spacing w:after="0" w:line="240" w:lineRule="auto"/>
              <w:jc w:val="center"/>
              <w:rPr>
                <w:rFonts w:cstheme="minorHAnsi"/>
                <w:b/>
                <w:bCs/>
                <w:sz w:val="24"/>
                <w:szCs w:val="24"/>
              </w:rPr>
            </w:pPr>
            <w:r w:rsidRPr="00B35BDA">
              <w:rPr>
                <w:rFonts w:cstheme="minorHAnsi"/>
                <w:b/>
                <w:bCs/>
                <w:sz w:val="24"/>
                <w:szCs w:val="24"/>
              </w:rPr>
              <w:t>EN 54-12</w:t>
            </w:r>
          </w:p>
        </w:tc>
      </w:tr>
      <w:tr w:rsidR="0043547B" w:rsidRPr="0043547B" w:rsidTr="002E6B2B">
        <w:trPr>
          <w:gridBefore w:val="1"/>
          <w:wBefore w:w="18" w:type="dxa"/>
          <w:trHeight w:val="23"/>
          <w:jc w:val="center"/>
        </w:trPr>
        <w:tc>
          <w:tcPr>
            <w:tcW w:w="1856" w:type="dxa"/>
            <w:tcBorders>
              <w:top w:val="single" w:sz="4" w:space="0" w:color="auto"/>
              <w:left w:val="single" w:sz="18" w:space="0" w:color="auto"/>
              <w:bottom w:val="single" w:sz="4" w:space="0" w:color="auto"/>
              <w:right w:val="single" w:sz="8" w:space="0" w:color="auto"/>
            </w:tcBorders>
            <w:shd w:val="clear" w:color="auto" w:fill="95B3D7" w:themeFill="accent1" w:themeFillTint="99"/>
            <w:vAlign w:val="center"/>
          </w:tcPr>
          <w:p w:rsidR="003058D4" w:rsidRPr="0043547B" w:rsidRDefault="003058D4" w:rsidP="002E6B2B">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bottom w:val="single" w:sz="4" w:space="0" w:color="auto"/>
              <w:right w:val="single" w:sz="18" w:space="0" w:color="auto"/>
            </w:tcBorders>
            <w:shd w:val="clear" w:color="auto" w:fill="auto"/>
            <w:vAlign w:val="bottom"/>
          </w:tcPr>
          <w:p w:rsidR="003058D4" w:rsidRPr="0043547B" w:rsidRDefault="003058D4" w:rsidP="002E6B2B">
            <w:pPr>
              <w:spacing w:after="0" w:line="240" w:lineRule="auto"/>
              <w:rPr>
                <w:rFonts w:cstheme="minorHAnsi"/>
                <w:sz w:val="24"/>
                <w:szCs w:val="24"/>
              </w:rPr>
            </w:pPr>
            <w:r w:rsidRPr="0043547B">
              <w:rPr>
                <w:rFonts w:cstheme="minorHAnsi"/>
                <w:sz w:val="24"/>
                <w:szCs w:val="24"/>
              </w:rPr>
              <w:t xml:space="preserve">Systèmes de détection et d'alarme incendie - Partie 12: Détecteurs de fumée - Détecteurs linéaires fonctionnant suivant le principe de la transmission d'un faisceau d'ondes optiques rayonnées ; </w:t>
            </w:r>
          </w:p>
        </w:tc>
      </w:tr>
      <w:tr w:rsidR="0043547B" w:rsidRPr="0043547B" w:rsidTr="002E6B2B">
        <w:trPr>
          <w:gridBefore w:val="1"/>
          <w:wBefore w:w="18" w:type="dxa"/>
          <w:trHeight w:val="2115"/>
          <w:jc w:val="center"/>
        </w:trPr>
        <w:tc>
          <w:tcPr>
            <w:tcW w:w="1856" w:type="dxa"/>
            <w:tcBorders>
              <w:top w:val="single" w:sz="4" w:space="0" w:color="auto"/>
              <w:left w:val="single" w:sz="18" w:space="0" w:color="auto"/>
              <w:bottom w:val="single" w:sz="18" w:space="0" w:color="auto"/>
              <w:right w:val="single" w:sz="8" w:space="0" w:color="auto"/>
            </w:tcBorders>
            <w:shd w:val="clear" w:color="000000" w:fill="D9D9D9"/>
            <w:vAlign w:val="center"/>
          </w:tcPr>
          <w:p w:rsidR="003058D4" w:rsidRPr="0043547B" w:rsidRDefault="003058D4" w:rsidP="002E6B2B">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bottom w:val="single" w:sz="18" w:space="0" w:color="auto"/>
              <w:right w:val="single" w:sz="18" w:space="0" w:color="auto"/>
            </w:tcBorders>
            <w:shd w:val="clear" w:color="auto" w:fill="auto"/>
          </w:tcPr>
          <w:p w:rsidR="002E6B2B" w:rsidRDefault="003058D4" w:rsidP="002E6B2B">
            <w:pPr>
              <w:spacing w:after="0" w:line="240" w:lineRule="auto"/>
              <w:jc w:val="both"/>
              <w:rPr>
                <w:rFonts w:cstheme="minorHAnsi"/>
                <w:sz w:val="24"/>
                <w:szCs w:val="24"/>
              </w:rPr>
            </w:pPr>
            <w:r w:rsidRPr="0043547B">
              <w:rPr>
                <w:rFonts w:cstheme="minorHAnsi"/>
                <w:sz w:val="24"/>
                <w:szCs w:val="24"/>
              </w:rPr>
              <w:t>La présente Norme européenne spécifie les exigences, les méthodes d’essai et les critères de performance des détecteurs linéaires de fumée fonctionnant suivant le principe de la transmission d'un faisceau d'ondes optiques rayonnées qui détectent la fumée par atténuation et/ou par variation de l'atténuation d’un faisceau d’ondes optiques, utilisés dans les systèmes de détection et d’alarme incendie installés dans les bâtiments (voir l’EN 54-1:2011).</w:t>
            </w:r>
          </w:p>
          <w:p w:rsidR="002E6B2B" w:rsidRDefault="003058D4" w:rsidP="002E6B2B">
            <w:pPr>
              <w:spacing w:after="0" w:line="240" w:lineRule="auto"/>
              <w:jc w:val="both"/>
              <w:rPr>
                <w:rFonts w:cstheme="minorHAnsi"/>
                <w:sz w:val="24"/>
                <w:szCs w:val="24"/>
              </w:rPr>
            </w:pPr>
            <w:r w:rsidRPr="0043547B">
              <w:rPr>
                <w:rFonts w:cstheme="minorHAnsi"/>
                <w:sz w:val="24"/>
                <w:szCs w:val="24"/>
              </w:rPr>
              <w:t>La présente Norme européenne prévoit l'évaluation et la vérification de la constance des performances (EVCP) des détecteurs linéaires fonctionnant suivant le principe de la transmission d'un faisceau d'ondes optiques rayonnées, par rapport à la présente EN.</w:t>
            </w:r>
          </w:p>
          <w:p w:rsidR="002E6B2B" w:rsidRDefault="003058D4" w:rsidP="002E6B2B">
            <w:pPr>
              <w:spacing w:after="0" w:line="240" w:lineRule="auto"/>
              <w:jc w:val="both"/>
              <w:rPr>
                <w:rFonts w:cstheme="minorHAnsi"/>
                <w:sz w:val="24"/>
                <w:szCs w:val="24"/>
              </w:rPr>
            </w:pPr>
            <w:r w:rsidRPr="0043547B">
              <w:rPr>
                <w:rFonts w:cstheme="minorHAnsi"/>
                <w:sz w:val="24"/>
                <w:szCs w:val="24"/>
              </w:rPr>
              <w:t>La présente Norme européenne ne couvre pas :</w:t>
            </w:r>
          </w:p>
          <w:p w:rsidR="002E6B2B" w:rsidRDefault="003058D4" w:rsidP="002E6B2B">
            <w:pPr>
              <w:spacing w:after="0" w:line="240" w:lineRule="auto"/>
              <w:jc w:val="both"/>
              <w:rPr>
                <w:rFonts w:cstheme="minorHAnsi"/>
                <w:sz w:val="24"/>
                <w:szCs w:val="24"/>
              </w:rPr>
            </w:pPr>
            <w:r w:rsidRPr="0043547B">
              <w:rPr>
                <w:rFonts w:cstheme="minorHAnsi"/>
                <w:sz w:val="24"/>
                <w:szCs w:val="24"/>
              </w:rPr>
              <w:t>— les détecteurs linéaires fonctionnant suivant le principe de la transmission d'un faisceau d'ondes optiques rayonnées, conçus pour fonctionner avec des composants opposés ayant une portée inférieure à 1 m ;</w:t>
            </w:r>
          </w:p>
          <w:p w:rsidR="002E6B2B" w:rsidRDefault="003058D4" w:rsidP="002E6B2B">
            <w:pPr>
              <w:spacing w:after="0" w:line="240" w:lineRule="auto"/>
              <w:jc w:val="both"/>
              <w:rPr>
                <w:rFonts w:cstheme="minorHAnsi"/>
                <w:sz w:val="24"/>
                <w:szCs w:val="24"/>
              </w:rPr>
            </w:pPr>
            <w:r w:rsidRPr="0043547B">
              <w:rPr>
                <w:rFonts w:cstheme="minorHAnsi"/>
                <w:sz w:val="24"/>
                <w:szCs w:val="24"/>
              </w:rPr>
              <w:t>— les détecteurs linéaires fonctionnant suivant le principe de la transmission d'un faisceau d'ondes optiques rayonnées dont le parcours optique est défini ou réglé par une liaison mécanique intégrée ;</w:t>
            </w:r>
          </w:p>
          <w:p w:rsidR="002E6B2B" w:rsidRDefault="003058D4" w:rsidP="002E6B2B">
            <w:pPr>
              <w:spacing w:after="0" w:line="240" w:lineRule="auto"/>
              <w:jc w:val="both"/>
              <w:rPr>
                <w:rFonts w:cstheme="minorHAnsi"/>
                <w:sz w:val="24"/>
                <w:szCs w:val="24"/>
              </w:rPr>
            </w:pPr>
            <w:r w:rsidRPr="0043547B">
              <w:rPr>
                <w:rFonts w:cstheme="minorHAnsi"/>
                <w:sz w:val="24"/>
                <w:szCs w:val="24"/>
              </w:rPr>
              <w:t>— les détecteurs linéaires fonctionnant suivant le principe de la transmission d'un faisceau d'ondes optiques rayonnées possédant des caractéristiques particulières ne pouvant pas être évaluées par les méthodes d’essai de cette Norme européenne.</w:t>
            </w:r>
          </w:p>
          <w:p w:rsidR="003058D4" w:rsidRPr="0043547B" w:rsidRDefault="003058D4" w:rsidP="002E6B2B">
            <w:pPr>
              <w:spacing w:after="0" w:line="240" w:lineRule="auto"/>
              <w:jc w:val="both"/>
              <w:rPr>
                <w:rFonts w:cstheme="minorHAnsi"/>
                <w:sz w:val="24"/>
                <w:szCs w:val="24"/>
              </w:rPr>
            </w:pPr>
            <w:r w:rsidRPr="002E6B2B">
              <w:rPr>
                <w:rFonts w:cstheme="minorHAnsi"/>
                <w:b/>
                <w:bCs/>
                <w:i/>
                <w:iCs/>
              </w:rPr>
              <w:t>NOTE :</w:t>
            </w:r>
            <w:r w:rsidRPr="002E6B2B">
              <w:rPr>
                <w:rFonts w:cstheme="minorHAnsi"/>
                <w:i/>
                <w:iCs/>
              </w:rPr>
              <w:t xml:space="preserve"> Le terme « ondes optiques » décrit la partie du spectre électromagnétique produite par un émetteur et à laquelle un récepteur répond ; ce terme ne se limite pas aux longueurs d'ondes visibles.</w:t>
            </w:r>
          </w:p>
        </w:tc>
      </w:tr>
      <w:tr w:rsidR="0043547B" w:rsidRPr="0043547B" w:rsidTr="009023A9">
        <w:trPr>
          <w:gridBefore w:val="1"/>
          <w:wBefore w:w="18" w:type="dxa"/>
          <w:trHeight w:val="23"/>
          <w:jc w:val="center"/>
        </w:trPr>
        <w:tc>
          <w:tcPr>
            <w:tcW w:w="1856" w:type="dxa"/>
            <w:tcBorders>
              <w:top w:val="nil"/>
              <w:left w:val="single" w:sz="18" w:space="0" w:color="auto"/>
              <w:bottom w:val="single" w:sz="18" w:space="0" w:color="auto"/>
              <w:right w:val="single" w:sz="8" w:space="0" w:color="auto"/>
            </w:tcBorders>
            <w:shd w:val="clear" w:color="auto" w:fill="C2D69B" w:themeFill="accent3" w:themeFillTint="99"/>
            <w:vAlign w:val="center"/>
          </w:tcPr>
          <w:p w:rsidR="003058D4" w:rsidRPr="00B35BDA" w:rsidRDefault="003058D4" w:rsidP="009023A9">
            <w:pPr>
              <w:spacing w:after="0" w:line="240" w:lineRule="auto"/>
              <w:jc w:val="center"/>
              <w:rPr>
                <w:rFonts w:cstheme="minorHAnsi"/>
                <w:b/>
                <w:bCs/>
                <w:sz w:val="24"/>
                <w:szCs w:val="24"/>
              </w:rPr>
            </w:pPr>
            <w:r w:rsidRPr="00B35BDA">
              <w:rPr>
                <w:rFonts w:cstheme="minorHAnsi"/>
                <w:b/>
                <w:bCs/>
                <w:sz w:val="24"/>
                <w:szCs w:val="24"/>
              </w:rPr>
              <w:t>Code :</w:t>
            </w:r>
          </w:p>
        </w:tc>
        <w:tc>
          <w:tcPr>
            <w:tcW w:w="7938" w:type="dxa"/>
            <w:tcBorders>
              <w:bottom w:val="single" w:sz="18" w:space="0" w:color="auto"/>
              <w:right w:val="single" w:sz="18" w:space="0" w:color="auto"/>
            </w:tcBorders>
            <w:shd w:val="clear" w:color="auto" w:fill="C2D69B" w:themeFill="accent3" w:themeFillTint="99"/>
            <w:vAlign w:val="bottom"/>
          </w:tcPr>
          <w:p w:rsidR="003058D4" w:rsidRPr="00B35BDA" w:rsidRDefault="003058D4" w:rsidP="009023A9">
            <w:pPr>
              <w:spacing w:after="0" w:line="240" w:lineRule="auto"/>
              <w:jc w:val="center"/>
              <w:rPr>
                <w:rFonts w:cstheme="minorHAnsi"/>
                <w:b/>
                <w:bCs/>
                <w:sz w:val="24"/>
                <w:szCs w:val="24"/>
              </w:rPr>
            </w:pPr>
            <w:r w:rsidRPr="00B35BDA">
              <w:rPr>
                <w:rFonts w:cstheme="minorHAnsi"/>
                <w:b/>
                <w:bCs/>
                <w:sz w:val="24"/>
                <w:szCs w:val="24"/>
              </w:rPr>
              <w:t>NM EN 54-17</w:t>
            </w:r>
          </w:p>
        </w:tc>
      </w:tr>
      <w:tr w:rsidR="0043547B" w:rsidRPr="0043547B" w:rsidTr="009023A9">
        <w:trPr>
          <w:gridBefore w:val="1"/>
          <w:wBefore w:w="18" w:type="dxa"/>
          <w:trHeight w:val="23"/>
          <w:jc w:val="center"/>
        </w:trPr>
        <w:tc>
          <w:tcPr>
            <w:tcW w:w="1856" w:type="dxa"/>
            <w:tcBorders>
              <w:top w:val="single" w:sz="18" w:space="0" w:color="auto"/>
              <w:left w:val="single" w:sz="18" w:space="0" w:color="auto"/>
              <w:bottom w:val="single" w:sz="4" w:space="0" w:color="auto"/>
              <w:right w:val="single" w:sz="8" w:space="0" w:color="auto"/>
            </w:tcBorders>
            <w:shd w:val="clear" w:color="auto" w:fill="FDFBA9"/>
            <w:vAlign w:val="center"/>
          </w:tcPr>
          <w:p w:rsidR="003058D4" w:rsidRPr="00B35BDA" w:rsidRDefault="003058D4" w:rsidP="009023A9">
            <w:pPr>
              <w:spacing w:after="0" w:line="240" w:lineRule="auto"/>
              <w:jc w:val="center"/>
              <w:rPr>
                <w:rFonts w:cstheme="minorHAnsi"/>
                <w:b/>
                <w:bCs/>
                <w:sz w:val="24"/>
                <w:szCs w:val="24"/>
              </w:rPr>
            </w:pPr>
            <w:r w:rsidRPr="00B35BDA">
              <w:rPr>
                <w:rFonts w:cstheme="minorHAnsi"/>
                <w:b/>
                <w:bCs/>
                <w:sz w:val="24"/>
                <w:szCs w:val="24"/>
              </w:rPr>
              <w:t>Equivalence :</w:t>
            </w:r>
          </w:p>
        </w:tc>
        <w:tc>
          <w:tcPr>
            <w:tcW w:w="7938" w:type="dxa"/>
            <w:tcBorders>
              <w:top w:val="single" w:sz="18" w:space="0" w:color="auto"/>
              <w:bottom w:val="single" w:sz="4" w:space="0" w:color="auto"/>
              <w:right w:val="single" w:sz="18" w:space="0" w:color="auto"/>
            </w:tcBorders>
            <w:shd w:val="clear" w:color="auto" w:fill="FDFBA9"/>
            <w:vAlign w:val="bottom"/>
          </w:tcPr>
          <w:p w:rsidR="003058D4" w:rsidRPr="00B35BDA" w:rsidRDefault="00B35BDA" w:rsidP="009023A9">
            <w:pPr>
              <w:spacing w:after="0" w:line="240" w:lineRule="auto"/>
              <w:jc w:val="center"/>
              <w:rPr>
                <w:rFonts w:cstheme="minorHAnsi"/>
                <w:b/>
                <w:bCs/>
                <w:sz w:val="24"/>
                <w:szCs w:val="24"/>
              </w:rPr>
            </w:pPr>
            <w:r w:rsidRPr="00B35BDA">
              <w:rPr>
                <w:rFonts w:cstheme="minorHAnsi"/>
                <w:b/>
                <w:bCs/>
                <w:sz w:val="24"/>
                <w:szCs w:val="24"/>
              </w:rPr>
              <w:t>EN 54-17</w:t>
            </w:r>
          </w:p>
        </w:tc>
      </w:tr>
      <w:tr w:rsidR="0043547B" w:rsidRPr="0043547B" w:rsidTr="009023A9">
        <w:trPr>
          <w:gridBefore w:val="1"/>
          <w:wBefore w:w="18" w:type="dxa"/>
          <w:trHeight w:val="23"/>
          <w:jc w:val="center"/>
        </w:trPr>
        <w:tc>
          <w:tcPr>
            <w:tcW w:w="1856" w:type="dxa"/>
            <w:tcBorders>
              <w:top w:val="single" w:sz="4" w:space="0" w:color="auto"/>
              <w:left w:val="single" w:sz="18" w:space="0" w:color="auto"/>
              <w:bottom w:val="single" w:sz="4" w:space="0" w:color="auto"/>
              <w:right w:val="single" w:sz="8" w:space="0" w:color="auto"/>
            </w:tcBorders>
            <w:shd w:val="clear" w:color="auto" w:fill="95B3D7" w:themeFill="accent1" w:themeFillTint="99"/>
            <w:vAlign w:val="center"/>
          </w:tcPr>
          <w:p w:rsidR="003058D4" w:rsidRPr="0043547B" w:rsidRDefault="003058D4" w:rsidP="009023A9">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bottom w:val="single" w:sz="4" w:space="0" w:color="auto"/>
              <w:right w:val="single" w:sz="18" w:space="0" w:color="auto"/>
            </w:tcBorders>
            <w:shd w:val="clear" w:color="auto" w:fill="auto"/>
            <w:vAlign w:val="bottom"/>
          </w:tcPr>
          <w:p w:rsidR="003058D4" w:rsidRPr="0043547B" w:rsidRDefault="003058D4" w:rsidP="009023A9">
            <w:pPr>
              <w:spacing w:after="0" w:line="240" w:lineRule="auto"/>
              <w:rPr>
                <w:rFonts w:cstheme="minorHAnsi"/>
                <w:sz w:val="24"/>
                <w:szCs w:val="24"/>
              </w:rPr>
            </w:pPr>
            <w:r w:rsidRPr="0043547B">
              <w:rPr>
                <w:rFonts w:cstheme="minorHAnsi"/>
                <w:sz w:val="24"/>
                <w:szCs w:val="24"/>
              </w:rPr>
              <w:t xml:space="preserve">Systèmes de détection et d'alarme incendie - Partie 17: Isolateurs de court-circuit ; </w:t>
            </w:r>
          </w:p>
        </w:tc>
      </w:tr>
      <w:tr w:rsidR="0043547B" w:rsidRPr="0043547B" w:rsidTr="009023A9">
        <w:trPr>
          <w:gridBefore w:val="1"/>
          <w:wBefore w:w="18" w:type="dxa"/>
          <w:trHeight w:val="2115"/>
          <w:jc w:val="center"/>
        </w:trPr>
        <w:tc>
          <w:tcPr>
            <w:tcW w:w="1856" w:type="dxa"/>
            <w:tcBorders>
              <w:top w:val="single" w:sz="4" w:space="0" w:color="auto"/>
              <w:left w:val="single" w:sz="18" w:space="0" w:color="auto"/>
              <w:bottom w:val="single" w:sz="18" w:space="0" w:color="auto"/>
              <w:right w:val="single" w:sz="8" w:space="0" w:color="auto"/>
            </w:tcBorders>
            <w:shd w:val="clear" w:color="000000" w:fill="D9D9D9"/>
            <w:vAlign w:val="center"/>
          </w:tcPr>
          <w:p w:rsidR="003058D4" w:rsidRPr="0043547B" w:rsidRDefault="003058D4" w:rsidP="009023A9">
            <w:pPr>
              <w:spacing w:after="0" w:line="240" w:lineRule="auto"/>
              <w:jc w:val="center"/>
              <w:rPr>
                <w:rFonts w:cstheme="minorHAnsi"/>
                <w:b/>
                <w:bCs/>
                <w:sz w:val="24"/>
                <w:szCs w:val="24"/>
              </w:rPr>
            </w:pPr>
            <w:r w:rsidRPr="0043547B">
              <w:rPr>
                <w:rFonts w:cstheme="minorHAnsi"/>
                <w:b/>
                <w:bCs/>
                <w:sz w:val="24"/>
                <w:szCs w:val="24"/>
              </w:rPr>
              <w:lastRenderedPageBreak/>
              <w:t>Domaine d’application :</w:t>
            </w:r>
          </w:p>
        </w:tc>
        <w:tc>
          <w:tcPr>
            <w:tcW w:w="7938" w:type="dxa"/>
            <w:tcBorders>
              <w:top w:val="single" w:sz="4" w:space="0" w:color="auto"/>
              <w:bottom w:val="single" w:sz="18" w:space="0" w:color="auto"/>
              <w:right w:val="single" w:sz="18" w:space="0" w:color="auto"/>
            </w:tcBorders>
            <w:shd w:val="clear" w:color="auto" w:fill="auto"/>
          </w:tcPr>
          <w:p w:rsidR="003058D4" w:rsidRPr="0043547B" w:rsidRDefault="003058D4" w:rsidP="009023A9">
            <w:pPr>
              <w:spacing w:after="0" w:line="240" w:lineRule="auto"/>
              <w:jc w:val="both"/>
              <w:rPr>
                <w:rFonts w:cstheme="minorHAnsi"/>
                <w:sz w:val="24"/>
                <w:szCs w:val="24"/>
              </w:rPr>
            </w:pPr>
            <w:r w:rsidRPr="0043547B">
              <w:rPr>
                <w:rFonts w:cstheme="minorHAnsi"/>
                <w:sz w:val="24"/>
                <w:szCs w:val="24"/>
              </w:rPr>
              <w:t>La présente Norme européenne spécifie les exigences, les méthodes d'essai et les critères de performance relatifs aux isolateurs de court-circuit utilisés dans les systèmes de détection et d'alarme incendie dans les bâtiments (voir EN 54-1).</w:t>
            </w:r>
            <w:r w:rsidRPr="0043547B">
              <w:rPr>
                <w:rFonts w:cstheme="minorHAnsi"/>
                <w:sz w:val="24"/>
                <w:szCs w:val="24"/>
              </w:rPr>
              <w:br/>
              <w:t>Les systèmes d’isolation ou de protection intégrés dans l’équipement de contrôle et de signalisation (point B de la Figure 1 de l’EN 54-1:1996) ne sont pas couverts par la présente Norme européenne.</w:t>
            </w:r>
          </w:p>
        </w:tc>
      </w:tr>
      <w:tr w:rsidR="0043547B" w:rsidRPr="0043547B" w:rsidTr="009023A9">
        <w:trPr>
          <w:gridBefore w:val="1"/>
          <w:wBefore w:w="18" w:type="dxa"/>
          <w:trHeight w:val="23"/>
          <w:jc w:val="center"/>
        </w:trPr>
        <w:tc>
          <w:tcPr>
            <w:tcW w:w="1856" w:type="dxa"/>
            <w:tcBorders>
              <w:top w:val="nil"/>
              <w:left w:val="single" w:sz="18" w:space="0" w:color="auto"/>
              <w:bottom w:val="single" w:sz="18" w:space="0" w:color="auto"/>
              <w:right w:val="single" w:sz="8" w:space="0" w:color="auto"/>
            </w:tcBorders>
            <w:shd w:val="clear" w:color="auto" w:fill="C2D69B" w:themeFill="accent3" w:themeFillTint="99"/>
            <w:vAlign w:val="center"/>
          </w:tcPr>
          <w:p w:rsidR="003058D4" w:rsidRPr="00B35BDA" w:rsidRDefault="003058D4" w:rsidP="009023A9">
            <w:pPr>
              <w:spacing w:after="0" w:line="240" w:lineRule="auto"/>
              <w:jc w:val="center"/>
              <w:rPr>
                <w:rFonts w:cstheme="minorHAnsi"/>
                <w:b/>
                <w:bCs/>
                <w:sz w:val="24"/>
                <w:szCs w:val="24"/>
              </w:rPr>
            </w:pPr>
            <w:r w:rsidRPr="00B35BDA">
              <w:rPr>
                <w:rFonts w:cstheme="minorHAnsi"/>
                <w:b/>
                <w:bCs/>
                <w:sz w:val="24"/>
                <w:szCs w:val="24"/>
              </w:rPr>
              <w:t>Code :</w:t>
            </w:r>
          </w:p>
        </w:tc>
        <w:tc>
          <w:tcPr>
            <w:tcW w:w="7938" w:type="dxa"/>
            <w:tcBorders>
              <w:bottom w:val="single" w:sz="18" w:space="0" w:color="auto"/>
              <w:right w:val="single" w:sz="18" w:space="0" w:color="auto"/>
            </w:tcBorders>
            <w:shd w:val="clear" w:color="auto" w:fill="C2D69B" w:themeFill="accent3" w:themeFillTint="99"/>
            <w:vAlign w:val="bottom"/>
          </w:tcPr>
          <w:p w:rsidR="003058D4" w:rsidRPr="00B35BDA" w:rsidRDefault="003058D4" w:rsidP="009023A9">
            <w:pPr>
              <w:spacing w:after="0" w:line="240" w:lineRule="auto"/>
              <w:jc w:val="center"/>
              <w:rPr>
                <w:rFonts w:cstheme="minorHAnsi"/>
                <w:b/>
                <w:bCs/>
                <w:sz w:val="24"/>
                <w:szCs w:val="24"/>
              </w:rPr>
            </w:pPr>
            <w:r w:rsidRPr="00B35BDA">
              <w:rPr>
                <w:rFonts w:cstheme="minorHAnsi"/>
                <w:b/>
                <w:bCs/>
                <w:sz w:val="24"/>
                <w:szCs w:val="24"/>
              </w:rPr>
              <w:t>NM EN 54-18</w:t>
            </w:r>
          </w:p>
        </w:tc>
      </w:tr>
      <w:tr w:rsidR="0043547B" w:rsidRPr="0043547B" w:rsidTr="009023A9">
        <w:trPr>
          <w:gridBefore w:val="1"/>
          <w:wBefore w:w="18" w:type="dxa"/>
          <w:trHeight w:val="23"/>
          <w:jc w:val="center"/>
        </w:trPr>
        <w:tc>
          <w:tcPr>
            <w:tcW w:w="1856" w:type="dxa"/>
            <w:tcBorders>
              <w:top w:val="single" w:sz="18" w:space="0" w:color="auto"/>
              <w:left w:val="single" w:sz="18" w:space="0" w:color="auto"/>
              <w:bottom w:val="single" w:sz="4" w:space="0" w:color="auto"/>
              <w:right w:val="single" w:sz="8" w:space="0" w:color="auto"/>
            </w:tcBorders>
            <w:shd w:val="clear" w:color="auto" w:fill="FDFBA9"/>
            <w:vAlign w:val="center"/>
          </w:tcPr>
          <w:p w:rsidR="003058D4" w:rsidRPr="00B35BDA" w:rsidRDefault="003058D4" w:rsidP="009023A9">
            <w:pPr>
              <w:spacing w:after="0" w:line="240" w:lineRule="auto"/>
              <w:jc w:val="center"/>
              <w:rPr>
                <w:rFonts w:cstheme="minorHAnsi"/>
                <w:b/>
                <w:bCs/>
                <w:sz w:val="24"/>
                <w:szCs w:val="24"/>
              </w:rPr>
            </w:pPr>
            <w:r w:rsidRPr="00B35BDA">
              <w:rPr>
                <w:rFonts w:cstheme="minorHAnsi"/>
                <w:b/>
                <w:bCs/>
                <w:sz w:val="24"/>
                <w:szCs w:val="24"/>
              </w:rPr>
              <w:t>Equivalence :</w:t>
            </w:r>
          </w:p>
        </w:tc>
        <w:tc>
          <w:tcPr>
            <w:tcW w:w="7938" w:type="dxa"/>
            <w:tcBorders>
              <w:top w:val="single" w:sz="18" w:space="0" w:color="auto"/>
              <w:bottom w:val="single" w:sz="4" w:space="0" w:color="auto"/>
              <w:right w:val="single" w:sz="18" w:space="0" w:color="auto"/>
            </w:tcBorders>
            <w:shd w:val="clear" w:color="auto" w:fill="FDFBA9"/>
            <w:vAlign w:val="bottom"/>
          </w:tcPr>
          <w:p w:rsidR="003058D4" w:rsidRPr="00B35BDA" w:rsidRDefault="00B35BDA" w:rsidP="009023A9">
            <w:pPr>
              <w:spacing w:after="0" w:line="240" w:lineRule="auto"/>
              <w:jc w:val="center"/>
              <w:rPr>
                <w:rFonts w:cstheme="minorHAnsi"/>
                <w:b/>
                <w:bCs/>
                <w:sz w:val="24"/>
                <w:szCs w:val="24"/>
              </w:rPr>
            </w:pPr>
            <w:r w:rsidRPr="00B35BDA">
              <w:rPr>
                <w:rFonts w:cstheme="minorHAnsi"/>
                <w:b/>
                <w:bCs/>
                <w:sz w:val="24"/>
                <w:szCs w:val="24"/>
              </w:rPr>
              <w:t>EN 54-18</w:t>
            </w:r>
          </w:p>
        </w:tc>
      </w:tr>
      <w:tr w:rsidR="0043547B" w:rsidRPr="0043547B" w:rsidTr="009023A9">
        <w:trPr>
          <w:gridBefore w:val="1"/>
          <w:wBefore w:w="18" w:type="dxa"/>
          <w:trHeight w:val="23"/>
          <w:jc w:val="center"/>
        </w:trPr>
        <w:tc>
          <w:tcPr>
            <w:tcW w:w="1856" w:type="dxa"/>
            <w:tcBorders>
              <w:top w:val="single" w:sz="4" w:space="0" w:color="auto"/>
              <w:left w:val="single" w:sz="18" w:space="0" w:color="auto"/>
              <w:bottom w:val="single" w:sz="4" w:space="0" w:color="auto"/>
              <w:right w:val="single" w:sz="8" w:space="0" w:color="auto"/>
            </w:tcBorders>
            <w:shd w:val="clear" w:color="auto" w:fill="95B3D7" w:themeFill="accent1" w:themeFillTint="99"/>
            <w:vAlign w:val="center"/>
          </w:tcPr>
          <w:p w:rsidR="003058D4" w:rsidRPr="0043547B" w:rsidRDefault="003058D4" w:rsidP="009023A9">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bottom w:val="single" w:sz="4" w:space="0" w:color="auto"/>
              <w:right w:val="single" w:sz="18" w:space="0" w:color="auto"/>
            </w:tcBorders>
            <w:shd w:val="clear" w:color="auto" w:fill="auto"/>
            <w:vAlign w:val="bottom"/>
          </w:tcPr>
          <w:p w:rsidR="003058D4" w:rsidRPr="0043547B" w:rsidRDefault="003058D4" w:rsidP="009023A9">
            <w:pPr>
              <w:spacing w:after="0" w:line="240" w:lineRule="auto"/>
              <w:rPr>
                <w:rFonts w:cstheme="minorHAnsi"/>
                <w:sz w:val="24"/>
                <w:szCs w:val="24"/>
              </w:rPr>
            </w:pPr>
            <w:r w:rsidRPr="0043547B">
              <w:rPr>
                <w:rFonts w:cstheme="minorHAnsi"/>
                <w:sz w:val="24"/>
                <w:szCs w:val="24"/>
              </w:rPr>
              <w:t xml:space="preserve">Systèmes de détection et d'alarme incendie - Partie 18: Dispositifs d'entrée/sortie ; </w:t>
            </w:r>
          </w:p>
        </w:tc>
      </w:tr>
      <w:tr w:rsidR="0043547B" w:rsidRPr="0043547B" w:rsidTr="006B5B9D">
        <w:trPr>
          <w:gridBefore w:val="1"/>
          <w:wBefore w:w="18" w:type="dxa"/>
          <w:trHeight w:val="701"/>
          <w:jc w:val="center"/>
        </w:trPr>
        <w:tc>
          <w:tcPr>
            <w:tcW w:w="1856" w:type="dxa"/>
            <w:tcBorders>
              <w:top w:val="single" w:sz="4" w:space="0" w:color="auto"/>
              <w:left w:val="single" w:sz="18" w:space="0" w:color="auto"/>
              <w:bottom w:val="single" w:sz="18" w:space="0" w:color="auto"/>
              <w:right w:val="single" w:sz="8" w:space="0" w:color="auto"/>
            </w:tcBorders>
            <w:shd w:val="clear" w:color="000000" w:fill="D9D9D9"/>
            <w:vAlign w:val="center"/>
          </w:tcPr>
          <w:p w:rsidR="003058D4" w:rsidRPr="0043547B" w:rsidRDefault="003058D4" w:rsidP="009023A9">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bottom w:val="single" w:sz="18" w:space="0" w:color="auto"/>
              <w:right w:val="single" w:sz="18" w:space="0" w:color="auto"/>
            </w:tcBorders>
            <w:shd w:val="clear" w:color="auto" w:fill="auto"/>
            <w:vAlign w:val="bottom"/>
          </w:tcPr>
          <w:p w:rsidR="009023A9" w:rsidRDefault="003058D4" w:rsidP="009023A9">
            <w:pPr>
              <w:spacing w:after="0" w:line="240" w:lineRule="auto"/>
              <w:jc w:val="both"/>
              <w:rPr>
                <w:rFonts w:cstheme="minorHAnsi"/>
                <w:sz w:val="24"/>
                <w:szCs w:val="24"/>
              </w:rPr>
            </w:pPr>
            <w:r w:rsidRPr="0043547B">
              <w:rPr>
                <w:rFonts w:cstheme="minorHAnsi"/>
                <w:sz w:val="24"/>
                <w:szCs w:val="24"/>
              </w:rPr>
              <w:t>La présente Norme européenne définit les exigences, les méthodes d'essai et les critères de performance des dispositifs d'entrée/sortie raccordés à une voie de transmission d’un système de détection et d'alarme incendie et utilisés pour recevoir des signaux électriques d’une voie de transmission et/ou lui en transmettre, ces signaux étant nécessaires au fonctionnement du système de détection et d’alarme incendie et/ou du système de protection contre l’incendie.</w:t>
            </w:r>
          </w:p>
          <w:p w:rsidR="003058D4" w:rsidRPr="0043547B" w:rsidRDefault="003058D4" w:rsidP="009023A9">
            <w:pPr>
              <w:spacing w:after="0" w:line="240" w:lineRule="auto"/>
              <w:jc w:val="both"/>
              <w:rPr>
                <w:rFonts w:cstheme="minorHAnsi"/>
                <w:sz w:val="24"/>
                <w:szCs w:val="24"/>
              </w:rPr>
            </w:pPr>
            <w:r w:rsidRPr="0043547B">
              <w:rPr>
                <w:rFonts w:cstheme="minorHAnsi"/>
                <w:sz w:val="24"/>
                <w:szCs w:val="24"/>
              </w:rPr>
              <w:t>Un dispositif d'entrée/sortie peut être un dispositif séparé physiquement ou sa fonction peut être intégrée dans un autre dispositif, auquel cas la présente Norme européenne peut être utilisée pour évaluer cette fonction.</w:t>
            </w:r>
            <w:r w:rsidRPr="0043547B">
              <w:rPr>
                <w:rFonts w:cstheme="minorHAnsi"/>
                <w:sz w:val="24"/>
                <w:szCs w:val="24"/>
              </w:rPr>
              <w:br/>
              <w:t>Les équipements de contrôle et de signalisation ainsi que les équipements auxiliaires de contrôle et de signalisation (par exemple, les tableaux répétiteurs et les tableaux pompiers) ne sont pas couverts par cette</w:t>
            </w:r>
            <w:r w:rsidR="009023A9">
              <w:rPr>
                <w:rFonts w:cstheme="minorHAnsi"/>
                <w:sz w:val="24"/>
                <w:szCs w:val="24"/>
              </w:rPr>
              <w:t xml:space="preserve"> n</w:t>
            </w:r>
            <w:r w:rsidRPr="0043547B">
              <w:rPr>
                <w:rFonts w:cstheme="minorHAnsi"/>
                <w:sz w:val="24"/>
                <w:szCs w:val="24"/>
              </w:rPr>
              <w:t>orme européenne.</w:t>
            </w:r>
          </w:p>
        </w:tc>
      </w:tr>
      <w:tr w:rsidR="0043547B" w:rsidRPr="0043547B" w:rsidTr="009023A9">
        <w:trPr>
          <w:gridBefore w:val="1"/>
          <w:wBefore w:w="18" w:type="dxa"/>
          <w:trHeight w:val="23"/>
          <w:jc w:val="center"/>
        </w:trPr>
        <w:tc>
          <w:tcPr>
            <w:tcW w:w="1856" w:type="dxa"/>
            <w:tcBorders>
              <w:top w:val="nil"/>
              <w:left w:val="single" w:sz="18" w:space="0" w:color="auto"/>
              <w:bottom w:val="single" w:sz="18" w:space="0" w:color="auto"/>
              <w:right w:val="single" w:sz="8" w:space="0" w:color="auto"/>
            </w:tcBorders>
            <w:shd w:val="clear" w:color="auto" w:fill="C2D69B" w:themeFill="accent3" w:themeFillTint="99"/>
            <w:vAlign w:val="center"/>
          </w:tcPr>
          <w:p w:rsidR="003058D4" w:rsidRPr="00B35BDA" w:rsidRDefault="003058D4" w:rsidP="009023A9">
            <w:pPr>
              <w:spacing w:after="0" w:line="240" w:lineRule="auto"/>
              <w:jc w:val="center"/>
              <w:rPr>
                <w:rFonts w:cstheme="minorHAnsi"/>
                <w:b/>
                <w:bCs/>
                <w:sz w:val="24"/>
                <w:szCs w:val="24"/>
              </w:rPr>
            </w:pPr>
            <w:r w:rsidRPr="00B35BDA">
              <w:rPr>
                <w:rFonts w:cstheme="minorHAnsi"/>
                <w:b/>
                <w:bCs/>
                <w:sz w:val="24"/>
                <w:szCs w:val="24"/>
              </w:rPr>
              <w:t>Code :</w:t>
            </w:r>
          </w:p>
        </w:tc>
        <w:tc>
          <w:tcPr>
            <w:tcW w:w="7938" w:type="dxa"/>
            <w:tcBorders>
              <w:bottom w:val="single" w:sz="18" w:space="0" w:color="auto"/>
              <w:right w:val="single" w:sz="18" w:space="0" w:color="auto"/>
            </w:tcBorders>
            <w:shd w:val="clear" w:color="auto" w:fill="C2D69B" w:themeFill="accent3" w:themeFillTint="99"/>
            <w:vAlign w:val="bottom"/>
          </w:tcPr>
          <w:p w:rsidR="003058D4" w:rsidRPr="00B35BDA" w:rsidRDefault="003058D4" w:rsidP="009023A9">
            <w:pPr>
              <w:spacing w:after="0" w:line="240" w:lineRule="auto"/>
              <w:jc w:val="center"/>
              <w:rPr>
                <w:rFonts w:cstheme="minorHAnsi"/>
                <w:b/>
                <w:bCs/>
                <w:sz w:val="24"/>
                <w:szCs w:val="24"/>
              </w:rPr>
            </w:pPr>
            <w:r w:rsidRPr="00B35BDA">
              <w:rPr>
                <w:rFonts w:cstheme="minorHAnsi"/>
                <w:b/>
                <w:bCs/>
                <w:sz w:val="24"/>
                <w:szCs w:val="24"/>
              </w:rPr>
              <w:t>NM EN 54-20</w:t>
            </w:r>
          </w:p>
        </w:tc>
      </w:tr>
      <w:tr w:rsidR="0043547B" w:rsidRPr="0043547B" w:rsidTr="009023A9">
        <w:trPr>
          <w:gridBefore w:val="1"/>
          <w:wBefore w:w="18" w:type="dxa"/>
          <w:trHeight w:val="23"/>
          <w:jc w:val="center"/>
        </w:trPr>
        <w:tc>
          <w:tcPr>
            <w:tcW w:w="1856" w:type="dxa"/>
            <w:tcBorders>
              <w:top w:val="single" w:sz="18" w:space="0" w:color="auto"/>
              <w:left w:val="single" w:sz="18" w:space="0" w:color="auto"/>
              <w:bottom w:val="single" w:sz="4" w:space="0" w:color="auto"/>
              <w:right w:val="single" w:sz="8" w:space="0" w:color="auto"/>
            </w:tcBorders>
            <w:shd w:val="clear" w:color="auto" w:fill="FDFBA9"/>
            <w:vAlign w:val="center"/>
          </w:tcPr>
          <w:p w:rsidR="003058D4" w:rsidRPr="00B35BDA" w:rsidRDefault="003058D4" w:rsidP="009023A9">
            <w:pPr>
              <w:spacing w:after="0" w:line="240" w:lineRule="auto"/>
              <w:jc w:val="center"/>
              <w:rPr>
                <w:rFonts w:cstheme="minorHAnsi"/>
                <w:b/>
                <w:bCs/>
                <w:sz w:val="24"/>
                <w:szCs w:val="24"/>
              </w:rPr>
            </w:pPr>
            <w:r w:rsidRPr="00B35BDA">
              <w:rPr>
                <w:rFonts w:cstheme="minorHAnsi"/>
                <w:b/>
                <w:bCs/>
                <w:sz w:val="24"/>
                <w:szCs w:val="24"/>
              </w:rPr>
              <w:t>Equivalence :</w:t>
            </w:r>
          </w:p>
        </w:tc>
        <w:tc>
          <w:tcPr>
            <w:tcW w:w="7938" w:type="dxa"/>
            <w:tcBorders>
              <w:top w:val="single" w:sz="18" w:space="0" w:color="auto"/>
              <w:bottom w:val="single" w:sz="4" w:space="0" w:color="auto"/>
              <w:right w:val="single" w:sz="18" w:space="0" w:color="auto"/>
            </w:tcBorders>
            <w:shd w:val="clear" w:color="auto" w:fill="FDFBA9"/>
            <w:vAlign w:val="bottom"/>
          </w:tcPr>
          <w:p w:rsidR="003058D4" w:rsidRPr="00B35BDA" w:rsidRDefault="00B35BDA" w:rsidP="009023A9">
            <w:pPr>
              <w:spacing w:after="0" w:line="240" w:lineRule="auto"/>
              <w:jc w:val="center"/>
              <w:rPr>
                <w:rFonts w:cstheme="minorHAnsi"/>
                <w:b/>
                <w:bCs/>
                <w:sz w:val="24"/>
                <w:szCs w:val="24"/>
              </w:rPr>
            </w:pPr>
            <w:r w:rsidRPr="00B35BDA">
              <w:rPr>
                <w:rFonts w:cstheme="minorHAnsi"/>
                <w:b/>
                <w:bCs/>
                <w:sz w:val="24"/>
                <w:szCs w:val="24"/>
              </w:rPr>
              <w:t>EN 54-20</w:t>
            </w:r>
          </w:p>
        </w:tc>
      </w:tr>
      <w:tr w:rsidR="0043547B" w:rsidRPr="0043547B" w:rsidTr="009023A9">
        <w:trPr>
          <w:gridBefore w:val="1"/>
          <w:wBefore w:w="18" w:type="dxa"/>
          <w:trHeight w:val="23"/>
          <w:jc w:val="center"/>
        </w:trPr>
        <w:tc>
          <w:tcPr>
            <w:tcW w:w="1856" w:type="dxa"/>
            <w:tcBorders>
              <w:top w:val="single" w:sz="4" w:space="0" w:color="auto"/>
              <w:left w:val="single" w:sz="18" w:space="0" w:color="auto"/>
              <w:bottom w:val="single" w:sz="4" w:space="0" w:color="auto"/>
              <w:right w:val="single" w:sz="8" w:space="0" w:color="auto"/>
            </w:tcBorders>
            <w:shd w:val="clear" w:color="auto" w:fill="95B3D7" w:themeFill="accent1" w:themeFillTint="99"/>
            <w:vAlign w:val="center"/>
          </w:tcPr>
          <w:p w:rsidR="003058D4" w:rsidRPr="0043547B" w:rsidRDefault="003058D4" w:rsidP="009023A9">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bottom w:val="single" w:sz="4" w:space="0" w:color="auto"/>
              <w:right w:val="single" w:sz="18" w:space="0" w:color="auto"/>
            </w:tcBorders>
            <w:shd w:val="clear" w:color="auto" w:fill="auto"/>
            <w:vAlign w:val="bottom"/>
          </w:tcPr>
          <w:p w:rsidR="003058D4" w:rsidRPr="0043547B" w:rsidRDefault="003058D4" w:rsidP="009023A9">
            <w:pPr>
              <w:spacing w:after="0" w:line="240" w:lineRule="auto"/>
              <w:rPr>
                <w:rFonts w:cstheme="minorHAnsi"/>
                <w:sz w:val="24"/>
                <w:szCs w:val="24"/>
              </w:rPr>
            </w:pPr>
            <w:r w:rsidRPr="0043547B">
              <w:rPr>
                <w:rFonts w:cstheme="minorHAnsi"/>
                <w:sz w:val="24"/>
                <w:szCs w:val="24"/>
              </w:rPr>
              <w:t xml:space="preserve">Systèmes de détection et d'alarme incendie - Partie 20: Détecteurs de fumée par aspiration ; </w:t>
            </w:r>
          </w:p>
        </w:tc>
      </w:tr>
      <w:tr w:rsidR="0043547B" w:rsidRPr="0043547B" w:rsidTr="009023A9">
        <w:trPr>
          <w:gridBefore w:val="1"/>
          <w:wBefore w:w="18" w:type="dxa"/>
          <w:trHeight w:val="2115"/>
          <w:jc w:val="center"/>
        </w:trPr>
        <w:tc>
          <w:tcPr>
            <w:tcW w:w="1856" w:type="dxa"/>
            <w:tcBorders>
              <w:top w:val="single" w:sz="4" w:space="0" w:color="auto"/>
              <w:left w:val="single" w:sz="18" w:space="0" w:color="auto"/>
              <w:bottom w:val="single" w:sz="18" w:space="0" w:color="auto"/>
              <w:right w:val="single" w:sz="8" w:space="0" w:color="auto"/>
            </w:tcBorders>
            <w:shd w:val="clear" w:color="000000" w:fill="D9D9D9"/>
            <w:vAlign w:val="center"/>
          </w:tcPr>
          <w:p w:rsidR="003058D4" w:rsidRPr="0043547B" w:rsidRDefault="003058D4" w:rsidP="009023A9">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bottom w:val="single" w:sz="18" w:space="0" w:color="auto"/>
              <w:right w:val="single" w:sz="18" w:space="0" w:color="auto"/>
            </w:tcBorders>
            <w:shd w:val="clear" w:color="auto" w:fill="auto"/>
          </w:tcPr>
          <w:p w:rsidR="009023A9" w:rsidRDefault="003058D4" w:rsidP="009023A9">
            <w:pPr>
              <w:spacing w:after="0" w:line="240" w:lineRule="auto"/>
              <w:jc w:val="both"/>
              <w:rPr>
                <w:rFonts w:cstheme="minorHAnsi"/>
                <w:sz w:val="24"/>
                <w:szCs w:val="24"/>
              </w:rPr>
            </w:pPr>
            <w:r w:rsidRPr="0043547B">
              <w:rPr>
                <w:rFonts w:cstheme="minorHAnsi"/>
                <w:sz w:val="24"/>
                <w:szCs w:val="24"/>
              </w:rPr>
              <w:t>La présente Norme européenne spécifie les exigences, les procédures d’essai et les critères de performance pour les détecteurs de fumée par aspiration pour utilisation dans les systèmes de détection et d’alarme incendie installés dans les bâtiments.</w:t>
            </w:r>
            <w:r w:rsidRPr="0043547B">
              <w:rPr>
                <w:rFonts w:cstheme="minorHAnsi"/>
                <w:sz w:val="24"/>
                <w:szCs w:val="24"/>
              </w:rPr>
              <w:br/>
              <w:t>Les détecteurs de fumée par aspiration conçus pour la protection contre des risques spécifiques comportant des caractéristiques particulières (y compris des propriétés supplémentaires ou une fonctionnalité améliorée pour lesquels la présente norme ne définit pas d’essai ou de méthode d’évaluation) sont également couverts par la présente norme. Les exigences de performance pour toute caractéristique particulière sortent du domaine d’application de la présente norme.</w:t>
            </w:r>
          </w:p>
          <w:p w:rsidR="003058D4" w:rsidRPr="0043547B" w:rsidRDefault="003058D4" w:rsidP="009023A9">
            <w:pPr>
              <w:spacing w:after="0" w:line="240" w:lineRule="auto"/>
              <w:jc w:val="both"/>
              <w:rPr>
                <w:rFonts w:cstheme="minorHAnsi"/>
                <w:sz w:val="24"/>
                <w:szCs w:val="24"/>
              </w:rPr>
            </w:pPr>
            <w:r w:rsidRPr="009023A9">
              <w:rPr>
                <w:rFonts w:cstheme="minorHAnsi"/>
                <w:b/>
                <w:bCs/>
                <w:i/>
                <w:iCs/>
              </w:rPr>
              <w:t>NOTE :</w:t>
            </w:r>
            <w:r w:rsidRPr="009023A9">
              <w:rPr>
                <w:rFonts w:cstheme="minorHAnsi"/>
                <w:i/>
                <w:iCs/>
              </w:rPr>
              <w:t xml:space="preserve"> Certains types de détecteurs peuvent contenir des matériaux radioactifs. Les exigences nationales pour la protection contre les rayonnements varient d’un pays à l’autre et ne sont par conséquent pas spécifiées dans la présente norme.</w:t>
            </w:r>
          </w:p>
        </w:tc>
      </w:tr>
      <w:tr w:rsidR="001D24D9" w:rsidRPr="0043547B" w:rsidTr="00464910">
        <w:trPr>
          <w:gridBefore w:val="1"/>
          <w:wBefore w:w="18" w:type="dxa"/>
          <w:trHeight w:val="454"/>
          <w:jc w:val="center"/>
        </w:trPr>
        <w:tc>
          <w:tcPr>
            <w:tcW w:w="1856" w:type="dxa"/>
            <w:tcBorders>
              <w:top w:val="single" w:sz="4" w:space="0" w:color="auto"/>
              <w:left w:val="single" w:sz="18" w:space="0" w:color="auto"/>
              <w:bottom w:val="single" w:sz="18" w:space="0" w:color="auto"/>
              <w:right w:val="single" w:sz="8" w:space="0" w:color="auto"/>
            </w:tcBorders>
            <w:shd w:val="clear" w:color="auto" w:fill="C2D69B" w:themeFill="accent3" w:themeFillTint="99"/>
            <w:vAlign w:val="center"/>
          </w:tcPr>
          <w:p w:rsidR="001D24D9" w:rsidRPr="006B5B9D" w:rsidRDefault="001D24D9" w:rsidP="00464910">
            <w:pPr>
              <w:spacing w:after="0" w:line="240" w:lineRule="auto"/>
              <w:jc w:val="center"/>
              <w:rPr>
                <w:rFonts w:ascii="Calibri" w:hAnsi="Calibri" w:cs="Calibri"/>
                <w:b/>
                <w:bCs/>
                <w:sz w:val="24"/>
                <w:szCs w:val="24"/>
              </w:rPr>
            </w:pPr>
            <w:r w:rsidRPr="006B5B9D">
              <w:rPr>
                <w:rFonts w:ascii="Calibri" w:hAnsi="Calibri" w:cs="Calibri"/>
                <w:b/>
                <w:bCs/>
                <w:sz w:val="24"/>
                <w:szCs w:val="24"/>
              </w:rPr>
              <w:t>Code</w:t>
            </w:r>
            <w:r w:rsidR="006B5B9D" w:rsidRPr="006B5B9D">
              <w:rPr>
                <w:rFonts w:ascii="Calibri" w:hAnsi="Calibri" w:cs="Calibri"/>
                <w:b/>
                <w:bCs/>
                <w:sz w:val="24"/>
                <w:szCs w:val="24"/>
              </w:rPr>
              <w:t xml:space="preserve"> </w:t>
            </w:r>
            <w:r w:rsidRPr="006B5B9D">
              <w:rPr>
                <w:rFonts w:ascii="Calibri" w:hAnsi="Calibri" w:cs="Calibri"/>
                <w:b/>
                <w:bCs/>
                <w:sz w:val="24"/>
                <w:szCs w:val="24"/>
              </w:rPr>
              <w:t>:</w:t>
            </w:r>
          </w:p>
        </w:tc>
        <w:tc>
          <w:tcPr>
            <w:tcW w:w="7938" w:type="dxa"/>
            <w:tcBorders>
              <w:top w:val="single" w:sz="4" w:space="0" w:color="auto"/>
              <w:bottom w:val="single" w:sz="18" w:space="0" w:color="auto"/>
              <w:right w:val="single" w:sz="18" w:space="0" w:color="auto"/>
            </w:tcBorders>
            <w:shd w:val="clear" w:color="auto" w:fill="C2D69B" w:themeFill="accent3" w:themeFillTint="99"/>
            <w:vAlign w:val="center"/>
          </w:tcPr>
          <w:p w:rsidR="001D24D9" w:rsidRPr="00464910" w:rsidRDefault="001D24D9" w:rsidP="00464910">
            <w:pPr>
              <w:spacing w:after="0" w:line="240" w:lineRule="auto"/>
              <w:jc w:val="center"/>
              <w:rPr>
                <w:rFonts w:ascii="Times New Roman" w:hAnsi="Times New Roman" w:cs="Times New Roman"/>
                <w:b/>
                <w:bCs/>
                <w:color w:val="000000"/>
                <w:sz w:val="24"/>
                <w:szCs w:val="24"/>
              </w:rPr>
            </w:pPr>
            <w:r w:rsidRPr="00464910">
              <w:rPr>
                <w:b/>
                <w:bCs/>
                <w:color w:val="000000"/>
                <w:sz w:val="24"/>
                <w:szCs w:val="24"/>
              </w:rPr>
              <w:t>NM EN 15004-1</w:t>
            </w:r>
          </w:p>
        </w:tc>
      </w:tr>
      <w:tr w:rsidR="001D24D9" w:rsidRPr="0043547B" w:rsidTr="00566A17">
        <w:trPr>
          <w:gridBefore w:val="1"/>
          <w:wBefore w:w="18" w:type="dxa"/>
          <w:trHeight w:val="427"/>
          <w:jc w:val="center"/>
        </w:trPr>
        <w:tc>
          <w:tcPr>
            <w:tcW w:w="1856" w:type="dxa"/>
            <w:tcBorders>
              <w:top w:val="single" w:sz="4" w:space="0" w:color="auto"/>
              <w:left w:val="single" w:sz="18" w:space="0" w:color="auto"/>
              <w:bottom w:val="single" w:sz="18" w:space="0" w:color="auto"/>
              <w:right w:val="single" w:sz="8" w:space="0" w:color="auto"/>
            </w:tcBorders>
            <w:shd w:val="clear" w:color="auto" w:fill="FFFF99"/>
            <w:vAlign w:val="center"/>
          </w:tcPr>
          <w:p w:rsidR="001D24D9" w:rsidRPr="006B5B9D" w:rsidRDefault="001D24D9" w:rsidP="00464910">
            <w:pPr>
              <w:spacing w:after="0" w:line="240" w:lineRule="auto"/>
              <w:jc w:val="center"/>
              <w:rPr>
                <w:rFonts w:ascii="Calibri" w:hAnsi="Calibri" w:cs="Calibri"/>
                <w:b/>
                <w:bCs/>
                <w:sz w:val="24"/>
                <w:szCs w:val="24"/>
              </w:rPr>
            </w:pPr>
            <w:r w:rsidRPr="006B5B9D">
              <w:rPr>
                <w:rFonts w:ascii="Calibri" w:hAnsi="Calibri" w:cs="Calibri"/>
                <w:b/>
                <w:bCs/>
                <w:sz w:val="24"/>
                <w:szCs w:val="24"/>
              </w:rPr>
              <w:t>Equivalence :</w:t>
            </w:r>
          </w:p>
        </w:tc>
        <w:tc>
          <w:tcPr>
            <w:tcW w:w="7938" w:type="dxa"/>
            <w:tcBorders>
              <w:top w:val="single" w:sz="4" w:space="0" w:color="auto"/>
              <w:bottom w:val="single" w:sz="18" w:space="0" w:color="auto"/>
              <w:right w:val="single" w:sz="18" w:space="0" w:color="auto"/>
            </w:tcBorders>
            <w:shd w:val="clear" w:color="auto" w:fill="FFFF99"/>
            <w:vAlign w:val="center"/>
          </w:tcPr>
          <w:p w:rsidR="001D24D9" w:rsidRPr="00464910" w:rsidRDefault="001D24D9" w:rsidP="00464910">
            <w:pPr>
              <w:spacing w:after="0" w:line="240" w:lineRule="auto"/>
              <w:jc w:val="center"/>
              <w:rPr>
                <w:rFonts w:ascii="Times New Roman" w:hAnsi="Times New Roman" w:cs="Times New Roman"/>
                <w:b/>
                <w:bCs/>
                <w:color w:val="000000"/>
                <w:sz w:val="24"/>
                <w:szCs w:val="24"/>
              </w:rPr>
            </w:pPr>
            <w:r w:rsidRPr="00464910">
              <w:rPr>
                <w:b/>
                <w:bCs/>
                <w:color w:val="000000"/>
                <w:sz w:val="24"/>
                <w:szCs w:val="24"/>
              </w:rPr>
              <w:t>EN 15004-1</w:t>
            </w:r>
          </w:p>
        </w:tc>
      </w:tr>
      <w:tr w:rsidR="001D24D9" w:rsidRPr="0043547B" w:rsidTr="00566A17">
        <w:trPr>
          <w:gridBefore w:val="1"/>
          <w:wBefore w:w="18" w:type="dxa"/>
          <w:trHeight w:val="609"/>
          <w:jc w:val="center"/>
        </w:trPr>
        <w:tc>
          <w:tcPr>
            <w:tcW w:w="1856" w:type="dxa"/>
            <w:tcBorders>
              <w:top w:val="single" w:sz="18" w:space="0" w:color="auto"/>
              <w:left w:val="single" w:sz="18" w:space="0" w:color="auto"/>
              <w:bottom w:val="single" w:sz="4" w:space="0" w:color="auto"/>
              <w:right w:val="single" w:sz="8" w:space="0" w:color="auto"/>
            </w:tcBorders>
            <w:shd w:val="clear" w:color="auto" w:fill="95B3D7" w:themeFill="accent1" w:themeFillTint="99"/>
            <w:vAlign w:val="center"/>
          </w:tcPr>
          <w:p w:rsidR="001D24D9" w:rsidRPr="006B5B9D" w:rsidRDefault="001D24D9" w:rsidP="00464910">
            <w:pPr>
              <w:spacing w:after="0" w:line="240" w:lineRule="auto"/>
              <w:jc w:val="center"/>
              <w:rPr>
                <w:rFonts w:ascii="Calibri" w:hAnsi="Calibri" w:cs="Calibri"/>
                <w:b/>
                <w:bCs/>
                <w:sz w:val="24"/>
                <w:szCs w:val="24"/>
              </w:rPr>
            </w:pPr>
            <w:r w:rsidRPr="006B5B9D">
              <w:rPr>
                <w:rFonts w:ascii="Calibri" w:hAnsi="Calibri" w:cs="Calibri"/>
                <w:b/>
                <w:bCs/>
                <w:sz w:val="24"/>
                <w:szCs w:val="24"/>
              </w:rPr>
              <w:t>Intitulé :</w:t>
            </w:r>
          </w:p>
        </w:tc>
        <w:tc>
          <w:tcPr>
            <w:tcW w:w="7938" w:type="dxa"/>
            <w:tcBorders>
              <w:top w:val="single" w:sz="18" w:space="0" w:color="auto"/>
              <w:bottom w:val="single" w:sz="4" w:space="0" w:color="auto"/>
              <w:right w:val="single" w:sz="18" w:space="0" w:color="auto"/>
            </w:tcBorders>
            <w:shd w:val="clear" w:color="auto" w:fill="auto"/>
            <w:vAlign w:val="bottom"/>
          </w:tcPr>
          <w:p w:rsidR="001D24D9" w:rsidRPr="006B5B9D" w:rsidRDefault="001D24D9" w:rsidP="006B5B9D">
            <w:pPr>
              <w:spacing w:after="0" w:line="240" w:lineRule="auto"/>
              <w:jc w:val="both"/>
              <w:rPr>
                <w:rFonts w:ascii="Times New Roman" w:hAnsi="Times New Roman" w:cs="Times New Roman"/>
                <w:color w:val="000000"/>
                <w:sz w:val="24"/>
                <w:szCs w:val="24"/>
              </w:rPr>
            </w:pPr>
            <w:r w:rsidRPr="006B5B9D">
              <w:rPr>
                <w:color w:val="000000"/>
                <w:sz w:val="24"/>
                <w:szCs w:val="24"/>
              </w:rPr>
              <w:t xml:space="preserve">Installations fixes de lutte contre l'incendie - Installations d'extinction à gaz - Partie 1 : Calcul, installation et maintenance </w:t>
            </w:r>
          </w:p>
        </w:tc>
      </w:tr>
      <w:tr w:rsidR="001D24D9" w:rsidRPr="0043547B" w:rsidTr="00566A17">
        <w:trPr>
          <w:gridBefore w:val="1"/>
          <w:wBefore w:w="18" w:type="dxa"/>
          <w:trHeight w:val="2115"/>
          <w:jc w:val="center"/>
        </w:trPr>
        <w:tc>
          <w:tcPr>
            <w:tcW w:w="1856" w:type="dxa"/>
            <w:tcBorders>
              <w:top w:val="single" w:sz="4" w:space="0" w:color="auto"/>
              <w:left w:val="single" w:sz="18" w:space="0" w:color="auto"/>
              <w:bottom w:val="single" w:sz="18" w:space="0" w:color="auto"/>
              <w:right w:val="single" w:sz="8" w:space="0" w:color="auto"/>
            </w:tcBorders>
            <w:shd w:val="clear" w:color="000000" w:fill="D9D9D9"/>
            <w:vAlign w:val="center"/>
          </w:tcPr>
          <w:p w:rsidR="001D24D9" w:rsidRPr="006B5B9D" w:rsidRDefault="001D24D9" w:rsidP="00464910">
            <w:pPr>
              <w:spacing w:after="0" w:line="240" w:lineRule="auto"/>
              <w:jc w:val="center"/>
              <w:rPr>
                <w:rFonts w:ascii="Calibri" w:hAnsi="Calibri" w:cs="Calibri"/>
                <w:b/>
                <w:bCs/>
                <w:sz w:val="24"/>
                <w:szCs w:val="24"/>
              </w:rPr>
            </w:pPr>
            <w:r w:rsidRPr="006B5B9D">
              <w:rPr>
                <w:rFonts w:ascii="Calibri" w:hAnsi="Calibri" w:cs="Calibri"/>
                <w:b/>
                <w:bCs/>
                <w:sz w:val="24"/>
                <w:szCs w:val="24"/>
              </w:rPr>
              <w:lastRenderedPageBreak/>
              <w:t>Domaine d’application :</w:t>
            </w:r>
          </w:p>
        </w:tc>
        <w:tc>
          <w:tcPr>
            <w:tcW w:w="7938" w:type="dxa"/>
            <w:tcBorders>
              <w:top w:val="single" w:sz="4" w:space="0" w:color="auto"/>
              <w:bottom w:val="single" w:sz="18" w:space="0" w:color="auto"/>
              <w:right w:val="single" w:sz="18" w:space="0" w:color="auto"/>
            </w:tcBorders>
            <w:shd w:val="clear" w:color="auto" w:fill="auto"/>
            <w:vAlign w:val="bottom"/>
          </w:tcPr>
          <w:p w:rsidR="00464910" w:rsidRDefault="001D24D9" w:rsidP="00464910">
            <w:pPr>
              <w:spacing w:after="0" w:line="240" w:lineRule="auto"/>
              <w:jc w:val="both"/>
              <w:rPr>
                <w:color w:val="000000"/>
                <w:sz w:val="24"/>
                <w:szCs w:val="24"/>
              </w:rPr>
            </w:pPr>
            <w:r w:rsidRPr="006B5B9D">
              <w:rPr>
                <w:color w:val="000000"/>
                <w:sz w:val="24"/>
                <w:szCs w:val="24"/>
              </w:rPr>
              <w:t>Le présent document spécifie des exigences et donne des recommandations pour la conception,</w:t>
            </w:r>
            <w:r w:rsidR="00464910">
              <w:rPr>
                <w:color w:val="000000"/>
                <w:sz w:val="24"/>
                <w:szCs w:val="24"/>
              </w:rPr>
              <w:t xml:space="preserve"> </w:t>
            </w:r>
            <w:r w:rsidRPr="006B5B9D">
              <w:rPr>
                <w:color w:val="000000"/>
                <w:sz w:val="24"/>
                <w:szCs w:val="24"/>
              </w:rPr>
              <w:t>l’installation, les essais, la maintenance et la sécurité des systèmes d’extinction à gaz dans les bâtiments,</w:t>
            </w:r>
            <w:r w:rsidR="00464910">
              <w:rPr>
                <w:color w:val="000000"/>
                <w:sz w:val="24"/>
                <w:szCs w:val="24"/>
              </w:rPr>
              <w:t xml:space="preserve"> </w:t>
            </w:r>
            <w:r w:rsidRPr="006B5B9D">
              <w:rPr>
                <w:color w:val="000000"/>
                <w:sz w:val="24"/>
                <w:szCs w:val="24"/>
              </w:rPr>
              <w:t>les usines et autres structures. Il aborde également les caractéristiques des différents agents extincteurs</w:t>
            </w:r>
            <w:r w:rsidRPr="006B5B9D">
              <w:rPr>
                <w:color w:val="000000"/>
                <w:sz w:val="24"/>
                <w:szCs w:val="24"/>
              </w:rPr>
              <w:br/>
              <w:t>et les types d’incendies pour lesquels ces agents sont des agents extincteurs appropriés.</w:t>
            </w:r>
            <w:r w:rsidRPr="006B5B9D">
              <w:rPr>
                <w:color w:val="000000"/>
                <w:sz w:val="24"/>
                <w:szCs w:val="24"/>
              </w:rPr>
              <w:br/>
              <w:t>Le présent document décrit des systèmes par noyage total principalement destinés aux bâtiments, aux</w:t>
            </w:r>
            <w:r w:rsidR="00464910">
              <w:rPr>
                <w:color w:val="000000"/>
                <w:sz w:val="24"/>
                <w:szCs w:val="24"/>
              </w:rPr>
              <w:t xml:space="preserve"> </w:t>
            </w:r>
            <w:r w:rsidRPr="006B5B9D">
              <w:rPr>
                <w:color w:val="000000"/>
                <w:sz w:val="24"/>
                <w:szCs w:val="24"/>
              </w:rPr>
              <w:t>usines et autres applications spécifiques, qui utilisent des agents extincteurs gazeux non conducteurs de</w:t>
            </w:r>
            <w:r w:rsidRPr="006B5B9D">
              <w:rPr>
                <w:color w:val="000000"/>
                <w:sz w:val="24"/>
                <w:szCs w:val="24"/>
              </w:rPr>
              <w:br/>
              <w:t>l’électricité et qui ne laissent aucun résidu après émission et pour lesquels il existe actuellement</w:t>
            </w:r>
            <w:r w:rsidR="00464910">
              <w:rPr>
                <w:color w:val="000000"/>
                <w:sz w:val="24"/>
                <w:szCs w:val="24"/>
              </w:rPr>
              <w:t xml:space="preserve"> </w:t>
            </w:r>
            <w:r w:rsidRPr="006B5B9D">
              <w:rPr>
                <w:color w:val="000000"/>
                <w:sz w:val="24"/>
                <w:szCs w:val="24"/>
              </w:rPr>
              <w:t>suffisamment de données pour permettre à une autorité indépendante appropriée de valider les</w:t>
            </w:r>
            <w:r w:rsidR="00464910">
              <w:rPr>
                <w:color w:val="000000"/>
                <w:sz w:val="24"/>
                <w:szCs w:val="24"/>
              </w:rPr>
              <w:t xml:space="preserve"> </w:t>
            </w:r>
            <w:r w:rsidRPr="006B5B9D">
              <w:rPr>
                <w:color w:val="000000"/>
                <w:sz w:val="24"/>
                <w:szCs w:val="24"/>
              </w:rPr>
              <w:t>caractéristiques de performance et de sécurité. Le présent document ne s’applique pas à la suppression</w:t>
            </w:r>
            <w:r w:rsidRPr="006B5B9D">
              <w:rPr>
                <w:color w:val="000000"/>
                <w:sz w:val="24"/>
                <w:szCs w:val="24"/>
              </w:rPr>
              <w:br/>
              <w:t>des explosions.</w:t>
            </w:r>
          </w:p>
          <w:p w:rsidR="00464910" w:rsidRDefault="001D24D9" w:rsidP="00464910">
            <w:pPr>
              <w:spacing w:after="0" w:line="240" w:lineRule="auto"/>
              <w:jc w:val="both"/>
              <w:rPr>
                <w:color w:val="000000"/>
                <w:sz w:val="24"/>
                <w:szCs w:val="24"/>
              </w:rPr>
            </w:pPr>
            <w:r w:rsidRPr="006B5B9D">
              <w:rPr>
                <w:color w:val="000000"/>
                <w:sz w:val="24"/>
                <w:szCs w:val="24"/>
              </w:rPr>
              <w:t>La présente partie de l’EN 15004 n’est pas destinée à indiquer l’homologation par les autorités</w:t>
            </w:r>
            <w:r w:rsidR="00464910">
              <w:rPr>
                <w:color w:val="000000"/>
                <w:sz w:val="24"/>
                <w:szCs w:val="24"/>
              </w:rPr>
              <w:t xml:space="preserve"> </w:t>
            </w:r>
            <w:r w:rsidRPr="006B5B9D">
              <w:rPr>
                <w:color w:val="000000"/>
                <w:sz w:val="24"/>
                <w:szCs w:val="24"/>
              </w:rPr>
              <w:t>compétentes des agents extincteurs énumérés dans le présent document, dans la mesure où d’autres</w:t>
            </w:r>
            <w:r w:rsidR="00464910">
              <w:rPr>
                <w:color w:val="000000"/>
                <w:sz w:val="24"/>
                <w:szCs w:val="24"/>
              </w:rPr>
              <w:t xml:space="preserve"> </w:t>
            </w:r>
            <w:r w:rsidRPr="006B5B9D">
              <w:rPr>
                <w:color w:val="000000"/>
                <w:sz w:val="24"/>
                <w:szCs w:val="24"/>
              </w:rPr>
              <w:t>agents extincteurs peuvent être tout aussi acceptables. Le CO2 n’est pas inclus dans la mesure où il est</w:t>
            </w:r>
            <w:r w:rsidR="00464910">
              <w:rPr>
                <w:color w:val="000000"/>
                <w:sz w:val="24"/>
                <w:szCs w:val="24"/>
              </w:rPr>
              <w:t xml:space="preserve"> </w:t>
            </w:r>
            <w:r w:rsidRPr="006B5B9D">
              <w:rPr>
                <w:color w:val="000000"/>
                <w:sz w:val="24"/>
                <w:szCs w:val="24"/>
              </w:rPr>
              <w:t>traité dans d’autres Normes internationales.</w:t>
            </w:r>
          </w:p>
          <w:p w:rsidR="001D24D9" w:rsidRPr="006B5B9D" w:rsidRDefault="001D24D9" w:rsidP="00464910">
            <w:pPr>
              <w:spacing w:after="0" w:line="240" w:lineRule="auto"/>
              <w:jc w:val="both"/>
              <w:rPr>
                <w:rFonts w:ascii="Times New Roman" w:hAnsi="Times New Roman" w:cs="Times New Roman"/>
                <w:color w:val="000000"/>
                <w:sz w:val="24"/>
                <w:szCs w:val="24"/>
              </w:rPr>
            </w:pPr>
            <w:r w:rsidRPr="006B5B9D">
              <w:rPr>
                <w:color w:val="000000"/>
                <w:sz w:val="24"/>
                <w:szCs w:val="24"/>
              </w:rPr>
              <w:t>La présente partie de l’EN 15004 est applicable aux agents extincteurs répertoriés dans le Tableau 1. Il</w:t>
            </w:r>
            <w:r w:rsidR="00464910">
              <w:rPr>
                <w:color w:val="000000"/>
                <w:sz w:val="24"/>
                <w:szCs w:val="24"/>
              </w:rPr>
              <w:t xml:space="preserve"> </w:t>
            </w:r>
            <w:r w:rsidRPr="006B5B9D">
              <w:rPr>
                <w:color w:val="000000"/>
                <w:sz w:val="24"/>
                <w:szCs w:val="24"/>
              </w:rPr>
              <w:t>est prévu que le présent document soit utilisé conjointement avec les parties fournies de l’EN 15004</w:t>
            </w:r>
            <w:r w:rsidR="00464910">
              <w:rPr>
                <w:color w:val="000000"/>
                <w:sz w:val="24"/>
                <w:szCs w:val="24"/>
              </w:rPr>
              <w:t xml:space="preserve"> </w:t>
            </w:r>
            <w:r w:rsidRPr="006B5B9D">
              <w:rPr>
                <w:color w:val="000000"/>
                <w:sz w:val="24"/>
                <w:szCs w:val="24"/>
              </w:rPr>
              <w:t>relatives aux agents extincteurs du Tableau 1.</w:t>
            </w:r>
          </w:p>
        </w:tc>
      </w:tr>
      <w:tr w:rsidR="001D24D9" w:rsidRPr="0043547B" w:rsidTr="008D7690">
        <w:trPr>
          <w:gridBefore w:val="1"/>
          <w:wBefore w:w="18" w:type="dxa"/>
          <w:trHeight w:val="383"/>
          <w:jc w:val="center"/>
        </w:trPr>
        <w:tc>
          <w:tcPr>
            <w:tcW w:w="1856" w:type="dxa"/>
            <w:tcBorders>
              <w:top w:val="single" w:sz="4" w:space="0" w:color="auto"/>
              <w:left w:val="single" w:sz="18" w:space="0" w:color="auto"/>
              <w:bottom w:val="single" w:sz="18" w:space="0" w:color="auto"/>
              <w:right w:val="single" w:sz="8" w:space="0" w:color="auto"/>
            </w:tcBorders>
            <w:shd w:val="clear" w:color="auto" w:fill="C2D69B" w:themeFill="accent3" w:themeFillTint="99"/>
            <w:vAlign w:val="center"/>
          </w:tcPr>
          <w:p w:rsidR="001D24D9" w:rsidRPr="006B5B9D" w:rsidRDefault="001D24D9" w:rsidP="00464910">
            <w:pPr>
              <w:spacing w:after="0" w:line="240" w:lineRule="auto"/>
              <w:jc w:val="center"/>
              <w:rPr>
                <w:rFonts w:ascii="Calibri" w:hAnsi="Calibri" w:cs="Calibri"/>
                <w:b/>
                <w:bCs/>
                <w:sz w:val="24"/>
                <w:szCs w:val="24"/>
              </w:rPr>
            </w:pPr>
            <w:r w:rsidRPr="006B5B9D">
              <w:rPr>
                <w:rFonts w:ascii="Calibri" w:hAnsi="Calibri" w:cs="Calibri"/>
                <w:b/>
                <w:bCs/>
                <w:sz w:val="24"/>
                <w:szCs w:val="24"/>
              </w:rPr>
              <w:t>Code :</w:t>
            </w:r>
          </w:p>
        </w:tc>
        <w:tc>
          <w:tcPr>
            <w:tcW w:w="7938" w:type="dxa"/>
            <w:tcBorders>
              <w:top w:val="single" w:sz="4" w:space="0" w:color="auto"/>
              <w:bottom w:val="single" w:sz="18" w:space="0" w:color="auto"/>
              <w:right w:val="single" w:sz="18" w:space="0" w:color="auto"/>
            </w:tcBorders>
            <w:shd w:val="clear" w:color="auto" w:fill="C2D69B" w:themeFill="accent3" w:themeFillTint="99"/>
            <w:vAlign w:val="center"/>
          </w:tcPr>
          <w:p w:rsidR="001D24D9" w:rsidRPr="00464910" w:rsidRDefault="001D24D9" w:rsidP="00464910">
            <w:pPr>
              <w:spacing w:after="0" w:line="240" w:lineRule="auto"/>
              <w:jc w:val="center"/>
              <w:rPr>
                <w:rFonts w:ascii="Times New Roman" w:hAnsi="Times New Roman" w:cs="Times New Roman"/>
                <w:b/>
                <w:bCs/>
                <w:color w:val="000000"/>
                <w:sz w:val="24"/>
                <w:szCs w:val="24"/>
              </w:rPr>
            </w:pPr>
            <w:r w:rsidRPr="00464910">
              <w:rPr>
                <w:b/>
                <w:bCs/>
                <w:color w:val="000000"/>
                <w:sz w:val="24"/>
                <w:szCs w:val="24"/>
              </w:rPr>
              <w:t>NM EN 15004-2</w:t>
            </w:r>
          </w:p>
        </w:tc>
      </w:tr>
      <w:tr w:rsidR="001D24D9" w:rsidRPr="0043547B" w:rsidTr="00566A17">
        <w:trPr>
          <w:gridBefore w:val="1"/>
          <w:wBefore w:w="18" w:type="dxa"/>
          <w:trHeight w:val="519"/>
          <w:jc w:val="center"/>
        </w:trPr>
        <w:tc>
          <w:tcPr>
            <w:tcW w:w="1856" w:type="dxa"/>
            <w:tcBorders>
              <w:top w:val="single" w:sz="4" w:space="0" w:color="auto"/>
              <w:left w:val="single" w:sz="18" w:space="0" w:color="auto"/>
              <w:bottom w:val="single" w:sz="18" w:space="0" w:color="auto"/>
              <w:right w:val="single" w:sz="8" w:space="0" w:color="auto"/>
            </w:tcBorders>
            <w:shd w:val="clear" w:color="auto" w:fill="FFFF99"/>
            <w:vAlign w:val="center"/>
          </w:tcPr>
          <w:p w:rsidR="001D24D9" w:rsidRPr="006B5B9D" w:rsidRDefault="001D24D9" w:rsidP="00464910">
            <w:pPr>
              <w:spacing w:after="0" w:line="240" w:lineRule="auto"/>
              <w:jc w:val="center"/>
              <w:rPr>
                <w:rFonts w:ascii="Calibri" w:hAnsi="Calibri" w:cs="Calibri"/>
                <w:b/>
                <w:bCs/>
                <w:sz w:val="24"/>
                <w:szCs w:val="24"/>
              </w:rPr>
            </w:pPr>
            <w:r w:rsidRPr="006B5B9D">
              <w:rPr>
                <w:rFonts w:ascii="Calibri" w:hAnsi="Calibri" w:cs="Calibri"/>
                <w:b/>
                <w:bCs/>
                <w:sz w:val="24"/>
                <w:szCs w:val="24"/>
              </w:rPr>
              <w:t>Equivalence :</w:t>
            </w:r>
          </w:p>
        </w:tc>
        <w:tc>
          <w:tcPr>
            <w:tcW w:w="7938" w:type="dxa"/>
            <w:tcBorders>
              <w:top w:val="single" w:sz="4" w:space="0" w:color="auto"/>
              <w:bottom w:val="single" w:sz="18" w:space="0" w:color="auto"/>
              <w:right w:val="single" w:sz="18" w:space="0" w:color="auto"/>
            </w:tcBorders>
            <w:shd w:val="clear" w:color="auto" w:fill="FFFF99"/>
            <w:vAlign w:val="center"/>
          </w:tcPr>
          <w:p w:rsidR="001D24D9" w:rsidRPr="00464910" w:rsidRDefault="001D24D9" w:rsidP="00464910">
            <w:pPr>
              <w:spacing w:after="0" w:line="240" w:lineRule="auto"/>
              <w:jc w:val="center"/>
              <w:rPr>
                <w:rFonts w:ascii="Times New Roman" w:hAnsi="Times New Roman" w:cs="Times New Roman"/>
                <w:b/>
                <w:bCs/>
                <w:color w:val="000000"/>
                <w:sz w:val="24"/>
                <w:szCs w:val="24"/>
              </w:rPr>
            </w:pPr>
            <w:r w:rsidRPr="00464910">
              <w:rPr>
                <w:b/>
                <w:bCs/>
                <w:color w:val="000000"/>
                <w:sz w:val="24"/>
                <w:szCs w:val="24"/>
              </w:rPr>
              <w:t>EN 15004-2</w:t>
            </w:r>
          </w:p>
        </w:tc>
      </w:tr>
      <w:tr w:rsidR="001D24D9" w:rsidRPr="0043547B" w:rsidTr="00566A17">
        <w:trPr>
          <w:gridBefore w:val="1"/>
          <w:wBefore w:w="18" w:type="dxa"/>
          <w:trHeight w:val="805"/>
          <w:jc w:val="center"/>
        </w:trPr>
        <w:tc>
          <w:tcPr>
            <w:tcW w:w="1856" w:type="dxa"/>
            <w:tcBorders>
              <w:top w:val="single" w:sz="18" w:space="0" w:color="auto"/>
              <w:left w:val="single" w:sz="18" w:space="0" w:color="auto"/>
              <w:bottom w:val="single" w:sz="4" w:space="0" w:color="auto"/>
              <w:right w:val="single" w:sz="8" w:space="0" w:color="auto"/>
            </w:tcBorders>
            <w:shd w:val="clear" w:color="auto" w:fill="95B3D7" w:themeFill="accent1" w:themeFillTint="99"/>
            <w:vAlign w:val="center"/>
          </w:tcPr>
          <w:p w:rsidR="001D24D9" w:rsidRPr="006B5B9D" w:rsidRDefault="001D24D9" w:rsidP="00464910">
            <w:pPr>
              <w:spacing w:after="0" w:line="240" w:lineRule="auto"/>
              <w:jc w:val="center"/>
              <w:rPr>
                <w:rFonts w:ascii="Calibri" w:hAnsi="Calibri" w:cs="Calibri"/>
                <w:b/>
                <w:bCs/>
                <w:sz w:val="24"/>
                <w:szCs w:val="24"/>
              </w:rPr>
            </w:pPr>
            <w:r w:rsidRPr="006B5B9D">
              <w:rPr>
                <w:rFonts w:ascii="Calibri" w:hAnsi="Calibri" w:cs="Calibri"/>
                <w:b/>
                <w:bCs/>
                <w:sz w:val="24"/>
                <w:szCs w:val="24"/>
              </w:rPr>
              <w:t>Intitulé :</w:t>
            </w:r>
          </w:p>
        </w:tc>
        <w:tc>
          <w:tcPr>
            <w:tcW w:w="7938" w:type="dxa"/>
            <w:tcBorders>
              <w:top w:val="single" w:sz="18" w:space="0" w:color="auto"/>
              <w:bottom w:val="single" w:sz="4" w:space="0" w:color="auto"/>
              <w:right w:val="single" w:sz="18" w:space="0" w:color="auto"/>
            </w:tcBorders>
            <w:shd w:val="clear" w:color="auto" w:fill="auto"/>
            <w:vAlign w:val="bottom"/>
          </w:tcPr>
          <w:p w:rsidR="001D24D9" w:rsidRPr="006B5B9D" w:rsidRDefault="001D24D9" w:rsidP="006B5B9D">
            <w:pPr>
              <w:spacing w:after="0" w:line="240" w:lineRule="auto"/>
              <w:jc w:val="both"/>
              <w:rPr>
                <w:rFonts w:ascii="Times New Roman" w:hAnsi="Times New Roman" w:cs="Times New Roman"/>
                <w:color w:val="000000"/>
                <w:sz w:val="24"/>
                <w:szCs w:val="24"/>
              </w:rPr>
            </w:pPr>
            <w:r w:rsidRPr="006B5B9D">
              <w:rPr>
                <w:color w:val="000000"/>
                <w:sz w:val="24"/>
                <w:szCs w:val="24"/>
              </w:rPr>
              <w:t xml:space="preserve">Installations fixes de lutte contre l'incendie - Installations d'extinction à gaz - Partie 2 : Propriétés physiques et conception des systèmes pour agent extincteur FK-5-1-12 ; </w:t>
            </w:r>
          </w:p>
        </w:tc>
      </w:tr>
      <w:tr w:rsidR="001D24D9" w:rsidRPr="0043547B" w:rsidTr="00566A17">
        <w:trPr>
          <w:gridBefore w:val="1"/>
          <w:wBefore w:w="18" w:type="dxa"/>
          <w:trHeight w:val="1758"/>
          <w:jc w:val="center"/>
        </w:trPr>
        <w:tc>
          <w:tcPr>
            <w:tcW w:w="1856" w:type="dxa"/>
            <w:tcBorders>
              <w:top w:val="single" w:sz="4" w:space="0" w:color="auto"/>
              <w:left w:val="single" w:sz="18" w:space="0" w:color="auto"/>
              <w:bottom w:val="single" w:sz="18" w:space="0" w:color="auto"/>
              <w:right w:val="single" w:sz="8" w:space="0" w:color="auto"/>
            </w:tcBorders>
            <w:shd w:val="clear" w:color="000000" w:fill="D9D9D9"/>
            <w:vAlign w:val="center"/>
          </w:tcPr>
          <w:p w:rsidR="001D24D9" w:rsidRPr="006B5B9D" w:rsidRDefault="001D24D9" w:rsidP="00464910">
            <w:pPr>
              <w:spacing w:after="0" w:line="240" w:lineRule="auto"/>
              <w:jc w:val="center"/>
              <w:rPr>
                <w:rFonts w:ascii="Calibri" w:hAnsi="Calibri" w:cs="Calibri"/>
                <w:b/>
                <w:bCs/>
                <w:sz w:val="24"/>
                <w:szCs w:val="24"/>
              </w:rPr>
            </w:pPr>
            <w:r w:rsidRPr="006B5B9D">
              <w:rPr>
                <w:rFonts w:ascii="Calibri" w:hAnsi="Calibri" w:cs="Calibri"/>
                <w:b/>
                <w:bCs/>
                <w:sz w:val="24"/>
                <w:szCs w:val="24"/>
              </w:rPr>
              <w:t>Domaine d’application :</w:t>
            </w:r>
          </w:p>
        </w:tc>
        <w:tc>
          <w:tcPr>
            <w:tcW w:w="7938" w:type="dxa"/>
            <w:tcBorders>
              <w:top w:val="single" w:sz="4" w:space="0" w:color="auto"/>
              <w:bottom w:val="single" w:sz="18" w:space="0" w:color="auto"/>
              <w:right w:val="single" w:sz="18" w:space="0" w:color="auto"/>
            </w:tcBorders>
            <w:shd w:val="clear" w:color="auto" w:fill="auto"/>
            <w:vAlign w:val="bottom"/>
          </w:tcPr>
          <w:p w:rsidR="001D24D9" w:rsidRPr="006B5B9D" w:rsidRDefault="001D24D9" w:rsidP="00464910">
            <w:pPr>
              <w:spacing w:after="0" w:line="240" w:lineRule="auto"/>
              <w:jc w:val="both"/>
              <w:rPr>
                <w:rFonts w:ascii="Times New Roman" w:hAnsi="Times New Roman" w:cs="Times New Roman"/>
                <w:color w:val="000000"/>
                <w:sz w:val="24"/>
                <w:szCs w:val="24"/>
              </w:rPr>
            </w:pPr>
            <w:r w:rsidRPr="006B5B9D">
              <w:rPr>
                <w:color w:val="000000"/>
                <w:sz w:val="24"/>
                <w:szCs w:val="24"/>
              </w:rPr>
              <w:t>Le présent document contient des exigences spécifiques relatives aux installations d’extinction à gaz, contenant de</w:t>
            </w:r>
            <w:r w:rsidR="00464910">
              <w:rPr>
                <w:color w:val="000000"/>
                <w:sz w:val="24"/>
                <w:szCs w:val="24"/>
              </w:rPr>
              <w:t xml:space="preserve"> </w:t>
            </w:r>
            <w:r w:rsidRPr="006B5B9D">
              <w:rPr>
                <w:color w:val="000000"/>
                <w:sz w:val="24"/>
                <w:szCs w:val="24"/>
              </w:rPr>
              <w:t>l’agent extincteur FK-5-1-12. Il inclut des détails relatifs à ses propriétés physiques, sa spécification, son usage ainsi</w:t>
            </w:r>
            <w:r w:rsidR="00464910">
              <w:rPr>
                <w:color w:val="000000"/>
                <w:sz w:val="24"/>
                <w:szCs w:val="24"/>
              </w:rPr>
              <w:t xml:space="preserve"> </w:t>
            </w:r>
            <w:r w:rsidRPr="006B5B9D">
              <w:rPr>
                <w:color w:val="000000"/>
                <w:sz w:val="24"/>
                <w:szCs w:val="24"/>
              </w:rPr>
              <w:t>que ses aspects de sécurité et est applicable aux installations fonctionnant à une pression nominale de 25 bar</w:t>
            </w:r>
            <w:r w:rsidR="00464910">
              <w:rPr>
                <w:color w:val="000000"/>
                <w:sz w:val="24"/>
                <w:szCs w:val="24"/>
              </w:rPr>
              <w:t xml:space="preserve"> </w:t>
            </w:r>
            <w:r w:rsidRPr="006B5B9D">
              <w:rPr>
                <w:color w:val="000000"/>
                <w:sz w:val="24"/>
                <w:szCs w:val="24"/>
              </w:rPr>
              <w:t>et 42 bar à propulseur d’azote. Cela n’exclut pas l’utilisation d’autres installations.</w:t>
            </w:r>
          </w:p>
        </w:tc>
      </w:tr>
      <w:tr w:rsidR="001D24D9" w:rsidRPr="0043547B" w:rsidTr="00464910">
        <w:trPr>
          <w:gridBefore w:val="1"/>
          <w:wBefore w:w="18" w:type="dxa"/>
          <w:trHeight w:val="430"/>
          <w:jc w:val="center"/>
        </w:trPr>
        <w:tc>
          <w:tcPr>
            <w:tcW w:w="1856" w:type="dxa"/>
            <w:tcBorders>
              <w:top w:val="single" w:sz="4" w:space="0" w:color="auto"/>
              <w:left w:val="single" w:sz="18" w:space="0" w:color="auto"/>
              <w:bottom w:val="single" w:sz="18" w:space="0" w:color="auto"/>
              <w:right w:val="single" w:sz="8" w:space="0" w:color="auto"/>
            </w:tcBorders>
            <w:shd w:val="clear" w:color="auto" w:fill="C2D69B" w:themeFill="accent3" w:themeFillTint="99"/>
            <w:vAlign w:val="center"/>
          </w:tcPr>
          <w:p w:rsidR="001D24D9" w:rsidRPr="006B5B9D" w:rsidRDefault="001D24D9" w:rsidP="00464910">
            <w:pPr>
              <w:spacing w:after="0" w:line="240" w:lineRule="auto"/>
              <w:jc w:val="center"/>
              <w:rPr>
                <w:rFonts w:ascii="Calibri" w:hAnsi="Calibri" w:cs="Calibri"/>
                <w:b/>
                <w:bCs/>
                <w:sz w:val="24"/>
                <w:szCs w:val="24"/>
              </w:rPr>
            </w:pPr>
            <w:r w:rsidRPr="006B5B9D">
              <w:rPr>
                <w:rFonts w:ascii="Calibri" w:hAnsi="Calibri" w:cs="Calibri"/>
                <w:b/>
                <w:bCs/>
                <w:sz w:val="24"/>
                <w:szCs w:val="24"/>
              </w:rPr>
              <w:t>Code :</w:t>
            </w:r>
          </w:p>
        </w:tc>
        <w:tc>
          <w:tcPr>
            <w:tcW w:w="7938" w:type="dxa"/>
            <w:tcBorders>
              <w:top w:val="single" w:sz="4" w:space="0" w:color="auto"/>
              <w:bottom w:val="single" w:sz="18" w:space="0" w:color="auto"/>
              <w:right w:val="single" w:sz="18" w:space="0" w:color="auto"/>
            </w:tcBorders>
            <w:shd w:val="clear" w:color="auto" w:fill="C2D69B" w:themeFill="accent3" w:themeFillTint="99"/>
            <w:vAlign w:val="center"/>
          </w:tcPr>
          <w:p w:rsidR="001D24D9" w:rsidRPr="00464910" w:rsidRDefault="001D24D9" w:rsidP="00464910">
            <w:pPr>
              <w:spacing w:after="0" w:line="240" w:lineRule="auto"/>
              <w:jc w:val="center"/>
              <w:rPr>
                <w:rFonts w:ascii="Times New Roman" w:hAnsi="Times New Roman" w:cs="Times New Roman"/>
                <w:b/>
                <w:bCs/>
                <w:color w:val="000000"/>
                <w:sz w:val="24"/>
                <w:szCs w:val="24"/>
              </w:rPr>
            </w:pPr>
            <w:r w:rsidRPr="00464910">
              <w:rPr>
                <w:b/>
                <w:bCs/>
                <w:color w:val="000000"/>
                <w:sz w:val="24"/>
                <w:szCs w:val="24"/>
              </w:rPr>
              <w:t>NM EN 15004-3</w:t>
            </w:r>
          </w:p>
        </w:tc>
      </w:tr>
      <w:tr w:rsidR="001D24D9" w:rsidRPr="0043547B" w:rsidTr="00566A17">
        <w:trPr>
          <w:gridBefore w:val="1"/>
          <w:wBefore w:w="18" w:type="dxa"/>
          <w:trHeight w:val="404"/>
          <w:jc w:val="center"/>
        </w:trPr>
        <w:tc>
          <w:tcPr>
            <w:tcW w:w="1856" w:type="dxa"/>
            <w:tcBorders>
              <w:top w:val="single" w:sz="4" w:space="0" w:color="auto"/>
              <w:left w:val="single" w:sz="18" w:space="0" w:color="auto"/>
              <w:bottom w:val="single" w:sz="18" w:space="0" w:color="auto"/>
              <w:right w:val="single" w:sz="8" w:space="0" w:color="auto"/>
            </w:tcBorders>
            <w:shd w:val="clear" w:color="auto" w:fill="FFFF99"/>
            <w:vAlign w:val="center"/>
          </w:tcPr>
          <w:p w:rsidR="001D24D9" w:rsidRPr="006B5B9D" w:rsidRDefault="001D24D9" w:rsidP="00464910">
            <w:pPr>
              <w:spacing w:after="0" w:line="240" w:lineRule="auto"/>
              <w:jc w:val="center"/>
              <w:rPr>
                <w:rFonts w:ascii="Calibri" w:hAnsi="Calibri" w:cs="Calibri"/>
                <w:b/>
                <w:bCs/>
                <w:sz w:val="24"/>
                <w:szCs w:val="24"/>
              </w:rPr>
            </w:pPr>
            <w:r w:rsidRPr="006B5B9D">
              <w:rPr>
                <w:rFonts w:ascii="Calibri" w:hAnsi="Calibri" w:cs="Calibri"/>
                <w:b/>
                <w:bCs/>
                <w:sz w:val="24"/>
                <w:szCs w:val="24"/>
              </w:rPr>
              <w:t>Equivalence :</w:t>
            </w:r>
          </w:p>
        </w:tc>
        <w:tc>
          <w:tcPr>
            <w:tcW w:w="7938" w:type="dxa"/>
            <w:tcBorders>
              <w:top w:val="single" w:sz="4" w:space="0" w:color="auto"/>
              <w:bottom w:val="single" w:sz="18" w:space="0" w:color="auto"/>
              <w:right w:val="single" w:sz="18" w:space="0" w:color="auto"/>
            </w:tcBorders>
            <w:shd w:val="clear" w:color="auto" w:fill="FFFF99"/>
            <w:vAlign w:val="center"/>
          </w:tcPr>
          <w:p w:rsidR="001D24D9" w:rsidRPr="00464910" w:rsidRDefault="001D24D9" w:rsidP="00464910">
            <w:pPr>
              <w:spacing w:after="0" w:line="240" w:lineRule="auto"/>
              <w:jc w:val="center"/>
              <w:rPr>
                <w:rFonts w:ascii="Times New Roman" w:hAnsi="Times New Roman" w:cs="Times New Roman"/>
                <w:b/>
                <w:bCs/>
                <w:color w:val="000000"/>
                <w:sz w:val="24"/>
                <w:szCs w:val="24"/>
              </w:rPr>
            </w:pPr>
            <w:r w:rsidRPr="00464910">
              <w:rPr>
                <w:b/>
                <w:bCs/>
                <w:color w:val="000000"/>
                <w:sz w:val="24"/>
                <w:szCs w:val="24"/>
              </w:rPr>
              <w:t>EN 15004-3</w:t>
            </w:r>
          </w:p>
        </w:tc>
      </w:tr>
      <w:tr w:rsidR="001D24D9" w:rsidRPr="0043547B" w:rsidTr="00566A17">
        <w:trPr>
          <w:gridBefore w:val="1"/>
          <w:wBefore w:w="18" w:type="dxa"/>
          <w:trHeight w:val="931"/>
          <w:jc w:val="center"/>
        </w:trPr>
        <w:tc>
          <w:tcPr>
            <w:tcW w:w="1856" w:type="dxa"/>
            <w:tcBorders>
              <w:top w:val="single" w:sz="18" w:space="0" w:color="auto"/>
              <w:left w:val="single" w:sz="18" w:space="0" w:color="auto"/>
              <w:bottom w:val="single" w:sz="4" w:space="0" w:color="auto"/>
              <w:right w:val="single" w:sz="8" w:space="0" w:color="auto"/>
            </w:tcBorders>
            <w:shd w:val="clear" w:color="auto" w:fill="95B3D7" w:themeFill="accent1" w:themeFillTint="99"/>
            <w:vAlign w:val="center"/>
          </w:tcPr>
          <w:p w:rsidR="001D24D9" w:rsidRPr="006B5B9D" w:rsidRDefault="001D24D9" w:rsidP="00464910">
            <w:pPr>
              <w:spacing w:after="0" w:line="240" w:lineRule="auto"/>
              <w:jc w:val="center"/>
              <w:rPr>
                <w:rFonts w:ascii="Calibri" w:hAnsi="Calibri" w:cs="Calibri"/>
                <w:b/>
                <w:bCs/>
                <w:sz w:val="24"/>
                <w:szCs w:val="24"/>
              </w:rPr>
            </w:pPr>
            <w:r w:rsidRPr="006B5B9D">
              <w:rPr>
                <w:rFonts w:ascii="Calibri" w:hAnsi="Calibri" w:cs="Calibri"/>
                <w:b/>
                <w:bCs/>
                <w:sz w:val="24"/>
                <w:szCs w:val="24"/>
              </w:rPr>
              <w:t>Intitulé :</w:t>
            </w:r>
          </w:p>
        </w:tc>
        <w:tc>
          <w:tcPr>
            <w:tcW w:w="7938" w:type="dxa"/>
            <w:tcBorders>
              <w:top w:val="single" w:sz="18" w:space="0" w:color="auto"/>
              <w:bottom w:val="single" w:sz="4" w:space="0" w:color="auto"/>
              <w:right w:val="single" w:sz="18" w:space="0" w:color="auto"/>
            </w:tcBorders>
            <w:shd w:val="clear" w:color="auto" w:fill="auto"/>
            <w:vAlign w:val="bottom"/>
          </w:tcPr>
          <w:p w:rsidR="001D24D9" w:rsidRPr="006B5B9D" w:rsidRDefault="001D24D9" w:rsidP="006B5B9D">
            <w:pPr>
              <w:spacing w:after="0" w:line="240" w:lineRule="auto"/>
              <w:jc w:val="both"/>
              <w:rPr>
                <w:rFonts w:ascii="Times New Roman" w:hAnsi="Times New Roman" w:cs="Times New Roman"/>
                <w:color w:val="000000"/>
                <w:sz w:val="24"/>
                <w:szCs w:val="24"/>
              </w:rPr>
            </w:pPr>
            <w:r w:rsidRPr="006B5B9D">
              <w:rPr>
                <w:color w:val="000000"/>
                <w:sz w:val="24"/>
                <w:szCs w:val="24"/>
              </w:rPr>
              <w:t xml:space="preserve">Installations fixes de lutte contre l'incendie - Installations d'extinction à gaz - Partie 3 : Propriétés physiques et conception des systèmes pour agent extincteur HCFC, mélange A </w:t>
            </w:r>
          </w:p>
        </w:tc>
      </w:tr>
      <w:tr w:rsidR="001D24D9" w:rsidRPr="0043547B" w:rsidTr="00566A17">
        <w:trPr>
          <w:gridBefore w:val="1"/>
          <w:wBefore w:w="18" w:type="dxa"/>
          <w:trHeight w:val="1739"/>
          <w:jc w:val="center"/>
        </w:trPr>
        <w:tc>
          <w:tcPr>
            <w:tcW w:w="1856" w:type="dxa"/>
            <w:tcBorders>
              <w:top w:val="single" w:sz="4" w:space="0" w:color="auto"/>
              <w:left w:val="single" w:sz="18" w:space="0" w:color="auto"/>
              <w:bottom w:val="single" w:sz="18" w:space="0" w:color="auto"/>
              <w:right w:val="single" w:sz="8" w:space="0" w:color="auto"/>
            </w:tcBorders>
            <w:shd w:val="clear" w:color="000000" w:fill="D9D9D9"/>
            <w:vAlign w:val="center"/>
          </w:tcPr>
          <w:p w:rsidR="001D24D9" w:rsidRPr="006B5B9D" w:rsidRDefault="001D24D9" w:rsidP="00464910">
            <w:pPr>
              <w:spacing w:after="0" w:line="240" w:lineRule="auto"/>
              <w:jc w:val="center"/>
              <w:rPr>
                <w:rFonts w:ascii="Calibri" w:hAnsi="Calibri" w:cs="Calibri"/>
                <w:b/>
                <w:bCs/>
                <w:sz w:val="24"/>
                <w:szCs w:val="24"/>
              </w:rPr>
            </w:pPr>
            <w:r w:rsidRPr="006B5B9D">
              <w:rPr>
                <w:rFonts w:ascii="Calibri" w:hAnsi="Calibri" w:cs="Calibri"/>
                <w:b/>
                <w:bCs/>
                <w:sz w:val="24"/>
                <w:szCs w:val="24"/>
              </w:rPr>
              <w:t>Domaine d’application :</w:t>
            </w:r>
          </w:p>
        </w:tc>
        <w:tc>
          <w:tcPr>
            <w:tcW w:w="7938" w:type="dxa"/>
            <w:tcBorders>
              <w:top w:val="single" w:sz="4" w:space="0" w:color="auto"/>
              <w:bottom w:val="single" w:sz="18" w:space="0" w:color="auto"/>
              <w:right w:val="single" w:sz="18" w:space="0" w:color="auto"/>
            </w:tcBorders>
            <w:shd w:val="clear" w:color="auto" w:fill="auto"/>
            <w:vAlign w:val="bottom"/>
          </w:tcPr>
          <w:p w:rsidR="001D24D9" w:rsidRPr="006B5B9D" w:rsidRDefault="001D24D9" w:rsidP="00464910">
            <w:pPr>
              <w:spacing w:after="0" w:line="240" w:lineRule="auto"/>
              <w:jc w:val="both"/>
              <w:rPr>
                <w:rFonts w:ascii="Times New Roman" w:hAnsi="Times New Roman" w:cs="Times New Roman"/>
                <w:color w:val="000000"/>
                <w:sz w:val="24"/>
                <w:szCs w:val="24"/>
              </w:rPr>
            </w:pPr>
            <w:r w:rsidRPr="006B5B9D">
              <w:rPr>
                <w:color w:val="000000"/>
                <w:sz w:val="24"/>
                <w:szCs w:val="24"/>
              </w:rPr>
              <w:t>Le présent document contient des exigences spécifiques relatives aux installations d’extinction à gaz contenant</w:t>
            </w:r>
            <w:r w:rsidR="00464910">
              <w:rPr>
                <w:color w:val="000000"/>
                <w:sz w:val="24"/>
                <w:szCs w:val="24"/>
              </w:rPr>
              <w:t xml:space="preserve"> </w:t>
            </w:r>
            <w:r w:rsidRPr="006B5B9D">
              <w:rPr>
                <w:color w:val="000000"/>
                <w:sz w:val="24"/>
                <w:szCs w:val="24"/>
              </w:rPr>
              <w:t>de l’agent extincteur HCFC, mélange A. Il inclut des détails relatifs à ses propriétés physiques, sa spécification,</w:t>
            </w:r>
            <w:r w:rsidR="00464910">
              <w:rPr>
                <w:color w:val="000000"/>
                <w:sz w:val="24"/>
                <w:szCs w:val="24"/>
              </w:rPr>
              <w:t xml:space="preserve"> </w:t>
            </w:r>
            <w:r w:rsidRPr="006B5B9D">
              <w:rPr>
                <w:color w:val="000000"/>
                <w:sz w:val="24"/>
                <w:szCs w:val="24"/>
              </w:rPr>
              <w:t>son usage ainsi que ses aspects de sécurité et est applicable aux installations fonctionnant à une pression nominale</w:t>
            </w:r>
            <w:r w:rsidR="00464910">
              <w:rPr>
                <w:color w:val="000000"/>
                <w:sz w:val="24"/>
                <w:szCs w:val="24"/>
              </w:rPr>
              <w:t xml:space="preserve"> </w:t>
            </w:r>
            <w:r w:rsidRPr="006B5B9D">
              <w:rPr>
                <w:color w:val="000000"/>
                <w:sz w:val="24"/>
                <w:szCs w:val="24"/>
              </w:rPr>
              <w:t>de 25 bar et 42 bar à propulseur d’azote. Cela n’exclut pas l’utilisation d’autres installations.</w:t>
            </w:r>
          </w:p>
        </w:tc>
      </w:tr>
      <w:tr w:rsidR="001D24D9" w:rsidRPr="0043547B" w:rsidTr="008D7690">
        <w:trPr>
          <w:gridBefore w:val="1"/>
          <w:wBefore w:w="18" w:type="dxa"/>
          <w:trHeight w:val="374"/>
          <w:jc w:val="center"/>
        </w:trPr>
        <w:tc>
          <w:tcPr>
            <w:tcW w:w="1856" w:type="dxa"/>
            <w:tcBorders>
              <w:top w:val="single" w:sz="4" w:space="0" w:color="auto"/>
              <w:left w:val="single" w:sz="18" w:space="0" w:color="auto"/>
              <w:bottom w:val="single" w:sz="18" w:space="0" w:color="auto"/>
              <w:right w:val="single" w:sz="8" w:space="0" w:color="auto"/>
            </w:tcBorders>
            <w:shd w:val="clear" w:color="auto" w:fill="C2D69B" w:themeFill="accent3" w:themeFillTint="99"/>
            <w:vAlign w:val="center"/>
          </w:tcPr>
          <w:p w:rsidR="001D24D9" w:rsidRPr="006B5B9D" w:rsidRDefault="001D24D9" w:rsidP="00464910">
            <w:pPr>
              <w:spacing w:after="0" w:line="240" w:lineRule="auto"/>
              <w:jc w:val="center"/>
              <w:rPr>
                <w:rFonts w:ascii="Calibri" w:hAnsi="Calibri" w:cs="Calibri"/>
                <w:b/>
                <w:bCs/>
                <w:sz w:val="24"/>
                <w:szCs w:val="24"/>
              </w:rPr>
            </w:pPr>
            <w:r w:rsidRPr="006B5B9D">
              <w:rPr>
                <w:rFonts w:ascii="Calibri" w:hAnsi="Calibri" w:cs="Calibri"/>
                <w:b/>
                <w:bCs/>
                <w:sz w:val="24"/>
                <w:szCs w:val="24"/>
              </w:rPr>
              <w:t>Code :</w:t>
            </w:r>
          </w:p>
        </w:tc>
        <w:tc>
          <w:tcPr>
            <w:tcW w:w="7938" w:type="dxa"/>
            <w:tcBorders>
              <w:top w:val="single" w:sz="4" w:space="0" w:color="auto"/>
              <w:bottom w:val="single" w:sz="18" w:space="0" w:color="auto"/>
              <w:right w:val="single" w:sz="18" w:space="0" w:color="auto"/>
            </w:tcBorders>
            <w:shd w:val="clear" w:color="auto" w:fill="C2D69B" w:themeFill="accent3" w:themeFillTint="99"/>
            <w:vAlign w:val="center"/>
          </w:tcPr>
          <w:p w:rsidR="001D24D9" w:rsidRPr="00464910" w:rsidRDefault="001D24D9" w:rsidP="00464910">
            <w:pPr>
              <w:spacing w:after="0" w:line="240" w:lineRule="auto"/>
              <w:jc w:val="center"/>
              <w:rPr>
                <w:rFonts w:ascii="Times New Roman" w:hAnsi="Times New Roman" w:cs="Times New Roman"/>
                <w:b/>
                <w:bCs/>
                <w:color w:val="000000"/>
                <w:sz w:val="24"/>
                <w:szCs w:val="24"/>
              </w:rPr>
            </w:pPr>
            <w:r w:rsidRPr="00464910">
              <w:rPr>
                <w:b/>
                <w:bCs/>
                <w:color w:val="000000"/>
                <w:sz w:val="24"/>
                <w:szCs w:val="24"/>
              </w:rPr>
              <w:t>NM EN 15004-4</w:t>
            </w:r>
          </w:p>
        </w:tc>
      </w:tr>
      <w:tr w:rsidR="001D24D9" w:rsidRPr="0043547B" w:rsidTr="00566A17">
        <w:trPr>
          <w:gridBefore w:val="1"/>
          <w:wBefore w:w="18" w:type="dxa"/>
          <w:trHeight w:val="508"/>
          <w:jc w:val="center"/>
        </w:trPr>
        <w:tc>
          <w:tcPr>
            <w:tcW w:w="1856" w:type="dxa"/>
            <w:tcBorders>
              <w:top w:val="single" w:sz="4" w:space="0" w:color="auto"/>
              <w:left w:val="single" w:sz="18" w:space="0" w:color="auto"/>
              <w:bottom w:val="single" w:sz="18" w:space="0" w:color="auto"/>
              <w:right w:val="single" w:sz="8" w:space="0" w:color="auto"/>
            </w:tcBorders>
            <w:shd w:val="clear" w:color="auto" w:fill="FFFF99"/>
            <w:vAlign w:val="center"/>
          </w:tcPr>
          <w:p w:rsidR="001D24D9" w:rsidRPr="006B5B9D" w:rsidRDefault="001D24D9" w:rsidP="00464910">
            <w:pPr>
              <w:spacing w:after="0" w:line="240" w:lineRule="auto"/>
              <w:jc w:val="center"/>
              <w:rPr>
                <w:rFonts w:ascii="Calibri" w:hAnsi="Calibri" w:cs="Calibri"/>
                <w:b/>
                <w:bCs/>
                <w:sz w:val="24"/>
                <w:szCs w:val="24"/>
              </w:rPr>
            </w:pPr>
            <w:r w:rsidRPr="006B5B9D">
              <w:rPr>
                <w:rFonts w:ascii="Calibri" w:hAnsi="Calibri" w:cs="Calibri"/>
                <w:b/>
                <w:bCs/>
                <w:sz w:val="24"/>
                <w:szCs w:val="24"/>
              </w:rPr>
              <w:lastRenderedPageBreak/>
              <w:t>Equivalence :</w:t>
            </w:r>
          </w:p>
        </w:tc>
        <w:tc>
          <w:tcPr>
            <w:tcW w:w="7938" w:type="dxa"/>
            <w:tcBorders>
              <w:top w:val="single" w:sz="4" w:space="0" w:color="auto"/>
              <w:bottom w:val="single" w:sz="18" w:space="0" w:color="auto"/>
              <w:right w:val="single" w:sz="18" w:space="0" w:color="auto"/>
            </w:tcBorders>
            <w:shd w:val="clear" w:color="auto" w:fill="FFFF99"/>
            <w:vAlign w:val="center"/>
          </w:tcPr>
          <w:p w:rsidR="001D24D9" w:rsidRPr="00464910" w:rsidRDefault="001D24D9" w:rsidP="00464910">
            <w:pPr>
              <w:spacing w:after="0" w:line="240" w:lineRule="auto"/>
              <w:jc w:val="center"/>
              <w:rPr>
                <w:rFonts w:ascii="Times New Roman" w:hAnsi="Times New Roman" w:cs="Times New Roman"/>
                <w:b/>
                <w:bCs/>
                <w:color w:val="000000"/>
                <w:sz w:val="24"/>
                <w:szCs w:val="24"/>
              </w:rPr>
            </w:pPr>
            <w:r w:rsidRPr="00464910">
              <w:rPr>
                <w:b/>
                <w:bCs/>
                <w:color w:val="000000"/>
                <w:sz w:val="24"/>
                <w:szCs w:val="24"/>
              </w:rPr>
              <w:t>EN 15004-4</w:t>
            </w:r>
          </w:p>
        </w:tc>
      </w:tr>
      <w:tr w:rsidR="001D24D9" w:rsidRPr="0043547B" w:rsidTr="00566A17">
        <w:trPr>
          <w:gridBefore w:val="1"/>
          <w:wBefore w:w="18" w:type="dxa"/>
          <w:trHeight w:val="795"/>
          <w:jc w:val="center"/>
        </w:trPr>
        <w:tc>
          <w:tcPr>
            <w:tcW w:w="1856" w:type="dxa"/>
            <w:tcBorders>
              <w:top w:val="single" w:sz="18" w:space="0" w:color="auto"/>
              <w:left w:val="single" w:sz="18" w:space="0" w:color="auto"/>
              <w:bottom w:val="single" w:sz="4" w:space="0" w:color="auto"/>
              <w:right w:val="single" w:sz="8" w:space="0" w:color="auto"/>
            </w:tcBorders>
            <w:shd w:val="clear" w:color="auto" w:fill="95B3D7" w:themeFill="accent1" w:themeFillTint="99"/>
            <w:vAlign w:val="center"/>
          </w:tcPr>
          <w:p w:rsidR="001D24D9" w:rsidRPr="006B5B9D" w:rsidRDefault="001D24D9" w:rsidP="00464910">
            <w:pPr>
              <w:spacing w:after="0" w:line="240" w:lineRule="auto"/>
              <w:jc w:val="center"/>
              <w:rPr>
                <w:rFonts w:ascii="Calibri" w:hAnsi="Calibri" w:cs="Calibri"/>
                <w:b/>
                <w:bCs/>
                <w:sz w:val="24"/>
                <w:szCs w:val="24"/>
              </w:rPr>
            </w:pPr>
            <w:r w:rsidRPr="006B5B9D">
              <w:rPr>
                <w:rFonts w:ascii="Calibri" w:hAnsi="Calibri" w:cs="Calibri"/>
                <w:b/>
                <w:bCs/>
                <w:sz w:val="24"/>
                <w:szCs w:val="24"/>
              </w:rPr>
              <w:t>Intitulé :</w:t>
            </w:r>
          </w:p>
        </w:tc>
        <w:tc>
          <w:tcPr>
            <w:tcW w:w="7938" w:type="dxa"/>
            <w:tcBorders>
              <w:top w:val="single" w:sz="18" w:space="0" w:color="auto"/>
              <w:bottom w:val="single" w:sz="4" w:space="0" w:color="auto"/>
              <w:right w:val="single" w:sz="18" w:space="0" w:color="auto"/>
            </w:tcBorders>
            <w:shd w:val="clear" w:color="auto" w:fill="auto"/>
            <w:vAlign w:val="bottom"/>
          </w:tcPr>
          <w:p w:rsidR="001D24D9" w:rsidRPr="006B5B9D" w:rsidRDefault="001D24D9" w:rsidP="006B5B9D">
            <w:pPr>
              <w:spacing w:after="0" w:line="240" w:lineRule="auto"/>
              <w:jc w:val="both"/>
              <w:rPr>
                <w:rFonts w:ascii="Times New Roman" w:hAnsi="Times New Roman" w:cs="Times New Roman"/>
                <w:color w:val="000000"/>
                <w:sz w:val="24"/>
                <w:szCs w:val="24"/>
              </w:rPr>
            </w:pPr>
            <w:r w:rsidRPr="006B5B9D">
              <w:rPr>
                <w:color w:val="000000"/>
                <w:sz w:val="24"/>
                <w:szCs w:val="24"/>
              </w:rPr>
              <w:t xml:space="preserve">Installations fixes de lutte contre l'incendie - Installations d'extinction à gaz - Partie 4 : Propriétés physiques et conception des systèmes pour agent extincteur HFC 125 </w:t>
            </w:r>
          </w:p>
        </w:tc>
      </w:tr>
      <w:tr w:rsidR="001D24D9" w:rsidRPr="0043547B" w:rsidTr="00566A17">
        <w:trPr>
          <w:gridBefore w:val="1"/>
          <w:wBefore w:w="18" w:type="dxa"/>
          <w:trHeight w:val="1717"/>
          <w:jc w:val="center"/>
        </w:trPr>
        <w:tc>
          <w:tcPr>
            <w:tcW w:w="1856" w:type="dxa"/>
            <w:tcBorders>
              <w:top w:val="single" w:sz="4" w:space="0" w:color="auto"/>
              <w:left w:val="single" w:sz="18" w:space="0" w:color="auto"/>
              <w:bottom w:val="single" w:sz="18" w:space="0" w:color="auto"/>
              <w:right w:val="single" w:sz="8" w:space="0" w:color="auto"/>
            </w:tcBorders>
            <w:shd w:val="clear" w:color="000000" w:fill="D9D9D9"/>
            <w:vAlign w:val="center"/>
          </w:tcPr>
          <w:p w:rsidR="001D24D9" w:rsidRPr="006B5B9D" w:rsidRDefault="001D24D9" w:rsidP="00464910">
            <w:pPr>
              <w:spacing w:after="0" w:line="240" w:lineRule="auto"/>
              <w:jc w:val="center"/>
              <w:rPr>
                <w:rFonts w:ascii="Calibri" w:hAnsi="Calibri" w:cs="Calibri"/>
                <w:b/>
                <w:bCs/>
                <w:sz w:val="24"/>
                <w:szCs w:val="24"/>
              </w:rPr>
            </w:pPr>
            <w:r w:rsidRPr="006B5B9D">
              <w:rPr>
                <w:rFonts w:ascii="Calibri" w:hAnsi="Calibri" w:cs="Calibri"/>
                <w:b/>
                <w:bCs/>
                <w:sz w:val="24"/>
                <w:szCs w:val="24"/>
              </w:rPr>
              <w:t>Domaine d’application :</w:t>
            </w:r>
          </w:p>
        </w:tc>
        <w:tc>
          <w:tcPr>
            <w:tcW w:w="7938" w:type="dxa"/>
            <w:tcBorders>
              <w:top w:val="single" w:sz="4" w:space="0" w:color="auto"/>
              <w:bottom w:val="single" w:sz="18" w:space="0" w:color="auto"/>
              <w:right w:val="single" w:sz="18" w:space="0" w:color="auto"/>
            </w:tcBorders>
            <w:shd w:val="clear" w:color="auto" w:fill="auto"/>
            <w:vAlign w:val="bottom"/>
          </w:tcPr>
          <w:p w:rsidR="001D24D9" w:rsidRPr="006B5B9D" w:rsidRDefault="001D24D9" w:rsidP="00464910">
            <w:pPr>
              <w:spacing w:after="0" w:line="240" w:lineRule="auto"/>
              <w:jc w:val="both"/>
              <w:rPr>
                <w:rFonts w:ascii="Times New Roman" w:hAnsi="Times New Roman" w:cs="Times New Roman"/>
                <w:color w:val="000000"/>
                <w:sz w:val="24"/>
                <w:szCs w:val="24"/>
              </w:rPr>
            </w:pPr>
            <w:r w:rsidRPr="006B5B9D">
              <w:rPr>
                <w:color w:val="000000"/>
                <w:sz w:val="24"/>
                <w:szCs w:val="24"/>
              </w:rPr>
              <w:t>Le présent document contient des exigences spécifiques relatives aux installations d’extinction à gaz contenant de</w:t>
            </w:r>
            <w:r w:rsidR="00464910">
              <w:rPr>
                <w:color w:val="000000"/>
                <w:sz w:val="24"/>
                <w:szCs w:val="24"/>
              </w:rPr>
              <w:t xml:space="preserve"> </w:t>
            </w:r>
            <w:r w:rsidRPr="006B5B9D">
              <w:rPr>
                <w:color w:val="000000"/>
                <w:sz w:val="24"/>
                <w:szCs w:val="24"/>
              </w:rPr>
              <w:t>l’agent extincteur HFC 125. Il inclut des détails relatifs à ses propriétés physiques, sa spécification, son usage ainsi</w:t>
            </w:r>
            <w:r w:rsidRPr="006B5B9D">
              <w:rPr>
                <w:color w:val="000000"/>
                <w:sz w:val="24"/>
                <w:szCs w:val="24"/>
              </w:rPr>
              <w:br/>
              <w:t>que ses aspects de sécurité et est applicable aux systèmes fonctionnant à des pressions nominales de 25 bar</w:t>
            </w:r>
            <w:r w:rsidR="00464910">
              <w:rPr>
                <w:color w:val="000000"/>
                <w:sz w:val="24"/>
                <w:szCs w:val="24"/>
              </w:rPr>
              <w:t xml:space="preserve"> </w:t>
            </w:r>
            <w:r w:rsidRPr="006B5B9D">
              <w:rPr>
                <w:color w:val="000000"/>
                <w:sz w:val="24"/>
                <w:szCs w:val="24"/>
              </w:rPr>
              <w:t>et 42 bar à surpression au azote. Cela n’exclut pas l’utilisation d’autres installations.</w:t>
            </w:r>
          </w:p>
        </w:tc>
      </w:tr>
      <w:tr w:rsidR="001D24D9" w:rsidRPr="0043547B" w:rsidTr="008D7690">
        <w:trPr>
          <w:gridBefore w:val="1"/>
          <w:wBefore w:w="18" w:type="dxa"/>
          <w:trHeight w:val="342"/>
          <w:jc w:val="center"/>
        </w:trPr>
        <w:tc>
          <w:tcPr>
            <w:tcW w:w="1856" w:type="dxa"/>
            <w:tcBorders>
              <w:top w:val="single" w:sz="4" w:space="0" w:color="auto"/>
              <w:left w:val="single" w:sz="18" w:space="0" w:color="auto"/>
              <w:bottom w:val="single" w:sz="18" w:space="0" w:color="auto"/>
              <w:right w:val="single" w:sz="8" w:space="0" w:color="auto"/>
            </w:tcBorders>
            <w:shd w:val="clear" w:color="auto" w:fill="C2D69B" w:themeFill="accent3" w:themeFillTint="99"/>
            <w:vAlign w:val="center"/>
          </w:tcPr>
          <w:p w:rsidR="001D24D9" w:rsidRPr="006B5B9D" w:rsidRDefault="001D24D9" w:rsidP="00464910">
            <w:pPr>
              <w:spacing w:after="0" w:line="240" w:lineRule="auto"/>
              <w:jc w:val="center"/>
              <w:rPr>
                <w:rFonts w:ascii="Calibri" w:hAnsi="Calibri" w:cs="Calibri"/>
                <w:b/>
                <w:bCs/>
                <w:sz w:val="24"/>
                <w:szCs w:val="24"/>
              </w:rPr>
            </w:pPr>
            <w:r w:rsidRPr="006B5B9D">
              <w:rPr>
                <w:rFonts w:ascii="Calibri" w:hAnsi="Calibri" w:cs="Calibri"/>
                <w:b/>
                <w:bCs/>
                <w:sz w:val="24"/>
                <w:szCs w:val="24"/>
              </w:rPr>
              <w:t>Code :</w:t>
            </w:r>
          </w:p>
        </w:tc>
        <w:tc>
          <w:tcPr>
            <w:tcW w:w="7938" w:type="dxa"/>
            <w:tcBorders>
              <w:top w:val="single" w:sz="4" w:space="0" w:color="auto"/>
              <w:bottom w:val="single" w:sz="18" w:space="0" w:color="auto"/>
              <w:right w:val="single" w:sz="18" w:space="0" w:color="auto"/>
            </w:tcBorders>
            <w:shd w:val="clear" w:color="auto" w:fill="C2D69B" w:themeFill="accent3" w:themeFillTint="99"/>
            <w:vAlign w:val="center"/>
          </w:tcPr>
          <w:p w:rsidR="001D24D9" w:rsidRPr="00464910" w:rsidRDefault="001D24D9" w:rsidP="00464910">
            <w:pPr>
              <w:spacing w:after="0" w:line="240" w:lineRule="auto"/>
              <w:jc w:val="center"/>
              <w:rPr>
                <w:rFonts w:ascii="Times New Roman" w:hAnsi="Times New Roman" w:cs="Times New Roman"/>
                <w:b/>
                <w:bCs/>
                <w:color w:val="000000"/>
                <w:sz w:val="24"/>
                <w:szCs w:val="24"/>
              </w:rPr>
            </w:pPr>
            <w:r w:rsidRPr="00464910">
              <w:rPr>
                <w:b/>
                <w:bCs/>
                <w:color w:val="000000"/>
                <w:sz w:val="24"/>
                <w:szCs w:val="24"/>
              </w:rPr>
              <w:t>NM EN 15004-5</w:t>
            </w:r>
          </w:p>
        </w:tc>
      </w:tr>
      <w:tr w:rsidR="001D24D9" w:rsidRPr="0043547B" w:rsidTr="00566A17">
        <w:trPr>
          <w:gridBefore w:val="1"/>
          <w:wBefore w:w="18" w:type="dxa"/>
          <w:trHeight w:val="372"/>
          <w:jc w:val="center"/>
        </w:trPr>
        <w:tc>
          <w:tcPr>
            <w:tcW w:w="1856" w:type="dxa"/>
            <w:tcBorders>
              <w:top w:val="single" w:sz="4" w:space="0" w:color="auto"/>
              <w:left w:val="single" w:sz="18" w:space="0" w:color="auto"/>
              <w:bottom w:val="single" w:sz="18" w:space="0" w:color="auto"/>
              <w:right w:val="single" w:sz="8" w:space="0" w:color="auto"/>
            </w:tcBorders>
            <w:shd w:val="clear" w:color="auto" w:fill="FFFF99"/>
            <w:vAlign w:val="center"/>
          </w:tcPr>
          <w:p w:rsidR="001D24D9" w:rsidRPr="006B5B9D" w:rsidRDefault="001D24D9" w:rsidP="00464910">
            <w:pPr>
              <w:spacing w:after="0" w:line="240" w:lineRule="auto"/>
              <w:jc w:val="center"/>
              <w:rPr>
                <w:rFonts w:ascii="Calibri" w:hAnsi="Calibri" w:cs="Calibri"/>
                <w:b/>
                <w:bCs/>
                <w:sz w:val="24"/>
                <w:szCs w:val="24"/>
              </w:rPr>
            </w:pPr>
            <w:r w:rsidRPr="006B5B9D">
              <w:rPr>
                <w:rFonts w:ascii="Calibri" w:hAnsi="Calibri" w:cs="Calibri"/>
                <w:b/>
                <w:bCs/>
                <w:sz w:val="24"/>
                <w:szCs w:val="24"/>
              </w:rPr>
              <w:t>Equivalence :</w:t>
            </w:r>
          </w:p>
        </w:tc>
        <w:tc>
          <w:tcPr>
            <w:tcW w:w="7938" w:type="dxa"/>
            <w:tcBorders>
              <w:top w:val="single" w:sz="4" w:space="0" w:color="auto"/>
              <w:bottom w:val="single" w:sz="18" w:space="0" w:color="auto"/>
              <w:right w:val="single" w:sz="18" w:space="0" w:color="auto"/>
            </w:tcBorders>
            <w:shd w:val="clear" w:color="auto" w:fill="FFFF99"/>
            <w:vAlign w:val="center"/>
          </w:tcPr>
          <w:p w:rsidR="001D24D9" w:rsidRPr="00464910" w:rsidRDefault="001D24D9" w:rsidP="00464910">
            <w:pPr>
              <w:spacing w:after="0" w:line="240" w:lineRule="auto"/>
              <w:jc w:val="center"/>
              <w:rPr>
                <w:rFonts w:ascii="Times New Roman" w:hAnsi="Times New Roman" w:cs="Times New Roman"/>
                <w:b/>
                <w:bCs/>
                <w:color w:val="000000"/>
                <w:sz w:val="24"/>
                <w:szCs w:val="24"/>
              </w:rPr>
            </w:pPr>
            <w:r w:rsidRPr="00464910">
              <w:rPr>
                <w:b/>
                <w:bCs/>
                <w:color w:val="000000"/>
                <w:sz w:val="24"/>
                <w:szCs w:val="24"/>
              </w:rPr>
              <w:t>EN 15004-5</w:t>
            </w:r>
          </w:p>
        </w:tc>
      </w:tr>
      <w:tr w:rsidR="001D24D9" w:rsidRPr="0043547B" w:rsidTr="00566A17">
        <w:trPr>
          <w:gridBefore w:val="1"/>
          <w:wBefore w:w="18" w:type="dxa"/>
          <w:trHeight w:val="816"/>
          <w:jc w:val="center"/>
        </w:trPr>
        <w:tc>
          <w:tcPr>
            <w:tcW w:w="1856" w:type="dxa"/>
            <w:tcBorders>
              <w:top w:val="single" w:sz="18" w:space="0" w:color="auto"/>
              <w:left w:val="single" w:sz="18" w:space="0" w:color="auto"/>
              <w:bottom w:val="single" w:sz="4" w:space="0" w:color="auto"/>
              <w:right w:val="single" w:sz="8" w:space="0" w:color="auto"/>
            </w:tcBorders>
            <w:shd w:val="clear" w:color="auto" w:fill="95B3D7" w:themeFill="accent1" w:themeFillTint="99"/>
            <w:vAlign w:val="center"/>
          </w:tcPr>
          <w:p w:rsidR="001D24D9" w:rsidRPr="006B5B9D" w:rsidRDefault="001D24D9" w:rsidP="00464910">
            <w:pPr>
              <w:spacing w:after="0" w:line="240" w:lineRule="auto"/>
              <w:jc w:val="center"/>
              <w:rPr>
                <w:rFonts w:ascii="Calibri" w:hAnsi="Calibri" w:cs="Calibri"/>
                <w:b/>
                <w:bCs/>
                <w:sz w:val="24"/>
                <w:szCs w:val="24"/>
              </w:rPr>
            </w:pPr>
            <w:r w:rsidRPr="006B5B9D">
              <w:rPr>
                <w:rFonts w:ascii="Calibri" w:hAnsi="Calibri" w:cs="Calibri"/>
                <w:b/>
                <w:bCs/>
                <w:sz w:val="24"/>
                <w:szCs w:val="24"/>
              </w:rPr>
              <w:t>Intitulé :</w:t>
            </w:r>
          </w:p>
        </w:tc>
        <w:tc>
          <w:tcPr>
            <w:tcW w:w="7938" w:type="dxa"/>
            <w:tcBorders>
              <w:top w:val="single" w:sz="18" w:space="0" w:color="auto"/>
              <w:bottom w:val="single" w:sz="4" w:space="0" w:color="auto"/>
              <w:right w:val="single" w:sz="18" w:space="0" w:color="auto"/>
            </w:tcBorders>
            <w:shd w:val="clear" w:color="auto" w:fill="auto"/>
            <w:vAlign w:val="bottom"/>
          </w:tcPr>
          <w:p w:rsidR="001D24D9" w:rsidRPr="006B5B9D" w:rsidRDefault="001D24D9" w:rsidP="006B5B9D">
            <w:pPr>
              <w:spacing w:after="0" w:line="240" w:lineRule="auto"/>
              <w:jc w:val="both"/>
              <w:rPr>
                <w:rFonts w:ascii="Times New Roman" w:hAnsi="Times New Roman" w:cs="Times New Roman"/>
                <w:color w:val="000000"/>
                <w:sz w:val="24"/>
                <w:szCs w:val="24"/>
              </w:rPr>
            </w:pPr>
            <w:r w:rsidRPr="006B5B9D">
              <w:rPr>
                <w:color w:val="000000"/>
                <w:sz w:val="24"/>
                <w:szCs w:val="24"/>
              </w:rPr>
              <w:t xml:space="preserve">Installations fixes de lutte contre l'incendie - Installations d'extinction à gaz - Partie 5 : Propriétés physiques et conception des systèmes pour agent extincteur HFC 227ea; </w:t>
            </w:r>
          </w:p>
        </w:tc>
      </w:tr>
      <w:tr w:rsidR="001D24D9" w:rsidRPr="0043547B" w:rsidTr="00566A17">
        <w:trPr>
          <w:gridBefore w:val="1"/>
          <w:wBefore w:w="18" w:type="dxa"/>
          <w:trHeight w:val="524"/>
          <w:jc w:val="center"/>
        </w:trPr>
        <w:tc>
          <w:tcPr>
            <w:tcW w:w="1856" w:type="dxa"/>
            <w:tcBorders>
              <w:top w:val="single" w:sz="4" w:space="0" w:color="auto"/>
              <w:left w:val="single" w:sz="18" w:space="0" w:color="auto"/>
              <w:bottom w:val="single" w:sz="18" w:space="0" w:color="auto"/>
              <w:right w:val="single" w:sz="8" w:space="0" w:color="auto"/>
            </w:tcBorders>
            <w:shd w:val="clear" w:color="000000" w:fill="D9D9D9"/>
            <w:vAlign w:val="center"/>
          </w:tcPr>
          <w:p w:rsidR="001D24D9" w:rsidRPr="006B5B9D" w:rsidRDefault="001D24D9" w:rsidP="00464910">
            <w:pPr>
              <w:spacing w:after="0" w:line="240" w:lineRule="auto"/>
              <w:jc w:val="center"/>
              <w:rPr>
                <w:rFonts w:ascii="Calibri" w:hAnsi="Calibri" w:cs="Calibri"/>
                <w:b/>
                <w:bCs/>
                <w:sz w:val="24"/>
                <w:szCs w:val="24"/>
              </w:rPr>
            </w:pPr>
            <w:r w:rsidRPr="006B5B9D">
              <w:rPr>
                <w:rFonts w:ascii="Calibri" w:hAnsi="Calibri" w:cs="Calibri"/>
                <w:b/>
                <w:bCs/>
                <w:sz w:val="24"/>
                <w:szCs w:val="24"/>
              </w:rPr>
              <w:t>Domaine d’application :</w:t>
            </w:r>
          </w:p>
        </w:tc>
        <w:tc>
          <w:tcPr>
            <w:tcW w:w="7938" w:type="dxa"/>
            <w:tcBorders>
              <w:top w:val="single" w:sz="4" w:space="0" w:color="auto"/>
              <w:bottom w:val="single" w:sz="18" w:space="0" w:color="auto"/>
              <w:right w:val="single" w:sz="18" w:space="0" w:color="auto"/>
            </w:tcBorders>
            <w:shd w:val="clear" w:color="auto" w:fill="auto"/>
            <w:vAlign w:val="bottom"/>
          </w:tcPr>
          <w:p w:rsidR="001D24D9" w:rsidRPr="006B5B9D" w:rsidRDefault="001D24D9" w:rsidP="00464910">
            <w:pPr>
              <w:spacing w:after="0" w:line="240" w:lineRule="auto"/>
              <w:jc w:val="both"/>
              <w:rPr>
                <w:rFonts w:ascii="Times New Roman" w:hAnsi="Times New Roman" w:cs="Times New Roman"/>
                <w:color w:val="000000"/>
                <w:sz w:val="24"/>
                <w:szCs w:val="24"/>
              </w:rPr>
            </w:pPr>
            <w:r w:rsidRPr="006B5B9D">
              <w:rPr>
                <w:color w:val="000000"/>
                <w:sz w:val="24"/>
                <w:szCs w:val="24"/>
              </w:rPr>
              <w:t>Le présent document contient des exigences spécifiques relatives aux installations d’extinction à gaz contenant de</w:t>
            </w:r>
            <w:r w:rsidR="00464910">
              <w:rPr>
                <w:color w:val="000000"/>
                <w:sz w:val="24"/>
                <w:szCs w:val="24"/>
              </w:rPr>
              <w:t xml:space="preserve"> </w:t>
            </w:r>
            <w:r w:rsidRPr="006B5B9D">
              <w:rPr>
                <w:color w:val="000000"/>
                <w:sz w:val="24"/>
                <w:szCs w:val="24"/>
              </w:rPr>
              <w:t>l’agent extincteur HFC 227ea. Il inclut des détails relatifs à ses propriétés physiques, sa spécification, son usage ainsi</w:t>
            </w:r>
            <w:r w:rsidR="00464910">
              <w:rPr>
                <w:color w:val="000000"/>
                <w:sz w:val="24"/>
                <w:szCs w:val="24"/>
              </w:rPr>
              <w:t xml:space="preserve"> </w:t>
            </w:r>
            <w:r w:rsidRPr="006B5B9D">
              <w:rPr>
                <w:color w:val="000000"/>
                <w:sz w:val="24"/>
                <w:szCs w:val="24"/>
              </w:rPr>
              <w:t>que ses aspects de sécurité et est applicable aux installations fonctionnant à une pression nominale de 25 bar</w:t>
            </w:r>
            <w:r w:rsidR="00464910">
              <w:rPr>
                <w:color w:val="000000"/>
                <w:sz w:val="24"/>
                <w:szCs w:val="24"/>
              </w:rPr>
              <w:t xml:space="preserve"> </w:t>
            </w:r>
            <w:r w:rsidRPr="006B5B9D">
              <w:rPr>
                <w:color w:val="000000"/>
                <w:sz w:val="24"/>
                <w:szCs w:val="24"/>
              </w:rPr>
              <w:t>et 42 bar sur-pressurisés à l’azote. Cela n’exclut pas l’utilisation d’autres installations.</w:t>
            </w:r>
          </w:p>
        </w:tc>
      </w:tr>
      <w:tr w:rsidR="001D24D9" w:rsidRPr="0043547B" w:rsidTr="00464910">
        <w:trPr>
          <w:gridBefore w:val="1"/>
          <w:wBefore w:w="18" w:type="dxa"/>
          <w:trHeight w:val="430"/>
          <w:jc w:val="center"/>
        </w:trPr>
        <w:tc>
          <w:tcPr>
            <w:tcW w:w="1856" w:type="dxa"/>
            <w:tcBorders>
              <w:top w:val="single" w:sz="4" w:space="0" w:color="auto"/>
              <w:left w:val="single" w:sz="18" w:space="0" w:color="auto"/>
              <w:bottom w:val="single" w:sz="18" w:space="0" w:color="auto"/>
              <w:right w:val="single" w:sz="8" w:space="0" w:color="auto"/>
            </w:tcBorders>
            <w:shd w:val="clear" w:color="auto" w:fill="C2D69B" w:themeFill="accent3" w:themeFillTint="99"/>
            <w:vAlign w:val="center"/>
          </w:tcPr>
          <w:p w:rsidR="001D24D9" w:rsidRPr="006B5B9D" w:rsidRDefault="001D24D9" w:rsidP="00464910">
            <w:pPr>
              <w:spacing w:after="0" w:line="240" w:lineRule="auto"/>
              <w:jc w:val="center"/>
              <w:rPr>
                <w:rFonts w:ascii="Calibri" w:hAnsi="Calibri" w:cs="Calibri"/>
                <w:b/>
                <w:bCs/>
                <w:sz w:val="24"/>
                <w:szCs w:val="24"/>
              </w:rPr>
            </w:pPr>
            <w:r w:rsidRPr="006B5B9D">
              <w:rPr>
                <w:rFonts w:ascii="Calibri" w:hAnsi="Calibri" w:cs="Calibri"/>
                <w:b/>
                <w:bCs/>
                <w:sz w:val="24"/>
                <w:szCs w:val="24"/>
              </w:rPr>
              <w:t>Code :</w:t>
            </w:r>
          </w:p>
        </w:tc>
        <w:tc>
          <w:tcPr>
            <w:tcW w:w="7938" w:type="dxa"/>
            <w:tcBorders>
              <w:top w:val="single" w:sz="4" w:space="0" w:color="auto"/>
              <w:bottom w:val="single" w:sz="18" w:space="0" w:color="auto"/>
              <w:right w:val="single" w:sz="18" w:space="0" w:color="auto"/>
            </w:tcBorders>
            <w:shd w:val="clear" w:color="auto" w:fill="C2D69B" w:themeFill="accent3" w:themeFillTint="99"/>
            <w:vAlign w:val="center"/>
          </w:tcPr>
          <w:p w:rsidR="001D24D9" w:rsidRPr="00464910" w:rsidRDefault="001D24D9" w:rsidP="00464910">
            <w:pPr>
              <w:spacing w:after="0" w:line="240" w:lineRule="auto"/>
              <w:jc w:val="center"/>
              <w:rPr>
                <w:rFonts w:ascii="Times New Roman" w:hAnsi="Times New Roman" w:cs="Times New Roman"/>
                <w:b/>
                <w:bCs/>
                <w:color w:val="000000"/>
                <w:sz w:val="24"/>
                <w:szCs w:val="24"/>
              </w:rPr>
            </w:pPr>
            <w:r w:rsidRPr="00464910">
              <w:rPr>
                <w:b/>
                <w:bCs/>
                <w:color w:val="000000"/>
                <w:sz w:val="24"/>
                <w:szCs w:val="24"/>
              </w:rPr>
              <w:t>NM EN 15004-6</w:t>
            </w:r>
          </w:p>
        </w:tc>
      </w:tr>
      <w:tr w:rsidR="001D24D9" w:rsidRPr="0043547B" w:rsidTr="00566A17">
        <w:trPr>
          <w:gridBefore w:val="1"/>
          <w:wBefore w:w="18" w:type="dxa"/>
          <w:trHeight w:val="358"/>
          <w:jc w:val="center"/>
        </w:trPr>
        <w:tc>
          <w:tcPr>
            <w:tcW w:w="1856" w:type="dxa"/>
            <w:tcBorders>
              <w:top w:val="single" w:sz="4" w:space="0" w:color="auto"/>
              <w:left w:val="single" w:sz="18" w:space="0" w:color="auto"/>
              <w:bottom w:val="single" w:sz="18" w:space="0" w:color="auto"/>
              <w:right w:val="single" w:sz="8" w:space="0" w:color="auto"/>
            </w:tcBorders>
            <w:shd w:val="clear" w:color="auto" w:fill="FFFF99"/>
            <w:vAlign w:val="center"/>
          </w:tcPr>
          <w:p w:rsidR="001D24D9" w:rsidRPr="006B5B9D" w:rsidRDefault="001D24D9" w:rsidP="00464910">
            <w:pPr>
              <w:spacing w:after="0" w:line="240" w:lineRule="auto"/>
              <w:jc w:val="center"/>
              <w:rPr>
                <w:rFonts w:ascii="Calibri" w:hAnsi="Calibri" w:cs="Calibri"/>
                <w:b/>
                <w:bCs/>
                <w:sz w:val="24"/>
                <w:szCs w:val="24"/>
              </w:rPr>
            </w:pPr>
            <w:r w:rsidRPr="006B5B9D">
              <w:rPr>
                <w:rFonts w:ascii="Calibri" w:hAnsi="Calibri" w:cs="Calibri"/>
                <w:b/>
                <w:bCs/>
                <w:sz w:val="24"/>
                <w:szCs w:val="24"/>
              </w:rPr>
              <w:t>Equivalence :</w:t>
            </w:r>
          </w:p>
        </w:tc>
        <w:tc>
          <w:tcPr>
            <w:tcW w:w="7938" w:type="dxa"/>
            <w:tcBorders>
              <w:top w:val="single" w:sz="4" w:space="0" w:color="auto"/>
              <w:bottom w:val="single" w:sz="18" w:space="0" w:color="auto"/>
              <w:right w:val="single" w:sz="18" w:space="0" w:color="auto"/>
            </w:tcBorders>
            <w:shd w:val="clear" w:color="auto" w:fill="FFFF99"/>
            <w:vAlign w:val="center"/>
          </w:tcPr>
          <w:p w:rsidR="001D24D9" w:rsidRPr="00464910" w:rsidRDefault="001D24D9" w:rsidP="00464910">
            <w:pPr>
              <w:spacing w:after="0" w:line="240" w:lineRule="auto"/>
              <w:jc w:val="center"/>
              <w:rPr>
                <w:rFonts w:ascii="Times New Roman" w:hAnsi="Times New Roman" w:cs="Times New Roman"/>
                <w:b/>
                <w:bCs/>
                <w:color w:val="000000"/>
                <w:sz w:val="24"/>
                <w:szCs w:val="24"/>
              </w:rPr>
            </w:pPr>
            <w:r w:rsidRPr="00464910">
              <w:rPr>
                <w:b/>
                <w:bCs/>
                <w:color w:val="000000"/>
                <w:sz w:val="24"/>
                <w:szCs w:val="24"/>
              </w:rPr>
              <w:t>EN 15004-6</w:t>
            </w:r>
          </w:p>
        </w:tc>
      </w:tr>
      <w:tr w:rsidR="001D24D9" w:rsidRPr="0043547B" w:rsidTr="00566A17">
        <w:trPr>
          <w:gridBefore w:val="1"/>
          <w:wBefore w:w="18" w:type="dxa"/>
          <w:trHeight w:val="945"/>
          <w:jc w:val="center"/>
        </w:trPr>
        <w:tc>
          <w:tcPr>
            <w:tcW w:w="1856" w:type="dxa"/>
            <w:tcBorders>
              <w:top w:val="single" w:sz="18" w:space="0" w:color="auto"/>
              <w:left w:val="single" w:sz="18" w:space="0" w:color="auto"/>
              <w:bottom w:val="single" w:sz="4" w:space="0" w:color="auto"/>
              <w:right w:val="single" w:sz="8" w:space="0" w:color="auto"/>
            </w:tcBorders>
            <w:shd w:val="clear" w:color="auto" w:fill="95B3D7" w:themeFill="accent1" w:themeFillTint="99"/>
            <w:vAlign w:val="center"/>
          </w:tcPr>
          <w:p w:rsidR="001D24D9" w:rsidRPr="006B5B9D" w:rsidRDefault="001D24D9" w:rsidP="00464910">
            <w:pPr>
              <w:spacing w:after="0" w:line="240" w:lineRule="auto"/>
              <w:jc w:val="center"/>
              <w:rPr>
                <w:rFonts w:ascii="Calibri" w:hAnsi="Calibri" w:cs="Calibri"/>
                <w:b/>
                <w:bCs/>
                <w:sz w:val="24"/>
                <w:szCs w:val="24"/>
              </w:rPr>
            </w:pPr>
            <w:r w:rsidRPr="006B5B9D">
              <w:rPr>
                <w:rFonts w:ascii="Calibri" w:hAnsi="Calibri" w:cs="Calibri"/>
                <w:b/>
                <w:bCs/>
                <w:sz w:val="24"/>
                <w:szCs w:val="24"/>
              </w:rPr>
              <w:t>Intitulé :</w:t>
            </w:r>
          </w:p>
        </w:tc>
        <w:tc>
          <w:tcPr>
            <w:tcW w:w="7938" w:type="dxa"/>
            <w:tcBorders>
              <w:top w:val="single" w:sz="18" w:space="0" w:color="auto"/>
              <w:bottom w:val="single" w:sz="4" w:space="0" w:color="auto"/>
              <w:right w:val="single" w:sz="18" w:space="0" w:color="auto"/>
            </w:tcBorders>
            <w:shd w:val="clear" w:color="auto" w:fill="auto"/>
            <w:vAlign w:val="bottom"/>
          </w:tcPr>
          <w:p w:rsidR="001D24D9" w:rsidRPr="006B5B9D" w:rsidRDefault="001D24D9" w:rsidP="006B5B9D">
            <w:pPr>
              <w:spacing w:after="0" w:line="240" w:lineRule="auto"/>
              <w:jc w:val="both"/>
              <w:rPr>
                <w:rFonts w:ascii="Times New Roman" w:hAnsi="Times New Roman" w:cs="Times New Roman"/>
                <w:color w:val="000000"/>
                <w:sz w:val="24"/>
                <w:szCs w:val="24"/>
              </w:rPr>
            </w:pPr>
            <w:r w:rsidRPr="006B5B9D">
              <w:rPr>
                <w:color w:val="000000"/>
                <w:sz w:val="24"/>
                <w:szCs w:val="24"/>
              </w:rPr>
              <w:t xml:space="preserve">Installations fixes de lutte contre l'incendie - Installations d'extinction à gaz - Partie 6 : Propriétés physiques et conception des systèmes pour agent extincteur HFC 23 </w:t>
            </w:r>
          </w:p>
        </w:tc>
      </w:tr>
      <w:tr w:rsidR="001D24D9" w:rsidRPr="0043547B" w:rsidTr="00566A17">
        <w:trPr>
          <w:gridBefore w:val="1"/>
          <w:wBefore w:w="18" w:type="dxa"/>
          <w:trHeight w:val="1771"/>
          <w:jc w:val="center"/>
        </w:trPr>
        <w:tc>
          <w:tcPr>
            <w:tcW w:w="1856" w:type="dxa"/>
            <w:tcBorders>
              <w:top w:val="single" w:sz="4" w:space="0" w:color="auto"/>
              <w:left w:val="single" w:sz="18" w:space="0" w:color="auto"/>
              <w:bottom w:val="single" w:sz="18" w:space="0" w:color="auto"/>
              <w:right w:val="single" w:sz="8" w:space="0" w:color="auto"/>
            </w:tcBorders>
            <w:shd w:val="clear" w:color="000000" w:fill="D9D9D9"/>
            <w:vAlign w:val="center"/>
          </w:tcPr>
          <w:p w:rsidR="001D24D9" w:rsidRPr="006B5B9D" w:rsidRDefault="001D24D9" w:rsidP="00464910">
            <w:pPr>
              <w:spacing w:after="0" w:line="240" w:lineRule="auto"/>
              <w:jc w:val="center"/>
              <w:rPr>
                <w:rFonts w:ascii="Calibri" w:hAnsi="Calibri" w:cs="Calibri"/>
                <w:b/>
                <w:bCs/>
                <w:sz w:val="24"/>
                <w:szCs w:val="24"/>
              </w:rPr>
            </w:pPr>
            <w:r w:rsidRPr="006B5B9D">
              <w:rPr>
                <w:rFonts w:ascii="Calibri" w:hAnsi="Calibri" w:cs="Calibri"/>
                <w:b/>
                <w:bCs/>
                <w:sz w:val="24"/>
                <w:szCs w:val="24"/>
              </w:rPr>
              <w:t>Domaine d’application :</w:t>
            </w:r>
          </w:p>
        </w:tc>
        <w:tc>
          <w:tcPr>
            <w:tcW w:w="7938" w:type="dxa"/>
            <w:tcBorders>
              <w:top w:val="single" w:sz="4" w:space="0" w:color="auto"/>
              <w:bottom w:val="single" w:sz="18" w:space="0" w:color="auto"/>
              <w:right w:val="single" w:sz="18" w:space="0" w:color="auto"/>
            </w:tcBorders>
            <w:shd w:val="clear" w:color="auto" w:fill="auto"/>
            <w:vAlign w:val="bottom"/>
          </w:tcPr>
          <w:p w:rsidR="001D24D9" w:rsidRPr="006B5B9D" w:rsidRDefault="001D24D9" w:rsidP="00464910">
            <w:pPr>
              <w:spacing w:after="0" w:line="240" w:lineRule="auto"/>
              <w:jc w:val="both"/>
              <w:rPr>
                <w:rFonts w:ascii="Times New Roman" w:hAnsi="Times New Roman" w:cs="Times New Roman"/>
                <w:color w:val="000000"/>
                <w:sz w:val="24"/>
                <w:szCs w:val="24"/>
              </w:rPr>
            </w:pPr>
            <w:r w:rsidRPr="006B5B9D">
              <w:rPr>
                <w:color w:val="000000"/>
                <w:sz w:val="24"/>
                <w:szCs w:val="24"/>
              </w:rPr>
              <w:t>Le présent document contient des exigences spécifiques relatives aux installations d’extinction à gaz contenant de</w:t>
            </w:r>
            <w:r w:rsidR="00464910">
              <w:rPr>
                <w:color w:val="000000"/>
                <w:sz w:val="24"/>
                <w:szCs w:val="24"/>
              </w:rPr>
              <w:t xml:space="preserve"> </w:t>
            </w:r>
            <w:r w:rsidRPr="006B5B9D">
              <w:rPr>
                <w:color w:val="000000"/>
                <w:sz w:val="24"/>
                <w:szCs w:val="24"/>
              </w:rPr>
              <w:t>l’agent extincteur HFC 23. Il inclut des détails relatifs à ses propriétés physiques, sa spécification, son usage ainsi</w:t>
            </w:r>
            <w:r w:rsidRPr="006B5B9D">
              <w:rPr>
                <w:color w:val="000000"/>
                <w:sz w:val="24"/>
                <w:szCs w:val="24"/>
              </w:rPr>
              <w:br/>
              <w:t>que ses aspects de sécurité et est applicable aux systèmes fonctionnant à une pression nominale de 41 bar sans</w:t>
            </w:r>
            <w:r w:rsidR="00464910">
              <w:rPr>
                <w:color w:val="000000"/>
                <w:sz w:val="24"/>
                <w:szCs w:val="24"/>
              </w:rPr>
              <w:t xml:space="preserve"> </w:t>
            </w:r>
            <w:r w:rsidRPr="006B5B9D">
              <w:rPr>
                <w:color w:val="000000"/>
                <w:sz w:val="24"/>
                <w:szCs w:val="24"/>
              </w:rPr>
              <w:t>surpression à l'azote. Cela n’exclut pas l’utilisation d’autres installations.</w:t>
            </w:r>
          </w:p>
        </w:tc>
      </w:tr>
      <w:tr w:rsidR="001D24D9" w:rsidRPr="0043547B" w:rsidTr="00464910">
        <w:trPr>
          <w:gridBefore w:val="1"/>
          <w:wBefore w:w="18" w:type="dxa"/>
          <w:trHeight w:val="420"/>
          <w:jc w:val="center"/>
        </w:trPr>
        <w:tc>
          <w:tcPr>
            <w:tcW w:w="1856" w:type="dxa"/>
            <w:tcBorders>
              <w:top w:val="single" w:sz="4" w:space="0" w:color="auto"/>
              <w:left w:val="single" w:sz="18" w:space="0" w:color="auto"/>
              <w:bottom w:val="single" w:sz="18" w:space="0" w:color="auto"/>
              <w:right w:val="single" w:sz="8" w:space="0" w:color="auto"/>
            </w:tcBorders>
            <w:shd w:val="clear" w:color="auto" w:fill="C2D69B" w:themeFill="accent3" w:themeFillTint="99"/>
            <w:vAlign w:val="center"/>
          </w:tcPr>
          <w:p w:rsidR="001D24D9" w:rsidRPr="006B5B9D" w:rsidRDefault="001D24D9" w:rsidP="00464910">
            <w:pPr>
              <w:spacing w:after="0" w:line="240" w:lineRule="auto"/>
              <w:jc w:val="center"/>
              <w:rPr>
                <w:rFonts w:ascii="Calibri" w:hAnsi="Calibri" w:cs="Calibri"/>
                <w:b/>
                <w:bCs/>
                <w:sz w:val="24"/>
                <w:szCs w:val="24"/>
              </w:rPr>
            </w:pPr>
            <w:r w:rsidRPr="006B5B9D">
              <w:rPr>
                <w:rFonts w:ascii="Calibri" w:hAnsi="Calibri" w:cs="Calibri"/>
                <w:b/>
                <w:bCs/>
                <w:sz w:val="24"/>
                <w:szCs w:val="24"/>
              </w:rPr>
              <w:t>Code :</w:t>
            </w:r>
          </w:p>
        </w:tc>
        <w:tc>
          <w:tcPr>
            <w:tcW w:w="7938" w:type="dxa"/>
            <w:tcBorders>
              <w:top w:val="single" w:sz="4" w:space="0" w:color="auto"/>
              <w:bottom w:val="single" w:sz="18" w:space="0" w:color="auto"/>
              <w:right w:val="single" w:sz="18" w:space="0" w:color="auto"/>
            </w:tcBorders>
            <w:shd w:val="clear" w:color="auto" w:fill="C2D69B" w:themeFill="accent3" w:themeFillTint="99"/>
            <w:vAlign w:val="center"/>
          </w:tcPr>
          <w:p w:rsidR="001D24D9" w:rsidRPr="00464910" w:rsidRDefault="001D24D9" w:rsidP="00464910">
            <w:pPr>
              <w:spacing w:after="0" w:line="240" w:lineRule="auto"/>
              <w:jc w:val="center"/>
              <w:rPr>
                <w:rFonts w:ascii="Times New Roman" w:hAnsi="Times New Roman" w:cs="Times New Roman"/>
                <w:b/>
                <w:bCs/>
                <w:color w:val="000000"/>
                <w:sz w:val="24"/>
                <w:szCs w:val="24"/>
              </w:rPr>
            </w:pPr>
            <w:r w:rsidRPr="00464910">
              <w:rPr>
                <w:b/>
                <w:bCs/>
                <w:color w:val="000000"/>
                <w:sz w:val="24"/>
                <w:szCs w:val="24"/>
              </w:rPr>
              <w:t>NM EN 15004-7</w:t>
            </w:r>
          </w:p>
        </w:tc>
      </w:tr>
      <w:tr w:rsidR="001D24D9" w:rsidRPr="0043547B" w:rsidTr="00566A17">
        <w:trPr>
          <w:gridBefore w:val="1"/>
          <w:wBefore w:w="18" w:type="dxa"/>
          <w:trHeight w:val="358"/>
          <w:jc w:val="center"/>
        </w:trPr>
        <w:tc>
          <w:tcPr>
            <w:tcW w:w="1856" w:type="dxa"/>
            <w:tcBorders>
              <w:top w:val="single" w:sz="4" w:space="0" w:color="auto"/>
              <w:left w:val="single" w:sz="18" w:space="0" w:color="auto"/>
              <w:bottom w:val="single" w:sz="18" w:space="0" w:color="auto"/>
              <w:right w:val="single" w:sz="8" w:space="0" w:color="auto"/>
            </w:tcBorders>
            <w:shd w:val="clear" w:color="auto" w:fill="FFFF99"/>
            <w:vAlign w:val="center"/>
          </w:tcPr>
          <w:p w:rsidR="001D24D9" w:rsidRPr="006B5B9D" w:rsidRDefault="001D24D9" w:rsidP="00464910">
            <w:pPr>
              <w:spacing w:after="0" w:line="240" w:lineRule="auto"/>
              <w:jc w:val="center"/>
              <w:rPr>
                <w:rFonts w:ascii="Calibri" w:hAnsi="Calibri" w:cs="Calibri"/>
                <w:b/>
                <w:bCs/>
                <w:sz w:val="24"/>
                <w:szCs w:val="24"/>
              </w:rPr>
            </w:pPr>
            <w:r w:rsidRPr="006B5B9D">
              <w:rPr>
                <w:rFonts w:ascii="Calibri" w:hAnsi="Calibri" w:cs="Calibri"/>
                <w:b/>
                <w:bCs/>
                <w:sz w:val="24"/>
                <w:szCs w:val="24"/>
              </w:rPr>
              <w:t>Equivalence :</w:t>
            </w:r>
          </w:p>
        </w:tc>
        <w:tc>
          <w:tcPr>
            <w:tcW w:w="7938" w:type="dxa"/>
            <w:tcBorders>
              <w:top w:val="single" w:sz="4" w:space="0" w:color="auto"/>
              <w:bottom w:val="single" w:sz="18" w:space="0" w:color="auto"/>
              <w:right w:val="single" w:sz="18" w:space="0" w:color="auto"/>
            </w:tcBorders>
            <w:shd w:val="clear" w:color="auto" w:fill="FFFF99"/>
            <w:vAlign w:val="center"/>
          </w:tcPr>
          <w:p w:rsidR="001D24D9" w:rsidRPr="00464910" w:rsidRDefault="001D24D9" w:rsidP="00464910">
            <w:pPr>
              <w:spacing w:after="0" w:line="240" w:lineRule="auto"/>
              <w:jc w:val="center"/>
              <w:rPr>
                <w:rFonts w:ascii="Times New Roman" w:hAnsi="Times New Roman" w:cs="Times New Roman"/>
                <w:b/>
                <w:bCs/>
                <w:color w:val="000000"/>
                <w:sz w:val="24"/>
                <w:szCs w:val="24"/>
              </w:rPr>
            </w:pPr>
            <w:r w:rsidRPr="00464910">
              <w:rPr>
                <w:b/>
                <w:bCs/>
                <w:color w:val="000000"/>
                <w:sz w:val="24"/>
                <w:szCs w:val="24"/>
              </w:rPr>
              <w:t>EN 15004-7</w:t>
            </w:r>
          </w:p>
        </w:tc>
      </w:tr>
      <w:tr w:rsidR="001D24D9" w:rsidRPr="0043547B" w:rsidTr="00566A17">
        <w:trPr>
          <w:gridBefore w:val="1"/>
          <w:wBefore w:w="18" w:type="dxa"/>
          <w:trHeight w:val="937"/>
          <w:jc w:val="center"/>
        </w:trPr>
        <w:tc>
          <w:tcPr>
            <w:tcW w:w="1856" w:type="dxa"/>
            <w:tcBorders>
              <w:top w:val="single" w:sz="18" w:space="0" w:color="auto"/>
              <w:left w:val="single" w:sz="18" w:space="0" w:color="auto"/>
              <w:bottom w:val="single" w:sz="4" w:space="0" w:color="auto"/>
              <w:right w:val="single" w:sz="8" w:space="0" w:color="auto"/>
            </w:tcBorders>
            <w:shd w:val="clear" w:color="auto" w:fill="95B3D7" w:themeFill="accent1" w:themeFillTint="99"/>
            <w:vAlign w:val="center"/>
          </w:tcPr>
          <w:p w:rsidR="001D24D9" w:rsidRPr="006B5B9D" w:rsidRDefault="001D24D9" w:rsidP="00464910">
            <w:pPr>
              <w:spacing w:after="0" w:line="240" w:lineRule="auto"/>
              <w:jc w:val="center"/>
              <w:rPr>
                <w:rFonts w:ascii="Calibri" w:hAnsi="Calibri" w:cs="Calibri"/>
                <w:b/>
                <w:bCs/>
                <w:sz w:val="24"/>
                <w:szCs w:val="24"/>
              </w:rPr>
            </w:pPr>
            <w:r w:rsidRPr="006B5B9D">
              <w:rPr>
                <w:rFonts w:ascii="Calibri" w:hAnsi="Calibri" w:cs="Calibri"/>
                <w:b/>
                <w:bCs/>
                <w:sz w:val="24"/>
                <w:szCs w:val="24"/>
              </w:rPr>
              <w:t>Intitulé :</w:t>
            </w:r>
          </w:p>
        </w:tc>
        <w:tc>
          <w:tcPr>
            <w:tcW w:w="7938" w:type="dxa"/>
            <w:tcBorders>
              <w:top w:val="single" w:sz="18" w:space="0" w:color="auto"/>
              <w:bottom w:val="single" w:sz="4" w:space="0" w:color="auto"/>
              <w:right w:val="single" w:sz="18" w:space="0" w:color="auto"/>
            </w:tcBorders>
            <w:shd w:val="clear" w:color="auto" w:fill="auto"/>
            <w:vAlign w:val="bottom"/>
          </w:tcPr>
          <w:p w:rsidR="001D24D9" w:rsidRPr="006B5B9D" w:rsidRDefault="001D24D9" w:rsidP="006B5B9D">
            <w:pPr>
              <w:spacing w:after="0" w:line="240" w:lineRule="auto"/>
              <w:jc w:val="both"/>
              <w:rPr>
                <w:rFonts w:ascii="Times New Roman" w:hAnsi="Times New Roman" w:cs="Times New Roman"/>
                <w:color w:val="000000"/>
                <w:sz w:val="24"/>
                <w:szCs w:val="24"/>
              </w:rPr>
            </w:pPr>
            <w:r w:rsidRPr="006B5B9D">
              <w:rPr>
                <w:color w:val="000000"/>
                <w:sz w:val="24"/>
                <w:szCs w:val="24"/>
              </w:rPr>
              <w:t xml:space="preserve">Installations fixes de lutte contre l'incendie - Installations d'extinction à gaz - Partie 7 : Propriétés physiques et conception des systèmes pour agent extincteur IG-01 </w:t>
            </w:r>
          </w:p>
        </w:tc>
      </w:tr>
      <w:tr w:rsidR="001D24D9" w:rsidRPr="0043547B" w:rsidTr="00566A17">
        <w:trPr>
          <w:gridBefore w:val="1"/>
          <w:wBefore w:w="18" w:type="dxa"/>
          <w:trHeight w:val="2115"/>
          <w:jc w:val="center"/>
        </w:trPr>
        <w:tc>
          <w:tcPr>
            <w:tcW w:w="1856" w:type="dxa"/>
            <w:tcBorders>
              <w:top w:val="single" w:sz="4" w:space="0" w:color="auto"/>
              <w:left w:val="single" w:sz="18" w:space="0" w:color="auto"/>
              <w:bottom w:val="single" w:sz="18" w:space="0" w:color="auto"/>
              <w:right w:val="single" w:sz="8" w:space="0" w:color="auto"/>
            </w:tcBorders>
            <w:shd w:val="clear" w:color="000000" w:fill="D9D9D9"/>
            <w:vAlign w:val="center"/>
          </w:tcPr>
          <w:p w:rsidR="001D24D9" w:rsidRPr="006B5B9D" w:rsidRDefault="001D24D9" w:rsidP="00464910">
            <w:pPr>
              <w:spacing w:after="0" w:line="240" w:lineRule="auto"/>
              <w:jc w:val="center"/>
              <w:rPr>
                <w:rFonts w:ascii="Calibri" w:hAnsi="Calibri" w:cs="Calibri"/>
                <w:b/>
                <w:bCs/>
                <w:sz w:val="24"/>
                <w:szCs w:val="24"/>
              </w:rPr>
            </w:pPr>
            <w:r w:rsidRPr="006B5B9D">
              <w:rPr>
                <w:rFonts w:ascii="Calibri" w:hAnsi="Calibri" w:cs="Calibri"/>
                <w:b/>
                <w:bCs/>
                <w:sz w:val="24"/>
                <w:szCs w:val="24"/>
              </w:rPr>
              <w:t>Domaine d’application :</w:t>
            </w:r>
          </w:p>
        </w:tc>
        <w:tc>
          <w:tcPr>
            <w:tcW w:w="7938" w:type="dxa"/>
            <w:tcBorders>
              <w:top w:val="single" w:sz="4" w:space="0" w:color="auto"/>
              <w:bottom w:val="single" w:sz="18" w:space="0" w:color="auto"/>
              <w:right w:val="single" w:sz="18" w:space="0" w:color="auto"/>
            </w:tcBorders>
            <w:shd w:val="clear" w:color="auto" w:fill="auto"/>
            <w:vAlign w:val="bottom"/>
          </w:tcPr>
          <w:p w:rsidR="00464910" w:rsidRDefault="001D24D9" w:rsidP="00464910">
            <w:pPr>
              <w:spacing w:after="0" w:line="240" w:lineRule="auto"/>
              <w:jc w:val="both"/>
              <w:rPr>
                <w:color w:val="000000"/>
                <w:sz w:val="24"/>
                <w:szCs w:val="24"/>
              </w:rPr>
            </w:pPr>
            <w:r w:rsidRPr="006B5B9D">
              <w:rPr>
                <w:color w:val="000000"/>
                <w:sz w:val="24"/>
                <w:szCs w:val="24"/>
              </w:rPr>
              <w:t>1.1 Le présent document spécifie des exigences relatives aux installations d’extinction à gaz,</w:t>
            </w:r>
            <w:r w:rsidR="00464910">
              <w:rPr>
                <w:color w:val="000000"/>
                <w:sz w:val="24"/>
                <w:szCs w:val="24"/>
              </w:rPr>
              <w:t xml:space="preserve"> </w:t>
            </w:r>
            <w:r w:rsidRPr="006B5B9D">
              <w:rPr>
                <w:color w:val="000000"/>
                <w:sz w:val="24"/>
                <w:szCs w:val="24"/>
              </w:rPr>
              <w:t>contenant de l’agent extincteur IG‐01. Il inclut des détails relatifs à ses propriétés physiques, sa</w:t>
            </w:r>
            <w:r w:rsidR="00464910">
              <w:rPr>
                <w:color w:val="000000"/>
                <w:sz w:val="24"/>
                <w:szCs w:val="24"/>
              </w:rPr>
              <w:t xml:space="preserve"> </w:t>
            </w:r>
            <w:r w:rsidRPr="006B5B9D">
              <w:rPr>
                <w:color w:val="000000"/>
                <w:sz w:val="24"/>
                <w:szCs w:val="24"/>
              </w:rPr>
              <w:t>spécification, son usage ainsi que ses aspects de sécurité.</w:t>
            </w:r>
          </w:p>
          <w:p w:rsidR="001D24D9" w:rsidRPr="006B5B9D" w:rsidRDefault="001D24D9" w:rsidP="00464910">
            <w:pPr>
              <w:spacing w:after="0" w:line="240" w:lineRule="auto"/>
              <w:jc w:val="both"/>
              <w:rPr>
                <w:rFonts w:ascii="Times New Roman" w:hAnsi="Times New Roman" w:cs="Times New Roman"/>
                <w:color w:val="000000"/>
                <w:sz w:val="24"/>
                <w:szCs w:val="24"/>
              </w:rPr>
            </w:pPr>
            <w:r w:rsidRPr="006B5B9D">
              <w:rPr>
                <w:color w:val="000000"/>
                <w:sz w:val="24"/>
                <w:szCs w:val="24"/>
              </w:rPr>
              <w:t>1.2 Le présent document s’applique aux systèmes fonctionnant à des pressions nominales de 160 bar,</w:t>
            </w:r>
            <w:r w:rsidR="00464910">
              <w:rPr>
                <w:color w:val="000000"/>
                <w:sz w:val="24"/>
                <w:szCs w:val="24"/>
              </w:rPr>
              <w:t xml:space="preserve"> </w:t>
            </w:r>
            <w:r w:rsidRPr="006B5B9D">
              <w:rPr>
                <w:color w:val="000000"/>
                <w:sz w:val="24"/>
                <w:szCs w:val="24"/>
              </w:rPr>
              <w:t>200 bar et 300 bar à 15 °C. Cela n’exclut pas l’utilisation d’autres systèmes, les données nominales pour</w:t>
            </w:r>
            <w:r w:rsidR="00464910">
              <w:rPr>
                <w:color w:val="000000"/>
                <w:sz w:val="24"/>
                <w:szCs w:val="24"/>
              </w:rPr>
              <w:t xml:space="preserve"> </w:t>
            </w:r>
            <w:r w:rsidRPr="006B5B9D">
              <w:rPr>
                <w:color w:val="000000"/>
                <w:sz w:val="24"/>
                <w:szCs w:val="24"/>
              </w:rPr>
              <w:t>d’autres pressions étant toutefois indisponibles au moment de la publication.</w:t>
            </w:r>
          </w:p>
        </w:tc>
      </w:tr>
      <w:tr w:rsidR="001D24D9" w:rsidRPr="0043547B" w:rsidTr="00464910">
        <w:trPr>
          <w:gridBefore w:val="1"/>
          <w:wBefore w:w="18" w:type="dxa"/>
          <w:trHeight w:val="422"/>
          <w:jc w:val="center"/>
        </w:trPr>
        <w:tc>
          <w:tcPr>
            <w:tcW w:w="1856" w:type="dxa"/>
            <w:tcBorders>
              <w:top w:val="single" w:sz="4" w:space="0" w:color="auto"/>
              <w:left w:val="single" w:sz="18" w:space="0" w:color="auto"/>
              <w:bottom w:val="single" w:sz="18" w:space="0" w:color="auto"/>
              <w:right w:val="single" w:sz="8" w:space="0" w:color="auto"/>
            </w:tcBorders>
            <w:shd w:val="clear" w:color="auto" w:fill="C2D69B" w:themeFill="accent3" w:themeFillTint="99"/>
            <w:vAlign w:val="center"/>
          </w:tcPr>
          <w:p w:rsidR="001D24D9" w:rsidRPr="006B5B9D" w:rsidRDefault="001D24D9" w:rsidP="00464910">
            <w:pPr>
              <w:spacing w:after="0" w:line="240" w:lineRule="auto"/>
              <w:jc w:val="center"/>
              <w:rPr>
                <w:rFonts w:ascii="Calibri" w:hAnsi="Calibri" w:cs="Calibri"/>
                <w:b/>
                <w:bCs/>
                <w:sz w:val="24"/>
                <w:szCs w:val="24"/>
              </w:rPr>
            </w:pPr>
            <w:r w:rsidRPr="006B5B9D">
              <w:rPr>
                <w:rFonts w:ascii="Calibri" w:hAnsi="Calibri" w:cs="Calibri"/>
                <w:b/>
                <w:bCs/>
                <w:sz w:val="24"/>
                <w:szCs w:val="24"/>
              </w:rPr>
              <w:lastRenderedPageBreak/>
              <w:t>Code :</w:t>
            </w:r>
          </w:p>
        </w:tc>
        <w:tc>
          <w:tcPr>
            <w:tcW w:w="7938" w:type="dxa"/>
            <w:tcBorders>
              <w:top w:val="single" w:sz="4" w:space="0" w:color="auto"/>
              <w:bottom w:val="single" w:sz="18" w:space="0" w:color="auto"/>
              <w:right w:val="single" w:sz="18" w:space="0" w:color="auto"/>
            </w:tcBorders>
            <w:shd w:val="clear" w:color="auto" w:fill="C2D69B" w:themeFill="accent3" w:themeFillTint="99"/>
            <w:vAlign w:val="center"/>
          </w:tcPr>
          <w:p w:rsidR="001D24D9" w:rsidRPr="00464910" w:rsidRDefault="001D24D9" w:rsidP="00464910">
            <w:pPr>
              <w:spacing w:after="0" w:line="240" w:lineRule="auto"/>
              <w:jc w:val="center"/>
              <w:rPr>
                <w:rFonts w:ascii="Times New Roman" w:hAnsi="Times New Roman" w:cs="Times New Roman"/>
                <w:b/>
                <w:bCs/>
                <w:color w:val="000000"/>
                <w:sz w:val="24"/>
                <w:szCs w:val="24"/>
              </w:rPr>
            </w:pPr>
            <w:r w:rsidRPr="00464910">
              <w:rPr>
                <w:b/>
                <w:bCs/>
                <w:color w:val="000000"/>
                <w:sz w:val="24"/>
                <w:szCs w:val="24"/>
              </w:rPr>
              <w:t>NM EN 15004-8</w:t>
            </w:r>
          </w:p>
        </w:tc>
      </w:tr>
      <w:tr w:rsidR="001D24D9" w:rsidRPr="0043547B" w:rsidTr="00566A17">
        <w:trPr>
          <w:gridBefore w:val="1"/>
          <w:wBefore w:w="18" w:type="dxa"/>
          <w:trHeight w:val="386"/>
          <w:jc w:val="center"/>
        </w:trPr>
        <w:tc>
          <w:tcPr>
            <w:tcW w:w="1856" w:type="dxa"/>
            <w:tcBorders>
              <w:top w:val="single" w:sz="4" w:space="0" w:color="auto"/>
              <w:left w:val="single" w:sz="18" w:space="0" w:color="auto"/>
              <w:bottom w:val="single" w:sz="18" w:space="0" w:color="auto"/>
              <w:right w:val="single" w:sz="8" w:space="0" w:color="auto"/>
            </w:tcBorders>
            <w:shd w:val="clear" w:color="auto" w:fill="FFFF99"/>
            <w:vAlign w:val="center"/>
          </w:tcPr>
          <w:p w:rsidR="001D24D9" w:rsidRPr="006B5B9D" w:rsidRDefault="001D24D9" w:rsidP="00464910">
            <w:pPr>
              <w:spacing w:after="0" w:line="240" w:lineRule="auto"/>
              <w:jc w:val="center"/>
              <w:rPr>
                <w:rFonts w:ascii="Calibri" w:hAnsi="Calibri" w:cs="Calibri"/>
                <w:b/>
                <w:bCs/>
                <w:sz w:val="24"/>
                <w:szCs w:val="24"/>
              </w:rPr>
            </w:pPr>
            <w:r w:rsidRPr="006B5B9D">
              <w:rPr>
                <w:rFonts w:ascii="Calibri" w:hAnsi="Calibri" w:cs="Calibri"/>
                <w:b/>
                <w:bCs/>
                <w:sz w:val="24"/>
                <w:szCs w:val="24"/>
              </w:rPr>
              <w:t>Equivalence :</w:t>
            </w:r>
          </w:p>
        </w:tc>
        <w:tc>
          <w:tcPr>
            <w:tcW w:w="7938" w:type="dxa"/>
            <w:tcBorders>
              <w:top w:val="single" w:sz="4" w:space="0" w:color="auto"/>
              <w:bottom w:val="single" w:sz="18" w:space="0" w:color="auto"/>
              <w:right w:val="single" w:sz="18" w:space="0" w:color="auto"/>
            </w:tcBorders>
            <w:shd w:val="clear" w:color="auto" w:fill="FFFF99"/>
            <w:vAlign w:val="center"/>
          </w:tcPr>
          <w:p w:rsidR="001D24D9" w:rsidRPr="00464910" w:rsidRDefault="001D24D9" w:rsidP="00464910">
            <w:pPr>
              <w:spacing w:after="0" w:line="240" w:lineRule="auto"/>
              <w:jc w:val="center"/>
              <w:rPr>
                <w:rFonts w:ascii="Times New Roman" w:hAnsi="Times New Roman" w:cs="Times New Roman"/>
                <w:b/>
                <w:bCs/>
                <w:color w:val="000000"/>
                <w:sz w:val="24"/>
                <w:szCs w:val="24"/>
              </w:rPr>
            </w:pPr>
            <w:r w:rsidRPr="00464910">
              <w:rPr>
                <w:b/>
                <w:bCs/>
                <w:color w:val="000000"/>
                <w:sz w:val="24"/>
                <w:szCs w:val="24"/>
              </w:rPr>
              <w:t>EN 15004-8</w:t>
            </w:r>
          </w:p>
        </w:tc>
      </w:tr>
      <w:tr w:rsidR="001D24D9" w:rsidRPr="0043547B" w:rsidTr="00566A17">
        <w:trPr>
          <w:gridBefore w:val="1"/>
          <w:wBefore w:w="18" w:type="dxa"/>
          <w:trHeight w:val="937"/>
          <w:jc w:val="center"/>
        </w:trPr>
        <w:tc>
          <w:tcPr>
            <w:tcW w:w="1856" w:type="dxa"/>
            <w:tcBorders>
              <w:top w:val="single" w:sz="18" w:space="0" w:color="auto"/>
              <w:left w:val="single" w:sz="18" w:space="0" w:color="auto"/>
              <w:bottom w:val="single" w:sz="4" w:space="0" w:color="auto"/>
              <w:right w:val="single" w:sz="8" w:space="0" w:color="auto"/>
            </w:tcBorders>
            <w:shd w:val="clear" w:color="auto" w:fill="95B3D7" w:themeFill="accent1" w:themeFillTint="99"/>
            <w:vAlign w:val="center"/>
          </w:tcPr>
          <w:p w:rsidR="001D24D9" w:rsidRPr="006B5B9D" w:rsidRDefault="001D24D9" w:rsidP="00464910">
            <w:pPr>
              <w:spacing w:after="0" w:line="240" w:lineRule="auto"/>
              <w:jc w:val="center"/>
              <w:rPr>
                <w:rFonts w:ascii="Calibri" w:hAnsi="Calibri" w:cs="Calibri"/>
                <w:b/>
                <w:bCs/>
                <w:sz w:val="24"/>
                <w:szCs w:val="24"/>
              </w:rPr>
            </w:pPr>
            <w:r w:rsidRPr="006B5B9D">
              <w:rPr>
                <w:rFonts w:ascii="Calibri" w:hAnsi="Calibri" w:cs="Calibri"/>
                <w:b/>
                <w:bCs/>
                <w:sz w:val="24"/>
                <w:szCs w:val="24"/>
              </w:rPr>
              <w:t>Intitulé :</w:t>
            </w:r>
          </w:p>
        </w:tc>
        <w:tc>
          <w:tcPr>
            <w:tcW w:w="7938" w:type="dxa"/>
            <w:tcBorders>
              <w:top w:val="single" w:sz="18" w:space="0" w:color="auto"/>
              <w:bottom w:val="single" w:sz="4" w:space="0" w:color="auto"/>
              <w:right w:val="single" w:sz="18" w:space="0" w:color="auto"/>
            </w:tcBorders>
            <w:shd w:val="clear" w:color="auto" w:fill="auto"/>
            <w:vAlign w:val="bottom"/>
          </w:tcPr>
          <w:p w:rsidR="001D24D9" w:rsidRPr="006B5B9D" w:rsidRDefault="001D24D9" w:rsidP="006B5B9D">
            <w:pPr>
              <w:spacing w:after="0" w:line="240" w:lineRule="auto"/>
              <w:jc w:val="both"/>
              <w:rPr>
                <w:rFonts w:ascii="Times New Roman" w:hAnsi="Times New Roman" w:cs="Times New Roman"/>
                <w:color w:val="000000"/>
                <w:sz w:val="24"/>
                <w:szCs w:val="24"/>
              </w:rPr>
            </w:pPr>
            <w:r w:rsidRPr="006B5B9D">
              <w:rPr>
                <w:color w:val="000000"/>
                <w:sz w:val="24"/>
                <w:szCs w:val="24"/>
              </w:rPr>
              <w:t xml:space="preserve">Installations fixes de lutte contre l'incendie - Installations d'extinction à gaz - Partie 8 : Propriétés physiques et conception des systèmes pour agent extincteur IG-100 </w:t>
            </w:r>
          </w:p>
        </w:tc>
      </w:tr>
      <w:tr w:rsidR="001D24D9" w:rsidRPr="0043547B" w:rsidTr="00566A17">
        <w:trPr>
          <w:gridBefore w:val="1"/>
          <w:wBefore w:w="18" w:type="dxa"/>
          <w:trHeight w:val="2115"/>
          <w:jc w:val="center"/>
        </w:trPr>
        <w:tc>
          <w:tcPr>
            <w:tcW w:w="1856" w:type="dxa"/>
            <w:tcBorders>
              <w:top w:val="single" w:sz="4" w:space="0" w:color="auto"/>
              <w:left w:val="single" w:sz="18" w:space="0" w:color="auto"/>
              <w:bottom w:val="single" w:sz="18" w:space="0" w:color="auto"/>
              <w:right w:val="single" w:sz="8" w:space="0" w:color="auto"/>
            </w:tcBorders>
            <w:shd w:val="clear" w:color="000000" w:fill="D9D9D9"/>
            <w:vAlign w:val="center"/>
          </w:tcPr>
          <w:p w:rsidR="001D24D9" w:rsidRPr="006B5B9D" w:rsidRDefault="001D24D9" w:rsidP="00464910">
            <w:pPr>
              <w:spacing w:after="0" w:line="240" w:lineRule="auto"/>
              <w:jc w:val="center"/>
              <w:rPr>
                <w:rFonts w:ascii="Calibri" w:hAnsi="Calibri" w:cs="Calibri"/>
                <w:b/>
                <w:bCs/>
                <w:sz w:val="24"/>
                <w:szCs w:val="24"/>
              </w:rPr>
            </w:pPr>
            <w:r w:rsidRPr="006B5B9D">
              <w:rPr>
                <w:rFonts w:ascii="Calibri" w:hAnsi="Calibri" w:cs="Calibri"/>
                <w:b/>
                <w:bCs/>
                <w:sz w:val="24"/>
                <w:szCs w:val="24"/>
              </w:rPr>
              <w:t>Domaine d’application :</w:t>
            </w:r>
          </w:p>
        </w:tc>
        <w:tc>
          <w:tcPr>
            <w:tcW w:w="7938" w:type="dxa"/>
            <w:tcBorders>
              <w:top w:val="single" w:sz="4" w:space="0" w:color="auto"/>
              <w:bottom w:val="single" w:sz="18" w:space="0" w:color="auto"/>
              <w:right w:val="single" w:sz="18" w:space="0" w:color="auto"/>
            </w:tcBorders>
            <w:shd w:val="clear" w:color="auto" w:fill="auto"/>
            <w:vAlign w:val="bottom"/>
          </w:tcPr>
          <w:p w:rsidR="00464910" w:rsidRDefault="001D24D9" w:rsidP="00464910">
            <w:pPr>
              <w:spacing w:after="0" w:line="240" w:lineRule="auto"/>
              <w:jc w:val="both"/>
              <w:rPr>
                <w:color w:val="000000"/>
                <w:sz w:val="24"/>
                <w:szCs w:val="24"/>
              </w:rPr>
            </w:pPr>
            <w:r w:rsidRPr="006B5B9D">
              <w:rPr>
                <w:color w:val="000000"/>
                <w:sz w:val="24"/>
                <w:szCs w:val="24"/>
              </w:rPr>
              <w:t>1.1 Le présent document spécifie des exigences relatives aux installations d’extinction à gaz,</w:t>
            </w:r>
            <w:r w:rsidR="00464910">
              <w:rPr>
                <w:color w:val="000000"/>
                <w:sz w:val="24"/>
                <w:szCs w:val="24"/>
              </w:rPr>
              <w:t xml:space="preserve"> </w:t>
            </w:r>
            <w:r w:rsidRPr="006B5B9D">
              <w:rPr>
                <w:color w:val="000000"/>
                <w:sz w:val="24"/>
                <w:szCs w:val="24"/>
              </w:rPr>
              <w:t>contenant de l’agent extincteur IG-100. Il inclut des détails relatifs à ses propriétés physiques, sa</w:t>
            </w:r>
            <w:r w:rsidR="00464910">
              <w:rPr>
                <w:color w:val="000000"/>
                <w:sz w:val="24"/>
                <w:szCs w:val="24"/>
              </w:rPr>
              <w:t xml:space="preserve"> </w:t>
            </w:r>
            <w:r w:rsidRPr="006B5B9D">
              <w:rPr>
                <w:color w:val="000000"/>
                <w:sz w:val="24"/>
                <w:szCs w:val="24"/>
              </w:rPr>
              <w:t>spécification, son usage ainsi que ses aspects de sécurité.</w:t>
            </w:r>
          </w:p>
          <w:p w:rsidR="001D24D9" w:rsidRPr="006B5B9D" w:rsidRDefault="001D24D9" w:rsidP="00464910">
            <w:pPr>
              <w:spacing w:after="0" w:line="240" w:lineRule="auto"/>
              <w:jc w:val="both"/>
              <w:rPr>
                <w:rFonts w:ascii="Times New Roman" w:hAnsi="Times New Roman" w:cs="Times New Roman"/>
                <w:color w:val="000000"/>
                <w:sz w:val="24"/>
                <w:szCs w:val="24"/>
              </w:rPr>
            </w:pPr>
            <w:r w:rsidRPr="006B5B9D">
              <w:rPr>
                <w:color w:val="000000"/>
                <w:sz w:val="24"/>
                <w:szCs w:val="24"/>
              </w:rPr>
              <w:t>1.2 Le présent document s’applique aux systèmes fonctionnant à des pressions nominales de 200 bar</w:t>
            </w:r>
            <w:r w:rsidR="00464910">
              <w:rPr>
                <w:color w:val="000000"/>
                <w:sz w:val="24"/>
                <w:szCs w:val="24"/>
              </w:rPr>
              <w:t xml:space="preserve"> </w:t>
            </w:r>
            <w:r w:rsidRPr="006B5B9D">
              <w:rPr>
                <w:color w:val="000000"/>
                <w:sz w:val="24"/>
                <w:szCs w:val="24"/>
              </w:rPr>
              <w:t>à 15 °C et 300 bar à 15 °C. Cela n’exclut pas l’utilisation d’autres systèmes, les données nominales pour</w:t>
            </w:r>
            <w:r w:rsidR="00464910">
              <w:rPr>
                <w:color w:val="000000"/>
                <w:sz w:val="24"/>
                <w:szCs w:val="24"/>
              </w:rPr>
              <w:t xml:space="preserve"> </w:t>
            </w:r>
            <w:r w:rsidRPr="006B5B9D">
              <w:rPr>
                <w:color w:val="000000"/>
                <w:sz w:val="24"/>
                <w:szCs w:val="24"/>
              </w:rPr>
              <w:t>d’autres pressions étant toutefois indisponibles au moment de la publication.</w:t>
            </w:r>
          </w:p>
        </w:tc>
      </w:tr>
      <w:tr w:rsidR="001D24D9" w:rsidRPr="0043547B" w:rsidTr="00330314">
        <w:trPr>
          <w:gridBefore w:val="1"/>
          <w:wBefore w:w="18" w:type="dxa"/>
          <w:trHeight w:val="409"/>
          <w:jc w:val="center"/>
        </w:trPr>
        <w:tc>
          <w:tcPr>
            <w:tcW w:w="1856" w:type="dxa"/>
            <w:tcBorders>
              <w:top w:val="single" w:sz="4" w:space="0" w:color="auto"/>
              <w:left w:val="single" w:sz="18" w:space="0" w:color="auto"/>
              <w:bottom w:val="single" w:sz="18" w:space="0" w:color="auto"/>
              <w:right w:val="single" w:sz="8" w:space="0" w:color="auto"/>
            </w:tcBorders>
            <w:shd w:val="clear" w:color="auto" w:fill="C2D69B" w:themeFill="accent3" w:themeFillTint="99"/>
            <w:vAlign w:val="center"/>
          </w:tcPr>
          <w:p w:rsidR="001D24D9" w:rsidRPr="006B5B9D" w:rsidRDefault="001D24D9" w:rsidP="00464910">
            <w:pPr>
              <w:spacing w:after="0" w:line="240" w:lineRule="auto"/>
              <w:jc w:val="center"/>
              <w:rPr>
                <w:rFonts w:ascii="Calibri" w:hAnsi="Calibri" w:cs="Calibri"/>
                <w:b/>
                <w:bCs/>
                <w:sz w:val="24"/>
                <w:szCs w:val="24"/>
              </w:rPr>
            </w:pPr>
            <w:r w:rsidRPr="006B5B9D">
              <w:rPr>
                <w:rFonts w:ascii="Calibri" w:hAnsi="Calibri" w:cs="Calibri"/>
                <w:b/>
                <w:bCs/>
                <w:sz w:val="24"/>
                <w:szCs w:val="24"/>
              </w:rPr>
              <w:t>Code :</w:t>
            </w:r>
          </w:p>
        </w:tc>
        <w:tc>
          <w:tcPr>
            <w:tcW w:w="7938" w:type="dxa"/>
            <w:tcBorders>
              <w:top w:val="single" w:sz="4" w:space="0" w:color="auto"/>
              <w:bottom w:val="single" w:sz="18" w:space="0" w:color="auto"/>
              <w:right w:val="single" w:sz="18" w:space="0" w:color="auto"/>
            </w:tcBorders>
            <w:shd w:val="clear" w:color="auto" w:fill="C2D69B" w:themeFill="accent3" w:themeFillTint="99"/>
            <w:vAlign w:val="center"/>
          </w:tcPr>
          <w:p w:rsidR="001D24D9" w:rsidRPr="00330314" w:rsidRDefault="001D24D9" w:rsidP="00330314">
            <w:pPr>
              <w:spacing w:after="0" w:line="240" w:lineRule="auto"/>
              <w:jc w:val="center"/>
              <w:rPr>
                <w:rFonts w:ascii="Times New Roman" w:hAnsi="Times New Roman" w:cs="Times New Roman"/>
                <w:b/>
                <w:bCs/>
                <w:color w:val="000000"/>
                <w:sz w:val="24"/>
                <w:szCs w:val="24"/>
              </w:rPr>
            </w:pPr>
            <w:r w:rsidRPr="00330314">
              <w:rPr>
                <w:b/>
                <w:bCs/>
                <w:color w:val="000000"/>
                <w:sz w:val="24"/>
                <w:szCs w:val="24"/>
              </w:rPr>
              <w:t>NM EN 15004-9</w:t>
            </w:r>
          </w:p>
        </w:tc>
      </w:tr>
      <w:tr w:rsidR="001D24D9" w:rsidRPr="0043547B" w:rsidTr="00566A17">
        <w:trPr>
          <w:gridBefore w:val="1"/>
          <w:wBefore w:w="18" w:type="dxa"/>
          <w:trHeight w:val="525"/>
          <w:jc w:val="center"/>
        </w:trPr>
        <w:tc>
          <w:tcPr>
            <w:tcW w:w="1856" w:type="dxa"/>
            <w:tcBorders>
              <w:top w:val="single" w:sz="4" w:space="0" w:color="auto"/>
              <w:left w:val="single" w:sz="18" w:space="0" w:color="auto"/>
              <w:bottom w:val="single" w:sz="18" w:space="0" w:color="auto"/>
              <w:right w:val="single" w:sz="8" w:space="0" w:color="auto"/>
            </w:tcBorders>
            <w:shd w:val="clear" w:color="auto" w:fill="FFFF99"/>
            <w:vAlign w:val="center"/>
          </w:tcPr>
          <w:p w:rsidR="001D24D9" w:rsidRPr="006B5B9D" w:rsidRDefault="001D24D9" w:rsidP="00464910">
            <w:pPr>
              <w:spacing w:after="0" w:line="240" w:lineRule="auto"/>
              <w:jc w:val="center"/>
              <w:rPr>
                <w:rFonts w:ascii="Calibri" w:hAnsi="Calibri" w:cs="Calibri"/>
                <w:b/>
                <w:bCs/>
                <w:sz w:val="24"/>
                <w:szCs w:val="24"/>
              </w:rPr>
            </w:pPr>
            <w:r w:rsidRPr="006B5B9D">
              <w:rPr>
                <w:rFonts w:ascii="Calibri" w:hAnsi="Calibri" w:cs="Calibri"/>
                <w:b/>
                <w:bCs/>
                <w:sz w:val="24"/>
                <w:szCs w:val="24"/>
              </w:rPr>
              <w:t>Equivalence :</w:t>
            </w:r>
          </w:p>
        </w:tc>
        <w:tc>
          <w:tcPr>
            <w:tcW w:w="7938" w:type="dxa"/>
            <w:tcBorders>
              <w:top w:val="single" w:sz="4" w:space="0" w:color="auto"/>
              <w:bottom w:val="single" w:sz="18" w:space="0" w:color="auto"/>
              <w:right w:val="single" w:sz="18" w:space="0" w:color="auto"/>
            </w:tcBorders>
            <w:shd w:val="clear" w:color="auto" w:fill="FFFF99"/>
            <w:vAlign w:val="center"/>
          </w:tcPr>
          <w:p w:rsidR="001D24D9" w:rsidRPr="00330314" w:rsidRDefault="001D24D9" w:rsidP="00330314">
            <w:pPr>
              <w:spacing w:after="0" w:line="240" w:lineRule="auto"/>
              <w:jc w:val="center"/>
              <w:rPr>
                <w:rFonts w:ascii="Times New Roman" w:hAnsi="Times New Roman" w:cs="Times New Roman"/>
                <w:b/>
                <w:bCs/>
                <w:color w:val="000000"/>
                <w:sz w:val="24"/>
                <w:szCs w:val="24"/>
              </w:rPr>
            </w:pPr>
            <w:r w:rsidRPr="00330314">
              <w:rPr>
                <w:b/>
                <w:bCs/>
                <w:color w:val="000000"/>
                <w:sz w:val="24"/>
                <w:szCs w:val="24"/>
              </w:rPr>
              <w:t>EN 15004-9</w:t>
            </w:r>
          </w:p>
        </w:tc>
      </w:tr>
      <w:tr w:rsidR="001D24D9" w:rsidRPr="0043547B" w:rsidTr="00566A17">
        <w:trPr>
          <w:gridBefore w:val="1"/>
          <w:wBefore w:w="18" w:type="dxa"/>
          <w:trHeight w:val="383"/>
          <w:jc w:val="center"/>
        </w:trPr>
        <w:tc>
          <w:tcPr>
            <w:tcW w:w="1856" w:type="dxa"/>
            <w:tcBorders>
              <w:top w:val="single" w:sz="18" w:space="0" w:color="auto"/>
              <w:left w:val="single" w:sz="18" w:space="0" w:color="auto"/>
              <w:bottom w:val="single" w:sz="4" w:space="0" w:color="auto"/>
              <w:right w:val="single" w:sz="8" w:space="0" w:color="auto"/>
            </w:tcBorders>
            <w:shd w:val="clear" w:color="auto" w:fill="95B3D7" w:themeFill="accent1" w:themeFillTint="99"/>
            <w:vAlign w:val="center"/>
          </w:tcPr>
          <w:p w:rsidR="001D24D9" w:rsidRPr="006B5B9D" w:rsidRDefault="001D24D9" w:rsidP="00464910">
            <w:pPr>
              <w:spacing w:after="0" w:line="240" w:lineRule="auto"/>
              <w:jc w:val="center"/>
              <w:rPr>
                <w:rFonts w:ascii="Calibri" w:hAnsi="Calibri" w:cs="Calibri"/>
                <w:b/>
                <w:bCs/>
                <w:sz w:val="24"/>
                <w:szCs w:val="24"/>
              </w:rPr>
            </w:pPr>
            <w:r w:rsidRPr="006B5B9D">
              <w:rPr>
                <w:rFonts w:ascii="Calibri" w:hAnsi="Calibri" w:cs="Calibri"/>
                <w:b/>
                <w:bCs/>
                <w:sz w:val="24"/>
                <w:szCs w:val="24"/>
              </w:rPr>
              <w:t>Inti</w:t>
            </w:r>
            <w:r w:rsidRPr="00307EBA">
              <w:rPr>
                <w:rFonts w:ascii="Calibri" w:hAnsi="Calibri" w:cs="Calibri"/>
                <w:b/>
                <w:bCs/>
                <w:sz w:val="24"/>
                <w:szCs w:val="24"/>
                <w:shd w:val="clear" w:color="auto" w:fill="95B3D7" w:themeFill="accent1" w:themeFillTint="99"/>
              </w:rPr>
              <w:t>t</w:t>
            </w:r>
            <w:r w:rsidRPr="006B5B9D">
              <w:rPr>
                <w:rFonts w:ascii="Calibri" w:hAnsi="Calibri" w:cs="Calibri"/>
                <w:b/>
                <w:bCs/>
                <w:sz w:val="24"/>
                <w:szCs w:val="24"/>
              </w:rPr>
              <w:t>ulé :</w:t>
            </w:r>
          </w:p>
        </w:tc>
        <w:tc>
          <w:tcPr>
            <w:tcW w:w="7938" w:type="dxa"/>
            <w:tcBorders>
              <w:top w:val="single" w:sz="18" w:space="0" w:color="auto"/>
              <w:bottom w:val="single" w:sz="4" w:space="0" w:color="auto"/>
              <w:right w:val="single" w:sz="18" w:space="0" w:color="auto"/>
            </w:tcBorders>
            <w:shd w:val="clear" w:color="auto" w:fill="auto"/>
            <w:vAlign w:val="bottom"/>
          </w:tcPr>
          <w:p w:rsidR="001D24D9" w:rsidRPr="006B5B9D" w:rsidRDefault="001D24D9" w:rsidP="006B5B9D">
            <w:pPr>
              <w:spacing w:after="0" w:line="240" w:lineRule="auto"/>
              <w:jc w:val="both"/>
              <w:rPr>
                <w:rFonts w:ascii="Times New Roman" w:hAnsi="Times New Roman" w:cs="Times New Roman"/>
                <w:color w:val="000000"/>
                <w:sz w:val="24"/>
                <w:szCs w:val="24"/>
              </w:rPr>
            </w:pPr>
            <w:r w:rsidRPr="006B5B9D">
              <w:rPr>
                <w:color w:val="000000"/>
                <w:sz w:val="24"/>
                <w:szCs w:val="24"/>
              </w:rPr>
              <w:t xml:space="preserve">Installations fixes de lutte contre l'incendie - Installations d'extinction à gaz - Partie 9 : Propriétés physiques et conception des systèmes pour agent extincteur IG-55 </w:t>
            </w:r>
          </w:p>
        </w:tc>
      </w:tr>
      <w:tr w:rsidR="001D24D9" w:rsidRPr="0043547B" w:rsidTr="00566A17">
        <w:trPr>
          <w:gridBefore w:val="1"/>
          <w:wBefore w:w="18" w:type="dxa"/>
          <w:trHeight w:val="2115"/>
          <w:jc w:val="center"/>
        </w:trPr>
        <w:tc>
          <w:tcPr>
            <w:tcW w:w="1856" w:type="dxa"/>
            <w:tcBorders>
              <w:top w:val="single" w:sz="4" w:space="0" w:color="auto"/>
              <w:left w:val="single" w:sz="18" w:space="0" w:color="auto"/>
              <w:bottom w:val="single" w:sz="18" w:space="0" w:color="auto"/>
              <w:right w:val="single" w:sz="8" w:space="0" w:color="auto"/>
            </w:tcBorders>
            <w:shd w:val="clear" w:color="000000" w:fill="D9D9D9"/>
            <w:vAlign w:val="center"/>
          </w:tcPr>
          <w:p w:rsidR="001D24D9" w:rsidRPr="006B5B9D" w:rsidRDefault="001D24D9" w:rsidP="00464910">
            <w:pPr>
              <w:spacing w:after="0" w:line="240" w:lineRule="auto"/>
              <w:jc w:val="center"/>
              <w:rPr>
                <w:rFonts w:ascii="Calibri" w:hAnsi="Calibri" w:cs="Calibri"/>
                <w:b/>
                <w:bCs/>
                <w:sz w:val="24"/>
                <w:szCs w:val="24"/>
              </w:rPr>
            </w:pPr>
            <w:r w:rsidRPr="006B5B9D">
              <w:rPr>
                <w:rFonts w:ascii="Calibri" w:hAnsi="Calibri" w:cs="Calibri"/>
                <w:b/>
                <w:bCs/>
                <w:sz w:val="24"/>
                <w:szCs w:val="24"/>
              </w:rPr>
              <w:t>Domaine d’application :</w:t>
            </w:r>
          </w:p>
        </w:tc>
        <w:tc>
          <w:tcPr>
            <w:tcW w:w="7938" w:type="dxa"/>
            <w:tcBorders>
              <w:top w:val="single" w:sz="4" w:space="0" w:color="auto"/>
              <w:bottom w:val="single" w:sz="18" w:space="0" w:color="auto"/>
              <w:right w:val="single" w:sz="18" w:space="0" w:color="auto"/>
            </w:tcBorders>
            <w:shd w:val="clear" w:color="auto" w:fill="auto"/>
            <w:vAlign w:val="bottom"/>
          </w:tcPr>
          <w:p w:rsidR="00330314" w:rsidRDefault="001D24D9" w:rsidP="00330314">
            <w:pPr>
              <w:spacing w:after="0" w:line="240" w:lineRule="auto"/>
              <w:jc w:val="both"/>
              <w:rPr>
                <w:color w:val="000000"/>
                <w:sz w:val="24"/>
                <w:szCs w:val="24"/>
              </w:rPr>
            </w:pPr>
            <w:r w:rsidRPr="006B5B9D">
              <w:rPr>
                <w:color w:val="000000"/>
                <w:sz w:val="24"/>
                <w:szCs w:val="24"/>
              </w:rPr>
              <w:t>Le présent document spécifie des exigences relatives aux installations d’extinction à gaz,</w:t>
            </w:r>
            <w:r w:rsidR="00330314">
              <w:rPr>
                <w:color w:val="000000"/>
                <w:sz w:val="24"/>
                <w:szCs w:val="24"/>
              </w:rPr>
              <w:t xml:space="preserve"> </w:t>
            </w:r>
            <w:r w:rsidRPr="006B5B9D">
              <w:rPr>
                <w:color w:val="000000"/>
                <w:sz w:val="24"/>
                <w:szCs w:val="24"/>
              </w:rPr>
              <w:t>contenant de l’agent extincteur IG-55. Il inclut des détails relatifs à ses propriétés physiques, sa</w:t>
            </w:r>
            <w:r w:rsidR="00330314">
              <w:rPr>
                <w:color w:val="000000"/>
                <w:sz w:val="24"/>
                <w:szCs w:val="24"/>
              </w:rPr>
              <w:t xml:space="preserve"> </w:t>
            </w:r>
            <w:r w:rsidRPr="006B5B9D">
              <w:rPr>
                <w:color w:val="000000"/>
                <w:sz w:val="24"/>
                <w:szCs w:val="24"/>
              </w:rPr>
              <w:t>spécification, son usage ainsi que ses aspects de sécurité.</w:t>
            </w:r>
          </w:p>
          <w:p w:rsidR="001D24D9" w:rsidRPr="006B5B9D" w:rsidRDefault="001D24D9" w:rsidP="00330314">
            <w:pPr>
              <w:spacing w:after="0" w:line="240" w:lineRule="auto"/>
              <w:jc w:val="both"/>
              <w:rPr>
                <w:rFonts w:ascii="Times New Roman" w:hAnsi="Times New Roman" w:cs="Times New Roman"/>
                <w:color w:val="000000"/>
                <w:sz w:val="24"/>
                <w:szCs w:val="24"/>
              </w:rPr>
            </w:pPr>
            <w:r w:rsidRPr="006B5B9D">
              <w:rPr>
                <w:color w:val="000000"/>
                <w:sz w:val="24"/>
                <w:szCs w:val="24"/>
              </w:rPr>
              <w:t>Le présent document s’applique aux systèmes fonctionnant à des pressions nominales de 150 bar</w:t>
            </w:r>
            <w:r w:rsidR="00330314">
              <w:rPr>
                <w:color w:val="000000"/>
                <w:sz w:val="24"/>
                <w:szCs w:val="24"/>
              </w:rPr>
              <w:t xml:space="preserve"> </w:t>
            </w:r>
            <w:r w:rsidRPr="006B5B9D">
              <w:rPr>
                <w:color w:val="000000"/>
                <w:sz w:val="24"/>
                <w:szCs w:val="24"/>
              </w:rPr>
              <w:t>à 15 °C, 200 bar à 15 °C et 300 bar à 15 °C. Cela n’exclut pas l’utilisation d’autres systèmes, les données</w:t>
            </w:r>
            <w:r w:rsidR="00330314">
              <w:rPr>
                <w:color w:val="000000"/>
                <w:sz w:val="24"/>
                <w:szCs w:val="24"/>
              </w:rPr>
              <w:t xml:space="preserve"> </w:t>
            </w:r>
            <w:r w:rsidRPr="006B5B9D">
              <w:rPr>
                <w:color w:val="000000"/>
                <w:sz w:val="24"/>
                <w:szCs w:val="24"/>
              </w:rPr>
              <w:t>nominales pour d’autres pressions étant toutefois indisponibles au moment de la publication.</w:t>
            </w:r>
          </w:p>
        </w:tc>
      </w:tr>
      <w:tr w:rsidR="001D24D9" w:rsidRPr="0043547B" w:rsidTr="00330314">
        <w:trPr>
          <w:gridBefore w:val="1"/>
          <w:wBefore w:w="18" w:type="dxa"/>
          <w:trHeight w:val="466"/>
          <w:jc w:val="center"/>
        </w:trPr>
        <w:tc>
          <w:tcPr>
            <w:tcW w:w="1856" w:type="dxa"/>
            <w:tcBorders>
              <w:top w:val="single" w:sz="4" w:space="0" w:color="auto"/>
              <w:left w:val="single" w:sz="18" w:space="0" w:color="auto"/>
              <w:bottom w:val="single" w:sz="18" w:space="0" w:color="auto"/>
              <w:right w:val="single" w:sz="8" w:space="0" w:color="auto"/>
            </w:tcBorders>
            <w:shd w:val="clear" w:color="auto" w:fill="C2D69B" w:themeFill="accent3" w:themeFillTint="99"/>
            <w:vAlign w:val="center"/>
          </w:tcPr>
          <w:p w:rsidR="001D24D9" w:rsidRPr="006B5B9D" w:rsidRDefault="001D24D9" w:rsidP="00464910">
            <w:pPr>
              <w:spacing w:after="0" w:line="240" w:lineRule="auto"/>
              <w:jc w:val="center"/>
              <w:rPr>
                <w:rFonts w:ascii="Calibri" w:hAnsi="Calibri" w:cs="Calibri"/>
                <w:b/>
                <w:bCs/>
                <w:sz w:val="24"/>
                <w:szCs w:val="24"/>
              </w:rPr>
            </w:pPr>
            <w:r w:rsidRPr="006B5B9D">
              <w:rPr>
                <w:rFonts w:ascii="Calibri" w:hAnsi="Calibri" w:cs="Calibri"/>
                <w:b/>
                <w:bCs/>
                <w:sz w:val="24"/>
                <w:szCs w:val="24"/>
              </w:rPr>
              <w:t>Code :</w:t>
            </w:r>
          </w:p>
        </w:tc>
        <w:tc>
          <w:tcPr>
            <w:tcW w:w="7938" w:type="dxa"/>
            <w:tcBorders>
              <w:top w:val="single" w:sz="4" w:space="0" w:color="auto"/>
              <w:bottom w:val="single" w:sz="18" w:space="0" w:color="auto"/>
              <w:right w:val="single" w:sz="18" w:space="0" w:color="auto"/>
            </w:tcBorders>
            <w:shd w:val="clear" w:color="auto" w:fill="C2D69B" w:themeFill="accent3" w:themeFillTint="99"/>
            <w:vAlign w:val="center"/>
          </w:tcPr>
          <w:p w:rsidR="001D24D9" w:rsidRPr="00330314" w:rsidRDefault="001D24D9" w:rsidP="00330314">
            <w:pPr>
              <w:spacing w:after="0" w:line="240" w:lineRule="auto"/>
              <w:jc w:val="center"/>
              <w:rPr>
                <w:rFonts w:ascii="Times New Roman" w:hAnsi="Times New Roman" w:cs="Times New Roman"/>
                <w:b/>
                <w:bCs/>
                <w:color w:val="000000"/>
                <w:sz w:val="24"/>
                <w:szCs w:val="24"/>
              </w:rPr>
            </w:pPr>
            <w:r w:rsidRPr="00330314">
              <w:rPr>
                <w:b/>
                <w:bCs/>
                <w:color w:val="000000"/>
                <w:sz w:val="24"/>
                <w:szCs w:val="24"/>
              </w:rPr>
              <w:t>NM EN 15004-10</w:t>
            </w:r>
          </w:p>
        </w:tc>
      </w:tr>
      <w:tr w:rsidR="001D24D9" w:rsidRPr="0043547B" w:rsidTr="00566A17">
        <w:trPr>
          <w:gridBefore w:val="1"/>
          <w:wBefore w:w="18" w:type="dxa"/>
          <w:trHeight w:val="512"/>
          <w:jc w:val="center"/>
        </w:trPr>
        <w:tc>
          <w:tcPr>
            <w:tcW w:w="1856" w:type="dxa"/>
            <w:tcBorders>
              <w:top w:val="single" w:sz="4" w:space="0" w:color="auto"/>
              <w:left w:val="single" w:sz="18" w:space="0" w:color="auto"/>
              <w:bottom w:val="single" w:sz="18" w:space="0" w:color="auto"/>
              <w:right w:val="single" w:sz="8" w:space="0" w:color="auto"/>
            </w:tcBorders>
            <w:shd w:val="clear" w:color="auto" w:fill="FFFF99"/>
            <w:vAlign w:val="center"/>
          </w:tcPr>
          <w:p w:rsidR="001D24D9" w:rsidRPr="006B5B9D" w:rsidRDefault="001D24D9" w:rsidP="00464910">
            <w:pPr>
              <w:spacing w:after="0" w:line="240" w:lineRule="auto"/>
              <w:jc w:val="center"/>
              <w:rPr>
                <w:rFonts w:ascii="Calibri" w:hAnsi="Calibri" w:cs="Calibri"/>
                <w:b/>
                <w:bCs/>
                <w:sz w:val="24"/>
                <w:szCs w:val="24"/>
              </w:rPr>
            </w:pPr>
            <w:r w:rsidRPr="006B5B9D">
              <w:rPr>
                <w:rFonts w:ascii="Calibri" w:hAnsi="Calibri" w:cs="Calibri"/>
                <w:b/>
                <w:bCs/>
                <w:sz w:val="24"/>
                <w:szCs w:val="24"/>
              </w:rPr>
              <w:t>Equivalence :</w:t>
            </w:r>
          </w:p>
        </w:tc>
        <w:tc>
          <w:tcPr>
            <w:tcW w:w="7938" w:type="dxa"/>
            <w:tcBorders>
              <w:top w:val="single" w:sz="4" w:space="0" w:color="auto"/>
              <w:bottom w:val="single" w:sz="18" w:space="0" w:color="auto"/>
              <w:right w:val="single" w:sz="18" w:space="0" w:color="auto"/>
            </w:tcBorders>
            <w:shd w:val="clear" w:color="auto" w:fill="FFFF99"/>
            <w:vAlign w:val="center"/>
          </w:tcPr>
          <w:p w:rsidR="001D24D9" w:rsidRPr="00330314" w:rsidRDefault="001D24D9" w:rsidP="00330314">
            <w:pPr>
              <w:spacing w:after="0" w:line="240" w:lineRule="auto"/>
              <w:jc w:val="center"/>
              <w:rPr>
                <w:rFonts w:ascii="Times New Roman" w:hAnsi="Times New Roman" w:cs="Times New Roman"/>
                <w:b/>
                <w:bCs/>
                <w:color w:val="000000"/>
                <w:sz w:val="24"/>
                <w:szCs w:val="24"/>
              </w:rPr>
            </w:pPr>
            <w:r w:rsidRPr="00330314">
              <w:rPr>
                <w:b/>
                <w:bCs/>
                <w:color w:val="000000"/>
                <w:sz w:val="24"/>
                <w:szCs w:val="24"/>
              </w:rPr>
              <w:t>EN 15004-10</w:t>
            </w:r>
          </w:p>
        </w:tc>
      </w:tr>
      <w:tr w:rsidR="001D24D9" w:rsidRPr="0043547B" w:rsidTr="00566A17">
        <w:trPr>
          <w:gridBefore w:val="1"/>
          <w:wBefore w:w="18" w:type="dxa"/>
          <w:trHeight w:val="769"/>
          <w:jc w:val="center"/>
        </w:trPr>
        <w:tc>
          <w:tcPr>
            <w:tcW w:w="1856" w:type="dxa"/>
            <w:tcBorders>
              <w:top w:val="single" w:sz="18" w:space="0" w:color="auto"/>
              <w:left w:val="single" w:sz="18" w:space="0" w:color="auto"/>
              <w:bottom w:val="single" w:sz="4" w:space="0" w:color="auto"/>
              <w:right w:val="single" w:sz="8" w:space="0" w:color="auto"/>
            </w:tcBorders>
            <w:shd w:val="clear" w:color="auto" w:fill="95B3D7" w:themeFill="accent1" w:themeFillTint="99"/>
            <w:vAlign w:val="center"/>
          </w:tcPr>
          <w:p w:rsidR="001D24D9" w:rsidRPr="006B5B9D" w:rsidRDefault="001D24D9" w:rsidP="00464910">
            <w:pPr>
              <w:spacing w:after="0" w:line="240" w:lineRule="auto"/>
              <w:jc w:val="center"/>
              <w:rPr>
                <w:rFonts w:ascii="Calibri" w:hAnsi="Calibri" w:cs="Calibri"/>
                <w:b/>
                <w:bCs/>
                <w:sz w:val="24"/>
                <w:szCs w:val="24"/>
              </w:rPr>
            </w:pPr>
            <w:r w:rsidRPr="006B5B9D">
              <w:rPr>
                <w:rFonts w:ascii="Calibri" w:hAnsi="Calibri" w:cs="Calibri"/>
                <w:b/>
                <w:bCs/>
                <w:sz w:val="24"/>
                <w:szCs w:val="24"/>
              </w:rPr>
              <w:t>Intitulé :</w:t>
            </w:r>
          </w:p>
        </w:tc>
        <w:tc>
          <w:tcPr>
            <w:tcW w:w="7938" w:type="dxa"/>
            <w:tcBorders>
              <w:top w:val="single" w:sz="18" w:space="0" w:color="auto"/>
              <w:bottom w:val="single" w:sz="4" w:space="0" w:color="auto"/>
              <w:right w:val="single" w:sz="18" w:space="0" w:color="auto"/>
            </w:tcBorders>
            <w:shd w:val="clear" w:color="auto" w:fill="auto"/>
            <w:vAlign w:val="bottom"/>
          </w:tcPr>
          <w:p w:rsidR="001D24D9" w:rsidRPr="006B5B9D" w:rsidRDefault="001D24D9" w:rsidP="006B5B9D">
            <w:pPr>
              <w:spacing w:after="0" w:line="240" w:lineRule="auto"/>
              <w:jc w:val="both"/>
              <w:rPr>
                <w:rFonts w:ascii="Times New Roman" w:hAnsi="Times New Roman" w:cs="Times New Roman"/>
                <w:color w:val="000000"/>
                <w:sz w:val="24"/>
                <w:szCs w:val="24"/>
              </w:rPr>
            </w:pPr>
            <w:r w:rsidRPr="006B5B9D">
              <w:rPr>
                <w:color w:val="000000"/>
                <w:sz w:val="24"/>
                <w:szCs w:val="24"/>
              </w:rPr>
              <w:t xml:space="preserve">Installations fixes de lutte contre l'incendie - Installations d'extinction à gaz - Partie 10 : Propriétés physiques et conception des systèmes pour agent extincteur IG-541 </w:t>
            </w:r>
          </w:p>
        </w:tc>
      </w:tr>
      <w:tr w:rsidR="001D24D9" w:rsidRPr="0043547B" w:rsidTr="00566A17">
        <w:trPr>
          <w:gridBefore w:val="1"/>
          <w:wBefore w:w="18" w:type="dxa"/>
          <w:trHeight w:val="2115"/>
          <w:jc w:val="center"/>
        </w:trPr>
        <w:tc>
          <w:tcPr>
            <w:tcW w:w="1856" w:type="dxa"/>
            <w:tcBorders>
              <w:top w:val="single" w:sz="4" w:space="0" w:color="auto"/>
              <w:left w:val="single" w:sz="18" w:space="0" w:color="auto"/>
              <w:bottom w:val="single" w:sz="18" w:space="0" w:color="auto"/>
              <w:right w:val="single" w:sz="8" w:space="0" w:color="auto"/>
            </w:tcBorders>
            <w:shd w:val="clear" w:color="000000" w:fill="D9D9D9"/>
            <w:vAlign w:val="center"/>
          </w:tcPr>
          <w:p w:rsidR="001D24D9" w:rsidRPr="006B5B9D" w:rsidRDefault="001D24D9" w:rsidP="00464910">
            <w:pPr>
              <w:spacing w:after="0" w:line="240" w:lineRule="auto"/>
              <w:jc w:val="center"/>
              <w:rPr>
                <w:rFonts w:ascii="Calibri" w:hAnsi="Calibri" w:cs="Calibri"/>
                <w:b/>
                <w:bCs/>
                <w:sz w:val="24"/>
                <w:szCs w:val="24"/>
              </w:rPr>
            </w:pPr>
            <w:r w:rsidRPr="006B5B9D">
              <w:rPr>
                <w:rFonts w:ascii="Calibri" w:hAnsi="Calibri" w:cs="Calibri"/>
                <w:b/>
                <w:bCs/>
                <w:sz w:val="24"/>
                <w:szCs w:val="24"/>
              </w:rPr>
              <w:t>Domaine d’application :</w:t>
            </w:r>
          </w:p>
        </w:tc>
        <w:tc>
          <w:tcPr>
            <w:tcW w:w="7938" w:type="dxa"/>
            <w:tcBorders>
              <w:top w:val="single" w:sz="4" w:space="0" w:color="auto"/>
              <w:bottom w:val="single" w:sz="18" w:space="0" w:color="auto"/>
              <w:right w:val="single" w:sz="18" w:space="0" w:color="auto"/>
            </w:tcBorders>
            <w:shd w:val="clear" w:color="auto" w:fill="auto"/>
            <w:vAlign w:val="bottom"/>
          </w:tcPr>
          <w:p w:rsidR="00330314" w:rsidRDefault="001D24D9" w:rsidP="00330314">
            <w:pPr>
              <w:spacing w:after="0" w:line="240" w:lineRule="auto"/>
              <w:jc w:val="both"/>
              <w:rPr>
                <w:color w:val="000000"/>
                <w:sz w:val="24"/>
                <w:szCs w:val="24"/>
              </w:rPr>
            </w:pPr>
            <w:r w:rsidRPr="006B5B9D">
              <w:rPr>
                <w:color w:val="000000"/>
                <w:sz w:val="24"/>
                <w:szCs w:val="24"/>
              </w:rPr>
              <w:t>Le présent document spécifie des exigences relatives aux installations d’extinction à gaz,</w:t>
            </w:r>
            <w:r w:rsidR="00330314">
              <w:rPr>
                <w:color w:val="000000"/>
                <w:sz w:val="24"/>
                <w:szCs w:val="24"/>
              </w:rPr>
              <w:t xml:space="preserve"> </w:t>
            </w:r>
            <w:r w:rsidRPr="006B5B9D">
              <w:rPr>
                <w:color w:val="000000"/>
                <w:sz w:val="24"/>
                <w:szCs w:val="24"/>
              </w:rPr>
              <w:t>contenant de l’agent extincteur IG-541. Il inclut des détails relatifs à ses propriétés physiques, sa</w:t>
            </w:r>
            <w:r w:rsidR="00330314">
              <w:rPr>
                <w:color w:val="000000"/>
                <w:sz w:val="24"/>
                <w:szCs w:val="24"/>
              </w:rPr>
              <w:t xml:space="preserve"> </w:t>
            </w:r>
            <w:r w:rsidRPr="006B5B9D">
              <w:rPr>
                <w:color w:val="000000"/>
                <w:sz w:val="24"/>
                <w:szCs w:val="24"/>
              </w:rPr>
              <w:t>spécification, son usage ainsi que ses aspects de sécurité.</w:t>
            </w:r>
          </w:p>
          <w:p w:rsidR="001D24D9" w:rsidRPr="006B5B9D" w:rsidRDefault="001D24D9" w:rsidP="00330314">
            <w:pPr>
              <w:spacing w:after="0" w:line="240" w:lineRule="auto"/>
              <w:jc w:val="both"/>
              <w:rPr>
                <w:rFonts w:ascii="Times New Roman" w:hAnsi="Times New Roman" w:cs="Times New Roman"/>
                <w:color w:val="000000"/>
                <w:sz w:val="24"/>
                <w:szCs w:val="24"/>
              </w:rPr>
            </w:pPr>
            <w:r w:rsidRPr="006B5B9D">
              <w:rPr>
                <w:color w:val="000000"/>
                <w:sz w:val="24"/>
                <w:szCs w:val="24"/>
              </w:rPr>
              <w:t>Le présent document s’applique aux systèmes fonctionnant à des pressions nominales de 150 bar,</w:t>
            </w:r>
            <w:r w:rsidR="00330314">
              <w:rPr>
                <w:color w:val="000000"/>
                <w:sz w:val="24"/>
                <w:szCs w:val="24"/>
              </w:rPr>
              <w:t xml:space="preserve"> </w:t>
            </w:r>
            <w:r w:rsidRPr="006B5B9D">
              <w:rPr>
                <w:color w:val="000000"/>
                <w:sz w:val="24"/>
                <w:szCs w:val="24"/>
              </w:rPr>
              <w:t>200 bar et 300 bar à 15 °C. Cela n’exclut pas l’utilisation d’autres systèmes, les données nominales pour</w:t>
            </w:r>
            <w:r w:rsidR="00330314">
              <w:rPr>
                <w:color w:val="000000"/>
                <w:sz w:val="24"/>
                <w:szCs w:val="24"/>
              </w:rPr>
              <w:t xml:space="preserve"> </w:t>
            </w:r>
            <w:r w:rsidRPr="006B5B9D">
              <w:rPr>
                <w:color w:val="000000"/>
                <w:sz w:val="24"/>
                <w:szCs w:val="24"/>
              </w:rPr>
              <w:t>d’autres pressions étant toutefois indisponibles au moment de la publication.</w:t>
            </w:r>
          </w:p>
        </w:tc>
      </w:tr>
      <w:tr w:rsidR="001D24D9" w:rsidRPr="0043547B" w:rsidTr="00330314">
        <w:trPr>
          <w:gridBefore w:val="1"/>
          <w:wBefore w:w="18" w:type="dxa"/>
          <w:trHeight w:val="452"/>
          <w:jc w:val="center"/>
        </w:trPr>
        <w:tc>
          <w:tcPr>
            <w:tcW w:w="1856" w:type="dxa"/>
            <w:tcBorders>
              <w:top w:val="single" w:sz="4" w:space="0" w:color="auto"/>
              <w:left w:val="single" w:sz="18" w:space="0" w:color="auto"/>
              <w:bottom w:val="single" w:sz="18" w:space="0" w:color="auto"/>
              <w:right w:val="single" w:sz="8" w:space="0" w:color="auto"/>
            </w:tcBorders>
            <w:shd w:val="clear" w:color="auto" w:fill="C2D69B" w:themeFill="accent3" w:themeFillTint="99"/>
            <w:vAlign w:val="center"/>
          </w:tcPr>
          <w:p w:rsidR="001D24D9" w:rsidRPr="006B5B9D" w:rsidRDefault="00330314" w:rsidP="00464910">
            <w:pPr>
              <w:spacing w:after="0" w:line="240" w:lineRule="auto"/>
              <w:jc w:val="center"/>
              <w:rPr>
                <w:rFonts w:ascii="Calibri" w:hAnsi="Calibri" w:cs="Calibri"/>
                <w:b/>
                <w:bCs/>
                <w:sz w:val="24"/>
                <w:szCs w:val="24"/>
              </w:rPr>
            </w:pPr>
            <w:r>
              <w:rPr>
                <w:rFonts w:ascii="Calibri" w:hAnsi="Calibri" w:cs="Calibri"/>
                <w:b/>
                <w:bCs/>
                <w:sz w:val="24"/>
                <w:szCs w:val="24"/>
              </w:rPr>
              <w:t xml:space="preserve">Code </w:t>
            </w:r>
            <w:r w:rsidRPr="006B5B9D">
              <w:rPr>
                <w:rFonts w:ascii="Calibri" w:hAnsi="Calibri" w:cs="Calibri"/>
                <w:b/>
                <w:bCs/>
                <w:sz w:val="24"/>
                <w:szCs w:val="24"/>
              </w:rPr>
              <w:t>:</w:t>
            </w:r>
          </w:p>
        </w:tc>
        <w:tc>
          <w:tcPr>
            <w:tcW w:w="7938" w:type="dxa"/>
            <w:tcBorders>
              <w:top w:val="single" w:sz="4" w:space="0" w:color="auto"/>
              <w:bottom w:val="single" w:sz="18" w:space="0" w:color="auto"/>
              <w:right w:val="single" w:sz="18" w:space="0" w:color="auto"/>
            </w:tcBorders>
            <w:shd w:val="clear" w:color="auto" w:fill="C2D69B" w:themeFill="accent3" w:themeFillTint="99"/>
            <w:vAlign w:val="center"/>
          </w:tcPr>
          <w:p w:rsidR="001D24D9" w:rsidRPr="00330314" w:rsidRDefault="001D24D9" w:rsidP="00330314">
            <w:pPr>
              <w:spacing w:after="0" w:line="240" w:lineRule="auto"/>
              <w:jc w:val="center"/>
              <w:rPr>
                <w:rFonts w:ascii="Times New Roman" w:hAnsi="Times New Roman" w:cs="Times New Roman"/>
                <w:b/>
                <w:bCs/>
                <w:color w:val="000000"/>
                <w:sz w:val="24"/>
                <w:szCs w:val="24"/>
              </w:rPr>
            </w:pPr>
            <w:r w:rsidRPr="00330314">
              <w:rPr>
                <w:b/>
                <w:bCs/>
                <w:color w:val="000000"/>
                <w:sz w:val="24"/>
                <w:szCs w:val="24"/>
              </w:rPr>
              <w:t>NM 21.9.132</w:t>
            </w:r>
          </w:p>
        </w:tc>
      </w:tr>
      <w:tr w:rsidR="001D24D9" w:rsidRPr="0043547B" w:rsidTr="00566A17">
        <w:trPr>
          <w:gridBefore w:val="1"/>
          <w:wBefore w:w="18" w:type="dxa"/>
          <w:trHeight w:val="387"/>
          <w:jc w:val="center"/>
        </w:trPr>
        <w:tc>
          <w:tcPr>
            <w:tcW w:w="1856" w:type="dxa"/>
            <w:tcBorders>
              <w:top w:val="single" w:sz="4" w:space="0" w:color="auto"/>
              <w:left w:val="single" w:sz="18" w:space="0" w:color="auto"/>
              <w:bottom w:val="single" w:sz="18" w:space="0" w:color="auto"/>
              <w:right w:val="single" w:sz="8" w:space="0" w:color="auto"/>
            </w:tcBorders>
            <w:shd w:val="clear" w:color="auto" w:fill="FFFF99"/>
            <w:vAlign w:val="center"/>
          </w:tcPr>
          <w:p w:rsidR="001D24D9" w:rsidRPr="006B5B9D" w:rsidRDefault="001D24D9" w:rsidP="00464910">
            <w:pPr>
              <w:spacing w:after="0" w:line="240" w:lineRule="auto"/>
              <w:jc w:val="center"/>
              <w:rPr>
                <w:rFonts w:ascii="Calibri" w:hAnsi="Calibri" w:cs="Calibri"/>
                <w:b/>
                <w:bCs/>
                <w:sz w:val="24"/>
                <w:szCs w:val="24"/>
              </w:rPr>
            </w:pPr>
            <w:r w:rsidRPr="006B5B9D">
              <w:rPr>
                <w:rFonts w:ascii="Calibri" w:hAnsi="Calibri" w:cs="Calibri"/>
                <w:b/>
                <w:bCs/>
                <w:sz w:val="24"/>
                <w:szCs w:val="24"/>
              </w:rPr>
              <w:t>Equivalence :</w:t>
            </w:r>
          </w:p>
        </w:tc>
        <w:tc>
          <w:tcPr>
            <w:tcW w:w="7938" w:type="dxa"/>
            <w:tcBorders>
              <w:top w:val="single" w:sz="4" w:space="0" w:color="auto"/>
              <w:bottom w:val="single" w:sz="18" w:space="0" w:color="auto"/>
              <w:right w:val="single" w:sz="18" w:space="0" w:color="auto"/>
            </w:tcBorders>
            <w:shd w:val="clear" w:color="auto" w:fill="FFFF99"/>
            <w:vAlign w:val="center"/>
          </w:tcPr>
          <w:p w:rsidR="001D24D9" w:rsidRPr="00330314" w:rsidRDefault="001D24D9" w:rsidP="00330314">
            <w:pPr>
              <w:spacing w:after="0" w:line="240" w:lineRule="auto"/>
              <w:jc w:val="center"/>
              <w:rPr>
                <w:rFonts w:ascii="Times New Roman" w:hAnsi="Times New Roman" w:cs="Times New Roman"/>
                <w:b/>
                <w:bCs/>
                <w:color w:val="000000"/>
                <w:sz w:val="24"/>
                <w:szCs w:val="24"/>
              </w:rPr>
            </w:pPr>
            <w:r w:rsidRPr="00330314">
              <w:rPr>
                <w:b/>
                <w:bCs/>
                <w:color w:val="000000"/>
                <w:sz w:val="24"/>
                <w:szCs w:val="24"/>
              </w:rPr>
              <w:t>NF S 61-937-1</w:t>
            </w:r>
          </w:p>
        </w:tc>
      </w:tr>
      <w:tr w:rsidR="001D24D9" w:rsidRPr="0043547B" w:rsidTr="00566A17">
        <w:trPr>
          <w:gridBefore w:val="1"/>
          <w:wBefore w:w="18" w:type="dxa"/>
          <w:trHeight w:val="683"/>
          <w:jc w:val="center"/>
        </w:trPr>
        <w:tc>
          <w:tcPr>
            <w:tcW w:w="1856" w:type="dxa"/>
            <w:tcBorders>
              <w:top w:val="single" w:sz="18" w:space="0" w:color="auto"/>
              <w:left w:val="single" w:sz="18" w:space="0" w:color="auto"/>
              <w:bottom w:val="single" w:sz="4" w:space="0" w:color="auto"/>
              <w:right w:val="single" w:sz="8" w:space="0" w:color="auto"/>
            </w:tcBorders>
            <w:shd w:val="clear" w:color="auto" w:fill="95B3D7" w:themeFill="accent1" w:themeFillTint="99"/>
            <w:vAlign w:val="center"/>
          </w:tcPr>
          <w:p w:rsidR="001D24D9" w:rsidRPr="006B5B9D" w:rsidRDefault="001D24D9" w:rsidP="00464910">
            <w:pPr>
              <w:spacing w:after="0" w:line="240" w:lineRule="auto"/>
              <w:jc w:val="center"/>
              <w:rPr>
                <w:rFonts w:ascii="Calibri" w:hAnsi="Calibri" w:cs="Calibri"/>
                <w:b/>
                <w:bCs/>
                <w:sz w:val="24"/>
                <w:szCs w:val="24"/>
              </w:rPr>
            </w:pPr>
            <w:r w:rsidRPr="006B5B9D">
              <w:rPr>
                <w:rFonts w:ascii="Calibri" w:hAnsi="Calibri" w:cs="Calibri"/>
                <w:b/>
                <w:bCs/>
                <w:sz w:val="24"/>
                <w:szCs w:val="24"/>
              </w:rPr>
              <w:t>Intitulé :</w:t>
            </w:r>
          </w:p>
        </w:tc>
        <w:tc>
          <w:tcPr>
            <w:tcW w:w="7938" w:type="dxa"/>
            <w:tcBorders>
              <w:top w:val="single" w:sz="18" w:space="0" w:color="auto"/>
              <w:bottom w:val="single" w:sz="4" w:space="0" w:color="auto"/>
              <w:right w:val="single" w:sz="18" w:space="0" w:color="auto"/>
            </w:tcBorders>
            <w:shd w:val="clear" w:color="auto" w:fill="auto"/>
            <w:vAlign w:val="bottom"/>
          </w:tcPr>
          <w:p w:rsidR="001D24D9" w:rsidRPr="006B5B9D" w:rsidRDefault="001D24D9" w:rsidP="006B5B9D">
            <w:pPr>
              <w:spacing w:after="0" w:line="240" w:lineRule="auto"/>
              <w:jc w:val="both"/>
              <w:rPr>
                <w:rFonts w:ascii="Times New Roman" w:hAnsi="Times New Roman" w:cs="Times New Roman"/>
                <w:color w:val="000000"/>
                <w:sz w:val="24"/>
                <w:szCs w:val="24"/>
              </w:rPr>
            </w:pPr>
            <w:r w:rsidRPr="006B5B9D">
              <w:rPr>
                <w:color w:val="000000"/>
                <w:sz w:val="24"/>
                <w:szCs w:val="24"/>
              </w:rPr>
              <w:t>Systèmes de Sécurité Incendie (S.S.I.) - Dispositifs Actionnés de Sécurité (D.A.S.) - Prescriptions générales ;</w:t>
            </w:r>
          </w:p>
        </w:tc>
      </w:tr>
      <w:tr w:rsidR="001D24D9" w:rsidRPr="0043547B" w:rsidTr="00566A17">
        <w:trPr>
          <w:gridBefore w:val="1"/>
          <w:wBefore w:w="18" w:type="dxa"/>
          <w:trHeight w:val="948"/>
          <w:jc w:val="center"/>
        </w:trPr>
        <w:tc>
          <w:tcPr>
            <w:tcW w:w="1856" w:type="dxa"/>
            <w:tcBorders>
              <w:top w:val="single" w:sz="4" w:space="0" w:color="auto"/>
              <w:left w:val="single" w:sz="18" w:space="0" w:color="auto"/>
              <w:bottom w:val="single" w:sz="18" w:space="0" w:color="auto"/>
              <w:right w:val="single" w:sz="8" w:space="0" w:color="auto"/>
            </w:tcBorders>
            <w:shd w:val="clear" w:color="000000" w:fill="D9D9D9"/>
            <w:vAlign w:val="center"/>
          </w:tcPr>
          <w:p w:rsidR="001D24D9" w:rsidRPr="006B5B9D" w:rsidRDefault="001D24D9" w:rsidP="00464910">
            <w:pPr>
              <w:spacing w:after="0" w:line="240" w:lineRule="auto"/>
              <w:jc w:val="center"/>
              <w:rPr>
                <w:rFonts w:ascii="Calibri" w:hAnsi="Calibri" w:cs="Calibri"/>
                <w:b/>
                <w:bCs/>
                <w:sz w:val="24"/>
                <w:szCs w:val="24"/>
              </w:rPr>
            </w:pPr>
            <w:r w:rsidRPr="006B5B9D">
              <w:rPr>
                <w:rFonts w:ascii="Calibri" w:hAnsi="Calibri" w:cs="Calibri"/>
                <w:b/>
                <w:bCs/>
                <w:sz w:val="24"/>
                <w:szCs w:val="24"/>
              </w:rPr>
              <w:lastRenderedPageBreak/>
              <w:t>Domaine d’application :</w:t>
            </w:r>
          </w:p>
        </w:tc>
        <w:tc>
          <w:tcPr>
            <w:tcW w:w="7938" w:type="dxa"/>
            <w:tcBorders>
              <w:top w:val="single" w:sz="4" w:space="0" w:color="auto"/>
              <w:bottom w:val="single" w:sz="18" w:space="0" w:color="auto"/>
              <w:right w:val="single" w:sz="18" w:space="0" w:color="auto"/>
            </w:tcBorders>
            <w:shd w:val="clear" w:color="auto" w:fill="auto"/>
            <w:vAlign w:val="bottom"/>
          </w:tcPr>
          <w:p w:rsidR="001D24D9" w:rsidRPr="006B5B9D" w:rsidRDefault="001D24D9" w:rsidP="00330314">
            <w:pPr>
              <w:spacing w:after="0" w:line="240" w:lineRule="auto"/>
              <w:jc w:val="both"/>
              <w:rPr>
                <w:rFonts w:ascii="Times New Roman" w:hAnsi="Times New Roman" w:cs="Times New Roman"/>
                <w:color w:val="000000"/>
                <w:sz w:val="24"/>
                <w:szCs w:val="24"/>
              </w:rPr>
            </w:pPr>
            <w:r w:rsidRPr="006B5B9D">
              <w:rPr>
                <w:color w:val="000000"/>
                <w:sz w:val="24"/>
                <w:szCs w:val="24"/>
              </w:rPr>
              <w:t>La présente norme a pour objet de fixer la terminologie et les règles générales applicables aux Dispositifs Actionnés</w:t>
            </w:r>
            <w:r w:rsidR="00330314">
              <w:rPr>
                <w:color w:val="000000"/>
                <w:sz w:val="24"/>
                <w:szCs w:val="24"/>
              </w:rPr>
              <w:t xml:space="preserve"> </w:t>
            </w:r>
            <w:r w:rsidRPr="006B5B9D">
              <w:rPr>
                <w:color w:val="000000"/>
                <w:sz w:val="24"/>
                <w:szCs w:val="24"/>
              </w:rPr>
              <w:t>de Sécurité (D.A.S.) en tant qu’éléments faisant partie d’un Système de Sécurité Incendie (S.S.I.).</w:t>
            </w:r>
          </w:p>
        </w:tc>
      </w:tr>
      <w:tr w:rsidR="001D24D9" w:rsidRPr="0043547B" w:rsidTr="00330314">
        <w:trPr>
          <w:gridBefore w:val="1"/>
          <w:wBefore w:w="18" w:type="dxa"/>
          <w:trHeight w:val="381"/>
          <w:jc w:val="center"/>
        </w:trPr>
        <w:tc>
          <w:tcPr>
            <w:tcW w:w="1856" w:type="dxa"/>
            <w:tcBorders>
              <w:top w:val="single" w:sz="4" w:space="0" w:color="auto"/>
              <w:left w:val="single" w:sz="18" w:space="0" w:color="auto"/>
              <w:bottom w:val="single" w:sz="18" w:space="0" w:color="auto"/>
              <w:right w:val="single" w:sz="8" w:space="0" w:color="auto"/>
            </w:tcBorders>
            <w:shd w:val="clear" w:color="auto" w:fill="C2D69B" w:themeFill="accent3" w:themeFillTint="99"/>
            <w:vAlign w:val="center"/>
          </w:tcPr>
          <w:p w:rsidR="001D24D9" w:rsidRPr="006B5B9D" w:rsidRDefault="001D24D9" w:rsidP="00464910">
            <w:pPr>
              <w:spacing w:after="0" w:line="240" w:lineRule="auto"/>
              <w:jc w:val="center"/>
              <w:rPr>
                <w:rFonts w:ascii="Calibri" w:hAnsi="Calibri" w:cs="Calibri"/>
                <w:b/>
                <w:bCs/>
                <w:sz w:val="24"/>
                <w:szCs w:val="24"/>
              </w:rPr>
            </w:pPr>
            <w:r w:rsidRPr="006B5B9D">
              <w:rPr>
                <w:rFonts w:ascii="Calibri" w:hAnsi="Calibri" w:cs="Calibri"/>
                <w:b/>
                <w:bCs/>
                <w:sz w:val="24"/>
                <w:szCs w:val="24"/>
              </w:rPr>
              <w:t>Code :</w:t>
            </w:r>
          </w:p>
        </w:tc>
        <w:tc>
          <w:tcPr>
            <w:tcW w:w="7938" w:type="dxa"/>
            <w:tcBorders>
              <w:top w:val="single" w:sz="4" w:space="0" w:color="auto"/>
              <w:bottom w:val="single" w:sz="18" w:space="0" w:color="auto"/>
              <w:right w:val="single" w:sz="18" w:space="0" w:color="auto"/>
            </w:tcBorders>
            <w:shd w:val="clear" w:color="auto" w:fill="C2D69B" w:themeFill="accent3" w:themeFillTint="99"/>
            <w:vAlign w:val="center"/>
          </w:tcPr>
          <w:p w:rsidR="001D24D9" w:rsidRPr="00330314" w:rsidRDefault="001D24D9" w:rsidP="00330314">
            <w:pPr>
              <w:spacing w:after="0" w:line="240" w:lineRule="auto"/>
              <w:jc w:val="center"/>
              <w:rPr>
                <w:rFonts w:ascii="Times New Roman" w:hAnsi="Times New Roman" w:cs="Times New Roman"/>
                <w:b/>
                <w:bCs/>
                <w:color w:val="000000"/>
                <w:sz w:val="24"/>
                <w:szCs w:val="24"/>
              </w:rPr>
            </w:pPr>
            <w:r w:rsidRPr="00330314">
              <w:rPr>
                <w:b/>
                <w:bCs/>
                <w:color w:val="000000"/>
                <w:sz w:val="24"/>
                <w:szCs w:val="24"/>
              </w:rPr>
              <w:t>NM 21.9.133</w:t>
            </w:r>
          </w:p>
        </w:tc>
      </w:tr>
      <w:tr w:rsidR="001D24D9" w:rsidRPr="0043547B" w:rsidTr="00566A17">
        <w:trPr>
          <w:gridBefore w:val="1"/>
          <w:wBefore w:w="18" w:type="dxa"/>
          <w:trHeight w:val="417"/>
          <w:jc w:val="center"/>
        </w:trPr>
        <w:tc>
          <w:tcPr>
            <w:tcW w:w="1856" w:type="dxa"/>
            <w:tcBorders>
              <w:top w:val="single" w:sz="4" w:space="0" w:color="auto"/>
              <w:left w:val="single" w:sz="18" w:space="0" w:color="auto"/>
              <w:bottom w:val="single" w:sz="18" w:space="0" w:color="auto"/>
              <w:right w:val="single" w:sz="8" w:space="0" w:color="auto"/>
            </w:tcBorders>
            <w:shd w:val="clear" w:color="auto" w:fill="FFFF99"/>
            <w:vAlign w:val="center"/>
          </w:tcPr>
          <w:p w:rsidR="001D24D9" w:rsidRPr="006B5B9D" w:rsidRDefault="001D24D9" w:rsidP="00464910">
            <w:pPr>
              <w:spacing w:after="0" w:line="240" w:lineRule="auto"/>
              <w:jc w:val="center"/>
              <w:rPr>
                <w:rFonts w:ascii="Calibri" w:hAnsi="Calibri" w:cs="Calibri"/>
                <w:b/>
                <w:bCs/>
                <w:sz w:val="24"/>
                <w:szCs w:val="24"/>
              </w:rPr>
            </w:pPr>
            <w:r w:rsidRPr="006B5B9D">
              <w:rPr>
                <w:rFonts w:ascii="Calibri" w:hAnsi="Calibri" w:cs="Calibri"/>
                <w:b/>
                <w:bCs/>
                <w:sz w:val="24"/>
                <w:szCs w:val="24"/>
              </w:rPr>
              <w:t>Equivalence :</w:t>
            </w:r>
          </w:p>
        </w:tc>
        <w:tc>
          <w:tcPr>
            <w:tcW w:w="7938" w:type="dxa"/>
            <w:tcBorders>
              <w:top w:val="single" w:sz="4" w:space="0" w:color="auto"/>
              <w:bottom w:val="single" w:sz="18" w:space="0" w:color="auto"/>
              <w:right w:val="single" w:sz="18" w:space="0" w:color="auto"/>
            </w:tcBorders>
            <w:shd w:val="clear" w:color="auto" w:fill="FFFF99"/>
            <w:vAlign w:val="center"/>
          </w:tcPr>
          <w:p w:rsidR="001D24D9" w:rsidRPr="00330314" w:rsidRDefault="001D24D9" w:rsidP="00330314">
            <w:pPr>
              <w:spacing w:after="0" w:line="240" w:lineRule="auto"/>
              <w:jc w:val="center"/>
              <w:rPr>
                <w:rFonts w:ascii="Times New Roman" w:hAnsi="Times New Roman" w:cs="Times New Roman"/>
                <w:b/>
                <w:bCs/>
                <w:color w:val="000000"/>
                <w:sz w:val="24"/>
                <w:szCs w:val="24"/>
              </w:rPr>
            </w:pPr>
            <w:r w:rsidRPr="00330314">
              <w:rPr>
                <w:b/>
                <w:bCs/>
                <w:color w:val="000000"/>
                <w:sz w:val="24"/>
                <w:szCs w:val="24"/>
              </w:rPr>
              <w:t>NF S 61-937-2</w:t>
            </w:r>
          </w:p>
        </w:tc>
      </w:tr>
      <w:tr w:rsidR="001D24D9" w:rsidRPr="0043547B" w:rsidTr="00566A17">
        <w:trPr>
          <w:gridBefore w:val="1"/>
          <w:wBefore w:w="18" w:type="dxa"/>
          <w:trHeight w:val="703"/>
          <w:jc w:val="center"/>
        </w:trPr>
        <w:tc>
          <w:tcPr>
            <w:tcW w:w="1856" w:type="dxa"/>
            <w:tcBorders>
              <w:top w:val="single" w:sz="18" w:space="0" w:color="auto"/>
              <w:left w:val="single" w:sz="18" w:space="0" w:color="auto"/>
              <w:bottom w:val="single" w:sz="4" w:space="0" w:color="auto"/>
              <w:right w:val="single" w:sz="8" w:space="0" w:color="auto"/>
            </w:tcBorders>
            <w:shd w:val="clear" w:color="auto" w:fill="95B3D7" w:themeFill="accent1" w:themeFillTint="99"/>
            <w:vAlign w:val="center"/>
          </w:tcPr>
          <w:p w:rsidR="001D24D9" w:rsidRPr="006B5B9D" w:rsidRDefault="001D24D9" w:rsidP="00464910">
            <w:pPr>
              <w:spacing w:after="0" w:line="240" w:lineRule="auto"/>
              <w:jc w:val="center"/>
              <w:rPr>
                <w:rFonts w:ascii="Calibri" w:hAnsi="Calibri" w:cs="Calibri"/>
                <w:b/>
                <w:bCs/>
                <w:sz w:val="24"/>
                <w:szCs w:val="24"/>
              </w:rPr>
            </w:pPr>
            <w:r w:rsidRPr="006B5B9D">
              <w:rPr>
                <w:rFonts w:ascii="Calibri" w:hAnsi="Calibri" w:cs="Calibri"/>
                <w:b/>
                <w:bCs/>
                <w:sz w:val="24"/>
                <w:szCs w:val="24"/>
              </w:rPr>
              <w:t>Intitulé :</w:t>
            </w:r>
          </w:p>
        </w:tc>
        <w:tc>
          <w:tcPr>
            <w:tcW w:w="7938" w:type="dxa"/>
            <w:tcBorders>
              <w:top w:val="single" w:sz="18" w:space="0" w:color="auto"/>
              <w:bottom w:val="single" w:sz="4" w:space="0" w:color="auto"/>
              <w:right w:val="single" w:sz="18" w:space="0" w:color="auto"/>
            </w:tcBorders>
            <w:shd w:val="clear" w:color="auto" w:fill="auto"/>
            <w:vAlign w:val="bottom"/>
          </w:tcPr>
          <w:p w:rsidR="001D24D9" w:rsidRPr="006B5B9D" w:rsidRDefault="001D24D9" w:rsidP="006B5B9D">
            <w:pPr>
              <w:spacing w:after="0" w:line="240" w:lineRule="auto"/>
              <w:jc w:val="both"/>
              <w:rPr>
                <w:rFonts w:ascii="Times New Roman" w:hAnsi="Times New Roman" w:cs="Times New Roman"/>
                <w:color w:val="000000"/>
                <w:sz w:val="24"/>
                <w:szCs w:val="24"/>
              </w:rPr>
            </w:pPr>
            <w:r w:rsidRPr="006B5B9D">
              <w:rPr>
                <w:color w:val="000000"/>
                <w:sz w:val="24"/>
                <w:szCs w:val="24"/>
              </w:rPr>
              <w:t>Systèmes de Sécurité Incendie (S.S.I.) - Dispositifs Actionnés de Sécurité (D.A.S.) - Porte battante à fermeture automatique ;</w:t>
            </w:r>
          </w:p>
        </w:tc>
      </w:tr>
      <w:tr w:rsidR="001D24D9" w:rsidRPr="0043547B" w:rsidTr="00566A17">
        <w:trPr>
          <w:gridBefore w:val="1"/>
          <w:wBefore w:w="18" w:type="dxa"/>
          <w:trHeight w:val="873"/>
          <w:jc w:val="center"/>
        </w:trPr>
        <w:tc>
          <w:tcPr>
            <w:tcW w:w="1856" w:type="dxa"/>
            <w:tcBorders>
              <w:top w:val="single" w:sz="4" w:space="0" w:color="auto"/>
              <w:left w:val="single" w:sz="18" w:space="0" w:color="auto"/>
              <w:bottom w:val="single" w:sz="18" w:space="0" w:color="auto"/>
              <w:right w:val="single" w:sz="8" w:space="0" w:color="auto"/>
            </w:tcBorders>
            <w:shd w:val="clear" w:color="000000" w:fill="D9D9D9"/>
            <w:vAlign w:val="center"/>
          </w:tcPr>
          <w:p w:rsidR="001D24D9" w:rsidRPr="006B5B9D" w:rsidRDefault="001D24D9" w:rsidP="00464910">
            <w:pPr>
              <w:spacing w:after="0" w:line="240" w:lineRule="auto"/>
              <w:jc w:val="center"/>
              <w:rPr>
                <w:rFonts w:ascii="Calibri" w:hAnsi="Calibri" w:cs="Calibri"/>
                <w:b/>
                <w:bCs/>
                <w:sz w:val="24"/>
                <w:szCs w:val="24"/>
              </w:rPr>
            </w:pPr>
            <w:r w:rsidRPr="006B5B9D">
              <w:rPr>
                <w:rFonts w:ascii="Calibri" w:hAnsi="Calibri" w:cs="Calibri"/>
                <w:b/>
                <w:bCs/>
                <w:sz w:val="24"/>
                <w:szCs w:val="24"/>
              </w:rPr>
              <w:t>Domaine d’application :</w:t>
            </w:r>
          </w:p>
        </w:tc>
        <w:tc>
          <w:tcPr>
            <w:tcW w:w="7938" w:type="dxa"/>
            <w:tcBorders>
              <w:top w:val="single" w:sz="4" w:space="0" w:color="auto"/>
              <w:bottom w:val="single" w:sz="18" w:space="0" w:color="auto"/>
              <w:right w:val="single" w:sz="18" w:space="0" w:color="auto"/>
            </w:tcBorders>
            <w:shd w:val="clear" w:color="auto" w:fill="auto"/>
            <w:vAlign w:val="bottom"/>
          </w:tcPr>
          <w:p w:rsidR="001D24D9" w:rsidRPr="006B5B9D" w:rsidRDefault="001D24D9" w:rsidP="00330314">
            <w:pPr>
              <w:spacing w:after="0" w:line="240" w:lineRule="auto"/>
              <w:jc w:val="both"/>
              <w:rPr>
                <w:rFonts w:ascii="Times New Roman" w:hAnsi="Times New Roman" w:cs="Times New Roman"/>
                <w:color w:val="000000"/>
                <w:sz w:val="24"/>
                <w:szCs w:val="24"/>
              </w:rPr>
            </w:pPr>
            <w:r w:rsidRPr="006B5B9D">
              <w:rPr>
                <w:color w:val="000000"/>
                <w:sz w:val="24"/>
                <w:szCs w:val="24"/>
              </w:rPr>
              <w:t>La présente norme a pour objet de fixer les conditions de fonctionnement ainsi que les caractéristiques générales</w:t>
            </w:r>
            <w:r w:rsidR="00330314">
              <w:rPr>
                <w:color w:val="000000"/>
                <w:sz w:val="24"/>
                <w:szCs w:val="24"/>
              </w:rPr>
              <w:t xml:space="preserve"> </w:t>
            </w:r>
            <w:r w:rsidRPr="006B5B9D">
              <w:rPr>
                <w:color w:val="000000"/>
                <w:sz w:val="24"/>
                <w:szCs w:val="24"/>
              </w:rPr>
              <w:t>et prescriptions particulières relatives aux D.A.S : «Porte battante à fermeture automatique».</w:t>
            </w:r>
          </w:p>
        </w:tc>
      </w:tr>
      <w:tr w:rsidR="001D24D9" w:rsidRPr="0043547B" w:rsidTr="00330314">
        <w:trPr>
          <w:gridBefore w:val="1"/>
          <w:wBefore w:w="18" w:type="dxa"/>
          <w:trHeight w:val="482"/>
          <w:jc w:val="center"/>
        </w:trPr>
        <w:tc>
          <w:tcPr>
            <w:tcW w:w="1856" w:type="dxa"/>
            <w:tcBorders>
              <w:top w:val="single" w:sz="4" w:space="0" w:color="auto"/>
              <w:left w:val="single" w:sz="18" w:space="0" w:color="auto"/>
              <w:bottom w:val="single" w:sz="18" w:space="0" w:color="auto"/>
              <w:right w:val="single" w:sz="8" w:space="0" w:color="auto"/>
            </w:tcBorders>
            <w:shd w:val="clear" w:color="auto" w:fill="C2D69B" w:themeFill="accent3" w:themeFillTint="99"/>
            <w:vAlign w:val="center"/>
          </w:tcPr>
          <w:p w:rsidR="001D24D9" w:rsidRPr="006B5B9D" w:rsidRDefault="00330314" w:rsidP="00464910">
            <w:pPr>
              <w:spacing w:after="0" w:line="240" w:lineRule="auto"/>
              <w:jc w:val="center"/>
              <w:rPr>
                <w:rFonts w:ascii="Calibri" w:hAnsi="Calibri" w:cs="Calibri"/>
                <w:b/>
                <w:bCs/>
                <w:sz w:val="24"/>
                <w:szCs w:val="24"/>
              </w:rPr>
            </w:pPr>
            <w:r w:rsidRPr="006B5B9D">
              <w:rPr>
                <w:rFonts w:ascii="Calibri" w:hAnsi="Calibri" w:cs="Calibri"/>
                <w:b/>
                <w:bCs/>
                <w:sz w:val="24"/>
                <w:szCs w:val="24"/>
              </w:rPr>
              <w:t>Code :</w:t>
            </w:r>
          </w:p>
        </w:tc>
        <w:tc>
          <w:tcPr>
            <w:tcW w:w="7938" w:type="dxa"/>
            <w:tcBorders>
              <w:top w:val="single" w:sz="4" w:space="0" w:color="auto"/>
              <w:bottom w:val="single" w:sz="18" w:space="0" w:color="auto"/>
              <w:right w:val="single" w:sz="18" w:space="0" w:color="auto"/>
            </w:tcBorders>
            <w:shd w:val="clear" w:color="auto" w:fill="C2D69B" w:themeFill="accent3" w:themeFillTint="99"/>
            <w:vAlign w:val="center"/>
          </w:tcPr>
          <w:p w:rsidR="001D24D9" w:rsidRPr="00330314" w:rsidRDefault="001D24D9" w:rsidP="00330314">
            <w:pPr>
              <w:spacing w:after="0" w:line="240" w:lineRule="auto"/>
              <w:jc w:val="center"/>
              <w:rPr>
                <w:rFonts w:ascii="Times New Roman" w:hAnsi="Times New Roman" w:cs="Times New Roman"/>
                <w:b/>
                <w:bCs/>
                <w:color w:val="000000"/>
                <w:sz w:val="24"/>
                <w:szCs w:val="24"/>
              </w:rPr>
            </w:pPr>
            <w:r w:rsidRPr="00330314">
              <w:rPr>
                <w:b/>
                <w:bCs/>
                <w:color w:val="000000"/>
                <w:sz w:val="24"/>
                <w:szCs w:val="24"/>
              </w:rPr>
              <w:t>NM 21.9.134</w:t>
            </w:r>
          </w:p>
        </w:tc>
      </w:tr>
      <w:tr w:rsidR="001D24D9" w:rsidRPr="0043547B" w:rsidTr="00566A17">
        <w:trPr>
          <w:gridBefore w:val="1"/>
          <w:wBefore w:w="18" w:type="dxa"/>
          <w:trHeight w:val="512"/>
          <w:jc w:val="center"/>
        </w:trPr>
        <w:tc>
          <w:tcPr>
            <w:tcW w:w="1856" w:type="dxa"/>
            <w:tcBorders>
              <w:top w:val="single" w:sz="4" w:space="0" w:color="auto"/>
              <w:left w:val="single" w:sz="18" w:space="0" w:color="auto"/>
              <w:bottom w:val="single" w:sz="18" w:space="0" w:color="auto"/>
              <w:right w:val="single" w:sz="8" w:space="0" w:color="auto"/>
            </w:tcBorders>
            <w:shd w:val="clear" w:color="auto" w:fill="FFFF99"/>
            <w:vAlign w:val="center"/>
          </w:tcPr>
          <w:p w:rsidR="001D24D9" w:rsidRPr="006B5B9D" w:rsidRDefault="001D24D9" w:rsidP="00464910">
            <w:pPr>
              <w:spacing w:after="0" w:line="240" w:lineRule="auto"/>
              <w:jc w:val="center"/>
              <w:rPr>
                <w:rFonts w:ascii="Calibri" w:hAnsi="Calibri" w:cs="Calibri"/>
                <w:b/>
                <w:bCs/>
                <w:sz w:val="24"/>
                <w:szCs w:val="24"/>
              </w:rPr>
            </w:pPr>
            <w:r w:rsidRPr="006B5B9D">
              <w:rPr>
                <w:rFonts w:ascii="Calibri" w:hAnsi="Calibri" w:cs="Calibri"/>
                <w:b/>
                <w:bCs/>
                <w:sz w:val="24"/>
                <w:szCs w:val="24"/>
              </w:rPr>
              <w:t>Equivalence :</w:t>
            </w:r>
          </w:p>
        </w:tc>
        <w:tc>
          <w:tcPr>
            <w:tcW w:w="7938" w:type="dxa"/>
            <w:tcBorders>
              <w:top w:val="single" w:sz="4" w:space="0" w:color="auto"/>
              <w:bottom w:val="single" w:sz="18" w:space="0" w:color="auto"/>
              <w:right w:val="single" w:sz="18" w:space="0" w:color="auto"/>
            </w:tcBorders>
            <w:shd w:val="clear" w:color="auto" w:fill="FFFF99"/>
            <w:vAlign w:val="center"/>
          </w:tcPr>
          <w:p w:rsidR="001D24D9" w:rsidRPr="00330314" w:rsidRDefault="001D24D9" w:rsidP="00330314">
            <w:pPr>
              <w:spacing w:after="0" w:line="240" w:lineRule="auto"/>
              <w:jc w:val="center"/>
              <w:rPr>
                <w:rFonts w:ascii="Times New Roman" w:hAnsi="Times New Roman" w:cs="Times New Roman"/>
                <w:b/>
                <w:bCs/>
                <w:color w:val="000000"/>
                <w:sz w:val="24"/>
                <w:szCs w:val="24"/>
              </w:rPr>
            </w:pPr>
            <w:r w:rsidRPr="00330314">
              <w:rPr>
                <w:b/>
                <w:bCs/>
                <w:color w:val="000000"/>
                <w:sz w:val="24"/>
                <w:szCs w:val="24"/>
              </w:rPr>
              <w:t>NF S 61-937-3</w:t>
            </w:r>
          </w:p>
        </w:tc>
      </w:tr>
      <w:tr w:rsidR="001D24D9" w:rsidRPr="0043547B" w:rsidTr="00566A17">
        <w:trPr>
          <w:gridBefore w:val="1"/>
          <w:wBefore w:w="18" w:type="dxa"/>
          <w:trHeight w:val="486"/>
          <w:jc w:val="center"/>
        </w:trPr>
        <w:tc>
          <w:tcPr>
            <w:tcW w:w="1856" w:type="dxa"/>
            <w:tcBorders>
              <w:top w:val="single" w:sz="18" w:space="0" w:color="auto"/>
              <w:left w:val="single" w:sz="18" w:space="0" w:color="auto"/>
              <w:bottom w:val="single" w:sz="4" w:space="0" w:color="auto"/>
              <w:right w:val="single" w:sz="8" w:space="0" w:color="auto"/>
            </w:tcBorders>
            <w:shd w:val="clear" w:color="auto" w:fill="95B3D7" w:themeFill="accent1" w:themeFillTint="99"/>
            <w:vAlign w:val="center"/>
          </w:tcPr>
          <w:p w:rsidR="001D24D9" w:rsidRPr="006B5B9D" w:rsidRDefault="001D24D9" w:rsidP="00464910">
            <w:pPr>
              <w:spacing w:after="0" w:line="240" w:lineRule="auto"/>
              <w:jc w:val="center"/>
              <w:rPr>
                <w:rFonts w:ascii="Calibri" w:hAnsi="Calibri" w:cs="Calibri"/>
                <w:b/>
                <w:bCs/>
                <w:sz w:val="24"/>
                <w:szCs w:val="24"/>
              </w:rPr>
            </w:pPr>
            <w:r w:rsidRPr="006B5B9D">
              <w:rPr>
                <w:rFonts w:ascii="Calibri" w:hAnsi="Calibri" w:cs="Calibri"/>
                <w:b/>
                <w:bCs/>
                <w:sz w:val="24"/>
                <w:szCs w:val="24"/>
              </w:rPr>
              <w:t>Intitulé :</w:t>
            </w:r>
          </w:p>
        </w:tc>
        <w:tc>
          <w:tcPr>
            <w:tcW w:w="7938" w:type="dxa"/>
            <w:tcBorders>
              <w:top w:val="single" w:sz="18" w:space="0" w:color="auto"/>
              <w:bottom w:val="single" w:sz="4" w:space="0" w:color="auto"/>
              <w:right w:val="single" w:sz="18" w:space="0" w:color="auto"/>
            </w:tcBorders>
            <w:shd w:val="clear" w:color="auto" w:fill="auto"/>
            <w:vAlign w:val="bottom"/>
          </w:tcPr>
          <w:p w:rsidR="001D24D9" w:rsidRPr="006B5B9D" w:rsidRDefault="001D24D9" w:rsidP="006B5B9D">
            <w:pPr>
              <w:spacing w:after="0" w:line="240" w:lineRule="auto"/>
              <w:jc w:val="both"/>
              <w:rPr>
                <w:rFonts w:ascii="Times New Roman" w:hAnsi="Times New Roman" w:cs="Times New Roman"/>
                <w:color w:val="000000"/>
                <w:sz w:val="24"/>
                <w:szCs w:val="24"/>
              </w:rPr>
            </w:pPr>
            <w:r w:rsidRPr="006B5B9D">
              <w:rPr>
                <w:color w:val="000000"/>
                <w:sz w:val="24"/>
                <w:szCs w:val="24"/>
              </w:rPr>
              <w:t xml:space="preserve">Systèmes de Sécurité Incendie (S.S.I.) - Dispositifs Actionnés de Sécurité (D.A.S.) - Porte coulissante à fermeture automatique </w:t>
            </w:r>
          </w:p>
        </w:tc>
      </w:tr>
      <w:tr w:rsidR="001D24D9" w:rsidRPr="0043547B" w:rsidTr="00566A17">
        <w:trPr>
          <w:gridBefore w:val="1"/>
          <w:wBefore w:w="18" w:type="dxa"/>
          <w:trHeight w:val="849"/>
          <w:jc w:val="center"/>
        </w:trPr>
        <w:tc>
          <w:tcPr>
            <w:tcW w:w="1856" w:type="dxa"/>
            <w:tcBorders>
              <w:top w:val="single" w:sz="4" w:space="0" w:color="auto"/>
              <w:left w:val="single" w:sz="18" w:space="0" w:color="auto"/>
              <w:bottom w:val="single" w:sz="18" w:space="0" w:color="auto"/>
              <w:right w:val="single" w:sz="8" w:space="0" w:color="auto"/>
            </w:tcBorders>
            <w:shd w:val="clear" w:color="000000" w:fill="D9D9D9"/>
            <w:vAlign w:val="center"/>
          </w:tcPr>
          <w:p w:rsidR="001D24D9" w:rsidRPr="006B5B9D" w:rsidRDefault="001D24D9" w:rsidP="00464910">
            <w:pPr>
              <w:spacing w:after="0" w:line="240" w:lineRule="auto"/>
              <w:jc w:val="center"/>
              <w:rPr>
                <w:rFonts w:ascii="Calibri" w:hAnsi="Calibri" w:cs="Calibri"/>
                <w:b/>
                <w:bCs/>
                <w:sz w:val="24"/>
                <w:szCs w:val="24"/>
              </w:rPr>
            </w:pPr>
            <w:r w:rsidRPr="006B5B9D">
              <w:rPr>
                <w:rFonts w:ascii="Calibri" w:hAnsi="Calibri" w:cs="Calibri"/>
                <w:b/>
                <w:bCs/>
                <w:sz w:val="24"/>
                <w:szCs w:val="24"/>
              </w:rPr>
              <w:t>Domaine d’application :</w:t>
            </w:r>
          </w:p>
        </w:tc>
        <w:tc>
          <w:tcPr>
            <w:tcW w:w="7938" w:type="dxa"/>
            <w:tcBorders>
              <w:top w:val="single" w:sz="4" w:space="0" w:color="auto"/>
              <w:bottom w:val="single" w:sz="18" w:space="0" w:color="auto"/>
              <w:right w:val="single" w:sz="18" w:space="0" w:color="auto"/>
            </w:tcBorders>
            <w:shd w:val="clear" w:color="auto" w:fill="auto"/>
            <w:vAlign w:val="bottom"/>
          </w:tcPr>
          <w:p w:rsidR="001D24D9" w:rsidRPr="006B5B9D" w:rsidRDefault="001D24D9" w:rsidP="00330314">
            <w:pPr>
              <w:spacing w:after="0" w:line="240" w:lineRule="auto"/>
              <w:jc w:val="both"/>
              <w:rPr>
                <w:rFonts w:ascii="Times New Roman" w:hAnsi="Times New Roman" w:cs="Times New Roman"/>
                <w:color w:val="000000"/>
                <w:sz w:val="24"/>
                <w:szCs w:val="24"/>
              </w:rPr>
            </w:pPr>
            <w:r w:rsidRPr="006B5B9D">
              <w:rPr>
                <w:color w:val="000000"/>
                <w:sz w:val="24"/>
                <w:szCs w:val="24"/>
              </w:rPr>
              <w:t>La présente Norme a pour objet de fixer les conditions de fonctionnement ainsi que les caractéristiques générales</w:t>
            </w:r>
            <w:r w:rsidR="00330314">
              <w:rPr>
                <w:color w:val="000000"/>
                <w:sz w:val="24"/>
                <w:szCs w:val="24"/>
              </w:rPr>
              <w:t xml:space="preserve"> </w:t>
            </w:r>
            <w:r w:rsidRPr="006B5B9D">
              <w:rPr>
                <w:color w:val="000000"/>
                <w:sz w:val="24"/>
                <w:szCs w:val="24"/>
              </w:rPr>
              <w:t>et prescriptions particulières relatives aux D.A.S : «Porte coulissante à fermeture automatique».</w:t>
            </w:r>
          </w:p>
        </w:tc>
      </w:tr>
      <w:tr w:rsidR="001D24D9" w:rsidRPr="0043547B" w:rsidTr="00330314">
        <w:trPr>
          <w:gridBefore w:val="1"/>
          <w:wBefore w:w="18" w:type="dxa"/>
          <w:trHeight w:val="419"/>
          <w:jc w:val="center"/>
        </w:trPr>
        <w:tc>
          <w:tcPr>
            <w:tcW w:w="1856" w:type="dxa"/>
            <w:tcBorders>
              <w:top w:val="single" w:sz="4" w:space="0" w:color="auto"/>
              <w:left w:val="single" w:sz="18" w:space="0" w:color="auto"/>
              <w:bottom w:val="single" w:sz="18" w:space="0" w:color="auto"/>
              <w:right w:val="single" w:sz="8" w:space="0" w:color="auto"/>
            </w:tcBorders>
            <w:shd w:val="clear" w:color="auto" w:fill="C2D69B" w:themeFill="accent3" w:themeFillTint="99"/>
            <w:vAlign w:val="center"/>
          </w:tcPr>
          <w:p w:rsidR="001D24D9" w:rsidRPr="006B5B9D" w:rsidRDefault="001D24D9" w:rsidP="00464910">
            <w:pPr>
              <w:spacing w:after="0" w:line="240" w:lineRule="auto"/>
              <w:jc w:val="center"/>
              <w:rPr>
                <w:rFonts w:ascii="Calibri" w:hAnsi="Calibri" w:cs="Calibri"/>
                <w:b/>
                <w:bCs/>
                <w:sz w:val="24"/>
                <w:szCs w:val="24"/>
              </w:rPr>
            </w:pPr>
            <w:r w:rsidRPr="006B5B9D">
              <w:rPr>
                <w:rFonts w:ascii="Calibri" w:hAnsi="Calibri" w:cs="Calibri"/>
                <w:b/>
                <w:bCs/>
                <w:sz w:val="24"/>
                <w:szCs w:val="24"/>
              </w:rPr>
              <w:t>Code</w:t>
            </w:r>
            <w:r w:rsidR="00307EBA">
              <w:rPr>
                <w:rFonts w:ascii="Calibri" w:hAnsi="Calibri" w:cs="Calibri"/>
                <w:b/>
                <w:bCs/>
                <w:sz w:val="24"/>
                <w:szCs w:val="24"/>
              </w:rPr>
              <w:t xml:space="preserve"> </w:t>
            </w:r>
            <w:r w:rsidRPr="006B5B9D">
              <w:rPr>
                <w:rFonts w:ascii="Calibri" w:hAnsi="Calibri" w:cs="Calibri"/>
                <w:b/>
                <w:bCs/>
                <w:sz w:val="24"/>
                <w:szCs w:val="24"/>
              </w:rPr>
              <w:t>:</w:t>
            </w:r>
          </w:p>
        </w:tc>
        <w:tc>
          <w:tcPr>
            <w:tcW w:w="7938" w:type="dxa"/>
            <w:tcBorders>
              <w:top w:val="single" w:sz="4" w:space="0" w:color="auto"/>
              <w:bottom w:val="single" w:sz="18" w:space="0" w:color="auto"/>
              <w:right w:val="single" w:sz="18" w:space="0" w:color="auto"/>
            </w:tcBorders>
            <w:shd w:val="clear" w:color="auto" w:fill="C2D69B" w:themeFill="accent3" w:themeFillTint="99"/>
            <w:vAlign w:val="center"/>
          </w:tcPr>
          <w:p w:rsidR="001D24D9" w:rsidRPr="00330314" w:rsidRDefault="001D24D9" w:rsidP="00330314">
            <w:pPr>
              <w:spacing w:after="0" w:line="240" w:lineRule="auto"/>
              <w:jc w:val="center"/>
              <w:rPr>
                <w:rFonts w:ascii="Times New Roman" w:hAnsi="Times New Roman" w:cs="Times New Roman"/>
                <w:b/>
                <w:bCs/>
                <w:color w:val="000000"/>
                <w:sz w:val="24"/>
                <w:szCs w:val="24"/>
              </w:rPr>
            </w:pPr>
            <w:r w:rsidRPr="00330314">
              <w:rPr>
                <w:b/>
                <w:bCs/>
                <w:color w:val="000000"/>
                <w:sz w:val="24"/>
                <w:szCs w:val="24"/>
              </w:rPr>
              <w:t>NM 21.9.135</w:t>
            </w:r>
          </w:p>
        </w:tc>
      </w:tr>
      <w:tr w:rsidR="001D24D9" w:rsidRPr="0043547B" w:rsidTr="00566A17">
        <w:trPr>
          <w:gridBefore w:val="1"/>
          <w:wBefore w:w="18" w:type="dxa"/>
          <w:trHeight w:val="380"/>
          <w:jc w:val="center"/>
        </w:trPr>
        <w:tc>
          <w:tcPr>
            <w:tcW w:w="1856" w:type="dxa"/>
            <w:tcBorders>
              <w:top w:val="single" w:sz="4" w:space="0" w:color="auto"/>
              <w:left w:val="single" w:sz="18" w:space="0" w:color="auto"/>
              <w:bottom w:val="single" w:sz="18" w:space="0" w:color="auto"/>
              <w:right w:val="single" w:sz="8" w:space="0" w:color="auto"/>
            </w:tcBorders>
            <w:shd w:val="clear" w:color="auto" w:fill="FFFF99"/>
            <w:vAlign w:val="center"/>
          </w:tcPr>
          <w:p w:rsidR="001D24D9" w:rsidRPr="006B5B9D" w:rsidRDefault="001D24D9" w:rsidP="00464910">
            <w:pPr>
              <w:spacing w:after="0" w:line="240" w:lineRule="auto"/>
              <w:jc w:val="center"/>
              <w:rPr>
                <w:rFonts w:ascii="Calibri" w:hAnsi="Calibri" w:cs="Calibri"/>
                <w:b/>
                <w:bCs/>
                <w:sz w:val="24"/>
                <w:szCs w:val="24"/>
              </w:rPr>
            </w:pPr>
            <w:r w:rsidRPr="006B5B9D">
              <w:rPr>
                <w:rFonts w:ascii="Calibri" w:hAnsi="Calibri" w:cs="Calibri"/>
                <w:b/>
                <w:bCs/>
                <w:sz w:val="24"/>
                <w:szCs w:val="24"/>
              </w:rPr>
              <w:t>Equivalence :</w:t>
            </w:r>
          </w:p>
        </w:tc>
        <w:tc>
          <w:tcPr>
            <w:tcW w:w="7938" w:type="dxa"/>
            <w:tcBorders>
              <w:top w:val="single" w:sz="4" w:space="0" w:color="auto"/>
              <w:bottom w:val="single" w:sz="18" w:space="0" w:color="auto"/>
              <w:right w:val="single" w:sz="18" w:space="0" w:color="auto"/>
            </w:tcBorders>
            <w:shd w:val="clear" w:color="auto" w:fill="FFFF99"/>
            <w:vAlign w:val="center"/>
          </w:tcPr>
          <w:p w:rsidR="001D24D9" w:rsidRPr="00330314" w:rsidRDefault="001D24D9" w:rsidP="00330314">
            <w:pPr>
              <w:spacing w:after="0" w:line="240" w:lineRule="auto"/>
              <w:jc w:val="center"/>
              <w:rPr>
                <w:rFonts w:ascii="Times New Roman" w:hAnsi="Times New Roman" w:cs="Times New Roman"/>
                <w:b/>
                <w:bCs/>
                <w:color w:val="000000"/>
                <w:sz w:val="24"/>
                <w:szCs w:val="24"/>
              </w:rPr>
            </w:pPr>
            <w:r w:rsidRPr="00330314">
              <w:rPr>
                <w:b/>
                <w:bCs/>
                <w:color w:val="000000"/>
                <w:sz w:val="24"/>
                <w:szCs w:val="24"/>
              </w:rPr>
              <w:t>NF S 61-937-4</w:t>
            </w:r>
          </w:p>
        </w:tc>
      </w:tr>
      <w:tr w:rsidR="001D24D9" w:rsidRPr="0043547B" w:rsidTr="00566A17">
        <w:trPr>
          <w:gridBefore w:val="1"/>
          <w:wBefore w:w="18" w:type="dxa"/>
          <w:trHeight w:val="657"/>
          <w:jc w:val="center"/>
        </w:trPr>
        <w:tc>
          <w:tcPr>
            <w:tcW w:w="1856" w:type="dxa"/>
            <w:tcBorders>
              <w:top w:val="single" w:sz="18" w:space="0" w:color="auto"/>
              <w:left w:val="single" w:sz="18" w:space="0" w:color="auto"/>
              <w:bottom w:val="single" w:sz="4" w:space="0" w:color="auto"/>
              <w:right w:val="single" w:sz="8" w:space="0" w:color="auto"/>
            </w:tcBorders>
            <w:shd w:val="clear" w:color="auto" w:fill="95B3D7" w:themeFill="accent1" w:themeFillTint="99"/>
            <w:vAlign w:val="center"/>
          </w:tcPr>
          <w:p w:rsidR="001D24D9" w:rsidRPr="006B5B9D" w:rsidRDefault="001D24D9" w:rsidP="00464910">
            <w:pPr>
              <w:spacing w:after="0" w:line="240" w:lineRule="auto"/>
              <w:jc w:val="center"/>
              <w:rPr>
                <w:rFonts w:ascii="Calibri" w:hAnsi="Calibri" w:cs="Calibri"/>
                <w:b/>
                <w:bCs/>
                <w:sz w:val="24"/>
                <w:szCs w:val="24"/>
              </w:rPr>
            </w:pPr>
            <w:r w:rsidRPr="006B5B9D">
              <w:rPr>
                <w:rFonts w:ascii="Calibri" w:hAnsi="Calibri" w:cs="Calibri"/>
                <w:b/>
                <w:bCs/>
                <w:sz w:val="24"/>
                <w:szCs w:val="24"/>
              </w:rPr>
              <w:t>Intitulé :</w:t>
            </w:r>
          </w:p>
        </w:tc>
        <w:tc>
          <w:tcPr>
            <w:tcW w:w="7938" w:type="dxa"/>
            <w:tcBorders>
              <w:top w:val="single" w:sz="18" w:space="0" w:color="auto"/>
              <w:bottom w:val="single" w:sz="4" w:space="0" w:color="auto"/>
              <w:right w:val="single" w:sz="18" w:space="0" w:color="auto"/>
            </w:tcBorders>
            <w:shd w:val="clear" w:color="auto" w:fill="auto"/>
            <w:vAlign w:val="bottom"/>
          </w:tcPr>
          <w:p w:rsidR="001D24D9" w:rsidRPr="006B5B9D" w:rsidRDefault="001D24D9" w:rsidP="006B5B9D">
            <w:pPr>
              <w:spacing w:after="0" w:line="240" w:lineRule="auto"/>
              <w:jc w:val="both"/>
              <w:rPr>
                <w:rFonts w:ascii="Times New Roman" w:hAnsi="Times New Roman" w:cs="Times New Roman"/>
                <w:color w:val="000000"/>
                <w:sz w:val="24"/>
                <w:szCs w:val="24"/>
              </w:rPr>
            </w:pPr>
            <w:r w:rsidRPr="006B5B9D">
              <w:rPr>
                <w:color w:val="000000"/>
                <w:sz w:val="24"/>
                <w:szCs w:val="24"/>
              </w:rPr>
              <w:t>Systèmes de Sécurité Incendie (S.S.I.) - Dispositifs actionnés de Sécurité (D.A.S.) - Rideau et porte à dévêtissement vertical ;</w:t>
            </w:r>
          </w:p>
        </w:tc>
      </w:tr>
      <w:tr w:rsidR="001D24D9" w:rsidRPr="0043547B" w:rsidTr="00566A17">
        <w:trPr>
          <w:gridBefore w:val="1"/>
          <w:wBefore w:w="18" w:type="dxa"/>
          <w:trHeight w:val="950"/>
          <w:jc w:val="center"/>
        </w:trPr>
        <w:tc>
          <w:tcPr>
            <w:tcW w:w="1856" w:type="dxa"/>
            <w:tcBorders>
              <w:top w:val="single" w:sz="4" w:space="0" w:color="auto"/>
              <w:left w:val="single" w:sz="18" w:space="0" w:color="auto"/>
              <w:bottom w:val="single" w:sz="18" w:space="0" w:color="auto"/>
              <w:right w:val="single" w:sz="8" w:space="0" w:color="auto"/>
            </w:tcBorders>
            <w:shd w:val="clear" w:color="000000" w:fill="D9D9D9"/>
            <w:vAlign w:val="center"/>
          </w:tcPr>
          <w:p w:rsidR="001D24D9" w:rsidRPr="006B5B9D" w:rsidRDefault="001D24D9" w:rsidP="00464910">
            <w:pPr>
              <w:spacing w:after="0" w:line="240" w:lineRule="auto"/>
              <w:jc w:val="center"/>
              <w:rPr>
                <w:rFonts w:ascii="Calibri" w:hAnsi="Calibri" w:cs="Calibri"/>
                <w:b/>
                <w:bCs/>
                <w:sz w:val="24"/>
                <w:szCs w:val="24"/>
              </w:rPr>
            </w:pPr>
            <w:r w:rsidRPr="006B5B9D">
              <w:rPr>
                <w:rFonts w:ascii="Calibri" w:hAnsi="Calibri" w:cs="Calibri"/>
                <w:b/>
                <w:bCs/>
                <w:sz w:val="24"/>
                <w:szCs w:val="24"/>
              </w:rPr>
              <w:t>Domaine d’application :</w:t>
            </w:r>
          </w:p>
        </w:tc>
        <w:tc>
          <w:tcPr>
            <w:tcW w:w="7938" w:type="dxa"/>
            <w:tcBorders>
              <w:top w:val="single" w:sz="4" w:space="0" w:color="auto"/>
              <w:bottom w:val="single" w:sz="18" w:space="0" w:color="auto"/>
              <w:right w:val="single" w:sz="18" w:space="0" w:color="auto"/>
            </w:tcBorders>
            <w:shd w:val="clear" w:color="auto" w:fill="auto"/>
            <w:vAlign w:val="bottom"/>
          </w:tcPr>
          <w:p w:rsidR="001D24D9" w:rsidRPr="006B5B9D" w:rsidRDefault="001D24D9" w:rsidP="00330314">
            <w:pPr>
              <w:spacing w:after="0" w:line="240" w:lineRule="auto"/>
              <w:jc w:val="both"/>
              <w:rPr>
                <w:rFonts w:ascii="Times New Roman" w:hAnsi="Times New Roman" w:cs="Times New Roman"/>
                <w:color w:val="000000"/>
                <w:sz w:val="24"/>
                <w:szCs w:val="24"/>
              </w:rPr>
            </w:pPr>
            <w:r w:rsidRPr="006B5B9D">
              <w:rPr>
                <w:color w:val="000000"/>
                <w:sz w:val="24"/>
                <w:szCs w:val="24"/>
              </w:rPr>
              <w:t>La présente norme à pour objet de fixer les conditions de fonctionnement ainsi que les caractéristiques générales</w:t>
            </w:r>
            <w:r w:rsidR="00330314">
              <w:rPr>
                <w:color w:val="000000"/>
                <w:sz w:val="24"/>
                <w:szCs w:val="24"/>
              </w:rPr>
              <w:t xml:space="preserve"> </w:t>
            </w:r>
            <w:r w:rsidRPr="006B5B9D">
              <w:rPr>
                <w:color w:val="000000"/>
                <w:sz w:val="24"/>
                <w:szCs w:val="24"/>
              </w:rPr>
              <w:t>et prescriptions particulières relatives aux D.A.S : «Rideau et porte verticale à dévêtissement vertical».</w:t>
            </w:r>
          </w:p>
        </w:tc>
      </w:tr>
      <w:tr w:rsidR="001D24D9" w:rsidRPr="0043547B" w:rsidTr="00330314">
        <w:trPr>
          <w:gridBefore w:val="1"/>
          <w:wBefore w:w="18" w:type="dxa"/>
          <w:trHeight w:val="383"/>
          <w:jc w:val="center"/>
        </w:trPr>
        <w:tc>
          <w:tcPr>
            <w:tcW w:w="1856" w:type="dxa"/>
            <w:tcBorders>
              <w:top w:val="single" w:sz="4" w:space="0" w:color="auto"/>
              <w:left w:val="single" w:sz="18" w:space="0" w:color="auto"/>
              <w:bottom w:val="single" w:sz="18" w:space="0" w:color="auto"/>
              <w:right w:val="single" w:sz="8" w:space="0" w:color="auto"/>
            </w:tcBorders>
            <w:shd w:val="clear" w:color="auto" w:fill="C2D69B" w:themeFill="accent3" w:themeFillTint="99"/>
            <w:vAlign w:val="center"/>
          </w:tcPr>
          <w:p w:rsidR="001D24D9" w:rsidRPr="006B5B9D" w:rsidRDefault="001D24D9" w:rsidP="00464910">
            <w:pPr>
              <w:spacing w:after="0" w:line="240" w:lineRule="auto"/>
              <w:jc w:val="center"/>
              <w:rPr>
                <w:rFonts w:ascii="Calibri" w:hAnsi="Calibri" w:cs="Calibri"/>
                <w:b/>
                <w:bCs/>
                <w:sz w:val="24"/>
                <w:szCs w:val="24"/>
              </w:rPr>
            </w:pPr>
            <w:r w:rsidRPr="006B5B9D">
              <w:rPr>
                <w:rFonts w:ascii="Calibri" w:hAnsi="Calibri" w:cs="Calibri"/>
                <w:b/>
                <w:bCs/>
                <w:sz w:val="24"/>
                <w:szCs w:val="24"/>
              </w:rPr>
              <w:t>Code :</w:t>
            </w:r>
          </w:p>
        </w:tc>
        <w:tc>
          <w:tcPr>
            <w:tcW w:w="7938" w:type="dxa"/>
            <w:tcBorders>
              <w:top w:val="single" w:sz="4" w:space="0" w:color="auto"/>
              <w:bottom w:val="single" w:sz="18" w:space="0" w:color="auto"/>
              <w:right w:val="single" w:sz="18" w:space="0" w:color="auto"/>
            </w:tcBorders>
            <w:shd w:val="clear" w:color="auto" w:fill="C2D69B" w:themeFill="accent3" w:themeFillTint="99"/>
            <w:vAlign w:val="center"/>
          </w:tcPr>
          <w:p w:rsidR="001D24D9" w:rsidRPr="00330314" w:rsidRDefault="001D24D9" w:rsidP="00330314">
            <w:pPr>
              <w:spacing w:after="0" w:line="240" w:lineRule="auto"/>
              <w:jc w:val="center"/>
              <w:rPr>
                <w:rFonts w:ascii="Times New Roman" w:hAnsi="Times New Roman" w:cs="Times New Roman"/>
                <w:b/>
                <w:bCs/>
                <w:color w:val="000000"/>
                <w:sz w:val="24"/>
                <w:szCs w:val="24"/>
              </w:rPr>
            </w:pPr>
            <w:r w:rsidRPr="00330314">
              <w:rPr>
                <w:b/>
                <w:bCs/>
                <w:color w:val="000000"/>
                <w:sz w:val="24"/>
                <w:szCs w:val="24"/>
              </w:rPr>
              <w:t>NM 21.9.136</w:t>
            </w:r>
          </w:p>
        </w:tc>
      </w:tr>
      <w:tr w:rsidR="001D24D9" w:rsidRPr="0043547B" w:rsidTr="00566A17">
        <w:trPr>
          <w:gridBefore w:val="1"/>
          <w:wBefore w:w="18" w:type="dxa"/>
          <w:trHeight w:val="376"/>
          <w:jc w:val="center"/>
        </w:trPr>
        <w:tc>
          <w:tcPr>
            <w:tcW w:w="1856" w:type="dxa"/>
            <w:tcBorders>
              <w:top w:val="single" w:sz="4" w:space="0" w:color="auto"/>
              <w:left w:val="single" w:sz="18" w:space="0" w:color="auto"/>
              <w:bottom w:val="single" w:sz="18" w:space="0" w:color="auto"/>
              <w:right w:val="single" w:sz="8" w:space="0" w:color="auto"/>
            </w:tcBorders>
            <w:shd w:val="clear" w:color="auto" w:fill="FFFF99"/>
            <w:vAlign w:val="center"/>
          </w:tcPr>
          <w:p w:rsidR="001D24D9" w:rsidRPr="006B5B9D" w:rsidRDefault="001D24D9" w:rsidP="00464910">
            <w:pPr>
              <w:spacing w:after="0" w:line="240" w:lineRule="auto"/>
              <w:jc w:val="center"/>
              <w:rPr>
                <w:rFonts w:ascii="Calibri" w:hAnsi="Calibri" w:cs="Calibri"/>
                <w:b/>
                <w:bCs/>
                <w:sz w:val="24"/>
                <w:szCs w:val="24"/>
              </w:rPr>
            </w:pPr>
            <w:r w:rsidRPr="006B5B9D">
              <w:rPr>
                <w:rFonts w:ascii="Calibri" w:hAnsi="Calibri" w:cs="Calibri"/>
                <w:b/>
                <w:bCs/>
                <w:sz w:val="24"/>
                <w:szCs w:val="24"/>
              </w:rPr>
              <w:t>Equivalence :</w:t>
            </w:r>
          </w:p>
        </w:tc>
        <w:tc>
          <w:tcPr>
            <w:tcW w:w="7938" w:type="dxa"/>
            <w:tcBorders>
              <w:top w:val="single" w:sz="4" w:space="0" w:color="auto"/>
              <w:bottom w:val="single" w:sz="18" w:space="0" w:color="auto"/>
              <w:right w:val="single" w:sz="18" w:space="0" w:color="auto"/>
            </w:tcBorders>
            <w:shd w:val="clear" w:color="auto" w:fill="FFFF99"/>
            <w:vAlign w:val="center"/>
          </w:tcPr>
          <w:p w:rsidR="001D24D9" w:rsidRPr="00330314" w:rsidRDefault="001D24D9" w:rsidP="00330314">
            <w:pPr>
              <w:spacing w:after="0" w:line="240" w:lineRule="auto"/>
              <w:jc w:val="center"/>
              <w:rPr>
                <w:rFonts w:ascii="Times New Roman" w:hAnsi="Times New Roman" w:cs="Times New Roman"/>
                <w:b/>
                <w:bCs/>
                <w:color w:val="000000"/>
                <w:sz w:val="24"/>
                <w:szCs w:val="24"/>
              </w:rPr>
            </w:pPr>
            <w:r w:rsidRPr="00330314">
              <w:rPr>
                <w:b/>
                <w:bCs/>
                <w:color w:val="000000"/>
                <w:sz w:val="24"/>
                <w:szCs w:val="24"/>
              </w:rPr>
              <w:t>NF S 61-937-5</w:t>
            </w:r>
          </w:p>
        </w:tc>
      </w:tr>
      <w:tr w:rsidR="001D24D9" w:rsidRPr="0043547B" w:rsidTr="00566A17">
        <w:trPr>
          <w:gridBefore w:val="1"/>
          <w:wBefore w:w="18" w:type="dxa"/>
          <w:trHeight w:val="703"/>
          <w:jc w:val="center"/>
        </w:trPr>
        <w:tc>
          <w:tcPr>
            <w:tcW w:w="1856" w:type="dxa"/>
            <w:tcBorders>
              <w:top w:val="single" w:sz="18" w:space="0" w:color="auto"/>
              <w:left w:val="single" w:sz="18" w:space="0" w:color="auto"/>
              <w:bottom w:val="single" w:sz="4" w:space="0" w:color="auto"/>
              <w:right w:val="single" w:sz="8" w:space="0" w:color="auto"/>
            </w:tcBorders>
            <w:shd w:val="clear" w:color="auto" w:fill="95B3D7" w:themeFill="accent1" w:themeFillTint="99"/>
            <w:vAlign w:val="center"/>
          </w:tcPr>
          <w:p w:rsidR="001D24D9" w:rsidRPr="006B5B9D" w:rsidRDefault="001D24D9" w:rsidP="00464910">
            <w:pPr>
              <w:spacing w:after="0" w:line="240" w:lineRule="auto"/>
              <w:jc w:val="center"/>
              <w:rPr>
                <w:rFonts w:ascii="Calibri" w:hAnsi="Calibri" w:cs="Calibri"/>
                <w:b/>
                <w:bCs/>
                <w:sz w:val="24"/>
                <w:szCs w:val="24"/>
              </w:rPr>
            </w:pPr>
            <w:r w:rsidRPr="006B5B9D">
              <w:rPr>
                <w:rFonts w:ascii="Calibri" w:hAnsi="Calibri" w:cs="Calibri"/>
                <w:b/>
                <w:bCs/>
                <w:sz w:val="24"/>
                <w:szCs w:val="24"/>
              </w:rPr>
              <w:t>Intitulé :</w:t>
            </w:r>
          </w:p>
        </w:tc>
        <w:tc>
          <w:tcPr>
            <w:tcW w:w="7938" w:type="dxa"/>
            <w:tcBorders>
              <w:top w:val="single" w:sz="18" w:space="0" w:color="auto"/>
              <w:bottom w:val="single" w:sz="4" w:space="0" w:color="auto"/>
              <w:right w:val="single" w:sz="18" w:space="0" w:color="auto"/>
            </w:tcBorders>
            <w:shd w:val="clear" w:color="auto" w:fill="auto"/>
            <w:vAlign w:val="bottom"/>
          </w:tcPr>
          <w:p w:rsidR="001D24D9" w:rsidRPr="006B5B9D" w:rsidRDefault="001D24D9" w:rsidP="006B5B9D">
            <w:pPr>
              <w:spacing w:after="0" w:line="240" w:lineRule="auto"/>
              <w:jc w:val="both"/>
              <w:rPr>
                <w:rFonts w:ascii="Times New Roman" w:hAnsi="Times New Roman" w:cs="Times New Roman"/>
                <w:color w:val="000000"/>
                <w:sz w:val="24"/>
                <w:szCs w:val="24"/>
              </w:rPr>
            </w:pPr>
            <w:r w:rsidRPr="006B5B9D">
              <w:rPr>
                <w:color w:val="000000"/>
                <w:sz w:val="24"/>
                <w:szCs w:val="24"/>
              </w:rPr>
              <w:t>Systèmes de Sécurité Incendie (S.S.I.) - Dispositifs Actionnés de Sécurité (D.A.S.) - Compatibilité pour intégration dans un S.S.I. des clapets coupe-feu ;</w:t>
            </w:r>
          </w:p>
        </w:tc>
      </w:tr>
      <w:tr w:rsidR="001D24D9" w:rsidRPr="0043547B" w:rsidTr="00566A17">
        <w:trPr>
          <w:gridBefore w:val="1"/>
          <w:wBefore w:w="18" w:type="dxa"/>
          <w:trHeight w:val="1484"/>
          <w:jc w:val="center"/>
        </w:trPr>
        <w:tc>
          <w:tcPr>
            <w:tcW w:w="1856" w:type="dxa"/>
            <w:tcBorders>
              <w:top w:val="single" w:sz="4" w:space="0" w:color="auto"/>
              <w:left w:val="single" w:sz="18" w:space="0" w:color="auto"/>
              <w:bottom w:val="single" w:sz="18" w:space="0" w:color="auto"/>
              <w:right w:val="single" w:sz="8" w:space="0" w:color="auto"/>
            </w:tcBorders>
            <w:shd w:val="clear" w:color="000000" w:fill="D9D9D9"/>
            <w:vAlign w:val="center"/>
          </w:tcPr>
          <w:p w:rsidR="001D24D9" w:rsidRPr="006B5B9D" w:rsidRDefault="001D24D9" w:rsidP="00464910">
            <w:pPr>
              <w:spacing w:after="0" w:line="240" w:lineRule="auto"/>
              <w:jc w:val="center"/>
              <w:rPr>
                <w:rFonts w:ascii="Calibri" w:hAnsi="Calibri" w:cs="Calibri"/>
                <w:b/>
                <w:bCs/>
                <w:sz w:val="24"/>
                <w:szCs w:val="24"/>
              </w:rPr>
            </w:pPr>
            <w:r w:rsidRPr="006B5B9D">
              <w:rPr>
                <w:rFonts w:ascii="Calibri" w:hAnsi="Calibri" w:cs="Calibri"/>
                <w:b/>
                <w:bCs/>
                <w:sz w:val="24"/>
                <w:szCs w:val="24"/>
              </w:rPr>
              <w:t>Domaine d’application :</w:t>
            </w:r>
          </w:p>
        </w:tc>
        <w:tc>
          <w:tcPr>
            <w:tcW w:w="7938" w:type="dxa"/>
            <w:tcBorders>
              <w:top w:val="single" w:sz="4" w:space="0" w:color="auto"/>
              <w:bottom w:val="single" w:sz="18" w:space="0" w:color="auto"/>
              <w:right w:val="single" w:sz="18" w:space="0" w:color="auto"/>
            </w:tcBorders>
            <w:shd w:val="clear" w:color="auto" w:fill="auto"/>
            <w:vAlign w:val="bottom"/>
          </w:tcPr>
          <w:p w:rsidR="001D24D9" w:rsidRPr="006B5B9D" w:rsidRDefault="001D24D9" w:rsidP="00330314">
            <w:pPr>
              <w:spacing w:after="0" w:line="240" w:lineRule="auto"/>
              <w:jc w:val="both"/>
              <w:rPr>
                <w:rFonts w:ascii="Times New Roman" w:hAnsi="Times New Roman" w:cs="Times New Roman"/>
                <w:color w:val="000000"/>
                <w:sz w:val="24"/>
                <w:szCs w:val="24"/>
              </w:rPr>
            </w:pPr>
            <w:r w:rsidRPr="006B5B9D">
              <w:rPr>
                <w:color w:val="000000"/>
                <w:sz w:val="24"/>
                <w:szCs w:val="24"/>
              </w:rPr>
              <w:t>La présente norme a pour objet de fixer les conditions de fonctionnement ainsi que les caractéristiques</w:t>
            </w:r>
            <w:r w:rsidR="00330314">
              <w:rPr>
                <w:color w:val="000000"/>
                <w:sz w:val="24"/>
                <w:szCs w:val="24"/>
              </w:rPr>
              <w:t xml:space="preserve"> </w:t>
            </w:r>
            <w:r w:rsidRPr="006B5B9D">
              <w:rPr>
                <w:color w:val="000000"/>
                <w:sz w:val="24"/>
                <w:szCs w:val="24"/>
              </w:rPr>
              <w:t>générales et prescriptions particulières relatives aux clapets coupe-feu en tant que D.A.S. en vue de leur</w:t>
            </w:r>
            <w:r w:rsidR="00330314">
              <w:rPr>
                <w:color w:val="000000"/>
                <w:sz w:val="24"/>
                <w:szCs w:val="24"/>
              </w:rPr>
              <w:t xml:space="preserve"> </w:t>
            </w:r>
            <w:r w:rsidRPr="006B5B9D">
              <w:rPr>
                <w:color w:val="000000"/>
                <w:sz w:val="24"/>
                <w:szCs w:val="24"/>
              </w:rPr>
              <w:t>intégration dans un S.S.I.</w:t>
            </w:r>
            <w:r w:rsidRPr="006B5B9D">
              <w:rPr>
                <w:color w:val="000000"/>
                <w:sz w:val="24"/>
                <w:szCs w:val="24"/>
              </w:rPr>
              <w:br/>
              <w:t>Les clapets autocommandés et les clapets télécommandés sont définis dans le présent document.</w:t>
            </w:r>
          </w:p>
        </w:tc>
      </w:tr>
      <w:tr w:rsidR="001D24D9" w:rsidRPr="0043547B" w:rsidTr="00330314">
        <w:trPr>
          <w:gridBefore w:val="1"/>
          <w:wBefore w:w="18" w:type="dxa"/>
          <w:trHeight w:val="482"/>
          <w:jc w:val="center"/>
        </w:trPr>
        <w:tc>
          <w:tcPr>
            <w:tcW w:w="1856" w:type="dxa"/>
            <w:tcBorders>
              <w:top w:val="single" w:sz="4" w:space="0" w:color="auto"/>
              <w:left w:val="single" w:sz="18" w:space="0" w:color="auto"/>
              <w:bottom w:val="single" w:sz="18" w:space="0" w:color="auto"/>
              <w:right w:val="single" w:sz="8" w:space="0" w:color="auto"/>
            </w:tcBorders>
            <w:shd w:val="clear" w:color="auto" w:fill="C2D69B" w:themeFill="accent3" w:themeFillTint="99"/>
            <w:vAlign w:val="center"/>
          </w:tcPr>
          <w:p w:rsidR="001D24D9" w:rsidRPr="006B5B9D" w:rsidRDefault="001D24D9" w:rsidP="00464910">
            <w:pPr>
              <w:spacing w:after="0" w:line="240" w:lineRule="auto"/>
              <w:jc w:val="center"/>
              <w:rPr>
                <w:rFonts w:ascii="Calibri" w:hAnsi="Calibri" w:cs="Calibri"/>
                <w:b/>
                <w:bCs/>
                <w:sz w:val="24"/>
                <w:szCs w:val="24"/>
              </w:rPr>
            </w:pPr>
            <w:r w:rsidRPr="006B5B9D">
              <w:rPr>
                <w:rFonts w:ascii="Calibri" w:hAnsi="Calibri" w:cs="Calibri"/>
                <w:b/>
                <w:bCs/>
                <w:sz w:val="24"/>
                <w:szCs w:val="24"/>
              </w:rPr>
              <w:t>Code :</w:t>
            </w:r>
          </w:p>
        </w:tc>
        <w:tc>
          <w:tcPr>
            <w:tcW w:w="7938" w:type="dxa"/>
            <w:tcBorders>
              <w:top w:val="single" w:sz="4" w:space="0" w:color="auto"/>
              <w:bottom w:val="single" w:sz="18" w:space="0" w:color="auto"/>
              <w:right w:val="single" w:sz="18" w:space="0" w:color="auto"/>
            </w:tcBorders>
            <w:shd w:val="clear" w:color="auto" w:fill="C2D69B" w:themeFill="accent3" w:themeFillTint="99"/>
            <w:vAlign w:val="center"/>
          </w:tcPr>
          <w:p w:rsidR="001D24D9" w:rsidRPr="00330314" w:rsidRDefault="001D24D9" w:rsidP="00330314">
            <w:pPr>
              <w:spacing w:after="0" w:line="240" w:lineRule="auto"/>
              <w:jc w:val="center"/>
              <w:rPr>
                <w:rFonts w:ascii="Times New Roman" w:hAnsi="Times New Roman" w:cs="Times New Roman"/>
                <w:b/>
                <w:bCs/>
                <w:color w:val="000000"/>
                <w:sz w:val="24"/>
                <w:szCs w:val="24"/>
              </w:rPr>
            </w:pPr>
            <w:r w:rsidRPr="00330314">
              <w:rPr>
                <w:b/>
                <w:bCs/>
                <w:color w:val="000000"/>
                <w:sz w:val="24"/>
                <w:szCs w:val="24"/>
              </w:rPr>
              <w:t>NM 21.9.137</w:t>
            </w:r>
          </w:p>
        </w:tc>
      </w:tr>
      <w:tr w:rsidR="001D24D9" w:rsidRPr="0043547B" w:rsidTr="00566A17">
        <w:trPr>
          <w:gridBefore w:val="1"/>
          <w:wBefore w:w="18" w:type="dxa"/>
          <w:trHeight w:val="422"/>
          <w:jc w:val="center"/>
        </w:trPr>
        <w:tc>
          <w:tcPr>
            <w:tcW w:w="1856" w:type="dxa"/>
            <w:tcBorders>
              <w:top w:val="single" w:sz="4" w:space="0" w:color="auto"/>
              <w:left w:val="single" w:sz="18" w:space="0" w:color="auto"/>
              <w:bottom w:val="single" w:sz="18" w:space="0" w:color="auto"/>
              <w:right w:val="single" w:sz="8" w:space="0" w:color="auto"/>
            </w:tcBorders>
            <w:shd w:val="clear" w:color="auto" w:fill="FFFF99"/>
            <w:vAlign w:val="center"/>
          </w:tcPr>
          <w:p w:rsidR="001D24D9" w:rsidRPr="006B5B9D" w:rsidRDefault="001D24D9" w:rsidP="00464910">
            <w:pPr>
              <w:spacing w:after="0" w:line="240" w:lineRule="auto"/>
              <w:jc w:val="center"/>
              <w:rPr>
                <w:rFonts w:ascii="Calibri" w:hAnsi="Calibri" w:cs="Calibri"/>
                <w:b/>
                <w:bCs/>
                <w:sz w:val="24"/>
                <w:szCs w:val="24"/>
              </w:rPr>
            </w:pPr>
            <w:r w:rsidRPr="006B5B9D">
              <w:rPr>
                <w:rFonts w:ascii="Calibri" w:hAnsi="Calibri" w:cs="Calibri"/>
                <w:b/>
                <w:bCs/>
                <w:sz w:val="24"/>
                <w:szCs w:val="24"/>
              </w:rPr>
              <w:t>Equivalence :</w:t>
            </w:r>
          </w:p>
        </w:tc>
        <w:tc>
          <w:tcPr>
            <w:tcW w:w="7938" w:type="dxa"/>
            <w:tcBorders>
              <w:top w:val="single" w:sz="4" w:space="0" w:color="auto"/>
              <w:bottom w:val="single" w:sz="18" w:space="0" w:color="auto"/>
              <w:right w:val="single" w:sz="18" w:space="0" w:color="auto"/>
            </w:tcBorders>
            <w:shd w:val="clear" w:color="auto" w:fill="FFFF99"/>
            <w:vAlign w:val="center"/>
          </w:tcPr>
          <w:p w:rsidR="001D24D9" w:rsidRPr="00330314" w:rsidRDefault="001D24D9" w:rsidP="00330314">
            <w:pPr>
              <w:spacing w:after="0" w:line="240" w:lineRule="auto"/>
              <w:jc w:val="center"/>
              <w:rPr>
                <w:rFonts w:ascii="Times New Roman" w:hAnsi="Times New Roman" w:cs="Times New Roman"/>
                <w:b/>
                <w:bCs/>
                <w:color w:val="000000"/>
                <w:sz w:val="24"/>
                <w:szCs w:val="24"/>
              </w:rPr>
            </w:pPr>
            <w:r w:rsidRPr="00330314">
              <w:rPr>
                <w:b/>
                <w:bCs/>
                <w:color w:val="000000"/>
                <w:sz w:val="24"/>
                <w:szCs w:val="24"/>
              </w:rPr>
              <w:t>NF S 61-937-6</w:t>
            </w:r>
          </w:p>
        </w:tc>
      </w:tr>
      <w:tr w:rsidR="001D24D9" w:rsidRPr="0043547B" w:rsidTr="00566A17">
        <w:trPr>
          <w:gridBefore w:val="1"/>
          <w:wBefore w:w="18" w:type="dxa"/>
          <w:trHeight w:val="770"/>
          <w:jc w:val="center"/>
        </w:trPr>
        <w:tc>
          <w:tcPr>
            <w:tcW w:w="1856" w:type="dxa"/>
            <w:tcBorders>
              <w:top w:val="single" w:sz="18" w:space="0" w:color="auto"/>
              <w:left w:val="single" w:sz="18" w:space="0" w:color="auto"/>
              <w:bottom w:val="single" w:sz="4" w:space="0" w:color="auto"/>
              <w:right w:val="single" w:sz="8" w:space="0" w:color="auto"/>
            </w:tcBorders>
            <w:shd w:val="clear" w:color="auto" w:fill="95B3D7" w:themeFill="accent1" w:themeFillTint="99"/>
            <w:vAlign w:val="center"/>
          </w:tcPr>
          <w:p w:rsidR="001D24D9" w:rsidRPr="006B5B9D" w:rsidRDefault="001D24D9" w:rsidP="00464910">
            <w:pPr>
              <w:spacing w:after="0" w:line="240" w:lineRule="auto"/>
              <w:jc w:val="center"/>
              <w:rPr>
                <w:rFonts w:ascii="Calibri" w:hAnsi="Calibri" w:cs="Calibri"/>
                <w:b/>
                <w:bCs/>
                <w:sz w:val="24"/>
                <w:szCs w:val="24"/>
              </w:rPr>
            </w:pPr>
            <w:r w:rsidRPr="006B5B9D">
              <w:rPr>
                <w:rFonts w:ascii="Calibri" w:hAnsi="Calibri" w:cs="Calibri"/>
                <w:b/>
                <w:bCs/>
                <w:sz w:val="24"/>
                <w:szCs w:val="24"/>
              </w:rPr>
              <w:t>Intitulé :</w:t>
            </w:r>
          </w:p>
        </w:tc>
        <w:tc>
          <w:tcPr>
            <w:tcW w:w="7938" w:type="dxa"/>
            <w:tcBorders>
              <w:top w:val="single" w:sz="18" w:space="0" w:color="auto"/>
              <w:bottom w:val="single" w:sz="4" w:space="0" w:color="auto"/>
              <w:right w:val="single" w:sz="18" w:space="0" w:color="auto"/>
            </w:tcBorders>
            <w:shd w:val="clear" w:color="auto" w:fill="auto"/>
            <w:vAlign w:val="bottom"/>
          </w:tcPr>
          <w:p w:rsidR="001D24D9" w:rsidRPr="006B5B9D" w:rsidRDefault="001D24D9" w:rsidP="006B5B9D">
            <w:pPr>
              <w:spacing w:after="0" w:line="240" w:lineRule="auto"/>
              <w:jc w:val="both"/>
              <w:rPr>
                <w:rFonts w:ascii="Times New Roman" w:hAnsi="Times New Roman" w:cs="Times New Roman"/>
                <w:color w:val="000000"/>
                <w:sz w:val="24"/>
                <w:szCs w:val="24"/>
              </w:rPr>
            </w:pPr>
            <w:r w:rsidRPr="006B5B9D">
              <w:rPr>
                <w:color w:val="000000"/>
                <w:sz w:val="24"/>
                <w:szCs w:val="24"/>
              </w:rPr>
              <w:t>Systèmes de Sécurité Incendie (S.S.I.) - Dispositifs Actionnés de Sécurité (D.A.S.) - Exutoire et ouvrant de désenfumage ;</w:t>
            </w:r>
          </w:p>
        </w:tc>
      </w:tr>
      <w:tr w:rsidR="001D24D9" w:rsidRPr="0043547B" w:rsidTr="00566A17">
        <w:trPr>
          <w:gridBefore w:val="1"/>
          <w:wBefore w:w="18" w:type="dxa"/>
          <w:trHeight w:val="2115"/>
          <w:jc w:val="center"/>
        </w:trPr>
        <w:tc>
          <w:tcPr>
            <w:tcW w:w="1856" w:type="dxa"/>
            <w:tcBorders>
              <w:top w:val="single" w:sz="4" w:space="0" w:color="auto"/>
              <w:left w:val="single" w:sz="18" w:space="0" w:color="auto"/>
              <w:bottom w:val="single" w:sz="18" w:space="0" w:color="auto"/>
              <w:right w:val="single" w:sz="8" w:space="0" w:color="auto"/>
            </w:tcBorders>
            <w:shd w:val="clear" w:color="000000" w:fill="D9D9D9"/>
            <w:vAlign w:val="center"/>
          </w:tcPr>
          <w:p w:rsidR="001D24D9" w:rsidRPr="006B5B9D" w:rsidRDefault="001D24D9" w:rsidP="00464910">
            <w:pPr>
              <w:spacing w:after="0" w:line="240" w:lineRule="auto"/>
              <w:jc w:val="center"/>
              <w:rPr>
                <w:rFonts w:ascii="Calibri" w:hAnsi="Calibri" w:cs="Calibri"/>
                <w:b/>
                <w:bCs/>
                <w:sz w:val="24"/>
                <w:szCs w:val="24"/>
              </w:rPr>
            </w:pPr>
            <w:r w:rsidRPr="006B5B9D">
              <w:rPr>
                <w:rFonts w:ascii="Calibri" w:hAnsi="Calibri" w:cs="Calibri"/>
                <w:b/>
                <w:bCs/>
                <w:sz w:val="24"/>
                <w:szCs w:val="24"/>
              </w:rPr>
              <w:lastRenderedPageBreak/>
              <w:t>Domaine d’application :</w:t>
            </w:r>
          </w:p>
        </w:tc>
        <w:tc>
          <w:tcPr>
            <w:tcW w:w="7938" w:type="dxa"/>
            <w:tcBorders>
              <w:top w:val="single" w:sz="4" w:space="0" w:color="auto"/>
              <w:bottom w:val="single" w:sz="18" w:space="0" w:color="auto"/>
              <w:right w:val="single" w:sz="18" w:space="0" w:color="auto"/>
            </w:tcBorders>
            <w:shd w:val="clear" w:color="auto" w:fill="auto"/>
            <w:vAlign w:val="bottom"/>
          </w:tcPr>
          <w:p w:rsidR="00330314" w:rsidRDefault="001D24D9" w:rsidP="00330314">
            <w:pPr>
              <w:spacing w:after="0" w:line="240" w:lineRule="auto"/>
              <w:jc w:val="both"/>
              <w:rPr>
                <w:color w:val="000000"/>
                <w:sz w:val="24"/>
                <w:szCs w:val="24"/>
              </w:rPr>
            </w:pPr>
            <w:r w:rsidRPr="006B5B9D">
              <w:rPr>
                <w:color w:val="000000"/>
                <w:sz w:val="24"/>
                <w:szCs w:val="24"/>
              </w:rPr>
              <w:t>La présente norme a pour objet de fixer les conditions de fonctionnement ainsi que les caractéristiques</w:t>
            </w:r>
            <w:r w:rsidR="00330314">
              <w:rPr>
                <w:color w:val="000000"/>
                <w:sz w:val="24"/>
                <w:szCs w:val="24"/>
              </w:rPr>
              <w:t xml:space="preserve"> </w:t>
            </w:r>
            <w:r w:rsidRPr="006B5B9D">
              <w:rPr>
                <w:color w:val="000000"/>
                <w:sz w:val="24"/>
                <w:szCs w:val="24"/>
              </w:rPr>
              <w:t>générales et prescriptions particulières relatives aux exutoires en toiture et ouvrants de désenfumage en tant</w:t>
            </w:r>
            <w:r w:rsidR="00330314">
              <w:rPr>
                <w:color w:val="000000"/>
                <w:sz w:val="24"/>
                <w:szCs w:val="24"/>
              </w:rPr>
              <w:t xml:space="preserve"> </w:t>
            </w:r>
            <w:r w:rsidRPr="006B5B9D">
              <w:rPr>
                <w:color w:val="000000"/>
                <w:sz w:val="24"/>
                <w:szCs w:val="24"/>
              </w:rPr>
              <w:t>que D.A.S. ouvrage composé en vue de leur intégration dans un S.S.I. Un exutoire est monté en toiture,</w:t>
            </w:r>
            <w:r w:rsidR="00330314">
              <w:rPr>
                <w:color w:val="000000"/>
                <w:sz w:val="24"/>
                <w:szCs w:val="24"/>
              </w:rPr>
              <w:t xml:space="preserve"> </w:t>
            </w:r>
            <w:r w:rsidRPr="006B5B9D">
              <w:rPr>
                <w:color w:val="000000"/>
                <w:sz w:val="24"/>
                <w:szCs w:val="24"/>
              </w:rPr>
              <w:t>un ouvrant de désenfumage est monté en façade.</w:t>
            </w:r>
          </w:p>
          <w:p w:rsidR="00330314" w:rsidRDefault="001D24D9" w:rsidP="00330314">
            <w:pPr>
              <w:spacing w:after="0" w:line="240" w:lineRule="auto"/>
              <w:jc w:val="both"/>
              <w:rPr>
                <w:color w:val="000000"/>
                <w:sz w:val="24"/>
                <w:szCs w:val="24"/>
              </w:rPr>
            </w:pPr>
            <w:r w:rsidRPr="006B5B9D">
              <w:rPr>
                <w:color w:val="000000"/>
                <w:sz w:val="24"/>
                <w:szCs w:val="24"/>
              </w:rPr>
              <w:t>Le D.A.S. Ouvrage composé en toiture et/ou en façade est réservé aux utilisations particulières (par exemple</w:t>
            </w:r>
            <w:r w:rsidR="00330314">
              <w:rPr>
                <w:color w:val="000000"/>
                <w:sz w:val="24"/>
                <w:szCs w:val="24"/>
              </w:rPr>
              <w:t xml:space="preserve"> </w:t>
            </w:r>
            <w:r w:rsidRPr="006B5B9D">
              <w:rPr>
                <w:color w:val="000000"/>
                <w:sz w:val="24"/>
                <w:szCs w:val="24"/>
              </w:rPr>
              <w:t>relevant de choix architecturaux) pour lesquelles il n'existe pas sur le marché de tels produits complets</w:t>
            </w:r>
            <w:r w:rsidR="00330314">
              <w:rPr>
                <w:color w:val="000000"/>
                <w:sz w:val="24"/>
                <w:szCs w:val="24"/>
              </w:rPr>
              <w:t xml:space="preserve"> </w:t>
            </w:r>
            <w:r w:rsidRPr="006B5B9D">
              <w:rPr>
                <w:color w:val="000000"/>
                <w:sz w:val="24"/>
                <w:szCs w:val="24"/>
              </w:rPr>
              <w:t>(D.E.N.F.C.) conformes aux normes NM EN 12101-2, NM 21.9.138 et NM 21.9.139 ou lorsque leur assemblage</w:t>
            </w:r>
            <w:r w:rsidR="00330314">
              <w:rPr>
                <w:color w:val="000000"/>
                <w:sz w:val="24"/>
                <w:szCs w:val="24"/>
              </w:rPr>
              <w:t xml:space="preserve"> </w:t>
            </w:r>
            <w:r w:rsidRPr="006B5B9D">
              <w:rPr>
                <w:color w:val="000000"/>
                <w:sz w:val="24"/>
                <w:szCs w:val="24"/>
              </w:rPr>
              <w:t>est seulement réalisable sur site.</w:t>
            </w:r>
          </w:p>
          <w:p w:rsidR="00591596" w:rsidRDefault="001D24D9" w:rsidP="00330314">
            <w:pPr>
              <w:spacing w:after="0" w:line="240" w:lineRule="auto"/>
              <w:jc w:val="both"/>
              <w:rPr>
                <w:color w:val="000000"/>
                <w:sz w:val="24"/>
                <w:szCs w:val="24"/>
              </w:rPr>
            </w:pPr>
            <w:r w:rsidRPr="006B5B9D">
              <w:rPr>
                <w:color w:val="000000"/>
                <w:sz w:val="24"/>
                <w:szCs w:val="24"/>
              </w:rPr>
              <w:t>Le D.A.S. Ouvrage composé en toiture et/ou en façade n'est autre qu'un D.A.S. remplissant la fonction</w:t>
            </w:r>
            <w:r w:rsidR="00330314">
              <w:rPr>
                <w:color w:val="000000"/>
                <w:sz w:val="24"/>
                <w:szCs w:val="24"/>
              </w:rPr>
              <w:t xml:space="preserve"> </w:t>
            </w:r>
            <w:r w:rsidRPr="006B5B9D">
              <w:rPr>
                <w:color w:val="000000"/>
                <w:sz w:val="24"/>
                <w:szCs w:val="24"/>
              </w:rPr>
              <w:t>d'un D.E.N.F.C.</w:t>
            </w:r>
          </w:p>
          <w:p w:rsidR="001D24D9" w:rsidRPr="006B5B9D" w:rsidRDefault="001D24D9" w:rsidP="00330314">
            <w:pPr>
              <w:spacing w:after="0" w:line="240" w:lineRule="auto"/>
              <w:jc w:val="both"/>
              <w:rPr>
                <w:rFonts w:ascii="Times New Roman" w:hAnsi="Times New Roman" w:cs="Times New Roman"/>
                <w:color w:val="000000"/>
                <w:sz w:val="24"/>
                <w:szCs w:val="24"/>
              </w:rPr>
            </w:pPr>
            <w:r w:rsidRPr="006B5B9D">
              <w:rPr>
                <w:color w:val="000000"/>
                <w:sz w:val="24"/>
                <w:szCs w:val="24"/>
              </w:rPr>
              <w:t>Les ouvrants d’amenée d’air naturel composés sont traités dans la norme NM 21.9.139.</w:t>
            </w:r>
          </w:p>
        </w:tc>
      </w:tr>
      <w:tr w:rsidR="001D24D9" w:rsidRPr="0043547B" w:rsidTr="00591596">
        <w:trPr>
          <w:gridBefore w:val="1"/>
          <w:wBefore w:w="18" w:type="dxa"/>
          <w:trHeight w:val="451"/>
          <w:jc w:val="center"/>
        </w:trPr>
        <w:tc>
          <w:tcPr>
            <w:tcW w:w="1856" w:type="dxa"/>
            <w:tcBorders>
              <w:top w:val="single" w:sz="4" w:space="0" w:color="auto"/>
              <w:left w:val="single" w:sz="18" w:space="0" w:color="auto"/>
              <w:bottom w:val="single" w:sz="18" w:space="0" w:color="auto"/>
              <w:right w:val="single" w:sz="8" w:space="0" w:color="auto"/>
            </w:tcBorders>
            <w:shd w:val="clear" w:color="auto" w:fill="C2D69B" w:themeFill="accent3" w:themeFillTint="99"/>
            <w:vAlign w:val="center"/>
          </w:tcPr>
          <w:p w:rsidR="001D24D9" w:rsidRPr="006B5B9D" w:rsidRDefault="001D24D9" w:rsidP="00464910">
            <w:pPr>
              <w:spacing w:after="0" w:line="240" w:lineRule="auto"/>
              <w:jc w:val="center"/>
              <w:rPr>
                <w:rFonts w:ascii="Calibri" w:hAnsi="Calibri" w:cs="Calibri"/>
                <w:b/>
                <w:bCs/>
                <w:sz w:val="24"/>
                <w:szCs w:val="24"/>
              </w:rPr>
            </w:pPr>
            <w:r w:rsidRPr="006B5B9D">
              <w:rPr>
                <w:rFonts w:ascii="Calibri" w:hAnsi="Calibri" w:cs="Calibri"/>
                <w:b/>
                <w:bCs/>
                <w:sz w:val="24"/>
                <w:szCs w:val="24"/>
              </w:rPr>
              <w:t>Code :</w:t>
            </w:r>
          </w:p>
        </w:tc>
        <w:tc>
          <w:tcPr>
            <w:tcW w:w="7938" w:type="dxa"/>
            <w:tcBorders>
              <w:top w:val="single" w:sz="4" w:space="0" w:color="auto"/>
              <w:bottom w:val="single" w:sz="18" w:space="0" w:color="auto"/>
              <w:right w:val="single" w:sz="18" w:space="0" w:color="auto"/>
            </w:tcBorders>
            <w:shd w:val="clear" w:color="auto" w:fill="C2D69B" w:themeFill="accent3" w:themeFillTint="99"/>
            <w:vAlign w:val="center"/>
          </w:tcPr>
          <w:p w:rsidR="001D24D9" w:rsidRPr="00591596" w:rsidRDefault="001D24D9" w:rsidP="00591596">
            <w:pPr>
              <w:spacing w:after="0" w:line="240" w:lineRule="auto"/>
              <w:jc w:val="center"/>
              <w:rPr>
                <w:rFonts w:ascii="Times New Roman" w:hAnsi="Times New Roman" w:cs="Times New Roman"/>
                <w:b/>
                <w:bCs/>
                <w:color w:val="000000"/>
                <w:sz w:val="24"/>
                <w:szCs w:val="24"/>
              </w:rPr>
            </w:pPr>
            <w:r w:rsidRPr="00591596">
              <w:rPr>
                <w:b/>
                <w:bCs/>
                <w:color w:val="000000"/>
                <w:sz w:val="24"/>
                <w:szCs w:val="24"/>
              </w:rPr>
              <w:t>NM 21.9.138</w:t>
            </w:r>
          </w:p>
        </w:tc>
      </w:tr>
      <w:tr w:rsidR="001D24D9" w:rsidRPr="0043547B" w:rsidTr="00566A17">
        <w:trPr>
          <w:gridBefore w:val="1"/>
          <w:wBefore w:w="18" w:type="dxa"/>
          <w:trHeight w:val="524"/>
          <w:jc w:val="center"/>
        </w:trPr>
        <w:tc>
          <w:tcPr>
            <w:tcW w:w="1856" w:type="dxa"/>
            <w:tcBorders>
              <w:top w:val="single" w:sz="4" w:space="0" w:color="auto"/>
              <w:left w:val="single" w:sz="18" w:space="0" w:color="auto"/>
              <w:bottom w:val="single" w:sz="18" w:space="0" w:color="auto"/>
              <w:right w:val="single" w:sz="8" w:space="0" w:color="auto"/>
            </w:tcBorders>
            <w:shd w:val="clear" w:color="auto" w:fill="FFFF99"/>
            <w:vAlign w:val="center"/>
          </w:tcPr>
          <w:p w:rsidR="001D24D9" w:rsidRPr="006B5B9D" w:rsidRDefault="001D24D9" w:rsidP="00464910">
            <w:pPr>
              <w:spacing w:after="0" w:line="240" w:lineRule="auto"/>
              <w:jc w:val="center"/>
              <w:rPr>
                <w:rFonts w:ascii="Calibri" w:hAnsi="Calibri" w:cs="Calibri"/>
                <w:b/>
                <w:bCs/>
                <w:sz w:val="24"/>
                <w:szCs w:val="24"/>
              </w:rPr>
            </w:pPr>
            <w:r w:rsidRPr="006B5B9D">
              <w:rPr>
                <w:rFonts w:ascii="Calibri" w:hAnsi="Calibri" w:cs="Calibri"/>
                <w:b/>
                <w:bCs/>
                <w:sz w:val="24"/>
                <w:szCs w:val="24"/>
              </w:rPr>
              <w:t>Equivalence :</w:t>
            </w:r>
          </w:p>
        </w:tc>
        <w:tc>
          <w:tcPr>
            <w:tcW w:w="7938" w:type="dxa"/>
            <w:tcBorders>
              <w:top w:val="single" w:sz="4" w:space="0" w:color="auto"/>
              <w:bottom w:val="single" w:sz="18" w:space="0" w:color="auto"/>
              <w:right w:val="single" w:sz="18" w:space="0" w:color="auto"/>
            </w:tcBorders>
            <w:shd w:val="clear" w:color="auto" w:fill="FFFF99"/>
            <w:vAlign w:val="center"/>
          </w:tcPr>
          <w:p w:rsidR="001D24D9" w:rsidRPr="00591596" w:rsidRDefault="001D24D9" w:rsidP="00591596">
            <w:pPr>
              <w:spacing w:after="0" w:line="240" w:lineRule="auto"/>
              <w:jc w:val="center"/>
              <w:rPr>
                <w:rFonts w:ascii="Times New Roman" w:hAnsi="Times New Roman" w:cs="Times New Roman"/>
                <w:b/>
                <w:bCs/>
                <w:color w:val="000000"/>
                <w:sz w:val="24"/>
                <w:szCs w:val="24"/>
              </w:rPr>
            </w:pPr>
            <w:r w:rsidRPr="00591596">
              <w:rPr>
                <w:b/>
                <w:bCs/>
                <w:color w:val="000000"/>
                <w:sz w:val="24"/>
                <w:szCs w:val="24"/>
              </w:rPr>
              <w:t>NF S 61-937-7</w:t>
            </w:r>
          </w:p>
        </w:tc>
      </w:tr>
      <w:tr w:rsidR="001D24D9" w:rsidRPr="0043547B" w:rsidTr="00566A17">
        <w:trPr>
          <w:gridBefore w:val="1"/>
          <w:wBefore w:w="18" w:type="dxa"/>
          <w:trHeight w:val="795"/>
          <w:jc w:val="center"/>
        </w:trPr>
        <w:tc>
          <w:tcPr>
            <w:tcW w:w="1856" w:type="dxa"/>
            <w:tcBorders>
              <w:top w:val="single" w:sz="18" w:space="0" w:color="auto"/>
              <w:left w:val="single" w:sz="18" w:space="0" w:color="auto"/>
              <w:bottom w:val="single" w:sz="4" w:space="0" w:color="auto"/>
              <w:right w:val="single" w:sz="8" w:space="0" w:color="auto"/>
            </w:tcBorders>
            <w:shd w:val="clear" w:color="auto" w:fill="95B3D7" w:themeFill="accent1" w:themeFillTint="99"/>
            <w:vAlign w:val="center"/>
          </w:tcPr>
          <w:p w:rsidR="001D24D9" w:rsidRPr="006B5B9D" w:rsidRDefault="001D24D9" w:rsidP="00464910">
            <w:pPr>
              <w:spacing w:after="0" w:line="240" w:lineRule="auto"/>
              <w:jc w:val="center"/>
              <w:rPr>
                <w:rFonts w:ascii="Calibri" w:hAnsi="Calibri" w:cs="Calibri"/>
                <w:b/>
                <w:bCs/>
                <w:sz w:val="24"/>
                <w:szCs w:val="24"/>
              </w:rPr>
            </w:pPr>
            <w:r w:rsidRPr="006B5B9D">
              <w:rPr>
                <w:rFonts w:ascii="Calibri" w:hAnsi="Calibri" w:cs="Calibri"/>
                <w:b/>
                <w:bCs/>
                <w:sz w:val="24"/>
                <w:szCs w:val="24"/>
              </w:rPr>
              <w:t>Intitulé :</w:t>
            </w:r>
          </w:p>
        </w:tc>
        <w:tc>
          <w:tcPr>
            <w:tcW w:w="7938" w:type="dxa"/>
            <w:tcBorders>
              <w:top w:val="single" w:sz="18" w:space="0" w:color="auto"/>
              <w:bottom w:val="single" w:sz="4" w:space="0" w:color="auto"/>
              <w:right w:val="single" w:sz="18" w:space="0" w:color="auto"/>
            </w:tcBorders>
            <w:shd w:val="clear" w:color="auto" w:fill="auto"/>
            <w:vAlign w:val="bottom"/>
          </w:tcPr>
          <w:p w:rsidR="001D24D9" w:rsidRPr="006B5B9D" w:rsidRDefault="001D24D9" w:rsidP="006B5B9D">
            <w:pPr>
              <w:spacing w:after="0" w:line="240" w:lineRule="auto"/>
              <w:jc w:val="both"/>
              <w:rPr>
                <w:rFonts w:ascii="Times New Roman" w:hAnsi="Times New Roman" w:cs="Times New Roman"/>
                <w:color w:val="000000"/>
                <w:sz w:val="24"/>
                <w:szCs w:val="24"/>
              </w:rPr>
            </w:pPr>
            <w:r w:rsidRPr="006B5B9D">
              <w:rPr>
                <w:color w:val="000000"/>
                <w:sz w:val="24"/>
                <w:szCs w:val="24"/>
              </w:rPr>
              <w:t xml:space="preserve">Systèmes de Sécurité Incendie (S.S.I.) - Dispositifs Actionnés de Sécurité (D.A.S.) - Compatibilité pour intégration dans un S.S.I. des dispositifs d'évacuation naturelle de fumées et de chaleur (D.E.N.F.C.) </w:t>
            </w:r>
          </w:p>
        </w:tc>
      </w:tr>
      <w:tr w:rsidR="001D24D9" w:rsidRPr="0043547B" w:rsidTr="00566A17">
        <w:trPr>
          <w:gridBefore w:val="1"/>
          <w:wBefore w:w="18" w:type="dxa"/>
          <w:trHeight w:val="1472"/>
          <w:jc w:val="center"/>
        </w:trPr>
        <w:tc>
          <w:tcPr>
            <w:tcW w:w="1856" w:type="dxa"/>
            <w:tcBorders>
              <w:top w:val="single" w:sz="4" w:space="0" w:color="auto"/>
              <w:left w:val="single" w:sz="18" w:space="0" w:color="auto"/>
              <w:bottom w:val="single" w:sz="18" w:space="0" w:color="auto"/>
              <w:right w:val="single" w:sz="8" w:space="0" w:color="auto"/>
            </w:tcBorders>
            <w:shd w:val="clear" w:color="000000" w:fill="D9D9D9"/>
            <w:vAlign w:val="center"/>
          </w:tcPr>
          <w:p w:rsidR="001D24D9" w:rsidRPr="006B5B9D" w:rsidRDefault="001D24D9" w:rsidP="00464910">
            <w:pPr>
              <w:spacing w:after="0" w:line="240" w:lineRule="auto"/>
              <w:jc w:val="center"/>
              <w:rPr>
                <w:rFonts w:ascii="Calibri" w:hAnsi="Calibri" w:cs="Calibri"/>
                <w:b/>
                <w:bCs/>
                <w:sz w:val="24"/>
                <w:szCs w:val="24"/>
              </w:rPr>
            </w:pPr>
            <w:r w:rsidRPr="006B5B9D">
              <w:rPr>
                <w:rFonts w:ascii="Calibri" w:hAnsi="Calibri" w:cs="Calibri"/>
                <w:b/>
                <w:bCs/>
                <w:sz w:val="24"/>
                <w:szCs w:val="24"/>
              </w:rPr>
              <w:t>Domaine d’application :</w:t>
            </w:r>
          </w:p>
        </w:tc>
        <w:tc>
          <w:tcPr>
            <w:tcW w:w="7938" w:type="dxa"/>
            <w:tcBorders>
              <w:top w:val="single" w:sz="4" w:space="0" w:color="auto"/>
              <w:bottom w:val="single" w:sz="18" w:space="0" w:color="auto"/>
              <w:right w:val="single" w:sz="18" w:space="0" w:color="auto"/>
            </w:tcBorders>
            <w:shd w:val="clear" w:color="auto" w:fill="auto"/>
            <w:vAlign w:val="bottom"/>
          </w:tcPr>
          <w:p w:rsidR="001D24D9" w:rsidRPr="006B5B9D" w:rsidRDefault="001D24D9" w:rsidP="00591596">
            <w:pPr>
              <w:spacing w:after="0" w:line="240" w:lineRule="auto"/>
              <w:jc w:val="both"/>
              <w:rPr>
                <w:rFonts w:ascii="Times New Roman" w:hAnsi="Times New Roman" w:cs="Times New Roman"/>
                <w:color w:val="000000"/>
                <w:sz w:val="24"/>
                <w:szCs w:val="24"/>
              </w:rPr>
            </w:pPr>
            <w:r w:rsidRPr="006B5B9D">
              <w:rPr>
                <w:color w:val="000000"/>
                <w:sz w:val="24"/>
                <w:szCs w:val="24"/>
              </w:rPr>
              <w:t>La présente norme a pour objet de fixer les conditions de fonctionnement ainsi que les caractéristiques</w:t>
            </w:r>
            <w:r w:rsidR="00591596">
              <w:rPr>
                <w:color w:val="000000"/>
                <w:sz w:val="24"/>
                <w:szCs w:val="24"/>
              </w:rPr>
              <w:t xml:space="preserve"> </w:t>
            </w:r>
            <w:r w:rsidRPr="006B5B9D">
              <w:rPr>
                <w:color w:val="000000"/>
                <w:sz w:val="24"/>
                <w:szCs w:val="24"/>
              </w:rPr>
              <w:t>générales et prescriptions particulières relatives aux D.E.N.F.C. en tant que D.A.S. en vue de leur intégration dans</w:t>
            </w:r>
            <w:r w:rsidRPr="006B5B9D">
              <w:rPr>
                <w:color w:val="000000"/>
                <w:sz w:val="24"/>
                <w:szCs w:val="24"/>
              </w:rPr>
              <w:br/>
              <w:t>un S.S.I. Un D.E.N.F.C., au sens de la norme NM EN 12101-2, peut être monté en toiture ou en façade.</w:t>
            </w:r>
          </w:p>
        </w:tc>
      </w:tr>
      <w:tr w:rsidR="001D24D9" w:rsidRPr="0043547B" w:rsidTr="00591596">
        <w:trPr>
          <w:gridBefore w:val="1"/>
          <w:wBefore w:w="18" w:type="dxa"/>
          <w:trHeight w:val="445"/>
          <w:jc w:val="center"/>
        </w:trPr>
        <w:tc>
          <w:tcPr>
            <w:tcW w:w="1856" w:type="dxa"/>
            <w:tcBorders>
              <w:top w:val="single" w:sz="4" w:space="0" w:color="auto"/>
              <w:left w:val="single" w:sz="18" w:space="0" w:color="auto"/>
              <w:bottom w:val="single" w:sz="18" w:space="0" w:color="auto"/>
              <w:right w:val="single" w:sz="8" w:space="0" w:color="auto"/>
            </w:tcBorders>
            <w:shd w:val="clear" w:color="auto" w:fill="C2D69B" w:themeFill="accent3" w:themeFillTint="99"/>
            <w:vAlign w:val="center"/>
          </w:tcPr>
          <w:p w:rsidR="001D24D9" w:rsidRPr="006B5B9D" w:rsidRDefault="001D24D9" w:rsidP="00464910">
            <w:pPr>
              <w:spacing w:after="0" w:line="240" w:lineRule="auto"/>
              <w:jc w:val="center"/>
              <w:rPr>
                <w:rFonts w:ascii="Calibri" w:hAnsi="Calibri" w:cs="Calibri"/>
                <w:b/>
                <w:bCs/>
                <w:sz w:val="24"/>
                <w:szCs w:val="24"/>
              </w:rPr>
            </w:pPr>
            <w:r w:rsidRPr="006B5B9D">
              <w:rPr>
                <w:rFonts w:ascii="Calibri" w:hAnsi="Calibri" w:cs="Calibri"/>
                <w:b/>
                <w:bCs/>
                <w:sz w:val="24"/>
                <w:szCs w:val="24"/>
              </w:rPr>
              <w:t>Code :</w:t>
            </w:r>
          </w:p>
        </w:tc>
        <w:tc>
          <w:tcPr>
            <w:tcW w:w="7938" w:type="dxa"/>
            <w:tcBorders>
              <w:top w:val="single" w:sz="4" w:space="0" w:color="auto"/>
              <w:bottom w:val="single" w:sz="18" w:space="0" w:color="auto"/>
              <w:right w:val="single" w:sz="18" w:space="0" w:color="auto"/>
            </w:tcBorders>
            <w:shd w:val="clear" w:color="auto" w:fill="C2D69B" w:themeFill="accent3" w:themeFillTint="99"/>
            <w:vAlign w:val="center"/>
          </w:tcPr>
          <w:p w:rsidR="001D24D9" w:rsidRPr="00591596" w:rsidRDefault="001D24D9" w:rsidP="00591596">
            <w:pPr>
              <w:spacing w:after="0" w:line="240" w:lineRule="auto"/>
              <w:jc w:val="center"/>
              <w:rPr>
                <w:rFonts w:ascii="Times New Roman" w:hAnsi="Times New Roman" w:cs="Times New Roman"/>
                <w:b/>
                <w:bCs/>
                <w:color w:val="000000"/>
                <w:sz w:val="24"/>
                <w:szCs w:val="24"/>
              </w:rPr>
            </w:pPr>
            <w:r w:rsidRPr="00591596">
              <w:rPr>
                <w:b/>
                <w:bCs/>
                <w:color w:val="000000"/>
                <w:sz w:val="24"/>
                <w:szCs w:val="24"/>
              </w:rPr>
              <w:t>NM 21.9.139</w:t>
            </w:r>
          </w:p>
        </w:tc>
      </w:tr>
      <w:tr w:rsidR="001D24D9" w:rsidRPr="0043547B" w:rsidTr="00566A17">
        <w:trPr>
          <w:gridBefore w:val="1"/>
          <w:wBefore w:w="18" w:type="dxa"/>
          <w:trHeight w:val="420"/>
          <w:jc w:val="center"/>
        </w:trPr>
        <w:tc>
          <w:tcPr>
            <w:tcW w:w="1856" w:type="dxa"/>
            <w:tcBorders>
              <w:top w:val="single" w:sz="4" w:space="0" w:color="auto"/>
              <w:left w:val="single" w:sz="18" w:space="0" w:color="auto"/>
              <w:bottom w:val="single" w:sz="18" w:space="0" w:color="auto"/>
              <w:right w:val="single" w:sz="8" w:space="0" w:color="auto"/>
            </w:tcBorders>
            <w:shd w:val="clear" w:color="auto" w:fill="FFFF99"/>
            <w:vAlign w:val="center"/>
          </w:tcPr>
          <w:p w:rsidR="001D24D9" w:rsidRPr="006B5B9D" w:rsidRDefault="001D24D9" w:rsidP="00464910">
            <w:pPr>
              <w:spacing w:after="0" w:line="240" w:lineRule="auto"/>
              <w:jc w:val="center"/>
              <w:rPr>
                <w:rFonts w:ascii="Calibri" w:hAnsi="Calibri" w:cs="Calibri"/>
                <w:b/>
                <w:bCs/>
                <w:sz w:val="24"/>
                <w:szCs w:val="24"/>
              </w:rPr>
            </w:pPr>
            <w:r w:rsidRPr="006B5B9D">
              <w:rPr>
                <w:rFonts w:ascii="Calibri" w:hAnsi="Calibri" w:cs="Calibri"/>
                <w:b/>
                <w:bCs/>
                <w:sz w:val="24"/>
                <w:szCs w:val="24"/>
              </w:rPr>
              <w:t>Equivalence :</w:t>
            </w:r>
          </w:p>
        </w:tc>
        <w:tc>
          <w:tcPr>
            <w:tcW w:w="7938" w:type="dxa"/>
            <w:tcBorders>
              <w:top w:val="single" w:sz="4" w:space="0" w:color="auto"/>
              <w:bottom w:val="single" w:sz="18" w:space="0" w:color="auto"/>
              <w:right w:val="single" w:sz="18" w:space="0" w:color="auto"/>
            </w:tcBorders>
            <w:shd w:val="clear" w:color="auto" w:fill="FFFF99"/>
            <w:vAlign w:val="center"/>
          </w:tcPr>
          <w:p w:rsidR="001D24D9" w:rsidRPr="00591596" w:rsidRDefault="001D24D9" w:rsidP="00591596">
            <w:pPr>
              <w:spacing w:after="0" w:line="240" w:lineRule="auto"/>
              <w:jc w:val="center"/>
              <w:rPr>
                <w:rFonts w:ascii="Times New Roman" w:hAnsi="Times New Roman" w:cs="Times New Roman"/>
                <w:b/>
                <w:bCs/>
                <w:color w:val="000000"/>
                <w:sz w:val="24"/>
                <w:szCs w:val="24"/>
              </w:rPr>
            </w:pPr>
            <w:r w:rsidRPr="00591596">
              <w:rPr>
                <w:b/>
                <w:bCs/>
                <w:color w:val="000000"/>
                <w:sz w:val="24"/>
                <w:szCs w:val="24"/>
              </w:rPr>
              <w:t>NF S 61-937-8</w:t>
            </w:r>
          </w:p>
        </w:tc>
      </w:tr>
      <w:tr w:rsidR="001D24D9" w:rsidRPr="0043547B" w:rsidTr="00566A17">
        <w:trPr>
          <w:gridBefore w:val="1"/>
          <w:wBefore w:w="18" w:type="dxa"/>
          <w:trHeight w:val="380"/>
          <w:jc w:val="center"/>
        </w:trPr>
        <w:tc>
          <w:tcPr>
            <w:tcW w:w="1856" w:type="dxa"/>
            <w:tcBorders>
              <w:top w:val="single" w:sz="18" w:space="0" w:color="auto"/>
              <w:left w:val="single" w:sz="18" w:space="0" w:color="auto"/>
              <w:bottom w:val="single" w:sz="4" w:space="0" w:color="auto"/>
              <w:right w:val="single" w:sz="8" w:space="0" w:color="auto"/>
            </w:tcBorders>
            <w:shd w:val="clear" w:color="auto" w:fill="95B3D7" w:themeFill="accent1" w:themeFillTint="99"/>
            <w:vAlign w:val="center"/>
          </w:tcPr>
          <w:p w:rsidR="001D24D9" w:rsidRPr="006B5B9D" w:rsidRDefault="001D24D9" w:rsidP="00464910">
            <w:pPr>
              <w:spacing w:after="0" w:line="240" w:lineRule="auto"/>
              <w:jc w:val="center"/>
              <w:rPr>
                <w:rFonts w:ascii="Calibri" w:hAnsi="Calibri" w:cs="Calibri"/>
                <w:b/>
                <w:bCs/>
                <w:sz w:val="24"/>
                <w:szCs w:val="24"/>
              </w:rPr>
            </w:pPr>
            <w:r w:rsidRPr="006B5B9D">
              <w:rPr>
                <w:rFonts w:ascii="Calibri" w:hAnsi="Calibri" w:cs="Calibri"/>
                <w:b/>
                <w:bCs/>
                <w:sz w:val="24"/>
                <w:szCs w:val="24"/>
              </w:rPr>
              <w:t>Intitulé :</w:t>
            </w:r>
          </w:p>
        </w:tc>
        <w:tc>
          <w:tcPr>
            <w:tcW w:w="7938" w:type="dxa"/>
            <w:tcBorders>
              <w:top w:val="single" w:sz="18" w:space="0" w:color="auto"/>
              <w:bottom w:val="single" w:sz="4" w:space="0" w:color="auto"/>
              <w:right w:val="single" w:sz="18" w:space="0" w:color="auto"/>
            </w:tcBorders>
            <w:shd w:val="clear" w:color="auto" w:fill="auto"/>
            <w:vAlign w:val="bottom"/>
          </w:tcPr>
          <w:p w:rsidR="001D24D9" w:rsidRPr="006B5B9D" w:rsidRDefault="001D24D9" w:rsidP="006B5B9D">
            <w:pPr>
              <w:spacing w:after="0" w:line="240" w:lineRule="auto"/>
              <w:jc w:val="both"/>
              <w:rPr>
                <w:rFonts w:ascii="Times New Roman" w:hAnsi="Times New Roman" w:cs="Times New Roman"/>
                <w:color w:val="000000"/>
                <w:sz w:val="24"/>
                <w:szCs w:val="24"/>
              </w:rPr>
            </w:pPr>
            <w:r w:rsidRPr="006B5B9D">
              <w:rPr>
                <w:color w:val="000000"/>
                <w:sz w:val="24"/>
                <w:szCs w:val="24"/>
              </w:rPr>
              <w:t>Systèmes de Sécurité Incendie (S.S.I.) - Dispositifs Actionnés de Sécurité (D.A.S.) - Ouvrants télécommandés d'amenée d'air naturel en façade ;</w:t>
            </w:r>
          </w:p>
        </w:tc>
      </w:tr>
      <w:tr w:rsidR="001D24D9" w:rsidRPr="0043547B" w:rsidTr="00566A17">
        <w:trPr>
          <w:gridBefore w:val="1"/>
          <w:wBefore w:w="18" w:type="dxa"/>
          <w:trHeight w:val="921"/>
          <w:jc w:val="center"/>
        </w:trPr>
        <w:tc>
          <w:tcPr>
            <w:tcW w:w="1856" w:type="dxa"/>
            <w:tcBorders>
              <w:top w:val="single" w:sz="4" w:space="0" w:color="auto"/>
              <w:left w:val="single" w:sz="18" w:space="0" w:color="auto"/>
              <w:bottom w:val="single" w:sz="18" w:space="0" w:color="auto"/>
              <w:right w:val="single" w:sz="8" w:space="0" w:color="auto"/>
            </w:tcBorders>
            <w:shd w:val="clear" w:color="000000" w:fill="D9D9D9"/>
            <w:vAlign w:val="center"/>
          </w:tcPr>
          <w:p w:rsidR="001D24D9" w:rsidRPr="006B5B9D" w:rsidRDefault="001D24D9" w:rsidP="00464910">
            <w:pPr>
              <w:spacing w:after="0" w:line="240" w:lineRule="auto"/>
              <w:jc w:val="center"/>
              <w:rPr>
                <w:rFonts w:ascii="Calibri" w:hAnsi="Calibri" w:cs="Calibri"/>
                <w:b/>
                <w:bCs/>
                <w:sz w:val="24"/>
                <w:szCs w:val="24"/>
              </w:rPr>
            </w:pPr>
            <w:r w:rsidRPr="006B5B9D">
              <w:rPr>
                <w:rFonts w:ascii="Calibri" w:hAnsi="Calibri" w:cs="Calibri"/>
                <w:b/>
                <w:bCs/>
                <w:sz w:val="24"/>
                <w:szCs w:val="24"/>
              </w:rPr>
              <w:t>Domaine d’application :</w:t>
            </w:r>
          </w:p>
        </w:tc>
        <w:tc>
          <w:tcPr>
            <w:tcW w:w="7938" w:type="dxa"/>
            <w:tcBorders>
              <w:top w:val="single" w:sz="4" w:space="0" w:color="auto"/>
              <w:bottom w:val="single" w:sz="18" w:space="0" w:color="auto"/>
              <w:right w:val="single" w:sz="18" w:space="0" w:color="auto"/>
            </w:tcBorders>
            <w:shd w:val="clear" w:color="auto" w:fill="auto"/>
            <w:vAlign w:val="bottom"/>
          </w:tcPr>
          <w:p w:rsidR="001D24D9" w:rsidRPr="006B5B9D" w:rsidRDefault="001D24D9" w:rsidP="00591596">
            <w:pPr>
              <w:spacing w:after="0" w:line="240" w:lineRule="auto"/>
              <w:jc w:val="both"/>
              <w:rPr>
                <w:rFonts w:ascii="Times New Roman" w:hAnsi="Times New Roman" w:cs="Times New Roman"/>
                <w:color w:val="000000"/>
                <w:sz w:val="24"/>
                <w:szCs w:val="24"/>
              </w:rPr>
            </w:pPr>
            <w:r w:rsidRPr="006B5B9D">
              <w:rPr>
                <w:color w:val="000000"/>
                <w:sz w:val="24"/>
                <w:szCs w:val="24"/>
              </w:rPr>
              <w:t>La présente norme a pour objet de fixer les conditions de fonctionnement ainsi que les caractéristiques</w:t>
            </w:r>
            <w:r w:rsidR="00591596">
              <w:rPr>
                <w:color w:val="000000"/>
                <w:sz w:val="24"/>
                <w:szCs w:val="24"/>
              </w:rPr>
              <w:t xml:space="preserve"> </w:t>
            </w:r>
            <w:r w:rsidRPr="006B5B9D">
              <w:rPr>
                <w:color w:val="000000"/>
                <w:sz w:val="24"/>
                <w:szCs w:val="24"/>
              </w:rPr>
              <w:t>générales et prescriptions particulières relatives aux DAS de type ouvrants télécommandés d’amenée</w:t>
            </w:r>
            <w:r w:rsidR="00591596">
              <w:rPr>
                <w:color w:val="000000"/>
                <w:sz w:val="24"/>
                <w:szCs w:val="24"/>
              </w:rPr>
              <w:t xml:space="preserve"> </w:t>
            </w:r>
            <w:r w:rsidRPr="006B5B9D">
              <w:rPr>
                <w:color w:val="000000"/>
                <w:sz w:val="24"/>
                <w:szCs w:val="24"/>
              </w:rPr>
              <w:t>d’air naturel en façade.</w:t>
            </w:r>
          </w:p>
        </w:tc>
      </w:tr>
      <w:tr w:rsidR="001D24D9" w:rsidRPr="0043547B" w:rsidTr="00591596">
        <w:trPr>
          <w:gridBefore w:val="1"/>
          <w:wBefore w:w="18" w:type="dxa"/>
          <w:trHeight w:val="512"/>
          <w:jc w:val="center"/>
        </w:trPr>
        <w:tc>
          <w:tcPr>
            <w:tcW w:w="1856" w:type="dxa"/>
            <w:tcBorders>
              <w:top w:val="single" w:sz="4" w:space="0" w:color="auto"/>
              <w:left w:val="single" w:sz="18" w:space="0" w:color="auto"/>
              <w:bottom w:val="single" w:sz="18" w:space="0" w:color="auto"/>
              <w:right w:val="single" w:sz="8" w:space="0" w:color="auto"/>
            </w:tcBorders>
            <w:shd w:val="clear" w:color="auto" w:fill="C2D69B" w:themeFill="accent3" w:themeFillTint="99"/>
            <w:vAlign w:val="center"/>
          </w:tcPr>
          <w:p w:rsidR="001D24D9" w:rsidRPr="006B5B9D" w:rsidRDefault="001D24D9" w:rsidP="00464910">
            <w:pPr>
              <w:spacing w:after="0" w:line="240" w:lineRule="auto"/>
              <w:jc w:val="center"/>
              <w:rPr>
                <w:rFonts w:ascii="Calibri" w:hAnsi="Calibri" w:cs="Calibri"/>
                <w:b/>
                <w:bCs/>
                <w:sz w:val="24"/>
                <w:szCs w:val="24"/>
              </w:rPr>
            </w:pPr>
            <w:r w:rsidRPr="006B5B9D">
              <w:rPr>
                <w:rFonts w:ascii="Calibri" w:hAnsi="Calibri" w:cs="Calibri"/>
                <w:b/>
                <w:bCs/>
                <w:sz w:val="24"/>
                <w:szCs w:val="24"/>
              </w:rPr>
              <w:t>Code :</w:t>
            </w:r>
          </w:p>
        </w:tc>
        <w:tc>
          <w:tcPr>
            <w:tcW w:w="7938" w:type="dxa"/>
            <w:tcBorders>
              <w:top w:val="single" w:sz="4" w:space="0" w:color="auto"/>
              <w:bottom w:val="single" w:sz="18" w:space="0" w:color="auto"/>
              <w:right w:val="single" w:sz="18" w:space="0" w:color="auto"/>
            </w:tcBorders>
            <w:shd w:val="clear" w:color="auto" w:fill="C2D69B" w:themeFill="accent3" w:themeFillTint="99"/>
            <w:vAlign w:val="center"/>
          </w:tcPr>
          <w:p w:rsidR="001D24D9" w:rsidRPr="00591596" w:rsidRDefault="001D24D9" w:rsidP="00591596">
            <w:pPr>
              <w:spacing w:after="0" w:line="240" w:lineRule="auto"/>
              <w:jc w:val="center"/>
              <w:rPr>
                <w:rFonts w:ascii="Times New Roman" w:hAnsi="Times New Roman" w:cs="Times New Roman"/>
                <w:b/>
                <w:bCs/>
                <w:color w:val="000000"/>
                <w:sz w:val="24"/>
                <w:szCs w:val="24"/>
              </w:rPr>
            </w:pPr>
            <w:r w:rsidRPr="00591596">
              <w:rPr>
                <w:b/>
                <w:bCs/>
                <w:color w:val="000000"/>
                <w:sz w:val="24"/>
                <w:szCs w:val="24"/>
              </w:rPr>
              <w:t>NM 21.9.140</w:t>
            </w:r>
          </w:p>
        </w:tc>
      </w:tr>
      <w:tr w:rsidR="001D24D9" w:rsidRPr="0043547B" w:rsidTr="00566A17">
        <w:trPr>
          <w:gridBefore w:val="1"/>
          <w:wBefore w:w="18" w:type="dxa"/>
          <w:trHeight w:val="486"/>
          <w:jc w:val="center"/>
        </w:trPr>
        <w:tc>
          <w:tcPr>
            <w:tcW w:w="1856" w:type="dxa"/>
            <w:tcBorders>
              <w:top w:val="single" w:sz="4" w:space="0" w:color="auto"/>
              <w:left w:val="single" w:sz="18" w:space="0" w:color="auto"/>
              <w:bottom w:val="single" w:sz="18" w:space="0" w:color="auto"/>
              <w:right w:val="single" w:sz="8" w:space="0" w:color="auto"/>
            </w:tcBorders>
            <w:shd w:val="clear" w:color="auto" w:fill="FFFF99"/>
            <w:vAlign w:val="center"/>
          </w:tcPr>
          <w:p w:rsidR="001D24D9" w:rsidRPr="006B5B9D" w:rsidRDefault="001D24D9" w:rsidP="00464910">
            <w:pPr>
              <w:spacing w:after="0" w:line="240" w:lineRule="auto"/>
              <w:jc w:val="center"/>
              <w:rPr>
                <w:rFonts w:ascii="Calibri" w:hAnsi="Calibri" w:cs="Calibri"/>
                <w:b/>
                <w:bCs/>
                <w:sz w:val="24"/>
                <w:szCs w:val="24"/>
              </w:rPr>
            </w:pPr>
            <w:r w:rsidRPr="006B5B9D">
              <w:rPr>
                <w:rFonts w:ascii="Calibri" w:hAnsi="Calibri" w:cs="Calibri"/>
                <w:b/>
                <w:bCs/>
                <w:sz w:val="24"/>
                <w:szCs w:val="24"/>
              </w:rPr>
              <w:t>Equivalence :</w:t>
            </w:r>
          </w:p>
        </w:tc>
        <w:tc>
          <w:tcPr>
            <w:tcW w:w="7938" w:type="dxa"/>
            <w:tcBorders>
              <w:top w:val="single" w:sz="4" w:space="0" w:color="auto"/>
              <w:bottom w:val="single" w:sz="18" w:space="0" w:color="auto"/>
              <w:right w:val="single" w:sz="18" w:space="0" w:color="auto"/>
            </w:tcBorders>
            <w:shd w:val="clear" w:color="auto" w:fill="FFFF99"/>
            <w:vAlign w:val="center"/>
          </w:tcPr>
          <w:p w:rsidR="001D24D9" w:rsidRPr="00591596" w:rsidRDefault="001D24D9" w:rsidP="00591596">
            <w:pPr>
              <w:spacing w:after="0" w:line="240" w:lineRule="auto"/>
              <w:jc w:val="center"/>
              <w:rPr>
                <w:rFonts w:ascii="Times New Roman" w:hAnsi="Times New Roman" w:cs="Times New Roman"/>
                <w:b/>
                <w:bCs/>
                <w:color w:val="000000"/>
                <w:sz w:val="24"/>
                <w:szCs w:val="24"/>
              </w:rPr>
            </w:pPr>
            <w:r w:rsidRPr="00591596">
              <w:rPr>
                <w:b/>
                <w:bCs/>
                <w:color w:val="000000"/>
                <w:sz w:val="24"/>
                <w:szCs w:val="24"/>
              </w:rPr>
              <w:t>NF S 61-937-9</w:t>
            </w:r>
          </w:p>
        </w:tc>
      </w:tr>
      <w:tr w:rsidR="001D24D9" w:rsidRPr="0043547B" w:rsidTr="00566A17">
        <w:trPr>
          <w:gridBefore w:val="1"/>
          <w:wBefore w:w="18" w:type="dxa"/>
          <w:trHeight w:val="729"/>
          <w:jc w:val="center"/>
        </w:trPr>
        <w:tc>
          <w:tcPr>
            <w:tcW w:w="1856" w:type="dxa"/>
            <w:tcBorders>
              <w:top w:val="single" w:sz="18" w:space="0" w:color="auto"/>
              <w:left w:val="single" w:sz="18" w:space="0" w:color="auto"/>
              <w:bottom w:val="single" w:sz="4" w:space="0" w:color="auto"/>
              <w:right w:val="single" w:sz="8" w:space="0" w:color="auto"/>
            </w:tcBorders>
            <w:shd w:val="clear" w:color="auto" w:fill="95B3D7" w:themeFill="accent1" w:themeFillTint="99"/>
            <w:vAlign w:val="center"/>
          </w:tcPr>
          <w:p w:rsidR="001D24D9" w:rsidRPr="006B5B9D" w:rsidRDefault="001D24D9" w:rsidP="00464910">
            <w:pPr>
              <w:spacing w:after="0" w:line="240" w:lineRule="auto"/>
              <w:jc w:val="center"/>
              <w:rPr>
                <w:rFonts w:ascii="Calibri" w:hAnsi="Calibri" w:cs="Calibri"/>
                <w:b/>
                <w:bCs/>
                <w:sz w:val="24"/>
                <w:szCs w:val="24"/>
              </w:rPr>
            </w:pPr>
            <w:r w:rsidRPr="006B5B9D">
              <w:rPr>
                <w:rFonts w:ascii="Calibri" w:hAnsi="Calibri" w:cs="Calibri"/>
                <w:b/>
                <w:bCs/>
                <w:sz w:val="24"/>
                <w:szCs w:val="24"/>
              </w:rPr>
              <w:t>Intitulé :</w:t>
            </w:r>
          </w:p>
        </w:tc>
        <w:tc>
          <w:tcPr>
            <w:tcW w:w="7938" w:type="dxa"/>
            <w:tcBorders>
              <w:top w:val="single" w:sz="18" w:space="0" w:color="auto"/>
              <w:bottom w:val="single" w:sz="4" w:space="0" w:color="auto"/>
              <w:right w:val="single" w:sz="18" w:space="0" w:color="auto"/>
            </w:tcBorders>
            <w:shd w:val="clear" w:color="auto" w:fill="auto"/>
            <w:vAlign w:val="bottom"/>
          </w:tcPr>
          <w:p w:rsidR="001D24D9" w:rsidRPr="006B5B9D" w:rsidRDefault="001D24D9" w:rsidP="006B5B9D">
            <w:pPr>
              <w:spacing w:after="0" w:line="240" w:lineRule="auto"/>
              <w:jc w:val="both"/>
              <w:rPr>
                <w:rFonts w:ascii="Times New Roman" w:hAnsi="Times New Roman" w:cs="Times New Roman"/>
                <w:color w:val="000000"/>
                <w:sz w:val="24"/>
                <w:szCs w:val="24"/>
              </w:rPr>
            </w:pPr>
            <w:r w:rsidRPr="006B5B9D">
              <w:rPr>
                <w:color w:val="000000"/>
                <w:sz w:val="24"/>
                <w:szCs w:val="24"/>
              </w:rPr>
              <w:t>Systèmes de Sécurité Incendie (S.S.I.) - Dispositifs Actionnés de Sécurité (D.A.S.) - Coffret de relayage pour un ventilateur de désenfumage ;</w:t>
            </w:r>
          </w:p>
        </w:tc>
      </w:tr>
      <w:tr w:rsidR="001D24D9" w:rsidRPr="0043547B" w:rsidTr="00566A17">
        <w:trPr>
          <w:gridBefore w:val="1"/>
          <w:wBefore w:w="18" w:type="dxa"/>
          <w:trHeight w:val="1466"/>
          <w:jc w:val="center"/>
        </w:trPr>
        <w:tc>
          <w:tcPr>
            <w:tcW w:w="1856" w:type="dxa"/>
            <w:tcBorders>
              <w:top w:val="single" w:sz="4" w:space="0" w:color="auto"/>
              <w:left w:val="single" w:sz="18" w:space="0" w:color="auto"/>
              <w:bottom w:val="single" w:sz="18" w:space="0" w:color="auto"/>
              <w:right w:val="single" w:sz="8" w:space="0" w:color="auto"/>
            </w:tcBorders>
            <w:shd w:val="clear" w:color="000000" w:fill="D9D9D9"/>
            <w:vAlign w:val="center"/>
          </w:tcPr>
          <w:p w:rsidR="001D24D9" w:rsidRPr="006B5B9D" w:rsidRDefault="001D24D9" w:rsidP="00464910">
            <w:pPr>
              <w:spacing w:after="0" w:line="240" w:lineRule="auto"/>
              <w:jc w:val="center"/>
              <w:rPr>
                <w:rFonts w:ascii="Calibri" w:hAnsi="Calibri" w:cs="Calibri"/>
                <w:b/>
                <w:bCs/>
                <w:sz w:val="24"/>
                <w:szCs w:val="24"/>
              </w:rPr>
            </w:pPr>
            <w:r w:rsidRPr="006B5B9D">
              <w:rPr>
                <w:rFonts w:ascii="Calibri" w:hAnsi="Calibri" w:cs="Calibri"/>
                <w:b/>
                <w:bCs/>
                <w:sz w:val="24"/>
                <w:szCs w:val="24"/>
              </w:rPr>
              <w:t>Domaine d’application :</w:t>
            </w:r>
          </w:p>
        </w:tc>
        <w:tc>
          <w:tcPr>
            <w:tcW w:w="7938" w:type="dxa"/>
            <w:tcBorders>
              <w:top w:val="single" w:sz="4" w:space="0" w:color="auto"/>
              <w:bottom w:val="single" w:sz="18" w:space="0" w:color="auto"/>
              <w:right w:val="single" w:sz="18" w:space="0" w:color="auto"/>
            </w:tcBorders>
            <w:shd w:val="clear" w:color="auto" w:fill="auto"/>
            <w:vAlign w:val="bottom"/>
          </w:tcPr>
          <w:p w:rsidR="001D24D9" w:rsidRPr="006B5B9D" w:rsidRDefault="001D24D9" w:rsidP="00591596">
            <w:pPr>
              <w:spacing w:after="0" w:line="240" w:lineRule="auto"/>
              <w:jc w:val="both"/>
              <w:rPr>
                <w:rFonts w:ascii="Times New Roman" w:hAnsi="Times New Roman" w:cs="Times New Roman"/>
                <w:color w:val="000000"/>
                <w:sz w:val="24"/>
                <w:szCs w:val="24"/>
              </w:rPr>
            </w:pPr>
            <w:r w:rsidRPr="006B5B9D">
              <w:rPr>
                <w:color w:val="000000"/>
                <w:sz w:val="24"/>
                <w:szCs w:val="24"/>
              </w:rPr>
              <w:t>La présente norme a pour objet de fixer les conditions de fonctionnement ainsi que les caractéristiques</w:t>
            </w:r>
            <w:r w:rsidR="00591596">
              <w:rPr>
                <w:color w:val="000000"/>
                <w:sz w:val="24"/>
                <w:szCs w:val="24"/>
              </w:rPr>
              <w:t xml:space="preserve"> </w:t>
            </w:r>
            <w:r w:rsidRPr="006B5B9D">
              <w:rPr>
                <w:color w:val="000000"/>
                <w:sz w:val="24"/>
                <w:szCs w:val="24"/>
              </w:rPr>
              <w:t>générales et prescriptions particulières relatives aux D.A.S. de type coffret de relayage pour un seul ventilateur</w:t>
            </w:r>
            <w:r w:rsidR="00591596">
              <w:rPr>
                <w:color w:val="000000"/>
                <w:sz w:val="24"/>
                <w:szCs w:val="24"/>
              </w:rPr>
              <w:t xml:space="preserve"> </w:t>
            </w:r>
            <w:r w:rsidRPr="006B5B9D">
              <w:rPr>
                <w:color w:val="000000"/>
                <w:sz w:val="24"/>
                <w:szCs w:val="24"/>
              </w:rPr>
              <w:t>de désenfumage.</w:t>
            </w:r>
            <w:r w:rsidRPr="006B5B9D">
              <w:rPr>
                <w:color w:val="000000"/>
                <w:sz w:val="24"/>
                <w:szCs w:val="24"/>
              </w:rPr>
              <w:br/>
              <w:t>L’Annexe A donne un schéma de principe d’une installation de coffret de relayage pour ventilateur</w:t>
            </w:r>
            <w:r w:rsidR="00591596">
              <w:rPr>
                <w:color w:val="000000"/>
                <w:sz w:val="24"/>
                <w:szCs w:val="24"/>
              </w:rPr>
              <w:t xml:space="preserve"> </w:t>
            </w:r>
            <w:r w:rsidRPr="006B5B9D">
              <w:rPr>
                <w:color w:val="000000"/>
                <w:sz w:val="24"/>
                <w:szCs w:val="24"/>
              </w:rPr>
              <w:t>de désenfumage.</w:t>
            </w:r>
          </w:p>
        </w:tc>
      </w:tr>
      <w:tr w:rsidR="001D24D9" w:rsidRPr="0043547B" w:rsidTr="00591596">
        <w:trPr>
          <w:gridBefore w:val="1"/>
          <w:wBefore w:w="18" w:type="dxa"/>
          <w:trHeight w:val="439"/>
          <w:jc w:val="center"/>
        </w:trPr>
        <w:tc>
          <w:tcPr>
            <w:tcW w:w="1856" w:type="dxa"/>
            <w:tcBorders>
              <w:top w:val="single" w:sz="4" w:space="0" w:color="auto"/>
              <w:left w:val="single" w:sz="18" w:space="0" w:color="auto"/>
              <w:bottom w:val="single" w:sz="18" w:space="0" w:color="auto"/>
              <w:right w:val="single" w:sz="8" w:space="0" w:color="auto"/>
            </w:tcBorders>
            <w:shd w:val="clear" w:color="auto" w:fill="C2D69B" w:themeFill="accent3" w:themeFillTint="99"/>
            <w:vAlign w:val="center"/>
          </w:tcPr>
          <w:p w:rsidR="001D24D9" w:rsidRPr="006B5B9D" w:rsidRDefault="001D24D9" w:rsidP="00464910">
            <w:pPr>
              <w:spacing w:after="0" w:line="240" w:lineRule="auto"/>
              <w:jc w:val="center"/>
              <w:rPr>
                <w:rFonts w:ascii="Calibri" w:hAnsi="Calibri" w:cs="Calibri"/>
                <w:b/>
                <w:bCs/>
                <w:sz w:val="24"/>
                <w:szCs w:val="24"/>
              </w:rPr>
            </w:pPr>
            <w:r w:rsidRPr="006B5B9D">
              <w:rPr>
                <w:rFonts w:ascii="Calibri" w:hAnsi="Calibri" w:cs="Calibri"/>
                <w:b/>
                <w:bCs/>
                <w:sz w:val="24"/>
                <w:szCs w:val="24"/>
              </w:rPr>
              <w:t>Code :</w:t>
            </w:r>
          </w:p>
        </w:tc>
        <w:tc>
          <w:tcPr>
            <w:tcW w:w="7938" w:type="dxa"/>
            <w:tcBorders>
              <w:top w:val="single" w:sz="4" w:space="0" w:color="auto"/>
              <w:bottom w:val="single" w:sz="18" w:space="0" w:color="auto"/>
              <w:right w:val="single" w:sz="18" w:space="0" w:color="auto"/>
            </w:tcBorders>
            <w:shd w:val="clear" w:color="auto" w:fill="C2D69B" w:themeFill="accent3" w:themeFillTint="99"/>
            <w:vAlign w:val="center"/>
          </w:tcPr>
          <w:p w:rsidR="001D24D9" w:rsidRPr="00591596" w:rsidRDefault="001D24D9" w:rsidP="00591596">
            <w:pPr>
              <w:spacing w:after="0" w:line="240" w:lineRule="auto"/>
              <w:jc w:val="center"/>
              <w:rPr>
                <w:rFonts w:ascii="Times New Roman" w:hAnsi="Times New Roman" w:cs="Times New Roman"/>
                <w:b/>
                <w:bCs/>
                <w:color w:val="000000"/>
                <w:sz w:val="24"/>
                <w:szCs w:val="24"/>
              </w:rPr>
            </w:pPr>
            <w:r w:rsidRPr="00591596">
              <w:rPr>
                <w:b/>
                <w:bCs/>
                <w:color w:val="000000"/>
                <w:sz w:val="24"/>
                <w:szCs w:val="24"/>
              </w:rPr>
              <w:t>NM 21.9.141</w:t>
            </w:r>
          </w:p>
        </w:tc>
      </w:tr>
      <w:tr w:rsidR="001D24D9" w:rsidRPr="0043547B" w:rsidTr="00566A17">
        <w:trPr>
          <w:gridBefore w:val="1"/>
          <w:wBefore w:w="18" w:type="dxa"/>
          <w:trHeight w:val="389"/>
          <w:jc w:val="center"/>
        </w:trPr>
        <w:tc>
          <w:tcPr>
            <w:tcW w:w="1856" w:type="dxa"/>
            <w:tcBorders>
              <w:top w:val="single" w:sz="4" w:space="0" w:color="auto"/>
              <w:left w:val="single" w:sz="18" w:space="0" w:color="auto"/>
              <w:bottom w:val="single" w:sz="18" w:space="0" w:color="auto"/>
              <w:right w:val="single" w:sz="8" w:space="0" w:color="auto"/>
            </w:tcBorders>
            <w:shd w:val="clear" w:color="auto" w:fill="FFFF99"/>
            <w:vAlign w:val="center"/>
          </w:tcPr>
          <w:p w:rsidR="001D24D9" w:rsidRPr="006B5B9D" w:rsidRDefault="001D24D9" w:rsidP="00464910">
            <w:pPr>
              <w:spacing w:after="0" w:line="240" w:lineRule="auto"/>
              <w:jc w:val="center"/>
              <w:rPr>
                <w:rFonts w:ascii="Calibri" w:hAnsi="Calibri" w:cs="Calibri"/>
                <w:b/>
                <w:bCs/>
                <w:sz w:val="24"/>
                <w:szCs w:val="24"/>
              </w:rPr>
            </w:pPr>
            <w:r w:rsidRPr="006B5B9D">
              <w:rPr>
                <w:rFonts w:ascii="Calibri" w:hAnsi="Calibri" w:cs="Calibri"/>
                <w:b/>
                <w:bCs/>
                <w:sz w:val="24"/>
                <w:szCs w:val="24"/>
              </w:rPr>
              <w:t>Equivalence :</w:t>
            </w:r>
          </w:p>
        </w:tc>
        <w:tc>
          <w:tcPr>
            <w:tcW w:w="7938" w:type="dxa"/>
            <w:tcBorders>
              <w:top w:val="single" w:sz="4" w:space="0" w:color="auto"/>
              <w:bottom w:val="single" w:sz="18" w:space="0" w:color="auto"/>
              <w:right w:val="single" w:sz="18" w:space="0" w:color="auto"/>
            </w:tcBorders>
            <w:shd w:val="clear" w:color="auto" w:fill="FFFF99"/>
            <w:vAlign w:val="center"/>
          </w:tcPr>
          <w:p w:rsidR="001D24D9" w:rsidRPr="00591596" w:rsidRDefault="001D24D9" w:rsidP="00591596">
            <w:pPr>
              <w:spacing w:after="0" w:line="240" w:lineRule="auto"/>
              <w:jc w:val="center"/>
              <w:rPr>
                <w:rFonts w:ascii="Times New Roman" w:hAnsi="Times New Roman" w:cs="Times New Roman"/>
                <w:b/>
                <w:bCs/>
                <w:color w:val="000000"/>
                <w:sz w:val="24"/>
                <w:szCs w:val="24"/>
              </w:rPr>
            </w:pPr>
            <w:r w:rsidRPr="00591596">
              <w:rPr>
                <w:b/>
                <w:bCs/>
                <w:color w:val="000000"/>
                <w:sz w:val="24"/>
                <w:szCs w:val="24"/>
              </w:rPr>
              <w:t>NF S 61-937-10</w:t>
            </w:r>
          </w:p>
        </w:tc>
      </w:tr>
      <w:tr w:rsidR="001D24D9" w:rsidRPr="0043547B" w:rsidTr="00566A17">
        <w:trPr>
          <w:gridBefore w:val="1"/>
          <w:wBefore w:w="18" w:type="dxa"/>
          <w:trHeight w:val="653"/>
          <w:jc w:val="center"/>
        </w:trPr>
        <w:tc>
          <w:tcPr>
            <w:tcW w:w="1856" w:type="dxa"/>
            <w:tcBorders>
              <w:top w:val="single" w:sz="18" w:space="0" w:color="auto"/>
              <w:left w:val="single" w:sz="18" w:space="0" w:color="auto"/>
              <w:bottom w:val="single" w:sz="4" w:space="0" w:color="auto"/>
              <w:right w:val="single" w:sz="8" w:space="0" w:color="auto"/>
            </w:tcBorders>
            <w:shd w:val="clear" w:color="auto" w:fill="95B3D7" w:themeFill="accent1" w:themeFillTint="99"/>
            <w:vAlign w:val="center"/>
          </w:tcPr>
          <w:p w:rsidR="001D24D9" w:rsidRPr="006B5B9D" w:rsidRDefault="001D24D9" w:rsidP="00464910">
            <w:pPr>
              <w:spacing w:after="0" w:line="240" w:lineRule="auto"/>
              <w:jc w:val="center"/>
              <w:rPr>
                <w:rFonts w:ascii="Calibri" w:hAnsi="Calibri" w:cs="Calibri"/>
                <w:b/>
                <w:bCs/>
                <w:sz w:val="24"/>
                <w:szCs w:val="24"/>
              </w:rPr>
            </w:pPr>
            <w:r w:rsidRPr="006B5B9D">
              <w:rPr>
                <w:rFonts w:ascii="Calibri" w:hAnsi="Calibri" w:cs="Calibri"/>
                <w:b/>
                <w:bCs/>
                <w:sz w:val="24"/>
                <w:szCs w:val="24"/>
              </w:rPr>
              <w:lastRenderedPageBreak/>
              <w:t>Intitulé :</w:t>
            </w:r>
          </w:p>
        </w:tc>
        <w:tc>
          <w:tcPr>
            <w:tcW w:w="7938" w:type="dxa"/>
            <w:tcBorders>
              <w:top w:val="single" w:sz="18" w:space="0" w:color="auto"/>
              <w:bottom w:val="single" w:sz="4" w:space="0" w:color="auto"/>
              <w:right w:val="single" w:sz="18" w:space="0" w:color="auto"/>
            </w:tcBorders>
            <w:shd w:val="clear" w:color="auto" w:fill="auto"/>
            <w:vAlign w:val="bottom"/>
          </w:tcPr>
          <w:p w:rsidR="001D24D9" w:rsidRPr="006B5B9D" w:rsidRDefault="001D24D9" w:rsidP="006B5B9D">
            <w:pPr>
              <w:spacing w:after="0" w:line="240" w:lineRule="auto"/>
              <w:jc w:val="both"/>
              <w:rPr>
                <w:rFonts w:ascii="Times New Roman" w:hAnsi="Times New Roman" w:cs="Times New Roman"/>
                <w:color w:val="000000"/>
                <w:sz w:val="24"/>
                <w:szCs w:val="24"/>
              </w:rPr>
            </w:pPr>
            <w:r w:rsidRPr="006B5B9D">
              <w:rPr>
                <w:color w:val="000000"/>
                <w:sz w:val="24"/>
                <w:szCs w:val="24"/>
              </w:rPr>
              <w:t>Systèmes de Sécurité Incendie (S.S.I.) - Dispositifs Actionnés de Sécurité (D.A.S.) - Compatibilité pour intégration dans un S.S.I. des volets de désenfumage ;</w:t>
            </w:r>
          </w:p>
        </w:tc>
      </w:tr>
      <w:tr w:rsidR="001D24D9" w:rsidRPr="0043547B" w:rsidTr="00566A17">
        <w:trPr>
          <w:gridBefore w:val="1"/>
          <w:wBefore w:w="18" w:type="dxa"/>
          <w:trHeight w:val="2115"/>
          <w:jc w:val="center"/>
        </w:trPr>
        <w:tc>
          <w:tcPr>
            <w:tcW w:w="1856" w:type="dxa"/>
            <w:tcBorders>
              <w:top w:val="single" w:sz="4" w:space="0" w:color="auto"/>
              <w:left w:val="single" w:sz="18" w:space="0" w:color="auto"/>
              <w:bottom w:val="single" w:sz="18" w:space="0" w:color="auto"/>
              <w:right w:val="single" w:sz="8" w:space="0" w:color="auto"/>
            </w:tcBorders>
            <w:shd w:val="clear" w:color="000000" w:fill="D9D9D9"/>
            <w:vAlign w:val="center"/>
          </w:tcPr>
          <w:p w:rsidR="001D24D9" w:rsidRPr="006B5B9D" w:rsidRDefault="001D24D9" w:rsidP="00464910">
            <w:pPr>
              <w:spacing w:after="0" w:line="240" w:lineRule="auto"/>
              <w:jc w:val="center"/>
              <w:rPr>
                <w:rFonts w:ascii="Calibri" w:hAnsi="Calibri" w:cs="Calibri"/>
                <w:b/>
                <w:bCs/>
                <w:sz w:val="24"/>
                <w:szCs w:val="24"/>
              </w:rPr>
            </w:pPr>
            <w:r w:rsidRPr="006B5B9D">
              <w:rPr>
                <w:rFonts w:ascii="Calibri" w:hAnsi="Calibri" w:cs="Calibri"/>
                <w:b/>
                <w:bCs/>
                <w:sz w:val="24"/>
                <w:szCs w:val="24"/>
              </w:rPr>
              <w:t>Domaine d’application :</w:t>
            </w:r>
          </w:p>
        </w:tc>
        <w:tc>
          <w:tcPr>
            <w:tcW w:w="7938" w:type="dxa"/>
            <w:tcBorders>
              <w:top w:val="single" w:sz="4" w:space="0" w:color="auto"/>
              <w:bottom w:val="single" w:sz="18" w:space="0" w:color="auto"/>
              <w:right w:val="single" w:sz="18" w:space="0" w:color="auto"/>
            </w:tcBorders>
            <w:shd w:val="clear" w:color="auto" w:fill="auto"/>
            <w:vAlign w:val="bottom"/>
          </w:tcPr>
          <w:p w:rsidR="00591596" w:rsidRDefault="001D24D9" w:rsidP="00591596">
            <w:pPr>
              <w:spacing w:after="0" w:line="240" w:lineRule="auto"/>
              <w:jc w:val="both"/>
              <w:rPr>
                <w:color w:val="000000"/>
                <w:sz w:val="24"/>
                <w:szCs w:val="24"/>
              </w:rPr>
            </w:pPr>
            <w:r w:rsidRPr="006B5B9D">
              <w:rPr>
                <w:color w:val="000000"/>
                <w:sz w:val="24"/>
                <w:szCs w:val="24"/>
              </w:rPr>
              <w:t>La présente norme a pour objet de fixer les conditions de fonctionnement ainsi que les caractéristiques</w:t>
            </w:r>
            <w:r w:rsidR="00591596">
              <w:rPr>
                <w:color w:val="000000"/>
                <w:sz w:val="24"/>
                <w:szCs w:val="24"/>
              </w:rPr>
              <w:t xml:space="preserve"> </w:t>
            </w:r>
            <w:r w:rsidRPr="006B5B9D">
              <w:rPr>
                <w:color w:val="000000"/>
                <w:sz w:val="24"/>
                <w:szCs w:val="24"/>
              </w:rPr>
              <w:t>générales et prescriptions particulières relatives aux volets de désenfumage en tant que D.A.S. en vue de leur</w:t>
            </w:r>
            <w:r w:rsidR="00591596">
              <w:rPr>
                <w:color w:val="000000"/>
                <w:sz w:val="24"/>
                <w:szCs w:val="24"/>
              </w:rPr>
              <w:t xml:space="preserve"> </w:t>
            </w:r>
            <w:r w:rsidRPr="006B5B9D">
              <w:rPr>
                <w:color w:val="000000"/>
                <w:sz w:val="24"/>
                <w:szCs w:val="24"/>
              </w:rPr>
              <w:t>intégration dans un S.S.I.</w:t>
            </w:r>
            <w:r w:rsidRPr="006B5B9D">
              <w:rPr>
                <w:color w:val="000000"/>
                <w:sz w:val="24"/>
                <w:szCs w:val="24"/>
              </w:rPr>
              <w:br/>
              <w:t>Les volets pour conduit collectif et les volets pour conduit unitaire ou collecteur sont définis dans le présent</w:t>
            </w:r>
            <w:r w:rsidR="00591596">
              <w:rPr>
                <w:color w:val="000000"/>
                <w:sz w:val="24"/>
                <w:szCs w:val="24"/>
              </w:rPr>
              <w:t xml:space="preserve"> </w:t>
            </w:r>
            <w:r w:rsidRPr="006B5B9D">
              <w:rPr>
                <w:color w:val="000000"/>
                <w:sz w:val="24"/>
                <w:szCs w:val="24"/>
              </w:rPr>
              <w:t>document.</w:t>
            </w:r>
          </w:p>
          <w:p w:rsidR="001D24D9" w:rsidRPr="006B5B9D" w:rsidRDefault="001D24D9" w:rsidP="00591596">
            <w:pPr>
              <w:spacing w:after="0" w:line="240" w:lineRule="auto"/>
              <w:jc w:val="both"/>
              <w:rPr>
                <w:rFonts w:ascii="Times New Roman" w:hAnsi="Times New Roman" w:cs="Times New Roman"/>
                <w:color w:val="000000"/>
                <w:sz w:val="24"/>
                <w:szCs w:val="24"/>
              </w:rPr>
            </w:pPr>
            <w:r w:rsidRPr="006B5B9D">
              <w:rPr>
                <w:color w:val="000000"/>
                <w:sz w:val="24"/>
                <w:szCs w:val="24"/>
              </w:rPr>
              <w:t>Les volets de transfert sont définis dans la norme NM 21.9.142.</w:t>
            </w:r>
          </w:p>
        </w:tc>
      </w:tr>
      <w:tr w:rsidR="001D24D9" w:rsidRPr="0043547B" w:rsidTr="00591596">
        <w:trPr>
          <w:gridBefore w:val="1"/>
          <w:wBefore w:w="18" w:type="dxa"/>
          <w:trHeight w:val="509"/>
          <w:jc w:val="center"/>
        </w:trPr>
        <w:tc>
          <w:tcPr>
            <w:tcW w:w="1856" w:type="dxa"/>
            <w:tcBorders>
              <w:top w:val="single" w:sz="4" w:space="0" w:color="auto"/>
              <w:left w:val="single" w:sz="18" w:space="0" w:color="auto"/>
              <w:bottom w:val="single" w:sz="18" w:space="0" w:color="auto"/>
              <w:right w:val="single" w:sz="8" w:space="0" w:color="auto"/>
            </w:tcBorders>
            <w:shd w:val="clear" w:color="auto" w:fill="C2D69B" w:themeFill="accent3" w:themeFillTint="99"/>
            <w:vAlign w:val="center"/>
          </w:tcPr>
          <w:p w:rsidR="001D24D9" w:rsidRPr="006B5B9D" w:rsidRDefault="001D24D9" w:rsidP="00464910">
            <w:pPr>
              <w:spacing w:after="0" w:line="240" w:lineRule="auto"/>
              <w:jc w:val="center"/>
              <w:rPr>
                <w:rFonts w:ascii="Calibri" w:hAnsi="Calibri" w:cs="Calibri"/>
                <w:b/>
                <w:bCs/>
                <w:sz w:val="24"/>
                <w:szCs w:val="24"/>
              </w:rPr>
            </w:pPr>
            <w:r w:rsidRPr="006B5B9D">
              <w:rPr>
                <w:rFonts w:ascii="Calibri" w:hAnsi="Calibri" w:cs="Calibri"/>
                <w:b/>
                <w:bCs/>
                <w:sz w:val="24"/>
                <w:szCs w:val="24"/>
              </w:rPr>
              <w:t>Code :</w:t>
            </w:r>
          </w:p>
        </w:tc>
        <w:tc>
          <w:tcPr>
            <w:tcW w:w="7938" w:type="dxa"/>
            <w:tcBorders>
              <w:top w:val="single" w:sz="4" w:space="0" w:color="auto"/>
              <w:bottom w:val="single" w:sz="18" w:space="0" w:color="auto"/>
              <w:right w:val="single" w:sz="18" w:space="0" w:color="auto"/>
            </w:tcBorders>
            <w:shd w:val="clear" w:color="auto" w:fill="C2D69B" w:themeFill="accent3" w:themeFillTint="99"/>
            <w:vAlign w:val="center"/>
          </w:tcPr>
          <w:p w:rsidR="001D24D9" w:rsidRPr="00591596" w:rsidRDefault="001D24D9" w:rsidP="00591596">
            <w:pPr>
              <w:spacing w:after="0" w:line="240" w:lineRule="auto"/>
              <w:jc w:val="center"/>
              <w:rPr>
                <w:rFonts w:ascii="Times New Roman" w:hAnsi="Times New Roman" w:cs="Times New Roman"/>
                <w:b/>
                <w:bCs/>
                <w:color w:val="000000"/>
                <w:sz w:val="24"/>
                <w:szCs w:val="24"/>
              </w:rPr>
            </w:pPr>
            <w:r w:rsidRPr="00591596">
              <w:rPr>
                <w:b/>
                <w:bCs/>
                <w:color w:val="000000"/>
                <w:sz w:val="24"/>
                <w:szCs w:val="24"/>
              </w:rPr>
              <w:t>NM 21.9.142</w:t>
            </w:r>
          </w:p>
        </w:tc>
      </w:tr>
      <w:tr w:rsidR="001D24D9" w:rsidRPr="0043547B" w:rsidTr="00566A17">
        <w:trPr>
          <w:gridBefore w:val="1"/>
          <w:wBefore w:w="18" w:type="dxa"/>
          <w:trHeight w:val="328"/>
          <w:jc w:val="center"/>
        </w:trPr>
        <w:tc>
          <w:tcPr>
            <w:tcW w:w="1856" w:type="dxa"/>
            <w:tcBorders>
              <w:top w:val="single" w:sz="4" w:space="0" w:color="auto"/>
              <w:left w:val="single" w:sz="18" w:space="0" w:color="auto"/>
              <w:bottom w:val="single" w:sz="18" w:space="0" w:color="auto"/>
              <w:right w:val="single" w:sz="8" w:space="0" w:color="auto"/>
            </w:tcBorders>
            <w:shd w:val="clear" w:color="auto" w:fill="FFFF99"/>
            <w:vAlign w:val="center"/>
          </w:tcPr>
          <w:p w:rsidR="001D24D9" w:rsidRPr="006B5B9D" w:rsidRDefault="001D24D9" w:rsidP="00464910">
            <w:pPr>
              <w:spacing w:after="0" w:line="240" w:lineRule="auto"/>
              <w:jc w:val="center"/>
              <w:rPr>
                <w:rFonts w:ascii="Calibri" w:hAnsi="Calibri" w:cs="Calibri"/>
                <w:b/>
                <w:bCs/>
                <w:sz w:val="24"/>
                <w:szCs w:val="24"/>
              </w:rPr>
            </w:pPr>
            <w:r w:rsidRPr="006B5B9D">
              <w:rPr>
                <w:rFonts w:ascii="Calibri" w:hAnsi="Calibri" w:cs="Calibri"/>
                <w:b/>
                <w:bCs/>
                <w:sz w:val="24"/>
                <w:szCs w:val="24"/>
              </w:rPr>
              <w:t>Equivalence :</w:t>
            </w:r>
          </w:p>
        </w:tc>
        <w:tc>
          <w:tcPr>
            <w:tcW w:w="7938" w:type="dxa"/>
            <w:tcBorders>
              <w:top w:val="single" w:sz="4" w:space="0" w:color="auto"/>
              <w:bottom w:val="single" w:sz="18" w:space="0" w:color="auto"/>
              <w:right w:val="single" w:sz="18" w:space="0" w:color="auto"/>
            </w:tcBorders>
            <w:shd w:val="clear" w:color="auto" w:fill="FFFF99"/>
            <w:vAlign w:val="center"/>
          </w:tcPr>
          <w:p w:rsidR="001D24D9" w:rsidRPr="00591596" w:rsidRDefault="001D24D9" w:rsidP="00591596">
            <w:pPr>
              <w:spacing w:after="0" w:line="240" w:lineRule="auto"/>
              <w:jc w:val="center"/>
              <w:rPr>
                <w:rFonts w:ascii="Times New Roman" w:hAnsi="Times New Roman" w:cs="Times New Roman"/>
                <w:b/>
                <w:bCs/>
                <w:color w:val="000000"/>
                <w:sz w:val="24"/>
                <w:szCs w:val="24"/>
              </w:rPr>
            </w:pPr>
            <w:r w:rsidRPr="00591596">
              <w:rPr>
                <w:b/>
                <w:bCs/>
                <w:color w:val="000000"/>
                <w:sz w:val="24"/>
                <w:szCs w:val="24"/>
              </w:rPr>
              <w:t>NF S 61-937-11</w:t>
            </w:r>
          </w:p>
        </w:tc>
      </w:tr>
      <w:tr w:rsidR="001D24D9" w:rsidRPr="0043547B" w:rsidTr="00566A17">
        <w:trPr>
          <w:gridBefore w:val="1"/>
          <w:wBefore w:w="18" w:type="dxa"/>
          <w:trHeight w:val="518"/>
          <w:jc w:val="center"/>
        </w:trPr>
        <w:tc>
          <w:tcPr>
            <w:tcW w:w="1856" w:type="dxa"/>
            <w:tcBorders>
              <w:top w:val="single" w:sz="18" w:space="0" w:color="auto"/>
              <w:left w:val="single" w:sz="18" w:space="0" w:color="auto"/>
              <w:bottom w:val="single" w:sz="4" w:space="0" w:color="auto"/>
              <w:right w:val="single" w:sz="8" w:space="0" w:color="auto"/>
            </w:tcBorders>
            <w:shd w:val="clear" w:color="auto" w:fill="95B3D7" w:themeFill="accent1" w:themeFillTint="99"/>
            <w:vAlign w:val="center"/>
          </w:tcPr>
          <w:p w:rsidR="001D24D9" w:rsidRPr="006B5B9D" w:rsidRDefault="001D24D9" w:rsidP="00464910">
            <w:pPr>
              <w:spacing w:after="0" w:line="240" w:lineRule="auto"/>
              <w:jc w:val="center"/>
              <w:rPr>
                <w:rFonts w:ascii="Calibri" w:hAnsi="Calibri" w:cs="Calibri"/>
                <w:b/>
                <w:bCs/>
                <w:sz w:val="24"/>
                <w:szCs w:val="24"/>
              </w:rPr>
            </w:pPr>
            <w:r w:rsidRPr="006B5B9D">
              <w:rPr>
                <w:rFonts w:ascii="Calibri" w:hAnsi="Calibri" w:cs="Calibri"/>
                <w:b/>
                <w:bCs/>
                <w:sz w:val="24"/>
                <w:szCs w:val="24"/>
              </w:rPr>
              <w:t>Intitulé :</w:t>
            </w:r>
          </w:p>
        </w:tc>
        <w:tc>
          <w:tcPr>
            <w:tcW w:w="7938" w:type="dxa"/>
            <w:tcBorders>
              <w:top w:val="single" w:sz="18" w:space="0" w:color="auto"/>
              <w:bottom w:val="single" w:sz="4" w:space="0" w:color="auto"/>
              <w:right w:val="single" w:sz="18" w:space="0" w:color="auto"/>
            </w:tcBorders>
            <w:shd w:val="clear" w:color="auto" w:fill="auto"/>
            <w:vAlign w:val="bottom"/>
          </w:tcPr>
          <w:p w:rsidR="001D24D9" w:rsidRPr="006B5B9D" w:rsidRDefault="001D24D9" w:rsidP="006B5B9D">
            <w:pPr>
              <w:spacing w:after="0" w:line="240" w:lineRule="auto"/>
              <w:jc w:val="both"/>
              <w:rPr>
                <w:rFonts w:ascii="Times New Roman" w:hAnsi="Times New Roman" w:cs="Times New Roman"/>
                <w:color w:val="000000"/>
                <w:sz w:val="24"/>
                <w:szCs w:val="24"/>
              </w:rPr>
            </w:pPr>
            <w:r w:rsidRPr="006B5B9D">
              <w:rPr>
                <w:color w:val="000000"/>
                <w:sz w:val="24"/>
                <w:szCs w:val="24"/>
              </w:rPr>
              <w:t>Systèmes de sécurité incendie (S.S.I.) - Dispositifs actionnés de sécurité (D.A.S.) - Volets de transfert ;</w:t>
            </w:r>
          </w:p>
        </w:tc>
      </w:tr>
      <w:tr w:rsidR="001D24D9" w:rsidRPr="0043547B" w:rsidTr="00566A17">
        <w:trPr>
          <w:gridBefore w:val="1"/>
          <w:wBefore w:w="18" w:type="dxa"/>
          <w:trHeight w:val="963"/>
          <w:jc w:val="center"/>
        </w:trPr>
        <w:tc>
          <w:tcPr>
            <w:tcW w:w="1856" w:type="dxa"/>
            <w:tcBorders>
              <w:top w:val="single" w:sz="4" w:space="0" w:color="auto"/>
              <w:left w:val="single" w:sz="18" w:space="0" w:color="auto"/>
              <w:bottom w:val="single" w:sz="18" w:space="0" w:color="auto"/>
              <w:right w:val="single" w:sz="8" w:space="0" w:color="auto"/>
            </w:tcBorders>
            <w:shd w:val="clear" w:color="000000" w:fill="D9D9D9"/>
            <w:vAlign w:val="center"/>
          </w:tcPr>
          <w:p w:rsidR="001D24D9" w:rsidRPr="006B5B9D" w:rsidRDefault="001D24D9" w:rsidP="00464910">
            <w:pPr>
              <w:spacing w:after="0" w:line="240" w:lineRule="auto"/>
              <w:jc w:val="center"/>
              <w:rPr>
                <w:rFonts w:ascii="Calibri" w:hAnsi="Calibri" w:cs="Calibri"/>
                <w:b/>
                <w:bCs/>
                <w:sz w:val="24"/>
                <w:szCs w:val="24"/>
              </w:rPr>
            </w:pPr>
            <w:r w:rsidRPr="006B5B9D">
              <w:rPr>
                <w:rFonts w:ascii="Calibri" w:hAnsi="Calibri" w:cs="Calibri"/>
                <w:b/>
                <w:bCs/>
                <w:sz w:val="24"/>
                <w:szCs w:val="24"/>
              </w:rPr>
              <w:t>Domaine d’application :</w:t>
            </w:r>
          </w:p>
        </w:tc>
        <w:tc>
          <w:tcPr>
            <w:tcW w:w="7938" w:type="dxa"/>
            <w:tcBorders>
              <w:top w:val="single" w:sz="4" w:space="0" w:color="auto"/>
              <w:bottom w:val="single" w:sz="18" w:space="0" w:color="auto"/>
              <w:right w:val="single" w:sz="18" w:space="0" w:color="auto"/>
            </w:tcBorders>
            <w:shd w:val="clear" w:color="auto" w:fill="auto"/>
            <w:vAlign w:val="bottom"/>
          </w:tcPr>
          <w:p w:rsidR="001D24D9" w:rsidRPr="006B5B9D" w:rsidRDefault="001D24D9" w:rsidP="00591596">
            <w:pPr>
              <w:spacing w:after="0" w:line="240" w:lineRule="auto"/>
              <w:jc w:val="both"/>
              <w:rPr>
                <w:rFonts w:ascii="Times New Roman" w:hAnsi="Times New Roman" w:cs="Times New Roman"/>
                <w:color w:val="000000"/>
                <w:sz w:val="24"/>
                <w:szCs w:val="24"/>
              </w:rPr>
            </w:pPr>
            <w:r w:rsidRPr="006B5B9D">
              <w:rPr>
                <w:color w:val="000000"/>
                <w:sz w:val="24"/>
                <w:szCs w:val="24"/>
              </w:rPr>
              <w:t>La présente norme a pour objet de fixer les conditions de fonctionnement ainsi que les caractéristiques</w:t>
            </w:r>
            <w:r w:rsidR="00591596">
              <w:rPr>
                <w:color w:val="000000"/>
                <w:sz w:val="24"/>
                <w:szCs w:val="24"/>
              </w:rPr>
              <w:t xml:space="preserve"> </w:t>
            </w:r>
            <w:r w:rsidRPr="006B5B9D">
              <w:rPr>
                <w:color w:val="000000"/>
                <w:sz w:val="24"/>
                <w:szCs w:val="24"/>
              </w:rPr>
              <w:t>générales et prescriptions particulières relatives aux D.A.S. de type volets de transfert.</w:t>
            </w:r>
          </w:p>
        </w:tc>
      </w:tr>
      <w:tr w:rsidR="001D24D9" w:rsidRPr="0043547B" w:rsidTr="00591596">
        <w:trPr>
          <w:gridBefore w:val="1"/>
          <w:wBefore w:w="18" w:type="dxa"/>
          <w:trHeight w:val="512"/>
          <w:jc w:val="center"/>
        </w:trPr>
        <w:tc>
          <w:tcPr>
            <w:tcW w:w="1856" w:type="dxa"/>
            <w:tcBorders>
              <w:top w:val="single" w:sz="4" w:space="0" w:color="auto"/>
              <w:left w:val="single" w:sz="18" w:space="0" w:color="auto"/>
              <w:bottom w:val="single" w:sz="18" w:space="0" w:color="auto"/>
              <w:right w:val="single" w:sz="8" w:space="0" w:color="auto"/>
            </w:tcBorders>
            <w:shd w:val="clear" w:color="auto" w:fill="C2D69B" w:themeFill="accent3" w:themeFillTint="99"/>
            <w:vAlign w:val="center"/>
          </w:tcPr>
          <w:p w:rsidR="001D24D9" w:rsidRPr="006B5B9D" w:rsidRDefault="001D24D9" w:rsidP="00464910">
            <w:pPr>
              <w:spacing w:after="0" w:line="240" w:lineRule="auto"/>
              <w:jc w:val="center"/>
              <w:rPr>
                <w:rFonts w:ascii="Calibri" w:hAnsi="Calibri" w:cs="Calibri"/>
                <w:b/>
                <w:bCs/>
                <w:sz w:val="24"/>
                <w:szCs w:val="24"/>
              </w:rPr>
            </w:pPr>
            <w:r w:rsidRPr="006B5B9D">
              <w:rPr>
                <w:rFonts w:ascii="Calibri" w:hAnsi="Calibri" w:cs="Calibri"/>
                <w:b/>
                <w:bCs/>
                <w:sz w:val="24"/>
                <w:szCs w:val="24"/>
              </w:rPr>
              <w:t>Code :</w:t>
            </w:r>
          </w:p>
        </w:tc>
        <w:tc>
          <w:tcPr>
            <w:tcW w:w="7938" w:type="dxa"/>
            <w:tcBorders>
              <w:top w:val="single" w:sz="4" w:space="0" w:color="auto"/>
              <w:bottom w:val="single" w:sz="18" w:space="0" w:color="auto"/>
              <w:right w:val="single" w:sz="18" w:space="0" w:color="auto"/>
            </w:tcBorders>
            <w:shd w:val="clear" w:color="auto" w:fill="C2D69B" w:themeFill="accent3" w:themeFillTint="99"/>
            <w:vAlign w:val="center"/>
          </w:tcPr>
          <w:p w:rsidR="001D24D9" w:rsidRPr="00591596" w:rsidRDefault="001D24D9" w:rsidP="00591596">
            <w:pPr>
              <w:spacing w:after="0" w:line="240" w:lineRule="auto"/>
              <w:jc w:val="center"/>
              <w:rPr>
                <w:rFonts w:ascii="Times New Roman" w:hAnsi="Times New Roman" w:cs="Times New Roman"/>
                <w:b/>
                <w:bCs/>
                <w:color w:val="000000"/>
                <w:sz w:val="24"/>
                <w:szCs w:val="24"/>
              </w:rPr>
            </w:pPr>
            <w:r w:rsidRPr="00591596">
              <w:rPr>
                <w:b/>
                <w:bCs/>
                <w:color w:val="000000"/>
                <w:sz w:val="24"/>
                <w:szCs w:val="24"/>
              </w:rPr>
              <w:t>NM 21.9.143</w:t>
            </w:r>
          </w:p>
        </w:tc>
      </w:tr>
      <w:tr w:rsidR="001D24D9" w:rsidRPr="0043547B" w:rsidTr="00566A17">
        <w:trPr>
          <w:gridBefore w:val="1"/>
          <w:wBefore w:w="18" w:type="dxa"/>
          <w:trHeight w:val="486"/>
          <w:jc w:val="center"/>
        </w:trPr>
        <w:tc>
          <w:tcPr>
            <w:tcW w:w="1856" w:type="dxa"/>
            <w:tcBorders>
              <w:top w:val="single" w:sz="4" w:space="0" w:color="auto"/>
              <w:left w:val="single" w:sz="18" w:space="0" w:color="auto"/>
              <w:bottom w:val="single" w:sz="18" w:space="0" w:color="auto"/>
              <w:right w:val="single" w:sz="8" w:space="0" w:color="auto"/>
            </w:tcBorders>
            <w:shd w:val="clear" w:color="auto" w:fill="FFFF99"/>
            <w:vAlign w:val="center"/>
          </w:tcPr>
          <w:p w:rsidR="001D24D9" w:rsidRPr="006B5B9D" w:rsidRDefault="001D24D9" w:rsidP="00464910">
            <w:pPr>
              <w:spacing w:after="0" w:line="240" w:lineRule="auto"/>
              <w:jc w:val="center"/>
              <w:rPr>
                <w:rFonts w:ascii="Calibri" w:hAnsi="Calibri" w:cs="Calibri"/>
                <w:b/>
                <w:bCs/>
                <w:sz w:val="24"/>
                <w:szCs w:val="24"/>
              </w:rPr>
            </w:pPr>
            <w:r w:rsidRPr="006B5B9D">
              <w:rPr>
                <w:rFonts w:ascii="Calibri" w:hAnsi="Calibri" w:cs="Calibri"/>
                <w:b/>
                <w:bCs/>
                <w:sz w:val="24"/>
                <w:szCs w:val="24"/>
              </w:rPr>
              <w:t>Equivalence :</w:t>
            </w:r>
          </w:p>
        </w:tc>
        <w:tc>
          <w:tcPr>
            <w:tcW w:w="7938" w:type="dxa"/>
            <w:tcBorders>
              <w:top w:val="single" w:sz="4" w:space="0" w:color="auto"/>
              <w:bottom w:val="single" w:sz="18" w:space="0" w:color="auto"/>
              <w:right w:val="single" w:sz="18" w:space="0" w:color="auto"/>
            </w:tcBorders>
            <w:shd w:val="clear" w:color="auto" w:fill="FFFF99"/>
            <w:vAlign w:val="center"/>
          </w:tcPr>
          <w:p w:rsidR="001D24D9" w:rsidRPr="00591596" w:rsidRDefault="001D24D9" w:rsidP="00591596">
            <w:pPr>
              <w:spacing w:after="0" w:line="240" w:lineRule="auto"/>
              <w:jc w:val="center"/>
              <w:rPr>
                <w:rFonts w:ascii="Times New Roman" w:hAnsi="Times New Roman" w:cs="Times New Roman"/>
                <w:b/>
                <w:bCs/>
                <w:color w:val="000000"/>
                <w:sz w:val="24"/>
                <w:szCs w:val="24"/>
              </w:rPr>
            </w:pPr>
            <w:r w:rsidRPr="00591596">
              <w:rPr>
                <w:b/>
                <w:bCs/>
                <w:color w:val="000000"/>
                <w:sz w:val="24"/>
                <w:szCs w:val="24"/>
              </w:rPr>
              <w:t>NF S 61-937-12</w:t>
            </w:r>
          </w:p>
        </w:tc>
      </w:tr>
      <w:tr w:rsidR="001D24D9" w:rsidRPr="0043547B" w:rsidTr="00566A17">
        <w:trPr>
          <w:gridBefore w:val="1"/>
          <w:wBefore w:w="18" w:type="dxa"/>
          <w:trHeight w:val="445"/>
          <w:jc w:val="center"/>
        </w:trPr>
        <w:tc>
          <w:tcPr>
            <w:tcW w:w="1856" w:type="dxa"/>
            <w:tcBorders>
              <w:top w:val="single" w:sz="18" w:space="0" w:color="auto"/>
              <w:left w:val="single" w:sz="18" w:space="0" w:color="auto"/>
              <w:bottom w:val="single" w:sz="4" w:space="0" w:color="auto"/>
              <w:right w:val="single" w:sz="8" w:space="0" w:color="auto"/>
            </w:tcBorders>
            <w:shd w:val="clear" w:color="auto" w:fill="95B3D7" w:themeFill="accent1" w:themeFillTint="99"/>
            <w:vAlign w:val="center"/>
          </w:tcPr>
          <w:p w:rsidR="001D24D9" w:rsidRPr="006B5B9D" w:rsidRDefault="001D24D9" w:rsidP="00464910">
            <w:pPr>
              <w:spacing w:after="0" w:line="240" w:lineRule="auto"/>
              <w:jc w:val="center"/>
              <w:rPr>
                <w:rFonts w:ascii="Calibri" w:hAnsi="Calibri" w:cs="Calibri"/>
                <w:b/>
                <w:bCs/>
                <w:sz w:val="24"/>
                <w:szCs w:val="24"/>
              </w:rPr>
            </w:pPr>
            <w:r w:rsidRPr="006B5B9D">
              <w:rPr>
                <w:rFonts w:ascii="Calibri" w:hAnsi="Calibri" w:cs="Calibri"/>
                <w:b/>
                <w:bCs/>
                <w:sz w:val="24"/>
                <w:szCs w:val="24"/>
              </w:rPr>
              <w:t>Intitulé :</w:t>
            </w:r>
          </w:p>
        </w:tc>
        <w:tc>
          <w:tcPr>
            <w:tcW w:w="7938" w:type="dxa"/>
            <w:tcBorders>
              <w:top w:val="single" w:sz="18" w:space="0" w:color="auto"/>
              <w:bottom w:val="single" w:sz="4" w:space="0" w:color="auto"/>
              <w:right w:val="single" w:sz="18" w:space="0" w:color="auto"/>
            </w:tcBorders>
            <w:shd w:val="clear" w:color="auto" w:fill="auto"/>
            <w:vAlign w:val="bottom"/>
          </w:tcPr>
          <w:p w:rsidR="001D24D9" w:rsidRPr="006B5B9D" w:rsidRDefault="001D24D9" w:rsidP="006B5B9D">
            <w:pPr>
              <w:spacing w:after="0" w:line="240" w:lineRule="auto"/>
              <w:jc w:val="both"/>
              <w:rPr>
                <w:rFonts w:ascii="Times New Roman" w:hAnsi="Times New Roman" w:cs="Times New Roman"/>
                <w:color w:val="000000"/>
                <w:sz w:val="24"/>
                <w:szCs w:val="24"/>
              </w:rPr>
            </w:pPr>
            <w:r w:rsidRPr="006B5B9D">
              <w:rPr>
                <w:color w:val="000000"/>
                <w:sz w:val="24"/>
                <w:szCs w:val="24"/>
              </w:rPr>
              <w:t>Systèmes de sécurité incendie (S.S.I) - Dispositifs actionnés de sécurité (D.A.S) - Ecran mobile de cantonnement ;</w:t>
            </w:r>
          </w:p>
        </w:tc>
      </w:tr>
      <w:tr w:rsidR="001D24D9" w:rsidRPr="0043547B" w:rsidTr="00566A17">
        <w:trPr>
          <w:gridBefore w:val="1"/>
          <w:wBefore w:w="18" w:type="dxa"/>
          <w:trHeight w:val="1384"/>
          <w:jc w:val="center"/>
        </w:trPr>
        <w:tc>
          <w:tcPr>
            <w:tcW w:w="1856" w:type="dxa"/>
            <w:tcBorders>
              <w:top w:val="single" w:sz="4" w:space="0" w:color="auto"/>
              <w:left w:val="single" w:sz="18" w:space="0" w:color="auto"/>
              <w:bottom w:val="single" w:sz="18" w:space="0" w:color="auto"/>
              <w:right w:val="single" w:sz="8" w:space="0" w:color="auto"/>
            </w:tcBorders>
            <w:shd w:val="clear" w:color="000000" w:fill="D9D9D9"/>
            <w:vAlign w:val="center"/>
          </w:tcPr>
          <w:p w:rsidR="001D24D9" w:rsidRPr="006B5B9D" w:rsidRDefault="001D24D9" w:rsidP="00464910">
            <w:pPr>
              <w:spacing w:after="0" w:line="240" w:lineRule="auto"/>
              <w:jc w:val="center"/>
              <w:rPr>
                <w:rFonts w:ascii="Calibri" w:hAnsi="Calibri" w:cs="Calibri"/>
                <w:b/>
                <w:bCs/>
                <w:sz w:val="24"/>
                <w:szCs w:val="24"/>
              </w:rPr>
            </w:pPr>
            <w:r w:rsidRPr="006B5B9D">
              <w:rPr>
                <w:rFonts w:ascii="Calibri" w:hAnsi="Calibri" w:cs="Calibri"/>
                <w:b/>
                <w:bCs/>
                <w:sz w:val="24"/>
                <w:szCs w:val="24"/>
              </w:rPr>
              <w:t>Domaine d’application :</w:t>
            </w:r>
          </w:p>
        </w:tc>
        <w:tc>
          <w:tcPr>
            <w:tcW w:w="7938" w:type="dxa"/>
            <w:tcBorders>
              <w:top w:val="single" w:sz="4" w:space="0" w:color="auto"/>
              <w:bottom w:val="single" w:sz="18" w:space="0" w:color="auto"/>
              <w:right w:val="single" w:sz="18" w:space="0" w:color="auto"/>
            </w:tcBorders>
            <w:shd w:val="clear" w:color="auto" w:fill="auto"/>
            <w:vAlign w:val="bottom"/>
          </w:tcPr>
          <w:p w:rsidR="001D24D9" w:rsidRPr="006B5B9D" w:rsidRDefault="001D24D9" w:rsidP="00591596">
            <w:pPr>
              <w:spacing w:after="0" w:line="240" w:lineRule="auto"/>
              <w:jc w:val="both"/>
              <w:rPr>
                <w:rFonts w:ascii="Times New Roman" w:hAnsi="Times New Roman" w:cs="Times New Roman"/>
                <w:color w:val="000000"/>
                <w:sz w:val="24"/>
                <w:szCs w:val="24"/>
              </w:rPr>
            </w:pPr>
            <w:r w:rsidRPr="006B5B9D">
              <w:rPr>
                <w:color w:val="000000"/>
                <w:sz w:val="24"/>
                <w:szCs w:val="24"/>
              </w:rPr>
              <w:t>La présente norme a pour objet de fixer les conditions de fonctionnement ainsi que les caractéristiques</w:t>
            </w:r>
            <w:r w:rsidR="00591596">
              <w:rPr>
                <w:color w:val="000000"/>
                <w:sz w:val="24"/>
                <w:szCs w:val="24"/>
              </w:rPr>
              <w:t xml:space="preserve"> </w:t>
            </w:r>
            <w:r w:rsidRPr="006B5B9D">
              <w:rPr>
                <w:color w:val="000000"/>
                <w:sz w:val="24"/>
                <w:szCs w:val="24"/>
              </w:rPr>
              <w:t>générales et prescriptions particulières relatives aux D.A.S. de type « écrans mobiles de cantonnement » en vue</w:t>
            </w:r>
            <w:r w:rsidR="00591596">
              <w:rPr>
                <w:color w:val="000000"/>
                <w:sz w:val="24"/>
                <w:szCs w:val="24"/>
              </w:rPr>
              <w:t xml:space="preserve"> </w:t>
            </w:r>
            <w:r w:rsidRPr="006B5B9D">
              <w:rPr>
                <w:color w:val="000000"/>
                <w:sz w:val="24"/>
                <w:szCs w:val="24"/>
              </w:rPr>
              <w:t>de leur intégration dans un S.S.I.</w:t>
            </w:r>
            <w:r w:rsidR="00591596">
              <w:rPr>
                <w:color w:val="000000"/>
                <w:sz w:val="24"/>
                <w:szCs w:val="24"/>
              </w:rPr>
              <w:t xml:space="preserve"> </w:t>
            </w:r>
            <w:r w:rsidRPr="006B5B9D">
              <w:rPr>
                <w:color w:val="000000"/>
                <w:sz w:val="24"/>
                <w:szCs w:val="24"/>
              </w:rPr>
              <w:t>Les écrans mobiles de cantonnement sont définis dans la présente norme.</w:t>
            </w:r>
          </w:p>
        </w:tc>
      </w:tr>
      <w:tr w:rsidR="001D24D9" w:rsidRPr="0043547B" w:rsidTr="00591596">
        <w:trPr>
          <w:gridBefore w:val="1"/>
          <w:wBefore w:w="18" w:type="dxa"/>
          <w:trHeight w:val="522"/>
          <w:jc w:val="center"/>
        </w:trPr>
        <w:tc>
          <w:tcPr>
            <w:tcW w:w="1856" w:type="dxa"/>
            <w:tcBorders>
              <w:top w:val="single" w:sz="4" w:space="0" w:color="auto"/>
              <w:left w:val="single" w:sz="18" w:space="0" w:color="auto"/>
              <w:bottom w:val="single" w:sz="18" w:space="0" w:color="auto"/>
              <w:right w:val="single" w:sz="8" w:space="0" w:color="auto"/>
            </w:tcBorders>
            <w:shd w:val="clear" w:color="auto" w:fill="C2D69B" w:themeFill="accent3" w:themeFillTint="99"/>
            <w:vAlign w:val="center"/>
          </w:tcPr>
          <w:p w:rsidR="001D24D9" w:rsidRPr="006B5B9D" w:rsidRDefault="001D24D9" w:rsidP="00464910">
            <w:pPr>
              <w:spacing w:after="0" w:line="240" w:lineRule="auto"/>
              <w:jc w:val="center"/>
              <w:rPr>
                <w:rFonts w:ascii="Calibri" w:hAnsi="Calibri" w:cs="Calibri"/>
                <w:b/>
                <w:bCs/>
                <w:sz w:val="24"/>
                <w:szCs w:val="24"/>
              </w:rPr>
            </w:pPr>
            <w:r w:rsidRPr="006B5B9D">
              <w:rPr>
                <w:rFonts w:ascii="Calibri" w:hAnsi="Calibri" w:cs="Calibri"/>
                <w:b/>
                <w:bCs/>
                <w:sz w:val="24"/>
                <w:szCs w:val="24"/>
              </w:rPr>
              <w:t>Code :</w:t>
            </w:r>
          </w:p>
        </w:tc>
        <w:tc>
          <w:tcPr>
            <w:tcW w:w="7938" w:type="dxa"/>
            <w:tcBorders>
              <w:top w:val="single" w:sz="4" w:space="0" w:color="auto"/>
              <w:bottom w:val="single" w:sz="18" w:space="0" w:color="auto"/>
              <w:right w:val="single" w:sz="18" w:space="0" w:color="auto"/>
            </w:tcBorders>
            <w:shd w:val="clear" w:color="auto" w:fill="C2D69B" w:themeFill="accent3" w:themeFillTint="99"/>
            <w:vAlign w:val="center"/>
          </w:tcPr>
          <w:p w:rsidR="001D24D9" w:rsidRPr="00307EBA" w:rsidRDefault="001D24D9" w:rsidP="00307EBA">
            <w:pPr>
              <w:spacing w:after="0" w:line="240" w:lineRule="auto"/>
              <w:jc w:val="center"/>
              <w:rPr>
                <w:rFonts w:ascii="Times New Roman" w:hAnsi="Times New Roman" w:cs="Times New Roman"/>
                <w:b/>
                <w:bCs/>
                <w:color w:val="000000"/>
                <w:sz w:val="24"/>
                <w:szCs w:val="24"/>
              </w:rPr>
            </w:pPr>
            <w:r w:rsidRPr="00307EBA">
              <w:rPr>
                <w:b/>
                <w:bCs/>
                <w:color w:val="000000"/>
                <w:sz w:val="24"/>
                <w:szCs w:val="24"/>
              </w:rPr>
              <w:t>NM ISO 16737</w:t>
            </w:r>
          </w:p>
        </w:tc>
      </w:tr>
      <w:tr w:rsidR="001D24D9" w:rsidRPr="0043547B" w:rsidTr="00566A17">
        <w:trPr>
          <w:gridBefore w:val="1"/>
          <w:wBefore w:w="18" w:type="dxa"/>
          <w:trHeight w:val="386"/>
          <w:jc w:val="center"/>
        </w:trPr>
        <w:tc>
          <w:tcPr>
            <w:tcW w:w="1856" w:type="dxa"/>
            <w:tcBorders>
              <w:top w:val="single" w:sz="4" w:space="0" w:color="auto"/>
              <w:left w:val="single" w:sz="18" w:space="0" w:color="auto"/>
              <w:bottom w:val="single" w:sz="18" w:space="0" w:color="auto"/>
              <w:right w:val="single" w:sz="8" w:space="0" w:color="auto"/>
            </w:tcBorders>
            <w:shd w:val="clear" w:color="auto" w:fill="FFFF99"/>
            <w:vAlign w:val="center"/>
          </w:tcPr>
          <w:p w:rsidR="001D24D9" w:rsidRPr="006B5B9D" w:rsidRDefault="001D24D9" w:rsidP="00464910">
            <w:pPr>
              <w:spacing w:after="0" w:line="240" w:lineRule="auto"/>
              <w:jc w:val="center"/>
              <w:rPr>
                <w:rFonts w:ascii="Calibri" w:hAnsi="Calibri" w:cs="Calibri"/>
                <w:b/>
                <w:bCs/>
                <w:sz w:val="24"/>
                <w:szCs w:val="24"/>
              </w:rPr>
            </w:pPr>
            <w:r w:rsidRPr="006B5B9D">
              <w:rPr>
                <w:rFonts w:ascii="Calibri" w:hAnsi="Calibri" w:cs="Calibri"/>
                <w:b/>
                <w:bCs/>
                <w:sz w:val="24"/>
                <w:szCs w:val="24"/>
              </w:rPr>
              <w:t>Equivalence :</w:t>
            </w:r>
          </w:p>
        </w:tc>
        <w:tc>
          <w:tcPr>
            <w:tcW w:w="7938" w:type="dxa"/>
            <w:tcBorders>
              <w:top w:val="single" w:sz="4" w:space="0" w:color="auto"/>
              <w:bottom w:val="single" w:sz="18" w:space="0" w:color="auto"/>
              <w:right w:val="single" w:sz="18" w:space="0" w:color="auto"/>
            </w:tcBorders>
            <w:shd w:val="clear" w:color="auto" w:fill="FFFF99"/>
            <w:vAlign w:val="center"/>
          </w:tcPr>
          <w:p w:rsidR="001D24D9" w:rsidRPr="00307EBA" w:rsidRDefault="001D24D9" w:rsidP="00307EBA">
            <w:pPr>
              <w:spacing w:after="0" w:line="240" w:lineRule="auto"/>
              <w:jc w:val="center"/>
              <w:rPr>
                <w:rFonts w:ascii="Times New Roman" w:hAnsi="Times New Roman" w:cs="Times New Roman"/>
                <w:b/>
                <w:bCs/>
                <w:color w:val="000000"/>
                <w:sz w:val="24"/>
                <w:szCs w:val="24"/>
              </w:rPr>
            </w:pPr>
            <w:r w:rsidRPr="00307EBA">
              <w:rPr>
                <w:b/>
                <w:bCs/>
                <w:color w:val="000000"/>
                <w:sz w:val="24"/>
                <w:szCs w:val="24"/>
              </w:rPr>
              <w:t>ISO 16737</w:t>
            </w:r>
          </w:p>
        </w:tc>
      </w:tr>
      <w:tr w:rsidR="001D24D9" w:rsidRPr="0043547B" w:rsidTr="00566A17">
        <w:trPr>
          <w:gridBefore w:val="1"/>
          <w:wBefore w:w="18" w:type="dxa"/>
          <w:trHeight w:val="653"/>
          <w:jc w:val="center"/>
        </w:trPr>
        <w:tc>
          <w:tcPr>
            <w:tcW w:w="1856" w:type="dxa"/>
            <w:tcBorders>
              <w:top w:val="single" w:sz="18" w:space="0" w:color="auto"/>
              <w:left w:val="single" w:sz="18" w:space="0" w:color="auto"/>
              <w:bottom w:val="single" w:sz="4" w:space="0" w:color="auto"/>
              <w:right w:val="single" w:sz="8" w:space="0" w:color="auto"/>
            </w:tcBorders>
            <w:shd w:val="clear" w:color="auto" w:fill="95B3D7" w:themeFill="accent1" w:themeFillTint="99"/>
            <w:vAlign w:val="center"/>
          </w:tcPr>
          <w:p w:rsidR="001D24D9" w:rsidRPr="006B5B9D" w:rsidRDefault="001D24D9" w:rsidP="00464910">
            <w:pPr>
              <w:spacing w:after="0" w:line="240" w:lineRule="auto"/>
              <w:jc w:val="center"/>
              <w:rPr>
                <w:rFonts w:ascii="Calibri" w:hAnsi="Calibri" w:cs="Calibri"/>
                <w:b/>
                <w:bCs/>
                <w:sz w:val="24"/>
                <w:szCs w:val="24"/>
              </w:rPr>
            </w:pPr>
            <w:r w:rsidRPr="006B5B9D">
              <w:rPr>
                <w:rFonts w:ascii="Calibri" w:hAnsi="Calibri" w:cs="Calibri"/>
                <w:b/>
                <w:bCs/>
                <w:sz w:val="24"/>
                <w:szCs w:val="24"/>
              </w:rPr>
              <w:t>Intitulé :</w:t>
            </w:r>
          </w:p>
        </w:tc>
        <w:tc>
          <w:tcPr>
            <w:tcW w:w="7938" w:type="dxa"/>
            <w:tcBorders>
              <w:top w:val="single" w:sz="18" w:space="0" w:color="auto"/>
              <w:bottom w:val="single" w:sz="4" w:space="0" w:color="auto"/>
              <w:right w:val="single" w:sz="18" w:space="0" w:color="auto"/>
            </w:tcBorders>
            <w:shd w:val="clear" w:color="auto" w:fill="auto"/>
            <w:vAlign w:val="bottom"/>
          </w:tcPr>
          <w:p w:rsidR="001D24D9" w:rsidRPr="006B5B9D" w:rsidRDefault="001D24D9" w:rsidP="006B5B9D">
            <w:pPr>
              <w:spacing w:after="0" w:line="240" w:lineRule="auto"/>
              <w:jc w:val="both"/>
              <w:rPr>
                <w:rFonts w:ascii="Times New Roman" w:hAnsi="Times New Roman" w:cs="Times New Roman"/>
                <w:color w:val="000000"/>
                <w:sz w:val="24"/>
                <w:szCs w:val="24"/>
              </w:rPr>
            </w:pPr>
            <w:r w:rsidRPr="006B5B9D">
              <w:rPr>
                <w:color w:val="000000"/>
                <w:sz w:val="24"/>
                <w:szCs w:val="24"/>
              </w:rPr>
              <w:t xml:space="preserve">Ingénierie de la sécurité incendie - Exigences régissant les équations algébriques - Ecoulements au travers d'une ouverture </w:t>
            </w:r>
          </w:p>
        </w:tc>
      </w:tr>
      <w:tr w:rsidR="001D24D9" w:rsidRPr="0043547B" w:rsidTr="00566A17">
        <w:trPr>
          <w:gridBefore w:val="1"/>
          <w:wBefore w:w="18" w:type="dxa"/>
          <w:trHeight w:val="6051"/>
          <w:jc w:val="center"/>
        </w:trPr>
        <w:tc>
          <w:tcPr>
            <w:tcW w:w="1856" w:type="dxa"/>
            <w:tcBorders>
              <w:top w:val="single" w:sz="4" w:space="0" w:color="auto"/>
              <w:left w:val="single" w:sz="18" w:space="0" w:color="auto"/>
              <w:bottom w:val="single" w:sz="18" w:space="0" w:color="auto"/>
              <w:right w:val="single" w:sz="8" w:space="0" w:color="auto"/>
            </w:tcBorders>
            <w:shd w:val="clear" w:color="000000" w:fill="D9D9D9"/>
            <w:vAlign w:val="center"/>
          </w:tcPr>
          <w:p w:rsidR="001D24D9" w:rsidRPr="006B5B9D" w:rsidRDefault="001D24D9" w:rsidP="00464910">
            <w:pPr>
              <w:spacing w:after="0" w:line="240" w:lineRule="auto"/>
              <w:jc w:val="center"/>
              <w:rPr>
                <w:rFonts w:ascii="Calibri" w:hAnsi="Calibri" w:cs="Calibri"/>
                <w:b/>
                <w:bCs/>
                <w:sz w:val="24"/>
                <w:szCs w:val="24"/>
              </w:rPr>
            </w:pPr>
            <w:r w:rsidRPr="006B5B9D">
              <w:rPr>
                <w:rFonts w:ascii="Calibri" w:hAnsi="Calibri" w:cs="Calibri"/>
                <w:b/>
                <w:bCs/>
                <w:sz w:val="24"/>
                <w:szCs w:val="24"/>
              </w:rPr>
              <w:lastRenderedPageBreak/>
              <w:t>Domaine d’application :</w:t>
            </w:r>
          </w:p>
        </w:tc>
        <w:tc>
          <w:tcPr>
            <w:tcW w:w="7938" w:type="dxa"/>
            <w:tcBorders>
              <w:top w:val="single" w:sz="4" w:space="0" w:color="auto"/>
              <w:bottom w:val="single" w:sz="18" w:space="0" w:color="auto"/>
              <w:right w:val="single" w:sz="18" w:space="0" w:color="auto"/>
            </w:tcBorders>
            <w:shd w:val="clear" w:color="auto" w:fill="auto"/>
            <w:vAlign w:val="bottom"/>
          </w:tcPr>
          <w:p w:rsidR="00E6230B" w:rsidRDefault="001D24D9" w:rsidP="00E6230B">
            <w:pPr>
              <w:spacing w:after="0" w:line="240" w:lineRule="auto"/>
              <w:jc w:val="both"/>
              <w:rPr>
                <w:color w:val="000000"/>
                <w:sz w:val="24"/>
                <w:szCs w:val="24"/>
              </w:rPr>
            </w:pPr>
            <w:r w:rsidRPr="006B5B9D">
              <w:rPr>
                <w:color w:val="000000"/>
                <w:sz w:val="24"/>
                <w:szCs w:val="24"/>
              </w:rPr>
              <w:t>1.1 La présente Norme internationale spécifie des exigences pour l’application d’ensembles de</w:t>
            </w:r>
            <w:r w:rsidR="00E6230B">
              <w:rPr>
                <w:color w:val="000000"/>
                <w:sz w:val="24"/>
                <w:szCs w:val="24"/>
              </w:rPr>
              <w:t xml:space="preserve"> </w:t>
            </w:r>
            <w:r w:rsidRPr="006B5B9D">
              <w:rPr>
                <w:color w:val="000000"/>
                <w:sz w:val="24"/>
                <w:szCs w:val="24"/>
              </w:rPr>
              <w:t>formules algébriques explicites pour le calcul de caractéristiques spécifiques des écoulements au travers</w:t>
            </w:r>
            <w:r w:rsidR="00E6230B">
              <w:rPr>
                <w:color w:val="000000"/>
                <w:sz w:val="24"/>
                <w:szCs w:val="24"/>
              </w:rPr>
              <w:t xml:space="preserve"> </w:t>
            </w:r>
            <w:r w:rsidRPr="006B5B9D">
              <w:rPr>
                <w:color w:val="000000"/>
                <w:sz w:val="24"/>
                <w:szCs w:val="24"/>
              </w:rPr>
              <w:t>d’une ouverture.</w:t>
            </w:r>
          </w:p>
          <w:p w:rsidR="00E6230B" w:rsidRDefault="001D24D9" w:rsidP="00E6230B">
            <w:pPr>
              <w:spacing w:after="0" w:line="240" w:lineRule="auto"/>
              <w:jc w:val="both"/>
              <w:rPr>
                <w:color w:val="000000"/>
                <w:sz w:val="24"/>
                <w:szCs w:val="24"/>
              </w:rPr>
            </w:pPr>
            <w:r w:rsidRPr="006B5B9D">
              <w:rPr>
                <w:color w:val="000000"/>
                <w:sz w:val="24"/>
                <w:szCs w:val="24"/>
              </w:rPr>
              <w:t>1.2 La présente Norme internationale est une mise en application des exigences générales de niveau élevé</w:t>
            </w:r>
            <w:r w:rsidR="00E6230B">
              <w:rPr>
                <w:color w:val="000000"/>
                <w:sz w:val="24"/>
                <w:szCs w:val="24"/>
              </w:rPr>
              <w:t xml:space="preserve"> </w:t>
            </w:r>
            <w:r w:rsidRPr="006B5B9D">
              <w:rPr>
                <w:color w:val="000000"/>
                <w:sz w:val="24"/>
                <w:szCs w:val="24"/>
              </w:rPr>
              <w:t>pour les calculs relatifs à la dynamique d’un incendie impliquant des systèmes de formules algébriques.</w:t>
            </w:r>
          </w:p>
          <w:p w:rsidR="00E6230B" w:rsidRDefault="001D24D9" w:rsidP="00E6230B">
            <w:pPr>
              <w:spacing w:after="0" w:line="240" w:lineRule="auto"/>
              <w:jc w:val="both"/>
              <w:rPr>
                <w:color w:val="000000"/>
                <w:sz w:val="24"/>
                <w:szCs w:val="24"/>
              </w:rPr>
            </w:pPr>
            <w:r w:rsidRPr="006B5B9D">
              <w:rPr>
                <w:color w:val="000000"/>
                <w:sz w:val="24"/>
                <w:szCs w:val="24"/>
              </w:rPr>
              <w:t>1.3 La présente Norme internationale est organisée sous forme d’un modèle dans lequel les informations</w:t>
            </w:r>
            <w:r w:rsidR="00E6230B">
              <w:rPr>
                <w:color w:val="000000"/>
                <w:sz w:val="24"/>
                <w:szCs w:val="24"/>
              </w:rPr>
              <w:t xml:space="preserve"> </w:t>
            </w:r>
            <w:r w:rsidRPr="006B5B9D">
              <w:rPr>
                <w:color w:val="000000"/>
                <w:sz w:val="24"/>
                <w:szCs w:val="24"/>
              </w:rPr>
              <w:t>spécifiques relatives aux formules algébriques pour les écoulements au travers d’une ouverture sont</w:t>
            </w:r>
            <w:r w:rsidR="00E6230B">
              <w:rPr>
                <w:color w:val="000000"/>
                <w:sz w:val="24"/>
                <w:szCs w:val="24"/>
              </w:rPr>
              <w:t xml:space="preserve"> </w:t>
            </w:r>
            <w:r w:rsidRPr="006B5B9D">
              <w:rPr>
                <w:color w:val="000000"/>
                <w:sz w:val="24"/>
                <w:szCs w:val="24"/>
              </w:rPr>
              <w:t xml:space="preserve">fournies pour satisfaire aux types suivants d’exigences </w:t>
            </w:r>
            <w:r w:rsidR="00307EBA" w:rsidRPr="006B5B9D">
              <w:rPr>
                <w:color w:val="000000"/>
                <w:sz w:val="24"/>
                <w:szCs w:val="24"/>
              </w:rPr>
              <w:t>générales :</w:t>
            </w:r>
          </w:p>
          <w:p w:rsidR="00E6230B" w:rsidRDefault="001D24D9" w:rsidP="00E6230B">
            <w:pPr>
              <w:spacing w:after="0" w:line="240" w:lineRule="auto"/>
              <w:jc w:val="both"/>
              <w:rPr>
                <w:color w:val="000000"/>
                <w:sz w:val="24"/>
                <w:szCs w:val="24"/>
              </w:rPr>
            </w:pPr>
            <w:r w:rsidRPr="006B5B9D">
              <w:rPr>
                <w:color w:val="000000"/>
                <w:sz w:val="24"/>
                <w:szCs w:val="24"/>
              </w:rPr>
              <w:t xml:space="preserve">a) description des phénomènes physiques traités par la méthode de </w:t>
            </w:r>
            <w:r w:rsidR="00307EBA" w:rsidRPr="006B5B9D">
              <w:rPr>
                <w:color w:val="000000"/>
                <w:sz w:val="24"/>
                <w:szCs w:val="24"/>
              </w:rPr>
              <w:t>calcul ;</w:t>
            </w:r>
          </w:p>
          <w:p w:rsidR="00E6230B" w:rsidRDefault="001D24D9" w:rsidP="00E6230B">
            <w:pPr>
              <w:spacing w:after="0" w:line="240" w:lineRule="auto"/>
              <w:jc w:val="both"/>
              <w:rPr>
                <w:color w:val="000000"/>
                <w:sz w:val="24"/>
                <w:szCs w:val="24"/>
              </w:rPr>
            </w:pPr>
            <w:r w:rsidRPr="006B5B9D">
              <w:rPr>
                <w:color w:val="000000"/>
                <w:sz w:val="24"/>
                <w:szCs w:val="24"/>
              </w:rPr>
              <w:t xml:space="preserve">b) documentation de la méthode de calcul et de sa base </w:t>
            </w:r>
            <w:r w:rsidR="00307EBA" w:rsidRPr="006B5B9D">
              <w:rPr>
                <w:color w:val="000000"/>
                <w:sz w:val="24"/>
                <w:szCs w:val="24"/>
              </w:rPr>
              <w:t>scientifique ;</w:t>
            </w:r>
          </w:p>
          <w:p w:rsidR="00E6230B" w:rsidRDefault="001D24D9" w:rsidP="00E6230B">
            <w:pPr>
              <w:spacing w:after="0" w:line="240" w:lineRule="auto"/>
              <w:jc w:val="both"/>
              <w:rPr>
                <w:color w:val="000000"/>
                <w:sz w:val="24"/>
                <w:szCs w:val="24"/>
              </w:rPr>
            </w:pPr>
            <w:r w:rsidRPr="006B5B9D">
              <w:rPr>
                <w:color w:val="000000"/>
                <w:sz w:val="24"/>
                <w:szCs w:val="24"/>
              </w:rPr>
              <w:t xml:space="preserve">c) limites de la méthode de </w:t>
            </w:r>
            <w:r w:rsidR="00307EBA" w:rsidRPr="006B5B9D">
              <w:rPr>
                <w:color w:val="000000"/>
                <w:sz w:val="24"/>
                <w:szCs w:val="24"/>
              </w:rPr>
              <w:t>calcul ;</w:t>
            </w:r>
          </w:p>
          <w:p w:rsidR="00E6230B" w:rsidRDefault="001D24D9" w:rsidP="00E6230B">
            <w:pPr>
              <w:spacing w:after="0" w:line="240" w:lineRule="auto"/>
              <w:jc w:val="both"/>
              <w:rPr>
                <w:color w:val="000000"/>
                <w:sz w:val="24"/>
                <w:szCs w:val="24"/>
              </w:rPr>
            </w:pPr>
            <w:r w:rsidRPr="006B5B9D">
              <w:rPr>
                <w:color w:val="000000"/>
                <w:sz w:val="24"/>
                <w:szCs w:val="24"/>
              </w:rPr>
              <w:t xml:space="preserve">d) paramètres d’entrée de la méthode de </w:t>
            </w:r>
            <w:r w:rsidR="00307EBA" w:rsidRPr="006B5B9D">
              <w:rPr>
                <w:color w:val="000000"/>
                <w:sz w:val="24"/>
                <w:szCs w:val="24"/>
              </w:rPr>
              <w:t>calcul ;</w:t>
            </w:r>
          </w:p>
          <w:p w:rsidR="00E6230B" w:rsidRDefault="001D24D9" w:rsidP="00E6230B">
            <w:pPr>
              <w:spacing w:after="0" w:line="240" w:lineRule="auto"/>
              <w:jc w:val="both"/>
              <w:rPr>
                <w:color w:val="000000"/>
                <w:sz w:val="24"/>
                <w:szCs w:val="24"/>
              </w:rPr>
            </w:pPr>
            <w:r w:rsidRPr="006B5B9D">
              <w:rPr>
                <w:color w:val="000000"/>
                <w:sz w:val="24"/>
                <w:szCs w:val="24"/>
              </w:rPr>
              <w:t>e) domaine d’applicabilité de la méthode de calcul.</w:t>
            </w:r>
          </w:p>
          <w:p w:rsidR="00E6230B" w:rsidRPr="00E6230B" w:rsidRDefault="001D24D9" w:rsidP="00E6230B">
            <w:pPr>
              <w:spacing w:after="0" w:line="240" w:lineRule="auto"/>
              <w:jc w:val="both"/>
              <w:rPr>
                <w:i/>
                <w:iCs/>
                <w:color w:val="000000"/>
              </w:rPr>
            </w:pPr>
            <w:r w:rsidRPr="00E6230B">
              <w:rPr>
                <w:b/>
                <w:bCs/>
                <w:i/>
                <w:iCs/>
                <w:color w:val="000000"/>
              </w:rPr>
              <w:t>NOTE</w:t>
            </w:r>
            <w:r w:rsidRPr="00E6230B">
              <w:rPr>
                <w:i/>
                <w:iCs/>
                <w:color w:val="000000"/>
              </w:rPr>
              <w:t xml:space="preserve"> Des exemples de systèmes d’équations algébriques satisfaisant à toutes les exigences de la présente</w:t>
            </w:r>
            <w:r w:rsidR="00E6230B" w:rsidRPr="00E6230B">
              <w:rPr>
                <w:i/>
                <w:iCs/>
                <w:color w:val="000000"/>
              </w:rPr>
              <w:t xml:space="preserve"> </w:t>
            </w:r>
            <w:r w:rsidRPr="00E6230B">
              <w:rPr>
                <w:i/>
                <w:iCs/>
                <w:color w:val="000000"/>
              </w:rPr>
              <w:t>Norme internationale sont fournis dans des annexes séparées pour chaque type différent de scénario de couche de</w:t>
            </w:r>
            <w:r w:rsidR="00E6230B" w:rsidRPr="00E6230B">
              <w:rPr>
                <w:i/>
                <w:iCs/>
                <w:color w:val="000000"/>
              </w:rPr>
              <w:t xml:space="preserve"> </w:t>
            </w:r>
            <w:r w:rsidRPr="00E6230B">
              <w:rPr>
                <w:i/>
                <w:iCs/>
                <w:color w:val="000000"/>
              </w:rPr>
              <w:t>fumée.</w:t>
            </w:r>
          </w:p>
          <w:p w:rsidR="001D24D9" w:rsidRPr="006B5B9D" w:rsidRDefault="001D24D9" w:rsidP="00E6230B">
            <w:pPr>
              <w:spacing w:after="0" w:line="240" w:lineRule="auto"/>
              <w:jc w:val="both"/>
              <w:rPr>
                <w:rFonts w:ascii="Times New Roman" w:hAnsi="Times New Roman" w:cs="Times New Roman"/>
                <w:color w:val="000000"/>
                <w:sz w:val="24"/>
                <w:szCs w:val="24"/>
              </w:rPr>
            </w:pPr>
            <w:r w:rsidRPr="006B5B9D">
              <w:rPr>
                <w:color w:val="000000"/>
                <w:sz w:val="24"/>
                <w:szCs w:val="24"/>
              </w:rPr>
              <w:t>Actuellement, il existe deux annexes informatives contenant des informations générales sur les écoulements</w:t>
            </w:r>
            <w:r w:rsidR="00E6230B">
              <w:rPr>
                <w:color w:val="000000"/>
                <w:sz w:val="24"/>
                <w:szCs w:val="24"/>
              </w:rPr>
              <w:t xml:space="preserve"> </w:t>
            </w:r>
            <w:r w:rsidRPr="006B5B9D">
              <w:rPr>
                <w:color w:val="000000"/>
                <w:sz w:val="24"/>
                <w:szCs w:val="24"/>
              </w:rPr>
              <w:t>au travers d’une ouverture et des formules algébriques spécifiques pour les calculs techniques pratiques.</w:t>
            </w:r>
          </w:p>
        </w:tc>
      </w:tr>
      <w:tr w:rsidR="001D24D9" w:rsidRPr="0043547B" w:rsidTr="00E6230B">
        <w:trPr>
          <w:gridBefore w:val="1"/>
          <w:wBefore w:w="18" w:type="dxa"/>
          <w:trHeight w:val="509"/>
          <w:jc w:val="center"/>
        </w:trPr>
        <w:tc>
          <w:tcPr>
            <w:tcW w:w="1856" w:type="dxa"/>
            <w:tcBorders>
              <w:top w:val="single" w:sz="4" w:space="0" w:color="auto"/>
              <w:left w:val="single" w:sz="18" w:space="0" w:color="auto"/>
              <w:bottom w:val="single" w:sz="18" w:space="0" w:color="auto"/>
              <w:right w:val="single" w:sz="8" w:space="0" w:color="auto"/>
            </w:tcBorders>
            <w:shd w:val="clear" w:color="auto" w:fill="C2D69B" w:themeFill="accent3" w:themeFillTint="99"/>
            <w:vAlign w:val="center"/>
          </w:tcPr>
          <w:p w:rsidR="001D24D9" w:rsidRPr="006B5B9D" w:rsidRDefault="001D24D9" w:rsidP="00E6230B">
            <w:pPr>
              <w:spacing w:after="0" w:line="240" w:lineRule="auto"/>
              <w:jc w:val="center"/>
              <w:rPr>
                <w:rFonts w:ascii="Calibri" w:hAnsi="Calibri" w:cs="Calibri"/>
                <w:b/>
                <w:bCs/>
                <w:sz w:val="24"/>
                <w:szCs w:val="24"/>
              </w:rPr>
            </w:pPr>
            <w:r w:rsidRPr="006B5B9D">
              <w:rPr>
                <w:rFonts w:ascii="Calibri" w:hAnsi="Calibri" w:cs="Calibri"/>
                <w:b/>
                <w:bCs/>
                <w:sz w:val="24"/>
                <w:szCs w:val="24"/>
              </w:rPr>
              <w:t>Code :</w:t>
            </w:r>
          </w:p>
        </w:tc>
        <w:tc>
          <w:tcPr>
            <w:tcW w:w="7938" w:type="dxa"/>
            <w:tcBorders>
              <w:top w:val="single" w:sz="4" w:space="0" w:color="auto"/>
              <w:bottom w:val="single" w:sz="18" w:space="0" w:color="auto"/>
              <w:right w:val="single" w:sz="18" w:space="0" w:color="auto"/>
            </w:tcBorders>
            <w:shd w:val="clear" w:color="auto" w:fill="C2D69B" w:themeFill="accent3" w:themeFillTint="99"/>
            <w:vAlign w:val="center"/>
          </w:tcPr>
          <w:p w:rsidR="001D24D9" w:rsidRPr="00E6230B" w:rsidRDefault="001D24D9" w:rsidP="00E6230B">
            <w:pPr>
              <w:spacing w:after="0" w:line="240" w:lineRule="auto"/>
              <w:jc w:val="center"/>
              <w:rPr>
                <w:rFonts w:ascii="Times New Roman" w:hAnsi="Times New Roman" w:cs="Times New Roman"/>
                <w:b/>
                <w:bCs/>
                <w:color w:val="000000"/>
                <w:sz w:val="24"/>
                <w:szCs w:val="24"/>
              </w:rPr>
            </w:pPr>
            <w:r w:rsidRPr="00E6230B">
              <w:rPr>
                <w:b/>
                <w:bCs/>
                <w:color w:val="000000"/>
                <w:sz w:val="24"/>
                <w:szCs w:val="24"/>
              </w:rPr>
              <w:t>NM ISO 16736</w:t>
            </w:r>
          </w:p>
        </w:tc>
      </w:tr>
      <w:tr w:rsidR="001D24D9" w:rsidRPr="0043547B" w:rsidTr="00566A17">
        <w:trPr>
          <w:gridBefore w:val="1"/>
          <w:wBefore w:w="18" w:type="dxa"/>
          <w:trHeight w:val="524"/>
          <w:jc w:val="center"/>
        </w:trPr>
        <w:tc>
          <w:tcPr>
            <w:tcW w:w="1856" w:type="dxa"/>
            <w:tcBorders>
              <w:top w:val="single" w:sz="4" w:space="0" w:color="auto"/>
              <w:left w:val="single" w:sz="18" w:space="0" w:color="auto"/>
              <w:bottom w:val="single" w:sz="18" w:space="0" w:color="auto"/>
              <w:right w:val="single" w:sz="8" w:space="0" w:color="auto"/>
            </w:tcBorders>
            <w:shd w:val="clear" w:color="auto" w:fill="FFFF99"/>
            <w:vAlign w:val="center"/>
          </w:tcPr>
          <w:p w:rsidR="001D24D9" w:rsidRPr="006B5B9D" w:rsidRDefault="001D24D9" w:rsidP="00E6230B">
            <w:pPr>
              <w:spacing w:after="0" w:line="240" w:lineRule="auto"/>
              <w:jc w:val="center"/>
              <w:rPr>
                <w:rFonts w:ascii="Calibri" w:hAnsi="Calibri" w:cs="Calibri"/>
                <w:b/>
                <w:bCs/>
                <w:sz w:val="24"/>
                <w:szCs w:val="24"/>
              </w:rPr>
            </w:pPr>
            <w:r w:rsidRPr="006B5B9D">
              <w:rPr>
                <w:rFonts w:ascii="Calibri" w:hAnsi="Calibri" w:cs="Calibri"/>
                <w:b/>
                <w:bCs/>
                <w:sz w:val="24"/>
                <w:szCs w:val="24"/>
              </w:rPr>
              <w:t>Equivalence :</w:t>
            </w:r>
          </w:p>
        </w:tc>
        <w:tc>
          <w:tcPr>
            <w:tcW w:w="7938" w:type="dxa"/>
            <w:tcBorders>
              <w:top w:val="single" w:sz="4" w:space="0" w:color="auto"/>
              <w:bottom w:val="single" w:sz="18" w:space="0" w:color="auto"/>
              <w:right w:val="single" w:sz="18" w:space="0" w:color="auto"/>
            </w:tcBorders>
            <w:shd w:val="clear" w:color="auto" w:fill="FFFF99"/>
            <w:vAlign w:val="center"/>
          </w:tcPr>
          <w:p w:rsidR="001D24D9" w:rsidRPr="00E6230B" w:rsidRDefault="001D24D9" w:rsidP="00E6230B">
            <w:pPr>
              <w:spacing w:after="0" w:line="240" w:lineRule="auto"/>
              <w:jc w:val="center"/>
              <w:rPr>
                <w:rFonts w:ascii="Times New Roman" w:hAnsi="Times New Roman" w:cs="Times New Roman"/>
                <w:b/>
                <w:bCs/>
                <w:color w:val="000000"/>
                <w:sz w:val="24"/>
                <w:szCs w:val="24"/>
              </w:rPr>
            </w:pPr>
            <w:r w:rsidRPr="00E6230B">
              <w:rPr>
                <w:b/>
                <w:bCs/>
                <w:color w:val="000000"/>
                <w:sz w:val="24"/>
                <w:szCs w:val="24"/>
              </w:rPr>
              <w:t>ISO 16736</w:t>
            </w:r>
          </w:p>
        </w:tc>
      </w:tr>
      <w:tr w:rsidR="001D24D9" w:rsidRPr="0043547B" w:rsidTr="00566A17">
        <w:trPr>
          <w:gridBefore w:val="1"/>
          <w:wBefore w:w="18" w:type="dxa"/>
          <w:trHeight w:val="653"/>
          <w:jc w:val="center"/>
        </w:trPr>
        <w:tc>
          <w:tcPr>
            <w:tcW w:w="1856" w:type="dxa"/>
            <w:tcBorders>
              <w:top w:val="single" w:sz="18" w:space="0" w:color="auto"/>
              <w:left w:val="single" w:sz="18" w:space="0" w:color="auto"/>
              <w:bottom w:val="single" w:sz="4" w:space="0" w:color="auto"/>
              <w:right w:val="single" w:sz="8" w:space="0" w:color="auto"/>
            </w:tcBorders>
            <w:shd w:val="clear" w:color="auto" w:fill="95B3D7" w:themeFill="accent1" w:themeFillTint="99"/>
            <w:vAlign w:val="center"/>
          </w:tcPr>
          <w:p w:rsidR="001D24D9" w:rsidRPr="006B5B9D" w:rsidRDefault="001D24D9" w:rsidP="00E6230B">
            <w:pPr>
              <w:spacing w:after="0" w:line="240" w:lineRule="auto"/>
              <w:jc w:val="center"/>
              <w:rPr>
                <w:rFonts w:ascii="Calibri" w:hAnsi="Calibri" w:cs="Calibri"/>
                <w:b/>
                <w:bCs/>
                <w:sz w:val="24"/>
                <w:szCs w:val="24"/>
              </w:rPr>
            </w:pPr>
            <w:r w:rsidRPr="006B5B9D">
              <w:rPr>
                <w:rFonts w:ascii="Calibri" w:hAnsi="Calibri" w:cs="Calibri"/>
                <w:b/>
                <w:bCs/>
                <w:sz w:val="24"/>
                <w:szCs w:val="24"/>
              </w:rPr>
              <w:t>Intitulé :</w:t>
            </w:r>
          </w:p>
        </w:tc>
        <w:tc>
          <w:tcPr>
            <w:tcW w:w="7938" w:type="dxa"/>
            <w:tcBorders>
              <w:top w:val="single" w:sz="18" w:space="0" w:color="auto"/>
              <w:bottom w:val="single" w:sz="4" w:space="0" w:color="auto"/>
              <w:right w:val="single" w:sz="18" w:space="0" w:color="auto"/>
            </w:tcBorders>
            <w:shd w:val="clear" w:color="auto" w:fill="auto"/>
            <w:vAlign w:val="bottom"/>
          </w:tcPr>
          <w:p w:rsidR="001D24D9" w:rsidRPr="006B5B9D" w:rsidRDefault="001D24D9" w:rsidP="006B5B9D">
            <w:pPr>
              <w:spacing w:after="0" w:line="240" w:lineRule="auto"/>
              <w:jc w:val="both"/>
              <w:rPr>
                <w:rFonts w:ascii="Times New Roman" w:hAnsi="Times New Roman" w:cs="Times New Roman"/>
                <w:color w:val="000000"/>
                <w:sz w:val="24"/>
                <w:szCs w:val="24"/>
              </w:rPr>
            </w:pPr>
            <w:r w:rsidRPr="006B5B9D">
              <w:rPr>
                <w:color w:val="000000"/>
                <w:sz w:val="24"/>
                <w:szCs w:val="24"/>
              </w:rPr>
              <w:t xml:space="preserve">Ingénierie de la sécurité incendie - Exigences régissant les équations algébriques - Écoulements en jet sous plafond ; </w:t>
            </w:r>
          </w:p>
        </w:tc>
      </w:tr>
      <w:tr w:rsidR="001D24D9" w:rsidRPr="0043547B" w:rsidTr="00566A17">
        <w:trPr>
          <w:gridBefore w:val="1"/>
          <w:wBefore w:w="18" w:type="dxa"/>
          <w:trHeight w:val="2115"/>
          <w:jc w:val="center"/>
        </w:trPr>
        <w:tc>
          <w:tcPr>
            <w:tcW w:w="1856" w:type="dxa"/>
            <w:tcBorders>
              <w:top w:val="single" w:sz="4" w:space="0" w:color="auto"/>
              <w:left w:val="single" w:sz="18" w:space="0" w:color="auto"/>
              <w:bottom w:val="single" w:sz="18" w:space="0" w:color="auto"/>
              <w:right w:val="single" w:sz="8" w:space="0" w:color="auto"/>
            </w:tcBorders>
            <w:shd w:val="clear" w:color="000000" w:fill="D9D9D9"/>
            <w:vAlign w:val="center"/>
          </w:tcPr>
          <w:p w:rsidR="001D24D9" w:rsidRPr="006B5B9D" w:rsidRDefault="001D24D9" w:rsidP="00E6230B">
            <w:pPr>
              <w:spacing w:after="0" w:line="240" w:lineRule="auto"/>
              <w:jc w:val="center"/>
              <w:rPr>
                <w:rFonts w:ascii="Calibri" w:hAnsi="Calibri" w:cs="Calibri"/>
                <w:b/>
                <w:bCs/>
                <w:sz w:val="24"/>
                <w:szCs w:val="24"/>
              </w:rPr>
            </w:pPr>
            <w:r w:rsidRPr="006B5B9D">
              <w:rPr>
                <w:rFonts w:ascii="Calibri" w:hAnsi="Calibri" w:cs="Calibri"/>
                <w:b/>
                <w:bCs/>
                <w:sz w:val="24"/>
                <w:szCs w:val="24"/>
              </w:rPr>
              <w:t>Domaine d’application :</w:t>
            </w:r>
          </w:p>
        </w:tc>
        <w:tc>
          <w:tcPr>
            <w:tcW w:w="7938" w:type="dxa"/>
            <w:tcBorders>
              <w:top w:val="single" w:sz="4" w:space="0" w:color="auto"/>
              <w:bottom w:val="single" w:sz="18" w:space="0" w:color="auto"/>
              <w:right w:val="single" w:sz="18" w:space="0" w:color="auto"/>
            </w:tcBorders>
            <w:shd w:val="clear" w:color="auto" w:fill="auto"/>
            <w:vAlign w:val="bottom"/>
          </w:tcPr>
          <w:p w:rsidR="00CA5122" w:rsidRDefault="001D24D9" w:rsidP="00CA5122">
            <w:pPr>
              <w:spacing w:after="0" w:line="240" w:lineRule="auto"/>
              <w:jc w:val="both"/>
              <w:rPr>
                <w:color w:val="000000"/>
                <w:sz w:val="24"/>
                <w:szCs w:val="24"/>
              </w:rPr>
            </w:pPr>
            <w:r w:rsidRPr="006B5B9D">
              <w:rPr>
                <w:color w:val="000000"/>
                <w:sz w:val="24"/>
                <w:szCs w:val="24"/>
              </w:rPr>
              <w:t>1.1 Les exigences de la présente Norme internationale régissent l'application d'ensembles d'équations</w:t>
            </w:r>
            <w:r w:rsidR="00CA5122">
              <w:rPr>
                <w:color w:val="000000"/>
                <w:sz w:val="24"/>
                <w:szCs w:val="24"/>
              </w:rPr>
              <w:t xml:space="preserve"> </w:t>
            </w:r>
            <w:r w:rsidRPr="006B5B9D">
              <w:rPr>
                <w:color w:val="000000"/>
                <w:sz w:val="24"/>
                <w:szCs w:val="24"/>
              </w:rPr>
              <w:t>algébriques explicites pour le calcul de caractéristiques spécifiques des écoulements en jet sous plafond.</w:t>
            </w:r>
          </w:p>
          <w:p w:rsidR="00CA5122" w:rsidRDefault="001D24D9" w:rsidP="00CA5122">
            <w:pPr>
              <w:spacing w:after="0" w:line="240" w:lineRule="auto"/>
              <w:jc w:val="both"/>
              <w:rPr>
                <w:color w:val="000000"/>
                <w:sz w:val="24"/>
                <w:szCs w:val="24"/>
              </w:rPr>
            </w:pPr>
            <w:r w:rsidRPr="006B5B9D">
              <w:rPr>
                <w:color w:val="000000"/>
                <w:sz w:val="24"/>
                <w:szCs w:val="24"/>
              </w:rPr>
              <w:t>1.2 La présente Norme internationale est une mise en oeuvre des exigences générales établies dans</w:t>
            </w:r>
            <w:r w:rsidR="00CA5122">
              <w:rPr>
                <w:color w:val="000000"/>
                <w:sz w:val="24"/>
                <w:szCs w:val="24"/>
              </w:rPr>
              <w:t xml:space="preserve"> </w:t>
            </w:r>
            <w:r w:rsidRPr="006B5B9D">
              <w:rPr>
                <w:color w:val="000000"/>
                <w:sz w:val="24"/>
                <w:szCs w:val="24"/>
              </w:rPr>
              <w:t>l'ISO/TR 13387-3 pour le cas de calculs dynamiques d'incendie, associant des ensembles d'équations</w:t>
            </w:r>
            <w:r w:rsidR="00CA5122">
              <w:rPr>
                <w:color w:val="000000"/>
                <w:sz w:val="24"/>
                <w:szCs w:val="24"/>
              </w:rPr>
              <w:t xml:space="preserve"> </w:t>
            </w:r>
            <w:r w:rsidRPr="006B5B9D">
              <w:rPr>
                <w:color w:val="000000"/>
                <w:sz w:val="24"/>
                <w:szCs w:val="24"/>
              </w:rPr>
              <w:t>algébriques explicites.</w:t>
            </w:r>
            <w:r w:rsidRPr="006B5B9D">
              <w:rPr>
                <w:color w:val="000000"/>
                <w:sz w:val="24"/>
                <w:szCs w:val="24"/>
              </w:rPr>
              <w:br/>
              <w:t>1.3 La présente Norme internationale est organisée sous forme d'un modèle, où les informations</w:t>
            </w:r>
            <w:r w:rsidR="00CA5122">
              <w:rPr>
                <w:color w:val="000000"/>
                <w:sz w:val="24"/>
                <w:szCs w:val="24"/>
              </w:rPr>
              <w:t xml:space="preserve"> </w:t>
            </w:r>
            <w:r w:rsidRPr="006B5B9D">
              <w:rPr>
                <w:color w:val="000000"/>
                <w:sz w:val="24"/>
                <w:szCs w:val="24"/>
              </w:rPr>
              <w:t>spécifiques relatives aux équations algébriques des écoulements en jet sous plafond sont fournies pour</w:t>
            </w:r>
            <w:r w:rsidR="00CA5122">
              <w:rPr>
                <w:color w:val="000000"/>
                <w:sz w:val="24"/>
                <w:szCs w:val="24"/>
              </w:rPr>
              <w:t xml:space="preserve"> </w:t>
            </w:r>
            <w:r w:rsidRPr="006B5B9D">
              <w:rPr>
                <w:color w:val="000000"/>
                <w:sz w:val="24"/>
                <w:szCs w:val="24"/>
              </w:rPr>
              <w:t>répondre aux types suivants d'exigences générales</w:t>
            </w:r>
            <w:r w:rsidR="00CA5122">
              <w:rPr>
                <w:color w:val="000000"/>
                <w:sz w:val="24"/>
                <w:szCs w:val="24"/>
              </w:rPr>
              <w:t xml:space="preserve"> </w:t>
            </w:r>
            <w:r w:rsidRPr="006B5B9D">
              <w:rPr>
                <w:color w:val="000000"/>
                <w:sz w:val="24"/>
                <w:szCs w:val="24"/>
              </w:rPr>
              <w:t>:</w:t>
            </w:r>
          </w:p>
          <w:p w:rsidR="00CA5122" w:rsidRDefault="001D24D9" w:rsidP="00CA5122">
            <w:pPr>
              <w:spacing w:after="0" w:line="240" w:lineRule="auto"/>
              <w:jc w:val="both"/>
              <w:rPr>
                <w:color w:val="000000"/>
                <w:sz w:val="24"/>
                <w:szCs w:val="24"/>
              </w:rPr>
            </w:pPr>
            <w:r w:rsidRPr="006B5B9D">
              <w:rPr>
                <w:color w:val="000000"/>
                <w:sz w:val="24"/>
                <w:szCs w:val="24"/>
              </w:rPr>
              <w:t xml:space="preserve">a) description de phénomènes physiques abordés par la méthode de </w:t>
            </w:r>
            <w:r w:rsidR="00CA5122" w:rsidRPr="006B5B9D">
              <w:rPr>
                <w:color w:val="000000"/>
                <w:sz w:val="24"/>
                <w:szCs w:val="24"/>
              </w:rPr>
              <w:t>calcul ;</w:t>
            </w:r>
          </w:p>
          <w:p w:rsidR="00CA5122" w:rsidRDefault="001D24D9" w:rsidP="00CA5122">
            <w:pPr>
              <w:spacing w:after="0" w:line="240" w:lineRule="auto"/>
              <w:jc w:val="both"/>
              <w:rPr>
                <w:color w:val="000000"/>
                <w:sz w:val="24"/>
                <w:szCs w:val="24"/>
              </w:rPr>
            </w:pPr>
            <w:r w:rsidRPr="006B5B9D">
              <w:rPr>
                <w:color w:val="000000"/>
                <w:sz w:val="24"/>
                <w:szCs w:val="24"/>
              </w:rPr>
              <w:t xml:space="preserve">b) documentation du mode opératoire de calcul et sa base </w:t>
            </w:r>
            <w:r w:rsidR="00CA5122" w:rsidRPr="006B5B9D">
              <w:rPr>
                <w:color w:val="000000"/>
                <w:sz w:val="24"/>
                <w:szCs w:val="24"/>
              </w:rPr>
              <w:t>scientifique ;</w:t>
            </w:r>
          </w:p>
          <w:p w:rsidR="00CA5122" w:rsidRDefault="001D24D9" w:rsidP="00CA5122">
            <w:pPr>
              <w:spacing w:after="0" w:line="240" w:lineRule="auto"/>
              <w:jc w:val="both"/>
              <w:rPr>
                <w:color w:val="000000"/>
                <w:sz w:val="24"/>
                <w:szCs w:val="24"/>
              </w:rPr>
            </w:pPr>
            <w:r w:rsidRPr="006B5B9D">
              <w:rPr>
                <w:color w:val="000000"/>
                <w:sz w:val="24"/>
                <w:szCs w:val="24"/>
              </w:rPr>
              <w:t xml:space="preserve">c) limites de la méthode de </w:t>
            </w:r>
            <w:r w:rsidR="00CA5122" w:rsidRPr="006B5B9D">
              <w:rPr>
                <w:color w:val="000000"/>
                <w:sz w:val="24"/>
                <w:szCs w:val="24"/>
              </w:rPr>
              <w:t>calcul ;</w:t>
            </w:r>
          </w:p>
          <w:p w:rsidR="00CA5122" w:rsidRDefault="001D24D9" w:rsidP="00CA5122">
            <w:pPr>
              <w:spacing w:after="0" w:line="240" w:lineRule="auto"/>
              <w:jc w:val="both"/>
              <w:rPr>
                <w:color w:val="000000"/>
                <w:sz w:val="24"/>
                <w:szCs w:val="24"/>
              </w:rPr>
            </w:pPr>
            <w:r w:rsidRPr="006B5B9D">
              <w:rPr>
                <w:color w:val="000000"/>
                <w:sz w:val="24"/>
                <w:szCs w:val="24"/>
              </w:rPr>
              <w:t xml:space="preserve">d) paramètres d'entrée pour la méthode de </w:t>
            </w:r>
            <w:r w:rsidR="00CA5122" w:rsidRPr="006B5B9D">
              <w:rPr>
                <w:color w:val="000000"/>
                <w:sz w:val="24"/>
                <w:szCs w:val="24"/>
              </w:rPr>
              <w:t>calcul ;</w:t>
            </w:r>
          </w:p>
          <w:p w:rsidR="00CA5122" w:rsidRDefault="001D24D9" w:rsidP="00CA5122">
            <w:pPr>
              <w:spacing w:after="0" w:line="240" w:lineRule="auto"/>
              <w:jc w:val="both"/>
              <w:rPr>
                <w:color w:val="000000"/>
                <w:sz w:val="24"/>
                <w:szCs w:val="24"/>
              </w:rPr>
            </w:pPr>
            <w:r w:rsidRPr="006B5B9D">
              <w:rPr>
                <w:color w:val="000000"/>
                <w:sz w:val="24"/>
                <w:szCs w:val="24"/>
              </w:rPr>
              <w:t>e) domaine d'application de la méthode de calcul.</w:t>
            </w:r>
          </w:p>
          <w:p w:rsidR="00CA5122" w:rsidRDefault="001D24D9" w:rsidP="00CA5122">
            <w:pPr>
              <w:spacing w:after="0" w:line="240" w:lineRule="auto"/>
              <w:jc w:val="both"/>
              <w:rPr>
                <w:color w:val="000000"/>
                <w:sz w:val="24"/>
                <w:szCs w:val="24"/>
              </w:rPr>
            </w:pPr>
            <w:r w:rsidRPr="006B5B9D">
              <w:rPr>
                <w:color w:val="000000"/>
                <w:sz w:val="24"/>
                <w:szCs w:val="24"/>
              </w:rPr>
              <w:t>1.4 Des exemples d'ensembles d'équations algébriques répondant à toutes les exigences de la présente</w:t>
            </w:r>
            <w:r w:rsidR="00CA5122">
              <w:rPr>
                <w:color w:val="000000"/>
                <w:sz w:val="24"/>
                <w:szCs w:val="24"/>
              </w:rPr>
              <w:t xml:space="preserve"> </w:t>
            </w:r>
            <w:r w:rsidRPr="006B5B9D">
              <w:rPr>
                <w:color w:val="000000"/>
                <w:sz w:val="24"/>
                <w:szCs w:val="24"/>
              </w:rPr>
              <w:t>Norme internationale seront fournis dans des annexes séparées de celle-ci pour chaque type d'écoulement</w:t>
            </w:r>
            <w:r w:rsidR="00CA5122">
              <w:rPr>
                <w:color w:val="000000"/>
                <w:sz w:val="24"/>
                <w:szCs w:val="24"/>
              </w:rPr>
              <w:t xml:space="preserve"> </w:t>
            </w:r>
            <w:r w:rsidRPr="006B5B9D">
              <w:rPr>
                <w:color w:val="000000"/>
                <w:sz w:val="24"/>
                <w:szCs w:val="24"/>
              </w:rPr>
              <w:t>en jet sous plafond.</w:t>
            </w:r>
          </w:p>
          <w:p w:rsidR="001D24D9" w:rsidRPr="006B5B9D" w:rsidRDefault="001D24D9" w:rsidP="00CA5122">
            <w:pPr>
              <w:spacing w:after="0" w:line="240" w:lineRule="auto"/>
              <w:jc w:val="both"/>
              <w:rPr>
                <w:rFonts w:ascii="Times New Roman" w:hAnsi="Times New Roman" w:cs="Times New Roman"/>
                <w:color w:val="000000"/>
                <w:sz w:val="24"/>
                <w:szCs w:val="24"/>
              </w:rPr>
            </w:pPr>
            <w:r w:rsidRPr="006B5B9D">
              <w:rPr>
                <w:color w:val="000000"/>
                <w:sz w:val="24"/>
                <w:szCs w:val="24"/>
              </w:rPr>
              <w:t>Actuellement, il existe une annexe informative contenant des équations algébriques pour</w:t>
            </w:r>
            <w:r w:rsidR="00CA5122">
              <w:rPr>
                <w:color w:val="000000"/>
                <w:sz w:val="24"/>
                <w:szCs w:val="24"/>
              </w:rPr>
              <w:t xml:space="preserve"> </w:t>
            </w:r>
            <w:r w:rsidRPr="006B5B9D">
              <w:rPr>
                <w:color w:val="000000"/>
                <w:sz w:val="24"/>
                <w:szCs w:val="24"/>
              </w:rPr>
              <w:t>des écoulements en jet sous plafond à l'état quasi stationnaire et axisymétriques.</w:t>
            </w:r>
          </w:p>
        </w:tc>
      </w:tr>
      <w:tr w:rsidR="001D24D9" w:rsidRPr="0043547B" w:rsidTr="00CA5122">
        <w:trPr>
          <w:gridBefore w:val="1"/>
          <w:wBefore w:w="18" w:type="dxa"/>
          <w:trHeight w:val="482"/>
          <w:jc w:val="center"/>
        </w:trPr>
        <w:tc>
          <w:tcPr>
            <w:tcW w:w="1856" w:type="dxa"/>
            <w:tcBorders>
              <w:top w:val="single" w:sz="4" w:space="0" w:color="auto"/>
              <w:left w:val="single" w:sz="18" w:space="0" w:color="auto"/>
              <w:bottom w:val="single" w:sz="18" w:space="0" w:color="auto"/>
              <w:right w:val="single" w:sz="8" w:space="0" w:color="auto"/>
            </w:tcBorders>
            <w:shd w:val="clear" w:color="auto" w:fill="C2D69B" w:themeFill="accent3" w:themeFillTint="99"/>
            <w:vAlign w:val="center"/>
          </w:tcPr>
          <w:p w:rsidR="001D24D9" w:rsidRPr="006B5B9D" w:rsidRDefault="001D24D9" w:rsidP="00CA5122">
            <w:pPr>
              <w:spacing w:after="0" w:line="240" w:lineRule="auto"/>
              <w:jc w:val="center"/>
              <w:rPr>
                <w:rFonts w:ascii="Calibri" w:hAnsi="Calibri" w:cs="Calibri"/>
                <w:b/>
                <w:bCs/>
                <w:sz w:val="24"/>
                <w:szCs w:val="24"/>
              </w:rPr>
            </w:pPr>
            <w:r w:rsidRPr="006B5B9D">
              <w:rPr>
                <w:rFonts w:ascii="Calibri" w:hAnsi="Calibri" w:cs="Calibri"/>
                <w:b/>
                <w:bCs/>
                <w:sz w:val="24"/>
                <w:szCs w:val="24"/>
              </w:rPr>
              <w:t>Code :</w:t>
            </w:r>
          </w:p>
        </w:tc>
        <w:tc>
          <w:tcPr>
            <w:tcW w:w="7938" w:type="dxa"/>
            <w:tcBorders>
              <w:top w:val="single" w:sz="4" w:space="0" w:color="auto"/>
              <w:bottom w:val="single" w:sz="18" w:space="0" w:color="auto"/>
              <w:right w:val="single" w:sz="18" w:space="0" w:color="auto"/>
            </w:tcBorders>
            <w:shd w:val="clear" w:color="auto" w:fill="C2D69B" w:themeFill="accent3" w:themeFillTint="99"/>
            <w:vAlign w:val="center"/>
          </w:tcPr>
          <w:p w:rsidR="001D24D9" w:rsidRPr="00CA5122" w:rsidRDefault="001D24D9" w:rsidP="00CA5122">
            <w:pPr>
              <w:spacing w:after="0" w:line="240" w:lineRule="auto"/>
              <w:jc w:val="center"/>
              <w:rPr>
                <w:rFonts w:ascii="Times New Roman" w:hAnsi="Times New Roman" w:cs="Times New Roman"/>
                <w:b/>
                <w:bCs/>
                <w:color w:val="000000"/>
                <w:sz w:val="24"/>
                <w:szCs w:val="24"/>
              </w:rPr>
            </w:pPr>
            <w:r w:rsidRPr="00CA5122">
              <w:rPr>
                <w:b/>
                <w:bCs/>
                <w:color w:val="000000"/>
                <w:sz w:val="24"/>
                <w:szCs w:val="24"/>
              </w:rPr>
              <w:t>NM ISO 16735</w:t>
            </w:r>
          </w:p>
        </w:tc>
      </w:tr>
      <w:tr w:rsidR="001D24D9" w:rsidRPr="0043547B" w:rsidTr="00566A17">
        <w:trPr>
          <w:gridBefore w:val="1"/>
          <w:wBefore w:w="18" w:type="dxa"/>
          <w:trHeight w:val="518"/>
          <w:jc w:val="center"/>
        </w:trPr>
        <w:tc>
          <w:tcPr>
            <w:tcW w:w="1856" w:type="dxa"/>
            <w:tcBorders>
              <w:top w:val="single" w:sz="4" w:space="0" w:color="auto"/>
              <w:left w:val="single" w:sz="18" w:space="0" w:color="auto"/>
              <w:bottom w:val="single" w:sz="18" w:space="0" w:color="auto"/>
              <w:right w:val="single" w:sz="8" w:space="0" w:color="auto"/>
            </w:tcBorders>
            <w:shd w:val="clear" w:color="auto" w:fill="FFFF99"/>
            <w:vAlign w:val="center"/>
          </w:tcPr>
          <w:p w:rsidR="001D24D9" w:rsidRPr="006B5B9D" w:rsidRDefault="001D24D9" w:rsidP="00CA5122">
            <w:pPr>
              <w:spacing w:after="0" w:line="240" w:lineRule="auto"/>
              <w:jc w:val="center"/>
              <w:rPr>
                <w:rFonts w:ascii="Calibri" w:hAnsi="Calibri" w:cs="Calibri"/>
                <w:b/>
                <w:bCs/>
                <w:sz w:val="24"/>
                <w:szCs w:val="24"/>
              </w:rPr>
            </w:pPr>
            <w:r w:rsidRPr="006B5B9D">
              <w:rPr>
                <w:rFonts w:ascii="Calibri" w:hAnsi="Calibri" w:cs="Calibri"/>
                <w:b/>
                <w:bCs/>
                <w:sz w:val="24"/>
                <w:szCs w:val="24"/>
              </w:rPr>
              <w:lastRenderedPageBreak/>
              <w:t>Equivalence :</w:t>
            </w:r>
          </w:p>
        </w:tc>
        <w:tc>
          <w:tcPr>
            <w:tcW w:w="7938" w:type="dxa"/>
            <w:tcBorders>
              <w:top w:val="single" w:sz="4" w:space="0" w:color="auto"/>
              <w:bottom w:val="single" w:sz="18" w:space="0" w:color="auto"/>
              <w:right w:val="single" w:sz="18" w:space="0" w:color="auto"/>
            </w:tcBorders>
            <w:shd w:val="clear" w:color="auto" w:fill="FFFF99"/>
            <w:vAlign w:val="center"/>
          </w:tcPr>
          <w:p w:rsidR="001D24D9" w:rsidRPr="00CA5122" w:rsidRDefault="001D24D9" w:rsidP="00CA5122">
            <w:pPr>
              <w:spacing w:after="0" w:line="240" w:lineRule="auto"/>
              <w:jc w:val="center"/>
              <w:rPr>
                <w:rFonts w:ascii="Times New Roman" w:hAnsi="Times New Roman" w:cs="Times New Roman"/>
                <w:b/>
                <w:bCs/>
                <w:color w:val="000000"/>
                <w:sz w:val="24"/>
                <w:szCs w:val="24"/>
              </w:rPr>
            </w:pPr>
            <w:r w:rsidRPr="00CA5122">
              <w:rPr>
                <w:b/>
                <w:bCs/>
                <w:color w:val="000000"/>
                <w:sz w:val="24"/>
                <w:szCs w:val="24"/>
              </w:rPr>
              <w:t>ISO 16735</w:t>
            </w:r>
          </w:p>
        </w:tc>
      </w:tr>
      <w:tr w:rsidR="001D24D9" w:rsidRPr="0043547B" w:rsidTr="00566A17">
        <w:trPr>
          <w:gridBefore w:val="1"/>
          <w:wBefore w:w="18" w:type="dxa"/>
          <w:trHeight w:val="653"/>
          <w:jc w:val="center"/>
        </w:trPr>
        <w:tc>
          <w:tcPr>
            <w:tcW w:w="1856" w:type="dxa"/>
            <w:tcBorders>
              <w:top w:val="single" w:sz="18" w:space="0" w:color="auto"/>
              <w:left w:val="single" w:sz="18" w:space="0" w:color="auto"/>
              <w:bottom w:val="single" w:sz="4" w:space="0" w:color="auto"/>
              <w:right w:val="single" w:sz="8" w:space="0" w:color="auto"/>
            </w:tcBorders>
            <w:shd w:val="clear" w:color="auto" w:fill="95B3D7" w:themeFill="accent1" w:themeFillTint="99"/>
            <w:vAlign w:val="center"/>
          </w:tcPr>
          <w:p w:rsidR="001D24D9" w:rsidRPr="006B5B9D" w:rsidRDefault="001D24D9" w:rsidP="00CA5122">
            <w:pPr>
              <w:spacing w:after="0" w:line="240" w:lineRule="auto"/>
              <w:jc w:val="center"/>
              <w:rPr>
                <w:rFonts w:ascii="Calibri" w:hAnsi="Calibri" w:cs="Calibri"/>
                <w:b/>
                <w:bCs/>
                <w:sz w:val="24"/>
                <w:szCs w:val="24"/>
              </w:rPr>
            </w:pPr>
            <w:r w:rsidRPr="006B5B9D">
              <w:rPr>
                <w:rFonts w:ascii="Calibri" w:hAnsi="Calibri" w:cs="Calibri"/>
                <w:b/>
                <w:bCs/>
                <w:sz w:val="24"/>
                <w:szCs w:val="24"/>
              </w:rPr>
              <w:t>Intitulé :</w:t>
            </w:r>
          </w:p>
        </w:tc>
        <w:tc>
          <w:tcPr>
            <w:tcW w:w="7938" w:type="dxa"/>
            <w:tcBorders>
              <w:top w:val="single" w:sz="18" w:space="0" w:color="auto"/>
              <w:bottom w:val="single" w:sz="4" w:space="0" w:color="auto"/>
              <w:right w:val="single" w:sz="18" w:space="0" w:color="auto"/>
            </w:tcBorders>
            <w:shd w:val="clear" w:color="auto" w:fill="auto"/>
            <w:vAlign w:val="bottom"/>
          </w:tcPr>
          <w:p w:rsidR="001D24D9" w:rsidRPr="006B5B9D" w:rsidRDefault="001D24D9" w:rsidP="006B5B9D">
            <w:pPr>
              <w:spacing w:after="0" w:line="240" w:lineRule="auto"/>
              <w:jc w:val="both"/>
              <w:rPr>
                <w:rFonts w:ascii="Times New Roman" w:hAnsi="Times New Roman" w:cs="Times New Roman"/>
                <w:color w:val="000000"/>
                <w:sz w:val="24"/>
                <w:szCs w:val="24"/>
              </w:rPr>
            </w:pPr>
            <w:r w:rsidRPr="006B5B9D">
              <w:rPr>
                <w:color w:val="000000"/>
                <w:sz w:val="24"/>
                <w:szCs w:val="24"/>
              </w:rPr>
              <w:t xml:space="preserve">Ingénierie de la sécurité incendie - Exigences régissant les équations algébriques - Couches de fumée </w:t>
            </w:r>
          </w:p>
        </w:tc>
      </w:tr>
      <w:tr w:rsidR="001D24D9" w:rsidRPr="0043547B" w:rsidTr="00566A17">
        <w:trPr>
          <w:gridBefore w:val="1"/>
          <w:wBefore w:w="18" w:type="dxa"/>
          <w:trHeight w:val="2115"/>
          <w:jc w:val="center"/>
        </w:trPr>
        <w:tc>
          <w:tcPr>
            <w:tcW w:w="1856" w:type="dxa"/>
            <w:tcBorders>
              <w:top w:val="single" w:sz="4" w:space="0" w:color="auto"/>
              <w:left w:val="single" w:sz="18" w:space="0" w:color="auto"/>
              <w:bottom w:val="single" w:sz="18" w:space="0" w:color="auto"/>
              <w:right w:val="single" w:sz="8" w:space="0" w:color="auto"/>
            </w:tcBorders>
            <w:shd w:val="clear" w:color="000000" w:fill="D9D9D9"/>
            <w:vAlign w:val="center"/>
          </w:tcPr>
          <w:p w:rsidR="001D24D9" w:rsidRPr="006B5B9D" w:rsidRDefault="001D24D9" w:rsidP="00CA5122">
            <w:pPr>
              <w:spacing w:after="0" w:line="240" w:lineRule="auto"/>
              <w:jc w:val="center"/>
              <w:rPr>
                <w:rFonts w:ascii="Calibri" w:hAnsi="Calibri" w:cs="Calibri"/>
                <w:b/>
                <w:bCs/>
                <w:sz w:val="24"/>
                <w:szCs w:val="24"/>
              </w:rPr>
            </w:pPr>
            <w:r w:rsidRPr="006B5B9D">
              <w:rPr>
                <w:rFonts w:ascii="Calibri" w:hAnsi="Calibri" w:cs="Calibri"/>
                <w:b/>
                <w:bCs/>
                <w:sz w:val="24"/>
                <w:szCs w:val="24"/>
              </w:rPr>
              <w:t>Domaine d’application :</w:t>
            </w:r>
          </w:p>
        </w:tc>
        <w:tc>
          <w:tcPr>
            <w:tcW w:w="7938" w:type="dxa"/>
            <w:tcBorders>
              <w:top w:val="single" w:sz="4" w:space="0" w:color="auto"/>
              <w:bottom w:val="single" w:sz="18" w:space="0" w:color="auto"/>
              <w:right w:val="single" w:sz="18" w:space="0" w:color="auto"/>
            </w:tcBorders>
            <w:shd w:val="clear" w:color="auto" w:fill="auto"/>
            <w:vAlign w:val="bottom"/>
          </w:tcPr>
          <w:p w:rsidR="00CA5122" w:rsidRDefault="001D24D9" w:rsidP="00CA5122">
            <w:pPr>
              <w:spacing w:after="0" w:line="240" w:lineRule="auto"/>
              <w:jc w:val="both"/>
              <w:rPr>
                <w:color w:val="000000"/>
                <w:sz w:val="24"/>
                <w:szCs w:val="24"/>
              </w:rPr>
            </w:pPr>
            <w:r w:rsidRPr="006B5B9D">
              <w:rPr>
                <w:color w:val="000000"/>
                <w:sz w:val="24"/>
                <w:szCs w:val="24"/>
              </w:rPr>
              <w:t>1.1 Les exigences spécifiées dans la présente Norme internationale régissent l'application de systèmes</w:t>
            </w:r>
            <w:r w:rsidR="00CA5122">
              <w:rPr>
                <w:color w:val="000000"/>
                <w:sz w:val="24"/>
                <w:szCs w:val="24"/>
              </w:rPr>
              <w:t xml:space="preserve"> </w:t>
            </w:r>
            <w:r w:rsidRPr="006B5B9D">
              <w:rPr>
                <w:color w:val="000000"/>
                <w:sz w:val="24"/>
                <w:szCs w:val="24"/>
              </w:rPr>
              <w:t>d'équations algébriques pour le calcul de caractéristiques spécifiques des couches de fumées générées par</w:t>
            </w:r>
            <w:r w:rsidR="00CA5122">
              <w:rPr>
                <w:color w:val="000000"/>
                <w:sz w:val="24"/>
                <w:szCs w:val="24"/>
              </w:rPr>
              <w:t xml:space="preserve"> </w:t>
            </w:r>
            <w:r w:rsidRPr="006B5B9D">
              <w:rPr>
                <w:color w:val="000000"/>
                <w:sz w:val="24"/>
                <w:szCs w:val="24"/>
              </w:rPr>
              <w:t>les incendies.</w:t>
            </w:r>
          </w:p>
          <w:p w:rsidR="00CA5122" w:rsidRDefault="001D24D9" w:rsidP="00CA5122">
            <w:pPr>
              <w:spacing w:after="0" w:line="240" w:lineRule="auto"/>
              <w:jc w:val="both"/>
              <w:rPr>
                <w:color w:val="000000"/>
                <w:sz w:val="24"/>
                <w:szCs w:val="24"/>
              </w:rPr>
            </w:pPr>
            <w:r w:rsidRPr="006B5B9D">
              <w:rPr>
                <w:color w:val="000000"/>
                <w:sz w:val="24"/>
                <w:szCs w:val="24"/>
              </w:rPr>
              <w:t>1.2 La présente Norme internationale est une mise en application des exigences générales spécifiées dans</w:t>
            </w:r>
            <w:r w:rsidR="00CA5122">
              <w:rPr>
                <w:color w:val="000000"/>
                <w:sz w:val="24"/>
                <w:szCs w:val="24"/>
              </w:rPr>
              <w:t xml:space="preserve"> </w:t>
            </w:r>
            <w:r w:rsidRPr="006B5B9D">
              <w:rPr>
                <w:color w:val="000000"/>
                <w:sz w:val="24"/>
                <w:szCs w:val="24"/>
              </w:rPr>
              <w:t>l'ISO/TR 13387-3 pour les calculs relatifs à la dynamique d'un incendie impliquant des systèmes d'équations</w:t>
            </w:r>
            <w:r w:rsidR="00CA5122">
              <w:rPr>
                <w:color w:val="000000"/>
                <w:sz w:val="24"/>
                <w:szCs w:val="24"/>
              </w:rPr>
              <w:t xml:space="preserve"> </w:t>
            </w:r>
            <w:r w:rsidRPr="006B5B9D">
              <w:rPr>
                <w:color w:val="000000"/>
                <w:sz w:val="24"/>
                <w:szCs w:val="24"/>
              </w:rPr>
              <w:t>algébriques.</w:t>
            </w:r>
            <w:r w:rsidRPr="006B5B9D">
              <w:rPr>
                <w:color w:val="000000"/>
                <w:sz w:val="24"/>
                <w:szCs w:val="24"/>
              </w:rPr>
              <w:br/>
              <w:t>1.3 La présente Norme internationale est organisée sous forme d'un modèle dans lequel les informations</w:t>
            </w:r>
            <w:r w:rsidR="00CA5122">
              <w:rPr>
                <w:color w:val="000000"/>
                <w:sz w:val="24"/>
                <w:szCs w:val="24"/>
              </w:rPr>
              <w:t xml:space="preserve"> </w:t>
            </w:r>
            <w:r w:rsidRPr="006B5B9D">
              <w:rPr>
                <w:color w:val="000000"/>
                <w:sz w:val="24"/>
                <w:szCs w:val="24"/>
              </w:rPr>
              <w:t>spécifiques relatives aux équations algébriques pour la couche de fumée sont fournies pour satisfaire aux</w:t>
            </w:r>
            <w:r w:rsidR="00CA5122">
              <w:rPr>
                <w:color w:val="000000"/>
                <w:sz w:val="24"/>
                <w:szCs w:val="24"/>
              </w:rPr>
              <w:t xml:space="preserve"> </w:t>
            </w:r>
            <w:r w:rsidRPr="006B5B9D">
              <w:rPr>
                <w:color w:val="000000"/>
                <w:sz w:val="24"/>
                <w:szCs w:val="24"/>
              </w:rPr>
              <w:t>types suivants d'exigences générales</w:t>
            </w:r>
            <w:r w:rsidR="00CA5122">
              <w:rPr>
                <w:color w:val="000000"/>
                <w:sz w:val="24"/>
                <w:szCs w:val="24"/>
              </w:rPr>
              <w:t xml:space="preserve"> </w:t>
            </w:r>
            <w:r w:rsidRPr="006B5B9D">
              <w:rPr>
                <w:color w:val="000000"/>
                <w:sz w:val="24"/>
                <w:szCs w:val="24"/>
              </w:rPr>
              <w:t>:</w:t>
            </w:r>
          </w:p>
          <w:p w:rsidR="00CA5122" w:rsidRDefault="001D24D9" w:rsidP="00CA5122">
            <w:pPr>
              <w:spacing w:after="0" w:line="240" w:lineRule="auto"/>
              <w:jc w:val="both"/>
              <w:rPr>
                <w:color w:val="000000"/>
                <w:sz w:val="24"/>
                <w:szCs w:val="24"/>
              </w:rPr>
            </w:pPr>
            <w:r w:rsidRPr="006B5B9D">
              <w:rPr>
                <w:color w:val="000000"/>
                <w:sz w:val="24"/>
                <w:szCs w:val="24"/>
              </w:rPr>
              <w:t>a) description des phénomènes physiques traités par la méthode de calcul</w:t>
            </w:r>
            <w:r w:rsidR="00CA5122">
              <w:rPr>
                <w:color w:val="000000"/>
                <w:sz w:val="24"/>
                <w:szCs w:val="24"/>
              </w:rPr>
              <w:t xml:space="preserve"> </w:t>
            </w:r>
            <w:r w:rsidRPr="006B5B9D">
              <w:rPr>
                <w:color w:val="000000"/>
                <w:sz w:val="24"/>
                <w:szCs w:val="24"/>
              </w:rPr>
              <w:t>;</w:t>
            </w:r>
          </w:p>
          <w:p w:rsidR="00CA5122" w:rsidRDefault="001D24D9" w:rsidP="00CA5122">
            <w:pPr>
              <w:spacing w:after="0" w:line="240" w:lineRule="auto"/>
              <w:jc w:val="both"/>
              <w:rPr>
                <w:color w:val="000000"/>
                <w:sz w:val="24"/>
                <w:szCs w:val="24"/>
              </w:rPr>
            </w:pPr>
            <w:r w:rsidRPr="006B5B9D">
              <w:rPr>
                <w:color w:val="000000"/>
                <w:sz w:val="24"/>
                <w:szCs w:val="24"/>
              </w:rPr>
              <w:t>b) documentation de la méthode de calcul et de sa base scientifique</w:t>
            </w:r>
            <w:r w:rsidR="00CA5122">
              <w:rPr>
                <w:color w:val="000000"/>
                <w:sz w:val="24"/>
                <w:szCs w:val="24"/>
              </w:rPr>
              <w:t xml:space="preserve"> </w:t>
            </w:r>
            <w:r w:rsidRPr="006B5B9D">
              <w:rPr>
                <w:color w:val="000000"/>
                <w:sz w:val="24"/>
                <w:szCs w:val="24"/>
              </w:rPr>
              <w:t>;</w:t>
            </w:r>
          </w:p>
          <w:p w:rsidR="00CA5122" w:rsidRDefault="001D24D9" w:rsidP="00CA5122">
            <w:pPr>
              <w:spacing w:after="0" w:line="240" w:lineRule="auto"/>
              <w:jc w:val="both"/>
              <w:rPr>
                <w:color w:val="000000"/>
                <w:sz w:val="24"/>
                <w:szCs w:val="24"/>
              </w:rPr>
            </w:pPr>
            <w:r w:rsidRPr="006B5B9D">
              <w:rPr>
                <w:color w:val="000000"/>
                <w:sz w:val="24"/>
                <w:szCs w:val="24"/>
              </w:rPr>
              <w:t>c) limites de la méthode de calcul</w:t>
            </w:r>
            <w:r w:rsidR="00CA5122">
              <w:rPr>
                <w:color w:val="000000"/>
                <w:sz w:val="24"/>
                <w:szCs w:val="24"/>
              </w:rPr>
              <w:t xml:space="preserve"> </w:t>
            </w:r>
            <w:r w:rsidRPr="006B5B9D">
              <w:rPr>
                <w:color w:val="000000"/>
                <w:sz w:val="24"/>
                <w:szCs w:val="24"/>
              </w:rPr>
              <w:t>;</w:t>
            </w:r>
          </w:p>
          <w:p w:rsidR="00CA5122" w:rsidRDefault="001D24D9" w:rsidP="00CA5122">
            <w:pPr>
              <w:spacing w:after="0" w:line="240" w:lineRule="auto"/>
              <w:jc w:val="both"/>
              <w:rPr>
                <w:color w:val="000000"/>
                <w:sz w:val="24"/>
                <w:szCs w:val="24"/>
              </w:rPr>
            </w:pPr>
            <w:r w:rsidRPr="006B5B9D">
              <w:rPr>
                <w:color w:val="000000"/>
                <w:sz w:val="24"/>
                <w:szCs w:val="24"/>
              </w:rPr>
              <w:t>d) paramètres d'entrée de la méthode de calcul</w:t>
            </w:r>
            <w:r w:rsidR="00CA5122">
              <w:rPr>
                <w:color w:val="000000"/>
                <w:sz w:val="24"/>
                <w:szCs w:val="24"/>
              </w:rPr>
              <w:t xml:space="preserve"> </w:t>
            </w:r>
            <w:r w:rsidRPr="006B5B9D">
              <w:rPr>
                <w:color w:val="000000"/>
                <w:sz w:val="24"/>
                <w:szCs w:val="24"/>
              </w:rPr>
              <w:t>;</w:t>
            </w:r>
          </w:p>
          <w:p w:rsidR="00CA5122" w:rsidRDefault="001D24D9" w:rsidP="00CA5122">
            <w:pPr>
              <w:spacing w:after="0" w:line="240" w:lineRule="auto"/>
              <w:jc w:val="both"/>
              <w:rPr>
                <w:color w:val="000000"/>
                <w:sz w:val="24"/>
                <w:szCs w:val="24"/>
              </w:rPr>
            </w:pPr>
            <w:r w:rsidRPr="006B5B9D">
              <w:rPr>
                <w:color w:val="000000"/>
                <w:sz w:val="24"/>
                <w:szCs w:val="24"/>
              </w:rPr>
              <w:t>e) domaine d'applicabilité de la méthode de calcul.</w:t>
            </w:r>
          </w:p>
          <w:p w:rsidR="001D24D9" w:rsidRPr="006B5B9D" w:rsidRDefault="001D24D9" w:rsidP="00CA5122">
            <w:pPr>
              <w:spacing w:after="0" w:line="240" w:lineRule="auto"/>
              <w:jc w:val="both"/>
              <w:rPr>
                <w:rFonts w:ascii="Times New Roman" w:hAnsi="Times New Roman" w:cs="Times New Roman"/>
                <w:color w:val="000000"/>
                <w:sz w:val="24"/>
                <w:szCs w:val="24"/>
              </w:rPr>
            </w:pPr>
            <w:r w:rsidRPr="006B5B9D">
              <w:rPr>
                <w:color w:val="000000"/>
                <w:sz w:val="24"/>
                <w:szCs w:val="24"/>
              </w:rPr>
              <w:t>1.4 Des exemples de systèmes d'équations algébriques satisfaisant à toutes les exigences de la présente</w:t>
            </w:r>
            <w:r w:rsidR="00CA5122">
              <w:rPr>
                <w:color w:val="000000"/>
                <w:sz w:val="24"/>
                <w:szCs w:val="24"/>
              </w:rPr>
              <w:t xml:space="preserve"> </w:t>
            </w:r>
            <w:r w:rsidRPr="006B5B9D">
              <w:rPr>
                <w:color w:val="000000"/>
                <w:sz w:val="24"/>
                <w:szCs w:val="24"/>
              </w:rPr>
              <w:t>Norme internationale sont fournis dans des annexes séparées pour chaque type différent de scénario de</w:t>
            </w:r>
            <w:r w:rsidR="00CA5122">
              <w:rPr>
                <w:color w:val="000000"/>
                <w:sz w:val="24"/>
                <w:szCs w:val="24"/>
              </w:rPr>
              <w:t xml:space="preserve"> </w:t>
            </w:r>
            <w:r w:rsidRPr="006B5B9D">
              <w:rPr>
                <w:color w:val="000000"/>
                <w:sz w:val="24"/>
                <w:szCs w:val="24"/>
              </w:rPr>
              <w:t>couche de fumée. L'Annexe A contient des informations générales et des exigences de conservation relatives</w:t>
            </w:r>
            <w:r w:rsidRPr="006B5B9D">
              <w:rPr>
                <w:color w:val="000000"/>
                <w:sz w:val="24"/>
                <w:szCs w:val="24"/>
              </w:rPr>
              <w:br/>
              <w:t>aux couches de fumée, et l'Annexe B contient des équations algébriques spécifiques pour le calcul des</w:t>
            </w:r>
            <w:r w:rsidR="00CA5122">
              <w:rPr>
                <w:color w:val="000000"/>
                <w:sz w:val="24"/>
                <w:szCs w:val="24"/>
              </w:rPr>
              <w:t xml:space="preserve"> </w:t>
            </w:r>
            <w:r w:rsidRPr="006B5B9D">
              <w:rPr>
                <w:color w:val="000000"/>
                <w:sz w:val="24"/>
                <w:szCs w:val="24"/>
              </w:rPr>
              <w:t>caractéristiques des couches de fumée.</w:t>
            </w:r>
          </w:p>
        </w:tc>
      </w:tr>
      <w:tr w:rsidR="001D24D9" w:rsidRPr="0043547B" w:rsidTr="00CA5122">
        <w:trPr>
          <w:gridBefore w:val="1"/>
          <w:wBefore w:w="18" w:type="dxa"/>
          <w:trHeight w:val="452"/>
          <w:jc w:val="center"/>
        </w:trPr>
        <w:tc>
          <w:tcPr>
            <w:tcW w:w="1856" w:type="dxa"/>
            <w:tcBorders>
              <w:top w:val="single" w:sz="4" w:space="0" w:color="auto"/>
              <w:left w:val="single" w:sz="18" w:space="0" w:color="auto"/>
              <w:bottom w:val="single" w:sz="18" w:space="0" w:color="auto"/>
              <w:right w:val="single" w:sz="8" w:space="0" w:color="auto"/>
            </w:tcBorders>
            <w:shd w:val="clear" w:color="auto" w:fill="C2D69B" w:themeFill="accent3" w:themeFillTint="99"/>
            <w:vAlign w:val="center"/>
          </w:tcPr>
          <w:p w:rsidR="001D24D9" w:rsidRPr="006B5B9D" w:rsidRDefault="001D24D9" w:rsidP="00CA5122">
            <w:pPr>
              <w:spacing w:after="0" w:line="240" w:lineRule="auto"/>
              <w:jc w:val="center"/>
              <w:rPr>
                <w:rFonts w:ascii="Calibri" w:hAnsi="Calibri" w:cs="Calibri"/>
                <w:b/>
                <w:bCs/>
                <w:sz w:val="24"/>
                <w:szCs w:val="24"/>
              </w:rPr>
            </w:pPr>
            <w:r w:rsidRPr="006B5B9D">
              <w:rPr>
                <w:rFonts w:ascii="Calibri" w:hAnsi="Calibri" w:cs="Calibri"/>
                <w:b/>
                <w:bCs/>
                <w:sz w:val="24"/>
                <w:szCs w:val="24"/>
              </w:rPr>
              <w:t>Code :</w:t>
            </w:r>
          </w:p>
        </w:tc>
        <w:tc>
          <w:tcPr>
            <w:tcW w:w="7938" w:type="dxa"/>
            <w:tcBorders>
              <w:top w:val="single" w:sz="4" w:space="0" w:color="auto"/>
              <w:bottom w:val="single" w:sz="18" w:space="0" w:color="auto"/>
              <w:right w:val="single" w:sz="18" w:space="0" w:color="auto"/>
            </w:tcBorders>
            <w:shd w:val="clear" w:color="auto" w:fill="C2D69B" w:themeFill="accent3" w:themeFillTint="99"/>
            <w:vAlign w:val="center"/>
          </w:tcPr>
          <w:p w:rsidR="001D24D9" w:rsidRPr="00CA5122" w:rsidRDefault="001D24D9" w:rsidP="00CA5122">
            <w:pPr>
              <w:spacing w:after="0" w:line="240" w:lineRule="auto"/>
              <w:jc w:val="center"/>
              <w:rPr>
                <w:rFonts w:ascii="Times New Roman" w:hAnsi="Times New Roman" w:cs="Times New Roman"/>
                <w:b/>
                <w:bCs/>
                <w:color w:val="000000"/>
                <w:sz w:val="24"/>
                <w:szCs w:val="24"/>
              </w:rPr>
            </w:pPr>
            <w:r w:rsidRPr="00CA5122">
              <w:rPr>
                <w:b/>
                <w:bCs/>
                <w:color w:val="000000"/>
                <w:sz w:val="24"/>
                <w:szCs w:val="24"/>
              </w:rPr>
              <w:t>NM ISO 16734</w:t>
            </w:r>
          </w:p>
        </w:tc>
      </w:tr>
      <w:tr w:rsidR="001D24D9" w:rsidRPr="0043547B" w:rsidTr="00566A17">
        <w:trPr>
          <w:gridBefore w:val="1"/>
          <w:wBefore w:w="18" w:type="dxa"/>
          <w:trHeight w:val="512"/>
          <w:jc w:val="center"/>
        </w:trPr>
        <w:tc>
          <w:tcPr>
            <w:tcW w:w="1856" w:type="dxa"/>
            <w:tcBorders>
              <w:top w:val="single" w:sz="4" w:space="0" w:color="auto"/>
              <w:left w:val="single" w:sz="18" w:space="0" w:color="auto"/>
              <w:bottom w:val="single" w:sz="18" w:space="0" w:color="auto"/>
              <w:right w:val="single" w:sz="8" w:space="0" w:color="auto"/>
            </w:tcBorders>
            <w:shd w:val="clear" w:color="auto" w:fill="FFFF99"/>
            <w:vAlign w:val="center"/>
          </w:tcPr>
          <w:p w:rsidR="001D24D9" w:rsidRPr="006B5B9D" w:rsidRDefault="001D24D9" w:rsidP="00CA5122">
            <w:pPr>
              <w:spacing w:after="0" w:line="240" w:lineRule="auto"/>
              <w:jc w:val="center"/>
              <w:rPr>
                <w:rFonts w:ascii="Calibri" w:hAnsi="Calibri" w:cs="Calibri"/>
                <w:b/>
                <w:bCs/>
                <w:sz w:val="24"/>
                <w:szCs w:val="24"/>
              </w:rPr>
            </w:pPr>
            <w:r w:rsidRPr="006B5B9D">
              <w:rPr>
                <w:rFonts w:ascii="Calibri" w:hAnsi="Calibri" w:cs="Calibri"/>
                <w:b/>
                <w:bCs/>
                <w:sz w:val="24"/>
                <w:szCs w:val="24"/>
              </w:rPr>
              <w:t>Equivalence :</w:t>
            </w:r>
          </w:p>
        </w:tc>
        <w:tc>
          <w:tcPr>
            <w:tcW w:w="7938" w:type="dxa"/>
            <w:tcBorders>
              <w:top w:val="single" w:sz="4" w:space="0" w:color="auto"/>
              <w:bottom w:val="single" w:sz="18" w:space="0" w:color="auto"/>
              <w:right w:val="single" w:sz="18" w:space="0" w:color="auto"/>
            </w:tcBorders>
            <w:shd w:val="clear" w:color="auto" w:fill="FFFF99"/>
            <w:vAlign w:val="center"/>
          </w:tcPr>
          <w:p w:rsidR="001D24D9" w:rsidRPr="00CA5122" w:rsidRDefault="001D24D9" w:rsidP="00CA5122">
            <w:pPr>
              <w:spacing w:after="0" w:line="240" w:lineRule="auto"/>
              <w:jc w:val="center"/>
              <w:rPr>
                <w:rFonts w:ascii="Times New Roman" w:hAnsi="Times New Roman" w:cs="Times New Roman"/>
                <w:b/>
                <w:bCs/>
                <w:color w:val="000000"/>
                <w:sz w:val="24"/>
                <w:szCs w:val="24"/>
              </w:rPr>
            </w:pPr>
            <w:r w:rsidRPr="00CA5122">
              <w:rPr>
                <w:b/>
                <w:bCs/>
                <w:color w:val="000000"/>
                <w:sz w:val="24"/>
                <w:szCs w:val="24"/>
              </w:rPr>
              <w:t>ISO 16734</w:t>
            </w:r>
          </w:p>
        </w:tc>
      </w:tr>
      <w:tr w:rsidR="001D24D9" w:rsidRPr="0043547B" w:rsidTr="00566A17">
        <w:trPr>
          <w:gridBefore w:val="1"/>
          <w:wBefore w:w="18" w:type="dxa"/>
          <w:trHeight w:val="628"/>
          <w:jc w:val="center"/>
        </w:trPr>
        <w:tc>
          <w:tcPr>
            <w:tcW w:w="1856" w:type="dxa"/>
            <w:tcBorders>
              <w:top w:val="single" w:sz="18" w:space="0" w:color="auto"/>
              <w:left w:val="single" w:sz="18" w:space="0" w:color="auto"/>
              <w:bottom w:val="single" w:sz="4" w:space="0" w:color="auto"/>
              <w:right w:val="single" w:sz="8" w:space="0" w:color="auto"/>
            </w:tcBorders>
            <w:shd w:val="clear" w:color="auto" w:fill="95B3D7" w:themeFill="accent1" w:themeFillTint="99"/>
            <w:vAlign w:val="center"/>
          </w:tcPr>
          <w:p w:rsidR="001D24D9" w:rsidRPr="006B5B9D" w:rsidRDefault="001D24D9" w:rsidP="00CA5122">
            <w:pPr>
              <w:spacing w:after="0" w:line="240" w:lineRule="auto"/>
              <w:jc w:val="center"/>
              <w:rPr>
                <w:rFonts w:ascii="Calibri" w:hAnsi="Calibri" w:cs="Calibri"/>
                <w:b/>
                <w:bCs/>
                <w:sz w:val="24"/>
                <w:szCs w:val="24"/>
              </w:rPr>
            </w:pPr>
            <w:r w:rsidRPr="006B5B9D">
              <w:rPr>
                <w:rFonts w:ascii="Calibri" w:hAnsi="Calibri" w:cs="Calibri"/>
                <w:b/>
                <w:bCs/>
                <w:sz w:val="24"/>
                <w:szCs w:val="24"/>
              </w:rPr>
              <w:t>Intitulé :</w:t>
            </w:r>
          </w:p>
        </w:tc>
        <w:tc>
          <w:tcPr>
            <w:tcW w:w="7938" w:type="dxa"/>
            <w:tcBorders>
              <w:top w:val="single" w:sz="18" w:space="0" w:color="auto"/>
              <w:bottom w:val="single" w:sz="4" w:space="0" w:color="auto"/>
              <w:right w:val="single" w:sz="18" w:space="0" w:color="auto"/>
            </w:tcBorders>
            <w:shd w:val="clear" w:color="auto" w:fill="auto"/>
            <w:vAlign w:val="bottom"/>
          </w:tcPr>
          <w:p w:rsidR="001D24D9" w:rsidRPr="006B5B9D" w:rsidRDefault="001D24D9" w:rsidP="006B5B9D">
            <w:pPr>
              <w:spacing w:after="0" w:line="240" w:lineRule="auto"/>
              <w:jc w:val="both"/>
              <w:rPr>
                <w:rFonts w:ascii="Times New Roman" w:hAnsi="Times New Roman" w:cs="Times New Roman"/>
                <w:color w:val="000000"/>
                <w:sz w:val="24"/>
                <w:szCs w:val="24"/>
              </w:rPr>
            </w:pPr>
            <w:r w:rsidRPr="006B5B9D">
              <w:rPr>
                <w:color w:val="000000"/>
                <w:sz w:val="24"/>
                <w:szCs w:val="24"/>
              </w:rPr>
              <w:t xml:space="preserve">Ingénierie de la sécurité incendie - Exigences régissant les équations algébriques - Panaches de feu </w:t>
            </w:r>
          </w:p>
        </w:tc>
      </w:tr>
      <w:tr w:rsidR="001D24D9" w:rsidRPr="0043547B" w:rsidTr="00566A17">
        <w:trPr>
          <w:gridBefore w:val="1"/>
          <w:wBefore w:w="18" w:type="dxa"/>
          <w:trHeight w:val="2115"/>
          <w:jc w:val="center"/>
        </w:trPr>
        <w:tc>
          <w:tcPr>
            <w:tcW w:w="1856" w:type="dxa"/>
            <w:tcBorders>
              <w:top w:val="single" w:sz="4" w:space="0" w:color="auto"/>
              <w:left w:val="single" w:sz="18" w:space="0" w:color="auto"/>
              <w:bottom w:val="single" w:sz="18" w:space="0" w:color="auto"/>
              <w:right w:val="single" w:sz="8" w:space="0" w:color="auto"/>
            </w:tcBorders>
            <w:shd w:val="clear" w:color="000000" w:fill="D9D9D9"/>
            <w:vAlign w:val="center"/>
          </w:tcPr>
          <w:p w:rsidR="001D24D9" w:rsidRPr="006B5B9D" w:rsidRDefault="001D24D9" w:rsidP="00CA5122">
            <w:pPr>
              <w:spacing w:after="0" w:line="240" w:lineRule="auto"/>
              <w:jc w:val="center"/>
              <w:rPr>
                <w:rFonts w:ascii="Calibri" w:hAnsi="Calibri" w:cs="Calibri"/>
                <w:b/>
                <w:bCs/>
                <w:sz w:val="24"/>
                <w:szCs w:val="24"/>
              </w:rPr>
            </w:pPr>
            <w:r w:rsidRPr="006B5B9D">
              <w:rPr>
                <w:rFonts w:ascii="Calibri" w:hAnsi="Calibri" w:cs="Calibri"/>
                <w:b/>
                <w:bCs/>
                <w:sz w:val="24"/>
                <w:szCs w:val="24"/>
              </w:rPr>
              <w:t>Domaine d’application :</w:t>
            </w:r>
          </w:p>
        </w:tc>
        <w:tc>
          <w:tcPr>
            <w:tcW w:w="7938" w:type="dxa"/>
            <w:tcBorders>
              <w:top w:val="single" w:sz="4" w:space="0" w:color="auto"/>
              <w:bottom w:val="single" w:sz="18" w:space="0" w:color="auto"/>
              <w:right w:val="single" w:sz="18" w:space="0" w:color="auto"/>
            </w:tcBorders>
            <w:shd w:val="clear" w:color="auto" w:fill="auto"/>
            <w:vAlign w:val="bottom"/>
          </w:tcPr>
          <w:p w:rsidR="00CA5122" w:rsidRDefault="001D24D9" w:rsidP="00CA5122">
            <w:pPr>
              <w:spacing w:after="0" w:line="240" w:lineRule="auto"/>
              <w:jc w:val="both"/>
              <w:rPr>
                <w:color w:val="000000"/>
                <w:sz w:val="24"/>
                <w:szCs w:val="24"/>
              </w:rPr>
            </w:pPr>
            <w:r w:rsidRPr="006B5B9D">
              <w:rPr>
                <w:color w:val="000000"/>
                <w:sz w:val="24"/>
                <w:szCs w:val="24"/>
              </w:rPr>
              <w:t>1.1 Les exigences de la présente Norme internationale régissent l'application d'ensembles d'équations</w:t>
            </w:r>
            <w:r w:rsidR="00CA5122">
              <w:rPr>
                <w:color w:val="000000"/>
                <w:sz w:val="24"/>
                <w:szCs w:val="24"/>
              </w:rPr>
              <w:t xml:space="preserve"> </w:t>
            </w:r>
            <w:r w:rsidRPr="006B5B9D">
              <w:rPr>
                <w:color w:val="000000"/>
                <w:sz w:val="24"/>
                <w:szCs w:val="24"/>
              </w:rPr>
              <w:t>algébriques explicites pour le calcul de caractéristiques spécifiques de panaches de feu.</w:t>
            </w:r>
          </w:p>
          <w:p w:rsidR="00CA5122" w:rsidRDefault="001D24D9" w:rsidP="00CA5122">
            <w:pPr>
              <w:spacing w:after="0" w:line="240" w:lineRule="auto"/>
              <w:jc w:val="both"/>
              <w:rPr>
                <w:color w:val="000000"/>
                <w:sz w:val="24"/>
                <w:szCs w:val="24"/>
              </w:rPr>
            </w:pPr>
            <w:r w:rsidRPr="006B5B9D">
              <w:rPr>
                <w:color w:val="000000"/>
                <w:sz w:val="24"/>
                <w:szCs w:val="24"/>
              </w:rPr>
              <w:t>1.2 La présente Norme internationale est une mise en oeuvre des exigences générales établies dans</w:t>
            </w:r>
            <w:r w:rsidR="00CA5122">
              <w:rPr>
                <w:color w:val="000000"/>
                <w:sz w:val="24"/>
                <w:szCs w:val="24"/>
              </w:rPr>
              <w:t xml:space="preserve"> </w:t>
            </w:r>
            <w:r w:rsidRPr="006B5B9D">
              <w:rPr>
                <w:color w:val="000000"/>
                <w:sz w:val="24"/>
                <w:szCs w:val="24"/>
              </w:rPr>
              <w:t>l'ISO/TR 13387-3 pour le cas de calculs dynamiques d'incendie, associant des ensembles d'équations</w:t>
            </w:r>
            <w:r w:rsidR="00CA5122">
              <w:rPr>
                <w:color w:val="000000"/>
                <w:sz w:val="24"/>
                <w:szCs w:val="24"/>
              </w:rPr>
              <w:t xml:space="preserve"> </w:t>
            </w:r>
            <w:r w:rsidRPr="006B5B9D">
              <w:rPr>
                <w:color w:val="000000"/>
                <w:sz w:val="24"/>
                <w:szCs w:val="24"/>
              </w:rPr>
              <w:t>algébriques explicites.</w:t>
            </w:r>
          </w:p>
          <w:p w:rsidR="00CA5122" w:rsidRDefault="001D24D9" w:rsidP="00CA5122">
            <w:pPr>
              <w:spacing w:after="0" w:line="240" w:lineRule="auto"/>
              <w:jc w:val="both"/>
              <w:rPr>
                <w:color w:val="000000"/>
                <w:sz w:val="24"/>
                <w:szCs w:val="24"/>
              </w:rPr>
            </w:pPr>
            <w:r w:rsidRPr="006B5B9D">
              <w:rPr>
                <w:color w:val="000000"/>
                <w:sz w:val="24"/>
                <w:szCs w:val="24"/>
              </w:rPr>
              <w:t>1.3 La présente Norme internationale est organisée sous forme d'un modèle, où les informations</w:t>
            </w:r>
            <w:r w:rsidR="00CA5122">
              <w:rPr>
                <w:color w:val="000000"/>
                <w:sz w:val="24"/>
                <w:szCs w:val="24"/>
              </w:rPr>
              <w:t xml:space="preserve"> </w:t>
            </w:r>
            <w:r w:rsidRPr="006B5B9D">
              <w:rPr>
                <w:color w:val="000000"/>
                <w:sz w:val="24"/>
                <w:szCs w:val="24"/>
              </w:rPr>
              <w:t>spécifiques relatives aux équations algébriques des panaches de feu sont fournies pour répondre aux types</w:t>
            </w:r>
            <w:r w:rsidR="00CA5122">
              <w:rPr>
                <w:color w:val="000000"/>
                <w:sz w:val="24"/>
                <w:szCs w:val="24"/>
              </w:rPr>
              <w:t xml:space="preserve"> </w:t>
            </w:r>
            <w:r w:rsidRPr="006B5B9D">
              <w:rPr>
                <w:color w:val="000000"/>
                <w:sz w:val="24"/>
                <w:szCs w:val="24"/>
              </w:rPr>
              <w:t>suivants d'exigences générales</w:t>
            </w:r>
            <w:r w:rsidR="00CA5122">
              <w:rPr>
                <w:color w:val="000000"/>
                <w:sz w:val="24"/>
                <w:szCs w:val="24"/>
              </w:rPr>
              <w:t xml:space="preserve"> </w:t>
            </w:r>
            <w:r w:rsidRPr="006B5B9D">
              <w:rPr>
                <w:color w:val="000000"/>
                <w:sz w:val="24"/>
                <w:szCs w:val="24"/>
              </w:rPr>
              <w:t>:</w:t>
            </w:r>
          </w:p>
          <w:p w:rsidR="00CA5122" w:rsidRDefault="001D24D9" w:rsidP="00CA5122">
            <w:pPr>
              <w:spacing w:after="0" w:line="240" w:lineRule="auto"/>
              <w:jc w:val="both"/>
              <w:rPr>
                <w:color w:val="000000"/>
                <w:sz w:val="24"/>
                <w:szCs w:val="24"/>
              </w:rPr>
            </w:pPr>
            <w:r w:rsidRPr="006B5B9D">
              <w:rPr>
                <w:color w:val="000000"/>
                <w:sz w:val="24"/>
                <w:szCs w:val="24"/>
              </w:rPr>
              <w:t>a) description de phénomènes physiques abordés par la méthode de calcul</w:t>
            </w:r>
            <w:r w:rsidR="00CA5122">
              <w:rPr>
                <w:color w:val="000000"/>
                <w:sz w:val="24"/>
                <w:szCs w:val="24"/>
              </w:rPr>
              <w:t xml:space="preserve"> </w:t>
            </w:r>
            <w:r w:rsidRPr="006B5B9D">
              <w:rPr>
                <w:color w:val="000000"/>
                <w:sz w:val="24"/>
                <w:szCs w:val="24"/>
              </w:rPr>
              <w:t>;</w:t>
            </w:r>
          </w:p>
          <w:p w:rsidR="00CA5122" w:rsidRDefault="001D24D9" w:rsidP="00CA5122">
            <w:pPr>
              <w:spacing w:after="0" w:line="240" w:lineRule="auto"/>
              <w:jc w:val="both"/>
              <w:rPr>
                <w:color w:val="000000"/>
                <w:sz w:val="24"/>
                <w:szCs w:val="24"/>
              </w:rPr>
            </w:pPr>
            <w:r w:rsidRPr="006B5B9D">
              <w:rPr>
                <w:color w:val="000000"/>
                <w:sz w:val="24"/>
                <w:szCs w:val="24"/>
              </w:rPr>
              <w:t>b) documentation du mode opératoire de calcul et sa base scientifique</w:t>
            </w:r>
            <w:r w:rsidR="00CA5122">
              <w:rPr>
                <w:color w:val="000000"/>
                <w:sz w:val="24"/>
                <w:szCs w:val="24"/>
              </w:rPr>
              <w:t xml:space="preserve"> </w:t>
            </w:r>
            <w:r w:rsidRPr="006B5B9D">
              <w:rPr>
                <w:color w:val="000000"/>
                <w:sz w:val="24"/>
                <w:szCs w:val="24"/>
              </w:rPr>
              <w:t>;</w:t>
            </w:r>
          </w:p>
          <w:p w:rsidR="00CA5122" w:rsidRDefault="001D24D9" w:rsidP="00CA5122">
            <w:pPr>
              <w:spacing w:after="0" w:line="240" w:lineRule="auto"/>
              <w:jc w:val="both"/>
              <w:rPr>
                <w:color w:val="000000"/>
                <w:sz w:val="24"/>
                <w:szCs w:val="24"/>
              </w:rPr>
            </w:pPr>
            <w:r w:rsidRPr="006B5B9D">
              <w:rPr>
                <w:color w:val="000000"/>
                <w:sz w:val="24"/>
                <w:szCs w:val="24"/>
              </w:rPr>
              <w:t>c) limites de la méthode de calcul</w:t>
            </w:r>
            <w:r w:rsidR="00CA5122">
              <w:rPr>
                <w:color w:val="000000"/>
                <w:sz w:val="24"/>
                <w:szCs w:val="24"/>
              </w:rPr>
              <w:t xml:space="preserve"> </w:t>
            </w:r>
            <w:r w:rsidRPr="006B5B9D">
              <w:rPr>
                <w:color w:val="000000"/>
                <w:sz w:val="24"/>
                <w:szCs w:val="24"/>
              </w:rPr>
              <w:t>;</w:t>
            </w:r>
          </w:p>
          <w:p w:rsidR="00CA5122" w:rsidRDefault="001D24D9" w:rsidP="00CA5122">
            <w:pPr>
              <w:spacing w:after="0" w:line="240" w:lineRule="auto"/>
              <w:jc w:val="both"/>
              <w:rPr>
                <w:color w:val="000000"/>
                <w:sz w:val="24"/>
                <w:szCs w:val="24"/>
              </w:rPr>
            </w:pPr>
            <w:r w:rsidRPr="006B5B9D">
              <w:rPr>
                <w:color w:val="000000"/>
                <w:sz w:val="24"/>
                <w:szCs w:val="24"/>
              </w:rPr>
              <w:t>d) paramètres d'entrée pour la méthode de calcul</w:t>
            </w:r>
            <w:r w:rsidR="00CA5122">
              <w:rPr>
                <w:color w:val="000000"/>
                <w:sz w:val="24"/>
                <w:szCs w:val="24"/>
              </w:rPr>
              <w:t xml:space="preserve"> </w:t>
            </w:r>
            <w:r w:rsidRPr="006B5B9D">
              <w:rPr>
                <w:color w:val="000000"/>
                <w:sz w:val="24"/>
                <w:szCs w:val="24"/>
              </w:rPr>
              <w:t>;</w:t>
            </w:r>
          </w:p>
          <w:p w:rsidR="00CA5122" w:rsidRDefault="001D24D9" w:rsidP="00CA5122">
            <w:pPr>
              <w:spacing w:after="0" w:line="240" w:lineRule="auto"/>
              <w:jc w:val="both"/>
              <w:rPr>
                <w:color w:val="000000"/>
                <w:sz w:val="24"/>
                <w:szCs w:val="24"/>
              </w:rPr>
            </w:pPr>
            <w:r w:rsidRPr="006B5B9D">
              <w:rPr>
                <w:color w:val="000000"/>
                <w:sz w:val="24"/>
                <w:szCs w:val="24"/>
              </w:rPr>
              <w:t>e) domaine d'application de la méthode de calcul.</w:t>
            </w:r>
          </w:p>
          <w:p w:rsidR="001D24D9" w:rsidRPr="006B5B9D" w:rsidRDefault="001D24D9" w:rsidP="00CA5122">
            <w:pPr>
              <w:spacing w:after="0" w:line="240" w:lineRule="auto"/>
              <w:jc w:val="both"/>
              <w:rPr>
                <w:rFonts w:ascii="Times New Roman" w:hAnsi="Times New Roman" w:cs="Times New Roman"/>
                <w:color w:val="000000"/>
                <w:sz w:val="24"/>
                <w:szCs w:val="24"/>
              </w:rPr>
            </w:pPr>
            <w:r w:rsidRPr="006B5B9D">
              <w:rPr>
                <w:color w:val="000000"/>
                <w:sz w:val="24"/>
                <w:szCs w:val="24"/>
              </w:rPr>
              <w:t>1.4 Des exemples d'ensembles d'équations algébriques répondant à toutes les exigences de la présente</w:t>
            </w:r>
            <w:r w:rsidR="00CA5122">
              <w:rPr>
                <w:color w:val="000000"/>
                <w:sz w:val="24"/>
                <w:szCs w:val="24"/>
              </w:rPr>
              <w:t xml:space="preserve"> </w:t>
            </w:r>
            <w:r w:rsidRPr="006B5B9D">
              <w:rPr>
                <w:color w:val="000000"/>
                <w:sz w:val="24"/>
                <w:szCs w:val="24"/>
              </w:rPr>
              <w:t>Norme internationale seront fournis dans des annexes séparées de celle-ci pour chaque type différent de</w:t>
            </w:r>
            <w:r w:rsidR="00CA5122">
              <w:rPr>
                <w:color w:val="000000"/>
                <w:sz w:val="24"/>
                <w:szCs w:val="24"/>
              </w:rPr>
              <w:t xml:space="preserve"> </w:t>
            </w:r>
            <w:r w:rsidRPr="006B5B9D">
              <w:rPr>
                <w:color w:val="000000"/>
                <w:sz w:val="24"/>
                <w:szCs w:val="24"/>
              </w:rPr>
              <w:t>panache de feu. Actuellement, il existe une annexe informative contenant des équations algébriques pour des</w:t>
            </w:r>
            <w:r w:rsidRPr="006B5B9D">
              <w:rPr>
                <w:color w:val="000000"/>
                <w:sz w:val="24"/>
                <w:szCs w:val="24"/>
              </w:rPr>
              <w:br/>
              <w:t>panaches de feu quasi stables et axisymétriques.</w:t>
            </w:r>
          </w:p>
        </w:tc>
      </w:tr>
      <w:tr w:rsidR="001D24D9" w:rsidRPr="0043547B" w:rsidTr="00CA5122">
        <w:trPr>
          <w:gridBefore w:val="1"/>
          <w:wBefore w:w="18" w:type="dxa"/>
          <w:trHeight w:val="383"/>
          <w:jc w:val="center"/>
        </w:trPr>
        <w:tc>
          <w:tcPr>
            <w:tcW w:w="1856" w:type="dxa"/>
            <w:tcBorders>
              <w:top w:val="single" w:sz="4" w:space="0" w:color="auto"/>
              <w:left w:val="single" w:sz="18" w:space="0" w:color="auto"/>
              <w:bottom w:val="single" w:sz="18" w:space="0" w:color="auto"/>
              <w:right w:val="single" w:sz="8" w:space="0" w:color="auto"/>
            </w:tcBorders>
            <w:shd w:val="clear" w:color="auto" w:fill="C2D69B" w:themeFill="accent3" w:themeFillTint="99"/>
            <w:vAlign w:val="center"/>
          </w:tcPr>
          <w:p w:rsidR="001D24D9" w:rsidRPr="006B5B9D" w:rsidRDefault="001D24D9" w:rsidP="00CA5122">
            <w:pPr>
              <w:spacing w:after="0" w:line="240" w:lineRule="auto"/>
              <w:jc w:val="center"/>
              <w:rPr>
                <w:rFonts w:ascii="Calibri" w:hAnsi="Calibri" w:cs="Calibri"/>
                <w:b/>
                <w:bCs/>
                <w:sz w:val="24"/>
                <w:szCs w:val="24"/>
              </w:rPr>
            </w:pPr>
            <w:r w:rsidRPr="006B5B9D">
              <w:rPr>
                <w:rFonts w:ascii="Calibri" w:hAnsi="Calibri" w:cs="Calibri"/>
                <w:b/>
                <w:bCs/>
                <w:sz w:val="24"/>
                <w:szCs w:val="24"/>
              </w:rPr>
              <w:lastRenderedPageBreak/>
              <w:t>Code :</w:t>
            </w:r>
          </w:p>
        </w:tc>
        <w:tc>
          <w:tcPr>
            <w:tcW w:w="7938" w:type="dxa"/>
            <w:tcBorders>
              <w:top w:val="single" w:sz="4" w:space="0" w:color="auto"/>
              <w:bottom w:val="single" w:sz="18" w:space="0" w:color="auto"/>
              <w:right w:val="single" w:sz="18" w:space="0" w:color="auto"/>
            </w:tcBorders>
            <w:shd w:val="clear" w:color="auto" w:fill="C2D69B" w:themeFill="accent3" w:themeFillTint="99"/>
            <w:vAlign w:val="center"/>
          </w:tcPr>
          <w:p w:rsidR="001D24D9" w:rsidRPr="00CA5122" w:rsidRDefault="001D24D9" w:rsidP="00CA5122">
            <w:pPr>
              <w:spacing w:after="0" w:line="240" w:lineRule="auto"/>
              <w:jc w:val="center"/>
              <w:rPr>
                <w:rFonts w:ascii="Times New Roman" w:hAnsi="Times New Roman" w:cs="Times New Roman"/>
                <w:b/>
                <w:bCs/>
                <w:color w:val="000000"/>
                <w:sz w:val="24"/>
                <w:szCs w:val="24"/>
              </w:rPr>
            </w:pPr>
            <w:r w:rsidRPr="00CA5122">
              <w:rPr>
                <w:b/>
                <w:bCs/>
                <w:color w:val="000000"/>
                <w:sz w:val="24"/>
                <w:szCs w:val="24"/>
              </w:rPr>
              <w:t>NM ISO 16733-1</w:t>
            </w:r>
          </w:p>
        </w:tc>
      </w:tr>
      <w:tr w:rsidR="001D24D9" w:rsidRPr="0043547B" w:rsidTr="00566A17">
        <w:trPr>
          <w:gridBefore w:val="1"/>
          <w:wBefore w:w="18" w:type="dxa"/>
          <w:trHeight w:val="370"/>
          <w:jc w:val="center"/>
        </w:trPr>
        <w:tc>
          <w:tcPr>
            <w:tcW w:w="1856" w:type="dxa"/>
            <w:tcBorders>
              <w:top w:val="single" w:sz="4" w:space="0" w:color="auto"/>
              <w:left w:val="single" w:sz="18" w:space="0" w:color="auto"/>
              <w:bottom w:val="single" w:sz="18" w:space="0" w:color="auto"/>
              <w:right w:val="single" w:sz="8" w:space="0" w:color="auto"/>
            </w:tcBorders>
            <w:shd w:val="clear" w:color="auto" w:fill="FFFF99"/>
            <w:vAlign w:val="center"/>
          </w:tcPr>
          <w:p w:rsidR="001D24D9" w:rsidRPr="006B5B9D" w:rsidRDefault="001D24D9" w:rsidP="00CA5122">
            <w:pPr>
              <w:spacing w:after="0" w:line="240" w:lineRule="auto"/>
              <w:jc w:val="center"/>
              <w:rPr>
                <w:rFonts w:ascii="Calibri" w:hAnsi="Calibri" w:cs="Calibri"/>
                <w:b/>
                <w:bCs/>
                <w:sz w:val="24"/>
                <w:szCs w:val="24"/>
              </w:rPr>
            </w:pPr>
            <w:r w:rsidRPr="006B5B9D">
              <w:rPr>
                <w:rFonts w:ascii="Calibri" w:hAnsi="Calibri" w:cs="Calibri"/>
                <w:b/>
                <w:bCs/>
                <w:sz w:val="24"/>
                <w:szCs w:val="24"/>
              </w:rPr>
              <w:t>Equivalence :</w:t>
            </w:r>
          </w:p>
        </w:tc>
        <w:tc>
          <w:tcPr>
            <w:tcW w:w="7938" w:type="dxa"/>
            <w:tcBorders>
              <w:top w:val="single" w:sz="4" w:space="0" w:color="auto"/>
              <w:bottom w:val="single" w:sz="18" w:space="0" w:color="auto"/>
              <w:right w:val="single" w:sz="18" w:space="0" w:color="auto"/>
            </w:tcBorders>
            <w:shd w:val="clear" w:color="auto" w:fill="FFFF99"/>
            <w:vAlign w:val="center"/>
          </w:tcPr>
          <w:p w:rsidR="001D24D9" w:rsidRPr="00CA5122" w:rsidRDefault="001D24D9" w:rsidP="00CA5122">
            <w:pPr>
              <w:spacing w:after="0" w:line="240" w:lineRule="auto"/>
              <w:jc w:val="center"/>
              <w:rPr>
                <w:rFonts w:ascii="Times New Roman" w:hAnsi="Times New Roman" w:cs="Times New Roman"/>
                <w:b/>
                <w:bCs/>
                <w:color w:val="000000"/>
                <w:sz w:val="24"/>
                <w:szCs w:val="24"/>
              </w:rPr>
            </w:pPr>
            <w:r w:rsidRPr="00CA5122">
              <w:rPr>
                <w:b/>
                <w:bCs/>
                <w:color w:val="000000"/>
                <w:sz w:val="24"/>
                <w:szCs w:val="24"/>
              </w:rPr>
              <w:t>ISO 16733-1</w:t>
            </w:r>
          </w:p>
        </w:tc>
      </w:tr>
      <w:tr w:rsidR="001D24D9" w:rsidRPr="0043547B" w:rsidTr="00566A17">
        <w:trPr>
          <w:gridBefore w:val="1"/>
          <w:wBefore w:w="18" w:type="dxa"/>
          <w:trHeight w:val="911"/>
          <w:jc w:val="center"/>
        </w:trPr>
        <w:tc>
          <w:tcPr>
            <w:tcW w:w="1856" w:type="dxa"/>
            <w:tcBorders>
              <w:top w:val="single" w:sz="18" w:space="0" w:color="auto"/>
              <w:left w:val="single" w:sz="18" w:space="0" w:color="auto"/>
              <w:bottom w:val="single" w:sz="4" w:space="0" w:color="auto"/>
              <w:right w:val="single" w:sz="8" w:space="0" w:color="auto"/>
            </w:tcBorders>
            <w:shd w:val="clear" w:color="auto" w:fill="95B3D7" w:themeFill="accent1" w:themeFillTint="99"/>
            <w:vAlign w:val="center"/>
          </w:tcPr>
          <w:p w:rsidR="001D24D9" w:rsidRPr="006B5B9D" w:rsidRDefault="001D24D9" w:rsidP="00CA5122">
            <w:pPr>
              <w:spacing w:after="0" w:line="240" w:lineRule="auto"/>
              <w:jc w:val="center"/>
              <w:rPr>
                <w:rFonts w:ascii="Calibri" w:hAnsi="Calibri" w:cs="Calibri"/>
                <w:b/>
                <w:bCs/>
                <w:sz w:val="24"/>
                <w:szCs w:val="24"/>
              </w:rPr>
            </w:pPr>
            <w:r w:rsidRPr="006B5B9D">
              <w:rPr>
                <w:rFonts w:ascii="Calibri" w:hAnsi="Calibri" w:cs="Calibri"/>
                <w:b/>
                <w:bCs/>
                <w:sz w:val="24"/>
                <w:szCs w:val="24"/>
              </w:rPr>
              <w:t>Intitulé :</w:t>
            </w:r>
          </w:p>
        </w:tc>
        <w:tc>
          <w:tcPr>
            <w:tcW w:w="7938" w:type="dxa"/>
            <w:tcBorders>
              <w:top w:val="single" w:sz="18" w:space="0" w:color="auto"/>
              <w:bottom w:val="single" w:sz="4" w:space="0" w:color="auto"/>
              <w:right w:val="single" w:sz="18" w:space="0" w:color="auto"/>
            </w:tcBorders>
            <w:shd w:val="clear" w:color="auto" w:fill="auto"/>
            <w:vAlign w:val="bottom"/>
          </w:tcPr>
          <w:p w:rsidR="001D24D9" w:rsidRPr="006B5B9D" w:rsidRDefault="001D24D9" w:rsidP="006B5B9D">
            <w:pPr>
              <w:spacing w:after="0" w:line="240" w:lineRule="auto"/>
              <w:jc w:val="both"/>
              <w:rPr>
                <w:rFonts w:ascii="Times New Roman" w:hAnsi="Times New Roman" w:cs="Times New Roman"/>
                <w:color w:val="000000"/>
                <w:sz w:val="24"/>
                <w:szCs w:val="24"/>
              </w:rPr>
            </w:pPr>
            <w:r w:rsidRPr="006B5B9D">
              <w:rPr>
                <w:color w:val="000000"/>
                <w:sz w:val="24"/>
                <w:szCs w:val="24"/>
              </w:rPr>
              <w:t>Ingénierie de la sécurité incendie - Sélection de scénarios d'incendie et de feux de dimensionnement - Partie 1 : Sélection de scénarios d'incendie de dimensionnement ; (IC 21.9.148)</w:t>
            </w:r>
          </w:p>
        </w:tc>
      </w:tr>
      <w:tr w:rsidR="001D24D9" w:rsidRPr="0043547B" w:rsidTr="00566A17">
        <w:trPr>
          <w:gridBefore w:val="1"/>
          <w:wBefore w:w="18" w:type="dxa"/>
          <w:trHeight w:val="2115"/>
          <w:jc w:val="center"/>
        </w:trPr>
        <w:tc>
          <w:tcPr>
            <w:tcW w:w="1856" w:type="dxa"/>
            <w:tcBorders>
              <w:top w:val="single" w:sz="4" w:space="0" w:color="auto"/>
              <w:left w:val="single" w:sz="18" w:space="0" w:color="auto"/>
              <w:bottom w:val="single" w:sz="18" w:space="0" w:color="auto"/>
              <w:right w:val="single" w:sz="8" w:space="0" w:color="auto"/>
            </w:tcBorders>
            <w:shd w:val="clear" w:color="000000" w:fill="D9D9D9"/>
            <w:vAlign w:val="center"/>
          </w:tcPr>
          <w:p w:rsidR="001D24D9" w:rsidRPr="006B5B9D" w:rsidRDefault="001D24D9" w:rsidP="00F10713">
            <w:pPr>
              <w:spacing w:after="0" w:line="240" w:lineRule="auto"/>
              <w:jc w:val="center"/>
              <w:rPr>
                <w:rFonts w:ascii="Calibri" w:hAnsi="Calibri" w:cs="Calibri"/>
                <w:b/>
                <w:bCs/>
                <w:sz w:val="24"/>
                <w:szCs w:val="24"/>
              </w:rPr>
            </w:pPr>
            <w:r w:rsidRPr="006B5B9D">
              <w:rPr>
                <w:rFonts w:ascii="Calibri" w:hAnsi="Calibri" w:cs="Calibri"/>
                <w:b/>
                <w:bCs/>
                <w:sz w:val="24"/>
                <w:szCs w:val="24"/>
              </w:rPr>
              <w:t>Domaine d’application :</w:t>
            </w:r>
          </w:p>
        </w:tc>
        <w:tc>
          <w:tcPr>
            <w:tcW w:w="7938" w:type="dxa"/>
            <w:tcBorders>
              <w:top w:val="single" w:sz="4" w:space="0" w:color="auto"/>
              <w:bottom w:val="single" w:sz="18" w:space="0" w:color="auto"/>
              <w:right w:val="single" w:sz="18" w:space="0" w:color="auto"/>
            </w:tcBorders>
            <w:shd w:val="clear" w:color="auto" w:fill="auto"/>
            <w:vAlign w:val="bottom"/>
          </w:tcPr>
          <w:p w:rsidR="001D24D9" w:rsidRPr="006B5B9D" w:rsidRDefault="001D24D9" w:rsidP="00CA5122">
            <w:pPr>
              <w:spacing w:after="0" w:line="240" w:lineRule="auto"/>
              <w:jc w:val="both"/>
              <w:rPr>
                <w:rFonts w:ascii="Times New Roman" w:hAnsi="Times New Roman" w:cs="Times New Roman"/>
                <w:color w:val="000000"/>
                <w:sz w:val="24"/>
                <w:szCs w:val="24"/>
              </w:rPr>
            </w:pPr>
            <w:r w:rsidRPr="006B5B9D">
              <w:rPr>
                <w:color w:val="000000"/>
                <w:sz w:val="24"/>
                <w:szCs w:val="24"/>
              </w:rPr>
              <w:t>La présente partie de l’ISO 16733 décrit une méthodologie de sélection de scénarios d’incendie</w:t>
            </w:r>
            <w:r w:rsidR="00F10713">
              <w:rPr>
                <w:color w:val="000000"/>
                <w:sz w:val="24"/>
                <w:szCs w:val="24"/>
              </w:rPr>
              <w:t xml:space="preserve"> </w:t>
            </w:r>
            <w:r w:rsidRPr="006B5B9D">
              <w:rPr>
                <w:color w:val="000000"/>
                <w:sz w:val="24"/>
                <w:szCs w:val="24"/>
              </w:rPr>
              <w:t>de dimensionnement, qui sont plausibles tout en étant conservateurs, à utiliser pour des analyses</w:t>
            </w:r>
            <w:r w:rsidR="00CA5122">
              <w:rPr>
                <w:color w:val="000000"/>
                <w:sz w:val="24"/>
                <w:szCs w:val="24"/>
              </w:rPr>
              <w:t xml:space="preserve"> </w:t>
            </w:r>
            <w:r w:rsidRPr="006B5B9D">
              <w:rPr>
                <w:color w:val="000000"/>
                <w:sz w:val="24"/>
                <w:szCs w:val="24"/>
              </w:rPr>
              <w:t>d’ingénierie de la sécurité contre l’incendie de tout ouvrage dont les bâtiments, les édifices ou les</w:t>
            </w:r>
            <w:r w:rsidRPr="006B5B9D">
              <w:rPr>
                <w:color w:val="000000"/>
                <w:sz w:val="24"/>
                <w:szCs w:val="24"/>
              </w:rPr>
              <w:br/>
              <w:t>systèmes de transport. Les procédures décrites dans la présente partie de l’ISO 16733 permettent</w:t>
            </w:r>
            <w:r w:rsidR="00CA5122">
              <w:rPr>
                <w:color w:val="000000"/>
                <w:sz w:val="24"/>
                <w:szCs w:val="24"/>
              </w:rPr>
              <w:t xml:space="preserve"> </w:t>
            </w:r>
            <w:r w:rsidRPr="006B5B9D">
              <w:rPr>
                <w:color w:val="000000"/>
                <w:sz w:val="24"/>
                <w:szCs w:val="24"/>
              </w:rPr>
              <w:t>de sélectionner un nombre de scénarios d’incendie de dimensionnement plus facilement gérable, en</w:t>
            </w:r>
            <w:r w:rsidR="00CA5122">
              <w:rPr>
                <w:color w:val="000000"/>
                <w:sz w:val="24"/>
                <w:szCs w:val="24"/>
              </w:rPr>
              <w:t xml:space="preserve"> </w:t>
            </w:r>
            <w:r w:rsidRPr="006B5B9D">
              <w:rPr>
                <w:color w:val="000000"/>
                <w:sz w:val="24"/>
                <w:szCs w:val="24"/>
              </w:rPr>
              <w:t>utilisant une approche qualitative ou semi-quantitative. Pour une approche quantitative complète</w:t>
            </w:r>
            <w:r w:rsidR="00CA5122">
              <w:rPr>
                <w:color w:val="000000"/>
                <w:sz w:val="24"/>
                <w:szCs w:val="24"/>
              </w:rPr>
              <w:t xml:space="preserve"> </w:t>
            </w:r>
            <w:r w:rsidRPr="006B5B9D">
              <w:rPr>
                <w:color w:val="000000"/>
                <w:sz w:val="24"/>
                <w:szCs w:val="24"/>
              </w:rPr>
              <w:t>utilisant une évaluation du risque, le lecteur est invité à consulter l’ISO 16732-1.</w:t>
            </w:r>
          </w:p>
        </w:tc>
      </w:tr>
      <w:tr w:rsidR="001D24D9" w:rsidRPr="0043547B" w:rsidTr="00CA5122">
        <w:trPr>
          <w:gridBefore w:val="1"/>
          <w:wBefore w:w="18" w:type="dxa"/>
          <w:trHeight w:val="416"/>
          <w:jc w:val="center"/>
        </w:trPr>
        <w:tc>
          <w:tcPr>
            <w:tcW w:w="1856" w:type="dxa"/>
            <w:tcBorders>
              <w:top w:val="single" w:sz="4" w:space="0" w:color="auto"/>
              <w:left w:val="single" w:sz="18" w:space="0" w:color="auto"/>
              <w:bottom w:val="single" w:sz="18" w:space="0" w:color="auto"/>
              <w:right w:val="single" w:sz="8" w:space="0" w:color="auto"/>
            </w:tcBorders>
            <w:shd w:val="clear" w:color="auto" w:fill="C2D69B" w:themeFill="accent3" w:themeFillTint="99"/>
            <w:vAlign w:val="center"/>
          </w:tcPr>
          <w:p w:rsidR="001D24D9" w:rsidRPr="006B5B9D" w:rsidRDefault="001D24D9" w:rsidP="00F10713">
            <w:pPr>
              <w:spacing w:after="0" w:line="240" w:lineRule="auto"/>
              <w:jc w:val="center"/>
              <w:rPr>
                <w:rFonts w:ascii="Calibri" w:hAnsi="Calibri" w:cs="Calibri"/>
                <w:b/>
                <w:bCs/>
                <w:sz w:val="24"/>
                <w:szCs w:val="24"/>
              </w:rPr>
            </w:pPr>
            <w:r w:rsidRPr="006B5B9D">
              <w:rPr>
                <w:rFonts w:ascii="Calibri" w:hAnsi="Calibri" w:cs="Calibri"/>
                <w:b/>
                <w:bCs/>
                <w:sz w:val="24"/>
                <w:szCs w:val="24"/>
              </w:rPr>
              <w:t>Code :</w:t>
            </w:r>
          </w:p>
        </w:tc>
        <w:tc>
          <w:tcPr>
            <w:tcW w:w="7938" w:type="dxa"/>
            <w:tcBorders>
              <w:top w:val="single" w:sz="4" w:space="0" w:color="auto"/>
              <w:bottom w:val="single" w:sz="18" w:space="0" w:color="auto"/>
              <w:right w:val="single" w:sz="18" w:space="0" w:color="auto"/>
            </w:tcBorders>
            <w:shd w:val="clear" w:color="auto" w:fill="C2D69B" w:themeFill="accent3" w:themeFillTint="99"/>
            <w:vAlign w:val="center"/>
          </w:tcPr>
          <w:p w:rsidR="001D24D9" w:rsidRPr="006B5B9D" w:rsidRDefault="001D24D9" w:rsidP="006B5B9D">
            <w:pPr>
              <w:spacing w:after="0" w:line="240" w:lineRule="auto"/>
              <w:jc w:val="center"/>
              <w:rPr>
                <w:rFonts w:ascii="Times New Roman" w:hAnsi="Times New Roman" w:cs="Times New Roman"/>
                <w:b/>
                <w:bCs/>
                <w:color w:val="000000"/>
                <w:sz w:val="24"/>
                <w:szCs w:val="24"/>
              </w:rPr>
            </w:pPr>
            <w:r w:rsidRPr="006B5B9D">
              <w:rPr>
                <w:b/>
                <w:bCs/>
                <w:color w:val="000000"/>
                <w:sz w:val="24"/>
                <w:szCs w:val="24"/>
              </w:rPr>
              <w:t>NM ISO 16732-1</w:t>
            </w:r>
          </w:p>
        </w:tc>
      </w:tr>
      <w:tr w:rsidR="001D24D9" w:rsidRPr="0043547B" w:rsidTr="00CA5122">
        <w:trPr>
          <w:gridBefore w:val="1"/>
          <w:wBefore w:w="18" w:type="dxa"/>
          <w:trHeight w:val="394"/>
          <w:jc w:val="center"/>
        </w:trPr>
        <w:tc>
          <w:tcPr>
            <w:tcW w:w="1856" w:type="dxa"/>
            <w:tcBorders>
              <w:top w:val="single" w:sz="4" w:space="0" w:color="auto"/>
              <w:left w:val="single" w:sz="18" w:space="0" w:color="auto"/>
              <w:bottom w:val="single" w:sz="18" w:space="0" w:color="auto"/>
              <w:right w:val="single" w:sz="8" w:space="0" w:color="auto"/>
            </w:tcBorders>
            <w:shd w:val="clear" w:color="auto" w:fill="FFFF99"/>
            <w:vAlign w:val="center"/>
          </w:tcPr>
          <w:p w:rsidR="001D24D9" w:rsidRPr="006B5B9D" w:rsidRDefault="001D24D9" w:rsidP="00F10713">
            <w:pPr>
              <w:spacing w:after="0" w:line="240" w:lineRule="auto"/>
              <w:jc w:val="center"/>
              <w:rPr>
                <w:rFonts w:ascii="Calibri" w:hAnsi="Calibri" w:cs="Calibri"/>
                <w:b/>
                <w:bCs/>
                <w:sz w:val="24"/>
                <w:szCs w:val="24"/>
              </w:rPr>
            </w:pPr>
            <w:r w:rsidRPr="006B5B9D">
              <w:rPr>
                <w:rFonts w:ascii="Calibri" w:hAnsi="Calibri" w:cs="Calibri"/>
                <w:b/>
                <w:bCs/>
                <w:sz w:val="24"/>
                <w:szCs w:val="24"/>
              </w:rPr>
              <w:t>Equivalence :</w:t>
            </w:r>
          </w:p>
        </w:tc>
        <w:tc>
          <w:tcPr>
            <w:tcW w:w="7938" w:type="dxa"/>
            <w:tcBorders>
              <w:top w:val="single" w:sz="4" w:space="0" w:color="auto"/>
              <w:bottom w:val="single" w:sz="18" w:space="0" w:color="auto"/>
              <w:right w:val="single" w:sz="18" w:space="0" w:color="auto"/>
            </w:tcBorders>
            <w:shd w:val="clear" w:color="auto" w:fill="FFFF99"/>
            <w:vAlign w:val="center"/>
          </w:tcPr>
          <w:p w:rsidR="001D24D9" w:rsidRPr="006B5B9D" w:rsidRDefault="001D24D9" w:rsidP="006B5B9D">
            <w:pPr>
              <w:spacing w:after="0" w:line="240" w:lineRule="auto"/>
              <w:jc w:val="center"/>
              <w:rPr>
                <w:rFonts w:ascii="Times New Roman" w:hAnsi="Times New Roman" w:cs="Times New Roman"/>
                <w:b/>
                <w:bCs/>
                <w:color w:val="000000"/>
                <w:sz w:val="24"/>
                <w:szCs w:val="24"/>
              </w:rPr>
            </w:pPr>
            <w:r w:rsidRPr="006B5B9D">
              <w:rPr>
                <w:b/>
                <w:bCs/>
                <w:color w:val="000000"/>
                <w:sz w:val="24"/>
                <w:szCs w:val="24"/>
              </w:rPr>
              <w:t>ISO 16732-1</w:t>
            </w:r>
          </w:p>
        </w:tc>
      </w:tr>
      <w:tr w:rsidR="001D24D9" w:rsidRPr="0043547B" w:rsidTr="00CA5122">
        <w:trPr>
          <w:gridBefore w:val="1"/>
          <w:wBefore w:w="18" w:type="dxa"/>
          <w:trHeight w:val="655"/>
          <w:jc w:val="center"/>
        </w:trPr>
        <w:tc>
          <w:tcPr>
            <w:tcW w:w="1856" w:type="dxa"/>
            <w:tcBorders>
              <w:top w:val="single" w:sz="18" w:space="0" w:color="auto"/>
              <w:left w:val="single" w:sz="18" w:space="0" w:color="auto"/>
              <w:bottom w:val="single" w:sz="4" w:space="0" w:color="auto"/>
              <w:right w:val="single" w:sz="8" w:space="0" w:color="auto"/>
            </w:tcBorders>
            <w:shd w:val="clear" w:color="auto" w:fill="95B3D7" w:themeFill="accent1" w:themeFillTint="99"/>
            <w:vAlign w:val="center"/>
          </w:tcPr>
          <w:p w:rsidR="001D24D9" w:rsidRPr="006B5B9D" w:rsidRDefault="001D24D9" w:rsidP="00F10713">
            <w:pPr>
              <w:spacing w:after="0" w:line="240" w:lineRule="auto"/>
              <w:jc w:val="center"/>
              <w:rPr>
                <w:rFonts w:ascii="Calibri" w:hAnsi="Calibri" w:cs="Calibri"/>
                <w:b/>
                <w:bCs/>
                <w:sz w:val="24"/>
                <w:szCs w:val="24"/>
              </w:rPr>
            </w:pPr>
            <w:r w:rsidRPr="006B5B9D">
              <w:rPr>
                <w:rFonts w:ascii="Calibri" w:hAnsi="Calibri" w:cs="Calibri"/>
                <w:b/>
                <w:bCs/>
                <w:sz w:val="24"/>
                <w:szCs w:val="24"/>
              </w:rPr>
              <w:t>Intitulé :</w:t>
            </w:r>
          </w:p>
        </w:tc>
        <w:tc>
          <w:tcPr>
            <w:tcW w:w="7938" w:type="dxa"/>
            <w:tcBorders>
              <w:top w:val="single" w:sz="18" w:space="0" w:color="auto"/>
              <w:bottom w:val="single" w:sz="4" w:space="0" w:color="auto"/>
              <w:right w:val="single" w:sz="18" w:space="0" w:color="auto"/>
            </w:tcBorders>
            <w:shd w:val="clear" w:color="auto" w:fill="auto"/>
            <w:vAlign w:val="bottom"/>
          </w:tcPr>
          <w:p w:rsidR="001D24D9" w:rsidRPr="006B5B9D" w:rsidRDefault="001D24D9" w:rsidP="006B5B9D">
            <w:pPr>
              <w:spacing w:after="0" w:line="240" w:lineRule="auto"/>
              <w:jc w:val="both"/>
              <w:rPr>
                <w:rFonts w:ascii="Times New Roman" w:hAnsi="Times New Roman" w:cs="Times New Roman"/>
                <w:color w:val="000000"/>
                <w:sz w:val="24"/>
                <w:szCs w:val="24"/>
              </w:rPr>
            </w:pPr>
            <w:r w:rsidRPr="006B5B9D">
              <w:rPr>
                <w:color w:val="000000"/>
                <w:sz w:val="24"/>
                <w:szCs w:val="24"/>
              </w:rPr>
              <w:t xml:space="preserve">Ingénierie de la sécurité incendie - Evaluation du risque d'incendie - Partie 1: Généralités; </w:t>
            </w:r>
          </w:p>
        </w:tc>
      </w:tr>
      <w:tr w:rsidR="001D24D9" w:rsidRPr="0043547B" w:rsidTr="00CA5122">
        <w:trPr>
          <w:gridBefore w:val="1"/>
          <w:wBefore w:w="18" w:type="dxa"/>
          <w:trHeight w:val="2115"/>
          <w:jc w:val="center"/>
        </w:trPr>
        <w:tc>
          <w:tcPr>
            <w:tcW w:w="1856" w:type="dxa"/>
            <w:tcBorders>
              <w:top w:val="single" w:sz="4" w:space="0" w:color="auto"/>
              <w:left w:val="single" w:sz="18" w:space="0" w:color="auto"/>
              <w:bottom w:val="single" w:sz="18" w:space="0" w:color="auto"/>
              <w:right w:val="single" w:sz="8" w:space="0" w:color="auto"/>
            </w:tcBorders>
            <w:shd w:val="clear" w:color="000000" w:fill="D9D9D9"/>
            <w:vAlign w:val="center"/>
          </w:tcPr>
          <w:p w:rsidR="001D24D9" w:rsidRPr="006B5B9D" w:rsidRDefault="001D24D9" w:rsidP="00F10713">
            <w:pPr>
              <w:spacing w:after="0" w:line="240" w:lineRule="auto"/>
              <w:jc w:val="center"/>
              <w:rPr>
                <w:rFonts w:ascii="Calibri" w:hAnsi="Calibri" w:cs="Calibri"/>
                <w:b/>
                <w:bCs/>
                <w:sz w:val="24"/>
                <w:szCs w:val="24"/>
              </w:rPr>
            </w:pPr>
            <w:r w:rsidRPr="006B5B9D">
              <w:rPr>
                <w:rFonts w:ascii="Calibri" w:hAnsi="Calibri" w:cs="Calibri"/>
                <w:b/>
                <w:bCs/>
                <w:sz w:val="24"/>
                <w:szCs w:val="24"/>
              </w:rPr>
              <w:t>Domaine d’application :</w:t>
            </w:r>
          </w:p>
        </w:tc>
        <w:tc>
          <w:tcPr>
            <w:tcW w:w="7938" w:type="dxa"/>
            <w:tcBorders>
              <w:top w:val="single" w:sz="4" w:space="0" w:color="auto"/>
              <w:bottom w:val="single" w:sz="18" w:space="0" w:color="auto"/>
              <w:right w:val="single" w:sz="18" w:space="0" w:color="auto"/>
            </w:tcBorders>
            <w:shd w:val="clear" w:color="auto" w:fill="auto"/>
            <w:vAlign w:val="bottom"/>
          </w:tcPr>
          <w:p w:rsidR="00F10713" w:rsidRDefault="001D24D9" w:rsidP="00F10713">
            <w:pPr>
              <w:spacing w:after="0" w:line="240" w:lineRule="auto"/>
              <w:jc w:val="both"/>
              <w:rPr>
                <w:color w:val="000000"/>
                <w:sz w:val="24"/>
                <w:szCs w:val="24"/>
              </w:rPr>
            </w:pPr>
            <w:r w:rsidRPr="006B5B9D">
              <w:rPr>
                <w:color w:val="000000"/>
                <w:sz w:val="24"/>
                <w:szCs w:val="24"/>
              </w:rPr>
              <w:t>La présente partie de l’ISO 16732 donne la base conceptuelle de l’évaluation du risque d’incendie en énonçant</w:t>
            </w:r>
            <w:r w:rsidR="006B5B9D">
              <w:rPr>
                <w:color w:val="000000"/>
                <w:sz w:val="24"/>
                <w:szCs w:val="24"/>
              </w:rPr>
              <w:t xml:space="preserve"> </w:t>
            </w:r>
            <w:r w:rsidRPr="006B5B9D">
              <w:rPr>
                <w:color w:val="000000"/>
                <w:sz w:val="24"/>
                <w:szCs w:val="24"/>
              </w:rPr>
              <w:t>les principes sous-jacents de la quantification et de l’interprétation du risque d’incendie. Ces principes du</w:t>
            </w:r>
            <w:r w:rsidR="006B5B9D">
              <w:rPr>
                <w:color w:val="000000"/>
                <w:sz w:val="24"/>
                <w:szCs w:val="24"/>
              </w:rPr>
              <w:t xml:space="preserve"> </w:t>
            </w:r>
            <w:r w:rsidRPr="006B5B9D">
              <w:rPr>
                <w:color w:val="000000"/>
                <w:sz w:val="24"/>
                <w:szCs w:val="24"/>
              </w:rPr>
              <w:t>risque d’incendie s’appliquent à tous les phénomènes relatifs aux incendies et à toutes les configurations</w:t>
            </w:r>
            <w:r w:rsidR="006B5B9D">
              <w:rPr>
                <w:color w:val="000000"/>
                <w:sz w:val="24"/>
                <w:szCs w:val="24"/>
              </w:rPr>
              <w:t xml:space="preserve"> </w:t>
            </w:r>
            <w:r w:rsidRPr="006B5B9D">
              <w:rPr>
                <w:color w:val="000000"/>
                <w:sz w:val="24"/>
                <w:szCs w:val="24"/>
              </w:rPr>
              <w:t>représentatives de la réalité, ce qui signifie que ces principes peuvent être appliqués à tous les types de</w:t>
            </w:r>
            <w:r w:rsidR="00F10713">
              <w:rPr>
                <w:color w:val="000000"/>
                <w:sz w:val="24"/>
                <w:szCs w:val="24"/>
              </w:rPr>
              <w:t xml:space="preserve"> </w:t>
            </w:r>
            <w:r w:rsidRPr="006B5B9D">
              <w:rPr>
                <w:color w:val="000000"/>
                <w:sz w:val="24"/>
                <w:szCs w:val="24"/>
              </w:rPr>
              <w:t>scénarios d’incendie. Les principes et concepts de la présente partie de l’ISO 16732 peuvent être appliqués</w:t>
            </w:r>
            <w:r w:rsidRPr="006B5B9D">
              <w:rPr>
                <w:color w:val="000000"/>
                <w:sz w:val="24"/>
                <w:szCs w:val="24"/>
              </w:rPr>
              <w:br/>
              <w:t>à tout objectif de sécurité incendie, y compris les cinq objectifs typiques indiqués à titre d’exemples dans</w:t>
            </w:r>
            <w:r w:rsidR="00F10713">
              <w:rPr>
                <w:color w:val="000000"/>
                <w:sz w:val="24"/>
                <w:szCs w:val="24"/>
              </w:rPr>
              <w:t xml:space="preserve"> </w:t>
            </w:r>
            <w:r w:rsidRPr="006B5B9D">
              <w:rPr>
                <w:color w:val="000000"/>
                <w:sz w:val="24"/>
                <w:szCs w:val="24"/>
              </w:rPr>
              <w:t>l’Article 1 de l’ISO 23932:2009:</w:t>
            </w:r>
          </w:p>
          <w:p w:rsidR="00F10713" w:rsidRDefault="001D24D9" w:rsidP="00F10713">
            <w:pPr>
              <w:spacing w:after="0" w:line="240" w:lineRule="auto"/>
              <w:jc w:val="both"/>
              <w:rPr>
                <w:color w:val="000000"/>
                <w:sz w:val="24"/>
                <w:szCs w:val="24"/>
              </w:rPr>
            </w:pPr>
            <w:r w:rsidRPr="006B5B9D">
              <w:rPr>
                <w:color w:val="000000"/>
                <w:sz w:val="24"/>
                <w:szCs w:val="24"/>
              </w:rPr>
              <w:t>— la sécurité des personnes,</w:t>
            </w:r>
          </w:p>
          <w:p w:rsidR="00F10713" w:rsidRDefault="001D24D9" w:rsidP="00F10713">
            <w:pPr>
              <w:spacing w:after="0" w:line="240" w:lineRule="auto"/>
              <w:jc w:val="both"/>
              <w:rPr>
                <w:color w:val="000000"/>
                <w:sz w:val="24"/>
                <w:szCs w:val="24"/>
              </w:rPr>
            </w:pPr>
            <w:r w:rsidRPr="006B5B9D">
              <w:rPr>
                <w:color w:val="000000"/>
                <w:sz w:val="24"/>
                <w:szCs w:val="24"/>
              </w:rPr>
              <w:t>— la sauvegarde des biens,</w:t>
            </w:r>
          </w:p>
          <w:p w:rsidR="00F10713" w:rsidRDefault="001D24D9" w:rsidP="00F10713">
            <w:pPr>
              <w:spacing w:after="0" w:line="240" w:lineRule="auto"/>
              <w:jc w:val="both"/>
              <w:rPr>
                <w:color w:val="000000"/>
                <w:sz w:val="24"/>
                <w:szCs w:val="24"/>
              </w:rPr>
            </w:pPr>
            <w:r w:rsidRPr="006B5B9D">
              <w:rPr>
                <w:color w:val="000000"/>
                <w:sz w:val="24"/>
                <w:szCs w:val="24"/>
              </w:rPr>
              <w:t>— la continuité des activités et des opérations de sécurité,</w:t>
            </w:r>
          </w:p>
          <w:p w:rsidR="00F10713" w:rsidRDefault="001D24D9" w:rsidP="00F10713">
            <w:pPr>
              <w:spacing w:after="0" w:line="240" w:lineRule="auto"/>
              <w:jc w:val="both"/>
              <w:rPr>
                <w:color w:val="000000"/>
                <w:sz w:val="24"/>
                <w:szCs w:val="24"/>
              </w:rPr>
            </w:pPr>
            <w:r w:rsidRPr="006B5B9D">
              <w:rPr>
                <w:color w:val="000000"/>
                <w:sz w:val="24"/>
                <w:szCs w:val="24"/>
              </w:rPr>
              <w:t>— la protection de l’environnement,</w:t>
            </w:r>
          </w:p>
          <w:p w:rsidR="00F10713" w:rsidRDefault="001D24D9" w:rsidP="00F10713">
            <w:pPr>
              <w:spacing w:after="0" w:line="240" w:lineRule="auto"/>
              <w:jc w:val="both"/>
              <w:rPr>
                <w:color w:val="000000"/>
                <w:sz w:val="24"/>
                <w:szCs w:val="24"/>
              </w:rPr>
            </w:pPr>
            <w:r w:rsidRPr="006B5B9D">
              <w:rPr>
                <w:color w:val="000000"/>
                <w:sz w:val="24"/>
                <w:szCs w:val="24"/>
              </w:rPr>
              <w:t>— la conservation du patrimoine.</w:t>
            </w:r>
          </w:p>
          <w:p w:rsidR="00F10713" w:rsidRDefault="001D24D9" w:rsidP="00F10713">
            <w:pPr>
              <w:spacing w:after="0" w:line="240" w:lineRule="auto"/>
              <w:jc w:val="both"/>
              <w:rPr>
                <w:color w:val="000000"/>
                <w:sz w:val="24"/>
                <w:szCs w:val="24"/>
              </w:rPr>
            </w:pPr>
            <w:r w:rsidRPr="006B5B9D">
              <w:rPr>
                <w:color w:val="000000"/>
                <w:sz w:val="24"/>
                <w:szCs w:val="24"/>
              </w:rPr>
              <w:t>La présente partie de l’ISO 16732 est conçue comme un guide destiné à de futures normes donnant des</w:t>
            </w:r>
            <w:r w:rsidR="00F10713">
              <w:rPr>
                <w:color w:val="000000"/>
                <w:sz w:val="24"/>
                <w:szCs w:val="24"/>
              </w:rPr>
              <w:t xml:space="preserve"> </w:t>
            </w:r>
            <w:r w:rsidRPr="006B5B9D">
              <w:rPr>
                <w:color w:val="000000"/>
                <w:sz w:val="24"/>
                <w:szCs w:val="24"/>
              </w:rPr>
              <w:t>modes opératoires formels de mise en oeuvre des principes d’évaluation du risque pour des applications</w:t>
            </w:r>
            <w:r w:rsidR="00F10713">
              <w:rPr>
                <w:color w:val="000000"/>
                <w:sz w:val="24"/>
                <w:szCs w:val="24"/>
              </w:rPr>
              <w:t xml:space="preserve"> </w:t>
            </w:r>
            <w:r w:rsidRPr="006B5B9D">
              <w:rPr>
                <w:color w:val="000000"/>
                <w:sz w:val="24"/>
                <w:szCs w:val="24"/>
              </w:rPr>
              <w:t>spécifiques, par exemple des situations dans lesquelles seuls certains types de scénarios d’incendie sont</w:t>
            </w:r>
            <w:r w:rsidRPr="006B5B9D">
              <w:rPr>
                <w:color w:val="000000"/>
                <w:sz w:val="24"/>
                <w:szCs w:val="24"/>
              </w:rPr>
              <w:br/>
              <w:t>possibles. Ces futures normes compléteront le processus de normalisation globale commencé avec la présente</w:t>
            </w:r>
            <w:r w:rsidR="00F10713">
              <w:rPr>
                <w:color w:val="000000"/>
                <w:sz w:val="24"/>
                <w:szCs w:val="24"/>
              </w:rPr>
              <w:t xml:space="preserve"> </w:t>
            </w:r>
            <w:r w:rsidRPr="006B5B9D">
              <w:rPr>
                <w:color w:val="000000"/>
                <w:sz w:val="24"/>
                <w:szCs w:val="24"/>
              </w:rPr>
              <w:t>partie de l’ISO 16732, qui ne spécifie pas seulement les étapes à suivre dans l’évaluation du risque d’incendie,</w:t>
            </w:r>
            <w:r w:rsidRPr="006B5B9D">
              <w:rPr>
                <w:color w:val="000000"/>
                <w:sz w:val="24"/>
                <w:szCs w:val="24"/>
              </w:rPr>
              <w:br/>
              <w:t>mais donne aussi des lignes directrices d’utilisation, en déterminant si l’approche spécifique utilisée pour la</w:t>
            </w:r>
            <w:r w:rsidR="00F10713">
              <w:rPr>
                <w:color w:val="000000"/>
                <w:sz w:val="24"/>
                <w:szCs w:val="24"/>
              </w:rPr>
              <w:t xml:space="preserve"> </w:t>
            </w:r>
            <w:r w:rsidRPr="006B5B9D">
              <w:rPr>
                <w:color w:val="000000"/>
                <w:sz w:val="24"/>
                <w:szCs w:val="24"/>
              </w:rPr>
              <w:t>quantification est acceptable.</w:t>
            </w:r>
          </w:p>
          <w:p w:rsidR="001D24D9" w:rsidRPr="006B5B9D" w:rsidRDefault="001D24D9" w:rsidP="00F10713">
            <w:pPr>
              <w:spacing w:after="0" w:line="240" w:lineRule="auto"/>
              <w:jc w:val="both"/>
              <w:rPr>
                <w:rFonts w:ascii="Times New Roman" w:hAnsi="Times New Roman" w:cs="Times New Roman"/>
                <w:color w:val="000000"/>
                <w:sz w:val="24"/>
                <w:szCs w:val="24"/>
              </w:rPr>
            </w:pPr>
            <w:r w:rsidRPr="006B5B9D">
              <w:rPr>
                <w:color w:val="000000"/>
                <w:sz w:val="24"/>
                <w:szCs w:val="24"/>
              </w:rPr>
              <w:t>Les principes fondamentaux de la quantification du risque sont présentés dans la présente partie de l’ISO 16732 en</w:t>
            </w:r>
            <w:r w:rsidR="00F10713">
              <w:rPr>
                <w:color w:val="000000"/>
                <w:sz w:val="24"/>
                <w:szCs w:val="24"/>
              </w:rPr>
              <w:t xml:space="preserve"> </w:t>
            </w:r>
            <w:r w:rsidRPr="006B5B9D">
              <w:rPr>
                <w:color w:val="000000"/>
                <w:sz w:val="24"/>
                <w:szCs w:val="24"/>
              </w:rPr>
              <w:t>termes d’étapes à franchir lors de la conduite d’une évaluation du risque d’incendie. Ces étapes de quantification</w:t>
            </w:r>
            <w:r w:rsidR="00F10713">
              <w:rPr>
                <w:color w:val="000000"/>
                <w:sz w:val="24"/>
                <w:szCs w:val="24"/>
              </w:rPr>
              <w:t xml:space="preserve"> </w:t>
            </w:r>
            <w:r w:rsidRPr="006B5B9D">
              <w:rPr>
                <w:color w:val="000000"/>
                <w:sz w:val="24"/>
                <w:szCs w:val="24"/>
              </w:rPr>
              <w:t>sont initialement placées dans le contexte de la gestion globale du risque d’incendie et sont ensuite expliquées</w:t>
            </w:r>
            <w:r w:rsidR="00F10713">
              <w:rPr>
                <w:color w:val="000000"/>
                <w:sz w:val="24"/>
                <w:szCs w:val="24"/>
              </w:rPr>
              <w:t xml:space="preserve"> </w:t>
            </w:r>
            <w:r w:rsidRPr="006B5B9D">
              <w:rPr>
                <w:color w:val="000000"/>
                <w:sz w:val="24"/>
                <w:szCs w:val="24"/>
              </w:rPr>
              <w:t>dans le contexte de l’ingénierie de la sécurité incendie, comme présenté dans l’ISO/TR 13387. L’utilisation des</w:t>
            </w:r>
            <w:r w:rsidR="00F10713">
              <w:rPr>
                <w:color w:val="000000"/>
                <w:sz w:val="24"/>
                <w:szCs w:val="24"/>
              </w:rPr>
              <w:t xml:space="preserve"> </w:t>
            </w:r>
            <w:r w:rsidRPr="006B5B9D">
              <w:rPr>
                <w:color w:val="000000"/>
                <w:sz w:val="24"/>
                <w:szCs w:val="24"/>
              </w:rPr>
              <w:t xml:space="preserve">scénarios et la </w:t>
            </w:r>
            <w:r w:rsidRPr="006B5B9D">
              <w:rPr>
                <w:color w:val="000000"/>
                <w:sz w:val="24"/>
                <w:szCs w:val="24"/>
              </w:rPr>
              <w:lastRenderedPageBreak/>
              <w:t>caractérisation des probabilités (ou de la mesure de fréquence la plus étroitement associée) et</w:t>
            </w:r>
            <w:r w:rsidR="00F10713">
              <w:rPr>
                <w:color w:val="000000"/>
                <w:sz w:val="24"/>
                <w:szCs w:val="24"/>
              </w:rPr>
              <w:t xml:space="preserve"> </w:t>
            </w:r>
            <w:r w:rsidRPr="006B5B9D">
              <w:rPr>
                <w:color w:val="000000"/>
                <w:sz w:val="24"/>
                <w:szCs w:val="24"/>
              </w:rPr>
              <w:t>des conséquences sont alors décrites comme des étapes dans l’estimation du risque d’incendie, conduisant à</w:t>
            </w:r>
            <w:r w:rsidR="00F10713">
              <w:rPr>
                <w:color w:val="000000"/>
                <w:sz w:val="24"/>
                <w:szCs w:val="24"/>
              </w:rPr>
              <w:t xml:space="preserve"> </w:t>
            </w:r>
            <w:r w:rsidRPr="006B5B9D">
              <w:rPr>
                <w:color w:val="000000"/>
                <w:sz w:val="24"/>
                <w:szCs w:val="24"/>
              </w:rPr>
              <w:t>la quantification du risque d’incendie combiné. Des lignes directrices sont également fournies sur l’utilisation des</w:t>
            </w:r>
            <w:r w:rsidR="00F10713">
              <w:rPr>
                <w:color w:val="000000"/>
                <w:sz w:val="24"/>
                <w:szCs w:val="24"/>
              </w:rPr>
              <w:t xml:space="preserve"> </w:t>
            </w:r>
            <w:r w:rsidRPr="006B5B9D">
              <w:rPr>
                <w:color w:val="000000"/>
                <w:sz w:val="24"/>
                <w:szCs w:val="24"/>
              </w:rPr>
              <w:t>informations ainsi obtenues, c’est-à-dire sur l’interprétation du risque d’incendie. Enfin, des lignes directrices</w:t>
            </w:r>
            <w:r w:rsidR="00F10713">
              <w:rPr>
                <w:color w:val="000000"/>
                <w:sz w:val="24"/>
                <w:szCs w:val="24"/>
              </w:rPr>
              <w:t xml:space="preserve"> </w:t>
            </w:r>
            <w:r w:rsidRPr="006B5B9D">
              <w:rPr>
                <w:color w:val="000000"/>
                <w:sz w:val="24"/>
                <w:szCs w:val="24"/>
              </w:rPr>
              <w:t>sont données sur les méthodes d’analyse de l’incertitude, estimant l’incertitude associée aux estimations du</w:t>
            </w:r>
            <w:r w:rsidRPr="006B5B9D">
              <w:rPr>
                <w:color w:val="000000"/>
                <w:sz w:val="24"/>
                <w:szCs w:val="24"/>
              </w:rPr>
              <w:br/>
              <w:t>risque d’incendie et interprétant et évaluant les implications de cette incertitude.</w:t>
            </w:r>
            <w:r w:rsidRPr="006B5B9D">
              <w:rPr>
                <w:color w:val="000000"/>
                <w:sz w:val="24"/>
                <w:szCs w:val="24"/>
              </w:rPr>
              <w:br/>
              <w:t>La structure de la présente partie de l’ISO 16732 n’est pas destinée à se conformer à une réglementation</w:t>
            </w:r>
            <w:r w:rsidR="00F10713">
              <w:rPr>
                <w:color w:val="000000"/>
                <w:sz w:val="24"/>
                <w:szCs w:val="24"/>
              </w:rPr>
              <w:t xml:space="preserve"> </w:t>
            </w:r>
            <w:r w:rsidRPr="006B5B9D">
              <w:rPr>
                <w:color w:val="000000"/>
                <w:sz w:val="24"/>
                <w:szCs w:val="24"/>
              </w:rPr>
              <w:t>nationale ou à toute autre exigence relative à l’utilisation de l’évaluation du risque d’incendie ou au type</w:t>
            </w:r>
            <w:r w:rsidRPr="006B5B9D">
              <w:rPr>
                <w:color w:val="000000"/>
                <w:sz w:val="24"/>
                <w:szCs w:val="24"/>
              </w:rPr>
              <w:br/>
              <w:t>d’analyse à réaliser dans le cadre de l’évaluation du risque d’incendie.</w:t>
            </w:r>
          </w:p>
        </w:tc>
      </w:tr>
      <w:tr w:rsidR="001D24D9" w:rsidRPr="0043547B" w:rsidTr="006B5B9D">
        <w:trPr>
          <w:gridBefore w:val="1"/>
          <w:wBefore w:w="18" w:type="dxa"/>
          <w:trHeight w:val="522"/>
          <w:jc w:val="center"/>
        </w:trPr>
        <w:tc>
          <w:tcPr>
            <w:tcW w:w="1856" w:type="dxa"/>
            <w:tcBorders>
              <w:top w:val="single" w:sz="4" w:space="0" w:color="auto"/>
              <w:left w:val="single" w:sz="18" w:space="0" w:color="auto"/>
              <w:bottom w:val="single" w:sz="18" w:space="0" w:color="auto"/>
              <w:right w:val="single" w:sz="8" w:space="0" w:color="auto"/>
            </w:tcBorders>
            <w:shd w:val="clear" w:color="auto" w:fill="C2D69B" w:themeFill="accent3" w:themeFillTint="99"/>
            <w:vAlign w:val="center"/>
          </w:tcPr>
          <w:p w:rsidR="001D24D9" w:rsidRPr="006B5B9D" w:rsidRDefault="001D24D9" w:rsidP="006B5B9D">
            <w:pPr>
              <w:spacing w:after="0" w:line="240" w:lineRule="auto"/>
              <w:jc w:val="center"/>
              <w:rPr>
                <w:rFonts w:ascii="Calibri" w:hAnsi="Calibri" w:cs="Calibri"/>
                <w:b/>
                <w:bCs/>
                <w:sz w:val="24"/>
                <w:szCs w:val="24"/>
              </w:rPr>
            </w:pPr>
            <w:r w:rsidRPr="006B5B9D">
              <w:rPr>
                <w:rFonts w:ascii="Calibri" w:hAnsi="Calibri" w:cs="Calibri"/>
                <w:b/>
                <w:bCs/>
                <w:sz w:val="24"/>
                <w:szCs w:val="24"/>
              </w:rPr>
              <w:lastRenderedPageBreak/>
              <w:t>Code :</w:t>
            </w:r>
          </w:p>
        </w:tc>
        <w:tc>
          <w:tcPr>
            <w:tcW w:w="7938" w:type="dxa"/>
            <w:tcBorders>
              <w:top w:val="single" w:sz="4" w:space="0" w:color="auto"/>
              <w:bottom w:val="single" w:sz="18" w:space="0" w:color="auto"/>
              <w:right w:val="single" w:sz="18" w:space="0" w:color="auto"/>
            </w:tcBorders>
            <w:shd w:val="clear" w:color="auto" w:fill="C2D69B" w:themeFill="accent3" w:themeFillTint="99"/>
            <w:vAlign w:val="center"/>
          </w:tcPr>
          <w:p w:rsidR="001D24D9" w:rsidRPr="006B5B9D" w:rsidRDefault="001D24D9" w:rsidP="006B5B9D">
            <w:pPr>
              <w:spacing w:after="0" w:line="240" w:lineRule="auto"/>
              <w:jc w:val="center"/>
              <w:rPr>
                <w:rFonts w:ascii="Times New Roman" w:hAnsi="Times New Roman" w:cs="Times New Roman"/>
                <w:b/>
                <w:bCs/>
                <w:color w:val="000000"/>
                <w:sz w:val="24"/>
                <w:szCs w:val="24"/>
              </w:rPr>
            </w:pPr>
            <w:r w:rsidRPr="006B5B9D">
              <w:rPr>
                <w:b/>
                <w:bCs/>
                <w:color w:val="000000"/>
                <w:sz w:val="24"/>
                <w:szCs w:val="24"/>
              </w:rPr>
              <w:t>NM ISO 16730-1</w:t>
            </w:r>
          </w:p>
        </w:tc>
      </w:tr>
      <w:tr w:rsidR="001D24D9" w:rsidRPr="0043547B" w:rsidTr="00566A17">
        <w:trPr>
          <w:gridBefore w:val="1"/>
          <w:wBefore w:w="18" w:type="dxa"/>
          <w:trHeight w:val="482"/>
          <w:jc w:val="center"/>
        </w:trPr>
        <w:tc>
          <w:tcPr>
            <w:tcW w:w="1856" w:type="dxa"/>
            <w:tcBorders>
              <w:top w:val="single" w:sz="4" w:space="0" w:color="auto"/>
              <w:left w:val="single" w:sz="18" w:space="0" w:color="auto"/>
              <w:bottom w:val="single" w:sz="18" w:space="0" w:color="auto"/>
              <w:right w:val="single" w:sz="8" w:space="0" w:color="auto"/>
            </w:tcBorders>
            <w:shd w:val="clear" w:color="auto" w:fill="FFFF99"/>
            <w:vAlign w:val="center"/>
          </w:tcPr>
          <w:p w:rsidR="001D24D9" w:rsidRPr="006B5B9D" w:rsidRDefault="001D24D9" w:rsidP="006B5B9D">
            <w:pPr>
              <w:spacing w:after="0" w:line="240" w:lineRule="auto"/>
              <w:jc w:val="center"/>
              <w:rPr>
                <w:rFonts w:ascii="Calibri" w:hAnsi="Calibri" w:cs="Calibri"/>
                <w:b/>
                <w:bCs/>
                <w:sz w:val="24"/>
                <w:szCs w:val="24"/>
              </w:rPr>
            </w:pPr>
            <w:r w:rsidRPr="006B5B9D">
              <w:rPr>
                <w:rFonts w:ascii="Calibri" w:hAnsi="Calibri" w:cs="Calibri"/>
                <w:b/>
                <w:bCs/>
                <w:sz w:val="24"/>
                <w:szCs w:val="24"/>
              </w:rPr>
              <w:t>Equivalence :</w:t>
            </w:r>
          </w:p>
        </w:tc>
        <w:tc>
          <w:tcPr>
            <w:tcW w:w="7938" w:type="dxa"/>
            <w:tcBorders>
              <w:top w:val="single" w:sz="4" w:space="0" w:color="auto"/>
              <w:bottom w:val="single" w:sz="18" w:space="0" w:color="auto"/>
              <w:right w:val="single" w:sz="18" w:space="0" w:color="auto"/>
            </w:tcBorders>
            <w:shd w:val="clear" w:color="auto" w:fill="FFFF99"/>
            <w:vAlign w:val="center"/>
          </w:tcPr>
          <w:p w:rsidR="001D24D9" w:rsidRPr="006B5B9D" w:rsidRDefault="001D24D9" w:rsidP="006B5B9D">
            <w:pPr>
              <w:spacing w:after="0" w:line="240" w:lineRule="auto"/>
              <w:jc w:val="center"/>
              <w:rPr>
                <w:rFonts w:ascii="Times New Roman" w:hAnsi="Times New Roman" w:cs="Times New Roman"/>
                <w:b/>
                <w:bCs/>
                <w:color w:val="000000"/>
                <w:sz w:val="24"/>
                <w:szCs w:val="24"/>
              </w:rPr>
            </w:pPr>
            <w:r w:rsidRPr="006B5B9D">
              <w:rPr>
                <w:b/>
                <w:bCs/>
                <w:color w:val="000000"/>
                <w:sz w:val="24"/>
                <w:szCs w:val="24"/>
              </w:rPr>
              <w:t>ISO 16730-1</w:t>
            </w:r>
          </w:p>
        </w:tc>
      </w:tr>
      <w:tr w:rsidR="001D24D9" w:rsidRPr="0043547B" w:rsidTr="00566A17">
        <w:trPr>
          <w:gridBefore w:val="1"/>
          <w:wBefore w:w="18" w:type="dxa"/>
          <w:trHeight w:val="739"/>
          <w:jc w:val="center"/>
        </w:trPr>
        <w:tc>
          <w:tcPr>
            <w:tcW w:w="1856" w:type="dxa"/>
            <w:tcBorders>
              <w:top w:val="single" w:sz="18" w:space="0" w:color="auto"/>
              <w:left w:val="single" w:sz="18" w:space="0" w:color="auto"/>
              <w:bottom w:val="single" w:sz="4" w:space="0" w:color="auto"/>
              <w:right w:val="single" w:sz="8" w:space="0" w:color="auto"/>
            </w:tcBorders>
            <w:shd w:val="clear" w:color="auto" w:fill="95B3D7" w:themeFill="accent1" w:themeFillTint="99"/>
            <w:vAlign w:val="center"/>
          </w:tcPr>
          <w:p w:rsidR="001D24D9" w:rsidRPr="006B5B9D" w:rsidRDefault="001D24D9" w:rsidP="006B5B9D">
            <w:pPr>
              <w:spacing w:after="0" w:line="240" w:lineRule="auto"/>
              <w:jc w:val="center"/>
              <w:rPr>
                <w:rFonts w:ascii="Calibri" w:hAnsi="Calibri" w:cs="Calibri"/>
                <w:b/>
                <w:bCs/>
                <w:sz w:val="24"/>
                <w:szCs w:val="24"/>
              </w:rPr>
            </w:pPr>
            <w:r w:rsidRPr="006B5B9D">
              <w:rPr>
                <w:rFonts w:ascii="Calibri" w:hAnsi="Calibri" w:cs="Calibri"/>
                <w:b/>
                <w:bCs/>
                <w:sz w:val="24"/>
                <w:szCs w:val="24"/>
              </w:rPr>
              <w:t>Intitulé :</w:t>
            </w:r>
          </w:p>
        </w:tc>
        <w:tc>
          <w:tcPr>
            <w:tcW w:w="7938" w:type="dxa"/>
            <w:tcBorders>
              <w:top w:val="single" w:sz="18" w:space="0" w:color="auto"/>
              <w:bottom w:val="single" w:sz="4" w:space="0" w:color="auto"/>
              <w:right w:val="single" w:sz="18" w:space="0" w:color="auto"/>
            </w:tcBorders>
            <w:shd w:val="clear" w:color="auto" w:fill="auto"/>
            <w:vAlign w:val="bottom"/>
          </w:tcPr>
          <w:p w:rsidR="001D24D9" w:rsidRPr="006B5B9D" w:rsidRDefault="001D24D9" w:rsidP="006B5B9D">
            <w:pPr>
              <w:spacing w:after="0" w:line="240" w:lineRule="auto"/>
              <w:jc w:val="both"/>
              <w:rPr>
                <w:rFonts w:ascii="Times New Roman" w:hAnsi="Times New Roman" w:cs="Times New Roman"/>
                <w:color w:val="000000"/>
                <w:sz w:val="24"/>
                <w:szCs w:val="24"/>
              </w:rPr>
            </w:pPr>
            <w:r w:rsidRPr="006B5B9D">
              <w:rPr>
                <w:color w:val="000000"/>
                <w:sz w:val="24"/>
                <w:szCs w:val="24"/>
              </w:rPr>
              <w:t xml:space="preserve">Ingénierie de la sécurité incendie - Procédures et exigences pour la vérification et la validation des méthodes de calcul - Partie 1 : Généralités ; </w:t>
            </w:r>
          </w:p>
        </w:tc>
      </w:tr>
      <w:tr w:rsidR="001D24D9" w:rsidRPr="0043547B" w:rsidTr="00566A17">
        <w:trPr>
          <w:gridBefore w:val="1"/>
          <w:wBefore w:w="18" w:type="dxa"/>
          <w:trHeight w:val="1517"/>
          <w:jc w:val="center"/>
        </w:trPr>
        <w:tc>
          <w:tcPr>
            <w:tcW w:w="1856" w:type="dxa"/>
            <w:tcBorders>
              <w:top w:val="single" w:sz="4" w:space="0" w:color="auto"/>
              <w:left w:val="single" w:sz="18" w:space="0" w:color="auto"/>
              <w:bottom w:val="single" w:sz="18" w:space="0" w:color="auto"/>
              <w:right w:val="single" w:sz="8" w:space="0" w:color="auto"/>
            </w:tcBorders>
            <w:shd w:val="clear" w:color="000000" w:fill="D9D9D9"/>
            <w:vAlign w:val="center"/>
          </w:tcPr>
          <w:p w:rsidR="001D24D9" w:rsidRPr="006B5B9D" w:rsidRDefault="001D24D9" w:rsidP="006B5B9D">
            <w:pPr>
              <w:spacing w:after="0" w:line="240" w:lineRule="auto"/>
              <w:jc w:val="center"/>
              <w:rPr>
                <w:rFonts w:ascii="Calibri" w:hAnsi="Calibri" w:cs="Calibri"/>
                <w:b/>
                <w:bCs/>
                <w:sz w:val="24"/>
                <w:szCs w:val="24"/>
              </w:rPr>
            </w:pPr>
            <w:r w:rsidRPr="006B5B9D">
              <w:rPr>
                <w:rFonts w:ascii="Calibri" w:hAnsi="Calibri" w:cs="Calibri"/>
                <w:b/>
                <w:bCs/>
                <w:sz w:val="24"/>
                <w:szCs w:val="24"/>
              </w:rPr>
              <w:t>Domaine d’application :</w:t>
            </w:r>
          </w:p>
        </w:tc>
        <w:tc>
          <w:tcPr>
            <w:tcW w:w="7938" w:type="dxa"/>
            <w:tcBorders>
              <w:top w:val="single" w:sz="4" w:space="0" w:color="auto"/>
              <w:bottom w:val="single" w:sz="18" w:space="0" w:color="auto"/>
              <w:right w:val="single" w:sz="18" w:space="0" w:color="auto"/>
            </w:tcBorders>
            <w:shd w:val="clear" w:color="auto" w:fill="auto"/>
            <w:vAlign w:val="bottom"/>
          </w:tcPr>
          <w:p w:rsidR="006B5B9D" w:rsidRDefault="001D24D9" w:rsidP="006B5B9D">
            <w:pPr>
              <w:spacing w:after="0" w:line="240" w:lineRule="auto"/>
              <w:jc w:val="both"/>
              <w:rPr>
                <w:color w:val="000000"/>
                <w:sz w:val="24"/>
                <w:szCs w:val="24"/>
              </w:rPr>
            </w:pPr>
            <w:r w:rsidRPr="006B5B9D">
              <w:rPr>
                <w:color w:val="000000"/>
                <w:sz w:val="24"/>
                <w:szCs w:val="24"/>
              </w:rPr>
              <w:t>La présente Norme internationale établit un cadre pour la vérification et la validation de tous types</w:t>
            </w:r>
            <w:r w:rsidR="006B5B9D">
              <w:rPr>
                <w:color w:val="000000"/>
                <w:sz w:val="24"/>
                <w:szCs w:val="24"/>
              </w:rPr>
              <w:t xml:space="preserve"> </w:t>
            </w:r>
            <w:r w:rsidRPr="006B5B9D">
              <w:rPr>
                <w:color w:val="000000"/>
                <w:sz w:val="24"/>
                <w:szCs w:val="24"/>
              </w:rPr>
              <w:t>de méthodes de calcul utilisées comme outils dans l’ingénierie de la sécurité incendie, en spécifiant à</w:t>
            </w:r>
            <w:r w:rsidR="006B5B9D">
              <w:rPr>
                <w:color w:val="000000"/>
                <w:sz w:val="24"/>
                <w:szCs w:val="24"/>
              </w:rPr>
              <w:t xml:space="preserve"> </w:t>
            </w:r>
            <w:r w:rsidRPr="006B5B9D">
              <w:rPr>
                <w:color w:val="000000"/>
                <w:sz w:val="24"/>
                <w:szCs w:val="24"/>
              </w:rPr>
              <w:t>cette fin, des procédures et des exigences. Elle ne concerne pas des modèles de feu spécifiques, mais</w:t>
            </w:r>
            <w:r w:rsidRPr="006B5B9D">
              <w:rPr>
                <w:color w:val="000000"/>
                <w:sz w:val="24"/>
                <w:szCs w:val="24"/>
              </w:rPr>
              <w:br/>
              <w:t>est applicable aux modèles analytiques, aux corrélations algébriques et aux modèles numériques</w:t>
            </w:r>
            <w:r w:rsidR="006B5B9D">
              <w:rPr>
                <w:color w:val="000000"/>
                <w:sz w:val="24"/>
                <w:szCs w:val="24"/>
              </w:rPr>
              <w:t xml:space="preserve"> </w:t>
            </w:r>
            <w:r w:rsidRPr="006B5B9D">
              <w:rPr>
                <w:color w:val="000000"/>
                <w:sz w:val="24"/>
                <w:szCs w:val="24"/>
              </w:rPr>
              <w:t>complexes, qui sont abordés sous forme de méthodes de calcul dans le contexte de la présente Norme</w:t>
            </w:r>
            <w:r w:rsidR="006B5B9D">
              <w:rPr>
                <w:color w:val="000000"/>
                <w:sz w:val="24"/>
                <w:szCs w:val="24"/>
              </w:rPr>
              <w:t xml:space="preserve"> </w:t>
            </w:r>
            <w:r w:rsidRPr="006B5B9D">
              <w:rPr>
                <w:color w:val="000000"/>
                <w:sz w:val="24"/>
                <w:szCs w:val="24"/>
              </w:rPr>
              <w:t>internationale.</w:t>
            </w:r>
          </w:p>
          <w:p w:rsidR="006B5B9D" w:rsidRDefault="001D24D9" w:rsidP="006B5B9D">
            <w:pPr>
              <w:spacing w:after="0" w:line="240" w:lineRule="auto"/>
              <w:jc w:val="both"/>
              <w:rPr>
                <w:color w:val="000000"/>
                <w:sz w:val="24"/>
                <w:szCs w:val="24"/>
              </w:rPr>
            </w:pPr>
            <w:r w:rsidRPr="006B5B9D">
              <w:rPr>
                <w:color w:val="000000"/>
                <w:sz w:val="24"/>
                <w:szCs w:val="24"/>
              </w:rPr>
              <w:t>La présente Norme internationale comprend</w:t>
            </w:r>
            <w:r w:rsidR="006B5B9D">
              <w:rPr>
                <w:color w:val="000000"/>
                <w:sz w:val="24"/>
                <w:szCs w:val="24"/>
              </w:rPr>
              <w:t> :</w:t>
            </w:r>
          </w:p>
          <w:p w:rsidR="006B5B9D" w:rsidRDefault="001D24D9" w:rsidP="006B5B9D">
            <w:pPr>
              <w:spacing w:after="0" w:line="240" w:lineRule="auto"/>
              <w:jc w:val="both"/>
              <w:rPr>
                <w:color w:val="000000"/>
                <w:sz w:val="24"/>
                <w:szCs w:val="24"/>
              </w:rPr>
            </w:pPr>
            <w:r w:rsidRPr="006B5B9D">
              <w:rPr>
                <w:color w:val="000000"/>
                <w:sz w:val="24"/>
                <w:szCs w:val="24"/>
              </w:rPr>
              <w:t>— un processus pour déterminer si les équations et les méthodes de calcul pertinentes sont</w:t>
            </w:r>
            <w:r w:rsidR="006B5B9D">
              <w:rPr>
                <w:color w:val="000000"/>
                <w:sz w:val="24"/>
                <w:szCs w:val="24"/>
              </w:rPr>
              <w:t xml:space="preserve"> </w:t>
            </w:r>
            <w:r w:rsidRPr="006B5B9D">
              <w:rPr>
                <w:color w:val="000000"/>
                <w:sz w:val="24"/>
                <w:szCs w:val="24"/>
              </w:rPr>
              <w:t>implémentées correctement (vérification) et la méthode de calcul envisagée représente la situation</w:t>
            </w:r>
            <w:r w:rsidR="006B5B9D">
              <w:rPr>
                <w:color w:val="000000"/>
                <w:sz w:val="24"/>
                <w:szCs w:val="24"/>
              </w:rPr>
              <w:t xml:space="preserve"> </w:t>
            </w:r>
            <w:r w:rsidRPr="006B5B9D">
              <w:rPr>
                <w:color w:val="000000"/>
                <w:sz w:val="24"/>
                <w:szCs w:val="24"/>
              </w:rPr>
              <w:t>réelle avec exactitude (validation),</w:t>
            </w:r>
            <w:r w:rsidRPr="006B5B9D">
              <w:rPr>
                <w:color w:val="000000"/>
                <w:sz w:val="24"/>
                <w:szCs w:val="24"/>
              </w:rPr>
              <w:br/>
              <w:t>— des exigences pour que la documentation démontre l’adéquation du fondement scientifique et</w:t>
            </w:r>
            <w:r w:rsidR="006B5B9D">
              <w:rPr>
                <w:color w:val="000000"/>
                <w:sz w:val="24"/>
                <w:szCs w:val="24"/>
              </w:rPr>
              <w:t xml:space="preserve"> </w:t>
            </w:r>
            <w:r w:rsidRPr="006B5B9D">
              <w:rPr>
                <w:color w:val="000000"/>
                <w:sz w:val="24"/>
                <w:szCs w:val="24"/>
              </w:rPr>
              <w:t>technique d’une méthode de calcul,</w:t>
            </w:r>
          </w:p>
          <w:p w:rsidR="006B5B9D" w:rsidRDefault="001D24D9" w:rsidP="006B5B9D">
            <w:pPr>
              <w:spacing w:after="0" w:line="240" w:lineRule="auto"/>
              <w:jc w:val="both"/>
              <w:rPr>
                <w:color w:val="000000"/>
                <w:sz w:val="24"/>
                <w:szCs w:val="24"/>
              </w:rPr>
            </w:pPr>
            <w:r w:rsidRPr="006B5B9D">
              <w:rPr>
                <w:color w:val="000000"/>
                <w:sz w:val="24"/>
                <w:szCs w:val="24"/>
              </w:rPr>
              <w:t>— des exigences relatives aux données par rapport auxquelles les résultats prédits d’une méthode de</w:t>
            </w:r>
            <w:r w:rsidR="006B5B9D">
              <w:rPr>
                <w:color w:val="000000"/>
                <w:sz w:val="24"/>
                <w:szCs w:val="24"/>
              </w:rPr>
              <w:t xml:space="preserve"> </w:t>
            </w:r>
            <w:r w:rsidRPr="006B5B9D">
              <w:rPr>
                <w:color w:val="000000"/>
                <w:sz w:val="24"/>
                <w:szCs w:val="24"/>
              </w:rPr>
              <w:t>calcul sont vérifiés, et</w:t>
            </w:r>
          </w:p>
          <w:p w:rsidR="001D24D9" w:rsidRPr="006B5B9D" w:rsidRDefault="001D24D9" w:rsidP="006B5B9D">
            <w:pPr>
              <w:spacing w:after="0" w:line="240" w:lineRule="auto"/>
              <w:jc w:val="both"/>
              <w:rPr>
                <w:rFonts w:ascii="Times New Roman" w:hAnsi="Times New Roman" w:cs="Times New Roman"/>
                <w:color w:val="000000"/>
                <w:sz w:val="24"/>
                <w:szCs w:val="24"/>
              </w:rPr>
            </w:pPr>
            <w:r w:rsidRPr="006B5B9D">
              <w:rPr>
                <w:color w:val="000000"/>
                <w:sz w:val="24"/>
                <w:szCs w:val="24"/>
              </w:rPr>
              <w:t>— des conseils sur l’utilisation de la présente Norme internationale par des développeurs et/ou des</w:t>
            </w:r>
            <w:r w:rsidR="006B5B9D">
              <w:rPr>
                <w:color w:val="000000"/>
                <w:sz w:val="24"/>
                <w:szCs w:val="24"/>
              </w:rPr>
              <w:t xml:space="preserve"> </w:t>
            </w:r>
            <w:r w:rsidRPr="006B5B9D">
              <w:rPr>
                <w:color w:val="000000"/>
                <w:sz w:val="24"/>
                <w:szCs w:val="24"/>
              </w:rPr>
              <w:t>utilisateurs de méthodes de calcul, et par les personnes qui évaluent les résultats obtenus à l’aide de</w:t>
            </w:r>
            <w:r w:rsidR="006B5B9D">
              <w:rPr>
                <w:color w:val="000000"/>
                <w:sz w:val="24"/>
                <w:szCs w:val="24"/>
              </w:rPr>
              <w:t xml:space="preserve"> </w:t>
            </w:r>
            <w:r w:rsidRPr="006B5B9D">
              <w:rPr>
                <w:color w:val="000000"/>
                <w:sz w:val="24"/>
                <w:szCs w:val="24"/>
              </w:rPr>
              <w:t>méthodes de calcul.</w:t>
            </w:r>
          </w:p>
        </w:tc>
      </w:tr>
      <w:tr w:rsidR="0043547B" w:rsidRPr="0043547B" w:rsidTr="009023A9">
        <w:trPr>
          <w:gridBefore w:val="1"/>
          <w:wBefore w:w="18" w:type="dxa"/>
          <w:trHeight w:val="23"/>
          <w:jc w:val="center"/>
        </w:trPr>
        <w:tc>
          <w:tcPr>
            <w:tcW w:w="1856" w:type="dxa"/>
            <w:tcBorders>
              <w:top w:val="nil"/>
              <w:left w:val="single" w:sz="18" w:space="0" w:color="auto"/>
              <w:bottom w:val="single" w:sz="18" w:space="0" w:color="auto"/>
              <w:right w:val="single" w:sz="8" w:space="0" w:color="auto"/>
            </w:tcBorders>
            <w:shd w:val="clear" w:color="auto" w:fill="C2D69B" w:themeFill="accent3" w:themeFillTint="99"/>
            <w:vAlign w:val="center"/>
          </w:tcPr>
          <w:p w:rsidR="003058D4" w:rsidRPr="00B35BDA" w:rsidRDefault="003058D4" w:rsidP="009023A9">
            <w:pPr>
              <w:spacing w:after="0" w:line="240" w:lineRule="auto"/>
              <w:jc w:val="center"/>
              <w:rPr>
                <w:rFonts w:cstheme="minorHAnsi"/>
                <w:b/>
                <w:bCs/>
                <w:sz w:val="24"/>
                <w:szCs w:val="24"/>
              </w:rPr>
            </w:pPr>
            <w:r w:rsidRPr="00B35BDA">
              <w:rPr>
                <w:rFonts w:cstheme="minorHAnsi"/>
                <w:b/>
                <w:bCs/>
                <w:sz w:val="24"/>
                <w:szCs w:val="24"/>
              </w:rPr>
              <w:t>Code :</w:t>
            </w:r>
          </w:p>
        </w:tc>
        <w:tc>
          <w:tcPr>
            <w:tcW w:w="7938" w:type="dxa"/>
            <w:tcBorders>
              <w:bottom w:val="single" w:sz="18" w:space="0" w:color="auto"/>
              <w:right w:val="single" w:sz="18" w:space="0" w:color="auto"/>
            </w:tcBorders>
            <w:shd w:val="clear" w:color="auto" w:fill="C2D69B" w:themeFill="accent3" w:themeFillTint="99"/>
            <w:vAlign w:val="bottom"/>
          </w:tcPr>
          <w:p w:rsidR="003058D4" w:rsidRPr="00B35BDA" w:rsidRDefault="003058D4" w:rsidP="009023A9">
            <w:pPr>
              <w:spacing w:after="0" w:line="240" w:lineRule="auto"/>
              <w:jc w:val="center"/>
              <w:rPr>
                <w:rFonts w:cstheme="minorHAnsi"/>
                <w:b/>
                <w:bCs/>
                <w:sz w:val="24"/>
                <w:szCs w:val="24"/>
              </w:rPr>
            </w:pPr>
            <w:r w:rsidRPr="00B35BDA">
              <w:rPr>
                <w:rFonts w:cstheme="minorHAnsi"/>
                <w:b/>
                <w:bCs/>
                <w:sz w:val="24"/>
                <w:szCs w:val="24"/>
              </w:rPr>
              <w:t>NM EN 54-21</w:t>
            </w:r>
          </w:p>
        </w:tc>
      </w:tr>
      <w:tr w:rsidR="0043547B" w:rsidRPr="0043547B" w:rsidTr="009023A9">
        <w:trPr>
          <w:gridBefore w:val="1"/>
          <w:wBefore w:w="18" w:type="dxa"/>
          <w:trHeight w:val="23"/>
          <w:jc w:val="center"/>
        </w:trPr>
        <w:tc>
          <w:tcPr>
            <w:tcW w:w="1856" w:type="dxa"/>
            <w:tcBorders>
              <w:top w:val="single" w:sz="18" w:space="0" w:color="auto"/>
              <w:left w:val="single" w:sz="18" w:space="0" w:color="auto"/>
              <w:bottom w:val="single" w:sz="4" w:space="0" w:color="auto"/>
              <w:right w:val="single" w:sz="8" w:space="0" w:color="auto"/>
            </w:tcBorders>
            <w:shd w:val="clear" w:color="auto" w:fill="FDFBA9"/>
            <w:vAlign w:val="center"/>
          </w:tcPr>
          <w:p w:rsidR="003058D4" w:rsidRPr="00B35BDA" w:rsidRDefault="003058D4" w:rsidP="009023A9">
            <w:pPr>
              <w:spacing w:after="0" w:line="240" w:lineRule="auto"/>
              <w:jc w:val="center"/>
              <w:rPr>
                <w:rFonts w:cstheme="minorHAnsi"/>
                <w:b/>
                <w:bCs/>
                <w:sz w:val="24"/>
                <w:szCs w:val="24"/>
              </w:rPr>
            </w:pPr>
            <w:r w:rsidRPr="00B35BDA">
              <w:rPr>
                <w:rFonts w:cstheme="minorHAnsi"/>
                <w:b/>
                <w:bCs/>
                <w:sz w:val="24"/>
                <w:szCs w:val="24"/>
              </w:rPr>
              <w:t>Equivalence :</w:t>
            </w:r>
          </w:p>
        </w:tc>
        <w:tc>
          <w:tcPr>
            <w:tcW w:w="7938" w:type="dxa"/>
            <w:tcBorders>
              <w:top w:val="single" w:sz="18" w:space="0" w:color="auto"/>
              <w:bottom w:val="single" w:sz="4" w:space="0" w:color="auto"/>
              <w:right w:val="single" w:sz="18" w:space="0" w:color="auto"/>
            </w:tcBorders>
            <w:shd w:val="clear" w:color="auto" w:fill="FDFBA9"/>
            <w:vAlign w:val="bottom"/>
          </w:tcPr>
          <w:p w:rsidR="003058D4" w:rsidRPr="00B35BDA" w:rsidRDefault="00B35BDA" w:rsidP="009023A9">
            <w:pPr>
              <w:spacing w:after="0" w:line="240" w:lineRule="auto"/>
              <w:jc w:val="center"/>
              <w:rPr>
                <w:rFonts w:cstheme="minorHAnsi"/>
                <w:b/>
                <w:bCs/>
                <w:sz w:val="24"/>
                <w:szCs w:val="24"/>
              </w:rPr>
            </w:pPr>
            <w:r w:rsidRPr="00B35BDA">
              <w:rPr>
                <w:rFonts w:cstheme="minorHAnsi"/>
                <w:b/>
                <w:bCs/>
                <w:sz w:val="24"/>
                <w:szCs w:val="24"/>
              </w:rPr>
              <w:t>EN 54-21</w:t>
            </w:r>
          </w:p>
        </w:tc>
      </w:tr>
      <w:tr w:rsidR="0043547B" w:rsidRPr="0043547B" w:rsidTr="009023A9">
        <w:trPr>
          <w:gridBefore w:val="1"/>
          <w:wBefore w:w="18" w:type="dxa"/>
          <w:trHeight w:val="23"/>
          <w:jc w:val="center"/>
        </w:trPr>
        <w:tc>
          <w:tcPr>
            <w:tcW w:w="1856" w:type="dxa"/>
            <w:tcBorders>
              <w:top w:val="single" w:sz="4" w:space="0" w:color="auto"/>
              <w:left w:val="single" w:sz="18" w:space="0" w:color="auto"/>
              <w:bottom w:val="single" w:sz="4" w:space="0" w:color="auto"/>
              <w:right w:val="single" w:sz="8" w:space="0" w:color="auto"/>
            </w:tcBorders>
            <w:shd w:val="clear" w:color="auto" w:fill="95B3D7" w:themeFill="accent1" w:themeFillTint="99"/>
            <w:vAlign w:val="center"/>
          </w:tcPr>
          <w:p w:rsidR="003058D4" w:rsidRPr="0043547B" w:rsidRDefault="003058D4" w:rsidP="009023A9">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4" w:space="0" w:color="auto"/>
              <w:bottom w:val="single" w:sz="4" w:space="0" w:color="auto"/>
              <w:right w:val="single" w:sz="18" w:space="0" w:color="auto"/>
            </w:tcBorders>
            <w:shd w:val="clear" w:color="auto" w:fill="auto"/>
            <w:vAlign w:val="bottom"/>
          </w:tcPr>
          <w:p w:rsidR="003058D4" w:rsidRPr="0043547B" w:rsidRDefault="003058D4" w:rsidP="009023A9">
            <w:pPr>
              <w:spacing w:after="0" w:line="240" w:lineRule="auto"/>
              <w:rPr>
                <w:rFonts w:cstheme="minorHAnsi"/>
                <w:sz w:val="24"/>
                <w:szCs w:val="24"/>
              </w:rPr>
            </w:pPr>
            <w:r w:rsidRPr="0043547B">
              <w:rPr>
                <w:rFonts w:cstheme="minorHAnsi"/>
                <w:sz w:val="24"/>
                <w:szCs w:val="24"/>
              </w:rPr>
              <w:t xml:space="preserve">Systèmes de détection et d'alarme incendie - Partie 21: Dispositif de transmission de l'alarme feu et du signal de dérangement ; </w:t>
            </w:r>
          </w:p>
        </w:tc>
      </w:tr>
      <w:tr w:rsidR="0043547B" w:rsidRPr="0043547B" w:rsidTr="009023A9">
        <w:trPr>
          <w:gridBefore w:val="1"/>
          <w:wBefore w:w="18" w:type="dxa"/>
          <w:trHeight w:val="2115"/>
          <w:jc w:val="center"/>
        </w:trPr>
        <w:tc>
          <w:tcPr>
            <w:tcW w:w="1856" w:type="dxa"/>
            <w:tcBorders>
              <w:top w:val="single" w:sz="4" w:space="0" w:color="auto"/>
              <w:left w:val="single" w:sz="18" w:space="0" w:color="auto"/>
              <w:bottom w:val="single" w:sz="18" w:space="0" w:color="auto"/>
              <w:right w:val="single" w:sz="8" w:space="0" w:color="auto"/>
            </w:tcBorders>
            <w:shd w:val="clear" w:color="000000" w:fill="D9D9D9"/>
            <w:vAlign w:val="center"/>
          </w:tcPr>
          <w:p w:rsidR="003058D4" w:rsidRPr="0043547B" w:rsidRDefault="003058D4" w:rsidP="009023A9">
            <w:pPr>
              <w:spacing w:after="0" w:line="240" w:lineRule="auto"/>
              <w:jc w:val="center"/>
              <w:rPr>
                <w:rFonts w:cstheme="minorHAnsi"/>
                <w:b/>
                <w:bCs/>
                <w:sz w:val="24"/>
                <w:szCs w:val="24"/>
              </w:rPr>
            </w:pPr>
            <w:r w:rsidRPr="0043547B">
              <w:rPr>
                <w:rFonts w:cstheme="minorHAnsi"/>
                <w:b/>
                <w:bCs/>
                <w:sz w:val="24"/>
                <w:szCs w:val="24"/>
              </w:rPr>
              <w:t>Domaine d’application :</w:t>
            </w:r>
          </w:p>
        </w:tc>
        <w:tc>
          <w:tcPr>
            <w:tcW w:w="7938" w:type="dxa"/>
            <w:tcBorders>
              <w:top w:val="single" w:sz="4" w:space="0" w:color="auto"/>
              <w:bottom w:val="single" w:sz="18" w:space="0" w:color="auto"/>
              <w:right w:val="single" w:sz="18" w:space="0" w:color="auto"/>
            </w:tcBorders>
            <w:shd w:val="clear" w:color="auto" w:fill="auto"/>
          </w:tcPr>
          <w:p w:rsidR="009023A9" w:rsidRDefault="003058D4" w:rsidP="009023A9">
            <w:pPr>
              <w:spacing w:after="0" w:line="240" w:lineRule="auto"/>
              <w:jc w:val="both"/>
              <w:rPr>
                <w:rFonts w:cstheme="minorHAnsi"/>
                <w:sz w:val="24"/>
                <w:szCs w:val="24"/>
              </w:rPr>
            </w:pPr>
            <w:r w:rsidRPr="0043547B">
              <w:rPr>
                <w:rFonts w:cstheme="minorHAnsi"/>
                <w:sz w:val="24"/>
                <w:szCs w:val="24"/>
              </w:rPr>
              <w:t>La présente Norme européenne spécifie les exigences, les méthodes d’essai et les critères de performance par rapport auxquels peuvent être évaluées l’efficacité et la fiabilité de l’équipement de transmission capable de transmettre les signaux d’alarme incendie et/ou de dérangement à utiliser dans les systèmes de détection et d’alarme incendie installés dans des bâtiments (voir l’EN 54-1).</w:t>
            </w:r>
          </w:p>
          <w:p w:rsidR="003058D4" w:rsidRPr="0043547B" w:rsidRDefault="003058D4" w:rsidP="009023A9">
            <w:pPr>
              <w:spacing w:after="0" w:line="240" w:lineRule="auto"/>
              <w:jc w:val="both"/>
              <w:rPr>
                <w:rFonts w:cstheme="minorHAnsi"/>
                <w:sz w:val="24"/>
                <w:szCs w:val="24"/>
              </w:rPr>
            </w:pPr>
            <w:r w:rsidRPr="0043547B">
              <w:rPr>
                <w:rFonts w:cstheme="minorHAnsi"/>
                <w:sz w:val="24"/>
                <w:szCs w:val="24"/>
              </w:rPr>
              <w:t>L’équipement de transmission est conçu pour permettre au système de fonctionner conformément aux exigences de la présente Norme européenne. Il prévoit également l’évaluation de la conformité de l’équipement aux exigences de la présente norme.</w:t>
            </w:r>
          </w:p>
        </w:tc>
      </w:tr>
      <w:tr w:rsidR="0043547B" w:rsidRPr="0043547B" w:rsidTr="00D20D9B">
        <w:trPr>
          <w:gridBefore w:val="1"/>
          <w:wBefore w:w="18" w:type="dxa"/>
          <w:trHeight w:val="315"/>
          <w:jc w:val="center"/>
        </w:trPr>
        <w:tc>
          <w:tcPr>
            <w:tcW w:w="1856" w:type="dxa"/>
            <w:tcBorders>
              <w:top w:val="single" w:sz="18" w:space="0" w:color="auto"/>
              <w:left w:val="single" w:sz="18" w:space="0" w:color="auto"/>
              <w:bottom w:val="single" w:sz="18" w:space="0" w:color="auto"/>
              <w:right w:val="single" w:sz="8" w:space="0" w:color="auto"/>
            </w:tcBorders>
            <w:shd w:val="clear" w:color="auto" w:fill="C2D69B" w:themeFill="accent3" w:themeFillTint="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bottom w:val="single" w:sz="18" w:space="0" w:color="auto"/>
              <w:right w:val="single" w:sz="18" w:space="0" w:color="auto"/>
            </w:tcBorders>
            <w:shd w:val="clear" w:color="auto" w:fill="C2D69B" w:themeFill="accent3" w:themeFillTint="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21.9.303</w:t>
            </w:r>
          </w:p>
        </w:tc>
      </w:tr>
      <w:tr w:rsidR="0043547B" w:rsidRPr="0043547B" w:rsidTr="00D20D9B">
        <w:trPr>
          <w:gridBefore w:val="1"/>
          <w:wBefore w:w="18" w:type="dxa"/>
          <w:trHeight w:val="315"/>
          <w:jc w:val="center"/>
        </w:trPr>
        <w:tc>
          <w:tcPr>
            <w:tcW w:w="1856" w:type="dxa"/>
            <w:tcBorders>
              <w:top w:val="single" w:sz="18" w:space="0" w:color="auto"/>
              <w:left w:val="single" w:sz="18" w:space="0" w:color="auto"/>
              <w:bottom w:val="single" w:sz="4" w:space="0" w:color="auto"/>
              <w:right w:val="single" w:sz="8" w:space="0" w:color="auto"/>
            </w:tcBorders>
            <w:shd w:val="clear" w:color="auto" w:fill="FFFF9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right w:val="single" w:sz="18" w:space="0" w:color="auto"/>
            </w:tcBorders>
            <w:shd w:val="clear" w:color="auto" w:fill="FFFF99"/>
            <w:vAlign w:val="center"/>
            <w:hideMark/>
          </w:tcPr>
          <w:p w:rsidR="00904E52" w:rsidRPr="0043547B" w:rsidRDefault="00904E52" w:rsidP="00904E52">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12101-6</w:t>
            </w:r>
          </w:p>
        </w:tc>
      </w:tr>
      <w:tr w:rsidR="0043547B" w:rsidRPr="0043547B" w:rsidTr="00D20D9B">
        <w:trPr>
          <w:gridBefore w:val="1"/>
          <w:wBefore w:w="18" w:type="dxa"/>
          <w:trHeight w:val="330"/>
          <w:jc w:val="center"/>
        </w:trPr>
        <w:tc>
          <w:tcPr>
            <w:tcW w:w="1856" w:type="dxa"/>
            <w:tcBorders>
              <w:top w:val="nil"/>
              <w:left w:val="single" w:sz="18" w:space="0" w:color="auto"/>
              <w:bottom w:val="single" w:sz="4" w:space="0" w:color="auto"/>
              <w:right w:val="single" w:sz="8" w:space="0" w:color="auto"/>
            </w:tcBorders>
            <w:shd w:val="clear" w:color="000000" w:fill="8DB4E2"/>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Intitulé :</w:t>
            </w:r>
          </w:p>
        </w:tc>
        <w:tc>
          <w:tcPr>
            <w:tcW w:w="7938" w:type="dxa"/>
            <w:tcBorders>
              <w:right w:val="single" w:sz="18" w:space="0" w:color="auto"/>
            </w:tcBorders>
            <w:shd w:val="clear" w:color="auto" w:fill="auto"/>
            <w:vAlign w:val="center"/>
            <w:hideMark/>
          </w:tcPr>
          <w:p w:rsidR="00904E52" w:rsidRPr="0043547B" w:rsidRDefault="00904E52" w:rsidP="00904E52">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Systèmes pour le contrôle des fumées et de chaleur - Spécifications relatives aux systèmes à différentiel de pression - Kits</w:t>
            </w:r>
          </w:p>
        </w:tc>
      </w:tr>
      <w:tr w:rsidR="0043547B" w:rsidRPr="0043547B" w:rsidTr="004130CC">
        <w:trPr>
          <w:gridBefore w:val="1"/>
          <w:wBefore w:w="18" w:type="dxa"/>
          <w:trHeight w:val="3678"/>
          <w:jc w:val="center"/>
        </w:trPr>
        <w:tc>
          <w:tcPr>
            <w:tcW w:w="1856" w:type="dxa"/>
            <w:tcBorders>
              <w:top w:val="nil"/>
              <w:left w:val="single" w:sz="18" w:space="0" w:color="auto"/>
              <w:bottom w:val="single" w:sz="18" w:space="0" w:color="auto"/>
              <w:right w:val="single" w:sz="8" w:space="0" w:color="auto"/>
            </w:tcBorders>
            <w:shd w:val="clear" w:color="000000" w:fill="D9D9D9"/>
            <w:vAlign w:val="center"/>
            <w:hideMark/>
          </w:tcPr>
          <w:p w:rsidR="00904E52" w:rsidRPr="0043547B" w:rsidRDefault="00904E52" w:rsidP="00904E52">
            <w:pPr>
              <w:spacing w:after="0"/>
              <w:jc w:val="center"/>
              <w:rPr>
                <w:rFonts w:cstheme="minorHAnsi"/>
                <w:b/>
                <w:bCs/>
                <w:sz w:val="24"/>
                <w:szCs w:val="24"/>
              </w:rPr>
            </w:pPr>
            <w:r w:rsidRPr="0043547B">
              <w:rPr>
                <w:rFonts w:cstheme="minorHAnsi"/>
                <w:b/>
                <w:bCs/>
                <w:sz w:val="24"/>
                <w:szCs w:val="24"/>
              </w:rPr>
              <w:t>Domaine d’application :</w:t>
            </w:r>
          </w:p>
        </w:tc>
        <w:tc>
          <w:tcPr>
            <w:tcW w:w="7938" w:type="dxa"/>
            <w:tcBorders>
              <w:bottom w:val="single" w:sz="18" w:space="0" w:color="auto"/>
              <w:right w:val="single" w:sz="18" w:space="0" w:color="auto"/>
            </w:tcBorders>
            <w:shd w:val="clear" w:color="auto" w:fill="auto"/>
            <w:vAlign w:val="center"/>
            <w:hideMark/>
          </w:tcPr>
          <w:p w:rsidR="009023A9" w:rsidRPr="0043547B" w:rsidRDefault="00904E52" w:rsidP="004130CC">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norme décrit les systèmes à différentiel de pression destinés à retenir les fumées derrière une barrière physique présentant des débits de fuites dans un bâtiment telle qu’une porte (ouverte ou fermée) ou autre ouverture réduite de ce type. Elle couvre les différentes méthodes de calcul des paramètres des systèmes de contrôle des fumées à différentiel de pression comme partie intégrante du mode opératoire de conception. Elle fournit des modes opératoires d’essai pour les systèmes utilisés, et décrit également les caractéristiques pertinentes et essentielles des Modes opératoires d’installation et de mise en service nécessaires pour mettre en œuvre les calculs de conception dans un bâtiment. Elle couvre les systèmes destinés à protéger les moyens d’évacuation tels que les cages d’escaliers, les couloirs et les paliers ainsi que les systèmes destinés à créer un PC avancé protégé pour les pompiers. Le système comprend des composants de contrôle de la fumée conformément aux normes marocaines et des kits intégrant ces composants et éventuellement d’autres composants Ce document fournit des exigences et des méthodes pour évaluer la conformité de ces kits.</w:t>
            </w:r>
          </w:p>
        </w:tc>
      </w:tr>
      <w:tr w:rsidR="0043547B" w:rsidRPr="0043547B" w:rsidTr="00F2263C">
        <w:trPr>
          <w:gridBefore w:val="1"/>
          <w:wBefore w:w="18" w:type="dxa"/>
          <w:trHeight w:val="399"/>
          <w:jc w:val="center"/>
        </w:trPr>
        <w:tc>
          <w:tcPr>
            <w:tcW w:w="1856" w:type="dxa"/>
            <w:tcBorders>
              <w:top w:val="single" w:sz="18" w:space="0" w:color="auto"/>
              <w:left w:val="single" w:sz="18" w:space="0" w:color="auto"/>
              <w:bottom w:val="single" w:sz="18" w:space="0" w:color="auto"/>
              <w:right w:val="single" w:sz="8" w:space="0" w:color="auto"/>
            </w:tcBorders>
            <w:shd w:val="clear" w:color="auto" w:fill="B0CA7C"/>
            <w:vAlign w:val="center"/>
          </w:tcPr>
          <w:p w:rsidR="00F752DB" w:rsidRPr="0043547B" w:rsidRDefault="00F752DB" w:rsidP="004657A6">
            <w:pPr>
              <w:spacing w:after="0" w:line="240" w:lineRule="auto"/>
              <w:jc w:val="center"/>
              <w:rPr>
                <w:rFonts w:cstheme="minorHAnsi"/>
                <w:b/>
                <w:bCs/>
                <w:sz w:val="24"/>
                <w:szCs w:val="24"/>
              </w:rPr>
            </w:pPr>
            <w:r w:rsidRPr="0043547B">
              <w:rPr>
                <w:rFonts w:cstheme="minorHAnsi"/>
                <w:b/>
                <w:bCs/>
                <w:sz w:val="24"/>
                <w:szCs w:val="24"/>
              </w:rPr>
              <w:t>Code :</w:t>
            </w:r>
          </w:p>
        </w:tc>
        <w:tc>
          <w:tcPr>
            <w:tcW w:w="7938" w:type="dxa"/>
            <w:tcBorders>
              <w:top w:val="single" w:sz="18" w:space="0" w:color="auto"/>
              <w:left w:val="single" w:sz="8" w:space="0" w:color="auto"/>
              <w:bottom w:val="single" w:sz="18" w:space="0" w:color="auto"/>
              <w:right w:val="single" w:sz="18" w:space="0" w:color="auto"/>
            </w:tcBorders>
            <w:shd w:val="clear" w:color="auto" w:fill="B0CA7C"/>
            <w:vAlign w:val="center"/>
          </w:tcPr>
          <w:p w:rsidR="00F752DB" w:rsidRPr="0043547B" w:rsidRDefault="00F752DB" w:rsidP="004657A6">
            <w:pPr>
              <w:spacing w:after="0" w:line="240" w:lineRule="auto"/>
              <w:jc w:val="center"/>
              <w:rPr>
                <w:rFonts w:cstheme="minorHAnsi"/>
                <w:b/>
                <w:bCs/>
                <w:sz w:val="24"/>
                <w:szCs w:val="24"/>
              </w:rPr>
            </w:pPr>
            <w:r w:rsidRPr="0043547B">
              <w:rPr>
                <w:rFonts w:cstheme="minorHAnsi"/>
                <w:b/>
                <w:bCs/>
                <w:sz w:val="24"/>
                <w:szCs w:val="24"/>
              </w:rPr>
              <w:t>NM EN 16327</w:t>
            </w:r>
          </w:p>
        </w:tc>
      </w:tr>
      <w:tr w:rsidR="0043547B" w:rsidRPr="0043547B" w:rsidTr="00F2263C">
        <w:trPr>
          <w:gridBefore w:val="1"/>
          <w:wBefore w:w="18" w:type="dxa"/>
          <w:trHeight w:val="408"/>
          <w:jc w:val="center"/>
        </w:trPr>
        <w:tc>
          <w:tcPr>
            <w:tcW w:w="1856" w:type="dxa"/>
            <w:tcBorders>
              <w:top w:val="single" w:sz="18" w:space="0" w:color="auto"/>
              <w:left w:val="single" w:sz="18" w:space="0" w:color="auto"/>
              <w:bottom w:val="single" w:sz="6" w:space="0" w:color="auto"/>
              <w:right w:val="single" w:sz="8" w:space="0" w:color="auto"/>
            </w:tcBorders>
            <w:shd w:val="clear" w:color="auto" w:fill="FFFF99"/>
            <w:vAlign w:val="center"/>
          </w:tcPr>
          <w:p w:rsidR="00F752DB" w:rsidRPr="0043547B" w:rsidRDefault="00F752DB" w:rsidP="004657A6">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8" w:space="0" w:color="auto"/>
              <w:bottom w:val="single" w:sz="6" w:space="0" w:color="auto"/>
              <w:right w:val="single" w:sz="18" w:space="0" w:color="auto"/>
            </w:tcBorders>
            <w:shd w:val="clear" w:color="auto" w:fill="FFFF99"/>
            <w:vAlign w:val="center"/>
          </w:tcPr>
          <w:p w:rsidR="00F752DB" w:rsidRPr="0043547B" w:rsidRDefault="00F752DB" w:rsidP="004657A6">
            <w:pPr>
              <w:spacing w:after="0" w:line="240" w:lineRule="auto"/>
              <w:jc w:val="center"/>
              <w:rPr>
                <w:rFonts w:cstheme="minorHAnsi"/>
                <w:b/>
                <w:bCs/>
                <w:sz w:val="24"/>
                <w:szCs w:val="24"/>
              </w:rPr>
            </w:pPr>
            <w:r w:rsidRPr="0043547B">
              <w:rPr>
                <w:rFonts w:cstheme="minorHAnsi"/>
                <w:b/>
                <w:bCs/>
                <w:sz w:val="24"/>
                <w:szCs w:val="24"/>
              </w:rPr>
              <w:t>EN 16327</w:t>
            </w:r>
          </w:p>
        </w:tc>
      </w:tr>
      <w:tr w:rsidR="0043547B" w:rsidRPr="0043547B" w:rsidTr="0082359E">
        <w:trPr>
          <w:gridBefore w:val="1"/>
          <w:wBefore w:w="18" w:type="dxa"/>
          <w:trHeight w:val="701"/>
          <w:jc w:val="center"/>
        </w:trPr>
        <w:tc>
          <w:tcPr>
            <w:tcW w:w="1856" w:type="dxa"/>
            <w:tcBorders>
              <w:top w:val="single" w:sz="6" w:space="0" w:color="auto"/>
              <w:left w:val="single" w:sz="18" w:space="0" w:color="auto"/>
              <w:bottom w:val="single" w:sz="6" w:space="0" w:color="auto"/>
              <w:right w:val="single" w:sz="8" w:space="0" w:color="auto"/>
            </w:tcBorders>
            <w:shd w:val="clear" w:color="auto" w:fill="95B3D7" w:themeFill="accent1" w:themeFillTint="99"/>
            <w:vAlign w:val="center"/>
          </w:tcPr>
          <w:p w:rsidR="00F752DB" w:rsidRPr="0043547B" w:rsidRDefault="00F752DB" w:rsidP="004657A6">
            <w:pPr>
              <w:spacing w:after="0" w:line="240" w:lineRule="auto"/>
              <w:jc w:val="center"/>
              <w:rPr>
                <w:rFonts w:cstheme="minorHAnsi"/>
                <w:b/>
                <w:bCs/>
                <w:sz w:val="24"/>
                <w:szCs w:val="24"/>
              </w:rPr>
            </w:pPr>
            <w:r w:rsidRPr="0043547B">
              <w:rPr>
                <w:rFonts w:cstheme="minorHAnsi"/>
                <w:b/>
                <w:bCs/>
                <w:sz w:val="24"/>
                <w:szCs w:val="24"/>
              </w:rPr>
              <w:t>Intitulé :</w:t>
            </w:r>
          </w:p>
        </w:tc>
        <w:tc>
          <w:tcPr>
            <w:tcW w:w="7938" w:type="dxa"/>
            <w:tcBorders>
              <w:top w:val="single" w:sz="6" w:space="0" w:color="auto"/>
              <w:left w:val="single" w:sz="8" w:space="0" w:color="auto"/>
              <w:bottom w:val="single" w:sz="6" w:space="0" w:color="auto"/>
              <w:right w:val="single" w:sz="18" w:space="0" w:color="auto"/>
            </w:tcBorders>
            <w:shd w:val="clear" w:color="auto" w:fill="auto"/>
            <w:vAlign w:val="bottom"/>
          </w:tcPr>
          <w:p w:rsidR="00F752DB" w:rsidRPr="0043547B" w:rsidRDefault="00F752DB" w:rsidP="004657A6">
            <w:pPr>
              <w:spacing w:after="0" w:line="240" w:lineRule="auto"/>
              <w:rPr>
                <w:rFonts w:cstheme="minorHAnsi"/>
                <w:sz w:val="24"/>
                <w:szCs w:val="24"/>
              </w:rPr>
            </w:pPr>
            <w:r w:rsidRPr="0043547B">
              <w:rPr>
                <w:rFonts w:cstheme="minorHAnsi"/>
                <w:sz w:val="24"/>
                <w:szCs w:val="24"/>
              </w:rPr>
              <w:t>Lutte  contre  l'incendie  -  Systèmes  proportionneurs  à pression  positive  (SPPP)  et  systèmes  de  mousse  à  air comprimé (CAFS) ; (IC 21.7.903) DM</w:t>
            </w:r>
          </w:p>
        </w:tc>
      </w:tr>
      <w:tr w:rsidR="0043547B" w:rsidRPr="0043547B" w:rsidTr="009023A9">
        <w:trPr>
          <w:gridBefore w:val="1"/>
          <w:wBefore w:w="18" w:type="dxa"/>
          <w:trHeight w:val="838"/>
          <w:jc w:val="center"/>
        </w:trPr>
        <w:tc>
          <w:tcPr>
            <w:tcW w:w="1856" w:type="dxa"/>
            <w:tcBorders>
              <w:top w:val="single" w:sz="6" w:space="0" w:color="auto"/>
              <w:left w:val="single" w:sz="18" w:space="0" w:color="auto"/>
              <w:bottom w:val="single" w:sz="18" w:space="0" w:color="auto"/>
              <w:right w:val="single" w:sz="8" w:space="0" w:color="auto"/>
            </w:tcBorders>
            <w:shd w:val="clear" w:color="000000" w:fill="D9D9D9"/>
            <w:vAlign w:val="center"/>
          </w:tcPr>
          <w:p w:rsidR="00F752DB" w:rsidRPr="0043547B" w:rsidRDefault="00F752DB" w:rsidP="004657A6">
            <w:pPr>
              <w:jc w:val="center"/>
              <w:rPr>
                <w:rFonts w:cstheme="minorHAnsi"/>
                <w:b/>
                <w:bCs/>
                <w:sz w:val="24"/>
                <w:szCs w:val="24"/>
              </w:rPr>
            </w:pPr>
            <w:r w:rsidRPr="0043547B">
              <w:rPr>
                <w:rFonts w:cstheme="minorHAnsi"/>
                <w:b/>
                <w:bCs/>
                <w:sz w:val="24"/>
                <w:szCs w:val="24"/>
              </w:rPr>
              <w:t>Domaine d’application :</w:t>
            </w:r>
          </w:p>
        </w:tc>
        <w:tc>
          <w:tcPr>
            <w:tcW w:w="7938" w:type="dxa"/>
            <w:tcBorders>
              <w:top w:val="single" w:sz="6" w:space="0" w:color="auto"/>
              <w:left w:val="single" w:sz="8" w:space="0" w:color="auto"/>
              <w:bottom w:val="single" w:sz="18" w:space="0" w:color="auto"/>
              <w:right w:val="single" w:sz="18" w:space="0" w:color="auto"/>
            </w:tcBorders>
            <w:shd w:val="clear" w:color="auto" w:fill="auto"/>
          </w:tcPr>
          <w:p w:rsidR="004657A6" w:rsidRPr="0043547B" w:rsidRDefault="00F752DB" w:rsidP="004657A6">
            <w:pPr>
              <w:spacing w:after="0" w:line="240" w:lineRule="auto"/>
              <w:jc w:val="both"/>
              <w:rPr>
                <w:rFonts w:cstheme="minorHAnsi"/>
                <w:sz w:val="24"/>
                <w:szCs w:val="24"/>
              </w:rPr>
            </w:pPr>
            <w:r w:rsidRPr="0043547B">
              <w:rPr>
                <w:rFonts w:cstheme="minorHAnsi"/>
                <w:sz w:val="24"/>
                <w:szCs w:val="24"/>
              </w:rPr>
              <w:t>La présente Norme européenne s'applique aux systèmes qui ajoutent un émulseur à l'eau refoulée par une pompe centrifuge à usage incendie :</w:t>
            </w:r>
          </w:p>
          <w:p w:rsidR="009023A9" w:rsidRDefault="00F752DB" w:rsidP="004657A6">
            <w:pPr>
              <w:spacing w:after="0" w:line="240" w:lineRule="auto"/>
              <w:jc w:val="both"/>
              <w:rPr>
                <w:rFonts w:cstheme="minorHAnsi"/>
                <w:sz w:val="24"/>
                <w:szCs w:val="24"/>
              </w:rPr>
            </w:pPr>
            <w:r w:rsidRPr="0043547B">
              <w:rPr>
                <w:rFonts w:cstheme="minorHAnsi"/>
                <w:sz w:val="24"/>
                <w:szCs w:val="24"/>
              </w:rPr>
              <w:t>a) soit par un système proportionneur à pression positive (SPPP) seul</w:t>
            </w:r>
            <w:r w:rsidRPr="0043547B">
              <w:rPr>
                <w:rFonts w:cstheme="minorHAnsi"/>
                <w:sz w:val="24"/>
                <w:szCs w:val="24"/>
              </w:rPr>
              <w:br/>
              <w:t>b) soit conjointement avec de l'air comprimé par un système de mousse à air comprimé (CAFS).</w:t>
            </w:r>
          </w:p>
          <w:p w:rsidR="004657A6" w:rsidRPr="0043547B" w:rsidRDefault="00F752DB" w:rsidP="004657A6">
            <w:pPr>
              <w:spacing w:after="0" w:line="240" w:lineRule="auto"/>
              <w:jc w:val="both"/>
              <w:rPr>
                <w:rFonts w:cstheme="minorHAnsi"/>
                <w:sz w:val="24"/>
                <w:szCs w:val="24"/>
              </w:rPr>
            </w:pPr>
            <w:r w:rsidRPr="0043547B">
              <w:rPr>
                <w:rFonts w:cstheme="minorHAnsi"/>
                <w:sz w:val="24"/>
                <w:szCs w:val="24"/>
              </w:rPr>
              <w:t>Dans les deux cas, la pression est appliquée à l’émulseur en vue de permettre un fonctionnement continu. De tels systèmes sont installés à demeure dans les véhicules de lutte contre l'incendie. Les systèmes fixes ou installés à demeure dans les bâtiments ou les structures ne sont pas traités dans la présente norme.</w:t>
            </w:r>
          </w:p>
          <w:p w:rsidR="004657A6" w:rsidRPr="009023A9" w:rsidRDefault="00F752DB" w:rsidP="004657A6">
            <w:pPr>
              <w:spacing w:after="0" w:line="240" w:lineRule="auto"/>
              <w:jc w:val="both"/>
              <w:rPr>
                <w:rFonts w:cstheme="minorHAnsi"/>
                <w:i/>
                <w:iCs/>
              </w:rPr>
            </w:pPr>
            <w:r w:rsidRPr="009023A9">
              <w:rPr>
                <w:rFonts w:cstheme="minorHAnsi"/>
                <w:b/>
                <w:bCs/>
                <w:i/>
                <w:iCs/>
              </w:rPr>
              <w:t>NOTE 1</w:t>
            </w:r>
            <w:r w:rsidR="004657A6" w:rsidRPr="009023A9">
              <w:rPr>
                <w:rFonts w:cstheme="minorHAnsi"/>
                <w:i/>
                <w:iCs/>
              </w:rPr>
              <w:t xml:space="preserve"> : </w:t>
            </w:r>
            <w:r w:rsidRPr="009023A9">
              <w:rPr>
                <w:rFonts w:cstheme="minorHAnsi"/>
                <w:i/>
                <w:iCs/>
              </w:rPr>
              <w:t>La présente Norme européenne est destinée à être utilisée conjointement avec l'EN 1846-2 et l'EN 1846-3.</w:t>
            </w:r>
          </w:p>
          <w:p w:rsidR="004657A6" w:rsidRPr="0043547B" w:rsidRDefault="00F752DB" w:rsidP="004657A6">
            <w:pPr>
              <w:spacing w:after="0" w:line="240" w:lineRule="auto"/>
              <w:jc w:val="both"/>
              <w:rPr>
                <w:rFonts w:cstheme="minorHAnsi"/>
                <w:sz w:val="24"/>
                <w:szCs w:val="24"/>
              </w:rPr>
            </w:pPr>
            <w:r w:rsidRPr="0043547B">
              <w:rPr>
                <w:rFonts w:cstheme="minorHAnsi"/>
                <w:sz w:val="24"/>
                <w:szCs w:val="24"/>
              </w:rPr>
              <w:t>La présente Norme européenne s'applique à la conception, à la fabrication et au fonctionnement de ces systèmes. La présente Norme européenne traite tous les phénomènes dangereux, situations et événements dangereux significatifs spécifiques aux SPPP et CAFS, lorsqu'ils sont utilisés normalement et dans les conditions raisonnablement prévisibles par le fabricant (voir Article 4).</w:t>
            </w:r>
          </w:p>
          <w:p w:rsidR="004657A6" w:rsidRPr="009023A9" w:rsidRDefault="00F752DB" w:rsidP="004657A6">
            <w:pPr>
              <w:spacing w:after="0" w:line="240" w:lineRule="auto"/>
              <w:jc w:val="both"/>
              <w:rPr>
                <w:rFonts w:cstheme="minorHAnsi"/>
                <w:i/>
                <w:iCs/>
              </w:rPr>
            </w:pPr>
            <w:r w:rsidRPr="009023A9">
              <w:rPr>
                <w:rFonts w:cstheme="minorHAnsi"/>
                <w:b/>
                <w:bCs/>
                <w:i/>
                <w:iCs/>
              </w:rPr>
              <w:t>NOTE 2</w:t>
            </w:r>
            <w:r w:rsidR="004657A6" w:rsidRPr="009023A9">
              <w:rPr>
                <w:rFonts w:cstheme="minorHAnsi"/>
                <w:b/>
                <w:bCs/>
                <w:i/>
                <w:iCs/>
              </w:rPr>
              <w:t> :</w:t>
            </w:r>
            <w:r w:rsidR="004657A6" w:rsidRPr="009023A9">
              <w:rPr>
                <w:rFonts w:cstheme="minorHAnsi"/>
                <w:i/>
                <w:iCs/>
              </w:rPr>
              <w:t xml:space="preserve"> </w:t>
            </w:r>
            <w:r w:rsidRPr="009023A9">
              <w:rPr>
                <w:rFonts w:cstheme="minorHAnsi"/>
                <w:i/>
                <w:iCs/>
              </w:rPr>
              <w:t>Des prescriptions de performance sont également données (voir Article 7)</w:t>
            </w:r>
            <w:r w:rsidR="004657A6" w:rsidRPr="009023A9">
              <w:rPr>
                <w:rFonts w:cstheme="minorHAnsi"/>
                <w:i/>
                <w:iCs/>
              </w:rPr>
              <w:t>.</w:t>
            </w:r>
          </w:p>
          <w:p w:rsidR="009023A9" w:rsidRDefault="00F752DB" w:rsidP="004657A6">
            <w:pPr>
              <w:spacing w:after="0" w:line="240" w:lineRule="auto"/>
              <w:jc w:val="both"/>
              <w:rPr>
                <w:rFonts w:cstheme="minorHAnsi"/>
                <w:sz w:val="24"/>
                <w:szCs w:val="24"/>
              </w:rPr>
            </w:pPr>
            <w:r w:rsidRPr="0043547B">
              <w:rPr>
                <w:rFonts w:cstheme="minorHAnsi"/>
                <w:sz w:val="24"/>
                <w:szCs w:val="24"/>
              </w:rPr>
              <w:t>La présente Norme européenne s'applique aux systèmes utilisés à des températures ambiantes comprises entre - 15 °C et + 35 °C, tel qu'indiqué dans l'EN 1846-3.</w:t>
            </w:r>
          </w:p>
          <w:p w:rsidR="004657A6" w:rsidRPr="0043547B" w:rsidRDefault="00F752DB" w:rsidP="004657A6">
            <w:pPr>
              <w:spacing w:after="0" w:line="240" w:lineRule="auto"/>
              <w:jc w:val="both"/>
              <w:rPr>
                <w:rFonts w:cstheme="minorHAnsi"/>
                <w:sz w:val="24"/>
                <w:szCs w:val="24"/>
              </w:rPr>
            </w:pPr>
            <w:r w:rsidRPr="0043547B">
              <w:rPr>
                <w:rFonts w:cstheme="minorHAnsi"/>
                <w:sz w:val="24"/>
                <w:szCs w:val="24"/>
              </w:rPr>
              <w:t>Pour les systèmes devant être utilisés à une température située en dehors de cette plage, il convient que la plage de température particulière soit spécifiée par l'utilisateur et il convient que le fabricant détermine par une appréciation du risque la nécessité de précautions supplémentaires.</w:t>
            </w:r>
          </w:p>
          <w:p w:rsidR="004657A6" w:rsidRPr="0043547B" w:rsidRDefault="00F752DB" w:rsidP="004657A6">
            <w:pPr>
              <w:spacing w:after="0" w:line="240" w:lineRule="auto"/>
              <w:jc w:val="both"/>
              <w:rPr>
                <w:rFonts w:cstheme="minorHAnsi"/>
                <w:sz w:val="24"/>
                <w:szCs w:val="24"/>
              </w:rPr>
            </w:pPr>
            <w:r w:rsidRPr="0043547B">
              <w:rPr>
                <w:rFonts w:cstheme="minorHAnsi"/>
                <w:sz w:val="24"/>
                <w:szCs w:val="24"/>
              </w:rPr>
              <w:lastRenderedPageBreak/>
              <w:t>La présente Norme européenne ne s'applique pas aux prescriptions de sécurité technique relatives à la conception et à la fabrication des moteurs, de l'équipement auxiliaire, des sources d'énergie ou des pompes.</w:t>
            </w:r>
          </w:p>
          <w:p w:rsidR="004657A6" w:rsidRPr="0043547B" w:rsidRDefault="00F752DB" w:rsidP="004657A6">
            <w:pPr>
              <w:spacing w:after="0" w:line="240" w:lineRule="auto"/>
              <w:jc w:val="both"/>
              <w:rPr>
                <w:rFonts w:cstheme="minorHAnsi"/>
                <w:sz w:val="24"/>
                <w:szCs w:val="24"/>
              </w:rPr>
            </w:pPr>
            <w:r w:rsidRPr="0043547B">
              <w:rPr>
                <w:rFonts w:cstheme="minorHAnsi"/>
                <w:sz w:val="24"/>
                <w:szCs w:val="24"/>
              </w:rPr>
              <w:t>De plus, la présente norme ne traite pas des phénomènes dangereux spécifiques provenant des conditions particulières dans lesquelles ces systèmes sont utilisés, par exemple :</w:t>
            </w:r>
          </w:p>
          <w:p w:rsidR="004657A6" w:rsidRPr="0043547B" w:rsidRDefault="00F752DB" w:rsidP="004657A6">
            <w:pPr>
              <w:spacing w:after="0" w:line="240" w:lineRule="auto"/>
              <w:rPr>
                <w:rFonts w:cstheme="minorHAnsi"/>
                <w:sz w:val="24"/>
                <w:szCs w:val="24"/>
              </w:rPr>
            </w:pPr>
            <w:r w:rsidRPr="0043547B">
              <w:rPr>
                <w:rFonts w:cstheme="minorHAnsi"/>
                <w:sz w:val="24"/>
                <w:szCs w:val="24"/>
              </w:rPr>
              <w:t>a) manipulation de tous les équipements, dispositifs etc. devant être raccordés au système ou qui sont reliés à lui (par exemple manipulation de tuyaux/lances et tuyaux sous pression) ;</w:t>
            </w:r>
            <w:r w:rsidRPr="0043547B">
              <w:rPr>
                <w:rFonts w:cstheme="minorHAnsi"/>
                <w:sz w:val="24"/>
                <w:szCs w:val="24"/>
              </w:rPr>
              <w:br/>
              <w:t>b) événements spécifiques à l'emplacement où le système est installé (par exemple routes publiques) ;</w:t>
            </w:r>
            <w:r w:rsidRPr="0043547B">
              <w:rPr>
                <w:rFonts w:cstheme="minorHAnsi"/>
                <w:sz w:val="24"/>
                <w:szCs w:val="24"/>
              </w:rPr>
              <w:br/>
              <w:t>c) mise hors service et élimination ;</w:t>
            </w:r>
            <w:r w:rsidRPr="0043547B">
              <w:rPr>
                <w:rFonts w:cstheme="minorHAnsi"/>
                <w:sz w:val="24"/>
                <w:szCs w:val="24"/>
              </w:rPr>
              <w:br/>
              <w:t>d) fonctionnement sans supervision ;</w:t>
            </w:r>
            <w:r w:rsidRPr="0043547B">
              <w:rPr>
                <w:rFonts w:cstheme="minorHAnsi"/>
                <w:sz w:val="24"/>
                <w:szCs w:val="24"/>
              </w:rPr>
              <w:br/>
              <w:t>e) immunité contre les champs magnétiques et les décharges électrostatiques.</w:t>
            </w:r>
          </w:p>
          <w:p w:rsidR="004657A6" w:rsidRPr="0043547B" w:rsidRDefault="00F752DB" w:rsidP="004657A6">
            <w:pPr>
              <w:spacing w:after="0" w:line="240" w:lineRule="auto"/>
              <w:jc w:val="both"/>
              <w:rPr>
                <w:rFonts w:cstheme="minorHAnsi"/>
                <w:sz w:val="24"/>
                <w:szCs w:val="24"/>
              </w:rPr>
            </w:pPr>
            <w:r w:rsidRPr="0043547B">
              <w:rPr>
                <w:rFonts w:cstheme="minorHAnsi"/>
                <w:sz w:val="24"/>
                <w:szCs w:val="24"/>
              </w:rPr>
              <w:t>La présente norme ne couvre pas les phénomènes dangereux relatifs à tout type d'équipement mécanique, électrique, hydraulique, pneumatique et autre traités par les normes respectives relatives à cet équipement. Il est fait référence aux normes pertinentes lorsqu’elles existent et que cela est nécessaire.</w:t>
            </w:r>
          </w:p>
          <w:p w:rsidR="004657A6" w:rsidRPr="0043547B" w:rsidRDefault="00F752DB" w:rsidP="004657A6">
            <w:pPr>
              <w:spacing w:after="0" w:line="240" w:lineRule="auto"/>
              <w:jc w:val="both"/>
              <w:rPr>
                <w:rFonts w:cstheme="minorHAnsi"/>
                <w:sz w:val="24"/>
                <w:szCs w:val="24"/>
              </w:rPr>
            </w:pPr>
            <w:r w:rsidRPr="0043547B">
              <w:rPr>
                <w:rFonts w:cstheme="minorHAnsi"/>
                <w:sz w:val="24"/>
                <w:szCs w:val="24"/>
              </w:rPr>
              <w:t>La présente Norme européenne ne traite pas des phénomènes dangereux engendrés par le bruit.</w:t>
            </w:r>
          </w:p>
          <w:p w:rsidR="004657A6" w:rsidRPr="009023A9" w:rsidRDefault="00F752DB" w:rsidP="004657A6">
            <w:pPr>
              <w:spacing w:after="0" w:line="240" w:lineRule="auto"/>
              <w:jc w:val="both"/>
              <w:rPr>
                <w:rFonts w:cstheme="minorHAnsi"/>
                <w:i/>
                <w:iCs/>
              </w:rPr>
            </w:pPr>
            <w:r w:rsidRPr="009023A9">
              <w:rPr>
                <w:rFonts w:cstheme="minorHAnsi"/>
                <w:b/>
                <w:bCs/>
                <w:i/>
                <w:iCs/>
              </w:rPr>
              <w:t>NOTE 3</w:t>
            </w:r>
            <w:r w:rsidR="004657A6" w:rsidRPr="009023A9">
              <w:rPr>
                <w:rFonts w:cstheme="minorHAnsi"/>
                <w:b/>
                <w:bCs/>
                <w:i/>
                <w:iCs/>
              </w:rPr>
              <w:t> :</w:t>
            </w:r>
            <w:r w:rsidR="004657A6" w:rsidRPr="009023A9">
              <w:rPr>
                <w:rFonts w:cstheme="minorHAnsi"/>
                <w:i/>
                <w:iCs/>
              </w:rPr>
              <w:t xml:space="preserve"> </w:t>
            </w:r>
            <w:r w:rsidRPr="009023A9">
              <w:rPr>
                <w:rFonts w:cstheme="minorHAnsi"/>
                <w:i/>
                <w:iCs/>
              </w:rPr>
              <w:t>L'EN 1846-2 traite des phénomènes dangereux engendrés par le bruit pour le véhicule dans son ensemble.</w:t>
            </w:r>
          </w:p>
          <w:p w:rsidR="004657A6" w:rsidRPr="0043547B" w:rsidRDefault="00F752DB" w:rsidP="004657A6">
            <w:pPr>
              <w:spacing w:after="0" w:line="240" w:lineRule="auto"/>
              <w:jc w:val="both"/>
              <w:rPr>
                <w:rFonts w:cstheme="minorHAnsi"/>
                <w:sz w:val="24"/>
                <w:szCs w:val="24"/>
              </w:rPr>
            </w:pPr>
            <w:r w:rsidRPr="0043547B">
              <w:rPr>
                <w:rFonts w:cstheme="minorHAnsi"/>
                <w:sz w:val="24"/>
                <w:szCs w:val="24"/>
              </w:rPr>
              <w:t>La présente Norme européenne ne traite pas des phénomènes dangereux liés à la manipulation des émulseurs ou au contact avec ceux-ci.</w:t>
            </w:r>
          </w:p>
          <w:p w:rsidR="004657A6" w:rsidRPr="009023A9" w:rsidRDefault="00F752DB" w:rsidP="004657A6">
            <w:pPr>
              <w:spacing w:after="0" w:line="240" w:lineRule="auto"/>
              <w:jc w:val="both"/>
              <w:rPr>
                <w:rFonts w:cstheme="minorHAnsi"/>
                <w:i/>
                <w:iCs/>
              </w:rPr>
            </w:pPr>
            <w:r w:rsidRPr="009023A9">
              <w:rPr>
                <w:rFonts w:cstheme="minorHAnsi"/>
                <w:b/>
                <w:bCs/>
                <w:i/>
                <w:iCs/>
              </w:rPr>
              <w:t>NOTE 4</w:t>
            </w:r>
            <w:r w:rsidR="004657A6" w:rsidRPr="009023A9">
              <w:rPr>
                <w:rFonts w:cstheme="minorHAnsi"/>
                <w:b/>
                <w:bCs/>
                <w:i/>
                <w:iCs/>
              </w:rPr>
              <w:t> :</w:t>
            </w:r>
            <w:r w:rsidR="004657A6" w:rsidRPr="009023A9">
              <w:rPr>
                <w:rFonts w:cstheme="minorHAnsi"/>
                <w:i/>
                <w:iCs/>
              </w:rPr>
              <w:t xml:space="preserve"> </w:t>
            </w:r>
            <w:r w:rsidRPr="009023A9">
              <w:rPr>
                <w:rFonts w:cstheme="minorHAnsi"/>
                <w:i/>
                <w:iCs/>
              </w:rPr>
              <w:t>L'installation d'additif est traitée dans l'EN 1846-3.</w:t>
            </w:r>
          </w:p>
          <w:p w:rsidR="00F752DB" w:rsidRPr="0043547B" w:rsidRDefault="00F752DB" w:rsidP="004657A6">
            <w:pPr>
              <w:spacing w:after="0" w:line="240" w:lineRule="auto"/>
              <w:jc w:val="both"/>
              <w:rPr>
                <w:rFonts w:cstheme="minorHAnsi"/>
                <w:sz w:val="24"/>
                <w:szCs w:val="24"/>
              </w:rPr>
            </w:pPr>
            <w:r w:rsidRPr="0043547B">
              <w:rPr>
                <w:rFonts w:cstheme="minorHAnsi"/>
                <w:sz w:val="24"/>
                <w:szCs w:val="24"/>
              </w:rPr>
              <w:t>La présente Norme européenne ne s’applique pas aux systèmes fabriqués avant la date de publication de la présente Norme européenne par le CEN.</w:t>
            </w:r>
          </w:p>
        </w:tc>
      </w:tr>
      <w:tr w:rsidR="0043547B" w:rsidRPr="0043547B" w:rsidTr="009023A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312"/>
        </w:trPr>
        <w:tc>
          <w:tcPr>
            <w:tcW w:w="1856" w:type="dxa"/>
            <w:tcBorders>
              <w:top w:val="single" w:sz="18" w:space="0" w:color="auto"/>
              <w:left w:val="single" w:sz="18" w:space="0" w:color="auto"/>
              <w:bottom w:val="single" w:sz="18" w:space="0" w:color="auto"/>
              <w:right w:val="single" w:sz="8" w:space="0" w:color="auto"/>
            </w:tcBorders>
            <w:shd w:val="clear" w:color="auto" w:fill="C2D69B" w:themeFill="accent3" w:themeFillTint="99"/>
            <w:vAlign w:val="center"/>
            <w:hideMark/>
          </w:tcPr>
          <w:p w:rsidR="00BB5DD7" w:rsidRPr="0043547B" w:rsidRDefault="00BB5DD7" w:rsidP="009023A9">
            <w:pPr>
              <w:spacing w:after="0" w:line="240" w:lineRule="auto"/>
              <w:jc w:val="center"/>
              <w:rPr>
                <w:rFonts w:cstheme="minorHAnsi"/>
                <w:b/>
                <w:bCs/>
                <w:sz w:val="24"/>
                <w:szCs w:val="24"/>
              </w:rPr>
            </w:pPr>
            <w:r w:rsidRPr="0043547B">
              <w:rPr>
                <w:rFonts w:cstheme="minorHAnsi"/>
                <w:b/>
                <w:bCs/>
                <w:sz w:val="24"/>
                <w:szCs w:val="24"/>
              </w:rPr>
              <w:lastRenderedPageBreak/>
              <w:t>Code :</w:t>
            </w:r>
          </w:p>
        </w:tc>
        <w:tc>
          <w:tcPr>
            <w:tcW w:w="7938" w:type="dxa"/>
            <w:tcBorders>
              <w:top w:val="single" w:sz="18" w:space="0" w:color="auto"/>
              <w:left w:val="single" w:sz="8" w:space="0" w:color="auto"/>
              <w:bottom w:val="single" w:sz="18" w:space="0" w:color="auto"/>
              <w:right w:val="single" w:sz="18" w:space="0" w:color="auto"/>
            </w:tcBorders>
            <w:shd w:val="clear" w:color="auto" w:fill="C2D69B" w:themeFill="accent3" w:themeFillTint="99"/>
            <w:hideMark/>
          </w:tcPr>
          <w:p w:rsidR="00BB5DD7" w:rsidRPr="0043547B" w:rsidRDefault="00BB5DD7" w:rsidP="009442B8">
            <w:pPr>
              <w:spacing w:after="0" w:line="240" w:lineRule="auto"/>
              <w:jc w:val="center"/>
              <w:rPr>
                <w:rFonts w:cstheme="minorHAnsi"/>
                <w:b/>
                <w:bCs/>
                <w:sz w:val="24"/>
                <w:szCs w:val="24"/>
              </w:rPr>
            </w:pPr>
            <w:r w:rsidRPr="0043547B">
              <w:rPr>
                <w:rFonts w:cstheme="minorHAnsi"/>
                <w:b/>
                <w:bCs/>
                <w:sz w:val="24"/>
                <w:szCs w:val="24"/>
              </w:rPr>
              <w:t>NM EN 1866-1</w:t>
            </w:r>
          </w:p>
        </w:tc>
      </w:tr>
      <w:tr w:rsidR="0043547B" w:rsidRPr="0043547B" w:rsidTr="009023A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312"/>
        </w:trPr>
        <w:tc>
          <w:tcPr>
            <w:tcW w:w="1856" w:type="dxa"/>
            <w:tcBorders>
              <w:top w:val="single" w:sz="18" w:space="0" w:color="auto"/>
              <w:left w:val="single" w:sz="18" w:space="0" w:color="auto"/>
              <w:bottom w:val="single" w:sz="4" w:space="0" w:color="auto"/>
              <w:right w:val="single" w:sz="8" w:space="0" w:color="auto"/>
            </w:tcBorders>
            <w:shd w:val="clear" w:color="auto" w:fill="FDFBA9"/>
            <w:vAlign w:val="center"/>
            <w:hideMark/>
          </w:tcPr>
          <w:p w:rsidR="00BB5DD7" w:rsidRPr="0043547B" w:rsidRDefault="00BB5DD7" w:rsidP="009442B8">
            <w:pPr>
              <w:spacing w:after="0" w:line="240" w:lineRule="auto"/>
              <w:jc w:val="center"/>
              <w:rPr>
                <w:rFonts w:cstheme="minorHAnsi"/>
                <w:b/>
                <w:bCs/>
                <w:sz w:val="24"/>
                <w:szCs w:val="24"/>
              </w:rPr>
            </w:pPr>
            <w:r w:rsidRPr="0043547B">
              <w:rPr>
                <w:rFonts w:cstheme="minorHAnsi"/>
                <w:b/>
                <w:bCs/>
                <w:sz w:val="24"/>
                <w:szCs w:val="24"/>
              </w:rPr>
              <w:t>Equivalence :</w:t>
            </w:r>
          </w:p>
        </w:tc>
        <w:tc>
          <w:tcPr>
            <w:tcW w:w="7938" w:type="dxa"/>
            <w:tcBorders>
              <w:top w:val="single" w:sz="18" w:space="0" w:color="auto"/>
              <w:left w:val="single" w:sz="8" w:space="0" w:color="auto"/>
              <w:bottom w:val="single" w:sz="4" w:space="0" w:color="auto"/>
              <w:right w:val="single" w:sz="18" w:space="0" w:color="auto"/>
            </w:tcBorders>
            <w:shd w:val="clear" w:color="auto" w:fill="FDFBA9"/>
            <w:vAlign w:val="center"/>
            <w:hideMark/>
          </w:tcPr>
          <w:p w:rsidR="00BB5DD7" w:rsidRPr="0043547B" w:rsidRDefault="00BB5DD7" w:rsidP="00BB5DD7">
            <w:pPr>
              <w:spacing w:after="0" w:line="240" w:lineRule="auto"/>
              <w:jc w:val="center"/>
              <w:rPr>
                <w:rFonts w:cstheme="minorHAnsi"/>
                <w:b/>
                <w:bCs/>
                <w:sz w:val="24"/>
                <w:szCs w:val="24"/>
              </w:rPr>
            </w:pPr>
            <w:r w:rsidRPr="0043547B">
              <w:rPr>
                <w:rFonts w:cstheme="minorHAnsi"/>
                <w:b/>
                <w:bCs/>
                <w:sz w:val="24"/>
                <w:szCs w:val="24"/>
              </w:rPr>
              <w:t>EN 1866-1</w:t>
            </w:r>
          </w:p>
        </w:tc>
      </w:tr>
      <w:tr w:rsidR="0043547B" w:rsidRPr="0043547B" w:rsidTr="00F226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576"/>
        </w:trPr>
        <w:tc>
          <w:tcPr>
            <w:tcW w:w="1856" w:type="dxa"/>
            <w:tcBorders>
              <w:top w:val="single" w:sz="4" w:space="0" w:color="auto"/>
              <w:left w:val="single" w:sz="18" w:space="0" w:color="auto"/>
              <w:bottom w:val="single" w:sz="4" w:space="0" w:color="auto"/>
              <w:right w:val="single" w:sz="8" w:space="0" w:color="auto"/>
            </w:tcBorders>
            <w:shd w:val="clear" w:color="auto" w:fill="95B3D7" w:themeFill="accent1" w:themeFillTint="99"/>
            <w:vAlign w:val="center"/>
            <w:hideMark/>
          </w:tcPr>
          <w:p w:rsidR="00BB5DD7" w:rsidRPr="0043547B" w:rsidRDefault="00BB5DD7" w:rsidP="009442B8">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Intitulé :</w:t>
            </w:r>
          </w:p>
        </w:tc>
        <w:tc>
          <w:tcPr>
            <w:tcW w:w="7938" w:type="dxa"/>
            <w:tcBorders>
              <w:top w:val="single" w:sz="4" w:space="0" w:color="auto"/>
              <w:left w:val="single" w:sz="8" w:space="0" w:color="auto"/>
              <w:bottom w:val="single" w:sz="4" w:space="0" w:color="auto"/>
              <w:right w:val="single" w:sz="18" w:space="0" w:color="auto"/>
            </w:tcBorders>
            <w:shd w:val="clear" w:color="auto" w:fill="auto"/>
            <w:hideMark/>
          </w:tcPr>
          <w:p w:rsidR="00BB5DD7" w:rsidRPr="0043547B" w:rsidRDefault="00BB5DD7" w:rsidP="00BB5DD7">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Extincteurs d'incendie mobiles - Partie 1 : Caractéristiques, performances et méthodes d'essai</w:t>
            </w:r>
          </w:p>
        </w:tc>
      </w:tr>
      <w:tr w:rsidR="0043547B" w:rsidRPr="0043547B" w:rsidTr="009023A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3058"/>
        </w:trPr>
        <w:tc>
          <w:tcPr>
            <w:tcW w:w="1856" w:type="dxa"/>
            <w:tcBorders>
              <w:top w:val="single" w:sz="4" w:space="0" w:color="auto"/>
              <w:left w:val="single" w:sz="18" w:space="0" w:color="auto"/>
              <w:bottom w:val="single" w:sz="18" w:space="0" w:color="auto"/>
              <w:right w:val="single" w:sz="8" w:space="0" w:color="auto"/>
            </w:tcBorders>
            <w:shd w:val="clear" w:color="auto" w:fill="D9D9D9" w:themeFill="background1" w:themeFillShade="D9"/>
            <w:vAlign w:val="center"/>
            <w:hideMark/>
          </w:tcPr>
          <w:p w:rsidR="00BB5DD7" w:rsidRPr="0043547B" w:rsidRDefault="00BB5DD7" w:rsidP="009442B8">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Domaine d’application :</w:t>
            </w:r>
          </w:p>
        </w:tc>
        <w:tc>
          <w:tcPr>
            <w:tcW w:w="7938" w:type="dxa"/>
            <w:tcBorders>
              <w:top w:val="single" w:sz="4" w:space="0" w:color="auto"/>
              <w:left w:val="single" w:sz="8" w:space="0" w:color="auto"/>
              <w:bottom w:val="single" w:sz="18" w:space="0" w:color="auto"/>
              <w:right w:val="single" w:sz="18" w:space="0" w:color="auto"/>
            </w:tcBorders>
            <w:shd w:val="clear" w:color="auto" w:fill="auto"/>
            <w:hideMark/>
          </w:tcPr>
          <w:p w:rsidR="009023A9" w:rsidRDefault="00BB5DD7" w:rsidP="009023A9">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La présente Norme européenne spécifie les règles de conception, les essais de type, les contrôles en cours de fabrication, les foyers-types et la classification des extincteurs d’incendie mobiles ainsi que les méthodes d’essai à employer. Elle s’applique aux extincteurs d’incendie mobiles ayant une masse totale supérieure à 20 kg pour les extincteurs à poudre, à base d’eau et à CO2. La présente norme s’applique uniquement aux extincteurs d’incendie mobiles manipulés par un opérateur se </w:t>
            </w:r>
            <w:r w:rsidR="009023A9" w:rsidRPr="0043547B">
              <w:rPr>
                <w:rFonts w:eastAsia="Times New Roman" w:cstheme="minorHAnsi"/>
                <w:sz w:val="24"/>
                <w:szCs w:val="24"/>
                <w:lang w:eastAsia="fr-FR"/>
              </w:rPr>
              <w:t>déplaçant</w:t>
            </w:r>
            <w:r w:rsidRPr="0043547B">
              <w:rPr>
                <w:rFonts w:eastAsia="Times New Roman" w:cstheme="minorHAnsi"/>
                <w:sz w:val="24"/>
                <w:szCs w:val="24"/>
                <w:lang w:eastAsia="fr-FR"/>
              </w:rPr>
              <w:t xml:space="preserve"> à pied.</w:t>
            </w:r>
          </w:p>
          <w:p w:rsidR="00BB5DD7" w:rsidRPr="0043547B" w:rsidRDefault="00BB5DD7" w:rsidP="009023A9">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ne traite pas les essais sur feux de classes C et F, mais les agents extincteurs utilisés peuvent être efficaces sur ces types de feux. Les feux de classe D sont considérés comme des applications très spécialisées et ne sont pas traités dans la présente norme ; ils peuvent toutefois faire l’objet d’une spécification nationale.</w:t>
            </w:r>
          </w:p>
        </w:tc>
      </w:tr>
      <w:tr w:rsidR="0043547B" w:rsidRPr="0043547B" w:rsidTr="009023A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312"/>
        </w:trPr>
        <w:tc>
          <w:tcPr>
            <w:tcW w:w="1856" w:type="dxa"/>
            <w:tcBorders>
              <w:top w:val="single" w:sz="18" w:space="0" w:color="auto"/>
              <w:left w:val="single" w:sz="18" w:space="0" w:color="auto"/>
              <w:bottom w:val="single" w:sz="18" w:space="0" w:color="auto"/>
              <w:right w:val="single" w:sz="8" w:space="0" w:color="auto"/>
            </w:tcBorders>
            <w:shd w:val="clear" w:color="auto" w:fill="C2D69B" w:themeFill="accent3" w:themeFillTint="99"/>
            <w:vAlign w:val="center"/>
            <w:hideMark/>
          </w:tcPr>
          <w:p w:rsidR="00BB5DD7" w:rsidRPr="0043547B" w:rsidRDefault="00BB5DD7" w:rsidP="009023A9">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Code :</w:t>
            </w:r>
          </w:p>
        </w:tc>
        <w:tc>
          <w:tcPr>
            <w:tcW w:w="7938" w:type="dxa"/>
            <w:tcBorders>
              <w:top w:val="single" w:sz="18" w:space="0" w:color="auto"/>
              <w:left w:val="single" w:sz="8" w:space="0" w:color="auto"/>
              <w:bottom w:val="single" w:sz="18" w:space="0" w:color="auto"/>
              <w:right w:val="single" w:sz="18" w:space="0" w:color="auto"/>
            </w:tcBorders>
            <w:shd w:val="clear" w:color="auto" w:fill="C2D69B" w:themeFill="accent3" w:themeFillTint="99"/>
            <w:hideMark/>
          </w:tcPr>
          <w:p w:rsidR="00BB5DD7" w:rsidRPr="0043547B" w:rsidRDefault="00BB5DD7" w:rsidP="00006924">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1866-2</w:t>
            </w:r>
          </w:p>
        </w:tc>
      </w:tr>
      <w:tr w:rsidR="0043547B" w:rsidRPr="0043547B" w:rsidTr="009023A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312"/>
        </w:trPr>
        <w:tc>
          <w:tcPr>
            <w:tcW w:w="1856" w:type="dxa"/>
            <w:tcBorders>
              <w:top w:val="single" w:sz="18" w:space="0" w:color="auto"/>
              <w:left w:val="single" w:sz="18" w:space="0" w:color="auto"/>
              <w:bottom w:val="single" w:sz="4" w:space="0" w:color="auto"/>
              <w:right w:val="single" w:sz="8" w:space="0" w:color="auto"/>
            </w:tcBorders>
            <w:shd w:val="clear" w:color="auto" w:fill="FDFBA9"/>
            <w:vAlign w:val="center"/>
            <w:hideMark/>
          </w:tcPr>
          <w:p w:rsidR="00BB5DD7" w:rsidRPr="0043547B" w:rsidRDefault="00BB5DD7" w:rsidP="00006924">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Equivalence :</w:t>
            </w:r>
          </w:p>
        </w:tc>
        <w:tc>
          <w:tcPr>
            <w:tcW w:w="7938" w:type="dxa"/>
            <w:tcBorders>
              <w:top w:val="single" w:sz="18" w:space="0" w:color="auto"/>
              <w:left w:val="single" w:sz="8" w:space="0" w:color="auto"/>
              <w:bottom w:val="single" w:sz="4" w:space="0" w:color="auto"/>
              <w:right w:val="single" w:sz="18" w:space="0" w:color="auto"/>
            </w:tcBorders>
            <w:shd w:val="clear" w:color="auto" w:fill="FDFBA9"/>
            <w:vAlign w:val="center"/>
            <w:hideMark/>
          </w:tcPr>
          <w:p w:rsidR="00BB5DD7" w:rsidRPr="0043547B" w:rsidRDefault="00BB5DD7" w:rsidP="00006924">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1866-2</w:t>
            </w:r>
          </w:p>
        </w:tc>
      </w:tr>
      <w:tr w:rsidR="0043547B" w:rsidRPr="0043547B" w:rsidTr="00F226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864"/>
        </w:trPr>
        <w:tc>
          <w:tcPr>
            <w:tcW w:w="1856" w:type="dxa"/>
            <w:tcBorders>
              <w:top w:val="single" w:sz="4" w:space="0" w:color="auto"/>
              <w:left w:val="single" w:sz="18" w:space="0" w:color="auto"/>
              <w:bottom w:val="single" w:sz="4" w:space="0" w:color="auto"/>
              <w:right w:val="single" w:sz="8" w:space="0" w:color="auto"/>
            </w:tcBorders>
            <w:shd w:val="clear" w:color="auto" w:fill="95B3D7" w:themeFill="accent1" w:themeFillTint="99"/>
            <w:vAlign w:val="center"/>
            <w:hideMark/>
          </w:tcPr>
          <w:p w:rsidR="00BB5DD7" w:rsidRPr="0043547B" w:rsidRDefault="00BB5DD7" w:rsidP="00006924">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Intitulé :</w:t>
            </w:r>
          </w:p>
        </w:tc>
        <w:tc>
          <w:tcPr>
            <w:tcW w:w="7938" w:type="dxa"/>
            <w:tcBorders>
              <w:top w:val="single" w:sz="4" w:space="0" w:color="auto"/>
              <w:left w:val="single" w:sz="8" w:space="0" w:color="auto"/>
              <w:bottom w:val="single" w:sz="4" w:space="0" w:color="auto"/>
              <w:right w:val="single" w:sz="18" w:space="0" w:color="auto"/>
            </w:tcBorders>
            <w:shd w:val="clear" w:color="auto" w:fill="auto"/>
            <w:hideMark/>
          </w:tcPr>
          <w:p w:rsidR="00BB5DD7" w:rsidRPr="0043547B" w:rsidRDefault="00BB5DD7" w:rsidP="00BB5DD7">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Extincteurs d’incendie mobiles - Partie 2 : Exigences pour la construction, la résistance à la pression et les essais mécaniques des extincteurs conformes aux exigences de l’EN 1866-1, dont la pression maximale admissible est inférieure ou égale à 30 bar</w:t>
            </w:r>
          </w:p>
        </w:tc>
      </w:tr>
      <w:tr w:rsidR="0043547B" w:rsidRPr="0043547B" w:rsidTr="009023A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2401"/>
        </w:trPr>
        <w:tc>
          <w:tcPr>
            <w:tcW w:w="1856" w:type="dxa"/>
            <w:tcBorders>
              <w:top w:val="single" w:sz="4" w:space="0" w:color="auto"/>
              <w:left w:val="single" w:sz="18" w:space="0" w:color="auto"/>
              <w:bottom w:val="single" w:sz="18" w:space="0" w:color="auto"/>
              <w:right w:val="single" w:sz="8" w:space="0" w:color="auto"/>
            </w:tcBorders>
            <w:shd w:val="clear" w:color="auto" w:fill="D9D9D9" w:themeFill="background1" w:themeFillShade="D9"/>
            <w:vAlign w:val="center"/>
            <w:hideMark/>
          </w:tcPr>
          <w:p w:rsidR="00BB5DD7" w:rsidRPr="0043547B" w:rsidRDefault="00BB5DD7" w:rsidP="009442B8">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lastRenderedPageBreak/>
              <w:t>Domaine d’application :</w:t>
            </w:r>
          </w:p>
        </w:tc>
        <w:tc>
          <w:tcPr>
            <w:tcW w:w="7938" w:type="dxa"/>
            <w:tcBorders>
              <w:top w:val="single" w:sz="4" w:space="0" w:color="auto"/>
              <w:left w:val="single" w:sz="8" w:space="0" w:color="auto"/>
              <w:bottom w:val="single" w:sz="18" w:space="0" w:color="auto"/>
              <w:right w:val="single" w:sz="18" w:space="0" w:color="auto"/>
            </w:tcBorders>
            <w:shd w:val="clear" w:color="auto" w:fill="auto"/>
            <w:hideMark/>
          </w:tcPr>
          <w:p w:rsidR="009023A9" w:rsidRDefault="00BB5DD7" w:rsidP="009023A9">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européenne spécifie les règles de conception, les essais de type, la fabrication et l’inspection en cours de fabrication des extincteurs d’incendie mobiles à corps métallique, conformes aux exigences de l’EN 1866-1, en ce qui concerne leur résistance à la pression.</w:t>
            </w:r>
          </w:p>
          <w:p w:rsidR="00BB5DD7" w:rsidRPr="0043547B" w:rsidRDefault="00BB5DD7" w:rsidP="009023A9">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Cette partie s’applique aux extincteurs d’incendie mobiles dont la pression maximale admissible PS est inférieure ou égale à 30 bar et contenant des fluides ou une poudre non explosifs, non inflammables, non toxiques et non oxydants.</w:t>
            </w:r>
            <w:r w:rsidRPr="0043547B">
              <w:rPr>
                <w:rFonts w:eastAsia="Times New Roman" w:cstheme="minorHAnsi"/>
                <w:sz w:val="24"/>
                <w:szCs w:val="24"/>
                <w:lang w:eastAsia="fr-FR"/>
              </w:rPr>
              <w:br/>
              <w:t>La présente Norme européenne ne s’applique pas aux extincteurs au dioxyde de carbone.</w:t>
            </w:r>
          </w:p>
        </w:tc>
      </w:tr>
      <w:tr w:rsidR="0043547B" w:rsidRPr="0043547B" w:rsidTr="009023A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312"/>
        </w:trPr>
        <w:tc>
          <w:tcPr>
            <w:tcW w:w="1856" w:type="dxa"/>
            <w:tcBorders>
              <w:top w:val="single" w:sz="18" w:space="0" w:color="auto"/>
              <w:left w:val="single" w:sz="18" w:space="0" w:color="auto"/>
              <w:bottom w:val="single" w:sz="18" w:space="0" w:color="auto"/>
              <w:right w:val="single" w:sz="8" w:space="0" w:color="auto"/>
            </w:tcBorders>
            <w:shd w:val="clear" w:color="auto" w:fill="C2D69B" w:themeFill="accent3" w:themeFillTint="99"/>
            <w:vAlign w:val="center"/>
            <w:hideMark/>
          </w:tcPr>
          <w:p w:rsidR="00BB5DD7" w:rsidRPr="0043547B" w:rsidRDefault="00BB5DD7" w:rsidP="009023A9">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Code :</w:t>
            </w:r>
          </w:p>
        </w:tc>
        <w:tc>
          <w:tcPr>
            <w:tcW w:w="7938" w:type="dxa"/>
            <w:tcBorders>
              <w:top w:val="single" w:sz="18" w:space="0" w:color="auto"/>
              <w:left w:val="single" w:sz="8" w:space="0" w:color="auto"/>
              <w:bottom w:val="single" w:sz="18" w:space="0" w:color="auto"/>
              <w:right w:val="single" w:sz="18" w:space="0" w:color="auto"/>
            </w:tcBorders>
            <w:shd w:val="clear" w:color="auto" w:fill="C2D69B" w:themeFill="accent3" w:themeFillTint="99"/>
            <w:hideMark/>
          </w:tcPr>
          <w:p w:rsidR="00BB5DD7" w:rsidRPr="0043547B" w:rsidRDefault="00BB5DD7" w:rsidP="00006924">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3-1</w:t>
            </w:r>
          </w:p>
        </w:tc>
      </w:tr>
      <w:tr w:rsidR="0043547B" w:rsidRPr="0043547B" w:rsidTr="009023A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312"/>
        </w:trPr>
        <w:tc>
          <w:tcPr>
            <w:tcW w:w="1856" w:type="dxa"/>
            <w:tcBorders>
              <w:top w:val="single" w:sz="18" w:space="0" w:color="auto"/>
              <w:left w:val="single" w:sz="18" w:space="0" w:color="auto"/>
              <w:bottom w:val="single" w:sz="4" w:space="0" w:color="auto"/>
              <w:right w:val="single" w:sz="8" w:space="0" w:color="auto"/>
            </w:tcBorders>
            <w:shd w:val="clear" w:color="auto" w:fill="FDFBA9"/>
            <w:vAlign w:val="center"/>
            <w:hideMark/>
          </w:tcPr>
          <w:p w:rsidR="00BB5DD7" w:rsidRPr="0043547B" w:rsidRDefault="00BB5DD7" w:rsidP="00006924">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Equivalence :</w:t>
            </w:r>
          </w:p>
        </w:tc>
        <w:tc>
          <w:tcPr>
            <w:tcW w:w="7938" w:type="dxa"/>
            <w:tcBorders>
              <w:top w:val="single" w:sz="18" w:space="0" w:color="auto"/>
              <w:left w:val="single" w:sz="8" w:space="0" w:color="auto"/>
              <w:bottom w:val="single" w:sz="4" w:space="0" w:color="auto"/>
              <w:right w:val="single" w:sz="18" w:space="0" w:color="auto"/>
            </w:tcBorders>
            <w:shd w:val="clear" w:color="auto" w:fill="FDFBA9"/>
            <w:vAlign w:val="center"/>
            <w:hideMark/>
          </w:tcPr>
          <w:p w:rsidR="00BB5DD7" w:rsidRPr="0043547B" w:rsidRDefault="00BB5DD7" w:rsidP="00006924">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3-1</w:t>
            </w:r>
          </w:p>
        </w:tc>
      </w:tr>
      <w:tr w:rsidR="0043547B" w:rsidRPr="0043547B" w:rsidTr="00F226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576"/>
        </w:trPr>
        <w:tc>
          <w:tcPr>
            <w:tcW w:w="1856" w:type="dxa"/>
            <w:tcBorders>
              <w:top w:val="single" w:sz="4" w:space="0" w:color="auto"/>
              <w:left w:val="single" w:sz="18" w:space="0" w:color="auto"/>
              <w:bottom w:val="single" w:sz="4" w:space="0" w:color="auto"/>
              <w:right w:val="single" w:sz="8" w:space="0" w:color="auto"/>
            </w:tcBorders>
            <w:shd w:val="clear" w:color="auto" w:fill="95B3D7" w:themeFill="accent1" w:themeFillTint="99"/>
            <w:vAlign w:val="center"/>
            <w:hideMark/>
          </w:tcPr>
          <w:p w:rsidR="00BB5DD7" w:rsidRPr="0043547B" w:rsidRDefault="00BB5DD7" w:rsidP="00006924">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Intitulé :</w:t>
            </w:r>
          </w:p>
        </w:tc>
        <w:tc>
          <w:tcPr>
            <w:tcW w:w="7938" w:type="dxa"/>
            <w:tcBorders>
              <w:top w:val="single" w:sz="4" w:space="0" w:color="auto"/>
              <w:left w:val="single" w:sz="8" w:space="0" w:color="auto"/>
              <w:bottom w:val="single" w:sz="4" w:space="0" w:color="auto"/>
              <w:right w:val="single" w:sz="18" w:space="0" w:color="auto"/>
            </w:tcBorders>
            <w:shd w:val="clear" w:color="auto" w:fill="auto"/>
            <w:hideMark/>
          </w:tcPr>
          <w:p w:rsidR="00BB5DD7" w:rsidRPr="0043547B" w:rsidRDefault="00BB5DD7" w:rsidP="00BB5DD7">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Extincteurs d'incendie portatifs - Partie 1 : Appellation, durée de fonctionnement, foyers-types des classes A et B</w:t>
            </w:r>
          </w:p>
        </w:tc>
      </w:tr>
      <w:tr w:rsidR="0043547B" w:rsidRPr="0043547B" w:rsidTr="009023A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864"/>
        </w:trPr>
        <w:tc>
          <w:tcPr>
            <w:tcW w:w="1856" w:type="dxa"/>
            <w:tcBorders>
              <w:top w:val="single" w:sz="4" w:space="0" w:color="auto"/>
              <w:left w:val="single" w:sz="18" w:space="0" w:color="auto"/>
              <w:bottom w:val="single" w:sz="18" w:space="0" w:color="auto"/>
              <w:right w:val="single" w:sz="8" w:space="0" w:color="auto"/>
            </w:tcBorders>
            <w:shd w:val="clear" w:color="auto" w:fill="D9D9D9" w:themeFill="background1" w:themeFillShade="D9"/>
            <w:vAlign w:val="center"/>
            <w:hideMark/>
          </w:tcPr>
          <w:p w:rsidR="00BB5DD7" w:rsidRPr="0043547B" w:rsidRDefault="00BB5DD7" w:rsidP="009442B8">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Domaine d’application :</w:t>
            </w:r>
          </w:p>
        </w:tc>
        <w:tc>
          <w:tcPr>
            <w:tcW w:w="7938" w:type="dxa"/>
            <w:tcBorders>
              <w:top w:val="single" w:sz="4" w:space="0" w:color="auto"/>
              <w:left w:val="single" w:sz="8" w:space="0" w:color="auto"/>
              <w:bottom w:val="single" w:sz="18" w:space="0" w:color="auto"/>
              <w:right w:val="single" w:sz="18" w:space="0" w:color="auto"/>
            </w:tcBorders>
            <w:shd w:val="clear" w:color="auto" w:fill="auto"/>
            <w:vAlign w:val="bottom"/>
            <w:hideMark/>
          </w:tcPr>
          <w:p w:rsidR="00BB5DD7" w:rsidRPr="0043547B" w:rsidRDefault="00BB5DD7" w:rsidP="009023A9">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prescrit les caractéristiques de désignation, de durée de fonctionnement, de charge résiduelle et des essais d'efficacité d'incendie applicables aux extincteurss d'incendie portatifs,</w:t>
            </w:r>
          </w:p>
        </w:tc>
      </w:tr>
      <w:tr w:rsidR="0043547B" w:rsidRPr="0043547B" w:rsidTr="009023A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312"/>
        </w:trPr>
        <w:tc>
          <w:tcPr>
            <w:tcW w:w="1856" w:type="dxa"/>
            <w:tcBorders>
              <w:top w:val="single" w:sz="18" w:space="0" w:color="auto"/>
              <w:left w:val="single" w:sz="18" w:space="0" w:color="auto"/>
              <w:bottom w:val="single" w:sz="18" w:space="0" w:color="auto"/>
              <w:right w:val="single" w:sz="8" w:space="0" w:color="auto"/>
            </w:tcBorders>
            <w:shd w:val="clear" w:color="auto" w:fill="C2D69B" w:themeFill="accent3" w:themeFillTint="99"/>
            <w:vAlign w:val="center"/>
            <w:hideMark/>
          </w:tcPr>
          <w:p w:rsidR="00BB5DD7" w:rsidRPr="0043547B" w:rsidRDefault="00BB5DD7" w:rsidP="009023A9">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Code :</w:t>
            </w:r>
          </w:p>
        </w:tc>
        <w:tc>
          <w:tcPr>
            <w:tcW w:w="7938" w:type="dxa"/>
            <w:tcBorders>
              <w:top w:val="single" w:sz="18" w:space="0" w:color="auto"/>
              <w:left w:val="single" w:sz="8" w:space="0" w:color="auto"/>
              <w:bottom w:val="single" w:sz="18" w:space="0" w:color="auto"/>
              <w:right w:val="single" w:sz="18" w:space="0" w:color="auto"/>
            </w:tcBorders>
            <w:shd w:val="clear" w:color="auto" w:fill="C2D69B" w:themeFill="accent3" w:themeFillTint="99"/>
            <w:hideMark/>
          </w:tcPr>
          <w:p w:rsidR="00BB5DD7" w:rsidRPr="0043547B" w:rsidRDefault="00BB5DD7" w:rsidP="00006924">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3-2</w:t>
            </w:r>
          </w:p>
        </w:tc>
      </w:tr>
      <w:tr w:rsidR="0043547B" w:rsidRPr="0043547B" w:rsidTr="009023A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312"/>
        </w:trPr>
        <w:tc>
          <w:tcPr>
            <w:tcW w:w="1856" w:type="dxa"/>
            <w:tcBorders>
              <w:top w:val="single" w:sz="18" w:space="0" w:color="auto"/>
              <w:left w:val="single" w:sz="18" w:space="0" w:color="auto"/>
              <w:bottom w:val="single" w:sz="4" w:space="0" w:color="auto"/>
              <w:right w:val="single" w:sz="8" w:space="0" w:color="auto"/>
            </w:tcBorders>
            <w:shd w:val="clear" w:color="auto" w:fill="FDFBA9"/>
            <w:vAlign w:val="center"/>
            <w:hideMark/>
          </w:tcPr>
          <w:p w:rsidR="00BB5DD7" w:rsidRPr="0043547B" w:rsidRDefault="00BB5DD7" w:rsidP="00006924">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Equivalence :</w:t>
            </w:r>
          </w:p>
        </w:tc>
        <w:tc>
          <w:tcPr>
            <w:tcW w:w="7938" w:type="dxa"/>
            <w:tcBorders>
              <w:top w:val="single" w:sz="18" w:space="0" w:color="auto"/>
              <w:left w:val="single" w:sz="8" w:space="0" w:color="auto"/>
              <w:bottom w:val="single" w:sz="4" w:space="0" w:color="auto"/>
              <w:right w:val="single" w:sz="18" w:space="0" w:color="auto"/>
            </w:tcBorders>
            <w:shd w:val="clear" w:color="auto" w:fill="FDFBA9"/>
            <w:vAlign w:val="center"/>
            <w:hideMark/>
          </w:tcPr>
          <w:p w:rsidR="00BB5DD7" w:rsidRPr="0043547B" w:rsidRDefault="00BB5DD7" w:rsidP="00006924">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3-2</w:t>
            </w:r>
          </w:p>
        </w:tc>
      </w:tr>
      <w:tr w:rsidR="0043547B" w:rsidRPr="0043547B" w:rsidTr="00F226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576"/>
        </w:trPr>
        <w:tc>
          <w:tcPr>
            <w:tcW w:w="1856" w:type="dxa"/>
            <w:tcBorders>
              <w:top w:val="single" w:sz="4" w:space="0" w:color="auto"/>
              <w:left w:val="single" w:sz="18" w:space="0" w:color="auto"/>
              <w:bottom w:val="single" w:sz="4" w:space="0" w:color="auto"/>
              <w:right w:val="single" w:sz="8" w:space="0" w:color="auto"/>
            </w:tcBorders>
            <w:shd w:val="clear" w:color="auto" w:fill="95B3D7" w:themeFill="accent1" w:themeFillTint="99"/>
            <w:vAlign w:val="center"/>
            <w:hideMark/>
          </w:tcPr>
          <w:p w:rsidR="00BB5DD7" w:rsidRPr="0043547B" w:rsidRDefault="00BB5DD7" w:rsidP="00006924">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Intitulé :</w:t>
            </w:r>
          </w:p>
        </w:tc>
        <w:tc>
          <w:tcPr>
            <w:tcW w:w="7938" w:type="dxa"/>
            <w:tcBorders>
              <w:top w:val="single" w:sz="4" w:space="0" w:color="auto"/>
              <w:left w:val="single" w:sz="8" w:space="0" w:color="auto"/>
              <w:bottom w:val="single" w:sz="4" w:space="0" w:color="auto"/>
              <w:right w:val="single" w:sz="18" w:space="0" w:color="auto"/>
            </w:tcBorders>
            <w:shd w:val="clear" w:color="auto" w:fill="auto"/>
            <w:hideMark/>
          </w:tcPr>
          <w:p w:rsidR="00BB5DD7" w:rsidRPr="0043547B" w:rsidRDefault="00BB5DD7" w:rsidP="00BB5DD7">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Extincteurs d'incendie portatifs - Partie 2 : Etanchéité, essai diélectrique, essai de tassement, dispositions spéciales</w:t>
            </w:r>
          </w:p>
        </w:tc>
      </w:tr>
      <w:tr w:rsidR="0043547B" w:rsidRPr="0043547B" w:rsidTr="009023A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1728"/>
        </w:trPr>
        <w:tc>
          <w:tcPr>
            <w:tcW w:w="1856" w:type="dxa"/>
            <w:tcBorders>
              <w:top w:val="single" w:sz="4" w:space="0" w:color="auto"/>
              <w:left w:val="single" w:sz="18" w:space="0" w:color="auto"/>
              <w:bottom w:val="single" w:sz="18" w:space="0" w:color="auto"/>
              <w:right w:val="single" w:sz="8" w:space="0" w:color="auto"/>
            </w:tcBorders>
            <w:shd w:val="clear" w:color="auto" w:fill="D9D9D9" w:themeFill="background1" w:themeFillShade="D9"/>
            <w:vAlign w:val="center"/>
            <w:hideMark/>
          </w:tcPr>
          <w:p w:rsidR="00BB5DD7" w:rsidRPr="0043547B" w:rsidRDefault="00BB5DD7" w:rsidP="009442B8">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Domaine d’application :</w:t>
            </w:r>
          </w:p>
        </w:tc>
        <w:tc>
          <w:tcPr>
            <w:tcW w:w="7938" w:type="dxa"/>
            <w:tcBorders>
              <w:top w:val="single" w:sz="4" w:space="0" w:color="auto"/>
              <w:left w:val="single" w:sz="8" w:space="0" w:color="auto"/>
              <w:bottom w:val="single" w:sz="18" w:space="0" w:color="auto"/>
              <w:right w:val="single" w:sz="18" w:space="0" w:color="auto"/>
            </w:tcBorders>
            <w:shd w:val="clear" w:color="auto" w:fill="auto"/>
            <w:vAlign w:val="bottom"/>
            <w:hideMark/>
          </w:tcPr>
          <w:p w:rsidR="00BB5DD7" w:rsidRPr="0043547B" w:rsidRDefault="00BB5DD7" w:rsidP="00BB5DD7">
            <w:pPr>
              <w:spacing w:after="0" w:line="240" w:lineRule="auto"/>
              <w:rPr>
                <w:rFonts w:eastAsia="Times New Roman" w:cstheme="minorHAnsi"/>
                <w:sz w:val="24"/>
                <w:szCs w:val="24"/>
                <w:lang w:eastAsia="fr-FR"/>
              </w:rPr>
            </w:pPr>
            <w:r w:rsidRPr="0043547B">
              <w:rPr>
                <w:rFonts w:eastAsia="Times New Roman" w:cstheme="minorHAnsi"/>
                <w:sz w:val="24"/>
                <w:szCs w:val="24"/>
                <w:lang w:eastAsia="fr-FR"/>
              </w:rPr>
              <w:t>La présente norme prescrit les méthodes d'essais correspondantes pour les points suivants :                                                                                                                                                       - l'étanchéité ;                                                                                                                                            - l'essai diélectrique ;                                                                                                                              - l'essai de tassement ; et                                                                                                                                   - des dispositions spéciales applicables aux extincteurs portatifs,</w:t>
            </w:r>
          </w:p>
        </w:tc>
      </w:tr>
      <w:tr w:rsidR="0043547B" w:rsidRPr="0043547B" w:rsidTr="009023A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312"/>
        </w:trPr>
        <w:tc>
          <w:tcPr>
            <w:tcW w:w="1856" w:type="dxa"/>
            <w:tcBorders>
              <w:top w:val="single" w:sz="18" w:space="0" w:color="auto"/>
              <w:left w:val="single" w:sz="18" w:space="0" w:color="auto"/>
              <w:bottom w:val="single" w:sz="18" w:space="0" w:color="auto"/>
              <w:right w:val="single" w:sz="8" w:space="0" w:color="auto"/>
            </w:tcBorders>
            <w:shd w:val="clear" w:color="auto" w:fill="C2D69B" w:themeFill="accent3" w:themeFillTint="99"/>
            <w:vAlign w:val="center"/>
            <w:hideMark/>
          </w:tcPr>
          <w:p w:rsidR="00BB5DD7" w:rsidRPr="0043547B" w:rsidRDefault="00BB5DD7" w:rsidP="009023A9">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Code :</w:t>
            </w:r>
          </w:p>
        </w:tc>
        <w:tc>
          <w:tcPr>
            <w:tcW w:w="7938" w:type="dxa"/>
            <w:tcBorders>
              <w:top w:val="single" w:sz="18" w:space="0" w:color="auto"/>
              <w:left w:val="single" w:sz="8" w:space="0" w:color="auto"/>
              <w:bottom w:val="single" w:sz="18" w:space="0" w:color="auto"/>
              <w:right w:val="single" w:sz="18" w:space="0" w:color="auto"/>
            </w:tcBorders>
            <w:shd w:val="clear" w:color="auto" w:fill="C2D69B" w:themeFill="accent3" w:themeFillTint="99"/>
            <w:hideMark/>
          </w:tcPr>
          <w:p w:rsidR="00BB5DD7" w:rsidRPr="0043547B" w:rsidRDefault="00BB5DD7" w:rsidP="00006924">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3-4</w:t>
            </w:r>
          </w:p>
        </w:tc>
      </w:tr>
      <w:tr w:rsidR="0043547B" w:rsidRPr="0043547B" w:rsidTr="009023A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312"/>
        </w:trPr>
        <w:tc>
          <w:tcPr>
            <w:tcW w:w="1856" w:type="dxa"/>
            <w:tcBorders>
              <w:top w:val="single" w:sz="18" w:space="0" w:color="auto"/>
              <w:left w:val="single" w:sz="18" w:space="0" w:color="auto"/>
              <w:bottom w:val="single" w:sz="4" w:space="0" w:color="auto"/>
              <w:right w:val="single" w:sz="8" w:space="0" w:color="auto"/>
            </w:tcBorders>
            <w:shd w:val="clear" w:color="auto" w:fill="FDFBA9"/>
            <w:vAlign w:val="center"/>
            <w:hideMark/>
          </w:tcPr>
          <w:p w:rsidR="00BB5DD7" w:rsidRPr="0043547B" w:rsidRDefault="00BB5DD7" w:rsidP="00006924">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Equivalence :</w:t>
            </w:r>
          </w:p>
        </w:tc>
        <w:tc>
          <w:tcPr>
            <w:tcW w:w="7938" w:type="dxa"/>
            <w:tcBorders>
              <w:top w:val="single" w:sz="18" w:space="0" w:color="auto"/>
              <w:left w:val="single" w:sz="8" w:space="0" w:color="auto"/>
              <w:bottom w:val="single" w:sz="4" w:space="0" w:color="auto"/>
              <w:right w:val="single" w:sz="18" w:space="0" w:color="auto"/>
            </w:tcBorders>
            <w:shd w:val="clear" w:color="auto" w:fill="FDFBA9"/>
            <w:vAlign w:val="center"/>
            <w:hideMark/>
          </w:tcPr>
          <w:p w:rsidR="00BB5DD7" w:rsidRPr="0043547B" w:rsidRDefault="00BB5DD7" w:rsidP="00BB5DD7">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3-4</w:t>
            </w:r>
          </w:p>
        </w:tc>
      </w:tr>
      <w:tr w:rsidR="0043547B" w:rsidRPr="0043547B" w:rsidTr="00F226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312"/>
        </w:trPr>
        <w:tc>
          <w:tcPr>
            <w:tcW w:w="1856" w:type="dxa"/>
            <w:tcBorders>
              <w:top w:val="single" w:sz="4" w:space="0" w:color="auto"/>
              <w:left w:val="single" w:sz="18" w:space="0" w:color="auto"/>
              <w:bottom w:val="single" w:sz="4" w:space="0" w:color="auto"/>
              <w:right w:val="single" w:sz="8" w:space="0" w:color="auto"/>
            </w:tcBorders>
            <w:shd w:val="clear" w:color="auto" w:fill="95B3D7" w:themeFill="accent1" w:themeFillTint="99"/>
            <w:vAlign w:val="center"/>
            <w:hideMark/>
          </w:tcPr>
          <w:p w:rsidR="00BB5DD7" w:rsidRPr="0043547B" w:rsidRDefault="00BB5DD7" w:rsidP="00006924">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Intitulé :</w:t>
            </w:r>
          </w:p>
        </w:tc>
        <w:tc>
          <w:tcPr>
            <w:tcW w:w="7938" w:type="dxa"/>
            <w:tcBorders>
              <w:top w:val="single" w:sz="4" w:space="0" w:color="auto"/>
              <w:left w:val="single" w:sz="8" w:space="0" w:color="auto"/>
              <w:bottom w:val="single" w:sz="4" w:space="0" w:color="auto"/>
              <w:right w:val="single" w:sz="18" w:space="0" w:color="auto"/>
            </w:tcBorders>
            <w:shd w:val="clear" w:color="auto" w:fill="auto"/>
            <w:hideMark/>
          </w:tcPr>
          <w:p w:rsidR="00BB5DD7" w:rsidRPr="0043547B" w:rsidRDefault="00BB5DD7" w:rsidP="00BB5DD7">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Extincteurs d'incendie portatifs - Partie 4 : Charges, foyers minimaux exigibles</w:t>
            </w:r>
          </w:p>
        </w:tc>
      </w:tr>
      <w:tr w:rsidR="0043547B" w:rsidRPr="0043547B" w:rsidTr="009023A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864"/>
        </w:trPr>
        <w:tc>
          <w:tcPr>
            <w:tcW w:w="1856" w:type="dxa"/>
            <w:tcBorders>
              <w:top w:val="single" w:sz="4" w:space="0" w:color="auto"/>
              <w:left w:val="single" w:sz="18" w:space="0" w:color="auto"/>
              <w:bottom w:val="single" w:sz="18" w:space="0" w:color="auto"/>
              <w:right w:val="single" w:sz="8" w:space="0" w:color="auto"/>
            </w:tcBorders>
            <w:shd w:val="clear" w:color="auto" w:fill="D9D9D9" w:themeFill="background1" w:themeFillShade="D9"/>
            <w:vAlign w:val="center"/>
            <w:hideMark/>
          </w:tcPr>
          <w:p w:rsidR="00BB5DD7" w:rsidRPr="0043547B" w:rsidRDefault="00BB5DD7" w:rsidP="00006924">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Domaine d’application :</w:t>
            </w:r>
          </w:p>
        </w:tc>
        <w:tc>
          <w:tcPr>
            <w:tcW w:w="7938" w:type="dxa"/>
            <w:tcBorders>
              <w:top w:val="single" w:sz="4" w:space="0" w:color="auto"/>
              <w:left w:val="single" w:sz="8" w:space="0" w:color="auto"/>
              <w:bottom w:val="single" w:sz="18" w:space="0" w:color="auto"/>
              <w:right w:val="single" w:sz="18" w:space="0" w:color="auto"/>
            </w:tcBorders>
            <w:shd w:val="clear" w:color="auto" w:fill="auto"/>
            <w:vAlign w:val="bottom"/>
            <w:hideMark/>
          </w:tcPr>
          <w:p w:rsidR="00BB5DD7" w:rsidRPr="0043547B" w:rsidRDefault="00BB5DD7" w:rsidP="009023A9">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prescrit les charges des extincteurs d'incendie portatifs, et les foyers minimaux exigibles, c'est-à-dire la quantité maximale d'agent extincteur autorisée pour l'extinction d'un foyer-type donné,</w:t>
            </w:r>
          </w:p>
        </w:tc>
      </w:tr>
      <w:tr w:rsidR="0043547B" w:rsidRPr="0043547B" w:rsidTr="009023A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312"/>
        </w:trPr>
        <w:tc>
          <w:tcPr>
            <w:tcW w:w="1856" w:type="dxa"/>
            <w:tcBorders>
              <w:top w:val="single" w:sz="18" w:space="0" w:color="auto"/>
              <w:left w:val="single" w:sz="18" w:space="0" w:color="auto"/>
              <w:bottom w:val="single" w:sz="18" w:space="0" w:color="auto"/>
              <w:right w:val="single" w:sz="8" w:space="0" w:color="auto"/>
            </w:tcBorders>
            <w:shd w:val="clear" w:color="auto" w:fill="C2D69B" w:themeFill="accent3" w:themeFillTint="99"/>
            <w:vAlign w:val="center"/>
            <w:hideMark/>
          </w:tcPr>
          <w:p w:rsidR="00BB5DD7" w:rsidRPr="0043547B" w:rsidRDefault="00BB5DD7" w:rsidP="009023A9">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Code :</w:t>
            </w:r>
          </w:p>
        </w:tc>
        <w:tc>
          <w:tcPr>
            <w:tcW w:w="7938" w:type="dxa"/>
            <w:tcBorders>
              <w:top w:val="single" w:sz="18" w:space="0" w:color="auto"/>
              <w:left w:val="single" w:sz="8" w:space="0" w:color="auto"/>
              <w:bottom w:val="single" w:sz="18" w:space="0" w:color="auto"/>
              <w:right w:val="single" w:sz="18" w:space="0" w:color="auto"/>
            </w:tcBorders>
            <w:shd w:val="clear" w:color="auto" w:fill="C2D69B" w:themeFill="accent3" w:themeFillTint="99"/>
            <w:hideMark/>
          </w:tcPr>
          <w:p w:rsidR="00BB5DD7" w:rsidRPr="0043547B" w:rsidRDefault="00BB5DD7" w:rsidP="00006924">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3-5</w:t>
            </w:r>
          </w:p>
        </w:tc>
      </w:tr>
      <w:tr w:rsidR="0043547B" w:rsidRPr="0043547B" w:rsidTr="009023A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312"/>
        </w:trPr>
        <w:tc>
          <w:tcPr>
            <w:tcW w:w="1856" w:type="dxa"/>
            <w:tcBorders>
              <w:top w:val="single" w:sz="18" w:space="0" w:color="auto"/>
              <w:left w:val="single" w:sz="18" w:space="0" w:color="auto"/>
              <w:bottom w:val="single" w:sz="4" w:space="0" w:color="auto"/>
              <w:right w:val="single" w:sz="8" w:space="0" w:color="auto"/>
            </w:tcBorders>
            <w:shd w:val="clear" w:color="auto" w:fill="FDFBA9"/>
            <w:vAlign w:val="center"/>
            <w:hideMark/>
          </w:tcPr>
          <w:p w:rsidR="00BB5DD7" w:rsidRPr="0043547B" w:rsidRDefault="00BB5DD7" w:rsidP="00006924">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Equivalence :</w:t>
            </w:r>
          </w:p>
        </w:tc>
        <w:tc>
          <w:tcPr>
            <w:tcW w:w="7938" w:type="dxa"/>
            <w:tcBorders>
              <w:top w:val="single" w:sz="18" w:space="0" w:color="auto"/>
              <w:left w:val="single" w:sz="8" w:space="0" w:color="auto"/>
              <w:bottom w:val="single" w:sz="4" w:space="0" w:color="auto"/>
              <w:right w:val="single" w:sz="18" w:space="0" w:color="auto"/>
            </w:tcBorders>
            <w:shd w:val="clear" w:color="auto" w:fill="FDFBA9"/>
            <w:vAlign w:val="center"/>
            <w:hideMark/>
          </w:tcPr>
          <w:p w:rsidR="00BB5DD7" w:rsidRPr="0043547B" w:rsidRDefault="00BB5DD7" w:rsidP="00006924">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3-5</w:t>
            </w:r>
          </w:p>
        </w:tc>
      </w:tr>
      <w:tr w:rsidR="0043547B" w:rsidRPr="0043547B" w:rsidTr="00F226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312"/>
        </w:trPr>
        <w:tc>
          <w:tcPr>
            <w:tcW w:w="1856" w:type="dxa"/>
            <w:tcBorders>
              <w:top w:val="single" w:sz="4" w:space="0" w:color="auto"/>
              <w:left w:val="single" w:sz="18" w:space="0" w:color="auto"/>
              <w:bottom w:val="single" w:sz="4" w:space="0" w:color="auto"/>
              <w:right w:val="single" w:sz="8" w:space="0" w:color="auto"/>
            </w:tcBorders>
            <w:shd w:val="clear" w:color="auto" w:fill="95B3D7" w:themeFill="accent1" w:themeFillTint="99"/>
            <w:vAlign w:val="center"/>
            <w:hideMark/>
          </w:tcPr>
          <w:p w:rsidR="00BB5DD7" w:rsidRPr="0043547B" w:rsidRDefault="00BB5DD7" w:rsidP="00006924">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Intitulé :</w:t>
            </w:r>
          </w:p>
        </w:tc>
        <w:tc>
          <w:tcPr>
            <w:tcW w:w="7938" w:type="dxa"/>
            <w:tcBorders>
              <w:top w:val="single" w:sz="4" w:space="0" w:color="auto"/>
              <w:left w:val="single" w:sz="8" w:space="0" w:color="auto"/>
              <w:bottom w:val="single" w:sz="4" w:space="0" w:color="auto"/>
              <w:right w:val="single" w:sz="18" w:space="0" w:color="auto"/>
            </w:tcBorders>
            <w:shd w:val="clear" w:color="auto" w:fill="auto"/>
            <w:hideMark/>
          </w:tcPr>
          <w:p w:rsidR="00BB5DD7" w:rsidRPr="0043547B" w:rsidRDefault="00BB5DD7" w:rsidP="00BB5DD7">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Extincteurs d'incendie portatifs - Partie 5 : Spécifications et essais complémentaires</w:t>
            </w:r>
          </w:p>
        </w:tc>
      </w:tr>
      <w:tr w:rsidR="0043547B" w:rsidRPr="0043547B" w:rsidTr="004130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985"/>
        </w:trPr>
        <w:tc>
          <w:tcPr>
            <w:tcW w:w="1856" w:type="dxa"/>
            <w:tcBorders>
              <w:top w:val="single" w:sz="4" w:space="0" w:color="auto"/>
              <w:left w:val="single" w:sz="18" w:space="0" w:color="auto"/>
              <w:bottom w:val="single" w:sz="12" w:space="0" w:color="auto"/>
              <w:right w:val="single" w:sz="8" w:space="0" w:color="auto"/>
            </w:tcBorders>
            <w:shd w:val="clear" w:color="auto" w:fill="D9D9D9" w:themeFill="background1" w:themeFillShade="D9"/>
            <w:vAlign w:val="center"/>
            <w:hideMark/>
          </w:tcPr>
          <w:p w:rsidR="00BB5DD7" w:rsidRPr="0043547B" w:rsidRDefault="00BB5DD7" w:rsidP="009442B8">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Domaine d’application :</w:t>
            </w:r>
          </w:p>
        </w:tc>
        <w:tc>
          <w:tcPr>
            <w:tcW w:w="7938" w:type="dxa"/>
            <w:tcBorders>
              <w:top w:val="single" w:sz="4" w:space="0" w:color="auto"/>
              <w:left w:val="single" w:sz="8" w:space="0" w:color="auto"/>
              <w:bottom w:val="single" w:sz="12" w:space="0" w:color="auto"/>
              <w:right w:val="single" w:sz="18" w:space="0" w:color="auto"/>
            </w:tcBorders>
            <w:shd w:val="clear" w:color="auto" w:fill="auto"/>
            <w:hideMark/>
          </w:tcPr>
          <w:p w:rsidR="009023A9" w:rsidRDefault="00BB5DD7" w:rsidP="00BB5DD7">
            <w:pPr>
              <w:spacing w:after="0" w:line="240" w:lineRule="auto"/>
              <w:rPr>
                <w:rFonts w:eastAsia="Times New Roman" w:cstheme="minorHAnsi"/>
                <w:sz w:val="24"/>
                <w:szCs w:val="24"/>
                <w:lang w:eastAsia="fr-FR"/>
              </w:rPr>
            </w:pPr>
            <w:r w:rsidRPr="0043547B">
              <w:rPr>
                <w:rFonts w:eastAsia="Times New Roman" w:cstheme="minorHAnsi"/>
                <w:sz w:val="24"/>
                <w:szCs w:val="24"/>
                <w:lang w:eastAsia="fr-FR"/>
              </w:rPr>
              <w:t>La présente norme prescrit les caractéristiques :</w:t>
            </w:r>
            <w:r w:rsidRPr="0043547B">
              <w:rPr>
                <w:rFonts w:eastAsia="Times New Roman" w:cstheme="minorHAnsi"/>
                <w:sz w:val="24"/>
                <w:szCs w:val="24"/>
                <w:lang w:eastAsia="fr-FR"/>
              </w:rPr>
              <w:br/>
              <w:t>- des températures d'utilisation ;</w:t>
            </w:r>
            <w:r w:rsidRPr="0043547B">
              <w:rPr>
                <w:rFonts w:eastAsia="Times New Roman" w:cstheme="minorHAnsi"/>
                <w:sz w:val="24"/>
                <w:szCs w:val="24"/>
                <w:lang w:eastAsia="fr-FR"/>
              </w:rPr>
              <w:br/>
              <w:t>- des spécifications relatives aux organes constitutifs ;</w:t>
            </w:r>
            <w:r w:rsidRPr="0043547B">
              <w:rPr>
                <w:rFonts w:eastAsia="Times New Roman" w:cstheme="minorHAnsi"/>
                <w:sz w:val="24"/>
                <w:szCs w:val="24"/>
                <w:lang w:eastAsia="fr-FR"/>
              </w:rPr>
              <w:br/>
              <w:t>- de la résistance à la corrosion ;</w:t>
            </w:r>
            <w:r w:rsidRPr="0043547B">
              <w:rPr>
                <w:rFonts w:eastAsia="Times New Roman" w:cstheme="minorHAnsi"/>
                <w:sz w:val="24"/>
                <w:szCs w:val="24"/>
                <w:lang w:eastAsia="fr-FR"/>
              </w:rPr>
              <w:br/>
              <w:t>- des supports d'extincteurs;</w:t>
            </w:r>
            <w:r w:rsidRPr="0043547B">
              <w:rPr>
                <w:rFonts w:eastAsia="Times New Roman" w:cstheme="minorHAnsi"/>
                <w:sz w:val="24"/>
                <w:szCs w:val="24"/>
                <w:lang w:eastAsia="fr-FR"/>
              </w:rPr>
              <w:br/>
              <w:t>- de l'identification de l'extincteur;</w:t>
            </w:r>
            <w:r w:rsidRPr="0043547B">
              <w:rPr>
                <w:rFonts w:eastAsia="Times New Roman" w:cstheme="minorHAnsi"/>
                <w:sz w:val="24"/>
                <w:szCs w:val="24"/>
                <w:lang w:eastAsia="fr-FR"/>
              </w:rPr>
              <w:br/>
              <w:t>- de l'entretien périodique.</w:t>
            </w:r>
          </w:p>
          <w:p w:rsidR="004130CC" w:rsidRDefault="004130CC" w:rsidP="004130CC">
            <w:pPr>
              <w:spacing w:after="0" w:line="240" w:lineRule="auto"/>
              <w:jc w:val="both"/>
              <w:rPr>
                <w:rFonts w:eastAsia="Times New Roman" w:cstheme="minorHAnsi"/>
                <w:i/>
                <w:iCs/>
                <w:lang w:eastAsia="fr-FR"/>
              </w:rPr>
            </w:pPr>
            <w:r w:rsidRPr="009023A9">
              <w:rPr>
                <w:rFonts w:eastAsia="Times New Roman" w:cstheme="minorHAnsi"/>
                <w:b/>
                <w:bCs/>
                <w:i/>
                <w:iCs/>
                <w:lang w:eastAsia="fr-FR"/>
              </w:rPr>
              <w:t>NOTE 1</w:t>
            </w:r>
            <w:r w:rsidRPr="009023A9">
              <w:rPr>
                <w:rFonts w:eastAsia="Times New Roman" w:cstheme="minorHAnsi"/>
                <w:i/>
                <w:iCs/>
                <w:lang w:eastAsia="fr-FR"/>
              </w:rPr>
              <w:t xml:space="preserve"> : Une référence à l'efficacité surfeux de gaz est laissée à la discrétion du fabricant et ne peut s'appliquer que pour les extincteurs à poudre seulement.</w:t>
            </w:r>
          </w:p>
          <w:p w:rsidR="004130CC" w:rsidRDefault="004130CC" w:rsidP="004130CC">
            <w:pPr>
              <w:spacing w:after="0" w:line="240" w:lineRule="auto"/>
              <w:jc w:val="both"/>
              <w:rPr>
                <w:rFonts w:eastAsia="Times New Roman" w:cstheme="minorHAnsi"/>
                <w:i/>
                <w:iCs/>
                <w:lang w:eastAsia="fr-FR"/>
              </w:rPr>
            </w:pPr>
            <w:r w:rsidRPr="009023A9">
              <w:rPr>
                <w:rFonts w:eastAsia="Times New Roman" w:cstheme="minorHAnsi"/>
                <w:b/>
                <w:bCs/>
                <w:i/>
                <w:iCs/>
                <w:lang w:eastAsia="fr-FR"/>
              </w:rPr>
              <w:t>NOTE 2</w:t>
            </w:r>
            <w:r w:rsidRPr="009023A9">
              <w:rPr>
                <w:rFonts w:eastAsia="Times New Roman" w:cstheme="minorHAnsi"/>
                <w:i/>
                <w:iCs/>
                <w:lang w:eastAsia="fr-FR"/>
              </w:rPr>
              <w:t xml:space="preserve"> : L'extinction des feux de métaux revêt un caractère tellement spécifique (en fonction du métal lui-même, de la taille et la configuration du foyer, etc.) qu'il n'est pas possible de définir un foyer-type normalisé représentatif.</w:t>
            </w:r>
          </w:p>
          <w:p w:rsidR="00BB5DD7" w:rsidRPr="0043547B" w:rsidRDefault="004130CC" w:rsidP="004130CC">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lastRenderedPageBreak/>
              <w:t>L'efficacité sur foyer D doit faire l'objet d'une étude particulière, cas par cas, et n'est pas couverte par la présente norme européenne; elle peut toutefois faire l'objet de spécifications nationales.</w:t>
            </w:r>
          </w:p>
        </w:tc>
      </w:tr>
      <w:tr w:rsidR="0043547B" w:rsidRPr="0043547B" w:rsidTr="009023A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312"/>
        </w:trPr>
        <w:tc>
          <w:tcPr>
            <w:tcW w:w="1856" w:type="dxa"/>
            <w:tcBorders>
              <w:top w:val="single" w:sz="12" w:space="0" w:color="auto"/>
              <w:left w:val="single" w:sz="18" w:space="0" w:color="auto"/>
              <w:bottom w:val="single" w:sz="12" w:space="0" w:color="auto"/>
              <w:right w:val="single" w:sz="8" w:space="0" w:color="auto"/>
            </w:tcBorders>
            <w:shd w:val="clear" w:color="auto" w:fill="C2D69B" w:themeFill="accent3" w:themeFillTint="99"/>
            <w:vAlign w:val="center"/>
            <w:hideMark/>
          </w:tcPr>
          <w:p w:rsidR="00BB5DD7" w:rsidRPr="0043547B" w:rsidRDefault="00BB5DD7" w:rsidP="009023A9">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lastRenderedPageBreak/>
              <w:t>Code :</w:t>
            </w:r>
          </w:p>
        </w:tc>
        <w:tc>
          <w:tcPr>
            <w:tcW w:w="7938" w:type="dxa"/>
            <w:tcBorders>
              <w:top w:val="single" w:sz="12" w:space="0" w:color="auto"/>
              <w:left w:val="single" w:sz="8" w:space="0" w:color="auto"/>
              <w:bottom w:val="single" w:sz="12" w:space="0" w:color="auto"/>
              <w:right w:val="single" w:sz="18" w:space="0" w:color="auto"/>
            </w:tcBorders>
            <w:shd w:val="clear" w:color="auto" w:fill="C2D69B" w:themeFill="accent3" w:themeFillTint="99"/>
            <w:hideMark/>
          </w:tcPr>
          <w:p w:rsidR="00BB5DD7" w:rsidRPr="0043547B" w:rsidRDefault="00BB5DD7" w:rsidP="00006924">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3-8</w:t>
            </w:r>
          </w:p>
        </w:tc>
      </w:tr>
      <w:tr w:rsidR="0043547B" w:rsidRPr="0043547B" w:rsidTr="009023A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312"/>
        </w:trPr>
        <w:tc>
          <w:tcPr>
            <w:tcW w:w="1856" w:type="dxa"/>
            <w:tcBorders>
              <w:top w:val="single" w:sz="12" w:space="0" w:color="auto"/>
              <w:left w:val="single" w:sz="18" w:space="0" w:color="auto"/>
              <w:bottom w:val="single" w:sz="4" w:space="0" w:color="auto"/>
              <w:right w:val="single" w:sz="8" w:space="0" w:color="auto"/>
            </w:tcBorders>
            <w:shd w:val="clear" w:color="auto" w:fill="FDFBA9"/>
            <w:vAlign w:val="center"/>
            <w:hideMark/>
          </w:tcPr>
          <w:p w:rsidR="00BB5DD7" w:rsidRPr="0043547B" w:rsidRDefault="00BB5DD7" w:rsidP="00006924">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Equivalence :</w:t>
            </w:r>
          </w:p>
        </w:tc>
        <w:tc>
          <w:tcPr>
            <w:tcW w:w="7938" w:type="dxa"/>
            <w:tcBorders>
              <w:top w:val="single" w:sz="12" w:space="0" w:color="auto"/>
              <w:left w:val="single" w:sz="8" w:space="0" w:color="auto"/>
              <w:bottom w:val="single" w:sz="4" w:space="0" w:color="auto"/>
              <w:right w:val="single" w:sz="18" w:space="0" w:color="auto"/>
            </w:tcBorders>
            <w:shd w:val="clear" w:color="auto" w:fill="FDFBA9"/>
            <w:vAlign w:val="center"/>
            <w:hideMark/>
          </w:tcPr>
          <w:p w:rsidR="00BB5DD7" w:rsidRPr="0043547B" w:rsidRDefault="00BB5DD7" w:rsidP="00006924">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3-8</w:t>
            </w:r>
          </w:p>
        </w:tc>
      </w:tr>
      <w:tr w:rsidR="0043547B" w:rsidRPr="0043547B" w:rsidTr="00F226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945"/>
        </w:trPr>
        <w:tc>
          <w:tcPr>
            <w:tcW w:w="1856" w:type="dxa"/>
            <w:tcBorders>
              <w:top w:val="single" w:sz="4" w:space="0" w:color="auto"/>
              <w:left w:val="single" w:sz="18" w:space="0" w:color="auto"/>
              <w:bottom w:val="single" w:sz="4" w:space="0" w:color="auto"/>
              <w:right w:val="single" w:sz="8" w:space="0" w:color="auto"/>
            </w:tcBorders>
            <w:shd w:val="clear" w:color="auto" w:fill="95B3D7" w:themeFill="accent1" w:themeFillTint="99"/>
            <w:vAlign w:val="center"/>
            <w:hideMark/>
          </w:tcPr>
          <w:p w:rsidR="00BB5DD7" w:rsidRPr="0043547B" w:rsidRDefault="00BB5DD7" w:rsidP="00006924">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Intitulé :</w:t>
            </w:r>
          </w:p>
        </w:tc>
        <w:tc>
          <w:tcPr>
            <w:tcW w:w="7938" w:type="dxa"/>
            <w:tcBorders>
              <w:top w:val="single" w:sz="4" w:space="0" w:color="auto"/>
              <w:left w:val="single" w:sz="8" w:space="0" w:color="auto"/>
              <w:bottom w:val="single" w:sz="4" w:space="0" w:color="auto"/>
              <w:right w:val="single" w:sz="18" w:space="0" w:color="auto"/>
            </w:tcBorders>
            <w:shd w:val="clear" w:color="auto" w:fill="auto"/>
            <w:hideMark/>
          </w:tcPr>
          <w:p w:rsidR="00BB5DD7" w:rsidRPr="0043547B" w:rsidRDefault="00BB5DD7" w:rsidP="00BB5DD7">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Extincteurs d'incendie portatifs - Partie 8 : Exigences additionnelles à l'EN 3-7 pour la construction, la résistance à la pression et les essais mécaniques pour extincteurs dont la pression maximale admissible est inférieure ou égale à 30 bar </w:t>
            </w:r>
          </w:p>
        </w:tc>
      </w:tr>
      <w:tr w:rsidR="0043547B" w:rsidRPr="0043547B" w:rsidTr="006131A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843"/>
        </w:trPr>
        <w:tc>
          <w:tcPr>
            <w:tcW w:w="1856" w:type="dxa"/>
            <w:tcBorders>
              <w:top w:val="single" w:sz="4" w:space="0" w:color="auto"/>
              <w:left w:val="single" w:sz="18" w:space="0" w:color="auto"/>
              <w:bottom w:val="single" w:sz="18" w:space="0" w:color="auto"/>
              <w:right w:val="single" w:sz="8" w:space="0" w:color="auto"/>
            </w:tcBorders>
            <w:shd w:val="clear" w:color="auto" w:fill="D9D9D9" w:themeFill="background1" w:themeFillShade="D9"/>
            <w:vAlign w:val="center"/>
            <w:hideMark/>
          </w:tcPr>
          <w:p w:rsidR="00BB5DD7" w:rsidRPr="0043547B" w:rsidRDefault="00BB5DD7" w:rsidP="009442B8">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Domaine d’application :</w:t>
            </w:r>
          </w:p>
        </w:tc>
        <w:tc>
          <w:tcPr>
            <w:tcW w:w="7938" w:type="dxa"/>
            <w:tcBorders>
              <w:top w:val="single" w:sz="4" w:space="0" w:color="auto"/>
              <w:left w:val="single" w:sz="8" w:space="0" w:color="auto"/>
              <w:bottom w:val="single" w:sz="18" w:space="0" w:color="auto"/>
              <w:right w:val="single" w:sz="18" w:space="0" w:color="auto"/>
            </w:tcBorders>
            <w:shd w:val="clear" w:color="auto" w:fill="auto"/>
            <w:vAlign w:val="bottom"/>
            <w:hideMark/>
          </w:tcPr>
          <w:p w:rsidR="009023A9" w:rsidRDefault="00BB5DD7" w:rsidP="009023A9">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européenne définit les règles de conception, d'essai de type, de fabrication et d’inspection des extincteurs d’incendie portatifs dont le corps est en métal, en ce qui concerne les risques liés à la pression.</w:t>
            </w:r>
          </w:p>
          <w:p w:rsidR="009023A9" w:rsidRDefault="00BB5DD7" w:rsidP="009023A9">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partie s'applique aux extincteurs d’incendie portatifs dont la pression maximale admissible PS est inférieure ou égale à 30 bar et renfermant des fluides inexplosibles, ininflammables, non toxiques et non oxydants.</w:t>
            </w:r>
          </w:p>
          <w:p w:rsidR="00BB5DD7" w:rsidRPr="0043547B" w:rsidRDefault="00BB5DD7" w:rsidP="009023A9">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européenne s'applique également aux cartouches de gaz métalliques dont le volume est inférieur à 0,12 l (voir l’Annexe E) et donne des lignes directrices relatives aux règles de l’art applicables aux cartouches de gaz métalliques de volume supérieur ou égal à 0,12 l et inférieur à 0,5 l, voir l’AnnexeF.</w:t>
            </w:r>
            <w:r w:rsidRPr="0043547B">
              <w:rPr>
                <w:rFonts w:eastAsia="Times New Roman" w:cstheme="minorHAnsi"/>
                <w:sz w:val="24"/>
                <w:szCs w:val="24"/>
                <w:lang w:eastAsia="fr-FR"/>
              </w:rPr>
              <w:br/>
              <w:t>La présente Norme européenne ne s'applique pas aux extincteurs à dioxyde de carbone.</w:t>
            </w:r>
            <w:r w:rsidRPr="0043547B">
              <w:rPr>
                <w:rFonts w:eastAsia="Times New Roman" w:cstheme="minorHAnsi"/>
                <w:sz w:val="24"/>
                <w:szCs w:val="24"/>
                <w:lang w:eastAsia="fr-FR"/>
              </w:rPr>
              <w:br/>
            </w:r>
            <w:r w:rsidRPr="009023A9">
              <w:rPr>
                <w:rFonts w:eastAsia="Times New Roman" w:cstheme="minorHAnsi"/>
                <w:b/>
                <w:bCs/>
                <w:i/>
                <w:iCs/>
                <w:lang w:eastAsia="fr-FR"/>
              </w:rPr>
              <w:t>NOTE</w:t>
            </w:r>
            <w:r w:rsidRPr="009023A9">
              <w:rPr>
                <w:rFonts w:eastAsia="Times New Roman" w:cstheme="minorHAnsi"/>
                <w:i/>
                <w:iCs/>
                <w:lang w:eastAsia="fr-FR"/>
              </w:rPr>
              <w:t xml:space="preserve"> </w:t>
            </w:r>
            <w:r w:rsidR="00006924" w:rsidRPr="009023A9">
              <w:rPr>
                <w:rFonts w:eastAsia="Times New Roman" w:cstheme="minorHAnsi"/>
                <w:i/>
                <w:iCs/>
                <w:lang w:eastAsia="fr-FR"/>
              </w:rPr>
              <w:t xml:space="preserve">- </w:t>
            </w:r>
            <w:r w:rsidRPr="009023A9">
              <w:rPr>
                <w:rFonts w:eastAsia="Times New Roman" w:cstheme="minorHAnsi"/>
                <w:i/>
                <w:iCs/>
                <w:lang w:eastAsia="fr-FR"/>
              </w:rPr>
              <w:t>L'Annexe A donne la classification des différentes parties constitutives d'un extincteur d’incendie portatif.</w:t>
            </w:r>
          </w:p>
        </w:tc>
      </w:tr>
      <w:tr w:rsidR="0043547B" w:rsidRPr="0043547B" w:rsidTr="009023A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312"/>
        </w:trPr>
        <w:tc>
          <w:tcPr>
            <w:tcW w:w="1856" w:type="dxa"/>
            <w:tcBorders>
              <w:top w:val="single" w:sz="18" w:space="0" w:color="auto"/>
              <w:left w:val="single" w:sz="18" w:space="0" w:color="auto"/>
              <w:bottom w:val="single" w:sz="18" w:space="0" w:color="auto"/>
              <w:right w:val="single" w:sz="8" w:space="0" w:color="auto"/>
            </w:tcBorders>
            <w:shd w:val="clear" w:color="auto" w:fill="C2D69B" w:themeFill="accent3" w:themeFillTint="99"/>
            <w:vAlign w:val="center"/>
            <w:hideMark/>
          </w:tcPr>
          <w:p w:rsidR="00BB5DD7" w:rsidRPr="0043547B" w:rsidRDefault="00BB5DD7" w:rsidP="009023A9">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Code :</w:t>
            </w:r>
          </w:p>
        </w:tc>
        <w:tc>
          <w:tcPr>
            <w:tcW w:w="7938" w:type="dxa"/>
            <w:tcBorders>
              <w:top w:val="single" w:sz="18" w:space="0" w:color="auto"/>
              <w:left w:val="single" w:sz="8" w:space="0" w:color="auto"/>
              <w:bottom w:val="single" w:sz="18" w:space="0" w:color="auto"/>
              <w:right w:val="single" w:sz="18" w:space="0" w:color="auto"/>
            </w:tcBorders>
            <w:shd w:val="clear" w:color="auto" w:fill="C2D69B" w:themeFill="accent3" w:themeFillTint="99"/>
            <w:hideMark/>
          </w:tcPr>
          <w:p w:rsidR="00BB5DD7" w:rsidRPr="0043547B" w:rsidRDefault="00BB5DD7" w:rsidP="00006924">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3-9</w:t>
            </w:r>
          </w:p>
        </w:tc>
      </w:tr>
      <w:tr w:rsidR="0043547B" w:rsidRPr="0043547B" w:rsidTr="009023A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312"/>
        </w:trPr>
        <w:tc>
          <w:tcPr>
            <w:tcW w:w="1856" w:type="dxa"/>
            <w:tcBorders>
              <w:top w:val="single" w:sz="18" w:space="0" w:color="auto"/>
              <w:left w:val="single" w:sz="18" w:space="0" w:color="auto"/>
              <w:bottom w:val="single" w:sz="4" w:space="0" w:color="auto"/>
              <w:right w:val="single" w:sz="8" w:space="0" w:color="auto"/>
            </w:tcBorders>
            <w:shd w:val="clear" w:color="auto" w:fill="FDFBA9"/>
            <w:vAlign w:val="center"/>
            <w:hideMark/>
          </w:tcPr>
          <w:p w:rsidR="00BB5DD7" w:rsidRPr="0043547B" w:rsidRDefault="00BB5DD7" w:rsidP="00006924">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Equivalence :</w:t>
            </w:r>
          </w:p>
        </w:tc>
        <w:tc>
          <w:tcPr>
            <w:tcW w:w="7938" w:type="dxa"/>
            <w:tcBorders>
              <w:top w:val="single" w:sz="18" w:space="0" w:color="auto"/>
              <w:left w:val="single" w:sz="8" w:space="0" w:color="auto"/>
              <w:bottom w:val="single" w:sz="4" w:space="0" w:color="auto"/>
              <w:right w:val="single" w:sz="18" w:space="0" w:color="auto"/>
            </w:tcBorders>
            <w:shd w:val="clear" w:color="auto" w:fill="FDFBA9"/>
            <w:vAlign w:val="center"/>
            <w:hideMark/>
          </w:tcPr>
          <w:p w:rsidR="00BB5DD7" w:rsidRPr="0043547B" w:rsidRDefault="00BB5DD7" w:rsidP="00006924">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3-9</w:t>
            </w:r>
          </w:p>
        </w:tc>
      </w:tr>
      <w:tr w:rsidR="0043547B" w:rsidRPr="0043547B" w:rsidTr="00F226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576"/>
        </w:trPr>
        <w:tc>
          <w:tcPr>
            <w:tcW w:w="1856" w:type="dxa"/>
            <w:tcBorders>
              <w:top w:val="single" w:sz="4" w:space="0" w:color="auto"/>
              <w:left w:val="single" w:sz="18" w:space="0" w:color="auto"/>
              <w:bottom w:val="single" w:sz="4" w:space="0" w:color="auto"/>
              <w:right w:val="single" w:sz="8" w:space="0" w:color="auto"/>
            </w:tcBorders>
            <w:shd w:val="clear" w:color="auto" w:fill="8DB3E2" w:themeFill="text2" w:themeFillTint="66"/>
            <w:vAlign w:val="center"/>
            <w:hideMark/>
          </w:tcPr>
          <w:p w:rsidR="00BB5DD7" w:rsidRPr="0043547B" w:rsidRDefault="00BB5DD7" w:rsidP="00006924">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Intitulé :</w:t>
            </w:r>
          </w:p>
        </w:tc>
        <w:tc>
          <w:tcPr>
            <w:tcW w:w="7938" w:type="dxa"/>
            <w:tcBorders>
              <w:top w:val="single" w:sz="4" w:space="0" w:color="auto"/>
              <w:left w:val="single" w:sz="8" w:space="0" w:color="auto"/>
              <w:bottom w:val="single" w:sz="4" w:space="0" w:color="auto"/>
              <w:right w:val="single" w:sz="18" w:space="0" w:color="auto"/>
            </w:tcBorders>
            <w:shd w:val="clear" w:color="auto" w:fill="auto"/>
            <w:hideMark/>
          </w:tcPr>
          <w:p w:rsidR="00BB5DD7" w:rsidRPr="0043547B" w:rsidRDefault="00BB5DD7" w:rsidP="00BB5DD7">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Extincteurs d'incendie portatifs - Partie 9 : Exigences additionnelles à l'EN 3-7 relatives à la résistance à la pression des extincteurs au dioxyde de carbone</w:t>
            </w:r>
          </w:p>
        </w:tc>
      </w:tr>
      <w:tr w:rsidR="0043547B" w:rsidRPr="0043547B" w:rsidTr="00691CF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1440"/>
        </w:trPr>
        <w:tc>
          <w:tcPr>
            <w:tcW w:w="1856" w:type="dxa"/>
            <w:tcBorders>
              <w:top w:val="single" w:sz="4" w:space="0" w:color="auto"/>
              <w:left w:val="single" w:sz="18" w:space="0" w:color="auto"/>
              <w:bottom w:val="single" w:sz="18" w:space="0" w:color="auto"/>
              <w:right w:val="single" w:sz="8" w:space="0" w:color="auto"/>
            </w:tcBorders>
            <w:shd w:val="clear" w:color="auto" w:fill="D9D9D9" w:themeFill="background1" w:themeFillShade="D9"/>
            <w:vAlign w:val="center"/>
            <w:hideMark/>
          </w:tcPr>
          <w:p w:rsidR="00BB5DD7" w:rsidRPr="0043547B" w:rsidRDefault="00BB5DD7" w:rsidP="00006924">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Domaine d’application :</w:t>
            </w:r>
          </w:p>
        </w:tc>
        <w:tc>
          <w:tcPr>
            <w:tcW w:w="7938" w:type="dxa"/>
            <w:tcBorders>
              <w:top w:val="single" w:sz="4" w:space="0" w:color="auto"/>
              <w:left w:val="single" w:sz="8" w:space="0" w:color="auto"/>
              <w:bottom w:val="single" w:sz="18" w:space="0" w:color="auto"/>
              <w:right w:val="single" w:sz="18" w:space="0" w:color="auto"/>
            </w:tcBorders>
            <w:shd w:val="clear" w:color="auto" w:fill="auto"/>
            <w:vAlign w:val="bottom"/>
            <w:hideMark/>
          </w:tcPr>
          <w:p w:rsidR="009023A9" w:rsidRDefault="00BB5DD7" w:rsidP="009023A9">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européenne spécifie les règles de conception, de fabrication, d’inspection et d’essai des extincteurs d’incendie portatifs au CO2 en ce qui concerne les risques liés à la pression.</w:t>
            </w:r>
          </w:p>
          <w:p w:rsidR="00BB5DD7" w:rsidRPr="009023A9" w:rsidRDefault="00BB5DD7" w:rsidP="009023A9">
            <w:pPr>
              <w:spacing w:after="0" w:line="240" w:lineRule="auto"/>
              <w:jc w:val="both"/>
              <w:rPr>
                <w:rFonts w:eastAsia="Times New Roman" w:cstheme="minorHAnsi"/>
                <w:i/>
                <w:iCs/>
                <w:sz w:val="24"/>
                <w:szCs w:val="24"/>
                <w:lang w:eastAsia="fr-FR"/>
              </w:rPr>
            </w:pPr>
            <w:r w:rsidRPr="009023A9">
              <w:rPr>
                <w:rFonts w:eastAsia="Times New Roman" w:cstheme="minorHAnsi"/>
                <w:b/>
                <w:bCs/>
                <w:i/>
                <w:iCs/>
                <w:lang w:eastAsia="fr-FR"/>
              </w:rPr>
              <w:t>NOTE</w:t>
            </w:r>
            <w:r w:rsidR="009023A9" w:rsidRPr="009023A9">
              <w:rPr>
                <w:rFonts w:eastAsia="Times New Roman" w:cstheme="minorHAnsi"/>
                <w:i/>
                <w:iCs/>
                <w:lang w:eastAsia="fr-FR"/>
              </w:rPr>
              <w:t xml:space="preserve"> : </w:t>
            </w:r>
            <w:r w:rsidRPr="009023A9">
              <w:rPr>
                <w:rFonts w:eastAsia="Times New Roman" w:cstheme="minorHAnsi"/>
                <w:i/>
                <w:iCs/>
                <w:lang w:eastAsia="fr-FR"/>
              </w:rPr>
              <w:t>L'Annexe A donne la classification des différentes parties constitutives d'un extincteur d’incendie portatif.</w:t>
            </w:r>
          </w:p>
        </w:tc>
      </w:tr>
      <w:tr w:rsidR="0043547B" w:rsidRPr="0043547B" w:rsidTr="00691CF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312"/>
        </w:trPr>
        <w:tc>
          <w:tcPr>
            <w:tcW w:w="1856" w:type="dxa"/>
            <w:tcBorders>
              <w:top w:val="single" w:sz="18" w:space="0" w:color="auto"/>
              <w:left w:val="single" w:sz="18" w:space="0" w:color="auto"/>
              <w:bottom w:val="single" w:sz="18" w:space="0" w:color="auto"/>
              <w:right w:val="single" w:sz="8" w:space="0" w:color="auto"/>
            </w:tcBorders>
            <w:shd w:val="clear" w:color="auto" w:fill="C2D69B" w:themeFill="accent3" w:themeFillTint="99"/>
            <w:vAlign w:val="center"/>
            <w:hideMark/>
          </w:tcPr>
          <w:p w:rsidR="00BB5DD7" w:rsidRPr="0043547B" w:rsidRDefault="00BB5DD7" w:rsidP="00691CFD">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Code :</w:t>
            </w:r>
          </w:p>
        </w:tc>
        <w:tc>
          <w:tcPr>
            <w:tcW w:w="7938" w:type="dxa"/>
            <w:tcBorders>
              <w:top w:val="single" w:sz="18" w:space="0" w:color="auto"/>
              <w:left w:val="single" w:sz="8" w:space="0" w:color="auto"/>
              <w:bottom w:val="single" w:sz="18" w:space="0" w:color="auto"/>
              <w:right w:val="single" w:sz="18" w:space="0" w:color="auto"/>
            </w:tcBorders>
            <w:shd w:val="clear" w:color="auto" w:fill="C2D69B" w:themeFill="accent3" w:themeFillTint="99"/>
            <w:hideMark/>
          </w:tcPr>
          <w:p w:rsidR="00BB5DD7" w:rsidRPr="0043547B" w:rsidRDefault="00BB5DD7" w:rsidP="00006924">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3-10</w:t>
            </w:r>
          </w:p>
        </w:tc>
      </w:tr>
      <w:tr w:rsidR="0043547B" w:rsidRPr="0043547B" w:rsidTr="00691CF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312"/>
        </w:trPr>
        <w:tc>
          <w:tcPr>
            <w:tcW w:w="1856" w:type="dxa"/>
            <w:tcBorders>
              <w:top w:val="single" w:sz="18" w:space="0" w:color="auto"/>
              <w:left w:val="single" w:sz="18" w:space="0" w:color="auto"/>
              <w:bottom w:val="single" w:sz="4" w:space="0" w:color="auto"/>
              <w:right w:val="single" w:sz="8" w:space="0" w:color="auto"/>
            </w:tcBorders>
            <w:shd w:val="clear" w:color="auto" w:fill="FDFBA9"/>
            <w:vAlign w:val="center"/>
            <w:hideMark/>
          </w:tcPr>
          <w:p w:rsidR="00BB5DD7" w:rsidRPr="0043547B" w:rsidRDefault="00BB5DD7" w:rsidP="00006924">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Equivalence :</w:t>
            </w:r>
          </w:p>
        </w:tc>
        <w:tc>
          <w:tcPr>
            <w:tcW w:w="7938" w:type="dxa"/>
            <w:tcBorders>
              <w:top w:val="single" w:sz="18" w:space="0" w:color="auto"/>
              <w:left w:val="single" w:sz="8" w:space="0" w:color="auto"/>
              <w:bottom w:val="single" w:sz="4" w:space="0" w:color="auto"/>
              <w:right w:val="single" w:sz="18" w:space="0" w:color="auto"/>
            </w:tcBorders>
            <w:shd w:val="clear" w:color="auto" w:fill="FDFBA9"/>
            <w:vAlign w:val="center"/>
            <w:hideMark/>
          </w:tcPr>
          <w:p w:rsidR="00BB5DD7" w:rsidRPr="0043547B" w:rsidRDefault="00BB5DD7" w:rsidP="00006924">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3-10</w:t>
            </w:r>
          </w:p>
        </w:tc>
      </w:tr>
      <w:tr w:rsidR="0043547B" w:rsidRPr="0043547B" w:rsidTr="00F226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576"/>
        </w:trPr>
        <w:tc>
          <w:tcPr>
            <w:tcW w:w="1856" w:type="dxa"/>
            <w:tcBorders>
              <w:top w:val="single" w:sz="4" w:space="0" w:color="auto"/>
              <w:left w:val="single" w:sz="18" w:space="0" w:color="auto"/>
              <w:bottom w:val="single" w:sz="4" w:space="0" w:color="auto"/>
              <w:right w:val="single" w:sz="8" w:space="0" w:color="auto"/>
            </w:tcBorders>
            <w:shd w:val="clear" w:color="auto" w:fill="8DB3E2" w:themeFill="text2" w:themeFillTint="66"/>
            <w:vAlign w:val="center"/>
            <w:hideMark/>
          </w:tcPr>
          <w:p w:rsidR="00BB5DD7" w:rsidRPr="0043547B" w:rsidRDefault="00BB5DD7" w:rsidP="00006924">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Intitulé :</w:t>
            </w:r>
          </w:p>
        </w:tc>
        <w:tc>
          <w:tcPr>
            <w:tcW w:w="7938" w:type="dxa"/>
            <w:tcBorders>
              <w:top w:val="single" w:sz="4" w:space="0" w:color="auto"/>
              <w:left w:val="single" w:sz="8" w:space="0" w:color="auto"/>
              <w:bottom w:val="single" w:sz="4" w:space="0" w:color="auto"/>
              <w:right w:val="single" w:sz="18" w:space="0" w:color="auto"/>
            </w:tcBorders>
            <w:shd w:val="clear" w:color="auto" w:fill="auto"/>
            <w:hideMark/>
          </w:tcPr>
          <w:p w:rsidR="00BB5DD7" w:rsidRPr="0043547B" w:rsidRDefault="00BB5DD7" w:rsidP="00BB5DD7">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Extincteurs d'incendie portatifs - Partie 10 : Dispositions pour l'évaluation de la conformité d'un extincteur d'incendie portatif à l'EN 3-7</w:t>
            </w:r>
          </w:p>
        </w:tc>
      </w:tr>
      <w:tr w:rsidR="0043547B" w:rsidRPr="0043547B" w:rsidTr="004130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70"/>
        </w:trPr>
        <w:tc>
          <w:tcPr>
            <w:tcW w:w="1856" w:type="dxa"/>
            <w:tcBorders>
              <w:top w:val="single" w:sz="4" w:space="0" w:color="auto"/>
              <w:left w:val="single" w:sz="18" w:space="0" w:color="auto"/>
              <w:bottom w:val="single" w:sz="18" w:space="0" w:color="auto"/>
              <w:right w:val="single" w:sz="8" w:space="0" w:color="auto"/>
            </w:tcBorders>
            <w:shd w:val="clear" w:color="auto" w:fill="D9D9D9" w:themeFill="background1" w:themeFillShade="D9"/>
            <w:vAlign w:val="center"/>
            <w:hideMark/>
          </w:tcPr>
          <w:p w:rsidR="00BB5DD7" w:rsidRPr="0043547B" w:rsidRDefault="00BB5DD7" w:rsidP="009442B8">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Domaine d’application :</w:t>
            </w:r>
          </w:p>
        </w:tc>
        <w:tc>
          <w:tcPr>
            <w:tcW w:w="7938" w:type="dxa"/>
            <w:tcBorders>
              <w:top w:val="single" w:sz="4" w:space="0" w:color="auto"/>
              <w:left w:val="single" w:sz="8" w:space="0" w:color="auto"/>
              <w:bottom w:val="single" w:sz="18" w:space="0" w:color="auto"/>
              <w:right w:val="single" w:sz="18" w:space="0" w:color="auto"/>
            </w:tcBorders>
            <w:shd w:val="clear" w:color="auto" w:fill="auto"/>
            <w:hideMark/>
          </w:tcPr>
          <w:p w:rsidR="004130CC" w:rsidRPr="00691CFD" w:rsidRDefault="00BB5DD7" w:rsidP="004130CC">
            <w:pPr>
              <w:spacing w:after="0" w:line="240" w:lineRule="auto"/>
              <w:jc w:val="both"/>
              <w:rPr>
                <w:rFonts w:eastAsia="Times New Roman" w:cstheme="minorHAnsi"/>
                <w:i/>
                <w:iCs/>
                <w:lang w:eastAsia="fr-FR"/>
              </w:rPr>
            </w:pPr>
            <w:r w:rsidRPr="0043547B">
              <w:rPr>
                <w:rFonts w:eastAsia="Times New Roman" w:cstheme="minorHAnsi"/>
                <w:sz w:val="24"/>
                <w:szCs w:val="24"/>
                <w:lang w:eastAsia="fr-FR"/>
              </w:rPr>
              <w:t>La présente Norme européenne spécifie les exigences minimales permettant d'attester la conformité des extincteurs d'incendie portatifs à l'EN 3-7 ainsi que les exigences relatives au contrôle de la qualité et de la production des extincteurs.</w:t>
            </w:r>
          </w:p>
          <w:p w:rsidR="004130CC" w:rsidRDefault="004130CC" w:rsidP="004130CC">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spécifie la documentation à fournir concernant :</w:t>
            </w:r>
          </w:p>
          <w:p w:rsidR="004130CC" w:rsidRPr="00691CFD" w:rsidRDefault="004130CC" w:rsidP="004130CC">
            <w:pPr>
              <w:spacing w:after="0" w:line="240" w:lineRule="auto"/>
              <w:rPr>
                <w:rFonts w:eastAsia="Times New Roman" w:cstheme="minorHAnsi"/>
                <w:i/>
                <w:iCs/>
                <w:sz w:val="4"/>
                <w:szCs w:val="4"/>
                <w:lang w:eastAsia="fr-FR"/>
              </w:rPr>
            </w:pPr>
            <w:r w:rsidRPr="0043547B">
              <w:rPr>
                <w:rFonts w:eastAsia="Times New Roman" w:cstheme="minorHAnsi"/>
                <w:sz w:val="24"/>
                <w:szCs w:val="24"/>
                <w:lang w:eastAsia="fr-FR"/>
              </w:rPr>
              <w:t>— l'identification du demandeur ;</w:t>
            </w:r>
            <w:r w:rsidRPr="0043547B">
              <w:rPr>
                <w:rFonts w:eastAsia="Times New Roman" w:cstheme="minorHAnsi"/>
                <w:sz w:val="24"/>
                <w:szCs w:val="24"/>
                <w:lang w:eastAsia="fr-FR"/>
              </w:rPr>
              <w:br/>
              <w:t>— l'identification du fabricant, s'il n'est pas le demandeur ;</w:t>
            </w:r>
            <w:r w:rsidRPr="0043547B">
              <w:rPr>
                <w:rFonts w:eastAsia="Times New Roman" w:cstheme="minorHAnsi"/>
                <w:sz w:val="24"/>
                <w:szCs w:val="24"/>
                <w:lang w:eastAsia="fr-FR"/>
              </w:rPr>
              <w:br/>
              <w:t>— l'identification du ou des sous-traitants, le cas échéant ;</w:t>
            </w:r>
            <w:r w:rsidRPr="0043547B">
              <w:rPr>
                <w:rFonts w:eastAsia="Times New Roman" w:cstheme="minorHAnsi"/>
                <w:sz w:val="24"/>
                <w:szCs w:val="24"/>
                <w:lang w:eastAsia="fr-FR"/>
              </w:rPr>
              <w:br/>
              <w:t>— l'identification de l'extincteur ;</w:t>
            </w:r>
            <w:r w:rsidRPr="0043547B">
              <w:rPr>
                <w:rFonts w:eastAsia="Times New Roman" w:cstheme="minorHAnsi"/>
                <w:sz w:val="24"/>
                <w:szCs w:val="24"/>
                <w:lang w:eastAsia="fr-FR"/>
              </w:rPr>
              <w:br/>
              <w:t>— les documents fournis avec l'extincteur ;</w:t>
            </w:r>
            <w:r w:rsidRPr="0043547B">
              <w:rPr>
                <w:rFonts w:eastAsia="Times New Roman" w:cstheme="minorHAnsi"/>
                <w:sz w:val="24"/>
                <w:szCs w:val="24"/>
                <w:lang w:eastAsia="fr-FR"/>
              </w:rPr>
              <w:br/>
              <w:t>— le marquage CE ;</w:t>
            </w:r>
            <w:r w:rsidRPr="0043547B">
              <w:rPr>
                <w:rFonts w:eastAsia="Times New Roman" w:cstheme="minorHAnsi"/>
                <w:sz w:val="24"/>
                <w:szCs w:val="24"/>
                <w:lang w:eastAsia="fr-FR"/>
              </w:rPr>
              <w:br/>
              <w:t>— le système de management de la qualité ;</w:t>
            </w:r>
            <w:r w:rsidRPr="0043547B">
              <w:rPr>
                <w:rFonts w:eastAsia="Times New Roman" w:cstheme="minorHAnsi"/>
                <w:sz w:val="24"/>
                <w:szCs w:val="24"/>
                <w:lang w:eastAsia="fr-FR"/>
              </w:rPr>
              <w:br/>
            </w:r>
            <w:r w:rsidRPr="0043547B">
              <w:rPr>
                <w:rFonts w:eastAsia="Times New Roman" w:cstheme="minorHAnsi"/>
                <w:sz w:val="24"/>
                <w:szCs w:val="24"/>
                <w:lang w:eastAsia="fr-FR"/>
              </w:rPr>
              <w:lastRenderedPageBreak/>
              <w:t>— les informations toxicologiques relatives aux agents extincteurs.</w:t>
            </w:r>
            <w:r w:rsidRPr="0043547B">
              <w:rPr>
                <w:rFonts w:eastAsia="Times New Roman" w:cstheme="minorHAnsi"/>
                <w:sz w:val="24"/>
                <w:szCs w:val="24"/>
                <w:lang w:eastAsia="fr-FR"/>
              </w:rPr>
              <w:br/>
              <w:t>Elle spécifie les méthodes relatives :</w:t>
            </w:r>
            <w:r w:rsidRPr="0043547B">
              <w:rPr>
                <w:rFonts w:eastAsia="Times New Roman" w:cstheme="minorHAnsi"/>
                <w:sz w:val="24"/>
                <w:szCs w:val="24"/>
                <w:lang w:eastAsia="fr-FR"/>
              </w:rPr>
              <w:br/>
              <w:t>— aux essais de type ;</w:t>
            </w:r>
            <w:r w:rsidRPr="0043547B">
              <w:rPr>
                <w:rFonts w:eastAsia="Times New Roman" w:cstheme="minorHAnsi"/>
                <w:sz w:val="24"/>
                <w:szCs w:val="24"/>
                <w:lang w:eastAsia="fr-FR"/>
              </w:rPr>
              <w:br/>
              <w:t>— à l'évaluation de l'usine ;</w:t>
            </w:r>
            <w:r w:rsidRPr="0043547B">
              <w:rPr>
                <w:rFonts w:eastAsia="Times New Roman" w:cstheme="minorHAnsi"/>
                <w:sz w:val="24"/>
                <w:szCs w:val="24"/>
                <w:lang w:eastAsia="fr-FR"/>
              </w:rPr>
              <w:br/>
              <w:t>— aux contrôles effectués en cours de production.</w:t>
            </w:r>
            <w:r w:rsidRPr="0043547B">
              <w:rPr>
                <w:rFonts w:eastAsia="Times New Roman" w:cstheme="minorHAnsi"/>
                <w:sz w:val="24"/>
                <w:szCs w:val="24"/>
                <w:lang w:eastAsia="fr-FR"/>
              </w:rPr>
              <w:br/>
            </w:r>
          </w:p>
          <w:p w:rsidR="004130CC" w:rsidRPr="00691CFD" w:rsidRDefault="004130CC" w:rsidP="004130CC">
            <w:pPr>
              <w:spacing w:after="0" w:line="240" w:lineRule="auto"/>
              <w:jc w:val="both"/>
              <w:rPr>
                <w:rFonts w:eastAsia="Times New Roman" w:cstheme="minorHAnsi"/>
                <w:i/>
                <w:iCs/>
                <w:lang w:eastAsia="fr-FR"/>
              </w:rPr>
            </w:pPr>
            <w:r w:rsidRPr="00691CFD">
              <w:rPr>
                <w:rFonts w:eastAsia="Times New Roman" w:cstheme="minorHAnsi"/>
                <w:b/>
                <w:bCs/>
                <w:i/>
                <w:iCs/>
                <w:lang w:eastAsia="fr-FR"/>
              </w:rPr>
              <w:t>NOTE 1</w:t>
            </w:r>
            <w:r w:rsidRPr="00691CFD">
              <w:rPr>
                <w:rFonts w:eastAsia="Times New Roman" w:cstheme="minorHAnsi"/>
                <w:i/>
                <w:iCs/>
                <w:lang w:eastAsia="fr-FR"/>
              </w:rPr>
              <w:t> : Un rapport d'essai et un rapport d'audit satisfaisant et documenté peuvent constituer la base sur laquelle le demandeur s'appuie pour demander la certification de son produit par un organisme de certification accrédité par un membre de l'EA. Des règlements nationaux et/ou des marques de qualité peuvent imposer des exigences supplémentaires.</w:t>
            </w:r>
          </w:p>
          <w:p w:rsidR="00BB5DD7" w:rsidRPr="0043547B" w:rsidRDefault="004130CC" w:rsidP="004130CC">
            <w:pPr>
              <w:spacing w:after="0" w:line="240" w:lineRule="auto"/>
              <w:jc w:val="both"/>
              <w:rPr>
                <w:rFonts w:eastAsia="Times New Roman" w:cstheme="minorHAnsi"/>
                <w:sz w:val="24"/>
                <w:szCs w:val="24"/>
                <w:lang w:eastAsia="fr-FR"/>
              </w:rPr>
            </w:pPr>
            <w:r w:rsidRPr="00691CFD">
              <w:rPr>
                <w:rFonts w:eastAsia="Times New Roman" w:cstheme="minorHAnsi"/>
                <w:b/>
                <w:bCs/>
                <w:i/>
                <w:iCs/>
                <w:lang w:eastAsia="fr-FR"/>
              </w:rPr>
              <w:t>NOTE 2</w:t>
            </w:r>
            <w:r w:rsidRPr="00691CFD">
              <w:rPr>
                <w:rFonts w:eastAsia="Times New Roman" w:cstheme="minorHAnsi"/>
                <w:i/>
                <w:iCs/>
                <w:lang w:eastAsia="fr-FR"/>
              </w:rPr>
              <w:t> : Le cas échéant, il est possible de réaliser des essais de composants par famille</w:t>
            </w:r>
            <w:r w:rsidR="00BB5DD7" w:rsidRPr="00691CFD">
              <w:rPr>
                <w:rFonts w:eastAsia="Times New Roman" w:cstheme="minorHAnsi"/>
                <w:i/>
                <w:iCs/>
                <w:lang w:eastAsia="fr-FR"/>
              </w:rPr>
              <w:t>.</w:t>
            </w:r>
          </w:p>
        </w:tc>
      </w:tr>
      <w:tr w:rsidR="0043547B" w:rsidRPr="0043547B" w:rsidTr="00691CF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312"/>
        </w:trPr>
        <w:tc>
          <w:tcPr>
            <w:tcW w:w="1856" w:type="dxa"/>
            <w:tcBorders>
              <w:top w:val="single" w:sz="18" w:space="0" w:color="auto"/>
              <w:left w:val="single" w:sz="18" w:space="0" w:color="auto"/>
              <w:bottom w:val="single" w:sz="18" w:space="0" w:color="auto"/>
              <w:right w:val="single" w:sz="8" w:space="0" w:color="auto"/>
            </w:tcBorders>
            <w:shd w:val="clear" w:color="auto" w:fill="C2D69B" w:themeFill="accent3" w:themeFillTint="99"/>
            <w:vAlign w:val="center"/>
            <w:hideMark/>
          </w:tcPr>
          <w:p w:rsidR="00BB5DD7" w:rsidRPr="0043547B" w:rsidRDefault="00BB5DD7" w:rsidP="00691CFD">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lastRenderedPageBreak/>
              <w:t>Code :</w:t>
            </w:r>
          </w:p>
        </w:tc>
        <w:tc>
          <w:tcPr>
            <w:tcW w:w="7938" w:type="dxa"/>
            <w:tcBorders>
              <w:top w:val="single" w:sz="18" w:space="0" w:color="auto"/>
              <w:left w:val="single" w:sz="8" w:space="0" w:color="auto"/>
              <w:bottom w:val="single" w:sz="18" w:space="0" w:color="auto"/>
              <w:right w:val="single" w:sz="18" w:space="0" w:color="auto"/>
            </w:tcBorders>
            <w:shd w:val="clear" w:color="auto" w:fill="C2D69B" w:themeFill="accent3" w:themeFillTint="99"/>
            <w:hideMark/>
          </w:tcPr>
          <w:p w:rsidR="00BB5DD7" w:rsidRPr="0043547B" w:rsidRDefault="00BB5DD7" w:rsidP="00006924">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21.9.501</w:t>
            </w:r>
          </w:p>
        </w:tc>
      </w:tr>
      <w:tr w:rsidR="0043547B" w:rsidRPr="0043547B" w:rsidTr="00691CF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576"/>
        </w:trPr>
        <w:tc>
          <w:tcPr>
            <w:tcW w:w="1856" w:type="dxa"/>
            <w:tcBorders>
              <w:top w:val="single" w:sz="18" w:space="0" w:color="auto"/>
              <w:left w:val="single" w:sz="18" w:space="0" w:color="auto"/>
              <w:bottom w:val="single" w:sz="4" w:space="0" w:color="auto"/>
              <w:right w:val="single" w:sz="8" w:space="0" w:color="auto"/>
            </w:tcBorders>
            <w:shd w:val="clear" w:color="auto" w:fill="8DB3E2" w:themeFill="text2" w:themeFillTint="66"/>
            <w:vAlign w:val="center"/>
            <w:hideMark/>
          </w:tcPr>
          <w:p w:rsidR="00BB5DD7" w:rsidRPr="0043547B" w:rsidRDefault="00BB5DD7" w:rsidP="00006924">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Intitulé :</w:t>
            </w:r>
          </w:p>
        </w:tc>
        <w:tc>
          <w:tcPr>
            <w:tcW w:w="7938" w:type="dxa"/>
            <w:tcBorders>
              <w:top w:val="single" w:sz="18" w:space="0" w:color="auto"/>
              <w:left w:val="single" w:sz="8" w:space="0" w:color="auto"/>
              <w:bottom w:val="single" w:sz="4" w:space="0" w:color="auto"/>
              <w:right w:val="single" w:sz="18" w:space="0" w:color="auto"/>
            </w:tcBorders>
            <w:shd w:val="clear" w:color="auto" w:fill="auto"/>
            <w:hideMark/>
          </w:tcPr>
          <w:p w:rsidR="00BB5DD7" w:rsidRPr="0043547B" w:rsidRDefault="00BB5DD7" w:rsidP="00BB5DD7">
            <w:pPr>
              <w:spacing w:after="0" w:line="240" w:lineRule="auto"/>
              <w:rPr>
                <w:rFonts w:eastAsia="Times New Roman" w:cstheme="minorHAnsi"/>
                <w:sz w:val="24"/>
                <w:szCs w:val="24"/>
                <w:lang w:eastAsia="fr-FR"/>
              </w:rPr>
            </w:pPr>
            <w:r w:rsidRPr="0043547B">
              <w:rPr>
                <w:rFonts w:eastAsia="Times New Roman" w:cstheme="minorHAnsi"/>
                <w:sz w:val="24"/>
                <w:szCs w:val="24"/>
                <w:lang w:eastAsia="fr-FR"/>
              </w:rPr>
              <w:t>Matériels de lutte contre l'incendie - Poteaux et bouche d'incendie - Règles d'installation, de réception et de maintenance</w:t>
            </w:r>
          </w:p>
        </w:tc>
      </w:tr>
      <w:tr w:rsidR="0043547B" w:rsidRPr="0043547B" w:rsidTr="00691CF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1268"/>
        </w:trPr>
        <w:tc>
          <w:tcPr>
            <w:tcW w:w="1856" w:type="dxa"/>
            <w:tcBorders>
              <w:top w:val="single" w:sz="4" w:space="0" w:color="auto"/>
              <w:left w:val="single" w:sz="18" w:space="0" w:color="auto"/>
              <w:bottom w:val="single" w:sz="18" w:space="0" w:color="auto"/>
              <w:right w:val="single" w:sz="8" w:space="0" w:color="auto"/>
            </w:tcBorders>
            <w:shd w:val="clear" w:color="auto" w:fill="D9D9D9" w:themeFill="background1" w:themeFillShade="D9"/>
            <w:vAlign w:val="center"/>
            <w:hideMark/>
          </w:tcPr>
          <w:p w:rsidR="00BB5DD7" w:rsidRPr="0043547B" w:rsidRDefault="00BB5DD7" w:rsidP="009442B8">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Domaine d’application :</w:t>
            </w:r>
          </w:p>
        </w:tc>
        <w:tc>
          <w:tcPr>
            <w:tcW w:w="7938" w:type="dxa"/>
            <w:tcBorders>
              <w:top w:val="single" w:sz="4" w:space="0" w:color="auto"/>
              <w:left w:val="single" w:sz="8" w:space="0" w:color="auto"/>
              <w:bottom w:val="single" w:sz="18" w:space="0" w:color="auto"/>
              <w:right w:val="single" w:sz="18" w:space="0" w:color="auto"/>
            </w:tcBorders>
            <w:shd w:val="clear" w:color="auto" w:fill="auto"/>
            <w:hideMark/>
          </w:tcPr>
          <w:p w:rsidR="00006924" w:rsidRPr="0043547B" w:rsidRDefault="00BB5DD7" w:rsidP="00BB5DD7">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 présent document définit les règles d’installation, de réception et de maintenance des poteaux et bouches d’incendie raccordés à un réseau d’eau sous pression, qu’ils soient sur le domaine public ou sur le domaine privé.</w:t>
            </w:r>
          </w:p>
          <w:p w:rsidR="00006924" w:rsidRPr="0043547B" w:rsidRDefault="00BB5DD7" w:rsidP="00BB5DD7">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 document s’applique à l’ensemble des installations à partir de l’esse de réglage compris (voir Figures 1 et 10).</w:t>
            </w:r>
          </w:p>
          <w:p w:rsidR="00691CFD" w:rsidRDefault="00006924" w:rsidP="00691CF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 choix des matériels, leur nombre et leur répartition ne sont pas traités dans le présent document.</w:t>
            </w:r>
          </w:p>
          <w:p w:rsidR="00691CFD" w:rsidRDefault="00006924" w:rsidP="00691CF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installations non raccordées à un réseau d’eau sous pression, composées notamment :</w:t>
            </w:r>
          </w:p>
          <w:p w:rsidR="00691CFD" w:rsidRDefault="00006924" w:rsidP="00691CFD">
            <w:pPr>
              <w:spacing w:after="0" w:line="240" w:lineRule="auto"/>
              <w:ind w:left="18"/>
              <w:rPr>
                <w:rFonts w:eastAsia="Times New Roman" w:cstheme="minorHAnsi"/>
                <w:sz w:val="24"/>
                <w:szCs w:val="24"/>
                <w:lang w:eastAsia="fr-FR"/>
              </w:rPr>
            </w:pPr>
            <w:r w:rsidRPr="0043547B">
              <w:rPr>
                <w:rFonts w:eastAsia="Times New Roman" w:cstheme="minorHAnsi"/>
                <w:sz w:val="24"/>
                <w:szCs w:val="24"/>
                <w:lang w:eastAsia="fr-FR"/>
              </w:rPr>
              <w:t>— des installations dites «sèches» (les canalisations alimentant ces installations sont sans eau) ;</w:t>
            </w:r>
            <w:r w:rsidRPr="0043547B">
              <w:rPr>
                <w:rFonts w:eastAsia="Times New Roman" w:cstheme="minorHAnsi"/>
                <w:sz w:val="24"/>
                <w:szCs w:val="24"/>
                <w:lang w:eastAsia="fr-FR"/>
              </w:rPr>
              <w:br/>
              <w:t>— des installations dites «d’aspiration» qui permettent :</w:t>
            </w:r>
            <w:r w:rsidRPr="0043547B">
              <w:rPr>
                <w:rFonts w:eastAsia="Times New Roman" w:cstheme="minorHAnsi"/>
                <w:sz w:val="24"/>
                <w:szCs w:val="24"/>
                <w:lang w:eastAsia="fr-FR"/>
              </w:rPr>
              <w:br/>
              <w:t>- de rapprocher les points d'eau utilisables par les services de secours et de lutte contre l’incendie à proximité immédiate du risque ;</w:t>
            </w:r>
            <w:r w:rsidRPr="0043547B">
              <w:rPr>
                <w:rFonts w:eastAsia="Times New Roman" w:cstheme="minorHAnsi"/>
                <w:sz w:val="24"/>
                <w:szCs w:val="24"/>
                <w:lang w:eastAsia="fr-FR"/>
              </w:rPr>
              <w:br/>
              <w:t>- d’utiliser des points d'eau naturel ;</w:t>
            </w:r>
            <w:r w:rsidRPr="0043547B">
              <w:rPr>
                <w:rFonts w:eastAsia="Times New Roman" w:cstheme="minorHAnsi"/>
                <w:sz w:val="24"/>
                <w:szCs w:val="24"/>
                <w:lang w:eastAsia="fr-FR"/>
              </w:rPr>
              <w:br/>
              <w:t>- de faciliter la mise en oeuvre des matériels d'incendie des services de secours et de lutte contre l’incendie (exemple : traversée de voie à grande circulation, accessibilité des immeubles conditionnée par des dalles non résistantes aux véhicules poids lourds);</w:t>
            </w:r>
          </w:p>
          <w:p w:rsidR="00BB5DD7" w:rsidRPr="0043547B" w:rsidRDefault="00006924" w:rsidP="00691CF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ne sont pas traitées dans ce document au regard de leur côté marginal. Elles font l'objet d'une étude particulière au cas par cas et d’une signalétique adaptée.</w:t>
            </w:r>
          </w:p>
        </w:tc>
      </w:tr>
      <w:tr w:rsidR="0043547B" w:rsidRPr="0043547B" w:rsidTr="00691CF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312"/>
        </w:trPr>
        <w:tc>
          <w:tcPr>
            <w:tcW w:w="1856" w:type="dxa"/>
            <w:tcBorders>
              <w:top w:val="single" w:sz="18" w:space="0" w:color="auto"/>
              <w:left w:val="single" w:sz="18" w:space="0" w:color="auto"/>
              <w:bottom w:val="single" w:sz="18" w:space="0" w:color="auto"/>
              <w:right w:val="single" w:sz="8" w:space="0" w:color="auto"/>
            </w:tcBorders>
            <w:shd w:val="clear" w:color="auto" w:fill="C2D69B" w:themeFill="accent3" w:themeFillTint="99"/>
            <w:vAlign w:val="center"/>
            <w:hideMark/>
          </w:tcPr>
          <w:p w:rsidR="00BB5DD7" w:rsidRPr="0043547B" w:rsidRDefault="00BB5DD7" w:rsidP="00691CFD">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Code :</w:t>
            </w:r>
          </w:p>
        </w:tc>
        <w:tc>
          <w:tcPr>
            <w:tcW w:w="7938" w:type="dxa"/>
            <w:tcBorders>
              <w:top w:val="single" w:sz="18" w:space="0" w:color="auto"/>
              <w:left w:val="single" w:sz="8" w:space="0" w:color="auto"/>
              <w:bottom w:val="single" w:sz="18" w:space="0" w:color="auto"/>
              <w:right w:val="single" w:sz="18" w:space="0" w:color="auto"/>
            </w:tcBorders>
            <w:shd w:val="clear" w:color="auto" w:fill="C2D69B" w:themeFill="accent3" w:themeFillTint="99"/>
            <w:hideMark/>
          </w:tcPr>
          <w:p w:rsidR="00BB5DD7" w:rsidRPr="0043547B" w:rsidRDefault="00BB5DD7" w:rsidP="00006924">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21.9.502</w:t>
            </w:r>
          </w:p>
        </w:tc>
      </w:tr>
      <w:tr w:rsidR="0043547B" w:rsidRPr="0043547B" w:rsidTr="00691CF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312"/>
        </w:trPr>
        <w:tc>
          <w:tcPr>
            <w:tcW w:w="1856" w:type="dxa"/>
            <w:tcBorders>
              <w:top w:val="single" w:sz="18" w:space="0" w:color="auto"/>
              <w:left w:val="single" w:sz="18" w:space="0" w:color="auto"/>
              <w:bottom w:val="single" w:sz="4" w:space="0" w:color="auto"/>
              <w:right w:val="single" w:sz="8" w:space="0" w:color="auto"/>
            </w:tcBorders>
            <w:shd w:val="clear" w:color="auto" w:fill="95B3D7" w:themeFill="accent1" w:themeFillTint="99"/>
            <w:vAlign w:val="center"/>
            <w:hideMark/>
          </w:tcPr>
          <w:p w:rsidR="00BB5DD7" w:rsidRPr="0043547B" w:rsidRDefault="00BB5DD7" w:rsidP="00006924">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Intitulé :</w:t>
            </w:r>
          </w:p>
        </w:tc>
        <w:tc>
          <w:tcPr>
            <w:tcW w:w="7938" w:type="dxa"/>
            <w:tcBorders>
              <w:top w:val="single" w:sz="18" w:space="0" w:color="auto"/>
              <w:left w:val="single" w:sz="8" w:space="0" w:color="auto"/>
              <w:bottom w:val="single" w:sz="4" w:space="0" w:color="auto"/>
              <w:right w:val="single" w:sz="18" w:space="0" w:color="auto"/>
            </w:tcBorders>
            <w:shd w:val="clear" w:color="auto" w:fill="auto"/>
            <w:hideMark/>
          </w:tcPr>
          <w:p w:rsidR="00BB5DD7" w:rsidRPr="0043547B" w:rsidRDefault="00BB5DD7" w:rsidP="00BB5DD7">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Maintenance des extincteurs d'incendie portatifs</w:t>
            </w:r>
          </w:p>
        </w:tc>
      </w:tr>
      <w:tr w:rsidR="0043547B" w:rsidRPr="0043547B" w:rsidTr="00691CF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864"/>
        </w:trPr>
        <w:tc>
          <w:tcPr>
            <w:tcW w:w="1856" w:type="dxa"/>
            <w:tcBorders>
              <w:top w:val="single" w:sz="4" w:space="0" w:color="auto"/>
              <w:left w:val="single" w:sz="18" w:space="0" w:color="auto"/>
              <w:bottom w:val="single" w:sz="18" w:space="0" w:color="auto"/>
              <w:right w:val="single" w:sz="8" w:space="0" w:color="auto"/>
            </w:tcBorders>
            <w:shd w:val="clear" w:color="auto" w:fill="D9D9D9" w:themeFill="background1" w:themeFillShade="D9"/>
            <w:vAlign w:val="center"/>
            <w:hideMark/>
          </w:tcPr>
          <w:p w:rsidR="00BB5DD7" w:rsidRPr="0043547B" w:rsidRDefault="00BB5DD7" w:rsidP="00006924">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Domaine d’application :</w:t>
            </w:r>
          </w:p>
        </w:tc>
        <w:tc>
          <w:tcPr>
            <w:tcW w:w="7938" w:type="dxa"/>
            <w:tcBorders>
              <w:top w:val="single" w:sz="4" w:space="0" w:color="auto"/>
              <w:left w:val="single" w:sz="8" w:space="0" w:color="auto"/>
              <w:bottom w:val="single" w:sz="18" w:space="0" w:color="auto"/>
              <w:right w:val="single" w:sz="18" w:space="0" w:color="auto"/>
            </w:tcBorders>
            <w:shd w:val="clear" w:color="auto" w:fill="auto"/>
            <w:vAlign w:val="bottom"/>
            <w:hideMark/>
          </w:tcPr>
          <w:p w:rsidR="00BB5DD7" w:rsidRPr="0043547B" w:rsidRDefault="00BB5DD7" w:rsidP="00691CF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spécifie les principes généraux relatifs aux contrôles qui doivent être effectués par l'utilisateur et à la maintenance des extincteurs portatifs qui doit être effectuée par une personne compétente.</w:t>
            </w:r>
          </w:p>
        </w:tc>
      </w:tr>
      <w:tr w:rsidR="0043547B" w:rsidRPr="0043547B" w:rsidTr="00691CF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312"/>
        </w:trPr>
        <w:tc>
          <w:tcPr>
            <w:tcW w:w="1856" w:type="dxa"/>
            <w:tcBorders>
              <w:top w:val="single" w:sz="18" w:space="0" w:color="auto"/>
              <w:left w:val="single" w:sz="18" w:space="0" w:color="auto"/>
              <w:bottom w:val="single" w:sz="18" w:space="0" w:color="auto"/>
              <w:right w:val="single" w:sz="8" w:space="0" w:color="auto"/>
            </w:tcBorders>
            <w:shd w:val="clear" w:color="auto" w:fill="C2D69B" w:themeFill="accent3" w:themeFillTint="99"/>
            <w:vAlign w:val="center"/>
            <w:hideMark/>
          </w:tcPr>
          <w:p w:rsidR="00BB5DD7" w:rsidRPr="0043547B" w:rsidRDefault="00BB5DD7" w:rsidP="00691CFD">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Code :</w:t>
            </w:r>
          </w:p>
        </w:tc>
        <w:tc>
          <w:tcPr>
            <w:tcW w:w="7938" w:type="dxa"/>
            <w:tcBorders>
              <w:top w:val="single" w:sz="18" w:space="0" w:color="auto"/>
              <w:left w:val="single" w:sz="8" w:space="0" w:color="auto"/>
              <w:bottom w:val="single" w:sz="18" w:space="0" w:color="auto"/>
              <w:right w:val="single" w:sz="18" w:space="0" w:color="auto"/>
            </w:tcBorders>
            <w:shd w:val="clear" w:color="auto" w:fill="C2D69B" w:themeFill="accent3" w:themeFillTint="99"/>
            <w:hideMark/>
          </w:tcPr>
          <w:p w:rsidR="00BB5DD7" w:rsidRPr="0043547B" w:rsidRDefault="00BB5DD7" w:rsidP="00006924">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12845</w:t>
            </w:r>
          </w:p>
        </w:tc>
      </w:tr>
      <w:tr w:rsidR="0043547B" w:rsidRPr="0043547B" w:rsidTr="00691CF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312"/>
        </w:trPr>
        <w:tc>
          <w:tcPr>
            <w:tcW w:w="1856" w:type="dxa"/>
            <w:tcBorders>
              <w:top w:val="single" w:sz="18" w:space="0" w:color="auto"/>
              <w:left w:val="single" w:sz="18" w:space="0" w:color="auto"/>
              <w:bottom w:val="single" w:sz="4" w:space="0" w:color="auto"/>
              <w:right w:val="single" w:sz="8" w:space="0" w:color="auto"/>
            </w:tcBorders>
            <w:shd w:val="clear" w:color="auto" w:fill="FDFBA9"/>
            <w:vAlign w:val="center"/>
            <w:hideMark/>
          </w:tcPr>
          <w:p w:rsidR="00BB5DD7" w:rsidRPr="0043547B" w:rsidRDefault="00BB5DD7" w:rsidP="00006924">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Equivalence :</w:t>
            </w:r>
          </w:p>
        </w:tc>
        <w:tc>
          <w:tcPr>
            <w:tcW w:w="7938" w:type="dxa"/>
            <w:tcBorders>
              <w:top w:val="single" w:sz="18" w:space="0" w:color="auto"/>
              <w:left w:val="single" w:sz="8" w:space="0" w:color="auto"/>
              <w:bottom w:val="single" w:sz="4" w:space="0" w:color="auto"/>
              <w:right w:val="single" w:sz="18" w:space="0" w:color="auto"/>
            </w:tcBorders>
            <w:shd w:val="clear" w:color="auto" w:fill="FDFBA9"/>
            <w:vAlign w:val="center"/>
            <w:hideMark/>
          </w:tcPr>
          <w:p w:rsidR="00BB5DD7" w:rsidRPr="0043547B" w:rsidRDefault="00BB5DD7" w:rsidP="00006924">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12845</w:t>
            </w:r>
          </w:p>
        </w:tc>
      </w:tr>
      <w:tr w:rsidR="0043547B" w:rsidRPr="0043547B" w:rsidTr="00F226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576"/>
        </w:trPr>
        <w:tc>
          <w:tcPr>
            <w:tcW w:w="1856" w:type="dxa"/>
            <w:tcBorders>
              <w:top w:val="single" w:sz="4" w:space="0" w:color="auto"/>
              <w:left w:val="single" w:sz="18" w:space="0" w:color="auto"/>
              <w:bottom w:val="single" w:sz="4" w:space="0" w:color="auto"/>
              <w:right w:val="single" w:sz="8" w:space="0" w:color="auto"/>
            </w:tcBorders>
            <w:shd w:val="clear" w:color="auto" w:fill="95B3D7" w:themeFill="accent1" w:themeFillTint="99"/>
            <w:vAlign w:val="center"/>
            <w:hideMark/>
          </w:tcPr>
          <w:p w:rsidR="00BB5DD7" w:rsidRPr="0043547B" w:rsidRDefault="00BB5DD7" w:rsidP="00006924">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Intitulé :</w:t>
            </w:r>
          </w:p>
        </w:tc>
        <w:tc>
          <w:tcPr>
            <w:tcW w:w="7938" w:type="dxa"/>
            <w:tcBorders>
              <w:top w:val="single" w:sz="4" w:space="0" w:color="auto"/>
              <w:left w:val="single" w:sz="8" w:space="0" w:color="auto"/>
              <w:bottom w:val="single" w:sz="4" w:space="0" w:color="auto"/>
              <w:right w:val="single" w:sz="18" w:space="0" w:color="auto"/>
            </w:tcBorders>
            <w:shd w:val="clear" w:color="auto" w:fill="auto"/>
            <w:hideMark/>
          </w:tcPr>
          <w:p w:rsidR="00BB5DD7" w:rsidRPr="0043547B" w:rsidRDefault="00BB5DD7" w:rsidP="00BB5DD7">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Installations fixes de lutte contre l‘incendie - Systèmes d’extinction automatique du type sprinkleur - Conception, installation et maintenance</w:t>
            </w:r>
          </w:p>
        </w:tc>
      </w:tr>
      <w:tr w:rsidR="0043547B" w:rsidRPr="0043547B" w:rsidTr="00691CF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2828"/>
        </w:trPr>
        <w:tc>
          <w:tcPr>
            <w:tcW w:w="1856" w:type="dxa"/>
            <w:tcBorders>
              <w:top w:val="single" w:sz="4" w:space="0" w:color="auto"/>
              <w:left w:val="single" w:sz="18" w:space="0" w:color="auto"/>
              <w:bottom w:val="single" w:sz="18" w:space="0" w:color="auto"/>
              <w:right w:val="single" w:sz="8" w:space="0" w:color="auto"/>
            </w:tcBorders>
            <w:shd w:val="clear" w:color="auto" w:fill="D9D9D9" w:themeFill="background1" w:themeFillShade="D9"/>
            <w:vAlign w:val="center"/>
            <w:hideMark/>
          </w:tcPr>
          <w:p w:rsidR="00BB5DD7" w:rsidRPr="0043547B" w:rsidRDefault="00BB5DD7" w:rsidP="009442B8">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lastRenderedPageBreak/>
              <w:t>Domaine d’application :</w:t>
            </w:r>
          </w:p>
        </w:tc>
        <w:tc>
          <w:tcPr>
            <w:tcW w:w="7938" w:type="dxa"/>
            <w:tcBorders>
              <w:top w:val="single" w:sz="4" w:space="0" w:color="auto"/>
              <w:left w:val="single" w:sz="8" w:space="0" w:color="auto"/>
              <w:bottom w:val="single" w:sz="18" w:space="0" w:color="auto"/>
              <w:right w:val="single" w:sz="18" w:space="0" w:color="auto"/>
            </w:tcBorders>
            <w:shd w:val="clear" w:color="auto" w:fill="auto"/>
            <w:hideMark/>
          </w:tcPr>
          <w:p w:rsidR="00691CFD" w:rsidRDefault="00BB5DD7" w:rsidP="00691CF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européenne spécifie des exigences et fournit des recommandations pour la conception, l'installation et la maintenance d'installations fixes de lutte contre l'incendie de type sprinkleur dans des bâtiments et des installations industrielles et spécifie des exigences particulières pour les systèmes d'extinction de type sprinkleur faisant partie intégrante de mesures de protection des personnes.</w:t>
            </w:r>
          </w:p>
          <w:p w:rsidR="00691CFD" w:rsidRDefault="00BB5DD7" w:rsidP="00691CF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européenne ne concerne que les types de sprinkleur spécifiés dans l’EN 12259-1 (voir Annexe L).</w:t>
            </w:r>
          </w:p>
          <w:p w:rsidR="00691CFD" w:rsidRDefault="00BB5DD7" w:rsidP="00691CF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exigences et recommandations de la présente Norme européenne sont également applicables à tout ajout, extension ou autre modification apportée à un système d'extinction de type sprinkleur. Elles ne sont pas applicables aux installations à pulvérisation d’eau ou de type déluge.</w:t>
            </w:r>
          </w:p>
          <w:p w:rsidR="00691CFD" w:rsidRDefault="00BB5DD7" w:rsidP="00691CF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couvre la classification des risques, l'installation de sources d'eau, les éléments à utiliser, l'installation et les essais du système, la maintenance et l'extension de systèmes existants, et elle identifie les détails de construction des bâtiments qui sont nécessaires au fonctionnement satisfaisant des systèmes d'extinction de type sprinkleur conformes à la présente Norme européenne.</w:t>
            </w:r>
            <w:r w:rsidRPr="0043547B">
              <w:rPr>
                <w:rFonts w:eastAsia="Times New Roman" w:cstheme="minorHAnsi"/>
                <w:sz w:val="24"/>
                <w:szCs w:val="24"/>
                <w:lang w:eastAsia="fr-FR"/>
              </w:rPr>
              <w:br/>
              <w:t>La présente Norme européenne ne couvre pas les sources d’eau alimentant des systèmes autres que les systèmes de type sprinkleur. Ses exigences peuvent être utilisées comme guide pour les autres installations fixes de lutte contre l'incendie, sous réserve que les exigences spécifiques à ces autres systèmes de lutte contre l’incendie soient prises en compte.</w:t>
            </w:r>
          </w:p>
          <w:p w:rsidR="00691CFD" w:rsidRDefault="00BB5DD7" w:rsidP="00691CF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européenne est destinée aux personnes chargées de l'achat, de la conception, de l'installation, des essais, des inspections, de l'approbation, de l'utilisation et de la maintenance des systèmes</w:t>
            </w:r>
            <w:r w:rsidR="00691CFD">
              <w:rPr>
                <w:rFonts w:eastAsia="Times New Roman" w:cstheme="minorHAnsi"/>
                <w:sz w:val="24"/>
                <w:szCs w:val="24"/>
                <w:lang w:eastAsia="fr-FR"/>
              </w:rPr>
              <w:t xml:space="preserve"> </w:t>
            </w:r>
            <w:r w:rsidRPr="0043547B">
              <w:rPr>
                <w:rFonts w:eastAsia="Times New Roman" w:cstheme="minorHAnsi"/>
                <w:sz w:val="24"/>
                <w:szCs w:val="24"/>
                <w:lang w:eastAsia="fr-FR"/>
              </w:rPr>
              <w:t>d’extinction automatique de type sprinkleur. Elle les aidera à obtenir de ces équipements un fonctionnement nominal pendant toute leur durée de vie.</w:t>
            </w:r>
          </w:p>
          <w:p w:rsidR="00691CFD" w:rsidRDefault="00BB5DD7" w:rsidP="00691CF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européenne ne concerne que les installations fixes de lutte contre l'incendie de type sprinkleur, installées dans des bâtiments et autres locaux sur la terre ferme. Bien que les principes généraux puissent s'appliquer à d'autres usages (par exemple l'usage maritime), il convient de tenir compte d'autres considérations pour ces autres usages.</w:t>
            </w:r>
          </w:p>
          <w:p w:rsidR="00691CFD" w:rsidRDefault="00BB5DD7" w:rsidP="00691CF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exigences ne sont pas valables pour les systèmes d'extinction automatique de type sprinkleur installés sur des bateaux, dans des aéronefs, sur des véhicules et des engins mobiles d'incendie, ni pour les systèmes d'extinction souterrains dans l'industrie minière.</w:t>
            </w:r>
          </w:p>
          <w:p w:rsidR="00BB5DD7" w:rsidRPr="0043547B" w:rsidRDefault="00BB5DD7" w:rsidP="00691CF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Des écarts dans la conception des systèmes de sprinkleurs peuvent être autorisés lorsqu’il a été démontré que ces écarts assurent un niveau de protection au moins équivalent à la présente Norme européenne, par exemple par les essais au feu en vraie grandeur suivant le cas et lorsque les critères de calcul ont été documentés dans leur ensemble.</w:t>
            </w:r>
          </w:p>
        </w:tc>
      </w:tr>
      <w:tr w:rsidR="0043547B" w:rsidRPr="0043547B" w:rsidTr="00691CF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312"/>
        </w:trPr>
        <w:tc>
          <w:tcPr>
            <w:tcW w:w="1856" w:type="dxa"/>
            <w:tcBorders>
              <w:top w:val="single" w:sz="18" w:space="0" w:color="auto"/>
              <w:left w:val="single" w:sz="18" w:space="0" w:color="auto"/>
              <w:bottom w:val="single" w:sz="18" w:space="0" w:color="auto"/>
              <w:right w:val="single" w:sz="8" w:space="0" w:color="auto"/>
            </w:tcBorders>
            <w:shd w:val="clear" w:color="auto" w:fill="C2D69B" w:themeFill="accent3" w:themeFillTint="99"/>
            <w:vAlign w:val="center"/>
            <w:hideMark/>
          </w:tcPr>
          <w:p w:rsidR="00BB5DD7" w:rsidRPr="0043547B" w:rsidRDefault="00BB5DD7" w:rsidP="00691CFD">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Code :</w:t>
            </w:r>
          </w:p>
        </w:tc>
        <w:tc>
          <w:tcPr>
            <w:tcW w:w="7938" w:type="dxa"/>
            <w:tcBorders>
              <w:top w:val="single" w:sz="18" w:space="0" w:color="auto"/>
              <w:left w:val="single" w:sz="8" w:space="0" w:color="auto"/>
              <w:bottom w:val="single" w:sz="18" w:space="0" w:color="auto"/>
              <w:right w:val="single" w:sz="18" w:space="0" w:color="auto"/>
            </w:tcBorders>
            <w:shd w:val="clear" w:color="auto" w:fill="C2D69B" w:themeFill="accent3" w:themeFillTint="99"/>
            <w:hideMark/>
          </w:tcPr>
          <w:p w:rsidR="00BB5DD7" w:rsidRPr="0043547B" w:rsidRDefault="00BB5DD7" w:rsidP="00006924">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14339</w:t>
            </w:r>
          </w:p>
        </w:tc>
      </w:tr>
      <w:tr w:rsidR="0043547B" w:rsidRPr="0043547B" w:rsidTr="00691CF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312"/>
        </w:trPr>
        <w:tc>
          <w:tcPr>
            <w:tcW w:w="1856" w:type="dxa"/>
            <w:tcBorders>
              <w:top w:val="single" w:sz="18" w:space="0" w:color="auto"/>
              <w:left w:val="single" w:sz="18" w:space="0" w:color="auto"/>
              <w:bottom w:val="single" w:sz="4" w:space="0" w:color="auto"/>
              <w:right w:val="single" w:sz="8" w:space="0" w:color="auto"/>
            </w:tcBorders>
            <w:shd w:val="clear" w:color="auto" w:fill="FDFBA9"/>
            <w:vAlign w:val="center"/>
            <w:hideMark/>
          </w:tcPr>
          <w:p w:rsidR="00BB5DD7" w:rsidRPr="0043547B" w:rsidRDefault="00BB5DD7" w:rsidP="00006924">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Equivalence :</w:t>
            </w:r>
          </w:p>
        </w:tc>
        <w:tc>
          <w:tcPr>
            <w:tcW w:w="7938" w:type="dxa"/>
            <w:tcBorders>
              <w:top w:val="single" w:sz="18" w:space="0" w:color="auto"/>
              <w:left w:val="single" w:sz="8" w:space="0" w:color="auto"/>
              <w:bottom w:val="single" w:sz="4" w:space="0" w:color="auto"/>
              <w:right w:val="single" w:sz="18" w:space="0" w:color="auto"/>
            </w:tcBorders>
            <w:shd w:val="clear" w:color="auto" w:fill="FDFBA9"/>
            <w:vAlign w:val="center"/>
            <w:hideMark/>
          </w:tcPr>
          <w:p w:rsidR="00BB5DD7" w:rsidRPr="0043547B" w:rsidRDefault="00BB5DD7" w:rsidP="00006924">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14339</w:t>
            </w:r>
          </w:p>
        </w:tc>
      </w:tr>
      <w:tr w:rsidR="0043547B" w:rsidRPr="0043547B" w:rsidTr="00F226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312"/>
        </w:trPr>
        <w:tc>
          <w:tcPr>
            <w:tcW w:w="1856" w:type="dxa"/>
            <w:tcBorders>
              <w:top w:val="single" w:sz="4" w:space="0" w:color="auto"/>
              <w:left w:val="single" w:sz="18" w:space="0" w:color="auto"/>
              <w:bottom w:val="single" w:sz="4" w:space="0" w:color="auto"/>
              <w:right w:val="single" w:sz="8" w:space="0" w:color="auto"/>
            </w:tcBorders>
            <w:shd w:val="clear" w:color="auto" w:fill="95B3D7" w:themeFill="accent1" w:themeFillTint="99"/>
            <w:vAlign w:val="center"/>
            <w:hideMark/>
          </w:tcPr>
          <w:p w:rsidR="00BB5DD7" w:rsidRPr="0043547B" w:rsidRDefault="00BB5DD7" w:rsidP="00006924">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Intitulé :</w:t>
            </w:r>
          </w:p>
        </w:tc>
        <w:tc>
          <w:tcPr>
            <w:tcW w:w="7938" w:type="dxa"/>
            <w:tcBorders>
              <w:top w:val="single" w:sz="4" w:space="0" w:color="auto"/>
              <w:left w:val="single" w:sz="8" w:space="0" w:color="auto"/>
              <w:bottom w:val="single" w:sz="4" w:space="0" w:color="auto"/>
              <w:right w:val="single" w:sz="18" w:space="0" w:color="auto"/>
            </w:tcBorders>
            <w:shd w:val="clear" w:color="auto" w:fill="auto"/>
            <w:hideMark/>
          </w:tcPr>
          <w:p w:rsidR="00BB5DD7" w:rsidRPr="0043547B" w:rsidRDefault="00BB5DD7" w:rsidP="00BB5DD7">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Bouches d'incendie enterrées</w:t>
            </w:r>
          </w:p>
        </w:tc>
      </w:tr>
      <w:tr w:rsidR="0043547B" w:rsidRPr="0043547B" w:rsidTr="00691CF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5532"/>
        </w:trPr>
        <w:tc>
          <w:tcPr>
            <w:tcW w:w="1856" w:type="dxa"/>
            <w:tcBorders>
              <w:top w:val="single" w:sz="4" w:space="0" w:color="auto"/>
              <w:left w:val="single" w:sz="18" w:space="0" w:color="auto"/>
              <w:bottom w:val="single" w:sz="18" w:space="0" w:color="auto"/>
              <w:right w:val="single" w:sz="8" w:space="0" w:color="auto"/>
            </w:tcBorders>
            <w:shd w:val="clear" w:color="auto" w:fill="D9D9D9" w:themeFill="background1" w:themeFillShade="D9"/>
            <w:vAlign w:val="center"/>
            <w:hideMark/>
          </w:tcPr>
          <w:p w:rsidR="00BB5DD7" w:rsidRPr="0043547B" w:rsidRDefault="00BB5DD7" w:rsidP="009442B8">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lastRenderedPageBreak/>
              <w:t>Domaine d’application :</w:t>
            </w:r>
          </w:p>
        </w:tc>
        <w:tc>
          <w:tcPr>
            <w:tcW w:w="7938" w:type="dxa"/>
            <w:tcBorders>
              <w:top w:val="single" w:sz="4" w:space="0" w:color="auto"/>
              <w:left w:val="single" w:sz="8" w:space="0" w:color="auto"/>
              <w:bottom w:val="single" w:sz="18" w:space="0" w:color="auto"/>
              <w:right w:val="single" w:sz="18" w:space="0" w:color="auto"/>
            </w:tcBorders>
            <w:shd w:val="clear" w:color="auto" w:fill="auto"/>
            <w:vAlign w:val="bottom"/>
            <w:hideMark/>
          </w:tcPr>
          <w:p w:rsidR="00691CFD" w:rsidRDefault="00BB5DD7" w:rsidP="00691CF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européenne donne les prescriptions, méthodes d'essai et marquages applicables aux bouches d'incendie enterrées suivantes destinées à la lutte contre l'incendie :</w:t>
            </w:r>
          </w:p>
          <w:p w:rsidR="00691CFD" w:rsidRPr="00691CFD" w:rsidRDefault="00BB5DD7" w:rsidP="00691CFD">
            <w:pPr>
              <w:spacing w:after="0" w:line="240" w:lineRule="auto"/>
              <w:rPr>
                <w:rFonts w:eastAsia="Times New Roman" w:cstheme="minorHAnsi"/>
                <w:sz w:val="6"/>
                <w:szCs w:val="6"/>
                <w:lang w:eastAsia="fr-FR"/>
              </w:rPr>
            </w:pPr>
            <w:r w:rsidRPr="0043547B">
              <w:rPr>
                <w:rFonts w:eastAsia="Times New Roman" w:cstheme="minorHAnsi"/>
                <w:sz w:val="24"/>
                <w:szCs w:val="24"/>
                <w:lang w:eastAsia="fr-FR"/>
              </w:rPr>
              <w:t>— devant être installées sur un réseau de distribution d'eau ;</w:t>
            </w:r>
            <w:r w:rsidRPr="0043547B">
              <w:rPr>
                <w:rFonts w:eastAsia="Times New Roman" w:cstheme="minorHAnsi"/>
                <w:sz w:val="24"/>
                <w:szCs w:val="24"/>
                <w:lang w:eastAsia="fr-FR"/>
              </w:rPr>
              <w:br/>
              <w:t>— de dimensions DN 80 et DN 100 ;</w:t>
            </w:r>
            <w:r w:rsidRPr="0043547B">
              <w:rPr>
                <w:rFonts w:eastAsia="Times New Roman" w:cstheme="minorHAnsi"/>
                <w:sz w:val="24"/>
                <w:szCs w:val="24"/>
                <w:lang w:eastAsia="fr-FR"/>
              </w:rPr>
              <w:br/>
              <w:t>— appropriées à une pression de fonctionnement admissible, PFA, de 10 bar ou 16 bar ou 25 bar avec ou sans dispositif de vidange ;</w:t>
            </w:r>
            <w:r w:rsidRPr="0043547B">
              <w:rPr>
                <w:rFonts w:eastAsia="Times New Roman" w:cstheme="minorHAnsi"/>
                <w:sz w:val="24"/>
                <w:szCs w:val="24"/>
                <w:lang w:eastAsia="fr-FR"/>
              </w:rPr>
              <w:br/>
              <w:t>— munies de raccordements d'entrée verticaux ou horizontaux à bride, à extrémité à emboîter mâle ou femelle ;</w:t>
            </w:r>
            <w:r w:rsidRPr="0043547B">
              <w:rPr>
                <w:rFonts w:eastAsia="Times New Roman" w:cstheme="minorHAnsi"/>
                <w:sz w:val="24"/>
                <w:szCs w:val="24"/>
                <w:lang w:eastAsia="fr-FR"/>
              </w:rPr>
              <w:br/>
              <w:t>— comportant un ou plusieurs orifices de sortie, et munies de raccordements de sortie conformes aux prescriptions nationales ;</w:t>
            </w:r>
            <w:r w:rsidRPr="0043547B">
              <w:rPr>
                <w:rFonts w:eastAsia="Times New Roman" w:cstheme="minorHAnsi"/>
                <w:sz w:val="24"/>
                <w:szCs w:val="24"/>
                <w:lang w:eastAsia="fr-FR"/>
              </w:rPr>
              <w:br/>
              <w:t>— munies d’appareils de robinetterie de type robinet à soupape (à tige non montante) ou robinet-vanne.</w:t>
            </w:r>
            <w:r w:rsidRPr="0043547B">
              <w:rPr>
                <w:rFonts w:eastAsia="Times New Roman" w:cstheme="minorHAnsi"/>
                <w:sz w:val="24"/>
                <w:szCs w:val="24"/>
                <w:lang w:eastAsia="fr-FR"/>
              </w:rPr>
              <w:br/>
            </w:r>
          </w:p>
          <w:p w:rsidR="00691CFD" w:rsidRDefault="00BB5DD7" w:rsidP="00691CF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peut également être utilisée pour l’évaluation de la conformité des bouches d’incendie enterrées conformes aux prescriptions contenues dans la présente norme.</w:t>
            </w:r>
          </w:p>
          <w:p w:rsidR="00691CFD" w:rsidRDefault="00BB5DD7" w:rsidP="00691CF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s’applique aux bouches d’incendie enterrées alimentées en eau potable et non potable et en eau filtrée. Des prescriptions complémentaires peuvent s’appliquer dans le cas d’autres liquides.</w:t>
            </w:r>
          </w:p>
          <w:p w:rsidR="00BB5DD7" w:rsidRPr="0043547B" w:rsidRDefault="00BB5DD7" w:rsidP="00691CF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manchons d’assemblage raccordés aux orifices de sortie ne sont pas du domaine d’application de la présente norme et il convient qu’ils soient conformes aux réglementations nationales.</w:t>
            </w:r>
          </w:p>
        </w:tc>
      </w:tr>
      <w:tr w:rsidR="0043547B" w:rsidRPr="0043547B" w:rsidTr="00691CF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312"/>
        </w:trPr>
        <w:tc>
          <w:tcPr>
            <w:tcW w:w="1856" w:type="dxa"/>
            <w:tcBorders>
              <w:top w:val="single" w:sz="18" w:space="0" w:color="auto"/>
              <w:left w:val="single" w:sz="18" w:space="0" w:color="auto"/>
              <w:bottom w:val="single" w:sz="18" w:space="0" w:color="auto"/>
              <w:right w:val="single" w:sz="8" w:space="0" w:color="auto"/>
            </w:tcBorders>
            <w:shd w:val="clear" w:color="auto" w:fill="C2D69B" w:themeFill="accent3" w:themeFillTint="99"/>
            <w:vAlign w:val="center"/>
            <w:hideMark/>
          </w:tcPr>
          <w:p w:rsidR="00BB5DD7" w:rsidRPr="0043547B" w:rsidRDefault="00BB5DD7" w:rsidP="00691CFD">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Code :</w:t>
            </w:r>
          </w:p>
        </w:tc>
        <w:tc>
          <w:tcPr>
            <w:tcW w:w="7938" w:type="dxa"/>
            <w:tcBorders>
              <w:top w:val="single" w:sz="18" w:space="0" w:color="auto"/>
              <w:left w:val="single" w:sz="8" w:space="0" w:color="auto"/>
              <w:bottom w:val="single" w:sz="18" w:space="0" w:color="auto"/>
              <w:right w:val="single" w:sz="18" w:space="0" w:color="auto"/>
            </w:tcBorders>
            <w:shd w:val="clear" w:color="auto" w:fill="C2D69B" w:themeFill="accent3" w:themeFillTint="99"/>
            <w:hideMark/>
          </w:tcPr>
          <w:p w:rsidR="00BB5DD7" w:rsidRPr="0043547B" w:rsidRDefault="00BB5DD7" w:rsidP="00006924">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ISO/TS 24679</w:t>
            </w:r>
          </w:p>
        </w:tc>
      </w:tr>
      <w:tr w:rsidR="0043547B" w:rsidRPr="0043547B" w:rsidTr="00691CF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312"/>
        </w:trPr>
        <w:tc>
          <w:tcPr>
            <w:tcW w:w="1856" w:type="dxa"/>
            <w:tcBorders>
              <w:top w:val="single" w:sz="18" w:space="0" w:color="auto"/>
              <w:left w:val="single" w:sz="18" w:space="0" w:color="auto"/>
              <w:bottom w:val="single" w:sz="4" w:space="0" w:color="auto"/>
              <w:right w:val="single" w:sz="8" w:space="0" w:color="auto"/>
            </w:tcBorders>
            <w:shd w:val="clear" w:color="auto" w:fill="FDFBA9"/>
            <w:vAlign w:val="center"/>
            <w:hideMark/>
          </w:tcPr>
          <w:p w:rsidR="00BB5DD7" w:rsidRPr="0043547B" w:rsidRDefault="00BB5DD7" w:rsidP="00006924">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Equivalence :</w:t>
            </w:r>
          </w:p>
        </w:tc>
        <w:tc>
          <w:tcPr>
            <w:tcW w:w="7938" w:type="dxa"/>
            <w:tcBorders>
              <w:top w:val="single" w:sz="18" w:space="0" w:color="auto"/>
              <w:left w:val="single" w:sz="8" w:space="0" w:color="auto"/>
              <w:bottom w:val="single" w:sz="4" w:space="0" w:color="auto"/>
              <w:right w:val="single" w:sz="18" w:space="0" w:color="auto"/>
            </w:tcBorders>
            <w:shd w:val="clear" w:color="auto" w:fill="FDFBA9"/>
            <w:vAlign w:val="center"/>
            <w:hideMark/>
          </w:tcPr>
          <w:p w:rsidR="00BB5DD7" w:rsidRPr="0043547B" w:rsidRDefault="00BB5DD7" w:rsidP="00006924">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ISO/TS 24679</w:t>
            </w:r>
          </w:p>
        </w:tc>
      </w:tr>
      <w:tr w:rsidR="0043547B" w:rsidRPr="0043547B" w:rsidTr="00F226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312"/>
        </w:trPr>
        <w:tc>
          <w:tcPr>
            <w:tcW w:w="1856" w:type="dxa"/>
            <w:tcBorders>
              <w:top w:val="single" w:sz="4" w:space="0" w:color="auto"/>
              <w:left w:val="single" w:sz="18" w:space="0" w:color="auto"/>
              <w:bottom w:val="single" w:sz="4" w:space="0" w:color="auto"/>
              <w:right w:val="single" w:sz="8" w:space="0" w:color="auto"/>
            </w:tcBorders>
            <w:shd w:val="clear" w:color="auto" w:fill="95B3D7" w:themeFill="accent1" w:themeFillTint="99"/>
            <w:vAlign w:val="center"/>
            <w:hideMark/>
          </w:tcPr>
          <w:p w:rsidR="00BB5DD7" w:rsidRPr="0043547B" w:rsidRDefault="00BB5DD7" w:rsidP="00006924">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Intitulé :</w:t>
            </w:r>
          </w:p>
        </w:tc>
        <w:tc>
          <w:tcPr>
            <w:tcW w:w="7938" w:type="dxa"/>
            <w:tcBorders>
              <w:top w:val="single" w:sz="4" w:space="0" w:color="auto"/>
              <w:left w:val="single" w:sz="8" w:space="0" w:color="auto"/>
              <w:bottom w:val="single" w:sz="4" w:space="0" w:color="auto"/>
              <w:right w:val="single" w:sz="18" w:space="0" w:color="auto"/>
            </w:tcBorders>
            <w:shd w:val="clear" w:color="auto" w:fill="auto"/>
            <w:hideMark/>
          </w:tcPr>
          <w:p w:rsidR="00BB5DD7" w:rsidRPr="0043547B" w:rsidRDefault="00BB5DD7" w:rsidP="00BB5DD7">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Ingénierie de la sécurité incendie - Performance des structures en situation d'incendie</w:t>
            </w:r>
          </w:p>
        </w:tc>
      </w:tr>
      <w:tr w:rsidR="0043547B" w:rsidRPr="0043547B" w:rsidTr="008D76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559"/>
        </w:trPr>
        <w:tc>
          <w:tcPr>
            <w:tcW w:w="1856" w:type="dxa"/>
            <w:tcBorders>
              <w:top w:val="single" w:sz="4" w:space="0" w:color="auto"/>
              <w:left w:val="single" w:sz="18" w:space="0" w:color="auto"/>
              <w:bottom w:val="single" w:sz="18" w:space="0" w:color="auto"/>
              <w:right w:val="single" w:sz="8" w:space="0" w:color="auto"/>
            </w:tcBorders>
            <w:shd w:val="clear" w:color="auto" w:fill="D9D9D9" w:themeFill="background1" w:themeFillShade="D9"/>
            <w:vAlign w:val="center"/>
            <w:hideMark/>
          </w:tcPr>
          <w:p w:rsidR="00BB5DD7" w:rsidRPr="0043547B" w:rsidRDefault="00BB5DD7" w:rsidP="009442B8">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Domaine d’application :</w:t>
            </w:r>
          </w:p>
        </w:tc>
        <w:tc>
          <w:tcPr>
            <w:tcW w:w="7938" w:type="dxa"/>
            <w:tcBorders>
              <w:top w:val="single" w:sz="4" w:space="0" w:color="auto"/>
              <w:left w:val="single" w:sz="8" w:space="0" w:color="auto"/>
              <w:bottom w:val="single" w:sz="18" w:space="0" w:color="auto"/>
              <w:right w:val="single" w:sz="18" w:space="0" w:color="auto"/>
            </w:tcBorders>
            <w:shd w:val="clear" w:color="auto" w:fill="auto"/>
            <w:hideMark/>
          </w:tcPr>
          <w:p w:rsidR="00691CFD" w:rsidRDefault="00BB5DD7" w:rsidP="00691CF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Spécification technique fournit une méthodologie pour l'évaluation de la performance des structures dans un ouvrage exposé à un incendie réel.</w:t>
            </w:r>
            <w:r w:rsidRPr="0043547B">
              <w:rPr>
                <w:rFonts w:eastAsia="Times New Roman" w:cstheme="minorHAnsi"/>
                <w:sz w:val="24"/>
                <w:szCs w:val="24"/>
                <w:lang w:eastAsia="fr-FR"/>
              </w:rPr>
              <w:br/>
              <w:t>La présente Spécification technique, qui suit les principes définis dans l'ISO 23932, fournit une méthodologie fondée sur les performances utile aux ingénieurs pour l'évaluation du niveau de sécurité incendie des</w:t>
            </w:r>
            <w:r w:rsidRPr="0043547B">
              <w:rPr>
                <w:rFonts w:eastAsia="Times New Roman" w:cstheme="minorHAnsi"/>
                <w:sz w:val="24"/>
                <w:szCs w:val="24"/>
                <w:lang w:eastAsia="fr-FR"/>
              </w:rPr>
              <w:br/>
              <w:t>structures, neuves ou existantes.</w:t>
            </w:r>
          </w:p>
          <w:p w:rsidR="00BB5DD7" w:rsidRPr="00691CFD" w:rsidRDefault="008D7690" w:rsidP="00691CFD">
            <w:pPr>
              <w:spacing w:after="0" w:line="240" w:lineRule="auto"/>
              <w:jc w:val="both"/>
              <w:rPr>
                <w:rFonts w:eastAsia="Times New Roman" w:cstheme="minorHAnsi"/>
                <w:i/>
                <w:iCs/>
                <w:sz w:val="24"/>
                <w:szCs w:val="24"/>
                <w:lang w:eastAsia="fr-FR"/>
              </w:rPr>
            </w:pPr>
            <w:r w:rsidRPr="00691CFD">
              <w:rPr>
                <w:rFonts w:eastAsia="Times New Roman" w:cstheme="minorHAnsi"/>
                <w:b/>
                <w:bCs/>
                <w:i/>
                <w:iCs/>
                <w:lang w:eastAsia="fr-FR"/>
              </w:rPr>
              <w:t>NOTE </w:t>
            </w:r>
            <w:r w:rsidRPr="00691CFD">
              <w:rPr>
                <w:rFonts w:eastAsia="Times New Roman" w:cstheme="minorHAnsi"/>
                <w:i/>
                <w:iCs/>
                <w:lang w:eastAsia="fr-FR"/>
              </w:rPr>
              <w:t>: La sécurité incendie des structures est évaluée selon une approche d'ingénierie reposant sur la quantification du comportement d'une structure dans le but d'atteindre les objectifs de sécurité incendie et peut couvrir le déroulement complet d'un incendie réel (y compris la phase de refroidissement) et ses conséquences liées aux objectifs de sécurité incendie tels que la sécurité des personnes, la sauvegarde des biens ou la préservation de l'environnement.</w:t>
            </w:r>
          </w:p>
        </w:tc>
      </w:tr>
      <w:tr w:rsidR="0043547B" w:rsidRPr="0043547B" w:rsidTr="00691CF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312"/>
        </w:trPr>
        <w:tc>
          <w:tcPr>
            <w:tcW w:w="1856" w:type="dxa"/>
            <w:tcBorders>
              <w:top w:val="single" w:sz="18" w:space="0" w:color="auto"/>
              <w:left w:val="single" w:sz="18" w:space="0" w:color="auto"/>
              <w:bottom w:val="single" w:sz="18" w:space="0" w:color="auto"/>
              <w:right w:val="single" w:sz="8" w:space="0" w:color="auto"/>
            </w:tcBorders>
            <w:shd w:val="clear" w:color="auto" w:fill="C2D69B" w:themeFill="accent3" w:themeFillTint="99"/>
            <w:vAlign w:val="center"/>
            <w:hideMark/>
          </w:tcPr>
          <w:p w:rsidR="00BB5DD7" w:rsidRPr="0043547B" w:rsidRDefault="00BB5DD7" w:rsidP="00691CFD">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Code :</w:t>
            </w:r>
          </w:p>
        </w:tc>
        <w:tc>
          <w:tcPr>
            <w:tcW w:w="7938" w:type="dxa"/>
            <w:tcBorders>
              <w:top w:val="single" w:sz="18" w:space="0" w:color="auto"/>
              <w:left w:val="single" w:sz="8" w:space="0" w:color="auto"/>
              <w:bottom w:val="single" w:sz="18" w:space="0" w:color="auto"/>
              <w:right w:val="single" w:sz="18" w:space="0" w:color="auto"/>
            </w:tcBorders>
            <w:shd w:val="clear" w:color="auto" w:fill="C2D69B" w:themeFill="accent3" w:themeFillTint="99"/>
            <w:hideMark/>
          </w:tcPr>
          <w:p w:rsidR="00BB5DD7" w:rsidRPr="0043547B" w:rsidRDefault="00BB5DD7" w:rsidP="00006924">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671-3</w:t>
            </w:r>
          </w:p>
        </w:tc>
      </w:tr>
      <w:tr w:rsidR="0043547B" w:rsidRPr="0043547B" w:rsidTr="00691CF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312"/>
        </w:trPr>
        <w:tc>
          <w:tcPr>
            <w:tcW w:w="1856" w:type="dxa"/>
            <w:tcBorders>
              <w:top w:val="single" w:sz="18" w:space="0" w:color="auto"/>
              <w:left w:val="single" w:sz="18" w:space="0" w:color="auto"/>
              <w:bottom w:val="single" w:sz="4" w:space="0" w:color="auto"/>
              <w:right w:val="single" w:sz="8" w:space="0" w:color="auto"/>
            </w:tcBorders>
            <w:shd w:val="clear" w:color="auto" w:fill="FDFBA9"/>
            <w:vAlign w:val="center"/>
            <w:hideMark/>
          </w:tcPr>
          <w:p w:rsidR="00BB5DD7" w:rsidRPr="0043547B" w:rsidRDefault="00BB5DD7" w:rsidP="00006924">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Equivalence :</w:t>
            </w:r>
          </w:p>
        </w:tc>
        <w:tc>
          <w:tcPr>
            <w:tcW w:w="7938" w:type="dxa"/>
            <w:tcBorders>
              <w:top w:val="single" w:sz="18" w:space="0" w:color="auto"/>
              <w:left w:val="single" w:sz="8" w:space="0" w:color="auto"/>
              <w:bottom w:val="single" w:sz="4" w:space="0" w:color="auto"/>
              <w:right w:val="single" w:sz="18" w:space="0" w:color="auto"/>
            </w:tcBorders>
            <w:shd w:val="clear" w:color="auto" w:fill="FDFBA9"/>
            <w:vAlign w:val="center"/>
            <w:hideMark/>
          </w:tcPr>
          <w:p w:rsidR="00BB5DD7" w:rsidRPr="0043547B" w:rsidRDefault="00BB5DD7" w:rsidP="00006924">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671-3</w:t>
            </w:r>
          </w:p>
        </w:tc>
      </w:tr>
      <w:tr w:rsidR="0043547B" w:rsidRPr="0043547B" w:rsidTr="00F226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864"/>
        </w:trPr>
        <w:tc>
          <w:tcPr>
            <w:tcW w:w="1856" w:type="dxa"/>
            <w:tcBorders>
              <w:top w:val="single" w:sz="4" w:space="0" w:color="auto"/>
              <w:left w:val="single" w:sz="18" w:space="0" w:color="auto"/>
              <w:bottom w:val="single" w:sz="4" w:space="0" w:color="auto"/>
              <w:right w:val="single" w:sz="8" w:space="0" w:color="auto"/>
            </w:tcBorders>
            <w:shd w:val="clear" w:color="auto" w:fill="B8CCE4" w:themeFill="accent1" w:themeFillTint="66"/>
            <w:vAlign w:val="center"/>
            <w:hideMark/>
          </w:tcPr>
          <w:p w:rsidR="00BB5DD7" w:rsidRPr="0043547B" w:rsidRDefault="00BB5DD7" w:rsidP="00006924">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Intitulé :</w:t>
            </w:r>
          </w:p>
        </w:tc>
        <w:tc>
          <w:tcPr>
            <w:tcW w:w="7938" w:type="dxa"/>
            <w:tcBorders>
              <w:top w:val="single" w:sz="4" w:space="0" w:color="auto"/>
              <w:left w:val="single" w:sz="8" w:space="0" w:color="auto"/>
              <w:bottom w:val="single" w:sz="4" w:space="0" w:color="auto"/>
              <w:right w:val="single" w:sz="18" w:space="0" w:color="auto"/>
            </w:tcBorders>
            <w:shd w:val="clear" w:color="auto" w:fill="auto"/>
            <w:hideMark/>
          </w:tcPr>
          <w:p w:rsidR="00BB5DD7" w:rsidRPr="0043547B" w:rsidRDefault="00BB5DD7" w:rsidP="00BB5DD7">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Installations fixes de lutte contre l'incendie - Systèmes équipés de tuyaux - Partie 3 : Maintenance des robinets d'incendie armés équipés de tuyaux semi-rigides et des postes d'eau muraux équipés de tuyaux plats</w:t>
            </w:r>
          </w:p>
        </w:tc>
      </w:tr>
      <w:tr w:rsidR="0043547B" w:rsidRPr="0043547B" w:rsidTr="00691CF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2016"/>
        </w:trPr>
        <w:tc>
          <w:tcPr>
            <w:tcW w:w="1856" w:type="dxa"/>
            <w:tcBorders>
              <w:top w:val="single" w:sz="4" w:space="0" w:color="auto"/>
              <w:left w:val="single" w:sz="18" w:space="0" w:color="auto"/>
              <w:bottom w:val="single" w:sz="18" w:space="0" w:color="auto"/>
              <w:right w:val="single" w:sz="8" w:space="0" w:color="auto"/>
            </w:tcBorders>
            <w:shd w:val="clear" w:color="auto" w:fill="D9D9D9" w:themeFill="background1" w:themeFillShade="D9"/>
            <w:vAlign w:val="center"/>
            <w:hideMark/>
          </w:tcPr>
          <w:p w:rsidR="00BB5DD7" w:rsidRPr="0043547B" w:rsidRDefault="00BB5DD7" w:rsidP="009442B8">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lastRenderedPageBreak/>
              <w:t>Domaine d’application :</w:t>
            </w:r>
          </w:p>
        </w:tc>
        <w:tc>
          <w:tcPr>
            <w:tcW w:w="7938" w:type="dxa"/>
            <w:tcBorders>
              <w:top w:val="single" w:sz="4" w:space="0" w:color="auto"/>
              <w:left w:val="single" w:sz="8" w:space="0" w:color="auto"/>
              <w:bottom w:val="single" w:sz="18" w:space="0" w:color="auto"/>
              <w:right w:val="single" w:sz="18" w:space="0" w:color="auto"/>
            </w:tcBorders>
            <w:shd w:val="clear" w:color="auto" w:fill="auto"/>
            <w:vAlign w:val="bottom"/>
            <w:hideMark/>
          </w:tcPr>
          <w:p w:rsidR="00691CFD" w:rsidRDefault="00BB5DD7" w:rsidP="00691CF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européenne prescrit les exigences relatives à l’inspection et à la maintenance des robinets d’incendie armés et des postes d’eau muraux, pour leur permettre d’assurer en permanence le service pour lequel ils ont été fabriqués, fournis ou installés, c’est-à-dire d’assurer une première intervention d’urgence pour lutter contre un incendie avant que des moyens plus puissants soient mis en oeuvre.</w:t>
            </w:r>
          </w:p>
          <w:p w:rsidR="00BB5DD7" w:rsidRPr="0043547B" w:rsidRDefault="00BB5DD7" w:rsidP="00691CF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européenne s’applique aux robinets d’incendie armés et aux postes d’eau muraux installés dans n’importe quel type de bâtiment quel que soit son usage.</w:t>
            </w:r>
          </w:p>
        </w:tc>
      </w:tr>
      <w:tr w:rsidR="0043547B" w:rsidRPr="0043547B" w:rsidTr="00691CF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312"/>
        </w:trPr>
        <w:tc>
          <w:tcPr>
            <w:tcW w:w="1856" w:type="dxa"/>
            <w:tcBorders>
              <w:top w:val="single" w:sz="18" w:space="0" w:color="auto"/>
              <w:left w:val="single" w:sz="18" w:space="0" w:color="auto"/>
              <w:bottom w:val="single" w:sz="18" w:space="0" w:color="auto"/>
              <w:right w:val="single" w:sz="8" w:space="0" w:color="auto"/>
            </w:tcBorders>
            <w:shd w:val="clear" w:color="auto" w:fill="C2D69B" w:themeFill="accent3" w:themeFillTint="99"/>
            <w:vAlign w:val="center"/>
            <w:hideMark/>
          </w:tcPr>
          <w:p w:rsidR="00BB5DD7" w:rsidRPr="0043547B" w:rsidRDefault="00BB5DD7" w:rsidP="00691CFD">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Code :</w:t>
            </w:r>
          </w:p>
        </w:tc>
        <w:tc>
          <w:tcPr>
            <w:tcW w:w="7938" w:type="dxa"/>
            <w:tcBorders>
              <w:top w:val="single" w:sz="18" w:space="0" w:color="auto"/>
              <w:left w:val="single" w:sz="8" w:space="0" w:color="auto"/>
              <w:bottom w:val="single" w:sz="18" w:space="0" w:color="auto"/>
              <w:right w:val="single" w:sz="18" w:space="0" w:color="auto"/>
            </w:tcBorders>
            <w:shd w:val="clear" w:color="auto" w:fill="C2D69B" w:themeFill="accent3" w:themeFillTint="99"/>
            <w:hideMark/>
          </w:tcPr>
          <w:p w:rsidR="00BB5DD7" w:rsidRPr="0043547B" w:rsidRDefault="00BB5DD7" w:rsidP="00006924">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12101-7</w:t>
            </w:r>
          </w:p>
        </w:tc>
      </w:tr>
      <w:tr w:rsidR="0043547B" w:rsidRPr="0043547B" w:rsidTr="00691CF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312"/>
        </w:trPr>
        <w:tc>
          <w:tcPr>
            <w:tcW w:w="1856" w:type="dxa"/>
            <w:tcBorders>
              <w:top w:val="single" w:sz="18" w:space="0" w:color="auto"/>
              <w:left w:val="single" w:sz="18" w:space="0" w:color="auto"/>
              <w:bottom w:val="single" w:sz="4" w:space="0" w:color="auto"/>
              <w:right w:val="single" w:sz="8" w:space="0" w:color="auto"/>
            </w:tcBorders>
            <w:shd w:val="clear" w:color="auto" w:fill="FDFBA9"/>
            <w:vAlign w:val="center"/>
            <w:hideMark/>
          </w:tcPr>
          <w:p w:rsidR="00BB5DD7" w:rsidRPr="0043547B" w:rsidRDefault="00BB5DD7" w:rsidP="00006924">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Equivalence :</w:t>
            </w:r>
          </w:p>
        </w:tc>
        <w:tc>
          <w:tcPr>
            <w:tcW w:w="7938" w:type="dxa"/>
            <w:tcBorders>
              <w:top w:val="single" w:sz="18" w:space="0" w:color="auto"/>
              <w:left w:val="single" w:sz="8" w:space="0" w:color="auto"/>
              <w:bottom w:val="single" w:sz="4" w:space="0" w:color="auto"/>
              <w:right w:val="single" w:sz="18" w:space="0" w:color="auto"/>
            </w:tcBorders>
            <w:shd w:val="clear" w:color="auto" w:fill="FDFBA9"/>
            <w:vAlign w:val="center"/>
            <w:hideMark/>
          </w:tcPr>
          <w:p w:rsidR="00BB5DD7" w:rsidRPr="0043547B" w:rsidRDefault="00BB5DD7" w:rsidP="00006924">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12101-7</w:t>
            </w:r>
          </w:p>
        </w:tc>
      </w:tr>
      <w:tr w:rsidR="0043547B" w:rsidRPr="0043547B" w:rsidTr="00F226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576"/>
        </w:trPr>
        <w:tc>
          <w:tcPr>
            <w:tcW w:w="1856" w:type="dxa"/>
            <w:tcBorders>
              <w:top w:val="single" w:sz="4" w:space="0" w:color="auto"/>
              <w:left w:val="single" w:sz="18" w:space="0" w:color="auto"/>
              <w:bottom w:val="single" w:sz="4" w:space="0" w:color="auto"/>
              <w:right w:val="single" w:sz="8" w:space="0" w:color="auto"/>
            </w:tcBorders>
            <w:shd w:val="clear" w:color="auto" w:fill="B8CCE4" w:themeFill="accent1" w:themeFillTint="66"/>
            <w:vAlign w:val="center"/>
            <w:hideMark/>
          </w:tcPr>
          <w:p w:rsidR="00BB5DD7" w:rsidRPr="0043547B" w:rsidRDefault="00BB5DD7" w:rsidP="00006924">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Intitulé :</w:t>
            </w:r>
          </w:p>
        </w:tc>
        <w:tc>
          <w:tcPr>
            <w:tcW w:w="7938" w:type="dxa"/>
            <w:tcBorders>
              <w:top w:val="single" w:sz="4" w:space="0" w:color="auto"/>
              <w:left w:val="single" w:sz="8" w:space="0" w:color="auto"/>
              <w:bottom w:val="single" w:sz="4" w:space="0" w:color="auto"/>
              <w:right w:val="single" w:sz="18" w:space="0" w:color="auto"/>
            </w:tcBorders>
            <w:shd w:val="clear" w:color="auto" w:fill="auto"/>
            <w:hideMark/>
          </w:tcPr>
          <w:p w:rsidR="00BB5DD7" w:rsidRPr="0043547B" w:rsidRDefault="00BB5DD7" w:rsidP="00BB5DD7">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Systèmes pour le contrôle des fumées et de la chaleur - Partie 7 : Tronçons de conduit de désenfumage</w:t>
            </w:r>
          </w:p>
        </w:tc>
      </w:tr>
      <w:tr w:rsidR="0043547B" w:rsidRPr="0043547B" w:rsidTr="00691CF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985"/>
        </w:trPr>
        <w:tc>
          <w:tcPr>
            <w:tcW w:w="1856" w:type="dxa"/>
            <w:tcBorders>
              <w:top w:val="single" w:sz="4" w:space="0" w:color="auto"/>
              <w:left w:val="single" w:sz="18" w:space="0" w:color="auto"/>
              <w:bottom w:val="single" w:sz="18" w:space="0" w:color="auto"/>
              <w:right w:val="single" w:sz="8" w:space="0" w:color="auto"/>
            </w:tcBorders>
            <w:shd w:val="clear" w:color="auto" w:fill="D9D9D9" w:themeFill="background1" w:themeFillShade="D9"/>
            <w:vAlign w:val="center"/>
            <w:hideMark/>
          </w:tcPr>
          <w:p w:rsidR="00BB5DD7" w:rsidRPr="0043547B" w:rsidRDefault="00BB5DD7" w:rsidP="009442B8">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Domaine d’application :</w:t>
            </w:r>
          </w:p>
        </w:tc>
        <w:tc>
          <w:tcPr>
            <w:tcW w:w="7938" w:type="dxa"/>
            <w:tcBorders>
              <w:top w:val="single" w:sz="4" w:space="0" w:color="auto"/>
              <w:left w:val="single" w:sz="8" w:space="0" w:color="auto"/>
              <w:bottom w:val="single" w:sz="18" w:space="0" w:color="auto"/>
              <w:right w:val="single" w:sz="18" w:space="0" w:color="auto"/>
            </w:tcBorders>
            <w:shd w:val="clear" w:color="auto" w:fill="auto"/>
            <w:hideMark/>
          </w:tcPr>
          <w:p w:rsidR="00691CFD" w:rsidRDefault="00BB5DD7" w:rsidP="00691CF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européenne s'applique aux tronçons de conduit de désenfumage, mis sur le marché et destinés à faire partie d'un système à différentiel de pression ou d'un système d'évacuation des fumées et de la chaleur.</w:t>
            </w:r>
            <w:r w:rsidRPr="0043547B">
              <w:rPr>
                <w:rFonts w:eastAsia="Times New Roman" w:cstheme="minorHAnsi"/>
                <w:sz w:val="24"/>
                <w:szCs w:val="24"/>
                <w:lang w:eastAsia="fr-FR"/>
              </w:rPr>
              <w:br/>
              <w:t>La présente norme spécifie les exigences et les méthodes d'essai relatives aux tronçons de conduit de désenfumage et à leurs composants associés (par exemple, supports et autres éléments éprouvés au moment des essais), qui sont destinés à être installés dans de tels systèmes dans des bâtiments. Elle traite également de l'évaluation de la conformité des produits aux exigences de la présente norme. En outre, les dispositions relatives au marquage et les informations relatives à l'installation et à la maintenance de ces produits sont également fournies dans la présente Norme européenne.</w:t>
            </w:r>
          </w:p>
          <w:p w:rsidR="00691CFD" w:rsidRDefault="00BB5DD7" w:rsidP="00691CF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Pour éviter toute répétition, il est fait référence à un certain nombre d’autres normes. La présente norme doit donc être lue conjointement avec l'EN 1366-8, l'EN 1366-9 et l'EN 1366-1, pour tous détails concernant les essais de résistance au feu et l'EN 13501-4 pour le classement correspondant.</w:t>
            </w:r>
          </w:p>
          <w:p w:rsidR="00691CFD" w:rsidRDefault="00BB5DD7" w:rsidP="00691CF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ne traite pas dans le détail des effets négatifs et/ou corrosifs susceptibles d'être liés à des produits chimiques présents dans l'atmosphère et pénétrant dans le système, que ce soit par accident ou par une action volontaire.</w:t>
            </w:r>
            <w:r w:rsidRPr="0043547B">
              <w:rPr>
                <w:rFonts w:eastAsia="Times New Roman" w:cstheme="minorHAnsi"/>
                <w:sz w:val="24"/>
                <w:szCs w:val="24"/>
                <w:lang w:eastAsia="fr-FR"/>
              </w:rPr>
              <w:br/>
              <w:t>La présente Norme européenne traite également des composants associés utilisés avec les tronçons de conduit de désenfumage, tels que les aubes directrices et les silencieux, à l'exception des exutoires, ouvrants, ventilateurs et volets de désenfumage, qui font l'objet de normes distinctes.</w:t>
            </w:r>
          </w:p>
          <w:p w:rsidR="00BB5DD7" w:rsidRPr="0043547B" w:rsidRDefault="00BB5DD7" w:rsidP="00691CF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ne traite pas des conduits utilisés ailleurs que dans les systèmes de contrôle/évacuation des fumées et de la chaleur.</w:t>
            </w:r>
          </w:p>
        </w:tc>
      </w:tr>
      <w:tr w:rsidR="0043547B" w:rsidRPr="0043547B" w:rsidTr="00691CF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312"/>
        </w:trPr>
        <w:tc>
          <w:tcPr>
            <w:tcW w:w="1856" w:type="dxa"/>
            <w:tcBorders>
              <w:top w:val="single" w:sz="18" w:space="0" w:color="auto"/>
              <w:left w:val="single" w:sz="18" w:space="0" w:color="auto"/>
              <w:bottom w:val="single" w:sz="18" w:space="0" w:color="auto"/>
              <w:right w:val="single" w:sz="8" w:space="0" w:color="auto"/>
            </w:tcBorders>
            <w:shd w:val="clear" w:color="auto" w:fill="C2D69B" w:themeFill="accent3" w:themeFillTint="99"/>
            <w:vAlign w:val="center"/>
            <w:hideMark/>
          </w:tcPr>
          <w:p w:rsidR="00BB5DD7" w:rsidRPr="0043547B" w:rsidRDefault="00BB5DD7" w:rsidP="00691CFD">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Code :</w:t>
            </w:r>
          </w:p>
        </w:tc>
        <w:tc>
          <w:tcPr>
            <w:tcW w:w="7938" w:type="dxa"/>
            <w:tcBorders>
              <w:top w:val="single" w:sz="18" w:space="0" w:color="auto"/>
              <w:left w:val="single" w:sz="8" w:space="0" w:color="auto"/>
              <w:bottom w:val="single" w:sz="18" w:space="0" w:color="auto"/>
              <w:right w:val="single" w:sz="18" w:space="0" w:color="auto"/>
            </w:tcBorders>
            <w:shd w:val="clear" w:color="auto" w:fill="C2D69B" w:themeFill="accent3" w:themeFillTint="99"/>
            <w:hideMark/>
          </w:tcPr>
          <w:p w:rsidR="00BB5DD7" w:rsidRPr="0043547B" w:rsidRDefault="00BB5DD7" w:rsidP="00006924">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12101-8</w:t>
            </w:r>
          </w:p>
        </w:tc>
      </w:tr>
      <w:tr w:rsidR="0043547B" w:rsidRPr="0043547B" w:rsidTr="00691CF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312"/>
        </w:trPr>
        <w:tc>
          <w:tcPr>
            <w:tcW w:w="1856" w:type="dxa"/>
            <w:tcBorders>
              <w:top w:val="single" w:sz="18" w:space="0" w:color="auto"/>
              <w:left w:val="single" w:sz="18" w:space="0" w:color="auto"/>
              <w:bottom w:val="single" w:sz="4" w:space="0" w:color="auto"/>
              <w:right w:val="single" w:sz="8" w:space="0" w:color="auto"/>
            </w:tcBorders>
            <w:shd w:val="clear" w:color="auto" w:fill="FDFBA9"/>
            <w:vAlign w:val="center"/>
            <w:hideMark/>
          </w:tcPr>
          <w:p w:rsidR="00BB5DD7" w:rsidRPr="0043547B" w:rsidRDefault="00BB5DD7" w:rsidP="00006924">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Equivalence :</w:t>
            </w:r>
          </w:p>
        </w:tc>
        <w:tc>
          <w:tcPr>
            <w:tcW w:w="7938" w:type="dxa"/>
            <w:tcBorders>
              <w:top w:val="single" w:sz="18" w:space="0" w:color="auto"/>
              <w:left w:val="single" w:sz="8" w:space="0" w:color="auto"/>
              <w:bottom w:val="single" w:sz="4" w:space="0" w:color="auto"/>
              <w:right w:val="single" w:sz="18" w:space="0" w:color="auto"/>
            </w:tcBorders>
            <w:shd w:val="clear" w:color="auto" w:fill="FDFBA9"/>
            <w:vAlign w:val="center"/>
            <w:hideMark/>
          </w:tcPr>
          <w:p w:rsidR="00BB5DD7" w:rsidRPr="0043547B" w:rsidRDefault="00BB5DD7" w:rsidP="00006924">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12101-8</w:t>
            </w:r>
          </w:p>
        </w:tc>
      </w:tr>
      <w:tr w:rsidR="0043547B" w:rsidRPr="0043547B" w:rsidTr="00F226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576"/>
        </w:trPr>
        <w:tc>
          <w:tcPr>
            <w:tcW w:w="1856" w:type="dxa"/>
            <w:tcBorders>
              <w:top w:val="single" w:sz="4" w:space="0" w:color="auto"/>
              <w:left w:val="single" w:sz="18" w:space="0" w:color="auto"/>
              <w:bottom w:val="single" w:sz="4" w:space="0" w:color="auto"/>
              <w:right w:val="single" w:sz="8" w:space="0" w:color="auto"/>
            </w:tcBorders>
            <w:shd w:val="clear" w:color="auto" w:fill="B8CCE4" w:themeFill="accent1" w:themeFillTint="66"/>
            <w:vAlign w:val="center"/>
            <w:hideMark/>
          </w:tcPr>
          <w:p w:rsidR="00BB5DD7" w:rsidRPr="0043547B" w:rsidRDefault="00BB5DD7" w:rsidP="00006924">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Intitulé :</w:t>
            </w:r>
          </w:p>
        </w:tc>
        <w:tc>
          <w:tcPr>
            <w:tcW w:w="7938" w:type="dxa"/>
            <w:tcBorders>
              <w:top w:val="single" w:sz="4" w:space="0" w:color="auto"/>
              <w:left w:val="single" w:sz="8" w:space="0" w:color="auto"/>
              <w:bottom w:val="single" w:sz="4" w:space="0" w:color="auto"/>
              <w:right w:val="single" w:sz="18" w:space="0" w:color="auto"/>
            </w:tcBorders>
            <w:shd w:val="clear" w:color="auto" w:fill="auto"/>
            <w:hideMark/>
          </w:tcPr>
          <w:p w:rsidR="00BB5DD7" w:rsidRPr="0043547B" w:rsidRDefault="00BB5DD7" w:rsidP="00BB5DD7">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Systèmes pour le contrôle des fumées et de la chaleur - Partie 8 : Volets de désenfumage</w:t>
            </w:r>
          </w:p>
        </w:tc>
      </w:tr>
      <w:tr w:rsidR="0043547B" w:rsidRPr="0043547B" w:rsidTr="00691CF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1410"/>
        </w:trPr>
        <w:tc>
          <w:tcPr>
            <w:tcW w:w="1856" w:type="dxa"/>
            <w:tcBorders>
              <w:top w:val="single" w:sz="4" w:space="0" w:color="auto"/>
              <w:left w:val="single" w:sz="18" w:space="0" w:color="auto"/>
              <w:bottom w:val="single" w:sz="18" w:space="0" w:color="auto"/>
              <w:right w:val="single" w:sz="8" w:space="0" w:color="auto"/>
            </w:tcBorders>
            <w:shd w:val="clear" w:color="auto" w:fill="D9D9D9" w:themeFill="background1" w:themeFillShade="D9"/>
            <w:vAlign w:val="center"/>
            <w:hideMark/>
          </w:tcPr>
          <w:p w:rsidR="00BB5DD7" w:rsidRPr="0043547B" w:rsidRDefault="00BB5DD7" w:rsidP="009442B8">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Domaine d’application :</w:t>
            </w:r>
          </w:p>
        </w:tc>
        <w:tc>
          <w:tcPr>
            <w:tcW w:w="7938" w:type="dxa"/>
            <w:tcBorders>
              <w:top w:val="single" w:sz="4" w:space="0" w:color="auto"/>
              <w:left w:val="single" w:sz="8" w:space="0" w:color="auto"/>
              <w:bottom w:val="single" w:sz="18" w:space="0" w:color="auto"/>
              <w:right w:val="single" w:sz="18" w:space="0" w:color="auto"/>
            </w:tcBorders>
            <w:shd w:val="clear" w:color="auto" w:fill="auto"/>
            <w:hideMark/>
          </w:tcPr>
          <w:p w:rsidR="00691CFD" w:rsidRDefault="00BB5DD7" w:rsidP="00691CF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européenne s'applique aux volets de désenfumage, mis sur le marché et destinés à faire partie d'un système à différentiel de pression ou d'un système de contrôle des fumées et de la chaleur. La présente norme prescrit les exigences et les méthodes d'essai relatives aux volets de désenfumage et à leurs composants associés, tels que les mécanismes de commande, qui sont destinés à être installés dans de tels systèmes dans des bâtiments.</w:t>
            </w:r>
          </w:p>
          <w:p w:rsidR="00691CFD" w:rsidRDefault="00BB5DD7" w:rsidP="00691CF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lastRenderedPageBreak/>
              <w:t>Elle traite également de l'évaluation de la conformité de ces produits aux exigences de la présente norme. En outre, les dispositions relatives au marquage et les informations relatives à l'installation et à la maintenance de ces produits sont également fournies.</w:t>
            </w:r>
          </w:p>
          <w:p w:rsidR="00691CFD" w:rsidRDefault="00BB5DD7" w:rsidP="00691CF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européenne fait la distinction entre deux catégories de volets de désenfumage, à savoir les volets de désenfumage pour conduits mono-compartiments et les volets de désenfumage résistants au feu pour conduits multi-compartiments.</w:t>
            </w:r>
            <w:r w:rsidRPr="0043547B">
              <w:rPr>
                <w:rFonts w:eastAsia="Times New Roman" w:cstheme="minorHAnsi"/>
                <w:sz w:val="24"/>
                <w:szCs w:val="24"/>
                <w:lang w:eastAsia="fr-FR"/>
              </w:rPr>
              <w:br/>
              <w:t>Les volets de désenfumage couverts par la présente Norme européenne peuvent être installés dans les conduits de désenfumage ou à la surface de ces conduits.</w:t>
            </w:r>
          </w:p>
          <w:p w:rsidR="00691CFD" w:rsidRDefault="00BB5DD7" w:rsidP="00691CF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Ils peuvent également être installés dans un mur, un plancher ou des éléments de plafond/toiture ou à la surface de ces éléments.</w:t>
            </w:r>
          </w:p>
          <w:p w:rsidR="00691CFD" w:rsidRDefault="00BB5DD7" w:rsidP="00691CF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Pour éviter toute répétition, il est fait référence à un certain nombre d'autres normes. La présente norme doit donc être lue conjointement avec l'EN 13501-4, l’EN 1366-10 et l'EN 1366-2 pour tous détails concernant les essais de résistance au feu.</w:t>
            </w:r>
          </w:p>
          <w:p w:rsidR="00BB5DD7" w:rsidRPr="0043547B" w:rsidRDefault="00BB5DD7" w:rsidP="00691CF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ne traite pas dans le détail des effets négatifs et/ou corrosifs susceptibles d'être liés à des produits chimiques présents dans l'atmosphère et pénétrant dans le système, que ce soit par accident ou par une action volontaire.</w:t>
            </w:r>
          </w:p>
        </w:tc>
      </w:tr>
      <w:tr w:rsidR="0043547B" w:rsidRPr="0043547B" w:rsidTr="00691CF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312"/>
        </w:trPr>
        <w:tc>
          <w:tcPr>
            <w:tcW w:w="1856" w:type="dxa"/>
            <w:tcBorders>
              <w:top w:val="single" w:sz="18" w:space="0" w:color="auto"/>
              <w:left w:val="single" w:sz="18" w:space="0" w:color="auto"/>
              <w:bottom w:val="single" w:sz="18" w:space="0" w:color="auto"/>
              <w:right w:val="single" w:sz="8" w:space="0" w:color="auto"/>
            </w:tcBorders>
            <w:shd w:val="clear" w:color="auto" w:fill="C2D69B" w:themeFill="accent3" w:themeFillTint="99"/>
            <w:vAlign w:val="center"/>
            <w:hideMark/>
          </w:tcPr>
          <w:p w:rsidR="00BB5DD7" w:rsidRPr="0043547B" w:rsidRDefault="00BB5DD7" w:rsidP="00691CFD">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lastRenderedPageBreak/>
              <w:t>Code :</w:t>
            </w:r>
          </w:p>
        </w:tc>
        <w:tc>
          <w:tcPr>
            <w:tcW w:w="7938" w:type="dxa"/>
            <w:tcBorders>
              <w:top w:val="single" w:sz="18" w:space="0" w:color="auto"/>
              <w:left w:val="single" w:sz="8" w:space="0" w:color="auto"/>
              <w:bottom w:val="single" w:sz="18" w:space="0" w:color="auto"/>
              <w:right w:val="single" w:sz="18" w:space="0" w:color="auto"/>
            </w:tcBorders>
            <w:shd w:val="clear" w:color="auto" w:fill="C2D69B" w:themeFill="accent3" w:themeFillTint="99"/>
            <w:hideMark/>
          </w:tcPr>
          <w:p w:rsidR="00BB5DD7" w:rsidRPr="0043547B" w:rsidRDefault="00BB5DD7" w:rsidP="00006924">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14384</w:t>
            </w:r>
          </w:p>
        </w:tc>
      </w:tr>
      <w:tr w:rsidR="0043547B" w:rsidRPr="0043547B" w:rsidTr="00691CF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312"/>
        </w:trPr>
        <w:tc>
          <w:tcPr>
            <w:tcW w:w="1856" w:type="dxa"/>
            <w:tcBorders>
              <w:top w:val="single" w:sz="18" w:space="0" w:color="auto"/>
              <w:left w:val="single" w:sz="18" w:space="0" w:color="auto"/>
              <w:bottom w:val="single" w:sz="4" w:space="0" w:color="auto"/>
              <w:right w:val="single" w:sz="8" w:space="0" w:color="auto"/>
            </w:tcBorders>
            <w:shd w:val="clear" w:color="auto" w:fill="FDFBA9"/>
            <w:vAlign w:val="center"/>
            <w:hideMark/>
          </w:tcPr>
          <w:p w:rsidR="00BB5DD7" w:rsidRPr="0043547B" w:rsidRDefault="00BB5DD7" w:rsidP="00006924">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Equivalence :</w:t>
            </w:r>
          </w:p>
        </w:tc>
        <w:tc>
          <w:tcPr>
            <w:tcW w:w="7938" w:type="dxa"/>
            <w:tcBorders>
              <w:top w:val="single" w:sz="18" w:space="0" w:color="auto"/>
              <w:left w:val="single" w:sz="8" w:space="0" w:color="auto"/>
              <w:bottom w:val="single" w:sz="4" w:space="0" w:color="auto"/>
              <w:right w:val="single" w:sz="18" w:space="0" w:color="auto"/>
            </w:tcBorders>
            <w:shd w:val="clear" w:color="auto" w:fill="FDFBA9"/>
            <w:vAlign w:val="center"/>
            <w:hideMark/>
          </w:tcPr>
          <w:p w:rsidR="00BB5DD7" w:rsidRPr="0043547B" w:rsidRDefault="00BB5DD7" w:rsidP="00006924">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14384</w:t>
            </w:r>
          </w:p>
        </w:tc>
      </w:tr>
      <w:tr w:rsidR="0043547B" w:rsidRPr="0043547B" w:rsidTr="00F226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312"/>
        </w:trPr>
        <w:tc>
          <w:tcPr>
            <w:tcW w:w="1856" w:type="dxa"/>
            <w:tcBorders>
              <w:top w:val="single" w:sz="4" w:space="0" w:color="auto"/>
              <w:left w:val="single" w:sz="18" w:space="0" w:color="auto"/>
              <w:bottom w:val="single" w:sz="4" w:space="0" w:color="auto"/>
              <w:right w:val="single" w:sz="8" w:space="0" w:color="auto"/>
            </w:tcBorders>
            <w:shd w:val="clear" w:color="auto" w:fill="B8CCE4" w:themeFill="accent1" w:themeFillTint="66"/>
            <w:vAlign w:val="center"/>
            <w:hideMark/>
          </w:tcPr>
          <w:p w:rsidR="00BB5DD7" w:rsidRPr="0043547B" w:rsidRDefault="00BB5DD7" w:rsidP="00006924">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Intitulé :</w:t>
            </w:r>
          </w:p>
        </w:tc>
        <w:tc>
          <w:tcPr>
            <w:tcW w:w="7938" w:type="dxa"/>
            <w:tcBorders>
              <w:top w:val="single" w:sz="4" w:space="0" w:color="auto"/>
              <w:left w:val="single" w:sz="8" w:space="0" w:color="auto"/>
              <w:bottom w:val="single" w:sz="4" w:space="0" w:color="auto"/>
              <w:right w:val="single" w:sz="18" w:space="0" w:color="auto"/>
            </w:tcBorders>
            <w:shd w:val="clear" w:color="auto" w:fill="auto"/>
            <w:hideMark/>
          </w:tcPr>
          <w:p w:rsidR="00BB5DD7" w:rsidRPr="0043547B" w:rsidRDefault="00BB5DD7" w:rsidP="00BB5DD7">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Poteaux d'incendie  </w:t>
            </w:r>
          </w:p>
        </w:tc>
      </w:tr>
      <w:tr w:rsidR="0043547B" w:rsidRPr="0043547B" w:rsidTr="00691CF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843"/>
        </w:trPr>
        <w:tc>
          <w:tcPr>
            <w:tcW w:w="1856" w:type="dxa"/>
            <w:tcBorders>
              <w:top w:val="single" w:sz="4" w:space="0" w:color="auto"/>
              <w:left w:val="single" w:sz="18" w:space="0" w:color="auto"/>
              <w:bottom w:val="single" w:sz="18" w:space="0" w:color="auto"/>
              <w:right w:val="single" w:sz="8" w:space="0" w:color="auto"/>
            </w:tcBorders>
            <w:shd w:val="clear" w:color="auto" w:fill="D9D9D9" w:themeFill="background1" w:themeFillShade="D9"/>
            <w:vAlign w:val="center"/>
            <w:hideMark/>
          </w:tcPr>
          <w:p w:rsidR="00BB5DD7" w:rsidRPr="0043547B" w:rsidRDefault="00BB5DD7" w:rsidP="009442B8">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Domaine d’application :</w:t>
            </w:r>
          </w:p>
        </w:tc>
        <w:tc>
          <w:tcPr>
            <w:tcW w:w="7938" w:type="dxa"/>
            <w:tcBorders>
              <w:top w:val="single" w:sz="4" w:space="0" w:color="auto"/>
              <w:left w:val="single" w:sz="8" w:space="0" w:color="auto"/>
              <w:bottom w:val="single" w:sz="18" w:space="0" w:color="auto"/>
              <w:right w:val="single" w:sz="18" w:space="0" w:color="auto"/>
            </w:tcBorders>
            <w:shd w:val="clear" w:color="auto" w:fill="auto"/>
            <w:vAlign w:val="bottom"/>
            <w:hideMark/>
          </w:tcPr>
          <w:p w:rsidR="00691CFD" w:rsidRDefault="00BB5DD7" w:rsidP="00691CF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La présente Norme européenne contient des prescriptions minimales relatives aux poteaux destinés à la lutte contre l'incendie ainsi que des informations sur les méthodes d'essai applicables, le marquage et l'évaluation de la conformité. </w:t>
            </w:r>
          </w:p>
          <w:p w:rsidR="00691CFD" w:rsidRPr="00691CFD" w:rsidRDefault="00691CFD" w:rsidP="00BB5DD7">
            <w:pPr>
              <w:spacing w:after="0" w:line="240" w:lineRule="auto"/>
              <w:rPr>
                <w:rFonts w:eastAsia="Times New Roman" w:cstheme="minorHAnsi"/>
                <w:sz w:val="2"/>
                <w:szCs w:val="2"/>
                <w:lang w:eastAsia="fr-FR"/>
              </w:rPr>
            </w:pPr>
          </w:p>
          <w:p w:rsidR="00691CFD" w:rsidRDefault="00691CFD" w:rsidP="00691CFD">
            <w:pPr>
              <w:spacing w:after="0" w:line="240" w:lineRule="auto"/>
              <w:rPr>
                <w:rFonts w:eastAsia="Times New Roman" w:cstheme="minorHAnsi"/>
                <w:sz w:val="24"/>
                <w:szCs w:val="24"/>
                <w:lang w:eastAsia="fr-FR"/>
              </w:rPr>
            </w:pPr>
            <w:r w:rsidRPr="0043547B">
              <w:rPr>
                <w:rFonts w:eastAsia="Times New Roman" w:cstheme="minorHAnsi"/>
                <w:sz w:val="24"/>
                <w:szCs w:val="24"/>
                <w:lang w:eastAsia="fr-FR"/>
              </w:rPr>
              <w:t>Il s'applique aux poteaux :</w:t>
            </w:r>
            <w:r w:rsidRPr="0043547B">
              <w:rPr>
                <w:rFonts w:eastAsia="Times New Roman" w:cstheme="minorHAnsi"/>
                <w:sz w:val="24"/>
                <w:szCs w:val="24"/>
                <w:lang w:eastAsia="fr-FR"/>
              </w:rPr>
              <w:br/>
              <w:t>— devant être installés sur un réseau de distribution d'eau ;</w:t>
            </w:r>
            <w:r w:rsidRPr="0043547B">
              <w:rPr>
                <w:rFonts w:eastAsia="Times New Roman" w:cstheme="minorHAnsi"/>
                <w:sz w:val="24"/>
                <w:szCs w:val="24"/>
                <w:lang w:eastAsia="fr-FR"/>
              </w:rPr>
              <w:br/>
              <w:t>— de dimensions DN 80, DN 100 et DN 150 ;</w:t>
            </w:r>
            <w:r w:rsidRPr="0043547B">
              <w:rPr>
                <w:rFonts w:eastAsia="Times New Roman" w:cstheme="minorHAnsi"/>
                <w:sz w:val="24"/>
                <w:szCs w:val="24"/>
                <w:lang w:eastAsia="fr-FR"/>
              </w:rPr>
              <w:br/>
              <w:t>— approprié à une pression de fonctionnement admissible, PFA, de PN 16, avec ou sans dispositif de vidange ;</w:t>
            </w:r>
            <w:r w:rsidRPr="0043547B">
              <w:rPr>
                <w:rFonts w:eastAsia="Times New Roman" w:cstheme="minorHAnsi"/>
                <w:sz w:val="24"/>
                <w:szCs w:val="24"/>
                <w:lang w:eastAsia="fr-FR"/>
              </w:rPr>
              <w:br/>
              <w:t>— munis de raccordement d’entrée verticaux ou horizontaux, à bride, à extrémité à emboîter mâle ou femelle ;</w:t>
            </w:r>
            <w:r w:rsidRPr="0043547B">
              <w:rPr>
                <w:rFonts w:eastAsia="Times New Roman" w:cstheme="minorHAnsi"/>
                <w:sz w:val="24"/>
                <w:szCs w:val="24"/>
                <w:lang w:eastAsia="fr-FR"/>
              </w:rPr>
              <w:br/>
              <w:t>— comportant un ou deux orifices de sortie, conforme(s) aux prescriptions nationales ;</w:t>
            </w:r>
            <w:r w:rsidRPr="0043547B">
              <w:rPr>
                <w:rFonts w:eastAsia="Times New Roman" w:cstheme="minorHAnsi"/>
                <w:sz w:val="24"/>
                <w:szCs w:val="24"/>
                <w:lang w:eastAsia="fr-FR"/>
              </w:rPr>
              <w:br/>
              <w:t>— munis d’appareils de robinetterie de type robinet à soupape (à tige non montante) ou robinet-vanne.</w:t>
            </w:r>
          </w:p>
          <w:p w:rsidR="00691CFD" w:rsidRDefault="00691CFD" w:rsidP="00691CF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peut également être utilisée pour l'évaluation de la conformité des poteaux d'incendie enterrés conformes aux prescriptions contenues dans la présente norme.</w:t>
            </w:r>
          </w:p>
          <w:p w:rsidR="00691CFD" w:rsidRDefault="00691CFD" w:rsidP="00691CF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s'applique aux poteaux d'incendie alimentés en eau potable et non potable et en eau filtrée.</w:t>
            </w:r>
          </w:p>
          <w:p w:rsidR="00BB5DD7" w:rsidRPr="0043547B" w:rsidRDefault="00691CFD" w:rsidP="00691CF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Des prescriptions complémentaires peuvent s'appliquer dans le cas d'autres liquides.</w:t>
            </w:r>
            <w:r w:rsidRPr="0043547B">
              <w:rPr>
                <w:rFonts w:eastAsia="Times New Roman" w:cstheme="minorHAnsi"/>
                <w:sz w:val="24"/>
                <w:szCs w:val="24"/>
                <w:lang w:eastAsia="fr-FR"/>
              </w:rPr>
              <w:br/>
              <w:t>Les manchons d’assemblage raccordés aux orifices de sortie ne relèvent pas du domaine d'application du présent document et il convient qu’ils soient conformes aux règlementations nationales.</w:t>
            </w:r>
          </w:p>
        </w:tc>
      </w:tr>
      <w:tr w:rsidR="0043547B" w:rsidRPr="0043547B" w:rsidTr="00691CF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312"/>
        </w:trPr>
        <w:tc>
          <w:tcPr>
            <w:tcW w:w="1856" w:type="dxa"/>
            <w:tcBorders>
              <w:top w:val="single" w:sz="18" w:space="0" w:color="auto"/>
              <w:left w:val="single" w:sz="18" w:space="0" w:color="auto"/>
              <w:bottom w:val="single" w:sz="18" w:space="0" w:color="auto"/>
              <w:right w:val="single" w:sz="8" w:space="0" w:color="auto"/>
            </w:tcBorders>
            <w:shd w:val="clear" w:color="auto" w:fill="C2D69B" w:themeFill="accent3" w:themeFillTint="99"/>
            <w:vAlign w:val="center"/>
            <w:hideMark/>
          </w:tcPr>
          <w:p w:rsidR="00BB5DD7" w:rsidRPr="0043547B" w:rsidRDefault="00BB5DD7" w:rsidP="00691CFD">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Code :</w:t>
            </w:r>
          </w:p>
        </w:tc>
        <w:tc>
          <w:tcPr>
            <w:tcW w:w="7938" w:type="dxa"/>
            <w:tcBorders>
              <w:top w:val="single" w:sz="18" w:space="0" w:color="auto"/>
              <w:left w:val="single" w:sz="8" w:space="0" w:color="auto"/>
              <w:bottom w:val="single" w:sz="18" w:space="0" w:color="auto"/>
              <w:right w:val="single" w:sz="18" w:space="0" w:color="auto"/>
            </w:tcBorders>
            <w:shd w:val="clear" w:color="auto" w:fill="C2D69B" w:themeFill="accent3" w:themeFillTint="99"/>
            <w:vAlign w:val="bottom"/>
            <w:hideMark/>
          </w:tcPr>
          <w:p w:rsidR="00BB5DD7" w:rsidRPr="0043547B" w:rsidRDefault="00BB5DD7" w:rsidP="00006924">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21.9.032</w:t>
            </w:r>
          </w:p>
        </w:tc>
      </w:tr>
      <w:tr w:rsidR="0043547B" w:rsidRPr="0043547B" w:rsidTr="00691CF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312"/>
        </w:trPr>
        <w:tc>
          <w:tcPr>
            <w:tcW w:w="1856" w:type="dxa"/>
            <w:tcBorders>
              <w:top w:val="single" w:sz="18" w:space="0" w:color="auto"/>
              <w:left w:val="single" w:sz="18" w:space="0" w:color="auto"/>
              <w:bottom w:val="single" w:sz="4" w:space="0" w:color="auto"/>
              <w:right w:val="single" w:sz="8" w:space="0" w:color="auto"/>
            </w:tcBorders>
            <w:shd w:val="clear" w:color="auto" w:fill="B8CCE4" w:themeFill="accent1" w:themeFillTint="66"/>
            <w:vAlign w:val="center"/>
            <w:hideMark/>
          </w:tcPr>
          <w:p w:rsidR="00BB5DD7" w:rsidRPr="0043547B" w:rsidRDefault="00BB5DD7" w:rsidP="00006924">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Intitulé :</w:t>
            </w:r>
          </w:p>
        </w:tc>
        <w:tc>
          <w:tcPr>
            <w:tcW w:w="7938" w:type="dxa"/>
            <w:tcBorders>
              <w:top w:val="single" w:sz="18" w:space="0" w:color="auto"/>
              <w:left w:val="single" w:sz="8" w:space="0" w:color="auto"/>
              <w:bottom w:val="single" w:sz="4" w:space="0" w:color="auto"/>
              <w:right w:val="single" w:sz="18" w:space="0" w:color="auto"/>
            </w:tcBorders>
            <w:shd w:val="clear" w:color="auto" w:fill="auto"/>
            <w:hideMark/>
          </w:tcPr>
          <w:p w:rsidR="00BB5DD7" w:rsidRPr="0043547B" w:rsidRDefault="00BB5DD7" w:rsidP="00BB5DD7">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Poteaux d’incendie - Complément de la NM EN 14384:2018</w:t>
            </w:r>
          </w:p>
        </w:tc>
      </w:tr>
      <w:tr w:rsidR="0043547B" w:rsidRPr="0043547B" w:rsidTr="00691CF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864"/>
        </w:trPr>
        <w:tc>
          <w:tcPr>
            <w:tcW w:w="1856" w:type="dxa"/>
            <w:tcBorders>
              <w:top w:val="single" w:sz="4" w:space="0" w:color="auto"/>
              <w:left w:val="single" w:sz="18" w:space="0" w:color="auto"/>
              <w:bottom w:val="single" w:sz="18" w:space="0" w:color="auto"/>
              <w:right w:val="single" w:sz="8" w:space="0" w:color="auto"/>
            </w:tcBorders>
            <w:shd w:val="clear" w:color="auto" w:fill="D9D9D9" w:themeFill="background1" w:themeFillShade="D9"/>
            <w:vAlign w:val="center"/>
            <w:hideMark/>
          </w:tcPr>
          <w:p w:rsidR="00BB5DD7" w:rsidRPr="0043547B" w:rsidRDefault="00BB5DD7" w:rsidP="009442B8">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lastRenderedPageBreak/>
              <w:t>Domaine d’application :</w:t>
            </w:r>
          </w:p>
        </w:tc>
        <w:tc>
          <w:tcPr>
            <w:tcW w:w="7938" w:type="dxa"/>
            <w:tcBorders>
              <w:top w:val="single" w:sz="4" w:space="0" w:color="auto"/>
              <w:left w:val="single" w:sz="8" w:space="0" w:color="auto"/>
              <w:bottom w:val="single" w:sz="18" w:space="0" w:color="auto"/>
              <w:right w:val="single" w:sz="18" w:space="0" w:color="auto"/>
            </w:tcBorders>
            <w:shd w:val="clear" w:color="auto" w:fill="auto"/>
            <w:hideMark/>
          </w:tcPr>
          <w:p w:rsidR="00BB5DD7" w:rsidRPr="0043547B" w:rsidRDefault="00BB5DD7" w:rsidP="00691CF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s’applique aux poteaux d’incendie devant être installés sur un réseau de distribution d'eau, couverts par la norme NM EN 14384 et conformes pour leurs autres caractéristiques aux prescriptions de cette norme européenne.</w:t>
            </w:r>
          </w:p>
        </w:tc>
      </w:tr>
      <w:tr w:rsidR="0043547B" w:rsidRPr="0043547B" w:rsidTr="00691CF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312"/>
        </w:trPr>
        <w:tc>
          <w:tcPr>
            <w:tcW w:w="1856" w:type="dxa"/>
            <w:tcBorders>
              <w:top w:val="single" w:sz="18" w:space="0" w:color="auto"/>
              <w:left w:val="single" w:sz="18" w:space="0" w:color="auto"/>
              <w:bottom w:val="single" w:sz="18" w:space="0" w:color="auto"/>
              <w:right w:val="single" w:sz="8" w:space="0" w:color="auto"/>
            </w:tcBorders>
            <w:shd w:val="clear" w:color="auto" w:fill="C2D69B" w:themeFill="accent3" w:themeFillTint="99"/>
            <w:vAlign w:val="center"/>
            <w:hideMark/>
          </w:tcPr>
          <w:p w:rsidR="00BB5DD7" w:rsidRPr="0043547B" w:rsidRDefault="00BB5DD7" w:rsidP="00691CFD">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Code :</w:t>
            </w:r>
          </w:p>
        </w:tc>
        <w:tc>
          <w:tcPr>
            <w:tcW w:w="7938" w:type="dxa"/>
            <w:tcBorders>
              <w:top w:val="single" w:sz="18" w:space="0" w:color="auto"/>
              <w:left w:val="single" w:sz="8" w:space="0" w:color="auto"/>
              <w:bottom w:val="single" w:sz="18" w:space="0" w:color="auto"/>
              <w:right w:val="single" w:sz="18" w:space="0" w:color="auto"/>
            </w:tcBorders>
            <w:shd w:val="clear" w:color="auto" w:fill="C2D69B" w:themeFill="accent3" w:themeFillTint="99"/>
            <w:hideMark/>
          </w:tcPr>
          <w:p w:rsidR="00BB5DD7" w:rsidRPr="0043547B" w:rsidRDefault="00BB5DD7" w:rsidP="00006924">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54-16</w:t>
            </w:r>
          </w:p>
        </w:tc>
      </w:tr>
      <w:tr w:rsidR="0043547B" w:rsidRPr="0043547B" w:rsidTr="00691CF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312"/>
        </w:trPr>
        <w:tc>
          <w:tcPr>
            <w:tcW w:w="1856" w:type="dxa"/>
            <w:tcBorders>
              <w:top w:val="single" w:sz="18" w:space="0" w:color="auto"/>
              <w:left w:val="single" w:sz="18" w:space="0" w:color="auto"/>
              <w:bottom w:val="single" w:sz="4" w:space="0" w:color="auto"/>
              <w:right w:val="single" w:sz="8" w:space="0" w:color="auto"/>
            </w:tcBorders>
            <w:shd w:val="clear" w:color="auto" w:fill="FDFBA9"/>
            <w:vAlign w:val="center"/>
            <w:hideMark/>
          </w:tcPr>
          <w:p w:rsidR="00BB5DD7" w:rsidRPr="0043547B" w:rsidRDefault="00BB5DD7" w:rsidP="00006924">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Equivalence :</w:t>
            </w:r>
          </w:p>
        </w:tc>
        <w:tc>
          <w:tcPr>
            <w:tcW w:w="7938" w:type="dxa"/>
            <w:tcBorders>
              <w:top w:val="single" w:sz="18" w:space="0" w:color="auto"/>
              <w:left w:val="single" w:sz="8" w:space="0" w:color="auto"/>
              <w:bottom w:val="single" w:sz="4" w:space="0" w:color="auto"/>
              <w:right w:val="single" w:sz="18" w:space="0" w:color="auto"/>
            </w:tcBorders>
            <w:shd w:val="clear" w:color="auto" w:fill="FDFBA9"/>
            <w:vAlign w:val="center"/>
            <w:hideMark/>
          </w:tcPr>
          <w:p w:rsidR="00BB5DD7" w:rsidRPr="0043547B" w:rsidRDefault="00BB5DD7" w:rsidP="00006924">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54-16</w:t>
            </w:r>
          </w:p>
        </w:tc>
      </w:tr>
      <w:tr w:rsidR="0043547B" w:rsidRPr="0043547B" w:rsidTr="00F226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576"/>
        </w:trPr>
        <w:tc>
          <w:tcPr>
            <w:tcW w:w="1856" w:type="dxa"/>
            <w:tcBorders>
              <w:top w:val="single" w:sz="4" w:space="0" w:color="auto"/>
              <w:left w:val="single" w:sz="18" w:space="0" w:color="auto"/>
              <w:bottom w:val="single" w:sz="4" w:space="0" w:color="auto"/>
              <w:right w:val="single" w:sz="8" w:space="0" w:color="auto"/>
            </w:tcBorders>
            <w:shd w:val="clear" w:color="auto" w:fill="B8CCE4" w:themeFill="accent1" w:themeFillTint="66"/>
            <w:vAlign w:val="center"/>
            <w:hideMark/>
          </w:tcPr>
          <w:p w:rsidR="00BB5DD7" w:rsidRPr="0043547B" w:rsidRDefault="00BB5DD7" w:rsidP="00006924">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Intitulé :</w:t>
            </w:r>
          </w:p>
        </w:tc>
        <w:tc>
          <w:tcPr>
            <w:tcW w:w="7938" w:type="dxa"/>
            <w:tcBorders>
              <w:top w:val="single" w:sz="4" w:space="0" w:color="auto"/>
              <w:left w:val="single" w:sz="8" w:space="0" w:color="auto"/>
              <w:bottom w:val="single" w:sz="4" w:space="0" w:color="auto"/>
              <w:right w:val="single" w:sz="18" w:space="0" w:color="auto"/>
            </w:tcBorders>
            <w:shd w:val="clear" w:color="auto" w:fill="auto"/>
            <w:hideMark/>
          </w:tcPr>
          <w:p w:rsidR="00BB5DD7" w:rsidRPr="0043547B" w:rsidRDefault="00BB5DD7" w:rsidP="00BB5DD7">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Systèmes de détection et d'alarme incendie - Partie 16 : Élément central du système d'alarme incendie vocale</w:t>
            </w:r>
          </w:p>
        </w:tc>
      </w:tr>
      <w:tr w:rsidR="0043547B" w:rsidRPr="0043547B" w:rsidTr="007964C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3439"/>
        </w:trPr>
        <w:tc>
          <w:tcPr>
            <w:tcW w:w="1856" w:type="dxa"/>
            <w:tcBorders>
              <w:top w:val="single" w:sz="4" w:space="0" w:color="auto"/>
              <w:left w:val="single" w:sz="18" w:space="0" w:color="auto"/>
              <w:bottom w:val="single" w:sz="18" w:space="0" w:color="auto"/>
              <w:right w:val="single" w:sz="8" w:space="0" w:color="auto"/>
            </w:tcBorders>
            <w:shd w:val="clear" w:color="auto" w:fill="D9D9D9" w:themeFill="background1" w:themeFillShade="D9"/>
            <w:vAlign w:val="center"/>
            <w:hideMark/>
          </w:tcPr>
          <w:p w:rsidR="00BB5DD7" w:rsidRPr="0043547B" w:rsidRDefault="00BB5DD7" w:rsidP="009442B8">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Domaine d’application :</w:t>
            </w:r>
          </w:p>
        </w:tc>
        <w:tc>
          <w:tcPr>
            <w:tcW w:w="7938" w:type="dxa"/>
            <w:tcBorders>
              <w:top w:val="single" w:sz="4" w:space="0" w:color="auto"/>
              <w:left w:val="single" w:sz="8" w:space="0" w:color="auto"/>
              <w:bottom w:val="single" w:sz="18" w:space="0" w:color="auto"/>
              <w:right w:val="single" w:sz="18" w:space="0" w:color="auto"/>
            </w:tcBorders>
            <w:shd w:val="clear" w:color="auto" w:fill="auto"/>
            <w:vAlign w:val="bottom"/>
            <w:hideMark/>
          </w:tcPr>
          <w:p w:rsidR="00691CFD" w:rsidRDefault="00BB5DD7" w:rsidP="00691CF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européenne prescrit les exigences, les méthodes d'essai et les critères de performance des équipements de contrôle et de signalisation d'alarme vocale destinés à être utilisés dans les systèmes de détection et d'alarme incendie installés dans les bâtiments où le signal sonore d'alarme retentit sous la forme de tonalité(s) et/ou de message(s) vocal(aux).</w:t>
            </w:r>
          </w:p>
          <w:p w:rsidR="00691CFD" w:rsidRDefault="00BB5DD7" w:rsidP="00691CFD">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prescrit également l'évaluation de la conformité de l'équipement conformément aux exigences de la présente Norme européenne.</w:t>
            </w:r>
          </w:p>
          <w:p w:rsidR="00BB5DD7" w:rsidRPr="00691CFD" w:rsidRDefault="00BB5DD7" w:rsidP="00691CFD">
            <w:pPr>
              <w:spacing w:after="0" w:line="240" w:lineRule="auto"/>
              <w:jc w:val="both"/>
              <w:rPr>
                <w:rFonts w:eastAsia="Times New Roman" w:cstheme="minorHAnsi"/>
                <w:i/>
                <w:iCs/>
                <w:sz w:val="24"/>
                <w:szCs w:val="24"/>
                <w:lang w:eastAsia="fr-FR"/>
              </w:rPr>
            </w:pPr>
            <w:r w:rsidRPr="00691CFD">
              <w:rPr>
                <w:rFonts w:eastAsia="Times New Roman" w:cstheme="minorHAnsi"/>
                <w:b/>
                <w:bCs/>
                <w:i/>
                <w:iCs/>
                <w:lang w:eastAsia="fr-FR"/>
              </w:rPr>
              <w:t>NOTE</w:t>
            </w:r>
            <w:r w:rsidR="00691CFD" w:rsidRPr="00691CFD">
              <w:rPr>
                <w:rFonts w:eastAsia="Times New Roman" w:cstheme="minorHAnsi"/>
                <w:i/>
                <w:iCs/>
                <w:lang w:eastAsia="fr-FR"/>
              </w:rPr>
              <w:t xml:space="preserve"> : </w:t>
            </w:r>
            <w:r w:rsidRPr="00691CFD">
              <w:rPr>
                <w:rFonts w:eastAsia="Times New Roman" w:cstheme="minorHAnsi"/>
                <w:i/>
                <w:iCs/>
                <w:lang w:eastAsia="fr-FR"/>
              </w:rPr>
              <w:t>Les exigences générales d'un système d'alarme vocale, notamment celles relatives à l'audibilité et à l'intelligibilité, ne sont pas couvertes par cette partie de l'EN 54. Il convient que le constructeur prenne en compte les exigences d'un système général qui peuvent affecter la conception de l'équipement. De telles exigences de système peuvent être spécifiées dans une autre partie de l'EN 54, dans des législations, des codes et normes nationaux ou dans des documents contractuels.</w:t>
            </w:r>
          </w:p>
        </w:tc>
      </w:tr>
      <w:tr w:rsidR="0043547B" w:rsidRPr="0043547B" w:rsidTr="007964C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312"/>
        </w:trPr>
        <w:tc>
          <w:tcPr>
            <w:tcW w:w="1856" w:type="dxa"/>
            <w:tcBorders>
              <w:top w:val="single" w:sz="18" w:space="0" w:color="auto"/>
              <w:left w:val="single" w:sz="18" w:space="0" w:color="auto"/>
              <w:bottom w:val="single" w:sz="18" w:space="0" w:color="auto"/>
              <w:right w:val="single" w:sz="8" w:space="0" w:color="auto"/>
            </w:tcBorders>
            <w:shd w:val="clear" w:color="auto" w:fill="C2D69B" w:themeFill="accent3" w:themeFillTint="99"/>
            <w:vAlign w:val="center"/>
            <w:hideMark/>
          </w:tcPr>
          <w:p w:rsidR="00BB5DD7" w:rsidRPr="0043547B" w:rsidRDefault="00BB5DD7" w:rsidP="007964C1">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Code :</w:t>
            </w:r>
          </w:p>
        </w:tc>
        <w:tc>
          <w:tcPr>
            <w:tcW w:w="7938" w:type="dxa"/>
            <w:tcBorders>
              <w:top w:val="single" w:sz="18" w:space="0" w:color="auto"/>
              <w:left w:val="single" w:sz="8" w:space="0" w:color="auto"/>
              <w:bottom w:val="single" w:sz="18" w:space="0" w:color="auto"/>
              <w:right w:val="single" w:sz="18" w:space="0" w:color="auto"/>
            </w:tcBorders>
            <w:shd w:val="clear" w:color="auto" w:fill="C2D69B" w:themeFill="accent3" w:themeFillTint="99"/>
            <w:hideMark/>
          </w:tcPr>
          <w:p w:rsidR="00BB5DD7" w:rsidRPr="0043547B" w:rsidRDefault="00BB5DD7" w:rsidP="009442B8">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54-23</w:t>
            </w:r>
          </w:p>
        </w:tc>
      </w:tr>
      <w:tr w:rsidR="0043547B" w:rsidRPr="0043547B" w:rsidTr="007964C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312"/>
        </w:trPr>
        <w:tc>
          <w:tcPr>
            <w:tcW w:w="1856" w:type="dxa"/>
            <w:tcBorders>
              <w:top w:val="single" w:sz="18" w:space="0" w:color="auto"/>
              <w:left w:val="single" w:sz="18" w:space="0" w:color="auto"/>
              <w:bottom w:val="single" w:sz="4" w:space="0" w:color="auto"/>
              <w:right w:val="single" w:sz="8" w:space="0" w:color="auto"/>
            </w:tcBorders>
            <w:shd w:val="clear" w:color="auto" w:fill="FDFBA9"/>
            <w:vAlign w:val="center"/>
            <w:hideMark/>
          </w:tcPr>
          <w:p w:rsidR="00BB5DD7" w:rsidRPr="0043547B" w:rsidRDefault="00BB5DD7" w:rsidP="00006924">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Equivalence :</w:t>
            </w:r>
          </w:p>
        </w:tc>
        <w:tc>
          <w:tcPr>
            <w:tcW w:w="7938" w:type="dxa"/>
            <w:tcBorders>
              <w:top w:val="single" w:sz="18" w:space="0" w:color="auto"/>
              <w:left w:val="single" w:sz="8" w:space="0" w:color="auto"/>
              <w:bottom w:val="single" w:sz="4" w:space="0" w:color="auto"/>
              <w:right w:val="single" w:sz="18" w:space="0" w:color="auto"/>
            </w:tcBorders>
            <w:shd w:val="clear" w:color="auto" w:fill="FDFBA9"/>
            <w:vAlign w:val="center"/>
            <w:hideMark/>
          </w:tcPr>
          <w:p w:rsidR="00BB5DD7" w:rsidRPr="0043547B" w:rsidRDefault="00BB5DD7" w:rsidP="009442B8">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54-23</w:t>
            </w:r>
          </w:p>
        </w:tc>
      </w:tr>
      <w:tr w:rsidR="0043547B" w:rsidRPr="0043547B" w:rsidTr="00F226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576"/>
        </w:trPr>
        <w:tc>
          <w:tcPr>
            <w:tcW w:w="1856" w:type="dxa"/>
            <w:tcBorders>
              <w:top w:val="single" w:sz="4" w:space="0" w:color="auto"/>
              <w:left w:val="single" w:sz="18" w:space="0" w:color="auto"/>
              <w:bottom w:val="single" w:sz="4" w:space="0" w:color="auto"/>
              <w:right w:val="single" w:sz="8" w:space="0" w:color="auto"/>
            </w:tcBorders>
            <w:shd w:val="clear" w:color="auto" w:fill="B8CCE4" w:themeFill="accent1" w:themeFillTint="66"/>
            <w:vAlign w:val="center"/>
            <w:hideMark/>
          </w:tcPr>
          <w:p w:rsidR="00BB5DD7" w:rsidRPr="0043547B" w:rsidRDefault="00BB5DD7" w:rsidP="00006924">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Intitulé :</w:t>
            </w:r>
          </w:p>
        </w:tc>
        <w:tc>
          <w:tcPr>
            <w:tcW w:w="7938" w:type="dxa"/>
            <w:tcBorders>
              <w:top w:val="single" w:sz="4" w:space="0" w:color="auto"/>
              <w:left w:val="single" w:sz="8" w:space="0" w:color="auto"/>
              <w:bottom w:val="single" w:sz="4" w:space="0" w:color="auto"/>
              <w:right w:val="single" w:sz="18" w:space="0" w:color="auto"/>
            </w:tcBorders>
            <w:shd w:val="clear" w:color="auto" w:fill="auto"/>
            <w:hideMark/>
          </w:tcPr>
          <w:p w:rsidR="00BB5DD7" w:rsidRPr="0043547B" w:rsidRDefault="00BB5DD7" w:rsidP="00BB5DD7">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Systèmes de détection et d'alarme incendie - Partie 23 : Dispositifs d'alarme feu - Dispositifs visuels d'alarme feu</w:t>
            </w:r>
          </w:p>
        </w:tc>
      </w:tr>
      <w:tr w:rsidR="0043547B" w:rsidRPr="0043547B" w:rsidTr="007964C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70"/>
        </w:trPr>
        <w:tc>
          <w:tcPr>
            <w:tcW w:w="1856" w:type="dxa"/>
            <w:tcBorders>
              <w:top w:val="single" w:sz="4" w:space="0" w:color="auto"/>
              <w:left w:val="single" w:sz="18" w:space="0" w:color="auto"/>
              <w:bottom w:val="single" w:sz="18" w:space="0" w:color="auto"/>
              <w:right w:val="single" w:sz="8" w:space="0" w:color="auto"/>
            </w:tcBorders>
            <w:shd w:val="clear" w:color="auto" w:fill="D9D9D9" w:themeFill="background1" w:themeFillShade="D9"/>
            <w:vAlign w:val="center"/>
            <w:hideMark/>
          </w:tcPr>
          <w:p w:rsidR="00BB5DD7" w:rsidRPr="0043547B" w:rsidRDefault="00BB5DD7" w:rsidP="009442B8">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Domaine d’application :</w:t>
            </w:r>
          </w:p>
        </w:tc>
        <w:tc>
          <w:tcPr>
            <w:tcW w:w="7938" w:type="dxa"/>
            <w:tcBorders>
              <w:top w:val="single" w:sz="4" w:space="0" w:color="auto"/>
              <w:left w:val="single" w:sz="8" w:space="0" w:color="auto"/>
              <w:bottom w:val="single" w:sz="18" w:space="0" w:color="auto"/>
              <w:right w:val="single" w:sz="18" w:space="0" w:color="auto"/>
            </w:tcBorders>
            <w:shd w:val="clear" w:color="auto" w:fill="auto"/>
            <w:vAlign w:val="bottom"/>
            <w:hideMark/>
          </w:tcPr>
          <w:p w:rsidR="007964C1" w:rsidRDefault="00BB5DD7" w:rsidP="007964C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européenne spécifie les exigences, les méthodes d'essai et les critères de performance pour les dispositifs visuels d'alarme feu dans une installation fixe destinés à donner un avertissement visuel de feu entre un système de détection d’incendie et d'alarme feu et les occupants d'un bâtiment (Voir élément C de la Figure 1 de l'EN 54-1:1996). Elle est destinée à couvrir uniquement les dispositifs qui tirent leur puissance de fonctionnement au moyen d'un raccordement électrique physique à une source externe tel qu'un système de détection incendie et d’alarme feu.</w:t>
            </w:r>
          </w:p>
          <w:p w:rsidR="007964C1" w:rsidRDefault="007964C1" w:rsidP="007964C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européenne spécifie l'évaluation de conformité et le marquage des dispositifs visuels d'alarme feu.</w:t>
            </w:r>
          </w:p>
          <w:p w:rsidR="007964C1" w:rsidRDefault="007964C1" w:rsidP="007964C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européenne s'applique aux dispositifs visuels d’alarme feu dont le fonctionnement repose sur un logiciel et aux dispositifs pour lesquels ce n'est pas le cas.</w:t>
            </w:r>
          </w:p>
          <w:p w:rsidR="007964C1" w:rsidRDefault="007964C1" w:rsidP="007964C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européenne s'applique uniquement aux dispositifs visuels d'alarme feu à clignotement ou à impulsions, par exemple flashes au xénon ou gyrophares. Sont exclus de la présente Norme européenne les dispositifs à émission lumineuse continue.</w:t>
            </w:r>
          </w:p>
          <w:p w:rsidR="00BB5DD7" w:rsidRPr="0043547B" w:rsidRDefault="007964C1" w:rsidP="007964C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européenne n'est pas destinée à couvrir les indicateurs visuels, par exemple sur les détecteurs ou sur l'équipement de contrôle et de signalisation.</w:t>
            </w:r>
          </w:p>
        </w:tc>
      </w:tr>
      <w:tr w:rsidR="0043547B" w:rsidRPr="0043547B" w:rsidTr="007964C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312"/>
        </w:trPr>
        <w:tc>
          <w:tcPr>
            <w:tcW w:w="1856" w:type="dxa"/>
            <w:tcBorders>
              <w:top w:val="single" w:sz="18" w:space="0" w:color="auto"/>
              <w:left w:val="single" w:sz="18" w:space="0" w:color="auto"/>
              <w:bottom w:val="single" w:sz="18" w:space="0" w:color="auto"/>
              <w:right w:val="single" w:sz="8" w:space="0" w:color="auto"/>
            </w:tcBorders>
            <w:shd w:val="clear" w:color="auto" w:fill="C2D69B" w:themeFill="accent3" w:themeFillTint="99"/>
            <w:vAlign w:val="center"/>
            <w:hideMark/>
          </w:tcPr>
          <w:p w:rsidR="00BB5DD7" w:rsidRPr="0043547B" w:rsidRDefault="00BB5DD7" w:rsidP="007964C1">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Code :</w:t>
            </w:r>
          </w:p>
        </w:tc>
        <w:tc>
          <w:tcPr>
            <w:tcW w:w="7938" w:type="dxa"/>
            <w:tcBorders>
              <w:top w:val="single" w:sz="18" w:space="0" w:color="auto"/>
              <w:left w:val="single" w:sz="8" w:space="0" w:color="auto"/>
              <w:bottom w:val="single" w:sz="18" w:space="0" w:color="auto"/>
              <w:right w:val="single" w:sz="18" w:space="0" w:color="auto"/>
            </w:tcBorders>
            <w:shd w:val="clear" w:color="auto" w:fill="C2D69B" w:themeFill="accent3" w:themeFillTint="99"/>
            <w:hideMark/>
          </w:tcPr>
          <w:p w:rsidR="00BB5DD7" w:rsidRPr="0043547B" w:rsidRDefault="00BB5DD7" w:rsidP="009442B8">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54-24</w:t>
            </w:r>
          </w:p>
        </w:tc>
      </w:tr>
      <w:tr w:rsidR="0043547B" w:rsidRPr="0043547B" w:rsidTr="007964C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312"/>
        </w:trPr>
        <w:tc>
          <w:tcPr>
            <w:tcW w:w="1856" w:type="dxa"/>
            <w:tcBorders>
              <w:top w:val="single" w:sz="18" w:space="0" w:color="auto"/>
              <w:left w:val="single" w:sz="18" w:space="0" w:color="auto"/>
              <w:bottom w:val="single" w:sz="4" w:space="0" w:color="auto"/>
              <w:right w:val="single" w:sz="8" w:space="0" w:color="auto"/>
            </w:tcBorders>
            <w:shd w:val="clear" w:color="auto" w:fill="FDFBA9"/>
            <w:vAlign w:val="center"/>
            <w:hideMark/>
          </w:tcPr>
          <w:p w:rsidR="00BB5DD7" w:rsidRPr="0043547B" w:rsidRDefault="00BB5DD7" w:rsidP="00E623F0">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Equivalence :</w:t>
            </w:r>
          </w:p>
        </w:tc>
        <w:tc>
          <w:tcPr>
            <w:tcW w:w="7938" w:type="dxa"/>
            <w:tcBorders>
              <w:top w:val="single" w:sz="18" w:space="0" w:color="auto"/>
              <w:left w:val="single" w:sz="8" w:space="0" w:color="auto"/>
              <w:bottom w:val="single" w:sz="4" w:space="0" w:color="auto"/>
              <w:right w:val="single" w:sz="18" w:space="0" w:color="auto"/>
            </w:tcBorders>
            <w:shd w:val="clear" w:color="auto" w:fill="FDFBA9"/>
            <w:vAlign w:val="center"/>
            <w:hideMark/>
          </w:tcPr>
          <w:p w:rsidR="00BB5DD7" w:rsidRPr="0043547B" w:rsidRDefault="00BB5DD7" w:rsidP="009442B8">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54-24</w:t>
            </w:r>
          </w:p>
        </w:tc>
      </w:tr>
      <w:tr w:rsidR="0043547B" w:rsidRPr="0043547B" w:rsidTr="00F226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576"/>
        </w:trPr>
        <w:tc>
          <w:tcPr>
            <w:tcW w:w="1856" w:type="dxa"/>
            <w:tcBorders>
              <w:top w:val="single" w:sz="4" w:space="0" w:color="auto"/>
              <w:left w:val="single" w:sz="18" w:space="0" w:color="auto"/>
              <w:bottom w:val="single" w:sz="4" w:space="0" w:color="auto"/>
              <w:right w:val="single" w:sz="8" w:space="0" w:color="auto"/>
            </w:tcBorders>
            <w:shd w:val="clear" w:color="auto" w:fill="B8CCE4" w:themeFill="accent1" w:themeFillTint="66"/>
            <w:vAlign w:val="center"/>
            <w:hideMark/>
          </w:tcPr>
          <w:p w:rsidR="00BB5DD7" w:rsidRPr="0043547B" w:rsidRDefault="00BB5DD7" w:rsidP="00E623F0">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Intitulé :</w:t>
            </w:r>
          </w:p>
        </w:tc>
        <w:tc>
          <w:tcPr>
            <w:tcW w:w="7938" w:type="dxa"/>
            <w:tcBorders>
              <w:top w:val="single" w:sz="4" w:space="0" w:color="auto"/>
              <w:left w:val="single" w:sz="8" w:space="0" w:color="auto"/>
              <w:bottom w:val="single" w:sz="4" w:space="0" w:color="auto"/>
              <w:right w:val="single" w:sz="18" w:space="0" w:color="auto"/>
            </w:tcBorders>
            <w:shd w:val="clear" w:color="auto" w:fill="auto"/>
            <w:hideMark/>
          </w:tcPr>
          <w:p w:rsidR="00BB5DD7" w:rsidRPr="0043547B" w:rsidRDefault="00BB5DD7" w:rsidP="00BB5DD7">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Systèmes de détection et d'alarme incendie - Partie 24 : Composants des systèmes d'alarme vocale - Haut-parleurs</w:t>
            </w:r>
          </w:p>
        </w:tc>
      </w:tr>
      <w:tr w:rsidR="0043547B" w:rsidRPr="0043547B" w:rsidTr="007964C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1268"/>
        </w:trPr>
        <w:tc>
          <w:tcPr>
            <w:tcW w:w="1856" w:type="dxa"/>
            <w:tcBorders>
              <w:top w:val="single" w:sz="4" w:space="0" w:color="auto"/>
              <w:left w:val="single" w:sz="18" w:space="0" w:color="auto"/>
              <w:bottom w:val="single" w:sz="18" w:space="0" w:color="auto"/>
              <w:right w:val="single" w:sz="8" w:space="0" w:color="auto"/>
            </w:tcBorders>
            <w:shd w:val="clear" w:color="auto" w:fill="D9D9D9" w:themeFill="background1" w:themeFillShade="D9"/>
            <w:vAlign w:val="center"/>
            <w:hideMark/>
          </w:tcPr>
          <w:p w:rsidR="00BB5DD7" w:rsidRPr="0043547B" w:rsidRDefault="00BB5DD7" w:rsidP="009442B8">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lastRenderedPageBreak/>
              <w:t>Domaine d’application :</w:t>
            </w:r>
          </w:p>
        </w:tc>
        <w:tc>
          <w:tcPr>
            <w:tcW w:w="7938" w:type="dxa"/>
            <w:tcBorders>
              <w:top w:val="single" w:sz="4" w:space="0" w:color="auto"/>
              <w:left w:val="single" w:sz="8" w:space="0" w:color="auto"/>
              <w:bottom w:val="single" w:sz="18" w:space="0" w:color="auto"/>
              <w:right w:val="single" w:sz="18" w:space="0" w:color="auto"/>
            </w:tcBorders>
            <w:shd w:val="clear" w:color="auto" w:fill="auto"/>
            <w:vAlign w:val="bottom"/>
            <w:hideMark/>
          </w:tcPr>
          <w:p w:rsidR="007964C1" w:rsidRDefault="00BB5DD7" w:rsidP="007964C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partie de la Norme européenne spécifie les exigences, les méthodes d’essai et les critères de performance pour les haut-parleurs destinés à diffuser un avertissement d’incendie, depuis le système de détection et d’alarme incendie vers les occupants d’un bâtiment.</w:t>
            </w:r>
          </w:p>
          <w:p w:rsidR="007964C1" w:rsidRDefault="00E623F0" w:rsidP="007964C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partie de la Norme européenne définit les exigences concernant les haut-parleurs pour les deux types d’environnement d’utilisation suivants : le type A pour l’utilisation habituelle en intérieur et le type B pour l’utilisation habituelle en extérieur.</w:t>
            </w:r>
          </w:p>
          <w:p w:rsidR="007964C1" w:rsidRDefault="00E623F0" w:rsidP="007964C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partie de la Norme européenne ne couvre pas les haut-parleurs destinés à des applications particulières, comme par exemple les haut-parleurs utilisés dans des applications dangereuses, si ces applications requièrent des exigences complémentaires ou alors des exigences ou essais différents de ceux fournis dans la présente partie de la Norme européenne.</w:t>
            </w:r>
          </w:p>
          <w:p w:rsidR="00BB5DD7" w:rsidRPr="0043547B" w:rsidRDefault="00E623F0" w:rsidP="007964C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partie de la Norme européenne n’est pas destinée à traiter les haut-parleurs adressables ou des haut-parleurs dotés de composants actifs.</w:t>
            </w:r>
            <w:r w:rsidRPr="0043547B">
              <w:rPr>
                <w:rFonts w:eastAsia="Times New Roman" w:cstheme="minorHAnsi"/>
                <w:sz w:val="24"/>
                <w:szCs w:val="24"/>
                <w:lang w:eastAsia="fr-FR"/>
              </w:rPr>
              <w:br/>
              <w:t>Les dispositifs sonores d’alarme vocale sont traités dans l’EN 54-3:2001.</w:t>
            </w:r>
          </w:p>
        </w:tc>
      </w:tr>
      <w:tr w:rsidR="0043547B" w:rsidRPr="0043547B" w:rsidTr="007964C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312"/>
        </w:trPr>
        <w:tc>
          <w:tcPr>
            <w:tcW w:w="1856" w:type="dxa"/>
            <w:tcBorders>
              <w:top w:val="single" w:sz="18" w:space="0" w:color="auto"/>
              <w:left w:val="single" w:sz="18" w:space="0" w:color="auto"/>
              <w:bottom w:val="single" w:sz="18" w:space="0" w:color="auto"/>
              <w:right w:val="single" w:sz="8" w:space="0" w:color="auto"/>
            </w:tcBorders>
            <w:shd w:val="clear" w:color="auto" w:fill="C2D69B" w:themeFill="accent3" w:themeFillTint="99"/>
            <w:vAlign w:val="center"/>
            <w:hideMark/>
          </w:tcPr>
          <w:p w:rsidR="00BB5DD7" w:rsidRPr="0043547B" w:rsidRDefault="00BB5DD7" w:rsidP="007964C1">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Code :</w:t>
            </w:r>
          </w:p>
        </w:tc>
        <w:tc>
          <w:tcPr>
            <w:tcW w:w="7938" w:type="dxa"/>
            <w:tcBorders>
              <w:top w:val="single" w:sz="18" w:space="0" w:color="auto"/>
              <w:left w:val="single" w:sz="8" w:space="0" w:color="auto"/>
              <w:bottom w:val="single" w:sz="18" w:space="0" w:color="auto"/>
              <w:right w:val="single" w:sz="18" w:space="0" w:color="auto"/>
            </w:tcBorders>
            <w:shd w:val="clear" w:color="auto" w:fill="C2D69B" w:themeFill="accent3" w:themeFillTint="99"/>
            <w:hideMark/>
          </w:tcPr>
          <w:p w:rsidR="00BB5DD7" w:rsidRPr="0043547B" w:rsidRDefault="00BB5DD7" w:rsidP="009442B8">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NM EN 54-25</w:t>
            </w:r>
          </w:p>
        </w:tc>
      </w:tr>
      <w:tr w:rsidR="0043547B" w:rsidRPr="0043547B" w:rsidTr="007964C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312"/>
        </w:trPr>
        <w:tc>
          <w:tcPr>
            <w:tcW w:w="1856" w:type="dxa"/>
            <w:tcBorders>
              <w:top w:val="single" w:sz="18" w:space="0" w:color="auto"/>
              <w:left w:val="single" w:sz="18" w:space="0" w:color="auto"/>
              <w:bottom w:val="single" w:sz="4" w:space="0" w:color="auto"/>
              <w:right w:val="single" w:sz="8" w:space="0" w:color="auto"/>
            </w:tcBorders>
            <w:shd w:val="clear" w:color="auto" w:fill="FDFBA9"/>
            <w:vAlign w:val="center"/>
            <w:hideMark/>
          </w:tcPr>
          <w:p w:rsidR="00BB5DD7" w:rsidRPr="0043547B" w:rsidRDefault="00BB5DD7" w:rsidP="00E623F0">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Equivalence :</w:t>
            </w:r>
          </w:p>
        </w:tc>
        <w:tc>
          <w:tcPr>
            <w:tcW w:w="7938" w:type="dxa"/>
            <w:tcBorders>
              <w:top w:val="single" w:sz="18" w:space="0" w:color="auto"/>
              <w:left w:val="single" w:sz="8" w:space="0" w:color="auto"/>
              <w:bottom w:val="single" w:sz="4" w:space="0" w:color="auto"/>
              <w:right w:val="single" w:sz="18" w:space="0" w:color="auto"/>
            </w:tcBorders>
            <w:shd w:val="clear" w:color="auto" w:fill="FDFBA9"/>
            <w:vAlign w:val="center"/>
            <w:hideMark/>
          </w:tcPr>
          <w:p w:rsidR="00BB5DD7" w:rsidRPr="0043547B" w:rsidRDefault="00BB5DD7" w:rsidP="009442B8">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EN 54-25</w:t>
            </w:r>
          </w:p>
        </w:tc>
      </w:tr>
      <w:tr w:rsidR="0043547B" w:rsidRPr="0043547B" w:rsidTr="00F226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576"/>
        </w:trPr>
        <w:tc>
          <w:tcPr>
            <w:tcW w:w="1856" w:type="dxa"/>
            <w:tcBorders>
              <w:top w:val="single" w:sz="4" w:space="0" w:color="auto"/>
              <w:left w:val="single" w:sz="18" w:space="0" w:color="auto"/>
              <w:bottom w:val="single" w:sz="4" w:space="0" w:color="auto"/>
              <w:right w:val="single" w:sz="8" w:space="0" w:color="auto"/>
            </w:tcBorders>
            <w:shd w:val="clear" w:color="auto" w:fill="B8CCE4" w:themeFill="accent1" w:themeFillTint="66"/>
            <w:vAlign w:val="center"/>
            <w:hideMark/>
          </w:tcPr>
          <w:p w:rsidR="00BB5DD7" w:rsidRPr="0043547B" w:rsidRDefault="00BB5DD7" w:rsidP="00E623F0">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Intitulé :</w:t>
            </w:r>
          </w:p>
        </w:tc>
        <w:tc>
          <w:tcPr>
            <w:tcW w:w="7938" w:type="dxa"/>
            <w:tcBorders>
              <w:top w:val="single" w:sz="4" w:space="0" w:color="auto"/>
              <w:left w:val="single" w:sz="8" w:space="0" w:color="auto"/>
              <w:bottom w:val="single" w:sz="4" w:space="0" w:color="auto"/>
              <w:right w:val="single" w:sz="18" w:space="0" w:color="auto"/>
            </w:tcBorders>
            <w:shd w:val="clear" w:color="auto" w:fill="auto"/>
            <w:hideMark/>
          </w:tcPr>
          <w:p w:rsidR="00BB5DD7" w:rsidRPr="0043547B" w:rsidRDefault="00BB5DD7" w:rsidP="00BB5DD7">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Systèmes de détection et d'alarme incendie - Partie 25 : Composants utilisant des liaisons radioélectriques</w:t>
            </w:r>
          </w:p>
        </w:tc>
      </w:tr>
      <w:tr w:rsidR="0043547B" w:rsidRPr="0043547B" w:rsidTr="007964C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559"/>
        </w:trPr>
        <w:tc>
          <w:tcPr>
            <w:tcW w:w="1856" w:type="dxa"/>
            <w:tcBorders>
              <w:top w:val="single" w:sz="4" w:space="0" w:color="auto"/>
              <w:left w:val="single" w:sz="18" w:space="0" w:color="auto"/>
              <w:bottom w:val="single" w:sz="18" w:space="0" w:color="auto"/>
              <w:right w:val="single" w:sz="8" w:space="0" w:color="auto"/>
            </w:tcBorders>
            <w:shd w:val="clear" w:color="auto" w:fill="D9D9D9" w:themeFill="background1" w:themeFillShade="D9"/>
            <w:vAlign w:val="center"/>
            <w:hideMark/>
          </w:tcPr>
          <w:p w:rsidR="00BB5DD7" w:rsidRPr="0043547B" w:rsidRDefault="00BB5DD7" w:rsidP="009442B8">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Domaine d’application :</w:t>
            </w:r>
          </w:p>
        </w:tc>
        <w:tc>
          <w:tcPr>
            <w:tcW w:w="7938" w:type="dxa"/>
            <w:tcBorders>
              <w:top w:val="single" w:sz="4" w:space="0" w:color="auto"/>
              <w:left w:val="single" w:sz="8" w:space="0" w:color="auto"/>
              <w:bottom w:val="single" w:sz="18" w:space="0" w:color="auto"/>
              <w:right w:val="single" w:sz="18" w:space="0" w:color="auto"/>
            </w:tcBorders>
            <w:shd w:val="clear" w:color="auto" w:fill="auto"/>
            <w:vAlign w:val="bottom"/>
            <w:hideMark/>
          </w:tcPr>
          <w:p w:rsidR="007964C1" w:rsidRDefault="00BB5DD7" w:rsidP="007964C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européenne définit les exigences, les méthodes d'essai et les critères de performance pour les composants utilisés dans les systèmes d'alarme incendie installés dans les bâtiments et autour de ceux-ci, qui utilisent des liaisons radioélectriques pour communiquer. Elle spécifie également les exigences pour l'évaluation de la conformité des composants aux exigences de la présente Norme européenne.</w:t>
            </w:r>
          </w:p>
          <w:p w:rsidR="007964C1" w:rsidRDefault="007964C1" w:rsidP="007964C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Lorsque les composants fonctionnent ensemble et que cela nécessite la connaissance de la conception du système, le présent document spécifie également les exigences relatives au système.</w:t>
            </w:r>
          </w:p>
          <w:p w:rsidR="007964C1" w:rsidRDefault="007964C1" w:rsidP="007964C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Lorsque les systèmes de détection et d'alarme incendie (SDAI) emploient des liaisons radioélectriques et filaires, les parties concernées de la série EN 54 s'appliquent. Les exigences spécifiées dans la présente Norme européenne annulent et remplacent ou modifient les exigences concernant les liaisons filaires.</w:t>
            </w:r>
            <w:r w:rsidRPr="0043547B">
              <w:rPr>
                <w:rFonts w:eastAsia="Times New Roman" w:cstheme="minorHAnsi"/>
                <w:sz w:val="24"/>
                <w:szCs w:val="24"/>
                <w:lang w:eastAsia="fr-FR"/>
              </w:rPr>
              <w:br/>
              <w:t>Le présent document ne traite pas les éléments suivants :</w:t>
            </w:r>
          </w:p>
          <w:p w:rsidR="007964C1" w:rsidRDefault="007964C1" w:rsidP="007964C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l'usage prévu du spectre radioélectrique, par exemple la fréquence, la puissance de sortie des dispositifs ;</w:t>
            </w:r>
          </w:p>
          <w:p w:rsidR="007964C1" w:rsidRDefault="007964C1" w:rsidP="007964C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le nombre maximal autorisé de composants utilisant des liaisons radioélectriques dans le SDAI ou une voie de transmission et/ou liaison radioélectrique ;</w:t>
            </w:r>
          </w:p>
          <w:p w:rsidR="007964C1" w:rsidRDefault="007964C1" w:rsidP="007964C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le nombre maximal autorisé de composants affectés par la perte d'une voie de transmission et/ou liaison radioélectrique.</w:t>
            </w:r>
          </w:p>
          <w:p w:rsidR="00BB5DD7" w:rsidRPr="0043547B" w:rsidRDefault="007964C1" w:rsidP="007964C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Ces exigences se rapportent aux réglementations nationales et peuvent varier d'un Etat membre à l'autre.</w:t>
            </w:r>
          </w:p>
        </w:tc>
      </w:tr>
      <w:tr w:rsidR="00D20D9B" w:rsidRPr="0043547B" w:rsidTr="007964C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58"/>
        </w:trPr>
        <w:tc>
          <w:tcPr>
            <w:tcW w:w="1856" w:type="dxa"/>
            <w:tcBorders>
              <w:top w:val="single" w:sz="18" w:space="0" w:color="auto"/>
              <w:left w:val="single" w:sz="18" w:space="0" w:color="auto"/>
              <w:bottom w:val="single" w:sz="18" w:space="0" w:color="auto"/>
              <w:right w:val="single" w:sz="8" w:space="0" w:color="auto"/>
            </w:tcBorders>
            <w:shd w:val="clear" w:color="auto" w:fill="C2D69B" w:themeFill="accent3" w:themeFillTint="99"/>
            <w:vAlign w:val="center"/>
          </w:tcPr>
          <w:p w:rsidR="00D20D9B" w:rsidRPr="0043547B" w:rsidRDefault="00D20D9B" w:rsidP="007964C1">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Code :</w:t>
            </w:r>
          </w:p>
        </w:tc>
        <w:tc>
          <w:tcPr>
            <w:tcW w:w="7938" w:type="dxa"/>
            <w:tcBorders>
              <w:top w:val="single" w:sz="18" w:space="0" w:color="auto"/>
              <w:left w:val="single" w:sz="8" w:space="0" w:color="auto"/>
              <w:bottom w:val="single" w:sz="18" w:space="0" w:color="auto"/>
              <w:right w:val="single" w:sz="18" w:space="0" w:color="auto"/>
            </w:tcBorders>
            <w:shd w:val="clear" w:color="auto" w:fill="C2D69B" w:themeFill="accent3" w:themeFillTint="99"/>
            <w:vAlign w:val="bottom"/>
          </w:tcPr>
          <w:p w:rsidR="00D20D9B" w:rsidRPr="00D20D9B" w:rsidRDefault="00D20D9B" w:rsidP="007964C1">
            <w:pPr>
              <w:spacing w:after="0" w:line="240" w:lineRule="auto"/>
              <w:jc w:val="center"/>
              <w:rPr>
                <w:rFonts w:cstheme="minorHAnsi"/>
                <w:b/>
                <w:bCs/>
                <w:sz w:val="24"/>
                <w:szCs w:val="24"/>
              </w:rPr>
            </w:pPr>
            <w:r w:rsidRPr="00D20D9B">
              <w:rPr>
                <w:rFonts w:cstheme="minorHAnsi"/>
                <w:b/>
                <w:bCs/>
                <w:sz w:val="24"/>
                <w:szCs w:val="24"/>
              </w:rPr>
              <w:t>NM 21.9.037</w:t>
            </w:r>
          </w:p>
        </w:tc>
      </w:tr>
      <w:tr w:rsidR="00D20D9B" w:rsidRPr="0043547B" w:rsidTr="007964C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58"/>
        </w:trPr>
        <w:tc>
          <w:tcPr>
            <w:tcW w:w="1856" w:type="dxa"/>
            <w:tcBorders>
              <w:top w:val="single" w:sz="18" w:space="0" w:color="auto"/>
              <w:left w:val="single" w:sz="18" w:space="0" w:color="auto"/>
              <w:bottom w:val="single" w:sz="4" w:space="0" w:color="auto"/>
              <w:right w:val="single" w:sz="8" w:space="0" w:color="auto"/>
            </w:tcBorders>
            <w:shd w:val="clear" w:color="auto" w:fill="95B3D7" w:themeFill="accent1" w:themeFillTint="99"/>
            <w:vAlign w:val="center"/>
          </w:tcPr>
          <w:p w:rsidR="00D20D9B" w:rsidRPr="0043547B" w:rsidRDefault="00D20D9B" w:rsidP="007964C1">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Intitulé :</w:t>
            </w:r>
          </w:p>
        </w:tc>
        <w:tc>
          <w:tcPr>
            <w:tcW w:w="7938" w:type="dxa"/>
            <w:tcBorders>
              <w:top w:val="single" w:sz="18" w:space="0" w:color="auto"/>
              <w:left w:val="single" w:sz="8" w:space="0" w:color="auto"/>
              <w:bottom w:val="single" w:sz="4" w:space="0" w:color="auto"/>
              <w:right w:val="single" w:sz="18" w:space="0" w:color="auto"/>
            </w:tcBorders>
            <w:shd w:val="clear" w:color="auto" w:fill="auto"/>
            <w:vAlign w:val="bottom"/>
          </w:tcPr>
          <w:p w:rsidR="00D20D9B" w:rsidRPr="0043547B" w:rsidRDefault="00D20D9B" w:rsidP="007964C1">
            <w:pPr>
              <w:spacing w:after="0" w:line="240" w:lineRule="auto"/>
              <w:rPr>
                <w:rFonts w:cstheme="minorHAnsi"/>
                <w:sz w:val="24"/>
                <w:szCs w:val="24"/>
              </w:rPr>
            </w:pPr>
            <w:r w:rsidRPr="0043547B">
              <w:rPr>
                <w:rFonts w:cstheme="minorHAnsi"/>
                <w:sz w:val="24"/>
                <w:szCs w:val="24"/>
              </w:rPr>
              <w:t xml:space="preserve">Matériel de lutte contre l'incendie - Raccords Kayser - DN 100 - ISO PN 16 ; </w:t>
            </w:r>
          </w:p>
        </w:tc>
      </w:tr>
      <w:tr w:rsidR="00D20D9B" w:rsidRPr="0043547B" w:rsidTr="007964C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58"/>
        </w:trPr>
        <w:tc>
          <w:tcPr>
            <w:tcW w:w="1856" w:type="dxa"/>
            <w:tcBorders>
              <w:top w:val="single" w:sz="4" w:space="0" w:color="auto"/>
              <w:left w:val="single" w:sz="18" w:space="0" w:color="auto"/>
              <w:bottom w:val="single" w:sz="18" w:space="0" w:color="auto"/>
              <w:right w:val="single" w:sz="8" w:space="0" w:color="auto"/>
            </w:tcBorders>
            <w:shd w:val="clear" w:color="auto" w:fill="D9D9D9" w:themeFill="background1" w:themeFillShade="D9"/>
            <w:vAlign w:val="center"/>
          </w:tcPr>
          <w:p w:rsidR="00D20D9B" w:rsidRPr="0043547B" w:rsidRDefault="00D20D9B" w:rsidP="007964C1">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Domaine d’application :</w:t>
            </w:r>
          </w:p>
        </w:tc>
        <w:tc>
          <w:tcPr>
            <w:tcW w:w="7938" w:type="dxa"/>
            <w:tcBorders>
              <w:top w:val="single" w:sz="4" w:space="0" w:color="auto"/>
              <w:left w:val="single" w:sz="8" w:space="0" w:color="auto"/>
              <w:bottom w:val="single" w:sz="18" w:space="0" w:color="auto"/>
              <w:right w:val="single" w:sz="18" w:space="0" w:color="auto"/>
            </w:tcBorders>
            <w:shd w:val="clear" w:color="auto" w:fill="auto"/>
          </w:tcPr>
          <w:p w:rsidR="007964C1" w:rsidRDefault="00D20D9B" w:rsidP="007964C1">
            <w:pPr>
              <w:spacing w:after="0" w:line="240" w:lineRule="auto"/>
              <w:jc w:val="both"/>
              <w:rPr>
                <w:rFonts w:cstheme="minorHAnsi"/>
                <w:sz w:val="24"/>
                <w:szCs w:val="24"/>
              </w:rPr>
            </w:pPr>
            <w:r w:rsidRPr="0043547B">
              <w:rPr>
                <w:rFonts w:cstheme="minorHAnsi"/>
                <w:sz w:val="24"/>
                <w:szCs w:val="24"/>
              </w:rPr>
              <w:t>La présente norme donne les caractéristiques dimensionnelles et la désignatipn des demi-raccords mâles dits raccords Keyser, DN 100 - ISO PN 16, et à titre d'exemple un demi-raccord femelle.</w:t>
            </w:r>
          </w:p>
          <w:p w:rsidR="00D20D9B" w:rsidRPr="0043547B" w:rsidRDefault="00D20D9B" w:rsidP="007964C1">
            <w:pPr>
              <w:spacing w:after="0" w:line="240" w:lineRule="auto"/>
              <w:jc w:val="both"/>
              <w:rPr>
                <w:rFonts w:cstheme="minorHAnsi"/>
                <w:sz w:val="24"/>
                <w:szCs w:val="24"/>
              </w:rPr>
            </w:pPr>
            <w:r w:rsidRPr="0043547B">
              <w:rPr>
                <w:rFonts w:cstheme="minorHAnsi"/>
                <w:sz w:val="24"/>
                <w:szCs w:val="24"/>
              </w:rPr>
              <w:lastRenderedPageBreak/>
              <w:t>Elle s'applique aux raccords utilisés par les services de secours et de lutte contre l'incendie, pour les matériels prévus dans le fascicule de documentation S 61-702.</w:t>
            </w:r>
          </w:p>
        </w:tc>
      </w:tr>
      <w:tr w:rsidR="00D20D9B" w:rsidRPr="0043547B" w:rsidTr="007964C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58"/>
        </w:trPr>
        <w:tc>
          <w:tcPr>
            <w:tcW w:w="1856" w:type="dxa"/>
            <w:tcBorders>
              <w:top w:val="single" w:sz="18" w:space="0" w:color="auto"/>
              <w:left w:val="single" w:sz="18" w:space="0" w:color="auto"/>
              <w:bottom w:val="single" w:sz="18" w:space="0" w:color="auto"/>
              <w:right w:val="single" w:sz="8" w:space="0" w:color="auto"/>
            </w:tcBorders>
            <w:shd w:val="clear" w:color="auto" w:fill="C2D69B" w:themeFill="accent3" w:themeFillTint="99"/>
            <w:vAlign w:val="center"/>
          </w:tcPr>
          <w:p w:rsidR="00D20D9B" w:rsidRPr="0043547B" w:rsidRDefault="00D20D9B" w:rsidP="007964C1">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lastRenderedPageBreak/>
              <w:t>Code :</w:t>
            </w:r>
          </w:p>
        </w:tc>
        <w:tc>
          <w:tcPr>
            <w:tcW w:w="7938" w:type="dxa"/>
            <w:tcBorders>
              <w:top w:val="single" w:sz="18" w:space="0" w:color="auto"/>
              <w:left w:val="single" w:sz="8" w:space="0" w:color="auto"/>
              <w:bottom w:val="single" w:sz="18" w:space="0" w:color="auto"/>
              <w:right w:val="single" w:sz="18" w:space="0" w:color="auto"/>
            </w:tcBorders>
            <w:shd w:val="clear" w:color="auto" w:fill="C2D69B" w:themeFill="accent3" w:themeFillTint="99"/>
            <w:vAlign w:val="bottom"/>
          </w:tcPr>
          <w:p w:rsidR="00D20D9B" w:rsidRPr="00D20D9B" w:rsidRDefault="00D20D9B" w:rsidP="007964C1">
            <w:pPr>
              <w:spacing w:after="0" w:line="240" w:lineRule="auto"/>
              <w:jc w:val="center"/>
              <w:rPr>
                <w:rFonts w:cstheme="minorHAnsi"/>
                <w:b/>
                <w:bCs/>
                <w:sz w:val="24"/>
                <w:szCs w:val="24"/>
              </w:rPr>
            </w:pPr>
            <w:r w:rsidRPr="00D20D9B">
              <w:rPr>
                <w:rFonts w:cstheme="minorHAnsi"/>
                <w:b/>
                <w:bCs/>
                <w:sz w:val="24"/>
                <w:szCs w:val="24"/>
              </w:rPr>
              <w:t>NM 21.9.038</w:t>
            </w:r>
          </w:p>
        </w:tc>
      </w:tr>
      <w:tr w:rsidR="00D20D9B" w:rsidRPr="0043547B" w:rsidTr="007964C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58"/>
        </w:trPr>
        <w:tc>
          <w:tcPr>
            <w:tcW w:w="1856" w:type="dxa"/>
            <w:tcBorders>
              <w:top w:val="single" w:sz="18" w:space="0" w:color="auto"/>
              <w:left w:val="single" w:sz="18" w:space="0" w:color="auto"/>
              <w:bottom w:val="single" w:sz="4" w:space="0" w:color="auto"/>
              <w:right w:val="single" w:sz="8" w:space="0" w:color="auto"/>
            </w:tcBorders>
            <w:shd w:val="clear" w:color="auto" w:fill="95B3D7" w:themeFill="accent1" w:themeFillTint="99"/>
            <w:vAlign w:val="center"/>
          </w:tcPr>
          <w:p w:rsidR="00D20D9B" w:rsidRPr="0043547B" w:rsidRDefault="00D20D9B" w:rsidP="007964C1">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Intitulé :</w:t>
            </w:r>
          </w:p>
        </w:tc>
        <w:tc>
          <w:tcPr>
            <w:tcW w:w="7938" w:type="dxa"/>
            <w:tcBorders>
              <w:top w:val="single" w:sz="18" w:space="0" w:color="auto"/>
              <w:left w:val="single" w:sz="8" w:space="0" w:color="auto"/>
              <w:bottom w:val="single" w:sz="4" w:space="0" w:color="auto"/>
              <w:right w:val="single" w:sz="18" w:space="0" w:color="auto"/>
            </w:tcBorders>
            <w:shd w:val="clear" w:color="auto" w:fill="auto"/>
            <w:vAlign w:val="bottom"/>
          </w:tcPr>
          <w:p w:rsidR="00D20D9B" w:rsidRPr="0043547B" w:rsidRDefault="00D20D9B" w:rsidP="007964C1">
            <w:pPr>
              <w:spacing w:after="0" w:line="240" w:lineRule="auto"/>
              <w:rPr>
                <w:rFonts w:cstheme="minorHAnsi"/>
                <w:sz w:val="24"/>
                <w:szCs w:val="24"/>
              </w:rPr>
            </w:pPr>
            <w:r w:rsidRPr="0043547B">
              <w:rPr>
                <w:rFonts w:cstheme="minorHAnsi"/>
                <w:sz w:val="24"/>
                <w:szCs w:val="24"/>
              </w:rPr>
              <w:t xml:space="preserve">Matériel de lutte contre l'incendie - Plaques de signalisation pour prises et points d'eau ; </w:t>
            </w:r>
          </w:p>
        </w:tc>
      </w:tr>
      <w:tr w:rsidR="00D20D9B" w:rsidRPr="0043547B" w:rsidTr="007964C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Height w:val="58"/>
        </w:trPr>
        <w:tc>
          <w:tcPr>
            <w:tcW w:w="1856" w:type="dxa"/>
            <w:tcBorders>
              <w:top w:val="single" w:sz="4" w:space="0" w:color="auto"/>
              <w:left w:val="single" w:sz="18" w:space="0" w:color="auto"/>
              <w:bottom w:val="single" w:sz="18" w:space="0" w:color="auto"/>
              <w:right w:val="single" w:sz="8" w:space="0" w:color="auto"/>
            </w:tcBorders>
            <w:shd w:val="clear" w:color="auto" w:fill="D9D9D9" w:themeFill="background1" w:themeFillShade="D9"/>
            <w:vAlign w:val="center"/>
          </w:tcPr>
          <w:p w:rsidR="00D20D9B" w:rsidRPr="0043547B" w:rsidRDefault="00D20D9B" w:rsidP="007964C1">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Domaine d’application :</w:t>
            </w:r>
          </w:p>
        </w:tc>
        <w:tc>
          <w:tcPr>
            <w:tcW w:w="7938" w:type="dxa"/>
            <w:tcBorders>
              <w:top w:val="single" w:sz="4" w:space="0" w:color="auto"/>
              <w:left w:val="single" w:sz="8" w:space="0" w:color="auto"/>
              <w:bottom w:val="single" w:sz="18" w:space="0" w:color="auto"/>
              <w:right w:val="single" w:sz="18" w:space="0" w:color="auto"/>
            </w:tcBorders>
            <w:shd w:val="clear" w:color="auto" w:fill="auto"/>
          </w:tcPr>
          <w:p w:rsidR="00D20D9B" w:rsidRPr="0043547B" w:rsidRDefault="00D20D9B" w:rsidP="007964C1">
            <w:pPr>
              <w:spacing w:after="0" w:line="240" w:lineRule="auto"/>
              <w:jc w:val="both"/>
              <w:rPr>
                <w:rFonts w:cstheme="minorHAnsi"/>
                <w:sz w:val="24"/>
                <w:szCs w:val="24"/>
              </w:rPr>
            </w:pPr>
            <w:r w:rsidRPr="0043547B">
              <w:rPr>
                <w:rFonts w:cstheme="minorHAnsi"/>
                <w:sz w:val="24"/>
                <w:szCs w:val="24"/>
              </w:rPr>
              <w:t>Ce document spécifie la signalisation des points d’eau incendie (P.E.I.), permettant de faciliter leur repérage et de connaître leurs caractéristiques essentielles.</w:t>
            </w:r>
          </w:p>
        </w:tc>
      </w:tr>
      <w:tr w:rsidR="00B35BDA" w:rsidRPr="0043547B" w:rsidTr="007964C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2"/>
        </w:trPr>
        <w:tc>
          <w:tcPr>
            <w:tcW w:w="1874" w:type="dxa"/>
            <w:gridSpan w:val="2"/>
            <w:tcBorders>
              <w:top w:val="single" w:sz="18" w:space="0" w:color="auto"/>
              <w:left w:val="single" w:sz="18" w:space="0" w:color="auto"/>
              <w:bottom w:val="single" w:sz="18" w:space="0" w:color="auto"/>
              <w:right w:val="single" w:sz="8" w:space="0" w:color="auto"/>
            </w:tcBorders>
            <w:shd w:val="clear" w:color="auto" w:fill="C2D69B" w:themeFill="accent3" w:themeFillTint="99"/>
            <w:vAlign w:val="center"/>
            <w:hideMark/>
          </w:tcPr>
          <w:p w:rsidR="00B35BDA" w:rsidRPr="0043547B" w:rsidRDefault="00B35BDA" w:rsidP="007964C1">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Code :</w:t>
            </w:r>
          </w:p>
        </w:tc>
        <w:tc>
          <w:tcPr>
            <w:tcW w:w="7938" w:type="dxa"/>
            <w:tcBorders>
              <w:top w:val="single" w:sz="18" w:space="0" w:color="auto"/>
              <w:left w:val="single" w:sz="8" w:space="0" w:color="auto"/>
              <w:bottom w:val="single" w:sz="18" w:space="0" w:color="auto"/>
              <w:right w:val="single" w:sz="18" w:space="0" w:color="auto"/>
            </w:tcBorders>
            <w:shd w:val="clear" w:color="auto" w:fill="C2D69B" w:themeFill="accent3" w:themeFillTint="99"/>
            <w:hideMark/>
          </w:tcPr>
          <w:p w:rsidR="00B35BDA" w:rsidRPr="00D20D9B" w:rsidRDefault="00B35BDA" w:rsidP="007964C1">
            <w:pPr>
              <w:spacing w:after="0" w:line="240" w:lineRule="auto"/>
              <w:jc w:val="center"/>
              <w:rPr>
                <w:rFonts w:eastAsia="Times New Roman" w:cstheme="minorHAnsi"/>
                <w:b/>
                <w:bCs/>
                <w:sz w:val="24"/>
                <w:szCs w:val="24"/>
                <w:lang w:eastAsia="fr-FR"/>
              </w:rPr>
            </w:pPr>
            <w:r w:rsidRPr="00D20D9B">
              <w:rPr>
                <w:rFonts w:eastAsia="Times New Roman" w:cstheme="minorHAnsi"/>
                <w:b/>
                <w:bCs/>
                <w:sz w:val="24"/>
                <w:szCs w:val="24"/>
                <w:lang w:eastAsia="fr-FR"/>
              </w:rPr>
              <w:t>NM CEN/TS 13307-2</w:t>
            </w:r>
          </w:p>
        </w:tc>
      </w:tr>
      <w:tr w:rsidR="00B35BDA" w:rsidRPr="0043547B" w:rsidTr="007964C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1874" w:type="dxa"/>
            <w:gridSpan w:val="2"/>
            <w:tcBorders>
              <w:top w:val="single" w:sz="18" w:space="0" w:color="auto"/>
              <w:left w:val="single" w:sz="18" w:space="0" w:color="auto"/>
              <w:bottom w:val="single" w:sz="4" w:space="0" w:color="auto"/>
              <w:right w:val="single" w:sz="8" w:space="0" w:color="auto"/>
            </w:tcBorders>
            <w:shd w:val="clear" w:color="auto" w:fill="FDFBA9"/>
            <w:vAlign w:val="center"/>
            <w:hideMark/>
          </w:tcPr>
          <w:p w:rsidR="00B35BDA" w:rsidRPr="0043547B" w:rsidRDefault="00B35BDA" w:rsidP="007964C1">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Equivalence :</w:t>
            </w:r>
          </w:p>
        </w:tc>
        <w:tc>
          <w:tcPr>
            <w:tcW w:w="7938" w:type="dxa"/>
            <w:tcBorders>
              <w:top w:val="single" w:sz="18" w:space="0" w:color="auto"/>
              <w:left w:val="single" w:sz="8" w:space="0" w:color="auto"/>
              <w:bottom w:val="single" w:sz="4" w:space="0" w:color="auto"/>
              <w:right w:val="single" w:sz="18" w:space="0" w:color="auto"/>
            </w:tcBorders>
            <w:shd w:val="clear" w:color="auto" w:fill="FDFBA9"/>
            <w:vAlign w:val="center"/>
            <w:hideMark/>
          </w:tcPr>
          <w:p w:rsidR="00B35BDA" w:rsidRPr="00105D5C" w:rsidRDefault="00B35BDA" w:rsidP="007964C1">
            <w:pPr>
              <w:spacing w:after="0" w:line="240" w:lineRule="auto"/>
              <w:jc w:val="center"/>
              <w:rPr>
                <w:rFonts w:eastAsia="Times New Roman" w:cstheme="minorHAnsi"/>
                <w:b/>
                <w:bCs/>
                <w:sz w:val="24"/>
                <w:szCs w:val="24"/>
                <w:lang w:eastAsia="fr-FR"/>
              </w:rPr>
            </w:pPr>
            <w:r w:rsidRPr="00105D5C">
              <w:rPr>
                <w:rFonts w:eastAsia="Times New Roman" w:cstheme="minorHAnsi"/>
                <w:b/>
                <w:bCs/>
                <w:sz w:val="24"/>
                <w:szCs w:val="24"/>
                <w:lang w:eastAsia="fr-FR"/>
              </w:rPr>
              <w:t>CEN/TS 13307-2</w:t>
            </w:r>
          </w:p>
        </w:tc>
      </w:tr>
      <w:tr w:rsidR="00B35BDA" w:rsidRPr="0043547B" w:rsidTr="007964C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6"/>
        </w:trPr>
        <w:tc>
          <w:tcPr>
            <w:tcW w:w="1874" w:type="dxa"/>
            <w:gridSpan w:val="2"/>
            <w:tcBorders>
              <w:top w:val="single" w:sz="4" w:space="0" w:color="auto"/>
              <w:left w:val="single" w:sz="18" w:space="0" w:color="auto"/>
              <w:bottom w:val="single" w:sz="4" w:space="0" w:color="auto"/>
              <w:right w:val="single" w:sz="8" w:space="0" w:color="auto"/>
            </w:tcBorders>
            <w:shd w:val="clear" w:color="auto" w:fill="B8CCE4" w:themeFill="accent1" w:themeFillTint="66"/>
            <w:vAlign w:val="center"/>
            <w:hideMark/>
          </w:tcPr>
          <w:p w:rsidR="00B35BDA" w:rsidRPr="0043547B" w:rsidRDefault="00B35BDA" w:rsidP="007964C1">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Intitulé :</w:t>
            </w:r>
          </w:p>
        </w:tc>
        <w:tc>
          <w:tcPr>
            <w:tcW w:w="7938" w:type="dxa"/>
            <w:tcBorders>
              <w:top w:val="single" w:sz="4" w:space="0" w:color="auto"/>
              <w:left w:val="single" w:sz="8" w:space="0" w:color="auto"/>
              <w:bottom w:val="single" w:sz="4" w:space="0" w:color="auto"/>
              <w:right w:val="single" w:sz="18" w:space="0" w:color="auto"/>
            </w:tcBorders>
            <w:shd w:val="clear" w:color="auto" w:fill="auto"/>
            <w:hideMark/>
          </w:tcPr>
          <w:p w:rsidR="00B35BDA" w:rsidRPr="0043547B" w:rsidRDefault="00B35BDA" w:rsidP="007964C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Ébauches et profilés semi-finis en bois lamellé-collés et assemblés par entures multiples pour usages non structurels - Partie 2 : Contrôle de production   </w:t>
            </w:r>
          </w:p>
        </w:tc>
      </w:tr>
      <w:tr w:rsidR="00B35BDA" w:rsidRPr="0043547B" w:rsidTr="007964C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04"/>
        </w:trPr>
        <w:tc>
          <w:tcPr>
            <w:tcW w:w="1874" w:type="dxa"/>
            <w:gridSpan w:val="2"/>
            <w:tcBorders>
              <w:top w:val="single" w:sz="4" w:space="0" w:color="auto"/>
              <w:left w:val="single" w:sz="18" w:space="0" w:color="auto"/>
              <w:bottom w:val="single" w:sz="18" w:space="0" w:color="auto"/>
              <w:right w:val="single" w:sz="8" w:space="0" w:color="auto"/>
            </w:tcBorders>
            <w:shd w:val="clear" w:color="auto" w:fill="D9D9D9" w:themeFill="background1" w:themeFillShade="D9"/>
            <w:vAlign w:val="center"/>
            <w:hideMark/>
          </w:tcPr>
          <w:p w:rsidR="00B35BDA" w:rsidRPr="0043547B" w:rsidRDefault="00B35BDA" w:rsidP="007964C1">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Domaine d’application :</w:t>
            </w:r>
          </w:p>
        </w:tc>
        <w:tc>
          <w:tcPr>
            <w:tcW w:w="7938" w:type="dxa"/>
            <w:tcBorders>
              <w:top w:val="single" w:sz="4" w:space="0" w:color="auto"/>
              <w:left w:val="single" w:sz="8" w:space="0" w:color="auto"/>
              <w:bottom w:val="single" w:sz="18" w:space="0" w:color="auto"/>
              <w:right w:val="single" w:sz="18" w:space="0" w:color="auto"/>
            </w:tcBorders>
            <w:shd w:val="clear" w:color="auto" w:fill="auto"/>
            <w:hideMark/>
          </w:tcPr>
          <w:p w:rsidR="007964C1" w:rsidRDefault="00B35BDA" w:rsidP="007964C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spécification technique spécifie la méthode pour le contrôle et les essais de performance des liaisons de collage pour les procédés de lamellation et d'aboutage par entures multiples, utilisés dans la production d'ébauches</w:t>
            </w:r>
            <w:r w:rsidRPr="0043547B">
              <w:rPr>
                <w:rFonts w:eastAsia="Times New Roman" w:cstheme="minorHAnsi"/>
                <w:sz w:val="24"/>
                <w:szCs w:val="24"/>
                <w:lang w:eastAsia="fr-FR"/>
              </w:rPr>
              <w:br/>
              <w:t>et de profilés semi-finis en bois pour des applications en menuiserie.</w:t>
            </w:r>
            <w:r w:rsidRPr="0043547B">
              <w:rPr>
                <w:rFonts w:eastAsia="Times New Roman" w:cstheme="minorHAnsi"/>
                <w:sz w:val="24"/>
                <w:szCs w:val="24"/>
                <w:lang w:eastAsia="fr-FR"/>
              </w:rPr>
              <w:br/>
              <w:t>Les méthodes de contrôle sont établies dans le but de garantir la durabilité du plan de colle en fonction de la classe de service.</w:t>
            </w:r>
          </w:p>
          <w:p w:rsidR="00B35BDA" w:rsidRPr="0043547B" w:rsidRDefault="00B35BDA" w:rsidP="007964C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exigences spécifiques en matière de dimensions, de stabilité et de teneur en humidité sont données dans l'EN 13307-1.</w:t>
            </w:r>
          </w:p>
        </w:tc>
      </w:tr>
      <w:tr w:rsidR="00D20D9B" w:rsidRPr="0043547B" w:rsidTr="007964C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1874" w:type="dxa"/>
            <w:gridSpan w:val="2"/>
            <w:tcBorders>
              <w:top w:val="single" w:sz="18" w:space="0" w:color="auto"/>
              <w:left w:val="single" w:sz="18" w:space="0" w:color="auto"/>
              <w:bottom w:val="single" w:sz="18" w:space="0" w:color="auto"/>
              <w:right w:val="single" w:sz="8" w:space="0" w:color="auto"/>
            </w:tcBorders>
            <w:shd w:val="clear" w:color="auto" w:fill="C2D69B" w:themeFill="accent3" w:themeFillTint="99"/>
            <w:vAlign w:val="center"/>
            <w:hideMark/>
          </w:tcPr>
          <w:p w:rsidR="00D20D9B" w:rsidRPr="0043547B" w:rsidRDefault="00D20D9B" w:rsidP="007964C1">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Code :</w:t>
            </w:r>
          </w:p>
        </w:tc>
        <w:tc>
          <w:tcPr>
            <w:tcW w:w="7938" w:type="dxa"/>
            <w:tcBorders>
              <w:top w:val="single" w:sz="18" w:space="0" w:color="auto"/>
              <w:left w:val="single" w:sz="8" w:space="0" w:color="auto"/>
              <w:bottom w:val="single" w:sz="18" w:space="0" w:color="auto"/>
              <w:right w:val="single" w:sz="18" w:space="0" w:color="auto"/>
            </w:tcBorders>
            <w:shd w:val="clear" w:color="auto" w:fill="C2D69B" w:themeFill="accent3" w:themeFillTint="99"/>
            <w:hideMark/>
          </w:tcPr>
          <w:p w:rsidR="00D20D9B" w:rsidRPr="00D20D9B" w:rsidRDefault="00D20D9B" w:rsidP="00D20D9B">
            <w:pPr>
              <w:spacing w:after="0" w:line="240" w:lineRule="auto"/>
              <w:jc w:val="center"/>
              <w:rPr>
                <w:rFonts w:eastAsia="Times New Roman" w:cstheme="minorHAnsi"/>
                <w:b/>
                <w:bCs/>
                <w:sz w:val="24"/>
                <w:szCs w:val="24"/>
                <w:lang w:eastAsia="fr-FR"/>
              </w:rPr>
            </w:pPr>
            <w:r w:rsidRPr="00D20D9B">
              <w:rPr>
                <w:rFonts w:eastAsia="Times New Roman" w:cstheme="minorHAnsi"/>
                <w:b/>
                <w:bCs/>
                <w:sz w:val="24"/>
                <w:szCs w:val="24"/>
                <w:lang w:eastAsia="fr-FR"/>
              </w:rPr>
              <w:t>NM EN 1866-1</w:t>
            </w:r>
          </w:p>
        </w:tc>
      </w:tr>
      <w:tr w:rsidR="00D20D9B" w:rsidRPr="0043547B" w:rsidTr="007964C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1874" w:type="dxa"/>
            <w:gridSpan w:val="2"/>
            <w:tcBorders>
              <w:top w:val="single" w:sz="18" w:space="0" w:color="auto"/>
              <w:left w:val="single" w:sz="18" w:space="0" w:color="auto"/>
              <w:bottom w:val="single" w:sz="4" w:space="0" w:color="auto"/>
              <w:right w:val="single" w:sz="4" w:space="0" w:color="auto"/>
            </w:tcBorders>
            <w:shd w:val="clear" w:color="auto" w:fill="FDFBA9"/>
            <w:vAlign w:val="center"/>
            <w:hideMark/>
          </w:tcPr>
          <w:p w:rsidR="00D20D9B" w:rsidRPr="0043547B" w:rsidRDefault="00D20D9B" w:rsidP="00D20D9B">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DFBA9"/>
            <w:vAlign w:val="center"/>
            <w:hideMark/>
          </w:tcPr>
          <w:p w:rsidR="00D20D9B" w:rsidRPr="00105D5C" w:rsidRDefault="00D20D9B" w:rsidP="00D20D9B">
            <w:pPr>
              <w:spacing w:after="0" w:line="240" w:lineRule="auto"/>
              <w:jc w:val="center"/>
              <w:rPr>
                <w:rFonts w:eastAsia="Times New Roman" w:cstheme="minorHAnsi"/>
                <w:b/>
                <w:bCs/>
                <w:sz w:val="24"/>
                <w:szCs w:val="24"/>
                <w:lang w:eastAsia="fr-FR"/>
              </w:rPr>
            </w:pPr>
            <w:r w:rsidRPr="00105D5C">
              <w:rPr>
                <w:rFonts w:eastAsia="Times New Roman" w:cstheme="minorHAnsi"/>
                <w:b/>
                <w:bCs/>
                <w:sz w:val="24"/>
                <w:szCs w:val="24"/>
                <w:lang w:eastAsia="fr-FR"/>
              </w:rPr>
              <w:t>EN 1866-1</w:t>
            </w:r>
          </w:p>
        </w:tc>
      </w:tr>
      <w:tr w:rsidR="00D20D9B" w:rsidRPr="0043547B" w:rsidTr="007964C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6"/>
        </w:trPr>
        <w:tc>
          <w:tcPr>
            <w:tcW w:w="1874" w:type="dxa"/>
            <w:gridSpan w:val="2"/>
            <w:tcBorders>
              <w:top w:val="single" w:sz="4" w:space="0" w:color="auto"/>
              <w:left w:val="single" w:sz="18" w:space="0" w:color="auto"/>
              <w:bottom w:val="single" w:sz="4" w:space="0" w:color="auto"/>
              <w:right w:val="single" w:sz="4" w:space="0" w:color="auto"/>
            </w:tcBorders>
            <w:shd w:val="clear" w:color="auto" w:fill="B8CCE4" w:themeFill="accent1" w:themeFillTint="66"/>
            <w:vAlign w:val="center"/>
            <w:hideMark/>
          </w:tcPr>
          <w:p w:rsidR="00D20D9B" w:rsidRPr="0043547B" w:rsidRDefault="00D20D9B" w:rsidP="00D20D9B">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auto"/>
            <w:hideMark/>
          </w:tcPr>
          <w:p w:rsidR="00D20D9B" w:rsidRPr="0043547B" w:rsidRDefault="00D20D9B" w:rsidP="00D20D9B">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Extincteurs d'incendie mobiles - Partie 1 : Caractéristiques, performances et méthodes d'essai  </w:t>
            </w:r>
          </w:p>
        </w:tc>
      </w:tr>
      <w:tr w:rsidR="00D20D9B" w:rsidRPr="0043547B" w:rsidTr="007964C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1874" w:type="dxa"/>
            <w:gridSpan w:val="2"/>
            <w:tcBorders>
              <w:top w:val="single" w:sz="4" w:space="0" w:color="auto"/>
              <w:left w:val="single" w:sz="18" w:space="0" w:color="auto"/>
              <w:bottom w:val="single" w:sz="18" w:space="0" w:color="auto"/>
              <w:right w:val="single" w:sz="8" w:space="0" w:color="auto"/>
            </w:tcBorders>
            <w:shd w:val="clear" w:color="auto" w:fill="D9D9D9" w:themeFill="background1" w:themeFillShade="D9"/>
            <w:vAlign w:val="center"/>
            <w:hideMark/>
          </w:tcPr>
          <w:p w:rsidR="00D20D9B" w:rsidRPr="0043547B" w:rsidRDefault="00D20D9B" w:rsidP="00D20D9B">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Domaine d’application :</w:t>
            </w:r>
          </w:p>
        </w:tc>
        <w:tc>
          <w:tcPr>
            <w:tcW w:w="7938" w:type="dxa"/>
            <w:tcBorders>
              <w:top w:val="single" w:sz="4" w:space="0" w:color="auto"/>
              <w:left w:val="single" w:sz="8" w:space="0" w:color="auto"/>
              <w:bottom w:val="single" w:sz="18" w:space="0" w:color="auto"/>
              <w:right w:val="single" w:sz="18" w:space="0" w:color="auto"/>
            </w:tcBorders>
            <w:shd w:val="clear" w:color="auto" w:fill="auto"/>
            <w:hideMark/>
          </w:tcPr>
          <w:p w:rsidR="007964C1" w:rsidRDefault="00D20D9B" w:rsidP="007964C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européenne spécifie les règles de conception, les essais de type, les contrôles en cours de fabrication, les foyers-types et la classification des extincteurs d’incendie mobiles ainsi que les méthodes d’essai à employer. Elle s’applique aux extincteurs d’incendie mobiles ayant une masse totale supérieure à 20 kg pour les extincteurs à poudre, à base d’eau et à CO2. La présente norme s’applique uniquement aux extincteurs d’incendie mobiles manipulés par un opérateur se déplacant à pied.</w:t>
            </w:r>
          </w:p>
          <w:p w:rsidR="00D20D9B" w:rsidRPr="0043547B" w:rsidRDefault="007964C1" w:rsidP="007964C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Elle ne traite pas les essais sur feux de classes C et F, mais les agents extincteurs utilisés peuvent être efficaces sur ces types de feux. Les feux de classe D sont considérés comme des applications très spécialisées et ne sont pas traités dans la présente norme ; ils peuvent toutefois faire l’objet d’une spécification nationale.</w:t>
            </w:r>
          </w:p>
        </w:tc>
      </w:tr>
      <w:tr w:rsidR="00D20D9B" w:rsidRPr="0043547B" w:rsidTr="007964C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1874" w:type="dxa"/>
            <w:gridSpan w:val="2"/>
            <w:tcBorders>
              <w:top w:val="single" w:sz="18" w:space="0" w:color="auto"/>
              <w:left w:val="single" w:sz="18" w:space="0" w:color="auto"/>
              <w:bottom w:val="single" w:sz="18" w:space="0" w:color="auto"/>
              <w:right w:val="single" w:sz="8" w:space="0" w:color="auto"/>
            </w:tcBorders>
            <w:shd w:val="clear" w:color="auto" w:fill="C2D69B" w:themeFill="accent3" w:themeFillTint="99"/>
            <w:vAlign w:val="center"/>
            <w:hideMark/>
          </w:tcPr>
          <w:p w:rsidR="00D20D9B" w:rsidRPr="0043547B" w:rsidRDefault="00D20D9B" w:rsidP="007964C1">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Code :</w:t>
            </w:r>
          </w:p>
        </w:tc>
        <w:tc>
          <w:tcPr>
            <w:tcW w:w="7938" w:type="dxa"/>
            <w:tcBorders>
              <w:top w:val="single" w:sz="18" w:space="0" w:color="auto"/>
              <w:left w:val="single" w:sz="8" w:space="0" w:color="auto"/>
              <w:bottom w:val="single" w:sz="18" w:space="0" w:color="auto"/>
              <w:right w:val="single" w:sz="18" w:space="0" w:color="auto"/>
            </w:tcBorders>
            <w:shd w:val="clear" w:color="auto" w:fill="C2D69B" w:themeFill="accent3" w:themeFillTint="99"/>
            <w:hideMark/>
          </w:tcPr>
          <w:p w:rsidR="00D20D9B" w:rsidRPr="00D20D9B" w:rsidRDefault="00D20D9B" w:rsidP="00D20D9B">
            <w:pPr>
              <w:spacing w:after="0" w:line="240" w:lineRule="auto"/>
              <w:jc w:val="center"/>
              <w:rPr>
                <w:rFonts w:eastAsia="Times New Roman" w:cstheme="minorHAnsi"/>
                <w:b/>
                <w:bCs/>
                <w:sz w:val="24"/>
                <w:szCs w:val="24"/>
                <w:lang w:eastAsia="fr-FR"/>
              </w:rPr>
            </w:pPr>
            <w:r w:rsidRPr="00D20D9B">
              <w:rPr>
                <w:rFonts w:eastAsia="Times New Roman" w:cstheme="minorHAnsi"/>
                <w:b/>
                <w:bCs/>
                <w:sz w:val="24"/>
                <w:szCs w:val="24"/>
                <w:lang w:eastAsia="fr-FR"/>
              </w:rPr>
              <w:t>NM EN 1866-2</w:t>
            </w:r>
          </w:p>
        </w:tc>
      </w:tr>
      <w:tr w:rsidR="00D20D9B" w:rsidRPr="0043547B" w:rsidTr="007964C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1874" w:type="dxa"/>
            <w:gridSpan w:val="2"/>
            <w:tcBorders>
              <w:top w:val="single" w:sz="18" w:space="0" w:color="auto"/>
              <w:left w:val="single" w:sz="18" w:space="0" w:color="auto"/>
              <w:bottom w:val="single" w:sz="4" w:space="0" w:color="auto"/>
              <w:right w:val="single" w:sz="8" w:space="0" w:color="auto"/>
            </w:tcBorders>
            <w:shd w:val="clear" w:color="auto" w:fill="FDFBA9"/>
            <w:vAlign w:val="center"/>
            <w:hideMark/>
          </w:tcPr>
          <w:p w:rsidR="00D20D9B" w:rsidRPr="0043547B" w:rsidRDefault="00D20D9B" w:rsidP="00D20D9B">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Equivalence :</w:t>
            </w:r>
          </w:p>
        </w:tc>
        <w:tc>
          <w:tcPr>
            <w:tcW w:w="7938" w:type="dxa"/>
            <w:tcBorders>
              <w:top w:val="single" w:sz="18" w:space="0" w:color="auto"/>
              <w:left w:val="single" w:sz="8" w:space="0" w:color="auto"/>
              <w:bottom w:val="single" w:sz="4" w:space="0" w:color="auto"/>
              <w:right w:val="single" w:sz="18" w:space="0" w:color="auto"/>
            </w:tcBorders>
            <w:shd w:val="clear" w:color="auto" w:fill="FDFBA9"/>
            <w:vAlign w:val="center"/>
            <w:hideMark/>
          </w:tcPr>
          <w:p w:rsidR="00D20D9B" w:rsidRPr="00105D5C" w:rsidRDefault="00D20D9B" w:rsidP="00D20D9B">
            <w:pPr>
              <w:spacing w:after="0" w:line="240" w:lineRule="auto"/>
              <w:jc w:val="center"/>
              <w:rPr>
                <w:rFonts w:eastAsia="Times New Roman" w:cstheme="minorHAnsi"/>
                <w:b/>
                <w:bCs/>
                <w:sz w:val="24"/>
                <w:szCs w:val="24"/>
                <w:lang w:eastAsia="fr-FR"/>
              </w:rPr>
            </w:pPr>
            <w:r w:rsidRPr="00105D5C">
              <w:rPr>
                <w:rFonts w:eastAsia="Times New Roman" w:cstheme="minorHAnsi"/>
                <w:b/>
                <w:bCs/>
                <w:sz w:val="24"/>
                <w:szCs w:val="24"/>
                <w:lang w:eastAsia="fr-FR"/>
              </w:rPr>
              <w:t>EN 1866-2</w:t>
            </w:r>
          </w:p>
        </w:tc>
      </w:tr>
      <w:tr w:rsidR="00D20D9B" w:rsidRPr="0043547B" w:rsidTr="007964C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64"/>
        </w:trPr>
        <w:tc>
          <w:tcPr>
            <w:tcW w:w="1874" w:type="dxa"/>
            <w:gridSpan w:val="2"/>
            <w:tcBorders>
              <w:top w:val="single" w:sz="4" w:space="0" w:color="auto"/>
              <w:left w:val="single" w:sz="18" w:space="0" w:color="auto"/>
              <w:bottom w:val="single" w:sz="4" w:space="0" w:color="auto"/>
              <w:right w:val="single" w:sz="8" w:space="0" w:color="auto"/>
            </w:tcBorders>
            <w:shd w:val="clear" w:color="auto" w:fill="B8CCE4" w:themeFill="accent1" w:themeFillTint="66"/>
            <w:vAlign w:val="center"/>
            <w:hideMark/>
          </w:tcPr>
          <w:p w:rsidR="00D20D9B" w:rsidRPr="0043547B" w:rsidRDefault="00D20D9B" w:rsidP="00D20D9B">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Intitulé :</w:t>
            </w:r>
          </w:p>
        </w:tc>
        <w:tc>
          <w:tcPr>
            <w:tcW w:w="7938" w:type="dxa"/>
            <w:tcBorders>
              <w:top w:val="single" w:sz="4" w:space="0" w:color="auto"/>
              <w:left w:val="single" w:sz="8" w:space="0" w:color="auto"/>
              <w:bottom w:val="single" w:sz="4" w:space="0" w:color="auto"/>
              <w:right w:val="single" w:sz="18" w:space="0" w:color="auto"/>
            </w:tcBorders>
            <w:shd w:val="clear" w:color="auto" w:fill="auto"/>
            <w:hideMark/>
          </w:tcPr>
          <w:p w:rsidR="00D20D9B" w:rsidRPr="0043547B" w:rsidRDefault="00D20D9B" w:rsidP="00D20D9B">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Extincteurs d'incendie mobiles - Partie 2 : Exigences pour la construction, la résistance à la pression et les essais mécaniques des extincteurs conformes aux exigences de l'EN 1866-1, dont la pression maximale admissible est inférieure ou égale à 30 bar  </w:t>
            </w:r>
          </w:p>
        </w:tc>
      </w:tr>
      <w:tr w:rsidR="00D20D9B" w:rsidRPr="0043547B" w:rsidTr="004130C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8"/>
        </w:trPr>
        <w:tc>
          <w:tcPr>
            <w:tcW w:w="1874" w:type="dxa"/>
            <w:gridSpan w:val="2"/>
            <w:tcBorders>
              <w:top w:val="single" w:sz="4" w:space="0" w:color="auto"/>
              <w:left w:val="single" w:sz="18" w:space="0" w:color="auto"/>
              <w:bottom w:val="single" w:sz="18" w:space="0" w:color="auto"/>
              <w:right w:val="single" w:sz="8" w:space="0" w:color="auto"/>
            </w:tcBorders>
            <w:shd w:val="clear" w:color="auto" w:fill="D9D9D9" w:themeFill="background1" w:themeFillShade="D9"/>
            <w:vAlign w:val="center"/>
            <w:hideMark/>
          </w:tcPr>
          <w:p w:rsidR="00D20D9B" w:rsidRPr="0043547B" w:rsidRDefault="00D20D9B" w:rsidP="00D20D9B">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Domaine d’application :</w:t>
            </w:r>
          </w:p>
        </w:tc>
        <w:tc>
          <w:tcPr>
            <w:tcW w:w="7938" w:type="dxa"/>
            <w:tcBorders>
              <w:top w:val="single" w:sz="4" w:space="0" w:color="auto"/>
              <w:left w:val="single" w:sz="8" w:space="0" w:color="auto"/>
              <w:bottom w:val="single" w:sz="18" w:space="0" w:color="auto"/>
              <w:right w:val="single" w:sz="18" w:space="0" w:color="auto"/>
            </w:tcBorders>
            <w:shd w:val="clear" w:color="auto" w:fill="auto"/>
            <w:hideMark/>
          </w:tcPr>
          <w:p w:rsidR="004130CC" w:rsidRDefault="00D20D9B" w:rsidP="004130CC">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La présente Norme européenne spécifie les règles de conception, les essais de type, la fabrication et l’inspection en cours de fabrication des extincteurs </w:t>
            </w:r>
            <w:r w:rsidR="004130CC" w:rsidRPr="0043547B">
              <w:rPr>
                <w:rFonts w:eastAsia="Times New Roman" w:cstheme="minorHAnsi"/>
                <w:sz w:val="24"/>
                <w:szCs w:val="24"/>
                <w:lang w:eastAsia="fr-FR"/>
              </w:rPr>
              <w:t>d’incendie mobiles à corps métallique, conformes aux exigences de l’EN 1866-1,</w:t>
            </w:r>
            <w:r w:rsidR="004130CC" w:rsidRPr="0043547B">
              <w:rPr>
                <w:rFonts w:eastAsia="Times New Roman" w:cstheme="minorHAnsi"/>
                <w:sz w:val="24"/>
                <w:szCs w:val="24"/>
                <w:lang w:eastAsia="fr-FR"/>
              </w:rPr>
              <w:br/>
              <w:t>en ce qui concerne leur résistance à la pression.</w:t>
            </w:r>
          </w:p>
          <w:p w:rsidR="00D20D9B" w:rsidRPr="0043547B" w:rsidRDefault="004130CC" w:rsidP="004130CC">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lastRenderedPageBreak/>
              <w:t>Cette partie s’applique aux extincteurs d’incendie mobiles dont la pression maximale admissible PS est inférieure ou égale à 30 bar et contenant des fluides ou une poudre non explosifs, non inflammables, non toxiques et non oxydants.</w:t>
            </w:r>
            <w:r w:rsidRPr="0043547B">
              <w:rPr>
                <w:rFonts w:eastAsia="Times New Roman" w:cstheme="minorHAnsi"/>
                <w:sz w:val="24"/>
                <w:szCs w:val="24"/>
                <w:lang w:eastAsia="fr-FR"/>
              </w:rPr>
              <w:br/>
              <w:t>La présente Norme européenne ne s’applique pas aux extincteurs au dioxyde de carbone.</w:t>
            </w:r>
          </w:p>
        </w:tc>
      </w:tr>
      <w:tr w:rsidR="00D20D9B" w:rsidRPr="0043547B" w:rsidTr="007964C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1874" w:type="dxa"/>
            <w:gridSpan w:val="2"/>
            <w:tcBorders>
              <w:top w:val="single" w:sz="18" w:space="0" w:color="auto"/>
              <w:left w:val="single" w:sz="18" w:space="0" w:color="auto"/>
              <w:bottom w:val="single" w:sz="18" w:space="0" w:color="auto"/>
              <w:right w:val="single" w:sz="8" w:space="0" w:color="auto"/>
            </w:tcBorders>
            <w:shd w:val="clear" w:color="auto" w:fill="C2D69B" w:themeFill="accent3" w:themeFillTint="99"/>
            <w:vAlign w:val="center"/>
            <w:hideMark/>
          </w:tcPr>
          <w:p w:rsidR="00D20D9B" w:rsidRPr="0043547B" w:rsidRDefault="00D20D9B" w:rsidP="007964C1">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lastRenderedPageBreak/>
              <w:t>Code :</w:t>
            </w:r>
          </w:p>
        </w:tc>
        <w:tc>
          <w:tcPr>
            <w:tcW w:w="7938" w:type="dxa"/>
            <w:tcBorders>
              <w:top w:val="single" w:sz="18" w:space="0" w:color="auto"/>
              <w:left w:val="single" w:sz="8" w:space="0" w:color="auto"/>
              <w:bottom w:val="single" w:sz="18" w:space="0" w:color="auto"/>
              <w:right w:val="single" w:sz="18" w:space="0" w:color="auto"/>
            </w:tcBorders>
            <w:shd w:val="clear" w:color="auto" w:fill="C2D69B" w:themeFill="accent3" w:themeFillTint="99"/>
            <w:hideMark/>
          </w:tcPr>
          <w:p w:rsidR="00D20D9B" w:rsidRPr="00D20D9B" w:rsidRDefault="00D20D9B" w:rsidP="00D20D9B">
            <w:pPr>
              <w:spacing w:after="0" w:line="240" w:lineRule="auto"/>
              <w:jc w:val="center"/>
              <w:rPr>
                <w:rFonts w:eastAsia="Times New Roman" w:cstheme="minorHAnsi"/>
                <w:b/>
                <w:bCs/>
                <w:sz w:val="24"/>
                <w:szCs w:val="24"/>
                <w:lang w:eastAsia="fr-FR"/>
              </w:rPr>
            </w:pPr>
            <w:r w:rsidRPr="00D20D9B">
              <w:rPr>
                <w:rFonts w:eastAsia="Times New Roman" w:cstheme="minorHAnsi"/>
                <w:b/>
                <w:bCs/>
                <w:sz w:val="24"/>
                <w:szCs w:val="24"/>
                <w:lang w:eastAsia="fr-FR"/>
              </w:rPr>
              <w:t>NM EN 3-1</w:t>
            </w:r>
          </w:p>
        </w:tc>
      </w:tr>
      <w:tr w:rsidR="00D20D9B" w:rsidRPr="0043547B" w:rsidTr="007964C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1874" w:type="dxa"/>
            <w:gridSpan w:val="2"/>
            <w:tcBorders>
              <w:top w:val="single" w:sz="18" w:space="0" w:color="auto"/>
              <w:left w:val="single" w:sz="18" w:space="0" w:color="auto"/>
              <w:bottom w:val="single" w:sz="4" w:space="0" w:color="auto"/>
              <w:right w:val="single" w:sz="8" w:space="0" w:color="auto"/>
            </w:tcBorders>
            <w:shd w:val="clear" w:color="auto" w:fill="FDFBA9"/>
            <w:vAlign w:val="center"/>
            <w:hideMark/>
          </w:tcPr>
          <w:p w:rsidR="00D20D9B" w:rsidRPr="0043547B" w:rsidRDefault="00D20D9B" w:rsidP="00D20D9B">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Equivalence :</w:t>
            </w:r>
          </w:p>
        </w:tc>
        <w:tc>
          <w:tcPr>
            <w:tcW w:w="7938" w:type="dxa"/>
            <w:tcBorders>
              <w:top w:val="single" w:sz="18" w:space="0" w:color="auto"/>
              <w:left w:val="single" w:sz="8" w:space="0" w:color="auto"/>
              <w:bottom w:val="single" w:sz="4" w:space="0" w:color="auto"/>
              <w:right w:val="single" w:sz="18" w:space="0" w:color="auto"/>
            </w:tcBorders>
            <w:shd w:val="clear" w:color="auto" w:fill="FDFBA9"/>
            <w:vAlign w:val="center"/>
            <w:hideMark/>
          </w:tcPr>
          <w:p w:rsidR="00D20D9B" w:rsidRPr="00105D5C" w:rsidRDefault="00D20D9B" w:rsidP="00D20D9B">
            <w:pPr>
              <w:spacing w:after="0" w:line="240" w:lineRule="auto"/>
              <w:jc w:val="center"/>
              <w:rPr>
                <w:rFonts w:eastAsia="Times New Roman" w:cstheme="minorHAnsi"/>
                <w:b/>
                <w:bCs/>
                <w:sz w:val="24"/>
                <w:szCs w:val="24"/>
                <w:lang w:eastAsia="fr-FR"/>
              </w:rPr>
            </w:pPr>
            <w:r w:rsidRPr="00105D5C">
              <w:rPr>
                <w:rFonts w:eastAsia="Times New Roman" w:cstheme="minorHAnsi"/>
                <w:b/>
                <w:bCs/>
                <w:sz w:val="24"/>
                <w:szCs w:val="24"/>
                <w:lang w:eastAsia="fr-FR"/>
              </w:rPr>
              <w:t>EN 3-1</w:t>
            </w:r>
          </w:p>
        </w:tc>
      </w:tr>
      <w:tr w:rsidR="00D20D9B" w:rsidRPr="0043547B" w:rsidTr="007964C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6"/>
        </w:trPr>
        <w:tc>
          <w:tcPr>
            <w:tcW w:w="1874" w:type="dxa"/>
            <w:gridSpan w:val="2"/>
            <w:tcBorders>
              <w:top w:val="single" w:sz="4" w:space="0" w:color="auto"/>
              <w:left w:val="single" w:sz="18" w:space="0" w:color="auto"/>
              <w:bottom w:val="single" w:sz="4" w:space="0" w:color="auto"/>
              <w:right w:val="single" w:sz="8" w:space="0" w:color="auto"/>
            </w:tcBorders>
            <w:shd w:val="clear" w:color="auto" w:fill="B8CCE4" w:themeFill="accent1" w:themeFillTint="66"/>
            <w:vAlign w:val="center"/>
            <w:hideMark/>
          </w:tcPr>
          <w:p w:rsidR="00D20D9B" w:rsidRPr="0043547B" w:rsidRDefault="00D20D9B" w:rsidP="00D20D9B">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Intitulé :</w:t>
            </w:r>
          </w:p>
        </w:tc>
        <w:tc>
          <w:tcPr>
            <w:tcW w:w="7938" w:type="dxa"/>
            <w:tcBorders>
              <w:top w:val="single" w:sz="4" w:space="0" w:color="auto"/>
              <w:left w:val="single" w:sz="8" w:space="0" w:color="auto"/>
              <w:bottom w:val="single" w:sz="4" w:space="0" w:color="auto"/>
              <w:right w:val="single" w:sz="18" w:space="0" w:color="auto"/>
            </w:tcBorders>
            <w:shd w:val="clear" w:color="auto" w:fill="auto"/>
            <w:hideMark/>
          </w:tcPr>
          <w:p w:rsidR="00D20D9B" w:rsidRPr="0043547B" w:rsidRDefault="00D20D9B" w:rsidP="00D20D9B">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Extincteurs d'incendie portatifs - Partie 1 : Appellation, durée de fonctionnement, foyers-types des classes A et B  </w:t>
            </w:r>
          </w:p>
        </w:tc>
      </w:tr>
      <w:tr w:rsidR="00D20D9B" w:rsidRPr="0043547B" w:rsidTr="007964C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64"/>
        </w:trPr>
        <w:tc>
          <w:tcPr>
            <w:tcW w:w="1874" w:type="dxa"/>
            <w:gridSpan w:val="2"/>
            <w:tcBorders>
              <w:top w:val="single" w:sz="4" w:space="0" w:color="auto"/>
              <w:left w:val="single" w:sz="18" w:space="0" w:color="auto"/>
              <w:bottom w:val="single" w:sz="18" w:space="0" w:color="auto"/>
              <w:right w:val="single" w:sz="8" w:space="0" w:color="auto"/>
            </w:tcBorders>
            <w:shd w:val="clear" w:color="auto" w:fill="D9D9D9" w:themeFill="background1" w:themeFillShade="D9"/>
            <w:vAlign w:val="center"/>
            <w:hideMark/>
          </w:tcPr>
          <w:p w:rsidR="00D20D9B" w:rsidRPr="0043547B" w:rsidRDefault="00D20D9B" w:rsidP="00D20D9B">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Domaine d’application :</w:t>
            </w:r>
          </w:p>
        </w:tc>
        <w:tc>
          <w:tcPr>
            <w:tcW w:w="7938" w:type="dxa"/>
            <w:tcBorders>
              <w:top w:val="single" w:sz="4" w:space="0" w:color="auto"/>
              <w:left w:val="single" w:sz="8" w:space="0" w:color="auto"/>
              <w:bottom w:val="single" w:sz="18" w:space="0" w:color="auto"/>
              <w:right w:val="single" w:sz="18" w:space="0" w:color="auto"/>
            </w:tcBorders>
            <w:shd w:val="clear" w:color="auto" w:fill="auto"/>
            <w:hideMark/>
          </w:tcPr>
          <w:p w:rsidR="00D20D9B" w:rsidRPr="0043547B" w:rsidRDefault="00D20D9B" w:rsidP="007964C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prescrit les caractéristiques de désignation, de durée de fonctionnement, de charge résiduelle et des essais d'éfficacité d'incendie applicables aux extincteurs d'incendie portatifs.</w:t>
            </w:r>
          </w:p>
        </w:tc>
      </w:tr>
      <w:tr w:rsidR="00D20D9B" w:rsidRPr="0043547B" w:rsidTr="007964C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1874" w:type="dxa"/>
            <w:gridSpan w:val="2"/>
            <w:tcBorders>
              <w:top w:val="single" w:sz="18" w:space="0" w:color="auto"/>
              <w:left w:val="single" w:sz="18" w:space="0" w:color="auto"/>
              <w:bottom w:val="single" w:sz="18" w:space="0" w:color="auto"/>
              <w:right w:val="single" w:sz="8" w:space="0" w:color="auto"/>
            </w:tcBorders>
            <w:shd w:val="clear" w:color="auto" w:fill="C2D69B" w:themeFill="accent3" w:themeFillTint="99"/>
            <w:vAlign w:val="center"/>
            <w:hideMark/>
          </w:tcPr>
          <w:p w:rsidR="00D20D9B" w:rsidRPr="0043547B" w:rsidRDefault="00D20D9B" w:rsidP="007964C1">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Code :</w:t>
            </w:r>
          </w:p>
        </w:tc>
        <w:tc>
          <w:tcPr>
            <w:tcW w:w="7938" w:type="dxa"/>
            <w:tcBorders>
              <w:top w:val="single" w:sz="18" w:space="0" w:color="auto"/>
              <w:left w:val="single" w:sz="8" w:space="0" w:color="auto"/>
              <w:bottom w:val="single" w:sz="18" w:space="0" w:color="auto"/>
              <w:right w:val="single" w:sz="18" w:space="0" w:color="auto"/>
            </w:tcBorders>
            <w:shd w:val="clear" w:color="auto" w:fill="C2D69B" w:themeFill="accent3" w:themeFillTint="99"/>
            <w:hideMark/>
          </w:tcPr>
          <w:p w:rsidR="00D20D9B" w:rsidRPr="00D20D9B" w:rsidRDefault="00D20D9B" w:rsidP="00D20D9B">
            <w:pPr>
              <w:spacing w:after="0" w:line="240" w:lineRule="auto"/>
              <w:jc w:val="center"/>
              <w:rPr>
                <w:rFonts w:eastAsia="Times New Roman" w:cstheme="minorHAnsi"/>
                <w:b/>
                <w:bCs/>
                <w:sz w:val="24"/>
                <w:szCs w:val="24"/>
                <w:lang w:eastAsia="fr-FR"/>
              </w:rPr>
            </w:pPr>
            <w:r w:rsidRPr="00D20D9B">
              <w:rPr>
                <w:rFonts w:eastAsia="Times New Roman" w:cstheme="minorHAnsi"/>
                <w:b/>
                <w:bCs/>
                <w:sz w:val="24"/>
                <w:szCs w:val="24"/>
                <w:lang w:eastAsia="fr-FR"/>
              </w:rPr>
              <w:t>NM EN 3-2</w:t>
            </w:r>
          </w:p>
        </w:tc>
      </w:tr>
      <w:tr w:rsidR="00D20D9B" w:rsidRPr="0043547B" w:rsidTr="007964C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1874" w:type="dxa"/>
            <w:gridSpan w:val="2"/>
            <w:tcBorders>
              <w:top w:val="single" w:sz="18" w:space="0" w:color="auto"/>
              <w:left w:val="single" w:sz="18" w:space="0" w:color="auto"/>
              <w:bottom w:val="single" w:sz="4" w:space="0" w:color="auto"/>
              <w:right w:val="single" w:sz="8" w:space="0" w:color="auto"/>
            </w:tcBorders>
            <w:shd w:val="clear" w:color="auto" w:fill="FDFBA9"/>
            <w:vAlign w:val="center"/>
            <w:hideMark/>
          </w:tcPr>
          <w:p w:rsidR="00D20D9B" w:rsidRPr="0043547B" w:rsidRDefault="00D20D9B" w:rsidP="00D20D9B">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Equivalence :</w:t>
            </w:r>
          </w:p>
        </w:tc>
        <w:tc>
          <w:tcPr>
            <w:tcW w:w="7938" w:type="dxa"/>
            <w:tcBorders>
              <w:top w:val="single" w:sz="18" w:space="0" w:color="auto"/>
              <w:left w:val="single" w:sz="8" w:space="0" w:color="auto"/>
              <w:bottom w:val="single" w:sz="4" w:space="0" w:color="auto"/>
              <w:right w:val="single" w:sz="18" w:space="0" w:color="auto"/>
            </w:tcBorders>
            <w:shd w:val="clear" w:color="auto" w:fill="FDFBA9"/>
            <w:vAlign w:val="center"/>
            <w:hideMark/>
          </w:tcPr>
          <w:p w:rsidR="00D20D9B" w:rsidRPr="00105D5C" w:rsidRDefault="00D20D9B" w:rsidP="00D20D9B">
            <w:pPr>
              <w:spacing w:after="0" w:line="240" w:lineRule="auto"/>
              <w:jc w:val="center"/>
              <w:rPr>
                <w:rFonts w:eastAsia="Times New Roman" w:cstheme="minorHAnsi"/>
                <w:b/>
                <w:bCs/>
                <w:sz w:val="24"/>
                <w:szCs w:val="24"/>
                <w:lang w:eastAsia="fr-FR"/>
              </w:rPr>
            </w:pPr>
            <w:r w:rsidRPr="00105D5C">
              <w:rPr>
                <w:rFonts w:eastAsia="Times New Roman" w:cstheme="minorHAnsi"/>
                <w:b/>
                <w:bCs/>
                <w:sz w:val="24"/>
                <w:szCs w:val="24"/>
                <w:lang w:eastAsia="fr-FR"/>
              </w:rPr>
              <w:t>EN 3-2</w:t>
            </w:r>
          </w:p>
        </w:tc>
      </w:tr>
      <w:tr w:rsidR="00D20D9B" w:rsidRPr="0043547B" w:rsidTr="007964C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6"/>
        </w:trPr>
        <w:tc>
          <w:tcPr>
            <w:tcW w:w="1874" w:type="dxa"/>
            <w:gridSpan w:val="2"/>
            <w:tcBorders>
              <w:top w:val="single" w:sz="4" w:space="0" w:color="auto"/>
              <w:left w:val="single" w:sz="18" w:space="0" w:color="auto"/>
              <w:bottom w:val="single" w:sz="4" w:space="0" w:color="auto"/>
              <w:right w:val="single" w:sz="8" w:space="0" w:color="auto"/>
            </w:tcBorders>
            <w:shd w:val="clear" w:color="auto" w:fill="B8CCE4" w:themeFill="accent1" w:themeFillTint="66"/>
            <w:vAlign w:val="center"/>
            <w:hideMark/>
          </w:tcPr>
          <w:p w:rsidR="00D20D9B" w:rsidRPr="0043547B" w:rsidRDefault="00D20D9B" w:rsidP="00D20D9B">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Intitulé :</w:t>
            </w:r>
          </w:p>
        </w:tc>
        <w:tc>
          <w:tcPr>
            <w:tcW w:w="7938" w:type="dxa"/>
            <w:tcBorders>
              <w:top w:val="single" w:sz="4" w:space="0" w:color="auto"/>
              <w:left w:val="single" w:sz="8" w:space="0" w:color="auto"/>
              <w:bottom w:val="single" w:sz="4" w:space="0" w:color="auto"/>
              <w:right w:val="single" w:sz="18" w:space="0" w:color="auto"/>
            </w:tcBorders>
            <w:shd w:val="clear" w:color="auto" w:fill="auto"/>
            <w:hideMark/>
          </w:tcPr>
          <w:p w:rsidR="00D20D9B" w:rsidRPr="0043547B" w:rsidRDefault="00D20D9B" w:rsidP="00D20D9B">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Extincteurs d'incendie portatifs - Partie 2 : Etanchéité, essai diélectrique, essai de tassement, dispositions spéciales  </w:t>
            </w:r>
          </w:p>
        </w:tc>
      </w:tr>
      <w:tr w:rsidR="00D20D9B" w:rsidRPr="0043547B" w:rsidTr="007964C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28"/>
        </w:trPr>
        <w:tc>
          <w:tcPr>
            <w:tcW w:w="1874" w:type="dxa"/>
            <w:gridSpan w:val="2"/>
            <w:tcBorders>
              <w:top w:val="single" w:sz="4" w:space="0" w:color="auto"/>
              <w:left w:val="single" w:sz="18" w:space="0" w:color="auto"/>
              <w:bottom w:val="single" w:sz="18" w:space="0" w:color="auto"/>
              <w:right w:val="single" w:sz="8" w:space="0" w:color="auto"/>
            </w:tcBorders>
            <w:shd w:val="clear" w:color="auto" w:fill="D9D9D9" w:themeFill="background1" w:themeFillShade="D9"/>
            <w:vAlign w:val="center"/>
            <w:hideMark/>
          </w:tcPr>
          <w:p w:rsidR="00D20D9B" w:rsidRPr="0043547B" w:rsidRDefault="00D20D9B" w:rsidP="00D20D9B">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Domaine d’application :</w:t>
            </w:r>
          </w:p>
        </w:tc>
        <w:tc>
          <w:tcPr>
            <w:tcW w:w="7938" w:type="dxa"/>
            <w:tcBorders>
              <w:top w:val="single" w:sz="4" w:space="0" w:color="auto"/>
              <w:left w:val="single" w:sz="8" w:space="0" w:color="auto"/>
              <w:bottom w:val="single" w:sz="18" w:space="0" w:color="auto"/>
              <w:right w:val="single" w:sz="18" w:space="0" w:color="auto"/>
            </w:tcBorders>
            <w:shd w:val="clear" w:color="auto" w:fill="auto"/>
            <w:vAlign w:val="bottom"/>
            <w:hideMark/>
          </w:tcPr>
          <w:p w:rsidR="00D20D9B" w:rsidRPr="0043547B" w:rsidRDefault="00D20D9B" w:rsidP="00D20D9B">
            <w:pPr>
              <w:spacing w:after="0" w:line="240" w:lineRule="auto"/>
              <w:rPr>
                <w:rFonts w:eastAsia="Times New Roman" w:cstheme="minorHAnsi"/>
                <w:sz w:val="24"/>
                <w:szCs w:val="24"/>
                <w:lang w:eastAsia="fr-FR"/>
              </w:rPr>
            </w:pPr>
            <w:r w:rsidRPr="0043547B">
              <w:rPr>
                <w:rFonts w:eastAsia="Times New Roman" w:cstheme="minorHAnsi"/>
                <w:sz w:val="24"/>
                <w:szCs w:val="24"/>
                <w:lang w:eastAsia="fr-FR"/>
              </w:rPr>
              <w:t>La présente norme prescrit les méthodes d'essais correspondantes pour les points suivants :                                                                                                                                                                - l'étanchéité ;                                                                                                                                               - l'essai diélectrique ;                                                                                                                                                -l'essai de tassement ; et                                                                                                                         - des dispositions spéciales applicables aux extincteurs portatifs.</w:t>
            </w:r>
          </w:p>
        </w:tc>
      </w:tr>
      <w:tr w:rsidR="00D20D9B" w:rsidRPr="0043547B" w:rsidTr="007964C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1874" w:type="dxa"/>
            <w:gridSpan w:val="2"/>
            <w:tcBorders>
              <w:top w:val="single" w:sz="18" w:space="0" w:color="auto"/>
              <w:left w:val="single" w:sz="18" w:space="0" w:color="auto"/>
              <w:bottom w:val="single" w:sz="18" w:space="0" w:color="auto"/>
              <w:right w:val="single" w:sz="8" w:space="0" w:color="auto"/>
            </w:tcBorders>
            <w:shd w:val="clear" w:color="auto" w:fill="C2D69B" w:themeFill="accent3" w:themeFillTint="99"/>
            <w:vAlign w:val="center"/>
            <w:hideMark/>
          </w:tcPr>
          <w:p w:rsidR="00D20D9B" w:rsidRPr="0043547B" w:rsidRDefault="00D20D9B" w:rsidP="007964C1">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Code :</w:t>
            </w:r>
          </w:p>
        </w:tc>
        <w:tc>
          <w:tcPr>
            <w:tcW w:w="7938" w:type="dxa"/>
            <w:tcBorders>
              <w:top w:val="single" w:sz="18" w:space="0" w:color="auto"/>
              <w:left w:val="single" w:sz="8" w:space="0" w:color="auto"/>
              <w:bottom w:val="single" w:sz="18" w:space="0" w:color="auto"/>
              <w:right w:val="single" w:sz="18" w:space="0" w:color="auto"/>
            </w:tcBorders>
            <w:shd w:val="clear" w:color="auto" w:fill="C2D69B" w:themeFill="accent3" w:themeFillTint="99"/>
            <w:hideMark/>
          </w:tcPr>
          <w:p w:rsidR="00D20D9B" w:rsidRPr="00D20D9B" w:rsidRDefault="00D20D9B" w:rsidP="00D20D9B">
            <w:pPr>
              <w:spacing w:after="0" w:line="240" w:lineRule="auto"/>
              <w:jc w:val="center"/>
              <w:rPr>
                <w:rFonts w:eastAsia="Times New Roman" w:cstheme="minorHAnsi"/>
                <w:b/>
                <w:bCs/>
                <w:sz w:val="24"/>
                <w:szCs w:val="24"/>
                <w:lang w:eastAsia="fr-FR"/>
              </w:rPr>
            </w:pPr>
            <w:r w:rsidRPr="00D20D9B">
              <w:rPr>
                <w:rFonts w:eastAsia="Times New Roman" w:cstheme="minorHAnsi"/>
                <w:b/>
                <w:bCs/>
                <w:sz w:val="24"/>
                <w:szCs w:val="24"/>
                <w:lang w:eastAsia="fr-FR"/>
              </w:rPr>
              <w:t>NM EN 3-4</w:t>
            </w:r>
          </w:p>
        </w:tc>
      </w:tr>
      <w:tr w:rsidR="00D20D9B" w:rsidRPr="0043547B" w:rsidTr="007964C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1874" w:type="dxa"/>
            <w:gridSpan w:val="2"/>
            <w:tcBorders>
              <w:top w:val="single" w:sz="18" w:space="0" w:color="auto"/>
              <w:left w:val="single" w:sz="18" w:space="0" w:color="auto"/>
              <w:bottom w:val="single" w:sz="4" w:space="0" w:color="auto"/>
              <w:right w:val="single" w:sz="8" w:space="0" w:color="auto"/>
            </w:tcBorders>
            <w:shd w:val="clear" w:color="auto" w:fill="FDFBA9"/>
            <w:vAlign w:val="center"/>
            <w:hideMark/>
          </w:tcPr>
          <w:p w:rsidR="00D20D9B" w:rsidRPr="0043547B" w:rsidRDefault="00D20D9B" w:rsidP="00D20D9B">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Equivalence :</w:t>
            </w:r>
          </w:p>
        </w:tc>
        <w:tc>
          <w:tcPr>
            <w:tcW w:w="7938" w:type="dxa"/>
            <w:tcBorders>
              <w:top w:val="single" w:sz="18" w:space="0" w:color="auto"/>
              <w:left w:val="single" w:sz="8" w:space="0" w:color="auto"/>
              <w:bottom w:val="single" w:sz="4" w:space="0" w:color="auto"/>
              <w:right w:val="single" w:sz="18" w:space="0" w:color="auto"/>
            </w:tcBorders>
            <w:shd w:val="clear" w:color="auto" w:fill="FDFBA9"/>
            <w:vAlign w:val="center"/>
            <w:hideMark/>
          </w:tcPr>
          <w:p w:rsidR="00D20D9B" w:rsidRPr="00105D5C" w:rsidRDefault="00D20D9B" w:rsidP="00D20D9B">
            <w:pPr>
              <w:spacing w:after="0" w:line="240" w:lineRule="auto"/>
              <w:jc w:val="center"/>
              <w:rPr>
                <w:rFonts w:eastAsia="Times New Roman" w:cstheme="minorHAnsi"/>
                <w:b/>
                <w:bCs/>
                <w:sz w:val="24"/>
                <w:szCs w:val="24"/>
                <w:lang w:eastAsia="fr-FR"/>
              </w:rPr>
            </w:pPr>
            <w:r w:rsidRPr="00105D5C">
              <w:rPr>
                <w:rFonts w:eastAsia="Times New Roman" w:cstheme="minorHAnsi"/>
                <w:b/>
                <w:bCs/>
                <w:sz w:val="24"/>
                <w:szCs w:val="24"/>
                <w:lang w:eastAsia="fr-FR"/>
              </w:rPr>
              <w:t>EN 3-4</w:t>
            </w:r>
          </w:p>
        </w:tc>
      </w:tr>
      <w:tr w:rsidR="00D20D9B" w:rsidRPr="0043547B" w:rsidTr="007964C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1874" w:type="dxa"/>
            <w:gridSpan w:val="2"/>
            <w:tcBorders>
              <w:top w:val="single" w:sz="4" w:space="0" w:color="auto"/>
              <w:left w:val="single" w:sz="18" w:space="0" w:color="auto"/>
              <w:bottom w:val="single" w:sz="4" w:space="0" w:color="auto"/>
              <w:right w:val="single" w:sz="8" w:space="0" w:color="auto"/>
            </w:tcBorders>
            <w:shd w:val="clear" w:color="auto" w:fill="B8CCE4" w:themeFill="accent1" w:themeFillTint="66"/>
            <w:vAlign w:val="center"/>
            <w:hideMark/>
          </w:tcPr>
          <w:p w:rsidR="00D20D9B" w:rsidRPr="0043547B" w:rsidRDefault="00D20D9B" w:rsidP="00D20D9B">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Intitulé :</w:t>
            </w:r>
          </w:p>
        </w:tc>
        <w:tc>
          <w:tcPr>
            <w:tcW w:w="7938" w:type="dxa"/>
            <w:tcBorders>
              <w:top w:val="single" w:sz="4" w:space="0" w:color="auto"/>
              <w:left w:val="single" w:sz="8" w:space="0" w:color="auto"/>
              <w:bottom w:val="single" w:sz="4" w:space="0" w:color="auto"/>
              <w:right w:val="single" w:sz="18" w:space="0" w:color="auto"/>
            </w:tcBorders>
            <w:shd w:val="clear" w:color="auto" w:fill="auto"/>
            <w:hideMark/>
          </w:tcPr>
          <w:p w:rsidR="00D20D9B" w:rsidRPr="0043547B" w:rsidRDefault="00D20D9B" w:rsidP="00D20D9B">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Extincteurs d'incendie portatifs - Partie 4 : Charges, foyers minimaux exigibles </w:t>
            </w:r>
          </w:p>
        </w:tc>
      </w:tr>
      <w:tr w:rsidR="00D20D9B" w:rsidRPr="0043547B" w:rsidTr="007964C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64"/>
        </w:trPr>
        <w:tc>
          <w:tcPr>
            <w:tcW w:w="1874" w:type="dxa"/>
            <w:gridSpan w:val="2"/>
            <w:tcBorders>
              <w:top w:val="single" w:sz="4" w:space="0" w:color="auto"/>
              <w:left w:val="single" w:sz="18" w:space="0" w:color="auto"/>
              <w:bottom w:val="single" w:sz="18" w:space="0" w:color="auto"/>
              <w:right w:val="single" w:sz="8" w:space="0" w:color="auto"/>
            </w:tcBorders>
            <w:shd w:val="clear" w:color="auto" w:fill="D9D9D9" w:themeFill="background1" w:themeFillShade="D9"/>
            <w:vAlign w:val="center"/>
            <w:hideMark/>
          </w:tcPr>
          <w:p w:rsidR="00D20D9B" w:rsidRPr="0043547B" w:rsidRDefault="00D20D9B" w:rsidP="00D20D9B">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Domaine d’application :</w:t>
            </w:r>
          </w:p>
        </w:tc>
        <w:tc>
          <w:tcPr>
            <w:tcW w:w="7938" w:type="dxa"/>
            <w:tcBorders>
              <w:top w:val="single" w:sz="4" w:space="0" w:color="auto"/>
              <w:left w:val="single" w:sz="8" w:space="0" w:color="auto"/>
              <w:bottom w:val="single" w:sz="18" w:space="0" w:color="auto"/>
              <w:right w:val="single" w:sz="18" w:space="0" w:color="auto"/>
            </w:tcBorders>
            <w:shd w:val="clear" w:color="auto" w:fill="auto"/>
            <w:hideMark/>
          </w:tcPr>
          <w:p w:rsidR="00D20D9B" w:rsidRPr="0043547B" w:rsidRDefault="00D20D9B" w:rsidP="007964C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prescrit les charges des extincteurs d'incendie portatifs et les foyers minimaux exigibles, c'est-à-dire la quantité maximale d'agent extincteur autorisée pour l'extinction d'un foyer-type donné.</w:t>
            </w:r>
          </w:p>
        </w:tc>
      </w:tr>
      <w:tr w:rsidR="00D20D9B" w:rsidRPr="0043547B" w:rsidTr="007964C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1874" w:type="dxa"/>
            <w:gridSpan w:val="2"/>
            <w:tcBorders>
              <w:top w:val="single" w:sz="18" w:space="0" w:color="auto"/>
              <w:left w:val="single" w:sz="18" w:space="0" w:color="auto"/>
              <w:bottom w:val="single" w:sz="18" w:space="0" w:color="auto"/>
              <w:right w:val="single" w:sz="8" w:space="0" w:color="auto"/>
            </w:tcBorders>
            <w:shd w:val="clear" w:color="auto" w:fill="C2D69B" w:themeFill="accent3" w:themeFillTint="99"/>
            <w:vAlign w:val="center"/>
            <w:hideMark/>
          </w:tcPr>
          <w:p w:rsidR="00D20D9B" w:rsidRPr="0043547B" w:rsidRDefault="00D20D9B" w:rsidP="007964C1">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Code :</w:t>
            </w:r>
          </w:p>
        </w:tc>
        <w:tc>
          <w:tcPr>
            <w:tcW w:w="7938" w:type="dxa"/>
            <w:tcBorders>
              <w:top w:val="single" w:sz="18" w:space="0" w:color="auto"/>
              <w:left w:val="single" w:sz="8" w:space="0" w:color="auto"/>
              <w:bottom w:val="single" w:sz="18" w:space="0" w:color="auto"/>
              <w:right w:val="single" w:sz="18" w:space="0" w:color="auto"/>
            </w:tcBorders>
            <w:shd w:val="clear" w:color="auto" w:fill="C2D69B" w:themeFill="accent3" w:themeFillTint="99"/>
            <w:hideMark/>
          </w:tcPr>
          <w:p w:rsidR="00D20D9B" w:rsidRPr="00D20D9B" w:rsidRDefault="00D20D9B" w:rsidP="00D20D9B">
            <w:pPr>
              <w:spacing w:after="0" w:line="240" w:lineRule="auto"/>
              <w:jc w:val="center"/>
              <w:rPr>
                <w:rFonts w:eastAsia="Times New Roman" w:cstheme="minorHAnsi"/>
                <w:b/>
                <w:bCs/>
                <w:sz w:val="24"/>
                <w:szCs w:val="24"/>
                <w:lang w:eastAsia="fr-FR"/>
              </w:rPr>
            </w:pPr>
            <w:r w:rsidRPr="00D20D9B">
              <w:rPr>
                <w:rFonts w:eastAsia="Times New Roman" w:cstheme="minorHAnsi"/>
                <w:b/>
                <w:bCs/>
                <w:sz w:val="24"/>
                <w:szCs w:val="24"/>
                <w:lang w:eastAsia="fr-FR"/>
              </w:rPr>
              <w:t>NM EN 3-5</w:t>
            </w:r>
          </w:p>
        </w:tc>
      </w:tr>
      <w:tr w:rsidR="00D20D9B" w:rsidRPr="0043547B" w:rsidTr="007964C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1874" w:type="dxa"/>
            <w:gridSpan w:val="2"/>
            <w:tcBorders>
              <w:top w:val="single" w:sz="18" w:space="0" w:color="auto"/>
              <w:left w:val="single" w:sz="18" w:space="0" w:color="auto"/>
              <w:bottom w:val="single" w:sz="4" w:space="0" w:color="auto"/>
              <w:right w:val="single" w:sz="8" w:space="0" w:color="auto"/>
            </w:tcBorders>
            <w:shd w:val="clear" w:color="auto" w:fill="FDFBA9"/>
            <w:vAlign w:val="center"/>
            <w:hideMark/>
          </w:tcPr>
          <w:p w:rsidR="00D20D9B" w:rsidRPr="0043547B" w:rsidRDefault="00D20D9B" w:rsidP="00D20D9B">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Equivalence :</w:t>
            </w:r>
          </w:p>
        </w:tc>
        <w:tc>
          <w:tcPr>
            <w:tcW w:w="7938" w:type="dxa"/>
            <w:tcBorders>
              <w:top w:val="single" w:sz="18" w:space="0" w:color="auto"/>
              <w:left w:val="single" w:sz="8" w:space="0" w:color="auto"/>
              <w:bottom w:val="single" w:sz="4" w:space="0" w:color="auto"/>
              <w:right w:val="single" w:sz="18" w:space="0" w:color="auto"/>
            </w:tcBorders>
            <w:shd w:val="clear" w:color="auto" w:fill="FDFBA9"/>
            <w:vAlign w:val="center"/>
            <w:hideMark/>
          </w:tcPr>
          <w:p w:rsidR="00D20D9B" w:rsidRPr="00105D5C" w:rsidRDefault="00D20D9B" w:rsidP="00D20D9B">
            <w:pPr>
              <w:spacing w:after="0" w:line="240" w:lineRule="auto"/>
              <w:jc w:val="center"/>
              <w:rPr>
                <w:rFonts w:eastAsia="Times New Roman" w:cstheme="minorHAnsi"/>
                <w:b/>
                <w:bCs/>
                <w:sz w:val="24"/>
                <w:szCs w:val="24"/>
                <w:lang w:eastAsia="fr-FR"/>
              </w:rPr>
            </w:pPr>
            <w:r w:rsidRPr="00105D5C">
              <w:rPr>
                <w:rFonts w:eastAsia="Times New Roman" w:cstheme="minorHAnsi"/>
                <w:b/>
                <w:bCs/>
                <w:sz w:val="24"/>
                <w:szCs w:val="24"/>
                <w:lang w:eastAsia="fr-FR"/>
              </w:rPr>
              <w:t>EN 3-5</w:t>
            </w:r>
          </w:p>
        </w:tc>
      </w:tr>
      <w:tr w:rsidR="00D20D9B" w:rsidRPr="0043547B" w:rsidTr="007964C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1874" w:type="dxa"/>
            <w:gridSpan w:val="2"/>
            <w:tcBorders>
              <w:top w:val="single" w:sz="4" w:space="0" w:color="auto"/>
              <w:left w:val="single" w:sz="18" w:space="0" w:color="auto"/>
              <w:bottom w:val="single" w:sz="4" w:space="0" w:color="auto"/>
              <w:right w:val="single" w:sz="8" w:space="0" w:color="auto"/>
            </w:tcBorders>
            <w:shd w:val="clear" w:color="auto" w:fill="B8CCE4" w:themeFill="accent1" w:themeFillTint="66"/>
            <w:vAlign w:val="center"/>
            <w:hideMark/>
          </w:tcPr>
          <w:p w:rsidR="00D20D9B" w:rsidRPr="0043547B" w:rsidRDefault="00D20D9B" w:rsidP="00D20D9B">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Intitulé :</w:t>
            </w:r>
          </w:p>
        </w:tc>
        <w:tc>
          <w:tcPr>
            <w:tcW w:w="7938" w:type="dxa"/>
            <w:tcBorders>
              <w:top w:val="single" w:sz="4" w:space="0" w:color="auto"/>
              <w:left w:val="single" w:sz="8" w:space="0" w:color="auto"/>
              <w:bottom w:val="single" w:sz="4" w:space="0" w:color="auto"/>
              <w:right w:val="single" w:sz="18" w:space="0" w:color="auto"/>
            </w:tcBorders>
            <w:shd w:val="clear" w:color="auto" w:fill="auto"/>
            <w:hideMark/>
          </w:tcPr>
          <w:p w:rsidR="00D20D9B" w:rsidRPr="0043547B" w:rsidRDefault="00D20D9B" w:rsidP="00D20D9B">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Extincteurs d'incendie portatifs - Partie 5 : Spécifications et essais complémentaires  </w:t>
            </w:r>
          </w:p>
        </w:tc>
      </w:tr>
      <w:tr w:rsidR="00D20D9B" w:rsidRPr="0043547B" w:rsidTr="008D76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1874" w:type="dxa"/>
            <w:gridSpan w:val="2"/>
            <w:tcBorders>
              <w:top w:val="single" w:sz="4" w:space="0" w:color="auto"/>
              <w:left w:val="single" w:sz="18" w:space="0" w:color="auto"/>
              <w:bottom w:val="single" w:sz="18" w:space="0" w:color="auto"/>
              <w:right w:val="single" w:sz="8" w:space="0" w:color="auto"/>
            </w:tcBorders>
            <w:shd w:val="clear" w:color="auto" w:fill="D9D9D9" w:themeFill="background1" w:themeFillShade="D9"/>
            <w:vAlign w:val="center"/>
            <w:hideMark/>
          </w:tcPr>
          <w:p w:rsidR="00D20D9B" w:rsidRPr="0043547B" w:rsidRDefault="00D20D9B" w:rsidP="00D20D9B">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Domaine d’application :</w:t>
            </w:r>
          </w:p>
        </w:tc>
        <w:tc>
          <w:tcPr>
            <w:tcW w:w="7938" w:type="dxa"/>
            <w:tcBorders>
              <w:top w:val="single" w:sz="4" w:space="0" w:color="auto"/>
              <w:left w:val="single" w:sz="8" w:space="0" w:color="auto"/>
              <w:bottom w:val="single" w:sz="18" w:space="0" w:color="auto"/>
              <w:right w:val="single" w:sz="18" w:space="0" w:color="auto"/>
            </w:tcBorders>
            <w:shd w:val="clear" w:color="auto" w:fill="auto"/>
            <w:hideMark/>
          </w:tcPr>
          <w:p w:rsidR="007964C1" w:rsidRDefault="00D20D9B" w:rsidP="00D20D9B">
            <w:pPr>
              <w:spacing w:after="0" w:line="240" w:lineRule="auto"/>
              <w:rPr>
                <w:rFonts w:eastAsia="Times New Roman" w:cstheme="minorHAnsi"/>
                <w:sz w:val="24"/>
                <w:szCs w:val="24"/>
                <w:lang w:eastAsia="fr-FR"/>
              </w:rPr>
            </w:pPr>
            <w:r w:rsidRPr="0043547B">
              <w:rPr>
                <w:rFonts w:eastAsia="Times New Roman" w:cstheme="minorHAnsi"/>
                <w:sz w:val="24"/>
                <w:szCs w:val="24"/>
                <w:lang w:eastAsia="fr-FR"/>
              </w:rPr>
              <w:t xml:space="preserve">La présente norme prescrit les caractéristiques :                                                                       - des températures d'utilisation ;                                                                                                            - des spécifications relatives aux organes constitutifs ;                                                                 - de la résistance à la corrosion ;                                                                                                            - des supports d'extincteurs ;                                                                                                               - de l'identification de l'extincteur ;                                                                                                                         - de l'entretien périodique.                                                                                                                         </w:t>
            </w:r>
          </w:p>
          <w:p w:rsidR="007964C1" w:rsidRPr="007964C1" w:rsidRDefault="007964C1" w:rsidP="00D20D9B">
            <w:pPr>
              <w:spacing w:after="0" w:line="240" w:lineRule="auto"/>
              <w:rPr>
                <w:rFonts w:eastAsia="Times New Roman" w:cstheme="minorHAnsi"/>
                <w:sz w:val="6"/>
                <w:szCs w:val="6"/>
                <w:lang w:eastAsia="fr-FR"/>
              </w:rPr>
            </w:pPr>
          </w:p>
          <w:p w:rsidR="008D7690" w:rsidRDefault="00D20D9B" w:rsidP="008D7690">
            <w:pPr>
              <w:spacing w:after="0" w:line="240" w:lineRule="auto"/>
              <w:jc w:val="both"/>
              <w:rPr>
                <w:rFonts w:eastAsia="Times New Roman" w:cstheme="minorHAnsi"/>
                <w:i/>
                <w:iCs/>
                <w:lang w:eastAsia="fr-FR"/>
              </w:rPr>
            </w:pPr>
            <w:r w:rsidRPr="0043547B">
              <w:rPr>
                <w:rFonts w:eastAsia="Times New Roman" w:cstheme="minorHAnsi"/>
                <w:sz w:val="24"/>
                <w:szCs w:val="24"/>
                <w:lang w:eastAsia="fr-FR"/>
              </w:rPr>
              <w:t xml:space="preserve"> </w:t>
            </w:r>
            <w:r w:rsidR="008D7690" w:rsidRPr="007964C1">
              <w:rPr>
                <w:rFonts w:eastAsia="Times New Roman" w:cstheme="minorHAnsi"/>
                <w:b/>
                <w:bCs/>
                <w:i/>
                <w:iCs/>
                <w:lang w:eastAsia="fr-FR"/>
              </w:rPr>
              <w:t>N</w:t>
            </w:r>
            <w:r w:rsidR="008D7690">
              <w:rPr>
                <w:rFonts w:eastAsia="Times New Roman" w:cstheme="minorHAnsi"/>
                <w:b/>
                <w:bCs/>
                <w:i/>
                <w:iCs/>
                <w:lang w:eastAsia="fr-FR"/>
              </w:rPr>
              <w:t>OTE</w:t>
            </w:r>
            <w:r w:rsidR="008D7690" w:rsidRPr="007964C1">
              <w:rPr>
                <w:rFonts w:eastAsia="Times New Roman" w:cstheme="minorHAnsi"/>
                <w:b/>
                <w:bCs/>
                <w:i/>
                <w:iCs/>
                <w:lang w:eastAsia="fr-FR"/>
              </w:rPr>
              <w:t xml:space="preserve"> 1</w:t>
            </w:r>
            <w:r w:rsidR="008D7690" w:rsidRPr="007964C1">
              <w:rPr>
                <w:rFonts w:eastAsia="Times New Roman" w:cstheme="minorHAnsi"/>
                <w:i/>
                <w:iCs/>
                <w:lang w:eastAsia="fr-FR"/>
              </w:rPr>
              <w:t xml:space="preserve"> : Une référence à l'efficacité que feux de gaz est laissée à la discrétion du fabricant et ne peut s'appliquer que pour les extincteurs à poudre seulement.  </w:t>
            </w:r>
          </w:p>
          <w:p w:rsidR="008D7690" w:rsidRPr="007964C1" w:rsidRDefault="008D7690" w:rsidP="008D7690">
            <w:pPr>
              <w:spacing w:after="0" w:line="240" w:lineRule="auto"/>
              <w:jc w:val="both"/>
              <w:rPr>
                <w:rFonts w:eastAsia="Times New Roman" w:cstheme="minorHAnsi"/>
                <w:i/>
                <w:iCs/>
                <w:lang w:eastAsia="fr-FR"/>
              </w:rPr>
            </w:pPr>
            <w:r w:rsidRPr="007964C1">
              <w:rPr>
                <w:rFonts w:eastAsia="Times New Roman" w:cstheme="minorHAnsi"/>
                <w:b/>
                <w:bCs/>
                <w:i/>
                <w:iCs/>
                <w:lang w:eastAsia="fr-FR"/>
              </w:rPr>
              <w:t>N</w:t>
            </w:r>
            <w:r>
              <w:rPr>
                <w:rFonts w:eastAsia="Times New Roman" w:cstheme="minorHAnsi"/>
                <w:b/>
                <w:bCs/>
                <w:i/>
                <w:iCs/>
                <w:lang w:eastAsia="fr-FR"/>
              </w:rPr>
              <w:t>OTE</w:t>
            </w:r>
            <w:r w:rsidRPr="007964C1">
              <w:rPr>
                <w:rFonts w:eastAsia="Times New Roman" w:cstheme="minorHAnsi"/>
                <w:b/>
                <w:bCs/>
                <w:i/>
                <w:iCs/>
                <w:lang w:eastAsia="fr-FR"/>
              </w:rPr>
              <w:t xml:space="preserve"> 2</w:t>
            </w:r>
            <w:r w:rsidRPr="007964C1">
              <w:rPr>
                <w:rFonts w:eastAsia="Times New Roman" w:cstheme="minorHAnsi"/>
                <w:i/>
                <w:iCs/>
                <w:lang w:eastAsia="fr-FR"/>
              </w:rPr>
              <w:t xml:space="preserve"> : L'extinction des feux de métaux revêt un caractère tellement spécifique (en fonction du métal lui-même, de la taille et la configuration du foyer, etc.) qu'il n'est pas possible de définir un foyer-type normalisé représentatif.                                                     </w:t>
            </w:r>
          </w:p>
          <w:p w:rsidR="00D20D9B" w:rsidRPr="0043547B" w:rsidRDefault="008D7690" w:rsidP="008D7690">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L'efficacité sur foyer D doit faire l'objet d'une étude particulière, cas par cas, et n'est pas couverte par la présente norme ; elle peut toutefois faire l'objet de spécifications nationales.                     </w:t>
            </w:r>
          </w:p>
        </w:tc>
      </w:tr>
      <w:tr w:rsidR="00D20D9B" w:rsidRPr="0043547B" w:rsidTr="007964C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1874" w:type="dxa"/>
            <w:gridSpan w:val="2"/>
            <w:tcBorders>
              <w:top w:val="single" w:sz="18" w:space="0" w:color="auto"/>
              <w:left w:val="single" w:sz="18" w:space="0" w:color="auto"/>
              <w:bottom w:val="single" w:sz="18" w:space="0" w:color="auto"/>
              <w:right w:val="single" w:sz="8" w:space="0" w:color="auto"/>
            </w:tcBorders>
            <w:shd w:val="clear" w:color="auto" w:fill="C2D69B" w:themeFill="accent3" w:themeFillTint="99"/>
            <w:vAlign w:val="center"/>
            <w:hideMark/>
          </w:tcPr>
          <w:p w:rsidR="00D20D9B" w:rsidRPr="0043547B" w:rsidRDefault="00D20D9B" w:rsidP="007964C1">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lastRenderedPageBreak/>
              <w:t>Code :</w:t>
            </w:r>
          </w:p>
        </w:tc>
        <w:tc>
          <w:tcPr>
            <w:tcW w:w="7938" w:type="dxa"/>
            <w:tcBorders>
              <w:top w:val="single" w:sz="18" w:space="0" w:color="auto"/>
              <w:left w:val="single" w:sz="8" w:space="0" w:color="auto"/>
              <w:bottom w:val="single" w:sz="18" w:space="0" w:color="auto"/>
              <w:right w:val="single" w:sz="18" w:space="0" w:color="auto"/>
            </w:tcBorders>
            <w:shd w:val="clear" w:color="auto" w:fill="C2D69B" w:themeFill="accent3" w:themeFillTint="99"/>
            <w:hideMark/>
          </w:tcPr>
          <w:p w:rsidR="00D20D9B" w:rsidRPr="00D20D9B" w:rsidRDefault="00D20D9B" w:rsidP="00D20D9B">
            <w:pPr>
              <w:spacing w:after="0" w:line="240" w:lineRule="auto"/>
              <w:jc w:val="center"/>
              <w:rPr>
                <w:rFonts w:eastAsia="Times New Roman" w:cstheme="minorHAnsi"/>
                <w:b/>
                <w:bCs/>
                <w:sz w:val="24"/>
                <w:szCs w:val="24"/>
                <w:lang w:eastAsia="fr-FR"/>
              </w:rPr>
            </w:pPr>
            <w:r w:rsidRPr="00D20D9B">
              <w:rPr>
                <w:rFonts w:eastAsia="Times New Roman" w:cstheme="minorHAnsi"/>
                <w:b/>
                <w:bCs/>
                <w:sz w:val="24"/>
                <w:szCs w:val="24"/>
                <w:lang w:eastAsia="fr-FR"/>
              </w:rPr>
              <w:t>NM EN 3-8</w:t>
            </w:r>
          </w:p>
        </w:tc>
      </w:tr>
      <w:tr w:rsidR="00D20D9B" w:rsidRPr="0043547B" w:rsidTr="007964C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1874" w:type="dxa"/>
            <w:gridSpan w:val="2"/>
            <w:tcBorders>
              <w:top w:val="single" w:sz="18" w:space="0" w:color="auto"/>
              <w:left w:val="single" w:sz="18" w:space="0" w:color="auto"/>
              <w:bottom w:val="single" w:sz="4" w:space="0" w:color="auto"/>
              <w:right w:val="single" w:sz="8" w:space="0" w:color="auto"/>
            </w:tcBorders>
            <w:shd w:val="clear" w:color="auto" w:fill="FDFBA9"/>
            <w:vAlign w:val="center"/>
            <w:hideMark/>
          </w:tcPr>
          <w:p w:rsidR="00D20D9B" w:rsidRPr="0043547B" w:rsidRDefault="00D20D9B" w:rsidP="00D20D9B">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Equivalence :</w:t>
            </w:r>
          </w:p>
        </w:tc>
        <w:tc>
          <w:tcPr>
            <w:tcW w:w="7938" w:type="dxa"/>
            <w:tcBorders>
              <w:top w:val="single" w:sz="18" w:space="0" w:color="auto"/>
              <w:left w:val="single" w:sz="8" w:space="0" w:color="auto"/>
              <w:bottom w:val="single" w:sz="4" w:space="0" w:color="auto"/>
              <w:right w:val="single" w:sz="18" w:space="0" w:color="auto"/>
            </w:tcBorders>
            <w:shd w:val="clear" w:color="auto" w:fill="FDFBA9"/>
            <w:vAlign w:val="center"/>
            <w:hideMark/>
          </w:tcPr>
          <w:p w:rsidR="00D20D9B" w:rsidRPr="00105D5C" w:rsidRDefault="00D20D9B" w:rsidP="00D20D9B">
            <w:pPr>
              <w:spacing w:after="0" w:line="240" w:lineRule="auto"/>
              <w:jc w:val="center"/>
              <w:rPr>
                <w:rFonts w:eastAsia="Times New Roman" w:cstheme="minorHAnsi"/>
                <w:b/>
                <w:bCs/>
                <w:sz w:val="24"/>
                <w:szCs w:val="24"/>
                <w:lang w:eastAsia="fr-FR"/>
              </w:rPr>
            </w:pPr>
            <w:r w:rsidRPr="00105D5C">
              <w:rPr>
                <w:rFonts w:eastAsia="Times New Roman" w:cstheme="minorHAnsi"/>
                <w:b/>
                <w:bCs/>
                <w:sz w:val="24"/>
                <w:szCs w:val="24"/>
                <w:lang w:eastAsia="fr-FR"/>
              </w:rPr>
              <w:t>EN 3-8</w:t>
            </w:r>
          </w:p>
        </w:tc>
      </w:tr>
      <w:tr w:rsidR="00D20D9B" w:rsidRPr="0043547B" w:rsidTr="007964C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64"/>
        </w:trPr>
        <w:tc>
          <w:tcPr>
            <w:tcW w:w="1874" w:type="dxa"/>
            <w:gridSpan w:val="2"/>
            <w:tcBorders>
              <w:top w:val="single" w:sz="4" w:space="0" w:color="auto"/>
              <w:left w:val="single" w:sz="18" w:space="0" w:color="auto"/>
              <w:bottom w:val="single" w:sz="4" w:space="0" w:color="auto"/>
              <w:right w:val="single" w:sz="8" w:space="0" w:color="auto"/>
            </w:tcBorders>
            <w:shd w:val="clear" w:color="auto" w:fill="B8CCE4" w:themeFill="accent1" w:themeFillTint="66"/>
            <w:vAlign w:val="center"/>
            <w:hideMark/>
          </w:tcPr>
          <w:p w:rsidR="00D20D9B" w:rsidRPr="0043547B" w:rsidRDefault="00D20D9B" w:rsidP="00D20D9B">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Intitulé :</w:t>
            </w:r>
          </w:p>
        </w:tc>
        <w:tc>
          <w:tcPr>
            <w:tcW w:w="7938" w:type="dxa"/>
            <w:tcBorders>
              <w:top w:val="single" w:sz="4" w:space="0" w:color="auto"/>
              <w:left w:val="single" w:sz="8" w:space="0" w:color="auto"/>
              <w:bottom w:val="single" w:sz="4" w:space="0" w:color="auto"/>
              <w:right w:val="single" w:sz="18" w:space="0" w:color="auto"/>
            </w:tcBorders>
            <w:shd w:val="clear" w:color="auto" w:fill="auto"/>
            <w:hideMark/>
          </w:tcPr>
          <w:p w:rsidR="00D20D9B" w:rsidRPr="0043547B" w:rsidRDefault="00D20D9B" w:rsidP="00D20D9B">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Extincteurs d'incendie portatifs - Partie 8 : Exigences addtionnelles à l'EN 3-7 pour la construction, la résistance à la pression et les essais mécaniques pour extincteurs dont la pression maximale admissible est inférieure ou égale à 30 bar  </w:t>
            </w:r>
          </w:p>
        </w:tc>
      </w:tr>
      <w:tr w:rsidR="00D20D9B" w:rsidRPr="0043547B" w:rsidTr="007964C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08"/>
        </w:trPr>
        <w:tc>
          <w:tcPr>
            <w:tcW w:w="1874" w:type="dxa"/>
            <w:gridSpan w:val="2"/>
            <w:tcBorders>
              <w:top w:val="single" w:sz="4" w:space="0" w:color="auto"/>
              <w:left w:val="single" w:sz="18" w:space="0" w:color="auto"/>
              <w:bottom w:val="single" w:sz="18" w:space="0" w:color="auto"/>
              <w:right w:val="single" w:sz="8" w:space="0" w:color="auto"/>
            </w:tcBorders>
            <w:shd w:val="clear" w:color="auto" w:fill="D9D9D9" w:themeFill="background1" w:themeFillShade="D9"/>
            <w:vAlign w:val="center"/>
            <w:hideMark/>
          </w:tcPr>
          <w:p w:rsidR="00D20D9B" w:rsidRPr="0043547B" w:rsidRDefault="00D20D9B" w:rsidP="00D20D9B">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Domaine d’application :</w:t>
            </w:r>
          </w:p>
        </w:tc>
        <w:tc>
          <w:tcPr>
            <w:tcW w:w="7938" w:type="dxa"/>
            <w:tcBorders>
              <w:top w:val="single" w:sz="4" w:space="0" w:color="auto"/>
              <w:left w:val="single" w:sz="8" w:space="0" w:color="auto"/>
              <w:bottom w:val="single" w:sz="18" w:space="0" w:color="auto"/>
              <w:right w:val="single" w:sz="18" w:space="0" w:color="auto"/>
            </w:tcBorders>
            <w:shd w:val="clear" w:color="auto" w:fill="auto"/>
            <w:hideMark/>
          </w:tcPr>
          <w:p w:rsidR="007964C1" w:rsidRDefault="00D20D9B" w:rsidP="007964C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européenne définit les règles de conception, d'essai de type, de fabrication et d’inspection des extincteurs d’incendie portatifs dont le corps est en métal, en ce qui concerne les risques liés à la pression.</w:t>
            </w:r>
          </w:p>
          <w:p w:rsidR="007964C1" w:rsidRDefault="00D20D9B" w:rsidP="007964C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partie s'applique aux extincteurs d’incendie portatifs dont la pression maximale admissible PS est inférieure ou égale à 30 bar et renfermant des fluides inexplosibles, ininflammables, non toxiques et non oxydants.</w:t>
            </w:r>
          </w:p>
          <w:p w:rsidR="007964C1" w:rsidRDefault="00D20D9B" w:rsidP="007964C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européenne s'applique également aux cartouches de gaz métalliques dont le volume est inférieur à 0,12 l (voir l’Annexe E) et donne des lignes directrices relatives aux règles de l’art applicables aux cartouches de</w:t>
            </w:r>
            <w:r w:rsidRPr="0043547B">
              <w:rPr>
                <w:rFonts w:eastAsia="Times New Roman" w:cstheme="minorHAnsi"/>
                <w:sz w:val="24"/>
                <w:szCs w:val="24"/>
                <w:lang w:eastAsia="fr-FR"/>
              </w:rPr>
              <w:br/>
              <w:t>gaz métalliques de volume supérieur ou égal à 0,12 l et inférieur à 0,5 l, voir l’Annexe F.</w:t>
            </w:r>
          </w:p>
          <w:p w:rsidR="00D20D9B" w:rsidRPr="0043547B" w:rsidRDefault="00D20D9B" w:rsidP="007964C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européenne ne s'applique pas aux extincteurs à dioxyde de carbone.</w:t>
            </w:r>
            <w:r w:rsidRPr="0043547B">
              <w:rPr>
                <w:rFonts w:eastAsia="Times New Roman" w:cstheme="minorHAnsi"/>
                <w:sz w:val="24"/>
                <w:szCs w:val="24"/>
                <w:lang w:eastAsia="fr-FR"/>
              </w:rPr>
              <w:br/>
            </w:r>
            <w:r w:rsidRPr="007964C1">
              <w:rPr>
                <w:rFonts w:eastAsia="Times New Roman" w:cstheme="minorHAnsi"/>
                <w:b/>
                <w:bCs/>
                <w:i/>
                <w:iCs/>
                <w:lang w:eastAsia="fr-FR"/>
              </w:rPr>
              <w:t>NOTE :</w:t>
            </w:r>
            <w:r w:rsidRPr="007964C1">
              <w:rPr>
                <w:rFonts w:eastAsia="Times New Roman" w:cstheme="minorHAnsi"/>
                <w:i/>
                <w:iCs/>
                <w:lang w:eastAsia="fr-FR"/>
              </w:rPr>
              <w:t xml:space="preserve"> L'Annexe A donne la classification des différentes parties constitutives d'un extincteur d’incendie portatif.</w:t>
            </w:r>
          </w:p>
        </w:tc>
      </w:tr>
      <w:tr w:rsidR="00D20D9B" w:rsidRPr="0043547B" w:rsidTr="007964C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1874" w:type="dxa"/>
            <w:gridSpan w:val="2"/>
            <w:tcBorders>
              <w:top w:val="single" w:sz="18" w:space="0" w:color="auto"/>
              <w:left w:val="single" w:sz="18" w:space="0" w:color="auto"/>
              <w:bottom w:val="single" w:sz="18" w:space="0" w:color="auto"/>
              <w:right w:val="single" w:sz="8" w:space="0" w:color="auto"/>
            </w:tcBorders>
            <w:shd w:val="clear" w:color="auto" w:fill="C2D69B" w:themeFill="accent3" w:themeFillTint="99"/>
            <w:vAlign w:val="center"/>
            <w:hideMark/>
          </w:tcPr>
          <w:p w:rsidR="00D20D9B" w:rsidRPr="0043547B" w:rsidRDefault="00D20D9B" w:rsidP="007964C1">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Code:</w:t>
            </w:r>
          </w:p>
        </w:tc>
        <w:tc>
          <w:tcPr>
            <w:tcW w:w="7938" w:type="dxa"/>
            <w:tcBorders>
              <w:top w:val="single" w:sz="18" w:space="0" w:color="auto"/>
              <w:left w:val="single" w:sz="8" w:space="0" w:color="auto"/>
              <w:bottom w:val="single" w:sz="18" w:space="0" w:color="auto"/>
              <w:right w:val="single" w:sz="18" w:space="0" w:color="auto"/>
            </w:tcBorders>
            <w:shd w:val="clear" w:color="auto" w:fill="C2D69B" w:themeFill="accent3" w:themeFillTint="99"/>
            <w:hideMark/>
          </w:tcPr>
          <w:p w:rsidR="00D20D9B" w:rsidRPr="00D20D9B" w:rsidRDefault="00D20D9B" w:rsidP="00D20D9B">
            <w:pPr>
              <w:spacing w:after="0" w:line="240" w:lineRule="auto"/>
              <w:jc w:val="center"/>
              <w:rPr>
                <w:rFonts w:eastAsia="Times New Roman" w:cstheme="minorHAnsi"/>
                <w:b/>
                <w:bCs/>
                <w:sz w:val="24"/>
                <w:szCs w:val="24"/>
                <w:lang w:eastAsia="fr-FR"/>
              </w:rPr>
            </w:pPr>
            <w:r w:rsidRPr="00D20D9B">
              <w:rPr>
                <w:rFonts w:eastAsia="Times New Roman" w:cstheme="minorHAnsi"/>
                <w:b/>
                <w:bCs/>
                <w:sz w:val="24"/>
                <w:szCs w:val="24"/>
                <w:lang w:eastAsia="fr-FR"/>
              </w:rPr>
              <w:t>NM EN 3-9</w:t>
            </w:r>
          </w:p>
        </w:tc>
      </w:tr>
      <w:tr w:rsidR="00D20D9B" w:rsidRPr="0043547B" w:rsidTr="007964C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1874" w:type="dxa"/>
            <w:gridSpan w:val="2"/>
            <w:tcBorders>
              <w:top w:val="single" w:sz="18" w:space="0" w:color="auto"/>
              <w:left w:val="single" w:sz="18" w:space="0" w:color="auto"/>
              <w:bottom w:val="single" w:sz="4" w:space="0" w:color="auto"/>
              <w:right w:val="single" w:sz="8" w:space="0" w:color="auto"/>
            </w:tcBorders>
            <w:shd w:val="clear" w:color="auto" w:fill="FDFBA9"/>
            <w:vAlign w:val="center"/>
            <w:hideMark/>
          </w:tcPr>
          <w:p w:rsidR="00D20D9B" w:rsidRPr="0043547B" w:rsidRDefault="00D20D9B" w:rsidP="00D20D9B">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Equivalence :</w:t>
            </w:r>
          </w:p>
        </w:tc>
        <w:tc>
          <w:tcPr>
            <w:tcW w:w="7938" w:type="dxa"/>
            <w:tcBorders>
              <w:top w:val="single" w:sz="18" w:space="0" w:color="auto"/>
              <w:left w:val="single" w:sz="8" w:space="0" w:color="auto"/>
              <w:bottom w:val="single" w:sz="4" w:space="0" w:color="auto"/>
              <w:right w:val="single" w:sz="18" w:space="0" w:color="auto"/>
            </w:tcBorders>
            <w:shd w:val="clear" w:color="auto" w:fill="FDFBA9"/>
            <w:vAlign w:val="center"/>
            <w:hideMark/>
          </w:tcPr>
          <w:p w:rsidR="00D20D9B" w:rsidRPr="0043547B" w:rsidRDefault="00105D5C" w:rsidP="00D20D9B">
            <w:pPr>
              <w:spacing w:after="0" w:line="240" w:lineRule="auto"/>
              <w:jc w:val="center"/>
              <w:rPr>
                <w:rFonts w:eastAsia="Times New Roman" w:cstheme="minorHAnsi"/>
                <w:sz w:val="24"/>
                <w:szCs w:val="24"/>
                <w:lang w:eastAsia="fr-FR"/>
              </w:rPr>
            </w:pPr>
            <w:r w:rsidRPr="00D20D9B">
              <w:rPr>
                <w:rFonts w:eastAsia="Times New Roman" w:cstheme="minorHAnsi"/>
                <w:b/>
                <w:bCs/>
                <w:sz w:val="24"/>
                <w:szCs w:val="24"/>
                <w:lang w:eastAsia="fr-FR"/>
              </w:rPr>
              <w:t>EN 3-9</w:t>
            </w:r>
            <w:r w:rsidR="00D20D9B" w:rsidRPr="0043547B">
              <w:rPr>
                <w:rFonts w:eastAsia="Times New Roman" w:cstheme="minorHAnsi"/>
                <w:sz w:val="24"/>
                <w:szCs w:val="24"/>
                <w:lang w:eastAsia="fr-FR"/>
              </w:rPr>
              <w:t> </w:t>
            </w:r>
          </w:p>
        </w:tc>
      </w:tr>
      <w:tr w:rsidR="00D20D9B" w:rsidRPr="0043547B" w:rsidTr="007964C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6"/>
        </w:trPr>
        <w:tc>
          <w:tcPr>
            <w:tcW w:w="1874" w:type="dxa"/>
            <w:gridSpan w:val="2"/>
            <w:tcBorders>
              <w:top w:val="single" w:sz="4" w:space="0" w:color="auto"/>
              <w:left w:val="single" w:sz="18" w:space="0" w:color="auto"/>
              <w:bottom w:val="single" w:sz="4" w:space="0" w:color="auto"/>
              <w:right w:val="single" w:sz="8" w:space="0" w:color="auto"/>
            </w:tcBorders>
            <w:shd w:val="clear" w:color="auto" w:fill="B8CCE4" w:themeFill="accent1" w:themeFillTint="66"/>
            <w:vAlign w:val="center"/>
            <w:hideMark/>
          </w:tcPr>
          <w:p w:rsidR="00D20D9B" w:rsidRPr="0043547B" w:rsidRDefault="00D20D9B" w:rsidP="00D20D9B">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Intitulé :</w:t>
            </w:r>
          </w:p>
        </w:tc>
        <w:tc>
          <w:tcPr>
            <w:tcW w:w="7938" w:type="dxa"/>
            <w:tcBorders>
              <w:top w:val="single" w:sz="4" w:space="0" w:color="auto"/>
              <w:left w:val="single" w:sz="8" w:space="0" w:color="auto"/>
              <w:bottom w:val="single" w:sz="4" w:space="0" w:color="auto"/>
              <w:right w:val="single" w:sz="18" w:space="0" w:color="auto"/>
            </w:tcBorders>
            <w:shd w:val="clear" w:color="auto" w:fill="auto"/>
            <w:hideMark/>
          </w:tcPr>
          <w:p w:rsidR="00D20D9B" w:rsidRPr="0043547B" w:rsidRDefault="00D20D9B" w:rsidP="00D20D9B">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Extincteurs d'incendie portatifs - Partie 9 : Exigences additionnelles à l'EN 3-7 relatives à la résistance à la pression des extincteurs au dioxyde de carbone  </w:t>
            </w:r>
          </w:p>
        </w:tc>
      </w:tr>
      <w:tr w:rsidR="00D20D9B" w:rsidRPr="0043547B" w:rsidTr="007964C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40"/>
        </w:trPr>
        <w:tc>
          <w:tcPr>
            <w:tcW w:w="1874" w:type="dxa"/>
            <w:gridSpan w:val="2"/>
            <w:tcBorders>
              <w:top w:val="single" w:sz="4" w:space="0" w:color="auto"/>
              <w:left w:val="single" w:sz="18" w:space="0" w:color="auto"/>
              <w:bottom w:val="single" w:sz="18" w:space="0" w:color="auto"/>
              <w:right w:val="single" w:sz="8" w:space="0" w:color="auto"/>
            </w:tcBorders>
            <w:shd w:val="clear" w:color="auto" w:fill="D9D9D9" w:themeFill="background1" w:themeFillShade="D9"/>
            <w:vAlign w:val="center"/>
            <w:hideMark/>
          </w:tcPr>
          <w:p w:rsidR="00D20D9B" w:rsidRPr="0043547B" w:rsidRDefault="00D20D9B" w:rsidP="00D20D9B">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Domaine d’application :</w:t>
            </w:r>
          </w:p>
        </w:tc>
        <w:tc>
          <w:tcPr>
            <w:tcW w:w="7938" w:type="dxa"/>
            <w:tcBorders>
              <w:top w:val="single" w:sz="4" w:space="0" w:color="auto"/>
              <w:left w:val="single" w:sz="8" w:space="0" w:color="auto"/>
              <w:bottom w:val="single" w:sz="18" w:space="0" w:color="auto"/>
              <w:right w:val="single" w:sz="18" w:space="0" w:color="auto"/>
            </w:tcBorders>
            <w:shd w:val="clear" w:color="auto" w:fill="auto"/>
            <w:hideMark/>
          </w:tcPr>
          <w:p w:rsidR="007964C1" w:rsidRDefault="00D20D9B" w:rsidP="007964C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européenne spécifie les règles de conception, de fabrication, d’inspection et d’essai des extincteurs d’incendie portatifs au CO2 en ce qui concerne les risques liés à la pression.</w:t>
            </w:r>
          </w:p>
          <w:p w:rsidR="00D20D9B" w:rsidRPr="007964C1" w:rsidRDefault="00D20D9B" w:rsidP="007964C1">
            <w:pPr>
              <w:spacing w:after="0" w:line="240" w:lineRule="auto"/>
              <w:jc w:val="both"/>
              <w:rPr>
                <w:rFonts w:eastAsia="Times New Roman" w:cstheme="minorHAnsi"/>
                <w:i/>
                <w:iCs/>
                <w:sz w:val="24"/>
                <w:szCs w:val="24"/>
                <w:lang w:eastAsia="fr-FR"/>
              </w:rPr>
            </w:pPr>
            <w:r w:rsidRPr="007964C1">
              <w:rPr>
                <w:rFonts w:eastAsia="Times New Roman" w:cstheme="minorHAnsi"/>
                <w:b/>
                <w:bCs/>
                <w:i/>
                <w:iCs/>
                <w:lang w:eastAsia="fr-FR"/>
              </w:rPr>
              <w:t>NOTE</w:t>
            </w:r>
            <w:r w:rsidR="007964C1" w:rsidRPr="007964C1">
              <w:rPr>
                <w:rFonts w:eastAsia="Times New Roman" w:cstheme="minorHAnsi"/>
                <w:b/>
                <w:bCs/>
                <w:i/>
                <w:iCs/>
                <w:lang w:eastAsia="fr-FR"/>
              </w:rPr>
              <w:t> </w:t>
            </w:r>
            <w:r w:rsidR="007964C1" w:rsidRPr="007964C1">
              <w:rPr>
                <w:rFonts w:eastAsia="Times New Roman" w:cstheme="minorHAnsi"/>
                <w:i/>
                <w:iCs/>
                <w:lang w:eastAsia="fr-FR"/>
              </w:rPr>
              <w:t xml:space="preserve">: </w:t>
            </w:r>
            <w:r w:rsidRPr="007964C1">
              <w:rPr>
                <w:rFonts w:eastAsia="Times New Roman" w:cstheme="minorHAnsi"/>
                <w:i/>
                <w:iCs/>
                <w:lang w:eastAsia="fr-FR"/>
              </w:rPr>
              <w:t>L'Annexe A donne la classification des différentes parties constitutives d'un extincteur d’incendie portatif.</w:t>
            </w:r>
          </w:p>
        </w:tc>
      </w:tr>
      <w:tr w:rsidR="00D20D9B" w:rsidRPr="0043547B" w:rsidTr="007964C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1874" w:type="dxa"/>
            <w:gridSpan w:val="2"/>
            <w:tcBorders>
              <w:top w:val="single" w:sz="18" w:space="0" w:color="auto"/>
              <w:left w:val="single" w:sz="18" w:space="0" w:color="auto"/>
              <w:bottom w:val="single" w:sz="18" w:space="0" w:color="auto"/>
              <w:right w:val="single" w:sz="8" w:space="0" w:color="auto"/>
            </w:tcBorders>
            <w:shd w:val="clear" w:color="auto" w:fill="C2D69B" w:themeFill="accent3" w:themeFillTint="99"/>
            <w:vAlign w:val="center"/>
            <w:hideMark/>
          </w:tcPr>
          <w:p w:rsidR="00D20D9B" w:rsidRPr="0043547B" w:rsidRDefault="00D20D9B" w:rsidP="007964C1">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Code :</w:t>
            </w:r>
          </w:p>
        </w:tc>
        <w:tc>
          <w:tcPr>
            <w:tcW w:w="7938" w:type="dxa"/>
            <w:tcBorders>
              <w:top w:val="single" w:sz="18" w:space="0" w:color="auto"/>
              <w:left w:val="single" w:sz="8" w:space="0" w:color="auto"/>
              <w:bottom w:val="single" w:sz="18" w:space="0" w:color="auto"/>
              <w:right w:val="single" w:sz="18" w:space="0" w:color="auto"/>
            </w:tcBorders>
            <w:shd w:val="clear" w:color="auto" w:fill="C2D69B" w:themeFill="accent3" w:themeFillTint="99"/>
            <w:hideMark/>
          </w:tcPr>
          <w:p w:rsidR="00D20D9B" w:rsidRPr="00D20D9B" w:rsidRDefault="00D20D9B" w:rsidP="00D20D9B">
            <w:pPr>
              <w:spacing w:after="0" w:line="240" w:lineRule="auto"/>
              <w:jc w:val="center"/>
              <w:rPr>
                <w:rFonts w:eastAsia="Times New Roman" w:cstheme="minorHAnsi"/>
                <w:b/>
                <w:bCs/>
                <w:sz w:val="24"/>
                <w:szCs w:val="24"/>
                <w:lang w:eastAsia="fr-FR"/>
              </w:rPr>
            </w:pPr>
            <w:r w:rsidRPr="00D20D9B">
              <w:rPr>
                <w:rFonts w:eastAsia="Times New Roman" w:cstheme="minorHAnsi"/>
                <w:b/>
                <w:bCs/>
                <w:sz w:val="24"/>
                <w:szCs w:val="24"/>
                <w:lang w:eastAsia="fr-FR"/>
              </w:rPr>
              <w:t>NM EN 3-10</w:t>
            </w:r>
          </w:p>
        </w:tc>
      </w:tr>
      <w:tr w:rsidR="00D20D9B" w:rsidRPr="0043547B" w:rsidTr="007964C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1874" w:type="dxa"/>
            <w:gridSpan w:val="2"/>
            <w:tcBorders>
              <w:top w:val="single" w:sz="18" w:space="0" w:color="auto"/>
              <w:left w:val="single" w:sz="18" w:space="0" w:color="auto"/>
              <w:bottom w:val="single" w:sz="4" w:space="0" w:color="auto"/>
              <w:right w:val="single" w:sz="8" w:space="0" w:color="auto"/>
            </w:tcBorders>
            <w:shd w:val="clear" w:color="auto" w:fill="FDFBA9"/>
            <w:vAlign w:val="center"/>
            <w:hideMark/>
          </w:tcPr>
          <w:p w:rsidR="00D20D9B" w:rsidRPr="0043547B" w:rsidRDefault="00D20D9B" w:rsidP="00D20D9B">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Equivalence :</w:t>
            </w:r>
          </w:p>
        </w:tc>
        <w:tc>
          <w:tcPr>
            <w:tcW w:w="7938" w:type="dxa"/>
            <w:tcBorders>
              <w:top w:val="single" w:sz="18" w:space="0" w:color="auto"/>
              <w:left w:val="single" w:sz="8" w:space="0" w:color="auto"/>
              <w:bottom w:val="single" w:sz="4" w:space="0" w:color="auto"/>
              <w:right w:val="single" w:sz="18" w:space="0" w:color="auto"/>
            </w:tcBorders>
            <w:shd w:val="clear" w:color="auto" w:fill="FDFBA9"/>
            <w:vAlign w:val="center"/>
            <w:hideMark/>
          </w:tcPr>
          <w:p w:rsidR="00D20D9B" w:rsidRPr="00105D5C" w:rsidRDefault="00D20D9B" w:rsidP="00D20D9B">
            <w:pPr>
              <w:spacing w:after="0" w:line="240" w:lineRule="auto"/>
              <w:jc w:val="center"/>
              <w:rPr>
                <w:rFonts w:eastAsia="Times New Roman" w:cstheme="minorHAnsi"/>
                <w:b/>
                <w:bCs/>
                <w:sz w:val="24"/>
                <w:szCs w:val="24"/>
                <w:lang w:eastAsia="fr-FR"/>
              </w:rPr>
            </w:pPr>
            <w:r w:rsidRPr="00105D5C">
              <w:rPr>
                <w:rFonts w:eastAsia="Times New Roman" w:cstheme="minorHAnsi"/>
                <w:b/>
                <w:bCs/>
                <w:sz w:val="24"/>
                <w:szCs w:val="24"/>
                <w:lang w:eastAsia="fr-FR"/>
              </w:rPr>
              <w:t>EN 3-9</w:t>
            </w:r>
          </w:p>
        </w:tc>
      </w:tr>
      <w:tr w:rsidR="00D20D9B" w:rsidRPr="0043547B" w:rsidTr="007964C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6"/>
        </w:trPr>
        <w:tc>
          <w:tcPr>
            <w:tcW w:w="1874" w:type="dxa"/>
            <w:gridSpan w:val="2"/>
            <w:tcBorders>
              <w:top w:val="single" w:sz="4" w:space="0" w:color="auto"/>
              <w:left w:val="single" w:sz="18" w:space="0" w:color="auto"/>
              <w:bottom w:val="single" w:sz="4" w:space="0" w:color="auto"/>
              <w:right w:val="single" w:sz="8" w:space="0" w:color="auto"/>
            </w:tcBorders>
            <w:shd w:val="clear" w:color="auto" w:fill="B8CCE4" w:themeFill="accent1" w:themeFillTint="66"/>
            <w:vAlign w:val="center"/>
            <w:hideMark/>
          </w:tcPr>
          <w:p w:rsidR="00D20D9B" w:rsidRPr="0043547B" w:rsidRDefault="00D20D9B" w:rsidP="00D20D9B">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Intitulé :</w:t>
            </w:r>
          </w:p>
        </w:tc>
        <w:tc>
          <w:tcPr>
            <w:tcW w:w="7938" w:type="dxa"/>
            <w:tcBorders>
              <w:top w:val="single" w:sz="4" w:space="0" w:color="auto"/>
              <w:left w:val="single" w:sz="8" w:space="0" w:color="auto"/>
              <w:bottom w:val="single" w:sz="4" w:space="0" w:color="auto"/>
              <w:right w:val="single" w:sz="18" w:space="0" w:color="auto"/>
            </w:tcBorders>
            <w:shd w:val="clear" w:color="auto" w:fill="auto"/>
            <w:hideMark/>
          </w:tcPr>
          <w:p w:rsidR="00D20D9B" w:rsidRPr="0043547B" w:rsidRDefault="00D20D9B" w:rsidP="00D20D9B">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Extincteurs d'incendie portatifs - Partie 10 : Dispositions pour l'évaluation de la conformité d'un extincteur d'incendie portatif à l'EN 3-7  </w:t>
            </w:r>
          </w:p>
        </w:tc>
      </w:tr>
      <w:tr w:rsidR="00D20D9B" w:rsidRPr="0043547B" w:rsidTr="007964C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
        </w:trPr>
        <w:tc>
          <w:tcPr>
            <w:tcW w:w="1874" w:type="dxa"/>
            <w:gridSpan w:val="2"/>
            <w:tcBorders>
              <w:top w:val="single" w:sz="4" w:space="0" w:color="auto"/>
              <w:left w:val="single" w:sz="18" w:space="0" w:color="auto"/>
              <w:bottom w:val="single" w:sz="18" w:space="0" w:color="auto"/>
              <w:right w:val="single" w:sz="8" w:space="0" w:color="auto"/>
            </w:tcBorders>
            <w:shd w:val="clear" w:color="auto" w:fill="D9D9D9" w:themeFill="background1" w:themeFillShade="D9"/>
            <w:vAlign w:val="center"/>
            <w:hideMark/>
          </w:tcPr>
          <w:p w:rsidR="00D20D9B" w:rsidRPr="0043547B" w:rsidRDefault="00D20D9B" w:rsidP="00D20D9B">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Domaine d’application :</w:t>
            </w:r>
          </w:p>
        </w:tc>
        <w:tc>
          <w:tcPr>
            <w:tcW w:w="7938" w:type="dxa"/>
            <w:tcBorders>
              <w:top w:val="single" w:sz="4" w:space="0" w:color="auto"/>
              <w:left w:val="single" w:sz="8" w:space="0" w:color="auto"/>
              <w:bottom w:val="single" w:sz="18" w:space="0" w:color="auto"/>
              <w:right w:val="single" w:sz="18" w:space="0" w:color="auto"/>
            </w:tcBorders>
            <w:shd w:val="clear" w:color="auto" w:fill="auto"/>
            <w:hideMark/>
          </w:tcPr>
          <w:p w:rsidR="007964C1" w:rsidRDefault="00D20D9B" w:rsidP="007964C1">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européenne spécifie les exigences minimales permettant d'attester la conformité des extincteurs d'incendie portatifs à l'EN 3-7 ainsi que les exigences relatives au contrôle de la qualité et de la production</w:t>
            </w:r>
            <w:r w:rsidRPr="0043547B">
              <w:rPr>
                <w:rFonts w:eastAsia="Times New Roman" w:cstheme="minorHAnsi"/>
                <w:sz w:val="24"/>
                <w:szCs w:val="24"/>
                <w:lang w:eastAsia="fr-FR"/>
              </w:rPr>
              <w:br/>
              <w:t>des extincteurs.</w:t>
            </w:r>
          </w:p>
          <w:p w:rsidR="007964C1" w:rsidRDefault="00D20D9B" w:rsidP="00D20D9B">
            <w:pPr>
              <w:spacing w:after="0" w:line="240" w:lineRule="auto"/>
              <w:rPr>
                <w:rFonts w:eastAsia="Times New Roman" w:cstheme="minorHAnsi"/>
                <w:sz w:val="24"/>
                <w:szCs w:val="24"/>
                <w:lang w:eastAsia="fr-FR"/>
              </w:rPr>
            </w:pPr>
            <w:r w:rsidRPr="0043547B">
              <w:rPr>
                <w:rFonts w:eastAsia="Times New Roman" w:cstheme="minorHAnsi"/>
                <w:sz w:val="24"/>
                <w:szCs w:val="24"/>
                <w:lang w:eastAsia="fr-FR"/>
              </w:rPr>
              <w:t>Elle spécifie la documentation à fournir concernant :</w:t>
            </w:r>
            <w:r w:rsidRPr="0043547B">
              <w:rPr>
                <w:rFonts w:eastAsia="Times New Roman" w:cstheme="minorHAnsi"/>
                <w:sz w:val="24"/>
                <w:szCs w:val="24"/>
                <w:lang w:eastAsia="fr-FR"/>
              </w:rPr>
              <w:br/>
              <w:t>— l'identification du demandeur ;</w:t>
            </w:r>
            <w:r w:rsidRPr="0043547B">
              <w:rPr>
                <w:rFonts w:eastAsia="Times New Roman" w:cstheme="minorHAnsi"/>
                <w:sz w:val="24"/>
                <w:szCs w:val="24"/>
                <w:lang w:eastAsia="fr-FR"/>
              </w:rPr>
              <w:br/>
              <w:t>— l'identification du fabricant, s'il n'est pas le demandeur ;</w:t>
            </w:r>
            <w:r w:rsidRPr="0043547B">
              <w:rPr>
                <w:rFonts w:eastAsia="Times New Roman" w:cstheme="minorHAnsi"/>
                <w:sz w:val="24"/>
                <w:szCs w:val="24"/>
                <w:lang w:eastAsia="fr-FR"/>
              </w:rPr>
              <w:br/>
              <w:t>— l'identification du ou des sous-traitants, le cas échéant ;</w:t>
            </w:r>
            <w:r w:rsidRPr="0043547B">
              <w:rPr>
                <w:rFonts w:eastAsia="Times New Roman" w:cstheme="minorHAnsi"/>
                <w:sz w:val="24"/>
                <w:szCs w:val="24"/>
                <w:lang w:eastAsia="fr-FR"/>
              </w:rPr>
              <w:br/>
              <w:t>— l'identification de l'extincteur ;</w:t>
            </w:r>
            <w:r w:rsidRPr="0043547B">
              <w:rPr>
                <w:rFonts w:eastAsia="Times New Roman" w:cstheme="minorHAnsi"/>
                <w:sz w:val="24"/>
                <w:szCs w:val="24"/>
                <w:lang w:eastAsia="fr-FR"/>
              </w:rPr>
              <w:br/>
              <w:t>— les documents fournis avec l'extincteur ;</w:t>
            </w:r>
            <w:r w:rsidRPr="0043547B">
              <w:rPr>
                <w:rFonts w:eastAsia="Times New Roman" w:cstheme="minorHAnsi"/>
                <w:sz w:val="24"/>
                <w:szCs w:val="24"/>
                <w:lang w:eastAsia="fr-FR"/>
              </w:rPr>
              <w:br/>
              <w:t>— le marquage CE ;</w:t>
            </w:r>
            <w:r w:rsidRPr="0043547B">
              <w:rPr>
                <w:rFonts w:eastAsia="Times New Roman" w:cstheme="minorHAnsi"/>
                <w:sz w:val="24"/>
                <w:szCs w:val="24"/>
                <w:lang w:eastAsia="fr-FR"/>
              </w:rPr>
              <w:br/>
              <w:t>— le système de management de la qualité ;</w:t>
            </w:r>
            <w:r w:rsidRPr="0043547B">
              <w:rPr>
                <w:rFonts w:eastAsia="Times New Roman" w:cstheme="minorHAnsi"/>
                <w:sz w:val="24"/>
                <w:szCs w:val="24"/>
                <w:lang w:eastAsia="fr-FR"/>
              </w:rPr>
              <w:br/>
              <w:t>— les informations toxicologiques relatives aux agents extincteurs.</w:t>
            </w:r>
            <w:r w:rsidRPr="0043547B">
              <w:rPr>
                <w:rFonts w:eastAsia="Times New Roman" w:cstheme="minorHAnsi"/>
                <w:sz w:val="24"/>
                <w:szCs w:val="24"/>
                <w:lang w:eastAsia="fr-FR"/>
              </w:rPr>
              <w:br/>
              <w:t>Elle spécifie les méthodes relatives :</w:t>
            </w:r>
            <w:r w:rsidRPr="0043547B">
              <w:rPr>
                <w:rFonts w:eastAsia="Times New Roman" w:cstheme="minorHAnsi"/>
                <w:sz w:val="24"/>
                <w:szCs w:val="24"/>
                <w:lang w:eastAsia="fr-FR"/>
              </w:rPr>
              <w:br/>
              <w:t>— aux essais de type ;</w:t>
            </w:r>
            <w:r w:rsidRPr="0043547B">
              <w:rPr>
                <w:rFonts w:eastAsia="Times New Roman" w:cstheme="minorHAnsi"/>
                <w:sz w:val="24"/>
                <w:szCs w:val="24"/>
                <w:lang w:eastAsia="fr-FR"/>
              </w:rPr>
              <w:br/>
            </w:r>
            <w:r w:rsidRPr="0043547B">
              <w:rPr>
                <w:rFonts w:eastAsia="Times New Roman" w:cstheme="minorHAnsi"/>
                <w:sz w:val="24"/>
                <w:szCs w:val="24"/>
                <w:lang w:eastAsia="fr-FR"/>
              </w:rPr>
              <w:lastRenderedPageBreak/>
              <w:t>— à l'évaluation de l'usine ;</w:t>
            </w:r>
            <w:r w:rsidRPr="0043547B">
              <w:rPr>
                <w:rFonts w:eastAsia="Times New Roman" w:cstheme="minorHAnsi"/>
                <w:sz w:val="24"/>
                <w:szCs w:val="24"/>
                <w:lang w:eastAsia="fr-FR"/>
              </w:rPr>
              <w:br/>
              <w:t>— aux contrôles effectués en cours de production.</w:t>
            </w:r>
          </w:p>
          <w:p w:rsidR="00914FAA" w:rsidRDefault="00D20D9B" w:rsidP="007964C1">
            <w:pPr>
              <w:spacing w:after="0" w:line="240" w:lineRule="auto"/>
              <w:jc w:val="both"/>
              <w:rPr>
                <w:rFonts w:eastAsia="Times New Roman" w:cstheme="minorHAnsi"/>
                <w:i/>
                <w:iCs/>
                <w:sz w:val="24"/>
                <w:szCs w:val="24"/>
                <w:lang w:eastAsia="fr-FR"/>
              </w:rPr>
            </w:pPr>
            <w:r w:rsidRPr="0043547B">
              <w:rPr>
                <w:rFonts w:eastAsia="Times New Roman" w:cstheme="minorHAnsi"/>
                <w:b/>
                <w:bCs/>
                <w:i/>
                <w:iCs/>
                <w:sz w:val="24"/>
                <w:szCs w:val="24"/>
                <w:lang w:eastAsia="fr-FR"/>
              </w:rPr>
              <w:t>NOTE 1 :</w:t>
            </w:r>
            <w:r w:rsidRPr="0043547B">
              <w:rPr>
                <w:rFonts w:eastAsia="Times New Roman" w:cstheme="minorHAnsi"/>
                <w:i/>
                <w:iCs/>
                <w:sz w:val="24"/>
                <w:szCs w:val="24"/>
                <w:lang w:eastAsia="fr-FR"/>
              </w:rPr>
              <w:t xml:space="preserve"> Un rapport d'essai et un rapport d'audit satisfaisant et documenté peuvent constituer la base sur laquelle le demandeur s'appuie pour demander la certification de son produit par un organisme de certification accrédité par un membre de l'EA. Des règlements nationaux et/ou des marques de qualité peuvent imposer des exigences supplémentaires.</w:t>
            </w:r>
          </w:p>
          <w:p w:rsidR="00D20D9B" w:rsidRPr="007964C1" w:rsidRDefault="00D20D9B" w:rsidP="007964C1">
            <w:pPr>
              <w:spacing w:after="0" w:line="240" w:lineRule="auto"/>
              <w:jc w:val="both"/>
              <w:rPr>
                <w:rFonts w:eastAsia="Times New Roman" w:cstheme="minorHAnsi"/>
                <w:i/>
                <w:iCs/>
                <w:sz w:val="24"/>
                <w:szCs w:val="24"/>
                <w:lang w:eastAsia="fr-FR"/>
              </w:rPr>
            </w:pPr>
            <w:r w:rsidRPr="0043547B">
              <w:rPr>
                <w:rFonts w:eastAsia="Times New Roman" w:cstheme="minorHAnsi"/>
                <w:b/>
                <w:bCs/>
                <w:i/>
                <w:iCs/>
                <w:sz w:val="24"/>
                <w:szCs w:val="24"/>
                <w:lang w:eastAsia="fr-FR"/>
              </w:rPr>
              <w:t>NOTE 2 :</w:t>
            </w:r>
            <w:r w:rsidRPr="0043547B">
              <w:rPr>
                <w:rFonts w:eastAsia="Times New Roman" w:cstheme="minorHAnsi"/>
                <w:i/>
                <w:iCs/>
                <w:sz w:val="24"/>
                <w:szCs w:val="24"/>
                <w:lang w:eastAsia="fr-FR"/>
              </w:rPr>
              <w:t xml:space="preserve"> Le cas échéant, il est possible de réaliser des essais de composants par famille.</w:t>
            </w:r>
          </w:p>
        </w:tc>
      </w:tr>
      <w:tr w:rsidR="00D20D9B" w:rsidRPr="0043547B" w:rsidTr="00914FA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1874" w:type="dxa"/>
            <w:gridSpan w:val="2"/>
            <w:tcBorders>
              <w:top w:val="single" w:sz="18" w:space="0" w:color="auto"/>
              <w:left w:val="single" w:sz="18" w:space="0" w:color="auto"/>
              <w:bottom w:val="single" w:sz="18" w:space="0" w:color="auto"/>
              <w:right w:val="single" w:sz="8" w:space="0" w:color="auto"/>
            </w:tcBorders>
            <w:shd w:val="clear" w:color="auto" w:fill="C2D69B" w:themeFill="accent3" w:themeFillTint="99"/>
            <w:vAlign w:val="center"/>
            <w:hideMark/>
          </w:tcPr>
          <w:p w:rsidR="00D20D9B" w:rsidRPr="0043547B" w:rsidRDefault="00D20D9B" w:rsidP="00914FAA">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lastRenderedPageBreak/>
              <w:t>Code :</w:t>
            </w:r>
          </w:p>
        </w:tc>
        <w:tc>
          <w:tcPr>
            <w:tcW w:w="7938" w:type="dxa"/>
            <w:tcBorders>
              <w:top w:val="single" w:sz="18" w:space="0" w:color="auto"/>
              <w:left w:val="single" w:sz="8" w:space="0" w:color="auto"/>
              <w:bottom w:val="single" w:sz="18" w:space="0" w:color="auto"/>
              <w:right w:val="single" w:sz="18" w:space="0" w:color="auto"/>
            </w:tcBorders>
            <w:shd w:val="clear" w:color="auto" w:fill="C2D69B" w:themeFill="accent3" w:themeFillTint="99"/>
            <w:hideMark/>
          </w:tcPr>
          <w:p w:rsidR="00D20D9B" w:rsidRPr="00D20D9B" w:rsidRDefault="00D20D9B" w:rsidP="00D20D9B">
            <w:pPr>
              <w:spacing w:after="0" w:line="240" w:lineRule="auto"/>
              <w:jc w:val="center"/>
              <w:rPr>
                <w:rFonts w:eastAsia="Times New Roman" w:cstheme="minorHAnsi"/>
                <w:b/>
                <w:bCs/>
                <w:sz w:val="24"/>
                <w:szCs w:val="24"/>
                <w:lang w:eastAsia="fr-FR"/>
              </w:rPr>
            </w:pPr>
            <w:r w:rsidRPr="00D20D9B">
              <w:rPr>
                <w:rFonts w:eastAsia="Times New Roman" w:cstheme="minorHAnsi"/>
                <w:b/>
                <w:bCs/>
                <w:sz w:val="24"/>
                <w:szCs w:val="24"/>
                <w:lang w:eastAsia="fr-FR"/>
              </w:rPr>
              <w:t>NM 21.9.501</w:t>
            </w:r>
          </w:p>
        </w:tc>
      </w:tr>
      <w:tr w:rsidR="00D20D9B" w:rsidRPr="0043547B" w:rsidTr="00914FA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6"/>
        </w:trPr>
        <w:tc>
          <w:tcPr>
            <w:tcW w:w="1874" w:type="dxa"/>
            <w:gridSpan w:val="2"/>
            <w:tcBorders>
              <w:top w:val="single" w:sz="18" w:space="0" w:color="auto"/>
              <w:left w:val="single" w:sz="18" w:space="0" w:color="auto"/>
              <w:bottom w:val="single" w:sz="4" w:space="0" w:color="auto"/>
              <w:right w:val="single" w:sz="8" w:space="0" w:color="auto"/>
            </w:tcBorders>
            <w:shd w:val="clear" w:color="auto" w:fill="B8CCE4" w:themeFill="accent1" w:themeFillTint="66"/>
            <w:vAlign w:val="center"/>
            <w:hideMark/>
          </w:tcPr>
          <w:p w:rsidR="00D20D9B" w:rsidRPr="0043547B" w:rsidRDefault="00D20D9B" w:rsidP="00D20D9B">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Intitulé :</w:t>
            </w:r>
          </w:p>
        </w:tc>
        <w:tc>
          <w:tcPr>
            <w:tcW w:w="7938" w:type="dxa"/>
            <w:tcBorders>
              <w:top w:val="single" w:sz="18" w:space="0" w:color="auto"/>
              <w:left w:val="single" w:sz="8" w:space="0" w:color="auto"/>
              <w:bottom w:val="single" w:sz="4" w:space="0" w:color="auto"/>
              <w:right w:val="single" w:sz="18" w:space="0" w:color="auto"/>
            </w:tcBorders>
            <w:shd w:val="clear" w:color="auto" w:fill="auto"/>
            <w:hideMark/>
          </w:tcPr>
          <w:p w:rsidR="00D20D9B" w:rsidRPr="0043547B" w:rsidRDefault="00D20D9B" w:rsidP="00D20D9B">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Matériels de lutte contre l'incendie - Poteaux et bouche d'incendie - Règles d'installation, de réception et de maintenance  </w:t>
            </w:r>
          </w:p>
        </w:tc>
      </w:tr>
      <w:tr w:rsidR="00D20D9B" w:rsidRPr="0043547B" w:rsidTr="00914FA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3"/>
        </w:trPr>
        <w:tc>
          <w:tcPr>
            <w:tcW w:w="1874" w:type="dxa"/>
            <w:gridSpan w:val="2"/>
            <w:tcBorders>
              <w:top w:val="single" w:sz="4" w:space="0" w:color="auto"/>
              <w:left w:val="single" w:sz="18" w:space="0" w:color="auto"/>
              <w:bottom w:val="single" w:sz="18" w:space="0" w:color="auto"/>
              <w:right w:val="single" w:sz="8" w:space="0" w:color="auto"/>
            </w:tcBorders>
            <w:shd w:val="clear" w:color="auto" w:fill="D9D9D9" w:themeFill="background1" w:themeFillShade="D9"/>
            <w:vAlign w:val="center"/>
            <w:hideMark/>
          </w:tcPr>
          <w:p w:rsidR="00D20D9B" w:rsidRPr="0043547B" w:rsidRDefault="00D20D9B" w:rsidP="00D20D9B">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Domaine d’application :</w:t>
            </w:r>
          </w:p>
        </w:tc>
        <w:tc>
          <w:tcPr>
            <w:tcW w:w="7938" w:type="dxa"/>
            <w:tcBorders>
              <w:top w:val="single" w:sz="4" w:space="0" w:color="auto"/>
              <w:left w:val="single" w:sz="8" w:space="0" w:color="auto"/>
              <w:bottom w:val="single" w:sz="18" w:space="0" w:color="auto"/>
              <w:right w:val="single" w:sz="18" w:space="0" w:color="auto"/>
            </w:tcBorders>
            <w:shd w:val="clear" w:color="auto" w:fill="auto"/>
            <w:hideMark/>
          </w:tcPr>
          <w:p w:rsidR="00914FAA" w:rsidRDefault="00D20D9B" w:rsidP="00914FAA">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 présent document définit les règles d’installation, de réception et de maintenance des poteaux et bouches d’incendie raccordés à un réseau d’eau sous pression, qu’ils soient sur le domaine public ou sur le domaine privé.</w:t>
            </w:r>
          </w:p>
          <w:p w:rsidR="00914FAA" w:rsidRDefault="00D20D9B" w:rsidP="00914FAA">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Ce document s’applique à l’ensemble des installations à partir de l’esse de réglage compris (voir Figures 1 et 10).</w:t>
            </w:r>
          </w:p>
          <w:p w:rsidR="00914FAA" w:rsidRDefault="00D20D9B" w:rsidP="00914FAA">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 choix des matériels, leur nombre et leur répartition ne sont pas traités dans le présent document.</w:t>
            </w:r>
          </w:p>
          <w:p w:rsidR="00914FAA" w:rsidRDefault="00D20D9B" w:rsidP="00914FAA">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installations non raccordées à un réseau d’eau sous pression, composées notamment :</w:t>
            </w:r>
          </w:p>
          <w:p w:rsidR="00D20D9B" w:rsidRPr="0043547B" w:rsidRDefault="00D20D9B" w:rsidP="00914FAA">
            <w:pPr>
              <w:spacing w:after="0" w:line="240" w:lineRule="auto"/>
              <w:rPr>
                <w:rFonts w:eastAsia="Times New Roman" w:cstheme="minorHAnsi"/>
                <w:sz w:val="24"/>
                <w:szCs w:val="24"/>
                <w:lang w:eastAsia="fr-FR"/>
              </w:rPr>
            </w:pPr>
            <w:r w:rsidRPr="0043547B">
              <w:rPr>
                <w:rFonts w:eastAsia="Times New Roman" w:cstheme="minorHAnsi"/>
                <w:sz w:val="24"/>
                <w:szCs w:val="24"/>
                <w:lang w:eastAsia="fr-FR"/>
              </w:rPr>
              <w:t>— des installations dites «sèches» (les canalisations alimentant ces installations sont sans eau) ;</w:t>
            </w:r>
            <w:r w:rsidRPr="0043547B">
              <w:rPr>
                <w:rFonts w:eastAsia="Times New Roman" w:cstheme="minorHAnsi"/>
                <w:sz w:val="24"/>
                <w:szCs w:val="24"/>
                <w:lang w:eastAsia="fr-FR"/>
              </w:rPr>
              <w:br/>
              <w:t>— des installations dites «d’aspiration» qui permettent :</w:t>
            </w:r>
            <w:r w:rsidRPr="0043547B">
              <w:rPr>
                <w:rFonts w:eastAsia="Times New Roman" w:cstheme="minorHAnsi"/>
                <w:sz w:val="24"/>
                <w:szCs w:val="24"/>
                <w:lang w:eastAsia="fr-FR"/>
              </w:rPr>
              <w:br/>
              <w:t>- de rapprocher les points d'eau utilisables par les services de secours et de lutte contre l’incendie à proximité</w:t>
            </w:r>
            <w:r w:rsidRPr="0043547B">
              <w:rPr>
                <w:rFonts w:eastAsia="Times New Roman" w:cstheme="minorHAnsi"/>
                <w:sz w:val="24"/>
                <w:szCs w:val="24"/>
                <w:lang w:eastAsia="fr-FR"/>
              </w:rPr>
              <w:br/>
              <w:t>immédiate du risque ;</w:t>
            </w:r>
            <w:r w:rsidRPr="0043547B">
              <w:rPr>
                <w:rFonts w:eastAsia="Times New Roman" w:cstheme="minorHAnsi"/>
                <w:sz w:val="24"/>
                <w:szCs w:val="24"/>
                <w:lang w:eastAsia="fr-FR"/>
              </w:rPr>
              <w:br/>
              <w:t>- d’utiliser des points d'eau naturel ;</w:t>
            </w:r>
            <w:r w:rsidRPr="0043547B">
              <w:rPr>
                <w:rFonts w:eastAsia="Times New Roman" w:cstheme="minorHAnsi"/>
                <w:sz w:val="24"/>
                <w:szCs w:val="24"/>
                <w:lang w:eastAsia="fr-FR"/>
              </w:rPr>
              <w:br/>
              <w:t>- de faciliter la mise en oeuvre des matériels d'incendie des services de secours et de lutte contre l’incendie (exemple : traversée de voie à grande circulation, accessibilité des immeubles conditionnée par des dalles non résistantes aux véhicules poids lourds) ;</w:t>
            </w:r>
            <w:r w:rsidRPr="0043547B">
              <w:rPr>
                <w:rFonts w:eastAsia="Times New Roman" w:cstheme="minorHAnsi"/>
                <w:sz w:val="24"/>
                <w:szCs w:val="24"/>
                <w:lang w:eastAsia="fr-FR"/>
              </w:rPr>
              <w:br/>
              <w:t>ne sont pas traitées dans ce document au regard de leur côté marginal. Elles font l'objet d'une étude particulière au cas par cas et d’une signalétique adaptée.</w:t>
            </w:r>
          </w:p>
        </w:tc>
      </w:tr>
      <w:tr w:rsidR="00D20D9B" w:rsidRPr="0043547B" w:rsidTr="00914FA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1874" w:type="dxa"/>
            <w:gridSpan w:val="2"/>
            <w:tcBorders>
              <w:top w:val="single" w:sz="18" w:space="0" w:color="auto"/>
              <w:left w:val="single" w:sz="18" w:space="0" w:color="auto"/>
              <w:bottom w:val="single" w:sz="18" w:space="0" w:color="auto"/>
              <w:right w:val="single" w:sz="8" w:space="0" w:color="auto"/>
            </w:tcBorders>
            <w:shd w:val="clear" w:color="auto" w:fill="C2D69B" w:themeFill="accent3" w:themeFillTint="99"/>
            <w:vAlign w:val="center"/>
            <w:hideMark/>
          </w:tcPr>
          <w:p w:rsidR="00D20D9B" w:rsidRPr="00D20D9B" w:rsidRDefault="00D20D9B" w:rsidP="00914FAA">
            <w:pPr>
              <w:spacing w:after="0" w:line="240" w:lineRule="auto"/>
              <w:jc w:val="center"/>
              <w:rPr>
                <w:rFonts w:eastAsia="Times New Roman" w:cstheme="minorHAnsi"/>
                <w:b/>
                <w:bCs/>
                <w:sz w:val="24"/>
                <w:szCs w:val="24"/>
                <w:lang w:eastAsia="fr-FR"/>
              </w:rPr>
            </w:pPr>
            <w:r w:rsidRPr="00D20D9B">
              <w:rPr>
                <w:rFonts w:eastAsia="Times New Roman" w:cstheme="minorHAnsi"/>
                <w:b/>
                <w:bCs/>
                <w:sz w:val="24"/>
                <w:szCs w:val="24"/>
                <w:lang w:eastAsia="fr-FR"/>
              </w:rPr>
              <w:t>Code :</w:t>
            </w:r>
          </w:p>
        </w:tc>
        <w:tc>
          <w:tcPr>
            <w:tcW w:w="7938" w:type="dxa"/>
            <w:tcBorders>
              <w:top w:val="single" w:sz="18" w:space="0" w:color="auto"/>
              <w:left w:val="single" w:sz="8" w:space="0" w:color="auto"/>
              <w:bottom w:val="single" w:sz="18" w:space="0" w:color="auto"/>
              <w:right w:val="single" w:sz="18" w:space="0" w:color="auto"/>
            </w:tcBorders>
            <w:shd w:val="clear" w:color="auto" w:fill="C2D69B" w:themeFill="accent3" w:themeFillTint="99"/>
            <w:hideMark/>
          </w:tcPr>
          <w:p w:rsidR="00D20D9B" w:rsidRPr="00D20D9B" w:rsidRDefault="00D20D9B" w:rsidP="00D20D9B">
            <w:pPr>
              <w:spacing w:after="0" w:line="240" w:lineRule="auto"/>
              <w:jc w:val="center"/>
              <w:rPr>
                <w:rFonts w:eastAsia="Times New Roman" w:cstheme="minorHAnsi"/>
                <w:b/>
                <w:bCs/>
                <w:sz w:val="24"/>
                <w:szCs w:val="24"/>
                <w:lang w:eastAsia="fr-FR"/>
              </w:rPr>
            </w:pPr>
            <w:r w:rsidRPr="00D20D9B">
              <w:rPr>
                <w:rFonts w:eastAsia="Times New Roman" w:cstheme="minorHAnsi"/>
                <w:b/>
                <w:bCs/>
                <w:sz w:val="24"/>
                <w:szCs w:val="24"/>
                <w:lang w:eastAsia="fr-FR"/>
              </w:rPr>
              <w:t>NM 21.9.502</w:t>
            </w:r>
          </w:p>
        </w:tc>
      </w:tr>
      <w:tr w:rsidR="00D20D9B" w:rsidRPr="0043547B" w:rsidTr="00914FA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1874" w:type="dxa"/>
            <w:gridSpan w:val="2"/>
            <w:tcBorders>
              <w:top w:val="single" w:sz="18" w:space="0" w:color="auto"/>
              <w:left w:val="single" w:sz="18" w:space="0" w:color="auto"/>
              <w:bottom w:val="single" w:sz="4" w:space="0" w:color="auto"/>
              <w:right w:val="single" w:sz="8" w:space="0" w:color="auto"/>
            </w:tcBorders>
            <w:shd w:val="clear" w:color="auto" w:fill="B8CCE4" w:themeFill="accent1" w:themeFillTint="66"/>
            <w:vAlign w:val="center"/>
            <w:hideMark/>
          </w:tcPr>
          <w:p w:rsidR="00D20D9B" w:rsidRPr="0043547B" w:rsidRDefault="00D20D9B" w:rsidP="00D20D9B">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Intitulé :</w:t>
            </w:r>
          </w:p>
        </w:tc>
        <w:tc>
          <w:tcPr>
            <w:tcW w:w="7938" w:type="dxa"/>
            <w:tcBorders>
              <w:top w:val="single" w:sz="18" w:space="0" w:color="auto"/>
              <w:left w:val="single" w:sz="8" w:space="0" w:color="auto"/>
              <w:bottom w:val="single" w:sz="4" w:space="0" w:color="auto"/>
              <w:right w:val="single" w:sz="18" w:space="0" w:color="auto"/>
            </w:tcBorders>
            <w:shd w:val="clear" w:color="auto" w:fill="auto"/>
            <w:hideMark/>
          </w:tcPr>
          <w:p w:rsidR="00D20D9B" w:rsidRPr="0043547B" w:rsidRDefault="00D20D9B" w:rsidP="00D20D9B">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Maintenance des extincteurs d'incendie portatifs   </w:t>
            </w:r>
          </w:p>
        </w:tc>
      </w:tr>
      <w:tr w:rsidR="00D20D9B" w:rsidRPr="0043547B" w:rsidTr="00914FA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64"/>
        </w:trPr>
        <w:tc>
          <w:tcPr>
            <w:tcW w:w="1874" w:type="dxa"/>
            <w:gridSpan w:val="2"/>
            <w:tcBorders>
              <w:top w:val="single" w:sz="4" w:space="0" w:color="auto"/>
              <w:left w:val="single" w:sz="18" w:space="0" w:color="auto"/>
              <w:bottom w:val="single" w:sz="18" w:space="0" w:color="auto"/>
              <w:right w:val="single" w:sz="8" w:space="0" w:color="auto"/>
            </w:tcBorders>
            <w:shd w:val="clear" w:color="auto" w:fill="D9D9D9" w:themeFill="background1" w:themeFillShade="D9"/>
            <w:vAlign w:val="center"/>
            <w:hideMark/>
          </w:tcPr>
          <w:p w:rsidR="00D20D9B" w:rsidRPr="0043547B" w:rsidRDefault="00D20D9B" w:rsidP="00D20D9B">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Domaine d’application :</w:t>
            </w:r>
          </w:p>
        </w:tc>
        <w:tc>
          <w:tcPr>
            <w:tcW w:w="7938" w:type="dxa"/>
            <w:tcBorders>
              <w:top w:val="single" w:sz="4" w:space="0" w:color="auto"/>
              <w:left w:val="single" w:sz="8" w:space="0" w:color="auto"/>
              <w:bottom w:val="single" w:sz="18" w:space="0" w:color="auto"/>
              <w:right w:val="single" w:sz="18" w:space="0" w:color="auto"/>
            </w:tcBorders>
            <w:shd w:val="clear" w:color="auto" w:fill="auto"/>
            <w:hideMark/>
          </w:tcPr>
          <w:p w:rsidR="00D20D9B" w:rsidRPr="0043547B" w:rsidRDefault="00D20D9B" w:rsidP="00914FAA">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spécifie les principes généraux relatifs aux contrôles qui doivent être effectués par l'utilisateur et à la maintenance des extincteurs portatifs qui doit être effectuée par une personne compétente.</w:t>
            </w:r>
          </w:p>
        </w:tc>
      </w:tr>
      <w:tr w:rsidR="00D20D9B" w:rsidRPr="0043547B" w:rsidTr="00914FA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1874" w:type="dxa"/>
            <w:gridSpan w:val="2"/>
            <w:tcBorders>
              <w:top w:val="single" w:sz="18" w:space="0" w:color="auto"/>
              <w:left w:val="single" w:sz="18" w:space="0" w:color="auto"/>
              <w:bottom w:val="single" w:sz="18" w:space="0" w:color="auto"/>
              <w:right w:val="single" w:sz="8" w:space="0" w:color="auto"/>
            </w:tcBorders>
            <w:shd w:val="clear" w:color="auto" w:fill="C2D69B" w:themeFill="accent3" w:themeFillTint="99"/>
            <w:vAlign w:val="center"/>
            <w:hideMark/>
          </w:tcPr>
          <w:p w:rsidR="00D20D9B" w:rsidRPr="00D20D9B" w:rsidRDefault="00D20D9B" w:rsidP="00914FAA">
            <w:pPr>
              <w:spacing w:after="0" w:line="240" w:lineRule="auto"/>
              <w:jc w:val="center"/>
              <w:rPr>
                <w:rFonts w:eastAsia="Times New Roman" w:cstheme="minorHAnsi"/>
                <w:b/>
                <w:bCs/>
                <w:sz w:val="24"/>
                <w:szCs w:val="24"/>
                <w:lang w:eastAsia="fr-FR"/>
              </w:rPr>
            </w:pPr>
            <w:r w:rsidRPr="00D20D9B">
              <w:rPr>
                <w:rFonts w:eastAsia="Times New Roman" w:cstheme="minorHAnsi"/>
                <w:b/>
                <w:bCs/>
                <w:sz w:val="24"/>
                <w:szCs w:val="24"/>
                <w:lang w:eastAsia="fr-FR"/>
              </w:rPr>
              <w:t>Code :</w:t>
            </w:r>
          </w:p>
        </w:tc>
        <w:tc>
          <w:tcPr>
            <w:tcW w:w="7938" w:type="dxa"/>
            <w:tcBorders>
              <w:top w:val="single" w:sz="18" w:space="0" w:color="auto"/>
              <w:left w:val="single" w:sz="8" w:space="0" w:color="auto"/>
              <w:bottom w:val="single" w:sz="18" w:space="0" w:color="auto"/>
              <w:right w:val="single" w:sz="18" w:space="0" w:color="auto"/>
            </w:tcBorders>
            <w:shd w:val="clear" w:color="auto" w:fill="C2D69B" w:themeFill="accent3" w:themeFillTint="99"/>
            <w:hideMark/>
          </w:tcPr>
          <w:p w:rsidR="00D20D9B" w:rsidRPr="00D20D9B" w:rsidRDefault="00D20D9B" w:rsidP="00D20D9B">
            <w:pPr>
              <w:spacing w:after="0" w:line="240" w:lineRule="auto"/>
              <w:jc w:val="center"/>
              <w:rPr>
                <w:rFonts w:eastAsia="Times New Roman" w:cstheme="minorHAnsi"/>
                <w:b/>
                <w:bCs/>
                <w:sz w:val="24"/>
                <w:szCs w:val="24"/>
                <w:lang w:eastAsia="fr-FR"/>
              </w:rPr>
            </w:pPr>
            <w:r w:rsidRPr="00D20D9B">
              <w:rPr>
                <w:rFonts w:eastAsia="Times New Roman" w:cstheme="minorHAnsi"/>
                <w:b/>
                <w:bCs/>
                <w:sz w:val="24"/>
                <w:szCs w:val="24"/>
                <w:lang w:eastAsia="fr-FR"/>
              </w:rPr>
              <w:t>NM EN 12845</w:t>
            </w:r>
          </w:p>
        </w:tc>
      </w:tr>
      <w:tr w:rsidR="00D20D9B" w:rsidRPr="0043547B" w:rsidTr="00F226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1874" w:type="dxa"/>
            <w:gridSpan w:val="2"/>
            <w:tcBorders>
              <w:top w:val="single" w:sz="18" w:space="0" w:color="auto"/>
              <w:left w:val="single" w:sz="18" w:space="0" w:color="auto"/>
              <w:bottom w:val="single" w:sz="18" w:space="0" w:color="auto"/>
              <w:right w:val="single" w:sz="8" w:space="0" w:color="auto"/>
            </w:tcBorders>
            <w:shd w:val="clear" w:color="auto" w:fill="FDFBA9"/>
            <w:vAlign w:val="center"/>
            <w:hideMark/>
          </w:tcPr>
          <w:p w:rsidR="00D20D9B" w:rsidRPr="0043547B" w:rsidRDefault="00D20D9B" w:rsidP="00D20D9B">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Equivalence :</w:t>
            </w:r>
          </w:p>
        </w:tc>
        <w:tc>
          <w:tcPr>
            <w:tcW w:w="7938" w:type="dxa"/>
            <w:tcBorders>
              <w:top w:val="single" w:sz="18" w:space="0" w:color="auto"/>
              <w:left w:val="single" w:sz="8" w:space="0" w:color="auto"/>
              <w:bottom w:val="single" w:sz="18" w:space="0" w:color="auto"/>
              <w:right w:val="single" w:sz="18" w:space="0" w:color="auto"/>
            </w:tcBorders>
            <w:shd w:val="clear" w:color="auto" w:fill="FDFBA9"/>
            <w:vAlign w:val="center"/>
            <w:hideMark/>
          </w:tcPr>
          <w:p w:rsidR="00D20D9B" w:rsidRPr="00105D5C" w:rsidRDefault="00D20D9B" w:rsidP="00D20D9B">
            <w:pPr>
              <w:spacing w:after="0" w:line="240" w:lineRule="auto"/>
              <w:jc w:val="center"/>
              <w:rPr>
                <w:rFonts w:eastAsia="Times New Roman" w:cstheme="minorHAnsi"/>
                <w:b/>
                <w:bCs/>
                <w:sz w:val="24"/>
                <w:szCs w:val="24"/>
                <w:lang w:eastAsia="fr-FR"/>
              </w:rPr>
            </w:pPr>
            <w:r w:rsidRPr="00105D5C">
              <w:rPr>
                <w:rFonts w:eastAsia="Times New Roman" w:cstheme="minorHAnsi"/>
                <w:b/>
                <w:bCs/>
                <w:sz w:val="24"/>
                <w:szCs w:val="24"/>
                <w:lang w:eastAsia="fr-FR"/>
              </w:rPr>
              <w:t>EN 12845</w:t>
            </w:r>
          </w:p>
        </w:tc>
      </w:tr>
      <w:tr w:rsidR="00D20D9B" w:rsidRPr="0043547B" w:rsidTr="00F226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6"/>
        </w:trPr>
        <w:tc>
          <w:tcPr>
            <w:tcW w:w="1874" w:type="dxa"/>
            <w:gridSpan w:val="2"/>
            <w:tcBorders>
              <w:top w:val="single" w:sz="18" w:space="0" w:color="auto"/>
              <w:left w:val="single" w:sz="18" w:space="0" w:color="auto"/>
              <w:bottom w:val="single" w:sz="18" w:space="0" w:color="auto"/>
              <w:right w:val="single" w:sz="8" w:space="0" w:color="auto"/>
            </w:tcBorders>
            <w:shd w:val="clear" w:color="auto" w:fill="B8CCE4" w:themeFill="accent1" w:themeFillTint="66"/>
            <w:vAlign w:val="center"/>
            <w:hideMark/>
          </w:tcPr>
          <w:p w:rsidR="00D20D9B" w:rsidRPr="0043547B" w:rsidRDefault="00D20D9B" w:rsidP="00D20D9B">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Intitulé :</w:t>
            </w:r>
          </w:p>
        </w:tc>
        <w:tc>
          <w:tcPr>
            <w:tcW w:w="7938" w:type="dxa"/>
            <w:tcBorders>
              <w:top w:val="single" w:sz="18" w:space="0" w:color="auto"/>
              <w:left w:val="single" w:sz="8" w:space="0" w:color="auto"/>
              <w:bottom w:val="single" w:sz="18" w:space="0" w:color="auto"/>
              <w:right w:val="single" w:sz="18" w:space="0" w:color="auto"/>
            </w:tcBorders>
            <w:shd w:val="clear" w:color="auto" w:fill="auto"/>
            <w:hideMark/>
          </w:tcPr>
          <w:p w:rsidR="00D20D9B" w:rsidRPr="0043547B" w:rsidRDefault="00D20D9B" w:rsidP="00D20D9B">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Installations fixes de lutte contre l’incendie - Systèmes d’extinction automatique du type sprinkleur - Conception, installation et maintenance  </w:t>
            </w:r>
          </w:p>
        </w:tc>
      </w:tr>
      <w:tr w:rsidR="00D20D9B" w:rsidRPr="0043547B" w:rsidTr="00F226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
        </w:trPr>
        <w:tc>
          <w:tcPr>
            <w:tcW w:w="1874" w:type="dxa"/>
            <w:gridSpan w:val="2"/>
            <w:tcBorders>
              <w:top w:val="single" w:sz="18" w:space="0" w:color="auto"/>
              <w:left w:val="single" w:sz="18" w:space="0" w:color="auto"/>
              <w:bottom w:val="single" w:sz="18" w:space="0" w:color="auto"/>
              <w:right w:val="single" w:sz="8" w:space="0" w:color="auto"/>
            </w:tcBorders>
            <w:shd w:val="clear" w:color="auto" w:fill="D9D9D9" w:themeFill="background1" w:themeFillShade="D9"/>
            <w:vAlign w:val="center"/>
            <w:hideMark/>
          </w:tcPr>
          <w:p w:rsidR="00D20D9B" w:rsidRPr="0043547B" w:rsidRDefault="00D20D9B" w:rsidP="00D20D9B">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Domaine d’application :</w:t>
            </w:r>
          </w:p>
        </w:tc>
        <w:tc>
          <w:tcPr>
            <w:tcW w:w="7938" w:type="dxa"/>
            <w:tcBorders>
              <w:top w:val="single" w:sz="18" w:space="0" w:color="auto"/>
              <w:left w:val="single" w:sz="8" w:space="0" w:color="auto"/>
              <w:bottom w:val="single" w:sz="18" w:space="0" w:color="auto"/>
              <w:right w:val="single" w:sz="18" w:space="0" w:color="auto"/>
            </w:tcBorders>
            <w:shd w:val="clear" w:color="auto" w:fill="auto"/>
            <w:hideMark/>
          </w:tcPr>
          <w:p w:rsidR="00914FAA" w:rsidRDefault="00D20D9B" w:rsidP="00914FAA">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européenne spécifie des exigences et fournit des recommandations pour la conception, l'installation et la maintenance d'installations fixes de lutte contre l'incendie de type sprinkleur dans des</w:t>
            </w:r>
            <w:r w:rsidRPr="0043547B">
              <w:rPr>
                <w:rFonts w:eastAsia="Times New Roman" w:cstheme="minorHAnsi"/>
                <w:sz w:val="24"/>
                <w:szCs w:val="24"/>
                <w:lang w:eastAsia="fr-FR"/>
              </w:rPr>
              <w:br/>
              <w:t xml:space="preserve">bâtiments et des installations industrielles et spécifie des exigences particulières </w:t>
            </w:r>
            <w:r w:rsidRPr="0043547B">
              <w:rPr>
                <w:rFonts w:eastAsia="Times New Roman" w:cstheme="minorHAnsi"/>
                <w:sz w:val="24"/>
                <w:szCs w:val="24"/>
                <w:lang w:eastAsia="fr-FR"/>
              </w:rPr>
              <w:lastRenderedPageBreak/>
              <w:t>pour les systèmes d'extinction de type sprinkleur faisant partie intégrante de mesures de protection des personnes.</w:t>
            </w:r>
          </w:p>
          <w:p w:rsidR="00914FAA" w:rsidRDefault="00D20D9B" w:rsidP="00914FAA">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européenne ne concerne que les types de sprinkleur spécifiés dans l’EN 12259-1 (voir Annexe L).</w:t>
            </w:r>
          </w:p>
          <w:p w:rsidR="00914FAA" w:rsidRDefault="00D20D9B" w:rsidP="00914FAA">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exigences et recommandations de la présente Norme européenne sont également applicables à tout ajout, extension ou autre modification apportée à un système d'extinction de type sprinkleur. Elles ne sont pas applicables aux installations à pulvérisation d’eau ou de type déluge.</w:t>
            </w:r>
          </w:p>
          <w:p w:rsidR="00914FAA" w:rsidRDefault="00D20D9B" w:rsidP="00914FAA">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couvre la classification des risques, l'installation de sources d'eau, les éléments à utiliser, l'installation et les essais du système, la maintenance et l'extension de systèmes existants, et elle identifie les</w:t>
            </w:r>
            <w:r w:rsidRPr="0043547B">
              <w:rPr>
                <w:rFonts w:eastAsia="Times New Roman" w:cstheme="minorHAnsi"/>
                <w:sz w:val="24"/>
                <w:szCs w:val="24"/>
                <w:lang w:eastAsia="fr-FR"/>
              </w:rPr>
              <w:br/>
              <w:t>détails de construction des bâtiments qui sont nécessaires au fonctionnement satisfaisant des systèmes d'extinction de type sprinkleur conformes à la présente Norme européenne.</w:t>
            </w:r>
          </w:p>
          <w:p w:rsidR="00914FAA" w:rsidRDefault="00D20D9B" w:rsidP="00914FAA">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européenne ne couvre pas les sources d’eau alimentant des systèmes autres que les systèmes de type sprinkleur. Ses exigences peuvent être utilisées comme guide pour les autres installations fixes de lutte contre l'incendie, sous réserve que les exigences spécifiques à ces autres systèmes de lutte</w:t>
            </w:r>
            <w:r w:rsidR="00105D5C">
              <w:rPr>
                <w:rFonts w:eastAsia="Times New Roman" w:cstheme="minorHAnsi"/>
                <w:sz w:val="24"/>
                <w:szCs w:val="24"/>
                <w:lang w:eastAsia="fr-FR"/>
              </w:rPr>
              <w:t xml:space="preserve"> </w:t>
            </w:r>
            <w:r w:rsidRPr="0043547B">
              <w:rPr>
                <w:rFonts w:eastAsia="Times New Roman" w:cstheme="minorHAnsi"/>
                <w:sz w:val="24"/>
                <w:szCs w:val="24"/>
                <w:lang w:eastAsia="fr-FR"/>
              </w:rPr>
              <w:t>contre l’incendie soient prises en compte.</w:t>
            </w:r>
          </w:p>
          <w:p w:rsidR="00914FAA" w:rsidRDefault="00D20D9B" w:rsidP="00914FAA">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européenne est destinée aux personnes chargées de l'achat, de la conception, de l'installation, des essais, des inspections, de l'approbation, de l'utilisation et de la maintenance des systèmes d’extinction automatique de type sprinkleur. Elle les aidera à obtenir de ces équipements un fonctionnement</w:t>
            </w:r>
            <w:r w:rsidR="00105D5C">
              <w:rPr>
                <w:rFonts w:eastAsia="Times New Roman" w:cstheme="minorHAnsi"/>
                <w:sz w:val="24"/>
                <w:szCs w:val="24"/>
                <w:lang w:eastAsia="fr-FR"/>
              </w:rPr>
              <w:t xml:space="preserve"> </w:t>
            </w:r>
            <w:r w:rsidRPr="0043547B">
              <w:rPr>
                <w:rFonts w:eastAsia="Times New Roman" w:cstheme="minorHAnsi"/>
                <w:sz w:val="24"/>
                <w:szCs w:val="24"/>
                <w:lang w:eastAsia="fr-FR"/>
              </w:rPr>
              <w:t>nominal pendant toute leur durée de vie.</w:t>
            </w:r>
          </w:p>
          <w:p w:rsidR="00914FAA" w:rsidRDefault="00D20D9B" w:rsidP="00914FAA">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européenne ne concerne que les installations fixes de lutte contre l'incendie de type sprinkleur, installées dans des bâtiments et autres locaux sur la terre ferme. Bien que les principes généraux puissent s'appliquer à d'autres usages (par exemple l'usage maritime), il convient de tenir compte d'autres considérations pour ces autres usages.</w:t>
            </w:r>
          </w:p>
          <w:p w:rsidR="00914FAA" w:rsidRDefault="00D20D9B" w:rsidP="00914FAA">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exigences ne sont pas valables pour les systèmes d'extinction automatique de type sprinkleur installés sur des bateaux, dans des aéronefs, sur des véhicules et des engins mobiles d'incendie, ni pour les systèmes d'extinction souterrains dans l'industrie minière.</w:t>
            </w:r>
          </w:p>
          <w:p w:rsidR="00D20D9B" w:rsidRPr="0043547B" w:rsidRDefault="00D20D9B" w:rsidP="00914FAA">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Des écarts dans la conception des systèmes de sprinkleurs peuvent être autorisés lorsqu’il a été démontré que ces écarts assurent un niveau de protection au moins équivalent à la présente Norme européenne, par exemple par les essais au feu en vraie grandeur suivant le cas et lorsque les critères de calcul ont été documentés dans leur ensemble.</w:t>
            </w:r>
          </w:p>
        </w:tc>
      </w:tr>
      <w:tr w:rsidR="00D20D9B" w:rsidRPr="0043547B" w:rsidTr="00914FA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1874" w:type="dxa"/>
            <w:gridSpan w:val="2"/>
            <w:tcBorders>
              <w:top w:val="single" w:sz="18" w:space="0" w:color="auto"/>
              <w:left w:val="single" w:sz="18" w:space="0" w:color="auto"/>
              <w:bottom w:val="single" w:sz="18" w:space="0" w:color="auto"/>
              <w:right w:val="single" w:sz="8" w:space="0" w:color="auto"/>
            </w:tcBorders>
            <w:shd w:val="clear" w:color="auto" w:fill="C2D69B" w:themeFill="accent3" w:themeFillTint="99"/>
            <w:vAlign w:val="center"/>
            <w:hideMark/>
          </w:tcPr>
          <w:p w:rsidR="00D20D9B" w:rsidRPr="0043547B" w:rsidRDefault="00D20D9B" w:rsidP="00914FAA">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lastRenderedPageBreak/>
              <w:t>Code :</w:t>
            </w:r>
          </w:p>
        </w:tc>
        <w:tc>
          <w:tcPr>
            <w:tcW w:w="7938" w:type="dxa"/>
            <w:tcBorders>
              <w:top w:val="single" w:sz="18" w:space="0" w:color="auto"/>
              <w:left w:val="single" w:sz="8" w:space="0" w:color="auto"/>
              <w:bottom w:val="single" w:sz="18" w:space="0" w:color="auto"/>
              <w:right w:val="single" w:sz="18" w:space="0" w:color="auto"/>
            </w:tcBorders>
            <w:shd w:val="clear" w:color="auto" w:fill="C2D69B" w:themeFill="accent3" w:themeFillTint="99"/>
            <w:hideMark/>
          </w:tcPr>
          <w:p w:rsidR="00D20D9B" w:rsidRPr="00D20D9B" w:rsidRDefault="00D20D9B" w:rsidP="00D20D9B">
            <w:pPr>
              <w:spacing w:after="0" w:line="240" w:lineRule="auto"/>
              <w:jc w:val="center"/>
              <w:rPr>
                <w:rFonts w:eastAsia="Times New Roman" w:cstheme="minorHAnsi"/>
                <w:b/>
                <w:bCs/>
                <w:sz w:val="24"/>
                <w:szCs w:val="24"/>
                <w:lang w:eastAsia="fr-FR"/>
              </w:rPr>
            </w:pPr>
            <w:r w:rsidRPr="00D20D9B">
              <w:rPr>
                <w:rFonts w:eastAsia="Times New Roman" w:cstheme="minorHAnsi"/>
                <w:b/>
                <w:bCs/>
                <w:sz w:val="24"/>
                <w:szCs w:val="24"/>
                <w:lang w:eastAsia="fr-FR"/>
              </w:rPr>
              <w:t>NM EN 14339</w:t>
            </w:r>
          </w:p>
        </w:tc>
      </w:tr>
      <w:tr w:rsidR="00D20D9B" w:rsidRPr="0043547B" w:rsidTr="00914FA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1874" w:type="dxa"/>
            <w:gridSpan w:val="2"/>
            <w:tcBorders>
              <w:top w:val="single" w:sz="18" w:space="0" w:color="auto"/>
              <w:left w:val="single" w:sz="18" w:space="0" w:color="auto"/>
              <w:bottom w:val="single" w:sz="4" w:space="0" w:color="auto"/>
              <w:right w:val="single" w:sz="8" w:space="0" w:color="auto"/>
            </w:tcBorders>
            <w:shd w:val="clear" w:color="auto" w:fill="FDFBA9"/>
            <w:vAlign w:val="center"/>
            <w:hideMark/>
          </w:tcPr>
          <w:p w:rsidR="00D20D9B" w:rsidRPr="0043547B" w:rsidRDefault="00D20D9B" w:rsidP="00D20D9B">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Equivalence :</w:t>
            </w:r>
          </w:p>
        </w:tc>
        <w:tc>
          <w:tcPr>
            <w:tcW w:w="7938" w:type="dxa"/>
            <w:tcBorders>
              <w:top w:val="single" w:sz="18" w:space="0" w:color="auto"/>
              <w:left w:val="single" w:sz="8" w:space="0" w:color="auto"/>
              <w:bottom w:val="single" w:sz="4" w:space="0" w:color="auto"/>
              <w:right w:val="single" w:sz="18" w:space="0" w:color="auto"/>
            </w:tcBorders>
            <w:shd w:val="clear" w:color="auto" w:fill="FDFBA9"/>
            <w:vAlign w:val="center"/>
            <w:hideMark/>
          </w:tcPr>
          <w:p w:rsidR="00D20D9B" w:rsidRPr="00105D5C" w:rsidRDefault="00D20D9B" w:rsidP="00D20D9B">
            <w:pPr>
              <w:spacing w:after="0" w:line="240" w:lineRule="auto"/>
              <w:jc w:val="center"/>
              <w:rPr>
                <w:rFonts w:eastAsia="Times New Roman" w:cstheme="minorHAnsi"/>
                <w:b/>
                <w:bCs/>
                <w:sz w:val="24"/>
                <w:szCs w:val="24"/>
                <w:lang w:eastAsia="fr-FR"/>
              </w:rPr>
            </w:pPr>
            <w:r w:rsidRPr="00105D5C">
              <w:rPr>
                <w:rFonts w:eastAsia="Times New Roman" w:cstheme="minorHAnsi"/>
                <w:b/>
                <w:bCs/>
                <w:sz w:val="24"/>
                <w:szCs w:val="24"/>
                <w:lang w:eastAsia="fr-FR"/>
              </w:rPr>
              <w:t>EN 14339</w:t>
            </w:r>
          </w:p>
        </w:tc>
      </w:tr>
      <w:tr w:rsidR="00D20D9B" w:rsidRPr="0043547B" w:rsidTr="00914FA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1874" w:type="dxa"/>
            <w:gridSpan w:val="2"/>
            <w:tcBorders>
              <w:top w:val="single" w:sz="4" w:space="0" w:color="auto"/>
              <w:left w:val="single" w:sz="18" w:space="0" w:color="auto"/>
              <w:bottom w:val="single" w:sz="4" w:space="0" w:color="auto"/>
              <w:right w:val="single" w:sz="8" w:space="0" w:color="auto"/>
            </w:tcBorders>
            <w:shd w:val="clear" w:color="auto" w:fill="B8CCE4" w:themeFill="accent1" w:themeFillTint="66"/>
            <w:vAlign w:val="center"/>
            <w:hideMark/>
          </w:tcPr>
          <w:p w:rsidR="00D20D9B" w:rsidRPr="0043547B" w:rsidRDefault="00D20D9B" w:rsidP="00D20D9B">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Intitulé :</w:t>
            </w:r>
          </w:p>
        </w:tc>
        <w:tc>
          <w:tcPr>
            <w:tcW w:w="7938" w:type="dxa"/>
            <w:tcBorders>
              <w:top w:val="single" w:sz="4" w:space="0" w:color="auto"/>
              <w:left w:val="single" w:sz="8" w:space="0" w:color="auto"/>
              <w:bottom w:val="single" w:sz="4" w:space="0" w:color="auto"/>
              <w:right w:val="single" w:sz="18" w:space="0" w:color="auto"/>
            </w:tcBorders>
            <w:shd w:val="clear" w:color="auto" w:fill="auto"/>
            <w:hideMark/>
          </w:tcPr>
          <w:p w:rsidR="00D20D9B" w:rsidRPr="0043547B" w:rsidRDefault="00D20D9B" w:rsidP="00D20D9B">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Bouches d'incendie enterrées  </w:t>
            </w:r>
          </w:p>
        </w:tc>
      </w:tr>
      <w:tr w:rsidR="00D20D9B" w:rsidRPr="0043547B" w:rsidTr="00914FA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1"/>
        </w:trPr>
        <w:tc>
          <w:tcPr>
            <w:tcW w:w="1874" w:type="dxa"/>
            <w:gridSpan w:val="2"/>
            <w:tcBorders>
              <w:top w:val="single" w:sz="4" w:space="0" w:color="auto"/>
              <w:left w:val="single" w:sz="18" w:space="0" w:color="auto"/>
              <w:bottom w:val="single" w:sz="18" w:space="0" w:color="auto"/>
              <w:right w:val="single" w:sz="8" w:space="0" w:color="auto"/>
            </w:tcBorders>
            <w:shd w:val="clear" w:color="auto" w:fill="D9D9D9" w:themeFill="background1" w:themeFillShade="D9"/>
            <w:vAlign w:val="center"/>
            <w:hideMark/>
          </w:tcPr>
          <w:p w:rsidR="00D20D9B" w:rsidRPr="0043547B" w:rsidRDefault="00D20D9B" w:rsidP="00D20D9B">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Domaine d’application :</w:t>
            </w:r>
          </w:p>
        </w:tc>
        <w:tc>
          <w:tcPr>
            <w:tcW w:w="7938" w:type="dxa"/>
            <w:tcBorders>
              <w:top w:val="single" w:sz="4" w:space="0" w:color="auto"/>
              <w:left w:val="single" w:sz="8" w:space="0" w:color="auto"/>
              <w:bottom w:val="single" w:sz="18" w:space="0" w:color="auto"/>
              <w:right w:val="single" w:sz="18" w:space="0" w:color="auto"/>
            </w:tcBorders>
            <w:shd w:val="clear" w:color="auto" w:fill="auto"/>
            <w:hideMark/>
          </w:tcPr>
          <w:p w:rsidR="00914FAA" w:rsidRDefault="00D20D9B" w:rsidP="00914FAA">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européenne donne les prescriptions, méthodes d'essai et marquages applicables aux bouches d'incendie enterrées suivantes destinées à la lutte contre l'incendie :</w:t>
            </w:r>
          </w:p>
          <w:p w:rsidR="00914FAA" w:rsidRPr="00914FAA" w:rsidRDefault="00D20D9B" w:rsidP="00D20D9B">
            <w:pPr>
              <w:spacing w:after="0" w:line="240" w:lineRule="auto"/>
              <w:rPr>
                <w:rFonts w:eastAsia="Times New Roman" w:cstheme="minorHAnsi"/>
                <w:sz w:val="4"/>
                <w:szCs w:val="4"/>
                <w:lang w:eastAsia="fr-FR"/>
              </w:rPr>
            </w:pPr>
            <w:r w:rsidRPr="0043547B">
              <w:rPr>
                <w:rFonts w:eastAsia="Times New Roman" w:cstheme="minorHAnsi"/>
                <w:sz w:val="24"/>
                <w:szCs w:val="24"/>
                <w:lang w:eastAsia="fr-FR"/>
              </w:rPr>
              <w:t>— devant être installées sur un réseau de distribution d'eau ;</w:t>
            </w:r>
            <w:r w:rsidRPr="0043547B">
              <w:rPr>
                <w:rFonts w:eastAsia="Times New Roman" w:cstheme="minorHAnsi"/>
                <w:sz w:val="24"/>
                <w:szCs w:val="24"/>
                <w:lang w:eastAsia="fr-FR"/>
              </w:rPr>
              <w:br/>
              <w:t>— de dimensions DN 80 et DN 100 ;</w:t>
            </w:r>
            <w:r w:rsidRPr="0043547B">
              <w:rPr>
                <w:rFonts w:eastAsia="Times New Roman" w:cstheme="minorHAnsi"/>
                <w:sz w:val="24"/>
                <w:szCs w:val="24"/>
                <w:lang w:eastAsia="fr-FR"/>
              </w:rPr>
              <w:br/>
              <w:t>— appropriées à une pression de fonctionnement admissible, PFA, de 10 bar ou 16 bar ou 25 bar avec ou sans dispositif de vidange ;</w:t>
            </w:r>
            <w:r w:rsidRPr="0043547B">
              <w:rPr>
                <w:rFonts w:eastAsia="Times New Roman" w:cstheme="minorHAnsi"/>
                <w:sz w:val="24"/>
                <w:szCs w:val="24"/>
                <w:lang w:eastAsia="fr-FR"/>
              </w:rPr>
              <w:br/>
              <w:t xml:space="preserve">— munies de raccordements d'entrée verticaux ou horizontaux à bride, à </w:t>
            </w:r>
            <w:r w:rsidRPr="0043547B">
              <w:rPr>
                <w:rFonts w:eastAsia="Times New Roman" w:cstheme="minorHAnsi"/>
                <w:sz w:val="24"/>
                <w:szCs w:val="24"/>
                <w:lang w:eastAsia="fr-FR"/>
              </w:rPr>
              <w:lastRenderedPageBreak/>
              <w:t>extrémité à emboîter mâle ou femelle ;</w:t>
            </w:r>
            <w:r w:rsidRPr="0043547B">
              <w:rPr>
                <w:rFonts w:eastAsia="Times New Roman" w:cstheme="minorHAnsi"/>
                <w:sz w:val="24"/>
                <w:szCs w:val="24"/>
                <w:lang w:eastAsia="fr-FR"/>
              </w:rPr>
              <w:br/>
              <w:t>— comportant un ou plusieurs orifices de sortie, et munies de raccordements de sortie conformes aux prescriptions nationales ;</w:t>
            </w:r>
            <w:r w:rsidRPr="0043547B">
              <w:rPr>
                <w:rFonts w:eastAsia="Times New Roman" w:cstheme="minorHAnsi"/>
                <w:sz w:val="24"/>
                <w:szCs w:val="24"/>
                <w:lang w:eastAsia="fr-FR"/>
              </w:rPr>
              <w:br/>
              <w:t>— munies d’appareils de robinetterie de type robinet à soupape (à tige non montante) ou robinet-vanne.</w:t>
            </w:r>
            <w:r w:rsidRPr="0043547B">
              <w:rPr>
                <w:rFonts w:eastAsia="Times New Roman" w:cstheme="minorHAnsi"/>
                <w:sz w:val="24"/>
                <w:szCs w:val="24"/>
                <w:lang w:eastAsia="fr-FR"/>
              </w:rPr>
              <w:br/>
            </w:r>
          </w:p>
          <w:p w:rsidR="00914FAA" w:rsidRDefault="00D20D9B" w:rsidP="00914FAA">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peut également être utilisée pour l’évaluation de la conformité des bouches d’incendie enterrées conformes aux prescriptions contenues dans la présente norme.</w:t>
            </w:r>
          </w:p>
          <w:p w:rsidR="00914FAA" w:rsidRDefault="00D20D9B" w:rsidP="00914FAA">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s’applique aux bouches d’incendie enterrées alimentées en eau potable et non potable et en eau filtrée. Des prescriptions complémentaires peuvent s’appliquer dans le cas d’autres liquides.</w:t>
            </w:r>
          </w:p>
          <w:p w:rsidR="00D20D9B" w:rsidRPr="0043547B" w:rsidRDefault="00D20D9B" w:rsidP="00914FAA">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Les manchons d’assemblage raccordés aux orifices de sortie ne sont pas du domaine d’application de la présente norme et il convient qu’ils soient conformes aux réglementations nationales.</w:t>
            </w:r>
          </w:p>
        </w:tc>
      </w:tr>
      <w:tr w:rsidR="00D20D9B" w:rsidRPr="0043547B" w:rsidTr="00914FA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1874" w:type="dxa"/>
            <w:gridSpan w:val="2"/>
            <w:tcBorders>
              <w:top w:val="single" w:sz="18" w:space="0" w:color="auto"/>
              <w:left w:val="single" w:sz="18" w:space="0" w:color="auto"/>
              <w:bottom w:val="single" w:sz="18" w:space="0" w:color="auto"/>
              <w:right w:val="single" w:sz="8" w:space="0" w:color="auto"/>
            </w:tcBorders>
            <w:shd w:val="clear" w:color="auto" w:fill="C2D69B" w:themeFill="accent3" w:themeFillTint="99"/>
            <w:vAlign w:val="center"/>
            <w:hideMark/>
          </w:tcPr>
          <w:p w:rsidR="00D20D9B" w:rsidRPr="00D20D9B" w:rsidRDefault="00D20D9B" w:rsidP="00914FAA">
            <w:pPr>
              <w:spacing w:after="0" w:line="240" w:lineRule="auto"/>
              <w:jc w:val="center"/>
              <w:rPr>
                <w:rFonts w:eastAsia="Times New Roman" w:cstheme="minorHAnsi"/>
                <w:b/>
                <w:bCs/>
                <w:sz w:val="24"/>
                <w:szCs w:val="24"/>
                <w:lang w:eastAsia="fr-FR"/>
              </w:rPr>
            </w:pPr>
            <w:r w:rsidRPr="00D20D9B">
              <w:rPr>
                <w:rFonts w:eastAsia="Times New Roman" w:cstheme="minorHAnsi"/>
                <w:b/>
                <w:bCs/>
                <w:sz w:val="24"/>
                <w:szCs w:val="24"/>
                <w:lang w:eastAsia="fr-FR"/>
              </w:rPr>
              <w:lastRenderedPageBreak/>
              <w:t>Code :</w:t>
            </w:r>
          </w:p>
        </w:tc>
        <w:tc>
          <w:tcPr>
            <w:tcW w:w="7938" w:type="dxa"/>
            <w:tcBorders>
              <w:top w:val="single" w:sz="18" w:space="0" w:color="auto"/>
              <w:left w:val="single" w:sz="8" w:space="0" w:color="auto"/>
              <w:bottom w:val="single" w:sz="18" w:space="0" w:color="auto"/>
              <w:right w:val="single" w:sz="18" w:space="0" w:color="auto"/>
            </w:tcBorders>
            <w:shd w:val="clear" w:color="auto" w:fill="C2D69B" w:themeFill="accent3" w:themeFillTint="99"/>
            <w:hideMark/>
          </w:tcPr>
          <w:p w:rsidR="00D20D9B" w:rsidRPr="00D20D9B" w:rsidRDefault="00D20D9B" w:rsidP="00D20D9B">
            <w:pPr>
              <w:spacing w:after="0" w:line="240" w:lineRule="auto"/>
              <w:jc w:val="center"/>
              <w:rPr>
                <w:rFonts w:eastAsia="Times New Roman" w:cstheme="minorHAnsi"/>
                <w:b/>
                <w:bCs/>
                <w:sz w:val="24"/>
                <w:szCs w:val="24"/>
                <w:lang w:eastAsia="fr-FR"/>
              </w:rPr>
            </w:pPr>
            <w:r w:rsidRPr="00D20D9B">
              <w:rPr>
                <w:rFonts w:eastAsia="Times New Roman" w:cstheme="minorHAnsi"/>
                <w:b/>
                <w:bCs/>
                <w:sz w:val="24"/>
                <w:szCs w:val="24"/>
                <w:lang w:eastAsia="fr-FR"/>
              </w:rPr>
              <w:t>NM ISO/TS 24679</w:t>
            </w:r>
          </w:p>
        </w:tc>
      </w:tr>
      <w:tr w:rsidR="00D20D9B" w:rsidRPr="0043547B" w:rsidTr="00914FA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1874" w:type="dxa"/>
            <w:gridSpan w:val="2"/>
            <w:tcBorders>
              <w:top w:val="single" w:sz="18" w:space="0" w:color="auto"/>
              <w:left w:val="single" w:sz="18" w:space="0" w:color="auto"/>
              <w:bottom w:val="single" w:sz="4" w:space="0" w:color="auto"/>
              <w:right w:val="single" w:sz="4" w:space="0" w:color="auto"/>
            </w:tcBorders>
            <w:shd w:val="clear" w:color="auto" w:fill="FDFBA9"/>
            <w:vAlign w:val="center"/>
            <w:hideMark/>
          </w:tcPr>
          <w:p w:rsidR="00D20D9B" w:rsidRPr="0043547B" w:rsidRDefault="00D20D9B" w:rsidP="00D20D9B">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DFBA9"/>
            <w:vAlign w:val="center"/>
            <w:hideMark/>
          </w:tcPr>
          <w:p w:rsidR="00D20D9B" w:rsidRPr="00105D5C" w:rsidRDefault="00D20D9B" w:rsidP="00D20D9B">
            <w:pPr>
              <w:spacing w:after="0" w:line="240" w:lineRule="auto"/>
              <w:jc w:val="center"/>
              <w:rPr>
                <w:rFonts w:eastAsia="Times New Roman" w:cstheme="minorHAnsi"/>
                <w:b/>
                <w:bCs/>
                <w:sz w:val="24"/>
                <w:szCs w:val="24"/>
                <w:lang w:eastAsia="fr-FR"/>
              </w:rPr>
            </w:pPr>
            <w:r w:rsidRPr="00105D5C">
              <w:rPr>
                <w:rFonts w:eastAsia="Times New Roman" w:cstheme="minorHAnsi"/>
                <w:b/>
                <w:bCs/>
                <w:sz w:val="24"/>
                <w:szCs w:val="24"/>
                <w:lang w:eastAsia="fr-FR"/>
              </w:rPr>
              <w:t>ISO/TS 24679</w:t>
            </w:r>
          </w:p>
        </w:tc>
      </w:tr>
      <w:tr w:rsidR="00D20D9B" w:rsidRPr="0043547B" w:rsidTr="00914FA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1874" w:type="dxa"/>
            <w:gridSpan w:val="2"/>
            <w:tcBorders>
              <w:top w:val="single" w:sz="4" w:space="0" w:color="auto"/>
              <w:left w:val="single" w:sz="18" w:space="0" w:color="auto"/>
              <w:bottom w:val="single" w:sz="4" w:space="0" w:color="auto"/>
              <w:right w:val="single" w:sz="4" w:space="0" w:color="auto"/>
            </w:tcBorders>
            <w:shd w:val="clear" w:color="auto" w:fill="B8CCE4" w:themeFill="accent1" w:themeFillTint="66"/>
            <w:vAlign w:val="center"/>
            <w:hideMark/>
          </w:tcPr>
          <w:p w:rsidR="00D20D9B" w:rsidRPr="0043547B" w:rsidRDefault="00D20D9B" w:rsidP="00D20D9B">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auto"/>
            <w:hideMark/>
          </w:tcPr>
          <w:p w:rsidR="00D20D9B" w:rsidRPr="0043547B" w:rsidRDefault="00D20D9B" w:rsidP="00D20D9B">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Ingénierie de la sécurité incendie - Performance des structures en situation d'incendie  </w:t>
            </w:r>
          </w:p>
        </w:tc>
      </w:tr>
      <w:tr w:rsidR="00D20D9B" w:rsidRPr="0043547B" w:rsidTr="00914FA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20"/>
        </w:trPr>
        <w:tc>
          <w:tcPr>
            <w:tcW w:w="1874" w:type="dxa"/>
            <w:gridSpan w:val="2"/>
            <w:tcBorders>
              <w:top w:val="single" w:sz="4" w:space="0" w:color="auto"/>
              <w:left w:val="single" w:sz="18" w:space="0" w:color="auto"/>
              <w:bottom w:val="single" w:sz="18" w:space="0" w:color="auto"/>
              <w:right w:val="single" w:sz="8" w:space="0" w:color="auto"/>
            </w:tcBorders>
            <w:shd w:val="clear" w:color="auto" w:fill="D9D9D9" w:themeFill="background1" w:themeFillShade="D9"/>
            <w:vAlign w:val="center"/>
            <w:hideMark/>
          </w:tcPr>
          <w:p w:rsidR="00D20D9B" w:rsidRPr="0043547B" w:rsidRDefault="00D20D9B" w:rsidP="00D20D9B">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Domaine d’application :</w:t>
            </w:r>
          </w:p>
        </w:tc>
        <w:tc>
          <w:tcPr>
            <w:tcW w:w="7938" w:type="dxa"/>
            <w:tcBorders>
              <w:top w:val="single" w:sz="4" w:space="0" w:color="auto"/>
              <w:left w:val="single" w:sz="8" w:space="0" w:color="auto"/>
              <w:bottom w:val="single" w:sz="18" w:space="0" w:color="auto"/>
              <w:right w:val="single" w:sz="18" w:space="0" w:color="auto"/>
            </w:tcBorders>
            <w:shd w:val="clear" w:color="auto" w:fill="auto"/>
            <w:hideMark/>
          </w:tcPr>
          <w:p w:rsidR="00914FAA" w:rsidRDefault="00D20D9B" w:rsidP="00914FAA">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Spécification technique fournit une méthodologie pour l'évaluation de la performance des structures dans un ouvrage exposé à un incendie réel.</w:t>
            </w:r>
            <w:r w:rsidRPr="0043547B">
              <w:rPr>
                <w:rFonts w:eastAsia="Times New Roman" w:cstheme="minorHAnsi"/>
                <w:sz w:val="24"/>
                <w:szCs w:val="24"/>
                <w:lang w:eastAsia="fr-FR"/>
              </w:rPr>
              <w:br/>
              <w:t>La présente Spécification technique, qui suit les principes définis dans l'ISO 23932, fournit une méthodologie fondée sur les performances utile aux ingénieurs pour l'évaluation du niveau de sécurité incendie des structures, neuves ou existantes.</w:t>
            </w:r>
          </w:p>
          <w:p w:rsidR="00D20D9B" w:rsidRPr="00914FAA" w:rsidRDefault="00D20D9B" w:rsidP="00914FAA">
            <w:pPr>
              <w:spacing w:after="0" w:line="240" w:lineRule="auto"/>
              <w:jc w:val="both"/>
              <w:rPr>
                <w:rFonts w:eastAsia="Times New Roman" w:cstheme="minorHAnsi"/>
                <w:i/>
                <w:iCs/>
                <w:sz w:val="24"/>
                <w:szCs w:val="24"/>
                <w:lang w:eastAsia="fr-FR"/>
              </w:rPr>
            </w:pPr>
            <w:r w:rsidRPr="00914FAA">
              <w:rPr>
                <w:rFonts w:eastAsia="Times New Roman" w:cstheme="minorHAnsi"/>
                <w:b/>
                <w:bCs/>
                <w:i/>
                <w:iCs/>
                <w:lang w:eastAsia="fr-FR"/>
              </w:rPr>
              <w:t>NOTE</w:t>
            </w:r>
            <w:r w:rsidRPr="00914FAA">
              <w:rPr>
                <w:rFonts w:eastAsia="Times New Roman" w:cstheme="minorHAnsi"/>
                <w:i/>
                <w:iCs/>
                <w:lang w:eastAsia="fr-FR"/>
              </w:rPr>
              <w:t xml:space="preserve"> : La sécurité incendie des structures est évaluée selon une approche d'ingénierie reposant sur la quantification du comportement d'une structure dans le but d'atteindre les objectifs de sécurité incendie et peut couvrir le déroulement complet d'un incendie réel (y compris la phase de refroidissement) et ses conséquences liées aux objectifs de sécurité incendie tels que la sécurité des personnes, la sauvegarde des biens ou la préservation de l'environnement.</w:t>
            </w:r>
          </w:p>
        </w:tc>
      </w:tr>
      <w:tr w:rsidR="00D20D9B" w:rsidRPr="0043547B" w:rsidTr="00914FA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1874" w:type="dxa"/>
            <w:gridSpan w:val="2"/>
            <w:tcBorders>
              <w:top w:val="single" w:sz="18" w:space="0" w:color="auto"/>
              <w:left w:val="single" w:sz="18" w:space="0" w:color="auto"/>
              <w:bottom w:val="single" w:sz="18" w:space="0" w:color="auto"/>
              <w:right w:val="single" w:sz="8" w:space="0" w:color="auto"/>
            </w:tcBorders>
            <w:shd w:val="clear" w:color="auto" w:fill="C2D69B" w:themeFill="accent3" w:themeFillTint="99"/>
            <w:vAlign w:val="center"/>
            <w:hideMark/>
          </w:tcPr>
          <w:p w:rsidR="00D20D9B" w:rsidRPr="0043547B" w:rsidRDefault="00D20D9B" w:rsidP="00914FAA">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Code :</w:t>
            </w:r>
          </w:p>
        </w:tc>
        <w:tc>
          <w:tcPr>
            <w:tcW w:w="7938" w:type="dxa"/>
            <w:tcBorders>
              <w:top w:val="single" w:sz="18" w:space="0" w:color="auto"/>
              <w:left w:val="single" w:sz="8" w:space="0" w:color="auto"/>
              <w:bottom w:val="single" w:sz="18" w:space="0" w:color="auto"/>
              <w:right w:val="single" w:sz="18" w:space="0" w:color="auto"/>
            </w:tcBorders>
            <w:shd w:val="clear" w:color="auto" w:fill="C2D69B" w:themeFill="accent3" w:themeFillTint="99"/>
            <w:hideMark/>
          </w:tcPr>
          <w:p w:rsidR="00D20D9B" w:rsidRPr="00D20D9B" w:rsidRDefault="00D20D9B" w:rsidP="00D20D9B">
            <w:pPr>
              <w:spacing w:after="0" w:line="240" w:lineRule="auto"/>
              <w:jc w:val="center"/>
              <w:rPr>
                <w:rFonts w:eastAsia="Times New Roman" w:cstheme="minorHAnsi"/>
                <w:b/>
                <w:bCs/>
                <w:sz w:val="24"/>
                <w:szCs w:val="24"/>
                <w:lang w:eastAsia="fr-FR"/>
              </w:rPr>
            </w:pPr>
            <w:r w:rsidRPr="00D20D9B">
              <w:rPr>
                <w:rFonts w:eastAsia="Times New Roman" w:cstheme="minorHAnsi"/>
                <w:b/>
                <w:bCs/>
                <w:sz w:val="24"/>
                <w:szCs w:val="24"/>
                <w:lang w:eastAsia="fr-FR"/>
              </w:rPr>
              <w:t>NM EN 671-3</w:t>
            </w:r>
          </w:p>
        </w:tc>
      </w:tr>
      <w:tr w:rsidR="00D20D9B" w:rsidRPr="0043547B" w:rsidTr="00914FA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1874" w:type="dxa"/>
            <w:gridSpan w:val="2"/>
            <w:tcBorders>
              <w:top w:val="single" w:sz="18" w:space="0" w:color="auto"/>
              <w:left w:val="single" w:sz="18" w:space="0" w:color="auto"/>
              <w:bottom w:val="single" w:sz="4" w:space="0" w:color="auto"/>
              <w:right w:val="single" w:sz="4" w:space="0" w:color="auto"/>
            </w:tcBorders>
            <w:shd w:val="clear" w:color="auto" w:fill="FDFBA9"/>
            <w:vAlign w:val="center"/>
            <w:hideMark/>
          </w:tcPr>
          <w:p w:rsidR="00D20D9B" w:rsidRPr="0043547B" w:rsidRDefault="00D20D9B" w:rsidP="00D20D9B">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DFBA9"/>
            <w:vAlign w:val="center"/>
            <w:hideMark/>
          </w:tcPr>
          <w:p w:rsidR="00D20D9B" w:rsidRPr="00105D5C" w:rsidRDefault="00D20D9B" w:rsidP="00D20D9B">
            <w:pPr>
              <w:spacing w:after="0" w:line="240" w:lineRule="auto"/>
              <w:jc w:val="center"/>
              <w:rPr>
                <w:rFonts w:eastAsia="Times New Roman" w:cstheme="minorHAnsi"/>
                <w:b/>
                <w:bCs/>
                <w:sz w:val="24"/>
                <w:szCs w:val="24"/>
                <w:lang w:eastAsia="fr-FR"/>
              </w:rPr>
            </w:pPr>
            <w:r w:rsidRPr="00105D5C">
              <w:rPr>
                <w:rFonts w:eastAsia="Times New Roman" w:cstheme="minorHAnsi"/>
                <w:b/>
                <w:bCs/>
                <w:sz w:val="24"/>
                <w:szCs w:val="24"/>
                <w:lang w:eastAsia="fr-FR"/>
              </w:rPr>
              <w:t>EN 671-3</w:t>
            </w:r>
          </w:p>
        </w:tc>
      </w:tr>
      <w:tr w:rsidR="00D20D9B" w:rsidRPr="0043547B" w:rsidTr="00914FA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64"/>
        </w:trPr>
        <w:tc>
          <w:tcPr>
            <w:tcW w:w="1874" w:type="dxa"/>
            <w:gridSpan w:val="2"/>
            <w:tcBorders>
              <w:top w:val="single" w:sz="4" w:space="0" w:color="auto"/>
              <w:left w:val="single" w:sz="18" w:space="0" w:color="auto"/>
              <w:bottom w:val="single" w:sz="4" w:space="0" w:color="auto"/>
              <w:right w:val="single" w:sz="4" w:space="0" w:color="auto"/>
            </w:tcBorders>
            <w:shd w:val="clear" w:color="auto" w:fill="B8CCE4" w:themeFill="accent1" w:themeFillTint="66"/>
            <w:vAlign w:val="center"/>
            <w:hideMark/>
          </w:tcPr>
          <w:p w:rsidR="00D20D9B" w:rsidRPr="0043547B" w:rsidRDefault="00D20D9B" w:rsidP="00D20D9B">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auto"/>
            <w:hideMark/>
          </w:tcPr>
          <w:p w:rsidR="00D20D9B" w:rsidRPr="0043547B" w:rsidRDefault="00D20D9B" w:rsidP="00D20D9B">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Installations fixes de lutte contre l'incendie - Systèmes équipés de tuyaux - Partie 3 : Maintenance des robinets d'incendie armés équipés de tuyaux semi-rigides et des postes d'eau muraux équipés de tuyaux plats </w:t>
            </w:r>
          </w:p>
        </w:tc>
      </w:tr>
      <w:tr w:rsidR="00D20D9B" w:rsidRPr="0043547B" w:rsidTr="00914FA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16"/>
        </w:trPr>
        <w:tc>
          <w:tcPr>
            <w:tcW w:w="1874" w:type="dxa"/>
            <w:gridSpan w:val="2"/>
            <w:tcBorders>
              <w:top w:val="single" w:sz="4" w:space="0" w:color="auto"/>
              <w:left w:val="single" w:sz="18" w:space="0" w:color="auto"/>
              <w:bottom w:val="single" w:sz="18" w:space="0" w:color="auto"/>
              <w:right w:val="single" w:sz="8" w:space="0" w:color="auto"/>
            </w:tcBorders>
            <w:shd w:val="clear" w:color="auto" w:fill="D9D9D9" w:themeFill="background1" w:themeFillShade="D9"/>
            <w:vAlign w:val="center"/>
            <w:hideMark/>
          </w:tcPr>
          <w:p w:rsidR="00D20D9B" w:rsidRPr="0043547B" w:rsidRDefault="00D20D9B" w:rsidP="00D20D9B">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Domaine d’application :</w:t>
            </w:r>
          </w:p>
        </w:tc>
        <w:tc>
          <w:tcPr>
            <w:tcW w:w="7938" w:type="dxa"/>
            <w:tcBorders>
              <w:top w:val="single" w:sz="4" w:space="0" w:color="auto"/>
              <w:left w:val="single" w:sz="8" w:space="0" w:color="auto"/>
              <w:bottom w:val="single" w:sz="18" w:space="0" w:color="auto"/>
              <w:right w:val="single" w:sz="18" w:space="0" w:color="auto"/>
            </w:tcBorders>
            <w:shd w:val="clear" w:color="auto" w:fill="auto"/>
            <w:hideMark/>
          </w:tcPr>
          <w:p w:rsidR="00914FAA" w:rsidRDefault="00D20D9B" w:rsidP="00914FAA">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européenne prescrit les exigences relatives à l’inspection et à la maintenance des robinets d’incendie armés et des postes d’eau muraux, pour leur permettre d’assurer en permanence le service pour lequel ils ont été fabriqués, fournis ou installés, c’est-à-dire d’assurer une première intervention d’urgence pour lutter contre un incendie avant que des moyens plus puissants soient mis en oeuvre.</w:t>
            </w:r>
          </w:p>
          <w:p w:rsidR="00D20D9B" w:rsidRPr="0043547B" w:rsidRDefault="00D20D9B" w:rsidP="00914FAA">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européenne s’applique aux robinets d’incendie armés et aux postes d’eau muraux installés dans n’importe quel type de bâtiment quel que soit son usage.</w:t>
            </w:r>
          </w:p>
        </w:tc>
      </w:tr>
      <w:tr w:rsidR="00D20D9B" w:rsidRPr="0043547B" w:rsidTr="00914FA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1874" w:type="dxa"/>
            <w:gridSpan w:val="2"/>
            <w:tcBorders>
              <w:top w:val="single" w:sz="18" w:space="0" w:color="auto"/>
              <w:left w:val="single" w:sz="18" w:space="0" w:color="auto"/>
              <w:bottom w:val="single" w:sz="18" w:space="0" w:color="auto"/>
              <w:right w:val="single" w:sz="8" w:space="0" w:color="auto"/>
            </w:tcBorders>
            <w:shd w:val="clear" w:color="auto" w:fill="C2D69B" w:themeFill="accent3" w:themeFillTint="99"/>
            <w:vAlign w:val="center"/>
            <w:hideMark/>
          </w:tcPr>
          <w:p w:rsidR="00D20D9B" w:rsidRPr="0043547B" w:rsidRDefault="00D20D9B" w:rsidP="00914FAA">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Code :</w:t>
            </w:r>
          </w:p>
        </w:tc>
        <w:tc>
          <w:tcPr>
            <w:tcW w:w="7938" w:type="dxa"/>
            <w:tcBorders>
              <w:top w:val="single" w:sz="18" w:space="0" w:color="auto"/>
              <w:left w:val="single" w:sz="8" w:space="0" w:color="auto"/>
              <w:bottom w:val="single" w:sz="18" w:space="0" w:color="auto"/>
              <w:right w:val="single" w:sz="18" w:space="0" w:color="auto"/>
            </w:tcBorders>
            <w:shd w:val="clear" w:color="auto" w:fill="C2D69B" w:themeFill="accent3" w:themeFillTint="99"/>
            <w:hideMark/>
          </w:tcPr>
          <w:p w:rsidR="00D20D9B" w:rsidRPr="00D20D9B" w:rsidRDefault="00D20D9B" w:rsidP="00D20D9B">
            <w:pPr>
              <w:spacing w:after="0" w:line="240" w:lineRule="auto"/>
              <w:jc w:val="center"/>
              <w:rPr>
                <w:rFonts w:eastAsia="Times New Roman" w:cstheme="minorHAnsi"/>
                <w:b/>
                <w:bCs/>
                <w:sz w:val="24"/>
                <w:szCs w:val="24"/>
                <w:lang w:eastAsia="fr-FR"/>
              </w:rPr>
            </w:pPr>
            <w:r w:rsidRPr="00D20D9B">
              <w:rPr>
                <w:rFonts w:eastAsia="Times New Roman" w:cstheme="minorHAnsi"/>
                <w:b/>
                <w:bCs/>
                <w:sz w:val="24"/>
                <w:szCs w:val="24"/>
                <w:lang w:eastAsia="fr-FR"/>
              </w:rPr>
              <w:t>NM EN 12101-7</w:t>
            </w:r>
          </w:p>
        </w:tc>
      </w:tr>
      <w:tr w:rsidR="00D20D9B" w:rsidRPr="0043547B" w:rsidTr="00914FA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1874" w:type="dxa"/>
            <w:gridSpan w:val="2"/>
            <w:tcBorders>
              <w:top w:val="single" w:sz="18" w:space="0" w:color="auto"/>
              <w:left w:val="single" w:sz="18" w:space="0" w:color="auto"/>
              <w:bottom w:val="single" w:sz="4" w:space="0" w:color="auto"/>
              <w:right w:val="single" w:sz="8" w:space="0" w:color="auto"/>
            </w:tcBorders>
            <w:shd w:val="clear" w:color="auto" w:fill="FDFBA9"/>
            <w:vAlign w:val="center"/>
            <w:hideMark/>
          </w:tcPr>
          <w:p w:rsidR="00D20D9B" w:rsidRPr="0043547B" w:rsidRDefault="00D20D9B" w:rsidP="00D20D9B">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Equivalence :</w:t>
            </w:r>
          </w:p>
        </w:tc>
        <w:tc>
          <w:tcPr>
            <w:tcW w:w="7938" w:type="dxa"/>
            <w:tcBorders>
              <w:top w:val="single" w:sz="18" w:space="0" w:color="auto"/>
              <w:left w:val="single" w:sz="8" w:space="0" w:color="auto"/>
              <w:bottom w:val="single" w:sz="4" w:space="0" w:color="auto"/>
              <w:right w:val="single" w:sz="18" w:space="0" w:color="auto"/>
            </w:tcBorders>
            <w:shd w:val="clear" w:color="auto" w:fill="FDFBA9"/>
            <w:vAlign w:val="center"/>
            <w:hideMark/>
          </w:tcPr>
          <w:p w:rsidR="00D20D9B" w:rsidRPr="00105D5C" w:rsidRDefault="00D20D9B" w:rsidP="00D20D9B">
            <w:pPr>
              <w:spacing w:after="0" w:line="240" w:lineRule="auto"/>
              <w:jc w:val="center"/>
              <w:rPr>
                <w:rFonts w:eastAsia="Times New Roman" w:cstheme="minorHAnsi"/>
                <w:b/>
                <w:bCs/>
                <w:sz w:val="24"/>
                <w:szCs w:val="24"/>
                <w:lang w:eastAsia="fr-FR"/>
              </w:rPr>
            </w:pPr>
            <w:r w:rsidRPr="00105D5C">
              <w:rPr>
                <w:rFonts w:eastAsia="Times New Roman" w:cstheme="minorHAnsi"/>
                <w:b/>
                <w:bCs/>
                <w:sz w:val="24"/>
                <w:szCs w:val="24"/>
                <w:lang w:eastAsia="fr-FR"/>
              </w:rPr>
              <w:t>EN 12101-7</w:t>
            </w:r>
          </w:p>
        </w:tc>
      </w:tr>
      <w:tr w:rsidR="00D20D9B" w:rsidRPr="0043547B" w:rsidTr="00914FA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6"/>
        </w:trPr>
        <w:tc>
          <w:tcPr>
            <w:tcW w:w="1874" w:type="dxa"/>
            <w:gridSpan w:val="2"/>
            <w:tcBorders>
              <w:top w:val="single" w:sz="4" w:space="0" w:color="auto"/>
              <w:left w:val="single" w:sz="18" w:space="0" w:color="auto"/>
              <w:bottom w:val="single" w:sz="4" w:space="0" w:color="auto"/>
              <w:right w:val="single" w:sz="8" w:space="0" w:color="auto"/>
            </w:tcBorders>
            <w:shd w:val="clear" w:color="auto" w:fill="B8CCE4" w:themeFill="accent1" w:themeFillTint="66"/>
            <w:vAlign w:val="center"/>
            <w:hideMark/>
          </w:tcPr>
          <w:p w:rsidR="00D20D9B" w:rsidRPr="0043547B" w:rsidRDefault="00D20D9B" w:rsidP="00D20D9B">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Intitulé :</w:t>
            </w:r>
          </w:p>
        </w:tc>
        <w:tc>
          <w:tcPr>
            <w:tcW w:w="7938" w:type="dxa"/>
            <w:tcBorders>
              <w:top w:val="single" w:sz="4" w:space="0" w:color="auto"/>
              <w:left w:val="single" w:sz="8" w:space="0" w:color="auto"/>
              <w:bottom w:val="single" w:sz="4" w:space="0" w:color="auto"/>
              <w:right w:val="single" w:sz="18" w:space="0" w:color="auto"/>
            </w:tcBorders>
            <w:shd w:val="clear" w:color="auto" w:fill="auto"/>
            <w:hideMark/>
          </w:tcPr>
          <w:p w:rsidR="00D20D9B" w:rsidRPr="0043547B" w:rsidRDefault="00D20D9B" w:rsidP="00D20D9B">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Systèmes pour le contrôle des fumées et de la chaleur - Partie 7 : Tronçons de conduit de désenfumage  </w:t>
            </w:r>
          </w:p>
        </w:tc>
      </w:tr>
      <w:tr w:rsidR="00D20D9B" w:rsidRPr="0043547B" w:rsidTr="00914FA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200"/>
        </w:trPr>
        <w:tc>
          <w:tcPr>
            <w:tcW w:w="1874" w:type="dxa"/>
            <w:gridSpan w:val="2"/>
            <w:tcBorders>
              <w:top w:val="single" w:sz="4" w:space="0" w:color="auto"/>
              <w:left w:val="single" w:sz="18" w:space="0" w:color="auto"/>
              <w:bottom w:val="single" w:sz="18" w:space="0" w:color="auto"/>
              <w:right w:val="single" w:sz="8" w:space="0" w:color="auto"/>
            </w:tcBorders>
            <w:shd w:val="clear" w:color="auto" w:fill="D9D9D9" w:themeFill="background1" w:themeFillShade="D9"/>
            <w:vAlign w:val="center"/>
            <w:hideMark/>
          </w:tcPr>
          <w:p w:rsidR="00D20D9B" w:rsidRPr="0043547B" w:rsidRDefault="00D20D9B" w:rsidP="00D20D9B">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lastRenderedPageBreak/>
              <w:t>Domaine d’application :</w:t>
            </w:r>
          </w:p>
        </w:tc>
        <w:tc>
          <w:tcPr>
            <w:tcW w:w="7938" w:type="dxa"/>
            <w:tcBorders>
              <w:top w:val="single" w:sz="4" w:space="0" w:color="auto"/>
              <w:left w:val="single" w:sz="8" w:space="0" w:color="auto"/>
              <w:bottom w:val="single" w:sz="18" w:space="0" w:color="auto"/>
              <w:right w:val="single" w:sz="18" w:space="0" w:color="auto"/>
            </w:tcBorders>
            <w:shd w:val="clear" w:color="auto" w:fill="auto"/>
            <w:hideMark/>
          </w:tcPr>
          <w:p w:rsidR="00914FAA" w:rsidRDefault="00D20D9B" w:rsidP="00914FAA">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européenne s'applique aux tronçons de conduit de désenfumage, mis sur le marché et destinés à faire partie d'un système à différentiel de pression ou d'un système d'évacuation des fumées et de la chaleur.</w:t>
            </w:r>
            <w:r w:rsidRPr="0043547B">
              <w:rPr>
                <w:rFonts w:eastAsia="Times New Roman" w:cstheme="minorHAnsi"/>
                <w:sz w:val="24"/>
                <w:szCs w:val="24"/>
                <w:lang w:eastAsia="fr-FR"/>
              </w:rPr>
              <w:br/>
              <w:t>La présente norme spécifie les exigences et les méthodes d'essai relatives aux tronçons de conduit de désenfumage et à leurs composants associés (par exemple, supports et autres éléments éprouvés au moment des essais), qui sont</w:t>
            </w:r>
            <w:r w:rsidR="00105D5C">
              <w:rPr>
                <w:rFonts w:eastAsia="Times New Roman" w:cstheme="minorHAnsi"/>
                <w:sz w:val="24"/>
                <w:szCs w:val="24"/>
                <w:lang w:eastAsia="fr-FR"/>
              </w:rPr>
              <w:t xml:space="preserve"> </w:t>
            </w:r>
            <w:r w:rsidRPr="0043547B">
              <w:rPr>
                <w:rFonts w:eastAsia="Times New Roman" w:cstheme="minorHAnsi"/>
                <w:sz w:val="24"/>
                <w:szCs w:val="24"/>
                <w:lang w:eastAsia="fr-FR"/>
              </w:rPr>
              <w:t>destinés à être installés dans de tels systèmes dans des bâtiments. Elle traite également de l'évaluation de la conformité des produits aux exigences de la présente norme. En outre, les dispositions relatives au marquage et les</w:t>
            </w:r>
            <w:r w:rsidRPr="0043547B">
              <w:rPr>
                <w:rFonts w:eastAsia="Times New Roman" w:cstheme="minorHAnsi"/>
                <w:sz w:val="24"/>
                <w:szCs w:val="24"/>
                <w:lang w:eastAsia="fr-FR"/>
              </w:rPr>
              <w:br/>
              <w:t>informations relatives à l'installation et à la maintenance de ces produits sont également fournies dans la présente Norme européenne.</w:t>
            </w:r>
          </w:p>
          <w:p w:rsidR="00914FAA" w:rsidRDefault="00D20D9B" w:rsidP="00914FAA">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Pour éviter toute répétition, il est fait référence à un certain nombre d’autres normes. La présente norme doit donc être lue conjointement avec l'EN 1366-8, l'EN 1366-9 et l'EN 1366-1, pour tous détails concernant les essais de résistance au feu et l'EN 13501-4 pour le classement correspondant.</w:t>
            </w:r>
          </w:p>
          <w:p w:rsidR="00914FAA" w:rsidRDefault="00D20D9B" w:rsidP="00914FAA">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ne traite pas dans le détail des effets négatifs et/ou corrosifs susceptibles d'être liés à des produits chimiques présents dans l'atmosphère et pénétrant dans le système, que ce soit par accident ou par une action</w:t>
            </w:r>
            <w:r w:rsidRPr="0043547B">
              <w:rPr>
                <w:rFonts w:eastAsia="Times New Roman" w:cstheme="minorHAnsi"/>
                <w:sz w:val="24"/>
                <w:szCs w:val="24"/>
                <w:lang w:eastAsia="fr-FR"/>
              </w:rPr>
              <w:br/>
              <w:t>volontaire.</w:t>
            </w:r>
            <w:r w:rsidRPr="0043547B">
              <w:rPr>
                <w:rFonts w:eastAsia="Times New Roman" w:cstheme="minorHAnsi"/>
                <w:sz w:val="24"/>
                <w:szCs w:val="24"/>
                <w:lang w:eastAsia="fr-FR"/>
              </w:rPr>
              <w:br/>
              <w:t>La présente Norme européenne traite également des composants associés utilisés avec les tronçons de conduit de désenfumage, tels que les aubes directrices et les silencieux, à l'exception des exutoires, ouvrants, ventilateurs et volets de désenfumage, qui font l'objet de normes distinctes.</w:t>
            </w:r>
          </w:p>
          <w:p w:rsidR="00D20D9B" w:rsidRPr="0043547B" w:rsidRDefault="00D20D9B" w:rsidP="00914FAA">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ne traite pas des conduits utilisés ailleurs que dans les systèmes de contrôle/évacuation des fumées et de la chaleur.</w:t>
            </w:r>
          </w:p>
        </w:tc>
      </w:tr>
      <w:tr w:rsidR="00D20D9B" w:rsidRPr="0043547B" w:rsidTr="00914FA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1874" w:type="dxa"/>
            <w:gridSpan w:val="2"/>
            <w:tcBorders>
              <w:top w:val="single" w:sz="18" w:space="0" w:color="auto"/>
              <w:left w:val="single" w:sz="18" w:space="0" w:color="auto"/>
              <w:bottom w:val="single" w:sz="18" w:space="0" w:color="auto"/>
              <w:right w:val="single" w:sz="8" w:space="0" w:color="auto"/>
            </w:tcBorders>
            <w:shd w:val="clear" w:color="auto" w:fill="C2D69B" w:themeFill="accent3" w:themeFillTint="99"/>
            <w:vAlign w:val="center"/>
            <w:hideMark/>
          </w:tcPr>
          <w:p w:rsidR="00D20D9B" w:rsidRPr="0043547B" w:rsidRDefault="00D20D9B" w:rsidP="00914FAA">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Code :</w:t>
            </w:r>
          </w:p>
        </w:tc>
        <w:tc>
          <w:tcPr>
            <w:tcW w:w="7938" w:type="dxa"/>
            <w:tcBorders>
              <w:top w:val="single" w:sz="18" w:space="0" w:color="auto"/>
              <w:left w:val="single" w:sz="8" w:space="0" w:color="auto"/>
              <w:bottom w:val="single" w:sz="18" w:space="0" w:color="auto"/>
              <w:right w:val="single" w:sz="18" w:space="0" w:color="auto"/>
            </w:tcBorders>
            <w:shd w:val="clear" w:color="auto" w:fill="C2D69B" w:themeFill="accent3" w:themeFillTint="99"/>
            <w:hideMark/>
          </w:tcPr>
          <w:p w:rsidR="00D20D9B" w:rsidRPr="00D20D9B" w:rsidRDefault="00D20D9B" w:rsidP="00D20D9B">
            <w:pPr>
              <w:spacing w:after="0" w:line="240" w:lineRule="auto"/>
              <w:jc w:val="center"/>
              <w:rPr>
                <w:rFonts w:eastAsia="Times New Roman" w:cstheme="minorHAnsi"/>
                <w:b/>
                <w:bCs/>
                <w:sz w:val="24"/>
                <w:szCs w:val="24"/>
                <w:lang w:eastAsia="fr-FR"/>
              </w:rPr>
            </w:pPr>
            <w:r w:rsidRPr="00D20D9B">
              <w:rPr>
                <w:rFonts w:eastAsia="Times New Roman" w:cstheme="minorHAnsi"/>
                <w:b/>
                <w:bCs/>
                <w:sz w:val="24"/>
                <w:szCs w:val="24"/>
                <w:lang w:eastAsia="fr-FR"/>
              </w:rPr>
              <w:t>NM EN 12101-8</w:t>
            </w:r>
          </w:p>
        </w:tc>
      </w:tr>
      <w:tr w:rsidR="00D20D9B" w:rsidRPr="0043547B" w:rsidTr="00914FA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1874" w:type="dxa"/>
            <w:gridSpan w:val="2"/>
            <w:tcBorders>
              <w:top w:val="single" w:sz="18" w:space="0" w:color="auto"/>
              <w:left w:val="single" w:sz="18" w:space="0" w:color="auto"/>
              <w:bottom w:val="single" w:sz="4" w:space="0" w:color="auto"/>
              <w:right w:val="single" w:sz="8" w:space="0" w:color="auto"/>
            </w:tcBorders>
            <w:shd w:val="clear" w:color="auto" w:fill="FDFBA9"/>
            <w:vAlign w:val="center"/>
            <w:hideMark/>
          </w:tcPr>
          <w:p w:rsidR="00D20D9B" w:rsidRPr="0043547B" w:rsidRDefault="00D20D9B" w:rsidP="00D20D9B">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Equivalence :</w:t>
            </w:r>
          </w:p>
        </w:tc>
        <w:tc>
          <w:tcPr>
            <w:tcW w:w="7938" w:type="dxa"/>
            <w:tcBorders>
              <w:top w:val="single" w:sz="18" w:space="0" w:color="auto"/>
              <w:left w:val="single" w:sz="8" w:space="0" w:color="auto"/>
              <w:bottom w:val="single" w:sz="4" w:space="0" w:color="auto"/>
              <w:right w:val="single" w:sz="18" w:space="0" w:color="auto"/>
            </w:tcBorders>
            <w:shd w:val="clear" w:color="auto" w:fill="FDFBA9"/>
            <w:vAlign w:val="center"/>
            <w:hideMark/>
          </w:tcPr>
          <w:p w:rsidR="00D20D9B" w:rsidRPr="00105D5C" w:rsidRDefault="00D20D9B" w:rsidP="00D20D9B">
            <w:pPr>
              <w:spacing w:after="0" w:line="240" w:lineRule="auto"/>
              <w:jc w:val="center"/>
              <w:rPr>
                <w:rFonts w:eastAsia="Times New Roman" w:cstheme="minorHAnsi"/>
                <w:b/>
                <w:bCs/>
                <w:sz w:val="24"/>
                <w:szCs w:val="24"/>
                <w:lang w:eastAsia="fr-FR"/>
              </w:rPr>
            </w:pPr>
            <w:r w:rsidRPr="00105D5C">
              <w:rPr>
                <w:rFonts w:eastAsia="Times New Roman" w:cstheme="minorHAnsi"/>
                <w:b/>
                <w:bCs/>
                <w:sz w:val="24"/>
                <w:szCs w:val="24"/>
                <w:lang w:eastAsia="fr-FR"/>
              </w:rPr>
              <w:t>EN 12101-8</w:t>
            </w:r>
          </w:p>
        </w:tc>
      </w:tr>
      <w:tr w:rsidR="00D20D9B" w:rsidRPr="0043547B" w:rsidTr="00914FA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6"/>
        </w:trPr>
        <w:tc>
          <w:tcPr>
            <w:tcW w:w="1874" w:type="dxa"/>
            <w:gridSpan w:val="2"/>
            <w:tcBorders>
              <w:top w:val="single" w:sz="4" w:space="0" w:color="auto"/>
              <w:left w:val="single" w:sz="18" w:space="0" w:color="auto"/>
              <w:bottom w:val="single" w:sz="4" w:space="0" w:color="auto"/>
              <w:right w:val="single" w:sz="8" w:space="0" w:color="auto"/>
            </w:tcBorders>
            <w:shd w:val="clear" w:color="auto" w:fill="B8CCE4" w:themeFill="accent1" w:themeFillTint="66"/>
            <w:vAlign w:val="center"/>
            <w:hideMark/>
          </w:tcPr>
          <w:p w:rsidR="00D20D9B" w:rsidRPr="0043547B" w:rsidRDefault="00D20D9B" w:rsidP="00D20D9B">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Intitulé :</w:t>
            </w:r>
          </w:p>
        </w:tc>
        <w:tc>
          <w:tcPr>
            <w:tcW w:w="7938" w:type="dxa"/>
            <w:tcBorders>
              <w:top w:val="single" w:sz="4" w:space="0" w:color="auto"/>
              <w:left w:val="single" w:sz="8" w:space="0" w:color="auto"/>
              <w:bottom w:val="single" w:sz="4" w:space="0" w:color="auto"/>
              <w:right w:val="single" w:sz="18" w:space="0" w:color="auto"/>
            </w:tcBorders>
            <w:shd w:val="clear" w:color="auto" w:fill="auto"/>
            <w:hideMark/>
          </w:tcPr>
          <w:p w:rsidR="00D20D9B" w:rsidRPr="0043547B" w:rsidRDefault="00D20D9B" w:rsidP="00D20D9B">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Systèmes pour le contrôle des fumées et de la chaleur - Partie 8 : Volets de désenfumage  </w:t>
            </w:r>
          </w:p>
        </w:tc>
      </w:tr>
      <w:tr w:rsidR="00D20D9B" w:rsidRPr="0043547B" w:rsidTr="00914FA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4"/>
        </w:trPr>
        <w:tc>
          <w:tcPr>
            <w:tcW w:w="1874" w:type="dxa"/>
            <w:gridSpan w:val="2"/>
            <w:tcBorders>
              <w:top w:val="single" w:sz="4" w:space="0" w:color="auto"/>
              <w:left w:val="single" w:sz="18" w:space="0" w:color="auto"/>
              <w:bottom w:val="single" w:sz="18" w:space="0" w:color="auto"/>
              <w:right w:val="single" w:sz="8" w:space="0" w:color="auto"/>
            </w:tcBorders>
            <w:shd w:val="clear" w:color="auto" w:fill="D9D9D9" w:themeFill="background1" w:themeFillShade="D9"/>
            <w:vAlign w:val="center"/>
            <w:hideMark/>
          </w:tcPr>
          <w:p w:rsidR="00D20D9B" w:rsidRPr="0043547B" w:rsidRDefault="00D20D9B" w:rsidP="00D20D9B">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Domaine d’application :</w:t>
            </w:r>
          </w:p>
        </w:tc>
        <w:tc>
          <w:tcPr>
            <w:tcW w:w="7938" w:type="dxa"/>
            <w:tcBorders>
              <w:top w:val="single" w:sz="4" w:space="0" w:color="auto"/>
              <w:left w:val="single" w:sz="8" w:space="0" w:color="auto"/>
              <w:bottom w:val="single" w:sz="18" w:space="0" w:color="auto"/>
              <w:right w:val="single" w:sz="18" w:space="0" w:color="auto"/>
            </w:tcBorders>
            <w:shd w:val="clear" w:color="auto" w:fill="auto"/>
            <w:hideMark/>
          </w:tcPr>
          <w:p w:rsidR="00914FAA" w:rsidRDefault="00D20D9B" w:rsidP="00914FAA">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européenne s'applique aux volets de désenfumage, mis sur le marché et destinés à faire partie d'un système à différentiel de pression ou d'un système de contrôle des fumées et de la chaleur. La présente norme</w:t>
            </w:r>
            <w:r w:rsidRPr="0043547B">
              <w:rPr>
                <w:rFonts w:eastAsia="Times New Roman" w:cstheme="minorHAnsi"/>
                <w:sz w:val="24"/>
                <w:szCs w:val="24"/>
                <w:lang w:eastAsia="fr-FR"/>
              </w:rPr>
              <w:br/>
              <w:t>prescrit les exigences et les méthodes d'essai relatives aux volets de désenfumage et à leurs composants associés, tels que les mécanismes de commande, qui sont destinés à être installés dans de tels systèmes dans des bâtiments.</w:t>
            </w:r>
            <w:r w:rsidRPr="0043547B">
              <w:rPr>
                <w:rFonts w:eastAsia="Times New Roman" w:cstheme="minorHAnsi"/>
                <w:sz w:val="24"/>
                <w:szCs w:val="24"/>
                <w:lang w:eastAsia="fr-FR"/>
              </w:rPr>
              <w:br/>
              <w:t>Elle traite également de l'évaluation de la conformité de ces produits aux exigences de la présente norme. En outre, les dispositions relatives au marquage et les informations relatives à l'installation et à la maintenance de ces produits</w:t>
            </w:r>
            <w:r w:rsidR="00253C66">
              <w:rPr>
                <w:rFonts w:eastAsia="Times New Roman" w:cstheme="minorHAnsi"/>
                <w:sz w:val="24"/>
                <w:szCs w:val="24"/>
                <w:lang w:eastAsia="fr-FR"/>
              </w:rPr>
              <w:t xml:space="preserve"> </w:t>
            </w:r>
            <w:r w:rsidRPr="0043547B">
              <w:rPr>
                <w:rFonts w:eastAsia="Times New Roman" w:cstheme="minorHAnsi"/>
                <w:sz w:val="24"/>
                <w:szCs w:val="24"/>
                <w:lang w:eastAsia="fr-FR"/>
              </w:rPr>
              <w:t>sont également fournies.</w:t>
            </w:r>
          </w:p>
          <w:p w:rsidR="00914FAA" w:rsidRDefault="00D20D9B" w:rsidP="00914FAA">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européenne fait la distinction entre deux catégories de volets de désenfumage, à savoir les volets de désenfumage pour conduits mono-compartiments et les volets de désenfumage résistants au feu pour conduits</w:t>
            </w:r>
            <w:r w:rsidR="00105D5C">
              <w:rPr>
                <w:rFonts w:eastAsia="Times New Roman" w:cstheme="minorHAnsi"/>
                <w:sz w:val="24"/>
                <w:szCs w:val="24"/>
                <w:lang w:eastAsia="fr-FR"/>
              </w:rPr>
              <w:t xml:space="preserve"> </w:t>
            </w:r>
            <w:r w:rsidRPr="0043547B">
              <w:rPr>
                <w:rFonts w:eastAsia="Times New Roman" w:cstheme="minorHAnsi"/>
                <w:sz w:val="24"/>
                <w:szCs w:val="24"/>
                <w:lang w:eastAsia="fr-FR"/>
              </w:rPr>
              <w:t>multi-compartiments.</w:t>
            </w:r>
            <w:r w:rsidRPr="0043547B">
              <w:rPr>
                <w:rFonts w:eastAsia="Times New Roman" w:cstheme="minorHAnsi"/>
                <w:sz w:val="24"/>
                <w:szCs w:val="24"/>
                <w:lang w:eastAsia="fr-FR"/>
              </w:rPr>
              <w:br/>
              <w:t>Les volets de désenfumage couverts par la présente Norme européenne peuvent être installés dans les conduits de désenfumage ou à la surface de ces conduits.</w:t>
            </w:r>
          </w:p>
          <w:p w:rsidR="00914FAA" w:rsidRDefault="00D20D9B" w:rsidP="00914FAA">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Ils peuvent également être installés dans un mur, un plancher ou des</w:t>
            </w:r>
            <w:r w:rsidRPr="0043547B">
              <w:rPr>
                <w:rFonts w:eastAsia="Times New Roman" w:cstheme="minorHAnsi"/>
                <w:sz w:val="24"/>
                <w:szCs w:val="24"/>
                <w:lang w:eastAsia="fr-FR"/>
              </w:rPr>
              <w:br/>
              <w:t>éléments de plafond/toiture ou à la surface de ces éléments.</w:t>
            </w:r>
          </w:p>
          <w:p w:rsidR="00914FAA" w:rsidRDefault="00D20D9B" w:rsidP="00914FAA">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lastRenderedPageBreak/>
              <w:t>Pour éviter toute répétition, il est fait référence à un certain nombre d'autres normes. La présente norme doit donc être lue conjointement avec l'EN 13501-4, l’EN 1366-10 et l'EN 1366-2 pour tous détails concernant les essais de</w:t>
            </w:r>
            <w:r w:rsidRPr="0043547B">
              <w:rPr>
                <w:rFonts w:eastAsia="Times New Roman" w:cstheme="minorHAnsi"/>
                <w:sz w:val="24"/>
                <w:szCs w:val="24"/>
                <w:lang w:eastAsia="fr-FR"/>
              </w:rPr>
              <w:br/>
              <w:t>résistance au feu.</w:t>
            </w:r>
          </w:p>
          <w:p w:rsidR="00D20D9B" w:rsidRPr="0043547B" w:rsidRDefault="00D20D9B" w:rsidP="00914FAA">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ne traite pas dans le détail des effets négatifs et/ou corrosifs susceptibles d'être liés à des produits chimiques présents dans l'atmosphère et pénétrant dans le système, que ce soit par accident ou par une action</w:t>
            </w:r>
            <w:r w:rsidRPr="0043547B">
              <w:rPr>
                <w:rFonts w:eastAsia="Times New Roman" w:cstheme="minorHAnsi"/>
                <w:sz w:val="24"/>
                <w:szCs w:val="24"/>
                <w:lang w:eastAsia="fr-FR"/>
              </w:rPr>
              <w:br/>
              <w:t>volontaire.</w:t>
            </w:r>
          </w:p>
        </w:tc>
      </w:tr>
      <w:tr w:rsidR="00D20D9B" w:rsidRPr="0043547B" w:rsidTr="00914FA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1874" w:type="dxa"/>
            <w:gridSpan w:val="2"/>
            <w:tcBorders>
              <w:top w:val="single" w:sz="18" w:space="0" w:color="auto"/>
              <w:left w:val="single" w:sz="18" w:space="0" w:color="auto"/>
              <w:bottom w:val="single" w:sz="18" w:space="0" w:color="auto"/>
              <w:right w:val="single" w:sz="8" w:space="0" w:color="auto"/>
            </w:tcBorders>
            <w:shd w:val="clear" w:color="auto" w:fill="C2D69B" w:themeFill="accent3" w:themeFillTint="99"/>
            <w:vAlign w:val="center"/>
            <w:hideMark/>
          </w:tcPr>
          <w:p w:rsidR="00D20D9B" w:rsidRPr="0043547B" w:rsidRDefault="00D20D9B" w:rsidP="00914FAA">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lastRenderedPageBreak/>
              <w:t>Code :</w:t>
            </w:r>
          </w:p>
        </w:tc>
        <w:tc>
          <w:tcPr>
            <w:tcW w:w="7938" w:type="dxa"/>
            <w:tcBorders>
              <w:top w:val="single" w:sz="18" w:space="0" w:color="auto"/>
              <w:left w:val="single" w:sz="8" w:space="0" w:color="auto"/>
              <w:bottom w:val="single" w:sz="18" w:space="0" w:color="auto"/>
              <w:right w:val="single" w:sz="18" w:space="0" w:color="auto"/>
            </w:tcBorders>
            <w:shd w:val="clear" w:color="auto" w:fill="C2D69B" w:themeFill="accent3" w:themeFillTint="99"/>
            <w:hideMark/>
          </w:tcPr>
          <w:p w:rsidR="00D20D9B" w:rsidRPr="00D20D9B" w:rsidRDefault="00D20D9B" w:rsidP="00D20D9B">
            <w:pPr>
              <w:spacing w:after="0" w:line="240" w:lineRule="auto"/>
              <w:jc w:val="center"/>
              <w:rPr>
                <w:rFonts w:eastAsia="Times New Roman" w:cstheme="minorHAnsi"/>
                <w:b/>
                <w:bCs/>
                <w:sz w:val="24"/>
                <w:szCs w:val="24"/>
                <w:lang w:eastAsia="fr-FR"/>
              </w:rPr>
            </w:pPr>
            <w:r w:rsidRPr="00D20D9B">
              <w:rPr>
                <w:rFonts w:eastAsia="Times New Roman" w:cstheme="minorHAnsi"/>
                <w:b/>
                <w:bCs/>
                <w:sz w:val="24"/>
                <w:szCs w:val="24"/>
                <w:lang w:eastAsia="fr-FR"/>
              </w:rPr>
              <w:t>NM EN 14384</w:t>
            </w:r>
          </w:p>
        </w:tc>
      </w:tr>
      <w:tr w:rsidR="00D20D9B" w:rsidRPr="0043547B" w:rsidTr="00914FA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1874" w:type="dxa"/>
            <w:gridSpan w:val="2"/>
            <w:tcBorders>
              <w:top w:val="single" w:sz="18" w:space="0" w:color="auto"/>
              <w:left w:val="single" w:sz="18" w:space="0" w:color="auto"/>
              <w:bottom w:val="single" w:sz="4" w:space="0" w:color="auto"/>
              <w:right w:val="single" w:sz="8" w:space="0" w:color="auto"/>
            </w:tcBorders>
            <w:shd w:val="clear" w:color="auto" w:fill="FDFBA9"/>
            <w:vAlign w:val="center"/>
            <w:hideMark/>
          </w:tcPr>
          <w:p w:rsidR="00D20D9B" w:rsidRPr="0043547B" w:rsidRDefault="00D20D9B" w:rsidP="00D20D9B">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Equivalence :</w:t>
            </w:r>
          </w:p>
        </w:tc>
        <w:tc>
          <w:tcPr>
            <w:tcW w:w="7938" w:type="dxa"/>
            <w:tcBorders>
              <w:top w:val="single" w:sz="18" w:space="0" w:color="auto"/>
              <w:left w:val="single" w:sz="8" w:space="0" w:color="auto"/>
              <w:bottom w:val="single" w:sz="4" w:space="0" w:color="auto"/>
              <w:right w:val="single" w:sz="18" w:space="0" w:color="auto"/>
            </w:tcBorders>
            <w:shd w:val="clear" w:color="auto" w:fill="FDFBA9"/>
            <w:vAlign w:val="center"/>
            <w:hideMark/>
          </w:tcPr>
          <w:p w:rsidR="00D20D9B" w:rsidRPr="00105D5C" w:rsidRDefault="00D20D9B" w:rsidP="00D20D9B">
            <w:pPr>
              <w:spacing w:after="0" w:line="240" w:lineRule="auto"/>
              <w:jc w:val="center"/>
              <w:rPr>
                <w:rFonts w:eastAsia="Times New Roman" w:cstheme="minorHAnsi"/>
                <w:b/>
                <w:bCs/>
                <w:sz w:val="24"/>
                <w:szCs w:val="24"/>
                <w:lang w:eastAsia="fr-FR"/>
              </w:rPr>
            </w:pPr>
            <w:r w:rsidRPr="00105D5C">
              <w:rPr>
                <w:rFonts w:eastAsia="Times New Roman" w:cstheme="minorHAnsi"/>
                <w:b/>
                <w:bCs/>
                <w:sz w:val="24"/>
                <w:szCs w:val="24"/>
                <w:lang w:eastAsia="fr-FR"/>
              </w:rPr>
              <w:t>EN 14384</w:t>
            </w:r>
          </w:p>
        </w:tc>
      </w:tr>
      <w:tr w:rsidR="00D20D9B" w:rsidRPr="0043547B" w:rsidTr="00914FA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1874" w:type="dxa"/>
            <w:gridSpan w:val="2"/>
            <w:tcBorders>
              <w:top w:val="single" w:sz="4" w:space="0" w:color="auto"/>
              <w:left w:val="single" w:sz="18" w:space="0" w:color="auto"/>
              <w:bottom w:val="single" w:sz="4" w:space="0" w:color="auto"/>
              <w:right w:val="single" w:sz="8" w:space="0" w:color="auto"/>
            </w:tcBorders>
            <w:shd w:val="clear" w:color="auto" w:fill="B8CCE4" w:themeFill="accent1" w:themeFillTint="66"/>
            <w:vAlign w:val="center"/>
            <w:hideMark/>
          </w:tcPr>
          <w:p w:rsidR="00D20D9B" w:rsidRPr="0043547B" w:rsidRDefault="00D20D9B" w:rsidP="00D20D9B">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Intitulé :</w:t>
            </w:r>
          </w:p>
        </w:tc>
        <w:tc>
          <w:tcPr>
            <w:tcW w:w="7938" w:type="dxa"/>
            <w:tcBorders>
              <w:top w:val="single" w:sz="4" w:space="0" w:color="auto"/>
              <w:left w:val="single" w:sz="8" w:space="0" w:color="auto"/>
              <w:bottom w:val="single" w:sz="4" w:space="0" w:color="auto"/>
              <w:right w:val="single" w:sz="18" w:space="0" w:color="auto"/>
            </w:tcBorders>
            <w:shd w:val="clear" w:color="auto" w:fill="auto"/>
            <w:hideMark/>
          </w:tcPr>
          <w:p w:rsidR="00D20D9B" w:rsidRPr="0043547B" w:rsidRDefault="00D20D9B" w:rsidP="00D20D9B">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Poteaux d'incendie  </w:t>
            </w:r>
          </w:p>
        </w:tc>
      </w:tr>
      <w:tr w:rsidR="00D20D9B" w:rsidRPr="0043547B" w:rsidTr="00914FA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1"/>
        </w:trPr>
        <w:tc>
          <w:tcPr>
            <w:tcW w:w="1874" w:type="dxa"/>
            <w:gridSpan w:val="2"/>
            <w:tcBorders>
              <w:top w:val="single" w:sz="4" w:space="0" w:color="auto"/>
              <w:left w:val="single" w:sz="18" w:space="0" w:color="auto"/>
              <w:bottom w:val="single" w:sz="18" w:space="0" w:color="auto"/>
              <w:right w:val="single" w:sz="8" w:space="0" w:color="auto"/>
            </w:tcBorders>
            <w:shd w:val="clear" w:color="auto" w:fill="D9D9D9" w:themeFill="background1" w:themeFillShade="D9"/>
            <w:vAlign w:val="center"/>
            <w:hideMark/>
          </w:tcPr>
          <w:p w:rsidR="00D20D9B" w:rsidRPr="0043547B" w:rsidRDefault="00D20D9B" w:rsidP="00D20D9B">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Domaine d’application :</w:t>
            </w:r>
          </w:p>
        </w:tc>
        <w:tc>
          <w:tcPr>
            <w:tcW w:w="7938" w:type="dxa"/>
            <w:tcBorders>
              <w:top w:val="single" w:sz="4" w:space="0" w:color="auto"/>
              <w:left w:val="single" w:sz="8" w:space="0" w:color="auto"/>
              <w:bottom w:val="single" w:sz="18" w:space="0" w:color="auto"/>
              <w:right w:val="single" w:sz="18" w:space="0" w:color="auto"/>
            </w:tcBorders>
            <w:shd w:val="clear" w:color="auto" w:fill="auto"/>
            <w:hideMark/>
          </w:tcPr>
          <w:p w:rsidR="00914FAA" w:rsidRDefault="00D20D9B" w:rsidP="00914FAA">
            <w:pPr>
              <w:spacing w:after="0" w:line="240" w:lineRule="auto"/>
              <w:rPr>
                <w:rFonts w:eastAsia="Times New Roman" w:cstheme="minorHAnsi"/>
                <w:sz w:val="24"/>
                <w:szCs w:val="24"/>
                <w:lang w:eastAsia="fr-FR"/>
              </w:rPr>
            </w:pPr>
            <w:r w:rsidRPr="0043547B">
              <w:rPr>
                <w:rFonts w:eastAsia="Times New Roman" w:cstheme="minorHAnsi"/>
                <w:sz w:val="24"/>
                <w:szCs w:val="24"/>
                <w:lang w:eastAsia="fr-FR"/>
              </w:rPr>
              <w:t>La présente Norme européenne contient des prescriptions minimales relatives aux poteaux destinés à la lutte contre l'incendie ainsi que des informations sur les méthodes d'essai applicables, le marquage et l'évaluation de la conformité. Il s'applique aux poteaux :</w:t>
            </w:r>
            <w:r w:rsidRPr="0043547B">
              <w:rPr>
                <w:rFonts w:eastAsia="Times New Roman" w:cstheme="minorHAnsi"/>
                <w:sz w:val="24"/>
                <w:szCs w:val="24"/>
                <w:lang w:eastAsia="fr-FR"/>
              </w:rPr>
              <w:br/>
              <w:t>— devant être installés sur un réseau de distribution d'eau ;</w:t>
            </w:r>
            <w:r w:rsidRPr="0043547B">
              <w:rPr>
                <w:rFonts w:eastAsia="Times New Roman" w:cstheme="minorHAnsi"/>
                <w:sz w:val="24"/>
                <w:szCs w:val="24"/>
                <w:lang w:eastAsia="fr-FR"/>
              </w:rPr>
              <w:br/>
              <w:t>— de dimensions DN 80, DN 100 et DN 150 ;</w:t>
            </w:r>
            <w:r w:rsidRPr="0043547B">
              <w:rPr>
                <w:rFonts w:eastAsia="Times New Roman" w:cstheme="minorHAnsi"/>
                <w:sz w:val="24"/>
                <w:szCs w:val="24"/>
                <w:lang w:eastAsia="fr-FR"/>
              </w:rPr>
              <w:br/>
              <w:t>— approprié à une pression de fonctionnement admissible, PFA, de PN 16, avec ou sans dispositif de vidange ;</w:t>
            </w:r>
            <w:r w:rsidRPr="0043547B">
              <w:rPr>
                <w:rFonts w:eastAsia="Times New Roman" w:cstheme="minorHAnsi"/>
                <w:sz w:val="24"/>
                <w:szCs w:val="24"/>
                <w:lang w:eastAsia="fr-FR"/>
              </w:rPr>
              <w:br/>
              <w:t>— munis de raccordement d’entrée verticaux ou horizontaux, à bride, à extrémité à emboîter mâle ou femelle ;</w:t>
            </w:r>
            <w:r w:rsidRPr="0043547B">
              <w:rPr>
                <w:rFonts w:eastAsia="Times New Roman" w:cstheme="minorHAnsi"/>
                <w:sz w:val="24"/>
                <w:szCs w:val="24"/>
                <w:lang w:eastAsia="fr-FR"/>
              </w:rPr>
              <w:br/>
              <w:t>— comportant un ou deux orifices de sortie, conforme(s) aux prescriptions nationales ;</w:t>
            </w:r>
            <w:r w:rsidRPr="0043547B">
              <w:rPr>
                <w:rFonts w:eastAsia="Times New Roman" w:cstheme="minorHAnsi"/>
                <w:sz w:val="24"/>
                <w:szCs w:val="24"/>
                <w:lang w:eastAsia="fr-FR"/>
              </w:rPr>
              <w:br/>
              <w:t>— munis d’appareils de robinetterie de type robinet à soupape (à tige non montante) ou robinet-vanne.</w:t>
            </w:r>
            <w:r w:rsidRPr="0043547B">
              <w:rPr>
                <w:rFonts w:eastAsia="Times New Roman" w:cstheme="minorHAnsi"/>
                <w:sz w:val="24"/>
                <w:szCs w:val="24"/>
                <w:lang w:eastAsia="fr-FR"/>
              </w:rPr>
              <w:br/>
              <w:t>La présente norme peut également être utilisée pour l'évaluation de la conformité des poteaux d'incendie enterrés conformes aux prescriptions contenues dans la présente norme.</w:t>
            </w:r>
          </w:p>
          <w:p w:rsidR="00914FAA" w:rsidRDefault="00D20D9B" w:rsidP="00914FAA">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s'applique aux poteaux d'incendie alimentés en eau potable et non potable et en eau filtrée.</w:t>
            </w:r>
          </w:p>
          <w:p w:rsidR="00D20D9B" w:rsidRPr="0043547B" w:rsidRDefault="00D20D9B" w:rsidP="00914FAA">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Des prescriptions complémentaires peuvent s'appliquer dans le cas d'autres liquides.</w:t>
            </w:r>
            <w:r w:rsidRPr="0043547B">
              <w:rPr>
                <w:rFonts w:eastAsia="Times New Roman" w:cstheme="minorHAnsi"/>
                <w:sz w:val="24"/>
                <w:szCs w:val="24"/>
                <w:lang w:eastAsia="fr-FR"/>
              </w:rPr>
              <w:br/>
              <w:t>Les manchons d’assemblage raccordés aux orifices de sortie ne relèvent pas du domaine d'application du présent document et il convient qu’ils soient conformes aux règlementations nationales.</w:t>
            </w:r>
          </w:p>
        </w:tc>
      </w:tr>
      <w:tr w:rsidR="00D20D9B" w:rsidRPr="0043547B" w:rsidTr="00914FA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1874" w:type="dxa"/>
            <w:gridSpan w:val="2"/>
            <w:tcBorders>
              <w:top w:val="single" w:sz="18" w:space="0" w:color="auto"/>
              <w:left w:val="single" w:sz="18" w:space="0" w:color="auto"/>
              <w:bottom w:val="single" w:sz="18" w:space="0" w:color="auto"/>
              <w:right w:val="single" w:sz="8" w:space="0" w:color="auto"/>
            </w:tcBorders>
            <w:shd w:val="clear" w:color="auto" w:fill="C2D69B" w:themeFill="accent3" w:themeFillTint="99"/>
            <w:vAlign w:val="center"/>
            <w:hideMark/>
          </w:tcPr>
          <w:p w:rsidR="00D20D9B" w:rsidRPr="0043547B" w:rsidRDefault="00D20D9B" w:rsidP="00914FAA">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Code :</w:t>
            </w:r>
          </w:p>
        </w:tc>
        <w:tc>
          <w:tcPr>
            <w:tcW w:w="7938" w:type="dxa"/>
            <w:tcBorders>
              <w:top w:val="single" w:sz="18" w:space="0" w:color="auto"/>
              <w:left w:val="single" w:sz="8" w:space="0" w:color="auto"/>
              <w:bottom w:val="single" w:sz="18" w:space="0" w:color="auto"/>
              <w:right w:val="single" w:sz="18" w:space="0" w:color="auto"/>
            </w:tcBorders>
            <w:shd w:val="clear" w:color="auto" w:fill="C2D69B" w:themeFill="accent3" w:themeFillTint="99"/>
            <w:noWrap/>
            <w:vAlign w:val="bottom"/>
            <w:hideMark/>
          </w:tcPr>
          <w:p w:rsidR="00D20D9B" w:rsidRPr="00D20D9B" w:rsidRDefault="00D20D9B" w:rsidP="00D20D9B">
            <w:pPr>
              <w:spacing w:after="0" w:line="240" w:lineRule="auto"/>
              <w:jc w:val="center"/>
              <w:rPr>
                <w:rFonts w:eastAsia="Times New Roman" w:cstheme="minorHAnsi"/>
                <w:b/>
                <w:bCs/>
                <w:sz w:val="24"/>
                <w:szCs w:val="24"/>
                <w:lang w:eastAsia="fr-FR"/>
              </w:rPr>
            </w:pPr>
            <w:r w:rsidRPr="00D20D9B">
              <w:rPr>
                <w:rFonts w:eastAsia="Times New Roman" w:cstheme="minorHAnsi"/>
                <w:b/>
                <w:bCs/>
                <w:sz w:val="24"/>
                <w:szCs w:val="24"/>
                <w:lang w:eastAsia="fr-FR"/>
              </w:rPr>
              <w:t>NM 21.9.032</w:t>
            </w:r>
          </w:p>
        </w:tc>
      </w:tr>
      <w:tr w:rsidR="00D20D9B" w:rsidRPr="0043547B" w:rsidTr="00914FA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1874" w:type="dxa"/>
            <w:gridSpan w:val="2"/>
            <w:tcBorders>
              <w:top w:val="single" w:sz="18" w:space="0" w:color="auto"/>
              <w:left w:val="single" w:sz="18" w:space="0" w:color="auto"/>
              <w:bottom w:val="single" w:sz="4" w:space="0" w:color="auto"/>
              <w:right w:val="single" w:sz="8" w:space="0" w:color="auto"/>
            </w:tcBorders>
            <w:shd w:val="clear" w:color="auto" w:fill="B8CCE4" w:themeFill="accent1" w:themeFillTint="66"/>
            <w:vAlign w:val="center"/>
            <w:hideMark/>
          </w:tcPr>
          <w:p w:rsidR="00D20D9B" w:rsidRPr="0043547B" w:rsidRDefault="00D20D9B" w:rsidP="00D20D9B">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Intitulé :</w:t>
            </w:r>
          </w:p>
        </w:tc>
        <w:tc>
          <w:tcPr>
            <w:tcW w:w="7938" w:type="dxa"/>
            <w:tcBorders>
              <w:top w:val="single" w:sz="18" w:space="0" w:color="auto"/>
              <w:left w:val="single" w:sz="8" w:space="0" w:color="auto"/>
              <w:bottom w:val="single" w:sz="4" w:space="0" w:color="auto"/>
              <w:right w:val="single" w:sz="18" w:space="0" w:color="auto"/>
            </w:tcBorders>
            <w:shd w:val="clear" w:color="auto" w:fill="auto"/>
            <w:hideMark/>
          </w:tcPr>
          <w:p w:rsidR="00D20D9B" w:rsidRPr="0043547B" w:rsidRDefault="00D20D9B" w:rsidP="00D20D9B">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Poteaux d’incendie - Complément de la NM EN 14384 : 2018  </w:t>
            </w:r>
          </w:p>
        </w:tc>
      </w:tr>
      <w:tr w:rsidR="00D20D9B" w:rsidRPr="0043547B" w:rsidTr="00914FA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64"/>
        </w:trPr>
        <w:tc>
          <w:tcPr>
            <w:tcW w:w="1874" w:type="dxa"/>
            <w:gridSpan w:val="2"/>
            <w:tcBorders>
              <w:top w:val="single" w:sz="4" w:space="0" w:color="auto"/>
              <w:left w:val="single" w:sz="18" w:space="0" w:color="auto"/>
              <w:bottom w:val="single" w:sz="18" w:space="0" w:color="auto"/>
              <w:right w:val="single" w:sz="8" w:space="0" w:color="auto"/>
            </w:tcBorders>
            <w:shd w:val="clear" w:color="auto" w:fill="D9D9D9" w:themeFill="background1" w:themeFillShade="D9"/>
            <w:vAlign w:val="center"/>
            <w:hideMark/>
          </w:tcPr>
          <w:p w:rsidR="00D20D9B" w:rsidRPr="0043547B" w:rsidRDefault="00D20D9B" w:rsidP="00D20D9B">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Domaine d’application :</w:t>
            </w:r>
          </w:p>
        </w:tc>
        <w:tc>
          <w:tcPr>
            <w:tcW w:w="7938" w:type="dxa"/>
            <w:tcBorders>
              <w:top w:val="single" w:sz="4" w:space="0" w:color="auto"/>
              <w:left w:val="single" w:sz="8" w:space="0" w:color="auto"/>
              <w:bottom w:val="single" w:sz="18" w:space="0" w:color="auto"/>
              <w:right w:val="single" w:sz="18" w:space="0" w:color="auto"/>
            </w:tcBorders>
            <w:shd w:val="clear" w:color="auto" w:fill="auto"/>
            <w:hideMark/>
          </w:tcPr>
          <w:p w:rsidR="00D20D9B" w:rsidRPr="0043547B" w:rsidRDefault="00D20D9B" w:rsidP="00914FAA">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s’applique aux poteaux d’incendie devant être installés sur un réseau de distribution d'eau, couverts par la norme NM EN 14384 et conformes pour leurs autres caractéristiques aux prescriptions de cette norme européenne.</w:t>
            </w:r>
          </w:p>
        </w:tc>
      </w:tr>
      <w:tr w:rsidR="00D20D9B" w:rsidRPr="0043547B" w:rsidTr="00914FA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1874" w:type="dxa"/>
            <w:gridSpan w:val="2"/>
            <w:tcBorders>
              <w:top w:val="single" w:sz="18" w:space="0" w:color="auto"/>
              <w:left w:val="single" w:sz="18" w:space="0" w:color="auto"/>
              <w:bottom w:val="single" w:sz="18" w:space="0" w:color="auto"/>
              <w:right w:val="single" w:sz="8" w:space="0" w:color="auto"/>
            </w:tcBorders>
            <w:shd w:val="clear" w:color="auto" w:fill="C2D69B" w:themeFill="accent3" w:themeFillTint="99"/>
            <w:vAlign w:val="center"/>
            <w:hideMark/>
          </w:tcPr>
          <w:p w:rsidR="00D20D9B" w:rsidRPr="0043547B" w:rsidRDefault="00D20D9B" w:rsidP="00914FAA">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Code :</w:t>
            </w:r>
          </w:p>
        </w:tc>
        <w:tc>
          <w:tcPr>
            <w:tcW w:w="7938" w:type="dxa"/>
            <w:tcBorders>
              <w:top w:val="single" w:sz="18" w:space="0" w:color="auto"/>
              <w:left w:val="single" w:sz="8" w:space="0" w:color="auto"/>
              <w:bottom w:val="single" w:sz="18" w:space="0" w:color="auto"/>
              <w:right w:val="single" w:sz="18" w:space="0" w:color="auto"/>
            </w:tcBorders>
            <w:shd w:val="clear" w:color="auto" w:fill="C2D69B" w:themeFill="accent3" w:themeFillTint="99"/>
            <w:hideMark/>
          </w:tcPr>
          <w:p w:rsidR="00D20D9B" w:rsidRPr="00D20D9B" w:rsidRDefault="00D20D9B" w:rsidP="00D20D9B">
            <w:pPr>
              <w:spacing w:after="0" w:line="240" w:lineRule="auto"/>
              <w:jc w:val="center"/>
              <w:rPr>
                <w:rFonts w:eastAsia="Times New Roman" w:cstheme="minorHAnsi"/>
                <w:b/>
                <w:bCs/>
                <w:sz w:val="24"/>
                <w:szCs w:val="24"/>
                <w:lang w:eastAsia="fr-FR"/>
              </w:rPr>
            </w:pPr>
            <w:r w:rsidRPr="00D20D9B">
              <w:rPr>
                <w:rFonts w:eastAsia="Times New Roman" w:cstheme="minorHAnsi"/>
                <w:b/>
                <w:bCs/>
                <w:sz w:val="24"/>
                <w:szCs w:val="24"/>
                <w:lang w:eastAsia="fr-FR"/>
              </w:rPr>
              <w:t>NM EN 54-16</w:t>
            </w:r>
          </w:p>
        </w:tc>
      </w:tr>
      <w:tr w:rsidR="00D20D9B" w:rsidRPr="0043547B" w:rsidTr="00914FA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1874" w:type="dxa"/>
            <w:gridSpan w:val="2"/>
            <w:tcBorders>
              <w:top w:val="single" w:sz="18" w:space="0" w:color="auto"/>
              <w:left w:val="single" w:sz="18" w:space="0" w:color="auto"/>
              <w:bottom w:val="single" w:sz="4" w:space="0" w:color="auto"/>
              <w:right w:val="single" w:sz="8" w:space="0" w:color="auto"/>
            </w:tcBorders>
            <w:shd w:val="clear" w:color="auto" w:fill="FDFBA9"/>
            <w:vAlign w:val="center"/>
            <w:hideMark/>
          </w:tcPr>
          <w:p w:rsidR="00D20D9B" w:rsidRPr="0043547B" w:rsidRDefault="00D20D9B" w:rsidP="00D20D9B">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Equivalence :</w:t>
            </w:r>
          </w:p>
        </w:tc>
        <w:tc>
          <w:tcPr>
            <w:tcW w:w="7938" w:type="dxa"/>
            <w:tcBorders>
              <w:top w:val="single" w:sz="18" w:space="0" w:color="auto"/>
              <w:left w:val="single" w:sz="8" w:space="0" w:color="auto"/>
              <w:bottom w:val="single" w:sz="4" w:space="0" w:color="auto"/>
              <w:right w:val="single" w:sz="18" w:space="0" w:color="auto"/>
            </w:tcBorders>
            <w:shd w:val="clear" w:color="auto" w:fill="FDFBA9"/>
            <w:vAlign w:val="center"/>
            <w:hideMark/>
          </w:tcPr>
          <w:p w:rsidR="00D20D9B" w:rsidRPr="00105D5C" w:rsidRDefault="00D20D9B" w:rsidP="00D20D9B">
            <w:pPr>
              <w:spacing w:after="0" w:line="240" w:lineRule="auto"/>
              <w:jc w:val="center"/>
              <w:rPr>
                <w:rFonts w:eastAsia="Times New Roman" w:cstheme="minorHAnsi"/>
                <w:b/>
                <w:bCs/>
                <w:sz w:val="24"/>
                <w:szCs w:val="24"/>
                <w:lang w:eastAsia="fr-FR"/>
              </w:rPr>
            </w:pPr>
            <w:r w:rsidRPr="00105D5C">
              <w:rPr>
                <w:rFonts w:eastAsia="Times New Roman" w:cstheme="minorHAnsi"/>
                <w:b/>
                <w:bCs/>
                <w:sz w:val="24"/>
                <w:szCs w:val="24"/>
                <w:lang w:eastAsia="fr-FR"/>
              </w:rPr>
              <w:t>EN 54-16</w:t>
            </w:r>
          </w:p>
        </w:tc>
      </w:tr>
      <w:tr w:rsidR="00D20D9B" w:rsidRPr="0043547B" w:rsidTr="00914FA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6"/>
        </w:trPr>
        <w:tc>
          <w:tcPr>
            <w:tcW w:w="1874" w:type="dxa"/>
            <w:gridSpan w:val="2"/>
            <w:tcBorders>
              <w:top w:val="single" w:sz="4" w:space="0" w:color="auto"/>
              <w:left w:val="single" w:sz="18" w:space="0" w:color="auto"/>
              <w:bottom w:val="single" w:sz="4" w:space="0" w:color="auto"/>
              <w:right w:val="single" w:sz="8" w:space="0" w:color="auto"/>
            </w:tcBorders>
            <w:shd w:val="clear" w:color="auto" w:fill="B8CCE4" w:themeFill="accent1" w:themeFillTint="66"/>
            <w:vAlign w:val="center"/>
            <w:hideMark/>
          </w:tcPr>
          <w:p w:rsidR="00D20D9B" w:rsidRPr="0043547B" w:rsidRDefault="00D20D9B" w:rsidP="00D20D9B">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Intitulé :</w:t>
            </w:r>
          </w:p>
        </w:tc>
        <w:tc>
          <w:tcPr>
            <w:tcW w:w="7938" w:type="dxa"/>
            <w:tcBorders>
              <w:top w:val="single" w:sz="4" w:space="0" w:color="auto"/>
              <w:left w:val="single" w:sz="8" w:space="0" w:color="auto"/>
              <w:bottom w:val="single" w:sz="4" w:space="0" w:color="auto"/>
              <w:right w:val="single" w:sz="18" w:space="0" w:color="auto"/>
            </w:tcBorders>
            <w:shd w:val="clear" w:color="auto" w:fill="auto"/>
            <w:hideMark/>
          </w:tcPr>
          <w:p w:rsidR="00D20D9B" w:rsidRPr="0043547B" w:rsidRDefault="00D20D9B" w:rsidP="00D20D9B">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Systèmes de détection et d'alarme incendie - Partie 16 : Elément central du système d'alarme incendie vocale  </w:t>
            </w:r>
          </w:p>
        </w:tc>
      </w:tr>
      <w:tr w:rsidR="00D20D9B" w:rsidRPr="0043547B" w:rsidTr="00914FA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32"/>
        </w:trPr>
        <w:tc>
          <w:tcPr>
            <w:tcW w:w="1874" w:type="dxa"/>
            <w:gridSpan w:val="2"/>
            <w:tcBorders>
              <w:top w:val="single" w:sz="4" w:space="0" w:color="auto"/>
              <w:left w:val="single" w:sz="18" w:space="0" w:color="auto"/>
              <w:bottom w:val="single" w:sz="18" w:space="0" w:color="auto"/>
              <w:right w:val="single" w:sz="8" w:space="0" w:color="auto"/>
            </w:tcBorders>
            <w:shd w:val="clear" w:color="auto" w:fill="D9D9D9" w:themeFill="background1" w:themeFillShade="D9"/>
            <w:vAlign w:val="center"/>
            <w:hideMark/>
          </w:tcPr>
          <w:p w:rsidR="00D20D9B" w:rsidRPr="0043547B" w:rsidRDefault="00D20D9B" w:rsidP="00D20D9B">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lastRenderedPageBreak/>
              <w:t>Domaine d’application :</w:t>
            </w:r>
          </w:p>
        </w:tc>
        <w:tc>
          <w:tcPr>
            <w:tcW w:w="7938" w:type="dxa"/>
            <w:tcBorders>
              <w:top w:val="single" w:sz="4" w:space="0" w:color="auto"/>
              <w:left w:val="single" w:sz="8" w:space="0" w:color="auto"/>
              <w:bottom w:val="single" w:sz="18" w:space="0" w:color="auto"/>
              <w:right w:val="single" w:sz="18" w:space="0" w:color="auto"/>
            </w:tcBorders>
            <w:shd w:val="clear" w:color="auto" w:fill="auto"/>
            <w:hideMark/>
          </w:tcPr>
          <w:p w:rsidR="00105D5C" w:rsidRDefault="00D20D9B" w:rsidP="00914FAA">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européenne prescrit les exigences, les méthodes d'essai et les critères de performance des équipements de contrôle et de signalisation d'alarme vocale destinés à être utilisés dans les systèmes de détection et d'alarme incendie installés dans les bâtiments où le signal sonore d'alarme retentit sous la forme de tonalité(s) et/ou de message(s) vocal(aux).</w:t>
            </w:r>
            <w:r w:rsidRPr="0043547B">
              <w:rPr>
                <w:rFonts w:eastAsia="Times New Roman" w:cstheme="minorHAnsi"/>
                <w:sz w:val="24"/>
                <w:szCs w:val="24"/>
                <w:lang w:eastAsia="fr-FR"/>
              </w:rPr>
              <w:br/>
              <w:t>Elle prescrit également l'évaluation de la conformité de l'équipement conformément aux exigences de la présente Norme européenne.</w:t>
            </w:r>
            <w:r w:rsidRPr="0043547B">
              <w:rPr>
                <w:rFonts w:eastAsia="Times New Roman" w:cstheme="minorHAnsi"/>
                <w:sz w:val="24"/>
                <w:szCs w:val="24"/>
                <w:lang w:eastAsia="fr-FR"/>
              </w:rPr>
              <w:br/>
            </w:r>
            <w:r w:rsidRPr="00914FAA">
              <w:rPr>
                <w:rFonts w:eastAsia="Times New Roman" w:cstheme="minorHAnsi"/>
                <w:b/>
                <w:bCs/>
                <w:i/>
                <w:iCs/>
                <w:w w:val="98"/>
                <w:lang w:eastAsia="fr-FR"/>
              </w:rPr>
              <w:t xml:space="preserve">NOTE : </w:t>
            </w:r>
            <w:r w:rsidRPr="00914FAA">
              <w:rPr>
                <w:rFonts w:eastAsia="Times New Roman" w:cstheme="minorHAnsi"/>
                <w:i/>
                <w:iCs/>
                <w:w w:val="98"/>
                <w:lang w:eastAsia="fr-FR"/>
              </w:rPr>
              <w:t>Les exigences générales d'un système d'alarme vocale, notamment celles relatives à l'audibilité et à l'intelligibilité, ne sont pas couvertes par cette partie de l'EN 54.</w:t>
            </w:r>
            <w:r w:rsidRPr="00914FAA">
              <w:rPr>
                <w:rFonts w:eastAsia="Times New Roman" w:cstheme="minorHAnsi"/>
                <w:lang w:eastAsia="fr-FR"/>
              </w:rPr>
              <w:t xml:space="preserve">                           </w:t>
            </w:r>
          </w:p>
          <w:p w:rsidR="00D20D9B" w:rsidRPr="0043547B" w:rsidRDefault="00D20D9B" w:rsidP="00914FAA">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Il convient que le constructeur prenne en compte les exigences d'un système général qui peuvent affecter la conception de l'équipement. De telles exigences de système peuvent être spécifiées dans une autre partie de l'EN 54, dans des législations, des codes et normes nationaux ou dans des documents contractuels.</w:t>
            </w:r>
          </w:p>
        </w:tc>
      </w:tr>
      <w:tr w:rsidR="00D20D9B" w:rsidRPr="0043547B" w:rsidTr="00DA41A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1874" w:type="dxa"/>
            <w:gridSpan w:val="2"/>
            <w:tcBorders>
              <w:top w:val="single" w:sz="18" w:space="0" w:color="auto"/>
              <w:left w:val="single" w:sz="18" w:space="0" w:color="auto"/>
              <w:bottom w:val="single" w:sz="18" w:space="0" w:color="auto"/>
              <w:right w:val="single" w:sz="8" w:space="0" w:color="auto"/>
            </w:tcBorders>
            <w:shd w:val="clear" w:color="auto" w:fill="C2D69B" w:themeFill="accent3" w:themeFillTint="99"/>
            <w:vAlign w:val="center"/>
            <w:hideMark/>
          </w:tcPr>
          <w:p w:rsidR="00D20D9B" w:rsidRPr="0043547B" w:rsidRDefault="00D20D9B" w:rsidP="00DA41AA">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Code :</w:t>
            </w:r>
          </w:p>
        </w:tc>
        <w:tc>
          <w:tcPr>
            <w:tcW w:w="7938" w:type="dxa"/>
            <w:tcBorders>
              <w:top w:val="single" w:sz="18" w:space="0" w:color="auto"/>
              <w:left w:val="single" w:sz="8" w:space="0" w:color="auto"/>
              <w:bottom w:val="single" w:sz="18" w:space="0" w:color="auto"/>
              <w:right w:val="single" w:sz="18" w:space="0" w:color="auto"/>
            </w:tcBorders>
            <w:shd w:val="clear" w:color="auto" w:fill="C2D69B" w:themeFill="accent3" w:themeFillTint="99"/>
            <w:hideMark/>
          </w:tcPr>
          <w:p w:rsidR="00D20D9B" w:rsidRPr="00D20D9B" w:rsidRDefault="00D20D9B" w:rsidP="00D20D9B">
            <w:pPr>
              <w:spacing w:after="0" w:line="240" w:lineRule="auto"/>
              <w:jc w:val="center"/>
              <w:rPr>
                <w:rFonts w:eastAsia="Times New Roman" w:cstheme="minorHAnsi"/>
                <w:b/>
                <w:bCs/>
                <w:sz w:val="24"/>
                <w:szCs w:val="24"/>
                <w:lang w:eastAsia="fr-FR"/>
              </w:rPr>
            </w:pPr>
            <w:r w:rsidRPr="00D20D9B">
              <w:rPr>
                <w:rFonts w:eastAsia="Times New Roman" w:cstheme="minorHAnsi"/>
                <w:b/>
                <w:bCs/>
                <w:sz w:val="24"/>
                <w:szCs w:val="24"/>
                <w:lang w:eastAsia="fr-FR"/>
              </w:rPr>
              <w:t>NM EN 54-23</w:t>
            </w:r>
          </w:p>
        </w:tc>
      </w:tr>
      <w:tr w:rsidR="00D20D9B" w:rsidRPr="0043547B" w:rsidTr="00DA41A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1874" w:type="dxa"/>
            <w:gridSpan w:val="2"/>
            <w:tcBorders>
              <w:top w:val="single" w:sz="18" w:space="0" w:color="auto"/>
              <w:left w:val="single" w:sz="18" w:space="0" w:color="auto"/>
              <w:bottom w:val="single" w:sz="4" w:space="0" w:color="auto"/>
              <w:right w:val="single" w:sz="8" w:space="0" w:color="auto"/>
            </w:tcBorders>
            <w:shd w:val="clear" w:color="auto" w:fill="FDFBA9"/>
            <w:vAlign w:val="center"/>
            <w:hideMark/>
          </w:tcPr>
          <w:p w:rsidR="00D20D9B" w:rsidRPr="0043547B" w:rsidRDefault="00D20D9B" w:rsidP="00D20D9B">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Equivalence :</w:t>
            </w:r>
          </w:p>
        </w:tc>
        <w:tc>
          <w:tcPr>
            <w:tcW w:w="7938" w:type="dxa"/>
            <w:tcBorders>
              <w:top w:val="single" w:sz="18" w:space="0" w:color="auto"/>
              <w:left w:val="single" w:sz="8" w:space="0" w:color="auto"/>
              <w:bottom w:val="single" w:sz="4" w:space="0" w:color="auto"/>
              <w:right w:val="single" w:sz="18" w:space="0" w:color="auto"/>
            </w:tcBorders>
            <w:shd w:val="clear" w:color="auto" w:fill="FDFBA9"/>
            <w:vAlign w:val="center"/>
            <w:hideMark/>
          </w:tcPr>
          <w:p w:rsidR="00D20D9B" w:rsidRPr="00105D5C" w:rsidRDefault="00D20D9B" w:rsidP="00D20D9B">
            <w:pPr>
              <w:spacing w:after="0" w:line="240" w:lineRule="auto"/>
              <w:jc w:val="center"/>
              <w:rPr>
                <w:rFonts w:eastAsia="Times New Roman" w:cstheme="minorHAnsi"/>
                <w:b/>
                <w:bCs/>
                <w:sz w:val="24"/>
                <w:szCs w:val="24"/>
                <w:lang w:eastAsia="fr-FR"/>
              </w:rPr>
            </w:pPr>
            <w:r w:rsidRPr="00105D5C">
              <w:rPr>
                <w:rFonts w:eastAsia="Times New Roman" w:cstheme="minorHAnsi"/>
                <w:b/>
                <w:bCs/>
                <w:sz w:val="24"/>
                <w:szCs w:val="24"/>
                <w:lang w:eastAsia="fr-FR"/>
              </w:rPr>
              <w:t>EN 54-23</w:t>
            </w:r>
          </w:p>
        </w:tc>
      </w:tr>
      <w:tr w:rsidR="00D20D9B" w:rsidRPr="0043547B" w:rsidTr="00DA41A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6"/>
        </w:trPr>
        <w:tc>
          <w:tcPr>
            <w:tcW w:w="1874" w:type="dxa"/>
            <w:gridSpan w:val="2"/>
            <w:tcBorders>
              <w:top w:val="single" w:sz="4" w:space="0" w:color="auto"/>
              <w:left w:val="single" w:sz="18" w:space="0" w:color="auto"/>
              <w:bottom w:val="single" w:sz="4" w:space="0" w:color="auto"/>
              <w:right w:val="single" w:sz="8" w:space="0" w:color="auto"/>
            </w:tcBorders>
            <w:shd w:val="clear" w:color="auto" w:fill="B8CCE4" w:themeFill="accent1" w:themeFillTint="66"/>
            <w:vAlign w:val="center"/>
            <w:hideMark/>
          </w:tcPr>
          <w:p w:rsidR="00D20D9B" w:rsidRPr="0043547B" w:rsidRDefault="00D20D9B" w:rsidP="00D20D9B">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Intitulé :</w:t>
            </w:r>
          </w:p>
        </w:tc>
        <w:tc>
          <w:tcPr>
            <w:tcW w:w="7938" w:type="dxa"/>
            <w:tcBorders>
              <w:top w:val="single" w:sz="4" w:space="0" w:color="auto"/>
              <w:left w:val="single" w:sz="8" w:space="0" w:color="auto"/>
              <w:bottom w:val="single" w:sz="4" w:space="0" w:color="auto"/>
              <w:right w:val="single" w:sz="18" w:space="0" w:color="auto"/>
            </w:tcBorders>
            <w:shd w:val="clear" w:color="auto" w:fill="auto"/>
            <w:hideMark/>
          </w:tcPr>
          <w:p w:rsidR="00D20D9B" w:rsidRPr="0043547B" w:rsidRDefault="00D20D9B" w:rsidP="00D20D9B">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Systèmes de détection et d'alarme incendie - Partie 23 : Dispositifs d'alarme feu - Dispositifs visuels d'alarme feu  </w:t>
            </w:r>
          </w:p>
        </w:tc>
      </w:tr>
      <w:tr w:rsidR="00D20D9B" w:rsidRPr="0043547B" w:rsidTr="00914FA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43"/>
        </w:trPr>
        <w:tc>
          <w:tcPr>
            <w:tcW w:w="1874" w:type="dxa"/>
            <w:gridSpan w:val="2"/>
            <w:tcBorders>
              <w:top w:val="single" w:sz="4" w:space="0" w:color="auto"/>
              <w:left w:val="single" w:sz="18" w:space="0" w:color="auto"/>
              <w:bottom w:val="single" w:sz="18" w:space="0" w:color="auto"/>
              <w:right w:val="single" w:sz="8" w:space="0" w:color="auto"/>
            </w:tcBorders>
            <w:shd w:val="clear" w:color="auto" w:fill="D9D9D9" w:themeFill="background1" w:themeFillShade="D9"/>
            <w:vAlign w:val="center"/>
            <w:hideMark/>
          </w:tcPr>
          <w:p w:rsidR="00D20D9B" w:rsidRPr="0043547B" w:rsidRDefault="00D20D9B" w:rsidP="00D20D9B">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Domaine d’application :</w:t>
            </w:r>
          </w:p>
        </w:tc>
        <w:tc>
          <w:tcPr>
            <w:tcW w:w="7938" w:type="dxa"/>
            <w:tcBorders>
              <w:top w:val="single" w:sz="4" w:space="0" w:color="auto"/>
              <w:left w:val="single" w:sz="8" w:space="0" w:color="auto"/>
              <w:bottom w:val="single" w:sz="18" w:space="0" w:color="auto"/>
              <w:right w:val="single" w:sz="18" w:space="0" w:color="auto"/>
            </w:tcBorders>
            <w:shd w:val="clear" w:color="auto" w:fill="auto"/>
            <w:hideMark/>
          </w:tcPr>
          <w:p w:rsidR="00DA41AA" w:rsidRDefault="00D20D9B" w:rsidP="00DA41AA">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européenne spécifie les exigences, les méthodes d'essai et les critères de performance pour les dispositifs visuels d'alarme feu dans une installation fixe destinés à donner un avertissement visuel de feu entre</w:t>
            </w:r>
            <w:r w:rsidRPr="0043547B">
              <w:rPr>
                <w:rFonts w:eastAsia="Times New Roman" w:cstheme="minorHAnsi"/>
                <w:sz w:val="24"/>
                <w:szCs w:val="24"/>
                <w:lang w:eastAsia="fr-FR"/>
              </w:rPr>
              <w:br/>
              <w:t>un système de détection d’incendie et d'alarme feu et les occupants d'un bâtiment (Voir élément C de la Figure 1 de l'EN 54-1:1996). Elle est destinée à couvrir uniquement les dispositifs qui tirent leur puissance de fonctionnement</w:t>
            </w:r>
            <w:r w:rsidRPr="0043547B">
              <w:rPr>
                <w:rFonts w:eastAsia="Times New Roman" w:cstheme="minorHAnsi"/>
                <w:sz w:val="24"/>
                <w:szCs w:val="24"/>
                <w:lang w:eastAsia="fr-FR"/>
              </w:rPr>
              <w:br/>
              <w:t>au moyen d'un raccordement électrique physique à une source externe tel qu'un système de détection incendie et d’alarme feu.</w:t>
            </w:r>
          </w:p>
          <w:p w:rsidR="00DA41AA" w:rsidRDefault="00D20D9B" w:rsidP="00DA41AA">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européenne spécifie l'évaluation de conformité et le marquage des dispositifs visuels d'alarme feu.</w:t>
            </w:r>
          </w:p>
          <w:p w:rsidR="00DA41AA" w:rsidRDefault="00D20D9B" w:rsidP="00DA41AA">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européenne s'applique aux dispositifs visuels d’alarme feu dont le fonctionnement repose sur un logiciel et aux dispositifs pour lesquels ce n'est pas le cas.</w:t>
            </w:r>
          </w:p>
          <w:p w:rsidR="00DA41AA" w:rsidRDefault="00D20D9B" w:rsidP="00DA41AA">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européenne s'applique uniquement aux dispositifs visuels d'alarme feu à clignotement ou à impulsions, par exemple flashes au xénon ou gyrophares. Sont exclus de la présente Norme européenne les dispositifs à émission lumineuse continue.</w:t>
            </w:r>
          </w:p>
          <w:p w:rsidR="00D20D9B" w:rsidRPr="0043547B" w:rsidRDefault="00D20D9B" w:rsidP="00DA41AA">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européenne n'est pas destinée à couvrir les indicateurs visuels, par exemple sur les détecteurs ou sur l'équipement de contrôle et de signalisation.</w:t>
            </w:r>
          </w:p>
        </w:tc>
      </w:tr>
      <w:tr w:rsidR="00D20D9B" w:rsidRPr="0043547B" w:rsidTr="00DA41A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1874" w:type="dxa"/>
            <w:gridSpan w:val="2"/>
            <w:tcBorders>
              <w:top w:val="single" w:sz="18" w:space="0" w:color="auto"/>
              <w:left w:val="single" w:sz="18" w:space="0" w:color="auto"/>
              <w:bottom w:val="single" w:sz="18" w:space="0" w:color="auto"/>
              <w:right w:val="single" w:sz="8" w:space="0" w:color="auto"/>
            </w:tcBorders>
            <w:shd w:val="clear" w:color="auto" w:fill="C2D69B" w:themeFill="accent3" w:themeFillTint="99"/>
            <w:vAlign w:val="center"/>
            <w:hideMark/>
          </w:tcPr>
          <w:p w:rsidR="00D20D9B" w:rsidRPr="0043547B" w:rsidRDefault="00D20D9B" w:rsidP="00DA41AA">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Code :</w:t>
            </w:r>
          </w:p>
        </w:tc>
        <w:tc>
          <w:tcPr>
            <w:tcW w:w="7938" w:type="dxa"/>
            <w:tcBorders>
              <w:top w:val="single" w:sz="18" w:space="0" w:color="auto"/>
              <w:left w:val="single" w:sz="8" w:space="0" w:color="auto"/>
              <w:bottom w:val="single" w:sz="18" w:space="0" w:color="auto"/>
              <w:right w:val="single" w:sz="18" w:space="0" w:color="auto"/>
            </w:tcBorders>
            <w:shd w:val="clear" w:color="auto" w:fill="C2D69B" w:themeFill="accent3" w:themeFillTint="99"/>
            <w:hideMark/>
          </w:tcPr>
          <w:p w:rsidR="00D20D9B" w:rsidRPr="00D20D9B" w:rsidRDefault="00D20D9B" w:rsidP="00D20D9B">
            <w:pPr>
              <w:spacing w:after="0" w:line="240" w:lineRule="auto"/>
              <w:jc w:val="center"/>
              <w:rPr>
                <w:rFonts w:eastAsia="Times New Roman" w:cstheme="minorHAnsi"/>
                <w:b/>
                <w:bCs/>
                <w:sz w:val="24"/>
                <w:szCs w:val="24"/>
                <w:lang w:eastAsia="fr-FR"/>
              </w:rPr>
            </w:pPr>
            <w:r w:rsidRPr="00D20D9B">
              <w:rPr>
                <w:rFonts w:eastAsia="Times New Roman" w:cstheme="minorHAnsi"/>
                <w:b/>
                <w:bCs/>
                <w:sz w:val="24"/>
                <w:szCs w:val="24"/>
                <w:lang w:eastAsia="fr-FR"/>
              </w:rPr>
              <w:t>NM EN 54-24</w:t>
            </w:r>
          </w:p>
        </w:tc>
      </w:tr>
      <w:tr w:rsidR="00D20D9B" w:rsidRPr="0043547B" w:rsidTr="00DA41A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1874" w:type="dxa"/>
            <w:gridSpan w:val="2"/>
            <w:tcBorders>
              <w:top w:val="single" w:sz="18" w:space="0" w:color="auto"/>
              <w:left w:val="single" w:sz="18" w:space="0" w:color="auto"/>
              <w:bottom w:val="single" w:sz="4" w:space="0" w:color="auto"/>
              <w:right w:val="single" w:sz="4" w:space="0" w:color="auto"/>
            </w:tcBorders>
            <w:shd w:val="clear" w:color="auto" w:fill="FDFBA9"/>
            <w:vAlign w:val="center"/>
            <w:hideMark/>
          </w:tcPr>
          <w:p w:rsidR="00D20D9B" w:rsidRPr="0043547B" w:rsidRDefault="00D20D9B" w:rsidP="00D20D9B">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Equivalence :</w:t>
            </w:r>
          </w:p>
        </w:tc>
        <w:tc>
          <w:tcPr>
            <w:tcW w:w="7938" w:type="dxa"/>
            <w:tcBorders>
              <w:top w:val="single" w:sz="18" w:space="0" w:color="auto"/>
              <w:left w:val="single" w:sz="4" w:space="0" w:color="auto"/>
              <w:bottom w:val="single" w:sz="4" w:space="0" w:color="auto"/>
              <w:right w:val="single" w:sz="18" w:space="0" w:color="auto"/>
            </w:tcBorders>
            <w:shd w:val="clear" w:color="auto" w:fill="FDFBA9"/>
            <w:vAlign w:val="center"/>
            <w:hideMark/>
          </w:tcPr>
          <w:p w:rsidR="00D20D9B" w:rsidRPr="00105D5C" w:rsidRDefault="00D20D9B" w:rsidP="00D20D9B">
            <w:pPr>
              <w:spacing w:after="0" w:line="240" w:lineRule="auto"/>
              <w:jc w:val="center"/>
              <w:rPr>
                <w:rFonts w:eastAsia="Times New Roman" w:cstheme="minorHAnsi"/>
                <w:b/>
                <w:bCs/>
                <w:sz w:val="24"/>
                <w:szCs w:val="24"/>
                <w:lang w:eastAsia="fr-FR"/>
              </w:rPr>
            </w:pPr>
            <w:r w:rsidRPr="00105D5C">
              <w:rPr>
                <w:rFonts w:eastAsia="Times New Roman" w:cstheme="minorHAnsi"/>
                <w:b/>
                <w:bCs/>
                <w:sz w:val="24"/>
                <w:szCs w:val="24"/>
                <w:lang w:eastAsia="fr-FR"/>
              </w:rPr>
              <w:t>EN 54-24</w:t>
            </w:r>
          </w:p>
        </w:tc>
      </w:tr>
      <w:tr w:rsidR="00D20D9B" w:rsidRPr="0043547B" w:rsidTr="00DA41A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6"/>
        </w:trPr>
        <w:tc>
          <w:tcPr>
            <w:tcW w:w="1874" w:type="dxa"/>
            <w:gridSpan w:val="2"/>
            <w:tcBorders>
              <w:top w:val="single" w:sz="4" w:space="0" w:color="auto"/>
              <w:left w:val="single" w:sz="18" w:space="0" w:color="auto"/>
              <w:bottom w:val="single" w:sz="4" w:space="0" w:color="auto"/>
              <w:right w:val="single" w:sz="4" w:space="0" w:color="auto"/>
            </w:tcBorders>
            <w:shd w:val="clear" w:color="auto" w:fill="B8CCE4" w:themeFill="accent1" w:themeFillTint="66"/>
            <w:vAlign w:val="center"/>
            <w:hideMark/>
          </w:tcPr>
          <w:p w:rsidR="00D20D9B" w:rsidRPr="0043547B" w:rsidRDefault="00D20D9B" w:rsidP="00D20D9B">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Intitulé :</w:t>
            </w:r>
          </w:p>
        </w:tc>
        <w:tc>
          <w:tcPr>
            <w:tcW w:w="7938" w:type="dxa"/>
            <w:tcBorders>
              <w:top w:val="single" w:sz="4" w:space="0" w:color="auto"/>
              <w:left w:val="single" w:sz="4" w:space="0" w:color="auto"/>
              <w:bottom w:val="single" w:sz="4" w:space="0" w:color="auto"/>
              <w:right w:val="single" w:sz="18" w:space="0" w:color="auto"/>
            </w:tcBorders>
            <w:shd w:val="clear" w:color="auto" w:fill="auto"/>
            <w:hideMark/>
          </w:tcPr>
          <w:p w:rsidR="00D20D9B" w:rsidRPr="0043547B" w:rsidRDefault="00D20D9B" w:rsidP="00D20D9B">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Systèmes de détection et d'alarme incendie - Partie 24 : Composants des systèmes d'alarme vocale - Haut-parleurs  </w:t>
            </w:r>
          </w:p>
        </w:tc>
      </w:tr>
      <w:tr w:rsidR="00D20D9B" w:rsidRPr="0043547B" w:rsidTr="00DA41A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8"/>
        </w:trPr>
        <w:tc>
          <w:tcPr>
            <w:tcW w:w="1874" w:type="dxa"/>
            <w:gridSpan w:val="2"/>
            <w:tcBorders>
              <w:top w:val="single" w:sz="4" w:space="0" w:color="auto"/>
              <w:left w:val="single" w:sz="18" w:space="0" w:color="auto"/>
              <w:bottom w:val="single" w:sz="18" w:space="0" w:color="auto"/>
              <w:right w:val="single" w:sz="8" w:space="0" w:color="auto"/>
            </w:tcBorders>
            <w:shd w:val="clear" w:color="auto" w:fill="D9D9D9" w:themeFill="background1" w:themeFillShade="D9"/>
            <w:vAlign w:val="center"/>
            <w:hideMark/>
          </w:tcPr>
          <w:p w:rsidR="00D20D9B" w:rsidRPr="0043547B" w:rsidRDefault="00D20D9B" w:rsidP="00D20D9B">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lastRenderedPageBreak/>
              <w:t>Domaine d’application :</w:t>
            </w:r>
          </w:p>
        </w:tc>
        <w:tc>
          <w:tcPr>
            <w:tcW w:w="7938" w:type="dxa"/>
            <w:tcBorders>
              <w:top w:val="single" w:sz="4" w:space="0" w:color="auto"/>
              <w:left w:val="single" w:sz="8" w:space="0" w:color="auto"/>
              <w:bottom w:val="single" w:sz="18" w:space="0" w:color="auto"/>
              <w:right w:val="single" w:sz="18" w:space="0" w:color="auto"/>
            </w:tcBorders>
            <w:shd w:val="clear" w:color="auto" w:fill="auto"/>
            <w:hideMark/>
          </w:tcPr>
          <w:p w:rsidR="00DA41AA" w:rsidRDefault="00D20D9B" w:rsidP="00DA41AA">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partie de la Norme européenne spécifie les exigences, les méthodes d’essai et les critères de performance pour les haut-parleurs destinés à diffuser un avertissement d’incendie, depuis le système de détection et d’alarme incendie vers les occupants d’un bâtiment.</w:t>
            </w:r>
          </w:p>
          <w:p w:rsidR="00DA41AA" w:rsidRDefault="00D20D9B" w:rsidP="00DA41AA">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partie de la Norme européenne définit les exigences concernant les haut-parleurs pour les deux types d’environnement d’utilisation suivants : le type A pour l’utilisation habituelle en intérieur et le type B pour l’utilisation</w:t>
            </w:r>
            <w:r w:rsidRPr="0043547B">
              <w:rPr>
                <w:rFonts w:eastAsia="Times New Roman" w:cstheme="minorHAnsi"/>
                <w:sz w:val="24"/>
                <w:szCs w:val="24"/>
                <w:lang w:eastAsia="fr-FR"/>
              </w:rPr>
              <w:br/>
              <w:t>habituelle en extérieur.</w:t>
            </w:r>
          </w:p>
          <w:p w:rsidR="00DA41AA" w:rsidRDefault="00D20D9B" w:rsidP="00DA41AA">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partie de la Norme européenne ne couvre pas les haut-parleurs destinés à des applications particulières, comme par exemple les haut-parleurs utilisés dans des applications dangereuses, si ces applications requièrent des</w:t>
            </w:r>
            <w:r w:rsidRPr="0043547B">
              <w:rPr>
                <w:rFonts w:eastAsia="Times New Roman" w:cstheme="minorHAnsi"/>
                <w:sz w:val="24"/>
                <w:szCs w:val="24"/>
                <w:lang w:eastAsia="fr-FR"/>
              </w:rPr>
              <w:br/>
              <w:t>exigences complémentaires ou alors des exigences ou essais différents de ceux fournis dans la présente partie de la Norme européenne.</w:t>
            </w:r>
          </w:p>
          <w:p w:rsidR="00D20D9B" w:rsidRPr="0043547B" w:rsidRDefault="00D20D9B" w:rsidP="00DA41AA">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partie de la Norme européenne n’est pas destinée à traiter les haut-parleurs adressables ou des haut-parleurs dotés de composants actifs.</w:t>
            </w:r>
            <w:r w:rsidRPr="0043547B">
              <w:rPr>
                <w:rFonts w:eastAsia="Times New Roman" w:cstheme="minorHAnsi"/>
                <w:sz w:val="24"/>
                <w:szCs w:val="24"/>
                <w:lang w:eastAsia="fr-FR"/>
              </w:rPr>
              <w:br/>
              <w:t>Les dispositifs sonores d’alarme vocale sont traités dans l’EN 54-3:2001.</w:t>
            </w:r>
          </w:p>
        </w:tc>
      </w:tr>
      <w:tr w:rsidR="00D20D9B" w:rsidRPr="0043547B" w:rsidTr="00F226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1874" w:type="dxa"/>
            <w:gridSpan w:val="2"/>
            <w:tcBorders>
              <w:top w:val="single" w:sz="18" w:space="0" w:color="auto"/>
              <w:left w:val="single" w:sz="18" w:space="0" w:color="auto"/>
              <w:bottom w:val="single" w:sz="18" w:space="0" w:color="auto"/>
              <w:right w:val="single" w:sz="8" w:space="0" w:color="auto"/>
            </w:tcBorders>
            <w:shd w:val="clear" w:color="auto" w:fill="C2D69B" w:themeFill="accent3" w:themeFillTint="99"/>
            <w:vAlign w:val="center"/>
            <w:hideMark/>
          </w:tcPr>
          <w:p w:rsidR="00D20D9B" w:rsidRPr="0043547B" w:rsidRDefault="00D20D9B" w:rsidP="009E0DB9">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Code :</w:t>
            </w:r>
          </w:p>
        </w:tc>
        <w:tc>
          <w:tcPr>
            <w:tcW w:w="7938" w:type="dxa"/>
            <w:tcBorders>
              <w:top w:val="single" w:sz="18" w:space="0" w:color="auto"/>
              <w:left w:val="single" w:sz="8" w:space="0" w:color="auto"/>
              <w:bottom w:val="single" w:sz="18" w:space="0" w:color="auto"/>
              <w:right w:val="single" w:sz="18" w:space="0" w:color="auto"/>
            </w:tcBorders>
            <w:shd w:val="clear" w:color="auto" w:fill="C2D69B" w:themeFill="accent3" w:themeFillTint="99"/>
            <w:hideMark/>
          </w:tcPr>
          <w:p w:rsidR="00D20D9B" w:rsidRPr="00D20D9B" w:rsidRDefault="00D20D9B" w:rsidP="00D20D9B">
            <w:pPr>
              <w:spacing w:after="0" w:line="240" w:lineRule="auto"/>
              <w:jc w:val="center"/>
              <w:rPr>
                <w:rFonts w:eastAsia="Times New Roman" w:cstheme="minorHAnsi"/>
                <w:b/>
                <w:bCs/>
                <w:sz w:val="24"/>
                <w:szCs w:val="24"/>
                <w:lang w:eastAsia="fr-FR"/>
              </w:rPr>
            </w:pPr>
            <w:r w:rsidRPr="00D20D9B">
              <w:rPr>
                <w:rFonts w:eastAsia="Times New Roman" w:cstheme="minorHAnsi"/>
                <w:b/>
                <w:bCs/>
                <w:sz w:val="24"/>
                <w:szCs w:val="24"/>
                <w:lang w:eastAsia="fr-FR"/>
              </w:rPr>
              <w:t>NM EN 54-25</w:t>
            </w:r>
          </w:p>
        </w:tc>
      </w:tr>
      <w:tr w:rsidR="00D20D9B" w:rsidRPr="0043547B" w:rsidTr="00F226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1874" w:type="dxa"/>
            <w:gridSpan w:val="2"/>
            <w:tcBorders>
              <w:top w:val="single" w:sz="18" w:space="0" w:color="auto"/>
              <w:left w:val="single" w:sz="18" w:space="0" w:color="auto"/>
              <w:bottom w:val="single" w:sz="4" w:space="0" w:color="auto"/>
              <w:right w:val="single" w:sz="8" w:space="0" w:color="auto"/>
            </w:tcBorders>
            <w:shd w:val="clear" w:color="auto" w:fill="FDFBA9"/>
            <w:vAlign w:val="center"/>
            <w:hideMark/>
          </w:tcPr>
          <w:p w:rsidR="00D20D9B" w:rsidRPr="0043547B" w:rsidRDefault="00D20D9B" w:rsidP="00D20D9B">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Equivalence :</w:t>
            </w:r>
          </w:p>
        </w:tc>
        <w:tc>
          <w:tcPr>
            <w:tcW w:w="7938" w:type="dxa"/>
            <w:tcBorders>
              <w:top w:val="single" w:sz="18" w:space="0" w:color="auto"/>
              <w:left w:val="single" w:sz="8" w:space="0" w:color="auto"/>
              <w:bottom w:val="single" w:sz="4" w:space="0" w:color="auto"/>
              <w:right w:val="single" w:sz="18" w:space="0" w:color="auto"/>
            </w:tcBorders>
            <w:shd w:val="clear" w:color="auto" w:fill="FDFBA9"/>
            <w:vAlign w:val="center"/>
            <w:hideMark/>
          </w:tcPr>
          <w:p w:rsidR="00D20D9B" w:rsidRPr="00105D5C" w:rsidRDefault="00D20D9B" w:rsidP="00D20D9B">
            <w:pPr>
              <w:spacing w:after="0" w:line="240" w:lineRule="auto"/>
              <w:jc w:val="center"/>
              <w:rPr>
                <w:rFonts w:eastAsia="Times New Roman" w:cstheme="minorHAnsi"/>
                <w:b/>
                <w:bCs/>
                <w:sz w:val="24"/>
                <w:szCs w:val="24"/>
                <w:lang w:eastAsia="fr-FR"/>
              </w:rPr>
            </w:pPr>
            <w:r w:rsidRPr="00105D5C">
              <w:rPr>
                <w:rFonts w:eastAsia="Times New Roman" w:cstheme="minorHAnsi"/>
                <w:b/>
                <w:bCs/>
                <w:sz w:val="24"/>
                <w:szCs w:val="24"/>
                <w:lang w:eastAsia="fr-FR"/>
              </w:rPr>
              <w:t>EN 54-25</w:t>
            </w:r>
          </w:p>
        </w:tc>
      </w:tr>
      <w:tr w:rsidR="00D20D9B" w:rsidRPr="0043547B" w:rsidTr="00F226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6"/>
        </w:trPr>
        <w:tc>
          <w:tcPr>
            <w:tcW w:w="1874" w:type="dxa"/>
            <w:gridSpan w:val="2"/>
            <w:tcBorders>
              <w:top w:val="single" w:sz="4" w:space="0" w:color="auto"/>
              <w:left w:val="single" w:sz="18" w:space="0" w:color="auto"/>
              <w:bottom w:val="single" w:sz="4" w:space="0" w:color="auto"/>
              <w:right w:val="single" w:sz="8" w:space="0" w:color="auto"/>
            </w:tcBorders>
            <w:shd w:val="clear" w:color="auto" w:fill="B8CCE4" w:themeFill="accent1" w:themeFillTint="66"/>
            <w:vAlign w:val="center"/>
            <w:hideMark/>
          </w:tcPr>
          <w:p w:rsidR="00D20D9B" w:rsidRPr="0043547B" w:rsidRDefault="00D20D9B" w:rsidP="00D20D9B">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Intitulé :</w:t>
            </w:r>
          </w:p>
        </w:tc>
        <w:tc>
          <w:tcPr>
            <w:tcW w:w="7938" w:type="dxa"/>
            <w:tcBorders>
              <w:top w:val="single" w:sz="4" w:space="0" w:color="auto"/>
              <w:left w:val="single" w:sz="8" w:space="0" w:color="auto"/>
              <w:bottom w:val="single" w:sz="4" w:space="0" w:color="auto"/>
              <w:right w:val="single" w:sz="18" w:space="0" w:color="auto"/>
            </w:tcBorders>
            <w:shd w:val="clear" w:color="auto" w:fill="auto"/>
            <w:hideMark/>
          </w:tcPr>
          <w:p w:rsidR="00D20D9B" w:rsidRPr="0043547B" w:rsidRDefault="00D20D9B" w:rsidP="00D20D9B">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 xml:space="preserve">Systèmes de détection et d'alarme incendie - Partie 25 : Composants utilisant des liaisons radioélectriques </w:t>
            </w:r>
          </w:p>
        </w:tc>
      </w:tr>
      <w:tr w:rsidR="00D20D9B" w:rsidRPr="0043547B" w:rsidTr="00914FA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1"/>
        </w:trPr>
        <w:tc>
          <w:tcPr>
            <w:tcW w:w="1874" w:type="dxa"/>
            <w:gridSpan w:val="2"/>
            <w:tcBorders>
              <w:top w:val="single" w:sz="4" w:space="0" w:color="auto"/>
              <w:left w:val="single" w:sz="18" w:space="0" w:color="auto"/>
              <w:bottom w:val="single" w:sz="18" w:space="0" w:color="auto"/>
              <w:right w:val="single" w:sz="8" w:space="0" w:color="auto"/>
            </w:tcBorders>
            <w:shd w:val="clear" w:color="auto" w:fill="D9D9D9" w:themeFill="background1" w:themeFillShade="D9"/>
            <w:vAlign w:val="center"/>
            <w:hideMark/>
          </w:tcPr>
          <w:p w:rsidR="00D20D9B" w:rsidRPr="0043547B" w:rsidRDefault="00D20D9B" w:rsidP="00D20D9B">
            <w:pPr>
              <w:spacing w:after="0" w:line="240" w:lineRule="auto"/>
              <w:jc w:val="center"/>
              <w:rPr>
                <w:rFonts w:eastAsia="Times New Roman" w:cstheme="minorHAnsi"/>
                <w:b/>
                <w:bCs/>
                <w:sz w:val="24"/>
                <w:szCs w:val="24"/>
                <w:lang w:eastAsia="fr-FR"/>
              </w:rPr>
            </w:pPr>
            <w:r w:rsidRPr="0043547B">
              <w:rPr>
                <w:rFonts w:eastAsia="Times New Roman" w:cstheme="minorHAnsi"/>
                <w:b/>
                <w:bCs/>
                <w:sz w:val="24"/>
                <w:szCs w:val="24"/>
                <w:lang w:eastAsia="fr-FR"/>
              </w:rPr>
              <w:t>Domaine d’application :</w:t>
            </w:r>
          </w:p>
        </w:tc>
        <w:tc>
          <w:tcPr>
            <w:tcW w:w="7938" w:type="dxa"/>
            <w:tcBorders>
              <w:top w:val="single" w:sz="4" w:space="0" w:color="auto"/>
              <w:left w:val="single" w:sz="8" w:space="0" w:color="auto"/>
              <w:bottom w:val="single" w:sz="18" w:space="0" w:color="auto"/>
              <w:right w:val="single" w:sz="18" w:space="0" w:color="auto"/>
            </w:tcBorders>
            <w:shd w:val="clear" w:color="auto" w:fill="auto"/>
            <w:hideMark/>
          </w:tcPr>
          <w:p w:rsidR="009E0DB9" w:rsidRDefault="00D20D9B" w:rsidP="009E0DB9">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La présente Norme européenne définit les exigences, les méthodes d'essai et les critères de performance pour les composants utilisés dans les systèmes d'alarme incendie installés dans les bâtiments et autour de ceux-ci, qui utilisent des liaisons radioélectriques pour communiquer. Elle spécifie également les exigences pour l'évaluation de la conformité des composants aux exigences de la présente Norme européenne.</w:t>
            </w:r>
          </w:p>
          <w:p w:rsidR="009E0DB9" w:rsidRDefault="00D20D9B" w:rsidP="009E0DB9">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Lorsque les composants fonctionnent ensemble et que cela nécessite la connaissance de la conception du système, le présent document spécifie également les exigences relatives au système.</w:t>
            </w:r>
          </w:p>
          <w:p w:rsidR="00914FAA" w:rsidRPr="008F049B" w:rsidRDefault="00D20D9B" w:rsidP="00914FAA">
            <w:pPr>
              <w:spacing w:after="0" w:line="240" w:lineRule="auto"/>
              <w:jc w:val="both"/>
              <w:rPr>
                <w:rFonts w:eastAsia="Times New Roman" w:cstheme="minorHAnsi"/>
                <w:sz w:val="24"/>
                <w:szCs w:val="24"/>
                <w:lang w:eastAsia="fr-FR"/>
              </w:rPr>
            </w:pPr>
            <w:r w:rsidRPr="008F049B">
              <w:rPr>
                <w:rFonts w:eastAsia="Times New Roman" w:cstheme="minorHAnsi"/>
                <w:sz w:val="24"/>
                <w:szCs w:val="24"/>
                <w:lang w:eastAsia="fr-FR"/>
              </w:rPr>
              <w:t>Lorsque les systèmes de détection et d'alarme incendie (SDAI) emploient des liaisons radioélectriques et filaires, les parties concernées de la série EN 54 s'appliquent. Les exigences spécifiées dans la présente Norme européenne</w:t>
            </w:r>
            <w:r w:rsidR="00914FAA" w:rsidRPr="008F049B">
              <w:rPr>
                <w:rFonts w:eastAsia="Times New Roman" w:cstheme="minorHAnsi"/>
                <w:sz w:val="24"/>
                <w:szCs w:val="24"/>
                <w:lang w:eastAsia="fr-FR"/>
              </w:rPr>
              <w:t xml:space="preserve"> </w:t>
            </w:r>
            <w:r w:rsidRPr="008F049B">
              <w:rPr>
                <w:rFonts w:eastAsia="Times New Roman" w:cstheme="minorHAnsi"/>
                <w:sz w:val="24"/>
                <w:szCs w:val="24"/>
                <w:lang w:eastAsia="fr-FR"/>
              </w:rPr>
              <w:t>annulent et remplacent ou modifient les exigences concernant les liaisons filaires.</w:t>
            </w:r>
          </w:p>
          <w:p w:rsidR="009E0DB9" w:rsidRDefault="00D20D9B" w:rsidP="00914FAA">
            <w:pPr>
              <w:spacing w:after="0" w:line="240" w:lineRule="auto"/>
              <w:jc w:val="both"/>
              <w:rPr>
                <w:rFonts w:eastAsia="Times New Roman" w:cstheme="minorHAnsi"/>
                <w:sz w:val="24"/>
                <w:szCs w:val="24"/>
                <w:lang w:eastAsia="fr-FR"/>
              </w:rPr>
            </w:pPr>
            <w:r w:rsidRPr="0043547B">
              <w:rPr>
                <w:rFonts w:eastAsia="Times New Roman" w:cstheme="minorHAnsi"/>
                <w:sz w:val="24"/>
                <w:szCs w:val="24"/>
                <w:lang w:eastAsia="fr-FR"/>
              </w:rPr>
              <w:t>Le présent document ne traite pas les éléments suivants :</w:t>
            </w:r>
          </w:p>
          <w:p w:rsidR="00D20D9B" w:rsidRPr="0043547B" w:rsidRDefault="00D20D9B" w:rsidP="009E0DB9">
            <w:pPr>
              <w:spacing w:after="0" w:line="240" w:lineRule="auto"/>
              <w:rPr>
                <w:rFonts w:eastAsia="Times New Roman" w:cstheme="minorHAnsi"/>
                <w:sz w:val="24"/>
                <w:szCs w:val="24"/>
                <w:lang w:eastAsia="fr-FR"/>
              </w:rPr>
            </w:pPr>
            <w:r w:rsidRPr="0043547B">
              <w:rPr>
                <w:rFonts w:eastAsia="Times New Roman" w:cstheme="minorHAnsi"/>
                <w:sz w:val="24"/>
                <w:szCs w:val="24"/>
                <w:lang w:eastAsia="fr-FR"/>
              </w:rPr>
              <w:t>— l'usage prévu du spectre radioélectrique, par exemple la fréquence, la puissance de sortie des dispositifs ;</w:t>
            </w:r>
            <w:r w:rsidRPr="0043547B">
              <w:rPr>
                <w:rFonts w:eastAsia="Times New Roman" w:cstheme="minorHAnsi"/>
                <w:sz w:val="24"/>
                <w:szCs w:val="24"/>
                <w:lang w:eastAsia="fr-FR"/>
              </w:rPr>
              <w:br/>
              <w:t>— le nombre maximal autorisé de composants utilisant des liaisons radioélectriques dans le SDAI ou une voie de transmission et/ou liaison radioélectrique ;</w:t>
            </w:r>
            <w:r w:rsidRPr="0043547B">
              <w:rPr>
                <w:rFonts w:eastAsia="Times New Roman" w:cstheme="minorHAnsi"/>
                <w:sz w:val="24"/>
                <w:szCs w:val="24"/>
                <w:lang w:eastAsia="fr-FR"/>
              </w:rPr>
              <w:br/>
              <w:t>— le nombre maximal autorisé de composants affectés par la perte d'une voie de transmission et/ou liaison radioélectrique.</w:t>
            </w:r>
            <w:r w:rsidRPr="0043547B">
              <w:rPr>
                <w:rFonts w:eastAsia="Times New Roman" w:cstheme="minorHAnsi"/>
                <w:sz w:val="24"/>
                <w:szCs w:val="24"/>
                <w:lang w:eastAsia="fr-FR"/>
              </w:rPr>
              <w:br/>
              <w:t>Ces exigences se rapportent aux réglementations nationales et peuvent varier d'un Etat membre à l'autre.</w:t>
            </w:r>
          </w:p>
        </w:tc>
      </w:tr>
    </w:tbl>
    <w:p w:rsidR="005B6F67" w:rsidRPr="0043547B" w:rsidRDefault="005B6F67" w:rsidP="005B6F67">
      <w:pPr>
        <w:pStyle w:val="Titre3"/>
        <w:numPr>
          <w:ilvl w:val="1"/>
          <w:numId w:val="2"/>
        </w:numPr>
        <w:tabs>
          <w:tab w:val="left" w:pos="851"/>
        </w:tabs>
        <w:rPr>
          <w:rFonts w:asciiTheme="minorHAnsi" w:hAnsiTheme="minorHAnsi" w:cstheme="minorHAnsi"/>
          <w:sz w:val="24"/>
          <w:szCs w:val="24"/>
          <w:u w:val="single"/>
        </w:rPr>
      </w:pPr>
      <w:r w:rsidRPr="0043547B">
        <w:rPr>
          <w:rFonts w:asciiTheme="minorHAnsi" w:hAnsiTheme="minorHAnsi" w:cstheme="minorHAnsi"/>
          <w:sz w:val="24"/>
          <w:szCs w:val="24"/>
          <w:u w:val="single"/>
        </w:rPr>
        <w:t>Lot N° 11 : Produits chimiques utilisés pour le traitement de l'eau destinée à la consommation humaine</w:t>
      </w:r>
    </w:p>
    <w:tbl>
      <w:tblPr>
        <w:tblStyle w:val="Grilledutableau"/>
        <w:tblW w:w="9782" w:type="dxa"/>
        <w:jc w:val="center"/>
        <w:tblBorders>
          <w:top w:val="single" w:sz="18" w:space="0" w:color="000000" w:themeColor="text1"/>
          <w:left w:val="single" w:sz="18" w:space="0" w:color="000000" w:themeColor="text1"/>
          <w:right w:val="single" w:sz="18" w:space="0" w:color="000000" w:themeColor="text1"/>
        </w:tblBorders>
        <w:tblLook w:val="04A0" w:firstRow="1" w:lastRow="0" w:firstColumn="1" w:lastColumn="0" w:noHBand="0" w:noVBand="1"/>
      </w:tblPr>
      <w:tblGrid>
        <w:gridCol w:w="1838"/>
        <w:gridCol w:w="7944"/>
      </w:tblGrid>
      <w:tr w:rsidR="0043547B" w:rsidRPr="0043547B" w:rsidTr="006131A6">
        <w:trPr>
          <w:trHeight w:val="315"/>
          <w:jc w:val="center"/>
        </w:trPr>
        <w:tc>
          <w:tcPr>
            <w:tcW w:w="1838" w:type="dxa"/>
            <w:tcBorders>
              <w:top w:val="single" w:sz="18" w:space="0" w:color="000000" w:themeColor="text1"/>
              <w:bottom w:val="single" w:sz="18" w:space="0" w:color="000000" w:themeColor="text1"/>
            </w:tcBorders>
            <w:shd w:val="clear" w:color="auto" w:fill="C2D69B" w:themeFill="accent3" w:themeFillTint="99"/>
            <w:vAlign w:val="center"/>
            <w:hideMark/>
          </w:tcPr>
          <w:p w:rsidR="007A08AF" w:rsidRPr="0043547B" w:rsidRDefault="007A08AF" w:rsidP="00923873">
            <w:pPr>
              <w:spacing w:line="276" w:lineRule="auto"/>
              <w:jc w:val="center"/>
              <w:rPr>
                <w:rFonts w:cstheme="minorHAnsi"/>
                <w:b/>
                <w:bCs/>
                <w:sz w:val="24"/>
                <w:szCs w:val="24"/>
              </w:rPr>
            </w:pPr>
            <w:r w:rsidRPr="0043547B">
              <w:rPr>
                <w:rFonts w:cstheme="minorHAnsi"/>
                <w:b/>
                <w:bCs/>
                <w:sz w:val="24"/>
                <w:szCs w:val="24"/>
              </w:rPr>
              <w:t>Code :</w:t>
            </w:r>
          </w:p>
        </w:tc>
        <w:tc>
          <w:tcPr>
            <w:tcW w:w="7944" w:type="dxa"/>
            <w:tcBorders>
              <w:top w:val="single" w:sz="18" w:space="0" w:color="000000" w:themeColor="text1"/>
              <w:bottom w:val="single" w:sz="18" w:space="0" w:color="000000" w:themeColor="text1"/>
            </w:tcBorders>
            <w:shd w:val="clear" w:color="auto" w:fill="C2D69B" w:themeFill="accent3" w:themeFillTint="99"/>
            <w:hideMark/>
          </w:tcPr>
          <w:p w:rsidR="007A08AF" w:rsidRPr="0043547B" w:rsidRDefault="007A08AF" w:rsidP="00C8284D">
            <w:pPr>
              <w:spacing w:line="276" w:lineRule="auto"/>
              <w:jc w:val="center"/>
              <w:rPr>
                <w:rFonts w:cstheme="minorHAnsi"/>
                <w:b/>
                <w:bCs/>
                <w:sz w:val="24"/>
                <w:szCs w:val="24"/>
              </w:rPr>
            </w:pPr>
            <w:r w:rsidRPr="0043547B">
              <w:rPr>
                <w:rFonts w:cstheme="minorHAnsi"/>
                <w:b/>
                <w:bCs/>
                <w:sz w:val="24"/>
                <w:szCs w:val="24"/>
              </w:rPr>
              <w:t xml:space="preserve">NM EN </w:t>
            </w:r>
            <w:r w:rsidR="00C8284D">
              <w:rPr>
                <w:rFonts w:cstheme="minorHAnsi"/>
                <w:b/>
                <w:bCs/>
                <w:sz w:val="24"/>
                <w:szCs w:val="24"/>
              </w:rPr>
              <w:t>17034</w:t>
            </w:r>
          </w:p>
        </w:tc>
      </w:tr>
      <w:tr w:rsidR="0043547B" w:rsidRPr="0043547B" w:rsidTr="006131A6">
        <w:trPr>
          <w:trHeight w:val="315"/>
          <w:jc w:val="center"/>
        </w:trPr>
        <w:tc>
          <w:tcPr>
            <w:tcW w:w="1838" w:type="dxa"/>
            <w:tcBorders>
              <w:top w:val="single" w:sz="18" w:space="0" w:color="000000" w:themeColor="text1"/>
              <w:bottom w:val="single" w:sz="18" w:space="0" w:color="000000" w:themeColor="text1"/>
            </w:tcBorders>
            <w:shd w:val="clear" w:color="auto" w:fill="FFFFCC"/>
            <w:vAlign w:val="center"/>
            <w:hideMark/>
          </w:tcPr>
          <w:p w:rsidR="007A08AF" w:rsidRPr="0043547B" w:rsidRDefault="007A08AF" w:rsidP="00923873">
            <w:pPr>
              <w:spacing w:line="276" w:lineRule="auto"/>
              <w:jc w:val="center"/>
              <w:rPr>
                <w:rFonts w:cstheme="minorHAnsi"/>
                <w:b/>
                <w:bCs/>
                <w:sz w:val="24"/>
                <w:szCs w:val="24"/>
              </w:rPr>
            </w:pPr>
            <w:r w:rsidRPr="0043547B">
              <w:rPr>
                <w:rFonts w:cstheme="minorHAnsi"/>
                <w:b/>
                <w:bCs/>
                <w:sz w:val="24"/>
                <w:szCs w:val="24"/>
              </w:rPr>
              <w:lastRenderedPageBreak/>
              <w:t>Equivalence :</w:t>
            </w:r>
          </w:p>
        </w:tc>
        <w:tc>
          <w:tcPr>
            <w:tcW w:w="7944" w:type="dxa"/>
            <w:tcBorders>
              <w:top w:val="single" w:sz="18" w:space="0" w:color="000000" w:themeColor="text1"/>
              <w:bottom w:val="single" w:sz="18" w:space="0" w:color="000000" w:themeColor="text1"/>
            </w:tcBorders>
            <w:shd w:val="clear" w:color="auto" w:fill="FFFFCC"/>
            <w:hideMark/>
          </w:tcPr>
          <w:p w:rsidR="007A08AF" w:rsidRPr="0043547B" w:rsidRDefault="007A08AF" w:rsidP="00C8284D">
            <w:pPr>
              <w:spacing w:line="276" w:lineRule="auto"/>
              <w:jc w:val="center"/>
              <w:rPr>
                <w:rFonts w:cstheme="minorHAnsi"/>
                <w:b/>
                <w:bCs/>
                <w:sz w:val="24"/>
                <w:szCs w:val="24"/>
              </w:rPr>
            </w:pPr>
            <w:r w:rsidRPr="0043547B">
              <w:rPr>
                <w:rFonts w:cstheme="minorHAnsi"/>
                <w:b/>
                <w:bCs/>
                <w:sz w:val="24"/>
                <w:szCs w:val="24"/>
              </w:rPr>
              <w:t xml:space="preserve">EN </w:t>
            </w:r>
            <w:r w:rsidR="00C8284D">
              <w:rPr>
                <w:rFonts w:cstheme="minorHAnsi"/>
                <w:b/>
                <w:bCs/>
                <w:sz w:val="24"/>
                <w:szCs w:val="24"/>
              </w:rPr>
              <w:t>17034</w:t>
            </w:r>
          </w:p>
        </w:tc>
      </w:tr>
      <w:tr w:rsidR="0043547B" w:rsidRPr="0043547B" w:rsidTr="006131A6">
        <w:trPr>
          <w:trHeight w:val="900"/>
          <w:jc w:val="center"/>
        </w:trPr>
        <w:tc>
          <w:tcPr>
            <w:tcW w:w="1838" w:type="dxa"/>
            <w:tcBorders>
              <w:top w:val="single" w:sz="18" w:space="0" w:color="000000" w:themeColor="text1"/>
            </w:tcBorders>
            <w:shd w:val="clear" w:color="auto" w:fill="8DB3E2" w:themeFill="text2" w:themeFillTint="66"/>
            <w:vAlign w:val="center"/>
            <w:hideMark/>
          </w:tcPr>
          <w:p w:rsidR="007A08AF" w:rsidRPr="0043547B" w:rsidRDefault="007A08AF" w:rsidP="00923873">
            <w:pPr>
              <w:spacing w:line="276" w:lineRule="auto"/>
              <w:jc w:val="center"/>
              <w:rPr>
                <w:rFonts w:cstheme="minorHAnsi"/>
                <w:b/>
                <w:bCs/>
                <w:sz w:val="24"/>
                <w:szCs w:val="24"/>
              </w:rPr>
            </w:pPr>
            <w:r w:rsidRPr="0043547B">
              <w:rPr>
                <w:rFonts w:cstheme="minorHAnsi"/>
                <w:b/>
                <w:bCs/>
                <w:sz w:val="24"/>
                <w:szCs w:val="24"/>
              </w:rPr>
              <w:t>Intitulé :</w:t>
            </w:r>
          </w:p>
        </w:tc>
        <w:tc>
          <w:tcPr>
            <w:tcW w:w="7944" w:type="dxa"/>
            <w:tcBorders>
              <w:top w:val="single" w:sz="18" w:space="0" w:color="000000" w:themeColor="text1"/>
            </w:tcBorders>
            <w:hideMark/>
          </w:tcPr>
          <w:p w:rsidR="007A08AF" w:rsidRPr="006131A6" w:rsidRDefault="00C8284D" w:rsidP="004F78F6">
            <w:pPr>
              <w:jc w:val="both"/>
              <w:rPr>
                <w:rFonts w:eastAsia="Times New Roman" w:cstheme="minorHAnsi"/>
                <w:sz w:val="24"/>
                <w:szCs w:val="24"/>
                <w:lang w:eastAsia="fr-FR"/>
              </w:rPr>
            </w:pPr>
            <w:r w:rsidRPr="006131A6">
              <w:rPr>
                <w:rFonts w:ascii="Calibri" w:hAnsi="Calibri" w:cs="Calibri"/>
              </w:rPr>
              <w:t>Produits chimiques utilisés pour le traitement de l'eau destinée à la consommation humaine - Chlorure d'aluminium anhydre, chlorure d'aluminium basique, pentahydroxychlorure de dialuminium et hydroxychlorosulfate d'aluminium ;</w:t>
            </w:r>
          </w:p>
        </w:tc>
      </w:tr>
      <w:tr w:rsidR="0043547B" w:rsidRPr="0043547B" w:rsidTr="006131A6">
        <w:trPr>
          <w:trHeight w:val="2491"/>
          <w:jc w:val="center"/>
        </w:trPr>
        <w:tc>
          <w:tcPr>
            <w:tcW w:w="1838" w:type="dxa"/>
            <w:tcBorders>
              <w:bottom w:val="single" w:sz="18" w:space="0" w:color="000000" w:themeColor="text1"/>
            </w:tcBorders>
            <w:shd w:val="clear" w:color="auto" w:fill="D9D9D9" w:themeFill="background1" w:themeFillShade="D9"/>
            <w:vAlign w:val="center"/>
            <w:hideMark/>
          </w:tcPr>
          <w:p w:rsidR="004F78F6" w:rsidRPr="0043547B" w:rsidRDefault="007A08AF" w:rsidP="00923873">
            <w:pPr>
              <w:jc w:val="center"/>
              <w:rPr>
                <w:rFonts w:cstheme="minorHAnsi"/>
                <w:b/>
                <w:bCs/>
                <w:sz w:val="24"/>
                <w:szCs w:val="24"/>
              </w:rPr>
            </w:pPr>
            <w:r w:rsidRPr="0043547B">
              <w:rPr>
                <w:rFonts w:cstheme="minorHAnsi"/>
                <w:b/>
                <w:bCs/>
                <w:sz w:val="24"/>
                <w:szCs w:val="24"/>
              </w:rPr>
              <w:t>Domaine</w:t>
            </w:r>
          </w:p>
          <w:p w:rsidR="007A08AF" w:rsidRPr="0043547B" w:rsidRDefault="007A08AF" w:rsidP="00923873">
            <w:pPr>
              <w:jc w:val="center"/>
              <w:rPr>
                <w:rFonts w:cstheme="minorHAnsi"/>
                <w:b/>
                <w:bCs/>
                <w:sz w:val="24"/>
                <w:szCs w:val="24"/>
              </w:rPr>
            </w:pPr>
            <w:r w:rsidRPr="0043547B">
              <w:rPr>
                <w:rFonts w:cstheme="minorHAnsi"/>
                <w:b/>
                <w:bCs/>
                <w:sz w:val="24"/>
                <w:szCs w:val="24"/>
              </w:rPr>
              <w:t>d’application :</w:t>
            </w:r>
          </w:p>
        </w:tc>
        <w:tc>
          <w:tcPr>
            <w:tcW w:w="7944" w:type="dxa"/>
            <w:tcBorders>
              <w:bottom w:val="single" w:sz="18" w:space="0" w:color="000000" w:themeColor="text1"/>
            </w:tcBorders>
            <w:hideMark/>
          </w:tcPr>
          <w:p w:rsidR="007A08AF" w:rsidRPr="006131A6" w:rsidRDefault="00E230DD" w:rsidP="004F78F6">
            <w:pPr>
              <w:jc w:val="both"/>
              <w:rPr>
                <w:rFonts w:eastAsia="Times New Roman" w:cstheme="minorHAnsi"/>
                <w:sz w:val="24"/>
                <w:szCs w:val="24"/>
                <w:lang w:eastAsia="fr-FR"/>
              </w:rPr>
            </w:pPr>
            <w:r w:rsidRPr="006131A6">
              <w:t>Le présent document est applicable au chlorure d’aluminium anhydre, au chlorure d'aluminium basique, au pentahydroxychlorure de dialuminium et à l’hydroxychlorosulfate d’aluminium utilisés pour le traitement de l'eau destinée à la consommation humaine. Il décrit les caractéristiques et spécifie les prescriptions du chlorure d'aluminium basique, de l’hydroxychlorure de polyaluminium et de l’hydroxychlorosulfate de polyaluminium et donne la référence aux méthodes d'analyse correspondantes. Il donne des informations pour leur emploi dans le traitement de l'eau. Il donne également les règles applicables relatives à la sécurité d'emploi et de manipulation de ces sels d’aluminium (voir Annexe B).</w:t>
            </w:r>
          </w:p>
        </w:tc>
      </w:tr>
      <w:tr w:rsidR="0043547B" w:rsidRPr="0043547B" w:rsidTr="008F049B">
        <w:trPr>
          <w:trHeight w:val="315"/>
          <w:jc w:val="center"/>
        </w:trPr>
        <w:tc>
          <w:tcPr>
            <w:tcW w:w="1838" w:type="dxa"/>
            <w:tcBorders>
              <w:top w:val="single" w:sz="18" w:space="0" w:color="000000" w:themeColor="text1"/>
              <w:bottom w:val="single" w:sz="18" w:space="0" w:color="000000" w:themeColor="text1"/>
            </w:tcBorders>
            <w:shd w:val="clear" w:color="auto" w:fill="C2D69B" w:themeFill="accent3" w:themeFillTint="99"/>
            <w:vAlign w:val="center"/>
            <w:hideMark/>
          </w:tcPr>
          <w:p w:rsidR="007A08AF" w:rsidRPr="0043547B" w:rsidRDefault="007A08AF" w:rsidP="00923873">
            <w:pPr>
              <w:spacing w:line="276" w:lineRule="auto"/>
              <w:jc w:val="center"/>
              <w:rPr>
                <w:rFonts w:cstheme="minorHAnsi"/>
                <w:b/>
                <w:bCs/>
                <w:sz w:val="24"/>
                <w:szCs w:val="24"/>
              </w:rPr>
            </w:pPr>
            <w:r w:rsidRPr="0043547B">
              <w:rPr>
                <w:rFonts w:cstheme="minorHAnsi"/>
                <w:b/>
                <w:bCs/>
                <w:sz w:val="24"/>
                <w:szCs w:val="24"/>
              </w:rPr>
              <w:t>Code :</w:t>
            </w:r>
          </w:p>
        </w:tc>
        <w:tc>
          <w:tcPr>
            <w:tcW w:w="7944" w:type="dxa"/>
            <w:tcBorders>
              <w:top w:val="single" w:sz="18" w:space="0" w:color="000000" w:themeColor="text1"/>
              <w:bottom w:val="single" w:sz="18" w:space="0" w:color="000000" w:themeColor="text1"/>
            </w:tcBorders>
            <w:shd w:val="clear" w:color="auto" w:fill="C2D69B" w:themeFill="accent3" w:themeFillTint="99"/>
            <w:hideMark/>
          </w:tcPr>
          <w:p w:rsidR="007A08AF" w:rsidRPr="0043547B" w:rsidRDefault="007A08AF" w:rsidP="004F78F6">
            <w:pPr>
              <w:spacing w:line="276" w:lineRule="auto"/>
              <w:jc w:val="center"/>
              <w:rPr>
                <w:rFonts w:cstheme="minorHAnsi"/>
                <w:b/>
                <w:bCs/>
                <w:sz w:val="24"/>
                <w:szCs w:val="24"/>
              </w:rPr>
            </w:pPr>
            <w:r w:rsidRPr="0043547B">
              <w:rPr>
                <w:rFonts w:cstheme="minorHAnsi"/>
                <w:b/>
                <w:bCs/>
                <w:sz w:val="24"/>
                <w:szCs w:val="24"/>
              </w:rPr>
              <w:t>NM EN 882</w:t>
            </w:r>
          </w:p>
        </w:tc>
      </w:tr>
      <w:tr w:rsidR="0043547B" w:rsidRPr="0043547B" w:rsidTr="008F049B">
        <w:trPr>
          <w:trHeight w:val="315"/>
          <w:jc w:val="center"/>
        </w:trPr>
        <w:tc>
          <w:tcPr>
            <w:tcW w:w="1838" w:type="dxa"/>
            <w:tcBorders>
              <w:top w:val="single" w:sz="18" w:space="0" w:color="000000" w:themeColor="text1"/>
            </w:tcBorders>
            <w:shd w:val="clear" w:color="auto" w:fill="FFFFCC"/>
            <w:vAlign w:val="center"/>
            <w:hideMark/>
          </w:tcPr>
          <w:p w:rsidR="007A08AF" w:rsidRPr="0043547B" w:rsidRDefault="007A08AF" w:rsidP="00923873">
            <w:pPr>
              <w:spacing w:line="276" w:lineRule="auto"/>
              <w:jc w:val="center"/>
              <w:rPr>
                <w:rFonts w:cstheme="minorHAnsi"/>
                <w:b/>
                <w:bCs/>
                <w:sz w:val="24"/>
                <w:szCs w:val="24"/>
              </w:rPr>
            </w:pPr>
            <w:r w:rsidRPr="0043547B">
              <w:rPr>
                <w:rFonts w:cstheme="minorHAnsi"/>
                <w:b/>
                <w:bCs/>
                <w:sz w:val="24"/>
                <w:szCs w:val="24"/>
              </w:rPr>
              <w:t>Equivalence :</w:t>
            </w:r>
          </w:p>
        </w:tc>
        <w:tc>
          <w:tcPr>
            <w:tcW w:w="7944" w:type="dxa"/>
            <w:tcBorders>
              <w:top w:val="single" w:sz="18" w:space="0" w:color="000000" w:themeColor="text1"/>
            </w:tcBorders>
            <w:shd w:val="clear" w:color="auto" w:fill="FFFFCC"/>
            <w:hideMark/>
          </w:tcPr>
          <w:p w:rsidR="007A08AF" w:rsidRPr="0043547B" w:rsidRDefault="007A08AF" w:rsidP="004F78F6">
            <w:pPr>
              <w:spacing w:line="276" w:lineRule="auto"/>
              <w:jc w:val="center"/>
              <w:rPr>
                <w:rFonts w:cstheme="minorHAnsi"/>
                <w:b/>
                <w:bCs/>
                <w:sz w:val="24"/>
                <w:szCs w:val="24"/>
              </w:rPr>
            </w:pPr>
            <w:r w:rsidRPr="0043547B">
              <w:rPr>
                <w:rFonts w:cstheme="minorHAnsi"/>
                <w:b/>
                <w:bCs/>
                <w:sz w:val="24"/>
                <w:szCs w:val="24"/>
              </w:rPr>
              <w:t>EN 882</w:t>
            </w:r>
          </w:p>
        </w:tc>
      </w:tr>
      <w:tr w:rsidR="0043547B" w:rsidRPr="0043547B" w:rsidTr="00923873">
        <w:trPr>
          <w:trHeight w:val="600"/>
          <w:jc w:val="center"/>
        </w:trPr>
        <w:tc>
          <w:tcPr>
            <w:tcW w:w="1838" w:type="dxa"/>
            <w:tcBorders>
              <w:bottom w:val="single" w:sz="4" w:space="0" w:color="000000" w:themeColor="text1"/>
            </w:tcBorders>
            <w:shd w:val="clear" w:color="auto" w:fill="8DB3E2" w:themeFill="text2" w:themeFillTint="66"/>
            <w:vAlign w:val="center"/>
            <w:hideMark/>
          </w:tcPr>
          <w:p w:rsidR="007A08AF" w:rsidRPr="0043547B" w:rsidRDefault="007A08AF" w:rsidP="00923873">
            <w:pPr>
              <w:spacing w:line="276" w:lineRule="auto"/>
              <w:jc w:val="center"/>
              <w:rPr>
                <w:rFonts w:cstheme="minorHAnsi"/>
                <w:b/>
                <w:bCs/>
                <w:sz w:val="24"/>
                <w:szCs w:val="24"/>
              </w:rPr>
            </w:pPr>
            <w:r w:rsidRPr="0043547B">
              <w:rPr>
                <w:rFonts w:cstheme="minorHAnsi"/>
                <w:b/>
                <w:bCs/>
                <w:sz w:val="24"/>
                <w:szCs w:val="24"/>
              </w:rPr>
              <w:t>Intitulé :</w:t>
            </w:r>
          </w:p>
        </w:tc>
        <w:tc>
          <w:tcPr>
            <w:tcW w:w="7944" w:type="dxa"/>
            <w:tcBorders>
              <w:bottom w:val="single" w:sz="4" w:space="0" w:color="000000" w:themeColor="text1"/>
            </w:tcBorders>
            <w:hideMark/>
          </w:tcPr>
          <w:p w:rsidR="007A08AF" w:rsidRPr="0043547B" w:rsidRDefault="007A08AF" w:rsidP="004F78F6">
            <w:pPr>
              <w:jc w:val="both"/>
              <w:rPr>
                <w:rFonts w:eastAsia="Times New Roman" w:cstheme="minorHAnsi"/>
                <w:sz w:val="24"/>
                <w:szCs w:val="24"/>
                <w:lang w:eastAsia="fr-FR"/>
              </w:rPr>
            </w:pPr>
            <w:r w:rsidRPr="0043547B">
              <w:rPr>
                <w:rFonts w:eastAsia="Times New Roman" w:cstheme="minorHAnsi"/>
                <w:sz w:val="24"/>
                <w:szCs w:val="24"/>
                <w:lang w:eastAsia="fr-FR"/>
              </w:rPr>
              <w:t xml:space="preserve">Produits chimiques utilisés pour le traitement de l'eau destinée à la consommation humaine - Aluminate de sodium </w:t>
            </w:r>
          </w:p>
        </w:tc>
      </w:tr>
      <w:tr w:rsidR="0043547B" w:rsidRPr="0043547B" w:rsidTr="00923873">
        <w:trPr>
          <w:trHeight w:val="1694"/>
          <w:jc w:val="center"/>
        </w:trPr>
        <w:tc>
          <w:tcPr>
            <w:tcW w:w="1838" w:type="dxa"/>
            <w:tcBorders>
              <w:top w:val="single" w:sz="4" w:space="0" w:color="000000" w:themeColor="text1"/>
              <w:bottom w:val="single" w:sz="18" w:space="0" w:color="000000" w:themeColor="text1"/>
            </w:tcBorders>
            <w:shd w:val="clear" w:color="auto" w:fill="D9D9D9" w:themeFill="background1" w:themeFillShade="D9"/>
            <w:vAlign w:val="center"/>
            <w:hideMark/>
          </w:tcPr>
          <w:p w:rsidR="007A08AF" w:rsidRPr="0043547B" w:rsidRDefault="007A08AF" w:rsidP="00923873">
            <w:pPr>
              <w:jc w:val="center"/>
              <w:rPr>
                <w:rFonts w:cstheme="minorHAnsi"/>
                <w:b/>
                <w:bCs/>
                <w:sz w:val="24"/>
                <w:szCs w:val="24"/>
              </w:rPr>
            </w:pPr>
            <w:r w:rsidRPr="0043547B">
              <w:rPr>
                <w:rFonts w:cstheme="minorHAnsi"/>
                <w:b/>
                <w:bCs/>
                <w:sz w:val="24"/>
                <w:szCs w:val="24"/>
              </w:rPr>
              <w:t>Domaine d’application :</w:t>
            </w:r>
          </w:p>
        </w:tc>
        <w:tc>
          <w:tcPr>
            <w:tcW w:w="7944" w:type="dxa"/>
            <w:tcBorders>
              <w:top w:val="single" w:sz="4" w:space="0" w:color="000000" w:themeColor="text1"/>
              <w:bottom w:val="single" w:sz="18" w:space="0" w:color="000000" w:themeColor="text1"/>
            </w:tcBorders>
            <w:hideMark/>
          </w:tcPr>
          <w:p w:rsidR="00BE4DCB" w:rsidRPr="0043547B" w:rsidRDefault="007A08AF" w:rsidP="004F78F6">
            <w:pPr>
              <w:jc w:val="both"/>
              <w:rPr>
                <w:rFonts w:eastAsia="Times New Roman" w:cstheme="minorHAnsi"/>
                <w:sz w:val="24"/>
                <w:szCs w:val="24"/>
                <w:lang w:eastAsia="fr-FR"/>
              </w:rPr>
            </w:pPr>
            <w:r w:rsidRPr="0043547B">
              <w:rPr>
                <w:rFonts w:eastAsia="Times New Roman" w:cstheme="minorHAnsi"/>
                <w:sz w:val="24"/>
                <w:szCs w:val="24"/>
                <w:lang w:eastAsia="fr-FR"/>
              </w:rPr>
              <w:t>Le présent document est applicable à l'aluminate de sodium utilisé pour le traitement de l'eau destinée à la consommation humaine. Il décrit les caractéristiques et spécifie les exigences de l'aluminate de sodium et donne la référence des méthodes d'analyse correspondantes. Il donne les informations pour son emploi dans le traitement de l'eau.</w:t>
            </w:r>
          </w:p>
          <w:p w:rsidR="007A08AF" w:rsidRPr="0043547B" w:rsidRDefault="007A08AF" w:rsidP="004F78F6">
            <w:pPr>
              <w:jc w:val="both"/>
              <w:rPr>
                <w:rFonts w:eastAsia="Times New Roman" w:cstheme="minorHAnsi"/>
                <w:sz w:val="24"/>
                <w:szCs w:val="24"/>
                <w:lang w:eastAsia="fr-FR"/>
              </w:rPr>
            </w:pPr>
            <w:r w:rsidRPr="0043547B">
              <w:rPr>
                <w:rFonts w:eastAsia="Times New Roman" w:cstheme="minorHAnsi"/>
                <w:sz w:val="24"/>
                <w:szCs w:val="24"/>
                <w:lang w:eastAsia="fr-FR"/>
              </w:rPr>
              <w:t>Il fixe également les règles relatives à la sécurité d’emploi et de manipulation de l’aluminate de sodium (voir Annexe B).</w:t>
            </w:r>
          </w:p>
        </w:tc>
      </w:tr>
      <w:tr w:rsidR="0043547B" w:rsidRPr="0043547B" w:rsidTr="008F049B">
        <w:trPr>
          <w:trHeight w:val="315"/>
          <w:jc w:val="center"/>
        </w:trPr>
        <w:tc>
          <w:tcPr>
            <w:tcW w:w="1838" w:type="dxa"/>
            <w:tcBorders>
              <w:top w:val="single" w:sz="18" w:space="0" w:color="000000" w:themeColor="text1"/>
              <w:bottom w:val="single" w:sz="18" w:space="0" w:color="000000" w:themeColor="text1"/>
            </w:tcBorders>
            <w:shd w:val="clear" w:color="auto" w:fill="C2D69B" w:themeFill="accent3" w:themeFillTint="99"/>
            <w:vAlign w:val="center"/>
            <w:hideMark/>
          </w:tcPr>
          <w:p w:rsidR="007A08AF" w:rsidRPr="0043547B" w:rsidRDefault="007A08AF" w:rsidP="00923873">
            <w:pPr>
              <w:spacing w:line="276" w:lineRule="auto"/>
              <w:jc w:val="center"/>
              <w:rPr>
                <w:rFonts w:cstheme="minorHAnsi"/>
                <w:b/>
                <w:bCs/>
                <w:sz w:val="24"/>
                <w:szCs w:val="24"/>
              </w:rPr>
            </w:pPr>
            <w:r w:rsidRPr="0043547B">
              <w:rPr>
                <w:rFonts w:cstheme="minorHAnsi"/>
                <w:b/>
                <w:bCs/>
                <w:sz w:val="24"/>
                <w:szCs w:val="24"/>
              </w:rPr>
              <w:t>Code :</w:t>
            </w:r>
          </w:p>
        </w:tc>
        <w:tc>
          <w:tcPr>
            <w:tcW w:w="7944" w:type="dxa"/>
            <w:tcBorders>
              <w:top w:val="single" w:sz="18" w:space="0" w:color="000000" w:themeColor="text1"/>
              <w:bottom w:val="single" w:sz="18" w:space="0" w:color="000000" w:themeColor="text1"/>
            </w:tcBorders>
            <w:shd w:val="clear" w:color="auto" w:fill="C2D69B" w:themeFill="accent3" w:themeFillTint="99"/>
            <w:hideMark/>
          </w:tcPr>
          <w:p w:rsidR="007A08AF" w:rsidRPr="0043547B" w:rsidRDefault="007A08AF" w:rsidP="00923873">
            <w:pPr>
              <w:spacing w:line="276" w:lineRule="auto"/>
              <w:jc w:val="center"/>
              <w:rPr>
                <w:rFonts w:cstheme="minorHAnsi"/>
                <w:b/>
                <w:bCs/>
                <w:sz w:val="24"/>
                <w:szCs w:val="24"/>
              </w:rPr>
            </w:pPr>
            <w:r w:rsidRPr="0043547B">
              <w:rPr>
                <w:rFonts w:cstheme="minorHAnsi"/>
                <w:b/>
                <w:bCs/>
                <w:sz w:val="24"/>
                <w:szCs w:val="24"/>
              </w:rPr>
              <w:t>NM EN 935</w:t>
            </w:r>
          </w:p>
        </w:tc>
      </w:tr>
      <w:tr w:rsidR="0043547B" w:rsidRPr="0043547B" w:rsidTr="008F049B">
        <w:trPr>
          <w:trHeight w:val="315"/>
          <w:jc w:val="center"/>
        </w:trPr>
        <w:tc>
          <w:tcPr>
            <w:tcW w:w="1838" w:type="dxa"/>
            <w:tcBorders>
              <w:top w:val="single" w:sz="18" w:space="0" w:color="000000" w:themeColor="text1"/>
            </w:tcBorders>
            <w:shd w:val="clear" w:color="auto" w:fill="FFFFCC"/>
            <w:vAlign w:val="center"/>
            <w:hideMark/>
          </w:tcPr>
          <w:p w:rsidR="007A08AF" w:rsidRPr="0043547B" w:rsidRDefault="007A08AF" w:rsidP="00923873">
            <w:pPr>
              <w:spacing w:line="276" w:lineRule="auto"/>
              <w:jc w:val="center"/>
              <w:rPr>
                <w:rFonts w:cstheme="minorHAnsi"/>
                <w:b/>
                <w:bCs/>
                <w:sz w:val="24"/>
                <w:szCs w:val="24"/>
              </w:rPr>
            </w:pPr>
            <w:r w:rsidRPr="0043547B">
              <w:rPr>
                <w:rFonts w:cstheme="minorHAnsi"/>
                <w:b/>
                <w:bCs/>
                <w:sz w:val="24"/>
                <w:szCs w:val="24"/>
              </w:rPr>
              <w:t>Equivalence :</w:t>
            </w:r>
          </w:p>
        </w:tc>
        <w:tc>
          <w:tcPr>
            <w:tcW w:w="7944" w:type="dxa"/>
            <w:tcBorders>
              <w:top w:val="single" w:sz="18" w:space="0" w:color="000000" w:themeColor="text1"/>
            </w:tcBorders>
            <w:shd w:val="clear" w:color="auto" w:fill="FFFFCC"/>
            <w:hideMark/>
          </w:tcPr>
          <w:p w:rsidR="007A08AF" w:rsidRPr="0043547B" w:rsidRDefault="007A08AF" w:rsidP="00923873">
            <w:pPr>
              <w:spacing w:line="276" w:lineRule="auto"/>
              <w:jc w:val="center"/>
              <w:rPr>
                <w:rFonts w:cstheme="minorHAnsi"/>
                <w:b/>
                <w:bCs/>
                <w:sz w:val="24"/>
                <w:szCs w:val="24"/>
              </w:rPr>
            </w:pPr>
            <w:r w:rsidRPr="0043547B">
              <w:rPr>
                <w:rFonts w:cstheme="minorHAnsi"/>
                <w:b/>
                <w:bCs/>
                <w:sz w:val="24"/>
                <w:szCs w:val="24"/>
              </w:rPr>
              <w:t>EN 935</w:t>
            </w:r>
          </w:p>
        </w:tc>
      </w:tr>
      <w:tr w:rsidR="0043547B" w:rsidRPr="0043547B" w:rsidTr="0052667E">
        <w:trPr>
          <w:trHeight w:val="600"/>
          <w:jc w:val="center"/>
        </w:trPr>
        <w:tc>
          <w:tcPr>
            <w:tcW w:w="1838" w:type="dxa"/>
            <w:tcBorders>
              <w:bottom w:val="single" w:sz="4" w:space="0" w:color="000000" w:themeColor="text1"/>
            </w:tcBorders>
            <w:shd w:val="clear" w:color="auto" w:fill="8DB3E2" w:themeFill="text2" w:themeFillTint="66"/>
            <w:vAlign w:val="center"/>
            <w:hideMark/>
          </w:tcPr>
          <w:p w:rsidR="007A08AF" w:rsidRPr="0043547B" w:rsidRDefault="007A08AF" w:rsidP="00923873">
            <w:pPr>
              <w:spacing w:line="276" w:lineRule="auto"/>
              <w:jc w:val="center"/>
              <w:rPr>
                <w:rFonts w:cstheme="minorHAnsi"/>
                <w:b/>
                <w:bCs/>
                <w:sz w:val="24"/>
                <w:szCs w:val="24"/>
              </w:rPr>
            </w:pPr>
            <w:r w:rsidRPr="0043547B">
              <w:rPr>
                <w:rFonts w:cstheme="minorHAnsi"/>
                <w:b/>
                <w:bCs/>
                <w:sz w:val="24"/>
                <w:szCs w:val="24"/>
              </w:rPr>
              <w:t>Intitulé :</w:t>
            </w:r>
          </w:p>
        </w:tc>
        <w:tc>
          <w:tcPr>
            <w:tcW w:w="7944" w:type="dxa"/>
            <w:tcBorders>
              <w:bottom w:val="single" w:sz="4" w:space="0" w:color="000000" w:themeColor="text1"/>
            </w:tcBorders>
            <w:hideMark/>
          </w:tcPr>
          <w:p w:rsidR="007A08AF" w:rsidRPr="0043547B" w:rsidRDefault="007A08AF" w:rsidP="00923873">
            <w:pPr>
              <w:jc w:val="both"/>
              <w:rPr>
                <w:rFonts w:eastAsia="Times New Roman" w:cstheme="minorHAnsi"/>
                <w:sz w:val="24"/>
                <w:szCs w:val="24"/>
                <w:lang w:eastAsia="fr-FR"/>
              </w:rPr>
            </w:pPr>
            <w:r w:rsidRPr="0043547B">
              <w:rPr>
                <w:rFonts w:eastAsia="Times New Roman" w:cstheme="minorHAnsi"/>
                <w:sz w:val="24"/>
                <w:szCs w:val="24"/>
                <w:lang w:eastAsia="fr-FR"/>
              </w:rPr>
              <w:t xml:space="preserve">Produits chimiques utilisés pour le traitement de l'eau destinée à la consommation humaine - Chromure et hydroxychlorure d'aluminium et de fer (III) (monomères)  </w:t>
            </w:r>
          </w:p>
        </w:tc>
      </w:tr>
      <w:tr w:rsidR="0043547B" w:rsidRPr="0043547B" w:rsidTr="004657A6">
        <w:trPr>
          <w:trHeight w:val="843"/>
          <w:jc w:val="center"/>
        </w:trPr>
        <w:tc>
          <w:tcPr>
            <w:tcW w:w="1838" w:type="dxa"/>
            <w:tcBorders>
              <w:top w:val="single" w:sz="4" w:space="0" w:color="000000" w:themeColor="text1"/>
              <w:bottom w:val="single" w:sz="18" w:space="0" w:color="000000" w:themeColor="text1"/>
            </w:tcBorders>
            <w:shd w:val="clear" w:color="auto" w:fill="D9D9D9" w:themeFill="background1" w:themeFillShade="D9"/>
            <w:vAlign w:val="center"/>
            <w:hideMark/>
          </w:tcPr>
          <w:p w:rsidR="007A08AF" w:rsidRPr="0043547B" w:rsidRDefault="007A08AF" w:rsidP="00923873">
            <w:pPr>
              <w:jc w:val="center"/>
              <w:rPr>
                <w:rFonts w:cstheme="minorHAnsi"/>
                <w:b/>
                <w:bCs/>
                <w:sz w:val="24"/>
                <w:szCs w:val="24"/>
              </w:rPr>
            </w:pPr>
            <w:r w:rsidRPr="0043547B">
              <w:rPr>
                <w:rFonts w:cstheme="minorHAnsi"/>
                <w:b/>
                <w:bCs/>
                <w:sz w:val="24"/>
                <w:szCs w:val="24"/>
              </w:rPr>
              <w:t>Domaine d’application :</w:t>
            </w:r>
          </w:p>
        </w:tc>
        <w:tc>
          <w:tcPr>
            <w:tcW w:w="7944" w:type="dxa"/>
            <w:tcBorders>
              <w:top w:val="single" w:sz="4" w:space="0" w:color="000000" w:themeColor="text1"/>
              <w:bottom w:val="single" w:sz="18" w:space="0" w:color="000000" w:themeColor="text1"/>
            </w:tcBorders>
            <w:hideMark/>
          </w:tcPr>
          <w:p w:rsidR="007A08AF" w:rsidRPr="0043547B" w:rsidRDefault="007A08AF" w:rsidP="004657A6">
            <w:pPr>
              <w:jc w:val="both"/>
              <w:rPr>
                <w:rFonts w:eastAsia="Times New Roman" w:cstheme="minorHAnsi"/>
                <w:sz w:val="24"/>
                <w:szCs w:val="24"/>
                <w:lang w:eastAsia="fr-FR"/>
              </w:rPr>
            </w:pPr>
            <w:r w:rsidRPr="0043547B">
              <w:rPr>
                <w:rFonts w:eastAsia="Times New Roman" w:cstheme="minorHAnsi"/>
                <w:sz w:val="24"/>
                <w:szCs w:val="24"/>
                <w:lang w:eastAsia="fr-FR"/>
              </w:rPr>
              <w:t xml:space="preserve">Le présent document est applicable aux chlorures et hydroxychlorures d'aluminium et de fer (III) (monomères), utilisés pour le traitement de l'eau destinée à la consommation humaine. Il décrit les caractéristiques et spécifie les exigences des chlorures et </w:t>
            </w:r>
            <w:r w:rsidR="004657A6" w:rsidRPr="0043547B">
              <w:rPr>
                <w:rFonts w:eastAsia="Times New Roman" w:cstheme="minorHAnsi"/>
                <w:sz w:val="24"/>
                <w:szCs w:val="24"/>
                <w:lang w:eastAsia="fr-FR"/>
              </w:rPr>
              <w:t>hydroxychlorures d’aluminium et de fer (III) (monomères). Il fait référence aux méthodes d'analyse correspondantes et donne également des informations sur l’emploi de ces produits pour le traitement de l'eau. Il fixe également les règles relatives à la sécurité d’emploi et de manipulation des chlorures et hydroxychlorures d'aluminium et de fer (III) (monomères) (voir Annexe B).</w:t>
            </w:r>
          </w:p>
        </w:tc>
      </w:tr>
      <w:tr w:rsidR="0043547B" w:rsidRPr="0043547B" w:rsidTr="008F049B">
        <w:trPr>
          <w:trHeight w:val="315"/>
          <w:jc w:val="center"/>
        </w:trPr>
        <w:tc>
          <w:tcPr>
            <w:tcW w:w="1838" w:type="dxa"/>
            <w:tcBorders>
              <w:top w:val="single" w:sz="18" w:space="0" w:color="000000" w:themeColor="text1"/>
              <w:bottom w:val="single" w:sz="18" w:space="0" w:color="000000" w:themeColor="text1"/>
            </w:tcBorders>
            <w:shd w:val="clear" w:color="auto" w:fill="C2D69B" w:themeFill="accent3" w:themeFillTint="99"/>
            <w:vAlign w:val="center"/>
            <w:hideMark/>
          </w:tcPr>
          <w:p w:rsidR="007A08AF" w:rsidRPr="0043547B" w:rsidRDefault="007A08AF" w:rsidP="00923873">
            <w:pPr>
              <w:spacing w:line="276" w:lineRule="auto"/>
              <w:jc w:val="center"/>
              <w:rPr>
                <w:rFonts w:cstheme="minorHAnsi"/>
                <w:b/>
                <w:bCs/>
                <w:sz w:val="24"/>
                <w:szCs w:val="24"/>
              </w:rPr>
            </w:pPr>
            <w:r w:rsidRPr="0043547B">
              <w:rPr>
                <w:rFonts w:cstheme="minorHAnsi"/>
                <w:b/>
                <w:bCs/>
                <w:sz w:val="24"/>
                <w:szCs w:val="24"/>
              </w:rPr>
              <w:t>Code :</w:t>
            </w:r>
          </w:p>
        </w:tc>
        <w:tc>
          <w:tcPr>
            <w:tcW w:w="7944" w:type="dxa"/>
            <w:tcBorders>
              <w:top w:val="single" w:sz="18" w:space="0" w:color="000000" w:themeColor="text1"/>
              <w:bottom w:val="single" w:sz="18" w:space="0" w:color="000000" w:themeColor="text1"/>
            </w:tcBorders>
            <w:shd w:val="clear" w:color="auto" w:fill="C2D69B" w:themeFill="accent3" w:themeFillTint="99"/>
            <w:hideMark/>
          </w:tcPr>
          <w:p w:rsidR="007A08AF" w:rsidRPr="0043547B" w:rsidRDefault="007A08AF" w:rsidP="00923873">
            <w:pPr>
              <w:spacing w:line="276" w:lineRule="auto"/>
              <w:jc w:val="center"/>
              <w:rPr>
                <w:rFonts w:cstheme="minorHAnsi"/>
                <w:b/>
                <w:bCs/>
                <w:sz w:val="24"/>
                <w:szCs w:val="24"/>
              </w:rPr>
            </w:pPr>
            <w:r w:rsidRPr="0043547B">
              <w:rPr>
                <w:rFonts w:cstheme="minorHAnsi"/>
                <w:b/>
                <w:bCs/>
                <w:sz w:val="24"/>
                <w:szCs w:val="24"/>
              </w:rPr>
              <w:t>NM EN 1302+AC</w:t>
            </w:r>
          </w:p>
        </w:tc>
      </w:tr>
      <w:tr w:rsidR="0043547B" w:rsidRPr="0043547B" w:rsidTr="008F049B">
        <w:trPr>
          <w:trHeight w:val="315"/>
          <w:jc w:val="center"/>
        </w:trPr>
        <w:tc>
          <w:tcPr>
            <w:tcW w:w="1838" w:type="dxa"/>
            <w:tcBorders>
              <w:top w:val="single" w:sz="18" w:space="0" w:color="000000" w:themeColor="text1"/>
            </w:tcBorders>
            <w:shd w:val="clear" w:color="auto" w:fill="FFFFCC"/>
            <w:vAlign w:val="center"/>
            <w:hideMark/>
          </w:tcPr>
          <w:p w:rsidR="007A08AF" w:rsidRPr="0043547B" w:rsidRDefault="007A08AF" w:rsidP="00923873">
            <w:pPr>
              <w:spacing w:line="276" w:lineRule="auto"/>
              <w:jc w:val="center"/>
              <w:rPr>
                <w:rFonts w:cstheme="minorHAnsi"/>
                <w:b/>
                <w:bCs/>
                <w:sz w:val="24"/>
                <w:szCs w:val="24"/>
              </w:rPr>
            </w:pPr>
            <w:r w:rsidRPr="0043547B">
              <w:rPr>
                <w:rFonts w:cstheme="minorHAnsi"/>
                <w:b/>
                <w:bCs/>
                <w:sz w:val="24"/>
                <w:szCs w:val="24"/>
              </w:rPr>
              <w:t>Equivalence :</w:t>
            </w:r>
          </w:p>
        </w:tc>
        <w:tc>
          <w:tcPr>
            <w:tcW w:w="7944" w:type="dxa"/>
            <w:tcBorders>
              <w:top w:val="single" w:sz="18" w:space="0" w:color="000000" w:themeColor="text1"/>
            </w:tcBorders>
            <w:shd w:val="clear" w:color="auto" w:fill="FFFFCC"/>
            <w:hideMark/>
          </w:tcPr>
          <w:p w:rsidR="007A08AF" w:rsidRPr="0043547B" w:rsidRDefault="007A08AF" w:rsidP="00923873">
            <w:pPr>
              <w:spacing w:line="276" w:lineRule="auto"/>
              <w:jc w:val="center"/>
              <w:rPr>
                <w:rFonts w:cstheme="minorHAnsi"/>
                <w:b/>
                <w:bCs/>
                <w:sz w:val="24"/>
                <w:szCs w:val="24"/>
              </w:rPr>
            </w:pPr>
            <w:r w:rsidRPr="0043547B">
              <w:rPr>
                <w:rFonts w:cstheme="minorHAnsi"/>
                <w:b/>
                <w:bCs/>
                <w:sz w:val="24"/>
                <w:szCs w:val="24"/>
              </w:rPr>
              <w:t xml:space="preserve">EN 1302  </w:t>
            </w:r>
          </w:p>
        </w:tc>
      </w:tr>
      <w:tr w:rsidR="0043547B" w:rsidRPr="0043547B" w:rsidTr="0052667E">
        <w:trPr>
          <w:trHeight w:val="600"/>
          <w:jc w:val="center"/>
        </w:trPr>
        <w:tc>
          <w:tcPr>
            <w:tcW w:w="1838" w:type="dxa"/>
            <w:tcBorders>
              <w:bottom w:val="single" w:sz="4" w:space="0" w:color="000000" w:themeColor="text1"/>
            </w:tcBorders>
            <w:shd w:val="clear" w:color="auto" w:fill="8DB3E2" w:themeFill="text2" w:themeFillTint="66"/>
            <w:vAlign w:val="center"/>
            <w:hideMark/>
          </w:tcPr>
          <w:p w:rsidR="007A08AF" w:rsidRPr="0043547B" w:rsidRDefault="007A08AF" w:rsidP="00923873">
            <w:pPr>
              <w:jc w:val="center"/>
              <w:rPr>
                <w:rFonts w:cstheme="minorHAnsi"/>
                <w:b/>
                <w:bCs/>
                <w:sz w:val="24"/>
                <w:szCs w:val="24"/>
              </w:rPr>
            </w:pPr>
            <w:r w:rsidRPr="0043547B">
              <w:rPr>
                <w:rFonts w:cstheme="minorHAnsi"/>
                <w:b/>
                <w:bCs/>
                <w:sz w:val="24"/>
                <w:szCs w:val="24"/>
              </w:rPr>
              <w:t>Intitulé :</w:t>
            </w:r>
          </w:p>
        </w:tc>
        <w:tc>
          <w:tcPr>
            <w:tcW w:w="7944" w:type="dxa"/>
            <w:tcBorders>
              <w:bottom w:val="single" w:sz="4" w:space="0" w:color="000000" w:themeColor="text1"/>
            </w:tcBorders>
            <w:hideMark/>
          </w:tcPr>
          <w:p w:rsidR="007A08AF" w:rsidRPr="0043547B" w:rsidRDefault="007A08AF" w:rsidP="0052667E">
            <w:pPr>
              <w:jc w:val="both"/>
              <w:rPr>
                <w:rFonts w:cstheme="minorHAnsi"/>
                <w:sz w:val="24"/>
                <w:szCs w:val="24"/>
              </w:rPr>
            </w:pPr>
            <w:r w:rsidRPr="0043547B">
              <w:rPr>
                <w:rFonts w:cstheme="minorHAnsi"/>
                <w:sz w:val="24"/>
                <w:szCs w:val="24"/>
              </w:rPr>
              <w:t xml:space="preserve">Produits chimiques utilisés pour le traitement de l'eau destinée à la consommation humaine - coagulants à base d’aluminium - Méthodes d'analyse  </w:t>
            </w:r>
          </w:p>
        </w:tc>
      </w:tr>
      <w:tr w:rsidR="0043547B" w:rsidRPr="0043547B" w:rsidTr="0052667E">
        <w:trPr>
          <w:trHeight w:val="997"/>
          <w:jc w:val="center"/>
        </w:trPr>
        <w:tc>
          <w:tcPr>
            <w:tcW w:w="1838" w:type="dxa"/>
            <w:tcBorders>
              <w:top w:val="single" w:sz="4" w:space="0" w:color="000000" w:themeColor="text1"/>
              <w:bottom w:val="single" w:sz="18" w:space="0" w:color="000000" w:themeColor="text1"/>
            </w:tcBorders>
            <w:shd w:val="clear" w:color="auto" w:fill="D9D9D9" w:themeFill="background1" w:themeFillShade="D9"/>
            <w:vAlign w:val="center"/>
            <w:hideMark/>
          </w:tcPr>
          <w:p w:rsidR="007A08AF" w:rsidRPr="0043547B" w:rsidRDefault="007A08AF" w:rsidP="00923873">
            <w:pPr>
              <w:jc w:val="center"/>
              <w:rPr>
                <w:rFonts w:cstheme="minorHAnsi"/>
                <w:b/>
                <w:bCs/>
                <w:sz w:val="24"/>
                <w:szCs w:val="24"/>
              </w:rPr>
            </w:pPr>
            <w:r w:rsidRPr="0043547B">
              <w:rPr>
                <w:rFonts w:cstheme="minorHAnsi"/>
                <w:b/>
                <w:bCs/>
                <w:sz w:val="24"/>
                <w:szCs w:val="24"/>
              </w:rPr>
              <w:t>Domaine d’application :</w:t>
            </w:r>
          </w:p>
        </w:tc>
        <w:tc>
          <w:tcPr>
            <w:tcW w:w="7944" w:type="dxa"/>
            <w:tcBorders>
              <w:top w:val="single" w:sz="4" w:space="0" w:color="000000" w:themeColor="text1"/>
              <w:bottom w:val="single" w:sz="18" w:space="0" w:color="000000" w:themeColor="text1"/>
            </w:tcBorders>
            <w:hideMark/>
          </w:tcPr>
          <w:p w:rsidR="007A08AF" w:rsidRPr="0043547B" w:rsidRDefault="007A08AF" w:rsidP="0052667E">
            <w:pPr>
              <w:jc w:val="both"/>
              <w:rPr>
                <w:rFonts w:cstheme="minorHAnsi"/>
                <w:sz w:val="24"/>
                <w:szCs w:val="24"/>
              </w:rPr>
            </w:pPr>
            <w:r w:rsidRPr="0043547B">
              <w:rPr>
                <w:rFonts w:cstheme="minorHAnsi"/>
                <w:sz w:val="24"/>
                <w:szCs w:val="24"/>
              </w:rPr>
              <w:t xml:space="preserve">La présente norme </w:t>
            </w:r>
            <w:r w:rsidR="002532B1" w:rsidRPr="0043547B">
              <w:rPr>
                <w:rFonts w:cstheme="minorHAnsi"/>
                <w:sz w:val="24"/>
                <w:szCs w:val="24"/>
              </w:rPr>
              <w:t>marocaine</w:t>
            </w:r>
            <w:r w:rsidRPr="0043547B">
              <w:rPr>
                <w:rFonts w:cstheme="minorHAnsi"/>
                <w:sz w:val="24"/>
                <w:szCs w:val="24"/>
              </w:rPr>
              <w:t xml:space="preserve"> est applicable aux coagulants à base d'aluminium utilisés pour le traitement de l'eau destinée à la consommation humaine. Elle spécifie les méthodes d'analyse à utiliser pour les produits décrits dans les EN 878, EN 881, EN 882, EN 883, prEN 885, prEN 886, prEN 887 et prEN 935.</w:t>
            </w:r>
          </w:p>
        </w:tc>
      </w:tr>
      <w:tr w:rsidR="0043547B" w:rsidRPr="0043547B" w:rsidTr="008F049B">
        <w:trPr>
          <w:trHeight w:val="315"/>
          <w:jc w:val="center"/>
        </w:trPr>
        <w:tc>
          <w:tcPr>
            <w:tcW w:w="1838" w:type="dxa"/>
            <w:tcBorders>
              <w:top w:val="single" w:sz="18" w:space="0" w:color="000000" w:themeColor="text1"/>
              <w:bottom w:val="single" w:sz="18" w:space="0" w:color="000000" w:themeColor="text1"/>
            </w:tcBorders>
            <w:shd w:val="clear" w:color="auto" w:fill="C2D69B" w:themeFill="accent3" w:themeFillTint="99"/>
            <w:vAlign w:val="center"/>
            <w:hideMark/>
          </w:tcPr>
          <w:p w:rsidR="007A08AF" w:rsidRPr="0043547B" w:rsidRDefault="007A08AF" w:rsidP="0052667E">
            <w:pPr>
              <w:spacing w:line="276" w:lineRule="auto"/>
              <w:jc w:val="center"/>
              <w:rPr>
                <w:rFonts w:cstheme="minorHAnsi"/>
                <w:b/>
                <w:bCs/>
                <w:sz w:val="24"/>
                <w:szCs w:val="24"/>
              </w:rPr>
            </w:pPr>
            <w:r w:rsidRPr="0043547B">
              <w:rPr>
                <w:rFonts w:cstheme="minorHAnsi"/>
                <w:b/>
                <w:bCs/>
                <w:sz w:val="24"/>
                <w:szCs w:val="24"/>
              </w:rPr>
              <w:t>Code :</w:t>
            </w:r>
          </w:p>
        </w:tc>
        <w:tc>
          <w:tcPr>
            <w:tcW w:w="7944" w:type="dxa"/>
            <w:tcBorders>
              <w:top w:val="single" w:sz="18" w:space="0" w:color="000000" w:themeColor="text1"/>
              <w:bottom w:val="single" w:sz="18" w:space="0" w:color="000000" w:themeColor="text1"/>
            </w:tcBorders>
            <w:shd w:val="clear" w:color="auto" w:fill="C2D69B" w:themeFill="accent3" w:themeFillTint="99"/>
            <w:hideMark/>
          </w:tcPr>
          <w:p w:rsidR="007A08AF" w:rsidRPr="0043547B" w:rsidRDefault="007A08AF" w:rsidP="0052667E">
            <w:pPr>
              <w:spacing w:line="276" w:lineRule="auto"/>
              <w:jc w:val="center"/>
              <w:rPr>
                <w:rFonts w:cstheme="minorHAnsi"/>
                <w:b/>
                <w:bCs/>
                <w:sz w:val="24"/>
                <w:szCs w:val="24"/>
              </w:rPr>
            </w:pPr>
            <w:r w:rsidRPr="0043547B">
              <w:rPr>
                <w:rFonts w:cstheme="minorHAnsi"/>
                <w:b/>
                <w:bCs/>
                <w:sz w:val="24"/>
                <w:szCs w:val="24"/>
              </w:rPr>
              <w:t xml:space="preserve">NM </w:t>
            </w:r>
            <w:r w:rsidR="003058D4" w:rsidRPr="0043547B">
              <w:rPr>
                <w:rFonts w:cstheme="minorHAnsi"/>
                <w:b/>
                <w:bCs/>
                <w:sz w:val="24"/>
                <w:szCs w:val="24"/>
              </w:rPr>
              <w:t>EN 888</w:t>
            </w:r>
          </w:p>
        </w:tc>
      </w:tr>
      <w:tr w:rsidR="0043547B" w:rsidRPr="0043547B" w:rsidTr="008F049B">
        <w:trPr>
          <w:trHeight w:val="315"/>
          <w:jc w:val="center"/>
        </w:trPr>
        <w:tc>
          <w:tcPr>
            <w:tcW w:w="1838" w:type="dxa"/>
            <w:tcBorders>
              <w:top w:val="single" w:sz="18" w:space="0" w:color="000000" w:themeColor="text1"/>
            </w:tcBorders>
            <w:shd w:val="clear" w:color="auto" w:fill="FFFFCC"/>
            <w:vAlign w:val="center"/>
            <w:hideMark/>
          </w:tcPr>
          <w:p w:rsidR="007A08AF" w:rsidRPr="0043547B" w:rsidRDefault="007A08AF" w:rsidP="0052667E">
            <w:pPr>
              <w:spacing w:line="276" w:lineRule="auto"/>
              <w:jc w:val="center"/>
              <w:rPr>
                <w:rFonts w:cstheme="minorHAnsi"/>
                <w:b/>
                <w:bCs/>
                <w:sz w:val="24"/>
                <w:szCs w:val="24"/>
              </w:rPr>
            </w:pPr>
            <w:r w:rsidRPr="0043547B">
              <w:rPr>
                <w:rFonts w:cstheme="minorHAnsi"/>
                <w:b/>
                <w:bCs/>
                <w:sz w:val="24"/>
                <w:szCs w:val="24"/>
              </w:rPr>
              <w:lastRenderedPageBreak/>
              <w:t>Equivalence :</w:t>
            </w:r>
          </w:p>
        </w:tc>
        <w:tc>
          <w:tcPr>
            <w:tcW w:w="7944" w:type="dxa"/>
            <w:tcBorders>
              <w:top w:val="single" w:sz="18" w:space="0" w:color="000000" w:themeColor="text1"/>
            </w:tcBorders>
            <w:shd w:val="clear" w:color="auto" w:fill="FFFFCC"/>
            <w:hideMark/>
          </w:tcPr>
          <w:p w:rsidR="007A08AF" w:rsidRPr="0043547B" w:rsidRDefault="007A08AF" w:rsidP="0052667E">
            <w:pPr>
              <w:spacing w:line="276" w:lineRule="auto"/>
              <w:jc w:val="center"/>
              <w:rPr>
                <w:rFonts w:cstheme="minorHAnsi"/>
                <w:b/>
                <w:bCs/>
                <w:sz w:val="24"/>
                <w:szCs w:val="24"/>
              </w:rPr>
            </w:pPr>
            <w:r w:rsidRPr="0043547B">
              <w:rPr>
                <w:rFonts w:cstheme="minorHAnsi"/>
                <w:b/>
                <w:bCs/>
                <w:sz w:val="24"/>
                <w:szCs w:val="24"/>
              </w:rPr>
              <w:t>EN 888</w:t>
            </w:r>
          </w:p>
        </w:tc>
      </w:tr>
      <w:tr w:rsidR="0043547B" w:rsidRPr="0043547B" w:rsidTr="0052667E">
        <w:trPr>
          <w:trHeight w:val="600"/>
          <w:jc w:val="center"/>
        </w:trPr>
        <w:tc>
          <w:tcPr>
            <w:tcW w:w="1838" w:type="dxa"/>
            <w:tcBorders>
              <w:bottom w:val="single" w:sz="4" w:space="0" w:color="000000" w:themeColor="text1"/>
            </w:tcBorders>
            <w:shd w:val="clear" w:color="auto" w:fill="8DB3E2" w:themeFill="text2" w:themeFillTint="66"/>
            <w:vAlign w:val="center"/>
            <w:hideMark/>
          </w:tcPr>
          <w:p w:rsidR="007A08AF" w:rsidRPr="0043547B" w:rsidRDefault="007A08AF" w:rsidP="00923873">
            <w:pPr>
              <w:jc w:val="center"/>
              <w:rPr>
                <w:rFonts w:cstheme="minorHAnsi"/>
                <w:b/>
                <w:bCs/>
                <w:sz w:val="24"/>
                <w:szCs w:val="24"/>
              </w:rPr>
            </w:pPr>
            <w:r w:rsidRPr="0043547B">
              <w:rPr>
                <w:rFonts w:cstheme="minorHAnsi"/>
                <w:b/>
                <w:bCs/>
                <w:sz w:val="24"/>
                <w:szCs w:val="24"/>
              </w:rPr>
              <w:t>Intitulé :</w:t>
            </w:r>
          </w:p>
        </w:tc>
        <w:tc>
          <w:tcPr>
            <w:tcW w:w="7944" w:type="dxa"/>
            <w:tcBorders>
              <w:bottom w:val="single" w:sz="4" w:space="0" w:color="000000" w:themeColor="text1"/>
            </w:tcBorders>
            <w:hideMark/>
          </w:tcPr>
          <w:p w:rsidR="007A08AF" w:rsidRPr="0043547B" w:rsidRDefault="007A08AF" w:rsidP="007A08AF">
            <w:pPr>
              <w:rPr>
                <w:rFonts w:cstheme="minorHAnsi"/>
                <w:sz w:val="24"/>
                <w:szCs w:val="24"/>
              </w:rPr>
            </w:pPr>
            <w:r w:rsidRPr="0043547B">
              <w:rPr>
                <w:rFonts w:cstheme="minorHAnsi"/>
                <w:sz w:val="24"/>
                <w:szCs w:val="24"/>
              </w:rPr>
              <w:t>Produits chimiques utilisés pour le traitement de l'eau destinée à la consommation humaine - Chlorure de fer (III) </w:t>
            </w:r>
          </w:p>
        </w:tc>
      </w:tr>
      <w:tr w:rsidR="0043547B" w:rsidRPr="0043547B" w:rsidTr="0052667E">
        <w:trPr>
          <w:trHeight w:val="1557"/>
          <w:jc w:val="center"/>
        </w:trPr>
        <w:tc>
          <w:tcPr>
            <w:tcW w:w="1838" w:type="dxa"/>
            <w:tcBorders>
              <w:top w:val="single" w:sz="4" w:space="0" w:color="000000" w:themeColor="text1"/>
              <w:bottom w:val="single" w:sz="18" w:space="0" w:color="000000" w:themeColor="text1"/>
            </w:tcBorders>
            <w:shd w:val="clear" w:color="auto" w:fill="D9D9D9" w:themeFill="background1" w:themeFillShade="D9"/>
            <w:vAlign w:val="center"/>
            <w:hideMark/>
          </w:tcPr>
          <w:p w:rsidR="007A08AF" w:rsidRPr="0043547B" w:rsidRDefault="007A08AF" w:rsidP="00923873">
            <w:pPr>
              <w:jc w:val="center"/>
              <w:rPr>
                <w:rFonts w:cstheme="minorHAnsi"/>
                <w:b/>
                <w:bCs/>
                <w:sz w:val="24"/>
                <w:szCs w:val="24"/>
              </w:rPr>
            </w:pPr>
            <w:r w:rsidRPr="0043547B">
              <w:rPr>
                <w:rFonts w:cstheme="minorHAnsi"/>
                <w:b/>
                <w:bCs/>
                <w:sz w:val="24"/>
                <w:szCs w:val="24"/>
              </w:rPr>
              <w:t>Domaine d’application :</w:t>
            </w:r>
          </w:p>
        </w:tc>
        <w:tc>
          <w:tcPr>
            <w:tcW w:w="7944" w:type="dxa"/>
            <w:tcBorders>
              <w:top w:val="single" w:sz="4" w:space="0" w:color="000000" w:themeColor="text1"/>
              <w:bottom w:val="single" w:sz="18" w:space="0" w:color="000000" w:themeColor="text1"/>
            </w:tcBorders>
            <w:hideMark/>
          </w:tcPr>
          <w:p w:rsidR="007A08AF" w:rsidRPr="0043547B" w:rsidRDefault="007A08AF" w:rsidP="008F049B">
            <w:pPr>
              <w:jc w:val="both"/>
              <w:rPr>
                <w:rFonts w:cstheme="minorHAnsi"/>
                <w:sz w:val="24"/>
                <w:szCs w:val="24"/>
              </w:rPr>
            </w:pPr>
            <w:r w:rsidRPr="0043547B">
              <w:rPr>
                <w:rFonts w:cstheme="minorHAnsi"/>
                <w:sz w:val="24"/>
                <w:szCs w:val="24"/>
              </w:rPr>
              <w:t>La présente norme marocaine est applicable aux chlorure de fer (III) (a), chlorure de fer (III) hexahydraté (b), solution de chlorure de fer (III) (c) utilisés pour le traitement de l’eau destinée à la consommation humaine. Elle décrit les caractéristiques et spécifie les prescriptions des chlorures de fer (III) (a), (b) et (c) et les méthodes d’essai correspondantes et donne les informations pour leur utilisation dans le traitement de l’eau.</w:t>
            </w:r>
          </w:p>
        </w:tc>
      </w:tr>
      <w:tr w:rsidR="00C8284D" w:rsidRPr="0043547B" w:rsidTr="006131A6">
        <w:trPr>
          <w:trHeight w:val="406"/>
          <w:jc w:val="center"/>
        </w:trPr>
        <w:tc>
          <w:tcPr>
            <w:tcW w:w="1838" w:type="dxa"/>
            <w:tcBorders>
              <w:top w:val="single" w:sz="4" w:space="0" w:color="000000" w:themeColor="text1"/>
              <w:bottom w:val="single" w:sz="18" w:space="0" w:color="000000" w:themeColor="text1"/>
            </w:tcBorders>
            <w:shd w:val="clear" w:color="auto" w:fill="C2D69B" w:themeFill="accent3" w:themeFillTint="99"/>
            <w:vAlign w:val="center"/>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Code :</w:t>
            </w:r>
          </w:p>
        </w:tc>
        <w:tc>
          <w:tcPr>
            <w:tcW w:w="7944" w:type="dxa"/>
            <w:tcBorders>
              <w:top w:val="single" w:sz="4" w:space="0" w:color="000000" w:themeColor="text1"/>
              <w:bottom w:val="single" w:sz="18" w:space="0" w:color="000000" w:themeColor="text1"/>
            </w:tcBorders>
            <w:shd w:val="clear" w:color="auto" w:fill="C2D69B" w:themeFill="accent3" w:themeFillTint="99"/>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 xml:space="preserve">NM </w:t>
            </w:r>
            <w:r>
              <w:rPr>
                <w:rFonts w:cstheme="minorHAnsi"/>
                <w:b/>
                <w:bCs/>
                <w:sz w:val="24"/>
                <w:szCs w:val="24"/>
              </w:rPr>
              <w:t>EN 878</w:t>
            </w:r>
          </w:p>
        </w:tc>
      </w:tr>
      <w:tr w:rsidR="00C8284D" w:rsidRPr="0043547B" w:rsidTr="006131A6">
        <w:trPr>
          <w:trHeight w:val="100"/>
          <w:jc w:val="center"/>
        </w:trPr>
        <w:tc>
          <w:tcPr>
            <w:tcW w:w="1838" w:type="dxa"/>
            <w:tcBorders>
              <w:top w:val="single" w:sz="4" w:space="0" w:color="000000" w:themeColor="text1"/>
              <w:bottom w:val="single" w:sz="18" w:space="0" w:color="000000" w:themeColor="text1"/>
            </w:tcBorders>
            <w:shd w:val="clear" w:color="auto" w:fill="FFFF99"/>
            <w:vAlign w:val="center"/>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Equivalence :</w:t>
            </w:r>
          </w:p>
        </w:tc>
        <w:tc>
          <w:tcPr>
            <w:tcW w:w="7944" w:type="dxa"/>
            <w:tcBorders>
              <w:top w:val="single" w:sz="4" w:space="0" w:color="000000" w:themeColor="text1"/>
              <w:bottom w:val="single" w:sz="18" w:space="0" w:color="000000" w:themeColor="text1"/>
            </w:tcBorders>
            <w:shd w:val="clear" w:color="auto" w:fill="FFFF99"/>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EN 8</w:t>
            </w:r>
            <w:r>
              <w:rPr>
                <w:rFonts w:cstheme="minorHAnsi"/>
                <w:b/>
                <w:bCs/>
                <w:sz w:val="24"/>
                <w:szCs w:val="24"/>
              </w:rPr>
              <w:t>78</w:t>
            </w:r>
          </w:p>
        </w:tc>
      </w:tr>
      <w:tr w:rsidR="00C8284D" w:rsidRPr="0043547B" w:rsidTr="006131A6">
        <w:trPr>
          <w:trHeight w:val="289"/>
          <w:jc w:val="center"/>
        </w:trPr>
        <w:tc>
          <w:tcPr>
            <w:tcW w:w="1838" w:type="dxa"/>
            <w:tcBorders>
              <w:top w:val="single" w:sz="4" w:space="0" w:color="000000" w:themeColor="text1"/>
              <w:bottom w:val="single" w:sz="18" w:space="0" w:color="000000" w:themeColor="text1"/>
            </w:tcBorders>
            <w:shd w:val="clear" w:color="auto" w:fill="B8CCE4" w:themeFill="accent1" w:themeFillTint="66"/>
            <w:vAlign w:val="center"/>
          </w:tcPr>
          <w:p w:rsidR="00C8284D" w:rsidRPr="0043547B" w:rsidRDefault="00C8284D" w:rsidP="00C8284D">
            <w:pPr>
              <w:jc w:val="center"/>
              <w:rPr>
                <w:rFonts w:cstheme="minorHAnsi"/>
                <w:b/>
                <w:bCs/>
                <w:sz w:val="24"/>
                <w:szCs w:val="24"/>
              </w:rPr>
            </w:pPr>
            <w:r w:rsidRPr="0043547B">
              <w:rPr>
                <w:rFonts w:cstheme="minorHAnsi"/>
                <w:b/>
                <w:bCs/>
                <w:sz w:val="24"/>
                <w:szCs w:val="24"/>
              </w:rPr>
              <w:t>Intitulé :</w:t>
            </w:r>
          </w:p>
        </w:tc>
        <w:tc>
          <w:tcPr>
            <w:tcW w:w="7944" w:type="dxa"/>
            <w:tcBorders>
              <w:top w:val="single" w:sz="4" w:space="0" w:color="000000" w:themeColor="text1"/>
              <w:bottom w:val="single" w:sz="18" w:space="0" w:color="000000" w:themeColor="text1"/>
            </w:tcBorders>
          </w:tcPr>
          <w:p w:rsidR="00C8284D" w:rsidRPr="006131A6" w:rsidRDefault="00C8284D" w:rsidP="00C8284D">
            <w:pPr>
              <w:jc w:val="both"/>
              <w:rPr>
                <w:rFonts w:cstheme="minorHAnsi"/>
                <w:sz w:val="24"/>
                <w:szCs w:val="24"/>
              </w:rPr>
            </w:pPr>
            <w:r w:rsidRPr="006131A6">
              <w:rPr>
                <w:rFonts w:ascii="Trebuchet MS" w:hAnsi="Trebuchet MS"/>
                <w:sz w:val="20"/>
                <w:szCs w:val="20"/>
                <w:shd w:val="clear" w:color="auto" w:fill="FFFFFF"/>
              </w:rPr>
              <w:t>Produits chimiques utilisés pour le traitement de l'eau destinée à la consommation humaine - Sulfate d'aluminium</w:t>
            </w:r>
          </w:p>
        </w:tc>
      </w:tr>
      <w:tr w:rsidR="00C8284D" w:rsidRPr="0043547B" w:rsidTr="0052667E">
        <w:trPr>
          <w:trHeight w:val="1557"/>
          <w:jc w:val="center"/>
        </w:trPr>
        <w:tc>
          <w:tcPr>
            <w:tcW w:w="1838" w:type="dxa"/>
            <w:tcBorders>
              <w:top w:val="single" w:sz="4" w:space="0" w:color="000000" w:themeColor="text1"/>
              <w:bottom w:val="single" w:sz="18" w:space="0" w:color="000000" w:themeColor="text1"/>
            </w:tcBorders>
            <w:shd w:val="clear" w:color="auto" w:fill="D9D9D9" w:themeFill="background1" w:themeFillShade="D9"/>
            <w:vAlign w:val="center"/>
          </w:tcPr>
          <w:p w:rsidR="00C8284D" w:rsidRPr="0043547B" w:rsidRDefault="00C8284D" w:rsidP="00C8284D">
            <w:pPr>
              <w:jc w:val="center"/>
              <w:rPr>
                <w:rFonts w:cstheme="minorHAnsi"/>
                <w:b/>
                <w:bCs/>
                <w:sz w:val="24"/>
                <w:szCs w:val="24"/>
              </w:rPr>
            </w:pPr>
            <w:r w:rsidRPr="0043547B">
              <w:rPr>
                <w:rFonts w:cstheme="minorHAnsi"/>
                <w:b/>
                <w:bCs/>
                <w:sz w:val="24"/>
                <w:szCs w:val="24"/>
              </w:rPr>
              <w:t>Domaine d’application :</w:t>
            </w:r>
          </w:p>
        </w:tc>
        <w:tc>
          <w:tcPr>
            <w:tcW w:w="7944" w:type="dxa"/>
            <w:tcBorders>
              <w:top w:val="single" w:sz="4" w:space="0" w:color="000000" w:themeColor="text1"/>
              <w:bottom w:val="single" w:sz="18" w:space="0" w:color="000000" w:themeColor="text1"/>
            </w:tcBorders>
          </w:tcPr>
          <w:p w:rsidR="00C8284D" w:rsidRPr="006131A6" w:rsidRDefault="00C8284D" w:rsidP="00C8284D">
            <w:pPr>
              <w:jc w:val="both"/>
              <w:rPr>
                <w:rFonts w:cstheme="minorHAnsi"/>
                <w:sz w:val="24"/>
                <w:szCs w:val="24"/>
              </w:rPr>
            </w:pPr>
            <w:r w:rsidRPr="006131A6">
              <w:t>La présente Norme européenne est applicable au sulfate d’aluminium utilisé pour le traitement de l'eau destinée à la consommation humaine. Elle spécifie les caractéristiques et les exigences du sulfate d’aluminium et fait référence aux méthodes d’analyse. Elle donne des informations pour son emploi dans le traitement de l’eau. Elle fixe également les règles relatives à la sécurité de manipulation et d’utilisation du sulfate d’aluminium (voir l’Annexe B).</w:t>
            </w:r>
          </w:p>
        </w:tc>
      </w:tr>
      <w:tr w:rsidR="00C8284D" w:rsidRPr="0043547B" w:rsidTr="008F049B">
        <w:trPr>
          <w:trHeight w:val="315"/>
          <w:jc w:val="center"/>
        </w:trPr>
        <w:tc>
          <w:tcPr>
            <w:tcW w:w="1838" w:type="dxa"/>
            <w:tcBorders>
              <w:top w:val="single" w:sz="18" w:space="0" w:color="000000" w:themeColor="text1"/>
              <w:bottom w:val="single" w:sz="18" w:space="0" w:color="000000" w:themeColor="text1"/>
            </w:tcBorders>
            <w:shd w:val="clear" w:color="auto" w:fill="C2D69B" w:themeFill="accent3" w:themeFillTint="99"/>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Code :</w:t>
            </w:r>
          </w:p>
        </w:tc>
        <w:tc>
          <w:tcPr>
            <w:tcW w:w="7944" w:type="dxa"/>
            <w:tcBorders>
              <w:top w:val="single" w:sz="18" w:space="0" w:color="000000" w:themeColor="text1"/>
              <w:bottom w:val="single" w:sz="18" w:space="0" w:color="000000" w:themeColor="text1"/>
            </w:tcBorders>
            <w:shd w:val="clear" w:color="auto" w:fill="C2D69B" w:themeFill="accent3" w:themeFillTint="99"/>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NM EN 889</w:t>
            </w:r>
          </w:p>
        </w:tc>
      </w:tr>
      <w:tr w:rsidR="00C8284D" w:rsidRPr="0043547B" w:rsidTr="008F049B">
        <w:trPr>
          <w:trHeight w:val="315"/>
          <w:jc w:val="center"/>
        </w:trPr>
        <w:tc>
          <w:tcPr>
            <w:tcW w:w="1838" w:type="dxa"/>
            <w:tcBorders>
              <w:top w:val="single" w:sz="18" w:space="0" w:color="000000" w:themeColor="text1"/>
            </w:tcBorders>
            <w:shd w:val="clear" w:color="auto" w:fill="FFFFCC"/>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Equivalence :</w:t>
            </w:r>
          </w:p>
        </w:tc>
        <w:tc>
          <w:tcPr>
            <w:tcW w:w="7944" w:type="dxa"/>
            <w:tcBorders>
              <w:top w:val="single" w:sz="18" w:space="0" w:color="000000" w:themeColor="text1"/>
            </w:tcBorders>
            <w:shd w:val="clear" w:color="auto" w:fill="FFFFCC"/>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EN 889</w:t>
            </w:r>
          </w:p>
        </w:tc>
      </w:tr>
      <w:tr w:rsidR="00C8284D" w:rsidRPr="0043547B" w:rsidTr="0052667E">
        <w:trPr>
          <w:trHeight w:val="600"/>
          <w:jc w:val="center"/>
        </w:trPr>
        <w:tc>
          <w:tcPr>
            <w:tcW w:w="1838" w:type="dxa"/>
            <w:tcBorders>
              <w:bottom w:val="single" w:sz="4" w:space="0" w:color="000000" w:themeColor="text1"/>
            </w:tcBorders>
            <w:shd w:val="clear" w:color="auto" w:fill="8DB3E2" w:themeFill="text2" w:themeFillTint="66"/>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Intitulé :</w:t>
            </w:r>
          </w:p>
        </w:tc>
        <w:tc>
          <w:tcPr>
            <w:tcW w:w="7944" w:type="dxa"/>
            <w:tcBorders>
              <w:bottom w:val="single" w:sz="4"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 xml:space="preserve">Produits chimiques utilisés pour le traitement de l'eau destinée à la consommation humaine - Sulfate de fer (II)  </w:t>
            </w:r>
          </w:p>
        </w:tc>
      </w:tr>
      <w:tr w:rsidR="00C8284D" w:rsidRPr="0043547B" w:rsidTr="0052667E">
        <w:trPr>
          <w:trHeight w:val="1320"/>
          <w:jc w:val="center"/>
        </w:trPr>
        <w:tc>
          <w:tcPr>
            <w:tcW w:w="1838" w:type="dxa"/>
            <w:tcBorders>
              <w:top w:val="single" w:sz="4" w:space="0" w:color="000000" w:themeColor="text1"/>
              <w:bottom w:val="single" w:sz="18" w:space="0" w:color="000000" w:themeColor="text1"/>
            </w:tcBorders>
            <w:shd w:val="clear" w:color="auto" w:fill="D9D9D9" w:themeFill="background1" w:themeFillShade="D9"/>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Domaine d’application :</w:t>
            </w:r>
          </w:p>
        </w:tc>
        <w:tc>
          <w:tcPr>
            <w:tcW w:w="7944" w:type="dxa"/>
            <w:tcBorders>
              <w:top w:val="single" w:sz="4" w:space="0" w:color="000000" w:themeColor="text1"/>
              <w:bottom w:val="single" w:sz="18"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Le présent document est applicable au sulfate de fer(II) heptahydraté utilisé pour le traitement de l'eau destinée à la consommation humaine. Il décrit les caractéristiques et spécifie les exigences et les méthodes d'essai correspondantes du sulfate de fer(II) heptahydraté (les méthodes d’analyse sont données à l’Annexe B) et donne les informations pour son emploi dans le traitement de l'eau.</w:t>
            </w:r>
          </w:p>
        </w:tc>
      </w:tr>
      <w:tr w:rsidR="00C8284D" w:rsidRPr="0043547B" w:rsidTr="008F049B">
        <w:trPr>
          <w:trHeight w:val="315"/>
          <w:jc w:val="center"/>
        </w:trPr>
        <w:tc>
          <w:tcPr>
            <w:tcW w:w="1838" w:type="dxa"/>
            <w:tcBorders>
              <w:top w:val="single" w:sz="18" w:space="0" w:color="000000" w:themeColor="text1"/>
              <w:bottom w:val="single" w:sz="18" w:space="0" w:color="000000" w:themeColor="text1"/>
            </w:tcBorders>
            <w:shd w:val="clear" w:color="auto" w:fill="C2D69B" w:themeFill="accent3" w:themeFillTint="99"/>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Code :</w:t>
            </w:r>
          </w:p>
        </w:tc>
        <w:tc>
          <w:tcPr>
            <w:tcW w:w="7944" w:type="dxa"/>
            <w:tcBorders>
              <w:top w:val="single" w:sz="18" w:space="0" w:color="000000" w:themeColor="text1"/>
              <w:bottom w:val="single" w:sz="18" w:space="0" w:color="000000" w:themeColor="text1"/>
            </w:tcBorders>
            <w:shd w:val="clear" w:color="auto" w:fill="C2D69B" w:themeFill="accent3" w:themeFillTint="99"/>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 xml:space="preserve">NM EN 890 </w:t>
            </w:r>
          </w:p>
        </w:tc>
      </w:tr>
      <w:tr w:rsidR="00C8284D" w:rsidRPr="0043547B" w:rsidTr="008F049B">
        <w:trPr>
          <w:trHeight w:val="315"/>
          <w:jc w:val="center"/>
        </w:trPr>
        <w:tc>
          <w:tcPr>
            <w:tcW w:w="1838" w:type="dxa"/>
            <w:tcBorders>
              <w:top w:val="single" w:sz="18" w:space="0" w:color="000000" w:themeColor="text1"/>
            </w:tcBorders>
            <w:shd w:val="clear" w:color="auto" w:fill="FFFFCC"/>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Equivalence :</w:t>
            </w:r>
          </w:p>
        </w:tc>
        <w:tc>
          <w:tcPr>
            <w:tcW w:w="7944" w:type="dxa"/>
            <w:tcBorders>
              <w:top w:val="single" w:sz="18" w:space="0" w:color="000000" w:themeColor="text1"/>
            </w:tcBorders>
            <w:shd w:val="clear" w:color="auto" w:fill="FFFFCC"/>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 xml:space="preserve">EN 890 </w:t>
            </w:r>
          </w:p>
        </w:tc>
      </w:tr>
      <w:tr w:rsidR="00C8284D" w:rsidRPr="0043547B" w:rsidTr="0052667E">
        <w:trPr>
          <w:trHeight w:val="600"/>
          <w:jc w:val="center"/>
        </w:trPr>
        <w:tc>
          <w:tcPr>
            <w:tcW w:w="1838" w:type="dxa"/>
            <w:tcBorders>
              <w:bottom w:val="single" w:sz="4" w:space="0" w:color="000000" w:themeColor="text1"/>
            </w:tcBorders>
            <w:shd w:val="clear" w:color="auto" w:fill="8DB3E2" w:themeFill="text2" w:themeFillTint="66"/>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Intitulé :</w:t>
            </w:r>
          </w:p>
        </w:tc>
        <w:tc>
          <w:tcPr>
            <w:tcW w:w="7944" w:type="dxa"/>
            <w:tcBorders>
              <w:bottom w:val="single" w:sz="4"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 xml:space="preserve">Produits chimiques utilisés pour le traitement de l'eau destinée à la consommation humaine - Sulfate de fer (III) liquide   </w:t>
            </w:r>
          </w:p>
        </w:tc>
      </w:tr>
      <w:tr w:rsidR="00C8284D" w:rsidRPr="0043547B" w:rsidTr="006131A6">
        <w:trPr>
          <w:trHeight w:val="701"/>
          <w:jc w:val="center"/>
        </w:trPr>
        <w:tc>
          <w:tcPr>
            <w:tcW w:w="1838" w:type="dxa"/>
            <w:tcBorders>
              <w:top w:val="single" w:sz="4" w:space="0" w:color="000000" w:themeColor="text1"/>
              <w:bottom w:val="single" w:sz="18" w:space="0" w:color="000000" w:themeColor="text1"/>
            </w:tcBorders>
            <w:shd w:val="clear" w:color="auto" w:fill="D9D9D9" w:themeFill="background1" w:themeFillShade="D9"/>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Domaine d’application :</w:t>
            </w:r>
          </w:p>
        </w:tc>
        <w:tc>
          <w:tcPr>
            <w:tcW w:w="7944" w:type="dxa"/>
            <w:tcBorders>
              <w:top w:val="single" w:sz="4" w:space="0" w:color="000000" w:themeColor="text1"/>
              <w:bottom w:val="single" w:sz="18"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La présente Norme marocaine est applicable au sulfate de fer (III) liquide de différentes teneurs en fer et/ou en acide (voir 3.2) utilisé pour le traitement de l'eau destinée à la consommation humaine. Elle décrit les caractéristiques du sulfate de fer (III) liquide, spécifie les prescriptions et les méthodes d'analyse correspondantes concernant ce produit (les méthodes d'analyse sont données à l'Annexe B) et donne des informations pour son utilisation dans le traitement de l'eau. Elle fixe également les règles relatives à la sécurité d'emploi et de manipulation du sulfate de fer (III) liquide (voir Annexe E).</w:t>
            </w:r>
          </w:p>
        </w:tc>
      </w:tr>
      <w:tr w:rsidR="00C8284D" w:rsidRPr="0043547B" w:rsidTr="008F049B">
        <w:trPr>
          <w:trHeight w:val="315"/>
          <w:jc w:val="center"/>
        </w:trPr>
        <w:tc>
          <w:tcPr>
            <w:tcW w:w="1838" w:type="dxa"/>
            <w:tcBorders>
              <w:top w:val="single" w:sz="18" w:space="0" w:color="000000" w:themeColor="text1"/>
              <w:bottom w:val="single" w:sz="18" w:space="0" w:color="000000" w:themeColor="text1"/>
            </w:tcBorders>
            <w:shd w:val="clear" w:color="auto" w:fill="C2D69B" w:themeFill="accent3" w:themeFillTint="99"/>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Code :</w:t>
            </w:r>
          </w:p>
        </w:tc>
        <w:tc>
          <w:tcPr>
            <w:tcW w:w="7944" w:type="dxa"/>
            <w:tcBorders>
              <w:top w:val="single" w:sz="18" w:space="0" w:color="000000" w:themeColor="text1"/>
              <w:bottom w:val="single" w:sz="18" w:space="0" w:color="000000" w:themeColor="text1"/>
            </w:tcBorders>
            <w:shd w:val="clear" w:color="auto" w:fill="C2D69B" w:themeFill="accent3" w:themeFillTint="99"/>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NM EN 891</w:t>
            </w:r>
          </w:p>
        </w:tc>
      </w:tr>
      <w:tr w:rsidR="00C8284D" w:rsidRPr="0043547B" w:rsidTr="008F049B">
        <w:trPr>
          <w:trHeight w:val="315"/>
          <w:jc w:val="center"/>
        </w:trPr>
        <w:tc>
          <w:tcPr>
            <w:tcW w:w="1838" w:type="dxa"/>
            <w:tcBorders>
              <w:top w:val="single" w:sz="18" w:space="0" w:color="000000" w:themeColor="text1"/>
            </w:tcBorders>
            <w:shd w:val="clear" w:color="auto" w:fill="FFFFCC"/>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Equivalence :</w:t>
            </w:r>
          </w:p>
        </w:tc>
        <w:tc>
          <w:tcPr>
            <w:tcW w:w="7944" w:type="dxa"/>
            <w:tcBorders>
              <w:top w:val="single" w:sz="18" w:space="0" w:color="000000" w:themeColor="text1"/>
            </w:tcBorders>
            <w:shd w:val="clear" w:color="auto" w:fill="FFFFCC"/>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EN 891</w:t>
            </w:r>
          </w:p>
        </w:tc>
      </w:tr>
      <w:tr w:rsidR="00C8284D" w:rsidRPr="0043547B" w:rsidTr="0052667E">
        <w:trPr>
          <w:trHeight w:val="600"/>
          <w:jc w:val="center"/>
        </w:trPr>
        <w:tc>
          <w:tcPr>
            <w:tcW w:w="1838" w:type="dxa"/>
            <w:tcBorders>
              <w:bottom w:val="single" w:sz="4" w:space="0" w:color="000000" w:themeColor="text1"/>
            </w:tcBorders>
            <w:shd w:val="clear" w:color="auto" w:fill="8DB3E2" w:themeFill="text2" w:themeFillTint="66"/>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Intitulé :</w:t>
            </w:r>
          </w:p>
        </w:tc>
        <w:tc>
          <w:tcPr>
            <w:tcW w:w="7944" w:type="dxa"/>
            <w:tcBorders>
              <w:bottom w:val="single" w:sz="4" w:space="0" w:color="000000" w:themeColor="text1"/>
            </w:tcBorders>
            <w:hideMark/>
          </w:tcPr>
          <w:p w:rsidR="00C8284D" w:rsidRPr="0043547B" w:rsidRDefault="00C8284D" w:rsidP="00C8284D">
            <w:pPr>
              <w:jc w:val="lowKashida"/>
              <w:rPr>
                <w:rFonts w:cstheme="minorHAnsi"/>
                <w:sz w:val="24"/>
                <w:szCs w:val="24"/>
              </w:rPr>
            </w:pPr>
            <w:r w:rsidRPr="0043547B">
              <w:rPr>
                <w:rFonts w:cstheme="minorHAnsi"/>
                <w:sz w:val="24"/>
                <w:szCs w:val="24"/>
              </w:rPr>
              <w:t xml:space="preserve">Produits chimiques utilisés pour le traitement de l'eau destinée à la consommation humaine - Chlorosulfate de fer (III)  </w:t>
            </w:r>
          </w:p>
        </w:tc>
      </w:tr>
      <w:tr w:rsidR="00C8284D" w:rsidRPr="0043547B" w:rsidTr="00E17108">
        <w:trPr>
          <w:trHeight w:val="1610"/>
          <w:jc w:val="center"/>
        </w:trPr>
        <w:tc>
          <w:tcPr>
            <w:tcW w:w="1838" w:type="dxa"/>
            <w:tcBorders>
              <w:top w:val="single" w:sz="4" w:space="0" w:color="000000" w:themeColor="text1"/>
              <w:bottom w:val="single" w:sz="18" w:space="0" w:color="000000" w:themeColor="text1"/>
            </w:tcBorders>
            <w:shd w:val="clear" w:color="auto" w:fill="D9D9D9" w:themeFill="background1" w:themeFillShade="D9"/>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lastRenderedPageBreak/>
              <w:t>Domaine d’application :</w:t>
            </w:r>
          </w:p>
        </w:tc>
        <w:tc>
          <w:tcPr>
            <w:tcW w:w="7944" w:type="dxa"/>
            <w:tcBorders>
              <w:top w:val="single" w:sz="4" w:space="0" w:color="000000" w:themeColor="text1"/>
              <w:bottom w:val="single" w:sz="18" w:space="0" w:color="000000" w:themeColor="text1"/>
            </w:tcBorders>
            <w:hideMark/>
          </w:tcPr>
          <w:p w:rsidR="00C8284D" w:rsidRPr="0043547B" w:rsidRDefault="00C8284D" w:rsidP="00C8284D">
            <w:pPr>
              <w:jc w:val="lowKashida"/>
              <w:rPr>
                <w:rFonts w:cstheme="minorHAnsi"/>
                <w:sz w:val="24"/>
                <w:szCs w:val="24"/>
              </w:rPr>
            </w:pPr>
            <w:r w:rsidRPr="0043547B">
              <w:rPr>
                <w:rFonts w:cstheme="minorHAnsi"/>
                <w:sz w:val="24"/>
                <w:szCs w:val="24"/>
              </w:rPr>
              <w:t>Le présent document est applicable au chlorosulfate de fer (III) utilisé pour le traitement de l'eau destinée à la consommation humaine. Il décrit les caractéristiques et spécifie les exigences et les méthodes d'essai correspondantes du chlorosulfate de fer (III) et donne les informations pour son utilisation dans le traitement de l'eau. (les méthodes d’analyse sont données à l’Annexe B). Il fixe également les règles générales relatives à la sécurité d'emploi et de manipulation du chlorosulfate de fer (III) (voir Annexe E).</w:t>
            </w:r>
          </w:p>
        </w:tc>
      </w:tr>
      <w:tr w:rsidR="00C8284D" w:rsidRPr="0043547B" w:rsidTr="008F049B">
        <w:trPr>
          <w:trHeight w:val="315"/>
          <w:jc w:val="center"/>
        </w:trPr>
        <w:tc>
          <w:tcPr>
            <w:tcW w:w="1838" w:type="dxa"/>
            <w:tcBorders>
              <w:top w:val="single" w:sz="18" w:space="0" w:color="000000" w:themeColor="text1"/>
              <w:bottom w:val="single" w:sz="18" w:space="0" w:color="000000" w:themeColor="text1"/>
            </w:tcBorders>
            <w:shd w:val="clear" w:color="auto" w:fill="C2D69B" w:themeFill="accent3" w:themeFillTint="99"/>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Code :</w:t>
            </w:r>
          </w:p>
        </w:tc>
        <w:tc>
          <w:tcPr>
            <w:tcW w:w="7944" w:type="dxa"/>
            <w:tcBorders>
              <w:top w:val="single" w:sz="18" w:space="0" w:color="000000" w:themeColor="text1"/>
              <w:bottom w:val="single" w:sz="18" w:space="0" w:color="000000" w:themeColor="text1"/>
            </w:tcBorders>
            <w:shd w:val="clear" w:color="auto" w:fill="C2D69B" w:themeFill="accent3" w:themeFillTint="99"/>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NM EN 896</w:t>
            </w:r>
          </w:p>
        </w:tc>
      </w:tr>
      <w:tr w:rsidR="00C8284D" w:rsidRPr="0043547B" w:rsidTr="008F049B">
        <w:trPr>
          <w:trHeight w:val="315"/>
          <w:jc w:val="center"/>
        </w:trPr>
        <w:tc>
          <w:tcPr>
            <w:tcW w:w="1838" w:type="dxa"/>
            <w:tcBorders>
              <w:top w:val="single" w:sz="18" w:space="0" w:color="000000" w:themeColor="text1"/>
            </w:tcBorders>
            <w:shd w:val="clear" w:color="auto" w:fill="FFFFCC"/>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Equivalence :</w:t>
            </w:r>
          </w:p>
        </w:tc>
        <w:tc>
          <w:tcPr>
            <w:tcW w:w="7944" w:type="dxa"/>
            <w:tcBorders>
              <w:top w:val="single" w:sz="18" w:space="0" w:color="000000" w:themeColor="text1"/>
              <w:bottom w:val="single" w:sz="4" w:space="0" w:color="000000" w:themeColor="text1"/>
            </w:tcBorders>
            <w:shd w:val="clear" w:color="auto" w:fill="FFFFCC"/>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EN 896</w:t>
            </w:r>
          </w:p>
        </w:tc>
      </w:tr>
      <w:tr w:rsidR="00C8284D" w:rsidRPr="0043547B" w:rsidTr="0052667E">
        <w:trPr>
          <w:trHeight w:val="600"/>
          <w:jc w:val="center"/>
        </w:trPr>
        <w:tc>
          <w:tcPr>
            <w:tcW w:w="1838" w:type="dxa"/>
            <w:tcBorders>
              <w:bottom w:val="single" w:sz="4" w:space="0" w:color="000000" w:themeColor="text1"/>
            </w:tcBorders>
            <w:shd w:val="clear" w:color="auto" w:fill="8DB3E2" w:themeFill="text2" w:themeFillTint="66"/>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Intitulé :</w:t>
            </w:r>
          </w:p>
        </w:tc>
        <w:tc>
          <w:tcPr>
            <w:tcW w:w="7944" w:type="dxa"/>
            <w:tcBorders>
              <w:top w:val="single" w:sz="4"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 xml:space="preserve">Produits chimiques utilisés pour le traitement de l'eau destinée à la consommation humaine - Hydroxyde de sodium   </w:t>
            </w:r>
          </w:p>
        </w:tc>
      </w:tr>
      <w:tr w:rsidR="00C8284D" w:rsidRPr="0043547B" w:rsidTr="0052667E">
        <w:trPr>
          <w:trHeight w:val="1860"/>
          <w:jc w:val="center"/>
        </w:trPr>
        <w:tc>
          <w:tcPr>
            <w:tcW w:w="1838" w:type="dxa"/>
            <w:tcBorders>
              <w:top w:val="single" w:sz="4" w:space="0" w:color="000000" w:themeColor="text1"/>
              <w:bottom w:val="single" w:sz="18" w:space="0" w:color="000000" w:themeColor="text1"/>
            </w:tcBorders>
            <w:shd w:val="clear" w:color="auto" w:fill="D9D9D9" w:themeFill="background1" w:themeFillShade="D9"/>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Domaine d’application :</w:t>
            </w:r>
          </w:p>
        </w:tc>
        <w:tc>
          <w:tcPr>
            <w:tcW w:w="7944" w:type="dxa"/>
            <w:tcBorders>
              <w:top w:val="single" w:sz="4" w:space="0" w:color="000000" w:themeColor="text1"/>
              <w:bottom w:val="single" w:sz="18"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La présente Norme marocaine s’applique à l’hydroxyde de sodium utilisé pour le traitement de l’eau destinée à la consommation humaine. Elle décrit les caractéristiques de l’hydroxyde de sodium et spécifie les exigences et les méthodes d’essai correspondantes. Elle donne des informations sur son emploi dans le traitement de l’eau.</w:t>
            </w:r>
          </w:p>
          <w:p w:rsidR="00C8284D" w:rsidRPr="0043547B" w:rsidRDefault="00C8284D" w:rsidP="00C8284D">
            <w:pPr>
              <w:jc w:val="both"/>
              <w:rPr>
                <w:rFonts w:cstheme="minorHAnsi"/>
                <w:sz w:val="24"/>
                <w:szCs w:val="24"/>
              </w:rPr>
            </w:pPr>
            <w:r w:rsidRPr="0043547B">
              <w:rPr>
                <w:rFonts w:cstheme="minorHAnsi"/>
                <w:sz w:val="24"/>
                <w:szCs w:val="24"/>
              </w:rPr>
              <w:t>Elle détermine également les règles relatives à la manipulation et à l’utilisation en toute sécurité (voir l’Annexe C).</w:t>
            </w:r>
          </w:p>
        </w:tc>
      </w:tr>
      <w:tr w:rsidR="00C8284D" w:rsidRPr="0043547B" w:rsidTr="008F049B">
        <w:trPr>
          <w:trHeight w:val="315"/>
          <w:jc w:val="center"/>
        </w:trPr>
        <w:tc>
          <w:tcPr>
            <w:tcW w:w="1838" w:type="dxa"/>
            <w:tcBorders>
              <w:top w:val="single" w:sz="18" w:space="0" w:color="000000" w:themeColor="text1"/>
              <w:bottom w:val="single" w:sz="18" w:space="0" w:color="000000" w:themeColor="text1"/>
            </w:tcBorders>
            <w:shd w:val="clear" w:color="auto" w:fill="C2D69B" w:themeFill="accent3" w:themeFillTint="99"/>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Code :</w:t>
            </w:r>
          </w:p>
        </w:tc>
        <w:tc>
          <w:tcPr>
            <w:tcW w:w="7944" w:type="dxa"/>
            <w:tcBorders>
              <w:top w:val="single" w:sz="18" w:space="0" w:color="000000" w:themeColor="text1"/>
              <w:bottom w:val="single" w:sz="18" w:space="0" w:color="000000" w:themeColor="text1"/>
            </w:tcBorders>
            <w:shd w:val="clear" w:color="auto" w:fill="C2D69B" w:themeFill="accent3" w:themeFillTint="99"/>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NM EN 897</w:t>
            </w:r>
          </w:p>
        </w:tc>
      </w:tr>
      <w:tr w:rsidR="00C8284D" w:rsidRPr="0043547B" w:rsidTr="008F049B">
        <w:trPr>
          <w:trHeight w:val="315"/>
          <w:jc w:val="center"/>
        </w:trPr>
        <w:tc>
          <w:tcPr>
            <w:tcW w:w="1838" w:type="dxa"/>
            <w:tcBorders>
              <w:top w:val="single" w:sz="18" w:space="0" w:color="000000" w:themeColor="text1"/>
            </w:tcBorders>
            <w:shd w:val="clear" w:color="auto" w:fill="FFFFCC"/>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Equivalence :</w:t>
            </w:r>
          </w:p>
        </w:tc>
        <w:tc>
          <w:tcPr>
            <w:tcW w:w="7944" w:type="dxa"/>
            <w:tcBorders>
              <w:top w:val="single" w:sz="18" w:space="0" w:color="000000" w:themeColor="text1"/>
              <w:bottom w:val="single" w:sz="4" w:space="0" w:color="000000" w:themeColor="text1"/>
            </w:tcBorders>
            <w:shd w:val="clear" w:color="auto" w:fill="FFFFCC"/>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EN 897</w:t>
            </w:r>
          </w:p>
        </w:tc>
      </w:tr>
      <w:tr w:rsidR="00C8284D" w:rsidRPr="0043547B" w:rsidTr="0052667E">
        <w:trPr>
          <w:trHeight w:val="600"/>
          <w:jc w:val="center"/>
        </w:trPr>
        <w:tc>
          <w:tcPr>
            <w:tcW w:w="1838" w:type="dxa"/>
            <w:tcBorders>
              <w:bottom w:val="single" w:sz="4" w:space="0" w:color="000000" w:themeColor="text1"/>
            </w:tcBorders>
            <w:shd w:val="clear" w:color="auto" w:fill="8DB3E2" w:themeFill="text2" w:themeFillTint="66"/>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Intitulé :</w:t>
            </w:r>
          </w:p>
        </w:tc>
        <w:tc>
          <w:tcPr>
            <w:tcW w:w="7944" w:type="dxa"/>
            <w:tcBorders>
              <w:top w:val="single" w:sz="4"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 xml:space="preserve">Produits chimiques utilisés pour le traitement de l'eau destinée à la consommation humaine - Carbonate de sodium   </w:t>
            </w:r>
          </w:p>
        </w:tc>
      </w:tr>
      <w:tr w:rsidR="00C8284D" w:rsidRPr="0043547B" w:rsidTr="0052667E">
        <w:trPr>
          <w:trHeight w:val="1890"/>
          <w:jc w:val="center"/>
        </w:trPr>
        <w:tc>
          <w:tcPr>
            <w:tcW w:w="1838" w:type="dxa"/>
            <w:tcBorders>
              <w:top w:val="single" w:sz="4" w:space="0" w:color="000000" w:themeColor="text1"/>
              <w:bottom w:val="single" w:sz="18" w:space="0" w:color="000000" w:themeColor="text1"/>
            </w:tcBorders>
            <w:shd w:val="clear" w:color="auto" w:fill="D9D9D9" w:themeFill="background1" w:themeFillShade="D9"/>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Domaine d’application :</w:t>
            </w:r>
          </w:p>
        </w:tc>
        <w:tc>
          <w:tcPr>
            <w:tcW w:w="7944" w:type="dxa"/>
            <w:tcBorders>
              <w:top w:val="single" w:sz="4" w:space="0" w:color="000000" w:themeColor="text1"/>
              <w:bottom w:val="single" w:sz="18"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La présente Norme marocaine s’applique au carbonate de sodium utilisé pour le traitement de l’eau destinée à la consommation humaine. Elle décrit les caractéristiques du carbonate de sodium et spécifie les exigences et les méthodes d’essai correspondantes. Elle donne des informations sur son emploi dans le traitement de l’eau.</w:t>
            </w:r>
          </w:p>
          <w:p w:rsidR="00C8284D" w:rsidRPr="0043547B" w:rsidRDefault="00C8284D" w:rsidP="00C8284D">
            <w:pPr>
              <w:jc w:val="both"/>
              <w:rPr>
                <w:rFonts w:cstheme="minorHAnsi"/>
                <w:sz w:val="24"/>
                <w:szCs w:val="24"/>
              </w:rPr>
            </w:pPr>
            <w:r w:rsidRPr="0043547B">
              <w:rPr>
                <w:rFonts w:cstheme="minorHAnsi"/>
                <w:sz w:val="24"/>
                <w:szCs w:val="24"/>
              </w:rPr>
              <w:t>Elle détermine également les règles relatives à la manipulation et à l’utilisation en toute sécurité (voir l’Annexe C).</w:t>
            </w:r>
          </w:p>
        </w:tc>
      </w:tr>
      <w:tr w:rsidR="00C8284D" w:rsidRPr="0043547B" w:rsidTr="008F049B">
        <w:trPr>
          <w:trHeight w:val="315"/>
          <w:jc w:val="center"/>
        </w:trPr>
        <w:tc>
          <w:tcPr>
            <w:tcW w:w="1838" w:type="dxa"/>
            <w:tcBorders>
              <w:top w:val="single" w:sz="18" w:space="0" w:color="000000" w:themeColor="text1"/>
              <w:bottom w:val="single" w:sz="18" w:space="0" w:color="000000" w:themeColor="text1"/>
            </w:tcBorders>
            <w:shd w:val="clear" w:color="auto" w:fill="C2D69B" w:themeFill="accent3" w:themeFillTint="99"/>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Code :</w:t>
            </w:r>
          </w:p>
        </w:tc>
        <w:tc>
          <w:tcPr>
            <w:tcW w:w="7944" w:type="dxa"/>
            <w:tcBorders>
              <w:top w:val="single" w:sz="18" w:space="0" w:color="000000" w:themeColor="text1"/>
              <w:bottom w:val="single" w:sz="18" w:space="0" w:color="000000" w:themeColor="text1"/>
            </w:tcBorders>
            <w:shd w:val="clear" w:color="auto" w:fill="C2D69B" w:themeFill="accent3" w:themeFillTint="99"/>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NM EN 898</w:t>
            </w:r>
          </w:p>
        </w:tc>
      </w:tr>
      <w:tr w:rsidR="00C8284D" w:rsidRPr="0043547B" w:rsidTr="008F049B">
        <w:trPr>
          <w:trHeight w:val="315"/>
          <w:jc w:val="center"/>
        </w:trPr>
        <w:tc>
          <w:tcPr>
            <w:tcW w:w="1838" w:type="dxa"/>
            <w:tcBorders>
              <w:top w:val="single" w:sz="18" w:space="0" w:color="000000" w:themeColor="text1"/>
            </w:tcBorders>
            <w:shd w:val="clear" w:color="auto" w:fill="FFFFCC"/>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Equivalence :</w:t>
            </w:r>
          </w:p>
        </w:tc>
        <w:tc>
          <w:tcPr>
            <w:tcW w:w="7944" w:type="dxa"/>
            <w:tcBorders>
              <w:top w:val="single" w:sz="18" w:space="0" w:color="000000" w:themeColor="text1"/>
            </w:tcBorders>
            <w:shd w:val="clear" w:color="auto" w:fill="FFFFCC"/>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EN 898</w:t>
            </w:r>
          </w:p>
        </w:tc>
      </w:tr>
      <w:tr w:rsidR="00C8284D" w:rsidRPr="0043547B" w:rsidTr="0052667E">
        <w:trPr>
          <w:trHeight w:val="600"/>
          <w:jc w:val="center"/>
        </w:trPr>
        <w:tc>
          <w:tcPr>
            <w:tcW w:w="1838" w:type="dxa"/>
            <w:tcBorders>
              <w:bottom w:val="single" w:sz="4" w:space="0" w:color="000000" w:themeColor="text1"/>
            </w:tcBorders>
            <w:shd w:val="clear" w:color="auto" w:fill="8DB3E2" w:themeFill="text2" w:themeFillTint="66"/>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Intitulé :</w:t>
            </w:r>
          </w:p>
        </w:tc>
        <w:tc>
          <w:tcPr>
            <w:tcW w:w="7944" w:type="dxa"/>
            <w:tcBorders>
              <w:bottom w:val="single" w:sz="4"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 xml:space="preserve">Produits chimiques utilisés pour le traitement de l'eau destinée à la consommation humaine – Hydrogénocarbonate de sodium  </w:t>
            </w:r>
          </w:p>
        </w:tc>
      </w:tr>
      <w:tr w:rsidR="00C8284D" w:rsidRPr="0043547B" w:rsidTr="0052667E">
        <w:trPr>
          <w:trHeight w:val="1299"/>
          <w:jc w:val="center"/>
        </w:trPr>
        <w:tc>
          <w:tcPr>
            <w:tcW w:w="1838" w:type="dxa"/>
            <w:tcBorders>
              <w:top w:val="single" w:sz="4" w:space="0" w:color="000000" w:themeColor="text1"/>
              <w:bottom w:val="single" w:sz="18" w:space="0" w:color="000000" w:themeColor="text1"/>
            </w:tcBorders>
            <w:shd w:val="clear" w:color="auto" w:fill="D9D9D9" w:themeFill="background1" w:themeFillShade="D9"/>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Domaine d’application :</w:t>
            </w:r>
          </w:p>
        </w:tc>
        <w:tc>
          <w:tcPr>
            <w:tcW w:w="7944" w:type="dxa"/>
            <w:tcBorders>
              <w:top w:val="single" w:sz="4" w:space="0" w:color="000000" w:themeColor="text1"/>
              <w:bottom w:val="single" w:sz="18"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La présente Norme marocaine s’applique à l’hydrogénocarbonate de sodium utilisé pour le traitement de l’eau destinée à la consommation humaine. Elle décrit les caractéristiques de l’hydrogénocarbonate de sodium et spécifie les exigences et les méthodes d’essai correspondantes. Elle donne des informations sur son emploi dans le traitement de l’eau.</w:t>
            </w:r>
          </w:p>
        </w:tc>
      </w:tr>
      <w:tr w:rsidR="00C8284D" w:rsidRPr="0043547B" w:rsidTr="008F049B">
        <w:trPr>
          <w:trHeight w:val="315"/>
          <w:jc w:val="center"/>
        </w:trPr>
        <w:tc>
          <w:tcPr>
            <w:tcW w:w="1838" w:type="dxa"/>
            <w:tcBorders>
              <w:top w:val="single" w:sz="18" w:space="0" w:color="000000" w:themeColor="text1"/>
              <w:bottom w:val="single" w:sz="18" w:space="0" w:color="000000" w:themeColor="text1"/>
            </w:tcBorders>
            <w:shd w:val="clear" w:color="auto" w:fill="C2D69B" w:themeFill="accent3" w:themeFillTint="99"/>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Code :</w:t>
            </w:r>
          </w:p>
        </w:tc>
        <w:tc>
          <w:tcPr>
            <w:tcW w:w="7944" w:type="dxa"/>
            <w:tcBorders>
              <w:top w:val="single" w:sz="18" w:space="0" w:color="000000" w:themeColor="text1"/>
              <w:bottom w:val="single" w:sz="18" w:space="0" w:color="000000" w:themeColor="text1"/>
            </w:tcBorders>
            <w:shd w:val="clear" w:color="auto" w:fill="C2D69B" w:themeFill="accent3" w:themeFillTint="99"/>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NM EN 899</w:t>
            </w:r>
          </w:p>
        </w:tc>
      </w:tr>
      <w:tr w:rsidR="00C8284D" w:rsidRPr="0043547B" w:rsidTr="008F049B">
        <w:trPr>
          <w:trHeight w:val="315"/>
          <w:jc w:val="center"/>
        </w:trPr>
        <w:tc>
          <w:tcPr>
            <w:tcW w:w="1838" w:type="dxa"/>
            <w:tcBorders>
              <w:top w:val="single" w:sz="18" w:space="0" w:color="000000" w:themeColor="text1"/>
            </w:tcBorders>
            <w:shd w:val="clear" w:color="auto" w:fill="FFFFCC"/>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Equivalence :</w:t>
            </w:r>
          </w:p>
        </w:tc>
        <w:tc>
          <w:tcPr>
            <w:tcW w:w="7944" w:type="dxa"/>
            <w:tcBorders>
              <w:top w:val="single" w:sz="18" w:space="0" w:color="000000" w:themeColor="text1"/>
            </w:tcBorders>
            <w:shd w:val="clear" w:color="auto" w:fill="FFFFCC"/>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EN 899</w:t>
            </w:r>
          </w:p>
        </w:tc>
      </w:tr>
      <w:tr w:rsidR="00C8284D" w:rsidRPr="0043547B" w:rsidTr="0052667E">
        <w:trPr>
          <w:trHeight w:val="600"/>
          <w:jc w:val="center"/>
        </w:trPr>
        <w:tc>
          <w:tcPr>
            <w:tcW w:w="1838" w:type="dxa"/>
            <w:tcBorders>
              <w:bottom w:val="single" w:sz="4" w:space="0" w:color="000000" w:themeColor="text1"/>
            </w:tcBorders>
            <w:shd w:val="clear" w:color="auto" w:fill="8DB3E2" w:themeFill="text2" w:themeFillTint="66"/>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Intitulé :</w:t>
            </w:r>
          </w:p>
        </w:tc>
        <w:tc>
          <w:tcPr>
            <w:tcW w:w="7944" w:type="dxa"/>
            <w:tcBorders>
              <w:bottom w:val="single" w:sz="4"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 xml:space="preserve">Produits chimiques utilisés pour le traitement de l'eau destinée à la consommation humaine – Acide sulfurique  </w:t>
            </w:r>
          </w:p>
        </w:tc>
      </w:tr>
      <w:tr w:rsidR="00C8284D" w:rsidRPr="0043547B" w:rsidTr="0052667E">
        <w:trPr>
          <w:trHeight w:val="1170"/>
          <w:jc w:val="center"/>
        </w:trPr>
        <w:tc>
          <w:tcPr>
            <w:tcW w:w="1838" w:type="dxa"/>
            <w:tcBorders>
              <w:top w:val="single" w:sz="4" w:space="0" w:color="000000" w:themeColor="text1"/>
              <w:bottom w:val="single" w:sz="18" w:space="0" w:color="000000" w:themeColor="text1"/>
            </w:tcBorders>
            <w:shd w:val="clear" w:color="auto" w:fill="D9D9D9" w:themeFill="background1" w:themeFillShade="D9"/>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Domaine d’application :</w:t>
            </w:r>
          </w:p>
        </w:tc>
        <w:tc>
          <w:tcPr>
            <w:tcW w:w="7944" w:type="dxa"/>
            <w:tcBorders>
              <w:top w:val="single" w:sz="4" w:space="0" w:color="000000" w:themeColor="text1"/>
              <w:bottom w:val="single" w:sz="18"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La présente Norme marocaine est applicable à l'acide sulfurique utilisé pour le traitement de l’eau destinée à la consommation humaine. Elle décrit les caractéristiques du produit et spécifie les prescriptions et les méthodes d'essai correspondantes. Elle donne des informations pour son emploi dans le traitement de l’eau.</w:t>
            </w:r>
          </w:p>
        </w:tc>
      </w:tr>
      <w:tr w:rsidR="00C8284D" w:rsidRPr="0043547B" w:rsidTr="008F049B">
        <w:trPr>
          <w:trHeight w:val="315"/>
          <w:jc w:val="center"/>
        </w:trPr>
        <w:tc>
          <w:tcPr>
            <w:tcW w:w="1838" w:type="dxa"/>
            <w:tcBorders>
              <w:top w:val="single" w:sz="18" w:space="0" w:color="000000" w:themeColor="text1"/>
              <w:bottom w:val="single" w:sz="18" w:space="0" w:color="000000" w:themeColor="text1"/>
            </w:tcBorders>
            <w:shd w:val="clear" w:color="auto" w:fill="C2D69B" w:themeFill="accent3" w:themeFillTint="99"/>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lastRenderedPageBreak/>
              <w:t>Code :</w:t>
            </w:r>
          </w:p>
        </w:tc>
        <w:tc>
          <w:tcPr>
            <w:tcW w:w="7944" w:type="dxa"/>
            <w:tcBorders>
              <w:top w:val="single" w:sz="18" w:space="0" w:color="000000" w:themeColor="text1"/>
              <w:bottom w:val="single" w:sz="18" w:space="0" w:color="000000" w:themeColor="text1"/>
            </w:tcBorders>
            <w:shd w:val="clear" w:color="auto" w:fill="C2D69B" w:themeFill="accent3" w:themeFillTint="99"/>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NM EN 974</w:t>
            </w:r>
          </w:p>
        </w:tc>
      </w:tr>
      <w:tr w:rsidR="00C8284D" w:rsidRPr="0043547B" w:rsidTr="008F049B">
        <w:trPr>
          <w:trHeight w:val="315"/>
          <w:jc w:val="center"/>
        </w:trPr>
        <w:tc>
          <w:tcPr>
            <w:tcW w:w="1838" w:type="dxa"/>
            <w:tcBorders>
              <w:top w:val="single" w:sz="18" w:space="0" w:color="000000" w:themeColor="text1"/>
            </w:tcBorders>
            <w:shd w:val="clear" w:color="auto" w:fill="FFFFCC"/>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Equivalence :</w:t>
            </w:r>
          </w:p>
        </w:tc>
        <w:tc>
          <w:tcPr>
            <w:tcW w:w="7944" w:type="dxa"/>
            <w:tcBorders>
              <w:top w:val="single" w:sz="18" w:space="0" w:color="000000" w:themeColor="text1"/>
            </w:tcBorders>
            <w:shd w:val="clear" w:color="auto" w:fill="FFFFCC"/>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EN 974</w:t>
            </w:r>
          </w:p>
        </w:tc>
      </w:tr>
      <w:tr w:rsidR="00C8284D" w:rsidRPr="0043547B" w:rsidTr="0052667E">
        <w:trPr>
          <w:trHeight w:val="517"/>
          <w:jc w:val="center"/>
        </w:trPr>
        <w:tc>
          <w:tcPr>
            <w:tcW w:w="1838" w:type="dxa"/>
            <w:tcBorders>
              <w:bottom w:val="single" w:sz="4" w:space="0" w:color="000000" w:themeColor="text1"/>
            </w:tcBorders>
            <w:shd w:val="clear" w:color="auto" w:fill="8DB3E2" w:themeFill="text2" w:themeFillTint="66"/>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Intitulé :</w:t>
            </w:r>
          </w:p>
        </w:tc>
        <w:tc>
          <w:tcPr>
            <w:tcW w:w="7944" w:type="dxa"/>
            <w:tcBorders>
              <w:bottom w:val="single" w:sz="4"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 xml:space="preserve">Produits chimiques utilisés pour le traitement de l'eau destinée à la consommation humaine - Acide phosphorique </w:t>
            </w:r>
          </w:p>
        </w:tc>
      </w:tr>
      <w:tr w:rsidR="00C8284D" w:rsidRPr="0043547B" w:rsidTr="0052667E">
        <w:trPr>
          <w:trHeight w:val="1905"/>
          <w:jc w:val="center"/>
        </w:trPr>
        <w:tc>
          <w:tcPr>
            <w:tcW w:w="1838" w:type="dxa"/>
            <w:tcBorders>
              <w:top w:val="single" w:sz="4" w:space="0" w:color="000000" w:themeColor="text1"/>
              <w:bottom w:val="single" w:sz="18" w:space="0" w:color="000000" w:themeColor="text1"/>
            </w:tcBorders>
            <w:shd w:val="clear" w:color="auto" w:fill="D9D9D9" w:themeFill="background1" w:themeFillShade="D9"/>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Domaine d’application :</w:t>
            </w:r>
          </w:p>
        </w:tc>
        <w:tc>
          <w:tcPr>
            <w:tcW w:w="7944" w:type="dxa"/>
            <w:tcBorders>
              <w:top w:val="single" w:sz="4" w:space="0" w:color="000000" w:themeColor="text1"/>
              <w:bottom w:val="single" w:sz="18"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La présente Norme marocaine s’applique à l'acide phosphorique utilisé dans le traitement de l'eau destinée à la consommation humaine. Elle décrit les caractéristiques et précise les prescriptions et les méthodes d'essai de l'acide phosphorique correspondantes. Elle donne des informations sur son emploi dans le traitement de l'eau.</w:t>
            </w:r>
          </w:p>
          <w:p w:rsidR="00C8284D" w:rsidRPr="0043547B" w:rsidRDefault="00C8284D" w:rsidP="00C8284D">
            <w:pPr>
              <w:jc w:val="both"/>
              <w:rPr>
                <w:rFonts w:cstheme="minorHAnsi"/>
                <w:sz w:val="24"/>
                <w:szCs w:val="24"/>
              </w:rPr>
            </w:pPr>
            <w:r w:rsidRPr="0043547B">
              <w:rPr>
                <w:rFonts w:cstheme="minorHAnsi"/>
                <w:sz w:val="24"/>
                <w:szCs w:val="24"/>
              </w:rPr>
              <w:t>Elle fixe également les règles relatives à la sécurité d’emploi et de manipulation (voir l’Annexe B).</w:t>
            </w:r>
          </w:p>
        </w:tc>
      </w:tr>
      <w:tr w:rsidR="00C8284D" w:rsidRPr="0043547B" w:rsidTr="008F049B">
        <w:trPr>
          <w:trHeight w:val="315"/>
          <w:jc w:val="center"/>
        </w:trPr>
        <w:tc>
          <w:tcPr>
            <w:tcW w:w="1838" w:type="dxa"/>
            <w:tcBorders>
              <w:top w:val="single" w:sz="18" w:space="0" w:color="000000" w:themeColor="text1"/>
              <w:bottom w:val="single" w:sz="18" w:space="0" w:color="000000" w:themeColor="text1"/>
            </w:tcBorders>
            <w:shd w:val="clear" w:color="auto" w:fill="C2D69B" w:themeFill="accent3" w:themeFillTint="99"/>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Code :</w:t>
            </w:r>
          </w:p>
        </w:tc>
        <w:tc>
          <w:tcPr>
            <w:tcW w:w="7944" w:type="dxa"/>
            <w:tcBorders>
              <w:top w:val="single" w:sz="18" w:space="0" w:color="000000" w:themeColor="text1"/>
              <w:bottom w:val="single" w:sz="18" w:space="0" w:color="000000" w:themeColor="text1"/>
            </w:tcBorders>
            <w:shd w:val="clear" w:color="auto" w:fill="C2D69B" w:themeFill="accent3" w:themeFillTint="99"/>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 xml:space="preserve">NM EN 1019 </w:t>
            </w:r>
          </w:p>
        </w:tc>
      </w:tr>
      <w:tr w:rsidR="00C8284D" w:rsidRPr="0043547B" w:rsidTr="008F049B">
        <w:trPr>
          <w:trHeight w:val="315"/>
          <w:jc w:val="center"/>
        </w:trPr>
        <w:tc>
          <w:tcPr>
            <w:tcW w:w="1838" w:type="dxa"/>
            <w:tcBorders>
              <w:top w:val="single" w:sz="18" w:space="0" w:color="000000" w:themeColor="text1"/>
            </w:tcBorders>
            <w:shd w:val="clear" w:color="auto" w:fill="FFFFCC"/>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Equivalence :</w:t>
            </w:r>
          </w:p>
        </w:tc>
        <w:tc>
          <w:tcPr>
            <w:tcW w:w="7944" w:type="dxa"/>
            <w:tcBorders>
              <w:top w:val="single" w:sz="18" w:space="0" w:color="000000" w:themeColor="text1"/>
            </w:tcBorders>
            <w:shd w:val="clear" w:color="auto" w:fill="FFFFCC"/>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 xml:space="preserve">EN 1019 </w:t>
            </w:r>
          </w:p>
        </w:tc>
      </w:tr>
      <w:tr w:rsidR="00C8284D" w:rsidRPr="0043547B" w:rsidTr="0052667E">
        <w:trPr>
          <w:trHeight w:val="435"/>
          <w:jc w:val="center"/>
        </w:trPr>
        <w:tc>
          <w:tcPr>
            <w:tcW w:w="1838" w:type="dxa"/>
            <w:tcBorders>
              <w:bottom w:val="single" w:sz="4" w:space="0" w:color="000000" w:themeColor="text1"/>
            </w:tcBorders>
            <w:shd w:val="clear" w:color="auto" w:fill="8DB3E2" w:themeFill="text2" w:themeFillTint="66"/>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Intitulé :</w:t>
            </w:r>
          </w:p>
        </w:tc>
        <w:tc>
          <w:tcPr>
            <w:tcW w:w="7944" w:type="dxa"/>
            <w:tcBorders>
              <w:bottom w:val="single" w:sz="4"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 xml:space="preserve">Produits chimiques utilisés pour le traitement de l'eau destinée à la consommation humaine – Dioxyde de soufre  </w:t>
            </w:r>
          </w:p>
        </w:tc>
      </w:tr>
      <w:tr w:rsidR="00C8284D" w:rsidRPr="0043547B" w:rsidTr="0052667E">
        <w:trPr>
          <w:trHeight w:val="1307"/>
          <w:jc w:val="center"/>
        </w:trPr>
        <w:tc>
          <w:tcPr>
            <w:tcW w:w="1838" w:type="dxa"/>
            <w:tcBorders>
              <w:top w:val="single" w:sz="4" w:space="0" w:color="000000" w:themeColor="text1"/>
              <w:bottom w:val="single" w:sz="18" w:space="0" w:color="000000" w:themeColor="text1"/>
            </w:tcBorders>
            <w:shd w:val="clear" w:color="auto" w:fill="D9D9D9" w:themeFill="background1" w:themeFillShade="D9"/>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Domaine d’application :</w:t>
            </w:r>
          </w:p>
        </w:tc>
        <w:tc>
          <w:tcPr>
            <w:tcW w:w="7944" w:type="dxa"/>
            <w:tcBorders>
              <w:top w:val="single" w:sz="4" w:space="0" w:color="000000" w:themeColor="text1"/>
              <w:bottom w:val="single" w:sz="18"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Cette Norme marocaine s’applique au dioxyde de soufre utilisé pour le traitement de l’eau destinée à la consommation humaine. Il décrit les caractéristiques et spécifie les exigences et les méthodes d'essais correspondantes pour le dioxyde de soufre. Il donne des informations pour son emploi dans le traitement de l’eau. Il fixe également les règles relatives à la sécurité d’emploi et de manipulation (voir Annexe B).</w:t>
            </w:r>
          </w:p>
        </w:tc>
      </w:tr>
      <w:tr w:rsidR="00C8284D" w:rsidRPr="0043547B" w:rsidTr="008F049B">
        <w:trPr>
          <w:trHeight w:val="315"/>
          <w:jc w:val="center"/>
        </w:trPr>
        <w:tc>
          <w:tcPr>
            <w:tcW w:w="1838" w:type="dxa"/>
            <w:tcBorders>
              <w:top w:val="single" w:sz="18" w:space="0" w:color="000000" w:themeColor="text1"/>
              <w:bottom w:val="single" w:sz="18" w:space="0" w:color="000000" w:themeColor="text1"/>
            </w:tcBorders>
            <w:shd w:val="clear" w:color="auto" w:fill="C2D69B" w:themeFill="accent3" w:themeFillTint="99"/>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Code :</w:t>
            </w:r>
          </w:p>
        </w:tc>
        <w:tc>
          <w:tcPr>
            <w:tcW w:w="7944" w:type="dxa"/>
            <w:tcBorders>
              <w:top w:val="single" w:sz="18" w:space="0" w:color="000000" w:themeColor="text1"/>
              <w:bottom w:val="single" w:sz="18" w:space="0" w:color="000000" w:themeColor="text1"/>
            </w:tcBorders>
            <w:shd w:val="clear" w:color="auto" w:fill="C2D69B" w:themeFill="accent3" w:themeFillTint="99"/>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NM EN 12120</w:t>
            </w:r>
          </w:p>
        </w:tc>
      </w:tr>
      <w:tr w:rsidR="00C8284D" w:rsidRPr="0043547B" w:rsidTr="008F049B">
        <w:trPr>
          <w:trHeight w:val="315"/>
          <w:jc w:val="center"/>
        </w:trPr>
        <w:tc>
          <w:tcPr>
            <w:tcW w:w="1838" w:type="dxa"/>
            <w:tcBorders>
              <w:top w:val="single" w:sz="18" w:space="0" w:color="000000" w:themeColor="text1"/>
            </w:tcBorders>
            <w:shd w:val="clear" w:color="auto" w:fill="FFFFCC"/>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Equivalence :</w:t>
            </w:r>
          </w:p>
        </w:tc>
        <w:tc>
          <w:tcPr>
            <w:tcW w:w="7944" w:type="dxa"/>
            <w:tcBorders>
              <w:top w:val="single" w:sz="18" w:space="0" w:color="000000" w:themeColor="text1"/>
            </w:tcBorders>
            <w:shd w:val="clear" w:color="auto" w:fill="FFFFCC"/>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EN 12120</w:t>
            </w:r>
          </w:p>
        </w:tc>
      </w:tr>
      <w:tr w:rsidR="00C8284D" w:rsidRPr="0043547B" w:rsidTr="0052667E">
        <w:trPr>
          <w:trHeight w:val="600"/>
          <w:jc w:val="center"/>
        </w:trPr>
        <w:tc>
          <w:tcPr>
            <w:tcW w:w="1838" w:type="dxa"/>
            <w:tcBorders>
              <w:bottom w:val="single" w:sz="4" w:space="0" w:color="000000" w:themeColor="text1"/>
            </w:tcBorders>
            <w:shd w:val="clear" w:color="auto" w:fill="8DB3E2" w:themeFill="text2" w:themeFillTint="66"/>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Intitulé :</w:t>
            </w:r>
          </w:p>
        </w:tc>
        <w:tc>
          <w:tcPr>
            <w:tcW w:w="7944" w:type="dxa"/>
            <w:tcBorders>
              <w:bottom w:val="single" w:sz="4"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 xml:space="preserve">Produits chimiques utilisés pour le traitement de l'eau destinée à la consommation humaine – hydrogénosulfite de sodium   </w:t>
            </w:r>
          </w:p>
        </w:tc>
      </w:tr>
      <w:tr w:rsidR="00C8284D" w:rsidRPr="0043547B" w:rsidTr="0052667E">
        <w:trPr>
          <w:trHeight w:val="1410"/>
          <w:jc w:val="center"/>
        </w:trPr>
        <w:tc>
          <w:tcPr>
            <w:tcW w:w="1838" w:type="dxa"/>
            <w:tcBorders>
              <w:top w:val="single" w:sz="4" w:space="0" w:color="000000" w:themeColor="text1"/>
              <w:bottom w:val="single" w:sz="18" w:space="0" w:color="000000" w:themeColor="text1"/>
            </w:tcBorders>
            <w:shd w:val="clear" w:color="auto" w:fill="D9D9D9" w:themeFill="background1" w:themeFillShade="D9"/>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Domaine d’application :</w:t>
            </w:r>
          </w:p>
        </w:tc>
        <w:tc>
          <w:tcPr>
            <w:tcW w:w="7944" w:type="dxa"/>
            <w:tcBorders>
              <w:top w:val="single" w:sz="4" w:space="0" w:color="000000" w:themeColor="text1"/>
              <w:bottom w:val="single" w:sz="18"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La présente Norme marocaine est applicable à l'hydrogénosulfite de sodium utilisé pour le traitement de l'eau destinée à la consommation humaine. Elle décrit les caractéristiques de l'hydrogénosulfite de sodium et spécifie les exigences et les méthodes d'essai correspondant à l'hydrogénosulfite de sodium. Elle donne des informations pour son emploi dans le traitement de l'eau.</w:t>
            </w:r>
          </w:p>
        </w:tc>
      </w:tr>
      <w:tr w:rsidR="00C8284D" w:rsidRPr="0043547B" w:rsidTr="008F049B">
        <w:trPr>
          <w:trHeight w:val="315"/>
          <w:jc w:val="center"/>
        </w:trPr>
        <w:tc>
          <w:tcPr>
            <w:tcW w:w="1838" w:type="dxa"/>
            <w:tcBorders>
              <w:top w:val="single" w:sz="18" w:space="0" w:color="000000" w:themeColor="text1"/>
              <w:bottom w:val="single" w:sz="18" w:space="0" w:color="000000" w:themeColor="text1"/>
            </w:tcBorders>
            <w:shd w:val="clear" w:color="auto" w:fill="C2D69B" w:themeFill="accent3" w:themeFillTint="99"/>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Code :</w:t>
            </w:r>
          </w:p>
        </w:tc>
        <w:tc>
          <w:tcPr>
            <w:tcW w:w="7944" w:type="dxa"/>
            <w:tcBorders>
              <w:top w:val="single" w:sz="18" w:space="0" w:color="000000" w:themeColor="text1"/>
              <w:bottom w:val="single" w:sz="18" w:space="0" w:color="000000" w:themeColor="text1"/>
            </w:tcBorders>
            <w:shd w:val="clear" w:color="auto" w:fill="C2D69B" w:themeFill="accent3" w:themeFillTint="99"/>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NM EN 12126</w:t>
            </w:r>
          </w:p>
        </w:tc>
      </w:tr>
      <w:tr w:rsidR="00C8284D" w:rsidRPr="0043547B" w:rsidTr="008F049B">
        <w:trPr>
          <w:trHeight w:val="315"/>
          <w:jc w:val="center"/>
        </w:trPr>
        <w:tc>
          <w:tcPr>
            <w:tcW w:w="1838" w:type="dxa"/>
            <w:tcBorders>
              <w:top w:val="single" w:sz="18" w:space="0" w:color="000000" w:themeColor="text1"/>
            </w:tcBorders>
            <w:shd w:val="clear" w:color="auto" w:fill="FFFFCC"/>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Equivalence :</w:t>
            </w:r>
          </w:p>
        </w:tc>
        <w:tc>
          <w:tcPr>
            <w:tcW w:w="7944" w:type="dxa"/>
            <w:tcBorders>
              <w:top w:val="single" w:sz="18" w:space="0" w:color="000000" w:themeColor="text1"/>
            </w:tcBorders>
            <w:shd w:val="clear" w:color="auto" w:fill="FFFFCC"/>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EN 12126</w:t>
            </w:r>
          </w:p>
        </w:tc>
      </w:tr>
      <w:tr w:rsidR="00C8284D" w:rsidRPr="0043547B" w:rsidTr="0052667E">
        <w:trPr>
          <w:trHeight w:val="533"/>
          <w:jc w:val="center"/>
        </w:trPr>
        <w:tc>
          <w:tcPr>
            <w:tcW w:w="1838" w:type="dxa"/>
            <w:tcBorders>
              <w:bottom w:val="single" w:sz="4" w:space="0" w:color="000000" w:themeColor="text1"/>
            </w:tcBorders>
            <w:shd w:val="clear" w:color="auto" w:fill="8DB3E2" w:themeFill="text2" w:themeFillTint="66"/>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Intitulé :</w:t>
            </w:r>
          </w:p>
        </w:tc>
        <w:tc>
          <w:tcPr>
            <w:tcW w:w="7944" w:type="dxa"/>
            <w:tcBorders>
              <w:bottom w:val="single" w:sz="4"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 xml:space="preserve">Produits chimiques utilisés pour le traitement de l'eau destinée à la consommation humaine – Ammoniac liquéfié  </w:t>
            </w:r>
          </w:p>
        </w:tc>
      </w:tr>
      <w:tr w:rsidR="00C8284D" w:rsidRPr="0043547B" w:rsidTr="0052667E">
        <w:trPr>
          <w:trHeight w:val="1916"/>
          <w:jc w:val="center"/>
        </w:trPr>
        <w:tc>
          <w:tcPr>
            <w:tcW w:w="1838" w:type="dxa"/>
            <w:tcBorders>
              <w:top w:val="single" w:sz="4" w:space="0" w:color="000000" w:themeColor="text1"/>
              <w:bottom w:val="single" w:sz="18" w:space="0" w:color="000000" w:themeColor="text1"/>
            </w:tcBorders>
            <w:shd w:val="clear" w:color="auto" w:fill="D9D9D9" w:themeFill="background1" w:themeFillShade="D9"/>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Domaine d’application :</w:t>
            </w:r>
          </w:p>
        </w:tc>
        <w:tc>
          <w:tcPr>
            <w:tcW w:w="7944" w:type="dxa"/>
            <w:tcBorders>
              <w:top w:val="single" w:sz="4" w:space="0" w:color="000000" w:themeColor="text1"/>
              <w:bottom w:val="single" w:sz="18"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La présente Norme marocaine s'applique à l'ammoniac liquéfié utilisé pour le traitement de l'eau destinée à la consommation humaine. Elle décrit les caractéristiques de l'ammoniac liquéfié, en spécifie les exigences ainsi que les méthodes d'analyse correspondantes. Elle donne des informations pour son emploi dans le traitement de l'eau.</w:t>
            </w:r>
          </w:p>
          <w:p w:rsidR="00C8284D" w:rsidRPr="0043547B" w:rsidRDefault="00C8284D" w:rsidP="00C8284D">
            <w:pPr>
              <w:jc w:val="both"/>
              <w:rPr>
                <w:rFonts w:cstheme="minorHAnsi"/>
                <w:sz w:val="24"/>
                <w:szCs w:val="24"/>
              </w:rPr>
            </w:pPr>
            <w:r w:rsidRPr="0043547B">
              <w:rPr>
                <w:rFonts w:cstheme="minorHAnsi"/>
                <w:sz w:val="24"/>
                <w:szCs w:val="24"/>
              </w:rPr>
              <w:t>Elle fixe également les règles relatives à la sécurité d'emploi et de manipulation de l'ammoniac liquéfié (voir Annexe B).</w:t>
            </w:r>
          </w:p>
        </w:tc>
      </w:tr>
      <w:tr w:rsidR="00C8284D" w:rsidRPr="0043547B" w:rsidTr="008F049B">
        <w:trPr>
          <w:trHeight w:val="315"/>
          <w:jc w:val="center"/>
        </w:trPr>
        <w:tc>
          <w:tcPr>
            <w:tcW w:w="1838" w:type="dxa"/>
            <w:tcBorders>
              <w:top w:val="single" w:sz="18" w:space="0" w:color="000000" w:themeColor="text1"/>
              <w:bottom w:val="single" w:sz="18" w:space="0" w:color="000000" w:themeColor="text1"/>
            </w:tcBorders>
            <w:shd w:val="clear" w:color="auto" w:fill="C2D69B" w:themeFill="accent3" w:themeFillTint="99"/>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Code :</w:t>
            </w:r>
          </w:p>
        </w:tc>
        <w:tc>
          <w:tcPr>
            <w:tcW w:w="7944" w:type="dxa"/>
            <w:tcBorders>
              <w:top w:val="single" w:sz="18" w:space="0" w:color="000000" w:themeColor="text1"/>
              <w:bottom w:val="single" w:sz="18" w:space="0" w:color="000000" w:themeColor="text1"/>
            </w:tcBorders>
            <w:shd w:val="clear" w:color="auto" w:fill="C2D69B" w:themeFill="accent3" w:themeFillTint="99"/>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NM EN 12386</w:t>
            </w:r>
          </w:p>
        </w:tc>
      </w:tr>
      <w:tr w:rsidR="00C8284D" w:rsidRPr="0043547B" w:rsidTr="008F049B">
        <w:trPr>
          <w:trHeight w:val="315"/>
          <w:jc w:val="center"/>
        </w:trPr>
        <w:tc>
          <w:tcPr>
            <w:tcW w:w="1838" w:type="dxa"/>
            <w:tcBorders>
              <w:top w:val="single" w:sz="18" w:space="0" w:color="000000" w:themeColor="text1"/>
            </w:tcBorders>
            <w:shd w:val="clear" w:color="auto" w:fill="FFFFCC"/>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Equivalence :</w:t>
            </w:r>
          </w:p>
        </w:tc>
        <w:tc>
          <w:tcPr>
            <w:tcW w:w="7944" w:type="dxa"/>
            <w:tcBorders>
              <w:top w:val="single" w:sz="18" w:space="0" w:color="000000" w:themeColor="text1"/>
            </w:tcBorders>
            <w:shd w:val="clear" w:color="auto" w:fill="FFFFCC"/>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EN 12386</w:t>
            </w:r>
          </w:p>
        </w:tc>
      </w:tr>
      <w:tr w:rsidR="00C8284D" w:rsidRPr="0043547B" w:rsidTr="0052667E">
        <w:trPr>
          <w:trHeight w:val="537"/>
          <w:jc w:val="center"/>
        </w:trPr>
        <w:tc>
          <w:tcPr>
            <w:tcW w:w="1838" w:type="dxa"/>
            <w:tcBorders>
              <w:bottom w:val="single" w:sz="4" w:space="0" w:color="000000" w:themeColor="text1"/>
            </w:tcBorders>
            <w:shd w:val="clear" w:color="auto" w:fill="8DB3E2" w:themeFill="text2" w:themeFillTint="66"/>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Intitulé :</w:t>
            </w:r>
          </w:p>
        </w:tc>
        <w:tc>
          <w:tcPr>
            <w:tcW w:w="7944" w:type="dxa"/>
            <w:tcBorders>
              <w:bottom w:val="single" w:sz="4"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 xml:space="preserve">Produits chimiques utilisés pour le traitement de l'eau destinée à la consommation humaine – Sulfate de cuivre  </w:t>
            </w:r>
          </w:p>
        </w:tc>
      </w:tr>
      <w:tr w:rsidR="00C8284D" w:rsidRPr="0043547B" w:rsidTr="0052667E">
        <w:trPr>
          <w:trHeight w:val="1637"/>
          <w:jc w:val="center"/>
        </w:trPr>
        <w:tc>
          <w:tcPr>
            <w:tcW w:w="1838" w:type="dxa"/>
            <w:tcBorders>
              <w:top w:val="single" w:sz="4" w:space="0" w:color="000000" w:themeColor="text1"/>
              <w:bottom w:val="single" w:sz="18" w:space="0" w:color="000000" w:themeColor="text1"/>
            </w:tcBorders>
            <w:shd w:val="clear" w:color="auto" w:fill="D9D9D9" w:themeFill="background1" w:themeFillShade="D9"/>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lastRenderedPageBreak/>
              <w:t>Domaine d’application :</w:t>
            </w:r>
          </w:p>
        </w:tc>
        <w:tc>
          <w:tcPr>
            <w:tcW w:w="7944" w:type="dxa"/>
            <w:tcBorders>
              <w:top w:val="single" w:sz="4" w:space="0" w:color="000000" w:themeColor="text1"/>
              <w:bottom w:val="single" w:sz="18"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La présente Norme marocaine s'applique au sulfate de cuivre (II) pentahydraté utilisé pour le traitement de l'eau destinée à la consommation humaine. Elle décrit les caractéristiques du sulfate de cuivre (II) pentahydraté, en spécifie les exigences ainsi que les méthodes d'analyse correspondantes. Elle donne des informations pour son emploi dans le traitement de l'eau. Elle fixe également les règles relatives à la sécurité d'emploi et de manipulation du sulfate de cuivre (II) pentahydraté (voir Annexe B).</w:t>
            </w:r>
          </w:p>
        </w:tc>
      </w:tr>
      <w:tr w:rsidR="00C8284D" w:rsidRPr="0043547B" w:rsidTr="008F049B">
        <w:trPr>
          <w:trHeight w:val="315"/>
          <w:jc w:val="center"/>
        </w:trPr>
        <w:tc>
          <w:tcPr>
            <w:tcW w:w="1838" w:type="dxa"/>
            <w:tcBorders>
              <w:top w:val="single" w:sz="18" w:space="0" w:color="000000" w:themeColor="text1"/>
              <w:bottom w:val="single" w:sz="18" w:space="0" w:color="000000" w:themeColor="text1"/>
            </w:tcBorders>
            <w:shd w:val="clear" w:color="auto" w:fill="C2D69B" w:themeFill="accent3" w:themeFillTint="99"/>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Code :</w:t>
            </w:r>
          </w:p>
        </w:tc>
        <w:tc>
          <w:tcPr>
            <w:tcW w:w="7944" w:type="dxa"/>
            <w:tcBorders>
              <w:top w:val="single" w:sz="18" w:space="0" w:color="000000" w:themeColor="text1"/>
              <w:bottom w:val="single" w:sz="18" w:space="0" w:color="000000" w:themeColor="text1"/>
            </w:tcBorders>
            <w:shd w:val="clear" w:color="auto" w:fill="C2D69B" w:themeFill="accent3" w:themeFillTint="99"/>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NM EN 12123</w:t>
            </w:r>
          </w:p>
        </w:tc>
      </w:tr>
      <w:tr w:rsidR="00C8284D" w:rsidRPr="0043547B" w:rsidTr="008F049B">
        <w:trPr>
          <w:trHeight w:val="315"/>
          <w:jc w:val="center"/>
        </w:trPr>
        <w:tc>
          <w:tcPr>
            <w:tcW w:w="1838" w:type="dxa"/>
            <w:tcBorders>
              <w:top w:val="single" w:sz="18" w:space="0" w:color="000000" w:themeColor="text1"/>
            </w:tcBorders>
            <w:shd w:val="clear" w:color="auto" w:fill="FFFFCC"/>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Equivalence :</w:t>
            </w:r>
          </w:p>
        </w:tc>
        <w:tc>
          <w:tcPr>
            <w:tcW w:w="7944" w:type="dxa"/>
            <w:tcBorders>
              <w:top w:val="single" w:sz="18" w:space="0" w:color="000000" w:themeColor="text1"/>
            </w:tcBorders>
            <w:shd w:val="clear" w:color="auto" w:fill="FFFFCC"/>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EN 12123</w:t>
            </w:r>
          </w:p>
        </w:tc>
      </w:tr>
      <w:tr w:rsidR="00C8284D" w:rsidRPr="0043547B" w:rsidTr="0052667E">
        <w:trPr>
          <w:trHeight w:val="521"/>
          <w:jc w:val="center"/>
        </w:trPr>
        <w:tc>
          <w:tcPr>
            <w:tcW w:w="1838" w:type="dxa"/>
            <w:tcBorders>
              <w:bottom w:val="single" w:sz="4" w:space="0" w:color="000000" w:themeColor="text1"/>
            </w:tcBorders>
            <w:shd w:val="clear" w:color="auto" w:fill="8DB3E2" w:themeFill="text2" w:themeFillTint="66"/>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Intitulé :</w:t>
            </w:r>
          </w:p>
        </w:tc>
        <w:tc>
          <w:tcPr>
            <w:tcW w:w="7944" w:type="dxa"/>
            <w:tcBorders>
              <w:bottom w:val="single" w:sz="4"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 xml:space="preserve">Produits chimiques utilisés pour le traitement de l'eau destinée à la consommation humaine - Sulfate d’ammonium  </w:t>
            </w:r>
          </w:p>
        </w:tc>
      </w:tr>
      <w:tr w:rsidR="00C8284D" w:rsidRPr="0043547B" w:rsidTr="0052667E">
        <w:trPr>
          <w:trHeight w:val="1054"/>
          <w:jc w:val="center"/>
        </w:trPr>
        <w:tc>
          <w:tcPr>
            <w:tcW w:w="1838" w:type="dxa"/>
            <w:tcBorders>
              <w:top w:val="single" w:sz="4" w:space="0" w:color="000000" w:themeColor="text1"/>
              <w:bottom w:val="single" w:sz="18" w:space="0" w:color="000000" w:themeColor="text1"/>
            </w:tcBorders>
            <w:shd w:val="clear" w:color="auto" w:fill="D9D9D9" w:themeFill="background1" w:themeFillShade="D9"/>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Domaine d’application :</w:t>
            </w:r>
          </w:p>
        </w:tc>
        <w:tc>
          <w:tcPr>
            <w:tcW w:w="7944" w:type="dxa"/>
            <w:tcBorders>
              <w:top w:val="single" w:sz="4" w:space="0" w:color="000000" w:themeColor="text1"/>
              <w:bottom w:val="single" w:sz="18"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Les documents ci-après, dans leur intégralité ou non, sont des références normatives indispensables à l'application du présent document. Pour les références datées, seule l'édition citée s'applique. Pour les références non datées, la dernière édition du document de référence s'applique (y compris les éventuels amendements).</w:t>
            </w:r>
          </w:p>
        </w:tc>
      </w:tr>
      <w:tr w:rsidR="00C8284D" w:rsidRPr="0043547B" w:rsidTr="008F049B">
        <w:trPr>
          <w:trHeight w:val="315"/>
          <w:jc w:val="center"/>
        </w:trPr>
        <w:tc>
          <w:tcPr>
            <w:tcW w:w="1838" w:type="dxa"/>
            <w:tcBorders>
              <w:top w:val="single" w:sz="18" w:space="0" w:color="000000" w:themeColor="text1"/>
              <w:bottom w:val="single" w:sz="18" w:space="0" w:color="000000" w:themeColor="text1"/>
            </w:tcBorders>
            <w:shd w:val="clear" w:color="auto" w:fill="C2D69B" w:themeFill="accent3" w:themeFillTint="99"/>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Code :</w:t>
            </w:r>
          </w:p>
        </w:tc>
        <w:tc>
          <w:tcPr>
            <w:tcW w:w="7944" w:type="dxa"/>
            <w:tcBorders>
              <w:top w:val="single" w:sz="18" w:space="0" w:color="000000" w:themeColor="text1"/>
              <w:bottom w:val="single" w:sz="18" w:space="0" w:color="000000" w:themeColor="text1"/>
            </w:tcBorders>
            <w:shd w:val="clear" w:color="auto" w:fill="C2D69B" w:themeFill="accent3" w:themeFillTint="99"/>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NM EN 12122</w:t>
            </w:r>
          </w:p>
        </w:tc>
      </w:tr>
      <w:tr w:rsidR="00C8284D" w:rsidRPr="0043547B" w:rsidTr="008F049B">
        <w:trPr>
          <w:trHeight w:val="315"/>
          <w:jc w:val="center"/>
        </w:trPr>
        <w:tc>
          <w:tcPr>
            <w:tcW w:w="1838" w:type="dxa"/>
            <w:tcBorders>
              <w:top w:val="single" w:sz="18" w:space="0" w:color="000000" w:themeColor="text1"/>
            </w:tcBorders>
            <w:shd w:val="clear" w:color="auto" w:fill="FFFFCC"/>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Equivalence :</w:t>
            </w:r>
          </w:p>
        </w:tc>
        <w:tc>
          <w:tcPr>
            <w:tcW w:w="7944" w:type="dxa"/>
            <w:tcBorders>
              <w:top w:val="single" w:sz="18" w:space="0" w:color="000000" w:themeColor="text1"/>
            </w:tcBorders>
            <w:shd w:val="clear" w:color="auto" w:fill="FFFFCC"/>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EN 12122</w:t>
            </w:r>
          </w:p>
        </w:tc>
      </w:tr>
      <w:tr w:rsidR="00C8284D" w:rsidRPr="0043547B" w:rsidTr="0052667E">
        <w:trPr>
          <w:trHeight w:val="600"/>
          <w:jc w:val="center"/>
        </w:trPr>
        <w:tc>
          <w:tcPr>
            <w:tcW w:w="1838" w:type="dxa"/>
            <w:tcBorders>
              <w:bottom w:val="single" w:sz="4" w:space="0" w:color="000000" w:themeColor="text1"/>
            </w:tcBorders>
            <w:shd w:val="clear" w:color="auto" w:fill="8DB3E2" w:themeFill="text2" w:themeFillTint="66"/>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Intitulé :</w:t>
            </w:r>
          </w:p>
        </w:tc>
        <w:tc>
          <w:tcPr>
            <w:tcW w:w="7944" w:type="dxa"/>
            <w:tcBorders>
              <w:bottom w:val="single" w:sz="4"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Produits chimiques utilisés pour le traitement de l'eau destinée à la consommation humaine – Ammoniaque </w:t>
            </w:r>
          </w:p>
        </w:tc>
      </w:tr>
      <w:tr w:rsidR="00C8284D" w:rsidRPr="0043547B" w:rsidTr="0052667E">
        <w:trPr>
          <w:trHeight w:val="1290"/>
          <w:jc w:val="center"/>
        </w:trPr>
        <w:tc>
          <w:tcPr>
            <w:tcW w:w="1838" w:type="dxa"/>
            <w:tcBorders>
              <w:top w:val="single" w:sz="4" w:space="0" w:color="000000" w:themeColor="text1"/>
              <w:bottom w:val="single" w:sz="18" w:space="0" w:color="000000" w:themeColor="text1"/>
            </w:tcBorders>
            <w:shd w:val="clear" w:color="auto" w:fill="D9D9D9" w:themeFill="background1" w:themeFillShade="D9"/>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Domaine d’application :</w:t>
            </w:r>
          </w:p>
        </w:tc>
        <w:tc>
          <w:tcPr>
            <w:tcW w:w="7944" w:type="dxa"/>
            <w:tcBorders>
              <w:top w:val="single" w:sz="4" w:space="0" w:color="000000" w:themeColor="text1"/>
              <w:bottom w:val="single" w:sz="18"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La présente norme marocaine est applicable à l'ammoniaque utilisée pour le traitement de l'eau destinée à la consommation humaine. Elle décrit les caractéristiques de l'ammoniaque et spécifie les prescriptions et les méthodes d'essai correspondant à l'ammoniaque. Elle donne des informations pour son emploi dans le traitement de l'eau.</w:t>
            </w:r>
          </w:p>
        </w:tc>
      </w:tr>
      <w:tr w:rsidR="00C8284D" w:rsidRPr="0043547B" w:rsidTr="008F049B">
        <w:trPr>
          <w:trHeight w:val="315"/>
          <w:jc w:val="center"/>
        </w:trPr>
        <w:tc>
          <w:tcPr>
            <w:tcW w:w="1838" w:type="dxa"/>
            <w:tcBorders>
              <w:top w:val="single" w:sz="18" w:space="0" w:color="000000" w:themeColor="text1"/>
              <w:bottom w:val="single" w:sz="18" w:space="0" w:color="000000" w:themeColor="text1"/>
            </w:tcBorders>
            <w:shd w:val="clear" w:color="auto" w:fill="C2D69B" w:themeFill="accent3" w:themeFillTint="99"/>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Code :</w:t>
            </w:r>
          </w:p>
        </w:tc>
        <w:tc>
          <w:tcPr>
            <w:tcW w:w="7944" w:type="dxa"/>
            <w:tcBorders>
              <w:top w:val="single" w:sz="18" w:space="0" w:color="000000" w:themeColor="text1"/>
              <w:bottom w:val="single" w:sz="18" w:space="0" w:color="000000" w:themeColor="text1"/>
            </w:tcBorders>
            <w:shd w:val="clear" w:color="auto" w:fill="C2D69B" w:themeFill="accent3" w:themeFillTint="99"/>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NM EN 12124</w:t>
            </w:r>
          </w:p>
        </w:tc>
      </w:tr>
      <w:tr w:rsidR="00C8284D" w:rsidRPr="0043547B" w:rsidTr="008F049B">
        <w:trPr>
          <w:trHeight w:val="315"/>
          <w:jc w:val="center"/>
        </w:trPr>
        <w:tc>
          <w:tcPr>
            <w:tcW w:w="1838" w:type="dxa"/>
            <w:tcBorders>
              <w:top w:val="single" w:sz="18" w:space="0" w:color="000000" w:themeColor="text1"/>
            </w:tcBorders>
            <w:shd w:val="clear" w:color="auto" w:fill="FFFFCC"/>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Equivalence :</w:t>
            </w:r>
          </w:p>
        </w:tc>
        <w:tc>
          <w:tcPr>
            <w:tcW w:w="7944" w:type="dxa"/>
            <w:tcBorders>
              <w:top w:val="single" w:sz="18" w:space="0" w:color="000000" w:themeColor="text1"/>
            </w:tcBorders>
            <w:shd w:val="clear" w:color="auto" w:fill="FFFFCC"/>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EN 12124</w:t>
            </w:r>
          </w:p>
        </w:tc>
      </w:tr>
      <w:tr w:rsidR="00C8284D" w:rsidRPr="0043547B" w:rsidTr="009F7DF4">
        <w:trPr>
          <w:trHeight w:val="600"/>
          <w:jc w:val="center"/>
        </w:trPr>
        <w:tc>
          <w:tcPr>
            <w:tcW w:w="1838" w:type="dxa"/>
            <w:tcBorders>
              <w:bottom w:val="single" w:sz="4" w:space="0" w:color="000000" w:themeColor="text1"/>
            </w:tcBorders>
            <w:shd w:val="clear" w:color="auto" w:fill="8DB3E2" w:themeFill="text2" w:themeFillTint="66"/>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Intitulé :</w:t>
            </w:r>
          </w:p>
        </w:tc>
        <w:tc>
          <w:tcPr>
            <w:tcW w:w="7944" w:type="dxa"/>
            <w:tcBorders>
              <w:bottom w:val="single" w:sz="4"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 xml:space="preserve">Produits chimiques utilisés pour le traitement de l'eau destinée à la consommation humaine – Sulfite de sodium  </w:t>
            </w:r>
          </w:p>
        </w:tc>
      </w:tr>
      <w:tr w:rsidR="00C8284D" w:rsidRPr="0043547B" w:rsidTr="00253C66">
        <w:trPr>
          <w:trHeight w:val="560"/>
          <w:jc w:val="center"/>
        </w:trPr>
        <w:tc>
          <w:tcPr>
            <w:tcW w:w="1838" w:type="dxa"/>
            <w:tcBorders>
              <w:top w:val="single" w:sz="4" w:space="0" w:color="000000" w:themeColor="text1"/>
              <w:bottom w:val="single" w:sz="18" w:space="0" w:color="000000" w:themeColor="text1"/>
            </w:tcBorders>
            <w:shd w:val="clear" w:color="auto" w:fill="D9D9D9" w:themeFill="background1" w:themeFillShade="D9"/>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Domaine d’application :</w:t>
            </w:r>
          </w:p>
        </w:tc>
        <w:tc>
          <w:tcPr>
            <w:tcW w:w="7944" w:type="dxa"/>
            <w:tcBorders>
              <w:top w:val="single" w:sz="4" w:space="0" w:color="000000" w:themeColor="text1"/>
              <w:bottom w:val="single" w:sz="18"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La présente Norme Marocaine est applicable au sodium utilisé pour le traitement de l'eau destinée à la consommation humaine. Elle décrit les caractéristiques du sulfite de sodium, en spécifie les exigences ainsi que les méthodes d'analyse correspondantes. Elle donne des informations pour son emploi dans le traitement de l'eau.</w:t>
            </w:r>
          </w:p>
        </w:tc>
      </w:tr>
      <w:tr w:rsidR="00C8284D" w:rsidRPr="0043547B" w:rsidTr="008F049B">
        <w:trPr>
          <w:trHeight w:val="315"/>
          <w:jc w:val="center"/>
        </w:trPr>
        <w:tc>
          <w:tcPr>
            <w:tcW w:w="1838" w:type="dxa"/>
            <w:tcBorders>
              <w:top w:val="single" w:sz="18" w:space="0" w:color="000000" w:themeColor="text1"/>
              <w:bottom w:val="single" w:sz="18" w:space="0" w:color="000000" w:themeColor="text1"/>
            </w:tcBorders>
            <w:shd w:val="clear" w:color="auto" w:fill="C2D69B" w:themeFill="accent3" w:themeFillTint="99"/>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Code :</w:t>
            </w:r>
          </w:p>
        </w:tc>
        <w:tc>
          <w:tcPr>
            <w:tcW w:w="7944" w:type="dxa"/>
            <w:tcBorders>
              <w:top w:val="single" w:sz="18" w:space="0" w:color="000000" w:themeColor="text1"/>
              <w:bottom w:val="single" w:sz="18" w:space="0" w:color="000000" w:themeColor="text1"/>
            </w:tcBorders>
            <w:shd w:val="clear" w:color="auto" w:fill="C2D69B" w:themeFill="accent3" w:themeFillTint="99"/>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NM EN 12125</w:t>
            </w:r>
          </w:p>
        </w:tc>
      </w:tr>
      <w:tr w:rsidR="00C8284D" w:rsidRPr="0043547B" w:rsidTr="008F049B">
        <w:trPr>
          <w:trHeight w:val="315"/>
          <w:jc w:val="center"/>
        </w:trPr>
        <w:tc>
          <w:tcPr>
            <w:tcW w:w="1838" w:type="dxa"/>
            <w:tcBorders>
              <w:top w:val="single" w:sz="18" w:space="0" w:color="000000" w:themeColor="text1"/>
            </w:tcBorders>
            <w:shd w:val="clear" w:color="auto" w:fill="FFFFCC"/>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Equivalence :</w:t>
            </w:r>
          </w:p>
        </w:tc>
        <w:tc>
          <w:tcPr>
            <w:tcW w:w="7944" w:type="dxa"/>
            <w:tcBorders>
              <w:top w:val="single" w:sz="18" w:space="0" w:color="000000" w:themeColor="text1"/>
            </w:tcBorders>
            <w:shd w:val="clear" w:color="auto" w:fill="FFFFCC"/>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EN 12125</w:t>
            </w:r>
          </w:p>
        </w:tc>
      </w:tr>
      <w:tr w:rsidR="00C8284D" w:rsidRPr="0043547B" w:rsidTr="009F7DF4">
        <w:trPr>
          <w:trHeight w:val="600"/>
          <w:jc w:val="center"/>
        </w:trPr>
        <w:tc>
          <w:tcPr>
            <w:tcW w:w="1838" w:type="dxa"/>
            <w:tcBorders>
              <w:bottom w:val="single" w:sz="4" w:space="0" w:color="000000" w:themeColor="text1"/>
            </w:tcBorders>
            <w:shd w:val="clear" w:color="auto" w:fill="8DB3E2" w:themeFill="text2" w:themeFillTint="66"/>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Intitulé :</w:t>
            </w:r>
          </w:p>
        </w:tc>
        <w:tc>
          <w:tcPr>
            <w:tcW w:w="7944" w:type="dxa"/>
            <w:tcBorders>
              <w:bottom w:val="single" w:sz="4"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 xml:space="preserve">Produits chimiques utilisés pour le traitement de l'eau destinée à la consommation humaine - Thiosulfate de sodium   </w:t>
            </w:r>
          </w:p>
        </w:tc>
      </w:tr>
      <w:tr w:rsidR="00C8284D" w:rsidRPr="0043547B" w:rsidTr="00BC611F">
        <w:trPr>
          <w:trHeight w:val="559"/>
          <w:jc w:val="center"/>
        </w:trPr>
        <w:tc>
          <w:tcPr>
            <w:tcW w:w="1838" w:type="dxa"/>
            <w:tcBorders>
              <w:top w:val="single" w:sz="4" w:space="0" w:color="000000" w:themeColor="text1"/>
              <w:bottom w:val="single" w:sz="18" w:space="0" w:color="000000" w:themeColor="text1"/>
            </w:tcBorders>
            <w:shd w:val="clear" w:color="auto" w:fill="D9D9D9" w:themeFill="background1" w:themeFillShade="D9"/>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Domaine d’application :</w:t>
            </w:r>
          </w:p>
        </w:tc>
        <w:tc>
          <w:tcPr>
            <w:tcW w:w="7944" w:type="dxa"/>
            <w:tcBorders>
              <w:top w:val="single" w:sz="4" w:space="0" w:color="000000" w:themeColor="text1"/>
              <w:bottom w:val="single" w:sz="18"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La présente Norme marocaine s'applique au thiosulfate de sodium utilisé pour le traitement de l'eau destinée à la consommation humaine. Elle décrit les caractéristiques du thiosulfate de sodium, en spécifie les exigences ainsi que les</w:t>
            </w:r>
            <w:r>
              <w:rPr>
                <w:rFonts w:cstheme="minorHAnsi"/>
                <w:sz w:val="24"/>
                <w:szCs w:val="24"/>
              </w:rPr>
              <w:t xml:space="preserve"> </w:t>
            </w:r>
            <w:r w:rsidRPr="0043547B">
              <w:rPr>
                <w:rFonts w:cstheme="minorHAnsi"/>
                <w:sz w:val="24"/>
                <w:szCs w:val="24"/>
              </w:rPr>
              <w:t>méthodes d'analyse correspondantes. Elle donne des informations pour son emploi dans le traitement de l'eau.</w:t>
            </w:r>
          </w:p>
        </w:tc>
      </w:tr>
      <w:tr w:rsidR="00C8284D" w:rsidRPr="0043547B" w:rsidTr="008F049B">
        <w:trPr>
          <w:trHeight w:val="315"/>
          <w:jc w:val="center"/>
        </w:trPr>
        <w:tc>
          <w:tcPr>
            <w:tcW w:w="1838" w:type="dxa"/>
            <w:tcBorders>
              <w:top w:val="single" w:sz="18" w:space="0" w:color="000000" w:themeColor="text1"/>
              <w:bottom w:val="single" w:sz="18" w:space="0" w:color="000000" w:themeColor="text1"/>
            </w:tcBorders>
            <w:shd w:val="clear" w:color="auto" w:fill="C2D69B" w:themeFill="accent3" w:themeFillTint="99"/>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Code :</w:t>
            </w:r>
          </w:p>
        </w:tc>
        <w:tc>
          <w:tcPr>
            <w:tcW w:w="7944" w:type="dxa"/>
            <w:tcBorders>
              <w:top w:val="single" w:sz="18" w:space="0" w:color="000000" w:themeColor="text1"/>
              <w:bottom w:val="single" w:sz="18" w:space="0" w:color="000000" w:themeColor="text1"/>
            </w:tcBorders>
            <w:shd w:val="clear" w:color="auto" w:fill="C2D69B" w:themeFill="accent3" w:themeFillTint="99"/>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NM EN 12174</w:t>
            </w:r>
          </w:p>
        </w:tc>
      </w:tr>
      <w:tr w:rsidR="00C8284D" w:rsidRPr="0043547B" w:rsidTr="008F049B">
        <w:trPr>
          <w:trHeight w:val="315"/>
          <w:jc w:val="center"/>
        </w:trPr>
        <w:tc>
          <w:tcPr>
            <w:tcW w:w="1838" w:type="dxa"/>
            <w:tcBorders>
              <w:top w:val="single" w:sz="18" w:space="0" w:color="000000" w:themeColor="text1"/>
            </w:tcBorders>
            <w:shd w:val="clear" w:color="auto" w:fill="FFFFCC"/>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Equivalence :</w:t>
            </w:r>
          </w:p>
        </w:tc>
        <w:tc>
          <w:tcPr>
            <w:tcW w:w="7944" w:type="dxa"/>
            <w:tcBorders>
              <w:top w:val="single" w:sz="18" w:space="0" w:color="000000" w:themeColor="text1"/>
            </w:tcBorders>
            <w:shd w:val="clear" w:color="auto" w:fill="FFFFCC"/>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EN 12174</w:t>
            </w:r>
          </w:p>
        </w:tc>
      </w:tr>
      <w:tr w:rsidR="00C8284D" w:rsidRPr="0043547B" w:rsidTr="009F7DF4">
        <w:trPr>
          <w:trHeight w:val="600"/>
          <w:jc w:val="center"/>
        </w:trPr>
        <w:tc>
          <w:tcPr>
            <w:tcW w:w="1838" w:type="dxa"/>
            <w:tcBorders>
              <w:bottom w:val="single" w:sz="4" w:space="0" w:color="000000" w:themeColor="text1"/>
            </w:tcBorders>
            <w:shd w:val="clear" w:color="auto" w:fill="8DB3E2" w:themeFill="text2" w:themeFillTint="66"/>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lastRenderedPageBreak/>
              <w:t>Intitulé :</w:t>
            </w:r>
          </w:p>
        </w:tc>
        <w:tc>
          <w:tcPr>
            <w:tcW w:w="7944" w:type="dxa"/>
            <w:tcBorders>
              <w:bottom w:val="single" w:sz="4"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 xml:space="preserve">Produits chimiques utilisés pour le traitement de l'eau destinée à la consommation humaine - Hexafluorosilicate de sodium </w:t>
            </w:r>
          </w:p>
        </w:tc>
      </w:tr>
      <w:tr w:rsidR="00C8284D" w:rsidRPr="0043547B" w:rsidTr="009F0533">
        <w:trPr>
          <w:trHeight w:val="1497"/>
          <w:jc w:val="center"/>
        </w:trPr>
        <w:tc>
          <w:tcPr>
            <w:tcW w:w="1838" w:type="dxa"/>
            <w:tcBorders>
              <w:top w:val="single" w:sz="4" w:space="0" w:color="000000" w:themeColor="text1"/>
              <w:bottom w:val="single" w:sz="18" w:space="0" w:color="000000" w:themeColor="text1"/>
            </w:tcBorders>
            <w:shd w:val="clear" w:color="auto" w:fill="D9D9D9" w:themeFill="background1" w:themeFillShade="D9"/>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Domaine d’application :</w:t>
            </w:r>
          </w:p>
        </w:tc>
        <w:tc>
          <w:tcPr>
            <w:tcW w:w="7944" w:type="dxa"/>
            <w:tcBorders>
              <w:top w:val="single" w:sz="4" w:space="0" w:color="000000" w:themeColor="text1"/>
              <w:bottom w:val="single" w:sz="18"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La présente Norme marocaine est applicable à l'hexafluorosilicate de sodium utilisé pour le traitement de l'eau destinée à la consommation humaine. Elle décrit les caractéristiques de l'hexafluorosilicate de sodium et spécifie les exigences et les méthodes d'essai correspondant à ce produit. Elle donne des informations pour son emploi dans le traitement de l'eau. Elle fixe également les règles relatives à la sécurité d’emploi et de manipulation de l’hexafluorosilicate de sodium (voir Annexe B).</w:t>
            </w:r>
          </w:p>
        </w:tc>
      </w:tr>
      <w:tr w:rsidR="00C8284D" w:rsidRPr="0043547B" w:rsidTr="008F049B">
        <w:trPr>
          <w:trHeight w:val="315"/>
          <w:jc w:val="center"/>
        </w:trPr>
        <w:tc>
          <w:tcPr>
            <w:tcW w:w="1838" w:type="dxa"/>
            <w:tcBorders>
              <w:top w:val="single" w:sz="18" w:space="0" w:color="000000" w:themeColor="text1"/>
              <w:bottom w:val="single" w:sz="18" w:space="0" w:color="000000" w:themeColor="text1"/>
            </w:tcBorders>
            <w:shd w:val="clear" w:color="auto" w:fill="C2D69B" w:themeFill="accent3" w:themeFillTint="99"/>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Code :</w:t>
            </w:r>
          </w:p>
        </w:tc>
        <w:tc>
          <w:tcPr>
            <w:tcW w:w="7944" w:type="dxa"/>
            <w:tcBorders>
              <w:top w:val="single" w:sz="18" w:space="0" w:color="000000" w:themeColor="text1"/>
              <w:bottom w:val="single" w:sz="18" w:space="0" w:color="000000" w:themeColor="text1"/>
            </w:tcBorders>
            <w:shd w:val="clear" w:color="auto" w:fill="C2D69B" w:themeFill="accent3" w:themeFillTint="99"/>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NM EN 12173</w:t>
            </w:r>
          </w:p>
        </w:tc>
      </w:tr>
      <w:tr w:rsidR="00C8284D" w:rsidRPr="0043547B" w:rsidTr="008F049B">
        <w:trPr>
          <w:trHeight w:val="315"/>
          <w:jc w:val="center"/>
        </w:trPr>
        <w:tc>
          <w:tcPr>
            <w:tcW w:w="1838" w:type="dxa"/>
            <w:tcBorders>
              <w:top w:val="single" w:sz="18" w:space="0" w:color="000000" w:themeColor="text1"/>
            </w:tcBorders>
            <w:shd w:val="clear" w:color="auto" w:fill="FFFFCC"/>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Equivalence :</w:t>
            </w:r>
          </w:p>
        </w:tc>
        <w:tc>
          <w:tcPr>
            <w:tcW w:w="7944" w:type="dxa"/>
            <w:tcBorders>
              <w:top w:val="single" w:sz="18" w:space="0" w:color="000000" w:themeColor="text1"/>
            </w:tcBorders>
            <w:shd w:val="clear" w:color="auto" w:fill="FFFFCC"/>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EN 12173</w:t>
            </w:r>
          </w:p>
        </w:tc>
      </w:tr>
      <w:tr w:rsidR="00C8284D" w:rsidRPr="0043547B" w:rsidTr="009F7DF4">
        <w:trPr>
          <w:trHeight w:val="600"/>
          <w:jc w:val="center"/>
        </w:trPr>
        <w:tc>
          <w:tcPr>
            <w:tcW w:w="1838" w:type="dxa"/>
            <w:tcBorders>
              <w:bottom w:val="single" w:sz="4" w:space="0" w:color="000000" w:themeColor="text1"/>
            </w:tcBorders>
            <w:shd w:val="clear" w:color="auto" w:fill="8DB3E2" w:themeFill="text2" w:themeFillTint="66"/>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Intitulé :</w:t>
            </w:r>
          </w:p>
        </w:tc>
        <w:tc>
          <w:tcPr>
            <w:tcW w:w="7944" w:type="dxa"/>
            <w:tcBorders>
              <w:bottom w:val="single" w:sz="4"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 xml:space="preserve">Produits chimiques utilisés pour le traitement de l'eau destinée à la consommation humaine - Fluorure de sodium  </w:t>
            </w:r>
          </w:p>
        </w:tc>
      </w:tr>
      <w:tr w:rsidR="00C8284D" w:rsidRPr="0043547B" w:rsidTr="009B7921">
        <w:trPr>
          <w:trHeight w:val="276"/>
          <w:jc w:val="center"/>
        </w:trPr>
        <w:tc>
          <w:tcPr>
            <w:tcW w:w="1838" w:type="dxa"/>
            <w:tcBorders>
              <w:top w:val="single" w:sz="4" w:space="0" w:color="000000" w:themeColor="text1"/>
              <w:bottom w:val="single" w:sz="18" w:space="0" w:color="000000" w:themeColor="text1"/>
            </w:tcBorders>
            <w:shd w:val="clear" w:color="auto" w:fill="D9D9D9" w:themeFill="background1" w:themeFillShade="D9"/>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Domaine d’application :</w:t>
            </w:r>
          </w:p>
        </w:tc>
        <w:tc>
          <w:tcPr>
            <w:tcW w:w="7944" w:type="dxa"/>
            <w:tcBorders>
              <w:top w:val="single" w:sz="4" w:space="0" w:color="000000" w:themeColor="text1"/>
              <w:bottom w:val="single" w:sz="18"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 xml:space="preserve">La présente Norme marocaine s'applique au fluorure de sodium utilisé pour le traitement de l'eau destinée à la consommation humaine. </w:t>
            </w:r>
          </w:p>
          <w:p w:rsidR="00C8284D" w:rsidRPr="0043547B" w:rsidRDefault="00C8284D" w:rsidP="00C8284D">
            <w:pPr>
              <w:jc w:val="both"/>
              <w:rPr>
                <w:rFonts w:cstheme="minorHAnsi"/>
                <w:sz w:val="24"/>
                <w:szCs w:val="24"/>
              </w:rPr>
            </w:pPr>
            <w:r w:rsidRPr="0043547B">
              <w:rPr>
                <w:rFonts w:cstheme="minorHAnsi"/>
                <w:sz w:val="24"/>
                <w:szCs w:val="24"/>
              </w:rPr>
              <w:t>Elle décrit les caractéristiques du fluorure de sodium, en spécifie les exigences ainsi que les méthodes d'essai correspondantes. Elle donne des informations pour son emploi dans le traitement de l'eau.</w:t>
            </w:r>
          </w:p>
          <w:p w:rsidR="00C8284D" w:rsidRPr="0043547B" w:rsidRDefault="00C8284D" w:rsidP="00C8284D">
            <w:pPr>
              <w:jc w:val="both"/>
              <w:rPr>
                <w:rFonts w:cstheme="minorHAnsi"/>
                <w:sz w:val="24"/>
                <w:szCs w:val="24"/>
              </w:rPr>
            </w:pPr>
            <w:r w:rsidRPr="0043547B">
              <w:rPr>
                <w:rFonts w:cstheme="minorHAnsi"/>
                <w:sz w:val="24"/>
                <w:szCs w:val="24"/>
              </w:rPr>
              <w:t>Elle fixe également les règles relatives à la sécurité d'emploi et de manipulation (voir Annexe B).</w:t>
            </w:r>
          </w:p>
        </w:tc>
      </w:tr>
      <w:tr w:rsidR="00C8284D" w:rsidRPr="0043547B" w:rsidTr="008F049B">
        <w:trPr>
          <w:trHeight w:val="315"/>
          <w:jc w:val="center"/>
        </w:trPr>
        <w:tc>
          <w:tcPr>
            <w:tcW w:w="1838" w:type="dxa"/>
            <w:tcBorders>
              <w:top w:val="single" w:sz="18" w:space="0" w:color="000000" w:themeColor="text1"/>
              <w:bottom w:val="single" w:sz="18" w:space="0" w:color="000000" w:themeColor="text1"/>
            </w:tcBorders>
            <w:shd w:val="clear" w:color="auto" w:fill="C2D69B" w:themeFill="accent3" w:themeFillTint="99"/>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Code :</w:t>
            </w:r>
          </w:p>
        </w:tc>
        <w:tc>
          <w:tcPr>
            <w:tcW w:w="7944" w:type="dxa"/>
            <w:tcBorders>
              <w:top w:val="single" w:sz="18" w:space="0" w:color="000000" w:themeColor="text1"/>
              <w:bottom w:val="single" w:sz="18" w:space="0" w:color="000000" w:themeColor="text1"/>
            </w:tcBorders>
            <w:shd w:val="clear" w:color="auto" w:fill="C2D69B" w:themeFill="accent3" w:themeFillTint="99"/>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NM EN 12175</w:t>
            </w:r>
          </w:p>
        </w:tc>
      </w:tr>
      <w:tr w:rsidR="00C8284D" w:rsidRPr="0043547B" w:rsidTr="008F049B">
        <w:trPr>
          <w:trHeight w:val="315"/>
          <w:jc w:val="center"/>
        </w:trPr>
        <w:tc>
          <w:tcPr>
            <w:tcW w:w="1838" w:type="dxa"/>
            <w:tcBorders>
              <w:top w:val="single" w:sz="18" w:space="0" w:color="000000" w:themeColor="text1"/>
            </w:tcBorders>
            <w:shd w:val="clear" w:color="auto" w:fill="FFFFCC"/>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Equivalence :</w:t>
            </w:r>
          </w:p>
        </w:tc>
        <w:tc>
          <w:tcPr>
            <w:tcW w:w="7944" w:type="dxa"/>
            <w:tcBorders>
              <w:top w:val="single" w:sz="18" w:space="0" w:color="000000" w:themeColor="text1"/>
            </w:tcBorders>
            <w:shd w:val="clear" w:color="auto" w:fill="FFFFCC"/>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EN 12175</w:t>
            </w:r>
          </w:p>
        </w:tc>
      </w:tr>
      <w:tr w:rsidR="00C8284D" w:rsidRPr="0043547B" w:rsidTr="009F7DF4">
        <w:trPr>
          <w:trHeight w:val="600"/>
          <w:jc w:val="center"/>
        </w:trPr>
        <w:tc>
          <w:tcPr>
            <w:tcW w:w="1838" w:type="dxa"/>
            <w:tcBorders>
              <w:bottom w:val="single" w:sz="4" w:space="0" w:color="000000" w:themeColor="text1"/>
            </w:tcBorders>
            <w:shd w:val="clear" w:color="auto" w:fill="8DB3E2" w:themeFill="text2" w:themeFillTint="66"/>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Intitulé :</w:t>
            </w:r>
          </w:p>
        </w:tc>
        <w:tc>
          <w:tcPr>
            <w:tcW w:w="7944" w:type="dxa"/>
            <w:tcBorders>
              <w:bottom w:val="single" w:sz="4"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Produits chimiques utilisés pour le traitement de l'eau destinée à la consommation humaine - Acide hexafluorosilicique </w:t>
            </w:r>
          </w:p>
        </w:tc>
      </w:tr>
      <w:tr w:rsidR="00C8284D" w:rsidRPr="0043547B" w:rsidTr="009F0533">
        <w:trPr>
          <w:trHeight w:val="1359"/>
          <w:jc w:val="center"/>
        </w:trPr>
        <w:tc>
          <w:tcPr>
            <w:tcW w:w="1838" w:type="dxa"/>
            <w:tcBorders>
              <w:top w:val="single" w:sz="4" w:space="0" w:color="000000" w:themeColor="text1"/>
              <w:bottom w:val="single" w:sz="18" w:space="0" w:color="000000" w:themeColor="text1"/>
            </w:tcBorders>
            <w:shd w:val="clear" w:color="auto" w:fill="D9D9D9" w:themeFill="background1" w:themeFillShade="D9"/>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Domaine d’application :</w:t>
            </w:r>
          </w:p>
        </w:tc>
        <w:tc>
          <w:tcPr>
            <w:tcW w:w="7944" w:type="dxa"/>
            <w:tcBorders>
              <w:top w:val="single" w:sz="4" w:space="0" w:color="000000" w:themeColor="text1"/>
              <w:bottom w:val="single" w:sz="18"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La présente Norme marocaine est applicable à l'acide hexafluorosilicique utilisé pour le traitement de l'eau destinée à la consommation humaine. Elle décrit les caractéristiques de l'acide hexafluorosilicique et spécifie les prescriptions et les méthodes d'essai correspondant à l'acide hexafluorosilicique. Elle donne des informations pour son emploi dans le traitement de l'eau.</w:t>
            </w:r>
          </w:p>
        </w:tc>
      </w:tr>
      <w:tr w:rsidR="00C8284D" w:rsidRPr="0043547B" w:rsidTr="008F049B">
        <w:trPr>
          <w:trHeight w:val="315"/>
          <w:jc w:val="center"/>
        </w:trPr>
        <w:tc>
          <w:tcPr>
            <w:tcW w:w="1838" w:type="dxa"/>
            <w:tcBorders>
              <w:top w:val="single" w:sz="18" w:space="0" w:color="000000" w:themeColor="text1"/>
              <w:bottom w:val="single" w:sz="18" w:space="0" w:color="000000" w:themeColor="text1"/>
            </w:tcBorders>
            <w:shd w:val="clear" w:color="auto" w:fill="C2D69B" w:themeFill="accent3" w:themeFillTint="99"/>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Code :</w:t>
            </w:r>
          </w:p>
        </w:tc>
        <w:tc>
          <w:tcPr>
            <w:tcW w:w="7944" w:type="dxa"/>
            <w:tcBorders>
              <w:top w:val="single" w:sz="18" w:space="0" w:color="000000" w:themeColor="text1"/>
              <w:bottom w:val="single" w:sz="18" w:space="0" w:color="000000" w:themeColor="text1"/>
            </w:tcBorders>
            <w:shd w:val="clear" w:color="auto" w:fill="C2D69B" w:themeFill="accent3" w:themeFillTint="99"/>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NM EN 12121</w:t>
            </w:r>
          </w:p>
        </w:tc>
      </w:tr>
      <w:tr w:rsidR="00C8284D" w:rsidRPr="0043547B" w:rsidTr="008F049B">
        <w:trPr>
          <w:trHeight w:val="315"/>
          <w:jc w:val="center"/>
        </w:trPr>
        <w:tc>
          <w:tcPr>
            <w:tcW w:w="1838" w:type="dxa"/>
            <w:tcBorders>
              <w:top w:val="single" w:sz="18" w:space="0" w:color="000000" w:themeColor="text1"/>
            </w:tcBorders>
            <w:shd w:val="clear" w:color="auto" w:fill="FFFFCC"/>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Equivalence :</w:t>
            </w:r>
          </w:p>
        </w:tc>
        <w:tc>
          <w:tcPr>
            <w:tcW w:w="7944" w:type="dxa"/>
            <w:tcBorders>
              <w:top w:val="single" w:sz="18" w:space="0" w:color="000000" w:themeColor="text1"/>
            </w:tcBorders>
            <w:shd w:val="clear" w:color="auto" w:fill="FFFFCC"/>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EN 12121</w:t>
            </w:r>
          </w:p>
        </w:tc>
      </w:tr>
      <w:tr w:rsidR="00C8284D" w:rsidRPr="0043547B" w:rsidTr="009F7DF4">
        <w:trPr>
          <w:trHeight w:val="600"/>
          <w:jc w:val="center"/>
        </w:trPr>
        <w:tc>
          <w:tcPr>
            <w:tcW w:w="1838" w:type="dxa"/>
            <w:tcBorders>
              <w:bottom w:val="single" w:sz="4" w:space="0" w:color="000000" w:themeColor="text1"/>
            </w:tcBorders>
            <w:shd w:val="clear" w:color="auto" w:fill="8DB3E2" w:themeFill="text2" w:themeFillTint="66"/>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Intitulé :</w:t>
            </w:r>
          </w:p>
        </w:tc>
        <w:tc>
          <w:tcPr>
            <w:tcW w:w="7944" w:type="dxa"/>
            <w:tcBorders>
              <w:bottom w:val="single" w:sz="4"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 xml:space="preserve">Produits chimiques utilisés pour le traitement de l'eau destinée à la consommation humaine - Disulfite de sodium  </w:t>
            </w:r>
          </w:p>
        </w:tc>
      </w:tr>
      <w:tr w:rsidR="00C8284D" w:rsidRPr="0043547B" w:rsidTr="009F0533">
        <w:trPr>
          <w:trHeight w:val="1552"/>
          <w:jc w:val="center"/>
        </w:trPr>
        <w:tc>
          <w:tcPr>
            <w:tcW w:w="1838" w:type="dxa"/>
            <w:tcBorders>
              <w:top w:val="single" w:sz="4" w:space="0" w:color="000000" w:themeColor="text1"/>
              <w:bottom w:val="single" w:sz="18" w:space="0" w:color="000000" w:themeColor="text1"/>
            </w:tcBorders>
            <w:shd w:val="clear" w:color="auto" w:fill="D9D9D9" w:themeFill="background1" w:themeFillShade="D9"/>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Domaine d’application :</w:t>
            </w:r>
          </w:p>
        </w:tc>
        <w:tc>
          <w:tcPr>
            <w:tcW w:w="7944" w:type="dxa"/>
            <w:tcBorders>
              <w:top w:val="single" w:sz="4" w:space="0" w:color="000000" w:themeColor="text1"/>
              <w:bottom w:val="single" w:sz="18"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La présente Norme marocaine est applicable au disulfite de sodium utilisé pour le traitement de l'eau destinée à la consommation humaine. Elle décrit les caractéristiques du disulfite de sodium et spécifie les exigences et les méthodes d'essai correspondant au disulfite de sodium. Elle donne des informations pour son emploi dans le traitement de l'eau. Elle fixe également les règles relatives à la sécurité d'emploi et de manipulation (voir Annexe B).</w:t>
            </w:r>
          </w:p>
        </w:tc>
      </w:tr>
      <w:tr w:rsidR="00C8284D" w:rsidRPr="0043547B" w:rsidTr="008F049B">
        <w:trPr>
          <w:trHeight w:val="315"/>
          <w:jc w:val="center"/>
        </w:trPr>
        <w:tc>
          <w:tcPr>
            <w:tcW w:w="1838" w:type="dxa"/>
            <w:tcBorders>
              <w:top w:val="single" w:sz="18" w:space="0" w:color="000000" w:themeColor="text1"/>
              <w:bottom w:val="single" w:sz="18" w:space="0" w:color="000000" w:themeColor="text1"/>
            </w:tcBorders>
            <w:shd w:val="clear" w:color="auto" w:fill="C2D69B" w:themeFill="accent3" w:themeFillTint="99"/>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Code :</w:t>
            </w:r>
          </w:p>
        </w:tc>
        <w:tc>
          <w:tcPr>
            <w:tcW w:w="7944" w:type="dxa"/>
            <w:tcBorders>
              <w:top w:val="single" w:sz="18" w:space="0" w:color="000000" w:themeColor="text1"/>
              <w:bottom w:val="single" w:sz="18" w:space="0" w:color="000000" w:themeColor="text1"/>
            </w:tcBorders>
            <w:shd w:val="clear" w:color="auto" w:fill="C2D69B" w:themeFill="accent3" w:themeFillTint="99"/>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NM EN 936</w:t>
            </w:r>
          </w:p>
        </w:tc>
      </w:tr>
      <w:tr w:rsidR="00C8284D" w:rsidRPr="0043547B" w:rsidTr="008F049B">
        <w:trPr>
          <w:trHeight w:val="315"/>
          <w:jc w:val="center"/>
        </w:trPr>
        <w:tc>
          <w:tcPr>
            <w:tcW w:w="1838" w:type="dxa"/>
            <w:tcBorders>
              <w:top w:val="single" w:sz="18" w:space="0" w:color="000000" w:themeColor="text1"/>
            </w:tcBorders>
            <w:shd w:val="clear" w:color="auto" w:fill="FFFFCC"/>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Equivalence :</w:t>
            </w:r>
          </w:p>
        </w:tc>
        <w:tc>
          <w:tcPr>
            <w:tcW w:w="7944" w:type="dxa"/>
            <w:tcBorders>
              <w:top w:val="single" w:sz="18" w:space="0" w:color="000000" w:themeColor="text1"/>
            </w:tcBorders>
            <w:shd w:val="clear" w:color="auto" w:fill="FFFFCC"/>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EN 936</w:t>
            </w:r>
          </w:p>
        </w:tc>
      </w:tr>
      <w:tr w:rsidR="00C8284D" w:rsidRPr="0043547B" w:rsidTr="009F7DF4">
        <w:trPr>
          <w:trHeight w:val="600"/>
          <w:jc w:val="center"/>
        </w:trPr>
        <w:tc>
          <w:tcPr>
            <w:tcW w:w="1838" w:type="dxa"/>
            <w:tcBorders>
              <w:bottom w:val="single" w:sz="4" w:space="0" w:color="000000" w:themeColor="text1"/>
            </w:tcBorders>
            <w:shd w:val="clear" w:color="auto" w:fill="8DB3E2" w:themeFill="text2" w:themeFillTint="66"/>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Intitulé :</w:t>
            </w:r>
          </w:p>
        </w:tc>
        <w:tc>
          <w:tcPr>
            <w:tcW w:w="7944" w:type="dxa"/>
            <w:tcBorders>
              <w:bottom w:val="single" w:sz="4"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 xml:space="preserve">Produits chimiques utilisés pour le traitement de l'eau destinée à la consommation humaine - Dioxyde de carbone  </w:t>
            </w:r>
          </w:p>
        </w:tc>
      </w:tr>
      <w:tr w:rsidR="00C8284D" w:rsidRPr="0043547B" w:rsidTr="009F0533">
        <w:trPr>
          <w:trHeight w:val="1353"/>
          <w:jc w:val="center"/>
        </w:trPr>
        <w:tc>
          <w:tcPr>
            <w:tcW w:w="1838" w:type="dxa"/>
            <w:tcBorders>
              <w:top w:val="single" w:sz="4" w:space="0" w:color="000000" w:themeColor="text1"/>
              <w:bottom w:val="single" w:sz="18" w:space="0" w:color="000000" w:themeColor="text1"/>
            </w:tcBorders>
            <w:shd w:val="clear" w:color="auto" w:fill="D9D9D9" w:themeFill="background1" w:themeFillShade="D9"/>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lastRenderedPageBreak/>
              <w:t>Domaine d’application :</w:t>
            </w:r>
          </w:p>
        </w:tc>
        <w:tc>
          <w:tcPr>
            <w:tcW w:w="7944" w:type="dxa"/>
            <w:tcBorders>
              <w:top w:val="single" w:sz="4" w:space="0" w:color="000000" w:themeColor="text1"/>
              <w:bottom w:val="single" w:sz="18"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La présente Norme marocaine s’applique au dioxyde de carbone utilisé pour le traitement de l’eau destinée à la consommation humaine. Elle décrit les caractéristiques et spécifie les exigences, ainsi que les méthodes d’analyse correspondantes, pour le dioxyde de carbone. Elle fournit également des informations relatives à son emploi dans le traitement de l’eau.</w:t>
            </w:r>
          </w:p>
        </w:tc>
      </w:tr>
      <w:tr w:rsidR="00C8284D" w:rsidRPr="0043547B" w:rsidTr="006131A6">
        <w:trPr>
          <w:trHeight w:val="315"/>
          <w:jc w:val="center"/>
        </w:trPr>
        <w:tc>
          <w:tcPr>
            <w:tcW w:w="1838" w:type="dxa"/>
            <w:tcBorders>
              <w:top w:val="single" w:sz="18" w:space="0" w:color="000000" w:themeColor="text1"/>
              <w:bottom w:val="single" w:sz="18" w:space="0" w:color="000000" w:themeColor="text1"/>
            </w:tcBorders>
            <w:shd w:val="clear" w:color="auto" w:fill="C2D69B" w:themeFill="accent3" w:themeFillTint="99"/>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Code :</w:t>
            </w:r>
          </w:p>
        </w:tc>
        <w:tc>
          <w:tcPr>
            <w:tcW w:w="7944" w:type="dxa"/>
            <w:tcBorders>
              <w:top w:val="single" w:sz="18" w:space="0" w:color="000000" w:themeColor="text1"/>
              <w:bottom w:val="single" w:sz="18" w:space="0" w:color="000000" w:themeColor="text1"/>
            </w:tcBorders>
            <w:shd w:val="clear" w:color="auto" w:fill="C2D69B" w:themeFill="accent3" w:themeFillTint="99"/>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NM EN 1017</w:t>
            </w:r>
          </w:p>
        </w:tc>
      </w:tr>
      <w:tr w:rsidR="00C8284D" w:rsidRPr="0043547B" w:rsidTr="006131A6">
        <w:trPr>
          <w:trHeight w:val="315"/>
          <w:jc w:val="center"/>
        </w:trPr>
        <w:tc>
          <w:tcPr>
            <w:tcW w:w="1838" w:type="dxa"/>
            <w:tcBorders>
              <w:top w:val="single" w:sz="18" w:space="0" w:color="000000" w:themeColor="text1"/>
              <w:bottom w:val="single" w:sz="18" w:space="0" w:color="000000" w:themeColor="text1"/>
            </w:tcBorders>
            <w:shd w:val="clear" w:color="auto" w:fill="FFFFCC"/>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Equivalence :</w:t>
            </w:r>
          </w:p>
        </w:tc>
        <w:tc>
          <w:tcPr>
            <w:tcW w:w="7944" w:type="dxa"/>
            <w:tcBorders>
              <w:top w:val="single" w:sz="18" w:space="0" w:color="000000" w:themeColor="text1"/>
              <w:bottom w:val="single" w:sz="18" w:space="0" w:color="000000" w:themeColor="text1"/>
            </w:tcBorders>
            <w:shd w:val="clear" w:color="auto" w:fill="FFFFCC"/>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EN 1017</w:t>
            </w:r>
          </w:p>
        </w:tc>
      </w:tr>
      <w:tr w:rsidR="00C8284D" w:rsidRPr="0043547B" w:rsidTr="006131A6">
        <w:trPr>
          <w:trHeight w:val="600"/>
          <w:jc w:val="center"/>
        </w:trPr>
        <w:tc>
          <w:tcPr>
            <w:tcW w:w="1838" w:type="dxa"/>
            <w:tcBorders>
              <w:top w:val="single" w:sz="18" w:space="0" w:color="000000" w:themeColor="text1"/>
              <w:bottom w:val="single" w:sz="18" w:space="0" w:color="000000" w:themeColor="text1"/>
            </w:tcBorders>
            <w:shd w:val="clear" w:color="auto" w:fill="8DB3E2" w:themeFill="text2" w:themeFillTint="66"/>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Intitulé :</w:t>
            </w:r>
          </w:p>
        </w:tc>
        <w:tc>
          <w:tcPr>
            <w:tcW w:w="7944" w:type="dxa"/>
            <w:tcBorders>
              <w:top w:val="single" w:sz="18" w:space="0" w:color="000000" w:themeColor="text1"/>
              <w:bottom w:val="single" w:sz="18" w:space="0" w:color="000000" w:themeColor="text1"/>
            </w:tcBorders>
            <w:hideMark/>
          </w:tcPr>
          <w:p w:rsidR="00C8284D" w:rsidRPr="006131A6" w:rsidRDefault="00E230DD" w:rsidP="00C8284D">
            <w:pPr>
              <w:jc w:val="both"/>
              <w:rPr>
                <w:rFonts w:cstheme="minorHAnsi"/>
                <w:sz w:val="24"/>
                <w:szCs w:val="24"/>
              </w:rPr>
            </w:pPr>
            <w:r w:rsidRPr="006131A6">
              <w:rPr>
                <w:rFonts w:ascii="Calibri" w:hAnsi="Calibri" w:cs="Calibri"/>
              </w:rPr>
              <w:t xml:space="preserve">Produits chimiques utilisés pour le traitement de l'eau destinée à la consommation humaine - Dolomie semi-calcinée    </w:t>
            </w:r>
          </w:p>
        </w:tc>
      </w:tr>
      <w:tr w:rsidR="00C8284D" w:rsidRPr="0043547B" w:rsidTr="006131A6">
        <w:trPr>
          <w:trHeight w:val="1433"/>
          <w:jc w:val="center"/>
        </w:trPr>
        <w:tc>
          <w:tcPr>
            <w:tcW w:w="1838" w:type="dxa"/>
            <w:tcBorders>
              <w:top w:val="single" w:sz="18" w:space="0" w:color="000000" w:themeColor="text1"/>
              <w:bottom w:val="single" w:sz="18" w:space="0" w:color="000000" w:themeColor="text1"/>
            </w:tcBorders>
            <w:shd w:val="clear" w:color="auto" w:fill="D9D9D9" w:themeFill="background1" w:themeFillShade="D9"/>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Domaine d’application :</w:t>
            </w:r>
          </w:p>
        </w:tc>
        <w:tc>
          <w:tcPr>
            <w:tcW w:w="7944" w:type="dxa"/>
            <w:tcBorders>
              <w:top w:val="single" w:sz="18" w:space="0" w:color="000000" w:themeColor="text1"/>
              <w:bottom w:val="single" w:sz="18" w:space="0" w:color="000000" w:themeColor="text1"/>
            </w:tcBorders>
            <w:hideMark/>
          </w:tcPr>
          <w:p w:rsidR="00C8284D" w:rsidRPr="006131A6" w:rsidRDefault="00E230DD" w:rsidP="00C8284D">
            <w:pPr>
              <w:jc w:val="both"/>
              <w:rPr>
                <w:rFonts w:cstheme="minorHAnsi"/>
                <w:sz w:val="24"/>
                <w:szCs w:val="24"/>
              </w:rPr>
            </w:pPr>
            <w:r w:rsidRPr="006131A6">
              <w:t>La présente Norme européenne est applicable à la dolomie semi-calcinée utilisée pour le traitement de l'eau destinée à la consommation humaine. Elle décrit les caractéristiques et spécifie les exigences et les méthodes d'essai correspondantes de la dolomie semi-calcinée. Elle donne des informations pour son emploi dans le traitement de l'eau.</w:t>
            </w:r>
          </w:p>
        </w:tc>
      </w:tr>
      <w:tr w:rsidR="00C8284D" w:rsidRPr="0043547B" w:rsidTr="006131A6">
        <w:trPr>
          <w:trHeight w:val="315"/>
          <w:jc w:val="center"/>
        </w:trPr>
        <w:tc>
          <w:tcPr>
            <w:tcW w:w="1838" w:type="dxa"/>
            <w:tcBorders>
              <w:top w:val="single" w:sz="18" w:space="0" w:color="000000" w:themeColor="text1"/>
              <w:bottom w:val="single" w:sz="18" w:space="0" w:color="000000" w:themeColor="text1"/>
            </w:tcBorders>
            <w:shd w:val="clear" w:color="auto" w:fill="C2D69B" w:themeFill="accent3" w:themeFillTint="99"/>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Code :</w:t>
            </w:r>
          </w:p>
        </w:tc>
        <w:tc>
          <w:tcPr>
            <w:tcW w:w="7944" w:type="dxa"/>
            <w:tcBorders>
              <w:top w:val="single" w:sz="18" w:space="0" w:color="000000" w:themeColor="text1"/>
              <w:bottom w:val="single" w:sz="18" w:space="0" w:color="000000" w:themeColor="text1"/>
            </w:tcBorders>
            <w:shd w:val="clear" w:color="auto" w:fill="C2D69B" w:themeFill="accent3" w:themeFillTint="99"/>
            <w:hideMark/>
          </w:tcPr>
          <w:p w:rsidR="00C8284D" w:rsidRPr="006131A6" w:rsidRDefault="00C8284D" w:rsidP="00C8284D">
            <w:pPr>
              <w:spacing w:line="276" w:lineRule="auto"/>
              <w:jc w:val="center"/>
              <w:rPr>
                <w:rFonts w:cstheme="minorHAnsi"/>
                <w:b/>
                <w:bCs/>
                <w:sz w:val="24"/>
                <w:szCs w:val="24"/>
              </w:rPr>
            </w:pPr>
            <w:r w:rsidRPr="006131A6">
              <w:rPr>
                <w:rFonts w:cstheme="minorHAnsi"/>
                <w:b/>
                <w:bCs/>
                <w:sz w:val="24"/>
                <w:szCs w:val="24"/>
              </w:rPr>
              <w:t>NM EN 1018</w:t>
            </w:r>
          </w:p>
        </w:tc>
      </w:tr>
      <w:tr w:rsidR="00C8284D" w:rsidRPr="0043547B" w:rsidTr="006131A6">
        <w:trPr>
          <w:trHeight w:val="315"/>
          <w:jc w:val="center"/>
        </w:trPr>
        <w:tc>
          <w:tcPr>
            <w:tcW w:w="1838" w:type="dxa"/>
            <w:tcBorders>
              <w:top w:val="single" w:sz="18" w:space="0" w:color="000000" w:themeColor="text1"/>
              <w:bottom w:val="single" w:sz="18" w:space="0" w:color="000000" w:themeColor="text1"/>
            </w:tcBorders>
            <w:shd w:val="clear" w:color="auto" w:fill="FFFFCC"/>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Equivalence :</w:t>
            </w:r>
          </w:p>
        </w:tc>
        <w:tc>
          <w:tcPr>
            <w:tcW w:w="7944" w:type="dxa"/>
            <w:tcBorders>
              <w:top w:val="single" w:sz="18" w:space="0" w:color="000000" w:themeColor="text1"/>
              <w:bottom w:val="single" w:sz="18" w:space="0" w:color="000000" w:themeColor="text1"/>
            </w:tcBorders>
            <w:shd w:val="clear" w:color="auto" w:fill="FFFFCC"/>
            <w:hideMark/>
          </w:tcPr>
          <w:p w:rsidR="00C8284D" w:rsidRPr="006131A6" w:rsidRDefault="00C8284D" w:rsidP="00C8284D">
            <w:pPr>
              <w:spacing w:line="276" w:lineRule="auto"/>
              <w:jc w:val="center"/>
              <w:rPr>
                <w:rFonts w:cstheme="minorHAnsi"/>
                <w:b/>
                <w:bCs/>
                <w:sz w:val="24"/>
                <w:szCs w:val="24"/>
              </w:rPr>
            </w:pPr>
            <w:r w:rsidRPr="006131A6">
              <w:rPr>
                <w:rFonts w:cstheme="minorHAnsi"/>
                <w:b/>
                <w:bCs/>
                <w:sz w:val="24"/>
                <w:szCs w:val="24"/>
              </w:rPr>
              <w:t>EN 1018</w:t>
            </w:r>
          </w:p>
        </w:tc>
      </w:tr>
      <w:tr w:rsidR="00C8284D" w:rsidRPr="0043547B" w:rsidTr="006131A6">
        <w:trPr>
          <w:trHeight w:val="543"/>
          <w:jc w:val="center"/>
        </w:trPr>
        <w:tc>
          <w:tcPr>
            <w:tcW w:w="1838" w:type="dxa"/>
            <w:tcBorders>
              <w:top w:val="single" w:sz="18" w:space="0" w:color="000000" w:themeColor="text1"/>
              <w:bottom w:val="single" w:sz="18" w:space="0" w:color="000000" w:themeColor="text1"/>
            </w:tcBorders>
            <w:shd w:val="clear" w:color="auto" w:fill="8DB3E2" w:themeFill="text2" w:themeFillTint="66"/>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Intitulé :</w:t>
            </w:r>
          </w:p>
        </w:tc>
        <w:tc>
          <w:tcPr>
            <w:tcW w:w="7944" w:type="dxa"/>
            <w:tcBorders>
              <w:top w:val="single" w:sz="18" w:space="0" w:color="000000" w:themeColor="text1"/>
              <w:bottom w:val="single" w:sz="18" w:space="0" w:color="000000" w:themeColor="text1"/>
            </w:tcBorders>
            <w:hideMark/>
          </w:tcPr>
          <w:p w:rsidR="00C8284D" w:rsidRPr="006131A6" w:rsidRDefault="00E230DD" w:rsidP="00C8284D">
            <w:pPr>
              <w:jc w:val="both"/>
              <w:rPr>
                <w:rFonts w:cstheme="minorHAnsi"/>
                <w:sz w:val="24"/>
                <w:szCs w:val="24"/>
              </w:rPr>
            </w:pPr>
            <w:r w:rsidRPr="006131A6">
              <w:rPr>
                <w:rFonts w:ascii="Calibri" w:hAnsi="Calibri" w:cs="Calibri"/>
              </w:rPr>
              <w:t xml:space="preserve">Produits chimiques utilisés pour le traitement de l'eau destinée à la consommation humaine - Carbonate de calcium   </w:t>
            </w:r>
          </w:p>
        </w:tc>
      </w:tr>
      <w:tr w:rsidR="00C8284D" w:rsidRPr="0043547B" w:rsidTr="006131A6">
        <w:trPr>
          <w:trHeight w:val="1509"/>
          <w:jc w:val="center"/>
        </w:trPr>
        <w:tc>
          <w:tcPr>
            <w:tcW w:w="1838" w:type="dxa"/>
            <w:tcBorders>
              <w:top w:val="single" w:sz="18" w:space="0" w:color="000000" w:themeColor="text1"/>
              <w:bottom w:val="single" w:sz="18" w:space="0" w:color="000000" w:themeColor="text1"/>
            </w:tcBorders>
            <w:shd w:val="clear" w:color="auto" w:fill="D9D9D9" w:themeFill="background1" w:themeFillShade="D9"/>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Domaine d’application :</w:t>
            </w:r>
          </w:p>
        </w:tc>
        <w:tc>
          <w:tcPr>
            <w:tcW w:w="7944" w:type="dxa"/>
            <w:tcBorders>
              <w:top w:val="single" w:sz="18" w:space="0" w:color="000000" w:themeColor="text1"/>
              <w:bottom w:val="single" w:sz="18" w:space="0" w:color="000000" w:themeColor="text1"/>
            </w:tcBorders>
            <w:hideMark/>
          </w:tcPr>
          <w:p w:rsidR="00C8284D" w:rsidRPr="006131A6" w:rsidRDefault="00E230DD" w:rsidP="00C8284D">
            <w:pPr>
              <w:jc w:val="both"/>
              <w:rPr>
                <w:rFonts w:cstheme="minorHAnsi"/>
                <w:sz w:val="24"/>
                <w:szCs w:val="24"/>
              </w:rPr>
            </w:pPr>
            <w:r w:rsidRPr="006131A6">
              <w:t>La présente Norme européenne est applicable au carbonate de calcium utilisé pour le traitement de l’eau destinée à la consommation humaine. Elle décrit les caractéristiques du carbonate de calcium et spécifie les exigences et les méthodes d’essai correspondant à ce produit. Elle donne des informations pour son emploi dans le traitement de l’eau</w:t>
            </w:r>
          </w:p>
        </w:tc>
      </w:tr>
      <w:tr w:rsidR="00C8284D" w:rsidRPr="0043547B" w:rsidTr="006131A6">
        <w:trPr>
          <w:trHeight w:val="315"/>
          <w:jc w:val="center"/>
        </w:trPr>
        <w:tc>
          <w:tcPr>
            <w:tcW w:w="1838" w:type="dxa"/>
            <w:tcBorders>
              <w:top w:val="single" w:sz="18" w:space="0" w:color="000000" w:themeColor="text1"/>
              <w:bottom w:val="single" w:sz="18" w:space="0" w:color="000000" w:themeColor="text1"/>
            </w:tcBorders>
            <w:shd w:val="clear" w:color="auto" w:fill="C2D69B" w:themeFill="accent3" w:themeFillTint="99"/>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Code :</w:t>
            </w:r>
          </w:p>
        </w:tc>
        <w:tc>
          <w:tcPr>
            <w:tcW w:w="7944" w:type="dxa"/>
            <w:tcBorders>
              <w:top w:val="single" w:sz="18" w:space="0" w:color="000000" w:themeColor="text1"/>
              <w:bottom w:val="single" w:sz="18" w:space="0" w:color="000000" w:themeColor="text1"/>
            </w:tcBorders>
            <w:shd w:val="clear" w:color="auto" w:fill="C2D69B" w:themeFill="accent3" w:themeFillTint="99"/>
            <w:hideMark/>
          </w:tcPr>
          <w:p w:rsidR="00C8284D" w:rsidRPr="006131A6" w:rsidRDefault="00C8284D" w:rsidP="00C8284D">
            <w:pPr>
              <w:spacing w:line="276" w:lineRule="auto"/>
              <w:jc w:val="center"/>
              <w:rPr>
                <w:rFonts w:cstheme="minorHAnsi"/>
                <w:b/>
                <w:bCs/>
                <w:sz w:val="24"/>
                <w:szCs w:val="24"/>
              </w:rPr>
            </w:pPr>
            <w:r w:rsidRPr="006131A6">
              <w:rPr>
                <w:rFonts w:cstheme="minorHAnsi"/>
                <w:b/>
                <w:bCs/>
                <w:sz w:val="24"/>
                <w:szCs w:val="24"/>
              </w:rPr>
              <w:t>NM EN 937</w:t>
            </w:r>
          </w:p>
        </w:tc>
      </w:tr>
      <w:tr w:rsidR="00C8284D" w:rsidRPr="0043547B" w:rsidTr="006131A6">
        <w:trPr>
          <w:trHeight w:val="315"/>
          <w:jc w:val="center"/>
        </w:trPr>
        <w:tc>
          <w:tcPr>
            <w:tcW w:w="1838" w:type="dxa"/>
            <w:tcBorders>
              <w:top w:val="single" w:sz="18" w:space="0" w:color="000000" w:themeColor="text1"/>
              <w:bottom w:val="single" w:sz="18" w:space="0" w:color="000000" w:themeColor="text1"/>
            </w:tcBorders>
            <w:shd w:val="clear" w:color="auto" w:fill="FFFFCC"/>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Equivalence :</w:t>
            </w:r>
          </w:p>
        </w:tc>
        <w:tc>
          <w:tcPr>
            <w:tcW w:w="7944" w:type="dxa"/>
            <w:tcBorders>
              <w:top w:val="single" w:sz="18" w:space="0" w:color="000000" w:themeColor="text1"/>
              <w:bottom w:val="single" w:sz="18" w:space="0" w:color="000000" w:themeColor="text1"/>
            </w:tcBorders>
            <w:shd w:val="clear" w:color="auto" w:fill="FFFFCC"/>
            <w:hideMark/>
          </w:tcPr>
          <w:p w:rsidR="00C8284D" w:rsidRPr="006131A6" w:rsidRDefault="00C8284D" w:rsidP="00C8284D">
            <w:pPr>
              <w:spacing w:line="276" w:lineRule="auto"/>
              <w:jc w:val="center"/>
              <w:rPr>
                <w:rFonts w:cstheme="minorHAnsi"/>
                <w:b/>
                <w:bCs/>
                <w:sz w:val="24"/>
                <w:szCs w:val="24"/>
              </w:rPr>
            </w:pPr>
            <w:r w:rsidRPr="006131A6">
              <w:rPr>
                <w:rFonts w:cstheme="minorHAnsi"/>
                <w:b/>
                <w:bCs/>
                <w:sz w:val="24"/>
                <w:szCs w:val="24"/>
              </w:rPr>
              <w:t>EN 937</w:t>
            </w:r>
          </w:p>
        </w:tc>
      </w:tr>
      <w:tr w:rsidR="00C8284D" w:rsidRPr="0043547B" w:rsidTr="006131A6">
        <w:trPr>
          <w:trHeight w:val="552"/>
          <w:jc w:val="center"/>
        </w:trPr>
        <w:tc>
          <w:tcPr>
            <w:tcW w:w="1838" w:type="dxa"/>
            <w:tcBorders>
              <w:top w:val="single" w:sz="18" w:space="0" w:color="000000" w:themeColor="text1"/>
              <w:bottom w:val="single" w:sz="18" w:space="0" w:color="000000" w:themeColor="text1"/>
            </w:tcBorders>
            <w:shd w:val="clear" w:color="auto" w:fill="8DB3E2" w:themeFill="text2" w:themeFillTint="66"/>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Intitulé :</w:t>
            </w:r>
          </w:p>
        </w:tc>
        <w:tc>
          <w:tcPr>
            <w:tcW w:w="7944" w:type="dxa"/>
            <w:tcBorders>
              <w:top w:val="single" w:sz="18" w:space="0" w:color="000000" w:themeColor="text1"/>
              <w:bottom w:val="single" w:sz="18" w:space="0" w:color="000000" w:themeColor="text1"/>
            </w:tcBorders>
            <w:hideMark/>
          </w:tcPr>
          <w:p w:rsidR="00C8284D" w:rsidRPr="006131A6" w:rsidRDefault="00C8284D" w:rsidP="00C8284D">
            <w:pPr>
              <w:jc w:val="both"/>
              <w:rPr>
                <w:rFonts w:cstheme="minorHAnsi"/>
                <w:sz w:val="24"/>
                <w:szCs w:val="24"/>
              </w:rPr>
            </w:pPr>
            <w:r w:rsidRPr="006131A6">
              <w:rPr>
                <w:rFonts w:cstheme="minorHAnsi"/>
                <w:sz w:val="24"/>
                <w:szCs w:val="24"/>
              </w:rPr>
              <w:t xml:space="preserve">Produits chimiques utilisés pour le traitement de l'eau destinée à la consommation humaine – Chlore  </w:t>
            </w:r>
          </w:p>
        </w:tc>
      </w:tr>
      <w:tr w:rsidR="00C8284D" w:rsidRPr="0043547B" w:rsidTr="006131A6">
        <w:trPr>
          <w:trHeight w:val="1072"/>
          <w:jc w:val="center"/>
        </w:trPr>
        <w:tc>
          <w:tcPr>
            <w:tcW w:w="1838" w:type="dxa"/>
            <w:tcBorders>
              <w:top w:val="single" w:sz="18" w:space="0" w:color="000000" w:themeColor="text1"/>
              <w:bottom w:val="single" w:sz="18" w:space="0" w:color="000000" w:themeColor="text1"/>
            </w:tcBorders>
            <w:shd w:val="clear" w:color="auto" w:fill="D9D9D9" w:themeFill="background1" w:themeFillShade="D9"/>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Domaine d’application :</w:t>
            </w:r>
          </w:p>
        </w:tc>
        <w:tc>
          <w:tcPr>
            <w:tcW w:w="7944" w:type="dxa"/>
            <w:tcBorders>
              <w:top w:val="single" w:sz="18" w:space="0" w:color="000000" w:themeColor="text1"/>
              <w:bottom w:val="single" w:sz="18" w:space="0" w:color="000000" w:themeColor="text1"/>
            </w:tcBorders>
            <w:hideMark/>
          </w:tcPr>
          <w:p w:rsidR="00C8284D" w:rsidRPr="006131A6" w:rsidRDefault="0034104C" w:rsidP="00C8284D">
            <w:pPr>
              <w:jc w:val="both"/>
              <w:rPr>
                <w:rFonts w:cstheme="minorHAnsi"/>
                <w:sz w:val="24"/>
                <w:szCs w:val="24"/>
              </w:rPr>
            </w:pPr>
            <w:r w:rsidRPr="006131A6">
              <w:t>Cette Norme européenne est applicable au chlorure de sodium utilisé uniquement dans l’appareillage de traitement de l’eau destinée à la consommation humaine, pour la régénération des résines échangeuses d’ions. Elle décrit les caractéristiques et spécifie les exigences et les méthodes d’essai correspondantes du chlorure de sodium. Elle donne des informations pour son emploi dans le traitement de l’eau.</w:t>
            </w:r>
          </w:p>
        </w:tc>
      </w:tr>
      <w:tr w:rsidR="00C8284D" w:rsidRPr="0043547B" w:rsidTr="006131A6">
        <w:trPr>
          <w:trHeight w:val="315"/>
          <w:jc w:val="center"/>
        </w:trPr>
        <w:tc>
          <w:tcPr>
            <w:tcW w:w="1838" w:type="dxa"/>
            <w:tcBorders>
              <w:top w:val="single" w:sz="18" w:space="0" w:color="000000" w:themeColor="text1"/>
              <w:bottom w:val="single" w:sz="18" w:space="0" w:color="000000" w:themeColor="text1"/>
            </w:tcBorders>
            <w:shd w:val="clear" w:color="auto" w:fill="C2D69B" w:themeFill="accent3" w:themeFillTint="99"/>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Code :</w:t>
            </w:r>
          </w:p>
        </w:tc>
        <w:tc>
          <w:tcPr>
            <w:tcW w:w="7944" w:type="dxa"/>
            <w:tcBorders>
              <w:top w:val="single" w:sz="18" w:space="0" w:color="000000" w:themeColor="text1"/>
              <w:bottom w:val="single" w:sz="18" w:space="0" w:color="000000" w:themeColor="text1"/>
            </w:tcBorders>
            <w:shd w:val="clear" w:color="auto" w:fill="C2D69B" w:themeFill="accent3" w:themeFillTint="99"/>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NM EN 900</w:t>
            </w:r>
          </w:p>
        </w:tc>
      </w:tr>
      <w:tr w:rsidR="00C8284D" w:rsidRPr="0043547B" w:rsidTr="006131A6">
        <w:trPr>
          <w:trHeight w:val="315"/>
          <w:jc w:val="center"/>
        </w:trPr>
        <w:tc>
          <w:tcPr>
            <w:tcW w:w="1838" w:type="dxa"/>
            <w:tcBorders>
              <w:top w:val="single" w:sz="18" w:space="0" w:color="000000" w:themeColor="text1"/>
              <w:bottom w:val="single" w:sz="18" w:space="0" w:color="000000" w:themeColor="text1"/>
            </w:tcBorders>
            <w:shd w:val="clear" w:color="auto" w:fill="FFFFCC"/>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Equivalence :</w:t>
            </w:r>
          </w:p>
        </w:tc>
        <w:tc>
          <w:tcPr>
            <w:tcW w:w="7944" w:type="dxa"/>
            <w:tcBorders>
              <w:top w:val="single" w:sz="18" w:space="0" w:color="000000" w:themeColor="text1"/>
              <w:bottom w:val="single" w:sz="18" w:space="0" w:color="000000" w:themeColor="text1"/>
            </w:tcBorders>
            <w:shd w:val="clear" w:color="auto" w:fill="FFFFCC"/>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EN 900</w:t>
            </w:r>
          </w:p>
        </w:tc>
      </w:tr>
      <w:tr w:rsidR="00C8284D" w:rsidRPr="0043547B" w:rsidTr="006131A6">
        <w:trPr>
          <w:trHeight w:val="600"/>
          <w:jc w:val="center"/>
        </w:trPr>
        <w:tc>
          <w:tcPr>
            <w:tcW w:w="1838" w:type="dxa"/>
            <w:tcBorders>
              <w:top w:val="single" w:sz="18" w:space="0" w:color="000000" w:themeColor="text1"/>
              <w:bottom w:val="single" w:sz="4" w:space="0" w:color="000000" w:themeColor="text1"/>
            </w:tcBorders>
            <w:shd w:val="clear" w:color="auto" w:fill="8DB3E2" w:themeFill="text2" w:themeFillTint="66"/>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Intitulé :</w:t>
            </w:r>
          </w:p>
        </w:tc>
        <w:tc>
          <w:tcPr>
            <w:tcW w:w="7944" w:type="dxa"/>
            <w:tcBorders>
              <w:top w:val="single" w:sz="18" w:space="0" w:color="000000" w:themeColor="text1"/>
              <w:bottom w:val="single" w:sz="4" w:space="0" w:color="000000" w:themeColor="text1"/>
            </w:tcBorders>
            <w:hideMark/>
          </w:tcPr>
          <w:p w:rsidR="00C8284D" w:rsidRPr="006131A6" w:rsidRDefault="0034104C" w:rsidP="00C8284D">
            <w:pPr>
              <w:jc w:val="both"/>
              <w:rPr>
                <w:rFonts w:cstheme="minorHAnsi"/>
                <w:sz w:val="24"/>
                <w:szCs w:val="24"/>
              </w:rPr>
            </w:pPr>
            <w:r w:rsidRPr="006131A6">
              <w:rPr>
                <w:rFonts w:ascii="Calibri" w:hAnsi="Calibri" w:cs="Calibri"/>
              </w:rPr>
              <w:t xml:space="preserve">Produits chimiques utilisés pour le traitement de l'eau destinée à la consommation humaine - Hypochlorite de calcium    </w:t>
            </w:r>
          </w:p>
        </w:tc>
      </w:tr>
      <w:tr w:rsidR="00C8284D" w:rsidRPr="0043547B" w:rsidTr="002532B1">
        <w:trPr>
          <w:trHeight w:val="1694"/>
          <w:jc w:val="center"/>
        </w:trPr>
        <w:tc>
          <w:tcPr>
            <w:tcW w:w="1838" w:type="dxa"/>
            <w:tcBorders>
              <w:top w:val="single" w:sz="4" w:space="0" w:color="000000" w:themeColor="text1"/>
              <w:bottom w:val="single" w:sz="18" w:space="0" w:color="000000" w:themeColor="text1"/>
            </w:tcBorders>
            <w:shd w:val="clear" w:color="auto" w:fill="D9D9D9" w:themeFill="background1" w:themeFillShade="D9"/>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Domaine d’application :</w:t>
            </w:r>
          </w:p>
        </w:tc>
        <w:tc>
          <w:tcPr>
            <w:tcW w:w="7944" w:type="dxa"/>
            <w:tcBorders>
              <w:top w:val="single" w:sz="4" w:space="0" w:color="000000" w:themeColor="text1"/>
              <w:bottom w:val="single" w:sz="18" w:space="0" w:color="000000" w:themeColor="text1"/>
            </w:tcBorders>
            <w:hideMark/>
          </w:tcPr>
          <w:p w:rsidR="00C8284D" w:rsidRPr="006131A6" w:rsidRDefault="0034104C" w:rsidP="00C8284D">
            <w:pPr>
              <w:jc w:val="both"/>
              <w:rPr>
                <w:rFonts w:cstheme="minorHAnsi"/>
                <w:sz w:val="24"/>
                <w:szCs w:val="24"/>
              </w:rPr>
            </w:pPr>
            <w:r w:rsidRPr="006131A6">
              <w:t>La présente Norme européenne est applicable à l'hypochlorite de calcium utilisé pour le traitement de l'eau destinée à la consommation humaine. Elle décrit les caractéristiques de l'hypochlorite de calcium et spécifie les exigences et les méthodes d'essai correspondant à l'hypochlorite de calcium. Elle donne des informations pour son emploi dans le traitement de l'eau. Elle fixe également les règles relatives à la sécurité d'emploi et de manipulation de l'hypochlorite de calcium (voir Annexe B).</w:t>
            </w:r>
          </w:p>
        </w:tc>
      </w:tr>
      <w:tr w:rsidR="00C8284D" w:rsidRPr="0043547B" w:rsidTr="006131A6">
        <w:trPr>
          <w:trHeight w:val="315"/>
          <w:jc w:val="center"/>
        </w:trPr>
        <w:tc>
          <w:tcPr>
            <w:tcW w:w="1838" w:type="dxa"/>
            <w:tcBorders>
              <w:top w:val="single" w:sz="18" w:space="0" w:color="000000" w:themeColor="text1"/>
              <w:bottom w:val="single" w:sz="18" w:space="0" w:color="000000" w:themeColor="text1"/>
            </w:tcBorders>
            <w:shd w:val="clear" w:color="auto" w:fill="C2D69B" w:themeFill="accent3" w:themeFillTint="99"/>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Code :</w:t>
            </w:r>
          </w:p>
        </w:tc>
        <w:tc>
          <w:tcPr>
            <w:tcW w:w="7944" w:type="dxa"/>
            <w:tcBorders>
              <w:top w:val="single" w:sz="18" w:space="0" w:color="000000" w:themeColor="text1"/>
              <w:bottom w:val="single" w:sz="18" w:space="0" w:color="000000" w:themeColor="text1"/>
            </w:tcBorders>
            <w:shd w:val="clear" w:color="auto" w:fill="C2D69B" w:themeFill="accent3" w:themeFillTint="99"/>
            <w:hideMark/>
          </w:tcPr>
          <w:p w:rsidR="00C8284D" w:rsidRPr="006131A6" w:rsidRDefault="00C8284D" w:rsidP="00C8284D">
            <w:pPr>
              <w:spacing w:line="276" w:lineRule="auto"/>
              <w:jc w:val="center"/>
              <w:rPr>
                <w:rFonts w:cstheme="minorHAnsi"/>
                <w:b/>
                <w:bCs/>
                <w:sz w:val="24"/>
                <w:szCs w:val="24"/>
              </w:rPr>
            </w:pPr>
            <w:r w:rsidRPr="006131A6">
              <w:rPr>
                <w:rFonts w:cstheme="minorHAnsi"/>
                <w:b/>
                <w:bCs/>
                <w:sz w:val="24"/>
                <w:szCs w:val="24"/>
              </w:rPr>
              <w:t>NM EN 901</w:t>
            </w:r>
          </w:p>
        </w:tc>
      </w:tr>
      <w:tr w:rsidR="00C8284D" w:rsidRPr="0043547B" w:rsidTr="006131A6">
        <w:trPr>
          <w:trHeight w:val="315"/>
          <w:jc w:val="center"/>
        </w:trPr>
        <w:tc>
          <w:tcPr>
            <w:tcW w:w="1838" w:type="dxa"/>
            <w:tcBorders>
              <w:top w:val="single" w:sz="18" w:space="0" w:color="000000" w:themeColor="text1"/>
              <w:bottom w:val="single" w:sz="18" w:space="0" w:color="000000" w:themeColor="text1"/>
            </w:tcBorders>
            <w:shd w:val="clear" w:color="auto" w:fill="FFFFCC"/>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Equivalence :</w:t>
            </w:r>
          </w:p>
        </w:tc>
        <w:tc>
          <w:tcPr>
            <w:tcW w:w="7944" w:type="dxa"/>
            <w:tcBorders>
              <w:top w:val="single" w:sz="18" w:space="0" w:color="000000" w:themeColor="text1"/>
              <w:bottom w:val="single" w:sz="18" w:space="0" w:color="000000" w:themeColor="text1"/>
            </w:tcBorders>
            <w:shd w:val="clear" w:color="auto" w:fill="FFFFCC"/>
            <w:hideMark/>
          </w:tcPr>
          <w:p w:rsidR="00C8284D" w:rsidRPr="006131A6" w:rsidRDefault="00C8284D" w:rsidP="00C8284D">
            <w:pPr>
              <w:spacing w:line="276" w:lineRule="auto"/>
              <w:jc w:val="center"/>
              <w:rPr>
                <w:rFonts w:cstheme="minorHAnsi"/>
                <w:b/>
                <w:bCs/>
                <w:sz w:val="24"/>
                <w:szCs w:val="24"/>
              </w:rPr>
            </w:pPr>
            <w:r w:rsidRPr="006131A6">
              <w:rPr>
                <w:rFonts w:cstheme="minorHAnsi"/>
                <w:b/>
                <w:bCs/>
                <w:sz w:val="24"/>
                <w:szCs w:val="24"/>
              </w:rPr>
              <w:t>EN 901</w:t>
            </w:r>
          </w:p>
        </w:tc>
      </w:tr>
      <w:tr w:rsidR="00C8284D" w:rsidRPr="0043547B" w:rsidTr="006131A6">
        <w:trPr>
          <w:trHeight w:val="600"/>
          <w:jc w:val="center"/>
        </w:trPr>
        <w:tc>
          <w:tcPr>
            <w:tcW w:w="1838" w:type="dxa"/>
            <w:tcBorders>
              <w:top w:val="single" w:sz="18" w:space="0" w:color="000000" w:themeColor="text1"/>
              <w:bottom w:val="single" w:sz="4" w:space="0" w:color="000000" w:themeColor="text1"/>
            </w:tcBorders>
            <w:shd w:val="clear" w:color="auto" w:fill="8DB3E2" w:themeFill="text2" w:themeFillTint="66"/>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Intitulé :</w:t>
            </w:r>
          </w:p>
        </w:tc>
        <w:tc>
          <w:tcPr>
            <w:tcW w:w="7944" w:type="dxa"/>
            <w:tcBorders>
              <w:top w:val="single" w:sz="18" w:space="0" w:color="000000" w:themeColor="text1"/>
              <w:bottom w:val="single" w:sz="4" w:space="0" w:color="000000" w:themeColor="text1"/>
            </w:tcBorders>
            <w:hideMark/>
          </w:tcPr>
          <w:p w:rsidR="00C8284D" w:rsidRPr="006131A6" w:rsidRDefault="00C8284D" w:rsidP="00C8284D">
            <w:pPr>
              <w:jc w:val="both"/>
              <w:rPr>
                <w:rFonts w:cstheme="minorHAnsi"/>
                <w:sz w:val="24"/>
                <w:szCs w:val="24"/>
              </w:rPr>
            </w:pPr>
            <w:r w:rsidRPr="006131A6">
              <w:rPr>
                <w:rFonts w:cstheme="minorHAnsi"/>
                <w:sz w:val="24"/>
                <w:szCs w:val="24"/>
              </w:rPr>
              <w:t xml:space="preserve">Produits chimiques utilisés pour le traitement de l’eau destinée à la consommation humaine - hypochlorite de sodium  </w:t>
            </w:r>
          </w:p>
        </w:tc>
      </w:tr>
      <w:tr w:rsidR="00C8284D" w:rsidRPr="0043547B" w:rsidTr="002532B1">
        <w:trPr>
          <w:trHeight w:val="2345"/>
          <w:jc w:val="center"/>
        </w:trPr>
        <w:tc>
          <w:tcPr>
            <w:tcW w:w="1838" w:type="dxa"/>
            <w:tcBorders>
              <w:top w:val="single" w:sz="4" w:space="0" w:color="000000" w:themeColor="text1"/>
              <w:bottom w:val="single" w:sz="18" w:space="0" w:color="000000" w:themeColor="text1"/>
            </w:tcBorders>
            <w:shd w:val="clear" w:color="auto" w:fill="D9D9D9" w:themeFill="background1" w:themeFillShade="D9"/>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lastRenderedPageBreak/>
              <w:t>Domaine d’application :</w:t>
            </w:r>
          </w:p>
        </w:tc>
        <w:tc>
          <w:tcPr>
            <w:tcW w:w="7944" w:type="dxa"/>
            <w:tcBorders>
              <w:top w:val="single" w:sz="4" w:space="0" w:color="000000" w:themeColor="text1"/>
              <w:bottom w:val="single" w:sz="18" w:space="0" w:color="000000" w:themeColor="text1"/>
            </w:tcBorders>
            <w:hideMark/>
          </w:tcPr>
          <w:p w:rsidR="00C8284D" w:rsidRPr="006131A6" w:rsidRDefault="00C8284D" w:rsidP="00C8284D">
            <w:pPr>
              <w:jc w:val="both"/>
              <w:rPr>
                <w:rFonts w:cstheme="minorHAnsi"/>
                <w:sz w:val="24"/>
                <w:szCs w:val="24"/>
              </w:rPr>
            </w:pPr>
            <w:r w:rsidRPr="006131A6">
              <w:rPr>
                <w:rFonts w:cstheme="minorHAnsi"/>
                <w:sz w:val="24"/>
                <w:szCs w:val="24"/>
              </w:rPr>
              <w:t>La présente Norme marocaine s’applique à l’hypochlorite de sodium utilisé pour le traitement de l’eau destinée à la consommation humaine. Elle décrit les caractéristiques de l’hypochlorite de sodium et spécifie les exigences et les méthodes d’essais correspondantes applicables à l’hypochlorite de sodium. Elle donne les informations pour son emploi dans le traitement de l'eau. Elle fixe également les règles relatives à la sécurité d'emploi et de manipulation (voir Annexe B).</w:t>
            </w:r>
          </w:p>
          <w:p w:rsidR="00C8284D" w:rsidRPr="006131A6" w:rsidRDefault="00C8284D" w:rsidP="00C8284D">
            <w:pPr>
              <w:jc w:val="both"/>
              <w:rPr>
                <w:rFonts w:cstheme="minorHAnsi"/>
                <w:i/>
                <w:iCs/>
                <w:sz w:val="24"/>
                <w:szCs w:val="24"/>
              </w:rPr>
            </w:pPr>
            <w:r w:rsidRPr="006131A6">
              <w:rPr>
                <w:rFonts w:cstheme="minorHAnsi"/>
                <w:b/>
                <w:bCs/>
                <w:i/>
                <w:iCs/>
              </w:rPr>
              <w:t>NOTE</w:t>
            </w:r>
            <w:r w:rsidRPr="006131A6">
              <w:rPr>
                <w:rFonts w:cstheme="minorHAnsi"/>
                <w:i/>
                <w:iCs/>
              </w:rPr>
              <w:t> : Bien que la présente norme ne s’applique pas à l’hypochlorite de sodium généré in situ (voir la référence bibliographique [7]), les limites pour les impuretés et les paramètres chimiques s’appliquent.</w:t>
            </w:r>
          </w:p>
        </w:tc>
      </w:tr>
      <w:tr w:rsidR="00C8284D" w:rsidRPr="0043547B" w:rsidTr="006131A6">
        <w:trPr>
          <w:trHeight w:val="315"/>
          <w:jc w:val="center"/>
        </w:trPr>
        <w:tc>
          <w:tcPr>
            <w:tcW w:w="1838" w:type="dxa"/>
            <w:tcBorders>
              <w:top w:val="single" w:sz="18" w:space="0" w:color="000000" w:themeColor="text1"/>
              <w:bottom w:val="single" w:sz="18" w:space="0" w:color="000000" w:themeColor="text1"/>
            </w:tcBorders>
            <w:shd w:val="clear" w:color="auto" w:fill="C2D69B" w:themeFill="accent3" w:themeFillTint="99"/>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Code :</w:t>
            </w:r>
          </w:p>
        </w:tc>
        <w:tc>
          <w:tcPr>
            <w:tcW w:w="7944" w:type="dxa"/>
            <w:tcBorders>
              <w:top w:val="single" w:sz="18" w:space="0" w:color="000000" w:themeColor="text1"/>
              <w:bottom w:val="single" w:sz="18" w:space="0" w:color="000000" w:themeColor="text1"/>
            </w:tcBorders>
            <w:shd w:val="clear" w:color="auto" w:fill="C2D69B" w:themeFill="accent3" w:themeFillTint="99"/>
            <w:hideMark/>
          </w:tcPr>
          <w:p w:rsidR="00C8284D" w:rsidRPr="006131A6" w:rsidRDefault="00C8284D" w:rsidP="00C8284D">
            <w:pPr>
              <w:spacing w:line="276" w:lineRule="auto"/>
              <w:jc w:val="center"/>
              <w:rPr>
                <w:rFonts w:cstheme="minorHAnsi"/>
                <w:b/>
                <w:bCs/>
                <w:sz w:val="24"/>
                <w:szCs w:val="24"/>
              </w:rPr>
            </w:pPr>
            <w:r w:rsidRPr="006131A6">
              <w:rPr>
                <w:rFonts w:cstheme="minorHAnsi"/>
                <w:b/>
                <w:bCs/>
                <w:sz w:val="24"/>
                <w:szCs w:val="24"/>
              </w:rPr>
              <w:t xml:space="preserve">NM EN 938 </w:t>
            </w:r>
          </w:p>
        </w:tc>
      </w:tr>
      <w:tr w:rsidR="00C8284D" w:rsidRPr="0043547B" w:rsidTr="006131A6">
        <w:trPr>
          <w:trHeight w:val="315"/>
          <w:jc w:val="center"/>
        </w:trPr>
        <w:tc>
          <w:tcPr>
            <w:tcW w:w="1838" w:type="dxa"/>
            <w:tcBorders>
              <w:top w:val="single" w:sz="18" w:space="0" w:color="000000" w:themeColor="text1"/>
              <w:bottom w:val="single" w:sz="18" w:space="0" w:color="000000" w:themeColor="text1"/>
            </w:tcBorders>
            <w:shd w:val="clear" w:color="auto" w:fill="FFFFCC"/>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Equivalence :</w:t>
            </w:r>
          </w:p>
        </w:tc>
        <w:tc>
          <w:tcPr>
            <w:tcW w:w="7944" w:type="dxa"/>
            <w:tcBorders>
              <w:top w:val="single" w:sz="18" w:space="0" w:color="000000" w:themeColor="text1"/>
              <w:bottom w:val="single" w:sz="18" w:space="0" w:color="000000" w:themeColor="text1"/>
            </w:tcBorders>
            <w:shd w:val="clear" w:color="auto" w:fill="FFFFCC"/>
            <w:hideMark/>
          </w:tcPr>
          <w:p w:rsidR="00C8284D" w:rsidRPr="006131A6" w:rsidRDefault="00C8284D" w:rsidP="00C8284D">
            <w:pPr>
              <w:spacing w:line="276" w:lineRule="auto"/>
              <w:jc w:val="center"/>
              <w:rPr>
                <w:rFonts w:cstheme="minorHAnsi"/>
                <w:b/>
                <w:bCs/>
                <w:sz w:val="24"/>
                <w:szCs w:val="24"/>
              </w:rPr>
            </w:pPr>
            <w:r w:rsidRPr="006131A6">
              <w:rPr>
                <w:rFonts w:cstheme="minorHAnsi"/>
                <w:b/>
                <w:bCs/>
                <w:sz w:val="24"/>
                <w:szCs w:val="24"/>
              </w:rPr>
              <w:t xml:space="preserve">EN 938 </w:t>
            </w:r>
          </w:p>
        </w:tc>
      </w:tr>
      <w:tr w:rsidR="00C8284D" w:rsidRPr="0043547B" w:rsidTr="006131A6">
        <w:trPr>
          <w:trHeight w:val="600"/>
          <w:jc w:val="center"/>
        </w:trPr>
        <w:tc>
          <w:tcPr>
            <w:tcW w:w="1838" w:type="dxa"/>
            <w:tcBorders>
              <w:top w:val="single" w:sz="18" w:space="0" w:color="000000" w:themeColor="text1"/>
              <w:bottom w:val="single" w:sz="4" w:space="0" w:color="000000" w:themeColor="text1"/>
            </w:tcBorders>
            <w:shd w:val="clear" w:color="auto" w:fill="8DB3E2" w:themeFill="text2" w:themeFillTint="66"/>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Intitulé :</w:t>
            </w:r>
          </w:p>
        </w:tc>
        <w:tc>
          <w:tcPr>
            <w:tcW w:w="7944" w:type="dxa"/>
            <w:tcBorders>
              <w:top w:val="single" w:sz="18" w:space="0" w:color="000000" w:themeColor="text1"/>
              <w:bottom w:val="single" w:sz="4" w:space="0" w:color="000000" w:themeColor="text1"/>
            </w:tcBorders>
            <w:hideMark/>
          </w:tcPr>
          <w:p w:rsidR="00C8284D" w:rsidRPr="006131A6" w:rsidRDefault="00C8284D" w:rsidP="00C8284D">
            <w:pPr>
              <w:jc w:val="both"/>
              <w:rPr>
                <w:rFonts w:cstheme="minorHAnsi"/>
                <w:sz w:val="24"/>
                <w:szCs w:val="24"/>
              </w:rPr>
            </w:pPr>
            <w:r w:rsidRPr="006131A6">
              <w:rPr>
                <w:rFonts w:cstheme="minorHAnsi"/>
                <w:sz w:val="24"/>
                <w:szCs w:val="24"/>
              </w:rPr>
              <w:t xml:space="preserve">Produits chimiques utilisés pour le traitement de l'eau destinée à la consommation humaine - Chlorite de sodium   </w:t>
            </w:r>
          </w:p>
        </w:tc>
      </w:tr>
      <w:tr w:rsidR="00C8284D" w:rsidRPr="0043547B" w:rsidTr="009F7DF4">
        <w:trPr>
          <w:trHeight w:val="1290"/>
          <w:jc w:val="center"/>
        </w:trPr>
        <w:tc>
          <w:tcPr>
            <w:tcW w:w="1838" w:type="dxa"/>
            <w:tcBorders>
              <w:top w:val="single" w:sz="4" w:space="0" w:color="000000" w:themeColor="text1"/>
              <w:bottom w:val="single" w:sz="18" w:space="0" w:color="000000" w:themeColor="text1"/>
            </w:tcBorders>
            <w:shd w:val="clear" w:color="auto" w:fill="D9D9D9" w:themeFill="background1" w:themeFillShade="D9"/>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Domaine d’application :</w:t>
            </w:r>
          </w:p>
        </w:tc>
        <w:tc>
          <w:tcPr>
            <w:tcW w:w="7944" w:type="dxa"/>
            <w:tcBorders>
              <w:top w:val="single" w:sz="4" w:space="0" w:color="000000" w:themeColor="text1"/>
              <w:bottom w:val="single" w:sz="18" w:space="0" w:color="000000" w:themeColor="text1"/>
            </w:tcBorders>
            <w:hideMark/>
          </w:tcPr>
          <w:p w:rsidR="00C8284D" w:rsidRPr="006131A6" w:rsidRDefault="0060717A" w:rsidP="00C8284D">
            <w:pPr>
              <w:jc w:val="both"/>
              <w:rPr>
                <w:rFonts w:cstheme="minorHAnsi"/>
                <w:sz w:val="24"/>
                <w:szCs w:val="24"/>
              </w:rPr>
            </w:pPr>
            <w:r w:rsidRPr="006131A6">
              <w:t>La présente Norme européenne s’applique au chlorite de sodium utilisé pour le traitement de l’eau destinée à la consommation humaine. Elle décrit les caractéristiques du chlorite de sodium et spécifie les exigences et les méthodes d’essai correspondantes. Elle donne des informations sur son emploi pour le traitement de l’eau.</w:t>
            </w:r>
          </w:p>
        </w:tc>
      </w:tr>
      <w:tr w:rsidR="00C8284D" w:rsidRPr="0043547B" w:rsidTr="006131A6">
        <w:trPr>
          <w:trHeight w:val="315"/>
          <w:jc w:val="center"/>
        </w:trPr>
        <w:tc>
          <w:tcPr>
            <w:tcW w:w="1838" w:type="dxa"/>
            <w:tcBorders>
              <w:top w:val="single" w:sz="18" w:space="0" w:color="000000" w:themeColor="text1"/>
              <w:bottom w:val="single" w:sz="18" w:space="0" w:color="000000" w:themeColor="text1"/>
            </w:tcBorders>
            <w:shd w:val="clear" w:color="auto" w:fill="C2D69B" w:themeFill="accent3" w:themeFillTint="99"/>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Code :</w:t>
            </w:r>
          </w:p>
        </w:tc>
        <w:tc>
          <w:tcPr>
            <w:tcW w:w="7944" w:type="dxa"/>
            <w:tcBorders>
              <w:top w:val="single" w:sz="18" w:space="0" w:color="000000" w:themeColor="text1"/>
              <w:bottom w:val="single" w:sz="18" w:space="0" w:color="000000" w:themeColor="text1"/>
            </w:tcBorders>
            <w:shd w:val="clear" w:color="auto" w:fill="C2D69B" w:themeFill="accent3" w:themeFillTint="99"/>
            <w:hideMark/>
          </w:tcPr>
          <w:p w:rsidR="00C8284D" w:rsidRPr="006131A6" w:rsidRDefault="00C8284D" w:rsidP="00C8284D">
            <w:pPr>
              <w:spacing w:line="276" w:lineRule="auto"/>
              <w:jc w:val="center"/>
              <w:rPr>
                <w:rFonts w:cstheme="minorHAnsi"/>
                <w:b/>
                <w:bCs/>
                <w:sz w:val="24"/>
                <w:szCs w:val="24"/>
              </w:rPr>
            </w:pPr>
            <w:r w:rsidRPr="006131A6">
              <w:rPr>
                <w:rFonts w:cstheme="minorHAnsi"/>
                <w:b/>
                <w:bCs/>
                <w:sz w:val="24"/>
                <w:szCs w:val="24"/>
              </w:rPr>
              <w:t>NM EN 939</w:t>
            </w:r>
          </w:p>
        </w:tc>
      </w:tr>
      <w:tr w:rsidR="00C8284D" w:rsidRPr="0043547B" w:rsidTr="006131A6">
        <w:trPr>
          <w:trHeight w:val="315"/>
          <w:jc w:val="center"/>
        </w:trPr>
        <w:tc>
          <w:tcPr>
            <w:tcW w:w="1838" w:type="dxa"/>
            <w:tcBorders>
              <w:top w:val="single" w:sz="18" w:space="0" w:color="000000" w:themeColor="text1"/>
              <w:bottom w:val="single" w:sz="18" w:space="0" w:color="000000" w:themeColor="text1"/>
            </w:tcBorders>
            <w:shd w:val="clear" w:color="auto" w:fill="FFFFCC"/>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Equivalence :</w:t>
            </w:r>
          </w:p>
        </w:tc>
        <w:tc>
          <w:tcPr>
            <w:tcW w:w="7944" w:type="dxa"/>
            <w:tcBorders>
              <w:top w:val="single" w:sz="18" w:space="0" w:color="000000" w:themeColor="text1"/>
              <w:bottom w:val="single" w:sz="18" w:space="0" w:color="000000" w:themeColor="text1"/>
            </w:tcBorders>
            <w:shd w:val="clear" w:color="auto" w:fill="FFFFCC"/>
            <w:hideMark/>
          </w:tcPr>
          <w:p w:rsidR="00C8284D" w:rsidRPr="006131A6" w:rsidRDefault="00C8284D" w:rsidP="00C8284D">
            <w:pPr>
              <w:spacing w:line="276" w:lineRule="auto"/>
              <w:jc w:val="center"/>
              <w:rPr>
                <w:rFonts w:cstheme="minorHAnsi"/>
                <w:b/>
                <w:bCs/>
                <w:sz w:val="24"/>
                <w:szCs w:val="24"/>
              </w:rPr>
            </w:pPr>
            <w:r w:rsidRPr="006131A6">
              <w:rPr>
                <w:rFonts w:cstheme="minorHAnsi"/>
                <w:b/>
                <w:bCs/>
                <w:sz w:val="24"/>
                <w:szCs w:val="24"/>
              </w:rPr>
              <w:t>EN 939</w:t>
            </w:r>
          </w:p>
        </w:tc>
      </w:tr>
      <w:tr w:rsidR="00C8284D" w:rsidRPr="0043547B" w:rsidTr="006131A6">
        <w:trPr>
          <w:trHeight w:val="600"/>
          <w:jc w:val="center"/>
        </w:trPr>
        <w:tc>
          <w:tcPr>
            <w:tcW w:w="1838" w:type="dxa"/>
            <w:tcBorders>
              <w:top w:val="single" w:sz="18" w:space="0" w:color="000000" w:themeColor="text1"/>
              <w:bottom w:val="single" w:sz="4" w:space="0" w:color="000000" w:themeColor="text1"/>
            </w:tcBorders>
            <w:shd w:val="clear" w:color="auto" w:fill="8DB3E2" w:themeFill="text2" w:themeFillTint="66"/>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Intitulé :</w:t>
            </w:r>
          </w:p>
        </w:tc>
        <w:tc>
          <w:tcPr>
            <w:tcW w:w="7944" w:type="dxa"/>
            <w:tcBorders>
              <w:top w:val="single" w:sz="18" w:space="0" w:color="000000" w:themeColor="text1"/>
              <w:bottom w:val="single" w:sz="4" w:space="0" w:color="000000" w:themeColor="text1"/>
            </w:tcBorders>
            <w:hideMark/>
          </w:tcPr>
          <w:p w:rsidR="00C8284D" w:rsidRPr="006131A6" w:rsidRDefault="00C8284D" w:rsidP="00C8284D">
            <w:pPr>
              <w:jc w:val="both"/>
              <w:rPr>
                <w:rFonts w:cstheme="minorHAnsi"/>
                <w:sz w:val="24"/>
                <w:szCs w:val="24"/>
              </w:rPr>
            </w:pPr>
            <w:r w:rsidRPr="006131A6">
              <w:rPr>
                <w:rFonts w:cstheme="minorHAnsi"/>
                <w:sz w:val="24"/>
                <w:szCs w:val="24"/>
              </w:rPr>
              <w:t xml:space="preserve">Produits chimiques utilisés pour le traitement de l'eau destinée à la consommation humaine - Acide chlorhydrique   </w:t>
            </w:r>
          </w:p>
        </w:tc>
      </w:tr>
      <w:tr w:rsidR="00C8284D" w:rsidRPr="0043547B" w:rsidTr="009B7921">
        <w:trPr>
          <w:trHeight w:val="559"/>
          <w:jc w:val="center"/>
        </w:trPr>
        <w:tc>
          <w:tcPr>
            <w:tcW w:w="1838" w:type="dxa"/>
            <w:tcBorders>
              <w:top w:val="single" w:sz="4" w:space="0" w:color="000000" w:themeColor="text1"/>
              <w:bottom w:val="single" w:sz="18" w:space="0" w:color="000000" w:themeColor="text1"/>
            </w:tcBorders>
            <w:shd w:val="clear" w:color="auto" w:fill="D9D9D9" w:themeFill="background1" w:themeFillShade="D9"/>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Domaine d’application :</w:t>
            </w:r>
          </w:p>
        </w:tc>
        <w:tc>
          <w:tcPr>
            <w:tcW w:w="7944" w:type="dxa"/>
            <w:tcBorders>
              <w:top w:val="single" w:sz="4" w:space="0" w:color="000000" w:themeColor="text1"/>
              <w:bottom w:val="single" w:sz="18" w:space="0" w:color="000000" w:themeColor="text1"/>
            </w:tcBorders>
            <w:hideMark/>
          </w:tcPr>
          <w:p w:rsidR="00C8284D" w:rsidRPr="006131A6" w:rsidRDefault="0060717A" w:rsidP="0060717A">
            <w:pPr>
              <w:jc w:val="both"/>
              <w:rPr>
                <w:rFonts w:cstheme="minorHAnsi"/>
                <w:sz w:val="24"/>
                <w:szCs w:val="24"/>
              </w:rPr>
            </w:pPr>
            <w:r w:rsidRPr="006131A6">
              <w:t>La présente Norme européenne s’applique à l’acide chlorhydrique utilisé pour le traitement de l’eau destinée à la consommation humaine. Elle décrit les caractéristiques de l’acide chlorhydrique et spécifie les exigences et les méthodes d’essai correspondantes. Elle donne des informations sur son emploi pour le traitement de l’eau (voir l’Annexe A). Elle définit également les règles relatives aux précautions d’emploi et de manipulation de l’acide chlorhydrique .</w:t>
            </w:r>
          </w:p>
        </w:tc>
      </w:tr>
      <w:tr w:rsidR="00C8284D" w:rsidRPr="0043547B" w:rsidTr="006131A6">
        <w:trPr>
          <w:trHeight w:val="315"/>
          <w:jc w:val="center"/>
        </w:trPr>
        <w:tc>
          <w:tcPr>
            <w:tcW w:w="1838" w:type="dxa"/>
            <w:tcBorders>
              <w:top w:val="single" w:sz="18" w:space="0" w:color="000000" w:themeColor="text1"/>
              <w:bottom w:val="single" w:sz="18" w:space="0" w:color="000000" w:themeColor="text1"/>
            </w:tcBorders>
            <w:shd w:val="clear" w:color="auto" w:fill="C2D69B" w:themeFill="accent3" w:themeFillTint="99"/>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Code :</w:t>
            </w:r>
          </w:p>
        </w:tc>
        <w:tc>
          <w:tcPr>
            <w:tcW w:w="7944" w:type="dxa"/>
            <w:tcBorders>
              <w:top w:val="single" w:sz="18" w:space="0" w:color="000000" w:themeColor="text1"/>
              <w:bottom w:val="single" w:sz="18" w:space="0" w:color="000000" w:themeColor="text1"/>
            </w:tcBorders>
            <w:shd w:val="clear" w:color="auto" w:fill="C2D69B" w:themeFill="accent3" w:themeFillTint="99"/>
            <w:hideMark/>
          </w:tcPr>
          <w:p w:rsidR="00C8284D" w:rsidRPr="006131A6" w:rsidRDefault="00C8284D" w:rsidP="00C8284D">
            <w:pPr>
              <w:spacing w:line="276" w:lineRule="auto"/>
              <w:jc w:val="center"/>
              <w:rPr>
                <w:rFonts w:cstheme="minorHAnsi"/>
                <w:b/>
                <w:bCs/>
                <w:sz w:val="24"/>
                <w:szCs w:val="24"/>
              </w:rPr>
            </w:pPr>
            <w:r w:rsidRPr="006131A6">
              <w:rPr>
                <w:rFonts w:cstheme="minorHAnsi"/>
                <w:b/>
                <w:bCs/>
                <w:sz w:val="24"/>
                <w:szCs w:val="24"/>
              </w:rPr>
              <w:t>NM EN 902</w:t>
            </w:r>
          </w:p>
        </w:tc>
      </w:tr>
      <w:tr w:rsidR="00C8284D" w:rsidRPr="0043547B" w:rsidTr="006131A6">
        <w:trPr>
          <w:trHeight w:val="315"/>
          <w:jc w:val="center"/>
        </w:trPr>
        <w:tc>
          <w:tcPr>
            <w:tcW w:w="1838" w:type="dxa"/>
            <w:tcBorders>
              <w:top w:val="single" w:sz="18" w:space="0" w:color="000000" w:themeColor="text1"/>
              <w:bottom w:val="single" w:sz="18" w:space="0" w:color="000000" w:themeColor="text1"/>
            </w:tcBorders>
            <w:shd w:val="clear" w:color="auto" w:fill="FFFFCC"/>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Equivalence :</w:t>
            </w:r>
          </w:p>
        </w:tc>
        <w:tc>
          <w:tcPr>
            <w:tcW w:w="7944" w:type="dxa"/>
            <w:tcBorders>
              <w:top w:val="single" w:sz="18" w:space="0" w:color="000000" w:themeColor="text1"/>
              <w:bottom w:val="single" w:sz="18" w:space="0" w:color="000000" w:themeColor="text1"/>
            </w:tcBorders>
            <w:shd w:val="clear" w:color="auto" w:fill="FFFFCC"/>
            <w:hideMark/>
          </w:tcPr>
          <w:p w:rsidR="00C8284D" w:rsidRPr="006131A6" w:rsidRDefault="00C8284D" w:rsidP="00C8284D">
            <w:pPr>
              <w:spacing w:line="276" w:lineRule="auto"/>
              <w:jc w:val="center"/>
              <w:rPr>
                <w:rFonts w:cstheme="minorHAnsi"/>
                <w:b/>
                <w:bCs/>
                <w:sz w:val="24"/>
                <w:szCs w:val="24"/>
              </w:rPr>
            </w:pPr>
            <w:r w:rsidRPr="006131A6">
              <w:rPr>
                <w:rFonts w:cstheme="minorHAnsi"/>
                <w:b/>
                <w:bCs/>
                <w:sz w:val="24"/>
                <w:szCs w:val="24"/>
              </w:rPr>
              <w:t>EN 902</w:t>
            </w:r>
          </w:p>
        </w:tc>
      </w:tr>
      <w:tr w:rsidR="00C8284D" w:rsidRPr="0043547B" w:rsidTr="006131A6">
        <w:trPr>
          <w:trHeight w:val="600"/>
          <w:jc w:val="center"/>
        </w:trPr>
        <w:tc>
          <w:tcPr>
            <w:tcW w:w="1838" w:type="dxa"/>
            <w:tcBorders>
              <w:top w:val="single" w:sz="18" w:space="0" w:color="000000" w:themeColor="text1"/>
              <w:bottom w:val="single" w:sz="4" w:space="0" w:color="000000" w:themeColor="text1"/>
            </w:tcBorders>
            <w:shd w:val="clear" w:color="auto" w:fill="8DB3E2" w:themeFill="text2" w:themeFillTint="66"/>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Intitulé :</w:t>
            </w:r>
          </w:p>
        </w:tc>
        <w:tc>
          <w:tcPr>
            <w:tcW w:w="7944" w:type="dxa"/>
            <w:tcBorders>
              <w:top w:val="single" w:sz="18" w:space="0" w:color="000000" w:themeColor="text1"/>
              <w:bottom w:val="single" w:sz="4" w:space="0" w:color="000000" w:themeColor="text1"/>
            </w:tcBorders>
            <w:hideMark/>
          </w:tcPr>
          <w:p w:rsidR="00C8284D" w:rsidRPr="006131A6" w:rsidRDefault="00C8284D" w:rsidP="00C8284D">
            <w:pPr>
              <w:jc w:val="both"/>
              <w:rPr>
                <w:rFonts w:cstheme="minorHAnsi"/>
                <w:sz w:val="24"/>
                <w:szCs w:val="24"/>
              </w:rPr>
            </w:pPr>
            <w:r w:rsidRPr="006131A6">
              <w:rPr>
                <w:rFonts w:cstheme="minorHAnsi"/>
                <w:sz w:val="24"/>
                <w:szCs w:val="24"/>
              </w:rPr>
              <w:t xml:space="preserve">Produits chimiques utilisés pour le traitement de l'eau destinée à la consommation humaine - Peroxyde d'hydrogène   </w:t>
            </w:r>
          </w:p>
        </w:tc>
      </w:tr>
      <w:tr w:rsidR="00C8284D" w:rsidRPr="0043547B" w:rsidTr="006131A6">
        <w:trPr>
          <w:trHeight w:val="559"/>
          <w:jc w:val="center"/>
        </w:trPr>
        <w:tc>
          <w:tcPr>
            <w:tcW w:w="1838" w:type="dxa"/>
            <w:tcBorders>
              <w:top w:val="single" w:sz="4" w:space="0" w:color="000000" w:themeColor="text1"/>
              <w:bottom w:val="single" w:sz="18" w:space="0" w:color="000000" w:themeColor="text1"/>
            </w:tcBorders>
            <w:shd w:val="clear" w:color="auto" w:fill="D9D9D9" w:themeFill="background1" w:themeFillShade="D9"/>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Domaine d’application :</w:t>
            </w:r>
          </w:p>
        </w:tc>
        <w:tc>
          <w:tcPr>
            <w:tcW w:w="7944" w:type="dxa"/>
            <w:tcBorders>
              <w:top w:val="single" w:sz="4" w:space="0" w:color="000000" w:themeColor="text1"/>
              <w:bottom w:val="single" w:sz="18" w:space="0" w:color="000000" w:themeColor="text1"/>
            </w:tcBorders>
            <w:hideMark/>
          </w:tcPr>
          <w:p w:rsidR="00C8284D" w:rsidRPr="0060717A" w:rsidRDefault="0060717A" w:rsidP="00C8284D">
            <w:pPr>
              <w:jc w:val="both"/>
              <w:rPr>
                <w:rFonts w:cstheme="minorHAnsi"/>
                <w:color w:val="FF0000"/>
                <w:sz w:val="24"/>
                <w:szCs w:val="24"/>
              </w:rPr>
            </w:pPr>
            <w:r w:rsidRPr="006131A6">
              <w:t>La présente Norme européenne s’applique uniquement au peroxyde d’hydrogène et ne s’applique pas aux mélanges avec d’autres substances chimiques utilisées pour le traitement de l’eau destinée à la consommation humaine. Il décrit les caractéristiques du peroxyde d’hydrogène et spécifie les exigences et les méthodes d’essai correspondantes. Il donne des informations sur son emploi pour le traitement de l’eau. Il définit également les règles relatives aux précautions d’emploi et de manipulation.</w:t>
            </w:r>
          </w:p>
        </w:tc>
      </w:tr>
      <w:tr w:rsidR="00C8284D" w:rsidRPr="0043547B" w:rsidTr="008F049B">
        <w:trPr>
          <w:trHeight w:val="315"/>
          <w:jc w:val="center"/>
        </w:trPr>
        <w:tc>
          <w:tcPr>
            <w:tcW w:w="1838" w:type="dxa"/>
            <w:tcBorders>
              <w:top w:val="single" w:sz="18" w:space="0" w:color="000000" w:themeColor="text1"/>
              <w:bottom w:val="single" w:sz="18" w:space="0" w:color="000000" w:themeColor="text1"/>
            </w:tcBorders>
            <w:shd w:val="clear" w:color="auto" w:fill="C2D69B" w:themeFill="accent3" w:themeFillTint="99"/>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Code :</w:t>
            </w:r>
          </w:p>
        </w:tc>
        <w:tc>
          <w:tcPr>
            <w:tcW w:w="7944" w:type="dxa"/>
            <w:tcBorders>
              <w:top w:val="single" w:sz="18" w:space="0" w:color="000000" w:themeColor="text1"/>
              <w:bottom w:val="single" w:sz="18" w:space="0" w:color="000000" w:themeColor="text1"/>
            </w:tcBorders>
            <w:shd w:val="clear" w:color="auto" w:fill="C2D69B" w:themeFill="accent3" w:themeFillTint="99"/>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NM EN 1278</w:t>
            </w:r>
          </w:p>
        </w:tc>
      </w:tr>
      <w:tr w:rsidR="00C8284D" w:rsidRPr="0043547B" w:rsidTr="008F049B">
        <w:trPr>
          <w:trHeight w:val="315"/>
          <w:jc w:val="center"/>
        </w:trPr>
        <w:tc>
          <w:tcPr>
            <w:tcW w:w="1838" w:type="dxa"/>
            <w:tcBorders>
              <w:top w:val="single" w:sz="18" w:space="0" w:color="000000" w:themeColor="text1"/>
            </w:tcBorders>
            <w:shd w:val="clear" w:color="auto" w:fill="FFFFCC"/>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Equivalence :</w:t>
            </w:r>
          </w:p>
        </w:tc>
        <w:tc>
          <w:tcPr>
            <w:tcW w:w="7944" w:type="dxa"/>
            <w:tcBorders>
              <w:top w:val="single" w:sz="18" w:space="0" w:color="000000" w:themeColor="text1"/>
            </w:tcBorders>
            <w:shd w:val="clear" w:color="auto" w:fill="FFFFCC"/>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EN 1278</w:t>
            </w:r>
          </w:p>
        </w:tc>
      </w:tr>
      <w:tr w:rsidR="00C8284D" w:rsidRPr="0043547B" w:rsidTr="009F7DF4">
        <w:trPr>
          <w:trHeight w:val="600"/>
          <w:jc w:val="center"/>
        </w:trPr>
        <w:tc>
          <w:tcPr>
            <w:tcW w:w="1838" w:type="dxa"/>
            <w:tcBorders>
              <w:bottom w:val="single" w:sz="4" w:space="0" w:color="000000" w:themeColor="text1"/>
            </w:tcBorders>
            <w:shd w:val="clear" w:color="auto" w:fill="8DB3E2" w:themeFill="text2" w:themeFillTint="66"/>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Intitulé :</w:t>
            </w:r>
          </w:p>
        </w:tc>
        <w:tc>
          <w:tcPr>
            <w:tcW w:w="7944" w:type="dxa"/>
            <w:tcBorders>
              <w:bottom w:val="single" w:sz="4"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 xml:space="preserve">Produits chimiques utilisés pour le traitement de l'eau destinée à la consommation humaine – Ozone  </w:t>
            </w:r>
          </w:p>
        </w:tc>
      </w:tr>
      <w:tr w:rsidR="00C8284D" w:rsidRPr="0043547B" w:rsidTr="002532B1">
        <w:trPr>
          <w:trHeight w:val="1059"/>
          <w:jc w:val="center"/>
        </w:trPr>
        <w:tc>
          <w:tcPr>
            <w:tcW w:w="1838" w:type="dxa"/>
            <w:tcBorders>
              <w:top w:val="single" w:sz="4" w:space="0" w:color="000000" w:themeColor="text1"/>
              <w:bottom w:val="single" w:sz="18" w:space="0" w:color="000000" w:themeColor="text1"/>
            </w:tcBorders>
            <w:shd w:val="clear" w:color="auto" w:fill="D9D9D9" w:themeFill="background1" w:themeFillShade="D9"/>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Domaine d’application :</w:t>
            </w:r>
          </w:p>
        </w:tc>
        <w:tc>
          <w:tcPr>
            <w:tcW w:w="7944" w:type="dxa"/>
            <w:tcBorders>
              <w:top w:val="single" w:sz="4" w:space="0" w:color="000000" w:themeColor="text1"/>
              <w:bottom w:val="single" w:sz="18"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La présente Norme marocaine s’applique à l’ozone utilisé pour le traitement de l’eau destinée à la consommation humaine. Elle décrit les caractéristiques de l’ozone et spécifie une méthode d’essai pour la détermination de la concentration en ozone des autres gaz.</w:t>
            </w:r>
          </w:p>
        </w:tc>
      </w:tr>
      <w:tr w:rsidR="00C8284D" w:rsidRPr="0043547B" w:rsidTr="008F049B">
        <w:trPr>
          <w:trHeight w:val="315"/>
          <w:jc w:val="center"/>
        </w:trPr>
        <w:tc>
          <w:tcPr>
            <w:tcW w:w="1838" w:type="dxa"/>
            <w:tcBorders>
              <w:top w:val="single" w:sz="18" w:space="0" w:color="000000" w:themeColor="text1"/>
              <w:bottom w:val="single" w:sz="18" w:space="0" w:color="000000" w:themeColor="text1"/>
            </w:tcBorders>
            <w:shd w:val="clear" w:color="auto" w:fill="C2D69B" w:themeFill="accent3" w:themeFillTint="99"/>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Code :</w:t>
            </w:r>
          </w:p>
        </w:tc>
        <w:tc>
          <w:tcPr>
            <w:tcW w:w="7944" w:type="dxa"/>
            <w:tcBorders>
              <w:top w:val="single" w:sz="18" w:space="0" w:color="000000" w:themeColor="text1"/>
              <w:bottom w:val="single" w:sz="18" w:space="0" w:color="000000" w:themeColor="text1"/>
            </w:tcBorders>
            <w:shd w:val="clear" w:color="auto" w:fill="C2D69B" w:themeFill="accent3" w:themeFillTint="99"/>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NM EN 12671</w:t>
            </w:r>
          </w:p>
        </w:tc>
      </w:tr>
      <w:tr w:rsidR="00C8284D" w:rsidRPr="0043547B" w:rsidTr="008F049B">
        <w:trPr>
          <w:trHeight w:val="315"/>
          <w:jc w:val="center"/>
        </w:trPr>
        <w:tc>
          <w:tcPr>
            <w:tcW w:w="1838" w:type="dxa"/>
            <w:tcBorders>
              <w:top w:val="single" w:sz="18" w:space="0" w:color="000000" w:themeColor="text1"/>
            </w:tcBorders>
            <w:shd w:val="clear" w:color="auto" w:fill="FFFFCC"/>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lastRenderedPageBreak/>
              <w:t>Equivalence :</w:t>
            </w:r>
          </w:p>
        </w:tc>
        <w:tc>
          <w:tcPr>
            <w:tcW w:w="7944" w:type="dxa"/>
            <w:tcBorders>
              <w:top w:val="single" w:sz="18" w:space="0" w:color="000000" w:themeColor="text1"/>
            </w:tcBorders>
            <w:shd w:val="clear" w:color="auto" w:fill="FFFFCC"/>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EN 12671</w:t>
            </w:r>
          </w:p>
        </w:tc>
      </w:tr>
      <w:tr w:rsidR="00C8284D" w:rsidRPr="0043547B" w:rsidTr="009F7DF4">
        <w:trPr>
          <w:trHeight w:val="600"/>
          <w:jc w:val="center"/>
        </w:trPr>
        <w:tc>
          <w:tcPr>
            <w:tcW w:w="1838" w:type="dxa"/>
            <w:tcBorders>
              <w:bottom w:val="single" w:sz="4" w:space="0" w:color="000000" w:themeColor="text1"/>
            </w:tcBorders>
            <w:shd w:val="clear" w:color="auto" w:fill="8DB3E2" w:themeFill="text2" w:themeFillTint="66"/>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Intitulé :</w:t>
            </w:r>
          </w:p>
        </w:tc>
        <w:tc>
          <w:tcPr>
            <w:tcW w:w="7944" w:type="dxa"/>
            <w:tcBorders>
              <w:bottom w:val="single" w:sz="4"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 xml:space="preserve">Produits chimiques utilisés pour le traitement de l'eau destinée à la consommation humaine - Dioxyde de chlore produit sur site   </w:t>
            </w:r>
          </w:p>
        </w:tc>
      </w:tr>
      <w:tr w:rsidR="00C8284D" w:rsidRPr="0043547B" w:rsidTr="002532B1">
        <w:trPr>
          <w:trHeight w:val="1619"/>
          <w:jc w:val="center"/>
        </w:trPr>
        <w:tc>
          <w:tcPr>
            <w:tcW w:w="1838" w:type="dxa"/>
            <w:tcBorders>
              <w:top w:val="single" w:sz="4" w:space="0" w:color="000000" w:themeColor="text1"/>
              <w:bottom w:val="single" w:sz="18" w:space="0" w:color="000000" w:themeColor="text1"/>
            </w:tcBorders>
            <w:shd w:val="clear" w:color="auto" w:fill="D9D9D9" w:themeFill="background1" w:themeFillShade="D9"/>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Domaine d’application :</w:t>
            </w:r>
          </w:p>
        </w:tc>
        <w:tc>
          <w:tcPr>
            <w:tcW w:w="7944" w:type="dxa"/>
            <w:tcBorders>
              <w:top w:val="single" w:sz="4" w:space="0" w:color="000000" w:themeColor="text1"/>
              <w:bottom w:val="single" w:sz="18" w:space="0" w:color="000000" w:themeColor="text1"/>
            </w:tcBorders>
            <w:hideMark/>
          </w:tcPr>
          <w:p w:rsidR="00C8284D" w:rsidRPr="0043547B" w:rsidRDefault="0060717A" w:rsidP="00C8284D">
            <w:pPr>
              <w:jc w:val="both"/>
              <w:rPr>
                <w:rFonts w:cstheme="minorHAnsi"/>
                <w:sz w:val="24"/>
                <w:szCs w:val="24"/>
              </w:rPr>
            </w:pPr>
            <w:r>
              <w:t>La présente Norme européenne est applicable au dioxyde de chlore généré in situ pour le traitement de l’eau destinée à la consommation humaine. Elle décrit les caractéristiques du dioxyde de chlore et précise la composition et les méthodes d’essai correspondantes du dioxyde de chlore. Elle donne des informations sur son emploi pour le traitement de l’eau. Elle fixe également les règles relatives à la sécurité d’emploi et de manipulation du dioxyde de chlore généré in situ.</w:t>
            </w:r>
          </w:p>
        </w:tc>
      </w:tr>
      <w:tr w:rsidR="00C8284D" w:rsidRPr="0043547B" w:rsidTr="008F049B">
        <w:trPr>
          <w:trHeight w:val="315"/>
          <w:jc w:val="center"/>
        </w:trPr>
        <w:tc>
          <w:tcPr>
            <w:tcW w:w="1838" w:type="dxa"/>
            <w:tcBorders>
              <w:top w:val="single" w:sz="18" w:space="0" w:color="000000" w:themeColor="text1"/>
              <w:bottom w:val="single" w:sz="18" w:space="0" w:color="000000" w:themeColor="text1"/>
            </w:tcBorders>
            <w:shd w:val="clear" w:color="auto" w:fill="C2D69B" w:themeFill="accent3" w:themeFillTint="99"/>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Code :</w:t>
            </w:r>
          </w:p>
        </w:tc>
        <w:tc>
          <w:tcPr>
            <w:tcW w:w="7944" w:type="dxa"/>
            <w:tcBorders>
              <w:top w:val="single" w:sz="18" w:space="0" w:color="000000" w:themeColor="text1"/>
              <w:bottom w:val="single" w:sz="18" w:space="0" w:color="000000" w:themeColor="text1"/>
            </w:tcBorders>
            <w:shd w:val="clear" w:color="auto" w:fill="C2D69B" w:themeFill="accent3" w:themeFillTint="99"/>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NM EN 12672</w:t>
            </w:r>
          </w:p>
        </w:tc>
      </w:tr>
      <w:tr w:rsidR="00C8284D" w:rsidRPr="0043547B" w:rsidTr="008F049B">
        <w:trPr>
          <w:trHeight w:val="315"/>
          <w:jc w:val="center"/>
        </w:trPr>
        <w:tc>
          <w:tcPr>
            <w:tcW w:w="1838" w:type="dxa"/>
            <w:tcBorders>
              <w:top w:val="single" w:sz="18" w:space="0" w:color="000000" w:themeColor="text1"/>
            </w:tcBorders>
            <w:shd w:val="clear" w:color="auto" w:fill="FFFFCC"/>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Equivalence :</w:t>
            </w:r>
          </w:p>
        </w:tc>
        <w:tc>
          <w:tcPr>
            <w:tcW w:w="7944" w:type="dxa"/>
            <w:tcBorders>
              <w:top w:val="single" w:sz="18" w:space="0" w:color="000000" w:themeColor="text1"/>
            </w:tcBorders>
            <w:shd w:val="clear" w:color="auto" w:fill="FFFFCC"/>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EN 12672</w:t>
            </w:r>
          </w:p>
        </w:tc>
      </w:tr>
      <w:tr w:rsidR="00C8284D" w:rsidRPr="0043547B" w:rsidTr="009F7DF4">
        <w:trPr>
          <w:trHeight w:val="600"/>
          <w:jc w:val="center"/>
        </w:trPr>
        <w:tc>
          <w:tcPr>
            <w:tcW w:w="1838" w:type="dxa"/>
            <w:tcBorders>
              <w:bottom w:val="single" w:sz="4" w:space="0" w:color="000000" w:themeColor="text1"/>
            </w:tcBorders>
            <w:shd w:val="clear" w:color="auto" w:fill="8DB3E2" w:themeFill="text2" w:themeFillTint="66"/>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Intitulé :</w:t>
            </w:r>
          </w:p>
        </w:tc>
        <w:tc>
          <w:tcPr>
            <w:tcW w:w="7944" w:type="dxa"/>
            <w:tcBorders>
              <w:bottom w:val="single" w:sz="4"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 xml:space="preserve">Produits chimiques utilisés pour le traitement de l'eau destiné à la consommation humaine - Permanganate de potassium   </w:t>
            </w:r>
          </w:p>
        </w:tc>
      </w:tr>
      <w:tr w:rsidR="00C8284D" w:rsidRPr="0043547B" w:rsidTr="002532B1">
        <w:trPr>
          <w:trHeight w:val="1363"/>
          <w:jc w:val="center"/>
        </w:trPr>
        <w:tc>
          <w:tcPr>
            <w:tcW w:w="1838" w:type="dxa"/>
            <w:tcBorders>
              <w:top w:val="single" w:sz="4" w:space="0" w:color="000000" w:themeColor="text1"/>
              <w:bottom w:val="single" w:sz="18" w:space="0" w:color="000000" w:themeColor="text1"/>
            </w:tcBorders>
            <w:shd w:val="clear" w:color="auto" w:fill="D9D9D9" w:themeFill="background1" w:themeFillShade="D9"/>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Domaine d’application :</w:t>
            </w:r>
          </w:p>
        </w:tc>
        <w:tc>
          <w:tcPr>
            <w:tcW w:w="7944" w:type="dxa"/>
            <w:tcBorders>
              <w:top w:val="single" w:sz="4" w:space="0" w:color="000000" w:themeColor="text1"/>
              <w:bottom w:val="single" w:sz="18"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La présente Norme marocaine s’applique au permanganate de potassium utilisé pour le traitement de l’eau destinée à la consommation humaine. Elle décrit les caractéristiques du permanganate de potassium et spécifie les exigences et les méthodes d’essai correspondantes. Elle donne des informations pour son emploi dans le traitement de l’eau.</w:t>
            </w:r>
          </w:p>
        </w:tc>
      </w:tr>
      <w:tr w:rsidR="00C8284D" w:rsidRPr="0043547B" w:rsidTr="008F049B">
        <w:trPr>
          <w:trHeight w:val="315"/>
          <w:jc w:val="center"/>
        </w:trPr>
        <w:tc>
          <w:tcPr>
            <w:tcW w:w="1838" w:type="dxa"/>
            <w:tcBorders>
              <w:top w:val="single" w:sz="18" w:space="0" w:color="000000" w:themeColor="text1"/>
              <w:bottom w:val="single" w:sz="18" w:space="0" w:color="000000" w:themeColor="text1"/>
            </w:tcBorders>
            <w:shd w:val="clear" w:color="auto" w:fill="C2D69B" w:themeFill="accent3" w:themeFillTint="99"/>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Code :</w:t>
            </w:r>
          </w:p>
        </w:tc>
        <w:tc>
          <w:tcPr>
            <w:tcW w:w="7944" w:type="dxa"/>
            <w:tcBorders>
              <w:top w:val="single" w:sz="18" w:space="0" w:color="000000" w:themeColor="text1"/>
              <w:bottom w:val="single" w:sz="18" w:space="0" w:color="000000" w:themeColor="text1"/>
            </w:tcBorders>
            <w:shd w:val="clear" w:color="auto" w:fill="C2D69B" w:themeFill="accent3" w:themeFillTint="99"/>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NM EN 12678</w:t>
            </w:r>
          </w:p>
        </w:tc>
      </w:tr>
      <w:tr w:rsidR="00C8284D" w:rsidRPr="0043547B" w:rsidTr="008F049B">
        <w:trPr>
          <w:trHeight w:val="315"/>
          <w:jc w:val="center"/>
        </w:trPr>
        <w:tc>
          <w:tcPr>
            <w:tcW w:w="1838" w:type="dxa"/>
            <w:tcBorders>
              <w:top w:val="single" w:sz="18" w:space="0" w:color="000000" w:themeColor="text1"/>
            </w:tcBorders>
            <w:shd w:val="clear" w:color="auto" w:fill="FFFFCC"/>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Equivalence :</w:t>
            </w:r>
          </w:p>
        </w:tc>
        <w:tc>
          <w:tcPr>
            <w:tcW w:w="7944" w:type="dxa"/>
            <w:tcBorders>
              <w:top w:val="single" w:sz="18" w:space="0" w:color="000000" w:themeColor="text1"/>
            </w:tcBorders>
            <w:shd w:val="clear" w:color="auto" w:fill="FFFFCC"/>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EN 12678</w:t>
            </w:r>
          </w:p>
        </w:tc>
      </w:tr>
      <w:tr w:rsidR="00C8284D" w:rsidRPr="0043547B" w:rsidTr="009F7DF4">
        <w:trPr>
          <w:trHeight w:val="600"/>
          <w:jc w:val="center"/>
        </w:trPr>
        <w:tc>
          <w:tcPr>
            <w:tcW w:w="1838" w:type="dxa"/>
            <w:tcBorders>
              <w:bottom w:val="single" w:sz="4" w:space="0" w:color="000000" w:themeColor="text1"/>
            </w:tcBorders>
            <w:shd w:val="clear" w:color="auto" w:fill="8DB3E2" w:themeFill="text2" w:themeFillTint="66"/>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Intitulé :</w:t>
            </w:r>
          </w:p>
        </w:tc>
        <w:tc>
          <w:tcPr>
            <w:tcW w:w="7944" w:type="dxa"/>
            <w:tcBorders>
              <w:bottom w:val="single" w:sz="4"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 xml:space="preserve">Produits chimiques utilisés pour le traitement de l'eau destinée à la consommation humaine - Peroxomonosulfate de potassium   </w:t>
            </w:r>
          </w:p>
        </w:tc>
      </w:tr>
      <w:tr w:rsidR="00C8284D" w:rsidRPr="0043547B" w:rsidTr="002532B1">
        <w:trPr>
          <w:trHeight w:val="1359"/>
          <w:jc w:val="center"/>
        </w:trPr>
        <w:tc>
          <w:tcPr>
            <w:tcW w:w="1838" w:type="dxa"/>
            <w:tcBorders>
              <w:top w:val="single" w:sz="4" w:space="0" w:color="000000" w:themeColor="text1"/>
              <w:bottom w:val="single" w:sz="18" w:space="0" w:color="000000" w:themeColor="text1"/>
            </w:tcBorders>
            <w:shd w:val="clear" w:color="auto" w:fill="D9D9D9" w:themeFill="background1" w:themeFillShade="D9"/>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Domaine d’application :</w:t>
            </w:r>
          </w:p>
        </w:tc>
        <w:tc>
          <w:tcPr>
            <w:tcW w:w="7944" w:type="dxa"/>
            <w:tcBorders>
              <w:top w:val="single" w:sz="4" w:space="0" w:color="000000" w:themeColor="text1"/>
              <w:bottom w:val="single" w:sz="18"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La présente Norme marocaine s’applique au peroxomonosulfate de potassium utilisé pour le traitement de l’eau destinée à la consommation humaine. Elle décrit les caractéristiques du peroxomonosulfate de potassium et spécifie les exigences et les méthodes d’essai correspondantes. Elle donne des informations pour son emploi dans le traitement de l’eau.</w:t>
            </w:r>
          </w:p>
        </w:tc>
      </w:tr>
      <w:tr w:rsidR="00C8284D" w:rsidRPr="0043547B" w:rsidTr="008F049B">
        <w:trPr>
          <w:trHeight w:val="315"/>
          <w:jc w:val="center"/>
        </w:trPr>
        <w:tc>
          <w:tcPr>
            <w:tcW w:w="1838" w:type="dxa"/>
            <w:tcBorders>
              <w:top w:val="single" w:sz="18" w:space="0" w:color="000000" w:themeColor="text1"/>
              <w:bottom w:val="single" w:sz="18" w:space="0" w:color="000000" w:themeColor="text1"/>
            </w:tcBorders>
            <w:shd w:val="clear" w:color="auto" w:fill="C2D69B" w:themeFill="accent3" w:themeFillTint="99"/>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Code :</w:t>
            </w:r>
          </w:p>
        </w:tc>
        <w:tc>
          <w:tcPr>
            <w:tcW w:w="7944" w:type="dxa"/>
            <w:tcBorders>
              <w:top w:val="single" w:sz="18" w:space="0" w:color="000000" w:themeColor="text1"/>
              <w:bottom w:val="single" w:sz="18" w:space="0" w:color="000000" w:themeColor="text1"/>
            </w:tcBorders>
            <w:shd w:val="clear" w:color="auto" w:fill="C2D69B" w:themeFill="accent3" w:themeFillTint="99"/>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NM EN 12876</w:t>
            </w:r>
          </w:p>
        </w:tc>
      </w:tr>
      <w:tr w:rsidR="00C8284D" w:rsidRPr="0043547B" w:rsidTr="008F049B">
        <w:trPr>
          <w:trHeight w:val="315"/>
          <w:jc w:val="center"/>
        </w:trPr>
        <w:tc>
          <w:tcPr>
            <w:tcW w:w="1838" w:type="dxa"/>
            <w:tcBorders>
              <w:top w:val="single" w:sz="18" w:space="0" w:color="000000" w:themeColor="text1"/>
            </w:tcBorders>
            <w:shd w:val="clear" w:color="auto" w:fill="FFFFCC"/>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Equivalence :</w:t>
            </w:r>
          </w:p>
        </w:tc>
        <w:tc>
          <w:tcPr>
            <w:tcW w:w="7944" w:type="dxa"/>
            <w:tcBorders>
              <w:top w:val="single" w:sz="18" w:space="0" w:color="000000" w:themeColor="text1"/>
            </w:tcBorders>
            <w:shd w:val="clear" w:color="auto" w:fill="FFFFCC"/>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EN 12876</w:t>
            </w:r>
          </w:p>
        </w:tc>
      </w:tr>
      <w:tr w:rsidR="00C8284D" w:rsidRPr="0043547B" w:rsidTr="009F7DF4">
        <w:trPr>
          <w:trHeight w:val="600"/>
          <w:jc w:val="center"/>
        </w:trPr>
        <w:tc>
          <w:tcPr>
            <w:tcW w:w="1838" w:type="dxa"/>
            <w:tcBorders>
              <w:bottom w:val="single" w:sz="4" w:space="0" w:color="000000" w:themeColor="text1"/>
            </w:tcBorders>
            <w:shd w:val="clear" w:color="auto" w:fill="8DB3E2" w:themeFill="text2" w:themeFillTint="66"/>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Intitulé :</w:t>
            </w:r>
          </w:p>
        </w:tc>
        <w:tc>
          <w:tcPr>
            <w:tcW w:w="7944" w:type="dxa"/>
            <w:tcBorders>
              <w:bottom w:val="single" w:sz="4"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 xml:space="preserve">Produits chimiques utilisés pour le traitement de l'eau destinée à la consommation humaine - Oxygène  </w:t>
            </w:r>
          </w:p>
        </w:tc>
      </w:tr>
      <w:tr w:rsidR="00C8284D" w:rsidRPr="0043547B" w:rsidTr="002532B1">
        <w:trPr>
          <w:trHeight w:val="1057"/>
          <w:jc w:val="center"/>
        </w:trPr>
        <w:tc>
          <w:tcPr>
            <w:tcW w:w="1838" w:type="dxa"/>
            <w:tcBorders>
              <w:top w:val="single" w:sz="4" w:space="0" w:color="000000" w:themeColor="text1"/>
              <w:bottom w:val="single" w:sz="18" w:space="0" w:color="000000" w:themeColor="text1"/>
            </w:tcBorders>
            <w:shd w:val="clear" w:color="auto" w:fill="D9D9D9" w:themeFill="background1" w:themeFillShade="D9"/>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Domaine d’application :</w:t>
            </w:r>
          </w:p>
        </w:tc>
        <w:tc>
          <w:tcPr>
            <w:tcW w:w="7944" w:type="dxa"/>
            <w:tcBorders>
              <w:top w:val="single" w:sz="4" w:space="0" w:color="000000" w:themeColor="text1"/>
              <w:bottom w:val="single" w:sz="18"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La présente Norme Marocaine est applicable à l'oxygène utilisé pour le traitement de l'eau destinée à la consommation humaine. Elle décrit les caractéristiques de l'oxygène et spécifie les exigences et les méthodes correspondantes d'analyse de l'oxygène. Elle donne des informations pour son emploi dans le traitement de l'eau.</w:t>
            </w:r>
          </w:p>
        </w:tc>
      </w:tr>
      <w:tr w:rsidR="00C8284D" w:rsidRPr="0043547B" w:rsidTr="008F049B">
        <w:trPr>
          <w:trHeight w:val="315"/>
          <w:jc w:val="center"/>
        </w:trPr>
        <w:tc>
          <w:tcPr>
            <w:tcW w:w="1838" w:type="dxa"/>
            <w:tcBorders>
              <w:top w:val="single" w:sz="18" w:space="0" w:color="000000" w:themeColor="text1"/>
              <w:bottom w:val="single" w:sz="18" w:space="0" w:color="000000" w:themeColor="text1"/>
            </w:tcBorders>
            <w:shd w:val="clear" w:color="auto" w:fill="C2D69B" w:themeFill="accent3" w:themeFillTint="99"/>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Code :</w:t>
            </w:r>
          </w:p>
        </w:tc>
        <w:tc>
          <w:tcPr>
            <w:tcW w:w="7944" w:type="dxa"/>
            <w:tcBorders>
              <w:top w:val="single" w:sz="18" w:space="0" w:color="000000" w:themeColor="text1"/>
              <w:bottom w:val="single" w:sz="18" w:space="0" w:color="000000" w:themeColor="text1"/>
            </w:tcBorders>
            <w:shd w:val="clear" w:color="auto" w:fill="C2D69B" w:themeFill="accent3" w:themeFillTint="99"/>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NM EN 1198</w:t>
            </w:r>
          </w:p>
        </w:tc>
      </w:tr>
      <w:tr w:rsidR="00C8284D" w:rsidRPr="0043547B" w:rsidTr="008F049B">
        <w:trPr>
          <w:trHeight w:val="315"/>
          <w:jc w:val="center"/>
        </w:trPr>
        <w:tc>
          <w:tcPr>
            <w:tcW w:w="1838" w:type="dxa"/>
            <w:tcBorders>
              <w:top w:val="single" w:sz="18" w:space="0" w:color="000000" w:themeColor="text1"/>
            </w:tcBorders>
            <w:shd w:val="clear" w:color="auto" w:fill="FFFFCC"/>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Equivalence :</w:t>
            </w:r>
          </w:p>
        </w:tc>
        <w:tc>
          <w:tcPr>
            <w:tcW w:w="7944" w:type="dxa"/>
            <w:tcBorders>
              <w:top w:val="single" w:sz="18" w:space="0" w:color="000000" w:themeColor="text1"/>
            </w:tcBorders>
            <w:shd w:val="clear" w:color="auto" w:fill="FFFFCC"/>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EN 1198</w:t>
            </w:r>
          </w:p>
        </w:tc>
      </w:tr>
      <w:tr w:rsidR="00C8284D" w:rsidRPr="0043547B" w:rsidTr="009F7DF4">
        <w:trPr>
          <w:trHeight w:val="600"/>
          <w:jc w:val="center"/>
        </w:trPr>
        <w:tc>
          <w:tcPr>
            <w:tcW w:w="1838" w:type="dxa"/>
            <w:tcBorders>
              <w:bottom w:val="single" w:sz="4" w:space="0" w:color="000000" w:themeColor="text1"/>
            </w:tcBorders>
            <w:shd w:val="clear" w:color="auto" w:fill="8DB3E2" w:themeFill="text2" w:themeFillTint="66"/>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Intitulé :</w:t>
            </w:r>
          </w:p>
        </w:tc>
        <w:tc>
          <w:tcPr>
            <w:tcW w:w="7944" w:type="dxa"/>
            <w:tcBorders>
              <w:bottom w:val="single" w:sz="4"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 xml:space="preserve">Produits chimiques utilisés pour le traitement de l'eau destinée à la consommation humaine - Dihydrogénophosphate de sodium  </w:t>
            </w:r>
          </w:p>
        </w:tc>
      </w:tr>
      <w:tr w:rsidR="00C8284D" w:rsidRPr="0043547B" w:rsidTr="002532B1">
        <w:trPr>
          <w:trHeight w:val="1268"/>
          <w:jc w:val="center"/>
        </w:trPr>
        <w:tc>
          <w:tcPr>
            <w:tcW w:w="1838" w:type="dxa"/>
            <w:tcBorders>
              <w:top w:val="single" w:sz="4" w:space="0" w:color="000000" w:themeColor="text1"/>
              <w:bottom w:val="single" w:sz="18" w:space="0" w:color="000000" w:themeColor="text1"/>
            </w:tcBorders>
            <w:shd w:val="clear" w:color="auto" w:fill="D9D9D9" w:themeFill="background1" w:themeFillShade="D9"/>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Domaine d’application :</w:t>
            </w:r>
          </w:p>
        </w:tc>
        <w:tc>
          <w:tcPr>
            <w:tcW w:w="7944" w:type="dxa"/>
            <w:tcBorders>
              <w:top w:val="single" w:sz="4" w:space="0" w:color="000000" w:themeColor="text1"/>
              <w:bottom w:val="single" w:sz="18"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Le présent document est applicable au dihydrogénophosphate de sodium utilisé pour le traitement de l’eau destinée à la consommation humaine. Il décrit les caractéristiques et spécifie les exigences et les méthodes d’essai correspondantes du dihydrogénophosphate de sodium. Il donne des informations pour son emploi dans le traitement de l’eau.</w:t>
            </w:r>
          </w:p>
        </w:tc>
      </w:tr>
      <w:tr w:rsidR="00C8284D" w:rsidRPr="0043547B" w:rsidTr="008F049B">
        <w:trPr>
          <w:trHeight w:val="315"/>
          <w:jc w:val="center"/>
        </w:trPr>
        <w:tc>
          <w:tcPr>
            <w:tcW w:w="1838" w:type="dxa"/>
            <w:tcBorders>
              <w:top w:val="single" w:sz="18" w:space="0" w:color="000000" w:themeColor="text1"/>
              <w:bottom w:val="single" w:sz="18" w:space="0" w:color="000000" w:themeColor="text1"/>
            </w:tcBorders>
            <w:shd w:val="clear" w:color="auto" w:fill="C2D69B" w:themeFill="accent3" w:themeFillTint="99"/>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Code :</w:t>
            </w:r>
          </w:p>
        </w:tc>
        <w:tc>
          <w:tcPr>
            <w:tcW w:w="7944" w:type="dxa"/>
            <w:tcBorders>
              <w:top w:val="single" w:sz="18" w:space="0" w:color="000000" w:themeColor="text1"/>
              <w:bottom w:val="single" w:sz="18" w:space="0" w:color="000000" w:themeColor="text1"/>
            </w:tcBorders>
            <w:shd w:val="clear" w:color="auto" w:fill="C2D69B" w:themeFill="accent3" w:themeFillTint="99"/>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NM EN 1199</w:t>
            </w:r>
          </w:p>
        </w:tc>
      </w:tr>
      <w:tr w:rsidR="00C8284D" w:rsidRPr="0043547B" w:rsidTr="008F049B">
        <w:trPr>
          <w:trHeight w:val="315"/>
          <w:jc w:val="center"/>
        </w:trPr>
        <w:tc>
          <w:tcPr>
            <w:tcW w:w="1838" w:type="dxa"/>
            <w:tcBorders>
              <w:top w:val="single" w:sz="18" w:space="0" w:color="000000" w:themeColor="text1"/>
            </w:tcBorders>
            <w:shd w:val="clear" w:color="auto" w:fill="FFFFCC"/>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lastRenderedPageBreak/>
              <w:t>Equivalence :</w:t>
            </w:r>
          </w:p>
        </w:tc>
        <w:tc>
          <w:tcPr>
            <w:tcW w:w="7944" w:type="dxa"/>
            <w:tcBorders>
              <w:top w:val="single" w:sz="18" w:space="0" w:color="000000" w:themeColor="text1"/>
            </w:tcBorders>
            <w:shd w:val="clear" w:color="auto" w:fill="FFFFCC"/>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EN 1199</w:t>
            </w:r>
          </w:p>
        </w:tc>
      </w:tr>
      <w:tr w:rsidR="00C8284D" w:rsidRPr="0043547B" w:rsidTr="009F7DF4">
        <w:trPr>
          <w:trHeight w:val="600"/>
          <w:jc w:val="center"/>
        </w:trPr>
        <w:tc>
          <w:tcPr>
            <w:tcW w:w="1838" w:type="dxa"/>
            <w:tcBorders>
              <w:bottom w:val="single" w:sz="4" w:space="0" w:color="000000" w:themeColor="text1"/>
            </w:tcBorders>
            <w:shd w:val="clear" w:color="auto" w:fill="8DB3E2" w:themeFill="text2" w:themeFillTint="66"/>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Intitulé :</w:t>
            </w:r>
          </w:p>
        </w:tc>
        <w:tc>
          <w:tcPr>
            <w:tcW w:w="7944" w:type="dxa"/>
            <w:tcBorders>
              <w:bottom w:val="single" w:sz="4"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 xml:space="preserve">Produits chimiques utilisés pour le traitement de l'eau destinée à la consommation humaine - Hydrogénophosphate de sodium  </w:t>
            </w:r>
          </w:p>
        </w:tc>
      </w:tr>
      <w:tr w:rsidR="00C8284D" w:rsidRPr="0043547B" w:rsidTr="002532B1">
        <w:trPr>
          <w:trHeight w:val="1263"/>
          <w:jc w:val="center"/>
        </w:trPr>
        <w:tc>
          <w:tcPr>
            <w:tcW w:w="1838" w:type="dxa"/>
            <w:tcBorders>
              <w:top w:val="single" w:sz="4" w:space="0" w:color="000000" w:themeColor="text1"/>
              <w:bottom w:val="single" w:sz="18" w:space="0" w:color="000000" w:themeColor="text1"/>
            </w:tcBorders>
            <w:shd w:val="clear" w:color="auto" w:fill="D9D9D9" w:themeFill="background1" w:themeFillShade="D9"/>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Domaine d’application :</w:t>
            </w:r>
          </w:p>
        </w:tc>
        <w:tc>
          <w:tcPr>
            <w:tcW w:w="7944" w:type="dxa"/>
            <w:tcBorders>
              <w:top w:val="single" w:sz="4" w:space="0" w:color="000000" w:themeColor="text1"/>
              <w:bottom w:val="single" w:sz="18"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Le présent document est applicable à l’hydrogénophosphate de sodium utilisé pour le traitement de l’eau destinée à la consommation humaine. Il décrit les caractéristiques et spécifie les exigences et les méthodes d’essai correspondantes de l’hydrogénophosphate de sodium. Il donne des informations pour son emploi dans le traitement de l’eau.</w:t>
            </w:r>
          </w:p>
        </w:tc>
      </w:tr>
      <w:tr w:rsidR="00C8284D" w:rsidRPr="0043547B" w:rsidTr="008F049B">
        <w:trPr>
          <w:trHeight w:val="315"/>
          <w:jc w:val="center"/>
        </w:trPr>
        <w:tc>
          <w:tcPr>
            <w:tcW w:w="1838" w:type="dxa"/>
            <w:tcBorders>
              <w:top w:val="single" w:sz="18" w:space="0" w:color="000000" w:themeColor="text1"/>
              <w:bottom w:val="single" w:sz="18" w:space="0" w:color="000000" w:themeColor="text1"/>
            </w:tcBorders>
            <w:shd w:val="clear" w:color="auto" w:fill="C2D69B" w:themeFill="accent3" w:themeFillTint="99"/>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Code :</w:t>
            </w:r>
          </w:p>
        </w:tc>
        <w:tc>
          <w:tcPr>
            <w:tcW w:w="7944" w:type="dxa"/>
            <w:tcBorders>
              <w:top w:val="single" w:sz="18" w:space="0" w:color="000000" w:themeColor="text1"/>
              <w:bottom w:val="single" w:sz="18" w:space="0" w:color="000000" w:themeColor="text1"/>
            </w:tcBorders>
            <w:shd w:val="clear" w:color="auto" w:fill="C2D69B" w:themeFill="accent3" w:themeFillTint="99"/>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NM EN 1201</w:t>
            </w:r>
          </w:p>
        </w:tc>
      </w:tr>
      <w:tr w:rsidR="00C8284D" w:rsidRPr="0043547B" w:rsidTr="008F049B">
        <w:trPr>
          <w:trHeight w:val="315"/>
          <w:jc w:val="center"/>
        </w:trPr>
        <w:tc>
          <w:tcPr>
            <w:tcW w:w="1838" w:type="dxa"/>
            <w:tcBorders>
              <w:top w:val="single" w:sz="18" w:space="0" w:color="000000" w:themeColor="text1"/>
            </w:tcBorders>
            <w:shd w:val="clear" w:color="auto" w:fill="FFFFCC"/>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Equivalence :</w:t>
            </w:r>
          </w:p>
        </w:tc>
        <w:tc>
          <w:tcPr>
            <w:tcW w:w="7944" w:type="dxa"/>
            <w:tcBorders>
              <w:top w:val="single" w:sz="18" w:space="0" w:color="000000" w:themeColor="text1"/>
            </w:tcBorders>
            <w:shd w:val="clear" w:color="auto" w:fill="FFFFCC"/>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EN 1201</w:t>
            </w:r>
          </w:p>
        </w:tc>
      </w:tr>
      <w:tr w:rsidR="00C8284D" w:rsidRPr="0043547B" w:rsidTr="009F7DF4">
        <w:trPr>
          <w:trHeight w:val="600"/>
          <w:jc w:val="center"/>
        </w:trPr>
        <w:tc>
          <w:tcPr>
            <w:tcW w:w="1838" w:type="dxa"/>
            <w:tcBorders>
              <w:bottom w:val="single" w:sz="4" w:space="0" w:color="000000" w:themeColor="text1"/>
            </w:tcBorders>
            <w:shd w:val="clear" w:color="auto" w:fill="8DB3E2" w:themeFill="text2" w:themeFillTint="66"/>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Intitulé :</w:t>
            </w:r>
          </w:p>
        </w:tc>
        <w:tc>
          <w:tcPr>
            <w:tcW w:w="7944" w:type="dxa"/>
            <w:tcBorders>
              <w:bottom w:val="single" w:sz="4"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 xml:space="preserve">Produits chimiques utilisés pour le traitement de l'eau destinée à la consommation humaine - Dihydrogénophosphate de potassium </w:t>
            </w:r>
          </w:p>
        </w:tc>
      </w:tr>
      <w:tr w:rsidR="00C8284D" w:rsidRPr="0043547B" w:rsidTr="002532B1">
        <w:trPr>
          <w:trHeight w:val="1415"/>
          <w:jc w:val="center"/>
        </w:trPr>
        <w:tc>
          <w:tcPr>
            <w:tcW w:w="1838" w:type="dxa"/>
            <w:tcBorders>
              <w:top w:val="single" w:sz="4" w:space="0" w:color="000000" w:themeColor="text1"/>
              <w:bottom w:val="single" w:sz="18" w:space="0" w:color="000000" w:themeColor="text1"/>
            </w:tcBorders>
            <w:shd w:val="clear" w:color="auto" w:fill="D9D9D9" w:themeFill="background1" w:themeFillShade="D9"/>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Domaine d’application :</w:t>
            </w:r>
          </w:p>
        </w:tc>
        <w:tc>
          <w:tcPr>
            <w:tcW w:w="7944" w:type="dxa"/>
            <w:tcBorders>
              <w:top w:val="single" w:sz="4" w:space="0" w:color="000000" w:themeColor="text1"/>
              <w:bottom w:val="single" w:sz="18"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Le présent document est applicable au dihydrogénophosphate de potassium utilisé pour le traitement de l’eau destinée à la consommation humaine. Il décrit les caractéristiques et spécifie les exigences et les méthodes d’essai correspondantes pour le dihydrogénophosphate de potassium. Il donne des informations pour son emploi dans le traitement de l’eau.</w:t>
            </w:r>
          </w:p>
        </w:tc>
      </w:tr>
      <w:tr w:rsidR="00C8284D" w:rsidRPr="0043547B" w:rsidTr="008F049B">
        <w:trPr>
          <w:trHeight w:val="315"/>
          <w:jc w:val="center"/>
        </w:trPr>
        <w:tc>
          <w:tcPr>
            <w:tcW w:w="1838" w:type="dxa"/>
            <w:tcBorders>
              <w:top w:val="single" w:sz="18" w:space="0" w:color="000000" w:themeColor="text1"/>
              <w:bottom w:val="single" w:sz="18" w:space="0" w:color="000000" w:themeColor="text1"/>
            </w:tcBorders>
            <w:shd w:val="clear" w:color="auto" w:fill="C2D69B" w:themeFill="accent3" w:themeFillTint="99"/>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Code :</w:t>
            </w:r>
          </w:p>
        </w:tc>
        <w:tc>
          <w:tcPr>
            <w:tcW w:w="7944" w:type="dxa"/>
            <w:tcBorders>
              <w:top w:val="single" w:sz="18" w:space="0" w:color="000000" w:themeColor="text1"/>
              <w:bottom w:val="single" w:sz="18" w:space="0" w:color="000000" w:themeColor="text1"/>
            </w:tcBorders>
            <w:shd w:val="clear" w:color="auto" w:fill="C2D69B" w:themeFill="accent3" w:themeFillTint="99"/>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NM EN 1202</w:t>
            </w:r>
          </w:p>
        </w:tc>
      </w:tr>
      <w:tr w:rsidR="00C8284D" w:rsidRPr="0043547B" w:rsidTr="008F049B">
        <w:trPr>
          <w:trHeight w:val="315"/>
          <w:jc w:val="center"/>
        </w:trPr>
        <w:tc>
          <w:tcPr>
            <w:tcW w:w="1838" w:type="dxa"/>
            <w:tcBorders>
              <w:top w:val="single" w:sz="18" w:space="0" w:color="000000" w:themeColor="text1"/>
            </w:tcBorders>
            <w:shd w:val="clear" w:color="auto" w:fill="FFFFCC"/>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Equivalence :</w:t>
            </w:r>
          </w:p>
        </w:tc>
        <w:tc>
          <w:tcPr>
            <w:tcW w:w="7944" w:type="dxa"/>
            <w:tcBorders>
              <w:top w:val="single" w:sz="18" w:space="0" w:color="000000" w:themeColor="text1"/>
            </w:tcBorders>
            <w:shd w:val="clear" w:color="auto" w:fill="FFFFCC"/>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EN 1202</w:t>
            </w:r>
          </w:p>
        </w:tc>
      </w:tr>
      <w:tr w:rsidR="00C8284D" w:rsidRPr="0043547B" w:rsidTr="009F7DF4">
        <w:trPr>
          <w:trHeight w:val="600"/>
          <w:jc w:val="center"/>
        </w:trPr>
        <w:tc>
          <w:tcPr>
            <w:tcW w:w="1838" w:type="dxa"/>
            <w:tcBorders>
              <w:bottom w:val="single" w:sz="4" w:space="0" w:color="000000" w:themeColor="text1"/>
            </w:tcBorders>
            <w:shd w:val="clear" w:color="auto" w:fill="8DB3E2" w:themeFill="text2" w:themeFillTint="66"/>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Intitulé :</w:t>
            </w:r>
          </w:p>
        </w:tc>
        <w:tc>
          <w:tcPr>
            <w:tcW w:w="7944" w:type="dxa"/>
            <w:tcBorders>
              <w:bottom w:val="single" w:sz="4"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 xml:space="preserve">Produits chimiques utilisés pour le traitement de l'eau destinée à la consommation humaine - Hydrogénophosphate de potassium  </w:t>
            </w:r>
          </w:p>
        </w:tc>
      </w:tr>
      <w:tr w:rsidR="00C8284D" w:rsidRPr="0043547B" w:rsidTr="002532B1">
        <w:trPr>
          <w:trHeight w:val="1369"/>
          <w:jc w:val="center"/>
        </w:trPr>
        <w:tc>
          <w:tcPr>
            <w:tcW w:w="1838" w:type="dxa"/>
            <w:tcBorders>
              <w:top w:val="single" w:sz="4" w:space="0" w:color="000000" w:themeColor="text1"/>
              <w:bottom w:val="single" w:sz="18" w:space="0" w:color="000000" w:themeColor="text1"/>
            </w:tcBorders>
            <w:shd w:val="clear" w:color="auto" w:fill="D9D9D9" w:themeFill="background1" w:themeFillShade="D9"/>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Domaine d’application :</w:t>
            </w:r>
          </w:p>
        </w:tc>
        <w:tc>
          <w:tcPr>
            <w:tcW w:w="7944" w:type="dxa"/>
            <w:tcBorders>
              <w:top w:val="single" w:sz="4" w:space="0" w:color="000000" w:themeColor="text1"/>
              <w:bottom w:val="single" w:sz="18"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Le présent document est applicable à l’hydrogénophosphate de potassium utilisé pour le traitement de l’eau destinée à la consommation humaine. Il décrit les caractéristiques et spécifie les exigences et les méthodes d’essai correspondantes pour l’hydrogénophosphate de potassium. Il donne des informations pour son emploi dans le traitement de l’eau.</w:t>
            </w:r>
          </w:p>
        </w:tc>
      </w:tr>
      <w:tr w:rsidR="00C8284D" w:rsidRPr="0043547B" w:rsidTr="008F049B">
        <w:trPr>
          <w:trHeight w:val="315"/>
          <w:jc w:val="center"/>
        </w:trPr>
        <w:tc>
          <w:tcPr>
            <w:tcW w:w="1838" w:type="dxa"/>
            <w:tcBorders>
              <w:top w:val="single" w:sz="18" w:space="0" w:color="000000" w:themeColor="text1"/>
              <w:bottom w:val="single" w:sz="18" w:space="0" w:color="000000" w:themeColor="text1"/>
            </w:tcBorders>
            <w:shd w:val="clear" w:color="auto" w:fill="C2D69B" w:themeFill="accent3" w:themeFillTint="99"/>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Code :</w:t>
            </w:r>
          </w:p>
        </w:tc>
        <w:tc>
          <w:tcPr>
            <w:tcW w:w="7944" w:type="dxa"/>
            <w:tcBorders>
              <w:top w:val="single" w:sz="18" w:space="0" w:color="000000" w:themeColor="text1"/>
              <w:bottom w:val="single" w:sz="18" w:space="0" w:color="000000" w:themeColor="text1"/>
            </w:tcBorders>
            <w:shd w:val="clear" w:color="auto" w:fill="C2D69B" w:themeFill="accent3" w:themeFillTint="99"/>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NM EN 1203</w:t>
            </w:r>
          </w:p>
        </w:tc>
      </w:tr>
      <w:tr w:rsidR="00C8284D" w:rsidRPr="0043547B" w:rsidTr="008F049B">
        <w:trPr>
          <w:trHeight w:val="315"/>
          <w:jc w:val="center"/>
        </w:trPr>
        <w:tc>
          <w:tcPr>
            <w:tcW w:w="1838" w:type="dxa"/>
            <w:tcBorders>
              <w:top w:val="single" w:sz="18" w:space="0" w:color="000000" w:themeColor="text1"/>
            </w:tcBorders>
            <w:shd w:val="clear" w:color="auto" w:fill="FFFFCC"/>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Equivalence :</w:t>
            </w:r>
          </w:p>
        </w:tc>
        <w:tc>
          <w:tcPr>
            <w:tcW w:w="7944" w:type="dxa"/>
            <w:tcBorders>
              <w:top w:val="single" w:sz="18" w:space="0" w:color="000000" w:themeColor="text1"/>
            </w:tcBorders>
            <w:shd w:val="clear" w:color="auto" w:fill="FFFFCC"/>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EN 1203</w:t>
            </w:r>
          </w:p>
        </w:tc>
      </w:tr>
      <w:tr w:rsidR="00C8284D" w:rsidRPr="0043547B" w:rsidTr="009F7DF4">
        <w:trPr>
          <w:trHeight w:val="600"/>
          <w:jc w:val="center"/>
        </w:trPr>
        <w:tc>
          <w:tcPr>
            <w:tcW w:w="1838" w:type="dxa"/>
            <w:tcBorders>
              <w:bottom w:val="single" w:sz="4" w:space="0" w:color="000000" w:themeColor="text1"/>
            </w:tcBorders>
            <w:shd w:val="clear" w:color="auto" w:fill="8DB3E2" w:themeFill="text2" w:themeFillTint="66"/>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Intitulé :</w:t>
            </w:r>
          </w:p>
        </w:tc>
        <w:tc>
          <w:tcPr>
            <w:tcW w:w="7944" w:type="dxa"/>
            <w:tcBorders>
              <w:bottom w:val="single" w:sz="4"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 xml:space="preserve">Produits chimiques utilisés pour le traitement de l'eau destinée à la consommation humaine - Phosphate tripotassique  </w:t>
            </w:r>
          </w:p>
        </w:tc>
      </w:tr>
      <w:tr w:rsidR="00C8284D" w:rsidRPr="0043547B" w:rsidTr="009F7DF4">
        <w:trPr>
          <w:trHeight w:val="1575"/>
          <w:jc w:val="center"/>
        </w:trPr>
        <w:tc>
          <w:tcPr>
            <w:tcW w:w="1838" w:type="dxa"/>
            <w:tcBorders>
              <w:top w:val="single" w:sz="4" w:space="0" w:color="000000" w:themeColor="text1"/>
              <w:bottom w:val="single" w:sz="18" w:space="0" w:color="000000" w:themeColor="text1"/>
            </w:tcBorders>
            <w:shd w:val="clear" w:color="auto" w:fill="D9D9D9" w:themeFill="background1" w:themeFillShade="D9"/>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Domaine d’application :</w:t>
            </w:r>
          </w:p>
        </w:tc>
        <w:tc>
          <w:tcPr>
            <w:tcW w:w="7944" w:type="dxa"/>
            <w:tcBorders>
              <w:top w:val="single" w:sz="4" w:space="0" w:color="000000" w:themeColor="text1"/>
              <w:bottom w:val="single" w:sz="18"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Le présent document est applicable au phosphate tripotassique utilisé pour le traitement de l’eau destinée à la consommation humaine. Il décrit les caractéristiques et spécifie les exigences et les méthodes d’essai correspondantes pour le phosphate tripotassique. Il donne des informations pour son emploi dans le traitement de l’eau. Il fixe également les règles relatives à la sécurité d’emploi et de manipulation (voir Annexe B).</w:t>
            </w:r>
          </w:p>
        </w:tc>
      </w:tr>
      <w:tr w:rsidR="00C8284D" w:rsidRPr="0043547B" w:rsidTr="008F049B">
        <w:trPr>
          <w:trHeight w:val="315"/>
          <w:jc w:val="center"/>
        </w:trPr>
        <w:tc>
          <w:tcPr>
            <w:tcW w:w="1838" w:type="dxa"/>
            <w:tcBorders>
              <w:top w:val="single" w:sz="18" w:space="0" w:color="000000" w:themeColor="text1"/>
              <w:bottom w:val="single" w:sz="18" w:space="0" w:color="000000" w:themeColor="text1"/>
            </w:tcBorders>
            <w:shd w:val="clear" w:color="auto" w:fill="C2D69B" w:themeFill="accent3" w:themeFillTint="99"/>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Code :</w:t>
            </w:r>
          </w:p>
        </w:tc>
        <w:tc>
          <w:tcPr>
            <w:tcW w:w="7944" w:type="dxa"/>
            <w:tcBorders>
              <w:top w:val="single" w:sz="18" w:space="0" w:color="000000" w:themeColor="text1"/>
              <w:bottom w:val="single" w:sz="18" w:space="0" w:color="000000" w:themeColor="text1"/>
            </w:tcBorders>
            <w:shd w:val="clear" w:color="auto" w:fill="C2D69B" w:themeFill="accent3" w:themeFillTint="99"/>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NM EN 1204</w:t>
            </w:r>
          </w:p>
        </w:tc>
      </w:tr>
      <w:tr w:rsidR="00C8284D" w:rsidRPr="0043547B" w:rsidTr="008F049B">
        <w:trPr>
          <w:trHeight w:val="315"/>
          <w:jc w:val="center"/>
        </w:trPr>
        <w:tc>
          <w:tcPr>
            <w:tcW w:w="1838" w:type="dxa"/>
            <w:tcBorders>
              <w:top w:val="single" w:sz="18" w:space="0" w:color="000000" w:themeColor="text1"/>
            </w:tcBorders>
            <w:shd w:val="clear" w:color="auto" w:fill="FFFFCC"/>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Equivalence :</w:t>
            </w:r>
          </w:p>
        </w:tc>
        <w:tc>
          <w:tcPr>
            <w:tcW w:w="7944" w:type="dxa"/>
            <w:tcBorders>
              <w:top w:val="single" w:sz="18" w:space="0" w:color="000000" w:themeColor="text1"/>
            </w:tcBorders>
            <w:shd w:val="clear" w:color="auto" w:fill="FFFFCC"/>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EN 1204</w:t>
            </w:r>
          </w:p>
        </w:tc>
      </w:tr>
      <w:tr w:rsidR="00C8284D" w:rsidRPr="0043547B" w:rsidTr="009F7DF4">
        <w:trPr>
          <w:trHeight w:val="600"/>
          <w:jc w:val="center"/>
        </w:trPr>
        <w:tc>
          <w:tcPr>
            <w:tcW w:w="1838" w:type="dxa"/>
            <w:tcBorders>
              <w:bottom w:val="single" w:sz="4" w:space="0" w:color="000000" w:themeColor="text1"/>
            </w:tcBorders>
            <w:shd w:val="clear" w:color="auto" w:fill="8DB3E2" w:themeFill="text2" w:themeFillTint="66"/>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Intitulé :</w:t>
            </w:r>
          </w:p>
        </w:tc>
        <w:tc>
          <w:tcPr>
            <w:tcW w:w="7944" w:type="dxa"/>
            <w:tcBorders>
              <w:bottom w:val="single" w:sz="4"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 xml:space="preserve">Produits chimiques utilisés pour le traitement de l'eau destinée à la consommation humaine - Bis-dihydrogénophosphate de calcium </w:t>
            </w:r>
          </w:p>
        </w:tc>
      </w:tr>
      <w:tr w:rsidR="00C8284D" w:rsidRPr="0043547B" w:rsidTr="002532B1">
        <w:trPr>
          <w:trHeight w:val="1410"/>
          <w:jc w:val="center"/>
        </w:trPr>
        <w:tc>
          <w:tcPr>
            <w:tcW w:w="1838" w:type="dxa"/>
            <w:tcBorders>
              <w:top w:val="single" w:sz="4" w:space="0" w:color="000000" w:themeColor="text1"/>
              <w:bottom w:val="single" w:sz="18" w:space="0" w:color="000000" w:themeColor="text1"/>
            </w:tcBorders>
            <w:shd w:val="clear" w:color="auto" w:fill="D9D9D9" w:themeFill="background1" w:themeFillShade="D9"/>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Domaine d’application :</w:t>
            </w:r>
          </w:p>
        </w:tc>
        <w:tc>
          <w:tcPr>
            <w:tcW w:w="7944" w:type="dxa"/>
            <w:tcBorders>
              <w:top w:val="single" w:sz="4" w:space="0" w:color="000000" w:themeColor="text1"/>
              <w:bottom w:val="single" w:sz="18"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Le présent document est applicable au bis-dihydrogénophosphate de calcium utilisé pour le traitement de l’eau destinée à la consommation humaine. Il décrit les caractéristiques et spécifie les exigences et les méthodes d’essai correspondantes du bis-dihydrogénophosphate de calcium. Il donne des informations pour son emploi dans le traitement de l’eau.</w:t>
            </w:r>
          </w:p>
        </w:tc>
      </w:tr>
      <w:tr w:rsidR="00C8284D" w:rsidRPr="0043547B" w:rsidTr="008F049B">
        <w:trPr>
          <w:trHeight w:val="315"/>
          <w:jc w:val="center"/>
        </w:trPr>
        <w:tc>
          <w:tcPr>
            <w:tcW w:w="1838" w:type="dxa"/>
            <w:tcBorders>
              <w:top w:val="single" w:sz="18" w:space="0" w:color="000000" w:themeColor="text1"/>
              <w:bottom w:val="single" w:sz="18" w:space="0" w:color="000000" w:themeColor="text1"/>
            </w:tcBorders>
            <w:shd w:val="clear" w:color="auto" w:fill="C2D69B" w:themeFill="accent3" w:themeFillTint="99"/>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Code :</w:t>
            </w:r>
          </w:p>
        </w:tc>
        <w:tc>
          <w:tcPr>
            <w:tcW w:w="7944" w:type="dxa"/>
            <w:tcBorders>
              <w:top w:val="single" w:sz="18" w:space="0" w:color="000000" w:themeColor="text1"/>
              <w:bottom w:val="single" w:sz="18" w:space="0" w:color="000000" w:themeColor="text1"/>
            </w:tcBorders>
            <w:shd w:val="clear" w:color="auto" w:fill="C2D69B" w:themeFill="accent3" w:themeFillTint="99"/>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NM EN 1205</w:t>
            </w:r>
          </w:p>
        </w:tc>
      </w:tr>
      <w:tr w:rsidR="00C8284D" w:rsidRPr="0043547B" w:rsidTr="008F049B">
        <w:trPr>
          <w:trHeight w:val="315"/>
          <w:jc w:val="center"/>
        </w:trPr>
        <w:tc>
          <w:tcPr>
            <w:tcW w:w="1838" w:type="dxa"/>
            <w:tcBorders>
              <w:top w:val="single" w:sz="18" w:space="0" w:color="000000" w:themeColor="text1"/>
            </w:tcBorders>
            <w:shd w:val="clear" w:color="auto" w:fill="FFFFCC"/>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lastRenderedPageBreak/>
              <w:t>Equivalence :</w:t>
            </w:r>
          </w:p>
        </w:tc>
        <w:tc>
          <w:tcPr>
            <w:tcW w:w="7944" w:type="dxa"/>
            <w:tcBorders>
              <w:top w:val="single" w:sz="18" w:space="0" w:color="000000" w:themeColor="text1"/>
            </w:tcBorders>
            <w:shd w:val="clear" w:color="auto" w:fill="FFFFCC"/>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EN 1205</w:t>
            </w:r>
          </w:p>
        </w:tc>
      </w:tr>
      <w:tr w:rsidR="00C8284D" w:rsidRPr="0043547B" w:rsidTr="009F7DF4">
        <w:trPr>
          <w:trHeight w:val="600"/>
          <w:jc w:val="center"/>
        </w:trPr>
        <w:tc>
          <w:tcPr>
            <w:tcW w:w="1838" w:type="dxa"/>
            <w:tcBorders>
              <w:bottom w:val="single" w:sz="4" w:space="0" w:color="000000" w:themeColor="text1"/>
            </w:tcBorders>
            <w:shd w:val="clear" w:color="auto" w:fill="8DB3E2" w:themeFill="text2" w:themeFillTint="66"/>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Intitulé :</w:t>
            </w:r>
          </w:p>
        </w:tc>
        <w:tc>
          <w:tcPr>
            <w:tcW w:w="7944" w:type="dxa"/>
            <w:tcBorders>
              <w:bottom w:val="single" w:sz="4"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 xml:space="preserve">Produits chimiques utilisés pour le traitement de l'eau destinée à la consommation humaine - Dihydrogénopyrophosphate de sodium  </w:t>
            </w:r>
          </w:p>
        </w:tc>
      </w:tr>
      <w:tr w:rsidR="00C8284D" w:rsidRPr="0043547B" w:rsidTr="002532B1">
        <w:trPr>
          <w:trHeight w:val="1349"/>
          <w:jc w:val="center"/>
        </w:trPr>
        <w:tc>
          <w:tcPr>
            <w:tcW w:w="1838" w:type="dxa"/>
            <w:tcBorders>
              <w:top w:val="single" w:sz="4" w:space="0" w:color="000000" w:themeColor="text1"/>
              <w:bottom w:val="single" w:sz="18" w:space="0" w:color="000000" w:themeColor="text1"/>
            </w:tcBorders>
            <w:shd w:val="clear" w:color="auto" w:fill="D9D9D9" w:themeFill="background1" w:themeFillShade="D9"/>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Domaine d’application :</w:t>
            </w:r>
          </w:p>
        </w:tc>
        <w:tc>
          <w:tcPr>
            <w:tcW w:w="7944" w:type="dxa"/>
            <w:tcBorders>
              <w:top w:val="single" w:sz="4" w:space="0" w:color="000000" w:themeColor="text1"/>
              <w:bottom w:val="single" w:sz="18"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Le présent document est applicable au dihydrogénopyrophosphate de sodium utilisé pour le traitement de l’eau destinée à la consommation humaine. Il décrit les caractéristiques et spécifie les exigences et les méthodes d’essai correspondantes du dihydrogénopyrophosphate de sodium. Il donne des informations pour son emploi dans le traitement de l’eau.</w:t>
            </w:r>
          </w:p>
        </w:tc>
      </w:tr>
      <w:tr w:rsidR="00C8284D" w:rsidRPr="0043547B" w:rsidTr="008F049B">
        <w:trPr>
          <w:trHeight w:val="315"/>
          <w:jc w:val="center"/>
        </w:trPr>
        <w:tc>
          <w:tcPr>
            <w:tcW w:w="1838" w:type="dxa"/>
            <w:tcBorders>
              <w:top w:val="single" w:sz="18" w:space="0" w:color="000000" w:themeColor="text1"/>
              <w:bottom w:val="single" w:sz="18" w:space="0" w:color="000000" w:themeColor="text1"/>
            </w:tcBorders>
            <w:shd w:val="clear" w:color="auto" w:fill="C2D69B" w:themeFill="accent3" w:themeFillTint="99"/>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Code :</w:t>
            </w:r>
          </w:p>
        </w:tc>
        <w:tc>
          <w:tcPr>
            <w:tcW w:w="7944" w:type="dxa"/>
            <w:tcBorders>
              <w:top w:val="single" w:sz="18" w:space="0" w:color="000000" w:themeColor="text1"/>
              <w:bottom w:val="single" w:sz="18" w:space="0" w:color="000000" w:themeColor="text1"/>
            </w:tcBorders>
            <w:shd w:val="clear" w:color="auto" w:fill="C2D69B" w:themeFill="accent3" w:themeFillTint="99"/>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NM EN 1206</w:t>
            </w:r>
          </w:p>
        </w:tc>
      </w:tr>
      <w:tr w:rsidR="00C8284D" w:rsidRPr="0043547B" w:rsidTr="008F049B">
        <w:trPr>
          <w:trHeight w:val="315"/>
          <w:jc w:val="center"/>
        </w:trPr>
        <w:tc>
          <w:tcPr>
            <w:tcW w:w="1838" w:type="dxa"/>
            <w:tcBorders>
              <w:top w:val="single" w:sz="18" w:space="0" w:color="000000" w:themeColor="text1"/>
            </w:tcBorders>
            <w:shd w:val="clear" w:color="auto" w:fill="FFFFCC"/>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Equivalence :</w:t>
            </w:r>
          </w:p>
        </w:tc>
        <w:tc>
          <w:tcPr>
            <w:tcW w:w="7944" w:type="dxa"/>
            <w:tcBorders>
              <w:top w:val="single" w:sz="18" w:space="0" w:color="000000" w:themeColor="text1"/>
            </w:tcBorders>
            <w:shd w:val="clear" w:color="auto" w:fill="FFFFCC"/>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EN 1206</w:t>
            </w:r>
          </w:p>
        </w:tc>
      </w:tr>
      <w:tr w:rsidR="00C8284D" w:rsidRPr="0043547B" w:rsidTr="009F7DF4">
        <w:trPr>
          <w:trHeight w:val="600"/>
          <w:jc w:val="center"/>
        </w:trPr>
        <w:tc>
          <w:tcPr>
            <w:tcW w:w="1838" w:type="dxa"/>
            <w:tcBorders>
              <w:bottom w:val="single" w:sz="4" w:space="0" w:color="000000" w:themeColor="text1"/>
            </w:tcBorders>
            <w:shd w:val="clear" w:color="auto" w:fill="8DB3E2" w:themeFill="text2" w:themeFillTint="66"/>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Intitulé :</w:t>
            </w:r>
          </w:p>
        </w:tc>
        <w:tc>
          <w:tcPr>
            <w:tcW w:w="7944" w:type="dxa"/>
            <w:tcBorders>
              <w:bottom w:val="single" w:sz="4"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 xml:space="preserve">Produits chimiques utilisés pour le traitement de l'eau destinée à la consommation humaine - Pyrophosphate tétrasodique </w:t>
            </w:r>
          </w:p>
        </w:tc>
      </w:tr>
      <w:tr w:rsidR="00C8284D" w:rsidRPr="0043547B" w:rsidTr="002532B1">
        <w:trPr>
          <w:trHeight w:val="1062"/>
          <w:jc w:val="center"/>
        </w:trPr>
        <w:tc>
          <w:tcPr>
            <w:tcW w:w="1838" w:type="dxa"/>
            <w:tcBorders>
              <w:top w:val="single" w:sz="4" w:space="0" w:color="000000" w:themeColor="text1"/>
              <w:bottom w:val="single" w:sz="18" w:space="0" w:color="000000" w:themeColor="text1"/>
            </w:tcBorders>
            <w:shd w:val="clear" w:color="auto" w:fill="D9D9D9" w:themeFill="background1" w:themeFillShade="D9"/>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Domaine d’application :</w:t>
            </w:r>
          </w:p>
        </w:tc>
        <w:tc>
          <w:tcPr>
            <w:tcW w:w="7944" w:type="dxa"/>
            <w:tcBorders>
              <w:top w:val="single" w:sz="4" w:space="0" w:color="000000" w:themeColor="text1"/>
              <w:bottom w:val="single" w:sz="18"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Le présent document est applicable au pyrophosphate tétrasodique utilisé pour le traitement de l’eau destinée à la consommation humaine. Il décrit les caractéristiques et spécifie les exigences et les méthodes d’essai correspondantes du pyrophosphate tétrasodique. Il donne des informations pour son emploi dans le traitement de l’eau.</w:t>
            </w:r>
          </w:p>
        </w:tc>
      </w:tr>
      <w:tr w:rsidR="00C8284D" w:rsidRPr="0043547B" w:rsidTr="008F049B">
        <w:trPr>
          <w:trHeight w:val="315"/>
          <w:jc w:val="center"/>
        </w:trPr>
        <w:tc>
          <w:tcPr>
            <w:tcW w:w="1838" w:type="dxa"/>
            <w:tcBorders>
              <w:top w:val="single" w:sz="18" w:space="0" w:color="000000" w:themeColor="text1"/>
              <w:bottom w:val="single" w:sz="18" w:space="0" w:color="000000" w:themeColor="text1"/>
            </w:tcBorders>
            <w:shd w:val="clear" w:color="auto" w:fill="C2D69B" w:themeFill="accent3" w:themeFillTint="99"/>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Code :</w:t>
            </w:r>
          </w:p>
        </w:tc>
        <w:tc>
          <w:tcPr>
            <w:tcW w:w="7944" w:type="dxa"/>
            <w:tcBorders>
              <w:top w:val="single" w:sz="18" w:space="0" w:color="000000" w:themeColor="text1"/>
              <w:bottom w:val="single" w:sz="18" w:space="0" w:color="000000" w:themeColor="text1"/>
            </w:tcBorders>
            <w:shd w:val="clear" w:color="auto" w:fill="C2D69B" w:themeFill="accent3" w:themeFillTint="99"/>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NM EN 1207</w:t>
            </w:r>
          </w:p>
        </w:tc>
      </w:tr>
      <w:tr w:rsidR="00C8284D" w:rsidRPr="0043547B" w:rsidTr="008F049B">
        <w:trPr>
          <w:trHeight w:val="315"/>
          <w:jc w:val="center"/>
        </w:trPr>
        <w:tc>
          <w:tcPr>
            <w:tcW w:w="1838" w:type="dxa"/>
            <w:tcBorders>
              <w:top w:val="single" w:sz="18" w:space="0" w:color="000000" w:themeColor="text1"/>
            </w:tcBorders>
            <w:shd w:val="clear" w:color="auto" w:fill="FFFFCC"/>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Equivalence :</w:t>
            </w:r>
          </w:p>
        </w:tc>
        <w:tc>
          <w:tcPr>
            <w:tcW w:w="7944" w:type="dxa"/>
            <w:tcBorders>
              <w:top w:val="single" w:sz="18" w:space="0" w:color="000000" w:themeColor="text1"/>
            </w:tcBorders>
            <w:shd w:val="clear" w:color="auto" w:fill="FFFFCC"/>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EN 1207</w:t>
            </w:r>
          </w:p>
        </w:tc>
      </w:tr>
      <w:tr w:rsidR="00C8284D" w:rsidRPr="0043547B" w:rsidTr="009F7DF4">
        <w:trPr>
          <w:trHeight w:val="600"/>
          <w:jc w:val="center"/>
        </w:trPr>
        <w:tc>
          <w:tcPr>
            <w:tcW w:w="1838" w:type="dxa"/>
            <w:tcBorders>
              <w:bottom w:val="single" w:sz="4" w:space="0" w:color="000000" w:themeColor="text1"/>
            </w:tcBorders>
            <w:shd w:val="clear" w:color="auto" w:fill="8DB3E2" w:themeFill="text2" w:themeFillTint="66"/>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Intitulé :</w:t>
            </w:r>
          </w:p>
        </w:tc>
        <w:tc>
          <w:tcPr>
            <w:tcW w:w="7944" w:type="dxa"/>
            <w:tcBorders>
              <w:bottom w:val="single" w:sz="4"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 xml:space="preserve">Produits chimiques utilisés pour le traitement de l'eau destinée à la consommation humaine - Pyrophosphate tétrapotassique </w:t>
            </w:r>
          </w:p>
        </w:tc>
      </w:tr>
      <w:tr w:rsidR="00C8284D" w:rsidRPr="0043547B" w:rsidTr="009F7DF4">
        <w:trPr>
          <w:trHeight w:val="1350"/>
          <w:jc w:val="center"/>
        </w:trPr>
        <w:tc>
          <w:tcPr>
            <w:tcW w:w="1838" w:type="dxa"/>
            <w:tcBorders>
              <w:top w:val="single" w:sz="4" w:space="0" w:color="000000" w:themeColor="text1"/>
              <w:bottom w:val="single" w:sz="18" w:space="0" w:color="000000" w:themeColor="text1"/>
            </w:tcBorders>
            <w:shd w:val="clear" w:color="auto" w:fill="D9D9D9" w:themeFill="background1" w:themeFillShade="D9"/>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Domaine d’application :</w:t>
            </w:r>
          </w:p>
        </w:tc>
        <w:tc>
          <w:tcPr>
            <w:tcW w:w="7944" w:type="dxa"/>
            <w:tcBorders>
              <w:top w:val="single" w:sz="4" w:space="0" w:color="000000" w:themeColor="text1"/>
              <w:bottom w:val="single" w:sz="18"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Le présent document s’applique au pyrophosphate tétrapotassique utilisé pour le traitement de l’eau destinée à la consommation humaine. Il décrit les caractéristiques et spécifie les exigences et les méthodes d’essai correspondantes pour le pyrophosphate tétrapotassique. Il donne les informations pour son emploi dans le traitement de l’eau.</w:t>
            </w:r>
          </w:p>
        </w:tc>
      </w:tr>
      <w:tr w:rsidR="00C8284D" w:rsidRPr="0043547B" w:rsidTr="008F049B">
        <w:trPr>
          <w:trHeight w:val="315"/>
          <w:jc w:val="center"/>
        </w:trPr>
        <w:tc>
          <w:tcPr>
            <w:tcW w:w="1838" w:type="dxa"/>
            <w:tcBorders>
              <w:top w:val="single" w:sz="18" w:space="0" w:color="000000" w:themeColor="text1"/>
              <w:bottom w:val="single" w:sz="18" w:space="0" w:color="000000" w:themeColor="text1"/>
            </w:tcBorders>
            <w:shd w:val="clear" w:color="auto" w:fill="C2D69B" w:themeFill="accent3" w:themeFillTint="99"/>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Code :</w:t>
            </w:r>
          </w:p>
        </w:tc>
        <w:tc>
          <w:tcPr>
            <w:tcW w:w="7944" w:type="dxa"/>
            <w:tcBorders>
              <w:top w:val="single" w:sz="18" w:space="0" w:color="000000" w:themeColor="text1"/>
              <w:bottom w:val="single" w:sz="18" w:space="0" w:color="000000" w:themeColor="text1"/>
            </w:tcBorders>
            <w:shd w:val="clear" w:color="auto" w:fill="C2D69B" w:themeFill="accent3" w:themeFillTint="99"/>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NM EN 1209</w:t>
            </w:r>
          </w:p>
        </w:tc>
      </w:tr>
      <w:tr w:rsidR="00C8284D" w:rsidRPr="0043547B" w:rsidTr="008F049B">
        <w:trPr>
          <w:trHeight w:val="315"/>
          <w:jc w:val="center"/>
        </w:trPr>
        <w:tc>
          <w:tcPr>
            <w:tcW w:w="1838" w:type="dxa"/>
            <w:tcBorders>
              <w:top w:val="single" w:sz="18" w:space="0" w:color="000000" w:themeColor="text1"/>
            </w:tcBorders>
            <w:shd w:val="clear" w:color="auto" w:fill="FFFFCC"/>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Equivalence :</w:t>
            </w:r>
          </w:p>
        </w:tc>
        <w:tc>
          <w:tcPr>
            <w:tcW w:w="7944" w:type="dxa"/>
            <w:tcBorders>
              <w:top w:val="single" w:sz="18" w:space="0" w:color="000000" w:themeColor="text1"/>
            </w:tcBorders>
            <w:shd w:val="clear" w:color="auto" w:fill="FFFFCC"/>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EN 1209</w:t>
            </w:r>
          </w:p>
        </w:tc>
      </w:tr>
      <w:tr w:rsidR="00C8284D" w:rsidRPr="0043547B" w:rsidTr="009F7DF4">
        <w:trPr>
          <w:trHeight w:val="600"/>
          <w:jc w:val="center"/>
        </w:trPr>
        <w:tc>
          <w:tcPr>
            <w:tcW w:w="1838" w:type="dxa"/>
            <w:tcBorders>
              <w:bottom w:val="single" w:sz="4" w:space="0" w:color="000000" w:themeColor="text1"/>
            </w:tcBorders>
            <w:shd w:val="clear" w:color="auto" w:fill="8DB3E2" w:themeFill="text2" w:themeFillTint="66"/>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Intitulé :</w:t>
            </w:r>
          </w:p>
        </w:tc>
        <w:tc>
          <w:tcPr>
            <w:tcW w:w="7944" w:type="dxa"/>
            <w:tcBorders>
              <w:bottom w:val="single" w:sz="4"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Produits chimiques utilisés pour le traitement de l'eau destinée à la consommation humaine - Silicate de sodium </w:t>
            </w:r>
          </w:p>
        </w:tc>
      </w:tr>
      <w:tr w:rsidR="00C8284D" w:rsidRPr="0043547B" w:rsidTr="009B7921">
        <w:trPr>
          <w:trHeight w:val="559"/>
          <w:jc w:val="center"/>
        </w:trPr>
        <w:tc>
          <w:tcPr>
            <w:tcW w:w="1838" w:type="dxa"/>
            <w:tcBorders>
              <w:top w:val="single" w:sz="4" w:space="0" w:color="000000" w:themeColor="text1"/>
              <w:bottom w:val="single" w:sz="18" w:space="0" w:color="000000" w:themeColor="text1"/>
            </w:tcBorders>
            <w:shd w:val="clear" w:color="auto" w:fill="D9D9D9" w:themeFill="background1" w:themeFillShade="D9"/>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Domaine d’application :</w:t>
            </w:r>
          </w:p>
        </w:tc>
        <w:tc>
          <w:tcPr>
            <w:tcW w:w="7944" w:type="dxa"/>
            <w:tcBorders>
              <w:top w:val="single" w:sz="4" w:space="0" w:color="000000" w:themeColor="text1"/>
              <w:bottom w:val="single" w:sz="18"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 xml:space="preserve">La présente Norme marocaine est applicable au silicate de sodium utilisé pour le traitement de l'eau destinée à la consommation humaine. </w:t>
            </w:r>
          </w:p>
          <w:p w:rsidR="00C8284D" w:rsidRPr="0043547B" w:rsidRDefault="00C8284D" w:rsidP="00C8284D">
            <w:pPr>
              <w:jc w:val="both"/>
              <w:rPr>
                <w:rFonts w:cstheme="minorHAnsi"/>
                <w:sz w:val="24"/>
                <w:szCs w:val="24"/>
              </w:rPr>
            </w:pPr>
            <w:r w:rsidRPr="0043547B">
              <w:rPr>
                <w:rFonts w:cstheme="minorHAnsi"/>
                <w:sz w:val="24"/>
                <w:szCs w:val="24"/>
              </w:rPr>
              <w:t>Elle décrit les caractéristiques du silicate de sodium et précise les prescriptions et les méthodes d'essai correspondantes du silicate de sodium. Elle donne les informations pour son emploi dans le traitement de l'eau.</w:t>
            </w:r>
          </w:p>
        </w:tc>
      </w:tr>
      <w:tr w:rsidR="00C8284D" w:rsidRPr="0043547B" w:rsidTr="008F049B">
        <w:trPr>
          <w:trHeight w:val="315"/>
          <w:jc w:val="center"/>
        </w:trPr>
        <w:tc>
          <w:tcPr>
            <w:tcW w:w="1838" w:type="dxa"/>
            <w:tcBorders>
              <w:top w:val="single" w:sz="18" w:space="0" w:color="000000" w:themeColor="text1"/>
              <w:bottom w:val="single" w:sz="18" w:space="0" w:color="000000" w:themeColor="text1"/>
            </w:tcBorders>
            <w:shd w:val="clear" w:color="auto" w:fill="C2D69B" w:themeFill="accent3" w:themeFillTint="99"/>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Code :</w:t>
            </w:r>
          </w:p>
        </w:tc>
        <w:tc>
          <w:tcPr>
            <w:tcW w:w="7944" w:type="dxa"/>
            <w:tcBorders>
              <w:top w:val="single" w:sz="18" w:space="0" w:color="000000" w:themeColor="text1"/>
              <w:bottom w:val="single" w:sz="18" w:space="0" w:color="000000" w:themeColor="text1"/>
            </w:tcBorders>
            <w:shd w:val="clear" w:color="auto" w:fill="C2D69B" w:themeFill="accent3" w:themeFillTint="99"/>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NM EN 1210</w:t>
            </w:r>
          </w:p>
        </w:tc>
      </w:tr>
      <w:tr w:rsidR="00C8284D" w:rsidRPr="0043547B" w:rsidTr="008F049B">
        <w:trPr>
          <w:trHeight w:val="315"/>
          <w:jc w:val="center"/>
        </w:trPr>
        <w:tc>
          <w:tcPr>
            <w:tcW w:w="1838" w:type="dxa"/>
            <w:tcBorders>
              <w:top w:val="single" w:sz="18" w:space="0" w:color="000000" w:themeColor="text1"/>
            </w:tcBorders>
            <w:shd w:val="clear" w:color="auto" w:fill="FFFFCC"/>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Equivalence :</w:t>
            </w:r>
          </w:p>
        </w:tc>
        <w:tc>
          <w:tcPr>
            <w:tcW w:w="7944" w:type="dxa"/>
            <w:tcBorders>
              <w:top w:val="single" w:sz="18" w:space="0" w:color="000000" w:themeColor="text1"/>
            </w:tcBorders>
            <w:shd w:val="clear" w:color="auto" w:fill="FFFFCC"/>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EN 1210</w:t>
            </w:r>
          </w:p>
        </w:tc>
      </w:tr>
      <w:tr w:rsidR="00C8284D" w:rsidRPr="0043547B" w:rsidTr="009F7DF4">
        <w:trPr>
          <w:trHeight w:val="600"/>
          <w:jc w:val="center"/>
        </w:trPr>
        <w:tc>
          <w:tcPr>
            <w:tcW w:w="1838" w:type="dxa"/>
            <w:tcBorders>
              <w:bottom w:val="single" w:sz="4" w:space="0" w:color="000000" w:themeColor="text1"/>
            </w:tcBorders>
            <w:shd w:val="clear" w:color="auto" w:fill="8DB3E2" w:themeFill="text2" w:themeFillTint="66"/>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Intitulé :</w:t>
            </w:r>
          </w:p>
        </w:tc>
        <w:tc>
          <w:tcPr>
            <w:tcW w:w="7944" w:type="dxa"/>
            <w:tcBorders>
              <w:bottom w:val="single" w:sz="4"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Produits chimiques utilisés pour le traitement de l'eau destinée à la consommation humaine – Tripolyphosphate de sodium</w:t>
            </w:r>
          </w:p>
        </w:tc>
      </w:tr>
      <w:tr w:rsidR="00C8284D" w:rsidRPr="0043547B" w:rsidTr="009F7DF4">
        <w:trPr>
          <w:trHeight w:val="1290"/>
          <w:jc w:val="center"/>
        </w:trPr>
        <w:tc>
          <w:tcPr>
            <w:tcW w:w="1838" w:type="dxa"/>
            <w:tcBorders>
              <w:top w:val="single" w:sz="4" w:space="0" w:color="000000" w:themeColor="text1"/>
              <w:bottom w:val="single" w:sz="18" w:space="0" w:color="000000" w:themeColor="text1"/>
            </w:tcBorders>
            <w:shd w:val="clear" w:color="auto" w:fill="D9D9D9" w:themeFill="background1" w:themeFillShade="D9"/>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Domaine d’application :</w:t>
            </w:r>
          </w:p>
        </w:tc>
        <w:tc>
          <w:tcPr>
            <w:tcW w:w="7944" w:type="dxa"/>
            <w:tcBorders>
              <w:top w:val="single" w:sz="4" w:space="0" w:color="000000" w:themeColor="text1"/>
              <w:bottom w:val="single" w:sz="18"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Le présent document s’applique au tripolyphosphate de sodium utilisé pour le traitement de l’eau destinée à la consommation humaine. Il décrit les caractéristiques et spécifie les exigences et les méthodes d’essai correspondantes pour le tripolyphosphate de sodium. Il donne les informations pour son emploi dans le traitement de l’eau.</w:t>
            </w:r>
          </w:p>
        </w:tc>
      </w:tr>
      <w:tr w:rsidR="00C8284D" w:rsidRPr="0043547B" w:rsidTr="008F049B">
        <w:trPr>
          <w:trHeight w:val="315"/>
          <w:jc w:val="center"/>
        </w:trPr>
        <w:tc>
          <w:tcPr>
            <w:tcW w:w="1838" w:type="dxa"/>
            <w:tcBorders>
              <w:top w:val="single" w:sz="18" w:space="0" w:color="000000" w:themeColor="text1"/>
              <w:bottom w:val="single" w:sz="18" w:space="0" w:color="000000" w:themeColor="text1"/>
            </w:tcBorders>
            <w:shd w:val="clear" w:color="auto" w:fill="C2D69B" w:themeFill="accent3" w:themeFillTint="99"/>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Code :</w:t>
            </w:r>
          </w:p>
        </w:tc>
        <w:tc>
          <w:tcPr>
            <w:tcW w:w="7944" w:type="dxa"/>
            <w:tcBorders>
              <w:top w:val="single" w:sz="18" w:space="0" w:color="000000" w:themeColor="text1"/>
              <w:bottom w:val="single" w:sz="18" w:space="0" w:color="000000" w:themeColor="text1"/>
            </w:tcBorders>
            <w:shd w:val="clear" w:color="auto" w:fill="C2D69B" w:themeFill="accent3" w:themeFillTint="99"/>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NM EN 1211</w:t>
            </w:r>
          </w:p>
        </w:tc>
      </w:tr>
      <w:tr w:rsidR="00C8284D" w:rsidRPr="0043547B" w:rsidTr="008F049B">
        <w:trPr>
          <w:trHeight w:val="315"/>
          <w:jc w:val="center"/>
        </w:trPr>
        <w:tc>
          <w:tcPr>
            <w:tcW w:w="1838" w:type="dxa"/>
            <w:tcBorders>
              <w:top w:val="single" w:sz="18" w:space="0" w:color="000000" w:themeColor="text1"/>
            </w:tcBorders>
            <w:shd w:val="clear" w:color="auto" w:fill="FFFFCC"/>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Equivalence :</w:t>
            </w:r>
          </w:p>
        </w:tc>
        <w:tc>
          <w:tcPr>
            <w:tcW w:w="7944" w:type="dxa"/>
            <w:tcBorders>
              <w:top w:val="single" w:sz="18" w:space="0" w:color="000000" w:themeColor="text1"/>
            </w:tcBorders>
            <w:shd w:val="clear" w:color="auto" w:fill="FFFFCC"/>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EN 1211</w:t>
            </w:r>
          </w:p>
        </w:tc>
      </w:tr>
      <w:tr w:rsidR="00C8284D" w:rsidRPr="0043547B" w:rsidTr="009F7DF4">
        <w:trPr>
          <w:trHeight w:val="600"/>
          <w:jc w:val="center"/>
        </w:trPr>
        <w:tc>
          <w:tcPr>
            <w:tcW w:w="1838" w:type="dxa"/>
            <w:tcBorders>
              <w:bottom w:val="single" w:sz="4" w:space="0" w:color="000000" w:themeColor="text1"/>
            </w:tcBorders>
            <w:shd w:val="clear" w:color="auto" w:fill="8DB3E2" w:themeFill="text2" w:themeFillTint="66"/>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lastRenderedPageBreak/>
              <w:t>Intitulé :</w:t>
            </w:r>
          </w:p>
        </w:tc>
        <w:tc>
          <w:tcPr>
            <w:tcW w:w="7944" w:type="dxa"/>
            <w:tcBorders>
              <w:bottom w:val="single" w:sz="4"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 xml:space="preserve">Produits chimiques utilisés pour le traitement de l'eau destinée à la consommation humaine - Tripolyphosphate de potassium </w:t>
            </w:r>
          </w:p>
        </w:tc>
      </w:tr>
      <w:tr w:rsidR="00C8284D" w:rsidRPr="0043547B" w:rsidTr="009F7DF4">
        <w:trPr>
          <w:trHeight w:val="1305"/>
          <w:jc w:val="center"/>
        </w:trPr>
        <w:tc>
          <w:tcPr>
            <w:tcW w:w="1838" w:type="dxa"/>
            <w:tcBorders>
              <w:top w:val="single" w:sz="4" w:space="0" w:color="000000" w:themeColor="text1"/>
              <w:bottom w:val="single" w:sz="18" w:space="0" w:color="000000" w:themeColor="text1"/>
            </w:tcBorders>
            <w:shd w:val="clear" w:color="auto" w:fill="D9D9D9" w:themeFill="background1" w:themeFillShade="D9"/>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Domaine d’application :</w:t>
            </w:r>
          </w:p>
        </w:tc>
        <w:tc>
          <w:tcPr>
            <w:tcW w:w="7944" w:type="dxa"/>
            <w:tcBorders>
              <w:top w:val="single" w:sz="4" w:space="0" w:color="000000" w:themeColor="text1"/>
              <w:bottom w:val="single" w:sz="18"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Le présent document s’applique au tripolyphosphate de potassium utilisé pour le traitement de l’eau destinée à la consommation humaine. Il décrit les caractéristiques et spécifie les exigences et les méthodes d’essai correspondantes pour le tripolyphosphate de potassium. Il donne les informations pour son emploi dans le traitement de l’eau.</w:t>
            </w:r>
          </w:p>
        </w:tc>
      </w:tr>
      <w:tr w:rsidR="00C8284D" w:rsidRPr="0043547B" w:rsidTr="008F049B">
        <w:trPr>
          <w:trHeight w:val="315"/>
          <w:jc w:val="center"/>
        </w:trPr>
        <w:tc>
          <w:tcPr>
            <w:tcW w:w="1838" w:type="dxa"/>
            <w:tcBorders>
              <w:top w:val="single" w:sz="18" w:space="0" w:color="000000" w:themeColor="text1"/>
              <w:bottom w:val="single" w:sz="18" w:space="0" w:color="000000" w:themeColor="text1"/>
            </w:tcBorders>
            <w:shd w:val="clear" w:color="auto" w:fill="C2D69B" w:themeFill="accent3" w:themeFillTint="99"/>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Code :</w:t>
            </w:r>
          </w:p>
        </w:tc>
        <w:tc>
          <w:tcPr>
            <w:tcW w:w="7944" w:type="dxa"/>
            <w:tcBorders>
              <w:top w:val="single" w:sz="18" w:space="0" w:color="000000" w:themeColor="text1"/>
              <w:bottom w:val="single" w:sz="18" w:space="0" w:color="000000" w:themeColor="text1"/>
            </w:tcBorders>
            <w:shd w:val="clear" w:color="auto" w:fill="C2D69B" w:themeFill="accent3" w:themeFillTint="99"/>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NM EN 1212</w:t>
            </w:r>
          </w:p>
        </w:tc>
      </w:tr>
      <w:tr w:rsidR="00C8284D" w:rsidRPr="0043547B" w:rsidTr="008F049B">
        <w:trPr>
          <w:trHeight w:val="315"/>
          <w:jc w:val="center"/>
        </w:trPr>
        <w:tc>
          <w:tcPr>
            <w:tcW w:w="1838" w:type="dxa"/>
            <w:tcBorders>
              <w:top w:val="single" w:sz="18" w:space="0" w:color="000000" w:themeColor="text1"/>
            </w:tcBorders>
            <w:shd w:val="clear" w:color="auto" w:fill="FFFFCC"/>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Equivalence :</w:t>
            </w:r>
          </w:p>
        </w:tc>
        <w:tc>
          <w:tcPr>
            <w:tcW w:w="7944" w:type="dxa"/>
            <w:tcBorders>
              <w:top w:val="single" w:sz="18" w:space="0" w:color="000000" w:themeColor="text1"/>
            </w:tcBorders>
            <w:shd w:val="clear" w:color="auto" w:fill="FFFFCC"/>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EN 1212</w:t>
            </w:r>
          </w:p>
        </w:tc>
      </w:tr>
      <w:tr w:rsidR="00C8284D" w:rsidRPr="0043547B" w:rsidTr="009F7DF4">
        <w:trPr>
          <w:trHeight w:val="600"/>
          <w:jc w:val="center"/>
        </w:trPr>
        <w:tc>
          <w:tcPr>
            <w:tcW w:w="1838" w:type="dxa"/>
            <w:tcBorders>
              <w:bottom w:val="single" w:sz="4" w:space="0" w:color="000000" w:themeColor="text1"/>
            </w:tcBorders>
            <w:shd w:val="clear" w:color="auto" w:fill="8DB3E2" w:themeFill="text2" w:themeFillTint="66"/>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Intitulé :</w:t>
            </w:r>
          </w:p>
        </w:tc>
        <w:tc>
          <w:tcPr>
            <w:tcW w:w="7944" w:type="dxa"/>
            <w:tcBorders>
              <w:bottom w:val="single" w:sz="4"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 xml:space="preserve">Produits chimiques utilisés pour le traitement de l'eau destinée à la consommation humaine - Polyphosphate de sodium </w:t>
            </w:r>
          </w:p>
        </w:tc>
      </w:tr>
      <w:tr w:rsidR="00C8284D" w:rsidRPr="0043547B" w:rsidTr="002532B1">
        <w:trPr>
          <w:trHeight w:val="1069"/>
          <w:jc w:val="center"/>
        </w:trPr>
        <w:tc>
          <w:tcPr>
            <w:tcW w:w="1838" w:type="dxa"/>
            <w:tcBorders>
              <w:top w:val="single" w:sz="4" w:space="0" w:color="000000" w:themeColor="text1"/>
              <w:bottom w:val="single" w:sz="18" w:space="0" w:color="000000" w:themeColor="text1"/>
            </w:tcBorders>
            <w:shd w:val="clear" w:color="auto" w:fill="D9D9D9" w:themeFill="background1" w:themeFillShade="D9"/>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Domaine d’application :</w:t>
            </w:r>
          </w:p>
        </w:tc>
        <w:tc>
          <w:tcPr>
            <w:tcW w:w="7944" w:type="dxa"/>
            <w:tcBorders>
              <w:top w:val="single" w:sz="4" w:space="0" w:color="000000" w:themeColor="text1"/>
              <w:bottom w:val="single" w:sz="18"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Le présent document s’applique au polyphosphate de sodium utilisé pour le traitement de l’eau destinée à la consommation humaine. Il décrit les caractéristiques et spécifie les exigences et les méthodes d’essai correspondantes pour le polyphosphate de sodium. Il donne les informations pour son emploi dans le traitement de l’eau.</w:t>
            </w:r>
          </w:p>
        </w:tc>
      </w:tr>
      <w:tr w:rsidR="00C8284D" w:rsidRPr="0043547B" w:rsidTr="008F049B">
        <w:trPr>
          <w:trHeight w:val="315"/>
          <w:jc w:val="center"/>
        </w:trPr>
        <w:tc>
          <w:tcPr>
            <w:tcW w:w="1838" w:type="dxa"/>
            <w:tcBorders>
              <w:top w:val="single" w:sz="18" w:space="0" w:color="000000" w:themeColor="text1"/>
              <w:bottom w:val="single" w:sz="18" w:space="0" w:color="000000" w:themeColor="text1"/>
            </w:tcBorders>
            <w:shd w:val="clear" w:color="auto" w:fill="C2D69B" w:themeFill="accent3" w:themeFillTint="99"/>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Code :</w:t>
            </w:r>
          </w:p>
        </w:tc>
        <w:tc>
          <w:tcPr>
            <w:tcW w:w="7944" w:type="dxa"/>
            <w:tcBorders>
              <w:top w:val="single" w:sz="18" w:space="0" w:color="000000" w:themeColor="text1"/>
              <w:bottom w:val="single" w:sz="18" w:space="0" w:color="000000" w:themeColor="text1"/>
            </w:tcBorders>
            <w:shd w:val="clear" w:color="auto" w:fill="C2D69B" w:themeFill="accent3" w:themeFillTint="99"/>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NM EN 1405</w:t>
            </w:r>
          </w:p>
        </w:tc>
      </w:tr>
      <w:tr w:rsidR="00C8284D" w:rsidRPr="0043547B" w:rsidTr="008F049B">
        <w:trPr>
          <w:trHeight w:val="315"/>
          <w:jc w:val="center"/>
        </w:trPr>
        <w:tc>
          <w:tcPr>
            <w:tcW w:w="1838" w:type="dxa"/>
            <w:tcBorders>
              <w:top w:val="single" w:sz="18" w:space="0" w:color="000000" w:themeColor="text1"/>
            </w:tcBorders>
            <w:shd w:val="clear" w:color="auto" w:fill="FFFFCC"/>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Equivalence :</w:t>
            </w:r>
          </w:p>
        </w:tc>
        <w:tc>
          <w:tcPr>
            <w:tcW w:w="7944" w:type="dxa"/>
            <w:tcBorders>
              <w:top w:val="single" w:sz="18" w:space="0" w:color="000000" w:themeColor="text1"/>
            </w:tcBorders>
            <w:shd w:val="clear" w:color="auto" w:fill="FFFFCC"/>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EN 1405</w:t>
            </w:r>
          </w:p>
        </w:tc>
      </w:tr>
      <w:tr w:rsidR="00C8284D" w:rsidRPr="0043547B" w:rsidTr="009F7DF4">
        <w:trPr>
          <w:trHeight w:val="600"/>
          <w:jc w:val="center"/>
        </w:trPr>
        <w:tc>
          <w:tcPr>
            <w:tcW w:w="1838" w:type="dxa"/>
            <w:tcBorders>
              <w:bottom w:val="single" w:sz="4" w:space="0" w:color="000000" w:themeColor="text1"/>
            </w:tcBorders>
            <w:shd w:val="clear" w:color="auto" w:fill="8DB3E2" w:themeFill="text2" w:themeFillTint="66"/>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Intitulé :</w:t>
            </w:r>
          </w:p>
        </w:tc>
        <w:tc>
          <w:tcPr>
            <w:tcW w:w="7944" w:type="dxa"/>
            <w:tcBorders>
              <w:bottom w:val="single" w:sz="4"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 xml:space="preserve">Produits chimiques utilisés pour le traitement de l'eau destinée à la consommation humaine - Alginate de sodium   </w:t>
            </w:r>
          </w:p>
        </w:tc>
      </w:tr>
      <w:tr w:rsidR="00C8284D" w:rsidRPr="0043547B" w:rsidTr="002532B1">
        <w:trPr>
          <w:trHeight w:val="1075"/>
          <w:jc w:val="center"/>
        </w:trPr>
        <w:tc>
          <w:tcPr>
            <w:tcW w:w="1838" w:type="dxa"/>
            <w:tcBorders>
              <w:top w:val="single" w:sz="4" w:space="0" w:color="000000" w:themeColor="text1"/>
              <w:bottom w:val="single" w:sz="18" w:space="0" w:color="000000" w:themeColor="text1"/>
            </w:tcBorders>
            <w:shd w:val="clear" w:color="auto" w:fill="D9D9D9" w:themeFill="background1" w:themeFillShade="D9"/>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Domai</w:t>
            </w:r>
            <w:r w:rsidRPr="0043547B">
              <w:rPr>
                <w:rFonts w:cstheme="minorHAnsi"/>
                <w:b/>
                <w:bCs/>
                <w:sz w:val="24"/>
                <w:szCs w:val="24"/>
                <w:shd w:val="clear" w:color="auto" w:fill="D9D9D9" w:themeFill="background1" w:themeFillShade="D9"/>
              </w:rPr>
              <w:t>n</w:t>
            </w:r>
            <w:r w:rsidRPr="0043547B">
              <w:rPr>
                <w:rFonts w:cstheme="minorHAnsi"/>
                <w:b/>
                <w:bCs/>
                <w:sz w:val="24"/>
                <w:szCs w:val="24"/>
              </w:rPr>
              <w:t>e d’application :</w:t>
            </w:r>
          </w:p>
        </w:tc>
        <w:tc>
          <w:tcPr>
            <w:tcW w:w="7944" w:type="dxa"/>
            <w:tcBorders>
              <w:top w:val="single" w:sz="4" w:space="0" w:color="000000" w:themeColor="text1"/>
              <w:bottom w:val="single" w:sz="18"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La présente Norme marocaine est applicable à l'alginate de sodium utilisé pour le traitement de l'eau destinée à la consommation humaine. Elle décrit les caractéristiques et spécifie les prescriptions et les méthodes d'essai correspondantes pour l'alginate de sodium.</w:t>
            </w:r>
          </w:p>
        </w:tc>
      </w:tr>
      <w:tr w:rsidR="00C8284D" w:rsidRPr="0043547B" w:rsidTr="008F049B">
        <w:trPr>
          <w:trHeight w:val="315"/>
          <w:jc w:val="center"/>
        </w:trPr>
        <w:tc>
          <w:tcPr>
            <w:tcW w:w="1838" w:type="dxa"/>
            <w:tcBorders>
              <w:top w:val="single" w:sz="18" w:space="0" w:color="000000" w:themeColor="text1"/>
              <w:bottom w:val="single" w:sz="18" w:space="0" w:color="000000" w:themeColor="text1"/>
            </w:tcBorders>
            <w:shd w:val="clear" w:color="auto" w:fill="C2D69B" w:themeFill="accent3" w:themeFillTint="99"/>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Code :</w:t>
            </w:r>
          </w:p>
        </w:tc>
        <w:tc>
          <w:tcPr>
            <w:tcW w:w="7944" w:type="dxa"/>
            <w:tcBorders>
              <w:top w:val="single" w:sz="18" w:space="0" w:color="000000" w:themeColor="text1"/>
              <w:bottom w:val="single" w:sz="18" w:space="0" w:color="000000" w:themeColor="text1"/>
            </w:tcBorders>
            <w:shd w:val="clear" w:color="auto" w:fill="C2D69B" w:themeFill="accent3" w:themeFillTint="99"/>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NM EN 1406</w:t>
            </w:r>
          </w:p>
        </w:tc>
      </w:tr>
      <w:tr w:rsidR="00C8284D" w:rsidRPr="0043547B" w:rsidTr="008F049B">
        <w:trPr>
          <w:trHeight w:val="315"/>
          <w:jc w:val="center"/>
        </w:trPr>
        <w:tc>
          <w:tcPr>
            <w:tcW w:w="1838" w:type="dxa"/>
            <w:tcBorders>
              <w:top w:val="single" w:sz="18" w:space="0" w:color="000000" w:themeColor="text1"/>
            </w:tcBorders>
            <w:shd w:val="clear" w:color="auto" w:fill="FFFFCC"/>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Equivalence :</w:t>
            </w:r>
          </w:p>
        </w:tc>
        <w:tc>
          <w:tcPr>
            <w:tcW w:w="7944" w:type="dxa"/>
            <w:tcBorders>
              <w:top w:val="single" w:sz="18" w:space="0" w:color="000000" w:themeColor="text1"/>
            </w:tcBorders>
            <w:shd w:val="clear" w:color="auto" w:fill="FFFFCC"/>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EN 1406</w:t>
            </w:r>
          </w:p>
        </w:tc>
      </w:tr>
      <w:tr w:rsidR="00C8284D" w:rsidRPr="0043547B" w:rsidTr="009F7DF4">
        <w:trPr>
          <w:trHeight w:val="600"/>
          <w:jc w:val="center"/>
        </w:trPr>
        <w:tc>
          <w:tcPr>
            <w:tcW w:w="1838" w:type="dxa"/>
            <w:tcBorders>
              <w:bottom w:val="single" w:sz="4" w:space="0" w:color="000000" w:themeColor="text1"/>
            </w:tcBorders>
            <w:shd w:val="clear" w:color="auto" w:fill="8DB3E2" w:themeFill="text2" w:themeFillTint="66"/>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Intitulé :</w:t>
            </w:r>
          </w:p>
        </w:tc>
        <w:tc>
          <w:tcPr>
            <w:tcW w:w="7944" w:type="dxa"/>
            <w:tcBorders>
              <w:bottom w:val="single" w:sz="4"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 xml:space="preserve">Produits chimiques utilisés pour le traitement de l'eau destinée à la consommation humaine - Amidon modifié </w:t>
            </w:r>
          </w:p>
        </w:tc>
      </w:tr>
      <w:tr w:rsidR="00C8284D" w:rsidRPr="0043547B" w:rsidTr="009B7921">
        <w:trPr>
          <w:trHeight w:val="1245"/>
          <w:jc w:val="center"/>
        </w:trPr>
        <w:tc>
          <w:tcPr>
            <w:tcW w:w="1838" w:type="dxa"/>
            <w:tcBorders>
              <w:top w:val="single" w:sz="4" w:space="0" w:color="000000" w:themeColor="text1"/>
              <w:bottom w:val="single" w:sz="18" w:space="0" w:color="000000" w:themeColor="text1"/>
            </w:tcBorders>
            <w:shd w:val="clear" w:color="auto" w:fill="D9D9D9" w:themeFill="background1" w:themeFillShade="D9"/>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Domaine d’application :</w:t>
            </w:r>
          </w:p>
        </w:tc>
        <w:tc>
          <w:tcPr>
            <w:tcW w:w="7944" w:type="dxa"/>
            <w:tcBorders>
              <w:top w:val="single" w:sz="4" w:space="0" w:color="000000" w:themeColor="text1"/>
              <w:bottom w:val="single" w:sz="18"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La présente Norme marocaine est applicable aux amidons modifiés utilisés pour le traitement de l'eau destinée à la consommation humaine. Elle décrit les caractéristiques et spécifie les prescriptions et les méthodes d'essai correspondantes pour les amidons modifiés.</w:t>
            </w:r>
          </w:p>
        </w:tc>
      </w:tr>
      <w:tr w:rsidR="00C8284D" w:rsidRPr="0043547B" w:rsidTr="008F049B">
        <w:trPr>
          <w:trHeight w:val="315"/>
          <w:jc w:val="center"/>
        </w:trPr>
        <w:tc>
          <w:tcPr>
            <w:tcW w:w="1838" w:type="dxa"/>
            <w:tcBorders>
              <w:top w:val="single" w:sz="18" w:space="0" w:color="000000" w:themeColor="text1"/>
              <w:bottom w:val="single" w:sz="18" w:space="0" w:color="000000" w:themeColor="text1"/>
            </w:tcBorders>
            <w:shd w:val="clear" w:color="auto" w:fill="C2D69B" w:themeFill="accent3" w:themeFillTint="99"/>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Code :</w:t>
            </w:r>
          </w:p>
        </w:tc>
        <w:tc>
          <w:tcPr>
            <w:tcW w:w="7944" w:type="dxa"/>
            <w:tcBorders>
              <w:top w:val="single" w:sz="18" w:space="0" w:color="000000" w:themeColor="text1"/>
              <w:bottom w:val="single" w:sz="18" w:space="0" w:color="000000" w:themeColor="text1"/>
            </w:tcBorders>
            <w:shd w:val="clear" w:color="auto" w:fill="C2D69B" w:themeFill="accent3" w:themeFillTint="99"/>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NM EN 1407</w:t>
            </w:r>
          </w:p>
        </w:tc>
      </w:tr>
      <w:tr w:rsidR="00C8284D" w:rsidRPr="0043547B" w:rsidTr="000B2CF0">
        <w:trPr>
          <w:trHeight w:val="315"/>
          <w:jc w:val="center"/>
        </w:trPr>
        <w:tc>
          <w:tcPr>
            <w:tcW w:w="1838" w:type="dxa"/>
            <w:tcBorders>
              <w:top w:val="single" w:sz="18" w:space="0" w:color="000000" w:themeColor="text1"/>
            </w:tcBorders>
            <w:shd w:val="clear" w:color="auto" w:fill="FFFFCC"/>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Equivalence :</w:t>
            </w:r>
          </w:p>
        </w:tc>
        <w:tc>
          <w:tcPr>
            <w:tcW w:w="7944" w:type="dxa"/>
            <w:tcBorders>
              <w:top w:val="single" w:sz="18" w:space="0" w:color="000000" w:themeColor="text1"/>
            </w:tcBorders>
            <w:shd w:val="clear" w:color="auto" w:fill="FFFFCC"/>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EN 1407</w:t>
            </w:r>
          </w:p>
        </w:tc>
      </w:tr>
      <w:tr w:rsidR="00C8284D" w:rsidRPr="0043547B" w:rsidTr="009F7DF4">
        <w:trPr>
          <w:trHeight w:val="600"/>
          <w:jc w:val="center"/>
        </w:trPr>
        <w:tc>
          <w:tcPr>
            <w:tcW w:w="1838" w:type="dxa"/>
            <w:tcBorders>
              <w:bottom w:val="single" w:sz="4" w:space="0" w:color="000000" w:themeColor="text1"/>
            </w:tcBorders>
            <w:shd w:val="clear" w:color="auto" w:fill="8DB3E2" w:themeFill="text2" w:themeFillTint="66"/>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Intitulé :</w:t>
            </w:r>
          </w:p>
        </w:tc>
        <w:tc>
          <w:tcPr>
            <w:tcW w:w="7944" w:type="dxa"/>
            <w:tcBorders>
              <w:bottom w:val="single" w:sz="4"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 xml:space="preserve">Produits chimiques utilisés pour le traitement de l'eau destinée à la consommation humaine - Polyacrylamides anioniques et non ioniques   </w:t>
            </w:r>
          </w:p>
        </w:tc>
      </w:tr>
      <w:tr w:rsidR="00C8284D" w:rsidRPr="0043547B" w:rsidTr="002532B1">
        <w:trPr>
          <w:trHeight w:val="1641"/>
          <w:jc w:val="center"/>
        </w:trPr>
        <w:tc>
          <w:tcPr>
            <w:tcW w:w="1838" w:type="dxa"/>
            <w:tcBorders>
              <w:top w:val="single" w:sz="4" w:space="0" w:color="000000" w:themeColor="text1"/>
              <w:bottom w:val="single" w:sz="18" w:space="0" w:color="000000" w:themeColor="text1"/>
            </w:tcBorders>
            <w:shd w:val="clear" w:color="auto" w:fill="D9D9D9" w:themeFill="background1" w:themeFillShade="D9"/>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Domai</w:t>
            </w:r>
            <w:r w:rsidRPr="0043547B">
              <w:rPr>
                <w:rFonts w:cstheme="minorHAnsi"/>
                <w:b/>
                <w:bCs/>
                <w:sz w:val="24"/>
                <w:szCs w:val="24"/>
                <w:shd w:val="clear" w:color="auto" w:fill="D9D9D9" w:themeFill="background1" w:themeFillShade="D9"/>
              </w:rPr>
              <w:t>n</w:t>
            </w:r>
            <w:r w:rsidRPr="0043547B">
              <w:rPr>
                <w:rFonts w:cstheme="minorHAnsi"/>
                <w:b/>
                <w:bCs/>
                <w:sz w:val="24"/>
                <w:szCs w:val="24"/>
              </w:rPr>
              <w:t>e d’application :</w:t>
            </w:r>
          </w:p>
        </w:tc>
        <w:tc>
          <w:tcPr>
            <w:tcW w:w="7944" w:type="dxa"/>
            <w:tcBorders>
              <w:top w:val="single" w:sz="4" w:space="0" w:color="000000" w:themeColor="text1"/>
              <w:bottom w:val="single" w:sz="18"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La présente Norme marocaine est applicable aux polyacrylamides anioniques et non-ioniques utilisés pour le traitement de l'eau destinée à la consommation humaine. Elle décrit les caractéristiques des polyacrylamides anioniques et non-ioniques et spécifie les exigences et les méthodes d'essais correspondantes pour les polyacrylamides anioniques et non-ioniques. Elle donne des informations pour leur emploi dans le traitement de l'eau.</w:t>
            </w:r>
          </w:p>
        </w:tc>
      </w:tr>
      <w:tr w:rsidR="00C8284D" w:rsidRPr="0043547B" w:rsidTr="008F049B">
        <w:trPr>
          <w:trHeight w:val="315"/>
          <w:jc w:val="center"/>
        </w:trPr>
        <w:tc>
          <w:tcPr>
            <w:tcW w:w="1838" w:type="dxa"/>
            <w:tcBorders>
              <w:top w:val="single" w:sz="18" w:space="0" w:color="000000" w:themeColor="text1"/>
              <w:bottom w:val="single" w:sz="18" w:space="0" w:color="000000" w:themeColor="text1"/>
            </w:tcBorders>
            <w:shd w:val="clear" w:color="auto" w:fill="C2D69B" w:themeFill="accent3" w:themeFillTint="99"/>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Code :</w:t>
            </w:r>
          </w:p>
        </w:tc>
        <w:tc>
          <w:tcPr>
            <w:tcW w:w="7944" w:type="dxa"/>
            <w:tcBorders>
              <w:top w:val="single" w:sz="18" w:space="0" w:color="000000" w:themeColor="text1"/>
              <w:bottom w:val="single" w:sz="18" w:space="0" w:color="000000" w:themeColor="text1"/>
            </w:tcBorders>
            <w:shd w:val="clear" w:color="auto" w:fill="C2D69B" w:themeFill="accent3" w:themeFillTint="99"/>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NM EN 1408</w:t>
            </w:r>
          </w:p>
        </w:tc>
      </w:tr>
      <w:tr w:rsidR="00C8284D" w:rsidRPr="0043547B" w:rsidTr="000B2CF0">
        <w:trPr>
          <w:trHeight w:val="315"/>
          <w:jc w:val="center"/>
        </w:trPr>
        <w:tc>
          <w:tcPr>
            <w:tcW w:w="1838" w:type="dxa"/>
            <w:tcBorders>
              <w:top w:val="single" w:sz="18" w:space="0" w:color="000000" w:themeColor="text1"/>
            </w:tcBorders>
            <w:shd w:val="clear" w:color="auto" w:fill="FFFFCC"/>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Equivalence :</w:t>
            </w:r>
          </w:p>
        </w:tc>
        <w:tc>
          <w:tcPr>
            <w:tcW w:w="7944" w:type="dxa"/>
            <w:tcBorders>
              <w:top w:val="single" w:sz="18" w:space="0" w:color="000000" w:themeColor="text1"/>
            </w:tcBorders>
            <w:shd w:val="clear" w:color="auto" w:fill="FFFFCC"/>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EN 1408</w:t>
            </w:r>
          </w:p>
        </w:tc>
      </w:tr>
      <w:tr w:rsidR="00C8284D" w:rsidRPr="0043547B" w:rsidTr="009F7DF4">
        <w:trPr>
          <w:trHeight w:val="600"/>
          <w:jc w:val="center"/>
        </w:trPr>
        <w:tc>
          <w:tcPr>
            <w:tcW w:w="1838" w:type="dxa"/>
            <w:tcBorders>
              <w:bottom w:val="single" w:sz="4" w:space="0" w:color="000000" w:themeColor="text1"/>
            </w:tcBorders>
            <w:shd w:val="clear" w:color="auto" w:fill="8DB3E2" w:themeFill="text2" w:themeFillTint="66"/>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Intitulé :</w:t>
            </w:r>
          </w:p>
        </w:tc>
        <w:tc>
          <w:tcPr>
            <w:tcW w:w="7944" w:type="dxa"/>
            <w:tcBorders>
              <w:bottom w:val="single" w:sz="4"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Produits chimiques utilisés pour le traitement de l'eau destinée à la consommation humaine - Poly(chlorure de diméthyldiallylammonium)</w:t>
            </w:r>
          </w:p>
        </w:tc>
      </w:tr>
      <w:tr w:rsidR="00C8284D" w:rsidRPr="0043547B" w:rsidTr="009F7DF4">
        <w:trPr>
          <w:trHeight w:val="1635"/>
          <w:jc w:val="center"/>
        </w:trPr>
        <w:tc>
          <w:tcPr>
            <w:tcW w:w="1838" w:type="dxa"/>
            <w:tcBorders>
              <w:top w:val="single" w:sz="4" w:space="0" w:color="000000" w:themeColor="text1"/>
              <w:bottom w:val="single" w:sz="18" w:space="0" w:color="000000" w:themeColor="text1"/>
            </w:tcBorders>
            <w:shd w:val="clear" w:color="auto" w:fill="D9D9D9" w:themeFill="background1" w:themeFillShade="D9"/>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lastRenderedPageBreak/>
              <w:t>Domaine d’application :</w:t>
            </w:r>
          </w:p>
        </w:tc>
        <w:tc>
          <w:tcPr>
            <w:tcW w:w="7944" w:type="dxa"/>
            <w:tcBorders>
              <w:top w:val="single" w:sz="4" w:space="0" w:color="000000" w:themeColor="text1"/>
              <w:bottom w:val="single" w:sz="18"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La présente Norme marocaine est applicable au poly(chlorure de diméthyldiallylammonium) utilisé pour le traitement de l'eau destinée à la consommation humaine. Elle décrit les caractéristiques et spécifie les exigences et les méthodes d'essai correspondantes pour le poly(chlorure de diméthyldiallylammonium). Elle donne des informations pour son emploi dans le traitement de l'eau.</w:t>
            </w:r>
          </w:p>
        </w:tc>
      </w:tr>
      <w:tr w:rsidR="00C8284D" w:rsidRPr="0043547B" w:rsidTr="008F049B">
        <w:trPr>
          <w:trHeight w:val="315"/>
          <w:jc w:val="center"/>
        </w:trPr>
        <w:tc>
          <w:tcPr>
            <w:tcW w:w="1838" w:type="dxa"/>
            <w:tcBorders>
              <w:top w:val="single" w:sz="18" w:space="0" w:color="000000" w:themeColor="text1"/>
              <w:bottom w:val="single" w:sz="18" w:space="0" w:color="000000" w:themeColor="text1"/>
            </w:tcBorders>
            <w:shd w:val="clear" w:color="auto" w:fill="C2D69B" w:themeFill="accent3" w:themeFillTint="99"/>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Code :</w:t>
            </w:r>
          </w:p>
        </w:tc>
        <w:tc>
          <w:tcPr>
            <w:tcW w:w="7944" w:type="dxa"/>
            <w:tcBorders>
              <w:top w:val="single" w:sz="18" w:space="0" w:color="000000" w:themeColor="text1"/>
              <w:bottom w:val="single" w:sz="18" w:space="0" w:color="000000" w:themeColor="text1"/>
            </w:tcBorders>
            <w:shd w:val="clear" w:color="auto" w:fill="C2D69B" w:themeFill="accent3" w:themeFillTint="99"/>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NM EN 1409</w:t>
            </w:r>
          </w:p>
        </w:tc>
      </w:tr>
      <w:tr w:rsidR="00C8284D" w:rsidRPr="0043547B" w:rsidTr="000B2CF0">
        <w:trPr>
          <w:trHeight w:val="315"/>
          <w:jc w:val="center"/>
        </w:trPr>
        <w:tc>
          <w:tcPr>
            <w:tcW w:w="1838" w:type="dxa"/>
            <w:tcBorders>
              <w:top w:val="single" w:sz="18" w:space="0" w:color="000000" w:themeColor="text1"/>
            </w:tcBorders>
            <w:shd w:val="clear" w:color="auto" w:fill="FFFFCC"/>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Equivalence :</w:t>
            </w:r>
          </w:p>
        </w:tc>
        <w:tc>
          <w:tcPr>
            <w:tcW w:w="7944" w:type="dxa"/>
            <w:tcBorders>
              <w:top w:val="single" w:sz="18" w:space="0" w:color="000000" w:themeColor="text1"/>
            </w:tcBorders>
            <w:shd w:val="clear" w:color="auto" w:fill="FFFFCC"/>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EN 1409</w:t>
            </w:r>
          </w:p>
        </w:tc>
      </w:tr>
      <w:tr w:rsidR="00C8284D" w:rsidRPr="0043547B" w:rsidTr="009F7DF4">
        <w:trPr>
          <w:trHeight w:val="600"/>
          <w:jc w:val="center"/>
        </w:trPr>
        <w:tc>
          <w:tcPr>
            <w:tcW w:w="1838" w:type="dxa"/>
            <w:tcBorders>
              <w:bottom w:val="single" w:sz="4" w:space="0" w:color="000000" w:themeColor="text1"/>
            </w:tcBorders>
            <w:shd w:val="clear" w:color="auto" w:fill="8DB3E2" w:themeFill="text2" w:themeFillTint="66"/>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Intitulé :</w:t>
            </w:r>
          </w:p>
        </w:tc>
        <w:tc>
          <w:tcPr>
            <w:tcW w:w="7944" w:type="dxa"/>
            <w:tcBorders>
              <w:bottom w:val="single" w:sz="4"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 xml:space="preserve">Produits chimiques utilisés pour le traitement de l'eau destinée à la consommation humaine – Polyamines </w:t>
            </w:r>
          </w:p>
        </w:tc>
      </w:tr>
      <w:tr w:rsidR="00C8284D" w:rsidRPr="0043547B" w:rsidTr="002532B1">
        <w:trPr>
          <w:trHeight w:val="1125"/>
          <w:jc w:val="center"/>
        </w:trPr>
        <w:tc>
          <w:tcPr>
            <w:tcW w:w="1838" w:type="dxa"/>
            <w:tcBorders>
              <w:top w:val="single" w:sz="4" w:space="0" w:color="000000" w:themeColor="text1"/>
              <w:bottom w:val="single" w:sz="18" w:space="0" w:color="000000" w:themeColor="text1"/>
            </w:tcBorders>
            <w:shd w:val="clear" w:color="auto" w:fill="D9D9D9" w:themeFill="background1" w:themeFillShade="D9"/>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Domaine d’application :</w:t>
            </w:r>
          </w:p>
        </w:tc>
        <w:tc>
          <w:tcPr>
            <w:tcW w:w="7944" w:type="dxa"/>
            <w:tcBorders>
              <w:top w:val="single" w:sz="4" w:space="0" w:color="000000" w:themeColor="text1"/>
              <w:bottom w:val="single" w:sz="18"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La présente Norme marocaine est applicable aux polyamines utilisées pour le traitement de l'eau destinée à la consommation humaine. Elle décrit les caractéristiques et spécifie les exigences et les méthodes d'essai correspondant aux polyamines. Elle donne des informations pour son emploi dans le traitement de l'eau.</w:t>
            </w:r>
          </w:p>
        </w:tc>
      </w:tr>
      <w:tr w:rsidR="00C8284D" w:rsidRPr="0043547B" w:rsidTr="000B2CF0">
        <w:trPr>
          <w:trHeight w:val="315"/>
          <w:jc w:val="center"/>
        </w:trPr>
        <w:tc>
          <w:tcPr>
            <w:tcW w:w="1838" w:type="dxa"/>
            <w:tcBorders>
              <w:top w:val="single" w:sz="18" w:space="0" w:color="000000" w:themeColor="text1"/>
              <w:bottom w:val="single" w:sz="18" w:space="0" w:color="000000" w:themeColor="text1"/>
            </w:tcBorders>
            <w:shd w:val="clear" w:color="auto" w:fill="C2D69B" w:themeFill="accent3" w:themeFillTint="99"/>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Code :</w:t>
            </w:r>
          </w:p>
        </w:tc>
        <w:tc>
          <w:tcPr>
            <w:tcW w:w="7944" w:type="dxa"/>
            <w:tcBorders>
              <w:top w:val="single" w:sz="18" w:space="0" w:color="000000" w:themeColor="text1"/>
              <w:bottom w:val="single" w:sz="18" w:space="0" w:color="000000" w:themeColor="text1"/>
            </w:tcBorders>
            <w:shd w:val="clear" w:color="auto" w:fill="C2D69B" w:themeFill="accent3" w:themeFillTint="99"/>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NM EN 1410</w:t>
            </w:r>
          </w:p>
        </w:tc>
      </w:tr>
      <w:tr w:rsidR="00C8284D" w:rsidRPr="0043547B" w:rsidTr="000B2CF0">
        <w:trPr>
          <w:trHeight w:val="315"/>
          <w:jc w:val="center"/>
        </w:trPr>
        <w:tc>
          <w:tcPr>
            <w:tcW w:w="1838" w:type="dxa"/>
            <w:tcBorders>
              <w:top w:val="single" w:sz="18" w:space="0" w:color="000000" w:themeColor="text1"/>
            </w:tcBorders>
            <w:shd w:val="clear" w:color="auto" w:fill="FFFFCC"/>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Equivalence :</w:t>
            </w:r>
          </w:p>
        </w:tc>
        <w:tc>
          <w:tcPr>
            <w:tcW w:w="7944" w:type="dxa"/>
            <w:tcBorders>
              <w:top w:val="single" w:sz="18" w:space="0" w:color="000000" w:themeColor="text1"/>
            </w:tcBorders>
            <w:shd w:val="clear" w:color="auto" w:fill="FFFFCC"/>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EN 1410</w:t>
            </w:r>
          </w:p>
        </w:tc>
      </w:tr>
      <w:tr w:rsidR="00C8284D" w:rsidRPr="0043547B" w:rsidTr="009F7DF4">
        <w:trPr>
          <w:trHeight w:val="600"/>
          <w:jc w:val="center"/>
        </w:trPr>
        <w:tc>
          <w:tcPr>
            <w:tcW w:w="1838" w:type="dxa"/>
            <w:tcBorders>
              <w:bottom w:val="single" w:sz="4" w:space="0" w:color="000000" w:themeColor="text1"/>
            </w:tcBorders>
            <w:shd w:val="clear" w:color="auto" w:fill="8DB3E2" w:themeFill="text2" w:themeFillTint="66"/>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Intitulé :</w:t>
            </w:r>
          </w:p>
        </w:tc>
        <w:tc>
          <w:tcPr>
            <w:tcW w:w="7944" w:type="dxa"/>
            <w:tcBorders>
              <w:bottom w:val="single" w:sz="4"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 xml:space="preserve">Produits chimiques utilisés pour le traitement de l'eau destinée à la consommation humaine - Polyacrylamides cationiques  </w:t>
            </w:r>
          </w:p>
        </w:tc>
      </w:tr>
      <w:tr w:rsidR="00C8284D" w:rsidRPr="0043547B" w:rsidTr="002532B1">
        <w:trPr>
          <w:trHeight w:val="1345"/>
          <w:jc w:val="center"/>
        </w:trPr>
        <w:tc>
          <w:tcPr>
            <w:tcW w:w="1838" w:type="dxa"/>
            <w:tcBorders>
              <w:top w:val="single" w:sz="4" w:space="0" w:color="000000" w:themeColor="text1"/>
              <w:bottom w:val="single" w:sz="18" w:space="0" w:color="000000" w:themeColor="text1"/>
            </w:tcBorders>
            <w:shd w:val="clear" w:color="auto" w:fill="D9D9D9" w:themeFill="background1" w:themeFillShade="D9"/>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Domaine d’application :</w:t>
            </w:r>
          </w:p>
        </w:tc>
        <w:tc>
          <w:tcPr>
            <w:tcW w:w="7944" w:type="dxa"/>
            <w:tcBorders>
              <w:top w:val="single" w:sz="4" w:space="0" w:color="000000" w:themeColor="text1"/>
              <w:bottom w:val="single" w:sz="18"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La présente Norme marocaine est applicable aux polyacrylamides cationiques utilisés pour le traitement de l'eau destinée à la consommation humaine. Elle décrit les caractéristiques des polyacrylamides cationiques et spécifie les exigences et les méthodes d'essais correspondantes pour les polyacrylamides cationiques. Elle donne des informations pour leur emploi dans le traitement de l'eau.</w:t>
            </w:r>
          </w:p>
        </w:tc>
      </w:tr>
      <w:tr w:rsidR="00C8284D" w:rsidRPr="0043547B" w:rsidTr="000B2CF0">
        <w:trPr>
          <w:trHeight w:val="315"/>
          <w:jc w:val="center"/>
        </w:trPr>
        <w:tc>
          <w:tcPr>
            <w:tcW w:w="1838" w:type="dxa"/>
            <w:tcBorders>
              <w:top w:val="single" w:sz="18" w:space="0" w:color="000000" w:themeColor="text1"/>
              <w:bottom w:val="single" w:sz="18" w:space="0" w:color="000000" w:themeColor="text1"/>
            </w:tcBorders>
            <w:shd w:val="clear" w:color="auto" w:fill="C2D69B" w:themeFill="accent3" w:themeFillTint="99"/>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Code :</w:t>
            </w:r>
          </w:p>
        </w:tc>
        <w:tc>
          <w:tcPr>
            <w:tcW w:w="7944" w:type="dxa"/>
            <w:tcBorders>
              <w:top w:val="single" w:sz="18" w:space="0" w:color="000000" w:themeColor="text1"/>
              <w:bottom w:val="single" w:sz="18" w:space="0" w:color="000000" w:themeColor="text1"/>
            </w:tcBorders>
            <w:shd w:val="clear" w:color="auto" w:fill="C2D69B" w:themeFill="accent3" w:themeFillTint="99"/>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NM EN 12926</w:t>
            </w:r>
          </w:p>
        </w:tc>
      </w:tr>
      <w:tr w:rsidR="00C8284D" w:rsidRPr="0043547B" w:rsidTr="000B2CF0">
        <w:trPr>
          <w:trHeight w:val="315"/>
          <w:jc w:val="center"/>
        </w:trPr>
        <w:tc>
          <w:tcPr>
            <w:tcW w:w="1838" w:type="dxa"/>
            <w:tcBorders>
              <w:top w:val="single" w:sz="18" w:space="0" w:color="000000" w:themeColor="text1"/>
            </w:tcBorders>
            <w:shd w:val="clear" w:color="auto" w:fill="FFFFCC"/>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Equivalence :</w:t>
            </w:r>
          </w:p>
        </w:tc>
        <w:tc>
          <w:tcPr>
            <w:tcW w:w="7944" w:type="dxa"/>
            <w:tcBorders>
              <w:top w:val="single" w:sz="18" w:space="0" w:color="000000" w:themeColor="text1"/>
            </w:tcBorders>
            <w:shd w:val="clear" w:color="auto" w:fill="FFFFCC"/>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EN 12926</w:t>
            </w:r>
          </w:p>
        </w:tc>
      </w:tr>
      <w:tr w:rsidR="00C8284D" w:rsidRPr="0043547B" w:rsidTr="009F7DF4">
        <w:trPr>
          <w:trHeight w:val="600"/>
          <w:jc w:val="center"/>
        </w:trPr>
        <w:tc>
          <w:tcPr>
            <w:tcW w:w="1838" w:type="dxa"/>
            <w:tcBorders>
              <w:bottom w:val="single" w:sz="4" w:space="0" w:color="000000" w:themeColor="text1"/>
            </w:tcBorders>
            <w:shd w:val="clear" w:color="auto" w:fill="8DB3E2" w:themeFill="text2" w:themeFillTint="66"/>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Intitulé :</w:t>
            </w:r>
          </w:p>
        </w:tc>
        <w:tc>
          <w:tcPr>
            <w:tcW w:w="7944" w:type="dxa"/>
            <w:tcBorders>
              <w:bottom w:val="single" w:sz="4"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 xml:space="preserve">Produits chimiques utilisés pour le traitement de l'eau destinée à la consommation humaine - Peroxodisulfate de sodium   </w:t>
            </w:r>
          </w:p>
        </w:tc>
      </w:tr>
      <w:tr w:rsidR="00C8284D" w:rsidRPr="0043547B" w:rsidTr="002532B1">
        <w:trPr>
          <w:trHeight w:val="1355"/>
          <w:jc w:val="center"/>
        </w:trPr>
        <w:tc>
          <w:tcPr>
            <w:tcW w:w="1838" w:type="dxa"/>
            <w:tcBorders>
              <w:top w:val="single" w:sz="4" w:space="0" w:color="000000" w:themeColor="text1"/>
              <w:bottom w:val="single" w:sz="18" w:space="0" w:color="000000" w:themeColor="text1"/>
            </w:tcBorders>
            <w:shd w:val="clear" w:color="auto" w:fill="D9D9D9" w:themeFill="background1" w:themeFillShade="D9"/>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Domaine d’application :</w:t>
            </w:r>
          </w:p>
        </w:tc>
        <w:tc>
          <w:tcPr>
            <w:tcW w:w="7944" w:type="dxa"/>
            <w:tcBorders>
              <w:top w:val="single" w:sz="4" w:space="0" w:color="000000" w:themeColor="text1"/>
              <w:bottom w:val="single" w:sz="18"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La présente Norme marocaine s’applique au peroxodisulfate de sodium utilisé pour le traitement de l’eau destinée à la consommation humaine. Elle décrit les caractéristiques du peroxodisulfate de sodium et spécifie les exigences et les méthodes d’essai correspondantes. Elle donne des informations pour son emploi dans le traitement de l’eau.</w:t>
            </w:r>
          </w:p>
        </w:tc>
      </w:tr>
      <w:tr w:rsidR="00C8284D" w:rsidRPr="0043547B" w:rsidTr="000B2CF0">
        <w:trPr>
          <w:trHeight w:val="315"/>
          <w:jc w:val="center"/>
        </w:trPr>
        <w:tc>
          <w:tcPr>
            <w:tcW w:w="1838" w:type="dxa"/>
            <w:tcBorders>
              <w:top w:val="single" w:sz="18" w:space="0" w:color="000000" w:themeColor="text1"/>
              <w:bottom w:val="single" w:sz="18" w:space="0" w:color="000000" w:themeColor="text1"/>
            </w:tcBorders>
            <w:shd w:val="clear" w:color="auto" w:fill="C2D69B" w:themeFill="accent3" w:themeFillTint="99"/>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Code :</w:t>
            </w:r>
          </w:p>
        </w:tc>
        <w:tc>
          <w:tcPr>
            <w:tcW w:w="7944" w:type="dxa"/>
            <w:tcBorders>
              <w:top w:val="single" w:sz="18" w:space="0" w:color="000000" w:themeColor="text1"/>
              <w:bottom w:val="single" w:sz="18" w:space="0" w:color="000000" w:themeColor="text1"/>
            </w:tcBorders>
            <w:shd w:val="clear" w:color="auto" w:fill="C2D69B" w:themeFill="accent3" w:themeFillTint="99"/>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NM EN 12931</w:t>
            </w:r>
          </w:p>
        </w:tc>
      </w:tr>
      <w:tr w:rsidR="00C8284D" w:rsidRPr="0043547B" w:rsidTr="000B2CF0">
        <w:trPr>
          <w:trHeight w:val="315"/>
          <w:jc w:val="center"/>
        </w:trPr>
        <w:tc>
          <w:tcPr>
            <w:tcW w:w="1838" w:type="dxa"/>
            <w:tcBorders>
              <w:top w:val="single" w:sz="18" w:space="0" w:color="000000" w:themeColor="text1"/>
            </w:tcBorders>
            <w:shd w:val="clear" w:color="auto" w:fill="FFFFCC"/>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Equivalence :</w:t>
            </w:r>
          </w:p>
        </w:tc>
        <w:tc>
          <w:tcPr>
            <w:tcW w:w="7944" w:type="dxa"/>
            <w:tcBorders>
              <w:top w:val="single" w:sz="18" w:space="0" w:color="000000" w:themeColor="text1"/>
            </w:tcBorders>
            <w:shd w:val="clear" w:color="auto" w:fill="FFFFCC"/>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EN 12931</w:t>
            </w:r>
          </w:p>
        </w:tc>
      </w:tr>
      <w:tr w:rsidR="00C8284D" w:rsidRPr="0043547B" w:rsidTr="009F7DF4">
        <w:trPr>
          <w:trHeight w:val="900"/>
          <w:jc w:val="center"/>
        </w:trPr>
        <w:tc>
          <w:tcPr>
            <w:tcW w:w="1838" w:type="dxa"/>
            <w:tcBorders>
              <w:bottom w:val="single" w:sz="4" w:space="0" w:color="000000" w:themeColor="text1"/>
            </w:tcBorders>
            <w:shd w:val="clear" w:color="auto" w:fill="8DB3E2" w:themeFill="text2" w:themeFillTint="66"/>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Intitulé :</w:t>
            </w:r>
          </w:p>
        </w:tc>
        <w:tc>
          <w:tcPr>
            <w:tcW w:w="7944" w:type="dxa"/>
            <w:tcBorders>
              <w:bottom w:val="single" w:sz="4"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 xml:space="preserve">Produits chimiques utilisés pour le traitement de l'eau destinée à la consommation humaine - Produits chimiques utilisés en cas d'urgence - Dichloroisocyanurate de sodium, anhydre   </w:t>
            </w:r>
          </w:p>
        </w:tc>
      </w:tr>
      <w:tr w:rsidR="00C8284D" w:rsidRPr="0043547B" w:rsidTr="002532B1">
        <w:trPr>
          <w:trHeight w:val="1909"/>
          <w:jc w:val="center"/>
        </w:trPr>
        <w:tc>
          <w:tcPr>
            <w:tcW w:w="1838" w:type="dxa"/>
            <w:tcBorders>
              <w:top w:val="single" w:sz="4" w:space="0" w:color="000000" w:themeColor="text1"/>
              <w:bottom w:val="single" w:sz="18" w:space="0" w:color="000000" w:themeColor="text1"/>
            </w:tcBorders>
            <w:shd w:val="clear" w:color="auto" w:fill="D9D9D9" w:themeFill="background1" w:themeFillShade="D9"/>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Domaine d’application :</w:t>
            </w:r>
          </w:p>
        </w:tc>
        <w:tc>
          <w:tcPr>
            <w:tcW w:w="7944" w:type="dxa"/>
            <w:tcBorders>
              <w:top w:val="single" w:sz="4" w:space="0" w:color="000000" w:themeColor="text1"/>
              <w:bottom w:val="single" w:sz="18"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La présente Norme marocaine s’applique au dichloroisocyanurate de sodium anhydre utilisé pour le traitement en cas d’urgence de l’eau destinée à la consommation humaine. Elle décrit les caractéristiques du dichloroisocyanurate de sodium anhydre et spécifie les exigences et les méthodes d’essai correspondantes. Elle donne des informations pour son emploi dans le traitement de l’eau. Elle détermine également les règles relatives à la manipulation et à l’utilisation en toute sécurité du dichloroisocyanurate de sodium anhydre (voir l’Annexe B).</w:t>
            </w:r>
          </w:p>
        </w:tc>
      </w:tr>
      <w:tr w:rsidR="00C8284D" w:rsidRPr="0043547B" w:rsidTr="000B2CF0">
        <w:trPr>
          <w:trHeight w:val="315"/>
          <w:jc w:val="center"/>
        </w:trPr>
        <w:tc>
          <w:tcPr>
            <w:tcW w:w="1838" w:type="dxa"/>
            <w:tcBorders>
              <w:top w:val="single" w:sz="18" w:space="0" w:color="000000" w:themeColor="text1"/>
              <w:bottom w:val="single" w:sz="18" w:space="0" w:color="000000" w:themeColor="text1"/>
            </w:tcBorders>
            <w:shd w:val="clear" w:color="auto" w:fill="C2D69B" w:themeFill="accent3" w:themeFillTint="99"/>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lastRenderedPageBreak/>
              <w:t>Code :</w:t>
            </w:r>
          </w:p>
        </w:tc>
        <w:tc>
          <w:tcPr>
            <w:tcW w:w="7944" w:type="dxa"/>
            <w:tcBorders>
              <w:top w:val="single" w:sz="18" w:space="0" w:color="000000" w:themeColor="text1"/>
              <w:bottom w:val="single" w:sz="18" w:space="0" w:color="000000" w:themeColor="text1"/>
            </w:tcBorders>
            <w:shd w:val="clear" w:color="auto" w:fill="C2D69B" w:themeFill="accent3" w:themeFillTint="99"/>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NM EN 12932</w:t>
            </w:r>
          </w:p>
        </w:tc>
      </w:tr>
      <w:tr w:rsidR="00C8284D" w:rsidRPr="0043547B" w:rsidTr="000B2CF0">
        <w:trPr>
          <w:trHeight w:val="315"/>
          <w:jc w:val="center"/>
        </w:trPr>
        <w:tc>
          <w:tcPr>
            <w:tcW w:w="1838" w:type="dxa"/>
            <w:tcBorders>
              <w:top w:val="single" w:sz="18" w:space="0" w:color="000000" w:themeColor="text1"/>
            </w:tcBorders>
            <w:shd w:val="clear" w:color="auto" w:fill="FFFFCC"/>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Equivalence :</w:t>
            </w:r>
          </w:p>
        </w:tc>
        <w:tc>
          <w:tcPr>
            <w:tcW w:w="7944" w:type="dxa"/>
            <w:tcBorders>
              <w:top w:val="single" w:sz="18" w:space="0" w:color="000000" w:themeColor="text1"/>
            </w:tcBorders>
            <w:shd w:val="clear" w:color="auto" w:fill="FFFFCC"/>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EN 12932</w:t>
            </w:r>
          </w:p>
        </w:tc>
      </w:tr>
      <w:tr w:rsidR="00C8284D" w:rsidRPr="0043547B" w:rsidTr="009F7DF4">
        <w:trPr>
          <w:trHeight w:val="900"/>
          <w:jc w:val="center"/>
        </w:trPr>
        <w:tc>
          <w:tcPr>
            <w:tcW w:w="1838" w:type="dxa"/>
            <w:tcBorders>
              <w:bottom w:val="single" w:sz="4" w:space="0" w:color="000000" w:themeColor="text1"/>
            </w:tcBorders>
            <w:shd w:val="clear" w:color="auto" w:fill="8DB3E2" w:themeFill="text2" w:themeFillTint="66"/>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Intitulé :</w:t>
            </w:r>
          </w:p>
        </w:tc>
        <w:tc>
          <w:tcPr>
            <w:tcW w:w="7944" w:type="dxa"/>
            <w:tcBorders>
              <w:bottom w:val="single" w:sz="4"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 xml:space="preserve">Produits chimiques utilisés pour le traitement de l'eau destinée à la consommation humaine - Produits chimiques utilisés en cas d'urgence - Dichloroisocyanurate de sodium, dihydraté  </w:t>
            </w:r>
          </w:p>
        </w:tc>
      </w:tr>
      <w:tr w:rsidR="00C8284D" w:rsidRPr="0043547B" w:rsidTr="002532B1">
        <w:trPr>
          <w:trHeight w:val="1835"/>
          <w:jc w:val="center"/>
        </w:trPr>
        <w:tc>
          <w:tcPr>
            <w:tcW w:w="1838" w:type="dxa"/>
            <w:tcBorders>
              <w:top w:val="single" w:sz="4" w:space="0" w:color="000000" w:themeColor="text1"/>
              <w:bottom w:val="single" w:sz="18" w:space="0" w:color="000000" w:themeColor="text1"/>
            </w:tcBorders>
            <w:shd w:val="clear" w:color="auto" w:fill="D9D9D9" w:themeFill="background1" w:themeFillShade="D9"/>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Domaine d’application :</w:t>
            </w:r>
          </w:p>
        </w:tc>
        <w:tc>
          <w:tcPr>
            <w:tcW w:w="7944" w:type="dxa"/>
            <w:tcBorders>
              <w:top w:val="single" w:sz="4" w:space="0" w:color="000000" w:themeColor="text1"/>
              <w:bottom w:val="single" w:sz="18"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La présente Norme marocaine s’applique au dichloroisocyanurate de sodium dihydraté utilisé pour le traitement en cas d’urgence de l’eau destinée à la consommation humaine. Elle décrit les caractéristiques du dichloroisocyanurate de sodium dihydraté et spécifie les exigences et les méthodes d’essai correspondantes. Elle donne des informations pour son emploi dans le traitement de l’eau. Elle détermine également les règles relatives à la manipulation et à l’utilisation en toute sécurité du dichloroisocyanurate de sodium dihydraté (voir l’Annexe B).</w:t>
            </w:r>
          </w:p>
        </w:tc>
      </w:tr>
      <w:tr w:rsidR="00C8284D" w:rsidRPr="0043547B" w:rsidTr="000B2CF0">
        <w:trPr>
          <w:trHeight w:val="315"/>
          <w:jc w:val="center"/>
        </w:trPr>
        <w:tc>
          <w:tcPr>
            <w:tcW w:w="1838" w:type="dxa"/>
            <w:tcBorders>
              <w:top w:val="single" w:sz="18" w:space="0" w:color="000000" w:themeColor="text1"/>
              <w:bottom w:val="single" w:sz="18" w:space="0" w:color="000000" w:themeColor="text1"/>
            </w:tcBorders>
            <w:shd w:val="clear" w:color="auto" w:fill="C2D69B" w:themeFill="accent3" w:themeFillTint="99"/>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Code :</w:t>
            </w:r>
          </w:p>
        </w:tc>
        <w:tc>
          <w:tcPr>
            <w:tcW w:w="7944" w:type="dxa"/>
            <w:tcBorders>
              <w:top w:val="single" w:sz="18" w:space="0" w:color="000000" w:themeColor="text1"/>
              <w:bottom w:val="single" w:sz="18" w:space="0" w:color="000000" w:themeColor="text1"/>
            </w:tcBorders>
            <w:shd w:val="clear" w:color="auto" w:fill="C2D69B" w:themeFill="accent3" w:themeFillTint="99"/>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NM EN 12933</w:t>
            </w:r>
          </w:p>
        </w:tc>
      </w:tr>
      <w:tr w:rsidR="00C8284D" w:rsidRPr="0043547B" w:rsidTr="000B2CF0">
        <w:trPr>
          <w:trHeight w:val="315"/>
          <w:jc w:val="center"/>
        </w:trPr>
        <w:tc>
          <w:tcPr>
            <w:tcW w:w="1838" w:type="dxa"/>
            <w:tcBorders>
              <w:top w:val="single" w:sz="18" w:space="0" w:color="000000" w:themeColor="text1"/>
            </w:tcBorders>
            <w:shd w:val="clear" w:color="auto" w:fill="FFFFCC"/>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Equivalence :</w:t>
            </w:r>
          </w:p>
        </w:tc>
        <w:tc>
          <w:tcPr>
            <w:tcW w:w="7944" w:type="dxa"/>
            <w:tcBorders>
              <w:top w:val="single" w:sz="18" w:space="0" w:color="000000" w:themeColor="text1"/>
            </w:tcBorders>
            <w:shd w:val="clear" w:color="auto" w:fill="FFFFCC"/>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EN 12933</w:t>
            </w:r>
          </w:p>
        </w:tc>
      </w:tr>
      <w:tr w:rsidR="00C8284D" w:rsidRPr="0043547B" w:rsidTr="009F7DF4">
        <w:trPr>
          <w:trHeight w:val="600"/>
          <w:jc w:val="center"/>
        </w:trPr>
        <w:tc>
          <w:tcPr>
            <w:tcW w:w="1838" w:type="dxa"/>
            <w:tcBorders>
              <w:bottom w:val="single" w:sz="4" w:space="0" w:color="000000" w:themeColor="text1"/>
            </w:tcBorders>
            <w:shd w:val="clear" w:color="auto" w:fill="8DB3E2" w:themeFill="text2" w:themeFillTint="66"/>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Intitulé :</w:t>
            </w:r>
          </w:p>
        </w:tc>
        <w:tc>
          <w:tcPr>
            <w:tcW w:w="7944" w:type="dxa"/>
            <w:tcBorders>
              <w:bottom w:val="single" w:sz="4"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 xml:space="preserve">Produits chimiques utilisés pour le traitement de l'eau destinée à la consommation humaine - Produits chimiques utilisés en cas d'urgence - Acide trichloroisocyanurique   </w:t>
            </w:r>
          </w:p>
        </w:tc>
      </w:tr>
      <w:tr w:rsidR="00C8284D" w:rsidRPr="0043547B" w:rsidTr="002532B1">
        <w:trPr>
          <w:trHeight w:val="1867"/>
          <w:jc w:val="center"/>
        </w:trPr>
        <w:tc>
          <w:tcPr>
            <w:tcW w:w="1838" w:type="dxa"/>
            <w:tcBorders>
              <w:top w:val="single" w:sz="4" w:space="0" w:color="000000" w:themeColor="text1"/>
              <w:bottom w:val="single" w:sz="18" w:space="0" w:color="000000" w:themeColor="text1"/>
            </w:tcBorders>
            <w:shd w:val="clear" w:color="auto" w:fill="D9D9D9" w:themeFill="background1" w:themeFillShade="D9"/>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Domaine d’application :</w:t>
            </w:r>
          </w:p>
        </w:tc>
        <w:tc>
          <w:tcPr>
            <w:tcW w:w="7944" w:type="dxa"/>
            <w:tcBorders>
              <w:top w:val="single" w:sz="4" w:space="0" w:color="000000" w:themeColor="text1"/>
              <w:bottom w:val="single" w:sz="18"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La présente Norme marocaine s’applique à l’acide trichloroisocyanurique utilisé pour le traitement de l’eau destinée à la consommation humaine. Elle décrit les caractéristiques de l’acide trichloroisocyanurique et spécifie les exigences et les méthodes d’essai correspondantes. Elle donne des informations pour son emploi dans le traitement de l’eau.</w:t>
            </w:r>
          </w:p>
          <w:p w:rsidR="00C8284D" w:rsidRPr="0043547B" w:rsidRDefault="00C8284D" w:rsidP="00C8284D">
            <w:pPr>
              <w:jc w:val="both"/>
              <w:rPr>
                <w:rFonts w:cstheme="minorHAnsi"/>
                <w:sz w:val="24"/>
                <w:szCs w:val="24"/>
              </w:rPr>
            </w:pPr>
            <w:r w:rsidRPr="0043547B">
              <w:rPr>
                <w:rFonts w:cstheme="minorHAnsi"/>
                <w:sz w:val="24"/>
                <w:szCs w:val="24"/>
              </w:rPr>
              <w:t>Elle détermine également les règles relatives à la manipulation et à l’utilisation en toute sécurité de l’acide trichloroisocyanurique (voir l’Annexe B).</w:t>
            </w:r>
          </w:p>
        </w:tc>
      </w:tr>
      <w:tr w:rsidR="00C8284D" w:rsidRPr="0043547B" w:rsidTr="000B2CF0">
        <w:trPr>
          <w:trHeight w:val="315"/>
          <w:jc w:val="center"/>
        </w:trPr>
        <w:tc>
          <w:tcPr>
            <w:tcW w:w="1838" w:type="dxa"/>
            <w:tcBorders>
              <w:top w:val="single" w:sz="18" w:space="0" w:color="000000" w:themeColor="text1"/>
              <w:bottom w:val="single" w:sz="18" w:space="0" w:color="000000" w:themeColor="text1"/>
            </w:tcBorders>
            <w:shd w:val="clear" w:color="auto" w:fill="C2D69B" w:themeFill="accent3" w:themeFillTint="99"/>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Code :</w:t>
            </w:r>
          </w:p>
        </w:tc>
        <w:tc>
          <w:tcPr>
            <w:tcW w:w="7944" w:type="dxa"/>
            <w:tcBorders>
              <w:top w:val="single" w:sz="18" w:space="0" w:color="000000" w:themeColor="text1"/>
              <w:bottom w:val="single" w:sz="18" w:space="0" w:color="000000" w:themeColor="text1"/>
            </w:tcBorders>
            <w:shd w:val="clear" w:color="auto" w:fill="C2D69B" w:themeFill="accent3" w:themeFillTint="99"/>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NM EN 12934</w:t>
            </w:r>
          </w:p>
        </w:tc>
      </w:tr>
      <w:tr w:rsidR="00C8284D" w:rsidRPr="0043547B" w:rsidTr="000B2CF0">
        <w:trPr>
          <w:trHeight w:val="315"/>
          <w:jc w:val="center"/>
        </w:trPr>
        <w:tc>
          <w:tcPr>
            <w:tcW w:w="1838" w:type="dxa"/>
            <w:tcBorders>
              <w:top w:val="single" w:sz="18" w:space="0" w:color="000000" w:themeColor="text1"/>
            </w:tcBorders>
            <w:shd w:val="clear" w:color="auto" w:fill="FFFFCC"/>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Equivalence :</w:t>
            </w:r>
          </w:p>
        </w:tc>
        <w:tc>
          <w:tcPr>
            <w:tcW w:w="7944" w:type="dxa"/>
            <w:tcBorders>
              <w:top w:val="single" w:sz="18" w:space="0" w:color="000000" w:themeColor="text1"/>
            </w:tcBorders>
            <w:shd w:val="clear" w:color="auto" w:fill="FFFFCC"/>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EN 12934</w:t>
            </w:r>
          </w:p>
        </w:tc>
      </w:tr>
      <w:tr w:rsidR="00C8284D" w:rsidRPr="0043547B" w:rsidTr="009F7DF4">
        <w:trPr>
          <w:trHeight w:val="600"/>
          <w:jc w:val="center"/>
        </w:trPr>
        <w:tc>
          <w:tcPr>
            <w:tcW w:w="1838" w:type="dxa"/>
            <w:tcBorders>
              <w:bottom w:val="single" w:sz="4" w:space="0" w:color="000000" w:themeColor="text1"/>
            </w:tcBorders>
            <w:shd w:val="clear" w:color="auto" w:fill="8DB3E2" w:themeFill="text2" w:themeFillTint="66"/>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Intitulé :</w:t>
            </w:r>
          </w:p>
        </w:tc>
        <w:tc>
          <w:tcPr>
            <w:tcW w:w="7944" w:type="dxa"/>
            <w:tcBorders>
              <w:bottom w:val="single" w:sz="4"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 xml:space="preserve">Produits chimiques utilisés pour le traitement de l'eau destinée à la consommation humaine - Acide acétique </w:t>
            </w:r>
          </w:p>
        </w:tc>
      </w:tr>
      <w:tr w:rsidR="00C8284D" w:rsidRPr="0043547B" w:rsidTr="002532B1">
        <w:trPr>
          <w:trHeight w:val="1061"/>
          <w:jc w:val="center"/>
        </w:trPr>
        <w:tc>
          <w:tcPr>
            <w:tcW w:w="1838" w:type="dxa"/>
            <w:tcBorders>
              <w:top w:val="single" w:sz="4" w:space="0" w:color="000000" w:themeColor="text1"/>
              <w:bottom w:val="single" w:sz="18" w:space="0" w:color="000000" w:themeColor="text1"/>
            </w:tcBorders>
            <w:shd w:val="clear" w:color="auto" w:fill="D9D9D9" w:themeFill="background1" w:themeFillShade="D9"/>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Domaine d’application :</w:t>
            </w:r>
          </w:p>
        </w:tc>
        <w:tc>
          <w:tcPr>
            <w:tcW w:w="7944" w:type="dxa"/>
            <w:tcBorders>
              <w:top w:val="single" w:sz="4" w:space="0" w:color="000000" w:themeColor="text1"/>
              <w:bottom w:val="single" w:sz="18"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La présente Norme marocaine s'applique à l'acide acétique utilisé pour le traitement de l'eau destinée à la consommation humaine. Elle décrit les caractéristiques de l'acide acétique et spécifie les exigences et les méthodes d'essai correspondantes. Elle donne des informations pour son emploi dans le traitement de l'eau.</w:t>
            </w:r>
          </w:p>
        </w:tc>
      </w:tr>
      <w:tr w:rsidR="00C8284D" w:rsidRPr="0043547B" w:rsidTr="000B2CF0">
        <w:trPr>
          <w:trHeight w:val="315"/>
          <w:jc w:val="center"/>
        </w:trPr>
        <w:tc>
          <w:tcPr>
            <w:tcW w:w="1838" w:type="dxa"/>
            <w:tcBorders>
              <w:top w:val="single" w:sz="18" w:space="0" w:color="000000" w:themeColor="text1"/>
              <w:bottom w:val="single" w:sz="18" w:space="0" w:color="000000" w:themeColor="text1"/>
            </w:tcBorders>
            <w:shd w:val="clear" w:color="auto" w:fill="C2D69B" w:themeFill="accent3" w:themeFillTint="99"/>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Code :</w:t>
            </w:r>
          </w:p>
        </w:tc>
        <w:tc>
          <w:tcPr>
            <w:tcW w:w="7944" w:type="dxa"/>
            <w:tcBorders>
              <w:top w:val="single" w:sz="18" w:space="0" w:color="000000" w:themeColor="text1"/>
              <w:bottom w:val="single" w:sz="18" w:space="0" w:color="000000" w:themeColor="text1"/>
            </w:tcBorders>
            <w:shd w:val="clear" w:color="auto" w:fill="C2D69B" w:themeFill="accent3" w:themeFillTint="99"/>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NM EN 13176</w:t>
            </w:r>
          </w:p>
        </w:tc>
      </w:tr>
      <w:tr w:rsidR="00C8284D" w:rsidRPr="0043547B" w:rsidTr="000B2CF0">
        <w:trPr>
          <w:trHeight w:val="315"/>
          <w:jc w:val="center"/>
        </w:trPr>
        <w:tc>
          <w:tcPr>
            <w:tcW w:w="1838" w:type="dxa"/>
            <w:tcBorders>
              <w:top w:val="single" w:sz="18" w:space="0" w:color="000000" w:themeColor="text1"/>
            </w:tcBorders>
            <w:shd w:val="clear" w:color="auto" w:fill="FFFFCC"/>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Equivalence :</w:t>
            </w:r>
          </w:p>
        </w:tc>
        <w:tc>
          <w:tcPr>
            <w:tcW w:w="7944" w:type="dxa"/>
            <w:tcBorders>
              <w:top w:val="single" w:sz="18" w:space="0" w:color="000000" w:themeColor="text1"/>
            </w:tcBorders>
            <w:shd w:val="clear" w:color="auto" w:fill="FFFFCC"/>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EN 13176</w:t>
            </w:r>
          </w:p>
        </w:tc>
      </w:tr>
      <w:tr w:rsidR="00C8284D" w:rsidRPr="0043547B" w:rsidTr="009F7DF4">
        <w:trPr>
          <w:trHeight w:val="600"/>
          <w:jc w:val="center"/>
        </w:trPr>
        <w:tc>
          <w:tcPr>
            <w:tcW w:w="1838" w:type="dxa"/>
            <w:tcBorders>
              <w:bottom w:val="single" w:sz="4" w:space="0" w:color="000000" w:themeColor="text1"/>
            </w:tcBorders>
            <w:shd w:val="clear" w:color="auto" w:fill="8DB3E2" w:themeFill="text2" w:themeFillTint="66"/>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Intitulé :</w:t>
            </w:r>
          </w:p>
        </w:tc>
        <w:tc>
          <w:tcPr>
            <w:tcW w:w="7944" w:type="dxa"/>
            <w:tcBorders>
              <w:bottom w:val="single" w:sz="4"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 xml:space="preserve">Produits chimiques utilisés pour le traitement de l'eau destinée à la consommation humaine – Éthanol </w:t>
            </w:r>
          </w:p>
        </w:tc>
      </w:tr>
      <w:tr w:rsidR="00C8284D" w:rsidRPr="0043547B" w:rsidTr="002532B1">
        <w:trPr>
          <w:trHeight w:val="1905"/>
          <w:jc w:val="center"/>
        </w:trPr>
        <w:tc>
          <w:tcPr>
            <w:tcW w:w="1838" w:type="dxa"/>
            <w:tcBorders>
              <w:top w:val="single" w:sz="4" w:space="0" w:color="000000" w:themeColor="text1"/>
              <w:bottom w:val="single" w:sz="18" w:space="0" w:color="000000" w:themeColor="text1"/>
            </w:tcBorders>
            <w:shd w:val="clear" w:color="auto" w:fill="D9D9D9" w:themeFill="background1" w:themeFillShade="D9"/>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Domaine d’application :</w:t>
            </w:r>
          </w:p>
        </w:tc>
        <w:tc>
          <w:tcPr>
            <w:tcW w:w="7944" w:type="dxa"/>
            <w:tcBorders>
              <w:top w:val="single" w:sz="4" w:space="0" w:color="000000" w:themeColor="text1"/>
              <w:bottom w:val="single" w:sz="18"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La présente Norme marocaine s'applique à l'éthanol synthétique utilisé pour le traitement de l'eau destinée à la consommation humaine. Elle décrit les caractéristiques de l'éthanol synthétique et spécifie les exigences et les méthodes d'essai correspondantes. Elle donne des informations pour son emploi dans le traitement de l'eau.</w:t>
            </w:r>
          </w:p>
          <w:p w:rsidR="00C8284D" w:rsidRPr="0043547B" w:rsidRDefault="00C8284D" w:rsidP="00C8284D">
            <w:pPr>
              <w:jc w:val="both"/>
              <w:rPr>
                <w:rFonts w:cstheme="minorHAnsi"/>
                <w:i/>
                <w:iCs/>
                <w:sz w:val="24"/>
                <w:szCs w:val="24"/>
              </w:rPr>
            </w:pPr>
            <w:r w:rsidRPr="0043547B">
              <w:rPr>
                <w:rFonts w:cstheme="minorHAnsi"/>
                <w:i/>
                <w:iCs/>
                <w:sz w:val="24"/>
                <w:szCs w:val="24"/>
              </w:rPr>
              <w:t>NOTE : La présente Norme marocaine ne s'applique pas à l'éthanol anhydre qui n'est pas utilisé pour le traitement de l'eau potable.</w:t>
            </w:r>
          </w:p>
        </w:tc>
      </w:tr>
      <w:tr w:rsidR="00C8284D" w:rsidRPr="0043547B" w:rsidTr="000B2CF0">
        <w:trPr>
          <w:trHeight w:val="315"/>
          <w:jc w:val="center"/>
        </w:trPr>
        <w:tc>
          <w:tcPr>
            <w:tcW w:w="1838" w:type="dxa"/>
            <w:tcBorders>
              <w:top w:val="single" w:sz="18" w:space="0" w:color="000000" w:themeColor="text1"/>
              <w:bottom w:val="single" w:sz="18" w:space="0" w:color="000000" w:themeColor="text1"/>
            </w:tcBorders>
            <w:shd w:val="clear" w:color="auto" w:fill="C2D69B" w:themeFill="accent3" w:themeFillTint="99"/>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Code :</w:t>
            </w:r>
          </w:p>
        </w:tc>
        <w:tc>
          <w:tcPr>
            <w:tcW w:w="7944" w:type="dxa"/>
            <w:tcBorders>
              <w:top w:val="single" w:sz="18" w:space="0" w:color="000000" w:themeColor="text1"/>
              <w:bottom w:val="single" w:sz="18" w:space="0" w:color="000000" w:themeColor="text1"/>
            </w:tcBorders>
            <w:shd w:val="clear" w:color="auto" w:fill="C2D69B" w:themeFill="accent3" w:themeFillTint="99"/>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NM EN 12901</w:t>
            </w:r>
          </w:p>
        </w:tc>
      </w:tr>
      <w:tr w:rsidR="00C8284D" w:rsidRPr="0043547B" w:rsidTr="000B2CF0">
        <w:trPr>
          <w:trHeight w:val="315"/>
          <w:jc w:val="center"/>
        </w:trPr>
        <w:tc>
          <w:tcPr>
            <w:tcW w:w="1838" w:type="dxa"/>
            <w:tcBorders>
              <w:top w:val="single" w:sz="18" w:space="0" w:color="000000" w:themeColor="text1"/>
            </w:tcBorders>
            <w:shd w:val="clear" w:color="auto" w:fill="FFFFCC"/>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lastRenderedPageBreak/>
              <w:t>Equivalence :</w:t>
            </w:r>
          </w:p>
        </w:tc>
        <w:tc>
          <w:tcPr>
            <w:tcW w:w="7944" w:type="dxa"/>
            <w:tcBorders>
              <w:top w:val="single" w:sz="18" w:space="0" w:color="000000" w:themeColor="text1"/>
            </w:tcBorders>
            <w:shd w:val="clear" w:color="auto" w:fill="FFFFCC"/>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EN 12901</w:t>
            </w:r>
          </w:p>
        </w:tc>
      </w:tr>
      <w:tr w:rsidR="00C8284D" w:rsidRPr="0043547B" w:rsidTr="009F7DF4">
        <w:trPr>
          <w:trHeight w:val="600"/>
          <w:jc w:val="center"/>
        </w:trPr>
        <w:tc>
          <w:tcPr>
            <w:tcW w:w="1838" w:type="dxa"/>
            <w:tcBorders>
              <w:bottom w:val="single" w:sz="4" w:space="0" w:color="000000" w:themeColor="text1"/>
            </w:tcBorders>
            <w:shd w:val="clear" w:color="auto" w:fill="8DB3E2" w:themeFill="text2" w:themeFillTint="66"/>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Intitulé :</w:t>
            </w:r>
          </w:p>
        </w:tc>
        <w:tc>
          <w:tcPr>
            <w:tcW w:w="7944" w:type="dxa"/>
            <w:tcBorders>
              <w:bottom w:val="single" w:sz="4"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 xml:space="preserve">Produits chimiques utilisés pour le traitement de l'eau destinée à la consommation humaine - Matériaux inorganiques de filtration et de support – Définitions </w:t>
            </w:r>
          </w:p>
        </w:tc>
      </w:tr>
      <w:tr w:rsidR="00C8284D" w:rsidRPr="0043547B" w:rsidTr="002532B1">
        <w:trPr>
          <w:trHeight w:val="774"/>
          <w:jc w:val="center"/>
        </w:trPr>
        <w:tc>
          <w:tcPr>
            <w:tcW w:w="1838" w:type="dxa"/>
            <w:tcBorders>
              <w:top w:val="single" w:sz="4" w:space="0" w:color="000000" w:themeColor="text1"/>
              <w:bottom w:val="single" w:sz="18" w:space="0" w:color="000000" w:themeColor="text1"/>
            </w:tcBorders>
            <w:shd w:val="clear" w:color="auto" w:fill="D9D9D9" w:themeFill="background1" w:themeFillShade="D9"/>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Domaine d’application :</w:t>
            </w:r>
          </w:p>
        </w:tc>
        <w:tc>
          <w:tcPr>
            <w:tcW w:w="7944" w:type="dxa"/>
            <w:tcBorders>
              <w:top w:val="single" w:sz="4" w:space="0" w:color="000000" w:themeColor="text1"/>
              <w:bottom w:val="single" w:sz="18"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La présente norme marocaine s'applique à tous les matériaux inorganiques de filtration et de support (MIFS) utilisés dans le traitement de l'eau destinée à la consommation humaine. Elle définit les termes relatifs aux MIFS.</w:t>
            </w:r>
          </w:p>
        </w:tc>
      </w:tr>
      <w:tr w:rsidR="00C8284D" w:rsidRPr="0043547B" w:rsidTr="000B2CF0">
        <w:trPr>
          <w:trHeight w:val="315"/>
          <w:jc w:val="center"/>
        </w:trPr>
        <w:tc>
          <w:tcPr>
            <w:tcW w:w="1838" w:type="dxa"/>
            <w:tcBorders>
              <w:top w:val="single" w:sz="18" w:space="0" w:color="000000" w:themeColor="text1"/>
              <w:bottom w:val="single" w:sz="18" w:space="0" w:color="000000" w:themeColor="text1"/>
            </w:tcBorders>
            <w:shd w:val="clear" w:color="auto" w:fill="C2D69B" w:themeFill="accent3" w:themeFillTint="99"/>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Code :</w:t>
            </w:r>
          </w:p>
        </w:tc>
        <w:tc>
          <w:tcPr>
            <w:tcW w:w="7944" w:type="dxa"/>
            <w:tcBorders>
              <w:top w:val="single" w:sz="18" w:space="0" w:color="000000" w:themeColor="text1"/>
              <w:bottom w:val="single" w:sz="18" w:space="0" w:color="000000" w:themeColor="text1"/>
            </w:tcBorders>
            <w:shd w:val="clear" w:color="auto" w:fill="C2D69B" w:themeFill="accent3" w:themeFillTint="99"/>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NM EN 12902</w:t>
            </w:r>
          </w:p>
        </w:tc>
      </w:tr>
      <w:tr w:rsidR="00C8284D" w:rsidRPr="0043547B" w:rsidTr="000B2CF0">
        <w:trPr>
          <w:trHeight w:val="315"/>
          <w:jc w:val="center"/>
        </w:trPr>
        <w:tc>
          <w:tcPr>
            <w:tcW w:w="1838" w:type="dxa"/>
            <w:tcBorders>
              <w:top w:val="single" w:sz="18" w:space="0" w:color="000000" w:themeColor="text1"/>
            </w:tcBorders>
            <w:shd w:val="clear" w:color="auto" w:fill="FFFFCC"/>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Equivalence :</w:t>
            </w:r>
          </w:p>
        </w:tc>
        <w:tc>
          <w:tcPr>
            <w:tcW w:w="7944" w:type="dxa"/>
            <w:tcBorders>
              <w:top w:val="single" w:sz="18" w:space="0" w:color="000000" w:themeColor="text1"/>
            </w:tcBorders>
            <w:shd w:val="clear" w:color="auto" w:fill="FFFFCC"/>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EN 12902</w:t>
            </w:r>
          </w:p>
        </w:tc>
      </w:tr>
      <w:tr w:rsidR="00C8284D" w:rsidRPr="0043547B" w:rsidTr="009F7DF4">
        <w:trPr>
          <w:trHeight w:val="600"/>
          <w:jc w:val="center"/>
        </w:trPr>
        <w:tc>
          <w:tcPr>
            <w:tcW w:w="1838" w:type="dxa"/>
            <w:tcBorders>
              <w:bottom w:val="single" w:sz="4" w:space="0" w:color="000000" w:themeColor="text1"/>
            </w:tcBorders>
            <w:shd w:val="clear" w:color="auto" w:fill="8DB3E2" w:themeFill="text2" w:themeFillTint="66"/>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Intitulé :</w:t>
            </w:r>
          </w:p>
        </w:tc>
        <w:tc>
          <w:tcPr>
            <w:tcW w:w="7944" w:type="dxa"/>
            <w:tcBorders>
              <w:bottom w:val="single" w:sz="4"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 xml:space="preserve">Produits chimiques utilisés pour le traitement de l'eau destinée à la consommation humaine - Matériaux inorganiques de filtration et de support - Méthodes d'essai   </w:t>
            </w:r>
          </w:p>
        </w:tc>
      </w:tr>
      <w:tr w:rsidR="00C8284D" w:rsidRPr="0043547B" w:rsidTr="002532B1">
        <w:trPr>
          <w:trHeight w:val="843"/>
          <w:jc w:val="center"/>
        </w:trPr>
        <w:tc>
          <w:tcPr>
            <w:tcW w:w="1838" w:type="dxa"/>
            <w:tcBorders>
              <w:top w:val="single" w:sz="4" w:space="0" w:color="000000" w:themeColor="text1"/>
              <w:bottom w:val="single" w:sz="18" w:space="0" w:color="000000" w:themeColor="text1"/>
            </w:tcBorders>
            <w:shd w:val="clear" w:color="auto" w:fill="D9D9D9" w:themeFill="background1" w:themeFillShade="D9"/>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Domaine d’application :</w:t>
            </w:r>
          </w:p>
        </w:tc>
        <w:tc>
          <w:tcPr>
            <w:tcW w:w="7944" w:type="dxa"/>
            <w:tcBorders>
              <w:top w:val="single" w:sz="4" w:space="0" w:color="000000" w:themeColor="text1"/>
              <w:bottom w:val="single" w:sz="18" w:space="0" w:color="000000" w:themeColor="text1"/>
            </w:tcBorders>
            <w:hideMark/>
          </w:tcPr>
          <w:p w:rsidR="00C8284D" w:rsidRDefault="00C8284D" w:rsidP="00C8284D">
            <w:pPr>
              <w:jc w:val="both"/>
              <w:rPr>
                <w:rFonts w:cstheme="minorHAnsi"/>
                <w:sz w:val="24"/>
                <w:szCs w:val="24"/>
              </w:rPr>
            </w:pPr>
            <w:r w:rsidRPr="0043547B">
              <w:rPr>
                <w:rFonts w:cstheme="minorHAnsi"/>
                <w:sz w:val="24"/>
                <w:szCs w:val="24"/>
              </w:rPr>
              <w:t>Le présent document décrit des méthodes d'essai pour déterminer les caractéristiques physico-chimiques des Matériaux Inorganiques de Filtration et de Support (MIFS).</w:t>
            </w:r>
          </w:p>
          <w:p w:rsidR="00C8284D" w:rsidRPr="0043547B" w:rsidRDefault="00C8284D" w:rsidP="00C8284D">
            <w:pPr>
              <w:jc w:val="both"/>
              <w:rPr>
                <w:rFonts w:cstheme="minorHAnsi"/>
                <w:sz w:val="24"/>
                <w:szCs w:val="24"/>
              </w:rPr>
            </w:pPr>
            <w:r w:rsidRPr="00BC611F">
              <w:rPr>
                <w:rFonts w:cstheme="minorHAnsi"/>
                <w:b/>
                <w:bCs/>
                <w:i/>
                <w:iCs/>
              </w:rPr>
              <w:t>NOTE</w:t>
            </w:r>
            <w:r w:rsidRPr="00BC611F">
              <w:rPr>
                <w:rFonts w:cstheme="minorHAnsi"/>
                <w:i/>
                <w:iCs/>
              </w:rPr>
              <w:t> : L'application des méthodes est précisée dans la norme spécifique à chaque produit.</w:t>
            </w:r>
          </w:p>
        </w:tc>
      </w:tr>
      <w:tr w:rsidR="00C8284D" w:rsidRPr="0043547B" w:rsidTr="000B2CF0">
        <w:trPr>
          <w:trHeight w:val="315"/>
          <w:jc w:val="center"/>
        </w:trPr>
        <w:tc>
          <w:tcPr>
            <w:tcW w:w="1838" w:type="dxa"/>
            <w:tcBorders>
              <w:top w:val="single" w:sz="18" w:space="0" w:color="000000" w:themeColor="text1"/>
              <w:bottom w:val="single" w:sz="18" w:space="0" w:color="000000" w:themeColor="text1"/>
            </w:tcBorders>
            <w:shd w:val="clear" w:color="auto" w:fill="C2D69B" w:themeFill="accent3" w:themeFillTint="99"/>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Code :</w:t>
            </w:r>
          </w:p>
        </w:tc>
        <w:tc>
          <w:tcPr>
            <w:tcW w:w="7944" w:type="dxa"/>
            <w:tcBorders>
              <w:top w:val="single" w:sz="18" w:space="0" w:color="000000" w:themeColor="text1"/>
              <w:bottom w:val="single" w:sz="18" w:space="0" w:color="000000" w:themeColor="text1"/>
            </w:tcBorders>
            <w:shd w:val="clear" w:color="auto" w:fill="C2D69B" w:themeFill="accent3" w:themeFillTint="99"/>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NM EN 12903</w:t>
            </w:r>
          </w:p>
        </w:tc>
      </w:tr>
      <w:tr w:rsidR="00C8284D" w:rsidRPr="0043547B" w:rsidTr="000B2CF0">
        <w:trPr>
          <w:trHeight w:val="315"/>
          <w:jc w:val="center"/>
        </w:trPr>
        <w:tc>
          <w:tcPr>
            <w:tcW w:w="1838" w:type="dxa"/>
            <w:tcBorders>
              <w:top w:val="single" w:sz="18" w:space="0" w:color="000000" w:themeColor="text1"/>
            </w:tcBorders>
            <w:shd w:val="clear" w:color="auto" w:fill="FFFFCC"/>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Equivalence :</w:t>
            </w:r>
          </w:p>
        </w:tc>
        <w:tc>
          <w:tcPr>
            <w:tcW w:w="7944" w:type="dxa"/>
            <w:tcBorders>
              <w:top w:val="single" w:sz="18" w:space="0" w:color="000000" w:themeColor="text1"/>
            </w:tcBorders>
            <w:shd w:val="clear" w:color="auto" w:fill="FFFFCC"/>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EN 12903</w:t>
            </w:r>
          </w:p>
        </w:tc>
      </w:tr>
      <w:tr w:rsidR="00C8284D" w:rsidRPr="0043547B" w:rsidTr="009F7DF4">
        <w:trPr>
          <w:trHeight w:val="600"/>
          <w:jc w:val="center"/>
        </w:trPr>
        <w:tc>
          <w:tcPr>
            <w:tcW w:w="1838" w:type="dxa"/>
            <w:tcBorders>
              <w:bottom w:val="single" w:sz="4" w:space="0" w:color="000000" w:themeColor="text1"/>
            </w:tcBorders>
            <w:shd w:val="clear" w:color="auto" w:fill="8DB3E2" w:themeFill="text2" w:themeFillTint="66"/>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Intitulé :</w:t>
            </w:r>
          </w:p>
        </w:tc>
        <w:tc>
          <w:tcPr>
            <w:tcW w:w="7944" w:type="dxa"/>
            <w:tcBorders>
              <w:bottom w:val="single" w:sz="4"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Produits utilisés pour le traitement de l'eau destinée à la consommation humaine - Charbon actif en poudre </w:t>
            </w:r>
          </w:p>
        </w:tc>
      </w:tr>
      <w:tr w:rsidR="00C8284D" w:rsidRPr="0043547B" w:rsidTr="002532B1">
        <w:trPr>
          <w:trHeight w:val="1341"/>
          <w:jc w:val="center"/>
        </w:trPr>
        <w:tc>
          <w:tcPr>
            <w:tcW w:w="1838" w:type="dxa"/>
            <w:tcBorders>
              <w:top w:val="single" w:sz="4" w:space="0" w:color="000000" w:themeColor="text1"/>
              <w:bottom w:val="single" w:sz="18" w:space="0" w:color="000000" w:themeColor="text1"/>
            </w:tcBorders>
            <w:shd w:val="clear" w:color="auto" w:fill="D9D9D9" w:themeFill="background1" w:themeFillShade="D9"/>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Domaine d’application :</w:t>
            </w:r>
          </w:p>
        </w:tc>
        <w:tc>
          <w:tcPr>
            <w:tcW w:w="7944" w:type="dxa"/>
            <w:tcBorders>
              <w:top w:val="single" w:sz="4" w:space="0" w:color="000000" w:themeColor="text1"/>
              <w:bottom w:val="single" w:sz="18"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La présente Norme marocaine est applicable au charbon actif en poudre utilisé pour le traitement de l'eau destinée à la consommation humaine. Elle décrit les caractéristiques du charbon actif en poudre et spécifie les exigences et les méthodes d'essai correspondantes. Elle donne des informations pour son emploi dans le traitement de l'eau.</w:t>
            </w:r>
          </w:p>
        </w:tc>
      </w:tr>
      <w:tr w:rsidR="00C8284D" w:rsidRPr="0043547B" w:rsidTr="000B2CF0">
        <w:trPr>
          <w:trHeight w:val="315"/>
          <w:jc w:val="center"/>
        </w:trPr>
        <w:tc>
          <w:tcPr>
            <w:tcW w:w="1838" w:type="dxa"/>
            <w:tcBorders>
              <w:top w:val="single" w:sz="18" w:space="0" w:color="000000" w:themeColor="text1"/>
              <w:bottom w:val="single" w:sz="18" w:space="0" w:color="000000" w:themeColor="text1"/>
            </w:tcBorders>
            <w:shd w:val="clear" w:color="auto" w:fill="C2D69B" w:themeFill="accent3" w:themeFillTint="99"/>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Code :</w:t>
            </w:r>
          </w:p>
        </w:tc>
        <w:tc>
          <w:tcPr>
            <w:tcW w:w="7944" w:type="dxa"/>
            <w:tcBorders>
              <w:top w:val="single" w:sz="18" w:space="0" w:color="000000" w:themeColor="text1"/>
              <w:bottom w:val="single" w:sz="18" w:space="0" w:color="000000" w:themeColor="text1"/>
            </w:tcBorders>
            <w:shd w:val="clear" w:color="auto" w:fill="C2D69B" w:themeFill="accent3" w:themeFillTint="99"/>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NM EN 12904</w:t>
            </w:r>
          </w:p>
        </w:tc>
      </w:tr>
      <w:tr w:rsidR="00C8284D" w:rsidRPr="0043547B" w:rsidTr="000B2CF0">
        <w:trPr>
          <w:trHeight w:val="315"/>
          <w:jc w:val="center"/>
        </w:trPr>
        <w:tc>
          <w:tcPr>
            <w:tcW w:w="1838" w:type="dxa"/>
            <w:tcBorders>
              <w:top w:val="single" w:sz="18" w:space="0" w:color="000000" w:themeColor="text1"/>
            </w:tcBorders>
            <w:shd w:val="clear" w:color="auto" w:fill="FFFFCC"/>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Equivalence :</w:t>
            </w:r>
          </w:p>
        </w:tc>
        <w:tc>
          <w:tcPr>
            <w:tcW w:w="7944" w:type="dxa"/>
            <w:tcBorders>
              <w:top w:val="single" w:sz="18" w:space="0" w:color="000000" w:themeColor="text1"/>
            </w:tcBorders>
            <w:shd w:val="clear" w:color="auto" w:fill="FFFFCC"/>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EN 12904</w:t>
            </w:r>
          </w:p>
        </w:tc>
      </w:tr>
      <w:tr w:rsidR="00C8284D" w:rsidRPr="0043547B" w:rsidTr="009F7DF4">
        <w:trPr>
          <w:trHeight w:val="600"/>
          <w:jc w:val="center"/>
        </w:trPr>
        <w:tc>
          <w:tcPr>
            <w:tcW w:w="1838" w:type="dxa"/>
            <w:tcBorders>
              <w:bottom w:val="single" w:sz="4" w:space="0" w:color="000000" w:themeColor="text1"/>
            </w:tcBorders>
            <w:shd w:val="clear" w:color="auto" w:fill="8DB3E2" w:themeFill="text2" w:themeFillTint="66"/>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Intitulé :</w:t>
            </w:r>
          </w:p>
        </w:tc>
        <w:tc>
          <w:tcPr>
            <w:tcW w:w="7944" w:type="dxa"/>
            <w:tcBorders>
              <w:bottom w:val="single" w:sz="4"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 xml:space="preserve">Produits chimiques utilisés pour le traitement de l'eau destinée à la consommation humaine - Sable et gravier de quartz   </w:t>
            </w:r>
          </w:p>
        </w:tc>
      </w:tr>
      <w:tr w:rsidR="00C8284D" w:rsidRPr="0043547B" w:rsidTr="009F7DF4">
        <w:trPr>
          <w:trHeight w:val="1320"/>
          <w:jc w:val="center"/>
        </w:trPr>
        <w:tc>
          <w:tcPr>
            <w:tcW w:w="1838" w:type="dxa"/>
            <w:tcBorders>
              <w:top w:val="single" w:sz="4" w:space="0" w:color="000000" w:themeColor="text1"/>
              <w:bottom w:val="single" w:sz="18" w:space="0" w:color="000000" w:themeColor="text1"/>
            </w:tcBorders>
            <w:shd w:val="clear" w:color="auto" w:fill="D9D9D9" w:themeFill="background1" w:themeFillShade="D9"/>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Domaine d’application :</w:t>
            </w:r>
          </w:p>
        </w:tc>
        <w:tc>
          <w:tcPr>
            <w:tcW w:w="7944" w:type="dxa"/>
            <w:tcBorders>
              <w:top w:val="single" w:sz="4" w:space="0" w:color="000000" w:themeColor="text1"/>
              <w:bottom w:val="single" w:sz="18"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Le présent document s’applique au sable de quartz et au gravier de quartz utilisé pour le traitement de l’eau destinée à la consommation humaine. Il décrit les caractéristiques et spécifie les exigences et les méthodes d’essai correspondantes pour le sable de quartz et le gravier de quartz. Il donne des informations sur leur emploi dans le traitement de l’eau.</w:t>
            </w:r>
          </w:p>
        </w:tc>
      </w:tr>
      <w:tr w:rsidR="00C8284D" w:rsidRPr="0043547B" w:rsidTr="000B2CF0">
        <w:trPr>
          <w:trHeight w:val="315"/>
          <w:jc w:val="center"/>
        </w:trPr>
        <w:tc>
          <w:tcPr>
            <w:tcW w:w="1838" w:type="dxa"/>
            <w:tcBorders>
              <w:top w:val="single" w:sz="18" w:space="0" w:color="000000" w:themeColor="text1"/>
              <w:bottom w:val="single" w:sz="18" w:space="0" w:color="000000" w:themeColor="text1"/>
            </w:tcBorders>
            <w:shd w:val="clear" w:color="auto" w:fill="C2D69B" w:themeFill="accent3" w:themeFillTint="99"/>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Code :</w:t>
            </w:r>
          </w:p>
        </w:tc>
        <w:tc>
          <w:tcPr>
            <w:tcW w:w="7944" w:type="dxa"/>
            <w:tcBorders>
              <w:top w:val="single" w:sz="18" w:space="0" w:color="000000" w:themeColor="text1"/>
              <w:bottom w:val="single" w:sz="18" w:space="0" w:color="000000" w:themeColor="text1"/>
            </w:tcBorders>
            <w:shd w:val="clear" w:color="auto" w:fill="C2D69B" w:themeFill="accent3" w:themeFillTint="99"/>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NM EN 12905</w:t>
            </w:r>
          </w:p>
        </w:tc>
      </w:tr>
      <w:tr w:rsidR="00C8284D" w:rsidRPr="0043547B" w:rsidTr="000B2CF0">
        <w:trPr>
          <w:trHeight w:val="315"/>
          <w:jc w:val="center"/>
        </w:trPr>
        <w:tc>
          <w:tcPr>
            <w:tcW w:w="1838" w:type="dxa"/>
            <w:tcBorders>
              <w:top w:val="single" w:sz="18" w:space="0" w:color="000000" w:themeColor="text1"/>
            </w:tcBorders>
            <w:shd w:val="clear" w:color="auto" w:fill="FFFFCC"/>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Equivalence :</w:t>
            </w:r>
          </w:p>
        </w:tc>
        <w:tc>
          <w:tcPr>
            <w:tcW w:w="7944" w:type="dxa"/>
            <w:tcBorders>
              <w:top w:val="single" w:sz="18" w:space="0" w:color="000000" w:themeColor="text1"/>
            </w:tcBorders>
            <w:shd w:val="clear" w:color="auto" w:fill="FFFFCC"/>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EN 12905</w:t>
            </w:r>
          </w:p>
        </w:tc>
      </w:tr>
      <w:tr w:rsidR="00C8284D" w:rsidRPr="0043547B" w:rsidTr="009F7DF4">
        <w:trPr>
          <w:trHeight w:val="600"/>
          <w:jc w:val="center"/>
        </w:trPr>
        <w:tc>
          <w:tcPr>
            <w:tcW w:w="1838" w:type="dxa"/>
            <w:tcBorders>
              <w:bottom w:val="single" w:sz="4" w:space="0" w:color="000000" w:themeColor="text1"/>
            </w:tcBorders>
            <w:shd w:val="clear" w:color="auto" w:fill="8DB3E2" w:themeFill="text2" w:themeFillTint="66"/>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Intitulé :</w:t>
            </w:r>
          </w:p>
        </w:tc>
        <w:tc>
          <w:tcPr>
            <w:tcW w:w="7944" w:type="dxa"/>
            <w:tcBorders>
              <w:bottom w:val="single" w:sz="4"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Produits utilisés pour le traitement de l'eau destinée à la consommation humaine - Aluminosilicate expansé </w:t>
            </w:r>
          </w:p>
        </w:tc>
      </w:tr>
      <w:tr w:rsidR="00C8284D" w:rsidRPr="0043547B" w:rsidTr="00E17108">
        <w:trPr>
          <w:trHeight w:val="1517"/>
          <w:jc w:val="center"/>
        </w:trPr>
        <w:tc>
          <w:tcPr>
            <w:tcW w:w="1838" w:type="dxa"/>
            <w:tcBorders>
              <w:top w:val="single" w:sz="4" w:space="0" w:color="000000" w:themeColor="text1"/>
              <w:bottom w:val="single" w:sz="18" w:space="0" w:color="000000" w:themeColor="text1"/>
            </w:tcBorders>
            <w:shd w:val="clear" w:color="auto" w:fill="D9D9D9" w:themeFill="background1" w:themeFillShade="D9"/>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Domaine d’application :</w:t>
            </w:r>
          </w:p>
        </w:tc>
        <w:tc>
          <w:tcPr>
            <w:tcW w:w="7944" w:type="dxa"/>
            <w:tcBorders>
              <w:top w:val="single" w:sz="4" w:space="0" w:color="000000" w:themeColor="text1"/>
              <w:bottom w:val="single" w:sz="18"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La présente norme marocaine s’applique à tous les aluminosilicates expansés utilisés dans le traitement de l’eau destinée à la consommation humaine. Elle décrit les caractéristiques des aluminotes expansés et spécifie les prescriptions et les méthodes d'essai correspondantes pour tous les aluminosilicates expansés. Elle donne des informations pour leur utilisation dans le traitement de l’eau.</w:t>
            </w:r>
          </w:p>
        </w:tc>
      </w:tr>
      <w:tr w:rsidR="00C8284D" w:rsidRPr="0043547B" w:rsidTr="000B2CF0">
        <w:trPr>
          <w:trHeight w:val="315"/>
          <w:jc w:val="center"/>
        </w:trPr>
        <w:tc>
          <w:tcPr>
            <w:tcW w:w="1838" w:type="dxa"/>
            <w:tcBorders>
              <w:top w:val="single" w:sz="18" w:space="0" w:color="000000" w:themeColor="text1"/>
              <w:bottom w:val="single" w:sz="18" w:space="0" w:color="000000" w:themeColor="text1"/>
            </w:tcBorders>
            <w:shd w:val="clear" w:color="auto" w:fill="C2D69B" w:themeFill="accent3" w:themeFillTint="99"/>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Code :</w:t>
            </w:r>
          </w:p>
        </w:tc>
        <w:tc>
          <w:tcPr>
            <w:tcW w:w="7944" w:type="dxa"/>
            <w:tcBorders>
              <w:top w:val="single" w:sz="18" w:space="0" w:color="000000" w:themeColor="text1"/>
              <w:bottom w:val="single" w:sz="18" w:space="0" w:color="000000" w:themeColor="text1"/>
            </w:tcBorders>
            <w:shd w:val="clear" w:color="auto" w:fill="C2D69B" w:themeFill="accent3" w:themeFillTint="99"/>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NM EN 12906</w:t>
            </w:r>
          </w:p>
        </w:tc>
      </w:tr>
      <w:tr w:rsidR="00C8284D" w:rsidRPr="0043547B" w:rsidTr="000B2CF0">
        <w:trPr>
          <w:trHeight w:val="315"/>
          <w:jc w:val="center"/>
        </w:trPr>
        <w:tc>
          <w:tcPr>
            <w:tcW w:w="1838" w:type="dxa"/>
            <w:tcBorders>
              <w:top w:val="single" w:sz="18" w:space="0" w:color="000000" w:themeColor="text1"/>
            </w:tcBorders>
            <w:shd w:val="clear" w:color="auto" w:fill="FFFFCC"/>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lastRenderedPageBreak/>
              <w:t>Equivalence :</w:t>
            </w:r>
          </w:p>
        </w:tc>
        <w:tc>
          <w:tcPr>
            <w:tcW w:w="7944" w:type="dxa"/>
            <w:tcBorders>
              <w:top w:val="single" w:sz="18" w:space="0" w:color="000000" w:themeColor="text1"/>
            </w:tcBorders>
            <w:shd w:val="clear" w:color="auto" w:fill="FFFFCC"/>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EN 12906</w:t>
            </w:r>
          </w:p>
        </w:tc>
      </w:tr>
      <w:tr w:rsidR="00C8284D" w:rsidRPr="0043547B" w:rsidTr="009F7DF4">
        <w:trPr>
          <w:trHeight w:val="600"/>
          <w:jc w:val="center"/>
        </w:trPr>
        <w:tc>
          <w:tcPr>
            <w:tcW w:w="1838" w:type="dxa"/>
            <w:tcBorders>
              <w:bottom w:val="single" w:sz="4" w:space="0" w:color="000000" w:themeColor="text1"/>
            </w:tcBorders>
            <w:shd w:val="clear" w:color="auto" w:fill="8DB3E2" w:themeFill="text2" w:themeFillTint="66"/>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Intitulé :</w:t>
            </w:r>
          </w:p>
        </w:tc>
        <w:tc>
          <w:tcPr>
            <w:tcW w:w="7944" w:type="dxa"/>
            <w:tcBorders>
              <w:bottom w:val="single" w:sz="4"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 xml:space="preserve">Produits utilisés pour le traitement de l'eau destinée à la consommation humaine - Pierre ponce </w:t>
            </w:r>
          </w:p>
        </w:tc>
      </w:tr>
      <w:tr w:rsidR="00C8284D" w:rsidRPr="0043547B" w:rsidTr="00E17108">
        <w:trPr>
          <w:trHeight w:val="1201"/>
          <w:jc w:val="center"/>
        </w:trPr>
        <w:tc>
          <w:tcPr>
            <w:tcW w:w="1838" w:type="dxa"/>
            <w:tcBorders>
              <w:top w:val="single" w:sz="4" w:space="0" w:color="000000" w:themeColor="text1"/>
              <w:bottom w:val="single" w:sz="18" w:space="0" w:color="000000" w:themeColor="text1"/>
            </w:tcBorders>
            <w:shd w:val="clear" w:color="auto" w:fill="D9D9D9" w:themeFill="background1" w:themeFillShade="D9"/>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Domaine d’application :</w:t>
            </w:r>
          </w:p>
        </w:tc>
        <w:tc>
          <w:tcPr>
            <w:tcW w:w="7944" w:type="dxa"/>
            <w:tcBorders>
              <w:top w:val="single" w:sz="4" w:space="0" w:color="000000" w:themeColor="text1"/>
              <w:bottom w:val="single" w:sz="18"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La présente Norme marocaine s’applique à la pierre ponce utilisée pour le traitement de l’eau destinée à la consommation humaine. Elle décrit les caractéristiques de la pierre ponce et spécifie les exigences et les méthodes d’essai correspondantes. Elle donne des informations sur son emploi dans le traitement de l’eau.</w:t>
            </w:r>
          </w:p>
        </w:tc>
      </w:tr>
      <w:tr w:rsidR="00C8284D" w:rsidRPr="0043547B" w:rsidTr="000B2CF0">
        <w:trPr>
          <w:trHeight w:val="315"/>
          <w:jc w:val="center"/>
        </w:trPr>
        <w:tc>
          <w:tcPr>
            <w:tcW w:w="1838" w:type="dxa"/>
            <w:tcBorders>
              <w:top w:val="single" w:sz="18" w:space="0" w:color="000000" w:themeColor="text1"/>
              <w:bottom w:val="single" w:sz="18" w:space="0" w:color="000000" w:themeColor="text1"/>
            </w:tcBorders>
            <w:shd w:val="clear" w:color="auto" w:fill="C2D69B" w:themeFill="accent3" w:themeFillTint="99"/>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Code :</w:t>
            </w:r>
          </w:p>
        </w:tc>
        <w:tc>
          <w:tcPr>
            <w:tcW w:w="7944" w:type="dxa"/>
            <w:tcBorders>
              <w:top w:val="single" w:sz="18" w:space="0" w:color="000000" w:themeColor="text1"/>
              <w:bottom w:val="single" w:sz="18" w:space="0" w:color="000000" w:themeColor="text1"/>
            </w:tcBorders>
            <w:shd w:val="clear" w:color="auto" w:fill="C2D69B" w:themeFill="accent3" w:themeFillTint="99"/>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NM EN 12907</w:t>
            </w:r>
          </w:p>
        </w:tc>
      </w:tr>
      <w:tr w:rsidR="00C8284D" w:rsidRPr="0043547B" w:rsidTr="000B2CF0">
        <w:trPr>
          <w:trHeight w:val="315"/>
          <w:jc w:val="center"/>
        </w:trPr>
        <w:tc>
          <w:tcPr>
            <w:tcW w:w="1838" w:type="dxa"/>
            <w:tcBorders>
              <w:top w:val="single" w:sz="18" w:space="0" w:color="000000" w:themeColor="text1"/>
            </w:tcBorders>
            <w:shd w:val="clear" w:color="auto" w:fill="FFFFCC"/>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Equivalence :</w:t>
            </w:r>
          </w:p>
        </w:tc>
        <w:tc>
          <w:tcPr>
            <w:tcW w:w="7944" w:type="dxa"/>
            <w:tcBorders>
              <w:top w:val="single" w:sz="18" w:space="0" w:color="000000" w:themeColor="text1"/>
            </w:tcBorders>
            <w:shd w:val="clear" w:color="auto" w:fill="FFFFCC"/>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EN 12907</w:t>
            </w:r>
          </w:p>
        </w:tc>
      </w:tr>
      <w:tr w:rsidR="00C8284D" w:rsidRPr="0043547B" w:rsidTr="009F7DF4">
        <w:trPr>
          <w:trHeight w:val="600"/>
          <w:jc w:val="center"/>
        </w:trPr>
        <w:tc>
          <w:tcPr>
            <w:tcW w:w="1838" w:type="dxa"/>
            <w:tcBorders>
              <w:bottom w:val="single" w:sz="4" w:space="0" w:color="000000" w:themeColor="text1"/>
            </w:tcBorders>
            <w:shd w:val="clear" w:color="auto" w:fill="8DB3E2" w:themeFill="text2" w:themeFillTint="66"/>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Intitulé :</w:t>
            </w:r>
          </w:p>
        </w:tc>
        <w:tc>
          <w:tcPr>
            <w:tcW w:w="7944" w:type="dxa"/>
            <w:tcBorders>
              <w:bottom w:val="single" w:sz="4"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 xml:space="preserve">Produits chimiques utilisés pour le traitement de l'eau destinée à la consommation humaine - Charbon pyrolysé   </w:t>
            </w:r>
          </w:p>
        </w:tc>
      </w:tr>
      <w:tr w:rsidR="00C8284D" w:rsidRPr="0043547B" w:rsidTr="00E17108">
        <w:trPr>
          <w:trHeight w:val="1490"/>
          <w:jc w:val="center"/>
        </w:trPr>
        <w:tc>
          <w:tcPr>
            <w:tcW w:w="1838" w:type="dxa"/>
            <w:tcBorders>
              <w:top w:val="single" w:sz="4" w:space="0" w:color="000000" w:themeColor="text1"/>
              <w:bottom w:val="single" w:sz="18" w:space="0" w:color="000000" w:themeColor="text1"/>
            </w:tcBorders>
            <w:shd w:val="clear" w:color="auto" w:fill="D9D9D9" w:themeFill="background1" w:themeFillShade="D9"/>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Domaine d’application :</w:t>
            </w:r>
          </w:p>
        </w:tc>
        <w:tc>
          <w:tcPr>
            <w:tcW w:w="7944" w:type="dxa"/>
            <w:tcBorders>
              <w:top w:val="single" w:sz="4" w:space="0" w:color="000000" w:themeColor="text1"/>
              <w:bottom w:val="single" w:sz="18"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La présente Norme marocaine est applicable au charbon pyrolysé utilisé pour le traitement de l’eau destinée à la consommation humaine. Elle décrit les caractéristiques du charbon pyrolysé et spécifie les exigences et les méthodes d’essai correspondantes. Elle donne des informations sur son emploi dans le traitement de l’eau.</w:t>
            </w:r>
          </w:p>
        </w:tc>
      </w:tr>
      <w:tr w:rsidR="00C8284D" w:rsidRPr="0043547B" w:rsidTr="000B2CF0">
        <w:trPr>
          <w:trHeight w:val="315"/>
          <w:jc w:val="center"/>
        </w:trPr>
        <w:tc>
          <w:tcPr>
            <w:tcW w:w="1838" w:type="dxa"/>
            <w:tcBorders>
              <w:top w:val="single" w:sz="18" w:space="0" w:color="000000" w:themeColor="text1"/>
              <w:bottom w:val="single" w:sz="18" w:space="0" w:color="000000" w:themeColor="text1"/>
            </w:tcBorders>
            <w:shd w:val="clear" w:color="auto" w:fill="C2D69B" w:themeFill="accent3" w:themeFillTint="99"/>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Code :</w:t>
            </w:r>
          </w:p>
        </w:tc>
        <w:tc>
          <w:tcPr>
            <w:tcW w:w="7944" w:type="dxa"/>
            <w:tcBorders>
              <w:top w:val="single" w:sz="18" w:space="0" w:color="000000" w:themeColor="text1"/>
              <w:bottom w:val="single" w:sz="18" w:space="0" w:color="000000" w:themeColor="text1"/>
            </w:tcBorders>
            <w:shd w:val="clear" w:color="auto" w:fill="C2D69B" w:themeFill="accent3" w:themeFillTint="99"/>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NM EN 12909</w:t>
            </w:r>
          </w:p>
        </w:tc>
      </w:tr>
      <w:tr w:rsidR="00C8284D" w:rsidRPr="0043547B" w:rsidTr="000B2CF0">
        <w:trPr>
          <w:trHeight w:val="315"/>
          <w:jc w:val="center"/>
        </w:trPr>
        <w:tc>
          <w:tcPr>
            <w:tcW w:w="1838" w:type="dxa"/>
            <w:tcBorders>
              <w:top w:val="single" w:sz="18" w:space="0" w:color="000000" w:themeColor="text1"/>
            </w:tcBorders>
            <w:shd w:val="clear" w:color="auto" w:fill="FFFFCC"/>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Equivalence :</w:t>
            </w:r>
          </w:p>
        </w:tc>
        <w:tc>
          <w:tcPr>
            <w:tcW w:w="7944" w:type="dxa"/>
            <w:tcBorders>
              <w:top w:val="single" w:sz="18" w:space="0" w:color="000000" w:themeColor="text1"/>
            </w:tcBorders>
            <w:shd w:val="clear" w:color="auto" w:fill="FFFFCC"/>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EN 12909</w:t>
            </w:r>
          </w:p>
        </w:tc>
      </w:tr>
      <w:tr w:rsidR="00C8284D" w:rsidRPr="0043547B" w:rsidTr="009F7DF4">
        <w:trPr>
          <w:trHeight w:val="600"/>
          <w:jc w:val="center"/>
        </w:trPr>
        <w:tc>
          <w:tcPr>
            <w:tcW w:w="1838" w:type="dxa"/>
            <w:tcBorders>
              <w:bottom w:val="single" w:sz="4" w:space="0" w:color="000000" w:themeColor="text1"/>
            </w:tcBorders>
            <w:shd w:val="clear" w:color="auto" w:fill="8DB3E2" w:themeFill="text2" w:themeFillTint="66"/>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Intitulé :</w:t>
            </w:r>
          </w:p>
        </w:tc>
        <w:tc>
          <w:tcPr>
            <w:tcW w:w="7944" w:type="dxa"/>
            <w:tcBorders>
              <w:bottom w:val="single" w:sz="4"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 xml:space="preserve">Produits chimiques utilisés pour le traitement de l'eau destinée à la consommation humaine – Anthracite   </w:t>
            </w:r>
          </w:p>
        </w:tc>
      </w:tr>
      <w:tr w:rsidR="00C8284D" w:rsidRPr="0043547B" w:rsidTr="002532B1">
        <w:trPr>
          <w:trHeight w:val="998"/>
          <w:jc w:val="center"/>
        </w:trPr>
        <w:tc>
          <w:tcPr>
            <w:tcW w:w="1838" w:type="dxa"/>
            <w:tcBorders>
              <w:top w:val="single" w:sz="4" w:space="0" w:color="000000" w:themeColor="text1"/>
              <w:bottom w:val="single" w:sz="18" w:space="0" w:color="000000" w:themeColor="text1"/>
            </w:tcBorders>
            <w:shd w:val="clear" w:color="auto" w:fill="D9D9D9" w:themeFill="background1" w:themeFillShade="D9"/>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Domaine d’application :</w:t>
            </w:r>
          </w:p>
        </w:tc>
        <w:tc>
          <w:tcPr>
            <w:tcW w:w="7944" w:type="dxa"/>
            <w:tcBorders>
              <w:top w:val="single" w:sz="4" w:space="0" w:color="000000" w:themeColor="text1"/>
              <w:bottom w:val="single" w:sz="18"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La présente Norme marocaine s’applique à l’anthracite utilisé pour le traitement de l’eau destinée à la consommation humaine. Elle décrit les caractéristiques de l’anthracite et spécifie les exigences et les méthodes d’essai correspondantes. Elle donne des informations sur son emploi dans le traitement de l’eau.</w:t>
            </w:r>
          </w:p>
        </w:tc>
      </w:tr>
      <w:tr w:rsidR="00C8284D" w:rsidRPr="0043547B" w:rsidTr="000B2CF0">
        <w:trPr>
          <w:trHeight w:val="315"/>
          <w:jc w:val="center"/>
        </w:trPr>
        <w:tc>
          <w:tcPr>
            <w:tcW w:w="1838" w:type="dxa"/>
            <w:tcBorders>
              <w:top w:val="single" w:sz="18" w:space="0" w:color="000000" w:themeColor="text1"/>
              <w:bottom w:val="single" w:sz="18" w:space="0" w:color="000000" w:themeColor="text1"/>
            </w:tcBorders>
            <w:shd w:val="clear" w:color="auto" w:fill="C2D69B" w:themeFill="accent3" w:themeFillTint="99"/>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Code :</w:t>
            </w:r>
          </w:p>
        </w:tc>
        <w:tc>
          <w:tcPr>
            <w:tcW w:w="7944" w:type="dxa"/>
            <w:tcBorders>
              <w:top w:val="single" w:sz="18" w:space="0" w:color="000000" w:themeColor="text1"/>
              <w:bottom w:val="single" w:sz="18" w:space="0" w:color="000000" w:themeColor="text1"/>
            </w:tcBorders>
            <w:shd w:val="clear" w:color="auto" w:fill="C2D69B" w:themeFill="accent3" w:themeFillTint="99"/>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NM EN 12910</w:t>
            </w:r>
          </w:p>
        </w:tc>
      </w:tr>
      <w:tr w:rsidR="00C8284D" w:rsidRPr="0043547B" w:rsidTr="000B2CF0">
        <w:trPr>
          <w:trHeight w:val="315"/>
          <w:jc w:val="center"/>
        </w:trPr>
        <w:tc>
          <w:tcPr>
            <w:tcW w:w="1838" w:type="dxa"/>
            <w:tcBorders>
              <w:top w:val="single" w:sz="18" w:space="0" w:color="000000" w:themeColor="text1"/>
            </w:tcBorders>
            <w:shd w:val="clear" w:color="auto" w:fill="FFFFCC"/>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Equivalence :</w:t>
            </w:r>
          </w:p>
        </w:tc>
        <w:tc>
          <w:tcPr>
            <w:tcW w:w="7944" w:type="dxa"/>
            <w:tcBorders>
              <w:top w:val="single" w:sz="18" w:space="0" w:color="000000" w:themeColor="text1"/>
            </w:tcBorders>
            <w:shd w:val="clear" w:color="auto" w:fill="FFFFCC"/>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EN 12910</w:t>
            </w:r>
          </w:p>
        </w:tc>
      </w:tr>
      <w:tr w:rsidR="00C8284D" w:rsidRPr="0043547B" w:rsidTr="009F7DF4">
        <w:trPr>
          <w:trHeight w:val="600"/>
          <w:jc w:val="center"/>
        </w:trPr>
        <w:tc>
          <w:tcPr>
            <w:tcW w:w="1838" w:type="dxa"/>
            <w:tcBorders>
              <w:bottom w:val="single" w:sz="4" w:space="0" w:color="000000" w:themeColor="text1"/>
            </w:tcBorders>
            <w:shd w:val="clear" w:color="auto" w:fill="8DB3E2" w:themeFill="text2" w:themeFillTint="66"/>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Intitulé :</w:t>
            </w:r>
          </w:p>
        </w:tc>
        <w:tc>
          <w:tcPr>
            <w:tcW w:w="7944" w:type="dxa"/>
            <w:tcBorders>
              <w:bottom w:val="single" w:sz="4"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 xml:space="preserve">Produits utilisés pour le traitement de l'eau destinée à la consommation humaine – Grenat  </w:t>
            </w:r>
          </w:p>
        </w:tc>
      </w:tr>
      <w:tr w:rsidR="00C8284D" w:rsidRPr="0043547B" w:rsidTr="002532B1">
        <w:trPr>
          <w:trHeight w:val="1132"/>
          <w:jc w:val="center"/>
        </w:trPr>
        <w:tc>
          <w:tcPr>
            <w:tcW w:w="1838" w:type="dxa"/>
            <w:tcBorders>
              <w:top w:val="single" w:sz="4" w:space="0" w:color="000000" w:themeColor="text1"/>
              <w:bottom w:val="single" w:sz="18" w:space="0" w:color="000000" w:themeColor="text1"/>
            </w:tcBorders>
            <w:shd w:val="clear" w:color="auto" w:fill="D9D9D9" w:themeFill="background1" w:themeFillShade="D9"/>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Domaine d’application :</w:t>
            </w:r>
          </w:p>
        </w:tc>
        <w:tc>
          <w:tcPr>
            <w:tcW w:w="7944" w:type="dxa"/>
            <w:tcBorders>
              <w:top w:val="single" w:sz="4" w:space="0" w:color="000000" w:themeColor="text1"/>
              <w:bottom w:val="single" w:sz="18"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La présente Norme marocaine s’applique au grenat utilisé pour le traitement de l’eau destinée à la consommation humaine. Elle décrit les caractéristiques du grenat et spécifie les exigences et les méthodes d’essai correspondantes. Elle donne des informations sur son emploi dans le traitement de l’eau.</w:t>
            </w:r>
          </w:p>
        </w:tc>
      </w:tr>
      <w:tr w:rsidR="00C8284D" w:rsidRPr="0043547B" w:rsidTr="000B2CF0">
        <w:trPr>
          <w:trHeight w:val="315"/>
          <w:jc w:val="center"/>
        </w:trPr>
        <w:tc>
          <w:tcPr>
            <w:tcW w:w="1838" w:type="dxa"/>
            <w:tcBorders>
              <w:top w:val="single" w:sz="18" w:space="0" w:color="000000" w:themeColor="text1"/>
              <w:bottom w:val="single" w:sz="18" w:space="0" w:color="000000" w:themeColor="text1"/>
            </w:tcBorders>
            <w:shd w:val="clear" w:color="auto" w:fill="C2D69B" w:themeFill="accent3" w:themeFillTint="99"/>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Code :</w:t>
            </w:r>
          </w:p>
        </w:tc>
        <w:tc>
          <w:tcPr>
            <w:tcW w:w="7944" w:type="dxa"/>
            <w:tcBorders>
              <w:top w:val="single" w:sz="18" w:space="0" w:color="000000" w:themeColor="text1"/>
              <w:bottom w:val="single" w:sz="18" w:space="0" w:color="000000" w:themeColor="text1"/>
            </w:tcBorders>
            <w:shd w:val="clear" w:color="auto" w:fill="C2D69B" w:themeFill="accent3" w:themeFillTint="99"/>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NM EN 12911</w:t>
            </w:r>
          </w:p>
        </w:tc>
      </w:tr>
      <w:tr w:rsidR="00C8284D" w:rsidRPr="0043547B" w:rsidTr="000B2CF0">
        <w:trPr>
          <w:trHeight w:val="315"/>
          <w:jc w:val="center"/>
        </w:trPr>
        <w:tc>
          <w:tcPr>
            <w:tcW w:w="1838" w:type="dxa"/>
            <w:tcBorders>
              <w:top w:val="single" w:sz="18" w:space="0" w:color="000000" w:themeColor="text1"/>
            </w:tcBorders>
            <w:shd w:val="clear" w:color="auto" w:fill="FFFFCC"/>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Equivalence :</w:t>
            </w:r>
          </w:p>
        </w:tc>
        <w:tc>
          <w:tcPr>
            <w:tcW w:w="7944" w:type="dxa"/>
            <w:tcBorders>
              <w:top w:val="single" w:sz="18" w:space="0" w:color="000000" w:themeColor="text1"/>
            </w:tcBorders>
            <w:shd w:val="clear" w:color="auto" w:fill="FFFFCC"/>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EN 12911</w:t>
            </w:r>
          </w:p>
        </w:tc>
      </w:tr>
      <w:tr w:rsidR="00C8284D" w:rsidRPr="0043547B" w:rsidTr="00F33CEB">
        <w:trPr>
          <w:trHeight w:val="600"/>
          <w:jc w:val="center"/>
        </w:trPr>
        <w:tc>
          <w:tcPr>
            <w:tcW w:w="1838" w:type="dxa"/>
            <w:tcBorders>
              <w:bottom w:val="single" w:sz="4" w:space="0" w:color="000000" w:themeColor="text1"/>
            </w:tcBorders>
            <w:shd w:val="clear" w:color="auto" w:fill="8DB3E2" w:themeFill="text2" w:themeFillTint="66"/>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Intitulé :</w:t>
            </w:r>
          </w:p>
        </w:tc>
        <w:tc>
          <w:tcPr>
            <w:tcW w:w="7944" w:type="dxa"/>
            <w:tcBorders>
              <w:bottom w:val="single" w:sz="4"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 xml:space="preserve">Produits utilisés pour le traitement de l'eau destinée à la consommation humaine - Sable vert manganisé  </w:t>
            </w:r>
          </w:p>
        </w:tc>
      </w:tr>
      <w:tr w:rsidR="00C8284D" w:rsidRPr="0043547B" w:rsidTr="002532B1">
        <w:trPr>
          <w:trHeight w:val="1365"/>
          <w:jc w:val="center"/>
        </w:trPr>
        <w:tc>
          <w:tcPr>
            <w:tcW w:w="1838" w:type="dxa"/>
            <w:tcBorders>
              <w:top w:val="single" w:sz="4" w:space="0" w:color="000000" w:themeColor="text1"/>
              <w:bottom w:val="single" w:sz="18" w:space="0" w:color="000000" w:themeColor="text1"/>
            </w:tcBorders>
            <w:shd w:val="clear" w:color="auto" w:fill="D9D9D9" w:themeFill="background1" w:themeFillShade="D9"/>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Domaine d’application :</w:t>
            </w:r>
          </w:p>
        </w:tc>
        <w:tc>
          <w:tcPr>
            <w:tcW w:w="7944" w:type="dxa"/>
            <w:tcBorders>
              <w:top w:val="single" w:sz="4" w:space="0" w:color="000000" w:themeColor="text1"/>
              <w:bottom w:val="single" w:sz="18"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La présente Norme marocaine est applicable au sable vert manganisé utilisé pour le traitement de l'eau destinée à la consommation humaine. Elle décrit les caractéristiques du sable vert manganisé et spécifie les exigences et les méthodes d'essai correspondantes. Elle donne les informations pour son emploi dans le traitement de l'eau.</w:t>
            </w:r>
          </w:p>
        </w:tc>
      </w:tr>
      <w:tr w:rsidR="00C8284D" w:rsidRPr="0043547B" w:rsidTr="000B2CF0">
        <w:trPr>
          <w:trHeight w:val="315"/>
          <w:jc w:val="center"/>
        </w:trPr>
        <w:tc>
          <w:tcPr>
            <w:tcW w:w="1838" w:type="dxa"/>
            <w:tcBorders>
              <w:top w:val="single" w:sz="18" w:space="0" w:color="000000" w:themeColor="text1"/>
              <w:bottom w:val="single" w:sz="18" w:space="0" w:color="000000" w:themeColor="text1"/>
            </w:tcBorders>
            <w:shd w:val="clear" w:color="auto" w:fill="C2D69B" w:themeFill="accent3" w:themeFillTint="99"/>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Code :</w:t>
            </w:r>
          </w:p>
        </w:tc>
        <w:tc>
          <w:tcPr>
            <w:tcW w:w="7944" w:type="dxa"/>
            <w:tcBorders>
              <w:top w:val="single" w:sz="18" w:space="0" w:color="000000" w:themeColor="text1"/>
              <w:bottom w:val="single" w:sz="18" w:space="0" w:color="000000" w:themeColor="text1"/>
            </w:tcBorders>
            <w:shd w:val="clear" w:color="auto" w:fill="C2D69B" w:themeFill="accent3" w:themeFillTint="99"/>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NM EN 12912</w:t>
            </w:r>
          </w:p>
        </w:tc>
      </w:tr>
      <w:tr w:rsidR="00C8284D" w:rsidRPr="0043547B" w:rsidTr="000B2CF0">
        <w:trPr>
          <w:trHeight w:val="315"/>
          <w:jc w:val="center"/>
        </w:trPr>
        <w:tc>
          <w:tcPr>
            <w:tcW w:w="1838" w:type="dxa"/>
            <w:tcBorders>
              <w:top w:val="single" w:sz="18" w:space="0" w:color="000000" w:themeColor="text1"/>
            </w:tcBorders>
            <w:shd w:val="clear" w:color="auto" w:fill="FFFFCC"/>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Equivalence :</w:t>
            </w:r>
          </w:p>
        </w:tc>
        <w:tc>
          <w:tcPr>
            <w:tcW w:w="7944" w:type="dxa"/>
            <w:tcBorders>
              <w:top w:val="single" w:sz="18" w:space="0" w:color="000000" w:themeColor="text1"/>
            </w:tcBorders>
            <w:shd w:val="clear" w:color="auto" w:fill="FFFFCC"/>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EN 12912</w:t>
            </w:r>
          </w:p>
        </w:tc>
      </w:tr>
      <w:tr w:rsidR="00C8284D" w:rsidRPr="0043547B" w:rsidTr="00F33CEB">
        <w:trPr>
          <w:trHeight w:val="600"/>
          <w:jc w:val="center"/>
        </w:trPr>
        <w:tc>
          <w:tcPr>
            <w:tcW w:w="1838" w:type="dxa"/>
            <w:tcBorders>
              <w:bottom w:val="single" w:sz="4" w:space="0" w:color="000000" w:themeColor="text1"/>
            </w:tcBorders>
            <w:shd w:val="clear" w:color="auto" w:fill="8DB3E2" w:themeFill="text2" w:themeFillTint="66"/>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Intitulé :</w:t>
            </w:r>
          </w:p>
        </w:tc>
        <w:tc>
          <w:tcPr>
            <w:tcW w:w="7944" w:type="dxa"/>
            <w:tcBorders>
              <w:bottom w:val="single" w:sz="4"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 xml:space="preserve">Produits utilisés pour le traitement de l'eau destinée à la consommation humaine – Baryte </w:t>
            </w:r>
          </w:p>
        </w:tc>
      </w:tr>
      <w:tr w:rsidR="00C8284D" w:rsidRPr="0043547B" w:rsidTr="002532B1">
        <w:trPr>
          <w:trHeight w:val="1064"/>
          <w:jc w:val="center"/>
        </w:trPr>
        <w:tc>
          <w:tcPr>
            <w:tcW w:w="1838" w:type="dxa"/>
            <w:tcBorders>
              <w:top w:val="single" w:sz="4" w:space="0" w:color="000000" w:themeColor="text1"/>
              <w:bottom w:val="single" w:sz="18" w:space="0" w:color="000000" w:themeColor="text1"/>
            </w:tcBorders>
            <w:shd w:val="clear" w:color="auto" w:fill="D9D9D9" w:themeFill="background1" w:themeFillShade="D9"/>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lastRenderedPageBreak/>
              <w:t>Domaine d’application :</w:t>
            </w:r>
          </w:p>
        </w:tc>
        <w:tc>
          <w:tcPr>
            <w:tcW w:w="7944" w:type="dxa"/>
            <w:tcBorders>
              <w:top w:val="single" w:sz="4" w:space="0" w:color="000000" w:themeColor="text1"/>
              <w:bottom w:val="single" w:sz="18"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 xml:space="preserve">La présente Norme marocaine s’applique à la baryte utilisée pour le traitement de l’eau destinée à la consommation humaine. Elle décrit les caractéristiques de la baryte et spécifie les exigences et les méthodes d’essai correspondantes. Elle donne des informations sur son emploi dans le traitement de l’eau. </w:t>
            </w:r>
          </w:p>
        </w:tc>
      </w:tr>
      <w:tr w:rsidR="00C8284D" w:rsidRPr="0043547B" w:rsidTr="000B2CF0">
        <w:trPr>
          <w:trHeight w:val="315"/>
          <w:jc w:val="center"/>
        </w:trPr>
        <w:tc>
          <w:tcPr>
            <w:tcW w:w="1838" w:type="dxa"/>
            <w:tcBorders>
              <w:top w:val="single" w:sz="18" w:space="0" w:color="000000" w:themeColor="text1"/>
              <w:bottom w:val="single" w:sz="18" w:space="0" w:color="000000" w:themeColor="text1"/>
            </w:tcBorders>
            <w:shd w:val="clear" w:color="auto" w:fill="C2D69B" w:themeFill="accent3" w:themeFillTint="99"/>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Code :</w:t>
            </w:r>
          </w:p>
        </w:tc>
        <w:tc>
          <w:tcPr>
            <w:tcW w:w="7944" w:type="dxa"/>
            <w:tcBorders>
              <w:top w:val="single" w:sz="18" w:space="0" w:color="000000" w:themeColor="text1"/>
              <w:bottom w:val="single" w:sz="18" w:space="0" w:color="000000" w:themeColor="text1"/>
            </w:tcBorders>
            <w:shd w:val="clear" w:color="auto" w:fill="C2D69B" w:themeFill="accent3" w:themeFillTint="99"/>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NM EN 12913</w:t>
            </w:r>
          </w:p>
        </w:tc>
      </w:tr>
      <w:tr w:rsidR="00C8284D" w:rsidRPr="0043547B" w:rsidTr="000B2CF0">
        <w:trPr>
          <w:trHeight w:val="315"/>
          <w:jc w:val="center"/>
        </w:trPr>
        <w:tc>
          <w:tcPr>
            <w:tcW w:w="1838" w:type="dxa"/>
            <w:tcBorders>
              <w:top w:val="single" w:sz="18" w:space="0" w:color="000000" w:themeColor="text1"/>
            </w:tcBorders>
            <w:shd w:val="clear" w:color="auto" w:fill="FFFFCC"/>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Equivalence :</w:t>
            </w:r>
          </w:p>
        </w:tc>
        <w:tc>
          <w:tcPr>
            <w:tcW w:w="7944" w:type="dxa"/>
            <w:tcBorders>
              <w:top w:val="single" w:sz="18" w:space="0" w:color="000000" w:themeColor="text1"/>
            </w:tcBorders>
            <w:shd w:val="clear" w:color="auto" w:fill="FFFFCC"/>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EN 12913</w:t>
            </w:r>
          </w:p>
        </w:tc>
      </w:tr>
      <w:tr w:rsidR="00C8284D" w:rsidRPr="0043547B" w:rsidTr="00F33CEB">
        <w:trPr>
          <w:trHeight w:val="600"/>
          <w:jc w:val="center"/>
        </w:trPr>
        <w:tc>
          <w:tcPr>
            <w:tcW w:w="1838" w:type="dxa"/>
            <w:tcBorders>
              <w:bottom w:val="single" w:sz="4" w:space="0" w:color="000000" w:themeColor="text1"/>
            </w:tcBorders>
            <w:shd w:val="clear" w:color="auto" w:fill="8DB3E2" w:themeFill="text2" w:themeFillTint="66"/>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Intitulé :</w:t>
            </w:r>
          </w:p>
        </w:tc>
        <w:tc>
          <w:tcPr>
            <w:tcW w:w="7944" w:type="dxa"/>
            <w:tcBorders>
              <w:bottom w:val="single" w:sz="4"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 xml:space="preserve">Produits utilisés pour le traitement de l'eau destinée à la consommation humaine - Terre de diatomées en poudre </w:t>
            </w:r>
          </w:p>
        </w:tc>
      </w:tr>
      <w:tr w:rsidR="00C8284D" w:rsidRPr="0043547B" w:rsidTr="002532B1">
        <w:trPr>
          <w:trHeight w:val="1622"/>
          <w:jc w:val="center"/>
        </w:trPr>
        <w:tc>
          <w:tcPr>
            <w:tcW w:w="1838" w:type="dxa"/>
            <w:tcBorders>
              <w:top w:val="single" w:sz="4" w:space="0" w:color="000000" w:themeColor="text1"/>
              <w:bottom w:val="single" w:sz="18" w:space="0" w:color="000000" w:themeColor="text1"/>
            </w:tcBorders>
            <w:shd w:val="clear" w:color="auto" w:fill="D9D9D9" w:themeFill="background1" w:themeFillShade="D9"/>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Domaine d’application :</w:t>
            </w:r>
          </w:p>
        </w:tc>
        <w:tc>
          <w:tcPr>
            <w:tcW w:w="7944" w:type="dxa"/>
            <w:tcBorders>
              <w:top w:val="single" w:sz="4" w:space="0" w:color="000000" w:themeColor="text1"/>
              <w:bottom w:val="single" w:sz="18"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La présente Norme marocaine s’applique à la terre de diatomées en poudre utilisée pour le traitement de l’eau destinée à la consommation humaine. Elle décrit les caractéristiques de la terre de diatomées en poudre et spécifie les exigences et les méthodes d’essai correspondantes et donne des informations sur son emploi dans le traitement de l’eau. Elle détermine également les règles relatives à la manipulation et à l’utilisation en toute sécurité de la terre de diatomées en poudre (voir l’Annexe B).</w:t>
            </w:r>
          </w:p>
        </w:tc>
      </w:tr>
      <w:tr w:rsidR="00C8284D" w:rsidRPr="0043547B" w:rsidTr="000B2CF0">
        <w:trPr>
          <w:trHeight w:val="315"/>
          <w:jc w:val="center"/>
        </w:trPr>
        <w:tc>
          <w:tcPr>
            <w:tcW w:w="1838" w:type="dxa"/>
            <w:tcBorders>
              <w:top w:val="single" w:sz="18" w:space="0" w:color="000000" w:themeColor="text1"/>
              <w:bottom w:val="single" w:sz="18" w:space="0" w:color="000000" w:themeColor="text1"/>
            </w:tcBorders>
            <w:shd w:val="clear" w:color="auto" w:fill="C2D69B" w:themeFill="accent3" w:themeFillTint="99"/>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Code :</w:t>
            </w:r>
          </w:p>
        </w:tc>
        <w:tc>
          <w:tcPr>
            <w:tcW w:w="7944" w:type="dxa"/>
            <w:tcBorders>
              <w:top w:val="single" w:sz="18" w:space="0" w:color="000000" w:themeColor="text1"/>
              <w:bottom w:val="single" w:sz="18" w:space="0" w:color="000000" w:themeColor="text1"/>
            </w:tcBorders>
            <w:shd w:val="clear" w:color="auto" w:fill="C2D69B" w:themeFill="accent3" w:themeFillTint="99"/>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NM 03.2.280</w:t>
            </w:r>
          </w:p>
        </w:tc>
      </w:tr>
      <w:tr w:rsidR="00C8284D" w:rsidRPr="0043547B" w:rsidTr="000B2CF0">
        <w:trPr>
          <w:trHeight w:val="315"/>
          <w:jc w:val="center"/>
        </w:trPr>
        <w:tc>
          <w:tcPr>
            <w:tcW w:w="1838" w:type="dxa"/>
            <w:tcBorders>
              <w:top w:val="single" w:sz="18" w:space="0" w:color="000000" w:themeColor="text1"/>
            </w:tcBorders>
            <w:shd w:val="clear" w:color="auto" w:fill="FFFFCC"/>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Equivalence :</w:t>
            </w:r>
          </w:p>
        </w:tc>
        <w:tc>
          <w:tcPr>
            <w:tcW w:w="7944" w:type="dxa"/>
            <w:tcBorders>
              <w:top w:val="single" w:sz="18" w:space="0" w:color="000000" w:themeColor="text1"/>
            </w:tcBorders>
            <w:shd w:val="clear" w:color="auto" w:fill="FFFFCC"/>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EN 12914</w:t>
            </w:r>
          </w:p>
        </w:tc>
      </w:tr>
      <w:tr w:rsidR="00C8284D" w:rsidRPr="0043547B" w:rsidTr="00F33CEB">
        <w:trPr>
          <w:trHeight w:val="600"/>
          <w:jc w:val="center"/>
        </w:trPr>
        <w:tc>
          <w:tcPr>
            <w:tcW w:w="1838" w:type="dxa"/>
            <w:tcBorders>
              <w:bottom w:val="single" w:sz="4" w:space="0" w:color="000000" w:themeColor="text1"/>
            </w:tcBorders>
            <w:shd w:val="clear" w:color="auto" w:fill="8DB3E2" w:themeFill="text2" w:themeFillTint="66"/>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Intitulé :</w:t>
            </w:r>
          </w:p>
        </w:tc>
        <w:tc>
          <w:tcPr>
            <w:tcW w:w="7944" w:type="dxa"/>
            <w:tcBorders>
              <w:bottom w:val="single" w:sz="4"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Produits utilisés pour le traitement de l'eau destinée à la consommation humaine - Perlite en poudre </w:t>
            </w:r>
          </w:p>
        </w:tc>
      </w:tr>
      <w:tr w:rsidR="00C8284D" w:rsidRPr="0043547B" w:rsidTr="002532B1">
        <w:trPr>
          <w:trHeight w:val="1410"/>
          <w:jc w:val="center"/>
        </w:trPr>
        <w:tc>
          <w:tcPr>
            <w:tcW w:w="1838" w:type="dxa"/>
            <w:tcBorders>
              <w:top w:val="single" w:sz="4" w:space="0" w:color="000000" w:themeColor="text1"/>
              <w:bottom w:val="single" w:sz="18" w:space="0" w:color="000000" w:themeColor="text1"/>
            </w:tcBorders>
            <w:shd w:val="clear" w:color="auto" w:fill="D9D9D9" w:themeFill="background1" w:themeFillShade="D9"/>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Domaine d’application :</w:t>
            </w:r>
          </w:p>
        </w:tc>
        <w:tc>
          <w:tcPr>
            <w:tcW w:w="7944" w:type="dxa"/>
            <w:tcBorders>
              <w:top w:val="single" w:sz="4" w:space="0" w:color="000000" w:themeColor="text1"/>
              <w:bottom w:val="single" w:sz="18"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La présente norme marocaine est applicable à la perlite en poudre utilisée pour le traitement de l'eau destinée à la consommation humaine. Elle décrit les caractéristiques de la perlite en poudre et spécifie les prescriptions et les méthodes d'essai correspondantes pour la perlite en poudre et donne des informations pour son emploi dans le traitement de l'eau.</w:t>
            </w:r>
          </w:p>
        </w:tc>
      </w:tr>
      <w:tr w:rsidR="00C8284D" w:rsidRPr="0043547B" w:rsidTr="000B2CF0">
        <w:trPr>
          <w:trHeight w:val="315"/>
          <w:jc w:val="center"/>
        </w:trPr>
        <w:tc>
          <w:tcPr>
            <w:tcW w:w="1838" w:type="dxa"/>
            <w:tcBorders>
              <w:top w:val="single" w:sz="18" w:space="0" w:color="000000" w:themeColor="text1"/>
              <w:bottom w:val="single" w:sz="18" w:space="0" w:color="000000" w:themeColor="text1"/>
            </w:tcBorders>
            <w:shd w:val="clear" w:color="auto" w:fill="C2D69B" w:themeFill="accent3" w:themeFillTint="99"/>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Code :</w:t>
            </w:r>
          </w:p>
        </w:tc>
        <w:tc>
          <w:tcPr>
            <w:tcW w:w="7944" w:type="dxa"/>
            <w:tcBorders>
              <w:top w:val="single" w:sz="18" w:space="0" w:color="000000" w:themeColor="text1"/>
              <w:bottom w:val="single" w:sz="18" w:space="0" w:color="000000" w:themeColor="text1"/>
            </w:tcBorders>
            <w:shd w:val="clear" w:color="auto" w:fill="C2D69B" w:themeFill="accent3" w:themeFillTint="99"/>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NM EN 12915-1</w:t>
            </w:r>
          </w:p>
        </w:tc>
      </w:tr>
      <w:tr w:rsidR="00C8284D" w:rsidRPr="0043547B" w:rsidTr="000B2CF0">
        <w:trPr>
          <w:trHeight w:val="315"/>
          <w:jc w:val="center"/>
        </w:trPr>
        <w:tc>
          <w:tcPr>
            <w:tcW w:w="1838" w:type="dxa"/>
            <w:tcBorders>
              <w:top w:val="single" w:sz="18" w:space="0" w:color="000000" w:themeColor="text1"/>
            </w:tcBorders>
            <w:shd w:val="clear" w:color="auto" w:fill="FFFFCC"/>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Equivalence :</w:t>
            </w:r>
          </w:p>
        </w:tc>
        <w:tc>
          <w:tcPr>
            <w:tcW w:w="7944" w:type="dxa"/>
            <w:tcBorders>
              <w:top w:val="single" w:sz="18" w:space="0" w:color="000000" w:themeColor="text1"/>
            </w:tcBorders>
            <w:shd w:val="clear" w:color="auto" w:fill="FFFFCC"/>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EN 12915-1</w:t>
            </w:r>
          </w:p>
        </w:tc>
      </w:tr>
      <w:tr w:rsidR="00C8284D" w:rsidRPr="0043547B" w:rsidTr="00F33CEB">
        <w:trPr>
          <w:trHeight w:val="600"/>
          <w:jc w:val="center"/>
        </w:trPr>
        <w:tc>
          <w:tcPr>
            <w:tcW w:w="1838" w:type="dxa"/>
            <w:tcBorders>
              <w:bottom w:val="single" w:sz="4" w:space="0" w:color="000000" w:themeColor="text1"/>
            </w:tcBorders>
            <w:shd w:val="clear" w:color="auto" w:fill="8DB3E2" w:themeFill="text2" w:themeFillTint="66"/>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Intitulé :</w:t>
            </w:r>
          </w:p>
        </w:tc>
        <w:tc>
          <w:tcPr>
            <w:tcW w:w="7944" w:type="dxa"/>
            <w:tcBorders>
              <w:bottom w:val="single" w:sz="4"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Produits utilisés pour le traitement de l'eau destinée à la consommation humaine - Charbon actif en grains vierge </w:t>
            </w:r>
          </w:p>
        </w:tc>
      </w:tr>
      <w:tr w:rsidR="00C8284D" w:rsidRPr="0043547B" w:rsidTr="002532B1">
        <w:trPr>
          <w:trHeight w:val="1349"/>
          <w:jc w:val="center"/>
        </w:trPr>
        <w:tc>
          <w:tcPr>
            <w:tcW w:w="1838" w:type="dxa"/>
            <w:tcBorders>
              <w:top w:val="single" w:sz="4" w:space="0" w:color="000000" w:themeColor="text1"/>
              <w:bottom w:val="single" w:sz="18" w:space="0" w:color="000000" w:themeColor="text1"/>
            </w:tcBorders>
            <w:shd w:val="clear" w:color="auto" w:fill="D9D9D9" w:themeFill="background1" w:themeFillShade="D9"/>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Domaine d’application :</w:t>
            </w:r>
          </w:p>
        </w:tc>
        <w:tc>
          <w:tcPr>
            <w:tcW w:w="7944" w:type="dxa"/>
            <w:tcBorders>
              <w:top w:val="single" w:sz="4" w:space="0" w:color="000000" w:themeColor="text1"/>
              <w:bottom w:val="single" w:sz="18"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La présente norme marocaine est applicable au charbon actif en grains vierge utilisé pour le traitement de l'eau destinée à la consommation humaine. Elle décrit les caractéristiques du charbon actif en grains vierge et spécifie les exigences et les méthodes d'essai correspondantes. Elle donne des informations pour son emploi dans le traitement de l'eau.</w:t>
            </w:r>
          </w:p>
        </w:tc>
      </w:tr>
      <w:tr w:rsidR="00C8284D" w:rsidRPr="0043547B" w:rsidTr="000B2CF0">
        <w:trPr>
          <w:trHeight w:val="315"/>
          <w:jc w:val="center"/>
        </w:trPr>
        <w:tc>
          <w:tcPr>
            <w:tcW w:w="1838" w:type="dxa"/>
            <w:tcBorders>
              <w:top w:val="single" w:sz="18" w:space="0" w:color="000000" w:themeColor="text1"/>
              <w:bottom w:val="single" w:sz="18" w:space="0" w:color="000000" w:themeColor="text1"/>
            </w:tcBorders>
            <w:shd w:val="clear" w:color="auto" w:fill="C2D69B" w:themeFill="accent3" w:themeFillTint="99"/>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Code :</w:t>
            </w:r>
          </w:p>
        </w:tc>
        <w:tc>
          <w:tcPr>
            <w:tcW w:w="7944" w:type="dxa"/>
            <w:tcBorders>
              <w:top w:val="single" w:sz="18" w:space="0" w:color="000000" w:themeColor="text1"/>
              <w:bottom w:val="single" w:sz="18" w:space="0" w:color="000000" w:themeColor="text1"/>
            </w:tcBorders>
            <w:shd w:val="clear" w:color="auto" w:fill="C2D69B" w:themeFill="accent3" w:themeFillTint="99"/>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NM EN 12915-2</w:t>
            </w:r>
          </w:p>
        </w:tc>
      </w:tr>
      <w:tr w:rsidR="00C8284D" w:rsidRPr="0043547B" w:rsidTr="000B2CF0">
        <w:trPr>
          <w:trHeight w:val="315"/>
          <w:jc w:val="center"/>
        </w:trPr>
        <w:tc>
          <w:tcPr>
            <w:tcW w:w="1838" w:type="dxa"/>
            <w:tcBorders>
              <w:top w:val="single" w:sz="18" w:space="0" w:color="000000" w:themeColor="text1"/>
            </w:tcBorders>
            <w:shd w:val="clear" w:color="auto" w:fill="FFFFCC"/>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Equivalence :</w:t>
            </w:r>
          </w:p>
        </w:tc>
        <w:tc>
          <w:tcPr>
            <w:tcW w:w="7944" w:type="dxa"/>
            <w:tcBorders>
              <w:top w:val="single" w:sz="18" w:space="0" w:color="000000" w:themeColor="text1"/>
            </w:tcBorders>
            <w:shd w:val="clear" w:color="auto" w:fill="FFFFCC"/>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EN 12915-2</w:t>
            </w:r>
          </w:p>
        </w:tc>
      </w:tr>
      <w:tr w:rsidR="00C8284D" w:rsidRPr="0043547B" w:rsidTr="00F33CEB">
        <w:trPr>
          <w:trHeight w:val="600"/>
          <w:jc w:val="center"/>
        </w:trPr>
        <w:tc>
          <w:tcPr>
            <w:tcW w:w="1838" w:type="dxa"/>
            <w:tcBorders>
              <w:bottom w:val="single" w:sz="4" w:space="0" w:color="000000" w:themeColor="text1"/>
            </w:tcBorders>
            <w:shd w:val="clear" w:color="auto" w:fill="8DB3E2" w:themeFill="text2" w:themeFillTint="66"/>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Intitulé :</w:t>
            </w:r>
          </w:p>
        </w:tc>
        <w:tc>
          <w:tcPr>
            <w:tcW w:w="7944" w:type="dxa"/>
            <w:tcBorders>
              <w:bottom w:val="single" w:sz="4"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 xml:space="preserve">Produits chimiques utilisés pour le traitement de l'eau destinée à la consommation humaine - Charbon actif en grains – Partie 2 : Charbon actif en grains réactivé   </w:t>
            </w:r>
          </w:p>
        </w:tc>
      </w:tr>
      <w:tr w:rsidR="00C8284D" w:rsidRPr="0043547B" w:rsidTr="002532B1">
        <w:trPr>
          <w:trHeight w:val="1345"/>
          <w:jc w:val="center"/>
        </w:trPr>
        <w:tc>
          <w:tcPr>
            <w:tcW w:w="1838" w:type="dxa"/>
            <w:tcBorders>
              <w:top w:val="single" w:sz="4" w:space="0" w:color="000000" w:themeColor="text1"/>
              <w:bottom w:val="single" w:sz="18" w:space="0" w:color="000000" w:themeColor="text1"/>
            </w:tcBorders>
            <w:shd w:val="clear" w:color="auto" w:fill="D9D9D9" w:themeFill="background1" w:themeFillShade="D9"/>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Domaine d’application :</w:t>
            </w:r>
          </w:p>
        </w:tc>
        <w:tc>
          <w:tcPr>
            <w:tcW w:w="7944" w:type="dxa"/>
            <w:tcBorders>
              <w:top w:val="single" w:sz="4" w:space="0" w:color="000000" w:themeColor="text1"/>
              <w:bottom w:val="single" w:sz="18"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La présente partie de l’EN 12915 est applicable au charbon actif en grains réactivé utilisé pour le traitement de l'eau destinée à la consommation humaine. Elle décrit les caractéristiques et spécifie les exigences et les méthodes d'essai correspondantes du charbon actif en grains réactivé. Elle donne des informations sur son emploi dans le traitement de l’eau.</w:t>
            </w:r>
          </w:p>
        </w:tc>
      </w:tr>
      <w:tr w:rsidR="00C8284D" w:rsidRPr="0043547B" w:rsidTr="000B2CF0">
        <w:trPr>
          <w:trHeight w:val="315"/>
          <w:jc w:val="center"/>
        </w:trPr>
        <w:tc>
          <w:tcPr>
            <w:tcW w:w="1838" w:type="dxa"/>
            <w:tcBorders>
              <w:top w:val="single" w:sz="18" w:space="0" w:color="000000" w:themeColor="text1"/>
              <w:bottom w:val="single" w:sz="18" w:space="0" w:color="000000" w:themeColor="text1"/>
            </w:tcBorders>
            <w:shd w:val="clear" w:color="auto" w:fill="C2D69B" w:themeFill="accent3" w:themeFillTint="99"/>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Code :</w:t>
            </w:r>
          </w:p>
        </w:tc>
        <w:tc>
          <w:tcPr>
            <w:tcW w:w="7944" w:type="dxa"/>
            <w:tcBorders>
              <w:top w:val="single" w:sz="18" w:space="0" w:color="000000" w:themeColor="text1"/>
              <w:bottom w:val="single" w:sz="18" w:space="0" w:color="000000" w:themeColor="text1"/>
            </w:tcBorders>
            <w:shd w:val="clear" w:color="auto" w:fill="C2D69B" w:themeFill="accent3" w:themeFillTint="99"/>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NM EN 885</w:t>
            </w:r>
          </w:p>
        </w:tc>
      </w:tr>
      <w:tr w:rsidR="00C8284D" w:rsidRPr="0043547B" w:rsidTr="000B2CF0">
        <w:trPr>
          <w:trHeight w:val="315"/>
          <w:jc w:val="center"/>
        </w:trPr>
        <w:tc>
          <w:tcPr>
            <w:tcW w:w="1838" w:type="dxa"/>
            <w:tcBorders>
              <w:top w:val="single" w:sz="18" w:space="0" w:color="000000" w:themeColor="text1"/>
            </w:tcBorders>
            <w:shd w:val="clear" w:color="auto" w:fill="FFFFCC"/>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Equivalence :</w:t>
            </w:r>
          </w:p>
        </w:tc>
        <w:tc>
          <w:tcPr>
            <w:tcW w:w="7944" w:type="dxa"/>
            <w:tcBorders>
              <w:top w:val="single" w:sz="18" w:space="0" w:color="000000" w:themeColor="text1"/>
            </w:tcBorders>
            <w:shd w:val="clear" w:color="auto" w:fill="FFFFCC"/>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EN 885</w:t>
            </w:r>
          </w:p>
        </w:tc>
      </w:tr>
      <w:tr w:rsidR="00C8284D" w:rsidRPr="0043547B" w:rsidTr="00F33CEB">
        <w:trPr>
          <w:trHeight w:val="600"/>
          <w:jc w:val="center"/>
        </w:trPr>
        <w:tc>
          <w:tcPr>
            <w:tcW w:w="1838" w:type="dxa"/>
            <w:tcBorders>
              <w:bottom w:val="single" w:sz="4" w:space="0" w:color="000000" w:themeColor="text1"/>
            </w:tcBorders>
            <w:shd w:val="clear" w:color="auto" w:fill="8DB3E2" w:themeFill="text2" w:themeFillTint="66"/>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lastRenderedPageBreak/>
              <w:t>Intitulé :</w:t>
            </w:r>
          </w:p>
        </w:tc>
        <w:tc>
          <w:tcPr>
            <w:tcW w:w="7944" w:type="dxa"/>
            <w:tcBorders>
              <w:bottom w:val="single" w:sz="4"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 xml:space="preserve">Produits chimiques utilisés pour le traitement de l'eau destiné à la consommation humaine - Polyhydroxychlorosilicate d'aluminium  </w:t>
            </w:r>
          </w:p>
        </w:tc>
      </w:tr>
      <w:tr w:rsidR="00C8284D" w:rsidRPr="0043547B" w:rsidTr="002532B1">
        <w:trPr>
          <w:trHeight w:val="1922"/>
          <w:jc w:val="center"/>
        </w:trPr>
        <w:tc>
          <w:tcPr>
            <w:tcW w:w="1838" w:type="dxa"/>
            <w:tcBorders>
              <w:top w:val="single" w:sz="4" w:space="0" w:color="000000" w:themeColor="text1"/>
              <w:bottom w:val="single" w:sz="18" w:space="0" w:color="000000" w:themeColor="text1"/>
            </w:tcBorders>
            <w:shd w:val="clear" w:color="auto" w:fill="D9D9D9" w:themeFill="background1" w:themeFillShade="D9"/>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Domaine d’application :</w:t>
            </w:r>
          </w:p>
        </w:tc>
        <w:tc>
          <w:tcPr>
            <w:tcW w:w="7944" w:type="dxa"/>
            <w:tcBorders>
              <w:top w:val="single" w:sz="4" w:space="0" w:color="000000" w:themeColor="text1"/>
              <w:bottom w:val="single" w:sz="18" w:space="0" w:color="000000" w:themeColor="text1"/>
            </w:tcBorders>
            <w:hideMark/>
          </w:tcPr>
          <w:p w:rsidR="00C8284D" w:rsidRPr="0043547B" w:rsidRDefault="00C8284D" w:rsidP="003D7C89">
            <w:pPr>
              <w:jc w:val="both"/>
              <w:rPr>
                <w:rFonts w:cstheme="minorHAnsi"/>
                <w:sz w:val="24"/>
                <w:szCs w:val="24"/>
              </w:rPr>
            </w:pPr>
            <w:r w:rsidRPr="0043547B">
              <w:rPr>
                <w:rFonts w:cstheme="minorHAnsi"/>
                <w:sz w:val="24"/>
                <w:szCs w:val="24"/>
              </w:rPr>
              <w:t>Le présent document est applicable au polyhydroxychlorosilicate d'aluminium</w:t>
            </w:r>
            <w:r w:rsidR="003D7C89">
              <w:rPr>
                <w:rFonts w:cstheme="minorHAnsi"/>
                <w:sz w:val="24"/>
                <w:szCs w:val="24"/>
              </w:rPr>
              <w:t xml:space="preserve"> </w:t>
            </w:r>
            <w:r w:rsidRPr="0043547B">
              <w:rPr>
                <w:rFonts w:cstheme="minorHAnsi"/>
                <w:sz w:val="24"/>
                <w:szCs w:val="24"/>
              </w:rPr>
              <w:t>utilisé pour le traitement de l'eau destinée à la consommation humaine. Il décrit les caractéristiques et spécifie les exigences du polyhydroxychlorosilicate d’aluminium et donne la référence aux méthodes d'analyse correspondantes. Il donne des informations pour son emploi dans le traitement de l'eau. Il fixe également les règles relatives à la sécurité d’emploi et de manipulation du polyhydroxychlorosilicate d'aluminium (voir Annexe B).</w:t>
            </w:r>
          </w:p>
        </w:tc>
      </w:tr>
      <w:tr w:rsidR="00C8284D" w:rsidRPr="0043547B" w:rsidTr="000B2CF0">
        <w:trPr>
          <w:trHeight w:val="315"/>
          <w:jc w:val="center"/>
        </w:trPr>
        <w:tc>
          <w:tcPr>
            <w:tcW w:w="1838" w:type="dxa"/>
            <w:tcBorders>
              <w:top w:val="single" w:sz="18" w:space="0" w:color="000000" w:themeColor="text1"/>
              <w:bottom w:val="single" w:sz="18" w:space="0" w:color="000000" w:themeColor="text1"/>
            </w:tcBorders>
            <w:shd w:val="clear" w:color="auto" w:fill="C2D69B" w:themeFill="accent3" w:themeFillTint="99"/>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Code :</w:t>
            </w:r>
          </w:p>
        </w:tc>
        <w:tc>
          <w:tcPr>
            <w:tcW w:w="7944" w:type="dxa"/>
            <w:tcBorders>
              <w:top w:val="single" w:sz="18" w:space="0" w:color="000000" w:themeColor="text1"/>
              <w:bottom w:val="single" w:sz="18" w:space="0" w:color="000000" w:themeColor="text1"/>
            </w:tcBorders>
            <w:shd w:val="clear" w:color="auto" w:fill="C2D69B" w:themeFill="accent3" w:themeFillTint="99"/>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NM EN 886</w:t>
            </w:r>
          </w:p>
        </w:tc>
      </w:tr>
      <w:tr w:rsidR="00C8284D" w:rsidRPr="0043547B" w:rsidTr="000B2CF0">
        <w:trPr>
          <w:trHeight w:val="315"/>
          <w:jc w:val="center"/>
        </w:trPr>
        <w:tc>
          <w:tcPr>
            <w:tcW w:w="1838" w:type="dxa"/>
            <w:tcBorders>
              <w:top w:val="single" w:sz="18" w:space="0" w:color="000000" w:themeColor="text1"/>
            </w:tcBorders>
            <w:shd w:val="clear" w:color="auto" w:fill="FFFFCC"/>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Equivalence :</w:t>
            </w:r>
          </w:p>
        </w:tc>
        <w:tc>
          <w:tcPr>
            <w:tcW w:w="7944" w:type="dxa"/>
            <w:tcBorders>
              <w:top w:val="single" w:sz="18" w:space="0" w:color="000000" w:themeColor="text1"/>
            </w:tcBorders>
            <w:shd w:val="clear" w:color="auto" w:fill="FFFFCC"/>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EN 886</w:t>
            </w:r>
          </w:p>
        </w:tc>
      </w:tr>
      <w:tr w:rsidR="00C8284D" w:rsidRPr="0043547B" w:rsidTr="00F33CEB">
        <w:trPr>
          <w:trHeight w:val="600"/>
          <w:jc w:val="center"/>
        </w:trPr>
        <w:tc>
          <w:tcPr>
            <w:tcW w:w="1838" w:type="dxa"/>
            <w:tcBorders>
              <w:bottom w:val="single" w:sz="4" w:space="0" w:color="000000" w:themeColor="text1"/>
            </w:tcBorders>
            <w:shd w:val="clear" w:color="auto" w:fill="8DB3E2" w:themeFill="text2" w:themeFillTint="66"/>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Intitulé :</w:t>
            </w:r>
          </w:p>
        </w:tc>
        <w:tc>
          <w:tcPr>
            <w:tcW w:w="7944" w:type="dxa"/>
            <w:tcBorders>
              <w:bottom w:val="single" w:sz="4"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 xml:space="preserve">Produits chimiques utilisés pour le traitement de l'eau destinée à la consommation humaine - Polyhydroxysulfatesilicate d'aluminium   </w:t>
            </w:r>
          </w:p>
        </w:tc>
      </w:tr>
      <w:tr w:rsidR="00C8284D" w:rsidRPr="0043547B" w:rsidTr="002532B1">
        <w:trPr>
          <w:trHeight w:val="1784"/>
          <w:jc w:val="center"/>
        </w:trPr>
        <w:tc>
          <w:tcPr>
            <w:tcW w:w="1838" w:type="dxa"/>
            <w:tcBorders>
              <w:top w:val="single" w:sz="4" w:space="0" w:color="000000" w:themeColor="text1"/>
              <w:bottom w:val="single" w:sz="18" w:space="0" w:color="000000" w:themeColor="text1"/>
            </w:tcBorders>
            <w:shd w:val="clear" w:color="auto" w:fill="D9D9D9" w:themeFill="background1" w:themeFillShade="D9"/>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Domaine d’application :</w:t>
            </w:r>
          </w:p>
        </w:tc>
        <w:tc>
          <w:tcPr>
            <w:tcW w:w="7944" w:type="dxa"/>
            <w:tcBorders>
              <w:top w:val="single" w:sz="4" w:space="0" w:color="000000" w:themeColor="text1"/>
              <w:bottom w:val="single" w:sz="18"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Le présent document est applicable au polyhydroxysulfatesilicate d’aluminium utilisé pour le traitement de l'eau destinée à la consommation humaine. Il décrit les caractéristiques et spécifie les exigences du polyhydroxysulfatesilicate d'aluminium et donne la référence aux méthodes d'analyse correspondantes. Il donne des informations pour son emploi dans le traitement de l'eau. Il fixe également les règles relatives à la sécurité d’emploi et de manipulation du polyhydroxysulfatesilicate d'aluminium (voir Annexe B).</w:t>
            </w:r>
          </w:p>
        </w:tc>
      </w:tr>
      <w:tr w:rsidR="00C8284D" w:rsidRPr="0043547B" w:rsidTr="000B2CF0">
        <w:trPr>
          <w:trHeight w:val="315"/>
          <w:jc w:val="center"/>
        </w:trPr>
        <w:tc>
          <w:tcPr>
            <w:tcW w:w="1838" w:type="dxa"/>
            <w:tcBorders>
              <w:top w:val="single" w:sz="18" w:space="0" w:color="000000" w:themeColor="text1"/>
              <w:bottom w:val="single" w:sz="18" w:space="0" w:color="000000" w:themeColor="text1"/>
            </w:tcBorders>
            <w:shd w:val="clear" w:color="auto" w:fill="C2D69B" w:themeFill="accent3" w:themeFillTint="99"/>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Code :</w:t>
            </w:r>
          </w:p>
        </w:tc>
        <w:tc>
          <w:tcPr>
            <w:tcW w:w="7944" w:type="dxa"/>
            <w:tcBorders>
              <w:top w:val="single" w:sz="18" w:space="0" w:color="000000" w:themeColor="text1"/>
              <w:bottom w:val="single" w:sz="18" w:space="0" w:color="000000" w:themeColor="text1"/>
            </w:tcBorders>
            <w:shd w:val="clear" w:color="auto" w:fill="C2D69B" w:themeFill="accent3" w:themeFillTint="99"/>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NM EN 887</w:t>
            </w:r>
          </w:p>
        </w:tc>
      </w:tr>
      <w:tr w:rsidR="00C8284D" w:rsidRPr="0043547B" w:rsidTr="000B2CF0">
        <w:trPr>
          <w:trHeight w:val="315"/>
          <w:jc w:val="center"/>
        </w:trPr>
        <w:tc>
          <w:tcPr>
            <w:tcW w:w="1838" w:type="dxa"/>
            <w:tcBorders>
              <w:top w:val="single" w:sz="18" w:space="0" w:color="000000" w:themeColor="text1"/>
            </w:tcBorders>
            <w:shd w:val="clear" w:color="auto" w:fill="FFFFCC"/>
            <w:vAlign w:val="center"/>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Equivalence :</w:t>
            </w:r>
          </w:p>
        </w:tc>
        <w:tc>
          <w:tcPr>
            <w:tcW w:w="7944" w:type="dxa"/>
            <w:tcBorders>
              <w:top w:val="single" w:sz="18" w:space="0" w:color="000000" w:themeColor="text1"/>
            </w:tcBorders>
            <w:shd w:val="clear" w:color="auto" w:fill="FFFFCC"/>
            <w:hideMark/>
          </w:tcPr>
          <w:p w:rsidR="00C8284D" w:rsidRPr="0043547B" w:rsidRDefault="00C8284D" w:rsidP="00C8284D">
            <w:pPr>
              <w:spacing w:line="276" w:lineRule="auto"/>
              <w:jc w:val="center"/>
              <w:rPr>
                <w:rFonts w:cstheme="minorHAnsi"/>
                <w:b/>
                <w:bCs/>
                <w:sz w:val="24"/>
                <w:szCs w:val="24"/>
              </w:rPr>
            </w:pPr>
            <w:r w:rsidRPr="0043547B">
              <w:rPr>
                <w:rFonts w:cstheme="minorHAnsi"/>
                <w:b/>
                <w:bCs/>
                <w:sz w:val="24"/>
                <w:szCs w:val="24"/>
              </w:rPr>
              <w:t>EN 887</w:t>
            </w:r>
          </w:p>
        </w:tc>
      </w:tr>
      <w:tr w:rsidR="00C8284D" w:rsidRPr="0043547B" w:rsidTr="00F33CEB">
        <w:trPr>
          <w:trHeight w:val="600"/>
          <w:jc w:val="center"/>
        </w:trPr>
        <w:tc>
          <w:tcPr>
            <w:tcW w:w="1838" w:type="dxa"/>
            <w:tcBorders>
              <w:bottom w:val="single" w:sz="4" w:space="0" w:color="000000" w:themeColor="text1"/>
            </w:tcBorders>
            <w:shd w:val="clear" w:color="auto" w:fill="8DB3E2" w:themeFill="text2" w:themeFillTint="66"/>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Intitulé :</w:t>
            </w:r>
          </w:p>
        </w:tc>
        <w:tc>
          <w:tcPr>
            <w:tcW w:w="7944" w:type="dxa"/>
            <w:tcBorders>
              <w:bottom w:val="single" w:sz="4"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 xml:space="preserve">Produits chimiques utilisés pour le traitement de l'eau destinée à la consommation humaine - Sulfate d'aluminium et de fer (III)   </w:t>
            </w:r>
          </w:p>
        </w:tc>
      </w:tr>
      <w:tr w:rsidR="00C8284D" w:rsidRPr="0043547B" w:rsidTr="000B2CF0">
        <w:trPr>
          <w:trHeight w:val="70"/>
          <w:jc w:val="center"/>
        </w:trPr>
        <w:tc>
          <w:tcPr>
            <w:tcW w:w="1838" w:type="dxa"/>
            <w:tcBorders>
              <w:top w:val="single" w:sz="4" w:space="0" w:color="000000" w:themeColor="text1"/>
              <w:bottom w:val="single" w:sz="18" w:space="0" w:color="000000" w:themeColor="text1"/>
            </w:tcBorders>
            <w:shd w:val="clear" w:color="auto" w:fill="D9D9D9" w:themeFill="background1" w:themeFillShade="D9"/>
            <w:vAlign w:val="center"/>
            <w:hideMark/>
          </w:tcPr>
          <w:p w:rsidR="00C8284D" w:rsidRPr="0043547B" w:rsidRDefault="00C8284D" w:rsidP="00C8284D">
            <w:pPr>
              <w:jc w:val="center"/>
              <w:rPr>
                <w:rFonts w:cstheme="minorHAnsi"/>
                <w:b/>
                <w:bCs/>
                <w:sz w:val="24"/>
                <w:szCs w:val="24"/>
              </w:rPr>
            </w:pPr>
            <w:r w:rsidRPr="0043547B">
              <w:rPr>
                <w:rFonts w:cstheme="minorHAnsi"/>
                <w:b/>
                <w:bCs/>
                <w:sz w:val="24"/>
                <w:szCs w:val="24"/>
              </w:rPr>
              <w:t>Domaine d’application :</w:t>
            </w:r>
          </w:p>
        </w:tc>
        <w:tc>
          <w:tcPr>
            <w:tcW w:w="7944" w:type="dxa"/>
            <w:tcBorders>
              <w:top w:val="single" w:sz="4" w:space="0" w:color="000000" w:themeColor="text1"/>
              <w:bottom w:val="single" w:sz="18" w:space="0" w:color="000000" w:themeColor="text1"/>
            </w:tcBorders>
            <w:hideMark/>
          </w:tcPr>
          <w:p w:rsidR="00C8284D" w:rsidRPr="0043547B" w:rsidRDefault="00C8284D" w:rsidP="00C8284D">
            <w:pPr>
              <w:jc w:val="both"/>
              <w:rPr>
                <w:rFonts w:cstheme="minorHAnsi"/>
                <w:sz w:val="24"/>
                <w:szCs w:val="24"/>
              </w:rPr>
            </w:pPr>
            <w:r w:rsidRPr="0043547B">
              <w:rPr>
                <w:rFonts w:cstheme="minorHAnsi"/>
                <w:sz w:val="24"/>
                <w:szCs w:val="24"/>
              </w:rPr>
              <w:t>Le présent document est applicable au sulfate d'aluminium et de fer (III) utilisé pour le traitement de l'eau destinée à la consommation humaine. Il décrit les caractéristiques et spécifie les exigences du sulfate d'aluminium et de fer (III) et donne la référence aux méthodes d'analyse correspondantes .Il donne des informations pour son emploi dans le traitement de l'eau. Il fixe également les règles relatives à la sécurité d’emploi et de manipulation du sulfate d'aluminium et de fer (III) (voir Annexe B).</w:t>
            </w:r>
          </w:p>
        </w:tc>
      </w:tr>
    </w:tbl>
    <w:p w:rsidR="005B6F67" w:rsidRPr="0043547B" w:rsidRDefault="005B6F67" w:rsidP="00076B97">
      <w:pPr>
        <w:pStyle w:val="Titre3"/>
        <w:numPr>
          <w:ilvl w:val="0"/>
          <w:numId w:val="0"/>
        </w:numPr>
        <w:tabs>
          <w:tab w:val="left" w:pos="851"/>
        </w:tabs>
        <w:ind w:left="720" w:hanging="360"/>
        <w:rPr>
          <w:rFonts w:cstheme="minorHAnsi"/>
          <w:sz w:val="24"/>
          <w:szCs w:val="24"/>
        </w:rPr>
      </w:pPr>
    </w:p>
    <w:sectPr w:rsidR="005B6F67" w:rsidRPr="0043547B" w:rsidSect="003D7C89">
      <w:footerReference w:type="default" r:id="rId22"/>
      <w:pgSz w:w="11906" w:h="16838"/>
      <w:pgMar w:top="851" w:right="1417" w:bottom="851" w:left="1417" w:header="708" w:footer="708" w:gutter="0"/>
      <w:pgBorders w:display="firstPage" w:offsetFrom="page">
        <w:top w:val="triple" w:sz="4" w:space="24" w:color="auto"/>
        <w:left w:val="triple" w:sz="4" w:space="24" w:color="auto"/>
        <w:bottom w:val="triple" w:sz="4" w:space="24" w:color="auto"/>
        <w:right w:val="triple" w:sz="4" w:space="24" w:color="auto"/>
      </w:pgBorders>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60A2" w:rsidRDefault="001B60A2" w:rsidP="00C74445">
      <w:pPr>
        <w:spacing w:after="0" w:line="240" w:lineRule="auto"/>
      </w:pPr>
      <w:r>
        <w:separator/>
      </w:r>
    </w:p>
  </w:endnote>
  <w:endnote w:type="continuationSeparator" w:id="0">
    <w:p w:rsidR="001B60A2" w:rsidRDefault="001B60A2" w:rsidP="00C744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aiandra GD">
    <w:panose1 w:val="020E0502030308020204"/>
    <w:charset w:val="00"/>
    <w:family w:val="swiss"/>
    <w:pitch w:val="variable"/>
    <w:sig w:usb0="00000003" w:usb1="00000000" w:usb2="00000000" w:usb3="00000000" w:csb0="00000001" w:csb1="00000000"/>
  </w:font>
  <w:font w:name="Arabic Typesetting">
    <w:panose1 w:val="03020402040406030203"/>
    <w:charset w:val="00"/>
    <w:family w:val="script"/>
    <w:pitch w:val="variable"/>
    <w:sig w:usb0="80002007" w:usb1="80000000" w:usb2="00000008" w:usb3="00000000" w:csb0="000000D3" w:csb1="00000000"/>
  </w:font>
  <w:font w:name="Cambria Math">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8995215"/>
      <w:docPartObj>
        <w:docPartGallery w:val="Page Numbers (Bottom of Page)"/>
        <w:docPartUnique/>
      </w:docPartObj>
    </w:sdtPr>
    <w:sdtEndPr/>
    <w:sdtContent>
      <w:p w:rsidR="00725D0C" w:rsidRDefault="00725D0C">
        <w:pPr>
          <w:pStyle w:val="Pieddepage"/>
          <w:jc w:val="center"/>
        </w:pPr>
        <w:r>
          <w:fldChar w:fldCharType="begin"/>
        </w:r>
        <w:r>
          <w:instrText>PAGE   \* MERGEFORMAT</w:instrText>
        </w:r>
        <w:r>
          <w:fldChar w:fldCharType="separate"/>
        </w:r>
        <w:r w:rsidR="00CF75F4">
          <w:rPr>
            <w:noProof/>
          </w:rPr>
          <w:t>438</w:t>
        </w:r>
        <w:r>
          <w:fldChar w:fldCharType="end"/>
        </w:r>
      </w:p>
    </w:sdtContent>
  </w:sdt>
  <w:p w:rsidR="00725D0C" w:rsidRDefault="00725D0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60A2" w:rsidRDefault="001B60A2" w:rsidP="00C74445">
      <w:pPr>
        <w:spacing w:after="0" w:line="240" w:lineRule="auto"/>
      </w:pPr>
      <w:r>
        <w:separator/>
      </w:r>
    </w:p>
  </w:footnote>
  <w:footnote w:type="continuationSeparator" w:id="0">
    <w:p w:rsidR="001B60A2" w:rsidRDefault="001B60A2" w:rsidP="00C7444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76A54"/>
    <w:multiLevelType w:val="hybridMultilevel"/>
    <w:tmpl w:val="9A2C15E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1566448"/>
    <w:multiLevelType w:val="hybridMultilevel"/>
    <w:tmpl w:val="8A12528E"/>
    <w:lvl w:ilvl="0" w:tplc="947E301E">
      <w:start w:val="1"/>
      <w:numFmt w:val="decimal"/>
      <w:pStyle w:val="Titre3"/>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3F74C2B"/>
    <w:multiLevelType w:val="hybridMultilevel"/>
    <w:tmpl w:val="C6F0833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C6F30DA"/>
    <w:multiLevelType w:val="hybridMultilevel"/>
    <w:tmpl w:val="73B41F9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CB83335"/>
    <w:multiLevelType w:val="hybridMultilevel"/>
    <w:tmpl w:val="D916CC2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F8B7A5B"/>
    <w:multiLevelType w:val="hybridMultilevel"/>
    <w:tmpl w:val="0150C54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1192F9A"/>
    <w:multiLevelType w:val="hybridMultilevel"/>
    <w:tmpl w:val="8B0E039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4AA720E"/>
    <w:multiLevelType w:val="hybridMultilevel"/>
    <w:tmpl w:val="C4A4680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7327C56"/>
    <w:multiLevelType w:val="hybridMultilevel"/>
    <w:tmpl w:val="6CB85B32"/>
    <w:lvl w:ilvl="0" w:tplc="8762427E">
      <w:start w:val="1"/>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A6B3443"/>
    <w:multiLevelType w:val="hybridMultilevel"/>
    <w:tmpl w:val="909E805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E892B1B"/>
    <w:multiLevelType w:val="hybridMultilevel"/>
    <w:tmpl w:val="C470AE3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2B4193A"/>
    <w:multiLevelType w:val="hybridMultilevel"/>
    <w:tmpl w:val="19960A7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4632232"/>
    <w:multiLevelType w:val="hybridMultilevel"/>
    <w:tmpl w:val="E178374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27495CC9"/>
    <w:multiLevelType w:val="hybridMultilevel"/>
    <w:tmpl w:val="5C76B4F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B59231C"/>
    <w:multiLevelType w:val="hybridMultilevel"/>
    <w:tmpl w:val="9D1CCEF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2DE90983"/>
    <w:multiLevelType w:val="hybridMultilevel"/>
    <w:tmpl w:val="0164CC9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2F6866C8"/>
    <w:multiLevelType w:val="hybridMultilevel"/>
    <w:tmpl w:val="F560E82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2FCB3EC6"/>
    <w:multiLevelType w:val="hybridMultilevel"/>
    <w:tmpl w:val="2C98228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315969AD"/>
    <w:multiLevelType w:val="hybridMultilevel"/>
    <w:tmpl w:val="CB028FA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32B63D84"/>
    <w:multiLevelType w:val="hybridMultilevel"/>
    <w:tmpl w:val="DBF24BF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34FB3C02"/>
    <w:multiLevelType w:val="hybridMultilevel"/>
    <w:tmpl w:val="FE3C0D8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363B262E"/>
    <w:multiLevelType w:val="hybridMultilevel"/>
    <w:tmpl w:val="157A4FD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3C2D40CB"/>
    <w:multiLevelType w:val="hybridMultilevel"/>
    <w:tmpl w:val="700AD2E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3C8872B9"/>
    <w:multiLevelType w:val="hybridMultilevel"/>
    <w:tmpl w:val="6BB0D3B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3D0D5253"/>
    <w:multiLevelType w:val="hybridMultilevel"/>
    <w:tmpl w:val="CCC087A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40B65161"/>
    <w:multiLevelType w:val="hybridMultilevel"/>
    <w:tmpl w:val="DFAC54F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42EF7B28"/>
    <w:multiLevelType w:val="hybridMultilevel"/>
    <w:tmpl w:val="648CBFA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4614276A"/>
    <w:multiLevelType w:val="hybridMultilevel"/>
    <w:tmpl w:val="B49681C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489C4F18"/>
    <w:multiLevelType w:val="hybridMultilevel"/>
    <w:tmpl w:val="1936B400"/>
    <w:lvl w:ilvl="0" w:tplc="338CE02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4C1B7875"/>
    <w:multiLevelType w:val="hybridMultilevel"/>
    <w:tmpl w:val="151AE68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4F496800"/>
    <w:multiLevelType w:val="multilevel"/>
    <w:tmpl w:val="950EE6A4"/>
    <w:lvl w:ilvl="0">
      <w:start w:val="4"/>
      <w:numFmt w:val="decimal"/>
      <w:lvlText w:val="%1"/>
      <w:lvlJc w:val="left"/>
      <w:pPr>
        <w:ind w:left="384" w:hanging="384"/>
      </w:pPr>
      <w:rPr>
        <w:rFonts w:eastAsiaTheme="minorHAnsi" w:hint="default"/>
        <w:u w:val="single"/>
      </w:rPr>
    </w:lvl>
    <w:lvl w:ilvl="1">
      <w:start w:val="10"/>
      <w:numFmt w:val="decimal"/>
      <w:lvlText w:val="%1.%2"/>
      <w:lvlJc w:val="left"/>
      <w:pPr>
        <w:ind w:left="824" w:hanging="384"/>
      </w:pPr>
      <w:rPr>
        <w:rFonts w:eastAsiaTheme="minorHAnsi" w:hint="default"/>
        <w:u w:val="none"/>
      </w:rPr>
    </w:lvl>
    <w:lvl w:ilvl="2">
      <w:start w:val="1"/>
      <w:numFmt w:val="decimal"/>
      <w:lvlText w:val="%1.%2.%3"/>
      <w:lvlJc w:val="left"/>
      <w:pPr>
        <w:ind w:left="1600" w:hanging="720"/>
      </w:pPr>
      <w:rPr>
        <w:rFonts w:eastAsiaTheme="minorHAnsi" w:hint="default"/>
        <w:u w:val="single"/>
      </w:rPr>
    </w:lvl>
    <w:lvl w:ilvl="3">
      <w:start w:val="1"/>
      <w:numFmt w:val="decimal"/>
      <w:lvlText w:val="%1.%2.%3.%4"/>
      <w:lvlJc w:val="left"/>
      <w:pPr>
        <w:ind w:left="2040" w:hanging="720"/>
      </w:pPr>
      <w:rPr>
        <w:rFonts w:eastAsiaTheme="minorHAnsi" w:hint="default"/>
        <w:u w:val="single"/>
      </w:rPr>
    </w:lvl>
    <w:lvl w:ilvl="4">
      <w:start w:val="1"/>
      <w:numFmt w:val="decimal"/>
      <w:lvlText w:val="%1.%2.%3.%4.%5"/>
      <w:lvlJc w:val="left"/>
      <w:pPr>
        <w:ind w:left="2840" w:hanging="1080"/>
      </w:pPr>
      <w:rPr>
        <w:rFonts w:eastAsiaTheme="minorHAnsi" w:hint="default"/>
        <w:u w:val="single"/>
      </w:rPr>
    </w:lvl>
    <w:lvl w:ilvl="5">
      <w:start w:val="1"/>
      <w:numFmt w:val="decimal"/>
      <w:lvlText w:val="%1.%2.%3.%4.%5.%6"/>
      <w:lvlJc w:val="left"/>
      <w:pPr>
        <w:ind w:left="3280" w:hanging="1080"/>
      </w:pPr>
      <w:rPr>
        <w:rFonts w:eastAsiaTheme="minorHAnsi" w:hint="default"/>
        <w:u w:val="single"/>
      </w:rPr>
    </w:lvl>
    <w:lvl w:ilvl="6">
      <w:start w:val="1"/>
      <w:numFmt w:val="decimal"/>
      <w:lvlText w:val="%1.%2.%3.%4.%5.%6.%7"/>
      <w:lvlJc w:val="left"/>
      <w:pPr>
        <w:ind w:left="4080" w:hanging="1440"/>
      </w:pPr>
      <w:rPr>
        <w:rFonts w:eastAsiaTheme="minorHAnsi" w:hint="default"/>
        <w:u w:val="single"/>
      </w:rPr>
    </w:lvl>
    <w:lvl w:ilvl="7">
      <w:start w:val="1"/>
      <w:numFmt w:val="decimal"/>
      <w:lvlText w:val="%1.%2.%3.%4.%5.%6.%7.%8"/>
      <w:lvlJc w:val="left"/>
      <w:pPr>
        <w:ind w:left="4520" w:hanging="1440"/>
      </w:pPr>
      <w:rPr>
        <w:rFonts w:eastAsiaTheme="minorHAnsi" w:hint="default"/>
        <w:u w:val="single"/>
      </w:rPr>
    </w:lvl>
    <w:lvl w:ilvl="8">
      <w:start w:val="1"/>
      <w:numFmt w:val="decimal"/>
      <w:lvlText w:val="%1.%2.%3.%4.%5.%6.%7.%8.%9"/>
      <w:lvlJc w:val="left"/>
      <w:pPr>
        <w:ind w:left="5320" w:hanging="1800"/>
      </w:pPr>
      <w:rPr>
        <w:rFonts w:eastAsiaTheme="minorHAnsi" w:hint="default"/>
        <w:u w:val="single"/>
      </w:rPr>
    </w:lvl>
  </w:abstractNum>
  <w:abstractNum w:abstractNumId="31">
    <w:nsid w:val="505753BA"/>
    <w:multiLevelType w:val="hybridMultilevel"/>
    <w:tmpl w:val="46A6CBF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50701563"/>
    <w:multiLevelType w:val="hybridMultilevel"/>
    <w:tmpl w:val="4E2090C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526377D7"/>
    <w:multiLevelType w:val="hybridMultilevel"/>
    <w:tmpl w:val="7CA4038A"/>
    <w:lvl w:ilvl="0" w:tplc="338CE02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53F81D4F"/>
    <w:multiLevelType w:val="hybridMultilevel"/>
    <w:tmpl w:val="59EC0AB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55961336"/>
    <w:multiLevelType w:val="hybridMultilevel"/>
    <w:tmpl w:val="14E28E38"/>
    <w:lvl w:ilvl="0" w:tplc="05726A72">
      <w:start w:val="1"/>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564A0AE4"/>
    <w:multiLevelType w:val="hybridMultilevel"/>
    <w:tmpl w:val="133A07C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57301E54"/>
    <w:multiLevelType w:val="hybridMultilevel"/>
    <w:tmpl w:val="7624DA64"/>
    <w:lvl w:ilvl="0" w:tplc="338CE02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5A356FEE"/>
    <w:multiLevelType w:val="hybridMultilevel"/>
    <w:tmpl w:val="59E624F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5B964E62"/>
    <w:multiLevelType w:val="hybridMultilevel"/>
    <w:tmpl w:val="1292BCB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60C94B2C"/>
    <w:multiLevelType w:val="multilevel"/>
    <w:tmpl w:val="2B5829E0"/>
    <w:lvl w:ilvl="0">
      <w:start w:val="1"/>
      <w:numFmt w:val="decimal"/>
      <w:pStyle w:val="Titre2"/>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2847"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nsid w:val="64BE24D0"/>
    <w:multiLevelType w:val="hybridMultilevel"/>
    <w:tmpl w:val="7B70EA2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65A40361"/>
    <w:multiLevelType w:val="hybridMultilevel"/>
    <w:tmpl w:val="A06013E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666F7076"/>
    <w:multiLevelType w:val="hybridMultilevel"/>
    <w:tmpl w:val="8756777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67E32B89"/>
    <w:multiLevelType w:val="hybridMultilevel"/>
    <w:tmpl w:val="4176B758"/>
    <w:lvl w:ilvl="0" w:tplc="25F0CDD0">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6A5B6B48"/>
    <w:multiLevelType w:val="hybridMultilevel"/>
    <w:tmpl w:val="B5E822F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nsid w:val="6CAF3F91"/>
    <w:multiLevelType w:val="hybridMultilevel"/>
    <w:tmpl w:val="2C284CD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nsid w:val="738B66BF"/>
    <w:multiLevelType w:val="hybridMultilevel"/>
    <w:tmpl w:val="E606F83A"/>
    <w:lvl w:ilvl="0" w:tplc="338CE02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76E45AEF"/>
    <w:multiLevelType w:val="hybridMultilevel"/>
    <w:tmpl w:val="EFB0C8F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nsid w:val="79FF03DD"/>
    <w:multiLevelType w:val="hybridMultilevel"/>
    <w:tmpl w:val="241A4F3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nsid w:val="7AF3039C"/>
    <w:multiLevelType w:val="hybridMultilevel"/>
    <w:tmpl w:val="6CE64CAC"/>
    <w:lvl w:ilvl="0" w:tplc="A28A0F9E">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37"/>
  </w:num>
  <w:num w:numId="2">
    <w:abstractNumId w:val="40"/>
  </w:num>
  <w:num w:numId="3">
    <w:abstractNumId w:val="1"/>
  </w:num>
  <w:num w:numId="4">
    <w:abstractNumId w:val="47"/>
  </w:num>
  <w:num w:numId="5">
    <w:abstractNumId w:val="33"/>
  </w:num>
  <w:num w:numId="6">
    <w:abstractNumId w:val="32"/>
  </w:num>
  <w:num w:numId="7">
    <w:abstractNumId w:val="9"/>
  </w:num>
  <w:num w:numId="8">
    <w:abstractNumId w:val="19"/>
  </w:num>
  <w:num w:numId="9">
    <w:abstractNumId w:val="46"/>
  </w:num>
  <w:num w:numId="10">
    <w:abstractNumId w:val="12"/>
  </w:num>
  <w:num w:numId="11">
    <w:abstractNumId w:val="49"/>
  </w:num>
  <w:num w:numId="12">
    <w:abstractNumId w:val="2"/>
  </w:num>
  <w:num w:numId="13">
    <w:abstractNumId w:val="39"/>
  </w:num>
  <w:num w:numId="14">
    <w:abstractNumId w:val="0"/>
  </w:num>
  <w:num w:numId="15">
    <w:abstractNumId w:val="6"/>
  </w:num>
  <w:num w:numId="16">
    <w:abstractNumId w:val="24"/>
  </w:num>
  <w:num w:numId="17">
    <w:abstractNumId w:val="25"/>
  </w:num>
  <w:num w:numId="18">
    <w:abstractNumId w:val="26"/>
  </w:num>
  <w:num w:numId="19">
    <w:abstractNumId w:val="10"/>
  </w:num>
  <w:num w:numId="20">
    <w:abstractNumId w:val="48"/>
  </w:num>
  <w:num w:numId="21">
    <w:abstractNumId w:val="13"/>
  </w:num>
  <w:num w:numId="22">
    <w:abstractNumId w:val="15"/>
  </w:num>
  <w:num w:numId="23">
    <w:abstractNumId w:val="20"/>
  </w:num>
  <w:num w:numId="24">
    <w:abstractNumId w:val="50"/>
  </w:num>
  <w:num w:numId="25">
    <w:abstractNumId w:val="36"/>
  </w:num>
  <w:num w:numId="26">
    <w:abstractNumId w:val="23"/>
  </w:num>
  <w:num w:numId="27">
    <w:abstractNumId w:val="16"/>
  </w:num>
  <w:num w:numId="28">
    <w:abstractNumId w:val="5"/>
  </w:num>
  <w:num w:numId="29">
    <w:abstractNumId w:val="3"/>
  </w:num>
  <w:num w:numId="30">
    <w:abstractNumId w:val="34"/>
  </w:num>
  <w:num w:numId="31">
    <w:abstractNumId w:val="4"/>
  </w:num>
  <w:num w:numId="32">
    <w:abstractNumId w:val="38"/>
  </w:num>
  <w:num w:numId="33">
    <w:abstractNumId w:val="41"/>
  </w:num>
  <w:num w:numId="34">
    <w:abstractNumId w:val="27"/>
  </w:num>
  <w:num w:numId="35">
    <w:abstractNumId w:val="43"/>
  </w:num>
  <w:num w:numId="36">
    <w:abstractNumId w:val="44"/>
  </w:num>
  <w:num w:numId="37">
    <w:abstractNumId w:val="17"/>
  </w:num>
  <w:num w:numId="38">
    <w:abstractNumId w:val="22"/>
  </w:num>
  <w:num w:numId="39">
    <w:abstractNumId w:val="8"/>
  </w:num>
  <w:num w:numId="40">
    <w:abstractNumId w:val="31"/>
  </w:num>
  <w:num w:numId="41">
    <w:abstractNumId w:val="29"/>
  </w:num>
  <w:num w:numId="42">
    <w:abstractNumId w:val="18"/>
  </w:num>
  <w:num w:numId="43">
    <w:abstractNumId w:val="45"/>
  </w:num>
  <w:num w:numId="44">
    <w:abstractNumId w:val="42"/>
  </w:num>
  <w:num w:numId="45">
    <w:abstractNumId w:val="7"/>
  </w:num>
  <w:num w:numId="46">
    <w:abstractNumId w:val="21"/>
  </w:num>
  <w:num w:numId="47">
    <w:abstractNumId w:val="35"/>
  </w:num>
  <w:num w:numId="48">
    <w:abstractNumId w:val="11"/>
  </w:num>
  <w:num w:numId="4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8"/>
  </w:num>
  <w:num w:numId="5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
  </w:num>
  <w:num w:numId="54">
    <w:abstractNumId w:val="14"/>
  </w:num>
  <w:num w:numId="5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1D49"/>
    <w:rsid w:val="00001255"/>
    <w:rsid w:val="00001B85"/>
    <w:rsid w:val="00006924"/>
    <w:rsid w:val="0002071E"/>
    <w:rsid w:val="0002072D"/>
    <w:rsid w:val="00025F1F"/>
    <w:rsid w:val="00027983"/>
    <w:rsid w:val="000325C1"/>
    <w:rsid w:val="00032E3F"/>
    <w:rsid w:val="000344A4"/>
    <w:rsid w:val="000346FD"/>
    <w:rsid w:val="00035DDB"/>
    <w:rsid w:val="0003620C"/>
    <w:rsid w:val="0003675E"/>
    <w:rsid w:val="00037F35"/>
    <w:rsid w:val="000425F7"/>
    <w:rsid w:val="00045F91"/>
    <w:rsid w:val="000472EC"/>
    <w:rsid w:val="0005262F"/>
    <w:rsid w:val="00054224"/>
    <w:rsid w:val="0005434A"/>
    <w:rsid w:val="00054614"/>
    <w:rsid w:val="000555C5"/>
    <w:rsid w:val="0005650C"/>
    <w:rsid w:val="00056AEE"/>
    <w:rsid w:val="000619A5"/>
    <w:rsid w:val="000624E3"/>
    <w:rsid w:val="00064E3C"/>
    <w:rsid w:val="00065957"/>
    <w:rsid w:val="0007178C"/>
    <w:rsid w:val="00072BB8"/>
    <w:rsid w:val="00075238"/>
    <w:rsid w:val="00075E4C"/>
    <w:rsid w:val="00076B97"/>
    <w:rsid w:val="00077626"/>
    <w:rsid w:val="00082950"/>
    <w:rsid w:val="00086E55"/>
    <w:rsid w:val="000906B1"/>
    <w:rsid w:val="00094BB4"/>
    <w:rsid w:val="000963BC"/>
    <w:rsid w:val="00096E23"/>
    <w:rsid w:val="000A4043"/>
    <w:rsid w:val="000A47D3"/>
    <w:rsid w:val="000A487D"/>
    <w:rsid w:val="000A4A0B"/>
    <w:rsid w:val="000A7B29"/>
    <w:rsid w:val="000B014C"/>
    <w:rsid w:val="000B0841"/>
    <w:rsid w:val="000B2CF0"/>
    <w:rsid w:val="000B7961"/>
    <w:rsid w:val="000C210E"/>
    <w:rsid w:val="000C7CA0"/>
    <w:rsid w:val="000D2892"/>
    <w:rsid w:val="000D5564"/>
    <w:rsid w:val="000D5721"/>
    <w:rsid w:val="000D6E79"/>
    <w:rsid w:val="000E7AA1"/>
    <w:rsid w:val="000E7E39"/>
    <w:rsid w:val="000E7FF2"/>
    <w:rsid w:val="000F038B"/>
    <w:rsid w:val="000F105E"/>
    <w:rsid w:val="000F4214"/>
    <w:rsid w:val="000F5C8A"/>
    <w:rsid w:val="000F5F24"/>
    <w:rsid w:val="000F6DD6"/>
    <w:rsid w:val="001008CB"/>
    <w:rsid w:val="00103C62"/>
    <w:rsid w:val="001040B0"/>
    <w:rsid w:val="001050AB"/>
    <w:rsid w:val="00105D5C"/>
    <w:rsid w:val="00111FA2"/>
    <w:rsid w:val="001122E8"/>
    <w:rsid w:val="00113A89"/>
    <w:rsid w:val="001168E3"/>
    <w:rsid w:val="0012399E"/>
    <w:rsid w:val="00124DE3"/>
    <w:rsid w:val="001251BB"/>
    <w:rsid w:val="001259FF"/>
    <w:rsid w:val="00127535"/>
    <w:rsid w:val="00127EBE"/>
    <w:rsid w:val="00132535"/>
    <w:rsid w:val="001327D9"/>
    <w:rsid w:val="00134B19"/>
    <w:rsid w:val="001405FE"/>
    <w:rsid w:val="00141613"/>
    <w:rsid w:val="00142412"/>
    <w:rsid w:val="0014465E"/>
    <w:rsid w:val="0014654D"/>
    <w:rsid w:val="00146845"/>
    <w:rsid w:val="00150D1F"/>
    <w:rsid w:val="00151AC4"/>
    <w:rsid w:val="00160B21"/>
    <w:rsid w:val="0016148D"/>
    <w:rsid w:val="001651DF"/>
    <w:rsid w:val="00167DD5"/>
    <w:rsid w:val="001710A0"/>
    <w:rsid w:val="00171CAE"/>
    <w:rsid w:val="00172F37"/>
    <w:rsid w:val="00175AEE"/>
    <w:rsid w:val="001765AB"/>
    <w:rsid w:val="00180A6B"/>
    <w:rsid w:val="001810EA"/>
    <w:rsid w:val="00181E36"/>
    <w:rsid w:val="001826A4"/>
    <w:rsid w:val="00182FB3"/>
    <w:rsid w:val="001868EF"/>
    <w:rsid w:val="001914E3"/>
    <w:rsid w:val="001943A6"/>
    <w:rsid w:val="001945A4"/>
    <w:rsid w:val="001A0BDF"/>
    <w:rsid w:val="001A0E1C"/>
    <w:rsid w:val="001A375A"/>
    <w:rsid w:val="001A3987"/>
    <w:rsid w:val="001A4108"/>
    <w:rsid w:val="001A4D75"/>
    <w:rsid w:val="001B241B"/>
    <w:rsid w:val="001B4E93"/>
    <w:rsid w:val="001B60A2"/>
    <w:rsid w:val="001C09B6"/>
    <w:rsid w:val="001D24D9"/>
    <w:rsid w:val="001D5BC8"/>
    <w:rsid w:val="001D7ED2"/>
    <w:rsid w:val="001E064F"/>
    <w:rsid w:val="001E09E8"/>
    <w:rsid w:val="001E0C3C"/>
    <w:rsid w:val="001E22AA"/>
    <w:rsid w:val="001E26B3"/>
    <w:rsid w:val="001E4521"/>
    <w:rsid w:val="001E54C7"/>
    <w:rsid w:val="001E5763"/>
    <w:rsid w:val="001E712A"/>
    <w:rsid w:val="001F2642"/>
    <w:rsid w:val="0020150E"/>
    <w:rsid w:val="002075AB"/>
    <w:rsid w:val="00207974"/>
    <w:rsid w:val="002104C2"/>
    <w:rsid w:val="002108FE"/>
    <w:rsid w:val="0021171E"/>
    <w:rsid w:val="00214A85"/>
    <w:rsid w:val="00215B91"/>
    <w:rsid w:val="0022235E"/>
    <w:rsid w:val="002271EA"/>
    <w:rsid w:val="002317F7"/>
    <w:rsid w:val="002342C4"/>
    <w:rsid w:val="00234B45"/>
    <w:rsid w:val="00240183"/>
    <w:rsid w:val="0024319C"/>
    <w:rsid w:val="0024414F"/>
    <w:rsid w:val="00247086"/>
    <w:rsid w:val="002532B1"/>
    <w:rsid w:val="00253C66"/>
    <w:rsid w:val="002574CF"/>
    <w:rsid w:val="00260AC1"/>
    <w:rsid w:val="0026220A"/>
    <w:rsid w:val="00262918"/>
    <w:rsid w:val="002644E1"/>
    <w:rsid w:val="00266313"/>
    <w:rsid w:val="0027053D"/>
    <w:rsid w:val="00273ED5"/>
    <w:rsid w:val="00275A41"/>
    <w:rsid w:val="00277B65"/>
    <w:rsid w:val="0028027F"/>
    <w:rsid w:val="00291848"/>
    <w:rsid w:val="002952DD"/>
    <w:rsid w:val="00296D44"/>
    <w:rsid w:val="002A0FF3"/>
    <w:rsid w:val="002A12EB"/>
    <w:rsid w:val="002A1C38"/>
    <w:rsid w:val="002B4137"/>
    <w:rsid w:val="002B7B76"/>
    <w:rsid w:val="002C1C91"/>
    <w:rsid w:val="002C55A3"/>
    <w:rsid w:val="002C6535"/>
    <w:rsid w:val="002C7135"/>
    <w:rsid w:val="002D0AE1"/>
    <w:rsid w:val="002D0EE3"/>
    <w:rsid w:val="002D2991"/>
    <w:rsid w:val="002D2CB0"/>
    <w:rsid w:val="002D4C79"/>
    <w:rsid w:val="002E1A12"/>
    <w:rsid w:val="002E1C87"/>
    <w:rsid w:val="002E2445"/>
    <w:rsid w:val="002E2CA5"/>
    <w:rsid w:val="002E3AA9"/>
    <w:rsid w:val="002E5578"/>
    <w:rsid w:val="002E5F65"/>
    <w:rsid w:val="002E6B2B"/>
    <w:rsid w:val="002F0A49"/>
    <w:rsid w:val="002F2F5F"/>
    <w:rsid w:val="002F5EDC"/>
    <w:rsid w:val="002F79B7"/>
    <w:rsid w:val="0030035A"/>
    <w:rsid w:val="0030047E"/>
    <w:rsid w:val="00305705"/>
    <w:rsid w:val="003058D4"/>
    <w:rsid w:val="003062E0"/>
    <w:rsid w:val="00307EBA"/>
    <w:rsid w:val="003110D8"/>
    <w:rsid w:val="00316D6F"/>
    <w:rsid w:val="003217ED"/>
    <w:rsid w:val="00321EFB"/>
    <w:rsid w:val="003223D1"/>
    <w:rsid w:val="00323E16"/>
    <w:rsid w:val="00330314"/>
    <w:rsid w:val="00330953"/>
    <w:rsid w:val="00335D7D"/>
    <w:rsid w:val="0034104C"/>
    <w:rsid w:val="00343223"/>
    <w:rsid w:val="003442F3"/>
    <w:rsid w:val="003444E8"/>
    <w:rsid w:val="003516FC"/>
    <w:rsid w:val="00352647"/>
    <w:rsid w:val="00353524"/>
    <w:rsid w:val="00360635"/>
    <w:rsid w:val="0036215F"/>
    <w:rsid w:val="00363C14"/>
    <w:rsid w:val="00367714"/>
    <w:rsid w:val="00370916"/>
    <w:rsid w:val="00370B84"/>
    <w:rsid w:val="00383D5A"/>
    <w:rsid w:val="00384E63"/>
    <w:rsid w:val="003908FE"/>
    <w:rsid w:val="00392263"/>
    <w:rsid w:val="003941F0"/>
    <w:rsid w:val="003A1EA0"/>
    <w:rsid w:val="003A26C1"/>
    <w:rsid w:val="003A3158"/>
    <w:rsid w:val="003B2511"/>
    <w:rsid w:val="003B30B2"/>
    <w:rsid w:val="003B7890"/>
    <w:rsid w:val="003C07F8"/>
    <w:rsid w:val="003C0FC4"/>
    <w:rsid w:val="003C13EB"/>
    <w:rsid w:val="003C1575"/>
    <w:rsid w:val="003C20E9"/>
    <w:rsid w:val="003C27D6"/>
    <w:rsid w:val="003C42B0"/>
    <w:rsid w:val="003C74C7"/>
    <w:rsid w:val="003D027E"/>
    <w:rsid w:val="003D0F50"/>
    <w:rsid w:val="003D16AD"/>
    <w:rsid w:val="003D453B"/>
    <w:rsid w:val="003D69FF"/>
    <w:rsid w:val="003D7C89"/>
    <w:rsid w:val="003E1F53"/>
    <w:rsid w:val="003E544D"/>
    <w:rsid w:val="003E6BC7"/>
    <w:rsid w:val="003F409D"/>
    <w:rsid w:val="003F5D2D"/>
    <w:rsid w:val="003F5DCB"/>
    <w:rsid w:val="003F5F02"/>
    <w:rsid w:val="003F6403"/>
    <w:rsid w:val="00400662"/>
    <w:rsid w:val="00404627"/>
    <w:rsid w:val="004130CC"/>
    <w:rsid w:val="004134A2"/>
    <w:rsid w:val="00413D90"/>
    <w:rsid w:val="00414EBB"/>
    <w:rsid w:val="00420CEB"/>
    <w:rsid w:val="0042323C"/>
    <w:rsid w:val="0042422B"/>
    <w:rsid w:val="00431D49"/>
    <w:rsid w:val="00435069"/>
    <w:rsid w:val="0043547B"/>
    <w:rsid w:val="00443B76"/>
    <w:rsid w:val="004442F3"/>
    <w:rsid w:val="00444A80"/>
    <w:rsid w:val="00446B1C"/>
    <w:rsid w:val="00446EF2"/>
    <w:rsid w:val="0045056B"/>
    <w:rsid w:val="004542CF"/>
    <w:rsid w:val="00454CA9"/>
    <w:rsid w:val="0045784D"/>
    <w:rsid w:val="00460360"/>
    <w:rsid w:val="00463C16"/>
    <w:rsid w:val="004640DC"/>
    <w:rsid w:val="00464910"/>
    <w:rsid w:val="00465723"/>
    <w:rsid w:val="004657A6"/>
    <w:rsid w:val="00465DE2"/>
    <w:rsid w:val="00470357"/>
    <w:rsid w:val="00470834"/>
    <w:rsid w:val="00472251"/>
    <w:rsid w:val="00472578"/>
    <w:rsid w:val="00475E87"/>
    <w:rsid w:val="004764FC"/>
    <w:rsid w:val="004776C1"/>
    <w:rsid w:val="00486A01"/>
    <w:rsid w:val="00487753"/>
    <w:rsid w:val="00490503"/>
    <w:rsid w:val="00491D40"/>
    <w:rsid w:val="00494C32"/>
    <w:rsid w:val="00496A3D"/>
    <w:rsid w:val="004A02AB"/>
    <w:rsid w:val="004A044D"/>
    <w:rsid w:val="004A2107"/>
    <w:rsid w:val="004A4794"/>
    <w:rsid w:val="004A5A4F"/>
    <w:rsid w:val="004B0064"/>
    <w:rsid w:val="004B0C81"/>
    <w:rsid w:val="004B70C8"/>
    <w:rsid w:val="004C1604"/>
    <w:rsid w:val="004C18F7"/>
    <w:rsid w:val="004C5EBE"/>
    <w:rsid w:val="004C6593"/>
    <w:rsid w:val="004D093D"/>
    <w:rsid w:val="004D418F"/>
    <w:rsid w:val="004D4DBB"/>
    <w:rsid w:val="004D4FD0"/>
    <w:rsid w:val="004D57DE"/>
    <w:rsid w:val="004D66CD"/>
    <w:rsid w:val="004D7573"/>
    <w:rsid w:val="004E002F"/>
    <w:rsid w:val="004E0280"/>
    <w:rsid w:val="004E1912"/>
    <w:rsid w:val="004E1BDB"/>
    <w:rsid w:val="004E21A4"/>
    <w:rsid w:val="004E3FFD"/>
    <w:rsid w:val="004E4386"/>
    <w:rsid w:val="004E48EF"/>
    <w:rsid w:val="004E60BB"/>
    <w:rsid w:val="004F0BC9"/>
    <w:rsid w:val="004F2A2B"/>
    <w:rsid w:val="004F78F6"/>
    <w:rsid w:val="00500189"/>
    <w:rsid w:val="00500DD6"/>
    <w:rsid w:val="00500EDF"/>
    <w:rsid w:val="00501693"/>
    <w:rsid w:val="00502340"/>
    <w:rsid w:val="00503A9C"/>
    <w:rsid w:val="00503ADD"/>
    <w:rsid w:val="0050688A"/>
    <w:rsid w:val="00506C44"/>
    <w:rsid w:val="00506D8E"/>
    <w:rsid w:val="0051032F"/>
    <w:rsid w:val="005124A1"/>
    <w:rsid w:val="005129B9"/>
    <w:rsid w:val="00512C69"/>
    <w:rsid w:val="00516C3C"/>
    <w:rsid w:val="00523C76"/>
    <w:rsid w:val="0052414E"/>
    <w:rsid w:val="0052667E"/>
    <w:rsid w:val="00530332"/>
    <w:rsid w:val="00532DB7"/>
    <w:rsid w:val="005368DD"/>
    <w:rsid w:val="00536A01"/>
    <w:rsid w:val="005372BD"/>
    <w:rsid w:val="00542A0D"/>
    <w:rsid w:val="00545C97"/>
    <w:rsid w:val="00547AB4"/>
    <w:rsid w:val="00550D4D"/>
    <w:rsid w:val="00554CF5"/>
    <w:rsid w:val="00555BB6"/>
    <w:rsid w:val="00556F2D"/>
    <w:rsid w:val="00557025"/>
    <w:rsid w:val="005623B6"/>
    <w:rsid w:val="005661C7"/>
    <w:rsid w:val="00566A17"/>
    <w:rsid w:val="00570343"/>
    <w:rsid w:val="00572FA2"/>
    <w:rsid w:val="00577BE7"/>
    <w:rsid w:val="00581316"/>
    <w:rsid w:val="00582BC3"/>
    <w:rsid w:val="005835A0"/>
    <w:rsid w:val="00584E09"/>
    <w:rsid w:val="00585300"/>
    <w:rsid w:val="005876D7"/>
    <w:rsid w:val="00591063"/>
    <w:rsid w:val="00591596"/>
    <w:rsid w:val="00595228"/>
    <w:rsid w:val="00595A20"/>
    <w:rsid w:val="00596EC7"/>
    <w:rsid w:val="005A1A66"/>
    <w:rsid w:val="005A2F30"/>
    <w:rsid w:val="005A34FC"/>
    <w:rsid w:val="005A4EEB"/>
    <w:rsid w:val="005A698F"/>
    <w:rsid w:val="005A6F23"/>
    <w:rsid w:val="005B070B"/>
    <w:rsid w:val="005B1DDB"/>
    <w:rsid w:val="005B488A"/>
    <w:rsid w:val="005B6F67"/>
    <w:rsid w:val="005C4BD2"/>
    <w:rsid w:val="005C6687"/>
    <w:rsid w:val="005C737D"/>
    <w:rsid w:val="005C7E42"/>
    <w:rsid w:val="005D1071"/>
    <w:rsid w:val="005D29D1"/>
    <w:rsid w:val="005D43E0"/>
    <w:rsid w:val="005D5B09"/>
    <w:rsid w:val="005D5DC7"/>
    <w:rsid w:val="005D713F"/>
    <w:rsid w:val="005E0B67"/>
    <w:rsid w:val="005E0FBD"/>
    <w:rsid w:val="005E2117"/>
    <w:rsid w:val="005E3C6A"/>
    <w:rsid w:val="005E3D67"/>
    <w:rsid w:val="005E71B3"/>
    <w:rsid w:val="005F2ACD"/>
    <w:rsid w:val="005F6BC0"/>
    <w:rsid w:val="005F737E"/>
    <w:rsid w:val="005F7538"/>
    <w:rsid w:val="006019E6"/>
    <w:rsid w:val="00601D12"/>
    <w:rsid w:val="00605E81"/>
    <w:rsid w:val="00606FAD"/>
    <w:rsid w:val="0060717A"/>
    <w:rsid w:val="006129FD"/>
    <w:rsid w:val="00612B81"/>
    <w:rsid w:val="006131A6"/>
    <w:rsid w:val="006141C3"/>
    <w:rsid w:val="00614766"/>
    <w:rsid w:val="00617F09"/>
    <w:rsid w:val="00621182"/>
    <w:rsid w:val="0062572C"/>
    <w:rsid w:val="00626D4A"/>
    <w:rsid w:val="006315F3"/>
    <w:rsid w:val="0063382B"/>
    <w:rsid w:val="006339AD"/>
    <w:rsid w:val="00634317"/>
    <w:rsid w:val="006418F3"/>
    <w:rsid w:val="00641951"/>
    <w:rsid w:val="00644174"/>
    <w:rsid w:val="00644882"/>
    <w:rsid w:val="006566B8"/>
    <w:rsid w:val="00665470"/>
    <w:rsid w:val="006711D3"/>
    <w:rsid w:val="00671E4C"/>
    <w:rsid w:val="00672771"/>
    <w:rsid w:val="006731F5"/>
    <w:rsid w:val="00675922"/>
    <w:rsid w:val="006771F1"/>
    <w:rsid w:val="00677430"/>
    <w:rsid w:val="00681A82"/>
    <w:rsid w:val="00684303"/>
    <w:rsid w:val="00684C22"/>
    <w:rsid w:val="006853BA"/>
    <w:rsid w:val="00687E41"/>
    <w:rsid w:val="00691CFD"/>
    <w:rsid w:val="0069303D"/>
    <w:rsid w:val="006A16ED"/>
    <w:rsid w:val="006B0280"/>
    <w:rsid w:val="006B0E06"/>
    <w:rsid w:val="006B128C"/>
    <w:rsid w:val="006B2440"/>
    <w:rsid w:val="006B3442"/>
    <w:rsid w:val="006B5B9D"/>
    <w:rsid w:val="006B6875"/>
    <w:rsid w:val="006B7ED2"/>
    <w:rsid w:val="006C6EE5"/>
    <w:rsid w:val="006D08C5"/>
    <w:rsid w:val="006D1B32"/>
    <w:rsid w:val="006D4510"/>
    <w:rsid w:val="006D4AB2"/>
    <w:rsid w:val="006D5F73"/>
    <w:rsid w:val="006E0830"/>
    <w:rsid w:val="006E221A"/>
    <w:rsid w:val="006E2543"/>
    <w:rsid w:val="006E2B39"/>
    <w:rsid w:val="006E4946"/>
    <w:rsid w:val="006E4B1D"/>
    <w:rsid w:val="006E50EC"/>
    <w:rsid w:val="006E570D"/>
    <w:rsid w:val="006E615A"/>
    <w:rsid w:val="006E6AF1"/>
    <w:rsid w:val="006E7127"/>
    <w:rsid w:val="006E7AC4"/>
    <w:rsid w:val="00701716"/>
    <w:rsid w:val="0070500C"/>
    <w:rsid w:val="00713B1D"/>
    <w:rsid w:val="00721C96"/>
    <w:rsid w:val="007227A9"/>
    <w:rsid w:val="007237DC"/>
    <w:rsid w:val="00723EE1"/>
    <w:rsid w:val="00725633"/>
    <w:rsid w:val="00725D0C"/>
    <w:rsid w:val="007264FA"/>
    <w:rsid w:val="00730AD3"/>
    <w:rsid w:val="00735697"/>
    <w:rsid w:val="00737D59"/>
    <w:rsid w:val="007438DC"/>
    <w:rsid w:val="0074523C"/>
    <w:rsid w:val="007526B2"/>
    <w:rsid w:val="00752B73"/>
    <w:rsid w:val="00755820"/>
    <w:rsid w:val="007565AF"/>
    <w:rsid w:val="00761A63"/>
    <w:rsid w:val="00765914"/>
    <w:rsid w:val="00766714"/>
    <w:rsid w:val="00771221"/>
    <w:rsid w:val="007733BA"/>
    <w:rsid w:val="00783E24"/>
    <w:rsid w:val="007840E0"/>
    <w:rsid w:val="00784A50"/>
    <w:rsid w:val="00784CC3"/>
    <w:rsid w:val="0078726B"/>
    <w:rsid w:val="007876B6"/>
    <w:rsid w:val="00787B21"/>
    <w:rsid w:val="00791458"/>
    <w:rsid w:val="0079330B"/>
    <w:rsid w:val="007964C1"/>
    <w:rsid w:val="00796DFF"/>
    <w:rsid w:val="007A08AF"/>
    <w:rsid w:val="007A33AF"/>
    <w:rsid w:val="007A36F1"/>
    <w:rsid w:val="007A42E0"/>
    <w:rsid w:val="007B01E1"/>
    <w:rsid w:val="007B049A"/>
    <w:rsid w:val="007B2835"/>
    <w:rsid w:val="007B34F0"/>
    <w:rsid w:val="007B65C8"/>
    <w:rsid w:val="007C65F3"/>
    <w:rsid w:val="007C76DE"/>
    <w:rsid w:val="007D1645"/>
    <w:rsid w:val="007D197A"/>
    <w:rsid w:val="007D4794"/>
    <w:rsid w:val="007E0C74"/>
    <w:rsid w:val="007E44E7"/>
    <w:rsid w:val="007F3724"/>
    <w:rsid w:val="007F63D3"/>
    <w:rsid w:val="00804B6A"/>
    <w:rsid w:val="00810AA2"/>
    <w:rsid w:val="008114F0"/>
    <w:rsid w:val="00812DD6"/>
    <w:rsid w:val="008132FB"/>
    <w:rsid w:val="008151C8"/>
    <w:rsid w:val="00815F54"/>
    <w:rsid w:val="0082359E"/>
    <w:rsid w:val="0082548C"/>
    <w:rsid w:val="00825817"/>
    <w:rsid w:val="00827FED"/>
    <w:rsid w:val="00830FEB"/>
    <w:rsid w:val="008375D5"/>
    <w:rsid w:val="00837843"/>
    <w:rsid w:val="008417E7"/>
    <w:rsid w:val="00842991"/>
    <w:rsid w:val="0084472F"/>
    <w:rsid w:val="00851B06"/>
    <w:rsid w:val="00852CBC"/>
    <w:rsid w:val="008534CC"/>
    <w:rsid w:val="00853530"/>
    <w:rsid w:val="00857530"/>
    <w:rsid w:val="00860662"/>
    <w:rsid w:val="0086084D"/>
    <w:rsid w:val="008617FE"/>
    <w:rsid w:val="00865CCD"/>
    <w:rsid w:val="0087007F"/>
    <w:rsid w:val="00870625"/>
    <w:rsid w:val="00874561"/>
    <w:rsid w:val="008805ED"/>
    <w:rsid w:val="00883ABE"/>
    <w:rsid w:val="00885378"/>
    <w:rsid w:val="00887F87"/>
    <w:rsid w:val="0089765F"/>
    <w:rsid w:val="008A0199"/>
    <w:rsid w:val="008A12A3"/>
    <w:rsid w:val="008A33FB"/>
    <w:rsid w:val="008A369B"/>
    <w:rsid w:val="008A7A06"/>
    <w:rsid w:val="008B1671"/>
    <w:rsid w:val="008B2F15"/>
    <w:rsid w:val="008B3A99"/>
    <w:rsid w:val="008C4783"/>
    <w:rsid w:val="008C58FE"/>
    <w:rsid w:val="008C5AC1"/>
    <w:rsid w:val="008C5C4C"/>
    <w:rsid w:val="008D196D"/>
    <w:rsid w:val="008D1E77"/>
    <w:rsid w:val="008D26BF"/>
    <w:rsid w:val="008D5BBF"/>
    <w:rsid w:val="008D7690"/>
    <w:rsid w:val="008E747E"/>
    <w:rsid w:val="008F049B"/>
    <w:rsid w:val="008F0793"/>
    <w:rsid w:val="008F2125"/>
    <w:rsid w:val="008F4F5D"/>
    <w:rsid w:val="009009D9"/>
    <w:rsid w:val="00901FF9"/>
    <w:rsid w:val="009023A9"/>
    <w:rsid w:val="00902990"/>
    <w:rsid w:val="00903118"/>
    <w:rsid w:val="00904E52"/>
    <w:rsid w:val="00904F7D"/>
    <w:rsid w:val="009064A0"/>
    <w:rsid w:val="00906A9B"/>
    <w:rsid w:val="00914FAA"/>
    <w:rsid w:val="00916645"/>
    <w:rsid w:val="00917971"/>
    <w:rsid w:val="009203E3"/>
    <w:rsid w:val="00921C0A"/>
    <w:rsid w:val="009225AE"/>
    <w:rsid w:val="00923873"/>
    <w:rsid w:val="0092639E"/>
    <w:rsid w:val="00935948"/>
    <w:rsid w:val="00937F56"/>
    <w:rsid w:val="00942778"/>
    <w:rsid w:val="009442B8"/>
    <w:rsid w:val="00946E5B"/>
    <w:rsid w:val="00950BF1"/>
    <w:rsid w:val="00951C84"/>
    <w:rsid w:val="00951E4D"/>
    <w:rsid w:val="00951EE9"/>
    <w:rsid w:val="0095742F"/>
    <w:rsid w:val="0096083A"/>
    <w:rsid w:val="00961050"/>
    <w:rsid w:val="00961C8B"/>
    <w:rsid w:val="00962477"/>
    <w:rsid w:val="009628DC"/>
    <w:rsid w:val="00962AD7"/>
    <w:rsid w:val="0096493C"/>
    <w:rsid w:val="00965BF1"/>
    <w:rsid w:val="0096630F"/>
    <w:rsid w:val="009723A4"/>
    <w:rsid w:val="009746F7"/>
    <w:rsid w:val="00977B9A"/>
    <w:rsid w:val="00980756"/>
    <w:rsid w:val="00983E41"/>
    <w:rsid w:val="00984EE9"/>
    <w:rsid w:val="009862A9"/>
    <w:rsid w:val="009944B2"/>
    <w:rsid w:val="00996E2F"/>
    <w:rsid w:val="009A089D"/>
    <w:rsid w:val="009A0EA4"/>
    <w:rsid w:val="009B2690"/>
    <w:rsid w:val="009B5774"/>
    <w:rsid w:val="009B7906"/>
    <w:rsid w:val="009B7921"/>
    <w:rsid w:val="009C0081"/>
    <w:rsid w:val="009C3602"/>
    <w:rsid w:val="009C4F58"/>
    <w:rsid w:val="009C6C8F"/>
    <w:rsid w:val="009C78CC"/>
    <w:rsid w:val="009C7A5D"/>
    <w:rsid w:val="009D1585"/>
    <w:rsid w:val="009D1F22"/>
    <w:rsid w:val="009D2838"/>
    <w:rsid w:val="009D5059"/>
    <w:rsid w:val="009D5700"/>
    <w:rsid w:val="009D5CCE"/>
    <w:rsid w:val="009E0DB9"/>
    <w:rsid w:val="009E173D"/>
    <w:rsid w:val="009E17AE"/>
    <w:rsid w:val="009E6B20"/>
    <w:rsid w:val="009E7800"/>
    <w:rsid w:val="009E7875"/>
    <w:rsid w:val="009F0533"/>
    <w:rsid w:val="009F13D2"/>
    <w:rsid w:val="009F1E92"/>
    <w:rsid w:val="009F2E36"/>
    <w:rsid w:val="009F2EFB"/>
    <w:rsid w:val="009F373C"/>
    <w:rsid w:val="009F3BEC"/>
    <w:rsid w:val="009F7825"/>
    <w:rsid w:val="009F7DF4"/>
    <w:rsid w:val="00A01315"/>
    <w:rsid w:val="00A02DCD"/>
    <w:rsid w:val="00A04A36"/>
    <w:rsid w:val="00A05AD6"/>
    <w:rsid w:val="00A12AD2"/>
    <w:rsid w:val="00A135BB"/>
    <w:rsid w:val="00A145FB"/>
    <w:rsid w:val="00A15FA7"/>
    <w:rsid w:val="00A1659C"/>
    <w:rsid w:val="00A16D04"/>
    <w:rsid w:val="00A20C6E"/>
    <w:rsid w:val="00A21ACE"/>
    <w:rsid w:val="00A21CA4"/>
    <w:rsid w:val="00A2520E"/>
    <w:rsid w:val="00A32960"/>
    <w:rsid w:val="00A3434E"/>
    <w:rsid w:val="00A36740"/>
    <w:rsid w:val="00A40889"/>
    <w:rsid w:val="00A408CA"/>
    <w:rsid w:val="00A42686"/>
    <w:rsid w:val="00A47F69"/>
    <w:rsid w:val="00A5428F"/>
    <w:rsid w:val="00A56EFB"/>
    <w:rsid w:val="00A744C1"/>
    <w:rsid w:val="00A7468C"/>
    <w:rsid w:val="00A76C14"/>
    <w:rsid w:val="00A806D1"/>
    <w:rsid w:val="00A82538"/>
    <w:rsid w:val="00A82B36"/>
    <w:rsid w:val="00A85314"/>
    <w:rsid w:val="00A85C34"/>
    <w:rsid w:val="00A9259C"/>
    <w:rsid w:val="00A933D1"/>
    <w:rsid w:val="00A94510"/>
    <w:rsid w:val="00A9799C"/>
    <w:rsid w:val="00AA11CE"/>
    <w:rsid w:val="00AA5118"/>
    <w:rsid w:val="00AB40C3"/>
    <w:rsid w:val="00AB5CD7"/>
    <w:rsid w:val="00AB5EAB"/>
    <w:rsid w:val="00AC0704"/>
    <w:rsid w:val="00AC30AF"/>
    <w:rsid w:val="00AC433B"/>
    <w:rsid w:val="00AD1C0D"/>
    <w:rsid w:val="00AD3C7F"/>
    <w:rsid w:val="00AD489A"/>
    <w:rsid w:val="00AD4BCD"/>
    <w:rsid w:val="00AD56A6"/>
    <w:rsid w:val="00AD596F"/>
    <w:rsid w:val="00AD6FF5"/>
    <w:rsid w:val="00AE0110"/>
    <w:rsid w:val="00AE1008"/>
    <w:rsid w:val="00AE2CF9"/>
    <w:rsid w:val="00AE4A43"/>
    <w:rsid w:val="00AF178F"/>
    <w:rsid w:val="00AF3052"/>
    <w:rsid w:val="00AF324D"/>
    <w:rsid w:val="00AF561C"/>
    <w:rsid w:val="00B033CE"/>
    <w:rsid w:val="00B04AD3"/>
    <w:rsid w:val="00B0750A"/>
    <w:rsid w:val="00B109A8"/>
    <w:rsid w:val="00B10DA5"/>
    <w:rsid w:val="00B111BE"/>
    <w:rsid w:val="00B13F66"/>
    <w:rsid w:val="00B2149C"/>
    <w:rsid w:val="00B235DC"/>
    <w:rsid w:val="00B24178"/>
    <w:rsid w:val="00B262B1"/>
    <w:rsid w:val="00B27CC8"/>
    <w:rsid w:val="00B31F0B"/>
    <w:rsid w:val="00B35BDA"/>
    <w:rsid w:val="00B37818"/>
    <w:rsid w:val="00B42D99"/>
    <w:rsid w:val="00B43F04"/>
    <w:rsid w:val="00B44003"/>
    <w:rsid w:val="00B44327"/>
    <w:rsid w:val="00B537F5"/>
    <w:rsid w:val="00B5560A"/>
    <w:rsid w:val="00B60E10"/>
    <w:rsid w:val="00B61D0C"/>
    <w:rsid w:val="00B761B6"/>
    <w:rsid w:val="00B76674"/>
    <w:rsid w:val="00B82BEC"/>
    <w:rsid w:val="00B841B8"/>
    <w:rsid w:val="00B874C5"/>
    <w:rsid w:val="00B90553"/>
    <w:rsid w:val="00B905D3"/>
    <w:rsid w:val="00B93FF1"/>
    <w:rsid w:val="00B940E9"/>
    <w:rsid w:val="00BA42AD"/>
    <w:rsid w:val="00BB13DE"/>
    <w:rsid w:val="00BB21F6"/>
    <w:rsid w:val="00BB54B1"/>
    <w:rsid w:val="00BB5DD7"/>
    <w:rsid w:val="00BC1300"/>
    <w:rsid w:val="00BC2755"/>
    <w:rsid w:val="00BC4E83"/>
    <w:rsid w:val="00BC611F"/>
    <w:rsid w:val="00BC6F96"/>
    <w:rsid w:val="00BC7B81"/>
    <w:rsid w:val="00BD1100"/>
    <w:rsid w:val="00BD175F"/>
    <w:rsid w:val="00BD3BD1"/>
    <w:rsid w:val="00BD416E"/>
    <w:rsid w:val="00BD4AA0"/>
    <w:rsid w:val="00BD76D3"/>
    <w:rsid w:val="00BE0925"/>
    <w:rsid w:val="00BE431D"/>
    <w:rsid w:val="00BE466A"/>
    <w:rsid w:val="00BE49F3"/>
    <w:rsid w:val="00BE4DCB"/>
    <w:rsid w:val="00BE5D0C"/>
    <w:rsid w:val="00BE6508"/>
    <w:rsid w:val="00BF0102"/>
    <w:rsid w:val="00BF3703"/>
    <w:rsid w:val="00BF65BC"/>
    <w:rsid w:val="00C00315"/>
    <w:rsid w:val="00C0118F"/>
    <w:rsid w:val="00C04DDE"/>
    <w:rsid w:val="00C07833"/>
    <w:rsid w:val="00C07945"/>
    <w:rsid w:val="00C1034A"/>
    <w:rsid w:val="00C11397"/>
    <w:rsid w:val="00C1384C"/>
    <w:rsid w:val="00C1648F"/>
    <w:rsid w:val="00C2006F"/>
    <w:rsid w:val="00C20366"/>
    <w:rsid w:val="00C217FD"/>
    <w:rsid w:val="00C23D7F"/>
    <w:rsid w:val="00C272B7"/>
    <w:rsid w:val="00C2760A"/>
    <w:rsid w:val="00C27A67"/>
    <w:rsid w:val="00C33C13"/>
    <w:rsid w:val="00C35BD8"/>
    <w:rsid w:val="00C3756F"/>
    <w:rsid w:val="00C44446"/>
    <w:rsid w:val="00C4571E"/>
    <w:rsid w:val="00C47E5A"/>
    <w:rsid w:val="00C47FA7"/>
    <w:rsid w:val="00C513FD"/>
    <w:rsid w:val="00C54A8B"/>
    <w:rsid w:val="00C57E7B"/>
    <w:rsid w:val="00C615A5"/>
    <w:rsid w:val="00C6339E"/>
    <w:rsid w:val="00C66426"/>
    <w:rsid w:val="00C67E56"/>
    <w:rsid w:val="00C72FD3"/>
    <w:rsid w:val="00C733D3"/>
    <w:rsid w:val="00C74445"/>
    <w:rsid w:val="00C82695"/>
    <w:rsid w:val="00C8284D"/>
    <w:rsid w:val="00C82A04"/>
    <w:rsid w:val="00C83208"/>
    <w:rsid w:val="00C83F7F"/>
    <w:rsid w:val="00C850E9"/>
    <w:rsid w:val="00C866C2"/>
    <w:rsid w:val="00C86E49"/>
    <w:rsid w:val="00C87B13"/>
    <w:rsid w:val="00C90064"/>
    <w:rsid w:val="00C90604"/>
    <w:rsid w:val="00C9170A"/>
    <w:rsid w:val="00CA080D"/>
    <w:rsid w:val="00CA1344"/>
    <w:rsid w:val="00CA16C6"/>
    <w:rsid w:val="00CA425A"/>
    <w:rsid w:val="00CA5122"/>
    <w:rsid w:val="00CA6761"/>
    <w:rsid w:val="00CA6BDF"/>
    <w:rsid w:val="00CB22E0"/>
    <w:rsid w:val="00CB5DC0"/>
    <w:rsid w:val="00CB733D"/>
    <w:rsid w:val="00CC5A87"/>
    <w:rsid w:val="00CC60B0"/>
    <w:rsid w:val="00CC6166"/>
    <w:rsid w:val="00CC6433"/>
    <w:rsid w:val="00CC6BD1"/>
    <w:rsid w:val="00CD1D22"/>
    <w:rsid w:val="00CD21DF"/>
    <w:rsid w:val="00CD4936"/>
    <w:rsid w:val="00CD59EE"/>
    <w:rsid w:val="00CD63C8"/>
    <w:rsid w:val="00CE173C"/>
    <w:rsid w:val="00CE695E"/>
    <w:rsid w:val="00CE6CC2"/>
    <w:rsid w:val="00CE7B8B"/>
    <w:rsid w:val="00CF0709"/>
    <w:rsid w:val="00CF3AC9"/>
    <w:rsid w:val="00CF4EF6"/>
    <w:rsid w:val="00CF5109"/>
    <w:rsid w:val="00CF6064"/>
    <w:rsid w:val="00CF75F4"/>
    <w:rsid w:val="00D145E5"/>
    <w:rsid w:val="00D1529E"/>
    <w:rsid w:val="00D16490"/>
    <w:rsid w:val="00D17068"/>
    <w:rsid w:val="00D179EC"/>
    <w:rsid w:val="00D17C43"/>
    <w:rsid w:val="00D203C8"/>
    <w:rsid w:val="00D209EE"/>
    <w:rsid w:val="00D20D9B"/>
    <w:rsid w:val="00D22ACC"/>
    <w:rsid w:val="00D23F84"/>
    <w:rsid w:val="00D2436B"/>
    <w:rsid w:val="00D2582B"/>
    <w:rsid w:val="00D25D8C"/>
    <w:rsid w:val="00D26BB4"/>
    <w:rsid w:val="00D3247C"/>
    <w:rsid w:val="00D336A0"/>
    <w:rsid w:val="00D36C06"/>
    <w:rsid w:val="00D426D4"/>
    <w:rsid w:val="00D43B34"/>
    <w:rsid w:val="00D43B5D"/>
    <w:rsid w:val="00D50CA1"/>
    <w:rsid w:val="00D52489"/>
    <w:rsid w:val="00D52F2E"/>
    <w:rsid w:val="00D539C2"/>
    <w:rsid w:val="00D54105"/>
    <w:rsid w:val="00D54A5C"/>
    <w:rsid w:val="00D56FEF"/>
    <w:rsid w:val="00D60309"/>
    <w:rsid w:val="00D65762"/>
    <w:rsid w:val="00D73A51"/>
    <w:rsid w:val="00D757CD"/>
    <w:rsid w:val="00D76221"/>
    <w:rsid w:val="00D76D9A"/>
    <w:rsid w:val="00D77C77"/>
    <w:rsid w:val="00D84603"/>
    <w:rsid w:val="00D84A1D"/>
    <w:rsid w:val="00D863F5"/>
    <w:rsid w:val="00D8756E"/>
    <w:rsid w:val="00D87E10"/>
    <w:rsid w:val="00D9094D"/>
    <w:rsid w:val="00D92B3C"/>
    <w:rsid w:val="00D93B0A"/>
    <w:rsid w:val="00D93DC1"/>
    <w:rsid w:val="00D953AD"/>
    <w:rsid w:val="00D96B2F"/>
    <w:rsid w:val="00DA0443"/>
    <w:rsid w:val="00DA093A"/>
    <w:rsid w:val="00DA30E7"/>
    <w:rsid w:val="00DA3B2F"/>
    <w:rsid w:val="00DA3E43"/>
    <w:rsid w:val="00DA41AA"/>
    <w:rsid w:val="00DA5AD2"/>
    <w:rsid w:val="00DA6EC8"/>
    <w:rsid w:val="00DA7E7C"/>
    <w:rsid w:val="00DB0C61"/>
    <w:rsid w:val="00DB0DCD"/>
    <w:rsid w:val="00DB1479"/>
    <w:rsid w:val="00DB27B9"/>
    <w:rsid w:val="00DB2D08"/>
    <w:rsid w:val="00DB32DC"/>
    <w:rsid w:val="00DB38CD"/>
    <w:rsid w:val="00DB5B87"/>
    <w:rsid w:val="00DB5F0D"/>
    <w:rsid w:val="00DB5FB1"/>
    <w:rsid w:val="00DC0AC3"/>
    <w:rsid w:val="00DC7D5A"/>
    <w:rsid w:val="00DD11CA"/>
    <w:rsid w:val="00DD3614"/>
    <w:rsid w:val="00DD74D8"/>
    <w:rsid w:val="00DE25A7"/>
    <w:rsid w:val="00DE3BB7"/>
    <w:rsid w:val="00DE416D"/>
    <w:rsid w:val="00DE59C3"/>
    <w:rsid w:val="00DE5ED9"/>
    <w:rsid w:val="00DE6034"/>
    <w:rsid w:val="00DE76C7"/>
    <w:rsid w:val="00DF1951"/>
    <w:rsid w:val="00E05B6F"/>
    <w:rsid w:val="00E10FBD"/>
    <w:rsid w:val="00E11D9E"/>
    <w:rsid w:val="00E13CAF"/>
    <w:rsid w:val="00E17108"/>
    <w:rsid w:val="00E205AD"/>
    <w:rsid w:val="00E2255F"/>
    <w:rsid w:val="00E22CDE"/>
    <w:rsid w:val="00E230DD"/>
    <w:rsid w:val="00E26A1D"/>
    <w:rsid w:val="00E27261"/>
    <w:rsid w:val="00E3091E"/>
    <w:rsid w:val="00E30E31"/>
    <w:rsid w:val="00E33B36"/>
    <w:rsid w:val="00E33F03"/>
    <w:rsid w:val="00E3541F"/>
    <w:rsid w:val="00E37725"/>
    <w:rsid w:val="00E40A84"/>
    <w:rsid w:val="00E412FB"/>
    <w:rsid w:val="00E47784"/>
    <w:rsid w:val="00E5612B"/>
    <w:rsid w:val="00E57382"/>
    <w:rsid w:val="00E6060D"/>
    <w:rsid w:val="00E60CF3"/>
    <w:rsid w:val="00E61158"/>
    <w:rsid w:val="00E6230B"/>
    <w:rsid w:val="00E623F0"/>
    <w:rsid w:val="00E64C7E"/>
    <w:rsid w:val="00E64CFD"/>
    <w:rsid w:val="00E70D5B"/>
    <w:rsid w:val="00E7624B"/>
    <w:rsid w:val="00E77676"/>
    <w:rsid w:val="00E80B3B"/>
    <w:rsid w:val="00E8294C"/>
    <w:rsid w:val="00E8459B"/>
    <w:rsid w:val="00E900A7"/>
    <w:rsid w:val="00E90383"/>
    <w:rsid w:val="00E90D64"/>
    <w:rsid w:val="00E92DC4"/>
    <w:rsid w:val="00E951CB"/>
    <w:rsid w:val="00E95C31"/>
    <w:rsid w:val="00EA697D"/>
    <w:rsid w:val="00EB3A54"/>
    <w:rsid w:val="00EB3D13"/>
    <w:rsid w:val="00EC3142"/>
    <w:rsid w:val="00EC3B43"/>
    <w:rsid w:val="00EC7E2A"/>
    <w:rsid w:val="00ED0D29"/>
    <w:rsid w:val="00ED0EA6"/>
    <w:rsid w:val="00ED2D69"/>
    <w:rsid w:val="00ED616C"/>
    <w:rsid w:val="00ED71E2"/>
    <w:rsid w:val="00ED7DF1"/>
    <w:rsid w:val="00EE3018"/>
    <w:rsid w:val="00EE5169"/>
    <w:rsid w:val="00EE5C70"/>
    <w:rsid w:val="00EE5CF8"/>
    <w:rsid w:val="00EE6649"/>
    <w:rsid w:val="00EF3803"/>
    <w:rsid w:val="00EF59CC"/>
    <w:rsid w:val="00EF65A3"/>
    <w:rsid w:val="00EF6D57"/>
    <w:rsid w:val="00EF756D"/>
    <w:rsid w:val="00F0087F"/>
    <w:rsid w:val="00F01A60"/>
    <w:rsid w:val="00F02864"/>
    <w:rsid w:val="00F03379"/>
    <w:rsid w:val="00F067D1"/>
    <w:rsid w:val="00F070F4"/>
    <w:rsid w:val="00F075B3"/>
    <w:rsid w:val="00F07CC9"/>
    <w:rsid w:val="00F10713"/>
    <w:rsid w:val="00F11468"/>
    <w:rsid w:val="00F12ECB"/>
    <w:rsid w:val="00F21DCC"/>
    <w:rsid w:val="00F2263C"/>
    <w:rsid w:val="00F22FCF"/>
    <w:rsid w:val="00F2342D"/>
    <w:rsid w:val="00F24BE1"/>
    <w:rsid w:val="00F26621"/>
    <w:rsid w:val="00F269AE"/>
    <w:rsid w:val="00F26B75"/>
    <w:rsid w:val="00F276ED"/>
    <w:rsid w:val="00F30D25"/>
    <w:rsid w:val="00F33CEB"/>
    <w:rsid w:val="00F346FB"/>
    <w:rsid w:val="00F34E9D"/>
    <w:rsid w:val="00F422A4"/>
    <w:rsid w:val="00F4550C"/>
    <w:rsid w:val="00F45961"/>
    <w:rsid w:val="00F46300"/>
    <w:rsid w:val="00F544DC"/>
    <w:rsid w:val="00F5536B"/>
    <w:rsid w:val="00F55F7F"/>
    <w:rsid w:val="00F56766"/>
    <w:rsid w:val="00F624A6"/>
    <w:rsid w:val="00F63E54"/>
    <w:rsid w:val="00F722EA"/>
    <w:rsid w:val="00F7337A"/>
    <w:rsid w:val="00F752DB"/>
    <w:rsid w:val="00F81C91"/>
    <w:rsid w:val="00F8783B"/>
    <w:rsid w:val="00F91B72"/>
    <w:rsid w:val="00F95802"/>
    <w:rsid w:val="00F97932"/>
    <w:rsid w:val="00F97E0D"/>
    <w:rsid w:val="00FA0A4F"/>
    <w:rsid w:val="00FA1E7F"/>
    <w:rsid w:val="00FA32CB"/>
    <w:rsid w:val="00FA5EE2"/>
    <w:rsid w:val="00FC15AD"/>
    <w:rsid w:val="00FC2B94"/>
    <w:rsid w:val="00FC35E9"/>
    <w:rsid w:val="00FC44D9"/>
    <w:rsid w:val="00FC52B6"/>
    <w:rsid w:val="00FD00D5"/>
    <w:rsid w:val="00FD356D"/>
    <w:rsid w:val="00FD6D95"/>
    <w:rsid w:val="00FE1B01"/>
    <w:rsid w:val="00FE21D4"/>
    <w:rsid w:val="00FE4AB0"/>
    <w:rsid w:val="00FE4B3C"/>
    <w:rsid w:val="00FE6FB2"/>
    <w:rsid w:val="00FF4AF0"/>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C30F90A-6519-4DF6-9598-C0159046C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4A85"/>
  </w:style>
  <w:style w:type="paragraph" w:styleId="Titre1">
    <w:name w:val="heading 1"/>
    <w:basedOn w:val="Normal"/>
    <w:next w:val="Normal"/>
    <w:link w:val="Titre1Car"/>
    <w:uiPriority w:val="9"/>
    <w:qFormat/>
    <w:rsid w:val="00C9170A"/>
    <w:pPr>
      <w:keepNext/>
      <w:keepLines/>
      <w:spacing w:before="480" w:after="0"/>
      <w:outlineLvl w:val="0"/>
    </w:pPr>
    <w:rPr>
      <w:rFonts w:ascii="Times New Roman" w:eastAsiaTheme="majorEastAsia" w:hAnsi="Times New Roman" w:cstheme="majorBidi"/>
      <w:b/>
      <w:bCs/>
      <w:color w:val="365F91" w:themeColor="accent1" w:themeShade="BF"/>
      <w:sz w:val="48"/>
      <w:szCs w:val="28"/>
    </w:rPr>
  </w:style>
  <w:style w:type="paragraph" w:styleId="Titre2">
    <w:name w:val="heading 2"/>
    <w:basedOn w:val="Normal"/>
    <w:next w:val="Normal"/>
    <w:link w:val="Titre2Car"/>
    <w:uiPriority w:val="9"/>
    <w:unhideWhenUsed/>
    <w:qFormat/>
    <w:rsid w:val="0052414E"/>
    <w:pPr>
      <w:keepNext/>
      <w:keepLines/>
      <w:numPr>
        <w:numId w:val="2"/>
      </w:numPr>
      <w:spacing w:before="200" w:after="0"/>
      <w:outlineLvl w:val="1"/>
    </w:pPr>
    <w:rPr>
      <w:rFonts w:asciiTheme="majorHAnsi" w:eastAsiaTheme="majorEastAsia" w:hAnsiTheme="majorHAnsi" w:cstheme="majorBidi"/>
      <w:b/>
      <w:bCs/>
      <w:sz w:val="26"/>
      <w:szCs w:val="26"/>
      <w:u w:val="single"/>
    </w:rPr>
  </w:style>
  <w:style w:type="paragraph" w:styleId="Titre3">
    <w:name w:val="heading 3"/>
    <w:basedOn w:val="Normal"/>
    <w:next w:val="Normal"/>
    <w:link w:val="Titre3Car"/>
    <w:uiPriority w:val="9"/>
    <w:unhideWhenUsed/>
    <w:qFormat/>
    <w:rsid w:val="0052414E"/>
    <w:pPr>
      <w:keepNext/>
      <w:keepLines/>
      <w:numPr>
        <w:numId w:val="3"/>
      </w:numPr>
      <w:spacing w:before="200" w:after="0"/>
      <w:outlineLvl w:val="2"/>
    </w:pPr>
    <w:rPr>
      <w:rFonts w:asciiTheme="majorHAnsi" w:eastAsiaTheme="majorEastAsia" w:hAnsiTheme="majorHAnsi" w:cstheme="majorBidi"/>
      <w:b/>
      <w:bCs/>
    </w:rPr>
  </w:style>
  <w:style w:type="paragraph" w:styleId="Titre4">
    <w:name w:val="heading 4"/>
    <w:basedOn w:val="Normal"/>
    <w:next w:val="Normal"/>
    <w:link w:val="Titre4Car"/>
    <w:uiPriority w:val="9"/>
    <w:unhideWhenUsed/>
    <w:qFormat/>
    <w:rsid w:val="002A12EB"/>
    <w:pPr>
      <w:keepNext/>
      <w:keepLines/>
      <w:spacing w:before="200" w:after="0"/>
      <w:outlineLvl w:val="3"/>
    </w:pPr>
    <w:rPr>
      <w:rFonts w:eastAsiaTheme="majorEastAsia" w:cstheme="majorBidi"/>
      <w:bCs/>
      <w:iCs/>
      <w:color w:val="000000" w:themeColor="text1"/>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9170A"/>
    <w:rPr>
      <w:rFonts w:ascii="Times New Roman" w:eastAsiaTheme="majorEastAsia" w:hAnsi="Times New Roman" w:cstheme="majorBidi"/>
      <w:b/>
      <w:bCs/>
      <w:color w:val="365F91" w:themeColor="accent1" w:themeShade="BF"/>
      <w:sz w:val="48"/>
      <w:szCs w:val="28"/>
    </w:rPr>
  </w:style>
  <w:style w:type="character" w:customStyle="1" w:styleId="Titre2Car">
    <w:name w:val="Titre 2 Car"/>
    <w:basedOn w:val="Policepardfaut"/>
    <w:link w:val="Titre2"/>
    <w:uiPriority w:val="9"/>
    <w:rsid w:val="0052414E"/>
    <w:rPr>
      <w:rFonts w:asciiTheme="majorHAnsi" w:eastAsiaTheme="majorEastAsia" w:hAnsiTheme="majorHAnsi" w:cstheme="majorBidi"/>
      <w:b/>
      <w:bCs/>
      <w:sz w:val="26"/>
      <w:szCs w:val="26"/>
      <w:u w:val="single"/>
    </w:rPr>
  </w:style>
  <w:style w:type="character" w:customStyle="1" w:styleId="Titre3Car">
    <w:name w:val="Titre 3 Car"/>
    <w:basedOn w:val="Policepardfaut"/>
    <w:link w:val="Titre3"/>
    <w:uiPriority w:val="9"/>
    <w:rsid w:val="0052414E"/>
    <w:rPr>
      <w:rFonts w:asciiTheme="majorHAnsi" w:eastAsiaTheme="majorEastAsia" w:hAnsiTheme="majorHAnsi" w:cstheme="majorBidi"/>
      <w:b/>
      <w:bCs/>
    </w:rPr>
  </w:style>
  <w:style w:type="character" w:customStyle="1" w:styleId="Titre4Car">
    <w:name w:val="Titre 4 Car"/>
    <w:basedOn w:val="Policepardfaut"/>
    <w:link w:val="Titre4"/>
    <w:uiPriority w:val="9"/>
    <w:rsid w:val="002A12EB"/>
    <w:rPr>
      <w:rFonts w:eastAsiaTheme="majorEastAsia" w:cstheme="majorBidi"/>
      <w:bCs/>
      <w:iCs/>
      <w:color w:val="000000" w:themeColor="text1"/>
      <w:sz w:val="24"/>
    </w:rPr>
  </w:style>
  <w:style w:type="paragraph" w:styleId="Sous-titre">
    <w:name w:val="Subtitle"/>
    <w:basedOn w:val="Normal"/>
    <w:link w:val="Sous-titreCar"/>
    <w:qFormat/>
    <w:rsid w:val="00214A85"/>
    <w:pPr>
      <w:spacing w:after="0" w:line="240" w:lineRule="auto"/>
      <w:jc w:val="lowKashida"/>
    </w:pPr>
    <w:rPr>
      <w:rFonts w:ascii="Arial" w:eastAsia="Times New Roman" w:hAnsi="Arial" w:cs="Traditional Arabic"/>
      <w:sz w:val="24"/>
      <w:szCs w:val="20"/>
      <w:lang w:eastAsia="zh-CN"/>
    </w:rPr>
  </w:style>
  <w:style w:type="character" w:customStyle="1" w:styleId="Sous-titreCar">
    <w:name w:val="Sous-titre Car"/>
    <w:basedOn w:val="Policepardfaut"/>
    <w:link w:val="Sous-titre"/>
    <w:rsid w:val="00214A85"/>
    <w:rPr>
      <w:rFonts w:ascii="Arial" w:eastAsia="Times New Roman" w:hAnsi="Arial" w:cs="Traditional Arabic"/>
      <w:sz w:val="24"/>
      <w:szCs w:val="20"/>
      <w:lang w:eastAsia="zh-CN"/>
    </w:rPr>
  </w:style>
  <w:style w:type="paragraph" w:styleId="Paragraphedeliste">
    <w:name w:val="List Paragraph"/>
    <w:basedOn w:val="Normal"/>
    <w:uiPriority w:val="34"/>
    <w:qFormat/>
    <w:rsid w:val="004B0C81"/>
    <w:pPr>
      <w:ind w:left="720"/>
      <w:contextualSpacing/>
    </w:pPr>
  </w:style>
  <w:style w:type="paragraph" w:styleId="Corpsdetexte3">
    <w:name w:val="Body Text 3"/>
    <w:basedOn w:val="Normal"/>
    <w:link w:val="Corpsdetexte3Car"/>
    <w:rsid w:val="000F4214"/>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8"/>
      <w:lang w:eastAsia="fr-FR"/>
    </w:rPr>
  </w:style>
  <w:style w:type="character" w:customStyle="1" w:styleId="Corpsdetexte3Car">
    <w:name w:val="Corps de texte 3 Car"/>
    <w:basedOn w:val="Policepardfaut"/>
    <w:link w:val="Corpsdetexte3"/>
    <w:rsid w:val="000F4214"/>
    <w:rPr>
      <w:rFonts w:ascii="Times New Roman" w:eastAsia="Times New Roman" w:hAnsi="Times New Roman" w:cs="Times New Roman"/>
      <w:sz w:val="28"/>
      <w:szCs w:val="28"/>
      <w:lang w:eastAsia="fr-FR"/>
    </w:rPr>
  </w:style>
  <w:style w:type="paragraph" w:styleId="Textedebulles">
    <w:name w:val="Balloon Text"/>
    <w:basedOn w:val="Normal"/>
    <w:link w:val="TextedebullesCar"/>
    <w:uiPriority w:val="99"/>
    <w:semiHidden/>
    <w:unhideWhenUsed/>
    <w:rsid w:val="000F421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F4214"/>
    <w:rPr>
      <w:rFonts w:ascii="Tahoma" w:hAnsi="Tahoma" w:cs="Tahoma"/>
      <w:sz w:val="16"/>
      <w:szCs w:val="16"/>
    </w:rPr>
  </w:style>
  <w:style w:type="character" w:customStyle="1" w:styleId="hps">
    <w:name w:val="hps"/>
    <w:basedOn w:val="Policepardfaut"/>
    <w:rsid w:val="009B7906"/>
  </w:style>
  <w:style w:type="paragraph" w:customStyle="1" w:styleId="Default">
    <w:name w:val="Default"/>
    <w:rsid w:val="009B7906"/>
    <w:pPr>
      <w:autoSpaceDE w:val="0"/>
      <w:autoSpaceDN w:val="0"/>
      <w:adjustRightInd w:val="0"/>
      <w:spacing w:after="0" w:line="240" w:lineRule="auto"/>
    </w:pPr>
    <w:rPr>
      <w:rFonts w:ascii="Verdana" w:hAnsi="Verdana" w:cs="Verdana"/>
      <w:color w:val="000000"/>
      <w:sz w:val="24"/>
      <w:szCs w:val="24"/>
    </w:rPr>
  </w:style>
  <w:style w:type="paragraph" w:styleId="NormalWeb">
    <w:name w:val="Normal (Web)"/>
    <w:basedOn w:val="Normal"/>
    <w:uiPriority w:val="99"/>
    <w:unhideWhenUsed/>
    <w:rsid w:val="00FE4B3C"/>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463C1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ttedetabledesmatires">
    <w:name w:val="TOC Heading"/>
    <w:basedOn w:val="Titre1"/>
    <w:next w:val="Normal"/>
    <w:uiPriority w:val="39"/>
    <w:unhideWhenUsed/>
    <w:qFormat/>
    <w:rsid w:val="00AE2CF9"/>
    <w:pPr>
      <w:outlineLvl w:val="9"/>
    </w:pPr>
  </w:style>
  <w:style w:type="paragraph" w:styleId="TM1">
    <w:name w:val="toc 1"/>
    <w:basedOn w:val="Normal"/>
    <w:next w:val="Normal"/>
    <w:autoRedefine/>
    <w:uiPriority w:val="39"/>
    <w:unhideWhenUsed/>
    <w:rsid w:val="00C9170A"/>
    <w:pPr>
      <w:spacing w:after="100"/>
    </w:pPr>
  </w:style>
  <w:style w:type="character" w:styleId="Lienhypertexte">
    <w:name w:val="Hyperlink"/>
    <w:basedOn w:val="Policepardfaut"/>
    <w:uiPriority w:val="99"/>
    <w:unhideWhenUsed/>
    <w:rsid w:val="00C9170A"/>
    <w:rPr>
      <w:color w:val="0000FF" w:themeColor="hyperlink"/>
      <w:u w:val="single"/>
    </w:rPr>
  </w:style>
  <w:style w:type="paragraph" w:styleId="TM2">
    <w:name w:val="toc 2"/>
    <w:basedOn w:val="Normal"/>
    <w:next w:val="Normal"/>
    <w:autoRedefine/>
    <w:uiPriority w:val="39"/>
    <w:unhideWhenUsed/>
    <w:rsid w:val="0052414E"/>
    <w:pPr>
      <w:spacing w:after="100"/>
      <w:ind w:left="220"/>
    </w:pPr>
  </w:style>
  <w:style w:type="paragraph" w:styleId="En-tte">
    <w:name w:val="header"/>
    <w:basedOn w:val="Normal"/>
    <w:link w:val="En-tteCar"/>
    <w:uiPriority w:val="99"/>
    <w:unhideWhenUsed/>
    <w:rsid w:val="00C74445"/>
    <w:pPr>
      <w:tabs>
        <w:tab w:val="center" w:pos="4536"/>
        <w:tab w:val="right" w:pos="9072"/>
      </w:tabs>
      <w:spacing w:after="0" w:line="240" w:lineRule="auto"/>
    </w:pPr>
  </w:style>
  <w:style w:type="character" w:customStyle="1" w:styleId="En-tteCar">
    <w:name w:val="En-tête Car"/>
    <w:basedOn w:val="Policepardfaut"/>
    <w:link w:val="En-tte"/>
    <w:uiPriority w:val="99"/>
    <w:rsid w:val="00C74445"/>
  </w:style>
  <w:style w:type="paragraph" w:styleId="Pieddepage">
    <w:name w:val="footer"/>
    <w:basedOn w:val="Normal"/>
    <w:link w:val="PieddepageCar"/>
    <w:uiPriority w:val="99"/>
    <w:unhideWhenUsed/>
    <w:rsid w:val="00C7444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74445"/>
  </w:style>
  <w:style w:type="table" w:customStyle="1" w:styleId="Grilleclaire-Accent11">
    <w:name w:val="Grille claire - Accent 11"/>
    <w:basedOn w:val="TableauNormal"/>
    <w:uiPriority w:val="62"/>
    <w:rsid w:val="00C8320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xl66">
    <w:name w:val="xl66"/>
    <w:basedOn w:val="Normal"/>
    <w:rsid w:val="00F55F7F"/>
    <w:pPr>
      <w:spacing w:before="100" w:beforeAutospacing="1" w:after="100" w:afterAutospacing="1" w:line="240" w:lineRule="auto"/>
      <w:textAlignment w:val="top"/>
    </w:pPr>
    <w:rPr>
      <w:rFonts w:ascii="Times New Roman" w:eastAsia="Times New Roman" w:hAnsi="Times New Roman" w:cs="Times New Roman"/>
      <w:sz w:val="24"/>
      <w:szCs w:val="24"/>
      <w:lang w:eastAsia="fr-FR"/>
    </w:rPr>
  </w:style>
  <w:style w:type="paragraph" w:customStyle="1" w:styleId="xl67">
    <w:name w:val="xl67"/>
    <w:basedOn w:val="Normal"/>
    <w:rsid w:val="00F55F7F"/>
    <w:pPr>
      <w:pBdr>
        <w:top w:val="single" w:sz="8" w:space="0" w:color="auto"/>
        <w:left w:val="single" w:sz="8" w:space="0" w:color="auto"/>
      </w:pBdr>
      <w:shd w:val="clear" w:color="000000" w:fill="D99594"/>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fr-FR"/>
    </w:rPr>
  </w:style>
  <w:style w:type="paragraph" w:customStyle="1" w:styleId="xl68">
    <w:name w:val="xl68"/>
    <w:basedOn w:val="Normal"/>
    <w:rsid w:val="00F55F7F"/>
    <w:pPr>
      <w:pBdr>
        <w:left w:val="single" w:sz="8" w:space="0" w:color="auto"/>
      </w:pBdr>
      <w:shd w:val="clear" w:color="000000" w:fill="E5B8B7"/>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fr-FR"/>
    </w:rPr>
  </w:style>
  <w:style w:type="paragraph" w:customStyle="1" w:styleId="xl69">
    <w:name w:val="xl69"/>
    <w:basedOn w:val="Normal"/>
    <w:rsid w:val="00F55F7F"/>
    <w:pPr>
      <w:pBdr>
        <w:left w:val="single" w:sz="8" w:space="0" w:color="auto"/>
      </w:pBdr>
      <w:shd w:val="clear" w:color="000000" w:fill="F2DBDB"/>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fr-FR"/>
    </w:rPr>
  </w:style>
  <w:style w:type="paragraph" w:customStyle="1" w:styleId="xl70">
    <w:name w:val="xl70"/>
    <w:basedOn w:val="Normal"/>
    <w:rsid w:val="00F55F7F"/>
    <w:pPr>
      <w:pBdr>
        <w:left w:val="single" w:sz="8" w:space="0" w:color="auto"/>
        <w:bottom w:val="single" w:sz="8" w:space="0" w:color="auto"/>
      </w:pBdr>
      <w:shd w:val="clear" w:color="000000" w:fill="F9EDED"/>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fr-FR"/>
    </w:rPr>
  </w:style>
  <w:style w:type="paragraph" w:customStyle="1" w:styleId="xl71">
    <w:name w:val="xl71"/>
    <w:basedOn w:val="Normal"/>
    <w:rsid w:val="00F55F7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fr-FR"/>
    </w:rPr>
  </w:style>
  <w:style w:type="paragraph" w:customStyle="1" w:styleId="xl72">
    <w:name w:val="xl72"/>
    <w:basedOn w:val="Normal"/>
    <w:rsid w:val="00F55F7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fr-FR"/>
    </w:rPr>
  </w:style>
  <w:style w:type="paragraph" w:customStyle="1" w:styleId="xl73">
    <w:name w:val="xl73"/>
    <w:basedOn w:val="Normal"/>
    <w:rsid w:val="00F55F7F"/>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74">
    <w:name w:val="xl74"/>
    <w:basedOn w:val="Normal"/>
    <w:rsid w:val="00F55F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75">
    <w:name w:val="xl75"/>
    <w:basedOn w:val="Normal"/>
    <w:rsid w:val="00F55F7F"/>
    <w:pPr>
      <w:spacing w:before="100" w:beforeAutospacing="1" w:after="100" w:afterAutospacing="1" w:line="240" w:lineRule="auto"/>
      <w:textAlignment w:val="top"/>
    </w:pPr>
    <w:rPr>
      <w:rFonts w:ascii="Times New Roman" w:eastAsia="Times New Roman" w:hAnsi="Times New Roman" w:cs="Times New Roman"/>
      <w:sz w:val="24"/>
      <w:szCs w:val="24"/>
      <w:lang w:eastAsia="fr-FR"/>
    </w:rPr>
  </w:style>
  <w:style w:type="paragraph" w:customStyle="1" w:styleId="xl76">
    <w:name w:val="xl76"/>
    <w:basedOn w:val="Normal"/>
    <w:rsid w:val="00F55F7F"/>
    <w:pPr>
      <w:pBdr>
        <w:top w:val="single" w:sz="4" w:space="0" w:color="auto"/>
        <w:left w:val="single" w:sz="8" w:space="0" w:color="auto"/>
        <w:bottom w:val="single" w:sz="4" w:space="0" w:color="auto"/>
      </w:pBdr>
      <w:shd w:val="clear" w:color="000000" w:fill="F9EDED"/>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fr-FR"/>
    </w:rPr>
  </w:style>
  <w:style w:type="paragraph" w:customStyle="1" w:styleId="xl77">
    <w:name w:val="xl77"/>
    <w:basedOn w:val="Normal"/>
    <w:rsid w:val="00F55F7F"/>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78">
    <w:name w:val="xl78"/>
    <w:basedOn w:val="Normal"/>
    <w:rsid w:val="00F55F7F"/>
    <w:pPr>
      <w:pBdr>
        <w:left w:val="single" w:sz="8" w:space="0" w:color="auto"/>
        <w:bottom w:val="single" w:sz="8" w:space="0" w:color="auto"/>
      </w:pBdr>
      <w:shd w:val="clear" w:color="000000" w:fill="F9EDED"/>
      <w:spacing w:before="100" w:beforeAutospacing="1" w:after="100" w:afterAutospacing="1" w:line="240" w:lineRule="auto"/>
      <w:jc w:val="both"/>
      <w:textAlignment w:val="top"/>
    </w:pPr>
    <w:rPr>
      <w:rFonts w:ascii="Times New Roman" w:eastAsia="Times New Roman" w:hAnsi="Times New Roman" w:cs="Times New Roman"/>
      <w:b/>
      <w:bCs/>
      <w:sz w:val="24"/>
      <w:szCs w:val="24"/>
      <w:lang w:eastAsia="fr-FR"/>
    </w:rPr>
  </w:style>
  <w:style w:type="paragraph" w:customStyle="1" w:styleId="xl79">
    <w:name w:val="xl79"/>
    <w:basedOn w:val="Normal"/>
    <w:rsid w:val="00F55F7F"/>
    <w:pPr>
      <w:spacing w:before="100" w:beforeAutospacing="1" w:after="100" w:afterAutospacing="1" w:line="240" w:lineRule="auto"/>
      <w:textAlignment w:val="top"/>
    </w:pPr>
    <w:rPr>
      <w:rFonts w:ascii="Times New Roman" w:eastAsia="Times New Roman" w:hAnsi="Times New Roman" w:cs="Times New Roman"/>
      <w:sz w:val="24"/>
      <w:szCs w:val="24"/>
      <w:lang w:eastAsia="fr-FR"/>
    </w:rPr>
  </w:style>
  <w:style w:type="paragraph" w:customStyle="1" w:styleId="xl80">
    <w:name w:val="xl80"/>
    <w:basedOn w:val="Normal"/>
    <w:rsid w:val="00F55F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81">
    <w:name w:val="xl81"/>
    <w:basedOn w:val="Normal"/>
    <w:rsid w:val="00F55F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82">
    <w:name w:val="xl82"/>
    <w:basedOn w:val="Normal"/>
    <w:rsid w:val="00F55F7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83">
    <w:name w:val="xl83"/>
    <w:basedOn w:val="Normal"/>
    <w:rsid w:val="00F55F7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Times New Roman" w:eastAsia="Times New Roman" w:hAnsi="Times New Roman" w:cs="Times New Roman"/>
      <w:sz w:val="24"/>
      <w:szCs w:val="24"/>
      <w:lang w:eastAsia="fr-FR"/>
    </w:rPr>
  </w:style>
  <w:style w:type="paragraph" w:customStyle="1" w:styleId="xl84">
    <w:name w:val="xl84"/>
    <w:basedOn w:val="Normal"/>
    <w:rsid w:val="00F55F7F"/>
    <w:pPr>
      <w:shd w:val="clear" w:color="000000" w:fill="FFC000"/>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M3">
    <w:name w:val="toc 3"/>
    <w:basedOn w:val="Normal"/>
    <w:next w:val="Normal"/>
    <w:autoRedefine/>
    <w:uiPriority w:val="39"/>
    <w:unhideWhenUsed/>
    <w:rsid w:val="00917971"/>
    <w:pPr>
      <w:spacing w:after="100"/>
      <w:ind w:left="440"/>
    </w:pPr>
  </w:style>
  <w:style w:type="paragraph" w:styleId="TM4">
    <w:name w:val="toc 4"/>
    <w:basedOn w:val="Normal"/>
    <w:next w:val="Normal"/>
    <w:autoRedefine/>
    <w:uiPriority w:val="39"/>
    <w:unhideWhenUsed/>
    <w:rsid w:val="00C54A8B"/>
    <w:pPr>
      <w:spacing w:after="100"/>
      <w:ind w:left="660"/>
    </w:pPr>
  </w:style>
  <w:style w:type="paragraph" w:customStyle="1" w:styleId="font5">
    <w:name w:val="font5"/>
    <w:basedOn w:val="Normal"/>
    <w:rsid w:val="009746F7"/>
    <w:pPr>
      <w:spacing w:before="100" w:beforeAutospacing="1" w:after="100" w:afterAutospacing="1" w:line="240" w:lineRule="auto"/>
    </w:pPr>
    <w:rPr>
      <w:rFonts w:ascii="Calibri" w:eastAsia="Times New Roman" w:hAnsi="Calibri" w:cs="Times New Roman"/>
      <w:b/>
      <w:bCs/>
      <w:sz w:val="18"/>
      <w:szCs w:val="18"/>
      <w:lang w:eastAsia="fr-FR"/>
    </w:rPr>
  </w:style>
  <w:style w:type="paragraph" w:customStyle="1" w:styleId="xl63">
    <w:name w:val="xl63"/>
    <w:basedOn w:val="Normal"/>
    <w:rsid w:val="009746F7"/>
    <w:pPr>
      <w:spacing w:before="100" w:beforeAutospacing="1" w:after="100" w:afterAutospacing="1" w:line="240" w:lineRule="auto"/>
      <w:textAlignment w:val="top"/>
    </w:pPr>
    <w:rPr>
      <w:rFonts w:ascii="Times New Roman" w:eastAsia="Times New Roman" w:hAnsi="Times New Roman" w:cs="Times New Roman"/>
      <w:sz w:val="24"/>
      <w:szCs w:val="24"/>
      <w:lang w:eastAsia="fr-FR"/>
    </w:rPr>
  </w:style>
  <w:style w:type="paragraph" w:customStyle="1" w:styleId="xl64">
    <w:name w:val="xl64"/>
    <w:basedOn w:val="Normal"/>
    <w:rsid w:val="009746F7"/>
    <w:pPr>
      <w:spacing w:before="100" w:beforeAutospacing="1" w:after="100" w:afterAutospacing="1" w:line="240" w:lineRule="auto"/>
      <w:textAlignment w:val="top"/>
    </w:pPr>
    <w:rPr>
      <w:rFonts w:ascii="Times New Roman" w:eastAsia="Times New Roman" w:hAnsi="Times New Roman" w:cs="Times New Roman"/>
      <w:sz w:val="18"/>
      <w:szCs w:val="18"/>
      <w:lang w:eastAsia="fr-FR"/>
    </w:rPr>
  </w:style>
  <w:style w:type="paragraph" w:customStyle="1" w:styleId="xl65">
    <w:name w:val="xl65"/>
    <w:basedOn w:val="Normal"/>
    <w:rsid w:val="009746F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fr-FR"/>
    </w:rPr>
  </w:style>
  <w:style w:type="paragraph" w:customStyle="1" w:styleId="xl85">
    <w:name w:val="xl85"/>
    <w:basedOn w:val="Normal"/>
    <w:rsid w:val="009746F7"/>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fr-FR"/>
    </w:rPr>
  </w:style>
  <w:style w:type="paragraph" w:customStyle="1" w:styleId="xl86">
    <w:name w:val="xl86"/>
    <w:basedOn w:val="Normal"/>
    <w:rsid w:val="009746F7"/>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fr-FR"/>
    </w:rPr>
  </w:style>
  <w:style w:type="paragraph" w:customStyle="1" w:styleId="xl87">
    <w:name w:val="xl87"/>
    <w:basedOn w:val="Normal"/>
    <w:rsid w:val="009746F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fr-FR"/>
    </w:rPr>
  </w:style>
  <w:style w:type="paragraph" w:customStyle="1" w:styleId="xl88">
    <w:name w:val="xl88"/>
    <w:basedOn w:val="Normal"/>
    <w:rsid w:val="009746F7"/>
    <w:pPr>
      <w:pBdr>
        <w:top w:val="single" w:sz="4" w:space="0" w:color="auto"/>
        <w:left w:val="single" w:sz="4" w:space="0" w:color="auto"/>
        <w:bottom w:val="single" w:sz="4" w:space="0" w:color="auto"/>
        <w:right w:val="single" w:sz="4" w:space="0" w:color="auto"/>
      </w:pBdr>
      <w:shd w:val="clear" w:color="000000" w:fill="305496"/>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fr-FR"/>
    </w:rPr>
  </w:style>
  <w:style w:type="paragraph" w:customStyle="1" w:styleId="xl89">
    <w:name w:val="xl89"/>
    <w:basedOn w:val="Normal"/>
    <w:rsid w:val="009746F7"/>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fr-FR"/>
    </w:rPr>
  </w:style>
  <w:style w:type="paragraph" w:customStyle="1" w:styleId="xl90">
    <w:name w:val="xl90"/>
    <w:basedOn w:val="Normal"/>
    <w:rsid w:val="009746F7"/>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fr-FR"/>
    </w:rPr>
  </w:style>
  <w:style w:type="paragraph" w:customStyle="1" w:styleId="xl91">
    <w:name w:val="xl91"/>
    <w:basedOn w:val="Normal"/>
    <w:rsid w:val="009746F7"/>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fr-FR"/>
    </w:rPr>
  </w:style>
  <w:style w:type="paragraph" w:customStyle="1" w:styleId="xl92">
    <w:name w:val="xl92"/>
    <w:basedOn w:val="Normal"/>
    <w:rsid w:val="009746F7"/>
    <w:pPr>
      <w:pBdr>
        <w:top w:val="single" w:sz="4" w:space="0" w:color="auto"/>
        <w:left w:val="single" w:sz="4" w:space="0" w:color="auto"/>
        <w:bottom w:val="single" w:sz="4" w:space="0" w:color="auto"/>
        <w:right w:val="single" w:sz="4" w:space="0" w:color="auto"/>
      </w:pBdr>
      <w:shd w:val="clear" w:color="000000" w:fill="D99594"/>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fr-FR"/>
    </w:rPr>
  </w:style>
  <w:style w:type="paragraph" w:customStyle="1" w:styleId="xl93">
    <w:name w:val="xl93"/>
    <w:basedOn w:val="Normal"/>
    <w:rsid w:val="009746F7"/>
    <w:pPr>
      <w:pBdr>
        <w:top w:val="single" w:sz="4" w:space="0" w:color="auto"/>
        <w:left w:val="single" w:sz="4" w:space="0" w:color="auto"/>
        <w:bottom w:val="single" w:sz="4" w:space="0" w:color="auto"/>
        <w:right w:val="single" w:sz="4" w:space="0" w:color="auto"/>
      </w:pBdr>
      <w:shd w:val="clear" w:color="000000" w:fill="E5B8B7"/>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fr-FR"/>
    </w:rPr>
  </w:style>
  <w:style w:type="paragraph" w:customStyle="1" w:styleId="xl94">
    <w:name w:val="xl94"/>
    <w:basedOn w:val="Normal"/>
    <w:rsid w:val="009746F7"/>
    <w:pPr>
      <w:pBdr>
        <w:top w:val="single" w:sz="4" w:space="0" w:color="auto"/>
        <w:left w:val="single" w:sz="4" w:space="0" w:color="auto"/>
        <w:bottom w:val="single" w:sz="4" w:space="0" w:color="auto"/>
        <w:right w:val="single" w:sz="4" w:space="0" w:color="auto"/>
      </w:pBdr>
      <w:shd w:val="clear" w:color="000000" w:fill="F2DBDB"/>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fr-FR"/>
    </w:rPr>
  </w:style>
  <w:style w:type="paragraph" w:customStyle="1" w:styleId="xl95">
    <w:name w:val="xl95"/>
    <w:basedOn w:val="Normal"/>
    <w:rsid w:val="009746F7"/>
    <w:pPr>
      <w:pBdr>
        <w:top w:val="single" w:sz="4" w:space="0" w:color="auto"/>
        <w:left w:val="single" w:sz="4" w:space="0" w:color="auto"/>
        <w:bottom w:val="single" w:sz="4" w:space="0" w:color="auto"/>
        <w:right w:val="single" w:sz="4" w:space="0" w:color="auto"/>
      </w:pBdr>
      <w:shd w:val="clear" w:color="000000" w:fill="F9EDED"/>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fr-FR"/>
    </w:rPr>
  </w:style>
  <w:style w:type="paragraph" w:customStyle="1" w:styleId="xl96">
    <w:name w:val="xl96"/>
    <w:basedOn w:val="Normal"/>
    <w:rsid w:val="009746F7"/>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97">
    <w:name w:val="xl97"/>
    <w:basedOn w:val="Normal"/>
    <w:rsid w:val="009746F7"/>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TableauGrille4-Accentuation6">
    <w:name w:val="Grid Table 4 Accent 6"/>
    <w:basedOn w:val="TableauNormal"/>
    <w:uiPriority w:val="49"/>
    <w:rsid w:val="00475E87"/>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Sansinterligne">
    <w:name w:val="No Spacing"/>
    <w:uiPriority w:val="1"/>
    <w:qFormat/>
    <w:rsid w:val="00CA6BD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41735">
      <w:bodyDiv w:val="1"/>
      <w:marLeft w:val="0"/>
      <w:marRight w:val="0"/>
      <w:marTop w:val="0"/>
      <w:marBottom w:val="0"/>
      <w:divBdr>
        <w:top w:val="none" w:sz="0" w:space="0" w:color="auto"/>
        <w:left w:val="none" w:sz="0" w:space="0" w:color="auto"/>
        <w:bottom w:val="none" w:sz="0" w:space="0" w:color="auto"/>
        <w:right w:val="none" w:sz="0" w:space="0" w:color="auto"/>
      </w:divBdr>
    </w:div>
    <w:div w:id="79838736">
      <w:bodyDiv w:val="1"/>
      <w:marLeft w:val="0"/>
      <w:marRight w:val="0"/>
      <w:marTop w:val="0"/>
      <w:marBottom w:val="0"/>
      <w:divBdr>
        <w:top w:val="none" w:sz="0" w:space="0" w:color="auto"/>
        <w:left w:val="none" w:sz="0" w:space="0" w:color="auto"/>
        <w:bottom w:val="none" w:sz="0" w:space="0" w:color="auto"/>
        <w:right w:val="none" w:sz="0" w:space="0" w:color="auto"/>
      </w:divBdr>
    </w:div>
    <w:div w:id="88814324">
      <w:bodyDiv w:val="1"/>
      <w:marLeft w:val="0"/>
      <w:marRight w:val="0"/>
      <w:marTop w:val="0"/>
      <w:marBottom w:val="0"/>
      <w:divBdr>
        <w:top w:val="none" w:sz="0" w:space="0" w:color="auto"/>
        <w:left w:val="none" w:sz="0" w:space="0" w:color="auto"/>
        <w:bottom w:val="none" w:sz="0" w:space="0" w:color="auto"/>
        <w:right w:val="none" w:sz="0" w:space="0" w:color="auto"/>
      </w:divBdr>
    </w:div>
    <w:div w:id="100270563">
      <w:bodyDiv w:val="1"/>
      <w:marLeft w:val="0"/>
      <w:marRight w:val="0"/>
      <w:marTop w:val="0"/>
      <w:marBottom w:val="0"/>
      <w:divBdr>
        <w:top w:val="none" w:sz="0" w:space="0" w:color="auto"/>
        <w:left w:val="none" w:sz="0" w:space="0" w:color="auto"/>
        <w:bottom w:val="none" w:sz="0" w:space="0" w:color="auto"/>
        <w:right w:val="none" w:sz="0" w:space="0" w:color="auto"/>
      </w:divBdr>
    </w:div>
    <w:div w:id="103158069">
      <w:bodyDiv w:val="1"/>
      <w:marLeft w:val="0"/>
      <w:marRight w:val="0"/>
      <w:marTop w:val="0"/>
      <w:marBottom w:val="0"/>
      <w:divBdr>
        <w:top w:val="none" w:sz="0" w:space="0" w:color="auto"/>
        <w:left w:val="none" w:sz="0" w:space="0" w:color="auto"/>
        <w:bottom w:val="none" w:sz="0" w:space="0" w:color="auto"/>
        <w:right w:val="none" w:sz="0" w:space="0" w:color="auto"/>
      </w:divBdr>
    </w:div>
    <w:div w:id="126820875">
      <w:bodyDiv w:val="1"/>
      <w:marLeft w:val="0"/>
      <w:marRight w:val="0"/>
      <w:marTop w:val="0"/>
      <w:marBottom w:val="0"/>
      <w:divBdr>
        <w:top w:val="none" w:sz="0" w:space="0" w:color="auto"/>
        <w:left w:val="none" w:sz="0" w:space="0" w:color="auto"/>
        <w:bottom w:val="none" w:sz="0" w:space="0" w:color="auto"/>
        <w:right w:val="none" w:sz="0" w:space="0" w:color="auto"/>
      </w:divBdr>
    </w:div>
    <w:div w:id="151526839">
      <w:bodyDiv w:val="1"/>
      <w:marLeft w:val="0"/>
      <w:marRight w:val="0"/>
      <w:marTop w:val="0"/>
      <w:marBottom w:val="0"/>
      <w:divBdr>
        <w:top w:val="none" w:sz="0" w:space="0" w:color="auto"/>
        <w:left w:val="none" w:sz="0" w:space="0" w:color="auto"/>
        <w:bottom w:val="none" w:sz="0" w:space="0" w:color="auto"/>
        <w:right w:val="none" w:sz="0" w:space="0" w:color="auto"/>
      </w:divBdr>
    </w:div>
    <w:div w:id="196242464">
      <w:bodyDiv w:val="1"/>
      <w:marLeft w:val="0"/>
      <w:marRight w:val="0"/>
      <w:marTop w:val="0"/>
      <w:marBottom w:val="0"/>
      <w:divBdr>
        <w:top w:val="none" w:sz="0" w:space="0" w:color="auto"/>
        <w:left w:val="none" w:sz="0" w:space="0" w:color="auto"/>
        <w:bottom w:val="none" w:sz="0" w:space="0" w:color="auto"/>
        <w:right w:val="none" w:sz="0" w:space="0" w:color="auto"/>
      </w:divBdr>
    </w:div>
    <w:div w:id="219442515">
      <w:bodyDiv w:val="1"/>
      <w:marLeft w:val="0"/>
      <w:marRight w:val="0"/>
      <w:marTop w:val="0"/>
      <w:marBottom w:val="0"/>
      <w:divBdr>
        <w:top w:val="none" w:sz="0" w:space="0" w:color="auto"/>
        <w:left w:val="none" w:sz="0" w:space="0" w:color="auto"/>
        <w:bottom w:val="none" w:sz="0" w:space="0" w:color="auto"/>
        <w:right w:val="none" w:sz="0" w:space="0" w:color="auto"/>
      </w:divBdr>
    </w:div>
    <w:div w:id="232813371">
      <w:bodyDiv w:val="1"/>
      <w:marLeft w:val="0"/>
      <w:marRight w:val="0"/>
      <w:marTop w:val="0"/>
      <w:marBottom w:val="0"/>
      <w:divBdr>
        <w:top w:val="none" w:sz="0" w:space="0" w:color="auto"/>
        <w:left w:val="none" w:sz="0" w:space="0" w:color="auto"/>
        <w:bottom w:val="none" w:sz="0" w:space="0" w:color="auto"/>
        <w:right w:val="none" w:sz="0" w:space="0" w:color="auto"/>
      </w:divBdr>
    </w:div>
    <w:div w:id="271789058">
      <w:bodyDiv w:val="1"/>
      <w:marLeft w:val="0"/>
      <w:marRight w:val="0"/>
      <w:marTop w:val="0"/>
      <w:marBottom w:val="0"/>
      <w:divBdr>
        <w:top w:val="none" w:sz="0" w:space="0" w:color="auto"/>
        <w:left w:val="none" w:sz="0" w:space="0" w:color="auto"/>
        <w:bottom w:val="none" w:sz="0" w:space="0" w:color="auto"/>
        <w:right w:val="none" w:sz="0" w:space="0" w:color="auto"/>
      </w:divBdr>
    </w:div>
    <w:div w:id="272791016">
      <w:bodyDiv w:val="1"/>
      <w:marLeft w:val="0"/>
      <w:marRight w:val="0"/>
      <w:marTop w:val="0"/>
      <w:marBottom w:val="0"/>
      <w:divBdr>
        <w:top w:val="none" w:sz="0" w:space="0" w:color="auto"/>
        <w:left w:val="none" w:sz="0" w:space="0" w:color="auto"/>
        <w:bottom w:val="none" w:sz="0" w:space="0" w:color="auto"/>
        <w:right w:val="none" w:sz="0" w:space="0" w:color="auto"/>
      </w:divBdr>
    </w:div>
    <w:div w:id="340622171">
      <w:bodyDiv w:val="1"/>
      <w:marLeft w:val="0"/>
      <w:marRight w:val="0"/>
      <w:marTop w:val="0"/>
      <w:marBottom w:val="0"/>
      <w:divBdr>
        <w:top w:val="none" w:sz="0" w:space="0" w:color="auto"/>
        <w:left w:val="none" w:sz="0" w:space="0" w:color="auto"/>
        <w:bottom w:val="none" w:sz="0" w:space="0" w:color="auto"/>
        <w:right w:val="none" w:sz="0" w:space="0" w:color="auto"/>
      </w:divBdr>
    </w:div>
    <w:div w:id="345520200">
      <w:bodyDiv w:val="1"/>
      <w:marLeft w:val="0"/>
      <w:marRight w:val="0"/>
      <w:marTop w:val="0"/>
      <w:marBottom w:val="0"/>
      <w:divBdr>
        <w:top w:val="none" w:sz="0" w:space="0" w:color="auto"/>
        <w:left w:val="none" w:sz="0" w:space="0" w:color="auto"/>
        <w:bottom w:val="none" w:sz="0" w:space="0" w:color="auto"/>
        <w:right w:val="none" w:sz="0" w:space="0" w:color="auto"/>
      </w:divBdr>
    </w:div>
    <w:div w:id="396590156">
      <w:bodyDiv w:val="1"/>
      <w:marLeft w:val="0"/>
      <w:marRight w:val="0"/>
      <w:marTop w:val="0"/>
      <w:marBottom w:val="0"/>
      <w:divBdr>
        <w:top w:val="none" w:sz="0" w:space="0" w:color="auto"/>
        <w:left w:val="none" w:sz="0" w:space="0" w:color="auto"/>
        <w:bottom w:val="none" w:sz="0" w:space="0" w:color="auto"/>
        <w:right w:val="none" w:sz="0" w:space="0" w:color="auto"/>
      </w:divBdr>
    </w:div>
    <w:div w:id="410546865">
      <w:bodyDiv w:val="1"/>
      <w:marLeft w:val="0"/>
      <w:marRight w:val="0"/>
      <w:marTop w:val="0"/>
      <w:marBottom w:val="0"/>
      <w:divBdr>
        <w:top w:val="none" w:sz="0" w:space="0" w:color="auto"/>
        <w:left w:val="none" w:sz="0" w:space="0" w:color="auto"/>
        <w:bottom w:val="none" w:sz="0" w:space="0" w:color="auto"/>
        <w:right w:val="none" w:sz="0" w:space="0" w:color="auto"/>
      </w:divBdr>
    </w:div>
    <w:div w:id="411394706">
      <w:bodyDiv w:val="1"/>
      <w:marLeft w:val="0"/>
      <w:marRight w:val="0"/>
      <w:marTop w:val="0"/>
      <w:marBottom w:val="0"/>
      <w:divBdr>
        <w:top w:val="none" w:sz="0" w:space="0" w:color="auto"/>
        <w:left w:val="none" w:sz="0" w:space="0" w:color="auto"/>
        <w:bottom w:val="none" w:sz="0" w:space="0" w:color="auto"/>
        <w:right w:val="none" w:sz="0" w:space="0" w:color="auto"/>
      </w:divBdr>
    </w:div>
    <w:div w:id="452023816">
      <w:bodyDiv w:val="1"/>
      <w:marLeft w:val="0"/>
      <w:marRight w:val="0"/>
      <w:marTop w:val="0"/>
      <w:marBottom w:val="0"/>
      <w:divBdr>
        <w:top w:val="none" w:sz="0" w:space="0" w:color="auto"/>
        <w:left w:val="none" w:sz="0" w:space="0" w:color="auto"/>
        <w:bottom w:val="none" w:sz="0" w:space="0" w:color="auto"/>
        <w:right w:val="none" w:sz="0" w:space="0" w:color="auto"/>
      </w:divBdr>
    </w:div>
    <w:div w:id="490558100">
      <w:bodyDiv w:val="1"/>
      <w:marLeft w:val="0"/>
      <w:marRight w:val="0"/>
      <w:marTop w:val="0"/>
      <w:marBottom w:val="0"/>
      <w:divBdr>
        <w:top w:val="none" w:sz="0" w:space="0" w:color="auto"/>
        <w:left w:val="none" w:sz="0" w:space="0" w:color="auto"/>
        <w:bottom w:val="none" w:sz="0" w:space="0" w:color="auto"/>
        <w:right w:val="none" w:sz="0" w:space="0" w:color="auto"/>
      </w:divBdr>
    </w:div>
    <w:div w:id="497960130">
      <w:bodyDiv w:val="1"/>
      <w:marLeft w:val="0"/>
      <w:marRight w:val="0"/>
      <w:marTop w:val="0"/>
      <w:marBottom w:val="0"/>
      <w:divBdr>
        <w:top w:val="none" w:sz="0" w:space="0" w:color="auto"/>
        <w:left w:val="none" w:sz="0" w:space="0" w:color="auto"/>
        <w:bottom w:val="none" w:sz="0" w:space="0" w:color="auto"/>
        <w:right w:val="none" w:sz="0" w:space="0" w:color="auto"/>
      </w:divBdr>
    </w:div>
    <w:div w:id="512885389">
      <w:bodyDiv w:val="1"/>
      <w:marLeft w:val="0"/>
      <w:marRight w:val="0"/>
      <w:marTop w:val="0"/>
      <w:marBottom w:val="0"/>
      <w:divBdr>
        <w:top w:val="none" w:sz="0" w:space="0" w:color="auto"/>
        <w:left w:val="none" w:sz="0" w:space="0" w:color="auto"/>
        <w:bottom w:val="none" w:sz="0" w:space="0" w:color="auto"/>
        <w:right w:val="none" w:sz="0" w:space="0" w:color="auto"/>
      </w:divBdr>
    </w:div>
    <w:div w:id="568687278">
      <w:bodyDiv w:val="1"/>
      <w:marLeft w:val="0"/>
      <w:marRight w:val="0"/>
      <w:marTop w:val="0"/>
      <w:marBottom w:val="0"/>
      <w:divBdr>
        <w:top w:val="none" w:sz="0" w:space="0" w:color="auto"/>
        <w:left w:val="none" w:sz="0" w:space="0" w:color="auto"/>
        <w:bottom w:val="none" w:sz="0" w:space="0" w:color="auto"/>
        <w:right w:val="none" w:sz="0" w:space="0" w:color="auto"/>
      </w:divBdr>
    </w:div>
    <w:div w:id="571965321">
      <w:bodyDiv w:val="1"/>
      <w:marLeft w:val="0"/>
      <w:marRight w:val="0"/>
      <w:marTop w:val="0"/>
      <w:marBottom w:val="0"/>
      <w:divBdr>
        <w:top w:val="none" w:sz="0" w:space="0" w:color="auto"/>
        <w:left w:val="none" w:sz="0" w:space="0" w:color="auto"/>
        <w:bottom w:val="none" w:sz="0" w:space="0" w:color="auto"/>
        <w:right w:val="none" w:sz="0" w:space="0" w:color="auto"/>
      </w:divBdr>
    </w:div>
    <w:div w:id="581305082">
      <w:bodyDiv w:val="1"/>
      <w:marLeft w:val="0"/>
      <w:marRight w:val="0"/>
      <w:marTop w:val="0"/>
      <w:marBottom w:val="0"/>
      <w:divBdr>
        <w:top w:val="none" w:sz="0" w:space="0" w:color="auto"/>
        <w:left w:val="none" w:sz="0" w:space="0" w:color="auto"/>
        <w:bottom w:val="none" w:sz="0" w:space="0" w:color="auto"/>
        <w:right w:val="none" w:sz="0" w:space="0" w:color="auto"/>
      </w:divBdr>
    </w:div>
    <w:div w:id="588393155">
      <w:bodyDiv w:val="1"/>
      <w:marLeft w:val="0"/>
      <w:marRight w:val="0"/>
      <w:marTop w:val="0"/>
      <w:marBottom w:val="0"/>
      <w:divBdr>
        <w:top w:val="none" w:sz="0" w:space="0" w:color="auto"/>
        <w:left w:val="none" w:sz="0" w:space="0" w:color="auto"/>
        <w:bottom w:val="none" w:sz="0" w:space="0" w:color="auto"/>
        <w:right w:val="none" w:sz="0" w:space="0" w:color="auto"/>
      </w:divBdr>
    </w:div>
    <w:div w:id="652298451">
      <w:bodyDiv w:val="1"/>
      <w:marLeft w:val="0"/>
      <w:marRight w:val="0"/>
      <w:marTop w:val="0"/>
      <w:marBottom w:val="0"/>
      <w:divBdr>
        <w:top w:val="none" w:sz="0" w:space="0" w:color="auto"/>
        <w:left w:val="none" w:sz="0" w:space="0" w:color="auto"/>
        <w:bottom w:val="none" w:sz="0" w:space="0" w:color="auto"/>
        <w:right w:val="none" w:sz="0" w:space="0" w:color="auto"/>
      </w:divBdr>
    </w:div>
    <w:div w:id="657928040">
      <w:bodyDiv w:val="1"/>
      <w:marLeft w:val="0"/>
      <w:marRight w:val="0"/>
      <w:marTop w:val="0"/>
      <w:marBottom w:val="0"/>
      <w:divBdr>
        <w:top w:val="none" w:sz="0" w:space="0" w:color="auto"/>
        <w:left w:val="none" w:sz="0" w:space="0" w:color="auto"/>
        <w:bottom w:val="none" w:sz="0" w:space="0" w:color="auto"/>
        <w:right w:val="none" w:sz="0" w:space="0" w:color="auto"/>
      </w:divBdr>
    </w:div>
    <w:div w:id="665400441">
      <w:bodyDiv w:val="1"/>
      <w:marLeft w:val="0"/>
      <w:marRight w:val="0"/>
      <w:marTop w:val="0"/>
      <w:marBottom w:val="0"/>
      <w:divBdr>
        <w:top w:val="none" w:sz="0" w:space="0" w:color="auto"/>
        <w:left w:val="none" w:sz="0" w:space="0" w:color="auto"/>
        <w:bottom w:val="none" w:sz="0" w:space="0" w:color="auto"/>
        <w:right w:val="none" w:sz="0" w:space="0" w:color="auto"/>
      </w:divBdr>
    </w:div>
    <w:div w:id="739064742">
      <w:bodyDiv w:val="1"/>
      <w:marLeft w:val="0"/>
      <w:marRight w:val="0"/>
      <w:marTop w:val="0"/>
      <w:marBottom w:val="0"/>
      <w:divBdr>
        <w:top w:val="none" w:sz="0" w:space="0" w:color="auto"/>
        <w:left w:val="none" w:sz="0" w:space="0" w:color="auto"/>
        <w:bottom w:val="none" w:sz="0" w:space="0" w:color="auto"/>
        <w:right w:val="none" w:sz="0" w:space="0" w:color="auto"/>
      </w:divBdr>
    </w:div>
    <w:div w:id="746458747">
      <w:bodyDiv w:val="1"/>
      <w:marLeft w:val="0"/>
      <w:marRight w:val="0"/>
      <w:marTop w:val="0"/>
      <w:marBottom w:val="0"/>
      <w:divBdr>
        <w:top w:val="none" w:sz="0" w:space="0" w:color="auto"/>
        <w:left w:val="none" w:sz="0" w:space="0" w:color="auto"/>
        <w:bottom w:val="none" w:sz="0" w:space="0" w:color="auto"/>
        <w:right w:val="none" w:sz="0" w:space="0" w:color="auto"/>
      </w:divBdr>
    </w:div>
    <w:div w:id="769593339">
      <w:bodyDiv w:val="1"/>
      <w:marLeft w:val="0"/>
      <w:marRight w:val="0"/>
      <w:marTop w:val="0"/>
      <w:marBottom w:val="0"/>
      <w:divBdr>
        <w:top w:val="none" w:sz="0" w:space="0" w:color="auto"/>
        <w:left w:val="none" w:sz="0" w:space="0" w:color="auto"/>
        <w:bottom w:val="none" w:sz="0" w:space="0" w:color="auto"/>
        <w:right w:val="none" w:sz="0" w:space="0" w:color="auto"/>
      </w:divBdr>
    </w:div>
    <w:div w:id="778791786">
      <w:bodyDiv w:val="1"/>
      <w:marLeft w:val="0"/>
      <w:marRight w:val="0"/>
      <w:marTop w:val="0"/>
      <w:marBottom w:val="0"/>
      <w:divBdr>
        <w:top w:val="none" w:sz="0" w:space="0" w:color="auto"/>
        <w:left w:val="none" w:sz="0" w:space="0" w:color="auto"/>
        <w:bottom w:val="none" w:sz="0" w:space="0" w:color="auto"/>
        <w:right w:val="none" w:sz="0" w:space="0" w:color="auto"/>
      </w:divBdr>
    </w:div>
    <w:div w:id="857156974">
      <w:bodyDiv w:val="1"/>
      <w:marLeft w:val="0"/>
      <w:marRight w:val="0"/>
      <w:marTop w:val="0"/>
      <w:marBottom w:val="0"/>
      <w:divBdr>
        <w:top w:val="none" w:sz="0" w:space="0" w:color="auto"/>
        <w:left w:val="none" w:sz="0" w:space="0" w:color="auto"/>
        <w:bottom w:val="none" w:sz="0" w:space="0" w:color="auto"/>
        <w:right w:val="none" w:sz="0" w:space="0" w:color="auto"/>
      </w:divBdr>
    </w:div>
    <w:div w:id="858661045">
      <w:bodyDiv w:val="1"/>
      <w:marLeft w:val="0"/>
      <w:marRight w:val="0"/>
      <w:marTop w:val="0"/>
      <w:marBottom w:val="0"/>
      <w:divBdr>
        <w:top w:val="none" w:sz="0" w:space="0" w:color="auto"/>
        <w:left w:val="none" w:sz="0" w:space="0" w:color="auto"/>
        <w:bottom w:val="none" w:sz="0" w:space="0" w:color="auto"/>
        <w:right w:val="none" w:sz="0" w:space="0" w:color="auto"/>
      </w:divBdr>
    </w:div>
    <w:div w:id="867988101">
      <w:bodyDiv w:val="1"/>
      <w:marLeft w:val="0"/>
      <w:marRight w:val="0"/>
      <w:marTop w:val="0"/>
      <w:marBottom w:val="0"/>
      <w:divBdr>
        <w:top w:val="none" w:sz="0" w:space="0" w:color="auto"/>
        <w:left w:val="none" w:sz="0" w:space="0" w:color="auto"/>
        <w:bottom w:val="none" w:sz="0" w:space="0" w:color="auto"/>
        <w:right w:val="none" w:sz="0" w:space="0" w:color="auto"/>
      </w:divBdr>
    </w:div>
    <w:div w:id="952203474">
      <w:bodyDiv w:val="1"/>
      <w:marLeft w:val="0"/>
      <w:marRight w:val="0"/>
      <w:marTop w:val="0"/>
      <w:marBottom w:val="0"/>
      <w:divBdr>
        <w:top w:val="none" w:sz="0" w:space="0" w:color="auto"/>
        <w:left w:val="none" w:sz="0" w:space="0" w:color="auto"/>
        <w:bottom w:val="none" w:sz="0" w:space="0" w:color="auto"/>
        <w:right w:val="none" w:sz="0" w:space="0" w:color="auto"/>
      </w:divBdr>
    </w:div>
    <w:div w:id="969476148">
      <w:bodyDiv w:val="1"/>
      <w:marLeft w:val="0"/>
      <w:marRight w:val="0"/>
      <w:marTop w:val="0"/>
      <w:marBottom w:val="0"/>
      <w:divBdr>
        <w:top w:val="none" w:sz="0" w:space="0" w:color="auto"/>
        <w:left w:val="none" w:sz="0" w:space="0" w:color="auto"/>
        <w:bottom w:val="none" w:sz="0" w:space="0" w:color="auto"/>
        <w:right w:val="none" w:sz="0" w:space="0" w:color="auto"/>
      </w:divBdr>
    </w:div>
    <w:div w:id="985814620">
      <w:bodyDiv w:val="1"/>
      <w:marLeft w:val="0"/>
      <w:marRight w:val="0"/>
      <w:marTop w:val="0"/>
      <w:marBottom w:val="0"/>
      <w:divBdr>
        <w:top w:val="none" w:sz="0" w:space="0" w:color="auto"/>
        <w:left w:val="none" w:sz="0" w:space="0" w:color="auto"/>
        <w:bottom w:val="none" w:sz="0" w:space="0" w:color="auto"/>
        <w:right w:val="none" w:sz="0" w:space="0" w:color="auto"/>
      </w:divBdr>
    </w:div>
    <w:div w:id="1003052467">
      <w:bodyDiv w:val="1"/>
      <w:marLeft w:val="0"/>
      <w:marRight w:val="0"/>
      <w:marTop w:val="0"/>
      <w:marBottom w:val="0"/>
      <w:divBdr>
        <w:top w:val="none" w:sz="0" w:space="0" w:color="auto"/>
        <w:left w:val="none" w:sz="0" w:space="0" w:color="auto"/>
        <w:bottom w:val="none" w:sz="0" w:space="0" w:color="auto"/>
        <w:right w:val="none" w:sz="0" w:space="0" w:color="auto"/>
      </w:divBdr>
    </w:div>
    <w:div w:id="1023752377">
      <w:bodyDiv w:val="1"/>
      <w:marLeft w:val="0"/>
      <w:marRight w:val="0"/>
      <w:marTop w:val="0"/>
      <w:marBottom w:val="0"/>
      <w:divBdr>
        <w:top w:val="none" w:sz="0" w:space="0" w:color="auto"/>
        <w:left w:val="none" w:sz="0" w:space="0" w:color="auto"/>
        <w:bottom w:val="none" w:sz="0" w:space="0" w:color="auto"/>
        <w:right w:val="none" w:sz="0" w:space="0" w:color="auto"/>
      </w:divBdr>
    </w:div>
    <w:div w:id="1025448072">
      <w:bodyDiv w:val="1"/>
      <w:marLeft w:val="0"/>
      <w:marRight w:val="0"/>
      <w:marTop w:val="0"/>
      <w:marBottom w:val="0"/>
      <w:divBdr>
        <w:top w:val="none" w:sz="0" w:space="0" w:color="auto"/>
        <w:left w:val="none" w:sz="0" w:space="0" w:color="auto"/>
        <w:bottom w:val="none" w:sz="0" w:space="0" w:color="auto"/>
        <w:right w:val="none" w:sz="0" w:space="0" w:color="auto"/>
      </w:divBdr>
    </w:div>
    <w:div w:id="1052585134">
      <w:bodyDiv w:val="1"/>
      <w:marLeft w:val="0"/>
      <w:marRight w:val="0"/>
      <w:marTop w:val="0"/>
      <w:marBottom w:val="0"/>
      <w:divBdr>
        <w:top w:val="none" w:sz="0" w:space="0" w:color="auto"/>
        <w:left w:val="none" w:sz="0" w:space="0" w:color="auto"/>
        <w:bottom w:val="none" w:sz="0" w:space="0" w:color="auto"/>
        <w:right w:val="none" w:sz="0" w:space="0" w:color="auto"/>
      </w:divBdr>
    </w:div>
    <w:div w:id="1053580279">
      <w:bodyDiv w:val="1"/>
      <w:marLeft w:val="0"/>
      <w:marRight w:val="0"/>
      <w:marTop w:val="0"/>
      <w:marBottom w:val="0"/>
      <w:divBdr>
        <w:top w:val="none" w:sz="0" w:space="0" w:color="auto"/>
        <w:left w:val="none" w:sz="0" w:space="0" w:color="auto"/>
        <w:bottom w:val="none" w:sz="0" w:space="0" w:color="auto"/>
        <w:right w:val="none" w:sz="0" w:space="0" w:color="auto"/>
      </w:divBdr>
    </w:div>
    <w:div w:id="1068577943">
      <w:bodyDiv w:val="1"/>
      <w:marLeft w:val="0"/>
      <w:marRight w:val="0"/>
      <w:marTop w:val="0"/>
      <w:marBottom w:val="0"/>
      <w:divBdr>
        <w:top w:val="none" w:sz="0" w:space="0" w:color="auto"/>
        <w:left w:val="none" w:sz="0" w:space="0" w:color="auto"/>
        <w:bottom w:val="none" w:sz="0" w:space="0" w:color="auto"/>
        <w:right w:val="none" w:sz="0" w:space="0" w:color="auto"/>
      </w:divBdr>
    </w:div>
    <w:div w:id="1074474216">
      <w:bodyDiv w:val="1"/>
      <w:marLeft w:val="0"/>
      <w:marRight w:val="0"/>
      <w:marTop w:val="0"/>
      <w:marBottom w:val="0"/>
      <w:divBdr>
        <w:top w:val="none" w:sz="0" w:space="0" w:color="auto"/>
        <w:left w:val="none" w:sz="0" w:space="0" w:color="auto"/>
        <w:bottom w:val="none" w:sz="0" w:space="0" w:color="auto"/>
        <w:right w:val="none" w:sz="0" w:space="0" w:color="auto"/>
      </w:divBdr>
    </w:div>
    <w:div w:id="1079522296">
      <w:bodyDiv w:val="1"/>
      <w:marLeft w:val="0"/>
      <w:marRight w:val="0"/>
      <w:marTop w:val="0"/>
      <w:marBottom w:val="0"/>
      <w:divBdr>
        <w:top w:val="none" w:sz="0" w:space="0" w:color="auto"/>
        <w:left w:val="none" w:sz="0" w:space="0" w:color="auto"/>
        <w:bottom w:val="none" w:sz="0" w:space="0" w:color="auto"/>
        <w:right w:val="none" w:sz="0" w:space="0" w:color="auto"/>
      </w:divBdr>
    </w:div>
    <w:div w:id="1125582286">
      <w:bodyDiv w:val="1"/>
      <w:marLeft w:val="0"/>
      <w:marRight w:val="0"/>
      <w:marTop w:val="0"/>
      <w:marBottom w:val="0"/>
      <w:divBdr>
        <w:top w:val="none" w:sz="0" w:space="0" w:color="auto"/>
        <w:left w:val="none" w:sz="0" w:space="0" w:color="auto"/>
        <w:bottom w:val="none" w:sz="0" w:space="0" w:color="auto"/>
        <w:right w:val="none" w:sz="0" w:space="0" w:color="auto"/>
      </w:divBdr>
    </w:div>
    <w:div w:id="1198009822">
      <w:bodyDiv w:val="1"/>
      <w:marLeft w:val="0"/>
      <w:marRight w:val="0"/>
      <w:marTop w:val="0"/>
      <w:marBottom w:val="0"/>
      <w:divBdr>
        <w:top w:val="none" w:sz="0" w:space="0" w:color="auto"/>
        <w:left w:val="none" w:sz="0" w:space="0" w:color="auto"/>
        <w:bottom w:val="none" w:sz="0" w:space="0" w:color="auto"/>
        <w:right w:val="none" w:sz="0" w:space="0" w:color="auto"/>
      </w:divBdr>
    </w:div>
    <w:div w:id="1208492832">
      <w:bodyDiv w:val="1"/>
      <w:marLeft w:val="0"/>
      <w:marRight w:val="0"/>
      <w:marTop w:val="0"/>
      <w:marBottom w:val="0"/>
      <w:divBdr>
        <w:top w:val="none" w:sz="0" w:space="0" w:color="auto"/>
        <w:left w:val="none" w:sz="0" w:space="0" w:color="auto"/>
        <w:bottom w:val="none" w:sz="0" w:space="0" w:color="auto"/>
        <w:right w:val="none" w:sz="0" w:space="0" w:color="auto"/>
      </w:divBdr>
    </w:div>
    <w:div w:id="1221792517">
      <w:bodyDiv w:val="1"/>
      <w:marLeft w:val="0"/>
      <w:marRight w:val="0"/>
      <w:marTop w:val="0"/>
      <w:marBottom w:val="0"/>
      <w:divBdr>
        <w:top w:val="none" w:sz="0" w:space="0" w:color="auto"/>
        <w:left w:val="none" w:sz="0" w:space="0" w:color="auto"/>
        <w:bottom w:val="none" w:sz="0" w:space="0" w:color="auto"/>
        <w:right w:val="none" w:sz="0" w:space="0" w:color="auto"/>
      </w:divBdr>
    </w:div>
    <w:div w:id="1246652322">
      <w:bodyDiv w:val="1"/>
      <w:marLeft w:val="0"/>
      <w:marRight w:val="0"/>
      <w:marTop w:val="0"/>
      <w:marBottom w:val="0"/>
      <w:divBdr>
        <w:top w:val="none" w:sz="0" w:space="0" w:color="auto"/>
        <w:left w:val="none" w:sz="0" w:space="0" w:color="auto"/>
        <w:bottom w:val="none" w:sz="0" w:space="0" w:color="auto"/>
        <w:right w:val="none" w:sz="0" w:space="0" w:color="auto"/>
      </w:divBdr>
    </w:div>
    <w:div w:id="1250768651">
      <w:bodyDiv w:val="1"/>
      <w:marLeft w:val="0"/>
      <w:marRight w:val="0"/>
      <w:marTop w:val="0"/>
      <w:marBottom w:val="0"/>
      <w:divBdr>
        <w:top w:val="none" w:sz="0" w:space="0" w:color="auto"/>
        <w:left w:val="none" w:sz="0" w:space="0" w:color="auto"/>
        <w:bottom w:val="none" w:sz="0" w:space="0" w:color="auto"/>
        <w:right w:val="none" w:sz="0" w:space="0" w:color="auto"/>
      </w:divBdr>
    </w:div>
    <w:div w:id="1259292054">
      <w:bodyDiv w:val="1"/>
      <w:marLeft w:val="0"/>
      <w:marRight w:val="0"/>
      <w:marTop w:val="0"/>
      <w:marBottom w:val="0"/>
      <w:divBdr>
        <w:top w:val="none" w:sz="0" w:space="0" w:color="auto"/>
        <w:left w:val="none" w:sz="0" w:space="0" w:color="auto"/>
        <w:bottom w:val="none" w:sz="0" w:space="0" w:color="auto"/>
        <w:right w:val="none" w:sz="0" w:space="0" w:color="auto"/>
      </w:divBdr>
    </w:div>
    <w:div w:id="1317877879">
      <w:bodyDiv w:val="1"/>
      <w:marLeft w:val="0"/>
      <w:marRight w:val="0"/>
      <w:marTop w:val="0"/>
      <w:marBottom w:val="0"/>
      <w:divBdr>
        <w:top w:val="none" w:sz="0" w:space="0" w:color="auto"/>
        <w:left w:val="none" w:sz="0" w:space="0" w:color="auto"/>
        <w:bottom w:val="none" w:sz="0" w:space="0" w:color="auto"/>
        <w:right w:val="none" w:sz="0" w:space="0" w:color="auto"/>
      </w:divBdr>
    </w:div>
    <w:div w:id="1385064745">
      <w:bodyDiv w:val="1"/>
      <w:marLeft w:val="0"/>
      <w:marRight w:val="0"/>
      <w:marTop w:val="0"/>
      <w:marBottom w:val="0"/>
      <w:divBdr>
        <w:top w:val="none" w:sz="0" w:space="0" w:color="auto"/>
        <w:left w:val="none" w:sz="0" w:space="0" w:color="auto"/>
        <w:bottom w:val="none" w:sz="0" w:space="0" w:color="auto"/>
        <w:right w:val="none" w:sz="0" w:space="0" w:color="auto"/>
      </w:divBdr>
    </w:div>
    <w:div w:id="1403943190">
      <w:bodyDiv w:val="1"/>
      <w:marLeft w:val="0"/>
      <w:marRight w:val="0"/>
      <w:marTop w:val="0"/>
      <w:marBottom w:val="0"/>
      <w:divBdr>
        <w:top w:val="none" w:sz="0" w:space="0" w:color="auto"/>
        <w:left w:val="none" w:sz="0" w:space="0" w:color="auto"/>
        <w:bottom w:val="none" w:sz="0" w:space="0" w:color="auto"/>
        <w:right w:val="none" w:sz="0" w:space="0" w:color="auto"/>
      </w:divBdr>
    </w:div>
    <w:div w:id="1426532701">
      <w:bodyDiv w:val="1"/>
      <w:marLeft w:val="0"/>
      <w:marRight w:val="0"/>
      <w:marTop w:val="0"/>
      <w:marBottom w:val="0"/>
      <w:divBdr>
        <w:top w:val="none" w:sz="0" w:space="0" w:color="auto"/>
        <w:left w:val="none" w:sz="0" w:space="0" w:color="auto"/>
        <w:bottom w:val="none" w:sz="0" w:space="0" w:color="auto"/>
        <w:right w:val="none" w:sz="0" w:space="0" w:color="auto"/>
      </w:divBdr>
    </w:div>
    <w:div w:id="1465656599">
      <w:bodyDiv w:val="1"/>
      <w:marLeft w:val="0"/>
      <w:marRight w:val="0"/>
      <w:marTop w:val="0"/>
      <w:marBottom w:val="0"/>
      <w:divBdr>
        <w:top w:val="none" w:sz="0" w:space="0" w:color="auto"/>
        <w:left w:val="none" w:sz="0" w:space="0" w:color="auto"/>
        <w:bottom w:val="none" w:sz="0" w:space="0" w:color="auto"/>
        <w:right w:val="none" w:sz="0" w:space="0" w:color="auto"/>
      </w:divBdr>
    </w:div>
    <w:div w:id="1497113276">
      <w:bodyDiv w:val="1"/>
      <w:marLeft w:val="0"/>
      <w:marRight w:val="0"/>
      <w:marTop w:val="0"/>
      <w:marBottom w:val="0"/>
      <w:divBdr>
        <w:top w:val="none" w:sz="0" w:space="0" w:color="auto"/>
        <w:left w:val="none" w:sz="0" w:space="0" w:color="auto"/>
        <w:bottom w:val="none" w:sz="0" w:space="0" w:color="auto"/>
        <w:right w:val="none" w:sz="0" w:space="0" w:color="auto"/>
      </w:divBdr>
    </w:div>
    <w:div w:id="1525437857">
      <w:bodyDiv w:val="1"/>
      <w:marLeft w:val="0"/>
      <w:marRight w:val="0"/>
      <w:marTop w:val="0"/>
      <w:marBottom w:val="0"/>
      <w:divBdr>
        <w:top w:val="none" w:sz="0" w:space="0" w:color="auto"/>
        <w:left w:val="none" w:sz="0" w:space="0" w:color="auto"/>
        <w:bottom w:val="none" w:sz="0" w:space="0" w:color="auto"/>
        <w:right w:val="none" w:sz="0" w:space="0" w:color="auto"/>
      </w:divBdr>
    </w:div>
    <w:div w:id="1555193944">
      <w:bodyDiv w:val="1"/>
      <w:marLeft w:val="0"/>
      <w:marRight w:val="0"/>
      <w:marTop w:val="0"/>
      <w:marBottom w:val="0"/>
      <w:divBdr>
        <w:top w:val="none" w:sz="0" w:space="0" w:color="auto"/>
        <w:left w:val="none" w:sz="0" w:space="0" w:color="auto"/>
        <w:bottom w:val="none" w:sz="0" w:space="0" w:color="auto"/>
        <w:right w:val="none" w:sz="0" w:space="0" w:color="auto"/>
      </w:divBdr>
    </w:div>
    <w:div w:id="1646204933">
      <w:bodyDiv w:val="1"/>
      <w:marLeft w:val="0"/>
      <w:marRight w:val="0"/>
      <w:marTop w:val="0"/>
      <w:marBottom w:val="0"/>
      <w:divBdr>
        <w:top w:val="none" w:sz="0" w:space="0" w:color="auto"/>
        <w:left w:val="none" w:sz="0" w:space="0" w:color="auto"/>
        <w:bottom w:val="none" w:sz="0" w:space="0" w:color="auto"/>
        <w:right w:val="none" w:sz="0" w:space="0" w:color="auto"/>
      </w:divBdr>
    </w:div>
    <w:div w:id="1655452086">
      <w:bodyDiv w:val="1"/>
      <w:marLeft w:val="0"/>
      <w:marRight w:val="0"/>
      <w:marTop w:val="0"/>
      <w:marBottom w:val="0"/>
      <w:divBdr>
        <w:top w:val="none" w:sz="0" w:space="0" w:color="auto"/>
        <w:left w:val="none" w:sz="0" w:space="0" w:color="auto"/>
        <w:bottom w:val="none" w:sz="0" w:space="0" w:color="auto"/>
        <w:right w:val="none" w:sz="0" w:space="0" w:color="auto"/>
      </w:divBdr>
    </w:div>
    <w:div w:id="1662273087">
      <w:bodyDiv w:val="1"/>
      <w:marLeft w:val="0"/>
      <w:marRight w:val="0"/>
      <w:marTop w:val="0"/>
      <w:marBottom w:val="0"/>
      <w:divBdr>
        <w:top w:val="none" w:sz="0" w:space="0" w:color="auto"/>
        <w:left w:val="none" w:sz="0" w:space="0" w:color="auto"/>
        <w:bottom w:val="none" w:sz="0" w:space="0" w:color="auto"/>
        <w:right w:val="none" w:sz="0" w:space="0" w:color="auto"/>
      </w:divBdr>
    </w:div>
    <w:div w:id="1713846343">
      <w:bodyDiv w:val="1"/>
      <w:marLeft w:val="0"/>
      <w:marRight w:val="0"/>
      <w:marTop w:val="0"/>
      <w:marBottom w:val="0"/>
      <w:divBdr>
        <w:top w:val="none" w:sz="0" w:space="0" w:color="auto"/>
        <w:left w:val="none" w:sz="0" w:space="0" w:color="auto"/>
        <w:bottom w:val="none" w:sz="0" w:space="0" w:color="auto"/>
        <w:right w:val="none" w:sz="0" w:space="0" w:color="auto"/>
      </w:divBdr>
    </w:div>
    <w:div w:id="1745103042">
      <w:bodyDiv w:val="1"/>
      <w:marLeft w:val="0"/>
      <w:marRight w:val="0"/>
      <w:marTop w:val="0"/>
      <w:marBottom w:val="0"/>
      <w:divBdr>
        <w:top w:val="none" w:sz="0" w:space="0" w:color="auto"/>
        <w:left w:val="none" w:sz="0" w:space="0" w:color="auto"/>
        <w:bottom w:val="none" w:sz="0" w:space="0" w:color="auto"/>
        <w:right w:val="none" w:sz="0" w:space="0" w:color="auto"/>
      </w:divBdr>
    </w:div>
    <w:div w:id="1748451682">
      <w:bodyDiv w:val="1"/>
      <w:marLeft w:val="0"/>
      <w:marRight w:val="0"/>
      <w:marTop w:val="0"/>
      <w:marBottom w:val="0"/>
      <w:divBdr>
        <w:top w:val="none" w:sz="0" w:space="0" w:color="auto"/>
        <w:left w:val="none" w:sz="0" w:space="0" w:color="auto"/>
        <w:bottom w:val="none" w:sz="0" w:space="0" w:color="auto"/>
        <w:right w:val="none" w:sz="0" w:space="0" w:color="auto"/>
      </w:divBdr>
    </w:div>
    <w:div w:id="1754156542">
      <w:bodyDiv w:val="1"/>
      <w:marLeft w:val="0"/>
      <w:marRight w:val="0"/>
      <w:marTop w:val="0"/>
      <w:marBottom w:val="0"/>
      <w:divBdr>
        <w:top w:val="none" w:sz="0" w:space="0" w:color="auto"/>
        <w:left w:val="none" w:sz="0" w:space="0" w:color="auto"/>
        <w:bottom w:val="none" w:sz="0" w:space="0" w:color="auto"/>
        <w:right w:val="none" w:sz="0" w:space="0" w:color="auto"/>
      </w:divBdr>
    </w:div>
    <w:div w:id="1774588933">
      <w:bodyDiv w:val="1"/>
      <w:marLeft w:val="0"/>
      <w:marRight w:val="0"/>
      <w:marTop w:val="0"/>
      <w:marBottom w:val="0"/>
      <w:divBdr>
        <w:top w:val="none" w:sz="0" w:space="0" w:color="auto"/>
        <w:left w:val="none" w:sz="0" w:space="0" w:color="auto"/>
        <w:bottom w:val="none" w:sz="0" w:space="0" w:color="auto"/>
        <w:right w:val="none" w:sz="0" w:space="0" w:color="auto"/>
      </w:divBdr>
    </w:div>
    <w:div w:id="1805928372">
      <w:bodyDiv w:val="1"/>
      <w:marLeft w:val="0"/>
      <w:marRight w:val="0"/>
      <w:marTop w:val="0"/>
      <w:marBottom w:val="0"/>
      <w:divBdr>
        <w:top w:val="none" w:sz="0" w:space="0" w:color="auto"/>
        <w:left w:val="none" w:sz="0" w:space="0" w:color="auto"/>
        <w:bottom w:val="none" w:sz="0" w:space="0" w:color="auto"/>
        <w:right w:val="none" w:sz="0" w:space="0" w:color="auto"/>
      </w:divBdr>
    </w:div>
    <w:div w:id="1815950553">
      <w:bodyDiv w:val="1"/>
      <w:marLeft w:val="0"/>
      <w:marRight w:val="0"/>
      <w:marTop w:val="0"/>
      <w:marBottom w:val="0"/>
      <w:divBdr>
        <w:top w:val="none" w:sz="0" w:space="0" w:color="auto"/>
        <w:left w:val="none" w:sz="0" w:space="0" w:color="auto"/>
        <w:bottom w:val="none" w:sz="0" w:space="0" w:color="auto"/>
        <w:right w:val="none" w:sz="0" w:space="0" w:color="auto"/>
      </w:divBdr>
    </w:div>
    <w:div w:id="1827236657">
      <w:bodyDiv w:val="1"/>
      <w:marLeft w:val="0"/>
      <w:marRight w:val="0"/>
      <w:marTop w:val="0"/>
      <w:marBottom w:val="0"/>
      <w:divBdr>
        <w:top w:val="none" w:sz="0" w:space="0" w:color="auto"/>
        <w:left w:val="none" w:sz="0" w:space="0" w:color="auto"/>
        <w:bottom w:val="none" w:sz="0" w:space="0" w:color="auto"/>
        <w:right w:val="none" w:sz="0" w:space="0" w:color="auto"/>
      </w:divBdr>
    </w:div>
    <w:div w:id="1845823114">
      <w:bodyDiv w:val="1"/>
      <w:marLeft w:val="0"/>
      <w:marRight w:val="0"/>
      <w:marTop w:val="0"/>
      <w:marBottom w:val="0"/>
      <w:divBdr>
        <w:top w:val="none" w:sz="0" w:space="0" w:color="auto"/>
        <w:left w:val="none" w:sz="0" w:space="0" w:color="auto"/>
        <w:bottom w:val="none" w:sz="0" w:space="0" w:color="auto"/>
        <w:right w:val="none" w:sz="0" w:space="0" w:color="auto"/>
      </w:divBdr>
    </w:div>
    <w:div w:id="1923753762">
      <w:bodyDiv w:val="1"/>
      <w:marLeft w:val="0"/>
      <w:marRight w:val="0"/>
      <w:marTop w:val="0"/>
      <w:marBottom w:val="0"/>
      <w:divBdr>
        <w:top w:val="none" w:sz="0" w:space="0" w:color="auto"/>
        <w:left w:val="none" w:sz="0" w:space="0" w:color="auto"/>
        <w:bottom w:val="none" w:sz="0" w:space="0" w:color="auto"/>
        <w:right w:val="none" w:sz="0" w:space="0" w:color="auto"/>
      </w:divBdr>
    </w:div>
    <w:div w:id="1929849846">
      <w:bodyDiv w:val="1"/>
      <w:marLeft w:val="0"/>
      <w:marRight w:val="0"/>
      <w:marTop w:val="0"/>
      <w:marBottom w:val="0"/>
      <w:divBdr>
        <w:top w:val="none" w:sz="0" w:space="0" w:color="auto"/>
        <w:left w:val="none" w:sz="0" w:space="0" w:color="auto"/>
        <w:bottom w:val="none" w:sz="0" w:space="0" w:color="auto"/>
        <w:right w:val="none" w:sz="0" w:space="0" w:color="auto"/>
      </w:divBdr>
    </w:div>
    <w:div w:id="1932278818">
      <w:bodyDiv w:val="1"/>
      <w:marLeft w:val="0"/>
      <w:marRight w:val="0"/>
      <w:marTop w:val="0"/>
      <w:marBottom w:val="0"/>
      <w:divBdr>
        <w:top w:val="none" w:sz="0" w:space="0" w:color="auto"/>
        <w:left w:val="none" w:sz="0" w:space="0" w:color="auto"/>
        <w:bottom w:val="none" w:sz="0" w:space="0" w:color="auto"/>
        <w:right w:val="none" w:sz="0" w:space="0" w:color="auto"/>
      </w:divBdr>
      <w:divsChild>
        <w:div w:id="1887334960">
          <w:marLeft w:val="547"/>
          <w:marRight w:val="0"/>
          <w:marTop w:val="0"/>
          <w:marBottom w:val="0"/>
          <w:divBdr>
            <w:top w:val="none" w:sz="0" w:space="0" w:color="auto"/>
            <w:left w:val="none" w:sz="0" w:space="0" w:color="auto"/>
            <w:bottom w:val="none" w:sz="0" w:space="0" w:color="auto"/>
            <w:right w:val="none" w:sz="0" w:space="0" w:color="auto"/>
          </w:divBdr>
        </w:div>
        <w:div w:id="1035693321">
          <w:marLeft w:val="547"/>
          <w:marRight w:val="0"/>
          <w:marTop w:val="0"/>
          <w:marBottom w:val="0"/>
          <w:divBdr>
            <w:top w:val="none" w:sz="0" w:space="0" w:color="auto"/>
            <w:left w:val="none" w:sz="0" w:space="0" w:color="auto"/>
            <w:bottom w:val="none" w:sz="0" w:space="0" w:color="auto"/>
            <w:right w:val="none" w:sz="0" w:space="0" w:color="auto"/>
          </w:divBdr>
        </w:div>
        <w:div w:id="249778136">
          <w:marLeft w:val="547"/>
          <w:marRight w:val="0"/>
          <w:marTop w:val="0"/>
          <w:marBottom w:val="0"/>
          <w:divBdr>
            <w:top w:val="none" w:sz="0" w:space="0" w:color="auto"/>
            <w:left w:val="none" w:sz="0" w:space="0" w:color="auto"/>
            <w:bottom w:val="none" w:sz="0" w:space="0" w:color="auto"/>
            <w:right w:val="none" w:sz="0" w:space="0" w:color="auto"/>
          </w:divBdr>
        </w:div>
        <w:div w:id="1023476695">
          <w:marLeft w:val="547"/>
          <w:marRight w:val="0"/>
          <w:marTop w:val="0"/>
          <w:marBottom w:val="0"/>
          <w:divBdr>
            <w:top w:val="none" w:sz="0" w:space="0" w:color="auto"/>
            <w:left w:val="none" w:sz="0" w:space="0" w:color="auto"/>
            <w:bottom w:val="none" w:sz="0" w:space="0" w:color="auto"/>
            <w:right w:val="none" w:sz="0" w:space="0" w:color="auto"/>
          </w:divBdr>
        </w:div>
        <w:div w:id="1390837593">
          <w:marLeft w:val="547"/>
          <w:marRight w:val="0"/>
          <w:marTop w:val="0"/>
          <w:marBottom w:val="0"/>
          <w:divBdr>
            <w:top w:val="none" w:sz="0" w:space="0" w:color="auto"/>
            <w:left w:val="none" w:sz="0" w:space="0" w:color="auto"/>
            <w:bottom w:val="none" w:sz="0" w:space="0" w:color="auto"/>
            <w:right w:val="none" w:sz="0" w:space="0" w:color="auto"/>
          </w:divBdr>
        </w:div>
        <w:div w:id="342518810">
          <w:marLeft w:val="547"/>
          <w:marRight w:val="0"/>
          <w:marTop w:val="0"/>
          <w:marBottom w:val="0"/>
          <w:divBdr>
            <w:top w:val="none" w:sz="0" w:space="0" w:color="auto"/>
            <w:left w:val="none" w:sz="0" w:space="0" w:color="auto"/>
            <w:bottom w:val="none" w:sz="0" w:space="0" w:color="auto"/>
            <w:right w:val="none" w:sz="0" w:space="0" w:color="auto"/>
          </w:divBdr>
        </w:div>
        <w:div w:id="1025518898">
          <w:marLeft w:val="547"/>
          <w:marRight w:val="0"/>
          <w:marTop w:val="0"/>
          <w:marBottom w:val="0"/>
          <w:divBdr>
            <w:top w:val="none" w:sz="0" w:space="0" w:color="auto"/>
            <w:left w:val="none" w:sz="0" w:space="0" w:color="auto"/>
            <w:bottom w:val="none" w:sz="0" w:space="0" w:color="auto"/>
            <w:right w:val="none" w:sz="0" w:space="0" w:color="auto"/>
          </w:divBdr>
        </w:div>
      </w:divsChild>
    </w:div>
    <w:div w:id="1970892903">
      <w:bodyDiv w:val="1"/>
      <w:marLeft w:val="0"/>
      <w:marRight w:val="0"/>
      <w:marTop w:val="0"/>
      <w:marBottom w:val="0"/>
      <w:divBdr>
        <w:top w:val="none" w:sz="0" w:space="0" w:color="auto"/>
        <w:left w:val="none" w:sz="0" w:space="0" w:color="auto"/>
        <w:bottom w:val="none" w:sz="0" w:space="0" w:color="auto"/>
        <w:right w:val="none" w:sz="0" w:space="0" w:color="auto"/>
      </w:divBdr>
    </w:div>
    <w:div w:id="2003973219">
      <w:bodyDiv w:val="1"/>
      <w:marLeft w:val="0"/>
      <w:marRight w:val="0"/>
      <w:marTop w:val="0"/>
      <w:marBottom w:val="0"/>
      <w:divBdr>
        <w:top w:val="none" w:sz="0" w:space="0" w:color="auto"/>
        <w:left w:val="none" w:sz="0" w:space="0" w:color="auto"/>
        <w:bottom w:val="none" w:sz="0" w:space="0" w:color="auto"/>
        <w:right w:val="none" w:sz="0" w:space="0" w:color="auto"/>
      </w:divBdr>
    </w:div>
    <w:div w:id="2021394354">
      <w:bodyDiv w:val="1"/>
      <w:marLeft w:val="0"/>
      <w:marRight w:val="0"/>
      <w:marTop w:val="0"/>
      <w:marBottom w:val="0"/>
      <w:divBdr>
        <w:top w:val="none" w:sz="0" w:space="0" w:color="auto"/>
        <w:left w:val="none" w:sz="0" w:space="0" w:color="auto"/>
        <w:bottom w:val="none" w:sz="0" w:space="0" w:color="auto"/>
        <w:right w:val="none" w:sz="0" w:space="0" w:color="auto"/>
      </w:divBdr>
    </w:div>
    <w:div w:id="2084792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pod.iso.ch/stadist/documentlist.xsql?csnumber=3514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imanor.gov.m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A41306-65AB-4AB1-BE4F-553AA5FCA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514</Pages>
  <Words>231350</Words>
  <Characters>1272429</Characters>
  <Application>Microsoft Office Word</Application>
  <DocSecurity>0</DocSecurity>
  <Lines>10603</Lines>
  <Paragraphs>3001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1500778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kabbaj</dc:creator>
  <cp:lastModifiedBy>RAJAE DIDIH</cp:lastModifiedBy>
  <cp:revision>3</cp:revision>
  <cp:lastPrinted>2021-09-21T16:34:00Z</cp:lastPrinted>
  <dcterms:created xsi:type="dcterms:W3CDTF">2021-09-21T16:33:00Z</dcterms:created>
  <dcterms:modified xsi:type="dcterms:W3CDTF">2021-09-21T16:34:00Z</dcterms:modified>
</cp:coreProperties>
</file>